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vsdx" ContentType="application/vnd.ms-visio.drawing"/>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D671DB" w14:textId="77777777" w:rsidR="008B5EEF" w:rsidRPr="008B5EEF" w:rsidRDefault="008B5EEF" w:rsidP="008B5EEF">
      <w:pPr>
        <w:autoSpaceDE w:val="0"/>
        <w:autoSpaceDN w:val="0"/>
        <w:adjustRightInd w:val="0"/>
        <w:spacing w:line="240" w:lineRule="auto"/>
        <w:jc w:val="left"/>
        <w:rPr>
          <w:rFonts w:eastAsia="Calibri" w:cs="Times New Roman"/>
          <w:szCs w:val="24"/>
          <w:lang w:eastAsia="en-US"/>
        </w:rPr>
      </w:pPr>
      <w:bookmarkStart w:id="0" w:name="_Toc46053395"/>
      <w:bookmarkStart w:id="1" w:name="_Toc46093306"/>
      <w:bookmarkStart w:id="2" w:name="_Toc46093592"/>
      <w:bookmarkStart w:id="3" w:name="_Toc13728027"/>
      <w:bookmarkStart w:id="4" w:name="_Toc34734478"/>
      <w:bookmarkStart w:id="5" w:name="_Toc46053396"/>
      <w:bookmarkStart w:id="6" w:name="_Toc46093310"/>
      <w:bookmarkStart w:id="7" w:name="_Toc46093593"/>
      <w:r w:rsidRPr="008B5EEF">
        <w:rPr>
          <w:rFonts w:eastAsia="Calibri" w:cs="Times New Roman"/>
          <w:noProof/>
          <w:szCs w:val="24"/>
          <w:lang w:eastAsia="en-GB"/>
        </w:rPr>
        <w:drawing>
          <wp:anchor distT="0" distB="0" distL="114300" distR="114300" simplePos="0" relativeHeight="251658246" behindDoc="0" locked="0" layoutInCell="1" allowOverlap="1" wp14:anchorId="3742D1A9" wp14:editId="19722061">
            <wp:simplePos x="0" y="0"/>
            <wp:positionH relativeFrom="column">
              <wp:posOffset>1310652</wp:posOffset>
            </wp:positionH>
            <wp:positionV relativeFrom="paragraph">
              <wp:posOffset>-310515</wp:posOffset>
            </wp:positionV>
            <wp:extent cx="3036570" cy="1104265"/>
            <wp:effectExtent l="0" t="0" r="0" b="0"/>
            <wp:wrapNone/>
            <wp:docPr id="81" name="Picture 8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54DA8F7C" w14:textId="77777777" w:rsidR="008B5EEF" w:rsidRPr="008B5EEF" w:rsidRDefault="008B5EEF" w:rsidP="008B5EEF">
      <w:pPr>
        <w:autoSpaceDE w:val="0"/>
        <w:autoSpaceDN w:val="0"/>
        <w:adjustRightInd w:val="0"/>
        <w:spacing w:line="240" w:lineRule="auto"/>
        <w:jc w:val="left"/>
        <w:rPr>
          <w:rFonts w:eastAsia="Calibri" w:cs="Times New Roman"/>
          <w:szCs w:val="24"/>
          <w:lang w:eastAsia="en-US"/>
        </w:rPr>
      </w:pPr>
    </w:p>
    <w:p w14:paraId="5FBF7956" w14:textId="77777777" w:rsidR="008B5EEF" w:rsidRPr="008B5EEF" w:rsidRDefault="008B5EEF" w:rsidP="008B5EEF">
      <w:pPr>
        <w:autoSpaceDE w:val="0"/>
        <w:autoSpaceDN w:val="0"/>
        <w:adjustRightInd w:val="0"/>
        <w:spacing w:line="240" w:lineRule="auto"/>
        <w:jc w:val="left"/>
        <w:rPr>
          <w:rFonts w:eastAsia="Calibri" w:cs="Times New Roman"/>
          <w:szCs w:val="24"/>
          <w:lang w:eastAsia="en-US"/>
        </w:rPr>
      </w:pPr>
    </w:p>
    <w:p w14:paraId="4F9ECAA8" w14:textId="77777777" w:rsidR="008B5EEF" w:rsidRPr="008B5EEF" w:rsidRDefault="008B5EEF" w:rsidP="008B5EEF">
      <w:pPr>
        <w:autoSpaceDE w:val="0"/>
        <w:autoSpaceDN w:val="0"/>
        <w:adjustRightInd w:val="0"/>
        <w:spacing w:line="240" w:lineRule="auto"/>
        <w:jc w:val="left"/>
        <w:rPr>
          <w:rFonts w:eastAsia="Calibri" w:cs="Times New Roman"/>
          <w:szCs w:val="24"/>
          <w:lang w:eastAsia="en-US"/>
        </w:rPr>
      </w:pPr>
    </w:p>
    <w:p w14:paraId="19D176E2" w14:textId="77777777" w:rsidR="008B5EEF" w:rsidRPr="008B5EEF" w:rsidRDefault="008B5EEF" w:rsidP="008B5EEF">
      <w:pPr>
        <w:autoSpaceDE w:val="0"/>
        <w:autoSpaceDN w:val="0"/>
        <w:adjustRightInd w:val="0"/>
        <w:spacing w:line="240" w:lineRule="auto"/>
        <w:jc w:val="center"/>
        <w:rPr>
          <w:rFonts w:eastAsia="Calibri" w:cs="Times New Roman"/>
          <w:szCs w:val="24"/>
          <w:lang w:eastAsia="en-US"/>
        </w:rPr>
      </w:pPr>
    </w:p>
    <w:p w14:paraId="13CA8C81" w14:textId="77777777" w:rsidR="008B5EEF" w:rsidRPr="008B5EEF" w:rsidRDefault="008B5EEF" w:rsidP="008B5EEF">
      <w:pPr>
        <w:autoSpaceDE w:val="0"/>
        <w:autoSpaceDN w:val="0"/>
        <w:adjustRightInd w:val="0"/>
        <w:spacing w:line="240" w:lineRule="auto"/>
        <w:jc w:val="center"/>
        <w:rPr>
          <w:rFonts w:eastAsia="Calibri" w:cs="Times New Roman"/>
          <w:szCs w:val="24"/>
          <w:lang w:eastAsia="en-US"/>
        </w:rPr>
      </w:pPr>
    </w:p>
    <w:p w14:paraId="5C7CE084" w14:textId="77777777" w:rsidR="008B5EEF" w:rsidRPr="008B5EEF" w:rsidRDefault="008B5EEF" w:rsidP="008B5EEF">
      <w:pPr>
        <w:autoSpaceDE w:val="0"/>
        <w:autoSpaceDN w:val="0"/>
        <w:adjustRightInd w:val="0"/>
        <w:spacing w:line="240" w:lineRule="auto"/>
        <w:jc w:val="center"/>
        <w:rPr>
          <w:rFonts w:eastAsia="Calibri" w:cs="Times New Roman"/>
          <w:szCs w:val="24"/>
          <w:lang w:eastAsia="en-US"/>
        </w:rPr>
      </w:pPr>
    </w:p>
    <w:p w14:paraId="3DBE15E0" w14:textId="77777777" w:rsidR="008B5EEF" w:rsidRPr="008B5EEF" w:rsidRDefault="008B5EEF" w:rsidP="008B5EEF">
      <w:pPr>
        <w:autoSpaceDE w:val="0"/>
        <w:autoSpaceDN w:val="0"/>
        <w:adjustRightInd w:val="0"/>
        <w:spacing w:line="240" w:lineRule="auto"/>
        <w:jc w:val="center"/>
        <w:rPr>
          <w:rFonts w:eastAsia="Calibri" w:cs="Times New Roman"/>
          <w:szCs w:val="24"/>
          <w:lang w:eastAsia="en-US"/>
        </w:rPr>
      </w:pPr>
    </w:p>
    <w:p w14:paraId="4059F7C2" w14:textId="77777777" w:rsidR="008B5EEF" w:rsidRPr="008B5EEF" w:rsidRDefault="008B5EEF" w:rsidP="008B5EEF">
      <w:pPr>
        <w:autoSpaceDE w:val="0"/>
        <w:autoSpaceDN w:val="0"/>
        <w:adjustRightInd w:val="0"/>
        <w:spacing w:line="240" w:lineRule="auto"/>
        <w:jc w:val="center"/>
        <w:rPr>
          <w:rFonts w:eastAsia="Calibri" w:cs="Times New Roman"/>
          <w:szCs w:val="24"/>
          <w:lang w:eastAsia="en-US"/>
        </w:rPr>
      </w:pPr>
    </w:p>
    <w:p w14:paraId="5682AEF5" w14:textId="77777777" w:rsidR="008B5EEF" w:rsidRPr="008B5EEF" w:rsidRDefault="008B5EEF" w:rsidP="008B5EEF">
      <w:pPr>
        <w:autoSpaceDE w:val="0"/>
        <w:autoSpaceDN w:val="0"/>
        <w:adjustRightInd w:val="0"/>
        <w:spacing w:line="240" w:lineRule="auto"/>
        <w:jc w:val="center"/>
        <w:rPr>
          <w:rFonts w:eastAsia="Calibri" w:cs="Times New Roman"/>
          <w:szCs w:val="24"/>
          <w:lang w:eastAsia="en-US"/>
        </w:rPr>
      </w:pPr>
    </w:p>
    <w:p w14:paraId="6E7ED2E7" w14:textId="77777777" w:rsidR="008B5EEF" w:rsidRPr="008B5EEF" w:rsidRDefault="008B5EEF" w:rsidP="008B5EEF">
      <w:pPr>
        <w:autoSpaceDE w:val="0"/>
        <w:autoSpaceDN w:val="0"/>
        <w:adjustRightInd w:val="0"/>
        <w:spacing w:line="240" w:lineRule="auto"/>
        <w:jc w:val="center"/>
        <w:rPr>
          <w:rFonts w:eastAsia="Calibri" w:cs="Times New Roman"/>
          <w:szCs w:val="24"/>
          <w:lang w:eastAsia="en-US"/>
        </w:rPr>
      </w:pPr>
    </w:p>
    <w:p w14:paraId="39156A40" w14:textId="117C4129" w:rsidR="00095D65" w:rsidRDefault="00095D65" w:rsidP="00095D65">
      <w:pPr>
        <w:autoSpaceDE w:val="0"/>
        <w:autoSpaceDN w:val="0"/>
        <w:adjustRightInd w:val="0"/>
        <w:jc w:val="center"/>
        <w:rPr>
          <w:rFonts w:eastAsia="Calibri" w:cs="Times New Roman"/>
          <w:b/>
          <w:bCs/>
          <w:sz w:val="28"/>
          <w:szCs w:val="28"/>
          <w:lang w:val="en-US" w:eastAsia="en-US"/>
        </w:rPr>
      </w:pPr>
    </w:p>
    <w:p w14:paraId="049866E7" w14:textId="5EEC59A9" w:rsidR="00F95AED" w:rsidRPr="003A4FB2" w:rsidRDefault="00F95AED" w:rsidP="00095D65">
      <w:pPr>
        <w:autoSpaceDE w:val="0"/>
        <w:autoSpaceDN w:val="0"/>
        <w:adjustRightInd w:val="0"/>
        <w:jc w:val="center"/>
        <w:rPr>
          <w:rFonts w:eastAsia="Calibri"/>
          <w:b/>
          <w:bCs/>
          <w:sz w:val="28"/>
          <w:szCs w:val="28"/>
          <w:lang w:eastAsia="en-US"/>
        </w:rPr>
      </w:pPr>
      <w:r w:rsidRPr="00F95AED">
        <w:rPr>
          <w:rFonts w:eastAsia="Calibri"/>
          <w:b/>
          <w:bCs/>
          <w:sz w:val="28"/>
          <w:szCs w:val="28"/>
          <w:lang w:eastAsia="en-US"/>
        </w:rPr>
        <w:t>Enhancing the Viability of Urban Consolidation Centres: Models, Methods and Applications</w:t>
      </w:r>
    </w:p>
    <w:p w14:paraId="126DE952" w14:textId="0599FEB5" w:rsidR="008B5EEF" w:rsidRPr="008B5EEF" w:rsidRDefault="008B5EEF" w:rsidP="008B5EEF">
      <w:pPr>
        <w:autoSpaceDE w:val="0"/>
        <w:autoSpaceDN w:val="0"/>
        <w:adjustRightInd w:val="0"/>
        <w:spacing w:line="240" w:lineRule="auto"/>
        <w:jc w:val="center"/>
        <w:rPr>
          <w:rFonts w:eastAsia="Calibri" w:cs="Times New Roman"/>
          <w:b/>
          <w:bCs/>
          <w:sz w:val="28"/>
          <w:szCs w:val="28"/>
          <w:lang w:eastAsia="en-US"/>
        </w:rPr>
      </w:pPr>
    </w:p>
    <w:p w14:paraId="1D9CBCF1" w14:textId="77777777" w:rsidR="008B5EEF" w:rsidRPr="008B5EEF" w:rsidRDefault="008B5EEF" w:rsidP="008B5EEF">
      <w:pPr>
        <w:autoSpaceDE w:val="0"/>
        <w:autoSpaceDN w:val="0"/>
        <w:adjustRightInd w:val="0"/>
        <w:spacing w:line="240" w:lineRule="auto"/>
        <w:jc w:val="left"/>
        <w:rPr>
          <w:rFonts w:eastAsia="Calibri" w:cs="Times New Roman"/>
          <w:szCs w:val="24"/>
          <w:lang w:eastAsia="en-US"/>
        </w:rPr>
      </w:pPr>
    </w:p>
    <w:p w14:paraId="21092E56" w14:textId="77777777" w:rsidR="008B5EEF" w:rsidRPr="008B5EEF" w:rsidRDefault="008B5EEF" w:rsidP="008B5EEF">
      <w:pPr>
        <w:autoSpaceDE w:val="0"/>
        <w:autoSpaceDN w:val="0"/>
        <w:adjustRightInd w:val="0"/>
        <w:spacing w:line="240" w:lineRule="auto"/>
        <w:jc w:val="center"/>
        <w:rPr>
          <w:rFonts w:eastAsia="Calibri" w:cs="Times New Roman"/>
          <w:szCs w:val="24"/>
          <w:lang w:eastAsia="en-US"/>
        </w:rPr>
      </w:pPr>
    </w:p>
    <w:p w14:paraId="78436956" w14:textId="77777777" w:rsidR="008B5EEF" w:rsidRPr="008B5EEF" w:rsidRDefault="008B5EEF" w:rsidP="008B5EEF">
      <w:pPr>
        <w:autoSpaceDE w:val="0"/>
        <w:autoSpaceDN w:val="0"/>
        <w:adjustRightInd w:val="0"/>
        <w:spacing w:line="240" w:lineRule="auto"/>
        <w:jc w:val="center"/>
        <w:rPr>
          <w:rFonts w:eastAsia="Calibri" w:cs="Times New Roman"/>
          <w:szCs w:val="24"/>
          <w:lang w:eastAsia="en-US"/>
        </w:rPr>
      </w:pPr>
    </w:p>
    <w:p w14:paraId="4D2D0F1D" w14:textId="77777777" w:rsidR="008B5EEF" w:rsidRPr="008B5EEF" w:rsidRDefault="008B5EEF" w:rsidP="008B5EEF">
      <w:pPr>
        <w:autoSpaceDE w:val="0"/>
        <w:autoSpaceDN w:val="0"/>
        <w:adjustRightInd w:val="0"/>
        <w:spacing w:line="240" w:lineRule="auto"/>
        <w:jc w:val="center"/>
        <w:rPr>
          <w:rFonts w:eastAsia="Calibri" w:cs="Times New Roman"/>
          <w:b/>
          <w:bCs/>
          <w:szCs w:val="24"/>
          <w:lang w:eastAsia="en-US"/>
        </w:rPr>
      </w:pPr>
      <w:r w:rsidRPr="008B5EEF">
        <w:rPr>
          <w:rFonts w:eastAsia="Calibri" w:cs="Times New Roman"/>
          <w:b/>
          <w:bCs/>
          <w:szCs w:val="24"/>
          <w:lang w:eastAsia="en-US"/>
        </w:rPr>
        <w:t>By:</w:t>
      </w:r>
    </w:p>
    <w:p w14:paraId="54A9A393" w14:textId="77777777" w:rsidR="008B5EEF" w:rsidRPr="008B5EEF" w:rsidRDefault="008B5EEF" w:rsidP="008B5EEF">
      <w:pPr>
        <w:autoSpaceDE w:val="0"/>
        <w:autoSpaceDN w:val="0"/>
        <w:adjustRightInd w:val="0"/>
        <w:spacing w:line="240" w:lineRule="auto"/>
        <w:jc w:val="center"/>
        <w:rPr>
          <w:rFonts w:eastAsia="Calibri" w:cs="Times New Roman"/>
          <w:szCs w:val="24"/>
          <w:lang w:eastAsia="en-US"/>
        </w:rPr>
      </w:pPr>
    </w:p>
    <w:p w14:paraId="0AF528A7" w14:textId="615FCF42" w:rsidR="008B5EEF" w:rsidRPr="008B5EEF" w:rsidRDefault="008B5EEF" w:rsidP="008B5EEF">
      <w:pPr>
        <w:autoSpaceDE w:val="0"/>
        <w:autoSpaceDN w:val="0"/>
        <w:adjustRightInd w:val="0"/>
        <w:spacing w:line="240" w:lineRule="auto"/>
        <w:jc w:val="center"/>
        <w:rPr>
          <w:rFonts w:eastAsia="Calibri" w:cs="Times New Roman"/>
          <w:b/>
          <w:bCs/>
          <w:color w:val="222222"/>
          <w:sz w:val="28"/>
          <w:szCs w:val="28"/>
          <w:shd w:val="clear" w:color="auto" w:fill="FFFFFF"/>
          <w:lang w:eastAsia="en-US"/>
        </w:rPr>
      </w:pPr>
      <w:r w:rsidRPr="008B5EEF">
        <w:rPr>
          <w:rFonts w:eastAsia="Calibri" w:cs="Times New Roman" w:hint="eastAsia"/>
          <w:b/>
          <w:bCs/>
          <w:color w:val="222222"/>
          <w:sz w:val="28"/>
          <w:szCs w:val="28"/>
          <w:shd w:val="clear" w:color="auto" w:fill="FFFFFF"/>
          <w:lang w:eastAsia="en-US"/>
        </w:rPr>
        <w:t>Shucheng</w:t>
      </w:r>
      <w:r w:rsidRPr="008B5EEF">
        <w:rPr>
          <w:rFonts w:eastAsia="Calibri" w:cs="Times New Roman"/>
          <w:b/>
          <w:bCs/>
          <w:color w:val="222222"/>
          <w:sz w:val="28"/>
          <w:szCs w:val="28"/>
          <w:shd w:val="clear" w:color="auto" w:fill="FFFFFF"/>
          <w:lang w:eastAsia="en-US"/>
        </w:rPr>
        <w:t xml:space="preserve"> </w:t>
      </w:r>
      <w:r w:rsidRPr="008B5EEF">
        <w:rPr>
          <w:rFonts w:eastAsia="Calibri" w:cs="Times New Roman" w:hint="eastAsia"/>
          <w:b/>
          <w:bCs/>
          <w:color w:val="222222"/>
          <w:sz w:val="28"/>
          <w:szCs w:val="28"/>
          <w:shd w:val="clear" w:color="auto" w:fill="FFFFFF"/>
          <w:lang w:eastAsia="en-US"/>
        </w:rPr>
        <w:t>Luo</w:t>
      </w:r>
    </w:p>
    <w:p w14:paraId="7A2557DF" w14:textId="77777777" w:rsidR="008B5EEF" w:rsidRPr="008B5EEF" w:rsidRDefault="008B5EEF" w:rsidP="008B5EEF">
      <w:pPr>
        <w:autoSpaceDE w:val="0"/>
        <w:autoSpaceDN w:val="0"/>
        <w:adjustRightInd w:val="0"/>
        <w:spacing w:line="240" w:lineRule="auto"/>
        <w:jc w:val="left"/>
        <w:rPr>
          <w:rFonts w:eastAsia="Calibri" w:cs="Times New Roman"/>
          <w:sz w:val="28"/>
          <w:szCs w:val="28"/>
          <w:lang w:eastAsia="en-US"/>
        </w:rPr>
      </w:pPr>
    </w:p>
    <w:p w14:paraId="05A8F19D" w14:textId="77777777" w:rsidR="008B5EEF" w:rsidRPr="008B5EEF" w:rsidRDefault="008B5EEF" w:rsidP="008B5EEF">
      <w:pPr>
        <w:autoSpaceDE w:val="0"/>
        <w:autoSpaceDN w:val="0"/>
        <w:adjustRightInd w:val="0"/>
        <w:spacing w:line="240" w:lineRule="auto"/>
        <w:jc w:val="left"/>
        <w:rPr>
          <w:rFonts w:eastAsia="Calibri" w:cs="Times New Roman"/>
          <w:szCs w:val="24"/>
          <w:lang w:eastAsia="en-US"/>
        </w:rPr>
      </w:pPr>
    </w:p>
    <w:p w14:paraId="3D49C138" w14:textId="77777777" w:rsidR="008B5EEF" w:rsidRPr="008B5EEF" w:rsidRDefault="008B5EEF" w:rsidP="008B5EEF">
      <w:pPr>
        <w:autoSpaceDE w:val="0"/>
        <w:autoSpaceDN w:val="0"/>
        <w:adjustRightInd w:val="0"/>
        <w:spacing w:line="240" w:lineRule="auto"/>
        <w:jc w:val="left"/>
        <w:rPr>
          <w:rFonts w:eastAsia="Calibri" w:cs="Times New Roman"/>
          <w:szCs w:val="24"/>
          <w:lang w:eastAsia="en-US"/>
        </w:rPr>
      </w:pPr>
    </w:p>
    <w:p w14:paraId="51864920" w14:textId="77777777" w:rsidR="008B5EEF" w:rsidRPr="008B5EEF" w:rsidRDefault="008B5EEF" w:rsidP="008B5EEF">
      <w:pPr>
        <w:autoSpaceDE w:val="0"/>
        <w:autoSpaceDN w:val="0"/>
        <w:adjustRightInd w:val="0"/>
        <w:spacing w:line="240" w:lineRule="auto"/>
        <w:jc w:val="left"/>
        <w:rPr>
          <w:rFonts w:eastAsia="Calibri" w:cs="Times New Roman"/>
          <w:szCs w:val="24"/>
          <w:lang w:eastAsia="en-US"/>
        </w:rPr>
      </w:pPr>
    </w:p>
    <w:p w14:paraId="27B02AEA" w14:textId="77777777" w:rsidR="008B5EEF" w:rsidRPr="008B5EEF" w:rsidRDefault="008B5EEF" w:rsidP="008B5EEF">
      <w:pPr>
        <w:autoSpaceDE w:val="0"/>
        <w:autoSpaceDN w:val="0"/>
        <w:adjustRightInd w:val="0"/>
        <w:spacing w:line="240" w:lineRule="auto"/>
        <w:jc w:val="center"/>
        <w:rPr>
          <w:rFonts w:eastAsia="Calibri" w:cs="Times New Roman"/>
          <w:szCs w:val="24"/>
          <w:lang w:eastAsia="en-US"/>
        </w:rPr>
      </w:pPr>
      <w:r w:rsidRPr="008B5EEF">
        <w:rPr>
          <w:rFonts w:eastAsia="Calibri" w:cs="Times New Roman"/>
          <w:szCs w:val="24"/>
          <w:lang w:eastAsia="en-US"/>
        </w:rPr>
        <w:t>A thesis submitted in partial fulfilment of the requirements for the degree of</w:t>
      </w:r>
    </w:p>
    <w:p w14:paraId="2C6B2821" w14:textId="77777777" w:rsidR="008B5EEF" w:rsidRPr="008B5EEF" w:rsidRDefault="008B5EEF" w:rsidP="008B5EEF">
      <w:pPr>
        <w:autoSpaceDE w:val="0"/>
        <w:autoSpaceDN w:val="0"/>
        <w:adjustRightInd w:val="0"/>
        <w:spacing w:after="160" w:line="240" w:lineRule="auto"/>
        <w:jc w:val="center"/>
        <w:rPr>
          <w:rFonts w:eastAsia="Calibri" w:cs="Times New Roman"/>
          <w:szCs w:val="24"/>
          <w:lang w:eastAsia="en-US"/>
        </w:rPr>
      </w:pPr>
      <w:r w:rsidRPr="008B5EEF">
        <w:rPr>
          <w:rFonts w:eastAsia="Calibri" w:cs="Times New Roman"/>
          <w:szCs w:val="24"/>
          <w:lang w:eastAsia="en-US"/>
        </w:rPr>
        <w:t xml:space="preserve">Doctor of Philosophy </w:t>
      </w:r>
    </w:p>
    <w:p w14:paraId="4261E710" w14:textId="77777777" w:rsidR="008B5EEF" w:rsidRPr="008B5EEF" w:rsidRDefault="008B5EEF" w:rsidP="008B5EEF">
      <w:pPr>
        <w:autoSpaceDE w:val="0"/>
        <w:autoSpaceDN w:val="0"/>
        <w:adjustRightInd w:val="0"/>
        <w:spacing w:after="160" w:line="240" w:lineRule="auto"/>
        <w:rPr>
          <w:rFonts w:eastAsia="Calibri" w:cs="Times New Roman"/>
          <w:szCs w:val="24"/>
          <w:lang w:eastAsia="en-US"/>
        </w:rPr>
      </w:pPr>
    </w:p>
    <w:p w14:paraId="40EA3A9D" w14:textId="77777777" w:rsidR="008B5EEF" w:rsidRPr="008B5EEF" w:rsidRDefault="008B5EEF" w:rsidP="008B5EEF">
      <w:pPr>
        <w:autoSpaceDE w:val="0"/>
        <w:autoSpaceDN w:val="0"/>
        <w:adjustRightInd w:val="0"/>
        <w:spacing w:line="240" w:lineRule="auto"/>
        <w:jc w:val="center"/>
        <w:rPr>
          <w:rFonts w:eastAsia="Calibri" w:cs="Times New Roman"/>
          <w:szCs w:val="24"/>
          <w:lang w:eastAsia="en-US"/>
        </w:rPr>
      </w:pPr>
      <w:r w:rsidRPr="008B5EEF">
        <w:rPr>
          <w:rFonts w:eastAsia="Calibri" w:cs="Times New Roman"/>
          <w:szCs w:val="24"/>
          <w:lang w:eastAsia="en-US"/>
        </w:rPr>
        <w:t>The University of Sheffield</w:t>
      </w:r>
    </w:p>
    <w:p w14:paraId="74D75ECA" w14:textId="77777777" w:rsidR="008B5EEF" w:rsidRPr="008B5EEF" w:rsidRDefault="008B5EEF" w:rsidP="008B5EEF">
      <w:pPr>
        <w:autoSpaceDE w:val="0"/>
        <w:autoSpaceDN w:val="0"/>
        <w:adjustRightInd w:val="0"/>
        <w:spacing w:line="240" w:lineRule="auto"/>
        <w:jc w:val="center"/>
        <w:rPr>
          <w:rFonts w:eastAsia="Calibri" w:cs="Times New Roman"/>
          <w:szCs w:val="24"/>
          <w:lang w:eastAsia="en-US"/>
        </w:rPr>
      </w:pPr>
      <w:r w:rsidRPr="008B5EEF">
        <w:rPr>
          <w:rFonts w:eastAsia="Calibri" w:cs="Times New Roman"/>
          <w:szCs w:val="24"/>
          <w:lang w:eastAsia="en-US"/>
        </w:rPr>
        <w:t>Faculty of Social Sciences</w:t>
      </w:r>
    </w:p>
    <w:p w14:paraId="055C6FB6" w14:textId="77777777" w:rsidR="008B5EEF" w:rsidRPr="008B5EEF" w:rsidRDefault="008B5EEF" w:rsidP="008B5EEF">
      <w:pPr>
        <w:autoSpaceDE w:val="0"/>
        <w:autoSpaceDN w:val="0"/>
        <w:adjustRightInd w:val="0"/>
        <w:spacing w:after="160" w:line="240" w:lineRule="auto"/>
        <w:jc w:val="center"/>
        <w:rPr>
          <w:rFonts w:eastAsia="Calibri" w:cs="Times New Roman"/>
          <w:lang w:eastAsia="en-US"/>
        </w:rPr>
      </w:pPr>
      <w:r w:rsidRPr="008B5EEF">
        <w:rPr>
          <w:rFonts w:eastAsia="Calibri" w:cs="Times New Roman"/>
          <w:szCs w:val="24"/>
          <w:lang w:eastAsia="en-US"/>
        </w:rPr>
        <w:t>Sheffield University Management School</w:t>
      </w:r>
    </w:p>
    <w:p w14:paraId="46364433" w14:textId="77777777" w:rsidR="008B5EEF" w:rsidRPr="008B5EEF" w:rsidRDefault="008B5EEF" w:rsidP="008B5EEF">
      <w:pPr>
        <w:autoSpaceDE w:val="0"/>
        <w:autoSpaceDN w:val="0"/>
        <w:adjustRightInd w:val="0"/>
        <w:spacing w:after="160" w:line="240" w:lineRule="auto"/>
        <w:jc w:val="center"/>
        <w:rPr>
          <w:rFonts w:eastAsia="Calibri" w:cs="Times New Roman"/>
          <w:szCs w:val="24"/>
          <w:lang w:eastAsia="en-US"/>
        </w:rPr>
      </w:pPr>
    </w:p>
    <w:p w14:paraId="041BC578" w14:textId="73BCEE6D" w:rsidR="008B5EEF" w:rsidRPr="008B5EEF" w:rsidRDefault="008B5EEF" w:rsidP="008B5EEF">
      <w:pPr>
        <w:autoSpaceDE w:val="0"/>
        <w:autoSpaceDN w:val="0"/>
        <w:adjustRightInd w:val="0"/>
        <w:spacing w:after="160" w:line="240" w:lineRule="auto"/>
        <w:jc w:val="center"/>
        <w:rPr>
          <w:rFonts w:eastAsia="Calibri" w:cs="Times New Roman"/>
          <w:szCs w:val="24"/>
          <w:lang w:eastAsia="en-US"/>
        </w:rPr>
      </w:pPr>
    </w:p>
    <w:p w14:paraId="38733847" w14:textId="563C7166" w:rsidR="008B5EEF" w:rsidRPr="008B5EEF" w:rsidRDefault="00D92F76" w:rsidP="008B5EEF">
      <w:pPr>
        <w:autoSpaceDE w:val="0"/>
        <w:autoSpaceDN w:val="0"/>
        <w:adjustRightInd w:val="0"/>
        <w:spacing w:after="160" w:line="240" w:lineRule="auto"/>
        <w:jc w:val="center"/>
        <w:rPr>
          <w:rFonts w:eastAsia="Calibri" w:cs="Times New Roman"/>
          <w:szCs w:val="24"/>
          <w:lang w:eastAsia="en-US"/>
        </w:rPr>
      </w:pPr>
      <w:r>
        <w:rPr>
          <w:rFonts w:eastAsia="Calibri" w:cs="Times New Roman"/>
          <w:szCs w:val="24"/>
          <w:lang w:eastAsia="en-US"/>
        </w:rPr>
        <w:t>March</w:t>
      </w:r>
      <w:r w:rsidR="008B5EEF" w:rsidRPr="008B5EEF">
        <w:rPr>
          <w:rFonts w:eastAsia="Calibri" w:cs="Times New Roman"/>
          <w:szCs w:val="24"/>
          <w:lang w:eastAsia="en-US"/>
        </w:rPr>
        <w:t xml:space="preserve"> 20</w:t>
      </w:r>
      <w:r w:rsidR="003E510A">
        <w:rPr>
          <w:rFonts w:eastAsia="Calibri" w:cs="Times New Roman"/>
          <w:szCs w:val="24"/>
          <w:lang w:eastAsia="en-US"/>
        </w:rPr>
        <w:t>2</w:t>
      </w:r>
      <w:r>
        <w:rPr>
          <w:rFonts w:eastAsia="Calibri" w:cs="Times New Roman"/>
          <w:szCs w:val="24"/>
          <w:lang w:eastAsia="en-US"/>
        </w:rPr>
        <w:t>1</w:t>
      </w:r>
    </w:p>
    <w:p w14:paraId="053D7E2C" w14:textId="77777777" w:rsidR="001B4FBC" w:rsidRDefault="001B4FBC">
      <w:pPr>
        <w:rPr>
          <w:rFonts w:eastAsiaTheme="majorEastAsia"/>
          <w:b/>
          <w:bCs/>
          <w:color w:val="1F4E79" w:themeColor="accent1" w:themeShade="80"/>
          <w:kern w:val="44"/>
          <w:sz w:val="44"/>
          <w:szCs w:val="32"/>
        </w:rPr>
      </w:pPr>
      <w:r>
        <w:br w:type="page"/>
      </w:r>
    </w:p>
    <w:p w14:paraId="074DD12B" w14:textId="77777777" w:rsidR="001B4FBC" w:rsidRDefault="001B4FBC" w:rsidP="001B4FBC">
      <w:pPr>
        <w:pStyle w:val="Heading1"/>
        <w:numPr>
          <w:ilvl w:val="0"/>
          <w:numId w:val="0"/>
        </w:numPr>
        <w:ind w:left="431" w:hanging="431"/>
        <w:jc w:val="center"/>
        <w:sectPr w:rsidR="001B4FBC" w:rsidSect="00EF5934">
          <w:headerReference w:type="default" r:id="rId9"/>
          <w:type w:val="continuous"/>
          <w:pgSz w:w="11906" w:h="16838"/>
          <w:pgMar w:top="1440" w:right="1440" w:bottom="1440" w:left="1440" w:header="708" w:footer="708" w:gutter="0"/>
          <w:pgNumType w:start="1"/>
          <w:cols w:space="708"/>
          <w:docGrid w:linePitch="360"/>
        </w:sectPr>
      </w:pPr>
    </w:p>
    <w:p w14:paraId="795590A9" w14:textId="678C2AAB" w:rsidR="004634E5" w:rsidRDefault="004634E5" w:rsidP="001B4FBC">
      <w:pPr>
        <w:pStyle w:val="Heading1"/>
        <w:numPr>
          <w:ilvl w:val="0"/>
          <w:numId w:val="0"/>
        </w:numPr>
        <w:ind w:left="431" w:hanging="431"/>
        <w:jc w:val="center"/>
      </w:pPr>
      <w:bookmarkStart w:id="8" w:name="_Toc66703162"/>
      <w:r>
        <w:lastRenderedPageBreak/>
        <w:t>Abstr</w:t>
      </w:r>
      <w:bookmarkEnd w:id="0"/>
      <w:r>
        <w:t>act</w:t>
      </w:r>
      <w:bookmarkEnd w:id="1"/>
      <w:bookmarkEnd w:id="2"/>
      <w:bookmarkEnd w:id="8"/>
    </w:p>
    <w:p w14:paraId="5E0845AE" w14:textId="40159FB7" w:rsidR="00235310" w:rsidRPr="005455A3" w:rsidRDefault="00DB066A" w:rsidP="004634E5">
      <w:pPr>
        <w:spacing w:before="156" w:after="240" w:line="360" w:lineRule="auto"/>
        <w:rPr>
          <w:rFonts w:cs="Times New Roman"/>
          <w:sz w:val="22"/>
        </w:rPr>
      </w:pPr>
      <w:r>
        <w:rPr>
          <w:rFonts w:cs="Times New Roman"/>
          <w:sz w:val="22"/>
        </w:rPr>
        <w:t>An u</w:t>
      </w:r>
      <w:r w:rsidR="004634E5" w:rsidRPr="005455A3">
        <w:rPr>
          <w:rFonts w:cs="Times New Roman"/>
          <w:sz w:val="22"/>
        </w:rPr>
        <w:t xml:space="preserve">rban consolidation centre (UCC) is a pivotal facility initiated to reduce the negative impact generated by urban logistics activities. The UCC is an intermediate facility that connects intercity transportation with their </w:t>
      </w:r>
      <w:r w:rsidR="00F55295" w:rsidRPr="005455A3">
        <w:rPr>
          <w:rFonts w:cs="Times New Roman"/>
          <w:sz w:val="22"/>
        </w:rPr>
        <w:t>clients</w:t>
      </w:r>
      <w:r w:rsidR="00A943D4" w:rsidRPr="005455A3">
        <w:rPr>
          <w:rFonts w:cs="Times New Roman"/>
          <w:sz w:val="22"/>
        </w:rPr>
        <w:t xml:space="preserve"> </w:t>
      </w:r>
      <w:r w:rsidR="004634E5" w:rsidRPr="005455A3">
        <w:rPr>
          <w:rFonts w:cs="Times New Roman"/>
          <w:sz w:val="22"/>
        </w:rPr>
        <w:t>(</w:t>
      </w:r>
      <w:proofErr w:type="gramStart"/>
      <w:r w:rsidR="004634E5" w:rsidRPr="005455A3">
        <w:rPr>
          <w:rFonts w:cs="Times New Roman"/>
          <w:sz w:val="22"/>
        </w:rPr>
        <w:t>e.g.</w:t>
      </w:r>
      <w:proofErr w:type="gramEnd"/>
      <w:r w:rsidR="004634E5" w:rsidRPr="005455A3">
        <w:rPr>
          <w:rFonts w:cs="Times New Roman"/>
          <w:sz w:val="22"/>
        </w:rPr>
        <w:t xml:space="preserve"> stores, office</w:t>
      </w:r>
      <w:r w:rsidR="00E946DA" w:rsidRPr="005455A3">
        <w:rPr>
          <w:rFonts w:cs="Times New Roman"/>
          <w:sz w:val="22"/>
        </w:rPr>
        <w:t>s</w:t>
      </w:r>
      <w:r w:rsidR="004634E5" w:rsidRPr="005455A3">
        <w:rPr>
          <w:rFonts w:cs="Times New Roman"/>
          <w:sz w:val="22"/>
        </w:rPr>
        <w:t>, restaurant</w:t>
      </w:r>
      <w:r w:rsidR="00E946DA" w:rsidRPr="005455A3">
        <w:rPr>
          <w:rFonts w:cs="Times New Roman"/>
          <w:sz w:val="22"/>
        </w:rPr>
        <w:t>s</w:t>
      </w:r>
      <w:r w:rsidR="004634E5" w:rsidRPr="005455A3">
        <w:rPr>
          <w:rFonts w:cs="Times New Roman"/>
          <w:sz w:val="22"/>
        </w:rPr>
        <w:t>, etc.). The function of UCC</w:t>
      </w:r>
      <w:r w:rsidR="00B54C5D" w:rsidRPr="005455A3">
        <w:rPr>
          <w:rFonts w:cs="Times New Roman"/>
          <w:sz w:val="22"/>
        </w:rPr>
        <w:t>s</w:t>
      </w:r>
      <w:r w:rsidR="004634E5" w:rsidRPr="005455A3">
        <w:rPr>
          <w:rFonts w:cs="Times New Roman"/>
          <w:sz w:val="22"/>
        </w:rPr>
        <w:t xml:space="preserve"> is to tran</w:t>
      </w:r>
      <w:r w:rsidR="00DD2E32" w:rsidRPr="005455A3">
        <w:rPr>
          <w:rFonts w:cs="Times New Roman"/>
          <w:sz w:val="22"/>
        </w:rPr>
        <w:t>s-</w:t>
      </w:r>
      <w:r w:rsidR="004634E5" w:rsidRPr="005455A3">
        <w:rPr>
          <w:rFonts w:cs="Times New Roman"/>
          <w:sz w:val="22"/>
        </w:rPr>
        <w:t xml:space="preserve">ship goods directed to urban areas, aiming to consolidate deliveries, and thus provide greater efficiency (and effectiveness) in the distribution process by increasing the truckload factor and replacing heavy trucks </w:t>
      </w:r>
      <w:r w:rsidR="00E05036">
        <w:rPr>
          <w:rFonts w:cs="Times New Roman"/>
          <w:sz w:val="22"/>
        </w:rPr>
        <w:t>with</w:t>
      </w:r>
      <w:r w:rsidR="004634E5" w:rsidRPr="005455A3">
        <w:rPr>
          <w:rFonts w:cs="Times New Roman"/>
          <w:sz w:val="22"/>
        </w:rPr>
        <w:t xml:space="preserve"> smaller vehicles</w:t>
      </w:r>
      <w:r w:rsidR="004344A9" w:rsidRPr="005455A3">
        <w:rPr>
          <w:rFonts w:cs="Times New Roman"/>
          <w:sz w:val="22"/>
        </w:rPr>
        <w:t xml:space="preserve"> that are more suitable for urban deliveries</w:t>
      </w:r>
      <w:r w:rsidR="004634E5" w:rsidRPr="005455A3">
        <w:rPr>
          <w:rFonts w:cs="Times New Roman"/>
          <w:sz w:val="22"/>
        </w:rPr>
        <w:t>, which help</w:t>
      </w:r>
      <w:r w:rsidR="004B129A" w:rsidRPr="005455A3">
        <w:rPr>
          <w:rFonts w:cs="Times New Roman"/>
          <w:sz w:val="22"/>
        </w:rPr>
        <w:t>s</w:t>
      </w:r>
      <w:r w:rsidR="004634E5" w:rsidRPr="005455A3">
        <w:rPr>
          <w:rFonts w:cs="Times New Roman"/>
          <w:sz w:val="22"/>
        </w:rPr>
        <w:t xml:space="preserve"> </w:t>
      </w:r>
      <w:r w:rsidR="004B129A" w:rsidRPr="005455A3">
        <w:rPr>
          <w:rFonts w:cs="Times New Roman"/>
          <w:sz w:val="22"/>
        </w:rPr>
        <w:t xml:space="preserve">to </w:t>
      </w:r>
      <w:r w:rsidR="004634E5" w:rsidRPr="005455A3">
        <w:rPr>
          <w:rFonts w:cs="Times New Roman"/>
          <w:sz w:val="22"/>
        </w:rPr>
        <w:t>mitigat</w:t>
      </w:r>
      <w:r w:rsidR="004B129A" w:rsidRPr="005455A3">
        <w:rPr>
          <w:rFonts w:cs="Times New Roman"/>
          <w:sz w:val="22"/>
        </w:rPr>
        <w:t>e</w:t>
      </w:r>
      <w:r w:rsidR="004634E5" w:rsidRPr="005455A3">
        <w:rPr>
          <w:rFonts w:cs="Times New Roman"/>
          <w:sz w:val="22"/>
        </w:rPr>
        <w:t xml:space="preserve"> urban congestion and air pollution. </w:t>
      </w:r>
      <w:r w:rsidR="005E1406" w:rsidRPr="005455A3">
        <w:rPr>
          <w:rFonts w:cs="Times New Roman"/>
          <w:sz w:val="22"/>
        </w:rPr>
        <w:t xml:space="preserve">Despite </w:t>
      </w:r>
      <w:r w:rsidR="004634E5" w:rsidRPr="005455A3">
        <w:rPr>
          <w:rFonts w:cs="Times New Roman"/>
          <w:sz w:val="22"/>
        </w:rPr>
        <w:t>the potential benefits of UCCs, th</w:t>
      </w:r>
      <w:r w:rsidR="00295180" w:rsidRPr="005455A3">
        <w:rPr>
          <w:rFonts w:cs="Times New Roman"/>
          <w:sz w:val="22"/>
        </w:rPr>
        <w:t>ese</w:t>
      </w:r>
      <w:r w:rsidR="004634E5" w:rsidRPr="005455A3">
        <w:rPr>
          <w:rFonts w:cs="Times New Roman"/>
          <w:sz w:val="22"/>
        </w:rPr>
        <w:t xml:space="preserve"> project</w:t>
      </w:r>
      <w:r w:rsidR="00295180" w:rsidRPr="005455A3">
        <w:rPr>
          <w:rFonts w:cs="Times New Roman"/>
          <w:sz w:val="22"/>
        </w:rPr>
        <w:t>s</w:t>
      </w:r>
      <w:r w:rsidR="004634E5" w:rsidRPr="005455A3">
        <w:rPr>
          <w:rFonts w:cs="Times New Roman"/>
          <w:sz w:val="22"/>
        </w:rPr>
        <w:t xml:space="preserve"> often fail to be self-sustaining</w:t>
      </w:r>
      <w:r w:rsidR="00DA0D50" w:rsidRPr="005455A3">
        <w:rPr>
          <w:rFonts w:cs="Times New Roman"/>
          <w:sz w:val="22"/>
        </w:rPr>
        <w:t xml:space="preserve">, </w:t>
      </w:r>
      <w:r w:rsidR="00ED387A">
        <w:rPr>
          <w:rFonts w:cs="Times New Roman"/>
          <w:sz w:val="22"/>
        </w:rPr>
        <w:t>with many relying</w:t>
      </w:r>
      <w:r w:rsidR="004634E5" w:rsidRPr="005455A3">
        <w:rPr>
          <w:rFonts w:cs="Times New Roman"/>
          <w:sz w:val="22"/>
        </w:rPr>
        <w:t xml:space="preserve"> on subsid</w:t>
      </w:r>
      <w:r w:rsidR="009C1FE0" w:rsidRPr="005455A3">
        <w:rPr>
          <w:rFonts w:cs="Times New Roman"/>
          <w:sz w:val="22"/>
        </w:rPr>
        <w:t>i</w:t>
      </w:r>
      <w:r w:rsidR="004634E5" w:rsidRPr="005455A3">
        <w:rPr>
          <w:rFonts w:cs="Times New Roman"/>
          <w:sz w:val="22"/>
        </w:rPr>
        <w:t>es from local authorities</w:t>
      </w:r>
      <w:r w:rsidR="00DA0D50" w:rsidRPr="005455A3">
        <w:rPr>
          <w:rFonts w:cs="Times New Roman"/>
          <w:sz w:val="22"/>
        </w:rPr>
        <w:t>.</w:t>
      </w:r>
      <w:r w:rsidR="004634E5" w:rsidRPr="005455A3">
        <w:rPr>
          <w:rFonts w:cs="Times New Roman"/>
          <w:sz w:val="22"/>
        </w:rPr>
        <w:t xml:space="preserve"> </w:t>
      </w:r>
      <w:r w:rsidR="00DA0D50" w:rsidRPr="005455A3">
        <w:rPr>
          <w:rFonts w:cs="Times New Roman"/>
          <w:sz w:val="22"/>
        </w:rPr>
        <w:t>This factor</w:t>
      </w:r>
      <w:r w:rsidR="004634E5" w:rsidRPr="005455A3">
        <w:rPr>
          <w:rFonts w:cs="Times New Roman"/>
          <w:sz w:val="22"/>
        </w:rPr>
        <w:t xml:space="preserve"> is the main obstacle </w:t>
      </w:r>
      <w:r w:rsidR="00CB699F" w:rsidRPr="005455A3">
        <w:rPr>
          <w:rFonts w:cs="Times New Roman"/>
          <w:sz w:val="22"/>
        </w:rPr>
        <w:t>that prohibits</w:t>
      </w:r>
      <w:r w:rsidR="004634E5" w:rsidRPr="005455A3">
        <w:rPr>
          <w:rFonts w:cs="Times New Roman"/>
          <w:sz w:val="22"/>
        </w:rPr>
        <w:t xml:space="preserve"> the long-term sustainability of this project. </w:t>
      </w:r>
      <w:r w:rsidR="00A52EBB" w:rsidRPr="005455A3">
        <w:rPr>
          <w:rFonts w:cs="Times New Roman"/>
          <w:sz w:val="22"/>
        </w:rPr>
        <w:t>T</w:t>
      </w:r>
      <w:r w:rsidR="004634E5" w:rsidRPr="005455A3">
        <w:rPr>
          <w:rFonts w:cs="Times New Roman"/>
          <w:sz w:val="22"/>
        </w:rPr>
        <w:t xml:space="preserve">hrough the literature review, </w:t>
      </w:r>
      <w:r w:rsidR="004C76E8" w:rsidRPr="005455A3">
        <w:rPr>
          <w:rFonts w:cs="Times New Roman"/>
          <w:sz w:val="22"/>
        </w:rPr>
        <w:t>this thesis</w:t>
      </w:r>
      <w:r w:rsidR="004634E5" w:rsidRPr="005455A3">
        <w:rPr>
          <w:rFonts w:cs="Times New Roman"/>
          <w:sz w:val="22"/>
        </w:rPr>
        <w:t xml:space="preserve"> identif</w:t>
      </w:r>
      <w:r w:rsidR="004C76E8" w:rsidRPr="005455A3">
        <w:rPr>
          <w:rFonts w:cs="Times New Roman"/>
          <w:sz w:val="22"/>
        </w:rPr>
        <w:t>ies</w:t>
      </w:r>
      <w:r w:rsidR="004634E5" w:rsidRPr="005455A3">
        <w:rPr>
          <w:rFonts w:cs="Times New Roman"/>
          <w:sz w:val="22"/>
        </w:rPr>
        <w:t xml:space="preserve"> the reason</w:t>
      </w:r>
      <w:r w:rsidR="002723A4">
        <w:rPr>
          <w:rFonts w:cs="Times New Roman"/>
          <w:sz w:val="22"/>
        </w:rPr>
        <w:t>s</w:t>
      </w:r>
      <w:r w:rsidR="004634E5" w:rsidRPr="005455A3">
        <w:rPr>
          <w:rFonts w:cs="Times New Roman"/>
          <w:sz w:val="22"/>
        </w:rPr>
        <w:t xml:space="preserve"> for such </w:t>
      </w:r>
      <w:r w:rsidR="0087336D" w:rsidRPr="005455A3">
        <w:rPr>
          <w:rFonts w:cs="Times New Roman"/>
          <w:sz w:val="22"/>
        </w:rPr>
        <w:t xml:space="preserve">an </w:t>
      </w:r>
      <w:r w:rsidR="004634E5" w:rsidRPr="005455A3">
        <w:rPr>
          <w:rFonts w:cs="Times New Roman"/>
          <w:sz w:val="22"/>
        </w:rPr>
        <w:t xml:space="preserve">issue </w:t>
      </w:r>
      <w:r w:rsidR="00F613CB">
        <w:rPr>
          <w:rFonts w:cs="Times New Roman"/>
          <w:sz w:val="22"/>
        </w:rPr>
        <w:t>-</w:t>
      </w:r>
      <w:r w:rsidR="004634E5" w:rsidRPr="005455A3">
        <w:rPr>
          <w:rFonts w:cs="Times New Roman"/>
          <w:sz w:val="22"/>
        </w:rPr>
        <w:t xml:space="preserve"> that UCC</w:t>
      </w:r>
      <w:r w:rsidR="00EC0000" w:rsidRPr="005455A3">
        <w:rPr>
          <w:rFonts w:cs="Times New Roman"/>
          <w:sz w:val="22"/>
        </w:rPr>
        <w:t>s</w:t>
      </w:r>
      <w:r w:rsidR="004634E5" w:rsidRPr="005455A3">
        <w:rPr>
          <w:rFonts w:cs="Times New Roman"/>
          <w:sz w:val="22"/>
        </w:rPr>
        <w:t xml:space="preserve"> </w:t>
      </w:r>
      <w:r w:rsidR="00291539" w:rsidRPr="005455A3">
        <w:rPr>
          <w:rFonts w:cs="Times New Roman"/>
          <w:sz w:val="22"/>
        </w:rPr>
        <w:t>cannot balance the interests of different stakeholder</w:t>
      </w:r>
      <w:r w:rsidR="00AA2C93" w:rsidRPr="005455A3">
        <w:rPr>
          <w:rFonts w:cs="Times New Roman"/>
          <w:sz w:val="22"/>
        </w:rPr>
        <w:t>s</w:t>
      </w:r>
      <w:r w:rsidR="00201804" w:rsidRPr="005455A3">
        <w:rPr>
          <w:rFonts w:cs="Times New Roman"/>
          <w:sz w:val="22"/>
        </w:rPr>
        <w:t xml:space="preserve">. </w:t>
      </w:r>
      <w:r w:rsidR="009126B9" w:rsidRPr="005455A3">
        <w:rPr>
          <w:rFonts w:cs="Times New Roman"/>
          <w:sz w:val="22"/>
        </w:rPr>
        <w:t>Specifically,</w:t>
      </w:r>
      <w:r w:rsidR="009126B9" w:rsidRPr="005455A3">
        <w:rPr>
          <w:rFonts w:cs="Times New Roman" w:hint="eastAsia"/>
          <w:sz w:val="22"/>
        </w:rPr>
        <w:t xml:space="preserve"> </w:t>
      </w:r>
      <w:r w:rsidR="009126B9" w:rsidRPr="005455A3">
        <w:rPr>
          <w:rFonts w:cs="Times New Roman"/>
          <w:sz w:val="22"/>
        </w:rPr>
        <w:t>a</w:t>
      </w:r>
      <w:r w:rsidR="004634E5" w:rsidRPr="005455A3">
        <w:rPr>
          <w:rFonts w:cs="Times New Roman" w:hint="eastAsia"/>
          <w:sz w:val="22"/>
        </w:rPr>
        <w:t>lthough</w:t>
      </w:r>
      <w:r w:rsidR="004634E5" w:rsidRPr="005455A3">
        <w:rPr>
          <w:rFonts w:cs="Times New Roman"/>
          <w:sz w:val="22"/>
        </w:rPr>
        <w:t xml:space="preserve"> UCC</w:t>
      </w:r>
      <w:r w:rsidR="00587142">
        <w:rPr>
          <w:rFonts w:cs="Times New Roman"/>
          <w:sz w:val="22"/>
        </w:rPr>
        <w:t>s</w:t>
      </w:r>
      <w:r w:rsidR="004634E5" w:rsidRPr="005455A3">
        <w:rPr>
          <w:rFonts w:cs="Times New Roman"/>
          <w:sz w:val="22"/>
        </w:rPr>
        <w:t xml:space="preserve"> can alleviate the environmental and social problems generated in urban logistics, the commercial interests of private stakeholders (e.g., logistics service providers, goods receivers</w:t>
      </w:r>
      <w:r w:rsidR="004634E5" w:rsidRPr="005455A3">
        <w:rPr>
          <w:rFonts w:cs="Times New Roman" w:hint="eastAsia"/>
          <w:sz w:val="22"/>
        </w:rPr>
        <w:t>)</w:t>
      </w:r>
      <w:r w:rsidR="004634E5" w:rsidRPr="005455A3">
        <w:rPr>
          <w:rFonts w:cs="Times New Roman"/>
          <w:sz w:val="22"/>
        </w:rPr>
        <w:t xml:space="preserve"> </w:t>
      </w:r>
      <w:r w:rsidR="00136EFE" w:rsidRPr="005455A3">
        <w:rPr>
          <w:rFonts w:cs="Times New Roman"/>
          <w:sz w:val="22"/>
        </w:rPr>
        <w:t>may</w:t>
      </w:r>
      <w:r w:rsidR="00D03A0C" w:rsidRPr="005455A3">
        <w:rPr>
          <w:rFonts w:cs="Times New Roman"/>
          <w:sz w:val="22"/>
        </w:rPr>
        <w:t xml:space="preserve"> be</w:t>
      </w:r>
      <w:r w:rsidR="004634E5" w:rsidRPr="005455A3">
        <w:rPr>
          <w:rFonts w:cs="Times New Roman"/>
          <w:sz w:val="22"/>
        </w:rPr>
        <w:t xml:space="preserve"> harmed by this project. As a result, UCC</w:t>
      </w:r>
      <w:r w:rsidR="00924D62">
        <w:rPr>
          <w:rFonts w:cs="Times New Roman"/>
          <w:sz w:val="22"/>
        </w:rPr>
        <w:t>s</w:t>
      </w:r>
      <w:r w:rsidR="004634E5" w:rsidRPr="005455A3">
        <w:rPr>
          <w:rFonts w:cs="Times New Roman"/>
          <w:sz w:val="22"/>
        </w:rPr>
        <w:t xml:space="preserve"> will fall into deficit due</w:t>
      </w:r>
      <w:r w:rsidR="00806FBB">
        <w:rPr>
          <w:rFonts w:cs="Times New Roman"/>
          <w:sz w:val="22"/>
        </w:rPr>
        <w:t xml:space="preserve"> a</w:t>
      </w:r>
      <w:r w:rsidR="004634E5" w:rsidRPr="005455A3">
        <w:rPr>
          <w:rFonts w:cs="Times New Roman"/>
          <w:sz w:val="22"/>
        </w:rPr>
        <w:t xml:space="preserve"> to </w:t>
      </w:r>
      <w:r w:rsidR="00871A9B" w:rsidRPr="005455A3">
        <w:rPr>
          <w:rFonts w:cs="Times New Roman"/>
          <w:sz w:val="22"/>
        </w:rPr>
        <w:t xml:space="preserve">lack of </w:t>
      </w:r>
      <w:r w:rsidR="004634E5" w:rsidRPr="005455A3">
        <w:rPr>
          <w:rFonts w:cs="Times New Roman"/>
          <w:sz w:val="22"/>
        </w:rPr>
        <w:t>private stakeholders</w:t>
      </w:r>
      <w:r w:rsidR="00871A9B" w:rsidRPr="005455A3">
        <w:rPr>
          <w:rFonts w:cs="Times New Roman"/>
          <w:sz w:val="22"/>
        </w:rPr>
        <w:t xml:space="preserve"> subscrib</w:t>
      </w:r>
      <w:r w:rsidR="002D327B">
        <w:rPr>
          <w:rFonts w:cs="Times New Roman"/>
          <w:sz w:val="22"/>
        </w:rPr>
        <w:t>ing</w:t>
      </w:r>
      <w:r w:rsidR="0087336D" w:rsidRPr="005455A3">
        <w:rPr>
          <w:rFonts w:cs="Times New Roman"/>
          <w:sz w:val="22"/>
        </w:rPr>
        <w:t xml:space="preserve"> to</w:t>
      </w:r>
      <w:r w:rsidR="00871A9B" w:rsidRPr="005455A3">
        <w:rPr>
          <w:rFonts w:cs="Times New Roman"/>
          <w:sz w:val="22"/>
        </w:rPr>
        <w:t xml:space="preserve"> this project</w:t>
      </w:r>
      <w:r w:rsidR="004634E5" w:rsidRPr="005455A3">
        <w:rPr>
          <w:rFonts w:cs="Times New Roman"/>
          <w:sz w:val="22"/>
        </w:rPr>
        <w:t xml:space="preserve">. In response to </w:t>
      </w:r>
      <w:r w:rsidR="00DD030C">
        <w:rPr>
          <w:rFonts w:cs="Times New Roman"/>
          <w:sz w:val="22"/>
        </w:rPr>
        <w:t xml:space="preserve">the </w:t>
      </w:r>
      <w:r w:rsidR="004634E5" w:rsidRPr="005455A3">
        <w:rPr>
          <w:rFonts w:cs="Times New Roman"/>
          <w:sz w:val="22"/>
        </w:rPr>
        <w:t xml:space="preserve">above issue, this thesis aims to </w:t>
      </w:r>
      <w:r w:rsidR="00EE040E" w:rsidRPr="005455A3">
        <w:rPr>
          <w:rFonts w:cs="Times New Roman"/>
          <w:sz w:val="22"/>
        </w:rPr>
        <w:t>improve</w:t>
      </w:r>
      <w:r w:rsidR="004634E5" w:rsidRPr="005455A3">
        <w:rPr>
          <w:rFonts w:cs="Times New Roman"/>
          <w:sz w:val="22"/>
        </w:rPr>
        <w:t xml:space="preserve"> the quality of stakeholder</w:t>
      </w:r>
      <w:r w:rsidR="006D03AA">
        <w:rPr>
          <w:rFonts w:cs="Times New Roman"/>
          <w:sz w:val="22"/>
        </w:rPr>
        <w:t>s</w:t>
      </w:r>
      <w:r w:rsidR="004634E5" w:rsidRPr="005455A3">
        <w:rPr>
          <w:rFonts w:cs="Times New Roman"/>
          <w:sz w:val="22"/>
        </w:rPr>
        <w:t xml:space="preserve"> engagement during UCC planning, which enables the concerns and objectives of different stakeholders </w:t>
      </w:r>
      <w:r w:rsidR="00E5627E" w:rsidRPr="005455A3">
        <w:rPr>
          <w:rFonts w:cs="Times New Roman"/>
          <w:sz w:val="22"/>
        </w:rPr>
        <w:t>to be</w:t>
      </w:r>
      <w:r w:rsidR="004634E5" w:rsidRPr="005455A3">
        <w:rPr>
          <w:rFonts w:cs="Times New Roman"/>
          <w:sz w:val="22"/>
        </w:rPr>
        <w:t xml:space="preserve"> well considered. Based on this, the UCC can be designed reasonably to </w:t>
      </w:r>
      <w:r w:rsidR="00715469" w:rsidRPr="005455A3">
        <w:rPr>
          <w:rFonts w:cs="Times New Roman"/>
          <w:sz w:val="22"/>
        </w:rPr>
        <w:t>satisfy</w:t>
      </w:r>
      <w:r w:rsidR="004634E5" w:rsidRPr="005455A3">
        <w:rPr>
          <w:rFonts w:cs="Times New Roman"/>
          <w:sz w:val="22"/>
        </w:rPr>
        <w:t xml:space="preserve"> the </w:t>
      </w:r>
      <w:r w:rsidR="00715469" w:rsidRPr="005455A3">
        <w:rPr>
          <w:rFonts w:cs="Times New Roman"/>
          <w:sz w:val="22"/>
        </w:rPr>
        <w:t>requirement</w:t>
      </w:r>
      <w:r w:rsidR="004634E5" w:rsidRPr="005455A3">
        <w:rPr>
          <w:rFonts w:cs="Times New Roman"/>
          <w:sz w:val="22"/>
        </w:rPr>
        <w:t xml:space="preserve">s of </w:t>
      </w:r>
      <w:r w:rsidR="0087336D" w:rsidRPr="005455A3">
        <w:rPr>
          <w:rFonts w:cs="Times New Roman"/>
          <w:sz w:val="22"/>
        </w:rPr>
        <w:t>various</w:t>
      </w:r>
      <w:r w:rsidR="004634E5" w:rsidRPr="005455A3">
        <w:rPr>
          <w:rFonts w:cs="Times New Roman"/>
          <w:sz w:val="22"/>
        </w:rPr>
        <w:t xml:space="preserve"> stakeholders</w:t>
      </w:r>
      <w:r w:rsidR="0087336D" w:rsidRPr="005455A3">
        <w:rPr>
          <w:rFonts w:cs="Times New Roman"/>
          <w:sz w:val="22"/>
        </w:rPr>
        <w:t>,</w:t>
      </w:r>
      <w:r w:rsidR="00320B6F" w:rsidRPr="005455A3">
        <w:rPr>
          <w:rFonts w:cs="Times New Roman"/>
          <w:sz w:val="22"/>
        </w:rPr>
        <w:t xml:space="preserve"> </w:t>
      </w:r>
      <w:r w:rsidR="00651F94" w:rsidRPr="005455A3">
        <w:rPr>
          <w:rFonts w:cs="Times New Roman"/>
          <w:sz w:val="22"/>
        </w:rPr>
        <w:t xml:space="preserve">thus </w:t>
      </w:r>
      <w:r w:rsidR="00135FAB" w:rsidRPr="005455A3">
        <w:rPr>
          <w:rFonts w:cs="Times New Roman"/>
          <w:sz w:val="22"/>
        </w:rPr>
        <w:t>attract</w:t>
      </w:r>
      <w:r w:rsidR="00CE2041">
        <w:rPr>
          <w:rFonts w:cs="Times New Roman"/>
          <w:sz w:val="22"/>
        </w:rPr>
        <w:t>ing</w:t>
      </w:r>
      <w:r w:rsidR="00320B6F" w:rsidRPr="005455A3">
        <w:rPr>
          <w:rFonts w:cs="Times New Roman"/>
          <w:sz w:val="22"/>
        </w:rPr>
        <w:t xml:space="preserve"> </w:t>
      </w:r>
      <w:r w:rsidR="00651F94" w:rsidRPr="005455A3">
        <w:rPr>
          <w:rFonts w:cs="Times New Roman"/>
          <w:sz w:val="22"/>
        </w:rPr>
        <w:t xml:space="preserve">private </w:t>
      </w:r>
      <w:r w:rsidR="00320B6F" w:rsidRPr="005455A3">
        <w:rPr>
          <w:rFonts w:cs="Times New Roman"/>
          <w:sz w:val="22"/>
        </w:rPr>
        <w:t xml:space="preserve">stakeholders </w:t>
      </w:r>
      <w:r w:rsidR="002A37F9">
        <w:rPr>
          <w:rFonts w:cs="Times New Roman"/>
          <w:sz w:val="22"/>
        </w:rPr>
        <w:t>to join</w:t>
      </w:r>
      <w:r w:rsidR="00651F94" w:rsidRPr="005455A3">
        <w:rPr>
          <w:rFonts w:cs="Times New Roman"/>
          <w:sz w:val="22"/>
        </w:rPr>
        <w:t xml:space="preserve"> the project</w:t>
      </w:r>
      <w:r w:rsidR="00320B6F" w:rsidRPr="005455A3">
        <w:rPr>
          <w:rFonts w:cs="Times New Roman"/>
          <w:sz w:val="22"/>
        </w:rPr>
        <w:t>.</w:t>
      </w:r>
      <w:r w:rsidR="009126B9" w:rsidRPr="005455A3">
        <w:rPr>
          <w:rFonts w:cs="Times New Roman"/>
          <w:sz w:val="22"/>
        </w:rPr>
        <w:t xml:space="preserve"> </w:t>
      </w:r>
    </w:p>
    <w:p w14:paraId="47330E64" w14:textId="65AEBAEC" w:rsidR="00812C3E" w:rsidRPr="005455A3" w:rsidRDefault="004634E5" w:rsidP="004634E5">
      <w:pPr>
        <w:spacing w:before="156" w:after="240" w:line="360" w:lineRule="auto"/>
        <w:rPr>
          <w:rFonts w:cs="Times New Roman"/>
          <w:sz w:val="22"/>
        </w:rPr>
      </w:pPr>
      <w:r w:rsidRPr="005455A3">
        <w:rPr>
          <w:rFonts w:cs="Times New Roman"/>
          <w:sz w:val="22"/>
        </w:rPr>
        <w:t xml:space="preserve">This thesis </w:t>
      </w:r>
      <w:r w:rsidR="00DF061C">
        <w:rPr>
          <w:rFonts w:cs="Times New Roman"/>
          <w:sz w:val="22"/>
        </w:rPr>
        <w:t>comprise</w:t>
      </w:r>
      <w:r w:rsidRPr="005455A3">
        <w:rPr>
          <w:rFonts w:cs="Times New Roman"/>
          <w:sz w:val="22"/>
        </w:rPr>
        <w:t>s four sections</w:t>
      </w:r>
      <w:r w:rsidR="0087336D" w:rsidRPr="005455A3">
        <w:rPr>
          <w:rFonts w:cs="Times New Roman"/>
          <w:sz w:val="22"/>
        </w:rPr>
        <w:t>.</w:t>
      </w:r>
      <w:r w:rsidRPr="005455A3">
        <w:rPr>
          <w:rFonts w:cs="Times New Roman"/>
          <w:sz w:val="22"/>
        </w:rPr>
        <w:t xml:space="preserve"> </w:t>
      </w:r>
      <w:r w:rsidR="0087336D" w:rsidRPr="005455A3">
        <w:rPr>
          <w:rFonts w:cs="Times New Roman"/>
          <w:sz w:val="22"/>
        </w:rPr>
        <w:t>I</w:t>
      </w:r>
      <w:r w:rsidRPr="005455A3">
        <w:rPr>
          <w:rFonts w:cs="Times New Roman"/>
          <w:sz w:val="22"/>
        </w:rPr>
        <w:t>n the first section, a formula</w:t>
      </w:r>
      <w:r w:rsidR="00756D1D" w:rsidRPr="005455A3">
        <w:rPr>
          <w:rFonts w:cs="Times New Roman"/>
          <w:sz w:val="22"/>
        </w:rPr>
        <w:t>-</w:t>
      </w:r>
      <w:r w:rsidRPr="005455A3">
        <w:rPr>
          <w:rFonts w:cs="Times New Roman"/>
          <w:sz w:val="22"/>
        </w:rPr>
        <w:t xml:space="preserve">based cost structure is designed to </w:t>
      </w:r>
      <w:r w:rsidR="00AF70D2" w:rsidRPr="005455A3">
        <w:rPr>
          <w:rFonts w:cs="Times New Roman"/>
          <w:sz w:val="22"/>
        </w:rPr>
        <w:t>enable</w:t>
      </w:r>
      <w:r w:rsidRPr="005455A3">
        <w:rPr>
          <w:rFonts w:cs="Times New Roman"/>
          <w:sz w:val="22"/>
        </w:rPr>
        <w:t xml:space="preserve"> planners </w:t>
      </w:r>
      <w:r w:rsidR="009C00BF" w:rsidRPr="005455A3">
        <w:rPr>
          <w:rFonts w:cs="Times New Roman"/>
          <w:sz w:val="22"/>
        </w:rPr>
        <w:t>to</w:t>
      </w:r>
      <w:r w:rsidRPr="005455A3">
        <w:rPr>
          <w:rFonts w:cs="Times New Roman"/>
          <w:sz w:val="22"/>
        </w:rPr>
        <w:t xml:space="preserve"> estimate the financial performance of UCC</w:t>
      </w:r>
      <w:r w:rsidR="00386237">
        <w:rPr>
          <w:rFonts w:cs="Times New Roman"/>
          <w:sz w:val="22"/>
        </w:rPr>
        <w:t>s</w:t>
      </w:r>
      <w:r w:rsidRPr="005455A3">
        <w:rPr>
          <w:rFonts w:cs="Times New Roman"/>
          <w:sz w:val="22"/>
        </w:rPr>
        <w:t xml:space="preserve"> in the project formulating phrase. The second section </w:t>
      </w:r>
      <w:r w:rsidR="00F0621B" w:rsidRPr="005455A3">
        <w:rPr>
          <w:rFonts w:cs="Times New Roman"/>
          <w:sz w:val="22"/>
        </w:rPr>
        <w:t xml:space="preserve">is </w:t>
      </w:r>
      <w:r w:rsidRPr="005455A3">
        <w:rPr>
          <w:rFonts w:cs="Times New Roman"/>
          <w:sz w:val="22"/>
        </w:rPr>
        <w:t>based on four different UCC models in Sweden and China. This section reveals the result of stakeholders engagement</w:t>
      </w:r>
      <w:r w:rsidR="007E6C14" w:rsidRPr="005455A3">
        <w:rPr>
          <w:rFonts w:cs="Times New Roman"/>
          <w:sz w:val="22"/>
        </w:rPr>
        <w:t xml:space="preserve"> in terms of</w:t>
      </w:r>
      <w:r w:rsidRPr="005455A3">
        <w:rPr>
          <w:rFonts w:cs="Times New Roman"/>
          <w:sz w:val="22"/>
        </w:rPr>
        <w:t xml:space="preserve"> the stakeholders</w:t>
      </w:r>
      <w:r w:rsidR="00870080" w:rsidRPr="005455A3">
        <w:rPr>
          <w:rFonts w:cs="Times New Roman"/>
          <w:sz w:val="22"/>
        </w:rPr>
        <w:t>'</w:t>
      </w:r>
      <w:r w:rsidRPr="005455A3">
        <w:rPr>
          <w:rFonts w:cs="Times New Roman"/>
          <w:sz w:val="22"/>
        </w:rPr>
        <w:t xml:space="preserve"> objectives, users’ needs, value propositions of UCCs’ services</w:t>
      </w:r>
      <w:r w:rsidR="007E6C14" w:rsidRPr="005455A3">
        <w:rPr>
          <w:rFonts w:cs="Times New Roman"/>
          <w:sz w:val="22"/>
        </w:rPr>
        <w:t>,</w:t>
      </w:r>
      <w:r w:rsidRPr="005455A3">
        <w:rPr>
          <w:rFonts w:cs="Times New Roman"/>
          <w:sz w:val="22"/>
        </w:rPr>
        <w:t xml:space="preserve"> and the stakeholders</w:t>
      </w:r>
      <w:r w:rsidR="00870080" w:rsidRPr="005455A3">
        <w:rPr>
          <w:rFonts w:cs="Times New Roman"/>
          <w:sz w:val="22"/>
        </w:rPr>
        <w:t>'</w:t>
      </w:r>
      <w:r w:rsidRPr="005455A3">
        <w:rPr>
          <w:rFonts w:cs="Times New Roman"/>
          <w:sz w:val="22"/>
        </w:rPr>
        <w:t xml:space="preserve"> partnerships in these UCCs. I</w:t>
      </w:r>
      <w:r w:rsidRPr="005455A3">
        <w:rPr>
          <w:rFonts w:cs="Times New Roman" w:hint="eastAsia"/>
          <w:sz w:val="22"/>
        </w:rPr>
        <w:t>t</w:t>
      </w:r>
      <w:r w:rsidRPr="005455A3">
        <w:rPr>
          <w:rFonts w:cs="Times New Roman"/>
          <w:sz w:val="22"/>
        </w:rPr>
        <w:t xml:space="preserve"> provides an insight </w:t>
      </w:r>
      <w:r w:rsidR="00C91769" w:rsidRPr="005455A3">
        <w:rPr>
          <w:rFonts w:cs="Times New Roman"/>
          <w:sz w:val="22"/>
        </w:rPr>
        <w:t xml:space="preserve">into </w:t>
      </w:r>
      <w:r w:rsidRPr="005455A3">
        <w:rPr>
          <w:rFonts w:cs="Times New Roman"/>
          <w:sz w:val="22"/>
        </w:rPr>
        <w:t xml:space="preserve">how to design UCCs </w:t>
      </w:r>
      <w:r w:rsidR="0013773A">
        <w:rPr>
          <w:rFonts w:cs="Times New Roman"/>
          <w:sz w:val="22"/>
        </w:rPr>
        <w:t xml:space="preserve">so </w:t>
      </w:r>
      <w:r w:rsidRPr="005455A3">
        <w:rPr>
          <w:rFonts w:cs="Times New Roman"/>
          <w:sz w:val="22"/>
        </w:rPr>
        <w:t xml:space="preserve">that </w:t>
      </w:r>
      <w:r w:rsidR="0013773A">
        <w:rPr>
          <w:rFonts w:cs="Times New Roman"/>
          <w:sz w:val="22"/>
        </w:rPr>
        <w:t xml:space="preserve">they </w:t>
      </w:r>
      <w:r w:rsidRPr="005455A3">
        <w:rPr>
          <w:rFonts w:cs="Times New Roman"/>
          <w:sz w:val="22"/>
        </w:rPr>
        <w:t xml:space="preserve">can generate benefits for different stakeholders. </w:t>
      </w:r>
      <w:r w:rsidR="0042275E" w:rsidRPr="005455A3">
        <w:rPr>
          <w:rFonts w:cs="Times New Roman"/>
          <w:sz w:val="22"/>
        </w:rPr>
        <w:t>I</w:t>
      </w:r>
      <w:r w:rsidR="00CB76FE" w:rsidRPr="005455A3">
        <w:rPr>
          <w:rFonts w:cs="Times New Roman"/>
          <w:sz w:val="22"/>
        </w:rPr>
        <w:t xml:space="preserve">n the </w:t>
      </w:r>
      <w:r w:rsidR="00927B07" w:rsidRPr="005455A3">
        <w:rPr>
          <w:rFonts w:cs="Times New Roman"/>
          <w:sz w:val="22"/>
        </w:rPr>
        <w:t xml:space="preserve">third </w:t>
      </w:r>
      <w:r w:rsidR="00CB76FE" w:rsidRPr="005455A3">
        <w:rPr>
          <w:rFonts w:cs="Times New Roman"/>
          <w:sz w:val="22"/>
        </w:rPr>
        <w:t>section,</w:t>
      </w:r>
      <w:r w:rsidR="0042275E" w:rsidRPr="005455A3">
        <w:rPr>
          <w:rFonts w:cs="Times New Roman"/>
          <w:sz w:val="22"/>
        </w:rPr>
        <w:t xml:space="preserve"> also based on</w:t>
      </w:r>
      <w:r w:rsidR="003E5046" w:rsidRPr="005455A3">
        <w:rPr>
          <w:rFonts w:cs="Times New Roman"/>
          <w:sz w:val="22"/>
        </w:rPr>
        <w:t xml:space="preserve"> the</w:t>
      </w:r>
      <w:r w:rsidR="0042275E" w:rsidRPr="005455A3">
        <w:rPr>
          <w:rFonts w:cs="Times New Roman"/>
          <w:sz w:val="22"/>
        </w:rPr>
        <w:t xml:space="preserve"> </w:t>
      </w:r>
      <w:r w:rsidR="00536675" w:rsidRPr="005455A3">
        <w:rPr>
          <w:rFonts w:cs="Times New Roman"/>
          <w:sz w:val="22"/>
        </w:rPr>
        <w:t>above</w:t>
      </w:r>
      <w:r w:rsidR="0042275E" w:rsidRPr="005455A3">
        <w:rPr>
          <w:rFonts w:cs="Times New Roman"/>
          <w:sz w:val="22"/>
        </w:rPr>
        <w:t xml:space="preserve"> four UCCs, </w:t>
      </w:r>
      <w:r w:rsidRPr="005455A3">
        <w:rPr>
          <w:rFonts w:cs="Times New Roman"/>
          <w:sz w:val="22"/>
        </w:rPr>
        <w:t>a mix-method approach is implemented to evaluate the divergence of conflicts between different stakeholders and identify the reasons for these conflicts.</w:t>
      </w:r>
      <w:r w:rsidR="00330176" w:rsidRPr="005455A3">
        <w:rPr>
          <w:rFonts w:cs="Times New Roman"/>
          <w:sz w:val="22"/>
        </w:rPr>
        <w:t xml:space="preserve"> </w:t>
      </w:r>
      <w:r w:rsidRPr="005455A3">
        <w:rPr>
          <w:rFonts w:cs="Times New Roman"/>
          <w:sz w:val="22"/>
        </w:rPr>
        <w:t xml:space="preserve">The </w:t>
      </w:r>
      <w:r w:rsidR="00A16A73" w:rsidRPr="005455A3">
        <w:rPr>
          <w:rFonts w:cs="Times New Roman"/>
          <w:sz w:val="22"/>
        </w:rPr>
        <w:t>fourth</w:t>
      </w:r>
      <w:r w:rsidRPr="005455A3">
        <w:rPr>
          <w:rFonts w:cs="Times New Roman"/>
          <w:sz w:val="22"/>
        </w:rPr>
        <w:t xml:space="preserve"> section aims to use the cost allocation method to mitigate the financial burden of UCC</w:t>
      </w:r>
      <w:r w:rsidR="00834DEB">
        <w:rPr>
          <w:rFonts w:cs="Times New Roman"/>
          <w:sz w:val="22"/>
        </w:rPr>
        <w:t>s</w:t>
      </w:r>
      <w:r w:rsidR="003D0DB1" w:rsidRPr="005455A3">
        <w:rPr>
          <w:rFonts w:cs="Times New Roman"/>
          <w:sz w:val="22"/>
        </w:rPr>
        <w:t xml:space="preserve"> </w:t>
      </w:r>
      <w:r w:rsidR="00CA286A" w:rsidRPr="005455A3">
        <w:rPr>
          <w:rFonts w:cs="Times New Roman"/>
          <w:sz w:val="22"/>
        </w:rPr>
        <w:t xml:space="preserve">that </w:t>
      </w:r>
      <w:r w:rsidR="006C7460">
        <w:rPr>
          <w:rFonts w:cs="Times New Roman"/>
          <w:sz w:val="22"/>
        </w:rPr>
        <w:t xml:space="preserve">are </w:t>
      </w:r>
      <w:r w:rsidRPr="005455A3">
        <w:rPr>
          <w:rFonts w:cs="Times New Roman"/>
          <w:sz w:val="22"/>
        </w:rPr>
        <w:t>caused by insufficient users. Three kinds of cost allocation rules are proposed, the results illustrate that UCC</w:t>
      </w:r>
      <w:r w:rsidR="00BC7D00">
        <w:rPr>
          <w:rFonts w:cs="Times New Roman"/>
          <w:sz w:val="22"/>
        </w:rPr>
        <w:t>s</w:t>
      </w:r>
      <w:r w:rsidRPr="005455A3">
        <w:rPr>
          <w:rFonts w:cs="Times New Roman"/>
          <w:sz w:val="22"/>
        </w:rPr>
        <w:t xml:space="preserve"> can benefit from the designed cost allocation </w:t>
      </w:r>
      <w:r w:rsidRPr="005455A3">
        <w:rPr>
          <w:sz w:val="22"/>
        </w:rPr>
        <w:t xml:space="preserve">mechanism through incentivising stakeholders’ participation in UCC projects. </w:t>
      </w:r>
      <w:r w:rsidR="00452550">
        <w:rPr>
          <w:sz w:val="22"/>
        </w:rPr>
        <w:t>The l</w:t>
      </w:r>
      <w:r w:rsidRPr="005455A3">
        <w:rPr>
          <w:sz w:val="22"/>
        </w:rPr>
        <w:t xml:space="preserve">ast section </w:t>
      </w:r>
      <w:r w:rsidR="00BC4DF1">
        <w:rPr>
          <w:sz w:val="22"/>
        </w:rPr>
        <w:t>introduces</w:t>
      </w:r>
      <w:r w:rsidRPr="005455A3">
        <w:rPr>
          <w:sz w:val="22"/>
        </w:rPr>
        <w:t xml:space="preserve"> </w:t>
      </w:r>
      <w:r w:rsidR="00764938" w:rsidRPr="005455A3">
        <w:rPr>
          <w:sz w:val="22"/>
        </w:rPr>
        <w:t>a</w:t>
      </w:r>
      <w:r w:rsidRPr="005455A3">
        <w:rPr>
          <w:sz w:val="22"/>
        </w:rPr>
        <w:t xml:space="preserve"> decision-making tool</w:t>
      </w:r>
      <w:r w:rsidR="00CD58CD" w:rsidRPr="005455A3">
        <w:rPr>
          <w:sz w:val="22"/>
        </w:rPr>
        <w:t xml:space="preserve">, </w:t>
      </w:r>
      <w:r w:rsidR="00721FD9" w:rsidRPr="005455A3">
        <w:rPr>
          <w:sz w:val="22"/>
        </w:rPr>
        <w:t>which</w:t>
      </w:r>
      <w:r w:rsidR="00CA286A" w:rsidRPr="005455A3">
        <w:rPr>
          <w:sz w:val="22"/>
        </w:rPr>
        <w:t xml:space="preserve"> could</w:t>
      </w:r>
      <w:r w:rsidR="00721FD9" w:rsidRPr="005455A3">
        <w:rPr>
          <w:sz w:val="22"/>
        </w:rPr>
        <w:t xml:space="preserve"> display</w:t>
      </w:r>
      <w:r w:rsidR="00CD58CD" w:rsidRPr="005455A3">
        <w:rPr>
          <w:sz w:val="22"/>
        </w:rPr>
        <w:t xml:space="preserve"> the cost details of different UCC scenarios</w:t>
      </w:r>
      <w:r w:rsidR="00BC4DF1">
        <w:rPr>
          <w:sz w:val="22"/>
        </w:rPr>
        <w:t>,</w:t>
      </w:r>
      <w:r w:rsidR="0042322F" w:rsidRPr="005455A3">
        <w:rPr>
          <w:sz w:val="22"/>
        </w:rPr>
        <w:t xml:space="preserve"> thus promot</w:t>
      </w:r>
      <w:r w:rsidR="00BC4DF1">
        <w:rPr>
          <w:sz w:val="22"/>
        </w:rPr>
        <w:t>ing</w:t>
      </w:r>
      <w:r w:rsidR="0042322F" w:rsidRPr="005455A3">
        <w:rPr>
          <w:sz w:val="22"/>
        </w:rPr>
        <w:t xml:space="preserve"> </w:t>
      </w:r>
      <w:r w:rsidR="006C1E5C" w:rsidRPr="005455A3">
        <w:rPr>
          <w:sz w:val="22"/>
        </w:rPr>
        <w:t xml:space="preserve">the </w:t>
      </w:r>
      <w:r w:rsidR="0042322F" w:rsidRPr="005455A3">
        <w:rPr>
          <w:sz w:val="22"/>
        </w:rPr>
        <w:t xml:space="preserve">strategic design of a </w:t>
      </w:r>
      <w:proofErr w:type="gramStart"/>
      <w:r w:rsidR="0042322F" w:rsidRPr="005455A3">
        <w:rPr>
          <w:sz w:val="22"/>
        </w:rPr>
        <w:t>UCC</w:t>
      </w:r>
      <w:proofErr w:type="gramEnd"/>
    </w:p>
    <w:p w14:paraId="7F0C3AF6" w14:textId="458CD8D7" w:rsidR="00A01B23" w:rsidRPr="005455A3" w:rsidRDefault="00982ACC" w:rsidP="00ED7806">
      <w:pPr>
        <w:spacing w:before="156" w:after="240" w:line="360" w:lineRule="auto"/>
        <w:rPr>
          <w:sz w:val="22"/>
        </w:rPr>
      </w:pPr>
      <w:r w:rsidRPr="005455A3">
        <w:rPr>
          <w:sz w:val="22"/>
        </w:rPr>
        <w:t xml:space="preserve">This thesis contributes to both theoretical and practical aspects. For the theoretical contribution, </w:t>
      </w:r>
      <w:r w:rsidR="007879FA" w:rsidRPr="005455A3">
        <w:rPr>
          <w:sz w:val="22"/>
        </w:rPr>
        <w:t>through the comparison</w:t>
      </w:r>
      <w:r w:rsidR="00E57D00" w:rsidRPr="005455A3">
        <w:rPr>
          <w:sz w:val="22"/>
        </w:rPr>
        <w:t xml:space="preserve"> of four successful UCCs, </w:t>
      </w:r>
      <w:r w:rsidR="00972E95" w:rsidRPr="005455A3">
        <w:rPr>
          <w:sz w:val="22"/>
        </w:rPr>
        <w:t>presented</w:t>
      </w:r>
      <w:r w:rsidR="00D56CFA" w:rsidRPr="005455A3">
        <w:rPr>
          <w:sz w:val="22"/>
        </w:rPr>
        <w:t xml:space="preserve"> evidence</w:t>
      </w:r>
      <w:r w:rsidR="00972E95" w:rsidRPr="005455A3">
        <w:rPr>
          <w:sz w:val="22"/>
        </w:rPr>
        <w:t xml:space="preserve"> </w:t>
      </w:r>
      <w:r w:rsidR="003347A8" w:rsidRPr="005455A3">
        <w:rPr>
          <w:sz w:val="22"/>
        </w:rPr>
        <w:t xml:space="preserve">is coherent with </w:t>
      </w:r>
      <w:r w:rsidR="00DD1ECD" w:rsidRPr="005455A3">
        <w:rPr>
          <w:sz w:val="22"/>
        </w:rPr>
        <w:t>the view</w:t>
      </w:r>
      <w:r w:rsidR="00972E95" w:rsidRPr="005455A3">
        <w:rPr>
          <w:sz w:val="22"/>
        </w:rPr>
        <w:t xml:space="preserve"> that </w:t>
      </w:r>
      <w:r w:rsidR="004575E4" w:rsidRPr="005455A3">
        <w:rPr>
          <w:sz w:val="22"/>
        </w:rPr>
        <w:t xml:space="preserve">a sound UCC project </w:t>
      </w:r>
      <w:r w:rsidR="007879FA" w:rsidRPr="005455A3">
        <w:rPr>
          <w:sz w:val="22"/>
        </w:rPr>
        <w:t xml:space="preserve">can </w:t>
      </w:r>
      <w:r w:rsidR="00E57D00" w:rsidRPr="005455A3">
        <w:rPr>
          <w:sz w:val="22"/>
        </w:rPr>
        <w:t>benefit all the stakeholders</w:t>
      </w:r>
      <w:r w:rsidR="00716C99" w:rsidRPr="005455A3">
        <w:rPr>
          <w:sz w:val="22"/>
        </w:rPr>
        <w:t xml:space="preserve"> based on the stakeholders</w:t>
      </w:r>
      <w:r w:rsidR="001944C4">
        <w:rPr>
          <w:sz w:val="22"/>
        </w:rPr>
        <w:t>’</w:t>
      </w:r>
      <w:r w:rsidR="00716C99" w:rsidRPr="005455A3">
        <w:rPr>
          <w:sz w:val="22"/>
        </w:rPr>
        <w:t xml:space="preserve"> engagement</w:t>
      </w:r>
      <w:r w:rsidR="00E57D00" w:rsidRPr="005455A3">
        <w:rPr>
          <w:sz w:val="22"/>
        </w:rPr>
        <w:t>.</w:t>
      </w:r>
      <w:r w:rsidR="00483CB0" w:rsidRPr="005455A3">
        <w:rPr>
          <w:sz w:val="22"/>
        </w:rPr>
        <w:t xml:space="preserve"> </w:t>
      </w:r>
      <w:r w:rsidR="00E57D00" w:rsidRPr="005455A3">
        <w:rPr>
          <w:sz w:val="22"/>
        </w:rPr>
        <w:t xml:space="preserve">Furthermore, </w:t>
      </w:r>
      <w:r w:rsidR="00DC7603" w:rsidRPr="005455A3">
        <w:rPr>
          <w:sz w:val="22"/>
        </w:rPr>
        <w:t xml:space="preserve">the </w:t>
      </w:r>
      <w:r w:rsidR="00DC7603" w:rsidRPr="005455A3">
        <w:rPr>
          <w:sz w:val="22"/>
        </w:rPr>
        <w:lastRenderedPageBreak/>
        <w:t xml:space="preserve">findings can contribute to a better understanding of </w:t>
      </w:r>
      <w:r w:rsidR="00260D64">
        <w:rPr>
          <w:sz w:val="22"/>
        </w:rPr>
        <w:t xml:space="preserve">the </w:t>
      </w:r>
      <w:r w:rsidR="00194484" w:rsidRPr="005455A3">
        <w:rPr>
          <w:sz w:val="22"/>
        </w:rPr>
        <w:t>exposing</w:t>
      </w:r>
      <w:r w:rsidR="00387516" w:rsidRPr="005455A3">
        <w:rPr>
          <w:sz w:val="22"/>
        </w:rPr>
        <w:t xml:space="preserve"> and addressing</w:t>
      </w:r>
      <w:r w:rsidR="00ED6CA4">
        <w:rPr>
          <w:sz w:val="22"/>
        </w:rPr>
        <w:t xml:space="preserve"> of</w:t>
      </w:r>
      <w:r w:rsidR="00387516" w:rsidRPr="005455A3">
        <w:rPr>
          <w:sz w:val="22"/>
        </w:rPr>
        <w:t xml:space="preserve"> the disagreement</w:t>
      </w:r>
      <w:r w:rsidR="003A073B">
        <w:rPr>
          <w:sz w:val="22"/>
        </w:rPr>
        <w:t xml:space="preserve">s between </w:t>
      </w:r>
      <w:r w:rsidR="00387516" w:rsidRPr="005455A3">
        <w:rPr>
          <w:sz w:val="22"/>
        </w:rPr>
        <w:t>stakeholders</w:t>
      </w:r>
      <w:r w:rsidR="00EA47FE">
        <w:rPr>
          <w:sz w:val="22"/>
        </w:rPr>
        <w:t>’</w:t>
      </w:r>
      <w:r w:rsidR="00387516" w:rsidRPr="005455A3">
        <w:rPr>
          <w:sz w:val="22"/>
        </w:rPr>
        <w:t xml:space="preserve"> preference</w:t>
      </w:r>
      <w:r w:rsidR="00EA47FE">
        <w:rPr>
          <w:sz w:val="22"/>
        </w:rPr>
        <w:t>s</w:t>
      </w:r>
      <w:r w:rsidR="006A6207" w:rsidRPr="005455A3">
        <w:rPr>
          <w:sz w:val="22"/>
        </w:rPr>
        <w:t xml:space="preserve"> during stakeholders</w:t>
      </w:r>
      <w:r w:rsidR="00D60D37">
        <w:rPr>
          <w:sz w:val="22"/>
        </w:rPr>
        <w:t>’</w:t>
      </w:r>
      <w:r w:rsidR="006A6207" w:rsidRPr="005455A3">
        <w:rPr>
          <w:sz w:val="22"/>
        </w:rPr>
        <w:t xml:space="preserve"> engagement</w:t>
      </w:r>
      <w:r w:rsidR="00387516" w:rsidRPr="005455A3">
        <w:rPr>
          <w:sz w:val="22"/>
        </w:rPr>
        <w:t>.</w:t>
      </w:r>
      <w:r w:rsidR="008014D7" w:rsidRPr="005455A3">
        <w:rPr>
          <w:sz w:val="22"/>
        </w:rPr>
        <w:t xml:space="preserve"> </w:t>
      </w:r>
      <w:r w:rsidR="00721FD9" w:rsidRPr="005455A3">
        <w:rPr>
          <w:sz w:val="22"/>
        </w:rPr>
        <w:t xml:space="preserve">Lastly, </w:t>
      </w:r>
      <w:r w:rsidR="00A8444E" w:rsidRPr="005455A3">
        <w:rPr>
          <w:sz w:val="22"/>
        </w:rPr>
        <w:t>it</w:t>
      </w:r>
      <w:r w:rsidR="009A2B5E" w:rsidRPr="005455A3">
        <w:rPr>
          <w:sz w:val="22"/>
        </w:rPr>
        <w:t xml:space="preserve"> is evidently clear from the findings that </w:t>
      </w:r>
      <w:r w:rsidR="00721FD9" w:rsidRPr="005455A3">
        <w:rPr>
          <w:sz w:val="22"/>
        </w:rPr>
        <w:t>the</w:t>
      </w:r>
      <w:r w:rsidR="006A6207" w:rsidRPr="005455A3">
        <w:rPr>
          <w:sz w:val="22"/>
        </w:rPr>
        <w:t xml:space="preserve"> </w:t>
      </w:r>
      <w:r w:rsidR="006D37EF" w:rsidRPr="005455A3">
        <w:rPr>
          <w:sz w:val="22"/>
        </w:rPr>
        <w:t>cost allocation method</w:t>
      </w:r>
      <w:r w:rsidR="00D316D1" w:rsidRPr="005455A3">
        <w:rPr>
          <w:sz w:val="22"/>
        </w:rPr>
        <w:t xml:space="preserve"> successfully </w:t>
      </w:r>
      <w:r w:rsidR="00DC48E4" w:rsidRPr="005455A3">
        <w:rPr>
          <w:sz w:val="22"/>
        </w:rPr>
        <w:t>alleviates</w:t>
      </w:r>
      <w:r w:rsidR="00D316D1" w:rsidRPr="005455A3">
        <w:rPr>
          <w:sz w:val="22"/>
        </w:rPr>
        <w:t xml:space="preserve"> the financial burdens of UCC</w:t>
      </w:r>
      <w:r w:rsidR="001402A3">
        <w:rPr>
          <w:sz w:val="22"/>
        </w:rPr>
        <w:t>s</w:t>
      </w:r>
      <w:r w:rsidR="008867E9" w:rsidRPr="005455A3">
        <w:rPr>
          <w:sz w:val="22"/>
        </w:rPr>
        <w:t xml:space="preserve"> by </w:t>
      </w:r>
      <w:r w:rsidR="00BE45AB" w:rsidRPr="005455A3">
        <w:rPr>
          <w:sz w:val="22"/>
        </w:rPr>
        <w:t xml:space="preserve">fairly and efficiently </w:t>
      </w:r>
      <w:r w:rsidR="008867E9" w:rsidRPr="005455A3">
        <w:rPr>
          <w:sz w:val="22"/>
        </w:rPr>
        <w:t xml:space="preserve">sharing the cost to </w:t>
      </w:r>
      <w:r w:rsidR="002A6890" w:rsidRPr="005455A3">
        <w:rPr>
          <w:sz w:val="22"/>
        </w:rPr>
        <w:t>upstream and downstream stakeholders</w:t>
      </w:r>
      <w:r w:rsidR="006564FB" w:rsidRPr="005455A3">
        <w:rPr>
          <w:sz w:val="22"/>
        </w:rPr>
        <w:t xml:space="preserve">. </w:t>
      </w:r>
      <w:r w:rsidR="00E32657" w:rsidRPr="005455A3">
        <w:rPr>
          <w:sz w:val="22"/>
        </w:rPr>
        <w:t>For the practical contribution, the implemented methods</w:t>
      </w:r>
      <w:r w:rsidR="00C40E31" w:rsidRPr="005455A3">
        <w:rPr>
          <w:sz w:val="22"/>
        </w:rPr>
        <w:t xml:space="preserve"> and </w:t>
      </w:r>
      <w:r w:rsidR="002A6890" w:rsidRPr="005455A3">
        <w:rPr>
          <w:sz w:val="22"/>
        </w:rPr>
        <w:t>formulated</w:t>
      </w:r>
      <w:r w:rsidR="00E32657" w:rsidRPr="005455A3">
        <w:rPr>
          <w:sz w:val="22"/>
        </w:rPr>
        <w:t xml:space="preserve"> models</w:t>
      </w:r>
      <w:r w:rsidR="00B867B3">
        <w:rPr>
          <w:sz w:val="22"/>
        </w:rPr>
        <w:t xml:space="preserve"> can</w:t>
      </w:r>
      <w:r w:rsidR="002A6890" w:rsidRPr="005455A3">
        <w:rPr>
          <w:sz w:val="22"/>
        </w:rPr>
        <w:t xml:space="preserve"> </w:t>
      </w:r>
      <w:r w:rsidR="00E32657" w:rsidRPr="005455A3">
        <w:rPr>
          <w:sz w:val="22"/>
        </w:rPr>
        <w:t xml:space="preserve">be applied </w:t>
      </w:r>
      <w:r w:rsidR="00DC483B" w:rsidRPr="005455A3">
        <w:rPr>
          <w:sz w:val="22"/>
        </w:rPr>
        <w:t>as an instruction to</w:t>
      </w:r>
      <w:r w:rsidR="00E32657" w:rsidRPr="005455A3">
        <w:rPr>
          <w:sz w:val="22"/>
        </w:rPr>
        <w:t xml:space="preserve"> </w:t>
      </w:r>
      <w:r w:rsidR="00ED7806" w:rsidRPr="005455A3">
        <w:rPr>
          <w:sz w:val="22"/>
        </w:rPr>
        <w:t>promote</w:t>
      </w:r>
      <w:r w:rsidR="00576549">
        <w:rPr>
          <w:sz w:val="22"/>
        </w:rPr>
        <w:t xml:space="preserve"> </w:t>
      </w:r>
      <w:r w:rsidR="00ED7806" w:rsidRPr="005455A3">
        <w:rPr>
          <w:sz w:val="22"/>
        </w:rPr>
        <w:t>stakeholders</w:t>
      </w:r>
      <w:r w:rsidR="00AB6FEB">
        <w:rPr>
          <w:sz w:val="22"/>
        </w:rPr>
        <w:t>’</w:t>
      </w:r>
      <w:r w:rsidR="00ED7806" w:rsidRPr="005455A3">
        <w:rPr>
          <w:sz w:val="22"/>
        </w:rPr>
        <w:t xml:space="preserve"> engagement during the UCC planning</w:t>
      </w:r>
      <w:r w:rsidR="00C40E31" w:rsidRPr="005455A3">
        <w:rPr>
          <w:sz w:val="22"/>
        </w:rPr>
        <w:t>.</w:t>
      </w:r>
      <w:r w:rsidR="00182481" w:rsidRPr="005455A3">
        <w:rPr>
          <w:sz w:val="22"/>
        </w:rPr>
        <w:t xml:space="preserve"> </w:t>
      </w:r>
      <w:r w:rsidR="00C40E31" w:rsidRPr="005455A3">
        <w:rPr>
          <w:sz w:val="22"/>
        </w:rPr>
        <w:t xml:space="preserve">Furthermore, the </w:t>
      </w:r>
      <w:r w:rsidR="00C40E31" w:rsidRPr="005455A3">
        <w:rPr>
          <w:rFonts w:hint="eastAsia"/>
          <w:sz w:val="22"/>
        </w:rPr>
        <w:t>decision-making</w:t>
      </w:r>
      <w:r w:rsidR="00C40E31" w:rsidRPr="005455A3">
        <w:rPr>
          <w:sz w:val="22"/>
        </w:rPr>
        <w:t xml:space="preserve"> </w:t>
      </w:r>
      <w:r w:rsidR="00C40E31" w:rsidRPr="005455A3">
        <w:rPr>
          <w:rFonts w:hint="eastAsia"/>
          <w:sz w:val="22"/>
        </w:rPr>
        <w:t>tools</w:t>
      </w:r>
      <w:r w:rsidR="00C40E31" w:rsidRPr="005455A3">
        <w:rPr>
          <w:sz w:val="22"/>
        </w:rPr>
        <w:t xml:space="preserve"> enable </w:t>
      </w:r>
      <w:r w:rsidR="006A6700" w:rsidRPr="005455A3">
        <w:rPr>
          <w:sz w:val="22"/>
        </w:rPr>
        <w:t>decision-makers</w:t>
      </w:r>
      <w:r w:rsidR="00C40E31" w:rsidRPr="005455A3">
        <w:rPr>
          <w:sz w:val="22"/>
        </w:rPr>
        <w:t xml:space="preserve"> to </w:t>
      </w:r>
      <w:r w:rsidR="00721FD9" w:rsidRPr="005455A3">
        <w:rPr>
          <w:sz w:val="22"/>
        </w:rPr>
        <w:t>address the issues about cost control of UCC</w:t>
      </w:r>
      <w:r w:rsidR="00163270">
        <w:rPr>
          <w:sz w:val="22"/>
        </w:rPr>
        <w:t>s</w:t>
      </w:r>
      <w:r w:rsidR="00C40E31" w:rsidRPr="005455A3">
        <w:rPr>
          <w:sz w:val="22"/>
        </w:rPr>
        <w:t xml:space="preserve"> as early as </w:t>
      </w:r>
      <w:r w:rsidR="00AA62DA" w:rsidRPr="005455A3">
        <w:rPr>
          <w:sz w:val="22"/>
        </w:rPr>
        <w:t xml:space="preserve">the </w:t>
      </w:r>
      <w:r w:rsidR="006A6700" w:rsidRPr="005455A3">
        <w:rPr>
          <w:sz w:val="22"/>
        </w:rPr>
        <w:t xml:space="preserve">project </w:t>
      </w:r>
      <w:r w:rsidR="00C45E82" w:rsidRPr="005455A3">
        <w:rPr>
          <w:sz w:val="22"/>
        </w:rPr>
        <w:t>preliminary</w:t>
      </w:r>
      <w:r w:rsidR="006A6700" w:rsidRPr="005455A3">
        <w:rPr>
          <w:sz w:val="22"/>
        </w:rPr>
        <w:t xml:space="preserve"> stage. All </w:t>
      </w:r>
      <w:r w:rsidR="00182481" w:rsidRPr="005455A3">
        <w:rPr>
          <w:sz w:val="22"/>
        </w:rPr>
        <w:t xml:space="preserve">these factors can </w:t>
      </w:r>
      <w:r w:rsidR="00556E07" w:rsidRPr="005455A3">
        <w:rPr>
          <w:sz w:val="22"/>
        </w:rPr>
        <w:t>increase</w:t>
      </w:r>
      <w:r w:rsidR="00182481" w:rsidRPr="005455A3">
        <w:rPr>
          <w:sz w:val="22"/>
        </w:rPr>
        <w:t xml:space="preserve"> the success rate of </w:t>
      </w:r>
      <w:r w:rsidR="000133F1">
        <w:rPr>
          <w:sz w:val="22"/>
        </w:rPr>
        <w:t xml:space="preserve">a </w:t>
      </w:r>
      <w:r w:rsidR="00182481" w:rsidRPr="005455A3">
        <w:rPr>
          <w:sz w:val="22"/>
        </w:rPr>
        <w:t>UCC project.</w:t>
      </w:r>
    </w:p>
    <w:p w14:paraId="69579CE2" w14:textId="77777777" w:rsidR="00A01B23" w:rsidRDefault="00A01B23" w:rsidP="00A01B23">
      <w:pPr>
        <w:jc w:val="right"/>
        <w:rPr>
          <w:rFonts w:asciiTheme="majorBidi" w:hAnsiTheme="majorBidi" w:cstheme="majorBidi"/>
          <w:i/>
          <w:iCs/>
          <w:szCs w:val="24"/>
        </w:rPr>
      </w:pPr>
    </w:p>
    <w:p w14:paraId="1152EAA1" w14:textId="77777777" w:rsidR="00A01B23" w:rsidRDefault="00A01B23" w:rsidP="00A01B23">
      <w:pPr>
        <w:jc w:val="right"/>
        <w:rPr>
          <w:rFonts w:asciiTheme="majorBidi" w:hAnsiTheme="majorBidi" w:cstheme="majorBidi"/>
          <w:i/>
          <w:iCs/>
          <w:szCs w:val="24"/>
        </w:rPr>
      </w:pPr>
    </w:p>
    <w:p w14:paraId="184EF622" w14:textId="77777777" w:rsidR="00A01B23" w:rsidRDefault="00A01B23" w:rsidP="00A01B23">
      <w:pPr>
        <w:jc w:val="right"/>
        <w:rPr>
          <w:rFonts w:asciiTheme="majorBidi" w:hAnsiTheme="majorBidi" w:cstheme="majorBidi"/>
          <w:i/>
          <w:iCs/>
          <w:szCs w:val="24"/>
        </w:rPr>
      </w:pPr>
    </w:p>
    <w:p w14:paraId="0BFAA929" w14:textId="77777777" w:rsidR="00A01B23" w:rsidRDefault="00A01B23" w:rsidP="00A01B23">
      <w:pPr>
        <w:jc w:val="right"/>
        <w:rPr>
          <w:rFonts w:asciiTheme="majorBidi" w:hAnsiTheme="majorBidi" w:cstheme="majorBidi"/>
          <w:i/>
          <w:iCs/>
          <w:szCs w:val="24"/>
        </w:rPr>
      </w:pPr>
    </w:p>
    <w:p w14:paraId="6A80F1DE" w14:textId="77777777" w:rsidR="00A01B23" w:rsidRDefault="00A01B23" w:rsidP="00A01B23">
      <w:pPr>
        <w:jc w:val="right"/>
        <w:rPr>
          <w:rFonts w:asciiTheme="majorBidi" w:hAnsiTheme="majorBidi" w:cstheme="majorBidi"/>
          <w:i/>
          <w:iCs/>
          <w:szCs w:val="24"/>
        </w:rPr>
      </w:pPr>
    </w:p>
    <w:p w14:paraId="366FC07C" w14:textId="77777777" w:rsidR="00A01B23" w:rsidRDefault="00A01B23" w:rsidP="00A01B23">
      <w:pPr>
        <w:jc w:val="right"/>
        <w:rPr>
          <w:rFonts w:asciiTheme="majorBidi" w:hAnsiTheme="majorBidi" w:cstheme="majorBidi"/>
          <w:i/>
          <w:iCs/>
          <w:szCs w:val="24"/>
        </w:rPr>
      </w:pPr>
    </w:p>
    <w:p w14:paraId="213571E1" w14:textId="77777777" w:rsidR="00A01B23" w:rsidRDefault="00A01B23" w:rsidP="00A01B23">
      <w:pPr>
        <w:jc w:val="right"/>
        <w:rPr>
          <w:rFonts w:asciiTheme="majorBidi" w:hAnsiTheme="majorBidi" w:cstheme="majorBidi"/>
          <w:i/>
          <w:iCs/>
          <w:szCs w:val="24"/>
        </w:rPr>
      </w:pPr>
    </w:p>
    <w:p w14:paraId="7674CA61" w14:textId="77777777" w:rsidR="00A01B23" w:rsidRDefault="00A01B23" w:rsidP="00A01B23">
      <w:pPr>
        <w:jc w:val="right"/>
        <w:rPr>
          <w:rFonts w:asciiTheme="majorBidi" w:hAnsiTheme="majorBidi" w:cstheme="majorBidi"/>
          <w:i/>
          <w:iCs/>
          <w:szCs w:val="24"/>
        </w:rPr>
      </w:pPr>
    </w:p>
    <w:p w14:paraId="7DCB47C4" w14:textId="77777777" w:rsidR="00A01B23" w:rsidRDefault="00A01B23" w:rsidP="00A01B23">
      <w:pPr>
        <w:jc w:val="right"/>
        <w:rPr>
          <w:rFonts w:asciiTheme="majorBidi" w:hAnsiTheme="majorBidi" w:cstheme="majorBidi"/>
          <w:i/>
          <w:iCs/>
          <w:szCs w:val="24"/>
        </w:rPr>
      </w:pPr>
    </w:p>
    <w:p w14:paraId="3FC0FFF8" w14:textId="66F68E94" w:rsidR="00A01B23" w:rsidRPr="005862AC" w:rsidRDefault="00A01B23" w:rsidP="00A01B23">
      <w:pPr>
        <w:spacing w:line="240" w:lineRule="auto"/>
        <w:jc w:val="right"/>
        <w:rPr>
          <w:rFonts w:asciiTheme="majorBidi" w:hAnsiTheme="majorBidi" w:cstheme="majorBidi"/>
          <w:i/>
          <w:iCs/>
          <w:szCs w:val="24"/>
        </w:rPr>
      </w:pPr>
      <w:r>
        <w:rPr>
          <w:rFonts w:asciiTheme="majorBidi" w:hAnsiTheme="majorBidi" w:cstheme="majorBidi"/>
          <w:i/>
          <w:iCs/>
          <w:szCs w:val="24"/>
        </w:rPr>
        <w:t>Shucheng Luo</w:t>
      </w:r>
    </w:p>
    <w:p w14:paraId="6A28B16C" w14:textId="08F35D22" w:rsidR="00A01B23" w:rsidRPr="005862AC" w:rsidRDefault="00A01B23" w:rsidP="00A01B23">
      <w:pPr>
        <w:spacing w:line="240" w:lineRule="auto"/>
        <w:jc w:val="right"/>
        <w:rPr>
          <w:rFonts w:asciiTheme="majorBidi" w:hAnsiTheme="majorBidi" w:cstheme="majorBidi"/>
          <w:i/>
          <w:iCs/>
          <w:szCs w:val="24"/>
        </w:rPr>
      </w:pPr>
      <w:r>
        <w:rPr>
          <w:rFonts w:asciiTheme="majorBidi" w:hAnsiTheme="majorBidi" w:cstheme="majorBidi"/>
          <w:i/>
          <w:iCs/>
          <w:szCs w:val="24"/>
        </w:rPr>
        <w:t>September</w:t>
      </w:r>
      <w:r w:rsidRPr="005862AC">
        <w:rPr>
          <w:rFonts w:asciiTheme="majorBidi" w:hAnsiTheme="majorBidi" w:cstheme="majorBidi"/>
          <w:i/>
          <w:iCs/>
          <w:szCs w:val="24"/>
        </w:rPr>
        <w:t xml:space="preserve"> 20</w:t>
      </w:r>
      <w:r>
        <w:rPr>
          <w:rFonts w:asciiTheme="majorBidi" w:hAnsiTheme="majorBidi" w:cstheme="majorBidi"/>
          <w:i/>
          <w:iCs/>
          <w:szCs w:val="24"/>
        </w:rPr>
        <w:t>20</w:t>
      </w:r>
    </w:p>
    <w:p w14:paraId="58111BA6" w14:textId="441C12A8" w:rsidR="00C54647" w:rsidRDefault="00A01B23" w:rsidP="00A01B23">
      <w:pPr>
        <w:spacing w:after="240" w:line="240" w:lineRule="auto"/>
        <w:jc w:val="right"/>
      </w:pPr>
      <w:r w:rsidRPr="005862AC">
        <w:rPr>
          <w:rFonts w:asciiTheme="majorBidi" w:hAnsiTheme="majorBidi" w:cstheme="majorBidi"/>
          <w:i/>
          <w:iCs/>
          <w:szCs w:val="24"/>
        </w:rPr>
        <w:t>Sheffield University Management School</w:t>
      </w:r>
      <w:r>
        <w:t xml:space="preserve"> </w:t>
      </w:r>
      <w:r w:rsidR="00C54647">
        <w:br w:type="page"/>
      </w:r>
    </w:p>
    <w:p w14:paraId="3BCC6B4D" w14:textId="77777777" w:rsidR="001B4FBC" w:rsidRPr="001B4FBC" w:rsidRDefault="001B4FBC" w:rsidP="001B4FBC">
      <w:pPr>
        <w:pStyle w:val="Heading1"/>
        <w:numPr>
          <w:ilvl w:val="0"/>
          <w:numId w:val="0"/>
        </w:numPr>
        <w:ind w:left="431" w:hanging="431"/>
        <w:jc w:val="center"/>
      </w:pPr>
      <w:bookmarkStart w:id="9" w:name="_Toc532377594"/>
      <w:bookmarkStart w:id="10" w:name="_Toc532483363"/>
      <w:bookmarkStart w:id="11" w:name="_Toc13728022"/>
      <w:bookmarkStart w:id="12" w:name="_Toc66703163"/>
      <w:r w:rsidRPr="001B4FBC">
        <w:lastRenderedPageBreak/>
        <w:t>Acknowledgement</w:t>
      </w:r>
      <w:bookmarkEnd w:id="9"/>
      <w:bookmarkEnd w:id="10"/>
      <w:bookmarkEnd w:id="11"/>
      <w:bookmarkEnd w:id="12"/>
    </w:p>
    <w:p w14:paraId="68434B25" w14:textId="33E13C5A" w:rsidR="000C3440" w:rsidRPr="003800BB" w:rsidRDefault="00697556" w:rsidP="00C52F71">
      <w:pPr>
        <w:spacing w:after="240" w:line="360" w:lineRule="auto"/>
        <w:rPr>
          <w:rFonts w:cs="Times New Roman"/>
          <w:sz w:val="22"/>
        </w:rPr>
      </w:pPr>
      <w:r w:rsidRPr="003800BB">
        <w:rPr>
          <w:rFonts w:cs="Times New Roman"/>
          <w:sz w:val="22"/>
        </w:rPr>
        <w:t xml:space="preserve">I would like to take this opportunity to express my deepest appreciation to </w:t>
      </w:r>
      <w:r w:rsidR="00834F50" w:rsidRPr="003800BB">
        <w:rPr>
          <w:rFonts w:cs="Times New Roman"/>
          <w:sz w:val="22"/>
        </w:rPr>
        <w:t xml:space="preserve">my </w:t>
      </w:r>
      <w:r w:rsidRPr="003800BB">
        <w:rPr>
          <w:rFonts w:cs="Times New Roman"/>
          <w:sz w:val="22"/>
        </w:rPr>
        <w:t xml:space="preserve">supervisors, Professor </w:t>
      </w:r>
      <w:r w:rsidR="00045C88" w:rsidRPr="003800BB">
        <w:rPr>
          <w:rFonts w:cs="Times New Roman"/>
          <w:sz w:val="22"/>
        </w:rPr>
        <w:t>Andrea Genovese</w:t>
      </w:r>
      <w:r w:rsidR="003E5939" w:rsidRPr="003800BB">
        <w:rPr>
          <w:rFonts w:cs="Times New Roman"/>
          <w:sz w:val="22"/>
        </w:rPr>
        <w:t xml:space="preserve">, </w:t>
      </w:r>
      <w:r w:rsidR="00866261" w:rsidRPr="003800BB">
        <w:rPr>
          <w:rFonts w:cs="Times New Roman"/>
          <w:sz w:val="22"/>
        </w:rPr>
        <w:t xml:space="preserve">Dr </w:t>
      </w:r>
      <w:r w:rsidR="003E5939" w:rsidRPr="003800BB">
        <w:rPr>
          <w:rFonts w:cs="Times New Roman"/>
          <w:sz w:val="22"/>
        </w:rPr>
        <w:t xml:space="preserve">Antonino </w:t>
      </w:r>
      <w:proofErr w:type="spellStart"/>
      <w:r w:rsidR="003E5939" w:rsidRPr="003800BB">
        <w:rPr>
          <w:rFonts w:cs="Times New Roman"/>
          <w:sz w:val="22"/>
        </w:rPr>
        <w:t>Sgala</w:t>
      </w:r>
      <w:r w:rsidR="001C116E" w:rsidRPr="003800BB">
        <w:rPr>
          <w:rFonts w:cs="Times New Roman"/>
          <w:sz w:val="22"/>
        </w:rPr>
        <w:t>mbro</w:t>
      </w:r>
      <w:proofErr w:type="spellEnd"/>
      <w:r w:rsidR="001C116E" w:rsidRPr="003800BB">
        <w:rPr>
          <w:rFonts w:cs="Times New Roman"/>
          <w:sz w:val="22"/>
        </w:rPr>
        <w:t xml:space="preserve">, and </w:t>
      </w:r>
      <w:r w:rsidR="00866261" w:rsidRPr="003800BB">
        <w:rPr>
          <w:rFonts w:cs="Times New Roman"/>
          <w:sz w:val="22"/>
        </w:rPr>
        <w:t xml:space="preserve">Dr </w:t>
      </w:r>
      <w:r w:rsidR="001C116E" w:rsidRPr="003800BB">
        <w:rPr>
          <w:rFonts w:cs="Times New Roman"/>
          <w:sz w:val="22"/>
        </w:rPr>
        <w:t xml:space="preserve">Francesco </w:t>
      </w:r>
      <w:proofErr w:type="spellStart"/>
      <w:r w:rsidR="001C116E" w:rsidRPr="003800BB">
        <w:rPr>
          <w:rFonts w:cs="Times New Roman"/>
          <w:sz w:val="22"/>
        </w:rPr>
        <w:t>Ciardiello</w:t>
      </w:r>
      <w:proofErr w:type="spellEnd"/>
      <w:r w:rsidRPr="003800BB">
        <w:rPr>
          <w:rFonts w:cs="Times New Roman"/>
          <w:sz w:val="22"/>
        </w:rPr>
        <w:t xml:space="preserve">, for your wisdom, patient guidance and care over the time I have been in Sheffield, and </w:t>
      </w:r>
      <w:r w:rsidR="00E84B49">
        <w:rPr>
          <w:rFonts w:cs="Times New Roman"/>
          <w:sz w:val="22"/>
        </w:rPr>
        <w:t xml:space="preserve">you </w:t>
      </w:r>
      <w:r w:rsidRPr="003800BB">
        <w:rPr>
          <w:rFonts w:cs="Times New Roman"/>
          <w:sz w:val="22"/>
        </w:rPr>
        <w:t>have</w:t>
      </w:r>
      <w:r w:rsidR="00E84B49">
        <w:rPr>
          <w:rFonts w:cs="Times New Roman"/>
          <w:sz w:val="22"/>
        </w:rPr>
        <w:t xml:space="preserve"> all</w:t>
      </w:r>
      <w:r w:rsidRPr="003800BB">
        <w:rPr>
          <w:rFonts w:cs="Times New Roman"/>
          <w:sz w:val="22"/>
        </w:rPr>
        <w:t xml:space="preserve"> acted like friends</w:t>
      </w:r>
      <w:r w:rsidR="001C116E" w:rsidRPr="003800BB">
        <w:rPr>
          <w:rFonts w:cs="Times New Roman"/>
          <w:sz w:val="22"/>
        </w:rPr>
        <w:t xml:space="preserve"> </w:t>
      </w:r>
      <w:r w:rsidR="00EA7EEF">
        <w:rPr>
          <w:rFonts w:cs="Times New Roman"/>
          <w:sz w:val="22"/>
        </w:rPr>
        <w:t>as well as</w:t>
      </w:r>
      <w:r w:rsidRPr="003800BB">
        <w:rPr>
          <w:rFonts w:cs="Times New Roman"/>
          <w:sz w:val="22"/>
        </w:rPr>
        <w:t xml:space="preserve"> supervisors. </w:t>
      </w:r>
      <w:r w:rsidR="00392A70" w:rsidRPr="003800BB">
        <w:rPr>
          <w:rFonts w:cs="Times New Roman"/>
          <w:sz w:val="22"/>
        </w:rPr>
        <w:t>It would have been impossible to complete this thesis without support from all of you.</w:t>
      </w:r>
      <w:r w:rsidR="00B6263A" w:rsidRPr="003800BB">
        <w:rPr>
          <w:rFonts w:cs="Times New Roman"/>
          <w:sz w:val="22"/>
        </w:rPr>
        <w:t xml:space="preserve"> </w:t>
      </w:r>
      <w:r w:rsidRPr="003800BB">
        <w:rPr>
          <w:rFonts w:cs="Times New Roman"/>
          <w:sz w:val="22"/>
        </w:rPr>
        <w:t>I have been lucky to be supervised by the best supervisors in the world, who</w:t>
      </w:r>
      <w:r w:rsidR="000E3850">
        <w:rPr>
          <w:rFonts w:cs="Times New Roman"/>
          <w:sz w:val="22"/>
        </w:rPr>
        <w:t xml:space="preserve"> have</w:t>
      </w:r>
      <w:r w:rsidRPr="003800BB">
        <w:rPr>
          <w:rFonts w:cs="Times New Roman"/>
          <w:sz w:val="22"/>
        </w:rPr>
        <w:t xml:space="preserve"> always support</w:t>
      </w:r>
      <w:r w:rsidR="004F4ADB">
        <w:rPr>
          <w:rFonts w:cs="Times New Roman"/>
          <w:sz w:val="22"/>
        </w:rPr>
        <w:t>ed</w:t>
      </w:r>
      <w:r w:rsidRPr="003800BB">
        <w:rPr>
          <w:rFonts w:cs="Times New Roman"/>
          <w:sz w:val="22"/>
        </w:rPr>
        <w:t xml:space="preserve"> and care</w:t>
      </w:r>
      <w:r w:rsidR="007A73DD">
        <w:rPr>
          <w:rFonts w:cs="Times New Roman"/>
          <w:sz w:val="22"/>
        </w:rPr>
        <w:t>d</w:t>
      </w:r>
      <w:r w:rsidRPr="003800BB">
        <w:rPr>
          <w:rFonts w:cs="Times New Roman"/>
          <w:sz w:val="22"/>
        </w:rPr>
        <w:t xml:space="preserve"> for me.</w:t>
      </w:r>
      <w:r w:rsidR="001A0392" w:rsidRPr="003800BB">
        <w:rPr>
          <w:rFonts w:cs="Times New Roman"/>
          <w:sz w:val="22"/>
        </w:rPr>
        <w:t xml:space="preserve"> </w:t>
      </w:r>
      <w:r w:rsidR="00BB3DBA" w:rsidRPr="003800BB">
        <w:rPr>
          <w:rFonts w:cs="Times New Roman"/>
          <w:sz w:val="22"/>
        </w:rPr>
        <w:t>I must also thank Professor Niraj Kumar (</w:t>
      </w:r>
      <w:hyperlink r:id="rId10" w:history="1">
        <w:r w:rsidR="00BB3DBA" w:rsidRPr="003800BB">
          <w:rPr>
            <w:rFonts w:cs="Times New Roman"/>
            <w:sz w:val="22"/>
          </w:rPr>
          <w:t>University of Essex</w:t>
        </w:r>
      </w:hyperlink>
      <w:r w:rsidR="00BB3DBA" w:rsidRPr="003800BB">
        <w:rPr>
          <w:rFonts w:cs="Times New Roman"/>
          <w:sz w:val="22"/>
        </w:rPr>
        <w:t xml:space="preserve">) for offering me the opportunity to start my PhD study. </w:t>
      </w:r>
      <w:r w:rsidR="000100A9" w:rsidRPr="003800BB">
        <w:rPr>
          <w:rFonts w:cs="Times New Roman"/>
          <w:sz w:val="22"/>
        </w:rPr>
        <w:t xml:space="preserve">A special appreciation </w:t>
      </w:r>
      <w:r w:rsidR="00380708">
        <w:rPr>
          <w:rFonts w:cs="Times New Roman"/>
          <w:sz w:val="22"/>
        </w:rPr>
        <w:t xml:space="preserve">goes </w:t>
      </w:r>
      <w:r w:rsidR="000100A9" w:rsidRPr="003800BB">
        <w:rPr>
          <w:rFonts w:cs="Times New Roman"/>
          <w:sz w:val="22"/>
        </w:rPr>
        <w:t xml:space="preserve">to Professor Andrea Genovese, </w:t>
      </w:r>
      <w:r w:rsidR="00B6263A" w:rsidRPr="003800BB">
        <w:rPr>
          <w:rFonts w:cs="Times New Roman"/>
          <w:sz w:val="22"/>
        </w:rPr>
        <w:t xml:space="preserve">as the one who </w:t>
      </w:r>
      <w:r w:rsidR="001B5F40">
        <w:rPr>
          <w:rFonts w:cs="Times New Roman"/>
          <w:sz w:val="22"/>
        </w:rPr>
        <w:t>took</w:t>
      </w:r>
      <w:r w:rsidR="00B6263A" w:rsidRPr="003800BB">
        <w:rPr>
          <w:rFonts w:cs="Times New Roman"/>
          <w:sz w:val="22"/>
        </w:rPr>
        <w:t xml:space="preserve"> me on this amazing journey and ha</w:t>
      </w:r>
      <w:r w:rsidR="009C0A6C">
        <w:rPr>
          <w:rFonts w:cs="Times New Roman"/>
          <w:sz w:val="22"/>
        </w:rPr>
        <w:t>s</w:t>
      </w:r>
      <w:r w:rsidR="00B6263A" w:rsidRPr="003800BB">
        <w:rPr>
          <w:rFonts w:cs="Times New Roman"/>
          <w:sz w:val="22"/>
        </w:rPr>
        <w:t xml:space="preserve"> supervised and accompanied me over the last four years</w:t>
      </w:r>
      <w:r w:rsidR="008F5A27">
        <w:rPr>
          <w:rFonts w:cs="Times New Roman"/>
          <w:sz w:val="22"/>
        </w:rPr>
        <w:t>;</w:t>
      </w:r>
      <w:r w:rsidR="00B6263A" w:rsidRPr="003800BB">
        <w:rPr>
          <w:rFonts w:cs="Times New Roman"/>
          <w:sz w:val="22"/>
        </w:rPr>
        <w:t xml:space="preserve"> words can hardly express my gratitude for your consistent support and trust in me. Your kindness and commitment to strive for </w:t>
      </w:r>
      <w:r w:rsidR="003800BB" w:rsidRPr="003800BB">
        <w:rPr>
          <w:rFonts w:cs="Times New Roman"/>
          <w:sz w:val="22"/>
        </w:rPr>
        <w:t>high-quality</w:t>
      </w:r>
      <w:r w:rsidR="00BB3DBA" w:rsidRPr="003800BB">
        <w:rPr>
          <w:rFonts w:cs="Times New Roman"/>
          <w:sz w:val="22"/>
        </w:rPr>
        <w:t xml:space="preserve"> research </w:t>
      </w:r>
      <w:r w:rsidR="00B6263A" w:rsidRPr="003800BB">
        <w:rPr>
          <w:rFonts w:cs="Times New Roman"/>
          <w:sz w:val="22"/>
        </w:rPr>
        <w:t>have deeply influenced me for the rest of my life.</w:t>
      </w:r>
    </w:p>
    <w:p w14:paraId="5B000AEE" w14:textId="0EF1313D" w:rsidR="008F7703" w:rsidRPr="003800BB" w:rsidRDefault="00180F3C" w:rsidP="002F7360">
      <w:pPr>
        <w:spacing w:line="360" w:lineRule="auto"/>
        <w:rPr>
          <w:rFonts w:cs="Times New Roman"/>
          <w:sz w:val="22"/>
        </w:rPr>
      </w:pPr>
      <w:r w:rsidRPr="003800BB">
        <w:rPr>
          <w:rFonts w:cs="Times New Roman"/>
          <w:sz w:val="22"/>
        </w:rPr>
        <w:t xml:space="preserve">Special gratitude to </w:t>
      </w:r>
      <w:r w:rsidR="002B677D">
        <w:rPr>
          <w:rFonts w:cs="Times New Roman"/>
          <w:sz w:val="22"/>
        </w:rPr>
        <w:t xml:space="preserve">the </w:t>
      </w:r>
      <w:r w:rsidRPr="003800BB">
        <w:rPr>
          <w:rFonts w:cs="Times New Roman"/>
          <w:sz w:val="22"/>
        </w:rPr>
        <w:t>Management School’s PGR Support team staff, Ms. Mandy</w:t>
      </w:r>
      <w:r w:rsidR="002F7360" w:rsidRPr="003800BB">
        <w:rPr>
          <w:rFonts w:cs="Times New Roman"/>
          <w:sz w:val="22"/>
        </w:rPr>
        <w:t xml:space="preserve"> </w:t>
      </w:r>
      <w:proofErr w:type="gramStart"/>
      <w:r w:rsidR="004C066E">
        <w:rPr>
          <w:rFonts w:cs="Times New Roman"/>
          <w:sz w:val="22"/>
        </w:rPr>
        <w:t>R</w:t>
      </w:r>
      <w:r w:rsidR="004C066E" w:rsidRPr="003800BB">
        <w:rPr>
          <w:rFonts w:cs="Times New Roman"/>
          <w:sz w:val="22"/>
        </w:rPr>
        <w:t>obertson</w:t>
      </w:r>
      <w:proofErr w:type="gramEnd"/>
      <w:r w:rsidRPr="003800BB">
        <w:rPr>
          <w:rFonts w:cs="Times New Roman"/>
          <w:sz w:val="22"/>
        </w:rPr>
        <w:t xml:space="preserve"> and Mrs. Josie Smith. Also, thanks to </w:t>
      </w:r>
      <w:proofErr w:type="spellStart"/>
      <w:r w:rsidRPr="003800BB">
        <w:rPr>
          <w:rFonts w:cs="Times New Roman"/>
          <w:sz w:val="22"/>
        </w:rPr>
        <w:t>Dr.</w:t>
      </w:r>
      <w:proofErr w:type="spellEnd"/>
      <w:r w:rsidRPr="003800BB">
        <w:rPr>
          <w:rFonts w:cs="Times New Roman"/>
          <w:sz w:val="22"/>
        </w:rPr>
        <w:t xml:space="preserve"> Caroline J. Oates (</w:t>
      </w:r>
      <w:r w:rsidR="00D96CBB">
        <w:rPr>
          <w:rFonts w:cs="Times New Roman"/>
          <w:sz w:val="22"/>
        </w:rPr>
        <w:t>f</w:t>
      </w:r>
      <w:r w:rsidRPr="003800BB">
        <w:rPr>
          <w:rFonts w:cs="Times New Roman"/>
          <w:sz w:val="22"/>
        </w:rPr>
        <w:t>ormer Programme</w:t>
      </w:r>
      <w:r w:rsidR="002F7360" w:rsidRPr="003800BB">
        <w:rPr>
          <w:rFonts w:cs="Times New Roman"/>
          <w:sz w:val="22"/>
        </w:rPr>
        <w:t xml:space="preserve"> </w:t>
      </w:r>
      <w:r w:rsidR="00D96CBB">
        <w:rPr>
          <w:rFonts w:cs="Times New Roman"/>
          <w:sz w:val="22"/>
        </w:rPr>
        <w:t>D</w:t>
      </w:r>
      <w:r w:rsidR="004C066E" w:rsidRPr="003800BB">
        <w:rPr>
          <w:rFonts w:cs="Times New Roman"/>
          <w:sz w:val="22"/>
        </w:rPr>
        <w:t>irector</w:t>
      </w:r>
      <w:r w:rsidRPr="003800BB">
        <w:rPr>
          <w:rFonts w:cs="Times New Roman"/>
          <w:sz w:val="22"/>
        </w:rPr>
        <w:t xml:space="preserve"> of Postgraduate Research), the Finance team and the Operations team for providing</w:t>
      </w:r>
      <w:r w:rsidR="002F7360" w:rsidRPr="003800BB">
        <w:rPr>
          <w:rFonts w:cs="Times New Roman"/>
          <w:sz w:val="22"/>
        </w:rPr>
        <w:t xml:space="preserve"> support</w:t>
      </w:r>
      <w:r w:rsidRPr="003800BB">
        <w:rPr>
          <w:rFonts w:cs="Times New Roman"/>
          <w:sz w:val="22"/>
        </w:rPr>
        <w:t xml:space="preserve"> and making everything organised during my study at </w:t>
      </w:r>
      <w:r w:rsidR="002412AA" w:rsidRPr="003800BB">
        <w:rPr>
          <w:rFonts w:cs="Times New Roman"/>
          <w:sz w:val="22"/>
        </w:rPr>
        <w:t xml:space="preserve">Management </w:t>
      </w:r>
      <w:r w:rsidR="00D35468">
        <w:rPr>
          <w:rFonts w:cs="Times New Roman"/>
          <w:sz w:val="22"/>
        </w:rPr>
        <w:t>S</w:t>
      </w:r>
      <w:r w:rsidR="002412AA" w:rsidRPr="003800BB">
        <w:rPr>
          <w:rFonts w:cs="Times New Roman"/>
          <w:sz w:val="22"/>
        </w:rPr>
        <w:t>chool</w:t>
      </w:r>
      <w:r w:rsidRPr="003800BB">
        <w:rPr>
          <w:rFonts w:cs="Times New Roman"/>
          <w:sz w:val="22"/>
        </w:rPr>
        <w:t>.</w:t>
      </w:r>
      <w:r w:rsidR="004B34B7" w:rsidRPr="003800BB">
        <w:rPr>
          <w:rFonts w:cs="Times New Roman"/>
          <w:sz w:val="22"/>
        </w:rPr>
        <w:t xml:space="preserve"> </w:t>
      </w:r>
      <w:r w:rsidR="00323714" w:rsidRPr="003800BB">
        <w:rPr>
          <w:rFonts w:cs="Times New Roman"/>
          <w:sz w:val="22"/>
        </w:rPr>
        <w:t xml:space="preserve">Furthermore, thank you </w:t>
      </w:r>
      <w:r w:rsidR="00D00B0C">
        <w:rPr>
          <w:rFonts w:cs="Times New Roman"/>
          <w:sz w:val="22"/>
        </w:rPr>
        <w:t>to</w:t>
      </w:r>
      <w:r w:rsidR="00323714" w:rsidRPr="003800BB">
        <w:rPr>
          <w:rFonts w:cs="Times New Roman"/>
          <w:sz w:val="22"/>
        </w:rPr>
        <w:t xml:space="preserve"> </w:t>
      </w:r>
      <w:r w:rsidR="000869D0">
        <w:rPr>
          <w:rFonts w:cs="Times New Roman"/>
          <w:sz w:val="22"/>
        </w:rPr>
        <w:t xml:space="preserve">the </w:t>
      </w:r>
      <w:r w:rsidR="00323714" w:rsidRPr="003800BB">
        <w:rPr>
          <w:rFonts w:cs="Times New Roman"/>
          <w:sz w:val="22"/>
        </w:rPr>
        <w:t>Wuhan University of Technology</w:t>
      </w:r>
      <w:r w:rsidR="00AA09AC" w:rsidRPr="003800BB">
        <w:rPr>
          <w:rFonts w:cs="Times New Roman"/>
          <w:sz w:val="22"/>
        </w:rPr>
        <w:t>, which support</w:t>
      </w:r>
      <w:r w:rsidR="00030A75">
        <w:rPr>
          <w:rFonts w:cs="Times New Roman"/>
          <w:sz w:val="22"/>
        </w:rPr>
        <w:t>ed</w:t>
      </w:r>
      <w:r w:rsidR="00AA09AC" w:rsidRPr="003800BB">
        <w:rPr>
          <w:rFonts w:cs="Times New Roman"/>
          <w:sz w:val="22"/>
        </w:rPr>
        <w:t xml:space="preserve"> me </w:t>
      </w:r>
      <w:r w:rsidR="00D60B72" w:rsidRPr="003800BB">
        <w:rPr>
          <w:rFonts w:cs="Times New Roman"/>
          <w:sz w:val="22"/>
        </w:rPr>
        <w:t xml:space="preserve">during the PhD application and </w:t>
      </w:r>
      <w:r w:rsidR="008F7703" w:rsidRPr="003800BB">
        <w:rPr>
          <w:rFonts w:cs="Times New Roman"/>
          <w:sz w:val="22"/>
        </w:rPr>
        <w:t>d</w:t>
      </w:r>
      <w:r w:rsidR="00D60B72" w:rsidRPr="003800BB">
        <w:rPr>
          <w:rFonts w:cs="Times New Roman"/>
          <w:sz w:val="22"/>
        </w:rPr>
        <w:t>ata collection</w:t>
      </w:r>
      <w:r w:rsidR="008F7703" w:rsidRPr="003800BB">
        <w:rPr>
          <w:rFonts w:cs="Times New Roman"/>
          <w:sz w:val="22"/>
        </w:rPr>
        <w:t>.</w:t>
      </w:r>
      <w:r w:rsidR="008B1DE4" w:rsidRPr="003800BB">
        <w:rPr>
          <w:rFonts w:cs="Times New Roman"/>
          <w:sz w:val="22"/>
        </w:rPr>
        <w:t xml:space="preserve"> </w:t>
      </w:r>
      <w:r w:rsidR="00DB71DC" w:rsidRPr="003800BB">
        <w:rPr>
          <w:rFonts w:cs="Times New Roman"/>
          <w:sz w:val="22"/>
        </w:rPr>
        <w:t>Lastly,</w:t>
      </w:r>
      <w:r w:rsidR="008F7703" w:rsidRPr="003800BB">
        <w:rPr>
          <w:rFonts w:cs="Times New Roman"/>
          <w:sz w:val="22"/>
        </w:rPr>
        <w:t xml:space="preserve"> I will thank </w:t>
      </w:r>
      <w:r w:rsidR="00D66562">
        <w:rPr>
          <w:rFonts w:cs="Times New Roman"/>
          <w:sz w:val="22"/>
        </w:rPr>
        <w:t>my</w:t>
      </w:r>
      <w:r w:rsidR="00A62271" w:rsidRPr="003800BB">
        <w:rPr>
          <w:rFonts w:cs="Times New Roman"/>
          <w:sz w:val="22"/>
        </w:rPr>
        <w:t xml:space="preserve"> colleagues in </w:t>
      </w:r>
      <w:proofErr w:type="spellStart"/>
      <w:r w:rsidR="00A62271" w:rsidRPr="003800BB">
        <w:rPr>
          <w:rFonts w:cs="Times New Roman"/>
          <w:sz w:val="22"/>
        </w:rPr>
        <w:t>ProS</w:t>
      </w:r>
      <w:r w:rsidR="008860AD" w:rsidRPr="003800BB">
        <w:rPr>
          <w:rFonts w:cs="Times New Roman"/>
          <w:sz w:val="22"/>
        </w:rPr>
        <w:t>FeT</w:t>
      </w:r>
      <w:proofErr w:type="spellEnd"/>
      <w:r w:rsidR="008860AD" w:rsidRPr="003800BB">
        <w:rPr>
          <w:rFonts w:cs="Times New Roman"/>
          <w:sz w:val="22"/>
        </w:rPr>
        <w:t xml:space="preserve"> project, </w:t>
      </w:r>
      <w:r w:rsidR="00E81A5B" w:rsidRPr="003800BB">
        <w:rPr>
          <w:rFonts w:asciiTheme="majorBidi" w:hAnsiTheme="majorBidi" w:cstheme="majorBidi"/>
          <w:sz w:val="22"/>
        </w:rPr>
        <w:t>particularly</w:t>
      </w:r>
      <w:r w:rsidR="002A6890" w:rsidRPr="003800BB">
        <w:rPr>
          <w:rFonts w:asciiTheme="majorBidi" w:hAnsiTheme="majorBidi" w:cstheme="majorBidi"/>
          <w:sz w:val="22"/>
        </w:rPr>
        <w:t>,</w:t>
      </w:r>
      <w:r w:rsidR="002870FB" w:rsidRPr="003800BB">
        <w:rPr>
          <w:rFonts w:asciiTheme="majorBidi" w:hAnsiTheme="majorBidi" w:cstheme="majorBidi"/>
          <w:sz w:val="22"/>
        </w:rPr>
        <w:t xml:space="preserve"> </w:t>
      </w:r>
      <w:proofErr w:type="spellStart"/>
      <w:r w:rsidR="00EF6C32" w:rsidRPr="003800BB">
        <w:rPr>
          <w:rFonts w:asciiTheme="majorBidi" w:hAnsiTheme="majorBidi" w:cstheme="majorBidi"/>
          <w:sz w:val="22"/>
        </w:rPr>
        <w:t>Patrizia</w:t>
      </w:r>
      <w:proofErr w:type="spellEnd"/>
      <w:r w:rsidR="00EF6C32" w:rsidRPr="003800BB">
        <w:rPr>
          <w:rFonts w:asciiTheme="majorBidi" w:hAnsiTheme="majorBidi" w:cstheme="majorBidi"/>
          <w:sz w:val="22"/>
        </w:rPr>
        <w:t xml:space="preserve"> </w:t>
      </w:r>
      <w:proofErr w:type="spellStart"/>
      <w:r w:rsidR="00EF6C32" w:rsidRPr="003800BB">
        <w:rPr>
          <w:rFonts w:asciiTheme="majorBidi" w:hAnsiTheme="majorBidi" w:cstheme="majorBidi"/>
          <w:sz w:val="22"/>
        </w:rPr>
        <w:t>B</w:t>
      </w:r>
      <w:r w:rsidR="002870FB" w:rsidRPr="003800BB">
        <w:rPr>
          <w:rFonts w:asciiTheme="majorBidi" w:hAnsiTheme="majorBidi" w:cstheme="majorBidi"/>
          <w:sz w:val="22"/>
        </w:rPr>
        <w:t>aldi</w:t>
      </w:r>
      <w:proofErr w:type="spellEnd"/>
      <w:r w:rsidR="002870FB" w:rsidRPr="003800BB">
        <w:rPr>
          <w:rFonts w:asciiTheme="majorBidi" w:hAnsiTheme="majorBidi" w:cstheme="majorBidi"/>
          <w:sz w:val="22"/>
        </w:rPr>
        <w:t>,</w:t>
      </w:r>
      <w:r w:rsidR="009C1A5E" w:rsidRPr="003800BB">
        <w:rPr>
          <w:rFonts w:cs="Times New Roman"/>
          <w:sz w:val="22"/>
        </w:rPr>
        <w:t xml:space="preserve"> Robin </w:t>
      </w:r>
      <w:proofErr w:type="spellStart"/>
      <w:r w:rsidR="009C1A5E" w:rsidRPr="003800BB">
        <w:rPr>
          <w:rFonts w:cs="Times New Roman"/>
          <w:sz w:val="22"/>
        </w:rPr>
        <w:t>Billsjö</w:t>
      </w:r>
      <w:proofErr w:type="spellEnd"/>
      <w:r w:rsidR="009C1A5E" w:rsidRPr="003800BB">
        <w:rPr>
          <w:rFonts w:cs="Times New Roman"/>
          <w:sz w:val="22"/>
        </w:rPr>
        <w:t xml:space="preserve">, </w:t>
      </w:r>
      <w:r w:rsidR="0027690B" w:rsidRPr="003800BB">
        <w:rPr>
          <w:rFonts w:cs="Times New Roman"/>
          <w:sz w:val="22"/>
        </w:rPr>
        <w:t xml:space="preserve">Amanda Baumgartner, Alessandro </w:t>
      </w:r>
      <w:proofErr w:type="spellStart"/>
      <w:r w:rsidR="0027690B" w:rsidRPr="003800BB">
        <w:rPr>
          <w:rFonts w:cs="Times New Roman"/>
          <w:sz w:val="22"/>
        </w:rPr>
        <w:t>Barisone</w:t>
      </w:r>
      <w:proofErr w:type="spellEnd"/>
      <w:r w:rsidR="00A532AC" w:rsidRPr="003800BB">
        <w:rPr>
          <w:rFonts w:cs="Times New Roman"/>
          <w:sz w:val="22"/>
        </w:rPr>
        <w:t xml:space="preserve">, Marco </w:t>
      </w:r>
      <w:proofErr w:type="spellStart"/>
      <w:r w:rsidR="00A532AC" w:rsidRPr="003800BB">
        <w:rPr>
          <w:rFonts w:cs="Times New Roman"/>
          <w:sz w:val="22"/>
        </w:rPr>
        <w:t>Gorini</w:t>
      </w:r>
      <w:proofErr w:type="spellEnd"/>
      <w:r w:rsidR="00A532AC" w:rsidRPr="003800BB">
        <w:rPr>
          <w:rFonts w:cs="Times New Roman"/>
          <w:sz w:val="22"/>
        </w:rPr>
        <w:t xml:space="preserve"> and Leonardo Stella</w:t>
      </w:r>
      <w:r w:rsidR="00611F74">
        <w:rPr>
          <w:rFonts w:cs="Times New Roman"/>
          <w:sz w:val="22"/>
        </w:rPr>
        <w:t xml:space="preserve"> -</w:t>
      </w:r>
      <w:r w:rsidR="00E81A5B" w:rsidRPr="003800BB">
        <w:rPr>
          <w:rFonts w:cs="Times New Roman"/>
          <w:sz w:val="22"/>
        </w:rPr>
        <w:t xml:space="preserve"> my </w:t>
      </w:r>
      <w:r w:rsidR="001F3E03" w:rsidRPr="003800BB">
        <w:rPr>
          <w:rFonts w:cs="Times New Roman"/>
          <w:sz w:val="22"/>
        </w:rPr>
        <w:t>secondment trips</w:t>
      </w:r>
      <w:r w:rsidR="001D0741" w:rsidRPr="003800BB">
        <w:rPr>
          <w:rFonts w:cs="Times New Roman"/>
          <w:sz w:val="22"/>
        </w:rPr>
        <w:t xml:space="preserve"> </w:t>
      </w:r>
      <w:r w:rsidR="000A12C8" w:rsidRPr="003800BB">
        <w:rPr>
          <w:rFonts w:cs="Times New Roman"/>
          <w:sz w:val="22"/>
        </w:rPr>
        <w:t>were</w:t>
      </w:r>
      <w:r w:rsidR="001F3E03" w:rsidRPr="003800BB">
        <w:rPr>
          <w:rFonts w:cs="Times New Roman"/>
          <w:sz w:val="22"/>
        </w:rPr>
        <w:t xml:space="preserve"> </w:t>
      </w:r>
      <w:r w:rsidR="004C0924" w:rsidRPr="003800BB">
        <w:rPr>
          <w:rFonts w:cs="Times New Roman"/>
          <w:sz w:val="22"/>
        </w:rPr>
        <w:t xml:space="preserve">safe, </w:t>
      </w:r>
      <w:proofErr w:type="gramStart"/>
      <w:r w:rsidR="004C0924" w:rsidRPr="003800BB">
        <w:rPr>
          <w:rFonts w:cs="Times New Roman"/>
          <w:sz w:val="22"/>
        </w:rPr>
        <w:t>happy</w:t>
      </w:r>
      <w:proofErr w:type="gramEnd"/>
      <w:r w:rsidR="004C0924" w:rsidRPr="003800BB">
        <w:rPr>
          <w:rFonts w:cs="Times New Roman"/>
          <w:sz w:val="22"/>
        </w:rPr>
        <w:t xml:space="preserve"> and meaningful</w:t>
      </w:r>
      <w:r w:rsidR="001D0741" w:rsidRPr="003800BB">
        <w:rPr>
          <w:rFonts w:cs="Times New Roman"/>
          <w:sz w:val="22"/>
        </w:rPr>
        <w:t xml:space="preserve"> </w:t>
      </w:r>
      <w:r w:rsidR="00743B33">
        <w:rPr>
          <w:rFonts w:cs="Times New Roman"/>
          <w:sz w:val="22"/>
        </w:rPr>
        <w:t>with</w:t>
      </w:r>
      <w:r w:rsidR="001D0741" w:rsidRPr="003800BB">
        <w:rPr>
          <w:rFonts w:cs="Times New Roman"/>
          <w:sz w:val="22"/>
        </w:rPr>
        <w:t xml:space="preserve"> your help</w:t>
      </w:r>
      <w:r w:rsidR="004C0924" w:rsidRPr="003800BB">
        <w:rPr>
          <w:rFonts w:cs="Times New Roman"/>
          <w:sz w:val="22"/>
        </w:rPr>
        <w:t>.</w:t>
      </w:r>
    </w:p>
    <w:p w14:paraId="641D4A98" w14:textId="0BC9DE3A" w:rsidR="006A517B" w:rsidRPr="003800BB" w:rsidRDefault="006A517B" w:rsidP="002F7360">
      <w:pPr>
        <w:spacing w:before="240" w:line="360" w:lineRule="auto"/>
        <w:rPr>
          <w:rFonts w:cs="Times New Roman"/>
          <w:sz w:val="22"/>
        </w:rPr>
      </w:pPr>
      <w:r w:rsidRPr="003800BB">
        <w:rPr>
          <w:rFonts w:cs="Times New Roman" w:hint="eastAsia"/>
          <w:sz w:val="22"/>
        </w:rPr>
        <w:t>I</w:t>
      </w:r>
      <w:r w:rsidRPr="003800BB">
        <w:rPr>
          <w:rFonts w:cs="Times New Roman"/>
          <w:sz w:val="22"/>
        </w:rPr>
        <w:t xml:space="preserve"> would like to thank all my colleagues in the OMDS, especially </w:t>
      </w:r>
      <w:proofErr w:type="spellStart"/>
      <w:r w:rsidRPr="003800BB">
        <w:rPr>
          <w:rFonts w:cs="Times New Roman"/>
          <w:sz w:val="22"/>
        </w:rPr>
        <w:t>Mengfeng</w:t>
      </w:r>
      <w:proofErr w:type="spellEnd"/>
      <w:r w:rsidRPr="003800BB">
        <w:rPr>
          <w:rFonts w:cs="Times New Roman"/>
          <w:sz w:val="22"/>
        </w:rPr>
        <w:t xml:space="preserve">, </w:t>
      </w:r>
      <w:proofErr w:type="spellStart"/>
      <w:r w:rsidRPr="003800BB">
        <w:rPr>
          <w:rFonts w:cs="Times New Roman"/>
          <w:sz w:val="22"/>
        </w:rPr>
        <w:t>Akis</w:t>
      </w:r>
      <w:proofErr w:type="spellEnd"/>
      <w:r w:rsidRPr="003800BB">
        <w:rPr>
          <w:rFonts w:cs="Times New Roman"/>
          <w:sz w:val="22"/>
        </w:rPr>
        <w:t xml:space="preserve">, </w:t>
      </w:r>
      <w:proofErr w:type="spellStart"/>
      <w:r w:rsidRPr="003800BB">
        <w:rPr>
          <w:rFonts w:cs="Times New Roman"/>
          <w:sz w:val="22"/>
        </w:rPr>
        <w:t>Zati</w:t>
      </w:r>
      <w:proofErr w:type="spellEnd"/>
      <w:r w:rsidRPr="003800BB">
        <w:rPr>
          <w:rFonts w:cs="Times New Roman"/>
          <w:sz w:val="22"/>
        </w:rPr>
        <w:t xml:space="preserve">, Karla, Ahmad </w:t>
      </w:r>
      <w:proofErr w:type="spellStart"/>
      <w:r w:rsidRPr="003800BB">
        <w:rPr>
          <w:rFonts w:cs="Times New Roman"/>
          <w:sz w:val="22"/>
        </w:rPr>
        <w:t>Rais</w:t>
      </w:r>
      <w:proofErr w:type="spellEnd"/>
      <w:r w:rsidRPr="003800BB">
        <w:rPr>
          <w:rFonts w:cs="Times New Roman"/>
          <w:sz w:val="22"/>
        </w:rPr>
        <w:t xml:space="preserve">, </w:t>
      </w:r>
      <w:proofErr w:type="spellStart"/>
      <w:r w:rsidRPr="003800BB">
        <w:rPr>
          <w:rFonts w:cs="Times New Roman"/>
          <w:sz w:val="22"/>
        </w:rPr>
        <w:t>Mengdie</w:t>
      </w:r>
      <w:proofErr w:type="spellEnd"/>
      <w:r w:rsidRPr="003800BB">
        <w:rPr>
          <w:rFonts w:cs="Times New Roman"/>
          <w:sz w:val="22"/>
        </w:rPr>
        <w:t xml:space="preserve">, </w:t>
      </w:r>
      <w:r w:rsidR="00340B1A" w:rsidRPr="003800BB">
        <w:rPr>
          <w:rFonts w:cs="Times New Roman"/>
          <w:sz w:val="22"/>
        </w:rPr>
        <w:t xml:space="preserve">Ola </w:t>
      </w:r>
      <w:r w:rsidRPr="003800BB">
        <w:rPr>
          <w:rFonts w:cs="Times New Roman"/>
          <w:sz w:val="22"/>
        </w:rPr>
        <w:t xml:space="preserve">and </w:t>
      </w:r>
      <w:proofErr w:type="spellStart"/>
      <w:r w:rsidRPr="003800BB">
        <w:rPr>
          <w:rFonts w:cs="Times New Roman"/>
          <w:sz w:val="22"/>
        </w:rPr>
        <w:t>Shuyang</w:t>
      </w:r>
      <w:proofErr w:type="spellEnd"/>
      <w:r w:rsidRPr="003800BB">
        <w:rPr>
          <w:rFonts w:cs="Times New Roman"/>
          <w:sz w:val="22"/>
        </w:rPr>
        <w:t xml:space="preserve"> for your support and advi</w:t>
      </w:r>
      <w:r w:rsidR="00D04825">
        <w:rPr>
          <w:rFonts w:cs="Times New Roman"/>
          <w:sz w:val="22"/>
        </w:rPr>
        <w:t>c</w:t>
      </w:r>
      <w:r w:rsidRPr="003800BB">
        <w:rPr>
          <w:rFonts w:cs="Times New Roman"/>
          <w:sz w:val="22"/>
        </w:rPr>
        <w:t xml:space="preserve">e. Endless appreciation to my fellow friends: </w:t>
      </w:r>
      <w:proofErr w:type="spellStart"/>
      <w:r w:rsidRPr="003800BB">
        <w:rPr>
          <w:rFonts w:cs="Times New Roman"/>
          <w:sz w:val="22"/>
        </w:rPr>
        <w:t>Longxiang</w:t>
      </w:r>
      <w:proofErr w:type="spellEnd"/>
      <w:r w:rsidRPr="003800BB">
        <w:rPr>
          <w:rFonts w:cs="Times New Roman"/>
          <w:sz w:val="22"/>
        </w:rPr>
        <w:t>, Yingying,</w:t>
      </w:r>
      <w:r w:rsidR="000D058B">
        <w:rPr>
          <w:rFonts w:cs="Times New Roman"/>
          <w:sz w:val="22"/>
        </w:rPr>
        <w:t xml:space="preserve"> </w:t>
      </w:r>
      <w:proofErr w:type="spellStart"/>
      <w:r w:rsidR="000D058B">
        <w:rPr>
          <w:rFonts w:cs="Times New Roman"/>
          <w:sz w:val="22"/>
        </w:rPr>
        <w:t>Queyu</w:t>
      </w:r>
      <w:proofErr w:type="spellEnd"/>
      <w:r w:rsidR="00D47D0D">
        <w:rPr>
          <w:rFonts w:cs="Times New Roman" w:hint="eastAsia"/>
          <w:sz w:val="22"/>
        </w:rPr>
        <w:t>,</w:t>
      </w:r>
      <w:r w:rsidRPr="003800BB">
        <w:rPr>
          <w:rFonts w:cs="Times New Roman"/>
          <w:sz w:val="22"/>
        </w:rPr>
        <w:t xml:space="preserve"> Bo, </w:t>
      </w:r>
      <w:proofErr w:type="spellStart"/>
      <w:r w:rsidR="003B6522">
        <w:rPr>
          <w:rFonts w:cs="Times New Roman"/>
          <w:sz w:val="22"/>
        </w:rPr>
        <w:t>Kaixi</w:t>
      </w:r>
      <w:proofErr w:type="spellEnd"/>
      <w:r w:rsidR="003B6522">
        <w:rPr>
          <w:rFonts w:cs="Times New Roman"/>
          <w:sz w:val="22"/>
        </w:rPr>
        <w:t xml:space="preserve">, </w:t>
      </w:r>
      <w:proofErr w:type="spellStart"/>
      <w:r w:rsidR="00D06382" w:rsidRPr="003800BB">
        <w:rPr>
          <w:rFonts w:cs="Times New Roman"/>
          <w:sz w:val="22"/>
        </w:rPr>
        <w:t>Xuefeng</w:t>
      </w:r>
      <w:proofErr w:type="spellEnd"/>
      <w:r w:rsidR="00D06382" w:rsidRPr="003800BB">
        <w:rPr>
          <w:rFonts w:cs="Times New Roman"/>
          <w:sz w:val="22"/>
        </w:rPr>
        <w:t xml:space="preserve">, </w:t>
      </w:r>
      <w:proofErr w:type="spellStart"/>
      <w:r w:rsidRPr="003800BB">
        <w:rPr>
          <w:rFonts w:cs="Times New Roman"/>
          <w:sz w:val="22"/>
        </w:rPr>
        <w:t>Tianxiang</w:t>
      </w:r>
      <w:proofErr w:type="spellEnd"/>
      <w:r w:rsidRPr="003800BB">
        <w:rPr>
          <w:rFonts w:cs="Times New Roman"/>
          <w:sz w:val="22"/>
        </w:rPr>
        <w:t xml:space="preserve">, </w:t>
      </w:r>
      <w:proofErr w:type="spellStart"/>
      <w:r w:rsidRPr="003800BB">
        <w:rPr>
          <w:rFonts w:cs="Times New Roman"/>
          <w:sz w:val="22"/>
        </w:rPr>
        <w:t>Xiaoye</w:t>
      </w:r>
      <w:proofErr w:type="spellEnd"/>
      <w:r w:rsidR="00CB1A73" w:rsidRPr="003800BB">
        <w:rPr>
          <w:rFonts w:cs="Times New Roman"/>
          <w:sz w:val="22"/>
        </w:rPr>
        <w:t>, Jing</w:t>
      </w:r>
      <w:r w:rsidR="00D06382" w:rsidRPr="003800BB">
        <w:rPr>
          <w:rFonts w:cs="Times New Roman"/>
          <w:sz w:val="22"/>
        </w:rPr>
        <w:t>, Xiao</w:t>
      </w:r>
      <w:r w:rsidR="00001BEA" w:rsidRPr="003800BB">
        <w:rPr>
          <w:rFonts w:cs="Times New Roman"/>
          <w:sz w:val="22"/>
        </w:rPr>
        <w:t xml:space="preserve">, </w:t>
      </w:r>
      <w:r w:rsidR="00001BEA" w:rsidRPr="003800BB">
        <w:rPr>
          <w:rFonts w:asciiTheme="majorBidi" w:hAnsiTheme="majorBidi" w:cstheme="majorBidi"/>
          <w:sz w:val="22"/>
        </w:rPr>
        <w:t>Ibrahim</w:t>
      </w:r>
      <w:r w:rsidRPr="003800BB">
        <w:rPr>
          <w:rFonts w:cs="Times New Roman"/>
          <w:sz w:val="22"/>
        </w:rPr>
        <w:t xml:space="preserve"> and </w:t>
      </w:r>
      <w:proofErr w:type="spellStart"/>
      <w:r w:rsidRPr="003800BB">
        <w:rPr>
          <w:rFonts w:cs="Times New Roman"/>
          <w:sz w:val="22"/>
        </w:rPr>
        <w:t>Hanwen</w:t>
      </w:r>
      <w:proofErr w:type="spellEnd"/>
      <w:r w:rsidRPr="003800BB">
        <w:rPr>
          <w:rFonts w:cs="Times New Roman"/>
          <w:sz w:val="22"/>
        </w:rPr>
        <w:t>.</w:t>
      </w:r>
      <w:r w:rsidR="008F7703" w:rsidRPr="003800BB">
        <w:rPr>
          <w:rFonts w:cs="Times New Roman"/>
          <w:sz w:val="22"/>
        </w:rPr>
        <w:t xml:space="preserve"> </w:t>
      </w:r>
    </w:p>
    <w:p w14:paraId="1BAA8FF6" w14:textId="6B5156CD" w:rsidR="009A74F4" w:rsidRPr="003800BB" w:rsidRDefault="00790D3B" w:rsidP="002F7360">
      <w:pPr>
        <w:spacing w:before="240" w:line="360" w:lineRule="auto"/>
        <w:rPr>
          <w:sz w:val="22"/>
        </w:rPr>
      </w:pPr>
      <w:r w:rsidRPr="003800BB">
        <w:rPr>
          <w:sz w:val="22"/>
        </w:rPr>
        <w:t xml:space="preserve">Finally, </w:t>
      </w:r>
      <w:r w:rsidR="009F59C7" w:rsidRPr="003800BB">
        <w:rPr>
          <w:sz w:val="22"/>
        </w:rPr>
        <w:t>I would like to show my</w:t>
      </w:r>
      <w:r w:rsidR="00706EC5" w:rsidRPr="003800BB">
        <w:rPr>
          <w:sz w:val="22"/>
        </w:rPr>
        <w:t xml:space="preserve"> deep and sincere </w:t>
      </w:r>
      <w:r w:rsidRPr="003800BB">
        <w:rPr>
          <w:sz w:val="22"/>
        </w:rPr>
        <w:t>gratitude to</w:t>
      </w:r>
      <w:r w:rsidR="00D841C6" w:rsidRPr="003800BB">
        <w:rPr>
          <w:sz w:val="22"/>
        </w:rPr>
        <w:t xml:space="preserve"> all my family members</w:t>
      </w:r>
      <w:r w:rsidR="00234511">
        <w:rPr>
          <w:sz w:val="22"/>
        </w:rPr>
        <w:t xml:space="preserve"> who</w:t>
      </w:r>
      <w:r w:rsidR="00D841C6" w:rsidRPr="003800BB">
        <w:rPr>
          <w:sz w:val="22"/>
        </w:rPr>
        <w:t xml:space="preserve"> supported me through the difficult periods in my PhD research. Especially my mother </w:t>
      </w:r>
      <w:proofErr w:type="spellStart"/>
      <w:r w:rsidR="00D841C6" w:rsidRPr="003800BB">
        <w:rPr>
          <w:sz w:val="22"/>
        </w:rPr>
        <w:t>Chunfang</w:t>
      </w:r>
      <w:proofErr w:type="spellEnd"/>
      <w:r w:rsidR="00D841C6" w:rsidRPr="003800BB">
        <w:rPr>
          <w:sz w:val="22"/>
        </w:rPr>
        <w:t xml:space="preserve"> Cao</w:t>
      </w:r>
      <w:proofErr w:type="gramStart"/>
      <w:r w:rsidR="00D841C6" w:rsidRPr="003800BB">
        <w:rPr>
          <w:sz w:val="22"/>
        </w:rPr>
        <w:t>,</w:t>
      </w:r>
      <w:r w:rsidR="005E61D8" w:rsidRPr="003800BB">
        <w:rPr>
          <w:sz w:val="22"/>
        </w:rPr>
        <w:t xml:space="preserve"> </w:t>
      </w:r>
      <w:r w:rsidR="000F010F" w:rsidRPr="003800BB">
        <w:rPr>
          <w:sz w:val="22"/>
        </w:rPr>
        <w:t xml:space="preserve">as a member of CPC, </w:t>
      </w:r>
      <w:r w:rsidR="005E61D8" w:rsidRPr="003800BB">
        <w:rPr>
          <w:sz w:val="22"/>
        </w:rPr>
        <w:t xml:space="preserve">her </w:t>
      </w:r>
      <w:r w:rsidR="007B782E" w:rsidRPr="003800BB">
        <w:rPr>
          <w:sz w:val="22"/>
        </w:rPr>
        <w:t>optimism</w:t>
      </w:r>
      <w:r w:rsidR="005403AD" w:rsidRPr="003800BB">
        <w:rPr>
          <w:sz w:val="22"/>
        </w:rPr>
        <w:t xml:space="preserve"> and </w:t>
      </w:r>
      <w:r w:rsidR="0016411B" w:rsidRPr="003800BB">
        <w:rPr>
          <w:sz w:val="22"/>
        </w:rPr>
        <w:t>strong character</w:t>
      </w:r>
      <w:proofErr w:type="gramEnd"/>
      <w:r w:rsidR="00311C7B" w:rsidRPr="003800BB">
        <w:rPr>
          <w:sz w:val="22"/>
        </w:rPr>
        <w:t xml:space="preserve"> encourage</w:t>
      </w:r>
      <w:r w:rsidR="00350303">
        <w:rPr>
          <w:sz w:val="22"/>
        </w:rPr>
        <w:t>d</w:t>
      </w:r>
      <w:r w:rsidR="00311C7B" w:rsidRPr="003800BB">
        <w:rPr>
          <w:sz w:val="22"/>
        </w:rPr>
        <w:t xml:space="preserve"> me </w:t>
      </w:r>
      <w:r w:rsidR="0001046F" w:rsidRPr="003800BB">
        <w:rPr>
          <w:sz w:val="22"/>
        </w:rPr>
        <w:t xml:space="preserve">to </w:t>
      </w:r>
      <w:r w:rsidR="000F010F" w:rsidRPr="003800BB">
        <w:rPr>
          <w:sz w:val="22"/>
        </w:rPr>
        <w:t xml:space="preserve">overcome </w:t>
      </w:r>
      <w:r w:rsidR="007214BA" w:rsidRPr="003800BB">
        <w:rPr>
          <w:sz w:val="22"/>
        </w:rPr>
        <w:t>various</w:t>
      </w:r>
      <w:r w:rsidR="000F010F" w:rsidRPr="003800BB">
        <w:rPr>
          <w:sz w:val="22"/>
        </w:rPr>
        <w:t xml:space="preserve"> obstacles. M</w:t>
      </w:r>
      <w:r w:rsidR="00D841C6" w:rsidRPr="003800BB">
        <w:rPr>
          <w:sz w:val="22"/>
        </w:rPr>
        <w:t>y father</w:t>
      </w:r>
      <w:r w:rsidR="003A3139">
        <w:rPr>
          <w:sz w:val="22"/>
        </w:rPr>
        <w:t>,</w:t>
      </w:r>
      <w:r w:rsidR="00D841C6" w:rsidRPr="003800BB">
        <w:rPr>
          <w:sz w:val="22"/>
        </w:rPr>
        <w:t xml:space="preserve"> </w:t>
      </w:r>
      <w:proofErr w:type="spellStart"/>
      <w:r w:rsidR="00D841C6" w:rsidRPr="003800BB">
        <w:rPr>
          <w:sz w:val="22"/>
        </w:rPr>
        <w:t>Qiwang</w:t>
      </w:r>
      <w:proofErr w:type="spellEnd"/>
      <w:r w:rsidR="00D841C6" w:rsidRPr="003800BB">
        <w:rPr>
          <w:sz w:val="22"/>
        </w:rPr>
        <w:t xml:space="preserve"> Luo</w:t>
      </w:r>
      <w:r w:rsidR="0016411B" w:rsidRPr="003800BB">
        <w:rPr>
          <w:sz w:val="22"/>
        </w:rPr>
        <w:t>, who work</w:t>
      </w:r>
      <w:r w:rsidR="0045705F">
        <w:rPr>
          <w:sz w:val="22"/>
        </w:rPr>
        <w:t>ed</w:t>
      </w:r>
      <w:r w:rsidR="0016411B" w:rsidRPr="003800BB">
        <w:rPr>
          <w:sz w:val="22"/>
        </w:rPr>
        <w:t xml:space="preserve"> hard </w:t>
      </w:r>
      <w:r w:rsidR="00864362" w:rsidRPr="003800BB">
        <w:rPr>
          <w:sz w:val="22"/>
        </w:rPr>
        <w:t xml:space="preserve">to </w:t>
      </w:r>
      <w:r w:rsidR="002D21CE" w:rsidRPr="003800BB">
        <w:rPr>
          <w:sz w:val="22"/>
        </w:rPr>
        <w:t>provide sufficient funding for my study in UK.</w:t>
      </w:r>
      <w:r w:rsidR="00623338" w:rsidRPr="003800BB">
        <w:rPr>
          <w:sz w:val="22"/>
        </w:rPr>
        <w:t xml:space="preserve"> </w:t>
      </w:r>
      <w:r w:rsidR="000F010F" w:rsidRPr="003800BB">
        <w:rPr>
          <w:sz w:val="22"/>
        </w:rPr>
        <w:t>M</w:t>
      </w:r>
      <w:r w:rsidR="00623338" w:rsidRPr="003800BB">
        <w:rPr>
          <w:sz w:val="22"/>
        </w:rPr>
        <w:t>y kind cousin</w:t>
      </w:r>
      <w:r w:rsidR="00CF7547">
        <w:rPr>
          <w:sz w:val="22"/>
        </w:rPr>
        <w:t>,</w:t>
      </w:r>
      <w:r w:rsidR="00697F52" w:rsidRPr="003800BB">
        <w:rPr>
          <w:sz w:val="22"/>
        </w:rPr>
        <w:t xml:space="preserve"> </w:t>
      </w:r>
      <w:proofErr w:type="spellStart"/>
      <w:r w:rsidR="00697F52" w:rsidRPr="003800BB">
        <w:rPr>
          <w:sz w:val="22"/>
        </w:rPr>
        <w:t>Guanwen</w:t>
      </w:r>
      <w:proofErr w:type="spellEnd"/>
      <w:r w:rsidR="00697F52" w:rsidRPr="003800BB">
        <w:rPr>
          <w:sz w:val="22"/>
        </w:rPr>
        <w:t xml:space="preserve"> Luo</w:t>
      </w:r>
      <w:r w:rsidR="00623338" w:rsidRPr="003800BB">
        <w:rPr>
          <w:sz w:val="22"/>
        </w:rPr>
        <w:t xml:space="preserve">, </w:t>
      </w:r>
      <w:r w:rsidR="00996369" w:rsidRPr="003800BB">
        <w:rPr>
          <w:sz w:val="22"/>
        </w:rPr>
        <w:t>who help</w:t>
      </w:r>
      <w:r w:rsidR="001A5B7F">
        <w:rPr>
          <w:sz w:val="22"/>
        </w:rPr>
        <w:t>ed</w:t>
      </w:r>
      <w:r w:rsidR="00996369" w:rsidRPr="003800BB">
        <w:rPr>
          <w:sz w:val="22"/>
        </w:rPr>
        <w:t xml:space="preserve"> me </w:t>
      </w:r>
      <w:r w:rsidR="00D56776" w:rsidRPr="003800BB">
        <w:rPr>
          <w:sz w:val="22"/>
        </w:rPr>
        <w:t xml:space="preserve">remotely </w:t>
      </w:r>
      <w:r w:rsidR="00996369" w:rsidRPr="003800BB">
        <w:rPr>
          <w:sz w:val="22"/>
        </w:rPr>
        <w:t xml:space="preserve">solve a series of personal issues </w:t>
      </w:r>
      <w:r w:rsidR="00FF414B" w:rsidRPr="003800BB">
        <w:rPr>
          <w:sz w:val="22"/>
        </w:rPr>
        <w:t>at home</w:t>
      </w:r>
      <w:r w:rsidR="0061541D" w:rsidRPr="003800BB">
        <w:rPr>
          <w:sz w:val="22"/>
        </w:rPr>
        <w:t xml:space="preserve">. </w:t>
      </w:r>
      <w:r w:rsidR="00F30567" w:rsidRPr="003800BB">
        <w:rPr>
          <w:sz w:val="22"/>
        </w:rPr>
        <w:t xml:space="preserve"> </w:t>
      </w:r>
      <w:r w:rsidR="007F6312" w:rsidRPr="003800BB">
        <w:rPr>
          <w:rFonts w:hint="eastAsia"/>
          <w:sz w:val="22"/>
        </w:rPr>
        <w:t>T</w:t>
      </w:r>
      <w:r w:rsidR="00F30567" w:rsidRPr="003800BB">
        <w:rPr>
          <w:sz w:val="22"/>
        </w:rPr>
        <w:t xml:space="preserve">o my love, </w:t>
      </w:r>
      <w:proofErr w:type="spellStart"/>
      <w:r w:rsidR="00F30567" w:rsidRPr="003800BB">
        <w:rPr>
          <w:sz w:val="22"/>
        </w:rPr>
        <w:t>Xue</w:t>
      </w:r>
      <w:proofErr w:type="spellEnd"/>
      <w:r w:rsidR="00F30567" w:rsidRPr="003800BB">
        <w:rPr>
          <w:sz w:val="22"/>
        </w:rPr>
        <w:t xml:space="preserve"> Bai, who has stood by me through all my travails, my absences</w:t>
      </w:r>
      <w:r w:rsidR="00642D6D" w:rsidRPr="003800BB">
        <w:rPr>
          <w:sz w:val="22"/>
        </w:rPr>
        <w:t xml:space="preserve"> </w:t>
      </w:r>
      <w:r w:rsidR="00F30567" w:rsidRPr="003800BB">
        <w:rPr>
          <w:sz w:val="22"/>
        </w:rPr>
        <w:t xml:space="preserve">and impatience. </w:t>
      </w:r>
      <w:r w:rsidR="005A034E" w:rsidRPr="003800BB">
        <w:rPr>
          <w:rFonts w:hint="eastAsia"/>
          <w:sz w:val="22"/>
        </w:rPr>
        <w:t>T</w:t>
      </w:r>
      <w:r w:rsidR="007F6312" w:rsidRPr="003800BB">
        <w:rPr>
          <w:rFonts w:hint="eastAsia"/>
          <w:sz w:val="22"/>
        </w:rPr>
        <w:t>hanks</w:t>
      </w:r>
      <w:r w:rsidR="007F6312" w:rsidRPr="003800BB">
        <w:rPr>
          <w:sz w:val="22"/>
        </w:rPr>
        <w:t xml:space="preserve"> </w:t>
      </w:r>
      <w:r w:rsidR="006A4897" w:rsidRPr="003800BB">
        <w:rPr>
          <w:rFonts w:hint="eastAsia"/>
          <w:sz w:val="22"/>
        </w:rPr>
        <w:t>for</w:t>
      </w:r>
      <w:r w:rsidR="006A4897" w:rsidRPr="003800BB">
        <w:rPr>
          <w:sz w:val="22"/>
        </w:rPr>
        <w:t xml:space="preserve"> </w:t>
      </w:r>
      <w:r w:rsidR="007F6312" w:rsidRPr="003800BB">
        <w:rPr>
          <w:rFonts w:hint="eastAsia"/>
          <w:sz w:val="22"/>
        </w:rPr>
        <w:t>your</w:t>
      </w:r>
      <w:r w:rsidR="00157B60" w:rsidRPr="003800BB">
        <w:rPr>
          <w:sz w:val="22"/>
        </w:rPr>
        <w:t xml:space="preserve"> </w:t>
      </w:r>
      <w:r w:rsidR="00F30567" w:rsidRPr="003800BB">
        <w:rPr>
          <w:sz w:val="22"/>
        </w:rPr>
        <w:t xml:space="preserve">support and </w:t>
      </w:r>
      <w:r w:rsidR="004742FB" w:rsidRPr="003800BB">
        <w:rPr>
          <w:rFonts w:hint="eastAsia"/>
          <w:sz w:val="22"/>
        </w:rPr>
        <w:t>com</w:t>
      </w:r>
      <w:r w:rsidR="004742FB" w:rsidRPr="003800BB">
        <w:rPr>
          <w:sz w:val="22"/>
        </w:rPr>
        <w:t>pan</w:t>
      </w:r>
      <w:r w:rsidR="003D4F41" w:rsidRPr="003800BB">
        <w:rPr>
          <w:sz w:val="22"/>
        </w:rPr>
        <w:t>i</w:t>
      </w:r>
      <w:r w:rsidR="00904F1D" w:rsidRPr="003800BB">
        <w:rPr>
          <w:sz w:val="22"/>
        </w:rPr>
        <w:t>on</w:t>
      </w:r>
      <w:r w:rsidR="003D4F41" w:rsidRPr="003800BB">
        <w:rPr>
          <w:sz w:val="22"/>
        </w:rPr>
        <w:t>ship</w:t>
      </w:r>
      <w:r w:rsidR="00F30567" w:rsidRPr="003800BB">
        <w:rPr>
          <w:sz w:val="22"/>
        </w:rPr>
        <w:t>,</w:t>
      </w:r>
      <w:r w:rsidR="00EF208B">
        <w:rPr>
          <w:sz w:val="22"/>
        </w:rPr>
        <w:t xml:space="preserve"> </w:t>
      </w:r>
      <w:r w:rsidR="006B5C2C" w:rsidRPr="003800BB">
        <w:rPr>
          <w:sz w:val="22"/>
        </w:rPr>
        <w:t xml:space="preserve">which </w:t>
      </w:r>
      <w:proofErr w:type="spellStart"/>
      <w:r w:rsidR="00D06AB3" w:rsidRPr="003800BB">
        <w:rPr>
          <w:sz w:val="22"/>
        </w:rPr>
        <w:t>g</w:t>
      </w:r>
      <w:r w:rsidR="000C25CF">
        <w:rPr>
          <w:sz w:val="22"/>
        </w:rPr>
        <w:t>a</w:t>
      </w:r>
      <w:r w:rsidR="00D06AB3" w:rsidRPr="003800BB">
        <w:rPr>
          <w:sz w:val="22"/>
        </w:rPr>
        <w:t>ves</w:t>
      </w:r>
      <w:proofErr w:type="spellEnd"/>
      <w:r w:rsidR="00D06AB3" w:rsidRPr="003800BB">
        <w:rPr>
          <w:sz w:val="22"/>
        </w:rPr>
        <w:t xml:space="preserve"> </w:t>
      </w:r>
      <w:r w:rsidR="002F5E31" w:rsidRPr="003800BB">
        <w:rPr>
          <w:sz w:val="22"/>
        </w:rPr>
        <w:t>me</w:t>
      </w:r>
      <w:r w:rsidR="00B83C1D">
        <w:rPr>
          <w:sz w:val="22"/>
        </w:rPr>
        <w:t xml:space="preserve"> </w:t>
      </w:r>
      <w:r w:rsidR="00D06AB3" w:rsidRPr="003800BB">
        <w:rPr>
          <w:sz w:val="22"/>
        </w:rPr>
        <w:t>inspiration</w:t>
      </w:r>
      <w:r w:rsidR="008C5A1C" w:rsidRPr="003800BB">
        <w:rPr>
          <w:sz w:val="22"/>
        </w:rPr>
        <w:t>s</w:t>
      </w:r>
      <w:r w:rsidR="00D06AB3" w:rsidRPr="003800BB">
        <w:rPr>
          <w:sz w:val="22"/>
        </w:rPr>
        <w:t xml:space="preserve"> </w:t>
      </w:r>
      <w:r w:rsidR="00F30567" w:rsidRPr="003800BB">
        <w:rPr>
          <w:sz w:val="22"/>
        </w:rPr>
        <w:t>and prevent</w:t>
      </w:r>
      <w:r w:rsidR="00B83C1D">
        <w:rPr>
          <w:sz w:val="22"/>
        </w:rPr>
        <w:t>ed</w:t>
      </w:r>
      <w:r w:rsidR="005E5DF8" w:rsidRPr="003800BB">
        <w:rPr>
          <w:sz w:val="22"/>
        </w:rPr>
        <w:t xml:space="preserve"> me from </w:t>
      </w:r>
      <w:r w:rsidR="00B83C1D">
        <w:rPr>
          <w:sz w:val="22"/>
        </w:rPr>
        <w:t xml:space="preserve">taking </w:t>
      </w:r>
      <w:r w:rsidR="00F30567" w:rsidRPr="003800BB">
        <w:rPr>
          <w:sz w:val="22"/>
        </w:rPr>
        <w:t>several wrong turns.</w:t>
      </w:r>
    </w:p>
    <w:p w14:paraId="591FC926" w14:textId="5DD3E8AB" w:rsidR="005A0BF6" w:rsidRPr="00706EC5" w:rsidRDefault="005A0BF6" w:rsidP="002F7360">
      <w:pPr>
        <w:spacing w:before="240" w:line="360" w:lineRule="auto"/>
      </w:pPr>
      <w:r w:rsidRPr="00706EC5">
        <w:rPr>
          <w:sz w:val="22"/>
        </w:rPr>
        <w:br w:type="page"/>
      </w:r>
    </w:p>
    <w:p w14:paraId="2221C401" w14:textId="3717838B" w:rsidR="004634E5" w:rsidRDefault="004634E5" w:rsidP="001B4FBC">
      <w:pPr>
        <w:pStyle w:val="Heading1"/>
        <w:numPr>
          <w:ilvl w:val="0"/>
          <w:numId w:val="0"/>
        </w:numPr>
        <w:ind w:left="431" w:hanging="431"/>
        <w:jc w:val="center"/>
        <w:rPr>
          <w:rStyle w:val="Heading1Char"/>
          <w:b/>
          <w:bCs/>
        </w:rPr>
      </w:pPr>
      <w:bookmarkStart w:id="13" w:name="_Toc66703164"/>
      <w:r>
        <w:rPr>
          <w:rStyle w:val="Heading1Char"/>
          <w:rFonts w:hint="eastAsia"/>
          <w:b/>
          <w:bCs/>
        </w:rPr>
        <w:lastRenderedPageBreak/>
        <w:t>Content</w:t>
      </w:r>
      <w:bookmarkEnd w:id="13"/>
    </w:p>
    <w:sdt>
      <w:sdtPr>
        <w:id w:val="378680091"/>
        <w:docPartObj>
          <w:docPartGallery w:val="Table of Contents"/>
          <w:docPartUnique/>
        </w:docPartObj>
      </w:sdtPr>
      <w:sdtEndPr>
        <w:rPr>
          <w:b/>
          <w:bCs/>
          <w:noProof/>
        </w:rPr>
      </w:sdtEndPr>
      <w:sdtContent>
        <w:p w14:paraId="71DB20D2" w14:textId="6577DAD1" w:rsidR="00636B60" w:rsidRDefault="005A0BF6">
          <w:pPr>
            <w:pStyle w:val="TOC1"/>
            <w:rPr>
              <w:rFonts w:asciiTheme="minorHAnsi" w:hAnsiTheme="minorHAnsi"/>
              <w:noProof/>
              <w:sz w:val="22"/>
            </w:rPr>
          </w:pPr>
          <w:r>
            <w:fldChar w:fldCharType="begin"/>
          </w:r>
          <w:r>
            <w:instrText xml:space="preserve"> TOC \o "1-3" \h \z \u </w:instrText>
          </w:r>
          <w:r>
            <w:fldChar w:fldCharType="separate"/>
          </w:r>
          <w:hyperlink w:anchor="_Toc66703162" w:history="1">
            <w:r w:rsidR="00636B60" w:rsidRPr="00C45953">
              <w:rPr>
                <w:rStyle w:val="Hyperlink"/>
                <w:noProof/>
              </w:rPr>
              <w:t>Abstract</w:t>
            </w:r>
            <w:r w:rsidR="00636B60">
              <w:rPr>
                <w:noProof/>
                <w:webHidden/>
              </w:rPr>
              <w:tab/>
            </w:r>
            <w:r w:rsidR="00636B60">
              <w:rPr>
                <w:noProof/>
                <w:webHidden/>
              </w:rPr>
              <w:fldChar w:fldCharType="begin"/>
            </w:r>
            <w:r w:rsidR="00636B60">
              <w:rPr>
                <w:noProof/>
                <w:webHidden/>
              </w:rPr>
              <w:instrText xml:space="preserve"> PAGEREF _Toc66703162 \h </w:instrText>
            </w:r>
            <w:r w:rsidR="00636B60">
              <w:rPr>
                <w:noProof/>
                <w:webHidden/>
              </w:rPr>
            </w:r>
            <w:r w:rsidR="00636B60">
              <w:rPr>
                <w:noProof/>
                <w:webHidden/>
              </w:rPr>
              <w:fldChar w:fldCharType="separate"/>
            </w:r>
            <w:r w:rsidR="00636B60">
              <w:rPr>
                <w:noProof/>
                <w:webHidden/>
              </w:rPr>
              <w:t>i</w:t>
            </w:r>
            <w:r w:rsidR="00636B60">
              <w:rPr>
                <w:noProof/>
                <w:webHidden/>
              </w:rPr>
              <w:fldChar w:fldCharType="end"/>
            </w:r>
          </w:hyperlink>
        </w:p>
        <w:p w14:paraId="7E87048F" w14:textId="1145ACFC" w:rsidR="00636B60" w:rsidRDefault="000306D9">
          <w:pPr>
            <w:pStyle w:val="TOC1"/>
            <w:rPr>
              <w:rFonts w:asciiTheme="minorHAnsi" w:hAnsiTheme="minorHAnsi"/>
              <w:noProof/>
              <w:sz w:val="22"/>
            </w:rPr>
          </w:pPr>
          <w:hyperlink w:anchor="_Toc66703163" w:history="1">
            <w:r w:rsidR="00636B60" w:rsidRPr="00C45953">
              <w:rPr>
                <w:rStyle w:val="Hyperlink"/>
                <w:noProof/>
              </w:rPr>
              <w:t>Acknowledgement</w:t>
            </w:r>
            <w:r w:rsidR="00636B60">
              <w:rPr>
                <w:noProof/>
                <w:webHidden/>
              </w:rPr>
              <w:tab/>
            </w:r>
            <w:r w:rsidR="00636B60">
              <w:rPr>
                <w:noProof/>
                <w:webHidden/>
              </w:rPr>
              <w:fldChar w:fldCharType="begin"/>
            </w:r>
            <w:r w:rsidR="00636B60">
              <w:rPr>
                <w:noProof/>
                <w:webHidden/>
              </w:rPr>
              <w:instrText xml:space="preserve"> PAGEREF _Toc66703163 \h </w:instrText>
            </w:r>
            <w:r w:rsidR="00636B60">
              <w:rPr>
                <w:noProof/>
                <w:webHidden/>
              </w:rPr>
            </w:r>
            <w:r w:rsidR="00636B60">
              <w:rPr>
                <w:noProof/>
                <w:webHidden/>
              </w:rPr>
              <w:fldChar w:fldCharType="separate"/>
            </w:r>
            <w:r w:rsidR="00636B60">
              <w:rPr>
                <w:noProof/>
                <w:webHidden/>
              </w:rPr>
              <w:t>iii</w:t>
            </w:r>
            <w:r w:rsidR="00636B60">
              <w:rPr>
                <w:noProof/>
                <w:webHidden/>
              </w:rPr>
              <w:fldChar w:fldCharType="end"/>
            </w:r>
          </w:hyperlink>
        </w:p>
        <w:p w14:paraId="1CC6CDEC" w14:textId="72939E3B" w:rsidR="00636B60" w:rsidRDefault="000306D9">
          <w:pPr>
            <w:pStyle w:val="TOC1"/>
            <w:rPr>
              <w:rFonts w:asciiTheme="minorHAnsi" w:hAnsiTheme="minorHAnsi"/>
              <w:noProof/>
              <w:sz w:val="22"/>
            </w:rPr>
          </w:pPr>
          <w:hyperlink w:anchor="_Toc66703164" w:history="1">
            <w:r w:rsidR="00636B60" w:rsidRPr="00C45953">
              <w:rPr>
                <w:rStyle w:val="Hyperlink"/>
                <w:noProof/>
              </w:rPr>
              <w:t>Content</w:t>
            </w:r>
            <w:r w:rsidR="00636B60">
              <w:rPr>
                <w:noProof/>
                <w:webHidden/>
              </w:rPr>
              <w:tab/>
            </w:r>
            <w:r w:rsidR="00636B60">
              <w:rPr>
                <w:noProof/>
                <w:webHidden/>
              </w:rPr>
              <w:fldChar w:fldCharType="begin"/>
            </w:r>
            <w:r w:rsidR="00636B60">
              <w:rPr>
                <w:noProof/>
                <w:webHidden/>
              </w:rPr>
              <w:instrText xml:space="preserve"> PAGEREF _Toc66703164 \h </w:instrText>
            </w:r>
            <w:r w:rsidR="00636B60">
              <w:rPr>
                <w:noProof/>
                <w:webHidden/>
              </w:rPr>
            </w:r>
            <w:r w:rsidR="00636B60">
              <w:rPr>
                <w:noProof/>
                <w:webHidden/>
              </w:rPr>
              <w:fldChar w:fldCharType="separate"/>
            </w:r>
            <w:r w:rsidR="00636B60">
              <w:rPr>
                <w:noProof/>
                <w:webHidden/>
              </w:rPr>
              <w:t>iv</w:t>
            </w:r>
            <w:r w:rsidR="00636B60">
              <w:rPr>
                <w:noProof/>
                <w:webHidden/>
              </w:rPr>
              <w:fldChar w:fldCharType="end"/>
            </w:r>
          </w:hyperlink>
        </w:p>
        <w:p w14:paraId="11D6A6D6" w14:textId="1758FA67" w:rsidR="00636B60" w:rsidRDefault="000306D9">
          <w:pPr>
            <w:pStyle w:val="TOC1"/>
            <w:rPr>
              <w:rFonts w:asciiTheme="minorHAnsi" w:hAnsiTheme="minorHAnsi"/>
              <w:noProof/>
              <w:sz w:val="22"/>
            </w:rPr>
          </w:pPr>
          <w:hyperlink w:anchor="_Toc66703165" w:history="1">
            <w:r w:rsidR="00636B60" w:rsidRPr="00C45953">
              <w:rPr>
                <w:rStyle w:val="Hyperlink"/>
                <w:noProof/>
              </w:rPr>
              <w:t>List of Figure</w:t>
            </w:r>
            <w:r w:rsidR="00636B60">
              <w:rPr>
                <w:noProof/>
                <w:webHidden/>
              </w:rPr>
              <w:tab/>
            </w:r>
            <w:r w:rsidR="00636B60">
              <w:rPr>
                <w:noProof/>
                <w:webHidden/>
              </w:rPr>
              <w:fldChar w:fldCharType="begin"/>
            </w:r>
            <w:r w:rsidR="00636B60">
              <w:rPr>
                <w:noProof/>
                <w:webHidden/>
              </w:rPr>
              <w:instrText xml:space="preserve"> PAGEREF _Toc66703165 \h </w:instrText>
            </w:r>
            <w:r w:rsidR="00636B60">
              <w:rPr>
                <w:noProof/>
                <w:webHidden/>
              </w:rPr>
            </w:r>
            <w:r w:rsidR="00636B60">
              <w:rPr>
                <w:noProof/>
                <w:webHidden/>
              </w:rPr>
              <w:fldChar w:fldCharType="separate"/>
            </w:r>
            <w:r w:rsidR="00636B60">
              <w:rPr>
                <w:noProof/>
                <w:webHidden/>
              </w:rPr>
              <w:t>x</w:t>
            </w:r>
            <w:r w:rsidR="00636B60">
              <w:rPr>
                <w:noProof/>
                <w:webHidden/>
              </w:rPr>
              <w:fldChar w:fldCharType="end"/>
            </w:r>
          </w:hyperlink>
        </w:p>
        <w:p w14:paraId="72CB19E2" w14:textId="7A25F6F6" w:rsidR="00636B60" w:rsidRDefault="000306D9">
          <w:pPr>
            <w:pStyle w:val="TOC1"/>
            <w:rPr>
              <w:rFonts w:asciiTheme="minorHAnsi" w:hAnsiTheme="minorHAnsi"/>
              <w:noProof/>
              <w:sz w:val="22"/>
            </w:rPr>
          </w:pPr>
          <w:hyperlink w:anchor="_Toc66703166" w:history="1">
            <w:r w:rsidR="00636B60" w:rsidRPr="00C45953">
              <w:rPr>
                <w:rStyle w:val="Hyperlink"/>
                <w:noProof/>
              </w:rPr>
              <w:t>List of Table</w:t>
            </w:r>
            <w:r w:rsidR="00636B60">
              <w:rPr>
                <w:noProof/>
                <w:webHidden/>
              </w:rPr>
              <w:tab/>
            </w:r>
            <w:r w:rsidR="00636B60">
              <w:rPr>
                <w:noProof/>
                <w:webHidden/>
              </w:rPr>
              <w:fldChar w:fldCharType="begin"/>
            </w:r>
            <w:r w:rsidR="00636B60">
              <w:rPr>
                <w:noProof/>
                <w:webHidden/>
              </w:rPr>
              <w:instrText xml:space="preserve"> PAGEREF _Toc66703166 \h </w:instrText>
            </w:r>
            <w:r w:rsidR="00636B60">
              <w:rPr>
                <w:noProof/>
                <w:webHidden/>
              </w:rPr>
            </w:r>
            <w:r w:rsidR="00636B60">
              <w:rPr>
                <w:noProof/>
                <w:webHidden/>
              </w:rPr>
              <w:fldChar w:fldCharType="separate"/>
            </w:r>
            <w:r w:rsidR="00636B60">
              <w:rPr>
                <w:noProof/>
                <w:webHidden/>
              </w:rPr>
              <w:t>xii</w:t>
            </w:r>
            <w:r w:rsidR="00636B60">
              <w:rPr>
                <w:noProof/>
                <w:webHidden/>
              </w:rPr>
              <w:fldChar w:fldCharType="end"/>
            </w:r>
          </w:hyperlink>
        </w:p>
        <w:p w14:paraId="74ACF181" w14:textId="5A60E3BD" w:rsidR="00636B60" w:rsidRDefault="000306D9">
          <w:pPr>
            <w:pStyle w:val="TOC1"/>
            <w:rPr>
              <w:rFonts w:asciiTheme="minorHAnsi" w:hAnsiTheme="minorHAnsi"/>
              <w:noProof/>
              <w:sz w:val="22"/>
            </w:rPr>
          </w:pPr>
          <w:hyperlink w:anchor="_Toc66703167" w:history="1">
            <w:r w:rsidR="00636B60" w:rsidRPr="00C45953">
              <w:rPr>
                <w:rStyle w:val="Hyperlink"/>
                <w:noProof/>
              </w:rPr>
              <w:t>List of Abbreviations</w:t>
            </w:r>
            <w:r w:rsidR="00636B60">
              <w:rPr>
                <w:noProof/>
                <w:webHidden/>
              </w:rPr>
              <w:tab/>
            </w:r>
            <w:r w:rsidR="00636B60">
              <w:rPr>
                <w:noProof/>
                <w:webHidden/>
              </w:rPr>
              <w:fldChar w:fldCharType="begin"/>
            </w:r>
            <w:r w:rsidR="00636B60">
              <w:rPr>
                <w:noProof/>
                <w:webHidden/>
              </w:rPr>
              <w:instrText xml:space="preserve"> PAGEREF _Toc66703167 \h </w:instrText>
            </w:r>
            <w:r w:rsidR="00636B60">
              <w:rPr>
                <w:noProof/>
                <w:webHidden/>
              </w:rPr>
            </w:r>
            <w:r w:rsidR="00636B60">
              <w:rPr>
                <w:noProof/>
                <w:webHidden/>
              </w:rPr>
              <w:fldChar w:fldCharType="separate"/>
            </w:r>
            <w:r w:rsidR="00636B60">
              <w:rPr>
                <w:noProof/>
                <w:webHidden/>
              </w:rPr>
              <w:t>xv</w:t>
            </w:r>
            <w:r w:rsidR="00636B60">
              <w:rPr>
                <w:noProof/>
                <w:webHidden/>
              </w:rPr>
              <w:fldChar w:fldCharType="end"/>
            </w:r>
          </w:hyperlink>
        </w:p>
        <w:p w14:paraId="29B9CC30" w14:textId="2B2DF94A" w:rsidR="00636B60" w:rsidRDefault="000306D9">
          <w:pPr>
            <w:pStyle w:val="TOC1"/>
            <w:tabs>
              <w:tab w:val="left" w:pos="1320"/>
            </w:tabs>
            <w:rPr>
              <w:rFonts w:asciiTheme="minorHAnsi" w:hAnsiTheme="minorHAnsi"/>
              <w:noProof/>
              <w:sz w:val="22"/>
            </w:rPr>
          </w:pPr>
          <w:hyperlink w:anchor="_Toc66703168" w:history="1">
            <w:r w:rsidR="00636B60" w:rsidRPr="00C45953">
              <w:rPr>
                <w:rStyle w:val="Hyperlink"/>
                <w:noProof/>
              </w:rPr>
              <w:t>Chapter 1:</w:t>
            </w:r>
            <w:r w:rsidR="00636B60">
              <w:rPr>
                <w:rFonts w:asciiTheme="minorHAnsi" w:hAnsiTheme="minorHAnsi"/>
                <w:noProof/>
                <w:sz w:val="22"/>
              </w:rPr>
              <w:tab/>
            </w:r>
            <w:r w:rsidR="00636B60" w:rsidRPr="00C45953">
              <w:rPr>
                <w:rStyle w:val="Hyperlink"/>
                <w:noProof/>
              </w:rPr>
              <w:t>Introduction</w:t>
            </w:r>
            <w:r w:rsidR="00636B60">
              <w:rPr>
                <w:noProof/>
                <w:webHidden/>
              </w:rPr>
              <w:tab/>
            </w:r>
            <w:r w:rsidR="00636B60">
              <w:rPr>
                <w:noProof/>
                <w:webHidden/>
              </w:rPr>
              <w:fldChar w:fldCharType="begin"/>
            </w:r>
            <w:r w:rsidR="00636B60">
              <w:rPr>
                <w:noProof/>
                <w:webHidden/>
              </w:rPr>
              <w:instrText xml:space="preserve"> PAGEREF _Toc66703168 \h </w:instrText>
            </w:r>
            <w:r w:rsidR="00636B60">
              <w:rPr>
                <w:noProof/>
                <w:webHidden/>
              </w:rPr>
            </w:r>
            <w:r w:rsidR="00636B60">
              <w:rPr>
                <w:noProof/>
                <w:webHidden/>
              </w:rPr>
              <w:fldChar w:fldCharType="separate"/>
            </w:r>
            <w:r w:rsidR="00636B60">
              <w:rPr>
                <w:noProof/>
                <w:webHidden/>
              </w:rPr>
              <w:t>1</w:t>
            </w:r>
            <w:r w:rsidR="00636B60">
              <w:rPr>
                <w:noProof/>
                <w:webHidden/>
              </w:rPr>
              <w:fldChar w:fldCharType="end"/>
            </w:r>
          </w:hyperlink>
        </w:p>
        <w:p w14:paraId="57DB1DAF" w14:textId="653B01D3" w:rsidR="00636B60" w:rsidRDefault="000306D9">
          <w:pPr>
            <w:pStyle w:val="TOC2"/>
            <w:rPr>
              <w:rFonts w:asciiTheme="minorHAnsi" w:eastAsiaTheme="minorEastAsia" w:hAnsiTheme="minorHAnsi" w:cstheme="minorBidi"/>
              <w:kern w:val="0"/>
              <w:sz w:val="22"/>
            </w:rPr>
          </w:pPr>
          <w:hyperlink w:anchor="_Toc66703169" w:history="1">
            <w:r w:rsidR="00636B60" w:rsidRPr="00C45953">
              <w:rPr>
                <w:rStyle w:val="Hyperlink"/>
              </w:rPr>
              <w:t>1.1</w:t>
            </w:r>
            <w:r w:rsidR="00636B60">
              <w:rPr>
                <w:rFonts w:asciiTheme="minorHAnsi" w:eastAsiaTheme="minorEastAsia" w:hAnsiTheme="minorHAnsi" w:cstheme="minorBidi"/>
                <w:kern w:val="0"/>
                <w:sz w:val="22"/>
              </w:rPr>
              <w:tab/>
            </w:r>
            <w:r w:rsidR="00636B60" w:rsidRPr="00C45953">
              <w:rPr>
                <w:rStyle w:val="Hyperlink"/>
              </w:rPr>
              <w:t>General definition of ‘urban logistics’ (UL)</w:t>
            </w:r>
            <w:r w:rsidR="00636B60">
              <w:rPr>
                <w:webHidden/>
              </w:rPr>
              <w:tab/>
            </w:r>
            <w:r w:rsidR="00636B60">
              <w:rPr>
                <w:webHidden/>
              </w:rPr>
              <w:fldChar w:fldCharType="begin"/>
            </w:r>
            <w:r w:rsidR="00636B60">
              <w:rPr>
                <w:webHidden/>
              </w:rPr>
              <w:instrText xml:space="preserve"> PAGEREF _Toc66703169 \h </w:instrText>
            </w:r>
            <w:r w:rsidR="00636B60">
              <w:rPr>
                <w:webHidden/>
              </w:rPr>
            </w:r>
            <w:r w:rsidR="00636B60">
              <w:rPr>
                <w:webHidden/>
              </w:rPr>
              <w:fldChar w:fldCharType="separate"/>
            </w:r>
            <w:r w:rsidR="00636B60">
              <w:rPr>
                <w:webHidden/>
              </w:rPr>
              <w:t>1</w:t>
            </w:r>
            <w:r w:rsidR="00636B60">
              <w:rPr>
                <w:webHidden/>
              </w:rPr>
              <w:fldChar w:fldCharType="end"/>
            </w:r>
          </w:hyperlink>
        </w:p>
        <w:p w14:paraId="0C0EB106" w14:textId="755AB37F" w:rsidR="00636B60" w:rsidRDefault="000306D9">
          <w:pPr>
            <w:pStyle w:val="TOC2"/>
            <w:rPr>
              <w:rFonts w:asciiTheme="minorHAnsi" w:eastAsiaTheme="minorEastAsia" w:hAnsiTheme="minorHAnsi" w:cstheme="minorBidi"/>
              <w:kern w:val="0"/>
              <w:sz w:val="22"/>
            </w:rPr>
          </w:pPr>
          <w:hyperlink w:anchor="_Toc66703170" w:history="1">
            <w:r w:rsidR="00636B60" w:rsidRPr="00C45953">
              <w:rPr>
                <w:rStyle w:val="Hyperlink"/>
              </w:rPr>
              <w:t>1.2</w:t>
            </w:r>
            <w:r w:rsidR="00636B60">
              <w:rPr>
                <w:rFonts w:asciiTheme="minorHAnsi" w:eastAsiaTheme="minorEastAsia" w:hAnsiTheme="minorHAnsi" w:cstheme="minorBidi"/>
                <w:kern w:val="0"/>
                <w:sz w:val="22"/>
              </w:rPr>
              <w:tab/>
            </w:r>
            <w:r w:rsidR="00636B60" w:rsidRPr="00C45953">
              <w:rPr>
                <w:rStyle w:val="Hyperlink"/>
              </w:rPr>
              <w:t>Sustainable urban development (SUD)</w:t>
            </w:r>
            <w:r w:rsidR="00636B60">
              <w:rPr>
                <w:webHidden/>
              </w:rPr>
              <w:tab/>
            </w:r>
            <w:r w:rsidR="00636B60">
              <w:rPr>
                <w:webHidden/>
              </w:rPr>
              <w:fldChar w:fldCharType="begin"/>
            </w:r>
            <w:r w:rsidR="00636B60">
              <w:rPr>
                <w:webHidden/>
              </w:rPr>
              <w:instrText xml:space="preserve"> PAGEREF _Toc66703170 \h </w:instrText>
            </w:r>
            <w:r w:rsidR="00636B60">
              <w:rPr>
                <w:webHidden/>
              </w:rPr>
            </w:r>
            <w:r w:rsidR="00636B60">
              <w:rPr>
                <w:webHidden/>
              </w:rPr>
              <w:fldChar w:fldCharType="separate"/>
            </w:r>
            <w:r w:rsidR="00636B60">
              <w:rPr>
                <w:webHidden/>
              </w:rPr>
              <w:t>5</w:t>
            </w:r>
            <w:r w:rsidR="00636B60">
              <w:rPr>
                <w:webHidden/>
              </w:rPr>
              <w:fldChar w:fldCharType="end"/>
            </w:r>
          </w:hyperlink>
        </w:p>
        <w:p w14:paraId="2AA9DC9E" w14:textId="4963C725" w:rsidR="00636B60" w:rsidRDefault="000306D9">
          <w:pPr>
            <w:pStyle w:val="TOC2"/>
            <w:rPr>
              <w:rFonts w:asciiTheme="minorHAnsi" w:eastAsiaTheme="minorEastAsia" w:hAnsiTheme="minorHAnsi" w:cstheme="minorBidi"/>
              <w:kern w:val="0"/>
              <w:sz w:val="22"/>
            </w:rPr>
          </w:pPr>
          <w:hyperlink w:anchor="_Toc66703171" w:history="1">
            <w:r w:rsidR="00636B60" w:rsidRPr="00C45953">
              <w:rPr>
                <w:rStyle w:val="Hyperlink"/>
              </w:rPr>
              <w:t>1.3</w:t>
            </w:r>
            <w:r w:rsidR="00636B60">
              <w:rPr>
                <w:rFonts w:asciiTheme="minorHAnsi" w:eastAsiaTheme="minorEastAsia" w:hAnsiTheme="minorHAnsi" w:cstheme="minorBidi"/>
                <w:kern w:val="0"/>
                <w:sz w:val="22"/>
              </w:rPr>
              <w:tab/>
            </w:r>
            <w:r w:rsidR="00636B60" w:rsidRPr="00C45953">
              <w:rPr>
                <w:rStyle w:val="Hyperlink"/>
              </w:rPr>
              <w:t>Sustainable urban logistics (SUL)</w:t>
            </w:r>
            <w:r w:rsidR="00636B60">
              <w:rPr>
                <w:webHidden/>
              </w:rPr>
              <w:tab/>
            </w:r>
            <w:r w:rsidR="00636B60">
              <w:rPr>
                <w:webHidden/>
              </w:rPr>
              <w:fldChar w:fldCharType="begin"/>
            </w:r>
            <w:r w:rsidR="00636B60">
              <w:rPr>
                <w:webHidden/>
              </w:rPr>
              <w:instrText xml:space="preserve"> PAGEREF _Toc66703171 \h </w:instrText>
            </w:r>
            <w:r w:rsidR="00636B60">
              <w:rPr>
                <w:webHidden/>
              </w:rPr>
            </w:r>
            <w:r w:rsidR="00636B60">
              <w:rPr>
                <w:webHidden/>
              </w:rPr>
              <w:fldChar w:fldCharType="separate"/>
            </w:r>
            <w:r w:rsidR="00636B60">
              <w:rPr>
                <w:webHidden/>
              </w:rPr>
              <w:t>11</w:t>
            </w:r>
            <w:r w:rsidR="00636B60">
              <w:rPr>
                <w:webHidden/>
              </w:rPr>
              <w:fldChar w:fldCharType="end"/>
            </w:r>
          </w:hyperlink>
        </w:p>
        <w:p w14:paraId="51815E08" w14:textId="05BD3ABA" w:rsidR="00636B60" w:rsidRDefault="000306D9">
          <w:pPr>
            <w:pStyle w:val="TOC2"/>
            <w:rPr>
              <w:rFonts w:asciiTheme="minorHAnsi" w:eastAsiaTheme="minorEastAsia" w:hAnsiTheme="minorHAnsi" w:cstheme="minorBidi"/>
              <w:kern w:val="0"/>
              <w:sz w:val="22"/>
            </w:rPr>
          </w:pPr>
          <w:hyperlink w:anchor="_Toc66703172" w:history="1">
            <w:r w:rsidR="00636B60" w:rsidRPr="00C45953">
              <w:rPr>
                <w:rStyle w:val="Hyperlink"/>
              </w:rPr>
              <w:t>1.4</w:t>
            </w:r>
            <w:r w:rsidR="00636B60">
              <w:rPr>
                <w:rFonts w:asciiTheme="minorHAnsi" w:eastAsiaTheme="minorEastAsia" w:hAnsiTheme="minorHAnsi" w:cstheme="minorBidi"/>
                <w:kern w:val="0"/>
                <w:sz w:val="22"/>
              </w:rPr>
              <w:tab/>
            </w:r>
            <w:r w:rsidR="00636B60" w:rsidRPr="00C45953">
              <w:rPr>
                <w:rStyle w:val="Hyperlink"/>
              </w:rPr>
              <w:t>Urban consolidation centres (UCC)</w:t>
            </w:r>
            <w:r w:rsidR="00636B60">
              <w:rPr>
                <w:webHidden/>
              </w:rPr>
              <w:tab/>
            </w:r>
            <w:r w:rsidR="00636B60">
              <w:rPr>
                <w:webHidden/>
              </w:rPr>
              <w:fldChar w:fldCharType="begin"/>
            </w:r>
            <w:r w:rsidR="00636B60">
              <w:rPr>
                <w:webHidden/>
              </w:rPr>
              <w:instrText xml:space="preserve"> PAGEREF _Toc66703172 \h </w:instrText>
            </w:r>
            <w:r w:rsidR="00636B60">
              <w:rPr>
                <w:webHidden/>
              </w:rPr>
            </w:r>
            <w:r w:rsidR="00636B60">
              <w:rPr>
                <w:webHidden/>
              </w:rPr>
              <w:fldChar w:fldCharType="separate"/>
            </w:r>
            <w:r w:rsidR="00636B60">
              <w:rPr>
                <w:webHidden/>
              </w:rPr>
              <w:t>16</w:t>
            </w:r>
            <w:r w:rsidR="00636B60">
              <w:rPr>
                <w:webHidden/>
              </w:rPr>
              <w:fldChar w:fldCharType="end"/>
            </w:r>
          </w:hyperlink>
        </w:p>
        <w:p w14:paraId="6B01416E" w14:textId="72A7F13B" w:rsidR="00636B60" w:rsidRDefault="000306D9">
          <w:pPr>
            <w:pStyle w:val="TOC2"/>
            <w:rPr>
              <w:rFonts w:asciiTheme="minorHAnsi" w:eastAsiaTheme="minorEastAsia" w:hAnsiTheme="minorHAnsi" w:cstheme="minorBidi"/>
              <w:kern w:val="0"/>
              <w:sz w:val="22"/>
            </w:rPr>
          </w:pPr>
          <w:hyperlink w:anchor="_Toc66703173" w:history="1">
            <w:r w:rsidR="00636B60" w:rsidRPr="00C45953">
              <w:rPr>
                <w:rStyle w:val="Hyperlink"/>
              </w:rPr>
              <w:t>1.5</w:t>
            </w:r>
            <w:r w:rsidR="00636B60">
              <w:rPr>
                <w:rFonts w:asciiTheme="minorHAnsi" w:eastAsiaTheme="minorEastAsia" w:hAnsiTheme="minorHAnsi" w:cstheme="minorBidi"/>
                <w:kern w:val="0"/>
                <w:sz w:val="22"/>
              </w:rPr>
              <w:tab/>
            </w:r>
            <w:r w:rsidR="00636B60" w:rsidRPr="00C45953">
              <w:rPr>
                <w:rStyle w:val="Hyperlink"/>
              </w:rPr>
              <w:t>Thesis outline</w:t>
            </w:r>
            <w:r w:rsidR="00636B60">
              <w:rPr>
                <w:webHidden/>
              </w:rPr>
              <w:tab/>
            </w:r>
            <w:r w:rsidR="00636B60">
              <w:rPr>
                <w:webHidden/>
              </w:rPr>
              <w:fldChar w:fldCharType="begin"/>
            </w:r>
            <w:r w:rsidR="00636B60">
              <w:rPr>
                <w:webHidden/>
              </w:rPr>
              <w:instrText xml:space="preserve"> PAGEREF _Toc66703173 \h </w:instrText>
            </w:r>
            <w:r w:rsidR="00636B60">
              <w:rPr>
                <w:webHidden/>
              </w:rPr>
            </w:r>
            <w:r w:rsidR="00636B60">
              <w:rPr>
                <w:webHidden/>
              </w:rPr>
              <w:fldChar w:fldCharType="separate"/>
            </w:r>
            <w:r w:rsidR="00636B60">
              <w:rPr>
                <w:webHidden/>
              </w:rPr>
              <w:t>18</w:t>
            </w:r>
            <w:r w:rsidR="00636B60">
              <w:rPr>
                <w:webHidden/>
              </w:rPr>
              <w:fldChar w:fldCharType="end"/>
            </w:r>
          </w:hyperlink>
        </w:p>
        <w:p w14:paraId="2A3801B6" w14:textId="460B1680" w:rsidR="00636B60" w:rsidRDefault="000306D9">
          <w:pPr>
            <w:pStyle w:val="TOC2"/>
            <w:rPr>
              <w:rFonts w:asciiTheme="minorHAnsi" w:eastAsiaTheme="minorEastAsia" w:hAnsiTheme="minorHAnsi" w:cstheme="minorBidi"/>
              <w:kern w:val="0"/>
              <w:sz w:val="22"/>
            </w:rPr>
          </w:pPr>
          <w:hyperlink w:anchor="_Toc66703174" w:history="1">
            <w:r w:rsidR="00636B60" w:rsidRPr="00C45953">
              <w:rPr>
                <w:rStyle w:val="Hyperlink"/>
              </w:rPr>
              <w:t>1.6</w:t>
            </w:r>
            <w:r w:rsidR="00636B60">
              <w:rPr>
                <w:rFonts w:asciiTheme="minorHAnsi" w:eastAsiaTheme="minorEastAsia" w:hAnsiTheme="minorHAnsi" w:cstheme="minorBidi"/>
                <w:kern w:val="0"/>
                <w:sz w:val="22"/>
              </w:rPr>
              <w:tab/>
            </w:r>
            <w:r w:rsidR="00636B60" w:rsidRPr="00C45953">
              <w:rPr>
                <w:rStyle w:val="Hyperlink"/>
              </w:rPr>
              <w:t>Chapter summary</w:t>
            </w:r>
            <w:r w:rsidR="00636B60">
              <w:rPr>
                <w:webHidden/>
              </w:rPr>
              <w:tab/>
            </w:r>
            <w:r w:rsidR="00636B60">
              <w:rPr>
                <w:webHidden/>
              </w:rPr>
              <w:fldChar w:fldCharType="begin"/>
            </w:r>
            <w:r w:rsidR="00636B60">
              <w:rPr>
                <w:webHidden/>
              </w:rPr>
              <w:instrText xml:space="preserve"> PAGEREF _Toc66703174 \h </w:instrText>
            </w:r>
            <w:r w:rsidR="00636B60">
              <w:rPr>
                <w:webHidden/>
              </w:rPr>
            </w:r>
            <w:r w:rsidR="00636B60">
              <w:rPr>
                <w:webHidden/>
              </w:rPr>
              <w:fldChar w:fldCharType="separate"/>
            </w:r>
            <w:r w:rsidR="00636B60">
              <w:rPr>
                <w:webHidden/>
              </w:rPr>
              <w:t>19</w:t>
            </w:r>
            <w:r w:rsidR="00636B60">
              <w:rPr>
                <w:webHidden/>
              </w:rPr>
              <w:fldChar w:fldCharType="end"/>
            </w:r>
          </w:hyperlink>
        </w:p>
        <w:p w14:paraId="41A67A8F" w14:textId="13E807D0" w:rsidR="00636B60" w:rsidRDefault="000306D9">
          <w:pPr>
            <w:pStyle w:val="TOC1"/>
            <w:tabs>
              <w:tab w:val="left" w:pos="1320"/>
            </w:tabs>
            <w:rPr>
              <w:rFonts w:asciiTheme="minorHAnsi" w:hAnsiTheme="minorHAnsi"/>
              <w:noProof/>
              <w:sz w:val="22"/>
            </w:rPr>
          </w:pPr>
          <w:hyperlink w:anchor="_Toc66703175" w:history="1">
            <w:r w:rsidR="00636B60" w:rsidRPr="00C45953">
              <w:rPr>
                <w:rStyle w:val="Hyperlink"/>
                <w:rFonts w:cs="Times New Roman"/>
                <w:noProof/>
              </w:rPr>
              <w:t>Chapter 2:</w:t>
            </w:r>
            <w:r w:rsidR="00636B60">
              <w:rPr>
                <w:rFonts w:asciiTheme="minorHAnsi" w:hAnsiTheme="minorHAnsi"/>
                <w:noProof/>
                <w:sz w:val="22"/>
              </w:rPr>
              <w:tab/>
            </w:r>
            <w:r w:rsidR="00636B60" w:rsidRPr="00C45953">
              <w:rPr>
                <w:rStyle w:val="Hyperlink"/>
                <w:rFonts w:cs="Times New Roman"/>
                <w:noProof/>
              </w:rPr>
              <w:t>Literature review</w:t>
            </w:r>
            <w:r w:rsidR="00636B60">
              <w:rPr>
                <w:noProof/>
                <w:webHidden/>
              </w:rPr>
              <w:tab/>
            </w:r>
            <w:r w:rsidR="00636B60">
              <w:rPr>
                <w:noProof/>
                <w:webHidden/>
              </w:rPr>
              <w:fldChar w:fldCharType="begin"/>
            </w:r>
            <w:r w:rsidR="00636B60">
              <w:rPr>
                <w:noProof/>
                <w:webHidden/>
              </w:rPr>
              <w:instrText xml:space="preserve"> PAGEREF _Toc66703175 \h </w:instrText>
            </w:r>
            <w:r w:rsidR="00636B60">
              <w:rPr>
                <w:noProof/>
                <w:webHidden/>
              </w:rPr>
            </w:r>
            <w:r w:rsidR="00636B60">
              <w:rPr>
                <w:noProof/>
                <w:webHidden/>
              </w:rPr>
              <w:fldChar w:fldCharType="separate"/>
            </w:r>
            <w:r w:rsidR="00636B60">
              <w:rPr>
                <w:noProof/>
                <w:webHidden/>
              </w:rPr>
              <w:t>20</w:t>
            </w:r>
            <w:r w:rsidR="00636B60">
              <w:rPr>
                <w:noProof/>
                <w:webHidden/>
              </w:rPr>
              <w:fldChar w:fldCharType="end"/>
            </w:r>
          </w:hyperlink>
        </w:p>
        <w:p w14:paraId="2AB898D1" w14:textId="4CC1955A" w:rsidR="00636B60" w:rsidRDefault="000306D9">
          <w:pPr>
            <w:pStyle w:val="TOC2"/>
            <w:rPr>
              <w:rFonts w:asciiTheme="minorHAnsi" w:eastAsiaTheme="minorEastAsia" w:hAnsiTheme="minorHAnsi" w:cstheme="minorBidi"/>
              <w:kern w:val="0"/>
              <w:sz w:val="22"/>
            </w:rPr>
          </w:pPr>
          <w:hyperlink w:anchor="_Toc66703176" w:history="1">
            <w:r w:rsidR="00636B60" w:rsidRPr="00C45953">
              <w:rPr>
                <w:rStyle w:val="Hyperlink"/>
              </w:rPr>
              <w:t>2.1</w:t>
            </w:r>
            <w:r w:rsidR="00636B60">
              <w:rPr>
                <w:rFonts w:asciiTheme="minorHAnsi" w:eastAsiaTheme="minorEastAsia" w:hAnsiTheme="minorHAnsi" w:cstheme="minorBidi"/>
                <w:kern w:val="0"/>
                <w:sz w:val="22"/>
              </w:rPr>
              <w:tab/>
            </w:r>
            <w:r w:rsidR="00636B60" w:rsidRPr="00C45953">
              <w:rPr>
                <w:rStyle w:val="Hyperlink"/>
              </w:rPr>
              <w:t>Paper selection and analysis of urban logistics (UL)</w:t>
            </w:r>
            <w:r w:rsidR="00636B60">
              <w:rPr>
                <w:webHidden/>
              </w:rPr>
              <w:tab/>
            </w:r>
            <w:r w:rsidR="00636B60">
              <w:rPr>
                <w:webHidden/>
              </w:rPr>
              <w:fldChar w:fldCharType="begin"/>
            </w:r>
            <w:r w:rsidR="00636B60">
              <w:rPr>
                <w:webHidden/>
              </w:rPr>
              <w:instrText xml:space="preserve"> PAGEREF _Toc66703176 \h </w:instrText>
            </w:r>
            <w:r w:rsidR="00636B60">
              <w:rPr>
                <w:webHidden/>
              </w:rPr>
            </w:r>
            <w:r w:rsidR="00636B60">
              <w:rPr>
                <w:webHidden/>
              </w:rPr>
              <w:fldChar w:fldCharType="separate"/>
            </w:r>
            <w:r w:rsidR="00636B60">
              <w:rPr>
                <w:webHidden/>
              </w:rPr>
              <w:t>20</w:t>
            </w:r>
            <w:r w:rsidR="00636B60">
              <w:rPr>
                <w:webHidden/>
              </w:rPr>
              <w:fldChar w:fldCharType="end"/>
            </w:r>
          </w:hyperlink>
        </w:p>
        <w:p w14:paraId="06CB4DBD" w14:textId="1B565290" w:rsidR="00636B60" w:rsidRDefault="000306D9">
          <w:pPr>
            <w:pStyle w:val="TOC2"/>
            <w:rPr>
              <w:rFonts w:asciiTheme="minorHAnsi" w:eastAsiaTheme="minorEastAsia" w:hAnsiTheme="minorHAnsi" w:cstheme="minorBidi"/>
              <w:kern w:val="0"/>
              <w:sz w:val="22"/>
            </w:rPr>
          </w:pPr>
          <w:hyperlink w:anchor="_Toc66703177" w:history="1">
            <w:r w:rsidR="00636B60" w:rsidRPr="00C45953">
              <w:rPr>
                <w:rStyle w:val="Hyperlink"/>
              </w:rPr>
              <w:t>2.2</w:t>
            </w:r>
            <w:r w:rsidR="00636B60">
              <w:rPr>
                <w:rFonts w:asciiTheme="minorHAnsi" w:eastAsiaTheme="minorEastAsia" w:hAnsiTheme="minorHAnsi" w:cstheme="minorBidi"/>
                <w:kern w:val="0"/>
                <w:sz w:val="22"/>
              </w:rPr>
              <w:tab/>
            </w:r>
            <w:r w:rsidR="00636B60" w:rsidRPr="00C45953">
              <w:rPr>
                <w:rStyle w:val="Hyperlink"/>
              </w:rPr>
              <w:t>Bibliometric evaluation</w:t>
            </w:r>
            <w:r w:rsidR="00636B60">
              <w:rPr>
                <w:webHidden/>
              </w:rPr>
              <w:tab/>
            </w:r>
            <w:r w:rsidR="00636B60">
              <w:rPr>
                <w:webHidden/>
              </w:rPr>
              <w:fldChar w:fldCharType="begin"/>
            </w:r>
            <w:r w:rsidR="00636B60">
              <w:rPr>
                <w:webHidden/>
              </w:rPr>
              <w:instrText xml:space="preserve"> PAGEREF _Toc66703177 \h </w:instrText>
            </w:r>
            <w:r w:rsidR="00636B60">
              <w:rPr>
                <w:webHidden/>
              </w:rPr>
            </w:r>
            <w:r w:rsidR="00636B60">
              <w:rPr>
                <w:webHidden/>
              </w:rPr>
              <w:fldChar w:fldCharType="separate"/>
            </w:r>
            <w:r w:rsidR="00636B60">
              <w:rPr>
                <w:webHidden/>
              </w:rPr>
              <w:t>22</w:t>
            </w:r>
            <w:r w:rsidR="00636B60">
              <w:rPr>
                <w:webHidden/>
              </w:rPr>
              <w:fldChar w:fldCharType="end"/>
            </w:r>
          </w:hyperlink>
        </w:p>
        <w:p w14:paraId="40720DE6" w14:textId="3BB8543F" w:rsidR="00636B60" w:rsidRDefault="000306D9">
          <w:pPr>
            <w:pStyle w:val="TOC2"/>
            <w:rPr>
              <w:rFonts w:asciiTheme="minorHAnsi" w:eastAsiaTheme="minorEastAsia" w:hAnsiTheme="minorHAnsi" w:cstheme="minorBidi"/>
              <w:kern w:val="0"/>
              <w:sz w:val="22"/>
            </w:rPr>
          </w:pPr>
          <w:hyperlink w:anchor="_Toc66703178" w:history="1">
            <w:r w:rsidR="00636B60" w:rsidRPr="00C45953">
              <w:rPr>
                <w:rStyle w:val="Hyperlink"/>
              </w:rPr>
              <w:t>2.3</w:t>
            </w:r>
            <w:r w:rsidR="00636B60">
              <w:rPr>
                <w:rFonts w:asciiTheme="minorHAnsi" w:eastAsiaTheme="minorEastAsia" w:hAnsiTheme="minorHAnsi" w:cstheme="minorBidi"/>
                <w:kern w:val="0"/>
                <w:sz w:val="22"/>
              </w:rPr>
              <w:tab/>
            </w:r>
            <w:r w:rsidR="00636B60" w:rsidRPr="00C45953">
              <w:rPr>
                <w:rStyle w:val="Hyperlink"/>
              </w:rPr>
              <w:t>Critical review of the body of literature</w:t>
            </w:r>
            <w:r w:rsidR="00636B60">
              <w:rPr>
                <w:webHidden/>
              </w:rPr>
              <w:tab/>
            </w:r>
            <w:r w:rsidR="00636B60">
              <w:rPr>
                <w:webHidden/>
              </w:rPr>
              <w:fldChar w:fldCharType="begin"/>
            </w:r>
            <w:r w:rsidR="00636B60">
              <w:rPr>
                <w:webHidden/>
              </w:rPr>
              <w:instrText xml:space="preserve"> PAGEREF _Toc66703178 \h </w:instrText>
            </w:r>
            <w:r w:rsidR="00636B60">
              <w:rPr>
                <w:webHidden/>
              </w:rPr>
            </w:r>
            <w:r w:rsidR="00636B60">
              <w:rPr>
                <w:webHidden/>
              </w:rPr>
              <w:fldChar w:fldCharType="separate"/>
            </w:r>
            <w:r w:rsidR="00636B60">
              <w:rPr>
                <w:webHidden/>
              </w:rPr>
              <w:t>23</w:t>
            </w:r>
            <w:r w:rsidR="00636B60">
              <w:rPr>
                <w:webHidden/>
              </w:rPr>
              <w:fldChar w:fldCharType="end"/>
            </w:r>
          </w:hyperlink>
        </w:p>
        <w:p w14:paraId="728BF9E8" w14:textId="107D0F32" w:rsidR="00636B60" w:rsidRDefault="000306D9">
          <w:pPr>
            <w:pStyle w:val="TOC3"/>
            <w:tabs>
              <w:tab w:val="left" w:pos="1760"/>
              <w:tab w:val="right" w:leader="dot" w:pos="9016"/>
            </w:tabs>
            <w:ind w:left="960"/>
            <w:rPr>
              <w:rFonts w:asciiTheme="minorHAnsi" w:hAnsiTheme="minorHAnsi"/>
              <w:noProof/>
              <w:sz w:val="22"/>
            </w:rPr>
          </w:pPr>
          <w:hyperlink w:anchor="_Toc66703179" w:history="1">
            <w:r w:rsidR="00636B60" w:rsidRPr="00C45953">
              <w:rPr>
                <w:rStyle w:val="Hyperlink"/>
                <w:rFonts w:cs="Times New Roman"/>
                <w:noProof/>
              </w:rPr>
              <w:t>2.3.1</w:t>
            </w:r>
            <w:r w:rsidR="00636B60">
              <w:rPr>
                <w:rFonts w:asciiTheme="minorHAnsi" w:hAnsiTheme="minorHAnsi"/>
                <w:noProof/>
                <w:sz w:val="22"/>
              </w:rPr>
              <w:tab/>
            </w:r>
            <w:r w:rsidR="00636B60" w:rsidRPr="00C45953">
              <w:rPr>
                <w:rStyle w:val="Hyperlink"/>
                <w:rFonts w:cs="Times New Roman"/>
                <w:noProof/>
              </w:rPr>
              <w:t>Freight-movement optimisation</w:t>
            </w:r>
            <w:r w:rsidR="00636B60">
              <w:rPr>
                <w:noProof/>
                <w:webHidden/>
              </w:rPr>
              <w:tab/>
            </w:r>
            <w:r w:rsidR="00636B60">
              <w:rPr>
                <w:noProof/>
                <w:webHidden/>
              </w:rPr>
              <w:fldChar w:fldCharType="begin"/>
            </w:r>
            <w:r w:rsidR="00636B60">
              <w:rPr>
                <w:noProof/>
                <w:webHidden/>
              </w:rPr>
              <w:instrText xml:space="preserve"> PAGEREF _Toc66703179 \h </w:instrText>
            </w:r>
            <w:r w:rsidR="00636B60">
              <w:rPr>
                <w:noProof/>
                <w:webHidden/>
              </w:rPr>
            </w:r>
            <w:r w:rsidR="00636B60">
              <w:rPr>
                <w:noProof/>
                <w:webHidden/>
              </w:rPr>
              <w:fldChar w:fldCharType="separate"/>
            </w:r>
            <w:r w:rsidR="00636B60">
              <w:rPr>
                <w:noProof/>
                <w:webHidden/>
              </w:rPr>
              <w:t>24</w:t>
            </w:r>
            <w:r w:rsidR="00636B60">
              <w:rPr>
                <w:noProof/>
                <w:webHidden/>
              </w:rPr>
              <w:fldChar w:fldCharType="end"/>
            </w:r>
          </w:hyperlink>
        </w:p>
        <w:p w14:paraId="7EFF32D0" w14:textId="2BA8160E" w:rsidR="00636B60" w:rsidRDefault="000306D9">
          <w:pPr>
            <w:pStyle w:val="TOC3"/>
            <w:tabs>
              <w:tab w:val="left" w:pos="1760"/>
              <w:tab w:val="right" w:leader="dot" w:pos="9016"/>
            </w:tabs>
            <w:ind w:left="960"/>
            <w:rPr>
              <w:rFonts w:asciiTheme="minorHAnsi" w:hAnsiTheme="minorHAnsi"/>
              <w:noProof/>
              <w:sz w:val="22"/>
            </w:rPr>
          </w:pPr>
          <w:hyperlink w:anchor="_Toc66703180" w:history="1">
            <w:r w:rsidR="00636B60" w:rsidRPr="00C45953">
              <w:rPr>
                <w:rStyle w:val="Hyperlink"/>
                <w:rFonts w:cs="Times New Roman"/>
                <w:noProof/>
              </w:rPr>
              <w:t>2.3.2</w:t>
            </w:r>
            <w:r w:rsidR="00636B60">
              <w:rPr>
                <w:rFonts w:asciiTheme="minorHAnsi" w:hAnsiTheme="minorHAnsi"/>
                <w:noProof/>
                <w:sz w:val="22"/>
              </w:rPr>
              <w:tab/>
            </w:r>
            <w:r w:rsidR="00636B60" w:rsidRPr="00C45953">
              <w:rPr>
                <w:rStyle w:val="Hyperlink"/>
                <w:rFonts w:cs="Times New Roman"/>
                <w:noProof/>
              </w:rPr>
              <w:t>New operating models</w:t>
            </w:r>
            <w:r w:rsidR="00636B60">
              <w:rPr>
                <w:noProof/>
                <w:webHidden/>
              </w:rPr>
              <w:tab/>
            </w:r>
            <w:r w:rsidR="00636B60">
              <w:rPr>
                <w:noProof/>
                <w:webHidden/>
              </w:rPr>
              <w:fldChar w:fldCharType="begin"/>
            </w:r>
            <w:r w:rsidR="00636B60">
              <w:rPr>
                <w:noProof/>
                <w:webHidden/>
              </w:rPr>
              <w:instrText xml:space="preserve"> PAGEREF _Toc66703180 \h </w:instrText>
            </w:r>
            <w:r w:rsidR="00636B60">
              <w:rPr>
                <w:noProof/>
                <w:webHidden/>
              </w:rPr>
            </w:r>
            <w:r w:rsidR="00636B60">
              <w:rPr>
                <w:noProof/>
                <w:webHidden/>
              </w:rPr>
              <w:fldChar w:fldCharType="separate"/>
            </w:r>
            <w:r w:rsidR="00636B60">
              <w:rPr>
                <w:noProof/>
                <w:webHidden/>
              </w:rPr>
              <w:t>26</w:t>
            </w:r>
            <w:r w:rsidR="00636B60">
              <w:rPr>
                <w:noProof/>
                <w:webHidden/>
              </w:rPr>
              <w:fldChar w:fldCharType="end"/>
            </w:r>
          </w:hyperlink>
        </w:p>
        <w:p w14:paraId="1F4D4762" w14:textId="0C29FD7F" w:rsidR="00636B60" w:rsidRDefault="000306D9">
          <w:pPr>
            <w:pStyle w:val="TOC3"/>
            <w:tabs>
              <w:tab w:val="left" w:pos="1760"/>
              <w:tab w:val="right" w:leader="dot" w:pos="9016"/>
            </w:tabs>
            <w:ind w:left="960"/>
            <w:rPr>
              <w:rFonts w:asciiTheme="minorHAnsi" w:hAnsiTheme="minorHAnsi"/>
              <w:noProof/>
              <w:sz w:val="22"/>
            </w:rPr>
          </w:pPr>
          <w:hyperlink w:anchor="_Toc66703181" w:history="1">
            <w:r w:rsidR="00636B60" w:rsidRPr="00C45953">
              <w:rPr>
                <w:rStyle w:val="Hyperlink"/>
                <w:rFonts w:cs="Times New Roman"/>
                <w:noProof/>
              </w:rPr>
              <w:t>2.3.3</w:t>
            </w:r>
            <w:r w:rsidR="00636B60">
              <w:rPr>
                <w:rFonts w:asciiTheme="minorHAnsi" w:hAnsiTheme="minorHAnsi"/>
                <w:noProof/>
                <w:sz w:val="22"/>
              </w:rPr>
              <w:tab/>
            </w:r>
            <w:r w:rsidR="00636B60" w:rsidRPr="00C45953">
              <w:rPr>
                <w:rStyle w:val="Hyperlink"/>
                <w:rFonts w:cs="Times New Roman"/>
                <w:noProof/>
              </w:rPr>
              <w:t>Performance evaluation</w:t>
            </w:r>
            <w:r w:rsidR="00636B60">
              <w:rPr>
                <w:noProof/>
                <w:webHidden/>
              </w:rPr>
              <w:tab/>
            </w:r>
            <w:r w:rsidR="00636B60">
              <w:rPr>
                <w:noProof/>
                <w:webHidden/>
              </w:rPr>
              <w:fldChar w:fldCharType="begin"/>
            </w:r>
            <w:r w:rsidR="00636B60">
              <w:rPr>
                <w:noProof/>
                <w:webHidden/>
              </w:rPr>
              <w:instrText xml:space="preserve"> PAGEREF _Toc66703181 \h </w:instrText>
            </w:r>
            <w:r w:rsidR="00636B60">
              <w:rPr>
                <w:noProof/>
                <w:webHidden/>
              </w:rPr>
            </w:r>
            <w:r w:rsidR="00636B60">
              <w:rPr>
                <w:noProof/>
                <w:webHidden/>
              </w:rPr>
              <w:fldChar w:fldCharType="separate"/>
            </w:r>
            <w:r w:rsidR="00636B60">
              <w:rPr>
                <w:noProof/>
                <w:webHidden/>
              </w:rPr>
              <w:t>31</w:t>
            </w:r>
            <w:r w:rsidR="00636B60">
              <w:rPr>
                <w:noProof/>
                <w:webHidden/>
              </w:rPr>
              <w:fldChar w:fldCharType="end"/>
            </w:r>
          </w:hyperlink>
        </w:p>
        <w:p w14:paraId="72B82AC7" w14:textId="5190B642" w:rsidR="00636B60" w:rsidRDefault="000306D9">
          <w:pPr>
            <w:pStyle w:val="TOC3"/>
            <w:tabs>
              <w:tab w:val="left" w:pos="1760"/>
              <w:tab w:val="right" w:leader="dot" w:pos="9016"/>
            </w:tabs>
            <w:ind w:left="960"/>
            <w:rPr>
              <w:rFonts w:asciiTheme="minorHAnsi" w:hAnsiTheme="minorHAnsi"/>
              <w:noProof/>
              <w:sz w:val="22"/>
            </w:rPr>
          </w:pPr>
          <w:hyperlink w:anchor="_Toc66703182" w:history="1">
            <w:r w:rsidR="00636B60" w:rsidRPr="00C45953">
              <w:rPr>
                <w:rStyle w:val="Hyperlink"/>
                <w:rFonts w:cs="Times New Roman"/>
                <w:noProof/>
              </w:rPr>
              <w:t>2.3.4</w:t>
            </w:r>
            <w:r w:rsidR="00636B60">
              <w:rPr>
                <w:rFonts w:asciiTheme="minorHAnsi" w:hAnsiTheme="minorHAnsi"/>
                <w:noProof/>
                <w:sz w:val="22"/>
              </w:rPr>
              <w:tab/>
            </w:r>
            <w:r w:rsidR="00636B60" w:rsidRPr="00C45953">
              <w:rPr>
                <w:rStyle w:val="Hyperlink"/>
                <w:rFonts w:cs="Times New Roman"/>
                <w:noProof/>
              </w:rPr>
              <w:t>Aggregate planning of urban logistics (UL)</w:t>
            </w:r>
            <w:r w:rsidR="00636B60">
              <w:rPr>
                <w:noProof/>
                <w:webHidden/>
              </w:rPr>
              <w:tab/>
            </w:r>
            <w:r w:rsidR="00636B60">
              <w:rPr>
                <w:noProof/>
                <w:webHidden/>
              </w:rPr>
              <w:fldChar w:fldCharType="begin"/>
            </w:r>
            <w:r w:rsidR="00636B60">
              <w:rPr>
                <w:noProof/>
                <w:webHidden/>
              </w:rPr>
              <w:instrText xml:space="preserve"> PAGEREF _Toc66703182 \h </w:instrText>
            </w:r>
            <w:r w:rsidR="00636B60">
              <w:rPr>
                <w:noProof/>
                <w:webHidden/>
              </w:rPr>
            </w:r>
            <w:r w:rsidR="00636B60">
              <w:rPr>
                <w:noProof/>
                <w:webHidden/>
              </w:rPr>
              <w:fldChar w:fldCharType="separate"/>
            </w:r>
            <w:r w:rsidR="00636B60">
              <w:rPr>
                <w:noProof/>
                <w:webHidden/>
              </w:rPr>
              <w:t>35</w:t>
            </w:r>
            <w:r w:rsidR="00636B60">
              <w:rPr>
                <w:noProof/>
                <w:webHidden/>
              </w:rPr>
              <w:fldChar w:fldCharType="end"/>
            </w:r>
          </w:hyperlink>
        </w:p>
        <w:p w14:paraId="1E4E0CA1" w14:textId="02C4B940" w:rsidR="00636B60" w:rsidRDefault="000306D9">
          <w:pPr>
            <w:pStyle w:val="TOC3"/>
            <w:tabs>
              <w:tab w:val="left" w:pos="1760"/>
              <w:tab w:val="right" w:leader="dot" w:pos="9016"/>
            </w:tabs>
            <w:ind w:left="960"/>
            <w:rPr>
              <w:rFonts w:asciiTheme="minorHAnsi" w:hAnsiTheme="minorHAnsi"/>
              <w:noProof/>
              <w:sz w:val="22"/>
            </w:rPr>
          </w:pPr>
          <w:hyperlink w:anchor="_Toc66703183" w:history="1">
            <w:r w:rsidR="00636B60" w:rsidRPr="00C45953">
              <w:rPr>
                <w:rStyle w:val="Hyperlink"/>
                <w:rFonts w:cs="Times New Roman"/>
                <w:noProof/>
              </w:rPr>
              <w:t>2.3.5</w:t>
            </w:r>
            <w:r w:rsidR="00636B60">
              <w:rPr>
                <w:rFonts w:asciiTheme="minorHAnsi" w:hAnsiTheme="minorHAnsi"/>
                <w:noProof/>
                <w:sz w:val="22"/>
              </w:rPr>
              <w:tab/>
            </w:r>
            <w:r w:rsidR="00636B60" w:rsidRPr="00C45953">
              <w:rPr>
                <w:rStyle w:val="Hyperlink"/>
                <w:rFonts w:cs="Times New Roman"/>
                <w:noProof/>
              </w:rPr>
              <w:t>Stakeholder engagement</w:t>
            </w:r>
            <w:r w:rsidR="00636B60">
              <w:rPr>
                <w:noProof/>
                <w:webHidden/>
              </w:rPr>
              <w:tab/>
            </w:r>
            <w:r w:rsidR="00636B60">
              <w:rPr>
                <w:noProof/>
                <w:webHidden/>
              </w:rPr>
              <w:fldChar w:fldCharType="begin"/>
            </w:r>
            <w:r w:rsidR="00636B60">
              <w:rPr>
                <w:noProof/>
                <w:webHidden/>
              </w:rPr>
              <w:instrText xml:space="preserve"> PAGEREF _Toc66703183 \h </w:instrText>
            </w:r>
            <w:r w:rsidR="00636B60">
              <w:rPr>
                <w:noProof/>
                <w:webHidden/>
              </w:rPr>
            </w:r>
            <w:r w:rsidR="00636B60">
              <w:rPr>
                <w:noProof/>
                <w:webHidden/>
              </w:rPr>
              <w:fldChar w:fldCharType="separate"/>
            </w:r>
            <w:r w:rsidR="00636B60">
              <w:rPr>
                <w:noProof/>
                <w:webHidden/>
              </w:rPr>
              <w:t>36</w:t>
            </w:r>
            <w:r w:rsidR="00636B60">
              <w:rPr>
                <w:noProof/>
                <w:webHidden/>
              </w:rPr>
              <w:fldChar w:fldCharType="end"/>
            </w:r>
          </w:hyperlink>
        </w:p>
        <w:p w14:paraId="33474B8A" w14:textId="0F77F158" w:rsidR="00636B60" w:rsidRDefault="000306D9">
          <w:pPr>
            <w:pStyle w:val="TOC3"/>
            <w:tabs>
              <w:tab w:val="left" w:pos="1760"/>
              <w:tab w:val="right" w:leader="dot" w:pos="9016"/>
            </w:tabs>
            <w:ind w:left="960"/>
            <w:rPr>
              <w:rFonts w:asciiTheme="minorHAnsi" w:hAnsiTheme="minorHAnsi"/>
              <w:noProof/>
              <w:sz w:val="22"/>
            </w:rPr>
          </w:pPr>
          <w:hyperlink w:anchor="_Toc66703184" w:history="1">
            <w:r w:rsidR="00636B60" w:rsidRPr="00C45953">
              <w:rPr>
                <w:rStyle w:val="Hyperlink"/>
                <w:rFonts w:cs="Times New Roman"/>
                <w:noProof/>
              </w:rPr>
              <w:t>2.3.6</w:t>
            </w:r>
            <w:r w:rsidR="00636B60">
              <w:rPr>
                <w:rFonts w:asciiTheme="minorHAnsi" w:hAnsiTheme="minorHAnsi"/>
                <w:noProof/>
                <w:sz w:val="22"/>
              </w:rPr>
              <w:tab/>
            </w:r>
            <w:r w:rsidR="00636B60" w:rsidRPr="00C45953">
              <w:rPr>
                <w:rStyle w:val="Hyperlink"/>
                <w:rFonts w:cs="Times New Roman"/>
                <w:noProof/>
              </w:rPr>
              <w:t>Technology upgrades</w:t>
            </w:r>
            <w:r w:rsidR="00636B60">
              <w:rPr>
                <w:noProof/>
                <w:webHidden/>
              </w:rPr>
              <w:tab/>
            </w:r>
            <w:r w:rsidR="00636B60">
              <w:rPr>
                <w:noProof/>
                <w:webHidden/>
              </w:rPr>
              <w:fldChar w:fldCharType="begin"/>
            </w:r>
            <w:r w:rsidR="00636B60">
              <w:rPr>
                <w:noProof/>
                <w:webHidden/>
              </w:rPr>
              <w:instrText xml:space="preserve"> PAGEREF _Toc66703184 \h </w:instrText>
            </w:r>
            <w:r w:rsidR="00636B60">
              <w:rPr>
                <w:noProof/>
                <w:webHidden/>
              </w:rPr>
            </w:r>
            <w:r w:rsidR="00636B60">
              <w:rPr>
                <w:noProof/>
                <w:webHidden/>
              </w:rPr>
              <w:fldChar w:fldCharType="separate"/>
            </w:r>
            <w:r w:rsidR="00636B60">
              <w:rPr>
                <w:noProof/>
                <w:webHidden/>
              </w:rPr>
              <w:t>39</w:t>
            </w:r>
            <w:r w:rsidR="00636B60">
              <w:rPr>
                <w:noProof/>
                <w:webHidden/>
              </w:rPr>
              <w:fldChar w:fldCharType="end"/>
            </w:r>
          </w:hyperlink>
        </w:p>
        <w:p w14:paraId="5129B8CF" w14:textId="59929BCC" w:rsidR="00636B60" w:rsidRDefault="000306D9">
          <w:pPr>
            <w:pStyle w:val="TOC3"/>
            <w:tabs>
              <w:tab w:val="left" w:pos="1760"/>
              <w:tab w:val="right" w:leader="dot" w:pos="9016"/>
            </w:tabs>
            <w:ind w:left="960"/>
            <w:rPr>
              <w:rFonts w:asciiTheme="minorHAnsi" w:hAnsiTheme="minorHAnsi"/>
              <w:noProof/>
              <w:sz w:val="22"/>
            </w:rPr>
          </w:pPr>
          <w:hyperlink w:anchor="_Toc66703185" w:history="1">
            <w:r w:rsidR="00636B60" w:rsidRPr="00C45953">
              <w:rPr>
                <w:rStyle w:val="Hyperlink"/>
                <w:rFonts w:cs="Times New Roman"/>
                <w:noProof/>
              </w:rPr>
              <w:t>2.3.7</w:t>
            </w:r>
            <w:r w:rsidR="00636B60">
              <w:rPr>
                <w:rFonts w:asciiTheme="minorHAnsi" w:hAnsiTheme="minorHAnsi"/>
                <w:noProof/>
                <w:sz w:val="22"/>
              </w:rPr>
              <w:tab/>
            </w:r>
            <w:r w:rsidR="00636B60" w:rsidRPr="00C45953">
              <w:rPr>
                <w:rStyle w:val="Hyperlink"/>
                <w:rFonts w:cs="Times New Roman"/>
                <w:noProof/>
              </w:rPr>
              <w:t>Demand management</w:t>
            </w:r>
            <w:r w:rsidR="00636B60">
              <w:rPr>
                <w:noProof/>
                <w:webHidden/>
              </w:rPr>
              <w:tab/>
            </w:r>
            <w:r w:rsidR="00636B60">
              <w:rPr>
                <w:noProof/>
                <w:webHidden/>
              </w:rPr>
              <w:fldChar w:fldCharType="begin"/>
            </w:r>
            <w:r w:rsidR="00636B60">
              <w:rPr>
                <w:noProof/>
                <w:webHidden/>
              </w:rPr>
              <w:instrText xml:space="preserve"> PAGEREF _Toc66703185 \h </w:instrText>
            </w:r>
            <w:r w:rsidR="00636B60">
              <w:rPr>
                <w:noProof/>
                <w:webHidden/>
              </w:rPr>
            </w:r>
            <w:r w:rsidR="00636B60">
              <w:rPr>
                <w:noProof/>
                <w:webHidden/>
              </w:rPr>
              <w:fldChar w:fldCharType="separate"/>
            </w:r>
            <w:r w:rsidR="00636B60">
              <w:rPr>
                <w:noProof/>
                <w:webHidden/>
              </w:rPr>
              <w:t>40</w:t>
            </w:r>
            <w:r w:rsidR="00636B60">
              <w:rPr>
                <w:noProof/>
                <w:webHidden/>
              </w:rPr>
              <w:fldChar w:fldCharType="end"/>
            </w:r>
          </w:hyperlink>
        </w:p>
        <w:p w14:paraId="48A3C892" w14:textId="1A8B168A" w:rsidR="00636B60" w:rsidRDefault="000306D9">
          <w:pPr>
            <w:pStyle w:val="TOC2"/>
            <w:rPr>
              <w:rFonts w:asciiTheme="minorHAnsi" w:eastAsiaTheme="minorEastAsia" w:hAnsiTheme="minorHAnsi" w:cstheme="minorBidi"/>
              <w:kern w:val="0"/>
              <w:sz w:val="22"/>
            </w:rPr>
          </w:pPr>
          <w:hyperlink w:anchor="_Toc66703186" w:history="1">
            <w:r w:rsidR="00636B60" w:rsidRPr="00C45953">
              <w:rPr>
                <w:rStyle w:val="Hyperlink"/>
              </w:rPr>
              <w:t>2.4</w:t>
            </w:r>
            <w:r w:rsidR="00636B60">
              <w:rPr>
                <w:rFonts w:asciiTheme="minorHAnsi" w:eastAsiaTheme="minorEastAsia" w:hAnsiTheme="minorHAnsi" w:cstheme="minorBidi"/>
                <w:kern w:val="0"/>
                <w:sz w:val="22"/>
              </w:rPr>
              <w:tab/>
            </w:r>
            <w:r w:rsidR="00636B60" w:rsidRPr="00C45953">
              <w:rPr>
                <w:rStyle w:val="Hyperlink"/>
              </w:rPr>
              <w:t>A Review of employed methods</w:t>
            </w:r>
            <w:r w:rsidR="00636B60">
              <w:rPr>
                <w:webHidden/>
              </w:rPr>
              <w:tab/>
            </w:r>
            <w:r w:rsidR="00636B60">
              <w:rPr>
                <w:webHidden/>
              </w:rPr>
              <w:fldChar w:fldCharType="begin"/>
            </w:r>
            <w:r w:rsidR="00636B60">
              <w:rPr>
                <w:webHidden/>
              </w:rPr>
              <w:instrText xml:space="preserve"> PAGEREF _Toc66703186 \h </w:instrText>
            </w:r>
            <w:r w:rsidR="00636B60">
              <w:rPr>
                <w:webHidden/>
              </w:rPr>
            </w:r>
            <w:r w:rsidR="00636B60">
              <w:rPr>
                <w:webHidden/>
              </w:rPr>
              <w:fldChar w:fldCharType="separate"/>
            </w:r>
            <w:r w:rsidR="00636B60">
              <w:rPr>
                <w:webHidden/>
              </w:rPr>
              <w:t>41</w:t>
            </w:r>
            <w:r w:rsidR="00636B60">
              <w:rPr>
                <w:webHidden/>
              </w:rPr>
              <w:fldChar w:fldCharType="end"/>
            </w:r>
          </w:hyperlink>
        </w:p>
        <w:p w14:paraId="4E526E0B" w14:textId="0FDA3201" w:rsidR="00636B60" w:rsidRDefault="000306D9">
          <w:pPr>
            <w:pStyle w:val="TOC2"/>
            <w:rPr>
              <w:rFonts w:asciiTheme="minorHAnsi" w:eastAsiaTheme="minorEastAsia" w:hAnsiTheme="minorHAnsi" w:cstheme="minorBidi"/>
              <w:kern w:val="0"/>
              <w:sz w:val="22"/>
            </w:rPr>
          </w:pPr>
          <w:hyperlink w:anchor="_Toc66703187" w:history="1">
            <w:r w:rsidR="00636B60" w:rsidRPr="00C45953">
              <w:rPr>
                <w:rStyle w:val="Hyperlink"/>
              </w:rPr>
              <w:t>2.5</w:t>
            </w:r>
            <w:r w:rsidR="00636B60">
              <w:rPr>
                <w:rFonts w:asciiTheme="minorHAnsi" w:eastAsiaTheme="minorEastAsia" w:hAnsiTheme="minorHAnsi" w:cstheme="minorBidi"/>
                <w:kern w:val="0"/>
                <w:sz w:val="22"/>
              </w:rPr>
              <w:tab/>
            </w:r>
            <w:r w:rsidR="00636B60" w:rsidRPr="00C45953">
              <w:rPr>
                <w:rStyle w:val="Hyperlink"/>
              </w:rPr>
              <w:t>Research gaps in SUL and topic selection</w:t>
            </w:r>
            <w:r w:rsidR="00636B60">
              <w:rPr>
                <w:webHidden/>
              </w:rPr>
              <w:tab/>
            </w:r>
            <w:r w:rsidR="00636B60">
              <w:rPr>
                <w:webHidden/>
              </w:rPr>
              <w:fldChar w:fldCharType="begin"/>
            </w:r>
            <w:r w:rsidR="00636B60">
              <w:rPr>
                <w:webHidden/>
              </w:rPr>
              <w:instrText xml:space="preserve"> PAGEREF _Toc66703187 \h </w:instrText>
            </w:r>
            <w:r w:rsidR="00636B60">
              <w:rPr>
                <w:webHidden/>
              </w:rPr>
            </w:r>
            <w:r w:rsidR="00636B60">
              <w:rPr>
                <w:webHidden/>
              </w:rPr>
              <w:fldChar w:fldCharType="separate"/>
            </w:r>
            <w:r w:rsidR="00636B60">
              <w:rPr>
                <w:webHidden/>
              </w:rPr>
              <w:t>43</w:t>
            </w:r>
            <w:r w:rsidR="00636B60">
              <w:rPr>
                <w:webHidden/>
              </w:rPr>
              <w:fldChar w:fldCharType="end"/>
            </w:r>
          </w:hyperlink>
        </w:p>
        <w:p w14:paraId="4B547024" w14:textId="021E3799" w:rsidR="00636B60" w:rsidRDefault="000306D9">
          <w:pPr>
            <w:pStyle w:val="TOC2"/>
            <w:rPr>
              <w:rFonts w:asciiTheme="minorHAnsi" w:eastAsiaTheme="minorEastAsia" w:hAnsiTheme="minorHAnsi" w:cstheme="minorBidi"/>
              <w:kern w:val="0"/>
              <w:sz w:val="22"/>
            </w:rPr>
          </w:pPr>
          <w:hyperlink w:anchor="_Toc66703188" w:history="1">
            <w:r w:rsidR="00636B60" w:rsidRPr="00C45953">
              <w:rPr>
                <w:rStyle w:val="Hyperlink"/>
                <w:lang w:val="fr-FR"/>
              </w:rPr>
              <w:t>2.6</w:t>
            </w:r>
            <w:r w:rsidR="00636B60">
              <w:rPr>
                <w:rFonts w:asciiTheme="minorHAnsi" w:eastAsiaTheme="minorEastAsia" w:hAnsiTheme="minorHAnsi" w:cstheme="minorBidi"/>
                <w:kern w:val="0"/>
                <w:sz w:val="22"/>
              </w:rPr>
              <w:tab/>
            </w:r>
            <w:r w:rsidR="00636B60" w:rsidRPr="00C45953">
              <w:rPr>
                <w:rStyle w:val="Hyperlink"/>
                <w:lang w:val="fr-FR"/>
              </w:rPr>
              <w:t>A focus on urban consolidation centres (UCCs)</w:t>
            </w:r>
            <w:r w:rsidR="00636B60">
              <w:rPr>
                <w:webHidden/>
              </w:rPr>
              <w:tab/>
            </w:r>
            <w:r w:rsidR="00636B60">
              <w:rPr>
                <w:webHidden/>
              </w:rPr>
              <w:fldChar w:fldCharType="begin"/>
            </w:r>
            <w:r w:rsidR="00636B60">
              <w:rPr>
                <w:webHidden/>
              </w:rPr>
              <w:instrText xml:space="preserve"> PAGEREF _Toc66703188 \h </w:instrText>
            </w:r>
            <w:r w:rsidR="00636B60">
              <w:rPr>
                <w:webHidden/>
              </w:rPr>
            </w:r>
            <w:r w:rsidR="00636B60">
              <w:rPr>
                <w:webHidden/>
              </w:rPr>
              <w:fldChar w:fldCharType="separate"/>
            </w:r>
            <w:r w:rsidR="00636B60">
              <w:rPr>
                <w:webHidden/>
              </w:rPr>
              <w:t>46</w:t>
            </w:r>
            <w:r w:rsidR="00636B60">
              <w:rPr>
                <w:webHidden/>
              </w:rPr>
              <w:fldChar w:fldCharType="end"/>
            </w:r>
          </w:hyperlink>
        </w:p>
        <w:p w14:paraId="015EEE3F" w14:textId="2A3E0A4C" w:rsidR="00636B60" w:rsidRDefault="000306D9">
          <w:pPr>
            <w:pStyle w:val="TOC2"/>
            <w:rPr>
              <w:rFonts w:asciiTheme="minorHAnsi" w:eastAsiaTheme="minorEastAsia" w:hAnsiTheme="minorHAnsi" w:cstheme="minorBidi"/>
              <w:kern w:val="0"/>
              <w:sz w:val="22"/>
            </w:rPr>
          </w:pPr>
          <w:hyperlink w:anchor="_Toc66703189" w:history="1">
            <w:r w:rsidR="00636B60" w:rsidRPr="00C45953">
              <w:rPr>
                <w:rStyle w:val="Hyperlink"/>
              </w:rPr>
              <w:t>2.7</w:t>
            </w:r>
            <w:r w:rsidR="00636B60">
              <w:rPr>
                <w:rFonts w:asciiTheme="minorHAnsi" w:eastAsiaTheme="minorEastAsia" w:hAnsiTheme="minorHAnsi" w:cstheme="minorBidi"/>
                <w:kern w:val="0"/>
                <w:sz w:val="22"/>
              </w:rPr>
              <w:tab/>
            </w:r>
            <w:r w:rsidR="00636B60" w:rsidRPr="00C45953">
              <w:rPr>
                <w:rStyle w:val="Hyperlink"/>
              </w:rPr>
              <w:t>Critical review of the literature on urban consolidation centres (UCCs)</w:t>
            </w:r>
            <w:r w:rsidR="00636B60">
              <w:rPr>
                <w:webHidden/>
              </w:rPr>
              <w:tab/>
            </w:r>
            <w:r w:rsidR="00636B60">
              <w:rPr>
                <w:webHidden/>
              </w:rPr>
              <w:fldChar w:fldCharType="begin"/>
            </w:r>
            <w:r w:rsidR="00636B60">
              <w:rPr>
                <w:webHidden/>
              </w:rPr>
              <w:instrText xml:space="preserve"> PAGEREF _Toc66703189 \h </w:instrText>
            </w:r>
            <w:r w:rsidR="00636B60">
              <w:rPr>
                <w:webHidden/>
              </w:rPr>
            </w:r>
            <w:r w:rsidR="00636B60">
              <w:rPr>
                <w:webHidden/>
              </w:rPr>
              <w:fldChar w:fldCharType="separate"/>
            </w:r>
            <w:r w:rsidR="00636B60">
              <w:rPr>
                <w:webHidden/>
              </w:rPr>
              <w:t>47</w:t>
            </w:r>
            <w:r w:rsidR="00636B60">
              <w:rPr>
                <w:webHidden/>
              </w:rPr>
              <w:fldChar w:fldCharType="end"/>
            </w:r>
          </w:hyperlink>
        </w:p>
        <w:p w14:paraId="31E6A035" w14:textId="75038D30" w:rsidR="00636B60" w:rsidRDefault="000306D9">
          <w:pPr>
            <w:pStyle w:val="TOC3"/>
            <w:tabs>
              <w:tab w:val="left" w:pos="1760"/>
              <w:tab w:val="right" w:leader="dot" w:pos="9016"/>
            </w:tabs>
            <w:ind w:left="960"/>
            <w:rPr>
              <w:rFonts w:asciiTheme="minorHAnsi" w:hAnsiTheme="minorHAnsi"/>
              <w:noProof/>
              <w:sz w:val="22"/>
            </w:rPr>
          </w:pPr>
          <w:hyperlink w:anchor="_Toc66703190" w:history="1">
            <w:r w:rsidR="00636B60" w:rsidRPr="00C45953">
              <w:rPr>
                <w:rStyle w:val="Hyperlink"/>
                <w:rFonts w:cs="Times New Roman"/>
                <w:noProof/>
              </w:rPr>
              <w:t>2.7.1</w:t>
            </w:r>
            <w:r w:rsidR="00636B60">
              <w:rPr>
                <w:rFonts w:asciiTheme="minorHAnsi" w:hAnsiTheme="minorHAnsi"/>
                <w:noProof/>
                <w:sz w:val="22"/>
              </w:rPr>
              <w:tab/>
            </w:r>
            <w:r w:rsidR="00636B60" w:rsidRPr="00C45953">
              <w:rPr>
                <w:rStyle w:val="Hyperlink"/>
                <w:rFonts w:cs="Times New Roman"/>
                <w:noProof/>
              </w:rPr>
              <w:t>Stakeholder engagement</w:t>
            </w:r>
            <w:r w:rsidR="00636B60">
              <w:rPr>
                <w:noProof/>
                <w:webHidden/>
              </w:rPr>
              <w:tab/>
            </w:r>
            <w:r w:rsidR="00636B60">
              <w:rPr>
                <w:noProof/>
                <w:webHidden/>
              </w:rPr>
              <w:fldChar w:fldCharType="begin"/>
            </w:r>
            <w:r w:rsidR="00636B60">
              <w:rPr>
                <w:noProof/>
                <w:webHidden/>
              </w:rPr>
              <w:instrText xml:space="preserve"> PAGEREF _Toc66703190 \h </w:instrText>
            </w:r>
            <w:r w:rsidR="00636B60">
              <w:rPr>
                <w:noProof/>
                <w:webHidden/>
              </w:rPr>
            </w:r>
            <w:r w:rsidR="00636B60">
              <w:rPr>
                <w:noProof/>
                <w:webHidden/>
              </w:rPr>
              <w:fldChar w:fldCharType="separate"/>
            </w:r>
            <w:r w:rsidR="00636B60">
              <w:rPr>
                <w:noProof/>
                <w:webHidden/>
              </w:rPr>
              <w:t>48</w:t>
            </w:r>
            <w:r w:rsidR="00636B60">
              <w:rPr>
                <w:noProof/>
                <w:webHidden/>
              </w:rPr>
              <w:fldChar w:fldCharType="end"/>
            </w:r>
          </w:hyperlink>
        </w:p>
        <w:p w14:paraId="779CE95E" w14:textId="734527C2" w:rsidR="00636B60" w:rsidRDefault="000306D9">
          <w:pPr>
            <w:pStyle w:val="TOC3"/>
            <w:tabs>
              <w:tab w:val="left" w:pos="1760"/>
              <w:tab w:val="right" w:leader="dot" w:pos="9016"/>
            </w:tabs>
            <w:ind w:left="960"/>
            <w:rPr>
              <w:rFonts w:asciiTheme="minorHAnsi" w:hAnsiTheme="minorHAnsi"/>
              <w:noProof/>
              <w:sz w:val="22"/>
            </w:rPr>
          </w:pPr>
          <w:hyperlink w:anchor="_Toc66703191" w:history="1">
            <w:r w:rsidR="00636B60" w:rsidRPr="00C45953">
              <w:rPr>
                <w:rStyle w:val="Hyperlink"/>
                <w:rFonts w:cs="Times New Roman"/>
                <w:noProof/>
              </w:rPr>
              <w:t>2.7.2</w:t>
            </w:r>
            <w:r w:rsidR="00636B60">
              <w:rPr>
                <w:rFonts w:asciiTheme="minorHAnsi" w:hAnsiTheme="minorHAnsi"/>
                <w:noProof/>
                <w:sz w:val="22"/>
              </w:rPr>
              <w:tab/>
            </w:r>
            <w:r w:rsidR="00636B60" w:rsidRPr="00C45953">
              <w:rPr>
                <w:rStyle w:val="Hyperlink"/>
                <w:rFonts w:cs="Times New Roman"/>
                <w:noProof/>
              </w:rPr>
              <w:t>Design of distribution structure</w:t>
            </w:r>
            <w:r w:rsidR="00636B60">
              <w:rPr>
                <w:noProof/>
                <w:webHidden/>
              </w:rPr>
              <w:tab/>
            </w:r>
            <w:r w:rsidR="00636B60">
              <w:rPr>
                <w:noProof/>
                <w:webHidden/>
              </w:rPr>
              <w:fldChar w:fldCharType="begin"/>
            </w:r>
            <w:r w:rsidR="00636B60">
              <w:rPr>
                <w:noProof/>
                <w:webHidden/>
              </w:rPr>
              <w:instrText xml:space="preserve"> PAGEREF _Toc66703191 \h </w:instrText>
            </w:r>
            <w:r w:rsidR="00636B60">
              <w:rPr>
                <w:noProof/>
                <w:webHidden/>
              </w:rPr>
            </w:r>
            <w:r w:rsidR="00636B60">
              <w:rPr>
                <w:noProof/>
                <w:webHidden/>
              </w:rPr>
              <w:fldChar w:fldCharType="separate"/>
            </w:r>
            <w:r w:rsidR="00636B60">
              <w:rPr>
                <w:noProof/>
                <w:webHidden/>
              </w:rPr>
              <w:t>51</w:t>
            </w:r>
            <w:r w:rsidR="00636B60">
              <w:rPr>
                <w:noProof/>
                <w:webHidden/>
              </w:rPr>
              <w:fldChar w:fldCharType="end"/>
            </w:r>
          </w:hyperlink>
        </w:p>
        <w:p w14:paraId="59B1B7DE" w14:textId="60E6B599" w:rsidR="00636B60" w:rsidRDefault="000306D9">
          <w:pPr>
            <w:pStyle w:val="TOC3"/>
            <w:tabs>
              <w:tab w:val="left" w:pos="1760"/>
              <w:tab w:val="right" w:leader="dot" w:pos="9016"/>
            </w:tabs>
            <w:ind w:left="960"/>
            <w:rPr>
              <w:rFonts w:asciiTheme="minorHAnsi" w:hAnsiTheme="minorHAnsi"/>
              <w:noProof/>
              <w:sz w:val="22"/>
            </w:rPr>
          </w:pPr>
          <w:hyperlink w:anchor="_Toc66703192" w:history="1">
            <w:r w:rsidR="00636B60" w:rsidRPr="00C45953">
              <w:rPr>
                <w:rStyle w:val="Hyperlink"/>
                <w:rFonts w:cs="Times New Roman"/>
                <w:noProof/>
              </w:rPr>
              <w:t>2.7.3</w:t>
            </w:r>
            <w:r w:rsidR="00636B60">
              <w:rPr>
                <w:rFonts w:asciiTheme="minorHAnsi" w:hAnsiTheme="minorHAnsi"/>
                <w:noProof/>
                <w:sz w:val="22"/>
              </w:rPr>
              <w:tab/>
            </w:r>
            <w:r w:rsidR="00636B60" w:rsidRPr="00C45953">
              <w:rPr>
                <w:rStyle w:val="Hyperlink"/>
                <w:rFonts w:cs="Times New Roman"/>
                <w:noProof/>
              </w:rPr>
              <w:t>Design of transport resources</w:t>
            </w:r>
            <w:r w:rsidR="00636B60">
              <w:rPr>
                <w:noProof/>
                <w:webHidden/>
              </w:rPr>
              <w:tab/>
            </w:r>
            <w:r w:rsidR="00636B60">
              <w:rPr>
                <w:noProof/>
                <w:webHidden/>
              </w:rPr>
              <w:fldChar w:fldCharType="begin"/>
            </w:r>
            <w:r w:rsidR="00636B60">
              <w:rPr>
                <w:noProof/>
                <w:webHidden/>
              </w:rPr>
              <w:instrText xml:space="preserve"> PAGEREF _Toc66703192 \h </w:instrText>
            </w:r>
            <w:r w:rsidR="00636B60">
              <w:rPr>
                <w:noProof/>
                <w:webHidden/>
              </w:rPr>
            </w:r>
            <w:r w:rsidR="00636B60">
              <w:rPr>
                <w:noProof/>
                <w:webHidden/>
              </w:rPr>
              <w:fldChar w:fldCharType="separate"/>
            </w:r>
            <w:r w:rsidR="00636B60">
              <w:rPr>
                <w:noProof/>
                <w:webHidden/>
              </w:rPr>
              <w:t>52</w:t>
            </w:r>
            <w:r w:rsidR="00636B60">
              <w:rPr>
                <w:noProof/>
                <w:webHidden/>
              </w:rPr>
              <w:fldChar w:fldCharType="end"/>
            </w:r>
          </w:hyperlink>
        </w:p>
        <w:p w14:paraId="11E7937F" w14:textId="52553909" w:rsidR="00636B60" w:rsidRDefault="000306D9">
          <w:pPr>
            <w:pStyle w:val="TOC3"/>
            <w:tabs>
              <w:tab w:val="left" w:pos="1760"/>
              <w:tab w:val="right" w:leader="dot" w:pos="9016"/>
            </w:tabs>
            <w:ind w:left="960"/>
            <w:rPr>
              <w:rFonts w:asciiTheme="minorHAnsi" w:hAnsiTheme="minorHAnsi"/>
              <w:noProof/>
              <w:sz w:val="22"/>
            </w:rPr>
          </w:pPr>
          <w:hyperlink w:anchor="_Toc66703193" w:history="1">
            <w:r w:rsidR="00636B60" w:rsidRPr="00C45953">
              <w:rPr>
                <w:rStyle w:val="Hyperlink"/>
                <w:rFonts w:cs="Times New Roman"/>
                <w:noProof/>
              </w:rPr>
              <w:t>2.7.4</w:t>
            </w:r>
            <w:r w:rsidR="00636B60">
              <w:rPr>
                <w:rFonts w:asciiTheme="minorHAnsi" w:hAnsiTheme="minorHAnsi"/>
                <w:noProof/>
                <w:sz w:val="22"/>
              </w:rPr>
              <w:tab/>
            </w:r>
            <w:r w:rsidR="00636B60" w:rsidRPr="00C45953">
              <w:rPr>
                <w:rStyle w:val="Hyperlink"/>
                <w:rFonts w:cs="Times New Roman"/>
                <w:noProof/>
              </w:rPr>
              <w:t>Environmental and social performance</w:t>
            </w:r>
            <w:r w:rsidR="00636B60">
              <w:rPr>
                <w:noProof/>
                <w:webHidden/>
              </w:rPr>
              <w:tab/>
            </w:r>
            <w:r w:rsidR="00636B60">
              <w:rPr>
                <w:noProof/>
                <w:webHidden/>
              </w:rPr>
              <w:fldChar w:fldCharType="begin"/>
            </w:r>
            <w:r w:rsidR="00636B60">
              <w:rPr>
                <w:noProof/>
                <w:webHidden/>
              </w:rPr>
              <w:instrText xml:space="preserve"> PAGEREF _Toc66703193 \h </w:instrText>
            </w:r>
            <w:r w:rsidR="00636B60">
              <w:rPr>
                <w:noProof/>
                <w:webHidden/>
              </w:rPr>
            </w:r>
            <w:r w:rsidR="00636B60">
              <w:rPr>
                <w:noProof/>
                <w:webHidden/>
              </w:rPr>
              <w:fldChar w:fldCharType="separate"/>
            </w:r>
            <w:r w:rsidR="00636B60">
              <w:rPr>
                <w:noProof/>
                <w:webHidden/>
              </w:rPr>
              <w:t>53</w:t>
            </w:r>
            <w:r w:rsidR="00636B60">
              <w:rPr>
                <w:noProof/>
                <w:webHidden/>
              </w:rPr>
              <w:fldChar w:fldCharType="end"/>
            </w:r>
          </w:hyperlink>
        </w:p>
        <w:p w14:paraId="7C122C6D" w14:textId="2D5311CE" w:rsidR="00636B60" w:rsidRDefault="000306D9">
          <w:pPr>
            <w:pStyle w:val="TOC3"/>
            <w:tabs>
              <w:tab w:val="left" w:pos="1760"/>
              <w:tab w:val="right" w:leader="dot" w:pos="9016"/>
            </w:tabs>
            <w:ind w:left="960"/>
            <w:rPr>
              <w:rFonts w:asciiTheme="minorHAnsi" w:hAnsiTheme="minorHAnsi"/>
              <w:noProof/>
              <w:sz w:val="22"/>
            </w:rPr>
          </w:pPr>
          <w:hyperlink w:anchor="_Toc66703194" w:history="1">
            <w:r w:rsidR="00636B60" w:rsidRPr="00C45953">
              <w:rPr>
                <w:rStyle w:val="Hyperlink"/>
                <w:rFonts w:cs="Times New Roman"/>
                <w:noProof/>
              </w:rPr>
              <w:t>2.7.5</w:t>
            </w:r>
            <w:r w:rsidR="00636B60">
              <w:rPr>
                <w:rFonts w:asciiTheme="minorHAnsi" w:hAnsiTheme="minorHAnsi"/>
                <w:noProof/>
                <w:sz w:val="22"/>
              </w:rPr>
              <w:tab/>
            </w:r>
            <w:r w:rsidR="00636B60" w:rsidRPr="00C45953">
              <w:rPr>
                <w:rStyle w:val="Hyperlink"/>
                <w:rFonts w:cs="Times New Roman"/>
                <w:noProof/>
              </w:rPr>
              <w:t>Economic considerations</w:t>
            </w:r>
            <w:r w:rsidR="00636B60">
              <w:rPr>
                <w:noProof/>
                <w:webHidden/>
              </w:rPr>
              <w:tab/>
            </w:r>
            <w:r w:rsidR="00636B60">
              <w:rPr>
                <w:noProof/>
                <w:webHidden/>
              </w:rPr>
              <w:fldChar w:fldCharType="begin"/>
            </w:r>
            <w:r w:rsidR="00636B60">
              <w:rPr>
                <w:noProof/>
                <w:webHidden/>
              </w:rPr>
              <w:instrText xml:space="preserve"> PAGEREF _Toc66703194 \h </w:instrText>
            </w:r>
            <w:r w:rsidR="00636B60">
              <w:rPr>
                <w:noProof/>
                <w:webHidden/>
              </w:rPr>
            </w:r>
            <w:r w:rsidR="00636B60">
              <w:rPr>
                <w:noProof/>
                <w:webHidden/>
              </w:rPr>
              <w:fldChar w:fldCharType="separate"/>
            </w:r>
            <w:r w:rsidR="00636B60">
              <w:rPr>
                <w:noProof/>
                <w:webHidden/>
              </w:rPr>
              <w:t>54</w:t>
            </w:r>
            <w:r w:rsidR="00636B60">
              <w:rPr>
                <w:noProof/>
                <w:webHidden/>
              </w:rPr>
              <w:fldChar w:fldCharType="end"/>
            </w:r>
          </w:hyperlink>
        </w:p>
        <w:p w14:paraId="603F41C4" w14:textId="6AC09C72" w:rsidR="00636B60" w:rsidRDefault="000306D9">
          <w:pPr>
            <w:pStyle w:val="TOC2"/>
            <w:rPr>
              <w:rFonts w:asciiTheme="minorHAnsi" w:eastAsiaTheme="minorEastAsia" w:hAnsiTheme="minorHAnsi" w:cstheme="minorBidi"/>
              <w:kern w:val="0"/>
              <w:sz w:val="22"/>
            </w:rPr>
          </w:pPr>
          <w:hyperlink w:anchor="_Toc66703195" w:history="1">
            <w:r w:rsidR="00636B60" w:rsidRPr="00C45953">
              <w:rPr>
                <w:rStyle w:val="Hyperlink"/>
              </w:rPr>
              <w:t>2.8</w:t>
            </w:r>
            <w:r w:rsidR="00636B60">
              <w:rPr>
                <w:rFonts w:asciiTheme="minorHAnsi" w:eastAsiaTheme="minorEastAsia" w:hAnsiTheme="minorHAnsi" w:cstheme="minorBidi"/>
                <w:kern w:val="0"/>
                <w:sz w:val="22"/>
              </w:rPr>
              <w:tab/>
            </w:r>
            <w:r w:rsidR="00636B60" w:rsidRPr="00C45953">
              <w:rPr>
                <w:rStyle w:val="Hyperlink"/>
              </w:rPr>
              <w:t>An analysis of real-world urban consolidation centre (UCC) implementation</w:t>
            </w:r>
            <w:r w:rsidR="00636B60">
              <w:rPr>
                <w:webHidden/>
              </w:rPr>
              <w:tab/>
            </w:r>
            <w:r w:rsidR="00636B60">
              <w:rPr>
                <w:webHidden/>
              </w:rPr>
              <w:fldChar w:fldCharType="begin"/>
            </w:r>
            <w:r w:rsidR="00636B60">
              <w:rPr>
                <w:webHidden/>
              </w:rPr>
              <w:instrText xml:space="preserve"> PAGEREF _Toc66703195 \h </w:instrText>
            </w:r>
            <w:r w:rsidR="00636B60">
              <w:rPr>
                <w:webHidden/>
              </w:rPr>
            </w:r>
            <w:r w:rsidR="00636B60">
              <w:rPr>
                <w:webHidden/>
              </w:rPr>
              <w:fldChar w:fldCharType="separate"/>
            </w:r>
            <w:r w:rsidR="00636B60">
              <w:rPr>
                <w:webHidden/>
              </w:rPr>
              <w:t>59</w:t>
            </w:r>
            <w:r w:rsidR="00636B60">
              <w:rPr>
                <w:webHidden/>
              </w:rPr>
              <w:fldChar w:fldCharType="end"/>
            </w:r>
          </w:hyperlink>
        </w:p>
        <w:p w14:paraId="75CAD2E4" w14:textId="1C01A95D" w:rsidR="00636B60" w:rsidRDefault="000306D9">
          <w:pPr>
            <w:pStyle w:val="TOC3"/>
            <w:tabs>
              <w:tab w:val="left" w:pos="1760"/>
              <w:tab w:val="right" w:leader="dot" w:pos="9016"/>
            </w:tabs>
            <w:ind w:left="960"/>
            <w:rPr>
              <w:rFonts w:asciiTheme="minorHAnsi" w:hAnsiTheme="minorHAnsi"/>
              <w:noProof/>
              <w:sz w:val="22"/>
            </w:rPr>
          </w:pPr>
          <w:hyperlink w:anchor="_Toc66703196" w:history="1">
            <w:r w:rsidR="00636B60" w:rsidRPr="00C45953">
              <w:rPr>
                <w:rStyle w:val="Hyperlink"/>
                <w:rFonts w:cs="Times New Roman"/>
                <w:noProof/>
                <w:lang w:val="it-IT"/>
              </w:rPr>
              <w:t>2.8.1</w:t>
            </w:r>
            <w:r w:rsidR="00636B60">
              <w:rPr>
                <w:rFonts w:asciiTheme="minorHAnsi" w:hAnsiTheme="minorHAnsi"/>
                <w:noProof/>
                <w:sz w:val="22"/>
              </w:rPr>
              <w:tab/>
            </w:r>
            <w:r w:rsidR="00636B60" w:rsidRPr="00C45953">
              <w:rPr>
                <w:rStyle w:val="Hyperlink"/>
                <w:rFonts w:cs="Times New Roman"/>
                <w:noProof/>
                <w:lang w:val="it-IT"/>
              </w:rPr>
              <w:t>Urban consolidation centres (UCCs) classification</w:t>
            </w:r>
            <w:r w:rsidR="00636B60">
              <w:rPr>
                <w:noProof/>
                <w:webHidden/>
              </w:rPr>
              <w:tab/>
            </w:r>
            <w:r w:rsidR="00636B60">
              <w:rPr>
                <w:noProof/>
                <w:webHidden/>
              </w:rPr>
              <w:fldChar w:fldCharType="begin"/>
            </w:r>
            <w:r w:rsidR="00636B60">
              <w:rPr>
                <w:noProof/>
                <w:webHidden/>
              </w:rPr>
              <w:instrText xml:space="preserve"> PAGEREF _Toc66703196 \h </w:instrText>
            </w:r>
            <w:r w:rsidR="00636B60">
              <w:rPr>
                <w:noProof/>
                <w:webHidden/>
              </w:rPr>
            </w:r>
            <w:r w:rsidR="00636B60">
              <w:rPr>
                <w:noProof/>
                <w:webHidden/>
              </w:rPr>
              <w:fldChar w:fldCharType="separate"/>
            </w:r>
            <w:r w:rsidR="00636B60">
              <w:rPr>
                <w:noProof/>
                <w:webHidden/>
              </w:rPr>
              <w:t>61</w:t>
            </w:r>
            <w:r w:rsidR="00636B60">
              <w:rPr>
                <w:noProof/>
                <w:webHidden/>
              </w:rPr>
              <w:fldChar w:fldCharType="end"/>
            </w:r>
          </w:hyperlink>
        </w:p>
        <w:p w14:paraId="01097B1B" w14:textId="5E7C4BED" w:rsidR="00636B60" w:rsidRDefault="000306D9">
          <w:pPr>
            <w:pStyle w:val="TOC3"/>
            <w:tabs>
              <w:tab w:val="left" w:pos="1760"/>
              <w:tab w:val="right" w:leader="dot" w:pos="9016"/>
            </w:tabs>
            <w:ind w:left="960"/>
            <w:rPr>
              <w:rFonts w:asciiTheme="minorHAnsi" w:hAnsiTheme="minorHAnsi"/>
              <w:noProof/>
              <w:sz w:val="22"/>
            </w:rPr>
          </w:pPr>
          <w:hyperlink w:anchor="_Toc66703197" w:history="1">
            <w:r w:rsidR="00636B60" w:rsidRPr="00C45953">
              <w:rPr>
                <w:rStyle w:val="Hyperlink"/>
                <w:noProof/>
              </w:rPr>
              <w:t>2.8.2</w:t>
            </w:r>
            <w:r w:rsidR="00636B60">
              <w:rPr>
                <w:rFonts w:asciiTheme="minorHAnsi" w:hAnsiTheme="minorHAnsi"/>
                <w:noProof/>
                <w:sz w:val="22"/>
              </w:rPr>
              <w:tab/>
            </w:r>
            <w:r w:rsidR="00636B60" w:rsidRPr="00C45953">
              <w:rPr>
                <w:rStyle w:val="Hyperlink"/>
                <w:noProof/>
              </w:rPr>
              <w:t>Urban consolidation centres -  a taxonomy</w:t>
            </w:r>
            <w:r w:rsidR="00636B60">
              <w:rPr>
                <w:noProof/>
                <w:webHidden/>
              </w:rPr>
              <w:tab/>
            </w:r>
            <w:r w:rsidR="00636B60">
              <w:rPr>
                <w:noProof/>
                <w:webHidden/>
              </w:rPr>
              <w:fldChar w:fldCharType="begin"/>
            </w:r>
            <w:r w:rsidR="00636B60">
              <w:rPr>
                <w:noProof/>
                <w:webHidden/>
              </w:rPr>
              <w:instrText xml:space="preserve"> PAGEREF _Toc66703197 \h </w:instrText>
            </w:r>
            <w:r w:rsidR="00636B60">
              <w:rPr>
                <w:noProof/>
                <w:webHidden/>
              </w:rPr>
            </w:r>
            <w:r w:rsidR="00636B60">
              <w:rPr>
                <w:noProof/>
                <w:webHidden/>
              </w:rPr>
              <w:fldChar w:fldCharType="separate"/>
            </w:r>
            <w:r w:rsidR="00636B60">
              <w:rPr>
                <w:noProof/>
                <w:webHidden/>
              </w:rPr>
              <w:t>62</w:t>
            </w:r>
            <w:r w:rsidR="00636B60">
              <w:rPr>
                <w:noProof/>
                <w:webHidden/>
              </w:rPr>
              <w:fldChar w:fldCharType="end"/>
            </w:r>
          </w:hyperlink>
        </w:p>
        <w:p w14:paraId="63C45B1A" w14:textId="624A389B" w:rsidR="00636B60" w:rsidRDefault="000306D9">
          <w:pPr>
            <w:pStyle w:val="TOC3"/>
            <w:tabs>
              <w:tab w:val="left" w:pos="1760"/>
              <w:tab w:val="right" w:leader="dot" w:pos="9016"/>
            </w:tabs>
            <w:ind w:left="960"/>
            <w:rPr>
              <w:rFonts w:asciiTheme="minorHAnsi" w:hAnsiTheme="minorHAnsi"/>
              <w:noProof/>
              <w:sz w:val="22"/>
            </w:rPr>
          </w:pPr>
          <w:hyperlink w:anchor="_Toc66703198" w:history="1">
            <w:r w:rsidR="00636B60" w:rsidRPr="00C45953">
              <w:rPr>
                <w:rStyle w:val="Hyperlink"/>
                <w:rFonts w:cs="Times New Roman"/>
                <w:noProof/>
              </w:rPr>
              <w:t>2.8.3</w:t>
            </w:r>
            <w:r w:rsidR="00636B60">
              <w:rPr>
                <w:rFonts w:asciiTheme="minorHAnsi" w:hAnsiTheme="minorHAnsi"/>
                <w:noProof/>
                <w:sz w:val="22"/>
              </w:rPr>
              <w:tab/>
            </w:r>
            <w:r w:rsidR="00636B60" w:rsidRPr="00C45953">
              <w:rPr>
                <w:rStyle w:val="Hyperlink"/>
                <w:rFonts w:cs="Times New Roman"/>
                <w:noProof/>
              </w:rPr>
              <w:t>Discussion</w:t>
            </w:r>
            <w:r w:rsidR="00636B60">
              <w:rPr>
                <w:noProof/>
                <w:webHidden/>
              </w:rPr>
              <w:tab/>
            </w:r>
            <w:r w:rsidR="00636B60">
              <w:rPr>
                <w:noProof/>
                <w:webHidden/>
              </w:rPr>
              <w:fldChar w:fldCharType="begin"/>
            </w:r>
            <w:r w:rsidR="00636B60">
              <w:rPr>
                <w:noProof/>
                <w:webHidden/>
              </w:rPr>
              <w:instrText xml:space="preserve"> PAGEREF _Toc66703198 \h </w:instrText>
            </w:r>
            <w:r w:rsidR="00636B60">
              <w:rPr>
                <w:noProof/>
                <w:webHidden/>
              </w:rPr>
            </w:r>
            <w:r w:rsidR="00636B60">
              <w:rPr>
                <w:noProof/>
                <w:webHidden/>
              </w:rPr>
              <w:fldChar w:fldCharType="separate"/>
            </w:r>
            <w:r w:rsidR="00636B60">
              <w:rPr>
                <w:noProof/>
                <w:webHidden/>
              </w:rPr>
              <w:t>65</w:t>
            </w:r>
            <w:r w:rsidR="00636B60">
              <w:rPr>
                <w:noProof/>
                <w:webHidden/>
              </w:rPr>
              <w:fldChar w:fldCharType="end"/>
            </w:r>
          </w:hyperlink>
        </w:p>
        <w:p w14:paraId="7EE7D94C" w14:textId="4BC3EC31" w:rsidR="00636B60" w:rsidRDefault="000306D9">
          <w:pPr>
            <w:pStyle w:val="TOC3"/>
            <w:tabs>
              <w:tab w:val="left" w:pos="1760"/>
              <w:tab w:val="right" w:leader="dot" w:pos="9016"/>
            </w:tabs>
            <w:ind w:left="960"/>
            <w:rPr>
              <w:rFonts w:asciiTheme="minorHAnsi" w:hAnsiTheme="minorHAnsi"/>
              <w:noProof/>
              <w:sz w:val="22"/>
            </w:rPr>
          </w:pPr>
          <w:hyperlink w:anchor="_Toc66703199" w:history="1">
            <w:r w:rsidR="00636B60" w:rsidRPr="00C45953">
              <w:rPr>
                <w:rStyle w:val="Hyperlink"/>
                <w:rFonts w:cs="Times New Roman"/>
                <w:noProof/>
              </w:rPr>
              <w:t>2.8.4</w:t>
            </w:r>
            <w:r w:rsidR="00636B60">
              <w:rPr>
                <w:rFonts w:asciiTheme="minorHAnsi" w:hAnsiTheme="minorHAnsi"/>
                <w:noProof/>
                <w:sz w:val="22"/>
              </w:rPr>
              <w:tab/>
            </w:r>
            <w:r w:rsidR="00636B60" w:rsidRPr="00C45953">
              <w:rPr>
                <w:rStyle w:val="Hyperlink"/>
                <w:rFonts w:cs="Times New Roman"/>
                <w:noProof/>
              </w:rPr>
              <w:t>Research gaps</w:t>
            </w:r>
            <w:r w:rsidR="00636B60">
              <w:rPr>
                <w:noProof/>
                <w:webHidden/>
              </w:rPr>
              <w:tab/>
            </w:r>
            <w:r w:rsidR="00636B60">
              <w:rPr>
                <w:noProof/>
                <w:webHidden/>
              </w:rPr>
              <w:fldChar w:fldCharType="begin"/>
            </w:r>
            <w:r w:rsidR="00636B60">
              <w:rPr>
                <w:noProof/>
                <w:webHidden/>
              </w:rPr>
              <w:instrText xml:space="preserve"> PAGEREF _Toc66703199 \h </w:instrText>
            </w:r>
            <w:r w:rsidR="00636B60">
              <w:rPr>
                <w:noProof/>
                <w:webHidden/>
              </w:rPr>
            </w:r>
            <w:r w:rsidR="00636B60">
              <w:rPr>
                <w:noProof/>
                <w:webHidden/>
              </w:rPr>
              <w:fldChar w:fldCharType="separate"/>
            </w:r>
            <w:r w:rsidR="00636B60">
              <w:rPr>
                <w:noProof/>
                <w:webHidden/>
              </w:rPr>
              <w:t>66</w:t>
            </w:r>
            <w:r w:rsidR="00636B60">
              <w:rPr>
                <w:noProof/>
                <w:webHidden/>
              </w:rPr>
              <w:fldChar w:fldCharType="end"/>
            </w:r>
          </w:hyperlink>
        </w:p>
        <w:p w14:paraId="1F8830A6" w14:textId="21FBFD12" w:rsidR="00636B60" w:rsidRDefault="000306D9">
          <w:pPr>
            <w:pStyle w:val="TOC2"/>
            <w:rPr>
              <w:rFonts w:asciiTheme="minorHAnsi" w:eastAsiaTheme="minorEastAsia" w:hAnsiTheme="minorHAnsi" w:cstheme="minorBidi"/>
              <w:kern w:val="0"/>
              <w:sz w:val="22"/>
            </w:rPr>
          </w:pPr>
          <w:hyperlink w:anchor="_Toc66703200" w:history="1">
            <w:r w:rsidR="00636B60" w:rsidRPr="00C45953">
              <w:rPr>
                <w:rStyle w:val="Hyperlink"/>
              </w:rPr>
              <w:t>2.9</w:t>
            </w:r>
            <w:r w:rsidR="00636B60">
              <w:rPr>
                <w:rFonts w:asciiTheme="minorHAnsi" w:eastAsiaTheme="minorEastAsia" w:hAnsiTheme="minorHAnsi" w:cstheme="minorBidi"/>
                <w:kern w:val="0"/>
                <w:sz w:val="22"/>
              </w:rPr>
              <w:tab/>
            </w:r>
            <w:r w:rsidR="00636B60" w:rsidRPr="00C45953">
              <w:rPr>
                <w:rStyle w:val="Hyperlink"/>
              </w:rPr>
              <w:t>Research questions</w:t>
            </w:r>
            <w:r w:rsidR="00636B60">
              <w:rPr>
                <w:webHidden/>
              </w:rPr>
              <w:tab/>
            </w:r>
            <w:r w:rsidR="00636B60">
              <w:rPr>
                <w:webHidden/>
              </w:rPr>
              <w:fldChar w:fldCharType="begin"/>
            </w:r>
            <w:r w:rsidR="00636B60">
              <w:rPr>
                <w:webHidden/>
              </w:rPr>
              <w:instrText xml:space="preserve"> PAGEREF _Toc66703200 \h </w:instrText>
            </w:r>
            <w:r w:rsidR="00636B60">
              <w:rPr>
                <w:webHidden/>
              </w:rPr>
            </w:r>
            <w:r w:rsidR="00636B60">
              <w:rPr>
                <w:webHidden/>
              </w:rPr>
              <w:fldChar w:fldCharType="separate"/>
            </w:r>
            <w:r w:rsidR="00636B60">
              <w:rPr>
                <w:webHidden/>
              </w:rPr>
              <w:t>68</w:t>
            </w:r>
            <w:r w:rsidR="00636B60">
              <w:rPr>
                <w:webHidden/>
              </w:rPr>
              <w:fldChar w:fldCharType="end"/>
            </w:r>
          </w:hyperlink>
        </w:p>
        <w:p w14:paraId="46BF037B" w14:textId="32DD4C8F" w:rsidR="00636B60" w:rsidRDefault="000306D9">
          <w:pPr>
            <w:pStyle w:val="TOC2"/>
            <w:rPr>
              <w:rFonts w:asciiTheme="minorHAnsi" w:eastAsiaTheme="minorEastAsia" w:hAnsiTheme="minorHAnsi" w:cstheme="minorBidi"/>
              <w:kern w:val="0"/>
              <w:sz w:val="22"/>
            </w:rPr>
          </w:pPr>
          <w:hyperlink w:anchor="_Toc66703201" w:history="1">
            <w:r w:rsidR="00636B60" w:rsidRPr="00C45953">
              <w:rPr>
                <w:rStyle w:val="Hyperlink"/>
              </w:rPr>
              <w:t>2.10</w:t>
            </w:r>
            <w:r w:rsidR="00636B60">
              <w:rPr>
                <w:rFonts w:asciiTheme="minorHAnsi" w:eastAsiaTheme="minorEastAsia" w:hAnsiTheme="minorHAnsi" w:cstheme="minorBidi"/>
                <w:kern w:val="0"/>
                <w:sz w:val="22"/>
              </w:rPr>
              <w:tab/>
            </w:r>
            <w:r w:rsidR="00636B60" w:rsidRPr="00C45953">
              <w:rPr>
                <w:rStyle w:val="Hyperlink"/>
              </w:rPr>
              <w:t>Chapter summary</w:t>
            </w:r>
            <w:r w:rsidR="00636B60">
              <w:rPr>
                <w:webHidden/>
              </w:rPr>
              <w:tab/>
            </w:r>
            <w:r w:rsidR="00636B60">
              <w:rPr>
                <w:webHidden/>
              </w:rPr>
              <w:fldChar w:fldCharType="begin"/>
            </w:r>
            <w:r w:rsidR="00636B60">
              <w:rPr>
                <w:webHidden/>
              </w:rPr>
              <w:instrText xml:space="preserve"> PAGEREF _Toc66703201 \h </w:instrText>
            </w:r>
            <w:r w:rsidR="00636B60">
              <w:rPr>
                <w:webHidden/>
              </w:rPr>
            </w:r>
            <w:r w:rsidR="00636B60">
              <w:rPr>
                <w:webHidden/>
              </w:rPr>
              <w:fldChar w:fldCharType="separate"/>
            </w:r>
            <w:r w:rsidR="00636B60">
              <w:rPr>
                <w:webHidden/>
              </w:rPr>
              <w:t>71</w:t>
            </w:r>
            <w:r w:rsidR="00636B60">
              <w:rPr>
                <w:webHidden/>
              </w:rPr>
              <w:fldChar w:fldCharType="end"/>
            </w:r>
          </w:hyperlink>
        </w:p>
        <w:p w14:paraId="28F561D9" w14:textId="3E7C77E1" w:rsidR="00636B60" w:rsidRDefault="000306D9">
          <w:pPr>
            <w:pStyle w:val="TOC1"/>
            <w:tabs>
              <w:tab w:val="left" w:pos="1320"/>
            </w:tabs>
            <w:rPr>
              <w:rFonts w:asciiTheme="minorHAnsi" w:hAnsiTheme="minorHAnsi"/>
              <w:noProof/>
              <w:sz w:val="22"/>
            </w:rPr>
          </w:pPr>
          <w:hyperlink w:anchor="_Toc66703202" w:history="1">
            <w:r w:rsidR="00636B60" w:rsidRPr="00C45953">
              <w:rPr>
                <w:rStyle w:val="Hyperlink"/>
                <w:rFonts w:cs="Times New Roman"/>
                <w:noProof/>
              </w:rPr>
              <w:t>Chapter 3:</w:t>
            </w:r>
            <w:r w:rsidR="00636B60">
              <w:rPr>
                <w:rFonts w:asciiTheme="minorHAnsi" w:hAnsiTheme="minorHAnsi"/>
                <w:noProof/>
                <w:sz w:val="22"/>
              </w:rPr>
              <w:tab/>
            </w:r>
            <w:r w:rsidR="00636B60" w:rsidRPr="00C45953">
              <w:rPr>
                <w:rStyle w:val="Hyperlink"/>
                <w:rFonts w:cs="Times New Roman"/>
                <w:noProof/>
              </w:rPr>
              <w:t>Methodology</w:t>
            </w:r>
            <w:r w:rsidR="00636B60">
              <w:rPr>
                <w:noProof/>
                <w:webHidden/>
              </w:rPr>
              <w:tab/>
            </w:r>
            <w:r w:rsidR="00636B60">
              <w:rPr>
                <w:noProof/>
                <w:webHidden/>
              </w:rPr>
              <w:fldChar w:fldCharType="begin"/>
            </w:r>
            <w:r w:rsidR="00636B60">
              <w:rPr>
                <w:noProof/>
                <w:webHidden/>
              </w:rPr>
              <w:instrText xml:space="preserve"> PAGEREF _Toc66703202 \h </w:instrText>
            </w:r>
            <w:r w:rsidR="00636B60">
              <w:rPr>
                <w:noProof/>
                <w:webHidden/>
              </w:rPr>
            </w:r>
            <w:r w:rsidR="00636B60">
              <w:rPr>
                <w:noProof/>
                <w:webHidden/>
              </w:rPr>
              <w:fldChar w:fldCharType="separate"/>
            </w:r>
            <w:r w:rsidR="00636B60">
              <w:rPr>
                <w:noProof/>
                <w:webHidden/>
              </w:rPr>
              <w:t>72</w:t>
            </w:r>
            <w:r w:rsidR="00636B60">
              <w:rPr>
                <w:noProof/>
                <w:webHidden/>
              </w:rPr>
              <w:fldChar w:fldCharType="end"/>
            </w:r>
          </w:hyperlink>
        </w:p>
        <w:p w14:paraId="68B78557" w14:textId="223EC7D7" w:rsidR="00636B60" w:rsidRDefault="000306D9">
          <w:pPr>
            <w:pStyle w:val="TOC2"/>
            <w:rPr>
              <w:rFonts w:asciiTheme="minorHAnsi" w:eastAsiaTheme="minorEastAsia" w:hAnsiTheme="minorHAnsi" w:cstheme="minorBidi"/>
              <w:kern w:val="0"/>
              <w:sz w:val="22"/>
            </w:rPr>
          </w:pPr>
          <w:hyperlink w:anchor="_Toc66703203" w:history="1">
            <w:r w:rsidR="00636B60" w:rsidRPr="00C45953">
              <w:rPr>
                <w:rStyle w:val="Hyperlink"/>
              </w:rPr>
              <w:t>3.1</w:t>
            </w:r>
            <w:r w:rsidR="00636B60">
              <w:rPr>
                <w:rFonts w:asciiTheme="minorHAnsi" w:eastAsiaTheme="minorEastAsia" w:hAnsiTheme="minorHAnsi" w:cstheme="minorBidi"/>
                <w:kern w:val="0"/>
                <w:sz w:val="22"/>
              </w:rPr>
              <w:tab/>
            </w:r>
            <w:r w:rsidR="00636B60" w:rsidRPr="00C45953">
              <w:rPr>
                <w:rStyle w:val="Hyperlink"/>
              </w:rPr>
              <w:t>Research philosophy</w:t>
            </w:r>
            <w:r w:rsidR="00636B60">
              <w:rPr>
                <w:webHidden/>
              </w:rPr>
              <w:tab/>
            </w:r>
            <w:r w:rsidR="00636B60">
              <w:rPr>
                <w:webHidden/>
              </w:rPr>
              <w:fldChar w:fldCharType="begin"/>
            </w:r>
            <w:r w:rsidR="00636B60">
              <w:rPr>
                <w:webHidden/>
              </w:rPr>
              <w:instrText xml:space="preserve"> PAGEREF _Toc66703203 \h </w:instrText>
            </w:r>
            <w:r w:rsidR="00636B60">
              <w:rPr>
                <w:webHidden/>
              </w:rPr>
            </w:r>
            <w:r w:rsidR="00636B60">
              <w:rPr>
                <w:webHidden/>
              </w:rPr>
              <w:fldChar w:fldCharType="separate"/>
            </w:r>
            <w:r w:rsidR="00636B60">
              <w:rPr>
                <w:webHidden/>
              </w:rPr>
              <w:t>72</w:t>
            </w:r>
            <w:r w:rsidR="00636B60">
              <w:rPr>
                <w:webHidden/>
              </w:rPr>
              <w:fldChar w:fldCharType="end"/>
            </w:r>
          </w:hyperlink>
        </w:p>
        <w:p w14:paraId="63834DB2" w14:textId="37A17917" w:rsidR="00636B60" w:rsidRDefault="000306D9">
          <w:pPr>
            <w:pStyle w:val="TOC2"/>
            <w:rPr>
              <w:rFonts w:asciiTheme="minorHAnsi" w:eastAsiaTheme="minorEastAsia" w:hAnsiTheme="minorHAnsi" w:cstheme="minorBidi"/>
              <w:kern w:val="0"/>
              <w:sz w:val="22"/>
            </w:rPr>
          </w:pPr>
          <w:hyperlink w:anchor="_Toc66703204" w:history="1">
            <w:r w:rsidR="00636B60" w:rsidRPr="00C45953">
              <w:rPr>
                <w:rStyle w:val="Hyperlink"/>
              </w:rPr>
              <w:t>3.2</w:t>
            </w:r>
            <w:r w:rsidR="00636B60">
              <w:rPr>
                <w:rFonts w:asciiTheme="minorHAnsi" w:eastAsiaTheme="minorEastAsia" w:hAnsiTheme="minorHAnsi" w:cstheme="minorBidi"/>
                <w:kern w:val="0"/>
                <w:sz w:val="22"/>
              </w:rPr>
              <w:tab/>
            </w:r>
            <w:r w:rsidR="00636B60" w:rsidRPr="00C45953">
              <w:rPr>
                <w:rStyle w:val="Hyperlink"/>
              </w:rPr>
              <w:t>Theoretical lens of the Thesis</w:t>
            </w:r>
            <w:r w:rsidR="00636B60">
              <w:rPr>
                <w:webHidden/>
              </w:rPr>
              <w:tab/>
            </w:r>
            <w:r w:rsidR="00636B60">
              <w:rPr>
                <w:webHidden/>
              </w:rPr>
              <w:fldChar w:fldCharType="begin"/>
            </w:r>
            <w:r w:rsidR="00636B60">
              <w:rPr>
                <w:webHidden/>
              </w:rPr>
              <w:instrText xml:space="preserve"> PAGEREF _Toc66703204 \h </w:instrText>
            </w:r>
            <w:r w:rsidR="00636B60">
              <w:rPr>
                <w:webHidden/>
              </w:rPr>
            </w:r>
            <w:r w:rsidR="00636B60">
              <w:rPr>
                <w:webHidden/>
              </w:rPr>
              <w:fldChar w:fldCharType="separate"/>
            </w:r>
            <w:r w:rsidR="00636B60">
              <w:rPr>
                <w:webHidden/>
              </w:rPr>
              <w:t>73</w:t>
            </w:r>
            <w:r w:rsidR="00636B60">
              <w:rPr>
                <w:webHidden/>
              </w:rPr>
              <w:fldChar w:fldCharType="end"/>
            </w:r>
          </w:hyperlink>
        </w:p>
        <w:p w14:paraId="3F487F81" w14:textId="530F859E" w:rsidR="00636B60" w:rsidRDefault="000306D9">
          <w:pPr>
            <w:pStyle w:val="TOC3"/>
            <w:tabs>
              <w:tab w:val="left" w:pos="1760"/>
              <w:tab w:val="right" w:leader="dot" w:pos="9016"/>
            </w:tabs>
            <w:ind w:left="960"/>
            <w:rPr>
              <w:rFonts w:asciiTheme="minorHAnsi" w:hAnsiTheme="minorHAnsi"/>
              <w:noProof/>
              <w:sz w:val="22"/>
            </w:rPr>
          </w:pPr>
          <w:hyperlink w:anchor="_Toc66703205" w:history="1">
            <w:r w:rsidR="00636B60" w:rsidRPr="00C45953">
              <w:rPr>
                <w:rStyle w:val="Hyperlink"/>
                <w:noProof/>
              </w:rPr>
              <w:t>3.2.1</w:t>
            </w:r>
            <w:r w:rsidR="00636B60">
              <w:rPr>
                <w:rFonts w:asciiTheme="minorHAnsi" w:hAnsiTheme="minorHAnsi"/>
                <w:noProof/>
                <w:sz w:val="22"/>
              </w:rPr>
              <w:tab/>
            </w:r>
            <w:r w:rsidR="00636B60" w:rsidRPr="00C45953">
              <w:rPr>
                <w:rStyle w:val="Hyperlink"/>
                <w:noProof/>
              </w:rPr>
              <w:t>Origin of stakeholder theory</w:t>
            </w:r>
            <w:r w:rsidR="00636B60">
              <w:rPr>
                <w:noProof/>
                <w:webHidden/>
              </w:rPr>
              <w:tab/>
            </w:r>
            <w:r w:rsidR="00636B60">
              <w:rPr>
                <w:noProof/>
                <w:webHidden/>
              </w:rPr>
              <w:fldChar w:fldCharType="begin"/>
            </w:r>
            <w:r w:rsidR="00636B60">
              <w:rPr>
                <w:noProof/>
                <w:webHidden/>
              </w:rPr>
              <w:instrText xml:space="preserve"> PAGEREF _Toc66703205 \h </w:instrText>
            </w:r>
            <w:r w:rsidR="00636B60">
              <w:rPr>
                <w:noProof/>
                <w:webHidden/>
              </w:rPr>
            </w:r>
            <w:r w:rsidR="00636B60">
              <w:rPr>
                <w:noProof/>
                <w:webHidden/>
              </w:rPr>
              <w:fldChar w:fldCharType="separate"/>
            </w:r>
            <w:r w:rsidR="00636B60">
              <w:rPr>
                <w:noProof/>
                <w:webHidden/>
              </w:rPr>
              <w:t>73</w:t>
            </w:r>
            <w:r w:rsidR="00636B60">
              <w:rPr>
                <w:noProof/>
                <w:webHidden/>
              </w:rPr>
              <w:fldChar w:fldCharType="end"/>
            </w:r>
          </w:hyperlink>
        </w:p>
        <w:p w14:paraId="5B504989" w14:textId="13D1D1EC" w:rsidR="00636B60" w:rsidRDefault="000306D9">
          <w:pPr>
            <w:pStyle w:val="TOC3"/>
            <w:tabs>
              <w:tab w:val="left" w:pos="1760"/>
              <w:tab w:val="right" w:leader="dot" w:pos="9016"/>
            </w:tabs>
            <w:ind w:left="960"/>
            <w:rPr>
              <w:rFonts w:asciiTheme="minorHAnsi" w:hAnsiTheme="minorHAnsi"/>
              <w:noProof/>
              <w:sz w:val="22"/>
            </w:rPr>
          </w:pPr>
          <w:hyperlink w:anchor="_Toc66703206" w:history="1">
            <w:r w:rsidR="00636B60" w:rsidRPr="00C45953">
              <w:rPr>
                <w:rStyle w:val="Hyperlink"/>
                <w:noProof/>
              </w:rPr>
              <w:t>3.2.2</w:t>
            </w:r>
            <w:r w:rsidR="00636B60">
              <w:rPr>
                <w:rFonts w:asciiTheme="minorHAnsi" w:hAnsiTheme="minorHAnsi"/>
                <w:noProof/>
                <w:sz w:val="22"/>
              </w:rPr>
              <w:tab/>
            </w:r>
            <w:r w:rsidR="00636B60" w:rsidRPr="00C45953">
              <w:rPr>
                <w:rStyle w:val="Hyperlink"/>
                <w:noProof/>
              </w:rPr>
              <w:t>Freeman’s stakeholders theory</w:t>
            </w:r>
            <w:r w:rsidR="00636B60">
              <w:rPr>
                <w:noProof/>
                <w:webHidden/>
              </w:rPr>
              <w:tab/>
            </w:r>
            <w:r w:rsidR="00636B60">
              <w:rPr>
                <w:noProof/>
                <w:webHidden/>
              </w:rPr>
              <w:fldChar w:fldCharType="begin"/>
            </w:r>
            <w:r w:rsidR="00636B60">
              <w:rPr>
                <w:noProof/>
                <w:webHidden/>
              </w:rPr>
              <w:instrText xml:space="preserve"> PAGEREF _Toc66703206 \h </w:instrText>
            </w:r>
            <w:r w:rsidR="00636B60">
              <w:rPr>
                <w:noProof/>
                <w:webHidden/>
              </w:rPr>
            </w:r>
            <w:r w:rsidR="00636B60">
              <w:rPr>
                <w:noProof/>
                <w:webHidden/>
              </w:rPr>
              <w:fldChar w:fldCharType="separate"/>
            </w:r>
            <w:r w:rsidR="00636B60">
              <w:rPr>
                <w:noProof/>
                <w:webHidden/>
              </w:rPr>
              <w:t>75</w:t>
            </w:r>
            <w:r w:rsidR="00636B60">
              <w:rPr>
                <w:noProof/>
                <w:webHidden/>
              </w:rPr>
              <w:fldChar w:fldCharType="end"/>
            </w:r>
          </w:hyperlink>
        </w:p>
        <w:p w14:paraId="3221E629" w14:textId="5B0E51ED" w:rsidR="00636B60" w:rsidRDefault="000306D9">
          <w:pPr>
            <w:pStyle w:val="TOC3"/>
            <w:tabs>
              <w:tab w:val="left" w:pos="1760"/>
              <w:tab w:val="right" w:leader="dot" w:pos="9016"/>
            </w:tabs>
            <w:ind w:left="960"/>
            <w:rPr>
              <w:rFonts w:asciiTheme="minorHAnsi" w:hAnsiTheme="minorHAnsi"/>
              <w:noProof/>
              <w:sz w:val="22"/>
            </w:rPr>
          </w:pPr>
          <w:hyperlink w:anchor="_Toc66703207" w:history="1">
            <w:r w:rsidR="00636B60" w:rsidRPr="00C45953">
              <w:rPr>
                <w:rStyle w:val="Hyperlink"/>
                <w:noProof/>
              </w:rPr>
              <w:t>3.2.3</w:t>
            </w:r>
            <w:r w:rsidR="00636B60">
              <w:rPr>
                <w:rFonts w:asciiTheme="minorHAnsi" w:hAnsiTheme="minorHAnsi"/>
                <w:noProof/>
                <w:sz w:val="22"/>
              </w:rPr>
              <w:tab/>
            </w:r>
            <w:r w:rsidR="00636B60" w:rsidRPr="00C45953">
              <w:rPr>
                <w:rStyle w:val="Hyperlink"/>
                <w:noProof/>
              </w:rPr>
              <w:t>Corporate social responsibility (CSR)</w:t>
            </w:r>
            <w:r w:rsidR="00636B60">
              <w:rPr>
                <w:noProof/>
                <w:webHidden/>
              </w:rPr>
              <w:tab/>
            </w:r>
            <w:r w:rsidR="00636B60">
              <w:rPr>
                <w:noProof/>
                <w:webHidden/>
              </w:rPr>
              <w:fldChar w:fldCharType="begin"/>
            </w:r>
            <w:r w:rsidR="00636B60">
              <w:rPr>
                <w:noProof/>
                <w:webHidden/>
              </w:rPr>
              <w:instrText xml:space="preserve"> PAGEREF _Toc66703207 \h </w:instrText>
            </w:r>
            <w:r w:rsidR="00636B60">
              <w:rPr>
                <w:noProof/>
                <w:webHidden/>
              </w:rPr>
            </w:r>
            <w:r w:rsidR="00636B60">
              <w:rPr>
                <w:noProof/>
                <w:webHidden/>
              </w:rPr>
              <w:fldChar w:fldCharType="separate"/>
            </w:r>
            <w:r w:rsidR="00636B60">
              <w:rPr>
                <w:noProof/>
                <w:webHidden/>
              </w:rPr>
              <w:t>77</w:t>
            </w:r>
            <w:r w:rsidR="00636B60">
              <w:rPr>
                <w:noProof/>
                <w:webHidden/>
              </w:rPr>
              <w:fldChar w:fldCharType="end"/>
            </w:r>
          </w:hyperlink>
        </w:p>
        <w:p w14:paraId="5987811E" w14:textId="671A6C0E" w:rsidR="00636B60" w:rsidRDefault="000306D9">
          <w:pPr>
            <w:pStyle w:val="TOC3"/>
            <w:tabs>
              <w:tab w:val="left" w:pos="1760"/>
              <w:tab w:val="right" w:leader="dot" w:pos="9016"/>
            </w:tabs>
            <w:ind w:left="960"/>
            <w:rPr>
              <w:rFonts w:asciiTheme="minorHAnsi" w:hAnsiTheme="minorHAnsi"/>
              <w:noProof/>
              <w:sz w:val="22"/>
            </w:rPr>
          </w:pPr>
          <w:hyperlink w:anchor="_Toc66703208" w:history="1">
            <w:r w:rsidR="00636B60" w:rsidRPr="00C45953">
              <w:rPr>
                <w:rStyle w:val="Hyperlink"/>
                <w:noProof/>
              </w:rPr>
              <w:t>3.2.4</w:t>
            </w:r>
            <w:r w:rsidR="00636B60">
              <w:rPr>
                <w:rFonts w:asciiTheme="minorHAnsi" w:hAnsiTheme="minorHAnsi"/>
                <w:noProof/>
                <w:sz w:val="22"/>
              </w:rPr>
              <w:tab/>
            </w:r>
            <w:r w:rsidR="00636B60" w:rsidRPr="00C45953">
              <w:rPr>
                <w:rStyle w:val="Hyperlink"/>
                <w:noProof/>
              </w:rPr>
              <w:t>Stakeholders engagement</w:t>
            </w:r>
            <w:r w:rsidR="00636B60">
              <w:rPr>
                <w:noProof/>
                <w:webHidden/>
              </w:rPr>
              <w:tab/>
            </w:r>
            <w:r w:rsidR="00636B60">
              <w:rPr>
                <w:noProof/>
                <w:webHidden/>
              </w:rPr>
              <w:fldChar w:fldCharType="begin"/>
            </w:r>
            <w:r w:rsidR="00636B60">
              <w:rPr>
                <w:noProof/>
                <w:webHidden/>
              </w:rPr>
              <w:instrText xml:space="preserve"> PAGEREF _Toc66703208 \h </w:instrText>
            </w:r>
            <w:r w:rsidR="00636B60">
              <w:rPr>
                <w:noProof/>
                <w:webHidden/>
              </w:rPr>
            </w:r>
            <w:r w:rsidR="00636B60">
              <w:rPr>
                <w:noProof/>
                <w:webHidden/>
              </w:rPr>
              <w:fldChar w:fldCharType="separate"/>
            </w:r>
            <w:r w:rsidR="00636B60">
              <w:rPr>
                <w:noProof/>
                <w:webHidden/>
              </w:rPr>
              <w:t>79</w:t>
            </w:r>
            <w:r w:rsidR="00636B60">
              <w:rPr>
                <w:noProof/>
                <w:webHidden/>
              </w:rPr>
              <w:fldChar w:fldCharType="end"/>
            </w:r>
          </w:hyperlink>
        </w:p>
        <w:p w14:paraId="3E714E04" w14:textId="297D0B12" w:rsidR="00636B60" w:rsidRDefault="000306D9">
          <w:pPr>
            <w:pStyle w:val="TOC2"/>
            <w:rPr>
              <w:rFonts w:asciiTheme="minorHAnsi" w:eastAsiaTheme="minorEastAsia" w:hAnsiTheme="minorHAnsi" w:cstheme="minorBidi"/>
              <w:kern w:val="0"/>
              <w:sz w:val="22"/>
            </w:rPr>
          </w:pPr>
          <w:hyperlink w:anchor="_Toc66703209" w:history="1">
            <w:r w:rsidR="00636B60" w:rsidRPr="00C45953">
              <w:rPr>
                <w:rStyle w:val="Hyperlink"/>
              </w:rPr>
              <w:t>3.3</w:t>
            </w:r>
            <w:r w:rsidR="00636B60">
              <w:rPr>
                <w:rFonts w:asciiTheme="minorHAnsi" w:eastAsiaTheme="minorEastAsia" w:hAnsiTheme="minorHAnsi" w:cstheme="minorBidi"/>
                <w:kern w:val="0"/>
                <w:sz w:val="22"/>
              </w:rPr>
              <w:tab/>
            </w:r>
            <w:r w:rsidR="00636B60" w:rsidRPr="00C45953">
              <w:rPr>
                <w:rStyle w:val="Hyperlink"/>
              </w:rPr>
              <w:t>Research design</w:t>
            </w:r>
            <w:r w:rsidR="00636B60">
              <w:rPr>
                <w:webHidden/>
              </w:rPr>
              <w:tab/>
            </w:r>
            <w:r w:rsidR="00636B60">
              <w:rPr>
                <w:webHidden/>
              </w:rPr>
              <w:fldChar w:fldCharType="begin"/>
            </w:r>
            <w:r w:rsidR="00636B60">
              <w:rPr>
                <w:webHidden/>
              </w:rPr>
              <w:instrText xml:space="preserve"> PAGEREF _Toc66703209 \h </w:instrText>
            </w:r>
            <w:r w:rsidR="00636B60">
              <w:rPr>
                <w:webHidden/>
              </w:rPr>
            </w:r>
            <w:r w:rsidR="00636B60">
              <w:rPr>
                <w:webHidden/>
              </w:rPr>
              <w:fldChar w:fldCharType="separate"/>
            </w:r>
            <w:r w:rsidR="00636B60">
              <w:rPr>
                <w:webHidden/>
              </w:rPr>
              <w:t>81</w:t>
            </w:r>
            <w:r w:rsidR="00636B60">
              <w:rPr>
                <w:webHidden/>
              </w:rPr>
              <w:fldChar w:fldCharType="end"/>
            </w:r>
          </w:hyperlink>
        </w:p>
        <w:p w14:paraId="1BCABB6F" w14:textId="2ECD3018" w:rsidR="00636B60" w:rsidRDefault="000306D9">
          <w:pPr>
            <w:pStyle w:val="TOC3"/>
            <w:tabs>
              <w:tab w:val="left" w:pos="1760"/>
              <w:tab w:val="right" w:leader="dot" w:pos="9016"/>
            </w:tabs>
            <w:ind w:left="960"/>
            <w:rPr>
              <w:rFonts w:asciiTheme="minorHAnsi" w:hAnsiTheme="minorHAnsi"/>
              <w:noProof/>
              <w:sz w:val="22"/>
            </w:rPr>
          </w:pPr>
          <w:hyperlink w:anchor="_Toc66703210" w:history="1">
            <w:r w:rsidR="00636B60" w:rsidRPr="00C45953">
              <w:rPr>
                <w:rStyle w:val="Hyperlink"/>
                <w:noProof/>
              </w:rPr>
              <w:t>3.3.1</w:t>
            </w:r>
            <w:r w:rsidR="00636B60">
              <w:rPr>
                <w:rFonts w:asciiTheme="minorHAnsi" w:hAnsiTheme="minorHAnsi"/>
                <w:noProof/>
                <w:sz w:val="22"/>
              </w:rPr>
              <w:tab/>
            </w:r>
            <w:r w:rsidR="00636B60" w:rsidRPr="00C45953">
              <w:rPr>
                <w:rStyle w:val="Hyperlink"/>
                <w:noProof/>
              </w:rPr>
              <w:t>Case study strategy</w:t>
            </w:r>
            <w:r w:rsidR="00636B60">
              <w:rPr>
                <w:noProof/>
                <w:webHidden/>
              </w:rPr>
              <w:tab/>
            </w:r>
            <w:r w:rsidR="00636B60">
              <w:rPr>
                <w:noProof/>
                <w:webHidden/>
              </w:rPr>
              <w:fldChar w:fldCharType="begin"/>
            </w:r>
            <w:r w:rsidR="00636B60">
              <w:rPr>
                <w:noProof/>
                <w:webHidden/>
              </w:rPr>
              <w:instrText xml:space="preserve"> PAGEREF _Toc66703210 \h </w:instrText>
            </w:r>
            <w:r w:rsidR="00636B60">
              <w:rPr>
                <w:noProof/>
                <w:webHidden/>
              </w:rPr>
            </w:r>
            <w:r w:rsidR="00636B60">
              <w:rPr>
                <w:noProof/>
                <w:webHidden/>
              </w:rPr>
              <w:fldChar w:fldCharType="separate"/>
            </w:r>
            <w:r w:rsidR="00636B60">
              <w:rPr>
                <w:noProof/>
                <w:webHidden/>
              </w:rPr>
              <w:t>82</w:t>
            </w:r>
            <w:r w:rsidR="00636B60">
              <w:rPr>
                <w:noProof/>
                <w:webHidden/>
              </w:rPr>
              <w:fldChar w:fldCharType="end"/>
            </w:r>
          </w:hyperlink>
        </w:p>
        <w:p w14:paraId="4B854BD8" w14:textId="758B98DB" w:rsidR="00636B60" w:rsidRDefault="000306D9">
          <w:pPr>
            <w:pStyle w:val="TOC3"/>
            <w:tabs>
              <w:tab w:val="left" w:pos="1760"/>
              <w:tab w:val="right" w:leader="dot" w:pos="9016"/>
            </w:tabs>
            <w:ind w:left="960"/>
            <w:rPr>
              <w:rFonts w:asciiTheme="minorHAnsi" w:hAnsiTheme="minorHAnsi"/>
              <w:noProof/>
              <w:sz w:val="22"/>
            </w:rPr>
          </w:pPr>
          <w:hyperlink w:anchor="_Toc66703211" w:history="1">
            <w:r w:rsidR="00636B60" w:rsidRPr="00C45953">
              <w:rPr>
                <w:rStyle w:val="Hyperlink"/>
                <w:rFonts w:cs="Times New Roman"/>
                <w:noProof/>
              </w:rPr>
              <w:t>3.3.2</w:t>
            </w:r>
            <w:r w:rsidR="00636B60">
              <w:rPr>
                <w:rFonts w:asciiTheme="minorHAnsi" w:hAnsiTheme="minorHAnsi"/>
                <w:noProof/>
                <w:sz w:val="22"/>
              </w:rPr>
              <w:tab/>
            </w:r>
            <w:r w:rsidR="00636B60" w:rsidRPr="00C45953">
              <w:rPr>
                <w:rStyle w:val="Hyperlink"/>
                <w:rFonts w:cs="Times New Roman"/>
                <w:noProof/>
              </w:rPr>
              <w:t>Analytic hierarchy process (AHP)</w:t>
            </w:r>
            <w:r w:rsidR="00636B60">
              <w:rPr>
                <w:noProof/>
                <w:webHidden/>
              </w:rPr>
              <w:tab/>
            </w:r>
            <w:r w:rsidR="00636B60">
              <w:rPr>
                <w:noProof/>
                <w:webHidden/>
              </w:rPr>
              <w:fldChar w:fldCharType="begin"/>
            </w:r>
            <w:r w:rsidR="00636B60">
              <w:rPr>
                <w:noProof/>
                <w:webHidden/>
              </w:rPr>
              <w:instrText xml:space="preserve"> PAGEREF _Toc66703211 \h </w:instrText>
            </w:r>
            <w:r w:rsidR="00636B60">
              <w:rPr>
                <w:noProof/>
                <w:webHidden/>
              </w:rPr>
            </w:r>
            <w:r w:rsidR="00636B60">
              <w:rPr>
                <w:noProof/>
                <w:webHidden/>
              </w:rPr>
              <w:fldChar w:fldCharType="separate"/>
            </w:r>
            <w:r w:rsidR="00636B60">
              <w:rPr>
                <w:noProof/>
                <w:webHidden/>
              </w:rPr>
              <w:t>85</w:t>
            </w:r>
            <w:r w:rsidR="00636B60">
              <w:rPr>
                <w:noProof/>
                <w:webHidden/>
              </w:rPr>
              <w:fldChar w:fldCharType="end"/>
            </w:r>
          </w:hyperlink>
        </w:p>
        <w:p w14:paraId="53BB71FD" w14:textId="21B7E846" w:rsidR="00636B60" w:rsidRDefault="000306D9">
          <w:pPr>
            <w:pStyle w:val="TOC3"/>
            <w:tabs>
              <w:tab w:val="left" w:pos="1760"/>
              <w:tab w:val="right" w:leader="dot" w:pos="9016"/>
            </w:tabs>
            <w:ind w:left="960"/>
            <w:rPr>
              <w:rFonts w:asciiTheme="minorHAnsi" w:hAnsiTheme="minorHAnsi"/>
              <w:noProof/>
              <w:sz w:val="22"/>
            </w:rPr>
          </w:pPr>
          <w:hyperlink w:anchor="_Toc66703212" w:history="1">
            <w:r w:rsidR="00636B60" w:rsidRPr="00C45953">
              <w:rPr>
                <w:rStyle w:val="Hyperlink"/>
                <w:rFonts w:cs="Times New Roman"/>
                <w:noProof/>
              </w:rPr>
              <w:t>3.3.3</w:t>
            </w:r>
            <w:r w:rsidR="00636B60">
              <w:rPr>
                <w:rFonts w:asciiTheme="minorHAnsi" w:hAnsiTheme="minorHAnsi"/>
                <w:noProof/>
                <w:sz w:val="22"/>
              </w:rPr>
              <w:tab/>
            </w:r>
            <w:r w:rsidR="00636B60" w:rsidRPr="00C45953">
              <w:rPr>
                <w:rStyle w:val="Hyperlink"/>
                <w:rFonts w:cs="Times New Roman"/>
                <w:noProof/>
              </w:rPr>
              <w:t>Nonparametric testing</w:t>
            </w:r>
            <w:r w:rsidR="00636B60">
              <w:rPr>
                <w:noProof/>
                <w:webHidden/>
              </w:rPr>
              <w:tab/>
            </w:r>
            <w:r w:rsidR="00636B60">
              <w:rPr>
                <w:noProof/>
                <w:webHidden/>
              </w:rPr>
              <w:fldChar w:fldCharType="begin"/>
            </w:r>
            <w:r w:rsidR="00636B60">
              <w:rPr>
                <w:noProof/>
                <w:webHidden/>
              </w:rPr>
              <w:instrText xml:space="preserve"> PAGEREF _Toc66703212 \h </w:instrText>
            </w:r>
            <w:r w:rsidR="00636B60">
              <w:rPr>
                <w:noProof/>
                <w:webHidden/>
              </w:rPr>
            </w:r>
            <w:r w:rsidR="00636B60">
              <w:rPr>
                <w:noProof/>
                <w:webHidden/>
              </w:rPr>
              <w:fldChar w:fldCharType="separate"/>
            </w:r>
            <w:r w:rsidR="00636B60">
              <w:rPr>
                <w:noProof/>
                <w:webHidden/>
              </w:rPr>
              <w:t>87</w:t>
            </w:r>
            <w:r w:rsidR="00636B60">
              <w:rPr>
                <w:noProof/>
                <w:webHidden/>
              </w:rPr>
              <w:fldChar w:fldCharType="end"/>
            </w:r>
          </w:hyperlink>
        </w:p>
        <w:p w14:paraId="5910CC8D" w14:textId="3FF0956F" w:rsidR="00636B60" w:rsidRDefault="000306D9">
          <w:pPr>
            <w:pStyle w:val="TOC3"/>
            <w:tabs>
              <w:tab w:val="left" w:pos="1760"/>
              <w:tab w:val="right" w:leader="dot" w:pos="9016"/>
            </w:tabs>
            <w:ind w:left="960"/>
            <w:rPr>
              <w:rFonts w:asciiTheme="minorHAnsi" w:hAnsiTheme="minorHAnsi"/>
              <w:noProof/>
              <w:sz w:val="22"/>
            </w:rPr>
          </w:pPr>
          <w:hyperlink w:anchor="_Toc66703213" w:history="1">
            <w:r w:rsidR="00636B60" w:rsidRPr="00C45953">
              <w:rPr>
                <w:rStyle w:val="Hyperlink"/>
                <w:rFonts w:cs="Times New Roman"/>
                <w:noProof/>
              </w:rPr>
              <w:t>3.3.4</w:t>
            </w:r>
            <w:r w:rsidR="00636B60">
              <w:rPr>
                <w:rFonts w:asciiTheme="minorHAnsi" w:hAnsiTheme="minorHAnsi"/>
                <w:noProof/>
                <w:sz w:val="22"/>
              </w:rPr>
              <w:tab/>
            </w:r>
            <w:r w:rsidR="00636B60" w:rsidRPr="00C45953">
              <w:rPr>
                <w:rStyle w:val="Hyperlink"/>
                <w:rFonts w:cs="Times New Roman"/>
                <w:noProof/>
              </w:rPr>
              <w:t>Thematic analysis</w:t>
            </w:r>
            <w:r w:rsidR="00636B60">
              <w:rPr>
                <w:noProof/>
                <w:webHidden/>
              </w:rPr>
              <w:tab/>
            </w:r>
            <w:r w:rsidR="00636B60">
              <w:rPr>
                <w:noProof/>
                <w:webHidden/>
              </w:rPr>
              <w:fldChar w:fldCharType="begin"/>
            </w:r>
            <w:r w:rsidR="00636B60">
              <w:rPr>
                <w:noProof/>
                <w:webHidden/>
              </w:rPr>
              <w:instrText xml:space="preserve"> PAGEREF _Toc66703213 \h </w:instrText>
            </w:r>
            <w:r w:rsidR="00636B60">
              <w:rPr>
                <w:noProof/>
                <w:webHidden/>
              </w:rPr>
            </w:r>
            <w:r w:rsidR="00636B60">
              <w:rPr>
                <w:noProof/>
                <w:webHidden/>
              </w:rPr>
              <w:fldChar w:fldCharType="separate"/>
            </w:r>
            <w:r w:rsidR="00636B60">
              <w:rPr>
                <w:noProof/>
                <w:webHidden/>
              </w:rPr>
              <w:t>88</w:t>
            </w:r>
            <w:r w:rsidR="00636B60">
              <w:rPr>
                <w:noProof/>
                <w:webHidden/>
              </w:rPr>
              <w:fldChar w:fldCharType="end"/>
            </w:r>
          </w:hyperlink>
        </w:p>
        <w:p w14:paraId="74842EA9" w14:textId="73429333" w:rsidR="00636B60" w:rsidRDefault="000306D9">
          <w:pPr>
            <w:pStyle w:val="TOC3"/>
            <w:tabs>
              <w:tab w:val="left" w:pos="1760"/>
              <w:tab w:val="right" w:leader="dot" w:pos="9016"/>
            </w:tabs>
            <w:ind w:left="960"/>
            <w:rPr>
              <w:rFonts w:asciiTheme="minorHAnsi" w:hAnsiTheme="minorHAnsi"/>
              <w:noProof/>
              <w:sz w:val="22"/>
            </w:rPr>
          </w:pPr>
          <w:hyperlink w:anchor="_Toc66703214" w:history="1">
            <w:r w:rsidR="00636B60" w:rsidRPr="00C45953">
              <w:rPr>
                <w:rStyle w:val="Hyperlink"/>
                <w:rFonts w:cs="Times New Roman"/>
                <w:noProof/>
              </w:rPr>
              <w:t>3.3.5</w:t>
            </w:r>
            <w:r w:rsidR="00636B60">
              <w:rPr>
                <w:rFonts w:asciiTheme="minorHAnsi" w:hAnsiTheme="minorHAnsi"/>
                <w:noProof/>
                <w:sz w:val="22"/>
              </w:rPr>
              <w:tab/>
            </w:r>
            <w:r w:rsidR="00636B60" w:rsidRPr="00C45953">
              <w:rPr>
                <w:rStyle w:val="Hyperlink"/>
                <w:rFonts w:cs="Times New Roman"/>
                <w:noProof/>
              </w:rPr>
              <w:t>Cost sharing principles</w:t>
            </w:r>
            <w:r w:rsidR="00636B60">
              <w:rPr>
                <w:noProof/>
                <w:webHidden/>
              </w:rPr>
              <w:tab/>
            </w:r>
            <w:r w:rsidR="00636B60">
              <w:rPr>
                <w:noProof/>
                <w:webHidden/>
              </w:rPr>
              <w:fldChar w:fldCharType="begin"/>
            </w:r>
            <w:r w:rsidR="00636B60">
              <w:rPr>
                <w:noProof/>
                <w:webHidden/>
              </w:rPr>
              <w:instrText xml:space="preserve"> PAGEREF _Toc66703214 \h </w:instrText>
            </w:r>
            <w:r w:rsidR="00636B60">
              <w:rPr>
                <w:noProof/>
                <w:webHidden/>
              </w:rPr>
            </w:r>
            <w:r w:rsidR="00636B60">
              <w:rPr>
                <w:noProof/>
                <w:webHidden/>
              </w:rPr>
              <w:fldChar w:fldCharType="separate"/>
            </w:r>
            <w:r w:rsidR="00636B60">
              <w:rPr>
                <w:noProof/>
                <w:webHidden/>
              </w:rPr>
              <w:t>90</w:t>
            </w:r>
            <w:r w:rsidR="00636B60">
              <w:rPr>
                <w:noProof/>
                <w:webHidden/>
              </w:rPr>
              <w:fldChar w:fldCharType="end"/>
            </w:r>
          </w:hyperlink>
        </w:p>
        <w:p w14:paraId="0DFF09C0" w14:textId="306CA867" w:rsidR="00636B60" w:rsidRDefault="000306D9">
          <w:pPr>
            <w:pStyle w:val="TOC2"/>
            <w:rPr>
              <w:rFonts w:asciiTheme="minorHAnsi" w:eastAsiaTheme="minorEastAsia" w:hAnsiTheme="minorHAnsi" w:cstheme="minorBidi"/>
              <w:kern w:val="0"/>
              <w:sz w:val="22"/>
            </w:rPr>
          </w:pPr>
          <w:hyperlink w:anchor="_Toc66703215" w:history="1">
            <w:r w:rsidR="00636B60" w:rsidRPr="00C45953">
              <w:rPr>
                <w:rStyle w:val="Hyperlink"/>
              </w:rPr>
              <w:t>3.4</w:t>
            </w:r>
            <w:r w:rsidR="00636B60">
              <w:rPr>
                <w:rFonts w:asciiTheme="minorHAnsi" w:eastAsiaTheme="minorEastAsia" w:hAnsiTheme="minorHAnsi" w:cstheme="minorBidi"/>
                <w:kern w:val="0"/>
                <w:sz w:val="22"/>
              </w:rPr>
              <w:tab/>
            </w:r>
            <w:r w:rsidR="00636B60" w:rsidRPr="00C45953">
              <w:rPr>
                <w:rStyle w:val="Hyperlink"/>
              </w:rPr>
              <w:t>Data collection method</w:t>
            </w:r>
            <w:r w:rsidR="00636B60">
              <w:rPr>
                <w:webHidden/>
              </w:rPr>
              <w:tab/>
            </w:r>
            <w:r w:rsidR="00636B60">
              <w:rPr>
                <w:webHidden/>
              </w:rPr>
              <w:fldChar w:fldCharType="begin"/>
            </w:r>
            <w:r w:rsidR="00636B60">
              <w:rPr>
                <w:webHidden/>
              </w:rPr>
              <w:instrText xml:space="preserve"> PAGEREF _Toc66703215 \h </w:instrText>
            </w:r>
            <w:r w:rsidR="00636B60">
              <w:rPr>
                <w:webHidden/>
              </w:rPr>
            </w:r>
            <w:r w:rsidR="00636B60">
              <w:rPr>
                <w:webHidden/>
              </w:rPr>
              <w:fldChar w:fldCharType="separate"/>
            </w:r>
            <w:r w:rsidR="00636B60">
              <w:rPr>
                <w:webHidden/>
              </w:rPr>
              <w:t>96</w:t>
            </w:r>
            <w:r w:rsidR="00636B60">
              <w:rPr>
                <w:webHidden/>
              </w:rPr>
              <w:fldChar w:fldCharType="end"/>
            </w:r>
          </w:hyperlink>
        </w:p>
        <w:p w14:paraId="0C25C413" w14:textId="4E79CE20" w:rsidR="00636B60" w:rsidRDefault="000306D9">
          <w:pPr>
            <w:pStyle w:val="TOC3"/>
            <w:tabs>
              <w:tab w:val="left" w:pos="1760"/>
              <w:tab w:val="right" w:leader="dot" w:pos="9016"/>
            </w:tabs>
            <w:ind w:left="960"/>
            <w:rPr>
              <w:rFonts w:asciiTheme="minorHAnsi" w:hAnsiTheme="minorHAnsi"/>
              <w:noProof/>
              <w:sz w:val="22"/>
            </w:rPr>
          </w:pPr>
          <w:hyperlink w:anchor="_Toc66703216" w:history="1">
            <w:r w:rsidR="00636B60" w:rsidRPr="00C45953">
              <w:rPr>
                <w:rStyle w:val="Hyperlink"/>
                <w:rFonts w:cs="Times New Roman"/>
                <w:noProof/>
              </w:rPr>
              <w:t>3.4.1</w:t>
            </w:r>
            <w:r w:rsidR="00636B60">
              <w:rPr>
                <w:rFonts w:asciiTheme="minorHAnsi" w:hAnsiTheme="minorHAnsi"/>
                <w:noProof/>
                <w:sz w:val="22"/>
              </w:rPr>
              <w:tab/>
            </w:r>
            <w:r w:rsidR="00636B60" w:rsidRPr="00C45953">
              <w:rPr>
                <w:rStyle w:val="Hyperlink"/>
                <w:rFonts w:cs="Times New Roman"/>
                <w:noProof/>
              </w:rPr>
              <w:t>Details of the interviewees</w:t>
            </w:r>
            <w:r w:rsidR="00636B60">
              <w:rPr>
                <w:noProof/>
                <w:webHidden/>
              </w:rPr>
              <w:tab/>
            </w:r>
            <w:r w:rsidR="00636B60">
              <w:rPr>
                <w:noProof/>
                <w:webHidden/>
              </w:rPr>
              <w:fldChar w:fldCharType="begin"/>
            </w:r>
            <w:r w:rsidR="00636B60">
              <w:rPr>
                <w:noProof/>
                <w:webHidden/>
              </w:rPr>
              <w:instrText xml:space="preserve"> PAGEREF _Toc66703216 \h </w:instrText>
            </w:r>
            <w:r w:rsidR="00636B60">
              <w:rPr>
                <w:noProof/>
                <w:webHidden/>
              </w:rPr>
            </w:r>
            <w:r w:rsidR="00636B60">
              <w:rPr>
                <w:noProof/>
                <w:webHidden/>
              </w:rPr>
              <w:fldChar w:fldCharType="separate"/>
            </w:r>
            <w:r w:rsidR="00636B60">
              <w:rPr>
                <w:noProof/>
                <w:webHidden/>
              </w:rPr>
              <w:t>96</w:t>
            </w:r>
            <w:r w:rsidR="00636B60">
              <w:rPr>
                <w:noProof/>
                <w:webHidden/>
              </w:rPr>
              <w:fldChar w:fldCharType="end"/>
            </w:r>
          </w:hyperlink>
        </w:p>
        <w:p w14:paraId="1FDFBEA8" w14:textId="02FD5A13" w:rsidR="00636B60" w:rsidRDefault="000306D9">
          <w:pPr>
            <w:pStyle w:val="TOC3"/>
            <w:tabs>
              <w:tab w:val="left" w:pos="1760"/>
              <w:tab w:val="right" w:leader="dot" w:pos="9016"/>
            </w:tabs>
            <w:ind w:left="960"/>
            <w:rPr>
              <w:rFonts w:asciiTheme="minorHAnsi" w:hAnsiTheme="minorHAnsi"/>
              <w:noProof/>
              <w:sz w:val="22"/>
            </w:rPr>
          </w:pPr>
          <w:hyperlink w:anchor="_Toc66703217" w:history="1">
            <w:r w:rsidR="00636B60" w:rsidRPr="00C45953">
              <w:rPr>
                <w:rStyle w:val="Hyperlink"/>
                <w:rFonts w:cs="Times New Roman"/>
                <w:noProof/>
              </w:rPr>
              <w:t>3.4.2</w:t>
            </w:r>
            <w:r w:rsidR="00636B60">
              <w:rPr>
                <w:rFonts w:asciiTheme="minorHAnsi" w:hAnsiTheme="minorHAnsi"/>
                <w:noProof/>
                <w:sz w:val="22"/>
              </w:rPr>
              <w:tab/>
            </w:r>
            <w:r w:rsidR="00636B60" w:rsidRPr="00C45953">
              <w:rPr>
                <w:rStyle w:val="Hyperlink"/>
                <w:rFonts w:cs="Times New Roman"/>
                <w:noProof/>
              </w:rPr>
              <w:t>Questionnaire setting</w:t>
            </w:r>
            <w:r w:rsidR="00636B60">
              <w:rPr>
                <w:noProof/>
                <w:webHidden/>
              </w:rPr>
              <w:tab/>
            </w:r>
            <w:r w:rsidR="00636B60">
              <w:rPr>
                <w:noProof/>
                <w:webHidden/>
              </w:rPr>
              <w:fldChar w:fldCharType="begin"/>
            </w:r>
            <w:r w:rsidR="00636B60">
              <w:rPr>
                <w:noProof/>
                <w:webHidden/>
              </w:rPr>
              <w:instrText xml:space="preserve"> PAGEREF _Toc66703217 \h </w:instrText>
            </w:r>
            <w:r w:rsidR="00636B60">
              <w:rPr>
                <w:noProof/>
                <w:webHidden/>
              </w:rPr>
            </w:r>
            <w:r w:rsidR="00636B60">
              <w:rPr>
                <w:noProof/>
                <w:webHidden/>
              </w:rPr>
              <w:fldChar w:fldCharType="separate"/>
            </w:r>
            <w:r w:rsidR="00636B60">
              <w:rPr>
                <w:noProof/>
                <w:webHidden/>
              </w:rPr>
              <w:t>96</w:t>
            </w:r>
            <w:r w:rsidR="00636B60">
              <w:rPr>
                <w:noProof/>
                <w:webHidden/>
              </w:rPr>
              <w:fldChar w:fldCharType="end"/>
            </w:r>
          </w:hyperlink>
        </w:p>
        <w:p w14:paraId="65A1FDE2" w14:textId="7380879E" w:rsidR="00636B60" w:rsidRDefault="000306D9">
          <w:pPr>
            <w:pStyle w:val="TOC3"/>
            <w:tabs>
              <w:tab w:val="left" w:pos="1760"/>
              <w:tab w:val="right" w:leader="dot" w:pos="9016"/>
            </w:tabs>
            <w:ind w:left="960"/>
            <w:rPr>
              <w:rFonts w:asciiTheme="minorHAnsi" w:hAnsiTheme="minorHAnsi"/>
              <w:noProof/>
              <w:sz w:val="22"/>
            </w:rPr>
          </w:pPr>
          <w:hyperlink w:anchor="_Toc66703218" w:history="1">
            <w:r w:rsidR="00636B60" w:rsidRPr="00C45953">
              <w:rPr>
                <w:rStyle w:val="Hyperlink"/>
                <w:rFonts w:cs="Times New Roman"/>
                <w:noProof/>
              </w:rPr>
              <w:t>3.4.3</w:t>
            </w:r>
            <w:r w:rsidR="00636B60">
              <w:rPr>
                <w:rFonts w:asciiTheme="minorHAnsi" w:hAnsiTheme="minorHAnsi"/>
                <w:noProof/>
                <w:sz w:val="22"/>
              </w:rPr>
              <w:tab/>
            </w:r>
            <w:r w:rsidR="00636B60" w:rsidRPr="00C45953">
              <w:rPr>
                <w:rStyle w:val="Hyperlink"/>
                <w:rFonts w:cs="Times New Roman"/>
                <w:noProof/>
              </w:rPr>
              <w:t>Data collection approach</w:t>
            </w:r>
            <w:r w:rsidR="00636B60">
              <w:rPr>
                <w:noProof/>
                <w:webHidden/>
              </w:rPr>
              <w:tab/>
            </w:r>
            <w:r w:rsidR="00636B60">
              <w:rPr>
                <w:noProof/>
                <w:webHidden/>
              </w:rPr>
              <w:fldChar w:fldCharType="begin"/>
            </w:r>
            <w:r w:rsidR="00636B60">
              <w:rPr>
                <w:noProof/>
                <w:webHidden/>
              </w:rPr>
              <w:instrText xml:space="preserve"> PAGEREF _Toc66703218 \h </w:instrText>
            </w:r>
            <w:r w:rsidR="00636B60">
              <w:rPr>
                <w:noProof/>
                <w:webHidden/>
              </w:rPr>
            </w:r>
            <w:r w:rsidR="00636B60">
              <w:rPr>
                <w:noProof/>
                <w:webHidden/>
              </w:rPr>
              <w:fldChar w:fldCharType="separate"/>
            </w:r>
            <w:r w:rsidR="00636B60">
              <w:rPr>
                <w:noProof/>
                <w:webHidden/>
              </w:rPr>
              <w:t>97</w:t>
            </w:r>
            <w:r w:rsidR="00636B60">
              <w:rPr>
                <w:noProof/>
                <w:webHidden/>
              </w:rPr>
              <w:fldChar w:fldCharType="end"/>
            </w:r>
          </w:hyperlink>
        </w:p>
        <w:p w14:paraId="1295B28D" w14:textId="75F68AF1" w:rsidR="00636B60" w:rsidRDefault="000306D9">
          <w:pPr>
            <w:pStyle w:val="TOC3"/>
            <w:tabs>
              <w:tab w:val="left" w:pos="1760"/>
              <w:tab w:val="right" w:leader="dot" w:pos="9016"/>
            </w:tabs>
            <w:ind w:left="960"/>
            <w:rPr>
              <w:rFonts w:asciiTheme="minorHAnsi" w:hAnsiTheme="minorHAnsi"/>
              <w:noProof/>
              <w:sz w:val="22"/>
            </w:rPr>
          </w:pPr>
          <w:hyperlink w:anchor="_Toc66703219" w:history="1">
            <w:r w:rsidR="00636B60" w:rsidRPr="00C45953">
              <w:rPr>
                <w:rStyle w:val="Hyperlink"/>
                <w:rFonts w:cs="Times New Roman"/>
                <w:noProof/>
              </w:rPr>
              <w:t>3.4.4</w:t>
            </w:r>
            <w:r w:rsidR="00636B60">
              <w:rPr>
                <w:rFonts w:asciiTheme="minorHAnsi" w:hAnsiTheme="minorHAnsi"/>
                <w:noProof/>
                <w:sz w:val="22"/>
              </w:rPr>
              <w:tab/>
            </w:r>
            <w:r w:rsidR="00636B60" w:rsidRPr="00C45953">
              <w:rPr>
                <w:rStyle w:val="Hyperlink"/>
                <w:rFonts w:cs="Times New Roman"/>
                <w:noProof/>
              </w:rPr>
              <w:t>Data transcription &amp; coding</w:t>
            </w:r>
            <w:r w:rsidR="00636B60">
              <w:rPr>
                <w:noProof/>
                <w:webHidden/>
              </w:rPr>
              <w:tab/>
            </w:r>
            <w:r w:rsidR="00636B60">
              <w:rPr>
                <w:noProof/>
                <w:webHidden/>
              </w:rPr>
              <w:fldChar w:fldCharType="begin"/>
            </w:r>
            <w:r w:rsidR="00636B60">
              <w:rPr>
                <w:noProof/>
                <w:webHidden/>
              </w:rPr>
              <w:instrText xml:space="preserve"> PAGEREF _Toc66703219 \h </w:instrText>
            </w:r>
            <w:r w:rsidR="00636B60">
              <w:rPr>
                <w:noProof/>
                <w:webHidden/>
              </w:rPr>
            </w:r>
            <w:r w:rsidR="00636B60">
              <w:rPr>
                <w:noProof/>
                <w:webHidden/>
              </w:rPr>
              <w:fldChar w:fldCharType="separate"/>
            </w:r>
            <w:r w:rsidR="00636B60">
              <w:rPr>
                <w:noProof/>
                <w:webHidden/>
              </w:rPr>
              <w:t>97</w:t>
            </w:r>
            <w:r w:rsidR="00636B60">
              <w:rPr>
                <w:noProof/>
                <w:webHidden/>
              </w:rPr>
              <w:fldChar w:fldCharType="end"/>
            </w:r>
          </w:hyperlink>
        </w:p>
        <w:p w14:paraId="13EF90D6" w14:textId="5DE9F13F" w:rsidR="00636B60" w:rsidRDefault="000306D9">
          <w:pPr>
            <w:pStyle w:val="TOC2"/>
            <w:rPr>
              <w:rFonts w:asciiTheme="minorHAnsi" w:eastAsiaTheme="minorEastAsia" w:hAnsiTheme="minorHAnsi" w:cstheme="minorBidi"/>
              <w:kern w:val="0"/>
              <w:sz w:val="22"/>
            </w:rPr>
          </w:pPr>
          <w:hyperlink w:anchor="_Toc66703220" w:history="1">
            <w:r w:rsidR="00636B60" w:rsidRPr="00C45953">
              <w:rPr>
                <w:rStyle w:val="Hyperlink"/>
              </w:rPr>
              <w:t>3.5</w:t>
            </w:r>
            <w:r w:rsidR="00636B60">
              <w:rPr>
                <w:rFonts w:asciiTheme="minorHAnsi" w:eastAsiaTheme="minorEastAsia" w:hAnsiTheme="minorHAnsi" w:cstheme="minorBidi"/>
                <w:kern w:val="0"/>
                <w:sz w:val="22"/>
              </w:rPr>
              <w:tab/>
            </w:r>
            <w:r w:rsidR="00636B60" w:rsidRPr="00C45953">
              <w:rPr>
                <w:rStyle w:val="Hyperlink"/>
              </w:rPr>
              <w:t>Chapter summary</w:t>
            </w:r>
            <w:r w:rsidR="00636B60">
              <w:rPr>
                <w:webHidden/>
              </w:rPr>
              <w:tab/>
            </w:r>
            <w:r w:rsidR="00636B60">
              <w:rPr>
                <w:webHidden/>
              </w:rPr>
              <w:fldChar w:fldCharType="begin"/>
            </w:r>
            <w:r w:rsidR="00636B60">
              <w:rPr>
                <w:webHidden/>
              </w:rPr>
              <w:instrText xml:space="preserve"> PAGEREF _Toc66703220 \h </w:instrText>
            </w:r>
            <w:r w:rsidR="00636B60">
              <w:rPr>
                <w:webHidden/>
              </w:rPr>
            </w:r>
            <w:r w:rsidR="00636B60">
              <w:rPr>
                <w:webHidden/>
              </w:rPr>
              <w:fldChar w:fldCharType="separate"/>
            </w:r>
            <w:r w:rsidR="00636B60">
              <w:rPr>
                <w:webHidden/>
              </w:rPr>
              <w:t>98</w:t>
            </w:r>
            <w:r w:rsidR="00636B60">
              <w:rPr>
                <w:webHidden/>
              </w:rPr>
              <w:fldChar w:fldCharType="end"/>
            </w:r>
          </w:hyperlink>
        </w:p>
        <w:p w14:paraId="68940B66" w14:textId="760FC376" w:rsidR="00636B60" w:rsidRDefault="000306D9">
          <w:pPr>
            <w:pStyle w:val="TOC1"/>
            <w:tabs>
              <w:tab w:val="left" w:pos="1320"/>
            </w:tabs>
            <w:rPr>
              <w:rFonts w:asciiTheme="minorHAnsi" w:hAnsiTheme="minorHAnsi"/>
              <w:noProof/>
              <w:sz w:val="22"/>
            </w:rPr>
          </w:pPr>
          <w:hyperlink w:anchor="_Toc66703221" w:history="1">
            <w:r w:rsidR="00636B60" w:rsidRPr="00C45953">
              <w:rPr>
                <w:rStyle w:val="Hyperlink"/>
                <w:rFonts w:cs="Times New Roman"/>
                <w:noProof/>
              </w:rPr>
              <w:t>Chapter 4:</w:t>
            </w:r>
            <w:r w:rsidR="00636B60">
              <w:rPr>
                <w:rFonts w:asciiTheme="minorHAnsi" w:hAnsiTheme="minorHAnsi"/>
                <w:noProof/>
                <w:sz w:val="22"/>
              </w:rPr>
              <w:tab/>
            </w:r>
            <w:r w:rsidR="00636B60" w:rsidRPr="00C45953">
              <w:rPr>
                <w:rStyle w:val="Hyperlink"/>
                <w:noProof/>
              </w:rPr>
              <w:t>Investigating the cost structures of urban consolidation centres</w:t>
            </w:r>
            <w:r w:rsidR="00636B60">
              <w:rPr>
                <w:noProof/>
                <w:webHidden/>
              </w:rPr>
              <w:tab/>
            </w:r>
            <w:r w:rsidR="00636B60">
              <w:rPr>
                <w:noProof/>
                <w:webHidden/>
              </w:rPr>
              <w:fldChar w:fldCharType="begin"/>
            </w:r>
            <w:r w:rsidR="00636B60">
              <w:rPr>
                <w:noProof/>
                <w:webHidden/>
              </w:rPr>
              <w:instrText xml:space="preserve"> PAGEREF _Toc66703221 \h </w:instrText>
            </w:r>
            <w:r w:rsidR="00636B60">
              <w:rPr>
                <w:noProof/>
                <w:webHidden/>
              </w:rPr>
            </w:r>
            <w:r w:rsidR="00636B60">
              <w:rPr>
                <w:noProof/>
                <w:webHidden/>
              </w:rPr>
              <w:fldChar w:fldCharType="separate"/>
            </w:r>
            <w:r w:rsidR="00636B60">
              <w:rPr>
                <w:noProof/>
                <w:webHidden/>
              </w:rPr>
              <w:t>100</w:t>
            </w:r>
            <w:r w:rsidR="00636B60">
              <w:rPr>
                <w:noProof/>
                <w:webHidden/>
              </w:rPr>
              <w:fldChar w:fldCharType="end"/>
            </w:r>
          </w:hyperlink>
        </w:p>
        <w:p w14:paraId="128647F6" w14:textId="3A94FA60" w:rsidR="00636B60" w:rsidRDefault="000306D9">
          <w:pPr>
            <w:pStyle w:val="TOC2"/>
            <w:rPr>
              <w:rFonts w:asciiTheme="minorHAnsi" w:eastAsiaTheme="minorEastAsia" w:hAnsiTheme="minorHAnsi" w:cstheme="minorBidi"/>
              <w:kern w:val="0"/>
              <w:sz w:val="22"/>
            </w:rPr>
          </w:pPr>
          <w:hyperlink w:anchor="_Toc66703222" w:history="1">
            <w:r w:rsidR="00636B60" w:rsidRPr="00C45953">
              <w:rPr>
                <w:rStyle w:val="Hyperlink"/>
              </w:rPr>
              <w:t>4.1</w:t>
            </w:r>
            <w:r w:rsidR="00636B60">
              <w:rPr>
                <w:rFonts w:asciiTheme="minorHAnsi" w:eastAsiaTheme="minorEastAsia" w:hAnsiTheme="minorHAnsi" w:cstheme="minorBidi"/>
                <w:kern w:val="0"/>
                <w:sz w:val="22"/>
              </w:rPr>
              <w:tab/>
            </w:r>
            <w:r w:rsidR="00636B60" w:rsidRPr="00C45953">
              <w:rPr>
                <w:rStyle w:val="Hyperlink"/>
              </w:rPr>
              <w:t>Fixed cost of the urban consolidation centre (UCC)</w:t>
            </w:r>
            <w:r w:rsidR="00636B60">
              <w:rPr>
                <w:webHidden/>
              </w:rPr>
              <w:tab/>
            </w:r>
            <w:r w:rsidR="00636B60">
              <w:rPr>
                <w:webHidden/>
              </w:rPr>
              <w:fldChar w:fldCharType="begin"/>
            </w:r>
            <w:r w:rsidR="00636B60">
              <w:rPr>
                <w:webHidden/>
              </w:rPr>
              <w:instrText xml:space="preserve"> PAGEREF _Toc66703222 \h </w:instrText>
            </w:r>
            <w:r w:rsidR="00636B60">
              <w:rPr>
                <w:webHidden/>
              </w:rPr>
            </w:r>
            <w:r w:rsidR="00636B60">
              <w:rPr>
                <w:webHidden/>
              </w:rPr>
              <w:fldChar w:fldCharType="separate"/>
            </w:r>
            <w:r w:rsidR="00636B60">
              <w:rPr>
                <w:webHidden/>
              </w:rPr>
              <w:t>102</w:t>
            </w:r>
            <w:r w:rsidR="00636B60">
              <w:rPr>
                <w:webHidden/>
              </w:rPr>
              <w:fldChar w:fldCharType="end"/>
            </w:r>
          </w:hyperlink>
        </w:p>
        <w:p w14:paraId="44835E2A" w14:textId="12303F83" w:rsidR="00636B60" w:rsidRDefault="000306D9">
          <w:pPr>
            <w:pStyle w:val="TOC2"/>
            <w:rPr>
              <w:rFonts w:asciiTheme="minorHAnsi" w:eastAsiaTheme="minorEastAsia" w:hAnsiTheme="minorHAnsi" w:cstheme="minorBidi"/>
              <w:kern w:val="0"/>
              <w:sz w:val="22"/>
            </w:rPr>
          </w:pPr>
          <w:hyperlink w:anchor="_Toc66703223" w:history="1">
            <w:r w:rsidR="00636B60" w:rsidRPr="00C45953">
              <w:rPr>
                <w:rStyle w:val="Hyperlink"/>
              </w:rPr>
              <w:t>4.2</w:t>
            </w:r>
            <w:r w:rsidR="00636B60">
              <w:rPr>
                <w:rFonts w:asciiTheme="minorHAnsi" w:eastAsiaTheme="minorEastAsia" w:hAnsiTheme="minorHAnsi" w:cstheme="minorBidi"/>
                <w:kern w:val="0"/>
                <w:sz w:val="22"/>
              </w:rPr>
              <w:tab/>
            </w:r>
            <w:r w:rsidR="00636B60" w:rsidRPr="00C45953">
              <w:rPr>
                <w:rStyle w:val="Hyperlink"/>
              </w:rPr>
              <w:t>Variable cost of the urban consolidation centre (UCC)</w:t>
            </w:r>
            <w:r w:rsidR="00636B60">
              <w:rPr>
                <w:webHidden/>
              </w:rPr>
              <w:tab/>
            </w:r>
            <w:r w:rsidR="00636B60">
              <w:rPr>
                <w:webHidden/>
              </w:rPr>
              <w:fldChar w:fldCharType="begin"/>
            </w:r>
            <w:r w:rsidR="00636B60">
              <w:rPr>
                <w:webHidden/>
              </w:rPr>
              <w:instrText xml:space="preserve"> PAGEREF _Toc66703223 \h </w:instrText>
            </w:r>
            <w:r w:rsidR="00636B60">
              <w:rPr>
                <w:webHidden/>
              </w:rPr>
            </w:r>
            <w:r w:rsidR="00636B60">
              <w:rPr>
                <w:webHidden/>
              </w:rPr>
              <w:fldChar w:fldCharType="separate"/>
            </w:r>
            <w:r w:rsidR="00636B60">
              <w:rPr>
                <w:webHidden/>
              </w:rPr>
              <w:t>102</w:t>
            </w:r>
            <w:r w:rsidR="00636B60">
              <w:rPr>
                <w:webHidden/>
              </w:rPr>
              <w:fldChar w:fldCharType="end"/>
            </w:r>
          </w:hyperlink>
        </w:p>
        <w:p w14:paraId="7EC05B21" w14:textId="17EF796B" w:rsidR="00636B60" w:rsidRDefault="000306D9">
          <w:pPr>
            <w:pStyle w:val="TOC3"/>
            <w:tabs>
              <w:tab w:val="left" w:pos="1760"/>
              <w:tab w:val="right" w:leader="dot" w:pos="9016"/>
            </w:tabs>
            <w:ind w:left="960"/>
            <w:rPr>
              <w:rFonts w:asciiTheme="minorHAnsi" w:hAnsiTheme="minorHAnsi"/>
              <w:noProof/>
              <w:sz w:val="22"/>
            </w:rPr>
          </w:pPr>
          <w:hyperlink w:anchor="_Toc66703224" w:history="1">
            <w:r w:rsidR="00636B60" w:rsidRPr="00C45953">
              <w:rPr>
                <w:rStyle w:val="Hyperlink"/>
                <w:rFonts w:cs="Times New Roman"/>
                <w:noProof/>
              </w:rPr>
              <w:t>4.2.1</w:t>
            </w:r>
            <w:r w:rsidR="00636B60">
              <w:rPr>
                <w:rFonts w:asciiTheme="minorHAnsi" w:hAnsiTheme="minorHAnsi"/>
                <w:noProof/>
                <w:sz w:val="22"/>
              </w:rPr>
              <w:tab/>
            </w:r>
            <w:r w:rsidR="00636B60" w:rsidRPr="00C45953">
              <w:rPr>
                <w:rStyle w:val="Hyperlink"/>
                <w:rFonts w:cs="Times New Roman"/>
                <w:noProof/>
              </w:rPr>
              <w:t>Details of in-facility costs</w:t>
            </w:r>
            <w:r w:rsidR="00636B60">
              <w:rPr>
                <w:noProof/>
                <w:webHidden/>
              </w:rPr>
              <w:tab/>
            </w:r>
            <w:r w:rsidR="00636B60">
              <w:rPr>
                <w:noProof/>
                <w:webHidden/>
              </w:rPr>
              <w:fldChar w:fldCharType="begin"/>
            </w:r>
            <w:r w:rsidR="00636B60">
              <w:rPr>
                <w:noProof/>
                <w:webHidden/>
              </w:rPr>
              <w:instrText xml:space="preserve"> PAGEREF _Toc66703224 \h </w:instrText>
            </w:r>
            <w:r w:rsidR="00636B60">
              <w:rPr>
                <w:noProof/>
                <w:webHidden/>
              </w:rPr>
            </w:r>
            <w:r w:rsidR="00636B60">
              <w:rPr>
                <w:noProof/>
                <w:webHidden/>
              </w:rPr>
              <w:fldChar w:fldCharType="separate"/>
            </w:r>
            <w:r w:rsidR="00636B60">
              <w:rPr>
                <w:noProof/>
                <w:webHidden/>
              </w:rPr>
              <w:t>103</w:t>
            </w:r>
            <w:r w:rsidR="00636B60">
              <w:rPr>
                <w:noProof/>
                <w:webHidden/>
              </w:rPr>
              <w:fldChar w:fldCharType="end"/>
            </w:r>
          </w:hyperlink>
        </w:p>
        <w:p w14:paraId="3474F414" w14:textId="4C578663" w:rsidR="00636B60" w:rsidRDefault="000306D9">
          <w:pPr>
            <w:pStyle w:val="TOC3"/>
            <w:tabs>
              <w:tab w:val="left" w:pos="1760"/>
              <w:tab w:val="right" w:leader="dot" w:pos="9016"/>
            </w:tabs>
            <w:ind w:left="960"/>
            <w:rPr>
              <w:rFonts w:asciiTheme="minorHAnsi" w:hAnsiTheme="minorHAnsi"/>
              <w:noProof/>
              <w:sz w:val="22"/>
            </w:rPr>
          </w:pPr>
          <w:hyperlink w:anchor="_Toc66703225" w:history="1">
            <w:r w:rsidR="00636B60" w:rsidRPr="00C45953">
              <w:rPr>
                <w:rStyle w:val="Hyperlink"/>
                <w:rFonts w:cs="Times New Roman"/>
                <w:noProof/>
              </w:rPr>
              <w:t>4.2.2</w:t>
            </w:r>
            <w:r w:rsidR="00636B60">
              <w:rPr>
                <w:rFonts w:asciiTheme="minorHAnsi" w:hAnsiTheme="minorHAnsi"/>
                <w:noProof/>
                <w:sz w:val="22"/>
              </w:rPr>
              <w:tab/>
            </w:r>
            <w:r w:rsidR="00636B60" w:rsidRPr="00C45953">
              <w:rPr>
                <w:rStyle w:val="Hyperlink"/>
                <w:rFonts w:cs="Times New Roman"/>
                <w:noProof/>
              </w:rPr>
              <w:t>On-road costs</w:t>
            </w:r>
            <w:r w:rsidR="00636B60">
              <w:rPr>
                <w:noProof/>
                <w:webHidden/>
              </w:rPr>
              <w:tab/>
            </w:r>
            <w:r w:rsidR="00636B60">
              <w:rPr>
                <w:noProof/>
                <w:webHidden/>
              </w:rPr>
              <w:fldChar w:fldCharType="begin"/>
            </w:r>
            <w:r w:rsidR="00636B60">
              <w:rPr>
                <w:noProof/>
                <w:webHidden/>
              </w:rPr>
              <w:instrText xml:space="preserve"> PAGEREF _Toc66703225 \h </w:instrText>
            </w:r>
            <w:r w:rsidR="00636B60">
              <w:rPr>
                <w:noProof/>
                <w:webHidden/>
              </w:rPr>
            </w:r>
            <w:r w:rsidR="00636B60">
              <w:rPr>
                <w:noProof/>
                <w:webHidden/>
              </w:rPr>
              <w:fldChar w:fldCharType="separate"/>
            </w:r>
            <w:r w:rsidR="00636B60">
              <w:rPr>
                <w:noProof/>
                <w:webHidden/>
              </w:rPr>
              <w:t>104</w:t>
            </w:r>
            <w:r w:rsidR="00636B60">
              <w:rPr>
                <w:noProof/>
                <w:webHidden/>
              </w:rPr>
              <w:fldChar w:fldCharType="end"/>
            </w:r>
          </w:hyperlink>
        </w:p>
        <w:p w14:paraId="05C47D1C" w14:textId="5FB1642A" w:rsidR="00636B60" w:rsidRDefault="000306D9">
          <w:pPr>
            <w:pStyle w:val="TOC2"/>
            <w:rPr>
              <w:rFonts w:asciiTheme="minorHAnsi" w:eastAsiaTheme="minorEastAsia" w:hAnsiTheme="minorHAnsi" w:cstheme="minorBidi"/>
              <w:kern w:val="0"/>
              <w:sz w:val="22"/>
            </w:rPr>
          </w:pPr>
          <w:hyperlink w:anchor="_Toc66703226" w:history="1">
            <w:r w:rsidR="00636B60" w:rsidRPr="00C45953">
              <w:rPr>
                <w:rStyle w:val="Hyperlink"/>
              </w:rPr>
              <w:t>4.3</w:t>
            </w:r>
            <w:r w:rsidR="00636B60">
              <w:rPr>
                <w:rFonts w:asciiTheme="minorHAnsi" w:eastAsiaTheme="minorEastAsia" w:hAnsiTheme="minorHAnsi" w:cstheme="minorBidi"/>
                <w:kern w:val="0"/>
                <w:sz w:val="22"/>
              </w:rPr>
              <w:tab/>
            </w:r>
            <w:r w:rsidR="00636B60" w:rsidRPr="00C45953">
              <w:rPr>
                <w:rStyle w:val="Hyperlink"/>
              </w:rPr>
              <w:t>Numerical experiment</w:t>
            </w:r>
            <w:r w:rsidR="00636B60">
              <w:rPr>
                <w:webHidden/>
              </w:rPr>
              <w:tab/>
            </w:r>
            <w:r w:rsidR="00636B60">
              <w:rPr>
                <w:webHidden/>
              </w:rPr>
              <w:fldChar w:fldCharType="begin"/>
            </w:r>
            <w:r w:rsidR="00636B60">
              <w:rPr>
                <w:webHidden/>
              </w:rPr>
              <w:instrText xml:space="preserve"> PAGEREF _Toc66703226 \h </w:instrText>
            </w:r>
            <w:r w:rsidR="00636B60">
              <w:rPr>
                <w:webHidden/>
              </w:rPr>
            </w:r>
            <w:r w:rsidR="00636B60">
              <w:rPr>
                <w:webHidden/>
              </w:rPr>
              <w:fldChar w:fldCharType="separate"/>
            </w:r>
            <w:r w:rsidR="00636B60">
              <w:rPr>
                <w:webHidden/>
              </w:rPr>
              <w:t>106</w:t>
            </w:r>
            <w:r w:rsidR="00636B60">
              <w:rPr>
                <w:webHidden/>
              </w:rPr>
              <w:fldChar w:fldCharType="end"/>
            </w:r>
          </w:hyperlink>
        </w:p>
        <w:p w14:paraId="5E00467B" w14:textId="5C412914" w:rsidR="00636B60" w:rsidRDefault="000306D9">
          <w:pPr>
            <w:pStyle w:val="TOC3"/>
            <w:tabs>
              <w:tab w:val="left" w:pos="1760"/>
              <w:tab w:val="right" w:leader="dot" w:pos="9016"/>
            </w:tabs>
            <w:ind w:left="960"/>
            <w:rPr>
              <w:rFonts w:asciiTheme="minorHAnsi" w:hAnsiTheme="minorHAnsi"/>
              <w:noProof/>
              <w:sz w:val="22"/>
            </w:rPr>
          </w:pPr>
          <w:hyperlink w:anchor="_Toc66703227" w:history="1">
            <w:r w:rsidR="00636B60" w:rsidRPr="00C45953">
              <w:rPr>
                <w:rStyle w:val="Hyperlink"/>
                <w:rFonts w:cs="Times New Roman"/>
                <w:noProof/>
              </w:rPr>
              <w:t>4.3.1</w:t>
            </w:r>
            <w:r w:rsidR="00636B60">
              <w:rPr>
                <w:rFonts w:asciiTheme="minorHAnsi" w:hAnsiTheme="minorHAnsi"/>
                <w:noProof/>
                <w:sz w:val="22"/>
              </w:rPr>
              <w:tab/>
            </w:r>
            <w:r w:rsidR="00636B60" w:rsidRPr="00C45953">
              <w:rPr>
                <w:rStyle w:val="Hyperlink"/>
                <w:rFonts w:cs="Times New Roman"/>
                <w:noProof/>
              </w:rPr>
              <w:t>Resource of data input</w:t>
            </w:r>
            <w:r w:rsidR="00636B60">
              <w:rPr>
                <w:noProof/>
                <w:webHidden/>
              </w:rPr>
              <w:tab/>
            </w:r>
            <w:r w:rsidR="00636B60">
              <w:rPr>
                <w:noProof/>
                <w:webHidden/>
              </w:rPr>
              <w:fldChar w:fldCharType="begin"/>
            </w:r>
            <w:r w:rsidR="00636B60">
              <w:rPr>
                <w:noProof/>
                <w:webHidden/>
              </w:rPr>
              <w:instrText xml:space="preserve"> PAGEREF _Toc66703227 \h </w:instrText>
            </w:r>
            <w:r w:rsidR="00636B60">
              <w:rPr>
                <w:noProof/>
                <w:webHidden/>
              </w:rPr>
            </w:r>
            <w:r w:rsidR="00636B60">
              <w:rPr>
                <w:noProof/>
                <w:webHidden/>
              </w:rPr>
              <w:fldChar w:fldCharType="separate"/>
            </w:r>
            <w:r w:rsidR="00636B60">
              <w:rPr>
                <w:noProof/>
                <w:webHidden/>
              </w:rPr>
              <w:t>106</w:t>
            </w:r>
            <w:r w:rsidR="00636B60">
              <w:rPr>
                <w:noProof/>
                <w:webHidden/>
              </w:rPr>
              <w:fldChar w:fldCharType="end"/>
            </w:r>
          </w:hyperlink>
        </w:p>
        <w:p w14:paraId="4B9CB613" w14:textId="584E78F0" w:rsidR="00636B60" w:rsidRDefault="000306D9">
          <w:pPr>
            <w:pStyle w:val="TOC3"/>
            <w:tabs>
              <w:tab w:val="left" w:pos="1760"/>
              <w:tab w:val="right" w:leader="dot" w:pos="9016"/>
            </w:tabs>
            <w:ind w:left="960"/>
            <w:rPr>
              <w:rFonts w:asciiTheme="minorHAnsi" w:hAnsiTheme="minorHAnsi"/>
              <w:noProof/>
              <w:sz w:val="22"/>
            </w:rPr>
          </w:pPr>
          <w:hyperlink w:anchor="_Toc66703228" w:history="1">
            <w:r w:rsidR="00636B60" w:rsidRPr="00C45953">
              <w:rPr>
                <w:rStyle w:val="Hyperlink"/>
                <w:rFonts w:cs="Times New Roman"/>
                <w:noProof/>
              </w:rPr>
              <w:t>4.3.2</w:t>
            </w:r>
            <w:r w:rsidR="00636B60">
              <w:rPr>
                <w:rFonts w:asciiTheme="minorHAnsi" w:hAnsiTheme="minorHAnsi"/>
                <w:noProof/>
                <w:sz w:val="22"/>
              </w:rPr>
              <w:tab/>
            </w:r>
            <w:r w:rsidR="00636B60" w:rsidRPr="00C45953">
              <w:rPr>
                <w:rStyle w:val="Hyperlink"/>
                <w:rFonts w:cs="Times New Roman"/>
                <w:noProof/>
              </w:rPr>
              <w:t>Data output</w:t>
            </w:r>
            <w:r w:rsidR="00636B60">
              <w:rPr>
                <w:noProof/>
                <w:webHidden/>
              </w:rPr>
              <w:tab/>
            </w:r>
            <w:r w:rsidR="00636B60">
              <w:rPr>
                <w:noProof/>
                <w:webHidden/>
              </w:rPr>
              <w:fldChar w:fldCharType="begin"/>
            </w:r>
            <w:r w:rsidR="00636B60">
              <w:rPr>
                <w:noProof/>
                <w:webHidden/>
              </w:rPr>
              <w:instrText xml:space="preserve"> PAGEREF _Toc66703228 \h </w:instrText>
            </w:r>
            <w:r w:rsidR="00636B60">
              <w:rPr>
                <w:noProof/>
                <w:webHidden/>
              </w:rPr>
            </w:r>
            <w:r w:rsidR="00636B60">
              <w:rPr>
                <w:noProof/>
                <w:webHidden/>
              </w:rPr>
              <w:fldChar w:fldCharType="separate"/>
            </w:r>
            <w:r w:rsidR="00636B60">
              <w:rPr>
                <w:noProof/>
                <w:webHidden/>
              </w:rPr>
              <w:t>107</w:t>
            </w:r>
            <w:r w:rsidR="00636B60">
              <w:rPr>
                <w:noProof/>
                <w:webHidden/>
              </w:rPr>
              <w:fldChar w:fldCharType="end"/>
            </w:r>
          </w:hyperlink>
        </w:p>
        <w:p w14:paraId="5601C520" w14:textId="2D0F6543" w:rsidR="00636B60" w:rsidRDefault="000306D9">
          <w:pPr>
            <w:pStyle w:val="TOC2"/>
            <w:rPr>
              <w:rFonts w:asciiTheme="minorHAnsi" w:eastAsiaTheme="minorEastAsia" w:hAnsiTheme="minorHAnsi" w:cstheme="minorBidi"/>
              <w:kern w:val="0"/>
              <w:sz w:val="22"/>
            </w:rPr>
          </w:pPr>
          <w:hyperlink w:anchor="_Toc66703229" w:history="1">
            <w:r w:rsidR="00636B60" w:rsidRPr="00C45953">
              <w:rPr>
                <w:rStyle w:val="Hyperlink"/>
              </w:rPr>
              <w:t>4.4</w:t>
            </w:r>
            <w:r w:rsidR="00636B60">
              <w:rPr>
                <w:rFonts w:asciiTheme="minorHAnsi" w:eastAsiaTheme="minorEastAsia" w:hAnsiTheme="minorHAnsi" w:cstheme="minorBidi"/>
                <w:kern w:val="0"/>
                <w:sz w:val="22"/>
              </w:rPr>
              <w:tab/>
            </w:r>
            <w:r w:rsidR="00636B60" w:rsidRPr="00C45953">
              <w:rPr>
                <w:rStyle w:val="Hyperlink"/>
              </w:rPr>
              <w:t>Chapter Summary</w:t>
            </w:r>
            <w:r w:rsidR="00636B60">
              <w:rPr>
                <w:webHidden/>
              </w:rPr>
              <w:tab/>
            </w:r>
            <w:r w:rsidR="00636B60">
              <w:rPr>
                <w:webHidden/>
              </w:rPr>
              <w:fldChar w:fldCharType="begin"/>
            </w:r>
            <w:r w:rsidR="00636B60">
              <w:rPr>
                <w:webHidden/>
              </w:rPr>
              <w:instrText xml:space="preserve"> PAGEREF _Toc66703229 \h </w:instrText>
            </w:r>
            <w:r w:rsidR="00636B60">
              <w:rPr>
                <w:webHidden/>
              </w:rPr>
            </w:r>
            <w:r w:rsidR="00636B60">
              <w:rPr>
                <w:webHidden/>
              </w:rPr>
              <w:fldChar w:fldCharType="separate"/>
            </w:r>
            <w:r w:rsidR="00636B60">
              <w:rPr>
                <w:webHidden/>
              </w:rPr>
              <w:t>108</w:t>
            </w:r>
            <w:r w:rsidR="00636B60">
              <w:rPr>
                <w:webHidden/>
              </w:rPr>
              <w:fldChar w:fldCharType="end"/>
            </w:r>
          </w:hyperlink>
        </w:p>
        <w:p w14:paraId="1CF44EBE" w14:textId="198E2060" w:rsidR="00636B60" w:rsidRDefault="000306D9">
          <w:pPr>
            <w:pStyle w:val="TOC1"/>
            <w:tabs>
              <w:tab w:val="left" w:pos="1320"/>
            </w:tabs>
            <w:rPr>
              <w:rFonts w:asciiTheme="minorHAnsi" w:hAnsiTheme="minorHAnsi"/>
              <w:noProof/>
              <w:sz w:val="22"/>
            </w:rPr>
          </w:pPr>
          <w:hyperlink w:anchor="_Toc66703230" w:history="1">
            <w:r w:rsidR="00636B60" w:rsidRPr="00C45953">
              <w:rPr>
                <w:rStyle w:val="Hyperlink"/>
                <w:rFonts w:cs="Times New Roman"/>
                <w:noProof/>
              </w:rPr>
              <w:t>Chapter 5:</w:t>
            </w:r>
            <w:r w:rsidR="00636B60">
              <w:rPr>
                <w:rFonts w:asciiTheme="minorHAnsi" w:hAnsiTheme="minorHAnsi"/>
                <w:noProof/>
                <w:sz w:val="22"/>
              </w:rPr>
              <w:tab/>
            </w:r>
            <w:r w:rsidR="00636B60" w:rsidRPr="00C45953">
              <w:rPr>
                <w:rStyle w:val="Hyperlink"/>
                <w:rFonts w:cs="Times New Roman"/>
                <w:noProof/>
              </w:rPr>
              <w:t>Stakeholder engagement in the urban consolidation centre networks</w:t>
            </w:r>
            <w:r w:rsidR="00636B60">
              <w:rPr>
                <w:noProof/>
                <w:webHidden/>
              </w:rPr>
              <w:tab/>
            </w:r>
            <w:r w:rsidR="00636B60">
              <w:rPr>
                <w:noProof/>
                <w:webHidden/>
              </w:rPr>
              <w:fldChar w:fldCharType="begin"/>
            </w:r>
            <w:r w:rsidR="00636B60">
              <w:rPr>
                <w:noProof/>
                <w:webHidden/>
              </w:rPr>
              <w:instrText xml:space="preserve"> PAGEREF _Toc66703230 \h </w:instrText>
            </w:r>
            <w:r w:rsidR="00636B60">
              <w:rPr>
                <w:noProof/>
                <w:webHidden/>
              </w:rPr>
            </w:r>
            <w:r w:rsidR="00636B60">
              <w:rPr>
                <w:noProof/>
                <w:webHidden/>
              </w:rPr>
              <w:fldChar w:fldCharType="separate"/>
            </w:r>
            <w:r w:rsidR="00636B60">
              <w:rPr>
                <w:noProof/>
                <w:webHidden/>
              </w:rPr>
              <w:t>109</w:t>
            </w:r>
            <w:r w:rsidR="00636B60">
              <w:rPr>
                <w:noProof/>
                <w:webHidden/>
              </w:rPr>
              <w:fldChar w:fldCharType="end"/>
            </w:r>
          </w:hyperlink>
        </w:p>
        <w:p w14:paraId="637D9B00" w14:textId="5DA699C2" w:rsidR="00636B60" w:rsidRDefault="000306D9">
          <w:pPr>
            <w:pStyle w:val="TOC2"/>
            <w:rPr>
              <w:rFonts w:asciiTheme="minorHAnsi" w:eastAsiaTheme="minorEastAsia" w:hAnsiTheme="minorHAnsi" w:cstheme="minorBidi"/>
              <w:kern w:val="0"/>
              <w:sz w:val="22"/>
            </w:rPr>
          </w:pPr>
          <w:hyperlink w:anchor="_Toc66703231" w:history="1">
            <w:r w:rsidR="00636B60" w:rsidRPr="00C45953">
              <w:rPr>
                <w:rStyle w:val="Hyperlink"/>
              </w:rPr>
              <w:t>5.1</w:t>
            </w:r>
            <w:r w:rsidR="00636B60">
              <w:rPr>
                <w:rFonts w:asciiTheme="minorHAnsi" w:eastAsiaTheme="minorEastAsia" w:hAnsiTheme="minorHAnsi" w:cstheme="minorBidi"/>
                <w:kern w:val="0"/>
                <w:sz w:val="22"/>
              </w:rPr>
              <w:tab/>
            </w:r>
            <w:r w:rsidR="00636B60" w:rsidRPr="00C45953">
              <w:rPr>
                <w:rStyle w:val="Hyperlink"/>
              </w:rPr>
              <w:t>Logistics profiles (LPs) of the urban consolidation centres (UCCs)</w:t>
            </w:r>
            <w:r w:rsidR="00636B60">
              <w:rPr>
                <w:webHidden/>
              </w:rPr>
              <w:tab/>
            </w:r>
            <w:r w:rsidR="00636B60">
              <w:rPr>
                <w:webHidden/>
              </w:rPr>
              <w:fldChar w:fldCharType="begin"/>
            </w:r>
            <w:r w:rsidR="00636B60">
              <w:rPr>
                <w:webHidden/>
              </w:rPr>
              <w:instrText xml:space="preserve"> PAGEREF _Toc66703231 \h </w:instrText>
            </w:r>
            <w:r w:rsidR="00636B60">
              <w:rPr>
                <w:webHidden/>
              </w:rPr>
            </w:r>
            <w:r w:rsidR="00636B60">
              <w:rPr>
                <w:webHidden/>
              </w:rPr>
              <w:fldChar w:fldCharType="separate"/>
            </w:r>
            <w:r w:rsidR="00636B60">
              <w:rPr>
                <w:webHidden/>
              </w:rPr>
              <w:t>110</w:t>
            </w:r>
            <w:r w:rsidR="00636B60">
              <w:rPr>
                <w:webHidden/>
              </w:rPr>
              <w:fldChar w:fldCharType="end"/>
            </w:r>
          </w:hyperlink>
        </w:p>
        <w:p w14:paraId="64B02FE1" w14:textId="5337C2DA" w:rsidR="00636B60" w:rsidRDefault="000306D9">
          <w:pPr>
            <w:pStyle w:val="TOC2"/>
            <w:rPr>
              <w:rFonts w:asciiTheme="minorHAnsi" w:eastAsiaTheme="minorEastAsia" w:hAnsiTheme="minorHAnsi" w:cstheme="minorBidi"/>
              <w:kern w:val="0"/>
              <w:sz w:val="22"/>
            </w:rPr>
          </w:pPr>
          <w:hyperlink w:anchor="_Toc66703232" w:history="1">
            <w:r w:rsidR="00636B60" w:rsidRPr="00C45953">
              <w:rPr>
                <w:rStyle w:val="Hyperlink"/>
              </w:rPr>
              <w:t>5.2</w:t>
            </w:r>
            <w:r w:rsidR="00636B60">
              <w:rPr>
                <w:rFonts w:asciiTheme="minorHAnsi" w:eastAsiaTheme="minorEastAsia" w:hAnsiTheme="minorHAnsi" w:cstheme="minorBidi"/>
                <w:kern w:val="0"/>
                <w:sz w:val="22"/>
              </w:rPr>
              <w:tab/>
            </w:r>
            <w:r w:rsidR="00636B60" w:rsidRPr="00C45953">
              <w:rPr>
                <w:rStyle w:val="Hyperlink"/>
              </w:rPr>
              <w:t>Stakeholder analysis</w:t>
            </w:r>
            <w:r w:rsidR="00636B60">
              <w:rPr>
                <w:webHidden/>
              </w:rPr>
              <w:tab/>
            </w:r>
            <w:r w:rsidR="00636B60">
              <w:rPr>
                <w:webHidden/>
              </w:rPr>
              <w:fldChar w:fldCharType="begin"/>
            </w:r>
            <w:r w:rsidR="00636B60">
              <w:rPr>
                <w:webHidden/>
              </w:rPr>
              <w:instrText xml:space="preserve"> PAGEREF _Toc66703232 \h </w:instrText>
            </w:r>
            <w:r w:rsidR="00636B60">
              <w:rPr>
                <w:webHidden/>
              </w:rPr>
            </w:r>
            <w:r w:rsidR="00636B60">
              <w:rPr>
                <w:webHidden/>
              </w:rPr>
              <w:fldChar w:fldCharType="separate"/>
            </w:r>
            <w:r w:rsidR="00636B60">
              <w:rPr>
                <w:webHidden/>
              </w:rPr>
              <w:t>113</w:t>
            </w:r>
            <w:r w:rsidR="00636B60">
              <w:rPr>
                <w:webHidden/>
              </w:rPr>
              <w:fldChar w:fldCharType="end"/>
            </w:r>
          </w:hyperlink>
        </w:p>
        <w:p w14:paraId="5629C59F" w14:textId="2BE32811" w:rsidR="00636B60" w:rsidRDefault="000306D9">
          <w:pPr>
            <w:pStyle w:val="TOC3"/>
            <w:tabs>
              <w:tab w:val="left" w:pos="1760"/>
              <w:tab w:val="right" w:leader="dot" w:pos="9016"/>
            </w:tabs>
            <w:ind w:left="960"/>
            <w:rPr>
              <w:rFonts w:asciiTheme="minorHAnsi" w:hAnsiTheme="minorHAnsi"/>
              <w:noProof/>
              <w:sz w:val="22"/>
            </w:rPr>
          </w:pPr>
          <w:hyperlink w:anchor="_Toc66703233" w:history="1">
            <w:r w:rsidR="00636B60" w:rsidRPr="00C45953">
              <w:rPr>
                <w:rStyle w:val="Hyperlink"/>
                <w:rFonts w:cs="Times New Roman"/>
                <w:noProof/>
              </w:rPr>
              <w:t>5.2.1</w:t>
            </w:r>
            <w:r w:rsidR="00636B60">
              <w:rPr>
                <w:rFonts w:asciiTheme="minorHAnsi" w:hAnsiTheme="minorHAnsi"/>
                <w:noProof/>
                <w:sz w:val="22"/>
              </w:rPr>
              <w:tab/>
            </w:r>
            <w:r w:rsidR="00636B60" w:rsidRPr="00C45953">
              <w:rPr>
                <w:rStyle w:val="Hyperlink"/>
                <w:rFonts w:cs="Times New Roman"/>
                <w:noProof/>
              </w:rPr>
              <w:t>Identifying relevant stakeholders</w:t>
            </w:r>
            <w:r w:rsidR="00636B60">
              <w:rPr>
                <w:noProof/>
                <w:webHidden/>
              </w:rPr>
              <w:tab/>
            </w:r>
            <w:r w:rsidR="00636B60">
              <w:rPr>
                <w:noProof/>
                <w:webHidden/>
              </w:rPr>
              <w:fldChar w:fldCharType="begin"/>
            </w:r>
            <w:r w:rsidR="00636B60">
              <w:rPr>
                <w:noProof/>
                <w:webHidden/>
              </w:rPr>
              <w:instrText xml:space="preserve"> PAGEREF _Toc66703233 \h </w:instrText>
            </w:r>
            <w:r w:rsidR="00636B60">
              <w:rPr>
                <w:noProof/>
                <w:webHidden/>
              </w:rPr>
            </w:r>
            <w:r w:rsidR="00636B60">
              <w:rPr>
                <w:noProof/>
                <w:webHidden/>
              </w:rPr>
              <w:fldChar w:fldCharType="separate"/>
            </w:r>
            <w:r w:rsidR="00636B60">
              <w:rPr>
                <w:noProof/>
                <w:webHidden/>
              </w:rPr>
              <w:t>113</w:t>
            </w:r>
            <w:r w:rsidR="00636B60">
              <w:rPr>
                <w:noProof/>
                <w:webHidden/>
              </w:rPr>
              <w:fldChar w:fldCharType="end"/>
            </w:r>
          </w:hyperlink>
        </w:p>
        <w:p w14:paraId="1B8F3A68" w14:textId="12D7B0E2" w:rsidR="00636B60" w:rsidRDefault="000306D9">
          <w:pPr>
            <w:pStyle w:val="TOC3"/>
            <w:tabs>
              <w:tab w:val="left" w:pos="1760"/>
              <w:tab w:val="right" w:leader="dot" w:pos="9016"/>
            </w:tabs>
            <w:ind w:left="960"/>
            <w:rPr>
              <w:rFonts w:asciiTheme="minorHAnsi" w:hAnsiTheme="minorHAnsi"/>
              <w:noProof/>
              <w:sz w:val="22"/>
            </w:rPr>
          </w:pPr>
          <w:hyperlink w:anchor="_Toc66703234" w:history="1">
            <w:r w:rsidR="00636B60" w:rsidRPr="00C45953">
              <w:rPr>
                <w:rStyle w:val="Hyperlink"/>
                <w:rFonts w:cs="Times New Roman"/>
                <w:noProof/>
              </w:rPr>
              <w:t>5.2.2</w:t>
            </w:r>
            <w:r w:rsidR="00636B60">
              <w:rPr>
                <w:rFonts w:asciiTheme="minorHAnsi" w:hAnsiTheme="minorHAnsi"/>
                <w:noProof/>
                <w:sz w:val="22"/>
              </w:rPr>
              <w:tab/>
            </w:r>
            <w:r w:rsidR="00636B60" w:rsidRPr="00C45953">
              <w:rPr>
                <w:rStyle w:val="Hyperlink"/>
                <w:rFonts w:cs="Times New Roman"/>
                <w:noProof/>
              </w:rPr>
              <w:t>Motivation for project establishment</w:t>
            </w:r>
            <w:r w:rsidR="00636B60">
              <w:rPr>
                <w:noProof/>
                <w:webHidden/>
              </w:rPr>
              <w:tab/>
            </w:r>
            <w:r w:rsidR="00636B60">
              <w:rPr>
                <w:noProof/>
                <w:webHidden/>
              </w:rPr>
              <w:fldChar w:fldCharType="begin"/>
            </w:r>
            <w:r w:rsidR="00636B60">
              <w:rPr>
                <w:noProof/>
                <w:webHidden/>
              </w:rPr>
              <w:instrText xml:space="preserve"> PAGEREF _Toc66703234 \h </w:instrText>
            </w:r>
            <w:r w:rsidR="00636B60">
              <w:rPr>
                <w:noProof/>
                <w:webHidden/>
              </w:rPr>
            </w:r>
            <w:r w:rsidR="00636B60">
              <w:rPr>
                <w:noProof/>
                <w:webHidden/>
              </w:rPr>
              <w:fldChar w:fldCharType="separate"/>
            </w:r>
            <w:r w:rsidR="00636B60">
              <w:rPr>
                <w:noProof/>
                <w:webHidden/>
              </w:rPr>
              <w:t>116</w:t>
            </w:r>
            <w:r w:rsidR="00636B60">
              <w:rPr>
                <w:noProof/>
                <w:webHidden/>
              </w:rPr>
              <w:fldChar w:fldCharType="end"/>
            </w:r>
          </w:hyperlink>
        </w:p>
        <w:p w14:paraId="60C072DC" w14:textId="112AD653" w:rsidR="00636B60" w:rsidRDefault="000306D9">
          <w:pPr>
            <w:pStyle w:val="TOC3"/>
            <w:tabs>
              <w:tab w:val="left" w:pos="1760"/>
              <w:tab w:val="right" w:leader="dot" w:pos="9016"/>
            </w:tabs>
            <w:ind w:left="960"/>
            <w:rPr>
              <w:rFonts w:asciiTheme="minorHAnsi" w:hAnsiTheme="minorHAnsi"/>
              <w:noProof/>
              <w:sz w:val="22"/>
            </w:rPr>
          </w:pPr>
          <w:hyperlink w:anchor="_Toc66703235" w:history="1">
            <w:r w:rsidR="00636B60" w:rsidRPr="00C45953">
              <w:rPr>
                <w:rStyle w:val="Hyperlink"/>
                <w:rFonts w:cs="Times New Roman"/>
                <w:noProof/>
              </w:rPr>
              <w:t>5.2.3</w:t>
            </w:r>
            <w:r w:rsidR="00636B60">
              <w:rPr>
                <w:rFonts w:asciiTheme="minorHAnsi" w:hAnsiTheme="minorHAnsi"/>
                <w:noProof/>
                <w:sz w:val="22"/>
              </w:rPr>
              <w:tab/>
            </w:r>
            <w:r w:rsidR="00636B60" w:rsidRPr="00C45953">
              <w:rPr>
                <w:rStyle w:val="Hyperlink"/>
                <w:rFonts w:cs="Times New Roman"/>
                <w:noProof/>
              </w:rPr>
              <w:t>Urban consolidation centre (UCC) users</w:t>
            </w:r>
            <w:r w:rsidR="00636B60">
              <w:rPr>
                <w:noProof/>
                <w:webHidden/>
              </w:rPr>
              <w:tab/>
            </w:r>
            <w:r w:rsidR="00636B60">
              <w:rPr>
                <w:noProof/>
                <w:webHidden/>
              </w:rPr>
              <w:fldChar w:fldCharType="begin"/>
            </w:r>
            <w:r w:rsidR="00636B60">
              <w:rPr>
                <w:noProof/>
                <w:webHidden/>
              </w:rPr>
              <w:instrText xml:space="preserve"> PAGEREF _Toc66703235 \h </w:instrText>
            </w:r>
            <w:r w:rsidR="00636B60">
              <w:rPr>
                <w:noProof/>
                <w:webHidden/>
              </w:rPr>
            </w:r>
            <w:r w:rsidR="00636B60">
              <w:rPr>
                <w:noProof/>
                <w:webHidden/>
              </w:rPr>
              <w:fldChar w:fldCharType="separate"/>
            </w:r>
            <w:r w:rsidR="00636B60">
              <w:rPr>
                <w:noProof/>
                <w:webHidden/>
              </w:rPr>
              <w:t>118</w:t>
            </w:r>
            <w:r w:rsidR="00636B60">
              <w:rPr>
                <w:noProof/>
                <w:webHidden/>
              </w:rPr>
              <w:fldChar w:fldCharType="end"/>
            </w:r>
          </w:hyperlink>
        </w:p>
        <w:p w14:paraId="52033BE9" w14:textId="362D029D" w:rsidR="00636B60" w:rsidRDefault="000306D9">
          <w:pPr>
            <w:pStyle w:val="TOC3"/>
            <w:tabs>
              <w:tab w:val="left" w:pos="1760"/>
              <w:tab w:val="right" w:leader="dot" w:pos="9016"/>
            </w:tabs>
            <w:ind w:left="960"/>
            <w:rPr>
              <w:rFonts w:asciiTheme="minorHAnsi" w:hAnsiTheme="minorHAnsi"/>
              <w:noProof/>
              <w:sz w:val="22"/>
            </w:rPr>
          </w:pPr>
          <w:hyperlink w:anchor="_Toc66703236" w:history="1">
            <w:r w:rsidR="00636B60" w:rsidRPr="00C45953">
              <w:rPr>
                <w:rStyle w:val="Hyperlink"/>
                <w:rFonts w:cs="Times New Roman"/>
                <w:noProof/>
              </w:rPr>
              <w:t>5.2.4</w:t>
            </w:r>
            <w:r w:rsidR="00636B60">
              <w:rPr>
                <w:rFonts w:asciiTheme="minorHAnsi" w:hAnsiTheme="minorHAnsi"/>
                <w:noProof/>
                <w:sz w:val="22"/>
              </w:rPr>
              <w:tab/>
            </w:r>
            <w:r w:rsidR="00636B60" w:rsidRPr="00C45953">
              <w:rPr>
                <w:rStyle w:val="Hyperlink"/>
                <w:rFonts w:cs="Times New Roman"/>
                <w:noProof/>
              </w:rPr>
              <w:t>Integration of stakeholder interests</w:t>
            </w:r>
            <w:r w:rsidR="00636B60">
              <w:rPr>
                <w:noProof/>
                <w:webHidden/>
              </w:rPr>
              <w:tab/>
            </w:r>
            <w:r w:rsidR="00636B60">
              <w:rPr>
                <w:noProof/>
                <w:webHidden/>
              </w:rPr>
              <w:fldChar w:fldCharType="begin"/>
            </w:r>
            <w:r w:rsidR="00636B60">
              <w:rPr>
                <w:noProof/>
                <w:webHidden/>
              </w:rPr>
              <w:instrText xml:space="preserve"> PAGEREF _Toc66703236 \h </w:instrText>
            </w:r>
            <w:r w:rsidR="00636B60">
              <w:rPr>
                <w:noProof/>
                <w:webHidden/>
              </w:rPr>
            </w:r>
            <w:r w:rsidR="00636B60">
              <w:rPr>
                <w:noProof/>
                <w:webHidden/>
              </w:rPr>
              <w:fldChar w:fldCharType="separate"/>
            </w:r>
            <w:r w:rsidR="00636B60">
              <w:rPr>
                <w:noProof/>
                <w:webHidden/>
              </w:rPr>
              <w:t>124</w:t>
            </w:r>
            <w:r w:rsidR="00636B60">
              <w:rPr>
                <w:noProof/>
                <w:webHidden/>
              </w:rPr>
              <w:fldChar w:fldCharType="end"/>
            </w:r>
          </w:hyperlink>
        </w:p>
        <w:p w14:paraId="611E3940" w14:textId="4EDD129B" w:rsidR="00636B60" w:rsidRDefault="000306D9">
          <w:pPr>
            <w:pStyle w:val="TOC2"/>
            <w:rPr>
              <w:rFonts w:asciiTheme="minorHAnsi" w:eastAsiaTheme="minorEastAsia" w:hAnsiTheme="minorHAnsi" w:cstheme="minorBidi"/>
              <w:kern w:val="0"/>
              <w:sz w:val="22"/>
            </w:rPr>
          </w:pPr>
          <w:hyperlink w:anchor="_Toc66703237" w:history="1">
            <w:r w:rsidR="00636B60" w:rsidRPr="00C45953">
              <w:rPr>
                <w:rStyle w:val="Hyperlink"/>
              </w:rPr>
              <w:t>5.3</w:t>
            </w:r>
            <w:r w:rsidR="00636B60">
              <w:rPr>
                <w:rFonts w:asciiTheme="minorHAnsi" w:eastAsiaTheme="minorEastAsia" w:hAnsiTheme="minorHAnsi" w:cstheme="minorBidi"/>
                <w:kern w:val="0"/>
                <w:sz w:val="22"/>
              </w:rPr>
              <w:tab/>
            </w:r>
            <w:r w:rsidR="00636B60" w:rsidRPr="00C45953">
              <w:rPr>
                <w:rStyle w:val="Hyperlink"/>
              </w:rPr>
              <w:t>Mapping stakeholder partnerships</w:t>
            </w:r>
            <w:r w:rsidR="00636B60">
              <w:rPr>
                <w:webHidden/>
              </w:rPr>
              <w:tab/>
            </w:r>
            <w:r w:rsidR="00636B60">
              <w:rPr>
                <w:webHidden/>
              </w:rPr>
              <w:fldChar w:fldCharType="begin"/>
            </w:r>
            <w:r w:rsidR="00636B60">
              <w:rPr>
                <w:webHidden/>
              </w:rPr>
              <w:instrText xml:space="preserve"> PAGEREF _Toc66703237 \h </w:instrText>
            </w:r>
            <w:r w:rsidR="00636B60">
              <w:rPr>
                <w:webHidden/>
              </w:rPr>
            </w:r>
            <w:r w:rsidR="00636B60">
              <w:rPr>
                <w:webHidden/>
              </w:rPr>
              <w:fldChar w:fldCharType="separate"/>
            </w:r>
            <w:r w:rsidR="00636B60">
              <w:rPr>
                <w:webHidden/>
              </w:rPr>
              <w:t>129</w:t>
            </w:r>
            <w:r w:rsidR="00636B60">
              <w:rPr>
                <w:webHidden/>
              </w:rPr>
              <w:fldChar w:fldCharType="end"/>
            </w:r>
          </w:hyperlink>
        </w:p>
        <w:p w14:paraId="5F8743C2" w14:textId="07134B8B" w:rsidR="00636B60" w:rsidRDefault="000306D9">
          <w:pPr>
            <w:pStyle w:val="TOC2"/>
            <w:rPr>
              <w:rFonts w:asciiTheme="minorHAnsi" w:eastAsiaTheme="minorEastAsia" w:hAnsiTheme="minorHAnsi" w:cstheme="minorBidi"/>
              <w:kern w:val="0"/>
              <w:sz w:val="22"/>
            </w:rPr>
          </w:pPr>
          <w:hyperlink w:anchor="_Toc66703238" w:history="1">
            <w:r w:rsidR="00636B60" w:rsidRPr="00C45953">
              <w:rPr>
                <w:rStyle w:val="Hyperlink"/>
              </w:rPr>
              <w:t>5.4</w:t>
            </w:r>
            <w:r w:rsidR="00636B60">
              <w:rPr>
                <w:rFonts w:asciiTheme="minorHAnsi" w:eastAsiaTheme="minorEastAsia" w:hAnsiTheme="minorHAnsi" w:cstheme="minorBidi"/>
                <w:kern w:val="0"/>
                <w:sz w:val="22"/>
              </w:rPr>
              <w:tab/>
            </w:r>
            <w:r w:rsidR="00636B60" w:rsidRPr="00C45953">
              <w:rPr>
                <w:rStyle w:val="Hyperlink"/>
              </w:rPr>
              <w:t>Discussion</w:t>
            </w:r>
            <w:r w:rsidR="00636B60">
              <w:rPr>
                <w:webHidden/>
              </w:rPr>
              <w:tab/>
            </w:r>
            <w:r w:rsidR="00636B60">
              <w:rPr>
                <w:webHidden/>
              </w:rPr>
              <w:fldChar w:fldCharType="begin"/>
            </w:r>
            <w:r w:rsidR="00636B60">
              <w:rPr>
                <w:webHidden/>
              </w:rPr>
              <w:instrText xml:space="preserve"> PAGEREF _Toc66703238 \h </w:instrText>
            </w:r>
            <w:r w:rsidR="00636B60">
              <w:rPr>
                <w:webHidden/>
              </w:rPr>
            </w:r>
            <w:r w:rsidR="00636B60">
              <w:rPr>
                <w:webHidden/>
              </w:rPr>
              <w:fldChar w:fldCharType="separate"/>
            </w:r>
            <w:r w:rsidR="00636B60">
              <w:rPr>
                <w:webHidden/>
              </w:rPr>
              <w:t>132</w:t>
            </w:r>
            <w:r w:rsidR="00636B60">
              <w:rPr>
                <w:webHidden/>
              </w:rPr>
              <w:fldChar w:fldCharType="end"/>
            </w:r>
          </w:hyperlink>
        </w:p>
        <w:p w14:paraId="633F5ED0" w14:textId="1ED27C94" w:rsidR="00636B60" w:rsidRDefault="000306D9">
          <w:pPr>
            <w:pStyle w:val="TOC3"/>
            <w:tabs>
              <w:tab w:val="left" w:pos="1760"/>
              <w:tab w:val="right" w:leader="dot" w:pos="9016"/>
            </w:tabs>
            <w:ind w:left="960"/>
            <w:rPr>
              <w:rFonts w:asciiTheme="minorHAnsi" w:hAnsiTheme="minorHAnsi"/>
              <w:noProof/>
              <w:sz w:val="22"/>
            </w:rPr>
          </w:pPr>
          <w:hyperlink w:anchor="_Toc66703239" w:history="1">
            <w:r w:rsidR="00636B60" w:rsidRPr="00C45953">
              <w:rPr>
                <w:rStyle w:val="Hyperlink"/>
                <w:rFonts w:cs="Times New Roman"/>
                <w:noProof/>
              </w:rPr>
              <w:t>5.4.1</w:t>
            </w:r>
            <w:r w:rsidR="00636B60">
              <w:rPr>
                <w:rFonts w:asciiTheme="minorHAnsi" w:hAnsiTheme="minorHAnsi"/>
                <w:noProof/>
                <w:sz w:val="22"/>
              </w:rPr>
              <w:tab/>
            </w:r>
            <w:r w:rsidR="00636B60" w:rsidRPr="00C45953">
              <w:rPr>
                <w:rStyle w:val="Hyperlink"/>
                <w:rFonts w:cs="Times New Roman"/>
                <w:noProof/>
              </w:rPr>
              <w:t>Advantages and disadvantages of different partnerships</w:t>
            </w:r>
            <w:r w:rsidR="00636B60">
              <w:rPr>
                <w:noProof/>
                <w:webHidden/>
              </w:rPr>
              <w:tab/>
            </w:r>
            <w:r w:rsidR="00636B60">
              <w:rPr>
                <w:noProof/>
                <w:webHidden/>
              </w:rPr>
              <w:fldChar w:fldCharType="begin"/>
            </w:r>
            <w:r w:rsidR="00636B60">
              <w:rPr>
                <w:noProof/>
                <w:webHidden/>
              </w:rPr>
              <w:instrText xml:space="preserve"> PAGEREF _Toc66703239 \h </w:instrText>
            </w:r>
            <w:r w:rsidR="00636B60">
              <w:rPr>
                <w:noProof/>
                <w:webHidden/>
              </w:rPr>
            </w:r>
            <w:r w:rsidR="00636B60">
              <w:rPr>
                <w:noProof/>
                <w:webHidden/>
              </w:rPr>
              <w:fldChar w:fldCharType="separate"/>
            </w:r>
            <w:r w:rsidR="00636B60">
              <w:rPr>
                <w:noProof/>
                <w:webHidden/>
              </w:rPr>
              <w:t>132</w:t>
            </w:r>
            <w:r w:rsidR="00636B60">
              <w:rPr>
                <w:noProof/>
                <w:webHidden/>
              </w:rPr>
              <w:fldChar w:fldCharType="end"/>
            </w:r>
          </w:hyperlink>
        </w:p>
        <w:p w14:paraId="11253CA3" w14:textId="4B8BBBB7" w:rsidR="00636B60" w:rsidRDefault="000306D9">
          <w:pPr>
            <w:pStyle w:val="TOC3"/>
            <w:tabs>
              <w:tab w:val="left" w:pos="1760"/>
              <w:tab w:val="right" w:leader="dot" w:pos="9016"/>
            </w:tabs>
            <w:ind w:left="960"/>
            <w:rPr>
              <w:rFonts w:asciiTheme="minorHAnsi" w:hAnsiTheme="minorHAnsi"/>
              <w:noProof/>
              <w:sz w:val="22"/>
            </w:rPr>
          </w:pPr>
          <w:hyperlink w:anchor="_Toc66703240" w:history="1">
            <w:r w:rsidR="00636B60" w:rsidRPr="00C45953">
              <w:rPr>
                <w:rStyle w:val="Hyperlink"/>
                <w:rFonts w:cs="Times New Roman"/>
                <w:noProof/>
              </w:rPr>
              <w:t>5.4.2</w:t>
            </w:r>
            <w:r w:rsidR="00636B60">
              <w:rPr>
                <w:rFonts w:asciiTheme="minorHAnsi" w:hAnsiTheme="minorHAnsi"/>
                <w:noProof/>
                <w:sz w:val="22"/>
              </w:rPr>
              <w:tab/>
            </w:r>
            <w:r w:rsidR="00636B60" w:rsidRPr="00C45953">
              <w:rPr>
                <w:rStyle w:val="Hyperlink"/>
                <w:rFonts w:cs="Times New Roman"/>
                <w:noProof/>
              </w:rPr>
              <w:t>Function of local authorities</w:t>
            </w:r>
            <w:r w:rsidR="00636B60">
              <w:rPr>
                <w:noProof/>
                <w:webHidden/>
              </w:rPr>
              <w:tab/>
            </w:r>
            <w:r w:rsidR="00636B60">
              <w:rPr>
                <w:noProof/>
                <w:webHidden/>
              </w:rPr>
              <w:fldChar w:fldCharType="begin"/>
            </w:r>
            <w:r w:rsidR="00636B60">
              <w:rPr>
                <w:noProof/>
                <w:webHidden/>
              </w:rPr>
              <w:instrText xml:space="preserve"> PAGEREF _Toc66703240 \h </w:instrText>
            </w:r>
            <w:r w:rsidR="00636B60">
              <w:rPr>
                <w:noProof/>
                <w:webHidden/>
              </w:rPr>
            </w:r>
            <w:r w:rsidR="00636B60">
              <w:rPr>
                <w:noProof/>
                <w:webHidden/>
              </w:rPr>
              <w:fldChar w:fldCharType="separate"/>
            </w:r>
            <w:r w:rsidR="00636B60">
              <w:rPr>
                <w:noProof/>
                <w:webHidden/>
              </w:rPr>
              <w:t>133</w:t>
            </w:r>
            <w:r w:rsidR="00636B60">
              <w:rPr>
                <w:noProof/>
                <w:webHidden/>
              </w:rPr>
              <w:fldChar w:fldCharType="end"/>
            </w:r>
          </w:hyperlink>
        </w:p>
        <w:p w14:paraId="5C940258" w14:textId="3DE80F57" w:rsidR="00636B60" w:rsidRDefault="000306D9">
          <w:pPr>
            <w:pStyle w:val="TOC3"/>
            <w:tabs>
              <w:tab w:val="left" w:pos="1760"/>
              <w:tab w:val="right" w:leader="dot" w:pos="9016"/>
            </w:tabs>
            <w:ind w:left="960"/>
            <w:rPr>
              <w:rFonts w:asciiTheme="minorHAnsi" w:hAnsiTheme="minorHAnsi"/>
              <w:noProof/>
              <w:sz w:val="22"/>
            </w:rPr>
          </w:pPr>
          <w:hyperlink w:anchor="_Toc66703241" w:history="1">
            <w:r w:rsidR="00636B60" w:rsidRPr="00C45953">
              <w:rPr>
                <w:rStyle w:val="Hyperlink"/>
                <w:rFonts w:cs="Times New Roman"/>
                <w:noProof/>
              </w:rPr>
              <w:t>5.4.3</w:t>
            </w:r>
            <w:r w:rsidR="00636B60">
              <w:rPr>
                <w:rFonts w:asciiTheme="minorHAnsi" w:hAnsiTheme="minorHAnsi"/>
                <w:noProof/>
                <w:sz w:val="22"/>
              </w:rPr>
              <w:tab/>
            </w:r>
            <w:r w:rsidR="00636B60" w:rsidRPr="00C45953">
              <w:rPr>
                <w:rStyle w:val="Hyperlink"/>
                <w:rFonts w:cs="Times New Roman"/>
                <w:noProof/>
              </w:rPr>
              <w:t>Mitigating stakeholder conflicts</w:t>
            </w:r>
            <w:r w:rsidR="00636B60">
              <w:rPr>
                <w:noProof/>
                <w:webHidden/>
              </w:rPr>
              <w:tab/>
            </w:r>
            <w:r w:rsidR="00636B60">
              <w:rPr>
                <w:noProof/>
                <w:webHidden/>
              </w:rPr>
              <w:fldChar w:fldCharType="begin"/>
            </w:r>
            <w:r w:rsidR="00636B60">
              <w:rPr>
                <w:noProof/>
                <w:webHidden/>
              </w:rPr>
              <w:instrText xml:space="preserve"> PAGEREF _Toc66703241 \h </w:instrText>
            </w:r>
            <w:r w:rsidR="00636B60">
              <w:rPr>
                <w:noProof/>
                <w:webHidden/>
              </w:rPr>
            </w:r>
            <w:r w:rsidR="00636B60">
              <w:rPr>
                <w:noProof/>
                <w:webHidden/>
              </w:rPr>
              <w:fldChar w:fldCharType="separate"/>
            </w:r>
            <w:r w:rsidR="00636B60">
              <w:rPr>
                <w:noProof/>
                <w:webHidden/>
              </w:rPr>
              <w:t>137</w:t>
            </w:r>
            <w:r w:rsidR="00636B60">
              <w:rPr>
                <w:noProof/>
                <w:webHidden/>
              </w:rPr>
              <w:fldChar w:fldCharType="end"/>
            </w:r>
          </w:hyperlink>
        </w:p>
        <w:p w14:paraId="352ACE99" w14:textId="25B9B34F" w:rsidR="00636B60" w:rsidRDefault="000306D9">
          <w:pPr>
            <w:pStyle w:val="TOC2"/>
            <w:rPr>
              <w:rFonts w:asciiTheme="minorHAnsi" w:eastAsiaTheme="minorEastAsia" w:hAnsiTheme="minorHAnsi" w:cstheme="minorBidi"/>
              <w:kern w:val="0"/>
              <w:sz w:val="22"/>
            </w:rPr>
          </w:pPr>
          <w:hyperlink w:anchor="_Toc66703242" w:history="1">
            <w:r w:rsidR="00636B60" w:rsidRPr="00C45953">
              <w:rPr>
                <w:rStyle w:val="Hyperlink"/>
              </w:rPr>
              <w:t>5.5</w:t>
            </w:r>
            <w:r w:rsidR="00636B60">
              <w:rPr>
                <w:rFonts w:asciiTheme="minorHAnsi" w:eastAsiaTheme="minorEastAsia" w:hAnsiTheme="minorHAnsi" w:cstheme="minorBidi"/>
                <w:kern w:val="0"/>
                <w:sz w:val="22"/>
              </w:rPr>
              <w:tab/>
            </w:r>
            <w:r w:rsidR="00636B60" w:rsidRPr="00C45953">
              <w:rPr>
                <w:rStyle w:val="Hyperlink"/>
              </w:rPr>
              <w:t>Chapter summary</w:t>
            </w:r>
            <w:r w:rsidR="00636B60">
              <w:rPr>
                <w:webHidden/>
              </w:rPr>
              <w:tab/>
            </w:r>
            <w:r w:rsidR="00636B60">
              <w:rPr>
                <w:webHidden/>
              </w:rPr>
              <w:fldChar w:fldCharType="begin"/>
            </w:r>
            <w:r w:rsidR="00636B60">
              <w:rPr>
                <w:webHidden/>
              </w:rPr>
              <w:instrText xml:space="preserve"> PAGEREF _Toc66703242 \h </w:instrText>
            </w:r>
            <w:r w:rsidR="00636B60">
              <w:rPr>
                <w:webHidden/>
              </w:rPr>
            </w:r>
            <w:r w:rsidR="00636B60">
              <w:rPr>
                <w:webHidden/>
              </w:rPr>
              <w:fldChar w:fldCharType="separate"/>
            </w:r>
            <w:r w:rsidR="00636B60">
              <w:rPr>
                <w:webHidden/>
              </w:rPr>
              <w:t>141</w:t>
            </w:r>
            <w:r w:rsidR="00636B60">
              <w:rPr>
                <w:webHidden/>
              </w:rPr>
              <w:fldChar w:fldCharType="end"/>
            </w:r>
          </w:hyperlink>
        </w:p>
        <w:p w14:paraId="46449B40" w14:textId="6E611D89" w:rsidR="00636B60" w:rsidRDefault="000306D9">
          <w:pPr>
            <w:pStyle w:val="TOC1"/>
            <w:tabs>
              <w:tab w:val="left" w:pos="1320"/>
            </w:tabs>
            <w:rPr>
              <w:rFonts w:asciiTheme="minorHAnsi" w:hAnsiTheme="minorHAnsi"/>
              <w:noProof/>
              <w:sz w:val="22"/>
            </w:rPr>
          </w:pPr>
          <w:hyperlink w:anchor="_Toc66703243" w:history="1">
            <w:r w:rsidR="00636B60" w:rsidRPr="00C45953">
              <w:rPr>
                <w:rStyle w:val="Hyperlink"/>
                <w:noProof/>
              </w:rPr>
              <w:t>Chapter 6:</w:t>
            </w:r>
            <w:r w:rsidR="00636B60">
              <w:rPr>
                <w:rFonts w:asciiTheme="minorHAnsi" w:hAnsiTheme="minorHAnsi"/>
                <w:noProof/>
                <w:sz w:val="22"/>
              </w:rPr>
              <w:tab/>
            </w:r>
            <w:r w:rsidR="00636B60" w:rsidRPr="00C45953">
              <w:rPr>
                <w:rStyle w:val="Hyperlink"/>
                <w:noProof/>
              </w:rPr>
              <w:t>Assessing stakeholders’ preferences in UCC contexts</w:t>
            </w:r>
            <w:r w:rsidR="00636B60">
              <w:rPr>
                <w:noProof/>
                <w:webHidden/>
              </w:rPr>
              <w:tab/>
            </w:r>
            <w:r w:rsidR="00636B60">
              <w:rPr>
                <w:noProof/>
                <w:webHidden/>
              </w:rPr>
              <w:fldChar w:fldCharType="begin"/>
            </w:r>
            <w:r w:rsidR="00636B60">
              <w:rPr>
                <w:noProof/>
                <w:webHidden/>
              </w:rPr>
              <w:instrText xml:space="preserve"> PAGEREF _Toc66703243 \h </w:instrText>
            </w:r>
            <w:r w:rsidR="00636B60">
              <w:rPr>
                <w:noProof/>
                <w:webHidden/>
              </w:rPr>
            </w:r>
            <w:r w:rsidR="00636B60">
              <w:rPr>
                <w:noProof/>
                <w:webHidden/>
              </w:rPr>
              <w:fldChar w:fldCharType="separate"/>
            </w:r>
            <w:r w:rsidR="00636B60">
              <w:rPr>
                <w:noProof/>
                <w:webHidden/>
              </w:rPr>
              <w:t>142</w:t>
            </w:r>
            <w:r w:rsidR="00636B60">
              <w:rPr>
                <w:noProof/>
                <w:webHidden/>
              </w:rPr>
              <w:fldChar w:fldCharType="end"/>
            </w:r>
          </w:hyperlink>
        </w:p>
        <w:p w14:paraId="5104ADA8" w14:textId="3D4CA196" w:rsidR="00636B60" w:rsidRDefault="000306D9">
          <w:pPr>
            <w:pStyle w:val="TOC2"/>
            <w:rPr>
              <w:rFonts w:asciiTheme="minorHAnsi" w:eastAsiaTheme="minorEastAsia" w:hAnsiTheme="minorHAnsi" w:cstheme="minorBidi"/>
              <w:kern w:val="0"/>
              <w:sz w:val="22"/>
            </w:rPr>
          </w:pPr>
          <w:hyperlink w:anchor="_Toc66703244" w:history="1">
            <w:r w:rsidR="00636B60" w:rsidRPr="00C45953">
              <w:rPr>
                <w:rStyle w:val="Hyperlink"/>
              </w:rPr>
              <w:t>6.1</w:t>
            </w:r>
            <w:r w:rsidR="00636B60">
              <w:rPr>
                <w:rFonts w:asciiTheme="minorHAnsi" w:eastAsiaTheme="minorEastAsia" w:hAnsiTheme="minorHAnsi" w:cstheme="minorBidi"/>
                <w:kern w:val="0"/>
                <w:sz w:val="22"/>
              </w:rPr>
              <w:tab/>
            </w:r>
            <w:r w:rsidR="00636B60" w:rsidRPr="00C45953">
              <w:rPr>
                <w:rStyle w:val="Hyperlink"/>
              </w:rPr>
              <w:t>Literature review</w:t>
            </w:r>
            <w:r w:rsidR="00636B60">
              <w:rPr>
                <w:webHidden/>
              </w:rPr>
              <w:tab/>
            </w:r>
            <w:r w:rsidR="00636B60">
              <w:rPr>
                <w:webHidden/>
              </w:rPr>
              <w:fldChar w:fldCharType="begin"/>
            </w:r>
            <w:r w:rsidR="00636B60">
              <w:rPr>
                <w:webHidden/>
              </w:rPr>
              <w:instrText xml:space="preserve"> PAGEREF _Toc66703244 \h </w:instrText>
            </w:r>
            <w:r w:rsidR="00636B60">
              <w:rPr>
                <w:webHidden/>
              </w:rPr>
            </w:r>
            <w:r w:rsidR="00636B60">
              <w:rPr>
                <w:webHidden/>
              </w:rPr>
              <w:fldChar w:fldCharType="separate"/>
            </w:r>
            <w:r w:rsidR="00636B60">
              <w:rPr>
                <w:webHidden/>
              </w:rPr>
              <w:t>144</w:t>
            </w:r>
            <w:r w:rsidR="00636B60">
              <w:rPr>
                <w:webHidden/>
              </w:rPr>
              <w:fldChar w:fldCharType="end"/>
            </w:r>
          </w:hyperlink>
        </w:p>
        <w:p w14:paraId="3B86E3D8" w14:textId="5F009534" w:rsidR="00636B60" w:rsidRDefault="000306D9">
          <w:pPr>
            <w:pStyle w:val="TOC3"/>
            <w:tabs>
              <w:tab w:val="left" w:pos="1760"/>
              <w:tab w:val="right" w:leader="dot" w:pos="9016"/>
            </w:tabs>
            <w:ind w:left="960"/>
            <w:rPr>
              <w:rFonts w:asciiTheme="minorHAnsi" w:hAnsiTheme="minorHAnsi"/>
              <w:noProof/>
              <w:sz w:val="22"/>
            </w:rPr>
          </w:pPr>
          <w:hyperlink w:anchor="_Toc66703245" w:history="1">
            <w:r w:rsidR="00636B60" w:rsidRPr="00C45953">
              <w:rPr>
                <w:rStyle w:val="Hyperlink"/>
                <w:noProof/>
              </w:rPr>
              <w:t>6.1.1</w:t>
            </w:r>
            <w:r w:rsidR="00636B60">
              <w:rPr>
                <w:rFonts w:asciiTheme="minorHAnsi" w:hAnsiTheme="minorHAnsi"/>
                <w:noProof/>
                <w:sz w:val="22"/>
              </w:rPr>
              <w:tab/>
            </w:r>
            <w:r w:rsidR="00636B60" w:rsidRPr="00C45953">
              <w:rPr>
                <w:rStyle w:val="Hyperlink"/>
                <w:noProof/>
              </w:rPr>
              <w:t>Stakeholder tensions in urban logistics</w:t>
            </w:r>
            <w:r w:rsidR="00636B60">
              <w:rPr>
                <w:noProof/>
                <w:webHidden/>
              </w:rPr>
              <w:tab/>
            </w:r>
            <w:r w:rsidR="00636B60">
              <w:rPr>
                <w:noProof/>
                <w:webHidden/>
              </w:rPr>
              <w:fldChar w:fldCharType="begin"/>
            </w:r>
            <w:r w:rsidR="00636B60">
              <w:rPr>
                <w:noProof/>
                <w:webHidden/>
              </w:rPr>
              <w:instrText xml:space="preserve"> PAGEREF _Toc66703245 \h </w:instrText>
            </w:r>
            <w:r w:rsidR="00636B60">
              <w:rPr>
                <w:noProof/>
                <w:webHidden/>
              </w:rPr>
            </w:r>
            <w:r w:rsidR="00636B60">
              <w:rPr>
                <w:noProof/>
                <w:webHidden/>
              </w:rPr>
              <w:fldChar w:fldCharType="separate"/>
            </w:r>
            <w:r w:rsidR="00636B60">
              <w:rPr>
                <w:noProof/>
                <w:webHidden/>
              </w:rPr>
              <w:t>144</w:t>
            </w:r>
            <w:r w:rsidR="00636B60">
              <w:rPr>
                <w:noProof/>
                <w:webHidden/>
              </w:rPr>
              <w:fldChar w:fldCharType="end"/>
            </w:r>
          </w:hyperlink>
        </w:p>
        <w:p w14:paraId="40DF98D4" w14:textId="071BAD94" w:rsidR="00636B60" w:rsidRDefault="000306D9">
          <w:pPr>
            <w:pStyle w:val="TOC3"/>
            <w:tabs>
              <w:tab w:val="left" w:pos="1760"/>
              <w:tab w:val="right" w:leader="dot" w:pos="9016"/>
            </w:tabs>
            <w:ind w:left="960"/>
            <w:rPr>
              <w:rFonts w:asciiTheme="minorHAnsi" w:hAnsiTheme="minorHAnsi"/>
              <w:noProof/>
              <w:sz w:val="22"/>
            </w:rPr>
          </w:pPr>
          <w:hyperlink w:anchor="_Toc66703246" w:history="1">
            <w:r w:rsidR="00636B60" w:rsidRPr="00C45953">
              <w:rPr>
                <w:rStyle w:val="Hyperlink"/>
                <w:noProof/>
              </w:rPr>
              <w:t>6.1.2</w:t>
            </w:r>
            <w:r w:rsidR="00636B60">
              <w:rPr>
                <w:rFonts w:asciiTheme="minorHAnsi" w:hAnsiTheme="minorHAnsi"/>
                <w:noProof/>
                <w:sz w:val="22"/>
              </w:rPr>
              <w:tab/>
            </w:r>
            <w:r w:rsidR="00636B60" w:rsidRPr="00C45953">
              <w:rPr>
                <w:rStyle w:val="Hyperlink"/>
                <w:noProof/>
              </w:rPr>
              <w:t>Stakeholder tensions in urban consolidation centre networks</w:t>
            </w:r>
            <w:r w:rsidR="00636B60">
              <w:rPr>
                <w:noProof/>
                <w:webHidden/>
              </w:rPr>
              <w:tab/>
            </w:r>
            <w:r w:rsidR="00636B60">
              <w:rPr>
                <w:noProof/>
                <w:webHidden/>
              </w:rPr>
              <w:fldChar w:fldCharType="begin"/>
            </w:r>
            <w:r w:rsidR="00636B60">
              <w:rPr>
                <w:noProof/>
                <w:webHidden/>
              </w:rPr>
              <w:instrText xml:space="preserve"> PAGEREF _Toc66703246 \h </w:instrText>
            </w:r>
            <w:r w:rsidR="00636B60">
              <w:rPr>
                <w:noProof/>
                <w:webHidden/>
              </w:rPr>
            </w:r>
            <w:r w:rsidR="00636B60">
              <w:rPr>
                <w:noProof/>
                <w:webHidden/>
              </w:rPr>
              <w:fldChar w:fldCharType="separate"/>
            </w:r>
            <w:r w:rsidR="00636B60">
              <w:rPr>
                <w:noProof/>
                <w:webHidden/>
              </w:rPr>
              <w:t>146</w:t>
            </w:r>
            <w:r w:rsidR="00636B60">
              <w:rPr>
                <w:noProof/>
                <w:webHidden/>
              </w:rPr>
              <w:fldChar w:fldCharType="end"/>
            </w:r>
          </w:hyperlink>
        </w:p>
        <w:p w14:paraId="5CF6E22B" w14:textId="79EA409B" w:rsidR="00636B60" w:rsidRDefault="000306D9">
          <w:pPr>
            <w:pStyle w:val="TOC3"/>
            <w:tabs>
              <w:tab w:val="left" w:pos="1760"/>
              <w:tab w:val="right" w:leader="dot" w:pos="9016"/>
            </w:tabs>
            <w:ind w:left="960"/>
            <w:rPr>
              <w:rFonts w:asciiTheme="minorHAnsi" w:hAnsiTheme="minorHAnsi"/>
              <w:noProof/>
              <w:sz w:val="22"/>
            </w:rPr>
          </w:pPr>
          <w:hyperlink w:anchor="_Toc66703247" w:history="1">
            <w:r w:rsidR="00636B60" w:rsidRPr="00C45953">
              <w:rPr>
                <w:rStyle w:val="Hyperlink"/>
                <w:noProof/>
              </w:rPr>
              <w:t>6.1.3</w:t>
            </w:r>
            <w:r w:rsidR="00636B60">
              <w:rPr>
                <w:rFonts w:asciiTheme="minorHAnsi" w:hAnsiTheme="minorHAnsi"/>
                <w:noProof/>
                <w:sz w:val="22"/>
              </w:rPr>
              <w:tab/>
            </w:r>
            <w:r w:rsidR="00636B60" w:rsidRPr="00C45953">
              <w:rPr>
                <w:rStyle w:val="Hyperlink"/>
                <w:noProof/>
              </w:rPr>
              <w:t>Eliciting stakeholder preferences via multi-criteria decision-making methods</w:t>
            </w:r>
            <w:r w:rsidR="00636B60">
              <w:rPr>
                <w:noProof/>
                <w:webHidden/>
              </w:rPr>
              <w:tab/>
            </w:r>
            <w:r w:rsidR="00636B60">
              <w:rPr>
                <w:noProof/>
                <w:webHidden/>
              </w:rPr>
              <w:fldChar w:fldCharType="begin"/>
            </w:r>
            <w:r w:rsidR="00636B60">
              <w:rPr>
                <w:noProof/>
                <w:webHidden/>
              </w:rPr>
              <w:instrText xml:space="preserve"> PAGEREF _Toc66703247 \h </w:instrText>
            </w:r>
            <w:r w:rsidR="00636B60">
              <w:rPr>
                <w:noProof/>
                <w:webHidden/>
              </w:rPr>
            </w:r>
            <w:r w:rsidR="00636B60">
              <w:rPr>
                <w:noProof/>
                <w:webHidden/>
              </w:rPr>
              <w:fldChar w:fldCharType="separate"/>
            </w:r>
            <w:r w:rsidR="00636B60">
              <w:rPr>
                <w:noProof/>
                <w:webHidden/>
              </w:rPr>
              <w:t>147</w:t>
            </w:r>
            <w:r w:rsidR="00636B60">
              <w:rPr>
                <w:noProof/>
                <w:webHidden/>
              </w:rPr>
              <w:fldChar w:fldCharType="end"/>
            </w:r>
          </w:hyperlink>
        </w:p>
        <w:p w14:paraId="064F6DB5" w14:textId="7EE14699" w:rsidR="00636B60" w:rsidRDefault="000306D9">
          <w:pPr>
            <w:pStyle w:val="TOC2"/>
            <w:rPr>
              <w:rFonts w:asciiTheme="minorHAnsi" w:eastAsiaTheme="minorEastAsia" w:hAnsiTheme="minorHAnsi" w:cstheme="minorBidi"/>
              <w:kern w:val="0"/>
              <w:sz w:val="22"/>
            </w:rPr>
          </w:pPr>
          <w:hyperlink w:anchor="_Toc66703248" w:history="1">
            <w:r w:rsidR="00636B60" w:rsidRPr="00C45953">
              <w:rPr>
                <w:rStyle w:val="Hyperlink"/>
              </w:rPr>
              <w:t>6.2</w:t>
            </w:r>
            <w:r w:rsidR="00636B60">
              <w:rPr>
                <w:rFonts w:asciiTheme="minorHAnsi" w:eastAsiaTheme="minorEastAsia" w:hAnsiTheme="minorHAnsi" w:cstheme="minorBidi"/>
                <w:kern w:val="0"/>
                <w:sz w:val="22"/>
              </w:rPr>
              <w:tab/>
            </w:r>
            <w:r w:rsidR="00636B60" w:rsidRPr="00C45953">
              <w:rPr>
                <w:rStyle w:val="Hyperlink"/>
              </w:rPr>
              <w:t>Methodology</w:t>
            </w:r>
            <w:r w:rsidR="00636B60">
              <w:rPr>
                <w:webHidden/>
              </w:rPr>
              <w:tab/>
            </w:r>
            <w:r w:rsidR="00636B60">
              <w:rPr>
                <w:webHidden/>
              </w:rPr>
              <w:fldChar w:fldCharType="begin"/>
            </w:r>
            <w:r w:rsidR="00636B60">
              <w:rPr>
                <w:webHidden/>
              </w:rPr>
              <w:instrText xml:space="preserve"> PAGEREF _Toc66703248 \h </w:instrText>
            </w:r>
            <w:r w:rsidR="00636B60">
              <w:rPr>
                <w:webHidden/>
              </w:rPr>
            </w:r>
            <w:r w:rsidR="00636B60">
              <w:rPr>
                <w:webHidden/>
              </w:rPr>
              <w:fldChar w:fldCharType="separate"/>
            </w:r>
            <w:r w:rsidR="00636B60">
              <w:rPr>
                <w:webHidden/>
              </w:rPr>
              <w:t>149</w:t>
            </w:r>
            <w:r w:rsidR="00636B60">
              <w:rPr>
                <w:webHidden/>
              </w:rPr>
              <w:fldChar w:fldCharType="end"/>
            </w:r>
          </w:hyperlink>
        </w:p>
        <w:p w14:paraId="30306351" w14:textId="5FD17D82" w:rsidR="00636B60" w:rsidRDefault="000306D9">
          <w:pPr>
            <w:pStyle w:val="TOC3"/>
            <w:tabs>
              <w:tab w:val="left" w:pos="1760"/>
              <w:tab w:val="right" w:leader="dot" w:pos="9016"/>
            </w:tabs>
            <w:ind w:left="960"/>
            <w:rPr>
              <w:rFonts w:asciiTheme="minorHAnsi" w:hAnsiTheme="minorHAnsi"/>
              <w:noProof/>
              <w:sz w:val="22"/>
            </w:rPr>
          </w:pPr>
          <w:hyperlink w:anchor="_Toc66703249" w:history="1">
            <w:r w:rsidR="00636B60" w:rsidRPr="00C45953">
              <w:rPr>
                <w:rStyle w:val="Hyperlink"/>
                <w:rFonts w:eastAsia="等线 Light"/>
                <w:noProof/>
              </w:rPr>
              <w:t>6.2.1</w:t>
            </w:r>
            <w:r w:rsidR="00636B60">
              <w:rPr>
                <w:rFonts w:asciiTheme="minorHAnsi" w:hAnsiTheme="minorHAnsi"/>
                <w:noProof/>
                <w:sz w:val="22"/>
              </w:rPr>
              <w:tab/>
            </w:r>
            <w:r w:rsidR="00636B60" w:rsidRPr="00C45953">
              <w:rPr>
                <w:rStyle w:val="Hyperlink"/>
                <w:rFonts w:eastAsia="等线 Light"/>
                <w:noProof/>
              </w:rPr>
              <w:t>Multiple case study method</w:t>
            </w:r>
            <w:r w:rsidR="00636B60">
              <w:rPr>
                <w:noProof/>
                <w:webHidden/>
              </w:rPr>
              <w:tab/>
            </w:r>
            <w:r w:rsidR="00636B60">
              <w:rPr>
                <w:noProof/>
                <w:webHidden/>
              </w:rPr>
              <w:fldChar w:fldCharType="begin"/>
            </w:r>
            <w:r w:rsidR="00636B60">
              <w:rPr>
                <w:noProof/>
                <w:webHidden/>
              </w:rPr>
              <w:instrText xml:space="preserve"> PAGEREF _Toc66703249 \h </w:instrText>
            </w:r>
            <w:r w:rsidR="00636B60">
              <w:rPr>
                <w:noProof/>
                <w:webHidden/>
              </w:rPr>
            </w:r>
            <w:r w:rsidR="00636B60">
              <w:rPr>
                <w:noProof/>
                <w:webHidden/>
              </w:rPr>
              <w:fldChar w:fldCharType="separate"/>
            </w:r>
            <w:r w:rsidR="00636B60">
              <w:rPr>
                <w:noProof/>
                <w:webHidden/>
              </w:rPr>
              <w:t>150</w:t>
            </w:r>
            <w:r w:rsidR="00636B60">
              <w:rPr>
                <w:noProof/>
                <w:webHidden/>
              </w:rPr>
              <w:fldChar w:fldCharType="end"/>
            </w:r>
          </w:hyperlink>
        </w:p>
        <w:p w14:paraId="4B5ED47F" w14:textId="27261F73" w:rsidR="00636B60" w:rsidRDefault="000306D9">
          <w:pPr>
            <w:pStyle w:val="TOC3"/>
            <w:tabs>
              <w:tab w:val="left" w:pos="1760"/>
              <w:tab w:val="right" w:leader="dot" w:pos="9016"/>
            </w:tabs>
            <w:ind w:left="960"/>
            <w:rPr>
              <w:rFonts w:asciiTheme="minorHAnsi" w:hAnsiTheme="minorHAnsi"/>
              <w:noProof/>
              <w:sz w:val="22"/>
            </w:rPr>
          </w:pPr>
          <w:hyperlink w:anchor="_Toc66703250" w:history="1">
            <w:r w:rsidR="00636B60" w:rsidRPr="00C45953">
              <w:rPr>
                <w:rStyle w:val="Hyperlink"/>
                <w:rFonts w:eastAsia="等线 Light"/>
                <w:noProof/>
              </w:rPr>
              <w:t>6.2.2</w:t>
            </w:r>
            <w:r w:rsidR="00636B60">
              <w:rPr>
                <w:rFonts w:asciiTheme="minorHAnsi" w:hAnsiTheme="minorHAnsi"/>
                <w:noProof/>
                <w:sz w:val="22"/>
              </w:rPr>
              <w:tab/>
            </w:r>
            <w:r w:rsidR="00636B60" w:rsidRPr="00C45953">
              <w:rPr>
                <w:rStyle w:val="Hyperlink"/>
                <w:rFonts w:eastAsia="等线 Light"/>
                <w:noProof/>
              </w:rPr>
              <w:t>Stakeholder analysis</w:t>
            </w:r>
            <w:r w:rsidR="00636B60">
              <w:rPr>
                <w:noProof/>
                <w:webHidden/>
              </w:rPr>
              <w:tab/>
            </w:r>
            <w:r w:rsidR="00636B60">
              <w:rPr>
                <w:noProof/>
                <w:webHidden/>
              </w:rPr>
              <w:fldChar w:fldCharType="begin"/>
            </w:r>
            <w:r w:rsidR="00636B60">
              <w:rPr>
                <w:noProof/>
                <w:webHidden/>
              </w:rPr>
              <w:instrText xml:space="preserve"> PAGEREF _Toc66703250 \h </w:instrText>
            </w:r>
            <w:r w:rsidR="00636B60">
              <w:rPr>
                <w:noProof/>
                <w:webHidden/>
              </w:rPr>
            </w:r>
            <w:r w:rsidR="00636B60">
              <w:rPr>
                <w:noProof/>
                <w:webHidden/>
              </w:rPr>
              <w:fldChar w:fldCharType="separate"/>
            </w:r>
            <w:r w:rsidR="00636B60">
              <w:rPr>
                <w:noProof/>
                <w:webHidden/>
              </w:rPr>
              <w:t>153</w:t>
            </w:r>
            <w:r w:rsidR="00636B60">
              <w:rPr>
                <w:noProof/>
                <w:webHidden/>
              </w:rPr>
              <w:fldChar w:fldCharType="end"/>
            </w:r>
          </w:hyperlink>
        </w:p>
        <w:p w14:paraId="100ADD36" w14:textId="6E19C307" w:rsidR="00636B60" w:rsidRDefault="000306D9">
          <w:pPr>
            <w:pStyle w:val="TOC3"/>
            <w:tabs>
              <w:tab w:val="left" w:pos="1760"/>
              <w:tab w:val="right" w:leader="dot" w:pos="9016"/>
            </w:tabs>
            <w:ind w:left="960"/>
            <w:rPr>
              <w:rFonts w:asciiTheme="minorHAnsi" w:hAnsiTheme="minorHAnsi"/>
              <w:noProof/>
              <w:sz w:val="22"/>
            </w:rPr>
          </w:pPr>
          <w:hyperlink w:anchor="_Toc66703251" w:history="1">
            <w:r w:rsidR="00636B60" w:rsidRPr="00C45953">
              <w:rPr>
                <w:rStyle w:val="Hyperlink"/>
                <w:rFonts w:eastAsia="等线 Light"/>
                <w:noProof/>
              </w:rPr>
              <w:t>6.2.3</w:t>
            </w:r>
            <w:r w:rsidR="00636B60">
              <w:rPr>
                <w:rFonts w:asciiTheme="minorHAnsi" w:hAnsiTheme="minorHAnsi"/>
                <w:noProof/>
                <w:sz w:val="22"/>
              </w:rPr>
              <w:tab/>
            </w:r>
            <w:r w:rsidR="00636B60" w:rsidRPr="00C45953">
              <w:rPr>
                <w:rStyle w:val="Hyperlink"/>
                <w:rFonts w:eastAsia="等线 Light"/>
                <w:noProof/>
              </w:rPr>
              <w:t>Quantitative methods</w:t>
            </w:r>
            <w:r w:rsidR="00636B60">
              <w:rPr>
                <w:noProof/>
                <w:webHidden/>
              </w:rPr>
              <w:tab/>
            </w:r>
            <w:r w:rsidR="00636B60">
              <w:rPr>
                <w:noProof/>
                <w:webHidden/>
              </w:rPr>
              <w:fldChar w:fldCharType="begin"/>
            </w:r>
            <w:r w:rsidR="00636B60">
              <w:rPr>
                <w:noProof/>
                <w:webHidden/>
              </w:rPr>
              <w:instrText xml:space="preserve"> PAGEREF _Toc66703251 \h </w:instrText>
            </w:r>
            <w:r w:rsidR="00636B60">
              <w:rPr>
                <w:noProof/>
                <w:webHidden/>
              </w:rPr>
            </w:r>
            <w:r w:rsidR="00636B60">
              <w:rPr>
                <w:noProof/>
                <w:webHidden/>
              </w:rPr>
              <w:fldChar w:fldCharType="separate"/>
            </w:r>
            <w:r w:rsidR="00636B60">
              <w:rPr>
                <w:noProof/>
                <w:webHidden/>
              </w:rPr>
              <w:t>155</w:t>
            </w:r>
            <w:r w:rsidR="00636B60">
              <w:rPr>
                <w:noProof/>
                <w:webHidden/>
              </w:rPr>
              <w:fldChar w:fldCharType="end"/>
            </w:r>
          </w:hyperlink>
        </w:p>
        <w:p w14:paraId="0BD528A0" w14:textId="109E4E65" w:rsidR="00636B60" w:rsidRDefault="000306D9">
          <w:pPr>
            <w:pStyle w:val="TOC3"/>
            <w:tabs>
              <w:tab w:val="left" w:pos="1760"/>
              <w:tab w:val="right" w:leader="dot" w:pos="9016"/>
            </w:tabs>
            <w:ind w:left="960"/>
            <w:rPr>
              <w:rFonts w:asciiTheme="minorHAnsi" w:hAnsiTheme="minorHAnsi"/>
              <w:noProof/>
              <w:sz w:val="22"/>
            </w:rPr>
          </w:pPr>
          <w:hyperlink w:anchor="_Toc66703252" w:history="1">
            <w:r w:rsidR="00636B60" w:rsidRPr="00C45953">
              <w:rPr>
                <w:rStyle w:val="Hyperlink"/>
                <w:noProof/>
              </w:rPr>
              <w:t>6.2.4</w:t>
            </w:r>
            <w:r w:rsidR="00636B60">
              <w:rPr>
                <w:rFonts w:asciiTheme="minorHAnsi" w:hAnsiTheme="minorHAnsi"/>
                <w:noProof/>
                <w:sz w:val="22"/>
              </w:rPr>
              <w:tab/>
            </w:r>
            <w:r w:rsidR="00636B60" w:rsidRPr="00C45953">
              <w:rPr>
                <w:rStyle w:val="Hyperlink"/>
                <w:noProof/>
              </w:rPr>
              <w:t>Thematic analysis</w:t>
            </w:r>
            <w:r w:rsidR="00636B60">
              <w:rPr>
                <w:noProof/>
                <w:webHidden/>
              </w:rPr>
              <w:tab/>
            </w:r>
            <w:r w:rsidR="00636B60">
              <w:rPr>
                <w:noProof/>
                <w:webHidden/>
              </w:rPr>
              <w:fldChar w:fldCharType="begin"/>
            </w:r>
            <w:r w:rsidR="00636B60">
              <w:rPr>
                <w:noProof/>
                <w:webHidden/>
              </w:rPr>
              <w:instrText xml:space="preserve"> PAGEREF _Toc66703252 \h </w:instrText>
            </w:r>
            <w:r w:rsidR="00636B60">
              <w:rPr>
                <w:noProof/>
                <w:webHidden/>
              </w:rPr>
            </w:r>
            <w:r w:rsidR="00636B60">
              <w:rPr>
                <w:noProof/>
                <w:webHidden/>
              </w:rPr>
              <w:fldChar w:fldCharType="separate"/>
            </w:r>
            <w:r w:rsidR="00636B60">
              <w:rPr>
                <w:noProof/>
                <w:webHidden/>
              </w:rPr>
              <w:t>157</w:t>
            </w:r>
            <w:r w:rsidR="00636B60">
              <w:rPr>
                <w:noProof/>
                <w:webHidden/>
              </w:rPr>
              <w:fldChar w:fldCharType="end"/>
            </w:r>
          </w:hyperlink>
        </w:p>
        <w:p w14:paraId="0B844AF5" w14:textId="41C74917" w:rsidR="00636B60" w:rsidRDefault="000306D9">
          <w:pPr>
            <w:pStyle w:val="TOC2"/>
            <w:rPr>
              <w:rFonts w:asciiTheme="minorHAnsi" w:eastAsiaTheme="minorEastAsia" w:hAnsiTheme="minorHAnsi" w:cstheme="minorBidi"/>
              <w:kern w:val="0"/>
              <w:sz w:val="22"/>
            </w:rPr>
          </w:pPr>
          <w:hyperlink w:anchor="_Toc66703253" w:history="1">
            <w:r w:rsidR="00636B60" w:rsidRPr="00C45953">
              <w:rPr>
                <w:rStyle w:val="Hyperlink"/>
              </w:rPr>
              <w:t>6.3</w:t>
            </w:r>
            <w:r w:rsidR="00636B60">
              <w:rPr>
                <w:rFonts w:asciiTheme="minorHAnsi" w:eastAsiaTheme="minorEastAsia" w:hAnsiTheme="minorHAnsi" w:cstheme="minorBidi"/>
                <w:kern w:val="0"/>
                <w:sz w:val="22"/>
              </w:rPr>
              <w:tab/>
            </w:r>
            <w:r w:rsidR="00636B60" w:rsidRPr="00C45953">
              <w:rPr>
                <w:rStyle w:val="Hyperlink"/>
              </w:rPr>
              <w:t>Data analysis</w:t>
            </w:r>
            <w:r w:rsidR="00636B60">
              <w:rPr>
                <w:webHidden/>
              </w:rPr>
              <w:tab/>
            </w:r>
            <w:r w:rsidR="00636B60">
              <w:rPr>
                <w:webHidden/>
              </w:rPr>
              <w:fldChar w:fldCharType="begin"/>
            </w:r>
            <w:r w:rsidR="00636B60">
              <w:rPr>
                <w:webHidden/>
              </w:rPr>
              <w:instrText xml:space="preserve"> PAGEREF _Toc66703253 \h </w:instrText>
            </w:r>
            <w:r w:rsidR="00636B60">
              <w:rPr>
                <w:webHidden/>
              </w:rPr>
            </w:r>
            <w:r w:rsidR="00636B60">
              <w:rPr>
                <w:webHidden/>
              </w:rPr>
              <w:fldChar w:fldCharType="separate"/>
            </w:r>
            <w:r w:rsidR="00636B60">
              <w:rPr>
                <w:webHidden/>
              </w:rPr>
              <w:t>158</w:t>
            </w:r>
            <w:r w:rsidR="00636B60">
              <w:rPr>
                <w:webHidden/>
              </w:rPr>
              <w:fldChar w:fldCharType="end"/>
            </w:r>
          </w:hyperlink>
        </w:p>
        <w:p w14:paraId="6D3C61C2" w14:textId="04BA16DB" w:rsidR="00636B60" w:rsidRDefault="000306D9">
          <w:pPr>
            <w:pStyle w:val="TOC3"/>
            <w:tabs>
              <w:tab w:val="left" w:pos="1760"/>
              <w:tab w:val="right" w:leader="dot" w:pos="9016"/>
            </w:tabs>
            <w:ind w:left="960"/>
            <w:rPr>
              <w:rFonts w:asciiTheme="minorHAnsi" w:hAnsiTheme="minorHAnsi"/>
              <w:noProof/>
              <w:sz w:val="22"/>
            </w:rPr>
          </w:pPr>
          <w:hyperlink w:anchor="_Toc66703254" w:history="1">
            <w:r w:rsidR="00636B60" w:rsidRPr="00C45953">
              <w:rPr>
                <w:rStyle w:val="Hyperlink"/>
                <w:noProof/>
              </w:rPr>
              <w:t>6.3.1</w:t>
            </w:r>
            <w:r w:rsidR="00636B60">
              <w:rPr>
                <w:rFonts w:asciiTheme="minorHAnsi" w:hAnsiTheme="minorHAnsi"/>
                <w:noProof/>
                <w:sz w:val="22"/>
              </w:rPr>
              <w:tab/>
            </w:r>
            <w:r w:rsidR="00636B60" w:rsidRPr="00C45953">
              <w:rPr>
                <w:rStyle w:val="Hyperlink"/>
                <w:noProof/>
              </w:rPr>
              <w:t>Analytic hierarchy process method (AHP) results</w:t>
            </w:r>
            <w:r w:rsidR="00636B60">
              <w:rPr>
                <w:noProof/>
                <w:webHidden/>
              </w:rPr>
              <w:tab/>
            </w:r>
            <w:r w:rsidR="00636B60">
              <w:rPr>
                <w:noProof/>
                <w:webHidden/>
              </w:rPr>
              <w:fldChar w:fldCharType="begin"/>
            </w:r>
            <w:r w:rsidR="00636B60">
              <w:rPr>
                <w:noProof/>
                <w:webHidden/>
              </w:rPr>
              <w:instrText xml:space="preserve"> PAGEREF _Toc66703254 \h </w:instrText>
            </w:r>
            <w:r w:rsidR="00636B60">
              <w:rPr>
                <w:noProof/>
                <w:webHidden/>
              </w:rPr>
            </w:r>
            <w:r w:rsidR="00636B60">
              <w:rPr>
                <w:noProof/>
                <w:webHidden/>
              </w:rPr>
              <w:fldChar w:fldCharType="separate"/>
            </w:r>
            <w:r w:rsidR="00636B60">
              <w:rPr>
                <w:noProof/>
                <w:webHidden/>
              </w:rPr>
              <w:t>158</w:t>
            </w:r>
            <w:r w:rsidR="00636B60">
              <w:rPr>
                <w:noProof/>
                <w:webHidden/>
              </w:rPr>
              <w:fldChar w:fldCharType="end"/>
            </w:r>
          </w:hyperlink>
        </w:p>
        <w:p w14:paraId="407F37A1" w14:textId="3A97E44E" w:rsidR="00636B60" w:rsidRDefault="000306D9">
          <w:pPr>
            <w:pStyle w:val="TOC3"/>
            <w:tabs>
              <w:tab w:val="left" w:pos="1760"/>
              <w:tab w:val="right" w:leader="dot" w:pos="9016"/>
            </w:tabs>
            <w:ind w:left="960"/>
            <w:rPr>
              <w:rFonts w:asciiTheme="minorHAnsi" w:hAnsiTheme="minorHAnsi"/>
              <w:noProof/>
              <w:sz w:val="22"/>
            </w:rPr>
          </w:pPr>
          <w:hyperlink w:anchor="_Toc66703255" w:history="1">
            <w:r w:rsidR="00636B60" w:rsidRPr="00C45953">
              <w:rPr>
                <w:rStyle w:val="Hyperlink"/>
                <w:noProof/>
              </w:rPr>
              <w:t>6.3.2</w:t>
            </w:r>
            <w:r w:rsidR="00636B60">
              <w:rPr>
                <w:rFonts w:asciiTheme="minorHAnsi" w:hAnsiTheme="minorHAnsi"/>
                <w:noProof/>
                <w:sz w:val="22"/>
              </w:rPr>
              <w:tab/>
            </w:r>
            <w:r w:rsidR="00636B60" w:rsidRPr="00C45953">
              <w:rPr>
                <w:rStyle w:val="Hyperlink"/>
                <w:noProof/>
              </w:rPr>
              <w:t>Results of the correlation analysis</w:t>
            </w:r>
            <w:r w:rsidR="00636B60">
              <w:rPr>
                <w:noProof/>
                <w:webHidden/>
              </w:rPr>
              <w:tab/>
            </w:r>
            <w:r w:rsidR="00636B60">
              <w:rPr>
                <w:noProof/>
                <w:webHidden/>
              </w:rPr>
              <w:fldChar w:fldCharType="begin"/>
            </w:r>
            <w:r w:rsidR="00636B60">
              <w:rPr>
                <w:noProof/>
                <w:webHidden/>
              </w:rPr>
              <w:instrText xml:space="preserve"> PAGEREF _Toc66703255 \h </w:instrText>
            </w:r>
            <w:r w:rsidR="00636B60">
              <w:rPr>
                <w:noProof/>
                <w:webHidden/>
              </w:rPr>
            </w:r>
            <w:r w:rsidR="00636B60">
              <w:rPr>
                <w:noProof/>
                <w:webHidden/>
              </w:rPr>
              <w:fldChar w:fldCharType="separate"/>
            </w:r>
            <w:r w:rsidR="00636B60">
              <w:rPr>
                <w:noProof/>
                <w:webHidden/>
              </w:rPr>
              <w:t>160</w:t>
            </w:r>
            <w:r w:rsidR="00636B60">
              <w:rPr>
                <w:noProof/>
                <w:webHidden/>
              </w:rPr>
              <w:fldChar w:fldCharType="end"/>
            </w:r>
          </w:hyperlink>
        </w:p>
        <w:p w14:paraId="6B85E18B" w14:textId="075B90F3" w:rsidR="00636B60" w:rsidRDefault="000306D9">
          <w:pPr>
            <w:pStyle w:val="TOC3"/>
            <w:tabs>
              <w:tab w:val="left" w:pos="1760"/>
              <w:tab w:val="right" w:leader="dot" w:pos="9016"/>
            </w:tabs>
            <w:ind w:left="960"/>
            <w:rPr>
              <w:rFonts w:asciiTheme="minorHAnsi" w:hAnsiTheme="minorHAnsi"/>
              <w:noProof/>
              <w:sz w:val="22"/>
            </w:rPr>
          </w:pPr>
          <w:hyperlink w:anchor="_Toc66703256" w:history="1">
            <w:r w:rsidR="00636B60" w:rsidRPr="00C45953">
              <w:rPr>
                <w:rStyle w:val="Hyperlink"/>
                <w:noProof/>
              </w:rPr>
              <w:t>6.3.3</w:t>
            </w:r>
            <w:r w:rsidR="00636B60">
              <w:rPr>
                <w:rFonts w:asciiTheme="minorHAnsi" w:hAnsiTheme="minorHAnsi"/>
                <w:noProof/>
                <w:sz w:val="22"/>
              </w:rPr>
              <w:tab/>
            </w:r>
            <w:r w:rsidR="00636B60" w:rsidRPr="00C45953">
              <w:rPr>
                <w:rStyle w:val="Hyperlink"/>
                <w:noProof/>
              </w:rPr>
              <w:t>Findings from thematic analysis</w:t>
            </w:r>
            <w:r w:rsidR="00636B60">
              <w:rPr>
                <w:noProof/>
                <w:webHidden/>
              </w:rPr>
              <w:tab/>
            </w:r>
            <w:r w:rsidR="00636B60">
              <w:rPr>
                <w:noProof/>
                <w:webHidden/>
              </w:rPr>
              <w:fldChar w:fldCharType="begin"/>
            </w:r>
            <w:r w:rsidR="00636B60">
              <w:rPr>
                <w:noProof/>
                <w:webHidden/>
              </w:rPr>
              <w:instrText xml:space="preserve"> PAGEREF _Toc66703256 \h </w:instrText>
            </w:r>
            <w:r w:rsidR="00636B60">
              <w:rPr>
                <w:noProof/>
                <w:webHidden/>
              </w:rPr>
            </w:r>
            <w:r w:rsidR="00636B60">
              <w:rPr>
                <w:noProof/>
                <w:webHidden/>
              </w:rPr>
              <w:fldChar w:fldCharType="separate"/>
            </w:r>
            <w:r w:rsidR="00636B60">
              <w:rPr>
                <w:noProof/>
                <w:webHidden/>
              </w:rPr>
              <w:t>164</w:t>
            </w:r>
            <w:r w:rsidR="00636B60">
              <w:rPr>
                <w:noProof/>
                <w:webHidden/>
              </w:rPr>
              <w:fldChar w:fldCharType="end"/>
            </w:r>
          </w:hyperlink>
        </w:p>
        <w:p w14:paraId="0A2A8B55" w14:textId="73E15F29" w:rsidR="00636B60" w:rsidRDefault="000306D9">
          <w:pPr>
            <w:pStyle w:val="TOC2"/>
            <w:rPr>
              <w:rFonts w:asciiTheme="minorHAnsi" w:eastAsiaTheme="minorEastAsia" w:hAnsiTheme="minorHAnsi" w:cstheme="minorBidi"/>
              <w:kern w:val="0"/>
              <w:sz w:val="22"/>
            </w:rPr>
          </w:pPr>
          <w:hyperlink w:anchor="_Toc66703257" w:history="1">
            <w:r w:rsidR="00636B60" w:rsidRPr="00C45953">
              <w:rPr>
                <w:rStyle w:val="Hyperlink"/>
              </w:rPr>
              <w:t>6.4</w:t>
            </w:r>
            <w:r w:rsidR="00636B60">
              <w:rPr>
                <w:rFonts w:asciiTheme="minorHAnsi" w:eastAsiaTheme="minorEastAsia" w:hAnsiTheme="minorHAnsi" w:cstheme="minorBidi"/>
                <w:kern w:val="0"/>
                <w:sz w:val="22"/>
              </w:rPr>
              <w:tab/>
            </w:r>
            <w:r w:rsidR="00636B60" w:rsidRPr="00C45953">
              <w:rPr>
                <w:rStyle w:val="Hyperlink"/>
              </w:rPr>
              <w:t>Discussion and implications</w:t>
            </w:r>
            <w:r w:rsidR="00636B60">
              <w:rPr>
                <w:webHidden/>
              </w:rPr>
              <w:tab/>
            </w:r>
            <w:r w:rsidR="00636B60">
              <w:rPr>
                <w:webHidden/>
              </w:rPr>
              <w:fldChar w:fldCharType="begin"/>
            </w:r>
            <w:r w:rsidR="00636B60">
              <w:rPr>
                <w:webHidden/>
              </w:rPr>
              <w:instrText xml:space="preserve"> PAGEREF _Toc66703257 \h </w:instrText>
            </w:r>
            <w:r w:rsidR="00636B60">
              <w:rPr>
                <w:webHidden/>
              </w:rPr>
            </w:r>
            <w:r w:rsidR="00636B60">
              <w:rPr>
                <w:webHidden/>
              </w:rPr>
              <w:fldChar w:fldCharType="separate"/>
            </w:r>
            <w:r w:rsidR="00636B60">
              <w:rPr>
                <w:webHidden/>
              </w:rPr>
              <w:t>167</w:t>
            </w:r>
            <w:r w:rsidR="00636B60">
              <w:rPr>
                <w:webHidden/>
              </w:rPr>
              <w:fldChar w:fldCharType="end"/>
            </w:r>
          </w:hyperlink>
        </w:p>
        <w:p w14:paraId="1D2FFCD8" w14:textId="71A756D4" w:rsidR="00636B60" w:rsidRDefault="000306D9">
          <w:pPr>
            <w:pStyle w:val="TOC2"/>
            <w:rPr>
              <w:rFonts w:asciiTheme="minorHAnsi" w:eastAsiaTheme="minorEastAsia" w:hAnsiTheme="minorHAnsi" w:cstheme="minorBidi"/>
              <w:kern w:val="0"/>
              <w:sz w:val="22"/>
            </w:rPr>
          </w:pPr>
          <w:hyperlink w:anchor="_Toc66703258" w:history="1">
            <w:r w:rsidR="00636B60" w:rsidRPr="00C45953">
              <w:rPr>
                <w:rStyle w:val="Hyperlink"/>
              </w:rPr>
              <w:t>6.5</w:t>
            </w:r>
            <w:r w:rsidR="00636B60">
              <w:rPr>
                <w:rFonts w:asciiTheme="minorHAnsi" w:eastAsiaTheme="minorEastAsia" w:hAnsiTheme="minorHAnsi" w:cstheme="minorBidi"/>
                <w:kern w:val="0"/>
                <w:sz w:val="22"/>
              </w:rPr>
              <w:tab/>
            </w:r>
            <w:r w:rsidR="00636B60" w:rsidRPr="00C45953">
              <w:rPr>
                <w:rStyle w:val="Hyperlink"/>
              </w:rPr>
              <w:t>Chapter Summary</w:t>
            </w:r>
            <w:r w:rsidR="00636B60">
              <w:rPr>
                <w:webHidden/>
              </w:rPr>
              <w:tab/>
            </w:r>
            <w:r w:rsidR="00636B60">
              <w:rPr>
                <w:webHidden/>
              </w:rPr>
              <w:fldChar w:fldCharType="begin"/>
            </w:r>
            <w:r w:rsidR="00636B60">
              <w:rPr>
                <w:webHidden/>
              </w:rPr>
              <w:instrText xml:space="preserve"> PAGEREF _Toc66703258 \h </w:instrText>
            </w:r>
            <w:r w:rsidR="00636B60">
              <w:rPr>
                <w:webHidden/>
              </w:rPr>
            </w:r>
            <w:r w:rsidR="00636B60">
              <w:rPr>
                <w:webHidden/>
              </w:rPr>
              <w:fldChar w:fldCharType="separate"/>
            </w:r>
            <w:r w:rsidR="00636B60">
              <w:rPr>
                <w:webHidden/>
              </w:rPr>
              <w:t>169</w:t>
            </w:r>
            <w:r w:rsidR="00636B60">
              <w:rPr>
                <w:webHidden/>
              </w:rPr>
              <w:fldChar w:fldCharType="end"/>
            </w:r>
          </w:hyperlink>
        </w:p>
        <w:p w14:paraId="5503B073" w14:textId="256FC721" w:rsidR="00636B60" w:rsidRDefault="000306D9">
          <w:pPr>
            <w:pStyle w:val="TOC1"/>
            <w:tabs>
              <w:tab w:val="left" w:pos="1320"/>
            </w:tabs>
            <w:rPr>
              <w:rFonts w:asciiTheme="minorHAnsi" w:hAnsiTheme="minorHAnsi"/>
              <w:noProof/>
              <w:sz w:val="22"/>
            </w:rPr>
          </w:pPr>
          <w:hyperlink w:anchor="_Toc66703259" w:history="1">
            <w:r w:rsidR="00636B60" w:rsidRPr="00C45953">
              <w:rPr>
                <w:rStyle w:val="Hyperlink"/>
                <w:rFonts w:cs="Times New Roman"/>
                <w:noProof/>
              </w:rPr>
              <w:t>Chapter 7:</w:t>
            </w:r>
            <w:r w:rsidR="00636B60">
              <w:rPr>
                <w:rFonts w:asciiTheme="minorHAnsi" w:hAnsiTheme="minorHAnsi"/>
                <w:noProof/>
                <w:sz w:val="22"/>
              </w:rPr>
              <w:tab/>
            </w:r>
            <w:r w:rsidR="00636B60" w:rsidRPr="00C45953">
              <w:rPr>
                <w:rStyle w:val="Hyperlink"/>
                <w:rFonts w:cs="Times New Roman"/>
                <w:noProof/>
              </w:rPr>
              <w:t>A game-theoretic multi-stakeholder model for fair cost allocation in UCC</w:t>
            </w:r>
            <w:r w:rsidR="00636B60">
              <w:rPr>
                <w:noProof/>
                <w:webHidden/>
              </w:rPr>
              <w:tab/>
            </w:r>
            <w:r w:rsidR="00636B60">
              <w:rPr>
                <w:noProof/>
                <w:webHidden/>
              </w:rPr>
              <w:fldChar w:fldCharType="begin"/>
            </w:r>
            <w:r w:rsidR="00636B60">
              <w:rPr>
                <w:noProof/>
                <w:webHidden/>
              </w:rPr>
              <w:instrText xml:space="preserve"> PAGEREF _Toc66703259 \h </w:instrText>
            </w:r>
            <w:r w:rsidR="00636B60">
              <w:rPr>
                <w:noProof/>
                <w:webHidden/>
              </w:rPr>
            </w:r>
            <w:r w:rsidR="00636B60">
              <w:rPr>
                <w:noProof/>
                <w:webHidden/>
              </w:rPr>
              <w:fldChar w:fldCharType="separate"/>
            </w:r>
            <w:r w:rsidR="00636B60">
              <w:rPr>
                <w:noProof/>
                <w:webHidden/>
              </w:rPr>
              <w:t>170</w:t>
            </w:r>
            <w:r w:rsidR="00636B60">
              <w:rPr>
                <w:noProof/>
                <w:webHidden/>
              </w:rPr>
              <w:fldChar w:fldCharType="end"/>
            </w:r>
          </w:hyperlink>
        </w:p>
        <w:p w14:paraId="09951EA5" w14:textId="59F148C9" w:rsidR="00636B60" w:rsidRDefault="000306D9">
          <w:pPr>
            <w:pStyle w:val="TOC2"/>
            <w:rPr>
              <w:rFonts w:asciiTheme="minorHAnsi" w:eastAsiaTheme="minorEastAsia" w:hAnsiTheme="minorHAnsi" w:cstheme="minorBidi"/>
              <w:kern w:val="0"/>
              <w:sz w:val="22"/>
            </w:rPr>
          </w:pPr>
          <w:hyperlink w:anchor="_Toc66703260" w:history="1">
            <w:r w:rsidR="00636B60" w:rsidRPr="00C45953">
              <w:rPr>
                <w:rStyle w:val="Hyperlink"/>
              </w:rPr>
              <w:t>7.1</w:t>
            </w:r>
            <w:r w:rsidR="00636B60">
              <w:rPr>
                <w:rFonts w:asciiTheme="minorHAnsi" w:eastAsiaTheme="minorEastAsia" w:hAnsiTheme="minorHAnsi" w:cstheme="minorBidi"/>
                <w:kern w:val="0"/>
                <w:sz w:val="22"/>
              </w:rPr>
              <w:tab/>
            </w:r>
            <w:r w:rsidR="00636B60" w:rsidRPr="00C45953">
              <w:rPr>
                <w:rStyle w:val="Hyperlink"/>
              </w:rPr>
              <w:t>Research motivation</w:t>
            </w:r>
            <w:r w:rsidR="00636B60">
              <w:rPr>
                <w:webHidden/>
              </w:rPr>
              <w:tab/>
            </w:r>
            <w:r w:rsidR="00636B60">
              <w:rPr>
                <w:webHidden/>
              </w:rPr>
              <w:fldChar w:fldCharType="begin"/>
            </w:r>
            <w:r w:rsidR="00636B60">
              <w:rPr>
                <w:webHidden/>
              </w:rPr>
              <w:instrText xml:space="preserve"> PAGEREF _Toc66703260 \h </w:instrText>
            </w:r>
            <w:r w:rsidR="00636B60">
              <w:rPr>
                <w:webHidden/>
              </w:rPr>
            </w:r>
            <w:r w:rsidR="00636B60">
              <w:rPr>
                <w:webHidden/>
              </w:rPr>
              <w:fldChar w:fldCharType="separate"/>
            </w:r>
            <w:r w:rsidR="00636B60">
              <w:rPr>
                <w:webHidden/>
              </w:rPr>
              <w:t>171</w:t>
            </w:r>
            <w:r w:rsidR="00636B60">
              <w:rPr>
                <w:webHidden/>
              </w:rPr>
              <w:fldChar w:fldCharType="end"/>
            </w:r>
          </w:hyperlink>
        </w:p>
        <w:p w14:paraId="38C564E0" w14:textId="314CE3DF" w:rsidR="00636B60" w:rsidRDefault="000306D9">
          <w:pPr>
            <w:pStyle w:val="TOC2"/>
            <w:rPr>
              <w:rFonts w:asciiTheme="minorHAnsi" w:eastAsiaTheme="minorEastAsia" w:hAnsiTheme="minorHAnsi" w:cstheme="minorBidi"/>
              <w:kern w:val="0"/>
              <w:sz w:val="22"/>
            </w:rPr>
          </w:pPr>
          <w:hyperlink w:anchor="_Toc66703261" w:history="1">
            <w:r w:rsidR="00636B60" w:rsidRPr="00C45953">
              <w:rPr>
                <w:rStyle w:val="Hyperlink"/>
              </w:rPr>
              <w:t>7.2</w:t>
            </w:r>
            <w:r w:rsidR="00636B60">
              <w:rPr>
                <w:rFonts w:asciiTheme="minorHAnsi" w:eastAsiaTheme="minorEastAsia" w:hAnsiTheme="minorHAnsi" w:cstheme="minorBidi"/>
                <w:kern w:val="0"/>
                <w:sz w:val="22"/>
              </w:rPr>
              <w:tab/>
            </w:r>
            <w:r w:rsidR="00636B60" w:rsidRPr="00C45953">
              <w:rPr>
                <w:rStyle w:val="Hyperlink"/>
              </w:rPr>
              <w:t>A Game-theoretic model for cost Allocation in UCC networks</w:t>
            </w:r>
            <w:r w:rsidR="00636B60">
              <w:rPr>
                <w:webHidden/>
              </w:rPr>
              <w:tab/>
            </w:r>
            <w:r w:rsidR="00636B60">
              <w:rPr>
                <w:webHidden/>
              </w:rPr>
              <w:fldChar w:fldCharType="begin"/>
            </w:r>
            <w:r w:rsidR="00636B60">
              <w:rPr>
                <w:webHidden/>
              </w:rPr>
              <w:instrText xml:space="preserve"> PAGEREF _Toc66703261 \h </w:instrText>
            </w:r>
            <w:r w:rsidR="00636B60">
              <w:rPr>
                <w:webHidden/>
              </w:rPr>
            </w:r>
            <w:r w:rsidR="00636B60">
              <w:rPr>
                <w:webHidden/>
              </w:rPr>
              <w:fldChar w:fldCharType="separate"/>
            </w:r>
            <w:r w:rsidR="00636B60">
              <w:rPr>
                <w:webHidden/>
              </w:rPr>
              <w:t>173</w:t>
            </w:r>
            <w:r w:rsidR="00636B60">
              <w:rPr>
                <w:webHidden/>
              </w:rPr>
              <w:fldChar w:fldCharType="end"/>
            </w:r>
          </w:hyperlink>
        </w:p>
        <w:p w14:paraId="07BBC36A" w14:textId="3BD60427" w:rsidR="00636B60" w:rsidRDefault="000306D9">
          <w:pPr>
            <w:pStyle w:val="TOC3"/>
            <w:tabs>
              <w:tab w:val="left" w:pos="1760"/>
              <w:tab w:val="right" w:leader="dot" w:pos="9016"/>
            </w:tabs>
            <w:ind w:left="960"/>
            <w:rPr>
              <w:rFonts w:asciiTheme="minorHAnsi" w:hAnsiTheme="minorHAnsi"/>
              <w:noProof/>
              <w:sz w:val="22"/>
            </w:rPr>
          </w:pPr>
          <w:hyperlink w:anchor="_Toc66703262" w:history="1">
            <w:r w:rsidR="00636B60" w:rsidRPr="00C45953">
              <w:rPr>
                <w:rStyle w:val="Hyperlink"/>
                <w:noProof/>
              </w:rPr>
              <w:t>7.2.1</w:t>
            </w:r>
            <w:r w:rsidR="00636B60">
              <w:rPr>
                <w:rFonts w:asciiTheme="minorHAnsi" w:hAnsiTheme="minorHAnsi"/>
                <w:noProof/>
                <w:sz w:val="22"/>
              </w:rPr>
              <w:tab/>
            </w:r>
            <w:r w:rsidR="00636B60" w:rsidRPr="00C45953">
              <w:rPr>
                <w:rStyle w:val="Hyperlink"/>
                <w:noProof/>
              </w:rPr>
              <w:t>Model properties</w:t>
            </w:r>
            <w:r w:rsidR="00636B60">
              <w:rPr>
                <w:noProof/>
                <w:webHidden/>
              </w:rPr>
              <w:tab/>
            </w:r>
            <w:r w:rsidR="00636B60">
              <w:rPr>
                <w:noProof/>
                <w:webHidden/>
              </w:rPr>
              <w:fldChar w:fldCharType="begin"/>
            </w:r>
            <w:r w:rsidR="00636B60">
              <w:rPr>
                <w:noProof/>
                <w:webHidden/>
              </w:rPr>
              <w:instrText xml:space="preserve"> PAGEREF _Toc66703262 \h </w:instrText>
            </w:r>
            <w:r w:rsidR="00636B60">
              <w:rPr>
                <w:noProof/>
                <w:webHidden/>
              </w:rPr>
            </w:r>
            <w:r w:rsidR="00636B60">
              <w:rPr>
                <w:noProof/>
                <w:webHidden/>
              </w:rPr>
              <w:fldChar w:fldCharType="separate"/>
            </w:r>
            <w:r w:rsidR="00636B60">
              <w:rPr>
                <w:noProof/>
                <w:webHidden/>
              </w:rPr>
              <w:t>176</w:t>
            </w:r>
            <w:r w:rsidR="00636B60">
              <w:rPr>
                <w:noProof/>
                <w:webHidden/>
              </w:rPr>
              <w:fldChar w:fldCharType="end"/>
            </w:r>
          </w:hyperlink>
        </w:p>
        <w:p w14:paraId="49446B69" w14:textId="0D6AAA71" w:rsidR="00636B60" w:rsidRDefault="000306D9">
          <w:pPr>
            <w:pStyle w:val="TOC2"/>
            <w:rPr>
              <w:rFonts w:asciiTheme="minorHAnsi" w:eastAsiaTheme="minorEastAsia" w:hAnsiTheme="minorHAnsi" w:cstheme="minorBidi"/>
              <w:kern w:val="0"/>
              <w:sz w:val="22"/>
            </w:rPr>
          </w:pPr>
          <w:hyperlink w:anchor="_Toc66703263" w:history="1">
            <w:r w:rsidR="00636B60" w:rsidRPr="00C45953">
              <w:rPr>
                <w:rStyle w:val="Hyperlink"/>
              </w:rPr>
              <w:t>7.3</w:t>
            </w:r>
            <w:r w:rsidR="00636B60">
              <w:rPr>
                <w:rFonts w:asciiTheme="minorHAnsi" w:eastAsiaTheme="minorEastAsia" w:hAnsiTheme="minorHAnsi" w:cstheme="minorBidi"/>
                <w:kern w:val="0"/>
                <w:sz w:val="22"/>
              </w:rPr>
              <w:tab/>
            </w:r>
            <w:r w:rsidR="00636B60" w:rsidRPr="00C45953">
              <w:rPr>
                <w:rStyle w:val="Hyperlink"/>
              </w:rPr>
              <w:t>Case study</w:t>
            </w:r>
            <w:r w:rsidR="00636B60">
              <w:rPr>
                <w:webHidden/>
              </w:rPr>
              <w:tab/>
            </w:r>
            <w:r w:rsidR="00636B60">
              <w:rPr>
                <w:webHidden/>
              </w:rPr>
              <w:fldChar w:fldCharType="begin"/>
            </w:r>
            <w:r w:rsidR="00636B60">
              <w:rPr>
                <w:webHidden/>
              </w:rPr>
              <w:instrText xml:space="preserve"> PAGEREF _Toc66703263 \h </w:instrText>
            </w:r>
            <w:r w:rsidR="00636B60">
              <w:rPr>
                <w:webHidden/>
              </w:rPr>
            </w:r>
            <w:r w:rsidR="00636B60">
              <w:rPr>
                <w:webHidden/>
              </w:rPr>
              <w:fldChar w:fldCharType="separate"/>
            </w:r>
            <w:r w:rsidR="00636B60">
              <w:rPr>
                <w:webHidden/>
              </w:rPr>
              <w:t>177</w:t>
            </w:r>
            <w:r w:rsidR="00636B60">
              <w:rPr>
                <w:webHidden/>
              </w:rPr>
              <w:fldChar w:fldCharType="end"/>
            </w:r>
          </w:hyperlink>
        </w:p>
        <w:p w14:paraId="60D973EF" w14:textId="15B058F4" w:rsidR="00636B60" w:rsidRDefault="000306D9">
          <w:pPr>
            <w:pStyle w:val="TOC3"/>
            <w:tabs>
              <w:tab w:val="left" w:pos="1760"/>
              <w:tab w:val="right" w:leader="dot" w:pos="9016"/>
            </w:tabs>
            <w:ind w:left="960"/>
            <w:rPr>
              <w:rFonts w:asciiTheme="minorHAnsi" w:hAnsiTheme="minorHAnsi"/>
              <w:noProof/>
              <w:sz w:val="22"/>
            </w:rPr>
          </w:pPr>
          <w:hyperlink w:anchor="_Toc66703264" w:history="1">
            <w:r w:rsidR="00636B60" w:rsidRPr="00C45953">
              <w:rPr>
                <w:rStyle w:val="Hyperlink"/>
                <w:noProof/>
              </w:rPr>
              <w:t>7.3.1</w:t>
            </w:r>
            <w:r w:rsidR="00636B60">
              <w:rPr>
                <w:rFonts w:asciiTheme="minorHAnsi" w:hAnsiTheme="minorHAnsi"/>
                <w:noProof/>
                <w:sz w:val="22"/>
              </w:rPr>
              <w:tab/>
            </w:r>
            <w:r w:rsidR="00636B60" w:rsidRPr="00C45953">
              <w:rPr>
                <w:rStyle w:val="Hyperlink"/>
                <w:noProof/>
              </w:rPr>
              <w:t>Discussion</w:t>
            </w:r>
            <w:r w:rsidR="00636B60">
              <w:rPr>
                <w:noProof/>
                <w:webHidden/>
              </w:rPr>
              <w:tab/>
            </w:r>
            <w:r w:rsidR="00636B60">
              <w:rPr>
                <w:noProof/>
                <w:webHidden/>
              </w:rPr>
              <w:fldChar w:fldCharType="begin"/>
            </w:r>
            <w:r w:rsidR="00636B60">
              <w:rPr>
                <w:noProof/>
                <w:webHidden/>
              </w:rPr>
              <w:instrText xml:space="preserve"> PAGEREF _Toc66703264 \h </w:instrText>
            </w:r>
            <w:r w:rsidR="00636B60">
              <w:rPr>
                <w:noProof/>
                <w:webHidden/>
              </w:rPr>
            </w:r>
            <w:r w:rsidR="00636B60">
              <w:rPr>
                <w:noProof/>
                <w:webHidden/>
              </w:rPr>
              <w:fldChar w:fldCharType="separate"/>
            </w:r>
            <w:r w:rsidR="00636B60">
              <w:rPr>
                <w:noProof/>
                <w:webHidden/>
              </w:rPr>
              <w:t>181</w:t>
            </w:r>
            <w:r w:rsidR="00636B60">
              <w:rPr>
                <w:noProof/>
                <w:webHidden/>
              </w:rPr>
              <w:fldChar w:fldCharType="end"/>
            </w:r>
          </w:hyperlink>
        </w:p>
        <w:p w14:paraId="11417B08" w14:textId="155B8168" w:rsidR="00636B60" w:rsidRDefault="000306D9">
          <w:pPr>
            <w:pStyle w:val="TOC3"/>
            <w:tabs>
              <w:tab w:val="left" w:pos="1760"/>
              <w:tab w:val="right" w:leader="dot" w:pos="9016"/>
            </w:tabs>
            <w:ind w:left="960"/>
            <w:rPr>
              <w:rFonts w:asciiTheme="minorHAnsi" w:hAnsiTheme="minorHAnsi"/>
              <w:noProof/>
              <w:sz w:val="22"/>
            </w:rPr>
          </w:pPr>
          <w:hyperlink w:anchor="_Toc66703265" w:history="1">
            <w:r w:rsidR="00636B60" w:rsidRPr="00C45953">
              <w:rPr>
                <w:rStyle w:val="Hyperlink"/>
                <w:noProof/>
              </w:rPr>
              <w:t>7.3.2</w:t>
            </w:r>
            <w:r w:rsidR="00636B60">
              <w:rPr>
                <w:rFonts w:asciiTheme="minorHAnsi" w:hAnsiTheme="minorHAnsi"/>
                <w:noProof/>
                <w:sz w:val="22"/>
              </w:rPr>
              <w:tab/>
            </w:r>
            <w:r w:rsidR="00636B60" w:rsidRPr="00C45953">
              <w:rPr>
                <w:rStyle w:val="Hyperlink"/>
                <w:noProof/>
              </w:rPr>
              <w:t>Sensitivity analysis</w:t>
            </w:r>
            <w:r w:rsidR="00636B60">
              <w:rPr>
                <w:noProof/>
                <w:webHidden/>
              </w:rPr>
              <w:tab/>
            </w:r>
            <w:r w:rsidR="00636B60">
              <w:rPr>
                <w:noProof/>
                <w:webHidden/>
              </w:rPr>
              <w:fldChar w:fldCharType="begin"/>
            </w:r>
            <w:r w:rsidR="00636B60">
              <w:rPr>
                <w:noProof/>
                <w:webHidden/>
              </w:rPr>
              <w:instrText xml:space="preserve"> PAGEREF _Toc66703265 \h </w:instrText>
            </w:r>
            <w:r w:rsidR="00636B60">
              <w:rPr>
                <w:noProof/>
                <w:webHidden/>
              </w:rPr>
            </w:r>
            <w:r w:rsidR="00636B60">
              <w:rPr>
                <w:noProof/>
                <w:webHidden/>
              </w:rPr>
              <w:fldChar w:fldCharType="separate"/>
            </w:r>
            <w:r w:rsidR="00636B60">
              <w:rPr>
                <w:noProof/>
                <w:webHidden/>
              </w:rPr>
              <w:t>182</w:t>
            </w:r>
            <w:r w:rsidR="00636B60">
              <w:rPr>
                <w:noProof/>
                <w:webHidden/>
              </w:rPr>
              <w:fldChar w:fldCharType="end"/>
            </w:r>
          </w:hyperlink>
        </w:p>
        <w:p w14:paraId="1819A844" w14:textId="35B1B438" w:rsidR="00636B60" w:rsidRDefault="000306D9">
          <w:pPr>
            <w:pStyle w:val="TOC3"/>
            <w:tabs>
              <w:tab w:val="left" w:pos="1760"/>
              <w:tab w:val="right" w:leader="dot" w:pos="9016"/>
            </w:tabs>
            <w:ind w:left="960"/>
            <w:rPr>
              <w:rFonts w:asciiTheme="minorHAnsi" w:hAnsiTheme="minorHAnsi"/>
              <w:noProof/>
              <w:sz w:val="22"/>
            </w:rPr>
          </w:pPr>
          <w:hyperlink w:anchor="_Toc66703266" w:history="1">
            <w:r w:rsidR="00636B60" w:rsidRPr="00C45953">
              <w:rPr>
                <w:rStyle w:val="Hyperlink"/>
                <w:noProof/>
              </w:rPr>
              <w:t>7.3.3</w:t>
            </w:r>
            <w:r w:rsidR="00636B60">
              <w:rPr>
                <w:rFonts w:asciiTheme="minorHAnsi" w:hAnsiTheme="minorHAnsi"/>
                <w:noProof/>
                <w:sz w:val="22"/>
              </w:rPr>
              <w:tab/>
            </w:r>
            <w:r w:rsidR="00636B60" w:rsidRPr="00C45953">
              <w:rPr>
                <w:rStyle w:val="Hyperlink"/>
                <w:noProof/>
              </w:rPr>
              <w:t>Discussion</w:t>
            </w:r>
            <w:r w:rsidR="00636B60">
              <w:rPr>
                <w:noProof/>
                <w:webHidden/>
              </w:rPr>
              <w:tab/>
            </w:r>
            <w:r w:rsidR="00636B60">
              <w:rPr>
                <w:noProof/>
                <w:webHidden/>
              </w:rPr>
              <w:fldChar w:fldCharType="begin"/>
            </w:r>
            <w:r w:rsidR="00636B60">
              <w:rPr>
                <w:noProof/>
                <w:webHidden/>
              </w:rPr>
              <w:instrText xml:space="preserve"> PAGEREF _Toc66703266 \h </w:instrText>
            </w:r>
            <w:r w:rsidR="00636B60">
              <w:rPr>
                <w:noProof/>
                <w:webHidden/>
              </w:rPr>
            </w:r>
            <w:r w:rsidR="00636B60">
              <w:rPr>
                <w:noProof/>
                <w:webHidden/>
              </w:rPr>
              <w:fldChar w:fldCharType="separate"/>
            </w:r>
            <w:r w:rsidR="00636B60">
              <w:rPr>
                <w:noProof/>
                <w:webHidden/>
              </w:rPr>
              <w:t>186</w:t>
            </w:r>
            <w:r w:rsidR="00636B60">
              <w:rPr>
                <w:noProof/>
                <w:webHidden/>
              </w:rPr>
              <w:fldChar w:fldCharType="end"/>
            </w:r>
          </w:hyperlink>
        </w:p>
        <w:p w14:paraId="2B5901AF" w14:textId="55C1F0CA" w:rsidR="00636B60" w:rsidRDefault="000306D9">
          <w:pPr>
            <w:pStyle w:val="TOC2"/>
            <w:rPr>
              <w:rFonts w:asciiTheme="minorHAnsi" w:eastAsiaTheme="minorEastAsia" w:hAnsiTheme="minorHAnsi" w:cstheme="minorBidi"/>
              <w:kern w:val="0"/>
              <w:sz w:val="22"/>
            </w:rPr>
          </w:pPr>
          <w:hyperlink w:anchor="_Toc66703267" w:history="1">
            <w:r w:rsidR="00636B60" w:rsidRPr="00C45953">
              <w:rPr>
                <w:rStyle w:val="Hyperlink"/>
              </w:rPr>
              <w:t>7.4</w:t>
            </w:r>
            <w:r w:rsidR="00636B60">
              <w:rPr>
                <w:rFonts w:asciiTheme="minorHAnsi" w:eastAsiaTheme="minorEastAsia" w:hAnsiTheme="minorHAnsi" w:cstheme="minorBidi"/>
                <w:kern w:val="0"/>
                <w:sz w:val="22"/>
              </w:rPr>
              <w:tab/>
            </w:r>
            <w:r w:rsidR="00636B60" w:rsidRPr="00C45953">
              <w:rPr>
                <w:rStyle w:val="Hyperlink"/>
              </w:rPr>
              <w:t>Concluding comments</w:t>
            </w:r>
            <w:r w:rsidR="00636B60">
              <w:rPr>
                <w:webHidden/>
              </w:rPr>
              <w:tab/>
            </w:r>
            <w:r w:rsidR="00636B60">
              <w:rPr>
                <w:webHidden/>
              </w:rPr>
              <w:fldChar w:fldCharType="begin"/>
            </w:r>
            <w:r w:rsidR="00636B60">
              <w:rPr>
                <w:webHidden/>
              </w:rPr>
              <w:instrText xml:space="preserve"> PAGEREF _Toc66703267 \h </w:instrText>
            </w:r>
            <w:r w:rsidR="00636B60">
              <w:rPr>
                <w:webHidden/>
              </w:rPr>
            </w:r>
            <w:r w:rsidR="00636B60">
              <w:rPr>
                <w:webHidden/>
              </w:rPr>
              <w:fldChar w:fldCharType="separate"/>
            </w:r>
            <w:r w:rsidR="00636B60">
              <w:rPr>
                <w:webHidden/>
              </w:rPr>
              <w:t>187</w:t>
            </w:r>
            <w:r w:rsidR="00636B60">
              <w:rPr>
                <w:webHidden/>
              </w:rPr>
              <w:fldChar w:fldCharType="end"/>
            </w:r>
          </w:hyperlink>
        </w:p>
        <w:p w14:paraId="10A26D45" w14:textId="01E98EFF" w:rsidR="00636B60" w:rsidRDefault="000306D9">
          <w:pPr>
            <w:pStyle w:val="TOC2"/>
            <w:rPr>
              <w:rFonts w:asciiTheme="minorHAnsi" w:eastAsiaTheme="minorEastAsia" w:hAnsiTheme="minorHAnsi" w:cstheme="minorBidi"/>
              <w:kern w:val="0"/>
              <w:sz w:val="22"/>
            </w:rPr>
          </w:pPr>
          <w:hyperlink w:anchor="_Toc66703268" w:history="1">
            <w:r w:rsidR="00636B60" w:rsidRPr="00C45953">
              <w:rPr>
                <w:rStyle w:val="Hyperlink"/>
              </w:rPr>
              <w:t>7.5</w:t>
            </w:r>
            <w:r w:rsidR="00636B60">
              <w:rPr>
                <w:rFonts w:asciiTheme="minorHAnsi" w:eastAsiaTheme="minorEastAsia" w:hAnsiTheme="minorHAnsi" w:cstheme="minorBidi"/>
                <w:kern w:val="0"/>
                <w:sz w:val="22"/>
              </w:rPr>
              <w:tab/>
            </w:r>
            <w:r w:rsidR="00636B60" w:rsidRPr="00C45953">
              <w:rPr>
                <w:rStyle w:val="Hyperlink"/>
              </w:rPr>
              <w:t>Chapter summary</w:t>
            </w:r>
            <w:r w:rsidR="00636B60">
              <w:rPr>
                <w:webHidden/>
              </w:rPr>
              <w:tab/>
            </w:r>
            <w:r w:rsidR="00636B60">
              <w:rPr>
                <w:webHidden/>
              </w:rPr>
              <w:fldChar w:fldCharType="begin"/>
            </w:r>
            <w:r w:rsidR="00636B60">
              <w:rPr>
                <w:webHidden/>
              </w:rPr>
              <w:instrText xml:space="preserve"> PAGEREF _Toc66703268 \h </w:instrText>
            </w:r>
            <w:r w:rsidR="00636B60">
              <w:rPr>
                <w:webHidden/>
              </w:rPr>
            </w:r>
            <w:r w:rsidR="00636B60">
              <w:rPr>
                <w:webHidden/>
              </w:rPr>
              <w:fldChar w:fldCharType="separate"/>
            </w:r>
            <w:r w:rsidR="00636B60">
              <w:rPr>
                <w:webHidden/>
              </w:rPr>
              <w:t>188</w:t>
            </w:r>
            <w:r w:rsidR="00636B60">
              <w:rPr>
                <w:webHidden/>
              </w:rPr>
              <w:fldChar w:fldCharType="end"/>
            </w:r>
          </w:hyperlink>
        </w:p>
        <w:p w14:paraId="4246A99D" w14:textId="3932E2A2" w:rsidR="00636B60" w:rsidRDefault="000306D9">
          <w:pPr>
            <w:pStyle w:val="TOC1"/>
            <w:tabs>
              <w:tab w:val="left" w:pos="1320"/>
            </w:tabs>
            <w:rPr>
              <w:rFonts w:asciiTheme="minorHAnsi" w:hAnsiTheme="minorHAnsi"/>
              <w:noProof/>
              <w:sz w:val="22"/>
            </w:rPr>
          </w:pPr>
          <w:hyperlink w:anchor="_Toc66703269" w:history="1">
            <w:r w:rsidR="00636B60" w:rsidRPr="00C45953">
              <w:rPr>
                <w:rStyle w:val="Hyperlink"/>
                <w:noProof/>
              </w:rPr>
              <w:t>Chapter 8:</w:t>
            </w:r>
            <w:r w:rsidR="00636B60">
              <w:rPr>
                <w:rFonts w:asciiTheme="minorHAnsi" w:hAnsiTheme="minorHAnsi"/>
                <w:noProof/>
                <w:sz w:val="22"/>
              </w:rPr>
              <w:tab/>
            </w:r>
            <w:r w:rsidR="00636B60" w:rsidRPr="00C45953">
              <w:rPr>
                <w:rStyle w:val="Hyperlink"/>
                <w:noProof/>
              </w:rPr>
              <w:t>A Decision Support System for the strategic planning of urban consolidation centres</w:t>
            </w:r>
            <w:r w:rsidR="00636B60">
              <w:rPr>
                <w:noProof/>
                <w:webHidden/>
              </w:rPr>
              <w:tab/>
            </w:r>
            <w:r w:rsidR="00636B60">
              <w:rPr>
                <w:noProof/>
                <w:webHidden/>
              </w:rPr>
              <w:fldChar w:fldCharType="begin"/>
            </w:r>
            <w:r w:rsidR="00636B60">
              <w:rPr>
                <w:noProof/>
                <w:webHidden/>
              </w:rPr>
              <w:instrText xml:space="preserve"> PAGEREF _Toc66703269 \h </w:instrText>
            </w:r>
            <w:r w:rsidR="00636B60">
              <w:rPr>
                <w:noProof/>
                <w:webHidden/>
              </w:rPr>
            </w:r>
            <w:r w:rsidR="00636B60">
              <w:rPr>
                <w:noProof/>
                <w:webHidden/>
              </w:rPr>
              <w:fldChar w:fldCharType="separate"/>
            </w:r>
            <w:r w:rsidR="00636B60">
              <w:rPr>
                <w:noProof/>
                <w:webHidden/>
              </w:rPr>
              <w:t>190</w:t>
            </w:r>
            <w:r w:rsidR="00636B60">
              <w:rPr>
                <w:noProof/>
                <w:webHidden/>
              </w:rPr>
              <w:fldChar w:fldCharType="end"/>
            </w:r>
          </w:hyperlink>
        </w:p>
        <w:p w14:paraId="2BE5B2B2" w14:textId="23D67CDD" w:rsidR="00636B60" w:rsidRDefault="000306D9">
          <w:pPr>
            <w:pStyle w:val="TOC2"/>
            <w:rPr>
              <w:rFonts w:asciiTheme="minorHAnsi" w:eastAsiaTheme="minorEastAsia" w:hAnsiTheme="minorHAnsi" w:cstheme="minorBidi"/>
              <w:kern w:val="0"/>
              <w:sz w:val="22"/>
            </w:rPr>
          </w:pPr>
          <w:hyperlink w:anchor="_Toc66703270" w:history="1">
            <w:r w:rsidR="00636B60" w:rsidRPr="00C45953">
              <w:rPr>
                <w:rStyle w:val="Hyperlink"/>
              </w:rPr>
              <w:t>8.1</w:t>
            </w:r>
            <w:r w:rsidR="00636B60">
              <w:rPr>
                <w:rFonts w:asciiTheme="minorHAnsi" w:eastAsiaTheme="minorEastAsia" w:hAnsiTheme="minorHAnsi" w:cstheme="minorBidi"/>
                <w:kern w:val="0"/>
                <w:sz w:val="22"/>
              </w:rPr>
              <w:tab/>
            </w:r>
            <w:r w:rsidR="00636B60" w:rsidRPr="00C45953">
              <w:rPr>
                <w:rStyle w:val="Hyperlink"/>
              </w:rPr>
              <w:t>The need for scenario planning tools for UCC strategic design</w:t>
            </w:r>
            <w:r w:rsidR="00636B60">
              <w:rPr>
                <w:webHidden/>
              </w:rPr>
              <w:tab/>
            </w:r>
            <w:r w:rsidR="00636B60">
              <w:rPr>
                <w:webHidden/>
              </w:rPr>
              <w:fldChar w:fldCharType="begin"/>
            </w:r>
            <w:r w:rsidR="00636B60">
              <w:rPr>
                <w:webHidden/>
              </w:rPr>
              <w:instrText xml:space="preserve"> PAGEREF _Toc66703270 \h </w:instrText>
            </w:r>
            <w:r w:rsidR="00636B60">
              <w:rPr>
                <w:webHidden/>
              </w:rPr>
            </w:r>
            <w:r w:rsidR="00636B60">
              <w:rPr>
                <w:webHidden/>
              </w:rPr>
              <w:fldChar w:fldCharType="separate"/>
            </w:r>
            <w:r w:rsidR="00636B60">
              <w:rPr>
                <w:webHidden/>
              </w:rPr>
              <w:t>190</w:t>
            </w:r>
            <w:r w:rsidR="00636B60">
              <w:rPr>
                <w:webHidden/>
              </w:rPr>
              <w:fldChar w:fldCharType="end"/>
            </w:r>
          </w:hyperlink>
        </w:p>
        <w:p w14:paraId="26051528" w14:textId="3F664BF7" w:rsidR="00636B60" w:rsidRDefault="000306D9">
          <w:pPr>
            <w:pStyle w:val="TOC2"/>
            <w:rPr>
              <w:rFonts w:asciiTheme="minorHAnsi" w:eastAsiaTheme="minorEastAsia" w:hAnsiTheme="minorHAnsi" w:cstheme="minorBidi"/>
              <w:kern w:val="0"/>
              <w:sz w:val="22"/>
            </w:rPr>
          </w:pPr>
          <w:hyperlink w:anchor="_Toc66703271" w:history="1">
            <w:r w:rsidR="00636B60" w:rsidRPr="00C45953">
              <w:rPr>
                <w:rStyle w:val="Hyperlink"/>
              </w:rPr>
              <w:t>8.2</w:t>
            </w:r>
            <w:r w:rsidR="00636B60">
              <w:rPr>
                <w:rFonts w:asciiTheme="minorHAnsi" w:eastAsiaTheme="minorEastAsia" w:hAnsiTheme="minorHAnsi" w:cstheme="minorBidi"/>
                <w:kern w:val="0"/>
                <w:sz w:val="22"/>
              </w:rPr>
              <w:tab/>
            </w:r>
            <w:r w:rsidR="00636B60" w:rsidRPr="00C45953">
              <w:rPr>
                <w:rStyle w:val="Hyperlink"/>
              </w:rPr>
              <w:t>DSS requirements</w:t>
            </w:r>
            <w:r w:rsidR="00636B60">
              <w:rPr>
                <w:webHidden/>
              </w:rPr>
              <w:tab/>
            </w:r>
            <w:r w:rsidR="00636B60">
              <w:rPr>
                <w:webHidden/>
              </w:rPr>
              <w:fldChar w:fldCharType="begin"/>
            </w:r>
            <w:r w:rsidR="00636B60">
              <w:rPr>
                <w:webHidden/>
              </w:rPr>
              <w:instrText xml:space="preserve"> PAGEREF _Toc66703271 \h </w:instrText>
            </w:r>
            <w:r w:rsidR="00636B60">
              <w:rPr>
                <w:webHidden/>
              </w:rPr>
            </w:r>
            <w:r w:rsidR="00636B60">
              <w:rPr>
                <w:webHidden/>
              </w:rPr>
              <w:fldChar w:fldCharType="separate"/>
            </w:r>
            <w:r w:rsidR="00636B60">
              <w:rPr>
                <w:webHidden/>
              </w:rPr>
              <w:t>191</w:t>
            </w:r>
            <w:r w:rsidR="00636B60">
              <w:rPr>
                <w:webHidden/>
              </w:rPr>
              <w:fldChar w:fldCharType="end"/>
            </w:r>
          </w:hyperlink>
        </w:p>
        <w:p w14:paraId="2C0965BE" w14:textId="64F83F3D" w:rsidR="00636B60" w:rsidRDefault="000306D9">
          <w:pPr>
            <w:pStyle w:val="TOC2"/>
            <w:rPr>
              <w:rFonts w:asciiTheme="minorHAnsi" w:eastAsiaTheme="minorEastAsia" w:hAnsiTheme="minorHAnsi" w:cstheme="minorBidi"/>
              <w:kern w:val="0"/>
              <w:sz w:val="22"/>
            </w:rPr>
          </w:pPr>
          <w:hyperlink w:anchor="_Toc66703272" w:history="1">
            <w:r w:rsidR="00636B60" w:rsidRPr="00C45953">
              <w:rPr>
                <w:rStyle w:val="Hyperlink"/>
              </w:rPr>
              <w:t>8.3</w:t>
            </w:r>
            <w:r w:rsidR="00636B60">
              <w:rPr>
                <w:rFonts w:asciiTheme="minorHAnsi" w:eastAsiaTheme="minorEastAsia" w:hAnsiTheme="minorHAnsi" w:cstheme="minorBidi"/>
                <w:kern w:val="0"/>
                <w:sz w:val="22"/>
              </w:rPr>
              <w:tab/>
            </w:r>
            <w:r w:rsidR="00636B60" w:rsidRPr="00C45953">
              <w:rPr>
                <w:rStyle w:val="Hyperlink"/>
              </w:rPr>
              <w:t>The General specification of the decision support system</w:t>
            </w:r>
            <w:r w:rsidR="00636B60">
              <w:rPr>
                <w:webHidden/>
              </w:rPr>
              <w:tab/>
            </w:r>
            <w:r w:rsidR="00636B60">
              <w:rPr>
                <w:webHidden/>
              </w:rPr>
              <w:fldChar w:fldCharType="begin"/>
            </w:r>
            <w:r w:rsidR="00636B60">
              <w:rPr>
                <w:webHidden/>
              </w:rPr>
              <w:instrText xml:space="preserve"> PAGEREF _Toc66703272 \h </w:instrText>
            </w:r>
            <w:r w:rsidR="00636B60">
              <w:rPr>
                <w:webHidden/>
              </w:rPr>
            </w:r>
            <w:r w:rsidR="00636B60">
              <w:rPr>
                <w:webHidden/>
              </w:rPr>
              <w:fldChar w:fldCharType="separate"/>
            </w:r>
            <w:r w:rsidR="00636B60">
              <w:rPr>
                <w:webHidden/>
              </w:rPr>
              <w:t>193</w:t>
            </w:r>
            <w:r w:rsidR="00636B60">
              <w:rPr>
                <w:webHidden/>
              </w:rPr>
              <w:fldChar w:fldCharType="end"/>
            </w:r>
          </w:hyperlink>
        </w:p>
        <w:p w14:paraId="7F90E510" w14:textId="392D6A60" w:rsidR="00636B60" w:rsidRDefault="000306D9">
          <w:pPr>
            <w:pStyle w:val="TOC3"/>
            <w:tabs>
              <w:tab w:val="left" w:pos="1760"/>
              <w:tab w:val="right" w:leader="dot" w:pos="9016"/>
            </w:tabs>
            <w:ind w:left="960"/>
            <w:rPr>
              <w:rFonts w:asciiTheme="minorHAnsi" w:hAnsiTheme="minorHAnsi"/>
              <w:noProof/>
              <w:sz w:val="22"/>
            </w:rPr>
          </w:pPr>
          <w:hyperlink w:anchor="_Toc66703273" w:history="1">
            <w:r w:rsidR="00636B60" w:rsidRPr="00C45953">
              <w:rPr>
                <w:rStyle w:val="Hyperlink"/>
                <w:rFonts w:cs="Times New Roman"/>
                <w:noProof/>
              </w:rPr>
              <w:t>8.3.1</w:t>
            </w:r>
            <w:r w:rsidR="00636B60">
              <w:rPr>
                <w:rFonts w:asciiTheme="minorHAnsi" w:hAnsiTheme="minorHAnsi"/>
                <w:noProof/>
                <w:sz w:val="22"/>
              </w:rPr>
              <w:tab/>
            </w:r>
            <w:r w:rsidR="00636B60" w:rsidRPr="00C45953">
              <w:rPr>
                <w:rStyle w:val="Hyperlink"/>
                <w:rFonts w:cs="Times New Roman"/>
                <w:noProof/>
              </w:rPr>
              <w:t>GIS module</w:t>
            </w:r>
            <w:r w:rsidR="00636B60">
              <w:rPr>
                <w:noProof/>
                <w:webHidden/>
              </w:rPr>
              <w:tab/>
            </w:r>
            <w:r w:rsidR="00636B60">
              <w:rPr>
                <w:noProof/>
                <w:webHidden/>
              </w:rPr>
              <w:fldChar w:fldCharType="begin"/>
            </w:r>
            <w:r w:rsidR="00636B60">
              <w:rPr>
                <w:noProof/>
                <w:webHidden/>
              </w:rPr>
              <w:instrText xml:space="preserve"> PAGEREF _Toc66703273 \h </w:instrText>
            </w:r>
            <w:r w:rsidR="00636B60">
              <w:rPr>
                <w:noProof/>
                <w:webHidden/>
              </w:rPr>
            </w:r>
            <w:r w:rsidR="00636B60">
              <w:rPr>
                <w:noProof/>
                <w:webHidden/>
              </w:rPr>
              <w:fldChar w:fldCharType="separate"/>
            </w:r>
            <w:r w:rsidR="00636B60">
              <w:rPr>
                <w:noProof/>
                <w:webHidden/>
              </w:rPr>
              <w:t>194</w:t>
            </w:r>
            <w:r w:rsidR="00636B60">
              <w:rPr>
                <w:noProof/>
                <w:webHidden/>
              </w:rPr>
              <w:fldChar w:fldCharType="end"/>
            </w:r>
          </w:hyperlink>
        </w:p>
        <w:p w14:paraId="74B09C1B" w14:textId="0FDE5BFE" w:rsidR="00636B60" w:rsidRDefault="000306D9">
          <w:pPr>
            <w:pStyle w:val="TOC3"/>
            <w:tabs>
              <w:tab w:val="left" w:pos="1760"/>
              <w:tab w:val="right" w:leader="dot" w:pos="9016"/>
            </w:tabs>
            <w:ind w:left="960"/>
            <w:rPr>
              <w:rFonts w:asciiTheme="minorHAnsi" w:hAnsiTheme="minorHAnsi"/>
              <w:noProof/>
              <w:sz w:val="22"/>
            </w:rPr>
          </w:pPr>
          <w:hyperlink w:anchor="_Toc66703274" w:history="1">
            <w:r w:rsidR="00636B60" w:rsidRPr="00C45953">
              <w:rPr>
                <w:rStyle w:val="Hyperlink"/>
                <w:rFonts w:cs="Times New Roman"/>
                <w:noProof/>
              </w:rPr>
              <w:t>8.3.2</w:t>
            </w:r>
            <w:r w:rsidR="00636B60">
              <w:rPr>
                <w:rFonts w:asciiTheme="minorHAnsi" w:hAnsiTheme="minorHAnsi"/>
                <w:noProof/>
                <w:sz w:val="22"/>
              </w:rPr>
              <w:tab/>
            </w:r>
            <w:r w:rsidR="00636B60" w:rsidRPr="00C45953">
              <w:rPr>
                <w:rStyle w:val="Hyperlink"/>
                <w:rFonts w:cs="Times New Roman"/>
                <w:noProof/>
              </w:rPr>
              <w:t>Facility planning module</w:t>
            </w:r>
            <w:r w:rsidR="00636B60">
              <w:rPr>
                <w:noProof/>
                <w:webHidden/>
              </w:rPr>
              <w:tab/>
            </w:r>
            <w:r w:rsidR="00636B60">
              <w:rPr>
                <w:noProof/>
                <w:webHidden/>
              </w:rPr>
              <w:fldChar w:fldCharType="begin"/>
            </w:r>
            <w:r w:rsidR="00636B60">
              <w:rPr>
                <w:noProof/>
                <w:webHidden/>
              </w:rPr>
              <w:instrText xml:space="preserve"> PAGEREF _Toc66703274 \h </w:instrText>
            </w:r>
            <w:r w:rsidR="00636B60">
              <w:rPr>
                <w:noProof/>
                <w:webHidden/>
              </w:rPr>
            </w:r>
            <w:r w:rsidR="00636B60">
              <w:rPr>
                <w:noProof/>
                <w:webHidden/>
              </w:rPr>
              <w:fldChar w:fldCharType="separate"/>
            </w:r>
            <w:r w:rsidR="00636B60">
              <w:rPr>
                <w:noProof/>
                <w:webHidden/>
              </w:rPr>
              <w:t>196</w:t>
            </w:r>
            <w:r w:rsidR="00636B60">
              <w:rPr>
                <w:noProof/>
                <w:webHidden/>
              </w:rPr>
              <w:fldChar w:fldCharType="end"/>
            </w:r>
          </w:hyperlink>
        </w:p>
        <w:p w14:paraId="3661BD68" w14:textId="6B169578" w:rsidR="00636B60" w:rsidRDefault="000306D9">
          <w:pPr>
            <w:pStyle w:val="TOC3"/>
            <w:tabs>
              <w:tab w:val="left" w:pos="1760"/>
              <w:tab w:val="right" w:leader="dot" w:pos="9016"/>
            </w:tabs>
            <w:ind w:left="960"/>
            <w:rPr>
              <w:rFonts w:asciiTheme="minorHAnsi" w:hAnsiTheme="minorHAnsi"/>
              <w:noProof/>
              <w:sz w:val="22"/>
            </w:rPr>
          </w:pPr>
          <w:hyperlink w:anchor="_Toc66703275" w:history="1">
            <w:r w:rsidR="00636B60" w:rsidRPr="00C45953">
              <w:rPr>
                <w:rStyle w:val="Hyperlink"/>
                <w:rFonts w:cs="Times New Roman"/>
                <w:noProof/>
              </w:rPr>
              <w:t>8.3.3</w:t>
            </w:r>
            <w:r w:rsidR="00636B60">
              <w:rPr>
                <w:rFonts w:asciiTheme="minorHAnsi" w:hAnsiTheme="minorHAnsi"/>
                <w:noProof/>
                <w:sz w:val="22"/>
              </w:rPr>
              <w:tab/>
            </w:r>
            <w:r w:rsidR="00636B60" w:rsidRPr="00C45953">
              <w:rPr>
                <w:rStyle w:val="Hyperlink"/>
                <w:rFonts w:cs="Times New Roman"/>
                <w:noProof/>
              </w:rPr>
              <w:t>Routing planning module</w:t>
            </w:r>
            <w:r w:rsidR="00636B60">
              <w:rPr>
                <w:noProof/>
                <w:webHidden/>
              </w:rPr>
              <w:tab/>
            </w:r>
            <w:r w:rsidR="00636B60">
              <w:rPr>
                <w:noProof/>
                <w:webHidden/>
              </w:rPr>
              <w:fldChar w:fldCharType="begin"/>
            </w:r>
            <w:r w:rsidR="00636B60">
              <w:rPr>
                <w:noProof/>
                <w:webHidden/>
              </w:rPr>
              <w:instrText xml:space="preserve"> PAGEREF _Toc66703275 \h </w:instrText>
            </w:r>
            <w:r w:rsidR="00636B60">
              <w:rPr>
                <w:noProof/>
                <w:webHidden/>
              </w:rPr>
            </w:r>
            <w:r w:rsidR="00636B60">
              <w:rPr>
                <w:noProof/>
                <w:webHidden/>
              </w:rPr>
              <w:fldChar w:fldCharType="separate"/>
            </w:r>
            <w:r w:rsidR="00636B60">
              <w:rPr>
                <w:noProof/>
                <w:webHidden/>
              </w:rPr>
              <w:t>199</w:t>
            </w:r>
            <w:r w:rsidR="00636B60">
              <w:rPr>
                <w:noProof/>
                <w:webHidden/>
              </w:rPr>
              <w:fldChar w:fldCharType="end"/>
            </w:r>
          </w:hyperlink>
        </w:p>
        <w:p w14:paraId="5EAC1386" w14:textId="009C563D" w:rsidR="00636B60" w:rsidRDefault="000306D9">
          <w:pPr>
            <w:pStyle w:val="TOC3"/>
            <w:tabs>
              <w:tab w:val="left" w:pos="1760"/>
              <w:tab w:val="right" w:leader="dot" w:pos="9016"/>
            </w:tabs>
            <w:ind w:left="960"/>
            <w:rPr>
              <w:rFonts w:asciiTheme="minorHAnsi" w:hAnsiTheme="minorHAnsi"/>
              <w:noProof/>
              <w:sz w:val="22"/>
            </w:rPr>
          </w:pPr>
          <w:hyperlink w:anchor="_Toc66703276" w:history="1">
            <w:r w:rsidR="00636B60" w:rsidRPr="00C45953">
              <w:rPr>
                <w:rStyle w:val="Hyperlink"/>
                <w:rFonts w:cs="Times New Roman"/>
                <w:noProof/>
              </w:rPr>
              <w:t>8.3.4</w:t>
            </w:r>
            <w:r w:rsidR="00636B60">
              <w:rPr>
                <w:rFonts w:asciiTheme="minorHAnsi" w:hAnsiTheme="minorHAnsi"/>
                <w:noProof/>
                <w:sz w:val="22"/>
              </w:rPr>
              <w:tab/>
            </w:r>
            <w:r w:rsidR="00636B60" w:rsidRPr="00C45953">
              <w:rPr>
                <w:rStyle w:val="Hyperlink"/>
                <w:rFonts w:cs="Times New Roman"/>
                <w:noProof/>
              </w:rPr>
              <w:t>Financial evaluation module</w:t>
            </w:r>
            <w:r w:rsidR="00636B60">
              <w:rPr>
                <w:noProof/>
                <w:webHidden/>
              </w:rPr>
              <w:tab/>
            </w:r>
            <w:r w:rsidR="00636B60">
              <w:rPr>
                <w:noProof/>
                <w:webHidden/>
              </w:rPr>
              <w:fldChar w:fldCharType="begin"/>
            </w:r>
            <w:r w:rsidR="00636B60">
              <w:rPr>
                <w:noProof/>
                <w:webHidden/>
              </w:rPr>
              <w:instrText xml:space="preserve"> PAGEREF _Toc66703276 \h </w:instrText>
            </w:r>
            <w:r w:rsidR="00636B60">
              <w:rPr>
                <w:noProof/>
                <w:webHidden/>
              </w:rPr>
            </w:r>
            <w:r w:rsidR="00636B60">
              <w:rPr>
                <w:noProof/>
                <w:webHidden/>
              </w:rPr>
              <w:fldChar w:fldCharType="separate"/>
            </w:r>
            <w:r w:rsidR="00636B60">
              <w:rPr>
                <w:noProof/>
                <w:webHidden/>
              </w:rPr>
              <w:t>200</w:t>
            </w:r>
            <w:r w:rsidR="00636B60">
              <w:rPr>
                <w:noProof/>
                <w:webHidden/>
              </w:rPr>
              <w:fldChar w:fldCharType="end"/>
            </w:r>
          </w:hyperlink>
        </w:p>
        <w:p w14:paraId="0A75E63B" w14:textId="7D7572F5" w:rsidR="00636B60" w:rsidRDefault="000306D9">
          <w:pPr>
            <w:pStyle w:val="TOC3"/>
            <w:tabs>
              <w:tab w:val="left" w:pos="1760"/>
              <w:tab w:val="right" w:leader="dot" w:pos="9016"/>
            </w:tabs>
            <w:ind w:left="960"/>
            <w:rPr>
              <w:rFonts w:asciiTheme="minorHAnsi" w:hAnsiTheme="minorHAnsi"/>
              <w:noProof/>
              <w:sz w:val="22"/>
            </w:rPr>
          </w:pPr>
          <w:hyperlink w:anchor="_Toc66703277" w:history="1">
            <w:r w:rsidR="00636B60" w:rsidRPr="00C45953">
              <w:rPr>
                <w:rStyle w:val="Hyperlink"/>
                <w:rFonts w:cs="Times New Roman"/>
                <w:noProof/>
              </w:rPr>
              <w:t>8.3.5</w:t>
            </w:r>
            <w:r w:rsidR="00636B60">
              <w:rPr>
                <w:rFonts w:asciiTheme="minorHAnsi" w:hAnsiTheme="minorHAnsi"/>
                <w:noProof/>
                <w:sz w:val="22"/>
              </w:rPr>
              <w:tab/>
            </w:r>
            <w:r w:rsidR="00636B60" w:rsidRPr="00C45953">
              <w:rPr>
                <w:rStyle w:val="Hyperlink"/>
                <w:rFonts w:cs="Times New Roman"/>
                <w:noProof/>
              </w:rPr>
              <w:t>Outputs and decisions supported</w:t>
            </w:r>
            <w:r w:rsidR="00636B60">
              <w:rPr>
                <w:noProof/>
                <w:webHidden/>
              </w:rPr>
              <w:tab/>
            </w:r>
            <w:r w:rsidR="00636B60">
              <w:rPr>
                <w:noProof/>
                <w:webHidden/>
              </w:rPr>
              <w:fldChar w:fldCharType="begin"/>
            </w:r>
            <w:r w:rsidR="00636B60">
              <w:rPr>
                <w:noProof/>
                <w:webHidden/>
              </w:rPr>
              <w:instrText xml:space="preserve"> PAGEREF _Toc66703277 \h </w:instrText>
            </w:r>
            <w:r w:rsidR="00636B60">
              <w:rPr>
                <w:noProof/>
                <w:webHidden/>
              </w:rPr>
            </w:r>
            <w:r w:rsidR="00636B60">
              <w:rPr>
                <w:noProof/>
                <w:webHidden/>
              </w:rPr>
              <w:fldChar w:fldCharType="separate"/>
            </w:r>
            <w:r w:rsidR="00636B60">
              <w:rPr>
                <w:noProof/>
                <w:webHidden/>
              </w:rPr>
              <w:t>202</w:t>
            </w:r>
            <w:r w:rsidR="00636B60">
              <w:rPr>
                <w:noProof/>
                <w:webHidden/>
              </w:rPr>
              <w:fldChar w:fldCharType="end"/>
            </w:r>
          </w:hyperlink>
        </w:p>
        <w:p w14:paraId="680E2425" w14:textId="64874F4D" w:rsidR="00636B60" w:rsidRDefault="000306D9">
          <w:pPr>
            <w:pStyle w:val="TOC2"/>
            <w:rPr>
              <w:rFonts w:asciiTheme="minorHAnsi" w:eastAsiaTheme="minorEastAsia" w:hAnsiTheme="minorHAnsi" w:cstheme="minorBidi"/>
              <w:kern w:val="0"/>
              <w:sz w:val="22"/>
            </w:rPr>
          </w:pPr>
          <w:hyperlink w:anchor="_Toc66703278" w:history="1">
            <w:r w:rsidR="00636B60" w:rsidRPr="00C45953">
              <w:rPr>
                <w:rStyle w:val="Hyperlink"/>
              </w:rPr>
              <w:t>8.4</w:t>
            </w:r>
            <w:r w:rsidR="00636B60">
              <w:rPr>
                <w:rFonts w:asciiTheme="minorHAnsi" w:eastAsiaTheme="minorEastAsia" w:hAnsiTheme="minorHAnsi" w:cstheme="minorBidi"/>
                <w:kern w:val="0"/>
                <w:sz w:val="22"/>
              </w:rPr>
              <w:tab/>
            </w:r>
            <w:r w:rsidR="00636B60" w:rsidRPr="00C45953">
              <w:rPr>
                <w:rStyle w:val="Hyperlink"/>
              </w:rPr>
              <w:t>Future developments</w:t>
            </w:r>
            <w:r w:rsidR="00636B60">
              <w:rPr>
                <w:webHidden/>
              </w:rPr>
              <w:tab/>
            </w:r>
            <w:r w:rsidR="00636B60">
              <w:rPr>
                <w:webHidden/>
              </w:rPr>
              <w:fldChar w:fldCharType="begin"/>
            </w:r>
            <w:r w:rsidR="00636B60">
              <w:rPr>
                <w:webHidden/>
              </w:rPr>
              <w:instrText xml:space="preserve"> PAGEREF _Toc66703278 \h </w:instrText>
            </w:r>
            <w:r w:rsidR="00636B60">
              <w:rPr>
                <w:webHidden/>
              </w:rPr>
            </w:r>
            <w:r w:rsidR="00636B60">
              <w:rPr>
                <w:webHidden/>
              </w:rPr>
              <w:fldChar w:fldCharType="separate"/>
            </w:r>
            <w:r w:rsidR="00636B60">
              <w:rPr>
                <w:webHidden/>
              </w:rPr>
              <w:t>204</w:t>
            </w:r>
            <w:r w:rsidR="00636B60">
              <w:rPr>
                <w:webHidden/>
              </w:rPr>
              <w:fldChar w:fldCharType="end"/>
            </w:r>
          </w:hyperlink>
        </w:p>
        <w:p w14:paraId="018DA0EC" w14:textId="24F1EC08" w:rsidR="00636B60" w:rsidRDefault="000306D9">
          <w:pPr>
            <w:pStyle w:val="TOC1"/>
            <w:tabs>
              <w:tab w:val="left" w:pos="1320"/>
            </w:tabs>
            <w:rPr>
              <w:rFonts w:asciiTheme="minorHAnsi" w:hAnsiTheme="minorHAnsi"/>
              <w:noProof/>
              <w:sz w:val="22"/>
            </w:rPr>
          </w:pPr>
          <w:hyperlink w:anchor="_Toc66703279" w:history="1">
            <w:r w:rsidR="00636B60" w:rsidRPr="00C45953">
              <w:rPr>
                <w:rStyle w:val="Hyperlink"/>
                <w:noProof/>
              </w:rPr>
              <w:t>Chapter 9:</w:t>
            </w:r>
            <w:r w:rsidR="00636B60">
              <w:rPr>
                <w:rFonts w:asciiTheme="minorHAnsi" w:hAnsiTheme="minorHAnsi"/>
                <w:noProof/>
                <w:sz w:val="22"/>
              </w:rPr>
              <w:tab/>
            </w:r>
            <w:r w:rsidR="00636B60" w:rsidRPr="00C45953">
              <w:rPr>
                <w:rStyle w:val="Hyperlink"/>
                <w:noProof/>
              </w:rPr>
              <w:t>Conclusion</w:t>
            </w:r>
            <w:r w:rsidR="00636B60">
              <w:rPr>
                <w:noProof/>
                <w:webHidden/>
              </w:rPr>
              <w:tab/>
            </w:r>
            <w:r w:rsidR="00636B60">
              <w:rPr>
                <w:noProof/>
                <w:webHidden/>
              </w:rPr>
              <w:fldChar w:fldCharType="begin"/>
            </w:r>
            <w:r w:rsidR="00636B60">
              <w:rPr>
                <w:noProof/>
                <w:webHidden/>
              </w:rPr>
              <w:instrText xml:space="preserve"> PAGEREF _Toc66703279 \h </w:instrText>
            </w:r>
            <w:r w:rsidR="00636B60">
              <w:rPr>
                <w:noProof/>
                <w:webHidden/>
              </w:rPr>
            </w:r>
            <w:r w:rsidR="00636B60">
              <w:rPr>
                <w:noProof/>
                <w:webHidden/>
              </w:rPr>
              <w:fldChar w:fldCharType="separate"/>
            </w:r>
            <w:r w:rsidR="00636B60">
              <w:rPr>
                <w:noProof/>
                <w:webHidden/>
              </w:rPr>
              <w:t>206</w:t>
            </w:r>
            <w:r w:rsidR="00636B60">
              <w:rPr>
                <w:noProof/>
                <w:webHidden/>
              </w:rPr>
              <w:fldChar w:fldCharType="end"/>
            </w:r>
          </w:hyperlink>
        </w:p>
        <w:p w14:paraId="31632C6A" w14:textId="10AD482A" w:rsidR="00636B60" w:rsidRDefault="000306D9">
          <w:pPr>
            <w:pStyle w:val="TOC2"/>
            <w:rPr>
              <w:rFonts w:asciiTheme="minorHAnsi" w:eastAsiaTheme="minorEastAsia" w:hAnsiTheme="minorHAnsi" w:cstheme="minorBidi"/>
              <w:kern w:val="0"/>
              <w:sz w:val="22"/>
            </w:rPr>
          </w:pPr>
          <w:hyperlink w:anchor="_Toc66703280" w:history="1">
            <w:r w:rsidR="00636B60" w:rsidRPr="00C45953">
              <w:rPr>
                <w:rStyle w:val="Hyperlink"/>
              </w:rPr>
              <w:t>9.1</w:t>
            </w:r>
            <w:r w:rsidR="00636B60">
              <w:rPr>
                <w:rFonts w:asciiTheme="minorHAnsi" w:eastAsiaTheme="minorEastAsia" w:hAnsiTheme="minorHAnsi" w:cstheme="minorBidi"/>
                <w:kern w:val="0"/>
                <w:sz w:val="22"/>
              </w:rPr>
              <w:tab/>
            </w:r>
            <w:r w:rsidR="00636B60" w:rsidRPr="00C45953">
              <w:rPr>
                <w:rStyle w:val="Hyperlink"/>
              </w:rPr>
              <w:t>Concluding comments</w:t>
            </w:r>
            <w:r w:rsidR="00636B60">
              <w:rPr>
                <w:webHidden/>
              </w:rPr>
              <w:tab/>
            </w:r>
            <w:r w:rsidR="00636B60">
              <w:rPr>
                <w:webHidden/>
              </w:rPr>
              <w:fldChar w:fldCharType="begin"/>
            </w:r>
            <w:r w:rsidR="00636B60">
              <w:rPr>
                <w:webHidden/>
              </w:rPr>
              <w:instrText xml:space="preserve"> PAGEREF _Toc66703280 \h </w:instrText>
            </w:r>
            <w:r w:rsidR="00636B60">
              <w:rPr>
                <w:webHidden/>
              </w:rPr>
            </w:r>
            <w:r w:rsidR="00636B60">
              <w:rPr>
                <w:webHidden/>
              </w:rPr>
              <w:fldChar w:fldCharType="separate"/>
            </w:r>
            <w:r w:rsidR="00636B60">
              <w:rPr>
                <w:webHidden/>
              </w:rPr>
              <w:t>207</w:t>
            </w:r>
            <w:r w:rsidR="00636B60">
              <w:rPr>
                <w:webHidden/>
              </w:rPr>
              <w:fldChar w:fldCharType="end"/>
            </w:r>
          </w:hyperlink>
        </w:p>
        <w:p w14:paraId="44ABBE91" w14:textId="67347284" w:rsidR="00636B60" w:rsidRDefault="000306D9">
          <w:pPr>
            <w:pStyle w:val="TOC2"/>
            <w:rPr>
              <w:rFonts w:asciiTheme="minorHAnsi" w:eastAsiaTheme="minorEastAsia" w:hAnsiTheme="minorHAnsi" w:cstheme="minorBidi"/>
              <w:kern w:val="0"/>
              <w:sz w:val="22"/>
            </w:rPr>
          </w:pPr>
          <w:hyperlink w:anchor="_Toc66703281" w:history="1">
            <w:r w:rsidR="00636B60" w:rsidRPr="00C45953">
              <w:rPr>
                <w:rStyle w:val="Hyperlink"/>
              </w:rPr>
              <w:t>9.2</w:t>
            </w:r>
            <w:r w:rsidR="00636B60">
              <w:rPr>
                <w:rFonts w:asciiTheme="minorHAnsi" w:eastAsiaTheme="minorEastAsia" w:hAnsiTheme="minorHAnsi" w:cstheme="minorBidi"/>
                <w:kern w:val="0"/>
                <w:sz w:val="22"/>
              </w:rPr>
              <w:tab/>
            </w:r>
            <w:r w:rsidR="00636B60" w:rsidRPr="00C45953">
              <w:rPr>
                <w:rStyle w:val="Hyperlink"/>
              </w:rPr>
              <w:t>Research contribution</w:t>
            </w:r>
            <w:r w:rsidR="00636B60">
              <w:rPr>
                <w:webHidden/>
              </w:rPr>
              <w:tab/>
            </w:r>
            <w:r w:rsidR="00636B60">
              <w:rPr>
                <w:webHidden/>
              </w:rPr>
              <w:fldChar w:fldCharType="begin"/>
            </w:r>
            <w:r w:rsidR="00636B60">
              <w:rPr>
                <w:webHidden/>
              </w:rPr>
              <w:instrText xml:space="preserve"> PAGEREF _Toc66703281 \h </w:instrText>
            </w:r>
            <w:r w:rsidR="00636B60">
              <w:rPr>
                <w:webHidden/>
              </w:rPr>
            </w:r>
            <w:r w:rsidR="00636B60">
              <w:rPr>
                <w:webHidden/>
              </w:rPr>
              <w:fldChar w:fldCharType="separate"/>
            </w:r>
            <w:r w:rsidR="00636B60">
              <w:rPr>
                <w:webHidden/>
              </w:rPr>
              <w:t>211</w:t>
            </w:r>
            <w:r w:rsidR="00636B60">
              <w:rPr>
                <w:webHidden/>
              </w:rPr>
              <w:fldChar w:fldCharType="end"/>
            </w:r>
          </w:hyperlink>
        </w:p>
        <w:p w14:paraId="0BBAA0C6" w14:textId="73D2E3ED" w:rsidR="00636B60" w:rsidRDefault="000306D9">
          <w:pPr>
            <w:pStyle w:val="TOC3"/>
            <w:tabs>
              <w:tab w:val="left" w:pos="1760"/>
              <w:tab w:val="right" w:leader="dot" w:pos="9016"/>
            </w:tabs>
            <w:ind w:left="960"/>
            <w:rPr>
              <w:rFonts w:asciiTheme="minorHAnsi" w:hAnsiTheme="minorHAnsi"/>
              <w:noProof/>
              <w:sz w:val="22"/>
            </w:rPr>
          </w:pPr>
          <w:hyperlink w:anchor="_Toc66703282" w:history="1">
            <w:r w:rsidR="00636B60" w:rsidRPr="00C45953">
              <w:rPr>
                <w:rStyle w:val="Hyperlink"/>
                <w:noProof/>
              </w:rPr>
              <w:t>9.2.1</w:t>
            </w:r>
            <w:r w:rsidR="00636B60">
              <w:rPr>
                <w:rFonts w:asciiTheme="minorHAnsi" w:hAnsiTheme="minorHAnsi"/>
                <w:noProof/>
                <w:sz w:val="22"/>
              </w:rPr>
              <w:tab/>
            </w:r>
            <w:r w:rsidR="00636B60" w:rsidRPr="00C45953">
              <w:rPr>
                <w:rStyle w:val="Hyperlink"/>
                <w:noProof/>
              </w:rPr>
              <w:t>Contribution to the literature</w:t>
            </w:r>
            <w:r w:rsidR="00636B60">
              <w:rPr>
                <w:noProof/>
                <w:webHidden/>
              </w:rPr>
              <w:tab/>
            </w:r>
            <w:r w:rsidR="00636B60">
              <w:rPr>
                <w:noProof/>
                <w:webHidden/>
              </w:rPr>
              <w:fldChar w:fldCharType="begin"/>
            </w:r>
            <w:r w:rsidR="00636B60">
              <w:rPr>
                <w:noProof/>
                <w:webHidden/>
              </w:rPr>
              <w:instrText xml:space="preserve"> PAGEREF _Toc66703282 \h </w:instrText>
            </w:r>
            <w:r w:rsidR="00636B60">
              <w:rPr>
                <w:noProof/>
                <w:webHidden/>
              </w:rPr>
            </w:r>
            <w:r w:rsidR="00636B60">
              <w:rPr>
                <w:noProof/>
                <w:webHidden/>
              </w:rPr>
              <w:fldChar w:fldCharType="separate"/>
            </w:r>
            <w:r w:rsidR="00636B60">
              <w:rPr>
                <w:noProof/>
                <w:webHidden/>
              </w:rPr>
              <w:t>211</w:t>
            </w:r>
            <w:r w:rsidR="00636B60">
              <w:rPr>
                <w:noProof/>
                <w:webHidden/>
              </w:rPr>
              <w:fldChar w:fldCharType="end"/>
            </w:r>
          </w:hyperlink>
        </w:p>
        <w:p w14:paraId="11B690DE" w14:textId="4FF7158C" w:rsidR="00636B60" w:rsidRDefault="000306D9">
          <w:pPr>
            <w:pStyle w:val="TOC3"/>
            <w:tabs>
              <w:tab w:val="left" w:pos="1760"/>
              <w:tab w:val="right" w:leader="dot" w:pos="9016"/>
            </w:tabs>
            <w:ind w:left="960"/>
            <w:rPr>
              <w:rFonts w:asciiTheme="minorHAnsi" w:hAnsiTheme="minorHAnsi"/>
              <w:noProof/>
              <w:sz w:val="22"/>
            </w:rPr>
          </w:pPr>
          <w:hyperlink w:anchor="_Toc66703283" w:history="1">
            <w:r w:rsidR="00636B60" w:rsidRPr="00C45953">
              <w:rPr>
                <w:rStyle w:val="Hyperlink"/>
                <w:noProof/>
              </w:rPr>
              <w:t>9.2.2</w:t>
            </w:r>
            <w:r w:rsidR="00636B60">
              <w:rPr>
                <w:rFonts w:asciiTheme="minorHAnsi" w:hAnsiTheme="minorHAnsi"/>
                <w:noProof/>
                <w:sz w:val="22"/>
              </w:rPr>
              <w:tab/>
            </w:r>
            <w:r w:rsidR="00636B60" w:rsidRPr="00C45953">
              <w:rPr>
                <w:rStyle w:val="Hyperlink"/>
                <w:noProof/>
              </w:rPr>
              <w:t>Practical contribution</w:t>
            </w:r>
            <w:r w:rsidR="00636B60">
              <w:rPr>
                <w:noProof/>
                <w:webHidden/>
              </w:rPr>
              <w:tab/>
            </w:r>
            <w:r w:rsidR="00636B60">
              <w:rPr>
                <w:noProof/>
                <w:webHidden/>
              </w:rPr>
              <w:fldChar w:fldCharType="begin"/>
            </w:r>
            <w:r w:rsidR="00636B60">
              <w:rPr>
                <w:noProof/>
                <w:webHidden/>
              </w:rPr>
              <w:instrText xml:space="preserve"> PAGEREF _Toc66703283 \h </w:instrText>
            </w:r>
            <w:r w:rsidR="00636B60">
              <w:rPr>
                <w:noProof/>
                <w:webHidden/>
              </w:rPr>
            </w:r>
            <w:r w:rsidR="00636B60">
              <w:rPr>
                <w:noProof/>
                <w:webHidden/>
              </w:rPr>
              <w:fldChar w:fldCharType="separate"/>
            </w:r>
            <w:r w:rsidR="00636B60">
              <w:rPr>
                <w:noProof/>
                <w:webHidden/>
              </w:rPr>
              <w:t>214</w:t>
            </w:r>
            <w:r w:rsidR="00636B60">
              <w:rPr>
                <w:noProof/>
                <w:webHidden/>
              </w:rPr>
              <w:fldChar w:fldCharType="end"/>
            </w:r>
          </w:hyperlink>
        </w:p>
        <w:p w14:paraId="23E04C52" w14:textId="242849C4" w:rsidR="00636B60" w:rsidRDefault="000306D9">
          <w:pPr>
            <w:pStyle w:val="TOC2"/>
            <w:rPr>
              <w:rFonts w:asciiTheme="minorHAnsi" w:eastAsiaTheme="minorEastAsia" w:hAnsiTheme="minorHAnsi" w:cstheme="minorBidi"/>
              <w:kern w:val="0"/>
              <w:sz w:val="22"/>
            </w:rPr>
          </w:pPr>
          <w:hyperlink w:anchor="_Toc66703284" w:history="1">
            <w:r w:rsidR="00636B60" w:rsidRPr="00C45953">
              <w:rPr>
                <w:rStyle w:val="Hyperlink"/>
              </w:rPr>
              <w:t>9.3</w:t>
            </w:r>
            <w:r w:rsidR="00636B60">
              <w:rPr>
                <w:rFonts w:asciiTheme="minorHAnsi" w:eastAsiaTheme="minorEastAsia" w:hAnsiTheme="minorHAnsi" w:cstheme="minorBidi"/>
                <w:kern w:val="0"/>
                <w:sz w:val="22"/>
              </w:rPr>
              <w:tab/>
            </w:r>
            <w:r w:rsidR="00636B60" w:rsidRPr="00C45953">
              <w:rPr>
                <w:rStyle w:val="Hyperlink"/>
              </w:rPr>
              <w:t>Research limitations and further improvements</w:t>
            </w:r>
            <w:r w:rsidR="00636B60">
              <w:rPr>
                <w:webHidden/>
              </w:rPr>
              <w:tab/>
            </w:r>
            <w:r w:rsidR="00636B60">
              <w:rPr>
                <w:webHidden/>
              </w:rPr>
              <w:fldChar w:fldCharType="begin"/>
            </w:r>
            <w:r w:rsidR="00636B60">
              <w:rPr>
                <w:webHidden/>
              </w:rPr>
              <w:instrText xml:space="preserve"> PAGEREF _Toc66703284 \h </w:instrText>
            </w:r>
            <w:r w:rsidR="00636B60">
              <w:rPr>
                <w:webHidden/>
              </w:rPr>
            </w:r>
            <w:r w:rsidR="00636B60">
              <w:rPr>
                <w:webHidden/>
              </w:rPr>
              <w:fldChar w:fldCharType="separate"/>
            </w:r>
            <w:r w:rsidR="00636B60">
              <w:rPr>
                <w:webHidden/>
              </w:rPr>
              <w:t>215</w:t>
            </w:r>
            <w:r w:rsidR="00636B60">
              <w:rPr>
                <w:webHidden/>
              </w:rPr>
              <w:fldChar w:fldCharType="end"/>
            </w:r>
          </w:hyperlink>
        </w:p>
        <w:p w14:paraId="6EDCBE0D" w14:textId="4998267E" w:rsidR="00636B60" w:rsidRDefault="000306D9">
          <w:pPr>
            <w:pStyle w:val="TOC1"/>
            <w:tabs>
              <w:tab w:val="left" w:pos="1540"/>
            </w:tabs>
            <w:rPr>
              <w:rFonts w:asciiTheme="minorHAnsi" w:hAnsiTheme="minorHAnsi"/>
              <w:noProof/>
              <w:sz w:val="22"/>
            </w:rPr>
          </w:pPr>
          <w:hyperlink w:anchor="_Toc66703285" w:history="1">
            <w:r w:rsidR="00636B60" w:rsidRPr="00C45953">
              <w:rPr>
                <w:rStyle w:val="Hyperlink"/>
                <w:noProof/>
              </w:rPr>
              <w:t>Chapter 10:</w:t>
            </w:r>
            <w:r w:rsidR="00636B60">
              <w:rPr>
                <w:rFonts w:asciiTheme="minorHAnsi" w:hAnsiTheme="minorHAnsi"/>
                <w:noProof/>
                <w:sz w:val="22"/>
              </w:rPr>
              <w:tab/>
            </w:r>
            <w:r w:rsidR="00636B60" w:rsidRPr="00C45953">
              <w:rPr>
                <w:rStyle w:val="Hyperlink"/>
                <w:noProof/>
              </w:rPr>
              <w:t>Reference</w:t>
            </w:r>
            <w:r w:rsidR="00636B60">
              <w:rPr>
                <w:noProof/>
                <w:webHidden/>
              </w:rPr>
              <w:tab/>
            </w:r>
            <w:r w:rsidR="00636B60">
              <w:rPr>
                <w:noProof/>
                <w:webHidden/>
              </w:rPr>
              <w:fldChar w:fldCharType="begin"/>
            </w:r>
            <w:r w:rsidR="00636B60">
              <w:rPr>
                <w:noProof/>
                <w:webHidden/>
              </w:rPr>
              <w:instrText xml:space="preserve"> PAGEREF _Toc66703285 \h </w:instrText>
            </w:r>
            <w:r w:rsidR="00636B60">
              <w:rPr>
                <w:noProof/>
                <w:webHidden/>
              </w:rPr>
            </w:r>
            <w:r w:rsidR="00636B60">
              <w:rPr>
                <w:noProof/>
                <w:webHidden/>
              </w:rPr>
              <w:fldChar w:fldCharType="separate"/>
            </w:r>
            <w:r w:rsidR="00636B60">
              <w:rPr>
                <w:noProof/>
                <w:webHidden/>
              </w:rPr>
              <w:t>217</w:t>
            </w:r>
            <w:r w:rsidR="00636B60">
              <w:rPr>
                <w:noProof/>
                <w:webHidden/>
              </w:rPr>
              <w:fldChar w:fldCharType="end"/>
            </w:r>
          </w:hyperlink>
        </w:p>
        <w:p w14:paraId="2573F7E1" w14:textId="3A5E7E45" w:rsidR="00636B60" w:rsidRDefault="000306D9">
          <w:pPr>
            <w:pStyle w:val="TOC1"/>
            <w:rPr>
              <w:rFonts w:asciiTheme="minorHAnsi" w:hAnsiTheme="minorHAnsi"/>
              <w:noProof/>
              <w:sz w:val="22"/>
            </w:rPr>
          </w:pPr>
          <w:hyperlink w:anchor="_Toc66703286" w:history="1">
            <w:r w:rsidR="00636B60" w:rsidRPr="00C45953">
              <w:rPr>
                <w:rStyle w:val="Hyperlink"/>
                <w:noProof/>
              </w:rPr>
              <w:t>Appendix</w:t>
            </w:r>
            <w:r w:rsidR="00636B60">
              <w:rPr>
                <w:noProof/>
                <w:webHidden/>
              </w:rPr>
              <w:tab/>
            </w:r>
            <w:r w:rsidR="00636B60">
              <w:rPr>
                <w:noProof/>
                <w:webHidden/>
              </w:rPr>
              <w:fldChar w:fldCharType="begin"/>
            </w:r>
            <w:r w:rsidR="00636B60">
              <w:rPr>
                <w:noProof/>
                <w:webHidden/>
              </w:rPr>
              <w:instrText xml:space="preserve"> PAGEREF _Toc66703286 \h </w:instrText>
            </w:r>
            <w:r w:rsidR="00636B60">
              <w:rPr>
                <w:noProof/>
                <w:webHidden/>
              </w:rPr>
            </w:r>
            <w:r w:rsidR="00636B60">
              <w:rPr>
                <w:noProof/>
                <w:webHidden/>
              </w:rPr>
              <w:fldChar w:fldCharType="separate"/>
            </w:r>
            <w:r w:rsidR="00636B60">
              <w:rPr>
                <w:noProof/>
                <w:webHidden/>
              </w:rPr>
              <w:t>242</w:t>
            </w:r>
            <w:r w:rsidR="00636B60">
              <w:rPr>
                <w:noProof/>
                <w:webHidden/>
              </w:rPr>
              <w:fldChar w:fldCharType="end"/>
            </w:r>
          </w:hyperlink>
        </w:p>
        <w:p w14:paraId="6CF92FA7" w14:textId="3712F65A" w:rsidR="00636B60" w:rsidRDefault="000306D9">
          <w:pPr>
            <w:pStyle w:val="TOC2"/>
            <w:rPr>
              <w:rFonts w:asciiTheme="minorHAnsi" w:eastAsiaTheme="minorEastAsia" w:hAnsiTheme="minorHAnsi" w:cstheme="minorBidi"/>
              <w:kern w:val="0"/>
              <w:sz w:val="22"/>
            </w:rPr>
          </w:pPr>
          <w:hyperlink w:anchor="_Toc66703287" w:history="1">
            <w:r w:rsidR="00636B60" w:rsidRPr="00C45953">
              <w:rPr>
                <w:rStyle w:val="Hyperlink"/>
              </w:rPr>
              <w:t>Appendix I: Statistics Process of the General Literature Review.</w:t>
            </w:r>
            <w:r w:rsidR="00636B60">
              <w:rPr>
                <w:webHidden/>
              </w:rPr>
              <w:tab/>
            </w:r>
            <w:r w:rsidR="00636B60">
              <w:rPr>
                <w:webHidden/>
              </w:rPr>
              <w:fldChar w:fldCharType="begin"/>
            </w:r>
            <w:r w:rsidR="00636B60">
              <w:rPr>
                <w:webHidden/>
              </w:rPr>
              <w:instrText xml:space="preserve"> PAGEREF _Toc66703287 \h </w:instrText>
            </w:r>
            <w:r w:rsidR="00636B60">
              <w:rPr>
                <w:webHidden/>
              </w:rPr>
            </w:r>
            <w:r w:rsidR="00636B60">
              <w:rPr>
                <w:webHidden/>
              </w:rPr>
              <w:fldChar w:fldCharType="separate"/>
            </w:r>
            <w:r w:rsidR="00636B60">
              <w:rPr>
                <w:webHidden/>
              </w:rPr>
              <w:t>242</w:t>
            </w:r>
            <w:r w:rsidR="00636B60">
              <w:rPr>
                <w:webHidden/>
              </w:rPr>
              <w:fldChar w:fldCharType="end"/>
            </w:r>
          </w:hyperlink>
        </w:p>
        <w:p w14:paraId="2EA60D5C" w14:textId="3F4577B9" w:rsidR="00636B60" w:rsidRDefault="000306D9">
          <w:pPr>
            <w:pStyle w:val="TOC3"/>
            <w:tabs>
              <w:tab w:val="right" w:leader="dot" w:pos="9016"/>
            </w:tabs>
            <w:ind w:left="960"/>
            <w:rPr>
              <w:rFonts w:asciiTheme="minorHAnsi" w:hAnsiTheme="minorHAnsi"/>
              <w:noProof/>
              <w:sz w:val="22"/>
            </w:rPr>
          </w:pPr>
          <w:hyperlink w:anchor="_Toc66703288" w:history="1">
            <w:r w:rsidR="00636B60" w:rsidRPr="00C45953">
              <w:rPr>
                <w:rStyle w:val="Hyperlink"/>
                <w:noProof/>
              </w:rPr>
              <w:t>Part A: Paper List and its Remark</w:t>
            </w:r>
            <w:r w:rsidR="00636B60">
              <w:rPr>
                <w:noProof/>
                <w:webHidden/>
              </w:rPr>
              <w:tab/>
            </w:r>
            <w:r w:rsidR="00636B60">
              <w:rPr>
                <w:noProof/>
                <w:webHidden/>
              </w:rPr>
              <w:fldChar w:fldCharType="begin"/>
            </w:r>
            <w:r w:rsidR="00636B60">
              <w:rPr>
                <w:noProof/>
                <w:webHidden/>
              </w:rPr>
              <w:instrText xml:space="preserve"> PAGEREF _Toc66703288 \h </w:instrText>
            </w:r>
            <w:r w:rsidR="00636B60">
              <w:rPr>
                <w:noProof/>
                <w:webHidden/>
              </w:rPr>
            </w:r>
            <w:r w:rsidR="00636B60">
              <w:rPr>
                <w:noProof/>
                <w:webHidden/>
              </w:rPr>
              <w:fldChar w:fldCharType="separate"/>
            </w:r>
            <w:r w:rsidR="00636B60">
              <w:rPr>
                <w:noProof/>
                <w:webHidden/>
              </w:rPr>
              <w:t>242</w:t>
            </w:r>
            <w:r w:rsidR="00636B60">
              <w:rPr>
                <w:noProof/>
                <w:webHidden/>
              </w:rPr>
              <w:fldChar w:fldCharType="end"/>
            </w:r>
          </w:hyperlink>
        </w:p>
        <w:p w14:paraId="335B4748" w14:textId="0B076C69" w:rsidR="00636B60" w:rsidRDefault="000306D9">
          <w:pPr>
            <w:pStyle w:val="TOC3"/>
            <w:tabs>
              <w:tab w:val="right" w:leader="dot" w:pos="9016"/>
            </w:tabs>
            <w:ind w:left="960"/>
            <w:rPr>
              <w:rFonts w:asciiTheme="minorHAnsi" w:hAnsiTheme="minorHAnsi"/>
              <w:noProof/>
              <w:sz w:val="22"/>
            </w:rPr>
          </w:pPr>
          <w:hyperlink w:anchor="_Toc66703289" w:history="1">
            <w:r w:rsidR="00636B60" w:rsidRPr="00C45953">
              <w:rPr>
                <w:rStyle w:val="Hyperlink"/>
                <w:noProof/>
              </w:rPr>
              <w:t>Part B: Paper Distribution in Each Topic of SUL</w:t>
            </w:r>
            <w:r w:rsidR="00636B60">
              <w:rPr>
                <w:noProof/>
                <w:webHidden/>
              </w:rPr>
              <w:tab/>
            </w:r>
            <w:r w:rsidR="00636B60">
              <w:rPr>
                <w:noProof/>
                <w:webHidden/>
              </w:rPr>
              <w:fldChar w:fldCharType="begin"/>
            </w:r>
            <w:r w:rsidR="00636B60">
              <w:rPr>
                <w:noProof/>
                <w:webHidden/>
              </w:rPr>
              <w:instrText xml:space="preserve"> PAGEREF _Toc66703289 \h </w:instrText>
            </w:r>
            <w:r w:rsidR="00636B60">
              <w:rPr>
                <w:noProof/>
                <w:webHidden/>
              </w:rPr>
            </w:r>
            <w:r w:rsidR="00636B60">
              <w:rPr>
                <w:noProof/>
                <w:webHidden/>
              </w:rPr>
              <w:fldChar w:fldCharType="separate"/>
            </w:r>
            <w:r w:rsidR="00636B60">
              <w:rPr>
                <w:noProof/>
                <w:webHidden/>
              </w:rPr>
              <w:t>252</w:t>
            </w:r>
            <w:r w:rsidR="00636B60">
              <w:rPr>
                <w:noProof/>
                <w:webHidden/>
              </w:rPr>
              <w:fldChar w:fldCharType="end"/>
            </w:r>
          </w:hyperlink>
        </w:p>
        <w:p w14:paraId="4FCA6C39" w14:textId="7CD447D7" w:rsidR="00636B60" w:rsidRDefault="000306D9">
          <w:pPr>
            <w:pStyle w:val="TOC3"/>
            <w:tabs>
              <w:tab w:val="right" w:leader="dot" w:pos="9016"/>
            </w:tabs>
            <w:ind w:left="960"/>
            <w:rPr>
              <w:rFonts w:asciiTheme="minorHAnsi" w:hAnsiTheme="minorHAnsi"/>
              <w:noProof/>
              <w:sz w:val="22"/>
            </w:rPr>
          </w:pPr>
          <w:hyperlink w:anchor="_Toc66703290" w:history="1">
            <w:r w:rsidR="00636B60" w:rsidRPr="00C45953">
              <w:rPr>
                <w:rStyle w:val="Hyperlink"/>
                <w:noProof/>
              </w:rPr>
              <w:t>Part C: Paper distribution in each Methodology</w:t>
            </w:r>
            <w:r w:rsidR="00636B60">
              <w:rPr>
                <w:noProof/>
                <w:webHidden/>
              </w:rPr>
              <w:tab/>
            </w:r>
            <w:r w:rsidR="00636B60">
              <w:rPr>
                <w:noProof/>
                <w:webHidden/>
              </w:rPr>
              <w:fldChar w:fldCharType="begin"/>
            </w:r>
            <w:r w:rsidR="00636B60">
              <w:rPr>
                <w:noProof/>
                <w:webHidden/>
              </w:rPr>
              <w:instrText xml:space="preserve"> PAGEREF _Toc66703290 \h </w:instrText>
            </w:r>
            <w:r w:rsidR="00636B60">
              <w:rPr>
                <w:noProof/>
                <w:webHidden/>
              </w:rPr>
            </w:r>
            <w:r w:rsidR="00636B60">
              <w:rPr>
                <w:noProof/>
                <w:webHidden/>
              </w:rPr>
              <w:fldChar w:fldCharType="separate"/>
            </w:r>
            <w:r w:rsidR="00636B60">
              <w:rPr>
                <w:noProof/>
                <w:webHidden/>
              </w:rPr>
              <w:t>254</w:t>
            </w:r>
            <w:r w:rsidR="00636B60">
              <w:rPr>
                <w:noProof/>
                <w:webHidden/>
              </w:rPr>
              <w:fldChar w:fldCharType="end"/>
            </w:r>
          </w:hyperlink>
        </w:p>
        <w:p w14:paraId="23A6A318" w14:textId="05B5D924" w:rsidR="00636B60" w:rsidRDefault="000306D9">
          <w:pPr>
            <w:pStyle w:val="TOC2"/>
            <w:rPr>
              <w:rFonts w:asciiTheme="minorHAnsi" w:eastAsiaTheme="minorEastAsia" w:hAnsiTheme="minorHAnsi" w:cstheme="minorBidi"/>
              <w:kern w:val="0"/>
              <w:sz w:val="22"/>
            </w:rPr>
          </w:pPr>
          <w:hyperlink w:anchor="_Toc66703291" w:history="1">
            <w:r w:rsidR="00636B60" w:rsidRPr="00C45953">
              <w:rPr>
                <w:rStyle w:val="Hyperlink"/>
              </w:rPr>
              <w:t>Appendix II: Statistics Process of the Literature Review on UCC.</w:t>
            </w:r>
            <w:r w:rsidR="00636B60">
              <w:rPr>
                <w:webHidden/>
              </w:rPr>
              <w:tab/>
            </w:r>
            <w:r w:rsidR="00636B60">
              <w:rPr>
                <w:webHidden/>
              </w:rPr>
              <w:fldChar w:fldCharType="begin"/>
            </w:r>
            <w:r w:rsidR="00636B60">
              <w:rPr>
                <w:webHidden/>
              </w:rPr>
              <w:instrText xml:space="preserve"> PAGEREF _Toc66703291 \h </w:instrText>
            </w:r>
            <w:r w:rsidR="00636B60">
              <w:rPr>
                <w:webHidden/>
              </w:rPr>
            </w:r>
            <w:r w:rsidR="00636B60">
              <w:rPr>
                <w:webHidden/>
              </w:rPr>
              <w:fldChar w:fldCharType="separate"/>
            </w:r>
            <w:r w:rsidR="00636B60">
              <w:rPr>
                <w:webHidden/>
              </w:rPr>
              <w:t>255</w:t>
            </w:r>
            <w:r w:rsidR="00636B60">
              <w:rPr>
                <w:webHidden/>
              </w:rPr>
              <w:fldChar w:fldCharType="end"/>
            </w:r>
          </w:hyperlink>
        </w:p>
        <w:p w14:paraId="4ACBA822" w14:textId="2874DF05" w:rsidR="00636B60" w:rsidRDefault="000306D9">
          <w:pPr>
            <w:pStyle w:val="TOC2"/>
            <w:rPr>
              <w:rFonts w:asciiTheme="minorHAnsi" w:eastAsiaTheme="minorEastAsia" w:hAnsiTheme="minorHAnsi" w:cstheme="minorBidi"/>
              <w:kern w:val="0"/>
              <w:sz w:val="22"/>
            </w:rPr>
          </w:pPr>
          <w:hyperlink w:anchor="_Toc66703292" w:history="1">
            <w:r w:rsidR="00636B60" w:rsidRPr="00C45953">
              <w:rPr>
                <w:rStyle w:val="Hyperlink"/>
              </w:rPr>
              <w:t>Appendix III - Performance of UC Cases</w:t>
            </w:r>
            <w:r w:rsidR="00636B60">
              <w:rPr>
                <w:webHidden/>
              </w:rPr>
              <w:tab/>
            </w:r>
            <w:r w:rsidR="00636B60">
              <w:rPr>
                <w:webHidden/>
              </w:rPr>
              <w:fldChar w:fldCharType="begin"/>
            </w:r>
            <w:r w:rsidR="00636B60">
              <w:rPr>
                <w:webHidden/>
              </w:rPr>
              <w:instrText xml:space="preserve"> PAGEREF _Toc66703292 \h </w:instrText>
            </w:r>
            <w:r w:rsidR="00636B60">
              <w:rPr>
                <w:webHidden/>
              </w:rPr>
            </w:r>
            <w:r w:rsidR="00636B60">
              <w:rPr>
                <w:webHidden/>
              </w:rPr>
              <w:fldChar w:fldCharType="separate"/>
            </w:r>
            <w:r w:rsidR="00636B60">
              <w:rPr>
                <w:webHidden/>
              </w:rPr>
              <w:t>260</w:t>
            </w:r>
            <w:r w:rsidR="00636B60">
              <w:rPr>
                <w:webHidden/>
              </w:rPr>
              <w:fldChar w:fldCharType="end"/>
            </w:r>
          </w:hyperlink>
        </w:p>
        <w:p w14:paraId="01FE0715" w14:textId="53424405" w:rsidR="00636B60" w:rsidRDefault="000306D9">
          <w:pPr>
            <w:pStyle w:val="TOC2"/>
            <w:rPr>
              <w:rFonts w:asciiTheme="minorHAnsi" w:eastAsiaTheme="minorEastAsia" w:hAnsiTheme="minorHAnsi" w:cstheme="minorBidi"/>
              <w:kern w:val="0"/>
              <w:sz w:val="22"/>
            </w:rPr>
          </w:pPr>
          <w:hyperlink w:anchor="_Toc66703293" w:history="1">
            <w:r w:rsidR="00636B60" w:rsidRPr="00C45953">
              <w:rPr>
                <w:rStyle w:val="Hyperlink"/>
              </w:rPr>
              <w:t>Appendix IV – Preparing for Data Collection</w:t>
            </w:r>
            <w:r w:rsidR="00636B60">
              <w:rPr>
                <w:webHidden/>
              </w:rPr>
              <w:tab/>
            </w:r>
            <w:r w:rsidR="00636B60">
              <w:rPr>
                <w:webHidden/>
              </w:rPr>
              <w:fldChar w:fldCharType="begin"/>
            </w:r>
            <w:r w:rsidR="00636B60">
              <w:rPr>
                <w:webHidden/>
              </w:rPr>
              <w:instrText xml:space="preserve"> PAGEREF _Toc66703293 \h </w:instrText>
            </w:r>
            <w:r w:rsidR="00636B60">
              <w:rPr>
                <w:webHidden/>
              </w:rPr>
            </w:r>
            <w:r w:rsidR="00636B60">
              <w:rPr>
                <w:webHidden/>
              </w:rPr>
              <w:fldChar w:fldCharType="separate"/>
            </w:r>
            <w:r w:rsidR="00636B60">
              <w:rPr>
                <w:webHidden/>
              </w:rPr>
              <w:t>262</w:t>
            </w:r>
            <w:r w:rsidR="00636B60">
              <w:rPr>
                <w:webHidden/>
              </w:rPr>
              <w:fldChar w:fldCharType="end"/>
            </w:r>
          </w:hyperlink>
        </w:p>
        <w:p w14:paraId="0962653B" w14:textId="759BEF9F" w:rsidR="00636B60" w:rsidRDefault="000306D9">
          <w:pPr>
            <w:pStyle w:val="TOC2"/>
            <w:rPr>
              <w:rFonts w:asciiTheme="minorHAnsi" w:eastAsiaTheme="minorEastAsia" w:hAnsiTheme="minorHAnsi" w:cstheme="minorBidi"/>
              <w:kern w:val="0"/>
              <w:sz w:val="22"/>
            </w:rPr>
          </w:pPr>
          <w:hyperlink w:anchor="_Toc66703294" w:history="1">
            <w:r w:rsidR="00636B60" w:rsidRPr="00C45953">
              <w:rPr>
                <w:rStyle w:val="Hyperlink"/>
              </w:rPr>
              <w:t>Appendix V – Questionnaire and Consent Form</w:t>
            </w:r>
            <w:r w:rsidR="00636B60">
              <w:rPr>
                <w:webHidden/>
              </w:rPr>
              <w:tab/>
            </w:r>
            <w:r w:rsidR="00636B60">
              <w:rPr>
                <w:webHidden/>
              </w:rPr>
              <w:fldChar w:fldCharType="begin"/>
            </w:r>
            <w:r w:rsidR="00636B60">
              <w:rPr>
                <w:webHidden/>
              </w:rPr>
              <w:instrText xml:space="preserve"> PAGEREF _Toc66703294 \h </w:instrText>
            </w:r>
            <w:r w:rsidR="00636B60">
              <w:rPr>
                <w:webHidden/>
              </w:rPr>
            </w:r>
            <w:r w:rsidR="00636B60">
              <w:rPr>
                <w:webHidden/>
              </w:rPr>
              <w:fldChar w:fldCharType="separate"/>
            </w:r>
            <w:r w:rsidR="00636B60">
              <w:rPr>
                <w:webHidden/>
              </w:rPr>
              <w:t>263</w:t>
            </w:r>
            <w:r w:rsidR="00636B60">
              <w:rPr>
                <w:webHidden/>
              </w:rPr>
              <w:fldChar w:fldCharType="end"/>
            </w:r>
          </w:hyperlink>
        </w:p>
        <w:p w14:paraId="1ED24F8C" w14:textId="592AD9D9" w:rsidR="00636B60" w:rsidRDefault="000306D9">
          <w:pPr>
            <w:pStyle w:val="TOC2"/>
            <w:rPr>
              <w:rFonts w:asciiTheme="minorHAnsi" w:eastAsiaTheme="minorEastAsia" w:hAnsiTheme="minorHAnsi" w:cstheme="minorBidi"/>
              <w:kern w:val="0"/>
              <w:sz w:val="22"/>
            </w:rPr>
          </w:pPr>
          <w:hyperlink w:anchor="_Toc66703295" w:history="1">
            <w:r w:rsidR="00636B60" w:rsidRPr="00C45953">
              <w:rPr>
                <w:rStyle w:val="Hyperlink"/>
              </w:rPr>
              <w:t>Appendix VI – Pairwise Comparison Matrix</w:t>
            </w:r>
            <w:r w:rsidR="00636B60">
              <w:rPr>
                <w:webHidden/>
              </w:rPr>
              <w:tab/>
            </w:r>
            <w:r w:rsidR="00636B60">
              <w:rPr>
                <w:webHidden/>
              </w:rPr>
              <w:fldChar w:fldCharType="begin"/>
            </w:r>
            <w:r w:rsidR="00636B60">
              <w:rPr>
                <w:webHidden/>
              </w:rPr>
              <w:instrText xml:space="preserve"> PAGEREF _Toc66703295 \h </w:instrText>
            </w:r>
            <w:r w:rsidR="00636B60">
              <w:rPr>
                <w:webHidden/>
              </w:rPr>
            </w:r>
            <w:r w:rsidR="00636B60">
              <w:rPr>
                <w:webHidden/>
              </w:rPr>
              <w:fldChar w:fldCharType="separate"/>
            </w:r>
            <w:r w:rsidR="00636B60">
              <w:rPr>
                <w:webHidden/>
              </w:rPr>
              <w:t>270</w:t>
            </w:r>
            <w:r w:rsidR="00636B60">
              <w:rPr>
                <w:webHidden/>
              </w:rPr>
              <w:fldChar w:fldCharType="end"/>
            </w:r>
          </w:hyperlink>
        </w:p>
        <w:p w14:paraId="0542606E" w14:textId="48BD51A4" w:rsidR="00636B60" w:rsidRDefault="000306D9">
          <w:pPr>
            <w:pStyle w:val="TOC2"/>
            <w:rPr>
              <w:rFonts w:asciiTheme="minorHAnsi" w:eastAsiaTheme="minorEastAsia" w:hAnsiTheme="minorHAnsi" w:cstheme="minorBidi"/>
              <w:kern w:val="0"/>
              <w:sz w:val="22"/>
            </w:rPr>
          </w:pPr>
          <w:hyperlink w:anchor="_Toc66703296" w:history="1">
            <w:r w:rsidR="00636B60" w:rsidRPr="00C45953">
              <w:rPr>
                <w:rStyle w:val="Hyperlink"/>
              </w:rPr>
              <w:t>Appendix VII-Transcribing Data</w:t>
            </w:r>
            <w:r w:rsidR="00636B60">
              <w:rPr>
                <w:webHidden/>
              </w:rPr>
              <w:tab/>
            </w:r>
            <w:r w:rsidR="00636B60">
              <w:rPr>
                <w:webHidden/>
              </w:rPr>
              <w:fldChar w:fldCharType="begin"/>
            </w:r>
            <w:r w:rsidR="00636B60">
              <w:rPr>
                <w:webHidden/>
              </w:rPr>
              <w:instrText xml:space="preserve"> PAGEREF _Toc66703296 \h </w:instrText>
            </w:r>
            <w:r w:rsidR="00636B60">
              <w:rPr>
                <w:webHidden/>
              </w:rPr>
            </w:r>
            <w:r w:rsidR="00636B60">
              <w:rPr>
                <w:webHidden/>
              </w:rPr>
              <w:fldChar w:fldCharType="separate"/>
            </w:r>
            <w:r w:rsidR="00636B60">
              <w:rPr>
                <w:webHidden/>
              </w:rPr>
              <w:t>275</w:t>
            </w:r>
            <w:r w:rsidR="00636B60">
              <w:rPr>
                <w:webHidden/>
              </w:rPr>
              <w:fldChar w:fldCharType="end"/>
            </w:r>
          </w:hyperlink>
        </w:p>
        <w:p w14:paraId="5E7A177D" w14:textId="333020EC" w:rsidR="00636B60" w:rsidRDefault="000306D9">
          <w:pPr>
            <w:pStyle w:val="TOC2"/>
            <w:rPr>
              <w:rFonts w:asciiTheme="minorHAnsi" w:eastAsiaTheme="minorEastAsia" w:hAnsiTheme="minorHAnsi" w:cstheme="minorBidi"/>
              <w:kern w:val="0"/>
              <w:sz w:val="22"/>
            </w:rPr>
          </w:pPr>
          <w:hyperlink w:anchor="_Toc66703297" w:history="1">
            <w:r w:rsidR="00636B60" w:rsidRPr="00C45953">
              <w:rPr>
                <w:rStyle w:val="Hyperlink"/>
              </w:rPr>
              <w:t>Appendix VIII: Numerical Experiment</w:t>
            </w:r>
            <w:r w:rsidR="00636B60">
              <w:rPr>
                <w:webHidden/>
              </w:rPr>
              <w:tab/>
            </w:r>
            <w:r w:rsidR="00636B60">
              <w:rPr>
                <w:webHidden/>
              </w:rPr>
              <w:fldChar w:fldCharType="begin"/>
            </w:r>
            <w:r w:rsidR="00636B60">
              <w:rPr>
                <w:webHidden/>
              </w:rPr>
              <w:instrText xml:space="preserve"> PAGEREF _Toc66703297 \h </w:instrText>
            </w:r>
            <w:r w:rsidR="00636B60">
              <w:rPr>
                <w:webHidden/>
              </w:rPr>
            </w:r>
            <w:r w:rsidR="00636B60">
              <w:rPr>
                <w:webHidden/>
              </w:rPr>
              <w:fldChar w:fldCharType="separate"/>
            </w:r>
            <w:r w:rsidR="00636B60">
              <w:rPr>
                <w:webHidden/>
              </w:rPr>
              <w:t>357</w:t>
            </w:r>
            <w:r w:rsidR="00636B60">
              <w:rPr>
                <w:webHidden/>
              </w:rPr>
              <w:fldChar w:fldCharType="end"/>
            </w:r>
          </w:hyperlink>
        </w:p>
        <w:p w14:paraId="0CE40F76" w14:textId="67DC99DC" w:rsidR="00636B60" w:rsidRDefault="000306D9">
          <w:pPr>
            <w:pStyle w:val="TOC2"/>
            <w:rPr>
              <w:rFonts w:asciiTheme="minorHAnsi" w:eastAsiaTheme="minorEastAsia" w:hAnsiTheme="minorHAnsi" w:cstheme="minorBidi"/>
              <w:kern w:val="0"/>
              <w:sz w:val="22"/>
            </w:rPr>
          </w:pPr>
          <w:hyperlink w:anchor="_Toc66703298" w:history="1">
            <w:r w:rsidR="00636B60" w:rsidRPr="00C45953">
              <w:rPr>
                <w:rStyle w:val="Hyperlink"/>
              </w:rPr>
              <w:t>Appendix IX: Other Pictures</w:t>
            </w:r>
            <w:r w:rsidR="00636B60">
              <w:rPr>
                <w:webHidden/>
              </w:rPr>
              <w:tab/>
            </w:r>
            <w:r w:rsidR="00636B60">
              <w:rPr>
                <w:webHidden/>
              </w:rPr>
              <w:fldChar w:fldCharType="begin"/>
            </w:r>
            <w:r w:rsidR="00636B60">
              <w:rPr>
                <w:webHidden/>
              </w:rPr>
              <w:instrText xml:space="preserve"> PAGEREF _Toc66703298 \h </w:instrText>
            </w:r>
            <w:r w:rsidR="00636B60">
              <w:rPr>
                <w:webHidden/>
              </w:rPr>
            </w:r>
            <w:r w:rsidR="00636B60">
              <w:rPr>
                <w:webHidden/>
              </w:rPr>
              <w:fldChar w:fldCharType="separate"/>
            </w:r>
            <w:r w:rsidR="00636B60">
              <w:rPr>
                <w:webHidden/>
              </w:rPr>
              <w:t>363</w:t>
            </w:r>
            <w:r w:rsidR="00636B60">
              <w:rPr>
                <w:webHidden/>
              </w:rPr>
              <w:fldChar w:fldCharType="end"/>
            </w:r>
          </w:hyperlink>
        </w:p>
        <w:p w14:paraId="32F3DF47" w14:textId="2431D306" w:rsidR="005A0BF6" w:rsidRPr="004634E5" w:rsidRDefault="005A0BF6" w:rsidP="008D63EC">
          <w:pPr>
            <w:spacing w:line="276" w:lineRule="auto"/>
            <w:rPr>
              <w:rStyle w:val="Heading1Char"/>
              <w:rFonts w:eastAsiaTheme="minorEastAsia"/>
              <w:noProof/>
              <w:color w:val="auto"/>
              <w:kern w:val="0"/>
              <w:sz w:val="24"/>
              <w:szCs w:val="22"/>
            </w:rPr>
          </w:pPr>
          <w:r>
            <w:rPr>
              <w:b/>
              <w:bCs/>
              <w:noProof/>
            </w:rPr>
            <w:fldChar w:fldCharType="end"/>
          </w:r>
        </w:p>
      </w:sdtContent>
    </w:sdt>
    <w:p w14:paraId="5C48BE28" w14:textId="77777777" w:rsidR="005A0BF6" w:rsidRDefault="005A0BF6" w:rsidP="007223D9">
      <w:pPr>
        <w:pStyle w:val="Heading1"/>
        <w:numPr>
          <w:ilvl w:val="0"/>
          <w:numId w:val="0"/>
        </w:numPr>
        <w:ind w:left="431" w:hanging="431"/>
        <w:rPr>
          <w:rStyle w:val="Heading1Char"/>
          <w:b/>
          <w:bCs/>
        </w:rPr>
        <w:sectPr w:rsidR="005A0BF6" w:rsidSect="00721BD8">
          <w:headerReference w:type="default" r:id="rId11"/>
          <w:footerReference w:type="default" r:id="rId12"/>
          <w:type w:val="continuous"/>
          <w:pgSz w:w="11906" w:h="16838"/>
          <w:pgMar w:top="1440" w:right="1440" w:bottom="1440" w:left="1440" w:header="708" w:footer="0" w:gutter="0"/>
          <w:pgNumType w:fmt="lowerRoman" w:start="1"/>
          <w:cols w:space="708"/>
          <w:docGrid w:linePitch="360"/>
        </w:sectPr>
      </w:pPr>
    </w:p>
    <w:p w14:paraId="00F5288A" w14:textId="77777777" w:rsidR="00D86BE9" w:rsidRDefault="00D86BE9">
      <w:pPr>
        <w:rPr>
          <w:rStyle w:val="Heading1Char"/>
        </w:rPr>
      </w:pPr>
      <w:r>
        <w:rPr>
          <w:rStyle w:val="Heading1Char"/>
          <w:b w:val="0"/>
          <w:bCs w:val="0"/>
        </w:rPr>
        <w:br w:type="page"/>
      </w:r>
    </w:p>
    <w:p w14:paraId="30F0A6B5" w14:textId="5BC0727E" w:rsidR="004634E5" w:rsidRDefault="005A0BF6" w:rsidP="004634E5">
      <w:pPr>
        <w:pStyle w:val="Heading1"/>
        <w:numPr>
          <w:ilvl w:val="0"/>
          <w:numId w:val="0"/>
        </w:numPr>
        <w:ind w:left="431" w:hanging="431"/>
        <w:rPr>
          <w:rStyle w:val="Heading1Char"/>
          <w:b/>
          <w:bCs/>
        </w:rPr>
      </w:pPr>
      <w:bookmarkStart w:id="14" w:name="_Toc66703165"/>
      <w:r>
        <w:rPr>
          <w:rStyle w:val="Heading1Char"/>
          <w:rFonts w:hint="eastAsia"/>
          <w:b/>
          <w:bCs/>
        </w:rPr>
        <w:lastRenderedPageBreak/>
        <w:t>List</w:t>
      </w:r>
      <w:r>
        <w:rPr>
          <w:rStyle w:val="Heading1Char"/>
          <w:b/>
          <w:bCs/>
        </w:rPr>
        <w:t xml:space="preserve"> </w:t>
      </w:r>
      <w:r>
        <w:rPr>
          <w:rStyle w:val="Heading1Char"/>
          <w:rFonts w:hint="eastAsia"/>
          <w:b/>
          <w:bCs/>
        </w:rPr>
        <w:t>of</w:t>
      </w:r>
      <w:r>
        <w:rPr>
          <w:rStyle w:val="Heading1Char"/>
          <w:b/>
          <w:bCs/>
        </w:rPr>
        <w:t xml:space="preserve"> </w:t>
      </w:r>
      <w:r>
        <w:rPr>
          <w:rStyle w:val="Heading1Char"/>
          <w:rFonts w:hint="eastAsia"/>
          <w:b/>
          <w:bCs/>
        </w:rPr>
        <w:t>Figure</w:t>
      </w:r>
      <w:bookmarkEnd w:id="14"/>
    </w:p>
    <w:p w14:paraId="7ED9F6D8" w14:textId="2E92B146" w:rsidR="0005064B" w:rsidRDefault="004634E5" w:rsidP="0005064B">
      <w:pPr>
        <w:pStyle w:val="TableofFigures"/>
        <w:tabs>
          <w:tab w:val="right" w:leader="dot" w:pos="9016"/>
        </w:tabs>
        <w:spacing w:line="240" w:lineRule="auto"/>
        <w:rPr>
          <w:rFonts w:asciiTheme="minorHAnsi" w:hAnsiTheme="minorHAnsi"/>
          <w:noProof/>
          <w:sz w:val="22"/>
        </w:rPr>
      </w:pPr>
      <w:r w:rsidRPr="006F01CC">
        <w:rPr>
          <w:rStyle w:val="Heading1Char"/>
          <w:b w:val="0"/>
          <w:bCs w:val="0"/>
          <w:sz w:val="22"/>
          <w:szCs w:val="22"/>
        </w:rPr>
        <w:fldChar w:fldCharType="begin"/>
      </w:r>
      <w:r w:rsidRPr="006F01CC">
        <w:rPr>
          <w:rStyle w:val="Heading1Char"/>
          <w:b w:val="0"/>
          <w:bCs w:val="0"/>
          <w:sz w:val="22"/>
          <w:szCs w:val="22"/>
        </w:rPr>
        <w:instrText xml:space="preserve"> TOC \h \z \c "Figure" </w:instrText>
      </w:r>
      <w:r w:rsidRPr="006F01CC">
        <w:rPr>
          <w:rStyle w:val="Heading1Char"/>
          <w:b w:val="0"/>
          <w:bCs w:val="0"/>
          <w:sz w:val="22"/>
          <w:szCs w:val="22"/>
        </w:rPr>
        <w:fldChar w:fldCharType="separate"/>
      </w:r>
      <w:hyperlink w:anchor="_Toc66698691" w:history="1">
        <w:r w:rsidR="0005064B" w:rsidRPr="003422DF">
          <w:rPr>
            <w:rStyle w:val="Hyperlink"/>
            <w:rFonts w:cs="Times New Roman"/>
            <w:noProof/>
          </w:rPr>
          <w:t>Figure 1</w:t>
        </w:r>
        <w:r w:rsidR="0005064B" w:rsidRPr="003422DF">
          <w:rPr>
            <w:rStyle w:val="Hyperlink"/>
            <w:rFonts w:cs="Times New Roman"/>
            <w:noProof/>
          </w:rPr>
          <w:noBreakHyphen/>
          <w:t>1: The structure of an urban logistics network (ULN)</w:t>
        </w:r>
        <w:r w:rsidR="0005064B">
          <w:rPr>
            <w:noProof/>
            <w:webHidden/>
          </w:rPr>
          <w:tab/>
        </w:r>
        <w:r w:rsidR="0005064B">
          <w:rPr>
            <w:noProof/>
            <w:webHidden/>
          </w:rPr>
          <w:fldChar w:fldCharType="begin"/>
        </w:r>
        <w:r w:rsidR="0005064B">
          <w:rPr>
            <w:noProof/>
            <w:webHidden/>
          </w:rPr>
          <w:instrText xml:space="preserve"> PAGEREF _Toc66698691 \h </w:instrText>
        </w:r>
        <w:r w:rsidR="0005064B">
          <w:rPr>
            <w:noProof/>
            <w:webHidden/>
          </w:rPr>
        </w:r>
        <w:r w:rsidR="0005064B">
          <w:rPr>
            <w:noProof/>
            <w:webHidden/>
          </w:rPr>
          <w:fldChar w:fldCharType="separate"/>
        </w:r>
        <w:r w:rsidR="0005064B">
          <w:rPr>
            <w:noProof/>
            <w:webHidden/>
          </w:rPr>
          <w:t>3</w:t>
        </w:r>
        <w:r w:rsidR="0005064B">
          <w:rPr>
            <w:noProof/>
            <w:webHidden/>
          </w:rPr>
          <w:fldChar w:fldCharType="end"/>
        </w:r>
      </w:hyperlink>
    </w:p>
    <w:p w14:paraId="0ADFBEEC" w14:textId="2600FC30" w:rsidR="0005064B" w:rsidRDefault="000306D9" w:rsidP="0005064B">
      <w:pPr>
        <w:pStyle w:val="TableofFigures"/>
        <w:tabs>
          <w:tab w:val="right" w:leader="dot" w:pos="9016"/>
        </w:tabs>
        <w:spacing w:line="240" w:lineRule="auto"/>
        <w:rPr>
          <w:rFonts w:asciiTheme="minorHAnsi" w:hAnsiTheme="minorHAnsi"/>
          <w:noProof/>
          <w:sz w:val="22"/>
        </w:rPr>
      </w:pPr>
      <w:hyperlink w:anchor="_Toc66698692" w:history="1">
        <w:r w:rsidR="0005064B" w:rsidRPr="003422DF">
          <w:rPr>
            <w:rStyle w:val="Hyperlink"/>
            <w:rFonts w:cs="Times New Roman"/>
            <w:noProof/>
          </w:rPr>
          <w:t>Figure 1</w:t>
        </w:r>
        <w:r w:rsidR="0005064B" w:rsidRPr="003422DF">
          <w:rPr>
            <w:rStyle w:val="Hyperlink"/>
            <w:rFonts w:cs="Times New Roman"/>
            <w:noProof/>
          </w:rPr>
          <w:noBreakHyphen/>
          <w:t>2: Dimensions of sustainability (adapted from GARCIA-Rodriguez et al., [2002])</w:t>
        </w:r>
        <w:r w:rsidR="0005064B">
          <w:rPr>
            <w:noProof/>
            <w:webHidden/>
          </w:rPr>
          <w:tab/>
        </w:r>
        <w:r w:rsidR="0005064B">
          <w:rPr>
            <w:noProof/>
            <w:webHidden/>
          </w:rPr>
          <w:fldChar w:fldCharType="begin"/>
        </w:r>
        <w:r w:rsidR="0005064B">
          <w:rPr>
            <w:noProof/>
            <w:webHidden/>
          </w:rPr>
          <w:instrText xml:space="preserve"> PAGEREF _Toc66698692 \h </w:instrText>
        </w:r>
        <w:r w:rsidR="0005064B">
          <w:rPr>
            <w:noProof/>
            <w:webHidden/>
          </w:rPr>
        </w:r>
        <w:r w:rsidR="0005064B">
          <w:rPr>
            <w:noProof/>
            <w:webHidden/>
          </w:rPr>
          <w:fldChar w:fldCharType="separate"/>
        </w:r>
        <w:r w:rsidR="0005064B">
          <w:rPr>
            <w:noProof/>
            <w:webHidden/>
          </w:rPr>
          <w:t>6</w:t>
        </w:r>
        <w:r w:rsidR="0005064B">
          <w:rPr>
            <w:noProof/>
            <w:webHidden/>
          </w:rPr>
          <w:fldChar w:fldCharType="end"/>
        </w:r>
      </w:hyperlink>
    </w:p>
    <w:p w14:paraId="44AC205A" w14:textId="1C410F28" w:rsidR="0005064B" w:rsidRDefault="000306D9" w:rsidP="0005064B">
      <w:pPr>
        <w:pStyle w:val="TableofFigures"/>
        <w:tabs>
          <w:tab w:val="right" w:leader="dot" w:pos="9016"/>
        </w:tabs>
        <w:spacing w:line="240" w:lineRule="auto"/>
        <w:rPr>
          <w:rFonts w:asciiTheme="minorHAnsi" w:hAnsiTheme="minorHAnsi"/>
          <w:noProof/>
          <w:sz w:val="22"/>
        </w:rPr>
      </w:pPr>
      <w:hyperlink w:anchor="_Toc66698693" w:history="1">
        <w:r w:rsidR="0005064B" w:rsidRPr="003422DF">
          <w:rPr>
            <w:rStyle w:val="Hyperlink"/>
            <w:rFonts w:cs="Times New Roman"/>
            <w:noProof/>
          </w:rPr>
          <w:t>Figure 1</w:t>
        </w:r>
        <w:r w:rsidR="0005064B" w:rsidRPr="003422DF">
          <w:rPr>
            <w:rStyle w:val="Hyperlink"/>
            <w:rFonts w:cs="Times New Roman"/>
            <w:noProof/>
          </w:rPr>
          <w:noBreakHyphen/>
          <w:t>3: 17 ‘Millennium Goals’ of sustainable development SD (adapted from UN [2015])</w:t>
        </w:r>
        <w:r w:rsidR="0005064B">
          <w:rPr>
            <w:noProof/>
            <w:webHidden/>
          </w:rPr>
          <w:tab/>
        </w:r>
        <w:r w:rsidR="0005064B">
          <w:rPr>
            <w:noProof/>
            <w:webHidden/>
          </w:rPr>
          <w:fldChar w:fldCharType="begin"/>
        </w:r>
        <w:r w:rsidR="0005064B">
          <w:rPr>
            <w:noProof/>
            <w:webHidden/>
          </w:rPr>
          <w:instrText xml:space="preserve"> PAGEREF _Toc66698693 \h </w:instrText>
        </w:r>
        <w:r w:rsidR="0005064B">
          <w:rPr>
            <w:noProof/>
            <w:webHidden/>
          </w:rPr>
        </w:r>
        <w:r w:rsidR="0005064B">
          <w:rPr>
            <w:noProof/>
            <w:webHidden/>
          </w:rPr>
          <w:fldChar w:fldCharType="separate"/>
        </w:r>
        <w:r w:rsidR="0005064B">
          <w:rPr>
            <w:noProof/>
            <w:webHidden/>
          </w:rPr>
          <w:t>7</w:t>
        </w:r>
        <w:r w:rsidR="0005064B">
          <w:rPr>
            <w:noProof/>
            <w:webHidden/>
          </w:rPr>
          <w:fldChar w:fldCharType="end"/>
        </w:r>
      </w:hyperlink>
    </w:p>
    <w:p w14:paraId="1A61F484" w14:textId="2822A158" w:rsidR="0005064B" w:rsidRDefault="000306D9" w:rsidP="0005064B">
      <w:pPr>
        <w:pStyle w:val="TableofFigures"/>
        <w:tabs>
          <w:tab w:val="right" w:leader="dot" w:pos="9016"/>
        </w:tabs>
        <w:spacing w:line="240" w:lineRule="auto"/>
        <w:rPr>
          <w:rFonts w:asciiTheme="minorHAnsi" w:hAnsiTheme="minorHAnsi"/>
          <w:noProof/>
          <w:sz w:val="22"/>
        </w:rPr>
      </w:pPr>
      <w:hyperlink w:anchor="_Toc66698694" w:history="1">
        <w:r w:rsidR="0005064B" w:rsidRPr="003422DF">
          <w:rPr>
            <w:rStyle w:val="Hyperlink"/>
            <w:rFonts w:cs="Times New Roman"/>
            <w:noProof/>
          </w:rPr>
          <w:t>Figure 1</w:t>
        </w:r>
        <w:r w:rsidR="0005064B" w:rsidRPr="003422DF">
          <w:rPr>
            <w:rStyle w:val="Hyperlink"/>
            <w:rFonts w:cs="Times New Roman"/>
            <w:noProof/>
          </w:rPr>
          <w:noBreakHyphen/>
          <w:t>4: Advantages of urban consolidated centres (UCCs) (adapted from Browne et al. [2007])</w:t>
        </w:r>
        <w:r w:rsidR="0005064B">
          <w:rPr>
            <w:noProof/>
            <w:webHidden/>
          </w:rPr>
          <w:tab/>
        </w:r>
        <w:r w:rsidR="0005064B">
          <w:rPr>
            <w:noProof/>
            <w:webHidden/>
          </w:rPr>
          <w:fldChar w:fldCharType="begin"/>
        </w:r>
        <w:r w:rsidR="0005064B">
          <w:rPr>
            <w:noProof/>
            <w:webHidden/>
          </w:rPr>
          <w:instrText xml:space="preserve"> PAGEREF _Toc66698694 \h </w:instrText>
        </w:r>
        <w:r w:rsidR="0005064B">
          <w:rPr>
            <w:noProof/>
            <w:webHidden/>
          </w:rPr>
        </w:r>
        <w:r w:rsidR="0005064B">
          <w:rPr>
            <w:noProof/>
            <w:webHidden/>
          </w:rPr>
          <w:fldChar w:fldCharType="separate"/>
        </w:r>
        <w:r w:rsidR="0005064B">
          <w:rPr>
            <w:noProof/>
            <w:webHidden/>
          </w:rPr>
          <w:t>15</w:t>
        </w:r>
        <w:r w:rsidR="0005064B">
          <w:rPr>
            <w:noProof/>
            <w:webHidden/>
          </w:rPr>
          <w:fldChar w:fldCharType="end"/>
        </w:r>
      </w:hyperlink>
    </w:p>
    <w:p w14:paraId="3AEE1AEF" w14:textId="345120AA" w:rsidR="0005064B" w:rsidRDefault="000306D9" w:rsidP="0005064B">
      <w:pPr>
        <w:pStyle w:val="TableofFigures"/>
        <w:tabs>
          <w:tab w:val="right" w:leader="dot" w:pos="9016"/>
        </w:tabs>
        <w:spacing w:line="240" w:lineRule="auto"/>
        <w:rPr>
          <w:rFonts w:asciiTheme="minorHAnsi" w:hAnsiTheme="minorHAnsi"/>
          <w:noProof/>
          <w:sz w:val="22"/>
        </w:rPr>
      </w:pPr>
      <w:hyperlink w:anchor="_Toc66698695" w:history="1">
        <w:r w:rsidR="0005064B" w:rsidRPr="003422DF">
          <w:rPr>
            <w:rStyle w:val="Hyperlink"/>
            <w:noProof/>
          </w:rPr>
          <w:t>Figure 2</w:t>
        </w:r>
        <w:r w:rsidR="0005064B" w:rsidRPr="003422DF">
          <w:rPr>
            <w:rStyle w:val="Hyperlink"/>
            <w:noProof/>
          </w:rPr>
          <w:noBreakHyphen/>
          <w:t>1 Structure of the literature review</w:t>
        </w:r>
        <w:r w:rsidR="0005064B">
          <w:rPr>
            <w:noProof/>
            <w:webHidden/>
          </w:rPr>
          <w:tab/>
        </w:r>
        <w:r w:rsidR="0005064B">
          <w:rPr>
            <w:noProof/>
            <w:webHidden/>
          </w:rPr>
          <w:fldChar w:fldCharType="begin"/>
        </w:r>
        <w:r w:rsidR="0005064B">
          <w:rPr>
            <w:noProof/>
            <w:webHidden/>
          </w:rPr>
          <w:instrText xml:space="preserve"> PAGEREF _Toc66698695 \h </w:instrText>
        </w:r>
        <w:r w:rsidR="0005064B">
          <w:rPr>
            <w:noProof/>
            <w:webHidden/>
          </w:rPr>
        </w:r>
        <w:r w:rsidR="0005064B">
          <w:rPr>
            <w:noProof/>
            <w:webHidden/>
          </w:rPr>
          <w:fldChar w:fldCharType="separate"/>
        </w:r>
        <w:r w:rsidR="0005064B">
          <w:rPr>
            <w:noProof/>
            <w:webHidden/>
          </w:rPr>
          <w:t>20</w:t>
        </w:r>
        <w:r w:rsidR="0005064B">
          <w:rPr>
            <w:noProof/>
            <w:webHidden/>
          </w:rPr>
          <w:fldChar w:fldCharType="end"/>
        </w:r>
      </w:hyperlink>
    </w:p>
    <w:p w14:paraId="5B8C1864" w14:textId="07ACACFA" w:rsidR="0005064B" w:rsidRDefault="000306D9" w:rsidP="0005064B">
      <w:pPr>
        <w:pStyle w:val="TableofFigures"/>
        <w:tabs>
          <w:tab w:val="right" w:leader="dot" w:pos="9016"/>
        </w:tabs>
        <w:spacing w:line="240" w:lineRule="auto"/>
        <w:rPr>
          <w:rFonts w:asciiTheme="minorHAnsi" w:hAnsiTheme="minorHAnsi"/>
          <w:noProof/>
          <w:sz w:val="22"/>
        </w:rPr>
      </w:pPr>
      <w:hyperlink w:anchor="_Toc66698696" w:history="1">
        <w:r w:rsidR="0005064B" w:rsidRPr="003422DF">
          <w:rPr>
            <w:rStyle w:val="Hyperlink"/>
            <w:rFonts w:cs="Times New Roman"/>
            <w:noProof/>
          </w:rPr>
          <w:t>Figure 2</w:t>
        </w:r>
        <w:r w:rsidR="0005064B" w:rsidRPr="003422DF">
          <w:rPr>
            <w:rStyle w:val="Hyperlink"/>
            <w:rFonts w:cs="Times New Roman"/>
            <w:noProof/>
          </w:rPr>
          <w:noBreakHyphen/>
          <w:t>2: The paper classification process</w:t>
        </w:r>
        <w:r w:rsidR="0005064B">
          <w:rPr>
            <w:noProof/>
            <w:webHidden/>
          </w:rPr>
          <w:tab/>
        </w:r>
        <w:r w:rsidR="0005064B">
          <w:rPr>
            <w:noProof/>
            <w:webHidden/>
          </w:rPr>
          <w:fldChar w:fldCharType="begin"/>
        </w:r>
        <w:r w:rsidR="0005064B">
          <w:rPr>
            <w:noProof/>
            <w:webHidden/>
          </w:rPr>
          <w:instrText xml:space="preserve"> PAGEREF _Toc66698696 \h </w:instrText>
        </w:r>
        <w:r w:rsidR="0005064B">
          <w:rPr>
            <w:noProof/>
            <w:webHidden/>
          </w:rPr>
        </w:r>
        <w:r w:rsidR="0005064B">
          <w:rPr>
            <w:noProof/>
            <w:webHidden/>
          </w:rPr>
          <w:fldChar w:fldCharType="separate"/>
        </w:r>
        <w:r w:rsidR="0005064B">
          <w:rPr>
            <w:noProof/>
            <w:webHidden/>
          </w:rPr>
          <w:t>22</w:t>
        </w:r>
        <w:r w:rsidR="0005064B">
          <w:rPr>
            <w:noProof/>
            <w:webHidden/>
          </w:rPr>
          <w:fldChar w:fldCharType="end"/>
        </w:r>
      </w:hyperlink>
    </w:p>
    <w:p w14:paraId="28909ECE" w14:textId="4402DF16" w:rsidR="0005064B" w:rsidRDefault="000306D9" w:rsidP="0005064B">
      <w:pPr>
        <w:pStyle w:val="TableofFigures"/>
        <w:tabs>
          <w:tab w:val="right" w:leader="dot" w:pos="9016"/>
        </w:tabs>
        <w:spacing w:line="240" w:lineRule="auto"/>
        <w:rPr>
          <w:rFonts w:asciiTheme="minorHAnsi" w:hAnsiTheme="minorHAnsi"/>
          <w:noProof/>
          <w:sz w:val="22"/>
        </w:rPr>
      </w:pPr>
      <w:hyperlink w:anchor="_Toc66698697" w:history="1">
        <w:r w:rsidR="0005064B" w:rsidRPr="003422DF">
          <w:rPr>
            <w:rStyle w:val="Hyperlink"/>
            <w:rFonts w:cs="Times New Roman"/>
            <w:noProof/>
          </w:rPr>
          <w:t>Figure 2</w:t>
        </w:r>
        <w:r w:rsidR="0005064B" w:rsidRPr="003422DF">
          <w:rPr>
            <w:rStyle w:val="Hyperlink"/>
            <w:rFonts w:cs="Times New Roman"/>
            <w:noProof/>
          </w:rPr>
          <w:noBreakHyphen/>
          <w:t>3: Number of publications per year</w:t>
        </w:r>
        <w:r w:rsidR="0005064B">
          <w:rPr>
            <w:noProof/>
            <w:webHidden/>
          </w:rPr>
          <w:tab/>
        </w:r>
        <w:r w:rsidR="0005064B">
          <w:rPr>
            <w:noProof/>
            <w:webHidden/>
          </w:rPr>
          <w:fldChar w:fldCharType="begin"/>
        </w:r>
        <w:r w:rsidR="0005064B">
          <w:rPr>
            <w:noProof/>
            <w:webHidden/>
          </w:rPr>
          <w:instrText xml:space="preserve"> PAGEREF _Toc66698697 \h </w:instrText>
        </w:r>
        <w:r w:rsidR="0005064B">
          <w:rPr>
            <w:noProof/>
            <w:webHidden/>
          </w:rPr>
        </w:r>
        <w:r w:rsidR="0005064B">
          <w:rPr>
            <w:noProof/>
            <w:webHidden/>
          </w:rPr>
          <w:fldChar w:fldCharType="separate"/>
        </w:r>
        <w:r w:rsidR="0005064B">
          <w:rPr>
            <w:noProof/>
            <w:webHidden/>
          </w:rPr>
          <w:t>23</w:t>
        </w:r>
        <w:r w:rsidR="0005064B">
          <w:rPr>
            <w:noProof/>
            <w:webHidden/>
          </w:rPr>
          <w:fldChar w:fldCharType="end"/>
        </w:r>
      </w:hyperlink>
    </w:p>
    <w:p w14:paraId="4F28FC95" w14:textId="4C81AC99" w:rsidR="0005064B" w:rsidRDefault="000306D9" w:rsidP="0005064B">
      <w:pPr>
        <w:pStyle w:val="TableofFigures"/>
        <w:tabs>
          <w:tab w:val="right" w:leader="dot" w:pos="9016"/>
        </w:tabs>
        <w:spacing w:line="240" w:lineRule="auto"/>
        <w:rPr>
          <w:rFonts w:asciiTheme="minorHAnsi" w:hAnsiTheme="minorHAnsi"/>
          <w:noProof/>
          <w:sz w:val="22"/>
        </w:rPr>
      </w:pPr>
      <w:hyperlink w:anchor="_Toc66698698" w:history="1">
        <w:r w:rsidR="0005064B" w:rsidRPr="003422DF">
          <w:rPr>
            <w:rStyle w:val="Hyperlink"/>
            <w:rFonts w:cs="Times New Roman"/>
            <w:noProof/>
          </w:rPr>
          <w:t>Figure 2</w:t>
        </w:r>
        <w:r w:rsidR="0005064B" w:rsidRPr="003422DF">
          <w:rPr>
            <w:rStyle w:val="Hyperlink"/>
            <w:rFonts w:cs="Times New Roman"/>
            <w:noProof/>
          </w:rPr>
          <w:noBreakHyphen/>
          <w:t>4: The numbers of papers addressing each topic</w:t>
        </w:r>
        <w:r w:rsidR="0005064B">
          <w:rPr>
            <w:noProof/>
            <w:webHidden/>
          </w:rPr>
          <w:tab/>
        </w:r>
        <w:r w:rsidR="0005064B">
          <w:rPr>
            <w:noProof/>
            <w:webHidden/>
          </w:rPr>
          <w:fldChar w:fldCharType="begin"/>
        </w:r>
        <w:r w:rsidR="0005064B">
          <w:rPr>
            <w:noProof/>
            <w:webHidden/>
          </w:rPr>
          <w:instrText xml:space="preserve"> PAGEREF _Toc66698698 \h </w:instrText>
        </w:r>
        <w:r w:rsidR="0005064B">
          <w:rPr>
            <w:noProof/>
            <w:webHidden/>
          </w:rPr>
        </w:r>
        <w:r w:rsidR="0005064B">
          <w:rPr>
            <w:noProof/>
            <w:webHidden/>
          </w:rPr>
          <w:fldChar w:fldCharType="separate"/>
        </w:r>
        <w:r w:rsidR="0005064B">
          <w:rPr>
            <w:noProof/>
            <w:webHidden/>
          </w:rPr>
          <w:t>24</w:t>
        </w:r>
        <w:r w:rsidR="0005064B">
          <w:rPr>
            <w:noProof/>
            <w:webHidden/>
          </w:rPr>
          <w:fldChar w:fldCharType="end"/>
        </w:r>
      </w:hyperlink>
    </w:p>
    <w:p w14:paraId="726EBF5C" w14:textId="2B19A4BF" w:rsidR="0005064B" w:rsidRDefault="000306D9" w:rsidP="0005064B">
      <w:pPr>
        <w:pStyle w:val="TableofFigures"/>
        <w:tabs>
          <w:tab w:val="right" w:leader="dot" w:pos="9016"/>
        </w:tabs>
        <w:spacing w:line="240" w:lineRule="auto"/>
        <w:rPr>
          <w:rFonts w:asciiTheme="minorHAnsi" w:hAnsiTheme="minorHAnsi"/>
          <w:noProof/>
          <w:sz w:val="22"/>
        </w:rPr>
      </w:pPr>
      <w:hyperlink w:anchor="_Toc66698699" w:history="1">
        <w:r w:rsidR="0005064B" w:rsidRPr="003422DF">
          <w:rPr>
            <w:rStyle w:val="Hyperlink"/>
            <w:rFonts w:cs="Times New Roman"/>
            <w:noProof/>
          </w:rPr>
          <w:t>Figure 2</w:t>
        </w:r>
        <w:r w:rsidR="0005064B" w:rsidRPr="003422DF">
          <w:rPr>
            <w:rStyle w:val="Hyperlink"/>
            <w:rFonts w:cs="Times New Roman"/>
            <w:noProof/>
          </w:rPr>
          <w:noBreakHyphen/>
          <w:t>5: City logistics planning process</w:t>
        </w:r>
        <w:r w:rsidR="0005064B">
          <w:rPr>
            <w:noProof/>
            <w:webHidden/>
          </w:rPr>
          <w:tab/>
        </w:r>
        <w:r w:rsidR="0005064B">
          <w:rPr>
            <w:noProof/>
            <w:webHidden/>
          </w:rPr>
          <w:fldChar w:fldCharType="begin"/>
        </w:r>
        <w:r w:rsidR="0005064B">
          <w:rPr>
            <w:noProof/>
            <w:webHidden/>
          </w:rPr>
          <w:instrText xml:space="preserve"> PAGEREF _Toc66698699 \h </w:instrText>
        </w:r>
        <w:r w:rsidR="0005064B">
          <w:rPr>
            <w:noProof/>
            <w:webHidden/>
          </w:rPr>
        </w:r>
        <w:r w:rsidR="0005064B">
          <w:rPr>
            <w:noProof/>
            <w:webHidden/>
          </w:rPr>
          <w:fldChar w:fldCharType="separate"/>
        </w:r>
        <w:r w:rsidR="0005064B">
          <w:rPr>
            <w:noProof/>
            <w:webHidden/>
          </w:rPr>
          <w:t>35</w:t>
        </w:r>
        <w:r w:rsidR="0005064B">
          <w:rPr>
            <w:noProof/>
            <w:webHidden/>
          </w:rPr>
          <w:fldChar w:fldCharType="end"/>
        </w:r>
      </w:hyperlink>
    </w:p>
    <w:p w14:paraId="1DB02775" w14:textId="70C388FB" w:rsidR="0005064B" w:rsidRDefault="000306D9" w:rsidP="0005064B">
      <w:pPr>
        <w:pStyle w:val="TableofFigures"/>
        <w:tabs>
          <w:tab w:val="right" w:leader="dot" w:pos="9016"/>
        </w:tabs>
        <w:spacing w:line="240" w:lineRule="auto"/>
        <w:rPr>
          <w:rFonts w:asciiTheme="minorHAnsi" w:hAnsiTheme="minorHAnsi"/>
          <w:noProof/>
          <w:sz w:val="22"/>
        </w:rPr>
      </w:pPr>
      <w:hyperlink w:anchor="_Toc66698700" w:history="1">
        <w:r w:rsidR="0005064B" w:rsidRPr="003422DF">
          <w:rPr>
            <w:rStyle w:val="Hyperlink"/>
            <w:rFonts w:cs="Times New Roman"/>
            <w:noProof/>
          </w:rPr>
          <w:t>Figure 2</w:t>
        </w:r>
        <w:r w:rsidR="0005064B" w:rsidRPr="003422DF">
          <w:rPr>
            <w:rStyle w:val="Hyperlink"/>
            <w:rFonts w:cs="Times New Roman"/>
            <w:noProof/>
          </w:rPr>
          <w:noBreakHyphen/>
          <w:t>6: The frequency of use of each research method in the relevant literature</w:t>
        </w:r>
        <w:r w:rsidR="0005064B">
          <w:rPr>
            <w:noProof/>
            <w:webHidden/>
          </w:rPr>
          <w:tab/>
        </w:r>
        <w:r w:rsidR="0005064B">
          <w:rPr>
            <w:noProof/>
            <w:webHidden/>
          </w:rPr>
          <w:fldChar w:fldCharType="begin"/>
        </w:r>
        <w:r w:rsidR="0005064B">
          <w:rPr>
            <w:noProof/>
            <w:webHidden/>
          </w:rPr>
          <w:instrText xml:space="preserve"> PAGEREF _Toc66698700 \h </w:instrText>
        </w:r>
        <w:r w:rsidR="0005064B">
          <w:rPr>
            <w:noProof/>
            <w:webHidden/>
          </w:rPr>
        </w:r>
        <w:r w:rsidR="0005064B">
          <w:rPr>
            <w:noProof/>
            <w:webHidden/>
          </w:rPr>
          <w:fldChar w:fldCharType="separate"/>
        </w:r>
        <w:r w:rsidR="0005064B">
          <w:rPr>
            <w:noProof/>
            <w:webHidden/>
          </w:rPr>
          <w:t>42</w:t>
        </w:r>
        <w:r w:rsidR="0005064B">
          <w:rPr>
            <w:noProof/>
            <w:webHidden/>
          </w:rPr>
          <w:fldChar w:fldCharType="end"/>
        </w:r>
      </w:hyperlink>
    </w:p>
    <w:p w14:paraId="09E670E0" w14:textId="12935360" w:rsidR="0005064B" w:rsidRDefault="000306D9" w:rsidP="0005064B">
      <w:pPr>
        <w:pStyle w:val="TableofFigures"/>
        <w:tabs>
          <w:tab w:val="right" w:leader="dot" w:pos="9016"/>
        </w:tabs>
        <w:spacing w:line="240" w:lineRule="auto"/>
        <w:rPr>
          <w:rFonts w:asciiTheme="minorHAnsi" w:hAnsiTheme="minorHAnsi"/>
          <w:noProof/>
          <w:sz w:val="22"/>
        </w:rPr>
      </w:pPr>
      <w:hyperlink w:anchor="_Toc66698701" w:history="1">
        <w:r w:rsidR="0005064B" w:rsidRPr="003422DF">
          <w:rPr>
            <w:rStyle w:val="Hyperlink"/>
            <w:rFonts w:cs="Times New Roman"/>
            <w:noProof/>
          </w:rPr>
          <w:t>Figure 2</w:t>
        </w:r>
        <w:r w:rsidR="0005064B" w:rsidRPr="003422DF">
          <w:rPr>
            <w:rStyle w:val="Hyperlink"/>
            <w:rFonts w:cs="Times New Roman"/>
            <w:noProof/>
          </w:rPr>
          <w:noBreakHyphen/>
          <w:t>7: Frequency of paper publication, by year, 2004-2019</w:t>
        </w:r>
        <w:r w:rsidR="0005064B">
          <w:rPr>
            <w:noProof/>
            <w:webHidden/>
          </w:rPr>
          <w:tab/>
        </w:r>
        <w:r w:rsidR="0005064B">
          <w:rPr>
            <w:noProof/>
            <w:webHidden/>
          </w:rPr>
          <w:fldChar w:fldCharType="begin"/>
        </w:r>
        <w:r w:rsidR="0005064B">
          <w:rPr>
            <w:noProof/>
            <w:webHidden/>
          </w:rPr>
          <w:instrText xml:space="preserve"> PAGEREF _Toc66698701 \h </w:instrText>
        </w:r>
        <w:r w:rsidR="0005064B">
          <w:rPr>
            <w:noProof/>
            <w:webHidden/>
          </w:rPr>
        </w:r>
        <w:r w:rsidR="0005064B">
          <w:rPr>
            <w:noProof/>
            <w:webHidden/>
          </w:rPr>
          <w:fldChar w:fldCharType="separate"/>
        </w:r>
        <w:r w:rsidR="0005064B">
          <w:rPr>
            <w:noProof/>
            <w:webHidden/>
          </w:rPr>
          <w:t>47</w:t>
        </w:r>
        <w:r w:rsidR="0005064B">
          <w:rPr>
            <w:noProof/>
            <w:webHidden/>
          </w:rPr>
          <w:fldChar w:fldCharType="end"/>
        </w:r>
      </w:hyperlink>
    </w:p>
    <w:p w14:paraId="6884EBC8" w14:textId="4FC5EC70" w:rsidR="0005064B" w:rsidRDefault="000306D9" w:rsidP="0005064B">
      <w:pPr>
        <w:pStyle w:val="TableofFigures"/>
        <w:tabs>
          <w:tab w:val="right" w:leader="dot" w:pos="9016"/>
        </w:tabs>
        <w:spacing w:line="240" w:lineRule="auto"/>
        <w:rPr>
          <w:rFonts w:asciiTheme="minorHAnsi" w:hAnsiTheme="minorHAnsi"/>
          <w:noProof/>
          <w:sz w:val="22"/>
        </w:rPr>
      </w:pPr>
      <w:hyperlink w:anchor="_Toc66698702" w:history="1">
        <w:r w:rsidR="0005064B" w:rsidRPr="003422DF">
          <w:rPr>
            <w:rStyle w:val="Hyperlink"/>
            <w:rFonts w:cs="Times New Roman"/>
            <w:noProof/>
          </w:rPr>
          <w:t>Figure 2</w:t>
        </w:r>
        <w:r w:rsidR="0005064B" w:rsidRPr="003422DF">
          <w:rPr>
            <w:rStyle w:val="Hyperlink"/>
            <w:rFonts w:cs="Times New Roman"/>
            <w:noProof/>
          </w:rPr>
          <w:noBreakHyphen/>
          <w:t>8: Map of urban consolidation centre (UCC) stakeholders, based on Freeman (2010) stakeholder theory</w:t>
        </w:r>
        <w:r w:rsidR="0005064B">
          <w:rPr>
            <w:noProof/>
            <w:webHidden/>
          </w:rPr>
          <w:tab/>
        </w:r>
        <w:r w:rsidR="0005064B">
          <w:rPr>
            <w:noProof/>
            <w:webHidden/>
          </w:rPr>
          <w:fldChar w:fldCharType="begin"/>
        </w:r>
        <w:r w:rsidR="0005064B">
          <w:rPr>
            <w:noProof/>
            <w:webHidden/>
          </w:rPr>
          <w:instrText xml:space="preserve"> PAGEREF _Toc66698702 \h </w:instrText>
        </w:r>
        <w:r w:rsidR="0005064B">
          <w:rPr>
            <w:noProof/>
            <w:webHidden/>
          </w:rPr>
        </w:r>
        <w:r w:rsidR="0005064B">
          <w:rPr>
            <w:noProof/>
            <w:webHidden/>
          </w:rPr>
          <w:fldChar w:fldCharType="separate"/>
        </w:r>
        <w:r w:rsidR="0005064B">
          <w:rPr>
            <w:noProof/>
            <w:webHidden/>
          </w:rPr>
          <w:t>49</w:t>
        </w:r>
        <w:r w:rsidR="0005064B">
          <w:rPr>
            <w:noProof/>
            <w:webHidden/>
          </w:rPr>
          <w:fldChar w:fldCharType="end"/>
        </w:r>
      </w:hyperlink>
    </w:p>
    <w:p w14:paraId="4E565084" w14:textId="401AF80A" w:rsidR="0005064B" w:rsidRDefault="000306D9" w:rsidP="0005064B">
      <w:pPr>
        <w:pStyle w:val="TableofFigures"/>
        <w:tabs>
          <w:tab w:val="right" w:leader="dot" w:pos="9016"/>
        </w:tabs>
        <w:spacing w:line="240" w:lineRule="auto"/>
        <w:rPr>
          <w:rFonts w:asciiTheme="minorHAnsi" w:hAnsiTheme="minorHAnsi"/>
          <w:noProof/>
          <w:sz w:val="22"/>
        </w:rPr>
      </w:pPr>
      <w:hyperlink w:anchor="_Toc66698703" w:history="1">
        <w:r w:rsidR="0005064B" w:rsidRPr="003422DF">
          <w:rPr>
            <w:rStyle w:val="Hyperlink"/>
            <w:rFonts w:cs="Times New Roman"/>
            <w:noProof/>
          </w:rPr>
          <w:t>Figure 2</w:t>
        </w:r>
        <w:r w:rsidR="0005064B" w:rsidRPr="003422DF">
          <w:rPr>
            <w:rStyle w:val="Hyperlink"/>
            <w:rFonts w:cs="Times New Roman"/>
            <w:noProof/>
          </w:rPr>
          <w:noBreakHyphen/>
          <w:t>9: Structure of four-tier urban consolidation centre (UCC) network</w:t>
        </w:r>
        <w:r w:rsidR="0005064B">
          <w:rPr>
            <w:noProof/>
            <w:webHidden/>
          </w:rPr>
          <w:tab/>
        </w:r>
        <w:r w:rsidR="0005064B">
          <w:rPr>
            <w:noProof/>
            <w:webHidden/>
          </w:rPr>
          <w:fldChar w:fldCharType="begin"/>
        </w:r>
        <w:r w:rsidR="0005064B">
          <w:rPr>
            <w:noProof/>
            <w:webHidden/>
          </w:rPr>
          <w:instrText xml:space="preserve"> PAGEREF _Toc66698703 \h </w:instrText>
        </w:r>
        <w:r w:rsidR="0005064B">
          <w:rPr>
            <w:noProof/>
            <w:webHidden/>
          </w:rPr>
        </w:r>
        <w:r w:rsidR="0005064B">
          <w:rPr>
            <w:noProof/>
            <w:webHidden/>
          </w:rPr>
          <w:fldChar w:fldCharType="separate"/>
        </w:r>
        <w:r w:rsidR="0005064B">
          <w:rPr>
            <w:noProof/>
            <w:webHidden/>
          </w:rPr>
          <w:t>52</w:t>
        </w:r>
        <w:r w:rsidR="0005064B">
          <w:rPr>
            <w:noProof/>
            <w:webHidden/>
          </w:rPr>
          <w:fldChar w:fldCharType="end"/>
        </w:r>
      </w:hyperlink>
    </w:p>
    <w:p w14:paraId="605BB144" w14:textId="37FB0730" w:rsidR="0005064B" w:rsidRDefault="000306D9" w:rsidP="0005064B">
      <w:pPr>
        <w:pStyle w:val="TableofFigures"/>
        <w:tabs>
          <w:tab w:val="right" w:leader="dot" w:pos="9016"/>
        </w:tabs>
        <w:spacing w:line="240" w:lineRule="auto"/>
        <w:rPr>
          <w:rFonts w:asciiTheme="minorHAnsi" w:hAnsiTheme="minorHAnsi"/>
          <w:noProof/>
          <w:sz w:val="22"/>
        </w:rPr>
      </w:pPr>
      <w:hyperlink w:anchor="_Toc66698704" w:history="1">
        <w:r w:rsidR="0005064B" w:rsidRPr="003422DF">
          <w:rPr>
            <w:rStyle w:val="Hyperlink"/>
            <w:rFonts w:cs="Times New Roman"/>
            <w:noProof/>
          </w:rPr>
          <w:t>Figure 3</w:t>
        </w:r>
        <w:r w:rsidR="0005064B" w:rsidRPr="003422DF">
          <w:rPr>
            <w:rStyle w:val="Hyperlink"/>
            <w:rFonts w:cs="Times New Roman"/>
            <w:noProof/>
          </w:rPr>
          <w:noBreakHyphen/>
          <w:t>1: Theoretical framework of the thesis</w:t>
        </w:r>
        <w:r w:rsidR="0005064B">
          <w:rPr>
            <w:noProof/>
            <w:webHidden/>
          </w:rPr>
          <w:tab/>
        </w:r>
        <w:r w:rsidR="0005064B">
          <w:rPr>
            <w:noProof/>
            <w:webHidden/>
          </w:rPr>
          <w:fldChar w:fldCharType="begin"/>
        </w:r>
        <w:r w:rsidR="0005064B">
          <w:rPr>
            <w:noProof/>
            <w:webHidden/>
          </w:rPr>
          <w:instrText xml:space="preserve"> PAGEREF _Toc66698704 \h </w:instrText>
        </w:r>
        <w:r w:rsidR="0005064B">
          <w:rPr>
            <w:noProof/>
            <w:webHidden/>
          </w:rPr>
        </w:r>
        <w:r w:rsidR="0005064B">
          <w:rPr>
            <w:noProof/>
            <w:webHidden/>
          </w:rPr>
          <w:fldChar w:fldCharType="separate"/>
        </w:r>
        <w:r w:rsidR="0005064B">
          <w:rPr>
            <w:noProof/>
            <w:webHidden/>
          </w:rPr>
          <w:t>80</w:t>
        </w:r>
        <w:r w:rsidR="0005064B">
          <w:rPr>
            <w:noProof/>
            <w:webHidden/>
          </w:rPr>
          <w:fldChar w:fldCharType="end"/>
        </w:r>
      </w:hyperlink>
    </w:p>
    <w:p w14:paraId="38AC6B53" w14:textId="747304D3" w:rsidR="0005064B" w:rsidRDefault="000306D9" w:rsidP="0005064B">
      <w:pPr>
        <w:pStyle w:val="TableofFigures"/>
        <w:tabs>
          <w:tab w:val="right" w:leader="dot" w:pos="9016"/>
        </w:tabs>
        <w:spacing w:line="240" w:lineRule="auto"/>
        <w:rPr>
          <w:rFonts w:asciiTheme="minorHAnsi" w:hAnsiTheme="minorHAnsi"/>
          <w:noProof/>
          <w:sz w:val="22"/>
        </w:rPr>
      </w:pPr>
      <w:hyperlink w:anchor="_Toc66698705" w:history="1">
        <w:r w:rsidR="0005064B" w:rsidRPr="003422DF">
          <w:rPr>
            <w:rStyle w:val="Hyperlink"/>
            <w:rFonts w:cs="Times New Roman"/>
            <w:noProof/>
          </w:rPr>
          <w:t>Figure 3</w:t>
        </w:r>
        <w:r w:rsidR="0005064B" w:rsidRPr="003422DF">
          <w:rPr>
            <w:rStyle w:val="Hyperlink"/>
            <w:rFonts w:cs="Times New Roman"/>
            <w:noProof/>
          </w:rPr>
          <w:noBreakHyphen/>
          <w:t>2: Research structure</w:t>
        </w:r>
        <w:r w:rsidR="0005064B">
          <w:rPr>
            <w:noProof/>
            <w:webHidden/>
          </w:rPr>
          <w:tab/>
        </w:r>
        <w:r w:rsidR="0005064B">
          <w:rPr>
            <w:noProof/>
            <w:webHidden/>
          </w:rPr>
          <w:fldChar w:fldCharType="begin"/>
        </w:r>
        <w:r w:rsidR="0005064B">
          <w:rPr>
            <w:noProof/>
            <w:webHidden/>
          </w:rPr>
          <w:instrText xml:space="preserve"> PAGEREF _Toc66698705 \h </w:instrText>
        </w:r>
        <w:r w:rsidR="0005064B">
          <w:rPr>
            <w:noProof/>
            <w:webHidden/>
          </w:rPr>
        </w:r>
        <w:r w:rsidR="0005064B">
          <w:rPr>
            <w:noProof/>
            <w:webHidden/>
          </w:rPr>
          <w:fldChar w:fldCharType="separate"/>
        </w:r>
        <w:r w:rsidR="0005064B">
          <w:rPr>
            <w:noProof/>
            <w:webHidden/>
          </w:rPr>
          <w:t>81</w:t>
        </w:r>
        <w:r w:rsidR="0005064B">
          <w:rPr>
            <w:noProof/>
            <w:webHidden/>
          </w:rPr>
          <w:fldChar w:fldCharType="end"/>
        </w:r>
      </w:hyperlink>
    </w:p>
    <w:p w14:paraId="499E1F07" w14:textId="36CFF7CD" w:rsidR="0005064B" w:rsidRDefault="000306D9" w:rsidP="0005064B">
      <w:pPr>
        <w:pStyle w:val="TableofFigures"/>
        <w:tabs>
          <w:tab w:val="right" w:leader="dot" w:pos="9016"/>
        </w:tabs>
        <w:spacing w:line="240" w:lineRule="auto"/>
        <w:rPr>
          <w:rFonts w:asciiTheme="minorHAnsi" w:hAnsiTheme="minorHAnsi"/>
          <w:noProof/>
          <w:sz w:val="22"/>
        </w:rPr>
      </w:pPr>
      <w:hyperlink w:anchor="_Toc66698706" w:history="1">
        <w:r w:rsidR="0005064B" w:rsidRPr="003422DF">
          <w:rPr>
            <w:rStyle w:val="Hyperlink"/>
            <w:noProof/>
          </w:rPr>
          <w:t>Figure 3</w:t>
        </w:r>
        <w:r w:rsidR="0005064B" w:rsidRPr="003422DF">
          <w:rPr>
            <w:rStyle w:val="Hyperlink"/>
            <w:noProof/>
          </w:rPr>
          <w:noBreakHyphen/>
          <w:t>3:</w:t>
        </w:r>
        <w:r w:rsidR="0005064B" w:rsidRPr="003422DF">
          <w:rPr>
            <w:rStyle w:val="Hyperlink"/>
            <w:rFonts w:cs="Times New Roman"/>
            <w:noProof/>
          </w:rPr>
          <w:t xml:space="preserve"> Sequential design of thesis</w:t>
        </w:r>
        <w:r w:rsidR="0005064B">
          <w:rPr>
            <w:noProof/>
            <w:webHidden/>
          </w:rPr>
          <w:tab/>
        </w:r>
        <w:r w:rsidR="0005064B">
          <w:rPr>
            <w:noProof/>
            <w:webHidden/>
          </w:rPr>
          <w:fldChar w:fldCharType="begin"/>
        </w:r>
        <w:r w:rsidR="0005064B">
          <w:rPr>
            <w:noProof/>
            <w:webHidden/>
          </w:rPr>
          <w:instrText xml:space="preserve"> PAGEREF _Toc66698706 \h </w:instrText>
        </w:r>
        <w:r w:rsidR="0005064B">
          <w:rPr>
            <w:noProof/>
            <w:webHidden/>
          </w:rPr>
        </w:r>
        <w:r w:rsidR="0005064B">
          <w:rPr>
            <w:noProof/>
            <w:webHidden/>
          </w:rPr>
          <w:fldChar w:fldCharType="separate"/>
        </w:r>
        <w:r w:rsidR="0005064B">
          <w:rPr>
            <w:noProof/>
            <w:webHidden/>
          </w:rPr>
          <w:t>84</w:t>
        </w:r>
        <w:r w:rsidR="0005064B">
          <w:rPr>
            <w:noProof/>
            <w:webHidden/>
          </w:rPr>
          <w:fldChar w:fldCharType="end"/>
        </w:r>
      </w:hyperlink>
    </w:p>
    <w:p w14:paraId="52191B25" w14:textId="7A09F9FD" w:rsidR="0005064B" w:rsidRDefault="000306D9" w:rsidP="0005064B">
      <w:pPr>
        <w:pStyle w:val="TableofFigures"/>
        <w:tabs>
          <w:tab w:val="right" w:leader="dot" w:pos="9016"/>
        </w:tabs>
        <w:spacing w:line="240" w:lineRule="auto"/>
        <w:rPr>
          <w:rFonts w:asciiTheme="minorHAnsi" w:hAnsiTheme="minorHAnsi"/>
          <w:noProof/>
          <w:sz w:val="22"/>
        </w:rPr>
      </w:pPr>
      <w:hyperlink w:anchor="_Toc66698707" w:history="1">
        <w:r w:rsidR="0005064B" w:rsidRPr="003422DF">
          <w:rPr>
            <w:rStyle w:val="Hyperlink"/>
            <w:rFonts w:cs="Times New Roman"/>
            <w:noProof/>
          </w:rPr>
          <w:t>Figure 3</w:t>
        </w:r>
        <w:r w:rsidR="0005064B" w:rsidRPr="003422DF">
          <w:rPr>
            <w:rStyle w:val="Hyperlink"/>
            <w:rFonts w:cs="Times New Roman"/>
            <w:noProof/>
          </w:rPr>
          <w:noBreakHyphen/>
          <w:t>4: Braun and Clarke’s model of thematic analysis</w:t>
        </w:r>
        <w:r w:rsidR="0005064B">
          <w:rPr>
            <w:noProof/>
            <w:webHidden/>
          </w:rPr>
          <w:tab/>
        </w:r>
        <w:r w:rsidR="0005064B">
          <w:rPr>
            <w:noProof/>
            <w:webHidden/>
          </w:rPr>
          <w:fldChar w:fldCharType="begin"/>
        </w:r>
        <w:r w:rsidR="0005064B">
          <w:rPr>
            <w:noProof/>
            <w:webHidden/>
          </w:rPr>
          <w:instrText xml:space="preserve"> PAGEREF _Toc66698707 \h </w:instrText>
        </w:r>
        <w:r w:rsidR="0005064B">
          <w:rPr>
            <w:noProof/>
            <w:webHidden/>
          </w:rPr>
        </w:r>
        <w:r w:rsidR="0005064B">
          <w:rPr>
            <w:noProof/>
            <w:webHidden/>
          </w:rPr>
          <w:fldChar w:fldCharType="separate"/>
        </w:r>
        <w:r w:rsidR="0005064B">
          <w:rPr>
            <w:noProof/>
            <w:webHidden/>
          </w:rPr>
          <w:t>89</w:t>
        </w:r>
        <w:r w:rsidR="0005064B">
          <w:rPr>
            <w:noProof/>
            <w:webHidden/>
          </w:rPr>
          <w:fldChar w:fldCharType="end"/>
        </w:r>
      </w:hyperlink>
    </w:p>
    <w:p w14:paraId="28333ED9" w14:textId="12E9CB48" w:rsidR="0005064B" w:rsidRDefault="000306D9" w:rsidP="0005064B">
      <w:pPr>
        <w:pStyle w:val="TableofFigures"/>
        <w:tabs>
          <w:tab w:val="right" w:leader="dot" w:pos="9016"/>
        </w:tabs>
        <w:spacing w:line="240" w:lineRule="auto"/>
        <w:rPr>
          <w:rFonts w:asciiTheme="minorHAnsi" w:hAnsiTheme="minorHAnsi"/>
          <w:noProof/>
          <w:sz w:val="22"/>
        </w:rPr>
      </w:pPr>
      <w:hyperlink w:anchor="_Toc66698708" w:history="1">
        <w:r w:rsidR="0005064B" w:rsidRPr="003422DF">
          <w:rPr>
            <w:rStyle w:val="Hyperlink"/>
            <w:rFonts w:cs="Times New Roman"/>
            <w:noProof/>
          </w:rPr>
          <w:t>Figure 3</w:t>
        </w:r>
        <w:r w:rsidR="0005064B" w:rsidRPr="003422DF">
          <w:rPr>
            <w:rStyle w:val="Hyperlink"/>
            <w:rFonts w:cs="Times New Roman"/>
            <w:noProof/>
          </w:rPr>
          <w:noBreakHyphen/>
          <w:t>5: Comparative Analysis Combing both Quantitative and Qualitative Data</w:t>
        </w:r>
        <w:r w:rsidR="0005064B">
          <w:rPr>
            <w:noProof/>
            <w:webHidden/>
          </w:rPr>
          <w:tab/>
        </w:r>
        <w:r w:rsidR="0005064B">
          <w:rPr>
            <w:noProof/>
            <w:webHidden/>
          </w:rPr>
          <w:fldChar w:fldCharType="begin"/>
        </w:r>
        <w:r w:rsidR="0005064B">
          <w:rPr>
            <w:noProof/>
            <w:webHidden/>
          </w:rPr>
          <w:instrText xml:space="preserve"> PAGEREF _Toc66698708 \h </w:instrText>
        </w:r>
        <w:r w:rsidR="0005064B">
          <w:rPr>
            <w:noProof/>
            <w:webHidden/>
          </w:rPr>
        </w:r>
        <w:r w:rsidR="0005064B">
          <w:rPr>
            <w:noProof/>
            <w:webHidden/>
          </w:rPr>
          <w:fldChar w:fldCharType="separate"/>
        </w:r>
        <w:r w:rsidR="0005064B">
          <w:rPr>
            <w:noProof/>
            <w:webHidden/>
          </w:rPr>
          <w:t>90</w:t>
        </w:r>
        <w:r w:rsidR="0005064B">
          <w:rPr>
            <w:noProof/>
            <w:webHidden/>
          </w:rPr>
          <w:fldChar w:fldCharType="end"/>
        </w:r>
      </w:hyperlink>
    </w:p>
    <w:p w14:paraId="50FECD98" w14:textId="32B8C0A1" w:rsidR="0005064B" w:rsidRDefault="000306D9" w:rsidP="0005064B">
      <w:pPr>
        <w:pStyle w:val="TableofFigures"/>
        <w:tabs>
          <w:tab w:val="right" w:leader="dot" w:pos="9016"/>
        </w:tabs>
        <w:spacing w:line="240" w:lineRule="auto"/>
        <w:rPr>
          <w:rFonts w:asciiTheme="minorHAnsi" w:hAnsiTheme="minorHAnsi"/>
          <w:noProof/>
          <w:sz w:val="22"/>
        </w:rPr>
      </w:pPr>
      <w:hyperlink w:anchor="_Toc66698709" w:history="1">
        <w:r w:rsidR="0005064B" w:rsidRPr="003422DF">
          <w:rPr>
            <w:rStyle w:val="Hyperlink"/>
            <w:noProof/>
          </w:rPr>
          <w:t>Figure 3</w:t>
        </w:r>
        <w:r w:rsidR="0005064B" w:rsidRPr="003422DF">
          <w:rPr>
            <w:rStyle w:val="Hyperlink"/>
            <w:noProof/>
          </w:rPr>
          <w:noBreakHyphen/>
          <w:t>6: Cost sharing principles</w:t>
        </w:r>
        <w:r w:rsidR="0005064B">
          <w:rPr>
            <w:noProof/>
            <w:webHidden/>
          </w:rPr>
          <w:tab/>
        </w:r>
        <w:r w:rsidR="0005064B">
          <w:rPr>
            <w:noProof/>
            <w:webHidden/>
          </w:rPr>
          <w:fldChar w:fldCharType="begin"/>
        </w:r>
        <w:r w:rsidR="0005064B">
          <w:rPr>
            <w:noProof/>
            <w:webHidden/>
          </w:rPr>
          <w:instrText xml:space="preserve"> PAGEREF _Toc66698709 \h </w:instrText>
        </w:r>
        <w:r w:rsidR="0005064B">
          <w:rPr>
            <w:noProof/>
            <w:webHidden/>
          </w:rPr>
        </w:r>
        <w:r w:rsidR="0005064B">
          <w:rPr>
            <w:noProof/>
            <w:webHidden/>
          </w:rPr>
          <w:fldChar w:fldCharType="separate"/>
        </w:r>
        <w:r w:rsidR="0005064B">
          <w:rPr>
            <w:noProof/>
            <w:webHidden/>
          </w:rPr>
          <w:t>94</w:t>
        </w:r>
        <w:r w:rsidR="0005064B">
          <w:rPr>
            <w:noProof/>
            <w:webHidden/>
          </w:rPr>
          <w:fldChar w:fldCharType="end"/>
        </w:r>
      </w:hyperlink>
    </w:p>
    <w:p w14:paraId="5A2213FD" w14:textId="07BE1F85" w:rsidR="0005064B" w:rsidRDefault="000306D9" w:rsidP="0005064B">
      <w:pPr>
        <w:pStyle w:val="TableofFigures"/>
        <w:tabs>
          <w:tab w:val="right" w:leader="dot" w:pos="9016"/>
        </w:tabs>
        <w:spacing w:line="240" w:lineRule="auto"/>
        <w:rPr>
          <w:rFonts w:asciiTheme="minorHAnsi" w:hAnsiTheme="minorHAnsi"/>
          <w:noProof/>
          <w:sz w:val="22"/>
        </w:rPr>
      </w:pPr>
      <w:hyperlink w:anchor="_Toc66698710" w:history="1">
        <w:r w:rsidR="0005064B" w:rsidRPr="003422DF">
          <w:rPr>
            <w:rStyle w:val="Hyperlink"/>
            <w:noProof/>
          </w:rPr>
          <w:t>Figure 4</w:t>
        </w:r>
        <w:r w:rsidR="0005064B" w:rsidRPr="003422DF">
          <w:rPr>
            <w:rStyle w:val="Hyperlink"/>
            <w:noProof/>
          </w:rPr>
          <w:noBreakHyphen/>
          <w:t>1: Classical cost categories of UCC</w:t>
        </w:r>
        <w:r w:rsidR="0005064B">
          <w:rPr>
            <w:noProof/>
            <w:webHidden/>
          </w:rPr>
          <w:tab/>
        </w:r>
        <w:r w:rsidR="0005064B">
          <w:rPr>
            <w:noProof/>
            <w:webHidden/>
          </w:rPr>
          <w:fldChar w:fldCharType="begin"/>
        </w:r>
        <w:r w:rsidR="0005064B">
          <w:rPr>
            <w:noProof/>
            <w:webHidden/>
          </w:rPr>
          <w:instrText xml:space="preserve"> PAGEREF _Toc66698710 \h </w:instrText>
        </w:r>
        <w:r w:rsidR="0005064B">
          <w:rPr>
            <w:noProof/>
            <w:webHidden/>
          </w:rPr>
        </w:r>
        <w:r w:rsidR="0005064B">
          <w:rPr>
            <w:noProof/>
            <w:webHidden/>
          </w:rPr>
          <w:fldChar w:fldCharType="separate"/>
        </w:r>
        <w:r w:rsidR="0005064B">
          <w:rPr>
            <w:noProof/>
            <w:webHidden/>
          </w:rPr>
          <w:t>101</w:t>
        </w:r>
        <w:r w:rsidR="0005064B">
          <w:rPr>
            <w:noProof/>
            <w:webHidden/>
          </w:rPr>
          <w:fldChar w:fldCharType="end"/>
        </w:r>
      </w:hyperlink>
    </w:p>
    <w:p w14:paraId="6865AD98" w14:textId="34643418" w:rsidR="0005064B" w:rsidRDefault="000306D9" w:rsidP="0005064B">
      <w:pPr>
        <w:pStyle w:val="TableofFigures"/>
        <w:tabs>
          <w:tab w:val="right" w:leader="dot" w:pos="9016"/>
        </w:tabs>
        <w:spacing w:line="240" w:lineRule="auto"/>
        <w:rPr>
          <w:rFonts w:asciiTheme="minorHAnsi" w:hAnsiTheme="minorHAnsi"/>
          <w:noProof/>
          <w:sz w:val="22"/>
        </w:rPr>
      </w:pPr>
      <w:hyperlink w:anchor="_Toc66698711" w:history="1">
        <w:r w:rsidR="0005064B" w:rsidRPr="003422DF">
          <w:rPr>
            <w:rStyle w:val="Hyperlink"/>
            <w:noProof/>
          </w:rPr>
          <w:t>Figure 4</w:t>
        </w:r>
        <w:r w:rsidR="0005064B" w:rsidRPr="003422DF">
          <w:rPr>
            <w:rStyle w:val="Hyperlink"/>
            <w:noProof/>
          </w:rPr>
          <w:noBreakHyphen/>
          <w:t>2: Cost categories according the goods shipments</w:t>
        </w:r>
        <w:r w:rsidR="0005064B">
          <w:rPr>
            <w:noProof/>
            <w:webHidden/>
          </w:rPr>
          <w:tab/>
        </w:r>
        <w:r w:rsidR="0005064B">
          <w:rPr>
            <w:noProof/>
            <w:webHidden/>
          </w:rPr>
          <w:fldChar w:fldCharType="begin"/>
        </w:r>
        <w:r w:rsidR="0005064B">
          <w:rPr>
            <w:noProof/>
            <w:webHidden/>
          </w:rPr>
          <w:instrText xml:space="preserve"> PAGEREF _Toc66698711 \h </w:instrText>
        </w:r>
        <w:r w:rsidR="0005064B">
          <w:rPr>
            <w:noProof/>
            <w:webHidden/>
          </w:rPr>
        </w:r>
        <w:r w:rsidR="0005064B">
          <w:rPr>
            <w:noProof/>
            <w:webHidden/>
          </w:rPr>
          <w:fldChar w:fldCharType="separate"/>
        </w:r>
        <w:r w:rsidR="0005064B">
          <w:rPr>
            <w:noProof/>
            <w:webHidden/>
          </w:rPr>
          <w:t>101</w:t>
        </w:r>
        <w:r w:rsidR="0005064B">
          <w:rPr>
            <w:noProof/>
            <w:webHidden/>
          </w:rPr>
          <w:fldChar w:fldCharType="end"/>
        </w:r>
      </w:hyperlink>
    </w:p>
    <w:p w14:paraId="1FC19482" w14:textId="6594239E" w:rsidR="0005064B" w:rsidRDefault="000306D9" w:rsidP="0005064B">
      <w:pPr>
        <w:pStyle w:val="TableofFigures"/>
        <w:tabs>
          <w:tab w:val="right" w:leader="dot" w:pos="9016"/>
        </w:tabs>
        <w:spacing w:line="240" w:lineRule="auto"/>
        <w:rPr>
          <w:rFonts w:asciiTheme="minorHAnsi" w:hAnsiTheme="minorHAnsi"/>
          <w:noProof/>
          <w:sz w:val="22"/>
        </w:rPr>
      </w:pPr>
      <w:hyperlink w:anchor="_Toc66698712" w:history="1">
        <w:r w:rsidR="0005064B" w:rsidRPr="003422DF">
          <w:rPr>
            <w:rStyle w:val="Hyperlink"/>
            <w:rFonts w:cs="Times New Roman"/>
            <w:noProof/>
          </w:rPr>
          <w:t>Figure 4</w:t>
        </w:r>
        <w:r w:rsidR="0005064B" w:rsidRPr="003422DF">
          <w:rPr>
            <w:rStyle w:val="Hyperlink"/>
            <w:rFonts w:cs="Times New Roman"/>
            <w:noProof/>
          </w:rPr>
          <w:noBreakHyphen/>
          <w:t>3: Goods moving process of the urban consolidation centre (UCC)</w:t>
        </w:r>
        <w:r w:rsidR="0005064B">
          <w:rPr>
            <w:noProof/>
            <w:webHidden/>
          </w:rPr>
          <w:tab/>
        </w:r>
        <w:r w:rsidR="0005064B">
          <w:rPr>
            <w:noProof/>
            <w:webHidden/>
          </w:rPr>
          <w:fldChar w:fldCharType="begin"/>
        </w:r>
        <w:r w:rsidR="0005064B">
          <w:rPr>
            <w:noProof/>
            <w:webHidden/>
          </w:rPr>
          <w:instrText xml:space="preserve"> PAGEREF _Toc66698712 \h </w:instrText>
        </w:r>
        <w:r w:rsidR="0005064B">
          <w:rPr>
            <w:noProof/>
            <w:webHidden/>
          </w:rPr>
        </w:r>
        <w:r w:rsidR="0005064B">
          <w:rPr>
            <w:noProof/>
            <w:webHidden/>
          </w:rPr>
          <w:fldChar w:fldCharType="separate"/>
        </w:r>
        <w:r w:rsidR="0005064B">
          <w:rPr>
            <w:noProof/>
            <w:webHidden/>
          </w:rPr>
          <w:t>103</w:t>
        </w:r>
        <w:r w:rsidR="0005064B">
          <w:rPr>
            <w:noProof/>
            <w:webHidden/>
          </w:rPr>
          <w:fldChar w:fldCharType="end"/>
        </w:r>
      </w:hyperlink>
    </w:p>
    <w:p w14:paraId="606B1578" w14:textId="77B0492C" w:rsidR="0005064B" w:rsidRDefault="000306D9" w:rsidP="0005064B">
      <w:pPr>
        <w:pStyle w:val="TableofFigures"/>
        <w:tabs>
          <w:tab w:val="right" w:leader="dot" w:pos="9016"/>
        </w:tabs>
        <w:spacing w:line="240" w:lineRule="auto"/>
        <w:rPr>
          <w:rFonts w:asciiTheme="minorHAnsi" w:hAnsiTheme="minorHAnsi"/>
          <w:noProof/>
          <w:sz w:val="22"/>
        </w:rPr>
      </w:pPr>
      <w:hyperlink w:anchor="_Toc66698713" w:history="1">
        <w:r w:rsidR="0005064B" w:rsidRPr="003422DF">
          <w:rPr>
            <w:rStyle w:val="Hyperlink"/>
            <w:rFonts w:cs="Times New Roman"/>
            <w:noProof/>
          </w:rPr>
          <w:t>Figure 4</w:t>
        </w:r>
        <w:r w:rsidR="0005064B" w:rsidRPr="003422DF">
          <w:rPr>
            <w:rStyle w:val="Hyperlink"/>
            <w:rFonts w:cs="Times New Roman"/>
            <w:noProof/>
          </w:rPr>
          <w:noBreakHyphen/>
          <w:t>4: Urban delivery process</w:t>
        </w:r>
        <w:r w:rsidR="0005064B">
          <w:rPr>
            <w:noProof/>
            <w:webHidden/>
          </w:rPr>
          <w:tab/>
        </w:r>
        <w:r w:rsidR="0005064B">
          <w:rPr>
            <w:noProof/>
            <w:webHidden/>
          </w:rPr>
          <w:fldChar w:fldCharType="begin"/>
        </w:r>
        <w:r w:rsidR="0005064B">
          <w:rPr>
            <w:noProof/>
            <w:webHidden/>
          </w:rPr>
          <w:instrText xml:space="preserve"> PAGEREF _Toc66698713 \h </w:instrText>
        </w:r>
        <w:r w:rsidR="0005064B">
          <w:rPr>
            <w:noProof/>
            <w:webHidden/>
          </w:rPr>
        </w:r>
        <w:r w:rsidR="0005064B">
          <w:rPr>
            <w:noProof/>
            <w:webHidden/>
          </w:rPr>
          <w:fldChar w:fldCharType="separate"/>
        </w:r>
        <w:r w:rsidR="0005064B">
          <w:rPr>
            <w:noProof/>
            <w:webHidden/>
          </w:rPr>
          <w:t>104</w:t>
        </w:r>
        <w:r w:rsidR="0005064B">
          <w:rPr>
            <w:noProof/>
            <w:webHidden/>
          </w:rPr>
          <w:fldChar w:fldCharType="end"/>
        </w:r>
      </w:hyperlink>
    </w:p>
    <w:p w14:paraId="0723790F" w14:textId="548B7FFA" w:rsidR="0005064B" w:rsidRDefault="000306D9" w:rsidP="0005064B">
      <w:pPr>
        <w:pStyle w:val="TableofFigures"/>
        <w:tabs>
          <w:tab w:val="right" w:leader="dot" w:pos="9016"/>
        </w:tabs>
        <w:spacing w:line="240" w:lineRule="auto"/>
        <w:rPr>
          <w:rFonts w:asciiTheme="minorHAnsi" w:hAnsiTheme="minorHAnsi"/>
          <w:noProof/>
          <w:sz w:val="22"/>
        </w:rPr>
      </w:pPr>
      <w:hyperlink w:anchor="_Toc66698714" w:history="1">
        <w:r w:rsidR="0005064B" w:rsidRPr="003422DF">
          <w:rPr>
            <w:rStyle w:val="Hyperlink"/>
            <w:rFonts w:cs="Times New Roman"/>
            <w:noProof/>
          </w:rPr>
          <w:t>Figure 5</w:t>
        </w:r>
        <w:r w:rsidR="0005064B" w:rsidRPr="003422DF">
          <w:rPr>
            <w:rStyle w:val="Hyperlink"/>
            <w:rFonts w:cs="Times New Roman"/>
            <w:noProof/>
          </w:rPr>
          <w:noBreakHyphen/>
          <w:t>1: Approach to analysis of urban consolidation centre (UCC) stakeholder engagement</w:t>
        </w:r>
        <w:r w:rsidR="0005064B">
          <w:rPr>
            <w:noProof/>
            <w:webHidden/>
          </w:rPr>
          <w:tab/>
        </w:r>
        <w:r w:rsidR="0005064B">
          <w:rPr>
            <w:noProof/>
            <w:webHidden/>
          </w:rPr>
          <w:fldChar w:fldCharType="begin"/>
        </w:r>
        <w:r w:rsidR="0005064B">
          <w:rPr>
            <w:noProof/>
            <w:webHidden/>
          </w:rPr>
          <w:instrText xml:space="preserve"> PAGEREF _Toc66698714 \h </w:instrText>
        </w:r>
        <w:r w:rsidR="0005064B">
          <w:rPr>
            <w:noProof/>
            <w:webHidden/>
          </w:rPr>
        </w:r>
        <w:r w:rsidR="0005064B">
          <w:rPr>
            <w:noProof/>
            <w:webHidden/>
          </w:rPr>
          <w:fldChar w:fldCharType="separate"/>
        </w:r>
        <w:r w:rsidR="0005064B">
          <w:rPr>
            <w:noProof/>
            <w:webHidden/>
          </w:rPr>
          <w:t>109</w:t>
        </w:r>
        <w:r w:rsidR="0005064B">
          <w:rPr>
            <w:noProof/>
            <w:webHidden/>
          </w:rPr>
          <w:fldChar w:fldCharType="end"/>
        </w:r>
      </w:hyperlink>
    </w:p>
    <w:p w14:paraId="76E7ED77" w14:textId="41F091F1" w:rsidR="0005064B" w:rsidRDefault="000306D9" w:rsidP="0005064B">
      <w:pPr>
        <w:pStyle w:val="TableofFigures"/>
        <w:tabs>
          <w:tab w:val="right" w:leader="dot" w:pos="9016"/>
        </w:tabs>
        <w:spacing w:line="240" w:lineRule="auto"/>
        <w:rPr>
          <w:rFonts w:asciiTheme="minorHAnsi" w:hAnsiTheme="minorHAnsi"/>
          <w:noProof/>
          <w:sz w:val="22"/>
        </w:rPr>
      </w:pPr>
      <w:hyperlink w:anchor="_Toc66698715" w:history="1">
        <w:r w:rsidR="0005064B" w:rsidRPr="003422DF">
          <w:rPr>
            <w:rStyle w:val="Hyperlink"/>
            <w:rFonts w:cs="Times New Roman"/>
            <w:noProof/>
          </w:rPr>
          <w:t>Figure 5</w:t>
        </w:r>
        <w:r w:rsidR="0005064B" w:rsidRPr="003422DF">
          <w:rPr>
            <w:rStyle w:val="Hyperlink"/>
            <w:rFonts w:cs="Times New Roman"/>
            <w:noProof/>
          </w:rPr>
          <w:noBreakHyphen/>
          <w:t>2: Modified map of urban conslidation centre (UCC) stakeholder relationships</w:t>
        </w:r>
        <w:r w:rsidR="0005064B">
          <w:rPr>
            <w:noProof/>
            <w:webHidden/>
          </w:rPr>
          <w:tab/>
        </w:r>
        <w:r w:rsidR="0005064B">
          <w:rPr>
            <w:noProof/>
            <w:webHidden/>
          </w:rPr>
          <w:fldChar w:fldCharType="begin"/>
        </w:r>
        <w:r w:rsidR="0005064B">
          <w:rPr>
            <w:noProof/>
            <w:webHidden/>
          </w:rPr>
          <w:instrText xml:space="preserve"> PAGEREF _Toc66698715 \h </w:instrText>
        </w:r>
        <w:r w:rsidR="0005064B">
          <w:rPr>
            <w:noProof/>
            <w:webHidden/>
          </w:rPr>
        </w:r>
        <w:r w:rsidR="0005064B">
          <w:rPr>
            <w:noProof/>
            <w:webHidden/>
          </w:rPr>
          <w:fldChar w:fldCharType="separate"/>
        </w:r>
        <w:r w:rsidR="0005064B">
          <w:rPr>
            <w:noProof/>
            <w:webHidden/>
          </w:rPr>
          <w:t>114</w:t>
        </w:r>
        <w:r w:rsidR="0005064B">
          <w:rPr>
            <w:noProof/>
            <w:webHidden/>
          </w:rPr>
          <w:fldChar w:fldCharType="end"/>
        </w:r>
      </w:hyperlink>
    </w:p>
    <w:p w14:paraId="3A8DF733" w14:textId="4CEC2688" w:rsidR="0005064B" w:rsidRDefault="000306D9" w:rsidP="0005064B">
      <w:pPr>
        <w:pStyle w:val="TableofFigures"/>
        <w:tabs>
          <w:tab w:val="right" w:leader="dot" w:pos="9016"/>
        </w:tabs>
        <w:spacing w:line="240" w:lineRule="auto"/>
        <w:rPr>
          <w:rFonts w:asciiTheme="minorHAnsi" w:hAnsiTheme="minorHAnsi"/>
          <w:noProof/>
          <w:sz w:val="22"/>
        </w:rPr>
      </w:pPr>
      <w:hyperlink w:anchor="_Toc66698716" w:history="1">
        <w:r w:rsidR="0005064B" w:rsidRPr="003422DF">
          <w:rPr>
            <w:rStyle w:val="Hyperlink"/>
            <w:rFonts w:cs="Times New Roman"/>
            <w:noProof/>
          </w:rPr>
          <w:t>Figure 5</w:t>
        </w:r>
        <w:r w:rsidR="0005064B" w:rsidRPr="003422DF">
          <w:rPr>
            <w:rStyle w:val="Hyperlink"/>
            <w:rFonts w:cs="Times New Roman"/>
            <w:noProof/>
          </w:rPr>
          <w:noBreakHyphen/>
          <w:t>3: Process of urban consolidation centre (UCC) establishment</w:t>
        </w:r>
        <w:r w:rsidR="0005064B">
          <w:rPr>
            <w:noProof/>
            <w:webHidden/>
          </w:rPr>
          <w:tab/>
        </w:r>
        <w:r w:rsidR="0005064B">
          <w:rPr>
            <w:noProof/>
            <w:webHidden/>
          </w:rPr>
          <w:fldChar w:fldCharType="begin"/>
        </w:r>
        <w:r w:rsidR="0005064B">
          <w:rPr>
            <w:noProof/>
            <w:webHidden/>
          </w:rPr>
          <w:instrText xml:space="preserve"> PAGEREF _Toc66698716 \h </w:instrText>
        </w:r>
        <w:r w:rsidR="0005064B">
          <w:rPr>
            <w:noProof/>
            <w:webHidden/>
          </w:rPr>
        </w:r>
        <w:r w:rsidR="0005064B">
          <w:rPr>
            <w:noProof/>
            <w:webHidden/>
          </w:rPr>
          <w:fldChar w:fldCharType="separate"/>
        </w:r>
        <w:r w:rsidR="0005064B">
          <w:rPr>
            <w:noProof/>
            <w:webHidden/>
          </w:rPr>
          <w:t>117</w:t>
        </w:r>
        <w:r w:rsidR="0005064B">
          <w:rPr>
            <w:noProof/>
            <w:webHidden/>
          </w:rPr>
          <w:fldChar w:fldCharType="end"/>
        </w:r>
      </w:hyperlink>
    </w:p>
    <w:p w14:paraId="73513ADD" w14:textId="38DE55CD" w:rsidR="0005064B" w:rsidRDefault="000306D9" w:rsidP="0005064B">
      <w:pPr>
        <w:pStyle w:val="TableofFigures"/>
        <w:tabs>
          <w:tab w:val="right" w:leader="dot" w:pos="9016"/>
        </w:tabs>
        <w:spacing w:line="240" w:lineRule="auto"/>
        <w:rPr>
          <w:rFonts w:asciiTheme="minorHAnsi" w:hAnsiTheme="minorHAnsi"/>
          <w:noProof/>
          <w:sz w:val="22"/>
        </w:rPr>
      </w:pPr>
      <w:hyperlink w:anchor="_Toc66698717" w:history="1">
        <w:r w:rsidR="0005064B" w:rsidRPr="003422DF">
          <w:rPr>
            <w:rStyle w:val="Hyperlink"/>
            <w:rFonts w:cs="Times New Roman"/>
            <w:noProof/>
          </w:rPr>
          <w:t>Figure 5</w:t>
        </w:r>
        <w:r w:rsidR="0005064B" w:rsidRPr="003422DF">
          <w:rPr>
            <w:rStyle w:val="Hyperlink"/>
            <w:rFonts w:cs="Times New Roman"/>
            <w:noProof/>
          </w:rPr>
          <w:noBreakHyphen/>
          <w:t>4: Relationships in the urban consolidation centre (UCC) project and the users</w:t>
        </w:r>
        <w:r w:rsidR="0005064B">
          <w:rPr>
            <w:noProof/>
            <w:webHidden/>
          </w:rPr>
          <w:tab/>
        </w:r>
        <w:r w:rsidR="0005064B">
          <w:rPr>
            <w:noProof/>
            <w:webHidden/>
          </w:rPr>
          <w:fldChar w:fldCharType="begin"/>
        </w:r>
        <w:r w:rsidR="0005064B">
          <w:rPr>
            <w:noProof/>
            <w:webHidden/>
          </w:rPr>
          <w:instrText xml:space="preserve"> PAGEREF _Toc66698717 \h </w:instrText>
        </w:r>
        <w:r w:rsidR="0005064B">
          <w:rPr>
            <w:noProof/>
            <w:webHidden/>
          </w:rPr>
        </w:r>
        <w:r w:rsidR="0005064B">
          <w:rPr>
            <w:noProof/>
            <w:webHidden/>
          </w:rPr>
          <w:fldChar w:fldCharType="separate"/>
        </w:r>
        <w:r w:rsidR="0005064B">
          <w:rPr>
            <w:noProof/>
            <w:webHidden/>
          </w:rPr>
          <w:t>119</w:t>
        </w:r>
        <w:r w:rsidR="0005064B">
          <w:rPr>
            <w:noProof/>
            <w:webHidden/>
          </w:rPr>
          <w:fldChar w:fldCharType="end"/>
        </w:r>
      </w:hyperlink>
    </w:p>
    <w:p w14:paraId="0E4C1A3D" w14:textId="6E34BFAC" w:rsidR="0005064B" w:rsidRDefault="000306D9" w:rsidP="0005064B">
      <w:pPr>
        <w:pStyle w:val="TableofFigures"/>
        <w:tabs>
          <w:tab w:val="right" w:leader="dot" w:pos="9016"/>
        </w:tabs>
        <w:spacing w:line="240" w:lineRule="auto"/>
        <w:rPr>
          <w:rFonts w:asciiTheme="minorHAnsi" w:hAnsiTheme="minorHAnsi"/>
          <w:noProof/>
          <w:sz w:val="22"/>
        </w:rPr>
      </w:pPr>
      <w:hyperlink w:anchor="_Toc66698718" w:history="1">
        <w:r w:rsidR="0005064B" w:rsidRPr="003422DF">
          <w:rPr>
            <w:rStyle w:val="Hyperlink"/>
            <w:noProof/>
          </w:rPr>
          <w:t>Figure 5</w:t>
        </w:r>
        <w:r w:rsidR="0005064B" w:rsidRPr="003422DF">
          <w:rPr>
            <w:rStyle w:val="Hyperlink"/>
            <w:noProof/>
          </w:rPr>
          <w:noBreakHyphen/>
          <w:t>5: Value proposition of SCUCC</w:t>
        </w:r>
        <w:r w:rsidR="0005064B">
          <w:rPr>
            <w:noProof/>
            <w:webHidden/>
          </w:rPr>
          <w:tab/>
        </w:r>
        <w:r w:rsidR="0005064B">
          <w:rPr>
            <w:noProof/>
            <w:webHidden/>
          </w:rPr>
          <w:fldChar w:fldCharType="begin"/>
        </w:r>
        <w:r w:rsidR="0005064B">
          <w:rPr>
            <w:noProof/>
            <w:webHidden/>
          </w:rPr>
          <w:instrText xml:space="preserve"> PAGEREF _Toc66698718 \h </w:instrText>
        </w:r>
        <w:r w:rsidR="0005064B">
          <w:rPr>
            <w:noProof/>
            <w:webHidden/>
          </w:rPr>
        </w:r>
        <w:r w:rsidR="0005064B">
          <w:rPr>
            <w:noProof/>
            <w:webHidden/>
          </w:rPr>
          <w:fldChar w:fldCharType="separate"/>
        </w:r>
        <w:r w:rsidR="0005064B">
          <w:rPr>
            <w:noProof/>
            <w:webHidden/>
          </w:rPr>
          <w:t>121</w:t>
        </w:r>
        <w:r w:rsidR="0005064B">
          <w:rPr>
            <w:noProof/>
            <w:webHidden/>
          </w:rPr>
          <w:fldChar w:fldCharType="end"/>
        </w:r>
      </w:hyperlink>
    </w:p>
    <w:p w14:paraId="189743A5" w14:textId="4CDC6ED3" w:rsidR="0005064B" w:rsidRDefault="000306D9" w:rsidP="0005064B">
      <w:pPr>
        <w:pStyle w:val="TableofFigures"/>
        <w:tabs>
          <w:tab w:val="right" w:leader="dot" w:pos="9016"/>
        </w:tabs>
        <w:spacing w:line="240" w:lineRule="auto"/>
        <w:rPr>
          <w:rFonts w:asciiTheme="minorHAnsi" w:hAnsiTheme="minorHAnsi"/>
          <w:noProof/>
          <w:sz w:val="22"/>
        </w:rPr>
      </w:pPr>
      <w:hyperlink w:anchor="_Toc66698719" w:history="1">
        <w:r w:rsidR="0005064B" w:rsidRPr="003422DF">
          <w:rPr>
            <w:rStyle w:val="Hyperlink"/>
            <w:noProof/>
          </w:rPr>
          <w:t>Figure 5</w:t>
        </w:r>
        <w:r w:rsidR="0005064B" w:rsidRPr="003422DF">
          <w:rPr>
            <w:rStyle w:val="Hyperlink"/>
            <w:noProof/>
          </w:rPr>
          <w:noBreakHyphen/>
          <w:t>6: Value proposition of RSUCC</w:t>
        </w:r>
        <w:r w:rsidR="0005064B">
          <w:rPr>
            <w:noProof/>
            <w:webHidden/>
          </w:rPr>
          <w:tab/>
        </w:r>
        <w:r w:rsidR="0005064B">
          <w:rPr>
            <w:noProof/>
            <w:webHidden/>
          </w:rPr>
          <w:fldChar w:fldCharType="begin"/>
        </w:r>
        <w:r w:rsidR="0005064B">
          <w:rPr>
            <w:noProof/>
            <w:webHidden/>
          </w:rPr>
          <w:instrText xml:space="preserve"> PAGEREF _Toc66698719 \h </w:instrText>
        </w:r>
        <w:r w:rsidR="0005064B">
          <w:rPr>
            <w:noProof/>
            <w:webHidden/>
          </w:rPr>
        </w:r>
        <w:r w:rsidR="0005064B">
          <w:rPr>
            <w:noProof/>
            <w:webHidden/>
          </w:rPr>
          <w:fldChar w:fldCharType="separate"/>
        </w:r>
        <w:r w:rsidR="0005064B">
          <w:rPr>
            <w:noProof/>
            <w:webHidden/>
          </w:rPr>
          <w:t>122</w:t>
        </w:r>
        <w:r w:rsidR="0005064B">
          <w:rPr>
            <w:noProof/>
            <w:webHidden/>
          </w:rPr>
          <w:fldChar w:fldCharType="end"/>
        </w:r>
      </w:hyperlink>
    </w:p>
    <w:p w14:paraId="7E0ACE3B" w14:textId="639ED7D7" w:rsidR="0005064B" w:rsidRDefault="000306D9" w:rsidP="0005064B">
      <w:pPr>
        <w:pStyle w:val="TableofFigures"/>
        <w:tabs>
          <w:tab w:val="right" w:leader="dot" w:pos="9016"/>
        </w:tabs>
        <w:spacing w:line="240" w:lineRule="auto"/>
        <w:rPr>
          <w:rFonts w:asciiTheme="minorHAnsi" w:hAnsiTheme="minorHAnsi"/>
          <w:noProof/>
          <w:sz w:val="22"/>
        </w:rPr>
      </w:pPr>
      <w:hyperlink w:anchor="_Toc66698720" w:history="1">
        <w:r w:rsidR="0005064B" w:rsidRPr="003422DF">
          <w:rPr>
            <w:rStyle w:val="Hyperlink"/>
            <w:noProof/>
          </w:rPr>
          <w:t>Figure 5</w:t>
        </w:r>
        <w:r w:rsidR="0005064B" w:rsidRPr="003422DF">
          <w:rPr>
            <w:rStyle w:val="Hyperlink"/>
            <w:noProof/>
          </w:rPr>
          <w:noBreakHyphen/>
          <w:t>7: Value proposition of CAUCC</w:t>
        </w:r>
        <w:r w:rsidR="0005064B">
          <w:rPr>
            <w:noProof/>
            <w:webHidden/>
          </w:rPr>
          <w:tab/>
        </w:r>
        <w:r w:rsidR="0005064B">
          <w:rPr>
            <w:noProof/>
            <w:webHidden/>
          </w:rPr>
          <w:fldChar w:fldCharType="begin"/>
        </w:r>
        <w:r w:rsidR="0005064B">
          <w:rPr>
            <w:noProof/>
            <w:webHidden/>
          </w:rPr>
          <w:instrText xml:space="preserve"> PAGEREF _Toc66698720 \h </w:instrText>
        </w:r>
        <w:r w:rsidR="0005064B">
          <w:rPr>
            <w:noProof/>
            <w:webHidden/>
          </w:rPr>
        </w:r>
        <w:r w:rsidR="0005064B">
          <w:rPr>
            <w:noProof/>
            <w:webHidden/>
          </w:rPr>
          <w:fldChar w:fldCharType="separate"/>
        </w:r>
        <w:r w:rsidR="0005064B">
          <w:rPr>
            <w:noProof/>
            <w:webHidden/>
          </w:rPr>
          <w:t>122</w:t>
        </w:r>
        <w:r w:rsidR="0005064B">
          <w:rPr>
            <w:noProof/>
            <w:webHidden/>
          </w:rPr>
          <w:fldChar w:fldCharType="end"/>
        </w:r>
      </w:hyperlink>
    </w:p>
    <w:p w14:paraId="7F969D99" w14:textId="24969459" w:rsidR="0005064B" w:rsidRDefault="000306D9" w:rsidP="0005064B">
      <w:pPr>
        <w:pStyle w:val="TableofFigures"/>
        <w:tabs>
          <w:tab w:val="right" w:leader="dot" w:pos="9016"/>
        </w:tabs>
        <w:spacing w:line="240" w:lineRule="auto"/>
        <w:rPr>
          <w:rFonts w:asciiTheme="minorHAnsi" w:hAnsiTheme="minorHAnsi"/>
          <w:noProof/>
          <w:sz w:val="22"/>
        </w:rPr>
      </w:pPr>
      <w:hyperlink w:anchor="_Toc66698721" w:history="1">
        <w:r w:rsidR="0005064B" w:rsidRPr="003422DF">
          <w:rPr>
            <w:rStyle w:val="Hyperlink"/>
            <w:noProof/>
          </w:rPr>
          <w:t>Figure 5</w:t>
        </w:r>
        <w:r w:rsidR="0005064B" w:rsidRPr="003422DF">
          <w:rPr>
            <w:rStyle w:val="Hyperlink"/>
            <w:noProof/>
          </w:rPr>
          <w:noBreakHyphen/>
          <w:t>8: Value proposition of CBUCC</w:t>
        </w:r>
        <w:r w:rsidR="0005064B">
          <w:rPr>
            <w:noProof/>
            <w:webHidden/>
          </w:rPr>
          <w:tab/>
        </w:r>
        <w:r w:rsidR="0005064B">
          <w:rPr>
            <w:noProof/>
            <w:webHidden/>
          </w:rPr>
          <w:fldChar w:fldCharType="begin"/>
        </w:r>
        <w:r w:rsidR="0005064B">
          <w:rPr>
            <w:noProof/>
            <w:webHidden/>
          </w:rPr>
          <w:instrText xml:space="preserve"> PAGEREF _Toc66698721 \h </w:instrText>
        </w:r>
        <w:r w:rsidR="0005064B">
          <w:rPr>
            <w:noProof/>
            <w:webHidden/>
          </w:rPr>
        </w:r>
        <w:r w:rsidR="0005064B">
          <w:rPr>
            <w:noProof/>
            <w:webHidden/>
          </w:rPr>
          <w:fldChar w:fldCharType="separate"/>
        </w:r>
        <w:r w:rsidR="0005064B">
          <w:rPr>
            <w:noProof/>
            <w:webHidden/>
          </w:rPr>
          <w:t>123</w:t>
        </w:r>
        <w:r w:rsidR="0005064B">
          <w:rPr>
            <w:noProof/>
            <w:webHidden/>
          </w:rPr>
          <w:fldChar w:fldCharType="end"/>
        </w:r>
      </w:hyperlink>
    </w:p>
    <w:p w14:paraId="5028F3A3" w14:textId="76496656" w:rsidR="0005064B" w:rsidRDefault="000306D9" w:rsidP="0005064B">
      <w:pPr>
        <w:pStyle w:val="TableofFigures"/>
        <w:tabs>
          <w:tab w:val="right" w:leader="dot" w:pos="9016"/>
        </w:tabs>
        <w:spacing w:line="240" w:lineRule="auto"/>
        <w:rPr>
          <w:rFonts w:asciiTheme="minorHAnsi" w:hAnsiTheme="minorHAnsi"/>
          <w:noProof/>
          <w:sz w:val="22"/>
        </w:rPr>
      </w:pPr>
      <w:hyperlink w:anchor="_Toc66698722" w:history="1">
        <w:r w:rsidR="0005064B" w:rsidRPr="003422DF">
          <w:rPr>
            <w:rStyle w:val="Hyperlink"/>
            <w:rFonts w:cs="Times New Roman"/>
            <w:noProof/>
          </w:rPr>
          <w:t>Figure 5</w:t>
        </w:r>
        <w:r w:rsidR="0005064B" w:rsidRPr="003422DF">
          <w:rPr>
            <w:rStyle w:val="Hyperlink"/>
            <w:rFonts w:cs="Times New Roman"/>
            <w:noProof/>
          </w:rPr>
          <w:noBreakHyphen/>
          <w:t>9: Independent stakeholder partnerships in SCUCC</w:t>
        </w:r>
        <w:r w:rsidR="0005064B">
          <w:rPr>
            <w:noProof/>
            <w:webHidden/>
          </w:rPr>
          <w:tab/>
        </w:r>
        <w:r w:rsidR="0005064B">
          <w:rPr>
            <w:noProof/>
            <w:webHidden/>
          </w:rPr>
          <w:fldChar w:fldCharType="begin"/>
        </w:r>
        <w:r w:rsidR="0005064B">
          <w:rPr>
            <w:noProof/>
            <w:webHidden/>
          </w:rPr>
          <w:instrText xml:space="preserve"> PAGEREF _Toc66698722 \h </w:instrText>
        </w:r>
        <w:r w:rsidR="0005064B">
          <w:rPr>
            <w:noProof/>
            <w:webHidden/>
          </w:rPr>
        </w:r>
        <w:r w:rsidR="0005064B">
          <w:rPr>
            <w:noProof/>
            <w:webHidden/>
          </w:rPr>
          <w:fldChar w:fldCharType="separate"/>
        </w:r>
        <w:r w:rsidR="0005064B">
          <w:rPr>
            <w:noProof/>
            <w:webHidden/>
          </w:rPr>
          <w:t>129</w:t>
        </w:r>
        <w:r w:rsidR="0005064B">
          <w:rPr>
            <w:noProof/>
            <w:webHidden/>
          </w:rPr>
          <w:fldChar w:fldCharType="end"/>
        </w:r>
      </w:hyperlink>
    </w:p>
    <w:p w14:paraId="4E179433" w14:textId="5E2245CD" w:rsidR="0005064B" w:rsidRDefault="000306D9" w:rsidP="0005064B">
      <w:pPr>
        <w:pStyle w:val="TableofFigures"/>
        <w:tabs>
          <w:tab w:val="right" w:leader="dot" w:pos="9016"/>
        </w:tabs>
        <w:spacing w:line="240" w:lineRule="auto"/>
        <w:rPr>
          <w:rFonts w:asciiTheme="minorHAnsi" w:hAnsiTheme="minorHAnsi"/>
          <w:noProof/>
          <w:sz w:val="22"/>
        </w:rPr>
      </w:pPr>
      <w:hyperlink w:anchor="_Toc66698723" w:history="1">
        <w:r w:rsidR="0005064B" w:rsidRPr="003422DF">
          <w:rPr>
            <w:rStyle w:val="Hyperlink"/>
            <w:rFonts w:cs="Times New Roman"/>
            <w:noProof/>
          </w:rPr>
          <w:t>Figure 5</w:t>
        </w:r>
        <w:r w:rsidR="0005064B" w:rsidRPr="003422DF">
          <w:rPr>
            <w:rStyle w:val="Hyperlink"/>
            <w:rFonts w:cs="Times New Roman"/>
            <w:noProof/>
          </w:rPr>
          <w:noBreakHyphen/>
          <w:t>10: Asymmetrical stakeholder partnerships in RSUCC</w:t>
        </w:r>
        <w:r w:rsidR="0005064B">
          <w:rPr>
            <w:noProof/>
            <w:webHidden/>
          </w:rPr>
          <w:tab/>
        </w:r>
        <w:r w:rsidR="0005064B">
          <w:rPr>
            <w:noProof/>
            <w:webHidden/>
          </w:rPr>
          <w:fldChar w:fldCharType="begin"/>
        </w:r>
        <w:r w:rsidR="0005064B">
          <w:rPr>
            <w:noProof/>
            <w:webHidden/>
          </w:rPr>
          <w:instrText xml:space="preserve"> PAGEREF _Toc66698723 \h </w:instrText>
        </w:r>
        <w:r w:rsidR="0005064B">
          <w:rPr>
            <w:noProof/>
            <w:webHidden/>
          </w:rPr>
        </w:r>
        <w:r w:rsidR="0005064B">
          <w:rPr>
            <w:noProof/>
            <w:webHidden/>
          </w:rPr>
          <w:fldChar w:fldCharType="separate"/>
        </w:r>
        <w:r w:rsidR="0005064B">
          <w:rPr>
            <w:noProof/>
            <w:webHidden/>
          </w:rPr>
          <w:t>130</w:t>
        </w:r>
        <w:r w:rsidR="0005064B">
          <w:rPr>
            <w:noProof/>
            <w:webHidden/>
          </w:rPr>
          <w:fldChar w:fldCharType="end"/>
        </w:r>
      </w:hyperlink>
    </w:p>
    <w:p w14:paraId="799D3626" w14:textId="674C39F1" w:rsidR="0005064B" w:rsidRDefault="000306D9" w:rsidP="0005064B">
      <w:pPr>
        <w:pStyle w:val="TableofFigures"/>
        <w:tabs>
          <w:tab w:val="right" w:leader="dot" w:pos="9016"/>
        </w:tabs>
        <w:spacing w:line="240" w:lineRule="auto"/>
        <w:rPr>
          <w:rFonts w:asciiTheme="minorHAnsi" w:hAnsiTheme="minorHAnsi"/>
          <w:noProof/>
          <w:sz w:val="22"/>
        </w:rPr>
      </w:pPr>
      <w:hyperlink w:anchor="_Toc66698724" w:history="1">
        <w:r w:rsidR="0005064B" w:rsidRPr="003422DF">
          <w:rPr>
            <w:rStyle w:val="Hyperlink"/>
            <w:rFonts w:cs="Times New Roman"/>
            <w:noProof/>
          </w:rPr>
          <w:t>Figure 5</w:t>
        </w:r>
        <w:r w:rsidR="0005064B" w:rsidRPr="003422DF">
          <w:rPr>
            <w:rStyle w:val="Hyperlink"/>
            <w:rFonts w:cs="Times New Roman"/>
            <w:noProof/>
          </w:rPr>
          <w:noBreakHyphen/>
          <w:t>11: UCC affiliated to the Company A</w:t>
        </w:r>
        <w:r w:rsidR="0005064B">
          <w:rPr>
            <w:noProof/>
            <w:webHidden/>
          </w:rPr>
          <w:tab/>
        </w:r>
        <w:r w:rsidR="0005064B">
          <w:rPr>
            <w:noProof/>
            <w:webHidden/>
          </w:rPr>
          <w:fldChar w:fldCharType="begin"/>
        </w:r>
        <w:r w:rsidR="0005064B">
          <w:rPr>
            <w:noProof/>
            <w:webHidden/>
          </w:rPr>
          <w:instrText xml:space="preserve"> PAGEREF _Toc66698724 \h </w:instrText>
        </w:r>
        <w:r w:rsidR="0005064B">
          <w:rPr>
            <w:noProof/>
            <w:webHidden/>
          </w:rPr>
        </w:r>
        <w:r w:rsidR="0005064B">
          <w:rPr>
            <w:noProof/>
            <w:webHidden/>
          </w:rPr>
          <w:fldChar w:fldCharType="separate"/>
        </w:r>
        <w:r w:rsidR="0005064B">
          <w:rPr>
            <w:noProof/>
            <w:webHidden/>
          </w:rPr>
          <w:t>130</w:t>
        </w:r>
        <w:r w:rsidR="0005064B">
          <w:rPr>
            <w:noProof/>
            <w:webHidden/>
          </w:rPr>
          <w:fldChar w:fldCharType="end"/>
        </w:r>
      </w:hyperlink>
    </w:p>
    <w:p w14:paraId="1F3356E7" w14:textId="54CA016E" w:rsidR="0005064B" w:rsidRDefault="000306D9" w:rsidP="0005064B">
      <w:pPr>
        <w:pStyle w:val="TableofFigures"/>
        <w:tabs>
          <w:tab w:val="right" w:leader="dot" w:pos="9016"/>
        </w:tabs>
        <w:spacing w:line="240" w:lineRule="auto"/>
        <w:rPr>
          <w:rFonts w:asciiTheme="minorHAnsi" w:hAnsiTheme="minorHAnsi"/>
          <w:noProof/>
          <w:sz w:val="22"/>
        </w:rPr>
      </w:pPr>
      <w:hyperlink w:anchor="_Toc66698725" w:history="1">
        <w:r w:rsidR="0005064B" w:rsidRPr="003422DF">
          <w:rPr>
            <w:rStyle w:val="Hyperlink"/>
            <w:rFonts w:cs="Times New Roman"/>
            <w:noProof/>
          </w:rPr>
          <w:t>Figure 5</w:t>
        </w:r>
        <w:r w:rsidR="0005064B" w:rsidRPr="003422DF">
          <w:rPr>
            <w:rStyle w:val="Hyperlink"/>
            <w:rFonts w:cs="Times New Roman"/>
            <w:noProof/>
          </w:rPr>
          <w:noBreakHyphen/>
          <w:t>12: Public and private partnership</w:t>
        </w:r>
        <w:r w:rsidR="0005064B">
          <w:rPr>
            <w:noProof/>
            <w:webHidden/>
          </w:rPr>
          <w:tab/>
        </w:r>
        <w:r w:rsidR="0005064B">
          <w:rPr>
            <w:noProof/>
            <w:webHidden/>
          </w:rPr>
          <w:fldChar w:fldCharType="begin"/>
        </w:r>
        <w:r w:rsidR="0005064B">
          <w:rPr>
            <w:noProof/>
            <w:webHidden/>
          </w:rPr>
          <w:instrText xml:space="preserve"> PAGEREF _Toc66698725 \h </w:instrText>
        </w:r>
        <w:r w:rsidR="0005064B">
          <w:rPr>
            <w:noProof/>
            <w:webHidden/>
          </w:rPr>
        </w:r>
        <w:r w:rsidR="0005064B">
          <w:rPr>
            <w:noProof/>
            <w:webHidden/>
          </w:rPr>
          <w:fldChar w:fldCharType="separate"/>
        </w:r>
        <w:r w:rsidR="0005064B">
          <w:rPr>
            <w:noProof/>
            <w:webHidden/>
          </w:rPr>
          <w:t>131</w:t>
        </w:r>
        <w:r w:rsidR="0005064B">
          <w:rPr>
            <w:noProof/>
            <w:webHidden/>
          </w:rPr>
          <w:fldChar w:fldCharType="end"/>
        </w:r>
      </w:hyperlink>
    </w:p>
    <w:p w14:paraId="0F99A294" w14:textId="5F5A1068" w:rsidR="0005064B" w:rsidRDefault="000306D9" w:rsidP="0005064B">
      <w:pPr>
        <w:pStyle w:val="TableofFigures"/>
        <w:tabs>
          <w:tab w:val="right" w:leader="dot" w:pos="9016"/>
        </w:tabs>
        <w:spacing w:line="240" w:lineRule="auto"/>
        <w:rPr>
          <w:rFonts w:asciiTheme="minorHAnsi" w:hAnsiTheme="minorHAnsi"/>
          <w:noProof/>
          <w:sz w:val="22"/>
        </w:rPr>
      </w:pPr>
      <w:hyperlink w:anchor="_Toc66698726" w:history="1">
        <w:r w:rsidR="0005064B" w:rsidRPr="003422DF">
          <w:rPr>
            <w:rStyle w:val="Hyperlink"/>
            <w:rFonts w:cs="Times New Roman"/>
            <w:noProof/>
          </w:rPr>
          <w:t>Figure 5</w:t>
        </w:r>
        <w:r w:rsidR="0005064B" w:rsidRPr="003422DF">
          <w:rPr>
            <w:rStyle w:val="Hyperlink"/>
            <w:rFonts w:cs="Times New Roman"/>
            <w:noProof/>
          </w:rPr>
          <w:noBreakHyphen/>
          <w:t>13: Strength of government intervention in urban consolidation centre (UCC) projects</w:t>
        </w:r>
        <w:r w:rsidR="0005064B">
          <w:rPr>
            <w:noProof/>
            <w:webHidden/>
          </w:rPr>
          <w:tab/>
        </w:r>
        <w:r w:rsidR="0005064B">
          <w:rPr>
            <w:noProof/>
            <w:webHidden/>
          </w:rPr>
          <w:fldChar w:fldCharType="begin"/>
        </w:r>
        <w:r w:rsidR="0005064B">
          <w:rPr>
            <w:noProof/>
            <w:webHidden/>
          </w:rPr>
          <w:instrText xml:space="preserve"> PAGEREF _Toc66698726 \h </w:instrText>
        </w:r>
        <w:r w:rsidR="0005064B">
          <w:rPr>
            <w:noProof/>
            <w:webHidden/>
          </w:rPr>
        </w:r>
        <w:r w:rsidR="0005064B">
          <w:rPr>
            <w:noProof/>
            <w:webHidden/>
          </w:rPr>
          <w:fldChar w:fldCharType="separate"/>
        </w:r>
        <w:r w:rsidR="0005064B">
          <w:rPr>
            <w:noProof/>
            <w:webHidden/>
          </w:rPr>
          <w:t>133</w:t>
        </w:r>
        <w:r w:rsidR="0005064B">
          <w:rPr>
            <w:noProof/>
            <w:webHidden/>
          </w:rPr>
          <w:fldChar w:fldCharType="end"/>
        </w:r>
      </w:hyperlink>
    </w:p>
    <w:p w14:paraId="13FEC642" w14:textId="5361E900" w:rsidR="0005064B" w:rsidRDefault="000306D9" w:rsidP="0005064B">
      <w:pPr>
        <w:pStyle w:val="TableofFigures"/>
        <w:tabs>
          <w:tab w:val="right" w:leader="dot" w:pos="9016"/>
        </w:tabs>
        <w:spacing w:line="240" w:lineRule="auto"/>
        <w:rPr>
          <w:rFonts w:asciiTheme="minorHAnsi" w:hAnsiTheme="minorHAnsi"/>
          <w:noProof/>
          <w:sz w:val="22"/>
        </w:rPr>
      </w:pPr>
      <w:hyperlink w:anchor="_Toc66698727" w:history="1">
        <w:r w:rsidR="0005064B" w:rsidRPr="003422DF">
          <w:rPr>
            <w:rStyle w:val="Hyperlink"/>
            <w:rFonts w:cs="Times New Roman"/>
            <w:noProof/>
          </w:rPr>
          <w:t>Figure 5</w:t>
        </w:r>
        <w:r w:rsidR="0005064B" w:rsidRPr="003422DF">
          <w:rPr>
            <w:rStyle w:val="Hyperlink"/>
            <w:rFonts w:cs="Times New Roman"/>
            <w:noProof/>
          </w:rPr>
          <w:noBreakHyphen/>
          <w:t>14: Different models of the three dimensions in sustainable urban logistics (SUL)</w:t>
        </w:r>
        <w:r w:rsidR="0005064B">
          <w:rPr>
            <w:noProof/>
            <w:webHidden/>
          </w:rPr>
          <w:tab/>
        </w:r>
        <w:r w:rsidR="0005064B">
          <w:rPr>
            <w:noProof/>
            <w:webHidden/>
          </w:rPr>
          <w:fldChar w:fldCharType="begin"/>
        </w:r>
        <w:r w:rsidR="0005064B">
          <w:rPr>
            <w:noProof/>
            <w:webHidden/>
          </w:rPr>
          <w:instrText xml:space="preserve"> PAGEREF _Toc66698727 \h </w:instrText>
        </w:r>
        <w:r w:rsidR="0005064B">
          <w:rPr>
            <w:noProof/>
            <w:webHidden/>
          </w:rPr>
        </w:r>
        <w:r w:rsidR="0005064B">
          <w:rPr>
            <w:noProof/>
            <w:webHidden/>
          </w:rPr>
          <w:fldChar w:fldCharType="separate"/>
        </w:r>
        <w:r w:rsidR="0005064B">
          <w:rPr>
            <w:noProof/>
            <w:webHidden/>
          </w:rPr>
          <w:t>137</w:t>
        </w:r>
        <w:r w:rsidR="0005064B">
          <w:rPr>
            <w:noProof/>
            <w:webHidden/>
          </w:rPr>
          <w:fldChar w:fldCharType="end"/>
        </w:r>
      </w:hyperlink>
    </w:p>
    <w:p w14:paraId="30089830" w14:textId="61852DB5" w:rsidR="0005064B" w:rsidRDefault="000306D9" w:rsidP="0005064B">
      <w:pPr>
        <w:pStyle w:val="TableofFigures"/>
        <w:tabs>
          <w:tab w:val="right" w:leader="dot" w:pos="9016"/>
        </w:tabs>
        <w:spacing w:line="240" w:lineRule="auto"/>
        <w:rPr>
          <w:rFonts w:asciiTheme="minorHAnsi" w:hAnsiTheme="minorHAnsi"/>
          <w:noProof/>
          <w:sz w:val="22"/>
        </w:rPr>
      </w:pPr>
      <w:hyperlink w:anchor="_Toc66698728" w:history="1">
        <w:r w:rsidR="0005064B" w:rsidRPr="003422DF">
          <w:rPr>
            <w:rStyle w:val="Hyperlink"/>
            <w:noProof/>
          </w:rPr>
          <w:t>Figure 6</w:t>
        </w:r>
        <w:r w:rsidR="0005064B" w:rsidRPr="003422DF">
          <w:rPr>
            <w:rStyle w:val="Hyperlink"/>
            <w:noProof/>
          </w:rPr>
          <w:noBreakHyphen/>
          <w:t>1: Research approach</w:t>
        </w:r>
        <w:r w:rsidR="0005064B">
          <w:rPr>
            <w:noProof/>
            <w:webHidden/>
          </w:rPr>
          <w:tab/>
        </w:r>
        <w:r w:rsidR="0005064B">
          <w:rPr>
            <w:noProof/>
            <w:webHidden/>
          </w:rPr>
          <w:fldChar w:fldCharType="begin"/>
        </w:r>
        <w:r w:rsidR="0005064B">
          <w:rPr>
            <w:noProof/>
            <w:webHidden/>
          </w:rPr>
          <w:instrText xml:space="preserve"> PAGEREF _Toc66698728 \h </w:instrText>
        </w:r>
        <w:r w:rsidR="0005064B">
          <w:rPr>
            <w:noProof/>
            <w:webHidden/>
          </w:rPr>
        </w:r>
        <w:r w:rsidR="0005064B">
          <w:rPr>
            <w:noProof/>
            <w:webHidden/>
          </w:rPr>
          <w:fldChar w:fldCharType="separate"/>
        </w:r>
        <w:r w:rsidR="0005064B">
          <w:rPr>
            <w:noProof/>
            <w:webHidden/>
          </w:rPr>
          <w:t>149</w:t>
        </w:r>
        <w:r w:rsidR="0005064B">
          <w:rPr>
            <w:noProof/>
            <w:webHidden/>
          </w:rPr>
          <w:fldChar w:fldCharType="end"/>
        </w:r>
      </w:hyperlink>
    </w:p>
    <w:p w14:paraId="54C3247B" w14:textId="2B7746C0" w:rsidR="0005064B" w:rsidRDefault="000306D9" w:rsidP="0005064B">
      <w:pPr>
        <w:pStyle w:val="TableofFigures"/>
        <w:tabs>
          <w:tab w:val="right" w:leader="dot" w:pos="9016"/>
        </w:tabs>
        <w:spacing w:line="240" w:lineRule="auto"/>
        <w:rPr>
          <w:rFonts w:asciiTheme="minorHAnsi" w:hAnsiTheme="minorHAnsi"/>
          <w:noProof/>
          <w:sz w:val="22"/>
        </w:rPr>
      </w:pPr>
      <w:hyperlink w:anchor="_Toc66698729" w:history="1">
        <w:r w:rsidR="0005064B" w:rsidRPr="003422DF">
          <w:rPr>
            <w:rStyle w:val="Hyperlink"/>
            <w:rFonts w:eastAsia="Times New Roman"/>
            <w:bCs/>
            <w:noProof/>
            <w:kern w:val="2"/>
            <w:lang w:val="en-US"/>
          </w:rPr>
          <w:t>Figure 6</w:t>
        </w:r>
        <w:r w:rsidR="0005064B" w:rsidRPr="003422DF">
          <w:rPr>
            <w:rStyle w:val="Hyperlink"/>
            <w:rFonts w:eastAsia="Times New Roman"/>
            <w:bCs/>
            <w:noProof/>
            <w:kern w:val="2"/>
            <w:lang w:val="en-US"/>
          </w:rPr>
          <w:noBreakHyphen/>
          <w:t>2: The hierarchy of the selected indicators</w:t>
        </w:r>
        <w:r w:rsidR="0005064B">
          <w:rPr>
            <w:noProof/>
            <w:webHidden/>
          </w:rPr>
          <w:tab/>
        </w:r>
        <w:r w:rsidR="0005064B">
          <w:rPr>
            <w:noProof/>
            <w:webHidden/>
          </w:rPr>
          <w:fldChar w:fldCharType="begin"/>
        </w:r>
        <w:r w:rsidR="0005064B">
          <w:rPr>
            <w:noProof/>
            <w:webHidden/>
          </w:rPr>
          <w:instrText xml:space="preserve"> PAGEREF _Toc66698729 \h </w:instrText>
        </w:r>
        <w:r w:rsidR="0005064B">
          <w:rPr>
            <w:noProof/>
            <w:webHidden/>
          </w:rPr>
        </w:r>
        <w:r w:rsidR="0005064B">
          <w:rPr>
            <w:noProof/>
            <w:webHidden/>
          </w:rPr>
          <w:fldChar w:fldCharType="separate"/>
        </w:r>
        <w:r w:rsidR="0005064B">
          <w:rPr>
            <w:noProof/>
            <w:webHidden/>
          </w:rPr>
          <w:t>156</w:t>
        </w:r>
        <w:r w:rsidR="0005064B">
          <w:rPr>
            <w:noProof/>
            <w:webHidden/>
          </w:rPr>
          <w:fldChar w:fldCharType="end"/>
        </w:r>
      </w:hyperlink>
    </w:p>
    <w:p w14:paraId="5D5B619E" w14:textId="1E0191D1" w:rsidR="0005064B" w:rsidRDefault="000306D9" w:rsidP="0005064B">
      <w:pPr>
        <w:pStyle w:val="TableofFigures"/>
        <w:tabs>
          <w:tab w:val="right" w:leader="dot" w:pos="9016"/>
        </w:tabs>
        <w:spacing w:line="240" w:lineRule="auto"/>
        <w:rPr>
          <w:rFonts w:asciiTheme="minorHAnsi" w:hAnsiTheme="minorHAnsi"/>
          <w:noProof/>
          <w:sz w:val="22"/>
        </w:rPr>
      </w:pPr>
      <w:hyperlink w:anchor="_Toc66698730" w:history="1">
        <w:r w:rsidR="0005064B" w:rsidRPr="003422DF">
          <w:rPr>
            <w:rStyle w:val="Hyperlink"/>
            <w:noProof/>
          </w:rPr>
          <w:t>Figure 6</w:t>
        </w:r>
        <w:r w:rsidR="0005064B" w:rsidRPr="003422DF">
          <w:rPr>
            <w:rStyle w:val="Hyperlink"/>
            <w:noProof/>
          </w:rPr>
          <w:noBreakHyphen/>
          <w:t>3: Comparative analysis combining the quantitative and qualitative data</w:t>
        </w:r>
        <w:r w:rsidR="0005064B">
          <w:rPr>
            <w:noProof/>
            <w:webHidden/>
          </w:rPr>
          <w:tab/>
        </w:r>
        <w:r w:rsidR="0005064B">
          <w:rPr>
            <w:noProof/>
            <w:webHidden/>
          </w:rPr>
          <w:fldChar w:fldCharType="begin"/>
        </w:r>
        <w:r w:rsidR="0005064B">
          <w:rPr>
            <w:noProof/>
            <w:webHidden/>
          </w:rPr>
          <w:instrText xml:space="preserve"> PAGEREF _Toc66698730 \h </w:instrText>
        </w:r>
        <w:r w:rsidR="0005064B">
          <w:rPr>
            <w:noProof/>
            <w:webHidden/>
          </w:rPr>
        </w:r>
        <w:r w:rsidR="0005064B">
          <w:rPr>
            <w:noProof/>
            <w:webHidden/>
          </w:rPr>
          <w:fldChar w:fldCharType="separate"/>
        </w:r>
        <w:r w:rsidR="0005064B">
          <w:rPr>
            <w:noProof/>
            <w:webHidden/>
          </w:rPr>
          <w:t>158</w:t>
        </w:r>
        <w:r w:rsidR="0005064B">
          <w:rPr>
            <w:noProof/>
            <w:webHidden/>
          </w:rPr>
          <w:fldChar w:fldCharType="end"/>
        </w:r>
      </w:hyperlink>
    </w:p>
    <w:p w14:paraId="15BCC98F" w14:textId="66B021F9" w:rsidR="0005064B" w:rsidRDefault="000306D9" w:rsidP="0005064B">
      <w:pPr>
        <w:pStyle w:val="TableofFigures"/>
        <w:tabs>
          <w:tab w:val="right" w:leader="dot" w:pos="9016"/>
        </w:tabs>
        <w:spacing w:line="240" w:lineRule="auto"/>
        <w:rPr>
          <w:rFonts w:asciiTheme="minorHAnsi" w:hAnsiTheme="minorHAnsi"/>
          <w:noProof/>
          <w:sz w:val="22"/>
        </w:rPr>
      </w:pPr>
      <w:hyperlink w:anchor="_Toc66698731" w:history="1">
        <w:r w:rsidR="0005064B" w:rsidRPr="003422DF">
          <w:rPr>
            <w:rStyle w:val="Hyperlink"/>
            <w:noProof/>
          </w:rPr>
          <w:t>Figure 7</w:t>
        </w:r>
        <w:r w:rsidR="0005064B" w:rsidRPr="003422DF">
          <w:rPr>
            <w:rStyle w:val="Hyperlink"/>
            <w:noProof/>
          </w:rPr>
          <w:noBreakHyphen/>
          <w:t>1: Typical UCC based Freight Transport Chain</w:t>
        </w:r>
        <w:r w:rsidR="0005064B">
          <w:rPr>
            <w:noProof/>
            <w:webHidden/>
          </w:rPr>
          <w:tab/>
        </w:r>
        <w:r w:rsidR="0005064B">
          <w:rPr>
            <w:noProof/>
            <w:webHidden/>
          </w:rPr>
          <w:fldChar w:fldCharType="begin"/>
        </w:r>
        <w:r w:rsidR="0005064B">
          <w:rPr>
            <w:noProof/>
            <w:webHidden/>
          </w:rPr>
          <w:instrText xml:space="preserve"> PAGEREF _Toc66698731 \h </w:instrText>
        </w:r>
        <w:r w:rsidR="0005064B">
          <w:rPr>
            <w:noProof/>
            <w:webHidden/>
          </w:rPr>
        </w:r>
        <w:r w:rsidR="0005064B">
          <w:rPr>
            <w:noProof/>
            <w:webHidden/>
          </w:rPr>
          <w:fldChar w:fldCharType="separate"/>
        </w:r>
        <w:r w:rsidR="0005064B">
          <w:rPr>
            <w:noProof/>
            <w:webHidden/>
          </w:rPr>
          <w:t>174</w:t>
        </w:r>
        <w:r w:rsidR="0005064B">
          <w:rPr>
            <w:noProof/>
            <w:webHidden/>
          </w:rPr>
          <w:fldChar w:fldCharType="end"/>
        </w:r>
      </w:hyperlink>
    </w:p>
    <w:p w14:paraId="068D40A7" w14:textId="7C5B4543" w:rsidR="0005064B" w:rsidRDefault="000306D9" w:rsidP="0005064B">
      <w:pPr>
        <w:pStyle w:val="TableofFigures"/>
        <w:tabs>
          <w:tab w:val="right" w:leader="dot" w:pos="9016"/>
        </w:tabs>
        <w:spacing w:line="240" w:lineRule="auto"/>
        <w:rPr>
          <w:rFonts w:asciiTheme="minorHAnsi" w:hAnsiTheme="minorHAnsi"/>
          <w:noProof/>
          <w:sz w:val="22"/>
        </w:rPr>
      </w:pPr>
      <w:hyperlink w:anchor="_Toc66698732" w:history="1">
        <w:r w:rsidR="0005064B" w:rsidRPr="003422DF">
          <w:rPr>
            <w:rStyle w:val="Hyperlink"/>
            <w:rFonts w:cs="Times New Roman"/>
            <w:noProof/>
          </w:rPr>
          <w:t>Figure 7</w:t>
        </w:r>
        <w:r w:rsidR="0005064B" w:rsidRPr="003422DF">
          <w:rPr>
            <w:rStyle w:val="Hyperlink"/>
            <w:rFonts w:cs="Times New Roman"/>
            <w:noProof/>
          </w:rPr>
          <w:noBreakHyphen/>
          <w:t>2: Typical Delivery Process with (bottom)/without (top) UCC  (adapted from Janjevic and Ndiaye, 2017b)</w:t>
        </w:r>
        <w:r w:rsidR="0005064B">
          <w:rPr>
            <w:noProof/>
            <w:webHidden/>
          </w:rPr>
          <w:tab/>
        </w:r>
        <w:r w:rsidR="0005064B">
          <w:rPr>
            <w:noProof/>
            <w:webHidden/>
          </w:rPr>
          <w:fldChar w:fldCharType="begin"/>
        </w:r>
        <w:r w:rsidR="0005064B">
          <w:rPr>
            <w:noProof/>
            <w:webHidden/>
          </w:rPr>
          <w:instrText xml:space="preserve"> PAGEREF _Toc66698732 \h </w:instrText>
        </w:r>
        <w:r w:rsidR="0005064B">
          <w:rPr>
            <w:noProof/>
            <w:webHidden/>
          </w:rPr>
        </w:r>
        <w:r w:rsidR="0005064B">
          <w:rPr>
            <w:noProof/>
            <w:webHidden/>
          </w:rPr>
          <w:fldChar w:fldCharType="separate"/>
        </w:r>
        <w:r w:rsidR="0005064B">
          <w:rPr>
            <w:noProof/>
            <w:webHidden/>
          </w:rPr>
          <w:t>178</w:t>
        </w:r>
        <w:r w:rsidR="0005064B">
          <w:rPr>
            <w:noProof/>
            <w:webHidden/>
          </w:rPr>
          <w:fldChar w:fldCharType="end"/>
        </w:r>
      </w:hyperlink>
    </w:p>
    <w:p w14:paraId="73F60801" w14:textId="55D72B39" w:rsidR="0005064B" w:rsidRDefault="000306D9" w:rsidP="0005064B">
      <w:pPr>
        <w:pStyle w:val="TableofFigures"/>
        <w:tabs>
          <w:tab w:val="right" w:leader="dot" w:pos="9016"/>
        </w:tabs>
        <w:spacing w:line="240" w:lineRule="auto"/>
        <w:rPr>
          <w:rFonts w:asciiTheme="minorHAnsi" w:hAnsiTheme="minorHAnsi"/>
          <w:noProof/>
          <w:sz w:val="22"/>
        </w:rPr>
      </w:pPr>
      <w:hyperlink w:anchor="_Toc66698733" w:history="1">
        <w:r w:rsidR="0005064B" w:rsidRPr="003422DF">
          <w:rPr>
            <w:rStyle w:val="Hyperlink"/>
            <w:noProof/>
          </w:rPr>
          <w:t>Figure 7</w:t>
        </w:r>
        <w:r w:rsidR="0005064B" w:rsidRPr="003422DF">
          <w:rPr>
            <w:rStyle w:val="Hyperlink"/>
            <w:noProof/>
          </w:rPr>
          <w:noBreakHyphen/>
          <w:t>3: Variation of UCC cost allocation under the UES rule,</w:t>
        </w:r>
        <w:r w:rsidR="0005064B">
          <w:rPr>
            <w:noProof/>
            <w:webHidden/>
          </w:rPr>
          <w:tab/>
        </w:r>
        <w:r w:rsidR="0005064B">
          <w:rPr>
            <w:noProof/>
            <w:webHidden/>
          </w:rPr>
          <w:fldChar w:fldCharType="begin"/>
        </w:r>
        <w:r w:rsidR="0005064B">
          <w:rPr>
            <w:noProof/>
            <w:webHidden/>
          </w:rPr>
          <w:instrText xml:space="preserve"> PAGEREF _Toc66698733 \h </w:instrText>
        </w:r>
        <w:r w:rsidR="0005064B">
          <w:rPr>
            <w:noProof/>
            <w:webHidden/>
          </w:rPr>
        </w:r>
        <w:r w:rsidR="0005064B">
          <w:rPr>
            <w:noProof/>
            <w:webHidden/>
          </w:rPr>
          <w:fldChar w:fldCharType="separate"/>
        </w:r>
        <w:r w:rsidR="0005064B">
          <w:rPr>
            <w:noProof/>
            <w:webHidden/>
          </w:rPr>
          <w:t>184</w:t>
        </w:r>
        <w:r w:rsidR="0005064B">
          <w:rPr>
            <w:noProof/>
            <w:webHidden/>
          </w:rPr>
          <w:fldChar w:fldCharType="end"/>
        </w:r>
      </w:hyperlink>
    </w:p>
    <w:p w14:paraId="409DF730" w14:textId="418249FC" w:rsidR="0005064B" w:rsidRDefault="000306D9" w:rsidP="0005064B">
      <w:pPr>
        <w:pStyle w:val="TableofFigures"/>
        <w:tabs>
          <w:tab w:val="right" w:leader="dot" w:pos="9016"/>
        </w:tabs>
        <w:spacing w:line="240" w:lineRule="auto"/>
        <w:rPr>
          <w:rFonts w:asciiTheme="minorHAnsi" w:hAnsiTheme="minorHAnsi"/>
          <w:noProof/>
          <w:sz w:val="22"/>
        </w:rPr>
      </w:pPr>
      <w:hyperlink w:anchor="_Toc66698734" w:history="1">
        <w:r w:rsidR="0005064B" w:rsidRPr="003422DF">
          <w:rPr>
            <w:rStyle w:val="Hyperlink"/>
            <w:noProof/>
          </w:rPr>
          <w:t>Figure 7</w:t>
        </w:r>
        <w:r w:rsidR="0005064B" w:rsidRPr="003422DF">
          <w:rPr>
            <w:rStyle w:val="Hyperlink"/>
            <w:noProof/>
          </w:rPr>
          <w:noBreakHyphen/>
          <w:t>4: UCC cost allocations under different responsibility rules</w:t>
        </w:r>
        <w:r w:rsidR="0005064B">
          <w:rPr>
            <w:noProof/>
            <w:webHidden/>
          </w:rPr>
          <w:tab/>
        </w:r>
        <w:r w:rsidR="0005064B">
          <w:rPr>
            <w:noProof/>
            <w:webHidden/>
          </w:rPr>
          <w:fldChar w:fldCharType="begin"/>
        </w:r>
        <w:r w:rsidR="0005064B">
          <w:rPr>
            <w:noProof/>
            <w:webHidden/>
          </w:rPr>
          <w:instrText xml:space="preserve"> PAGEREF _Toc66698734 \h </w:instrText>
        </w:r>
        <w:r w:rsidR="0005064B">
          <w:rPr>
            <w:noProof/>
            <w:webHidden/>
          </w:rPr>
        </w:r>
        <w:r w:rsidR="0005064B">
          <w:rPr>
            <w:noProof/>
            <w:webHidden/>
          </w:rPr>
          <w:fldChar w:fldCharType="separate"/>
        </w:r>
        <w:r w:rsidR="0005064B">
          <w:rPr>
            <w:noProof/>
            <w:webHidden/>
          </w:rPr>
          <w:t>185</w:t>
        </w:r>
        <w:r w:rsidR="0005064B">
          <w:rPr>
            <w:noProof/>
            <w:webHidden/>
          </w:rPr>
          <w:fldChar w:fldCharType="end"/>
        </w:r>
      </w:hyperlink>
    </w:p>
    <w:p w14:paraId="0720CAC7" w14:textId="53873F7C" w:rsidR="0005064B" w:rsidRDefault="000306D9" w:rsidP="0005064B">
      <w:pPr>
        <w:pStyle w:val="TableofFigures"/>
        <w:tabs>
          <w:tab w:val="right" w:leader="dot" w:pos="9016"/>
        </w:tabs>
        <w:spacing w:line="240" w:lineRule="auto"/>
        <w:rPr>
          <w:rFonts w:asciiTheme="minorHAnsi" w:hAnsiTheme="minorHAnsi"/>
          <w:noProof/>
          <w:sz w:val="22"/>
        </w:rPr>
      </w:pPr>
      <w:hyperlink w:anchor="_Toc66698735" w:history="1">
        <w:r w:rsidR="0005064B" w:rsidRPr="003422DF">
          <w:rPr>
            <w:rStyle w:val="Hyperlink"/>
            <w:noProof/>
          </w:rPr>
          <w:t>Figure 7</w:t>
        </w:r>
        <w:r w:rsidR="0005064B" w:rsidRPr="003422DF">
          <w:rPr>
            <w:rStyle w:val="Hyperlink"/>
            <w:noProof/>
          </w:rPr>
          <w:noBreakHyphen/>
          <w:t>5: LHC cost allocations under different responsibility rules  based on variations of the carrier’s cost</w:t>
        </w:r>
        <w:r w:rsidR="0005064B">
          <w:rPr>
            <w:noProof/>
            <w:webHidden/>
          </w:rPr>
          <w:tab/>
        </w:r>
        <w:r w:rsidR="0005064B">
          <w:rPr>
            <w:noProof/>
            <w:webHidden/>
          </w:rPr>
          <w:fldChar w:fldCharType="begin"/>
        </w:r>
        <w:r w:rsidR="0005064B">
          <w:rPr>
            <w:noProof/>
            <w:webHidden/>
          </w:rPr>
          <w:instrText xml:space="preserve"> PAGEREF _Toc66698735 \h </w:instrText>
        </w:r>
        <w:r w:rsidR="0005064B">
          <w:rPr>
            <w:noProof/>
            <w:webHidden/>
          </w:rPr>
        </w:r>
        <w:r w:rsidR="0005064B">
          <w:rPr>
            <w:noProof/>
            <w:webHidden/>
          </w:rPr>
          <w:fldChar w:fldCharType="separate"/>
        </w:r>
        <w:r w:rsidR="0005064B">
          <w:rPr>
            <w:noProof/>
            <w:webHidden/>
          </w:rPr>
          <w:t>185</w:t>
        </w:r>
        <w:r w:rsidR="0005064B">
          <w:rPr>
            <w:noProof/>
            <w:webHidden/>
          </w:rPr>
          <w:fldChar w:fldCharType="end"/>
        </w:r>
      </w:hyperlink>
    </w:p>
    <w:p w14:paraId="100FDBB5" w14:textId="3740D4C1" w:rsidR="0005064B" w:rsidRDefault="000306D9" w:rsidP="0005064B">
      <w:pPr>
        <w:pStyle w:val="TableofFigures"/>
        <w:tabs>
          <w:tab w:val="right" w:leader="dot" w:pos="9016"/>
        </w:tabs>
        <w:spacing w:line="240" w:lineRule="auto"/>
        <w:rPr>
          <w:rFonts w:asciiTheme="minorHAnsi" w:hAnsiTheme="minorHAnsi"/>
          <w:noProof/>
          <w:sz w:val="22"/>
        </w:rPr>
      </w:pPr>
      <w:hyperlink w:anchor="_Toc66698736" w:history="1">
        <w:r w:rsidR="0005064B" w:rsidRPr="003422DF">
          <w:rPr>
            <w:rStyle w:val="Hyperlink"/>
            <w:rFonts w:cs="Times New Roman"/>
            <w:noProof/>
          </w:rPr>
          <w:t>Figure 8</w:t>
        </w:r>
        <w:r w:rsidR="0005064B" w:rsidRPr="003422DF">
          <w:rPr>
            <w:rStyle w:val="Hyperlink"/>
            <w:rFonts w:cs="Times New Roman"/>
            <w:noProof/>
          </w:rPr>
          <w:noBreakHyphen/>
          <w:t>1: Framework of the proposed DSS</w:t>
        </w:r>
        <w:r w:rsidR="0005064B">
          <w:rPr>
            <w:noProof/>
            <w:webHidden/>
          </w:rPr>
          <w:tab/>
        </w:r>
        <w:r w:rsidR="0005064B">
          <w:rPr>
            <w:noProof/>
            <w:webHidden/>
          </w:rPr>
          <w:fldChar w:fldCharType="begin"/>
        </w:r>
        <w:r w:rsidR="0005064B">
          <w:rPr>
            <w:noProof/>
            <w:webHidden/>
          </w:rPr>
          <w:instrText xml:space="preserve"> PAGEREF _Toc66698736 \h </w:instrText>
        </w:r>
        <w:r w:rsidR="0005064B">
          <w:rPr>
            <w:noProof/>
            <w:webHidden/>
          </w:rPr>
        </w:r>
        <w:r w:rsidR="0005064B">
          <w:rPr>
            <w:noProof/>
            <w:webHidden/>
          </w:rPr>
          <w:fldChar w:fldCharType="separate"/>
        </w:r>
        <w:r w:rsidR="0005064B">
          <w:rPr>
            <w:noProof/>
            <w:webHidden/>
          </w:rPr>
          <w:t>193</w:t>
        </w:r>
        <w:r w:rsidR="0005064B">
          <w:rPr>
            <w:noProof/>
            <w:webHidden/>
          </w:rPr>
          <w:fldChar w:fldCharType="end"/>
        </w:r>
      </w:hyperlink>
    </w:p>
    <w:p w14:paraId="4B6C770F" w14:textId="5730897A" w:rsidR="0005064B" w:rsidRDefault="000306D9" w:rsidP="0005064B">
      <w:pPr>
        <w:pStyle w:val="TableofFigures"/>
        <w:tabs>
          <w:tab w:val="right" w:leader="dot" w:pos="9016"/>
        </w:tabs>
        <w:spacing w:line="240" w:lineRule="auto"/>
        <w:rPr>
          <w:rFonts w:asciiTheme="minorHAnsi" w:hAnsiTheme="minorHAnsi"/>
          <w:noProof/>
          <w:sz w:val="22"/>
        </w:rPr>
      </w:pPr>
      <w:hyperlink w:anchor="_Toc66698737" w:history="1">
        <w:r w:rsidR="0005064B" w:rsidRPr="003422DF">
          <w:rPr>
            <w:rStyle w:val="Hyperlink"/>
            <w:rFonts w:cs="Times New Roman"/>
            <w:noProof/>
          </w:rPr>
          <w:t>Figure 8</w:t>
        </w:r>
        <w:r w:rsidR="0005064B" w:rsidRPr="003422DF">
          <w:rPr>
            <w:rStyle w:val="Hyperlink"/>
            <w:rFonts w:cs="Times New Roman"/>
            <w:noProof/>
          </w:rPr>
          <w:noBreakHyphen/>
          <w:t>2: GIS data acquisition process</w:t>
        </w:r>
        <w:r w:rsidR="0005064B">
          <w:rPr>
            <w:noProof/>
            <w:webHidden/>
          </w:rPr>
          <w:tab/>
        </w:r>
        <w:r w:rsidR="0005064B">
          <w:rPr>
            <w:noProof/>
            <w:webHidden/>
          </w:rPr>
          <w:fldChar w:fldCharType="begin"/>
        </w:r>
        <w:r w:rsidR="0005064B">
          <w:rPr>
            <w:noProof/>
            <w:webHidden/>
          </w:rPr>
          <w:instrText xml:space="preserve"> PAGEREF _Toc66698737 \h </w:instrText>
        </w:r>
        <w:r w:rsidR="0005064B">
          <w:rPr>
            <w:noProof/>
            <w:webHidden/>
          </w:rPr>
        </w:r>
        <w:r w:rsidR="0005064B">
          <w:rPr>
            <w:noProof/>
            <w:webHidden/>
          </w:rPr>
          <w:fldChar w:fldCharType="separate"/>
        </w:r>
        <w:r w:rsidR="0005064B">
          <w:rPr>
            <w:noProof/>
            <w:webHidden/>
          </w:rPr>
          <w:t>195</w:t>
        </w:r>
        <w:r w:rsidR="0005064B">
          <w:rPr>
            <w:noProof/>
            <w:webHidden/>
          </w:rPr>
          <w:fldChar w:fldCharType="end"/>
        </w:r>
      </w:hyperlink>
    </w:p>
    <w:p w14:paraId="1B205F28" w14:textId="0744D252" w:rsidR="0005064B" w:rsidRDefault="000306D9" w:rsidP="0005064B">
      <w:pPr>
        <w:pStyle w:val="TableofFigures"/>
        <w:tabs>
          <w:tab w:val="right" w:leader="dot" w:pos="9016"/>
        </w:tabs>
        <w:spacing w:line="240" w:lineRule="auto"/>
        <w:rPr>
          <w:rFonts w:asciiTheme="minorHAnsi" w:hAnsiTheme="minorHAnsi"/>
          <w:noProof/>
          <w:sz w:val="22"/>
        </w:rPr>
      </w:pPr>
      <w:hyperlink w:anchor="_Toc66698738" w:history="1">
        <w:r w:rsidR="0005064B" w:rsidRPr="003422DF">
          <w:rPr>
            <w:rStyle w:val="Hyperlink"/>
            <w:rFonts w:cs="Times New Roman"/>
            <w:noProof/>
          </w:rPr>
          <w:t>Figure 8</w:t>
        </w:r>
        <w:r w:rsidR="0005064B" w:rsidRPr="003422DF">
          <w:rPr>
            <w:rStyle w:val="Hyperlink"/>
            <w:rFonts w:cs="Times New Roman"/>
            <w:noProof/>
          </w:rPr>
          <w:noBreakHyphen/>
          <w:t>3: Modification of the UCC Network</w:t>
        </w:r>
        <w:r w:rsidR="0005064B">
          <w:rPr>
            <w:noProof/>
            <w:webHidden/>
          </w:rPr>
          <w:tab/>
        </w:r>
        <w:r w:rsidR="0005064B">
          <w:rPr>
            <w:noProof/>
            <w:webHidden/>
          </w:rPr>
          <w:fldChar w:fldCharType="begin"/>
        </w:r>
        <w:r w:rsidR="0005064B">
          <w:rPr>
            <w:noProof/>
            <w:webHidden/>
          </w:rPr>
          <w:instrText xml:space="preserve"> PAGEREF _Toc66698738 \h </w:instrText>
        </w:r>
        <w:r w:rsidR="0005064B">
          <w:rPr>
            <w:noProof/>
            <w:webHidden/>
          </w:rPr>
        </w:r>
        <w:r w:rsidR="0005064B">
          <w:rPr>
            <w:noProof/>
            <w:webHidden/>
          </w:rPr>
          <w:fldChar w:fldCharType="separate"/>
        </w:r>
        <w:r w:rsidR="0005064B">
          <w:rPr>
            <w:noProof/>
            <w:webHidden/>
          </w:rPr>
          <w:t>196</w:t>
        </w:r>
        <w:r w:rsidR="0005064B">
          <w:rPr>
            <w:noProof/>
            <w:webHidden/>
          </w:rPr>
          <w:fldChar w:fldCharType="end"/>
        </w:r>
      </w:hyperlink>
    </w:p>
    <w:p w14:paraId="43EF39CD" w14:textId="6A47DDE5" w:rsidR="0005064B" w:rsidRDefault="000306D9" w:rsidP="0005064B">
      <w:pPr>
        <w:pStyle w:val="TableofFigures"/>
        <w:tabs>
          <w:tab w:val="right" w:leader="dot" w:pos="9016"/>
        </w:tabs>
        <w:spacing w:line="240" w:lineRule="auto"/>
        <w:rPr>
          <w:rFonts w:asciiTheme="minorHAnsi" w:hAnsiTheme="minorHAnsi"/>
          <w:noProof/>
          <w:sz w:val="22"/>
        </w:rPr>
      </w:pPr>
      <w:hyperlink w:anchor="_Toc66698739" w:history="1">
        <w:r w:rsidR="0005064B" w:rsidRPr="003422DF">
          <w:rPr>
            <w:rStyle w:val="Hyperlink"/>
            <w:rFonts w:cs="Times New Roman"/>
            <w:noProof/>
          </w:rPr>
          <w:t>Figure 8</w:t>
        </w:r>
        <w:r w:rsidR="0005064B" w:rsidRPr="003422DF">
          <w:rPr>
            <w:rStyle w:val="Hyperlink"/>
            <w:rFonts w:cs="Times New Roman"/>
            <w:noProof/>
          </w:rPr>
          <w:noBreakHyphen/>
          <w:t>4: Results of the Routing Planning Module</w:t>
        </w:r>
        <w:r w:rsidR="0005064B">
          <w:rPr>
            <w:noProof/>
            <w:webHidden/>
          </w:rPr>
          <w:tab/>
        </w:r>
        <w:r w:rsidR="0005064B">
          <w:rPr>
            <w:noProof/>
            <w:webHidden/>
          </w:rPr>
          <w:fldChar w:fldCharType="begin"/>
        </w:r>
        <w:r w:rsidR="0005064B">
          <w:rPr>
            <w:noProof/>
            <w:webHidden/>
          </w:rPr>
          <w:instrText xml:space="preserve"> PAGEREF _Toc66698739 \h </w:instrText>
        </w:r>
        <w:r w:rsidR="0005064B">
          <w:rPr>
            <w:noProof/>
            <w:webHidden/>
          </w:rPr>
        </w:r>
        <w:r w:rsidR="0005064B">
          <w:rPr>
            <w:noProof/>
            <w:webHidden/>
          </w:rPr>
          <w:fldChar w:fldCharType="separate"/>
        </w:r>
        <w:r w:rsidR="0005064B">
          <w:rPr>
            <w:noProof/>
            <w:webHidden/>
          </w:rPr>
          <w:t>199</w:t>
        </w:r>
        <w:r w:rsidR="0005064B">
          <w:rPr>
            <w:noProof/>
            <w:webHidden/>
          </w:rPr>
          <w:fldChar w:fldCharType="end"/>
        </w:r>
      </w:hyperlink>
    </w:p>
    <w:p w14:paraId="4B89571F" w14:textId="1F277F4A" w:rsidR="0005064B" w:rsidRDefault="000306D9" w:rsidP="0005064B">
      <w:pPr>
        <w:pStyle w:val="TableofFigures"/>
        <w:tabs>
          <w:tab w:val="right" w:leader="dot" w:pos="9016"/>
        </w:tabs>
        <w:spacing w:line="240" w:lineRule="auto"/>
        <w:rPr>
          <w:rFonts w:asciiTheme="minorHAnsi" w:hAnsiTheme="minorHAnsi"/>
          <w:noProof/>
          <w:sz w:val="22"/>
        </w:rPr>
      </w:pPr>
      <w:hyperlink w:anchor="_Toc66698740" w:history="1">
        <w:r w:rsidR="0005064B" w:rsidRPr="003422DF">
          <w:rPr>
            <w:rStyle w:val="Hyperlink"/>
            <w:rFonts w:cs="Times New Roman"/>
            <w:noProof/>
          </w:rPr>
          <w:t>Figure 8</w:t>
        </w:r>
        <w:r w:rsidR="0005064B" w:rsidRPr="003422DF">
          <w:rPr>
            <w:rStyle w:val="Hyperlink"/>
            <w:rFonts w:cs="Times New Roman"/>
            <w:noProof/>
          </w:rPr>
          <w:noBreakHyphen/>
          <w:t>5: Financial Evaluation User Interface</w:t>
        </w:r>
        <w:r w:rsidR="0005064B">
          <w:rPr>
            <w:noProof/>
            <w:webHidden/>
          </w:rPr>
          <w:tab/>
        </w:r>
        <w:r w:rsidR="0005064B">
          <w:rPr>
            <w:noProof/>
            <w:webHidden/>
          </w:rPr>
          <w:fldChar w:fldCharType="begin"/>
        </w:r>
        <w:r w:rsidR="0005064B">
          <w:rPr>
            <w:noProof/>
            <w:webHidden/>
          </w:rPr>
          <w:instrText xml:space="preserve"> PAGEREF _Toc66698740 \h </w:instrText>
        </w:r>
        <w:r w:rsidR="0005064B">
          <w:rPr>
            <w:noProof/>
            <w:webHidden/>
          </w:rPr>
        </w:r>
        <w:r w:rsidR="0005064B">
          <w:rPr>
            <w:noProof/>
            <w:webHidden/>
          </w:rPr>
          <w:fldChar w:fldCharType="separate"/>
        </w:r>
        <w:r w:rsidR="0005064B">
          <w:rPr>
            <w:noProof/>
            <w:webHidden/>
          </w:rPr>
          <w:t>201</w:t>
        </w:r>
        <w:r w:rsidR="0005064B">
          <w:rPr>
            <w:noProof/>
            <w:webHidden/>
          </w:rPr>
          <w:fldChar w:fldCharType="end"/>
        </w:r>
      </w:hyperlink>
    </w:p>
    <w:p w14:paraId="6EE01E72" w14:textId="6A0BD204" w:rsidR="0005064B" w:rsidRDefault="000306D9" w:rsidP="0005064B">
      <w:pPr>
        <w:pStyle w:val="TableofFigures"/>
        <w:tabs>
          <w:tab w:val="right" w:leader="dot" w:pos="9016"/>
        </w:tabs>
        <w:spacing w:line="240" w:lineRule="auto"/>
        <w:rPr>
          <w:rFonts w:asciiTheme="minorHAnsi" w:hAnsiTheme="minorHAnsi"/>
          <w:noProof/>
          <w:sz w:val="22"/>
        </w:rPr>
      </w:pPr>
      <w:hyperlink w:anchor="_Toc66698741" w:history="1">
        <w:r w:rsidR="0005064B" w:rsidRPr="003422DF">
          <w:rPr>
            <w:rStyle w:val="Hyperlink"/>
            <w:noProof/>
          </w:rPr>
          <w:t>Figure 8</w:t>
        </w:r>
        <w:r w:rsidR="0005064B" w:rsidRPr="003422DF">
          <w:rPr>
            <w:rStyle w:val="Hyperlink"/>
            <w:noProof/>
          </w:rPr>
          <w:noBreakHyphen/>
          <w:t>6: Financial Evaluation Calculation Process</w:t>
        </w:r>
        <w:r w:rsidR="0005064B">
          <w:rPr>
            <w:noProof/>
            <w:webHidden/>
          </w:rPr>
          <w:tab/>
        </w:r>
        <w:r w:rsidR="0005064B">
          <w:rPr>
            <w:noProof/>
            <w:webHidden/>
          </w:rPr>
          <w:fldChar w:fldCharType="begin"/>
        </w:r>
        <w:r w:rsidR="0005064B">
          <w:rPr>
            <w:noProof/>
            <w:webHidden/>
          </w:rPr>
          <w:instrText xml:space="preserve"> PAGEREF _Toc66698741 \h </w:instrText>
        </w:r>
        <w:r w:rsidR="0005064B">
          <w:rPr>
            <w:noProof/>
            <w:webHidden/>
          </w:rPr>
        </w:r>
        <w:r w:rsidR="0005064B">
          <w:rPr>
            <w:noProof/>
            <w:webHidden/>
          </w:rPr>
          <w:fldChar w:fldCharType="separate"/>
        </w:r>
        <w:r w:rsidR="0005064B">
          <w:rPr>
            <w:noProof/>
            <w:webHidden/>
          </w:rPr>
          <w:t>202</w:t>
        </w:r>
        <w:r w:rsidR="0005064B">
          <w:rPr>
            <w:noProof/>
            <w:webHidden/>
          </w:rPr>
          <w:fldChar w:fldCharType="end"/>
        </w:r>
      </w:hyperlink>
    </w:p>
    <w:p w14:paraId="26FCE19E" w14:textId="43DCBD62" w:rsidR="0005064B" w:rsidRDefault="000306D9" w:rsidP="0005064B">
      <w:pPr>
        <w:pStyle w:val="TableofFigures"/>
        <w:tabs>
          <w:tab w:val="right" w:leader="dot" w:pos="9016"/>
        </w:tabs>
        <w:spacing w:line="240" w:lineRule="auto"/>
        <w:rPr>
          <w:rFonts w:asciiTheme="minorHAnsi" w:hAnsiTheme="minorHAnsi"/>
          <w:noProof/>
          <w:sz w:val="22"/>
        </w:rPr>
      </w:pPr>
      <w:hyperlink w:anchor="_Toc66698742" w:history="1">
        <w:r w:rsidR="0005064B" w:rsidRPr="003422DF">
          <w:rPr>
            <w:rStyle w:val="Hyperlink"/>
            <w:rFonts w:cs="Times New Roman"/>
            <w:noProof/>
          </w:rPr>
          <w:t>Figure 9</w:t>
        </w:r>
        <w:r w:rsidR="0005064B" w:rsidRPr="003422DF">
          <w:rPr>
            <w:rStyle w:val="Hyperlink"/>
            <w:rFonts w:cs="Times New Roman"/>
            <w:noProof/>
          </w:rPr>
          <w:noBreakHyphen/>
          <w:t>1: Research questions and brief outcomes</w:t>
        </w:r>
        <w:r w:rsidR="0005064B">
          <w:rPr>
            <w:noProof/>
            <w:webHidden/>
          </w:rPr>
          <w:tab/>
        </w:r>
        <w:r w:rsidR="0005064B">
          <w:rPr>
            <w:noProof/>
            <w:webHidden/>
          </w:rPr>
          <w:fldChar w:fldCharType="begin"/>
        </w:r>
        <w:r w:rsidR="0005064B">
          <w:rPr>
            <w:noProof/>
            <w:webHidden/>
          </w:rPr>
          <w:instrText xml:space="preserve"> PAGEREF _Toc66698742 \h </w:instrText>
        </w:r>
        <w:r w:rsidR="0005064B">
          <w:rPr>
            <w:noProof/>
            <w:webHidden/>
          </w:rPr>
        </w:r>
        <w:r w:rsidR="0005064B">
          <w:rPr>
            <w:noProof/>
            <w:webHidden/>
          </w:rPr>
          <w:fldChar w:fldCharType="separate"/>
        </w:r>
        <w:r w:rsidR="0005064B">
          <w:rPr>
            <w:noProof/>
            <w:webHidden/>
          </w:rPr>
          <w:t>208</w:t>
        </w:r>
        <w:r w:rsidR="0005064B">
          <w:rPr>
            <w:noProof/>
            <w:webHidden/>
          </w:rPr>
          <w:fldChar w:fldCharType="end"/>
        </w:r>
      </w:hyperlink>
    </w:p>
    <w:p w14:paraId="15A81DE3" w14:textId="4E683AF2" w:rsidR="005A0BF6" w:rsidRDefault="004634E5" w:rsidP="00BB1857">
      <w:pPr>
        <w:pStyle w:val="Heading1"/>
        <w:numPr>
          <w:ilvl w:val="0"/>
          <w:numId w:val="0"/>
        </w:numPr>
        <w:spacing w:line="360" w:lineRule="auto"/>
        <w:rPr>
          <w:rStyle w:val="Heading1Char"/>
          <w:b/>
          <w:bCs/>
        </w:rPr>
      </w:pPr>
      <w:r w:rsidRPr="006F01CC">
        <w:rPr>
          <w:rStyle w:val="Heading1Char"/>
          <w:b/>
          <w:bCs/>
          <w:sz w:val="22"/>
          <w:szCs w:val="22"/>
        </w:rPr>
        <w:fldChar w:fldCharType="end"/>
      </w:r>
      <w:r w:rsidR="005A0BF6">
        <w:rPr>
          <w:rStyle w:val="Heading1Char"/>
          <w:b/>
          <w:bCs/>
        </w:rPr>
        <w:br w:type="page"/>
      </w:r>
    </w:p>
    <w:p w14:paraId="62FF2FF9" w14:textId="77777777" w:rsidR="004634E5" w:rsidRDefault="005A0BF6" w:rsidP="005A0BF6">
      <w:pPr>
        <w:pStyle w:val="Heading1"/>
        <w:numPr>
          <w:ilvl w:val="0"/>
          <w:numId w:val="0"/>
        </w:numPr>
        <w:ind w:left="431" w:hanging="431"/>
        <w:rPr>
          <w:rStyle w:val="Heading1Char"/>
          <w:b/>
          <w:bCs/>
        </w:rPr>
      </w:pPr>
      <w:bookmarkStart w:id="15" w:name="_Toc66703166"/>
      <w:r>
        <w:rPr>
          <w:rStyle w:val="Heading1Char"/>
          <w:b/>
          <w:bCs/>
        </w:rPr>
        <w:lastRenderedPageBreak/>
        <w:t>L</w:t>
      </w:r>
      <w:r>
        <w:rPr>
          <w:rStyle w:val="Heading1Char"/>
          <w:rFonts w:hint="eastAsia"/>
          <w:b/>
          <w:bCs/>
        </w:rPr>
        <w:t>ist</w:t>
      </w:r>
      <w:r>
        <w:rPr>
          <w:rStyle w:val="Heading1Char"/>
          <w:b/>
          <w:bCs/>
        </w:rPr>
        <w:t xml:space="preserve"> </w:t>
      </w:r>
      <w:r>
        <w:rPr>
          <w:rStyle w:val="Heading1Char"/>
          <w:rFonts w:hint="eastAsia"/>
          <w:b/>
          <w:bCs/>
        </w:rPr>
        <w:t>of</w:t>
      </w:r>
      <w:r>
        <w:rPr>
          <w:rStyle w:val="Heading1Char"/>
          <w:b/>
          <w:bCs/>
        </w:rPr>
        <w:t xml:space="preserve"> </w:t>
      </w:r>
      <w:r>
        <w:rPr>
          <w:rStyle w:val="Heading1Char"/>
          <w:rFonts w:hint="eastAsia"/>
          <w:b/>
          <w:bCs/>
        </w:rPr>
        <w:t>Table</w:t>
      </w:r>
      <w:bookmarkEnd w:id="15"/>
    </w:p>
    <w:p w14:paraId="26823651" w14:textId="30F5A34D" w:rsidR="0005064B" w:rsidRDefault="004634E5" w:rsidP="00497D07">
      <w:pPr>
        <w:pStyle w:val="TableofFigures"/>
        <w:tabs>
          <w:tab w:val="right" w:leader="dot" w:pos="9016"/>
        </w:tabs>
        <w:spacing w:line="240" w:lineRule="auto"/>
        <w:rPr>
          <w:rFonts w:asciiTheme="minorHAnsi" w:hAnsiTheme="minorHAnsi"/>
          <w:noProof/>
          <w:sz w:val="22"/>
        </w:rPr>
      </w:pPr>
      <w:r w:rsidRPr="00AB494A">
        <w:rPr>
          <w:rStyle w:val="Heading1Char"/>
          <w:rFonts w:cs="Times New Roman"/>
          <w:b w:val="0"/>
          <w:bCs w:val="0"/>
          <w:sz w:val="24"/>
          <w:szCs w:val="24"/>
        </w:rPr>
        <w:fldChar w:fldCharType="begin"/>
      </w:r>
      <w:r w:rsidRPr="00AB494A">
        <w:rPr>
          <w:rStyle w:val="Heading1Char"/>
          <w:rFonts w:cs="Times New Roman"/>
          <w:b w:val="0"/>
          <w:bCs w:val="0"/>
          <w:sz w:val="24"/>
          <w:szCs w:val="24"/>
        </w:rPr>
        <w:instrText xml:space="preserve"> TOC \h \z \c "Table" </w:instrText>
      </w:r>
      <w:r w:rsidRPr="00AB494A">
        <w:rPr>
          <w:rStyle w:val="Heading1Char"/>
          <w:rFonts w:cs="Times New Roman"/>
          <w:b w:val="0"/>
          <w:bCs w:val="0"/>
          <w:sz w:val="24"/>
          <w:szCs w:val="24"/>
        </w:rPr>
        <w:fldChar w:fldCharType="separate"/>
      </w:r>
      <w:hyperlink w:anchor="_Toc66698743" w:history="1">
        <w:r w:rsidR="0005064B" w:rsidRPr="001B56D4">
          <w:rPr>
            <w:rStyle w:val="Hyperlink"/>
            <w:noProof/>
          </w:rPr>
          <w:t>Table 1</w:t>
        </w:r>
        <w:r w:rsidR="0005064B" w:rsidRPr="001B56D4">
          <w:rPr>
            <w:rStyle w:val="Hyperlink"/>
            <w:noProof/>
          </w:rPr>
          <w:noBreakHyphen/>
          <w:t>1</w:t>
        </w:r>
        <w:r w:rsidR="0005064B" w:rsidRPr="001B56D4">
          <w:rPr>
            <w:rStyle w:val="Hyperlink"/>
            <w:rFonts w:cs="Times New Roman"/>
            <w:noProof/>
          </w:rPr>
          <w:t>: Stakeholders in urban logistics (UL)</w:t>
        </w:r>
        <w:r w:rsidR="0005064B">
          <w:rPr>
            <w:noProof/>
            <w:webHidden/>
          </w:rPr>
          <w:tab/>
        </w:r>
        <w:r w:rsidR="0005064B">
          <w:rPr>
            <w:noProof/>
            <w:webHidden/>
          </w:rPr>
          <w:fldChar w:fldCharType="begin"/>
        </w:r>
        <w:r w:rsidR="0005064B">
          <w:rPr>
            <w:noProof/>
            <w:webHidden/>
          </w:rPr>
          <w:instrText xml:space="preserve"> PAGEREF _Toc66698743 \h </w:instrText>
        </w:r>
        <w:r w:rsidR="0005064B">
          <w:rPr>
            <w:noProof/>
            <w:webHidden/>
          </w:rPr>
        </w:r>
        <w:r w:rsidR="0005064B">
          <w:rPr>
            <w:noProof/>
            <w:webHidden/>
          </w:rPr>
          <w:fldChar w:fldCharType="separate"/>
        </w:r>
        <w:r w:rsidR="0005064B">
          <w:rPr>
            <w:noProof/>
            <w:webHidden/>
          </w:rPr>
          <w:t>1</w:t>
        </w:r>
        <w:r w:rsidR="0005064B">
          <w:rPr>
            <w:noProof/>
            <w:webHidden/>
          </w:rPr>
          <w:fldChar w:fldCharType="end"/>
        </w:r>
      </w:hyperlink>
    </w:p>
    <w:p w14:paraId="6C6A8DED" w14:textId="5E0DFBED" w:rsidR="0005064B" w:rsidRDefault="000306D9" w:rsidP="00497D07">
      <w:pPr>
        <w:pStyle w:val="TableofFigures"/>
        <w:tabs>
          <w:tab w:val="right" w:leader="dot" w:pos="9016"/>
        </w:tabs>
        <w:spacing w:line="240" w:lineRule="auto"/>
        <w:rPr>
          <w:rFonts w:asciiTheme="minorHAnsi" w:hAnsiTheme="minorHAnsi"/>
          <w:noProof/>
          <w:sz w:val="22"/>
        </w:rPr>
      </w:pPr>
      <w:hyperlink w:anchor="_Toc66698744" w:history="1">
        <w:r w:rsidR="0005064B" w:rsidRPr="001B56D4">
          <w:rPr>
            <w:rStyle w:val="Hyperlink"/>
            <w:noProof/>
          </w:rPr>
          <w:t>Table 1</w:t>
        </w:r>
        <w:r w:rsidR="0005064B" w:rsidRPr="001B56D4">
          <w:rPr>
            <w:rStyle w:val="Hyperlink"/>
            <w:noProof/>
          </w:rPr>
          <w:noBreakHyphen/>
          <w:t>2</w:t>
        </w:r>
        <w:r w:rsidR="0005064B" w:rsidRPr="001B56D4">
          <w:rPr>
            <w:rStyle w:val="Hyperlink"/>
            <w:rFonts w:cs="Times New Roman"/>
            <w:noProof/>
          </w:rPr>
          <w:t>: Logistical processes</w:t>
        </w:r>
        <w:r w:rsidR="0005064B">
          <w:rPr>
            <w:noProof/>
            <w:webHidden/>
          </w:rPr>
          <w:tab/>
        </w:r>
        <w:r w:rsidR="0005064B">
          <w:rPr>
            <w:noProof/>
            <w:webHidden/>
          </w:rPr>
          <w:fldChar w:fldCharType="begin"/>
        </w:r>
        <w:r w:rsidR="0005064B">
          <w:rPr>
            <w:noProof/>
            <w:webHidden/>
          </w:rPr>
          <w:instrText xml:space="preserve"> PAGEREF _Toc66698744 \h </w:instrText>
        </w:r>
        <w:r w:rsidR="0005064B">
          <w:rPr>
            <w:noProof/>
            <w:webHidden/>
          </w:rPr>
        </w:r>
        <w:r w:rsidR="0005064B">
          <w:rPr>
            <w:noProof/>
            <w:webHidden/>
          </w:rPr>
          <w:fldChar w:fldCharType="separate"/>
        </w:r>
        <w:r w:rsidR="0005064B">
          <w:rPr>
            <w:noProof/>
            <w:webHidden/>
          </w:rPr>
          <w:t>2</w:t>
        </w:r>
        <w:r w:rsidR="0005064B">
          <w:rPr>
            <w:noProof/>
            <w:webHidden/>
          </w:rPr>
          <w:fldChar w:fldCharType="end"/>
        </w:r>
      </w:hyperlink>
    </w:p>
    <w:p w14:paraId="4ED3A865" w14:textId="5080E766" w:rsidR="0005064B" w:rsidRDefault="000306D9" w:rsidP="00497D07">
      <w:pPr>
        <w:pStyle w:val="TableofFigures"/>
        <w:tabs>
          <w:tab w:val="right" w:leader="dot" w:pos="9016"/>
        </w:tabs>
        <w:spacing w:line="240" w:lineRule="auto"/>
        <w:rPr>
          <w:rFonts w:asciiTheme="minorHAnsi" w:hAnsiTheme="minorHAnsi"/>
          <w:noProof/>
          <w:sz w:val="22"/>
        </w:rPr>
      </w:pPr>
      <w:hyperlink w:anchor="_Toc66698745" w:history="1">
        <w:r w:rsidR="0005064B" w:rsidRPr="001B56D4">
          <w:rPr>
            <w:rStyle w:val="Hyperlink"/>
            <w:rFonts w:cs="Times New Roman"/>
            <w:noProof/>
          </w:rPr>
          <w:t>Table 1</w:t>
        </w:r>
        <w:r w:rsidR="0005064B" w:rsidRPr="001B56D4">
          <w:rPr>
            <w:rStyle w:val="Hyperlink"/>
            <w:rFonts w:cs="Times New Roman"/>
            <w:noProof/>
          </w:rPr>
          <w:noBreakHyphen/>
          <w:t>3: Direction of the materials, monetary, and information flow (adapted from Wangapisit et al., [2014])</w:t>
        </w:r>
        <w:r w:rsidR="0005064B">
          <w:rPr>
            <w:noProof/>
            <w:webHidden/>
          </w:rPr>
          <w:tab/>
        </w:r>
        <w:r w:rsidR="0005064B">
          <w:rPr>
            <w:noProof/>
            <w:webHidden/>
          </w:rPr>
          <w:fldChar w:fldCharType="begin"/>
        </w:r>
        <w:r w:rsidR="0005064B">
          <w:rPr>
            <w:noProof/>
            <w:webHidden/>
          </w:rPr>
          <w:instrText xml:space="preserve"> PAGEREF _Toc66698745 \h </w:instrText>
        </w:r>
        <w:r w:rsidR="0005064B">
          <w:rPr>
            <w:noProof/>
            <w:webHidden/>
          </w:rPr>
        </w:r>
        <w:r w:rsidR="0005064B">
          <w:rPr>
            <w:noProof/>
            <w:webHidden/>
          </w:rPr>
          <w:fldChar w:fldCharType="separate"/>
        </w:r>
        <w:r w:rsidR="0005064B">
          <w:rPr>
            <w:noProof/>
            <w:webHidden/>
          </w:rPr>
          <w:t>2</w:t>
        </w:r>
        <w:r w:rsidR="0005064B">
          <w:rPr>
            <w:noProof/>
            <w:webHidden/>
          </w:rPr>
          <w:fldChar w:fldCharType="end"/>
        </w:r>
      </w:hyperlink>
    </w:p>
    <w:p w14:paraId="28F008BA" w14:textId="46B5F5C8" w:rsidR="0005064B" w:rsidRDefault="000306D9" w:rsidP="00497D07">
      <w:pPr>
        <w:pStyle w:val="TableofFigures"/>
        <w:tabs>
          <w:tab w:val="right" w:leader="dot" w:pos="9016"/>
        </w:tabs>
        <w:spacing w:line="240" w:lineRule="auto"/>
        <w:rPr>
          <w:rFonts w:asciiTheme="minorHAnsi" w:hAnsiTheme="minorHAnsi"/>
          <w:noProof/>
          <w:sz w:val="22"/>
        </w:rPr>
      </w:pPr>
      <w:hyperlink w:anchor="_Toc66698746" w:history="1">
        <w:r w:rsidR="0005064B" w:rsidRPr="001B56D4">
          <w:rPr>
            <w:rStyle w:val="Hyperlink"/>
            <w:rFonts w:cs="Times New Roman"/>
            <w:noProof/>
          </w:rPr>
          <w:t>Table 1</w:t>
        </w:r>
        <w:r w:rsidR="0005064B" w:rsidRPr="001B56D4">
          <w:rPr>
            <w:rStyle w:val="Hyperlink"/>
            <w:rFonts w:cs="Times New Roman"/>
            <w:noProof/>
          </w:rPr>
          <w:noBreakHyphen/>
          <w:t>4: Details of the ‘Millennium Goals’ of sustainable development (SD) (adapted from UN [2015])</w:t>
        </w:r>
        <w:r w:rsidR="0005064B">
          <w:rPr>
            <w:noProof/>
            <w:webHidden/>
          </w:rPr>
          <w:tab/>
        </w:r>
        <w:r w:rsidR="0005064B">
          <w:rPr>
            <w:noProof/>
            <w:webHidden/>
          </w:rPr>
          <w:fldChar w:fldCharType="begin"/>
        </w:r>
        <w:r w:rsidR="0005064B">
          <w:rPr>
            <w:noProof/>
            <w:webHidden/>
          </w:rPr>
          <w:instrText xml:space="preserve"> PAGEREF _Toc66698746 \h </w:instrText>
        </w:r>
        <w:r w:rsidR="0005064B">
          <w:rPr>
            <w:noProof/>
            <w:webHidden/>
          </w:rPr>
        </w:r>
        <w:r w:rsidR="0005064B">
          <w:rPr>
            <w:noProof/>
            <w:webHidden/>
          </w:rPr>
          <w:fldChar w:fldCharType="separate"/>
        </w:r>
        <w:r w:rsidR="0005064B">
          <w:rPr>
            <w:noProof/>
            <w:webHidden/>
          </w:rPr>
          <w:t>8</w:t>
        </w:r>
        <w:r w:rsidR="0005064B">
          <w:rPr>
            <w:noProof/>
            <w:webHidden/>
          </w:rPr>
          <w:fldChar w:fldCharType="end"/>
        </w:r>
      </w:hyperlink>
    </w:p>
    <w:p w14:paraId="1B8B9FD7" w14:textId="63972F52" w:rsidR="0005064B" w:rsidRDefault="000306D9" w:rsidP="00497D07">
      <w:pPr>
        <w:pStyle w:val="TableofFigures"/>
        <w:tabs>
          <w:tab w:val="right" w:leader="dot" w:pos="9016"/>
        </w:tabs>
        <w:spacing w:line="240" w:lineRule="auto"/>
        <w:rPr>
          <w:rFonts w:asciiTheme="minorHAnsi" w:hAnsiTheme="minorHAnsi"/>
          <w:noProof/>
          <w:sz w:val="22"/>
        </w:rPr>
      </w:pPr>
      <w:hyperlink w:anchor="_Toc66698747" w:history="1">
        <w:r w:rsidR="0005064B" w:rsidRPr="001B56D4">
          <w:rPr>
            <w:rStyle w:val="Hyperlink"/>
            <w:rFonts w:cs="Times New Roman"/>
            <w:noProof/>
          </w:rPr>
          <w:t>Table 1</w:t>
        </w:r>
        <w:r w:rsidR="0005064B" w:rsidRPr="001B56D4">
          <w:rPr>
            <w:rStyle w:val="Hyperlink"/>
            <w:rFonts w:cs="Times New Roman"/>
            <w:noProof/>
          </w:rPr>
          <w:noBreakHyphen/>
          <w:t>5: UK sustainable development indicators (Adapted from Department for Environment, Food &amp; Rural Affairs [2013])</w:t>
        </w:r>
        <w:r w:rsidR="0005064B">
          <w:rPr>
            <w:noProof/>
            <w:webHidden/>
          </w:rPr>
          <w:tab/>
        </w:r>
        <w:r w:rsidR="0005064B">
          <w:rPr>
            <w:noProof/>
            <w:webHidden/>
          </w:rPr>
          <w:fldChar w:fldCharType="begin"/>
        </w:r>
        <w:r w:rsidR="0005064B">
          <w:rPr>
            <w:noProof/>
            <w:webHidden/>
          </w:rPr>
          <w:instrText xml:space="preserve"> PAGEREF _Toc66698747 \h </w:instrText>
        </w:r>
        <w:r w:rsidR="0005064B">
          <w:rPr>
            <w:noProof/>
            <w:webHidden/>
          </w:rPr>
        </w:r>
        <w:r w:rsidR="0005064B">
          <w:rPr>
            <w:noProof/>
            <w:webHidden/>
          </w:rPr>
          <w:fldChar w:fldCharType="separate"/>
        </w:r>
        <w:r w:rsidR="0005064B">
          <w:rPr>
            <w:noProof/>
            <w:webHidden/>
          </w:rPr>
          <w:t>9</w:t>
        </w:r>
        <w:r w:rsidR="0005064B">
          <w:rPr>
            <w:noProof/>
            <w:webHidden/>
          </w:rPr>
          <w:fldChar w:fldCharType="end"/>
        </w:r>
      </w:hyperlink>
    </w:p>
    <w:p w14:paraId="567FAD88" w14:textId="6FBEB81A" w:rsidR="0005064B" w:rsidRDefault="000306D9" w:rsidP="00497D07">
      <w:pPr>
        <w:pStyle w:val="TableofFigures"/>
        <w:tabs>
          <w:tab w:val="right" w:leader="dot" w:pos="9016"/>
        </w:tabs>
        <w:spacing w:line="240" w:lineRule="auto"/>
        <w:rPr>
          <w:rFonts w:asciiTheme="minorHAnsi" w:hAnsiTheme="minorHAnsi"/>
          <w:noProof/>
          <w:sz w:val="22"/>
        </w:rPr>
      </w:pPr>
      <w:hyperlink w:anchor="_Toc66698748" w:history="1">
        <w:r w:rsidR="0005064B" w:rsidRPr="001B56D4">
          <w:rPr>
            <w:rStyle w:val="Hyperlink"/>
            <w:rFonts w:cs="Times New Roman"/>
            <w:noProof/>
          </w:rPr>
          <w:t>Table 1</w:t>
        </w:r>
        <w:r w:rsidR="0005064B" w:rsidRPr="001B56D4">
          <w:rPr>
            <w:rStyle w:val="Hyperlink"/>
            <w:rFonts w:cs="Times New Roman"/>
            <w:noProof/>
          </w:rPr>
          <w:noBreakHyphen/>
          <w:t>6: EU urban sustainable development indicators (adapted from indicators Science for Environment Policy, [2018]).</w:t>
        </w:r>
        <w:r w:rsidR="0005064B">
          <w:rPr>
            <w:noProof/>
            <w:webHidden/>
          </w:rPr>
          <w:tab/>
        </w:r>
        <w:r w:rsidR="0005064B">
          <w:rPr>
            <w:noProof/>
            <w:webHidden/>
          </w:rPr>
          <w:fldChar w:fldCharType="begin"/>
        </w:r>
        <w:r w:rsidR="0005064B">
          <w:rPr>
            <w:noProof/>
            <w:webHidden/>
          </w:rPr>
          <w:instrText xml:space="preserve"> PAGEREF _Toc66698748 \h </w:instrText>
        </w:r>
        <w:r w:rsidR="0005064B">
          <w:rPr>
            <w:noProof/>
            <w:webHidden/>
          </w:rPr>
        </w:r>
        <w:r w:rsidR="0005064B">
          <w:rPr>
            <w:noProof/>
            <w:webHidden/>
          </w:rPr>
          <w:fldChar w:fldCharType="separate"/>
        </w:r>
        <w:r w:rsidR="0005064B">
          <w:rPr>
            <w:noProof/>
            <w:webHidden/>
          </w:rPr>
          <w:t>10</w:t>
        </w:r>
        <w:r w:rsidR="0005064B">
          <w:rPr>
            <w:noProof/>
            <w:webHidden/>
          </w:rPr>
          <w:fldChar w:fldCharType="end"/>
        </w:r>
      </w:hyperlink>
    </w:p>
    <w:p w14:paraId="7B311D9C" w14:textId="3005FF53" w:rsidR="0005064B" w:rsidRDefault="000306D9" w:rsidP="00497D07">
      <w:pPr>
        <w:pStyle w:val="TableofFigures"/>
        <w:tabs>
          <w:tab w:val="right" w:leader="dot" w:pos="9016"/>
        </w:tabs>
        <w:spacing w:line="240" w:lineRule="auto"/>
        <w:rPr>
          <w:rFonts w:asciiTheme="minorHAnsi" w:hAnsiTheme="minorHAnsi"/>
          <w:noProof/>
          <w:sz w:val="22"/>
        </w:rPr>
      </w:pPr>
      <w:hyperlink w:anchor="_Toc66698749" w:history="1">
        <w:r w:rsidR="0005064B" w:rsidRPr="001B56D4">
          <w:rPr>
            <w:rStyle w:val="Hyperlink"/>
            <w:rFonts w:cs="Times New Roman"/>
            <w:noProof/>
          </w:rPr>
          <w:t>Table 1</w:t>
        </w:r>
        <w:r w:rsidR="0005064B" w:rsidRPr="001B56D4">
          <w:rPr>
            <w:rStyle w:val="Hyperlink"/>
            <w:rFonts w:cs="Times New Roman"/>
            <w:noProof/>
          </w:rPr>
          <w:noBreakHyphen/>
          <w:t>7: Essential elements of SUL initiatives (adapted from Gonzalez-Feliu et al. [2014b])</w:t>
        </w:r>
        <w:r w:rsidR="0005064B">
          <w:rPr>
            <w:noProof/>
            <w:webHidden/>
          </w:rPr>
          <w:tab/>
        </w:r>
        <w:r w:rsidR="0005064B">
          <w:rPr>
            <w:noProof/>
            <w:webHidden/>
          </w:rPr>
          <w:fldChar w:fldCharType="begin"/>
        </w:r>
        <w:r w:rsidR="0005064B">
          <w:rPr>
            <w:noProof/>
            <w:webHidden/>
          </w:rPr>
          <w:instrText xml:space="preserve"> PAGEREF _Toc66698749 \h </w:instrText>
        </w:r>
        <w:r w:rsidR="0005064B">
          <w:rPr>
            <w:noProof/>
            <w:webHidden/>
          </w:rPr>
        </w:r>
        <w:r w:rsidR="0005064B">
          <w:rPr>
            <w:noProof/>
            <w:webHidden/>
          </w:rPr>
          <w:fldChar w:fldCharType="separate"/>
        </w:r>
        <w:r w:rsidR="0005064B">
          <w:rPr>
            <w:noProof/>
            <w:webHidden/>
          </w:rPr>
          <w:t>12</w:t>
        </w:r>
        <w:r w:rsidR="0005064B">
          <w:rPr>
            <w:noProof/>
            <w:webHidden/>
          </w:rPr>
          <w:fldChar w:fldCharType="end"/>
        </w:r>
      </w:hyperlink>
    </w:p>
    <w:p w14:paraId="2649D665" w14:textId="6E508A59" w:rsidR="0005064B" w:rsidRDefault="000306D9" w:rsidP="00497D07">
      <w:pPr>
        <w:pStyle w:val="TableofFigures"/>
        <w:tabs>
          <w:tab w:val="right" w:leader="dot" w:pos="9016"/>
        </w:tabs>
        <w:spacing w:line="240" w:lineRule="auto"/>
        <w:rPr>
          <w:rFonts w:asciiTheme="minorHAnsi" w:hAnsiTheme="minorHAnsi"/>
          <w:noProof/>
          <w:sz w:val="22"/>
        </w:rPr>
      </w:pPr>
      <w:hyperlink w:anchor="_Toc66698750" w:history="1">
        <w:r w:rsidR="0005064B" w:rsidRPr="001B56D4">
          <w:rPr>
            <w:rStyle w:val="Hyperlink"/>
            <w:rFonts w:cs="Times New Roman"/>
            <w:noProof/>
          </w:rPr>
          <w:t>Table 1</w:t>
        </w:r>
        <w:r w:rsidR="0005064B" w:rsidRPr="001B56D4">
          <w:rPr>
            <w:rStyle w:val="Hyperlink"/>
            <w:rFonts w:cs="Times New Roman"/>
            <w:noProof/>
          </w:rPr>
          <w:noBreakHyphen/>
          <w:t>8: EU sustainable urban logistics (SUL)</w:t>
        </w:r>
        <w:r w:rsidR="0005064B">
          <w:rPr>
            <w:noProof/>
            <w:webHidden/>
          </w:rPr>
          <w:tab/>
        </w:r>
        <w:r w:rsidR="0005064B">
          <w:rPr>
            <w:noProof/>
            <w:webHidden/>
          </w:rPr>
          <w:fldChar w:fldCharType="begin"/>
        </w:r>
        <w:r w:rsidR="0005064B">
          <w:rPr>
            <w:noProof/>
            <w:webHidden/>
          </w:rPr>
          <w:instrText xml:space="preserve"> PAGEREF _Toc66698750 \h </w:instrText>
        </w:r>
        <w:r w:rsidR="0005064B">
          <w:rPr>
            <w:noProof/>
            <w:webHidden/>
          </w:rPr>
        </w:r>
        <w:r w:rsidR="0005064B">
          <w:rPr>
            <w:noProof/>
            <w:webHidden/>
          </w:rPr>
          <w:fldChar w:fldCharType="separate"/>
        </w:r>
        <w:r w:rsidR="0005064B">
          <w:rPr>
            <w:noProof/>
            <w:webHidden/>
          </w:rPr>
          <w:t>13</w:t>
        </w:r>
        <w:r w:rsidR="0005064B">
          <w:rPr>
            <w:noProof/>
            <w:webHidden/>
          </w:rPr>
          <w:fldChar w:fldCharType="end"/>
        </w:r>
      </w:hyperlink>
    </w:p>
    <w:p w14:paraId="79B2A9BE" w14:textId="7AACBFDF" w:rsidR="0005064B" w:rsidRDefault="000306D9" w:rsidP="00497D07">
      <w:pPr>
        <w:pStyle w:val="TableofFigures"/>
        <w:tabs>
          <w:tab w:val="right" w:leader="dot" w:pos="9016"/>
        </w:tabs>
        <w:spacing w:line="240" w:lineRule="auto"/>
        <w:rPr>
          <w:rFonts w:asciiTheme="minorHAnsi" w:hAnsiTheme="minorHAnsi"/>
          <w:noProof/>
          <w:sz w:val="22"/>
        </w:rPr>
      </w:pPr>
      <w:hyperlink w:anchor="_Toc66698751" w:history="1">
        <w:r w:rsidR="0005064B" w:rsidRPr="001B56D4">
          <w:rPr>
            <w:rStyle w:val="Hyperlink"/>
            <w:rFonts w:cs="Times New Roman"/>
            <w:noProof/>
          </w:rPr>
          <w:t>Table 1</w:t>
        </w:r>
        <w:r w:rsidR="0005064B" w:rsidRPr="001B56D4">
          <w:rPr>
            <w:rStyle w:val="Hyperlink"/>
            <w:rFonts w:cs="Times New Roman"/>
            <w:noProof/>
          </w:rPr>
          <w:noBreakHyphen/>
          <w:t>9:  Sustainable urban logistics (SUL) measures</w:t>
        </w:r>
        <w:r w:rsidR="0005064B">
          <w:rPr>
            <w:noProof/>
            <w:webHidden/>
          </w:rPr>
          <w:tab/>
        </w:r>
        <w:r w:rsidR="0005064B">
          <w:rPr>
            <w:noProof/>
            <w:webHidden/>
          </w:rPr>
          <w:fldChar w:fldCharType="begin"/>
        </w:r>
        <w:r w:rsidR="0005064B">
          <w:rPr>
            <w:noProof/>
            <w:webHidden/>
          </w:rPr>
          <w:instrText xml:space="preserve"> PAGEREF _Toc66698751 \h </w:instrText>
        </w:r>
        <w:r w:rsidR="0005064B">
          <w:rPr>
            <w:noProof/>
            <w:webHidden/>
          </w:rPr>
        </w:r>
        <w:r w:rsidR="0005064B">
          <w:rPr>
            <w:noProof/>
            <w:webHidden/>
          </w:rPr>
          <w:fldChar w:fldCharType="separate"/>
        </w:r>
        <w:r w:rsidR="0005064B">
          <w:rPr>
            <w:noProof/>
            <w:webHidden/>
          </w:rPr>
          <w:t>14</w:t>
        </w:r>
        <w:r w:rsidR="0005064B">
          <w:rPr>
            <w:noProof/>
            <w:webHidden/>
          </w:rPr>
          <w:fldChar w:fldCharType="end"/>
        </w:r>
      </w:hyperlink>
    </w:p>
    <w:p w14:paraId="5626E20C" w14:textId="4CCB3489" w:rsidR="0005064B" w:rsidRDefault="000306D9" w:rsidP="00497D07">
      <w:pPr>
        <w:pStyle w:val="TableofFigures"/>
        <w:tabs>
          <w:tab w:val="right" w:leader="dot" w:pos="9016"/>
        </w:tabs>
        <w:spacing w:line="240" w:lineRule="auto"/>
        <w:rPr>
          <w:rFonts w:asciiTheme="minorHAnsi" w:hAnsiTheme="minorHAnsi"/>
          <w:noProof/>
          <w:sz w:val="22"/>
        </w:rPr>
      </w:pPr>
      <w:hyperlink w:anchor="_Toc66698752" w:history="1">
        <w:r w:rsidR="0005064B" w:rsidRPr="001B56D4">
          <w:rPr>
            <w:rStyle w:val="Hyperlink"/>
            <w:noProof/>
          </w:rPr>
          <w:t>Table 2</w:t>
        </w:r>
        <w:r w:rsidR="0005064B" w:rsidRPr="001B56D4">
          <w:rPr>
            <w:rStyle w:val="Hyperlink"/>
            <w:noProof/>
          </w:rPr>
          <w:noBreakHyphen/>
          <w:t>1: Criteria for the paper search</w:t>
        </w:r>
        <w:r w:rsidR="0005064B">
          <w:rPr>
            <w:noProof/>
            <w:webHidden/>
          </w:rPr>
          <w:tab/>
        </w:r>
        <w:r w:rsidR="0005064B">
          <w:rPr>
            <w:noProof/>
            <w:webHidden/>
          </w:rPr>
          <w:fldChar w:fldCharType="begin"/>
        </w:r>
        <w:r w:rsidR="0005064B">
          <w:rPr>
            <w:noProof/>
            <w:webHidden/>
          </w:rPr>
          <w:instrText xml:space="preserve"> PAGEREF _Toc66698752 \h </w:instrText>
        </w:r>
        <w:r w:rsidR="0005064B">
          <w:rPr>
            <w:noProof/>
            <w:webHidden/>
          </w:rPr>
        </w:r>
        <w:r w:rsidR="0005064B">
          <w:rPr>
            <w:noProof/>
            <w:webHidden/>
          </w:rPr>
          <w:fldChar w:fldCharType="separate"/>
        </w:r>
        <w:r w:rsidR="0005064B">
          <w:rPr>
            <w:noProof/>
            <w:webHidden/>
          </w:rPr>
          <w:t>21</w:t>
        </w:r>
        <w:r w:rsidR="0005064B">
          <w:rPr>
            <w:noProof/>
            <w:webHidden/>
          </w:rPr>
          <w:fldChar w:fldCharType="end"/>
        </w:r>
      </w:hyperlink>
    </w:p>
    <w:p w14:paraId="2CBAC24C" w14:textId="32E2FC3D" w:rsidR="0005064B" w:rsidRDefault="000306D9" w:rsidP="00497D07">
      <w:pPr>
        <w:pStyle w:val="TableofFigures"/>
        <w:tabs>
          <w:tab w:val="right" w:leader="dot" w:pos="9016"/>
        </w:tabs>
        <w:spacing w:line="240" w:lineRule="auto"/>
        <w:rPr>
          <w:rFonts w:asciiTheme="minorHAnsi" w:hAnsiTheme="minorHAnsi"/>
          <w:noProof/>
          <w:sz w:val="22"/>
        </w:rPr>
      </w:pPr>
      <w:hyperlink w:anchor="_Toc66698753" w:history="1">
        <w:r w:rsidR="0005064B" w:rsidRPr="001B56D4">
          <w:rPr>
            <w:rStyle w:val="Hyperlink"/>
            <w:rFonts w:cs="Times New Roman"/>
            <w:noProof/>
          </w:rPr>
          <w:t>Table 2</w:t>
        </w:r>
        <w:r w:rsidR="0005064B" w:rsidRPr="001B56D4">
          <w:rPr>
            <w:rStyle w:val="Hyperlink"/>
            <w:rFonts w:cs="Times New Roman"/>
            <w:noProof/>
          </w:rPr>
          <w:noBreakHyphen/>
          <w:t>2: Journals that have published at least six articles on the subject of sustainable urban logistics</w:t>
        </w:r>
        <w:r w:rsidR="0005064B">
          <w:rPr>
            <w:noProof/>
            <w:webHidden/>
          </w:rPr>
          <w:tab/>
        </w:r>
        <w:r w:rsidR="0005064B">
          <w:rPr>
            <w:noProof/>
            <w:webHidden/>
          </w:rPr>
          <w:fldChar w:fldCharType="begin"/>
        </w:r>
        <w:r w:rsidR="0005064B">
          <w:rPr>
            <w:noProof/>
            <w:webHidden/>
          </w:rPr>
          <w:instrText xml:space="preserve"> PAGEREF _Toc66698753 \h </w:instrText>
        </w:r>
        <w:r w:rsidR="0005064B">
          <w:rPr>
            <w:noProof/>
            <w:webHidden/>
          </w:rPr>
        </w:r>
        <w:r w:rsidR="0005064B">
          <w:rPr>
            <w:noProof/>
            <w:webHidden/>
          </w:rPr>
          <w:fldChar w:fldCharType="separate"/>
        </w:r>
        <w:r w:rsidR="0005064B">
          <w:rPr>
            <w:noProof/>
            <w:webHidden/>
          </w:rPr>
          <w:t>22</w:t>
        </w:r>
        <w:r w:rsidR="0005064B">
          <w:rPr>
            <w:noProof/>
            <w:webHidden/>
          </w:rPr>
          <w:fldChar w:fldCharType="end"/>
        </w:r>
      </w:hyperlink>
    </w:p>
    <w:p w14:paraId="13BCB295" w14:textId="7B4C81CE" w:rsidR="0005064B" w:rsidRDefault="000306D9" w:rsidP="00497D07">
      <w:pPr>
        <w:pStyle w:val="TableofFigures"/>
        <w:tabs>
          <w:tab w:val="right" w:leader="dot" w:pos="9016"/>
        </w:tabs>
        <w:spacing w:line="240" w:lineRule="auto"/>
        <w:rPr>
          <w:rFonts w:asciiTheme="minorHAnsi" w:hAnsiTheme="minorHAnsi"/>
          <w:noProof/>
          <w:sz w:val="22"/>
        </w:rPr>
      </w:pPr>
      <w:hyperlink w:anchor="_Toc66698754" w:history="1">
        <w:r w:rsidR="0005064B" w:rsidRPr="001B56D4">
          <w:rPr>
            <w:rStyle w:val="Hyperlink"/>
            <w:rFonts w:cs="Times New Roman"/>
            <w:noProof/>
          </w:rPr>
          <w:t>Table 2</w:t>
        </w:r>
        <w:r w:rsidR="0005064B" w:rsidRPr="001B56D4">
          <w:rPr>
            <w:rStyle w:val="Hyperlink"/>
            <w:rFonts w:cs="Times New Roman"/>
            <w:noProof/>
          </w:rPr>
          <w:noBreakHyphen/>
          <w:t>3: Authors who have published at least five articles</w:t>
        </w:r>
        <w:r w:rsidR="0005064B">
          <w:rPr>
            <w:noProof/>
            <w:webHidden/>
          </w:rPr>
          <w:tab/>
        </w:r>
        <w:r w:rsidR="0005064B">
          <w:rPr>
            <w:noProof/>
            <w:webHidden/>
          </w:rPr>
          <w:fldChar w:fldCharType="begin"/>
        </w:r>
        <w:r w:rsidR="0005064B">
          <w:rPr>
            <w:noProof/>
            <w:webHidden/>
          </w:rPr>
          <w:instrText xml:space="preserve"> PAGEREF _Toc66698754 \h </w:instrText>
        </w:r>
        <w:r w:rsidR="0005064B">
          <w:rPr>
            <w:noProof/>
            <w:webHidden/>
          </w:rPr>
        </w:r>
        <w:r w:rsidR="0005064B">
          <w:rPr>
            <w:noProof/>
            <w:webHidden/>
          </w:rPr>
          <w:fldChar w:fldCharType="separate"/>
        </w:r>
        <w:r w:rsidR="0005064B">
          <w:rPr>
            <w:noProof/>
            <w:webHidden/>
          </w:rPr>
          <w:t>23</w:t>
        </w:r>
        <w:r w:rsidR="0005064B">
          <w:rPr>
            <w:noProof/>
            <w:webHidden/>
          </w:rPr>
          <w:fldChar w:fldCharType="end"/>
        </w:r>
      </w:hyperlink>
    </w:p>
    <w:p w14:paraId="491BB0DB" w14:textId="517747AC" w:rsidR="0005064B" w:rsidRDefault="000306D9" w:rsidP="00497D07">
      <w:pPr>
        <w:pStyle w:val="TableofFigures"/>
        <w:tabs>
          <w:tab w:val="right" w:leader="dot" w:pos="9016"/>
        </w:tabs>
        <w:spacing w:line="240" w:lineRule="auto"/>
        <w:rPr>
          <w:rFonts w:asciiTheme="minorHAnsi" w:hAnsiTheme="minorHAnsi"/>
          <w:noProof/>
          <w:sz w:val="22"/>
        </w:rPr>
      </w:pPr>
      <w:hyperlink w:anchor="_Toc66698755" w:history="1">
        <w:r w:rsidR="0005064B" w:rsidRPr="001B56D4">
          <w:rPr>
            <w:rStyle w:val="Hyperlink"/>
            <w:rFonts w:cs="Times New Roman"/>
            <w:noProof/>
          </w:rPr>
          <w:t>Table 2</w:t>
        </w:r>
        <w:r w:rsidR="0005064B" w:rsidRPr="001B56D4">
          <w:rPr>
            <w:rStyle w:val="Hyperlink"/>
            <w:rFonts w:cs="Times New Roman"/>
            <w:noProof/>
          </w:rPr>
          <w:noBreakHyphen/>
          <w:t>4: Categories of vehicle-routing problems in city logistics (Kim et al., 2015)</w:t>
        </w:r>
        <w:r w:rsidR="0005064B">
          <w:rPr>
            <w:noProof/>
            <w:webHidden/>
          </w:rPr>
          <w:tab/>
        </w:r>
        <w:r w:rsidR="0005064B">
          <w:rPr>
            <w:noProof/>
            <w:webHidden/>
          </w:rPr>
          <w:fldChar w:fldCharType="begin"/>
        </w:r>
        <w:r w:rsidR="0005064B">
          <w:rPr>
            <w:noProof/>
            <w:webHidden/>
          </w:rPr>
          <w:instrText xml:space="preserve"> PAGEREF _Toc66698755 \h </w:instrText>
        </w:r>
        <w:r w:rsidR="0005064B">
          <w:rPr>
            <w:noProof/>
            <w:webHidden/>
          </w:rPr>
        </w:r>
        <w:r w:rsidR="0005064B">
          <w:rPr>
            <w:noProof/>
            <w:webHidden/>
          </w:rPr>
          <w:fldChar w:fldCharType="separate"/>
        </w:r>
        <w:r w:rsidR="0005064B">
          <w:rPr>
            <w:noProof/>
            <w:webHidden/>
          </w:rPr>
          <w:t>25</w:t>
        </w:r>
        <w:r w:rsidR="0005064B">
          <w:rPr>
            <w:noProof/>
            <w:webHidden/>
          </w:rPr>
          <w:fldChar w:fldCharType="end"/>
        </w:r>
      </w:hyperlink>
    </w:p>
    <w:p w14:paraId="465C9A46" w14:textId="3992BFE4" w:rsidR="0005064B" w:rsidRDefault="000306D9" w:rsidP="00497D07">
      <w:pPr>
        <w:pStyle w:val="TableofFigures"/>
        <w:tabs>
          <w:tab w:val="right" w:leader="dot" w:pos="9016"/>
        </w:tabs>
        <w:spacing w:line="240" w:lineRule="auto"/>
        <w:rPr>
          <w:rFonts w:asciiTheme="minorHAnsi" w:hAnsiTheme="minorHAnsi"/>
          <w:noProof/>
          <w:sz w:val="22"/>
        </w:rPr>
      </w:pPr>
      <w:hyperlink w:anchor="_Toc66698756" w:history="1">
        <w:r w:rsidR="0005064B" w:rsidRPr="001B56D4">
          <w:rPr>
            <w:rStyle w:val="Hyperlink"/>
            <w:rFonts w:cs="Times New Roman"/>
            <w:noProof/>
          </w:rPr>
          <w:t>Table 2</w:t>
        </w:r>
        <w:r w:rsidR="0005064B" w:rsidRPr="001B56D4">
          <w:rPr>
            <w:rStyle w:val="Hyperlink"/>
            <w:rFonts w:cs="Times New Roman"/>
            <w:noProof/>
          </w:rPr>
          <w:noBreakHyphen/>
          <w:t>5: Indicator system for sustainable urban logistics (SUL)</w:t>
        </w:r>
        <w:r w:rsidR="0005064B">
          <w:rPr>
            <w:noProof/>
            <w:webHidden/>
          </w:rPr>
          <w:tab/>
        </w:r>
        <w:r w:rsidR="0005064B">
          <w:rPr>
            <w:noProof/>
            <w:webHidden/>
          </w:rPr>
          <w:fldChar w:fldCharType="begin"/>
        </w:r>
        <w:r w:rsidR="0005064B">
          <w:rPr>
            <w:noProof/>
            <w:webHidden/>
          </w:rPr>
          <w:instrText xml:space="preserve"> PAGEREF _Toc66698756 \h </w:instrText>
        </w:r>
        <w:r w:rsidR="0005064B">
          <w:rPr>
            <w:noProof/>
            <w:webHidden/>
          </w:rPr>
        </w:r>
        <w:r w:rsidR="0005064B">
          <w:rPr>
            <w:noProof/>
            <w:webHidden/>
          </w:rPr>
          <w:fldChar w:fldCharType="separate"/>
        </w:r>
        <w:r w:rsidR="0005064B">
          <w:rPr>
            <w:noProof/>
            <w:webHidden/>
          </w:rPr>
          <w:t>32</w:t>
        </w:r>
        <w:r w:rsidR="0005064B">
          <w:rPr>
            <w:noProof/>
            <w:webHidden/>
          </w:rPr>
          <w:fldChar w:fldCharType="end"/>
        </w:r>
      </w:hyperlink>
    </w:p>
    <w:p w14:paraId="69974BAA" w14:textId="307C81FA" w:rsidR="0005064B" w:rsidRDefault="000306D9" w:rsidP="00497D07">
      <w:pPr>
        <w:pStyle w:val="TableofFigures"/>
        <w:tabs>
          <w:tab w:val="right" w:leader="dot" w:pos="9016"/>
        </w:tabs>
        <w:spacing w:line="240" w:lineRule="auto"/>
        <w:rPr>
          <w:rFonts w:asciiTheme="minorHAnsi" w:hAnsiTheme="minorHAnsi"/>
          <w:noProof/>
          <w:sz w:val="22"/>
        </w:rPr>
      </w:pPr>
      <w:hyperlink w:anchor="_Toc66698757" w:history="1">
        <w:r w:rsidR="0005064B" w:rsidRPr="001B56D4">
          <w:rPr>
            <w:rStyle w:val="Hyperlink"/>
            <w:rFonts w:cs="Times New Roman"/>
            <w:noProof/>
          </w:rPr>
          <w:t>Table 2</w:t>
        </w:r>
        <w:r w:rsidR="0005064B" w:rsidRPr="001B56D4">
          <w:rPr>
            <w:rStyle w:val="Hyperlink"/>
            <w:rFonts w:cs="Times New Roman"/>
            <w:noProof/>
          </w:rPr>
          <w:noBreakHyphen/>
          <w:t>6: Indicators measured in reviewed papers of performance evaluation</w:t>
        </w:r>
        <w:r w:rsidR="0005064B">
          <w:rPr>
            <w:noProof/>
            <w:webHidden/>
          </w:rPr>
          <w:tab/>
        </w:r>
        <w:r w:rsidR="0005064B">
          <w:rPr>
            <w:noProof/>
            <w:webHidden/>
          </w:rPr>
          <w:fldChar w:fldCharType="begin"/>
        </w:r>
        <w:r w:rsidR="0005064B">
          <w:rPr>
            <w:noProof/>
            <w:webHidden/>
          </w:rPr>
          <w:instrText xml:space="preserve"> PAGEREF _Toc66698757 \h </w:instrText>
        </w:r>
        <w:r w:rsidR="0005064B">
          <w:rPr>
            <w:noProof/>
            <w:webHidden/>
          </w:rPr>
        </w:r>
        <w:r w:rsidR="0005064B">
          <w:rPr>
            <w:noProof/>
            <w:webHidden/>
          </w:rPr>
          <w:fldChar w:fldCharType="separate"/>
        </w:r>
        <w:r w:rsidR="0005064B">
          <w:rPr>
            <w:noProof/>
            <w:webHidden/>
          </w:rPr>
          <w:t>33</w:t>
        </w:r>
        <w:r w:rsidR="0005064B">
          <w:rPr>
            <w:noProof/>
            <w:webHidden/>
          </w:rPr>
          <w:fldChar w:fldCharType="end"/>
        </w:r>
      </w:hyperlink>
    </w:p>
    <w:p w14:paraId="6C3EA999" w14:textId="48B52980" w:rsidR="0005064B" w:rsidRDefault="000306D9" w:rsidP="00497D07">
      <w:pPr>
        <w:pStyle w:val="TableofFigures"/>
        <w:tabs>
          <w:tab w:val="right" w:leader="dot" w:pos="9016"/>
        </w:tabs>
        <w:spacing w:line="240" w:lineRule="auto"/>
        <w:rPr>
          <w:rFonts w:asciiTheme="minorHAnsi" w:hAnsiTheme="minorHAnsi"/>
          <w:noProof/>
          <w:sz w:val="22"/>
        </w:rPr>
      </w:pPr>
      <w:hyperlink w:anchor="_Toc66698758" w:history="1">
        <w:r w:rsidR="0005064B" w:rsidRPr="001B56D4">
          <w:rPr>
            <w:rStyle w:val="Hyperlink"/>
            <w:rFonts w:cs="Times New Roman"/>
            <w:noProof/>
          </w:rPr>
          <w:t>Table 2</w:t>
        </w:r>
        <w:r w:rsidR="0005064B" w:rsidRPr="001B56D4">
          <w:rPr>
            <w:rStyle w:val="Hyperlink"/>
            <w:rFonts w:cs="Times New Roman"/>
            <w:noProof/>
          </w:rPr>
          <w:noBreakHyphen/>
          <w:t>7: Technology in intelligent transportation systems (ITS) (Adapted from Cortes et al., 2013)</w:t>
        </w:r>
        <w:r w:rsidR="0005064B">
          <w:rPr>
            <w:noProof/>
            <w:webHidden/>
          </w:rPr>
          <w:tab/>
        </w:r>
        <w:r w:rsidR="0005064B">
          <w:rPr>
            <w:noProof/>
            <w:webHidden/>
          </w:rPr>
          <w:fldChar w:fldCharType="begin"/>
        </w:r>
        <w:r w:rsidR="0005064B">
          <w:rPr>
            <w:noProof/>
            <w:webHidden/>
          </w:rPr>
          <w:instrText xml:space="preserve"> PAGEREF _Toc66698758 \h </w:instrText>
        </w:r>
        <w:r w:rsidR="0005064B">
          <w:rPr>
            <w:noProof/>
            <w:webHidden/>
          </w:rPr>
        </w:r>
        <w:r w:rsidR="0005064B">
          <w:rPr>
            <w:noProof/>
            <w:webHidden/>
          </w:rPr>
          <w:fldChar w:fldCharType="separate"/>
        </w:r>
        <w:r w:rsidR="0005064B">
          <w:rPr>
            <w:noProof/>
            <w:webHidden/>
          </w:rPr>
          <w:t>40</w:t>
        </w:r>
        <w:r w:rsidR="0005064B">
          <w:rPr>
            <w:noProof/>
            <w:webHidden/>
          </w:rPr>
          <w:fldChar w:fldCharType="end"/>
        </w:r>
      </w:hyperlink>
    </w:p>
    <w:p w14:paraId="3AFD418D" w14:textId="3CF90FBD" w:rsidR="0005064B" w:rsidRDefault="000306D9" w:rsidP="00497D07">
      <w:pPr>
        <w:pStyle w:val="TableofFigures"/>
        <w:tabs>
          <w:tab w:val="right" w:leader="dot" w:pos="9016"/>
        </w:tabs>
        <w:spacing w:line="240" w:lineRule="auto"/>
        <w:rPr>
          <w:rFonts w:asciiTheme="minorHAnsi" w:hAnsiTheme="minorHAnsi"/>
          <w:noProof/>
          <w:sz w:val="22"/>
        </w:rPr>
      </w:pPr>
      <w:hyperlink w:anchor="_Toc66698759" w:history="1">
        <w:r w:rsidR="0005064B" w:rsidRPr="001B56D4">
          <w:rPr>
            <w:rStyle w:val="Hyperlink"/>
            <w:rFonts w:cs="Times New Roman"/>
            <w:noProof/>
          </w:rPr>
          <w:t>Table 2</w:t>
        </w:r>
        <w:r w:rsidR="0005064B" w:rsidRPr="001B56D4">
          <w:rPr>
            <w:rStyle w:val="Hyperlink"/>
            <w:rFonts w:cs="Times New Roman"/>
            <w:noProof/>
          </w:rPr>
          <w:noBreakHyphen/>
          <w:t>8: Papers in the literature on urban consolidation centres (UCCs)</w:t>
        </w:r>
        <w:r w:rsidR="0005064B">
          <w:rPr>
            <w:noProof/>
            <w:webHidden/>
          </w:rPr>
          <w:tab/>
        </w:r>
        <w:r w:rsidR="0005064B">
          <w:rPr>
            <w:noProof/>
            <w:webHidden/>
          </w:rPr>
          <w:fldChar w:fldCharType="begin"/>
        </w:r>
        <w:r w:rsidR="0005064B">
          <w:rPr>
            <w:noProof/>
            <w:webHidden/>
          </w:rPr>
          <w:instrText xml:space="preserve"> PAGEREF _Toc66698759 \h </w:instrText>
        </w:r>
        <w:r w:rsidR="0005064B">
          <w:rPr>
            <w:noProof/>
            <w:webHidden/>
          </w:rPr>
        </w:r>
        <w:r w:rsidR="0005064B">
          <w:rPr>
            <w:noProof/>
            <w:webHidden/>
          </w:rPr>
          <w:fldChar w:fldCharType="separate"/>
        </w:r>
        <w:r w:rsidR="0005064B">
          <w:rPr>
            <w:noProof/>
            <w:webHidden/>
          </w:rPr>
          <w:t>45</w:t>
        </w:r>
        <w:r w:rsidR="0005064B">
          <w:rPr>
            <w:noProof/>
            <w:webHidden/>
          </w:rPr>
          <w:fldChar w:fldCharType="end"/>
        </w:r>
      </w:hyperlink>
    </w:p>
    <w:p w14:paraId="20C89883" w14:textId="447DD2EE" w:rsidR="0005064B" w:rsidRDefault="000306D9" w:rsidP="00497D07">
      <w:pPr>
        <w:pStyle w:val="TableofFigures"/>
        <w:tabs>
          <w:tab w:val="right" w:leader="dot" w:pos="9016"/>
        </w:tabs>
        <w:spacing w:line="240" w:lineRule="auto"/>
        <w:rPr>
          <w:rFonts w:asciiTheme="minorHAnsi" w:hAnsiTheme="minorHAnsi"/>
          <w:noProof/>
          <w:sz w:val="22"/>
        </w:rPr>
      </w:pPr>
      <w:hyperlink w:anchor="_Toc66698760" w:history="1">
        <w:r w:rsidR="0005064B" w:rsidRPr="001B56D4">
          <w:rPr>
            <w:rStyle w:val="Hyperlink"/>
            <w:rFonts w:cs="Times New Roman"/>
            <w:noProof/>
          </w:rPr>
          <w:t>Table 2</w:t>
        </w:r>
        <w:r w:rsidR="0005064B" w:rsidRPr="001B56D4">
          <w:rPr>
            <w:rStyle w:val="Hyperlink"/>
            <w:rFonts w:cs="Times New Roman"/>
            <w:noProof/>
          </w:rPr>
          <w:noBreakHyphen/>
          <w:t>9: Criteria for the paper search</w:t>
        </w:r>
        <w:r w:rsidR="0005064B">
          <w:rPr>
            <w:noProof/>
            <w:webHidden/>
          </w:rPr>
          <w:tab/>
        </w:r>
        <w:r w:rsidR="0005064B">
          <w:rPr>
            <w:noProof/>
            <w:webHidden/>
          </w:rPr>
          <w:fldChar w:fldCharType="begin"/>
        </w:r>
        <w:r w:rsidR="0005064B">
          <w:rPr>
            <w:noProof/>
            <w:webHidden/>
          </w:rPr>
          <w:instrText xml:space="preserve"> PAGEREF _Toc66698760 \h </w:instrText>
        </w:r>
        <w:r w:rsidR="0005064B">
          <w:rPr>
            <w:noProof/>
            <w:webHidden/>
          </w:rPr>
        </w:r>
        <w:r w:rsidR="0005064B">
          <w:rPr>
            <w:noProof/>
            <w:webHidden/>
          </w:rPr>
          <w:fldChar w:fldCharType="separate"/>
        </w:r>
        <w:r w:rsidR="0005064B">
          <w:rPr>
            <w:noProof/>
            <w:webHidden/>
          </w:rPr>
          <w:t>46</w:t>
        </w:r>
        <w:r w:rsidR="0005064B">
          <w:rPr>
            <w:noProof/>
            <w:webHidden/>
          </w:rPr>
          <w:fldChar w:fldCharType="end"/>
        </w:r>
      </w:hyperlink>
    </w:p>
    <w:p w14:paraId="4A8FAEB5" w14:textId="7BE56988" w:rsidR="0005064B" w:rsidRDefault="000306D9" w:rsidP="00497D07">
      <w:pPr>
        <w:pStyle w:val="TableofFigures"/>
        <w:tabs>
          <w:tab w:val="right" w:leader="dot" w:pos="9016"/>
        </w:tabs>
        <w:spacing w:line="240" w:lineRule="auto"/>
        <w:rPr>
          <w:rFonts w:asciiTheme="minorHAnsi" w:hAnsiTheme="minorHAnsi"/>
          <w:noProof/>
          <w:sz w:val="22"/>
        </w:rPr>
      </w:pPr>
      <w:hyperlink w:anchor="_Toc66698761" w:history="1">
        <w:r w:rsidR="0005064B" w:rsidRPr="001B56D4">
          <w:rPr>
            <w:rStyle w:val="Hyperlink"/>
            <w:rFonts w:cs="Times New Roman"/>
            <w:noProof/>
          </w:rPr>
          <w:t>Table 2</w:t>
        </w:r>
        <w:r w:rsidR="0005064B" w:rsidRPr="001B56D4">
          <w:rPr>
            <w:rStyle w:val="Hyperlink"/>
            <w:rFonts w:cs="Times New Roman"/>
            <w:noProof/>
          </w:rPr>
          <w:noBreakHyphen/>
          <w:t>10: Categories and themes in the reviewed articles (proposed by Björklund and Johansson [2018])</w:t>
        </w:r>
        <w:r w:rsidR="0005064B">
          <w:rPr>
            <w:noProof/>
            <w:webHidden/>
          </w:rPr>
          <w:tab/>
        </w:r>
        <w:r w:rsidR="0005064B">
          <w:rPr>
            <w:noProof/>
            <w:webHidden/>
          </w:rPr>
          <w:fldChar w:fldCharType="begin"/>
        </w:r>
        <w:r w:rsidR="0005064B">
          <w:rPr>
            <w:noProof/>
            <w:webHidden/>
          </w:rPr>
          <w:instrText xml:space="preserve"> PAGEREF _Toc66698761 \h </w:instrText>
        </w:r>
        <w:r w:rsidR="0005064B">
          <w:rPr>
            <w:noProof/>
            <w:webHidden/>
          </w:rPr>
        </w:r>
        <w:r w:rsidR="0005064B">
          <w:rPr>
            <w:noProof/>
            <w:webHidden/>
          </w:rPr>
          <w:fldChar w:fldCharType="separate"/>
        </w:r>
        <w:r w:rsidR="0005064B">
          <w:rPr>
            <w:noProof/>
            <w:webHidden/>
          </w:rPr>
          <w:t>48</w:t>
        </w:r>
        <w:r w:rsidR="0005064B">
          <w:rPr>
            <w:noProof/>
            <w:webHidden/>
          </w:rPr>
          <w:fldChar w:fldCharType="end"/>
        </w:r>
      </w:hyperlink>
    </w:p>
    <w:p w14:paraId="052E3CC9" w14:textId="78DB8624" w:rsidR="0005064B" w:rsidRDefault="000306D9" w:rsidP="00497D07">
      <w:pPr>
        <w:pStyle w:val="TableofFigures"/>
        <w:tabs>
          <w:tab w:val="right" w:leader="dot" w:pos="9016"/>
        </w:tabs>
        <w:spacing w:line="240" w:lineRule="auto"/>
        <w:rPr>
          <w:rFonts w:asciiTheme="minorHAnsi" w:hAnsiTheme="minorHAnsi"/>
          <w:noProof/>
          <w:sz w:val="22"/>
        </w:rPr>
      </w:pPr>
      <w:hyperlink w:anchor="_Toc66698762" w:history="1">
        <w:r w:rsidR="0005064B" w:rsidRPr="001B56D4">
          <w:rPr>
            <w:rStyle w:val="Hyperlink"/>
            <w:rFonts w:cs="Times New Roman"/>
            <w:noProof/>
          </w:rPr>
          <w:t>Table 2</w:t>
        </w:r>
        <w:r w:rsidR="0005064B" w:rsidRPr="001B56D4">
          <w:rPr>
            <w:rStyle w:val="Hyperlink"/>
            <w:rFonts w:cs="Times New Roman"/>
            <w:noProof/>
          </w:rPr>
          <w:noBreakHyphen/>
          <w:t>11: Urban consolidation centre (UCC) stakeholder targets</w:t>
        </w:r>
        <w:r w:rsidR="0005064B">
          <w:rPr>
            <w:noProof/>
            <w:webHidden/>
          </w:rPr>
          <w:tab/>
        </w:r>
        <w:r w:rsidR="0005064B">
          <w:rPr>
            <w:noProof/>
            <w:webHidden/>
          </w:rPr>
          <w:fldChar w:fldCharType="begin"/>
        </w:r>
        <w:r w:rsidR="0005064B">
          <w:rPr>
            <w:noProof/>
            <w:webHidden/>
          </w:rPr>
          <w:instrText xml:space="preserve"> PAGEREF _Toc66698762 \h </w:instrText>
        </w:r>
        <w:r w:rsidR="0005064B">
          <w:rPr>
            <w:noProof/>
            <w:webHidden/>
          </w:rPr>
        </w:r>
        <w:r w:rsidR="0005064B">
          <w:rPr>
            <w:noProof/>
            <w:webHidden/>
          </w:rPr>
          <w:fldChar w:fldCharType="separate"/>
        </w:r>
        <w:r w:rsidR="0005064B">
          <w:rPr>
            <w:noProof/>
            <w:webHidden/>
          </w:rPr>
          <w:t>50</w:t>
        </w:r>
        <w:r w:rsidR="0005064B">
          <w:rPr>
            <w:noProof/>
            <w:webHidden/>
          </w:rPr>
          <w:fldChar w:fldCharType="end"/>
        </w:r>
      </w:hyperlink>
    </w:p>
    <w:p w14:paraId="59DE9521" w14:textId="6A160A69" w:rsidR="0005064B" w:rsidRDefault="000306D9" w:rsidP="00497D07">
      <w:pPr>
        <w:pStyle w:val="TableofFigures"/>
        <w:tabs>
          <w:tab w:val="right" w:leader="dot" w:pos="9016"/>
        </w:tabs>
        <w:spacing w:line="240" w:lineRule="auto"/>
        <w:rPr>
          <w:rFonts w:asciiTheme="minorHAnsi" w:hAnsiTheme="minorHAnsi"/>
          <w:noProof/>
          <w:sz w:val="22"/>
        </w:rPr>
      </w:pPr>
      <w:hyperlink w:anchor="_Toc66698763" w:history="1">
        <w:r w:rsidR="0005064B" w:rsidRPr="001B56D4">
          <w:rPr>
            <w:rStyle w:val="Hyperlink"/>
            <w:rFonts w:cs="Times New Roman"/>
            <w:noProof/>
          </w:rPr>
          <w:t>Table 2</w:t>
        </w:r>
        <w:r w:rsidR="0005064B" w:rsidRPr="001B56D4">
          <w:rPr>
            <w:rStyle w:val="Hyperlink"/>
            <w:rFonts w:cs="Times New Roman"/>
            <w:noProof/>
          </w:rPr>
          <w:noBreakHyphen/>
          <w:t>12: Reviewed papers on two-echelon vehicle-routing problems (VRPs)</w:t>
        </w:r>
        <w:r w:rsidR="0005064B">
          <w:rPr>
            <w:noProof/>
            <w:webHidden/>
          </w:rPr>
          <w:tab/>
        </w:r>
        <w:r w:rsidR="0005064B">
          <w:rPr>
            <w:noProof/>
            <w:webHidden/>
          </w:rPr>
          <w:fldChar w:fldCharType="begin"/>
        </w:r>
        <w:r w:rsidR="0005064B">
          <w:rPr>
            <w:noProof/>
            <w:webHidden/>
          </w:rPr>
          <w:instrText xml:space="preserve"> PAGEREF _Toc66698763 \h </w:instrText>
        </w:r>
        <w:r w:rsidR="0005064B">
          <w:rPr>
            <w:noProof/>
            <w:webHidden/>
          </w:rPr>
        </w:r>
        <w:r w:rsidR="0005064B">
          <w:rPr>
            <w:noProof/>
            <w:webHidden/>
          </w:rPr>
          <w:fldChar w:fldCharType="separate"/>
        </w:r>
        <w:r w:rsidR="0005064B">
          <w:rPr>
            <w:noProof/>
            <w:webHidden/>
          </w:rPr>
          <w:t>51</w:t>
        </w:r>
        <w:r w:rsidR="0005064B">
          <w:rPr>
            <w:noProof/>
            <w:webHidden/>
          </w:rPr>
          <w:fldChar w:fldCharType="end"/>
        </w:r>
      </w:hyperlink>
    </w:p>
    <w:p w14:paraId="4B0BEFF9" w14:textId="6DA75BB6" w:rsidR="0005064B" w:rsidRDefault="000306D9" w:rsidP="00497D07">
      <w:pPr>
        <w:pStyle w:val="TableofFigures"/>
        <w:tabs>
          <w:tab w:val="right" w:leader="dot" w:pos="9016"/>
        </w:tabs>
        <w:spacing w:line="240" w:lineRule="auto"/>
        <w:rPr>
          <w:rFonts w:asciiTheme="minorHAnsi" w:hAnsiTheme="minorHAnsi"/>
          <w:noProof/>
          <w:sz w:val="22"/>
        </w:rPr>
      </w:pPr>
      <w:hyperlink w:anchor="_Toc66698764" w:history="1">
        <w:r w:rsidR="0005064B" w:rsidRPr="001B56D4">
          <w:rPr>
            <w:rStyle w:val="Hyperlink"/>
            <w:rFonts w:cs="Times New Roman"/>
            <w:noProof/>
          </w:rPr>
          <w:t>Table 2</w:t>
        </w:r>
        <w:r w:rsidR="0005064B" w:rsidRPr="001B56D4">
          <w:rPr>
            <w:rStyle w:val="Hyperlink"/>
            <w:rFonts w:cs="Times New Roman"/>
            <w:noProof/>
          </w:rPr>
          <w:noBreakHyphen/>
          <w:t>13: Evaluations of urban consolidation centre (UCC) research, environmental and social criteria</w:t>
        </w:r>
        <w:r w:rsidR="0005064B">
          <w:rPr>
            <w:noProof/>
            <w:webHidden/>
          </w:rPr>
          <w:tab/>
        </w:r>
        <w:r w:rsidR="0005064B">
          <w:rPr>
            <w:noProof/>
            <w:webHidden/>
          </w:rPr>
          <w:fldChar w:fldCharType="begin"/>
        </w:r>
        <w:r w:rsidR="0005064B">
          <w:rPr>
            <w:noProof/>
            <w:webHidden/>
          </w:rPr>
          <w:instrText xml:space="preserve"> PAGEREF _Toc66698764 \h </w:instrText>
        </w:r>
        <w:r w:rsidR="0005064B">
          <w:rPr>
            <w:noProof/>
            <w:webHidden/>
          </w:rPr>
        </w:r>
        <w:r w:rsidR="0005064B">
          <w:rPr>
            <w:noProof/>
            <w:webHidden/>
          </w:rPr>
          <w:fldChar w:fldCharType="separate"/>
        </w:r>
        <w:r w:rsidR="0005064B">
          <w:rPr>
            <w:noProof/>
            <w:webHidden/>
          </w:rPr>
          <w:t>54</w:t>
        </w:r>
        <w:r w:rsidR="0005064B">
          <w:rPr>
            <w:noProof/>
            <w:webHidden/>
          </w:rPr>
          <w:fldChar w:fldCharType="end"/>
        </w:r>
      </w:hyperlink>
    </w:p>
    <w:p w14:paraId="24020D42" w14:textId="232383EC" w:rsidR="0005064B" w:rsidRDefault="000306D9" w:rsidP="00497D07">
      <w:pPr>
        <w:pStyle w:val="TableofFigures"/>
        <w:tabs>
          <w:tab w:val="right" w:leader="dot" w:pos="9016"/>
        </w:tabs>
        <w:spacing w:line="240" w:lineRule="auto"/>
        <w:rPr>
          <w:rFonts w:asciiTheme="minorHAnsi" w:hAnsiTheme="minorHAnsi"/>
          <w:noProof/>
          <w:sz w:val="22"/>
        </w:rPr>
      </w:pPr>
      <w:hyperlink w:anchor="_Toc66698765" w:history="1">
        <w:r w:rsidR="0005064B" w:rsidRPr="001B56D4">
          <w:rPr>
            <w:rStyle w:val="Hyperlink"/>
            <w:rFonts w:cs="Times New Roman"/>
            <w:noProof/>
          </w:rPr>
          <w:t>Table 2</w:t>
        </w:r>
        <w:r w:rsidR="0005064B" w:rsidRPr="001B56D4">
          <w:rPr>
            <w:rStyle w:val="Hyperlink"/>
            <w:rFonts w:cs="Times New Roman"/>
            <w:noProof/>
          </w:rPr>
          <w:noBreakHyphen/>
          <w:t>14: Resource list for urban consolidation centre (UCC) real case reviews</w:t>
        </w:r>
        <w:r w:rsidR="0005064B">
          <w:rPr>
            <w:noProof/>
            <w:webHidden/>
          </w:rPr>
          <w:tab/>
        </w:r>
        <w:r w:rsidR="0005064B">
          <w:rPr>
            <w:noProof/>
            <w:webHidden/>
          </w:rPr>
          <w:fldChar w:fldCharType="begin"/>
        </w:r>
        <w:r w:rsidR="0005064B">
          <w:rPr>
            <w:noProof/>
            <w:webHidden/>
          </w:rPr>
          <w:instrText xml:space="preserve"> PAGEREF _Toc66698765 \h </w:instrText>
        </w:r>
        <w:r w:rsidR="0005064B">
          <w:rPr>
            <w:noProof/>
            <w:webHidden/>
          </w:rPr>
        </w:r>
        <w:r w:rsidR="0005064B">
          <w:rPr>
            <w:noProof/>
            <w:webHidden/>
          </w:rPr>
          <w:fldChar w:fldCharType="separate"/>
        </w:r>
        <w:r w:rsidR="0005064B">
          <w:rPr>
            <w:noProof/>
            <w:webHidden/>
          </w:rPr>
          <w:t>60</w:t>
        </w:r>
        <w:r w:rsidR="0005064B">
          <w:rPr>
            <w:noProof/>
            <w:webHidden/>
          </w:rPr>
          <w:fldChar w:fldCharType="end"/>
        </w:r>
      </w:hyperlink>
    </w:p>
    <w:p w14:paraId="7DC362BB" w14:textId="7A6FE75F" w:rsidR="0005064B" w:rsidRDefault="000306D9" w:rsidP="00497D07">
      <w:pPr>
        <w:pStyle w:val="TableofFigures"/>
        <w:tabs>
          <w:tab w:val="right" w:leader="dot" w:pos="9016"/>
        </w:tabs>
        <w:spacing w:line="240" w:lineRule="auto"/>
        <w:rPr>
          <w:rFonts w:asciiTheme="minorHAnsi" w:hAnsiTheme="minorHAnsi"/>
          <w:noProof/>
          <w:sz w:val="22"/>
        </w:rPr>
      </w:pPr>
      <w:hyperlink w:anchor="_Toc66698766" w:history="1">
        <w:r w:rsidR="0005064B" w:rsidRPr="001B56D4">
          <w:rPr>
            <w:rStyle w:val="Hyperlink"/>
            <w:rFonts w:cs="Times New Roman"/>
            <w:noProof/>
          </w:rPr>
          <w:t>Table 2</w:t>
        </w:r>
        <w:r w:rsidR="0005064B" w:rsidRPr="001B56D4">
          <w:rPr>
            <w:rStyle w:val="Hyperlink"/>
            <w:rFonts w:cs="Times New Roman"/>
            <w:noProof/>
          </w:rPr>
          <w:noBreakHyphen/>
          <w:t>15: Urban consolidation centres (UCCs) classification (Browne et al., 2005)</w:t>
        </w:r>
        <w:r w:rsidR="0005064B">
          <w:rPr>
            <w:noProof/>
            <w:webHidden/>
          </w:rPr>
          <w:tab/>
        </w:r>
        <w:r w:rsidR="0005064B">
          <w:rPr>
            <w:noProof/>
            <w:webHidden/>
          </w:rPr>
          <w:fldChar w:fldCharType="begin"/>
        </w:r>
        <w:r w:rsidR="0005064B">
          <w:rPr>
            <w:noProof/>
            <w:webHidden/>
          </w:rPr>
          <w:instrText xml:space="preserve"> PAGEREF _Toc66698766 \h </w:instrText>
        </w:r>
        <w:r w:rsidR="0005064B">
          <w:rPr>
            <w:noProof/>
            <w:webHidden/>
          </w:rPr>
        </w:r>
        <w:r w:rsidR="0005064B">
          <w:rPr>
            <w:noProof/>
            <w:webHidden/>
          </w:rPr>
          <w:fldChar w:fldCharType="separate"/>
        </w:r>
        <w:r w:rsidR="0005064B">
          <w:rPr>
            <w:noProof/>
            <w:webHidden/>
          </w:rPr>
          <w:t>61</w:t>
        </w:r>
        <w:r w:rsidR="0005064B">
          <w:rPr>
            <w:noProof/>
            <w:webHidden/>
          </w:rPr>
          <w:fldChar w:fldCharType="end"/>
        </w:r>
      </w:hyperlink>
    </w:p>
    <w:p w14:paraId="4BAFA442" w14:textId="79FC6356" w:rsidR="0005064B" w:rsidRDefault="000306D9" w:rsidP="00497D07">
      <w:pPr>
        <w:pStyle w:val="TableofFigures"/>
        <w:tabs>
          <w:tab w:val="right" w:leader="dot" w:pos="9016"/>
        </w:tabs>
        <w:spacing w:line="240" w:lineRule="auto"/>
        <w:rPr>
          <w:rFonts w:asciiTheme="minorHAnsi" w:hAnsiTheme="minorHAnsi"/>
          <w:noProof/>
          <w:sz w:val="22"/>
        </w:rPr>
      </w:pPr>
      <w:hyperlink w:anchor="_Toc66698767" w:history="1">
        <w:r w:rsidR="0005064B" w:rsidRPr="001B56D4">
          <w:rPr>
            <w:rStyle w:val="Hyperlink"/>
            <w:noProof/>
          </w:rPr>
          <w:t>Table 2</w:t>
        </w:r>
        <w:r w:rsidR="0005064B" w:rsidRPr="001B56D4">
          <w:rPr>
            <w:rStyle w:val="Hyperlink"/>
            <w:noProof/>
          </w:rPr>
          <w:noBreakHyphen/>
          <w:t>16</w:t>
        </w:r>
        <w:r w:rsidR="0005064B" w:rsidRPr="001B56D4">
          <w:rPr>
            <w:rStyle w:val="Hyperlink"/>
            <w:rFonts w:cs="Times New Roman"/>
            <w:noProof/>
          </w:rPr>
          <w:t>: Additional service of urban consolidation centres (UCCs)</w:t>
        </w:r>
        <w:r w:rsidR="0005064B">
          <w:rPr>
            <w:noProof/>
            <w:webHidden/>
          </w:rPr>
          <w:tab/>
        </w:r>
        <w:r w:rsidR="0005064B">
          <w:rPr>
            <w:noProof/>
            <w:webHidden/>
          </w:rPr>
          <w:fldChar w:fldCharType="begin"/>
        </w:r>
        <w:r w:rsidR="0005064B">
          <w:rPr>
            <w:noProof/>
            <w:webHidden/>
          </w:rPr>
          <w:instrText xml:space="preserve"> PAGEREF _Toc66698767 \h </w:instrText>
        </w:r>
        <w:r w:rsidR="0005064B">
          <w:rPr>
            <w:noProof/>
            <w:webHidden/>
          </w:rPr>
        </w:r>
        <w:r w:rsidR="0005064B">
          <w:rPr>
            <w:noProof/>
            <w:webHidden/>
          </w:rPr>
          <w:fldChar w:fldCharType="separate"/>
        </w:r>
        <w:r w:rsidR="0005064B">
          <w:rPr>
            <w:noProof/>
            <w:webHidden/>
          </w:rPr>
          <w:t>64</w:t>
        </w:r>
        <w:r w:rsidR="0005064B">
          <w:rPr>
            <w:noProof/>
            <w:webHidden/>
          </w:rPr>
          <w:fldChar w:fldCharType="end"/>
        </w:r>
      </w:hyperlink>
    </w:p>
    <w:p w14:paraId="2C3D496D" w14:textId="4A256151" w:rsidR="0005064B" w:rsidRDefault="000306D9" w:rsidP="00497D07">
      <w:pPr>
        <w:pStyle w:val="TableofFigures"/>
        <w:tabs>
          <w:tab w:val="right" w:leader="dot" w:pos="9016"/>
        </w:tabs>
        <w:spacing w:line="240" w:lineRule="auto"/>
        <w:rPr>
          <w:rFonts w:asciiTheme="minorHAnsi" w:hAnsiTheme="minorHAnsi"/>
          <w:noProof/>
          <w:sz w:val="22"/>
        </w:rPr>
      </w:pPr>
      <w:hyperlink w:anchor="_Toc66698768" w:history="1">
        <w:r w:rsidR="0005064B" w:rsidRPr="001B56D4">
          <w:rPr>
            <w:rStyle w:val="Hyperlink"/>
            <w:rFonts w:cs="Times New Roman"/>
            <w:noProof/>
          </w:rPr>
          <w:t>Table 3</w:t>
        </w:r>
        <w:r w:rsidR="0005064B" w:rsidRPr="001B56D4">
          <w:rPr>
            <w:rStyle w:val="Hyperlink"/>
            <w:rFonts w:cs="Times New Roman"/>
            <w:noProof/>
          </w:rPr>
          <w:noBreakHyphen/>
          <w:t>1: Philosophical assumptions of positivist, interpretivist, and design research</w:t>
        </w:r>
        <w:r w:rsidR="0005064B">
          <w:rPr>
            <w:noProof/>
            <w:webHidden/>
          </w:rPr>
          <w:tab/>
        </w:r>
        <w:r w:rsidR="0005064B">
          <w:rPr>
            <w:noProof/>
            <w:webHidden/>
          </w:rPr>
          <w:fldChar w:fldCharType="begin"/>
        </w:r>
        <w:r w:rsidR="0005064B">
          <w:rPr>
            <w:noProof/>
            <w:webHidden/>
          </w:rPr>
          <w:instrText xml:space="preserve"> PAGEREF _Toc66698768 \h </w:instrText>
        </w:r>
        <w:r w:rsidR="0005064B">
          <w:rPr>
            <w:noProof/>
            <w:webHidden/>
          </w:rPr>
        </w:r>
        <w:r w:rsidR="0005064B">
          <w:rPr>
            <w:noProof/>
            <w:webHidden/>
          </w:rPr>
          <w:fldChar w:fldCharType="separate"/>
        </w:r>
        <w:r w:rsidR="0005064B">
          <w:rPr>
            <w:noProof/>
            <w:webHidden/>
          </w:rPr>
          <w:t>73</w:t>
        </w:r>
        <w:r w:rsidR="0005064B">
          <w:rPr>
            <w:noProof/>
            <w:webHidden/>
          </w:rPr>
          <w:fldChar w:fldCharType="end"/>
        </w:r>
      </w:hyperlink>
    </w:p>
    <w:p w14:paraId="46369F15" w14:textId="20BBA9A6" w:rsidR="0005064B" w:rsidRDefault="000306D9" w:rsidP="00497D07">
      <w:pPr>
        <w:pStyle w:val="TableofFigures"/>
        <w:tabs>
          <w:tab w:val="right" w:leader="dot" w:pos="9016"/>
        </w:tabs>
        <w:spacing w:line="240" w:lineRule="auto"/>
        <w:rPr>
          <w:rFonts w:asciiTheme="minorHAnsi" w:hAnsiTheme="minorHAnsi"/>
          <w:noProof/>
          <w:sz w:val="22"/>
        </w:rPr>
      </w:pPr>
      <w:hyperlink w:anchor="_Toc66698769" w:history="1">
        <w:r w:rsidR="0005064B" w:rsidRPr="001B56D4">
          <w:rPr>
            <w:rStyle w:val="Hyperlink"/>
            <w:rFonts w:cs="Times New Roman"/>
            <w:noProof/>
          </w:rPr>
          <w:t>Table 3</w:t>
        </w:r>
        <w:r w:rsidR="0005064B" w:rsidRPr="001B56D4">
          <w:rPr>
            <w:rStyle w:val="Hyperlink"/>
            <w:rFonts w:cs="Times New Roman"/>
            <w:noProof/>
          </w:rPr>
          <w:noBreakHyphen/>
          <w:t>2: Types of CSR</w:t>
        </w:r>
        <w:r w:rsidR="0005064B">
          <w:rPr>
            <w:noProof/>
            <w:webHidden/>
          </w:rPr>
          <w:tab/>
        </w:r>
        <w:r w:rsidR="0005064B">
          <w:rPr>
            <w:noProof/>
            <w:webHidden/>
          </w:rPr>
          <w:fldChar w:fldCharType="begin"/>
        </w:r>
        <w:r w:rsidR="0005064B">
          <w:rPr>
            <w:noProof/>
            <w:webHidden/>
          </w:rPr>
          <w:instrText xml:space="preserve"> PAGEREF _Toc66698769 \h </w:instrText>
        </w:r>
        <w:r w:rsidR="0005064B">
          <w:rPr>
            <w:noProof/>
            <w:webHidden/>
          </w:rPr>
        </w:r>
        <w:r w:rsidR="0005064B">
          <w:rPr>
            <w:noProof/>
            <w:webHidden/>
          </w:rPr>
          <w:fldChar w:fldCharType="separate"/>
        </w:r>
        <w:r w:rsidR="0005064B">
          <w:rPr>
            <w:noProof/>
            <w:webHidden/>
          </w:rPr>
          <w:t>77</w:t>
        </w:r>
        <w:r w:rsidR="0005064B">
          <w:rPr>
            <w:noProof/>
            <w:webHidden/>
          </w:rPr>
          <w:fldChar w:fldCharType="end"/>
        </w:r>
      </w:hyperlink>
    </w:p>
    <w:p w14:paraId="3881C338" w14:textId="1F34A5A7" w:rsidR="0005064B" w:rsidRDefault="000306D9" w:rsidP="00497D07">
      <w:pPr>
        <w:pStyle w:val="TableofFigures"/>
        <w:tabs>
          <w:tab w:val="right" w:leader="dot" w:pos="9016"/>
        </w:tabs>
        <w:spacing w:line="240" w:lineRule="auto"/>
        <w:rPr>
          <w:rFonts w:asciiTheme="minorHAnsi" w:hAnsiTheme="minorHAnsi"/>
          <w:noProof/>
          <w:sz w:val="22"/>
        </w:rPr>
      </w:pPr>
      <w:hyperlink w:anchor="_Toc66698770" w:history="1">
        <w:r w:rsidR="0005064B" w:rsidRPr="001B56D4">
          <w:rPr>
            <w:rStyle w:val="Hyperlink"/>
            <w:rFonts w:cs="Times New Roman"/>
            <w:noProof/>
          </w:rPr>
          <w:t>Table 3</w:t>
        </w:r>
        <w:r w:rsidR="0005064B" w:rsidRPr="001B56D4">
          <w:rPr>
            <w:rStyle w:val="Hyperlink"/>
            <w:rFonts w:cs="Times New Roman"/>
            <w:noProof/>
          </w:rPr>
          <w:noBreakHyphen/>
          <w:t>3: Multi-criteria decision-making (MCDM) problems and corresponding methods</w:t>
        </w:r>
        <w:r w:rsidR="0005064B">
          <w:rPr>
            <w:noProof/>
            <w:webHidden/>
          </w:rPr>
          <w:tab/>
        </w:r>
        <w:r w:rsidR="0005064B">
          <w:rPr>
            <w:noProof/>
            <w:webHidden/>
          </w:rPr>
          <w:fldChar w:fldCharType="begin"/>
        </w:r>
        <w:r w:rsidR="0005064B">
          <w:rPr>
            <w:noProof/>
            <w:webHidden/>
          </w:rPr>
          <w:instrText xml:space="preserve"> PAGEREF _Toc66698770 \h </w:instrText>
        </w:r>
        <w:r w:rsidR="0005064B">
          <w:rPr>
            <w:noProof/>
            <w:webHidden/>
          </w:rPr>
        </w:r>
        <w:r w:rsidR="0005064B">
          <w:rPr>
            <w:noProof/>
            <w:webHidden/>
          </w:rPr>
          <w:fldChar w:fldCharType="separate"/>
        </w:r>
        <w:r w:rsidR="0005064B">
          <w:rPr>
            <w:noProof/>
            <w:webHidden/>
          </w:rPr>
          <w:t>86</w:t>
        </w:r>
        <w:r w:rsidR="0005064B">
          <w:rPr>
            <w:noProof/>
            <w:webHidden/>
          </w:rPr>
          <w:fldChar w:fldCharType="end"/>
        </w:r>
      </w:hyperlink>
    </w:p>
    <w:p w14:paraId="652B05F8" w14:textId="22B58DED" w:rsidR="0005064B" w:rsidRDefault="000306D9" w:rsidP="00497D07">
      <w:pPr>
        <w:pStyle w:val="TableofFigures"/>
        <w:tabs>
          <w:tab w:val="right" w:leader="dot" w:pos="9016"/>
        </w:tabs>
        <w:spacing w:line="240" w:lineRule="auto"/>
        <w:rPr>
          <w:rFonts w:asciiTheme="minorHAnsi" w:hAnsiTheme="minorHAnsi"/>
          <w:noProof/>
          <w:sz w:val="22"/>
        </w:rPr>
      </w:pPr>
      <w:hyperlink w:anchor="_Toc66698771" w:history="1">
        <w:r w:rsidR="0005064B" w:rsidRPr="001B56D4">
          <w:rPr>
            <w:rStyle w:val="Hyperlink"/>
            <w:rFonts w:cs="Times New Roman"/>
            <w:noProof/>
          </w:rPr>
          <w:t>Table 3</w:t>
        </w:r>
        <w:r w:rsidR="0005064B" w:rsidRPr="001B56D4">
          <w:rPr>
            <w:rStyle w:val="Hyperlink"/>
            <w:rFonts w:cs="Times New Roman"/>
            <w:noProof/>
          </w:rPr>
          <w:noBreakHyphen/>
          <w:t>4: Required inputs for different multi-criteria decision-making (MCDM) methods</w:t>
        </w:r>
        <w:r w:rsidR="0005064B">
          <w:rPr>
            <w:noProof/>
            <w:webHidden/>
          </w:rPr>
          <w:tab/>
        </w:r>
        <w:r w:rsidR="0005064B">
          <w:rPr>
            <w:noProof/>
            <w:webHidden/>
          </w:rPr>
          <w:fldChar w:fldCharType="begin"/>
        </w:r>
        <w:r w:rsidR="0005064B">
          <w:rPr>
            <w:noProof/>
            <w:webHidden/>
          </w:rPr>
          <w:instrText xml:space="preserve"> PAGEREF _Toc66698771 \h </w:instrText>
        </w:r>
        <w:r w:rsidR="0005064B">
          <w:rPr>
            <w:noProof/>
            <w:webHidden/>
          </w:rPr>
        </w:r>
        <w:r w:rsidR="0005064B">
          <w:rPr>
            <w:noProof/>
            <w:webHidden/>
          </w:rPr>
          <w:fldChar w:fldCharType="separate"/>
        </w:r>
        <w:r w:rsidR="0005064B">
          <w:rPr>
            <w:noProof/>
            <w:webHidden/>
          </w:rPr>
          <w:t>87</w:t>
        </w:r>
        <w:r w:rsidR="0005064B">
          <w:rPr>
            <w:noProof/>
            <w:webHidden/>
          </w:rPr>
          <w:fldChar w:fldCharType="end"/>
        </w:r>
      </w:hyperlink>
    </w:p>
    <w:p w14:paraId="3E90F800" w14:textId="025D4FBF" w:rsidR="0005064B" w:rsidRDefault="000306D9" w:rsidP="00497D07">
      <w:pPr>
        <w:pStyle w:val="TableofFigures"/>
        <w:tabs>
          <w:tab w:val="right" w:leader="dot" w:pos="9016"/>
        </w:tabs>
        <w:spacing w:line="240" w:lineRule="auto"/>
        <w:rPr>
          <w:rFonts w:asciiTheme="minorHAnsi" w:hAnsiTheme="minorHAnsi"/>
          <w:noProof/>
          <w:sz w:val="22"/>
        </w:rPr>
      </w:pPr>
      <w:hyperlink w:anchor="_Toc66698772" w:history="1">
        <w:r w:rsidR="0005064B" w:rsidRPr="001B56D4">
          <w:rPr>
            <w:rStyle w:val="Hyperlink"/>
            <w:noProof/>
          </w:rPr>
          <w:t>Table 3</w:t>
        </w:r>
        <w:r w:rsidR="0005064B" w:rsidRPr="001B56D4">
          <w:rPr>
            <w:rStyle w:val="Hyperlink"/>
            <w:noProof/>
          </w:rPr>
          <w:noBreakHyphen/>
          <w:t>5: Characterisation of the cost allocation principles</w:t>
        </w:r>
        <w:r w:rsidR="0005064B">
          <w:rPr>
            <w:noProof/>
            <w:webHidden/>
          </w:rPr>
          <w:tab/>
        </w:r>
        <w:r w:rsidR="0005064B">
          <w:rPr>
            <w:noProof/>
            <w:webHidden/>
          </w:rPr>
          <w:fldChar w:fldCharType="begin"/>
        </w:r>
        <w:r w:rsidR="0005064B">
          <w:rPr>
            <w:noProof/>
            <w:webHidden/>
          </w:rPr>
          <w:instrText xml:space="preserve"> PAGEREF _Toc66698772 \h </w:instrText>
        </w:r>
        <w:r w:rsidR="0005064B">
          <w:rPr>
            <w:noProof/>
            <w:webHidden/>
          </w:rPr>
        </w:r>
        <w:r w:rsidR="0005064B">
          <w:rPr>
            <w:noProof/>
            <w:webHidden/>
          </w:rPr>
          <w:fldChar w:fldCharType="separate"/>
        </w:r>
        <w:r w:rsidR="0005064B">
          <w:rPr>
            <w:noProof/>
            <w:webHidden/>
          </w:rPr>
          <w:t>95</w:t>
        </w:r>
        <w:r w:rsidR="0005064B">
          <w:rPr>
            <w:noProof/>
            <w:webHidden/>
          </w:rPr>
          <w:fldChar w:fldCharType="end"/>
        </w:r>
      </w:hyperlink>
    </w:p>
    <w:p w14:paraId="5A86E9F8" w14:textId="65E917FC" w:rsidR="0005064B" w:rsidRDefault="000306D9" w:rsidP="00497D07">
      <w:pPr>
        <w:pStyle w:val="TableofFigures"/>
        <w:tabs>
          <w:tab w:val="right" w:leader="dot" w:pos="9016"/>
        </w:tabs>
        <w:spacing w:line="240" w:lineRule="auto"/>
        <w:rPr>
          <w:rFonts w:asciiTheme="minorHAnsi" w:hAnsiTheme="minorHAnsi"/>
          <w:noProof/>
          <w:sz w:val="22"/>
        </w:rPr>
      </w:pPr>
      <w:hyperlink w:anchor="_Toc66698773" w:history="1">
        <w:r w:rsidR="0005064B" w:rsidRPr="001B56D4">
          <w:rPr>
            <w:rStyle w:val="Hyperlink"/>
            <w:rFonts w:cs="Times New Roman"/>
            <w:noProof/>
          </w:rPr>
          <w:t>Table 3</w:t>
        </w:r>
        <w:r w:rsidR="0005064B" w:rsidRPr="001B56D4">
          <w:rPr>
            <w:rStyle w:val="Hyperlink"/>
            <w:rFonts w:cs="Times New Roman"/>
            <w:noProof/>
          </w:rPr>
          <w:noBreakHyphen/>
          <w:t>6: The interviewees in Sweden and China</w:t>
        </w:r>
        <w:r w:rsidR="0005064B">
          <w:rPr>
            <w:noProof/>
            <w:webHidden/>
          </w:rPr>
          <w:tab/>
        </w:r>
        <w:r w:rsidR="0005064B">
          <w:rPr>
            <w:noProof/>
            <w:webHidden/>
          </w:rPr>
          <w:fldChar w:fldCharType="begin"/>
        </w:r>
        <w:r w:rsidR="0005064B">
          <w:rPr>
            <w:noProof/>
            <w:webHidden/>
          </w:rPr>
          <w:instrText xml:space="preserve"> PAGEREF _Toc66698773 \h </w:instrText>
        </w:r>
        <w:r w:rsidR="0005064B">
          <w:rPr>
            <w:noProof/>
            <w:webHidden/>
          </w:rPr>
        </w:r>
        <w:r w:rsidR="0005064B">
          <w:rPr>
            <w:noProof/>
            <w:webHidden/>
          </w:rPr>
          <w:fldChar w:fldCharType="separate"/>
        </w:r>
        <w:r w:rsidR="0005064B">
          <w:rPr>
            <w:noProof/>
            <w:webHidden/>
          </w:rPr>
          <w:t>96</w:t>
        </w:r>
        <w:r w:rsidR="0005064B">
          <w:rPr>
            <w:noProof/>
            <w:webHidden/>
          </w:rPr>
          <w:fldChar w:fldCharType="end"/>
        </w:r>
      </w:hyperlink>
    </w:p>
    <w:p w14:paraId="04CAC45C" w14:textId="091A5EB0" w:rsidR="0005064B" w:rsidRDefault="000306D9" w:rsidP="00497D07">
      <w:pPr>
        <w:pStyle w:val="TableofFigures"/>
        <w:tabs>
          <w:tab w:val="right" w:leader="dot" w:pos="9016"/>
        </w:tabs>
        <w:spacing w:line="240" w:lineRule="auto"/>
        <w:rPr>
          <w:rFonts w:asciiTheme="minorHAnsi" w:hAnsiTheme="minorHAnsi"/>
          <w:noProof/>
          <w:sz w:val="22"/>
        </w:rPr>
      </w:pPr>
      <w:hyperlink w:anchor="_Toc66698774" w:history="1">
        <w:r w:rsidR="0005064B" w:rsidRPr="001B56D4">
          <w:rPr>
            <w:rStyle w:val="Hyperlink"/>
            <w:rFonts w:cs="Times New Roman"/>
            <w:noProof/>
          </w:rPr>
          <w:t>Table 3</w:t>
        </w:r>
        <w:r w:rsidR="0005064B" w:rsidRPr="001B56D4">
          <w:rPr>
            <w:rStyle w:val="Hyperlink"/>
            <w:rFonts w:cs="Times New Roman"/>
            <w:noProof/>
          </w:rPr>
          <w:noBreakHyphen/>
          <w:t>7: Question categories and settings</w:t>
        </w:r>
        <w:r w:rsidR="0005064B">
          <w:rPr>
            <w:noProof/>
            <w:webHidden/>
          </w:rPr>
          <w:tab/>
        </w:r>
        <w:r w:rsidR="0005064B">
          <w:rPr>
            <w:noProof/>
            <w:webHidden/>
          </w:rPr>
          <w:fldChar w:fldCharType="begin"/>
        </w:r>
        <w:r w:rsidR="0005064B">
          <w:rPr>
            <w:noProof/>
            <w:webHidden/>
          </w:rPr>
          <w:instrText xml:space="preserve"> PAGEREF _Toc66698774 \h </w:instrText>
        </w:r>
        <w:r w:rsidR="0005064B">
          <w:rPr>
            <w:noProof/>
            <w:webHidden/>
          </w:rPr>
        </w:r>
        <w:r w:rsidR="0005064B">
          <w:rPr>
            <w:noProof/>
            <w:webHidden/>
          </w:rPr>
          <w:fldChar w:fldCharType="separate"/>
        </w:r>
        <w:r w:rsidR="0005064B">
          <w:rPr>
            <w:noProof/>
            <w:webHidden/>
          </w:rPr>
          <w:t>97</w:t>
        </w:r>
        <w:r w:rsidR="0005064B">
          <w:rPr>
            <w:noProof/>
            <w:webHidden/>
          </w:rPr>
          <w:fldChar w:fldCharType="end"/>
        </w:r>
      </w:hyperlink>
    </w:p>
    <w:p w14:paraId="71DBBB29" w14:textId="4B5CAB9B" w:rsidR="0005064B" w:rsidRDefault="000306D9" w:rsidP="00497D07">
      <w:pPr>
        <w:pStyle w:val="TableofFigures"/>
        <w:tabs>
          <w:tab w:val="right" w:leader="dot" w:pos="9016"/>
        </w:tabs>
        <w:spacing w:line="240" w:lineRule="auto"/>
        <w:rPr>
          <w:rFonts w:asciiTheme="minorHAnsi" w:hAnsiTheme="minorHAnsi"/>
          <w:noProof/>
          <w:sz w:val="22"/>
        </w:rPr>
      </w:pPr>
      <w:hyperlink w:anchor="_Toc66698775" w:history="1">
        <w:r w:rsidR="0005064B" w:rsidRPr="001B56D4">
          <w:rPr>
            <w:rStyle w:val="Hyperlink"/>
            <w:rFonts w:cs="Times New Roman"/>
            <w:noProof/>
          </w:rPr>
          <w:t>Table 3</w:t>
        </w:r>
        <w:r w:rsidR="0005064B" w:rsidRPr="001B56D4">
          <w:rPr>
            <w:rStyle w:val="Hyperlink"/>
            <w:rFonts w:cs="Times New Roman"/>
            <w:noProof/>
          </w:rPr>
          <w:noBreakHyphen/>
          <w:t>8: Other data sources provided by stakeholders</w:t>
        </w:r>
        <w:r w:rsidR="0005064B">
          <w:rPr>
            <w:noProof/>
            <w:webHidden/>
          </w:rPr>
          <w:tab/>
        </w:r>
        <w:r w:rsidR="0005064B">
          <w:rPr>
            <w:noProof/>
            <w:webHidden/>
          </w:rPr>
          <w:fldChar w:fldCharType="begin"/>
        </w:r>
        <w:r w:rsidR="0005064B">
          <w:rPr>
            <w:noProof/>
            <w:webHidden/>
          </w:rPr>
          <w:instrText xml:space="preserve"> PAGEREF _Toc66698775 \h </w:instrText>
        </w:r>
        <w:r w:rsidR="0005064B">
          <w:rPr>
            <w:noProof/>
            <w:webHidden/>
          </w:rPr>
        </w:r>
        <w:r w:rsidR="0005064B">
          <w:rPr>
            <w:noProof/>
            <w:webHidden/>
          </w:rPr>
          <w:fldChar w:fldCharType="separate"/>
        </w:r>
        <w:r w:rsidR="0005064B">
          <w:rPr>
            <w:noProof/>
            <w:webHidden/>
          </w:rPr>
          <w:t>97</w:t>
        </w:r>
        <w:r w:rsidR="0005064B">
          <w:rPr>
            <w:noProof/>
            <w:webHidden/>
          </w:rPr>
          <w:fldChar w:fldCharType="end"/>
        </w:r>
      </w:hyperlink>
    </w:p>
    <w:p w14:paraId="15A80783" w14:textId="59B0F9C7" w:rsidR="0005064B" w:rsidRDefault="000306D9" w:rsidP="00497D07">
      <w:pPr>
        <w:pStyle w:val="TableofFigures"/>
        <w:tabs>
          <w:tab w:val="right" w:leader="dot" w:pos="9016"/>
        </w:tabs>
        <w:spacing w:line="240" w:lineRule="auto"/>
        <w:rPr>
          <w:rFonts w:asciiTheme="minorHAnsi" w:hAnsiTheme="minorHAnsi"/>
          <w:noProof/>
          <w:sz w:val="22"/>
        </w:rPr>
      </w:pPr>
      <w:hyperlink w:anchor="_Toc66698776" w:history="1">
        <w:r w:rsidR="0005064B" w:rsidRPr="001B56D4">
          <w:rPr>
            <w:rStyle w:val="Hyperlink"/>
            <w:rFonts w:cs="Times New Roman"/>
            <w:noProof/>
          </w:rPr>
          <w:t>Table 3</w:t>
        </w:r>
        <w:r w:rsidR="0005064B" w:rsidRPr="001B56D4">
          <w:rPr>
            <w:rStyle w:val="Hyperlink"/>
            <w:rFonts w:cs="Times New Roman"/>
            <w:noProof/>
          </w:rPr>
          <w:noBreakHyphen/>
          <w:t>9: Coding Book</w:t>
        </w:r>
        <w:r w:rsidR="0005064B">
          <w:rPr>
            <w:noProof/>
            <w:webHidden/>
          </w:rPr>
          <w:tab/>
        </w:r>
        <w:r w:rsidR="0005064B">
          <w:rPr>
            <w:noProof/>
            <w:webHidden/>
          </w:rPr>
          <w:fldChar w:fldCharType="begin"/>
        </w:r>
        <w:r w:rsidR="0005064B">
          <w:rPr>
            <w:noProof/>
            <w:webHidden/>
          </w:rPr>
          <w:instrText xml:space="preserve"> PAGEREF _Toc66698776 \h </w:instrText>
        </w:r>
        <w:r w:rsidR="0005064B">
          <w:rPr>
            <w:noProof/>
            <w:webHidden/>
          </w:rPr>
        </w:r>
        <w:r w:rsidR="0005064B">
          <w:rPr>
            <w:noProof/>
            <w:webHidden/>
          </w:rPr>
          <w:fldChar w:fldCharType="separate"/>
        </w:r>
        <w:r w:rsidR="0005064B">
          <w:rPr>
            <w:noProof/>
            <w:webHidden/>
          </w:rPr>
          <w:t>98</w:t>
        </w:r>
        <w:r w:rsidR="0005064B">
          <w:rPr>
            <w:noProof/>
            <w:webHidden/>
          </w:rPr>
          <w:fldChar w:fldCharType="end"/>
        </w:r>
      </w:hyperlink>
    </w:p>
    <w:p w14:paraId="6A34EA8E" w14:textId="526EFAE3" w:rsidR="0005064B" w:rsidRDefault="000306D9" w:rsidP="00497D07">
      <w:pPr>
        <w:pStyle w:val="TableofFigures"/>
        <w:tabs>
          <w:tab w:val="right" w:leader="dot" w:pos="9016"/>
        </w:tabs>
        <w:spacing w:line="240" w:lineRule="auto"/>
        <w:rPr>
          <w:rFonts w:asciiTheme="minorHAnsi" w:hAnsiTheme="minorHAnsi"/>
          <w:noProof/>
          <w:sz w:val="22"/>
        </w:rPr>
      </w:pPr>
      <w:hyperlink w:anchor="_Toc66698777" w:history="1">
        <w:r w:rsidR="0005064B" w:rsidRPr="001B56D4">
          <w:rPr>
            <w:rStyle w:val="Hyperlink"/>
            <w:rFonts w:cs="Times New Roman"/>
            <w:noProof/>
          </w:rPr>
          <w:t>Table 4</w:t>
        </w:r>
        <w:r w:rsidR="0005064B" w:rsidRPr="001B56D4">
          <w:rPr>
            <w:rStyle w:val="Hyperlink"/>
            <w:rFonts w:cs="Times New Roman"/>
            <w:noProof/>
          </w:rPr>
          <w:noBreakHyphen/>
          <w:t>1: Categories of fixed costs for the urban consolidation centre (UCC)</w:t>
        </w:r>
        <w:r w:rsidR="0005064B">
          <w:rPr>
            <w:noProof/>
            <w:webHidden/>
          </w:rPr>
          <w:tab/>
        </w:r>
        <w:r w:rsidR="0005064B">
          <w:rPr>
            <w:noProof/>
            <w:webHidden/>
          </w:rPr>
          <w:fldChar w:fldCharType="begin"/>
        </w:r>
        <w:r w:rsidR="0005064B">
          <w:rPr>
            <w:noProof/>
            <w:webHidden/>
          </w:rPr>
          <w:instrText xml:space="preserve"> PAGEREF _Toc66698777 \h </w:instrText>
        </w:r>
        <w:r w:rsidR="0005064B">
          <w:rPr>
            <w:noProof/>
            <w:webHidden/>
          </w:rPr>
        </w:r>
        <w:r w:rsidR="0005064B">
          <w:rPr>
            <w:noProof/>
            <w:webHidden/>
          </w:rPr>
          <w:fldChar w:fldCharType="separate"/>
        </w:r>
        <w:r w:rsidR="0005064B">
          <w:rPr>
            <w:noProof/>
            <w:webHidden/>
          </w:rPr>
          <w:t>102</w:t>
        </w:r>
        <w:r w:rsidR="0005064B">
          <w:rPr>
            <w:noProof/>
            <w:webHidden/>
          </w:rPr>
          <w:fldChar w:fldCharType="end"/>
        </w:r>
      </w:hyperlink>
    </w:p>
    <w:p w14:paraId="0B172BBF" w14:textId="31A10EA0" w:rsidR="0005064B" w:rsidRDefault="000306D9" w:rsidP="00497D07">
      <w:pPr>
        <w:pStyle w:val="TableofFigures"/>
        <w:tabs>
          <w:tab w:val="right" w:leader="dot" w:pos="9016"/>
        </w:tabs>
        <w:spacing w:line="240" w:lineRule="auto"/>
        <w:rPr>
          <w:rFonts w:asciiTheme="minorHAnsi" w:hAnsiTheme="minorHAnsi"/>
          <w:noProof/>
          <w:sz w:val="22"/>
        </w:rPr>
      </w:pPr>
      <w:hyperlink w:anchor="_Toc66698778" w:history="1">
        <w:r w:rsidR="0005064B" w:rsidRPr="001B56D4">
          <w:rPr>
            <w:rStyle w:val="Hyperlink"/>
            <w:rFonts w:cs="Times New Roman"/>
            <w:noProof/>
          </w:rPr>
          <w:t>Table 4</w:t>
        </w:r>
        <w:r w:rsidR="0005064B" w:rsidRPr="001B56D4">
          <w:rPr>
            <w:rStyle w:val="Hyperlink"/>
            <w:rFonts w:cs="Times New Roman"/>
            <w:noProof/>
          </w:rPr>
          <w:noBreakHyphen/>
          <w:t>2: Average fuel efficiency for light trucks, US Department of Transportation data</w:t>
        </w:r>
        <w:r w:rsidR="0005064B">
          <w:rPr>
            <w:noProof/>
            <w:webHidden/>
          </w:rPr>
          <w:tab/>
        </w:r>
        <w:r w:rsidR="0005064B">
          <w:rPr>
            <w:noProof/>
            <w:webHidden/>
          </w:rPr>
          <w:fldChar w:fldCharType="begin"/>
        </w:r>
        <w:r w:rsidR="0005064B">
          <w:rPr>
            <w:noProof/>
            <w:webHidden/>
          </w:rPr>
          <w:instrText xml:space="preserve"> PAGEREF _Toc66698778 \h </w:instrText>
        </w:r>
        <w:r w:rsidR="0005064B">
          <w:rPr>
            <w:noProof/>
            <w:webHidden/>
          </w:rPr>
        </w:r>
        <w:r w:rsidR="0005064B">
          <w:rPr>
            <w:noProof/>
            <w:webHidden/>
          </w:rPr>
          <w:fldChar w:fldCharType="separate"/>
        </w:r>
        <w:r w:rsidR="0005064B">
          <w:rPr>
            <w:noProof/>
            <w:webHidden/>
          </w:rPr>
          <w:t>105</w:t>
        </w:r>
        <w:r w:rsidR="0005064B">
          <w:rPr>
            <w:noProof/>
            <w:webHidden/>
          </w:rPr>
          <w:fldChar w:fldCharType="end"/>
        </w:r>
      </w:hyperlink>
    </w:p>
    <w:p w14:paraId="12F5EFEB" w14:textId="3086714B" w:rsidR="0005064B" w:rsidRDefault="000306D9" w:rsidP="00497D07">
      <w:pPr>
        <w:pStyle w:val="TableofFigures"/>
        <w:tabs>
          <w:tab w:val="right" w:leader="dot" w:pos="9016"/>
        </w:tabs>
        <w:spacing w:line="240" w:lineRule="auto"/>
        <w:rPr>
          <w:rFonts w:asciiTheme="minorHAnsi" w:hAnsiTheme="minorHAnsi"/>
          <w:noProof/>
          <w:sz w:val="22"/>
        </w:rPr>
      </w:pPr>
      <w:hyperlink w:anchor="_Toc66698779" w:history="1">
        <w:r w:rsidR="0005064B" w:rsidRPr="001B56D4">
          <w:rPr>
            <w:rStyle w:val="Hyperlink"/>
            <w:rFonts w:cs="Times New Roman"/>
            <w:noProof/>
          </w:rPr>
          <w:t>Table 4</w:t>
        </w:r>
        <w:r w:rsidR="0005064B" w:rsidRPr="001B56D4">
          <w:rPr>
            <w:rStyle w:val="Hyperlink"/>
            <w:rFonts w:cs="Times New Roman"/>
            <w:noProof/>
          </w:rPr>
          <w:noBreakHyphen/>
          <w:t>3: Secondary data</w:t>
        </w:r>
        <w:r w:rsidR="0005064B">
          <w:rPr>
            <w:noProof/>
            <w:webHidden/>
          </w:rPr>
          <w:tab/>
        </w:r>
        <w:r w:rsidR="0005064B">
          <w:rPr>
            <w:noProof/>
            <w:webHidden/>
          </w:rPr>
          <w:fldChar w:fldCharType="begin"/>
        </w:r>
        <w:r w:rsidR="0005064B">
          <w:rPr>
            <w:noProof/>
            <w:webHidden/>
          </w:rPr>
          <w:instrText xml:space="preserve"> PAGEREF _Toc66698779 \h </w:instrText>
        </w:r>
        <w:r w:rsidR="0005064B">
          <w:rPr>
            <w:noProof/>
            <w:webHidden/>
          </w:rPr>
        </w:r>
        <w:r w:rsidR="0005064B">
          <w:rPr>
            <w:noProof/>
            <w:webHidden/>
          </w:rPr>
          <w:fldChar w:fldCharType="separate"/>
        </w:r>
        <w:r w:rsidR="0005064B">
          <w:rPr>
            <w:noProof/>
            <w:webHidden/>
          </w:rPr>
          <w:t>106</w:t>
        </w:r>
        <w:r w:rsidR="0005064B">
          <w:rPr>
            <w:noProof/>
            <w:webHidden/>
          </w:rPr>
          <w:fldChar w:fldCharType="end"/>
        </w:r>
      </w:hyperlink>
    </w:p>
    <w:p w14:paraId="0001C053" w14:textId="61B8710D" w:rsidR="0005064B" w:rsidRDefault="000306D9" w:rsidP="00497D07">
      <w:pPr>
        <w:pStyle w:val="TableofFigures"/>
        <w:tabs>
          <w:tab w:val="right" w:leader="dot" w:pos="9016"/>
        </w:tabs>
        <w:spacing w:line="240" w:lineRule="auto"/>
        <w:rPr>
          <w:rFonts w:asciiTheme="minorHAnsi" w:hAnsiTheme="minorHAnsi"/>
          <w:noProof/>
          <w:sz w:val="22"/>
        </w:rPr>
      </w:pPr>
      <w:hyperlink w:anchor="_Toc66698780" w:history="1">
        <w:r w:rsidR="0005064B" w:rsidRPr="001B56D4">
          <w:rPr>
            <w:rStyle w:val="Hyperlink"/>
            <w:rFonts w:cs="Times New Roman"/>
            <w:noProof/>
          </w:rPr>
          <w:t>Table 4</w:t>
        </w:r>
        <w:r w:rsidR="0005064B" w:rsidRPr="001B56D4">
          <w:rPr>
            <w:rStyle w:val="Hyperlink"/>
            <w:rFonts w:cs="Times New Roman"/>
            <w:noProof/>
          </w:rPr>
          <w:noBreakHyphen/>
          <w:t>4: Data from Planning Result</w:t>
        </w:r>
        <w:r w:rsidR="0005064B">
          <w:rPr>
            <w:noProof/>
            <w:webHidden/>
          </w:rPr>
          <w:tab/>
        </w:r>
        <w:r w:rsidR="0005064B">
          <w:rPr>
            <w:noProof/>
            <w:webHidden/>
          </w:rPr>
          <w:fldChar w:fldCharType="begin"/>
        </w:r>
        <w:r w:rsidR="0005064B">
          <w:rPr>
            <w:noProof/>
            <w:webHidden/>
          </w:rPr>
          <w:instrText xml:space="preserve"> PAGEREF _Toc66698780 \h </w:instrText>
        </w:r>
        <w:r w:rsidR="0005064B">
          <w:rPr>
            <w:noProof/>
            <w:webHidden/>
          </w:rPr>
        </w:r>
        <w:r w:rsidR="0005064B">
          <w:rPr>
            <w:noProof/>
            <w:webHidden/>
          </w:rPr>
          <w:fldChar w:fldCharType="separate"/>
        </w:r>
        <w:r w:rsidR="0005064B">
          <w:rPr>
            <w:noProof/>
            <w:webHidden/>
          </w:rPr>
          <w:t>107</w:t>
        </w:r>
        <w:r w:rsidR="0005064B">
          <w:rPr>
            <w:noProof/>
            <w:webHidden/>
          </w:rPr>
          <w:fldChar w:fldCharType="end"/>
        </w:r>
      </w:hyperlink>
    </w:p>
    <w:p w14:paraId="5E3BDB3C" w14:textId="76851F03" w:rsidR="0005064B" w:rsidRDefault="000306D9" w:rsidP="00497D07">
      <w:pPr>
        <w:pStyle w:val="TableofFigures"/>
        <w:tabs>
          <w:tab w:val="right" w:leader="dot" w:pos="9016"/>
        </w:tabs>
        <w:spacing w:line="240" w:lineRule="auto"/>
        <w:rPr>
          <w:rFonts w:asciiTheme="minorHAnsi" w:hAnsiTheme="minorHAnsi"/>
          <w:noProof/>
          <w:sz w:val="22"/>
        </w:rPr>
      </w:pPr>
      <w:hyperlink w:anchor="_Toc66698781" w:history="1">
        <w:r w:rsidR="0005064B" w:rsidRPr="001B56D4">
          <w:rPr>
            <w:rStyle w:val="Hyperlink"/>
            <w:rFonts w:cs="Times New Roman"/>
            <w:noProof/>
          </w:rPr>
          <w:t>Table 4</w:t>
        </w:r>
        <w:r w:rsidR="0005064B" w:rsidRPr="001B56D4">
          <w:rPr>
            <w:rStyle w:val="Hyperlink"/>
            <w:rFonts w:cs="Times New Roman"/>
            <w:noProof/>
          </w:rPr>
          <w:noBreakHyphen/>
          <w:t>5: Assumed Data</w:t>
        </w:r>
        <w:r w:rsidR="0005064B">
          <w:rPr>
            <w:noProof/>
            <w:webHidden/>
          </w:rPr>
          <w:tab/>
        </w:r>
        <w:r w:rsidR="0005064B">
          <w:rPr>
            <w:noProof/>
            <w:webHidden/>
          </w:rPr>
          <w:fldChar w:fldCharType="begin"/>
        </w:r>
        <w:r w:rsidR="0005064B">
          <w:rPr>
            <w:noProof/>
            <w:webHidden/>
          </w:rPr>
          <w:instrText xml:space="preserve"> PAGEREF _Toc66698781 \h </w:instrText>
        </w:r>
        <w:r w:rsidR="0005064B">
          <w:rPr>
            <w:noProof/>
            <w:webHidden/>
          </w:rPr>
        </w:r>
        <w:r w:rsidR="0005064B">
          <w:rPr>
            <w:noProof/>
            <w:webHidden/>
          </w:rPr>
          <w:fldChar w:fldCharType="separate"/>
        </w:r>
        <w:r w:rsidR="0005064B">
          <w:rPr>
            <w:noProof/>
            <w:webHidden/>
          </w:rPr>
          <w:t>107</w:t>
        </w:r>
        <w:r w:rsidR="0005064B">
          <w:rPr>
            <w:noProof/>
            <w:webHidden/>
          </w:rPr>
          <w:fldChar w:fldCharType="end"/>
        </w:r>
      </w:hyperlink>
    </w:p>
    <w:p w14:paraId="395677A6" w14:textId="3DE03796" w:rsidR="0005064B" w:rsidRDefault="000306D9" w:rsidP="00497D07">
      <w:pPr>
        <w:pStyle w:val="TableofFigures"/>
        <w:tabs>
          <w:tab w:val="right" w:leader="dot" w:pos="9016"/>
        </w:tabs>
        <w:spacing w:line="240" w:lineRule="auto"/>
        <w:rPr>
          <w:rFonts w:asciiTheme="minorHAnsi" w:hAnsiTheme="minorHAnsi"/>
          <w:noProof/>
          <w:sz w:val="22"/>
        </w:rPr>
      </w:pPr>
      <w:hyperlink w:anchor="_Toc66698782" w:history="1">
        <w:r w:rsidR="0005064B" w:rsidRPr="001B56D4">
          <w:rPr>
            <w:rStyle w:val="Hyperlink"/>
            <w:rFonts w:cs="Times New Roman"/>
            <w:noProof/>
          </w:rPr>
          <w:t>Table 4</w:t>
        </w:r>
        <w:r w:rsidR="0005064B" w:rsidRPr="001B56D4">
          <w:rPr>
            <w:rStyle w:val="Hyperlink"/>
            <w:rFonts w:cs="Times New Roman"/>
            <w:noProof/>
          </w:rPr>
          <w:noBreakHyphen/>
          <w:t>6: Output of the Fixed and Variable Cost of UCC</w:t>
        </w:r>
        <w:r w:rsidR="0005064B">
          <w:rPr>
            <w:noProof/>
            <w:webHidden/>
          </w:rPr>
          <w:tab/>
        </w:r>
        <w:r w:rsidR="0005064B">
          <w:rPr>
            <w:noProof/>
            <w:webHidden/>
          </w:rPr>
          <w:fldChar w:fldCharType="begin"/>
        </w:r>
        <w:r w:rsidR="0005064B">
          <w:rPr>
            <w:noProof/>
            <w:webHidden/>
          </w:rPr>
          <w:instrText xml:space="preserve"> PAGEREF _Toc66698782 \h </w:instrText>
        </w:r>
        <w:r w:rsidR="0005064B">
          <w:rPr>
            <w:noProof/>
            <w:webHidden/>
          </w:rPr>
        </w:r>
        <w:r w:rsidR="0005064B">
          <w:rPr>
            <w:noProof/>
            <w:webHidden/>
          </w:rPr>
          <w:fldChar w:fldCharType="separate"/>
        </w:r>
        <w:r w:rsidR="0005064B">
          <w:rPr>
            <w:noProof/>
            <w:webHidden/>
          </w:rPr>
          <w:t>107</w:t>
        </w:r>
        <w:r w:rsidR="0005064B">
          <w:rPr>
            <w:noProof/>
            <w:webHidden/>
          </w:rPr>
          <w:fldChar w:fldCharType="end"/>
        </w:r>
      </w:hyperlink>
    </w:p>
    <w:p w14:paraId="4538DD64" w14:textId="614B826C" w:rsidR="0005064B" w:rsidRDefault="000306D9" w:rsidP="00497D07">
      <w:pPr>
        <w:pStyle w:val="TableofFigures"/>
        <w:tabs>
          <w:tab w:val="right" w:leader="dot" w:pos="9016"/>
        </w:tabs>
        <w:spacing w:line="240" w:lineRule="auto"/>
        <w:rPr>
          <w:rFonts w:asciiTheme="minorHAnsi" w:hAnsiTheme="minorHAnsi"/>
          <w:noProof/>
          <w:sz w:val="22"/>
        </w:rPr>
      </w:pPr>
      <w:hyperlink w:anchor="_Toc66698783" w:history="1">
        <w:r w:rsidR="0005064B" w:rsidRPr="001B56D4">
          <w:rPr>
            <w:rStyle w:val="Hyperlink"/>
            <w:rFonts w:cs="Times New Roman"/>
            <w:noProof/>
          </w:rPr>
          <w:t>Table 5</w:t>
        </w:r>
        <w:r w:rsidR="0005064B" w:rsidRPr="001B56D4">
          <w:rPr>
            <w:rStyle w:val="Hyperlink"/>
            <w:rFonts w:cs="Times New Roman"/>
            <w:noProof/>
          </w:rPr>
          <w:noBreakHyphen/>
          <w:t>1: Variables in the three dimensions of logistics profiles (LPs) (Macário et al., 2011)</w:t>
        </w:r>
        <w:r w:rsidR="0005064B">
          <w:rPr>
            <w:noProof/>
            <w:webHidden/>
          </w:rPr>
          <w:tab/>
        </w:r>
        <w:r w:rsidR="0005064B">
          <w:rPr>
            <w:noProof/>
            <w:webHidden/>
          </w:rPr>
          <w:fldChar w:fldCharType="begin"/>
        </w:r>
        <w:r w:rsidR="0005064B">
          <w:rPr>
            <w:noProof/>
            <w:webHidden/>
          </w:rPr>
          <w:instrText xml:space="preserve"> PAGEREF _Toc66698783 \h </w:instrText>
        </w:r>
        <w:r w:rsidR="0005064B">
          <w:rPr>
            <w:noProof/>
            <w:webHidden/>
          </w:rPr>
        </w:r>
        <w:r w:rsidR="0005064B">
          <w:rPr>
            <w:noProof/>
            <w:webHidden/>
          </w:rPr>
          <w:fldChar w:fldCharType="separate"/>
        </w:r>
        <w:r w:rsidR="0005064B">
          <w:rPr>
            <w:noProof/>
            <w:webHidden/>
          </w:rPr>
          <w:t>111</w:t>
        </w:r>
        <w:r w:rsidR="0005064B">
          <w:rPr>
            <w:noProof/>
            <w:webHidden/>
          </w:rPr>
          <w:fldChar w:fldCharType="end"/>
        </w:r>
      </w:hyperlink>
    </w:p>
    <w:p w14:paraId="3192271C" w14:textId="4C7F8997" w:rsidR="0005064B" w:rsidRDefault="000306D9" w:rsidP="00497D07">
      <w:pPr>
        <w:pStyle w:val="TableofFigures"/>
        <w:tabs>
          <w:tab w:val="right" w:leader="dot" w:pos="9016"/>
        </w:tabs>
        <w:spacing w:line="240" w:lineRule="auto"/>
        <w:rPr>
          <w:rFonts w:asciiTheme="minorHAnsi" w:hAnsiTheme="minorHAnsi"/>
          <w:noProof/>
          <w:sz w:val="22"/>
        </w:rPr>
      </w:pPr>
      <w:hyperlink w:anchor="_Toc66698784" w:history="1">
        <w:r w:rsidR="0005064B" w:rsidRPr="001B56D4">
          <w:rPr>
            <w:rStyle w:val="Hyperlink"/>
            <w:rFonts w:cs="Times New Roman"/>
            <w:noProof/>
            <w:lang w:val="fr-FR"/>
          </w:rPr>
          <w:t>Table 5</w:t>
        </w:r>
        <w:r w:rsidR="0005064B" w:rsidRPr="001B56D4">
          <w:rPr>
            <w:rStyle w:val="Hyperlink"/>
            <w:rFonts w:cs="Times New Roman"/>
            <w:noProof/>
            <w:lang w:val="fr-FR"/>
          </w:rPr>
          <w:noBreakHyphen/>
          <w:t>2: Logistic profiles (LPs) in urban consolidation centres (UCCs)</w:t>
        </w:r>
        <w:r w:rsidR="0005064B">
          <w:rPr>
            <w:noProof/>
            <w:webHidden/>
          </w:rPr>
          <w:tab/>
        </w:r>
        <w:r w:rsidR="0005064B">
          <w:rPr>
            <w:noProof/>
            <w:webHidden/>
          </w:rPr>
          <w:fldChar w:fldCharType="begin"/>
        </w:r>
        <w:r w:rsidR="0005064B">
          <w:rPr>
            <w:noProof/>
            <w:webHidden/>
          </w:rPr>
          <w:instrText xml:space="preserve"> PAGEREF _Toc66698784 \h </w:instrText>
        </w:r>
        <w:r w:rsidR="0005064B">
          <w:rPr>
            <w:noProof/>
            <w:webHidden/>
          </w:rPr>
        </w:r>
        <w:r w:rsidR="0005064B">
          <w:rPr>
            <w:noProof/>
            <w:webHidden/>
          </w:rPr>
          <w:fldChar w:fldCharType="separate"/>
        </w:r>
        <w:r w:rsidR="0005064B">
          <w:rPr>
            <w:noProof/>
            <w:webHidden/>
          </w:rPr>
          <w:t>111</w:t>
        </w:r>
        <w:r w:rsidR="0005064B">
          <w:rPr>
            <w:noProof/>
            <w:webHidden/>
          </w:rPr>
          <w:fldChar w:fldCharType="end"/>
        </w:r>
      </w:hyperlink>
    </w:p>
    <w:p w14:paraId="4EF33895" w14:textId="274A5677" w:rsidR="0005064B" w:rsidRDefault="000306D9" w:rsidP="00497D07">
      <w:pPr>
        <w:pStyle w:val="TableofFigures"/>
        <w:tabs>
          <w:tab w:val="right" w:leader="dot" w:pos="9016"/>
        </w:tabs>
        <w:spacing w:line="240" w:lineRule="auto"/>
        <w:rPr>
          <w:rFonts w:asciiTheme="minorHAnsi" w:hAnsiTheme="minorHAnsi"/>
          <w:noProof/>
          <w:sz w:val="22"/>
        </w:rPr>
      </w:pPr>
      <w:hyperlink w:anchor="_Toc66698785" w:history="1">
        <w:r w:rsidR="0005064B" w:rsidRPr="001B56D4">
          <w:rPr>
            <w:rStyle w:val="Hyperlink"/>
            <w:rFonts w:cs="Times New Roman"/>
            <w:noProof/>
          </w:rPr>
          <w:t>Table 5</w:t>
        </w:r>
        <w:r w:rsidR="0005064B" w:rsidRPr="001B56D4">
          <w:rPr>
            <w:rStyle w:val="Hyperlink"/>
            <w:rFonts w:cs="Times New Roman"/>
            <w:noProof/>
          </w:rPr>
          <w:noBreakHyphen/>
          <w:t>3: Challenges for sustainability in each case study</w:t>
        </w:r>
        <w:r w:rsidR="0005064B">
          <w:rPr>
            <w:noProof/>
            <w:webHidden/>
          </w:rPr>
          <w:tab/>
        </w:r>
        <w:r w:rsidR="0005064B">
          <w:rPr>
            <w:noProof/>
            <w:webHidden/>
          </w:rPr>
          <w:fldChar w:fldCharType="begin"/>
        </w:r>
        <w:r w:rsidR="0005064B">
          <w:rPr>
            <w:noProof/>
            <w:webHidden/>
          </w:rPr>
          <w:instrText xml:space="preserve"> PAGEREF _Toc66698785 \h </w:instrText>
        </w:r>
        <w:r w:rsidR="0005064B">
          <w:rPr>
            <w:noProof/>
            <w:webHidden/>
          </w:rPr>
        </w:r>
        <w:r w:rsidR="0005064B">
          <w:rPr>
            <w:noProof/>
            <w:webHidden/>
          </w:rPr>
          <w:fldChar w:fldCharType="separate"/>
        </w:r>
        <w:r w:rsidR="0005064B">
          <w:rPr>
            <w:noProof/>
            <w:webHidden/>
          </w:rPr>
          <w:t>113</w:t>
        </w:r>
        <w:r w:rsidR="0005064B">
          <w:rPr>
            <w:noProof/>
            <w:webHidden/>
          </w:rPr>
          <w:fldChar w:fldCharType="end"/>
        </w:r>
      </w:hyperlink>
    </w:p>
    <w:p w14:paraId="63CE9D0B" w14:textId="4749C965" w:rsidR="0005064B" w:rsidRDefault="000306D9" w:rsidP="00497D07">
      <w:pPr>
        <w:pStyle w:val="TableofFigures"/>
        <w:tabs>
          <w:tab w:val="right" w:leader="dot" w:pos="9016"/>
        </w:tabs>
        <w:spacing w:line="240" w:lineRule="auto"/>
        <w:rPr>
          <w:rFonts w:asciiTheme="minorHAnsi" w:hAnsiTheme="minorHAnsi"/>
          <w:noProof/>
          <w:sz w:val="22"/>
        </w:rPr>
      </w:pPr>
      <w:hyperlink w:anchor="_Toc66698786" w:history="1">
        <w:r w:rsidR="0005064B" w:rsidRPr="001B56D4">
          <w:rPr>
            <w:rStyle w:val="Hyperlink"/>
            <w:rFonts w:cs="Times New Roman"/>
            <w:noProof/>
          </w:rPr>
          <w:t>Table 5</w:t>
        </w:r>
        <w:r w:rsidR="0005064B" w:rsidRPr="001B56D4">
          <w:rPr>
            <w:rStyle w:val="Hyperlink"/>
            <w:rFonts w:cs="Times New Roman"/>
            <w:noProof/>
          </w:rPr>
          <w:noBreakHyphen/>
          <w:t>4: Primary stakeholders based on Browne’s classification of the urban consolidation centre (UCC)</w:t>
        </w:r>
        <w:r w:rsidR="0005064B">
          <w:rPr>
            <w:noProof/>
            <w:webHidden/>
          </w:rPr>
          <w:tab/>
        </w:r>
        <w:r w:rsidR="0005064B">
          <w:rPr>
            <w:noProof/>
            <w:webHidden/>
          </w:rPr>
          <w:fldChar w:fldCharType="begin"/>
        </w:r>
        <w:r w:rsidR="0005064B">
          <w:rPr>
            <w:noProof/>
            <w:webHidden/>
          </w:rPr>
          <w:instrText xml:space="preserve"> PAGEREF _Toc66698786 \h </w:instrText>
        </w:r>
        <w:r w:rsidR="0005064B">
          <w:rPr>
            <w:noProof/>
            <w:webHidden/>
          </w:rPr>
        </w:r>
        <w:r w:rsidR="0005064B">
          <w:rPr>
            <w:noProof/>
            <w:webHidden/>
          </w:rPr>
          <w:fldChar w:fldCharType="separate"/>
        </w:r>
        <w:r w:rsidR="0005064B">
          <w:rPr>
            <w:noProof/>
            <w:webHidden/>
          </w:rPr>
          <w:t>116</w:t>
        </w:r>
        <w:r w:rsidR="0005064B">
          <w:rPr>
            <w:noProof/>
            <w:webHidden/>
          </w:rPr>
          <w:fldChar w:fldCharType="end"/>
        </w:r>
      </w:hyperlink>
    </w:p>
    <w:p w14:paraId="086BA4F0" w14:textId="7D7C759C" w:rsidR="0005064B" w:rsidRDefault="000306D9" w:rsidP="00497D07">
      <w:pPr>
        <w:pStyle w:val="TableofFigures"/>
        <w:tabs>
          <w:tab w:val="right" w:leader="dot" w:pos="9016"/>
        </w:tabs>
        <w:spacing w:line="240" w:lineRule="auto"/>
        <w:rPr>
          <w:rFonts w:asciiTheme="minorHAnsi" w:hAnsiTheme="minorHAnsi"/>
          <w:noProof/>
          <w:sz w:val="22"/>
        </w:rPr>
      </w:pPr>
      <w:hyperlink w:anchor="_Toc66698787" w:history="1">
        <w:r w:rsidR="0005064B" w:rsidRPr="001B56D4">
          <w:rPr>
            <w:rStyle w:val="Hyperlink"/>
            <w:rFonts w:cs="Times New Roman"/>
            <w:noProof/>
          </w:rPr>
          <w:t>Table 5</w:t>
        </w:r>
        <w:r w:rsidR="0005064B" w:rsidRPr="001B56D4">
          <w:rPr>
            <w:rStyle w:val="Hyperlink"/>
            <w:rFonts w:cs="Times New Roman"/>
            <w:noProof/>
          </w:rPr>
          <w:noBreakHyphen/>
          <w:t>5: Secondary stakeholders based on Browne’s classification of the urban consolidation centre (UCC)</w:t>
        </w:r>
        <w:r w:rsidR="0005064B">
          <w:rPr>
            <w:noProof/>
            <w:webHidden/>
          </w:rPr>
          <w:tab/>
        </w:r>
        <w:r w:rsidR="0005064B">
          <w:rPr>
            <w:noProof/>
            <w:webHidden/>
          </w:rPr>
          <w:fldChar w:fldCharType="begin"/>
        </w:r>
        <w:r w:rsidR="0005064B">
          <w:rPr>
            <w:noProof/>
            <w:webHidden/>
          </w:rPr>
          <w:instrText xml:space="preserve"> PAGEREF _Toc66698787 \h </w:instrText>
        </w:r>
        <w:r w:rsidR="0005064B">
          <w:rPr>
            <w:noProof/>
            <w:webHidden/>
          </w:rPr>
        </w:r>
        <w:r w:rsidR="0005064B">
          <w:rPr>
            <w:noProof/>
            <w:webHidden/>
          </w:rPr>
          <w:fldChar w:fldCharType="separate"/>
        </w:r>
        <w:r w:rsidR="0005064B">
          <w:rPr>
            <w:noProof/>
            <w:webHidden/>
          </w:rPr>
          <w:t>116</w:t>
        </w:r>
        <w:r w:rsidR="0005064B">
          <w:rPr>
            <w:noProof/>
            <w:webHidden/>
          </w:rPr>
          <w:fldChar w:fldCharType="end"/>
        </w:r>
      </w:hyperlink>
    </w:p>
    <w:p w14:paraId="24A33AEB" w14:textId="3FDE1C5D" w:rsidR="0005064B" w:rsidRDefault="000306D9" w:rsidP="00497D07">
      <w:pPr>
        <w:pStyle w:val="TableofFigures"/>
        <w:tabs>
          <w:tab w:val="right" w:leader="dot" w:pos="9016"/>
        </w:tabs>
        <w:spacing w:line="240" w:lineRule="auto"/>
        <w:rPr>
          <w:rFonts w:asciiTheme="minorHAnsi" w:hAnsiTheme="minorHAnsi"/>
          <w:noProof/>
          <w:sz w:val="22"/>
        </w:rPr>
      </w:pPr>
      <w:hyperlink w:anchor="_Toc66698788" w:history="1">
        <w:r w:rsidR="0005064B" w:rsidRPr="001B56D4">
          <w:rPr>
            <w:rStyle w:val="Hyperlink"/>
            <w:rFonts w:cs="Times New Roman"/>
            <w:noProof/>
          </w:rPr>
          <w:t>Table 5</w:t>
        </w:r>
        <w:r w:rsidR="0005064B" w:rsidRPr="001B56D4">
          <w:rPr>
            <w:rStyle w:val="Hyperlink"/>
            <w:rFonts w:cs="Times New Roman"/>
            <w:noProof/>
          </w:rPr>
          <w:noBreakHyphen/>
          <w:t>6: Users’ locations in the transport chain of the urban consolidation centre (UCC)</w:t>
        </w:r>
        <w:r w:rsidR="0005064B">
          <w:rPr>
            <w:noProof/>
            <w:webHidden/>
          </w:rPr>
          <w:tab/>
        </w:r>
        <w:r w:rsidR="0005064B">
          <w:rPr>
            <w:noProof/>
            <w:webHidden/>
          </w:rPr>
          <w:fldChar w:fldCharType="begin"/>
        </w:r>
        <w:r w:rsidR="0005064B">
          <w:rPr>
            <w:noProof/>
            <w:webHidden/>
          </w:rPr>
          <w:instrText xml:space="preserve"> PAGEREF _Toc66698788 \h </w:instrText>
        </w:r>
        <w:r w:rsidR="0005064B">
          <w:rPr>
            <w:noProof/>
            <w:webHidden/>
          </w:rPr>
        </w:r>
        <w:r w:rsidR="0005064B">
          <w:rPr>
            <w:noProof/>
            <w:webHidden/>
          </w:rPr>
          <w:fldChar w:fldCharType="separate"/>
        </w:r>
        <w:r w:rsidR="0005064B">
          <w:rPr>
            <w:noProof/>
            <w:webHidden/>
          </w:rPr>
          <w:t>118</w:t>
        </w:r>
        <w:r w:rsidR="0005064B">
          <w:rPr>
            <w:noProof/>
            <w:webHidden/>
          </w:rPr>
          <w:fldChar w:fldCharType="end"/>
        </w:r>
      </w:hyperlink>
    </w:p>
    <w:p w14:paraId="251817E6" w14:textId="278C10F9" w:rsidR="0005064B" w:rsidRDefault="000306D9" w:rsidP="00497D07">
      <w:pPr>
        <w:pStyle w:val="TableofFigures"/>
        <w:tabs>
          <w:tab w:val="right" w:leader="dot" w:pos="9016"/>
        </w:tabs>
        <w:spacing w:line="240" w:lineRule="auto"/>
        <w:rPr>
          <w:rFonts w:asciiTheme="minorHAnsi" w:hAnsiTheme="minorHAnsi"/>
          <w:noProof/>
          <w:sz w:val="22"/>
        </w:rPr>
      </w:pPr>
      <w:hyperlink w:anchor="_Toc66698789" w:history="1">
        <w:r w:rsidR="0005064B" w:rsidRPr="001B56D4">
          <w:rPr>
            <w:rStyle w:val="Hyperlink"/>
            <w:rFonts w:cs="Times New Roman"/>
            <w:noProof/>
          </w:rPr>
          <w:t>Table 5</w:t>
        </w:r>
        <w:r w:rsidR="0005064B" w:rsidRPr="001B56D4">
          <w:rPr>
            <w:rStyle w:val="Hyperlink"/>
            <w:rFonts w:cs="Times New Roman"/>
            <w:noProof/>
          </w:rPr>
          <w:noBreakHyphen/>
          <w:t>7: Value-adding services of the urban consolidation centres (UCCs)</w:t>
        </w:r>
        <w:r w:rsidR="0005064B">
          <w:rPr>
            <w:noProof/>
            <w:webHidden/>
          </w:rPr>
          <w:tab/>
        </w:r>
        <w:r w:rsidR="0005064B">
          <w:rPr>
            <w:noProof/>
            <w:webHidden/>
          </w:rPr>
          <w:fldChar w:fldCharType="begin"/>
        </w:r>
        <w:r w:rsidR="0005064B">
          <w:rPr>
            <w:noProof/>
            <w:webHidden/>
          </w:rPr>
          <w:instrText xml:space="preserve"> PAGEREF _Toc66698789 \h </w:instrText>
        </w:r>
        <w:r w:rsidR="0005064B">
          <w:rPr>
            <w:noProof/>
            <w:webHidden/>
          </w:rPr>
        </w:r>
        <w:r w:rsidR="0005064B">
          <w:rPr>
            <w:noProof/>
            <w:webHidden/>
          </w:rPr>
          <w:fldChar w:fldCharType="separate"/>
        </w:r>
        <w:r w:rsidR="0005064B">
          <w:rPr>
            <w:noProof/>
            <w:webHidden/>
          </w:rPr>
          <w:t>123</w:t>
        </w:r>
        <w:r w:rsidR="0005064B">
          <w:rPr>
            <w:noProof/>
            <w:webHidden/>
          </w:rPr>
          <w:fldChar w:fldCharType="end"/>
        </w:r>
      </w:hyperlink>
    </w:p>
    <w:p w14:paraId="285993D2" w14:textId="7F67973B" w:rsidR="0005064B" w:rsidRDefault="000306D9" w:rsidP="00497D07">
      <w:pPr>
        <w:pStyle w:val="TableofFigures"/>
        <w:tabs>
          <w:tab w:val="right" w:leader="dot" w:pos="9016"/>
        </w:tabs>
        <w:spacing w:line="240" w:lineRule="auto"/>
        <w:rPr>
          <w:rFonts w:asciiTheme="minorHAnsi" w:hAnsiTheme="minorHAnsi"/>
          <w:noProof/>
          <w:sz w:val="22"/>
        </w:rPr>
      </w:pPr>
      <w:hyperlink w:anchor="_Toc66698790" w:history="1">
        <w:r w:rsidR="0005064B" w:rsidRPr="001B56D4">
          <w:rPr>
            <w:rStyle w:val="Hyperlink"/>
            <w:rFonts w:cs="Times New Roman"/>
            <w:noProof/>
          </w:rPr>
          <w:t>Table 5</w:t>
        </w:r>
        <w:r w:rsidR="0005064B" w:rsidRPr="001B56D4">
          <w:rPr>
            <w:rStyle w:val="Hyperlink"/>
            <w:rFonts w:cs="Times New Roman"/>
            <w:noProof/>
          </w:rPr>
          <w:noBreakHyphen/>
          <w:t>8: The benefits of the urban consolidation centre (UCC) projects</w:t>
        </w:r>
        <w:r w:rsidR="0005064B">
          <w:rPr>
            <w:noProof/>
            <w:webHidden/>
          </w:rPr>
          <w:tab/>
        </w:r>
        <w:r w:rsidR="0005064B">
          <w:rPr>
            <w:noProof/>
            <w:webHidden/>
          </w:rPr>
          <w:fldChar w:fldCharType="begin"/>
        </w:r>
        <w:r w:rsidR="0005064B">
          <w:rPr>
            <w:noProof/>
            <w:webHidden/>
          </w:rPr>
          <w:instrText xml:space="preserve"> PAGEREF _Toc66698790 \h </w:instrText>
        </w:r>
        <w:r w:rsidR="0005064B">
          <w:rPr>
            <w:noProof/>
            <w:webHidden/>
          </w:rPr>
        </w:r>
        <w:r w:rsidR="0005064B">
          <w:rPr>
            <w:noProof/>
            <w:webHidden/>
          </w:rPr>
          <w:fldChar w:fldCharType="separate"/>
        </w:r>
        <w:r w:rsidR="0005064B">
          <w:rPr>
            <w:noProof/>
            <w:webHidden/>
          </w:rPr>
          <w:t>125</w:t>
        </w:r>
        <w:r w:rsidR="0005064B">
          <w:rPr>
            <w:noProof/>
            <w:webHidden/>
          </w:rPr>
          <w:fldChar w:fldCharType="end"/>
        </w:r>
      </w:hyperlink>
    </w:p>
    <w:p w14:paraId="0F889AC9" w14:textId="2D9FBD75" w:rsidR="0005064B" w:rsidRDefault="000306D9" w:rsidP="00497D07">
      <w:pPr>
        <w:pStyle w:val="TableofFigures"/>
        <w:tabs>
          <w:tab w:val="right" w:leader="dot" w:pos="9016"/>
        </w:tabs>
        <w:spacing w:line="240" w:lineRule="auto"/>
        <w:rPr>
          <w:rFonts w:asciiTheme="minorHAnsi" w:hAnsiTheme="minorHAnsi"/>
          <w:noProof/>
          <w:sz w:val="22"/>
        </w:rPr>
      </w:pPr>
      <w:hyperlink w:anchor="_Toc66698791" w:history="1">
        <w:r w:rsidR="0005064B" w:rsidRPr="001B56D4">
          <w:rPr>
            <w:rStyle w:val="Hyperlink"/>
            <w:rFonts w:cs="Times New Roman"/>
            <w:noProof/>
          </w:rPr>
          <w:t>Table 5</w:t>
        </w:r>
        <w:r w:rsidR="0005064B" w:rsidRPr="001B56D4">
          <w:rPr>
            <w:rStyle w:val="Hyperlink"/>
            <w:rFonts w:cs="Times New Roman"/>
            <w:noProof/>
          </w:rPr>
          <w:noBreakHyphen/>
          <w:t>9: Participants’ issues in urban consolidation centre (UCC) project</w:t>
        </w:r>
        <w:r w:rsidR="0005064B">
          <w:rPr>
            <w:noProof/>
            <w:webHidden/>
          </w:rPr>
          <w:tab/>
        </w:r>
        <w:r w:rsidR="0005064B">
          <w:rPr>
            <w:noProof/>
            <w:webHidden/>
          </w:rPr>
          <w:fldChar w:fldCharType="begin"/>
        </w:r>
        <w:r w:rsidR="0005064B">
          <w:rPr>
            <w:noProof/>
            <w:webHidden/>
          </w:rPr>
          <w:instrText xml:space="preserve"> PAGEREF _Toc66698791 \h </w:instrText>
        </w:r>
        <w:r w:rsidR="0005064B">
          <w:rPr>
            <w:noProof/>
            <w:webHidden/>
          </w:rPr>
        </w:r>
        <w:r w:rsidR="0005064B">
          <w:rPr>
            <w:noProof/>
            <w:webHidden/>
          </w:rPr>
          <w:fldChar w:fldCharType="separate"/>
        </w:r>
        <w:r w:rsidR="0005064B">
          <w:rPr>
            <w:noProof/>
            <w:webHidden/>
          </w:rPr>
          <w:t>128</w:t>
        </w:r>
        <w:r w:rsidR="0005064B">
          <w:rPr>
            <w:noProof/>
            <w:webHidden/>
          </w:rPr>
          <w:fldChar w:fldCharType="end"/>
        </w:r>
      </w:hyperlink>
    </w:p>
    <w:p w14:paraId="06A6CD0A" w14:textId="4A915608" w:rsidR="0005064B" w:rsidRDefault="000306D9" w:rsidP="00497D07">
      <w:pPr>
        <w:pStyle w:val="TableofFigures"/>
        <w:tabs>
          <w:tab w:val="right" w:leader="dot" w:pos="9016"/>
        </w:tabs>
        <w:spacing w:line="240" w:lineRule="auto"/>
        <w:rPr>
          <w:rFonts w:asciiTheme="minorHAnsi" w:hAnsiTheme="minorHAnsi"/>
          <w:noProof/>
          <w:sz w:val="22"/>
        </w:rPr>
      </w:pPr>
      <w:hyperlink w:anchor="_Toc66698792" w:history="1">
        <w:r w:rsidR="0005064B" w:rsidRPr="001B56D4">
          <w:rPr>
            <w:rStyle w:val="Hyperlink"/>
            <w:rFonts w:cs="Times New Roman"/>
            <w:noProof/>
          </w:rPr>
          <w:t>Table 5</w:t>
        </w:r>
        <w:r w:rsidR="0005064B" w:rsidRPr="001B56D4">
          <w:rPr>
            <w:rStyle w:val="Hyperlink"/>
            <w:rFonts w:cs="Times New Roman"/>
            <w:noProof/>
          </w:rPr>
          <w:noBreakHyphen/>
          <w:t>10: Business benefits and issues in urban consolidation centres (UCCs)</w:t>
        </w:r>
        <w:r w:rsidR="0005064B">
          <w:rPr>
            <w:noProof/>
            <w:webHidden/>
          </w:rPr>
          <w:tab/>
        </w:r>
        <w:r w:rsidR="0005064B">
          <w:rPr>
            <w:noProof/>
            <w:webHidden/>
          </w:rPr>
          <w:fldChar w:fldCharType="begin"/>
        </w:r>
        <w:r w:rsidR="0005064B">
          <w:rPr>
            <w:noProof/>
            <w:webHidden/>
          </w:rPr>
          <w:instrText xml:space="preserve"> PAGEREF _Toc66698792 \h </w:instrText>
        </w:r>
        <w:r w:rsidR="0005064B">
          <w:rPr>
            <w:noProof/>
            <w:webHidden/>
          </w:rPr>
        </w:r>
        <w:r w:rsidR="0005064B">
          <w:rPr>
            <w:noProof/>
            <w:webHidden/>
          </w:rPr>
          <w:fldChar w:fldCharType="separate"/>
        </w:r>
        <w:r w:rsidR="0005064B">
          <w:rPr>
            <w:noProof/>
            <w:webHidden/>
          </w:rPr>
          <w:t>138</w:t>
        </w:r>
        <w:r w:rsidR="0005064B">
          <w:rPr>
            <w:noProof/>
            <w:webHidden/>
          </w:rPr>
          <w:fldChar w:fldCharType="end"/>
        </w:r>
      </w:hyperlink>
    </w:p>
    <w:p w14:paraId="4814BF11" w14:textId="5C1E08BE" w:rsidR="0005064B" w:rsidRDefault="000306D9" w:rsidP="00497D07">
      <w:pPr>
        <w:pStyle w:val="TableofFigures"/>
        <w:tabs>
          <w:tab w:val="right" w:leader="dot" w:pos="9016"/>
        </w:tabs>
        <w:spacing w:line="240" w:lineRule="auto"/>
        <w:rPr>
          <w:rFonts w:asciiTheme="minorHAnsi" w:hAnsiTheme="minorHAnsi"/>
          <w:noProof/>
          <w:sz w:val="22"/>
        </w:rPr>
      </w:pPr>
      <w:hyperlink w:anchor="_Toc66698793" w:history="1">
        <w:r w:rsidR="0005064B" w:rsidRPr="001B56D4">
          <w:rPr>
            <w:rStyle w:val="Hyperlink"/>
            <w:noProof/>
          </w:rPr>
          <w:t>Table 5</w:t>
        </w:r>
        <w:r w:rsidR="0005064B" w:rsidRPr="001B56D4">
          <w:rPr>
            <w:rStyle w:val="Hyperlink"/>
            <w:noProof/>
          </w:rPr>
          <w:noBreakHyphen/>
          <w:t>11: Economic impact of UCCs on their users</w:t>
        </w:r>
        <w:r w:rsidR="0005064B">
          <w:rPr>
            <w:noProof/>
            <w:webHidden/>
          </w:rPr>
          <w:tab/>
        </w:r>
        <w:r w:rsidR="0005064B">
          <w:rPr>
            <w:noProof/>
            <w:webHidden/>
          </w:rPr>
          <w:fldChar w:fldCharType="begin"/>
        </w:r>
        <w:r w:rsidR="0005064B">
          <w:rPr>
            <w:noProof/>
            <w:webHidden/>
          </w:rPr>
          <w:instrText xml:space="preserve"> PAGEREF _Toc66698793 \h </w:instrText>
        </w:r>
        <w:r w:rsidR="0005064B">
          <w:rPr>
            <w:noProof/>
            <w:webHidden/>
          </w:rPr>
        </w:r>
        <w:r w:rsidR="0005064B">
          <w:rPr>
            <w:noProof/>
            <w:webHidden/>
          </w:rPr>
          <w:fldChar w:fldCharType="separate"/>
        </w:r>
        <w:r w:rsidR="0005064B">
          <w:rPr>
            <w:noProof/>
            <w:webHidden/>
          </w:rPr>
          <w:t>140</w:t>
        </w:r>
        <w:r w:rsidR="0005064B">
          <w:rPr>
            <w:noProof/>
            <w:webHidden/>
          </w:rPr>
          <w:fldChar w:fldCharType="end"/>
        </w:r>
      </w:hyperlink>
    </w:p>
    <w:p w14:paraId="5EF2BF1F" w14:textId="1FB3896E" w:rsidR="0005064B" w:rsidRDefault="000306D9" w:rsidP="00497D07">
      <w:pPr>
        <w:pStyle w:val="TableofFigures"/>
        <w:tabs>
          <w:tab w:val="right" w:leader="dot" w:pos="9016"/>
        </w:tabs>
        <w:spacing w:line="240" w:lineRule="auto"/>
        <w:rPr>
          <w:rFonts w:asciiTheme="minorHAnsi" w:hAnsiTheme="minorHAnsi"/>
          <w:noProof/>
          <w:sz w:val="22"/>
        </w:rPr>
      </w:pPr>
      <w:hyperlink w:anchor="_Toc66698794" w:history="1">
        <w:r w:rsidR="0005064B" w:rsidRPr="001B56D4">
          <w:rPr>
            <w:rStyle w:val="Hyperlink"/>
            <w:noProof/>
          </w:rPr>
          <w:t>Table 6</w:t>
        </w:r>
        <w:r w:rsidR="0005064B" w:rsidRPr="001B56D4">
          <w:rPr>
            <w:rStyle w:val="Hyperlink"/>
            <w:noProof/>
          </w:rPr>
          <w:noBreakHyphen/>
          <w:t xml:space="preserve">1: </w:t>
        </w:r>
        <w:r w:rsidR="0005064B" w:rsidRPr="001B56D4">
          <w:rPr>
            <w:rStyle w:val="Hyperlink"/>
            <w:rFonts w:eastAsia="Times New Roman"/>
            <w:bCs/>
            <w:noProof/>
            <w:kern w:val="2"/>
            <w:lang w:val="en-US"/>
          </w:rPr>
          <w:t>The Selected Criteria</w:t>
        </w:r>
        <w:r w:rsidR="0005064B">
          <w:rPr>
            <w:noProof/>
            <w:webHidden/>
          </w:rPr>
          <w:tab/>
        </w:r>
        <w:r w:rsidR="0005064B">
          <w:rPr>
            <w:noProof/>
            <w:webHidden/>
          </w:rPr>
          <w:fldChar w:fldCharType="begin"/>
        </w:r>
        <w:r w:rsidR="0005064B">
          <w:rPr>
            <w:noProof/>
            <w:webHidden/>
          </w:rPr>
          <w:instrText xml:space="preserve"> PAGEREF _Toc66698794 \h </w:instrText>
        </w:r>
        <w:r w:rsidR="0005064B">
          <w:rPr>
            <w:noProof/>
            <w:webHidden/>
          </w:rPr>
        </w:r>
        <w:r w:rsidR="0005064B">
          <w:rPr>
            <w:noProof/>
            <w:webHidden/>
          </w:rPr>
          <w:fldChar w:fldCharType="separate"/>
        </w:r>
        <w:r w:rsidR="0005064B">
          <w:rPr>
            <w:noProof/>
            <w:webHidden/>
          </w:rPr>
          <w:t>149</w:t>
        </w:r>
        <w:r w:rsidR="0005064B">
          <w:rPr>
            <w:noProof/>
            <w:webHidden/>
          </w:rPr>
          <w:fldChar w:fldCharType="end"/>
        </w:r>
      </w:hyperlink>
    </w:p>
    <w:p w14:paraId="219B0133" w14:textId="4C362582" w:rsidR="0005064B" w:rsidRDefault="000306D9" w:rsidP="00497D07">
      <w:pPr>
        <w:pStyle w:val="TableofFigures"/>
        <w:tabs>
          <w:tab w:val="right" w:leader="dot" w:pos="9016"/>
        </w:tabs>
        <w:spacing w:line="240" w:lineRule="auto"/>
        <w:rPr>
          <w:rFonts w:asciiTheme="minorHAnsi" w:hAnsiTheme="minorHAnsi"/>
          <w:noProof/>
          <w:sz w:val="22"/>
        </w:rPr>
      </w:pPr>
      <w:hyperlink w:anchor="_Toc66698795" w:history="1">
        <w:r w:rsidR="0005064B" w:rsidRPr="001B56D4">
          <w:rPr>
            <w:rStyle w:val="Hyperlink"/>
            <w:noProof/>
          </w:rPr>
          <w:t>Table 6</w:t>
        </w:r>
        <w:r w:rsidR="0005064B" w:rsidRPr="001B56D4">
          <w:rPr>
            <w:rStyle w:val="Hyperlink"/>
            <w:noProof/>
          </w:rPr>
          <w:noBreakHyphen/>
          <w:t>2</w:t>
        </w:r>
        <w:r w:rsidR="0005064B" w:rsidRPr="001B56D4">
          <w:rPr>
            <w:rStyle w:val="Hyperlink"/>
            <w:noProof/>
            <w:lang w:val="en-US"/>
          </w:rPr>
          <w:t>: Basic information on the investigated urban consolidation centres (UCCs)</w:t>
        </w:r>
        <w:r w:rsidR="0005064B">
          <w:rPr>
            <w:noProof/>
            <w:webHidden/>
          </w:rPr>
          <w:tab/>
        </w:r>
        <w:r w:rsidR="0005064B">
          <w:rPr>
            <w:noProof/>
            <w:webHidden/>
          </w:rPr>
          <w:fldChar w:fldCharType="begin"/>
        </w:r>
        <w:r w:rsidR="0005064B">
          <w:rPr>
            <w:noProof/>
            <w:webHidden/>
          </w:rPr>
          <w:instrText xml:space="preserve"> PAGEREF _Toc66698795 \h </w:instrText>
        </w:r>
        <w:r w:rsidR="0005064B">
          <w:rPr>
            <w:noProof/>
            <w:webHidden/>
          </w:rPr>
        </w:r>
        <w:r w:rsidR="0005064B">
          <w:rPr>
            <w:noProof/>
            <w:webHidden/>
          </w:rPr>
          <w:fldChar w:fldCharType="separate"/>
        </w:r>
        <w:r w:rsidR="0005064B">
          <w:rPr>
            <w:noProof/>
            <w:webHidden/>
          </w:rPr>
          <w:t>151</w:t>
        </w:r>
        <w:r w:rsidR="0005064B">
          <w:rPr>
            <w:noProof/>
            <w:webHidden/>
          </w:rPr>
          <w:fldChar w:fldCharType="end"/>
        </w:r>
      </w:hyperlink>
    </w:p>
    <w:p w14:paraId="5289BB72" w14:textId="0A90B4F0" w:rsidR="0005064B" w:rsidRDefault="000306D9" w:rsidP="00497D07">
      <w:pPr>
        <w:pStyle w:val="TableofFigures"/>
        <w:tabs>
          <w:tab w:val="right" w:leader="dot" w:pos="9016"/>
        </w:tabs>
        <w:spacing w:line="240" w:lineRule="auto"/>
        <w:rPr>
          <w:rFonts w:asciiTheme="minorHAnsi" w:hAnsiTheme="minorHAnsi"/>
          <w:noProof/>
          <w:sz w:val="22"/>
        </w:rPr>
      </w:pPr>
      <w:hyperlink w:anchor="_Toc66698796" w:history="1">
        <w:r w:rsidR="0005064B" w:rsidRPr="001B56D4">
          <w:rPr>
            <w:rStyle w:val="Hyperlink"/>
            <w:noProof/>
          </w:rPr>
          <w:t>Table 6</w:t>
        </w:r>
        <w:r w:rsidR="0005064B" w:rsidRPr="001B56D4">
          <w:rPr>
            <w:rStyle w:val="Hyperlink"/>
            <w:noProof/>
          </w:rPr>
          <w:noBreakHyphen/>
          <w:t>3</w:t>
        </w:r>
        <w:r w:rsidR="0005064B" w:rsidRPr="001B56D4">
          <w:rPr>
            <w:rStyle w:val="Hyperlink"/>
            <w:noProof/>
            <w:lang w:val="en-US"/>
          </w:rPr>
          <w:t>: Stakeholder analyses in Sweden and China</w:t>
        </w:r>
        <w:r w:rsidR="0005064B">
          <w:rPr>
            <w:noProof/>
            <w:webHidden/>
          </w:rPr>
          <w:tab/>
        </w:r>
        <w:r w:rsidR="0005064B">
          <w:rPr>
            <w:noProof/>
            <w:webHidden/>
          </w:rPr>
          <w:fldChar w:fldCharType="begin"/>
        </w:r>
        <w:r w:rsidR="0005064B">
          <w:rPr>
            <w:noProof/>
            <w:webHidden/>
          </w:rPr>
          <w:instrText xml:space="preserve"> PAGEREF _Toc66698796 \h </w:instrText>
        </w:r>
        <w:r w:rsidR="0005064B">
          <w:rPr>
            <w:noProof/>
            <w:webHidden/>
          </w:rPr>
        </w:r>
        <w:r w:rsidR="0005064B">
          <w:rPr>
            <w:noProof/>
            <w:webHidden/>
          </w:rPr>
          <w:fldChar w:fldCharType="separate"/>
        </w:r>
        <w:r w:rsidR="0005064B">
          <w:rPr>
            <w:noProof/>
            <w:webHidden/>
          </w:rPr>
          <w:t>155</w:t>
        </w:r>
        <w:r w:rsidR="0005064B">
          <w:rPr>
            <w:noProof/>
            <w:webHidden/>
          </w:rPr>
          <w:fldChar w:fldCharType="end"/>
        </w:r>
      </w:hyperlink>
    </w:p>
    <w:p w14:paraId="08E8EDEB" w14:textId="7D6599EF" w:rsidR="0005064B" w:rsidRDefault="000306D9" w:rsidP="00497D07">
      <w:pPr>
        <w:pStyle w:val="TableofFigures"/>
        <w:tabs>
          <w:tab w:val="right" w:leader="dot" w:pos="9016"/>
        </w:tabs>
        <w:spacing w:line="240" w:lineRule="auto"/>
        <w:rPr>
          <w:rFonts w:asciiTheme="minorHAnsi" w:hAnsiTheme="minorHAnsi"/>
          <w:noProof/>
          <w:sz w:val="22"/>
        </w:rPr>
      </w:pPr>
      <w:hyperlink w:anchor="_Toc66698797" w:history="1">
        <w:r w:rsidR="0005064B" w:rsidRPr="001B56D4">
          <w:rPr>
            <w:rStyle w:val="Hyperlink"/>
            <w:noProof/>
          </w:rPr>
          <w:t>Table 6</w:t>
        </w:r>
        <w:r w:rsidR="0005064B" w:rsidRPr="001B56D4">
          <w:rPr>
            <w:rStyle w:val="Hyperlink"/>
            <w:noProof/>
          </w:rPr>
          <w:noBreakHyphen/>
          <w:t xml:space="preserve">4: </w:t>
        </w:r>
        <w:r w:rsidR="0005064B" w:rsidRPr="001B56D4">
          <w:rPr>
            <w:rStyle w:val="Hyperlink"/>
            <w:rFonts w:eastAsia="Times New Roman"/>
            <w:bCs/>
            <w:noProof/>
            <w:kern w:val="2"/>
            <w:lang w:val="en-US"/>
          </w:rPr>
          <w:t>The selected criteria and their associated indicators</w:t>
        </w:r>
        <w:r w:rsidR="0005064B">
          <w:rPr>
            <w:noProof/>
            <w:webHidden/>
          </w:rPr>
          <w:tab/>
        </w:r>
        <w:r w:rsidR="0005064B">
          <w:rPr>
            <w:noProof/>
            <w:webHidden/>
          </w:rPr>
          <w:fldChar w:fldCharType="begin"/>
        </w:r>
        <w:r w:rsidR="0005064B">
          <w:rPr>
            <w:noProof/>
            <w:webHidden/>
          </w:rPr>
          <w:instrText xml:space="preserve"> PAGEREF _Toc66698797 \h </w:instrText>
        </w:r>
        <w:r w:rsidR="0005064B">
          <w:rPr>
            <w:noProof/>
            <w:webHidden/>
          </w:rPr>
        </w:r>
        <w:r w:rsidR="0005064B">
          <w:rPr>
            <w:noProof/>
            <w:webHidden/>
          </w:rPr>
          <w:fldChar w:fldCharType="separate"/>
        </w:r>
        <w:r w:rsidR="0005064B">
          <w:rPr>
            <w:noProof/>
            <w:webHidden/>
          </w:rPr>
          <w:t>156</w:t>
        </w:r>
        <w:r w:rsidR="0005064B">
          <w:rPr>
            <w:noProof/>
            <w:webHidden/>
          </w:rPr>
          <w:fldChar w:fldCharType="end"/>
        </w:r>
      </w:hyperlink>
    </w:p>
    <w:p w14:paraId="6AFBFA41" w14:textId="5247C704" w:rsidR="0005064B" w:rsidRDefault="000306D9" w:rsidP="00497D07">
      <w:pPr>
        <w:pStyle w:val="TableofFigures"/>
        <w:tabs>
          <w:tab w:val="right" w:leader="dot" w:pos="9016"/>
        </w:tabs>
        <w:spacing w:line="240" w:lineRule="auto"/>
        <w:rPr>
          <w:rFonts w:asciiTheme="minorHAnsi" w:hAnsiTheme="minorHAnsi"/>
          <w:noProof/>
          <w:sz w:val="22"/>
        </w:rPr>
      </w:pPr>
      <w:hyperlink w:anchor="_Toc66698798" w:history="1">
        <w:r w:rsidR="0005064B" w:rsidRPr="001B56D4">
          <w:rPr>
            <w:rStyle w:val="Hyperlink"/>
            <w:noProof/>
          </w:rPr>
          <w:t>Table 6</w:t>
        </w:r>
        <w:r w:rsidR="0005064B" w:rsidRPr="001B56D4">
          <w:rPr>
            <w:rStyle w:val="Hyperlink"/>
            <w:noProof/>
          </w:rPr>
          <w:noBreakHyphen/>
          <w:t xml:space="preserve">5: </w:t>
        </w:r>
        <w:r w:rsidR="0005064B" w:rsidRPr="001B56D4">
          <w:rPr>
            <w:rStyle w:val="Hyperlink"/>
            <w:rFonts w:eastAsia="Times New Roman"/>
            <w:bCs/>
            <w:noProof/>
            <w:kern w:val="2"/>
            <w:lang w:val="en-US"/>
          </w:rPr>
          <w:t>The 1-9 scale proposed by Saaty (2004)</w:t>
        </w:r>
        <w:r w:rsidR="0005064B">
          <w:rPr>
            <w:noProof/>
            <w:webHidden/>
          </w:rPr>
          <w:tab/>
        </w:r>
        <w:r w:rsidR="0005064B">
          <w:rPr>
            <w:noProof/>
            <w:webHidden/>
          </w:rPr>
          <w:fldChar w:fldCharType="begin"/>
        </w:r>
        <w:r w:rsidR="0005064B">
          <w:rPr>
            <w:noProof/>
            <w:webHidden/>
          </w:rPr>
          <w:instrText xml:space="preserve"> PAGEREF _Toc66698798 \h </w:instrText>
        </w:r>
        <w:r w:rsidR="0005064B">
          <w:rPr>
            <w:noProof/>
            <w:webHidden/>
          </w:rPr>
        </w:r>
        <w:r w:rsidR="0005064B">
          <w:rPr>
            <w:noProof/>
            <w:webHidden/>
          </w:rPr>
          <w:fldChar w:fldCharType="separate"/>
        </w:r>
        <w:r w:rsidR="0005064B">
          <w:rPr>
            <w:noProof/>
            <w:webHidden/>
          </w:rPr>
          <w:t>157</w:t>
        </w:r>
        <w:r w:rsidR="0005064B">
          <w:rPr>
            <w:noProof/>
            <w:webHidden/>
          </w:rPr>
          <w:fldChar w:fldCharType="end"/>
        </w:r>
      </w:hyperlink>
    </w:p>
    <w:p w14:paraId="5FBC7E0E" w14:textId="1A33DAE9" w:rsidR="0005064B" w:rsidRDefault="000306D9" w:rsidP="00497D07">
      <w:pPr>
        <w:pStyle w:val="TableofFigures"/>
        <w:tabs>
          <w:tab w:val="right" w:leader="dot" w:pos="9016"/>
        </w:tabs>
        <w:spacing w:line="240" w:lineRule="auto"/>
        <w:rPr>
          <w:rFonts w:asciiTheme="minorHAnsi" w:hAnsiTheme="minorHAnsi"/>
          <w:noProof/>
          <w:sz w:val="22"/>
        </w:rPr>
      </w:pPr>
      <w:hyperlink w:anchor="_Toc66698799" w:history="1">
        <w:r w:rsidR="0005064B" w:rsidRPr="001B56D4">
          <w:rPr>
            <w:rStyle w:val="Hyperlink"/>
            <w:noProof/>
          </w:rPr>
          <w:t>Table 6</w:t>
        </w:r>
        <w:r w:rsidR="0005064B" w:rsidRPr="001B56D4">
          <w:rPr>
            <w:rStyle w:val="Hyperlink"/>
            <w:noProof/>
          </w:rPr>
          <w:noBreakHyphen/>
          <w:t xml:space="preserve">6: </w:t>
        </w:r>
        <w:r w:rsidR="0005064B" w:rsidRPr="001B56D4">
          <w:rPr>
            <w:rStyle w:val="Hyperlink"/>
            <w:rFonts w:eastAsia="Times New Roman"/>
            <w:bCs/>
            <w:noProof/>
            <w:kern w:val="2"/>
            <w:lang w:val="en-US"/>
          </w:rPr>
          <w:t>Weights of sustainable urban logistics (SUL) dimensions, as assigned by urban consolidation centre (UCC) stakeholders</w:t>
        </w:r>
        <w:r w:rsidR="0005064B">
          <w:rPr>
            <w:noProof/>
            <w:webHidden/>
          </w:rPr>
          <w:tab/>
        </w:r>
        <w:r w:rsidR="0005064B">
          <w:rPr>
            <w:noProof/>
            <w:webHidden/>
          </w:rPr>
          <w:fldChar w:fldCharType="begin"/>
        </w:r>
        <w:r w:rsidR="0005064B">
          <w:rPr>
            <w:noProof/>
            <w:webHidden/>
          </w:rPr>
          <w:instrText xml:space="preserve"> PAGEREF _Toc66698799 \h </w:instrText>
        </w:r>
        <w:r w:rsidR="0005064B">
          <w:rPr>
            <w:noProof/>
            <w:webHidden/>
          </w:rPr>
        </w:r>
        <w:r w:rsidR="0005064B">
          <w:rPr>
            <w:noProof/>
            <w:webHidden/>
          </w:rPr>
          <w:fldChar w:fldCharType="separate"/>
        </w:r>
        <w:r w:rsidR="0005064B">
          <w:rPr>
            <w:noProof/>
            <w:webHidden/>
          </w:rPr>
          <w:t>159</w:t>
        </w:r>
        <w:r w:rsidR="0005064B">
          <w:rPr>
            <w:noProof/>
            <w:webHidden/>
          </w:rPr>
          <w:fldChar w:fldCharType="end"/>
        </w:r>
      </w:hyperlink>
    </w:p>
    <w:p w14:paraId="5D3CD565" w14:textId="46DFC1F3" w:rsidR="0005064B" w:rsidRDefault="000306D9" w:rsidP="00497D07">
      <w:pPr>
        <w:pStyle w:val="TableofFigures"/>
        <w:tabs>
          <w:tab w:val="right" w:leader="dot" w:pos="9016"/>
        </w:tabs>
        <w:spacing w:line="240" w:lineRule="auto"/>
        <w:rPr>
          <w:rFonts w:asciiTheme="minorHAnsi" w:hAnsiTheme="minorHAnsi"/>
          <w:noProof/>
          <w:sz w:val="22"/>
        </w:rPr>
      </w:pPr>
      <w:hyperlink w:anchor="_Toc66698800" w:history="1">
        <w:r w:rsidR="0005064B" w:rsidRPr="001B56D4">
          <w:rPr>
            <w:rStyle w:val="Hyperlink"/>
            <w:noProof/>
          </w:rPr>
          <w:t>Table 6</w:t>
        </w:r>
        <w:r w:rsidR="0005064B" w:rsidRPr="001B56D4">
          <w:rPr>
            <w:rStyle w:val="Hyperlink"/>
            <w:noProof/>
          </w:rPr>
          <w:noBreakHyphen/>
          <w:t xml:space="preserve">7: </w:t>
        </w:r>
        <w:r w:rsidR="0005064B" w:rsidRPr="001B56D4">
          <w:rPr>
            <w:rStyle w:val="Hyperlink"/>
            <w:noProof/>
            <w:lang w:val="en-US"/>
          </w:rPr>
          <w:t>Weights of the economic indicators, as assigned by urban consolidation centre (UCC) stakeholders</w:t>
        </w:r>
        <w:r w:rsidR="0005064B">
          <w:rPr>
            <w:noProof/>
            <w:webHidden/>
          </w:rPr>
          <w:tab/>
        </w:r>
        <w:r w:rsidR="0005064B">
          <w:rPr>
            <w:noProof/>
            <w:webHidden/>
          </w:rPr>
          <w:fldChar w:fldCharType="begin"/>
        </w:r>
        <w:r w:rsidR="0005064B">
          <w:rPr>
            <w:noProof/>
            <w:webHidden/>
          </w:rPr>
          <w:instrText xml:space="preserve"> PAGEREF _Toc66698800 \h </w:instrText>
        </w:r>
        <w:r w:rsidR="0005064B">
          <w:rPr>
            <w:noProof/>
            <w:webHidden/>
          </w:rPr>
        </w:r>
        <w:r w:rsidR="0005064B">
          <w:rPr>
            <w:noProof/>
            <w:webHidden/>
          </w:rPr>
          <w:fldChar w:fldCharType="separate"/>
        </w:r>
        <w:r w:rsidR="0005064B">
          <w:rPr>
            <w:noProof/>
            <w:webHidden/>
          </w:rPr>
          <w:t>159</w:t>
        </w:r>
        <w:r w:rsidR="0005064B">
          <w:rPr>
            <w:noProof/>
            <w:webHidden/>
          </w:rPr>
          <w:fldChar w:fldCharType="end"/>
        </w:r>
      </w:hyperlink>
    </w:p>
    <w:p w14:paraId="01D37CA1" w14:textId="1224EF90" w:rsidR="0005064B" w:rsidRDefault="000306D9" w:rsidP="00497D07">
      <w:pPr>
        <w:pStyle w:val="TableofFigures"/>
        <w:tabs>
          <w:tab w:val="right" w:leader="dot" w:pos="9016"/>
        </w:tabs>
        <w:spacing w:line="240" w:lineRule="auto"/>
        <w:rPr>
          <w:rFonts w:asciiTheme="minorHAnsi" w:hAnsiTheme="minorHAnsi"/>
          <w:noProof/>
          <w:sz w:val="22"/>
        </w:rPr>
      </w:pPr>
      <w:hyperlink w:anchor="_Toc66698801" w:history="1">
        <w:r w:rsidR="0005064B" w:rsidRPr="001B56D4">
          <w:rPr>
            <w:rStyle w:val="Hyperlink"/>
            <w:noProof/>
          </w:rPr>
          <w:t>Table 6</w:t>
        </w:r>
        <w:r w:rsidR="0005064B" w:rsidRPr="001B56D4">
          <w:rPr>
            <w:rStyle w:val="Hyperlink"/>
            <w:noProof/>
          </w:rPr>
          <w:noBreakHyphen/>
          <w:t>8</w:t>
        </w:r>
        <w:r w:rsidR="0005064B" w:rsidRPr="001B56D4">
          <w:rPr>
            <w:rStyle w:val="Hyperlink"/>
            <w:rFonts w:eastAsia="Times New Roman"/>
            <w:bCs/>
            <w:noProof/>
            <w:kern w:val="2"/>
            <w:lang w:val="en-US"/>
          </w:rPr>
          <w:t>: Weights of the environmental indicators, as assigned by urban consolidation centre (UCC) stakeholders</w:t>
        </w:r>
        <w:r w:rsidR="0005064B">
          <w:rPr>
            <w:noProof/>
            <w:webHidden/>
          </w:rPr>
          <w:tab/>
        </w:r>
        <w:r w:rsidR="0005064B">
          <w:rPr>
            <w:noProof/>
            <w:webHidden/>
          </w:rPr>
          <w:fldChar w:fldCharType="begin"/>
        </w:r>
        <w:r w:rsidR="0005064B">
          <w:rPr>
            <w:noProof/>
            <w:webHidden/>
          </w:rPr>
          <w:instrText xml:space="preserve"> PAGEREF _Toc66698801 \h </w:instrText>
        </w:r>
        <w:r w:rsidR="0005064B">
          <w:rPr>
            <w:noProof/>
            <w:webHidden/>
          </w:rPr>
        </w:r>
        <w:r w:rsidR="0005064B">
          <w:rPr>
            <w:noProof/>
            <w:webHidden/>
          </w:rPr>
          <w:fldChar w:fldCharType="separate"/>
        </w:r>
        <w:r w:rsidR="0005064B">
          <w:rPr>
            <w:noProof/>
            <w:webHidden/>
          </w:rPr>
          <w:t>159</w:t>
        </w:r>
        <w:r w:rsidR="0005064B">
          <w:rPr>
            <w:noProof/>
            <w:webHidden/>
          </w:rPr>
          <w:fldChar w:fldCharType="end"/>
        </w:r>
      </w:hyperlink>
    </w:p>
    <w:p w14:paraId="2960E669" w14:textId="7200C160" w:rsidR="0005064B" w:rsidRDefault="000306D9" w:rsidP="00497D07">
      <w:pPr>
        <w:pStyle w:val="TableofFigures"/>
        <w:tabs>
          <w:tab w:val="right" w:leader="dot" w:pos="9016"/>
        </w:tabs>
        <w:spacing w:line="240" w:lineRule="auto"/>
        <w:rPr>
          <w:rFonts w:asciiTheme="minorHAnsi" w:hAnsiTheme="minorHAnsi"/>
          <w:noProof/>
          <w:sz w:val="22"/>
        </w:rPr>
      </w:pPr>
      <w:hyperlink w:anchor="_Toc66698802" w:history="1">
        <w:r w:rsidR="0005064B" w:rsidRPr="001B56D4">
          <w:rPr>
            <w:rStyle w:val="Hyperlink"/>
            <w:noProof/>
          </w:rPr>
          <w:t>Table 6</w:t>
        </w:r>
        <w:r w:rsidR="0005064B" w:rsidRPr="001B56D4">
          <w:rPr>
            <w:rStyle w:val="Hyperlink"/>
            <w:noProof/>
          </w:rPr>
          <w:noBreakHyphen/>
          <w:t>9</w:t>
        </w:r>
        <w:r w:rsidR="0005064B" w:rsidRPr="001B56D4">
          <w:rPr>
            <w:rStyle w:val="Hyperlink"/>
            <w:rFonts w:eastAsia="Times New Roman"/>
            <w:bCs/>
            <w:noProof/>
            <w:kern w:val="2"/>
            <w:lang w:val="en-US"/>
          </w:rPr>
          <w:t>: Weights of the social indicators, as assigned by urban consolidation centre (UCC) stakeholders</w:t>
        </w:r>
        <w:r w:rsidR="0005064B">
          <w:rPr>
            <w:noProof/>
            <w:webHidden/>
          </w:rPr>
          <w:tab/>
        </w:r>
        <w:r w:rsidR="0005064B">
          <w:rPr>
            <w:noProof/>
            <w:webHidden/>
          </w:rPr>
          <w:fldChar w:fldCharType="begin"/>
        </w:r>
        <w:r w:rsidR="0005064B">
          <w:rPr>
            <w:noProof/>
            <w:webHidden/>
          </w:rPr>
          <w:instrText xml:space="preserve"> PAGEREF _Toc66698802 \h </w:instrText>
        </w:r>
        <w:r w:rsidR="0005064B">
          <w:rPr>
            <w:noProof/>
            <w:webHidden/>
          </w:rPr>
        </w:r>
        <w:r w:rsidR="0005064B">
          <w:rPr>
            <w:noProof/>
            <w:webHidden/>
          </w:rPr>
          <w:fldChar w:fldCharType="separate"/>
        </w:r>
        <w:r w:rsidR="0005064B">
          <w:rPr>
            <w:noProof/>
            <w:webHidden/>
          </w:rPr>
          <w:t>160</w:t>
        </w:r>
        <w:r w:rsidR="0005064B">
          <w:rPr>
            <w:noProof/>
            <w:webHidden/>
          </w:rPr>
          <w:fldChar w:fldCharType="end"/>
        </w:r>
      </w:hyperlink>
    </w:p>
    <w:p w14:paraId="05740D49" w14:textId="22BFE192" w:rsidR="0005064B" w:rsidRDefault="000306D9" w:rsidP="00497D07">
      <w:pPr>
        <w:pStyle w:val="TableofFigures"/>
        <w:tabs>
          <w:tab w:val="right" w:leader="dot" w:pos="9016"/>
        </w:tabs>
        <w:spacing w:line="240" w:lineRule="auto"/>
        <w:rPr>
          <w:rFonts w:asciiTheme="minorHAnsi" w:hAnsiTheme="minorHAnsi"/>
          <w:noProof/>
          <w:sz w:val="22"/>
        </w:rPr>
      </w:pPr>
      <w:hyperlink w:anchor="_Toc66698803" w:history="1">
        <w:r w:rsidR="0005064B" w:rsidRPr="001B56D4">
          <w:rPr>
            <w:rStyle w:val="Hyperlink"/>
            <w:noProof/>
          </w:rPr>
          <w:t>Table 6</w:t>
        </w:r>
        <w:r w:rsidR="0005064B" w:rsidRPr="001B56D4">
          <w:rPr>
            <w:rStyle w:val="Hyperlink"/>
            <w:noProof/>
          </w:rPr>
          <w:noBreakHyphen/>
          <w:t>10</w:t>
        </w:r>
        <w:r w:rsidR="0005064B" w:rsidRPr="001B56D4">
          <w:rPr>
            <w:rStyle w:val="Hyperlink"/>
            <w:noProof/>
            <w:lang w:val="en-US"/>
          </w:rPr>
          <w:t>: Analytic hierarchy process method (AHP) final scores and stakeholder rankings</w:t>
        </w:r>
        <w:r w:rsidR="0005064B">
          <w:rPr>
            <w:noProof/>
            <w:webHidden/>
          </w:rPr>
          <w:tab/>
        </w:r>
        <w:r w:rsidR="0005064B">
          <w:rPr>
            <w:noProof/>
            <w:webHidden/>
          </w:rPr>
          <w:fldChar w:fldCharType="begin"/>
        </w:r>
        <w:r w:rsidR="0005064B">
          <w:rPr>
            <w:noProof/>
            <w:webHidden/>
          </w:rPr>
          <w:instrText xml:space="preserve"> PAGEREF _Toc66698803 \h </w:instrText>
        </w:r>
        <w:r w:rsidR="0005064B">
          <w:rPr>
            <w:noProof/>
            <w:webHidden/>
          </w:rPr>
        </w:r>
        <w:r w:rsidR="0005064B">
          <w:rPr>
            <w:noProof/>
            <w:webHidden/>
          </w:rPr>
          <w:fldChar w:fldCharType="separate"/>
        </w:r>
        <w:r w:rsidR="0005064B">
          <w:rPr>
            <w:noProof/>
            <w:webHidden/>
          </w:rPr>
          <w:t>162</w:t>
        </w:r>
        <w:r w:rsidR="0005064B">
          <w:rPr>
            <w:noProof/>
            <w:webHidden/>
          </w:rPr>
          <w:fldChar w:fldCharType="end"/>
        </w:r>
      </w:hyperlink>
    </w:p>
    <w:p w14:paraId="502E6A68" w14:textId="189C3657" w:rsidR="0005064B" w:rsidRDefault="000306D9" w:rsidP="00497D07">
      <w:pPr>
        <w:pStyle w:val="TableofFigures"/>
        <w:tabs>
          <w:tab w:val="right" w:leader="dot" w:pos="9016"/>
        </w:tabs>
        <w:spacing w:line="240" w:lineRule="auto"/>
        <w:rPr>
          <w:rFonts w:asciiTheme="minorHAnsi" w:hAnsiTheme="minorHAnsi"/>
          <w:noProof/>
          <w:sz w:val="22"/>
        </w:rPr>
      </w:pPr>
      <w:hyperlink w:anchor="_Toc66698804" w:history="1">
        <w:r w:rsidR="0005064B" w:rsidRPr="001B56D4">
          <w:rPr>
            <w:rStyle w:val="Hyperlink"/>
            <w:noProof/>
          </w:rPr>
          <w:t>Table 6</w:t>
        </w:r>
        <w:r w:rsidR="0005064B" w:rsidRPr="001B56D4">
          <w:rPr>
            <w:rStyle w:val="Hyperlink"/>
            <w:noProof/>
          </w:rPr>
          <w:noBreakHyphen/>
          <w:t>11</w:t>
        </w:r>
        <w:r w:rsidR="0005064B" w:rsidRPr="001B56D4">
          <w:rPr>
            <w:rStyle w:val="Hyperlink"/>
            <w:rFonts w:eastAsia="Times New Roman"/>
            <w:bCs/>
            <w:noProof/>
            <w:kern w:val="2"/>
            <w:lang w:val="en-US"/>
          </w:rPr>
          <w:t>: Correlation coefficient for stakeholder preference in Case 1</w:t>
        </w:r>
        <w:r w:rsidR="0005064B">
          <w:rPr>
            <w:noProof/>
            <w:webHidden/>
          </w:rPr>
          <w:tab/>
        </w:r>
        <w:r w:rsidR="0005064B">
          <w:rPr>
            <w:noProof/>
            <w:webHidden/>
          </w:rPr>
          <w:fldChar w:fldCharType="begin"/>
        </w:r>
        <w:r w:rsidR="0005064B">
          <w:rPr>
            <w:noProof/>
            <w:webHidden/>
          </w:rPr>
          <w:instrText xml:space="preserve"> PAGEREF _Toc66698804 \h </w:instrText>
        </w:r>
        <w:r w:rsidR="0005064B">
          <w:rPr>
            <w:noProof/>
            <w:webHidden/>
          </w:rPr>
        </w:r>
        <w:r w:rsidR="0005064B">
          <w:rPr>
            <w:noProof/>
            <w:webHidden/>
          </w:rPr>
          <w:fldChar w:fldCharType="separate"/>
        </w:r>
        <w:r w:rsidR="0005064B">
          <w:rPr>
            <w:noProof/>
            <w:webHidden/>
          </w:rPr>
          <w:t>163</w:t>
        </w:r>
        <w:r w:rsidR="0005064B">
          <w:rPr>
            <w:noProof/>
            <w:webHidden/>
          </w:rPr>
          <w:fldChar w:fldCharType="end"/>
        </w:r>
      </w:hyperlink>
    </w:p>
    <w:p w14:paraId="1FB4FD29" w14:textId="5BECF8F4" w:rsidR="0005064B" w:rsidRDefault="000306D9" w:rsidP="00497D07">
      <w:pPr>
        <w:pStyle w:val="TableofFigures"/>
        <w:tabs>
          <w:tab w:val="right" w:leader="dot" w:pos="9016"/>
        </w:tabs>
        <w:spacing w:line="240" w:lineRule="auto"/>
        <w:rPr>
          <w:rFonts w:asciiTheme="minorHAnsi" w:hAnsiTheme="minorHAnsi"/>
          <w:noProof/>
          <w:sz w:val="22"/>
        </w:rPr>
      </w:pPr>
      <w:hyperlink w:anchor="_Toc66698805" w:history="1">
        <w:r w:rsidR="0005064B" w:rsidRPr="001B56D4">
          <w:rPr>
            <w:rStyle w:val="Hyperlink"/>
            <w:noProof/>
          </w:rPr>
          <w:t>Table 6</w:t>
        </w:r>
        <w:r w:rsidR="0005064B" w:rsidRPr="001B56D4">
          <w:rPr>
            <w:rStyle w:val="Hyperlink"/>
            <w:noProof/>
          </w:rPr>
          <w:noBreakHyphen/>
          <w:t>12</w:t>
        </w:r>
        <w:r w:rsidR="0005064B" w:rsidRPr="001B56D4">
          <w:rPr>
            <w:rStyle w:val="Hyperlink"/>
            <w:rFonts w:eastAsia="Times New Roman"/>
            <w:bCs/>
            <w:noProof/>
            <w:kern w:val="2"/>
            <w:lang w:val="en-US"/>
          </w:rPr>
          <w:t>: Correlation coefficient for stakeholder preference in Case 2</w:t>
        </w:r>
        <w:r w:rsidR="0005064B">
          <w:rPr>
            <w:noProof/>
            <w:webHidden/>
          </w:rPr>
          <w:tab/>
        </w:r>
        <w:r w:rsidR="0005064B">
          <w:rPr>
            <w:noProof/>
            <w:webHidden/>
          </w:rPr>
          <w:fldChar w:fldCharType="begin"/>
        </w:r>
        <w:r w:rsidR="0005064B">
          <w:rPr>
            <w:noProof/>
            <w:webHidden/>
          </w:rPr>
          <w:instrText xml:space="preserve"> PAGEREF _Toc66698805 \h </w:instrText>
        </w:r>
        <w:r w:rsidR="0005064B">
          <w:rPr>
            <w:noProof/>
            <w:webHidden/>
          </w:rPr>
        </w:r>
        <w:r w:rsidR="0005064B">
          <w:rPr>
            <w:noProof/>
            <w:webHidden/>
          </w:rPr>
          <w:fldChar w:fldCharType="separate"/>
        </w:r>
        <w:r w:rsidR="0005064B">
          <w:rPr>
            <w:noProof/>
            <w:webHidden/>
          </w:rPr>
          <w:t>163</w:t>
        </w:r>
        <w:r w:rsidR="0005064B">
          <w:rPr>
            <w:noProof/>
            <w:webHidden/>
          </w:rPr>
          <w:fldChar w:fldCharType="end"/>
        </w:r>
      </w:hyperlink>
    </w:p>
    <w:p w14:paraId="7D60DE84" w14:textId="72A82207" w:rsidR="0005064B" w:rsidRDefault="000306D9" w:rsidP="00497D07">
      <w:pPr>
        <w:pStyle w:val="TableofFigures"/>
        <w:tabs>
          <w:tab w:val="right" w:leader="dot" w:pos="9016"/>
        </w:tabs>
        <w:spacing w:line="240" w:lineRule="auto"/>
        <w:rPr>
          <w:rFonts w:asciiTheme="minorHAnsi" w:hAnsiTheme="minorHAnsi"/>
          <w:noProof/>
          <w:sz w:val="22"/>
        </w:rPr>
      </w:pPr>
      <w:hyperlink w:anchor="_Toc66698806" w:history="1">
        <w:r w:rsidR="0005064B" w:rsidRPr="001B56D4">
          <w:rPr>
            <w:rStyle w:val="Hyperlink"/>
            <w:noProof/>
          </w:rPr>
          <w:t>Table 6</w:t>
        </w:r>
        <w:r w:rsidR="0005064B" w:rsidRPr="001B56D4">
          <w:rPr>
            <w:rStyle w:val="Hyperlink"/>
            <w:noProof/>
          </w:rPr>
          <w:noBreakHyphen/>
          <w:t>13: Correlation coefficient for stakeholder preference in Case 3</w:t>
        </w:r>
        <w:r w:rsidR="0005064B">
          <w:rPr>
            <w:noProof/>
            <w:webHidden/>
          </w:rPr>
          <w:tab/>
        </w:r>
        <w:r w:rsidR="0005064B">
          <w:rPr>
            <w:noProof/>
            <w:webHidden/>
          </w:rPr>
          <w:fldChar w:fldCharType="begin"/>
        </w:r>
        <w:r w:rsidR="0005064B">
          <w:rPr>
            <w:noProof/>
            <w:webHidden/>
          </w:rPr>
          <w:instrText xml:space="preserve"> PAGEREF _Toc66698806 \h </w:instrText>
        </w:r>
        <w:r w:rsidR="0005064B">
          <w:rPr>
            <w:noProof/>
            <w:webHidden/>
          </w:rPr>
        </w:r>
        <w:r w:rsidR="0005064B">
          <w:rPr>
            <w:noProof/>
            <w:webHidden/>
          </w:rPr>
          <w:fldChar w:fldCharType="separate"/>
        </w:r>
        <w:r w:rsidR="0005064B">
          <w:rPr>
            <w:noProof/>
            <w:webHidden/>
          </w:rPr>
          <w:t>164</w:t>
        </w:r>
        <w:r w:rsidR="0005064B">
          <w:rPr>
            <w:noProof/>
            <w:webHidden/>
          </w:rPr>
          <w:fldChar w:fldCharType="end"/>
        </w:r>
      </w:hyperlink>
    </w:p>
    <w:p w14:paraId="084558E1" w14:textId="263CD73A" w:rsidR="0005064B" w:rsidRDefault="000306D9" w:rsidP="00497D07">
      <w:pPr>
        <w:pStyle w:val="TableofFigures"/>
        <w:tabs>
          <w:tab w:val="right" w:leader="dot" w:pos="9016"/>
        </w:tabs>
        <w:spacing w:line="240" w:lineRule="auto"/>
        <w:rPr>
          <w:rFonts w:asciiTheme="minorHAnsi" w:hAnsiTheme="minorHAnsi"/>
          <w:noProof/>
          <w:sz w:val="22"/>
        </w:rPr>
      </w:pPr>
      <w:hyperlink w:anchor="_Toc66698807" w:history="1">
        <w:r w:rsidR="0005064B" w:rsidRPr="001B56D4">
          <w:rPr>
            <w:rStyle w:val="Hyperlink"/>
            <w:noProof/>
          </w:rPr>
          <w:t>Table 6</w:t>
        </w:r>
        <w:r w:rsidR="0005064B" w:rsidRPr="001B56D4">
          <w:rPr>
            <w:rStyle w:val="Hyperlink"/>
            <w:noProof/>
          </w:rPr>
          <w:noBreakHyphen/>
          <w:t>14</w:t>
        </w:r>
        <w:r w:rsidR="0005064B" w:rsidRPr="001B56D4">
          <w:rPr>
            <w:rStyle w:val="Hyperlink"/>
            <w:rFonts w:eastAsia="Times New Roman"/>
            <w:bCs/>
            <w:noProof/>
            <w:kern w:val="2"/>
            <w:lang w:val="en-US"/>
          </w:rPr>
          <w:t>: Correlation coefficient for stakeholder preference in Case 4</w:t>
        </w:r>
        <w:r w:rsidR="0005064B">
          <w:rPr>
            <w:noProof/>
            <w:webHidden/>
          </w:rPr>
          <w:tab/>
        </w:r>
        <w:r w:rsidR="0005064B">
          <w:rPr>
            <w:noProof/>
            <w:webHidden/>
          </w:rPr>
          <w:fldChar w:fldCharType="begin"/>
        </w:r>
        <w:r w:rsidR="0005064B">
          <w:rPr>
            <w:noProof/>
            <w:webHidden/>
          </w:rPr>
          <w:instrText xml:space="preserve"> PAGEREF _Toc66698807 \h </w:instrText>
        </w:r>
        <w:r w:rsidR="0005064B">
          <w:rPr>
            <w:noProof/>
            <w:webHidden/>
          </w:rPr>
        </w:r>
        <w:r w:rsidR="0005064B">
          <w:rPr>
            <w:noProof/>
            <w:webHidden/>
          </w:rPr>
          <w:fldChar w:fldCharType="separate"/>
        </w:r>
        <w:r w:rsidR="0005064B">
          <w:rPr>
            <w:noProof/>
            <w:webHidden/>
          </w:rPr>
          <w:t>164</w:t>
        </w:r>
        <w:r w:rsidR="0005064B">
          <w:rPr>
            <w:noProof/>
            <w:webHidden/>
          </w:rPr>
          <w:fldChar w:fldCharType="end"/>
        </w:r>
      </w:hyperlink>
    </w:p>
    <w:p w14:paraId="676F6B01" w14:textId="0A8A7740" w:rsidR="0005064B" w:rsidRDefault="000306D9" w:rsidP="00497D07">
      <w:pPr>
        <w:pStyle w:val="TableofFigures"/>
        <w:tabs>
          <w:tab w:val="right" w:leader="dot" w:pos="9016"/>
        </w:tabs>
        <w:spacing w:line="240" w:lineRule="auto"/>
        <w:rPr>
          <w:rFonts w:asciiTheme="minorHAnsi" w:hAnsiTheme="minorHAnsi"/>
          <w:noProof/>
          <w:sz w:val="22"/>
        </w:rPr>
      </w:pPr>
      <w:hyperlink w:anchor="_Toc66698808" w:history="1">
        <w:r w:rsidR="0005064B" w:rsidRPr="001B56D4">
          <w:rPr>
            <w:rStyle w:val="Hyperlink"/>
            <w:noProof/>
          </w:rPr>
          <w:t>Table 7</w:t>
        </w:r>
        <w:r w:rsidR="0005064B" w:rsidRPr="001B56D4">
          <w:rPr>
            <w:rStyle w:val="Hyperlink"/>
            <w:noProof/>
          </w:rPr>
          <w:noBreakHyphen/>
          <w:t>1: Properties of the cost allocation rules</w:t>
        </w:r>
        <w:r w:rsidR="0005064B">
          <w:rPr>
            <w:noProof/>
            <w:webHidden/>
          </w:rPr>
          <w:tab/>
        </w:r>
        <w:r w:rsidR="0005064B">
          <w:rPr>
            <w:noProof/>
            <w:webHidden/>
          </w:rPr>
          <w:fldChar w:fldCharType="begin"/>
        </w:r>
        <w:r w:rsidR="0005064B">
          <w:rPr>
            <w:noProof/>
            <w:webHidden/>
          </w:rPr>
          <w:instrText xml:space="preserve"> PAGEREF _Toc66698808 \h </w:instrText>
        </w:r>
        <w:r w:rsidR="0005064B">
          <w:rPr>
            <w:noProof/>
            <w:webHidden/>
          </w:rPr>
        </w:r>
        <w:r w:rsidR="0005064B">
          <w:rPr>
            <w:noProof/>
            <w:webHidden/>
          </w:rPr>
          <w:fldChar w:fldCharType="separate"/>
        </w:r>
        <w:r w:rsidR="0005064B">
          <w:rPr>
            <w:noProof/>
            <w:webHidden/>
          </w:rPr>
          <w:t>176</w:t>
        </w:r>
        <w:r w:rsidR="0005064B">
          <w:rPr>
            <w:noProof/>
            <w:webHidden/>
          </w:rPr>
          <w:fldChar w:fldCharType="end"/>
        </w:r>
      </w:hyperlink>
    </w:p>
    <w:p w14:paraId="3868F934" w14:textId="3E1E497B" w:rsidR="0005064B" w:rsidRDefault="000306D9" w:rsidP="00497D07">
      <w:pPr>
        <w:pStyle w:val="TableofFigures"/>
        <w:tabs>
          <w:tab w:val="right" w:leader="dot" w:pos="9016"/>
        </w:tabs>
        <w:spacing w:line="240" w:lineRule="auto"/>
        <w:rPr>
          <w:rFonts w:asciiTheme="minorHAnsi" w:hAnsiTheme="minorHAnsi"/>
          <w:noProof/>
          <w:sz w:val="22"/>
        </w:rPr>
      </w:pPr>
      <w:hyperlink w:anchor="_Toc66698809" w:history="1">
        <w:r w:rsidR="0005064B" w:rsidRPr="001B56D4">
          <w:rPr>
            <w:rStyle w:val="Hyperlink"/>
            <w:noProof/>
          </w:rPr>
          <w:t>Table 7</w:t>
        </w:r>
        <w:r w:rsidR="0005064B" w:rsidRPr="001B56D4">
          <w:rPr>
            <w:rStyle w:val="Hyperlink"/>
            <w:noProof/>
          </w:rPr>
          <w:noBreakHyphen/>
          <w:t>2: Structure of operational cost in UCC (Janjevic and Ndiaye, 2017a)</w:t>
        </w:r>
        <w:r w:rsidR="0005064B">
          <w:rPr>
            <w:noProof/>
            <w:webHidden/>
          </w:rPr>
          <w:tab/>
        </w:r>
        <w:r w:rsidR="0005064B">
          <w:rPr>
            <w:noProof/>
            <w:webHidden/>
          </w:rPr>
          <w:fldChar w:fldCharType="begin"/>
        </w:r>
        <w:r w:rsidR="0005064B">
          <w:rPr>
            <w:noProof/>
            <w:webHidden/>
          </w:rPr>
          <w:instrText xml:space="preserve"> PAGEREF _Toc66698809 \h </w:instrText>
        </w:r>
        <w:r w:rsidR="0005064B">
          <w:rPr>
            <w:noProof/>
            <w:webHidden/>
          </w:rPr>
        </w:r>
        <w:r w:rsidR="0005064B">
          <w:rPr>
            <w:noProof/>
            <w:webHidden/>
          </w:rPr>
          <w:fldChar w:fldCharType="separate"/>
        </w:r>
        <w:r w:rsidR="0005064B">
          <w:rPr>
            <w:noProof/>
            <w:webHidden/>
          </w:rPr>
          <w:t>178</w:t>
        </w:r>
        <w:r w:rsidR="0005064B">
          <w:rPr>
            <w:noProof/>
            <w:webHidden/>
          </w:rPr>
          <w:fldChar w:fldCharType="end"/>
        </w:r>
      </w:hyperlink>
    </w:p>
    <w:p w14:paraId="2E2D12B0" w14:textId="2F022700" w:rsidR="0005064B" w:rsidRDefault="000306D9" w:rsidP="00497D07">
      <w:pPr>
        <w:pStyle w:val="TableofFigures"/>
        <w:tabs>
          <w:tab w:val="right" w:leader="dot" w:pos="9016"/>
        </w:tabs>
        <w:spacing w:line="240" w:lineRule="auto"/>
        <w:rPr>
          <w:rFonts w:asciiTheme="minorHAnsi" w:hAnsiTheme="minorHAnsi"/>
          <w:noProof/>
          <w:sz w:val="22"/>
        </w:rPr>
      </w:pPr>
      <w:hyperlink w:anchor="_Toc66698810" w:history="1">
        <w:r w:rsidR="0005064B" w:rsidRPr="001B56D4">
          <w:rPr>
            <w:rStyle w:val="Hyperlink"/>
            <w:rFonts w:cs="Times New Roman"/>
            <w:noProof/>
          </w:rPr>
          <w:t>Table 7</w:t>
        </w:r>
        <w:r w:rsidR="0005064B" w:rsidRPr="001B56D4">
          <w:rPr>
            <w:rStyle w:val="Hyperlink"/>
            <w:rFonts w:cs="Times New Roman"/>
            <w:noProof/>
          </w:rPr>
          <w:noBreakHyphen/>
          <w:t>3: Costs for LHCs - direct delivery and UCC delivery (Janjevic and Ndiaye, 2017b)</w:t>
        </w:r>
        <w:r w:rsidR="0005064B">
          <w:rPr>
            <w:noProof/>
            <w:webHidden/>
          </w:rPr>
          <w:tab/>
        </w:r>
        <w:r w:rsidR="0005064B">
          <w:rPr>
            <w:noProof/>
            <w:webHidden/>
          </w:rPr>
          <w:fldChar w:fldCharType="begin"/>
        </w:r>
        <w:r w:rsidR="0005064B">
          <w:rPr>
            <w:noProof/>
            <w:webHidden/>
          </w:rPr>
          <w:instrText xml:space="preserve"> PAGEREF _Toc66698810 \h </w:instrText>
        </w:r>
        <w:r w:rsidR="0005064B">
          <w:rPr>
            <w:noProof/>
            <w:webHidden/>
          </w:rPr>
        </w:r>
        <w:r w:rsidR="0005064B">
          <w:rPr>
            <w:noProof/>
            <w:webHidden/>
          </w:rPr>
          <w:fldChar w:fldCharType="separate"/>
        </w:r>
        <w:r w:rsidR="0005064B">
          <w:rPr>
            <w:noProof/>
            <w:webHidden/>
          </w:rPr>
          <w:t>179</w:t>
        </w:r>
        <w:r w:rsidR="0005064B">
          <w:rPr>
            <w:noProof/>
            <w:webHidden/>
          </w:rPr>
          <w:fldChar w:fldCharType="end"/>
        </w:r>
      </w:hyperlink>
    </w:p>
    <w:p w14:paraId="1232B8C4" w14:textId="775935C3" w:rsidR="0005064B" w:rsidRDefault="000306D9" w:rsidP="00497D07">
      <w:pPr>
        <w:pStyle w:val="TableofFigures"/>
        <w:tabs>
          <w:tab w:val="right" w:leader="dot" w:pos="9016"/>
        </w:tabs>
        <w:spacing w:line="240" w:lineRule="auto"/>
        <w:rPr>
          <w:rFonts w:asciiTheme="minorHAnsi" w:hAnsiTheme="minorHAnsi"/>
          <w:noProof/>
          <w:sz w:val="22"/>
        </w:rPr>
      </w:pPr>
      <w:hyperlink w:anchor="_Toc66698811" w:history="1">
        <w:r w:rsidR="0005064B" w:rsidRPr="001B56D4">
          <w:rPr>
            <w:rStyle w:val="Hyperlink"/>
            <w:noProof/>
          </w:rPr>
          <w:t>Table 7</w:t>
        </w:r>
        <w:r w:rsidR="0005064B" w:rsidRPr="001B56D4">
          <w:rPr>
            <w:rStyle w:val="Hyperlink"/>
            <w:noProof/>
          </w:rPr>
          <w:noBreakHyphen/>
          <w:t>4: GMP costs to be shared by Stakeholders (€/parcel)</w:t>
        </w:r>
        <w:r w:rsidR="0005064B">
          <w:rPr>
            <w:noProof/>
            <w:webHidden/>
          </w:rPr>
          <w:tab/>
        </w:r>
        <w:r w:rsidR="0005064B">
          <w:rPr>
            <w:noProof/>
            <w:webHidden/>
          </w:rPr>
          <w:fldChar w:fldCharType="begin"/>
        </w:r>
        <w:r w:rsidR="0005064B">
          <w:rPr>
            <w:noProof/>
            <w:webHidden/>
          </w:rPr>
          <w:instrText xml:space="preserve"> PAGEREF _Toc66698811 \h </w:instrText>
        </w:r>
        <w:r w:rsidR="0005064B">
          <w:rPr>
            <w:noProof/>
            <w:webHidden/>
          </w:rPr>
        </w:r>
        <w:r w:rsidR="0005064B">
          <w:rPr>
            <w:noProof/>
            <w:webHidden/>
          </w:rPr>
          <w:fldChar w:fldCharType="separate"/>
        </w:r>
        <w:r w:rsidR="0005064B">
          <w:rPr>
            <w:noProof/>
            <w:webHidden/>
          </w:rPr>
          <w:t>180</w:t>
        </w:r>
        <w:r w:rsidR="0005064B">
          <w:rPr>
            <w:noProof/>
            <w:webHidden/>
          </w:rPr>
          <w:fldChar w:fldCharType="end"/>
        </w:r>
      </w:hyperlink>
    </w:p>
    <w:p w14:paraId="3EE6EDFA" w14:textId="2A52245E" w:rsidR="0005064B" w:rsidRDefault="000306D9" w:rsidP="00497D07">
      <w:pPr>
        <w:pStyle w:val="TableofFigures"/>
        <w:tabs>
          <w:tab w:val="right" w:leader="dot" w:pos="9016"/>
        </w:tabs>
        <w:spacing w:line="240" w:lineRule="auto"/>
        <w:rPr>
          <w:rFonts w:asciiTheme="minorHAnsi" w:hAnsiTheme="minorHAnsi"/>
          <w:noProof/>
          <w:sz w:val="22"/>
        </w:rPr>
      </w:pPr>
      <w:hyperlink w:anchor="_Toc66698812" w:history="1">
        <w:r w:rsidR="0005064B" w:rsidRPr="001B56D4">
          <w:rPr>
            <w:rStyle w:val="Hyperlink"/>
            <w:noProof/>
          </w:rPr>
          <w:t>Table 7</w:t>
        </w:r>
        <w:r w:rsidR="0005064B" w:rsidRPr="001B56D4">
          <w:rPr>
            <w:rStyle w:val="Hyperlink"/>
            <w:noProof/>
          </w:rPr>
          <w:noBreakHyphen/>
          <w:t>5: Cost Allocation According to LRS, UES, and DES rules (€/parcel)</w:t>
        </w:r>
        <w:r w:rsidR="0005064B">
          <w:rPr>
            <w:noProof/>
            <w:webHidden/>
          </w:rPr>
          <w:tab/>
        </w:r>
        <w:r w:rsidR="0005064B">
          <w:rPr>
            <w:noProof/>
            <w:webHidden/>
          </w:rPr>
          <w:fldChar w:fldCharType="begin"/>
        </w:r>
        <w:r w:rsidR="0005064B">
          <w:rPr>
            <w:noProof/>
            <w:webHidden/>
          </w:rPr>
          <w:instrText xml:space="preserve"> PAGEREF _Toc66698812 \h </w:instrText>
        </w:r>
        <w:r w:rsidR="0005064B">
          <w:rPr>
            <w:noProof/>
            <w:webHidden/>
          </w:rPr>
        </w:r>
        <w:r w:rsidR="0005064B">
          <w:rPr>
            <w:noProof/>
            <w:webHidden/>
          </w:rPr>
          <w:fldChar w:fldCharType="separate"/>
        </w:r>
        <w:r w:rsidR="0005064B">
          <w:rPr>
            <w:noProof/>
            <w:webHidden/>
          </w:rPr>
          <w:t>180</w:t>
        </w:r>
        <w:r w:rsidR="0005064B">
          <w:rPr>
            <w:noProof/>
            <w:webHidden/>
          </w:rPr>
          <w:fldChar w:fldCharType="end"/>
        </w:r>
      </w:hyperlink>
    </w:p>
    <w:p w14:paraId="3C446131" w14:textId="438AC075" w:rsidR="0005064B" w:rsidRDefault="000306D9" w:rsidP="00497D07">
      <w:pPr>
        <w:pStyle w:val="TableofFigures"/>
        <w:tabs>
          <w:tab w:val="right" w:leader="dot" w:pos="9016"/>
        </w:tabs>
        <w:spacing w:line="240" w:lineRule="auto"/>
        <w:rPr>
          <w:rFonts w:asciiTheme="minorHAnsi" w:hAnsiTheme="minorHAnsi"/>
          <w:noProof/>
          <w:sz w:val="22"/>
        </w:rPr>
      </w:pPr>
      <w:hyperlink w:anchor="_Toc66698813" w:history="1">
        <w:r w:rsidR="0005064B" w:rsidRPr="001B56D4">
          <w:rPr>
            <w:rStyle w:val="Hyperlink"/>
            <w:noProof/>
          </w:rPr>
          <w:t>Table 7</w:t>
        </w:r>
        <w:r w:rsidR="0005064B" w:rsidRPr="001B56D4">
          <w:rPr>
            <w:rStyle w:val="Hyperlink"/>
            <w:noProof/>
          </w:rPr>
          <w:noBreakHyphen/>
          <w:t>6: Composite Cost Allocation Rules (€/parcel)</w:t>
        </w:r>
        <w:r w:rsidR="0005064B">
          <w:rPr>
            <w:noProof/>
            <w:webHidden/>
          </w:rPr>
          <w:tab/>
        </w:r>
        <w:r w:rsidR="0005064B">
          <w:rPr>
            <w:noProof/>
            <w:webHidden/>
          </w:rPr>
          <w:fldChar w:fldCharType="begin"/>
        </w:r>
        <w:r w:rsidR="0005064B">
          <w:rPr>
            <w:noProof/>
            <w:webHidden/>
          </w:rPr>
          <w:instrText xml:space="preserve"> PAGEREF _Toc66698813 \h </w:instrText>
        </w:r>
        <w:r w:rsidR="0005064B">
          <w:rPr>
            <w:noProof/>
            <w:webHidden/>
          </w:rPr>
        </w:r>
        <w:r w:rsidR="0005064B">
          <w:rPr>
            <w:noProof/>
            <w:webHidden/>
          </w:rPr>
          <w:fldChar w:fldCharType="separate"/>
        </w:r>
        <w:r w:rsidR="0005064B">
          <w:rPr>
            <w:noProof/>
            <w:webHidden/>
          </w:rPr>
          <w:t>181</w:t>
        </w:r>
        <w:r w:rsidR="0005064B">
          <w:rPr>
            <w:noProof/>
            <w:webHidden/>
          </w:rPr>
          <w:fldChar w:fldCharType="end"/>
        </w:r>
      </w:hyperlink>
    </w:p>
    <w:p w14:paraId="265178AF" w14:textId="3638B3D6" w:rsidR="0005064B" w:rsidRDefault="000306D9" w:rsidP="00497D07">
      <w:pPr>
        <w:pStyle w:val="TableofFigures"/>
        <w:tabs>
          <w:tab w:val="right" w:leader="dot" w:pos="9016"/>
        </w:tabs>
        <w:spacing w:line="240" w:lineRule="auto"/>
        <w:rPr>
          <w:rFonts w:asciiTheme="minorHAnsi" w:hAnsiTheme="minorHAnsi"/>
          <w:noProof/>
          <w:sz w:val="22"/>
        </w:rPr>
      </w:pPr>
      <w:hyperlink w:anchor="_Toc66698814" w:history="1">
        <w:r w:rsidR="0005064B" w:rsidRPr="001B56D4">
          <w:rPr>
            <w:rStyle w:val="Hyperlink"/>
            <w:noProof/>
          </w:rPr>
          <w:t>Table 7</w:t>
        </w:r>
        <w:r w:rsidR="0005064B" w:rsidRPr="001B56D4">
          <w:rPr>
            <w:rStyle w:val="Hyperlink"/>
            <w:noProof/>
          </w:rPr>
          <w:noBreakHyphen/>
          <w:t>7: Cost allocations under the outsourcing strategy without total cost change (€/parcel)</w:t>
        </w:r>
        <w:r w:rsidR="0005064B">
          <w:rPr>
            <w:noProof/>
            <w:webHidden/>
          </w:rPr>
          <w:tab/>
        </w:r>
        <w:r w:rsidR="0005064B">
          <w:rPr>
            <w:noProof/>
            <w:webHidden/>
          </w:rPr>
          <w:fldChar w:fldCharType="begin"/>
        </w:r>
        <w:r w:rsidR="0005064B">
          <w:rPr>
            <w:noProof/>
            <w:webHidden/>
          </w:rPr>
          <w:instrText xml:space="preserve"> PAGEREF _Toc66698814 \h </w:instrText>
        </w:r>
        <w:r w:rsidR="0005064B">
          <w:rPr>
            <w:noProof/>
            <w:webHidden/>
          </w:rPr>
        </w:r>
        <w:r w:rsidR="0005064B">
          <w:rPr>
            <w:noProof/>
            <w:webHidden/>
          </w:rPr>
          <w:fldChar w:fldCharType="separate"/>
        </w:r>
        <w:r w:rsidR="0005064B">
          <w:rPr>
            <w:noProof/>
            <w:webHidden/>
          </w:rPr>
          <w:t>183</w:t>
        </w:r>
        <w:r w:rsidR="0005064B">
          <w:rPr>
            <w:noProof/>
            <w:webHidden/>
          </w:rPr>
          <w:fldChar w:fldCharType="end"/>
        </w:r>
      </w:hyperlink>
    </w:p>
    <w:p w14:paraId="1E8F89EC" w14:textId="74F3EAE3" w:rsidR="0005064B" w:rsidRDefault="000306D9" w:rsidP="00497D07">
      <w:pPr>
        <w:pStyle w:val="TableofFigures"/>
        <w:tabs>
          <w:tab w:val="right" w:leader="dot" w:pos="9016"/>
        </w:tabs>
        <w:spacing w:line="240" w:lineRule="auto"/>
        <w:rPr>
          <w:rFonts w:asciiTheme="minorHAnsi" w:hAnsiTheme="minorHAnsi"/>
          <w:noProof/>
          <w:sz w:val="22"/>
        </w:rPr>
      </w:pPr>
      <w:hyperlink w:anchor="_Toc66698815" w:history="1">
        <w:r w:rsidR="0005064B" w:rsidRPr="001B56D4">
          <w:rPr>
            <w:rStyle w:val="Hyperlink"/>
            <w:noProof/>
          </w:rPr>
          <w:t>Table 7</w:t>
        </w:r>
        <w:r w:rsidR="0005064B" w:rsidRPr="001B56D4">
          <w:rPr>
            <w:rStyle w:val="Hyperlink"/>
            <w:noProof/>
          </w:rPr>
          <w:noBreakHyphen/>
          <w:t>8: Cost Allocation of UCC in Outsourcing Strategy with carriers cost in €2.76/parcel</w:t>
        </w:r>
        <w:r w:rsidR="0005064B">
          <w:rPr>
            <w:noProof/>
            <w:webHidden/>
          </w:rPr>
          <w:tab/>
        </w:r>
        <w:r w:rsidR="0005064B">
          <w:rPr>
            <w:noProof/>
            <w:webHidden/>
          </w:rPr>
          <w:fldChar w:fldCharType="begin"/>
        </w:r>
        <w:r w:rsidR="0005064B">
          <w:rPr>
            <w:noProof/>
            <w:webHidden/>
          </w:rPr>
          <w:instrText xml:space="preserve"> PAGEREF _Toc66698815 \h </w:instrText>
        </w:r>
        <w:r w:rsidR="0005064B">
          <w:rPr>
            <w:noProof/>
            <w:webHidden/>
          </w:rPr>
        </w:r>
        <w:r w:rsidR="0005064B">
          <w:rPr>
            <w:noProof/>
            <w:webHidden/>
          </w:rPr>
          <w:fldChar w:fldCharType="separate"/>
        </w:r>
        <w:r w:rsidR="0005064B">
          <w:rPr>
            <w:noProof/>
            <w:webHidden/>
          </w:rPr>
          <w:t>183</w:t>
        </w:r>
        <w:r w:rsidR="0005064B">
          <w:rPr>
            <w:noProof/>
            <w:webHidden/>
          </w:rPr>
          <w:fldChar w:fldCharType="end"/>
        </w:r>
      </w:hyperlink>
    </w:p>
    <w:p w14:paraId="03AAECFE" w14:textId="430F42F6" w:rsidR="0005064B" w:rsidRDefault="000306D9" w:rsidP="00497D07">
      <w:pPr>
        <w:pStyle w:val="TableofFigures"/>
        <w:tabs>
          <w:tab w:val="right" w:leader="dot" w:pos="9016"/>
        </w:tabs>
        <w:spacing w:line="240" w:lineRule="auto"/>
        <w:rPr>
          <w:rFonts w:asciiTheme="minorHAnsi" w:hAnsiTheme="minorHAnsi"/>
          <w:noProof/>
          <w:sz w:val="22"/>
        </w:rPr>
      </w:pPr>
      <w:hyperlink w:anchor="_Toc66698816" w:history="1">
        <w:r w:rsidR="0005064B" w:rsidRPr="001B56D4">
          <w:rPr>
            <w:rStyle w:val="Hyperlink"/>
            <w:noProof/>
          </w:rPr>
          <w:t>Table 7</w:t>
        </w:r>
        <w:r w:rsidR="0005064B" w:rsidRPr="001B56D4">
          <w:rPr>
            <w:rStyle w:val="Hyperlink"/>
            <w:noProof/>
          </w:rPr>
          <w:noBreakHyphen/>
          <w:t>9: Cost Allocation of UCC in Outsourcing Strategy with carriers cost in €1.48/parcel</w:t>
        </w:r>
        <w:r w:rsidR="0005064B">
          <w:rPr>
            <w:noProof/>
            <w:webHidden/>
          </w:rPr>
          <w:tab/>
        </w:r>
        <w:r w:rsidR="0005064B">
          <w:rPr>
            <w:noProof/>
            <w:webHidden/>
          </w:rPr>
          <w:fldChar w:fldCharType="begin"/>
        </w:r>
        <w:r w:rsidR="0005064B">
          <w:rPr>
            <w:noProof/>
            <w:webHidden/>
          </w:rPr>
          <w:instrText xml:space="preserve"> PAGEREF _Toc66698816 \h </w:instrText>
        </w:r>
        <w:r w:rsidR="0005064B">
          <w:rPr>
            <w:noProof/>
            <w:webHidden/>
          </w:rPr>
        </w:r>
        <w:r w:rsidR="0005064B">
          <w:rPr>
            <w:noProof/>
            <w:webHidden/>
          </w:rPr>
          <w:fldChar w:fldCharType="separate"/>
        </w:r>
        <w:r w:rsidR="0005064B">
          <w:rPr>
            <w:noProof/>
            <w:webHidden/>
          </w:rPr>
          <w:t>184</w:t>
        </w:r>
        <w:r w:rsidR="0005064B">
          <w:rPr>
            <w:noProof/>
            <w:webHidden/>
          </w:rPr>
          <w:fldChar w:fldCharType="end"/>
        </w:r>
      </w:hyperlink>
    </w:p>
    <w:p w14:paraId="4F527FF9" w14:textId="69C6DBCE" w:rsidR="0005064B" w:rsidRDefault="000306D9" w:rsidP="00497D07">
      <w:pPr>
        <w:pStyle w:val="TableofFigures"/>
        <w:tabs>
          <w:tab w:val="right" w:leader="dot" w:pos="9016"/>
        </w:tabs>
        <w:spacing w:line="240" w:lineRule="auto"/>
        <w:rPr>
          <w:rFonts w:asciiTheme="minorHAnsi" w:hAnsiTheme="minorHAnsi"/>
          <w:noProof/>
          <w:sz w:val="22"/>
        </w:rPr>
      </w:pPr>
      <w:hyperlink w:anchor="_Toc66698817" w:history="1">
        <w:r w:rsidR="0005064B" w:rsidRPr="001B56D4">
          <w:rPr>
            <w:rStyle w:val="Hyperlink"/>
            <w:noProof/>
          </w:rPr>
          <w:t>Table 7</w:t>
        </w:r>
        <w:r w:rsidR="0005064B" w:rsidRPr="001B56D4">
          <w:rPr>
            <w:rStyle w:val="Hyperlink"/>
            <w:noProof/>
          </w:rPr>
          <w:noBreakHyphen/>
          <w:t>10: Cost Allocation of UCC in Outsourcing Strategy with carriers cost in €2.64/parcel</w:t>
        </w:r>
        <w:r w:rsidR="0005064B">
          <w:rPr>
            <w:noProof/>
            <w:webHidden/>
          </w:rPr>
          <w:tab/>
        </w:r>
        <w:r w:rsidR="0005064B">
          <w:rPr>
            <w:noProof/>
            <w:webHidden/>
          </w:rPr>
          <w:fldChar w:fldCharType="begin"/>
        </w:r>
        <w:r w:rsidR="0005064B">
          <w:rPr>
            <w:noProof/>
            <w:webHidden/>
          </w:rPr>
          <w:instrText xml:space="preserve"> PAGEREF _Toc66698817 \h </w:instrText>
        </w:r>
        <w:r w:rsidR="0005064B">
          <w:rPr>
            <w:noProof/>
            <w:webHidden/>
          </w:rPr>
        </w:r>
        <w:r w:rsidR="0005064B">
          <w:rPr>
            <w:noProof/>
            <w:webHidden/>
          </w:rPr>
          <w:fldChar w:fldCharType="separate"/>
        </w:r>
        <w:r w:rsidR="0005064B">
          <w:rPr>
            <w:noProof/>
            <w:webHidden/>
          </w:rPr>
          <w:t>184</w:t>
        </w:r>
        <w:r w:rsidR="0005064B">
          <w:rPr>
            <w:noProof/>
            <w:webHidden/>
          </w:rPr>
          <w:fldChar w:fldCharType="end"/>
        </w:r>
      </w:hyperlink>
    </w:p>
    <w:p w14:paraId="2B045A09" w14:textId="00F70CF8" w:rsidR="0005064B" w:rsidRDefault="000306D9" w:rsidP="00497D07">
      <w:pPr>
        <w:pStyle w:val="TableofFigures"/>
        <w:tabs>
          <w:tab w:val="right" w:leader="dot" w:pos="9016"/>
        </w:tabs>
        <w:spacing w:line="240" w:lineRule="auto"/>
        <w:rPr>
          <w:rFonts w:asciiTheme="minorHAnsi" w:hAnsiTheme="minorHAnsi"/>
          <w:noProof/>
          <w:sz w:val="22"/>
        </w:rPr>
      </w:pPr>
      <w:hyperlink w:anchor="_Toc66698818" w:history="1">
        <w:r w:rsidR="0005064B" w:rsidRPr="001B56D4">
          <w:rPr>
            <w:rStyle w:val="Hyperlink"/>
            <w:noProof/>
          </w:rPr>
          <w:t>Table 7</w:t>
        </w:r>
        <w:r w:rsidR="0005064B" w:rsidRPr="001B56D4">
          <w:rPr>
            <w:rStyle w:val="Hyperlink"/>
            <w:noProof/>
          </w:rPr>
          <w:noBreakHyphen/>
          <w:t>11: Cost Allocation of LHC in Outsourcing Strategy with carriers cost equal to €1.70/parcel</w:t>
        </w:r>
        <w:r w:rsidR="0005064B">
          <w:rPr>
            <w:noProof/>
            <w:webHidden/>
          </w:rPr>
          <w:tab/>
        </w:r>
        <w:r w:rsidR="0005064B">
          <w:rPr>
            <w:noProof/>
            <w:webHidden/>
          </w:rPr>
          <w:fldChar w:fldCharType="begin"/>
        </w:r>
        <w:r w:rsidR="0005064B">
          <w:rPr>
            <w:noProof/>
            <w:webHidden/>
          </w:rPr>
          <w:instrText xml:space="preserve"> PAGEREF _Toc66698818 \h </w:instrText>
        </w:r>
        <w:r w:rsidR="0005064B">
          <w:rPr>
            <w:noProof/>
            <w:webHidden/>
          </w:rPr>
        </w:r>
        <w:r w:rsidR="0005064B">
          <w:rPr>
            <w:noProof/>
            <w:webHidden/>
          </w:rPr>
          <w:fldChar w:fldCharType="separate"/>
        </w:r>
        <w:r w:rsidR="0005064B">
          <w:rPr>
            <w:noProof/>
            <w:webHidden/>
          </w:rPr>
          <w:t>185</w:t>
        </w:r>
        <w:r w:rsidR="0005064B">
          <w:rPr>
            <w:noProof/>
            <w:webHidden/>
          </w:rPr>
          <w:fldChar w:fldCharType="end"/>
        </w:r>
      </w:hyperlink>
    </w:p>
    <w:p w14:paraId="60FED84B" w14:textId="6A0A7934" w:rsidR="0005064B" w:rsidRDefault="000306D9" w:rsidP="00497D07">
      <w:pPr>
        <w:pStyle w:val="TableofFigures"/>
        <w:tabs>
          <w:tab w:val="right" w:leader="dot" w:pos="9016"/>
        </w:tabs>
        <w:spacing w:line="240" w:lineRule="auto"/>
        <w:rPr>
          <w:rFonts w:asciiTheme="minorHAnsi" w:hAnsiTheme="minorHAnsi"/>
          <w:noProof/>
          <w:sz w:val="22"/>
        </w:rPr>
      </w:pPr>
      <w:hyperlink w:anchor="_Toc66698819" w:history="1">
        <w:r w:rsidR="0005064B" w:rsidRPr="001B56D4">
          <w:rPr>
            <w:rStyle w:val="Hyperlink"/>
            <w:rFonts w:cs="Times New Roman"/>
            <w:noProof/>
          </w:rPr>
          <w:t>Table 8</w:t>
        </w:r>
        <w:r w:rsidR="0005064B" w:rsidRPr="001B56D4">
          <w:rPr>
            <w:rStyle w:val="Hyperlink"/>
            <w:rFonts w:cs="Times New Roman"/>
            <w:noProof/>
          </w:rPr>
          <w:noBreakHyphen/>
          <w:t>1: Parameters Required for the Facility Planning Module.</w:t>
        </w:r>
        <w:r w:rsidR="0005064B">
          <w:rPr>
            <w:noProof/>
            <w:webHidden/>
          </w:rPr>
          <w:tab/>
        </w:r>
        <w:r w:rsidR="0005064B">
          <w:rPr>
            <w:noProof/>
            <w:webHidden/>
          </w:rPr>
          <w:fldChar w:fldCharType="begin"/>
        </w:r>
        <w:r w:rsidR="0005064B">
          <w:rPr>
            <w:noProof/>
            <w:webHidden/>
          </w:rPr>
          <w:instrText xml:space="preserve"> PAGEREF _Toc66698819 \h </w:instrText>
        </w:r>
        <w:r w:rsidR="0005064B">
          <w:rPr>
            <w:noProof/>
            <w:webHidden/>
          </w:rPr>
        </w:r>
        <w:r w:rsidR="0005064B">
          <w:rPr>
            <w:noProof/>
            <w:webHidden/>
          </w:rPr>
          <w:fldChar w:fldCharType="separate"/>
        </w:r>
        <w:r w:rsidR="0005064B">
          <w:rPr>
            <w:noProof/>
            <w:webHidden/>
          </w:rPr>
          <w:t>196</w:t>
        </w:r>
        <w:r w:rsidR="0005064B">
          <w:rPr>
            <w:noProof/>
            <w:webHidden/>
          </w:rPr>
          <w:fldChar w:fldCharType="end"/>
        </w:r>
      </w:hyperlink>
    </w:p>
    <w:p w14:paraId="2BBCAAF6" w14:textId="0CD31A14" w:rsidR="0005064B" w:rsidRDefault="000306D9" w:rsidP="00497D07">
      <w:pPr>
        <w:pStyle w:val="TableofFigures"/>
        <w:tabs>
          <w:tab w:val="right" w:leader="dot" w:pos="9016"/>
        </w:tabs>
        <w:spacing w:line="240" w:lineRule="auto"/>
        <w:rPr>
          <w:rFonts w:asciiTheme="minorHAnsi" w:hAnsiTheme="minorHAnsi"/>
          <w:noProof/>
          <w:sz w:val="22"/>
        </w:rPr>
      </w:pPr>
      <w:hyperlink w:anchor="_Toc66698820" w:history="1">
        <w:r w:rsidR="0005064B" w:rsidRPr="001B56D4">
          <w:rPr>
            <w:rStyle w:val="Hyperlink"/>
            <w:rFonts w:cs="Times New Roman"/>
            <w:noProof/>
          </w:rPr>
          <w:t>Table 8</w:t>
        </w:r>
        <w:r w:rsidR="0005064B" w:rsidRPr="001B56D4">
          <w:rPr>
            <w:rStyle w:val="Hyperlink"/>
            <w:rFonts w:cs="Times New Roman"/>
            <w:noProof/>
          </w:rPr>
          <w:noBreakHyphen/>
          <w:t>2: DSS Specification</w:t>
        </w:r>
        <w:r w:rsidR="0005064B">
          <w:rPr>
            <w:noProof/>
            <w:webHidden/>
          </w:rPr>
          <w:tab/>
        </w:r>
        <w:r w:rsidR="0005064B">
          <w:rPr>
            <w:noProof/>
            <w:webHidden/>
          </w:rPr>
          <w:fldChar w:fldCharType="begin"/>
        </w:r>
        <w:r w:rsidR="0005064B">
          <w:rPr>
            <w:noProof/>
            <w:webHidden/>
          </w:rPr>
          <w:instrText xml:space="preserve"> PAGEREF _Toc66698820 \h </w:instrText>
        </w:r>
        <w:r w:rsidR="0005064B">
          <w:rPr>
            <w:noProof/>
            <w:webHidden/>
          </w:rPr>
        </w:r>
        <w:r w:rsidR="0005064B">
          <w:rPr>
            <w:noProof/>
            <w:webHidden/>
          </w:rPr>
          <w:fldChar w:fldCharType="separate"/>
        </w:r>
        <w:r w:rsidR="0005064B">
          <w:rPr>
            <w:noProof/>
            <w:webHidden/>
          </w:rPr>
          <w:t>198</w:t>
        </w:r>
        <w:r w:rsidR="0005064B">
          <w:rPr>
            <w:noProof/>
            <w:webHidden/>
          </w:rPr>
          <w:fldChar w:fldCharType="end"/>
        </w:r>
      </w:hyperlink>
    </w:p>
    <w:p w14:paraId="7FF7608D" w14:textId="30C6DBBD" w:rsidR="0005064B" w:rsidRDefault="000306D9" w:rsidP="00497D07">
      <w:pPr>
        <w:pStyle w:val="TableofFigures"/>
        <w:tabs>
          <w:tab w:val="right" w:leader="dot" w:pos="9016"/>
        </w:tabs>
        <w:spacing w:line="240" w:lineRule="auto"/>
        <w:rPr>
          <w:rFonts w:asciiTheme="minorHAnsi" w:hAnsiTheme="minorHAnsi"/>
          <w:noProof/>
          <w:sz w:val="22"/>
        </w:rPr>
      </w:pPr>
      <w:hyperlink w:anchor="_Toc66698821" w:history="1">
        <w:r w:rsidR="0005064B" w:rsidRPr="001B56D4">
          <w:rPr>
            <w:rStyle w:val="Hyperlink"/>
            <w:rFonts w:cs="Times New Roman"/>
            <w:noProof/>
          </w:rPr>
          <w:t>Table 8</w:t>
        </w:r>
        <w:r w:rsidR="0005064B" w:rsidRPr="001B56D4">
          <w:rPr>
            <w:rStyle w:val="Hyperlink"/>
            <w:rFonts w:cs="Times New Roman"/>
            <w:noProof/>
          </w:rPr>
          <w:noBreakHyphen/>
          <w:t>3: Key Performance Indicators from the Routing Planning Module</w:t>
        </w:r>
        <w:r w:rsidR="0005064B">
          <w:rPr>
            <w:noProof/>
            <w:webHidden/>
          </w:rPr>
          <w:tab/>
        </w:r>
        <w:r w:rsidR="0005064B">
          <w:rPr>
            <w:noProof/>
            <w:webHidden/>
          </w:rPr>
          <w:fldChar w:fldCharType="begin"/>
        </w:r>
        <w:r w:rsidR="0005064B">
          <w:rPr>
            <w:noProof/>
            <w:webHidden/>
          </w:rPr>
          <w:instrText xml:space="preserve"> PAGEREF _Toc66698821 \h </w:instrText>
        </w:r>
        <w:r w:rsidR="0005064B">
          <w:rPr>
            <w:noProof/>
            <w:webHidden/>
          </w:rPr>
        </w:r>
        <w:r w:rsidR="0005064B">
          <w:rPr>
            <w:noProof/>
            <w:webHidden/>
          </w:rPr>
          <w:fldChar w:fldCharType="separate"/>
        </w:r>
        <w:r w:rsidR="0005064B">
          <w:rPr>
            <w:noProof/>
            <w:webHidden/>
          </w:rPr>
          <w:t>200</w:t>
        </w:r>
        <w:r w:rsidR="0005064B">
          <w:rPr>
            <w:noProof/>
            <w:webHidden/>
          </w:rPr>
          <w:fldChar w:fldCharType="end"/>
        </w:r>
      </w:hyperlink>
    </w:p>
    <w:p w14:paraId="045A3E07" w14:textId="50400279" w:rsidR="0092013F" w:rsidRPr="00FD1FFD" w:rsidRDefault="004634E5" w:rsidP="00AC76A9">
      <w:pPr>
        <w:pStyle w:val="Heading1"/>
        <w:numPr>
          <w:ilvl w:val="0"/>
          <w:numId w:val="0"/>
        </w:numPr>
        <w:spacing w:line="276" w:lineRule="auto"/>
        <w:ind w:left="431" w:hanging="431"/>
        <w:rPr>
          <w:rStyle w:val="Heading1Char"/>
          <w:rFonts w:cs="Times New Roman"/>
          <w:sz w:val="22"/>
          <w:szCs w:val="22"/>
        </w:rPr>
      </w:pPr>
      <w:r w:rsidRPr="00AB494A">
        <w:rPr>
          <w:rStyle w:val="Heading1Char"/>
          <w:rFonts w:cs="Times New Roman"/>
          <w:b/>
          <w:bCs/>
          <w:sz w:val="24"/>
          <w:szCs w:val="24"/>
        </w:rPr>
        <w:fldChar w:fldCharType="end"/>
      </w:r>
      <w:r w:rsidR="0092013F" w:rsidRPr="00FD1FFD">
        <w:rPr>
          <w:rStyle w:val="Heading1Char"/>
          <w:rFonts w:cs="Times New Roman"/>
          <w:b/>
          <w:bCs/>
          <w:sz w:val="22"/>
          <w:szCs w:val="22"/>
        </w:rPr>
        <w:br w:type="page"/>
      </w:r>
    </w:p>
    <w:p w14:paraId="1A888708" w14:textId="4B42F0EA" w:rsidR="0010766A" w:rsidRDefault="0010766A" w:rsidP="0010766A">
      <w:pPr>
        <w:pStyle w:val="Heading1"/>
        <w:numPr>
          <w:ilvl w:val="0"/>
          <w:numId w:val="0"/>
        </w:numPr>
        <w:ind w:left="431" w:hanging="431"/>
        <w:rPr>
          <w:rStyle w:val="Heading1Char"/>
          <w:b/>
          <w:bCs/>
        </w:rPr>
      </w:pPr>
      <w:bookmarkStart w:id="16" w:name="_Toc66703167"/>
      <w:r w:rsidRPr="0010766A">
        <w:rPr>
          <w:rStyle w:val="Heading1Char"/>
          <w:b/>
          <w:bCs/>
        </w:rPr>
        <w:lastRenderedPageBreak/>
        <w:t>List of Abbreviations</w:t>
      </w:r>
      <w:bookmarkEnd w:id="3"/>
      <w:bookmarkEnd w:id="16"/>
    </w:p>
    <w:tbl>
      <w:tblPr>
        <w:tblW w:w="7520" w:type="dxa"/>
        <w:jc w:val="center"/>
        <w:tblLook w:val="04A0" w:firstRow="1" w:lastRow="0" w:firstColumn="1" w:lastColumn="0" w:noHBand="0" w:noVBand="1"/>
      </w:tblPr>
      <w:tblGrid>
        <w:gridCol w:w="3040"/>
        <w:gridCol w:w="4480"/>
      </w:tblGrid>
      <w:tr w:rsidR="00D7356F" w:rsidRPr="004955C5" w14:paraId="5CCED7E3"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02D0751D"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3PL</w:t>
            </w:r>
          </w:p>
        </w:tc>
        <w:tc>
          <w:tcPr>
            <w:tcW w:w="4480" w:type="dxa"/>
            <w:tcBorders>
              <w:top w:val="nil"/>
              <w:left w:val="nil"/>
              <w:bottom w:val="nil"/>
              <w:right w:val="nil"/>
            </w:tcBorders>
            <w:shd w:val="clear" w:color="auto" w:fill="auto"/>
            <w:noWrap/>
            <w:vAlign w:val="bottom"/>
            <w:hideMark/>
          </w:tcPr>
          <w:p w14:paraId="12297DE1" w14:textId="262B1058"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 xml:space="preserve">third-party logistics </w:t>
            </w:r>
          </w:p>
        </w:tc>
      </w:tr>
      <w:tr w:rsidR="00D7356F" w:rsidRPr="004955C5" w14:paraId="1963AF0C"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063D0452"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AHP</w:t>
            </w:r>
          </w:p>
        </w:tc>
        <w:tc>
          <w:tcPr>
            <w:tcW w:w="4480" w:type="dxa"/>
            <w:tcBorders>
              <w:top w:val="nil"/>
              <w:left w:val="nil"/>
              <w:bottom w:val="nil"/>
              <w:right w:val="nil"/>
            </w:tcBorders>
            <w:shd w:val="clear" w:color="auto" w:fill="auto"/>
            <w:noWrap/>
            <w:vAlign w:val="bottom"/>
            <w:hideMark/>
          </w:tcPr>
          <w:p w14:paraId="6DDB83FF" w14:textId="77777777"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analytic hierarchy process</w:t>
            </w:r>
          </w:p>
        </w:tc>
      </w:tr>
      <w:tr w:rsidR="00D7356F" w:rsidRPr="004955C5" w14:paraId="3EA07576"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203F17EF"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ATS</w:t>
            </w:r>
          </w:p>
        </w:tc>
        <w:tc>
          <w:tcPr>
            <w:tcW w:w="4480" w:type="dxa"/>
            <w:tcBorders>
              <w:top w:val="nil"/>
              <w:left w:val="nil"/>
              <w:bottom w:val="nil"/>
              <w:right w:val="nil"/>
            </w:tcBorders>
            <w:shd w:val="clear" w:color="auto" w:fill="auto"/>
            <w:noWrap/>
            <w:vAlign w:val="bottom"/>
            <w:hideMark/>
          </w:tcPr>
          <w:p w14:paraId="2F85E49F" w14:textId="72FF6247"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 xml:space="preserve">absolute </w:t>
            </w:r>
            <w:r w:rsidR="000B4C89" w:rsidRPr="004955C5">
              <w:rPr>
                <w:rFonts w:eastAsia="Times New Roman" w:cs="Times New Roman"/>
                <w:color w:val="000000"/>
                <w:sz w:val="22"/>
              </w:rPr>
              <w:t>t</w:t>
            </w:r>
            <w:r w:rsidRPr="004955C5">
              <w:rPr>
                <w:rFonts w:eastAsia="Times New Roman" w:cs="Times New Roman"/>
                <w:color w:val="000000"/>
                <w:sz w:val="22"/>
              </w:rPr>
              <w:t xml:space="preserve">erritorial </w:t>
            </w:r>
            <w:r w:rsidR="000B4C89" w:rsidRPr="004955C5">
              <w:rPr>
                <w:rFonts w:eastAsia="Times New Roman" w:cs="Times New Roman"/>
                <w:color w:val="000000"/>
                <w:sz w:val="22"/>
              </w:rPr>
              <w:t>s</w:t>
            </w:r>
            <w:r w:rsidRPr="004955C5">
              <w:rPr>
                <w:rFonts w:eastAsia="Times New Roman" w:cs="Times New Roman"/>
                <w:color w:val="000000"/>
                <w:sz w:val="22"/>
              </w:rPr>
              <w:t xml:space="preserve">overeignty </w:t>
            </w:r>
          </w:p>
        </w:tc>
      </w:tr>
      <w:tr w:rsidR="003B1319" w:rsidRPr="004955C5" w14:paraId="1D1C69F5" w14:textId="77777777" w:rsidTr="00D7356F">
        <w:trPr>
          <w:trHeight w:val="300"/>
          <w:jc w:val="center"/>
        </w:trPr>
        <w:tc>
          <w:tcPr>
            <w:tcW w:w="3040" w:type="dxa"/>
            <w:tcBorders>
              <w:top w:val="nil"/>
              <w:left w:val="nil"/>
              <w:bottom w:val="nil"/>
              <w:right w:val="nil"/>
            </w:tcBorders>
            <w:shd w:val="clear" w:color="auto" w:fill="auto"/>
            <w:noWrap/>
            <w:vAlign w:val="bottom"/>
          </w:tcPr>
          <w:p w14:paraId="37E8DAED" w14:textId="176DAE7F" w:rsidR="003B1319" w:rsidRPr="004955C5" w:rsidRDefault="003B1319" w:rsidP="004955C5">
            <w:pPr>
              <w:spacing w:line="240" w:lineRule="auto"/>
              <w:jc w:val="center"/>
              <w:rPr>
                <w:rFonts w:eastAsia="Times New Roman" w:cs="Times New Roman"/>
                <w:color w:val="000000"/>
                <w:sz w:val="22"/>
              </w:rPr>
            </w:pPr>
            <w:r w:rsidRPr="004955C5">
              <w:rPr>
                <w:rFonts w:eastAsia="Times New Roman" w:cs="Times New Roman"/>
                <w:color w:val="000000"/>
                <w:sz w:val="22"/>
              </w:rPr>
              <w:t>CSR</w:t>
            </w:r>
          </w:p>
        </w:tc>
        <w:tc>
          <w:tcPr>
            <w:tcW w:w="4480" w:type="dxa"/>
            <w:tcBorders>
              <w:top w:val="nil"/>
              <w:left w:val="nil"/>
              <w:bottom w:val="nil"/>
              <w:right w:val="nil"/>
            </w:tcBorders>
            <w:shd w:val="clear" w:color="auto" w:fill="auto"/>
            <w:noWrap/>
            <w:vAlign w:val="bottom"/>
          </w:tcPr>
          <w:p w14:paraId="7B2387C4" w14:textId="2BBF88A4" w:rsidR="003B1319" w:rsidRPr="004955C5" w:rsidRDefault="003B1319" w:rsidP="00D7356F">
            <w:pPr>
              <w:spacing w:line="240" w:lineRule="auto"/>
              <w:jc w:val="left"/>
              <w:rPr>
                <w:rFonts w:eastAsia="Times New Roman" w:cs="Times New Roman"/>
                <w:color w:val="000000"/>
                <w:sz w:val="22"/>
              </w:rPr>
            </w:pPr>
            <w:r w:rsidRPr="004955C5">
              <w:rPr>
                <w:sz w:val="22"/>
              </w:rPr>
              <w:t>corporate social responsibility</w:t>
            </w:r>
          </w:p>
        </w:tc>
      </w:tr>
      <w:tr w:rsidR="00D7356F" w:rsidRPr="004955C5" w14:paraId="683352C2"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2CC71792"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DES</w:t>
            </w:r>
          </w:p>
        </w:tc>
        <w:tc>
          <w:tcPr>
            <w:tcW w:w="4480" w:type="dxa"/>
            <w:tcBorders>
              <w:top w:val="nil"/>
              <w:left w:val="nil"/>
              <w:bottom w:val="nil"/>
              <w:right w:val="nil"/>
            </w:tcBorders>
            <w:shd w:val="clear" w:color="auto" w:fill="auto"/>
            <w:noWrap/>
            <w:vAlign w:val="bottom"/>
            <w:hideMark/>
          </w:tcPr>
          <w:p w14:paraId="6CDFFE80" w14:textId="77777777"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 xml:space="preserve">downstream responsibility sharing </w:t>
            </w:r>
          </w:p>
        </w:tc>
      </w:tr>
      <w:tr w:rsidR="00D7356F" w:rsidRPr="004955C5" w14:paraId="393A0B0B"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13FAC9CD"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DR</w:t>
            </w:r>
          </w:p>
        </w:tc>
        <w:tc>
          <w:tcPr>
            <w:tcW w:w="4480" w:type="dxa"/>
            <w:tcBorders>
              <w:top w:val="nil"/>
              <w:left w:val="nil"/>
              <w:bottom w:val="nil"/>
              <w:right w:val="nil"/>
            </w:tcBorders>
            <w:shd w:val="clear" w:color="auto" w:fill="auto"/>
            <w:noWrap/>
            <w:vAlign w:val="bottom"/>
            <w:hideMark/>
          </w:tcPr>
          <w:p w14:paraId="171C717A" w14:textId="77777777"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 xml:space="preserve">downstream responsibility </w:t>
            </w:r>
          </w:p>
        </w:tc>
      </w:tr>
      <w:tr w:rsidR="00D7356F" w:rsidRPr="004955C5" w14:paraId="7E442DAB"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02C687E8"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ECR</w:t>
            </w:r>
          </w:p>
        </w:tc>
        <w:tc>
          <w:tcPr>
            <w:tcW w:w="4480" w:type="dxa"/>
            <w:tcBorders>
              <w:top w:val="nil"/>
              <w:left w:val="nil"/>
              <w:bottom w:val="nil"/>
              <w:right w:val="nil"/>
            </w:tcBorders>
            <w:shd w:val="clear" w:color="auto" w:fill="auto"/>
            <w:noWrap/>
            <w:vAlign w:val="bottom"/>
            <w:hideMark/>
          </w:tcPr>
          <w:p w14:paraId="155879C5" w14:textId="77777777"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extended customer responsibility</w:t>
            </w:r>
          </w:p>
        </w:tc>
      </w:tr>
      <w:tr w:rsidR="00D7356F" w:rsidRPr="004955C5" w14:paraId="367F253C"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1898E552"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EPR</w:t>
            </w:r>
          </w:p>
        </w:tc>
        <w:tc>
          <w:tcPr>
            <w:tcW w:w="4480" w:type="dxa"/>
            <w:tcBorders>
              <w:top w:val="nil"/>
              <w:left w:val="nil"/>
              <w:bottom w:val="nil"/>
              <w:right w:val="nil"/>
            </w:tcBorders>
            <w:shd w:val="clear" w:color="auto" w:fill="auto"/>
            <w:noWrap/>
            <w:vAlign w:val="bottom"/>
            <w:hideMark/>
          </w:tcPr>
          <w:p w14:paraId="3CA2395B" w14:textId="77777777"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extended producer responsibility</w:t>
            </w:r>
          </w:p>
        </w:tc>
      </w:tr>
      <w:tr w:rsidR="00D7356F" w:rsidRPr="004955C5" w14:paraId="00D5F2D4"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46C44C15"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EV</w:t>
            </w:r>
          </w:p>
        </w:tc>
        <w:tc>
          <w:tcPr>
            <w:tcW w:w="4480" w:type="dxa"/>
            <w:tcBorders>
              <w:top w:val="nil"/>
              <w:left w:val="nil"/>
              <w:bottom w:val="nil"/>
              <w:right w:val="nil"/>
            </w:tcBorders>
            <w:shd w:val="clear" w:color="auto" w:fill="auto"/>
            <w:noWrap/>
            <w:vAlign w:val="bottom"/>
            <w:hideMark/>
          </w:tcPr>
          <w:p w14:paraId="73A7A0EF" w14:textId="77777777"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electrical vehicle</w:t>
            </w:r>
          </w:p>
        </w:tc>
      </w:tr>
      <w:tr w:rsidR="00D7356F" w:rsidRPr="004955C5" w14:paraId="38DB62FF"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2AD16830"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GIS</w:t>
            </w:r>
          </w:p>
        </w:tc>
        <w:tc>
          <w:tcPr>
            <w:tcW w:w="4480" w:type="dxa"/>
            <w:tcBorders>
              <w:top w:val="nil"/>
              <w:left w:val="nil"/>
              <w:bottom w:val="nil"/>
              <w:right w:val="nil"/>
            </w:tcBorders>
            <w:shd w:val="clear" w:color="auto" w:fill="auto"/>
            <w:noWrap/>
            <w:vAlign w:val="bottom"/>
            <w:hideMark/>
          </w:tcPr>
          <w:p w14:paraId="3E96C39E" w14:textId="6ED40AD0"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geographic information system</w:t>
            </w:r>
          </w:p>
        </w:tc>
      </w:tr>
      <w:tr w:rsidR="00D7356F" w:rsidRPr="004955C5" w14:paraId="24EDD49D"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5371A3A8"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ITS</w:t>
            </w:r>
          </w:p>
        </w:tc>
        <w:tc>
          <w:tcPr>
            <w:tcW w:w="4480" w:type="dxa"/>
            <w:tcBorders>
              <w:top w:val="nil"/>
              <w:left w:val="nil"/>
              <w:bottom w:val="nil"/>
              <w:right w:val="nil"/>
            </w:tcBorders>
            <w:shd w:val="clear" w:color="auto" w:fill="auto"/>
            <w:noWrap/>
            <w:vAlign w:val="bottom"/>
            <w:hideMark/>
          </w:tcPr>
          <w:p w14:paraId="49A047C3" w14:textId="122B6822" w:rsidR="00D7356F" w:rsidRPr="004955C5" w:rsidRDefault="006E15C2" w:rsidP="00D7356F">
            <w:pPr>
              <w:spacing w:line="240" w:lineRule="auto"/>
              <w:jc w:val="left"/>
              <w:rPr>
                <w:rFonts w:eastAsia="Times New Roman" w:cs="Times New Roman"/>
                <w:color w:val="000000"/>
                <w:sz w:val="22"/>
              </w:rPr>
            </w:pPr>
            <w:r w:rsidRPr="004955C5">
              <w:rPr>
                <w:rFonts w:eastAsia="Times New Roman" w:cs="Times New Roman"/>
                <w:color w:val="000000"/>
                <w:sz w:val="22"/>
              </w:rPr>
              <w:t>i</w:t>
            </w:r>
            <w:r w:rsidR="00D7356F" w:rsidRPr="004955C5">
              <w:rPr>
                <w:rFonts w:eastAsia="Times New Roman" w:cs="Times New Roman"/>
                <w:color w:val="000000"/>
                <w:sz w:val="22"/>
              </w:rPr>
              <w:t>nformation technology</w:t>
            </w:r>
          </w:p>
        </w:tc>
      </w:tr>
      <w:tr w:rsidR="00D7356F" w:rsidRPr="004955C5" w14:paraId="335A9777"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53025D88"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KPIs</w:t>
            </w:r>
          </w:p>
        </w:tc>
        <w:tc>
          <w:tcPr>
            <w:tcW w:w="4480" w:type="dxa"/>
            <w:tcBorders>
              <w:top w:val="nil"/>
              <w:left w:val="nil"/>
              <w:bottom w:val="nil"/>
              <w:right w:val="nil"/>
            </w:tcBorders>
            <w:shd w:val="clear" w:color="auto" w:fill="auto"/>
            <w:noWrap/>
            <w:vAlign w:val="bottom"/>
            <w:hideMark/>
          </w:tcPr>
          <w:p w14:paraId="1CCB03B9" w14:textId="77777777"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 xml:space="preserve">key performance indicators </w:t>
            </w:r>
          </w:p>
        </w:tc>
      </w:tr>
      <w:tr w:rsidR="00D7356F" w:rsidRPr="004955C5" w14:paraId="31C23B8D"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3571801B"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LA</w:t>
            </w:r>
          </w:p>
        </w:tc>
        <w:tc>
          <w:tcPr>
            <w:tcW w:w="4480" w:type="dxa"/>
            <w:tcBorders>
              <w:top w:val="nil"/>
              <w:left w:val="nil"/>
              <w:bottom w:val="nil"/>
              <w:right w:val="nil"/>
            </w:tcBorders>
            <w:shd w:val="clear" w:color="auto" w:fill="auto"/>
            <w:noWrap/>
            <w:vAlign w:val="bottom"/>
            <w:hideMark/>
          </w:tcPr>
          <w:p w14:paraId="5E4C5769" w14:textId="77777777"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local authority</w:t>
            </w:r>
          </w:p>
        </w:tc>
      </w:tr>
      <w:tr w:rsidR="00D7356F" w:rsidRPr="004955C5" w14:paraId="05F93D1E"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037352FD"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LHC</w:t>
            </w:r>
          </w:p>
        </w:tc>
        <w:tc>
          <w:tcPr>
            <w:tcW w:w="4480" w:type="dxa"/>
            <w:tcBorders>
              <w:top w:val="nil"/>
              <w:left w:val="nil"/>
              <w:bottom w:val="nil"/>
              <w:right w:val="nil"/>
            </w:tcBorders>
            <w:shd w:val="clear" w:color="auto" w:fill="auto"/>
            <w:noWrap/>
            <w:vAlign w:val="bottom"/>
            <w:hideMark/>
          </w:tcPr>
          <w:p w14:paraId="7A436150" w14:textId="77777777"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 xml:space="preserve">long-haul carriers </w:t>
            </w:r>
          </w:p>
        </w:tc>
      </w:tr>
      <w:tr w:rsidR="00DB44C8" w:rsidRPr="004955C5" w14:paraId="44D6412D" w14:textId="77777777" w:rsidTr="00D7356F">
        <w:trPr>
          <w:trHeight w:val="300"/>
          <w:jc w:val="center"/>
        </w:trPr>
        <w:tc>
          <w:tcPr>
            <w:tcW w:w="3040" w:type="dxa"/>
            <w:tcBorders>
              <w:top w:val="nil"/>
              <w:left w:val="nil"/>
              <w:bottom w:val="nil"/>
              <w:right w:val="nil"/>
            </w:tcBorders>
            <w:shd w:val="clear" w:color="auto" w:fill="auto"/>
            <w:noWrap/>
            <w:vAlign w:val="bottom"/>
          </w:tcPr>
          <w:p w14:paraId="3C3A46AD" w14:textId="130F4314" w:rsidR="00DB44C8" w:rsidRPr="004955C5" w:rsidRDefault="00DB44C8" w:rsidP="004955C5">
            <w:pPr>
              <w:spacing w:line="240" w:lineRule="auto"/>
              <w:jc w:val="center"/>
              <w:rPr>
                <w:rFonts w:eastAsia="Times New Roman" w:cs="Times New Roman"/>
                <w:color w:val="000000"/>
                <w:sz w:val="22"/>
              </w:rPr>
            </w:pPr>
            <w:r w:rsidRPr="004955C5">
              <w:rPr>
                <w:rFonts w:eastAsia="Times New Roman" w:cs="Times New Roman"/>
                <w:color w:val="000000"/>
                <w:sz w:val="22"/>
              </w:rPr>
              <w:t>LP</w:t>
            </w:r>
          </w:p>
        </w:tc>
        <w:tc>
          <w:tcPr>
            <w:tcW w:w="4480" w:type="dxa"/>
            <w:tcBorders>
              <w:top w:val="nil"/>
              <w:left w:val="nil"/>
              <w:bottom w:val="nil"/>
              <w:right w:val="nil"/>
            </w:tcBorders>
            <w:shd w:val="clear" w:color="auto" w:fill="auto"/>
            <w:noWrap/>
            <w:vAlign w:val="bottom"/>
          </w:tcPr>
          <w:p w14:paraId="22B64087" w14:textId="4BC9A6B4" w:rsidR="00DB44C8" w:rsidRPr="004955C5" w:rsidRDefault="00DB44C8" w:rsidP="00D7356F">
            <w:pPr>
              <w:spacing w:line="240" w:lineRule="auto"/>
              <w:jc w:val="left"/>
              <w:rPr>
                <w:rFonts w:eastAsia="Times New Roman" w:cs="Times New Roman"/>
                <w:color w:val="000000"/>
                <w:sz w:val="22"/>
              </w:rPr>
            </w:pPr>
            <w:r w:rsidRPr="004955C5">
              <w:rPr>
                <w:rFonts w:eastAsia="Times New Roman" w:cs="Times New Roman"/>
                <w:color w:val="000000"/>
                <w:sz w:val="22"/>
              </w:rPr>
              <w:t>logistics profile</w:t>
            </w:r>
          </w:p>
        </w:tc>
      </w:tr>
      <w:tr w:rsidR="00D7356F" w:rsidRPr="004955C5" w14:paraId="4B36D086"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45AA4F89"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LR</w:t>
            </w:r>
          </w:p>
        </w:tc>
        <w:tc>
          <w:tcPr>
            <w:tcW w:w="4480" w:type="dxa"/>
            <w:tcBorders>
              <w:top w:val="nil"/>
              <w:left w:val="nil"/>
              <w:bottom w:val="nil"/>
              <w:right w:val="nil"/>
            </w:tcBorders>
            <w:shd w:val="clear" w:color="auto" w:fill="auto"/>
            <w:noWrap/>
            <w:vAlign w:val="bottom"/>
            <w:hideMark/>
          </w:tcPr>
          <w:p w14:paraId="31BA17FB" w14:textId="77777777"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 xml:space="preserve">local responsibility </w:t>
            </w:r>
          </w:p>
        </w:tc>
      </w:tr>
      <w:tr w:rsidR="00D7356F" w:rsidRPr="004955C5" w14:paraId="434FC1AA"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10EA8471"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LRS</w:t>
            </w:r>
          </w:p>
        </w:tc>
        <w:tc>
          <w:tcPr>
            <w:tcW w:w="4480" w:type="dxa"/>
            <w:tcBorders>
              <w:top w:val="nil"/>
              <w:left w:val="nil"/>
              <w:bottom w:val="nil"/>
              <w:right w:val="nil"/>
            </w:tcBorders>
            <w:shd w:val="clear" w:color="auto" w:fill="auto"/>
            <w:noWrap/>
            <w:vAlign w:val="bottom"/>
            <w:hideMark/>
          </w:tcPr>
          <w:p w14:paraId="0FE79BC6" w14:textId="77777777"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 xml:space="preserve">local responsibility sharing </w:t>
            </w:r>
          </w:p>
        </w:tc>
      </w:tr>
      <w:tr w:rsidR="00D7356F" w:rsidRPr="004955C5" w14:paraId="565167BE"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65C55C37"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LSP</w:t>
            </w:r>
          </w:p>
        </w:tc>
        <w:tc>
          <w:tcPr>
            <w:tcW w:w="4480" w:type="dxa"/>
            <w:tcBorders>
              <w:top w:val="nil"/>
              <w:left w:val="nil"/>
              <w:bottom w:val="nil"/>
              <w:right w:val="nil"/>
            </w:tcBorders>
            <w:shd w:val="clear" w:color="auto" w:fill="auto"/>
            <w:noWrap/>
            <w:vAlign w:val="bottom"/>
            <w:hideMark/>
          </w:tcPr>
          <w:p w14:paraId="5F6F926E" w14:textId="77777777"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logistics service providers</w:t>
            </w:r>
          </w:p>
        </w:tc>
      </w:tr>
      <w:tr w:rsidR="00D7356F" w:rsidRPr="004955C5" w14:paraId="082C781A"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0C05BF70"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MCDM</w:t>
            </w:r>
          </w:p>
        </w:tc>
        <w:tc>
          <w:tcPr>
            <w:tcW w:w="4480" w:type="dxa"/>
            <w:tcBorders>
              <w:top w:val="nil"/>
              <w:left w:val="nil"/>
              <w:bottom w:val="nil"/>
              <w:right w:val="nil"/>
            </w:tcBorders>
            <w:shd w:val="clear" w:color="auto" w:fill="auto"/>
            <w:noWrap/>
            <w:vAlign w:val="bottom"/>
            <w:hideMark/>
          </w:tcPr>
          <w:p w14:paraId="538DF63E" w14:textId="77777777"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multi-criteria decision-making</w:t>
            </w:r>
          </w:p>
        </w:tc>
      </w:tr>
      <w:tr w:rsidR="003B1319" w:rsidRPr="004955C5" w14:paraId="5CFA6F14" w14:textId="77777777" w:rsidTr="00D7356F">
        <w:trPr>
          <w:trHeight w:val="300"/>
          <w:jc w:val="center"/>
        </w:trPr>
        <w:tc>
          <w:tcPr>
            <w:tcW w:w="3040" w:type="dxa"/>
            <w:tcBorders>
              <w:top w:val="nil"/>
              <w:left w:val="nil"/>
              <w:bottom w:val="nil"/>
              <w:right w:val="nil"/>
            </w:tcBorders>
            <w:shd w:val="clear" w:color="auto" w:fill="auto"/>
            <w:noWrap/>
            <w:vAlign w:val="bottom"/>
          </w:tcPr>
          <w:p w14:paraId="2AC47CAD" w14:textId="6FD54B86" w:rsidR="003B1319" w:rsidRPr="004955C5" w:rsidRDefault="003B1319" w:rsidP="004955C5">
            <w:pPr>
              <w:spacing w:line="240" w:lineRule="auto"/>
              <w:jc w:val="center"/>
              <w:rPr>
                <w:rFonts w:eastAsia="Times New Roman" w:cs="Times New Roman"/>
                <w:color w:val="000000"/>
                <w:sz w:val="22"/>
              </w:rPr>
            </w:pPr>
            <w:r w:rsidRPr="004955C5">
              <w:rPr>
                <w:rFonts w:eastAsia="Times New Roman" w:cs="Times New Roman"/>
                <w:color w:val="000000"/>
                <w:sz w:val="22"/>
              </w:rPr>
              <w:t>PPP</w:t>
            </w:r>
          </w:p>
        </w:tc>
        <w:tc>
          <w:tcPr>
            <w:tcW w:w="4480" w:type="dxa"/>
            <w:tcBorders>
              <w:top w:val="nil"/>
              <w:left w:val="nil"/>
              <w:bottom w:val="nil"/>
              <w:right w:val="nil"/>
            </w:tcBorders>
            <w:shd w:val="clear" w:color="auto" w:fill="auto"/>
            <w:noWrap/>
            <w:vAlign w:val="bottom"/>
          </w:tcPr>
          <w:p w14:paraId="4EEFB4DD" w14:textId="0D85AEF9" w:rsidR="003B1319" w:rsidRPr="004955C5" w:rsidRDefault="00DB44C8" w:rsidP="00D7356F">
            <w:pPr>
              <w:spacing w:line="240" w:lineRule="auto"/>
              <w:jc w:val="left"/>
              <w:rPr>
                <w:rFonts w:eastAsia="Times New Roman" w:cs="Times New Roman"/>
                <w:color w:val="000000"/>
                <w:sz w:val="22"/>
              </w:rPr>
            </w:pPr>
            <w:r w:rsidRPr="004955C5">
              <w:rPr>
                <w:rFonts w:eastAsia="Times New Roman" w:cs="Times New Roman"/>
                <w:color w:val="000000"/>
                <w:sz w:val="22"/>
              </w:rPr>
              <w:t>public-private partnership</w:t>
            </w:r>
          </w:p>
        </w:tc>
      </w:tr>
      <w:tr w:rsidR="00D7356F" w:rsidRPr="004955C5" w14:paraId="4FB483A3"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2D082D2D"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SD</w:t>
            </w:r>
          </w:p>
        </w:tc>
        <w:tc>
          <w:tcPr>
            <w:tcW w:w="4480" w:type="dxa"/>
            <w:tcBorders>
              <w:top w:val="nil"/>
              <w:left w:val="nil"/>
              <w:bottom w:val="nil"/>
              <w:right w:val="nil"/>
            </w:tcBorders>
            <w:shd w:val="clear" w:color="auto" w:fill="auto"/>
            <w:noWrap/>
            <w:vAlign w:val="bottom"/>
            <w:hideMark/>
          </w:tcPr>
          <w:p w14:paraId="2DB9E5E0" w14:textId="0DF44FD9"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sustainable development</w:t>
            </w:r>
          </w:p>
        </w:tc>
      </w:tr>
      <w:tr w:rsidR="00D7356F" w:rsidRPr="004955C5" w14:paraId="1A4D7E2B"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5B2AE612"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SUD</w:t>
            </w:r>
          </w:p>
        </w:tc>
        <w:tc>
          <w:tcPr>
            <w:tcW w:w="4480" w:type="dxa"/>
            <w:tcBorders>
              <w:top w:val="nil"/>
              <w:left w:val="nil"/>
              <w:bottom w:val="nil"/>
              <w:right w:val="nil"/>
            </w:tcBorders>
            <w:shd w:val="clear" w:color="auto" w:fill="auto"/>
            <w:noWrap/>
            <w:vAlign w:val="bottom"/>
            <w:hideMark/>
          </w:tcPr>
          <w:p w14:paraId="17C922EC" w14:textId="77777777"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sustainable urban development</w:t>
            </w:r>
          </w:p>
        </w:tc>
      </w:tr>
      <w:tr w:rsidR="00D7356F" w:rsidRPr="004955C5" w14:paraId="7D5FC6F4"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29EE0792"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SUL</w:t>
            </w:r>
          </w:p>
        </w:tc>
        <w:tc>
          <w:tcPr>
            <w:tcW w:w="4480" w:type="dxa"/>
            <w:tcBorders>
              <w:top w:val="nil"/>
              <w:left w:val="nil"/>
              <w:bottom w:val="nil"/>
              <w:right w:val="nil"/>
            </w:tcBorders>
            <w:shd w:val="clear" w:color="auto" w:fill="auto"/>
            <w:noWrap/>
            <w:vAlign w:val="bottom"/>
            <w:hideMark/>
          </w:tcPr>
          <w:p w14:paraId="2BA53E9D" w14:textId="760C1B15"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 xml:space="preserve">sustainable urban logistics </w:t>
            </w:r>
          </w:p>
        </w:tc>
      </w:tr>
      <w:tr w:rsidR="00D7356F" w:rsidRPr="004955C5" w14:paraId="030E479A"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5E606823"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UCC</w:t>
            </w:r>
          </w:p>
        </w:tc>
        <w:tc>
          <w:tcPr>
            <w:tcW w:w="4480" w:type="dxa"/>
            <w:tcBorders>
              <w:top w:val="nil"/>
              <w:left w:val="nil"/>
              <w:bottom w:val="nil"/>
              <w:right w:val="nil"/>
            </w:tcBorders>
            <w:shd w:val="clear" w:color="auto" w:fill="auto"/>
            <w:noWrap/>
            <w:vAlign w:val="bottom"/>
            <w:hideMark/>
          </w:tcPr>
          <w:p w14:paraId="3387FD54" w14:textId="18BC2F5B"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urban consolidation centres</w:t>
            </w:r>
          </w:p>
        </w:tc>
      </w:tr>
      <w:tr w:rsidR="00D7356F" w:rsidRPr="004955C5" w14:paraId="779EE952"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55DD8861"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UES</w:t>
            </w:r>
          </w:p>
        </w:tc>
        <w:tc>
          <w:tcPr>
            <w:tcW w:w="4480" w:type="dxa"/>
            <w:tcBorders>
              <w:top w:val="nil"/>
              <w:left w:val="nil"/>
              <w:bottom w:val="nil"/>
              <w:right w:val="nil"/>
            </w:tcBorders>
            <w:shd w:val="clear" w:color="auto" w:fill="auto"/>
            <w:noWrap/>
            <w:vAlign w:val="bottom"/>
            <w:hideMark/>
          </w:tcPr>
          <w:p w14:paraId="2EC5DC3D" w14:textId="77777777"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 xml:space="preserve">upstream responsibility </w:t>
            </w:r>
          </w:p>
        </w:tc>
      </w:tr>
      <w:tr w:rsidR="00D7356F" w:rsidRPr="004955C5" w14:paraId="136BDBA6"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2669F4D6"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UL</w:t>
            </w:r>
          </w:p>
        </w:tc>
        <w:tc>
          <w:tcPr>
            <w:tcW w:w="4480" w:type="dxa"/>
            <w:tcBorders>
              <w:top w:val="nil"/>
              <w:left w:val="nil"/>
              <w:bottom w:val="nil"/>
              <w:right w:val="nil"/>
            </w:tcBorders>
            <w:shd w:val="clear" w:color="auto" w:fill="auto"/>
            <w:noWrap/>
            <w:vAlign w:val="bottom"/>
            <w:hideMark/>
          </w:tcPr>
          <w:p w14:paraId="49E28DEF" w14:textId="77777777"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urban logistics</w:t>
            </w:r>
          </w:p>
        </w:tc>
      </w:tr>
      <w:tr w:rsidR="00D7356F" w:rsidRPr="004955C5" w14:paraId="3D5DF83A"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2BD63045"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ULN</w:t>
            </w:r>
          </w:p>
        </w:tc>
        <w:tc>
          <w:tcPr>
            <w:tcW w:w="4480" w:type="dxa"/>
            <w:tcBorders>
              <w:top w:val="nil"/>
              <w:left w:val="nil"/>
              <w:bottom w:val="nil"/>
              <w:right w:val="nil"/>
            </w:tcBorders>
            <w:shd w:val="clear" w:color="auto" w:fill="auto"/>
            <w:noWrap/>
            <w:vAlign w:val="bottom"/>
            <w:hideMark/>
          </w:tcPr>
          <w:p w14:paraId="53068D0C" w14:textId="77777777"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 xml:space="preserve">urban logistical network </w:t>
            </w:r>
          </w:p>
        </w:tc>
      </w:tr>
      <w:tr w:rsidR="00D7356F" w:rsidRPr="004955C5" w14:paraId="07FC1353"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59088E01"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UR</w:t>
            </w:r>
          </w:p>
        </w:tc>
        <w:tc>
          <w:tcPr>
            <w:tcW w:w="4480" w:type="dxa"/>
            <w:tcBorders>
              <w:top w:val="nil"/>
              <w:left w:val="nil"/>
              <w:bottom w:val="nil"/>
              <w:right w:val="nil"/>
            </w:tcBorders>
            <w:shd w:val="clear" w:color="auto" w:fill="auto"/>
            <w:noWrap/>
            <w:vAlign w:val="bottom"/>
            <w:hideMark/>
          </w:tcPr>
          <w:p w14:paraId="383C9A66" w14:textId="77777777"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 xml:space="preserve">upstream responsibility </w:t>
            </w:r>
          </w:p>
        </w:tc>
      </w:tr>
      <w:tr w:rsidR="00D7356F" w:rsidRPr="004955C5" w14:paraId="1DE8F7D1" w14:textId="77777777" w:rsidTr="00D7356F">
        <w:trPr>
          <w:trHeight w:val="300"/>
          <w:jc w:val="center"/>
        </w:trPr>
        <w:tc>
          <w:tcPr>
            <w:tcW w:w="3040" w:type="dxa"/>
            <w:tcBorders>
              <w:top w:val="nil"/>
              <w:left w:val="nil"/>
              <w:bottom w:val="nil"/>
              <w:right w:val="nil"/>
            </w:tcBorders>
            <w:shd w:val="clear" w:color="auto" w:fill="auto"/>
            <w:noWrap/>
            <w:vAlign w:val="bottom"/>
            <w:hideMark/>
          </w:tcPr>
          <w:p w14:paraId="6C7E0994" w14:textId="77777777" w:rsidR="00D7356F" w:rsidRPr="004955C5" w:rsidRDefault="00D7356F" w:rsidP="004955C5">
            <w:pPr>
              <w:spacing w:line="240" w:lineRule="auto"/>
              <w:jc w:val="center"/>
              <w:rPr>
                <w:rFonts w:eastAsia="Times New Roman" w:cs="Times New Roman"/>
                <w:color w:val="000000"/>
                <w:sz w:val="22"/>
              </w:rPr>
            </w:pPr>
            <w:r w:rsidRPr="004955C5">
              <w:rPr>
                <w:rFonts w:eastAsia="Times New Roman" w:cs="Times New Roman"/>
                <w:color w:val="000000"/>
                <w:sz w:val="22"/>
              </w:rPr>
              <w:t>UTI</w:t>
            </w:r>
          </w:p>
        </w:tc>
        <w:tc>
          <w:tcPr>
            <w:tcW w:w="4480" w:type="dxa"/>
            <w:tcBorders>
              <w:top w:val="nil"/>
              <w:left w:val="nil"/>
              <w:bottom w:val="nil"/>
              <w:right w:val="nil"/>
            </w:tcBorders>
            <w:shd w:val="clear" w:color="auto" w:fill="auto"/>
            <w:noWrap/>
            <w:vAlign w:val="bottom"/>
            <w:hideMark/>
          </w:tcPr>
          <w:p w14:paraId="3A4255F9" w14:textId="7D6DC550" w:rsidR="00D7356F" w:rsidRPr="004955C5" w:rsidRDefault="00D7356F" w:rsidP="00D7356F">
            <w:pPr>
              <w:spacing w:line="240" w:lineRule="auto"/>
              <w:jc w:val="left"/>
              <w:rPr>
                <w:rFonts w:eastAsia="Times New Roman" w:cs="Times New Roman"/>
                <w:color w:val="000000"/>
                <w:sz w:val="22"/>
              </w:rPr>
            </w:pPr>
            <w:r w:rsidRPr="004955C5">
              <w:rPr>
                <w:rFonts w:eastAsia="Times New Roman" w:cs="Times New Roman"/>
                <w:color w:val="000000"/>
                <w:sz w:val="22"/>
              </w:rPr>
              <w:t xml:space="preserve">unlimited </w:t>
            </w:r>
            <w:r w:rsidR="000B4C89" w:rsidRPr="004955C5">
              <w:rPr>
                <w:rFonts w:eastAsia="Times New Roman" w:cs="Times New Roman"/>
                <w:color w:val="000000"/>
                <w:sz w:val="22"/>
              </w:rPr>
              <w:t>t</w:t>
            </w:r>
            <w:r w:rsidRPr="004955C5">
              <w:rPr>
                <w:rFonts w:eastAsia="Times New Roman" w:cs="Times New Roman"/>
                <w:color w:val="000000"/>
                <w:sz w:val="22"/>
              </w:rPr>
              <w:t>erritorial Integrity</w:t>
            </w:r>
          </w:p>
        </w:tc>
      </w:tr>
      <w:tr w:rsidR="00DB44C8" w:rsidRPr="004955C5" w14:paraId="51E499CE" w14:textId="77777777" w:rsidTr="00D7356F">
        <w:trPr>
          <w:trHeight w:val="300"/>
          <w:jc w:val="center"/>
        </w:trPr>
        <w:tc>
          <w:tcPr>
            <w:tcW w:w="3040" w:type="dxa"/>
            <w:tcBorders>
              <w:top w:val="nil"/>
              <w:left w:val="nil"/>
              <w:bottom w:val="nil"/>
              <w:right w:val="nil"/>
            </w:tcBorders>
            <w:shd w:val="clear" w:color="auto" w:fill="auto"/>
            <w:noWrap/>
            <w:vAlign w:val="bottom"/>
          </w:tcPr>
          <w:p w14:paraId="5B3B4CD8" w14:textId="50E215D2" w:rsidR="00DB44C8" w:rsidRPr="004955C5" w:rsidRDefault="00DB44C8" w:rsidP="004955C5">
            <w:pPr>
              <w:spacing w:line="240" w:lineRule="auto"/>
              <w:jc w:val="center"/>
              <w:rPr>
                <w:rFonts w:eastAsia="Times New Roman" w:cs="Times New Roman"/>
                <w:color w:val="000000"/>
                <w:sz w:val="22"/>
              </w:rPr>
            </w:pPr>
            <w:r w:rsidRPr="004955C5">
              <w:rPr>
                <w:rFonts w:cs="Times New Roman"/>
                <w:sz w:val="22"/>
              </w:rPr>
              <w:t>VRP</w:t>
            </w:r>
          </w:p>
        </w:tc>
        <w:tc>
          <w:tcPr>
            <w:tcW w:w="4480" w:type="dxa"/>
            <w:tcBorders>
              <w:top w:val="nil"/>
              <w:left w:val="nil"/>
              <w:bottom w:val="nil"/>
              <w:right w:val="nil"/>
            </w:tcBorders>
            <w:shd w:val="clear" w:color="auto" w:fill="auto"/>
            <w:noWrap/>
            <w:vAlign w:val="bottom"/>
          </w:tcPr>
          <w:p w14:paraId="0CFFF19C" w14:textId="6F6D4DA3" w:rsidR="00DB44C8" w:rsidRPr="004955C5" w:rsidRDefault="00DB44C8" w:rsidP="00D7356F">
            <w:pPr>
              <w:spacing w:line="240" w:lineRule="auto"/>
              <w:jc w:val="left"/>
              <w:rPr>
                <w:rFonts w:eastAsia="Times New Roman" w:cs="Times New Roman"/>
                <w:color w:val="000000"/>
                <w:sz w:val="22"/>
              </w:rPr>
            </w:pPr>
            <w:r w:rsidRPr="004955C5">
              <w:rPr>
                <w:rFonts w:cs="Times New Roman"/>
                <w:sz w:val="22"/>
              </w:rPr>
              <w:t>vehicle routing problems</w:t>
            </w:r>
          </w:p>
        </w:tc>
      </w:tr>
    </w:tbl>
    <w:p w14:paraId="139FAA82" w14:textId="77777777" w:rsidR="0010766A" w:rsidRPr="004955C5" w:rsidRDefault="0010766A" w:rsidP="0010766A">
      <w:pPr>
        <w:rPr>
          <w:sz w:val="22"/>
        </w:rPr>
      </w:pPr>
    </w:p>
    <w:p w14:paraId="2AA35539" w14:textId="77777777" w:rsidR="0010766A" w:rsidRDefault="0010766A">
      <w:pPr>
        <w:sectPr w:rsidR="0010766A" w:rsidSect="00554D52">
          <w:type w:val="continuous"/>
          <w:pgSz w:w="11906" w:h="16838"/>
          <w:pgMar w:top="1440" w:right="1440" w:bottom="1440" w:left="1440" w:header="708" w:footer="288" w:gutter="0"/>
          <w:pgNumType w:fmt="lowerRoman"/>
          <w:cols w:space="708"/>
          <w:docGrid w:linePitch="360"/>
        </w:sectPr>
      </w:pPr>
    </w:p>
    <w:p w14:paraId="3D1AC026" w14:textId="0669F9DD" w:rsidR="00CD2CC7" w:rsidRDefault="00CD2CC7">
      <w:pPr>
        <w:rPr>
          <w:rFonts w:eastAsiaTheme="majorEastAsia"/>
          <w:b/>
          <w:bCs/>
          <w:color w:val="1F4E79" w:themeColor="accent1" w:themeShade="80"/>
          <w:kern w:val="44"/>
          <w:sz w:val="44"/>
          <w:szCs w:val="32"/>
        </w:rPr>
      </w:pPr>
      <w:r>
        <w:br w:type="page"/>
      </w:r>
    </w:p>
    <w:p w14:paraId="3FC0D832" w14:textId="77777777" w:rsidR="0010766A" w:rsidRDefault="0010766A" w:rsidP="0010766A">
      <w:pPr>
        <w:pStyle w:val="Heading1"/>
        <w:sectPr w:rsidR="0010766A" w:rsidSect="00EF5934">
          <w:footerReference w:type="default" r:id="rId13"/>
          <w:type w:val="continuous"/>
          <w:pgSz w:w="11906" w:h="16838"/>
          <w:pgMar w:top="1440" w:right="1440" w:bottom="1440" w:left="1440" w:header="708" w:footer="708" w:gutter="0"/>
          <w:pgNumType w:start="1"/>
          <w:cols w:space="708"/>
          <w:docGrid w:linePitch="360"/>
        </w:sectPr>
      </w:pPr>
    </w:p>
    <w:p w14:paraId="64732B23" w14:textId="0EBE90AC" w:rsidR="00013E7D" w:rsidRPr="004D7495" w:rsidRDefault="00013E7D" w:rsidP="0010766A">
      <w:pPr>
        <w:pStyle w:val="Heading1"/>
      </w:pPr>
      <w:bookmarkStart w:id="17" w:name="_Toc66703168"/>
      <w:r w:rsidRPr="004D7495">
        <w:lastRenderedPageBreak/>
        <w:t>Introduction</w:t>
      </w:r>
      <w:bookmarkEnd w:id="4"/>
      <w:bookmarkEnd w:id="5"/>
      <w:bookmarkEnd w:id="6"/>
      <w:bookmarkEnd w:id="7"/>
      <w:bookmarkEnd w:id="17"/>
    </w:p>
    <w:p w14:paraId="3888E8E4" w14:textId="458D6027" w:rsidR="00907526" w:rsidRPr="00737239" w:rsidRDefault="00013E7D" w:rsidP="000A4E8C">
      <w:pPr>
        <w:spacing w:before="156" w:after="240" w:line="360" w:lineRule="auto"/>
        <w:rPr>
          <w:rFonts w:cs="Times New Roman"/>
        </w:rPr>
      </w:pPr>
      <w:r w:rsidRPr="00737239">
        <w:rPr>
          <w:rFonts w:cs="Times New Roman"/>
        </w:rPr>
        <w:t xml:space="preserve">This chapter provides some background information on the topic of </w:t>
      </w:r>
      <w:r w:rsidR="00766C5A" w:rsidRPr="00737239">
        <w:rPr>
          <w:rFonts w:cs="Times New Roman"/>
        </w:rPr>
        <w:t>urban logistics</w:t>
      </w:r>
      <w:r w:rsidRPr="00737239">
        <w:rPr>
          <w:rFonts w:cs="Times New Roman"/>
        </w:rPr>
        <w:t xml:space="preserve"> and </w:t>
      </w:r>
      <w:r w:rsidR="00C15339" w:rsidRPr="00737239">
        <w:rPr>
          <w:rFonts w:cs="Times New Roman"/>
        </w:rPr>
        <w:t xml:space="preserve">the </w:t>
      </w:r>
      <w:r w:rsidRPr="00737239">
        <w:rPr>
          <w:rFonts w:cs="Times New Roman"/>
        </w:rPr>
        <w:t xml:space="preserve">historical evolution of this field of study. It also </w:t>
      </w:r>
      <w:r w:rsidR="00C15339" w:rsidRPr="00737239">
        <w:rPr>
          <w:rFonts w:cs="Times New Roman"/>
        </w:rPr>
        <w:t xml:space="preserve">explains </w:t>
      </w:r>
      <w:r w:rsidRPr="00737239">
        <w:rPr>
          <w:rFonts w:cs="Times New Roman"/>
        </w:rPr>
        <w:t xml:space="preserve">the link between </w:t>
      </w:r>
      <w:r w:rsidR="00766C5A" w:rsidRPr="00737239">
        <w:rPr>
          <w:rFonts w:cs="Times New Roman"/>
        </w:rPr>
        <w:t>urban logistics</w:t>
      </w:r>
      <w:r w:rsidRPr="00737239">
        <w:rPr>
          <w:rFonts w:cs="Times New Roman"/>
        </w:rPr>
        <w:t xml:space="preserve"> and the need for sustainable urban development (SUD). </w:t>
      </w:r>
      <w:r w:rsidR="00C15339" w:rsidRPr="00737239">
        <w:rPr>
          <w:rFonts w:cs="Times New Roman"/>
        </w:rPr>
        <w:t xml:space="preserve">An </w:t>
      </w:r>
      <w:r w:rsidRPr="00737239">
        <w:rPr>
          <w:rFonts w:cs="Times New Roman"/>
        </w:rPr>
        <w:t>outline of the whole document</w:t>
      </w:r>
      <w:r w:rsidR="00C15339" w:rsidRPr="00737239">
        <w:rPr>
          <w:rFonts w:cs="Times New Roman"/>
        </w:rPr>
        <w:t xml:space="preserve"> is included here to clarify </w:t>
      </w:r>
      <w:r w:rsidRPr="00737239">
        <w:rPr>
          <w:rFonts w:cs="Times New Roman"/>
        </w:rPr>
        <w:t xml:space="preserve">the </w:t>
      </w:r>
      <w:r w:rsidR="00C15339" w:rsidRPr="00737239">
        <w:rPr>
          <w:rFonts w:cs="Times New Roman"/>
        </w:rPr>
        <w:t xml:space="preserve">primary </w:t>
      </w:r>
      <w:r w:rsidRPr="00737239">
        <w:rPr>
          <w:rFonts w:cs="Times New Roman"/>
        </w:rPr>
        <w:t>research objectives.</w:t>
      </w:r>
    </w:p>
    <w:p w14:paraId="1DC08E1C" w14:textId="4BD1B4ED" w:rsidR="00013E7D" w:rsidRPr="00737239" w:rsidRDefault="00013E7D" w:rsidP="000A4E8C">
      <w:pPr>
        <w:pStyle w:val="Heading2"/>
        <w:spacing w:after="120" w:line="360" w:lineRule="auto"/>
        <w:rPr>
          <w:rFonts w:cs="Times New Roman"/>
        </w:rPr>
      </w:pPr>
      <w:bookmarkStart w:id="18" w:name="_Toc34734479"/>
      <w:bookmarkStart w:id="19" w:name="_Toc46053397"/>
      <w:bookmarkStart w:id="20" w:name="_Toc46093311"/>
      <w:bookmarkStart w:id="21" w:name="_Toc46093594"/>
      <w:bookmarkStart w:id="22" w:name="_Toc66703169"/>
      <w:r w:rsidRPr="00737239">
        <w:rPr>
          <w:rFonts w:cs="Times New Roman"/>
        </w:rPr>
        <w:t xml:space="preserve">General </w:t>
      </w:r>
      <w:r w:rsidR="00C15339" w:rsidRPr="00737239">
        <w:rPr>
          <w:rFonts w:cs="Times New Roman"/>
        </w:rPr>
        <w:t xml:space="preserve">definition </w:t>
      </w:r>
      <w:r w:rsidRPr="00737239">
        <w:rPr>
          <w:rFonts w:cs="Times New Roman"/>
        </w:rPr>
        <w:t xml:space="preserve">of </w:t>
      </w:r>
      <w:r w:rsidR="00C15339" w:rsidRPr="00737239">
        <w:rPr>
          <w:rFonts w:cs="Times New Roman"/>
        </w:rPr>
        <w:t>‘urban logistics’ (UL)</w:t>
      </w:r>
      <w:bookmarkEnd w:id="18"/>
      <w:bookmarkEnd w:id="19"/>
      <w:bookmarkEnd w:id="20"/>
      <w:bookmarkEnd w:id="21"/>
      <w:bookmarkEnd w:id="22"/>
    </w:p>
    <w:p w14:paraId="6FBF6033" w14:textId="2F6BF96E" w:rsidR="005235D7" w:rsidRPr="00A96AC5" w:rsidRDefault="00B915DB" w:rsidP="000A4E8C">
      <w:pPr>
        <w:spacing w:before="156" w:after="240" w:line="360" w:lineRule="auto"/>
        <w:rPr>
          <w:rFonts w:cs="Times New Roman"/>
        </w:rPr>
      </w:pPr>
      <w:r>
        <w:fldChar w:fldCharType="begin"/>
      </w:r>
      <w:r w:rsidR="00CA2D5D">
        <w:instrText xml:space="preserve"> ADDIN EN.CITE &lt;EndNote&gt;&lt;Cite AuthorYear="1"&gt;&lt;Author&gt;Ogden&lt;/Author&gt;&lt;Year&gt;1992&lt;/Year&gt;&lt;RecNum&gt;209&lt;/RecNum&gt;&lt;DisplayText&gt;Ogden (1992)&lt;/DisplayText&gt;&lt;record&gt;&lt;rec-number&gt;209&lt;/rec-number&gt;&lt;foreign-keys&gt;&lt;key app="EN" db-id="x5etaz5aiszvz0edasvvpwvotttxepvd25t2" timestamp="1611177410"&gt;209&lt;/key&gt;&lt;/foreign-keys&gt;&lt;ref-type name="Book"&gt;6&lt;/ref-type&gt;&lt;contributors&gt;&lt;authors&gt;&lt;author&gt;Ogden, Kenneth Wade&lt;/author&gt;&lt;/authors&gt;&lt;/contributors&gt;&lt;titles&gt;&lt;title&gt;Urban goods movement: a guide to policy and planning&lt;/title&gt;&lt;/titles&gt;&lt;dates&gt;&lt;year&gt;1992&lt;/year&gt;&lt;/dates&gt;&lt;isbn&gt;1857420292&lt;/isbn&gt;&lt;urls&gt;&lt;/urls&gt;&lt;/record&gt;&lt;/Cite&gt;&lt;/EndNote&gt;</w:instrText>
      </w:r>
      <w:r>
        <w:fldChar w:fldCharType="separate"/>
      </w:r>
      <w:r>
        <w:rPr>
          <w:noProof/>
        </w:rPr>
        <w:t>Ogden (1992)</w:t>
      </w:r>
      <w:r>
        <w:fldChar w:fldCharType="end"/>
      </w:r>
      <w:r w:rsidR="00B3650F">
        <w:t xml:space="preserve"> </w:t>
      </w:r>
      <w:r w:rsidR="00C15339" w:rsidRPr="00737239">
        <w:rPr>
          <w:rFonts w:cs="Times New Roman"/>
        </w:rPr>
        <w:t>defines u</w:t>
      </w:r>
      <w:r w:rsidR="00013E7D" w:rsidRPr="00737239">
        <w:rPr>
          <w:rFonts w:cs="Times New Roman"/>
        </w:rPr>
        <w:t>rban logistics</w:t>
      </w:r>
      <w:r w:rsidR="00C15339" w:rsidRPr="00737239">
        <w:rPr>
          <w:rFonts w:cs="Times New Roman"/>
        </w:rPr>
        <w:t xml:space="preserve"> (UL) as</w:t>
      </w:r>
      <w:r w:rsidR="00013E7D" w:rsidRPr="00737239">
        <w:rPr>
          <w:rFonts w:cs="Times New Roman"/>
        </w:rPr>
        <w:t> </w:t>
      </w:r>
      <w:r w:rsidR="00C15339" w:rsidRPr="00737239">
        <w:rPr>
          <w:rFonts w:cs="Times New Roman"/>
        </w:rPr>
        <w:t>‘</w:t>
      </w:r>
      <w:r w:rsidR="00013E7D" w:rsidRPr="00737239">
        <w:rPr>
          <w:rFonts w:cs="Times New Roman"/>
        </w:rPr>
        <w:t>the set of systems and processes by which goods are collected, transported, and distributed within urban environments</w:t>
      </w:r>
      <w:r w:rsidR="00C15339" w:rsidRPr="00737239">
        <w:rPr>
          <w:rFonts w:cs="Times New Roman"/>
        </w:rPr>
        <w:t>’</w:t>
      </w:r>
      <w:r w:rsidR="00013E7D" w:rsidRPr="00737239">
        <w:rPr>
          <w:rFonts w:cs="Times New Roman"/>
        </w:rPr>
        <w:t xml:space="preserve">.  </w:t>
      </w:r>
      <w:r w:rsidR="000C1A73" w:rsidRPr="00802DC5">
        <w:rPr>
          <w:rFonts w:cs="Times New Roman"/>
        </w:rPr>
        <w:t xml:space="preserve">UL </w:t>
      </w:r>
      <w:r w:rsidR="00013E7D" w:rsidRPr="008903D1">
        <w:rPr>
          <w:rFonts w:cs="Times New Roman"/>
        </w:rPr>
        <w:t>includ</w:t>
      </w:r>
      <w:r w:rsidR="009C2EE2" w:rsidRPr="00737239">
        <w:rPr>
          <w:rFonts w:cs="Times New Roman"/>
        </w:rPr>
        <w:t>es</w:t>
      </w:r>
      <w:r w:rsidR="00013E7D" w:rsidRPr="008903D1">
        <w:rPr>
          <w:rFonts w:cs="Times New Roman"/>
        </w:rPr>
        <w:t xml:space="preserve"> freight exchange between the inside and the outside of the city and </w:t>
      </w:r>
      <w:r w:rsidR="00BD5C8B">
        <w:rPr>
          <w:rFonts w:cs="Times New Roman"/>
        </w:rPr>
        <w:t xml:space="preserve">the </w:t>
      </w:r>
      <w:r w:rsidR="00013E7D" w:rsidRPr="008903D1">
        <w:rPr>
          <w:rFonts w:cs="Times New Roman"/>
        </w:rPr>
        <w:t>carrying</w:t>
      </w:r>
      <w:r w:rsidR="00BD5C8B">
        <w:rPr>
          <w:rFonts w:cs="Times New Roman"/>
        </w:rPr>
        <w:t xml:space="preserve"> of</w:t>
      </w:r>
      <w:r w:rsidR="00013E7D" w:rsidRPr="008903D1">
        <w:rPr>
          <w:rFonts w:cs="Times New Roman"/>
        </w:rPr>
        <w:t xml:space="preserve"> waste materials out of the city. </w:t>
      </w:r>
      <w:r w:rsidR="00AC0F90">
        <w:rPr>
          <w:rFonts w:cs="Times New Roman"/>
        </w:rPr>
        <w:fldChar w:fldCharType="begin"/>
      </w:r>
      <w:r w:rsidR="00647E79">
        <w:rPr>
          <w:rFonts w:cs="Times New Roman"/>
        </w:rPr>
        <w:instrText xml:space="preserve"> ADDIN EN.CITE &lt;EndNote&gt;&lt;Cite AuthorYear="1"&gt;&lt;Author&gt;Anand&lt;/Author&gt;&lt;Year&gt;2014&lt;/Year&gt;&lt;RecNum&gt;2&lt;/RecNum&gt;&lt;DisplayText&gt;Anand et al. (2014)&lt;/DisplayText&gt;&lt;record&gt;&lt;rec-number&gt;2&lt;/rec-number&gt;&lt;foreign-keys&gt;&lt;key app="EN" db-id="pzt5ep52hsedfpeext2pdfes0w0aswaewef2" timestamp="1605187991"&gt;2&lt;/key&gt;&lt;/foreign-keys&gt;&lt;ref-type name="Journal Article"&gt;17&lt;/ref-type&gt;&lt;contributors&gt;&lt;authors&gt;&lt;author&gt;Anand, Nilesh&lt;/author&gt;&lt;author&gt;van Duin, Ron&lt;/author&gt;&lt;author&gt;Tavasszy, Lori&lt;/author&gt;&lt;/authors&gt;&lt;/contributors&gt;&lt;titles&gt;&lt;title&gt;Ontology-based multi-agent system for urban freight transportation&lt;/title&gt;&lt;secondary-title&gt;International Journal of Urban Sciences&lt;/secondary-title&gt;&lt;/titles&gt;&lt;periodical&gt;&lt;full-title&gt;International Journal of Urban Sciences&lt;/full-title&gt;&lt;/periodical&gt;&lt;pages&gt;133-153&lt;/pages&gt;&lt;volume&gt;18&lt;/volume&gt;&lt;number&gt;2&lt;/number&gt;&lt;dates&gt;&lt;year&gt;2014&lt;/year&gt;&lt;pub-dates&gt;&lt;date&gt;2014/05/04&lt;/date&gt;&lt;/pub-dates&gt;&lt;/dates&gt;&lt;publisher&gt;Routledge&lt;/publisher&gt;&lt;isbn&gt;1226-5934&lt;/isbn&gt;&lt;urls&gt;&lt;related-urls&gt;&lt;url&gt;https://doi.org/10.1080/12265934.2014.920696&lt;/url&gt;&lt;/related-urls&gt;&lt;/urls&gt;&lt;electronic-resource-num&gt;10.1080/12265934.2014.920696&lt;/electronic-resource-num&gt;&lt;/record&gt;&lt;/Cite&gt;&lt;/EndNote&gt;</w:instrText>
      </w:r>
      <w:r w:rsidR="00AC0F90">
        <w:rPr>
          <w:rFonts w:cs="Times New Roman"/>
        </w:rPr>
        <w:fldChar w:fldCharType="separate"/>
      </w:r>
      <w:r w:rsidR="00AC0F90">
        <w:rPr>
          <w:rFonts w:cs="Times New Roman"/>
          <w:noProof/>
        </w:rPr>
        <w:t>Anand et al. (2014)</w:t>
      </w:r>
      <w:r w:rsidR="00AC0F90">
        <w:rPr>
          <w:rFonts w:cs="Times New Roman"/>
        </w:rPr>
        <w:fldChar w:fldCharType="end"/>
      </w:r>
      <w:r w:rsidR="00AC0F90">
        <w:rPr>
          <w:rFonts w:cs="Times New Roman"/>
        </w:rPr>
        <w:t xml:space="preserve"> </w:t>
      </w:r>
      <w:r w:rsidR="009C1E6D" w:rsidRPr="00737239">
        <w:rPr>
          <w:rFonts w:cs="Times New Roman"/>
        </w:rPr>
        <w:t xml:space="preserve">identify five primary stakeholder types in an urban logistical network (ULN), </w:t>
      </w:r>
      <w:r w:rsidR="0086697B">
        <w:rPr>
          <w:rFonts w:cs="Times New Roman"/>
        </w:rPr>
        <w:t>these being</w:t>
      </w:r>
      <w:r w:rsidR="009C1E6D" w:rsidRPr="00737239">
        <w:rPr>
          <w:rFonts w:cs="Times New Roman"/>
        </w:rPr>
        <w:t xml:space="preserve"> consumers, shippers, carriers, producers/shopkeepers, and administrators. </w:t>
      </w:r>
      <w:r w:rsidR="00A17762">
        <w:rPr>
          <w:rFonts w:cs="Times New Roman"/>
        </w:rPr>
        <w:fldChar w:fldCharType="begin"/>
      </w:r>
      <w:r w:rsidR="00A17762">
        <w:rPr>
          <w:rFonts w:cs="Times New Roman"/>
        </w:rPr>
        <w:instrText xml:space="preserve"> REF _Ref46829884 \h </w:instrText>
      </w:r>
      <w:r w:rsidR="00A17762">
        <w:rPr>
          <w:rFonts w:cs="Times New Roman"/>
        </w:rPr>
      </w:r>
      <w:r w:rsidR="00A17762">
        <w:rPr>
          <w:rFonts w:cs="Times New Roman"/>
        </w:rPr>
        <w:fldChar w:fldCharType="separate"/>
      </w:r>
      <w:r w:rsidR="0005064B">
        <w:t xml:space="preserve">Table </w:t>
      </w:r>
      <w:r w:rsidR="0005064B">
        <w:rPr>
          <w:noProof/>
        </w:rPr>
        <w:t>1</w:t>
      </w:r>
      <w:r w:rsidR="0005064B">
        <w:noBreakHyphen/>
      </w:r>
      <w:r w:rsidR="0005064B">
        <w:rPr>
          <w:noProof/>
        </w:rPr>
        <w:t>1</w:t>
      </w:r>
      <w:r w:rsidR="00A17762">
        <w:rPr>
          <w:rFonts w:cs="Times New Roman"/>
        </w:rPr>
        <w:fldChar w:fldCharType="end"/>
      </w:r>
      <w:r w:rsidR="00A17762">
        <w:rPr>
          <w:rFonts w:cs="Times New Roman"/>
        </w:rPr>
        <w:t xml:space="preserve"> </w:t>
      </w:r>
      <w:r w:rsidR="009C1E6D" w:rsidRPr="008903D1">
        <w:rPr>
          <w:rFonts w:cs="Times New Roman"/>
        </w:rPr>
        <w:t>lists the characteristics of each of these stakeholders.</w:t>
      </w:r>
    </w:p>
    <w:tbl>
      <w:tblPr>
        <w:tblStyle w:val="TableGrid1"/>
        <w:tblW w:w="5000" w:type="pct"/>
        <w:tblLook w:val="04A0" w:firstRow="1" w:lastRow="0" w:firstColumn="1" w:lastColumn="0" w:noHBand="0" w:noVBand="1"/>
      </w:tblPr>
      <w:tblGrid>
        <w:gridCol w:w="2269"/>
        <w:gridCol w:w="6747"/>
      </w:tblGrid>
      <w:tr w:rsidR="00AA2AFA" w:rsidRPr="008903D1" w14:paraId="74EF1F3F" w14:textId="77777777" w:rsidTr="00F7598C">
        <w:trPr>
          <w:trHeight w:val="97"/>
        </w:trPr>
        <w:tc>
          <w:tcPr>
            <w:tcW w:w="1195" w:type="pct"/>
            <w:vAlign w:val="center"/>
          </w:tcPr>
          <w:p w14:paraId="306A4A13" w14:textId="77777777" w:rsidR="00AA2AFA" w:rsidRPr="00A96AC5" w:rsidRDefault="00AA2AFA" w:rsidP="000A4E8C">
            <w:pPr>
              <w:spacing w:line="240" w:lineRule="auto"/>
              <w:jc w:val="center"/>
              <w:rPr>
                <w:rFonts w:cs="Times New Roman"/>
                <w:b/>
                <w:bCs/>
                <w:sz w:val="22"/>
              </w:rPr>
            </w:pPr>
            <w:r w:rsidRPr="00A96AC5">
              <w:rPr>
                <w:rFonts w:cs="Times New Roman"/>
                <w:b/>
                <w:bCs/>
                <w:sz w:val="22"/>
              </w:rPr>
              <w:t>Stakeholders</w:t>
            </w:r>
          </w:p>
        </w:tc>
        <w:tc>
          <w:tcPr>
            <w:tcW w:w="3805" w:type="pct"/>
            <w:vAlign w:val="center"/>
          </w:tcPr>
          <w:p w14:paraId="78A88B26" w14:textId="77777777" w:rsidR="00AA2AFA" w:rsidRPr="00A96AC5" w:rsidRDefault="00AA2AFA" w:rsidP="000A4E8C">
            <w:pPr>
              <w:spacing w:line="240" w:lineRule="auto"/>
              <w:jc w:val="center"/>
              <w:rPr>
                <w:rFonts w:cs="Times New Roman"/>
                <w:b/>
                <w:bCs/>
                <w:sz w:val="22"/>
              </w:rPr>
            </w:pPr>
            <w:r w:rsidRPr="00A96AC5">
              <w:rPr>
                <w:rFonts w:cs="Times New Roman"/>
                <w:b/>
                <w:bCs/>
                <w:sz w:val="22"/>
              </w:rPr>
              <w:t>Description</w:t>
            </w:r>
          </w:p>
        </w:tc>
      </w:tr>
      <w:tr w:rsidR="00AA2AFA" w:rsidRPr="008903D1" w14:paraId="48B2343C" w14:textId="77777777" w:rsidTr="00F7598C">
        <w:trPr>
          <w:trHeight w:val="271"/>
        </w:trPr>
        <w:tc>
          <w:tcPr>
            <w:tcW w:w="1195" w:type="pct"/>
            <w:vAlign w:val="center"/>
          </w:tcPr>
          <w:p w14:paraId="148EAA34" w14:textId="77777777" w:rsidR="00AA2AFA" w:rsidRPr="00907526" w:rsidRDefault="00AA2AFA" w:rsidP="000A4E8C">
            <w:pPr>
              <w:spacing w:line="240" w:lineRule="auto"/>
              <w:rPr>
                <w:rFonts w:cs="Times New Roman"/>
              </w:rPr>
            </w:pPr>
            <w:r w:rsidRPr="00907526">
              <w:rPr>
                <w:rFonts w:cs="Times New Roman"/>
              </w:rPr>
              <w:t>Consumer</w:t>
            </w:r>
          </w:p>
        </w:tc>
        <w:tc>
          <w:tcPr>
            <w:tcW w:w="3805" w:type="pct"/>
            <w:vAlign w:val="center"/>
          </w:tcPr>
          <w:p w14:paraId="4024392C" w14:textId="77777777" w:rsidR="00AA2AFA" w:rsidRPr="00907526" w:rsidRDefault="00AA2AFA" w:rsidP="000A4E8C">
            <w:pPr>
              <w:spacing w:line="240" w:lineRule="auto"/>
              <w:rPr>
                <w:rFonts w:cs="Times New Roman"/>
              </w:rPr>
            </w:pPr>
            <w:r w:rsidRPr="00907526">
              <w:rPr>
                <w:rFonts w:cs="Times New Roman"/>
              </w:rPr>
              <w:t>Consumers’ purchase behaviour generates logistical activities.</w:t>
            </w:r>
          </w:p>
        </w:tc>
      </w:tr>
      <w:tr w:rsidR="00AA2AFA" w:rsidRPr="008903D1" w14:paraId="2241EA05" w14:textId="77777777" w:rsidTr="00F7598C">
        <w:trPr>
          <w:trHeight w:val="692"/>
        </w:trPr>
        <w:tc>
          <w:tcPr>
            <w:tcW w:w="1195" w:type="pct"/>
            <w:vAlign w:val="center"/>
          </w:tcPr>
          <w:p w14:paraId="778AC72C" w14:textId="77777777" w:rsidR="00AA2AFA" w:rsidRPr="00907526" w:rsidRDefault="00AA2AFA" w:rsidP="000A4E8C">
            <w:pPr>
              <w:spacing w:line="240" w:lineRule="auto"/>
              <w:rPr>
                <w:rFonts w:cs="Times New Roman"/>
              </w:rPr>
            </w:pPr>
            <w:r w:rsidRPr="00907526">
              <w:rPr>
                <w:rFonts w:cs="Times New Roman"/>
              </w:rPr>
              <w:t>Shipper</w:t>
            </w:r>
          </w:p>
        </w:tc>
        <w:tc>
          <w:tcPr>
            <w:tcW w:w="3805" w:type="pct"/>
            <w:vAlign w:val="center"/>
          </w:tcPr>
          <w:p w14:paraId="2207D9F9" w14:textId="3DE82DEE" w:rsidR="00AA2AFA" w:rsidRPr="00907526" w:rsidRDefault="00AA2AFA" w:rsidP="000A4E8C">
            <w:pPr>
              <w:spacing w:line="240" w:lineRule="auto"/>
              <w:rPr>
                <w:rFonts w:cs="Times New Roman"/>
              </w:rPr>
            </w:pPr>
            <w:r w:rsidRPr="00907526">
              <w:rPr>
                <w:rFonts w:cs="Times New Roman"/>
              </w:rPr>
              <w:t>Shipper provide</w:t>
            </w:r>
            <w:r w:rsidR="00595742">
              <w:rPr>
                <w:rFonts w:cs="Times New Roman"/>
              </w:rPr>
              <w:t>s</w:t>
            </w:r>
            <w:r w:rsidRPr="00907526">
              <w:rPr>
                <w:rFonts w:cs="Times New Roman"/>
              </w:rPr>
              <w:t xml:space="preserve"> services for the entire logistics network. The upstream organisation of the carrier administers the operation of the carrier.</w:t>
            </w:r>
          </w:p>
        </w:tc>
      </w:tr>
      <w:tr w:rsidR="00AA2AFA" w:rsidRPr="008903D1" w14:paraId="63E59E7F" w14:textId="77777777" w:rsidTr="00F7598C">
        <w:tc>
          <w:tcPr>
            <w:tcW w:w="1195" w:type="pct"/>
            <w:vAlign w:val="center"/>
          </w:tcPr>
          <w:p w14:paraId="55BB7D02" w14:textId="77777777" w:rsidR="00AA2AFA" w:rsidRPr="00907526" w:rsidRDefault="00AA2AFA" w:rsidP="000A4E8C">
            <w:pPr>
              <w:spacing w:line="240" w:lineRule="auto"/>
              <w:rPr>
                <w:rFonts w:cs="Times New Roman"/>
              </w:rPr>
            </w:pPr>
            <w:r w:rsidRPr="00907526">
              <w:rPr>
                <w:rFonts w:cs="Times New Roman"/>
              </w:rPr>
              <w:t>Carrier</w:t>
            </w:r>
          </w:p>
        </w:tc>
        <w:tc>
          <w:tcPr>
            <w:tcW w:w="3805" w:type="pct"/>
            <w:vAlign w:val="center"/>
          </w:tcPr>
          <w:p w14:paraId="14B7A29A" w14:textId="77777777" w:rsidR="00AA2AFA" w:rsidRPr="00907526" w:rsidRDefault="00AA2AFA" w:rsidP="000A4E8C">
            <w:pPr>
              <w:spacing w:line="240" w:lineRule="auto"/>
              <w:rPr>
                <w:rFonts w:cs="Times New Roman"/>
              </w:rPr>
            </w:pPr>
            <w:r w:rsidRPr="00907526">
              <w:rPr>
                <w:rFonts w:cs="Times New Roman"/>
              </w:rPr>
              <w:t>The carrier implements the logistics work.</w:t>
            </w:r>
          </w:p>
        </w:tc>
      </w:tr>
      <w:tr w:rsidR="00AA2AFA" w:rsidRPr="008903D1" w14:paraId="4B298AF3" w14:textId="77777777" w:rsidTr="00F7598C">
        <w:tc>
          <w:tcPr>
            <w:tcW w:w="1195" w:type="pct"/>
            <w:vAlign w:val="center"/>
          </w:tcPr>
          <w:p w14:paraId="7AFE62F2" w14:textId="77777777" w:rsidR="00AA2AFA" w:rsidRPr="00907526" w:rsidRDefault="00AA2AFA" w:rsidP="000A4E8C">
            <w:pPr>
              <w:spacing w:line="240" w:lineRule="auto"/>
              <w:rPr>
                <w:rFonts w:cs="Times New Roman"/>
              </w:rPr>
            </w:pPr>
            <w:r w:rsidRPr="00907526">
              <w:rPr>
                <w:rFonts w:cs="Times New Roman"/>
              </w:rPr>
              <w:t>Shopkeeper/producer</w:t>
            </w:r>
          </w:p>
        </w:tc>
        <w:tc>
          <w:tcPr>
            <w:tcW w:w="3805" w:type="pct"/>
            <w:vAlign w:val="center"/>
          </w:tcPr>
          <w:p w14:paraId="0C26E4F0" w14:textId="77777777" w:rsidR="00AA2AFA" w:rsidRPr="00907526" w:rsidRDefault="00AA2AFA" w:rsidP="000A4E8C">
            <w:pPr>
              <w:spacing w:line="240" w:lineRule="auto"/>
              <w:rPr>
                <w:rFonts w:cs="Times New Roman"/>
              </w:rPr>
            </w:pPr>
            <w:r w:rsidRPr="00907526">
              <w:rPr>
                <w:rFonts w:cs="Times New Roman"/>
              </w:rPr>
              <w:t>The shopkeeper provides the goods for the consumer.</w:t>
            </w:r>
          </w:p>
        </w:tc>
      </w:tr>
      <w:tr w:rsidR="00AA2AFA" w:rsidRPr="008903D1" w14:paraId="33F2E62D" w14:textId="77777777" w:rsidTr="00F7598C">
        <w:tc>
          <w:tcPr>
            <w:tcW w:w="1195" w:type="pct"/>
            <w:vAlign w:val="center"/>
          </w:tcPr>
          <w:p w14:paraId="13C47C39" w14:textId="77777777" w:rsidR="00AA2AFA" w:rsidRPr="00907526" w:rsidRDefault="00AA2AFA" w:rsidP="000A4E8C">
            <w:pPr>
              <w:spacing w:line="240" w:lineRule="auto"/>
              <w:rPr>
                <w:rFonts w:cs="Times New Roman"/>
              </w:rPr>
            </w:pPr>
            <w:r w:rsidRPr="00907526">
              <w:rPr>
                <w:rFonts w:cs="Times New Roman"/>
              </w:rPr>
              <w:t>Administrator</w:t>
            </w:r>
          </w:p>
        </w:tc>
        <w:tc>
          <w:tcPr>
            <w:tcW w:w="3805" w:type="pct"/>
            <w:vAlign w:val="center"/>
          </w:tcPr>
          <w:p w14:paraId="73DE586B" w14:textId="77777777" w:rsidR="00AA2AFA" w:rsidRPr="00907526" w:rsidRDefault="00AA2AFA" w:rsidP="000A4E8C">
            <w:pPr>
              <w:spacing w:line="240" w:lineRule="auto"/>
              <w:rPr>
                <w:rFonts w:cs="Times New Roman"/>
              </w:rPr>
            </w:pPr>
            <w:r w:rsidRPr="00907526">
              <w:rPr>
                <w:rFonts w:cs="Times New Roman"/>
              </w:rPr>
              <w:t>The administrator monitors and provides the facilities for the logistical network.</w:t>
            </w:r>
          </w:p>
        </w:tc>
      </w:tr>
    </w:tbl>
    <w:p w14:paraId="4E821BF3" w14:textId="59B738B1" w:rsidR="00013E7D" w:rsidRPr="00A234C5" w:rsidRDefault="00A4572B" w:rsidP="00A4572B">
      <w:pPr>
        <w:pStyle w:val="Caption"/>
      </w:pPr>
      <w:bookmarkStart w:id="23" w:name="_Ref46829884"/>
      <w:bookmarkStart w:id="24" w:name="_Toc491870101"/>
      <w:bookmarkStart w:id="25" w:name="_Toc34674922"/>
      <w:bookmarkStart w:id="26" w:name="_Toc40794152"/>
      <w:bookmarkStart w:id="27" w:name="_Toc46053526"/>
      <w:bookmarkStart w:id="28" w:name="_Toc46093775"/>
      <w:bookmarkStart w:id="29" w:name="_Toc66698743"/>
      <w:r>
        <w:t xml:space="preserve">Table </w:t>
      </w:r>
      <w:r w:rsidR="000306D9">
        <w:fldChar w:fldCharType="begin"/>
      </w:r>
      <w:r w:rsidR="000306D9">
        <w:instrText xml:space="preserve"> STYLEREF 1 \s </w:instrText>
      </w:r>
      <w:r w:rsidR="000306D9">
        <w:fldChar w:fldCharType="separate"/>
      </w:r>
      <w:r w:rsidR="0005064B">
        <w:rPr>
          <w:noProof/>
        </w:rPr>
        <w:t>1</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1</w:t>
      </w:r>
      <w:r w:rsidR="000306D9">
        <w:rPr>
          <w:noProof/>
        </w:rPr>
        <w:fldChar w:fldCharType="end"/>
      </w:r>
      <w:bookmarkEnd w:id="23"/>
      <w:r w:rsidR="007F73E1">
        <w:rPr>
          <w:rFonts w:cs="Times New Roman"/>
        </w:rPr>
        <w:t>:</w:t>
      </w:r>
      <w:r w:rsidR="00A234C5">
        <w:rPr>
          <w:rFonts w:cs="Times New Roman"/>
        </w:rPr>
        <w:t xml:space="preserve"> </w:t>
      </w:r>
      <w:r w:rsidR="00013E7D" w:rsidRPr="008903D1">
        <w:rPr>
          <w:rFonts w:cs="Times New Roman"/>
        </w:rPr>
        <w:t xml:space="preserve">Stakeholders in </w:t>
      </w:r>
      <w:r w:rsidR="00C15339" w:rsidRPr="00737239">
        <w:rPr>
          <w:rFonts w:cs="Times New Roman"/>
        </w:rPr>
        <w:t xml:space="preserve">urban </w:t>
      </w:r>
      <w:bookmarkEnd w:id="24"/>
      <w:r w:rsidR="00C15339" w:rsidRPr="00737239">
        <w:rPr>
          <w:rFonts w:cs="Times New Roman"/>
        </w:rPr>
        <w:t>logistics (UL)</w:t>
      </w:r>
      <w:bookmarkEnd w:id="25"/>
      <w:bookmarkEnd w:id="26"/>
      <w:bookmarkEnd w:id="27"/>
      <w:bookmarkEnd w:id="28"/>
      <w:bookmarkEnd w:id="29"/>
    </w:p>
    <w:p w14:paraId="4D88366C" w14:textId="27039597" w:rsidR="00852EB0" w:rsidRDefault="00013E7D" w:rsidP="000A4E8C">
      <w:pPr>
        <w:spacing w:before="156" w:after="240" w:line="360" w:lineRule="auto"/>
        <w:rPr>
          <w:rFonts w:cs="Times New Roman"/>
        </w:rPr>
      </w:pPr>
      <w:r w:rsidRPr="00802DC5">
        <w:rPr>
          <w:rFonts w:cs="Times New Roman"/>
        </w:rPr>
        <w:t>The logistical process can be divided into three stages</w:t>
      </w:r>
      <w:r w:rsidR="00C15339" w:rsidRPr="00802DC5">
        <w:rPr>
          <w:rFonts w:cs="Times New Roman"/>
        </w:rPr>
        <w:t xml:space="preserve"> of </w:t>
      </w:r>
      <w:r w:rsidRPr="006C301D">
        <w:rPr>
          <w:rFonts w:cs="Times New Roman"/>
        </w:rPr>
        <w:t>goods movement (</w:t>
      </w:r>
      <w:r w:rsidR="00A17762">
        <w:rPr>
          <w:rFonts w:cs="Times New Roman"/>
        </w:rPr>
        <w:fldChar w:fldCharType="begin"/>
      </w:r>
      <w:r w:rsidR="00A17762">
        <w:rPr>
          <w:rFonts w:cs="Times New Roman"/>
        </w:rPr>
        <w:instrText xml:space="preserve"> REF _Ref46829905 \h </w:instrText>
      </w:r>
      <w:r w:rsidR="00A17762">
        <w:rPr>
          <w:rFonts w:cs="Times New Roman"/>
        </w:rPr>
      </w:r>
      <w:r w:rsidR="00A17762">
        <w:rPr>
          <w:rFonts w:cs="Times New Roman"/>
        </w:rPr>
        <w:fldChar w:fldCharType="separate"/>
      </w:r>
      <w:r w:rsidR="0005064B">
        <w:t xml:space="preserve">Table </w:t>
      </w:r>
      <w:r w:rsidR="0005064B">
        <w:rPr>
          <w:noProof/>
        </w:rPr>
        <w:t>1</w:t>
      </w:r>
      <w:r w:rsidR="0005064B">
        <w:noBreakHyphen/>
      </w:r>
      <w:r w:rsidR="0005064B">
        <w:rPr>
          <w:noProof/>
        </w:rPr>
        <w:t>2</w:t>
      </w:r>
      <w:r w:rsidR="00A17762">
        <w:rPr>
          <w:rFonts w:cs="Times New Roman"/>
        </w:rPr>
        <w:fldChar w:fldCharType="end"/>
      </w:r>
      <w:r w:rsidRPr="008903D1">
        <w:rPr>
          <w:rFonts w:cs="Times New Roman"/>
        </w:rPr>
        <w:t>): first-mile pickup, line-haul transport, and last-mile distribution</w:t>
      </w:r>
      <w:r w:rsidR="007A5E62">
        <w:rPr>
          <w:rFonts w:cs="Times New Roman"/>
        </w:rPr>
        <w:t xml:space="preserve"> </w:t>
      </w:r>
      <w:r w:rsidR="00050818">
        <w:rPr>
          <w:rFonts w:cs="Times New Roman"/>
        </w:rPr>
        <w:fldChar w:fldCharType="begin"/>
      </w:r>
      <w:r w:rsidR="00647E79">
        <w:rPr>
          <w:rFonts w:cs="Times New Roman"/>
        </w:rPr>
        <w:instrText xml:space="preserve"> ADDIN EN.CITE &lt;EndNote&gt;&lt;Cite&gt;&lt;Author&gt;van Heeswijk&lt;/Author&gt;&lt;Year&gt;2016&lt;/Year&gt;&lt;RecNum&gt;3&lt;/RecNum&gt;&lt;DisplayText&gt;(van Heeswijk et al., 2016)&lt;/DisplayText&gt;&lt;record&gt;&lt;rec-number&gt;3&lt;/rec-number&gt;&lt;foreign-keys&gt;&lt;key app="EN" db-id="pzt5ep52hsedfpeext2pdfes0w0aswaewef2" timestamp="1605187991"&gt;3&lt;/key&gt;&lt;/foreign-keys&gt;&lt;ref-type name="Conference Proceedings"&gt;10&lt;/ref-type&gt;&lt;contributors&gt;&lt;authors&gt;&lt;author&gt;van Heeswijk, Wouter&lt;/author&gt;&lt;author&gt;Mes, Martijn&lt;/author&gt;&lt;author&gt;Schutten, Marco&lt;/author&gt;&lt;/authors&gt;&lt;secondary-authors&gt;&lt;author&gt;Paias, Ana&lt;/author&gt;&lt;author&gt;Ruthmair, Mario&lt;/author&gt;&lt;author&gt;Voß, Stefan&lt;/author&gt;&lt;/secondary-authors&gt;&lt;/contributors&gt;&lt;titles&gt;&lt;title&gt;An Agent-Based Simulation Framework to Evaluate Urban Logistics Schemes&lt;/title&gt;&lt;secondary-title&gt;Computational Logistics&lt;/secondary-title&gt;&lt;/titles&gt;&lt;pages&gt;369-383&lt;/pages&gt;&lt;dates&gt;&lt;year&gt;2016&lt;/year&gt;&lt;pub-dates&gt;&lt;date&gt;2016//&lt;/date&gt;&lt;/pub-dates&gt;&lt;/dates&gt;&lt;pub-location&gt;Cham&lt;/pub-location&gt;&lt;publisher&gt;Springer International Publishing&lt;/publisher&gt;&lt;isbn&gt;978-3-319-44896-1&lt;/isbn&gt;&lt;urls&gt;&lt;/urls&gt;&lt;/record&gt;&lt;/Cite&gt;&lt;/EndNote&gt;</w:instrText>
      </w:r>
      <w:r w:rsidR="00050818">
        <w:rPr>
          <w:rFonts w:cs="Times New Roman"/>
        </w:rPr>
        <w:fldChar w:fldCharType="separate"/>
      </w:r>
      <w:r w:rsidR="00050818">
        <w:rPr>
          <w:rFonts w:cs="Times New Roman"/>
          <w:noProof/>
        </w:rPr>
        <w:t>(van Heeswijk et al., 2016)</w:t>
      </w:r>
      <w:r w:rsidR="00050818">
        <w:rPr>
          <w:rFonts w:cs="Times New Roman"/>
        </w:rPr>
        <w:fldChar w:fldCharType="end"/>
      </w:r>
      <w:r w:rsidR="007A5E62">
        <w:rPr>
          <w:rFonts w:cs="Times New Roman" w:hint="eastAsia"/>
        </w:rPr>
        <w:t>.</w:t>
      </w:r>
      <w:r w:rsidRPr="008903D1">
        <w:rPr>
          <w:rFonts w:cs="Times New Roman"/>
        </w:rPr>
        <w:t xml:space="preserve"> From </w:t>
      </w:r>
      <w:r w:rsidR="00C15339" w:rsidRPr="008903D1">
        <w:rPr>
          <w:rFonts w:cs="Times New Roman"/>
        </w:rPr>
        <w:t xml:space="preserve">a </w:t>
      </w:r>
      <w:r w:rsidRPr="00737239">
        <w:rPr>
          <w:rFonts w:cs="Times New Roman"/>
        </w:rPr>
        <w:t xml:space="preserve">geographical point of view, UL is </w:t>
      </w:r>
      <w:r w:rsidR="00C15339" w:rsidRPr="00737239">
        <w:rPr>
          <w:rFonts w:cs="Times New Roman"/>
        </w:rPr>
        <w:t xml:space="preserve">primarily </w:t>
      </w:r>
      <w:r w:rsidRPr="00802DC5">
        <w:rPr>
          <w:rFonts w:cs="Times New Roman"/>
        </w:rPr>
        <w:t xml:space="preserve">concerned with last-mile distribution </w:t>
      </w:r>
      <w:r w:rsidR="00C15339" w:rsidRPr="006C301D">
        <w:rPr>
          <w:rFonts w:cs="Times New Roman"/>
        </w:rPr>
        <w:t>a</w:t>
      </w:r>
      <w:r w:rsidR="00C15339" w:rsidRPr="00A96AC5">
        <w:rPr>
          <w:rFonts w:cs="Times New Roman"/>
        </w:rPr>
        <w:t xml:space="preserve">s </w:t>
      </w:r>
      <w:r w:rsidRPr="00A96AC5">
        <w:rPr>
          <w:rFonts w:cs="Times New Roman"/>
        </w:rPr>
        <w:t xml:space="preserve">the </w:t>
      </w:r>
      <w:r w:rsidR="00475218" w:rsidRPr="00A96AC5">
        <w:rPr>
          <w:rFonts w:cs="Times New Roman"/>
        </w:rPr>
        <w:t>destination</w:t>
      </w:r>
      <w:r w:rsidRPr="00A96AC5">
        <w:rPr>
          <w:rFonts w:cs="Times New Roman"/>
        </w:rPr>
        <w:t xml:space="preserve"> of freight is </w:t>
      </w:r>
      <w:r w:rsidR="00C15339" w:rsidRPr="00A96AC5">
        <w:rPr>
          <w:rFonts w:cs="Times New Roman"/>
        </w:rPr>
        <w:t xml:space="preserve">often </w:t>
      </w:r>
      <w:r w:rsidRPr="00A96AC5">
        <w:rPr>
          <w:rFonts w:cs="Times New Roman"/>
        </w:rPr>
        <w:t xml:space="preserve">in </w:t>
      </w:r>
      <w:r w:rsidR="00C15339" w:rsidRPr="00A96AC5">
        <w:rPr>
          <w:rFonts w:cs="Times New Roman"/>
        </w:rPr>
        <w:t xml:space="preserve">an </w:t>
      </w:r>
      <w:r w:rsidRPr="00A96AC5">
        <w:rPr>
          <w:rFonts w:cs="Times New Roman"/>
        </w:rPr>
        <w:t xml:space="preserve">urban area </w:t>
      </w:r>
      <w:r w:rsidR="00050818">
        <w:fldChar w:fldCharType="begin"/>
      </w:r>
      <w:r w:rsidR="00647E79">
        <w:instrText xml:space="preserve"> ADDIN EN.CITE &lt;EndNote&gt;&lt;Cite&gt;&lt;Author&gt;Moroz&lt;/Author&gt;&lt;Year&gt;2016&lt;/Year&gt;&lt;RecNum&gt;4&lt;/RecNum&gt;&lt;DisplayText&gt;(Moroz and Polkowski, 2016)&lt;/DisplayText&gt;&lt;record&gt;&lt;rec-number&gt;4&lt;/rec-number&gt;&lt;foreign-keys&gt;&lt;key app="EN" db-id="pzt5ep52hsedfpeext2pdfes0w0aswaewef2" timestamp="1605187991"&gt;4&lt;/key&gt;&lt;/foreign-keys&gt;&lt;ref-type name="Journal Article"&gt;17&lt;/ref-type&gt;&lt;contributors&gt;&lt;authors&gt;&lt;author&gt;Moroz, Miroslaw&lt;/author&gt;&lt;author&gt;Polkowski, Zdzislaw&lt;/author&gt;&lt;/authors&gt;&lt;/contributors&gt;&lt;titles&gt;&lt;title&gt;The Last Mile Issue and Urban Logistics: Choosing Parcel Machines in the Context of the Ecological Attitudes of the Y Generation Consumers Purchasing Online&lt;/title&gt;&lt;secondary-title&gt;Transportation Research Procedia&lt;/secondary-title&gt;&lt;/titles&gt;&lt;periodical&gt;&lt;full-title&gt;Transportation Research Procedia&lt;/full-title&gt;&lt;/periodical&gt;&lt;pages&gt;378-393&lt;/pages&gt;&lt;volume&gt;16&lt;/volume&gt;&lt;keywords&gt;&lt;keyword&gt;Urban logistics&lt;/keyword&gt;&lt;keyword&gt;the last mile issue&lt;/keyword&gt;&lt;keyword&gt;e-commerce&lt;/keyword&gt;&lt;keyword&gt;parcel machines&lt;/keyword&gt;&lt;keyword&gt;parcel lockers&lt;/keyword&gt;&lt;keyword&gt;Generation Y&lt;/keyword&gt;&lt;keyword&gt;ecological criterion of delivery method.&lt;/keyword&gt;&lt;/keywords&gt;&lt;dates&gt;&lt;year&gt;2016&lt;/year&gt;&lt;pub-dates&gt;&lt;date&gt;2016/01/01/&lt;/date&gt;&lt;/pub-dates&gt;&lt;/dates&gt;&lt;isbn&gt;2352-1465&lt;/isbn&gt;&lt;urls&gt;&lt;related-urls&gt;&lt;url&gt;http://www.sciencedirect.com/science/article/pii/S2352146516306500&lt;/url&gt;&lt;/related-urls&gt;&lt;/urls&gt;&lt;electronic-resource-num&gt;http://dx.doi.org/10.1016/j.trpro.2016.11.036&lt;/electronic-resource-num&gt;&lt;/record&gt;&lt;/Cite&gt;&lt;/EndNote&gt;</w:instrText>
      </w:r>
      <w:r w:rsidR="00050818">
        <w:fldChar w:fldCharType="separate"/>
      </w:r>
      <w:r w:rsidR="00050818">
        <w:rPr>
          <w:noProof/>
        </w:rPr>
        <w:t>(Moroz and Polkowski, 2016)</w:t>
      </w:r>
      <w:r w:rsidR="00050818">
        <w:fldChar w:fldCharType="end"/>
      </w:r>
      <w:r w:rsidR="00C14A7B" w:rsidRPr="00A96AC5">
        <w:rPr>
          <w:rFonts w:cs="Times New Roman"/>
        </w:rPr>
        <w:t xml:space="preserve">. </w:t>
      </w:r>
      <w:r w:rsidRPr="00A96AC5">
        <w:rPr>
          <w:rFonts w:cs="Times New Roman"/>
        </w:rPr>
        <w:t>In reverse logistics activities (for instance, waste flows), first-mile pick</w:t>
      </w:r>
      <w:r w:rsidR="008F25A7">
        <w:rPr>
          <w:rFonts w:cs="Times New Roman"/>
        </w:rPr>
        <w:t xml:space="preserve"> </w:t>
      </w:r>
      <w:r w:rsidRPr="00A96AC5">
        <w:rPr>
          <w:rFonts w:cs="Times New Roman"/>
        </w:rPr>
        <w:t xml:space="preserve">up </w:t>
      </w:r>
      <w:r w:rsidR="00C15339" w:rsidRPr="00A96AC5">
        <w:rPr>
          <w:rFonts w:cs="Times New Roman"/>
        </w:rPr>
        <w:t xml:space="preserve">is </w:t>
      </w:r>
      <w:r w:rsidRPr="00A96AC5">
        <w:rPr>
          <w:rFonts w:cs="Times New Roman"/>
        </w:rPr>
        <w:t xml:space="preserve">the </w:t>
      </w:r>
      <w:r w:rsidR="00C15339" w:rsidRPr="00A96AC5">
        <w:rPr>
          <w:rFonts w:cs="Times New Roman"/>
        </w:rPr>
        <w:t xml:space="preserve">primary </w:t>
      </w:r>
      <w:r w:rsidRPr="00A96AC5">
        <w:rPr>
          <w:rFonts w:cs="Times New Roman"/>
        </w:rPr>
        <w:t xml:space="preserve">activity in the urban environment. </w:t>
      </w:r>
    </w:p>
    <w:p w14:paraId="22D22282" w14:textId="057AF146" w:rsidR="004634E5" w:rsidRDefault="004634E5" w:rsidP="000A4E8C">
      <w:pPr>
        <w:spacing w:before="156" w:after="240" w:line="360" w:lineRule="auto"/>
        <w:rPr>
          <w:rFonts w:cs="Times New Roman"/>
        </w:rPr>
      </w:pPr>
    </w:p>
    <w:p w14:paraId="5886C912" w14:textId="77777777" w:rsidR="004634E5" w:rsidRPr="00A96AC5" w:rsidRDefault="004634E5" w:rsidP="000A4E8C">
      <w:pPr>
        <w:spacing w:before="156" w:after="240" w:line="360" w:lineRule="auto"/>
        <w:rPr>
          <w:rFonts w:cs="Times New Roman"/>
        </w:rPr>
      </w:pPr>
    </w:p>
    <w:tbl>
      <w:tblPr>
        <w:tblStyle w:val="TableGrid"/>
        <w:tblW w:w="5000" w:type="pct"/>
        <w:jc w:val="center"/>
        <w:tblLook w:val="04A0" w:firstRow="1" w:lastRow="0" w:firstColumn="1" w:lastColumn="0" w:noHBand="0" w:noVBand="1"/>
      </w:tblPr>
      <w:tblGrid>
        <w:gridCol w:w="2425"/>
        <w:gridCol w:w="3421"/>
        <w:gridCol w:w="3170"/>
      </w:tblGrid>
      <w:tr w:rsidR="00013E7D" w:rsidRPr="008903D1" w14:paraId="5BAD5B1C" w14:textId="77777777" w:rsidTr="00A10738">
        <w:trPr>
          <w:jc w:val="center"/>
        </w:trPr>
        <w:tc>
          <w:tcPr>
            <w:tcW w:w="1345" w:type="pct"/>
            <w:vAlign w:val="center"/>
          </w:tcPr>
          <w:p w14:paraId="57889046" w14:textId="3808BECE" w:rsidR="00013E7D" w:rsidRPr="00A96AC5" w:rsidRDefault="00013E7D" w:rsidP="00A10738">
            <w:pPr>
              <w:spacing w:line="240" w:lineRule="auto"/>
              <w:jc w:val="center"/>
              <w:rPr>
                <w:rFonts w:cs="Times New Roman"/>
                <w:b/>
                <w:sz w:val="22"/>
              </w:rPr>
            </w:pPr>
            <w:r w:rsidRPr="00A96AC5">
              <w:rPr>
                <w:rFonts w:cs="Times New Roman"/>
                <w:b/>
                <w:sz w:val="22"/>
              </w:rPr>
              <w:lastRenderedPageBreak/>
              <w:t xml:space="preserve">Freight </w:t>
            </w:r>
            <w:r w:rsidR="00C15339" w:rsidRPr="00A96AC5">
              <w:rPr>
                <w:rFonts w:cs="Times New Roman"/>
                <w:b/>
                <w:sz w:val="22"/>
              </w:rPr>
              <w:t>transportation process</w:t>
            </w:r>
          </w:p>
        </w:tc>
        <w:tc>
          <w:tcPr>
            <w:tcW w:w="1897" w:type="pct"/>
            <w:vAlign w:val="center"/>
          </w:tcPr>
          <w:p w14:paraId="2D13C145" w14:textId="77777777" w:rsidR="00013E7D" w:rsidRPr="00A96AC5" w:rsidRDefault="00013E7D" w:rsidP="00A10738">
            <w:pPr>
              <w:spacing w:line="240" w:lineRule="auto"/>
              <w:jc w:val="center"/>
              <w:rPr>
                <w:rFonts w:cs="Times New Roman"/>
                <w:b/>
                <w:sz w:val="22"/>
              </w:rPr>
            </w:pPr>
            <w:r w:rsidRPr="00A96AC5">
              <w:rPr>
                <w:rFonts w:cs="Times New Roman"/>
                <w:b/>
                <w:sz w:val="22"/>
              </w:rPr>
              <w:t>Description</w:t>
            </w:r>
          </w:p>
        </w:tc>
        <w:tc>
          <w:tcPr>
            <w:tcW w:w="1759" w:type="pct"/>
            <w:vAlign w:val="center"/>
          </w:tcPr>
          <w:p w14:paraId="69EA46DC" w14:textId="428CA99F" w:rsidR="00013E7D" w:rsidRPr="00A96AC5" w:rsidRDefault="00013E7D" w:rsidP="00A10738">
            <w:pPr>
              <w:spacing w:line="240" w:lineRule="auto"/>
              <w:jc w:val="center"/>
              <w:rPr>
                <w:rFonts w:cs="Times New Roman"/>
                <w:b/>
                <w:sz w:val="22"/>
              </w:rPr>
            </w:pPr>
            <w:r w:rsidRPr="00A96AC5">
              <w:rPr>
                <w:rFonts w:cs="Times New Roman"/>
                <w:b/>
                <w:sz w:val="22"/>
              </w:rPr>
              <w:t xml:space="preserve">Stakeholders </w:t>
            </w:r>
            <w:r w:rsidR="00C15339" w:rsidRPr="00A96AC5">
              <w:rPr>
                <w:rFonts w:cs="Times New Roman"/>
                <w:b/>
                <w:sz w:val="22"/>
              </w:rPr>
              <w:t>involved</w:t>
            </w:r>
          </w:p>
        </w:tc>
      </w:tr>
      <w:tr w:rsidR="00013E7D" w:rsidRPr="008903D1" w14:paraId="429FE395" w14:textId="77777777" w:rsidTr="00A10738">
        <w:trPr>
          <w:jc w:val="center"/>
        </w:trPr>
        <w:tc>
          <w:tcPr>
            <w:tcW w:w="1345" w:type="pct"/>
            <w:vAlign w:val="center"/>
          </w:tcPr>
          <w:p w14:paraId="248D1E4F" w14:textId="77777777" w:rsidR="00013E7D" w:rsidRPr="00737239" w:rsidRDefault="00013E7D" w:rsidP="00A10738">
            <w:pPr>
              <w:spacing w:line="240" w:lineRule="auto"/>
              <w:rPr>
                <w:rFonts w:cs="Times New Roman"/>
                <w:sz w:val="22"/>
              </w:rPr>
            </w:pPr>
            <w:r w:rsidRPr="00737239">
              <w:rPr>
                <w:rFonts w:cs="Times New Roman"/>
                <w:sz w:val="22"/>
              </w:rPr>
              <w:t>First-mile pickup</w:t>
            </w:r>
          </w:p>
        </w:tc>
        <w:tc>
          <w:tcPr>
            <w:tcW w:w="1897" w:type="pct"/>
            <w:vAlign w:val="center"/>
          </w:tcPr>
          <w:p w14:paraId="54D08E12" w14:textId="77777777" w:rsidR="00013E7D" w:rsidRPr="00A96AC5" w:rsidRDefault="00013E7D" w:rsidP="00A10738">
            <w:pPr>
              <w:spacing w:line="240" w:lineRule="auto"/>
              <w:rPr>
                <w:rFonts w:cs="Times New Roman"/>
                <w:sz w:val="22"/>
              </w:rPr>
            </w:pPr>
            <w:r w:rsidRPr="00802DC5">
              <w:rPr>
                <w:rFonts w:cs="Times New Roman"/>
                <w:sz w:val="22"/>
              </w:rPr>
              <w:t>The carriers collect the freight from the last suppliers</w:t>
            </w:r>
            <w:r w:rsidR="00C15339" w:rsidRPr="006C301D">
              <w:rPr>
                <w:rFonts w:cs="Times New Roman"/>
                <w:sz w:val="22"/>
              </w:rPr>
              <w:t>.</w:t>
            </w:r>
          </w:p>
        </w:tc>
        <w:tc>
          <w:tcPr>
            <w:tcW w:w="1759" w:type="pct"/>
            <w:vAlign w:val="center"/>
          </w:tcPr>
          <w:p w14:paraId="5FE72C6B" w14:textId="295408DD" w:rsidR="00013E7D" w:rsidRPr="00A96AC5" w:rsidRDefault="00013E7D" w:rsidP="00A10738">
            <w:pPr>
              <w:spacing w:line="240" w:lineRule="auto"/>
              <w:rPr>
                <w:rFonts w:cs="Times New Roman"/>
                <w:sz w:val="22"/>
              </w:rPr>
            </w:pPr>
            <w:r w:rsidRPr="00A96AC5">
              <w:rPr>
                <w:rFonts w:cs="Times New Roman"/>
                <w:sz w:val="22"/>
              </w:rPr>
              <w:t xml:space="preserve">Shopkeeper/producers, </w:t>
            </w:r>
            <w:r w:rsidR="00C15339" w:rsidRPr="00A96AC5">
              <w:rPr>
                <w:rFonts w:cs="Times New Roman"/>
                <w:sz w:val="22"/>
              </w:rPr>
              <w:t>carriers</w:t>
            </w:r>
          </w:p>
        </w:tc>
      </w:tr>
      <w:tr w:rsidR="00013E7D" w:rsidRPr="008903D1" w14:paraId="480B0A45" w14:textId="77777777" w:rsidTr="00A10738">
        <w:trPr>
          <w:jc w:val="center"/>
        </w:trPr>
        <w:tc>
          <w:tcPr>
            <w:tcW w:w="1345" w:type="pct"/>
            <w:vAlign w:val="center"/>
          </w:tcPr>
          <w:p w14:paraId="0AEA9563" w14:textId="77777777" w:rsidR="00013E7D" w:rsidRPr="00737239" w:rsidRDefault="00013E7D" w:rsidP="00A10738">
            <w:pPr>
              <w:spacing w:line="240" w:lineRule="auto"/>
              <w:rPr>
                <w:rFonts w:cs="Times New Roman"/>
                <w:sz w:val="22"/>
              </w:rPr>
            </w:pPr>
            <w:r w:rsidRPr="00737239">
              <w:rPr>
                <w:rFonts w:cs="Times New Roman"/>
                <w:sz w:val="22"/>
              </w:rPr>
              <w:t>Line-haul transport</w:t>
            </w:r>
          </w:p>
        </w:tc>
        <w:tc>
          <w:tcPr>
            <w:tcW w:w="1897" w:type="pct"/>
            <w:vAlign w:val="center"/>
          </w:tcPr>
          <w:p w14:paraId="6471AAAA" w14:textId="3D230852" w:rsidR="00013E7D" w:rsidRPr="00A96AC5" w:rsidRDefault="00013E7D" w:rsidP="00A10738">
            <w:pPr>
              <w:spacing w:line="240" w:lineRule="auto"/>
              <w:rPr>
                <w:rFonts w:cs="Times New Roman"/>
                <w:sz w:val="22"/>
              </w:rPr>
            </w:pPr>
            <w:r w:rsidRPr="00802DC5">
              <w:rPr>
                <w:rFonts w:cs="Times New Roman"/>
                <w:sz w:val="22"/>
              </w:rPr>
              <w:t xml:space="preserve">The freight </w:t>
            </w:r>
            <w:r w:rsidR="00383144" w:rsidRPr="00802DC5">
              <w:rPr>
                <w:rFonts w:cs="Times New Roman"/>
                <w:sz w:val="22"/>
              </w:rPr>
              <w:t xml:space="preserve">is </w:t>
            </w:r>
            <w:r w:rsidRPr="006C301D">
              <w:rPr>
                <w:rFonts w:cs="Times New Roman"/>
                <w:sz w:val="22"/>
              </w:rPr>
              <w:t>transport</w:t>
            </w:r>
            <w:r w:rsidR="00383144" w:rsidRPr="00A96AC5">
              <w:rPr>
                <w:rFonts w:cs="Times New Roman"/>
                <w:sz w:val="22"/>
              </w:rPr>
              <w:t>ed</w:t>
            </w:r>
            <w:r w:rsidRPr="00A96AC5">
              <w:rPr>
                <w:rFonts w:cs="Times New Roman"/>
                <w:sz w:val="22"/>
              </w:rPr>
              <w:t>, transit</w:t>
            </w:r>
            <w:r w:rsidR="00383144" w:rsidRPr="00A96AC5">
              <w:rPr>
                <w:rFonts w:cs="Times New Roman"/>
                <w:sz w:val="22"/>
              </w:rPr>
              <w:t>ed</w:t>
            </w:r>
            <w:r w:rsidRPr="00A96AC5">
              <w:rPr>
                <w:rFonts w:cs="Times New Roman"/>
                <w:sz w:val="22"/>
              </w:rPr>
              <w:t>, and distributed on its way to the last connecting hub</w:t>
            </w:r>
            <w:r w:rsidR="00C15339" w:rsidRPr="00A96AC5">
              <w:rPr>
                <w:rFonts w:cs="Times New Roman"/>
                <w:sz w:val="22"/>
              </w:rPr>
              <w:t>.</w:t>
            </w:r>
          </w:p>
        </w:tc>
        <w:tc>
          <w:tcPr>
            <w:tcW w:w="1759" w:type="pct"/>
            <w:vAlign w:val="center"/>
          </w:tcPr>
          <w:p w14:paraId="77AD2255" w14:textId="17E4C06F" w:rsidR="00013E7D" w:rsidRPr="00A96AC5" w:rsidRDefault="00013E7D" w:rsidP="00A10738">
            <w:pPr>
              <w:spacing w:line="240" w:lineRule="auto"/>
              <w:rPr>
                <w:rFonts w:cs="Times New Roman"/>
                <w:sz w:val="22"/>
              </w:rPr>
            </w:pPr>
            <w:r w:rsidRPr="00A96AC5">
              <w:rPr>
                <w:rFonts w:cs="Times New Roman"/>
                <w:sz w:val="22"/>
              </w:rPr>
              <w:t xml:space="preserve">Shippers, </w:t>
            </w:r>
            <w:r w:rsidR="00C15339" w:rsidRPr="00A96AC5">
              <w:rPr>
                <w:rFonts w:cs="Times New Roman"/>
                <w:sz w:val="22"/>
              </w:rPr>
              <w:t>carriers</w:t>
            </w:r>
          </w:p>
        </w:tc>
      </w:tr>
      <w:tr w:rsidR="00013E7D" w:rsidRPr="008903D1" w14:paraId="5F5BBDBE" w14:textId="77777777" w:rsidTr="00A10738">
        <w:trPr>
          <w:jc w:val="center"/>
        </w:trPr>
        <w:tc>
          <w:tcPr>
            <w:tcW w:w="1345" w:type="pct"/>
            <w:vAlign w:val="center"/>
          </w:tcPr>
          <w:p w14:paraId="6A95C86A" w14:textId="77777777" w:rsidR="00013E7D" w:rsidRPr="00737239" w:rsidRDefault="00013E7D" w:rsidP="00A10738">
            <w:pPr>
              <w:spacing w:line="240" w:lineRule="auto"/>
              <w:rPr>
                <w:rFonts w:cs="Times New Roman"/>
                <w:sz w:val="22"/>
              </w:rPr>
            </w:pPr>
            <w:r w:rsidRPr="00737239">
              <w:rPr>
                <w:rFonts w:cs="Times New Roman"/>
                <w:sz w:val="22"/>
              </w:rPr>
              <w:t>Last-mile distribution</w:t>
            </w:r>
          </w:p>
        </w:tc>
        <w:tc>
          <w:tcPr>
            <w:tcW w:w="1897" w:type="pct"/>
            <w:vAlign w:val="center"/>
          </w:tcPr>
          <w:p w14:paraId="0F367210" w14:textId="52AB9795" w:rsidR="00013E7D" w:rsidRPr="00A96AC5" w:rsidRDefault="00013E7D" w:rsidP="00A10738">
            <w:pPr>
              <w:spacing w:line="240" w:lineRule="auto"/>
              <w:rPr>
                <w:rFonts w:cs="Times New Roman"/>
                <w:sz w:val="22"/>
              </w:rPr>
            </w:pPr>
            <w:r w:rsidRPr="00802DC5">
              <w:rPr>
                <w:rFonts w:cs="Times New Roman"/>
                <w:sz w:val="22"/>
              </w:rPr>
              <w:t>The freight from the last connecting hub is delivered to</w:t>
            </w:r>
            <w:r w:rsidR="00383144" w:rsidRPr="006C301D">
              <w:rPr>
                <w:rFonts w:cs="Times New Roman"/>
                <w:sz w:val="22"/>
              </w:rPr>
              <w:t xml:space="preserve"> the</w:t>
            </w:r>
            <w:r w:rsidRPr="00A96AC5">
              <w:rPr>
                <w:rFonts w:cs="Times New Roman"/>
                <w:sz w:val="22"/>
              </w:rPr>
              <w:t xml:space="preserve"> consumers.</w:t>
            </w:r>
          </w:p>
        </w:tc>
        <w:tc>
          <w:tcPr>
            <w:tcW w:w="1759" w:type="pct"/>
            <w:vAlign w:val="center"/>
          </w:tcPr>
          <w:p w14:paraId="36C28457" w14:textId="64061674" w:rsidR="00013E7D" w:rsidRPr="00A96AC5" w:rsidRDefault="00013E7D" w:rsidP="00A10738">
            <w:pPr>
              <w:spacing w:line="240" w:lineRule="auto"/>
              <w:rPr>
                <w:rFonts w:cs="Times New Roman"/>
                <w:sz w:val="22"/>
              </w:rPr>
            </w:pPr>
            <w:r w:rsidRPr="00A96AC5">
              <w:rPr>
                <w:rFonts w:cs="Times New Roman"/>
                <w:sz w:val="22"/>
              </w:rPr>
              <w:t xml:space="preserve">Carriers, </w:t>
            </w:r>
            <w:r w:rsidR="00C15339" w:rsidRPr="00A96AC5">
              <w:rPr>
                <w:rFonts w:cs="Times New Roman"/>
                <w:sz w:val="22"/>
              </w:rPr>
              <w:t>consumers</w:t>
            </w:r>
            <w:r w:rsidRPr="00A96AC5">
              <w:rPr>
                <w:rFonts w:cs="Times New Roman"/>
                <w:sz w:val="22"/>
              </w:rPr>
              <w:t xml:space="preserve">, </w:t>
            </w:r>
            <w:r w:rsidR="00C15339" w:rsidRPr="00A96AC5">
              <w:rPr>
                <w:rFonts w:cs="Times New Roman"/>
                <w:sz w:val="22"/>
              </w:rPr>
              <w:t>administrators</w:t>
            </w:r>
          </w:p>
        </w:tc>
      </w:tr>
    </w:tbl>
    <w:p w14:paraId="5D8B0E71" w14:textId="15249357" w:rsidR="00013E7D" w:rsidRPr="00A96AC5" w:rsidRDefault="007B5959" w:rsidP="007B5959">
      <w:pPr>
        <w:pStyle w:val="Caption"/>
        <w:rPr>
          <w:rStyle w:val="apple-converted-space"/>
          <w:rFonts w:cs="Times New Roman"/>
        </w:rPr>
      </w:pPr>
      <w:bookmarkStart w:id="30" w:name="_Ref46829905"/>
      <w:bookmarkStart w:id="31" w:name="_Toc491870102"/>
      <w:bookmarkStart w:id="32" w:name="_Toc34674923"/>
      <w:bookmarkStart w:id="33" w:name="_Toc40794153"/>
      <w:bookmarkStart w:id="34" w:name="_Toc46053527"/>
      <w:bookmarkStart w:id="35" w:name="_Toc46093776"/>
      <w:bookmarkStart w:id="36" w:name="_Toc66698744"/>
      <w:r>
        <w:t xml:space="preserve">Table </w:t>
      </w:r>
      <w:r w:rsidR="000306D9">
        <w:fldChar w:fldCharType="begin"/>
      </w:r>
      <w:r w:rsidR="000306D9">
        <w:instrText xml:space="preserve"> STYLEREF 1 \s </w:instrText>
      </w:r>
      <w:r w:rsidR="000306D9">
        <w:fldChar w:fldCharType="separate"/>
      </w:r>
      <w:r w:rsidR="0005064B">
        <w:rPr>
          <w:noProof/>
        </w:rPr>
        <w:t>1</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2</w:t>
      </w:r>
      <w:r w:rsidR="000306D9">
        <w:rPr>
          <w:noProof/>
        </w:rPr>
        <w:fldChar w:fldCharType="end"/>
      </w:r>
      <w:bookmarkEnd w:id="30"/>
      <w:r>
        <w:rPr>
          <w:rStyle w:val="apple-converted-space"/>
          <w:rFonts w:cs="Times New Roman" w:hint="eastAsia"/>
        </w:rPr>
        <w:t>:</w:t>
      </w:r>
      <w:r>
        <w:rPr>
          <w:rStyle w:val="apple-converted-space"/>
          <w:rFonts w:cs="Times New Roman"/>
        </w:rPr>
        <w:t xml:space="preserve"> </w:t>
      </w:r>
      <w:r w:rsidR="00013E7D" w:rsidRPr="008903D1">
        <w:rPr>
          <w:rStyle w:val="apple-converted-space"/>
          <w:rFonts w:cs="Times New Roman"/>
        </w:rPr>
        <w:t xml:space="preserve">Logistical </w:t>
      </w:r>
      <w:bookmarkEnd w:id="31"/>
      <w:r w:rsidR="00C15339" w:rsidRPr="008903D1">
        <w:rPr>
          <w:rStyle w:val="apple-converted-space"/>
          <w:rFonts w:cs="Times New Roman"/>
        </w:rPr>
        <w:t>processes</w:t>
      </w:r>
      <w:bookmarkEnd w:id="32"/>
      <w:bookmarkEnd w:id="33"/>
      <w:bookmarkEnd w:id="34"/>
      <w:bookmarkEnd w:id="35"/>
      <w:bookmarkEnd w:id="36"/>
    </w:p>
    <w:p w14:paraId="330CDEF1" w14:textId="4D094EB7" w:rsidR="008D6004" w:rsidRPr="00737239" w:rsidRDefault="00013E7D" w:rsidP="00AB18B0">
      <w:pPr>
        <w:spacing w:before="156" w:after="240" w:line="360" w:lineRule="auto"/>
        <w:rPr>
          <w:rFonts w:cs="Times New Roman"/>
        </w:rPr>
      </w:pPr>
      <w:r w:rsidRPr="00737239">
        <w:rPr>
          <w:rFonts w:cs="Times New Roman"/>
        </w:rPr>
        <w:t xml:space="preserve">From a supply chain perspective, ULNs are constituted by a set of entities having one or more specific activities (or roles) </w:t>
      </w:r>
      <w:r w:rsidR="00C15339" w:rsidRPr="00802DC5">
        <w:rPr>
          <w:rFonts w:cs="Times New Roman"/>
        </w:rPr>
        <w:t xml:space="preserve">in </w:t>
      </w:r>
      <w:r w:rsidRPr="00802DC5">
        <w:rPr>
          <w:rFonts w:cs="Times New Roman"/>
        </w:rPr>
        <w:t xml:space="preserve">producing, supplying, transforming, storing, or distributing a final product </w:t>
      </w:r>
      <w:r w:rsidR="00050818">
        <w:fldChar w:fldCharType="begin"/>
      </w:r>
      <w:r w:rsidR="00647E79">
        <w:instrText xml:space="preserve"> ADDIN EN.CITE &lt;EndNote&gt;&lt;Cite&gt;&lt;Author&gt;Pirard&lt;/Author&gt;&lt;Year&gt;2011&lt;/Year&gt;&lt;RecNum&gt;5&lt;/RecNum&gt;&lt;DisplayText&gt;(Pirard et al., 2011)&lt;/DisplayText&gt;&lt;record&gt;&lt;rec-number&gt;5&lt;/rec-number&gt;&lt;foreign-keys&gt;&lt;key app="EN" db-id="pzt5ep52hsedfpeext2pdfes0w0aswaewef2" timestamp="1605187991"&gt;5&lt;/key&gt;&lt;/foreign-keys&gt;&lt;ref-type name="Journal Article"&gt;17&lt;/ref-type&gt;&lt;contributors&gt;&lt;authors&gt;&lt;author&gt;Pirard, Florence&lt;/author&gt;&lt;author&gt;Iassinovski, Serguei&lt;/author&gt;&lt;author&gt;Riane, Fouad&lt;/author&gt;&lt;/authors&gt;&lt;/contributors&gt;&lt;titles&gt;&lt;title&gt;A simulation based approach for supply network control&lt;/title&gt;&lt;secondary-title&gt;International Journal of Production Research&lt;/secondary-title&gt;&lt;/titles&gt;&lt;periodical&gt;&lt;full-title&gt;International Journal of Production Research&lt;/full-title&gt;&lt;/periodical&gt;&lt;pages&gt;7205-7226&lt;/pages&gt;&lt;volume&gt;49&lt;/volume&gt;&lt;number&gt;24&lt;/number&gt;&lt;dates&gt;&lt;year&gt;2011&lt;/year&gt;&lt;/dates&gt;&lt;isbn&gt;0020-7543&lt;/isbn&gt;&lt;urls&gt;&lt;/urls&gt;&lt;/record&gt;&lt;/Cite&gt;&lt;/EndNote&gt;</w:instrText>
      </w:r>
      <w:r w:rsidR="00050818">
        <w:fldChar w:fldCharType="separate"/>
      </w:r>
      <w:r w:rsidR="00050818">
        <w:rPr>
          <w:noProof/>
        </w:rPr>
        <w:t>(Pirard et al., 2011)</w:t>
      </w:r>
      <w:r w:rsidR="00050818">
        <w:fldChar w:fldCharType="end"/>
      </w:r>
      <w:r w:rsidRPr="00A96AC5">
        <w:rPr>
          <w:rFonts w:cs="Times New Roman"/>
        </w:rPr>
        <w:t>. Logistics service providers</w:t>
      </w:r>
      <w:r w:rsidR="00247948" w:rsidRPr="00A96AC5">
        <w:rPr>
          <w:rFonts w:cs="Times New Roman"/>
        </w:rPr>
        <w:t xml:space="preserve"> (LSPs)</w:t>
      </w:r>
      <w:r w:rsidRPr="00A96AC5">
        <w:rPr>
          <w:rFonts w:cs="Times New Roman"/>
        </w:rPr>
        <w:t xml:space="preserve"> </w:t>
      </w:r>
      <w:r w:rsidR="00C15339" w:rsidRPr="00A96AC5">
        <w:rPr>
          <w:rFonts w:cs="Times New Roman"/>
        </w:rPr>
        <w:t xml:space="preserve">can </w:t>
      </w:r>
      <w:r w:rsidRPr="00A96AC5">
        <w:rPr>
          <w:rFonts w:cs="Times New Roman"/>
        </w:rPr>
        <w:t>also be responsible for collecting waste from citizens. Additionally, monetary and information flows accompany goods flow</w:t>
      </w:r>
      <w:r w:rsidR="00C15339" w:rsidRPr="00A96AC5">
        <w:rPr>
          <w:rFonts w:cs="Times New Roman"/>
        </w:rPr>
        <w:t>s</w:t>
      </w:r>
      <w:r w:rsidRPr="00A96AC5">
        <w:rPr>
          <w:rFonts w:cs="Times New Roman"/>
        </w:rPr>
        <w:t xml:space="preserve"> in the logistics network</w:t>
      </w:r>
      <w:r w:rsidR="00C14A7B" w:rsidRPr="00A96AC5">
        <w:rPr>
          <w:rFonts w:cs="Times New Roman"/>
        </w:rPr>
        <w:t xml:space="preserve"> </w:t>
      </w:r>
      <w:r w:rsidR="00050818">
        <w:fldChar w:fldCharType="begin"/>
      </w:r>
      <w:r w:rsidR="00647E79">
        <w:instrText xml:space="preserve"> ADDIN EN.CITE &lt;EndNote&gt;&lt;Cite&gt;&lt;Author&gt;Wangapisit&lt;/Author&gt;&lt;Year&gt;2014&lt;/Year&gt;&lt;RecNum&gt;6&lt;/RecNum&gt;&lt;DisplayText&gt;(Wangapisit et al., 2014)&lt;/DisplayText&gt;&lt;record&gt;&lt;rec-number&gt;6&lt;/rec-number&gt;&lt;foreign-keys&gt;&lt;key app="EN" db-id="pzt5ep52hsedfpeext2pdfes0w0aswaewef2" timestamp="1605187991"&gt;6&lt;/key&gt;&lt;/foreign-keys&gt;&lt;ref-type name="Journal Article"&gt;17&lt;/ref-type&gt;&lt;contributors&gt;&lt;authors&gt;&lt;author&gt;Wangapisit, Ornkamon&lt;/author&gt;&lt;author&gt;Taniguchi, Eiichi&lt;/author&gt;&lt;author&gt;Teo, Joel SE&lt;/author&gt;&lt;author&gt;Qureshi, Ali Gul&lt;/author&gt;&lt;/authors&gt;&lt;/contributors&gt;&lt;titles&gt;&lt;title&gt;Multi-agent systems modelling for evaluating joint delivery systems&lt;/title&gt;&lt;secondary-title&gt;Procedia-Social and Behavioral Sciences&lt;/secondary-title&gt;&lt;/titles&gt;&lt;periodical&gt;&lt;full-title&gt;Procedia-Social and Behavioral Sciences&lt;/full-title&gt;&lt;/periodical&gt;&lt;pages&gt;472-483&lt;/pages&gt;&lt;volume&gt;125&lt;/volume&gt;&lt;dates&gt;&lt;year&gt;2014&lt;/year&gt;&lt;/dates&gt;&lt;isbn&gt;1877-0428&lt;/isbn&gt;&lt;urls&gt;&lt;/urls&gt;&lt;/record&gt;&lt;/Cite&gt;&lt;/EndNote&gt;</w:instrText>
      </w:r>
      <w:r w:rsidR="00050818">
        <w:fldChar w:fldCharType="separate"/>
      </w:r>
      <w:r w:rsidR="00050818">
        <w:rPr>
          <w:noProof/>
        </w:rPr>
        <w:t>(Wangapisit et al., 2014)</w:t>
      </w:r>
      <w:r w:rsidR="00050818">
        <w:fldChar w:fldCharType="end"/>
      </w:r>
      <w:r w:rsidRPr="00A96AC5">
        <w:rPr>
          <w:rFonts w:cs="Times New Roman"/>
        </w:rPr>
        <w:t xml:space="preserve">. </w:t>
      </w:r>
      <w:r w:rsidR="00AB18B0">
        <w:rPr>
          <w:rFonts w:cs="Times New Roman"/>
        </w:rPr>
        <w:fldChar w:fldCharType="begin"/>
      </w:r>
      <w:r w:rsidR="00AB18B0">
        <w:rPr>
          <w:rFonts w:cs="Times New Roman"/>
        </w:rPr>
        <w:instrText xml:space="preserve"> REF _Ref47353071 \h  \* MERGEFORMAT </w:instrText>
      </w:r>
      <w:r w:rsidR="00AB18B0">
        <w:rPr>
          <w:rFonts w:cs="Times New Roman"/>
        </w:rPr>
      </w:r>
      <w:r w:rsidR="00AB18B0">
        <w:rPr>
          <w:rFonts w:cs="Times New Roman"/>
        </w:rPr>
        <w:fldChar w:fldCharType="separate"/>
      </w:r>
      <w:r w:rsidR="0005064B">
        <w:rPr>
          <w:rStyle w:val="apple-converted-space"/>
          <w:rFonts w:cs="Times New Roman"/>
        </w:rPr>
        <w:t>Table</w:t>
      </w:r>
      <w:r w:rsidR="0005064B" w:rsidRPr="00737239">
        <w:rPr>
          <w:rStyle w:val="apple-converted-space"/>
          <w:rFonts w:cs="Times New Roman"/>
        </w:rPr>
        <w:t xml:space="preserve"> </w:t>
      </w:r>
      <w:r w:rsidR="0005064B">
        <w:rPr>
          <w:rStyle w:val="apple-converted-space"/>
          <w:rFonts w:cs="Times New Roman"/>
          <w:noProof/>
        </w:rPr>
        <w:t>1</w:t>
      </w:r>
      <w:r w:rsidR="0005064B">
        <w:rPr>
          <w:rStyle w:val="apple-converted-space"/>
          <w:rFonts w:cs="Times New Roman"/>
          <w:noProof/>
        </w:rPr>
        <w:noBreakHyphen/>
        <w:t>3</w:t>
      </w:r>
      <w:r w:rsidR="00AB18B0">
        <w:rPr>
          <w:rFonts w:cs="Times New Roman"/>
        </w:rPr>
        <w:fldChar w:fldCharType="end"/>
      </w:r>
      <w:r w:rsidR="00AB18B0">
        <w:rPr>
          <w:rFonts w:cs="Times New Roman"/>
        </w:rPr>
        <w:t xml:space="preserve"> </w:t>
      </w:r>
      <w:r w:rsidR="00AB18B0">
        <w:rPr>
          <w:rFonts w:cs="Times New Roman" w:hint="eastAsia"/>
        </w:rPr>
        <w:t>details</w:t>
      </w:r>
      <w:r w:rsidR="00AB18B0">
        <w:rPr>
          <w:rFonts w:cs="Times New Roman"/>
        </w:rPr>
        <w:t xml:space="preserve"> the materials, monetary and information flows of UL.</w:t>
      </w:r>
    </w:p>
    <w:tbl>
      <w:tblPr>
        <w:tblStyle w:val="TableGrid"/>
        <w:tblW w:w="4879" w:type="pct"/>
        <w:jc w:val="center"/>
        <w:tblLook w:val="04A0" w:firstRow="1" w:lastRow="0" w:firstColumn="1" w:lastColumn="0" w:noHBand="0" w:noVBand="1"/>
      </w:tblPr>
      <w:tblGrid>
        <w:gridCol w:w="2622"/>
        <w:gridCol w:w="6176"/>
      </w:tblGrid>
      <w:tr w:rsidR="00013E7D" w:rsidRPr="008903D1" w14:paraId="78127CA2" w14:textId="77777777" w:rsidTr="00E4156A">
        <w:trPr>
          <w:jc w:val="center"/>
        </w:trPr>
        <w:tc>
          <w:tcPr>
            <w:tcW w:w="1490" w:type="pct"/>
            <w:vAlign w:val="center"/>
          </w:tcPr>
          <w:p w14:paraId="73000B46" w14:textId="77777777" w:rsidR="00013E7D" w:rsidRPr="00802DC5" w:rsidRDefault="00013E7D" w:rsidP="000A4E8C">
            <w:pPr>
              <w:spacing w:line="240" w:lineRule="auto"/>
              <w:jc w:val="center"/>
              <w:rPr>
                <w:rFonts w:cs="Times New Roman"/>
                <w:b/>
                <w:bCs/>
              </w:rPr>
            </w:pPr>
            <w:r w:rsidRPr="00802DC5">
              <w:rPr>
                <w:rFonts w:cs="Times New Roman"/>
                <w:b/>
                <w:bCs/>
              </w:rPr>
              <w:t>Categories</w:t>
            </w:r>
          </w:p>
        </w:tc>
        <w:tc>
          <w:tcPr>
            <w:tcW w:w="3510" w:type="pct"/>
          </w:tcPr>
          <w:p w14:paraId="63BD8133" w14:textId="77777777" w:rsidR="00013E7D" w:rsidRPr="00A96AC5" w:rsidRDefault="00013E7D" w:rsidP="000A4E8C">
            <w:pPr>
              <w:spacing w:line="240" w:lineRule="auto"/>
              <w:jc w:val="center"/>
              <w:rPr>
                <w:rFonts w:cs="Times New Roman"/>
                <w:b/>
                <w:bCs/>
              </w:rPr>
            </w:pPr>
            <w:r w:rsidRPr="006C301D">
              <w:rPr>
                <w:rFonts w:cs="Times New Roman"/>
                <w:b/>
                <w:bCs/>
              </w:rPr>
              <w:t>Direction</w:t>
            </w:r>
          </w:p>
        </w:tc>
      </w:tr>
      <w:tr w:rsidR="00013E7D" w:rsidRPr="008903D1" w14:paraId="5058F400" w14:textId="77777777" w:rsidTr="00E4156A">
        <w:trPr>
          <w:jc w:val="center"/>
        </w:trPr>
        <w:tc>
          <w:tcPr>
            <w:tcW w:w="1490" w:type="pct"/>
            <w:vAlign w:val="center"/>
          </w:tcPr>
          <w:p w14:paraId="78443D66" w14:textId="705ABC4C" w:rsidR="00013E7D" w:rsidRPr="00802DC5" w:rsidRDefault="00013E7D" w:rsidP="000A4E8C">
            <w:pPr>
              <w:spacing w:line="240" w:lineRule="auto"/>
              <w:jc w:val="center"/>
              <w:rPr>
                <w:rFonts w:cs="Times New Roman"/>
              </w:rPr>
            </w:pPr>
            <w:bookmarkStart w:id="37" w:name="_Toc490410164"/>
            <w:bookmarkStart w:id="38" w:name="_Toc490410592"/>
            <w:bookmarkStart w:id="39" w:name="_Toc490411902"/>
            <w:bookmarkStart w:id="40" w:name="_Toc490415012"/>
            <w:r w:rsidRPr="00737239">
              <w:rPr>
                <w:rFonts w:cs="Times New Roman"/>
              </w:rPr>
              <w:t xml:space="preserve">Materials </w:t>
            </w:r>
            <w:r w:rsidR="00C15339" w:rsidRPr="00737239">
              <w:rPr>
                <w:rFonts w:cs="Times New Roman"/>
              </w:rPr>
              <w:t>flow</w:t>
            </w:r>
          </w:p>
        </w:tc>
        <w:tc>
          <w:tcPr>
            <w:tcW w:w="3510" w:type="pct"/>
          </w:tcPr>
          <w:p w14:paraId="6CF45748" w14:textId="6C9E6575" w:rsidR="00013E7D" w:rsidRPr="00737239" w:rsidRDefault="00DF1B30" w:rsidP="000A4E8C">
            <w:pPr>
              <w:spacing w:line="240" w:lineRule="auto"/>
              <w:rPr>
                <w:rFonts w:cs="Times New Roman"/>
              </w:rPr>
            </w:pPr>
            <w:r w:rsidRPr="006C301D">
              <w:rPr>
                <w:rFonts w:cs="Times New Roman"/>
              </w:rPr>
              <w:t>Shipper</w:t>
            </w:r>
            <w:r w:rsidR="00C15339" w:rsidRPr="00A96AC5">
              <w:rPr>
                <w:rFonts w:cs="Times New Roman"/>
              </w:rPr>
              <w:t xml:space="preserve"> </w:t>
            </w:r>
            <w:r w:rsidR="00013E7D" w:rsidRPr="00A96AC5">
              <w:rPr>
                <w:rFonts w:eastAsia="Wingdings" w:cs="Times New Roman"/>
              </w:rPr>
              <w:sym w:font="Wingdings" w:char="F0E0"/>
            </w:r>
            <w:r w:rsidR="00013E7D" w:rsidRPr="008903D1">
              <w:rPr>
                <w:rFonts w:cs="Times New Roman"/>
              </w:rPr>
              <w:t xml:space="preserve"> Intercity </w:t>
            </w:r>
            <w:r w:rsidR="00C15339" w:rsidRPr="008903D1">
              <w:rPr>
                <w:rFonts w:cs="Times New Roman"/>
              </w:rPr>
              <w:t xml:space="preserve">carrier </w:t>
            </w:r>
            <w:r w:rsidR="00013E7D" w:rsidRPr="00A96AC5">
              <w:rPr>
                <w:rFonts w:eastAsia="Wingdings" w:cs="Times New Roman"/>
              </w:rPr>
              <w:sym w:font="Wingdings" w:char="F0E0"/>
            </w:r>
            <w:r w:rsidR="00013E7D" w:rsidRPr="008903D1">
              <w:rPr>
                <w:rFonts w:cs="Times New Roman"/>
              </w:rPr>
              <w:t xml:space="preserve"> Local </w:t>
            </w:r>
            <w:r w:rsidR="00C15339" w:rsidRPr="008903D1">
              <w:rPr>
                <w:rFonts w:cs="Times New Roman"/>
              </w:rPr>
              <w:t xml:space="preserve">carrier </w:t>
            </w:r>
            <w:r w:rsidR="00013E7D" w:rsidRPr="00A96AC5">
              <w:rPr>
                <w:rFonts w:eastAsia="Wingdings" w:cs="Times New Roman"/>
              </w:rPr>
              <w:sym w:font="Wingdings" w:char="F0E0"/>
            </w:r>
            <w:r w:rsidR="00013E7D" w:rsidRPr="008903D1">
              <w:rPr>
                <w:rFonts w:cs="Times New Roman"/>
              </w:rPr>
              <w:t xml:space="preserve"> </w:t>
            </w:r>
            <w:r w:rsidR="00046B13">
              <w:rPr>
                <w:rFonts w:cs="Times New Roman" w:hint="eastAsia"/>
              </w:rPr>
              <w:t>C</w:t>
            </w:r>
            <w:r w:rsidR="00C15339" w:rsidRPr="00737239">
              <w:rPr>
                <w:rFonts w:cs="Times New Roman"/>
              </w:rPr>
              <w:t>onsumers</w:t>
            </w:r>
          </w:p>
          <w:p w14:paraId="74C54E47" w14:textId="5182F78F" w:rsidR="00013E7D" w:rsidRPr="00737239" w:rsidRDefault="00013E7D" w:rsidP="000A4E8C">
            <w:pPr>
              <w:spacing w:line="240" w:lineRule="auto"/>
              <w:rPr>
                <w:rFonts w:cs="Times New Roman"/>
              </w:rPr>
            </w:pPr>
            <w:r w:rsidRPr="00802DC5">
              <w:rPr>
                <w:rFonts w:cs="Times New Roman"/>
              </w:rPr>
              <w:t>Consumers</w:t>
            </w:r>
            <w:r w:rsidRPr="00A96AC5">
              <w:rPr>
                <w:rFonts w:eastAsia="Wingdings" w:cs="Times New Roman"/>
              </w:rPr>
              <w:sym w:font="Wingdings" w:char="F0E0"/>
            </w:r>
            <w:r w:rsidRPr="008903D1">
              <w:rPr>
                <w:rFonts w:cs="Times New Roman"/>
              </w:rPr>
              <w:t xml:space="preserve"> </w:t>
            </w:r>
            <w:r w:rsidR="00C15339" w:rsidRPr="008903D1">
              <w:rPr>
                <w:rFonts w:cs="Times New Roman"/>
              </w:rPr>
              <w:t xml:space="preserve">local carrier </w:t>
            </w:r>
            <w:r w:rsidRPr="00A96AC5">
              <w:rPr>
                <w:rFonts w:eastAsia="Wingdings" w:cs="Times New Roman"/>
              </w:rPr>
              <w:sym w:font="Wingdings" w:char="F0E0"/>
            </w:r>
            <w:r w:rsidR="00C15339" w:rsidRPr="008903D1">
              <w:rPr>
                <w:rFonts w:cs="Times New Roman"/>
              </w:rPr>
              <w:t xml:space="preserve">waste plant </w:t>
            </w:r>
            <w:r w:rsidRPr="008903D1">
              <w:rPr>
                <w:rFonts w:cs="Times New Roman"/>
              </w:rPr>
              <w:t>(reverse logistics)</w:t>
            </w:r>
          </w:p>
        </w:tc>
      </w:tr>
      <w:tr w:rsidR="00013E7D" w:rsidRPr="008903D1" w14:paraId="52D3AF66" w14:textId="77777777" w:rsidTr="00E4156A">
        <w:trPr>
          <w:jc w:val="center"/>
        </w:trPr>
        <w:tc>
          <w:tcPr>
            <w:tcW w:w="1490" w:type="pct"/>
            <w:vAlign w:val="center"/>
          </w:tcPr>
          <w:p w14:paraId="7F9587BA" w14:textId="285FFF32" w:rsidR="00013E7D" w:rsidRPr="00802DC5" w:rsidRDefault="00013E7D" w:rsidP="000A4E8C">
            <w:pPr>
              <w:spacing w:line="240" w:lineRule="auto"/>
              <w:jc w:val="center"/>
              <w:rPr>
                <w:rFonts w:cs="Times New Roman"/>
              </w:rPr>
            </w:pPr>
            <w:r w:rsidRPr="00737239">
              <w:rPr>
                <w:rFonts w:cs="Times New Roman"/>
              </w:rPr>
              <w:t xml:space="preserve">Monetary </w:t>
            </w:r>
            <w:r w:rsidR="00C15339" w:rsidRPr="00802DC5">
              <w:rPr>
                <w:rFonts w:cs="Times New Roman"/>
              </w:rPr>
              <w:t>flow</w:t>
            </w:r>
          </w:p>
        </w:tc>
        <w:tc>
          <w:tcPr>
            <w:tcW w:w="3510" w:type="pct"/>
          </w:tcPr>
          <w:p w14:paraId="2684E1B5" w14:textId="5342EC3F" w:rsidR="00013E7D" w:rsidRPr="00737239" w:rsidRDefault="00013E7D" w:rsidP="000A4E8C">
            <w:pPr>
              <w:spacing w:line="240" w:lineRule="auto"/>
              <w:ind w:left="4320" w:hangingChars="1800" w:hanging="4320"/>
              <w:rPr>
                <w:rFonts w:cs="Times New Roman"/>
              </w:rPr>
            </w:pPr>
            <w:r w:rsidRPr="008903D1">
              <w:rPr>
                <w:rFonts w:cs="Times New Roman"/>
              </w:rPr>
              <w:t xml:space="preserve">Consumers </w:t>
            </w:r>
            <w:r w:rsidRPr="00A96AC5">
              <w:rPr>
                <w:rFonts w:eastAsia="Wingdings" w:cs="Times New Roman"/>
              </w:rPr>
              <w:sym w:font="Wingdings" w:char="F0E0"/>
            </w:r>
            <w:r w:rsidRPr="008903D1">
              <w:rPr>
                <w:rFonts w:cs="Times New Roman"/>
              </w:rPr>
              <w:t xml:space="preserve"> </w:t>
            </w:r>
            <w:r w:rsidR="00D41F24" w:rsidRPr="00A96AC5">
              <w:rPr>
                <w:rFonts w:cs="Times New Roman"/>
              </w:rPr>
              <w:t>Shipper</w:t>
            </w:r>
            <w:r w:rsidR="00C15339" w:rsidRPr="00A96AC5">
              <w:rPr>
                <w:rFonts w:cs="Times New Roman"/>
              </w:rPr>
              <w:t xml:space="preserve"> </w:t>
            </w:r>
            <w:r w:rsidRPr="00A96AC5">
              <w:rPr>
                <w:rFonts w:eastAsia="Wingdings" w:cs="Times New Roman"/>
              </w:rPr>
              <w:sym w:font="Wingdings" w:char="F0E0"/>
            </w:r>
            <w:r w:rsidR="008D4059">
              <w:rPr>
                <w:rFonts w:cs="Times New Roman"/>
              </w:rPr>
              <w:t>Logistics service providers</w:t>
            </w:r>
          </w:p>
        </w:tc>
      </w:tr>
      <w:tr w:rsidR="00013E7D" w:rsidRPr="008903D1" w14:paraId="3DA0791B" w14:textId="77777777" w:rsidTr="00E4156A">
        <w:trPr>
          <w:jc w:val="center"/>
        </w:trPr>
        <w:tc>
          <w:tcPr>
            <w:tcW w:w="1490" w:type="pct"/>
            <w:vAlign w:val="center"/>
          </w:tcPr>
          <w:p w14:paraId="1DFCC34F" w14:textId="76BC51AA" w:rsidR="00013E7D" w:rsidRPr="00802DC5" w:rsidRDefault="00013E7D" w:rsidP="000A4E8C">
            <w:pPr>
              <w:spacing w:line="240" w:lineRule="auto"/>
              <w:jc w:val="center"/>
              <w:rPr>
                <w:rFonts w:cs="Times New Roman"/>
              </w:rPr>
            </w:pPr>
            <w:r w:rsidRPr="00737239">
              <w:rPr>
                <w:rFonts w:cs="Times New Roman"/>
              </w:rPr>
              <w:t xml:space="preserve">Information </w:t>
            </w:r>
            <w:r w:rsidR="00C15339" w:rsidRPr="00802DC5">
              <w:rPr>
                <w:rFonts w:cs="Times New Roman"/>
              </w:rPr>
              <w:t>flow</w:t>
            </w:r>
          </w:p>
        </w:tc>
        <w:tc>
          <w:tcPr>
            <w:tcW w:w="3510" w:type="pct"/>
          </w:tcPr>
          <w:p w14:paraId="04DD6CB8" w14:textId="77777777" w:rsidR="00013E7D" w:rsidRPr="00A96AC5" w:rsidRDefault="00013E7D" w:rsidP="000A4E8C">
            <w:pPr>
              <w:spacing w:line="240" w:lineRule="auto"/>
              <w:rPr>
                <w:rFonts w:cs="Times New Roman"/>
              </w:rPr>
            </w:pPr>
            <w:r w:rsidRPr="006C301D">
              <w:rPr>
                <w:rFonts w:cs="Times New Roman"/>
              </w:rPr>
              <w:t xml:space="preserve">Non-directional, </w:t>
            </w:r>
            <w:r w:rsidRPr="00A96AC5">
              <w:rPr>
                <w:rFonts w:cs="Times New Roman"/>
              </w:rPr>
              <w:t>circulating among different individuals</w:t>
            </w:r>
          </w:p>
        </w:tc>
      </w:tr>
    </w:tbl>
    <w:p w14:paraId="465B8571" w14:textId="0B5F311E" w:rsidR="00364CA5" w:rsidRPr="00A96AC5" w:rsidRDefault="007B5959" w:rsidP="000A4E8C">
      <w:pPr>
        <w:pStyle w:val="Caption"/>
        <w:spacing w:after="0" w:line="360" w:lineRule="auto"/>
        <w:rPr>
          <w:rStyle w:val="apple-converted-space"/>
          <w:rFonts w:cs="Times New Roman"/>
        </w:rPr>
      </w:pPr>
      <w:bookmarkStart w:id="41" w:name="_Ref47353071"/>
      <w:bookmarkStart w:id="42" w:name="_Toc40794154"/>
      <w:bookmarkStart w:id="43" w:name="_Toc46053528"/>
      <w:bookmarkStart w:id="44" w:name="_Toc46093777"/>
      <w:bookmarkStart w:id="45" w:name="_Toc66698745"/>
      <w:bookmarkStart w:id="46" w:name="_Ref532212266"/>
      <w:bookmarkStart w:id="47" w:name="_Toc491870103"/>
      <w:bookmarkStart w:id="48" w:name="_Toc34674924"/>
      <w:bookmarkEnd w:id="37"/>
      <w:bookmarkEnd w:id="38"/>
      <w:bookmarkEnd w:id="39"/>
      <w:bookmarkEnd w:id="40"/>
      <w:r>
        <w:rPr>
          <w:rStyle w:val="apple-converted-space"/>
          <w:rFonts w:cs="Times New Roman"/>
        </w:rPr>
        <w:t>Table</w:t>
      </w:r>
      <w:r w:rsidR="00364CA5" w:rsidRPr="00737239">
        <w:rPr>
          <w:rStyle w:val="apple-converted-space"/>
          <w:rFonts w:cs="Times New Roman"/>
        </w:rPr>
        <w:t xml:space="preserve"> </w:t>
      </w:r>
      <w:r w:rsidR="00FE10DA">
        <w:rPr>
          <w:rStyle w:val="apple-converted-space"/>
          <w:rFonts w:cs="Times New Roman"/>
        </w:rPr>
        <w:fldChar w:fldCharType="begin"/>
      </w:r>
      <w:r w:rsidR="00FE10DA">
        <w:rPr>
          <w:rStyle w:val="apple-converted-space"/>
          <w:rFonts w:cs="Times New Roman"/>
        </w:rPr>
        <w:instrText xml:space="preserve"> STYLEREF 1 \s </w:instrText>
      </w:r>
      <w:r w:rsidR="00FE10DA">
        <w:rPr>
          <w:rStyle w:val="apple-converted-space"/>
          <w:rFonts w:cs="Times New Roman"/>
        </w:rPr>
        <w:fldChar w:fldCharType="separate"/>
      </w:r>
      <w:r w:rsidR="0005064B">
        <w:rPr>
          <w:rStyle w:val="apple-converted-space"/>
          <w:rFonts w:cs="Times New Roman"/>
          <w:noProof/>
        </w:rPr>
        <w:t>1</w:t>
      </w:r>
      <w:r w:rsidR="00FE10DA">
        <w:rPr>
          <w:rStyle w:val="apple-converted-space"/>
          <w:rFonts w:cs="Times New Roman"/>
        </w:rPr>
        <w:fldChar w:fldCharType="end"/>
      </w:r>
      <w:r w:rsidR="00FE10DA">
        <w:rPr>
          <w:rStyle w:val="apple-converted-space"/>
          <w:rFonts w:cs="Times New Roman"/>
        </w:rPr>
        <w:noBreakHyphen/>
      </w:r>
      <w:r w:rsidR="00FE10DA">
        <w:rPr>
          <w:rStyle w:val="apple-converted-space"/>
          <w:rFonts w:cs="Times New Roman"/>
        </w:rPr>
        <w:fldChar w:fldCharType="begin"/>
      </w:r>
      <w:r w:rsidR="00FE10DA">
        <w:rPr>
          <w:rStyle w:val="apple-converted-space"/>
          <w:rFonts w:cs="Times New Roman"/>
        </w:rPr>
        <w:instrText xml:space="preserve"> SEQ Table \* ARABIC \s 1 </w:instrText>
      </w:r>
      <w:r w:rsidR="00FE10DA">
        <w:rPr>
          <w:rStyle w:val="apple-converted-space"/>
          <w:rFonts w:cs="Times New Roman"/>
        </w:rPr>
        <w:fldChar w:fldCharType="separate"/>
      </w:r>
      <w:r w:rsidR="0005064B">
        <w:rPr>
          <w:rStyle w:val="apple-converted-space"/>
          <w:rFonts w:cs="Times New Roman"/>
          <w:noProof/>
        </w:rPr>
        <w:t>3</w:t>
      </w:r>
      <w:r w:rsidR="00FE10DA">
        <w:rPr>
          <w:rStyle w:val="apple-converted-space"/>
          <w:rFonts w:cs="Times New Roman"/>
        </w:rPr>
        <w:fldChar w:fldCharType="end"/>
      </w:r>
      <w:bookmarkEnd w:id="41"/>
      <w:r>
        <w:rPr>
          <w:rStyle w:val="apple-converted-space"/>
          <w:rFonts w:cs="Times New Roman"/>
        </w:rPr>
        <w:t>:</w:t>
      </w:r>
      <w:r w:rsidR="00364CA5" w:rsidRPr="008903D1">
        <w:rPr>
          <w:rStyle w:val="apple-converted-space"/>
          <w:rFonts w:cs="Times New Roman"/>
        </w:rPr>
        <w:t xml:space="preserve"> Direction of the materials, monetary, and information flow (adapted from </w:t>
      </w:r>
      <w:proofErr w:type="spellStart"/>
      <w:r w:rsidR="00364CA5" w:rsidRPr="008903D1">
        <w:rPr>
          <w:rStyle w:val="apple-converted-space"/>
          <w:rFonts w:cs="Times New Roman"/>
        </w:rPr>
        <w:t>Wangapisit</w:t>
      </w:r>
      <w:proofErr w:type="spellEnd"/>
      <w:r w:rsidR="00364CA5" w:rsidRPr="008903D1">
        <w:rPr>
          <w:rStyle w:val="apple-converted-space"/>
          <w:rFonts w:cs="Times New Roman"/>
        </w:rPr>
        <w:t xml:space="preserve"> et al., [2014])</w:t>
      </w:r>
      <w:bookmarkEnd w:id="42"/>
      <w:bookmarkEnd w:id="43"/>
      <w:bookmarkEnd w:id="44"/>
      <w:bookmarkEnd w:id="45"/>
      <w:r w:rsidR="00364CA5" w:rsidRPr="008903D1">
        <w:rPr>
          <w:rStyle w:val="apple-converted-space"/>
          <w:rFonts w:cs="Times New Roman"/>
        </w:rPr>
        <w:t xml:space="preserve"> </w:t>
      </w:r>
    </w:p>
    <w:bookmarkEnd w:id="46"/>
    <w:bookmarkEnd w:id="47"/>
    <w:bookmarkEnd w:id="48"/>
    <w:p w14:paraId="126A88B5" w14:textId="05516933" w:rsidR="00013E7D" w:rsidRPr="006C301D" w:rsidRDefault="00013E7D" w:rsidP="000A4E8C">
      <w:pPr>
        <w:spacing w:before="156" w:after="240" w:line="360" w:lineRule="auto"/>
        <w:rPr>
          <w:rFonts w:cs="Times New Roman"/>
        </w:rPr>
      </w:pPr>
      <w:r w:rsidRPr="00A96AC5">
        <w:rPr>
          <w:rFonts w:cs="Times New Roman"/>
        </w:rPr>
        <w:t xml:space="preserve">Materials flow </w:t>
      </w:r>
      <w:r w:rsidR="00C15339" w:rsidRPr="00A96AC5">
        <w:rPr>
          <w:rFonts w:cs="Times New Roman"/>
        </w:rPr>
        <w:t xml:space="preserve">begins with </w:t>
      </w:r>
      <w:r w:rsidRPr="00A96AC5">
        <w:rPr>
          <w:rFonts w:cs="Times New Roman"/>
        </w:rPr>
        <w:t xml:space="preserve">the </w:t>
      </w:r>
      <w:r w:rsidR="009C1C34">
        <w:rPr>
          <w:rFonts w:cs="Times New Roman"/>
        </w:rPr>
        <w:t>s</w:t>
      </w:r>
      <w:r w:rsidR="00D41F24" w:rsidRPr="008903D1">
        <w:rPr>
          <w:rFonts w:cs="Times New Roman"/>
        </w:rPr>
        <w:t xml:space="preserve">hipper </w:t>
      </w:r>
      <w:r w:rsidRPr="008903D1">
        <w:rPr>
          <w:rFonts w:cs="Times New Roman"/>
        </w:rPr>
        <w:t xml:space="preserve">and ends with </w:t>
      </w:r>
      <w:r w:rsidR="00C15339" w:rsidRPr="00737239">
        <w:rPr>
          <w:rFonts w:cs="Times New Roman"/>
        </w:rPr>
        <w:t xml:space="preserve">the </w:t>
      </w:r>
      <w:r w:rsidRPr="00737239">
        <w:rPr>
          <w:rFonts w:cs="Times New Roman"/>
        </w:rPr>
        <w:t xml:space="preserve">consumer. In reverse logistics, the roles of </w:t>
      </w:r>
      <w:r w:rsidR="00C15339" w:rsidRPr="00802DC5">
        <w:rPr>
          <w:rFonts w:cs="Times New Roman"/>
        </w:rPr>
        <w:t xml:space="preserve">the </w:t>
      </w:r>
      <w:r w:rsidRPr="006C301D">
        <w:rPr>
          <w:rFonts w:cs="Times New Roman"/>
        </w:rPr>
        <w:t>consumer</w:t>
      </w:r>
      <w:r w:rsidR="00C15339" w:rsidRPr="00A96AC5">
        <w:rPr>
          <w:rFonts w:cs="Times New Roman"/>
        </w:rPr>
        <w:t xml:space="preserve"> </w:t>
      </w:r>
      <w:r w:rsidRPr="00A96AC5">
        <w:rPr>
          <w:rFonts w:cs="Times New Roman"/>
        </w:rPr>
        <w:t xml:space="preserve">and </w:t>
      </w:r>
      <w:r w:rsidR="00C15339" w:rsidRPr="00A96AC5">
        <w:rPr>
          <w:rFonts w:cs="Times New Roman"/>
        </w:rPr>
        <w:t xml:space="preserve">the </w:t>
      </w:r>
      <w:r w:rsidR="00326B74" w:rsidRPr="00A96AC5">
        <w:rPr>
          <w:rFonts w:cs="Times New Roman"/>
        </w:rPr>
        <w:t xml:space="preserve">shippers </w:t>
      </w:r>
      <w:r w:rsidRPr="00A96AC5">
        <w:rPr>
          <w:rFonts w:cs="Times New Roman"/>
        </w:rPr>
        <w:t xml:space="preserve">are swapped. The monetary flow </w:t>
      </w:r>
      <w:r w:rsidR="00C15339" w:rsidRPr="00A96AC5">
        <w:rPr>
          <w:rFonts w:cs="Times New Roman"/>
        </w:rPr>
        <w:t xml:space="preserve">begins at </w:t>
      </w:r>
      <w:r w:rsidRPr="00A96AC5">
        <w:rPr>
          <w:rFonts w:cs="Times New Roman"/>
        </w:rPr>
        <w:t xml:space="preserve">the consumer end, moving to both intercity carrier and local carrier via the </w:t>
      </w:r>
      <w:r w:rsidR="008A5EE6" w:rsidRPr="00A96AC5">
        <w:rPr>
          <w:rFonts w:cs="Times New Roman"/>
        </w:rPr>
        <w:t>shipper</w:t>
      </w:r>
      <w:r w:rsidRPr="00A96AC5">
        <w:rPr>
          <w:rFonts w:cs="Times New Roman"/>
        </w:rPr>
        <w:t xml:space="preserve">, and </w:t>
      </w:r>
      <w:r w:rsidR="00C15339" w:rsidRPr="00A96AC5">
        <w:rPr>
          <w:rFonts w:cs="Times New Roman"/>
        </w:rPr>
        <w:t xml:space="preserve">it </w:t>
      </w:r>
      <w:r w:rsidRPr="00A96AC5">
        <w:rPr>
          <w:rFonts w:cs="Times New Roman"/>
        </w:rPr>
        <w:t>is generated before the logistical activities. The information flow is accompanied by goods movement. Information is also transmitted between the administrators, facilities providers</w:t>
      </w:r>
      <w:r w:rsidR="00C15339" w:rsidRPr="00A96AC5">
        <w:rPr>
          <w:rFonts w:cs="Times New Roman"/>
        </w:rPr>
        <w:t>,</w:t>
      </w:r>
      <w:r w:rsidRPr="00A96AC5">
        <w:rPr>
          <w:rFonts w:cs="Times New Roman"/>
        </w:rPr>
        <w:t xml:space="preserve"> and the </w:t>
      </w:r>
      <w:r w:rsidR="00BF2C4B">
        <w:rPr>
          <w:rFonts w:cs="Times New Roman"/>
        </w:rPr>
        <w:t xml:space="preserve">four </w:t>
      </w:r>
      <w:r w:rsidRPr="00A96AC5">
        <w:rPr>
          <w:rFonts w:cs="Times New Roman"/>
        </w:rPr>
        <w:t>former stakeholders, acting as a bridge to connect each stakeholder in t</w:t>
      </w:r>
      <w:r w:rsidR="00C14A7B" w:rsidRPr="00A96AC5">
        <w:rPr>
          <w:rFonts w:cs="Times New Roman"/>
        </w:rPr>
        <w:t xml:space="preserve">he ULN </w:t>
      </w:r>
      <w:r w:rsidR="00A015AB">
        <w:t>(</w:t>
      </w:r>
      <w:proofErr w:type="spellStart"/>
      <w:r w:rsidR="00A015AB">
        <w:t>Wangapisit</w:t>
      </w:r>
      <w:proofErr w:type="spellEnd"/>
      <w:r w:rsidR="00A015AB">
        <w:t xml:space="preserve"> et al., 2014)</w:t>
      </w:r>
      <w:r w:rsidRPr="00A96AC5">
        <w:rPr>
          <w:rFonts w:cs="Times New Roman"/>
        </w:rPr>
        <w:t xml:space="preserve">. </w:t>
      </w:r>
      <w:r w:rsidR="00A17762">
        <w:rPr>
          <w:rFonts w:cs="Times New Roman"/>
        </w:rPr>
        <w:fldChar w:fldCharType="begin"/>
      </w:r>
      <w:r w:rsidR="00A17762">
        <w:rPr>
          <w:rFonts w:cs="Times New Roman"/>
        </w:rPr>
        <w:instrText xml:space="preserve"> REF _Ref46829930 \h </w:instrText>
      </w:r>
      <w:r w:rsidR="00A17762">
        <w:rPr>
          <w:rFonts w:cs="Times New Roman"/>
        </w:rPr>
      </w:r>
      <w:r w:rsidR="00A17762">
        <w:rPr>
          <w:rFonts w:cs="Times New Roman"/>
        </w:rPr>
        <w:fldChar w:fldCharType="separate"/>
      </w:r>
      <w:r w:rsidR="0005064B" w:rsidRPr="00FD1FFD">
        <w:rPr>
          <w:rFonts w:cs="Times New Roman"/>
        </w:rPr>
        <w:t xml:space="preserve">Figure </w:t>
      </w:r>
      <w:r w:rsidR="0005064B">
        <w:rPr>
          <w:rFonts w:cs="Times New Roman"/>
          <w:noProof/>
        </w:rPr>
        <w:t>1</w:t>
      </w:r>
      <w:r w:rsidR="0005064B">
        <w:rPr>
          <w:rFonts w:cs="Times New Roman"/>
        </w:rPr>
        <w:noBreakHyphen/>
      </w:r>
      <w:r w:rsidR="0005064B">
        <w:rPr>
          <w:rFonts w:cs="Times New Roman"/>
          <w:noProof/>
        </w:rPr>
        <w:t>1</w:t>
      </w:r>
      <w:r w:rsidR="00A17762">
        <w:rPr>
          <w:rFonts w:cs="Times New Roman"/>
        </w:rPr>
        <w:fldChar w:fldCharType="end"/>
      </w:r>
      <w:r w:rsidRPr="008903D1">
        <w:rPr>
          <w:rFonts w:cs="Times New Roman"/>
        </w:rPr>
        <w:t xml:space="preserve"> shows </w:t>
      </w:r>
      <w:r w:rsidR="00C15339" w:rsidRPr="008903D1">
        <w:rPr>
          <w:rFonts w:cs="Times New Roman"/>
        </w:rPr>
        <w:t xml:space="preserve">the </w:t>
      </w:r>
      <w:r w:rsidRPr="00737239">
        <w:rPr>
          <w:rFonts w:cs="Times New Roman"/>
        </w:rPr>
        <w:t xml:space="preserve">structure of a </w:t>
      </w:r>
      <w:r w:rsidR="00C15339" w:rsidRPr="00737239">
        <w:rPr>
          <w:rFonts w:cs="Times New Roman"/>
        </w:rPr>
        <w:t xml:space="preserve">typical </w:t>
      </w:r>
      <w:r w:rsidRPr="00802DC5">
        <w:rPr>
          <w:rFonts w:cs="Times New Roman"/>
        </w:rPr>
        <w:t>ULN.</w:t>
      </w:r>
    </w:p>
    <w:p w14:paraId="1C0B4E44" w14:textId="3002384B" w:rsidR="00013E7D" w:rsidRPr="008903D1" w:rsidRDefault="006B2CFD" w:rsidP="000A4E8C">
      <w:pPr>
        <w:pStyle w:val="Caption"/>
        <w:spacing w:before="156" w:after="0" w:line="360" w:lineRule="auto"/>
        <w:rPr>
          <w:rFonts w:cs="Times New Roman"/>
        </w:rPr>
      </w:pPr>
      <w:bookmarkStart w:id="49" w:name="_Toc491869757"/>
      <w:r>
        <w:rPr>
          <w:rFonts w:cs="Times New Roman"/>
          <w:noProof/>
          <w:lang w:eastAsia="en-GB"/>
        </w:rPr>
        <w:lastRenderedPageBreak/>
        <w:drawing>
          <wp:inline distT="0" distB="0" distL="0" distR="0" wp14:anchorId="5F08FA3F" wp14:editId="44D8109D">
            <wp:extent cx="5486400" cy="3924300"/>
            <wp:effectExtent l="0" t="0" r="0" b="0"/>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3924300"/>
                    </a:xfrm>
                    <a:prstGeom prst="rect">
                      <a:avLst/>
                    </a:prstGeom>
                    <a:noFill/>
                    <a:ln>
                      <a:noFill/>
                    </a:ln>
                  </pic:spPr>
                </pic:pic>
              </a:graphicData>
            </a:graphic>
          </wp:inline>
        </w:drawing>
      </w:r>
    </w:p>
    <w:p w14:paraId="78C63741" w14:textId="39DBDA47" w:rsidR="00013E7D" w:rsidRPr="006C301D" w:rsidRDefault="00FD1FFD" w:rsidP="00FD1FFD">
      <w:pPr>
        <w:pStyle w:val="Caption"/>
        <w:spacing w:line="360" w:lineRule="auto"/>
        <w:rPr>
          <w:rFonts w:cs="Times New Roman"/>
        </w:rPr>
      </w:pPr>
      <w:bookmarkStart w:id="50" w:name="_Ref46829930"/>
      <w:bookmarkStart w:id="51" w:name="_Toc34675005"/>
      <w:bookmarkStart w:id="52" w:name="_Toc40794161"/>
      <w:bookmarkStart w:id="53" w:name="_Toc46053659"/>
      <w:bookmarkStart w:id="54" w:name="_Toc66698691"/>
      <w:r w:rsidRPr="00FD1FFD">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1</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1</w:t>
      </w:r>
      <w:r w:rsidR="00632993">
        <w:rPr>
          <w:rFonts w:cs="Times New Roman"/>
        </w:rPr>
        <w:fldChar w:fldCharType="end"/>
      </w:r>
      <w:bookmarkEnd w:id="50"/>
      <w:r>
        <w:rPr>
          <w:rFonts w:cs="Times New Roman"/>
        </w:rPr>
        <w:t>:</w:t>
      </w:r>
      <w:r w:rsidR="00013E7D" w:rsidRPr="008903D1">
        <w:rPr>
          <w:rFonts w:cs="Times New Roman"/>
        </w:rPr>
        <w:t xml:space="preserve"> The </w:t>
      </w:r>
      <w:r w:rsidR="00C15339" w:rsidRPr="00737239">
        <w:rPr>
          <w:rFonts w:cs="Times New Roman"/>
        </w:rPr>
        <w:t xml:space="preserve">structure </w:t>
      </w:r>
      <w:r w:rsidR="00013E7D" w:rsidRPr="00737239">
        <w:rPr>
          <w:rFonts w:cs="Times New Roman"/>
        </w:rPr>
        <w:t xml:space="preserve">of </w:t>
      </w:r>
      <w:r w:rsidR="00C15339" w:rsidRPr="00802DC5">
        <w:rPr>
          <w:rFonts w:cs="Times New Roman"/>
        </w:rPr>
        <w:t xml:space="preserve">an urban logistics </w:t>
      </w:r>
      <w:bookmarkEnd w:id="49"/>
      <w:r w:rsidR="00C15339" w:rsidRPr="00802DC5">
        <w:rPr>
          <w:rFonts w:cs="Times New Roman"/>
        </w:rPr>
        <w:t>network (ULN)</w:t>
      </w:r>
      <w:bookmarkEnd w:id="51"/>
      <w:bookmarkEnd w:id="52"/>
      <w:bookmarkEnd w:id="53"/>
      <w:bookmarkEnd w:id="54"/>
    </w:p>
    <w:p w14:paraId="22FEC091" w14:textId="40F8E05B" w:rsidR="00BF3E6F" w:rsidRPr="006C301D" w:rsidRDefault="00BF3E6F" w:rsidP="00427AFC">
      <w:pPr>
        <w:spacing w:before="156" w:after="240" w:line="360" w:lineRule="auto"/>
        <w:rPr>
          <w:rFonts w:cs="Times New Roman"/>
        </w:rPr>
      </w:pPr>
      <w:r w:rsidRPr="00A96AC5">
        <w:rPr>
          <w:rFonts w:cs="Times New Roman"/>
        </w:rPr>
        <w:t xml:space="preserve">Thus, the urban </w:t>
      </w:r>
      <w:r w:rsidRPr="008903D1">
        <w:rPr>
          <w:rFonts w:cs="Times New Roman"/>
        </w:rPr>
        <w:t>logistics activities can be summed up as followed</w:t>
      </w:r>
      <w:r w:rsidRPr="00737239">
        <w:rPr>
          <w:rFonts w:cs="Times New Roman"/>
        </w:rPr>
        <w:t xml:space="preserve">: </w:t>
      </w:r>
      <w:r w:rsidR="009C1C34">
        <w:rPr>
          <w:rFonts w:cs="Times New Roman"/>
        </w:rPr>
        <w:t>s</w:t>
      </w:r>
      <w:r w:rsidR="00583E79" w:rsidRPr="00737239">
        <w:rPr>
          <w:rFonts w:cs="Times New Roman"/>
        </w:rPr>
        <w:t>hipper</w:t>
      </w:r>
      <w:r w:rsidRPr="008903D1">
        <w:rPr>
          <w:rFonts w:cs="Times New Roman"/>
        </w:rPr>
        <w:t xml:space="preserve"> (</w:t>
      </w:r>
      <w:proofErr w:type="gramStart"/>
      <w:r w:rsidRPr="008903D1">
        <w:rPr>
          <w:rFonts w:cs="Times New Roman"/>
        </w:rPr>
        <w:t>e.g.</w:t>
      </w:r>
      <w:proofErr w:type="gramEnd"/>
      <w:r w:rsidRPr="008903D1">
        <w:rPr>
          <w:rFonts w:cs="Times New Roman"/>
        </w:rPr>
        <w:t xml:space="preserve"> shopkeepers or producers)</w:t>
      </w:r>
      <w:r w:rsidRPr="00737239">
        <w:rPr>
          <w:rFonts w:cs="Times New Roman"/>
        </w:rPr>
        <w:t xml:space="preserve"> send</w:t>
      </w:r>
      <w:r w:rsidR="00242E13">
        <w:rPr>
          <w:rFonts w:cs="Times New Roman"/>
        </w:rPr>
        <w:t>s</w:t>
      </w:r>
      <w:r w:rsidRPr="00737239">
        <w:rPr>
          <w:rFonts w:cs="Times New Roman"/>
        </w:rPr>
        <w:t xml:space="preserve"> their goods to the </w:t>
      </w:r>
      <w:r w:rsidR="00242E13">
        <w:rPr>
          <w:rFonts w:cs="Times New Roman"/>
        </w:rPr>
        <w:t>intercity carriers</w:t>
      </w:r>
      <w:r w:rsidRPr="00737239">
        <w:rPr>
          <w:rFonts w:cs="Times New Roman"/>
        </w:rPr>
        <w:t>, having received the orders from consumers at the stage of the first-mile pickup. The shipper then transfers the goods to the carrier. The carrier is responsible for delivering the goods to the customers in the city centre.</w:t>
      </w:r>
      <w:r w:rsidRPr="00802DC5">
        <w:rPr>
          <w:rFonts w:cs="Times New Roman"/>
        </w:rPr>
        <w:t xml:space="preserve"> In reverse logistics, the activities are reversed in the first-mile pickup: the carriers collect the waste from the consumers in the city centre and deliver this to the waste plant outside the city. A ULN is formed by </w:t>
      </w:r>
      <w:proofErr w:type="gramStart"/>
      <w:r w:rsidRPr="00802DC5">
        <w:rPr>
          <w:rFonts w:cs="Times New Roman"/>
        </w:rPr>
        <w:t>cross</w:t>
      </w:r>
      <w:r w:rsidR="00611518">
        <w:rPr>
          <w:rFonts w:cs="Times New Roman"/>
        </w:rPr>
        <w:t>-</w:t>
      </w:r>
      <w:r w:rsidRPr="00802DC5">
        <w:rPr>
          <w:rFonts w:cs="Times New Roman"/>
        </w:rPr>
        <w:t>combining</w:t>
      </w:r>
      <w:proofErr w:type="gramEnd"/>
      <w:r w:rsidRPr="00802DC5">
        <w:rPr>
          <w:rFonts w:cs="Times New Roman"/>
        </w:rPr>
        <w:t xml:space="preserve"> the multiple lines of logistics activities.</w:t>
      </w:r>
    </w:p>
    <w:p w14:paraId="000666AC" w14:textId="7B87F2B8" w:rsidR="00E63FC9" w:rsidRPr="00A96AC5" w:rsidRDefault="00E63FC9" w:rsidP="00427AFC">
      <w:pPr>
        <w:spacing w:before="156" w:after="240" w:line="360" w:lineRule="auto"/>
        <w:rPr>
          <w:rFonts w:cs="Times New Roman"/>
        </w:rPr>
      </w:pPr>
      <w:r w:rsidRPr="00A96AC5">
        <w:rPr>
          <w:rFonts w:cs="Times New Roman"/>
        </w:rPr>
        <w:t>The associated activities of UL, including last-mile distribution and goods receipt, utilise infrastructures (</w:t>
      </w:r>
      <w:proofErr w:type="gramStart"/>
      <w:r w:rsidRPr="00A96AC5">
        <w:rPr>
          <w:rFonts w:cs="Times New Roman"/>
        </w:rPr>
        <w:t>e.g.</w:t>
      </w:r>
      <w:proofErr w:type="gramEnd"/>
      <w:r w:rsidRPr="00A96AC5">
        <w:rPr>
          <w:rFonts w:cs="Times New Roman"/>
        </w:rPr>
        <w:t xml:space="preserve"> road. p</w:t>
      </w:r>
      <w:r w:rsidRPr="008903D1">
        <w:rPr>
          <w:rFonts w:cs="Times New Roman"/>
        </w:rPr>
        <w:t>arking zones</w:t>
      </w:r>
      <w:r w:rsidRPr="00737239">
        <w:rPr>
          <w:rFonts w:cs="Times New Roman"/>
        </w:rPr>
        <w:t>)</w:t>
      </w:r>
      <w:r w:rsidRPr="008903D1">
        <w:rPr>
          <w:rFonts w:cs="Times New Roman"/>
        </w:rPr>
        <w:t xml:space="preserve"> in the urban environment; therefore, such activities are influenced by the</w:t>
      </w:r>
      <w:r w:rsidRPr="00737239">
        <w:rPr>
          <w:rFonts w:cs="Times New Roman"/>
        </w:rPr>
        <w:t xml:space="preserve"> situation of the specific urban environment and by its future development. In the academic field, the importance of the mitigating environmental and social issues generated by urban logistics has been raised by different researchers. </w:t>
      </w:r>
      <w:r w:rsidR="00F335EA">
        <w:rPr>
          <w:rFonts w:cs="Times New Roman"/>
          <w:noProof/>
        </w:rPr>
        <w:fldChar w:fldCharType="begin"/>
      </w:r>
      <w:r w:rsidR="00647E79">
        <w:rPr>
          <w:rFonts w:cs="Times New Roman"/>
          <w:noProof/>
        </w:rPr>
        <w:instrText xml:space="preserve"> ADDIN EN.CITE &lt;EndNote&gt;&lt;Cite AuthorYear="1"&gt;&lt;Author&gt;Thompson&lt;/Author&gt;&lt;Year&gt;2017&lt;/Year&gt;&lt;RecNum&gt;7&lt;/RecNum&gt;&lt;DisplayText&gt;Thompson and Taniguchi (2017)&lt;/DisplayText&gt;&lt;record&gt;&lt;rec-number&gt;7&lt;/rec-number&gt;&lt;foreign-keys&gt;&lt;key app="EN" db-id="pzt5ep52hsedfpeext2pdfes0w0aswaewef2" timestamp="1605187992"&gt;7&lt;/key&gt;&lt;/foreign-keys&gt;&lt;ref-type name="Book Section"&gt;5&lt;/ref-type&gt;&lt;contributors&gt;&lt;authors&gt;&lt;author&gt;Thompson, Russell&lt;/author&gt;&lt;author&gt;Taniguchi, Eiichi&lt;/author&gt;&lt;/authors&gt;&lt;secondary-authors&gt;&lt;author&gt;Ann, M. Brewer&lt;/author&gt;&lt;author&gt;Kenneth, J. Button&lt;/author&gt;&lt;author&gt;David, A. Hensher&lt;/author&gt;&lt;/secondary-authors&gt;&lt;/contributors&gt;&lt;titles&gt;&lt;title&gt;City Logistics and Freight Transport&lt;/title&gt;&lt;secondary-title&gt;Handbook of Logistics and Supply-Chain Management&lt;/secondary-title&gt;&lt;/titles&gt;&lt;pages&gt;393-405&lt;/pages&gt;&lt;volume&gt;2&lt;/volume&gt;&lt;dates&gt;&lt;year&gt;2017&lt;/year&gt;&lt;/dates&gt;&lt;publisher&gt;Emerald Group Publishing Limited&lt;/publisher&gt;&lt;isbn&gt;978-0-8572-4563-2, 978-0-0804-3593-0/&lt;/isbn&gt;&lt;urls&gt;&lt;related-urls&gt;&lt;url&gt;https://doi.org/10.1108/9780080435930-025&lt;/url&gt;&lt;/related-urls&gt;&lt;/urls&gt;&lt;electronic-resource-num&gt;10.1108/9780080435930-025&lt;/electronic-resource-num&gt;&lt;access-date&gt;2020/07/11&lt;/access-date&gt;&lt;/record&gt;&lt;/Cite&gt;&lt;/EndNote&gt;</w:instrText>
      </w:r>
      <w:r w:rsidR="00F335EA">
        <w:rPr>
          <w:rFonts w:cs="Times New Roman"/>
          <w:noProof/>
        </w:rPr>
        <w:fldChar w:fldCharType="separate"/>
      </w:r>
      <w:r w:rsidR="00393705">
        <w:rPr>
          <w:rFonts w:cs="Times New Roman"/>
          <w:noProof/>
        </w:rPr>
        <w:t>Thompson and Taniguchi (2017)</w:t>
      </w:r>
      <w:r w:rsidR="00F335EA">
        <w:rPr>
          <w:rFonts w:cs="Times New Roman"/>
          <w:noProof/>
        </w:rPr>
        <w:fldChar w:fldCharType="end"/>
      </w:r>
      <w:r w:rsidR="00393705">
        <w:rPr>
          <w:rFonts w:cs="Times New Roman"/>
          <w:noProof/>
        </w:rPr>
        <w:t xml:space="preserve"> </w:t>
      </w:r>
      <w:r w:rsidRPr="00737239">
        <w:rPr>
          <w:rFonts w:cs="Times New Roman"/>
        </w:rPr>
        <w:t>believe that the UL is: ‘</w:t>
      </w:r>
      <w:r w:rsidRPr="00802DC5">
        <w:rPr>
          <w:rFonts w:cs="Times New Roman"/>
          <w:i/>
          <w:iCs/>
        </w:rPr>
        <w:t>the process for totally optimising the logistics and transport a</w:t>
      </w:r>
      <w:r w:rsidRPr="006C301D">
        <w:rPr>
          <w:rFonts w:cs="Times New Roman"/>
          <w:i/>
          <w:iCs/>
        </w:rPr>
        <w:t>ctivities by private companies in urban areas while considering the traffic environment, the traffic congestion, and energy consumption within the framework of a market economy</w:t>
      </w:r>
      <w:r w:rsidRPr="00A96AC5">
        <w:rPr>
          <w:rFonts w:cs="Times New Roman"/>
        </w:rPr>
        <w:t>’. In the book of ‘City logistics: network modelling and intelligent transport systems [page 2]’</w:t>
      </w:r>
      <w:r w:rsidR="00CF099D">
        <w:rPr>
          <w:rFonts w:cs="Times New Roman"/>
        </w:rPr>
        <w:t>.</w:t>
      </w:r>
    </w:p>
    <w:p w14:paraId="109D9334" w14:textId="62D02EB4" w:rsidR="00E63FC9" w:rsidRPr="00A96AC5" w:rsidRDefault="00E63FC9" w:rsidP="00427AFC">
      <w:pPr>
        <w:spacing w:before="156" w:after="240" w:line="360" w:lineRule="auto"/>
        <w:rPr>
          <w:rFonts w:cs="Times New Roman"/>
        </w:rPr>
      </w:pPr>
      <w:r w:rsidRPr="00A96AC5">
        <w:rPr>
          <w:rFonts w:cs="Times New Roman"/>
        </w:rPr>
        <w:lastRenderedPageBreak/>
        <w:t xml:space="preserve">A second, holistic, integrated concept is proposed by </w:t>
      </w:r>
      <w:r w:rsidR="00D747D9">
        <w:fldChar w:fldCharType="begin"/>
      </w:r>
      <w:r w:rsidR="00647E79">
        <w:instrText xml:space="preserve"> ADDIN EN.CITE &lt;EndNote&gt;&lt;Cite AuthorYear="1"&gt;&lt;Author&gt;Ambrosini&lt;/Author&gt;&lt;Year&gt;2004&lt;/Year&gt;&lt;RecNum&gt;8&lt;/RecNum&gt;&lt;DisplayText&gt;Ambrosini and Routhier (2004)&lt;/DisplayText&gt;&lt;record&gt;&lt;rec-number&gt;8&lt;/rec-number&gt;&lt;foreign-keys&gt;&lt;key app="EN" db-id="pzt5ep52hsedfpeext2pdfes</w:instrText>
      </w:r>
      <w:r w:rsidR="00647E79">
        <w:rPr>
          <w:rFonts w:hint="eastAsia"/>
        </w:rPr>
        <w:instrText>0w0aswaewef2" timestamp="1605187992"&gt;8&lt;/key&gt;&lt;/foreign-keys&gt;&lt;ref-type name="Journal Article"&gt;17&lt;/ref-type&gt;&lt;contributors&gt;&lt;authors&gt;&lt;author&gt;Ambrosini, Christian&lt;/author&gt;&lt;author&gt;Routhier, Jean</w:instrText>
      </w:r>
      <w:r w:rsidR="00647E79">
        <w:rPr>
          <w:rFonts w:hint="eastAsia"/>
        </w:rPr>
        <w:instrText>‐</w:instrText>
      </w:r>
      <w:r w:rsidR="00647E79">
        <w:rPr>
          <w:rFonts w:hint="eastAsia"/>
        </w:rPr>
        <w:instrText>louis&lt;/author&gt;&lt;/authors&gt;&lt;/contributors&gt;&lt;titles&gt;&lt;title&gt;Objectives, m</w:instrText>
      </w:r>
      <w:r w:rsidR="00647E79">
        <w:instrText>ethods and results of surveys carried out in the field of urban freight transport: an international comparison&lt;/title&gt;&lt;secondary-title&gt;Transport Reviews&lt;/secondary-title&gt;&lt;/titles&gt;&lt;periodical&gt;&lt;full-title&gt;Transport Reviews&lt;/full-title&gt;&lt;/periodical&gt;&lt;pages&gt;57-77&lt;/pages&gt;&lt;volume&gt;24&lt;/volume&gt;&lt;number&gt;1&lt;/number&gt;&lt;dates&gt;&lt;year&gt;2004&lt;/year&gt;&lt;/dates&gt;&lt;isbn&gt;0144-1647&lt;/isbn&gt;&lt;urls&gt;&lt;related-urls&gt;&lt;url&gt;http://www.tandfonline.com/doi/abs/10.1080/0144164032000122343&lt;/url&gt;&lt;/related-urls&gt;&lt;/urls&gt;&lt;research-notes&gt;13&lt;/research-notes&gt;&lt;/record&gt;&lt;/Cite&gt;&lt;/EndNote&gt;</w:instrText>
      </w:r>
      <w:r w:rsidR="00D747D9">
        <w:fldChar w:fldCharType="separate"/>
      </w:r>
      <w:r w:rsidR="0071575F">
        <w:rPr>
          <w:noProof/>
        </w:rPr>
        <w:t>Ambrosini and Routhier (2004)</w:t>
      </w:r>
      <w:r w:rsidR="00D747D9">
        <w:fldChar w:fldCharType="end"/>
      </w:r>
      <w:r w:rsidR="0071575F">
        <w:t xml:space="preserve"> </w:t>
      </w:r>
      <w:r w:rsidRPr="00A96AC5">
        <w:rPr>
          <w:rFonts w:cs="Times New Roman"/>
        </w:rPr>
        <w:t xml:space="preserve">and </w:t>
      </w:r>
      <w:r w:rsidR="00D747D9">
        <w:rPr>
          <w:noProof/>
        </w:rPr>
        <w:fldChar w:fldCharType="begin"/>
      </w:r>
      <w:r w:rsidR="00647E79">
        <w:rPr>
          <w:noProof/>
        </w:rPr>
        <w:instrText xml:space="preserve"> ADDIN EN.CITE &lt;EndNote&gt;&lt;Cite AuthorYear="1"&gt;&lt;Author&gt;Anderson&lt;/Author&gt;&lt;Year&gt;2005&lt;/Year&gt;&lt;RecNum&gt;9&lt;/RecNum&gt;&lt;DisplayText&gt;Anderson et al. (2005)&lt;/DisplayText&gt;&lt;record&gt;&lt;rec-number&gt;9&lt;/rec-number&gt;&lt;foreign-keys&gt;&lt;key app="EN" db-id="pzt5ep52hsedfpeext2pdfes0w0aswaewef2" timestamp="1605187992"&gt;9&lt;/key&gt;&lt;/foreign-keys&gt;&lt;ref-type name="Journal Article"&gt;17&lt;/ref-type&gt;&lt;contributors&gt;&lt;authors&gt;&lt;author&gt;Anderson, Stephen&lt;/author&gt;&lt;author&gt;Allen, Julian&lt;/author&gt;&lt;author&gt;Browne, Michael&lt;/author&gt;&lt;/authors&gt;&lt;/contributors&gt;&lt;titles&gt;&lt;title&gt;Urban logistics––how can it meet policy makers’ sustainability objectives?&lt;/title&gt;&lt;secondary-title&gt;Journal of transport geography&lt;/secondary-title&gt;&lt;/titles&gt;&lt;periodical&gt;&lt;full-title&gt;Journal of transport geography&lt;/full-title&gt;&lt;/periodical&gt;&lt;pages&gt;71-81&lt;/pages&gt;&lt;volume&gt;13&lt;/volume&gt;&lt;number&gt;1&lt;/number&gt;&lt;dates&gt;&lt;year&gt;2005&lt;/year&gt;&lt;/dates&gt;&lt;isbn&gt;0966-6923&lt;/isbn&gt;&lt;urls&gt;&lt;/urls&gt;&lt;research-notes&gt;10&lt;/research-notes&gt;&lt;/record&gt;&lt;/Cite&gt;&lt;/EndNote&gt;</w:instrText>
      </w:r>
      <w:r w:rsidR="00D747D9">
        <w:rPr>
          <w:noProof/>
        </w:rPr>
        <w:fldChar w:fldCharType="separate"/>
      </w:r>
      <w:r w:rsidR="0071575F">
        <w:rPr>
          <w:noProof/>
        </w:rPr>
        <w:t>Anderson et al. (2005)</w:t>
      </w:r>
      <w:r w:rsidR="00D747D9">
        <w:rPr>
          <w:noProof/>
        </w:rPr>
        <w:fldChar w:fldCharType="end"/>
      </w:r>
      <w:r w:rsidRPr="00A96AC5">
        <w:rPr>
          <w:rFonts w:cs="Times New Roman"/>
        </w:rPr>
        <w:t xml:space="preserve">, who define UL as </w:t>
      </w:r>
    </w:p>
    <w:p w14:paraId="0824E6A5" w14:textId="77777777" w:rsidR="00E63FC9" w:rsidRPr="00A96AC5" w:rsidRDefault="00E63FC9" w:rsidP="00427AFC">
      <w:pPr>
        <w:spacing w:after="240" w:line="360" w:lineRule="auto"/>
        <w:ind w:left="851"/>
        <w:rPr>
          <w:rFonts w:cs="Times New Roman"/>
        </w:rPr>
      </w:pPr>
      <w:r w:rsidRPr="00A96AC5">
        <w:rPr>
          <w:rFonts w:cs="Times New Roman"/>
          <w:i/>
        </w:rPr>
        <w:t>The multi-disciplinary field that aims to understand the study and analyse the different organizations, logistics schemes, stakeholders and planning actions related to the improvement of the different goods transport systems in an urban zone and link them in a synergic way to decrease the main nuisances related to it.</w:t>
      </w:r>
      <w:r w:rsidRPr="00A96AC5">
        <w:rPr>
          <w:rFonts w:cs="Times New Roman"/>
        </w:rPr>
        <w:t xml:space="preserve"> </w:t>
      </w:r>
    </w:p>
    <w:p w14:paraId="0AB10448" w14:textId="65E96FCF" w:rsidR="00E63FC9" w:rsidRPr="00A96AC5" w:rsidRDefault="00E63FC9" w:rsidP="00427AFC">
      <w:pPr>
        <w:spacing w:after="240" w:line="360" w:lineRule="auto"/>
        <w:rPr>
          <w:rFonts w:cs="Times New Roman"/>
        </w:rPr>
      </w:pPr>
      <w:r w:rsidRPr="00A96AC5">
        <w:rPr>
          <w:rFonts w:cs="Times New Roman"/>
        </w:rPr>
        <w:t>Such nuisances include negative social, economic, and environmental impacts (e.g., traffic congestion, road safety, carbon emission, pollution, and service costs). Their studies (</w:t>
      </w:r>
      <w:proofErr w:type="spellStart"/>
      <w:r w:rsidRPr="00A96AC5">
        <w:rPr>
          <w:rFonts w:cs="Times New Roman"/>
        </w:rPr>
        <w:t>Ambrosini</w:t>
      </w:r>
      <w:proofErr w:type="spellEnd"/>
      <w:r w:rsidRPr="00A96AC5">
        <w:rPr>
          <w:rFonts w:cs="Times New Roman"/>
        </w:rPr>
        <w:t xml:space="preserve"> and Routhier [2004], </w:t>
      </w:r>
      <w:r w:rsidRPr="00A96AC5">
        <w:rPr>
          <w:rFonts w:cs="Times New Roman"/>
          <w:noProof/>
        </w:rPr>
        <w:t>Anderson et al. [2005]</w:t>
      </w:r>
      <w:r w:rsidRPr="00A96AC5">
        <w:rPr>
          <w:rFonts w:cs="Times New Roman"/>
        </w:rPr>
        <w:t xml:space="preserve">) illustrate that the SUL requires numerous organisations to work together on activities for the purpose of sustainability. </w:t>
      </w:r>
      <w:r w:rsidR="001632C8">
        <w:rPr>
          <w:noProof/>
        </w:rPr>
        <w:fldChar w:fldCharType="begin"/>
      </w:r>
      <w:r w:rsidR="00647E79">
        <w:rPr>
          <w:noProof/>
        </w:rPr>
        <w:instrText xml:space="preserve"> ADDIN EN.CITE &lt;EndNote&gt;&lt;Cite AuthorYear="1"&gt;&lt;Author&gt;Russo&lt;/Author&gt;&lt;Year&gt;2016&lt;/Year&gt;&lt;RecNum&gt;10&lt;/RecNum&gt;&lt;DisplayText&gt;Russo et al. (2016)&lt;/DisplayText&gt;&lt;record&gt;&lt;rec-number&gt;10&lt;/rec-number&gt;&lt;foreign-keys&gt;&lt;key app="EN" db-id="pzt5ep52hsedfpeext2pdfes0w0aswaewef2" timestamp="1605187992"&gt;10&lt;/key&gt;&lt;/foreign-keys&gt;&lt;ref-type name="Journal Article"&gt;17&lt;/ref-type&gt;&lt;contributors&gt;&lt;authors&gt;&lt;author&gt;Russo, Francesco&lt;/author&gt;&lt;author&gt;Rindone, Corrado&lt;/author&gt;&lt;author&gt;Panuccio, Paola&lt;/author&gt;&lt;/authors&gt;&lt;/contributors&gt;&lt;titles&gt;&lt;title&gt;European plans for the smart city: from theories and rules to logistics test case&lt;/title&gt;&lt;secondary-title&gt;European Planning Studies&lt;/secondary-title&gt;&lt;/titles&gt;&lt;periodical&gt;&lt;full-title&gt;European Planning Studies&lt;/full-title&gt;&lt;/periodical&gt;&lt;pages&gt;1709-1726&lt;/pages&gt;&lt;volume&gt;24&lt;/volume&gt;&lt;number&gt;9&lt;/number&gt;&lt;dates&gt;&lt;year&gt;2016&lt;/year&gt;&lt;/dates&gt;&lt;isbn&gt;0965-4313&lt;/isbn&gt;&lt;urls&gt;&lt;related-urls&gt;&lt;url&gt;http://www.tandfonline.com/doi/abs/10.1080/09654313.2016.1182120&lt;/url&gt;&lt;/related-urls&gt;&lt;/urls&gt;&lt;research-notes&gt;136&lt;/research-notes&gt;&lt;/record&gt;&lt;/Cite&gt;&lt;/EndNote&gt;</w:instrText>
      </w:r>
      <w:r w:rsidR="001632C8">
        <w:rPr>
          <w:noProof/>
        </w:rPr>
        <w:fldChar w:fldCharType="separate"/>
      </w:r>
      <w:r w:rsidR="001632C8">
        <w:rPr>
          <w:noProof/>
        </w:rPr>
        <w:t>Russo et al. (2016)</w:t>
      </w:r>
      <w:r w:rsidR="001632C8">
        <w:rPr>
          <w:noProof/>
        </w:rPr>
        <w:fldChar w:fldCharType="end"/>
      </w:r>
      <w:r w:rsidR="00CA4427">
        <w:rPr>
          <w:rFonts w:cs="Times New Roman"/>
        </w:rPr>
        <w:t xml:space="preserve"> </w:t>
      </w:r>
      <w:r w:rsidRPr="00A96AC5">
        <w:rPr>
          <w:rFonts w:cs="Times New Roman"/>
        </w:rPr>
        <w:t xml:space="preserve">also concludes that, in this system, cleaner transport technology and policy solutions promote better management of mobility and transform freight transportation from an energy-intensive and environmentally harmful practice to a less polluting, low-emission model. </w:t>
      </w:r>
    </w:p>
    <w:p w14:paraId="43FDF240" w14:textId="281198F5" w:rsidR="00E63FC9" w:rsidRPr="00FB013F" w:rsidRDefault="00E63FC9" w:rsidP="00427AFC">
      <w:pPr>
        <w:spacing w:before="156" w:after="240" w:line="360" w:lineRule="auto"/>
        <w:rPr>
          <w:rFonts w:cs="Times New Roman"/>
        </w:rPr>
      </w:pPr>
      <w:r w:rsidRPr="00FB013F">
        <w:rPr>
          <w:rFonts w:cs="Times New Roman"/>
        </w:rPr>
        <w:t xml:space="preserve">Clearly, urban logistics activities are fundamental to the economic performance of urban systems. Since most of the urban service and economic activities rely on the support of the freight, ensuring a </w:t>
      </w:r>
      <w:proofErr w:type="spellStart"/>
      <w:r w:rsidRPr="00FB013F">
        <w:rPr>
          <w:rFonts w:cs="Times New Roman"/>
        </w:rPr>
        <w:t>competent</w:t>
      </w:r>
      <w:r w:rsidR="002D2289">
        <w:rPr>
          <w:rFonts w:cs="Times New Roman"/>
        </w:rPr>
        <w:t>s</w:t>
      </w:r>
      <w:proofErr w:type="spellEnd"/>
      <w:r w:rsidRPr="00FB013F">
        <w:rPr>
          <w:rFonts w:cs="Times New Roman"/>
        </w:rPr>
        <w:t xml:space="preserve"> logistics efficiency is the requisite of city companies to provide </w:t>
      </w:r>
      <w:r w:rsidR="00F45EE5">
        <w:rPr>
          <w:rFonts w:cs="Times New Roman"/>
        </w:rPr>
        <w:t xml:space="preserve">an </w:t>
      </w:r>
      <w:r w:rsidRPr="00FB013F">
        <w:rPr>
          <w:rFonts w:cs="Times New Roman"/>
        </w:rPr>
        <w:t>eligible service for their consumers. In addition, the logistics demands are divergen</w:t>
      </w:r>
      <w:r w:rsidR="002D2289">
        <w:rPr>
          <w:rFonts w:cs="Times New Roman"/>
        </w:rPr>
        <w:t>t</w:t>
      </w:r>
      <w:r w:rsidRPr="00FB013F">
        <w:rPr>
          <w:rFonts w:cs="Times New Roman"/>
        </w:rPr>
        <w:t xml:space="preserve"> in the city, such as logistics requirement from independent retailing, </w:t>
      </w:r>
      <w:r w:rsidR="001972A3">
        <w:rPr>
          <w:rFonts w:cs="Times New Roman"/>
        </w:rPr>
        <w:t>c</w:t>
      </w:r>
      <w:r w:rsidRPr="00FB013F">
        <w:rPr>
          <w:rFonts w:cs="Times New Roman"/>
        </w:rPr>
        <w:t>hain retailing, and parcel and home deliveries, which rel</w:t>
      </w:r>
      <w:r w:rsidR="00922B78">
        <w:rPr>
          <w:rFonts w:cs="Times New Roman"/>
        </w:rPr>
        <w:t>y</w:t>
      </w:r>
      <w:r w:rsidRPr="00FB013F">
        <w:rPr>
          <w:rFonts w:cs="Times New Roman"/>
        </w:rPr>
        <w:t xml:space="preserve"> on the support from different kinds of supply chain. Meanwhile, the</w:t>
      </w:r>
      <w:r w:rsidR="007C6F2C">
        <w:rPr>
          <w:rFonts w:cs="Times New Roman"/>
        </w:rPr>
        <w:t xml:space="preserve"> </w:t>
      </w:r>
      <w:r w:rsidRPr="00FB013F">
        <w:rPr>
          <w:rFonts w:cs="Times New Roman"/>
        </w:rPr>
        <w:t>profile of a city can impact</w:t>
      </w:r>
      <w:r w:rsidR="001C3C49">
        <w:rPr>
          <w:rFonts w:cs="Times New Roman"/>
        </w:rPr>
        <w:t xml:space="preserve"> on</w:t>
      </w:r>
      <w:r w:rsidRPr="00FB013F">
        <w:rPr>
          <w:rFonts w:cs="Times New Roman"/>
        </w:rPr>
        <w:t xml:space="preserve"> the development of the UL. In general, metropolitan cit</w:t>
      </w:r>
      <w:r w:rsidR="00441067">
        <w:rPr>
          <w:rFonts w:cs="Times New Roman"/>
        </w:rPr>
        <w:t>ies</w:t>
      </w:r>
      <w:r w:rsidRPr="00FB013F">
        <w:rPr>
          <w:rFonts w:cs="Times New Roman"/>
        </w:rPr>
        <w:t xml:space="preserve"> generate more logistics demands than small</w:t>
      </w:r>
      <w:r w:rsidR="00E1727E">
        <w:rPr>
          <w:rFonts w:cs="Times New Roman"/>
        </w:rPr>
        <w:t>-</w:t>
      </w:r>
      <w:r w:rsidRPr="00FB013F">
        <w:rPr>
          <w:rFonts w:cs="Times New Roman"/>
        </w:rPr>
        <w:t>and</w:t>
      </w:r>
      <w:r w:rsidR="00E1727E">
        <w:rPr>
          <w:rFonts w:cs="Times New Roman"/>
        </w:rPr>
        <w:t>-</w:t>
      </w:r>
      <w:r w:rsidRPr="00FB013F">
        <w:rPr>
          <w:rFonts w:cs="Times New Roman"/>
        </w:rPr>
        <w:t>medium size</w:t>
      </w:r>
      <w:r w:rsidR="00E1727E">
        <w:rPr>
          <w:rFonts w:cs="Times New Roman"/>
        </w:rPr>
        <w:t>d</w:t>
      </w:r>
      <w:r w:rsidRPr="00FB013F">
        <w:rPr>
          <w:rFonts w:cs="Times New Roman"/>
        </w:rPr>
        <w:t xml:space="preserve"> cities</w:t>
      </w:r>
      <w:r w:rsidR="00E1727E">
        <w:rPr>
          <w:rFonts w:cs="Times New Roman"/>
        </w:rPr>
        <w:t>.</w:t>
      </w:r>
      <w:r w:rsidRPr="00FB013F">
        <w:rPr>
          <w:rFonts w:cs="Times New Roman"/>
        </w:rPr>
        <w:t xml:space="preserve"> Freight activities occur more frequently in economic district</w:t>
      </w:r>
      <w:r w:rsidR="00D13DD9">
        <w:rPr>
          <w:rFonts w:cs="Times New Roman"/>
        </w:rPr>
        <w:t>s</w:t>
      </w:r>
      <w:r w:rsidRPr="00FB013F">
        <w:rPr>
          <w:rFonts w:cs="Times New Roman"/>
        </w:rPr>
        <w:t xml:space="preserve"> and high-density resident</w:t>
      </w:r>
      <w:r w:rsidR="00D13DD9">
        <w:rPr>
          <w:rFonts w:cs="Times New Roman"/>
        </w:rPr>
        <w:t>ial</w:t>
      </w:r>
      <w:r w:rsidRPr="00FB013F">
        <w:rPr>
          <w:rFonts w:cs="Times New Roman"/>
        </w:rPr>
        <w:t xml:space="preserve"> area in other parts of a city</w:t>
      </w:r>
      <w:r w:rsidR="0055213B">
        <w:rPr>
          <w:rFonts w:cs="Times New Roman"/>
        </w:rPr>
        <w:t>.</w:t>
      </w:r>
      <w:r w:rsidRPr="00FB013F">
        <w:rPr>
          <w:rFonts w:cs="Times New Roman"/>
        </w:rPr>
        <w:t xml:space="preserve"> </w:t>
      </w:r>
      <w:r w:rsidR="0055213B">
        <w:rPr>
          <w:rFonts w:cs="Times New Roman"/>
        </w:rPr>
        <w:t>T</w:t>
      </w:r>
      <w:r w:rsidRPr="00FB013F">
        <w:rPr>
          <w:rFonts w:cs="Times New Roman"/>
        </w:rPr>
        <w:t>he freight volume in this area is associated with their economic conditions. For example, cities in developed regions generate more logistics demand</w:t>
      </w:r>
      <w:r w:rsidR="0071784E">
        <w:rPr>
          <w:rFonts w:cs="Times New Roman"/>
        </w:rPr>
        <w:t>s</w:t>
      </w:r>
      <w:r w:rsidRPr="00FB013F">
        <w:rPr>
          <w:rFonts w:cs="Times New Roman"/>
        </w:rPr>
        <w:t xml:space="preserve"> than other regions. All </w:t>
      </w:r>
      <w:r w:rsidR="00DC229D">
        <w:rPr>
          <w:rFonts w:cs="Times New Roman"/>
        </w:rPr>
        <w:t xml:space="preserve">the </w:t>
      </w:r>
      <w:r w:rsidRPr="00FB013F">
        <w:rPr>
          <w:rFonts w:cs="Times New Roman"/>
        </w:rPr>
        <w:t>above factors lead</w:t>
      </w:r>
      <w:r w:rsidR="00DC229D">
        <w:rPr>
          <w:rFonts w:cs="Times New Roman"/>
        </w:rPr>
        <w:t>ing</w:t>
      </w:r>
      <w:r w:rsidRPr="00FB013F">
        <w:rPr>
          <w:rFonts w:cs="Times New Roman"/>
        </w:rPr>
        <w:t xml:space="preserve"> to each freight shipment process is unique in the different context</w:t>
      </w:r>
      <w:r w:rsidR="008A7747">
        <w:rPr>
          <w:rFonts w:cs="Times New Roman"/>
        </w:rPr>
        <w:t>s</w:t>
      </w:r>
      <w:r w:rsidRPr="00FB013F">
        <w:rPr>
          <w:rFonts w:cs="Times New Roman"/>
        </w:rPr>
        <w:t xml:space="preserve"> of </w:t>
      </w:r>
      <w:r w:rsidR="008A7747">
        <w:rPr>
          <w:rFonts w:cs="Times New Roman"/>
        </w:rPr>
        <w:t>each</w:t>
      </w:r>
      <w:r w:rsidRPr="00FB013F">
        <w:rPr>
          <w:rFonts w:cs="Times New Roman"/>
        </w:rPr>
        <w:t xml:space="preserve"> city. </w:t>
      </w:r>
    </w:p>
    <w:p w14:paraId="00435C76" w14:textId="2BACD58A" w:rsidR="00E63FC9" w:rsidRPr="00FB013F" w:rsidRDefault="00E63FC9" w:rsidP="00427AFC">
      <w:pPr>
        <w:spacing w:before="156" w:after="240" w:line="360" w:lineRule="auto"/>
        <w:rPr>
          <w:rFonts w:cs="Times New Roman"/>
        </w:rPr>
      </w:pPr>
      <w:r w:rsidRPr="00FB013F">
        <w:rPr>
          <w:rFonts w:cs="Times New Roman"/>
        </w:rPr>
        <w:t>The different physical spaces, roadway designing, accessing</w:t>
      </w:r>
      <w:r w:rsidR="00381D70">
        <w:rPr>
          <w:rFonts w:cs="Times New Roman"/>
        </w:rPr>
        <w:t xml:space="preserve"> planning</w:t>
      </w:r>
      <w:r w:rsidRPr="00FB013F">
        <w:rPr>
          <w:rFonts w:cs="Times New Roman"/>
        </w:rPr>
        <w:t xml:space="preserve"> and parking regulation would lead to congestion, extra fuel consumption and exhaust emission</w:t>
      </w:r>
      <w:r w:rsidR="009E606E">
        <w:rPr>
          <w:rFonts w:cs="Times New Roman"/>
        </w:rPr>
        <w:t>s</w:t>
      </w:r>
      <w:r w:rsidRPr="00FB013F">
        <w:rPr>
          <w:rFonts w:cs="Times New Roman"/>
        </w:rPr>
        <w:t xml:space="preserve">. </w:t>
      </w:r>
      <w:r w:rsidR="003362B4">
        <w:rPr>
          <w:rFonts w:cs="Times New Roman"/>
        </w:rPr>
        <w:t>C</w:t>
      </w:r>
      <w:r w:rsidRPr="00FB013F">
        <w:rPr>
          <w:rFonts w:cs="Times New Roman"/>
        </w:rPr>
        <w:t xml:space="preserve">ities becoming more crowded with </w:t>
      </w:r>
      <w:r w:rsidR="00254AD5">
        <w:rPr>
          <w:rFonts w:cs="Times New Roman"/>
        </w:rPr>
        <w:t xml:space="preserve">a </w:t>
      </w:r>
      <w:r w:rsidRPr="00FB013F">
        <w:rPr>
          <w:rFonts w:cs="Times New Roman"/>
        </w:rPr>
        <w:t>high density of residents</w:t>
      </w:r>
      <w:r w:rsidR="00254AD5">
        <w:rPr>
          <w:rFonts w:cs="Times New Roman"/>
        </w:rPr>
        <w:t xml:space="preserve"> means that</w:t>
      </w:r>
      <w:r w:rsidRPr="00FB013F">
        <w:rPr>
          <w:rFonts w:cs="Times New Roman"/>
        </w:rPr>
        <w:t>, requirements for mitigat</w:t>
      </w:r>
      <w:r w:rsidR="00BD4C95">
        <w:rPr>
          <w:rFonts w:cs="Times New Roman"/>
        </w:rPr>
        <w:t>ing</w:t>
      </w:r>
      <w:r w:rsidRPr="00FB013F">
        <w:rPr>
          <w:rFonts w:cs="Times New Roman"/>
        </w:rPr>
        <w:t xml:space="preserve"> the negative impacts of </w:t>
      </w:r>
      <w:r w:rsidR="00E46031">
        <w:rPr>
          <w:rFonts w:cs="Times New Roman"/>
        </w:rPr>
        <w:t xml:space="preserve">a </w:t>
      </w:r>
      <w:r w:rsidRPr="00FB013F">
        <w:rPr>
          <w:rFonts w:cs="Times New Roman"/>
        </w:rPr>
        <w:t xml:space="preserve">city environment and society </w:t>
      </w:r>
      <w:r w:rsidR="00E46031">
        <w:rPr>
          <w:rFonts w:cs="Times New Roman"/>
        </w:rPr>
        <w:t>are</w:t>
      </w:r>
      <w:r w:rsidRPr="00FB013F">
        <w:rPr>
          <w:rFonts w:cs="Times New Roman"/>
        </w:rPr>
        <w:t xml:space="preserve"> increasingly stringent.</w:t>
      </w:r>
      <w:r w:rsidR="00723F4C">
        <w:rPr>
          <w:rFonts w:cs="Times New Roman"/>
        </w:rPr>
        <w:t xml:space="preserve"> </w:t>
      </w:r>
      <w:r w:rsidRPr="00FB013F">
        <w:rPr>
          <w:rFonts w:cs="Times New Roman"/>
        </w:rPr>
        <w:t xml:space="preserve">As a result, logistic activities must be adapted to such requirements </w:t>
      </w:r>
      <w:proofErr w:type="gramStart"/>
      <w:r w:rsidRPr="00FB013F">
        <w:rPr>
          <w:rFonts w:cs="Times New Roman"/>
        </w:rPr>
        <w:t>in order to</w:t>
      </w:r>
      <w:proofErr w:type="gramEnd"/>
      <w:r w:rsidRPr="00FB013F">
        <w:rPr>
          <w:rFonts w:cs="Times New Roman"/>
        </w:rPr>
        <w:t xml:space="preserve"> increase freight efficiency as well as address the major external challenges of UL in terms of the environmental and social issues </w:t>
      </w:r>
      <w:r w:rsidRPr="00FB013F">
        <w:rPr>
          <w:rFonts w:cs="Times New Roman"/>
        </w:rPr>
        <w:lastRenderedPageBreak/>
        <w:t xml:space="preserve">in </w:t>
      </w:r>
      <w:r w:rsidR="00FC416E">
        <w:rPr>
          <w:rFonts w:cs="Times New Roman"/>
        </w:rPr>
        <w:t>an</w:t>
      </w:r>
      <w:r w:rsidRPr="00FB013F">
        <w:rPr>
          <w:rFonts w:cs="Times New Roman"/>
        </w:rPr>
        <w:t xml:space="preserve"> urban area. Therefore, the planning of the urban logistics network should be integrated into the models of urban development.</w:t>
      </w:r>
    </w:p>
    <w:p w14:paraId="1417EAC1" w14:textId="0859F3A3" w:rsidR="00013E7D" w:rsidRPr="00A96AC5" w:rsidRDefault="00E63FC9" w:rsidP="00427AFC">
      <w:pPr>
        <w:spacing w:before="156" w:after="240" w:line="360" w:lineRule="auto"/>
        <w:rPr>
          <w:rFonts w:cs="Times New Roman"/>
        </w:rPr>
      </w:pPr>
      <w:r w:rsidRPr="00FB013F">
        <w:rPr>
          <w:rFonts w:cs="Times New Roman"/>
        </w:rPr>
        <w:t>The concept of sustainable development has been adopted during the designing stage of the development in countries, regions, and specific industr</w:t>
      </w:r>
      <w:r w:rsidR="007B47A3" w:rsidRPr="00FB013F">
        <w:rPr>
          <w:rFonts w:cs="Times New Roman"/>
        </w:rPr>
        <w:t>ies</w:t>
      </w:r>
      <w:r w:rsidR="00F62B4A">
        <w:rPr>
          <w:rFonts w:cs="Times New Roman"/>
        </w:rPr>
        <w:t>.</w:t>
      </w:r>
      <w:r w:rsidRPr="00FB013F">
        <w:rPr>
          <w:rFonts w:cs="Times New Roman"/>
        </w:rPr>
        <w:t xml:space="preserve"> </w:t>
      </w:r>
      <w:r w:rsidR="007D56E3">
        <w:rPr>
          <w:rFonts w:cs="Times New Roman"/>
        </w:rPr>
        <w:t>It</w:t>
      </w:r>
      <w:r w:rsidRPr="00FB013F">
        <w:rPr>
          <w:rFonts w:cs="Times New Roman"/>
        </w:rPr>
        <w:t xml:space="preserve"> aim</w:t>
      </w:r>
      <w:r w:rsidR="00F62B4A">
        <w:rPr>
          <w:rFonts w:cs="Times New Roman"/>
        </w:rPr>
        <w:t>s</w:t>
      </w:r>
      <w:r w:rsidRPr="00FB013F">
        <w:rPr>
          <w:rFonts w:cs="Times New Roman"/>
        </w:rPr>
        <w:t xml:space="preserve"> at ‘bringing human societies to a desirable future state in which living conditions and the use of resources meet human needs without constituting a danger to the continuity and development of natural systems, thereby ensuring the availability of resources for future generations</w:t>
      </w:r>
      <w:r w:rsidR="00194832">
        <w:rPr>
          <w:rFonts w:cs="Times New Roman"/>
        </w:rPr>
        <w:t>’</w:t>
      </w:r>
      <w:r w:rsidR="00C84B8D">
        <w:rPr>
          <w:rFonts w:cs="Times New Roman"/>
        </w:rPr>
        <w:t xml:space="preserve"> </w:t>
      </w:r>
      <w:r w:rsidR="000465D2">
        <w:rPr>
          <w:rFonts w:cs="Times New Roman"/>
          <w:noProof/>
        </w:rPr>
        <w:fldChar w:fldCharType="begin"/>
      </w:r>
      <w:r w:rsidR="00647E79">
        <w:rPr>
          <w:rFonts w:cs="Times New Roman"/>
          <w:noProof/>
        </w:rPr>
        <w:instrText xml:space="preserve"> ADDIN EN.CITE &lt;EndNote&gt;&lt;Cite&gt;&lt;Author&gt;Stivers&lt;/Author&gt;&lt;Year&gt;1976&lt;/Year&gt;&lt;RecNum&gt;11&lt;/RecNum&gt;&lt;DisplayText&gt;(Stivers, 1976)&lt;/DisplayText&gt;&lt;record&gt;&lt;rec-number&gt;11&lt;/rec-number&gt;&lt;foreign-keys&gt;&lt;key app="EN" db-id="pzt5ep52hsedfpeext2pdfes0w0aswaewef2" timestamp="1605187992"&gt;11&lt;/key&gt;&lt;/foreign-keys&gt;&lt;ref-type name="Book"&gt;6&lt;/ref-type&gt;&lt;contributors&gt;&lt;authors&gt;&lt;author&gt;Stivers, Robert L&lt;/author&gt;&lt;/authors&gt;&lt;/contributors&gt;&lt;titles&gt;&lt;title&gt;The sustainable society: ethics and economic growth&lt;/title&gt;&lt;/titles&gt;&lt;dates&gt;&lt;year&gt;1976&lt;/year&gt;&lt;/dates&gt;&lt;publisher&gt;Westminster Press Philadelphia&lt;/publisher&gt;&lt;isbn&gt;066424789X&lt;/isbn&gt;&lt;urls&gt;&lt;/urls&gt;&lt;/record&gt;&lt;/Cite&gt;&lt;/EndNote&gt;</w:instrText>
      </w:r>
      <w:r w:rsidR="000465D2">
        <w:rPr>
          <w:rFonts w:cs="Times New Roman"/>
          <w:noProof/>
        </w:rPr>
        <w:fldChar w:fldCharType="separate"/>
      </w:r>
      <w:r w:rsidR="000465D2">
        <w:rPr>
          <w:rFonts w:cs="Times New Roman"/>
          <w:noProof/>
        </w:rPr>
        <w:t>(Stivers, 1976)</w:t>
      </w:r>
      <w:r w:rsidR="000465D2">
        <w:rPr>
          <w:rFonts w:cs="Times New Roman"/>
          <w:noProof/>
        </w:rPr>
        <w:fldChar w:fldCharType="end"/>
      </w:r>
      <w:r w:rsidRPr="00FB013F">
        <w:rPr>
          <w:rFonts w:cs="Times New Roman"/>
        </w:rPr>
        <w:t>. As important hub</w:t>
      </w:r>
      <w:r w:rsidR="009A347E">
        <w:rPr>
          <w:rFonts w:cs="Times New Roman"/>
        </w:rPr>
        <w:t>s</w:t>
      </w:r>
      <w:r w:rsidRPr="00FB013F">
        <w:rPr>
          <w:rFonts w:cs="Times New Roman"/>
        </w:rPr>
        <w:t xml:space="preserve"> of different industries, cities </w:t>
      </w:r>
      <w:r w:rsidR="004312E4">
        <w:rPr>
          <w:rFonts w:cs="Times New Roman"/>
        </w:rPr>
        <w:t>themselves</w:t>
      </w:r>
      <w:r w:rsidRPr="00FB013F">
        <w:rPr>
          <w:rFonts w:cs="Times New Roman"/>
        </w:rPr>
        <w:t xml:space="preserve"> should </w:t>
      </w:r>
      <w:r w:rsidR="004312E4">
        <w:rPr>
          <w:rFonts w:cs="Times New Roman"/>
        </w:rPr>
        <w:t>co</w:t>
      </w:r>
      <w:r w:rsidRPr="00FB013F">
        <w:rPr>
          <w:rFonts w:cs="Times New Roman"/>
        </w:rPr>
        <w:t>mply with such development idea</w:t>
      </w:r>
      <w:r w:rsidR="00D46C25">
        <w:rPr>
          <w:rFonts w:cs="Times New Roman"/>
        </w:rPr>
        <w:t>s</w:t>
      </w:r>
      <w:r w:rsidRPr="00FB013F">
        <w:rPr>
          <w:rFonts w:cs="Times New Roman"/>
        </w:rPr>
        <w:t xml:space="preserve">. </w:t>
      </w:r>
      <w:r w:rsidRPr="008903D1">
        <w:rPr>
          <w:rFonts w:cs="Times New Roman"/>
        </w:rPr>
        <w:t xml:space="preserve">The next section </w:t>
      </w:r>
      <w:r w:rsidRPr="00737239">
        <w:rPr>
          <w:rFonts w:cs="Times New Roman"/>
        </w:rPr>
        <w:t xml:space="preserve">will discuss SUD. </w:t>
      </w:r>
    </w:p>
    <w:p w14:paraId="7495B870" w14:textId="1D683114" w:rsidR="00013E7D" w:rsidRPr="00A96AC5" w:rsidRDefault="00013E7D" w:rsidP="000A4E8C">
      <w:pPr>
        <w:pStyle w:val="Heading2"/>
        <w:spacing w:after="120" w:line="360" w:lineRule="auto"/>
        <w:rPr>
          <w:rFonts w:cs="Times New Roman"/>
        </w:rPr>
      </w:pPr>
      <w:bookmarkStart w:id="55" w:name="_Toc34734480"/>
      <w:bookmarkStart w:id="56" w:name="_Toc46053398"/>
      <w:bookmarkStart w:id="57" w:name="_Toc46093312"/>
      <w:bookmarkStart w:id="58" w:name="_Toc46093595"/>
      <w:bookmarkStart w:id="59" w:name="_Toc66703170"/>
      <w:r w:rsidRPr="00A96AC5">
        <w:rPr>
          <w:rFonts w:cs="Times New Roman"/>
        </w:rPr>
        <w:t xml:space="preserve">Sustainable </w:t>
      </w:r>
      <w:r w:rsidR="00C15339" w:rsidRPr="00A96AC5">
        <w:rPr>
          <w:rFonts w:cs="Times New Roman"/>
        </w:rPr>
        <w:t>urban development (SUD)</w:t>
      </w:r>
      <w:bookmarkEnd w:id="55"/>
      <w:bookmarkEnd w:id="56"/>
      <w:bookmarkEnd w:id="57"/>
      <w:bookmarkEnd w:id="58"/>
      <w:bookmarkEnd w:id="59"/>
    </w:p>
    <w:p w14:paraId="0835CA57" w14:textId="032DBDF3" w:rsidR="00C30653" w:rsidRPr="004C5A99" w:rsidRDefault="00013E7D" w:rsidP="004C5A99">
      <w:pPr>
        <w:pStyle w:val="Caption"/>
        <w:spacing w:line="360" w:lineRule="auto"/>
        <w:jc w:val="both"/>
        <w:rPr>
          <w:rFonts w:cs="Times New Roman"/>
          <w:b w:val="0"/>
          <w:i w:val="0"/>
          <w:iCs w:val="0"/>
          <w:color w:val="auto"/>
          <w:sz w:val="24"/>
          <w:szCs w:val="22"/>
        </w:rPr>
      </w:pPr>
      <w:r w:rsidRPr="004C5A99">
        <w:rPr>
          <w:rFonts w:cs="Times New Roman"/>
          <w:b w:val="0"/>
          <w:i w:val="0"/>
          <w:iCs w:val="0"/>
          <w:color w:val="auto"/>
          <w:sz w:val="24"/>
          <w:szCs w:val="22"/>
        </w:rPr>
        <w:t xml:space="preserve">Sustainable development </w:t>
      </w:r>
      <w:r w:rsidR="004C5A99">
        <w:rPr>
          <w:rFonts w:cs="Times New Roman"/>
          <w:b w:val="0"/>
          <w:i w:val="0"/>
          <w:iCs w:val="0"/>
          <w:color w:val="auto"/>
          <w:sz w:val="24"/>
          <w:szCs w:val="22"/>
          <w:lang w:val="en-US"/>
        </w:rPr>
        <w:t xml:space="preserve">(SD) </w:t>
      </w:r>
      <w:r w:rsidRPr="004C5A99">
        <w:rPr>
          <w:rFonts w:cs="Times New Roman"/>
          <w:b w:val="0"/>
          <w:i w:val="0"/>
          <w:iCs w:val="0"/>
          <w:color w:val="auto"/>
          <w:sz w:val="24"/>
          <w:szCs w:val="22"/>
        </w:rPr>
        <w:t xml:space="preserve">has been defined as </w:t>
      </w:r>
      <w:r w:rsidR="00B97E1F" w:rsidRPr="004C5A99">
        <w:rPr>
          <w:rFonts w:cs="Times New Roman"/>
          <w:b w:val="0"/>
          <w:i w:val="0"/>
          <w:iCs w:val="0"/>
          <w:color w:val="auto"/>
          <w:sz w:val="24"/>
          <w:szCs w:val="22"/>
        </w:rPr>
        <w:t>‘</w:t>
      </w:r>
      <w:r w:rsidR="003D5793" w:rsidRPr="004C5A99">
        <w:rPr>
          <w:rFonts w:cs="Times New Roman"/>
          <w:b w:val="0"/>
          <w:color w:val="auto"/>
          <w:sz w:val="24"/>
          <w:szCs w:val="22"/>
        </w:rPr>
        <w:t xml:space="preserve">the </w:t>
      </w:r>
      <w:r w:rsidRPr="004C5A99">
        <w:rPr>
          <w:rFonts w:cs="Times New Roman"/>
          <w:b w:val="0"/>
          <w:color w:val="auto"/>
          <w:sz w:val="24"/>
          <w:szCs w:val="22"/>
        </w:rPr>
        <w:t>model of development that meets the needs of the present without compromising the ability of future generations to meet their need</w:t>
      </w:r>
      <w:r w:rsidR="00BB7FE3" w:rsidRPr="004C5A99">
        <w:rPr>
          <w:rFonts w:cs="Times New Roman"/>
          <w:b w:val="0"/>
          <w:color w:val="auto"/>
          <w:sz w:val="24"/>
          <w:szCs w:val="22"/>
        </w:rPr>
        <w:t>s</w:t>
      </w:r>
      <w:r w:rsidR="00B97E1F" w:rsidRPr="004C5A99">
        <w:rPr>
          <w:rFonts w:cs="Times New Roman"/>
          <w:b w:val="0"/>
          <w:color w:val="auto"/>
          <w:sz w:val="24"/>
          <w:szCs w:val="22"/>
        </w:rPr>
        <w:t>’</w:t>
      </w:r>
      <w:r w:rsidR="00BB7FE3" w:rsidRPr="004C5A99">
        <w:rPr>
          <w:rFonts w:cs="Times New Roman"/>
          <w:b w:val="0"/>
          <w:color w:val="auto"/>
          <w:sz w:val="24"/>
          <w:szCs w:val="22"/>
        </w:rPr>
        <w:t xml:space="preserve"> </w:t>
      </w:r>
      <w:r w:rsidR="00C0551E">
        <w:rPr>
          <w:rFonts w:cs="Times New Roman"/>
          <w:b w:val="0"/>
          <w:noProof/>
          <w:color w:val="auto"/>
          <w:sz w:val="24"/>
          <w:szCs w:val="22"/>
        </w:rPr>
        <w:t>(Brundtland, 1987)</w:t>
      </w:r>
      <w:r w:rsidR="00C14A7B" w:rsidRPr="004C5A99">
        <w:rPr>
          <w:rFonts w:cs="Times New Roman"/>
          <w:b w:val="0"/>
          <w:i w:val="0"/>
          <w:iCs w:val="0"/>
          <w:color w:val="auto"/>
          <w:sz w:val="24"/>
          <w:szCs w:val="22"/>
        </w:rPr>
        <w:t xml:space="preserve">. </w:t>
      </w:r>
      <w:r w:rsidR="003C1C99">
        <w:rPr>
          <w:rFonts w:cs="Times New Roman"/>
          <w:b w:val="0"/>
          <w:i w:val="0"/>
          <w:iCs w:val="0"/>
          <w:color w:val="auto"/>
          <w:sz w:val="24"/>
          <w:szCs w:val="22"/>
        </w:rPr>
        <w:t>More specifically</w:t>
      </w:r>
      <w:r w:rsidR="00073716" w:rsidRPr="004C5A99">
        <w:rPr>
          <w:rFonts w:cs="Times New Roman"/>
          <w:b w:val="0"/>
          <w:i w:val="0"/>
          <w:iCs w:val="0"/>
          <w:color w:val="auto"/>
          <w:sz w:val="24"/>
          <w:szCs w:val="22"/>
        </w:rPr>
        <w:t>, sustainable development contains the three primary dimensions</w:t>
      </w:r>
      <w:r w:rsidR="00E27385">
        <w:rPr>
          <w:rFonts w:cs="Times New Roman"/>
          <w:b w:val="0"/>
          <w:i w:val="0"/>
          <w:iCs w:val="0"/>
          <w:color w:val="auto"/>
          <w:sz w:val="24"/>
          <w:szCs w:val="22"/>
        </w:rPr>
        <w:t xml:space="preserve">: the </w:t>
      </w:r>
      <w:r w:rsidR="00073716" w:rsidRPr="004C5A99">
        <w:rPr>
          <w:rFonts w:cs="Times New Roman"/>
          <w:b w:val="0"/>
          <w:i w:val="0"/>
          <w:iCs w:val="0"/>
          <w:color w:val="auto"/>
          <w:sz w:val="24"/>
          <w:szCs w:val="22"/>
        </w:rPr>
        <w:t>environment, society, and the economy</w:t>
      </w:r>
      <w:r w:rsidR="005C58F8" w:rsidRPr="004C5A99">
        <w:rPr>
          <w:rFonts w:cs="Times New Roman"/>
          <w:b w:val="0"/>
          <w:i w:val="0"/>
          <w:iCs w:val="0"/>
          <w:color w:val="auto"/>
          <w:sz w:val="24"/>
          <w:szCs w:val="22"/>
        </w:rPr>
        <w:t xml:space="preserve"> </w:t>
      </w:r>
      <w:r w:rsidR="000465D2">
        <w:rPr>
          <w:rFonts w:cs="Times New Roman"/>
          <w:b w:val="0"/>
          <w:i w:val="0"/>
          <w:iCs w:val="0"/>
          <w:color w:val="auto"/>
          <w:sz w:val="24"/>
          <w:szCs w:val="22"/>
        </w:rPr>
        <w:fldChar w:fldCharType="begin"/>
      </w:r>
      <w:r w:rsidR="00647E79">
        <w:rPr>
          <w:rFonts w:cs="Times New Roman"/>
          <w:b w:val="0"/>
          <w:i w:val="0"/>
          <w:iCs w:val="0"/>
          <w:color w:val="auto"/>
          <w:sz w:val="24"/>
          <w:szCs w:val="22"/>
        </w:rPr>
        <w:instrText xml:space="preserve"> ADDIN EN.CITE &lt;EndNote&gt;&lt;Cite&gt;&lt;Author&gt;Brundtland&lt;/Author&gt;&lt;Year&gt;1987&lt;/Year&gt;&lt;RecNum&gt;12&lt;/RecNum&gt;&lt;DisplayText&gt;(Brundtland et al., 1987)&lt;/DisplayText&gt;&lt;record&gt;&lt;rec-number&gt;12&lt;/rec-number&gt;&lt;foreign-keys&gt;&lt;key app="EN" db-id="pzt5ep52hsedfpeext2pdfes0w0aswaewef2" timestamp="1605187992"&gt;12&lt;/key&gt;&lt;/foreign-keys&gt;&lt;ref-type name="Journal Article"&gt;17&lt;/ref-type&gt;&lt;contributors&gt;&lt;authors&gt;&lt;author&gt;Brundtland, Gro Harlem&lt;/author&gt;&lt;author&gt;Khalid, M&lt;/author&gt;&lt;author&gt;Agnelli, S&lt;/author&gt;&lt;author&gt;Al-Athel, S&lt;/author&gt;&lt;author&gt;Chidzero, BJNY %J New York&lt;/author&gt;&lt;/authors&gt;&lt;/contributors&gt;&lt;titles&gt;&lt;title&gt;Our common future&lt;/title&gt;&lt;/titles&gt;&lt;volume&gt;8&lt;/volume&gt;&lt;dates&gt;&lt;year&gt;1987&lt;/year&gt;&lt;/dates&gt;&lt;urls&gt;&lt;/urls&gt;&lt;/record&gt;&lt;/Cite&gt;&lt;/EndNote&gt;</w:instrText>
      </w:r>
      <w:r w:rsidR="000465D2">
        <w:rPr>
          <w:rFonts w:cs="Times New Roman"/>
          <w:b w:val="0"/>
          <w:i w:val="0"/>
          <w:iCs w:val="0"/>
          <w:color w:val="auto"/>
          <w:sz w:val="24"/>
          <w:szCs w:val="22"/>
        </w:rPr>
        <w:fldChar w:fldCharType="separate"/>
      </w:r>
      <w:r w:rsidR="000465D2">
        <w:rPr>
          <w:rFonts w:cs="Times New Roman"/>
          <w:b w:val="0"/>
          <w:i w:val="0"/>
          <w:iCs w:val="0"/>
          <w:noProof/>
          <w:color w:val="auto"/>
          <w:sz w:val="24"/>
          <w:szCs w:val="22"/>
        </w:rPr>
        <w:t>(Brundtland et al., 1987)</w:t>
      </w:r>
      <w:r w:rsidR="000465D2">
        <w:rPr>
          <w:rFonts w:cs="Times New Roman"/>
          <w:b w:val="0"/>
          <w:i w:val="0"/>
          <w:iCs w:val="0"/>
          <w:color w:val="auto"/>
          <w:sz w:val="24"/>
          <w:szCs w:val="22"/>
        </w:rPr>
        <w:fldChar w:fldCharType="end"/>
      </w:r>
      <w:r w:rsidR="00E27385">
        <w:rPr>
          <w:rFonts w:cs="Times New Roman"/>
          <w:b w:val="0"/>
          <w:i w:val="0"/>
          <w:iCs w:val="0"/>
          <w:color w:val="auto"/>
          <w:sz w:val="24"/>
          <w:szCs w:val="22"/>
        </w:rPr>
        <w:t>.</w:t>
      </w:r>
      <w:r w:rsidRPr="004C5A99">
        <w:rPr>
          <w:rFonts w:cs="Times New Roman"/>
          <w:b w:val="0"/>
          <w:i w:val="0"/>
          <w:iCs w:val="0"/>
          <w:color w:val="auto"/>
          <w:sz w:val="24"/>
          <w:szCs w:val="22"/>
        </w:rPr>
        <w:t xml:space="preserve"> </w:t>
      </w:r>
      <w:r w:rsidR="00E27385">
        <w:rPr>
          <w:rFonts w:cs="Times New Roman"/>
          <w:b w:val="0"/>
          <w:i w:val="0"/>
          <w:iCs w:val="0"/>
          <w:color w:val="auto"/>
          <w:sz w:val="24"/>
          <w:szCs w:val="22"/>
        </w:rPr>
        <w:t>A</w:t>
      </w:r>
      <w:r w:rsidRPr="004C5A99">
        <w:rPr>
          <w:rFonts w:cs="Times New Roman"/>
          <w:b w:val="0"/>
          <w:i w:val="0"/>
          <w:iCs w:val="0"/>
          <w:color w:val="auto"/>
          <w:sz w:val="24"/>
          <w:szCs w:val="22"/>
        </w:rPr>
        <w:t xml:space="preserve">s </w:t>
      </w:r>
      <w:r w:rsidR="003D5793" w:rsidRPr="004C5A99">
        <w:rPr>
          <w:rFonts w:cs="Times New Roman"/>
          <w:b w:val="0"/>
          <w:i w:val="0"/>
          <w:iCs w:val="0"/>
          <w:color w:val="auto"/>
          <w:sz w:val="24"/>
          <w:szCs w:val="22"/>
        </w:rPr>
        <w:t xml:space="preserve">depicted </w:t>
      </w:r>
      <w:r w:rsidRPr="004C5A99">
        <w:rPr>
          <w:rFonts w:cs="Times New Roman"/>
          <w:b w:val="0"/>
          <w:i w:val="0"/>
          <w:iCs w:val="0"/>
          <w:color w:val="auto"/>
          <w:sz w:val="24"/>
          <w:szCs w:val="22"/>
        </w:rPr>
        <w:t xml:space="preserve">in </w:t>
      </w:r>
      <w:r w:rsidRPr="004C5A99">
        <w:rPr>
          <w:rFonts w:cs="Times New Roman"/>
          <w:b w:val="0"/>
          <w:i w:val="0"/>
          <w:iCs w:val="0"/>
          <w:color w:val="auto"/>
          <w:sz w:val="24"/>
          <w:szCs w:val="22"/>
        </w:rPr>
        <w:fldChar w:fldCharType="begin"/>
      </w:r>
      <w:r w:rsidRPr="004C5A99">
        <w:rPr>
          <w:rFonts w:cs="Times New Roman"/>
          <w:b w:val="0"/>
          <w:i w:val="0"/>
          <w:iCs w:val="0"/>
          <w:color w:val="auto"/>
          <w:sz w:val="24"/>
          <w:szCs w:val="22"/>
        </w:rPr>
        <w:instrText xml:space="preserve"> REF _Ref532214577 \h  \* MERGEFORMAT </w:instrText>
      </w:r>
      <w:r w:rsidRPr="004C5A99">
        <w:rPr>
          <w:rFonts w:cs="Times New Roman"/>
          <w:b w:val="0"/>
          <w:i w:val="0"/>
          <w:iCs w:val="0"/>
          <w:color w:val="auto"/>
          <w:sz w:val="24"/>
          <w:szCs w:val="22"/>
        </w:rPr>
      </w:r>
      <w:r w:rsidRPr="004C5A99">
        <w:rPr>
          <w:rFonts w:cs="Times New Roman"/>
          <w:b w:val="0"/>
          <w:i w:val="0"/>
          <w:iCs w:val="0"/>
          <w:color w:val="auto"/>
          <w:sz w:val="24"/>
          <w:szCs w:val="22"/>
        </w:rPr>
        <w:fldChar w:fldCharType="separate"/>
      </w:r>
      <w:r w:rsidR="0005064B" w:rsidRPr="0005064B">
        <w:rPr>
          <w:rFonts w:cs="Times New Roman"/>
          <w:b w:val="0"/>
          <w:i w:val="0"/>
          <w:iCs w:val="0"/>
          <w:color w:val="auto"/>
          <w:sz w:val="24"/>
          <w:szCs w:val="22"/>
        </w:rPr>
        <w:t>Figure 1</w:t>
      </w:r>
      <w:r w:rsidR="0005064B" w:rsidRPr="0005064B">
        <w:rPr>
          <w:rFonts w:cs="Times New Roman"/>
          <w:b w:val="0"/>
          <w:i w:val="0"/>
          <w:iCs w:val="0"/>
          <w:color w:val="auto"/>
          <w:sz w:val="24"/>
          <w:szCs w:val="22"/>
        </w:rPr>
        <w:noBreakHyphen/>
        <w:t>2</w:t>
      </w:r>
      <w:r w:rsidRPr="004C5A99">
        <w:rPr>
          <w:rFonts w:cs="Times New Roman"/>
          <w:b w:val="0"/>
          <w:i w:val="0"/>
          <w:iCs w:val="0"/>
          <w:color w:val="auto"/>
          <w:sz w:val="24"/>
          <w:szCs w:val="22"/>
        </w:rPr>
        <w:fldChar w:fldCharType="end"/>
      </w:r>
      <w:r w:rsidR="00F31AA3">
        <w:rPr>
          <w:rFonts w:cs="Times New Roman"/>
          <w:b w:val="0"/>
          <w:i w:val="0"/>
          <w:iCs w:val="0"/>
          <w:color w:val="auto"/>
          <w:sz w:val="24"/>
          <w:szCs w:val="22"/>
        </w:rPr>
        <w:t xml:space="preserve"> </w:t>
      </w:r>
      <w:r w:rsidR="000465D2">
        <w:rPr>
          <w:rFonts w:cs="Times New Roman"/>
          <w:b w:val="0"/>
          <w:i w:val="0"/>
          <w:iCs w:val="0"/>
          <w:noProof/>
          <w:color w:val="auto"/>
          <w:sz w:val="24"/>
          <w:szCs w:val="22"/>
        </w:rPr>
        <w:fldChar w:fldCharType="begin"/>
      </w:r>
      <w:r w:rsidR="00647E79">
        <w:rPr>
          <w:rFonts w:cs="Times New Roman"/>
          <w:b w:val="0"/>
          <w:i w:val="0"/>
          <w:iCs w:val="0"/>
          <w:noProof/>
          <w:color w:val="auto"/>
          <w:sz w:val="24"/>
          <w:szCs w:val="22"/>
        </w:rPr>
        <w:instrText xml:space="preserve"> ADDIN EN.CITE &lt;EndNote&gt;&lt;Cite&gt;&lt;Author&gt;Garcia-Rodriguez&lt;/Author&gt;&lt;Year&gt;2002&lt;/Year&gt;&lt;RecNum&gt;13&lt;/RecNum&gt;&lt;DisplayText&gt;(Garcia-Rodriguez, 2002)&lt;/DisplayText&gt;&lt;record&gt;&lt;rec-number&gt;13&lt;/rec-number&gt;&lt;foreign-keys&gt;&lt;key app="EN" db-id="pzt5ep52hsedfpeext2pdfes0w0aswaewef2" timestamp="1605187992"&gt;13&lt;/key&gt;&lt;/foreign-keys&gt;&lt;ref-type name="Journal Article"&gt;17&lt;/ref-type&gt;&lt;contributors&gt;&lt;authors&gt;&lt;author&gt;Garcia-Rodriguez, Lourdes %J Desalination&lt;/author&gt;&lt;/authors&gt;&lt;/contributors&gt;&lt;titles&gt;&lt;title&gt;Seawater desalination driven by renewable energies: a review&lt;/title&gt;&lt;/titles&gt;&lt;pages&gt;103-113&lt;/pages&gt;&lt;volume&gt;143&lt;/volume&gt;&lt;number&gt;2&lt;/number&gt;&lt;dates&gt;&lt;year&gt;2002&lt;/year&gt;&lt;/dates&gt;&lt;isbn&gt;0011-9164&lt;/isbn&gt;&lt;urls&gt;&lt;/urls&gt;&lt;/record&gt;&lt;/Cite&gt;&lt;/EndNote&gt;</w:instrText>
      </w:r>
      <w:r w:rsidR="000465D2">
        <w:rPr>
          <w:rFonts w:cs="Times New Roman"/>
          <w:b w:val="0"/>
          <w:i w:val="0"/>
          <w:iCs w:val="0"/>
          <w:noProof/>
          <w:color w:val="auto"/>
          <w:sz w:val="24"/>
          <w:szCs w:val="22"/>
        </w:rPr>
        <w:fldChar w:fldCharType="separate"/>
      </w:r>
      <w:r w:rsidR="000465D2">
        <w:rPr>
          <w:rFonts w:cs="Times New Roman"/>
          <w:b w:val="0"/>
          <w:i w:val="0"/>
          <w:iCs w:val="0"/>
          <w:noProof/>
          <w:color w:val="auto"/>
          <w:sz w:val="24"/>
          <w:szCs w:val="22"/>
        </w:rPr>
        <w:t>(Garcia-Rodriguez, 2002)</w:t>
      </w:r>
      <w:r w:rsidR="000465D2">
        <w:rPr>
          <w:rFonts w:cs="Times New Roman"/>
          <w:b w:val="0"/>
          <w:i w:val="0"/>
          <w:iCs w:val="0"/>
          <w:noProof/>
          <w:color w:val="auto"/>
          <w:sz w:val="24"/>
          <w:szCs w:val="22"/>
        </w:rPr>
        <w:fldChar w:fldCharType="end"/>
      </w:r>
      <w:r w:rsidR="00E27385">
        <w:rPr>
          <w:rFonts w:cs="Times New Roman"/>
          <w:b w:val="0"/>
          <w:i w:val="0"/>
          <w:iCs w:val="0"/>
          <w:color w:val="auto"/>
          <w:sz w:val="24"/>
          <w:szCs w:val="22"/>
        </w:rPr>
        <w:t>,</w:t>
      </w:r>
      <w:r w:rsidR="003D5793" w:rsidRPr="004C5A99">
        <w:rPr>
          <w:rFonts w:cs="Times New Roman"/>
          <w:b w:val="0"/>
          <w:i w:val="0"/>
          <w:iCs w:val="0"/>
          <w:color w:val="auto"/>
          <w:sz w:val="24"/>
          <w:szCs w:val="22"/>
        </w:rPr>
        <w:t xml:space="preserve"> </w:t>
      </w:r>
      <w:r w:rsidR="00E27385">
        <w:rPr>
          <w:rFonts w:cs="Times New Roman"/>
          <w:b w:val="0"/>
          <w:i w:val="0"/>
          <w:iCs w:val="0"/>
          <w:color w:val="auto"/>
          <w:sz w:val="24"/>
          <w:szCs w:val="22"/>
        </w:rPr>
        <w:t>i</w:t>
      </w:r>
      <w:r w:rsidR="0047440A" w:rsidRPr="004C5A99">
        <w:rPr>
          <w:rFonts w:cs="Times New Roman"/>
          <w:b w:val="0"/>
          <w:i w:val="0"/>
          <w:iCs w:val="0"/>
          <w:color w:val="auto"/>
          <w:sz w:val="24"/>
          <w:szCs w:val="22"/>
        </w:rPr>
        <w:t>t</w:t>
      </w:r>
      <w:r w:rsidR="00C30017" w:rsidRPr="004C5A99">
        <w:rPr>
          <w:rFonts w:cs="Times New Roman"/>
          <w:b w:val="0"/>
          <w:i w:val="0"/>
          <w:iCs w:val="0"/>
          <w:color w:val="auto"/>
          <w:sz w:val="24"/>
          <w:szCs w:val="22"/>
        </w:rPr>
        <w:t xml:space="preserve"> represent as the synergy of the three dimensions, which</w:t>
      </w:r>
      <w:r w:rsidR="00D937E0" w:rsidRPr="004C5A99">
        <w:rPr>
          <w:rFonts w:cs="Times New Roman"/>
          <w:b w:val="0"/>
          <w:i w:val="0"/>
          <w:iCs w:val="0"/>
          <w:color w:val="auto"/>
          <w:sz w:val="24"/>
          <w:szCs w:val="22"/>
        </w:rPr>
        <w:t xml:space="preserve"> </w:t>
      </w:r>
      <w:r w:rsidR="0047440A" w:rsidRPr="004C5A99">
        <w:rPr>
          <w:rFonts w:cs="Times New Roman"/>
          <w:b w:val="0"/>
          <w:i w:val="0"/>
          <w:iCs w:val="0"/>
          <w:color w:val="auto"/>
          <w:sz w:val="24"/>
          <w:szCs w:val="22"/>
        </w:rPr>
        <w:t xml:space="preserve"> requires all the countries to balance</w:t>
      </w:r>
      <w:r w:rsidR="00177645">
        <w:rPr>
          <w:rFonts w:cs="Times New Roman"/>
          <w:b w:val="0"/>
          <w:i w:val="0"/>
          <w:iCs w:val="0"/>
          <w:color w:val="auto"/>
          <w:sz w:val="24"/>
          <w:szCs w:val="22"/>
        </w:rPr>
        <w:t xml:space="preserve"> the </w:t>
      </w:r>
      <w:r w:rsidR="0047440A" w:rsidRPr="004C5A99">
        <w:rPr>
          <w:rFonts w:cs="Times New Roman"/>
          <w:b w:val="0"/>
          <w:i w:val="0"/>
          <w:iCs w:val="0"/>
          <w:color w:val="auto"/>
          <w:sz w:val="24"/>
          <w:szCs w:val="22"/>
        </w:rPr>
        <w:t>integrat</w:t>
      </w:r>
      <w:r w:rsidR="00177645">
        <w:rPr>
          <w:rFonts w:cs="Times New Roman"/>
          <w:b w:val="0"/>
          <w:i w:val="0"/>
          <w:iCs w:val="0"/>
          <w:color w:val="auto"/>
          <w:sz w:val="24"/>
          <w:szCs w:val="22"/>
        </w:rPr>
        <w:t>ion of</w:t>
      </w:r>
      <w:r w:rsidR="0047440A" w:rsidRPr="004C5A99">
        <w:rPr>
          <w:rFonts w:cs="Times New Roman"/>
          <w:b w:val="0"/>
          <w:i w:val="0"/>
          <w:iCs w:val="0"/>
          <w:color w:val="auto"/>
          <w:sz w:val="24"/>
          <w:szCs w:val="22"/>
        </w:rPr>
        <w:t xml:space="preserve"> the economic efficiency, environmental harmony, and social equity in the development</w:t>
      </w:r>
      <w:r w:rsidR="00C30017" w:rsidRPr="004C5A99">
        <w:rPr>
          <w:rFonts w:cs="Times New Roman"/>
          <w:b w:val="0"/>
          <w:i w:val="0"/>
          <w:iCs w:val="0"/>
          <w:color w:val="auto"/>
          <w:sz w:val="24"/>
          <w:szCs w:val="22"/>
        </w:rPr>
        <w:t>.</w:t>
      </w:r>
    </w:p>
    <w:p w14:paraId="65DE4FD4" w14:textId="7A9FAF0E" w:rsidR="00D25C97" w:rsidRPr="008835FA" w:rsidRDefault="00325595" w:rsidP="00427AFC">
      <w:pPr>
        <w:pStyle w:val="Caption"/>
        <w:spacing w:line="360" w:lineRule="auto"/>
        <w:jc w:val="both"/>
        <w:rPr>
          <w:rFonts w:cs="Times New Roman"/>
          <w:b w:val="0"/>
          <w:i w:val="0"/>
          <w:iCs w:val="0"/>
          <w:color w:val="auto"/>
          <w:sz w:val="24"/>
          <w:szCs w:val="22"/>
        </w:rPr>
      </w:pPr>
      <w:r>
        <w:rPr>
          <w:rFonts w:cs="Times New Roman"/>
          <w:b w:val="0"/>
          <w:i w:val="0"/>
          <w:iCs w:val="0"/>
          <w:color w:val="auto"/>
          <w:sz w:val="24"/>
          <w:szCs w:val="22"/>
        </w:rPr>
        <w:t>With</w:t>
      </w:r>
      <w:r w:rsidR="00D25C97" w:rsidRPr="004C5A99">
        <w:rPr>
          <w:rFonts w:cs="Times New Roman"/>
          <w:b w:val="0"/>
          <w:i w:val="0"/>
          <w:iCs w:val="0"/>
          <w:color w:val="auto"/>
          <w:sz w:val="24"/>
          <w:szCs w:val="22"/>
        </w:rPr>
        <w:t xml:space="preserve"> regard</w:t>
      </w:r>
      <w:r w:rsidR="00AF620A">
        <w:rPr>
          <w:rFonts w:cs="Times New Roman"/>
          <w:b w:val="0"/>
          <w:i w:val="0"/>
          <w:iCs w:val="0"/>
          <w:color w:val="auto"/>
          <w:sz w:val="24"/>
          <w:szCs w:val="22"/>
        </w:rPr>
        <w:t>s to</w:t>
      </w:r>
      <w:r w:rsidR="00D25C97" w:rsidRPr="004C5A99">
        <w:rPr>
          <w:rFonts w:cs="Times New Roman"/>
          <w:b w:val="0"/>
          <w:i w:val="0"/>
          <w:iCs w:val="0"/>
          <w:color w:val="auto"/>
          <w:sz w:val="24"/>
          <w:szCs w:val="22"/>
        </w:rPr>
        <w:t xml:space="preserve"> the economic sustainability, SD encourages economic growth rather than</w:t>
      </w:r>
      <w:r w:rsidR="00D25C97" w:rsidRPr="008B3E18">
        <w:rPr>
          <w:rFonts w:cs="Times New Roman"/>
          <w:b w:val="0"/>
          <w:i w:val="0"/>
          <w:iCs w:val="0"/>
          <w:color w:val="auto"/>
          <w:sz w:val="24"/>
          <w:szCs w:val="22"/>
        </w:rPr>
        <w:t xml:space="preserve"> restrict</w:t>
      </w:r>
      <w:r w:rsidR="00140BAF">
        <w:rPr>
          <w:rFonts w:cs="Times New Roman"/>
          <w:b w:val="0"/>
          <w:i w:val="0"/>
          <w:iCs w:val="0"/>
          <w:color w:val="auto"/>
          <w:sz w:val="24"/>
          <w:szCs w:val="22"/>
        </w:rPr>
        <w:t>ing</w:t>
      </w:r>
      <w:r w:rsidR="00D25C97" w:rsidRPr="008B3E18">
        <w:rPr>
          <w:rFonts w:cs="Times New Roman"/>
          <w:b w:val="0"/>
          <w:i w:val="0"/>
          <w:iCs w:val="0"/>
          <w:color w:val="auto"/>
          <w:sz w:val="24"/>
          <w:szCs w:val="22"/>
        </w:rPr>
        <w:t xml:space="preserve"> it to achieve environmental protection. SD aims to transform the traditional patterns of goods production and materials consumption to</w:t>
      </w:r>
      <w:r w:rsidR="00606A5D">
        <w:rPr>
          <w:rFonts w:cs="Times New Roman"/>
          <w:b w:val="0"/>
          <w:i w:val="0"/>
          <w:iCs w:val="0"/>
          <w:color w:val="auto"/>
          <w:sz w:val="24"/>
          <w:szCs w:val="22"/>
        </w:rPr>
        <w:t xml:space="preserve"> a more</w:t>
      </w:r>
      <w:r w:rsidR="00D25C97" w:rsidRPr="008B3E18">
        <w:rPr>
          <w:rFonts w:cs="Times New Roman"/>
          <w:b w:val="0"/>
          <w:i w:val="0"/>
          <w:iCs w:val="0"/>
          <w:color w:val="auto"/>
          <w:sz w:val="24"/>
          <w:szCs w:val="22"/>
        </w:rPr>
        <w:t xml:space="preserve"> sustainable model, which save</w:t>
      </w:r>
      <w:r w:rsidR="008A7A13">
        <w:rPr>
          <w:rFonts w:cs="Times New Roman"/>
          <w:b w:val="0"/>
          <w:i w:val="0"/>
          <w:iCs w:val="0"/>
          <w:color w:val="auto"/>
          <w:sz w:val="24"/>
          <w:szCs w:val="22"/>
        </w:rPr>
        <w:t>s</w:t>
      </w:r>
      <w:r w:rsidR="00D25C97" w:rsidRPr="008B3E18">
        <w:rPr>
          <w:rFonts w:cs="Times New Roman"/>
          <w:b w:val="0"/>
          <w:i w:val="0"/>
          <w:iCs w:val="0"/>
          <w:color w:val="auto"/>
          <w:sz w:val="24"/>
          <w:szCs w:val="22"/>
        </w:rPr>
        <w:t xml:space="preserve"> resources utilisation and reduces waste to achieve</w:t>
      </w:r>
      <w:r w:rsidR="000C7774">
        <w:rPr>
          <w:rFonts w:cs="Times New Roman"/>
          <w:b w:val="0"/>
          <w:i w:val="0"/>
          <w:iCs w:val="0"/>
          <w:color w:val="auto"/>
          <w:sz w:val="24"/>
          <w:szCs w:val="22"/>
        </w:rPr>
        <w:t xml:space="preserve"> </w:t>
      </w:r>
      <w:r w:rsidR="00D25C97" w:rsidRPr="008B3E18">
        <w:rPr>
          <w:rFonts w:cs="Times New Roman"/>
          <w:b w:val="0"/>
          <w:i w:val="0"/>
          <w:iCs w:val="0"/>
          <w:color w:val="auto"/>
          <w:sz w:val="24"/>
          <w:szCs w:val="22"/>
        </w:rPr>
        <w:t>economic efficiency. In the aspect of environmental sustainability, SD requires</w:t>
      </w:r>
      <w:r w:rsidR="005D1861">
        <w:rPr>
          <w:rFonts w:cs="Times New Roman"/>
          <w:b w:val="0"/>
          <w:i w:val="0"/>
          <w:iCs w:val="0"/>
          <w:color w:val="auto"/>
          <w:sz w:val="24"/>
          <w:szCs w:val="22"/>
        </w:rPr>
        <w:t xml:space="preserve"> </w:t>
      </w:r>
      <w:r w:rsidR="00D25C97" w:rsidRPr="008B3E18">
        <w:rPr>
          <w:rFonts w:cs="Times New Roman"/>
          <w:b w:val="0"/>
          <w:i w:val="0"/>
          <w:iCs w:val="0"/>
          <w:color w:val="auto"/>
          <w:sz w:val="24"/>
          <w:szCs w:val="22"/>
        </w:rPr>
        <w:t xml:space="preserve">economic development to be accompanied by environmental protection </w:t>
      </w:r>
      <w:r w:rsidR="00521AD3">
        <w:rPr>
          <w:rFonts w:cs="Times New Roman"/>
          <w:b w:val="0"/>
          <w:i w:val="0"/>
          <w:iCs w:val="0"/>
          <w:color w:val="auto"/>
          <w:sz w:val="24"/>
          <w:szCs w:val="22"/>
        </w:rPr>
        <w:t>thereby</w:t>
      </w:r>
      <w:r w:rsidR="00D25C97" w:rsidRPr="008B3E18">
        <w:rPr>
          <w:rFonts w:cs="Times New Roman"/>
          <w:b w:val="0"/>
          <w:i w:val="0"/>
          <w:iCs w:val="0"/>
          <w:color w:val="auto"/>
          <w:sz w:val="24"/>
          <w:szCs w:val="22"/>
        </w:rPr>
        <w:t xml:space="preserve"> ensuring sustainable us</w:t>
      </w:r>
      <w:r w:rsidR="00506E0D">
        <w:rPr>
          <w:rFonts w:cs="Times New Roman"/>
          <w:b w:val="0"/>
          <w:i w:val="0"/>
          <w:iCs w:val="0"/>
          <w:color w:val="auto"/>
          <w:sz w:val="24"/>
          <w:szCs w:val="22"/>
        </w:rPr>
        <w:t>age</w:t>
      </w:r>
      <w:r w:rsidR="00D25C97" w:rsidRPr="008B3E18">
        <w:rPr>
          <w:rFonts w:cs="Times New Roman"/>
          <w:b w:val="0"/>
          <w:i w:val="0"/>
          <w:iCs w:val="0"/>
          <w:color w:val="auto"/>
          <w:sz w:val="24"/>
          <w:szCs w:val="22"/>
        </w:rPr>
        <w:t xml:space="preserve"> of natural resources. In the model of environmental sustainability, environmental protection is not the opposite </w:t>
      </w:r>
      <w:r w:rsidR="00850627">
        <w:rPr>
          <w:rFonts w:cs="Times New Roman"/>
          <w:b w:val="0"/>
          <w:i w:val="0"/>
          <w:iCs w:val="0"/>
          <w:color w:val="auto"/>
          <w:sz w:val="24"/>
          <w:szCs w:val="22"/>
        </w:rPr>
        <w:t>of</w:t>
      </w:r>
      <w:r w:rsidR="00D25C97" w:rsidRPr="008B3E18">
        <w:rPr>
          <w:rFonts w:cs="Times New Roman"/>
          <w:b w:val="0"/>
          <w:i w:val="0"/>
          <w:iCs w:val="0"/>
          <w:color w:val="auto"/>
          <w:sz w:val="24"/>
          <w:szCs w:val="22"/>
        </w:rPr>
        <w:t xml:space="preserve"> economic growth. SD </w:t>
      </w:r>
      <w:r w:rsidR="00071F93">
        <w:rPr>
          <w:rFonts w:cs="Times New Roman"/>
          <w:b w:val="0"/>
          <w:i w:val="0"/>
          <w:iCs w:val="0"/>
          <w:color w:val="auto"/>
          <w:sz w:val="24"/>
          <w:szCs w:val="22"/>
        </w:rPr>
        <w:t>advocat</w:t>
      </w:r>
      <w:r w:rsidR="008C1905">
        <w:rPr>
          <w:rFonts w:cs="Times New Roman"/>
          <w:b w:val="0"/>
          <w:i w:val="0"/>
          <w:iCs w:val="0"/>
          <w:color w:val="auto"/>
          <w:sz w:val="24"/>
          <w:szCs w:val="22"/>
        </w:rPr>
        <w:t>es</w:t>
      </w:r>
      <w:r w:rsidR="00071F93">
        <w:rPr>
          <w:rFonts w:cs="Times New Roman"/>
          <w:b w:val="0"/>
          <w:i w:val="0"/>
          <w:iCs w:val="0"/>
          <w:color w:val="auto"/>
          <w:sz w:val="24"/>
          <w:szCs w:val="22"/>
        </w:rPr>
        <w:t xml:space="preserve"> </w:t>
      </w:r>
      <w:r w:rsidR="00D25C97" w:rsidRPr="008B3E18">
        <w:rPr>
          <w:rFonts w:cs="Times New Roman"/>
          <w:b w:val="0"/>
          <w:i w:val="0"/>
          <w:iCs w:val="0"/>
          <w:color w:val="auto"/>
          <w:sz w:val="24"/>
          <w:szCs w:val="22"/>
        </w:rPr>
        <w:t xml:space="preserve">that the </w:t>
      </w:r>
      <w:proofErr w:type="spellStart"/>
      <w:r w:rsidR="00D25C97" w:rsidRPr="008B3E18">
        <w:rPr>
          <w:rFonts w:cs="Times New Roman"/>
          <w:b w:val="0"/>
          <w:i w:val="0"/>
          <w:iCs w:val="0"/>
          <w:color w:val="auto"/>
          <w:sz w:val="24"/>
          <w:szCs w:val="22"/>
        </w:rPr>
        <w:t>us</w:t>
      </w:r>
      <w:r w:rsidR="00D507EE">
        <w:rPr>
          <w:rFonts w:cs="Times New Roman"/>
          <w:b w:val="0"/>
          <w:i w:val="0"/>
          <w:iCs w:val="0"/>
          <w:color w:val="auto"/>
          <w:sz w:val="24"/>
          <w:szCs w:val="22"/>
        </w:rPr>
        <w:t>aging</w:t>
      </w:r>
      <w:proofErr w:type="spellEnd"/>
      <w:r w:rsidR="00D25C97" w:rsidRPr="008B3E18">
        <w:rPr>
          <w:rFonts w:cs="Times New Roman"/>
          <w:b w:val="0"/>
          <w:i w:val="0"/>
          <w:iCs w:val="0"/>
          <w:color w:val="auto"/>
          <w:sz w:val="24"/>
          <w:szCs w:val="22"/>
        </w:rPr>
        <w:t xml:space="preserve"> of natural resources should be within the capacity of the earth, </w:t>
      </w:r>
      <w:r w:rsidR="00123187">
        <w:rPr>
          <w:rFonts w:cs="Times New Roman"/>
          <w:b w:val="0"/>
          <w:i w:val="0"/>
          <w:iCs w:val="0"/>
          <w:color w:val="auto"/>
          <w:sz w:val="24"/>
          <w:szCs w:val="22"/>
        </w:rPr>
        <w:t xml:space="preserve">and </w:t>
      </w:r>
      <w:r w:rsidR="00D25C97" w:rsidRPr="008B3E18">
        <w:rPr>
          <w:rFonts w:cs="Times New Roman"/>
          <w:b w:val="0"/>
          <w:i w:val="0"/>
          <w:iCs w:val="0"/>
          <w:color w:val="auto"/>
          <w:sz w:val="24"/>
          <w:szCs w:val="22"/>
        </w:rPr>
        <w:t>traditional</w:t>
      </w:r>
      <w:r w:rsidR="00123187">
        <w:rPr>
          <w:rFonts w:cs="Times New Roman"/>
          <w:b w:val="0"/>
          <w:i w:val="0"/>
          <w:iCs w:val="0"/>
          <w:color w:val="auto"/>
          <w:sz w:val="24"/>
          <w:szCs w:val="22"/>
        </w:rPr>
        <w:t>ly-</w:t>
      </w:r>
      <w:r w:rsidR="00D25C97" w:rsidRPr="008B3E18">
        <w:rPr>
          <w:rFonts w:cs="Times New Roman"/>
          <w:b w:val="0"/>
          <w:i w:val="0"/>
          <w:iCs w:val="0"/>
          <w:color w:val="auto"/>
          <w:sz w:val="24"/>
          <w:szCs w:val="22"/>
        </w:rPr>
        <w:t xml:space="preserve"> develop</w:t>
      </w:r>
      <w:r w:rsidR="00123187">
        <w:rPr>
          <w:rFonts w:cs="Times New Roman"/>
          <w:b w:val="0"/>
          <w:i w:val="0"/>
          <w:iCs w:val="0"/>
          <w:color w:val="auto"/>
          <w:sz w:val="24"/>
          <w:szCs w:val="22"/>
        </w:rPr>
        <w:t>ed</w:t>
      </w:r>
      <w:r w:rsidR="00D25C97" w:rsidRPr="008B3E18">
        <w:rPr>
          <w:rFonts w:cs="Times New Roman"/>
          <w:b w:val="0"/>
          <w:i w:val="0"/>
          <w:iCs w:val="0"/>
          <w:color w:val="auto"/>
          <w:sz w:val="24"/>
          <w:szCs w:val="22"/>
        </w:rPr>
        <w:t xml:space="preserve"> models of unlimited </w:t>
      </w:r>
      <w:r w:rsidR="00123187">
        <w:rPr>
          <w:rFonts w:cs="Times New Roman"/>
          <w:b w:val="0"/>
          <w:i w:val="0"/>
          <w:iCs w:val="0"/>
          <w:color w:val="auto"/>
          <w:sz w:val="24"/>
          <w:szCs w:val="22"/>
        </w:rPr>
        <w:t>utilisation</w:t>
      </w:r>
      <w:r w:rsidR="00D25C97" w:rsidRPr="008B3E18">
        <w:rPr>
          <w:rFonts w:cs="Times New Roman"/>
          <w:b w:val="0"/>
          <w:i w:val="0"/>
          <w:iCs w:val="0"/>
          <w:color w:val="auto"/>
          <w:sz w:val="24"/>
          <w:szCs w:val="22"/>
        </w:rPr>
        <w:t xml:space="preserve"> of resources must be abandoned. Social sustainability includes improving the quality of human life, improving human health, and guarantees social equality, freedom, education, human rights for the residents as well as </w:t>
      </w:r>
      <w:r w:rsidR="004F34AD">
        <w:rPr>
          <w:rFonts w:cs="Times New Roman"/>
          <w:b w:val="0"/>
          <w:i w:val="0"/>
          <w:iCs w:val="0"/>
          <w:color w:val="auto"/>
          <w:sz w:val="24"/>
          <w:szCs w:val="22"/>
        </w:rPr>
        <w:t>protecting</w:t>
      </w:r>
      <w:r w:rsidR="00D25C97" w:rsidRPr="008B3E18">
        <w:rPr>
          <w:rFonts w:cs="Times New Roman"/>
          <w:b w:val="0"/>
          <w:i w:val="0"/>
          <w:iCs w:val="0"/>
          <w:color w:val="auto"/>
          <w:sz w:val="24"/>
          <w:szCs w:val="22"/>
        </w:rPr>
        <w:t xml:space="preserve"> them from violence. The three dimensions </w:t>
      </w:r>
      <w:r w:rsidR="009C1C20">
        <w:rPr>
          <w:rFonts w:cs="Times New Roman"/>
          <w:b w:val="0"/>
          <w:i w:val="0"/>
          <w:iCs w:val="0"/>
          <w:color w:val="auto"/>
          <w:sz w:val="24"/>
          <w:szCs w:val="22"/>
        </w:rPr>
        <w:t xml:space="preserve">do </w:t>
      </w:r>
      <w:r w:rsidR="00D25C97" w:rsidRPr="008B3E18">
        <w:rPr>
          <w:rFonts w:cs="Times New Roman"/>
          <w:b w:val="0"/>
          <w:i w:val="0"/>
          <w:iCs w:val="0"/>
          <w:color w:val="auto"/>
          <w:sz w:val="24"/>
          <w:szCs w:val="22"/>
        </w:rPr>
        <w:t>not</w:t>
      </w:r>
      <w:r w:rsidR="00FB02B4">
        <w:rPr>
          <w:rFonts w:cs="Times New Roman"/>
          <w:b w:val="0"/>
          <w:i w:val="0"/>
          <w:iCs w:val="0"/>
          <w:color w:val="auto"/>
          <w:sz w:val="24"/>
          <w:szCs w:val="22"/>
        </w:rPr>
        <w:t xml:space="preserve"> exist</w:t>
      </w:r>
      <w:r w:rsidR="00D25C97" w:rsidRPr="008B3E18">
        <w:rPr>
          <w:rFonts w:cs="Times New Roman"/>
          <w:b w:val="0"/>
          <w:i w:val="0"/>
          <w:iCs w:val="0"/>
          <w:color w:val="auto"/>
          <w:sz w:val="24"/>
          <w:szCs w:val="22"/>
        </w:rPr>
        <w:t xml:space="preserve"> independent</w:t>
      </w:r>
      <w:r w:rsidR="00FB02B4">
        <w:rPr>
          <w:rFonts w:cs="Times New Roman"/>
          <w:b w:val="0"/>
          <w:i w:val="0"/>
          <w:iCs w:val="0"/>
          <w:color w:val="auto"/>
          <w:sz w:val="24"/>
          <w:szCs w:val="22"/>
        </w:rPr>
        <w:t xml:space="preserve">ly </w:t>
      </w:r>
      <w:r w:rsidR="00D25C97" w:rsidRPr="008B3E18">
        <w:rPr>
          <w:rFonts w:cs="Times New Roman"/>
          <w:b w:val="0"/>
          <w:i w:val="0"/>
          <w:iCs w:val="0"/>
          <w:color w:val="auto"/>
          <w:sz w:val="24"/>
          <w:szCs w:val="22"/>
        </w:rPr>
        <w:t>but</w:t>
      </w:r>
      <w:r w:rsidR="002A2699">
        <w:rPr>
          <w:rFonts w:cs="Times New Roman"/>
          <w:b w:val="0"/>
          <w:i w:val="0"/>
          <w:iCs w:val="0"/>
          <w:color w:val="auto"/>
          <w:sz w:val="24"/>
          <w:szCs w:val="22"/>
        </w:rPr>
        <w:t xml:space="preserve"> are</w:t>
      </w:r>
      <w:r w:rsidR="00D25C97" w:rsidRPr="008B3E18">
        <w:rPr>
          <w:rFonts w:cs="Times New Roman"/>
          <w:b w:val="0"/>
          <w:i w:val="0"/>
          <w:iCs w:val="0"/>
          <w:color w:val="auto"/>
          <w:sz w:val="24"/>
          <w:szCs w:val="22"/>
        </w:rPr>
        <w:t xml:space="preserve"> interfaced with the others. Only if all the development objectives in the three dimensions are achieved, the</w:t>
      </w:r>
      <w:r w:rsidR="00A807B2">
        <w:rPr>
          <w:rFonts w:cs="Times New Roman"/>
          <w:b w:val="0"/>
          <w:i w:val="0"/>
          <w:iCs w:val="0"/>
          <w:color w:val="auto"/>
          <w:sz w:val="24"/>
          <w:szCs w:val="22"/>
        </w:rPr>
        <w:t>n</w:t>
      </w:r>
      <w:r w:rsidR="00D25C97" w:rsidRPr="008B3E18">
        <w:rPr>
          <w:rFonts w:cs="Times New Roman"/>
          <w:b w:val="0"/>
          <w:i w:val="0"/>
          <w:iCs w:val="0"/>
          <w:color w:val="auto"/>
          <w:sz w:val="24"/>
          <w:szCs w:val="22"/>
        </w:rPr>
        <w:t xml:space="preserve"> comprehensive sustainability could be obtained. Otherwise, </w:t>
      </w:r>
      <w:r w:rsidR="00DF62FA">
        <w:rPr>
          <w:rFonts w:cs="Times New Roman"/>
          <w:b w:val="0"/>
          <w:i w:val="0"/>
          <w:iCs w:val="0"/>
          <w:color w:val="auto"/>
          <w:sz w:val="24"/>
          <w:szCs w:val="22"/>
        </w:rPr>
        <w:lastRenderedPageBreak/>
        <w:t>this research</w:t>
      </w:r>
      <w:r w:rsidR="00D25C97" w:rsidRPr="008B3E18">
        <w:rPr>
          <w:rFonts w:cs="Times New Roman"/>
          <w:b w:val="0"/>
          <w:i w:val="0"/>
          <w:iCs w:val="0"/>
          <w:color w:val="auto"/>
          <w:sz w:val="24"/>
          <w:szCs w:val="22"/>
        </w:rPr>
        <w:t xml:space="preserve"> deem</w:t>
      </w:r>
      <w:r w:rsidR="00DF62FA">
        <w:rPr>
          <w:rFonts w:cs="Times New Roman"/>
          <w:b w:val="0"/>
          <w:i w:val="0"/>
          <w:iCs w:val="0"/>
          <w:color w:val="auto"/>
          <w:sz w:val="24"/>
          <w:szCs w:val="22"/>
        </w:rPr>
        <w:t>s</w:t>
      </w:r>
      <w:r w:rsidR="00D25C97" w:rsidRPr="008B3E18">
        <w:rPr>
          <w:rFonts w:cs="Times New Roman"/>
          <w:b w:val="0"/>
          <w:i w:val="0"/>
          <w:iCs w:val="0"/>
          <w:color w:val="auto"/>
          <w:sz w:val="24"/>
          <w:szCs w:val="22"/>
        </w:rPr>
        <w:t xml:space="preserve"> the remaining status, only considering one/two dimensions is partial SD. For example, on the condition that a set of economic and environmental criteria are considered, it is only feasible to capture economic development and environmental protection</w:t>
      </w:r>
      <w:r w:rsidR="00A7106A">
        <w:rPr>
          <w:rFonts w:cs="Times New Roman"/>
          <w:b w:val="0"/>
          <w:i w:val="0"/>
          <w:iCs w:val="0"/>
          <w:color w:val="auto"/>
          <w:sz w:val="24"/>
          <w:szCs w:val="22"/>
        </w:rPr>
        <w:t>.</w:t>
      </w:r>
      <w:r w:rsidR="00D25C97" w:rsidRPr="008B3E18">
        <w:rPr>
          <w:rFonts w:cs="Times New Roman"/>
          <w:b w:val="0"/>
          <w:i w:val="0"/>
          <w:iCs w:val="0"/>
          <w:color w:val="auto"/>
          <w:sz w:val="24"/>
          <w:szCs w:val="22"/>
        </w:rPr>
        <w:t xml:space="preserve"> </w:t>
      </w:r>
      <w:r w:rsidR="00A50F79">
        <w:rPr>
          <w:rFonts w:cs="Times New Roman"/>
          <w:b w:val="0"/>
          <w:i w:val="0"/>
          <w:iCs w:val="0"/>
          <w:color w:val="auto"/>
          <w:sz w:val="24"/>
          <w:szCs w:val="22"/>
        </w:rPr>
        <w:t>S</w:t>
      </w:r>
      <w:r w:rsidR="00D25C97" w:rsidRPr="008B3E18">
        <w:rPr>
          <w:rFonts w:cs="Times New Roman"/>
          <w:b w:val="0"/>
          <w:i w:val="0"/>
          <w:iCs w:val="0"/>
          <w:color w:val="auto"/>
          <w:sz w:val="24"/>
          <w:szCs w:val="22"/>
        </w:rPr>
        <w:t xml:space="preserve">imilarly, </w:t>
      </w:r>
      <w:proofErr w:type="gramStart"/>
      <w:r w:rsidR="00D25C97" w:rsidRPr="008B3E18">
        <w:rPr>
          <w:rFonts w:cs="Times New Roman"/>
          <w:b w:val="0"/>
          <w:i w:val="0"/>
          <w:iCs w:val="0"/>
          <w:color w:val="auto"/>
          <w:sz w:val="24"/>
          <w:szCs w:val="22"/>
        </w:rPr>
        <w:t>social</w:t>
      </w:r>
      <w:proofErr w:type="gramEnd"/>
      <w:r w:rsidR="00D25C97" w:rsidRPr="008B3E18">
        <w:rPr>
          <w:rFonts w:cs="Times New Roman"/>
          <w:b w:val="0"/>
          <w:i w:val="0"/>
          <w:iCs w:val="0"/>
          <w:color w:val="auto"/>
          <w:sz w:val="24"/>
          <w:szCs w:val="22"/>
        </w:rPr>
        <w:t xml:space="preserve"> and economic equity refers to both economic and social criteria and community </w:t>
      </w:r>
      <w:r w:rsidR="00FC5AC1" w:rsidRPr="008B3E18">
        <w:rPr>
          <w:rFonts w:cs="Times New Roman"/>
          <w:b w:val="0"/>
          <w:i w:val="0"/>
          <w:iCs w:val="0"/>
          <w:color w:val="auto"/>
          <w:sz w:val="24"/>
          <w:szCs w:val="22"/>
        </w:rPr>
        <w:t>liveability</w:t>
      </w:r>
      <w:r w:rsidR="00D25C97" w:rsidRPr="008B3E18">
        <w:rPr>
          <w:rFonts w:cs="Times New Roman"/>
          <w:b w:val="0"/>
          <w:i w:val="0"/>
          <w:iCs w:val="0"/>
          <w:color w:val="auto"/>
          <w:sz w:val="24"/>
          <w:szCs w:val="22"/>
        </w:rPr>
        <w:t xml:space="preserve"> is related to environmental and social aspects (as shown in </w:t>
      </w:r>
      <w:r w:rsidR="00D25C97" w:rsidRPr="008B3E18">
        <w:rPr>
          <w:rFonts w:cs="Times New Roman"/>
          <w:b w:val="0"/>
          <w:i w:val="0"/>
          <w:iCs w:val="0"/>
          <w:color w:val="auto"/>
          <w:sz w:val="24"/>
          <w:szCs w:val="22"/>
        </w:rPr>
        <w:fldChar w:fldCharType="begin"/>
      </w:r>
      <w:r w:rsidR="00D25C97" w:rsidRPr="008B3E18">
        <w:rPr>
          <w:rFonts w:cs="Times New Roman"/>
          <w:b w:val="0"/>
          <w:i w:val="0"/>
          <w:iCs w:val="0"/>
          <w:color w:val="auto"/>
          <w:sz w:val="24"/>
          <w:szCs w:val="22"/>
        </w:rPr>
        <w:instrText xml:space="preserve"> REF _Ref532214577 \h  \* MERGEFORMAT </w:instrText>
      </w:r>
      <w:r w:rsidR="00D25C97" w:rsidRPr="008B3E18">
        <w:rPr>
          <w:rFonts w:cs="Times New Roman"/>
          <w:b w:val="0"/>
          <w:i w:val="0"/>
          <w:iCs w:val="0"/>
          <w:color w:val="auto"/>
          <w:sz w:val="24"/>
          <w:szCs w:val="22"/>
        </w:rPr>
      </w:r>
      <w:r w:rsidR="00D25C97" w:rsidRPr="008B3E18">
        <w:rPr>
          <w:rFonts w:cs="Times New Roman"/>
          <w:b w:val="0"/>
          <w:i w:val="0"/>
          <w:iCs w:val="0"/>
          <w:color w:val="auto"/>
          <w:sz w:val="24"/>
          <w:szCs w:val="22"/>
        </w:rPr>
        <w:fldChar w:fldCharType="separate"/>
      </w:r>
      <w:r w:rsidR="0005064B" w:rsidRPr="0005064B">
        <w:rPr>
          <w:rFonts w:cs="Times New Roman"/>
          <w:b w:val="0"/>
          <w:i w:val="0"/>
          <w:iCs w:val="0"/>
          <w:color w:val="auto"/>
          <w:sz w:val="24"/>
          <w:szCs w:val="22"/>
        </w:rPr>
        <w:t>Figure 1</w:t>
      </w:r>
      <w:r w:rsidR="0005064B" w:rsidRPr="0005064B">
        <w:rPr>
          <w:rFonts w:cs="Times New Roman"/>
          <w:b w:val="0"/>
          <w:i w:val="0"/>
          <w:iCs w:val="0"/>
          <w:color w:val="auto"/>
          <w:sz w:val="24"/>
          <w:szCs w:val="22"/>
        </w:rPr>
        <w:noBreakHyphen/>
        <w:t>2</w:t>
      </w:r>
      <w:r w:rsidR="00D25C97" w:rsidRPr="008B3E18">
        <w:rPr>
          <w:rFonts w:cs="Times New Roman"/>
          <w:b w:val="0"/>
          <w:i w:val="0"/>
          <w:iCs w:val="0"/>
          <w:color w:val="auto"/>
          <w:sz w:val="24"/>
          <w:szCs w:val="22"/>
        </w:rPr>
        <w:fldChar w:fldCharType="end"/>
      </w:r>
      <w:r w:rsidR="00D25C97" w:rsidRPr="008B3E18">
        <w:rPr>
          <w:rFonts w:cs="Times New Roman"/>
          <w:b w:val="0"/>
          <w:i w:val="0"/>
          <w:iCs w:val="0"/>
          <w:color w:val="auto"/>
          <w:sz w:val="24"/>
          <w:szCs w:val="22"/>
        </w:rPr>
        <w:t>).</w:t>
      </w:r>
    </w:p>
    <w:p w14:paraId="34BAC944" w14:textId="68F2D64A" w:rsidR="00013E7D" w:rsidRPr="008903D1" w:rsidRDefault="00013E7D" w:rsidP="000A4E8C">
      <w:pPr>
        <w:spacing w:line="360" w:lineRule="auto"/>
        <w:rPr>
          <w:rFonts w:eastAsia="等线" w:cs="Times New Roman"/>
          <w:noProof/>
        </w:rPr>
      </w:pPr>
    </w:p>
    <w:p w14:paraId="65C2EC23" w14:textId="4004BD0E" w:rsidR="00430D87" w:rsidRPr="008903D1" w:rsidRDefault="006B2CFD" w:rsidP="000A4E8C">
      <w:pPr>
        <w:spacing w:line="360" w:lineRule="auto"/>
        <w:rPr>
          <w:rFonts w:cs="Times New Roman"/>
        </w:rPr>
      </w:pPr>
      <w:r>
        <w:rPr>
          <w:rFonts w:cs="Times New Roman"/>
          <w:noProof/>
          <w:lang w:eastAsia="en-GB"/>
        </w:rPr>
        <w:drawing>
          <wp:inline distT="0" distB="0" distL="0" distR="0" wp14:anchorId="6A55279C" wp14:editId="0E8283BE">
            <wp:extent cx="5270500" cy="3765550"/>
            <wp:effectExtent l="0" t="0" r="6350" b="6350"/>
            <wp:docPr id="1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0500" cy="3765550"/>
                    </a:xfrm>
                    <a:prstGeom prst="rect">
                      <a:avLst/>
                    </a:prstGeom>
                    <a:noFill/>
                    <a:ln>
                      <a:noFill/>
                    </a:ln>
                  </pic:spPr>
                </pic:pic>
              </a:graphicData>
            </a:graphic>
          </wp:inline>
        </w:drawing>
      </w:r>
    </w:p>
    <w:p w14:paraId="7CC7FD68" w14:textId="40792D98" w:rsidR="00013E7D" w:rsidRPr="00802DC5" w:rsidRDefault="00013E7D" w:rsidP="00D32DDE">
      <w:pPr>
        <w:pStyle w:val="Caption"/>
        <w:spacing w:line="360" w:lineRule="auto"/>
        <w:rPr>
          <w:rFonts w:cs="Times New Roman"/>
        </w:rPr>
      </w:pPr>
      <w:bookmarkStart w:id="60" w:name="_Ref532214577"/>
      <w:bookmarkStart w:id="61" w:name="_Toc491869758"/>
      <w:bookmarkStart w:id="62" w:name="_Toc34675006"/>
      <w:bookmarkStart w:id="63" w:name="_Toc40794162"/>
      <w:bookmarkStart w:id="64" w:name="_Toc46053660"/>
      <w:bookmarkStart w:id="65" w:name="_Toc66698692"/>
      <w:r w:rsidRPr="008903D1">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1</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2</w:t>
      </w:r>
      <w:r w:rsidR="00632993">
        <w:rPr>
          <w:rFonts w:cs="Times New Roman"/>
        </w:rPr>
        <w:fldChar w:fldCharType="end"/>
      </w:r>
      <w:bookmarkEnd w:id="60"/>
      <w:r w:rsidR="00FD1FFD">
        <w:rPr>
          <w:rFonts w:cs="Times New Roman"/>
        </w:rPr>
        <w:t>:</w:t>
      </w:r>
      <w:r w:rsidR="003D5793" w:rsidRPr="00737239">
        <w:rPr>
          <w:rFonts w:cs="Times New Roman"/>
        </w:rPr>
        <w:t xml:space="preserve"> </w:t>
      </w:r>
      <w:r w:rsidRPr="00737239">
        <w:rPr>
          <w:rFonts w:cs="Times New Roman"/>
        </w:rPr>
        <w:t xml:space="preserve">Dimensions of </w:t>
      </w:r>
      <w:r w:rsidR="003D5793" w:rsidRPr="00802DC5">
        <w:rPr>
          <w:rFonts w:cs="Times New Roman"/>
        </w:rPr>
        <w:t>s</w:t>
      </w:r>
      <w:r w:rsidRPr="006C301D">
        <w:rPr>
          <w:rFonts w:cs="Times New Roman"/>
        </w:rPr>
        <w:t>ustainability</w:t>
      </w:r>
      <w:bookmarkEnd w:id="61"/>
      <w:bookmarkEnd w:id="62"/>
      <w:bookmarkEnd w:id="63"/>
      <w:r w:rsidR="00831450" w:rsidRPr="00A96AC5">
        <w:rPr>
          <w:rFonts w:cs="Times New Roman"/>
        </w:rPr>
        <w:t xml:space="preserve"> (adapted from </w:t>
      </w:r>
      <w:r w:rsidR="00C37BFF" w:rsidRPr="00C37BFF">
        <w:rPr>
          <w:rFonts w:cs="Times New Roman"/>
        </w:rPr>
        <w:t>GARCIA-</w:t>
      </w:r>
      <w:r w:rsidR="00831450" w:rsidRPr="00C37BFF">
        <w:rPr>
          <w:rFonts w:cs="Times New Roman"/>
        </w:rPr>
        <w:t>Rodriguez et al., [2002])</w:t>
      </w:r>
      <w:bookmarkEnd w:id="64"/>
      <w:bookmarkEnd w:id="65"/>
    </w:p>
    <w:p w14:paraId="29BCAF42" w14:textId="77777777" w:rsidR="00D32DDE" w:rsidRDefault="00D32DDE" w:rsidP="00F16CBF">
      <w:pPr>
        <w:pStyle w:val="Caption"/>
        <w:spacing w:line="360" w:lineRule="auto"/>
        <w:jc w:val="both"/>
        <w:rPr>
          <w:rFonts w:cs="Times New Roman"/>
          <w:b w:val="0"/>
          <w:i w:val="0"/>
          <w:iCs w:val="0"/>
          <w:color w:val="auto"/>
          <w:sz w:val="24"/>
          <w:szCs w:val="22"/>
        </w:rPr>
      </w:pPr>
    </w:p>
    <w:p w14:paraId="72D895FF" w14:textId="77777777" w:rsidR="00D32DDE" w:rsidRDefault="00D32DDE" w:rsidP="00F16CBF">
      <w:pPr>
        <w:pStyle w:val="Caption"/>
        <w:spacing w:line="360" w:lineRule="auto"/>
        <w:jc w:val="both"/>
        <w:rPr>
          <w:rFonts w:cs="Times New Roman"/>
          <w:b w:val="0"/>
          <w:i w:val="0"/>
          <w:iCs w:val="0"/>
          <w:color w:val="auto"/>
          <w:sz w:val="24"/>
          <w:szCs w:val="22"/>
        </w:rPr>
      </w:pPr>
    </w:p>
    <w:p w14:paraId="5155C1D2" w14:textId="77777777" w:rsidR="00D32DDE" w:rsidRDefault="00D32DDE" w:rsidP="00F16CBF">
      <w:pPr>
        <w:pStyle w:val="Caption"/>
        <w:spacing w:line="360" w:lineRule="auto"/>
        <w:jc w:val="both"/>
        <w:rPr>
          <w:rFonts w:cs="Times New Roman"/>
          <w:b w:val="0"/>
          <w:i w:val="0"/>
          <w:iCs w:val="0"/>
          <w:color w:val="auto"/>
          <w:sz w:val="24"/>
          <w:szCs w:val="22"/>
        </w:rPr>
      </w:pPr>
    </w:p>
    <w:p w14:paraId="3A820724" w14:textId="77777777" w:rsidR="00D32DDE" w:rsidRDefault="00D32DDE" w:rsidP="00F16CBF">
      <w:pPr>
        <w:pStyle w:val="Caption"/>
        <w:spacing w:line="360" w:lineRule="auto"/>
        <w:jc w:val="both"/>
        <w:rPr>
          <w:rFonts w:cs="Times New Roman"/>
          <w:b w:val="0"/>
          <w:i w:val="0"/>
          <w:iCs w:val="0"/>
          <w:color w:val="auto"/>
          <w:sz w:val="24"/>
          <w:szCs w:val="22"/>
        </w:rPr>
      </w:pPr>
    </w:p>
    <w:p w14:paraId="4ED6C793" w14:textId="77777777" w:rsidR="00D32DDE" w:rsidRDefault="00D32DDE" w:rsidP="00F16CBF">
      <w:pPr>
        <w:pStyle w:val="Caption"/>
        <w:spacing w:line="360" w:lineRule="auto"/>
        <w:jc w:val="both"/>
        <w:rPr>
          <w:rFonts w:cs="Times New Roman"/>
          <w:b w:val="0"/>
          <w:i w:val="0"/>
          <w:iCs w:val="0"/>
          <w:color w:val="auto"/>
          <w:sz w:val="24"/>
          <w:szCs w:val="22"/>
        </w:rPr>
      </w:pPr>
    </w:p>
    <w:p w14:paraId="18416F55" w14:textId="77777777" w:rsidR="00D32DDE" w:rsidRDefault="00D32DDE" w:rsidP="00F16CBF">
      <w:pPr>
        <w:pStyle w:val="Caption"/>
        <w:spacing w:line="360" w:lineRule="auto"/>
        <w:jc w:val="both"/>
        <w:rPr>
          <w:rFonts w:cs="Times New Roman"/>
          <w:b w:val="0"/>
          <w:i w:val="0"/>
          <w:iCs w:val="0"/>
          <w:color w:val="auto"/>
          <w:sz w:val="24"/>
          <w:szCs w:val="22"/>
        </w:rPr>
      </w:pPr>
    </w:p>
    <w:p w14:paraId="3A5F6935" w14:textId="4D317861" w:rsidR="0097614A" w:rsidRPr="008835FA" w:rsidRDefault="0097614A" w:rsidP="00F16CBF">
      <w:pPr>
        <w:pStyle w:val="Caption"/>
        <w:spacing w:line="360" w:lineRule="auto"/>
        <w:jc w:val="both"/>
        <w:rPr>
          <w:rFonts w:cs="Times New Roman"/>
          <w:b w:val="0"/>
          <w:i w:val="0"/>
          <w:iCs w:val="0"/>
          <w:color w:val="auto"/>
          <w:sz w:val="24"/>
          <w:szCs w:val="22"/>
        </w:rPr>
      </w:pPr>
      <w:r w:rsidRPr="008835FA">
        <w:rPr>
          <w:rFonts w:cs="Times New Roman"/>
          <w:b w:val="0"/>
          <w:i w:val="0"/>
          <w:iCs w:val="0"/>
          <w:color w:val="auto"/>
          <w:sz w:val="24"/>
          <w:szCs w:val="22"/>
        </w:rPr>
        <w:lastRenderedPageBreak/>
        <w:t>The 2012 UN Conference in Rio de Janeiro agreed 17 ‘Millennium Goals’ (</w:t>
      </w:r>
      <w:r w:rsidRPr="008835FA">
        <w:rPr>
          <w:rFonts w:cs="Times New Roman"/>
          <w:b w:val="0"/>
          <w:i w:val="0"/>
          <w:iCs w:val="0"/>
          <w:color w:val="auto"/>
          <w:sz w:val="24"/>
          <w:szCs w:val="22"/>
        </w:rPr>
        <w:fldChar w:fldCharType="begin"/>
      </w:r>
      <w:r w:rsidRPr="008835FA">
        <w:rPr>
          <w:rFonts w:cs="Times New Roman"/>
          <w:b w:val="0"/>
          <w:i w:val="0"/>
          <w:iCs w:val="0"/>
          <w:color w:val="auto"/>
          <w:sz w:val="24"/>
          <w:szCs w:val="22"/>
        </w:rPr>
        <w:instrText xml:space="preserve"> REF _Ref37074971 \h  \* MERGEFORMAT </w:instrText>
      </w:r>
      <w:r w:rsidRPr="008835FA">
        <w:rPr>
          <w:rFonts w:cs="Times New Roman"/>
          <w:b w:val="0"/>
          <w:i w:val="0"/>
          <w:iCs w:val="0"/>
          <w:color w:val="auto"/>
          <w:sz w:val="24"/>
          <w:szCs w:val="22"/>
        </w:rPr>
      </w:r>
      <w:r w:rsidRPr="008835FA">
        <w:rPr>
          <w:rFonts w:cs="Times New Roman"/>
          <w:b w:val="0"/>
          <w:i w:val="0"/>
          <w:iCs w:val="0"/>
          <w:color w:val="auto"/>
          <w:sz w:val="24"/>
          <w:szCs w:val="22"/>
        </w:rPr>
        <w:fldChar w:fldCharType="separate"/>
      </w:r>
      <w:r w:rsidR="0005064B" w:rsidRPr="0005064B">
        <w:rPr>
          <w:rFonts w:cs="Times New Roman"/>
          <w:b w:val="0"/>
          <w:i w:val="0"/>
          <w:iCs w:val="0"/>
          <w:color w:val="auto"/>
          <w:sz w:val="24"/>
          <w:szCs w:val="22"/>
        </w:rPr>
        <w:t>Figure 1</w:t>
      </w:r>
      <w:r w:rsidR="0005064B" w:rsidRPr="0005064B">
        <w:rPr>
          <w:rFonts w:cs="Times New Roman"/>
          <w:b w:val="0"/>
          <w:i w:val="0"/>
          <w:iCs w:val="0"/>
          <w:color w:val="auto"/>
          <w:sz w:val="24"/>
          <w:szCs w:val="22"/>
        </w:rPr>
        <w:noBreakHyphen/>
        <w:t>3</w:t>
      </w:r>
      <w:r w:rsidRPr="008835FA">
        <w:rPr>
          <w:rFonts w:cs="Times New Roman"/>
          <w:b w:val="0"/>
          <w:i w:val="0"/>
          <w:iCs w:val="0"/>
          <w:color w:val="auto"/>
          <w:sz w:val="24"/>
          <w:szCs w:val="22"/>
        </w:rPr>
        <w:fldChar w:fldCharType="end"/>
      </w:r>
      <w:r w:rsidRPr="008835FA">
        <w:rPr>
          <w:rFonts w:cs="Times New Roman"/>
          <w:b w:val="0"/>
          <w:i w:val="0"/>
          <w:iCs w:val="0"/>
          <w:color w:val="auto"/>
          <w:sz w:val="24"/>
          <w:szCs w:val="22"/>
        </w:rPr>
        <w:t xml:space="preserve">) based on these three dimensions </w:t>
      </w:r>
      <w:r w:rsidR="00D23C31">
        <w:rPr>
          <w:rFonts w:cs="Times New Roman"/>
          <w:b w:val="0"/>
          <w:i w:val="0"/>
          <w:iCs w:val="0"/>
          <w:noProof/>
          <w:color w:val="auto"/>
          <w:sz w:val="24"/>
          <w:szCs w:val="22"/>
        </w:rPr>
        <w:fldChar w:fldCharType="begin"/>
      </w:r>
      <w:r w:rsidR="00647E79">
        <w:rPr>
          <w:rFonts w:cs="Times New Roman"/>
          <w:b w:val="0"/>
          <w:i w:val="0"/>
          <w:iCs w:val="0"/>
          <w:noProof/>
          <w:color w:val="auto"/>
          <w:sz w:val="24"/>
          <w:szCs w:val="22"/>
        </w:rPr>
        <w:instrText xml:space="preserve"> ADDIN EN.CITE &lt;EndNote&gt;&lt;Cite&gt;&lt;Author&gt;United Nations&lt;/Author&gt;&lt;Year&gt;2015&lt;/Year&gt;&lt;RecNum&gt;14&lt;/RecNum&gt;&lt;DisplayText&gt;(United Nations, 2015)&lt;/DisplayText&gt;&lt;record&gt;&lt;rec-number&gt;14&lt;/rec-number&gt;&lt;foreign-keys&gt;&lt;key app="EN" db-id="pzt5ep52hsedfpeext2pdfes0w0aswaewef2" timestamp="1605187992"&gt;14&lt;/key&gt;&lt;/foreign-keys&gt;&lt;ref-type name="Journal Article"&gt;17&lt;/ref-type&gt;&lt;contributors&gt;&lt;authors&gt;&lt;author&gt;United Nations,&lt;/author&gt;&lt;/authors&gt;&lt;/contributors&gt;&lt;titles&gt;&lt;title&gt;Transforming our world: the 2030 Agenda for Sustainable Development&lt;/title&gt;&lt;/titles&gt;&lt;dates&gt;&lt;year&gt;2015&lt;/year&gt;&lt;/dates&gt;&lt;urls&gt;&lt;/urls&gt;&lt;/record&gt;&lt;/Cite&gt;&lt;/EndNote&gt;</w:instrText>
      </w:r>
      <w:r w:rsidR="00D23C31">
        <w:rPr>
          <w:rFonts w:cs="Times New Roman"/>
          <w:b w:val="0"/>
          <w:i w:val="0"/>
          <w:iCs w:val="0"/>
          <w:noProof/>
          <w:color w:val="auto"/>
          <w:sz w:val="24"/>
          <w:szCs w:val="22"/>
        </w:rPr>
        <w:fldChar w:fldCharType="separate"/>
      </w:r>
      <w:r w:rsidR="00D23C31">
        <w:rPr>
          <w:rFonts w:cs="Times New Roman"/>
          <w:b w:val="0"/>
          <w:i w:val="0"/>
          <w:iCs w:val="0"/>
          <w:noProof/>
          <w:color w:val="auto"/>
          <w:sz w:val="24"/>
          <w:szCs w:val="22"/>
        </w:rPr>
        <w:t>(United Nations, 2015)</w:t>
      </w:r>
      <w:r w:rsidR="00D23C31">
        <w:rPr>
          <w:rFonts w:cs="Times New Roman"/>
          <w:b w:val="0"/>
          <w:i w:val="0"/>
          <w:iCs w:val="0"/>
          <w:noProof/>
          <w:color w:val="auto"/>
          <w:sz w:val="24"/>
          <w:szCs w:val="22"/>
        </w:rPr>
        <w:fldChar w:fldCharType="end"/>
      </w:r>
      <w:r w:rsidRPr="008835FA">
        <w:rPr>
          <w:rFonts w:cs="Times New Roman"/>
          <w:b w:val="0"/>
          <w:i w:val="0"/>
          <w:iCs w:val="0"/>
          <w:color w:val="auto"/>
          <w:sz w:val="24"/>
          <w:szCs w:val="22"/>
        </w:rPr>
        <w:t xml:space="preserve">. </w:t>
      </w:r>
      <w:r w:rsidRPr="008835FA">
        <w:rPr>
          <w:rFonts w:cs="Times New Roman"/>
          <w:b w:val="0"/>
          <w:i w:val="0"/>
          <w:iCs w:val="0"/>
          <w:color w:val="auto"/>
          <w:sz w:val="24"/>
          <w:szCs w:val="22"/>
        </w:rPr>
        <w:fldChar w:fldCharType="begin"/>
      </w:r>
      <w:r w:rsidRPr="008835FA">
        <w:rPr>
          <w:rFonts w:cs="Times New Roman"/>
          <w:b w:val="0"/>
          <w:i w:val="0"/>
          <w:iCs w:val="0"/>
          <w:color w:val="auto"/>
          <w:sz w:val="24"/>
          <w:szCs w:val="22"/>
        </w:rPr>
        <w:instrText xml:space="preserve"> REF _Ref37075567 \h  \* MERGEFORMAT </w:instrText>
      </w:r>
      <w:r w:rsidRPr="008835FA">
        <w:rPr>
          <w:rFonts w:cs="Times New Roman"/>
          <w:b w:val="0"/>
          <w:i w:val="0"/>
          <w:iCs w:val="0"/>
          <w:color w:val="auto"/>
          <w:sz w:val="24"/>
          <w:szCs w:val="22"/>
        </w:rPr>
      </w:r>
      <w:r w:rsidRPr="008835FA">
        <w:rPr>
          <w:rFonts w:cs="Times New Roman"/>
          <w:b w:val="0"/>
          <w:i w:val="0"/>
          <w:iCs w:val="0"/>
          <w:color w:val="auto"/>
          <w:sz w:val="24"/>
          <w:szCs w:val="22"/>
        </w:rPr>
        <w:fldChar w:fldCharType="separate"/>
      </w:r>
      <w:r w:rsidR="0005064B" w:rsidRPr="0005064B">
        <w:rPr>
          <w:rFonts w:cs="Times New Roman"/>
          <w:b w:val="0"/>
          <w:i w:val="0"/>
          <w:iCs w:val="0"/>
          <w:color w:val="auto"/>
          <w:sz w:val="24"/>
          <w:szCs w:val="22"/>
        </w:rPr>
        <w:t>Table 1</w:t>
      </w:r>
      <w:r w:rsidR="0005064B" w:rsidRPr="0005064B">
        <w:rPr>
          <w:rFonts w:cs="Times New Roman"/>
          <w:b w:val="0"/>
          <w:i w:val="0"/>
          <w:iCs w:val="0"/>
          <w:color w:val="auto"/>
          <w:sz w:val="24"/>
          <w:szCs w:val="22"/>
        </w:rPr>
        <w:noBreakHyphen/>
        <w:t>4</w:t>
      </w:r>
      <w:r w:rsidRPr="008835FA">
        <w:rPr>
          <w:rFonts w:cs="Times New Roman"/>
          <w:b w:val="0"/>
          <w:i w:val="0"/>
          <w:iCs w:val="0"/>
          <w:color w:val="auto"/>
          <w:sz w:val="24"/>
          <w:szCs w:val="22"/>
        </w:rPr>
        <w:fldChar w:fldCharType="end"/>
      </w:r>
      <w:r w:rsidRPr="008835FA">
        <w:rPr>
          <w:rFonts w:cs="Times New Roman"/>
          <w:b w:val="0"/>
          <w:i w:val="0"/>
          <w:iCs w:val="0"/>
          <w:color w:val="auto"/>
          <w:sz w:val="24"/>
          <w:szCs w:val="22"/>
        </w:rPr>
        <w:t xml:space="preserve"> interprets the meaning of each goal. </w:t>
      </w:r>
    </w:p>
    <w:p w14:paraId="1557DA17" w14:textId="77777777" w:rsidR="001B411C" w:rsidRPr="008903D1" w:rsidRDefault="001B411C" w:rsidP="000A4E8C">
      <w:pPr>
        <w:spacing w:line="360" w:lineRule="auto"/>
        <w:rPr>
          <w:rFonts w:cs="Times New Roman"/>
        </w:rPr>
      </w:pPr>
      <w:r w:rsidRPr="008903D1">
        <w:rPr>
          <w:rFonts w:cs="Times New Roman"/>
          <w:noProof/>
          <w:lang w:eastAsia="en-GB"/>
        </w:rPr>
        <w:drawing>
          <wp:inline distT="0" distB="0" distL="0" distR="0" wp14:anchorId="1DB8A6E9" wp14:editId="4FE7F290">
            <wp:extent cx="5732780" cy="3698543"/>
            <wp:effectExtent l="0" t="0" r="127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40748" cy="3703683"/>
                    </a:xfrm>
                    <a:prstGeom prst="rect">
                      <a:avLst/>
                    </a:prstGeom>
                    <a:noFill/>
                    <a:ln>
                      <a:noFill/>
                    </a:ln>
                  </pic:spPr>
                </pic:pic>
              </a:graphicData>
            </a:graphic>
          </wp:inline>
        </w:drawing>
      </w:r>
    </w:p>
    <w:p w14:paraId="4979ED66" w14:textId="370E4DCE" w:rsidR="00794BB7" w:rsidRDefault="001B411C" w:rsidP="00D32DDE">
      <w:pPr>
        <w:pStyle w:val="Caption"/>
        <w:spacing w:line="360" w:lineRule="auto"/>
        <w:rPr>
          <w:rFonts w:cs="Times New Roman"/>
        </w:rPr>
      </w:pPr>
      <w:bookmarkStart w:id="66" w:name="_Ref37074971"/>
      <w:bookmarkStart w:id="67" w:name="_Ref37074889"/>
      <w:bookmarkStart w:id="68" w:name="_Toc40794163"/>
      <w:bookmarkStart w:id="69" w:name="_Toc46053661"/>
      <w:bookmarkStart w:id="70" w:name="_Toc66698693"/>
      <w:r w:rsidRPr="008903D1">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1</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3</w:t>
      </w:r>
      <w:r w:rsidR="00632993">
        <w:rPr>
          <w:rFonts w:cs="Times New Roman"/>
        </w:rPr>
        <w:fldChar w:fldCharType="end"/>
      </w:r>
      <w:bookmarkEnd w:id="66"/>
      <w:r w:rsidR="00FD1FFD">
        <w:rPr>
          <w:rFonts w:cs="Times New Roman"/>
        </w:rPr>
        <w:t>:</w:t>
      </w:r>
      <w:r w:rsidRPr="00737239">
        <w:rPr>
          <w:rFonts w:cs="Times New Roman"/>
        </w:rPr>
        <w:t xml:space="preserve"> </w:t>
      </w:r>
      <w:bookmarkEnd w:id="67"/>
      <w:r w:rsidRPr="00737239">
        <w:rPr>
          <w:rFonts w:cs="Times New Roman"/>
        </w:rPr>
        <w:t>17 ‘Millennium Goals’ of sustainable development SD (adapted from UN [2015])</w:t>
      </w:r>
      <w:bookmarkEnd w:id="68"/>
      <w:bookmarkEnd w:id="69"/>
      <w:bookmarkEnd w:id="70"/>
    </w:p>
    <w:tbl>
      <w:tblPr>
        <w:tblStyle w:val="TableGrid"/>
        <w:tblW w:w="8905" w:type="dxa"/>
        <w:tblLook w:val="04A0" w:firstRow="1" w:lastRow="0" w:firstColumn="1" w:lastColumn="0" w:noHBand="0" w:noVBand="1"/>
      </w:tblPr>
      <w:tblGrid>
        <w:gridCol w:w="1095"/>
        <w:gridCol w:w="7810"/>
      </w:tblGrid>
      <w:tr w:rsidR="00794BB7" w:rsidRPr="008903D1" w14:paraId="6B70CD8E" w14:textId="77777777" w:rsidTr="00FC5AC1">
        <w:tc>
          <w:tcPr>
            <w:tcW w:w="1095" w:type="dxa"/>
          </w:tcPr>
          <w:p w14:paraId="527A42ED" w14:textId="77777777" w:rsidR="00794BB7" w:rsidRPr="008903D1" w:rsidRDefault="00794BB7" w:rsidP="00F16CBF">
            <w:pPr>
              <w:spacing w:line="240" w:lineRule="auto"/>
              <w:jc w:val="center"/>
              <w:rPr>
                <w:rFonts w:cs="Times New Roman"/>
                <w:b/>
                <w:bCs/>
                <w:sz w:val="22"/>
              </w:rPr>
            </w:pPr>
            <w:r w:rsidRPr="008903D1">
              <w:rPr>
                <w:rFonts w:cs="Times New Roman"/>
                <w:b/>
                <w:bCs/>
                <w:sz w:val="22"/>
              </w:rPr>
              <w:t>Numbers</w:t>
            </w:r>
          </w:p>
        </w:tc>
        <w:tc>
          <w:tcPr>
            <w:tcW w:w="7810" w:type="dxa"/>
          </w:tcPr>
          <w:p w14:paraId="37665251" w14:textId="77777777" w:rsidR="00794BB7" w:rsidRPr="008903D1" w:rsidRDefault="00794BB7" w:rsidP="00F16CBF">
            <w:pPr>
              <w:spacing w:line="240" w:lineRule="auto"/>
              <w:jc w:val="center"/>
              <w:rPr>
                <w:rFonts w:cs="Times New Roman"/>
                <w:b/>
                <w:bCs/>
                <w:sz w:val="22"/>
              </w:rPr>
            </w:pPr>
            <w:r w:rsidRPr="008903D1">
              <w:rPr>
                <w:rFonts w:cs="Times New Roman"/>
                <w:b/>
                <w:bCs/>
                <w:sz w:val="22"/>
              </w:rPr>
              <w:t>Details</w:t>
            </w:r>
          </w:p>
        </w:tc>
      </w:tr>
      <w:tr w:rsidR="00794BB7" w:rsidRPr="008903D1" w14:paraId="0D2A50B5" w14:textId="77777777" w:rsidTr="00FC5AC1">
        <w:tc>
          <w:tcPr>
            <w:tcW w:w="1095" w:type="dxa"/>
          </w:tcPr>
          <w:p w14:paraId="618AC283" w14:textId="77777777" w:rsidR="00794BB7" w:rsidRPr="008903D1" w:rsidRDefault="00794BB7" w:rsidP="00F16CBF">
            <w:pPr>
              <w:spacing w:line="240" w:lineRule="auto"/>
              <w:jc w:val="center"/>
              <w:rPr>
                <w:rFonts w:cs="Times New Roman"/>
                <w:sz w:val="22"/>
              </w:rPr>
            </w:pPr>
            <w:r w:rsidRPr="008903D1">
              <w:rPr>
                <w:rFonts w:cs="Times New Roman"/>
                <w:sz w:val="22"/>
              </w:rPr>
              <w:t>1</w:t>
            </w:r>
          </w:p>
        </w:tc>
        <w:tc>
          <w:tcPr>
            <w:tcW w:w="7810" w:type="dxa"/>
          </w:tcPr>
          <w:p w14:paraId="2354F43B" w14:textId="77777777" w:rsidR="00794BB7" w:rsidRPr="008903D1" w:rsidRDefault="00794BB7" w:rsidP="00F16CBF">
            <w:pPr>
              <w:spacing w:line="240" w:lineRule="auto"/>
              <w:rPr>
                <w:rFonts w:cs="Times New Roman"/>
                <w:sz w:val="22"/>
              </w:rPr>
            </w:pPr>
            <w:r w:rsidRPr="008903D1">
              <w:rPr>
                <w:rFonts w:cs="Times New Roman"/>
                <w:sz w:val="22"/>
              </w:rPr>
              <w:t>End poverty in all its forms everywhere.</w:t>
            </w:r>
          </w:p>
        </w:tc>
      </w:tr>
      <w:tr w:rsidR="00794BB7" w:rsidRPr="008903D1" w14:paraId="72227999" w14:textId="77777777" w:rsidTr="00FC5AC1">
        <w:tc>
          <w:tcPr>
            <w:tcW w:w="1095" w:type="dxa"/>
          </w:tcPr>
          <w:p w14:paraId="2B66D7FE" w14:textId="77777777" w:rsidR="00794BB7" w:rsidRPr="008903D1" w:rsidRDefault="00794BB7" w:rsidP="00F16CBF">
            <w:pPr>
              <w:spacing w:line="240" w:lineRule="auto"/>
              <w:jc w:val="center"/>
              <w:rPr>
                <w:rFonts w:cs="Times New Roman"/>
                <w:sz w:val="22"/>
              </w:rPr>
            </w:pPr>
            <w:r w:rsidRPr="008903D1">
              <w:rPr>
                <w:rFonts w:cs="Times New Roman"/>
                <w:sz w:val="22"/>
              </w:rPr>
              <w:t>2</w:t>
            </w:r>
          </w:p>
        </w:tc>
        <w:tc>
          <w:tcPr>
            <w:tcW w:w="7810" w:type="dxa"/>
          </w:tcPr>
          <w:p w14:paraId="2378F382" w14:textId="2CCF4615" w:rsidR="00794BB7" w:rsidRPr="008903D1" w:rsidRDefault="00794BB7" w:rsidP="00F16CBF">
            <w:pPr>
              <w:spacing w:line="240" w:lineRule="auto"/>
              <w:rPr>
                <w:rFonts w:cs="Times New Roman"/>
                <w:sz w:val="22"/>
              </w:rPr>
            </w:pPr>
            <w:r w:rsidRPr="008903D1">
              <w:rPr>
                <w:rFonts w:cs="Times New Roman"/>
                <w:sz w:val="22"/>
              </w:rPr>
              <w:t>End hunger, achieve food security and improved nutrition and promote sustainable agriculture.</w:t>
            </w:r>
          </w:p>
        </w:tc>
      </w:tr>
      <w:tr w:rsidR="00794BB7" w:rsidRPr="008903D1" w14:paraId="1BB03267" w14:textId="77777777" w:rsidTr="00FC5AC1">
        <w:tc>
          <w:tcPr>
            <w:tcW w:w="1095" w:type="dxa"/>
          </w:tcPr>
          <w:p w14:paraId="2F9FC557" w14:textId="77777777" w:rsidR="00794BB7" w:rsidRPr="008903D1" w:rsidRDefault="00794BB7" w:rsidP="00F16CBF">
            <w:pPr>
              <w:spacing w:line="240" w:lineRule="auto"/>
              <w:jc w:val="center"/>
              <w:rPr>
                <w:rFonts w:cs="Times New Roman"/>
                <w:sz w:val="22"/>
              </w:rPr>
            </w:pPr>
            <w:r w:rsidRPr="008903D1">
              <w:rPr>
                <w:rFonts w:cs="Times New Roman"/>
                <w:sz w:val="22"/>
              </w:rPr>
              <w:t>3</w:t>
            </w:r>
          </w:p>
        </w:tc>
        <w:tc>
          <w:tcPr>
            <w:tcW w:w="7810" w:type="dxa"/>
          </w:tcPr>
          <w:p w14:paraId="1F625DAB" w14:textId="77777777" w:rsidR="00794BB7" w:rsidRPr="008903D1" w:rsidRDefault="00794BB7" w:rsidP="00F16CBF">
            <w:pPr>
              <w:spacing w:line="240" w:lineRule="auto"/>
              <w:rPr>
                <w:rFonts w:cs="Times New Roman"/>
                <w:sz w:val="22"/>
              </w:rPr>
            </w:pPr>
            <w:r w:rsidRPr="008903D1">
              <w:rPr>
                <w:rFonts w:cs="Times New Roman"/>
                <w:sz w:val="22"/>
              </w:rPr>
              <w:t>Ensure healthy lives and promote well-being for all at all ages.</w:t>
            </w:r>
          </w:p>
        </w:tc>
      </w:tr>
      <w:tr w:rsidR="00794BB7" w:rsidRPr="008903D1" w14:paraId="74CF7D97" w14:textId="77777777" w:rsidTr="00FC5AC1">
        <w:tc>
          <w:tcPr>
            <w:tcW w:w="1095" w:type="dxa"/>
          </w:tcPr>
          <w:p w14:paraId="518A659F" w14:textId="77777777" w:rsidR="00794BB7" w:rsidRPr="008903D1" w:rsidRDefault="00794BB7" w:rsidP="00F16CBF">
            <w:pPr>
              <w:spacing w:line="240" w:lineRule="auto"/>
              <w:jc w:val="center"/>
              <w:rPr>
                <w:rFonts w:cs="Times New Roman"/>
                <w:sz w:val="22"/>
              </w:rPr>
            </w:pPr>
            <w:r w:rsidRPr="008903D1">
              <w:rPr>
                <w:rFonts w:cs="Times New Roman"/>
                <w:sz w:val="22"/>
              </w:rPr>
              <w:t>4</w:t>
            </w:r>
          </w:p>
        </w:tc>
        <w:tc>
          <w:tcPr>
            <w:tcW w:w="7810" w:type="dxa"/>
          </w:tcPr>
          <w:p w14:paraId="45695430" w14:textId="77777777" w:rsidR="00794BB7" w:rsidRPr="008903D1" w:rsidRDefault="00794BB7" w:rsidP="00F16CBF">
            <w:pPr>
              <w:spacing w:line="240" w:lineRule="auto"/>
              <w:rPr>
                <w:rFonts w:cs="Times New Roman"/>
                <w:sz w:val="22"/>
              </w:rPr>
            </w:pPr>
            <w:r w:rsidRPr="008903D1">
              <w:rPr>
                <w:rFonts w:cs="Times New Roman"/>
                <w:sz w:val="22"/>
              </w:rPr>
              <w:t>Ensure inclusive and equitable quality education and promote lifelong learning opportunities for all.</w:t>
            </w:r>
          </w:p>
        </w:tc>
      </w:tr>
      <w:tr w:rsidR="00794BB7" w:rsidRPr="008903D1" w14:paraId="275B4FE1" w14:textId="77777777" w:rsidTr="00FC5AC1">
        <w:tc>
          <w:tcPr>
            <w:tcW w:w="1095" w:type="dxa"/>
          </w:tcPr>
          <w:p w14:paraId="571206FC" w14:textId="77777777" w:rsidR="00794BB7" w:rsidRPr="008903D1" w:rsidRDefault="00794BB7" w:rsidP="00F16CBF">
            <w:pPr>
              <w:spacing w:line="240" w:lineRule="auto"/>
              <w:jc w:val="center"/>
              <w:rPr>
                <w:rFonts w:cs="Times New Roman"/>
                <w:sz w:val="22"/>
              </w:rPr>
            </w:pPr>
            <w:r w:rsidRPr="008903D1">
              <w:rPr>
                <w:rFonts w:cs="Times New Roman"/>
                <w:sz w:val="22"/>
              </w:rPr>
              <w:t>5</w:t>
            </w:r>
          </w:p>
        </w:tc>
        <w:tc>
          <w:tcPr>
            <w:tcW w:w="7810" w:type="dxa"/>
          </w:tcPr>
          <w:p w14:paraId="69A2D892" w14:textId="77777777" w:rsidR="00794BB7" w:rsidRPr="008903D1" w:rsidRDefault="00794BB7" w:rsidP="00F16CBF">
            <w:pPr>
              <w:spacing w:line="240" w:lineRule="auto"/>
              <w:rPr>
                <w:rFonts w:cs="Times New Roman"/>
                <w:sz w:val="22"/>
              </w:rPr>
            </w:pPr>
            <w:r w:rsidRPr="008903D1">
              <w:rPr>
                <w:rFonts w:cs="Times New Roman"/>
                <w:sz w:val="22"/>
              </w:rPr>
              <w:t>Achieve gender equality and empower all women and girls.</w:t>
            </w:r>
          </w:p>
        </w:tc>
      </w:tr>
      <w:tr w:rsidR="00794BB7" w:rsidRPr="008903D1" w14:paraId="52854077" w14:textId="77777777" w:rsidTr="00FC5AC1">
        <w:tc>
          <w:tcPr>
            <w:tcW w:w="1095" w:type="dxa"/>
          </w:tcPr>
          <w:p w14:paraId="7514215C" w14:textId="77777777" w:rsidR="00794BB7" w:rsidRPr="008903D1" w:rsidRDefault="00794BB7" w:rsidP="00F16CBF">
            <w:pPr>
              <w:spacing w:line="240" w:lineRule="auto"/>
              <w:jc w:val="center"/>
              <w:rPr>
                <w:rFonts w:cs="Times New Roman"/>
                <w:sz w:val="22"/>
              </w:rPr>
            </w:pPr>
            <w:r w:rsidRPr="008903D1">
              <w:rPr>
                <w:rFonts w:cs="Times New Roman"/>
                <w:sz w:val="22"/>
              </w:rPr>
              <w:t>6</w:t>
            </w:r>
          </w:p>
        </w:tc>
        <w:tc>
          <w:tcPr>
            <w:tcW w:w="7810" w:type="dxa"/>
          </w:tcPr>
          <w:p w14:paraId="2050B039" w14:textId="77777777" w:rsidR="00794BB7" w:rsidRPr="008903D1" w:rsidRDefault="00794BB7" w:rsidP="00F16CBF">
            <w:pPr>
              <w:spacing w:line="240" w:lineRule="auto"/>
              <w:rPr>
                <w:rFonts w:cs="Times New Roman"/>
                <w:sz w:val="22"/>
              </w:rPr>
            </w:pPr>
            <w:r w:rsidRPr="008903D1">
              <w:rPr>
                <w:rFonts w:cs="Times New Roman"/>
                <w:sz w:val="22"/>
              </w:rPr>
              <w:t>Ensure availability and sustainable management of water and sanitation for all.</w:t>
            </w:r>
          </w:p>
        </w:tc>
      </w:tr>
      <w:tr w:rsidR="00794BB7" w:rsidRPr="008903D1" w14:paraId="68554BFE" w14:textId="77777777" w:rsidTr="00FC5AC1">
        <w:tc>
          <w:tcPr>
            <w:tcW w:w="1095" w:type="dxa"/>
          </w:tcPr>
          <w:p w14:paraId="5D06F330" w14:textId="77777777" w:rsidR="00794BB7" w:rsidRPr="008903D1" w:rsidRDefault="00794BB7" w:rsidP="00F16CBF">
            <w:pPr>
              <w:spacing w:line="240" w:lineRule="auto"/>
              <w:jc w:val="center"/>
              <w:rPr>
                <w:rFonts w:cs="Times New Roman"/>
                <w:sz w:val="22"/>
              </w:rPr>
            </w:pPr>
            <w:r w:rsidRPr="008903D1">
              <w:rPr>
                <w:rFonts w:cs="Times New Roman"/>
                <w:sz w:val="22"/>
              </w:rPr>
              <w:t>7</w:t>
            </w:r>
          </w:p>
        </w:tc>
        <w:tc>
          <w:tcPr>
            <w:tcW w:w="7810" w:type="dxa"/>
          </w:tcPr>
          <w:p w14:paraId="6EAC7018" w14:textId="77777777" w:rsidR="00794BB7" w:rsidRPr="008903D1" w:rsidRDefault="00794BB7" w:rsidP="00F16CBF">
            <w:pPr>
              <w:spacing w:line="240" w:lineRule="auto"/>
              <w:rPr>
                <w:rFonts w:cs="Times New Roman"/>
                <w:sz w:val="22"/>
              </w:rPr>
            </w:pPr>
            <w:r w:rsidRPr="008903D1">
              <w:rPr>
                <w:rFonts w:cs="Times New Roman"/>
                <w:sz w:val="22"/>
              </w:rPr>
              <w:t>Ensure access to affordable, reliable, sustainable, and modern energy for all.</w:t>
            </w:r>
          </w:p>
        </w:tc>
      </w:tr>
      <w:tr w:rsidR="00794BB7" w:rsidRPr="008903D1" w14:paraId="328CE086" w14:textId="77777777" w:rsidTr="00FC5AC1">
        <w:tc>
          <w:tcPr>
            <w:tcW w:w="1095" w:type="dxa"/>
          </w:tcPr>
          <w:p w14:paraId="2B51321B" w14:textId="77777777" w:rsidR="00794BB7" w:rsidRPr="008903D1" w:rsidRDefault="00794BB7" w:rsidP="00F16CBF">
            <w:pPr>
              <w:spacing w:line="240" w:lineRule="auto"/>
              <w:jc w:val="center"/>
              <w:rPr>
                <w:rFonts w:cs="Times New Roman"/>
                <w:sz w:val="22"/>
              </w:rPr>
            </w:pPr>
            <w:r w:rsidRPr="008903D1">
              <w:rPr>
                <w:rFonts w:cs="Times New Roman"/>
                <w:sz w:val="22"/>
              </w:rPr>
              <w:t>8</w:t>
            </w:r>
          </w:p>
        </w:tc>
        <w:tc>
          <w:tcPr>
            <w:tcW w:w="7810" w:type="dxa"/>
          </w:tcPr>
          <w:p w14:paraId="64FBFFB0" w14:textId="77777777" w:rsidR="00794BB7" w:rsidRPr="008903D1" w:rsidRDefault="00794BB7" w:rsidP="00F16CBF">
            <w:pPr>
              <w:spacing w:line="240" w:lineRule="auto"/>
              <w:rPr>
                <w:rFonts w:cs="Times New Roman"/>
                <w:sz w:val="22"/>
              </w:rPr>
            </w:pPr>
            <w:r w:rsidRPr="008903D1">
              <w:rPr>
                <w:rFonts w:cs="Times New Roman"/>
                <w:sz w:val="22"/>
              </w:rPr>
              <w:t xml:space="preserve">Promote sustained, inclusive, and sustainable economic growth, full, and productive </w:t>
            </w:r>
            <w:proofErr w:type="gramStart"/>
            <w:r w:rsidRPr="008903D1">
              <w:rPr>
                <w:rFonts w:cs="Times New Roman"/>
                <w:sz w:val="22"/>
              </w:rPr>
              <w:t>employment</w:t>
            </w:r>
            <w:proofErr w:type="gramEnd"/>
            <w:r w:rsidRPr="008903D1">
              <w:rPr>
                <w:rFonts w:cs="Times New Roman"/>
                <w:sz w:val="22"/>
              </w:rPr>
              <w:t xml:space="preserve"> and decent work for all.</w:t>
            </w:r>
          </w:p>
        </w:tc>
      </w:tr>
      <w:tr w:rsidR="00794BB7" w:rsidRPr="008903D1" w14:paraId="5055ADA0" w14:textId="77777777" w:rsidTr="00FC5AC1">
        <w:tc>
          <w:tcPr>
            <w:tcW w:w="1095" w:type="dxa"/>
          </w:tcPr>
          <w:p w14:paraId="618E497F" w14:textId="77777777" w:rsidR="00794BB7" w:rsidRPr="008903D1" w:rsidRDefault="00794BB7" w:rsidP="00F16CBF">
            <w:pPr>
              <w:spacing w:line="240" w:lineRule="auto"/>
              <w:jc w:val="center"/>
              <w:rPr>
                <w:rFonts w:cs="Times New Roman"/>
                <w:sz w:val="22"/>
              </w:rPr>
            </w:pPr>
            <w:r w:rsidRPr="008903D1">
              <w:rPr>
                <w:rFonts w:cs="Times New Roman"/>
                <w:sz w:val="22"/>
              </w:rPr>
              <w:t>9</w:t>
            </w:r>
          </w:p>
        </w:tc>
        <w:tc>
          <w:tcPr>
            <w:tcW w:w="7810" w:type="dxa"/>
          </w:tcPr>
          <w:p w14:paraId="2AA67EA8" w14:textId="3C2A2024" w:rsidR="00794BB7" w:rsidRPr="008903D1" w:rsidRDefault="00794BB7" w:rsidP="00F16CBF">
            <w:pPr>
              <w:spacing w:line="240" w:lineRule="auto"/>
              <w:rPr>
                <w:rFonts w:cs="Times New Roman"/>
                <w:sz w:val="22"/>
              </w:rPr>
            </w:pPr>
            <w:r w:rsidRPr="008903D1">
              <w:rPr>
                <w:rFonts w:cs="Times New Roman"/>
                <w:sz w:val="22"/>
              </w:rPr>
              <w:t xml:space="preserve">Build resilient infrastructure, promote inclusive, and sustainable </w:t>
            </w:r>
            <w:proofErr w:type="spellStart"/>
            <w:r w:rsidRPr="008903D1">
              <w:rPr>
                <w:rFonts w:cs="Times New Roman"/>
                <w:sz w:val="22"/>
              </w:rPr>
              <w:t>industriali</w:t>
            </w:r>
            <w:r w:rsidR="00D6378D">
              <w:rPr>
                <w:rFonts w:cs="Times New Roman"/>
                <w:sz w:val="22"/>
              </w:rPr>
              <w:t>s</w:t>
            </w:r>
            <w:r w:rsidRPr="008903D1">
              <w:rPr>
                <w:rFonts w:cs="Times New Roman"/>
                <w:sz w:val="22"/>
              </w:rPr>
              <w:t>ation</w:t>
            </w:r>
            <w:proofErr w:type="spellEnd"/>
            <w:r w:rsidRPr="008903D1">
              <w:rPr>
                <w:rFonts w:cs="Times New Roman"/>
                <w:sz w:val="22"/>
              </w:rPr>
              <w:t xml:space="preserve"> and foster innovation.</w:t>
            </w:r>
          </w:p>
        </w:tc>
      </w:tr>
      <w:tr w:rsidR="00794BB7" w:rsidRPr="008903D1" w14:paraId="6066CF67" w14:textId="77777777" w:rsidTr="00FC5AC1">
        <w:tc>
          <w:tcPr>
            <w:tcW w:w="1095" w:type="dxa"/>
          </w:tcPr>
          <w:p w14:paraId="01F2AE9E" w14:textId="77777777" w:rsidR="00794BB7" w:rsidRPr="008903D1" w:rsidRDefault="00794BB7" w:rsidP="00F16CBF">
            <w:pPr>
              <w:spacing w:line="240" w:lineRule="auto"/>
              <w:jc w:val="center"/>
              <w:rPr>
                <w:rFonts w:cs="Times New Roman"/>
                <w:sz w:val="22"/>
              </w:rPr>
            </w:pPr>
            <w:r w:rsidRPr="008903D1">
              <w:rPr>
                <w:rFonts w:cs="Times New Roman"/>
                <w:sz w:val="22"/>
              </w:rPr>
              <w:t>10</w:t>
            </w:r>
          </w:p>
        </w:tc>
        <w:tc>
          <w:tcPr>
            <w:tcW w:w="7810" w:type="dxa"/>
          </w:tcPr>
          <w:p w14:paraId="56218E8E" w14:textId="77777777" w:rsidR="00794BB7" w:rsidRPr="008903D1" w:rsidRDefault="00794BB7" w:rsidP="00F16CBF">
            <w:pPr>
              <w:spacing w:line="240" w:lineRule="auto"/>
              <w:rPr>
                <w:rFonts w:cs="Times New Roman"/>
                <w:sz w:val="22"/>
              </w:rPr>
            </w:pPr>
            <w:r w:rsidRPr="008903D1">
              <w:rPr>
                <w:rFonts w:cs="Times New Roman"/>
                <w:sz w:val="22"/>
              </w:rPr>
              <w:t>Reduce inequality within and among countries.</w:t>
            </w:r>
          </w:p>
        </w:tc>
      </w:tr>
      <w:tr w:rsidR="00794BB7" w:rsidRPr="008903D1" w14:paraId="2028360D" w14:textId="77777777" w:rsidTr="00FC5AC1">
        <w:tc>
          <w:tcPr>
            <w:tcW w:w="1095" w:type="dxa"/>
          </w:tcPr>
          <w:p w14:paraId="632F8FE3" w14:textId="77777777" w:rsidR="00794BB7" w:rsidRPr="008903D1" w:rsidRDefault="00794BB7" w:rsidP="00F16CBF">
            <w:pPr>
              <w:spacing w:line="240" w:lineRule="auto"/>
              <w:jc w:val="center"/>
              <w:rPr>
                <w:rFonts w:cs="Times New Roman"/>
                <w:sz w:val="22"/>
              </w:rPr>
            </w:pPr>
            <w:r w:rsidRPr="008903D1">
              <w:rPr>
                <w:rFonts w:cs="Times New Roman"/>
                <w:sz w:val="22"/>
              </w:rPr>
              <w:t>11</w:t>
            </w:r>
          </w:p>
        </w:tc>
        <w:tc>
          <w:tcPr>
            <w:tcW w:w="7810" w:type="dxa"/>
          </w:tcPr>
          <w:p w14:paraId="32AFDFC4" w14:textId="77777777" w:rsidR="00794BB7" w:rsidRPr="008903D1" w:rsidRDefault="00794BB7" w:rsidP="00F16CBF">
            <w:pPr>
              <w:spacing w:line="240" w:lineRule="auto"/>
              <w:rPr>
                <w:rFonts w:cs="Times New Roman"/>
                <w:sz w:val="22"/>
              </w:rPr>
            </w:pPr>
            <w:r w:rsidRPr="008903D1">
              <w:rPr>
                <w:rFonts w:cs="Times New Roman"/>
                <w:sz w:val="22"/>
              </w:rPr>
              <w:t>Make cities and human settlements inclusive, safe, resilient, and sustainable.</w:t>
            </w:r>
          </w:p>
        </w:tc>
      </w:tr>
      <w:tr w:rsidR="00794BB7" w:rsidRPr="008903D1" w14:paraId="5F16EF98" w14:textId="77777777" w:rsidTr="00FC5AC1">
        <w:tc>
          <w:tcPr>
            <w:tcW w:w="1095" w:type="dxa"/>
          </w:tcPr>
          <w:p w14:paraId="41AE4E04" w14:textId="77777777" w:rsidR="00794BB7" w:rsidRPr="008903D1" w:rsidRDefault="00794BB7" w:rsidP="00F16CBF">
            <w:pPr>
              <w:spacing w:line="240" w:lineRule="auto"/>
              <w:jc w:val="center"/>
              <w:rPr>
                <w:rFonts w:cs="Times New Roman"/>
                <w:sz w:val="22"/>
              </w:rPr>
            </w:pPr>
            <w:r w:rsidRPr="008903D1">
              <w:rPr>
                <w:rFonts w:cs="Times New Roman"/>
                <w:sz w:val="22"/>
              </w:rPr>
              <w:t>12</w:t>
            </w:r>
          </w:p>
        </w:tc>
        <w:tc>
          <w:tcPr>
            <w:tcW w:w="7810" w:type="dxa"/>
          </w:tcPr>
          <w:p w14:paraId="56F3B942" w14:textId="77777777" w:rsidR="00794BB7" w:rsidRPr="008903D1" w:rsidRDefault="00794BB7" w:rsidP="00F16CBF">
            <w:pPr>
              <w:spacing w:line="240" w:lineRule="auto"/>
              <w:rPr>
                <w:rFonts w:cs="Times New Roman"/>
                <w:sz w:val="22"/>
              </w:rPr>
            </w:pPr>
            <w:r w:rsidRPr="008903D1">
              <w:rPr>
                <w:rFonts w:cs="Times New Roman"/>
                <w:sz w:val="22"/>
              </w:rPr>
              <w:t>Ensure sustainable consumption and production patterns.</w:t>
            </w:r>
          </w:p>
        </w:tc>
      </w:tr>
      <w:tr w:rsidR="00794BB7" w:rsidRPr="008903D1" w14:paraId="7FC4C8F6" w14:textId="77777777" w:rsidTr="00FC5AC1">
        <w:tc>
          <w:tcPr>
            <w:tcW w:w="1095" w:type="dxa"/>
          </w:tcPr>
          <w:p w14:paraId="0DF27329" w14:textId="77777777" w:rsidR="00794BB7" w:rsidRPr="008903D1" w:rsidRDefault="00794BB7" w:rsidP="00F16CBF">
            <w:pPr>
              <w:spacing w:line="240" w:lineRule="auto"/>
              <w:jc w:val="center"/>
              <w:rPr>
                <w:rFonts w:cs="Times New Roman"/>
                <w:sz w:val="22"/>
              </w:rPr>
            </w:pPr>
            <w:r w:rsidRPr="008903D1">
              <w:rPr>
                <w:rFonts w:cs="Times New Roman"/>
                <w:sz w:val="22"/>
              </w:rPr>
              <w:t>13</w:t>
            </w:r>
          </w:p>
        </w:tc>
        <w:tc>
          <w:tcPr>
            <w:tcW w:w="7810" w:type="dxa"/>
          </w:tcPr>
          <w:p w14:paraId="2938B6AD" w14:textId="77777777" w:rsidR="00794BB7" w:rsidRPr="008903D1" w:rsidRDefault="00794BB7" w:rsidP="00F16CBF">
            <w:pPr>
              <w:spacing w:line="240" w:lineRule="auto"/>
              <w:rPr>
                <w:rFonts w:cs="Times New Roman"/>
                <w:sz w:val="22"/>
              </w:rPr>
            </w:pPr>
            <w:r w:rsidRPr="008903D1">
              <w:rPr>
                <w:rFonts w:cs="Times New Roman"/>
                <w:sz w:val="22"/>
              </w:rPr>
              <w:t>Take urgent action to combat climate change and its impacts.</w:t>
            </w:r>
          </w:p>
        </w:tc>
      </w:tr>
      <w:tr w:rsidR="00794BB7" w:rsidRPr="008903D1" w14:paraId="20734804" w14:textId="77777777" w:rsidTr="00FC5AC1">
        <w:tc>
          <w:tcPr>
            <w:tcW w:w="1095" w:type="dxa"/>
          </w:tcPr>
          <w:p w14:paraId="3B5E7576" w14:textId="77777777" w:rsidR="00794BB7" w:rsidRPr="008903D1" w:rsidRDefault="00794BB7" w:rsidP="00F16CBF">
            <w:pPr>
              <w:spacing w:line="240" w:lineRule="auto"/>
              <w:jc w:val="center"/>
              <w:rPr>
                <w:rFonts w:cs="Times New Roman"/>
                <w:sz w:val="22"/>
              </w:rPr>
            </w:pPr>
            <w:r w:rsidRPr="008903D1">
              <w:rPr>
                <w:rFonts w:cs="Times New Roman"/>
                <w:sz w:val="22"/>
              </w:rPr>
              <w:t>14</w:t>
            </w:r>
          </w:p>
        </w:tc>
        <w:tc>
          <w:tcPr>
            <w:tcW w:w="7810" w:type="dxa"/>
          </w:tcPr>
          <w:p w14:paraId="31CCFF84" w14:textId="77777777" w:rsidR="00794BB7" w:rsidRPr="008903D1" w:rsidRDefault="00794BB7" w:rsidP="00F16CBF">
            <w:pPr>
              <w:spacing w:line="240" w:lineRule="auto"/>
              <w:rPr>
                <w:rFonts w:cs="Times New Roman"/>
                <w:sz w:val="22"/>
              </w:rPr>
            </w:pPr>
            <w:r w:rsidRPr="008903D1">
              <w:rPr>
                <w:rFonts w:cs="Times New Roman"/>
                <w:sz w:val="22"/>
              </w:rPr>
              <w:t>Conserve and sustainably use the oceans, seas, and marine resources for sustainable development.</w:t>
            </w:r>
          </w:p>
        </w:tc>
      </w:tr>
      <w:tr w:rsidR="00794BB7" w:rsidRPr="008903D1" w14:paraId="4B4EA449" w14:textId="77777777" w:rsidTr="00FC5AC1">
        <w:tc>
          <w:tcPr>
            <w:tcW w:w="1095" w:type="dxa"/>
          </w:tcPr>
          <w:p w14:paraId="019E8BDC" w14:textId="77777777" w:rsidR="00794BB7" w:rsidRPr="008903D1" w:rsidRDefault="00794BB7" w:rsidP="00F16CBF">
            <w:pPr>
              <w:spacing w:line="240" w:lineRule="auto"/>
              <w:jc w:val="center"/>
              <w:rPr>
                <w:rFonts w:cs="Times New Roman"/>
                <w:sz w:val="22"/>
              </w:rPr>
            </w:pPr>
            <w:r w:rsidRPr="008903D1">
              <w:rPr>
                <w:rFonts w:cs="Times New Roman"/>
                <w:sz w:val="22"/>
              </w:rPr>
              <w:lastRenderedPageBreak/>
              <w:t>15</w:t>
            </w:r>
          </w:p>
        </w:tc>
        <w:tc>
          <w:tcPr>
            <w:tcW w:w="7810" w:type="dxa"/>
          </w:tcPr>
          <w:p w14:paraId="3A68388F" w14:textId="77777777" w:rsidR="00794BB7" w:rsidRPr="008903D1" w:rsidRDefault="00794BB7" w:rsidP="00F16CBF">
            <w:pPr>
              <w:spacing w:line="240" w:lineRule="auto"/>
              <w:rPr>
                <w:rFonts w:cs="Times New Roman"/>
                <w:sz w:val="22"/>
              </w:rPr>
            </w:pPr>
            <w:r w:rsidRPr="008903D1">
              <w:rPr>
                <w:rFonts w:cs="Times New Roman"/>
                <w:sz w:val="22"/>
              </w:rPr>
              <w:t>Protect, restore, and promote sustainable use of terrestrial ecosystems, sustainably manage forests, combat desertification, and halt and reverse land degradation and halt biodiversity loss.</w:t>
            </w:r>
          </w:p>
        </w:tc>
      </w:tr>
      <w:tr w:rsidR="00794BB7" w:rsidRPr="008903D1" w14:paraId="15023FFC" w14:textId="77777777" w:rsidTr="00FC5AC1">
        <w:tc>
          <w:tcPr>
            <w:tcW w:w="1095" w:type="dxa"/>
          </w:tcPr>
          <w:p w14:paraId="23015DC3" w14:textId="77777777" w:rsidR="00794BB7" w:rsidRPr="008903D1" w:rsidRDefault="00794BB7" w:rsidP="00F16CBF">
            <w:pPr>
              <w:spacing w:line="240" w:lineRule="auto"/>
              <w:jc w:val="center"/>
              <w:rPr>
                <w:rFonts w:cs="Times New Roman"/>
                <w:sz w:val="22"/>
              </w:rPr>
            </w:pPr>
            <w:r w:rsidRPr="008903D1">
              <w:rPr>
                <w:rFonts w:cs="Times New Roman"/>
                <w:sz w:val="22"/>
              </w:rPr>
              <w:t>16</w:t>
            </w:r>
          </w:p>
        </w:tc>
        <w:tc>
          <w:tcPr>
            <w:tcW w:w="7810" w:type="dxa"/>
          </w:tcPr>
          <w:p w14:paraId="0676C222" w14:textId="77777777" w:rsidR="00794BB7" w:rsidRPr="008903D1" w:rsidRDefault="00794BB7" w:rsidP="00F16CBF">
            <w:pPr>
              <w:spacing w:line="240" w:lineRule="auto"/>
              <w:rPr>
                <w:rFonts w:cs="Times New Roman"/>
                <w:sz w:val="22"/>
              </w:rPr>
            </w:pPr>
            <w:r w:rsidRPr="008903D1">
              <w:rPr>
                <w:rFonts w:cs="Times New Roman"/>
                <w:sz w:val="22"/>
              </w:rPr>
              <w:t>Promote peaceful and inclusive societies for sustainable development, provide access to justice for all and build effective, accountable, and inclusive institutions at all levels.</w:t>
            </w:r>
          </w:p>
        </w:tc>
      </w:tr>
      <w:tr w:rsidR="00794BB7" w:rsidRPr="008903D1" w14:paraId="0241C8EE" w14:textId="77777777" w:rsidTr="00FC5AC1">
        <w:tc>
          <w:tcPr>
            <w:tcW w:w="1095" w:type="dxa"/>
          </w:tcPr>
          <w:p w14:paraId="125D71C7" w14:textId="77777777" w:rsidR="00794BB7" w:rsidRPr="008903D1" w:rsidRDefault="00794BB7" w:rsidP="00F16CBF">
            <w:pPr>
              <w:spacing w:line="240" w:lineRule="auto"/>
              <w:jc w:val="center"/>
              <w:rPr>
                <w:rFonts w:cs="Times New Roman"/>
                <w:sz w:val="22"/>
              </w:rPr>
            </w:pPr>
            <w:r w:rsidRPr="008903D1">
              <w:rPr>
                <w:rFonts w:cs="Times New Roman"/>
                <w:sz w:val="22"/>
              </w:rPr>
              <w:t>17</w:t>
            </w:r>
          </w:p>
        </w:tc>
        <w:tc>
          <w:tcPr>
            <w:tcW w:w="7810" w:type="dxa"/>
          </w:tcPr>
          <w:p w14:paraId="25E2A0DB" w14:textId="39F2BFA9" w:rsidR="00794BB7" w:rsidRPr="008903D1" w:rsidRDefault="00794BB7" w:rsidP="00F16CBF">
            <w:pPr>
              <w:spacing w:line="240" w:lineRule="auto"/>
              <w:rPr>
                <w:rFonts w:cs="Times New Roman"/>
                <w:sz w:val="22"/>
              </w:rPr>
            </w:pPr>
            <w:r w:rsidRPr="008903D1">
              <w:rPr>
                <w:rFonts w:cs="Times New Roman"/>
                <w:sz w:val="22"/>
              </w:rPr>
              <w:t xml:space="preserve">Strengthen the means of implementation and </w:t>
            </w:r>
            <w:proofErr w:type="spellStart"/>
            <w:r w:rsidRPr="008903D1">
              <w:rPr>
                <w:rFonts w:cs="Times New Roman"/>
                <w:sz w:val="22"/>
              </w:rPr>
              <w:t>revitali</w:t>
            </w:r>
            <w:r w:rsidR="00EB6DF8">
              <w:rPr>
                <w:rFonts w:cs="Times New Roman"/>
                <w:sz w:val="22"/>
              </w:rPr>
              <w:t>s</w:t>
            </w:r>
            <w:r w:rsidRPr="008903D1">
              <w:rPr>
                <w:rFonts w:cs="Times New Roman"/>
                <w:sz w:val="22"/>
              </w:rPr>
              <w:t>e</w:t>
            </w:r>
            <w:proofErr w:type="spellEnd"/>
            <w:r w:rsidRPr="008903D1">
              <w:rPr>
                <w:rFonts w:cs="Times New Roman"/>
                <w:sz w:val="22"/>
              </w:rPr>
              <w:t xml:space="preserve"> the global partnership for sustainable development.</w:t>
            </w:r>
          </w:p>
        </w:tc>
      </w:tr>
    </w:tbl>
    <w:p w14:paraId="21E83425" w14:textId="4304D2F4" w:rsidR="00013E7D" w:rsidRPr="00737239" w:rsidRDefault="007B5959" w:rsidP="000A4E8C">
      <w:pPr>
        <w:pStyle w:val="Caption"/>
        <w:spacing w:after="0" w:line="360" w:lineRule="auto"/>
        <w:rPr>
          <w:rFonts w:cs="Times New Roman"/>
        </w:rPr>
      </w:pPr>
      <w:bookmarkStart w:id="71" w:name="_Ref37075567"/>
      <w:bookmarkStart w:id="72" w:name="_Toc40794155"/>
      <w:bookmarkStart w:id="73" w:name="_Toc46053529"/>
      <w:bookmarkStart w:id="74" w:name="_Toc46093778"/>
      <w:bookmarkStart w:id="75" w:name="_Toc66698746"/>
      <w:r>
        <w:rPr>
          <w:rFonts w:cs="Times New Roman"/>
        </w:rPr>
        <w:t>Table</w:t>
      </w:r>
      <w:r w:rsidR="00794BB7"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1</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4</w:t>
      </w:r>
      <w:r w:rsidR="00FE10DA">
        <w:rPr>
          <w:rFonts w:cs="Times New Roman"/>
        </w:rPr>
        <w:fldChar w:fldCharType="end"/>
      </w:r>
      <w:bookmarkEnd w:id="71"/>
      <w:r>
        <w:rPr>
          <w:rFonts w:cs="Times New Roman"/>
        </w:rPr>
        <w:t>:</w:t>
      </w:r>
      <w:r w:rsidR="00794BB7" w:rsidRPr="00A96AC5">
        <w:rPr>
          <w:rFonts w:cs="Times New Roman"/>
        </w:rPr>
        <w:t xml:space="preserve"> Details of the </w:t>
      </w:r>
      <w:r w:rsidR="00794BB7" w:rsidRPr="008903D1">
        <w:rPr>
          <w:rFonts w:cs="Times New Roman"/>
        </w:rPr>
        <w:t>‘Millennium Goals’ of sustainable development (SD) (adapted from UN [2015])</w:t>
      </w:r>
      <w:bookmarkEnd w:id="72"/>
      <w:bookmarkEnd w:id="73"/>
      <w:bookmarkEnd w:id="74"/>
      <w:bookmarkEnd w:id="75"/>
    </w:p>
    <w:p w14:paraId="642538F2" w14:textId="7CD64448" w:rsidR="00013E7D" w:rsidRPr="00A96AC5" w:rsidRDefault="003D5793" w:rsidP="004C5A99">
      <w:pPr>
        <w:spacing w:before="240" w:after="240" w:line="360" w:lineRule="auto"/>
        <w:rPr>
          <w:rFonts w:cs="Times New Roman"/>
        </w:rPr>
      </w:pPr>
      <w:r w:rsidRPr="00802DC5">
        <w:rPr>
          <w:rFonts w:cs="Times New Roman"/>
        </w:rPr>
        <w:t>Furthermore</w:t>
      </w:r>
      <w:r w:rsidR="00013E7D" w:rsidRPr="006C301D">
        <w:rPr>
          <w:rFonts w:cs="Times New Roman"/>
        </w:rPr>
        <w:t>, each individual goal has its subordinate objectives</w:t>
      </w:r>
      <w:r w:rsidR="000F5F38">
        <w:rPr>
          <w:rFonts w:cs="Times New Roman"/>
        </w:rPr>
        <w:t xml:space="preserve"> </w:t>
      </w:r>
      <w:r w:rsidR="00D23C31">
        <w:rPr>
          <w:rFonts w:cs="Times New Roman"/>
          <w:noProof/>
        </w:rPr>
        <w:fldChar w:fldCharType="begin"/>
      </w:r>
      <w:r w:rsidR="00647E79">
        <w:rPr>
          <w:rFonts w:cs="Times New Roman"/>
          <w:noProof/>
        </w:rPr>
        <w:instrText xml:space="preserve"> ADDIN EN.CITE &lt;EndNote&gt;&lt;Cite&gt;&lt;Author&gt;Lee&lt;/Author&gt;&lt;Year&gt;2016&lt;/Year&gt;&lt;RecNum&gt;15&lt;/RecNum&gt;&lt;DisplayText&gt;(Lee et al., 2016)&lt;/DisplayText&gt;&lt;record&gt;&lt;rec-number&gt;15&lt;/rec-number&gt;&lt;foreign-keys&gt;&lt;key app="EN" db-id="pzt5ep52hsedfpeext2pdfes0w0aswaewef2" timestamp="1605187992"&gt;15&lt;/key&gt;&lt;/foreign-keys&gt;&lt;ref-type name="Journal Article"&gt;17&lt;/ref-type&gt;&lt;contributors&gt;&lt;authors&gt;&lt;author&gt;Lee, Bandy X.&lt;/author&gt;&lt;author&gt;Kjaerulf, Finn&lt;/author&gt;&lt;author&gt;Turner, Shannon&lt;/author&gt;&lt;author&gt;Cohen, Larry&lt;/author&gt;&lt;author&gt;Donnelly, Peter D.&lt;/author&gt;&lt;author&gt;Muggah, Robert&lt;/author&gt;&lt;author&gt;Davis, Rachel&lt;/author&gt;&lt;author&gt;Realini, Anna&lt;/author&gt;&lt;author&gt;Kieselbach, Berit&lt;/author&gt;&lt;author&gt;MacGregor, Lori Snyder&lt;/author&gt;&lt;author&gt;Waller, Irvin&lt;/author&gt;&lt;author&gt;Gordon, Rebecca&lt;/author&gt;&lt;author&gt;Moloney-Kitts, Michele&lt;/author&gt;&lt;author&gt;Lee, Grace&lt;/author&gt;&lt;author&gt;Gilligan, James&lt;/author&gt;&lt;/authors&gt;&lt;/contributors&gt;&lt;titles&gt;&lt;title&gt;Transforming Our World: Implementing the 2030 Agenda Through Sustainable Development Goal Indicators&lt;/title&gt;&lt;secondary-title&gt;Journal of Public Health Policy&lt;/secondary-title&gt;&lt;/titles&gt;&lt;periodical&gt;&lt;full-title&gt;Journal of Public Health Policy&lt;/full-title&gt;&lt;/periodical&gt;&lt;pages&gt;13-31&lt;/pages&gt;&lt;volume&gt;37&lt;/volume&gt;&lt;number&gt;1&lt;/number&gt;&lt;dates&gt;&lt;year&gt;2016&lt;/year&gt;&lt;pub-dates&gt;&lt;date&gt;2016/09/01&lt;/date&gt;&lt;/pub-dates&gt;&lt;/dates&gt;&lt;isbn&gt;1745-655X&lt;/isbn&gt;&lt;urls&gt;&lt;related-urls&gt;&lt;url&gt;https://doi.org/10.1057/s41271-016-0002-7&lt;/url&gt;&lt;/related-urls&gt;&lt;/urls&gt;&lt;electronic-resource-num&gt;10.1057/s41271-016-0002-7&lt;/electronic-resource-num&gt;&lt;/record&gt;&lt;/Cite&gt;&lt;/EndNote&gt;</w:instrText>
      </w:r>
      <w:r w:rsidR="00D23C31">
        <w:rPr>
          <w:rFonts w:cs="Times New Roman"/>
          <w:noProof/>
        </w:rPr>
        <w:fldChar w:fldCharType="separate"/>
      </w:r>
      <w:r w:rsidR="00D23C31">
        <w:rPr>
          <w:rFonts w:cs="Times New Roman"/>
          <w:noProof/>
        </w:rPr>
        <w:t>(Lee et al., 2016)</w:t>
      </w:r>
      <w:r w:rsidR="00D23C31">
        <w:rPr>
          <w:rFonts w:cs="Times New Roman"/>
          <w:noProof/>
        </w:rPr>
        <w:fldChar w:fldCharType="end"/>
      </w:r>
      <w:r w:rsidR="00013E7D" w:rsidRPr="006C301D">
        <w:rPr>
          <w:rFonts w:cs="Times New Roman"/>
        </w:rPr>
        <w:t xml:space="preserve">. The above goals illustrate that </w:t>
      </w:r>
      <w:r w:rsidR="00C15339" w:rsidRPr="00A96AC5">
        <w:rPr>
          <w:rFonts w:cs="Times New Roman"/>
        </w:rPr>
        <w:t>‘</w:t>
      </w:r>
      <w:r w:rsidR="00013E7D" w:rsidRPr="00A96AC5">
        <w:rPr>
          <w:rFonts w:cs="Times New Roman"/>
        </w:rPr>
        <w:t>sustainable development</w:t>
      </w:r>
      <w:r w:rsidR="00C15339" w:rsidRPr="00A96AC5">
        <w:rPr>
          <w:rFonts w:cs="Times New Roman"/>
        </w:rPr>
        <w:t>’</w:t>
      </w:r>
      <w:r w:rsidR="00013E7D" w:rsidRPr="00A96AC5">
        <w:rPr>
          <w:rFonts w:cs="Times New Roman"/>
        </w:rPr>
        <w:t xml:space="preserve"> is an ambitious aspiration. However, numerous paradoxes and challenges are emerging during the implementation process. </w:t>
      </w:r>
    </w:p>
    <w:p w14:paraId="4CFC418D" w14:textId="450C46E3" w:rsidR="002B4C55" w:rsidRPr="00A96AC5" w:rsidRDefault="00247948" w:rsidP="004C5A99">
      <w:pPr>
        <w:spacing w:before="240" w:after="240" w:line="360" w:lineRule="auto"/>
        <w:rPr>
          <w:rFonts w:cs="Times New Roman"/>
        </w:rPr>
      </w:pPr>
      <w:r w:rsidRPr="00A96AC5">
        <w:rPr>
          <w:rFonts w:cs="Times New Roman"/>
        </w:rPr>
        <w:t xml:space="preserve">Following </w:t>
      </w:r>
      <w:r w:rsidR="00013E7D" w:rsidRPr="00A96AC5">
        <w:rPr>
          <w:rFonts w:cs="Times New Roman"/>
        </w:rPr>
        <w:t xml:space="preserve">the </w:t>
      </w:r>
      <w:r w:rsidRPr="00A96AC5">
        <w:rPr>
          <w:rFonts w:cs="Times New Roman"/>
        </w:rPr>
        <w:t xml:space="preserve">proposal of the </w:t>
      </w:r>
      <w:r w:rsidR="00013E7D" w:rsidRPr="00A96AC5">
        <w:rPr>
          <w:rFonts w:cs="Times New Roman"/>
        </w:rPr>
        <w:t xml:space="preserve">Millennium Goals, both developing and developed countries set goals and indicators </w:t>
      </w:r>
      <w:r w:rsidRPr="00A96AC5">
        <w:rPr>
          <w:rFonts w:cs="Times New Roman"/>
        </w:rPr>
        <w:t xml:space="preserve">of their own </w:t>
      </w:r>
      <w:r w:rsidR="00013E7D" w:rsidRPr="00A96AC5">
        <w:rPr>
          <w:rFonts w:cs="Times New Roman"/>
        </w:rPr>
        <w:t xml:space="preserve">to promote their domestic sustainable development. For example, the </w:t>
      </w:r>
      <w:r w:rsidR="009D399E" w:rsidRPr="00247948">
        <w:t xml:space="preserve">UK government’s Department for Environment, Food &amp; Rural Affairs </w:t>
      </w:r>
      <w:r w:rsidR="00D23C31">
        <w:rPr>
          <w:noProof/>
        </w:rPr>
        <w:fldChar w:fldCharType="begin"/>
      </w:r>
      <w:r w:rsidR="006B0D52">
        <w:rPr>
          <w:noProof/>
        </w:rPr>
        <w:instrText xml:space="preserve"> ADDIN EN.CITE &lt;EndNote&gt;&lt;Cite ExcludeAuth="1"&gt;&lt;Author&gt;Department for Environment Food &amp;amp; Rural Affairs&lt;/Author&gt;&lt;Year&gt;2013&lt;/Year&gt;&lt;RecNum&gt;16&lt;/RecNum&gt;&lt;DisplayText&gt;(2013)&lt;/DisplayText&gt;&lt;record&gt;&lt;rec-number&gt;16&lt;/rec-number&gt;&lt;foreign-keys&gt;&lt;key app="EN" db-id="pzt5ep52hsedfpeext2pdfes0w0aswaewef2" timestamp="1605187992"&gt;16&lt;/key&gt;&lt;/foreign-keys&gt;&lt;ref-type name="Report"&gt;27&lt;/ref-type&gt;&lt;contributors&gt;&lt;authors&gt;&lt;author&gt;Department for Environment Food &amp;amp; Rural Affairs,&lt;/author&gt;&lt;/authors&gt;&lt;/contributors&gt;&lt;titles&gt;&lt;title&gt;Sustainable development indicators (SDIs)&lt;/title&gt;&lt;/titles&gt;&lt;dates&gt;&lt;year&gt;2013&lt;/year&gt;&lt;/dates&gt;&lt;urls&gt;&lt;related-urls&gt;&lt;url&gt;https://www.gov.uk/government/statistics/sustainable-development-indicators-sdis&lt;/url&gt;&lt;/related-urls&gt;&lt;/urls&gt;&lt;/record&gt;&lt;/Cite&gt;&lt;/EndNote&gt;</w:instrText>
      </w:r>
      <w:r w:rsidR="00D23C31">
        <w:rPr>
          <w:noProof/>
        </w:rPr>
        <w:fldChar w:fldCharType="separate"/>
      </w:r>
      <w:r w:rsidR="00594C1C">
        <w:rPr>
          <w:noProof/>
        </w:rPr>
        <w:t>(2013)</w:t>
      </w:r>
      <w:r w:rsidR="00D23C31">
        <w:rPr>
          <w:noProof/>
        </w:rPr>
        <w:fldChar w:fldCharType="end"/>
      </w:r>
      <w:r w:rsidR="009D399E">
        <w:t xml:space="preserve"> </w:t>
      </w:r>
      <w:r w:rsidR="00013E7D" w:rsidRPr="00A96AC5">
        <w:rPr>
          <w:rFonts w:cs="Times New Roman"/>
        </w:rPr>
        <w:t xml:space="preserve">has </w:t>
      </w:r>
      <w:r w:rsidRPr="00A96AC5">
        <w:rPr>
          <w:rFonts w:cs="Times New Roman"/>
        </w:rPr>
        <w:t xml:space="preserve">developed </w:t>
      </w:r>
      <w:r w:rsidR="00013E7D" w:rsidRPr="00A96AC5">
        <w:rPr>
          <w:rFonts w:cs="Times New Roman"/>
        </w:rPr>
        <w:t>12 indicators (</w:t>
      </w:r>
      <w:r w:rsidR="006B085F">
        <w:rPr>
          <w:rFonts w:cs="Times New Roman"/>
        </w:rPr>
        <w:fldChar w:fldCharType="begin"/>
      </w:r>
      <w:r w:rsidR="006B085F">
        <w:rPr>
          <w:rFonts w:cs="Times New Roman"/>
        </w:rPr>
        <w:instrText xml:space="preserve"> REF _Ref44946118 \h </w:instrText>
      </w:r>
      <w:r w:rsidR="006B085F">
        <w:rPr>
          <w:rFonts w:cs="Times New Roman"/>
        </w:rPr>
      </w:r>
      <w:r w:rsidR="006B085F">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1</w:t>
      </w:r>
      <w:r w:rsidR="0005064B">
        <w:rPr>
          <w:rFonts w:cs="Times New Roman"/>
        </w:rPr>
        <w:noBreakHyphen/>
      </w:r>
      <w:r w:rsidR="0005064B">
        <w:rPr>
          <w:rFonts w:cs="Times New Roman"/>
          <w:noProof/>
        </w:rPr>
        <w:t>5</w:t>
      </w:r>
      <w:r w:rsidR="006B085F">
        <w:rPr>
          <w:rFonts w:cs="Times New Roman"/>
        </w:rPr>
        <w:fldChar w:fldCharType="end"/>
      </w:r>
      <w:r w:rsidR="00013E7D" w:rsidRPr="008903D1">
        <w:rPr>
          <w:rFonts w:cs="Times New Roman"/>
        </w:rPr>
        <w:t xml:space="preserve">) (four </w:t>
      </w:r>
      <w:r w:rsidRPr="008903D1">
        <w:rPr>
          <w:rFonts w:cs="Times New Roman"/>
        </w:rPr>
        <w:t>economic</w:t>
      </w:r>
      <w:r w:rsidR="00013E7D" w:rsidRPr="00737239">
        <w:rPr>
          <w:rFonts w:cs="Times New Roman"/>
        </w:rPr>
        <w:t xml:space="preserve">, four </w:t>
      </w:r>
      <w:r w:rsidRPr="00802DC5">
        <w:rPr>
          <w:rFonts w:cs="Times New Roman"/>
        </w:rPr>
        <w:t>social</w:t>
      </w:r>
      <w:r w:rsidR="00013E7D" w:rsidRPr="006C301D">
        <w:rPr>
          <w:rFonts w:cs="Times New Roman"/>
        </w:rPr>
        <w:t>, and four environment</w:t>
      </w:r>
      <w:r w:rsidRPr="00A96AC5">
        <w:rPr>
          <w:rFonts w:cs="Times New Roman"/>
        </w:rPr>
        <w:t>al</w:t>
      </w:r>
      <w:r w:rsidR="00013E7D" w:rsidRPr="00A96AC5">
        <w:rPr>
          <w:rFonts w:cs="Times New Roman"/>
        </w:rPr>
        <w:t>)</w:t>
      </w:r>
      <w:r w:rsidRPr="00A96AC5">
        <w:rPr>
          <w:rFonts w:cs="Times New Roman"/>
        </w:rPr>
        <w:t>,</w:t>
      </w:r>
      <w:r w:rsidR="00013E7D" w:rsidRPr="00A96AC5">
        <w:rPr>
          <w:rFonts w:cs="Times New Roman"/>
        </w:rPr>
        <w:t xml:space="preserve"> </w:t>
      </w:r>
      <w:r w:rsidRPr="00A96AC5">
        <w:rPr>
          <w:rFonts w:cs="Times New Roman"/>
        </w:rPr>
        <w:t xml:space="preserve">which have </w:t>
      </w:r>
      <w:r w:rsidR="00013E7D" w:rsidRPr="00A96AC5">
        <w:rPr>
          <w:rFonts w:cs="Times New Roman"/>
        </w:rPr>
        <w:t xml:space="preserve">then </w:t>
      </w:r>
      <w:r w:rsidRPr="00A96AC5">
        <w:rPr>
          <w:rFonts w:cs="Times New Roman"/>
        </w:rPr>
        <w:t xml:space="preserve">been </w:t>
      </w:r>
      <w:r w:rsidR="00013E7D" w:rsidRPr="00A96AC5">
        <w:rPr>
          <w:rFonts w:cs="Times New Roman"/>
        </w:rPr>
        <w:t xml:space="preserve">further articulated into 23 sub-indicators (six </w:t>
      </w:r>
      <w:r w:rsidRPr="00A96AC5">
        <w:rPr>
          <w:rFonts w:cs="Times New Roman"/>
        </w:rPr>
        <w:t>economic</w:t>
      </w:r>
      <w:r w:rsidR="00013E7D" w:rsidRPr="00A96AC5">
        <w:rPr>
          <w:rFonts w:cs="Times New Roman"/>
        </w:rPr>
        <w:t xml:space="preserve">, seven </w:t>
      </w:r>
      <w:r w:rsidRPr="00A96AC5">
        <w:rPr>
          <w:rFonts w:cs="Times New Roman"/>
        </w:rPr>
        <w:t>social</w:t>
      </w:r>
      <w:r w:rsidR="00013E7D" w:rsidRPr="00A96AC5">
        <w:rPr>
          <w:rFonts w:cs="Times New Roman"/>
        </w:rPr>
        <w:t>, and ten environment</w:t>
      </w:r>
      <w:r w:rsidRPr="00A96AC5">
        <w:rPr>
          <w:rFonts w:cs="Times New Roman"/>
        </w:rPr>
        <w:t>al</w:t>
      </w:r>
      <w:r w:rsidR="00013E7D" w:rsidRPr="00A96AC5">
        <w:rPr>
          <w:rFonts w:cs="Times New Roman"/>
        </w:rPr>
        <w:t>)</w:t>
      </w:r>
      <w:r w:rsidRPr="00A96AC5">
        <w:rPr>
          <w:rFonts w:cs="Times New Roman"/>
        </w:rPr>
        <w:t>.</w:t>
      </w:r>
      <w:r w:rsidR="00013E7D" w:rsidRPr="00A96AC5">
        <w:rPr>
          <w:rFonts w:cs="Times New Roman"/>
        </w:rPr>
        <w:t xml:space="preserve"> </w:t>
      </w:r>
      <w:r w:rsidRPr="00A96AC5">
        <w:rPr>
          <w:rFonts w:cs="Times New Roman"/>
        </w:rPr>
        <w:t xml:space="preserve">These </w:t>
      </w:r>
      <w:r w:rsidR="00013E7D" w:rsidRPr="00A96AC5">
        <w:rPr>
          <w:rFonts w:cs="Times New Roman"/>
        </w:rPr>
        <w:t xml:space="preserve">are closely linked to the three </w:t>
      </w:r>
      <w:r w:rsidRPr="00A96AC5">
        <w:rPr>
          <w:rFonts w:cs="Times New Roman"/>
        </w:rPr>
        <w:t>primary</w:t>
      </w:r>
      <w:r w:rsidR="00013E7D" w:rsidRPr="00A96AC5">
        <w:rPr>
          <w:rFonts w:cs="Times New Roman"/>
        </w:rPr>
        <w:t xml:space="preserve"> components of </w:t>
      </w:r>
      <w:r w:rsidRPr="00A96AC5">
        <w:rPr>
          <w:rFonts w:cs="Times New Roman"/>
        </w:rPr>
        <w:t>sustainable development</w:t>
      </w:r>
      <w:r w:rsidR="00013E7D" w:rsidRPr="00A96AC5">
        <w:rPr>
          <w:rFonts w:cs="Times New Roman"/>
        </w:rPr>
        <w:t>. </w:t>
      </w:r>
    </w:p>
    <w:tbl>
      <w:tblPr>
        <w:tblStyle w:val="TableGrid"/>
        <w:tblW w:w="5000" w:type="pct"/>
        <w:jc w:val="center"/>
        <w:tblLook w:val="04A0" w:firstRow="1" w:lastRow="0" w:firstColumn="1" w:lastColumn="0" w:noHBand="0" w:noVBand="1"/>
      </w:tblPr>
      <w:tblGrid>
        <w:gridCol w:w="1524"/>
        <w:gridCol w:w="436"/>
        <w:gridCol w:w="1536"/>
        <w:gridCol w:w="5520"/>
      </w:tblGrid>
      <w:tr w:rsidR="00013E7D" w:rsidRPr="008903D1" w14:paraId="47C75553" w14:textId="77777777" w:rsidTr="00D10D94">
        <w:trPr>
          <w:trHeight w:val="315"/>
          <w:jc w:val="center"/>
        </w:trPr>
        <w:tc>
          <w:tcPr>
            <w:tcW w:w="845" w:type="pct"/>
          </w:tcPr>
          <w:p w14:paraId="4B49CB0A" w14:textId="77777777" w:rsidR="00013E7D" w:rsidRPr="00A96AC5" w:rsidRDefault="00013E7D" w:rsidP="00F16CBF">
            <w:pPr>
              <w:spacing w:line="240" w:lineRule="auto"/>
              <w:jc w:val="center"/>
              <w:rPr>
                <w:rFonts w:cs="Times New Roman"/>
                <w:b/>
                <w:color w:val="000000"/>
                <w:sz w:val="22"/>
              </w:rPr>
            </w:pPr>
            <w:r w:rsidRPr="00A96AC5">
              <w:rPr>
                <w:rFonts w:cs="Times New Roman"/>
                <w:b/>
                <w:color w:val="000000"/>
                <w:sz w:val="22"/>
              </w:rPr>
              <w:t>Categories</w:t>
            </w:r>
          </w:p>
        </w:tc>
        <w:tc>
          <w:tcPr>
            <w:tcW w:w="1094" w:type="pct"/>
            <w:gridSpan w:val="2"/>
          </w:tcPr>
          <w:p w14:paraId="68FF2B5A" w14:textId="77777777" w:rsidR="00013E7D" w:rsidRPr="00A96AC5" w:rsidRDefault="00013E7D" w:rsidP="00F16CBF">
            <w:pPr>
              <w:spacing w:line="240" w:lineRule="auto"/>
              <w:jc w:val="center"/>
              <w:rPr>
                <w:rFonts w:cs="Times New Roman"/>
                <w:b/>
                <w:color w:val="000000"/>
                <w:sz w:val="22"/>
              </w:rPr>
            </w:pPr>
            <w:r w:rsidRPr="00A96AC5">
              <w:rPr>
                <w:rFonts w:cs="Times New Roman"/>
                <w:b/>
                <w:color w:val="000000"/>
                <w:sz w:val="22"/>
              </w:rPr>
              <w:t>Indicator</w:t>
            </w:r>
          </w:p>
        </w:tc>
        <w:tc>
          <w:tcPr>
            <w:tcW w:w="3061" w:type="pct"/>
          </w:tcPr>
          <w:p w14:paraId="202F0B0B" w14:textId="4AFA94B4" w:rsidR="00013E7D" w:rsidRPr="00A96AC5" w:rsidRDefault="00013E7D" w:rsidP="00F16CBF">
            <w:pPr>
              <w:spacing w:line="240" w:lineRule="auto"/>
              <w:jc w:val="center"/>
              <w:rPr>
                <w:rFonts w:cs="Times New Roman"/>
                <w:b/>
                <w:color w:val="000000"/>
                <w:sz w:val="22"/>
              </w:rPr>
            </w:pPr>
            <w:r w:rsidRPr="00A96AC5">
              <w:rPr>
                <w:rFonts w:cs="Times New Roman"/>
                <w:b/>
                <w:color w:val="000000"/>
                <w:sz w:val="22"/>
              </w:rPr>
              <w:t>Sub-</w:t>
            </w:r>
            <w:r w:rsidR="00247948" w:rsidRPr="00A96AC5">
              <w:rPr>
                <w:rFonts w:cs="Times New Roman"/>
                <w:b/>
                <w:color w:val="000000"/>
                <w:sz w:val="22"/>
              </w:rPr>
              <w:t>indicator</w:t>
            </w:r>
          </w:p>
        </w:tc>
      </w:tr>
      <w:tr w:rsidR="00013E7D" w:rsidRPr="008903D1" w14:paraId="3058BEF4" w14:textId="77777777" w:rsidTr="00D10D94">
        <w:trPr>
          <w:trHeight w:val="315"/>
          <w:jc w:val="center"/>
        </w:trPr>
        <w:tc>
          <w:tcPr>
            <w:tcW w:w="845" w:type="pct"/>
            <w:vMerge w:val="restart"/>
            <w:vAlign w:val="center"/>
          </w:tcPr>
          <w:p w14:paraId="45213110" w14:textId="77777777" w:rsidR="00013E7D" w:rsidRPr="00737239" w:rsidRDefault="00013E7D" w:rsidP="00F16CBF">
            <w:pPr>
              <w:spacing w:line="240" w:lineRule="auto"/>
              <w:jc w:val="center"/>
              <w:rPr>
                <w:rFonts w:cs="Times New Roman"/>
                <w:color w:val="000000"/>
                <w:sz w:val="22"/>
              </w:rPr>
            </w:pPr>
            <w:r w:rsidRPr="00737239">
              <w:rPr>
                <w:rFonts w:cs="Times New Roman"/>
                <w:color w:val="000000"/>
                <w:sz w:val="22"/>
              </w:rPr>
              <w:t>Economic</w:t>
            </w:r>
          </w:p>
        </w:tc>
        <w:tc>
          <w:tcPr>
            <w:tcW w:w="242" w:type="pct"/>
            <w:vMerge w:val="restart"/>
            <w:vAlign w:val="center"/>
          </w:tcPr>
          <w:p w14:paraId="2563F979" w14:textId="77777777" w:rsidR="00013E7D" w:rsidRPr="006C301D" w:rsidRDefault="00013E7D" w:rsidP="00F16CBF">
            <w:pPr>
              <w:spacing w:line="240" w:lineRule="auto"/>
              <w:jc w:val="center"/>
              <w:rPr>
                <w:rFonts w:cs="Times New Roman"/>
                <w:color w:val="000000"/>
                <w:sz w:val="22"/>
              </w:rPr>
            </w:pPr>
            <w:r w:rsidRPr="00802DC5">
              <w:rPr>
                <w:rFonts w:cs="Times New Roman"/>
                <w:color w:val="000000"/>
                <w:sz w:val="22"/>
              </w:rPr>
              <w:t>1</w:t>
            </w:r>
          </w:p>
        </w:tc>
        <w:tc>
          <w:tcPr>
            <w:tcW w:w="852" w:type="pct"/>
            <w:vMerge w:val="restart"/>
            <w:vAlign w:val="center"/>
          </w:tcPr>
          <w:p w14:paraId="07665573" w14:textId="77777777" w:rsidR="00013E7D" w:rsidRPr="00A96AC5" w:rsidRDefault="00013E7D" w:rsidP="00F16CBF">
            <w:pPr>
              <w:spacing w:line="240" w:lineRule="auto"/>
              <w:jc w:val="left"/>
              <w:rPr>
                <w:rFonts w:cs="Times New Roman"/>
                <w:color w:val="000000"/>
                <w:sz w:val="22"/>
              </w:rPr>
            </w:pPr>
            <w:r w:rsidRPr="00A96AC5">
              <w:rPr>
                <w:rFonts w:cs="Times New Roman"/>
                <w:color w:val="000000"/>
                <w:sz w:val="22"/>
              </w:rPr>
              <w:t>Economic prosperity</w:t>
            </w:r>
          </w:p>
        </w:tc>
        <w:tc>
          <w:tcPr>
            <w:tcW w:w="3061" w:type="pct"/>
            <w:vAlign w:val="center"/>
          </w:tcPr>
          <w:p w14:paraId="7BE8E2FB" w14:textId="77777777" w:rsidR="00013E7D" w:rsidRPr="00A96AC5" w:rsidRDefault="00013E7D" w:rsidP="00F16CBF">
            <w:pPr>
              <w:spacing w:line="240" w:lineRule="auto"/>
              <w:jc w:val="left"/>
              <w:rPr>
                <w:rFonts w:cs="Times New Roman"/>
                <w:color w:val="000000"/>
                <w:sz w:val="22"/>
              </w:rPr>
            </w:pPr>
            <w:r w:rsidRPr="00A96AC5">
              <w:rPr>
                <w:rFonts w:cs="Times New Roman"/>
                <w:color w:val="000000"/>
                <w:sz w:val="22"/>
              </w:rPr>
              <w:t>GDP (money)</w:t>
            </w:r>
          </w:p>
        </w:tc>
      </w:tr>
      <w:tr w:rsidR="00013E7D" w:rsidRPr="008903D1" w14:paraId="1ECCD536" w14:textId="77777777" w:rsidTr="00D10D94">
        <w:trPr>
          <w:trHeight w:val="315"/>
          <w:jc w:val="center"/>
        </w:trPr>
        <w:tc>
          <w:tcPr>
            <w:tcW w:w="845" w:type="pct"/>
            <w:vMerge/>
          </w:tcPr>
          <w:p w14:paraId="57A27593" w14:textId="77777777" w:rsidR="00013E7D" w:rsidRPr="00A96AC5" w:rsidRDefault="00013E7D" w:rsidP="00F16CBF">
            <w:pPr>
              <w:spacing w:line="240" w:lineRule="auto"/>
              <w:rPr>
                <w:rFonts w:cs="Times New Roman"/>
                <w:color w:val="000000"/>
                <w:sz w:val="22"/>
              </w:rPr>
            </w:pPr>
          </w:p>
        </w:tc>
        <w:tc>
          <w:tcPr>
            <w:tcW w:w="242" w:type="pct"/>
            <w:vMerge/>
            <w:vAlign w:val="center"/>
          </w:tcPr>
          <w:p w14:paraId="0E856791" w14:textId="77777777" w:rsidR="00013E7D" w:rsidRPr="00A96AC5" w:rsidRDefault="00013E7D" w:rsidP="00F16CBF">
            <w:pPr>
              <w:spacing w:line="240" w:lineRule="auto"/>
              <w:jc w:val="center"/>
              <w:rPr>
                <w:rFonts w:cs="Times New Roman"/>
                <w:color w:val="000000"/>
                <w:sz w:val="22"/>
              </w:rPr>
            </w:pPr>
          </w:p>
        </w:tc>
        <w:tc>
          <w:tcPr>
            <w:tcW w:w="852" w:type="pct"/>
            <w:vMerge/>
            <w:vAlign w:val="center"/>
          </w:tcPr>
          <w:p w14:paraId="2EE2CD04" w14:textId="77777777" w:rsidR="00013E7D" w:rsidRPr="00A96AC5" w:rsidRDefault="00013E7D" w:rsidP="00F16CBF">
            <w:pPr>
              <w:spacing w:line="240" w:lineRule="auto"/>
              <w:jc w:val="left"/>
              <w:rPr>
                <w:rFonts w:cs="Times New Roman"/>
                <w:color w:val="000000"/>
                <w:sz w:val="22"/>
              </w:rPr>
            </w:pPr>
          </w:p>
        </w:tc>
        <w:tc>
          <w:tcPr>
            <w:tcW w:w="3061" w:type="pct"/>
            <w:vAlign w:val="center"/>
          </w:tcPr>
          <w:p w14:paraId="4DDFD3CA" w14:textId="77777777" w:rsidR="00013E7D" w:rsidRPr="00A96AC5" w:rsidRDefault="00013E7D" w:rsidP="00F16CBF">
            <w:pPr>
              <w:spacing w:line="240" w:lineRule="auto"/>
              <w:jc w:val="left"/>
              <w:rPr>
                <w:rFonts w:cs="Times New Roman"/>
                <w:color w:val="000000"/>
                <w:sz w:val="22"/>
              </w:rPr>
            </w:pPr>
            <w:r w:rsidRPr="00A96AC5">
              <w:rPr>
                <w:rFonts w:cs="Times New Roman"/>
                <w:color w:val="000000"/>
                <w:sz w:val="22"/>
              </w:rPr>
              <w:t>GDP per head (money per person)</w:t>
            </w:r>
          </w:p>
        </w:tc>
      </w:tr>
      <w:tr w:rsidR="00013E7D" w:rsidRPr="008903D1" w14:paraId="06239911" w14:textId="77777777" w:rsidTr="00D10D94">
        <w:trPr>
          <w:trHeight w:val="315"/>
          <w:jc w:val="center"/>
        </w:trPr>
        <w:tc>
          <w:tcPr>
            <w:tcW w:w="845" w:type="pct"/>
            <w:vMerge/>
          </w:tcPr>
          <w:p w14:paraId="331C3084" w14:textId="77777777" w:rsidR="00013E7D" w:rsidRPr="00A96AC5" w:rsidRDefault="00013E7D" w:rsidP="00F16CBF">
            <w:pPr>
              <w:spacing w:line="240" w:lineRule="auto"/>
              <w:rPr>
                <w:rFonts w:cs="Times New Roman"/>
                <w:color w:val="000000"/>
                <w:sz w:val="22"/>
              </w:rPr>
            </w:pPr>
          </w:p>
        </w:tc>
        <w:tc>
          <w:tcPr>
            <w:tcW w:w="242" w:type="pct"/>
            <w:vMerge/>
            <w:vAlign w:val="center"/>
          </w:tcPr>
          <w:p w14:paraId="5B7DFEC2" w14:textId="77777777" w:rsidR="00013E7D" w:rsidRPr="00A96AC5" w:rsidRDefault="00013E7D" w:rsidP="00F16CBF">
            <w:pPr>
              <w:spacing w:line="240" w:lineRule="auto"/>
              <w:jc w:val="center"/>
              <w:rPr>
                <w:rFonts w:cs="Times New Roman"/>
                <w:color w:val="000000"/>
                <w:sz w:val="22"/>
              </w:rPr>
            </w:pPr>
          </w:p>
        </w:tc>
        <w:tc>
          <w:tcPr>
            <w:tcW w:w="852" w:type="pct"/>
            <w:vMerge/>
            <w:vAlign w:val="center"/>
          </w:tcPr>
          <w:p w14:paraId="0BA34B45" w14:textId="77777777" w:rsidR="00013E7D" w:rsidRPr="00A96AC5" w:rsidRDefault="00013E7D" w:rsidP="00F16CBF">
            <w:pPr>
              <w:spacing w:line="240" w:lineRule="auto"/>
              <w:jc w:val="left"/>
              <w:rPr>
                <w:rFonts w:cs="Times New Roman"/>
                <w:color w:val="000000"/>
                <w:sz w:val="22"/>
              </w:rPr>
            </w:pPr>
          </w:p>
        </w:tc>
        <w:tc>
          <w:tcPr>
            <w:tcW w:w="3061" w:type="pct"/>
            <w:vAlign w:val="center"/>
          </w:tcPr>
          <w:p w14:paraId="128B5409" w14:textId="51F35EB5" w:rsidR="00013E7D" w:rsidRPr="00A96AC5" w:rsidRDefault="00013E7D" w:rsidP="00F16CBF">
            <w:pPr>
              <w:spacing w:line="240" w:lineRule="auto"/>
              <w:jc w:val="left"/>
              <w:rPr>
                <w:rFonts w:cs="Times New Roman"/>
                <w:color w:val="000000"/>
                <w:sz w:val="22"/>
              </w:rPr>
            </w:pPr>
            <w:r w:rsidRPr="00A96AC5">
              <w:rPr>
                <w:rFonts w:cs="Times New Roman"/>
                <w:color w:val="000000"/>
                <w:sz w:val="22"/>
              </w:rPr>
              <w:t>Median income</w:t>
            </w:r>
            <w:r w:rsidR="00247948" w:rsidRPr="00A96AC5">
              <w:rPr>
                <w:rFonts w:cs="Times New Roman"/>
                <w:color w:val="000000"/>
                <w:sz w:val="22"/>
              </w:rPr>
              <w:t xml:space="preserve"> </w:t>
            </w:r>
            <w:r w:rsidRPr="00A96AC5">
              <w:rPr>
                <w:rFonts w:cs="Times New Roman"/>
                <w:color w:val="000000"/>
                <w:sz w:val="22"/>
              </w:rPr>
              <w:t>(money)</w:t>
            </w:r>
          </w:p>
        </w:tc>
      </w:tr>
      <w:tr w:rsidR="00013E7D" w:rsidRPr="008903D1" w14:paraId="6FC11C63" w14:textId="77777777" w:rsidTr="00D10D94">
        <w:trPr>
          <w:trHeight w:val="290"/>
          <w:jc w:val="center"/>
        </w:trPr>
        <w:tc>
          <w:tcPr>
            <w:tcW w:w="845" w:type="pct"/>
            <w:vMerge/>
          </w:tcPr>
          <w:p w14:paraId="1EB3D2B5" w14:textId="77777777" w:rsidR="00013E7D" w:rsidRPr="00A96AC5" w:rsidRDefault="00013E7D" w:rsidP="00F16CBF">
            <w:pPr>
              <w:spacing w:line="240" w:lineRule="auto"/>
              <w:jc w:val="center"/>
              <w:rPr>
                <w:rFonts w:cs="Times New Roman"/>
                <w:color w:val="000000"/>
                <w:sz w:val="22"/>
              </w:rPr>
            </w:pPr>
          </w:p>
        </w:tc>
        <w:tc>
          <w:tcPr>
            <w:tcW w:w="242" w:type="pct"/>
            <w:vAlign w:val="center"/>
          </w:tcPr>
          <w:p w14:paraId="73A71FB3" w14:textId="77777777" w:rsidR="00013E7D" w:rsidRPr="00A96AC5" w:rsidRDefault="00013E7D" w:rsidP="00F16CBF">
            <w:pPr>
              <w:spacing w:line="240" w:lineRule="auto"/>
              <w:jc w:val="center"/>
              <w:rPr>
                <w:rFonts w:cs="Times New Roman"/>
                <w:color w:val="000000"/>
                <w:sz w:val="22"/>
              </w:rPr>
            </w:pPr>
            <w:r w:rsidRPr="00A96AC5">
              <w:rPr>
                <w:rFonts w:cs="Times New Roman"/>
                <w:color w:val="000000"/>
                <w:sz w:val="22"/>
              </w:rPr>
              <w:t>2</w:t>
            </w:r>
          </w:p>
        </w:tc>
        <w:tc>
          <w:tcPr>
            <w:tcW w:w="852" w:type="pct"/>
            <w:vAlign w:val="center"/>
          </w:tcPr>
          <w:p w14:paraId="6D780DD6" w14:textId="0A279CEE" w:rsidR="00013E7D" w:rsidRPr="00A96AC5" w:rsidRDefault="00013E7D" w:rsidP="00F16CBF">
            <w:pPr>
              <w:spacing w:line="240" w:lineRule="auto"/>
              <w:jc w:val="left"/>
              <w:rPr>
                <w:rFonts w:cs="Times New Roman"/>
                <w:color w:val="000000"/>
                <w:sz w:val="22"/>
              </w:rPr>
            </w:pPr>
            <w:r w:rsidRPr="00A96AC5">
              <w:rPr>
                <w:rFonts w:cs="Times New Roman"/>
                <w:color w:val="000000"/>
                <w:sz w:val="22"/>
              </w:rPr>
              <w:t>Long</w:t>
            </w:r>
            <w:r w:rsidR="00247948" w:rsidRPr="00A96AC5">
              <w:rPr>
                <w:rFonts w:cs="Times New Roman"/>
                <w:color w:val="000000"/>
                <w:sz w:val="22"/>
              </w:rPr>
              <w:t>-</w:t>
            </w:r>
            <w:r w:rsidRPr="00A96AC5">
              <w:rPr>
                <w:rFonts w:cs="Times New Roman"/>
                <w:color w:val="000000"/>
                <w:sz w:val="22"/>
              </w:rPr>
              <w:t>term</w:t>
            </w:r>
            <w:r w:rsidRPr="00A96AC5">
              <w:rPr>
                <w:rFonts w:cs="Times New Roman"/>
                <w:color w:val="000000"/>
                <w:sz w:val="22"/>
              </w:rPr>
              <w:br/>
              <w:t>unemployment</w:t>
            </w:r>
          </w:p>
        </w:tc>
        <w:tc>
          <w:tcPr>
            <w:tcW w:w="3061" w:type="pct"/>
            <w:vAlign w:val="center"/>
          </w:tcPr>
          <w:p w14:paraId="31B7B5AB" w14:textId="77777777" w:rsidR="00013E7D" w:rsidRPr="00A96AC5" w:rsidRDefault="00013E7D" w:rsidP="00F16CBF">
            <w:pPr>
              <w:spacing w:line="240" w:lineRule="auto"/>
              <w:jc w:val="left"/>
              <w:rPr>
                <w:rFonts w:cs="Times New Roman"/>
                <w:color w:val="000000"/>
                <w:sz w:val="22"/>
              </w:rPr>
            </w:pPr>
            <w:r w:rsidRPr="00A96AC5">
              <w:rPr>
                <w:rFonts w:cs="Times New Roman"/>
                <w:color w:val="000000"/>
                <w:sz w:val="22"/>
              </w:rPr>
              <w:t>Proportion of adults unemployed over 12 months (percentage)</w:t>
            </w:r>
          </w:p>
        </w:tc>
      </w:tr>
      <w:tr w:rsidR="00013E7D" w:rsidRPr="008903D1" w14:paraId="675E3153" w14:textId="77777777" w:rsidTr="00D10D94">
        <w:trPr>
          <w:trHeight w:val="371"/>
          <w:jc w:val="center"/>
        </w:trPr>
        <w:tc>
          <w:tcPr>
            <w:tcW w:w="845" w:type="pct"/>
            <w:vMerge/>
          </w:tcPr>
          <w:p w14:paraId="5E6AF5CD" w14:textId="77777777" w:rsidR="00013E7D" w:rsidRPr="00A96AC5" w:rsidRDefault="00013E7D" w:rsidP="00F16CBF">
            <w:pPr>
              <w:spacing w:line="240" w:lineRule="auto"/>
              <w:jc w:val="center"/>
              <w:rPr>
                <w:rFonts w:cs="Times New Roman"/>
                <w:color w:val="000000"/>
                <w:sz w:val="22"/>
              </w:rPr>
            </w:pPr>
          </w:p>
        </w:tc>
        <w:tc>
          <w:tcPr>
            <w:tcW w:w="242" w:type="pct"/>
            <w:vMerge w:val="restart"/>
            <w:vAlign w:val="center"/>
          </w:tcPr>
          <w:p w14:paraId="4864B2C8" w14:textId="77777777" w:rsidR="00013E7D" w:rsidRPr="00A96AC5" w:rsidRDefault="00013E7D" w:rsidP="00F16CBF">
            <w:pPr>
              <w:spacing w:line="240" w:lineRule="auto"/>
              <w:jc w:val="center"/>
              <w:rPr>
                <w:rFonts w:cs="Times New Roman"/>
                <w:color w:val="000000"/>
                <w:sz w:val="22"/>
              </w:rPr>
            </w:pPr>
            <w:r w:rsidRPr="00A96AC5">
              <w:rPr>
                <w:rFonts w:cs="Times New Roman"/>
                <w:color w:val="000000"/>
                <w:sz w:val="22"/>
              </w:rPr>
              <w:t>3</w:t>
            </w:r>
          </w:p>
        </w:tc>
        <w:tc>
          <w:tcPr>
            <w:tcW w:w="852" w:type="pct"/>
            <w:vMerge w:val="restart"/>
            <w:vAlign w:val="center"/>
          </w:tcPr>
          <w:p w14:paraId="5A2B7F6B" w14:textId="77777777" w:rsidR="00013E7D" w:rsidRPr="00A96AC5" w:rsidRDefault="00013E7D" w:rsidP="00F16CBF">
            <w:pPr>
              <w:spacing w:line="240" w:lineRule="auto"/>
              <w:jc w:val="left"/>
              <w:rPr>
                <w:rFonts w:cs="Times New Roman"/>
                <w:color w:val="000000"/>
                <w:sz w:val="22"/>
              </w:rPr>
            </w:pPr>
            <w:r w:rsidRPr="00A96AC5">
              <w:rPr>
                <w:rFonts w:cs="Times New Roman"/>
                <w:color w:val="000000"/>
                <w:sz w:val="22"/>
              </w:rPr>
              <w:t>Poverty</w:t>
            </w:r>
          </w:p>
        </w:tc>
        <w:tc>
          <w:tcPr>
            <w:tcW w:w="3061" w:type="pct"/>
            <w:vAlign w:val="center"/>
          </w:tcPr>
          <w:p w14:paraId="51C400C4" w14:textId="427D48E3" w:rsidR="00013E7D" w:rsidRPr="00A96AC5" w:rsidRDefault="00013E7D" w:rsidP="00F16CBF">
            <w:pPr>
              <w:spacing w:line="240" w:lineRule="auto"/>
              <w:jc w:val="left"/>
              <w:rPr>
                <w:rFonts w:cs="Times New Roman"/>
                <w:color w:val="000000"/>
                <w:sz w:val="22"/>
              </w:rPr>
            </w:pPr>
            <w:r w:rsidRPr="00A96AC5">
              <w:rPr>
                <w:rFonts w:cs="Times New Roman"/>
                <w:color w:val="000000"/>
                <w:sz w:val="22"/>
              </w:rPr>
              <w:t>Proportion of children in relative low-income</w:t>
            </w:r>
            <w:r w:rsidRPr="00A96AC5">
              <w:rPr>
                <w:rFonts w:cs="Times New Roman"/>
                <w:color w:val="000000"/>
                <w:sz w:val="22"/>
              </w:rPr>
              <w:br/>
              <w:t>households</w:t>
            </w:r>
            <w:r w:rsidR="00247948" w:rsidRPr="00A96AC5">
              <w:rPr>
                <w:rFonts w:cs="Times New Roman"/>
                <w:color w:val="000000"/>
                <w:sz w:val="22"/>
              </w:rPr>
              <w:t xml:space="preserve">, </w:t>
            </w:r>
            <w:r w:rsidRPr="00A96AC5">
              <w:rPr>
                <w:rFonts w:cs="Times New Roman"/>
                <w:color w:val="000000"/>
                <w:sz w:val="22"/>
              </w:rPr>
              <w:t>before housing costs (percentage)</w:t>
            </w:r>
          </w:p>
        </w:tc>
      </w:tr>
      <w:tr w:rsidR="00013E7D" w:rsidRPr="008903D1" w14:paraId="30D2CCB2" w14:textId="77777777" w:rsidTr="00D10D94">
        <w:trPr>
          <w:trHeight w:val="323"/>
          <w:jc w:val="center"/>
        </w:trPr>
        <w:tc>
          <w:tcPr>
            <w:tcW w:w="845" w:type="pct"/>
            <w:vMerge/>
          </w:tcPr>
          <w:p w14:paraId="239719FE" w14:textId="77777777" w:rsidR="00013E7D" w:rsidRPr="00A96AC5" w:rsidRDefault="00013E7D" w:rsidP="00F16CBF">
            <w:pPr>
              <w:spacing w:line="240" w:lineRule="auto"/>
              <w:rPr>
                <w:rFonts w:cs="Times New Roman"/>
                <w:color w:val="000000"/>
                <w:sz w:val="22"/>
              </w:rPr>
            </w:pPr>
          </w:p>
        </w:tc>
        <w:tc>
          <w:tcPr>
            <w:tcW w:w="242" w:type="pct"/>
            <w:vMerge/>
            <w:vAlign w:val="center"/>
          </w:tcPr>
          <w:p w14:paraId="76CCDAC5" w14:textId="77777777" w:rsidR="00013E7D" w:rsidRPr="00A96AC5" w:rsidRDefault="00013E7D" w:rsidP="00F16CBF">
            <w:pPr>
              <w:spacing w:line="240" w:lineRule="auto"/>
              <w:jc w:val="center"/>
              <w:rPr>
                <w:rFonts w:cs="Times New Roman"/>
                <w:color w:val="000000"/>
                <w:sz w:val="22"/>
              </w:rPr>
            </w:pPr>
          </w:p>
        </w:tc>
        <w:tc>
          <w:tcPr>
            <w:tcW w:w="852" w:type="pct"/>
            <w:vMerge/>
            <w:vAlign w:val="center"/>
          </w:tcPr>
          <w:p w14:paraId="2BF1ABEE" w14:textId="77777777" w:rsidR="00013E7D" w:rsidRPr="00A96AC5" w:rsidRDefault="00013E7D" w:rsidP="00F16CBF">
            <w:pPr>
              <w:spacing w:line="240" w:lineRule="auto"/>
              <w:jc w:val="left"/>
              <w:rPr>
                <w:rFonts w:cs="Times New Roman"/>
                <w:color w:val="000000"/>
                <w:sz w:val="22"/>
              </w:rPr>
            </w:pPr>
          </w:p>
        </w:tc>
        <w:tc>
          <w:tcPr>
            <w:tcW w:w="3061" w:type="pct"/>
            <w:vAlign w:val="center"/>
          </w:tcPr>
          <w:p w14:paraId="715DA6BE" w14:textId="1A882785" w:rsidR="00013E7D" w:rsidRPr="00A96AC5" w:rsidRDefault="00013E7D" w:rsidP="00F16CBF">
            <w:pPr>
              <w:spacing w:line="240" w:lineRule="auto"/>
              <w:jc w:val="left"/>
              <w:rPr>
                <w:rFonts w:cs="Times New Roman"/>
                <w:color w:val="000000"/>
                <w:sz w:val="22"/>
              </w:rPr>
            </w:pPr>
            <w:r w:rsidRPr="00A96AC5">
              <w:rPr>
                <w:rFonts w:cs="Times New Roman"/>
                <w:color w:val="000000"/>
                <w:sz w:val="22"/>
              </w:rPr>
              <w:t>Proportion of children in absolute low</w:t>
            </w:r>
            <w:r w:rsidR="00247948" w:rsidRPr="00A96AC5">
              <w:rPr>
                <w:rFonts w:cs="Times New Roman"/>
                <w:color w:val="000000"/>
                <w:sz w:val="22"/>
              </w:rPr>
              <w:t>-</w:t>
            </w:r>
            <w:r w:rsidRPr="00A96AC5">
              <w:rPr>
                <w:rFonts w:cs="Times New Roman"/>
                <w:color w:val="000000"/>
                <w:sz w:val="22"/>
              </w:rPr>
              <w:t>income</w:t>
            </w:r>
            <w:r w:rsidRPr="00A96AC5">
              <w:rPr>
                <w:rFonts w:cs="Times New Roman"/>
                <w:color w:val="000000"/>
                <w:sz w:val="22"/>
              </w:rPr>
              <w:br/>
              <w:t>households</w:t>
            </w:r>
            <w:r w:rsidR="00247948" w:rsidRPr="00A96AC5">
              <w:rPr>
                <w:rFonts w:cs="Times New Roman"/>
                <w:color w:val="000000"/>
                <w:sz w:val="22"/>
              </w:rPr>
              <w:t xml:space="preserve">, </w:t>
            </w:r>
            <w:r w:rsidRPr="00A96AC5">
              <w:rPr>
                <w:rFonts w:cs="Times New Roman"/>
                <w:color w:val="000000"/>
                <w:sz w:val="22"/>
              </w:rPr>
              <w:t>before housing costs (percentage)</w:t>
            </w:r>
          </w:p>
        </w:tc>
      </w:tr>
      <w:tr w:rsidR="00013E7D" w:rsidRPr="008903D1" w14:paraId="23621D56" w14:textId="77777777" w:rsidTr="00D10D94">
        <w:trPr>
          <w:trHeight w:val="315"/>
          <w:jc w:val="center"/>
        </w:trPr>
        <w:tc>
          <w:tcPr>
            <w:tcW w:w="845" w:type="pct"/>
            <w:vMerge/>
          </w:tcPr>
          <w:p w14:paraId="2203A44E" w14:textId="77777777" w:rsidR="00013E7D" w:rsidRPr="00A96AC5" w:rsidRDefault="00013E7D" w:rsidP="00F16CBF">
            <w:pPr>
              <w:spacing w:line="240" w:lineRule="auto"/>
              <w:jc w:val="center"/>
              <w:rPr>
                <w:rFonts w:cs="Times New Roman"/>
                <w:color w:val="000000"/>
                <w:sz w:val="22"/>
              </w:rPr>
            </w:pPr>
          </w:p>
        </w:tc>
        <w:tc>
          <w:tcPr>
            <w:tcW w:w="242" w:type="pct"/>
            <w:vMerge w:val="restart"/>
            <w:vAlign w:val="center"/>
          </w:tcPr>
          <w:p w14:paraId="00C2FD6F" w14:textId="77777777" w:rsidR="00013E7D" w:rsidRPr="00A96AC5" w:rsidRDefault="00013E7D" w:rsidP="00F16CBF">
            <w:pPr>
              <w:spacing w:line="240" w:lineRule="auto"/>
              <w:jc w:val="center"/>
              <w:rPr>
                <w:rFonts w:cs="Times New Roman"/>
                <w:color w:val="000000"/>
                <w:sz w:val="22"/>
              </w:rPr>
            </w:pPr>
            <w:r w:rsidRPr="00A96AC5">
              <w:rPr>
                <w:rFonts w:cs="Times New Roman"/>
                <w:color w:val="000000"/>
                <w:sz w:val="22"/>
              </w:rPr>
              <w:t>4</w:t>
            </w:r>
          </w:p>
        </w:tc>
        <w:tc>
          <w:tcPr>
            <w:tcW w:w="852" w:type="pct"/>
            <w:vMerge w:val="restart"/>
            <w:vAlign w:val="center"/>
          </w:tcPr>
          <w:p w14:paraId="53814E89" w14:textId="77777777" w:rsidR="00013E7D" w:rsidRPr="00A96AC5" w:rsidRDefault="00013E7D" w:rsidP="00F16CBF">
            <w:pPr>
              <w:spacing w:line="240" w:lineRule="auto"/>
              <w:jc w:val="left"/>
              <w:rPr>
                <w:rFonts w:cs="Times New Roman"/>
                <w:color w:val="000000"/>
                <w:sz w:val="22"/>
              </w:rPr>
            </w:pPr>
            <w:r w:rsidRPr="00A96AC5">
              <w:rPr>
                <w:rFonts w:cs="Times New Roman"/>
                <w:color w:val="000000"/>
                <w:sz w:val="22"/>
              </w:rPr>
              <w:t>Knowledge and</w:t>
            </w:r>
            <w:r w:rsidRPr="00A96AC5">
              <w:rPr>
                <w:rFonts w:cs="Times New Roman"/>
                <w:color w:val="000000"/>
                <w:sz w:val="22"/>
              </w:rPr>
              <w:br/>
              <w:t>skills</w:t>
            </w:r>
          </w:p>
        </w:tc>
        <w:tc>
          <w:tcPr>
            <w:tcW w:w="3061" w:type="pct"/>
            <w:vAlign w:val="center"/>
          </w:tcPr>
          <w:p w14:paraId="22AEB4FD" w14:textId="7460C8BE" w:rsidR="00013E7D" w:rsidRPr="00A96AC5" w:rsidRDefault="00013E7D" w:rsidP="00F16CBF">
            <w:pPr>
              <w:spacing w:line="240" w:lineRule="auto"/>
              <w:jc w:val="left"/>
              <w:rPr>
                <w:rFonts w:cs="Times New Roman"/>
                <w:color w:val="000000"/>
                <w:sz w:val="22"/>
              </w:rPr>
            </w:pPr>
            <w:r w:rsidRPr="00A96AC5">
              <w:rPr>
                <w:rFonts w:cs="Times New Roman"/>
                <w:color w:val="000000"/>
                <w:sz w:val="22"/>
              </w:rPr>
              <w:t xml:space="preserve">Human </w:t>
            </w:r>
            <w:r w:rsidR="00247948" w:rsidRPr="00A96AC5">
              <w:rPr>
                <w:rFonts w:cs="Times New Roman"/>
                <w:color w:val="000000"/>
                <w:sz w:val="22"/>
              </w:rPr>
              <w:t xml:space="preserve">capital </w:t>
            </w:r>
            <w:r w:rsidRPr="00A96AC5">
              <w:rPr>
                <w:rFonts w:cs="Times New Roman"/>
                <w:color w:val="000000"/>
                <w:sz w:val="22"/>
              </w:rPr>
              <w:t>(£) stock (money)</w:t>
            </w:r>
          </w:p>
        </w:tc>
      </w:tr>
      <w:tr w:rsidR="00013E7D" w:rsidRPr="008903D1" w14:paraId="29656DC3" w14:textId="77777777" w:rsidTr="00D10D94">
        <w:trPr>
          <w:trHeight w:val="223"/>
          <w:jc w:val="center"/>
        </w:trPr>
        <w:tc>
          <w:tcPr>
            <w:tcW w:w="845" w:type="pct"/>
            <w:vMerge/>
          </w:tcPr>
          <w:p w14:paraId="060C3467" w14:textId="77777777" w:rsidR="00013E7D" w:rsidRPr="00A96AC5" w:rsidRDefault="00013E7D" w:rsidP="00F16CBF">
            <w:pPr>
              <w:spacing w:line="240" w:lineRule="auto"/>
              <w:rPr>
                <w:rFonts w:cs="Times New Roman"/>
                <w:color w:val="000000"/>
                <w:sz w:val="22"/>
              </w:rPr>
            </w:pPr>
          </w:p>
        </w:tc>
        <w:tc>
          <w:tcPr>
            <w:tcW w:w="242" w:type="pct"/>
            <w:vMerge/>
            <w:vAlign w:val="center"/>
          </w:tcPr>
          <w:p w14:paraId="1D4303D3" w14:textId="77777777" w:rsidR="00013E7D" w:rsidRPr="00A96AC5" w:rsidRDefault="00013E7D" w:rsidP="00F16CBF">
            <w:pPr>
              <w:spacing w:line="240" w:lineRule="auto"/>
              <w:jc w:val="center"/>
              <w:rPr>
                <w:rFonts w:cs="Times New Roman"/>
                <w:color w:val="000000"/>
                <w:sz w:val="22"/>
              </w:rPr>
            </w:pPr>
          </w:p>
        </w:tc>
        <w:tc>
          <w:tcPr>
            <w:tcW w:w="852" w:type="pct"/>
            <w:vMerge/>
            <w:vAlign w:val="center"/>
          </w:tcPr>
          <w:p w14:paraId="2EF6762B" w14:textId="77777777" w:rsidR="00013E7D" w:rsidRPr="00A96AC5" w:rsidRDefault="00013E7D" w:rsidP="00F16CBF">
            <w:pPr>
              <w:spacing w:line="240" w:lineRule="auto"/>
              <w:jc w:val="left"/>
              <w:rPr>
                <w:rFonts w:cs="Times New Roman"/>
                <w:color w:val="000000"/>
                <w:sz w:val="22"/>
              </w:rPr>
            </w:pPr>
          </w:p>
        </w:tc>
        <w:tc>
          <w:tcPr>
            <w:tcW w:w="3061" w:type="pct"/>
            <w:vAlign w:val="center"/>
          </w:tcPr>
          <w:p w14:paraId="40201228" w14:textId="77777777" w:rsidR="00013E7D" w:rsidRPr="00A96AC5" w:rsidRDefault="00013E7D" w:rsidP="00F16CBF">
            <w:pPr>
              <w:spacing w:line="240" w:lineRule="auto"/>
              <w:jc w:val="left"/>
              <w:rPr>
                <w:rFonts w:cs="Times New Roman"/>
                <w:color w:val="000000"/>
                <w:sz w:val="22"/>
              </w:rPr>
            </w:pPr>
            <w:r w:rsidRPr="00A96AC5">
              <w:rPr>
                <w:rFonts w:cs="Times New Roman"/>
                <w:color w:val="000000"/>
                <w:sz w:val="22"/>
              </w:rPr>
              <w:t>Human capital per head (money)</w:t>
            </w:r>
          </w:p>
        </w:tc>
      </w:tr>
      <w:tr w:rsidR="00013E7D" w:rsidRPr="008903D1" w14:paraId="1CBF84BC" w14:textId="77777777" w:rsidTr="00D10D94">
        <w:trPr>
          <w:trHeight w:val="315"/>
          <w:jc w:val="center"/>
        </w:trPr>
        <w:tc>
          <w:tcPr>
            <w:tcW w:w="845" w:type="pct"/>
            <w:vMerge w:val="restart"/>
            <w:vAlign w:val="center"/>
          </w:tcPr>
          <w:p w14:paraId="33309487" w14:textId="77777777" w:rsidR="00013E7D" w:rsidRPr="00737239" w:rsidRDefault="00013E7D" w:rsidP="00F16CBF">
            <w:pPr>
              <w:spacing w:line="240" w:lineRule="auto"/>
              <w:jc w:val="center"/>
              <w:rPr>
                <w:rFonts w:cs="Times New Roman"/>
                <w:color w:val="000000"/>
                <w:sz w:val="22"/>
              </w:rPr>
            </w:pPr>
            <w:r w:rsidRPr="00737239">
              <w:rPr>
                <w:rFonts w:cs="Times New Roman"/>
                <w:color w:val="000000"/>
                <w:sz w:val="22"/>
              </w:rPr>
              <w:t>Society</w:t>
            </w:r>
          </w:p>
        </w:tc>
        <w:tc>
          <w:tcPr>
            <w:tcW w:w="242" w:type="pct"/>
            <w:vMerge w:val="restart"/>
            <w:vAlign w:val="center"/>
          </w:tcPr>
          <w:p w14:paraId="69BECBD8" w14:textId="77777777" w:rsidR="00013E7D" w:rsidRPr="006C301D" w:rsidRDefault="00013E7D" w:rsidP="00F16CBF">
            <w:pPr>
              <w:spacing w:line="240" w:lineRule="auto"/>
              <w:jc w:val="center"/>
              <w:rPr>
                <w:rFonts w:cs="Times New Roman"/>
                <w:color w:val="000000"/>
                <w:sz w:val="22"/>
              </w:rPr>
            </w:pPr>
            <w:r w:rsidRPr="00802DC5">
              <w:rPr>
                <w:rFonts w:cs="Times New Roman"/>
                <w:color w:val="000000"/>
                <w:sz w:val="22"/>
              </w:rPr>
              <w:t>5</w:t>
            </w:r>
          </w:p>
        </w:tc>
        <w:tc>
          <w:tcPr>
            <w:tcW w:w="852" w:type="pct"/>
            <w:vMerge w:val="restart"/>
            <w:vAlign w:val="center"/>
          </w:tcPr>
          <w:p w14:paraId="579EFE46" w14:textId="77777777" w:rsidR="00013E7D" w:rsidRPr="00A96AC5" w:rsidRDefault="00013E7D" w:rsidP="00F16CBF">
            <w:pPr>
              <w:spacing w:line="240" w:lineRule="auto"/>
              <w:jc w:val="left"/>
              <w:rPr>
                <w:rFonts w:cs="Times New Roman"/>
                <w:color w:val="000000"/>
                <w:sz w:val="22"/>
              </w:rPr>
            </w:pPr>
            <w:r w:rsidRPr="00A96AC5">
              <w:rPr>
                <w:rFonts w:cs="Times New Roman"/>
                <w:color w:val="000000"/>
                <w:sz w:val="22"/>
              </w:rPr>
              <w:t>Healthy life</w:t>
            </w:r>
            <w:r w:rsidRPr="00A96AC5">
              <w:rPr>
                <w:rFonts w:cs="Times New Roman"/>
                <w:color w:val="000000"/>
                <w:sz w:val="22"/>
              </w:rPr>
              <w:br/>
              <w:t>expectancy</w:t>
            </w:r>
          </w:p>
        </w:tc>
        <w:tc>
          <w:tcPr>
            <w:tcW w:w="3061" w:type="pct"/>
            <w:vAlign w:val="center"/>
          </w:tcPr>
          <w:p w14:paraId="098DB759" w14:textId="77777777" w:rsidR="00013E7D" w:rsidRPr="00A96AC5" w:rsidRDefault="00013E7D" w:rsidP="00F16CBF">
            <w:pPr>
              <w:spacing w:line="240" w:lineRule="auto"/>
              <w:jc w:val="left"/>
              <w:rPr>
                <w:rFonts w:cs="Times New Roman"/>
                <w:color w:val="000000"/>
                <w:sz w:val="22"/>
              </w:rPr>
            </w:pPr>
            <w:r w:rsidRPr="00A96AC5">
              <w:rPr>
                <w:rFonts w:cs="Times New Roman"/>
                <w:color w:val="000000"/>
                <w:sz w:val="22"/>
              </w:rPr>
              <w:t>Healthy life expectancy at birth: males (age)</w:t>
            </w:r>
          </w:p>
        </w:tc>
      </w:tr>
      <w:tr w:rsidR="00013E7D" w:rsidRPr="008903D1" w14:paraId="2B7DB53D" w14:textId="77777777" w:rsidTr="00D10D94">
        <w:trPr>
          <w:trHeight w:val="315"/>
          <w:jc w:val="center"/>
        </w:trPr>
        <w:tc>
          <w:tcPr>
            <w:tcW w:w="845" w:type="pct"/>
            <w:vMerge/>
          </w:tcPr>
          <w:p w14:paraId="7A53EAFF" w14:textId="77777777" w:rsidR="00013E7D" w:rsidRPr="00A96AC5" w:rsidRDefault="00013E7D" w:rsidP="00F16CBF">
            <w:pPr>
              <w:spacing w:line="240" w:lineRule="auto"/>
              <w:rPr>
                <w:rFonts w:cs="Times New Roman"/>
                <w:color w:val="000000"/>
                <w:sz w:val="22"/>
              </w:rPr>
            </w:pPr>
          </w:p>
        </w:tc>
        <w:tc>
          <w:tcPr>
            <w:tcW w:w="242" w:type="pct"/>
            <w:vMerge/>
            <w:vAlign w:val="center"/>
          </w:tcPr>
          <w:p w14:paraId="006B3C84" w14:textId="77777777" w:rsidR="00013E7D" w:rsidRPr="00A96AC5" w:rsidRDefault="00013E7D" w:rsidP="00F16CBF">
            <w:pPr>
              <w:spacing w:line="240" w:lineRule="auto"/>
              <w:jc w:val="center"/>
              <w:rPr>
                <w:rFonts w:cs="Times New Roman"/>
                <w:color w:val="000000"/>
                <w:sz w:val="22"/>
              </w:rPr>
            </w:pPr>
          </w:p>
        </w:tc>
        <w:tc>
          <w:tcPr>
            <w:tcW w:w="852" w:type="pct"/>
            <w:vMerge/>
            <w:vAlign w:val="center"/>
          </w:tcPr>
          <w:p w14:paraId="2CFD3B71" w14:textId="77777777" w:rsidR="00013E7D" w:rsidRPr="00A96AC5" w:rsidRDefault="00013E7D" w:rsidP="00F16CBF">
            <w:pPr>
              <w:spacing w:line="240" w:lineRule="auto"/>
              <w:jc w:val="left"/>
              <w:rPr>
                <w:rFonts w:cs="Times New Roman"/>
                <w:color w:val="000000"/>
                <w:sz w:val="22"/>
              </w:rPr>
            </w:pPr>
          </w:p>
        </w:tc>
        <w:tc>
          <w:tcPr>
            <w:tcW w:w="3061" w:type="pct"/>
            <w:vAlign w:val="center"/>
          </w:tcPr>
          <w:p w14:paraId="09DE2D54" w14:textId="77777777" w:rsidR="00013E7D" w:rsidRPr="00A96AC5" w:rsidRDefault="00013E7D" w:rsidP="00F16CBF">
            <w:pPr>
              <w:spacing w:line="240" w:lineRule="auto"/>
              <w:jc w:val="left"/>
              <w:rPr>
                <w:rFonts w:cs="Times New Roman"/>
                <w:color w:val="000000"/>
                <w:sz w:val="22"/>
              </w:rPr>
            </w:pPr>
            <w:r w:rsidRPr="00A96AC5">
              <w:rPr>
                <w:rFonts w:cs="Times New Roman"/>
                <w:color w:val="000000"/>
                <w:sz w:val="22"/>
              </w:rPr>
              <w:t>Healthy life expectancy at birth: females (age)</w:t>
            </w:r>
          </w:p>
        </w:tc>
      </w:tr>
      <w:tr w:rsidR="00013E7D" w:rsidRPr="008903D1" w14:paraId="084705FD" w14:textId="77777777" w:rsidTr="00D10D94">
        <w:trPr>
          <w:trHeight w:val="615"/>
          <w:jc w:val="center"/>
        </w:trPr>
        <w:tc>
          <w:tcPr>
            <w:tcW w:w="845" w:type="pct"/>
            <w:vMerge/>
          </w:tcPr>
          <w:p w14:paraId="109EAC75" w14:textId="77777777" w:rsidR="00013E7D" w:rsidRPr="00A96AC5" w:rsidRDefault="00013E7D" w:rsidP="00F16CBF">
            <w:pPr>
              <w:spacing w:line="240" w:lineRule="auto"/>
              <w:jc w:val="center"/>
              <w:rPr>
                <w:rFonts w:cs="Times New Roman"/>
                <w:color w:val="000000"/>
                <w:sz w:val="22"/>
              </w:rPr>
            </w:pPr>
          </w:p>
        </w:tc>
        <w:tc>
          <w:tcPr>
            <w:tcW w:w="242" w:type="pct"/>
            <w:vMerge w:val="restart"/>
            <w:vAlign w:val="center"/>
          </w:tcPr>
          <w:p w14:paraId="324AC4AE" w14:textId="77777777" w:rsidR="00013E7D" w:rsidRPr="00A96AC5" w:rsidRDefault="00013E7D" w:rsidP="00F16CBF">
            <w:pPr>
              <w:spacing w:line="240" w:lineRule="auto"/>
              <w:jc w:val="center"/>
              <w:rPr>
                <w:rFonts w:cs="Times New Roman"/>
                <w:color w:val="000000"/>
                <w:sz w:val="22"/>
              </w:rPr>
            </w:pPr>
            <w:r w:rsidRPr="00A96AC5">
              <w:rPr>
                <w:rFonts w:cs="Times New Roman"/>
                <w:color w:val="000000"/>
                <w:sz w:val="22"/>
              </w:rPr>
              <w:t>6</w:t>
            </w:r>
          </w:p>
        </w:tc>
        <w:tc>
          <w:tcPr>
            <w:tcW w:w="852" w:type="pct"/>
            <w:vMerge w:val="restart"/>
            <w:vAlign w:val="center"/>
          </w:tcPr>
          <w:p w14:paraId="796823EE" w14:textId="77777777" w:rsidR="00013E7D" w:rsidRPr="00A96AC5" w:rsidRDefault="00013E7D" w:rsidP="00F16CBF">
            <w:pPr>
              <w:spacing w:line="240" w:lineRule="auto"/>
              <w:jc w:val="left"/>
              <w:rPr>
                <w:rFonts w:cs="Times New Roman"/>
                <w:color w:val="000000"/>
                <w:sz w:val="22"/>
              </w:rPr>
            </w:pPr>
            <w:r w:rsidRPr="00A96AC5">
              <w:rPr>
                <w:rFonts w:cs="Times New Roman"/>
                <w:color w:val="000000"/>
                <w:sz w:val="22"/>
              </w:rPr>
              <w:t>Social capital</w:t>
            </w:r>
          </w:p>
        </w:tc>
        <w:tc>
          <w:tcPr>
            <w:tcW w:w="3061" w:type="pct"/>
            <w:vAlign w:val="center"/>
          </w:tcPr>
          <w:p w14:paraId="2B376C6B" w14:textId="77777777" w:rsidR="00013E7D" w:rsidRPr="00A96AC5" w:rsidRDefault="00013E7D" w:rsidP="00F16CBF">
            <w:pPr>
              <w:spacing w:line="240" w:lineRule="auto"/>
              <w:jc w:val="left"/>
              <w:rPr>
                <w:rFonts w:cs="Times New Roman"/>
                <w:color w:val="000000"/>
                <w:sz w:val="22"/>
              </w:rPr>
            </w:pPr>
            <w:r w:rsidRPr="00A96AC5">
              <w:rPr>
                <w:rFonts w:cs="Times New Roman"/>
                <w:color w:val="000000"/>
                <w:sz w:val="22"/>
              </w:rPr>
              <w:t>Proportion of people engaging in actions</w:t>
            </w:r>
            <w:r w:rsidRPr="00A96AC5">
              <w:rPr>
                <w:rFonts w:cs="Times New Roman"/>
                <w:color w:val="000000"/>
                <w:sz w:val="22"/>
              </w:rPr>
              <w:br/>
              <w:t>addressing issues of public concern (percentage)</w:t>
            </w:r>
          </w:p>
        </w:tc>
      </w:tr>
      <w:tr w:rsidR="00013E7D" w:rsidRPr="008903D1" w14:paraId="03A2CC60" w14:textId="77777777" w:rsidTr="00D10D94">
        <w:trPr>
          <w:trHeight w:val="915"/>
          <w:jc w:val="center"/>
        </w:trPr>
        <w:tc>
          <w:tcPr>
            <w:tcW w:w="845" w:type="pct"/>
            <w:vMerge/>
          </w:tcPr>
          <w:p w14:paraId="27BD6878" w14:textId="77777777" w:rsidR="00013E7D" w:rsidRPr="00A96AC5" w:rsidRDefault="00013E7D" w:rsidP="00F16CBF">
            <w:pPr>
              <w:spacing w:line="240" w:lineRule="auto"/>
              <w:rPr>
                <w:rFonts w:cs="Times New Roman"/>
                <w:color w:val="000000"/>
                <w:sz w:val="22"/>
              </w:rPr>
            </w:pPr>
          </w:p>
        </w:tc>
        <w:tc>
          <w:tcPr>
            <w:tcW w:w="242" w:type="pct"/>
            <w:vMerge/>
            <w:vAlign w:val="center"/>
          </w:tcPr>
          <w:p w14:paraId="285D87DB" w14:textId="77777777" w:rsidR="00013E7D" w:rsidRPr="00A96AC5" w:rsidRDefault="00013E7D" w:rsidP="00F16CBF">
            <w:pPr>
              <w:spacing w:line="240" w:lineRule="auto"/>
              <w:jc w:val="center"/>
              <w:rPr>
                <w:rFonts w:cs="Times New Roman"/>
                <w:color w:val="000000"/>
                <w:sz w:val="22"/>
              </w:rPr>
            </w:pPr>
          </w:p>
        </w:tc>
        <w:tc>
          <w:tcPr>
            <w:tcW w:w="852" w:type="pct"/>
            <w:vMerge/>
            <w:vAlign w:val="center"/>
          </w:tcPr>
          <w:p w14:paraId="2731A23E" w14:textId="77777777" w:rsidR="00013E7D" w:rsidRPr="00A96AC5" w:rsidRDefault="00013E7D" w:rsidP="00F16CBF">
            <w:pPr>
              <w:spacing w:line="240" w:lineRule="auto"/>
              <w:jc w:val="left"/>
              <w:rPr>
                <w:rFonts w:cs="Times New Roman"/>
                <w:color w:val="000000"/>
                <w:sz w:val="22"/>
              </w:rPr>
            </w:pPr>
          </w:p>
        </w:tc>
        <w:tc>
          <w:tcPr>
            <w:tcW w:w="3061" w:type="pct"/>
            <w:vAlign w:val="center"/>
          </w:tcPr>
          <w:p w14:paraId="3629FB84" w14:textId="6B64FB44" w:rsidR="00013E7D" w:rsidRPr="00A96AC5" w:rsidRDefault="00013E7D" w:rsidP="00F16CBF">
            <w:pPr>
              <w:spacing w:line="240" w:lineRule="auto"/>
              <w:jc w:val="left"/>
              <w:rPr>
                <w:rFonts w:cs="Times New Roman"/>
                <w:color w:val="000000"/>
                <w:sz w:val="22"/>
              </w:rPr>
            </w:pPr>
            <w:r w:rsidRPr="00A96AC5">
              <w:rPr>
                <w:rFonts w:cs="Times New Roman"/>
                <w:color w:val="000000"/>
                <w:sz w:val="22"/>
              </w:rPr>
              <w:t>Proportion of people who have a spouse, family member</w:t>
            </w:r>
            <w:r w:rsidR="00247948" w:rsidRPr="00A96AC5">
              <w:rPr>
                <w:rFonts w:cs="Times New Roman"/>
                <w:color w:val="000000"/>
                <w:sz w:val="22"/>
              </w:rPr>
              <w:t>,</w:t>
            </w:r>
            <w:r w:rsidRPr="00A96AC5">
              <w:rPr>
                <w:rFonts w:cs="Times New Roman"/>
                <w:color w:val="000000"/>
                <w:sz w:val="22"/>
              </w:rPr>
              <w:t xml:space="preserve"> or friend to rely on if they have a serious problem (percentage)</w:t>
            </w:r>
          </w:p>
        </w:tc>
      </w:tr>
      <w:tr w:rsidR="00013E7D" w:rsidRPr="008903D1" w14:paraId="11D4E976" w14:textId="77777777" w:rsidTr="00D10D94">
        <w:trPr>
          <w:trHeight w:val="615"/>
          <w:jc w:val="center"/>
        </w:trPr>
        <w:tc>
          <w:tcPr>
            <w:tcW w:w="845" w:type="pct"/>
            <w:vMerge/>
          </w:tcPr>
          <w:p w14:paraId="1787350D" w14:textId="77777777" w:rsidR="00013E7D" w:rsidRPr="00A96AC5" w:rsidRDefault="00013E7D" w:rsidP="00F16CBF">
            <w:pPr>
              <w:spacing w:line="240" w:lineRule="auto"/>
              <w:rPr>
                <w:rFonts w:cs="Times New Roman"/>
                <w:color w:val="000000"/>
                <w:sz w:val="22"/>
              </w:rPr>
            </w:pPr>
          </w:p>
        </w:tc>
        <w:tc>
          <w:tcPr>
            <w:tcW w:w="242" w:type="pct"/>
            <w:vMerge/>
            <w:vAlign w:val="center"/>
          </w:tcPr>
          <w:p w14:paraId="390AF3B6" w14:textId="77777777" w:rsidR="00013E7D" w:rsidRPr="00A96AC5" w:rsidRDefault="00013E7D" w:rsidP="00F16CBF">
            <w:pPr>
              <w:spacing w:line="240" w:lineRule="auto"/>
              <w:jc w:val="center"/>
              <w:rPr>
                <w:rFonts w:cs="Times New Roman"/>
                <w:color w:val="000000"/>
                <w:sz w:val="22"/>
              </w:rPr>
            </w:pPr>
          </w:p>
        </w:tc>
        <w:tc>
          <w:tcPr>
            <w:tcW w:w="852" w:type="pct"/>
            <w:vMerge/>
            <w:vAlign w:val="center"/>
          </w:tcPr>
          <w:p w14:paraId="74346B99" w14:textId="77777777" w:rsidR="00013E7D" w:rsidRPr="00A96AC5" w:rsidRDefault="00013E7D" w:rsidP="00F16CBF">
            <w:pPr>
              <w:spacing w:line="240" w:lineRule="auto"/>
              <w:jc w:val="left"/>
              <w:rPr>
                <w:rFonts w:cs="Times New Roman"/>
                <w:color w:val="000000"/>
                <w:sz w:val="22"/>
              </w:rPr>
            </w:pPr>
          </w:p>
        </w:tc>
        <w:tc>
          <w:tcPr>
            <w:tcW w:w="3061" w:type="pct"/>
            <w:vAlign w:val="center"/>
          </w:tcPr>
          <w:p w14:paraId="1A10CEA9" w14:textId="40022067" w:rsidR="00013E7D" w:rsidRPr="00A96AC5" w:rsidRDefault="00013E7D" w:rsidP="00F16CBF">
            <w:pPr>
              <w:spacing w:line="240" w:lineRule="auto"/>
              <w:jc w:val="left"/>
              <w:rPr>
                <w:rFonts w:cs="Times New Roman"/>
                <w:color w:val="000000"/>
                <w:sz w:val="22"/>
              </w:rPr>
            </w:pPr>
            <w:r w:rsidRPr="00A96AC5">
              <w:rPr>
                <w:rFonts w:cs="Times New Roman"/>
                <w:color w:val="000000"/>
                <w:sz w:val="22"/>
              </w:rPr>
              <w:t>Proportion of people engaging in volunteering activity (percentage)</w:t>
            </w:r>
          </w:p>
        </w:tc>
      </w:tr>
      <w:tr w:rsidR="00013E7D" w:rsidRPr="008903D1" w14:paraId="734E273C" w14:textId="77777777" w:rsidTr="00D10D94">
        <w:trPr>
          <w:trHeight w:val="615"/>
          <w:jc w:val="center"/>
        </w:trPr>
        <w:tc>
          <w:tcPr>
            <w:tcW w:w="845" w:type="pct"/>
            <w:vMerge/>
          </w:tcPr>
          <w:p w14:paraId="300D12F5" w14:textId="77777777" w:rsidR="00013E7D" w:rsidRPr="00A96AC5" w:rsidRDefault="00013E7D" w:rsidP="00F16CBF">
            <w:pPr>
              <w:spacing w:line="240" w:lineRule="auto"/>
              <w:rPr>
                <w:rFonts w:cs="Times New Roman"/>
                <w:color w:val="000000"/>
                <w:sz w:val="22"/>
              </w:rPr>
            </w:pPr>
          </w:p>
        </w:tc>
        <w:tc>
          <w:tcPr>
            <w:tcW w:w="242" w:type="pct"/>
            <w:vMerge/>
            <w:vAlign w:val="center"/>
          </w:tcPr>
          <w:p w14:paraId="009D1899" w14:textId="77777777" w:rsidR="00013E7D" w:rsidRPr="00A96AC5" w:rsidRDefault="00013E7D" w:rsidP="00F16CBF">
            <w:pPr>
              <w:spacing w:line="240" w:lineRule="auto"/>
              <w:jc w:val="center"/>
              <w:rPr>
                <w:rFonts w:cs="Times New Roman"/>
                <w:color w:val="000000"/>
                <w:sz w:val="22"/>
              </w:rPr>
            </w:pPr>
          </w:p>
        </w:tc>
        <w:tc>
          <w:tcPr>
            <w:tcW w:w="852" w:type="pct"/>
            <w:vMerge/>
            <w:vAlign w:val="center"/>
          </w:tcPr>
          <w:p w14:paraId="25C56606" w14:textId="77777777" w:rsidR="00013E7D" w:rsidRPr="00A96AC5" w:rsidRDefault="00013E7D" w:rsidP="00F16CBF">
            <w:pPr>
              <w:spacing w:line="240" w:lineRule="auto"/>
              <w:jc w:val="left"/>
              <w:rPr>
                <w:rFonts w:cs="Times New Roman"/>
                <w:color w:val="000000"/>
                <w:sz w:val="22"/>
              </w:rPr>
            </w:pPr>
          </w:p>
        </w:tc>
        <w:tc>
          <w:tcPr>
            <w:tcW w:w="3061" w:type="pct"/>
            <w:vAlign w:val="center"/>
          </w:tcPr>
          <w:p w14:paraId="20E7AFC0" w14:textId="5947E89D" w:rsidR="00013E7D" w:rsidRPr="00A96AC5" w:rsidRDefault="00013E7D" w:rsidP="00F16CBF">
            <w:pPr>
              <w:spacing w:line="240" w:lineRule="auto"/>
              <w:jc w:val="left"/>
              <w:rPr>
                <w:rFonts w:cs="Times New Roman"/>
                <w:color w:val="000000"/>
                <w:sz w:val="22"/>
              </w:rPr>
            </w:pPr>
            <w:r w:rsidRPr="00A96AC5">
              <w:rPr>
                <w:rFonts w:cs="Times New Roman"/>
                <w:color w:val="000000"/>
                <w:sz w:val="22"/>
              </w:rPr>
              <w:t xml:space="preserve">Proportion of people agreeing that </w:t>
            </w:r>
            <w:r w:rsidR="00247948" w:rsidRPr="00A96AC5">
              <w:rPr>
                <w:rFonts w:cs="Times New Roman"/>
                <w:color w:val="000000"/>
                <w:sz w:val="22"/>
              </w:rPr>
              <w:t xml:space="preserve">people </w:t>
            </w:r>
            <w:r w:rsidRPr="00A96AC5">
              <w:rPr>
                <w:rFonts w:cs="Times New Roman"/>
                <w:color w:val="000000"/>
                <w:sz w:val="22"/>
              </w:rPr>
              <w:t xml:space="preserve">in their </w:t>
            </w:r>
            <w:proofErr w:type="spellStart"/>
            <w:r w:rsidRPr="00A96AC5">
              <w:rPr>
                <w:rFonts w:cs="Times New Roman"/>
                <w:color w:val="000000"/>
                <w:sz w:val="22"/>
              </w:rPr>
              <w:t>neighbourhood</w:t>
            </w:r>
            <w:proofErr w:type="spellEnd"/>
            <w:r w:rsidRPr="00A96AC5">
              <w:rPr>
                <w:rFonts w:cs="Times New Roman"/>
                <w:color w:val="000000"/>
                <w:sz w:val="22"/>
              </w:rPr>
              <w:t xml:space="preserve"> can be trusted (percentage)</w:t>
            </w:r>
          </w:p>
        </w:tc>
      </w:tr>
      <w:tr w:rsidR="00013E7D" w:rsidRPr="008903D1" w14:paraId="2FF78EC7" w14:textId="77777777" w:rsidTr="00D10D94">
        <w:trPr>
          <w:trHeight w:val="615"/>
          <w:jc w:val="center"/>
        </w:trPr>
        <w:tc>
          <w:tcPr>
            <w:tcW w:w="845" w:type="pct"/>
            <w:vMerge/>
          </w:tcPr>
          <w:p w14:paraId="1844201F" w14:textId="77777777" w:rsidR="00013E7D" w:rsidRPr="00A96AC5" w:rsidRDefault="00013E7D" w:rsidP="00F16CBF">
            <w:pPr>
              <w:spacing w:line="240" w:lineRule="auto"/>
              <w:jc w:val="center"/>
              <w:rPr>
                <w:rFonts w:cs="Times New Roman"/>
                <w:color w:val="000000"/>
                <w:sz w:val="22"/>
              </w:rPr>
            </w:pPr>
          </w:p>
        </w:tc>
        <w:tc>
          <w:tcPr>
            <w:tcW w:w="242" w:type="pct"/>
            <w:vAlign w:val="center"/>
          </w:tcPr>
          <w:p w14:paraId="0891161D" w14:textId="77777777" w:rsidR="00013E7D" w:rsidRPr="00A96AC5" w:rsidRDefault="00013E7D" w:rsidP="00F16CBF">
            <w:pPr>
              <w:spacing w:line="240" w:lineRule="auto"/>
              <w:jc w:val="center"/>
              <w:rPr>
                <w:rFonts w:cs="Times New Roman"/>
                <w:color w:val="000000"/>
                <w:sz w:val="22"/>
              </w:rPr>
            </w:pPr>
            <w:r w:rsidRPr="00A96AC5">
              <w:rPr>
                <w:rFonts w:cs="Times New Roman"/>
                <w:color w:val="000000"/>
                <w:sz w:val="22"/>
              </w:rPr>
              <w:t>7</w:t>
            </w:r>
          </w:p>
        </w:tc>
        <w:tc>
          <w:tcPr>
            <w:tcW w:w="852" w:type="pct"/>
            <w:vAlign w:val="center"/>
          </w:tcPr>
          <w:p w14:paraId="410A09A3" w14:textId="77777777" w:rsidR="00013E7D" w:rsidRPr="00A96AC5" w:rsidRDefault="00013E7D" w:rsidP="00F16CBF">
            <w:pPr>
              <w:spacing w:line="240" w:lineRule="auto"/>
              <w:jc w:val="left"/>
              <w:rPr>
                <w:rFonts w:cs="Times New Roman"/>
                <w:color w:val="000000"/>
                <w:sz w:val="22"/>
              </w:rPr>
            </w:pPr>
            <w:r w:rsidRPr="00A96AC5">
              <w:rPr>
                <w:rFonts w:cs="Times New Roman"/>
                <w:color w:val="000000"/>
                <w:sz w:val="22"/>
              </w:rPr>
              <w:t>Social mobility in</w:t>
            </w:r>
            <w:r w:rsidRPr="00A96AC5">
              <w:rPr>
                <w:rFonts w:cs="Times New Roman"/>
                <w:color w:val="000000"/>
                <w:sz w:val="22"/>
              </w:rPr>
              <w:br/>
              <w:t>adulthood</w:t>
            </w:r>
          </w:p>
        </w:tc>
        <w:tc>
          <w:tcPr>
            <w:tcW w:w="3061" w:type="pct"/>
            <w:vAlign w:val="center"/>
          </w:tcPr>
          <w:p w14:paraId="39208769" w14:textId="36B3BF81" w:rsidR="00013E7D" w:rsidRPr="00A96AC5" w:rsidRDefault="00013E7D" w:rsidP="00F16CBF">
            <w:pPr>
              <w:spacing w:line="240" w:lineRule="auto"/>
              <w:jc w:val="left"/>
              <w:rPr>
                <w:rFonts w:cs="Times New Roman"/>
                <w:color w:val="000000"/>
                <w:sz w:val="22"/>
              </w:rPr>
            </w:pPr>
            <w:r w:rsidRPr="00A96AC5">
              <w:rPr>
                <w:rFonts w:cs="Times New Roman"/>
                <w:color w:val="000000"/>
                <w:sz w:val="22"/>
              </w:rPr>
              <w:t>Proportion of adults from less</w:t>
            </w:r>
            <w:r w:rsidR="00247948" w:rsidRPr="00A96AC5">
              <w:rPr>
                <w:rFonts w:cs="Times New Roman"/>
                <w:color w:val="000000"/>
                <w:sz w:val="22"/>
              </w:rPr>
              <w:t>-</w:t>
            </w:r>
            <w:r w:rsidRPr="00A96AC5">
              <w:rPr>
                <w:rFonts w:cs="Times New Roman"/>
                <w:color w:val="000000"/>
                <w:sz w:val="22"/>
              </w:rPr>
              <w:t>advantaged groups in managerial or professional positions (percentage)</w:t>
            </w:r>
          </w:p>
        </w:tc>
      </w:tr>
      <w:tr w:rsidR="00013E7D" w:rsidRPr="008903D1" w14:paraId="4E0B8C09" w14:textId="77777777" w:rsidTr="00D10D94">
        <w:trPr>
          <w:trHeight w:val="315"/>
          <w:jc w:val="center"/>
        </w:trPr>
        <w:tc>
          <w:tcPr>
            <w:tcW w:w="845" w:type="pct"/>
            <w:vMerge/>
          </w:tcPr>
          <w:p w14:paraId="472D34A5" w14:textId="77777777" w:rsidR="00013E7D" w:rsidRPr="00A96AC5" w:rsidRDefault="00013E7D" w:rsidP="00F16CBF">
            <w:pPr>
              <w:spacing w:line="240" w:lineRule="auto"/>
              <w:jc w:val="center"/>
              <w:rPr>
                <w:rFonts w:cs="Times New Roman"/>
                <w:color w:val="000000"/>
                <w:sz w:val="22"/>
              </w:rPr>
            </w:pPr>
          </w:p>
        </w:tc>
        <w:tc>
          <w:tcPr>
            <w:tcW w:w="242" w:type="pct"/>
            <w:vAlign w:val="center"/>
          </w:tcPr>
          <w:p w14:paraId="2C497B4E" w14:textId="77777777" w:rsidR="00013E7D" w:rsidRPr="00A96AC5" w:rsidRDefault="00013E7D" w:rsidP="00F16CBF">
            <w:pPr>
              <w:spacing w:line="240" w:lineRule="auto"/>
              <w:jc w:val="center"/>
              <w:rPr>
                <w:rFonts w:cs="Times New Roman"/>
                <w:color w:val="000000"/>
                <w:sz w:val="22"/>
              </w:rPr>
            </w:pPr>
            <w:r w:rsidRPr="00A96AC5">
              <w:rPr>
                <w:rFonts w:cs="Times New Roman"/>
                <w:color w:val="000000"/>
                <w:sz w:val="22"/>
              </w:rPr>
              <w:t>8</w:t>
            </w:r>
          </w:p>
        </w:tc>
        <w:tc>
          <w:tcPr>
            <w:tcW w:w="852" w:type="pct"/>
            <w:vAlign w:val="center"/>
          </w:tcPr>
          <w:p w14:paraId="1A0C1F41" w14:textId="77777777" w:rsidR="00013E7D" w:rsidRPr="00A96AC5" w:rsidRDefault="00013E7D" w:rsidP="00F16CBF">
            <w:pPr>
              <w:spacing w:line="240" w:lineRule="auto"/>
              <w:jc w:val="left"/>
              <w:rPr>
                <w:rFonts w:cs="Times New Roman"/>
                <w:color w:val="000000"/>
                <w:sz w:val="22"/>
              </w:rPr>
            </w:pPr>
            <w:r w:rsidRPr="00A96AC5">
              <w:rPr>
                <w:rFonts w:cs="Times New Roman"/>
                <w:color w:val="000000"/>
                <w:sz w:val="22"/>
              </w:rPr>
              <w:t>Housing provision</w:t>
            </w:r>
          </w:p>
        </w:tc>
        <w:tc>
          <w:tcPr>
            <w:tcW w:w="3061" w:type="pct"/>
            <w:vAlign w:val="center"/>
          </w:tcPr>
          <w:p w14:paraId="5E17B1C4" w14:textId="77777777" w:rsidR="00013E7D" w:rsidRPr="00A96AC5" w:rsidRDefault="00013E7D" w:rsidP="00F16CBF">
            <w:pPr>
              <w:spacing w:line="240" w:lineRule="auto"/>
              <w:jc w:val="left"/>
              <w:rPr>
                <w:rFonts w:cs="Times New Roman"/>
                <w:color w:val="000000"/>
                <w:sz w:val="22"/>
              </w:rPr>
            </w:pPr>
            <w:r w:rsidRPr="00A96AC5">
              <w:rPr>
                <w:rFonts w:cs="Times New Roman"/>
                <w:color w:val="000000"/>
                <w:sz w:val="22"/>
              </w:rPr>
              <w:t>Net additional dwellings (square meters)</w:t>
            </w:r>
          </w:p>
        </w:tc>
      </w:tr>
      <w:tr w:rsidR="00013E7D" w:rsidRPr="008903D1" w14:paraId="1AE609B5" w14:textId="77777777" w:rsidTr="00D10D94">
        <w:trPr>
          <w:trHeight w:val="315"/>
          <w:jc w:val="center"/>
        </w:trPr>
        <w:tc>
          <w:tcPr>
            <w:tcW w:w="845" w:type="pct"/>
            <w:vMerge w:val="restart"/>
            <w:vAlign w:val="center"/>
          </w:tcPr>
          <w:p w14:paraId="2C081B53" w14:textId="77777777" w:rsidR="00013E7D" w:rsidRPr="00737239" w:rsidRDefault="00013E7D" w:rsidP="00F16CBF">
            <w:pPr>
              <w:spacing w:line="240" w:lineRule="auto"/>
              <w:jc w:val="center"/>
              <w:rPr>
                <w:rFonts w:cs="Times New Roman"/>
                <w:color w:val="000000"/>
                <w:sz w:val="22"/>
              </w:rPr>
            </w:pPr>
            <w:r w:rsidRPr="00737239">
              <w:rPr>
                <w:rFonts w:cs="Times New Roman"/>
                <w:color w:val="000000"/>
                <w:sz w:val="22"/>
              </w:rPr>
              <w:t>Environmental</w:t>
            </w:r>
          </w:p>
        </w:tc>
        <w:tc>
          <w:tcPr>
            <w:tcW w:w="242" w:type="pct"/>
            <w:vMerge w:val="restart"/>
            <w:vAlign w:val="center"/>
          </w:tcPr>
          <w:p w14:paraId="4E0D01C3" w14:textId="77777777" w:rsidR="00013E7D" w:rsidRPr="006C301D" w:rsidRDefault="00013E7D" w:rsidP="00F16CBF">
            <w:pPr>
              <w:spacing w:line="240" w:lineRule="auto"/>
              <w:jc w:val="center"/>
              <w:rPr>
                <w:rFonts w:cs="Times New Roman"/>
                <w:color w:val="000000"/>
                <w:sz w:val="22"/>
              </w:rPr>
            </w:pPr>
            <w:r w:rsidRPr="00802DC5">
              <w:rPr>
                <w:rFonts w:cs="Times New Roman"/>
                <w:color w:val="000000"/>
                <w:sz w:val="22"/>
              </w:rPr>
              <w:t>9</w:t>
            </w:r>
          </w:p>
        </w:tc>
        <w:tc>
          <w:tcPr>
            <w:tcW w:w="852" w:type="pct"/>
            <w:vMerge w:val="restart"/>
            <w:vAlign w:val="center"/>
          </w:tcPr>
          <w:p w14:paraId="64098209" w14:textId="77777777" w:rsidR="00013E7D" w:rsidRPr="00A96AC5" w:rsidRDefault="00013E7D" w:rsidP="00F16CBF">
            <w:pPr>
              <w:spacing w:line="240" w:lineRule="auto"/>
              <w:jc w:val="left"/>
              <w:rPr>
                <w:rFonts w:cs="Times New Roman"/>
                <w:color w:val="000000"/>
                <w:sz w:val="22"/>
              </w:rPr>
            </w:pPr>
            <w:r w:rsidRPr="00A96AC5">
              <w:rPr>
                <w:rFonts w:cs="Times New Roman"/>
                <w:color w:val="000000"/>
                <w:sz w:val="22"/>
              </w:rPr>
              <w:t>Greenhouse gas</w:t>
            </w:r>
            <w:r w:rsidRPr="00A96AC5">
              <w:rPr>
                <w:rFonts w:cs="Times New Roman"/>
                <w:color w:val="000000"/>
                <w:sz w:val="22"/>
              </w:rPr>
              <w:br/>
              <w:t>emissions</w:t>
            </w:r>
          </w:p>
        </w:tc>
        <w:tc>
          <w:tcPr>
            <w:tcW w:w="3061" w:type="pct"/>
            <w:vAlign w:val="center"/>
          </w:tcPr>
          <w:p w14:paraId="5BCE7832" w14:textId="28C683FE" w:rsidR="00013E7D" w:rsidRPr="00A96AC5" w:rsidRDefault="00013E7D" w:rsidP="00F16CBF">
            <w:pPr>
              <w:spacing w:line="240" w:lineRule="auto"/>
              <w:jc w:val="left"/>
              <w:rPr>
                <w:rFonts w:cs="Times New Roman"/>
                <w:color w:val="000000"/>
                <w:sz w:val="22"/>
              </w:rPr>
            </w:pPr>
            <w:r w:rsidRPr="00A96AC5">
              <w:rPr>
                <w:rFonts w:cs="Times New Roman"/>
                <w:color w:val="000000"/>
                <w:sz w:val="22"/>
              </w:rPr>
              <w:t>UK greenhouse gasses emissions (tons)</w:t>
            </w:r>
          </w:p>
        </w:tc>
      </w:tr>
      <w:tr w:rsidR="00013E7D" w:rsidRPr="008903D1" w14:paraId="032D86D8" w14:textId="77777777" w:rsidTr="00D10D94">
        <w:trPr>
          <w:trHeight w:val="615"/>
          <w:jc w:val="center"/>
        </w:trPr>
        <w:tc>
          <w:tcPr>
            <w:tcW w:w="845" w:type="pct"/>
            <w:vMerge/>
          </w:tcPr>
          <w:p w14:paraId="060F1BAE" w14:textId="77777777" w:rsidR="00013E7D" w:rsidRPr="00A96AC5" w:rsidRDefault="00013E7D" w:rsidP="00F16CBF">
            <w:pPr>
              <w:spacing w:line="240" w:lineRule="auto"/>
              <w:rPr>
                <w:rFonts w:cs="Times New Roman"/>
                <w:color w:val="000000"/>
                <w:sz w:val="22"/>
              </w:rPr>
            </w:pPr>
          </w:p>
        </w:tc>
        <w:tc>
          <w:tcPr>
            <w:tcW w:w="242" w:type="pct"/>
            <w:vMerge/>
            <w:vAlign w:val="center"/>
          </w:tcPr>
          <w:p w14:paraId="0CA59B29" w14:textId="77777777" w:rsidR="00013E7D" w:rsidRPr="00A96AC5" w:rsidRDefault="00013E7D" w:rsidP="00F16CBF">
            <w:pPr>
              <w:spacing w:line="240" w:lineRule="auto"/>
              <w:jc w:val="center"/>
              <w:rPr>
                <w:rFonts w:cs="Times New Roman"/>
                <w:color w:val="000000"/>
                <w:sz w:val="22"/>
              </w:rPr>
            </w:pPr>
          </w:p>
        </w:tc>
        <w:tc>
          <w:tcPr>
            <w:tcW w:w="852" w:type="pct"/>
            <w:vMerge/>
            <w:vAlign w:val="center"/>
          </w:tcPr>
          <w:p w14:paraId="483E292B" w14:textId="77777777" w:rsidR="00013E7D" w:rsidRPr="00A96AC5" w:rsidRDefault="00013E7D" w:rsidP="00F16CBF">
            <w:pPr>
              <w:spacing w:line="240" w:lineRule="auto"/>
              <w:jc w:val="left"/>
              <w:rPr>
                <w:rFonts w:cs="Times New Roman"/>
                <w:color w:val="000000"/>
                <w:sz w:val="22"/>
              </w:rPr>
            </w:pPr>
          </w:p>
        </w:tc>
        <w:tc>
          <w:tcPr>
            <w:tcW w:w="3061" w:type="pct"/>
            <w:vAlign w:val="center"/>
          </w:tcPr>
          <w:p w14:paraId="13BE3615" w14:textId="62C26FBA" w:rsidR="00013E7D" w:rsidRPr="00A96AC5" w:rsidRDefault="00013E7D" w:rsidP="00F16CBF">
            <w:pPr>
              <w:spacing w:line="240" w:lineRule="auto"/>
              <w:jc w:val="left"/>
              <w:rPr>
                <w:rFonts w:cs="Times New Roman"/>
                <w:color w:val="000000"/>
                <w:sz w:val="22"/>
              </w:rPr>
            </w:pPr>
            <w:r w:rsidRPr="00A96AC5">
              <w:rPr>
                <w:rFonts w:cs="Times New Roman"/>
                <w:color w:val="000000"/>
                <w:sz w:val="22"/>
              </w:rPr>
              <w:t>Greenhouse gas emissions associated with UK consumption (tons)</w:t>
            </w:r>
          </w:p>
        </w:tc>
      </w:tr>
      <w:tr w:rsidR="00013E7D" w:rsidRPr="008903D1" w14:paraId="15CF0A9A" w14:textId="77777777" w:rsidTr="00D10D94">
        <w:trPr>
          <w:trHeight w:val="615"/>
          <w:jc w:val="center"/>
        </w:trPr>
        <w:tc>
          <w:tcPr>
            <w:tcW w:w="845" w:type="pct"/>
            <w:vMerge/>
          </w:tcPr>
          <w:p w14:paraId="049ABD53" w14:textId="77777777" w:rsidR="00013E7D" w:rsidRPr="00A96AC5" w:rsidRDefault="00013E7D" w:rsidP="00F16CBF">
            <w:pPr>
              <w:spacing w:line="240" w:lineRule="auto"/>
              <w:jc w:val="center"/>
              <w:rPr>
                <w:rFonts w:cs="Times New Roman"/>
                <w:color w:val="000000"/>
                <w:sz w:val="22"/>
              </w:rPr>
            </w:pPr>
          </w:p>
        </w:tc>
        <w:tc>
          <w:tcPr>
            <w:tcW w:w="242" w:type="pct"/>
            <w:vMerge w:val="restart"/>
            <w:vAlign w:val="center"/>
          </w:tcPr>
          <w:p w14:paraId="3F5DDD1D" w14:textId="77777777" w:rsidR="00013E7D" w:rsidRPr="00A96AC5" w:rsidRDefault="00013E7D" w:rsidP="00F16CBF">
            <w:pPr>
              <w:spacing w:line="240" w:lineRule="auto"/>
              <w:jc w:val="center"/>
              <w:rPr>
                <w:rFonts w:cs="Times New Roman"/>
                <w:color w:val="000000"/>
                <w:sz w:val="22"/>
              </w:rPr>
            </w:pPr>
            <w:r w:rsidRPr="00A96AC5">
              <w:rPr>
                <w:rFonts w:cs="Times New Roman"/>
                <w:color w:val="000000"/>
                <w:sz w:val="22"/>
              </w:rPr>
              <w:t>10</w:t>
            </w:r>
          </w:p>
        </w:tc>
        <w:tc>
          <w:tcPr>
            <w:tcW w:w="852" w:type="pct"/>
            <w:vMerge w:val="restart"/>
            <w:vAlign w:val="center"/>
          </w:tcPr>
          <w:p w14:paraId="0EF888B5" w14:textId="77777777" w:rsidR="00013E7D" w:rsidRPr="00A96AC5" w:rsidRDefault="00013E7D" w:rsidP="00F16CBF">
            <w:pPr>
              <w:spacing w:line="240" w:lineRule="auto"/>
              <w:jc w:val="left"/>
              <w:rPr>
                <w:rFonts w:cs="Times New Roman"/>
                <w:color w:val="000000"/>
                <w:sz w:val="22"/>
              </w:rPr>
            </w:pPr>
            <w:r w:rsidRPr="00A96AC5">
              <w:rPr>
                <w:rFonts w:cs="Times New Roman"/>
                <w:color w:val="000000"/>
                <w:sz w:val="22"/>
              </w:rPr>
              <w:t>Natural resource</w:t>
            </w:r>
            <w:r w:rsidRPr="00A96AC5">
              <w:rPr>
                <w:rFonts w:cs="Times New Roman"/>
                <w:color w:val="000000"/>
                <w:sz w:val="22"/>
              </w:rPr>
              <w:br/>
              <w:t>use</w:t>
            </w:r>
          </w:p>
        </w:tc>
        <w:tc>
          <w:tcPr>
            <w:tcW w:w="3061" w:type="pct"/>
            <w:vAlign w:val="center"/>
          </w:tcPr>
          <w:p w14:paraId="6FA13083" w14:textId="77777777" w:rsidR="00013E7D" w:rsidRPr="00A96AC5" w:rsidRDefault="00013E7D" w:rsidP="00F16CBF">
            <w:pPr>
              <w:spacing w:line="240" w:lineRule="auto"/>
              <w:jc w:val="left"/>
              <w:rPr>
                <w:rFonts w:cs="Times New Roman"/>
                <w:color w:val="000000"/>
                <w:sz w:val="22"/>
              </w:rPr>
            </w:pPr>
            <w:r w:rsidRPr="00A96AC5">
              <w:rPr>
                <w:rFonts w:cs="Times New Roman"/>
                <w:color w:val="000000"/>
                <w:sz w:val="22"/>
              </w:rPr>
              <w:t>Raw material consumption of non-construction materials (tons)</w:t>
            </w:r>
          </w:p>
        </w:tc>
      </w:tr>
      <w:tr w:rsidR="00013E7D" w:rsidRPr="008903D1" w14:paraId="2262424B" w14:textId="77777777" w:rsidTr="00D10D94">
        <w:trPr>
          <w:trHeight w:val="315"/>
          <w:jc w:val="center"/>
        </w:trPr>
        <w:tc>
          <w:tcPr>
            <w:tcW w:w="845" w:type="pct"/>
            <w:vMerge/>
          </w:tcPr>
          <w:p w14:paraId="42D676E9" w14:textId="77777777" w:rsidR="00013E7D" w:rsidRPr="00A96AC5" w:rsidRDefault="00013E7D" w:rsidP="00F16CBF">
            <w:pPr>
              <w:spacing w:line="240" w:lineRule="auto"/>
              <w:rPr>
                <w:rFonts w:cs="Times New Roman"/>
                <w:color w:val="000000"/>
                <w:sz w:val="22"/>
              </w:rPr>
            </w:pPr>
          </w:p>
        </w:tc>
        <w:tc>
          <w:tcPr>
            <w:tcW w:w="242" w:type="pct"/>
            <w:vMerge/>
            <w:vAlign w:val="center"/>
          </w:tcPr>
          <w:p w14:paraId="389C8EA1" w14:textId="77777777" w:rsidR="00013E7D" w:rsidRPr="00A96AC5" w:rsidRDefault="00013E7D" w:rsidP="00F16CBF">
            <w:pPr>
              <w:spacing w:line="240" w:lineRule="auto"/>
              <w:jc w:val="center"/>
              <w:rPr>
                <w:rFonts w:cs="Times New Roman"/>
                <w:color w:val="000000"/>
                <w:sz w:val="22"/>
              </w:rPr>
            </w:pPr>
          </w:p>
        </w:tc>
        <w:tc>
          <w:tcPr>
            <w:tcW w:w="852" w:type="pct"/>
            <w:vMerge/>
            <w:vAlign w:val="center"/>
          </w:tcPr>
          <w:p w14:paraId="691882FD" w14:textId="77777777" w:rsidR="00013E7D" w:rsidRPr="00A96AC5" w:rsidRDefault="00013E7D" w:rsidP="00F16CBF">
            <w:pPr>
              <w:spacing w:line="240" w:lineRule="auto"/>
              <w:jc w:val="left"/>
              <w:rPr>
                <w:rFonts w:cs="Times New Roman"/>
                <w:color w:val="000000"/>
                <w:sz w:val="22"/>
              </w:rPr>
            </w:pPr>
          </w:p>
        </w:tc>
        <w:tc>
          <w:tcPr>
            <w:tcW w:w="3061" w:type="pct"/>
            <w:vAlign w:val="center"/>
          </w:tcPr>
          <w:p w14:paraId="6C660F35" w14:textId="77777777" w:rsidR="00013E7D" w:rsidRPr="00A96AC5" w:rsidRDefault="00013E7D" w:rsidP="00F16CBF">
            <w:pPr>
              <w:spacing w:line="240" w:lineRule="auto"/>
              <w:jc w:val="left"/>
              <w:rPr>
                <w:rFonts w:cs="Times New Roman"/>
                <w:color w:val="000000"/>
                <w:sz w:val="22"/>
              </w:rPr>
            </w:pPr>
            <w:r w:rsidRPr="00A96AC5">
              <w:rPr>
                <w:rFonts w:cs="Times New Roman"/>
                <w:color w:val="000000"/>
                <w:sz w:val="22"/>
              </w:rPr>
              <w:t>Raw material consumption of construction materials (tons)</w:t>
            </w:r>
          </w:p>
        </w:tc>
      </w:tr>
      <w:tr w:rsidR="00013E7D" w:rsidRPr="008903D1" w14:paraId="01388B5B" w14:textId="77777777" w:rsidTr="00D10D94">
        <w:trPr>
          <w:trHeight w:val="315"/>
          <w:jc w:val="center"/>
        </w:trPr>
        <w:tc>
          <w:tcPr>
            <w:tcW w:w="845" w:type="pct"/>
            <w:vMerge/>
          </w:tcPr>
          <w:p w14:paraId="2E95E93A" w14:textId="77777777" w:rsidR="00013E7D" w:rsidRPr="00A96AC5" w:rsidRDefault="00013E7D" w:rsidP="00F16CBF">
            <w:pPr>
              <w:spacing w:line="240" w:lineRule="auto"/>
              <w:jc w:val="center"/>
              <w:rPr>
                <w:rFonts w:cs="Times New Roman"/>
                <w:color w:val="000000"/>
                <w:sz w:val="22"/>
              </w:rPr>
            </w:pPr>
          </w:p>
        </w:tc>
        <w:tc>
          <w:tcPr>
            <w:tcW w:w="242" w:type="pct"/>
            <w:vMerge w:val="restart"/>
            <w:vAlign w:val="center"/>
          </w:tcPr>
          <w:p w14:paraId="48210F77" w14:textId="77777777" w:rsidR="00013E7D" w:rsidRPr="00A96AC5" w:rsidRDefault="00013E7D" w:rsidP="00F16CBF">
            <w:pPr>
              <w:spacing w:line="240" w:lineRule="auto"/>
              <w:jc w:val="center"/>
              <w:rPr>
                <w:rFonts w:cs="Times New Roman"/>
                <w:color w:val="000000"/>
                <w:sz w:val="22"/>
              </w:rPr>
            </w:pPr>
            <w:r w:rsidRPr="00A96AC5">
              <w:rPr>
                <w:rFonts w:cs="Times New Roman"/>
                <w:color w:val="000000"/>
                <w:sz w:val="22"/>
              </w:rPr>
              <w:t>11</w:t>
            </w:r>
          </w:p>
        </w:tc>
        <w:tc>
          <w:tcPr>
            <w:tcW w:w="852" w:type="pct"/>
            <w:vMerge w:val="restart"/>
            <w:vAlign w:val="center"/>
          </w:tcPr>
          <w:p w14:paraId="375B2751" w14:textId="58452536" w:rsidR="00013E7D" w:rsidRPr="00A96AC5" w:rsidRDefault="00013E7D" w:rsidP="00F16CBF">
            <w:pPr>
              <w:spacing w:line="240" w:lineRule="auto"/>
              <w:jc w:val="left"/>
              <w:rPr>
                <w:rFonts w:cs="Times New Roman"/>
                <w:color w:val="000000"/>
                <w:sz w:val="22"/>
              </w:rPr>
            </w:pPr>
            <w:r w:rsidRPr="00A96AC5">
              <w:rPr>
                <w:rFonts w:cs="Times New Roman"/>
                <w:color w:val="000000"/>
                <w:sz w:val="22"/>
              </w:rPr>
              <w:t xml:space="preserve">Wildlife: </w:t>
            </w:r>
            <w:r w:rsidR="00247948" w:rsidRPr="00A96AC5">
              <w:rPr>
                <w:rFonts w:cs="Times New Roman"/>
                <w:color w:val="000000"/>
                <w:sz w:val="22"/>
              </w:rPr>
              <w:t>bird</w:t>
            </w:r>
            <w:r w:rsidRPr="00A96AC5">
              <w:rPr>
                <w:rFonts w:cs="Times New Roman"/>
                <w:color w:val="000000"/>
                <w:sz w:val="22"/>
              </w:rPr>
              <w:br/>
              <w:t>population indices</w:t>
            </w:r>
          </w:p>
        </w:tc>
        <w:tc>
          <w:tcPr>
            <w:tcW w:w="3061" w:type="pct"/>
            <w:vAlign w:val="center"/>
          </w:tcPr>
          <w:p w14:paraId="3F001529" w14:textId="6FB15F02" w:rsidR="00013E7D" w:rsidRPr="00A96AC5" w:rsidRDefault="00013E7D" w:rsidP="00F16CBF">
            <w:pPr>
              <w:spacing w:line="240" w:lineRule="auto"/>
              <w:jc w:val="left"/>
              <w:rPr>
                <w:rFonts w:cs="Times New Roman"/>
                <w:color w:val="000000"/>
                <w:sz w:val="22"/>
              </w:rPr>
            </w:pPr>
            <w:r w:rsidRPr="00A96AC5">
              <w:rPr>
                <w:rFonts w:cs="Times New Roman"/>
                <w:color w:val="000000"/>
                <w:sz w:val="22"/>
              </w:rPr>
              <w:t>Farmland birds (categories</w:t>
            </w:r>
            <w:r w:rsidR="00247948" w:rsidRPr="00A96AC5">
              <w:rPr>
                <w:rFonts w:cs="Times New Roman"/>
                <w:color w:val="000000"/>
                <w:sz w:val="22"/>
              </w:rPr>
              <w:t>,</w:t>
            </w:r>
            <w:r w:rsidRPr="00A96AC5">
              <w:rPr>
                <w:rFonts w:cs="Times New Roman"/>
                <w:color w:val="000000"/>
                <w:sz w:val="22"/>
              </w:rPr>
              <w:t xml:space="preserve"> numbers)</w:t>
            </w:r>
          </w:p>
        </w:tc>
      </w:tr>
      <w:tr w:rsidR="00013E7D" w:rsidRPr="008903D1" w14:paraId="39D8EC8E" w14:textId="77777777" w:rsidTr="00D10D94">
        <w:trPr>
          <w:trHeight w:val="315"/>
          <w:jc w:val="center"/>
        </w:trPr>
        <w:tc>
          <w:tcPr>
            <w:tcW w:w="845" w:type="pct"/>
            <w:vMerge/>
          </w:tcPr>
          <w:p w14:paraId="7146E425" w14:textId="77777777" w:rsidR="00013E7D" w:rsidRPr="00A96AC5" w:rsidRDefault="00013E7D" w:rsidP="00F16CBF">
            <w:pPr>
              <w:spacing w:line="240" w:lineRule="auto"/>
              <w:rPr>
                <w:rFonts w:cs="Times New Roman"/>
                <w:color w:val="000000"/>
                <w:sz w:val="22"/>
              </w:rPr>
            </w:pPr>
          </w:p>
        </w:tc>
        <w:tc>
          <w:tcPr>
            <w:tcW w:w="242" w:type="pct"/>
            <w:vMerge/>
            <w:vAlign w:val="center"/>
          </w:tcPr>
          <w:p w14:paraId="47AB4139" w14:textId="77777777" w:rsidR="00013E7D" w:rsidRPr="00A96AC5" w:rsidRDefault="00013E7D" w:rsidP="00F16CBF">
            <w:pPr>
              <w:spacing w:line="240" w:lineRule="auto"/>
              <w:jc w:val="center"/>
              <w:rPr>
                <w:rFonts w:cs="Times New Roman"/>
                <w:color w:val="000000"/>
                <w:sz w:val="22"/>
              </w:rPr>
            </w:pPr>
          </w:p>
        </w:tc>
        <w:tc>
          <w:tcPr>
            <w:tcW w:w="852" w:type="pct"/>
            <w:vMerge/>
            <w:vAlign w:val="center"/>
          </w:tcPr>
          <w:p w14:paraId="0FF20EBD" w14:textId="77777777" w:rsidR="00013E7D" w:rsidRPr="00A96AC5" w:rsidRDefault="00013E7D" w:rsidP="00F16CBF">
            <w:pPr>
              <w:spacing w:line="240" w:lineRule="auto"/>
              <w:jc w:val="left"/>
              <w:rPr>
                <w:rFonts w:cs="Times New Roman"/>
                <w:color w:val="000000"/>
                <w:sz w:val="22"/>
              </w:rPr>
            </w:pPr>
          </w:p>
        </w:tc>
        <w:tc>
          <w:tcPr>
            <w:tcW w:w="3061" w:type="pct"/>
          </w:tcPr>
          <w:p w14:paraId="542C12C5" w14:textId="17149920" w:rsidR="00013E7D" w:rsidRPr="00A96AC5" w:rsidRDefault="00013E7D" w:rsidP="00F16CBF">
            <w:pPr>
              <w:spacing w:line="240" w:lineRule="auto"/>
              <w:rPr>
                <w:rFonts w:cs="Times New Roman"/>
                <w:color w:val="000000"/>
                <w:sz w:val="22"/>
              </w:rPr>
            </w:pPr>
            <w:r w:rsidRPr="00A96AC5">
              <w:rPr>
                <w:rFonts w:cs="Times New Roman"/>
                <w:color w:val="000000"/>
                <w:sz w:val="22"/>
              </w:rPr>
              <w:t>Woodland birds (categories</w:t>
            </w:r>
            <w:r w:rsidR="00247948" w:rsidRPr="00A96AC5">
              <w:rPr>
                <w:rFonts w:cs="Times New Roman"/>
                <w:color w:val="000000"/>
                <w:sz w:val="22"/>
              </w:rPr>
              <w:t>,</w:t>
            </w:r>
            <w:r w:rsidRPr="00A96AC5">
              <w:rPr>
                <w:rFonts w:cs="Times New Roman"/>
                <w:color w:val="000000"/>
                <w:sz w:val="22"/>
              </w:rPr>
              <w:t xml:space="preserve"> numbers)</w:t>
            </w:r>
          </w:p>
        </w:tc>
      </w:tr>
      <w:tr w:rsidR="00013E7D" w:rsidRPr="008903D1" w14:paraId="240B645C" w14:textId="77777777" w:rsidTr="00D10D94">
        <w:trPr>
          <w:trHeight w:val="315"/>
          <w:jc w:val="center"/>
        </w:trPr>
        <w:tc>
          <w:tcPr>
            <w:tcW w:w="845" w:type="pct"/>
            <w:vMerge/>
          </w:tcPr>
          <w:p w14:paraId="51F7C705" w14:textId="77777777" w:rsidR="00013E7D" w:rsidRPr="00A96AC5" w:rsidRDefault="00013E7D" w:rsidP="00F16CBF">
            <w:pPr>
              <w:spacing w:line="240" w:lineRule="auto"/>
              <w:rPr>
                <w:rFonts w:cs="Times New Roman"/>
                <w:color w:val="000000"/>
                <w:sz w:val="22"/>
              </w:rPr>
            </w:pPr>
          </w:p>
        </w:tc>
        <w:tc>
          <w:tcPr>
            <w:tcW w:w="242" w:type="pct"/>
            <w:vMerge/>
            <w:vAlign w:val="center"/>
          </w:tcPr>
          <w:p w14:paraId="299AF6F1" w14:textId="77777777" w:rsidR="00013E7D" w:rsidRPr="00A96AC5" w:rsidRDefault="00013E7D" w:rsidP="00F16CBF">
            <w:pPr>
              <w:spacing w:line="240" w:lineRule="auto"/>
              <w:jc w:val="center"/>
              <w:rPr>
                <w:rFonts w:cs="Times New Roman"/>
                <w:color w:val="000000"/>
                <w:sz w:val="22"/>
              </w:rPr>
            </w:pPr>
          </w:p>
        </w:tc>
        <w:tc>
          <w:tcPr>
            <w:tcW w:w="852" w:type="pct"/>
            <w:vMerge/>
            <w:vAlign w:val="center"/>
          </w:tcPr>
          <w:p w14:paraId="39003326" w14:textId="77777777" w:rsidR="00013E7D" w:rsidRPr="00A96AC5" w:rsidRDefault="00013E7D" w:rsidP="00F16CBF">
            <w:pPr>
              <w:spacing w:line="240" w:lineRule="auto"/>
              <w:jc w:val="left"/>
              <w:rPr>
                <w:rFonts w:cs="Times New Roman"/>
                <w:color w:val="000000"/>
                <w:sz w:val="22"/>
              </w:rPr>
            </w:pPr>
          </w:p>
        </w:tc>
        <w:tc>
          <w:tcPr>
            <w:tcW w:w="3061" w:type="pct"/>
          </w:tcPr>
          <w:p w14:paraId="57B70A1A" w14:textId="0C43306D" w:rsidR="00013E7D" w:rsidRPr="00A96AC5" w:rsidRDefault="00013E7D" w:rsidP="00F16CBF">
            <w:pPr>
              <w:spacing w:line="240" w:lineRule="auto"/>
              <w:rPr>
                <w:rFonts w:cs="Times New Roman"/>
                <w:color w:val="000000"/>
                <w:sz w:val="22"/>
              </w:rPr>
            </w:pPr>
            <w:r w:rsidRPr="00A96AC5">
              <w:rPr>
                <w:rFonts w:cs="Times New Roman"/>
                <w:color w:val="000000"/>
                <w:sz w:val="22"/>
              </w:rPr>
              <w:t>Seabirds (categories</w:t>
            </w:r>
            <w:r w:rsidR="00247948" w:rsidRPr="00A96AC5">
              <w:rPr>
                <w:rFonts w:cs="Times New Roman"/>
                <w:color w:val="000000"/>
                <w:sz w:val="22"/>
              </w:rPr>
              <w:t>,</w:t>
            </w:r>
            <w:r w:rsidRPr="00A96AC5">
              <w:rPr>
                <w:rFonts w:cs="Times New Roman"/>
                <w:color w:val="000000"/>
                <w:sz w:val="22"/>
              </w:rPr>
              <w:t xml:space="preserve"> numbers)</w:t>
            </w:r>
          </w:p>
        </w:tc>
      </w:tr>
      <w:tr w:rsidR="00013E7D" w:rsidRPr="008903D1" w14:paraId="585558C0" w14:textId="77777777" w:rsidTr="00D10D94">
        <w:trPr>
          <w:trHeight w:val="315"/>
          <w:jc w:val="center"/>
        </w:trPr>
        <w:tc>
          <w:tcPr>
            <w:tcW w:w="845" w:type="pct"/>
            <w:vMerge/>
          </w:tcPr>
          <w:p w14:paraId="6415D9E3" w14:textId="77777777" w:rsidR="00013E7D" w:rsidRPr="00A96AC5" w:rsidRDefault="00013E7D" w:rsidP="00F16CBF">
            <w:pPr>
              <w:spacing w:line="240" w:lineRule="auto"/>
              <w:rPr>
                <w:rFonts w:cs="Times New Roman"/>
                <w:color w:val="000000"/>
                <w:sz w:val="22"/>
              </w:rPr>
            </w:pPr>
          </w:p>
        </w:tc>
        <w:tc>
          <w:tcPr>
            <w:tcW w:w="242" w:type="pct"/>
            <w:vMerge/>
            <w:vAlign w:val="center"/>
          </w:tcPr>
          <w:p w14:paraId="3554C9B5" w14:textId="77777777" w:rsidR="00013E7D" w:rsidRPr="00A96AC5" w:rsidRDefault="00013E7D" w:rsidP="00F16CBF">
            <w:pPr>
              <w:spacing w:line="240" w:lineRule="auto"/>
              <w:jc w:val="center"/>
              <w:rPr>
                <w:rFonts w:cs="Times New Roman"/>
                <w:color w:val="000000"/>
                <w:sz w:val="22"/>
              </w:rPr>
            </w:pPr>
          </w:p>
        </w:tc>
        <w:tc>
          <w:tcPr>
            <w:tcW w:w="852" w:type="pct"/>
            <w:vMerge/>
            <w:vAlign w:val="center"/>
          </w:tcPr>
          <w:p w14:paraId="10CB0258" w14:textId="77777777" w:rsidR="00013E7D" w:rsidRPr="00A96AC5" w:rsidRDefault="00013E7D" w:rsidP="00F16CBF">
            <w:pPr>
              <w:spacing w:line="240" w:lineRule="auto"/>
              <w:jc w:val="left"/>
              <w:rPr>
                <w:rFonts w:cs="Times New Roman"/>
                <w:color w:val="000000"/>
                <w:sz w:val="22"/>
              </w:rPr>
            </w:pPr>
          </w:p>
        </w:tc>
        <w:tc>
          <w:tcPr>
            <w:tcW w:w="3061" w:type="pct"/>
          </w:tcPr>
          <w:p w14:paraId="5725986C" w14:textId="0296BA21" w:rsidR="00013E7D" w:rsidRPr="00A96AC5" w:rsidRDefault="00013E7D" w:rsidP="00F16CBF">
            <w:pPr>
              <w:spacing w:line="240" w:lineRule="auto"/>
              <w:rPr>
                <w:rFonts w:cs="Times New Roman"/>
                <w:color w:val="000000"/>
                <w:sz w:val="22"/>
              </w:rPr>
            </w:pPr>
            <w:r w:rsidRPr="00A96AC5">
              <w:rPr>
                <w:rFonts w:cs="Times New Roman"/>
                <w:color w:val="000000"/>
                <w:sz w:val="22"/>
              </w:rPr>
              <w:t>Water and wetland birds (categories</w:t>
            </w:r>
            <w:r w:rsidR="00247948" w:rsidRPr="00A96AC5">
              <w:rPr>
                <w:rFonts w:cs="Times New Roman"/>
                <w:color w:val="000000"/>
                <w:sz w:val="22"/>
              </w:rPr>
              <w:t>,</w:t>
            </w:r>
            <w:r w:rsidRPr="00A96AC5">
              <w:rPr>
                <w:rFonts w:cs="Times New Roman"/>
                <w:color w:val="000000"/>
                <w:sz w:val="22"/>
              </w:rPr>
              <w:t xml:space="preserve"> numbers)</w:t>
            </w:r>
          </w:p>
        </w:tc>
      </w:tr>
      <w:tr w:rsidR="00013E7D" w:rsidRPr="008903D1" w14:paraId="2C37BE08" w14:textId="77777777" w:rsidTr="00D10D94">
        <w:trPr>
          <w:trHeight w:val="615"/>
          <w:jc w:val="center"/>
        </w:trPr>
        <w:tc>
          <w:tcPr>
            <w:tcW w:w="845" w:type="pct"/>
            <w:vMerge/>
          </w:tcPr>
          <w:p w14:paraId="5D3A9EB5" w14:textId="77777777" w:rsidR="00013E7D" w:rsidRPr="00A96AC5" w:rsidRDefault="00013E7D" w:rsidP="00F16CBF">
            <w:pPr>
              <w:spacing w:line="240" w:lineRule="auto"/>
              <w:jc w:val="center"/>
              <w:rPr>
                <w:rFonts w:cs="Times New Roman"/>
                <w:color w:val="000000"/>
                <w:sz w:val="22"/>
              </w:rPr>
            </w:pPr>
          </w:p>
        </w:tc>
        <w:tc>
          <w:tcPr>
            <w:tcW w:w="242" w:type="pct"/>
            <w:vAlign w:val="center"/>
          </w:tcPr>
          <w:p w14:paraId="2CE7613E" w14:textId="77777777" w:rsidR="00013E7D" w:rsidRPr="00A96AC5" w:rsidRDefault="00013E7D" w:rsidP="00F16CBF">
            <w:pPr>
              <w:spacing w:line="240" w:lineRule="auto"/>
              <w:jc w:val="center"/>
              <w:rPr>
                <w:rFonts w:cs="Times New Roman"/>
                <w:color w:val="000000"/>
                <w:sz w:val="22"/>
              </w:rPr>
            </w:pPr>
            <w:r w:rsidRPr="00A96AC5">
              <w:rPr>
                <w:rFonts w:cs="Times New Roman"/>
                <w:color w:val="000000"/>
                <w:sz w:val="22"/>
              </w:rPr>
              <w:t>12</w:t>
            </w:r>
          </w:p>
        </w:tc>
        <w:tc>
          <w:tcPr>
            <w:tcW w:w="852" w:type="pct"/>
            <w:vAlign w:val="center"/>
          </w:tcPr>
          <w:p w14:paraId="438A590C" w14:textId="77777777" w:rsidR="00013E7D" w:rsidRPr="00A96AC5" w:rsidRDefault="00013E7D" w:rsidP="00F16CBF">
            <w:pPr>
              <w:spacing w:line="240" w:lineRule="auto"/>
              <w:jc w:val="left"/>
              <w:rPr>
                <w:rFonts w:cs="Times New Roman"/>
                <w:color w:val="000000"/>
                <w:sz w:val="22"/>
              </w:rPr>
            </w:pPr>
            <w:r w:rsidRPr="00A96AC5">
              <w:rPr>
                <w:rFonts w:cs="Times New Roman"/>
                <w:color w:val="000000"/>
                <w:sz w:val="22"/>
              </w:rPr>
              <w:t xml:space="preserve"> Water use</w:t>
            </w:r>
          </w:p>
        </w:tc>
        <w:tc>
          <w:tcPr>
            <w:tcW w:w="3061" w:type="pct"/>
          </w:tcPr>
          <w:p w14:paraId="2D86ECD0" w14:textId="77777777" w:rsidR="00013E7D" w:rsidRPr="00A96AC5" w:rsidRDefault="00013E7D" w:rsidP="00F16CBF">
            <w:pPr>
              <w:spacing w:line="240" w:lineRule="auto"/>
              <w:rPr>
                <w:rFonts w:cs="Times New Roman"/>
                <w:color w:val="000000"/>
                <w:sz w:val="22"/>
              </w:rPr>
            </w:pPr>
            <w:r w:rsidRPr="00A96AC5">
              <w:rPr>
                <w:rFonts w:cs="Times New Roman"/>
                <w:color w:val="000000"/>
                <w:sz w:val="22"/>
              </w:rPr>
              <w:t>Abstractions from non-tidal surface waters and ground waters (cubic meters)</w:t>
            </w:r>
          </w:p>
        </w:tc>
      </w:tr>
    </w:tbl>
    <w:p w14:paraId="028CF7EF" w14:textId="6754A300" w:rsidR="00D82070" w:rsidRPr="00737239" w:rsidRDefault="007B5959" w:rsidP="000A4E8C">
      <w:pPr>
        <w:pStyle w:val="Caption"/>
        <w:spacing w:after="0" w:line="360" w:lineRule="auto"/>
        <w:rPr>
          <w:rFonts w:cs="Times New Roman"/>
        </w:rPr>
      </w:pPr>
      <w:bookmarkStart w:id="76" w:name="_Ref44946118"/>
      <w:bookmarkStart w:id="77" w:name="_Toc40794156"/>
      <w:bookmarkStart w:id="78" w:name="_Toc46053530"/>
      <w:bookmarkStart w:id="79" w:name="_Toc46093779"/>
      <w:bookmarkStart w:id="80" w:name="_Toc66698747"/>
      <w:bookmarkStart w:id="81" w:name="_Ref532214617"/>
      <w:bookmarkStart w:id="82" w:name="_Toc34674925"/>
      <w:bookmarkStart w:id="83" w:name="_Toc491870105"/>
      <w:bookmarkStart w:id="84" w:name="_Ref30085237"/>
      <w:r>
        <w:rPr>
          <w:rFonts w:cs="Times New Roman"/>
        </w:rPr>
        <w:t>Table</w:t>
      </w:r>
      <w:r w:rsidR="00D82070"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1</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5</w:t>
      </w:r>
      <w:r w:rsidR="00FE10DA">
        <w:rPr>
          <w:rFonts w:cs="Times New Roman"/>
        </w:rPr>
        <w:fldChar w:fldCharType="end"/>
      </w:r>
      <w:bookmarkEnd w:id="76"/>
      <w:r w:rsidR="00C27E7C">
        <w:rPr>
          <w:rFonts w:cs="Times New Roman"/>
        </w:rPr>
        <w:t xml:space="preserve">: </w:t>
      </w:r>
      <w:r w:rsidR="00D82070" w:rsidRPr="008903D1">
        <w:rPr>
          <w:rFonts w:cs="Times New Roman"/>
        </w:rPr>
        <w:t xml:space="preserve">UK sustainable development </w:t>
      </w:r>
      <w:r w:rsidR="009E1F6D" w:rsidRPr="008903D1">
        <w:rPr>
          <w:rFonts w:cs="Times New Roman"/>
        </w:rPr>
        <w:t>indicators (</w:t>
      </w:r>
      <w:r w:rsidR="00D82070" w:rsidRPr="008903D1">
        <w:rPr>
          <w:rFonts w:cs="Times New Roman"/>
        </w:rPr>
        <w:t xml:space="preserve">Adapted from </w:t>
      </w:r>
      <w:r w:rsidR="00D82070" w:rsidRPr="00737239">
        <w:rPr>
          <w:rFonts w:cs="Times New Roman"/>
        </w:rPr>
        <w:t>Department for Environment, Food &amp; Rural Affairs [2013])</w:t>
      </w:r>
      <w:bookmarkEnd w:id="77"/>
      <w:bookmarkEnd w:id="78"/>
      <w:bookmarkEnd w:id="79"/>
      <w:bookmarkEnd w:id="80"/>
    </w:p>
    <w:p w14:paraId="29289130" w14:textId="3225C439" w:rsidR="00247948" w:rsidRPr="00A96AC5" w:rsidRDefault="00013E7D" w:rsidP="00010E01">
      <w:pPr>
        <w:spacing w:before="240" w:after="240" w:line="360" w:lineRule="auto"/>
        <w:rPr>
          <w:rFonts w:cs="Times New Roman"/>
        </w:rPr>
      </w:pPr>
      <w:bookmarkStart w:id="85" w:name="_Toc490415371"/>
      <w:bookmarkEnd w:id="81"/>
      <w:bookmarkEnd w:id="82"/>
      <w:bookmarkEnd w:id="83"/>
      <w:bookmarkEnd w:id="84"/>
      <w:r w:rsidRPr="00A96AC5">
        <w:rPr>
          <w:rFonts w:cs="Times New Roman"/>
        </w:rPr>
        <w:t>Urbanisation has pushed half the world</w:t>
      </w:r>
      <w:r w:rsidR="00C15339" w:rsidRPr="00A96AC5">
        <w:rPr>
          <w:rFonts w:cs="Times New Roman"/>
        </w:rPr>
        <w:t>’</w:t>
      </w:r>
      <w:r w:rsidRPr="00A96AC5">
        <w:rPr>
          <w:rFonts w:cs="Times New Roman"/>
        </w:rPr>
        <w:t xml:space="preserve">s population to seek opportunities in cities. </w:t>
      </w:r>
      <w:r w:rsidR="00247948" w:rsidRPr="00A96AC5">
        <w:rPr>
          <w:rFonts w:cs="Times New Roman"/>
        </w:rPr>
        <w:t>R</w:t>
      </w:r>
      <w:r w:rsidRPr="00A96AC5">
        <w:rPr>
          <w:rFonts w:cs="Times New Roman"/>
        </w:rPr>
        <w:t xml:space="preserve">apid population growth </w:t>
      </w:r>
      <w:r w:rsidR="00247948" w:rsidRPr="00A96AC5">
        <w:rPr>
          <w:rFonts w:cs="Times New Roman"/>
        </w:rPr>
        <w:t xml:space="preserve">increases </w:t>
      </w:r>
      <w:r w:rsidR="00F4608B">
        <w:rPr>
          <w:rFonts w:cs="Times New Roman"/>
        </w:rPr>
        <w:t xml:space="preserve">the </w:t>
      </w:r>
      <w:r w:rsidRPr="00A96AC5">
        <w:rPr>
          <w:rFonts w:cs="Times New Roman"/>
        </w:rPr>
        <w:t xml:space="preserve">demand for resources, energy, water, and sanitation services. </w:t>
      </w:r>
      <w:r w:rsidR="00247948" w:rsidRPr="00A96AC5">
        <w:rPr>
          <w:rFonts w:cs="Times New Roman"/>
        </w:rPr>
        <w:t>C</w:t>
      </w:r>
      <w:r w:rsidRPr="00A96AC5">
        <w:rPr>
          <w:rFonts w:cs="Times New Roman"/>
        </w:rPr>
        <w:t xml:space="preserve">ities </w:t>
      </w:r>
      <w:r w:rsidR="00247948" w:rsidRPr="00A96AC5">
        <w:rPr>
          <w:rFonts w:cs="Times New Roman"/>
        </w:rPr>
        <w:t xml:space="preserve">then </w:t>
      </w:r>
      <w:r w:rsidRPr="00A96AC5">
        <w:rPr>
          <w:rFonts w:cs="Times New Roman"/>
        </w:rPr>
        <w:t xml:space="preserve">experience environmental problems </w:t>
      </w:r>
      <w:r w:rsidR="004354F3" w:rsidRPr="00A96AC5">
        <w:rPr>
          <w:rFonts w:cs="Times New Roman"/>
        </w:rPr>
        <w:t>because of</w:t>
      </w:r>
      <w:r w:rsidR="00247948" w:rsidRPr="00A96AC5">
        <w:rPr>
          <w:rFonts w:cs="Times New Roman"/>
        </w:rPr>
        <w:t xml:space="preserve"> rapidly increasing </w:t>
      </w:r>
      <w:r w:rsidRPr="00A96AC5">
        <w:rPr>
          <w:rFonts w:cs="Times New Roman"/>
        </w:rPr>
        <w:t xml:space="preserve">resource consumption </w:t>
      </w:r>
      <w:r w:rsidR="00E028F5">
        <w:fldChar w:fldCharType="begin"/>
      </w:r>
      <w:r w:rsidR="00647E79">
        <w:instrText xml:space="preserve"> ADDIN EN.CITE &lt;EndNote&gt;&lt;Cite&gt;&lt;Author&gt;DES&lt;/Author&gt;&lt;Year&gt;2013&lt;/Year&gt;&lt;RecNum&gt;17&lt;/RecNum&gt;&lt;DisplayText&gt;(DES, 2013)&lt;/DisplayText&gt;&lt;record&gt;&lt;rec-number&gt;17&lt;/rec-number&gt;&lt;foreign-keys&gt;&lt;key app="EN" db-id="pzt5ep52hsedfpeext2pdfes0w0aswaewef2" timestamp="1605187992"&gt;17&lt;/key&gt;&lt;/foreign-keys&gt;&lt;ref-type name="Journal Article"&gt;17&lt;/ref-type&gt;&lt;contributors&gt;&lt;authors&gt;&lt;author&gt;DES, UN&lt;/author&gt;&lt;/authors&gt;&lt;/contributors&gt;&lt;titles&gt;&lt;title&gt;World economic and social survey 2013: sustainable development challenges&lt;/title&gt;&lt;secondary-title&gt;United Nations, Department of Economic and Social Affairs, New York&lt;/secondary-title&gt;&lt;/titles&gt;&lt;periodical&gt;&lt;full-title&gt;United Nations, Department of Economic and Social Affairs, New York&lt;/full-title&gt;&lt;/periodical&gt;&lt;dates&gt;&lt;year&gt;2013&lt;/year&gt;&lt;/dates&gt;&lt;urls&gt;&lt;/urls&gt;&lt;/record&gt;&lt;/Cite&gt;&lt;/EndNote&gt;</w:instrText>
      </w:r>
      <w:r w:rsidR="00E028F5">
        <w:fldChar w:fldCharType="separate"/>
      </w:r>
      <w:r w:rsidR="00E028F5">
        <w:rPr>
          <w:noProof/>
        </w:rPr>
        <w:t>(DES, 2013)</w:t>
      </w:r>
      <w:r w:rsidR="00E028F5">
        <w:fldChar w:fldCharType="end"/>
      </w:r>
      <w:r w:rsidR="005C58F8" w:rsidRPr="00A96AC5">
        <w:rPr>
          <w:rFonts w:cs="Times New Roman"/>
        </w:rPr>
        <w:t xml:space="preserve">. </w:t>
      </w:r>
      <w:r w:rsidRPr="00A96AC5">
        <w:rPr>
          <w:rFonts w:cs="Times New Roman"/>
        </w:rPr>
        <w:t xml:space="preserve">Unbalanced development patterns </w:t>
      </w:r>
      <w:r w:rsidR="00247948" w:rsidRPr="00A96AC5">
        <w:rPr>
          <w:rFonts w:cs="Times New Roman"/>
        </w:rPr>
        <w:t xml:space="preserve">lead </w:t>
      </w:r>
      <w:r w:rsidRPr="00A96AC5">
        <w:rPr>
          <w:rFonts w:cs="Times New Roman"/>
        </w:rPr>
        <w:t xml:space="preserve">to poverty, crime, </w:t>
      </w:r>
      <w:r w:rsidR="00247948" w:rsidRPr="00A96AC5">
        <w:rPr>
          <w:rFonts w:cs="Times New Roman"/>
        </w:rPr>
        <w:t xml:space="preserve">and </w:t>
      </w:r>
      <w:r w:rsidRPr="00A96AC5">
        <w:rPr>
          <w:rFonts w:cs="Times New Roman"/>
        </w:rPr>
        <w:t>inadequ</w:t>
      </w:r>
      <w:r w:rsidR="00247948" w:rsidRPr="00A96AC5">
        <w:rPr>
          <w:rFonts w:cs="Times New Roman"/>
        </w:rPr>
        <w:t xml:space="preserve">ate </w:t>
      </w:r>
      <w:r w:rsidRPr="00A96AC5">
        <w:rPr>
          <w:rFonts w:cs="Times New Roman"/>
        </w:rPr>
        <w:t xml:space="preserve">public services, as well as poor education and </w:t>
      </w:r>
      <w:r w:rsidR="00BC30D1">
        <w:rPr>
          <w:rFonts w:cs="Times New Roman"/>
        </w:rPr>
        <w:t xml:space="preserve">a lack of </w:t>
      </w:r>
      <w:r w:rsidRPr="00A96AC5">
        <w:rPr>
          <w:rFonts w:cs="Times New Roman"/>
        </w:rPr>
        <w:t>medical resources in some urban areas. All this</w:t>
      </w:r>
      <w:r w:rsidR="00FD13A1">
        <w:rPr>
          <w:rFonts w:cs="Times New Roman"/>
        </w:rPr>
        <w:t>,</w:t>
      </w:r>
      <w:r w:rsidRPr="00A96AC5">
        <w:rPr>
          <w:rFonts w:cs="Times New Roman"/>
        </w:rPr>
        <w:t xml:space="preserve"> </w:t>
      </w:r>
      <w:r w:rsidR="00247948" w:rsidRPr="00A96AC5">
        <w:rPr>
          <w:rFonts w:cs="Times New Roman"/>
        </w:rPr>
        <w:t>then</w:t>
      </w:r>
      <w:r w:rsidR="00FD13A1">
        <w:rPr>
          <w:rFonts w:cs="Times New Roman"/>
        </w:rPr>
        <w:t>,</w:t>
      </w:r>
      <w:r w:rsidR="00247948" w:rsidRPr="00A96AC5">
        <w:rPr>
          <w:rFonts w:cs="Times New Roman"/>
        </w:rPr>
        <w:t xml:space="preserve"> </w:t>
      </w:r>
      <w:r w:rsidRPr="00A96AC5">
        <w:rPr>
          <w:rFonts w:cs="Times New Roman"/>
        </w:rPr>
        <w:t>become</w:t>
      </w:r>
      <w:r w:rsidR="00247948" w:rsidRPr="00A96AC5">
        <w:rPr>
          <w:rFonts w:cs="Times New Roman"/>
        </w:rPr>
        <w:t>s</w:t>
      </w:r>
      <w:r w:rsidRPr="00A96AC5">
        <w:rPr>
          <w:rFonts w:cs="Times New Roman"/>
        </w:rPr>
        <w:t xml:space="preserve"> a source of turbulence (DES, 2013). The problems of economic and social development in city areas have attracted much attention, and many studies have focused on improving urban ecological environment</w:t>
      </w:r>
      <w:r w:rsidR="00C452D2">
        <w:rPr>
          <w:rFonts w:cs="Times New Roman"/>
        </w:rPr>
        <w:t>s</w:t>
      </w:r>
      <w:r w:rsidRPr="00A96AC5">
        <w:rPr>
          <w:rFonts w:cs="Times New Roman"/>
        </w:rPr>
        <w:t xml:space="preserve"> to, in turn, improve the quality of residents</w:t>
      </w:r>
      <w:r w:rsidR="00C15339" w:rsidRPr="00A96AC5">
        <w:rPr>
          <w:rFonts w:cs="Times New Roman"/>
        </w:rPr>
        <w:t>’</w:t>
      </w:r>
      <w:r w:rsidRPr="00A96AC5">
        <w:rPr>
          <w:rFonts w:cs="Times New Roman"/>
        </w:rPr>
        <w:t xml:space="preserve"> lives </w:t>
      </w:r>
      <w:r w:rsidR="00E028F5">
        <w:fldChar w:fldCharType="begin"/>
      </w:r>
      <w:r w:rsidR="00647E79">
        <w:instrText xml:space="preserve"> ADDIN EN.CITE &lt;EndNote&gt;&lt;Cite&gt;&lt;Author&gt;Haughton&lt;/Author&gt;&lt;Year&gt;1997&lt;/Year&gt;&lt;RecNum&gt;18&lt;/RecNum&gt;&lt;DisplayText&gt;(Haughton, 1997)&lt;/DisplayText&gt;&lt;record&gt;&lt;rec-number&gt;18&lt;/rec-number&gt;&lt;foreign-keys&gt;&lt;key app="EN" db-id="pzt5ep52hsedfpeext2pdfes0w0aswaewef2" timestamp="1605187992"&gt;18&lt;/key&gt;&lt;/foreign-keys&gt;&lt;ref-type name="Journal Article"&gt;17&lt;/ref-type&gt;&lt;contributors&gt;&lt;authors&gt;&lt;author&gt;Haughton, Graham&lt;/author&gt;&lt;/authors&gt;&lt;/contributors&gt;&lt;titles&gt;&lt;title&gt;Developing sustainable urban development models&lt;/title&gt;&lt;secondary-title&gt;Cities&lt;/secondary-title&gt;&lt;/titles&gt;&lt;periodical&gt;&lt;full-title&gt;Cities&lt;/full-title&gt;&lt;/periodical&gt;&lt;pages&gt;189-195&lt;/pages&gt;&lt;volume&gt;14&lt;/volume&gt;&lt;number&gt;4&lt;/number&gt;&lt;dates&gt;&lt;year&gt;1997&lt;/year&gt;&lt;/dates&gt;&lt;isbn&gt;0264-2751&lt;/isbn&gt;&lt;urls&gt;&lt;/urls&gt;&lt;/record&gt;&lt;/Cite&gt;&lt;/EndNote&gt;</w:instrText>
      </w:r>
      <w:r w:rsidR="00E028F5">
        <w:fldChar w:fldCharType="separate"/>
      </w:r>
      <w:r w:rsidR="00E028F5">
        <w:rPr>
          <w:noProof/>
        </w:rPr>
        <w:t>(Haughton, 1997)</w:t>
      </w:r>
      <w:r w:rsidR="00E028F5">
        <w:fldChar w:fldCharType="end"/>
      </w:r>
      <w:r w:rsidR="00D1282A" w:rsidRPr="00A96AC5">
        <w:rPr>
          <w:rFonts w:cs="Times New Roman"/>
        </w:rPr>
        <w:t xml:space="preserve">. </w:t>
      </w:r>
      <w:r w:rsidR="00E028F5">
        <w:fldChar w:fldCharType="begin"/>
      </w:r>
      <w:r w:rsidR="00647E79">
        <w:instrText xml:space="preserve"> ADDIN EN.CITE &lt;EndNote&gt;&lt;Cite AuthorYear="1"&gt;&lt;Author&gt;Camagni&lt;/Author&gt;&lt;Year&gt;1998&lt;/Year&gt;&lt;RecNum&gt;19&lt;/RecNum&gt;&lt;DisplayText&gt;Camagni (1998)&lt;/DisplayText&gt;&lt;record&gt;&lt;rec-number&gt;19&lt;/rec-number&gt;&lt;foreign-keys&gt;&lt;key app="EN" db-id="pzt5ep52hsedfpeext2pdfes0w0aswaewef2" timestamp="1605187992"&gt;19&lt;/key&gt;&lt;/foreign-keys&gt;&lt;ref-type name="Book Section"&gt;5&lt;/ref-type&gt;&lt;contributors&gt;&lt;authors&gt;&lt;author&gt;Camagni, Roberto&lt;/author&gt;&lt;/authors&gt;&lt;/contributors&gt;&lt;titles&gt;&lt;title&gt;Beyond complexity in urban development studies&lt;/title&gt;&lt;secondary-title&gt;The city and its sciences&lt;/secondary-title&gt;&lt;/titles&gt;&lt;pages&gt;363-385&lt;/pages&gt;&lt;dates&gt;&lt;year&gt;1998&lt;/year&gt;&lt;/dates&gt;&lt;publisher&gt;Springer&lt;/publisher&gt;&lt;urls&gt;&lt;/urls&gt;&lt;/record&gt;&lt;/Cite&gt;&lt;/EndNote&gt;</w:instrText>
      </w:r>
      <w:r w:rsidR="00E028F5">
        <w:fldChar w:fldCharType="separate"/>
      </w:r>
      <w:r w:rsidR="008F38F6">
        <w:rPr>
          <w:noProof/>
        </w:rPr>
        <w:t>Camagni (1998)</w:t>
      </w:r>
      <w:r w:rsidR="00E028F5">
        <w:fldChar w:fldCharType="end"/>
      </w:r>
      <w:r w:rsidR="008F38F6">
        <w:t xml:space="preserve"> </w:t>
      </w:r>
      <w:r w:rsidRPr="00A96AC5">
        <w:rPr>
          <w:rFonts w:cs="Times New Roman"/>
        </w:rPr>
        <w:t xml:space="preserve">provided the first </w:t>
      </w:r>
      <w:r w:rsidR="00247948" w:rsidRPr="00A96AC5">
        <w:rPr>
          <w:rFonts w:cs="Times New Roman"/>
        </w:rPr>
        <w:t xml:space="preserve">synthesised </w:t>
      </w:r>
      <w:r w:rsidRPr="00A96AC5">
        <w:rPr>
          <w:rFonts w:cs="Times New Roman"/>
        </w:rPr>
        <w:t>definition of the urban sustainable development</w:t>
      </w:r>
      <w:r w:rsidR="008A5B07" w:rsidRPr="00A96AC5">
        <w:rPr>
          <w:rFonts w:cs="Times New Roman"/>
        </w:rPr>
        <w:t xml:space="preserve"> (SUD)</w:t>
      </w:r>
      <w:r w:rsidRPr="00A96AC5">
        <w:rPr>
          <w:rFonts w:cs="Times New Roman"/>
        </w:rPr>
        <w:t xml:space="preserve"> concept</w:t>
      </w:r>
      <w:r w:rsidR="00247948" w:rsidRPr="00A96AC5">
        <w:rPr>
          <w:rFonts w:cs="Times New Roman"/>
        </w:rPr>
        <w:t>:</w:t>
      </w:r>
      <w:r w:rsidRPr="00A96AC5">
        <w:rPr>
          <w:rFonts w:cs="Times New Roman"/>
        </w:rPr>
        <w:t xml:space="preserve"> </w:t>
      </w:r>
    </w:p>
    <w:p w14:paraId="69D7617C" w14:textId="0BDE49F4" w:rsidR="00013E7D" w:rsidRPr="00010E01" w:rsidRDefault="00247948" w:rsidP="00010E01">
      <w:pPr>
        <w:spacing w:before="240" w:after="240" w:line="360" w:lineRule="auto"/>
        <w:ind w:left="851"/>
        <w:rPr>
          <w:rFonts w:cs="Times New Roman"/>
          <w:i/>
        </w:rPr>
      </w:pPr>
      <w:r w:rsidRPr="00A96AC5">
        <w:rPr>
          <w:rFonts w:cs="Times New Roman"/>
          <w:i/>
        </w:rPr>
        <w:t>A</w:t>
      </w:r>
      <w:r w:rsidR="00013E7D" w:rsidRPr="00A96AC5">
        <w:rPr>
          <w:rFonts w:cs="Times New Roman"/>
          <w:i/>
        </w:rPr>
        <w:t xml:space="preserve"> process of synergetic integration and co-evolution among the great subsystems making up a city (economic, social, </w:t>
      </w:r>
      <w:proofErr w:type="gramStart"/>
      <w:r w:rsidR="00013E7D" w:rsidRPr="00A96AC5">
        <w:rPr>
          <w:rFonts w:cs="Times New Roman"/>
          <w:i/>
        </w:rPr>
        <w:t>physical</w:t>
      </w:r>
      <w:proofErr w:type="gramEnd"/>
      <w:r w:rsidR="00013E7D" w:rsidRPr="00A96AC5">
        <w:rPr>
          <w:rFonts w:cs="Times New Roman"/>
          <w:i/>
        </w:rPr>
        <w:t xml:space="preserve"> and environmental), which guarantees the local population a non-decreasing level of wellbeing in the long term, without compromising the possibilities of development of surrounding areas and contributing by this towards reducing the harmful effects of development on the biosphere. </w:t>
      </w:r>
    </w:p>
    <w:p w14:paraId="06C3C930" w14:textId="0F8D3BFD" w:rsidR="00013E7D" w:rsidRPr="00802DC5" w:rsidRDefault="00013E7D" w:rsidP="00010E01">
      <w:pPr>
        <w:spacing w:before="240" w:after="240" w:line="360" w:lineRule="auto"/>
        <w:rPr>
          <w:rFonts w:cs="Times New Roman"/>
        </w:rPr>
      </w:pPr>
      <w:r w:rsidRPr="00A96AC5">
        <w:rPr>
          <w:rFonts w:cs="Times New Roman"/>
        </w:rPr>
        <w:lastRenderedPageBreak/>
        <w:t xml:space="preserve">Additionally, the </w:t>
      </w:r>
      <w:r w:rsidR="00247948" w:rsidRPr="00A96AC5">
        <w:rPr>
          <w:rFonts w:cs="Times New Roman"/>
        </w:rPr>
        <w:t xml:space="preserve">EU </w:t>
      </w:r>
      <w:r w:rsidRPr="00A96AC5">
        <w:rPr>
          <w:rFonts w:cs="Times New Roman"/>
        </w:rPr>
        <w:t xml:space="preserve">identifies </w:t>
      </w:r>
      <w:r w:rsidR="00247948" w:rsidRPr="00A96AC5">
        <w:rPr>
          <w:rFonts w:cs="Times New Roman"/>
        </w:rPr>
        <w:t xml:space="preserve">10 </w:t>
      </w:r>
      <w:r w:rsidRPr="00A96AC5">
        <w:rPr>
          <w:rFonts w:cs="Times New Roman"/>
        </w:rPr>
        <w:t xml:space="preserve">key indicators of USD. </w:t>
      </w:r>
      <w:r w:rsidRPr="00737239">
        <w:rPr>
          <w:rFonts w:cs="Times New Roman"/>
        </w:rPr>
        <w:fldChar w:fldCharType="begin"/>
      </w:r>
      <w:r w:rsidRPr="00A96AC5">
        <w:rPr>
          <w:rFonts w:cs="Times New Roman"/>
        </w:rPr>
        <w:instrText xml:space="preserve"> REF _Ref30085416 \h </w:instrText>
      </w:r>
      <w:r w:rsidR="008903D1">
        <w:rPr>
          <w:rFonts w:cs="Times New Roman"/>
        </w:rPr>
        <w:instrText xml:space="preserve"> \* MERGEFORMAT </w:instrText>
      </w:r>
      <w:r w:rsidRPr="00737239">
        <w:rPr>
          <w:rFonts w:cs="Times New Roman"/>
        </w:rPr>
      </w:r>
      <w:r w:rsidRPr="00737239">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1</w:t>
      </w:r>
      <w:r w:rsidR="0005064B">
        <w:rPr>
          <w:rFonts w:cs="Times New Roman"/>
          <w:noProof/>
        </w:rPr>
        <w:noBreakHyphen/>
        <w:t>6</w:t>
      </w:r>
      <w:r w:rsidRPr="00737239">
        <w:rPr>
          <w:rFonts w:cs="Times New Roman"/>
        </w:rPr>
        <w:fldChar w:fldCharType="end"/>
      </w:r>
      <w:r w:rsidRPr="008903D1">
        <w:rPr>
          <w:rFonts w:cs="Times New Roman"/>
        </w:rPr>
        <w:t xml:space="preserve"> describes these indicators and their articulation into 13 sub-indicators </w:t>
      </w:r>
      <w:r w:rsidR="00E028F5">
        <w:rPr>
          <w:noProof/>
        </w:rPr>
        <w:fldChar w:fldCharType="begin"/>
      </w:r>
      <w:r w:rsidR="00647E79">
        <w:rPr>
          <w:noProof/>
        </w:rPr>
        <w:instrText xml:space="preserve"> ADDIN EN.CITE &lt;EndNote&gt;&lt;Cite&gt;&lt;Author&gt;Science for Environment Policy&lt;/Author&gt;&lt;Year&gt;2018&lt;/Year&gt;&lt;RecNum&gt;20&lt;/RecNum&gt;&lt;DisplayText&gt;(Science for Environment Policy, 2018)&lt;/DisplayText&gt;&lt;record&gt;&lt;rec-number&gt;20&lt;/rec-number&gt;&lt;foreign-keys&gt;&lt;key app="EN" db-id="pzt5ep52hsedfpeext2pdfes0w0aswaewef2" timestamp="1605187992"&gt;20&lt;/key&gt;&lt;/foreign-keys&gt;&lt;ref-type name="Report"&gt;27&lt;/ref-type&gt;&lt;contributors&gt;&lt;authors&gt;&lt;author&gt;Science for Environment Policy,&lt;/author&gt;&lt;/authors&gt;&lt;tertiary-authors&gt;&lt;author&gt;The Science Communication&lt;/author&gt;&lt;/tertiary-authors&gt;&lt;/contributors&gt;&lt;titles&gt;&lt;title&gt; Indicators for sustainable cities. In-depth Report 12. Produced for the European Commission DG Environment&lt;/title&gt;&lt;/titles&gt;&lt;dates&gt;&lt;year&gt;2018&lt;/year&gt;&lt;/dates&gt;&lt;pub-location&gt;UWE, Bristol&lt;/pub-location&gt;&lt;urls&gt;&lt;related-urls&gt;&lt;url&gt;http://ec.europa.eu/science-environment-policy&lt;/url&gt;&lt;/related-urls&gt;&lt;/urls&gt;&lt;/record&gt;&lt;/Cite&gt;&lt;/EndNote&gt;</w:instrText>
      </w:r>
      <w:r w:rsidR="00E028F5">
        <w:rPr>
          <w:noProof/>
        </w:rPr>
        <w:fldChar w:fldCharType="separate"/>
      </w:r>
      <w:r w:rsidR="00E028F5">
        <w:rPr>
          <w:noProof/>
        </w:rPr>
        <w:t>(Science for Environment Policy, 2018)</w:t>
      </w:r>
      <w:r w:rsidR="00E028F5">
        <w:rPr>
          <w:noProof/>
        </w:rPr>
        <w:fldChar w:fldCharType="end"/>
      </w:r>
      <w:r w:rsidR="00D1282A" w:rsidRPr="00737239">
        <w:rPr>
          <w:rFonts w:cs="Times New Roman"/>
        </w:rPr>
        <w:t>.</w:t>
      </w:r>
    </w:p>
    <w:tbl>
      <w:tblPr>
        <w:tblStyle w:val="TableGrid"/>
        <w:tblW w:w="0" w:type="auto"/>
        <w:tblLook w:val="04A0" w:firstRow="1" w:lastRow="0" w:firstColumn="1" w:lastColumn="0" w:noHBand="0" w:noVBand="1"/>
      </w:tblPr>
      <w:tblGrid>
        <w:gridCol w:w="1555"/>
        <w:gridCol w:w="1984"/>
        <w:gridCol w:w="5477"/>
      </w:tblGrid>
      <w:tr w:rsidR="00013E7D" w:rsidRPr="008903D1" w14:paraId="35C4E94D" w14:textId="77777777" w:rsidTr="00D10D94">
        <w:tc>
          <w:tcPr>
            <w:tcW w:w="1555" w:type="dxa"/>
            <w:vAlign w:val="center"/>
          </w:tcPr>
          <w:p w14:paraId="2009E293" w14:textId="77777777" w:rsidR="00013E7D" w:rsidRPr="008903D1" w:rsidRDefault="00013E7D" w:rsidP="00010E01">
            <w:pPr>
              <w:spacing w:line="240" w:lineRule="auto"/>
              <w:jc w:val="center"/>
              <w:rPr>
                <w:rFonts w:cs="Times New Roman"/>
                <w:b/>
                <w:bCs/>
                <w:sz w:val="22"/>
              </w:rPr>
            </w:pPr>
            <w:r w:rsidRPr="008903D1">
              <w:rPr>
                <w:rFonts w:cs="Times New Roman"/>
                <w:b/>
                <w:bCs/>
                <w:sz w:val="22"/>
              </w:rPr>
              <w:t>Dimension</w:t>
            </w:r>
          </w:p>
        </w:tc>
        <w:tc>
          <w:tcPr>
            <w:tcW w:w="1984" w:type="dxa"/>
            <w:vAlign w:val="center"/>
          </w:tcPr>
          <w:p w14:paraId="3645D45B" w14:textId="77777777" w:rsidR="00013E7D" w:rsidRPr="008903D1" w:rsidRDefault="00013E7D" w:rsidP="00010E01">
            <w:pPr>
              <w:spacing w:line="240" w:lineRule="auto"/>
              <w:jc w:val="center"/>
              <w:rPr>
                <w:rFonts w:cs="Times New Roman"/>
                <w:b/>
                <w:bCs/>
                <w:sz w:val="22"/>
              </w:rPr>
            </w:pPr>
            <w:r w:rsidRPr="008903D1">
              <w:rPr>
                <w:rFonts w:cs="Times New Roman"/>
                <w:b/>
                <w:bCs/>
                <w:sz w:val="22"/>
              </w:rPr>
              <w:t>Indicator</w:t>
            </w:r>
          </w:p>
        </w:tc>
        <w:tc>
          <w:tcPr>
            <w:tcW w:w="5477" w:type="dxa"/>
            <w:vAlign w:val="center"/>
          </w:tcPr>
          <w:p w14:paraId="2FF06E51" w14:textId="77777777" w:rsidR="00013E7D" w:rsidRPr="008903D1" w:rsidRDefault="00013E7D" w:rsidP="00010E01">
            <w:pPr>
              <w:spacing w:line="240" w:lineRule="auto"/>
              <w:jc w:val="center"/>
              <w:rPr>
                <w:rFonts w:cs="Times New Roman"/>
                <w:b/>
                <w:bCs/>
                <w:sz w:val="22"/>
              </w:rPr>
            </w:pPr>
            <w:r w:rsidRPr="008903D1">
              <w:rPr>
                <w:rFonts w:cs="Times New Roman"/>
                <w:b/>
                <w:bCs/>
                <w:sz w:val="22"/>
              </w:rPr>
              <w:t>Measures</w:t>
            </w:r>
          </w:p>
        </w:tc>
      </w:tr>
      <w:tr w:rsidR="00013E7D" w:rsidRPr="008903D1" w14:paraId="3CEF6136" w14:textId="77777777" w:rsidTr="00D10D94">
        <w:tc>
          <w:tcPr>
            <w:tcW w:w="1555" w:type="dxa"/>
            <w:vMerge w:val="restart"/>
            <w:vAlign w:val="center"/>
          </w:tcPr>
          <w:p w14:paraId="5E36FA93" w14:textId="77777777" w:rsidR="00013E7D" w:rsidRPr="008903D1" w:rsidRDefault="00013E7D" w:rsidP="00010E01">
            <w:pPr>
              <w:spacing w:line="240" w:lineRule="auto"/>
              <w:jc w:val="left"/>
              <w:rPr>
                <w:rFonts w:cs="Times New Roman"/>
                <w:sz w:val="22"/>
              </w:rPr>
            </w:pPr>
            <w:r w:rsidRPr="008903D1">
              <w:rPr>
                <w:rFonts w:cs="Times New Roman"/>
                <w:sz w:val="22"/>
              </w:rPr>
              <w:t>Economy</w:t>
            </w:r>
          </w:p>
        </w:tc>
        <w:tc>
          <w:tcPr>
            <w:tcW w:w="1984" w:type="dxa"/>
            <w:vAlign w:val="center"/>
          </w:tcPr>
          <w:p w14:paraId="7E37BDCE" w14:textId="276D302C" w:rsidR="00013E7D" w:rsidRPr="008903D1" w:rsidRDefault="00013E7D" w:rsidP="00010E01">
            <w:pPr>
              <w:spacing w:line="240" w:lineRule="auto"/>
              <w:jc w:val="left"/>
              <w:rPr>
                <w:rFonts w:cs="Times New Roman"/>
                <w:sz w:val="22"/>
              </w:rPr>
            </w:pPr>
            <w:r w:rsidRPr="008903D1">
              <w:rPr>
                <w:rFonts w:cs="Times New Roman"/>
                <w:sz w:val="22"/>
              </w:rPr>
              <w:t>Unemployment rates/</w:t>
            </w:r>
            <w:r w:rsidR="00247948" w:rsidRPr="008903D1">
              <w:rPr>
                <w:rFonts w:cs="Times New Roman"/>
                <w:sz w:val="22"/>
              </w:rPr>
              <w:t>j</w:t>
            </w:r>
            <w:r w:rsidRPr="008903D1">
              <w:rPr>
                <w:rFonts w:cs="Times New Roman"/>
                <w:sz w:val="22"/>
              </w:rPr>
              <w:t>obs</w:t>
            </w:r>
          </w:p>
        </w:tc>
        <w:tc>
          <w:tcPr>
            <w:tcW w:w="5477" w:type="dxa"/>
          </w:tcPr>
          <w:p w14:paraId="3B7970F6" w14:textId="567C81FA" w:rsidR="00013E7D" w:rsidRPr="008903D1" w:rsidRDefault="00013E7D" w:rsidP="00010E01">
            <w:pPr>
              <w:spacing w:line="240" w:lineRule="auto"/>
              <w:rPr>
                <w:rFonts w:cs="Times New Roman"/>
                <w:sz w:val="22"/>
              </w:rPr>
            </w:pPr>
            <w:r w:rsidRPr="008903D1">
              <w:rPr>
                <w:rFonts w:cs="Times New Roman"/>
                <w:sz w:val="22"/>
              </w:rPr>
              <w:t xml:space="preserve">Underemployment/employment/unemployment rates; </w:t>
            </w:r>
            <w:r w:rsidR="00247948" w:rsidRPr="008903D1">
              <w:rPr>
                <w:rFonts w:cs="Times New Roman"/>
                <w:sz w:val="22"/>
              </w:rPr>
              <w:t xml:space="preserve">percentage </w:t>
            </w:r>
            <w:r w:rsidRPr="008903D1">
              <w:rPr>
                <w:rFonts w:cs="Times New Roman"/>
                <w:sz w:val="22"/>
              </w:rPr>
              <w:t xml:space="preserve">of green jobs in the local economy; </w:t>
            </w:r>
            <w:r w:rsidR="00247948" w:rsidRPr="008903D1">
              <w:rPr>
                <w:rFonts w:cs="Times New Roman"/>
                <w:sz w:val="22"/>
              </w:rPr>
              <w:t xml:space="preserve">average </w:t>
            </w:r>
            <w:r w:rsidRPr="008903D1">
              <w:rPr>
                <w:rFonts w:cs="Times New Roman"/>
                <w:sz w:val="22"/>
              </w:rPr>
              <w:t xml:space="preserve">professional education years of </w:t>
            </w:r>
            <w:proofErr w:type="spellStart"/>
            <w:r w:rsidRPr="008903D1">
              <w:rPr>
                <w:rFonts w:cs="Times New Roman"/>
                <w:sz w:val="22"/>
              </w:rPr>
              <w:t>labour</w:t>
            </w:r>
            <w:proofErr w:type="spellEnd"/>
            <w:r w:rsidRPr="008903D1">
              <w:rPr>
                <w:rFonts w:cs="Times New Roman"/>
                <w:sz w:val="22"/>
              </w:rPr>
              <w:t xml:space="preserve"> force</w:t>
            </w:r>
          </w:p>
        </w:tc>
      </w:tr>
      <w:tr w:rsidR="00013E7D" w:rsidRPr="008903D1" w14:paraId="192A9674" w14:textId="77777777" w:rsidTr="00D10D94">
        <w:tc>
          <w:tcPr>
            <w:tcW w:w="1555" w:type="dxa"/>
            <w:vMerge/>
            <w:vAlign w:val="center"/>
          </w:tcPr>
          <w:p w14:paraId="46713846" w14:textId="77777777" w:rsidR="00013E7D" w:rsidRPr="008903D1" w:rsidRDefault="00013E7D" w:rsidP="00010E01">
            <w:pPr>
              <w:spacing w:line="240" w:lineRule="auto"/>
              <w:jc w:val="left"/>
              <w:rPr>
                <w:rFonts w:cs="Times New Roman"/>
                <w:sz w:val="22"/>
              </w:rPr>
            </w:pPr>
          </w:p>
        </w:tc>
        <w:tc>
          <w:tcPr>
            <w:tcW w:w="1984" w:type="dxa"/>
            <w:vAlign w:val="center"/>
          </w:tcPr>
          <w:p w14:paraId="00889F3D" w14:textId="77777777" w:rsidR="00013E7D" w:rsidRPr="008903D1" w:rsidRDefault="00013E7D" w:rsidP="00010E01">
            <w:pPr>
              <w:spacing w:line="240" w:lineRule="auto"/>
              <w:jc w:val="left"/>
              <w:rPr>
                <w:rFonts w:cs="Times New Roman"/>
                <w:sz w:val="22"/>
              </w:rPr>
            </w:pPr>
            <w:r w:rsidRPr="008903D1">
              <w:rPr>
                <w:rFonts w:cs="Times New Roman"/>
                <w:sz w:val="22"/>
              </w:rPr>
              <w:t>Economic growth</w:t>
            </w:r>
          </w:p>
        </w:tc>
        <w:tc>
          <w:tcPr>
            <w:tcW w:w="5477" w:type="dxa"/>
          </w:tcPr>
          <w:p w14:paraId="1451976B" w14:textId="0901228D" w:rsidR="00013E7D" w:rsidRPr="008903D1" w:rsidRDefault="00013E7D" w:rsidP="00010E01">
            <w:pPr>
              <w:spacing w:line="240" w:lineRule="auto"/>
              <w:rPr>
                <w:rFonts w:cs="Times New Roman"/>
                <w:sz w:val="22"/>
              </w:rPr>
            </w:pPr>
            <w:r w:rsidRPr="008903D1">
              <w:rPr>
                <w:rFonts w:cs="Times New Roman"/>
                <w:sz w:val="22"/>
              </w:rPr>
              <w:t xml:space="preserve">Annual GDP growth rate; </w:t>
            </w:r>
            <w:r w:rsidR="00247948" w:rsidRPr="008903D1">
              <w:rPr>
                <w:rFonts w:cs="Times New Roman"/>
                <w:sz w:val="22"/>
              </w:rPr>
              <w:t xml:space="preserve">annual </w:t>
            </w:r>
            <w:r w:rsidRPr="008903D1">
              <w:rPr>
                <w:rFonts w:cs="Times New Roman"/>
                <w:sz w:val="22"/>
              </w:rPr>
              <w:t xml:space="preserve">GNP growth rate; </w:t>
            </w:r>
            <w:r w:rsidR="00247948" w:rsidRPr="008903D1">
              <w:rPr>
                <w:rFonts w:cs="Times New Roman"/>
                <w:sz w:val="22"/>
              </w:rPr>
              <w:t xml:space="preserve">net export growth </w:t>
            </w:r>
            <w:r w:rsidRPr="008903D1">
              <w:rPr>
                <w:rFonts w:cs="Times New Roman"/>
                <w:sz w:val="22"/>
              </w:rPr>
              <w:t>rates (% increase of country</w:t>
            </w:r>
            <w:r w:rsidR="00C15339" w:rsidRPr="008903D1">
              <w:rPr>
                <w:rFonts w:cs="Times New Roman"/>
                <w:sz w:val="22"/>
              </w:rPr>
              <w:t>’</w:t>
            </w:r>
            <w:r w:rsidRPr="008903D1">
              <w:rPr>
                <w:rFonts w:cs="Times New Roman"/>
                <w:sz w:val="22"/>
              </w:rPr>
              <w:t>s total exports</w:t>
            </w:r>
            <w:r w:rsidR="00247948" w:rsidRPr="008903D1">
              <w:rPr>
                <w:rFonts w:cs="Times New Roman"/>
                <w:sz w:val="22"/>
              </w:rPr>
              <w:t>,</w:t>
            </w:r>
            <w:r w:rsidRPr="008903D1">
              <w:rPr>
                <w:rFonts w:cs="Times New Roman"/>
                <w:sz w:val="22"/>
              </w:rPr>
              <w:t xml:space="preserve"> minus the value of its total imports per annum</w:t>
            </w:r>
            <w:r w:rsidR="00247948" w:rsidRPr="008903D1">
              <w:rPr>
                <w:rFonts w:cs="Times New Roman"/>
                <w:sz w:val="22"/>
              </w:rPr>
              <w:t>)</w:t>
            </w:r>
            <w:r w:rsidRPr="008903D1">
              <w:rPr>
                <w:rFonts w:cs="Times New Roman"/>
                <w:sz w:val="22"/>
              </w:rPr>
              <w:t xml:space="preserve">; </w:t>
            </w:r>
            <w:r w:rsidR="00247948" w:rsidRPr="008903D1">
              <w:rPr>
                <w:rFonts w:cs="Times New Roman"/>
                <w:sz w:val="22"/>
              </w:rPr>
              <w:t xml:space="preserve">foreign direct investments (FDIs) </w:t>
            </w:r>
            <w:r w:rsidRPr="008903D1">
              <w:rPr>
                <w:rFonts w:cs="Times New Roman"/>
                <w:sz w:val="22"/>
              </w:rPr>
              <w:t>(</w:t>
            </w:r>
            <w:r w:rsidR="00247948" w:rsidRPr="008903D1">
              <w:rPr>
                <w:rFonts w:cs="Times New Roman"/>
                <w:sz w:val="22"/>
              </w:rPr>
              <w:t>capital</w:t>
            </w:r>
            <w:r w:rsidRPr="008903D1">
              <w:rPr>
                <w:rFonts w:cs="Times New Roman"/>
                <w:sz w:val="22"/>
              </w:rPr>
              <w:t>/</w:t>
            </w:r>
            <w:r w:rsidR="00247948" w:rsidRPr="008903D1">
              <w:rPr>
                <w:rFonts w:cs="Times New Roman"/>
                <w:sz w:val="22"/>
              </w:rPr>
              <w:t xml:space="preserve">earnings </w:t>
            </w:r>
            <w:r w:rsidRPr="008903D1">
              <w:rPr>
                <w:rFonts w:cs="Times New Roman"/>
                <w:sz w:val="22"/>
              </w:rPr>
              <w:t>accrued from listed FDI</w:t>
            </w:r>
            <w:r w:rsidR="00247948" w:rsidRPr="008903D1">
              <w:rPr>
                <w:rFonts w:cs="Times New Roman"/>
                <w:sz w:val="22"/>
              </w:rPr>
              <w:t>s</w:t>
            </w:r>
            <w:r w:rsidRPr="008903D1">
              <w:rPr>
                <w:rFonts w:cs="Times New Roman"/>
                <w:sz w:val="22"/>
              </w:rPr>
              <w:t xml:space="preserve"> per annum)</w:t>
            </w:r>
          </w:p>
        </w:tc>
      </w:tr>
      <w:tr w:rsidR="00013E7D" w:rsidRPr="008903D1" w14:paraId="2956AC0E" w14:textId="77777777" w:rsidTr="00D10D94">
        <w:tc>
          <w:tcPr>
            <w:tcW w:w="1555" w:type="dxa"/>
            <w:vMerge w:val="restart"/>
            <w:vAlign w:val="center"/>
          </w:tcPr>
          <w:p w14:paraId="11DA900F" w14:textId="77777777" w:rsidR="00013E7D" w:rsidRPr="008903D1" w:rsidRDefault="00013E7D" w:rsidP="00010E01">
            <w:pPr>
              <w:spacing w:line="240" w:lineRule="auto"/>
              <w:jc w:val="left"/>
              <w:rPr>
                <w:rFonts w:cs="Times New Roman"/>
                <w:sz w:val="22"/>
              </w:rPr>
            </w:pPr>
            <w:r w:rsidRPr="008903D1">
              <w:rPr>
                <w:rFonts w:cs="Times New Roman"/>
                <w:sz w:val="22"/>
              </w:rPr>
              <w:t>Environment</w:t>
            </w:r>
          </w:p>
        </w:tc>
        <w:tc>
          <w:tcPr>
            <w:tcW w:w="1984" w:type="dxa"/>
            <w:vAlign w:val="center"/>
          </w:tcPr>
          <w:p w14:paraId="08D55C38" w14:textId="77777777" w:rsidR="00013E7D" w:rsidRPr="008903D1" w:rsidRDefault="00013E7D" w:rsidP="00010E01">
            <w:pPr>
              <w:spacing w:line="240" w:lineRule="auto"/>
              <w:jc w:val="left"/>
              <w:rPr>
                <w:rFonts w:cs="Times New Roman"/>
                <w:sz w:val="22"/>
              </w:rPr>
            </w:pPr>
            <w:r w:rsidRPr="008903D1">
              <w:rPr>
                <w:rFonts w:cs="Times New Roman"/>
                <w:sz w:val="22"/>
              </w:rPr>
              <w:t>Green spaces</w:t>
            </w:r>
          </w:p>
        </w:tc>
        <w:tc>
          <w:tcPr>
            <w:tcW w:w="5477" w:type="dxa"/>
          </w:tcPr>
          <w:p w14:paraId="7C3F741E" w14:textId="4D6C6EA5" w:rsidR="00013E7D" w:rsidRPr="008903D1" w:rsidRDefault="00013E7D" w:rsidP="00010E01">
            <w:pPr>
              <w:spacing w:line="240" w:lineRule="auto"/>
              <w:rPr>
                <w:rFonts w:cs="Times New Roman"/>
                <w:sz w:val="22"/>
              </w:rPr>
            </w:pPr>
            <w:r w:rsidRPr="008903D1">
              <w:rPr>
                <w:rFonts w:cs="Times New Roman"/>
                <w:sz w:val="22"/>
              </w:rPr>
              <w:t xml:space="preserve">Percentage of preserved areas/reservoirs/waterways/parks in relation to total land area; </w:t>
            </w:r>
            <w:r w:rsidR="00247948" w:rsidRPr="008903D1">
              <w:rPr>
                <w:rFonts w:cs="Times New Roman"/>
                <w:sz w:val="22"/>
              </w:rPr>
              <w:t xml:space="preserve">percentage </w:t>
            </w:r>
            <w:r w:rsidRPr="008903D1">
              <w:rPr>
                <w:rFonts w:cs="Times New Roman"/>
                <w:sz w:val="22"/>
              </w:rPr>
              <w:t>of trees in the city in relation to city area and/or population size</w:t>
            </w:r>
          </w:p>
        </w:tc>
      </w:tr>
      <w:tr w:rsidR="00013E7D" w:rsidRPr="008903D1" w14:paraId="78F5EDE5" w14:textId="77777777" w:rsidTr="00D10D94">
        <w:tc>
          <w:tcPr>
            <w:tcW w:w="1555" w:type="dxa"/>
            <w:vMerge/>
            <w:vAlign w:val="center"/>
          </w:tcPr>
          <w:p w14:paraId="7D136EC6" w14:textId="77777777" w:rsidR="00013E7D" w:rsidRPr="008903D1" w:rsidRDefault="00013E7D" w:rsidP="00010E01">
            <w:pPr>
              <w:spacing w:line="240" w:lineRule="auto"/>
              <w:jc w:val="left"/>
              <w:rPr>
                <w:rFonts w:cs="Times New Roman"/>
                <w:sz w:val="22"/>
              </w:rPr>
            </w:pPr>
          </w:p>
        </w:tc>
        <w:tc>
          <w:tcPr>
            <w:tcW w:w="1984" w:type="dxa"/>
            <w:vAlign w:val="center"/>
          </w:tcPr>
          <w:p w14:paraId="6D8D8C07" w14:textId="53DD9099" w:rsidR="00013E7D" w:rsidRPr="008903D1" w:rsidRDefault="00013E7D" w:rsidP="00010E01">
            <w:pPr>
              <w:spacing w:line="240" w:lineRule="auto"/>
              <w:jc w:val="left"/>
              <w:rPr>
                <w:rFonts w:cs="Times New Roman"/>
                <w:sz w:val="22"/>
              </w:rPr>
            </w:pPr>
            <w:r w:rsidRPr="008903D1">
              <w:rPr>
                <w:rFonts w:cs="Times New Roman"/>
                <w:sz w:val="22"/>
              </w:rPr>
              <w:t>Reduce greenhouse gases/</w:t>
            </w:r>
            <w:r w:rsidR="00247948" w:rsidRPr="008903D1">
              <w:rPr>
                <w:rFonts w:cs="Times New Roman"/>
                <w:sz w:val="22"/>
              </w:rPr>
              <w:t>e</w:t>
            </w:r>
            <w:r w:rsidRPr="008903D1">
              <w:rPr>
                <w:rFonts w:cs="Times New Roman"/>
                <w:sz w:val="22"/>
              </w:rPr>
              <w:t>nergy efficiency</w:t>
            </w:r>
          </w:p>
        </w:tc>
        <w:tc>
          <w:tcPr>
            <w:tcW w:w="5477" w:type="dxa"/>
          </w:tcPr>
          <w:p w14:paraId="6A41CA2C" w14:textId="24BE06F5" w:rsidR="00013E7D" w:rsidRPr="008903D1" w:rsidRDefault="00013E7D" w:rsidP="00010E01">
            <w:pPr>
              <w:spacing w:line="240" w:lineRule="auto"/>
              <w:rPr>
                <w:rFonts w:cs="Times New Roman"/>
                <w:sz w:val="22"/>
              </w:rPr>
            </w:pPr>
            <w:r w:rsidRPr="008903D1">
              <w:rPr>
                <w:rFonts w:cs="Times New Roman"/>
                <w:sz w:val="22"/>
              </w:rPr>
              <w:t xml:space="preserve">Total amount of </w:t>
            </w:r>
            <w:r w:rsidR="00247948" w:rsidRPr="008903D1">
              <w:rPr>
                <w:rFonts w:cs="Times New Roman"/>
                <w:sz w:val="22"/>
              </w:rPr>
              <w:t xml:space="preserve">greenhouse gas </w:t>
            </w:r>
            <w:r w:rsidRPr="008903D1">
              <w:rPr>
                <w:rFonts w:cs="Times New Roman"/>
                <w:sz w:val="22"/>
              </w:rPr>
              <w:t xml:space="preserve">emissions per city and per capita; </w:t>
            </w:r>
            <w:r w:rsidR="00247948" w:rsidRPr="008903D1">
              <w:rPr>
                <w:rFonts w:cs="Times New Roman"/>
                <w:sz w:val="22"/>
              </w:rPr>
              <w:t xml:space="preserve">percentage </w:t>
            </w:r>
            <w:r w:rsidRPr="008903D1">
              <w:rPr>
                <w:rFonts w:cs="Times New Roman"/>
                <w:sz w:val="22"/>
              </w:rPr>
              <w:t>of total energy consumed in the city that comes from renewable sources</w:t>
            </w:r>
          </w:p>
        </w:tc>
      </w:tr>
      <w:tr w:rsidR="00013E7D" w:rsidRPr="008903D1" w14:paraId="5451BB27" w14:textId="77777777" w:rsidTr="00D10D94">
        <w:tc>
          <w:tcPr>
            <w:tcW w:w="1555" w:type="dxa"/>
            <w:vMerge/>
            <w:vAlign w:val="center"/>
          </w:tcPr>
          <w:p w14:paraId="0DB46A52" w14:textId="77777777" w:rsidR="00013E7D" w:rsidRPr="008903D1" w:rsidRDefault="00013E7D" w:rsidP="00010E01">
            <w:pPr>
              <w:spacing w:line="240" w:lineRule="auto"/>
              <w:jc w:val="left"/>
              <w:rPr>
                <w:rFonts w:cs="Times New Roman"/>
                <w:sz w:val="22"/>
              </w:rPr>
            </w:pPr>
          </w:p>
        </w:tc>
        <w:tc>
          <w:tcPr>
            <w:tcW w:w="1984" w:type="dxa"/>
            <w:vAlign w:val="center"/>
          </w:tcPr>
          <w:p w14:paraId="5D5F96A4" w14:textId="77777777" w:rsidR="00013E7D" w:rsidRPr="008903D1" w:rsidRDefault="00013E7D" w:rsidP="00010E01">
            <w:pPr>
              <w:spacing w:line="240" w:lineRule="auto"/>
              <w:jc w:val="left"/>
              <w:rPr>
                <w:rFonts w:cs="Times New Roman"/>
                <w:sz w:val="22"/>
              </w:rPr>
            </w:pPr>
            <w:r w:rsidRPr="008903D1">
              <w:rPr>
                <w:rFonts w:cs="Times New Roman"/>
                <w:sz w:val="22"/>
              </w:rPr>
              <w:t>Mobility</w:t>
            </w:r>
          </w:p>
        </w:tc>
        <w:tc>
          <w:tcPr>
            <w:tcW w:w="5477" w:type="dxa"/>
          </w:tcPr>
          <w:p w14:paraId="3722FD07" w14:textId="5CED2BA5" w:rsidR="00013E7D" w:rsidRPr="008903D1" w:rsidRDefault="00013E7D" w:rsidP="00010E01">
            <w:pPr>
              <w:spacing w:line="240" w:lineRule="auto"/>
              <w:rPr>
                <w:rFonts w:cs="Times New Roman"/>
                <w:sz w:val="22"/>
              </w:rPr>
            </w:pPr>
            <w:r w:rsidRPr="008903D1">
              <w:rPr>
                <w:rFonts w:cs="Times New Roman"/>
                <w:sz w:val="22"/>
              </w:rPr>
              <w:t>Transportation mode split (</w:t>
            </w:r>
            <w:r w:rsidR="00247948" w:rsidRPr="008903D1">
              <w:rPr>
                <w:rFonts w:cs="Times New Roman"/>
                <w:sz w:val="22"/>
              </w:rPr>
              <w:t xml:space="preserve">percentage </w:t>
            </w:r>
            <w:r w:rsidRPr="008903D1">
              <w:rPr>
                <w:rFonts w:cs="Times New Roman"/>
                <w:sz w:val="22"/>
              </w:rPr>
              <w:t xml:space="preserve">of each mode of </w:t>
            </w:r>
            <w:proofErr w:type="gramStart"/>
            <w:r w:rsidRPr="008903D1">
              <w:rPr>
                <w:rFonts w:cs="Times New Roman"/>
                <w:sz w:val="22"/>
              </w:rPr>
              <w:t>transportation</w:t>
            </w:r>
            <w:r w:rsidR="00247948" w:rsidRPr="008903D1">
              <w:rPr>
                <w:rFonts w:cs="Times New Roman"/>
                <w:sz w:val="22"/>
              </w:rPr>
              <w:t>;</w:t>
            </w:r>
            <w:proofErr w:type="gramEnd"/>
            <w:r w:rsidR="00247948" w:rsidRPr="008903D1">
              <w:rPr>
                <w:rFonts w:cs="Times New Roman"/>
                <w:sz w:val="22"/>
              </w:rPr>
              <w:t xml:space="preserve"> </w:t>
            </w:r>
            <w:r w:rsidRPr="008903D1">
              <w:rPr>
                <w:rFonts w:cs="Times New Roman"/>
                <w:sz w:val="22"/>
              </w:rPr>
              <w:t>i.e.</w:t>
            </w:r>
            <w:r w:rsidR="00247948" w:rsidRPr="008903D1">
              <w:rPr>
                <w:rFonts w:cs="Times New Roman"/>
                <w:sz w:val="22"/>
              </w:rPr>
              <w:t>,</w:t>
            </w:r>
            <w:r w:rsidRPr="008903D1">
              <w:rPr>
                <w:rFonts w:cs="Times New Roman"/>
                <w:sz w:val="22"/>
              </w:rPr>
              <w:t xml:space="preserve"> private, public, bicycles, pedestrians); </w:t>
            </w:r>
            <w:r w:rsidR="00247948" w:rsidRPr="008903D1">
              <w:rPr>
                <w:rFonts w:cs="Times New Roman"/>
                <w:sz w:val="22"/>
              </w:rPr>
              <w:t xml:space="preserve">average </w:t>
            </w:r>
            <w:r w:rsidRPr="008903D1">
              <w:rPr>
                <w:rFonts w:cs="Times New Roman"/>
                <w:sz w:val="22"/>
              </w:rPr>
              <w:t>commute time and cost</w:t>
            </w:r>
          </w:p>
        </w:tc>
      </w:tr>
      <w:tr w:rsidR="00013E7D" w:rsidRPr="008903D1" w14:paraId="312BE614" w14:textId="77777777" w:rsidTr="00D10D94">
        <w:tc>
          <w:tcPr>
            <w:tcW w:w="1555" w:type="dxa"/>
            <w:vMerge/>
            <w:vAlign w:val="center"/>
          </w:tcPr>
          <w:p w14:paraId="5E859731" w14:textId="77777777" w:rsidR="00013E7D" w:rsidRPr="008903D1" w:rsidRDefault="00013E7D" w:rsidP="00010E01">
            <w:pPr>
              <w:spacing w:line="240" w:lineRule="auto"/>
              <w:jc w:val="left"/>
              <w:rPr>
                <w:rFonts w:cs="Times New Roman"/>
                <w:sz w:val="22"/>
              </w:rPr>
            </w:pPr>
          </w:p>
        </w:tc>
        <w:tc>
          <w:tcPr>
            <w:tcW w:w="1984" w:type="dxa"/>
            <w:vAlign w:val="center"/>
          </w:tcPr>
          <w:p w14:paraId="46060C57" w14:textId="11B04AE9" w:rsidR="00013E7D" w:rsidRPr="008903D1" w:rsidRDefault="00013E7D" w:rsidP="00010E01">
            <w:pPr>
              <w:spacing w:line="240" w:lineRule="auto"/>
              <w:jc w:val="left"/>
              <w:rPr>
                <w:rFonts w:cs="Times New Roman"/>
                <w:sz w:val="22"/>
              </w:rPr>
            </w:pPr>
            <w:r w:rsidRPr="008903D1">
              <w:rPr>
                <w:rFonts w:cs="Times New Roman"/>
                <w:sz w:val="22"/>
              </w:rPr>
              <w:t>Water quality/</w:t>
            </w:r>
            <w:r w:rsidR="00247948" w:rsidRPr="008903D1">
              <w:rPr>
                <w:rFonts w:cs="Times New Roman"/>
                <w:sz w:val="22"/>
              </w:rPr>
              <w:t>av</w:t>
            </w:r>
            <w:r w:rsidRPr="008903D1">
              <w:rPr>
                <w:rFonts w:cs="Times New Roman"/>
                <w:sz w:val="22"/>
              </w:rPr>
              <w:t>ailability</w:t>
            </w:r>
          </w:p>
        </w:tc>
        <w:tc>
          <w:tcPr>
            <w:tcW w:w="5477" w:type="dxa"/>
          </w:tcPr>
          <w:p w14:paraId="711441C4" w14:textId="4E7344B3" w:rsidR="00013E7D" w:rsidRPr="008903D1" w:rsidRDefault="00013E7D" w:rsidP="00010E01">
            <w:pPr>
              <w:spacing w:line="240" w:lineRule="auto"/>
              <w:rPr>
                <w:rFonts w:cs="Times New Roman"/>
                <w:sz w:val="22"/>
              </w:rPr>
            </w:pPr>
            <w:r w:rsidRPr="008903D1">
              <w:rPr>
                <w:rFonts w:cs="Times New Roman"/>
                <w:sz w:val="22"/>
              </w:rPr>
              <w:t xml:space="preserve">Total amount of water availability; </w:t>
            </w:r>
            <w:r w:rsidR="00247948" w:rsidRPr="008903D1">
              <w:rPr>
                <w:rFonts w:cs="Times New Roman"/>
                <w:sz w:val="22"/>
              </w:rPr>
              <w:t xml:space="preserve">water </w:t>
            </w:r>
            <w:r w:rsidRPr="008903D1">
              <w:rPr>
                <w:rFonts w:cs="Times New Roman"/>
                <w:sz w:val="22"/>
              </w:rPr>
              <w:t xml:space="preserve">quality index/score; </w:t>
            </w:r>
            <w:r w:rsidR="00247948" w:rsidRPr="008903D1">
              <w:rPr>
                <w:rFonts w:cs="Times New Roman"/>
                <w:sz w:val="22"/>
              </w:rPr>
              <w:t xml:space="preserve">proportion </w:t>
            </w:r>
            <w:r w:rsidRPr="008903D1">
              <w:rPr>
                <w:rFonts w:cs="Times New Roman"/>
                <w:sz w:val="22"/>
              </w:rPr>
              <w:t>of population with access to adequate and safe drinking water</w:t>
            </w:r>
          </w:p>
        </w:tc>
      </w:tr>
      <w:tr w:rsidR="00013E7D" w:rsidRPr="008903D1" w14:paraId="44DCD3D9" w14:textId="77777777" w:rsidTr="00D10D94">
        <w:tc>
          <w:tcPr>
            <w:tcW w:w="1555" w:type="dxa"/>
            <w:vMerge/>
            <w:vAlign w:val="center"/>
          </w:tcPr>
          <w:p w14:paraId="7C265A10" w14:textId="77777777" w:rsidR="00013E7D" w:rsidRPr="008903D1" w:rsidRDefault="00013E7D" w:rsidP="00010E01">
            <w:pPr>
              <w:spacing w:line="240" w:lineRule="auto"/>
              <w:jc w:val="left"/>
              <w:rPr>
                <w:rFonts w:cs="Times New Roman"/>
                <w:sz w:val="22"/>
              </w:rPr>
            </w:pPr>
          </w:p>
        </w:tc>
        <w:tc>
          <w:tcPr>
            <w:tcW w:w="1984" w:type="dxa"/>
            <w:vAlign w:val="center"/>
          </w:tcPr>
          <w:p w14:paraId="665A1EFB" w14:textId="77777777" w:rsidR="00013E7D" w:rsidRPr="008903D1" w:rsidRDefault="00013E7D" w:rsidP="00010E01">
            <w:pPr>
              <w:spacing w:line="240" w:lineRule="auto"/>
              <w:jc w:val="left"/>
              <w:rPr>
                <w:rFonts w:cs="Times New Roman"/>
                <w:sz w:val="22"/>
              </w:rPr>
            </w:pPr>
            <w:r w:rsidRPr="008903D1">
              <w:rPr>
                <w:rFonts w:cs="Times New Roman"/>
                <w:sz w:val="22"/>
              </w:rPr>
              <w:t>Air quality</w:t>
            </w:r>
          </w:p>
        </w:tc>
        <w:tc>
          <w:tcPr>
            <w:tcW w:w="5477" w:type="dxa"/>
          </w:tcPr>
          <w:p w14:paraId="2A637719" w14:textId="44A37B4F" w:rsidR="00013E7D" w:rsidRPr="008903D1" w:rsidRDefault="00013E7D" w:rsidP="00010E01">
            <w:pPr>
              <w:spacing w:line="240" w:lineRule="auto"/>
              <w:rPr>
                <w:rFonts w:cs="Times New Roman"/>
                <w:sz w:val="22"/>
              </w:rPr>
            </w:pPr>
            <w:r w:rsidRPr="008903D1">
              <w:rPr>
                <w:rFonts w:cs="Times New Roman"/>
                <w:sz w:val="22"/>
              </w:rPr>
              <w:t xml:space="preserve">Levels of </w:t>
            </w:r>
            <w:r w:rsidR="00247948" w:rsidRPr="008903D1">
              <w:rPr>
                <w:rFonts w:cs="Times New Roman"/>
                <w:sz w:val="22"/>
              </w:rPr>
              <w:t xml:space="preserve">particulate matter </w:t>
            </w:r>
            <w:r w:rsidRPr="008903D1">
              <w:rPr>
                <w:rFonts w:cs="Times New Roman"/>
                <w:sz w:val="22"/>
              </w:rPr>
              <w:t xml:space="preserve">(PM10 – mg/m3); </w:t>
            </w:r>
            <w:r w:rsidR="00247948" w:rsidRPr="008903D1">
              <w:rPr>
                <w:rFonts w:cs="Times New Roman"/>
                <w:sz w:val="22"/>
              </w:rPr>
              <w:t xml:space="preserve">levels </w:t>
            </w:r>
            <w:r w:rsidRPr="008903D1">
              <w:rPr>
                <w:rFonts w:cs="Times New Roman"/>
                <w:sz w:val="22"/>
              </w:rPr>
              <w:t xml:space="preserve">of </w:t>
            </w:r>
            <w:r w:rsidR="00247948" w:rsidRPr="008903D1">
              <w:rPr>
                <w:rFonts w:cs="Times New Roman"/>
                <w:sz w:val="22"/>
              </w:rPr>
              <w:t xml:space="preserve">particulate matter </w:t>
            </w:r>
            <w:r w:rsidRPr="008903D1">
              <w:rPr>
                <w:rFonts w:cs="Times New Roman"/>
                <w:sz w:val="22"/>
              </w:rPr>
              <w:t>(PM2.5 – mg/m3)</w:t>
            </w:r>
          </w:p>
        </w:tc>
      </w:tr>
      <w:tr w:rsidR="00013E7D" w:rsidRPr="008903D1" w14:paraId="3EC06F00" w14:textId="77777777" w:rsidTr="00D10D94">
        <w:tc>
          <w:tcPr>
            <w:tcW w:w="1555" w:type="dxa"/>
            <w:vMerge/>
            <w:vAlign w:val="center"/>
          </w:tcPr>
          <w:p w14:paraId="66B7F689" w14:textId="77777777" w:rsidR="00013E7D" w:rsidRPr="008903D1" w:rsidRDefault="00013E7D" w:rsidP="00010E01">
            <w:pPr>
              <w:spacing w:line="240" w:lineRule="auto"/>
              <w:jc w:val="left"/>
              <w:rPr>
                <w:rFonts w:cs="Times New Roman"/>
                <w:sz w:val="22"/>
              </w:rPr>
            </w:pPr>
          </w:p>
        </w:tc>
        <w:tc>
          <w:tcPr>
            <w:tcW w:w="1984" w:type="dxa"/>
            <w:vAlign w:val="center"/>
          </w:tcPr>
          <w:p w14:paraId="3A79C348" w14:textId="765E9A15" w:rsidR="00013E7D" w:rsidRPr="008903D1" w:rsidRDefault="00013E7D" w:rsidP="00010E01">
            <w:pPr>
              <w:spacing w:line="240" w:lineRule="auto"/>
              <w:jc w:val="left"/>
              <w:rPr>
                <w:rFonts w:cs="Times New Roman"/>
                <w:sz w:val="22"/>
              </w:rPr>
            </w:pPr>
            <w:r w:rsidRPr="008903D1">
              <w:rPr>
                <w:rFonts w:cs="Times New Roman"/>
                <w:sz w:val="22"/>
              </w:rPr>
              <w:t>Waste/</w:t>
            </w:r>
            <w:r w:rsidR="00247948" w:rsidRPr="008903D1">
              <w:rPr>
                <w:rFonts w:cs="Times New Roman"/>
                <w:sz w:val="22"/>
              </w:rPr>
              <w:t>r</w:t>
            </w:r>
            <w:r w:rsidRPr="008903D1">
              <w:rPr>
                <w:rFonts w:cs="Times New Roman"/>
                <w:sz w:val="22"/>
              </w:rPr>
              <w:t>euse/</w:t>
            </w:r>
            <w:r w:rsidR="00247948" w:rsidRPr="008903D1">
              <w:rPr>
                <w:rFonts w:cs="Times New Roman"/>
                <w:sz w:val="22"/>
              </w:rPr>
              <w:t>recycle</w:t>
            </w:r>
          </w:p>
        </w:tc>
        <w:tc>
          <w:tcPr>
            <w:tcW w:w="5477" w:type="dxa"/>
          </w:tcPr>
          <w:p w14:paraId="6C456F01" w14:textId="7F9E84DE" w:rsidR="00013E7D" w:rsidRPr="008903D1" w:rsidRDefault="00013E7D" w:rsidP="00010E01">
            <w:pPr>
              <w:spacing w:line="240" w:lineRule="auto"/>
              <w:rPr>
                <w:rFonts w:cs="Times New Roman"/>
                <w:sz w:val="22"/>
              </w:rPr>
            </w:pPr>
            <w:r w:rsidRPr="008903D1">
              <w:rPr>
                <w:rFonts w:cs="Times New Roman"/>
                <w:sz w:val="22"/>
              </w:rPr>
              <w:t>Recycling rate (</w:t>
            </w:r>
            <w:r w:rsidR="00247948" w:rsidRPr="008903D1">
              <w:rPr>
                <w:rFonts w:cs="Times New Roman"/>
                <w:sz w:val="22"/>
              </w:rPr>
              <w:t xml:space="preserve">percentage </w:t>
            </w:r>
            <w:r w:rsidRPr="008903D1">
              <w:rPr>
                <w:rFonts w:cs="Times New Roman"/>
                <w:sz w:val="22"/>
              </w:rPr>
              <w:t xml:space="preserve">diverted from waste stream); </w:t>
            </w:r>
            <w:r w:rsidR="00247948" w:rsidRPr="008903D1">
              <w:rPr>
                <w:rFonts w:cs="Times New Roman"/>
                <w:sz w:val="22"/>
              </w:rPr>
              <w:t xml:space="preserve">volume </w:t>
            </w:r>
            <w:r w:rsidRPr="008903D1">
              <w:rPr>
                <w:rFonts w:cs="Times New Roman"/>
                <w:sz w:val="22"/>
              </w:rPr>
              <w:t>of solid waste generated</w:t>
            </w:r>
          </w:p>
        </w:tc>
      </w:tr>
      <w:tr w:rsidR="00013E7D" w:rsidRPr="008903D1" w14:paraId="3F08A632" w14:textId="77777777" w:rsidTr="00D10D94">
        <w:tc>
          <w:tcPr>
            <w:tcW w:w="1555" w:type="dxa"/>
            <w:vMerge w:val="restart"/>
            <w:vAlign w:val="center"/>
          </w:tcPr>
          <w:p w14:paraId="776F33BB" w14:textId="77777777" w:rsidR="00013E7D" w:rsidRPr="008903D1" w:rsidRDefault="00013E7D" w:rsidP="00010E01">
            <w:pPr>
              <w:spacing w:line="240" w:lineRule="auto"/>
              <w:jc w:val="left"/>
              <w:rPr>
                <w:rFonts w:cs="Times New Roman"/>
                <w:sz w:val="22"/>
              </w:rPr>
            </w:pPr>
            <w:r w:rsidRPr="008903D1">
              <w:rPr>
                <w:rFonts w:cs="Times New Roman"/>
                <w:sz w:val="22"/>
              </w:rPr>
              <w:t>Social</w:t>
            </w:r>
          </w:p>
        </w:tc>
        <w:tc>
          <w:tcPr>
            <w:tcW w:w="1984" w:type="dxa"/>
            <w:vAlign w:val="center"/>
          </w:tcPr>
          <w:p w14:paraId="002079E2" w14:textId="7F5C45CF" w:rsidR="00013E7D" w:rsidRPr="008903D1" w:rsidRDefault="00013E7D" w:rsidP="00010E01">
            <w:pPr>
              <w:spacing w:line="240" w:lineRule="auto"/>
              <w:jc w:val="left"/>
              <w:rPr>
                <w:rFonts w:cs="Times New Roman"/>
                <w:sz w:val="22"/>
              </w:rPr>
            </w:pPr>
            <w:r w:rsidRPr="008903D1">
              <w:rPr>
                <w:rFonts w:cs="Times New Roman"/>
                <w:sz w:val="22"/>
              </w:rPr>
              <w:t xml:space="preserve">Complete </w:t>
            </w:r>
            <w:proofErr w:type="spellStart"/>
            <w:r w:rsidRPr="008903D1">
              <w:rPr>
                <w:rFonts w:cs="Times New Roman"/>
                <w:sz w:val="22"/>
              </w:rPr>
              <w:t>neighbourhood</w:t>
            </w:r>
            <w:proofErr w:type="spellEnd"/>
            <w:r w:rsidRPr="008903D1">
              <w:rPr>
                <w:rFonts w:cs="Times New Roman"/>
                <w:sz w:val="22"/>
              </w:rPr>
              <w:t xml:space="preserve">/ </w:t>
            </w:r>
            <w:r w:rsidR="00247948" w:rsidRPr="008903D1">
              <w:rPr>
                <w:rFonts w:cs="Times New Roman"/>
                <w:sz w:val="22"/>
              </w:rPr>
              <w:t xml:space="preserve">compact </w:t>
            </w:r>
            <w:r w:rsidRPr="008903D1">
              <w:rPr>
                <w:rFonts w:cs="Times New Roman"/>
                <w:sz w:val="22"/>
              </w:rPr>
              <w:t>city</w:t>
            </w:r>
          </w:p>
        </w:tc>
        <w:tc>
          <w:tcPr>
            <w:tcW w:w="5477" w:type="dxa"/>
          </w:tcPr>
          <w:p w14:paraId="78F08AC5" w14:textId="2DA7BACF" w:rsidR="00013E7D" w:rsidRPr="008903D1" w:rsidRDefault="00013E7D" w:rsidP="00010E01">
            <w:pPr>
              <w:spacing w:line="240" w:lineRule="auto"/>
              <w:rPr>
                <w:rFonts w:cs="Times New Roman"/>
                <w:sz w:val="22"/>
              </w:rPr>
            </w:pPr>
            <w:r w:rsidRPr="008903D1">
              <w:rPr>
                <w:rFonts w:cs="Times New Roman"/>
                <w:sz w:val="22"/>
              </w:rPr>
              <w:t>Access to local/</w:t>
            </w:r>
            <w:proofErr w:type="spellStart"/>
            <w:r w:rsidRPr="008903D1">
              <w:rPr>
                <w:rFonts w:cs="Times New Roman"/>
                <w:sz w:val="22"/>
              </w:rPr>
              <w:t>neighbourhood</w:t>
            </w:r>
            <w:proofErr w:type="spellEnd"/>
            <w:r w:rsidRPr="008903D1">
              <w:rPr>
                <w:rFonts w:cs="Times New Roman"/>
                <w:sz w:val="22"/>
              </w:rPr>
              <w:t xml:space="preserve"> services within a short distance; </w:t>
            </w:r>
            <w:r w:rsidR="00247948" w:rsidRPr="008903D1">
              <w:rPr>
                <w:rFonts w:cs="Times New Roman"/>
                <w:sz w:val="22"/>
              </w:rPr>
              <w:t xml:space="preserve">crime </w:t>
            </w:r>
            <w:r w:rsidRPr="008903D1">
              <w:rPr>
                <w:rFonts w:cs="Times New Roman"/>
                <w:sz w:val="22"/>
              </w:rPr>
              <w:t xml:space="preserve">rates; </w:t>
            </w:r>
            <w:r w:rsidR="00247948" w:rsidRPr="008903D1">
              <w:rPr>
                <w:rFonts w:cs="Times New Roman"/>
                <w:sz w:val="22"/>
              </w:rPr>
              <w:t xml:space="preserve">measures </w:t>
            </w:r>
            <w:r w:rsidRPr="008903D1">
              <w:rPr>
                <w:rFonts w:cs="Times New Roman"/>
                <w:sz w:val="22"/>
              </w:rPr>
              <w:t>of income distribution and inequality</w:t>
            </w:r>
          </w:p>
        </w:tc>
      </w:tr>
      <w:tr w:rsidR="00013E7D" w:rsidRPr="008903D1" w14:paraId="531005B6" w14:textId="77777777" w:rsidTr="00D10D94">
        <w:tc>
          <w:tcPr>
            <w:tcW w:w="1555" w:type="dxa"/>
            <w:vMerge/>
            <w:vAlign w:val="center"/>
          </w:tcPr>
          <w:p w14:paraId="49DCB357" w14:textId="77777777" w:rsidR="00013E7D" w:rsidRPr="008903D1" w:rsidRDefault="00013E7D" w:rsidP="00010E01">
            <w:pPr>
              <w:spacing w:line="240" w:lineRule="auto"/>
              <w:jc w:val="left"/>
              <w:rPr>
                <w:rFonts w:cs="Times New Roman"/>
                <w:sz w:val="22"/>
              </w:rPr>
            </w:pPr>
          </w:p>
        </w:tc>
        <w:tc>
          <w:tcPr>
            <w:tcW w:w="1984" w:type="dxa"/>
            <w:vAlign w:val="center"/>
          </w:tcPr>
          <w:p w14:paraId="32D8EF04" w14:textId="77777777" w:rsidR="00013E7D" w:rsidRPr="008903D1" w:rsidRDefault="00013E7D" w:rsidP="00010E01">
            <w:pPr>
              <w:spacing w:line="240" w:lineRule="auto"/>
              <w:jc w:val="left"/>
              <w:rPr>
                <w:rFonts w:cs="Times New Roman"/>
                <w:sz w:val="22"/>
              </w:rPr>
            </w:pPr>
            <w:r w:rsidRPr="008903D1">
              <w:rPr>
                <w:rFonts w:cs="Times New Roman"/>
                <w:sz w:val="22"/>
              </w:rPr>
              <w:t>Housing</w:t>
            </w:r>
          </w:p>
        </w:tc>
        <w:tc>
          <w:tcPr>
            <w:tcW w:w="5477" w:type="dxa"/>
          </w:tcPr>
          <w:p w14:paraId="47564132" w14:textId="1B0A3BF8" w:rsidR="00013E7D" w:rsidRPr="008903D1" w:rsidRDefault="00013E7D" w:rsidP="00010E01">
            <w:pPr>
              <w:spacing w:line="240" w:lineRule="auto"/>
              <w:rPr>
                <w:rFonts w:cs="Times New Roman"/>
                <w:sz w:val="22"/>
              </w:rPr>
            </w:pPr>
            <w:r w:rsidRPr="008903D1">
              <w:rPr>
                <w:rFonts w:cs="Times New Roman"/>
                <w:sz w:val="22"/>
              </w:rPr>
              <w:t xml:space="preserve">Percentage of social/affordable/priority housing; </w:t>
            </w:r>
            <w:r w:rsidR="00247948" w:rsidRPr="008903D1">
              <w:rPr>
                <w:rFonts w:cs="Times New Roman"/>
                <w:sz w:val="22"/>
              </w:rPr>
              <w:t xml:space="preserve">breakdown </w:t>
            </w:r>
            <w:r w:rsidRPr="008903D1">
              <w:rPr>
                <w:rFonts w:cs="Times New Roman"/>
                <w:sz w:val="22"/>
              </w:rPr>
              <w:t>of housing sector by property type (owner occupied/rental, single occupant/couples/family/multifamily</w:t>
            </w:r>
            <w:r w:rsidR="00247948" w:rsidRPr="008903D1">
              <w:rPr>
                <w:rFonts w:cs="Times New Roman"/>
                <w:sz w:val="22"/>
              </w:rPr>
              <w:t>,</w:t>
            </w:r>
            <w:r w:rsidRPr="008903D1">
              <w:rPr>
                <w:rFonts w:cs="Times New Roman"/>
                <w:sz w:val="22"/>
              </w:rPr>
              <w:t xml:space="preserve"> etc.)</w:t>
            </w:r>
          </w:p>
        </w:tc>
      </w:tr>
      <w:tr w:rsidR="00013E7D" w:rsidRPr="008903D1" w14:paraId="5AAA56CD" w14:textId="77777777" w:rsidTr="00D10D94">
        <w:trPr>
          <w:trHeight w:val="992"/>
        </w:trPr>
        <w:tc>
          <w:tcPr>
            <w:tcW w:w="1555" w:type="dxa"/>
            <w:vMerge/>
            <w:vAlign w:val="center"/>
          </w:tcPr>
          <w:p w14:paraId="28B7FC32" w14:textId="77777777" w:rsidR="00013E7D" w:rsidRPr="008903D1" w:rsidRDefault="00013E7D" w:rsidP="00010E01">
            <w:pPr>
              <w:spacing w:line="240" w:lineRule="auto"/>
              <w:jc w:val="left"/>
              <w:rPr>
                <w:rFonts w:cs="Times New Roman"/>
                <w:sz w:val="22"/>
              </w:rPr>
            </w:pPr>
          </w:p>
        </w:tc>
        <w:tc>
          <w:tcPr>
            <w:tcW w:w="1984" w:type="dxa"/>
            <w:vAlign w:val="center"/>
          </w:tcPr>
          <w:p w14:paraId="3552E547" w14:textId="77777777" w:rsidR="00013E7D" w:rsidRPr="008903D1" w:rsidRDefault="00013E7D" w:rsidP="00010E01">
            <w:pPr>
              <w:spacing w:line="240" w:lineRule="auto"/>
              <w:jc w:val="left"/>
              <w:rPr>
                <w:rFonts w:cs="Times New Roman"/>
                <w:sz w:val="22"/>
              </w:rPr>
            </w:pPr>
            <w:r w:rsidRPr="008903D1">
              <w:rPr>
                <w:rFonts w:cs="Times New Roman"/>
                <w:sz w:val="22"/>
              </w:rPr>
              <w:t>Quality public space</w:t>
            </w:r>
          </w:p>
        </w:tc>
        <w:tc>
          <w:tcPr>
            <w:tcW w:w="5477" w:type="dxa"/>
          </w:tcPr>
          <w:p w14:paraId="4832A9D6" w14:textId="72AB60A6" w:rsidR="00013E7D" w:rsidRPr="008903D1" w:rsidRDefault="00013E7D" w:rsidP="00010E01">
            <w:pPr>
              <w:spacing w:line="240" w:lineRule="auto"/>
              <w:rPr>
                <w:rFonts w:cs="Times New Roman"/>
                <w:sz w:val="22"/>
              </w:rPr>
            </w:pPr>
            <w:r w:rsidRPr="008903D1">
              <w:rPr>
                <w:rFonts w:cs="Times New Roman"/>
                <w:sz w:val="22"/>
              </w:rPr>
              <w:t xml:space="preserve">Percentage of roadways in good condition; </w:t>
            </w:r>
            <w:r w:rsidR="00247948" w:rsidRPr="008903D1">
              <w:rPr>
                <w:rFonts w:cs="Times New Roman"/>
                <w:sz w:val="22"/>
              </w:rPr>
              <w:t xml:space="preserve">percentage </w:t>
            </w:r>
            <w:r w:rsidRPr="008903D1">
              <w:rPr>
                <w:rFonts w:cs="Times New Roman"/>
                <w:sz w:val="22"/>
              </w:rPr>
              <w:t>of green space (public parks) coverage in relation to city area and/or population size</w:t>
            </w:r>
          </w:p>
        </w:tc>
      </w:tr>
      <w:tr w:rsidR="00013E7D" w:rsidRPr="008903D1" w14:paraId="2711DEF9" w14:textId="77777777" w:rsidTr="00D10D94">
        <w:tc>
          <w:tcPr>
            <w:tcW w:w="1555" w:type="dxa"/>
            <w:vMerge/>
            <w:vAlign w:val="center"/>
          </w:tcPr>
          <w:p w14:paraId="53D0CB11" w14:textId="77777777" w:rsidR="00013E7D" w:rsidRPr="008903D1" w:rsidRDefault="00013E7D" w:rsidP="00010E01">
            <w:pPr>
              <w:spacing w:line="240" w:lineRule="auto"/>
              <w:jc w:val="left"/>
              <w:rPr>
                <w:rFonts w:cs="Times New Roman"/>
                <w:sz w:val="22"/>
              </w:rPr>
            </w:pPr>
          </w:p>
        </w:tc>
        <w:tc>
          <w:tcPr>
            <w:tcW w:w="1984" w:type="dxa"/>
            <w:vAlign w:val="center"/>
          </w:tcPr>
          <w:p w14:paraId="0C0B27CA" w14:textId="77777777" w:rsidR="00013E7D" w:rsidRPr="008903D1" w:rsidRDefault="00013E7D" w:rsidP="00010E01">
            <w:pPr>
              <w:spacing w:line="240" w:lineRule="auto"/>
              <w:jc w:val="left"/>
              <w:rPr>
                <w:rFonts w:cs="Times New Roman"/>
                <w:sz w:val="22"/>
              </w:rPr>
            </w:pPr>
            <w:r w:rsidRPr="008903D1">
              <w:rPr>
                <w:rFonts w:cs="Times New Roman"/>
                <w:sz w:val="22"/>
              </w:rPr>
              <w:t>Education</w:t>
            </w:r>
          </w:p>
        </w:tc>
        <w:tc>
          <w:tcPr>
            <w:tcW w:w="5477" w:type="dxa"/>
          </w:tcPr>
          <w:p w14:paraId="23023758" w14:textId="33A7AC0D" w:rsidR="00013E7D" w:rsidRPr="008903D1" w:rsidRDefault="00013E7D" w:rsidP="00010E01">
            <w:pPr>
              <w:tabs>
                <w:tab w:val="left" w:pos="602"/>
              </w:tabs>
              <w:spacing w:line="240" w:lineRule="auto"/>
              <w:rPr>
                <w:rFonts w:cs="Times New Roman"/>
                <w:sz w:val="22"/>
              </w:rPr>
            </w:pPr>
            <w:r w:rsidRPr="008903D1">
              <w:rPr>
                <w:rFonts w:cs="Times New Roman"/>
                <w:sz w:val="22"/>
              </w:rPr>
              <w:t xml:space="preserve">Number of schools with environmental education programs; </w:t>
            </w:r>
            <w:r w:rsidR="00247948" w:rsidRPr="008903D1">
              <w:rPr>
                <w:rFonts w:cs="Times New Roman"/>
                <w:sz w:val="22"/>
              </w:rPr>
              <w:t>a</w:t>
            </w:r>
            <w:r w:rsidRPr="008903D1">
              <w:rPr>
                <w:rFonts w:cs="Times New Roman"/>
                <w:sz w:val="22"/>
              </w:rPr>
              <w:t>dult literacy rate</w:t>
            </w:r>
          </w:p>
        </w:tc>
      </w:tr>
      <w:tr w:rsidR="00013E7D" w:rsidRPr="008903D1" w14:paraId="1C10AB5B" w14:textId="77777777" w:rsidTr="00D10D94">
        <w:tc>
          <w:tcPr>
            <w:tcW w:w="1555" w:type="dxa"/>
            <w:vMerge/>
            <w:vAlign w:val="center"/>
          </w:tcPr>
          <w:p w14:paraId="73A3AC2E" w14:textId="77777777" w:rsidR="00013E7D" w:rsidRPr="008903D1" w:rsidRDefault="00013E7D" w:rsidP="00010E01">
            <w:pPr>
              <w:spacing w:line="240" w:lineRule="auto"/>
              <w:jc w:val="left"/>
              <w:rPr>
                <w:rFonts w:cs="Times New Roman"/>
                <w:sz w:val="22"/>
              </w:rPr>
            </w:pPr>
          </w:p>
        </w:tc>
        <w:tc>
          <w:tcPr>
            <w:tcW w:w="1984" w:type="dxa"/>
            <w:vAlign w:val="center"/>
          </w:tcPr>
          <w:p w14:paraId="6911439D" w14:textId="77777777" w:rsidR="00013E7D" w:rsidRPr="008903D1" w:rsidRDefault="00013E7D" w:rsidP="00010E01">
            <w:pPr>
              <w:spacing w:line="240" w:lineRule="auto"/>
              <w:jc w:val="left"/>
              <w:rPr>
                <w:rFonts w:cs="Times New Roman"/>
                <w:sz w:val="22"/>
              </w:rPr>
            </w:pPr>
            <w:r w:rsidRPr="008903D1">
              <w:rPr>
                <w:rFonts w:cs="Times New Roman"/>
                <w:sz w:val="22"/>
              </w:rPr>
              <w:t>Sanitation</w:t>
            </w:r>
          </w:p>
        </w:tc>
        <w:tc>
          <w:tcPr>
            <w:tcW w:w="5477" w:type="dxa"/>
          </w:tcPr>
          <w:p w14:paraId="565BD53F" w14:textId="77777777" w:rsidR="00013E7D" w:rsidRPr="008903D1" w:rsidRDefault="00013E7D" w:rsidP="00010E01">
            <w:pPr>
              <w:spacing w:line="240" w:lineRule="auto"/>
              <w:rPr>
                <w:rFonts w:cs="Times New Roman"/>
                <w:sz w:val="22"/>
              </w:rPr>
            </w:pPr>
            <w:r w:rsidRPr="008903D1">
              <w:rPr>
                <w:rFonts w:cs="Times New Roman"/>
                <w:sz w:val="22"/>
              </w:rPr>
              <w:t>Percentage of population with access to waterborne or alternative (and effective) sanitary sewage infrastructure</w:t>
            </w:r>
          </w:p>
        </w:tc>
      </w:tr>
      <w:tr w:rsidR="00013E7D" w:rsidRPr="008903D1" w14:paraId="622422B4" w14:textId="77777777" w:rsidTr="00D10D94">
        <w:tc>
          <w:tcPr>
            <w:tcW w:w="1555" w:type="dxa"/>
            <w:vMerge/>
            <w:vAlign w:val="center"/>
          </w:tcPr>
          <w:p w14:paraId="468A70E4" w14:textId="77777777" w:rsidR="00013E7D" w:rsidRPr="008903D1" w:rsidRDefault="00013E7D" w:rsidP="00010E01">
            <w:pPr>
              <w:spacing w:line="240" w:lineRule="auto"/>
              <w:jc w:val="left"/>
              <w:rPr>
                <w:rFonts w:cs="Times New Roman"/>
                <w:sz w:val="22"/>
              </w:rPr>
            </w:pPr>
          </w:p>
        </w:tc>
        <w:tc>
          <w:tcPr>
            <w:tcW w:w="1984" w:type="dxa"/>
            <w:vAlign w:val="center"/>
          </w:tcPr>
          <w:p w14:paraId="4819A276" w14:textId="77777777" w:rsidR="00013E7D" w:rsidRPr="008903D1" w:rsidRDefault="00013E7D" w:rsidP="00010E01">
            <w:pPr>
              <w:spacing w:line="240" w:lineRule="auto"/>
              <w:jc w:val="left"/>
              <w:rPr>
                <w:rFonts w:cs="Times New Roman"/>
                <w:sz w:val="22"/>
              </w:rPr>
            </w:pPr>
            <w:r w:rsidRPr="008903D1">
              <w:rPr>
                <w:rFonts w:cs="Times New Roman"/>
                <w:sz w:val="22"/>
              </w:rPr>
              <w:t>Health</w:t>
            </w:r>
          </w:p>
        </w:tc>
        <w:tc>
          <w:tcPr>
            <w:tcW w:w="5477" w:type="dxa"/>
          </w:tcPr>
          <w:p w14:paraId="1A7A5539" w14:textId="022ADA92" w:rsidR="00013E7D" w:rsidRPr="008903D1" w:rsidRDefault="00013E7D" w:rsidP="00010E01">
            <w:pPr>
              <w:spacing w:line="240" w:lineRule="auto"/>
              <w:rPr>
                <w:rFonts w:cs="Times New Roman"/>
                <w:sz w:val="22"/>
              </w:rPr>
            </w:pPr>
            <w:r w:rsidRPr="008903D1">
              <w:rPr>
                <w:rFonts w:cs="Times New Roman"/>
                <w:sz w:val="22"/>
              </w:rPr>
              <w:t>Mortality rate/</w:t>
            </w:r>
            <w:r w:rsidR="00247948" w:rsidRPr="008903D1">
              <w:rPr>
                <w:rFonts w:cs="Times New Roman"/>
                <w:sz w:val="22"/>
              </w:rPr>
              <w:t>l</w:t>
            </w:r>
            <w:r w:rsidRPr="008903D1">
              <w:rPr>
                <w:rFonts w:cs="Times New Roman"/>
                <w:sz w:val="22"/>
              </w:rPr>
              <w:t xml:space="preserve">ife expectancy; </w:t>
            </w:r>
            <w:r w:rsidR="00247948" w:rsidRPr="008903D1">
              <w:rPr>
                <w:rFonts w:cs="Times New Roman"/>
                <w:sz w:val="22"/>
              </w:rPr>
              <w:t xml:space="preserve">percentage </w:t>
            </w:r>
            <w:r w:rsidRPr="008903D1">
              <w:rPr>
                <w:rFonts w:cs="Times New Roman"/>
                <w:sz w:val="22"/>
              </w:rPr>
              <w:t>of population with access to healthcare services</w:t>
            </w:r>
          </w:p>
        </w:tc>
      </w:tr>
    </w:tbl>
    <w:p w14:paraId="1F5439AC" w14:textId="0CEEA72A" w:rsidR="00013E7D" w:rsidRPr="00A96AC5" w:rsidRDefault="007B5959" w:rsidP="000A4E8C">
      <w:pPr>
        <w:pStyle w:val="Caption"/>
        <w:spacing w:after="0" w:line="360" w:lineRule="auto"/>
        <w:rPr>
          <w:rFonts w:cs="Times New Roman"/>
        </w:rPr>
      </w:pPr>
      <w:bookmarkStart w:id="86" w:name="_Ref30085416"/>
      <w:bookmarkStart w:id="87" w:name="_Toc34674926"/>
      <w:bookmarkStart w:id="88" w:name="_Toc40794157"/>
      <w:bookmarkStart w:id="89" w:name="_Toc46053531"/>
      <w:bookmarkStart w:id="90" w:name="_Toc46093780"/>
      <w:bookmarkStart w:id="91" w:name="_Toc66698748"/>
      <w:r>
        <w:rPr>
          <w:rFonts w:cs="Times New Roman"/>
        </w:rPr>
        <w:t>Table</w:t>
      </w:r>
      <w:r w:rsidR="00013E7D"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1</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6</w:t>
      </w:r>
      <w:r w:rsidR="00FE10DA">
        <w:rPr>
          <w:rFonts w:cs="Times New Roman"/>
        </w:rPr>
        <w:fldChar w:fldCharType="end"/>
      </w:r>
      <w:bookmarkEnd w:id="86"/>
      <w:r w:rsidR="00C27E7C">
        <w:rPr>
          <w:rFonts w:cs="Times New Roman"/>
        </w:rPr>
        <w:t>:</w:t>
      </w:r>
      <w:r w:rsidR="00013E7D" w:rsidRPr="008903D1">
        <w:rPr>
          <w:rFonts w:cs="Times New Roman"/>
        </w:rPr>
        <w:t xml:space="preserve"> EU </w:t>
      </w:r>
      <w:r w:rsidR="00247948" w:rsidRPr="00737239">
        <w:rPr>
          <w:rFonts w:cs="Times New Roman"/>
        </w:rPr>
        <w:t>urban sustainable development indicators</w:t>
      </w:r>
      <w:bookmarkEnd w:id="87"/>
      <w:bookmarkEnd w:id="88"/>
      <w:r w:rsidR="000D4819" w:rsidRPr="00737239">
        <w:rPr>
          <w:rFonts w:cs="Times New Roman"/>
        </w:rPr>
        <w:t xml:space="preserve"> (adapted fro</w:t>
      </w:r>
      <w:r w:rsidR="000D4819" w:rsidRPr="00802DC5">
        <w:rPr>
          <w:rFonts w:cs="Times New Roman"/>
        </w:rPr>
        <w:t xml:space="preserve">m indicators </w:t>
      </w:r>
      <w:r w:rsidR="000D4819" w:rsidRPr="006C301D">
        <w:rPr>
          <w:rFonts w:cs="Times New Roman"/>
          <w:noProof/>
        </w:rPr>
        <w:t xml:space="preserve">Science for Environment Policy, </w:t>
      </w:r>
      <w:r w:rsidR="006C27E8" w:rsidRPr="00A96AC5">
        <w:rPr>
          <w:rFonts w:cs="Times New Roman"/>
          <w:noProof/>
        </w:rPr>
        <w:t>[</w:t>
      </w:r>
      <w:r w:rsidR="000D4819" w:rsidRPr="00A96AC5">
        <w:rPr>
          <w:rFonts w:cs="Times New Roman"/>
          <w:noProof/>
        </w:rPr>
        <w:t>2018</w:t>
      </w:r>
      <w:r w:rsidR="006C27E8" w:rsidRPr="00A96AC5">
        <w:rPr>
          <w:rFonts w:cs="Times New Roman"/>
          <w:noProof/>
        </w:rPr>
        <w:t>]</w:t>
      </w:r>
      <w:r w:rsidR="000D4819" w:rsidRPr="00A96AC5">
        <w:rPr>
          <w:rFonts w:cs="Times New Roman"/>
          <w:noProof/>
        </w:rPr>
        <w:t>)</w:t>
      </w:r>
      <w:r w:rsidR="000D4819" w:rsidRPr="00A96AC5">
        <w:rPr>
          <w:rFonts w:cs="Times New Roman"/>
        </w:rPr>
        <w:t>.</w:t>
      </w:r>
      <w:bookmarkEnd w:id="89"/>
      <w:bookmarkEnd w:id="90"/>
      <w:bookmarkEnd w:id="91"/>
    </w:p>
    <w:p w14:paraId="7F7A3A42" w14:textId="18980015" w:rsidR="002A27F9" w:rsidRPr="00737239" w:rsidRDefault="00013E7D" w:rsidP="00351C14">
      <w:pPr>
        <w:spacing w:before="240" w:after="240" w:line="360" w:lineRule="auto"/>
        <w:rPr>
          <w:rFonts w:cs="Times New Roman"/>
        </w:rPr>
      </w:pPr>
      <w:r w:rsidRPr="00A96AC5">
        <w:rPr>
          <w:rFonts w:cs="Times New Roman"/>
        </w:rPr>
        <w:t xml:space="preserve">Due to the complexity of urban systems, indicators from each category (economic, environmental, and social sustainability) often interact with </w:t>
      </w:r>
      <w:r w:rsidR="00247948" w:rsidRPr="00A96AC5">
        <w:rPr>
          <w:rFonts w:cs="Times New Roman"/>
        </w:rPr>
        <w:t>one an</w:t>
      </w:r>
      <w:r w:rsidRPr="00A96AC5">
        <w:rPr>
          <w:rFonts w:cs="Times New Roman"/>
        </w:rPr>
        <w:t xml:space="preserve">other </w:t>
      </w:r>
      <w:r w:rsidR="00972B22">
        <w:fldChar w:fldCharType="begin"/>
      </w:r>
      <w:r w:rsidR="00647E79">
        <w:instrText xml:space="preserve"> ADDIN EN.CITE &lt;EndNote&gt;&lt;Cite&gt;&lt;Author&gt;Wilson&lt;/Author&gt;&lt;Year&gt;2007&lt;/Year&gt;&lt;RecNum&gt;21&lt;/RecNum&gt;&lt;DisplayText&gt;(Wilson et al., 2007)&lt;/DisplayText&gt;&lt;record&gt;&lt;rec-number&gt;21&lt;/rec-number&gt;&lt;foreign-keys&gt;&lt;key app="EN" db-id="pzt5ep52hsedfpeext2pdfes0w0aswaewef2" timestamp="1605187992"&gt;21&lt;/key&gt;&lt;/foreign-keys&gt;&lt;ref-type name="Journal Article"&gt;17&lt;/ref-type&gt;&lt;contributors&gt;&lt;authors&gt;&lt;author&gt;Wilson, Jeffrey&lt;/author&gt;&lt;author&gt;Tyedmers, Peter&lt;/author&gt;&lt;author&gt;Pelot, Ronald&lt;/author&gt;&lt;/authors&gt;&lt;/contributors&gt;&lt;titles&gt;&lt;title&gt;Contrasting and comparing sustainable development indicator metrics&lt;/title&gt;&lt;secondary-title&gt;Ecological indicators&lt;/secondary-title&gt;&lt;/titles&gt;&lt;periodical&gt;&lt;full-title&gt;Ecological indicators&lt;/full-title&gt;&lt;/periodical&gt;&lt;pages&gt;299-314&lt;/pages&gt;&lt;volume&gt;7&lt;/volume&gt;&lt;number&gt;2&lt;/number&gt;&lt;dates&gt;&lt;year&gt;2007&lt;/year&gt;&lt;/dates&gt;&lt;isbn&gt;1470-160X&lt;/isbn&gt;&lt;urls&gt;&lt;/urls&gt;&lt;/record&gt;&lt;/Cite&gt;&lt;/EndNote&gt;</w:instrText>
      </w:r>
      <w:r w:rsidR="00972B22">
        <w:fldChar w:fldCharType="separate"/>
      </w:r>
      <w:r w:rsidR="00972B22">
        <w:rPr>
          <w:noProof/>
        </w:rPr>
        <w:t>(Wilson et al., 2007)</w:t>
      </w:r>
      <w:r w:rsidR="00972B22">
        <w:fldChar w:fldCharType="end"/>
      </w:r>
      <w:r w:rsidRPr="00A96AC5">
        <w:rPr>
          <w:rFonts w:cs="Times New Roman"/>
        </w:rPr>
        <w:t xml:space="preserve">. </w:t>
      </w:r>
      <w:r w:rsidR="00807E57">
        <w:fldChar w:fldCharType="begin"/>
      </w:r>
      <w:r w:rsidR="00647E79">
        <w:instrText xml:space="preserve"> ADDIN EN.CITE &lt;EndNote&gt;&lt;Cite AuthorYear="1"&gt;&lt;Author&gt;Troy&lt;/Author&gt;&lt;Year&gt;2013&lt;/Year&gt;&lt;RecNum&gt;22&lt;/RecNum&gt;&lt;DisplayText&gt;Troy (2013)&lt;/DisplayText&gt;&lt;record&gt;&lt;rec-number&gt;22&lt;/rec-number&gt;&lt;foreign-keys&gt;&lt;key app="EN" db-id="pzt5ep52hsedfpeext2pdfes0w0aswaewef2" timestamp="1605187992"&gt;22&lt;/key&gt;&lt;/foreign-keys&gt;&lt;ref-type name="Journal Article"&gt;17&lt;/ref-type&gt;&lt;contributors&gt;&lt;authors&gt;&lt;author&gt;Troy, Patrick&lt;/author&gt;&lt;/authors&gt;&lt;/contributors&gt;&lt;titles&gt;&lt;title&gt;Urban sustainability&lt;/title&gt;&lt;secondary-title&gt;The Economic and Labour Relations Review&lt;/secondary-title&gt;&lt;/titles&gt;&lt;periodical&gt;&lt;full-title&gt;The Economic and Labour Relations Review&lt;/full-title&gt;&lt;/periodical&gt;&lt;pages&gt;469-480&lt;/pages&gt;&lt;volume&gt;24&lt;/volume&gt;&lt;number&gt;4&lt;/number&gt;&lt;dates&gt;&lt;year&gt;2013&lt;/year&gt;&lt;/dates&gt;&lt;isbn&gt;1035-3046&lt;/isbn&gt;&lt;urls&gt;&lt;/urls&gt;&lt;/record&gt;&lt;/Cite&gt;&lt;/EndNote&gt;</w:instrText>
      </w:r>
      <w:r w:rsidR="00807E57">
        <w:fldChar w:fldCharType="separate"/>
      </w:r>
      <w:r w:rsidR="00807E57">
        <w:rPr>
          <w:noProof/>
        </w:rPr>
        <w:t>Troy (2013)</w:t>
      </w:r>
      <w:r w:rsidR="00807E57">
        <w:fldChar w:fldCharType="end"/>
      </w:r>
      <w:r w:rsidR="00807E57">
        <w:t xml:space="preserve"> </w:t>
      </w:r>
      <w:r w:rsidRPr="00A96AC5">
        <w:rPr>
          <w:rFonts w:cs="Times New Roman"/>
        </w:rPr>
        <w:t>stresses that achiev</w:t>
      </w:r>
      <w:r w:rsidR="008C0E72" w:rsidRPr="00A96AC5">
        <w:rPr>
          <w:rFonts w:cs="Times New Roman"/>
        </w:rPr>
        <w:t xml:space="preserve">ing </w:t>
      </w:r>
      <w:r w:rsidRPr="00A96AC5">
        <w:rPr>
          <w:rFonts w:cs="Times New Roman"/>
        </w:rPr>
        <w:t>all the targets of sustainability</w:t>
      </w:r>
      <w:r w:rsidR="008C0E72" w:rsidRPr="00A96AC5">
        <w:rPr>
          <w:rFonts w:cs="Times New Roman"/>
        </w:rPr>
        <w:t xml:space="preserve"> is a ‘cheat word’</w:t>
      </w:r>
      <w:r w:rsidRPr="00A96AC5">
        <w:rPr>
          <w:rFonts w:cs="Times New Roman"/>
        </w:rPr>
        <w:t xml:space="preserve">, because </w:t>
      </w:r>
      <w:r w:rsidRPr="00A96AC5">
        <w:rPr>
          <w:rFonts w:cs="Times New Roman"/>
        </w:rPr>
        <w:lastRenderedPageBreak/>
        <w:t xml:space="preserve">many of the goals are </w:t>
      </w:r>
      <w:r w:rsidR="00247948" w:rsidRPr="00A96AC5">
        <w:rPr>
          <w:rFonts w:cs="Times New Roman"/>
        </w:rPr>
        <w:t>in conflict</w:t>
      </w:r>
      <w:r w:rsidRPr="00A96AC5">
        <w:rPr>
          <w:rFonts w:cs="Times New Roman"/>
        </w:rPr>
        <w:t xml:space="preserve">. </w:t>
      </w:r>
      <w:r w:rsidR="00527CC6" w:rsidRPr="00527CC6">
        <w:rPr>
          <w:rFonts w:cs="Times New Roman"/>
        </w:rPr>
        <w:t>Since UL system</w:t>
      </w:r>
      <w:r w:rsidR="00D71CA6">
        <w:rPr>
          <w:rFonts w:cs="Times New Roman"/>
        </w:rPr>
        <w:t>s</w:t>
      </w:r>
      <w:r w:rsidR="00527CC6" w:rsidRPr="00527CC6">
        <w:rPr>
          <w:rFonts w:cs="Times New Roman"/>
        </w:rPr>
        <w:t xml:space="preserve"> create a variety of economic, environmental, and social impacts, </w:t>
      </w:r>
      <w:r w:rsidR="00070F6D" w:rsidRPr="00A96AC5">
        <w:rPr>
          <w:rFonts w:cs="Times New Roman"/>
        </w:rPr>
        <w:t xml:space="preserve">there is a need to perform logistical activities to </w:t>
      </w:r>
      <w:r w:rsidR="00596BDA" w:rsidRPr="00A96AC5">
        <w:rPr>
          <w:rFonts w:cs="Times New Roman"/>
        </w:rPr>
        <w:t>b</w:t>
      </w:r>
      <w:r w:rsidR="00596BDA" w:rsidRPr="008903D1">
        <w:rPr>
          <w:rFonts w:cs="Times New Roman"/>
        </w:rPr>
        <w:t xml:space="preserve">e </w:t>
      </w:r>
      <w:r w:rsidR="00070F6D" w:rsidRPr="008903D1">
        <w:rPr>
          <w:rFonts w:cs="Times New Roman"/>
        </w:rPr>
        <w:t xml:space="preserve">compatible with urban sustainability. </w:t>
      </w:r>
      <w:r w:rsidR="001803DA">
        <w:rPr>
          <w:rFonts w:cs="Times New Roman"/>
        </w:rPr>
        <w:t xml:space="preserve">More </w:t>
      </w:r>
      <w:proofErr w:type="spellStart"/>
      <w:r w:rsidR="001803DA">
        <w:rPr>
          <w:rFonts w:cs="Times New Roman"/>
        </w:rPr>
        <w:t>specificially</w:t>
      </w:r>
      <w:proofErr w:type="spellEnd"/>
      <w:r w:rsidR="00070F6D" w:rsidRPr="008903D1">
        <w:rPr>
          <w:rFonts w:cs="Times New Roman"/>
        </w:rPr>
        <w:t xml:space="preserve">, </w:t>
      </w:r>
      <w:r w:rsidR="00070F6D" w:rsidRPr="00737239">
        <w:rPr>
          <w:rFonts w:cs="Times New Roman"/>
        </w:rPr>
        <w:t>the economic dimension could be related to the logistic efficiency</w:t>
      </w:r>
      <w:r w:rsidR="001765CB">
        <w:rPr>
          <w:rFonts w:cs="Times New Roman" w:hint="eastAsia"/>
        </w:rPr>
        <w:t>.</w:t>
      </w:r>
      <w:r w:rsidR="001765CB">
        <w:rPr>
          <w:rFonts w:cs="Times New Roman"/>
        </w:rPr>
        <w:t xml:space="preserve"> </w:t>
      </w:r>
      <w:r w:rsidR="00FE670A">
        <w:rPr>
          <w:rFonts w:cs="Times New Roman"/>
        </w:rPr>
        <w:t>It can be stated that</w:t>
      </w:r>
      <w:r w:rsidR="00070F6D" w:rsidRPr="00737239">
        <w:rPr>
          <w:rFonts w:cs="Times New Roman"/>
        </w:rPr>
        <w:t xml:space="preserve"> </w:t>
      </w:r>
      <w:r w:rsidR="009D55BD">
        <w:rPr>
          <w:rFonts w:cs="Times New Roman"/>
        </w:rPr>
        <w:t xml:space="preserve">UL </w:t>
      </w:r>
      <w:r w:rsidR="00FA1C41">
        <w:rPr>
          <w:rFonts w:cs="Times New Roman"/>
        </w:rPr>
        <w:t>systems are</w:t>
      </w:r>
      <w:r w:rsidR="009D55BD">
        <w:rPr>
          <w:rFonts w:cs="Times New Roman"/>
        </w:rPr>
        <w:t xml:space="preserve"> the fundamental </w:t>
      </w:r>
      <w:r w:rsidR="00FA1C41">
        <w:rPr>
          <w:rFonts w:cs="Times New Roman"/>
        </w:rPr>
        <w:t>in the</w:t>
      </w:r>
      <w:r w:rsidR="009D55BD">
        <w:rPr>
          <w:rFonts w:cs="Times New Roman"/>
        </w:rPr>
        <w:t xml:space="preserve"> support</w:t>
      </w:r>
      <w:r w:rsidR="00FA1C41">
        <w:rPr>
          <w:rFonts w:cs="Times New Roman"/>
        </w:rPr>
        <w:t xml:space="preserve"> of</w:t>
      </w:r>
      <w:r w:rsidR="009D55BD">
        <w:rPr>
          <w:rFonts w:cs="Times New Roman"/>
        </w:rPr>
        <w:t xml:space="preserve"> the urban </w:t>
      </w:r>
      <w:r w:rsidR="005D654D">
        <w:rPr>
          <w:rFonts w:cs="Times New Roman"/>
        </w:rPr>
        <w:t xml:space="preserve">lives. For instance, UL </w:t>
      </w:r>
      <w:r w:rsidR="0091507F" w:rsidRPr="00083E69">
        <w:rPr>
          <w:rFonts w:cs="Times New Roman"/>
        </w:rPr>
        <w:t>sustains</w:t>
      </w:r>
      <w:r w:rsidR="00C7166C" w:rsidRPr="00083E69">
        <w:rPr>
          <w:rFonts w:cs="Times New Roman"/>
        </w:rPr>
        <w:t xml:space="preserve"> industrial and trading activities which are essential major wealth generating activities.</w:t>
      </w:r>
      <w:r w:rsidR="00083E69" w:rsidRPr="00083E69">
        <w:rPr>
          <w:rFonts w:cs="Times New Roman"/>
        </w:rPr>
        <w:t xml:space="preserve"> </w:t>
      </w:r>
      <w:r w:rsidR="00083E69" w:rsidRPr="00083E69">
        <w:rPr>
          <w:rFonts w:cs="Times New Roman" w:hint="eastAsia"/>
        </w:rPr>
        <w:t>F</w:t>
      </w:r>
      <w:r w:rsidR="00083E69" w:rsidRPr="00083E69">
        <w:rPr>
          <w:rFonts w:cs="Times New Roman"/>
        </w:rPr>
        <w:t xml:space="preserve">urthermore, the total cost of UL is significant and has a direct bearing on the efficiency of </w:t>
      </w:r>
      <w:r w:rsidR="00B16D12">
        <w:rPr>
          <w:rFonts w:cs="Times New Roman"/>
        </w:rPr>
        <w:t xml:space="preserve">the </w:t>
      </w:r>
      <w:r w:rsidR="00083E69" w:rsidRPr="00083E69">
        <w:rPr>
          <w:rFonts w:cs="Times New Roman"/>
        </w:rPr>
        <w:t>local</w:t>
      </w:r>
      <w:r w:rsidR="00B16D12">
        <w:rPr>
          <w:rFonts w:cs="Times New Roman"/>
        </w:rPr>
        <w:t xml:space="preserve"> </w:t>
      </w:r>
      <w:r w:rsidR="00351C14" w:rsidRPr="00083E69">
        <w:rPr>
          <w:rFonts w:cs="Times New Roman"/>
        </w:rPr>
        <w:t>economy.</w:t>
      </w:r>
      <w:r w:rsidR="00351C14">
        <w:rPr>
          <w:rFonts w:cs="Times New Roman"/>
        </w:rPr>
        <w:t xml:space="preserve"> </w:t>
      </w:r>
      <w:r w:rsidR="00351C14" w:rsidRPr="00737239">
        <w:rPr>
          <w:rFonts w:cs="Times New Roman"/>
        </w:rPr>
        <w:t>The</w:t>
      </w:r>
      <w:r w:rsidR="00070F6D" w:rsidRPr="00737239">
        <w:rPr>
          <w:rFonts w:cs="Times New Roman"/>
        </w:rPr>
        <w:t xml:space="preserve"> environmental dimension corresponds to the environmental challenges in urban logistics, </w:t>
      </w:r>
      <w:r w:rsidR="00351C14">
        <w:rPr>
          <w:rFonts w:cs="Times New Roman"/>
        </w:rPr>
        <w:t xml:space="preserve">in terms of </w:t>
      </w:r>
      <w:r w:rsidR="00E15328">
        <w:rPr>
          <w:rFonts w:cs="Times New Roman"/>
        </w:rPr>
        <w:t>energy</w:t>
      </w:r>
      <w:r w:rsidR="00351C14">
        <w:rPr>
          <w:rFonts w:cs="Times New Roman"/>
        </w:rPr>
        <w:t xml:space="preserve">, waste, </w:t>
      </w:r>
      <w:proofErr w:type="spellStart"/>
      <w:r w:rsidR="00CC1B60">
        <w:rPr>
          <w:rFonts w:cs="Times New Roman"/>
        </w:rPr>
        <w:t>amd</w:t>
      </w:r>
      <w:proofErr w:type="spellEnd"/>
      <w:r w:rsidR="00CC1B60">
        <w:rPr>
          <w:rFonts w:cs="Times New Roman"/>
        </w:rPr>
        <w:t xml:space="preserve"> </w:t>
      </w:r>
      <w:r w:rsidR="00351C14">
        <w:rPr>
          <w:rFonts w:cs="Times New Roman"/>
        </w:rPr>
        <w:t>air pollutant</w:t>
      </w:r>
      <w:r w:rsidR="00CC1B60">
        <w:rPr>
          <w:rFonts w:cs="Times New Roman"/>
        </w:rPr>
        <w:t>s</w:t>
      </w:r>
      <w:r w:rsidR="00721C54">
        <w:rPr>
          <w:rFonts w:cs="Times New Roman"/>
        </w:rPr>
        <w:t>.</w:t>
      </w:r>
      <w:r w:rsidR="00351C14">
        <w:rPr>
          <w:rFonts w:cs="Times New Roman"/>
        </w:rPr>
        <w:t xml:space="preserve"> </w:t>
      </w:r>
      <w:r w:rsidR="00721C54">
        <w:rPr>
          <w:rFonts w:cs="Times New Roman"/>
        </w:rPr>
        <w:t>Lastly,</w:t>
      </w:r>
      <w:r w:rsidR="00070F6D" w:rsidRPr="00737239">
        <w:rPr>
          <w:rFonts w:cs="Times New Roman"/>
        </w:rPr>
        <w:t xml:space="preserve"> the social dimensions to the labour</w:t>
      </w:r>
      <w:r w:rsidR="00070F6D" w:rsidRPr="00802DC5">
        <w:rPr>
          <w:rFonts w:cs="Times New Roman"/>
        </w:rPr>
        <w:t xml:space="preserve"> equity associated with logistics </w:t>
      </w:r>
      <w:r w:rsidR="00070F6D" w:rsidRPr="00A96AC5">
        <w:rPr>
          <w:rFonts w:cs="Times New Roman"/>
        </w:rPr>
        <w:t>operation</w:t>
      </w:r>
      <w:r w:rsidR="00C82C76">
        <w:rPr>
          <w:rFonts w:cs="Times New Roman"/>
        </w:rPr>
        <w:t>s</w:t>
      </w:r>
      <w:r w:rsidR="00351C14">
        <w:rPr>
          <w:rFonts w:cs="Times New Roman"/>
        </w:rPr>
        <w:t xml:space="preserve"> (</w:t>
      </w:r>
      <w:proofErr w:type="gramStart"/>
      <w:r w:rsidR="00351C14">
        <w:rPr>
          <w:rFonts w:cs="Times New Roman"/>
        </w:rPr>
        <w:t>e.g.</w:t>
      </w:r>
      <w:proofErr w:type="gramEnd"/>
      <w:r w:rsidR="00351C14">
        <w:rPr>
          <w:rFonts w:cs="Times New Roman"/>
        </w:rPr>
        <w:t xml:space="preserve"> noise, </w:t>
      </w:r>
      <w:r w:rsidR="00351C14" w:rsidRPr="00351C14">
        <w:rPr>
          <w:rFonts w:cs="Times New Roman"/>
        </w:rPr>
        <w:t>visual intrusion</w:t>
      </w:r>
      <w:r w:rsidR="00351C14">
        <w:rPr>
          <w:rFonts w:cs="Times New Roman"/>
        </w:rPr>
        <w:t>)</w:t>
      </w:r>
      <w:r w:rsidR="00070F6D" w:rsidRPr="00A96AC5">
        <w:rPr>
          <w:rFonts w:cs="Times New Roman"/>
        </w:rPr>
        <w:t xml:space="preserve">. </w:t>
      </w:r>
      <w:r w:rsidR="00527CC6" w:rsidRPr="00721C54">
        <w:rPr>
          <w:rFonts w:cs="Times New Roman"/>
        </w:rPr>
        <w:t xml:space="preserve">The </w:t>
      </w:r>
      <w:r w:rsidR="00721C54">
        <w:rPr>
          <w:rFonts w:cs="Times New Roman"/>
        </w:rPr>
        <w:t>ideal principle of sustainable urban logistics</w:t>
      </w:r>
      <w:r w:rsidR="00721C54" w:rsidRPr="00721C54">
        <w:rPr>
          <w:rFonts w:cs="Times New Roman"/>
        </w:rPr>
        <w:t>, according to the summarisation by</w:t>
      </w:r>
      <w:r w:rsidR="006A3B07">
        <w:rPr>
          <w:rFonts w:cs="Times New Roman"/>
          <w:noProof/>
        </w:rPr>
        <w:t xml:space="preserve"> </w:t>
      </w:r>
      <w:r w:rsidR="006A3B07">
        <w:rPr>
          <w:rFonts w:cs="Times New Roman"/>
          <w:noProof/>
        </w:rPr>
        <w:fldChar w:fldCharType="begin"/>
      </w:r>
      <w:r w:rsidR="00647E79">
        <w:rPr>
          <w:rFonts w:cs="Times New Roman"/>
          <w:noProof/>
        </w:rPr>
        <w:instrText xml:space="preserve"> ADDIN EN.CITE &lt;EndNote&gt;&lt;Cite AuthorYear="1"&gt;&lt;Author&gt;Anderson&lt;/Author&gt;&lt;Year&gt;2005&lt;/Year&gt;&lt;RecNum&gt;9&lt;/RecNum&gt;&lt;DisplayText&gt;Anderson et al. (2005)&lt;/DisplayText&gt;&lt;record&gt;&lt;rec-number&gt;9&lt;/rec-number&gt;&lt;foreign-keys&gt;&lt;key app="EN" db-id="pzt5ep52hsedfpeext2pdfes0w0aswaewef2" timestamp="1605187992"&gt;9&lt;/key&gt;&lt;/foreign-keys&gt;&lt;ref-type name="Journal Article"&gt;17&lt;/ref-type&gt;&lt;contributors&gt;&lt;authors&gt;&lt;author&gt;Anderson, Stephen&lt;/author&gt;&lt;author&gt;Allen, Julian&lt;/author&gt;&lt;author&gt;Browne, Michael&lt;/author&gt;&lt;/authors&gt;&lt;/contributors&gt;&lt;titles&gt;&lt;title&gt;Urban logistics––how can it meet policy makers’ sustainability objectives?&lt;/title&gt;&lt;secondary-title&gt;Journal of transport geography&lt;/secondary-title&gt;&lt;/titles&gt;&lt;periodical&gt;&lt;full-title&gt;Journal of transport geography&lt;/full-title&gt;&lt;/periodical&gt;&lt;pages&gt;71-81&lt;/pages&gt;&lt;volume&gt;13&lt;/volume&gt;&lt;number&gt;1&lt;/number&gt;&lt;dates&gt;&lt;year&gt;2005&lt;/year&gt;&lt;/dates&gt;&lt;isbn&gt;0966-6923&lt;/isbn&gt;&lt;urls&gt;&lt;/urls&gt;&lt;research-notes&gt;10&lt;/research-notes&gt;&lt;/record&gt;&lt;/Cite&gt;&lt;/EndNote&gt;</w:instrText>
      </w:r>
      <w:r w:rsidR="006A3B07">
        <w:rPr>
          <w:rFonts w:cs="Times New Roman"/>
          <w:noProof/>
        </w:rPr>
        <w:fldChar w:fldCharType="separate"/>
      </w:r>
      <w:r w:rsidR="00C012B9">
        <w:rPr>
          <w:rFonts w:cs="Times New Roman"/>
          <w:noProof/>
        </w:rPr>
        <w:t>Anderson et al. (2005)</w:t>
      </w:r>
      <w:r w:rsidR="006A3B07">
        <w:rPr>
          <w:rFonts w:cs="Times New Roman"/>
          <w:noProof/>
        </w:rPr>
        <w:fldChar w:fldCharType="end"/>
      </w:r>
      <w:r w:rsidR="00721C54" w:rsidRPr="00721C54">
        <w:rPr>
          <w:rFonts w:cs="Times New Roman"/>
        </w:rPr>
        <w:t xml:space="preserve">, </w:t>
      </w:r>
      <w:r w:rsidR="00527CC6" w:rsidRPr="00721C54">
        <w:rPr>
          <w:rFonts w:cs="Times New Roman"/>
        </w:rPr>
        <w:t>is therefore to identify appropriate trade-off solutions</w:t>
      </w:r>
      <w:r w:rsidR="00721C54" w:rsidRPr="00721C54">
        <w:rPr>
          <w:rFonts w:cs="Times New Roman"/>
        </w:rPr>
        <w:t>, which could</w:t>
      </w:r>
      <w:r w:rsidR="00721C54" w:rsidRPr="00721C54">
        <w:rPr>
          <w:b/>
          <w:bCs/>
        </w:rPr>
        <w:t xml:space="preserve"> ‘</w:t>
      </w:r>
      <w:r w:rsidR="00721C54" w:rsidRPr="00EA09F1">
        <w:rPr>
          <w:rFonts w:cs="Times New Roman"/>
          <w:i/>
          <w:iCs/>
        </w:rPr>
        <w:t>answer, as far as possible, how society intends to provide the means of opportunity to meet economic, environmental and social needs efficiently and equitably, while minimising avoidable or unnecessary adverse impacts and their associated costs, over relevant space and time scales</w:t>
      </w:r>
      <w:r w:rsidR="00721C54" w:rsidRPr="00721C54">
        <w:rPr>
          <w:rFonts w:cs="Times New Roman"/>
        </w:rPr>
        <w:t>’</w:t>
      </w:r>
      <w:r w:rsidR="00721C54">
        <w:rPr>
          <w:rFonts w:cs="Times New Roman"/>
        </w:rPr>
        <w:t xml:space="preserve">. </w:t>
      </w:r>
      <w:r w:rsidR="00070F6D" w:rsidRPr="00A96AC5">
        <w:rPr>
          <w:rFonts w:cs="Times New Roman"/>
        </w:rPr>
        <w:t>The</w:t>
      </w:r>
      <w:r w:rsidRPr="00A96AC5">
        <w:rPr>
          <w:rFonts w:cs="Times New Roman"/>
        </w:rPr>
        <w:t xml:space="preserve"> following sections describe the need for sustainable urban logistics</w:t>
      </w:r>
      <w:r w:rsidR="00C15339" w:rsidRPr="00A96AC5">
        <w:rPr>
          <w:rFonts w:cs="Times New Roman"/>
        </w:rPr>
        <w:t xml:space="preserve"> (SUL)</w:t>
      </w:r>
      <w:r w:rsidRPr="00A96AC5">
        <w:rPr>
          <w:rFonts w:cs="Times New Roman"/>
        </w:rPr>
        <w:t>.</w:t>
      </w:r>
    </w:p>
    <w:p w14:paraId="57851E7E" w14:textId="4DABC9C6" w:rsidR="00566543" w:rsidRPr="00832C37" w:rsidRDefault="00013E7D" w:rsidP="000A4E8C">
      <w:pPr>
        <w:pStyle w:val="Heading2"/>
        <w:spacing w:before="40" w:afterLines="0" w:after="0" w:line="360" w:lineRule="auto"/>
        <w:jc w:val="left"/>
        <w:rPr>
          <w:rFonts w:cs="Times New Roman"/>
        </w:rPr>
      </w:pPr>
      <w:bookmarkStart w:id="92" w:name="_Toc491894818"/>
      <w:bookmarkStart w:id="93" w:name="_Toc34734481"/>
      <w:bookmarkStart w:id="94" w:name="_Toc46053399"/>
      <w:bookmarkStart w:id="95" w:name="_Toc46093313"/>
      <w:bookmarkStart w:id="96" w:name="_Toc46093596"/>
      <w:bookmarkStart w:id="97" w:name="_Toc66703171"/>
      <w:bookmarkEnd w:id="85"/>
      <w:r w:rsidRPr="00737239">
        <w:rPr>
          <w:rFonts w:cs="Times New Roman"/>
        </w:rPr>
        <w:t xml:space="preserve">Sustainable </w:t>
      </w:r>
      <w:r w:rsidR="00247948" w:rsidRPr="00802DC5">
        <w:rPr>
          <w:rFonts w:cs="Times New Roman"/>
        </w:rPr>
        <w:t xml:space="preserve">urban </w:t>
      </w:r>
      <w:bookmarkEnd w:id="92"/>
      <w:r w:rsidR="00247948" w:rsidRPr="00802DC5">
        <w:rPr>
          <w:rFonts w:cs="Times New Roman"/>
        </w:rPr>
        <w:t xml:space="preserve">logistics </w:t>
      </w:r>
      <w:r w:rsidR="00C15339" w:rsidRPr="006C301D">
        <w:rPr>
          <w:rFonts w:cs="Times New Roman"/>
        </w:rPr>
        <w:t>(SUL)</w:t>
      </w:r>
      <w:bookmarkEnd w:id="93"/>
      <w:bookmarkEnd w:id="94"/>
      <w:bookmarkEnd w:id="95"/>
      <w:bookmarkEnd w:id="96"/>
      <w:bookmarkEnd w:id="97"/>
    </w:p>
    <w:p w14:paraId="7B129373" w14:textId="4F5220DF" w:rsidR="00566543" w:rsidRPr="00A96AC5" w:rsidRDefault="00D32DDE" w:rsidP="007201C5">
      <w:pPr>
        <w:spacing w:before="240" w:after="240" w:line="360" w:lineRule="auto"/>
        <w:rPr>
          <w:rFonts w:cs="Times New Roman"/>
          <w:i/>
          <w:iCs/>
        </w:rPr>
      </w:pPr>
      <w:r w:rsidRPr="00A96AC5">
        <w:rPr>
          <w:rFonts w:cs="Times New Roman"/>
        </w:rPr>
        <w:t>A</w:t>
      </w:r>
      <w:r w:rsidR="00566543" w:rsidRPr="00A96AC5">
        <w:rPr>
          <w:rFonts w:cs="Times New Roman"/>
        </w:rPr>
        <w:t xml:space="preserve"> unified definition of SUL is given by </w:t>
      </w:r>
      <w:r w:rsidR="00436BB0">
        <w:rPr>
          <w:noProof/>
        </w:rPr>
        <w:fldChar w:fldCharType="begin"/>
      </w:r>
      <w:r w:rsidR="00647E79">
        <w:rPr>
          <w:noProof/>
        </w:rPr>
        <w:instrText xml:space="preserve"> ADDIN EN.CITE &lt;EndNote&gt;&lt;Cite AuthorYear="1"&gt;&lt;Author&gt;Gonzalez-Feliu&lt;/Author&gt;&lt;Year&gt;2014&lt;/Year&gt;&lt;RecNum&gt;23&lt;/RecNum&gt;&lt;DisplayText&gt;Gonzalez-Feliu et al. (2014b)&lt;/DisplayText&gt;&lt;record&gt;&lt;rec-number&gt;23&lt;/rec-number&gt;&lt;foreign-keys&gt;&lt;key app="EN" db-id="pzt5ep52hsedfpeext2pdfes0w0aswaewef2" timestamp="1605187992"&gt;23&lt;/key&gt;&lt;/foreign-keys&gt;&lt;ref-type name="Book"&gt;6&lt;/ref-type&gt;&lt;contributors&gt;&lt;authors&gt;&lt;author&gt;Gonzalez-Feliu, Jesus&lt;/author&gt;&lt;author&gt;Semet, Frédéric&lt;/author&gt;&lt;author&gt;Routhier, Jean-Louis&lt;/author&gt;&lt;/authors&gt;&lt;/contributors&gt;&lt;titles&gt;&lt;title&gt;Sustainable urban logistics: Concepts, methods and information systems&lt;/title&gt;&lt;/titles&gt;&lt;dates&gt;&lt;year&gt;2014&lt;/year&gt;&lt;/dates&gt;&lt;publisher&gt;Springer&lt;/publisher&gt;&lt;isbn&gt;3642317871&lt;/isbn&gt;&lt;urls&gt;&lt;/urls&gt;&lt;/record&gt;&lt;/Cite&gt;&lt;/EndNote&gt;</w:instrText>
      </w:r>
      <w:r w:rsidR="00436BB0">
        <w:rPr>
          <w:noProof/>
        </w:rPr>
        <w:fldChar w:fldCharType="separate"/>
      </w:r>
      <w:r w:rsidR="000B0B76">
        <w:rPr>
          <w:noProof/>
        </w:rPr>
        <w:t>Gonzalez-Feliu et al. (2014b)</w:t>
      </w:r>
      <w:r w:rsidR="00436BB0">
        <w:rPr>
          <w:noProof/>
        </w:rPr>
        <w:fldChar w:fldCharType="end"/>
      </w:r>
      <w:r w:rsidR="005A4717">
        <w:rPr>
          <w:rFonts w:cs="Times New Roman"/>
        </w:rPr>
        <w:t xml:space="preserve"> who describe </w:t>
      </w:r>
      <w:r w:rsidR="00566543" w:rsidRPr="00A96AC5">
        <w:rPr>
          <w:rFonts w:cs="Times New Roman"/>
        </w:rPr>
        <w:t>SUL as</w:t>
      </w:r>
      <w:r w:rsidR="0030216F">
        <w:rPr>
          <w:rFonts w:cs="Times New Roman"/>
        </w:rPr>
        <w:t>:</w:t>
      </w:r>
      <w:r w:rsidR="00566543" w:rsidRPr="00A96AC5">
        <w:rPr>
          <w:rFonts w:cs="Times New Roman"/>
          <w:i/>
          <w:iCs/>
        </w:rPr>
        <w:t xml:space="preserve"> </w:t>
      </w:r>
    </w:p>
    <w:p w14:paraId="12AFAF1F" w14:textId="6498896E" w:rsidR="00566543" w:rsidRPr="00A96AC5" w:rsidRDefault="00566543" w:rsidP="007201C5">
      <w:pPr>
        <w:spacing w:before="240" w:after="240" w:line="360" w:lineRule="auto"/>
        <w:ind w:left="720"/>
        <w:rPr>
          <w:rFonts w:cs="Times New Roman"/>
          <w:color w:val="000000"/>
          <w:sz w:val="22"/>
        </w:rPr>
      </w:pPr>
      <w:r w:rsidRPr="00A96AC5">
        <w:rPr>
          <w:rFonts w:cs="Times New Roman"/>
          <w:i/>
          <w:iCs/>
        </w:rPr>
        <w:t>‘all logistics and freight activities of a given urban area that respects the following principles: (</w:t>
      </w:r>
      <w:proofErr w:type="spellStart"/>
      <w:r w:rsidRPr="00A96AC5">
        <w:rPr>
          <w:rFonts w:cs="Times New Roman"/>
          <w:i/>
          <w:iCs/>
        </w:rPr>
        <w:t>i</w:t>
      </w:r>
      <w:proofErr w:type="spellEnd"/>
      <w:r w:rsidRPr="00A96AC5">
        <w:rPr>
          <w:rFonts w:cs="Times New Roman"/>
          <w:i/>
          <w:iCs/>
        </w:rPr>
        <w:t xml:space="preserve">) </w:t>
      </w:r>
      <w:r w:rsidRPr="00A96AC5">
        <w:rPr>
          <w:rFonts w:cs="Times New Roman" w:hint="eastAsia"/>
          <w:i/>
          <w:iCs/>
          <w:color w:val="000000"/>
          <w:sz w:val="22"/>
        </w:rPr>
        <w:t>economically viable and contribute to the improvement of the environment, quality of life, as well as social issues; (ii) have a vision of continuous improvement; (iii) tak</w:t>
      </w:r>
      <w:r w:rsidR="005A4717">
        <w:rPr>
          <w:rFonts w:cs="Times New Roman"/>
          <w:i/>
          <w:iCs/>
          <w:color w:val="000000"/>
          <w:sz w:val="22"/>
        </w:rPr>
        <w:t>e</w:t>
      </w:r>
      <w:r w:rsidRPr="00A96AC5">
        <w:rPr>
          <w:rFonts w:cs="Times New Roman" w:hint="eastAsia"/>
          <w:i/>
          <w:iCs/>
          <w:color w:val="000000"/>
          <w:sz w:val="22"/>
        </w:rPr>
        <w:t xml:space="preserve"> into account the interactions between the different stakeholders concerned; (vi) the outcome must be quantifiable and qualifiable.</w:t>
      </w:r>
      <w:r w:rsidRPr="00A96AC5">
        <w:rPr>
          <w:rFonts w:cs="Times New Roman" w:hint="eastAsia"/>
          <w:i/>
          <w:iCs/>
          <w:color w:val="000000"/>
          <w:sz w:val="22"/>
        </w:rPr>
        <w:t>’</w:t>
      </w:r>
    </w:p>
    <w:p w14:paraId="2D3EBABE" w14:textId="30452D50" w:rsidR="005C498D" w:rsidRPr="00737239" w:rsidRDefault="00566543" w:rsidP="007201C5">
      <w:pPr>
        <w:spacing w:before="240" w:after="240" w:line="360" w:lineRule="auto"/>
        <w:rPr>
          <w:rFonts w:cs="Times New Roman"/>
        </w:rPr>
      </w:pPr>
      <w:r w:rsidRPr="00737239">
        <w:rPr>
          <w:rFonts w:cs="Times New Roman"/>
        </w:rPr>
        <w:t xml:space="preserve">Under such </w:t>
      </w:r>
      <w:r w:rsidR="00DA7D3B">
        <w:rPr>
          <w:rFonts w:cs="Times New Roman"/>
        </w:rPr>
        <w:t xml:space="preserve">a </w:t>
      </w:r>
      <w:r w:rsidRPr="00737239">
        <w:rPr>
          <w:rFonts w:cs="Times New Roman"/>
        </w:rPr>
        <w:t>definition, economic sustainability is the basis of the environmental and social sustainability of the initiatives in the context of SUL</w:t>
      </w:r>
      <w:r w:rsidR="00297BC3">
        <w:rPr>
          <w:rFonts w:cs="Times New Roman"/>
        </w:rPr>
        <w:t>.</w:t>
      </w:r>
      <w:r w:rsidRPr="00737239">
        <w:rPr>
          <w:rFonts w:cs="Times New Roman"/>
        </w:rPr>
        <w:t xml:space="preserve"> All logistics plan</w:t>
      </w:r>
      <w:r w:rsidR="00297BC3">
        <w:rPr>
          <w:rFonts w:cs="Times New Roman"/>
        </w:rPr>
        <w:t>s</w:t>
      </w:r>
      <w:r w:rsidRPr="00737239">
        <w:rPr>
          <w:rFonts w:cs="Times New Roman"/>
        </w:rPr>
        <w:t xml:space="preserve"> should be dynamic</w:t>
      </w:r>
      <w:r w:rsidR="00297BC3">
        <w:rPr>
          <w:rFonts w:cs="Times New Roman"/>
        </w:rPr>
        <w:t>ally</w:t>
      </w:r>
      <w:r w:rsidRPr="00737239">
        <w:rPr>
          <w:rFonts w:cs="Times New Roman"/>
        </w:rPr>
        <w:t xml:space="preserve"> transformed to adapt </w:t>
      </w:r>
      <w:r w:rsidR="00297BC3">
        <w:rPr>
          <w:rFonts w:cs="Times New Roman"/>
        </w:rPr>
        <w:t xml:space="preserve">to </w:t>
      </w:r>
      <w:r w:rsidRPr="00737239">
        <w:rPr>
          <w:rFonts w:cs="Times New Roman"/>
        </w:rPr>
        <w:t>the changing environment</w:t>
      </w:r>
      <w:r w:rsidR="00735329">
        <w:rPr>
          <w:rFonts w:cs="Times New Roman"/>
        </w:rPr>
        <w:t>.</w:t>
      </w:r>
      <w:r w:rsidRPr="00737239">
        <w:rPr>
          <w:rFonts w:cs="Times New Roman"/>
        </w:rPr>
        <w:t xml:space="preserve"> P</w:t>
      </w:r>
      <w:r w:rsidRPr="008903D1">
        <w:rPr>
          <w:rFonts w:cs="Times New Roman"/>
        </w:rPr>
        <w:t>ropose</w:t>
      </w:r>
      <w:r w:rsidR="00860BCB">
        <w:rPr>
          <w:rFonts w:cs="Times New Roman"/>
        </w:rPr>
        <w:t>d</w:t>
      </w:r>
      <w:r w:rsidRPr="008903D1">
        <w:rPr>
          <w:rFonts w:cs="Times New Roman"/>
        </w:rPr>
        <w:t xml:space="preserve"> </w:t>
      </w:r>
      <w:r w:rsidR="003E1350">
        <w:rPr>
          <w:rFonts w:cs="Times New Roman"/>
        </w:rPr>
        <w:t xml:space="preserve">logistics </w:t>
      </w:r>
      <w:r w:rsidRPr="008903D1">
        <w:rPr>
          <w:rFonts w:cs="Times New Roman"/>
        </w:rPr>
        <w:t xml:space="preserve">solutions </w:t>
      </w:r>
      <w:r w:rsidRPr="00737239">
        <w:rPr>
          <w:rFonts w:cs="Times New Roman"/>
        </w:rPr>
        <w:t>must</w:t>
      </w:r>
      <w:r w:rsidRPr="008903D1">
        <w:rPr>
          <w:rFonts w:cs="Times New Roman"/>
        </w:rPr>
        <w:t xml:space="preserve"> </w:t>
      </w:r>
      <w:r w:rsidR="00DA788E">
        <w:rPr>
          <w:rFonts w:cs="Times New Roman"/>
        </w:rPr>
        <w:t xml:space="preserve">be </w:t>
      </w:r>
      <w:r w:rsidRPr="008903D1">
        <w:rPr>
          <w:rFonts w:cs="Times New Roman"/>
        </w:rPr>
        <w:t>appropriate to the different stakeholders</w:t>
      </w:r>
      <w:r w:rsidRPr="00737239">
        <w:rPr>
          <w:rFonts w:cs="Times New Roman"/>
        </w:rPr>
        <w:t xml:space="preserve">, </w:t>
      </w:r>
      <w:r w:rsidR="000C3A0A">
        <w:rPr>
          <w:rFonts w:cs="Times New Roman"/>
        </w:rPr>
        <w:t xml:space="preserve">so that </w:t>
      </w:r>
      <w:r w:rsidRPr="00737239">
        <w:rPr>
          <w:rFonts w:cs="Times New Roman"/>
        </w:rPr>
        <w:t xml:space="preserve">stakeholders’ opinions and concerns </w:t>
      </w:r>
      <w:r w:rsidR="00BC7E55">
        <w:rPr>
          <w:rFonts w:cs="Times New Roman"/>
        </w:rPr>
        <w:t>are</w:t>
      </w:r>
      <w:r w:rsidRPr="00737239">
        <w:rPr>
          <w:rFonts w:cs="Times New Roman"/>
        </w:rPr>
        <w:t xml:space="preserve"> well considered </w:t>
      </w:r>
      <w:proofErr w:type="gramStart"/>
      <w:r w:rsidRPr="00737239">
        <w:rPr>
          <w:rFonts w:cs="Times New Roman"/>
        </w:rPr>
        <w:t>in order to</w:t>
      </w:r>
      <w:proofErr w:type="gramEnd"/>
      <w:r w:rsidRPr="00737239">
        <w:rPr>
          <w:rFonts w:cs="Times New Roman"/>
        </w:rPr>
        <w:t xml:space="preserve"> guarantee</w:t>
      </w:r>
      <w:r w:rsidRPr="008903D1">
        <w:rPr>
          <w:rFonts w:cs="Times New Roman"/>
        </w:rPr>
        <w:t xml:space="preserve"> the </w:t>
      </w:r>
      <w:r w:rsidRPr="00737239">
        <w:rPr>
          <w:rFonts w:cs="Times New Roman"/>
        </w:rPr>
        <w:t>justification</w:t>
      </w:r>
      <w:r w:rsidRPr="008903D1">
        <w:rPr>
          <w:rFonts w:cs="Times New Roman"/>
        </w:rPr>
        <w:t>. The achievement</w:t>
      </w:r>
      <w:r w:rsidR="00C672AE">
        <w:rPr>
          <w:rFonts w:cs="Times New Roman"/>
        </w:rPr>
        <w:t>s</w:t>
      </w:r>
      <w:r w:rsidRPr="008903D1">
        <w:rPr>
          <w:rFonts w:cs="Times New Roman"/>
        </w:rPr>
        <w:t>/limitation</w:t>
      </w:r>
      <w:r w:rsidR="00846E49">
        <w:rPr>
          <w:rFonts w:cs="Times New Roman"/>
        </w:rPr>
        <w:t>s</w:t>
      </w:r>
      <w:r w:rsidRPr="008903D1">
        <w:rPr>
          <w:rFonts w:cs="Times New Roman"/>
        </w:rPr>
        <w:t xml:space="preserve"> of any logistics schemes can be well displayed</w:t>
      </w:r>
      <w:r w:rsidR="00D97C31">
        <w:rPr>
          <w:rFonts w:cs="Times New Roman"/>
        </w:rPr>
        <w:t>, and</w:t>
      </w:r>
      <w:r w:rsidR="00EF1956">
        <w:rPr>
          <w:rFonts w:cs="Times New Roman"/>
        </w:rPr>
        <w:t xml:space="preserve"> </w:t>
      </w:r>
      <w:r w:rsidR="00D97C31">
        <w:rPr>
          <w:rFonts w:cs="Times New Roman"/>
        </w:rPr>
        <w:t>t</w:t>
      </w:r>
      <w:r w:rsidRPr="008903D1">
        <w:rPr>
          <w:rFonts w:cs="Times New Roman"/>
        </w:rPr>
        <w:t>he reasons for such changes can be well illustrated.</w:t>
      </w:r>
    </w:p>
    <w:p w14:paraId="0332540E" w14:textId="25B6EE51" w:rsidR="007201C5" w:rsidRPr="00737239" w:rsidRDefault="006969C8" w:rsidP="00EA09F1">
      <w:pPr>
        <w:spacing w:before="240" w:after="240" w:line="360" w:lineRule="auto"/>
        <w:rPr>
          <w:rFonts w:cs="Times New Roman"/>
        </w:rPr>
      </w:pPr>
      <w:r>
        <w:rPr>
          <w:noProof/>
        </w:rPr>
        <w:lastRenderedPageBreak/>
        <w:t>Gonzalez-Feliu et al. (2014)</w:t>
      </w:r>
      <w:r w:rsidR="00566543" w:rsidRPr="00A96AC5">
        <w:rPr>
          <w:rFonts w:cs="Times New Roman"/>
        </w:rPr>
        <w:t xml:space="preserve"> indicate that a</w:t>
      </w:r>
      <w:r w:rsidR="00D72E36">
        <w:rPr>
          <w:rFonts w:cs="Times New Roman"/>
        </w:rPr>
        <w:t>n</w:t>
      </w:r>
      <w:r w:rsidR="00566543" w:rsidRPr="00A96AC5">
        <w:rPr>
          <w:rFonts w:cs="Times New Roman"/>
        </w:rPr>
        <w:t xml:space="preserve"> SUL </w:t>
      </w:r>
      <w:r w:rsidR="00617263" w:rsidRPr="00A96AC5">
        <w:rPr>
          <w:rFonts w:cs="Times New Roman"/>
        </w:rPr>
        <w:t>i</w:t>
      </w:r>
      <w:r w:rsidR="00617263">
        <w:rPr>
          <w:rFonts w:cs="Times New Roman"/>
        </w:rPr>
        <w:t>n</w:t>
      </w:r>
      <w:r w:rsidR="00617263" w:rsidRPr="00A96AC5">
        <w:rPr>
          <w:rFonts w:cs="Times New Roman"/>
        </w:rPr>
        <w:t>itiative</w:t>
      </w:r>
      <w:r w:rsidR="00566543" w:rsidRPr="00A96AC5">
        <w:rPr>
          <w:rFonts w:cs="Times New Roman"/>
        </w:rPr>
        <w:t xml:space="preserve"> should include the seven elements, regarding</w:t>
      </w:r>
      <w:r w:rsidR="00D72E36">
        <w:rPr>
          <w:rFonts w:cs="Times New Roman"/>
        </w:rPr>
        <w:t>:</w:t>
      </w:r>
      <w:r w:rsidR="00566543" w:rsidRPr="00A96AC5">
        <w:rPr>
          <w:rFonts w:cs="Times New Roman"/>
        </w:rPr>
        <w:t xml:space="preserve"> (1) infrastructures, (2) vehicle</w:t>
      </w:r>
      <w:r w:rsidR="00781D05">
        <w:rPr>
          <w:rFonts w:cs="Times New Roman"/>
        </w:rPr>
        <w:t>s</w:t>
      </w:r>
      <w:r w:rsidR="00566543" w:rsidRPr="00A96AC5">
        <w:rPr>
          <w:rFonts w:cs="Times New Roman"/>
        </w:rPr>
        <w:t xml:space="preserve"> and other delivery equipment, (3) logistics organi</w:t>
      </w:r>
      <w:r w:rsidR="00C45B69">
        <w:rPr>
          <w:rFonts w:cs="Times New Roman"/>
        </w:rPr>
        <w:t>s</w:t>
      </w:r>
      <w:r w:rsidR="00566543" w:rsidRPr="00A96AC5">
        <w:rPr>
          <w:rFonts w:cs="Times New Roman"/>
        </w:rPr>
        <w:t xml:space="preserve">ation and transport, (4) </w:t>
      </w:r>
      <w:r w:rsidR="00C45B69">
        <w:rPr>
          <w:rFonts w:cs="Times New Roman"/>
        </w:rPr>
        <w:t>i</w:t>
      </w:r>
      <w:r w:rsidR="00566543" w:rsidRPr="00A96AC5">
        <w:rPr>
          <w:rFonts w:cs="Times New Roman"/>
        </w:rPr>
        <w:t xml:space="preserve">nformation and communication technologies, (5) </w:t>
      </w:r>
      <w:r w:rsidR="0009505E">
        <w:rPr>
          <w:rFonts w:cs="Times New Roman"/>
        </w:rPr>
        <w:t>c</w:t>
      </w:r>
      <w:r w:rsidR="00566543" w:rsidRPr="00A96AC5">
        <w:rPr>
          <w:rFonts w:cs="Times New Roman"/>
        </w:rPr>
        <w:t>ommunication and consensus-search actions, (6) funding</w:t>
      </w:r>
      <w:r w:rsidR="00E753CB">
        <w:rPr>
          <w:rFonts w:cs="Times New Roman"/>
        </w:rPr>
        <w:t>,</w:t>
      </w:r>
      <w:r w:rsidR="00566543" w:rsidRPr="00A96AC5">
        <w:rPr>
          <w:rFonts w:cs="Times New Roman"/>
        </w:rPr>
        <w:t xml:space="preserve"> and (7) regulation. </w:t>
      </w:r>
      <w:r w:rsidR="00566543" w:rsidRPr="008903D1">
        <w:rPr>
          <w:rFonts w:cs="Times New Roman"/>
        </w:rPr>
        <w:fldChar w:fldCharType="begin"/>
      </w:r>
      <w:r w:rsidR="00566543" w:rsidRPr="00A96AC5">
        <w:rPr>
          <w:rFonts w:cs="Times New Roman"/>
        </w:rPr>
        <w:instrText xml:space="preserve"> REF _Ref37755974 \h </w:instrText>
      </w:r>
      <w:r w:rsidR="008903D1">
        <w:rPr>
          <w:rFonts w:cs="Times New Roman"/>
        </w:rPr>
        <w:instrText xml:space="preserve"> \* MERGEFORMAT </w:instrText>
      </w:r>
      <w:r w:rsidR="00566543" w:rsidRPr="008903D1">
        <w:rPr>
          <w:rFonts w:cs="Times New Roman"/>
        </w:rPr>
      </w:r>
      <w:r w:rsidR="00566543" w:rsidRPr="008903D1">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1</w:t>
      </w:r>
      <w:r w:rsidR="0005064B">
        <w:rPr>
          <w:rFonts w:cs="Times New Roman"/>
          <w:noProof/>
        </w:rPr>
        <w:noBreakHyphen/>
        <w:t>7</w:t>
      </w:r>
      <w:r w:rsidR="00566543" w:rsidRPr="008903D1">
        <w:rPr>
          <w:rFonts w:cs="Times New Roman"/>
        </w:rPr>
        <w:fldChar w:fldCharType="end"/>
      </w:r>
      <w:r w:rsidR="00566543" w:rsidRPr="008903D1">
        <w:rPr>
          <w:rFonts w:cs="Times New Roman"/>
        </w:rPr>
        <w:t xml:space="preserve"> shows the details of</w:t>
      </w:r>
      <w:r w:rsidR="00975215">
        <w:rPr>
          <w:rFonts w:cs="Times New Roman"/>
        </w:rPr>
        <w:t xml:space="preserve"> the</w:t>
      </w:r>
      <w:r w:rsidR="00566543" w:rsidRPr="008903D1">
        <w:rPr>
          <w:rFonts w:cs="Times New Roman"/>
        </w:rPr>
        <w:t xml:space="preserve"> above elements.</w:t>
      </w:r>
    </w:p>
    <w:tbl>
      <w:tblPr>
        <w:tblStyle w:val="TableGrid"/>
        <w:tblW w:w="8995" w:type="dxa"/>
        <w:tblLook w:val="04A0" w:firstRow="1" w:lastRow="0" w:firstColumn="1" w:lastColumn="0" w:noHBand="0" w:noVBand="1"/>
      </w:tblPr>
      <w:tblGrid>
        <w:gridCol w:w="2547"/>
        <w:gridCol w:w="6448"/>
      </w:tblGrid>
      <w:tr w:rsidR="00566543" w:rsidRPr="008903D1" w14:paraId="44707EF8" w14:textId="77777777" w:rsidTr="00843383">
        <w:tc>
          <w:tcPr>
            <w:tcW w:w="2547" w:type="dxa"/>
          </w:tcPr>
          <w:p w14:paraId="7E9A3975" w14:textId="77777777" w:rsidR="00566543" w:rsidRPr="008903D1" w:rsidRDefault="00566543" w:rsidP="008C142F">
            <w:pPr>
              <w:spacing w:line="240" w:lineRule="auto"/>
              <w:jc w:val="center"/>
              <w:rPr>
                <w:rFonts w:cs="Times New Roman"/>
                <w:b/>
                <w:bCs/>
                <w:sz w:val="22"/>
              </w:rPr>
            </w:pPr>
            <w:r w:rsidRPr="00737239">
              <w:rPr>
                <w:rFonts w:cs="Times New Roman"/>
                <w:b/>
                <w:bCs/>
                <w:sz w:val="22"/>
              </w:rPr>
              <w:t>E</w:t>
            </w:r>
            <w:r w:rsidRPr="008903D1">
              <w:rPr>
                <w:rFonts w:cs="Times New Roman"/>
                <w:b/>
                <w:bCs/>
                <w:sz w:val="22"/>
              </w:rPr>
              <w:t>lement of SUL schemes</w:t>
            </w:r>
          </w:p>
        </w:tc>
        <w:tc>
          <w:tcPr>
            <w:tcW w:w="6448" w:type="dxa"/>
          </w:tcPr>
          <w:p w14:paraId="7D9B2893" w14:textId="77777777" w:rsidR="00566543" w:rsidRPr="008903D1" w:rsidRDefault="00566543" w:rsidP="008C142F">
            <w:pPr>
              <w:spacing w:line="240" w:lineRule="auto"/>
              <w:jc w:val="center"/>
              <w:rPr>
                <w:rFonts w:cs="Times New Roman"/>
                <w:b/>
                <w:bCs/>
                <w:sz w:val="22"/>
              </w:rPr>
            </w:pPr>
            <w:r w:rsidRPr="00737239">
              <w:rPr>
                <w:rFonts w:cs="Times New Roman"/>
                <w:b/>
                <w:bCs/>
                <w:sz w:val="22"/>
              </w:rPr>
              <w:t>D</w:t>
            </w:r>
            <w:r w:rsidRPr="008903D1">
              <w:rPr>
                <w:rFonts w:cs="Times New Roman"/>
                <w:b/>
                <w:bCs/>
                <w:sz w:val="22"/>
              </w:rPr>
              <w:t>etails</w:t>
            </w:r>
          </w:p>
        </w:tc>
      </w:tr>
      <w:tr w:rsidR="00566543" w:rsidRPr="008903D1" w14:paraId="4F6AFE81" w14:textId="77777777" w:rsidTr="00843383">
        <w:tc>
          <w:tcPr>
            <w:tcW w:w="2547" w:type="dxa"/>
            <w:vAlign w:val="center"/>
          </w:tcPr>
          <w:p w14:paraId="2AC3DBC4" w14:textId="77777777" w:rsidR="00566543" w:rsidRPr="00737239" w:rsidRDefault="00566543" w:rsidP="008C142F">
            <w:pPr>
              <w:spacing w:line="240" w:lineRule="auto"/>
              <w:rPr>
                <w:rFonts w:cs="Times New Roman"/>
                <w:sz w:val="22"/>
              </w:rPr>
            </w:pPr>
            <w:r w:rsidRPr="00737239">
              <w:rPr>
                <w:rFonts w:cs="Times New Roman"/>
                <w:sz w:val="22"/>
              </w:rPr>
              <w:t>infrastructures</w:t>
            </w:r>
          </w:p>
        </w:tc>
        <w:tc>
          <w:tcPr>
            <w:tcW w:w="6448" w:type="dxa"/>
          </w:tcPr>
          <w:p w14:paraId="36D2C8B8" w14:textId="25C2266B" w:rsidR="00566543" w:rsidRPr="008903D1" w:rsidRDefault="00566543" w:rsidP="008C142F">
            <w:pPr>
              <w:spacing w:line="240" w:lineRule="auto"/>
              <w:rPr>
                <w:rFonts w:cs="Times New Roman"/>
                <w:sz w:val="22"/>
              </w:rPr>
            </w:pPr>
            <w:r w:rsidRPr="00A96AC5">
              <w:rPr>
                <w:rFonts w:cs="Times New Roman" w:hint="eastAsia"/>
                <w:color w:val="000000"/>
                <w:sz w:val="22"/>
              </w:rPr>
              <w:t xml:space="preserve">It includes two types of infrastructure in which logistics activities happen: (1) linear infrastructures, such as road, </w:t>
            </w:r>
            <w:proofErr w:type="gramStart"/>
            <w:r w:rsidRPr="00A96AC5">
              <w:rPr>
                <w:rFonts w:cs="Times New Roman" w:hint="eastAsia"/>
                <w:color w:val="000000"/>
                <w:sz w:val="22"/>
              </w:rPr>
              <w:t>rail</w:t>
            </w:r>
            <w:proofErr w:type="gramEnd"/>
            <w:r w:rsidRPr="00A96AC5">
              <w:rPr>
                <w:rFonts w:cs="Times New Roman" w:hint="eastAsia"/>
                <w:color w:val="000000"/>
                <w:sz w:val="22"/>
              </w:rPr>
              <w:t xml:space="preserve"> and river networks, (2) nodal infrastructures, such as urban logistics spaces and distribution </w:t>
            </w:r>
            <w:proofErr w:type="spellStart"/>
            <w:r w:rsidRPr="00A96AC5">
              <w:rPr>
                <w:rFonts w:cs="Times New Roman" w:hint="eastAsia"/>
                <w:color w:val="000000"/>
                <w:sz w:val="22"/>
              </w:rPr>
              <w:t>centre</w:t>
            </w:r>
            <w:proofErr w:type="spellEnd"/>
          </w:p>
        </w:tc>
      </w:tr>
      <w:tr w:rsidR="00566543" w:rsidRPr="008903D1" w14:paraId="7B6D9EFF" w14:textId="77777777" w:rsidTr="00843383">
        <w:tc>
          <w:tcPr>
            <w:tcW w:w="2547" w:type="dxa"/>
            <w:vAlign w:val="center"/>
          </w:tcPr>
          <w:p w14:paraId="56B27587" w14:textId="77777777" w:rsidR="00566543" w:rsidRPr="00802DC5" w:rsidRDefault="00566543" w:rsidP="008C142F">
            <w:pPr>
              <w:spacing w:line="240" w:lineRule="auto"/>
              <w:rPr>
                <w:rFonts w:cs="Times New Roman"/>
                <w:sz w:val="22"/>
              </w:rPr>
            </w:pPr>
            <w:r w:rsidRPr="00737239">
              <w:rPr>
                <w:rFonts w:cs="Times New Roman"/>
                <w:sz w:val="22"/>
              </w:rPr>
              <w:t>vehicle and other delivery equipment</w:t>
            </w:r>
          </w:p>
        </w:tc>
        <w:tc>
          <w:tcPr>
            <w:tcW w:w="6448" w:type="dxa"/>
          </w:tcPr>
          <w:p w14:paraId="17538DA5" w14:textId="011AD043" w:rsidR="00566543" w:rsidRPr="00A96AC5" w:rsidRDefault="00566543" w:rsidP="008C142F">
            <w:pPr>
              <w:spacing w:line="240" w:lineRule="auto"/>
              <w:rPr>
                <w:rFonts w:cs="Times New Roman"/>
                <w:sz w:val="22"/>
              </w:rPr>
            </w:pPr>
            <w:r w:rsidRPr="006C301D">
              <w:rPr>
                <w:rFonts w:cs="Times New Roman"/>
                <w:sz w:val="22"/>
              </w:rPr>
              <w:t>These include configure</w:t>
            </w:r>
            <w:r w:rsidR="006D666F">
              <w:rPr>
                <w:rFonts w:cs="Times New Roman"/>
                <w:sz w:val="22"/>
              </w:rPr>
              <w:t>d</w:t>
            </w:r>
            <w:r w:rsidRPr="006C301D">
              <w:rPr>
                <w:rFonts w:cs="Times New Roman"/>
                <w:sz w:val="22"/>
              </w:rPr>
              <w:t xml:space="preserve"> environmental-friendly vehicles, or using alternative tools such as tricycles or trams for delivery</w:t>
            </w:r>
          </w:p>
        </w:tc>
      </w:tr>
      <w:tr w:rsidR="00566543" w:rsidRPr="008903D1" w14:paraId="5105EF7C" w14:textId="77777777" w:rsidTr="00843383">
        <w:tc>
          <w:tcPr>
            <w:tcW w:w="2547" w:type="dxa"/>
            <w:vAlign w:val="center"/>
          </w:tcPr>
          <w:p w14:paraId="37799559" w14:textId="0064FABB" w:rsidR="00566543" w:rsidRPr="00802DC5" w:rsidRDefault="00566543" w:rsidP="008C142F">
            <w:pPr>
              <w:spacing w:line="240" w:lineRule="auto"/>
              <w:rPr>
                <w:rFonts w:cs="Times New Roman"/>
                <w:sz w:val="22"/>
              </w:rPr>
            </w:pPr>
            <w:r w:rsidRPr="00737239">
              <w:rPr>
                <w:rFonts w:cs="Times New Roman"/>
                <w:sz w:val="22"/>
              </w:rPr>
              <w:t xml:space="preserve">logistics </w:t>
            </w:r>
            <w:proofErr w:type="spellStart"/>
            <w:r w:rsidRPr="00737239">
              <w:rPr>
                <w:rFonts w:cs="Times New Roman"/>
                <w:sz w:val="22"/>
              </w:rPr>
              <w:t>organi</w:t>
            </w:r>
            <w:r w:rsidR="005A5465">
              <w:rPr>
                <w:rFonts w:cs="Times New Roman"/>
                <w:sz w:val="22"/>
              </w:rPr>
              <w:t>s</w:t>
            </w:r>
            <w:r w:rsidRPr="00737239">
              <w:rPr>
                <w:rFonts w:cs="Times New Roman"/>
                <w:sz w:val="22"/>
              </w:rPr>
              <w:t>ation</w:t>
            </w:r>
            <w:proofErr w:type="spellEnd"/>
            <w:r w:rsidRPr="00737239">
              <w:rPr>
                <w:rFonts w:cs="Times New Roman"/>
                <w:sz w:val="22"/>
              </w:rPr>
              <w:t xml:space="preserve"> and transport</w:t>
            </w:r>
          </w:p>
        </w:tc>
        <w:tc>
          <w:tcPr>
            <w:tcW w:w="6448" w:type="dxa"/>
          </w:tcPr>
          <w:p w14:paraId="4E6342C9" w14:textId="6DE7C100" w:rsidR="00566543" w:rsidRPr="008903D1" w:rsidRDefault="00566543" w:rsidP="008C142F">
            <w:pPr>
              <w:spacing w:line="240" w:lineRule="auto"/>
              <w:jc w:val="left"/>
              <w:rPr>
                <w:rFonts w:cs="Times New Roman"/>
                <w:sz w:val="22"/>
              </w:rPr>
            </w:pPr>
            <w:r w:rsidRPr="00A96AC5">
              <w:rPr>
                <w:rFonts w:cs="Times New Roman" w:hint="eastAsia"/>
                <w:color w:val="000000"/>
                <w:sz w:val="22"/>
              </w:rPr>
              <w:t xml:space="preserve">Main actions used in the design, planning and </w:t>
            </w:r>
            <w:proofErr w:type="spellStart"/>
            <w:r w:rsidRPr="00A96AC5">
              <w:rPr>
                <w:rFonts w:cs="Times New Roman" w:hint="eastAsia"/>
                <w:color w:val="000000"/>
                <w:sz w:val="22"/>
              </w:rPr>
              <w:t>optimi</w:t>
            </w:r>
            <w:r w:rsidR="006D666F">
              <w:rPr>
                <w:rFonts w:cs="Times New Roman"/>
                <w:color w:val="000000"/>
                <w:sz w:val="22"/>
              </w:rPr>
              <w:t>s</w:t>
            </w:r>
            <w:r w:rsidRPr="00A96AC5">
              <w:rPr>
                <w:rFonts w:cs="Times New Roman" w:hint="eastAsia"/>
                <w:color w:val="000000"/>
                <w:sz w:val="22"/>
              </w:rPr>
              <w:t>ation</w:t>
            </w:r>
            <w:proofErr w:type="spellEnd"/>
            <w:r w:rsidRPr="00A96AC5">
              <w:rPr>
                <w:rFonts w:cs="Times New Roman" w:hint="eastAsia"/>
                <w:color w:val="000000"/>
                <w:sz w:val="22"/>
              </w:rPr>
              <w:t xml:space="preserve"> of the system</w:t>
            </w:r>
            <w:r w:rsidRPr="00A96AC5">
              <w:rPr>
                <w:rFonts w:cs="Times New Roman" w:hint="eastAsia"/>
                <w:color w:val="000000"/>
                <w:sz w:val="22"/>
              </w:rPr>
              <w:t>’</w:t>
            </w:r>
            <w:r w:rsidRPr="00A96AC5">
              <w:rPr>
                <w:rFonts w:cs="Times New Roman" w:hint="eastAsia"/>
                <w:color w:val="000000"/>
                <w:sz w:val="22"/>
              </w:rPr>
              <w:t>s supply chain.</w:t>
            </w:r>
          </w:p>
        </w:tc>
      </w:tr>
      <w:tr w:rsidR="00566543" w:rsidRPr="008903D1" w14:paraId="77F0C0C5" w14:textId="77777777" w:rsidTr="00843383">
        <w:tc>
          <w:tcPr>
            <w:tcW w:w="2547" w:type="dxa"/>
            <w:vAlign w:val="center"/>
          </w:tcPr>
          <w:p w14:paraId="6BC15969" w14:textId="3E4AAB6E" w:rsidR="00566543" w:rsidRPr="00802DC5" w:rsidRDefault="0034435A" w:rsidP="008C142F">
            <w:pPr>
              <w:spacing w:line="240" w:lineRule="auto"/>
              <w:rPr>
                <w:rFonts w:cs="Times New Roman"/>
                <w:sz w:val="22"/>
              </w:rPr>
            </w:pPr>
            <w:r>
              <w:rPr>
                <w:rFonts w:cs="Times New Roman"/>
                <w:sz w:val="22"/>
              </w:rPr>
              <w:t>i</w:t>
            </w:r>
            <w:r w:rsidR="00566543" w:rsidRPr="00737239">
              <w:rPr>
                <w:rFonts w:cs="Times New Roman"/>
                <w:sz w:val="22"/>
              </w:rPr>
              <w:t>nformation and communication technologies</w:t>
            </w:r>
          </w:p>
        </w:tc>
        <w:tc>
          <w:tcPr>
            <w:tcW w:w="6448" w:type="dxa"/>
          </w:tcPr>
          <w:p w14:paraId="73900A87" w14:textId="6B77F348" w:rsidR="00566543" w:rsidRPr="008903D1" w:rsidRDefault="00566543" w:rsidP="008C142F">
            <w:pPr>
              <w:spacing w:line="240" w:lineRule="auto"/>
              <w:rPr>
                <w:rFonts w:cs="Times New Roman"/>
                <w:sz w:val="22"/>
              </w:rPr>
            </w:pPr>
            <w:r w:rsidRPr="00A96AC5">
              <w:rPr>
                <w:rFonts w:cs="Times New Roman" w:hint="eastAsia"/>
                <w:color w:val="000000"/>
                <w:sz w:val="22"/>
              </w:rPr>
              <w:t>This element includes data exchange between different agent</w:t>
            </w:r>
            <w:r w:rsidR="00A40696">
              <w:rPr>
                <w:rFonts w:cs="Times New Roman"/>
                <w:color w:val="000000"/>
                <w:sz w:val="22"/>
              </w:rPr>
              <w:t>s</w:t>
            </w:r>
            <w:r w:rsidRPr="00A96AC5">
              <w:rPr>
                <w:rFonts w:cs="Times New Roman" w:hint="eastAsia"/>
                <w:color w:val="000000"/>
                <w:sz w:val="22"/>
              </w:rPr>
              <w:t>, the real-time monitoring of freight or vehicle tracking, and other information technology which can improve effectiveness.</w:t>
            </w:r>
          </w:p>
        </w:tc>
      </w:tr>
      <w:tr w:rsidR="00566543" w:rsidRPr="008903D1" w14:paraId="32AA028B" w14:textId="77777777" w:rsidTr="00843383">
        <w:tc>
          <w:tcPr>
            <w:tcW w:w="2547" w:type="dxa"/>
            <w:vAlign w:val="center"/>
          </w:tcPr>
          <w:p w14:paraId="6A203CC6" w14:textId="7131E6BD" w:rsidR="00566543" w:rsidRPr="00802DC5" w:rsidRDefault="00192169" w:rsidP="008C142F">
            <w:pPr>
              <w:spacing w:line="240" w:lineRule="auto"/>
              <w:rPr>
                <w:rFonts w:cs="Times New Roman"/>
                <w:sz w:val="22"/>
              </w:rPr>
            </w:pPr>
            <w:r>
              <w:rPr>
                <w:rFonts w:cs="Times New Roman"/>
                <w:sz w:val="22"/>
              </w:rPr>
              <w:t>c</w:t>
            </w:r>
            <w:r w:rsidR="00566543" w:rsidRPr="00737239">
              <w:rPr>
                <w:rFonts w:cs="Times New Roman"/>
                <w:sz w:val="22"/>
              </w:rPr>
              <w:t>ommunication and consensus-search actions</w:t>
            </w:r>
          </w:p>
        </w:tc>
        <w:tc>
          <w:tcPr>
            <w:tcW w:w="6448" w:type="dxa"/>
          </w:tcPr>
          <w:p w14:paraId="71C877D4" w14:textId="51FB22AC" w:rsidR="00566543" w:rsidRPr="00A96AC5" w:rsidRDefault="00566543" w:rsidP="008C142F">
            <w:pPr>
              <w:spacing w:line="240" w:lineRule="auto"/>
              <w:rPr>
                <w:rFonts w:cs="Times New Roman"/>
                <w:sz w:val="22"/>
              </w:rPr>
            </w:pPr>
            <w:r w:rsidRPr="006C301D">
              <w:rPr>
                <w:rFonts w:cs="Times New Roman"/>
                <w:sz w:val="22"/>
              </w:rPr>
              <w:t>Building effective communication channel</w:t>
            </w:r>
            <w:r w:rsidR="00DE2DBA">
              <w:rPr>
                <w:rFonts w:cs="Times New Roman"/>
                <w:sz w:val="22"/>
              </w:rPr>
              <w:t>s</w:t>
            </w:r>
            <w:r w:rsidRPr="006C301D">
              <w:rPr>
                <w:rFonts w:cs="Times New Roman"/>
                <w:sz w:val="22"/>
              </w:rPr>
              <w:t xml:space="preserve"> between different stakeholders which </w:t>
            </w:r>
            <w:r w:rsidR="00DE2DBA">
              <w:rPr>
                <w:rFonts w:cs="Times New Roman"/>
                <w:sz w:val="22"/>
              </w:rPr>
              <w:t xml:space="preserve">are </w:t>
            </w:r>
            <w:r w:rsidRPr="006C301D">
              <w:rPr>
                <w:rFonts w:cs="Times New Roman"/>
                <w:sz w:val="22"/>
              </w:rPr>
              <w:t>involved in the SUL schemes</w:t>
            </w:r>
          </w:p>
        </w:tc>
      </w:tr>
      <w:tr w:rsidR="00566543" w:rsidRPr="008903D1" w14:paraId="349D86C3" w14:textId="77777777" w:rsidTr="00843383">
        <w:tc>
          <w:tcPr>
            <w:tcW w:w="2547" w:type="dxa"/>
            <w:vAlign w:val="center"/>
          </w:tcPr>
          <w:p w14:paraId="3F305228" w14:textId="40ADC72E" w:rsidR="00566543" w:rsidRPr="00737239" w:rsidRDefault="009E0978" w:rsidP="008C142F">
            <w:pPr>
              <w:spacing w:line="240" w:lineRule="auto"/>
              <w:rPr>
                <w:rFonts w:cs="Times New Roman"/>
                <w:sz w:val="22"/>
              </w:rPr>
            </w:pPr>
            <w:r>
              <w:rPr>
                <w:rFonts w:cs="Times New Roman"/>
                <w:sz w:val="22"/>
              </w:rPr>
              <w:t>f</w:t>
            </w:r>
            <w:r w:rsidR="00566543" w:rsidRPr="00737239">
              <w:rPr>
                <w:rFonts w:cs="Times New Roman"/>
                <w:sz w:val="22"/>
              </w:rPr>
              <w:t>unding</w:t>
            </w:r>
          </w:p>
        </w:tc>
        <w:tc>
          <w:tcPr>
            <w:tcW w:w="6448" w:type="dxa"/>
          </w:tcPr>
          <w:p w14:paraId="3BCCA332" w14:textId="71039C19" w:rsidR="00566543" w:rsidRPr="008903D1" w:rsidRDefault="00566543" w:rsidP="008C142F">
            <w:pPr>
              <w:spacing w:line="240" w:lineRule="auto"/>
              <w:rPr>
                <w:rFonts w:cs="Times New Roman"/>
                <w:sz w:val="22"/>
              </w:rPr>
            </w:pPr>
            <w:r w:rsidRPr="00A96AC5">
              <w:rPr>
                <w:rFonts w:cs="Times New Roman" w:hint="eastAsia"/>
                <w:color w:val="000000"/>
                <w:sz w:val="22"/>
              </w:rPr>
              <w:t xml:space="preserve">Funding is used to ensure all solutions of SUL </w:t>
            </w:r>
            <w:r w:rsidR="00DE2DBA">
              <w:rPr>
                <w:rFonts w:cs="Times New Roman"/>
                <w:color w:val="000000"/>
                <w:sz w:val="22"/>
              </w:rPr>
              <w:t>are</w:t>
            </w:r>
            <w:r w:rsidRPr="00A96AC5">
              <w:rPr>
                <w:rFonts w:cs="Times New Roman" w:hint="eastAsia"/>
                <w:color w:val="000000"/>
                <w:sz w:val="22"/>
              </w:rPr>
              <w:t xml:space="preserve"> economical</w:t>
            </w:r>
            <w:r w:rsidR="00DE2DBA">
              <w:rPr>
                <w:rFonts w:cs="Times New Roman"/>
                <w:color w:val="000000"/>
                <w:sz w:val="22"/>
              </w:rPr>
              <w:t>ly</w:t>
            </w:r>
            <w:r w:rsidRPr="00A96AC5">
              <w:rPr>
                <w:rFonts w:cs="Times New Roman" w:hint="eastAsia"/>
                <w:color w:val="000000"/>
                <w:sz w:val="22"/>
              </w:rPr>
              <w:t xml:space="preserve"> feasible at </w:t>
            </w:r>
            <w:r w:rsidR="00DE2DBA">
              <w:rPr>
                <w:rFonts w:cs="Times New Roman"/>
                <w:color w:val="000000"/>
                <w:sz w:val="22"/>
              </w:rPr>
              <w:t xml:space="preserve">the </w:t>
            </w:r>
            <w:r w:rsidRPr="00A96AC5">
              <w:rPr>
                <w:rFonts w:cs="Times New Roman" w:hint="eastAsia"/>
                <w:color w:val="000000"/>
                <w:sz w:val="22"/>
              </w:rPr>
              <w:t xml:space="preserve">beginning. </w:t>
            </w:r>
          </w:p>
        </w:tc>
      </w:tr>
      <w:tr w:rsidR="00566543" w:rsidRPr="008903D1" w14:paraId="74025850" w14:textId="77777777" w:rsidTr="00843383">
        <w:tc>
          <w:tcPr>
            <w:tcW w:w="2547" w:type="dxa"/>
            <w:vAlign w:val="center"/>
          </w:tcPr>
          <w:p w14:paraId="1A47B943" w14:textId="77777777" w:rsidR="00566543" w:rsidRPr="00737239" w:rsidRDefault="00566543" w:rsidP="008C142F">
            <w:pPr>
              <w:spacing w:line="240" w:lineRule="auto"/>
              <w:rPr>
                <w:rFonts w:cs="Times New Roman"/>
                <w:sz w:val="22"/>
              </w:rPr>
            </w:pPr>
            <w:r w:rsidRPr="00737239">
              <w:rPr>
                <w:rFonts w:cs="Times New Roman"/>
                <w:sz w:val="22"/>
              </w:rPr>
              <w:t>regulation</w:t>
            </w:r>
          </w:p>
        </w:tc>
        <w:tc>
          <w:tcPr>
            <w:tcW w:w="6448" w:type="dxa"/>
          </w:tcPr>
          <w:p w14:paraId="4C9B11B0" w14:textId="1AB49F38" w:rsidR="00566543" w:rsidRPr="008903D1" w:rsidRDefault="00DE2DBA" w:rsidP="008C142F">
            <w:pPr>
              <w:spacing w:line="240" w:lineRule="auto"/>
              <w:rPr>
                <w:rFonts w:cs="Times New Roman"/>
                <w:sz w:val="22"/>
              </w:rPr>
            </w:pPr>
            <w:r>
              <w:rPr>
                <w:rFonts w:cs="Times New Roman"/>
                <w:color w:val="000000"/>
                <w:sz w:val="22"/>
              </w:rPr>
              <w:t>P</w:t>
            </w:r>
            <w:r w:rsidR="00566543" w:rsidRPr="00A96AC5">
              <w:rPr>
                <w:rFonts w:cs="Times New Roman" w:hint="eastAsia"/>
                <w:color w:val="000000"/>
                <w:sz w:val="22"/>
              </w:rPr>
              <w:t>ublic authorities issue legislation to promote the use of the planned project.</w:t>
            </w:r>
          </w:p>
        </w:tc>
      </w:tr>
    </w:tbl>
    <w:p w14:paraId="1902EAED" w14:textId="4A337D55" w:rsidR="00566543" w:rsidRPr="00802DC5" w:rsidRDefault="007B5959" w:rsidP="000A4E8C">
      <w:pPr>
        <w:pStyle w:val="Caption"/>
        <w:spacing w:after="0" w:line="360" w:lineRule="auto"/>
        <w:rPr>
          <w:rFonts w:cs="Times New Roman"/>
        </w:rPr>
      </w:pPr>
      <w:bookmarkStart w:id="98" w:name="_Ref37755974"/>
      <w:bookmarkStart w:id="99" w:name="_Ref37755970"/>
      <w:bookmarkStart w:id="100" w:name="_Toc40794158"/>
      <w:bookmarkStart w:id="101" w:name="_Toc46053532"/>
      <w:bookmarkStart w:id="102" w:name="_Toc46093781"/>
      <w:bookmarkStart w:id="103" w:name="_Toc66698749"/>
      <w:r>
        <w:rPr>
          <w:rFonts w:cs="Times New Roman"/>
        </w:rPr>
        <w:t>Table</w:t>
      </w:r>
      <w:r w:rsidR="00566543"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1</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7</w:t>
      </w:r>
      <w:r w:rsidR="00FE10DA">
        <w:rPr>
          <w:rFonts w:cs="Times New Roman"/>
        </w:rPr>
        <w:fldChar w:fldCharType="end"/>
      </w:r>
      <w:bookmarkEnd w:id="98"/>
      <w:r w:rsidR="00C27E7C">
        <w:rPr>
          <w:rFonts w:cs="Times New Roman"/>
        </w:rPr>
        <w:t xml:space="preserve">: </w:t>
      </w:r>
      <w:r w:rsidR="00566543" w:rsidRPr="008903D1">
        <w:rPr>
          <w:rFonts w:cs="Times New Roman"/>
        </w:rPr>
        <w:t>Essential elements of SUL initiatives</w:t>
      </w:r>
      <w:bookmarkEnd w:id="99"/>
      <w:bookmarkEnd w:id="100"/>
      <w:r w:rsidR="00566543" w:rsidRPr="008903D1">
        <w:rPr>
          <w:rFonts w:cs="Times New Roman"/>
        </w:rPr>
        <w:t xml:space="preserve"> </w:t>
      </w:r>
      <w:r w:rsidR="00C12E97" w:rsidRPr="008903D1">
        <w:rPr>
          <w:rFonts w:cs="Times New Roman"/>
        </w:rPr>
        <w:t xml:space="preserve">(adapted from </w:t>
      </w:r>
      <w:r w:rsidR="00C12E97" w:rsidRPr="00737239">
        <w:rPr>
          <w:rFonts w:cs="Times New Roman"/>
          <w:noProof/>
        </w:rPr>
        <w:t>Gonzalez-Feliu et al. [2014b]</w:t>
      </w:r>
      <w:r w:rsidR="00C12E97" w:rsidRPr="00737239">
        <w:rPr>
          <w:rFonts w:cs="Times New Roman"/>
        </w:rPr>
        <w:t>)</w:t>
      </w:r>
      <w:bookmarkEnd w:id="101"/>
      <w:bookmarkEnd w:id="102"/>
      <w:bookmarkEnd w:id="103"/>
    </w:p>
    <w:p w14:paraId="10500D11" w14:textId="594F0C19" w:rsidR="00C12E97" w:rsidRPr="00737239" w:rsidRDefault="00977AEA" w:rsidP="00F04AAD">
      <w:pPr>
        <w:spacing w:before="240" w:after="240" w:line="360" w:lineRule="auto"/>
        <w:rPr>
          <w:rFonts w:cs="Times New Roman"/>
        </w:rPr>
      </w:pPr>
      <w:r w:rsidRPr="00A96AC5">
        <w:rPr>
          <w:rFonts w:cs="Times New Roman"/>
        </w:rPr>
        <w:t>After</w:t>
      </w:r>
      <w:r w:rsidR="00624E0A">
        <w:rPr>
          <w:rFonts w:cs="Times New Roman"/>
        </w:rPr>
        <w:t xml:space="preserve"> a</w:t>
      </w:r>
      <w:r w:rsidRPr="00A96AC5">
        <w:rPr>
          <w:rFonts w:cs="Times New Roman"/>
        </w:rPr>
        <w:t xml:space="preserve"> review</w:t>
      </w:r>
      <w:r w:rsidR="00624E0A">
        <w:rPr>
          <w:rFonts w:cs="Times New Roman"/>
        </w:rPr>
        <w:t xml:space="preserve"> of</w:t>
      </w:r>
      <w:r w:rsidRPr="00A96AC5">
        <w:rPr>
          <w:rFonts w:cs="Times New Roman"/>
        </w:rPr>
        <w:t xml:space="preserve"> the performance of different sustainable logistics initiatives in nine Europe</w:t>
      </w:r>
      <w:r w:rsidR="009B325E">
        <w:rPr>
          <w:rFonts w:cs="Times New Roman"/>
        </w:rPr>
        <w:t>an</w:t>
      </w:r>
      <w:r w:rsidRPr="00A96AC5">
        <w:rPr>
          <w:rFonts w:cs="Times New Roman"/>
        </w:rPr>
        <w:t xml:space="preserve"> towns, </w:t>
      </w:r>
      <w:r w:rsidR="00E06CC1">
        <w:rPr>
          <w:noProof/>
        </w:rPr>
        <w:fldChar w:fldCharType="begin"/>
      </w:r>
      <w:r w:rsidR="00647E79">
        <w:rPr>
          <w:noProof/>
        </w:rPr>
        <w:instrText xml:space="preserve"> ADDIN EN.CITE &lt;EndNote&gt;&lt;Cite AuthorYear="1"&gt;&lt;Author&gt;Ambrosino&lt;/Author&gt;&lt;Year&gt;2015&lt;/Year&gt;&lt;RecNum&gt;24&lt;/RecNum&gt;&lt;DisplayText&gt;Ambrosino et al. (2015)&lt;/DisplayText&gt;&lt;record&gt;&lt;rec-number&gt;24&lt;/rec-number&gt;&lt;foreign-keys&gt;&lt;key app="EN" db-id="pzt5ep52hsedfpeext2pdfes0w0aswaewef2" timestamp="1605187992"&gt;24&lt;/key&gt;&lt;/foreign-keys&gt;&lt;ref-type name="Journal Article"&gt;17&lt;/ref-type&gt;&lt;contributors&gt;&lt;authors&gt;&lt;author&gt;Ambrosino, G&lt;/author&gt;&lt;author&gt;Liberato, A&lt;/author&gt;&lt;author&gt;Bellini, R&lt;/author&gt;&lt;author&gt;Pettinelli, I&lt;/author&gt;&lt;author&gt;Guerra, S&lt;/author&gt;&lt;author&gt;Pacini, G&lt;/author&gt;&lt;/authors&gt;&lt;/contributors&gt;&lt;titles&gt;&lt;title&gt;Guidelines: Developing and implementing a sustainable urban logistics plan&lt;/title&gt;&lt;secondary-title&gt;Retrieved from* HYPERLINK&amp;quot; http://www. enclose. eu/upload_en/file/deliverables/ENCLOSE_D5_2_SULP% 20methodology_final% 20version. pdf&lt;/secondary-title&gt;&lt;/titles&gt;&lt;periodical&gt;&lt;full-title&gt;Retrieved from* HYPERLINK&amp;quot; http://www. enclose. eu/upload_en/file/deliverables/ENCLOSE_D5_2_SULP% 20methodology_final% 20version. pdf&lt;/full-title&gt;&lt;/periodical&gt;&lt;dates&gt;&lt;year&gt;2015&lt;/year&gt;&lt;/dates&gt;&lt;urls&gt;&lt;/urls&gt;&lt;/record&gt;&lt;/Cite&gt;&lt;/EndNote&gt;</w:instrText>
      </w:r>
      <w:r w:rsidR="00E06CC1">
        <w:rPr>
          <w:noProof/>
        </w:rPr>
        <w:fldChar w:fldCharType="separate"/>
      </w:r>
      <w:r w:rsidR="00E06CC1">
        <w:rPr>
          <w:noProof/>
        </w:rPr>
        <w:t>Ambrosino et al. (2015)</w:t>
      </w:r>
      <w:r w:rsidR="00E06CC1">
        <w:rPr>
          <w:noProof/>
        </w:rPr>
        <w:fldChar w:fldCharType="end"/>
      </w:r>
      <w:r w:rsidR="00E06CC1">
        <w:rPr>
          <w:noProof/>
        </w:rPr>
        <w:t xml:space="preserve"> </w:t>
      </w:r>
      <w:r w:rsidRPr="00A96AC5">
        <w:rPr>
          <w:rFonts w:cs="Times New Roman"/>
        </w:rPr>
        <w:t>propose the overall objective of the SUL as</w:t>
      </w:r>
      <w:r w:rsidRPr="00A96AC5">
        <w:rPr>
          <w:rFonts w:cs="Times New Roman"/>
          <w:i/>
          <w:iCs/>
        </w:rPr>
        <w:t xml:space="preserve"> ‘focused on the optimisation of urban freight logistics processes in order to reduce the related energy consumption and environmental impacts yielding its economic sustainability’ </w:t>
      </w:r>
      <w:r w:rsidRPr="00A96AC5">
        <w:rPr>
          <w:rFonts w:cs="Times New Roman"/>
        </w:rPr>
        <w:t>in the consulting report of ‘Guidelines: Developing and implementing a sustainable urban logistics plan’.</w:t>
      </w:r>
      <w:r w:rsidRPr="00A96AC5">
        <w:rPr>
          <w:rFonts w:cs="Times New Roman"/>
          <w:i/>
          <w:iCs/>
        </w:rPr>
        <w:t xml:space="preserve"> </w:t>
      </w:r>
      <w:r w:rsidRPr="008903D1">
        <w:rPr>
          <w:rFonts w:cs="Times New Roman"/>
        </w:rPr>
        <w:t xml:space="preserve">As with sustainable development, the EU also sets targets for SUL </w:t>
      </w:r>
      <w:r w:rsidR="00E06CC1">
        <w:fldChar w:fldCharType="begin"/>
      </w:r>
      <w:r w:rsidR="00647E79">
        <w:instrText xml:space="preserve"> ADDIN EN.CITE &lt;EndNote&gt;&lt;Cite&gt;&lt;Author&gt;Carpentieri&lt;/Author&gt;&lt;Year&gt;2015&lt;/Year&gt;&lt;RecNum&gt;25&lt;/RecNum&gt;&lt;DisplayText&gt;(Carpentieri, 2015)&lt;/DisplayText&gt;&lt;record&gt;&lt;rec-number&gt;25&lt;/rec-number&gt;&lt;foreign-keys&gt;&lt;key app="EN" db-id="pzt5ep52hsedfpeext2pdfes0w0aswaewef2" timestamp="1605187992"&gt;25&lt;/key&gt;&lt;/foreign-keys&gt;&lt;ref-type name="Generic"&gt;13&lt;/ref-type&gt;&lt;contributors&gt;&lt;authors&gt;&lt;author&gt;Carpentieri, Gerardo&lt;/author&gt;&lt;/authors&gt;&lt;/contributors&gt;&lt;titles&gt;&lt;title&gt;Smart and Sustainable Logistics for a Competitive Europe&lt;/title&gt;&lt;/titles&gt;&lt;dates&gt;&lt;year&gt;2015&lt;/year&gt;&lt;/dates&gt;&lt;publisher&gt;UNIV STUDI NAPOLI FEDERICO II, DIPT PIANIFICAZIONE &amp;amp; SCIENZA TERRITORIO PIAZZALE TECCHIO 80, NAPLES, 80125, ITALY&lt;/publisher&gt;&lt;isbn&gt;1970-9889&lt;/isbn&gt;&lt;urls&gt;&lt;/urls&gt;&lt;/record&gt;&lt;/Cite&gt;&lt;/EndNote&gt;</w:instrText>
      </w:r>
      <w:r w:rsidR="00E06CC1">
        <w:fldChar w:fldCharType="separate"/>
      </w:r>
      <w:r w:rsidR="00E06CC1">
        <w:rPr>
          <w:noProof/>
        </w:rPr>
        <w:t>(Carpentieri, 2015)</w:t>
      </w:r>
      <w:r w:rsidR="00E06CC1">
        <w:fldChar w:fldCharType="end"/>
      </w:r>
      <w:r w:rsidRPr="008903D1">
        <w:rPr>
          <w:rFonts w:cs="Times New Roman"/>
        </w:rPr>
        <w:t xml:space="preserve">. </w:t>
      </w:r>
      <w:r w:rsidRPr="00737239">
        <w:rPr>
          <w:rFonts w:cs="Times New Roman"/>
        </w:rPr>
        <w:t xml:space="preserve">These are detailed below in </w:t>
      </w:r>
      <w:r w:rsidRPr="008903D1">
        <w:rPr>
          <w:rFonts w:cs="Times New Roman"/>
        </w:rPr>
        <w:fldChar w:fldCharType="begin"/>
      </w:r>
      <w:r w:rsidRPr="00A96AC5">
        <w:rPr>
          <w:rFonts w:cs="Times New Roman"/>
        </w:rPr>
        <w:instrText xml:space="preserve"> REF _Ref532215233 \h </w:instrText>
      </w:r>
      <w:r w:rsidR="008903D1">
        <w:rPr>
          <w:rFonts w:cs="Times New Roman"/>
        </w:rPr>
        <w:instrText xml:space="preserve"> \* MERGEFORMAT </w:instrText>
      </w:r>
      <w:r w:rsidRPr="008903D1">
        <w:rPr>
          <w:rFonts w:cs="Times New Roman"/>
        </w:rPr>
      </w:r>
      <w:r w:rsidRPr="008903D1">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1</w:t>
      </w:r>
      <w:r w:rsidR="0005064B">
        <w:rPr>
          <w:rFonts w:cs="Times New Roman"/>
          <w:noProof/>
        </w:rPr>
        <w:noBreakHyphen/>
        <w:t>8</w:t>
      </w:r>
      <w:r w:rsidRPr="008903D1">
        <w:rPr>
          <w:rFonts w:cs="Times New Roman"/>
        </w:rPr>
        <w:fldChar w:fldCharType="end"/>
      </w:r>
      <w:r w:rsidRPr="008903D1">
        <w:rPr>
          <w:rFonts w:cs="Times New Roman"/>
        </w:rPr>
        <w:t>.</w:t>
      </w:r>
    </w:p>
    <w:tbl>
      <w:tblPr>
        <w:tblStyle w:val="TableGrid"/>
        <w:tblW w:w="5000" w:type="pct"/>
        <w:jc w:val="center"/>
        <w:tblLook w:val="04A0" w:firstRow="1" w:lastRow="0" w:firstColumn="1" w:lastColumn="0" w:noHBand="0" w:noVBand="1"/>
      </w:tblPr>
      <w:tblGrid>
        <w:gridCol w:w="1994"/>
        <w:gridCol w:w="7022"/>
      </w:tblGrid>
      <w:tr w:rsidR="00013E7D" w:rsidRPr="008903D1" w14:paraId="134BDB58" w14:textId="77777777" w:rsidTr="00D10D94">
        <w:trPr>
          <w:jc w:val="center"/>
        </w:trPr>
        <w:tc>
          <w:tcPr>
            <w:tcW w:w="1106" w:type="pct"/>
          </w:tcPr>
          <w:p w14:paraId="79DE0C76" w14:textId="77777777" w:rsidR="00013E7D" w:rsidRPr="006C301D" w:rsidRDefault="00013E7D" w:rsidP="00F04AAD">
            <w:pPr>
              <w:spacing w:line="240" w:lineRule="auto"/>
              <w:jc w:val="center"/>
              <w:rPr>
                <w:rFonts w:cs="Times New Roman"/>
                <w:b/>
                <w:i/>
                <w:sz w:val="22"/>
              </w:rPr>
            </w:pPr>
            <w:r w:rsidRPr="00802DC5">
              <w:rPr>
                <w:rFonts w:cs="Times New Roman"/>
                <w:b/>
                <w:sz w:val="22"/>
              </w:rPr>
              <w:t>Indicators</w:t>
            </w:r>
          </w:p>
        </w:tc>
        <w:tc>
          <w:tcPr>
            <w:tcW w:w="3894" w:type="pct"/>
          </w:tcPr>
          <w:p w14:paraId="5690FD22" w14:textId="0BF5B421" w:rsidR="00013E7D" w:rsidRPr="00A96AC5" w:rsidRDefault="00013E7D" w:rsidP="00F04AAD">
            <w:pPr>
              <w:spacing w:line="240" w:lineRule="auto"/>
              <w:ind w:left="720"/>
              <w:contextualSpacing/>
              <w:jc w:val="center"/>
              <w:rPr>
                <w:rFonts w:cs="Times New Roman"/>
                <w:b/>
                <w:i/>
                <w:sz w:val="22"/>
              </w:rPr>
            </w:pPr>
            <w:r w:rsidRPr="00A96AC5">
              <w:rPr>
                <w:rFonts w:cs="Times New Roman"/>
                <w:b/>
                <w:sz w:val="22"/>
              </w:rPr>
              <w:t xml:space="preserve">Details of the </w:t>
            </w:r>
            <w:r w:rsidR="00247948" w:rsidRPr="00A96AC5">
              <w:rPr>
                <w:rFonts w:cs="Times New Roman"/>
                <w:b/>
                <w:sz w:val="22"/>
              </w:rPr>
              <w:t>target</w:t>
            </w:r>
          </w:p>
        </w:tc>
      </w:tr>
      <w:tr w:rsidR="00013E7D" w:rsidRPr="008903D1" w14:paraId="75E26BF6" w14:textId="77777777" w:rsidTr="00E51445">
        <w:trPr>
          <w:jc w:val="center"/>
        </w:trPr>
        <w:tc>
          <w:tcPr>
            <w:tcW w:w="1106" w:type="pct"/>
            <w:vAlign w:val="center"/>
          </w:tcPr>
          <w:p w14:paraId="602A7836" w14:textId="77777777" w:rsidR="00013E7D" w:rsidRPr="00737239" w:rsidRDefault="00013E7D" w:rsidP="00F04AAD">
            <w:pPr>
              <w:spacing w:line="240" w:lineRule="auto"/>
              <w:jc w:val="center"/>
              <w:rPr>
                <w:rFonts w:cs="Times New Roman"/>
                <w:bCs/>
                <w:i/>
                <w:sz w:val="22"/>
              </w:rPr>
            </w:pPr>
            <w:r w:rsidRPr="00737239">
              <w:rPr>
                <w:rFonts w:cs="Times New Roman"/>
                <w:bCs/>
                <w:sz w:val="22"/>
              </w:rPr>
              <w:t>Efficiency</w:t>
            </w:r>
          </w:p>
        </w:tc>
        <w:tc>
          <w:tcPr>
            <w:tcW w:w="3894" w:type="pct"/>
            <w:vAlign w:val="center"/>
          </w:tcPr>
          <w:p w14:paraId="5852A720" w14:textId="77777777" w:rsidR="00013E7D" w:rsidRPr="006C301D" w:rsidRDefault="00013E7D" w:rsidP="00F04AAD">
            <w:pPr>
              <w:spacing w:line="240" w:lineRule="auto"/>
              <w:contextualSpacing/>
              <w:jc w:val="left"/>
              <w:rPr>
                <w:rFonts w:cs="Times New Roman"/>
                <w:sz w:val="22"/>
              </w:rPr>
            </w:pPr>
            <w:r w:rsidRPr="00802DC5">
              <w:rPr>
                <w:rFonts w:cs="Times New Roman"/>
                <w:sz w:val="22"/>
              </w:rPr>
              <w:t>Promote eco-innovation in freight transport</w:t>
            </w:r>
          </w:p>
        </w:tc>
      </w:tr>
      <w:tr w:rsidR="00013E7D" w:rsidRPr="008903D1" w14:paraId="12F4A037" w14:textId="77777777" w:rsidTr="00E51445">
        <w:trPr>
          <w:jc w:val="center"/>
        </w:trPr>
        <w:tc>
          <w:tcPr>
            <w:tcW w:w="1106" w:type="pct"/>
            <w:vAlign w:val="center"/>
          </w:tcPr>
          <w:p w14:paraId="0A54A771" w14:textId="77777777" w:rsidR="00013E7D" w:rsidRPr="00737239" w:rsidRDefault="00013E7D" w:rsidP="00F04AAD">
            <w:pPr>
              <w:spacing w:line="240" w:lineRule="auto"/>
              <w:jc w:val="center"/>
              <w:rPr>
                <w:rFonts w:cs="Times New Roman"/>
                <w:bCs/>
                <w:i/>
                <w:sz w:val="22"/>
              </w:rPr>
            </w:pPr>
            <w:r w:rsidRPr="00737239">
              <w:rPr>
                <w:rFonts w:cs="Times New Roman"/>
                <w:bCs/>
                <w:sz w:val="22"/>
              </w:rPr>
              <w:t>Technology</w:t>
            </w:r>
          </w:p>
        </w:tc>
        <w:tc>
          <w:tcPr>
            <w:tcW w:w="3894" w:type="pct"/>
            <w:vAlign w:val="center"/>
          </w:tcPr>
          <w:p w14:paraId="6CA86341" w14:textId="77777777" w:rsidR="00013E7D" w:rsidRPr="00A96AC5" w:rsidRDefault="00013E7D" w:rsidP="00F04AAD">
            <w:pPr>
              <w:spacing w:line="240" w:lineRule="auto"/>
              <w:contextualSpacing/>
              <w:jc w:val="left"/>
              <w:rPr>
                <w:rFonts w:cs="Times New Roman"/>
                <w:sz w:val="22"/>
              </w:rPr>
            </w:pPr>
            <w:r w:rsidRPr="00802DC5">
              <w:rPr>
                <w:rFonts w:cs="Times New Roman"/>
                <w:sz w:val="22"/>
              </w:rPr>
              <w:t xml:space="preserve">Support deployment of new vehicles and vessels, and retrofit those already in </w:t>
            </w:r>
            <w:r w:rsidRPr="006C301D">
              <w:rPr>
                <w:rFonts w:cs="Times New Roman"/>
                <w:sz w:val="22"/>
              </w:rPr>
              <w:t>operation</w:t>
            </w:r>
          </w:p>
        </w:tc>
      </w:tr>
      <w:tr w:rsidR="00013E7D" w:rsidRPr="008903D1" w14:paraId="2B80E3EC" w14:textId="77777777" w:rsidTr="00E51445">
        <w:trPr>
          <w:jc w:val="center"/>
        </w:trPr>
        <w:tc>
          <w:tcPr>
            <w:tcW w:w="1106" w:type="pct"/>
            <w:vMerge w:val="restart"/>
            <w:vAlign w:val="center"/>
          </w:tcPr>
          <w:p w14:paraId="4DB30B29" w14:textId="77777777" w:rsidR="00013E7D" w:rsidRPr="00737239" w:rsidRDefault="00013E7D" w:rsidP="00F04AAD">
            <w:pPr>
              <w:spacing w:line="240" w:lineRule="auto"/>
              <w:jc w:val="center"/>
              <w:rPr>
                <w:rFonts w:cs="Times New Roman"/>
                <w:bCs/>
                <w:i/>
                <w:sz w:val="22"/>
              </w:rPr>
            </w:pPr>
            <w:r w:rsidRPr="00737239">
              <w:rPr>
                <w:rFonts w:cs="Times New Roman"/>
                <w:bCs/>
                <w:sz w:val="22"/>
              </w:rPr>
              <w:t>Resource</w:t>
            </w:r>
          </w:p>
        </w:tc>
        <w:tc>
          <w:tcPr>
            <w:tcW w:w="3894" w:type="pct"/>
            <w:vAlign w:val="center"/>
          </w:tcPr>
          <w:p w14:paraId="68C01209" w14:textId="77777777" w:rsidR="00013E7D" w:rsidRPr="006C301D" w:rsidRDefault="00013E7D" w:rsidP="00F04AAD">
            <w:pPr>
              <w:spacing w:line="240" w:lineRule="auto"/>
              <w:contextualSpacing/>
              <w:jc w:val="left"/>
              <w:rPr>
                <w:rFonts w:cs="Times New Roman"/>
                <w:sz w:val="22"/>
              </w:rPr>
            </w:pPr>
            <w:proofErr w:type="spellStart"/>
            <w:r w:rsidRPr="00802DC5">
              <w:rPr>
                <w:rFonts w:cs="Times New Roman"/>
                <w:sz w:val="22"/>
              </w:rPr>
              <w:t>Optimise</w:t>
            </w:r>
            <w:proofErr w:type="spellEnd"/>
            <w:r w:rsidRPr="00802DC5">
              <w:rPr>
                <w:rFonts w:cs="Times New Roman"/>
                <w:sz w:val="22"/>
              </w:rPr>
              <w:t xml:space="preserve"> the performance of multimodal logistics chains</w:t>
            </w:r>
          </w:p>
        </w:tc>
      </w:tr>
      <w:tr w:rsidR="00013E7D" w:rsidRPr="008903D1" w14:paraId="1DED162F" w14:textId="77777777" w:rsidTr="00E51445">
        <w:trPr>
          <w:trHeight w:val="465"/>
          <w:jc w:val="center"/>
        </w:trPr>
        <w:tc>
          <w:tcPr>
            <w:tcW w:w="1106" w:type="pct"/>
            <w:vMerge/>
            <w:vAlign w:val="center"/>
          </w:tcPr>
          <w:p w14:paraId="0AB4A9DB" w14:textId="77777777" w:rsidR="00013E7D" w:rsidRPr="00A96AC5" w:rsidRDefault="00013E7D" w:rsidP="00F04AAD">
            <w:pPr>
              <w:spacing w:line="240" w:lineRule="auto"/>
              <w:jc w:val="center"/>
              <w:rPr>
                <w:rFonts w:cs="Times New Roman"/>
                <w:bCs/>
                <w:sz w:val="22"/>
              </w:rPr>
            </w:pPr>
          </w:p>
        </w:tc>
        <w:tc>
          <w:tcPr>
            <w:tcW w:w="3894" w:type="pct"/>
            <w:vAlign w:val="center"/>
          </w:tcPr>
          <w:p w14:paraId="4FE4F739" w14:textId="1E378495" w:rsidR="00E51445" w:rsidRPr="00A96AC5" w:rsidRDefault="00013E7D" w:rsidP="00F04AAD">
            <w:pPr>
              <w:spacing w:line="240" w:lineRule="auto"/>
              <w:contextualSpacing/>
              <w:jc w:val="left"/>
              <w:rPr>
                <w:rFonts w:cs="Times New Roman"/>
                <w:sz w:val="22"/>
              </w:rPr>
            </w:pPr>
            <w:r w:rsidRPr="00A96AC5">
              <w:rPr>
                <w:rFonts w:cs="Times New Roman"/>
                <w:sz w:val="22"/>
              </w:rPr>
              <w:t>Develop multimodal freight corridors and support multimodal transport</w:t>
            </w:r>
          </w:p>
        </w:tc>
      </w:tr>
      <w:tr w:rsidR="00013E7D" w:rsidRPr="008903D1" w14:paraId="20950FFE" w14:textId="77777777" w:rsidTr="00E51445">
        <w:trPr>
          <w:jc w:val="center"/>
        </w:trPr>
        <w:tc>
          <w:tcPr>
            <w:tcW w:w="1106" w:type="pct"/>
            <w:vMerge/>
            <w:vAlign w:val="center"/>
          </w:tcPr>
          <w:p w14:paraId="2B78BFB3" w14:textId="77777777" w:rsidR="00013E7D" w:rsidRPr="00A96AC5" w:rsidRDefault="00013E7D" w:rsidP="00F04AAD">
            <w:pPr>
              <w:spacing w:line="240" w:lineRule="auto"/>
              <w:jc w:val="center"/>
              <w:rPr>
                <w:rFonts w:cs="Times New Roman"/>
                <w:bCs/>
                <w:sz w:val="22"/>
              </w:rPr>
            </w:pPr>
          </w:p>
        </w:tc>
        <w:tc>
          <w:tcPr>
            <w:tcW w:w="3894" w:type="pct"/>
            <w:vAlign w:val="center"/>
          </w:tcPr>
          <w:p w14:paraId="525EF976" w14:textId="276ECDE7" w:rsidR="00013E7D" w:rsidRPr="00A96AC5" w:rsidRDefault="00247948" w:rsidP="00F04AAD">
            <w:pPr>
              <w:spacing w:line="240" w:lineRule="auto"/>
              <w:contextualSpacing/>
              <w:jc w:val="left"/>
              <w:rPr>
                <w:rFonts w:cs="Times New Roman"/>
                <w:sz w:val="22"/>
              </w:rPr>
            </w:pPr>
            <w:r w:rsidRPr="00A96AC5">
              <w:rPr>
                <w:rFonts w:cs="Times New Roman"/>
                <w:sz w:val="22"/>
              </w:rPr>
              <w:t xml:space="preserve">Exchange </w:t>
            </w:r>
            <w:r w:rsidR="00013E7D" w:rsidRPr="00A96AC5">
              <w:rPr>
                <w:rFonts w:cs="Times New Roman"/>
                <w:sz w:val="22"/>
              </w:rPr>
              <w:t xml:space="preserve">30% of freight transport </w:t>
            </w:r>
            <w:r w:rsidRPr="00A96AC5">
              <w:rPr>
                <w:rFonts w:cs="Times New Roman"/>
                <w:sz w:val="22"/>
              </w:rPr>
              <w:t xml:space="preserve">of more than </w:t>
            </w:r>
            <w:r w:rsidR="00013E7D" w:rsidRPr="00A96AC5">
              <w:rPr>
                <w:rFonts w:cs="Times New Roman"/>
                <w:sz w:val="22"/>
              </w:rPr>
              <w:t>300</w:t>
            </w:r>
            <w:r w:rsidRPr="00A96AC5">
              <w:rPr>
                <w:rFonts w:cs="Times New Roman"/>
                <w:sz w:val="22"/>
              </w:rPr>
              <w:t xml:space="preserve"> </w:t>
            </w:r>
            <w:r w:rsidR="00013E7D" w:rsidRPr="00A96AC5">
              <w:rPr>
                <w:rFonts w:cs="Times New Roman"/>
                <w:sz w:val="22"/>
              </w:rPr>
              <w:t>km from road to rail and waterborne transport by 2030, and 50% by 2050</w:t>
            </w:r>
          </w:p>
        </w:tc>
      </w:tr>
      <w:tr w:rsidR="00013E7D" w:rsidRPr="008903D1" w14:paraId="1C37099D" w14:textId="77777777" w:rsidTr="00E51445">
        <w:trPr>
          <w:jc w:val="center"/>
        </w:trPr>
        <w:tc>
          <w:tcPr>
            <w:tcW w:w="1106" w:type="pct"/>
          </w:tcPr>
          <w:p w14:paraId="11933AE0" w14:textId="60DDCD17" w:rsidR="00013E7D" w:rsidRPr="006C301D" w:rsidRDefault="00013E7D" w:rsidP="00F04AAD">
            <w:pPr>
              <w:spacing w:line="240" w:lineRule="auto"/>
              <w:jc w:val="center"/>
              <w:rPr>
                <w:rFonts w:cs="Times New Roman"/>
                <w:bCs/>
                <w:i/>
                <w:sz w:val="22"/>
              </w:rPr>
            </w:pPr>
            <w:r w:rsidRPr="00737239">
              <w:rPr>
                <w:rFonts w:cs="Times New Roman"/>
                <w:bCs/>
                <w:sz w:val="22"/>
              </w:rPr>
              <w:t xml:space="preserve">Environment </w:t>
            </w:r>
            <w:r w:rsidR="00247948" w:rsidRPr="00802DC5">
              <w:rPr>
                <w:rFonts w:cs="Times New Roman"/>
                <w:bCs/>
                <w:sz w:val="22"/>
              </w:rPr>
              <w:t>efficient</w:t>
            </w:r>
          </w:p>
        </w:tc>
        <w:tc>
          <w:tcPr>
            <w:tcW w:w="3894" w:type="pct"/>
            <w:vAlign w:val="center"/>
          </w:tcPr>
          <w:p w14:paraId="58464E4F" w14:textId="1EA6EB3E" w:rsidR="00013E7D" w:rsidRPr="00A96AC5" w:rsidRDefault="00013E7D" w:rsidP="00F04AAD">
            <w:pPr>
              <w:spacing w:line="240" w:lineRule="auto"/>
              <w:contextualSpacing/>
              <w:jc w:val="left"/>
              <w:rPr>
                <w:rFonts w:cs="Times New Roman"/>
                <w:sz w:val="22"/>
              </w:rPr>
            </w:pPr>
            <w:r w:rsidRPr="00A96AC5">
              <w:rPr>
                <w:rFonts w:cs="Times New Roman"/>
                <w:sz w:val="22"/>
              </w:rPr>
              <w:t xml:space="preserve">Improve </w:t>
            </w:r>
            <w:r w:rsidR="00247948" w:rsidRPr="00A96AC5">
              <w:rPr>
                <w:rFonts w:cs="Times New Roman"/>
                <w:sz w:val="22"/>
              </w:rPr>
              <w:t xml:space="preserve">vehicles’ </w:t>
            </w:r>
            <w:r w:rsidRPr="00A96AC5">
              <w:rPr>
                <w:rFonts w:cs="Times New Roman"/>
                <w:sz w:val="22"/>
              </w:rPr>
              <w:t xml:space="preserve">energy efficiency </w:t>
            </w:r>
          </w:p>
        </w:tc>
      </w:tr>
      <w:tr w:rsidR="00013E7D" w:rsidRPr="008903D1" w14:paraId="4353049C" w14:textId="77777777" w:rsidTr="00E51445">
        <w:trPr>
          <w:jc w:val="center"/>
        </w:trPr>
        <w:tc>
          <w:tcPr>
            <w:tcW w:w="1106" w:type="pct"/>
            <w:vMerge w:val="restart"/>
            <w:vAlign w:val="center"/>
          </w:tcPr>
          <w:p w14:paraId="06788882" w14:textId="049B5EE0" w:rsidR="00013E7D" w:rsidRPr="006C301D" w:rsidRDefault="00013E7D" w:rsidP="00F04AAD">
            <w:pPr>
              <w:spacing w:line="240" w:lineRule="auto"/>
              <w:jc w:val="center"/>
              <w:rPr>
                <w:rFonts w:cs="Times New Roman"/>
                <w:bCs/>
                <w:i/>
                <w:sz w:val="22"/>
              </w:rPr>
            </w:pPr>
            <w:r w:rsidRPr="00737239">
              <w:rPr>
                <w:rFonts w:cs="Times New Roman"/>
                <w:bCs/>
                <w:sz w:val="22"/>
              </w:rPr>
              <w:lastRenderedPageBreak/>
              <w:t xml:space="preserve">Information </w:t>
            </w:r>
            <w:r w:rsidR="00247948" w:rsidRPr="00802DC5">
              <w:rPr>
                <w:rFonts w:cs="Times New Roman"/>
                <w:bCs/>
                <w:sz w:val="22"/>
              </w:rPr>
              <w:t>exchange</w:t>
            </w:r>
          </w:p>
        </w:tc>
        <w:tc>
          <w:tcPr>
            <w:tcW w:w="3894" w:type="pct"/>
            <w:vAlign w:val="center"/>
          </w:tcPr>
          <w:p w14:paraId="591986BE" w14:textId="77777777" w:rsidR="00013E7D" w:rsidRPr="00A96AC5" w:rsidRDefault="00013E7D" w:rsidP="00F04AAD">
            <w:pPr>
              <w:spacing w:line="240" w:lineRule="auto"/>
              <w:contextualSpacing/>
              <w:jc w:val="left"/>
              <w:rPr>
                <w:rFonts w:cs="Times New Roman"/>
                <w:sz w:val="22"/>
              </w:rPr>
            </w:pPr>
            <w:r w:rsidRPr="00A96AC5">
              <w:rPr>
                <w:rFonts w:cs="Times New Roman"/>
                <w:sz w:val="22"/>
              </w:rPr>
              <w:t>Produce best practice guidelines on monitoring and managing urban freight flows.</w:t>
            </w:r>
          </w:p>
        </w:tc>
      </w:tr>
      <w:tr w:rsidR="00013E7D" w:rsidRPr="008903D1" w14:paraId="3687920E" w14:textId="77777777" w:rsidTr="00E51445">
        <w:trPr>
          <w:jc w:val="center"/>
        </w:trPr>
        <w:tc>
          <w:tcPr>
            <w:tcW w:w="1106" w:type="pct"/>
            <w:vMerge/>
            <w:vAlign w:val="center"/>
          </w:tcPr>
          <w:p w14:paraId="62E4A97D" w14:textId="77777777" w:rsidR="00013E7D" w:rsidRPr="00A96AC5" w:rsidRDefault="00013E7D" w:rsidP="00F04AAD">
            <w:pPr>
              <w:spacing w:line="240" w:lineRule="auto"/>
              <w:jc w:val="center"/>
              <w:rPr>
                <w:rFonts w:cs="Times New Roman"/>
                <w:bCs/>
                <w:sz w:val="22"/>
              </w:rPr>
            </w:pPr>
          </w:p>
        </w:tc>
        <w:tc>
          <w:tcPr>
            <w:tcW w:w="3894" w:type="pct"/>
            <w:vAlign w:val="center"/>
          </w:tcPr>
          <w:p w14:paraId="794711EC" w14:textId="6BBC942E" w:rsidR="00013E7D" w:rsidRPr="00A96AC5" w:rsidRDefault="00013E7D" w:rsidP="00F04AAD">
            <w:pPr>
              <w:spacing w:line="240" w:lineRule="auto"/>
              <w:contextualSpacing/>
              <w:jc w:val="left"/>
              <w:rPr>
                <w:rFonts w:cs="Times New Roman"/>
                <w:sz w:val="22"/>
              </w:rPr>
            </w:pPr>
            <w:r w:rsidRPr="00A96AC5">
              <w:rPr>
                <w:rFonts w:cs="Times New Roman"/>
                <w:sz w:val="22"/>
              </w:rPr>
              <w:t xml:space="preserve">Create an appropriate framework for </w:t>
            </w:r>
            <w:r w:rsidR="00180605">
              <w:rPr>
                <w:rFonts w:cs="Times New Roman"/>
                <w:sz w:val="22"/>
              </w:rPr>
              <w:t xml:space="preserve">a </w:t>
            </w:r>
            <w:r w:rsidRPr="00A96AC5">
              <w:rPr>
                <w:rFonts w:cs="Times New Roman"/>
                <w:sz w:val="22"/>
              </w:rPr>
              <w:t>seamless flow of information in the supply chain (e-freight)</w:t>
            </w:r>
          </w:p>
        </w:tc>
      </w:tr>
      <w:tr w:rsidR="00013E7D" w:rsidRPr="008903D1" w14:paraId="250D0955" w14:textId="77777777" w:rsidTr="00E51445">
        <w:trPr>
          <w:trHeight w:val="80"/>
          <w:jc w:val="center"/>
        </w:trPr>
        <w:tc>
          <w:tcPr>
            <w:tcW w:w="1106" w:type="pct"/>
          </w:tcPr>
          <w:p w14:paraId="09FAFEBA" w14:textId="4F59E924" w:rsidR="00013E7D" w:rsidRPr="00802DC5" w:rsidRDefault="00013E7D" w:rsidP="00F04AAD">
            <w:pPr>
              <w:spacing w:line="240" w:lineRule="auto"/>
              <w:jc w:val="center"/>
              <w:rPr>
                <w:rFonts w:cs="Times New Roman"/>
                <w:bCs/>
                <w:i/>
                <w:sz w:val="22"/>
              </w:rPr>
            </w:pPr>
            <w:r w:rsidRPr="00737239">
              <w:rPr>
                <w:rFonts w:cs="Times New Roman"/>
                <w:bCs/>
                <w:sz w:val="22"/>
              </w:rPr>
              <w:t xml:space="preserve">Urban </w:t>
            </w:r>
            <w:r w:rsidR="00247948" w:rsidRPr="00737239">
              <w:rPr>
                <w:rFonts w:cs="Times New Roman"/>
                <w:bCs/>
                <w:sz w:val="22"/>
              </w:rPr>
              <w:t>emissions</w:t>
            </w:r>
          </w:p>
        </w:tc>
        <w:tc>
          <w:tcPr>
            <w:tcW w:w="3894" w:type="pct"/>
            <w:vAlign w:val="center"/>
          </w:tcPr>
          <w:p w14:paraId="7D0ADEAA" w14:textId="77777777" w:rsidR="00013E7D" w:rsidRPr="00A96AC5" w:rsidRDefault="00013E7D" w:rsidP="00F04AAD">
            <w:pPr>
              <w:spacing w:line="240" w:lineRule="auto"/>
              <w:contextualSpacing/>
              <w:jc w:val="left"/>
              <w:rPr>
                <w:rFonts w:cs="Times New Roman"/>
                <w:sz w:val="22"/>
              </w:rPr>
            </w:pPr>
            <w:r w:rsidRPr="006C301D">
              <w:rPr>
                <w:rFonts w:cs="Times New Roman"/>
                <w:sz w:val="22"/>
              </w:rPr>
              <w:t>Achieve essentially CO</w:t>
            </w:r>
            <w:r w:rsidRPr="00A96AC5">
              <w:rPr>
                <w:rFonts w:cs="Times New Roman"/>
                <w:sz w:val="22"/>
                <w:vertAlign w:val="subscript"/>
              </w:rPr>
              <w:t>2</w:t>
            </w:r>
            <w:r w:rsidRPr="00A96AC5">
              <w:rPr>
                <w:rFonts w:cs="Times New Roman"/>
                <w:sz w:val="22"/>
              </w:rPr>
              <w:t xml:space="preserve">-free logistics in major urban </w:t>
            </w:r>
            <w:proofErr w:type="spellStart"/>
            <w:r w:rsidRPr="00A96AC5">
              <w:rPr>
                <w:rFonts w:cs="Times New Roman"/>
                <w:sz w:val="22"/>
              </w:rPr>
              <w:t>centres</w:t>
            </w:r>
            <w:proofErr w:type="spellEnd"/>
            <w:r w:rsidRPr="00A96AC5">
              <w:rPr>
                <w:rFonts w:cs="Times New Roman"/>
                <w:sz w:val="22"/>
              </w:rPr>
              <w:t xml:space="preserve"> by 2030</w:t>
            </w:r>
          </w:p>
        </w:tc>
      </w:tr>
    </w:tbl>
    <w:p w14:paraId="002BD92D" w14:textId="2089A8B9" w:rsidR="00013E7D" w:rsidRPr="00737239" w:rsidRDefault="007B5959" w:rsidP="000A4E8C">
      <w:pPr>
        <w:pStyle w:val="Caption"/>
        <w:spacing w:after="0" w:line="360" w:lineRule="auto"/>
        <w:rPr>
          <w:rFonts w:cs="Times New Roman"/>
        </w:rPr>
      </w:pPr>
      <w:bookmarkStart w:id="104" w:name="_Ref532215233"/>
      <w:bookmarkStart w:id="105" w:name="_Toc34674927"/>
      <w:bookmarkStart w:id="106" w:name="_Toc40794159"/>
      <w:bookmarkStart w:id="107" w:name="_Toc46053533"/>
      <w:bookmarkStart w:id="108" w:name="_Toc46093782"/>
      <w:bookmarkStart w:id="109" w:name="_Toc66698750"/>
      <w:bookmarkStart w:id="110" w:name="_Toc491870107"/>
      <w:r>
        <w:rPr>
          <w:rFonts w:cs="Times New Roman"/>
        </w:rPr>
        <w:t>Table</w:t>
      </w:r>
      <w:r w:rsidR="00013E7D"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1</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8</w:t>
      </w:r>
      <w:r w:rsidR="00FE10DA">
        <w:rPr>
          <w:rFonts w:cs="Times New Roman"/>
        </w:rPr>
        <w:fldChar w:fldCharType="end"/>
      </w:r>
      <w:bookmarkEnd w:id="104"/>
      <w:r w:rsidR="00C27E7C">
        <w:rPr>
          <w:rFonts w:cs="Times New Roman"/>
        </w:rPr>
        <w:t>:</w:t>
      </w:r>
      <w:r w:rsidR="00247948" w:rsidRPr="00737239">
        <w:rPr>
          <w:rFonts w:cs="Times New Roman"/>
        </w:rPr>
        <w:t xml:space="preserve"> EU sustainable urban logistics (SUL)</w:t>
      </w:r>
      <w:bookmarkEnd w:id="105"/>
      <w:bookmarkEnd w:id="106"/>
      <w:bookmarkEnd w:id="107"/>
      <w:bookmarkEnd w:id="108"/>
      <w:bookmarkEnd w:id="109"/>
      <w:r w:rsidR="00247948" w:rsidRPr="00737239">
        <w:rPr>
          <w:rFonts w:cs="Times New Roman"/>
        </w:rPr>
        <w:t xml:space="preserve"> </w:t>
      </w:r>
      <w:bookmarkEnd w:id="110"/>
    </w:p>
    <w:p w14:paraId="758F6DAF" w14:textId="1758C9E6" w:rsidR="00832C37" w:rsidRDefault="00832C37" w:rsidP="00F04AAD">
      <w:pPr>
        <w:spacing w:before="240" w:after="240" w:line="360" w:lineRule="auto"/>
        <w:rPr>
          <w:rFonts w:cs="Times New Roman"/>
        </w:rPr>
      </w:pPr>
      <w:r w:rsidRPr="00A96AC5">
        <w:rPr>
          <w:rFonts w:cs="Times New Roman"/>
        </w:rPr>
        <w:t>Prior to the emergence of academic research in</w:t>
      </w:r>
      <w:r w:rsidRPr="008903D1">
        <w:rPr>
          <w:rFonts w:cs="Times New Roman"/>
        </w:rPr>
        <w:t xml:space="preserve"> the field of SUL, several exploratory projects were conducted on optimising logistics in cities. Such projects can be classified into two primary categories: those based on hard measures (H)</w:t>
      </w:r>
      <w:r w:rsidR="00180605">
        <w:rPr>
          <w:rFonts w:cs="Times New Roman"/>
        </w:rPr>
        <w:t>,</w:t>
      </w:r>
      <w:r w:rsidRPr="008903D1">
        <w:rPr>
          <w:rFonts w:cs="Times New Roman"/>
        </w:rPr>
        <w:t xml:space="preserve"> and those based on soft measures (S) </w:t>
      </w:r>
      <w:r w:rsidR="006418A4">
        <w:fldChar w:fldCharType="begin"/>
      </w:r>
      <w:r w:rsidR="00647E79">
        <w:instrText xml:space="preserve"> ADDIN EN.CITE &lt;EndNote&gt;&lt;Cite&gt;&lt;Author&gt;Russo&lt;/Author&gt;&lt;Year&gt;2010&lt;/Year&gt;&lt;RecNum&gt;26&lt;/RecNum&gt;&lt;DisplayText&gt;(Russo and Comi, 2010)&lt;/DisplayText&gt;&lt;record&gt;&lt;rec-number&gt;26&lt;/rec-number&gt;&lt;foreign-keys&gt;&lt;key app="EN" db-id="pzt5ep52hsedfpeext2pdfes0w0aswaewef2" timestamp="1605187992"&gt;26&lt;/key&gt;&lt;/foreign-keys&gt;&lt;ref-type name="Journal Article"&gt;17&lt;/ref-type&gt;&lt;contributors&gt;&lt;authors&gt;&lt;author&gt;Russo, Francesco&lt;/author&gt;&lt;author&gt;Comi, Antonio&lt;/author&gt;&lt;/authors&gt;&lt;/contributors&gt;&lt;titles&gt;&lt;title&gt;A classification of city logistics measures and connected impacts&lt;/title&gt;&lt;secondary-title&gt;Procedia - Social and Behavioral Sciences&lt;/secondary-title&gt;&lt;/titles&gt;&lt;periodical&gt;&lt;full-title&gt;Procedia - Social and Behavioral Sciences&lt;/full-title&gt;&lt;/periodical&gt;&lt;pages&gt;6355-6365&lt;/pages&gt;&lt;volume&gt;2&lt;/volume&gt;&lt;number&gt;3&lt;/number&gt;&lt;keywords&gt;&lt;keyword&gt;City logistics&lt;/keyword&gt;&lt;keyword&gt;urban freight transport&lt;/keyword&gt;&lt;keyword&gt;urban freight measures&lt;/keyword&gt;&lt;/keywords&gt;&lt;dates&gt;&lt;year&gt;2010&lt;/year&gt;&lt;pub-dates&gt;&lt;date&gt;2010/01/01/&lt;/date&gt;&lt;/pub-dates&gt;&lt;/dates&gt;&lt;isbn&gt;1877-0428&lt;/isbn&gt;&lt;urls&gt;&lt;related-urls&gt;&lt;url&gt;http://www.sciencedirect.com/science/article/pii/S1877042810010979&lt;/url&gt;&lt;/related-urls&gt;&lt;/urls&gt;&lt;electronic-resource-num&gt;http://dx.doi.org/10.1016/j.sbspro.2010.04.044&lt;/electronic-resource-num&gt;&lt;/record&gt;&lt;/Cite&gt;&lt;/EndNote&gt;</w:instrText>
      </w:r>
      <w:r w:rsidR="006418A4">
        <w:fldChar w:fldCharType="separate"/>
      </w:r>
      <w:r w:rsidR="006418A4">
        <w:rPr>
          <w:noProof/>
        </w:rPr>
        <w:t>(Russo and Comi, 2010)</w:t>
      </w:r>
      <w:r w:rsidR="006418A4">
        <w:fldChar w:fldCharType="end"/>
      </w:r>
      <w:r w:rsidRPr="00737239">
        <w:rPr>
          <w:rFonts w:cs="Times New Roman"/>
        </w:rPr>
        <w:t xml:space="preserve">. Russo and </w:t>
      </w:r>
      <w:proofErr w:type="spellStart"/>
      <w:r w:rsidRPr="00737239">
        <w:rPr>
          <w:rFonts w:cs="Times New Roman"/>
        </w:rPr>
        <w:t>Comi</w:t>
      </w:r>
      <w:proofErr w:type="spellEnd"/>
      <w:r w:rsidRPr="00737239">
        <w:rPr>
          <w:rFonts w:cs="Times New Roman"/>
        </w:rPr>
        <w:t xml:space="preserve"> (2010) found that the former (H) need</w:t>
      </w:r>
      <w:r w:rsidR="007F7F5C">
        <w:rPr>
          <w:rFonts w:cs="Times New Roman"/>
        </w:rPr>
        <w:t>s</w:t>
      </w:r>
      <w:r w:rsidRPr="00737239">
        <w:rPr>
          <w:rFonts w:cs="Times New Roman"/>
        </w:rPr>
        <w:t xml:space="preserve"> significant investment, whilst the latter (S) do</w:t>
      </w:r>
      <w:r w:rsidR="007F7F5C">
        <w:rPr>
          <w:rFonts w:cs="Times New Roman"/>
        </w:rPr>
        <w:t>es</w:t>
      </w:r>
      <w:r w:rsidRPr="00737239">
        <w:rPr>
          <w:rFonts w:cs="Times New Roman"/>
        </w:rPr>
        <w:t xml:space="preserve"> not. Hard measures usually relate to the building of new infrastructure, the purchase of new high-performance equipment, and the implementation of new technology. Soft mea</w:t>
      </w:r>
      <w:r w:rsidRPr="00802DC5">
        <w:rPr>
          <w:rFonts w:cs="Times New Roman"/>
        </w:rPr>
        <w:t>sures link to government intervention, such as traffic regulations and city policy.</w:t>
      </w:r>
    </w:p>
    <w:p w14:paraId="675DB32A" w14:textId="383D6BC3" w:rsidR="00D1282A" w:rsidRPr="00737239" w:rsidRDefault="006418A4" w:rsidP="00F04AAD">
      <w:pPr>
        <w:spacing w:before="240" w:after="240" w:line="360" w:lineRule="auto"/>
        <w:rPr>
          <w:rFonts w:cs="Times New Roman"/>
        </w:rPr>
      </w:pPr>
      <w:r>
        <w:rPr>
          <w:noProof/>
        </w:rPr>
        <w:fldChar w:fldCharType="begin"/>
      </w:r>
      <w:r w:rsidR="00647E79">
        <w:rPr>
          <w:noProof/>
        </w:rPr>
        <w:instrText xml:space="preserve"> ADDIN EN.CITE &lt;EndNote&gt;&lt;Cite AuthorYear="1"&gt;&lt;Author&gt;Van Audenhove&lt;/Author&gt;&lt;Year&gt;2015&lt;/Year&gt;&lt;RecNum&gt;27&lt;/RecNum&gt;&lt;DisplayText&gt;Van Audenhove et al. (2015)&lt;/DisplayText&gt;&lt;record&gt;&lt;rec-number&gt;27&lt;/rec-number&gt;&lt;foreign-keys&gt;&lt;key app="EN" db-id="pzt5ep52hsedfpeext2pdfes0w0aswaewef2" timestamp="1605187992"&gt;27&lt;/key&gt;&lt;/foreign-keys&gt;&lt;ref-type name="Journal Article"&gt;17&lt;/ref-type&gt;&lt;contributors&gt;&lt;authors&gt;&lt;author&gt;Van Audenhove, FJ&lt;/author&gt;&lt;author&gt;De Jongh, S&lt;/author&gt;&lt;author&gt;Durance, M&lt;/author&gt;&lt;/authors&gt;&lt;/contributors&gt;&lt;titles&gt;&lt;title&gt;Urban Logistics: How to unlock value from last mile delivery for cities, transporters and retailers&lt;/title&gt;&lt;secondary-title&gt;Arthur D. Little Future of Urban Mobile Lab&lt;/secondary-title&gt;&lt;/titles&gt;&lt;periodical&gt;&lt;full-title&gt;Arthur D. Little Future of Urban Mobile Lab&lt;/full-title&gt;&lt;/periodical&gt;&lt;dates&gt;&lt;year&gt;2015&lt;/year&gt;&lt;/dates&gt;&lt;urls&gt;&lt;/urls&gt;&lt;/record&gt;&lt;/Cite&gt;&lt;/EndNote&gt;</w:instrText>
      </w:r>
      <w:r>
        <w:rPr>
          <w:noProof/>
        </w:rPr>
        <w:fldChar w:fldCharType="separate"/>
      </w:r>
      <w:r>
        <w:rPr>
          <w:noProof/>
        </w:rPr>
        <w:t>Van Audenhove et al. (2015)</w:t>
      </w:r>
      <w:r>
        <w:rPr>
          <w:noProof/>
        </w:rPr>
        <w:fldChar w:fldCharType="end"/>
      </w:r>
      <w:r>
        <w:rPr>
          <w:noProof/>
        </w:rPr>
        <w:t xml:space="preserve"> </w:t>
      </w:r>
      <w:r w:rsidR="00247948" w:rsidRPr="00A96AC5">
        <w:rPr>
          <w:rFonts w:cs="Times New Roman"/>
        </w:rPr>
        <w:t xml:space="preserve">propose </w:t>
      </w:r>
      <w:r w:rsidR="0078061E" w:rsidRPr="00A96AC5">
        <w:rPr>
          <w:rFonts w:cs="Times New Roman"/>
        </w:rPr>
        <w:t>four primary categories of measures</w:t>
      </w:r>
      <w:r w:rsidR="004329ED">
        <w:rPr>
          <w:rFonts w:cs="Times New Roman"/>
        </w:rPr>
        <w:t xml:space="preserve"> </w:t>
      </w:r>
      <w:r w:rsidR="001B3C1C" w:rsidRPr="00A96AC5">
        <w:rPr>
          <w:rFonts w:cs="Times New Roman"/>
        </w:rPr>
        <w:t>in the context of</w:t>
      </w:r>
      <w:r w:rsidR="00013E7D" w:rsidRPr="00A96AC5">
        <w:rPr>
          <w:rFonts w:cs="Times New Roman"/>
        </w:rPr>
        <w:t xml:space="preserve"> </w:t>
      </w:r>
      <w:r w:rsidR="00247948" w:rsidRPr="00A96AC5">
        <w:rPr>
          <w:rFonts w:cs="Times New Roman"/>
        </w:rPr>
        <w:t>SUL (</w:t>
      </w:r>
      <w:r w:rsidR="00013E7D" w:rsidRPr="00A96AC5">
        <w:rPr>
          <w:rFonts w:cs="Times New Roman"/>
        </w:rPr>
        <w:t>regulation, infrastructure, financial incentives, and equipment</w:t>
      </w:r>
      <w:r w:rsidR="00247948" w:rsidRPr="00A96AC5">
        <w:rPr>
          <w:rFonts w:cs="Times New Roman"/>
        </w:rPr>
        <w:t xml:space="preserve">) and </w:t>
      </w:r>
      <w:r w:rsidR="00013E7D" w:rsidRPr="00A96AC5">
        <w:rPr>
          <w:rFonts w:cs="Times New Roman"/>
        </w:rPr>
        <w:t xml:space="preserve">list 14 practical case scenarios </w:t>
      </w:r>
      <w:r w:rsidR="00247948" w:rsidRPr="00A96AC5">
        <w:rPr>
          <w:rFonts w:cs="Times New Roman"/>
        </w:rPr>
        <w:t xml:space="preserve">for </w:t>
      </w:r>
      <w:r w:rsidR="00013E7D" w:rsidRPr="00A96AC5">
        <w:rPr>
          <w:rFonts w:cs="Times New Roman"/>
        </w:rPr>
        <w:t>each category (</w:t>
      </w:r>
      <w:r w:rsidR="00013E7D" w:rsidRPr="008903D1">
        <w:rPr>
          <w:rFonts w:cs="Times New Roman"/>
        </w:rPr>
        <w:fldChar w:fldCharType="begin"/>
      </w:r>
      <w:r w:rsidR="00013E7D" w:rsidRPr="00A96AC5">
        <w:rPr>
          <w:rFonts w:cs="Times New Roman"/>
        </w:rPr>
        <w:instrText xml:space="preserve"> REF _Ref30087419 \h </w:instrText>
      </w:r>
      <w:r w:rsidR="008903D1">
        <w:rPr>
          <w:rFonts w:cs="Times New Roman"/>
        </w:rPr>
        <w:instrText xml:space="preserve"> \* MERGEFORMAT </w:instrText>
      </w:r>
      <w:r w:rsidR="00013E7D" w:rsidRPr="008903D1">
        <w:rPr>
          <w:rFonts w:cs="Times New Roman"/>
        </w:rPr>
      </w:r>
      <w:r w:rsidR="00013E7D" w:rsidRPr="008903D1">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1</w:t>
      </w:r>
      <w:r w:rsidR="0005064B">
        <w:rPr>
          <w:rFonts w:cs="Times New Roman"/>
          <w:noProof/>
        </w:rPr>
        <w:noBreakHyphen/>
        <w:t>9</w:t>
      </w:r>
      <w:r w:rsidR="00013E7D" w:rsidRPr="008903D1">
        <w:rPr>
          <w:rFonts w:cs="Times New Roman"/>
        </w:rPr>
        <w:fldChar w:fldCharType="end"/>
      </w:r>
      <w:r w:rsidR="00D1282A" w:rsidRPr="008903D1">
        <w:rPr>
          <w:rFonts w:cs="Times New Roman"/>
        </w:rPr>
        <w:t>).</w:t>
      </w:r>
    </w:p>
    <w:tbl>
      <w:tblPr>
        <w:tblStyle w:val="TableGrid"/>
        <w:tblW w:w="5000" w:type="pct"/>
        <w:jc w:val="center"/>
        <w:tblLook w:val="04A0" w:firstRow="1" w:lastRow="0" w:firstColumn="1" w:lastColumn="0" w:noHBand="0" w:noVBand="1"/>
      </w:tblPr>
      <w:tblGrid>
        <w:gridCol w:w="1861"/>
        <w:gridCol w:w="2624"/>
        <w:gridCol w:w="4531"/>
      </w:tblGrid>
      <w:tr w:rsidR="00013E7D" w:rsidRPr="008903D1" w14:paraId="39B39EE5" w14:textId="77777777" w:rsidTr="00D10D94">
        <w:trPr>
          <w:jc w:val="center"/>
        </w:trPr>
        <w:tc>
          <w:tcPr>
            <w:tcW w:w="1032" w:type="pct"/>
            <w:vAlign w:val="center"/>
          </w:tcPr>
          <w:p w14:paraId="6335ADAF" w14:textId="3F29FAAB" w:rsidR="00013E7D" w:rsidRPr="00A96AC5" w:rsidRDefault="00013E7D" w:rsidP="00366BDD">
            <w:pPr>
              <w:spacing w:line="240" w:lineRule="auto"/>
              <w:jc w:val="center"/>
              <w:rPr>
                <w:rFonts w:cs="Times New Roman"/>
                <w:b/>
                <w:bCs/>
              </w:rPr>
            </w:pPr>
            <w:r w:rsidRPr="00802DC5">
              <w:rPr>
                <w:rFonts w:cs="Times New Roman"/>
                <w:b/>
                <w:bCs/>
              </w:rPr>
              <w:t xml:space="preserve">Main </w:t>
            </w:r>
            <w:r w:rsidR="00247948" w:rsidRPr="006C301D">
              <w:rPr>
                <w:rFonts w:cs="Times New Roman"/>
                <w:b/>
                <w:bCs/>
              </w:rPr>
              <w:t>categories</w:t>
            </w:r>
          </w:p>
        </w:tc>
        <w:tc>
          <w:tcPr>
            <w:tcW w:w="1455" w:type="pct"/>
            <w:vAlign w:val="center"/>
          </w:tcPr>
          <w:p w14:paraId="1D55048B" w14:textId="48824BF6" w:rsidR="00013E7D" w:rsidRPr="00A96AC5" w:rsidRDefault="00013E7D" w:rsidP="00366BDD">
            <w:pPr>
              <w:spacing w:line="240" w:lineRule="auto"/>
              <w:jc w:val="center"/>
              <w:rPr>
                <w:rFonts w:cs="Times New Roman"/>
                <w:b/>
                <w:bCs/>
              </w:rPr>
            </w:pPr>
            <w:r w:rsidRPr="00A96AC5">
              <w:rPr>
                <w:rFonts w:cs="Times New Roman"/>
                <w:b/>
                <w:bCs/>
              </w:rPr>
              <w:t>Sub</w:t>
            </w:r>
            <w:r w:rsidR="00247948" w:rsidRPr="00A96AC5">
              <w:rPr>
                <w:rFonts w:cs="Times New Roman"/>
                <w:b/>
                <w:bCs/>
              </w:rPr>
              <w:t>-categories</w:t>
            </w:r>
          </w:p>
        </w:tc>
        <w:tc>
          <w:tcPr>
            <w:tcW w:w="2513" w:type="pct"/>
            <w:vAlign w:val="center"/>
          </w:tcPr>
          <w:p w14:paraId="619C0689" w14:textId="77777777" w:rsidR="00013E7D" w:rsidRPr="00A96AC5" w:rsidRDefault="00013E7D" w:rsidP="00366BDD">
            <w:pPr>
              <w:spacing w:line="240" w:lineRule="auto"/>
              <w:jc w:val="center"/>
              <w:rPr>
                <w:rFonts w:cs="Times New Roman"/>
                <w:b/>
                <w:bCs/>
              </w:rPr>
            </w:pPr>
            <w:r w:rsidRPr="00A96AC5">
              <w:rPr>
                <w:rFonts w:cs="Times New Roman"/>
                <w:b/>
                <w:bCs/>
              </w:rPr>
              <w:t>Description</w:t>
            </w:r>
          </w:p>
        </w:tc>
      </w:tr>
      <w:tr w:rsidR="00013E7D" w:rsidRPr="008903D1" w14:paraId="245FF056" w14:textId="77777777" w:rsidTr="00D10D94">
        <w:trPr>
          <w:jc w:val="center"/>
        </w:trPr>
        <w:tc>
          <w:tcPr>
            <w:tcW w:w="1032" w:type="pct"/>
            <w:vMerge w:val="restart"/>
            <w:vAlign w:val="center"/>
          </w:tcPr>
          <w:p w14:paraId="3AE38AF6" w14:textId="77777777" w:rsidR="00013E7D" w:rsidRPr="00737239" w:rsidRDefault="00013E7D" w:rsidP="00366BDD">
            <w:pPr>
              <w:spacing w:line="240" w:lineRule="auto"/>
              <w:jc w:val="center"/>
              <w:rPr>
                <w:rFonts w:cs="Times New Roman"/>
              </w:rPr>
            </w:pPr>
            <w:r w:rsidRPr="00737239">
              <w:rPr>
                <w:rFonts w:cs="Times New Roman"/>
              </w:rPr>
              <w:t>Regulation</w:t>
            </w:r>
          </w:p>
        </w:tc>
        <w:tc>
          <w:tcPr>
            <w:tcW w:w="1455" w:type="pct"/>
            <w:vAlign w:val="center"/>
          </w:tcPr>
          <w:p w14:paraId="4656DC0E" w14:textId="77777777" w:rsidR="00013E7D" w:rsidRPr="006C301D" w:rsidRDefault="00013E7D" w:rsidP="00366BDD">
            <w:pPr>
              <w:spacing w:line="240" w:lineRule="auto"/>
              <w:jc w:val="left"/>
              <w:rPr>
                <w:rFonts w:cs="Times New Roman"/>
                <w:sz w:val="22"/>
              </w:rPr>
            </w:pPr>
            <w:r w:rsidRPr="00802DC5">
              <w:rPr>
                <w:rFonts w:cs="Times New Roman"/>
                <w:sz w:val="22"/>
              </w:rPr>
              <w:t>Restrictions (S)</w:t>
            </w:r>
          </w:p>
        </w:tc>
        <w:tc>
          <w:tcPr>
            <w:tcW w:w="2513" w:type="pct"/>
            <w:vAlign w:val="center"/>
          </w:tcPr>
          <w:p w14:paraId="0D44D304" w14:textId="77777777" w:rsidR="00013E7D" w:rsidRPr="00A96AC5" w:rsidRDefault="00013E7D" w:rsidP="00366BDD">
            <w:pPr>
              <w:spacing w:line="240" w:lineRule="auto"/>
              <w:jc w:val="left"/>
              <w:rPr>
                <w:rFonts w:cs="Times New Roman"/>
                <w:sz w:val="22"/>
              </w:rPr>
            </w:pPr>
            <w:r w:rsidRPr="00A96AC5">
              <w:rPr>
                <w:rFonts w:cs="Times New Roman"/>
                <w:sz w:val="22"/>
              </w:rPr>
              <w:t>Access restrictions to selected areas/type of vehicle</w:t>
            </w:r>
          </w:p>
        </w:tc>
      </w:tr>
      <w:tr w:rsidR="00013E7D" w:rsidRPr="008903D1" w14:paraId="7466D44A" w14:textId="77777777" w:rsidTr="00D10D94">
        <w:trPr>
          <w:jc w:val="center"/>
        </w:trPr>
        <w:tc>
          <w:tcPr>
            <w:tcW w:w="1032" w:type="pct"/>
            <w:vMerge/>
            <w:vAlign w:val="center"/>
          </w:tcPr>
          <w:p w14:paraId="0F93C958" w14:textId="77777777" w:rsidR="00013E7D" w:rsidRPr="00A96AC5" w:rsidRDefault="00013E7D" w:rsidP="00366BDD">
            <w:pPr>
              <w:spacing w:line="240" w:lineRule="auto"/>
              <w:jc w:val="center"/>
              <w:rPr>
                <w:rFonts w:cs="Times New Roman"/>
              </w:rPr>
            </w:pPr>
          </w:p>
        </w:tc>
        <w:tc>
          <w:tcPr>
            <w:tcW w:w="1455" w:type="pct"/>
            <w:vAlign w:val="center"/>
          </w:tcPr>
          <w:p w14:paraId="339FEDFE" w14:textId="77777777" w:rsidR="00013E7D" w:rsidRPr="00A96AC5" w:rsidRDefault="00013E7D" w:rsidP="00366BDD">
            <w:pPr>
              <w:spacing w:line="240" w:lineRule="auto"/>
              <w:jc w:val="left"/>
              <w:rPr>
                <w:rFonts w:cs="Times New Roman"/>
                <w:sz w:val="22"/>
              </w:rPr>
            </w:pPr>
            <w:r w:rsidRPr="00A96AC5">
              <w:rPr>
                <w:rFonts w:cs="Times New Roman"/>
                <w:sz w:val="22"/>
              </w:rPr>
              <w:t>Time slots (S)</w:t>
            </w:r>
          </w:p>
        </w:tc>
        <w:tc>
          <w:tcPr>
            <w:tcW w:w="2513" w:type="pct"/>
            <w:vAlign w:val="center"/>
          </w:tcPr>
          <w:p w14:paraId="1979E585" w14:textId="77777777" w:rsidR="00013E7D" w:rsidRPr="00A96AC5" w:rsidRDefault="00013E7D" w:rsidP="00366BDD">
            <w:pPr>
              <w:spacing w:line="240" w:lineRule="auto"/>
              <w:jc w:val="left"/>
              <w:rPr>
                <w:rFonts w:cs="Times New Roman"/>
                <w:sz w:val="22"/>
              </w:rPr>
            </w:pPr>
            <w:r w:rsidRPr="00A96AC5">
              <w:rPr>
                <w:rFonts w:cs="Times New Roman"/>
                <w:sz w:val="22"/>
              </w:rPr>
              <w:t>Opening/shutting of certain areas using specific time slots for specific types of truck</w:t>
            </w:r>
          </w:p>
        </w:tc>
      </w:tr>
      <w:tr w:rsidR="00013E7D" w:rsidRPr="008903D1" w14:paraId="2F13BABE" w14:textId="77777777" w:rsidTr="00D10D94">
        <w:trPr>
          <w:jc w:val="center"/>
        </w:trPr>
        <w:tc>
          <w:tcPr>
            <w:tcW w:w="1032" w:type="pct"/>
            <w:vMerge/>
            <w:vAlign w:val="center"/>
          </w:tcPr>
          <w:p w14:paraId="27EB04D5" w14:textId="77777777" w:rsidR="00013E7D" w:rsidRPr="00A96AC5" w:rsidRDefault="00013E7D" w:rsidP="00366BDD">
            <w:pPr>
              <w:spacing w:line="240" w:lineRule="auto"/>
              <w:jc w:val="center"/>
              <w:rPr>
                <w:rFonts w:cs="Times New Roman"/>
              </w:rPr>
            </w:pPr>
          </w:p>
        </w:tc>
        <w:tc>
          <w:tcPr>
            <w:tcW w:w="1455" w:type="pct"/>
            <w:vAlign w:val="center"/>
          </w:tcPr>
          <w:p w14:paraId="7E253338" w14:textId="77777777" w:rsidR="00013E7D" w:rsidRPr="00A96AC5" w:rsidRDefault="00013E7D" w:rsidP="00366BDD">
            <w:pPr>
              <w:spacing w:line="240" w:lineRule="auto"/>
              <w:jc w:val="left"/>
              <w:rPr>
                <w:rFonts w:cs="Times New Roman"/>
                <w:sz w:val="22"/>
              </w:rPr>
            </w:pPr>
            <w:r w:rsidRPr="00A96AC5">
              <w:rPr>
                <w:rFonts w:cs="Times New Roman"/>
                <w:sz w:val="22"/>
              </w:rPr>
              <w:t>Exclusivity zones (S)</w:t>
            </w:r>
          </w:p>
        </w:tc>
        <w:tc>
          <w:tcPr>
            <w:tcW w:w="2513" w:type="pct"/>
            <w:vAlign w:val="center"/>
          </w:tcPr>
          <w:p w14:paraId="742AF55C" w14:textId="77777777" w:rsidR="00013E7D" w:rsidRPr="00A96AC5" w:rsidRDefault="00013E7D" w:rsidP="00366BDD">
            <w:pPr>
              <w:spacing w:line="240" w:lineRule="auto"/>
              <w:jc w:val="left"/>
              <w:rPr>
                <w:rFonts w:cs="Times New Roman"/>
                <w:sz w:val="22"/>
              </w:rPr>
            </w:pPr>
            <w:r w:rsidRPr="00A96AC5">
              <w:rPr>
                <w:rFonts w:cs="Times New Roman"/>
                <w:sz w:val="22"/>
              </w:rPr>
              <w:t>Exclusivity for a single or limited number of transportation companies within certain areas</w:t>
            </w:r>
          </w:p>
        </w:tc>
      </w:tr>
      <w:tr w:rsidR="00013E7D" w:rsidRPr="008903D1" w14:paraId="301D114D" w14:textId="77777777" w:rsidTr="00D10D94">
        <w:trPr>
          <w:jc w:val="center"/>
        </w:trPr>
        <w:tc>
          <w:tcPr>
            <w:tcW w:w="1032" w:type="pct"/>
            <w:vMerge/>
            <w:vAlign w:val="center"/>
          </w:tcPr>
          <w:p w14:paraId="22EFC94A" w14:textId="77777777" w:rsidR="00013E7D" w:rsidRPr="00A96AC5" w:rsidRDefault="00013E7D" w:rsidP="00366BDD">
            <w:pPr>
              <w:spacing w:line="240" w:lineRule="auto"/>
              <w:jc w:val="center"/>
              <w:rPr>
                <w:rFonts w:cs="Times New Roman"/>
              </w:rPr>
            </w:pPr>
          </w:p>
        </w:tc>
        <w:tc>
          <w:tcPr>
            <w:tcW w:w="1455" w:type="pct"/>
            <w:vAlign w:val="center"/>
          </w:tcPr>
          <w:p w14:paraId="6409F38C" w14:textId="77777777" w:rsidR="00013E7D" w:rsidRPr="00A96AC5" w:rsidRDefault="00013E7D" w:rsidP="00366BDD">
            <w:pPr>
              <w:spacing w:line="240" w:lineRule="auto"/>
              <w:jc w:val="left"/>
              <w:rPr>
                <w:rFonts w:cs="Times New Roman"/>
                <w:sz w:val="22"/>
              </w:rPr>
            </w:pPr>
            <w:r w:rsidRPr="00A96AC5">
              <w:rPr>
                <w:rFonts w:cs="Times New Roman"/>
                <w:sz w:val="22"/>
              </w:rPr>
              <w:t xml:space="preserve">Specific zones for </w:t>
            </w:r>
            <w:proofErr w:type="gramStart"/>
            <w:r w:rsidRPr="00A96AC5">
              <w:rPr>
                <w:rFonts w:cs="Times New Roman"/>
                <w:sz w:val="22"/>
              </w:rPr>
              <w:t>particular industries</w:t>
            </w:r>
            <w:proofErr w:type="gramEnd"/>
            <w:r w:rsidRPr="00A96AC5">
              <w:rPr>
                <w:rFonts w:cs="Times New Roman"/>
                <w:sz w:val="22"/>
              </w:rPr>
              <w:t xml:space="preserve"> (S)</w:t>
            </w:r>
          </w:p>
        </w:tc>
        <w:tc>
          <w:tcPr>
            <w:tcW w:w="2513" w:type="pct"/>
            <w:vAlign w:val="center"/>
          </w:tcPr>
          <w:p w14:paraId="6CD12FA0" w14:textId="77777777" w:rsidR="00013E7D" w:rsidRPr="00A96AC5" w:rsidRDefault="00013E7D" w:rsidP="00366BDD">
            <w:pPr>
              <w:spacing w:line="240" w:lineRule="auto"/>
              <w:jc w:val="left"/>
              <w:rPr>
                <w:rFonts w:cs="Times New Roman"/>
                <w:sz w:val="22"/>
              </w:rPr>
            </w:pPr>
            <w:r w:rsidRPr="00A96AC5">
              <w:rPr>
                <w:rFonts w:cs="Times New Roman"/>
                <w:sz w:val="22"/>
              </w:rPr>
              <w:t>Planning specific zones for urban logistics</w:t>
            </w:r>
            <w:r w:rsidR="00C15339" w:rsidRPr="00A96AC5">
              <w:rPr>
                <w:rFonts w:cs="Times New Roman"/>
                <w:sz w:val="22"/>
              </w:rPr>
              <w:t xml:space="preserve"> (UL)</w:t>
            </w:r>
          </w:p>
        </w:tc>
      </w:tr>
      <w:tr w:rsidR="00013E7D" w:rsidRPr="008903D1" w14:paraId="2C3592E9" w14:textId="77777777" w:rsidTr="00D10D94">
        <w:trPr>
          <w:jc w:val="center"/>
        </w:trPr>
        <w:tc>
          <w:tcPr>
            <w:tcW w:w="1032" w:type="pct"/>
            <w:vMerge w:val="restart"/>
            <w:vAlign w:val="center"/>
          </w:tcPr>
          <w:p w14:paraId="662D7A55" w14:textId="77777777" w:rsidR="00013E7D" w:rsidRPr="00737239" w:rsidRDefault="00013E7D" w:rsidP="00366BDD">
            <w:pPr>
              <w:spacing w:line="240" w:lineRule="auto"/>
              <w:jc w:val="center"/>
              <w:rPr>
                <w:rFonts w:cs="Times New Roman"/>
              </w:rPr>
            </w:pPr>
            <w:r w:rsidRPr="00737239">
              <w:rPr>
                <w:rFonts w:cs="Times New Roman"/>
              </w:rPr>
              <w:t>Infrastructure</w:t>
            </w:r>
          </w:p>
        </w:tc>
        <w:tc>
          <w:tcPr>
            <w:tcW w:w="1455" w:type="pct"/>
            <w:vAlign w:val="center"/>
          </w:tcPr>
          <w:p w14:paraId="79BAF407" w14:textId="49A8EE0A" w:rsidR="00013E7D" w:rsidRPr="00A96AC5" w:rsidRDefault="00013E7D" w:rsidP="00366BDD">
            <w:pPr>
              <w:spacing w:line="240" w:lineRule="auto"/>
              <w:jc w:val="left"/>
              <w:rPr>
                <w:rFonts w:cs="Times New Roman"/>
                <w:sz w:val="22"/>
                <w:lang w:val="it-IT"/>
              </w:rPr>
            </w:pPr>
            <w:r w:rsidRPr="00802DC5">
              <w:rPr>
                <w:rFonts w:cs="Times New Roman"/>
                <w:sz w:val="22"/>
                <w:lang w:val="it-IT"/>
              </w:rPr>
              <w:t xml:space="preserve">Urban </w:t>
            </w:r>
            <w:r w:rsidR="00247948" w:rsidRPr="006C301D">
              <w:rPr>
                <w:rFonts w:cs="Times New Roman"/>
                <w:sz w:val="22"/>
                <w:lang w:val="it-IT"/>
              </w:rPr>
              <w:t xml:space="preserve">consolidation </w:t>
            </w:r>
            <w:r w:rsidRPr="00A96AC5">
              <w:rPr>
                <w:rFonts w:cs="Times New Roman"/>
                <w:sz w:val="22"/>
                <w:lang w:val="it-IT"/>
              </w:rPr>
              <w:t>centre (UCC) (H)</w:t>
            </w:r>
          </w:p>
        </w:tc>
        <w:tc>
          <w:tcPr>
            <w:tcW w:w="2513" w:type="pct"/>
            <w:vAlign w:val="center"/>
          </w:tcPr>
          <w:p w14:paraId="1430B8FE" w14:textId="77777777" w:rsidR="00013E7D" w:rsidRPr="00A96AC5" w:rsidRDefault="00013E7D" w:rsidP="00366BDD">
            <w:pPr>
              <w:spacing w:line="240" w:lineRule="auto"/>
              <w:jc w:val="left"/>
              <w:rPr>
                <w:rFonts w:cs="Times New Roman"/>
                <w:sz w:val="22"/>
              </w:rPr>
            </w:pPr>
            <w:r w:rsidRPr="00A96AC5">
              <w:rPr>
                <w:rFonts w:cs="Times New Roman"/>
                <w:sz w:val="22"/>
              </w:rPr>
              <w:t>Shared logistics facilities for consolidation of goods for transport into the city</w:t>
            </w:r>
          </w:p>
        </w:tc>
      </w:tr>
      <w:tr w:rsidR="00013E7D" w:rsidRPr="008903D1" w14:paraId="139F70E9" w14:textId="77777777" w:rsidTr="00D10D94">
        <w:trPr>
          <w:jc w:val="center"/>
        </w:trPr>
        <w:tc>
          <w:tcPr>
            <w:tcW w:w="1032" w:type="pct"/>
            <w:vMerge/>
            <w:vAlign w:val="center"/>
          </w:tcPr>
          <w:p w14:paraId="1E51B5AF" w14:textId="77777777" w:rsidR="00013E7D" w:rsidRPr="00A96AC5" w:rsidRDefault="00013E7D" w:rsidP="00366BDD">
            <w:pPr>
              <w:spacing w:line="240" w:lineRule="auto"/>
              <w:jc w:val="center"/>
              <w:rPr>
                <w:rFonts w:cs="Times New Roman"/>
              </w:rPr>
            </w:pPr>
          </w:p>
        </w:tc>
        <w:tc>
          <w:tcPr>
            <w:tcW w:w="1455" w:type="pct"/>
            <w:vAlign w:val="center"/>
          </w:tcPr>
          <w:p w14:paraId="3FB3C787" w14:textId="77777777" w:rsidR="00013E7D" w:rsidRPr="00A96AC5" w:rsidRDefault="00013E7D" w:rsidP="00366BDD">
            <w:pPr>
              <w:spacing w:line="240" w:lineRule="auto"/>
              <w:jc w:val="left"/>
              <w:rPr>
                <w:rFonts w:cs="Times New Roman"/>
                <w:sz w:val="22"/>
              </w:rPr>
            </w:pPr>
            <w:r w:rsidRPr="00A96AC5">
              <w:rPr>
                <w:rFonts w:cs="Times New Roman"/>
                <w:sz w:val="22"/>
              </w:rPr>
              <w:t>Direct injection (H)</w:t>
            </w:r>
          </w:p>
        </w:tc>
        <w:tc>
          <w:tcPr>
            <w:tcW w:w="2513" w:type="pct"/>
            <w:vAlign w:val="center"/>
          </w:tcPr>
          <w:p w14:paraId="6EFA4E6C" w14:textId="77777777" w:rsidR="00013E7D" w:rsidRPr="00A96AC5" w:rsidRDefault="00013E7D" w:rsidP="00366BDD">
            <w:pPr>
              <w:spacing w:line="240" w:lineRule="auto"/>
              <w:jc w:val="left"/>
              <w:rPr>
                <w:rFonts w:cs="Times New Roman"/>
                <w:sz w:val="22"/>
              </w:rPr>
            </w:pPr>
            <w:r w:rsidRPr="00A96AC5">
              <w:rPr>
                <w:rFonts w:cs="Times New Roman"/>
                <w:sz w:val="22"/>
              </w:rPr>
              <w:t>Preparation of delivery routes</w:t>
            </w:r>
          </w:p>
        </w:tc>
      </w:tr>
      <w:tr w:rsidR="00013E7D" w:rsidRPr="008903D1" w14:paraId="25661C3C" w14:textId="77777777" w:rsidTr="00D10D94">
        <w:trPr>
          <w:jc w:val="center"/>
        </w:trPr>
        <w:tc>
          <w:tcPr>
            <w:tcW w:w="1032" w:type="pct"/>
            <w:vMerge/>
            <w:vAlign w:val="center"/>
          </w:tcPr>
          <w:p w14:paraId="66BB4EDE" w14:textId="77777777" w:rsidR="00013E7D" w:rsidRPr="00A96AC5" w:rsidRDefault="00013E7D" w:rsidP="00366BDD">
            <w:pPr>
              <w:spacing w:line="240" w:lineRule="auto"/>
              <w:jc w:val="center"/>
              <w:rPr>
                <w:rFonts w:cs="Times New Roman"/>
              </w:rPr>
            </w:pPr>
          </w:p>
        </w:tc>
        <w:tc>
          <w:tcPr>
            <w:tcW w:w="1455" w:type="pct"/>
            <w:vAlign w:val="center"/>
          </w:tcPr>
          <w:p w14:paraId="3ACD8BA4" w14:textId="77777777" w:rsidR="00013E7D" w:rsidRPr="00A96AC5" w:rsidRDefault="00013E7D" w:rsidP="00366BDD">
            <w:pPr>
              <w:spacing w:line="240" w:lineRule="auto"/>
              <w:jc w:val="left"/>
              <w:rPr>
                <w:rFonts w:cs="Times New Roman"/>
                <w:sz w:val="22"/>
              </w:rPr>
            </w:pPr>
            <w:r w:rsidRPr="00A96AC5">
              <w:rPr>
                <w:rFonts w:cs="Times New Roman"/>
                <w:sz w:val="22"/>
              </w:rPr>
              <w:t>Space reservation (H)</w:t>
            </w:r>
          </w:p>
        </w:tc>
        <w:tc>
          <w:tcPr>
            <w:tcW w:w="2513" w:type="pct"/>
            <w:vAlign w:val="center"/>
          </w:tcPr>
          <w:p w14:paraId="7A72E91E" w14:textId="77777777" w:rsidR="00013E7D" w:rsidRPr="00A96AC5" w:rsidRDefault="00013E7D" w:rsidP="00366BDD">
            <w:pPr>
              <w:spacing w:line="240" w:lineRule="auto"/>
              <w:jc w:val="left"/>
              <w:rPr>
                <w:rFonts w:cs="Times New Roman"/>
                <w:sz w:val="22"/>
              </w:rPr>
            </w:pPr>
            <w:r w:rsidRPr="00A96AC5">
              <w:rPr>
                <w:rFonts w:cs="Times New Roman"/>
                <w:sz w:val="22"/>
              </w:rPr>
              <w:t>Creation of dedicated loading/unloading areas for freight transport</w:t>
            </w:r>
          </w:p>
        </w:tc>
      </w:tr>
      <w:tr w:rsidR="00013E7D" w:rsidRPr="008903D1" w14:paraId="101E8897" w14:textId="77777777" w:rsidTr="00D10D94">
        <w:trPr>
          <w:jc w:val="center"/>
        </w:trPr>
        <w:tc>
          <w:tcPr>
            <w:tcW w:w="1032" w:type="pct"/>
            <w:vMerge/>
            <w:vAlign w:val="center"/>
          </w:tcPr>
          <w:p w14:paraId="5955F8D8" w14:textId="77777777" w:rsidR="00013E7D" w:rsidRPr="00A96AC5" w:rsidRDefault="00013E7D" w:rsidP="00366BDD">
            <w:pPr>
              <w:spacing w:line="240" w:lineRule="auto"/>
              <w:jc w:val="center"/>
              <w:rPr>
                <w:rFonts w:cs="Times New Roman"/>
              </w:rPr>
            </w:pPr>
          </w:p>
        </w:tc>
        <w:tc>
          <w:tcPr>
            <w:tcW w:w="1455" w:type="pct"/>
            <w:vAlign w:val="center"/>
          </w:tcPr>
          <w:p w14:paraId="52386882" w14:textId="77777777" w:rsidR="00013E7D" w:rsidRPr="00A96AC5" w:rsidRDefault="00013E7D" w:rsidP="00366BDD">
            <w:pPr>
              <w:spacing w:line="240" w:lineRule="auto"/>
              <w:jc w:val="left"/>
              <w:rPr>
                <w:rFonts w:cs="Times New Roman"/>
                <w:sz w:val="22"/>
              </w:rPr>
            </w:pPr>
            <w:r w:rsidRPr="00A96AC5">
              <w:rPr>
                <w:rFonts w:cs="Times New Roman"/>
                <w:sz w:val="22"/>
              </w:rPr>
              <w:t>Logistics network (H)</w:t>
            </w:r>
          </w:p>
        </w:tc>
        <w:tc>
          <w:tcPr>
            <w:tcW w:w="2513" w:type="pct"/>
            <w:vAlign w:val="center"/>
          </w:tcPr>
          <w:p w14:paraId="590E2E99" w14:textId="77777777" w:rsidR="00013E7D" w:rsidRPr="00A96AC5" w:rsidRDefault="00013E7D" w:rsidP="00366BDD">
            <w:pPr>
              <w:spacing w:line="240" w:lineRule="auto"/>
              <w:jc w:val="left"/>
              <w:rPr>
                <w:rFonts w:cs="Times New Roman"/>
                <w:sz w:val="22"/>
              </w:rPr>
            </w:pPr>
            <w:r w:rsidRPr="00A96AC5">
              <w:rPr>
                <w:rFonts w:cs="Times New Roman"/>
                <w:sz w:val="22"/>
              </w:rPr>
              <w:t>Using additional infrastructure to build logistics network</w:t>
            </w:r>
          </w:p>
        </w:tc>
      </w:tr>
      <w:tr w:rsidR="00013E7D" w:rsidRPr="008903D1" w14:paraId="592B26D4" w14:textId="77777777" w:rsidTr="00D10D94">
        <w:trPr>
          <w:jc w:val="center"/>
        </w:trPr>
        <w:tc>
          <w:tcPr>
            <w:tcW w:w="1032" w:type="pct"/>
            <w:vMerge w:val="restart"/>
            <w:vAlign w:val="center"/>
          </w:tcPr>
          <w:p w14:paraId="7E6AB6A2" w14:textId="77777777" w:rsidR="00013E7D" w:rsidRPr="00802DC5" w:rsidRDefault="00013E7D" w:rsidP="00366BDD">
            <w:pPr>
              <w:spacing w:line="240" w:lineRule="auto"/>
              <w:jc w:val="center"/>
              <w:rPr>
                <w:rFonts w:cs="Times New Roman"/>
              </w:rPr>
            </w:pPr>
            <w:r w:rsidRPr="00737239">
              <w:rPr>
                <w:rFonts w:cs="Times New Roman"/>
              </w:rPr>
              <w:t>Financial</w:t>
            </w:r>
          </w:p>
          <w:p w14:paraId="5EED6461" w14:textId="77777777" w:rsidR="00013E7D" w:rsidRPr="00A96AC5" w:rsidRDefault="00013E7D" w:rsidP="00366BDD">
            <w:pPr>
              <w:spacing w:line="240" w:lineRule="auto"/>
              <w:jc w:val="center"/>
              <w:rPr>
                <w:rFonts w:cs="Times New Roman"/>
              </w:rPr>
            </w:pPr>
            <w:r w:rsidRPr="006C301D">
              <w:rPr>
                <w:rFonts w:cs="Times New Roman"/>
              </w:rPr>
              <w:t>Incentives</w:t>
            </w:r>
          </w:p>
        </w:tc>
        <w:tc>
          <w:tcPr>
            <w:tcW w:w="1455" w:type="pct"/>
            <w:vAlign w:val="center"/>
          </w:tcPr>
          <w:p w14:paraId="5430BD12" w14:textId="77777777" w:rsidR="00013E7D" w:rsidRPr="00A96AC5" w:rsidRDefault="00013E7D" w:rsidP="00366BDD">
            <w:pPr>
              <w:spacing w:line="240" w:lineRule="auto"/>
              <w:jc w:val="left"/>
              <w:rPr>
                <w:rFonts w:cs="Times New Roman"/>
                <w:sz w:val="22"/>
              </w:rPr>
            </w:pPr>
            <w:r w:rsidRPr="00A96AC5">
              <w:rPr>
                <w:rFonts w:cs="Times New Roman"/>
                <w:sz w:val="22"/>
              </w:rPr>
              <w:t>Urban congestion charge (S)</w:t>
            </w:r>
          </w:p>
        </w:tc>
        <w:tc>
          <w:tcPr>
            <w:tcW w:w="2513" w:type="pct"/>
            <w:vAlign w:val="center"/>
          </w:tcPr>
          <w:p w14:paraId="6CD24197" w14:textId="77777777" w:rsidR="00013E7D" w:rsidRPr="00A96AC5" w:rsidRDefault="00013E7D" w:rsidP="00366BDD">
            <w:pPr>
              <w:spacing w:line="240" w:lineRule="auto"/>
              <w:jc w:val="left"/>
              <w:rPr>
                <w:rFonts w:cs="Times New Roman"/>
                <w:sz w:val="22"/>
              </w:rPr>
            </w:pPr>
            <w:r w:rsidRPr="00A96AC5">
              <w:rPr>
                <w:rFonts w:cs="Times New Roman"/>
                <w:sz w:val="22"/>
              </w:rPr>
              <w:t>Implementation of congestion fee to be paid when entering the city or some certain areas</w:t>
            </w:r>
          </w:p>
        </w:tc>
      </w:tr>
      <w:tr w:rsidR="00013E7D" w:rsidRPr="008903D1" w14:paraId="008185C3" w14:textId="77777777" w:rsidTr="00D10D94">
        <w:trPr>
          <w:trHeight w:val="207"/>
          <w:jc w:val="center"/>
        </w:trPr>
        <w:tc>
          <w:tcPr>
            <w:tcW w:w="1032" w:type="pct"/>
            <w:vMerge/>
            <w:vAlign w:val="center"/>
          </w:tcPr>
          <w:p w14:paraId="677D7F49" w14:textId="77777777" w:rsidR="00013E7D" w:rsidRPr="00A96AC5" w:rsidRDefault="00013E7D" w:rsidP="00366BDD">
            <w:pPr>
              <w:spacing w:line="240" w:lineRule="auto"/>
              <w:jc w:val="center"/>
              <w:rPr>
                <w:rFonts w:cs="Times New Roman"/>
              </w:rPr>
            </w:pPr>
          </w:p>
        </w:tc>
        <w:tc>
          <w:tcPr>
            <w:tcW w:w="1455" w:type="pct"/>
            <w:vAlign w:val="center"/>
          </w:tcPr>
          <w:p w14:paraId="5488FF6A" w14:textId="77777777" w:rsidR="00013E7D" w:rsidRPr="00A96AC5" w:rsidRDefault="00013E7D" w:rsidP="00366BDD">
            <w:pPr>
              <w:spacing w:line="240" w:lineRule="auto"/>
              <w:jc w:val="left"/>
              <w:rPr>
                <w:rFonts w:cs="Times New Roman"/>
                <w:sz w:val="22"/>
              </w:rPr>
            </w:pPr>
            <w:r w:rsidRPr="00A96AC5">
              <w:rPr>
                <w:rFonts w:cs="Times New Roman"/>
                <w:sz w:val="22"/>
              </w:rPr>
              <w:t>Smart fare (S)</w:t>
            </w:r>
          </w:p>
        </w:tc>
        <w:tc>
          <w:tcPr>
            <w:tcW w:w="2513" w:type="pct"/>
            <w:vAlign w:val="center"/>
          </w:tcPr>
          <w:p w14:paraId="26BB74EE" w14:textId="77777777" w:rsidR="00013E7D" w:rsidRPr="00A96AC5" w:rsidRDefault="00013E7D" w:rsidP="00366BDD">
            <w:pPr>
              <w:spacing w:line="240" w:lineRule="auto"/>
              <w:jc w:val="left"/>
              <w:rPr>
                <w:rFonts w:cs="Times New Roman"/>
                <w:sz w:val="22"/>
              </w:rPr>
            </w:pPr>
            <w:r w:rsidRPr="00A96AC5">
              <w:rPr>
                <w:rFonts w:cs="Times New Roman"/>
                <w:sz w:val="22"/>
              </w:rPr>
              <w:t>Implementation of a variable fee based on the distance travelled within the city, the volume shipped, or the current traffic conditions</w:t>
            </w:r>
          </w:p>
        </w:tc>
      </w:tr>
      <w:tr w:rsidR="00013E7D" w:rsidRPr="008903D1" w14:paraId="1BA7BDA8" w14:textId="77777777" w:rsidTr="00D10D94">
        <w:trPr>
          <w:jc w:val="center"/>
        </w:trPr>
        <w:tc>
          <w:tcPr>
            <w:tcW w:w="1032" w:type="pct"/>
            <w:vMerge w:val="restart"/>
            <w:vAlign w:val="center"/>
          </w:tcPr>
          <w:p w14:paraId="03F53F45" w14:textId="77777777" w:rsidR="00013E7D" w:rsidRPr="00802DC5" w:rsidRDefault="00013E7D" w:rsidP="00366BDD">
            <w:pPr>
              <w:spacing w:line="240" w:lineRule="auto"/>
              <w:jc w:val="center"/>
              <w:rPr>
                <w:rFonts w:cs="Times New Roman"/>
              </w:rPr>
            </w:pPr>
            <w:r w:rsidRPr="00737239">
              <w:rPr>
                <w:rFonts w:cs="Times New Roman"/>
              </w:rPr>
              <w:t>Equipment</w:t>
            </w:r>
          </w:p>
          <w:p w14:paraId="7288DABC" w14:textId="77777777" w:rsidR="00013E7D" w:rsidRPr="00A96AC5" w:rsidRDefault="00013E7D" w:rsidP="00366BDD">
            <w:pPr>
              <w:spacing w:line="240" w:lineRule="auto"/>
              <w:jc w:val="center"/>
              <w:rPr>
                <w:rFonts w:cs="Times New Roman"/>
              </w:rPr>
            </w:pPr>
            <w:r w:rsidRPr="006C301D">
              <w:rPr>
                <w:rFonts w:cs="Times New Roman"/>
              </w:rPr>
              <w:t>&amp;</w:t>
            </w:r>
          </w:p>
          <w:p w14:paraId="073C4B21" w14:textId="77777777" w:rsidR="00013E7D" w:rsidRPr="00A96AC5" w:rsidRDefault="00013E7D" w:rsidP="00366BDD">
            <w:pPr>
              <w:spacing w:line="240" w:lineRule="auto"/>
              <w:jc w:val="center"/>
              <w:rPr>
                <w:rFonts w:cs="Times New Roman"/>
              </w:rPr>
            </w:pPr>
            <w:r w:rsidRPr="00A96AC5">
              <w:rPr>
                <w:rFonts w:cs="Times New Roman"/>
              </w:rPr>
              <w:t>Technology</w:t>
            </w:r>
          </w:p>
        </w:tc>
        <w:tc>
          <w:tcPr>
            <w:tcW w:w="1455" w:type="pct"/>
            <w:vAlign w:val="center"/>
          </w:tcPr>
          <w:p w14:paraId="2F1AE9B6" w14:textId="77777777" w:rsidR="00013E7D" w:rsidRPr="00A96AC5" w:rsidRDefault="00013E7D" w:rsidP="00366BDD">
            <w:pPr>
              <w:spacing w:line="240" w:lineRule="auto"/>
              <w:jc w:val="left"/>
              <w:rPr>
                <w:rFonts w:cs="Times New Roman"/>
                <w:sz w:val="22"/>
              </w:rPr>
            </w:pPr>
            <w:r w:rsidRPr="00A96AC5">
              <w:rPr>
                <w:rFonts w:cs="Times New Roman"/>
                <w:sz w:val="22"/>
              </w:rPr>
              <w:t>IT technique (H)</w:t>
            </w:r>
          </w:p>
        </w:tc>
        <w:tc>
          <w:tcPr>
            <w:tcW w:w="2513" w:type="pct"/>
            <w:vAlign w:val="center"/>
          </w:tcPr>
          <w:p w14:paraId="3684B1DA" w14:textId="77777777" w:rsidR="00013E7D" w:rsidRPr="00A96AC5" w:rsidRDefault="00013E7D" w:rsidP="00366BDD">
            <w:pPr>
              <w:spacing w:line="240" w:lineRule="auto"/>
              <w:jc w:val="left"/>
              <w:rPr>
                <w:rFonts w:cs="Times New Roman"/>
                <w:sz w:val="22"/>
              </w:rPr>
            </w:pPr>
            <w:r w:rsidRPr="00A96AC5">
              <w:rPr>
                <w:rFonts w:cs="Times New Roman"/>
                <w:sz w:val="22"/>
              </w:rPr>
              <w:t>New technology based on the Internet and computer</w:t>
            </w:r>
          </w:p>
        </w:tc>
      </w:tr>
      <w:tr w:rsidR="00013E7D" w:rsidRPr="008903D1" w14:paraId="4C9392AE" w14:textId="77777777" w:rsidTr="00D10D94">
        <w:trPr>
          <w:jc w:val="center"/>
        </w:trPr>
        <w:tc>
          <w:tcPr>
            <w:tcW w:w="1032" w:type="pct"/>
            <w:vMerge/>
          </w:tcPr>
          <w:p w14:paraId="0D23981F" w14:textId="77777777" w:rsidR="00013E7D" w:rsidRPr="00A96AC5" w:rsidRDefault="00013E7D" w:rsidP="00366BDD">
            <w:pPr>
              <w:spacing w:line="240" w:lineRule="auto"/>
              <w:jc w:val="center"/>
              <w:rPr>
                <w:rFonts w:cs="Times New Roman"/>
              </w:rPr>
            </w:pPr>
          </w:p>
        </w:tc>
        <w:tc>
          <w:tcPr>
            <w:tcW w:w="1455" w:type="pct"/>
            <w:vAlign w:val="center"/>
          </w:tcPr>
          <w:p w14:paraId="298F98AE" w14:textId="77777777" w:rsidR="00013E7D" w:rsidRPr="00A96AC5" w:rsidRDefault="00013E7D" w:rsidP="00366BDD">
            <w:pPr>
              <w:spacing w:line="240" w:lineRule="auto"/>
              <w:jc w:val="left"/>
              <w:rPr>
                <w:rFonts w:cs="Times New Roman"/>
                <w:sz w:val="22"/>
              </w:rPr>
            </w:pPr>
            <w:r w:rsidRPr="00A96AC5">
              <w:rPr>
                <w:rFonts w:cs="Times New Roman"/>
                <w:sz w:val="22"/>
              </w:rPr>
              <w:t>Greener trucks (H)</w:t>
            </w:r>
          </w:p>
        </w:tc>
        <w:tc>
          <w:tcPr>
            <w:tcW w:w="2513" w:type="pct"/>
            <w:vAlign w:val="center"/>
          </w:tcPr>
          <w:p w14:paraId="04E126A1" w14:textId="49044C89" w:rsidR="00013E7D" w:rsidRPr="00A96AC5" w:rsidRDefault="00013E7D" w:rsidP="00366BDD">
            <w:pPr>
              <w:spacing w:line="240" w:lineRule="auto"/>
              <w:jc w:val="left"/>
              <w:rPr>
                <w:rFonts w:cs="Times New Roman"/>
                <w:sz w:val="22"/>
              </w:rPr>
            </w:pPr>
            <w:r w:rsidRPr="00A96AC5">
              <w:rPr>
                <w:rFonts w:cs="Times New Roman"/>
                <w:sz w:val="22"/>
              </w:rPr>
              <w:t xml:space="preserve">Lower or </w:t>
            </w:r>
            <w:r w:rsidR="00247948" w:rsidRPr="00A96AC5">
              <w:rPr>
                <w:rFonts w:cs="Times New Roman"/>
                <w:sz w:val="22"/>
              </w:rPr>
              <w:t>zero-emission trucks</w:t>
            </w:r>
          </w:p>
        </w:tc>
      </w:tr>
      <w:tr w:rsidR="00013E7D" w:rsidRPr="008903D1" w14:paraId="253A4B14" w14:textId="77777777" w:rsidTr="00D10D94">
        <w:trPr>
          <w:jc w:val="center"/>
        </w:trPr>
        <w:tc>
          <w:tcPr>
            <w:tcW w:w="1032" w:type="pct"/>
            <w:vMerge/>
          </w:tcPr>
          <w:p w14:paraId="546EECC9" w14:textId="77777777" w:rsidR="00013E7D" w:rsidRPr="00A96AC5" w:rsidRDefault="00013E7D" w:rsidP="00366BDD">
            <w:pPr>
              <w:spacing w:line="240" w:lineRule="auto"/>
              <w:jc w:val="center"/>
              <w:rPr>
                <w:rFonts w:cs="Times New Roman"/>
              </w:rPr>
            </w:pPr>
          </w:p>
        </w:tc>
        <w:tc>
          <w:tcPr>
            <w:tcW w:w="1455" w:type="pct"/>
            <w:vAlign w:val="center"/>
          </w:tcPr>
          <w:p w14:paraId="3E7EB11D" w14:textId="77777777" w:rsidR="00013E7D" w:rsidRPr="00A96AC5" w:rsidRDefault="00013E7D" w:rsidP="00366BDD">
            <w:pPr>
              <w:spacing w:line="240" w:lineRule="auto"/>
              <w:jc w:val="left"/>
              <w:rPr>
                <w:rFonts w:cs="Times New Roman"/>
                <w:sz w:val="22"/>
              </w:rPr>
            </w:pPr>
            <w:r w:rsidRPr="00A96AC5">
              <w:rPr>
                <w:rFonts w:cs="Times New Roman"/>
                <w:sz w:val="22"/>
              </w:rPr>
              <w:t>Alternative transportation means (H)</w:t>
            </w:r>
          </w:p>
        </w:tc>
        <w:tc>
          <w:tcPr>
            <w:tcW w:w="2513" w:type="pct"/>
            <w:vAlign w:val="center"/>
          </w:tcPr>
          <w:p w14:paraId="1D5D7410" w14:textId="77777777" w:rsidR="00013E7D" w:rsidRPr="00A96AC5" w:rsidRDefault="00013E7D" w:rsidP="00366BDD">
            <w:pPr>
              <w:spacing w:line="240" w:lineRule="auto"/>
              <w:jc w:val="left"/>
              <w:rPr>
                <w:rFonts w:cs="Times New Roman"/>
                <w:sz w:val="22"/>
              </w:rPr>
            </w:pPr>
            <w:r w:rsidRPr="00A96AC5">
              <w:rPr>
                <w:rFonts w:cs="Times New Roman"/>
                <w:sz w:val="22"/>
              </w:rPr>
              <w:t>Usage of alternative transportation means</w:t>
            </w:r>
          </w:p>
        </w:tc>
      </w:tr>
      <w:tr w:rsidR="00013E7D" w:rsidRPr="008903D1" w14:paraId="7563EA01" w14:textId="77777777" w:rsidTr="00D10D94">
        <w:trPr>
          <w:jc w:val="center"/>
        </w:trPr>
        <w:tc>
          <w:tcPr>
            <w:tcW w:w="1032" w:type="pct"/>
            <w:vMerge/>
          </w:tcPr>
          <w:p w14:paraId="485EF9C2" w14:textId="77777777" w:rsidR="00013E7D" w:rsidRPr="00A96AC5" w:rsidRDefault="00013E7D" w:rsidP="00366BDD">
            <w:pPr>
              <w:spacing w:line="240" w:lineRule="auto"/>
              <w:rPr>
                <w:rFonts w:cs="Times New Roman"/>
              </w:rPr>
            </w:pPr>
          </w:p>
        </w:tc>
        <w:tc>
          <w:tcPr>
            <w:tcW w:w="1455" w:type="pct"/>
            <w:vAlign w:val="center"/>
          </w:tcPr>
          <w:p w14:paraId="7EA069DB" w14:textId="77777777" w:rsidR="00013E7D" w:rsidRPr="00A96AC5" w:rsidRDefault="00013E7D" w:rsidP="00366BDD">
            <w:pPr>
              <w:spacing w:line="240" w:lineRule="auto"/>
              <w:jc w:val="left"/>
              <w:rPr>
                <w:rFonts w:cs="Times New Roman"/>
                <w:sz w:val="22"/>
              </w:rPr>
            </w:pPr>
            <w:r w:rsidRPr="00A96AC5">
              <w:rPr>
                <w:rFonts w:cs="Times New Roman"/>
                <w:sz w:val="22"/>
              </w:rPr>
              <w:t>New delivery methods (H)</w:t>
            </w:r>
          </w:p>
        </w:tc>
        <w:tc>
          <w:tcPr>
            <w:tcW w:w="2513" w:type="pct"/>
            <w:vAlign w:val="center"/>
          </w:tcPr>
          <w:p w14:paraId="6B09E35A" w14:textId="44F8EFBF" w:rsidR="00013E7D" w:rsidRPr="00A96AC5" w:rsidRDefault="00013E7D" w:rsidP="00366BDD">
            <w:pPr>
              <w:spacing w:line="240" w:lineRule="auto"/>
              <w:jc w:val="left"/>
              <w:rPr>
                <w:rFonts w:cs="Times New Roman"/>
                <w:sz w:val="22"/>
              </w:rPr>
            </w:pPr>
            <w:r w:rsidRPr="00A96AC5">
              <w:rPr>
                <w:rFonts w:cs="Times New Roman"/>
                <w:sz w:val="22"/>
              </w:rPr>
              <w:t>Developing a new operating model</w:t>
            </w:r>
          </w:p>
        </w:tc>
      </w:tr>
    </w:tbl>
    <w:p w14:paraId="15152160" w14:textId="41A7C059" w:rsidR="00013E7D" w:rsidRPr="00737239" w:rsidRDefault="007B5959" w:rsidP="009F5A5D">
      <w:pPr>
        <w:pStyle w:val="Caption"/>
        <w:spacing w:line="360" w:lineRule="auto"/>
        <w:rPr>
          <w:rFonts w:cs="Times New Roman"/>
        </w:rPr>
      </w:pPr>
      <w:bookmarkStart w:id="111" w:name="_Ref30087419"/>
      <w:bookmarkStart w:id="112" w:name="_Toc34674928"/>
      <w:bookmarkStart w:id="113" w:name="_Toc40794160"/>
      <w:bookmarkStart w:id="114" w:name="_Toc46053534"/>
      <w:bookmarkStart w:id="115" w:name="_Toc46093783"/>
      <w:bookmarkStart w:id="116" w:name="_Toc66698751"/>
      <w:r>
        <w:rPr>
          <w:rFonts w:cs="Times New Roman"/>
        </w:rPr>
        <w:t>Table</w:t>
      </w:r>
      <w:r w:rsidR="00013E7D"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1</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9</w:t>
      </w:r>
      <w:r w:rsidR="00FE10DA">
        <w:rPr>
          <w:rFonts w:cs="Times New Roman"/>
        </w:rPr>
        <w:fldChar w:fldCharType="end"/>
      </w:r>
      <w:bookmarkEnd w:id="111"/>
      <w:r w:rsidR="00C27E7C">
        <w:rPr>
          <w:rFonts w:cs="Times New Roman"/>
        </w:rPr>
        <w:t xml:space="preserve">: </w:t>
      </w:r>
      <w:r w:rsidR="00013E7D" w:rsidRPr="008903D1">
        <w:rPr>
          <w:rFonts w:cs="Times New Roman"/>
        </w:rPr>
        <w:t xml:space="preserve"> </w:t>
      </w:r>
      <w:r w:rsidR="00247948" w:rsidRPr="008903D1">
        <w:rPr>
          <w:rFonts w:cs="Times New Roman"/>
        </w:rPr>
        <w:t>Sustainable urban logistics (SUL) measures</w:t>
      </w:r>
      <w:bookmarkEnd w:id="112"/>
      <w:bookmarkEnd w:id="113"/>
      <w:bookmarkEnd w:id="114"/>
      <w:bookmarkEnd w:id="115"/>
      <w:bookmarkEnd w:id="116"/>
    </w:p>
    <w:p w14:paraId="10F84820" w14:textId="402FD110" w:rsidR="00C84C2F" w:rsidRPr="00737239" w:rsidRDefault="00C84C2F" w:rsidP="009F5A5D">
      <w:pPr>
        <w:spacing w:after="240" w:line="360" w:lineRule="auto"/>
        <w:rPr>
          <w:rFonts w:cs="Times New Roman"/>
        </w:rPr>
      </w:pPr>
      <w:r w:rsidRPr="00802DC5">
        <w:rPr>
          <w:rFonts w:cs="Times New Roman"/>
        </w:rPr>
        <w:t xml:space="preserve">Among these measures, </w:t>
      </w:r>
      <w:r w:rsidR="00C833F3">
        <w:rPr>
          <w:rFonts w:cs="Times New Roman"/>
        </w:rPr>
        <w:t xml:space="preserve">a </w:t>
      </w:r>
      <w:r w:rsidRPr="00802DC5">
        <w:rPr>
          <w:rFonts w:cs="Times New Roman"/>
        </w:rPr>
        <w:t>U</w:t>
      </w:r>
      <w:r w:rsidRPr="008903D1">
        <w:rPr>
          <w:rFonts w:cs="Times New Roman"/>
        </w:rPr>
        <w:t xml:space="preserve">CC is a promising solution of SUL, which </w:t>
      </w:r>
      <w:r w:rsidR="008F2E8C" w:rsidRPr="008903D1">
        <w:rPr>
          <w:rFonts w:cs="Times New Roman"/>
        </w:rPr>
        <w:t>could</w:t>
      </w:r>
      <w:r w:rsidRPr="00737239">
        <w:rPr>
          <w:rFonts w:cs="Times New Roman"/>
        </w:rPr>
        <w:t xml:space="preserve"> benefit all </w:t>
      </w:r>
      <w:r w:rsidR="00AB43BB" w:rsidRPr="00802DC5">
        <w:rPr>
          <w:rFonts w:cs="Times New Roman"/>
        </w:rPr>
        <w:t>participant</w:t>
      </w:r>
      <w:r w:rsidRPr="006C301D">
        <w:rPr>
          <w:rFonts w:cs="Times New Roman"/>
        </w:rPr>
        <w:t>s in the field of urban logistics</w:t>
      </w:r>
      <w:r w:rsidR="008F2E8C" w:rsidRPr="00A96AC5">
        <w:rPr>
          <w:rFonts w:cs="Times New Roman"/>
        </w:rPr>
        <w:t xml:space="preserve"> </w:t>
      </w:r>
      <w:r w:rsidR="00AB43BB" w:rsidRPr="00A96AC5">
        <w:rPr>
          <w:rFonts w:cs="Times New Roman"/>
        </w:rPr>
        <w:t>under ideal circumstances</w:t>
      </w:r>
      <w:r w:rsidR="00656393">
        <w:rPr>
          <w:rFonts w:cs="Times New Roman"/>
        </w:rPr>
        <w:t xml:space="preserve"> </w:t>
      </w:r>
      <w:r w:rsidR="00FA3C09">
        <w:rPr>
          <w:noProof/>
        </w:rPr>
        <w:fldChar w:fldCharType="begin"/>
      </w:r>
      <w:r w:rsidR="00CA64EE">
        <w:rPr>
          <w:noProof/>
        </w:rPr>
        <w:instrText xml:space="preserve"> ADDIN EN.CITE &lt;EndNote&gt;&lt;Cite&gt;&lt;Author&gt;Allen&lt;/Author&gt;&lt;Year&gt;2012&lt;/Year&gt;&lt;RecNum&gt;3&lt;/RecNum&gt;&lt;DisplayText&gt;(Allen et al., 2012)&lt;/DisplayText&gt;&lt;record&gt;&lt;rec-number&gt;3&lt;/rec-number&gt;&lt;foreign-keys&gt;&lt;key app="EN" db-id="x5etaz5aiszvz0edasvvpwvotttxepvd25t2" timestamp="1603795843"&gt;3&lt;/key&gt;&lt;/foreign-keys&gt;&lt;ref-type name="Journal Article"&gt;17&lt;/ref-type&gt;&lt;contributors&gt;&lt;authors&gt;&lt;author&gt;Allen, Julian&lt;/author&gt;&lt;author&gt;Browne, Michael&lt;/author&gt;&lt;author&gt;Woodburn, Allan&lt;/author&gt;&lt;author&gt;Leonardi, Jacques&lt;/author&gt;&lt;/authors&gt;&lt;/contributors&gt;&lt;titles&gt;&lt;title&gt;The Role of Urban Consolidation Centres in Sustainable Freight Transport&lt;/title&gt;&lt;secondary-title&gt;Transport Reviews&lt;/secondary-title&gt;&lt;/titles&gt;&lt;periodical&gt;&lt;full-title&gt;Transport Reviews&lt;/full-title&gt;&lt;/periodical&gt;&lt;pages&gt;473-490&lt;/pages&gt;&lt;volume&gt;32&lt;/volume&gt;&lt;number&gt;4&lt;/number&gt;&lt;dates&gt;&lt;year&gt;2012&lt;/year&gt;&lt;pub-dates&gt;&lt;date&gt;2012/07/01&lt;/date&gt;&lt;/pub-dates&gt;&lt;/dates&gt;&lt;publisher&gt;Routledge&lt;/publisher&gt;&lt;isbn&gt;0144-1647&lt;/isbn&gt;&lt;urls&gt;&lt;related-urls&gt;&lt;url&gt;https://doi.org/10.1080/01441647.2012.688074&lt;/url&gt;&lt;/related-urls&gt;&lt;/urls&gt;&lt;electronic-resource-num&gt;10.1080/01441647.2012.688074&lt;/electronic-resource-num&gt;&lt;/record&gt;&lt;/Cite&gt;&lt;/EndNote&gt;</w:instrText>
      </w:r>
      <w:r w:rsidR="00FA3C09">
        <w:rPr>
          <w:noProof/>
        </w:rPr>
        <w:fldChar w:fldCharType="separate"/>
      </w:r>
      <w:r w:rsidR="00FA3C09">
        <w:rPr>
          <w:noProof/>
        </w:rPr>
        <w:t>(Allen et al., 2012)</w:t>
      </w:r>
      <w:r w:rsidR="00FA3C09">
        <w:rPr>
          <w:noProof/>
        </w:rPr>
        <w:fldChar w:fldCharType="end"/>
      </w:r>
      <w:r w:rsidRPr="00A96AC5">
        <w:rPr>
          <w:rFonts w:cs="Times New Roman"/>
        </w:rPr>
        <w:t xml:space="preserve">. </w:t>
      </w:r>
      <w:r w:rsidR="00D36595">
        <w:rPr>
          <w:rFonts w:cs="Times New Roman"/>
        </w:rPr>
        <w:t xml:space="preserve">Therefore, </w:t>
      </w:r>
      <w:r w:rsidR="00506DE0">
        <w:rPr>
          <w:rFonts w:cs="Times New Roman"/>
        </w:rPr>
        <w:t xml:space="preserve">a </w:t>
      </w:r>
      <w:r w:rsidR="00D36595">
        <w:rPr>
          <w:rFonts w:cs="Times New Roman"/>
        </w:rPr>
        <w:t xml:space="preserve">UCC is a logistics initiative that </w:t>
      </w:r>
      <w:r w:rsidR="00506DE0">
        <w:rPr>
          <w:rFonts w:cs="Times New Roman"/>
        </w:rPr>
        <w:t>makes it</w:t>
      </w:r>
      <w:r w:rsidR="00FA7A2A">
        <w:rPr>
          <w:rFonts w:cs="Times New Roman"/>
        </w:rPr>
        <w:t xml:space="preserve"> possible</w:t>
      </w:r>
      <w:r w:rsidR="005B6EDF">
        <w:rPr>
          <w:rFonts w:cs="Times New Roman"/>
        </w:rPr>
        <w:t xml:space="preserve"> to</w:t>
      </w:r>
      <w:r w:rsidR="003F56C0">
        <w:rPr>
          <w:rFonts w:cs="Times New Roman"/>
        </w:rPr>
        <w:t xml:space="preserve"> </w:t>
      </w:r>
      <w:r w:rsidR="00781CB4">
        <w:rPr>
          <w:rFonts w:cs="Times New Roman"/>
        </w:rPr>
        <w:t xml:space="preserve">achieve </w:t>
      </w:r>
      <w:r w:rsidR="00506DE0">
        <w:rPr>
          <w:rFonts w:cs="Times New Roman"/>
        </w:rPr>
        <w:t xml:space="preserve">the </w:t>
      </w:r>
      <w:r w:rsidR="00045741">
        <w:rPr>
          <w:rFonts w:cs="Times New Roman"/>
        </w:rPr>
        <w:t>overall</w:t>
      </w:r>
      <w:r w:rsidR="009F3F59">
        <w:rPr>
          <w:rFonts w:cs="Times New Roman"/>
        </w:rPr>
        <w:t xml:space="preserve"> </w:t>
      </w:r>
      <w:r w:rsidR="00413498">
        <w:rPr>
          <w:rFonts w:cs="Times New Roman"/>
        </w:rPr>
        <w:t>objectives</w:t>
      </w:r>
      <w:r w:rsidR="00231C7F">
        <w:rPr>
          <w:rFonts w:cs="Times New Roman"/>
        </w:rPr>
        <w:t xml:space="preserve"> </w:t>
      </w:r>
      <w:r w:rsidR="009F3F59">
        <w:rPr>
          <w:rFonts w:cs="Times New Roman"/>
        </w:rPr>
        <w:t>of SUL</w:t>
      </w:r>
      <w:r w:rsidR="003F56C0">
        <w:rPr>
          <w:rFonts w:cs="Times New Roman"/>
        </w:rPr>
        <w:t xml:space="preserve"> </w:t>
      </w:r>
      <w:r w:rsidR="005B6EDF">
        <w:rPr>
          <w:rFonts w:cs="Times New Roman"/>
        </w:rPr>
        <w:t>successfully</w:t>
      </w:r>
      <w:r w:rsidR="009F3F59">
        <w:rPr>
          <w:rFonts w:cs="Times New Roman"/>
        </w:rPr>
        <w:t>.</w:t>
      </w:r>
      <w:r w:rsidR="000E71CA">
        <w:rPr>
          <w:rFonts w:cs="Times New Roman"/>
        </w:rPr>
        <w:t xml:space="preserve"> </w:t>
      </w:r>
      <w:r w:rsidRPr="00A96AC5">
        <w:rPr>
          <w:rFonts w:cs="Times New Roman"/>
        </w:rPr>
        <w:t xml:space="preserve">For the </w:t>
      </w:r>
      <w:r w:rsidR="00D36595">
        <w:rPr>
          <w:rFonts w:cs="Times New Roman" w:hint="eastAsia"/>
        </w:rPr>
        <w:t>receivers</w:t>
      </w:r>
      <w:r w:rsidRPr="00A96AC5">
        <w:rPr>
          <w:rFonts w:cs="Times New Roman"/>
        </w:rPr>
        <w:t xml:space="preserve"> in the city (</w:t>
      </w:r>
      <w:proofErr w:type="gramStart"/>
      <w:r w:rsidRPr="00A96AC5">
        <w:rPr>
          <w:rFonts w:cs="Times New Roman"/>
        </w:rPr>
        <w:t>e.g.</w:t>
      </w:r>
      <w:proofErr w:type="gramEnd"/>
      <w:r w:rsidRPr="00A96AC5">
        <w:rPr>
          <w:rFonts w:cs="Times New Roman"/>
        </w:rPr>
        <w:t xml:space="preserve"> small grocery shops,</w:t>
      </w:r>
      <w:r w:rsidR="00767D6A">
        <w:rPr>
          <w:rFonts w:cs="Times New Roman"/>
        </w:rPr>
        <w:t xml:space="preserve"> </w:t>
      </w:r>
      <w:r w:rsidR="00EE69F2">
        <w:rPr>
          <w:rFonts w:cs="Times New Roman"/>
        </w:rPr>
        <w:t>restaurant</w:t>
      </w:r>
      <w:r w:rsidR="00C61F3E">
        <w:rPr>
          <w:rFonts w:cs="Times New Roman"/>
        </w:rPr>
        <w:t>s</w:t>
      </w:r>
      <w:r w:rsidRPr="00A96AC5">
        <w:rPr>
          <w:rFonts w:cs="Times New Roman"/>
        </w:rPr>
        <w:t xml:space="preserve">), </w:t>
      </w:r>
      <w:r w:rsidR="00A21926">
        <w:rPr>
          <w:rFonts w:cs="Times New Roman"/>
        </w:rPr>
        <w:t xml:space="preserve">a </w:t>
      </w:r>
      <w:r w:rsidRPr="00A96AC5">
        <w:rPr>
          <w:rFonts w:cs="Times New Roman"/>
        </w:rPr>
        <w:t>UCC can promote their sales and profitability</w:t>
      </w:r>
      <w:r w:rsidR="00CF603E">
        <w:rPr>
          <w:rFonts w:cs="Times New Roman"/>
        </w:rPr>
        <w:t>.</w:t>
      </w:r>
      <w:r w:rsidRPr="00A96AC5">
        <w:rPr>
          <w:rFonts w:cs="Times New Roman"/>
        </w:rPr>
        <w:t xml:space="preserve"> </w:t>
      </w:r>
      <w:r w:rsidR="00CF603E">
        <w:rPr>
          <w:rFonts w:cs="Times New Roman"/>
        </w:rPr>
        <w:t>F</w:t>
      </w:r>
      <w:r w:rsidRPr="00A96AC5">
        <w:rPr>
          <w:rFonts w:cs="Times New Roman"/>
        </w:rPr>
        <w:t>or the local authorities</w:t>
      </w:r>
      <w:r w:rsidR="00A84BEB">
        <w:rPr>
          <w:rFonts w:cs="Times New Roman"/>
        </w:rPr>
        <w:t xml:space="preserve"> (LAs)</w:t>
      </w:r>
      <w:r w:rsidRPr="00A96AC5">
        <w:rPr>
          <w:rFonts w:cs="Times New Roman"/>
        </w:rPr>
        <w:t xml:space="preserve">, the UCC </w:t>
      </w:r>
      <w:proofErr w:type="gramStart"/>
      <w:r w:rsidRPr="00A96AC5">
        <w:rPr>
          <w:rFonts w:cs="Times New Roman"/>
        </w:rPr>
        <w:t>is able to</w:t>
      </w:r>
      <w:proofErr w:type="gramEnd"/>
      <w:r w:rsidRPr="00A96AC5">
        <w:rPr>
          <w:rFonts w:cs="Times New Roman"/>
        </w:rPr>
        <w:t xml:space="preserve"> reduce the traffic volumes generated by freight transportation and mitigate the negative environmental impact of urban delivery. For the LSPs, </w:t>
      </w:r>
      <w:r w:rsidR="00E926B9">
        <w:rPr>
          <w:rFonts w:cs="Times New Roman"/>
        </w:rPr>
        <w:t xml:space="preserve">a </w:t>
      </w:r>
      <w:r w:rsidRPr="00A96AC5">
        <w:rPr>
          <w:rFonts w:cs="Times New Roman"/>
        </w:rPr>
        <w:t>UCC can improve the efficiency of the last-mile delivery, saving their cost</w:t>
      </w:r>
      <w:r w:rsidR="000731D7">
        <w:rPr>
          <w:rFonts w:cs="Times New Roman"/>
        </w:rPr>
        <w:t>s</w:t>
      </w:r>
      <w:r w:rsidRPr="00A96AC5">
        <w:rPr>
          <w:rFonts w:cs="Times New Roman"/>
        </w:rPr>
        <w:t xml:space="preserve"> and improv</w:t>
      </w:r>
      <w:r w:rsidR="0072300B">
        <w:rPr>
          <w:rFonts w:cs="Times New Roman"/>
        </w:rPr>
        <w:t>ing</w:t>
      </w:r>
      <w:r w:rsidRPr="00A96AC5">
        <w:rPr>
          <w:rFonts w:cs="Times New Roman"/>
        </w:rPr>
        <w:t xml:space="preserve"> their customers</w:t>
      </w:r>
      <w:r w:rsidR="000731D7">
        <w:rPr>
          <w:rFonts w:cs="Times New Roman"/>
        </w:rPr>
        <w:t>’</w:t>
      </w:r>
      <w:r w:rsidRPr="00A96AC5">
        <w:rPr>
          <w:rFonts w:cs="Times New Roman"/>
        </w:rPr>
        <w:t xml:space="preserve"> satisfaction. </w:t>
      </w:r>
      <w:r w:rsidR="00FA3C09">
        <w:rPr>
          <w:noProof/>
        </w:rPr>
        <w:fldChar w:fldCharType="begin"/>
      </w:r>
      <w:r w:rsidR="00CA2D5D">
        <w:rPr>
          <w:noProof/>
        </w:rPr>
        <w:instrText xml:space="preserve"> ADDIN EN.CITE &lt;EndNote&gt;&lt;Cite AuthorYear="1"&gt;&lt;Author&gt;Browne&lt;/Author&gt;&lt;Year&gt;2007&lt;/Year&gt;&lt;RecNum&gt;200&lt;/RecNum&gt;&lt;DisplayText&gt;Browne et al. (2007)&lt;/DisplayText&gt;&lt;record&gt;&lt;rec-number&gt;200&lt;/rec-number&gt;&lt;foreign-keys&gt;&lt;key app="EN" db-id="x5etaz5aiszvz0edasvvpwvotttxepvd25t2" timestamp="1611177410"&gt;200&lt;/key&gt;&lt;/foreign-keys&gt;&lt;ref-type name="Journal Article"&gt;17&lt;/ref-type&gt;&lt;contributors&gt;&lt;authors&gt;&lt;author&gt;Browne, M.&lt;/author&gt;&lt;author&gt;Woodburn, A.&lt;/author&gt;&lt;author&gt;Allen, J.&lt;/author&gt;&lt;/authors&gt;&lt;/contributors&gt;&lt;titles&gt;&lt;title&gt;Evaluating the potential for urban consolidation centres&lt;/title&gt;&lt;secondary-title&gt;European Transport&lt;/secondary-title&gt;&lt;/titles&gt;&lt;periodical&gt;&lt;full-title&gt;European Transport&lt;/full-title&gt;&lt;/periodical&gt;&lt;pages&gt;46-63&lt;/pages&gt;&lt;volume&gt;35&lt;/volume&gt;&lt;dates&gt;&lt;year&gt;2007&lt;/year&gt;&lt;/dates&gt;&lt;urls&gt;&lt;/urls&gt;&lt;/record&gt;&lt;/Cite&gt;&lt;/EndNote&gt;</w:instrText>
      </w:r>
      <w:r w:rsidR="00FA3C09">
        <w:rPr>
          <w:noProof/>
        </w:rPr>
        <w:fldChar w:fldCharType="separate"/>
      </w:r>
      <w:r w:rsidR="00BA56CD">
        <w:rPr>
          <w:noProof/>
        </w:rPr>
        <w:t>Browne et al. (2007)</w:t>
      </w:r>
      <w:r w:rsidR="00FA3C09">
        <w:rPr>
          <w:noProof/>
        </w:rPr>
        <w:fldChar w:fldCharType="end"/>
      </w:r>
      <w:r w:rsidRPr="008903D1">
        <w:rPr>
          <w:rFonts w:cs="Times New Roman"/>
        </w:rPr>
        <w:t xml:space="preserve"> list the logistics and business</w:t>
      </w:r>
      <w:r w:rsidRPr="00737239">
        <w:rPr>
          <w:rFonts w:cs="Times New Roman"/>
        </w:rPr>
        <w:t xml:space="preserve"> activities of these UCCs and categorise their potential benefits i</w:t>
      </w:r>
      <w:r w:rsidRPr="00802DC5">
        <w:rPr>
          <w:rFonts w:cs="Times New Roman"/>
        </w:rPr>
        <w:t>n the context of sustainability (</w:t>
      </w:r>
      <w:r w:rsidRPr="008903D1">
        <w:rPr>
          <w:rFonts w:cs="Times New Roman"/>
        </w:rPr>
        <w:fldChar w:fldCharType="begin"/>
      </w:r>
      <w:r w:rsidRPr="00A96AC5">
        <w:rPr>
          <w:rFonts w:cs="Times New Roman"/>
        </w:rPr>
        <w:instrText xml:space="preserve"> REF _Ref30088001 \h </w:instrText>
      </w:r>
      <w:r w:rsidR="008903D1">
        <w:rPr>
          <w:rFonts w:cs="Times New Roman"/>
        </w:rPr>
        <w:instrText xml:space="preserve"> \* MERGEFORMAT </w:instrText>
      </w:r>
      <w:r w:rsidRPr="008903D1">
        <w:rPr>
          <w:rFonts w:cs="Times New Roman"/>
        </w:rPr>
      </w:r>
      <w:r w:rsidRPr="008903D1">
        <w:rPr>
          <w:rFonts w:cs="Times New Roman"/>
        </w:rPr>
        <w:fldChar w:fldCharType="separate"/>
      </w:r>
      <w:r w:rsidR="0005064B" w:rsidRPr="00737239">
        <w:rPr>
          <w:rFonts w:cs="Times New Roman"/>
        </w:rPr>
        <w:t xml:space="preserve">Figure </w:t>
      </w:r>
      <w:r w:rsidR="0005064B">
        <w:rPr>
          <w:rFonts w:cs="Times New Roman"/>
          <w:noProof/>
        </w:rPr>
        <w:t>1</w:t>
      </w:r>
      <w:r w:rsidR="0005064B">
        <w:rPr>
          <w:rFonts w:cs="Times New Roman"/>
          <w:noProof/>
        </w:rPr>
        <w:noBreakHyphen/>
        <w:t>4</w:t>
      </w:r>
      <w:r w:rsidRPr="008903D1">
        <w:rPr>
          <w:rFonts w:cs="Times New Roman"/>
        </w:rPr>
        <w:fldChar w:fldCharType="end"/>
      </w:r>
      <w:r w:rsidRPr="008903D1">
        <w:rPr>
          <w:rFonts w:cs="Times New Roman"/>
        </w:rPr>
        <w:t xml:space="preserve">). </w:t>
      </w:r>
    </w:p>
    <w:p w14:paraId="1152F92F" w14:textId="77777777" w:rsidR="00F8522D" w:rsidRPr="008903D1" w:rsidRDefault="00F8522D" w:rsidP="000A4E8C">
      <w:pPr>
        <w:spacing w:line="360" w:lineRule="auto"/>
        <w:jc w:val="center"/>
        <w:rPr>
          <w:rFonts w:cs="Times New Roman"/>
        </w:rPr>
      </w:pPr>
      <w:r w:rsidRPr="00737239">
        <w:rPr>
          <w:rFonts w:cs="Times New Roman"/>
          <w:noProof/>
        </w:rPr>
        <w:object w:dxaOrig="10726" w:dyaOrig="11754" w14:anchorId="7A7263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25pt;height:462.5pt" o:ole="">
            <v:imagedata r:id="rId17" o:title=""/>
          </v:shape>
          <o:OLEObject Type="Embed" ProgID="Visio.Drawing.15" ShapeID="_x0000_i1025" DrawAspect="Content" ObjectID="_1681648032" r:id="rId18"/>
        </w:object>
      </w:r>
    </w:p>
    <w:p w14:paraId="372E3918" w14:textId="7038391D" w:rsidR="00F8522D" w:rsidRPr="00737239" w:rsidRDefault="00F8522D" w:rsidP="000A4E8C">
      <w:pPr>
        <w:pStyle w:val="Caption"/>
        <w:spacing w:after="0" w:line="360" w:lineRule="auto"/>
        <w:rPr>
          <w:rFonts w:cs="Times New Roman"/>
        </w:rPr>
      </w:pPr>
      <w:bookmarkStart w:id="117" w:name="_Ref30088001"/>
      <w:bookmarkStart w:id="118" w:name="_Toc40794164"/>
      <w:bookmarkStart w:id="119" w:name="_Toc46053662"/>
      <w:bookmarkStart w:id="120" w:name="_Toc66698694"/>
      <w:r w:rsidRPr="00737239">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1</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4</w:t>
      </w:r>
      <w:r w:rsidR="00632993">
        <w:rPr>
          <w:rFonts w:cs="Times New Roman"/>
        </w:rPr>
        <w:fldChar w:fldCharType="end"/>
      </w:r>
      <w:bookmarkEnd w:id="117"/>
      <w:r w:rsidR="00FD1FFD">
        <w:rPr>
          <w:rFonts w:cs="Times New Roman"/>
        </w:rPr>
        <w:t>:</w:t>
      </w:r>
      <w:r w:rsidRPr="008903D1">
        <w:rPr>
          <w:rFonts w:cs="Times New Roman"/>
        </w:rPr>
        <w:t xml:space="preserve"> Advantages of urban consolidated centres (UCCs) (adapted from Browne et al. [2007])</w:t>
      </w:r>
      <w:bookmarkEnd w:id="118"/>
      <w:bookmarkEnd w:id="119"/>
      <w:bookmarkEnd w:id="120"/>
    </w:p>
    <w:p w14:paraId="66AE20D6" w14:textId="6CD489F4" w:rsidR="00013E7D" w:rsidRPr="00A96AC5" w:rsidRDefault="00262E4E" w:rsidP="00325FFD">
      <w:pPr>
        <w:spacing w:before="240" w:after="240" w:line="360" w:lineRule="auto"/>
        <w:rPr>
          <w:rFonts w:cs="Times New Roman"/>
        </w:rPr>
      </w:pPr>
      <w:r>
        <w:rPr>
          <w:rFonts w:cs="Times New Roman"/>
        </w:rPr>
        <w:t xml:space="preserve">Although UCC </w:t>
      </w:r>
      <w:r w:rsidR="00AD4C4D">
        <w:rPr>
          <w:rFonts w:cs="Times New Roman"/>
        </w:rPr>
        <w:t xml:space="preserve">a </w:t>
      </w:r>
      <w:r>
        <w:rPr>
          <w:rFonts w:cs="Times New Roman"/>
        </w:rPr>
        <w:t xml:space="preserve">has </w:t>
      </w:r>
      <w:r w:rsidR="00AD4C4D">
        <w:rPr>
          <w:rFonts w:cs="Times New Roman"/>
        </w:rPr>
        <w:t>the</w:t>
      </w:r>
      <w:r>
        <w:rPr>
          <w:rFonts w:cs="Times New Roman"/>
        </w:rPr>
        <w:t xml:space="preserve"> potential to a</w:t>
      </w:r>
      <w:r w:rsidR="000F6E15">
        <w:rPr>
          <w:rFonts w:cs="Times New Roman"/>
        </w:rPr>
        <w:t>chieve a balance</w:t>
      </w:r>
      <w:r w:rsidR="00AD4C4D">
        <w:rPr>
          <w:rFonts w:cs="Times New Roman"/>
        </w:rPr>
        <w:t xml:space="preserve"> of</w:t>
      </w:r>
      <w:r w:rsidR="000F6E15">
        <w:rPr>
          <w:rFonts w:cs="Times New Roman"/>
        </w:rPr>
        <w:t xml:space="preserve"> benefits in the three dimensions of SUL</w:t>
      </w:r>
      <w:r w:rsidR="007D690A">
        <w:rPr>
          <w:rFonts w:cs="Times New Roman"/>
        </w:rPr>
        <w:t>,</w:t>
      </w:r>
      <w:r w:rsidR="0057780A" w:rsidRPr="00832C37">
        <w:rPr>
          <w:rFonts w:cs="Times New Roman"/>
        </w:rPr>
        <w:t xml:space="preserve"> there are also numerous issues </w:t>
      </w:r>
      <w:r w:rsidR="000B7073">
        <w:rPr>
          <w:rFonts w:cs="Times New Roman"/>
        </w:rPr>
        <w:t xml:space="preserve">that </w:t>
      </w:r>
      <w:r w:rsidR="0057780A" w:rsidRPr="00832C37">
        <w:rPr>
          <w:rFonts w:cs="Times New Roman"/>
        </w:rPr>
        <w:t>are waiting to</w:t>
      </w:r>
      <w:r w:rsidR="0024177B">
        <w:rPr>
          <w:rFonts w:cs="Times New Roman"/>
        </w:rPr>
        <w:t xml:space="preserve"> be</w:t>
      </w:r>
      <w:r w:rsidR="0057780A" w:rsidRPr="00832C37">
        <w:rPr>
          <w:rFonts w:cs="Times New Roman"/>
        </w:rPr>
        <w:t xml:space="preserve"> solve</w:t>
      </w:r>
      <w:r w:rsidR="0024177B">
        <w:rPr>
          <w:rFonts w:cs="Times New Roman"/>
        </w:rPr>
        <w:t>d</w:t>
      </w:r>
      <w:r w:rsidR="0057780A" w:rsidRPr="00832C37">
        <w:rPr>
          <w:rFonts w:cs="Times New Roman"/>
        </w:rPr>
        <w:t xml:space="preserve"> when considering the seven fundamental elements (</w:t>
      </w:r>
      <w:r w:rsidR="0057780A" w:rsidRPr="00832C37">
        <w:rPr>
          <w:rFonts w:cs="Times New Roman"/>
        </w:rPr>
        <w:fldChar w:fldCharType="begin"/>
      </w:r>
      <w:r w:rsidR="0057780A" w:rsidRPr="00832C37">
        <w:rPr>
          <w:rFonts w:cs="Times New Roman"/>
        </w:rPr>
        <w:instrText xml:space="preserve"> REF _Ref37755974 \h </w:instrText>
      </w:r>
      <w:r w:rsidR="008903D1" w:rsidRPr="00832C37">
        <w:rPr>
          <w:rFonts w:cs="Times New Roman"/>
        </w:rPr>
        <w:instrText xml:space="preserve"> \* MERGEFORMAT </w:instrText>
      </w:r>
      <w:r w:rsidR="0057780A" w:rsidRPr="00832C37">
        <w:rPr>
          <w:rFonts w:cs="Times New Roman"/>
        </w:rPr>
      </w:r>
      <w:r w:rsidR="0057780A" w:rsidRPr="00832C37">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rPr>
        <w:t>1</w:t>
      </w:r>
      <w:r w:rsidR="0005064B">
        <w:rPr>
          <w:rFonts w:cs="Times New Roman"/>
        </w:rPr>
        <w:noBreakHyphen/>
        <w:t>7</w:t>
      </w:r>
      <w:r w:rsidR="0057780A" w:rsidRPr="00832C37">
        <w:rPr>
          <w:rFonts w:cs="Times New Roman"/>
        </w:rPr>
        <w:fldChar w:fldCharType="end"/>
      </w:r>
      <w:r w:rsidR="0057780A" w:rsidRPr="00832C37">
        <w:rPr>
          <w:rFonts w:cs="Times New Roman"/>
        </w:rPr>
        <w:t>) of UCC</w:t>
      </w:r>
      <w:r w:rsidR="00671E45">
        <w:rPr>
          <w:rFonts w:cs="Times New Roman"/>
        </w:rPr>
        <w:t>s</w:t>
      </w:r>
      <w:r w:rsidR="0057780A" w:rsidRPr="00832C37">
        <w:rPr>
          <w:rFonts w:cs="Times New Roman"/>
        </w:rPr>
        <w:t xml:space="preserve"> in the context of SUL. Specifically, as new infrastructure should be built when setting up a UCC project, a high initial investment is needed at </w:t>
      </w:r>
      <w:r w:rsidR="00321A66">
        <w:rPr>
          <w:rFonts w:cs="Times New Roman"/>
        </w:rPr>
        <w:t xml:space="preserve">the </w:t>
      </w:r>
      <w:r w:rsidR="0057780A" w:rsidRPr="00832C37">
        <w:rPr>
          <w:rFonts w:cs="Times New Roman"/>
        </w:rPr>
        <w:t>beginning. Secondly, the way of integrating</w:t>
      </w:r>
      <w:r w:rsidR="00322B8B">
        <w:rPr>
          <w:rFonts w:cs="Times New Roman"/>
        </w:rPr>
        <w:t xml:space="preserve"> a</w:t>
      </w:r>
      <w:r w:rsidR="0057780A" w:rsidRPr="00832C37">
        <w:rPr>
          <w:rFonts w:cs="Times New Roman"/>
        </w:rPr>
        <w:t xml:space="preserve"> UCC into the entire supply chain is another challenge as the stakeholders’ interest</w:t>
      </w:r>
      <w:r w:rsidR="008A3DCE">
        <w:rPr>
          <w:rFonts w:cs="Times New Roman"/>
        </w:rPr>
        <w:t>s</w:t>
      </w:r>
      <w:r w:rsidR="0057780A" w:rsidRPr="00832C37">
        <w:rPr>
          <w:rFonts w:cs="Times New Roman"/>
        </w:rPr>
        <w:t xml:space="preserve"> </w:t>
      </w:r>
      <w:r w:rsidR="008A3DCE">
        <w:rPr>
          <w:rFonts w:cs="Times New Roman"/>
        </w:rPr>
        <w:t>are</w:t>
      </w:r>
      <w:r w:rsidR="0057780A" w:rsidRPr="00832C37">
        <w:rPr>
          <w:rFonts w:cs="Times New Roman"/>
        </w:rPr>
        <w:t xml:space="preserve"> various. The issues, such as protect</w:t>
      </w:r>
      <w:r w:rsidR="00F64CDC">
        <w:rPr>
          <w:rFonts w:cs="Times New Roman"/>
        </w:rPr>
        <w:t>ing</w:t>
      </w:r>
      <w:r w:rsidR="0057780A" w:rsidRPr="00832C37">
        <w:rPr>
          <w:rFonts w:cs="Times New Roman"/>
        </w:rPr>
        <w:t xml:space="preserve"> the interest</w:t>
      </w:r>
      <w:r w:rsidR="00704B9E">
        <w:rPr>
          <w:rFonts w:cs="Times New Roman"/>
        </w:rPr>
        <w:t>s</w:t>
      </w:r>
      <w:r w:rsidR="0057780A" w:rsidRPr="00832C37">
        <w:rPr>
          <w:rFonts w:cs="Times New Roman"/>
        </w:rPr>
        <w:t xml:space="preserve"> of each UCC stakeholder and designing the compromised scenarios to satisfy the various requirements of stakeholders</w:t>
      </w:r>
      <w:r w:rsidR="00746E59">
        <w:rPr>
          <w:rFonts w:cs="Times New Roman"/>
        </w:rPr>
        <w:t>,</w:t>
      </w:r>
      <w:r w:rsidR="0057780A" w:rsidRPr="00832C37">
        <w:rPr>
          <w:rFonts w:cs="Times New Roman"/>
        </w:rPr>
        <w:t xml:space="preserve"> are the key factors </w:t>
      </w:r>
      <w:r w:rsidR="004615A9">
        <w:rPr>
          <w:rFonts w:cs="Times New Roman"/>
        </w:rPr>
        <w:t>in</w:t>
      </w:r>
      <w:r w:rsidR="0057780A" w:rsidRPr="00832C37">
        <w:rPr>
          <w:rFonts w:cs="Times New Roman"/>
        </w:rPr>
        <w:t xml:space="preserve"> determin</w:t>
      </w:r>
      <w:r w:rsidR="004615A9">
        <w:rPr>
          <w:rFonts w:cs="Times New Roman"/>
        </w:rPr>
        <w:t>ing</w:t>
      </w:r>
      <w:r w:rsidR="0057780A" w:rsidRPr="00832C37">
        <w:rPr>
          <w:rFonts w:cs="Times New Roman"/>
        </w:rPr>
        <w:t xml:space="preserve"> the success of UCC. During the operation, many UCCs are relying on</w:t>
      </w:r>
      <w:r w:rsidR="000332D5">
        <w:rPr>
          <w:rFonts w:cs="Times New Roman"/>
        </w:rPr>
        <w:t xml:space="preserve"> </w:t>
      </w:r>
      <w:r w:rsidR="0057780A" w:rsidRPr="00832C37">
        <w:rPr>
          <w:rFonts w:cs="Times New Roman"/>
        </w:rPr>
        <w:t xml:space="preserve">public funding due to </w:t>
      </w:r>
      <w:r w:rsidR="000332D5">
        <w:rPr>
          <w:rFonts w:cs="Times New Roman"/>
        </w:rPr>
        <w:t xml:space="preserve">a </w:t>
      </w:r>
      <w:r w:rsidR="0057780A" w:rsidRPr="00832C37">
        <w:rPr>
          <w:rFonts w:cs="Times New Roman"/>
        </w:rPr>
        <w:t xml:space="preserve">lack of consumers. This factor </w:t>
      </w:r>
      <w:r w:rsidR="0057780A" w:rsidRPr="00832C37">
        <w:rPr>
          <w:rFonts w:cs="Times New Roman"/>
        </w:rPr>
        <w:lastRenderedPageBreak/>
        <w:t xml:space="preserve">is an obstacle </w:t>
      </w:r>
      <w:r w:rsidR="001C3642">
        <w:rPr>
          <w:rFonts w:cs="Times New Roman"/>
        </w:rPr>
        <w:t>to</w:t>
      </w:r>
      <w:r w:rsidR="0057780A" w:rsidRPr="00832C37">
        <w:rPr>
          <w:rFonts w:cs="Times New Roman"/>
        </w:rPr>
        <w:t xml:space="preserve"> promoting the self-sustaining</w:t>
      </w:r>
      <w:r w:rsidR="001C3642">
        <w:rPr>
          <w:rFonts w:cs="Times New Roman"/>
        </w:rPr>
        <w:t xml:space="preserve"> ability</w:t>
      </w:r>
      <w:r w:rsidR="0057780A" w:rsidRPr="00832C37">
        <w:rPr>
          <w:rFonts w:cs="Times New Roman"/>
        </w:rPr>
        <w:t xml:space="preserve"> of</w:t>
      </w:r>
      <w:r w:rsidR="001C3642">
        <w:rPr>
          <w:rFonts w:cs="Times New Roman"/>
        </w:rPr>
        <w:t xml:space="preserve"> a</w:t>
      </w:r>
      <w:r w:rsidR="0057780A" w:rsidRPr="00832C37">
        <w:rPr>
          <w:rFonts w:cs="Times New Roman"/>
        </w:rPr>
        <w:t xml:space="preserve"> UCC. </w:t>
      </w:r>
      <w:proofErr w:type="gramStart"/>
      <w:r w:rsidR="0057780A" w:rsidRPr="00832C37">
        <w:rPr>
          <w:rFonts w:cs="Times New Roman"/>
        </w:rPr>
        <w:t>In order to</w:t>
      </w:r>
      <w:proofErr w:type="gramEnd"/>
      <w:r w:rsidR="0057780A" w:rsidRPr="00832C37">
        <w:rPr>
          <w:rFonts w:cs="Times New Roman"/>
        </w:rPr>
        <w:t xml:space="preserve"> optimis</w:t>
      </w:r>
      <w:r w:rsidR="00E61BD6">
        <w:rPr>
          <w:rFonts w:cs="Times New Roman"/>
        </w:rPr>
        <w:t>e</w:t>
      </w:r>
      <w:r w:rsidR="0057780A" w:rsidRPr="00832C37">
        <w:rPr>
          <w:rFonts w:cs="Times New Roman"/>
        </w:rPr>
        <w:t xml:space="preserve"> the UCC project, a comprehensive understanding of the UCC’s features is needed. </w:t>
      </w:r>
      <w:r w:rsidR="00DF62FA">
        <w:rPr>
          <w:rFonts w:cs="Times New Roman"/>
        </w:rPr>
        <w:t>This research</w:t>
      </w:r>
      <w:r w:rsidR="0057780A" w:rsidRPr="00832C37">
        <w:rPr>
          <w:rFonts w:cs="Times New Roman"/>
        </w:rPr>
        <w:t xml:space="preserve"> will introduce some basic information </w:t>
      </w:r>
      <w:r w:rsidR="006031F4">
        <w:rPr>
          <w:rFonts w:cs="Times New Roman"/>
        </w:rPr>
        <w:t>on</w:t>
      </w:r>
      <w:r w:rsidR="0057780A" w:rsidRPr="00832C37">
        <w:rPr>
          <w:rFonts w:cs="Times New Roman"/>
        </w:rPr>
        <w:t xml:space="preserve"> UCC</w:t>
      </w:r>
      <w:r w:rsidR="006031F4">
        <w:rPr>
          <w:rFonts w:cs="Times New Roman"/>
        </w:rPr>
        <w:t>s</w:t>
      </w:r>
      <w:r w:rsidR="0057780A" w:rsidRPr="00832C37">
        <w:rPr>
          <w:rFonts w:cs="Times New Roman"/>
        </w:rPr>
        <w:t xml:space="preserve"> in the next section.</w:t>
      </w:r>
    </w:p>
    <w:p w14:paraId="412E9E17" w14:textId="43E3D3F6" w:rsidR="00013E7D" w:rsidRPr="008903D1" w:rsidRDefault="00013E7D" w:rsidP="000A4E8C">
      <w:pPr>
        <w:pStyle w:val="Heading2"/>
        <w:spacing w:after="120" w:line="360" w:lineRule="auto"/>
        <w:rPr>
          <w:rFonts w:cs="Times New Roman"/>
        </w:rPr>
      </w:pPr>
      <w:bookmarkStart w:id="121" w:name="_Toc34734482"/>
      <w:bookmarkStart w:id="122" w:name="_Toc46053400"/>
      <w:bookmarkStart w:id="123" w:name="_Toc46093314"/>
      <w:bookmarkStart w:id="124" w:name="_Toc46093597"/>
      <w:bookmarkStart w:id="125" w:name="_Toc66703172"/>
      <w:r w:rsidRPr="00A96AC5">
        <w:rPr>
          <w:rFonts w:cs="Times New Roman"/>
        </w:rPr>
        <w:t xml:space="preserve">Urban </w:t>
      </w:r>
      <w:r w:rsidR="00247948" w:rsidRPr="00A96AC5">
        <w:rPr>
          <w:rFonts w:cs="Times New Roman"/>
        </w:rPr>
        <w:t>consolidation centre</w:t>
      </w:r>
      <w:r w:rsidR="00873672" w:rsidRPr="00A96AC5">
        <w:rPr>
          <w:rFonts w:cs="Times New Roman"/>
        </w:rPr>
        <w:t>s</w:t>
      </w:r>
      <w:r w:rsidR="00247948" w:rsidRPr="00A96AC5">
        <w:rPr>
          <w:rFonts w:cs="Times New Roman"/>
        </w:rPr>
        <w:t xml:space="preserve"> (UCC)</w:t>
      </w:r>
      <w:bookmarkEnd w:id="121"/>
      <w:bookmarkEnd w:id="122"/>
      <w:bookmarkEnd w:id="123"/>
      <w:bookmarkEnd w:id="124"/>
      <w:bookmarkEnd w:id="125"/>
    </w:p>
    <w:p w14:paraId="57930F59" w14:textId="6BD55909" w:rsidR="00247948" w:rsidRPr="00A96AC5" w:rsidRDefault="00197541" w:rsidP="0044359E">
      <w:pPr>
        <w:spacing w:before="240" w:after="240" w:line="360" w:lineRule="auto"/>
        <w:rPr>
          <w:rFonts w:cs="Times New Roman"/>
        </w:rPr>
      </w:pPr>
      <w:r w:rsidRPr="00737239">
        <w:rPr>
          <w:rFonts w:cs="Times New Roman"/>
        </w:rPr>
        <w:t>The operational model of the urban consolidation centre (UCC) and its functions are reviewed in this section, with a focus on resolving the sustainability challenges facing urban areas</w:t>
      </w:r>
      <w:r w:rsidR="008C7D89">
        <w:rPr>
          <w:rFonts w:cs="Times New Roman" w:hint="eastAsia"/>
        </w:rPr>
        <w:t>.</w:t>
      </w:r>
      <w:r w:rsidR="008C7D89">
        <w:rPr>
          <w:rFonts w:cs="Times New Roman"/>
        </w:rPr>
        <w:t xml:space="preserve"> </w:t>
      </w:r>
      <w:r w:rsidR="00154349">
        <w:rPr>
          <w:noProof/>
        </w:rPr>
        <w:fldChar w:fldCharType="begin"/>
      </w:r>
      <w:r w:rsidR="00647E79">
        <w:rPr>
          <w:noProof/>
        </w:rPr>
        <w:instrText xml:space="preserve"> ADDIN EN.CITE &lt;EndNote&gt;&lt;Cite AuthorYear="1"&gt;&lt;Author&gt;Tario&lt;/Author&gt;&lt;Year&gt;2011&lt;/Year&gt;&lt;RecNum&gt;30&lt;/RecNum&gt;&lt;DisplayText&gt;Tario et al. (2011)&lt;/DisplayText&gt;&lt;record&gt;&lt;rec-number&gt;30&lt;/rec-number&gt;&lt;foreign-keys&gt;&lt;key app="EN" db-id="pzt5ep52hsedfpeext2pdfes0w0aswaewef2" timestamp="1605187992"&gt;30&lt;/key&gt;&lt;/foreign-keys&gt;&lt;ref-type name="Journal Article"&gt;17&lt;/ref-type&gt;&lt;contributors&gt;&lt;authors&gt;&lt;author&gt;Tario, JD&lt;/author&gt;&lt;author&gt;Ancar, R&lt;/author&gt;&lt;author&gt;Panero, M&lt;/author&gt;&lt;author&gt;Hyeon-Shic, S&lt;/author&gt;&lt;author&gt;Lopez, DP&lt;/author&gt;&lt;/authors&gt;&lt;/contributors&gt;&lt;titles&gt;&lt;title&gt;Urban distribution centers: a means to reducing freight vehicle miles travelled&lt;/title&gt;&lt;secondary-title&gt;Final Report. Prepared for the New York State Energy Research and Development Authority. Albany, NY&lt;/secondary-title&gt;&lt;/titles&gt;&lt;periodical&gt;&lt;full-title&gt;Final Report. Prepared for the New York State Energy Research and Development Authority. Albany, NY&lt;/full-title&gt;&lt;/periodical&gt;&lt;dates&gt;&lt;year&gt;2011&lt;/year&gt;&lt;/dates&gt;&lt;urls&gt;&lt;/urls&gt;&lt;/record&gt;&lt;/Cite&gt;&lt;/EndNote&gt;</w:instrText>
      </w:r>
      <w:r w:rsidR="00154349">
        <w:rPr>
          <w:noProof/>
        </w:rPr>
        <w:fldChar w:fldCharType="separate"/>
      </w:r>
      <w:r w:rsidR="00154349">
        <w:rPr>
          <w:noProof/>
        </w:rPr>
        <w:t>Tario et al. (2011)</w:t>
      </w:r>
      <w:r w:rsidR="00154349">
        <w:rPr>
          <w:noProof/>
        </w:rPr>
        <w:fldChar w:fldCharType="end"/>
      </w:r>
      <w:r w:rsidR="00013E7D" w:rsidRPr="00A96AC5">
        <w:rPr>
          <w:rFonts w:cs="Times New Roman"/>
        </w:rPr>
        <w:t xml:space="preserve"> define the UCC as</w:t>
      </w:r>
      <w:r w:rsidR="00247948" w:rsidRPr="00A96AC5">
        <w:rPr>
          <w:rFonts w:cs="Times New Roman"/>
        </w:rPr>
        <w:t xml:space="preserve"> follows</w:t>
      </w:r>
      <w:r w:rsidR="00013E7D" w:rsidRPr="00A96AC5">
        <w:rPr>
          <w:rFonts w:cs="Times New Roman"/>
        </w:rPr>
        <w:t xml:space="preserve">: </w:t>
      </w:r>
    </w:p>
    <w:p w14:paraId="791DC99A" w14:textId="3BAF6A0A" w:rsidR="00247948" w:rsidRPr="00A96AC5" w:rsidRDefault="00247948" w:rsidP="0044359E">
      <w:pPr>
        <w:spacing w:before="240" w:after="240" w:line="360" w:lineRule="auto"/>
        <w:ind w:left="851"/>
        <w:rPr>
          <w:rFonts w:cs="Times New Roman"/>
          <w:i/>
          <w:iCs/>
        </w:rPr>
      </w:pPr>
      <w:r w:rsidRPr="00A96AC5">
        <w:rPr>
          <w:rFonts w:cs="Times New Roman"/>
          <w:i/>
          <w:iCs/>
        </w:rPr>
        <w:t xml:space="preserve">A </w:t>
      </w:r>
      <w:r w:rsidR="00013E7D" w:rsidRPr="00A96AC5">
        <w:rPr>
          <w:rFonts w:cs="Times New Roman"/>
          <w:i/>
          <w:iCs/>
        </w:rPr>
        <w:t>facility involving the trans-shipment of goods directed to urban areas, aiming to consolidate deliveries, and thus provide greater efficiency in the distribution process by increasing the truck load factor and decreasing the number of trucks used, which help</w:t>
      </w:r>
      <w:r w:rsidR="00D00DFC">
        <w:rPr>
          <w:rFonts w:cs="Times New Roman"/>
          <w:i/>
          <w:iCs/>
        </w:rPr>
        <w:t>s</w:t>
      </w:r>
      <w:r w:rsidR="00013E7D" w:rsidRPr="00A96AC5">
        <w:rPr>
          <w:rFonts w:cs="Times New Roman"/>
          <w:i/>
          <w:iCs/>
        </w:rPr>
        <w:t xml:space="preserve"> mitigate urban congestion and air pollution. </w:t>
      </w:r>
    </w:p>
    <w:p w14:paraId="538850DB" w14:textId="620E130F" w:rsidR="00013E7D" w:rsidRDefault="00247948" w:rsidP="0044359E">
      <w:pPr>
        <w:spacing w:before="240" w:after="240" w:line="360" w:lineRule="auto"/>
        <w:rPr>
          <w:rFonts w:cs="Times New Roman"/>
        </w:rPr>
      </w:pPr>
      <w:r w:rsidRPr="00A96AC5">
        <w:rPr>
          <w:rFonts w:cs="Times New Roman"/>
        </w:rPr>
        <w:t>In addition</w:t>
      </w:r>
      <w:r w:rsidR="00013E7D" w:rsidRPr="00A96AC5">
        <w:rPr>
          <w:rFonts w:cs="Times New Roman"/>
        </w:rPr>
        <w:t xml:space="preserve">, </w:t>
      </w:r>
      <w:r w:rsidRPr="00A96AC5">
        <w:rPr>
          <w:rFonts w:cs="Times New Roman"/>
        </w:rPr>
        <w:t xml:space="preserve">these facilities </w:t>
      </w:r>
      <w:r w:rsidR="00013E7D" w:rsidRPr="00A96AC5">
        <w:rPr>
          <w:rFonts w:cs="Times New Roman"/>
        </w:rPr>
        <w:t>provide other kinds of value-added service</w:t>
      </w:r>
      <w:r w:rsidRPr="00A96AC5">
        <w:rPr>
          <w:rFonts w:cs="Times New Roman"/>
        </w:rPr>
        <w:t>s</w:t>
      </w:r>
      <w:r w:rsidR="00013E7D" w:rsidRPr="00A96AC5">
        <w:rPr>
          <w:rFonts w:cs="Times New Roman"/>
        </w:rPr>
        <w:t>, such as goods handling, packaging, storage</w:t>
      </w:r>
      <w:r w:rsidRPr="00A96AC5">
        <w:rPr>
          <w:rFonts w:cs="Times New Roman"/>
        </w:rPr>
        <w:t>,</w:t>
      </w:r>
      <w:r w:rsidR="00013E7D" w:rsidRPr="00A96AC5">
        <w:rPr>
          <w:rFonts w:cs="Times New Roman"/>
        </w:rPr>
        <w:t xml:space="preserve"> and reverse logistics for </w:t>
      </w:r>
      <w:r w:rsidRPr="00A96AC5">
        <w:rPr>
          <w:rFonts w:cs="Times New Roman"/>
        </w:rPr>
        <w:t xml:space="preserve">various </w:t>
      </w:r>
      <w:r w:rsidR="00013E7D" w:rsidRPr="00A96AC5">
        <w:rPr>
          <w:rFonts w:cs="Times New Roman"/>
        </w:rPr>
        <w:t xml:space="preserve">types of user </w:t>
      </w:r>
      <w:r w:rsidR="00154349">
        <w:rPr>
          <w:noProof/>
        </w:rPr>
        <w:fldChar w:fldCharType="begin">
          <w:fldData xml:space="preserve">PEVuZE5vdGU+PENpdGU+PEF1dGhvcj5KYWN5bmE8L0F1dGhvcj48WWVhcj4yMDEzPC9ZZWFyPjxS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</w:fldData>
        </w:fldChar>
      </w:r>
      <w:r w:rsidR="00647E79">
        <w:rPr>
          <w:noProof/>
        </w:rPr>
        <w:instrText xml:space="preserve"> ADDIN EN.CITE </w:instrText>
      </w:r>
      <w:r w:rsidR="00647E79">
        <w:rPr>
          <w:noProof/>
        </w:rPr>
        <w:fldChar w:fldCharType="begin">
          <w:fldData xml:space="preserve">PEVuZE5vdGU+PENpdGU+PEF1dGhvcj5KYWN5bmE8L0F1dGhvcj48WWVhcj4yMDEzPC9ZZWFyPjxS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</w:fldData>
        </w:fldChar>
      </w:r>
      <w:r w:rsidR="00647E79">
        <w:rPr>
          <w:noProof/>
        </w:rPr>
        <w:instrText xml:space="preserve"> ADDIN EN.CITE.DATA </w:instrText>
      </w:r>
      <w:r w:rsidR="00647E79">
        <w:rPr>
          <w:noProof/>
        </w:rPr>
      </w:r>
      <w:r w:rsidR="00647E79">
        <w:rPr>
          <w:noProof/>
        </w:rPr>
        <w:fldChar w:fldCharType="end"/>
      </w:r>
      <w:r w:rsidR="00154349">
        <w:rPr>
          <w:noProof/>
        </w:rPr>
      </w:r>
      <w:r w:rsidR="00154349">
        <w:rPr>
          <w:noProof/>
        </w:rPr>
        <w:fldChar w:fldCharType="separate"/>
      </w:r>
      <w:r w:rsidR="00154349">
        <w:rPr>
          <w:noProof/>
        </w:rPr>
        <w:t>(Jacyna, 2013)</w:t>
      </w:r>
      <w:r w:rsidR="00154349">
        <w:rPr>
          <w:noProof/>
        </w:rPr>
        <w:fldChar w:fldCharType="end"/>
      </w:r>
      <w:r w:rsidR="00013E7D" w:rsidRPr="00A96AC5">
        <w:rPr>
          <w:rFonts w:cs="Times New Roman"/>
        </w:rPr>
        <w:t>.</w:t>
      </w:r>
    </w:p>
    <w:p w14:paraId="2BCD027C" w14:textId="1D64EA55" w:rsidR="00013E7D" w:rsidRPr="00A96AC5" w:rsidRDefault="00013E7D" w:rsidP="0044359E">
      <w:pPr>
        <w:spacing w:before="240" w:after="240" w:line="360" w:lineRule="auto"/>
        <w:rPr>
          <w:rFonts w:cs="Times New Roman"/>
        </w:rPr>
      </w:pPr>
      <w:r w:rsidRPr="00A96AC5">
        <w:rPr>
          <w:rFonts w:cs="Times New Roman"/>
        </w:rPr>
        <w:t>Based on the timeline analysis,</w:t>
      </w:r>
      <w:r w:rsidR="00247948" w:rsidRPr="00A96AC5">
        <w:rPr>
          <w:rFonts w:cs="Times New Roman"/>
        </w:rPr>
        <w:t xml:space="preserve"> and</w:t>
      </w:r>
      <w:r w:rsidRPr="00A96AC5">
        <w:rPr>
          <w:rFonts w:cs="Times New Roman"/>
        </w:rPr>
        <w:t xml:space="preserve"> to the best of our knowledge, the concept of </w:t>
      </w:r>
      <w:r w:rsidR="00247948" w:rsidRPr="00A96AC5">
        <w:rPr>
          <w:rFonts w:cs="Times New Roman"/>
        </w:rPr>
        <w:t xml:space="preserve">the </w:t>
      </w:r>
      <w:r w:rsidRPr="00A96AC5">
        <w:rPr>
          <w:rFonts w:cs="Times New Roman"/>
        </w:rPr>
        <w:t xml:space="preserve">UCC </w:t>
      </w:r>
      <w:r w:rsidR="00247948" w:rsidRPr="00A96AC5">
        <w:rPr>
          <w:rFonts w:cs="Times New Roman"/>
        </w:rPr>
        <w:t xml:space="preserve">was </w:t>
      </w:r>
      <w:r w:rsidRPr="00A96AC5">
        <w:rPr>
          <w:rFonts w:cs="Times New Roman"/>
        </w:rPr>
        <w:t xml:space="preserve">first put forward by </w:t>
      </w:r>
      <w:r w:rsidR="00154349">
        <w:rPr>
          <w:noProof/>
        </w:rPr>
        <w:fldChar w:fldCharType="begin"/>
      </w:r>
      <w:r w:rsidR="00647E79">
        <w:rPr>
          <w:noProof/>
        </w:rPr>
        <w:instrText xml:space="preserve"> ADDIN EN.CITE &lt;EndNote&gt;&lt;Cite AuthorYear="1"&gt;&lt;Author&gt;McDermott&lt;/Author&gt;&lt;Year&gt;1974&lt;/Year&gt;&lt;RecNum&gt;32&lt;/RecNum&gt;&lt;DisplayText&gt;McDermott and Robeson (1974)&lt;/DisplayText&gt;&lt;record&gt;&lt;rec-number&gt;32&lt;/rec-number&gt;&lt;foreign-keys&gt;&lt;key app="EN" db-id="pzt5ep52hsedfpeext2pdfes0w0aswaewef2" timestamp="1605187992"&gt;32&lt;/key&gt;&lt;/foreign-keys&gt;&lt;ref-type name="Journal Article"&gt;17&lt;/ref-type&gt;&lt;contributors&gt;&lt;authors&gt;&lt;author&gt;McDermott, Dennis R&lt;/author&gt;&lt;author&gt;Robeson, James F&lt;/author&gt;&lt;/authors&gt;&lt;secondary-authors&gt;&lt;author&gt;Robeson James, F.&lt;/author&gt;&lt;/secondary-authors&gt;&lt;/contributors&gt;&lt;titles&gt;&lt;title&gt;The Role of Terminal Consolidation in Urban Goods Distribution&lt;/title&gt;&lt;secondary-title&gt;International Journal of Physical Distribution&lt;/secondary-title&gt;&lt;/titles&gt;&lt;periodical&gt;&lt;full-title&gt;International Journal of Physical Distribution&lt;/full-title&gt;&lt;/periodical&gt;&lt;pages&gt;166-175&lt;/pages&gt;&lt;volume&gt;4&lt;/volume&gt;&lt;number&gt;3&lt;/number&gt;&lt;dates&gt;&lt;year&gt;1974&lt;/year&gt;&lt;/dates&gt;&lt;publisher&gt;MCB UP Ltd&lt;/publisher&gt;&lt;isbn&gt;0020-7527&lt;/isbn&gt;&lt;urls&gt;&lt;related-urls&gt;&lt;url&gt;https://doi.org/10.1108/eb014311&lt;/url&gt;&lt;/related-urls&gt;&lt;/urls&gt;&lt;electronic-resource-num&gt;10.1108/eb014311&lt;/electronic-resource-num&gt;&lt;access-date&gt;2019/11/26&lt;/access-date&gt;&lt;/record&gt;&lt;/Cite&gt;&lt;/EndNote&gt;</w:instrText>
      </w:r>
      <w:r w:rsidR="00154349">
        <w:rPr>
          <w:noProof/>
        </w:rPr>
        <w:fldChar w:fldCharType="separate"/>
      </w:r>
      <w:r w:rsidR="00154349">
        <w:rPr>
          <w:noProof/>
        </w:rPr>
        <w:t>McDermott and Robeson (1974)</w:t>
      </w:r>
      <w:r w:rsidR="00154349">
        <w:rPr>
          <w:noProof/>
        </w:rPr>
        <w:fldChar w:fldCharType="end"/>
      </w:r>
      <w:r w:rsidRPr="00A96AC5">
        <w:rPr>
          <w:rFonts w:cs="Times New Roman"/>
        </w:rPr>
        <w:t xml:space="preserve">. In their study, </w:t>
      </w:r>
      <w:r w:rsidR="00674132" w:rsidRPr="008903D1">
        <w:rPr>
          <w:rFonts w:cs="Times New Roman"/>
        </w:rPr>
        <w:t>parti</w:t>
      </w:r>
      <w:r w:rsidR="00202629" w:rsidRPr="00737239">
        <w:rPr>
          <w:rFonts w:cs="Times New Roman"/>
        </w:rPr>
        <w:t>ally</w:t>
      </w:r>
      <w:r w:rsidRPr="00737239">
        <w:rPr>
          <w:rFonts w:cs="Times New Roman"/>
        </w:rPr>
        <w:t xml:space="preserve"> loaded trucks destined </w:t>
      </w:r>
      <w:r w:rsidR="00247948" w:rsidRPr="00802DC5">
        <w:rPr>
          <w:rFonts w:cs="Times New Roman"/>
        </w:rPr>
        <w:t xml:space="preserve">for </w:t>
      </w:r>
      <w:r w:rsidRPr="006C301D">
        <w:rPr>
          <w:rFonts w:cs="Times New Roman"/>
        </w:rPr>
        <w:t>the city centre drop</w:t>
      </w:r>
      <w:r w:rsidR="00247948" w:rsidRPr="00A96AC5">
        <w:rPr>
          <w:rFonts w:cs="Times New Roman"/>
        </w:rPr>
        <w:t>ped</w:t>
      </w:r>
      <w:r w:rsidRPr="00A96AC5">
        <w:rPr>
          <w:rFonts w:cs="Times New Roman"/>
        </w:rPr>
        <w:t xml:space="preserve"> off the goods in the UCC, </w:t>
      </w:r>
      <w:r w:rsidR="00247948" w:rsidRPr="00A96AC5">
        <w:rPr>
          <w:rFonts w:cs="Times New Roman"/>
        </w:rPr>
        <w:t xml:space="preserve">where </w:t>
      </w:r>
      <w:r w:rsidRPr="00A96AC5">
        <w:rPr>
          <w:rFonts w:cs="Times New Roman"/>
        </w:rPr>
        <w:t xml:space="preserve">these goods </w:t>
      </w:r>
      <w:r w:rsidR="00247948" w:rsidRPr="00A96AC5">
        <w:rPr>
          <w:rFonts w:cs="Times New Roman"/>
        </w:rPr>
        <w:t xml:space="preserve">were then merged </w:t>
      </w:r>
      <w:r w:rsidRPr="00A96AC5">
        <w:rPr>
          <w:rFonts w:cs="Times New Roman"/>
        </w:rPr>
        <w:t>and distribute</w:t>
      </w:r>
      <w:r w:rsidR="00247948" w:rsidRPr="00A96AC5">
        <w:rPr>
          <w:rFonts w:cs="Times New Roman"/>
        </w:rPr>
        <w:t>d</w:t>
      </w:r>
      <w:r w:rsidRPr="00A96AC5">
        <w:rPr>
          <w:rFonts w:cs="Times New Roman"/>
        </w:rPr>
        <w:t xml:space="preserve"> to the city centre </w:t>
      </w:r>
      <w:r w:rsidR="00247948" w:rsidRPr="00A96AC5">
        <w:rPr>
          <w:rFonts w:cs="Times New Roman"/>
        </w:rPr>
        <w:t xml:space="preserve">via </w:t>
      </w:r>
      <w:r w:rsidRPr="00A96AC5">
        <w:rPr>
          <w:rFonts w:cs="Times New Roman"/>
        </w:rPr>
        <w:t>full</w:t>
      </w:r>
      <w:r w:rsidR="00247948" w:rsidRPr="00A96AC5">
        <w:rPr>
          <w:rFonts w:cs="Times New Roman"/>
        </w:rPr>
        <w:t xml:space="preserve">y </w:t>
      </w:r>
      <w:r w:rsidRPr="00A96AC5">
        <w:rPr>
          <w:rFonts w:cs="Times New Roman"/>
        </w:rPr>
        <w:t>loaded trucks. The preliminary result</w:t>
      </w:r>
      <w:r w:rsidR="00247948" w:rsidRPr="00A96AC5">
        <w:rPr>
          <w:rFonts w:cs="Times New Roman"/>
        </w:rPr>
        <w:t>s</w:t>
      </w:r>
      <w:r w:rsidRPr="00A96AC5">
        <w:rPr>
          <w:rFonts w:cs="Times New Roman"/>
        </w:rPr>
        <w:t xml:space="preserve"> </w:t>
      </w:r>
      <w:r w:rsidR="00247948" w:rsidRPr="00A96AC5">
        <w:rPr>
          <w:rFonts w:cs="Times New Roman"/>
        </w:rPr>
        <w:t xml:space="preserve">found </w:t>
      </w:r>
      <w:r w:rsidRPr="00A96AC5">
        <w:rPr>
          <w:rFonts w:cs="Times New Roman"/>
        </w:rPr>
        <w:t xml:space="preserve">the UCC </w:t>
      </w:r>
      <w:r w:rsidR="00247948" w:rsidRPr="00A96AC5">
        <w:rPr>
          <w:rFonts w:cs="Times New Roman"/>
        </w:rPr>
        <w:t xml:space="preserve">to be </w:t>
      </w:r>
      <w:r w:rsidRPr="00A96AC5">
        <w:rPr>
          <w:rFonts w:cs="Times New Roman"/>
        </w:rPr>
        <w:t>an effective solution</w:t>
      </w:r>
      <w:r w:rsidR="00247948" w:rsidRPr="00A96AC5">
        <w:rPr>
          <w:rFonts w:cs="Times New Roman"/>
        </w:rPr>
        <w:t>,</w:t>
      </w:r>
      <w:r w:rsidRPr="00A96AC5">
        <w:rPr>
          <w:rFonts w:cs="Times New Roman"/>
        </w:rPr>
        <w:t xml:space="preserve"> reduc</w:t>
      </w:r>
      <w:r w:rsidR="00247948" w:rsidRPr="00A96AC5">
        <w:rPr>
          <w:rFonts w:cs="Times New Roman"/>
        </w:rPr>
        <w:t>ing</w:t>
      </w:r>
      <w:r w:rsidRPr="00A96AC5">
        <w:rPr>
          <w:rFonts w:cs="Times New Roman"/>
        </w:rPr>
        <w:t xml:space="preserve"> the number of deliveries and pick</w:t>
      </w:r>
      <w:r w:rsidR="00247948" w:rsidRPr="00A96AC5">
        <w:rPr>
          <w:rFonts w:cs="Times New Roman"/>
        </w:rPr>
        <w:t>-</w:t>
      </w:r>
      <w:r w:rsidRPr="00A96AC5">
        <w:rPr>
          <w:rFonts w:cs="Times New Roman"/>
        </w:rPr>
        <w:t>up</w:t>
      </w:r>
      <w:r w:rsidR="00247948" w:rsidRPr="00A96AC5">
        <w:rPr>
          <w:rFonts w:cs="Times New Roman"/>
        </w:rPr>
        <w:t>s</w:t>
      </w:r>
      <w:r w:rsidRPr="00A96AC5">
        <w:rPr>
          <w:rFonts w:cs="Times New Roman"/>
        </w:rPr>
        <w:t xml:space="preserve"> caused by </w:t>
      </w:r>
      <w:r w:rsidRPr="008903D1">
        <w:rPr>
          <w:rFonts w:cs="Times New Roman"/>
        </w:rPr>
        <w:t xml:space="preserve">small freight transportation. </w:t>
      </w:r>
      <w:r w:rsidR="00247948" w:rsidRPr="00A96AC5">
        <w:rPr>
          <w:rFonts w:cs="Times New Roman"/>
        </w:rPr>
        <w:t xml:space="preserve"> </w:t>
      </w:r>
      <w:r w:rsidR="0018787D" w:rsidRPr="00A96AC5">
        <w:rPr>
          <w:rFonts w:cs="Times New Roman"/>
        </w:rPr>
        <w:t xml:space="preserve">Carriers </w:t>
      </w:r>
      <w:r w:rsidR="00247948" w:rsidRPr="00A96AC5">
        <w:rPr>
          <w:rFonts w:cs="Times New Roman"/>
        </w:rPr>
        <w:t xml:space="preserve">thus </w:t>
      </w:r>
      <w:r w:rsidRPr="00A96AC5">
        <w:rPr>
          <w:rFonts w:cs="Times New Roman"/>
        </w:rPr>
        <w:t>achieve</w:t>
      </w:r>
      <w:r w:rsidR="00247948" w:rsidRPr="00A96AC5">
        <w:rPr>
          <w:rFonts w:cs="Times New Roman"/>
        </w:rPr>
        <w:t>d</w:t>
      </w:r>
      <w:r w:rsidRPr="00A96AC5">
        <w:rPr>
          <w:rFonts w:cs="Times New Roman"/>
        </w:rPr>
        <w:t xml:space="preserve"> a significant saving when joining the UCC</w:t>
      </w:r>
      <w:r w:rsidR="00247948" w:rsidRPr="00A96AC5">
        <w:rPr>
          <w:rFonts w:cs="Times New Roman"/>
        </w:rPr>
        <w:t>,</w:t>
      </w:r>
      <w:r w:rsidRPr="00A96AC5">
        <w:rPr>
          <w:rFonts w:cs="Times New Roman"/>
        </w:rPr>
        <w:t xml:space="preserve"> and the externalities such as air </w:t>
      </w:r>
      <w:r w:rsidR="00247948" w:rsidRPr="00A96AC5">
        <w:rPr>
          <w:rFonts w:cs="Times New Roman"/>
        </w:rPr>
        <w:t xml:space="preserve">pollution </w:t>
      </w:r>
      <w:r w:rsidRPr="00A96AC5">
        <w:rPr>
          <w:rFonts w:cs="Times New Roman"/>
        </w:rPr>
        <w:t xml:space="preserve">and urban congestion </w:t>
      </w:r>
      <w:r w:rsidR="00247948" w:rsidRPr="00A96AC5">
        <w:rPr>
          <w:rFonts w:cs="Times New Roman"/>
        </w:rPr>
        <w:t>were mitigated</w:t>
      </w:r>
      <w:r w:rsidRPr="00A96AC5">
        <w:rPr>
          <w:rFonts w:cs="Times New Roman"/>
        </w:rPr>
        <w:t>.</w:t>
      </w:r>
    </w:p>
    <w:p w14:paraId="772B78B6" w14:textId="30F25F26" w:rsidR="008614BD" w:rsidRPr="00A96AC5" w:rsidRDefault="008614BD" w:rsidP="0044359E">
      <w:pPr>
        <w:spacing w:before="240" w:after="240" w:line="360" w:lineRule="auto"/>
        <w:rPr>
          <w:rFonts w:cs="Times New Roman"/>
        </w:rPr>
      </w:pPr>
      <w:r w:rsidRPr="00A96AC5">
        <w:rPr>
          <w:rFonts w:cs="Times New Roman"/>
        </w:rPr>
        <w:t>Since this concept was first proposed, various countries have implemented UCC</w:t>
      </w:r>
      <w:r w:rsidR="00202629" w:rsidRPr="00A96AC5">
        <w:rPr>
          <w:rFonts w:cs="Times New Roman"/>
        </w:rPr>
        <w:t xml:space="preserve"> model</w:t>
      </w:r>
      <w:r w:rsidRPr="00A96AC5">
        <w:rPr>
          <w:rFonts w:cs="Times New Roman"/>
        </w:rPr>
        <w:t>s</w:t>
      </w:r>
      <w:r w:rsidRPr="008903D1">
        <w:rPr>
          <w:rFonts w:cs="Times New Roman"/>
        </w:rPr>
        <w:t xml:space="preserve"> to </w:t>
      </w:r>
      <w:r w:rsidRPr="00737239">
        <w:rPr>
          <w:rFonts w:cs="Times New Roman"/>
        </w:rPr>
        <w:t xml:space="preserve">resolve the environmental and social issues facing their urban areas. </w:t>
      </w:r>
      <w:r w:rsidR="00DB4239">
        <w:rPr>
          <w:noProof/>
        </w:rPr>
        <w:fldChar w:fldCharType="begin"/>
      </w:r>
      <w:r w:rsidR="00CA2D5D">
        <w:rPr>
          <w:noProof/>
        </w:rPr>
        <w:instrText xml:space="preserve"> ADDIN EN.CITE &lt;EndNote&gt;&lt;Cite AuthorYear="1"&gt;&lt;Author&gt;Browne&lt;/Author&gt;&lt;Year&gt;2005&lt;/Year&gt;&lt;RecNum&gt;194&lt;/RecNum&gt;&lt;DisplayText&gt;Browne et al. (2005)&lt;/DisplayText&gt;&lt;record&gt;&lt;rec-number&gt;194&lt;/rec-number&gt;&lt;foreign-keys&gt;&lt;key app="EN" db-id="x5etaz5aiszvz0edasvvpwvotttxepvd25t2" timestamp="1611177410"&gt;194&lt;/key&gt;&lt;/foreign-keys&gt;&lt;ref-type name="Journal Article"&gt;17&lt;/ref-type&gt;&lt;contributors&gt;&lt;authors&gt;&lt;author&gt;Browne, Michael&lt;/author&gt;&lt;author&gt;Sweet, Michael&lt;/author&gt;&lt;author&gt;Woodburn, Allan&lt;/author&gt;&lt;author&gt;Allen, Julian&lt;/author&gt;&lt;/authors&gt;&lt;/contributors&gt;&lt;titles&gt;&lt;title&gt;Urban freight consolidation centres final report&lt;/title&gt;&lt;secondary-title&gt;Transport Studies Group, University of Westminster&lt;/secondary-title&gt;&lt;/titles&gt;&lt;periodical&gt;&lt;full-title&gt;Transport Studies Group, University of Westminster&lt;/full-title&gt;&lt;/periodical&gt;&lt;volume&gt;10&lt;/volume&gt;&lt;dates&gt;&lt;year&gt;2005&lt;/year&gt;&lt;/dates&gt;&lt;urls&gt;&lt;/urls&gt;&lt;/record&gt;&lt;/Cite&gt;&lt;/EndNote&gt;</w:instrText>
      </w:r>
      <w:r w:rsidR="00DB4239">
        <w:rPr>
          <w:noProof/>
        </w:rPr>
        <w:fldChar w:fldCharType="separate"/>
      </w:r>
      <w:r w:rsidR="00C40D4B">
        <w:rPr>
          <w:noProof/>
        </w:rPr>
        <w:t>Browne et al. (2005)</w:t>
      </w:r>
      <w:r w:rsidR="00DB4239">
        <w:rPr>
          <w:noProof/>
        </w:rPr>
        <w:fldChar w:fldCharType="end"/>
      </w:r>
      <w:r w:rsidR="00D1282A" w:rsidRPr="006C301D">
        <w:rPr>
          <w:rFonts w:cs="Times New Roman"/>
        </w:rPr>
        <w:t xml:space="preserve"> </w:t>
      </w:r>
      <w:r w:rsidRPr="00A96AC5">
        <w:rPr>
          <w:rFonts w:cs="Times New Roman"/>
        </w:rPr>
        <w:t xml:space="preserve">reviewed 67 trial and operational UCC cases in 15 </w:t>
      </w:r>
      <w:r w:rsidR="00016F3B">
        <w:rPr>
          <w:rFonts w:cs="Times New Roman"/>
        </w:rPr>
        <w:t>W</w:t>
      </w:r>
      <w:r w:rsidRPr="00A96AC5">
        <w:rPr>
          <w:rFonts w:cs="Times New Roman"/>
        </w:rPr>
        <w:t>estern countries, from the 1970s onwards. They classified the UCCs into three primary types according to their service zones: (</w:t>
      </w:r>
      <w:proofErr w:type="spellStart"/>
      <w:r w:rsidRPr="00A96AC5">
        <w:rPr>
          <w:rFonts w:cs="Times New Roman"/>
        </w:rPr>
        <w:t>i</w:t>
      </w:r>
      <w:proofErr w:type="spellEnd"/>
      <w:r w:rsidRPr="00A96AC5">
        <w:rPr>
          <w:rFonts w:cs="Times New Roman"/>
        </w:rPr>
        <w:t xml:space="preserve">) UCC services affiliated with a specific project to provide the logistics service, such as distributing construction materials; (ii) UCCs on single sites with one landlord and servicing a hospital, shopping centre, or airport; (iii) UCCs serving a town/city and responsible for delivering normal or specific types of goods to the city (can range from a specific district zone to the entire urban area). </w:t>
      </w:r>
    </w:p>
    <w:p w14:paraId="19F23DDC" w14:textId="6A9508F5" w:rsidR="00013E7D" w:rsidRPr="00A96AC5" w:rsidRDefault="009F3740" w:rsidP="0044359E">
      <w:pPr>
        <w:spacing w:before="240" w:after="240" w:line="360" w:lineRule="auto"/>
        <w:rPr>
          <w:rFonts w:cs="Times New Roman"/>
        </w:rPr>
      </w:pPr>
      <w:r>
        <w:rPr>
          <w:noProof/>
        </w:rPr>
        <w:lastRenderedPageBreak/>
        <w:t>Browne et al. (2007)</w:t>
      </w:r>
      <w:r w:rsidR="00D1282A" w:rsidRPr="00A96AC5">
        <w:rPr>
          <w:rFonts w:cs="Times New Roman"/>
        </w:rPr>
        <w:t xml:space="preserve"> </w:t>
      </w:r>
      <w:r w:rsidR="00013E7D" w:rsidRPr="00A96AC5">
        <w:rPr>
          <w:rFonts w:cs="Times New Roman"/>
        </w:rPr>
        <w:t xml:space="preserve">highlight the five </w:t>
      </w:r>
      <w:r w:rsidR="00247948" w:rsidRPr="00A96AC5">
        <w:rPr>
          <w:rFonts w:cs="Times New Roman"/>
        </w:rPr>
        <w:t>primary</w:t>
      </w:r>
      <w:r w:rsidR="00013E7D" w:rsidRPr="00A96AC5">
        <w:rPr>
          <w:rFonts w:cs="Times New Roman"/>
        </w:rPr>
        <w:t xml:space="preserve"> agents in a UCC system: (1) goods suppliers, </w:t>
      </w:r>
      <w:r w:rsidR="00247948" w:rsidRPr="00A96AC5">
        <w:rPr>
          <w:rFonts w:cs="Times New Roman"/>
        </w:rPr>
        <w:t xml:space="preserve">who </w:t>
      </w:r>
      <w:r w:rsidR="00013E7D" w:rsidRPr="00A96AC5">
        <w:rPr>
          <w:rFonts w:cs="Times New Roman"/>
        </w:rPr>
        <w:t>provide the goods for the consumers; (2) LSPs, includ</w:t>
      </w:r>
      <w:r w:rsidR="00247948" w:rsidRPr="00A96AC5">
        <w:rPr>
          <w:rFonts w:cs="Times New Roman"/>
        </w:rPr>
        <w:t>ing</w:t>
      </w:r>
      <w:r w:rsidR="00013E7D" w:rsidRPr="00A96AC5">
        <w:rPr>
          <w:rFonts w:cs="Times New Roman"/>
        </w:rPr>
        <w:t xml:space="preserve"> the long-haul carriers and local carriers; (3) </w:t>
      </w:r>
      <w:r w:rsidR="00E3307E">
        <w:rPr>
          <w:rFonts w:cs="Times New Roman"/>
        </w:rPr>
        <w:t xml:space="preserve">UCC </w:t>
      </w:r>
      <w:r w:rsidR="00013E7D" w:rsidRPr="00A96AC5">
        <w:rPr>
          <w:rFonts w:cs="Times New Roman"/>
        </w:rPr>
        <w:t>operators, responsible for the management and operation of</w:t>
      </w:r>
      <w:r w:rsidR="00247948" w:rsidRPr="00A96AC5">
        <w:rPr>
          <w:rFonts w:cs="Times New Roman"/>
        </w:rPr>
        <w:t xml:space="preserve"> the</w:t>
      </w:r>
      <w:r w:rsidR="00013E7D" w:rsidRPr="00A96AC5">
        <w:rPr>
          <w:rFonts w:cs="Times New Roman"/>
        </w:rPr>
        <w:t xml:space="preserve"> UCC project; (4) receivers, </w:t>
      </w:r>
      <w:r w:rsidR="00247948" w:rsidRPr="00A96AC5">
        <w:rPr>
          <w:rFonts w:cs="Times New Roman"/>
        </w:rPr>
        <w:t xml:space="preserve">or the </w:t>
      </w:r>
      <w:r w:rsidR="00013E7D" w:rsidRPr="00A96AC5">
        <w:rPr>
          <w:rFonts w:cs="Times New Roman"/>
        </w:rPr>
        <w:t>consumer</w:t>
      </w:r>
      <w:r w:rsidR="00AA0F87">
        <w:rPr>
          <w:rFonts w:cs="Times New Roman"/>
        </w:rPr>
        <w:t>,</w:t>
      </w:r>
      <w:r w:rsidR="00013E7D" w:rsidRPr="00A96AC5">
        <w:rPr>
          <w:rFonts w:cs="Times New Roman"/>
        </w:rPr>
        <w:t xml:space="preserve"> ordering the goods from </w:t>
      </w:r>
      <w:r w:rsidR="00247948" w:rsidRPr="00A96AC5">
        <w:rPr>
          <w:rFonts w:cs="Times New Roman"/>
        </w:rPr>
        <w:t xml:space="preserve">the </w:t>
      </w:r>
      <w:r w:rsidR="00013E7D" w:rsidRPr="00A96AC5">
        <w:rPr>
          <w:rFonts w:cs="Times New Roman"/>
        </w:rPr>
        <w:t xml:space="preserve">suppliers and generating the logistics demands; and (5) </w:t>
      </w:r>
      <w:r w:rsidR="00A84BEB">
        <w:rPr>
          <w:rFonts w:cs="Times New Roman"/>
        </w:rPr>
        <w:t>LAs</w:t>
      </w:r>
      <w:r w:rsidR="00013E7D" w:rsidRPr="00A96AC5">
        <w:rPr>
          <w:rFonts w:cs="Times New Roman"/>
        </w:rPr>
        <w:t xml:space="preserve">, </w:t>
      </w:r>
      <w:r w:rsidR="00247948" w:rsidRPr="00A96AC5">
        <w:rPr>
          <w:rFonts w:cs="Times New Roman"/>
        </w:rPr>
        <w:t xml:space="preserve">which </w:t>
      </w:r>
      <w:r w:rsidR="00013E7D" w:rsidRPr="00A96AC5">
        <w:rPr>
          <w:rFonts w:cs="Times New Roman"/>
        </w:rPr>
        <w:t xml:space="preserve">govern and plan the city transportation. </w:t>
      </w:r>
    </w:p>
    <w:p w14:paraId="7C38F43F" w14:textId="70798014" w:rsidR="00013E7D" w:rsidRPr="00A96AC5" w:rsidRDefault="00013E7D" w:rsidP="0044359E">
      <w:pPr>
        <w:spacing w:before="240" w:after="240" w:line="360" w:lineRule="auto"/>
        <w:rPr>
          <w:rFonts w:cs="Times New Roman"/>
        </w:rPr>
      </w:pPr>
      <w:r w:rsidRPr="00A96AC5">
        <w:rPr>
          <w:rFonts w:cs="Times New Roman"/>
        </w:rPr>
        <w:t>The property right</w:t>
      </w:r>
      <w:r w:rsidR="00247948" w:rsidRPr="00A96AC5">
        <w:rPr>
          <w:rFonts w:cs="Times New Roman"/>
        </w:rPr>
        <w:t>s</w:t>
      </w:r>
      <w:r w:rsidRPr="00A96AC5">
        <w:rPr>
          <w:rFonts w:cs="Times New Roman"/>
        </w:rPr>
        <w:t xml:space="preserve"> of UCC</w:t>
      </w:r>
      <w:r w:rsidR="002405B0">
        <w:rPr>
          <w:rFonts w:cs="Times New Roman"/>
        </w:rPr>
        <w:t>s</w:t>
      </w:r>
      <w:r w:rsidRPr="00A96AC5">
        <w:rPr>
          <w:rFonts w:cs="Times New Roman"/>
        </w:rPr>
        <w:t xml:space="preserve"> can be classified into four </w:t>
      </w:r>
      <w:r w:rsidR="00247948" w:rsidRPr="00A96AC5">
        <w:rPr>
          <w:rFonts w:cs="Times New Roman"/>
        </w:rPr>
        <w:t xml:space="preserve">categories </w:t>
      </w:r>
      <w:r w:rsidR="00D7495B">
        <w:rPr>
          <w:noProof/>
        </w:rPr>
        <w:t>(Tario et al., 2011)</w:t>
      </w:r>
      <w:r w:rsidR="00247948" w:rsidRPr="00A96AC5">
        <w:rPr>
          <w:rFonts w:cs="Times New Roman"/>
        </w:rPr>
        <w:t>. The first of these is the</w:t>
      </w:r>
      <w:r w:rsidRPr="00A96AC5">
        <w:rPr>
          <w:rFonts w:cs="Times New Roman"/>
        </w:rPr>
        <w:t xml:space="preserve"> single private ownership, </w:t>
      </w:r>
      <w:r w:rsidR="00247948" w:rsidRPr="00A96AC5">
        <w:rPr>
          <w:rFonts w:cs="Times New Roman"/>
        </w:rPr>
        <w:t xml:space="preserve">where </w:t>
      </w:r>
      <w:r w:rsidRPr="00A96AC5">
        <w:rPr>
          <w:rFonts w:cs="Times New Roman"/>
        </w:rPr>
        <w:t xml:space="preserve">one private company establishes a UCC for </w:t>
      </w:r>
      <w:r w:rsidR="00247948" w:rsidRPr="00A96AC5">
        <w:rPr>
          <w:rFonts w:cs="Times New Roman"/>
        </w:rPr>
        <w:t xml:space="preserve">a </w:t>
      </w:r>
      <w:r w:rsidRPr="00A96AC5">
        <w:rPr>
          <w:rFonts w:cs="Times New Roman"/>
        </w:rPr>
        <w:t xml:space="preserve">commercial purpose or </w:t>
      </w:r>
      <w:r w:rsidR="00247948" w:rsidRPr="00A96AC5">
        <w:rPr>
          <w:rFonts w:cs="Times New Roman"/>
        </w:rPr>
        <w:t xml:space="preserve">the </w:t>
      </w:r>
      <w:r w:rsidRPr="00A96AC5">
        <w:rPr>
          <w:rFonts w:cs="Times New Roman"/>
        </w:rPr>
        <w:t xml:space="preserve">government </w:t>
      </w:r>
      <w:r w:rsidR="00247948" w:rsidRPr="00A96AC5">
        <w:rPr>
          <w:rFonts w:cs="Times New Roman"/>
        </w:rPr>
        <w:t xml:space="preserve">franchises </w:t>
      </w:r>
      <w:r w:rsidRPr="00A96AC5">
        <w:rPr>
          <w:rFonts w:cs="Times New Roman"/>
        </w:rPr>
        <w:t xml:space="preserve">a private company to operate </w:t>
      </w:r>
      <w:r w:rsidR="00247948" w:rsidRPr="00A96AC5">
        <w:rPr>
          <w:rFonts w:cs="Times New Roman"/>
        </w:rPr>
        <w:t xml:space="preserve">a </w:t>
      </w:r>
      <w:r w:rsidRPr="00A96AC5">
        <w:rPr>
          <w:rFonts w:cs="Times New Roman"/>
        </w:rPr>
        <w:t xml:space="preserve">UCC in a specific district </w:t>
      </w:r>
      <w:r w:rsidR="00247948" w:rsidRPr="00A96AC5">
        <w:rPr>
          <w:rFonts w:cs="Times New Roman"/>
        </w:rPr>
        <w:t xml:space="preserve">to exploit the </w:t>
      </w:r>
      <w:r w:rsidRPr="00A96AC5">
        <w:rPr>
          <w:rFonts w:cs="Times New Roman"/>
        </w:rPr>
        <w:t>environmental and social advantages (e.g.</w:t>
      </w:r>
      <w:r w:rsidR="00247948" w:rsidRPr="00A96AC5">
        <w:rPr>
          <w:rFonts w:cs="Times New Roman"/>
        </w:rPr>
        <w:t>,</w:t>
      </w:r>
      <w:r w:rsidRPr="00A96AC5">
        <w:rPr>
          <w:rFonts w:cs="Times New Roman"/>
        </w:rPr>
        <w:t xml:space="preserve"> using cleaning vehicles</w:t>
      </w:r>
      <w:r w:rsidR="00247948" w:rsidRPr="00A96AC5">
        <w:rPr>
          <w:rFonts w:cs="Times New Roman"/>
        </w:rPr>
        <w:t xml:space="preserve">). Second, there are </w:t>
      </w:r>
      <w:r w:rsidRPr="00A96AC5">
        <w:rPr>
          <w:rFonts w:cs="Times New Roman"/>
        </w:rPr>
        <w:t>private joint venture</w:t>
      </w:r>
      <w:r w:rsidR="00247948" w:rsidRPr="00A96AC5">
        <w:rPr>
          <w:rFonts w:cs="Times New Roman"/>
        </w:rPr>
        <w:t>s</w:t>
      </w:r>
      <w:r w:rsidRPr="00A96AC5">
        <w:rPr>
          <w:rFonts w:cs="Times New Roman"/>
        </w:rPr>
        <w:t xml:space="preserve">, </w:t>
      </w:r>
      <w:r w:rsidR="00247948" w:rsidRPr="00A96AC5">
        <w:rPr>
          <w:rFonts w:cs="Times New Roman"/>
        </w:rPr>
        <w:t xml:space="preserve">in which a </w:t>
      </w:r>
      <w:r w:rsidRPr="00A96AC5">
        <w:rPr>
          <w:rFonts w:cs="Times New Roman"/>
        </w:rPr>
        <w:t xml:space="preserve">UCC is set up by multiple private </w:t>
      </w:r>
      <w:r w:rsidR="00247948" w:rsidRPr="00A96AC5">
        <w:rPr>
          <w:rFonts w:cs="Times New Roman"/>
        </w:rPr>
        <w:t xml:space="preserve">logistics industry </w:t>
      </w:r>
      <w:r w:rsidRPr="00A96AC5">
        <w:rPr>
          <w:rFonts w:cs="Times New Roman"/>
        </w:rPr>
        <w:t>companies,</w:t>
      </w:r>
      <w:r w:rsidR="00247948" w:rsidRPr="00A96AC5">
        <w:rPr>
          <w:rFonts w:cs="Times New Roman"/>
        </w:rPr>
        <w:t xml:space="preserve"> operating as </w:t>
      </w:r>
      <w:r w:rsidRPr="00A96AC5">
        <w:rPr>
          <w:rFonts w:cs="Times New Roman"/>
        </w:rPr>
        <w:t xml:space="preserve">multiple cooperative carriers. </w:t>
      </w:r>
      <w:r w:rsidR="00247948" w:rsidRPr="00A96AC5">
        <w:rPr>
          <w:rFonts w:cs="Times New Roman"/>
        </w:rPr>
        <w:t xml:space="preserve">Third, there are </w:t>
      </w:r>
      <w:r w:rsidRPr="00A96AC5">
        <w:rPr>
          <w:rFonts w:cs="Times New Roman"/>
        </w:rPr>
        <w:t>public</w:t>
      </w:r>
      <w:r w:rsidR="00247948" w:rsidRPr="00A96AC5">
        <w:rPr>
          <w:rFonts w:cs="Times New Roman"/>
        </w:rPr>
        <w:t>-</w:t>
      </w:r>
      <w:r w:rsidRPr="00A96AC5">
        <w:rPr>
          <w:rFonts w:cs="Times New Roman"/>
        </w:rPr>
        <w:t>private partnerships</w:t>
      </w:r>
      <w:r w:rsidR="006C7B4C" w:rsidRPr="00A96AC5">
        <w:rPr>
          <w:rFonts w:cs="Times New Roman"/>
        </w:rPr>
        <w:t xml:space="preserve"> (PPPs)</w:t>
      </w:r>
      <w:r w:rsidRPr="00A96AC5">
        <w:rPr>
          <w:rFonts w:cs="Times New Roman"/>
        </w:rPr>
        <w:t xml:space="preserve">, normally </w:t>
      </w:r>
      <w:r w:rsidR="00247948" w:rsidRPr="00A96AC5">
        <w:rPr>
          <w:rFonts w:cs="Times New Roman"/>
        </w:rPr>
        <w:t xml:space="preserve">including </w:t>
      </w:r>
      <w:r w:rsidR="00A84BEB">
        <w:rPr>
          <w:rFonts w:cs="Times New Roman"/>
        </w:rPr>
        <w:t>LAs</w:t>
      </w:r>
      <w:r w:rsidRPr="00A96AC5">
        <w:rPr>
          <w:rFonts w:cs="Times New Roman"/>
        </w:rPr>
        <w:t xml:space="preserve">, </w:t>
      </w:r>
      <w:r w:rsidRPr="00A96AC5">
        <w:rPr>
          <w:rFonts w:cs="Times New Roman" w:hint="eastAsia"/>
          <w:color w:val="000000"/>
          <w:szCs w:val="24"/>
        </w:rPr>
        <w:t>chambers of commerce</w:t>
      </w:r>
      <w:r w:rsidR="00247948" w:rsidRPr="00A96AC5">
        <w:rPr>
          <w:rFonts w:cs="Times New Roman" w:hint="eastAsia"/>
          <w:color w:val="000000"/>
          <w:szCs w:val="24"/>
        </w:rPr>
        <w:t>,</w:t>
      </w:r>
      <w:r w:rsidRPr="00A96AC5">
        <w:rPr>
          <w:rFonts w:cs="Times New Roman" w:hint="eastAsia"/>
          <w:color w:val="000000"/>
          <w:szCs w:val="24"/>
        </w:rPr>
        <w:t xml:space="preserve"> or LSPs (long-haul carrier</w:t>
      </w:r>
      <w:r w:rsidR="00247948" w:rsidRPr="00A96AC5">
        <w:rPr>
          <w:rFonts w:cs="Times New Roman" w:hint="eastAsia"/>
          <w:color w:val="000000"/>
          <w:szCs w:val="24"/>
        </w:rPr>
        <w:t>s</w:t>
      </w:r>
      <w:r w:rsidRPr="00A96AC5">
        <w:rPr>
          <w:rFonts w:cs="Times New Roman" w:hint="eastAsia"/>
          <w:color w:val="000000"/>
          <w:szCs w:val="24"/>
        </w:rPr>
        <w:t xml:space="preserve"> or local carrier</w:t>
      </w:r>
      <w:r w:rsidR="00247948" w:rsidRPr="00A96AC5">
        <w:rPr>
          <w:rFonts w:cs="Times New Roman" w:hint="eastAsia"/>
          <w:color w:val="000000"/>
          <w:szCs w:val="24"/>
        </w:rPr>
        <w:t>s</w:t>
      </w:r>
      <w:r w:rsidRPr="00A96AC5">
        <w:rPr>
          <w:rFonts w:cs="Times New Roman" w:hint="eastAsia"/>
          <w:color w:val="000000"/>
          <w:szCs w:val="24"/>
        </w:rPr>
        <w:t xml:space="preserve">) and retailers in </w:t>
      </w:r>
      <w:r w:rsidR="00247948" w:rsidRPr="00A96AC5">
        <w:rPr>
          <w:rFonts w:cs="Times New Roman" w:hint="eastAsia"/>
          <w:color w:val="000000"/>
          <w:szCs w:val="24"/>
        </w:rPr>
        <w:t xml:space="preserve">the </w:t>
      </w:r>
      <w:r w:rsidRPr="00A96AC5">
        <w:rPr>
          <w:rFonts w:cs="Times New Roman" w:hint="eastAsia"/>
          <w:color w:val="000000"/>
          <w:szCs w:val="24"/>
        </w:rPr>
        <w:t xml:space="preserve">urban area. </w:t>
      </w:r>
      <w:r w:rsidR="00247948" w:rsidRPr="008903D1">
        <w:rPr>
          <w:rFonts w:cs="Times New Roman"/>
        </w:rPr>
        <w:t xml:space="preserve">Finally, the fourth category is the </w:t>
      </w:r>
      <w:r w:rsidRPr="00737239">
        <w:rPr>
          <w:rFonts w:cs="Times New Roman"/>
        </w:rPr>
        <w:t>state-owned UCC</w:t>
      </w:r>
      <w:r w:rsidR="00247948" w:rsidRPr="00802DC5">
        <w:rPr>
          <w:rFonts w:cs="Times New Roman"/>
        </w:rPr>
        <w:t>,</w:t>
      </w:r>
      <w:r w:rsidRPr="006C301D">
        <w:rPr>
          <w:rFonts w:cs="Times New Roman"/>
        </w:rPr>
        <w:t xml:space="preserve"> set up by government or other public institution</w:t>
      </w:r>
      <w:r w:rsidR="00247948" w:rsidRPr="00A96AC5">
        <w:rPr>
          <w:rFonts w:cs="Times New Roman"/>
        </w:rPr>
        <w:t xml:space="preserve">. The </w:t>
      </w:r>
      <w:r w:rsidRPr="00A96AC5">
        <w:rPr>
          <w:rFonts w:cs="Times New Roman"/>
        </w:rPr>
        <w:t xml:space="preserve">public </w:t>
      </w:r>
      <w:r w:rsidR="00247948" w:rsidRPr="00A96AC5">
        <w:rPr>
          <w:rFonts w:cs="Times New Roman"/>
        </w:rPr>
        <w:t xml:space="preserve">authority </w:t>
      </w:r>
      <w:r w:rsidRPr="00A96AC5">
        <w:rPr>
          <w:rFonts w:cs="Times New Roman"/>
        </w:rPr>
        <w:t>pay</w:t>
      </w:r>
      <w:r w:rsidR="00247948" w:rsidRPr="00A96AC5">
        <w:rPr>
          <w:rFonts w:cs="Times New Roman"/>
        </w:rPr>
        <w:t>s</w:t>
      </w:r>
      <w:r w:rsidRPr="00A96AC5">
        <w:rPr>
          <w:rFonts w:cs="Times New Roman"/>
        </w:rPr>
        <w:t xml:space="preserve"> all </w:t>
      </w:r>
      <w:r w:rsidR="00247948" w:rsidRPr="00A96AC5">
        <w:rPr>
          <w:rFonts w:cs="Times New Roman"/>
        </w:rPr>
        <w:t xml:space="preserve">the expenses </w:t>
      </w:r>
      <w:r w:rsidRPr="00A96AC5">
        <w:rPr>
          <w:rFonts w:cs="Times New Roman"/>
        </w:rPr>
        <w:t xml:space="preserve">of the project, </w:t>
      </w:r>
      <w:r w:rsidR="00247948" w:rsidRPr="00A96AC5">
        <w:rPr>
          <w:rFonts w:cs="Times New Roman"/>
        </w:rPr>
        <w:t xml:space="preserve">and </w:t>
      </w:r>
      <w:r w:rsidRPr="00A96AC5">
        <w:rPr>
          <w:rFonts w:cs="Times New Roman"/>
        </w:rPr>
        <w:t xml:space="preserve">a private company </w:t>
      </w:r>
      <w:r w:rsidR="00247948" w:rsidRPr="00A96AC5">
        <w:rPr>
          <w:rFonts w:cs="Times New Roman"/>
        </w:rPr>
        <w:t xml:space="preserve">is usually </w:t>
      </w:r>
      <w:r w:rsidRPr="00A96AC5">
        <w:rPr>
          <w:rFonts w:cs="Times New Roman"/>
        </w:rPr>
        <w:t xml:space="preserve">hired to operate </w:t>
      </w:r>
      <w:r w:rsidR="00247948" w:rsidRPr="00A96AC5">
        <w:rPr>
          <w:rFonts w:cs="Times New Roman"/>
        </w:rPr>
        <w:t xml:space="preserve">the </w:t>
      </w:r>
      <w:r w:rsidRPr="00A96AC5">
        <w:rPr>
          <w:rFonts w:cs="Times New Roman"/>
        </w:rPr>
        <w:t>facility.</w:t>
      </w:r>
    </w:p>
    <w:p w14:paraId="698251F6" w14:textId="53717338" w:rsidR="00013E7D" w:rsidRPr="00A96AC5" w:rsidRDefault="00247948" w:rsidP="0044359E">
      <w:pPr>
        <w:spacing w:before="240" w:after="240" w:line="360" w:lineRule="auto"/>
        <w:rPr>
          <w:rFonts w:cs="Times New Roman"/>
        </w:rPr>
      </w:pPr>
      <w:r w:rsidRPr="00A96AC5">
        <w:rPr>
          <w:rFonts w:cs="Times New Roman"/>
        </w:rPr>
        <w:t xml:space="preserve">While the </w:t>
      </w:r>
      <w:r w:rsidR="00013E7D" w:rsidRPr="00A96AC5">
        <w:rPr>
          <w:rFonts w:cs="Times New Roman"/>
        </w:rPr>
        <w:t xml:space="preserve">attributes of </w:t>
      </w:r>
      <w:r w:rsidRPr="00A96AC5">
        <w:rPr>
          <w:rFonts w:cs="Times New Roman"/>
        </w:rPr>
        <w:t xml:space="preserve">the </w:t>
      </w:r>
      <w:r w:rsidR="00013E7D" w:rsidRPr="00A96AC5">
        <w:rPr>
          <w:rFonts w:cs="Times New Roman"/>
        </w:rPr>
        <w:t xml:space="preserve">involved stakeholders are heterogeneous, their objectives and behaviours are </w:t>
      </w:r>
      <w:r w:rsidRPr="00A96AC5">
        <w:rPr>
          <w:rFonts w:cs="Times New Roman"/>
        </w:rPr>
        <w:t xml:space="preserve">varied </w:t>
      </w:r>
      <w:r w:rsidR="00A020BB">
        <w:rPr>
          <w:rFonts w:cs="Times New Roman"/>
        </w:rPr>
        <w:fldChar w:fldCharType="begin">
          <w:fldData xml:space="preserve">PEVuZE5vdGU+PENpdGU+PEF1dGhvcj5Ccm93bmU8L0F1dGhvcj48WWVhcj4yMDA3PC9ZZWFyPjxS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</w:fldData>
        </w:fldChar>
      </w:r>
      <w:r w:rsidR="00CA2D5D">
        <w:rPr>
          <w:rFonts w:cs="Times New Roman"/>
        </w:rPr>
        <w:instrText xml:space="preserve"> ADDIN EN.CITE </w:instrText>
      </w:r>
      <w:r w:rsidR="00CA2D5D">
        <w:rPr>
          <w:rFonts w:cs="Times New Roman"/>
        </w:rPr>
        <w:fldChar w:fldCharType="begin">
          <w:fldData xml:space="preserve">PEVuZE5vdGU+PENpdGU+PEF1dGhvcj5Ccm93bmU8L0F1dGhvcj48WWVhcj4yMDA3PC9ZZWFyPjxS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</w:fldData>
        </w:fldChar>
      </w:r>
      <w:r w:rsidR="00CA2D5D">
        <w:rPr>
          <w:rFonts w:cs="Times New Roman"/>
        </w:rPr>
        <w:instrText xml:space="preserve"> ADDIN EN.CITE.DATA </w:instrText>
      </w:r>
      <w:r w:rsidR="00CA2D5D">
        <w:rPr>
          <w:rFonts w:cs="Times New Roman"/>
        </w:rPr>
      </w:r>
      <w:r w:rsidR="00CA2D5D">
        <w:rPr>
          <w:rFonts w:cs="Times New Roman"/>
        </w:rPr>
        <w:fldChar w:fldCharType="end"/>
      </w:r>
      <w:r w:rsidR="00A020BB">
        <w:rPr>
          <w:rFonts w:cs="Times New Roman"/>
        </w:rPr>
      </w:r>
      <w:r w:rsidR="00A020BB">
        <w:rPr>
          <w:rFonts w:cs="Times New Roman"/>
        </w:rPr>
        <w:fldChar w:fldCharType="separate"/>
      </w:r>
      <w:r w:rsidR="00A020BB">
        <w:rPr>
          <w:rFonts w:cs="Times New Roman"/>
          <w:noProof/>
        </w:rPr>
        <w:t>(Browne et al., 2007, Anand et al., 2014, Anand et al., 2015)</w:t>
      </w:r>
      <w:r w:rsidR="00A020BB">
        <w:rPr>
          <w:rFonts w:cs="Times New Roman"/>
        </w:rPr>
        <w:fldChar w:fldCharType="end"/>
      </w:r>
      <w:r w:rsidR="00013E7D" w:rsidRPr="00A96AC5">
        <w:rPr>
          <w:rFonts w:cs="Times New Roman"/>
        </w:rPr>
        <w:t xml:space="preserve">. As a result, </w:t>
      </w:r>
      <w:r w:rsidRPr="00A96AC5">
        <w:rPr>
          <w:rFonts w:cs="Times New Roman"/>
        </w:rPr>
        <w:t xml:space="preserve">the parties obtain various </w:t>
      </w:r>
      <w:r w:rsidR="00013E7D" w:rsidRPr="00A96AC5">
        <w:rPr>
          <w:rFonts w:cs="Times New Roman"/>
        </w:rPr>
        <w:t xml:space="preserve">advantage and disadvantages </w:t>
      </w:r>
      <w:r w:rsidRPr="00A96AC5">
        <w:rPr>
          <w:rFonts w:cs="Times New Roman"/>
        </w:rPr>
        <w:t xml:space="preserve">from the UCC and there are frequent </w:t>
      </w:r>
      <w:r w:rsidR="00013E7D" w:rsidRPr="00A96AC5">
        <w:rPr>
          <w:rFonts w:cs="Times New Roman"/>
        </w:rPr>
        <w:t xml:space="preserve">conflicts </w:t>
      </w:r>
      <w:r w:rsidRPr="00A96AC5">
        <w:rPr>
          <w:rFonts w:cs="Times New Roman"/>
        </w:rPr>
        <w:t xml:space="preserve">between the </w:t>
      </w:r>
      <w:r w:rsidR="00013E7D" w:rsidRPr="00A96AC5">
        <w:rPr>
          <w:rFonts w:cs="Times New Roman"/>
        </w:rPr>
        <w:t xml:space="preserve">stakeholders </w:t>
      </w:r>
      <w:r w:rsidRPr="00A96AC5">
        <w:rPr>
          <w:rFonts w:cs="Times New Roman"/>
        </w:rPr>
        <w:t xml:space="preserve">at the </w:t>
      </w:r>
      <w:r w:rsidR="00013E7D" w:rsidRPr="00A96AC5">
        <w:rPr>
          <w:rFonts w:cs="Times New Roman"/>
        </w:rPr>
        <w:t xml:space="preserve">operational stage. </w:t>
      </w:r>
      <w:r w:rsidR="001441DE" w:rsidRPr="00A96AC5">
        <w:rPr>
          <w:rFonts w:cs="Times New Roman"/>
        </w:rPr>
        <w:t xml:space="preserve">Furthermore, disagreements between stakeholders aggravate the projects’ inherent issues (e.g., financial difficulties and logistical efficiency) </w:t>
      </w:r>
      <w:r w:rsidR="00A24B59">
        <w:rPr>
          <w:rFonts w:cs="Times New Roman"/>
        </w:rPr>
        <w:fldChar w:fldCharType="begin"/>
      </w:r>
      <w:r w:rsidR="00CA2D5D">
        <w:rPr>
          <w:rFonts w:cs="Times New Roman"/>
        </w:rPr>
        <w:instrText xml:space="preserve"> ADDIN EN.CITE &lt;EndNote&gt;&lt;Cite&gt;&lt;Author&gt;Marcucci&lt;/Author&gt;&lt;Year&gt;2008&lt;/Year&gt;&lt;RecNum&gt;227&lt;/RecNum&gt;&lt;DisplayText&gt;(Marcucci and Danielis, 2008, Van Duin et al., 2018)&lt;/DisplayText&gt;&lt;record&gt;&lt;rec-number&gt;227&lt;/rec-number&gt;&lt;foreign-keys&gt;&lt;key app="EN" db-id="x5etaz5aiszvz0edasvvpwvotttxepvd25t2" timestamp="1611177411"&gt;227&lt;/key&gt;&lt;/foreign-keys&gt;&lt;ref-type name="Journal Article"&gt;17&lt;/ref-type&gt;&lt;contributors&gt;&lt;authors&gt;&lt;author&gt;Marcucci, Edoardo&lt;/author&gt;&lt;author&gt;Danielis, Romeo&lt;/author&gt;&lt;/authors&gt;&lt;/contributors&gt;&lt;titles&gt;&lt;title&gt;The potential demand for a urban freight consolidation centre&lt;/title&gt;&lt;secondary-title&gt;Transportation&lt;/secondary-title&gt;&lt;/titles&gt;&lt;periodical&gt;&lt;full-title&gt;Transportation&lt;/full-title&gt;&lt;abbr-1&gt;Transportation&lt;/abbr-1&gt;&lt;/periodical&gt;&lt;pages&gt;269-284&lt;/pages&gt;&lt;volume&gt;35&lt;/volume&gt;&lt;number&gt;2&lt;/number&gt;&lt;dates&gt;&lt;year&gt;2008&lt;/year&gt;&lt;/dates&gt;&lt;isbn&gt;0049-4488&lt;/isbn&gt;&lt;urls&gt;&lt;related-urls&gt;&lt;url&gt;https://link.springer.com/article/10.1007%2Fs11116-007-9147-3?LI=true&lt;/url&gt;&lt;/related-urls&gt;&lt;/urls&gt;&lt;research-notes&gt;26&lt;/research-notes&gt;&lt;/record&gt;&lt;/Cite&gt;&lt;Cite&gt;&lt;Author&gt;Van Duin&lt;/Author&gt;&lt;Year&gt;2018&lt;/Year&gt;&lt;RecNum&gt;36&lt;/RecNum&gt;&lt;record&gt;&lt;rec-number&gt;36&lt;/rec-number&gt;&lt;foreign-keys&gt;&lt;key app="EN" db-id="pzt5ep52hsedfpeext2pdfes0w0aswaewef2" timestamp="1605187992"&gt;36&lt;/key&gt;&lt;/foreign-keys&gt;&lt;ref-type name="Journal Article"&gt;17&lt;/ref-type&gt;&lt;contributors&gt;&lt;authors&gt;&lt;author&gt;Van Duin, Ron&lt;/author&gt;&lt;author&gt;Slabbekoorn, Marijn&lt;/author&gt;&lt;author&gt;Tavasszy, Lori&lt;/author&gt;&lt;author&gt;Quak, Hans&lt;/author&gt;&lt;/authors&gt;&lt;/contributors&gt;&lt;titles&gt;&lt;title&gt;Identifying dominant stakeholder perspectives on urban freight policies: a Q-analysis on urban consolidation centres in the Netherlands&lt;/title&gt;&lt;secondary-title&gt;Transport&lt;/secondary-title&gt;&lt;/titles&gt;&lt;periodical&gt;&lt;full-title&gt;Transport&lt;/full-title&gt;&lt;/periodical&gt;&lt;pages&gt;867-880&lt;/pages&gt;&lt;volume&gt;33&lt;/volume&gt;&lt;number&gt;4&lt;/number&gt;&lt;dates&gt;&lt;year&gt;2018&lt;/year&gt;&lt;/dates&gt;&lt;isbn&gt;1648-3480&lt;/isbn&gt;&lt;urls&gt;&lt;/urls&gt;&lt;/record&gt;&lt;/Cite&gt;&lt;/EndNote&gt;</w:instrText>
      </w:r>
      <w:r w:rsidR="00A24B59">
        <w:rPr>
          <w:rFonts w:cs="Times New Roman"/>
        </w:rPr>
        <w:fldChar w:fldCharType="separate"/>
      </w:r>
      <w:r w:rsidR="00A24B59">
        <w:rPr>
          <w:rFonts w:cs="Times New Roman"/>
          <w:noProof/>
        </w:rPr>
        <w:t>(Marcucci and Danielis, 2008, Van Duin et al., 2018)</w:t>
      </w:r>
      <w:r w:rsidR="00A24B59">
        <w:rPr>
          <w:rFonts w:cs="Times New Roman"/>
        </w:rPr>
        <w:fldChar w:fldCharType="end"/>
      </w:r>
      <w:r w:rsidR="001441DE" w:rsidRPr="00737239">
        <w:rPr>
          <w:rFonts w:cs="Times New Roman"/>
        </w:rPr>
        <w:t>. Consequently, most UCCs are not permanently sustained after the trial stage.</w:t>
      </w:r>
    </w:p>
    <w:p w14:paraId="5AFC64F3" w14:textId="28120BFD" w:rsidR="00013E7D" w:rsidRPr="00A96AC5" w:rsidRDefault="00665464" w:rsidP="0044359E">
      <w:pPr>
        <w:spacing w:before="240" w:after="240" w:line="360" w:lineRule="auto"/>
        <w:rPr>
          <w:rFonts w:cs="Times New Roman"/>
        </w:rPr>
      </w:pPr>
      <w:r w:rsidRPr="008903D1">
        <w:rPr>
          <w:rFonts w:cs="Times New Roman"/>
        </w:rPr>
        <w:t>Indeed, UCC projects</w:t>
      </w:r>
      <w:r w:rsidRPr="00737239">
        <w:rPr>
          <w:rFonts w:cs="Times New Roman"/>
        </w:rPr>
        <w:t xml:space="preserve"> suffer high failure rates due to these deficits. Most projects fail to generate sufficient income, and the operational costs are relatively high </w:t>
      </w:r>
      <w:r w:rsidR="00B13CA2">
        <w:rPr>
          <w:rFonts w:cs="Times New Roman"/>
          <w:noProof/>
        </w:rPr>
        <w:fldChar w:fldCharType="begin"/>
      </w:r>
      <w:r w:rsidR="00F67627">
        <w:rPr>
          <w:rFonts w:cs="Times New Roman"/>
          <w:noProof/>
        </w:rPr>
        <w:instrText xml:space="preserve"> ADDIN EN.CITE &lt;EndNote&gt;&lt;Cite&gt;&lt;Author&gt;Quak&lt;/Author&gt;&lt;Year&gt;2011&lt;/Year&gt;&lt;RecNum&gt;226&lt;/RecNum&gt;&lt;DisplayText&gt;(Quak and Tavasszy, 2011)&lt;/DisplayText&gt;&lt;record&gt;&lt;rec-number&gt;226&lt;/rec-number&gt;&lt;foreign-keys&gt;&lt;key app="EN" db-id="x5etaz5aiszvz0edasvvpwvotttxepvd25t2" timestamp="1611177411"&gt;226&lt;/key&gt;&lt;/foreign-keys&gt;&lt;ref-type name="Journal Article"&gt;17&lt;/ref-type&gt;&lt;contributors&gt;&lt;authors&gt;&lt;author&gt;Quak, H.&lt;/author&gt;&lt;author&gt;Tavasszy, L.&lt;/author&gt;&lt;/authors&gt;&lt;/contributors&gt;&lt;titles&gt;&lt;title&gt;Customized solutions for sustainable city logistics: The viability of urban freight consolidation centres&lt;/title&gt;&lt;secondary-title&gt;Transitions Towards Sustainable Mobility&lt;/secondary-title&gt;&lt;/titles&gt;&lt;periodical&gt;&lt;full-title&gt;Transitions Towards Sustainable Mobility&lt;/full-title&gt;&lt;/periodical&gt;&lt;pages&gt;213-233&lt;/pages&gt;&lt;dates&gt;&lt;year&gt;2011&lt;/year&gt;&lt;/dates&gt;&lt;urls&gt;&lt;/urls&gt;&lt;/record&gt;&lt;/Cite&gt;&lt;/EndNote&gt;</w:instrText>
      </w:r>
      <w:r w:rsidR="00B13CA2">
        <w:rPr>
          <w:rFonts w:cs="Times New Roman"/>
          <w:noProof/>
        </w:rPr>
        <w:fldChar w:fldCharType="separate"/>
      </w:r>
      <w:r w:rsidR="00F67627">
        <w:rPr>
          <w:rFonts w:cs="Times New Roman"/>
          <w:noProof/>
        </w:rPr>
        <w:t>(Quak and Tavasszy, 2011)</w:t>
      </w:r>
      <w:r w:rsidR="00B13CA2">
        <w:rPr>
          <w:rFonts w:cs="Times New Roman"/>
          <w:noProof/>
        </w:rPr>
        <w:fldChar w:fldCharType="end"/>
      </w:r>
      <w:r w:rsidR="007F3FDE">
        <w:rPr>
          <w:rFonts w:cs="Times New Roman"/>
        </w:rPr>
        <w:t xml:space="preserve">. </w:t>
      </w:r>
      <w:r w:rsidRPr="00737239">
        <w:rPr>
          <w:rFonts w:cs="Times New Roman"/>
        </w:rPr>
        <w:t xml:space="preserve">As a result, they rely heavily on public subsidies and when this funding is exhausted, they are terminated </w:t>
      </w:r>
      <w:r w:rsidR="00B13CA2">
        <w:rPr>
          <w:rFonts w:cs="Times New Roman"/>
        </w:rPr>
        <w:fldChar w:fldCharType="begin">
          <w:fldData xml:space="preserve">PEVuZE5vdGU+PENpdGU+PEF1dGhvcj5Ccm93bmU8L0F1dGhvcj48WWVhcj4yMDA1PC9ZZWFyPjxS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</w:fldData>
        </w:fldChar>
      </w:r>
      <w:r w:rsidR="00CA2D5D">
        <w:rPr>
          <w:rFonts w:cs="Times New Roman"/>
        </w:rPr>
        <w:instrText xml:space="preserve"> ADDIN EN.CITE </w:instrText>
      </w:r>
      <w:r w:rsidR="00CA2D5D">
        <w:rPr>
          <w:rFonts w:cs="Times New Roman"/>
        </w:rPr>
        <w:fldChar w:fldCharType="begin">
          <w:fldData xml:space="preserve">PEVuZE5vdGU+PENpdGU+PEF1dGhvcj5Ccm93bmU8L0F1dGhvcj48WWVhcj4yMDA1PC9ZZWFyPjxS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</w:fldData>
        </w:fldChar>
      </w:r>
      <w:r w:rsidR="00CA2D5D">
        <w:rPr>
          <w:rFonts w:cs="Times New Roman"/>
        </w:rPr>
        <w:instrText xml:space="preserve"> ADDIN EN.CITE.DATA </w:instrText>
      </w:r>
      <w:r w:rsidR="00CA2D5D">
        <w:rPr>
          <w:rFonts w:cs="Times New Roman"/>
        </w:rPr>
      </w:r>
      <w:r w:rsidR="00CA2D5D">
        <w:rPr>
          <w:rFonts w:cs="Times New Roman"/>
        </w:rPr>
        <w:fldChar w:fldCharType="end"/>
      </w:r>
      <w:r w:rsidR="00B13CA2">
        <w:rPr>
          <w:rFonts w:cs="Times New Roman"/>
        </w:rPr>
      </w:r>
      <w:r w:rsidR="00B13CA2">
        <w:rPr>
          <w:rFonts w:cs="Times New Roman"/>
        </w:rPr>
        <w:fldChar w:fldCharType="separate"/>
      </w:r>
      <w:r w:rsidR="00B13CA2">
        <w:rPr>
          <w:rFonts w:cs="Times New Roman"/>
          <w:noProof/>
        </w:rPr>
        <w:t>(Browne et al., 2005, Duin et al., 2016, Kin et al., 2016)</w:t>
      </w:r>
      <w:r w:rsidR="00B13CA2">
        <w:rPr>
          <w:rFonts w:cs="Times New Roman"/>
        </w:rPr>
        <w:fldChar w:fldCharType="end"/>
      </w:r>
      <w:r w:rsidRPr="00737239">
        <w:rPr>
          <w:rFonts w:cs="Times New Roman"/>
        </w:rPr>
        <w:t xml:space="preserve">. </w:t>
      </w:r>
      <w:r w:rsidR="00013E7D" w:rsidRPr="008903D1">
        <w:rPr>
          <w:rFonts w:cs="Times New Roman"/>
        </w:rPr>
        <w:t xml:space="preserve">Furthermore, </w:t>
      </w:r>
      <w:r w:rsidR="00247948" w:rsidRPr="008903D1">
        <w:rPr>
          <w:rFonts w:cs="Times New Roman"/>
        </w:rPr>
        <w:t xml:space="preserve">as noted above, </w:t>
      </w:r>
      <w:r w:rsidR="00013E7D" w:rsidRPr="00737239">
        <w:rPr>
          <w:rFonts w:cs="Times New Roman"/>
        </w:rPr>
        <w:t xml:space="preserve">internal issues generated by stakeholder conflicts exacerbate the financial difficulties. For example, </w:t>
      </w:r>
      <w:r w:rsidR="00247948" w:rsidRPr="00802DC5">
        <w:rPr>
          <w:rFonts w:cs="Times New Roman"/>
        </w:rPr>
        <w:t xml:space="preserve">UCC </w:t>
      </w:r>
      <w:r w:rsidR="008A01E9">
        <w:rPr>
          <w:rFonts w:cs="Times New Roman"/>
        </w:rPr>
        <w:t>users</w:t>
      </w:r>
      <w:r w:rsidR="00013E7D" w:rsidRPr="006C301D">
        <w:rPr>
          <w:rFonts w:cs="Times New Roman"/>
        </w:rPr>
        <w:t xml:space="preserve"> </w:t>
      </w:r>
      <w:r w:rsidR="00247948" w:rsidRPr="00A96AC5">
        <w:rPr>
          <w:rFonts w:cs="Times New Roman"/>
        </w:rPr>
        <w:t xml:space="preserve">are </w:t>
      </w:r>
      <w:r w:rsidR="00013E7D" w:rsidRPr="00A96AC5">
        <w:rPr>
          <w:rFonts w:cs="Times New Roman"/>
        </w:rPr>
        <w:t xml:space="preserve">reluctant to pay extra fees for delivery from </w:t>
      </w:r>
      <w:r w:rsidR="00247948" w:rsidRPr="00A96AC5">
        <w:rPr>
          <w:rFonts w:cs="Times New Roman"/>
        </w:rPr>
        <w:t xml:space="preserve">the </w:t>
      </w:r>
      <w:r w:rsidR="00013E7D" w:rsidRPr="00A96AC5">
        <w:rPr>
          <w:rFonts w:cs="Times New Roman"/>
        </w:rPr>
        <w:t>UCC</w:t>
      </w:r>
      <w:r w:rsidR="00247948" w:rsidRPr="00A96AC5">
        <w:rPr>
          <w:rFonts w:cs="Times New Roman"/>
        </w:rPr>
        <w:t xml:space="preserve">, and </w:t>
      </w:r>
      <w:r w:rsidR="00013E7D" w:rsidRPr="00A96AC5">
        <w:rPr>
          <w:rFonts w:cs="Times New Roman"/>
        </w:rPr>
        <w:t xml:space="preserve">consumers hesitate to adopt the service if </w:t>
      </w:r>
      <w:r w:rsidR="00247948" w:rsidRPr="00A96AC5">
        <w:rPr>
          <w:rFonts w:cs="Times New Roman"/>
        </w:rPr>
        <w:t xml:space="preserve">it means changing their </w:t>
      </w:r>
      <w:r w:rsidR="00013E7D" w:rsidRPr="00A96AC5">
        <w:rPr>
          <w:rFonts w:cs="Times New Roman"/>
        </w:rPr>
        <w:t>behaviour</w:t>
      </w:r>
      <w:r w:rsidR="00247948" w:rsidRPr="00A96AC5">
        <w:rPr>
          <w:rFonts w:cs="Times New Roman"/>
        </w:rPr>
        <w:t xml:space="preserve">. </w:t>
      </w:r>
      <w:r w:rsidR="00013E7D" w:rsidRPr="00A96AC5">
        <w:rPr>
          <w:rFonts w:cs="Times New Roman"/>
        </w:rPr>
        <w:t xml:space="preserve">As </w:t>
      </w:r>
      <w:r w:rsidR="00247948" w:rsidRPr="00A96AC5">
        <w:rPr>
          <w:rFonts w:cs="Times New Roman"/>
        </w:rPr>
        <w:t xml:space="preserve">their </w:t>
      </w:r>
      <w:r w:rsidR="00013E7D" w:rsidRPr="00A96AC5">
        <w:rPr>
          <w:rFonts w:cs="Times New Roman"/>
        </w:rPr>
        <w:t>profit margin</w:t>
      </w:r>
      <w:r w:rsidR="00247948" w:rsidRPr="00A96AC5">
        <w:rPr>
          <w:rFonts w:cs="Times New Roman"/>
        </w:rPr>
        <w:t>s</w:t>
      </w:r>
      <w:r w:rsidR="00013E7D" w:rsidRPr="00A96AC5">
        <w:rPr>
          <w:rFonts w:cs="Times New Roman"/>
        </w:rPr>
        <w:t xml:space="preserve"> </w:t>
      </w:r>
      <w:r w:rsidR="00247948" w:rsidRPr="00A96AC5">
        <w:rPr>
          <w:rFonts w:cs="Times New Roman"/>
        </w:rPr>
        <w:t xml:space="preserve">are </w:t>
      </w:r>
      <w:r w:rsidR="00013E7D" w:rsidRPr="00A96AC5">
        <w:rPr>
          <w:rFonts w:cs="Times New Roman"/>
        </w:rPr>
        <w:t>low, LSPs (e.g.</w:t>
      </w:r>
      <w:r w:rsidR="00247948" w:rsidRPr="00A96AC5">
        <w:rPr>
          <w:rFonts w:cs="Times New Roman"/>
        </w:rPr>
        <w:t>,</w:t>
      </w:r>
      <w:r w:rsidR="00013E7D" w:rsidRPr="00A96AC5">
        <w:rPr>
          <w:rFonts w:cs="Times New Roman"/>
        </w:rPr>
        <w:t xml:space="preserve"> </w:t>
      </w:r>
      <w:r w:rsidR="00247948" w:rsidRPr="00A96AC5">
        <w:rPr>
          <w:rFonts w:cs="Times New Roman"/>
        </w:rPr>
        <w:t>long</w:t>
      </w:r>
      <w:r w:rsidR="00013E7D" w:rsidRPr="00A96AC5">
        <w:rPr>
          <w:rFonts w:cs="Times New Roman"/>
        </w:rPr>
        <w:t>-haul carriers) are unwilling to share their revenues to support the UCC</w:t>
      </w:r>
      <w:r w:rsidR="00247948" w:rsidRPr="00A96AC5">
        <w:rPr>
          <w:rFonts w:cs="Times New Roman"/>
        </w:rPr>
        <w:t>s</w:t>
      </w:r>
      <w:r w:rsidR="00013E7D" w:rsidRPr="00A96AC5">
        <w:rPr>
          <w:rFonts w:cs="Times New Roman"/>
        </w:rPr>
        <w:t xml:space="preserve">. </w:t>
      </w:r>
    </w:p>
    <w:p w14:paraId="7599DBC2" w14:textId="02F086DA" w:rsidR="00133824" w:rsidRPr="008903D1" w:rsidRDefault="00013E7D" w:rsidP="0044359E">
      <w:pPr>
        <w:spacing w:before="240" w:after="240" w:line="360" w:lineRule="auto"/>
        <w:rPr>
          <w:rFonts w:cs="Times New Roman"/>
        </w:rPr>
      </w:pPr>
      <w:r w:rsidRPr="00A96AC5">
        <w:rPr>
          <w:rFonts w:cs="Times New Roman"/>
        </w:rPr>
        <w:lastRenderedPageBreak/>
        <w:t>The objective</w:t>
      </w:r>
      <w:r w:rsidR="00045741">
        <w:rPr>
          <w:rFonts w:cs="Times New Roman"/>
        </w:rPr>
        <w:t>s</w:t>
      </w:r>
      <w:r w:rsidRPr="00A96AC5">
        <w:rPr>
          <w:rFonts w:cs="Times New Roman"/>
        </w:rPr>
        <w:t xml:space="preserve"> of this study </w:t>
      </w:r>
      <w:r w:rsidR="00045741" w:rsidRPr="00A96AC5">
        <w:rPr>
          <w:rFonts w:cs="Times New Roman"/>
        </w:rPr>
        <w:t>are</w:t>
      </w:r>
      <w:r w:rsidRPr="00A96AC5">
        <w:rPr>
          <w:rFonts w:cs="Times New Roman"/>
        </w:rPr>
        <w:t xml:space="preserve"> to promote the sustainability of </w:t>
      </w:r>
      <w:r w:rsidR="00247948" w:rsidRPr="00A96AC5">
        <w:rPr>
          <w:rFonts w:cs="Times New Roman"/>
        </w:rPr>
        <w:t xml:space="preserve">the </w:t>
      </w:r>
      <w:r w:rsidRPr="00A96AC5">
        <w:rPr>
          <w:rFonts w:cs="Times New Roman"/>
        </w:rPr>
        <w:t xml:space="preserve">UCC project </w:t>
      </w:r>
      <w:r w:rsidR="00247948" w:rsidRPr="00A96AC5">
        <w:rPr>
          <w:rFonts w:cs="Times New Roman"/>
        </w:rPr>
        <w:t xml:space="preserve">by resolving its </w:t>
      </w:r>
      <w:r w:rsidRPr="00A96AC5">
        <w:rPr>
          <w:rFonts w:cs="Times New Roman"/>
        </w:rPr>
        <w:t xml:space="preserve">internal and external issues. </w:t>
      </w:r>
      <w:r w:rsidR="00247948" w:rsidRPr="00A96AC5">
        <w:rPr>
          <w:rFonts w:cs="Times New Roman"/>
        </w:rPr>
        <w:t xml:space="preserve">The </w:t>
      </w:r>
      <w:r w:rsidRPr="00A96AC5">
        <w:rPr>
          <w:rFonts w:cs="Times New Roman"/>
        </w:rPr>
        <w:t>next section illustrate</w:t>
      </w:r>
      <w:r w:rsidR="00247948" w:rsidRPr="00A96AC5">
        <w:rPr>
          <w:rFonts w:cs="Times New Roman"/>
        </w:rPr>
        <w:t>s</w:t>
      </w:r>
      <w:r w:rsidRPr="00A96AC5">
        <w:rPr>
          <w:rFonts w:cs="Times New Roman"/>
        </w:rPr>
        <w:t xml:space="preserve"> the outline of this thesis</w:t>
      </w:r>
      <w:r w:rsidRPr="008903D1">
        <w:rPr>
          <w:rFonts w:cs="Times New Roman"/>
        </w:rPr>
        <w:t>.</w:t>
      </w:r>
    </w:p>
    <w:p w14:paraId="56372142" w14:textId="248A2CC2" w:rsidR="00013E7D" w:rsidRPr="008903D1" w:rsidRDefault="00013E7D" w:rsidP="000A4E8C">
      <w:pPr>
        <w:pStyle w:val="Heading2"/>
        <w:spacing w:before="40" w:afterLines="0" w:after="0" w:line="360" w:lineRule="auto"/>
        <w:jc w:val="left"/>
        <w:rPr>
          <w:rFonts w:cs="Times New Roman"/>
        </w:rPr>
      </w:pPr>
      <w:bookmarkStart w:id="126" w:name="_Toc34734483"/>
      <w:bookmarkStart w:id="127" w:name="_Toc46053401"/>
      <w:bookmarkStart w:id="128" w:name="_Toc46093315"/>
      <w:bookmarkStart w:id="129" w:name="_Toc46093598"/>
      <w:bookmarkStart w:id="130" w:name="_Toc66703173"/>
      <w:r w:rsidRPr="00802DC5">
        <w:rPr>
          <w:rFonts w:cs="Times New Roman"/>
        </w:rPr>
        <w:t xml:space="preserve">Thesis </w:t>
      </w:r>
      <w:r w:rsidR="00247948" w:rsidRPr="006C301D">
        <w:rPr>
          <w:rFonts w:cs="Times New Roman"/>
        </w:rPr>
        <w:t>outline</w:t>
      </w:r>
      <w:bookmarkEnd w:id="126"/>
      <w:bookmarkEnd w:id="127"/>
      <w:bookmarkEnd w:id="128"/>
      <w:bookmarkEnd w:id="129"/>
      <w:bookmarkEnd w:id="130"/>
    </w:p>
    <w:p w14:paraId="1C03BA12" w14:textId="7CAB1709" w:rsidR="00013E7D" w:rsidRPr="00A96AC5" w:rsidRDefault="00013E7D" w:rsidP="00892CE4">
      <w:pPr>
        <w:spacing w:before="240" w:after="240" w:line="360" w:lineRule="auto"/>
        <w:rPr>
          <w:rFonts w:cs="Times New Roman"/>
        </w:rPr>
      </w:pPr>
      <w:r w:rsidRPr="00737239">
        <w:rPr>
          <w:rFonts w:cs="Times New Roman"/>
        </w:rPr>
        <w:t>Chapter 1 introduce</w:t>
      </w:r>
      <w:r w:rsidR="00247948" w:rsidRPr="00737239">
        <w:rPr>
          <w:rFonts w:cs="Times New Roman"/>
        </w:rPr>
        <w:t>s</w:t>
      </w:r>
      <w:r w:rsidRPr="00802DC5">
        <w:rPr>
          <w:rFonts w:cs="Times New Roman"/>
        </w:rPr>
        <w:t xml:space="preserve"> the research background of this thesis</w:t>
      </w:r>
      <w:r w:rsidR="00247948" w:rsidRPr="006C301D">
        <w:rPr>
          <w:rFonts w:cs="Times New Roman"/>
        </w:rPr>
        <w:t xml:space="preserve"> and </w:t>
      </w:r>
      <w:r w:rsidRPr="00A96AC5">
        <w:rPr>
          <w:rFonts w:cs="Times New Roman"/>
        </w:rPr>
        <w:t xml:space="preserve">presents </w:t>
      </w:r>
      <w:r w:rsidR="00247948" w:rsidRPr="00A96AC5">
        <w:rPr>
          <w:rFonts w:cs="Times New Roman"/>
        </w:rPr>
        <w:t xml:space="preserve">a </w:t>
      </w:r>
      <w:r w:rsidRPr="00A96AC5">
        <w:rPr>
          <w:rFonts w:cs="Times New Roman"/>
        </w:rPr>
        <w:t xml:space="preserve">general definition of </w:t>
      </w:r>
      <w:r w:rsidR="00C15339" w:rsidRPr="00A96AC5">
        <w:rPr>
          <w:rFonts w:cs="Times New Roman"/>
        </w:rPr>
        <w:t>UL</w:t>
      </w:r>
      <w:r w:rsidRPr="00A96AC5">
        <w:rPr>
          <w:rFonts w:cs="Times New Roman"/>
        </w:rPr>
        <w:t xml:space="preserve">. This chapter illustrates the context of urban sustainable development in terms of the evolution of </w:t>
      </w:r>
      <w:r w:rsidR="00247948" w:rsidRPr="00A96AC5">
        <w:rPr>
          <w:rFonts w:cs="Times New Roman"/>
        </w:rPr>
        <w:t xml:space="preserve">the </w:t>
      </w:r>
      <w:r w:rsidRPr="00A96AC5">
        <w:rPr>
          <w:rFonts w:cs="Times New Roman"/>
        </w:rPr>
        <w:t xml:space="preserve">concept and the targets formulated by the EU and </w:t>
      </w:r>
      <w:r w:rsidR="00247948" w:rsidRPr="00A96AC5">
        <w:rPr>
          <w:rFonts w:cs="Times New Roman"/>
        </w:rPr>
        <w:t xml:space="preserve">the </w:t>
      </w:r>
      <w:r w:rsidRPr="00A96AC5">
        <w:rPr>
          <w:rFonts w:cs="Times New Roman"/>
        </w:rPr>
        <w:t xml:space="preserve">UK. </w:t>
      </w:r>
      <w:r w:rsidR="00247948" w:rsidRPr="00A96AC5">
        <w:rPr>
          <w:rFonts w:cs="Times New Roman"/>
        </w:rPr>
        <w:t xml:space="preserve">The </w:t>
      </w:r>
      <w:r w:rsidRPr="00A96AC5">
        <w:rPr>
          <w:rFonts w:cs="Times New Roman"/>
        </w:rPr>
        <w:t xml:space="preserve">chapter </w:t>
      </w:r>
      <w:r w:rsidR="00247948" w:rsidRPr="00A96AC5">
        <w:rPr>
          <w:rFonts w:cs="Times New Roman"/>
        </w:rPr>
        <w:t xml:space="preserve">then </w:t>
      </w:r>
      <w:r w:rsidRPr="00A96AC5">
        <w:rPr>
          <w:rFonts w:cs="Times New Roman"/>
        </w:rPr>
        <w:t>introduces the concept and objectives of SUL. In addition, the practical measures taken to mitigate the issues</w:t>
      </w:r>
      <w:r w:rsidR="00247948" w:rsidRPr="00A96AC5">
        <w:rPr>
          <w:rFonts w:cs="Times New Roman"/>
        </w:rPr>
        <w:t xml:space="preserve"> are described</w:t>
      </w:r>
      <w:r w:rsidRPr="00A96AC5">
        <w:rPr>
          <w:rFonts w:cs="Times New Roman"/>
        </w:rPr>
        <w:t xml:space="preserve">. At the end of the chapter, the concept of </w:t>
      </w:r>
      <w:r w:rsidR="00247948" w:rsidRPr="00A96AC5">
        <w:rPr>
          <w:rFonts w:cs="Times New Roman"/>
        </w:rPr>
        <w:t xml:space="preserve">the </w:t>
      </w:r>
      <w:r w:rsidRPr="00A96AC5">
        <w:rPr>
          <w:rFonts w:cs="Times New Roman"/>
        </w:rPr>
        <w:t>UCC</w:t>
      </w:r>
      <w:r w:rsidR="00247948" w:rsidRPr="00A96AC5">
        <w:rPr>
          <w:rFonts w:cs="Times New Roman"/>
        </w:rPr>
        <w:t xml:space="preserve"> is discussed</w:t>
      </w:r>
      <w:r w:rsidRPr="00A96AC5">
        <w:rPr>
          <w:rFonts w:cs="Times New Roman"/>
        </w:rPr>
        <w:t xml:space="preserve">, </w:t>
      </w:r>
      <w:r w:rsidR="00247948" w:rsidRPr="00A96AC5">
        <w:rPr>
          <w:rFonts w:cs="Times New Roman"/>
        </w:rPr>
        <w:t xml:space="preserve">including </w:t>
      </w:r>
      <w:r w:rsidRPr="00A96AC5">
        <w:rPr>
          <w:rFonts w:cs="Times New Roman"/>
        </w:rPr>
        <w:t xml:space="preserve">its development </w:t>
      </w:r>
      <w:r w:rsidR="00247948" w:rsidRPr="00A96AC5">
        <w:rPr>
          <w:rFonts w:cs="Times New Roman"/>
        </w:rPr>
        <w:t xml:space="preserve">and </w:t>
      </w:r>
      <w:r w:rsidRPr="00A96AC5">
        <w:rPr>
          <w:rFonts w:cs="Times New Roman"/>
        </w:rPr>
        <w:t>properties.</w:t>
      </w:r>
    </w:p>
    <w:p w14:paraId="3DDD6511" w14:textId="725F64F1" w:rsidR="00013E7D" w:rsidRPr="00A96AC5" w:rsidRDefault="00247948" w:rsidP="00892CE4">
      <w:pPr>
        <w:spacing w:before="240" w:after="240" w:line="360" w:lineRule="auto"/>
        <w:rPr>
          <w:rFonts w:cs="Times New Roman"/>
        </w:rPr>
      </w:pPr>
      <w:r w:rsidRPr="00A96AC5">
        <w:rPr>
          <w:rFonts w:cs="Times New Roman"/>
        </w:rPr>
        <w:t xml:space="preserve">In addition to </w:t>
      </w:r>
      <w:r w:rsidR="00013E7D" w:rsidRPr="00A96AC5">
        <w:rPr>
          <w:rFonts w:cs="Times New Roman"/>
        </w:rPr>
        <w:t xml:space="preserve">the introduction and conclusion, this thesis </w:t>
      </w:r>
      <w:r w:rsidRPr="00A96AC5">
        <w:rPr>
          <w:rFonts w:cs="Times New Roman"/>
        </w:rPr>
        <w:t xml:space="preserve">comprises </w:t>
      </w:r>
      <w:r w:rsidR="00013E7D" w:rsidRPr="00A96AC5">
        <w:rPr>
          <w:rFonts w:cs="Times New Roman"/>
        </w:rPr>
        <w:t>six chapters. Chapter 2</w:t>
      </w:r>
      <w:r w:rsidRPr="00A96AC5">
        <w:rPr>
          <w:rFonts w:cs="Times New Roman"/>
        </w:rPr>
        <w:t xml:space="preserve"> presents the literature review</w:t>
      </w:r>
      <w:r w:rsidR="00013E7D" w:rsidRPr="00A96AC5">
        <w:rPr>
          <w:rFonts w:cs="Times New Roman"/>
        </w:rPr>
        <w:t xml:space="preserve">, </w:t>
      </w:r>
      <w:r w:rsidRPr="00A96AC5">
        <w:rPr>
          <w:rFonts w:cs="Times New Roman"/>
        </w:rPr>
        <w:t xml:space="preserve">detailing the process of </w:t>
      </w:r>
      <w:r w:rsidR="00013E7D" w:rsidRPr="00A96AC5">
        <w:rPr>
          <w:rFonts w:cs="Times New Roman"/>
        </w:rPr>
        <w:t xml:space="preserve">refining the topic area of </w:t>
      </w:r>
      <w:r w:rsidR="00C15339" w:rsidRPr="00A96AC5">
        <w:rPr>
          <w:rFonts w:cs="Times New Roman"/>
        </w:rPr>
        <w:t>SUL</w:t>
      </w:r>
      <w:r w:rsidRPr="00A96AC5">
        <w:rPr>
          <w:rFonts w:cs="Times New Roman"/>
        </w:rPr>
        <w:t xml:space="preserve"> to the ultimate choice of </w:t>
      </w:r>
      <w:r w:rsidR="00013E7D" w:rsidRPr="00A96AC5">
        <w:rPr>
          <w:rFonts w:cs="Times New Roman"/>
        </w:rPr>
        <w:t xml:space="preserve">UCC </w:t>
      </w:r>
      <w:r w:rsidRPr="00A96AC5">
        <w:rPr>
          <w:rFonts w:cs="Times New Roman"/>
        </w:rPr>
        <w:t>facilities</w:t>
      </w:r>
      <w:r w:rsidR="00013E7D" w:rsidRPr="00A96AC5">
        <w:rPr>
          <w:rFonts w:cs="Times New Roman"/>
        </w:rPr>
        <w:t xml:space="preserve"> as the research topic. </w:t>
      </w:r>
      <w:r w:rsidRPr="00A96AC5">
        <w:rPr>
          <w:rFonts w:cs="Times New Roman"/>
        </w:rPr>
        <w:t xml:space="preserve">To close </w:t>
      </w:r>
      <w:r w:rsidR="00013E7D" w:rsidRPr="00A96AC5">
        <w:rPr>
          <w:rFonts w:cs="Times New Roman"/>
        </w:rPr>
        <w:t xml:space="preserve">the research gaps, a comprehensive academic review of </w:t>
      </w:r>
      <w:r w:rsidRPr="00A96AC5">
        <w:rPr>
          <w:rFonts w:cs="Times New Roman"/>
        </w:rPr>
        <w:t xml:space="preserve">the </w:t>
      </w:r>
      <w:r w:rsidR="00013E7D" w:rsidRPr="00A96AC5">
        <w:rPr>
          <w:rFonts w:cs="Times New Roman"/>
        </w:rPr>
        <w:t xml:space="preserve">UCC and </w:t>
      </w:r>
      <w:r w:rsidRPr="00A96AC5">
        <w:rPr>
          <w:rFonts w:cs="Times New Roman"/>
        </w:rPr>
        <w:t xml:space="preserve">grey </w:t>
      </w:r>
      <w:r w:rsidR="00013E7D" w:rsidRPr="00A96AC5">
        <w:rPr>
          <w:rFonts w:cs="Times New Roman"/>
        </w:rPr>
        <w:t xml:space="preserve">literature </w:t>
      </w:r>
      <w:r w:rsidRPr="00A96AC5">
        <w:rPr>
          <w:rFonts w:cs="Times New Roman"/>
        </w:rPr>
        <w:t xml:space="preserve">on </w:t>
      </w:r>
      <w:r w:rsidR="00013E7D" w:rsidRPr="00A96AC5">
        <w:rPr>
          <w:rFonts w:cs="Times New Roman"/>
        </w:rPr>
        <w:t xml:space="preserve">practical cases </w:t>
      </w:r>
      <w:r w:rsidRPr="00A96AC5">
        <w:rPr>
          <w:rFonts w:cs="Times New Roman"/>
        </w:rPr>
        <w:t>is detailed</w:t>
      </w:r>
      <w:r w:rsidR="00013E7D" w:rsidRPr="00A96AC5">
        <w:rPr>
          <w:rFonts w:cs="Times New Roman"/>
        </w:rPr>
        <w:t xml:space="preserve">. </w:t>
      </w:r>
      <w:r w:rsidRPr="00A96AC5">
        <w:rPr>
          <w:rFonts w:cs="Times New Roman"/>
        </w:rPr>
        <w:t xml:space="preserve">The </w:t>
      </w:r>
      <w:r w:rsidR="00013E7D" w:rsidRPr="00A96AC5">
        <w:rPr>
          <w:rFonts w:cs="Times New Roman"/>
        </w:rPr>
        <w:t>findings from previous studies and the issues revealed in practice</w:t>
      </w:r>
      <w:r w:rsidRPr="00A96AC5">
        <w:rPr>
          <w:rFonts w:cs="Times New Roman"/>
        </w:rPr>
        <w:t xml:space="preserve"> are combed</w:t>
      </w:r>
      <w:r w:rsidR="00013E7D" w:rsidRPr="00A96AC5">
        <w:rPr>
          <w:rFonts w:cs="Times New Roman"/>
        </w:rPr>
        <w:t xml:space="preserve">, </w:t>
      </w:r>
      <w:r w:rsidRPr="00A96AC5">
        <w:rPr>
          <w:rFonts w:cs="Times New Roman"/>
        </w:rPr>
        <w:t xml:space="preserve">and </w:t>
      </w:r>
      <w:r w:rsidR="00013E7D" w:rsidRPr="00A96AC5">
        <w:rPr>
          <w:rFonts w:cs="Times New Roman"/>
        </w:rPr>
        <w:t xml:space="preserve">the internal issues </w:t>
      </w:r>
      <w:r w:rsidRPr="00A96AC5">
        <w:rPr>
          <w:rFonts w:cs="Times New Roman"/>
        </w:rPr>
        <w:t xml:space="preserve">concerning </w:t>
      </w:r>
      <w:r w:rsidR="00013E7D" w:rsidRPr="00A96AC5">
        <w:rPr>
          <w:rFonts w:cs="Times New Roman"/>
        </w:rPr>
        <w:t>UCC</w:t>
      </w:r>
      <w:r w:rsidRPr="00A96AC5">
        <w:rPr>
          <w:rFonts w:cs="Times New Roman"/>
        </w:rPr>
        <w:t>s</w:t>
      </w:r>
      <w:r w:rsidR="00013E7D" w:rsidRPr="00A96AC5">
        <w:rPr>
          <w:rFonts w:cs="Times New Roman"/>
        </w:rPr>
        <w:t xml:space="preserve"> in respect of stakeholder conflicts and financial issues are captured. </w:t>
      </w:r>
      <w:r w:rsidRPr="00A96AC5">
        <w:rPr>
          <w:rFonts w:cs="Times New Roman"/>
        </w:rPr>
        <w:t xml:space="preserve">In response </w:t>
      </w:r>
      <w:r w:rsidR="00013E7D" w:rsidRPr="00A96AC5">
        <w:rPr>
          <w:rFonts w:cs="Times New Roman"/>
        </w:rPr>
        <w:t xml:space="preserve">to </w:t>
      </w:r>
      <w:r w:rsidR="008F46E9">
        <w:rPr>
          <w:rFonts w:cs="Times New Roman"/>
        </w:rPr>
        <w:t xml:space="preserve">the </w:t>
      </w:r>
      <w:r w:rsidR="00013E7D" w:rsidRPr="00A96AC5">
        <w:rPr>
          <w:rFonts w:cs="Times New Roman"/>
        </w:rPr>
        <w:t xml:space="preserve">above challenges, four </w:t>
      </w:r>
      <w:r w:rsidRPr="00A96AC5">
        <w:rPr>
          <w:rFonts w:cs="Times New Roman"/>
        </w:rPr>
        <w:t>primary</w:t>
      </w:r>
      <w:r w:rsidR="00013E7D" w:rsidRPr="00A96AC5">
        <w:rPr>
          <w:rFonts w:cs="Times New Roman"/>
        </w:rPr>
        <w:t xml:space="preserve"> research questions are </w:t>
      </w:r>
      <w:r w:rsidRPr="00A96AC5">
        <w:rPr>
          <w:rFonts w:cs="Times New Roman"/>
        </w:rPr>
        <w:t xml:space="preserve">then </w:t>
      </w:r>
      <w:r w:rsidR="00013E7D" w:rsidRPr="00A96AC5">
        <w:rPr>
          <w:rFonts w:cs="Times New Roman"/>
        </w:rPr>
        <w:t>put forward.</w:t>
      </w:r>
    </w:p>
    <w:p w14:paraId="3DF464B6" w14:textId="5960D199" w:rsidR="00D1282A" w:rsidRPr="00A96AC5" w:rsidRDefault="00013E7D" w:rsidP="00892CE4">
      <w:pPr>
        <w:spacing w:before="240" w:after="240" w:line="360" w:lineRule="auto"/>
        <w:rPr>
          <w:rFonts w:cs="Times New Roman"/>
        </w:rPr>
      </w:pPr>
      <w:r w:rsidRPr="00A96AC5">
        <w:rPr>
          <w:rFonts w:cs="Times New Roman"/>
        </w:rPr>
        <w:t xml:space="preserve">Chapter </w:t>
      </w:r>
      <w:r w:rsidR="00127EBC" w:rsidRPr="00A96AC5">
        <w:rPr>
          <w:rFonts w:cs="Times New Roman"/>
        </w:rPr>
        <w:t>3</w:t>
      </w:r>
      <w:r w:rsidRPr="00A96AC5">
        <w:rPr>
          <w:rFonts w:cs="Times New Roman"/>
        </w:rPr>
        <w:t xml:space="preserve"> introduce</w:t>
      </w:r>
      <w:r w:rsidR="00247948" w:rsidRPr="00A96AC5">
        <w:rPr>
          <w:rFonts w:cs="Times New Roman"/>
        </w:rPr>
        <w:t>s</w:t>
      </w:r>
      <w:r w:rsidRPr="00A96AC5">
        <w:rPr>
          <w:rFonts w:cs="Times New Roman"/>
        </w:rPr>
        <w:t xml:space="preserve"> the research methods used for the data analysis in Chapter</w:t>
      </w:r>
      <w:r w:rsidR="00247948" w:rsidRPr="00A96AC5">
        <w:rPr>
          <w:rFonts w:cs="Times New Roman"/>
        </w:rPr>
        <w:t>s</w:t>
      </w:r>
      <w:r w:rsidRPr="00A96AC5">
        <w:rPr>
          <w:rFonts w:cs="Times New Roman"/>
        </w:rPr>
        <w:t xml:space="preserve"> 4, 5</w:t>
      </w:r>
      <w:r w:rsidR="00247948" w:rsidRPr="00A96AC5">
        <w:rPr>
          <w:rFonts w:cs="Times New Roman"/>
        </w:rPr>
        <w:t>,</w:t>
      </w:r>
      <w:r w:rsidRPr="00A96AC5">
        <w:rPr>
          <w:rFonts w:cs="Times New Roman"/>
        </w:rPr>
        <w:t xml:space="preserve"> </w:t>
      </w:r>
      <w:r w:rsidR="00C712C0">
        <w:rPr>
          <w:rFonts w:cs="Times New Roman"/>
        </w:rPr>
        <w:t xml:space="preserve">6, </w:t>
      </w:r>
      <w:r w:rsidRPr="00A96AC5">
        <w:rPr>
          <w:rFonts w:cs="Times New Roman"/>
        </w:rPr>
        <w:t xml:space="preserve">and </w:t>
      </w:r>
      <w:r w:rsidR="00C712C0">
        <w:rPr>
          <w:rFonts w:cs="Times New Roman"/>
        </w:rPr>
        <w:t>8</w:t>
      </w:r>
      <w:r w:rsidRPr="00A96AC5">
        <w:rPr>
          <w:rFonts w:cs="Times New Roman"/>
        </w:rPr>
        <w:t>. This chapter elaborate</w:t>
      </w:r>
      <w:r w:rsidR="00247948" w:rsidRPr="00A96AC5">
        <w:rPr>
          <w:rFonts w:cs="Times New Roman"/>
        </w:rPr>
        <w:t>s</w:t>
      </w:r>
      <w:r w:rsidRPr="00A96AC5">
        <w:rPr>
          <w:rFonts w:cs="Times New Roman"/>
        </w:rPr>
        <w:t xml:space="preserve"> </w:t>
      </w:r>
      <w:r w:rsidR="00247948" w:rsidRPr="00A96AC5">
        <w:rPr>
          <w:rFonts w:cs="Times New Roman"/>
        </w:rPr>
        <w:t xml:space="preserve">on the suitability of </w:t>
      </w:r>
      <w:r w:rsidRPr="00A96AC5">
        <w:rPr>
          <w:rFonts w:cs="Times New Roman"/>
        </w:rPr>
        <w:t xml:space="preserve">the chosen methods </w:t>
      </w:r>
      <w:r w:rsidR="00247948" w:rsidRPr="00A96AC5">
        <w:rPr>
          <w:rFonts w:cs="Times New Roman"/>
        </w:rPr>
        <w:t xml:space="preserve">for the </w:t>
      </w:r>
      <w:r w:rsidRPr="00A96AC5">
        <w:rPr>
          <w:rFonts w:cs="Times New Roman"/>
        </w:rPr>
        <w:t>research questions</w:t>
      </w:r>
      <w:r w:rsidR="00247948" w:rsidRPr="00A96AC5">
        <w:rPr>
          <w:rFonts w:cs="Times New Roman"/>
        </w:rPr>
        <w:t xml:space="preserve"> posed</w:t>
      </w:r>
      <w:r w:rsidRPr="00A96AC5">
        <w:rPr>
          <w:rFonts w:cs="Times New Roman"/>
        </w:rPr>
        <w:t>.</w:t>
      </w:r>
      <w:r w:rsidR="00247948" w:rsidRPr="00A96AC5">
        <w:rPr>
          <w:rFonts w:cs="Times New Roman"/>
        </w:rPr>
        <w:t xml:space="preserve"> </w:t>
      </w:r>
    </w:p>
    <w:p w14:paraId="5D701F79" w14:textId="259C288A" w:rsidR="00C712C0" w:rsidRDefault="00D1282A" w:rsidP="00892CE4">
      <w:pPr>
        <w:spacing w:before="240" w:after="240" w:line="360" w:lineRule="auto"/>
        <w:rPr>
          <w:rFonts w:cs="Times New Roman"/>
        </w:rPr>
      </w:pPr>
      <w:r w:rsidRPr="00A96AC5">
        <w:rPr>
          <w:rFonts w:cs="Times New Roman"/>
        </w:rPr>
        <w:t xml:space="preserve">Chapter </w:t>
      </w:r>
      <w:r w:rsidR="00127EBC" w:rsidRPr="00A96AC5">
        <w:rPr>
          <w:rFonts w:cs="Times New Roman"/>
        </w:rPr>
        <w:t>4</w:t>
      </w:r>
      <w:r w:rsidRPr="00A96AC5">
        <w:rPr>
          <w:rFonts w:cs="Times New Roman"/>
        </w:rPr>
        <w:t xml:space="preserve"> </w:t>
      </w:r>
      <w:r w:rsidR="001C4667" w:rsidRPr="00A96AC5">
        <w:rPr>
          <w:rFonts w:cs="Times New Roman"/>
        </w:rPr>
        <w:t>elaborates on the theoretical cost structures of UCCs associated with different goods movement processes. This chapter also suggests a formula-based approach to calculating accurate estimations of total project expenditure for different configurations during the planning stages of the project.</w:t>
      </w:r>
    </w:p>
    <w:p w14:paraId="66C69595" w14:textId="1AFB229E" w:rsidR="001A2409" w:rsidRDefault="00D1282A" w:rsidP="00892CE4">
      <w:pPr>
        <w:spacing w:before="240" w:after="240" w:line="360" w:lineRule="auto"/>
        <w:rPr>
          <w:rFonts w:cs="Times New Roman"/>
        </w:rPr>
      </w:pPr>
      <w:r w:rsidRPr="00A96AC5">
        <w:rPr>
          <w:rFonts w:cs="Times New Roman"/>
        </w:rPr>
        <w:t xml:space="preserve">Chapter </w:t>
      </w:r>
      <w:r w:rsidR="00127EBC" w:rsidRPr="00A96AC5">
        <w:rPr>
          <w:rFonts w:cs="Times New Roman"/>
        </w:rPr>
        <w:t>5</w:t>
      </w:r>
      <w:r w:rsidRPr="00A96AC5">
        <w:rPr>
          <w:rFonts w:cs="Times New Roman"/>
        </w:rPr>
        <w:t xml:space="preserve"> </w:t>
      </w:r>
      <w:r w:rsidR="00C712C0" w:rsidRPr="00A96AC5">
        <w:rPr>
          <w:rFonts w:cs="Times New Roman"/>
        </w:rPr>
        <w:t xml:space="preserve">illustrates a framework for comparing the stakeholder engagement processes </w:t>
      </w:r>
      <w:r w:rsidR="001A2409">
        <w:rPr>
          <w:rFonts w:cs="Times New Roman"/>
        </w:rPr>
        <w:t xml:space="preserve">and outcomes </w:t>
      </w:r>
      <w:r w:rsidR="00C712C0" w:rsidRPr="00A96AC5">
        <w:rPr>
          <w:rFonts w:cs="Times New Roman"/>
        </w:rPr>
        <w:t xml:space="preserve">of four UCCs in Sweden and China. </w:t>
      </w:r>
      <w:r w:rsidR="001A2409">
        <w:rPr>
          <w:rFonts w:cs="Times New Roman"/>
        </w:rPr>
        <w:t>Such results prove that UCC</w:t>
      </w:r>
      <w:r w:rsidR="006E3670">
        <w:rPr>
          <w:rFonts w:cs="Times New Roman"/>
        </w:rPr>
        <w:t>s</w:t>
      </w:r>
      <w:r w:rsidR="001A2409">
        <w:rPr>
          <w:rFonts w:cs="Times New Roman"/>
        </w:rPr>
        <w:t xml:space="preserve"> can generate economic benefits for all participating stakeholders, rather than</w:t>
      </w:r>
      <w:r w:rsidR="006E3670">
        <w:rPr>
          <w:rFonts w:cs="Times New Roman"/>
        </w:rPr>
        <w:t xml:space="preserve"> being</w:t>
      </w:r>
      <w:r w:rsidR="001A2409">
        <w:rPr>
          <w:rFonts w:cs="Times New Roman"/>
        </w:rPr>
        <w:t xml:space="preserve"> </w:t>
      </w:r>
      <w:r w:rsidR="00BC5DB8">
        <w:rPr>
          <w:rFonts w:cs="Times New Roman"/>
        </w:rPr>
        <w:t xml:space="preserve">built </w:t>
      </w:r>
      <w:r w:rsidR="0080381E">
        <w:rPr>
          <w:rFonts w:cs="Times New Roman"/>
        </w:rPr>
        <w:t>to</w:t>
      </w:r>
      <w:r w:rsidR="00C01DE4">
        <w:rPr>
          <w:rFonts w:cs="Times New Roman"/>
        </w:rPr>
        <w:t xml:space="preserve"> </w:t>
      </w:r>
      <w:r w:rsidR="0080381E">
        <w:rPr>
          <w:rFonts w:cs="Times New Roman"/>
        </w:rPr>
        <w:t>mitigate</w:t>
      </w:r>
      <w:r w:rsidR="00C01DE4">
        <w:rPr>
          <w:rFonts w:cs="Times New Roman"/>
        </w:rPr>
        <w:t xml:space="preserve"> the environmental and social </w:t>
      </w:r>
      <w:r w:rsidR="0080381E">
        <w:rPr>
          <w:rFonts w:cs="Times New Roman"/>
        </w:rPr>
        <w:t>effects of urban logistics</w:t>
      </w:r>
      <w:r w:rsidR="008B50DD">
        <w:rPr>
          <w:rFonts w:cs="Times New Roman"/>
        </w:rPr>
        <w:t xml:space="preserve"> only</w:t>
      </w:r>
      <w:r w:rsidR="0080381E">
        <w:rPr>
          <w:rFonts w:cs="Times New Roman"/>
        </w:rPr>
        <w:t>.</w:t>
      </w:r>
      <w:r w:rsidR="00C712C0" w:rsidRPr="00A96AC5">
        <w:rPr>
          <w:rFonts w:cs="Times New Roman"/>
        </w:rPr>
        <w:t xml:space="preserve"> </w:t>
      </w:r>
      <w:r w:rsidR="0080381E">
        <w:rPr>
          <w:rFonts w:cs="Times New Roman"/>
        </w:rPr>
        <w:t xml:space="preserve">If the intersection of stakeholders’ interests </w:t>
      </w:r>
      <w:r w:rsidR="006567F5">
        <w:rPr>
          <w:rFonts w:cs="Times New Roman"/>
        </w:rPr>
        <w:t>is</w:t>
      </w:r>
      <w:r w:rsidR="0080381E">
        <w:rPr>
          <w:rFonts w:cs="Times New Roman"/>
        </w:rPr>
        <w:t xml:space="preserve"> identified, </w:t>
      </w:r>
      <w:r w:rsidR="009862AC">
        <w:rPr>
          <w:rFonts w:cs="Times New Roman"/>
        </w:rPr>
        <w:t>different stakeholders could construct a stable partnership to support the lifecycle of</w:t>
      </w:r>
      <w:r w:rsidR="00ED37EF">
        <w:rPr>
          <w:rFonts w:cs="Times New Roman"/>
        </w:rPr>
        <w:t xml:space="preserve"> the</w:t>
      </w:r>
      <w:r w:rsidR="009862AC">
        <w:rPr>
          <w:rFonts w:cs="Times New Roman"/>
        </w:rPr>
        <w:t xml:space="preserve"> UCC.</w:t>
      </w:r>
    </w:p>
    <w:p w14:paraId="4B1FAC7B" w14:textId="103E5113" w:rsidR="009862AC" w:rsidRDefault="00C712C0" w:rsidP="00C712C0">
      <w:pPr>
        <w:spacing w:before="240" w:after="240" w:line="360" w:lineRule="auto"/>
        <w:rPr>
          <w:rFonts w:cs="Times New Roman"/>
        </w:rPr>
      </w:pPr>
      <w:r w:rsidRPr="00A96AC5">
        <w:rPr>
          <w:rFonts w:cs="Times New Roman"/>
        </w:rPr>
        <w:lastRenderedPageBreak/>
        <w:t xml:space="preserve">Chapter </w:t>
      </w:r>
      <w:r>
        <w:rPr>
          <w:rFonts w:cs="Times New Roman"/>
        </w:rPr>
        <w:t>6</w:t>
      </w:r>
      <w:r w:rsidRPr="00A96AC5">
        <w:rPr>
          <w:rFonts w:cs="Times New Roman"/>
        </w:rPr>
        <w:t xml:space="preserve"> assesses stakeholder preferences by measuring the heterogeneity of stakeholder objectives and disclos</w:t>
      </w:r>
      <w:r w:rsidR="00DA13C3">
        <w:rPr>
          <w:rFonts w:cs="Times New Roman"/>
        </w:rPr>
        <w:t>e</w:t>
      </w:r>
      <w:r w:rsidRPr="00A96AC5">
        <w:rPr>
          <w:rFonts w:cs="Times New Roman"/>
        </w:rPr>
        <w:t xml:space="preserve"> the conflicts between parties in the UCC operations. The quantitative results presented in this chapter illuminate the severity of the conflicts, while the qualitative results reveal the details and causes of these conflicts. It is suggested that the findings can be used to mitigate the internal conflicts</w:t>
      </w:r>
      <w:r w:rsidR="009862AC">
        <w:rPr>
          <w:rFonts w:cs="Times New Roman"/>
        </w:rPr>
        <w:t>. This measure can be used to promote the quality of stakeholders</w:t>
      </w:r>
      <w:r w:rsidR="009D0136">
        <w:rPr>
          <w:rFonts w:cs="Times New Roman"/>
        </w:rPr>
        <w:t>’</w:t>
      </w:r>
      <w:r w:rsidR="009862AC">
        <w:rPr>
          <w:rFonts w:cs="Times New Roman"/>
        </w:rPr>
        <w:t xml:space="preserve"> engagement with UCC</w:t>
      </w:r>
      <w:r w:rsidR="006E1CB2">
        <w:rPr>
          <w:rFonts w:cs="Times New Roman"/>
        </w:rPr>
        <w:t>s</w:t>
      </w:r>
      <w:r w:rsidR="00B13732">
        <w:rPr>
          <w:rFonts w:cs="Times New Roman"/>
        </w:rPr>
        <w:t>, as the stakeholders</w:t>
      </w:r>
      <w:r w:rsidR="00502D81">
        <w:rPr>
          <w:rFonts w:cs="Times New Roman"/>
        </w:rPr>
        <w:t>’</w:t>
      </w:r>
      <w:r w:rsidR="00B13732">
        <w:rPr>
          <w:rFonts w:cs="Times New Roman"/>
        </w:rPr>
        <w:t xml:space="preserve"> conflicts can be well addressed.</w:t>
      </w:r>
    </w:p>
    <w:p w14:paraId="547BA2FA" w14:textId="5990B056" w:rsidR="00D1282A" w:rsidRPr="00A96AC5" w:rsidRDefault="00C712C0" w:rsidP="00892CE4">
      <w:pPr>
        <w:spacing w:before="240" w:after="240" w:line="360" w:lineRule="auto"/>
        <w:rPr>
          <w:rFonts w:cs="Times New Roman"/>
        </w:rPr>
      </w:pPr>
      <w:r w:rsidRPr="00A96AC5">
        <w:rPr>
          <w:rFonts w:cs="Times New Roman"/>
        </w:rPr>
        <w:t xml:space="preserve">Chapter </w:t>
      </w:r>
      <w:r>
        <w:rPr>
          <w:rFonts w:cs="Times New Roman"/>
        </w:rPr>
        <w:t xml:space="preserve">7 </w:t>
      </w:r>
      <w:r w:rsidR="00CB1E2B" w:rsidRPr="00A96AC5">
        <w:rPr>
          <w:rFonts w:cs="Times New Roman"/>
        </w:rPr>
        <w:t>addresses the financial issues for UCC, namely</w:t>
      </w:r>
      <w:r w:rsidR="00560C40">
        <w:rPr>
          <w:rFonts w:cs="Times New Roman"/>
        </w:rPr>
        <w:t>,</w:t>
      </w:r>
      <w:r w:rsidR="00CB1E2B" w:rsidRPr="00A96AC5">
        <w:rPr>
          <w:rFonts w:cs="Times New Roman"/>
        </w:rPr>
        <w:t xml:space="preserve"> insufficient income due to a lack of local market users of freight transportation. As a result, the UCC is heavily dependent on subsidies from </w:t>
      </w:r>
      <w:r w:rsidR="00A84BEB">
        <w:rPr>
          <w:rFonts w:cs="Times New Roman"/>
        </w:rPr>
        <w:t>LAs</w:t>
      </w:r>
      <w:r w:rsidR="00CB1E2B" w:rsidRPr="00A96AC5">
        <w:rPr>
          <w:rFonts w:cs="Times New Roman"/>
        </w:rPr>
        <w:t>. This chapter proposes the mitigation of such issues by sharing the UCC costs with upstream and downstream stakeholders, according to a fair and efficient principle. To enhance the legitimacy of the cost-allocation method, the ‘extended producer responsibility’ (EPR) and ‘extended customer responsibility’ (</w:t>
      </w:r>
      <w:r w:rsidR="008B50DD">
        <w:rPr>
          <w:rFonts w:cs="Times New Roman"/>
        </w:rPr>
        <w:t>ECR</w:t>
      </w:r>
      <w:r w:rsidR="00CB1E2B" w:rsidRPr="00A96AC5">
        <w:rPr>
          <w:rFonts w:cs="Times New Roman"/>
        </w:rPr>
        <w:t>) views are introduced.</w:t>
      </w:r>
    </w:p>
    <w:p w14:paraId="59572079" w14:textId="47B39F36" w:rsidR="00C712C0" w:rsidRDefault="00013E7D" w:rsidP="00892CE4">
      <w:pPr>
        <w:spacing w:before="240" w:after="240" w:line="360" w:lineRule="auto"/>
        <w:rPr>
          <w:rFonts w:cs="Times New Roman"/>
        </w:rPr>
      </w:pPr>
      <w:r w:rsidRPr="00A96AC5">
        <w:rPr>
          <w:rFonts w:cs="Times New Roman"/>
        </w:rPr>
        <w:t xml:space="preserve">Chapter </w:t>
      </w:r>
      <w:r w:rsidR="00127EBC" w:rsidRPr="00A96AC5">
        <w:rPr>
          <w:rFonts w:cs="Times New Roman"/>
        </w:rPr>
        <w:t>8</w:t>
      </w:r>
      <w:r w:rsidRPr="00A96AC5">
        <w:rPr>
          <w:rFonts w:cs="Times New Roman"/>
        </w:rPr>
        <w:t xml:space="preserve"> </w:t>
      </w:r>
      <w:bookmarkStart w:id="131" w:name="_Toc490415373"/>
      <w:bookmarkStart w:id="132" w:name="_Toc490484776"/>
      <w:bookmarkStart w:id="133" w:name="_Toc490823570"/>
      <w:bookmarkStart w:id="134" w:name="_Toc491894820"/>
      <w:bookmarkStart w:id="135" w:name="_Toc477867143"/>
      <w:r w:rsidR="00C712C0" w:rsidRPr="00A96AC5">
        <w:rPr>
          <w:rFonts w:cs="Times New Roman"/>
        </w:rPr>
        <w:t>introduces the functions of a software-based decision-making tool named ‘E-mile’</w:t>
      </w:r>
      <w:r w:rsidR="00C712C0" w:rsidRPr="008903D1">
        <w:rPr>
          <w:rFonts w:cs="Times New Roman"/>
        </w:rPr>
        <w:t xml:space="preserve">, which is developed throughout the thesis. </w:t>
      </w:r>
      <w:r w:rsidR="00C712C0" w:rsidRPr="002200E6">
        <w:rPr>
          <w:rFonts w:cs="Times New Roman"/>
        </w:rPr>
        <w:t>‘E-mile</w:t>
      </w:r>
      <w:r w:rsidR="006B0C87">
        <w:rPr>
          <w:rFonts w:cs="Times New Roman"/>
        </w:rPr>
        <w:t>’</w:t>
      </w:r>
      <w:r w:rsidR="00C712C0" w:rsidRPr="002200E6">
        <w:rPr>
          <w:rFonts w:cs="Times New Roman"/>
        </w:rPr>
        <w:t xml:space="preserve"> is a strategic decision support aimed at providing some sort of scenario planning functionality which could be utilised in the phase of strategic design of a UCC. In this specific functionality, a decision-maker (who, for instance, could be a transport planner in a city council) could just insert some hypothetical demand for the last-mile delivery services (in terms of typical incoming trucks per day and number of customers that need to be served, with their operating time windows).</w:t>
      </w:r>
      <w:r w:rsidR="00C712C0" w:rsidRPr="006C301D">
        <w:rPr>
          <w:rFonts w:cs="Times New Roman"/>
        </w:rPr>
        <w:t xml:space="preserve"> </w:t>
      </w:r>
      <w:r w:rsidR="00C712C0">
        <w:rPr>
          <w:rFonts w:cs="Times New Roman"/>
        </w:rPr>
        <w:t>T</w:t>
      </w:r>
      <w:r w:rsidR="00C712C0" w:rsidRPr="006C301D">
        <w:rPr>
          <w:rFonts w:cs="Times New Roman"/>
        </w:rPr>
        <w:t>his chapter elaborates on the elements to be considered during the decision-making proce</w:t>
      </w:r>
      <w:r w:rsidR="00C712C0" w:rsidRPr="00A96AC5">
        <w:rPr>
          <w:rFonts w:cs="Times New Roman"/>
        </w:rPr>
        <w:t xml:space="preserve">ss. </w:t>
      </w:r>
      <w:r w:rsidR="00C712C0">
        <w:rPr>
          <w:rFonts w:cs="Times New Roman"/>
        </w:rPr>
        <w:t>Then</w:t>
      </w:r>
      <w:r w:rsidR="00F00372">
        <w:rPr>
          <w:rFonts w:cs="Times New Roman"/>
        </w:rPr>
        <w:t>,</w:t>
      </w:r>
      <w:r w:rsidR="00C712C0">
        <w:rPr>
          <w:rFonts w:cs="Times New Roman"/>
        </w:rPr>
        <w:t xml:space="preserve"> </w:t>
      </w:r>
      <w:r w:rsidR="00C712C0" w:rsidRPr="00A96AC5">
        <w:rPr>
          <w:rFonts w:cs="Times New Roman"/>
        </w:rPr>
        <w:t xml:space="preserve">a comprehensive introduction to the functions of ‘E-mile’ is given, including the specification of the software module and the assumed process of data input for the UCC planners. </w:t>
      </w:r>
    </w:p>
    <w:p w14:paraId="48CDE184" w14:textId="6064B3EE" w:rsidR="00013E7D" w:rsidRPr="00A96AC5" w:rsidRDefault="00013E7D" w:rsidP="000A4E8C">
      <w:pPr>
        <w:pStyle w:val="Heading2"/>
        <w:spacing w:after="120" w:line="360" w:lineRule="auto"/>
        <w:rPr>
          <w:rFonts w:cs="Times New Roman"/>
        </w:rPr>
      </w:pPr>
      <w:bookmarkStart w:id="136" w:name="_Toc34734484"/>
      <w:bookmarkStart w:id="137" w:name="_Toc46053402"/>
      <w:bookmarkStart w:id="138" w:name="_Toc46093316"/>
      <w:bookmarkStart w:id="139" w:name="_Toc46093599"/>
      <w:bookmarkStart w:id="140" w:name="_Toc66703174"/>
      <w:r w:rsidRPr="00A96AC5">
        <w:rPr>
          <w:rFonts w:cs="Times New Roman"/>
        </w:rPr>
        <w:t xml:space="preserve">Chapter </w:t>
      </w:r>
      <w:r w:rsidR="00247948" w:rsidRPr="00A96AC5">
        <w:rPr>
          <w:rFonts w:cs="Times New Roman"/>
        </w:rPr>
        <w:t>summary</w:t>
      </w:r>
      <w:bookmarkEnd w:id="136"/>
      <w:bookmarkEnd w:id="137"/>
      <w:bookmarkEnd w:id="138"/>
      <w:bookmarkEnd w:id="139"/>
      <w:bookmarkEnd w:id="140"/>
    </w:p>
    <w:p w14:paraId="1D51702E" w14:textId="5FBE0673" w:rsidR="000269CB" w:rsidRDefault="00013E7D" w:rsidP="000A4E8C">
      <w:pPr>
        <w:spacing w:line="360" w:lineRule="auto"/>
        <w:rPr>
          <w:rFonts w:cs="Times New Roman"/>
        </w:rPr>
      </w:pPr>
      <w:r w:rsidRPr="00A96AC5">
        <w:rPr>
          <w:rFonts w:cs="Times New Roman"/>
        </w:rPr>
        <w:t xml:space="preserve">This chapter has introduced basic notions about the </w:t>
      </w:r>
      <w:r w:rsidR="00247948" w:rsidRPr="00A96AC5">
        <w:rPr>
          <w:rFonts w:cs="Times New Roman"/>
        </w:rPr>
        <w:t xml:space="preserve">UL </w:t>
      </w:r>
      <w:r w:rsidRPr="00A96AC5">
        <w:rPr>
          <w:rFonts w:cs="Times New Roman"/>
        </w:rPr>
        <w:t>field</w:t>
      </w:r>
      <w:r w:rsidR="002B441A" w:rsidRPr="00A96AC5">
        <w:rPr>
          <w:rFonts w:cs="Times New Roman"/>
        </w:rPr>
        <w:t>. Then, it</w:t>
      </w:r>
      <w:r w:rsidR="00F97F3A">
        <w:rPr>
          <w:rFonts w:cs="Times New Roman"/>
        </w:rPr>
        <w:t xml:space="preserve"> </w:t>
      </w:r>
      <w:r w:rsidRPr="00A96AC5">
        <w:rPr>
          <w:rFonts w:cs="Times New Roman"/>
        </w:rPr>
        <w:t>highlight</w:t>
      </w:r>
      <w:r w:rsidR="002B441A" w:rsidRPr="00A96AC5">
        <w:rPr>
          <w:rFonts w:cs="Times New Roman"/>
        </w:rPr>
        <w:t>s</w:t>
      </w:r>
      <w:r w:rsidRPr="00A96AC5">
        <w:rPr>
          <w:rFonts w:cs="Times New Roman"/>
        </w:rPr>
        <w:t xml:space="preserve"> the need for </w:t>
      </w:r>
      <w:r w:rsidR="00247948" w:rsidRPr="00A96AC5">
        <w:rPr>
          <w:rFonts w:cs="Times New Roman"/>
        </w:rPr>
        <w:t xml:space="preserve">SUL </w:t>
      </w:r>
      <w:r w:rsidRPr="00A96AC5">
        <w:rPr>
          <w:rFonts w:cs="Times New Roman"/>
        </w:rPr>
        <w:t xml:space="preserve">as a response to problems caused by freight transportation activities in urban environments. </w:t>
      </w:r>
      <w:r w:rsidR="007642E8" w:rsidRPr="00A96AC5">
        <w:rPr>
          <w:rFonts w:cs="Times New Roman"/>
        </w:rPr>
        <w:t>Finally, this chapter focuses on UCC</w:t>
      </w:r>
      <w:r w:rsidR="00397BB2">
        <w:rPr>
          <w:rFonts w:cs="Times New Roman"/>
        </w:rPr>
        <w:t>s</w:t>
      </w:r>
      <w:r w:rsidR="007642E8" w:rsidRPr="00A96AC5">
        <w:rPr>
          <w:rFonts w:cs="Times New Roman"/>
        </w:rPr>
        <w:t>, a promising</w:t>
      </w:r>
      <w:r w:rsidR="00CC221C">
        <w:rPr>
          <w:rFonts w:cs="Times New Roman"/>
        </w:rPr>
        <w:t xml:space="preserve"> </w:t>
      </w:r>
      <w:r w:rsidR="007642E8" w:rsidRPr="00A96AC5">
        <w:rPr>
          <w:rFonts w:cs="Times New Roman"/>
        </w:rPr>
        <w:t xml:space="preserve">but problematic SUL initiative, giving a brief introduction about </w:t>
      </w:r>
      <w:r w:rsidR="00397BB2">
        <w:rPr>
          <w:rFonts w:cs="Times New Roman"/>
        </w:rPr>
        <w:t xml:space="preserve">their </w:t>
      </w:r>
      <w:r w:rsidR="007642E8" w:rsidRPr="00A96AC5">
        <w:rPr>
          <w:rFonts w:cs="Times New Roman"/>
        </w:rPr>
        <w:t xml:space="preserve">features and background information. </w:t>
      </w:r>
      <w:r w:rsidR="00247948" w:rsidRPr="00A96AC5">
        <w:rPr>
          <w:rFonts w:cs="Times New Roman"/>
        </w:rPr>
        <w:t xml:space="preserve">To clarify </w:t>
      </w:r>
      <w:r w:rsidRPr="00A96AC5">
        <w:rPr>
          <w:rFonts w:cs="Times New Roman"/>
        </w:rPr>
        <w:t xml:space="preserve">the current state-of-the-art </w:t>
      </w:r>
      <w:r w:rsidR="000710EF" w:rsidRPr="00A96AC5">
        <w:rPr>
          <w:rFonts w:cs="Times New Roman"/>
        </w:rPr>
        <w:t xml:space="preserve">literatures </w:t>
      </w:r>
      <w:r w:rsidRPr="00A96AC5">
        <w:rPr>
          <w:rFonts w:cs="Times New Roman"/>
        </w:rPr>
        <w:t xml:space="preserve">and the extant research gaps in the </w:t>
      </w:r>
      <w:r w:rsidR="00247948" w:rsidRPr="00A96AC5">
        <w:rPr>
          <w:rFonts w:cs="Times New Roman"/>
        </w:rPr>
        <w:t xml:space="preserve">SUL </w:t>
      </w:r>
      <w:r w:rsidRPr="00A96AC5">
        <w:rPr>
          <w:rFonts w:cs="Times New Roman"/>
        </w:rPr>
        <w:t xml:space="preserve">field, a systematic literature review is </w:t>
      </w:r>
      <w:r w:rsidR="00247948" w:rsidRPr="00A96AC5">
        <w:rPr>
          <w:rFonts w:cs="Times New Roman"/>
        </w:rPr>
        <w:t xml:space="preserve">presented </w:t>
      </w:r>
      <w:r w:rsidRPr="00A96AC5">
        <w:rPr>
          <w:rFonts w:cs="Times New Roman"/>
        </w:rPr>
        <w:t>in the next chapter.</w:t>
      </w:r>
    </w:p>
    <w:p w14:paraId="4E68AB34" w14:textId="77777777" w:rsidR="000269CB" w:rsidRDefault="000269CB">
      <w:pPr>
        <w:rPr>
          <w:rFonts w:cs="Times New Roman"/>
        </w:rPr>
      </w:pPr>
      <w:r>
        <w:rPr>
          <w:rFonts w:cs="Times New Roman"/>
        </w:rPr>
        <w:br w:type="page"/>
      </w:r>
    </w:p>
    <w:p w14:paraId="77A3A4AC" w14:textId="692A220B" w:rsidR="0071798B" w:rsidRPr="008903D1" w:rsidRDefault="007E3368" w:rsidP="000A4E8C">
      <w:pPr>
        <w:pStyle w:val="Heading1"/>
        <w:spacing w:before="240" w:after="0" w:afterAutospacing="0" w:line="360" w:lineRule="auto"/>
        <w:jc w:val="left"/>
        <w:rPr>
          <w:rFonts w:cs="Times New Roman"/>
        </w:rPr>
      </w:pPr>
      <w:bookmarkStart w:id="141" w:name="_Toc46053403"/>
      <w:bookmarkStart w:id="142" w:name="_Toc46093317"/>
      <w:bookmarkStart w:id="143" w:name="_Toc46093600"/>
      <w:bookmarkStart w:id="144" w:name="_Toc66703175"/>
      <w:r w:rsidRPr="00802DC5">
        <w:rPr>
          <w:rFonts w:cs="Times New Roman"/>
        </w:rPr>
        <w:lastRenderedPageBreak/>
        <w:t xml:space="preserve">Literature </w:t>
      </w:r>
      <w:r w:rsidR="0071798B" w:rsidRPr="006C301D">
        <w:rPr>
          <w:rFonts w:cs="Times New Roman"/>
        </w:rPr>
        <w:t>review</w:t>
      </w:r>
      <w:bookmarkEnd w:id="141"/>
      <w:bookmarkEnd w:id="142"/>
      <w:bookmarkEnd w:id="143"/>
      <w:bookmarkEnd w:id="144"/>
      <w:r w:rsidR="0071798B" w:rsidRPr="006C301D">
        <w:rPr>
          <w:rFonts w:cs="Times New Roman"/>
        </w:rPr>
        <w:t xml:space="preserve"> </w:t>
      </w:r>
    </w:p>
    <w:p w14:paraId="7D81B1A7" w14:textId="0B101B22" w:rsidR="00E339BA" w:rsidRDefault="002A1C67" w:rsidP="00E339BA">
      <w:pPr>
        <w:spacing w:after="240" w:line="360" w:lineRule="auto"/>
        <w:rPr>
          <w:rFonts w:cs="Times New Roman"/>
          <w:color w:val="FF0000"/>
        </w:rPr>
      </w:pPr>
      <w:r w:rsidRPr="001F5777">
        <w:rPr>
          <w:rFonts w:cs="Times New Roman"/>
        </w:rPr>
        <w:t xml:space="preserve">This chapter provides the findings of a comprehensive literature review of the SUL field of study. The relevant research topics are investigated and gaps in the extant literature are highlighted, along with potential research avenues. </w:t>
      </w:r>
      <w:r w:rsidRPr="002A1C67">
        <w:rPr>
          <w:rFonts w:cs="Times New Roman"/>
          <w:color w:val="FF0000"/>
        </w:rPr>
        <w:t xml:space="preserve">The literature review process contains both an academic literature review and a grey literature review. The academic literature review reflects a narrowed-down process of research topic identification. In this procedure, this thesis firstly reviews the papers in the context of the SUL. The findings from the reviewed papers in the general SUL motivate this thesis defining UCC, a popular initiative established to tackle the challenges of negative environmental and social impacts generated by UL, as a research topic. Then, </w:t>
      </w:r>
      <w:proofErr w:type="gramStart"/>
      <w:r w:rsidRPr="002A1C67">
        <w:rPr>
          <w:rFonts w:cs="Times New Roman"/>
          <w:color w:val="FF0000"/>
        </w:rPr>
        <w:t>in order to</w:t>
      </w:r>
      <w:proofErr w:type="gramEnd"/>
      <w:r w:rsidRPr="002A1C67">
        <w:rPr>
          <w:rFonts w:cs="Times New Roman"/>
          <w:color w:val="FF0000"/>
        </w:rPr>
        <w:t xml:space="preserve"> build a comprehensive overview of the UCC studies by understanding the dominant categories of research topics and themes, a new set of critical literature reviews in the research scope of UCCs are conducted based on another ‘keywords’ set. The results of the literature review also contribute to the understanding of possible research directions and knowledge gaps </w:t>
      </w:r>
      <w:r w:rsidRPr="002A1C67">
        <w:rPr>
          <w:rFonts w:cs="Times New Roman" w:hint="eastAsia"/>
          <w:color w:val="FF0000"/>
        </w:rPr>
        <w:t>in</w:t>
      </w:r>
      <w:r w:rsidRPr="002A1C67">
        <w:rPr>
          <w:rFonts w:cs="Times New Roman"/>
          <w:color w:val="FF0000"/>
        </w:rPr>
        <w:t xml:space="preserve"> </w:t>
      </w:r>
      <w:r w:rsidRPr="002A1C67">
        <w:rPr>
          <w:rFonts w:cs="Times New Roman" w:hint="eastAsia"/>
          <w:color w:val="FF0000"/>
        </w:rPr>
        <w:t>the</w:t>
      </w:r>
      <w:r w:rsidRPr="002A1C67">
        <w:rPr>
          <w:rFonts w:cs="Times New Roman"/>
          <w:color w:val="FF0000"/>
        </w:rPr>
        <w:t xml:space="preserve"> field of UCCs. On the other hand, this thesis conducts a grey literature review based on the industrial report of UCCs, for the purpose of understanding the practical issues in the UCC project. In the end, by combining the results of the academic literature review and the grey literature review, this thesis identifies the research gaps in the field of UCCs and then proposes associated research questions. </w:t>
      </w:r>
      <w:r w:rsidR="00571B42" w:rsidRPr="002A1C67">
        <w:rPr>
          <w:rFonts w:cs="Times New Roman"/>
          <w:color w:val="FF0000"/>
        </w:rPr>
        <w:fldChar w:fldCharType="begin"/>
      </w:r>
      <w:r w:rsidR="00571B42" w:rsidRPr="002A1C67">
        <w:rPr>
          <w:rFonts w:cs="Times New Roman"/>
          <w:color w:val="FF0000"/>
        </w:rPr>
        <w:instrText xml:space="preserve"> REF _Ref66284695 \h </w:instrText>
      </w:r>
      <w:r w:rsidR="00AD0BD0" w:rsidRPr="002A1C67">
        <w:rPr>
          <w:rFonts w:cs="Times New Roman"/>
          <w:color w:val="FF0000"/>
        </w:rPr>
        <w:instrText xml:space="preserve"> \* MERGEFORMAT </w:instrText>
      </w:r>
      <w:r w:rsidR="00571B42" w:rsidRPr="002A1C67">
        <w:rPr>
          <w:rFonts w:cs="Times New Roman"/>
          <w:color w:val="FF0000"/>
        </w:rPr>
      </w:r>
      <w:r w:rsidR="00571B42" w:rsidRPr="002A1C67">
        <w:rPr>
          <w:rFonts w:cs="Times New Roman"/>
          <w:color w:val="FF0000"/>
        </w:rPr>
        <w:fldChar w:fldCharType="separate"/>
      </w:r>
      <w:r w:rsidR="0005064B" w:rsidRPr="0005064B">
        <w:rPr>
          <w:rFonts w:cs="Times New Roman"/>
          <w:color w:val="FF0000"/>
        </w:rPr>
        <w:t>Figure 2</w:t>
      </w:r>
      <w:r w:rsidR="0005064B" w:rsidRPr="0005064B">
        <w:rPr>
          <w:rFonts w:cs="Times New Roman"/>
          <w:color w:val="FF0000"/>
        </w:rPr>
        <w:noBreakHyphen/>
        <w:t>1</w:t>
      </w:r>
      <w:r w:rsidR="00571B42" w:rsidRPr="002A1C67">
        <w:rPr>
          <w:rFonts w:cs="Times New Roman"/>
          <w:color w:val="FF0000"/>
        </w:rPr>
        <w:fldChar w:fldCharType="end"/>
      </w:r>
      <w:r w:rsidR="00571B42" w:rsidRPr="002A1C67">
        <w:rPr>
          <w:rFonts w:cs="Times New Roman"/>
          <w:color w:val="FF0000"/>
        </w:rPr>
        <w:t xml:space="preserve"> shows the</w:t>
      </w:r>
      <w:r w:rsidR="009F4C93" w:rsidRPr="002A1C67">
        <w:rPr>
          <w:rFonts w:cs="Times New Roman"/>
          <w:color w:val="FF0000"/>
        </w:rPr>
        <w:t xml:space="preserve"> overall</w:t>
      </w:r>
      <w:r w:rsidR="00571B42" w:rsidRPr="002A1C67">
        <w:rPr>
          <w:rFonts w:cs="Times New Roman"/>
          <w:color w:val="FF0000"/>
        </w:rPr>
        <w:t xml:space="preserve"> str</w:t>
      </w:r>
      <w:r w:rsidR="009F4C93" w:rsidRPr="002A1C67">
        <w:rPr>
          <w:rFonts w:cs="Times New Roman"/>
          <w:color w:val="FF0000"/>
        </w:rPr>
        <w:t>ucture of this chap</w:t>
      </w:r>
      <w:r>
        <w:rPr>
          <w:rFonts w:cs="Times New Roman" w:hint="eastAsia"/>
          <w:color w:val="FF0000"/>
        </w:rPr>
        <w:t>t</w:t>
      </w:r>
      <w:r w:rsidR="009F4C93" w:rsidRPr="002A1C67">
        <w:rPr>
          <w:rFonts w:cs="Times New Roman"/>
          <w:color w:val="FF0000"/>
        </w:rPr>
        <w:t xml:space="preserve">er. </w:t>
      </w:r>
    </w:p>
    <w:p w14:paraId="0AEDF3F2" w14:textId="1058441C" w:rsidR="00632993" w:rsidRDefault="00AD0BD0" w:rsidP="00E339BA">
      <w:pPr>
        <w:spacing w:after="240" w:line="360" w:lineRule="auto"/>
        <w:rPr>
          <w:rFonts w:cs="Times New Roman"/>
          <w:color w:val="FF0000"/>
        </w:rPr>
      </w:pPr>
      <w:r>
        <w:object w:dxaOrig="11086" w:dyaOrig="3091" w14:anchorId="0FF07A13">
          <v:shape id="_x0000_i1026" type="#_x0000_t75" style="width:451.2pt;height:125.65pt" o:ole="">
            <v:imagedata r:id="rId19" o:title=""/>
          </v:shape>
          <o:OLEObject Type="Embed" ProgID="Visio.Drawing.15" ShapeID="_x0000_i1026" DrawAspect="Content" ObjectID="_1681648033" r:id="rId20"/>
        </w:object>
      </w:r>
    </w:p>
    <w:p w14:paraId="7411601B" w14:textId="241A4608" w:rsidR="00602F7B" w:rsidRPr="00E339BA" w:rsidRDefault="00632993" w:rsidP="00632993">
      <w:pPr>
        <w:pStyle w:val="Caption"/>
        <w:rPr>
          <w:rFonts w:cs="Times New Roman"/>
          <w:szCs w:val="22"/>
        </w:rPr>
      </w:pPr>
      <w:bookmarkStart w:id="145" w:name="_Ref66284695"/>
      <w:bookmarkStart w:id="146" w:name="_Ref66284688"/>
      <w:bookmarkStart w:id="147" w:name="_Toc66698695"/>
      <w:r>
        <w:t xml:space="preserve">Figure </w:t>
      </w:r>
      <w:r w:rsidR="000306D9">
        <w:fldChar w:fldCharType="begin"/>
      </w:r>
      <w:r w:rsidR="000306D9">
        <w:instrText xml:space="preserve"> STYLEREF 1 \s </w:instrText>
      </w:r>
      <w:r w:rsidR="000306D9">
        <w:fldChar w:fldCharType="separate"/>
      </w:r>
      <w:r w:rsidR="0005064B">
        <w:rPr>
          <w:noProof/>
        </w:rPr>
        <w:t>2</w:t>
      </w:r>
      <w:r w:rsidR="000306D9">
        <w:rPr>
          <w:noProof/>
        </w:rPr>
        <w:fldChar w:fldCharType="end"/>
      </w:r>
      <w:r>
        <w:noBreakHyphen/>
      </w:r>
      <w:r w:rsidR="000306D9">
        <w:fldChar w:fldCharType="begin"/>
      </w:r>
      <w:r w:rsidR="000306D9">
        <w:instrText xml:space="preserve"> SEQ Figure \* ARABIC \s 1 </w:instrText>
      </w:r>
      <w:r w:rsidR="000306D9">
        <w:fldChar w:fldCharType="separate"/>
      </w:r>
      <w:r w:rsidR="0005064B">
        <w:rPr>
          <w:noProof/>
        </w:rPr>
        <w:t>1</w:t>
      </w:r>
      <w:r w:rsidR="000306D9">
        <w:rPr>
          <w:noProof/>
        </w:rPr>
        <w:fldChar w:fldCharType="end"/>
      </w:r>
      <w:bookmarkEnd w:id="145"/>
      <w:r w:rsidR="00571B42">
        <w:t xml:space="preserve"> Structure of the literature review</w:t>
      </w:r>
      <w:bookmarkEnd w:id="146"/>
      <w:bookmarkEnd w:id="147"/>
    </w:p>
    <w:p w14:paraId="558E7756" w14:textId="77777777" w:rsidR="0071798B" w:rsidRPr="00A96AC5" w:rsidRDefault="0071798B" w:rsidP="000A4E8C">
      <w:pPr>
        <w:pStyle w:val="Heading2"/>
        <w:spacing w:before="40" w:afterLines="0" w:after="0" w:line="360" w:lineRule="auto"/>
        <w:jc w:val="left"/>
        <w:rPr>
          <w:rFonts w:cs="Times New Roman"/>
        </w:rPr>
      </w:pPr>
      <w:bookmarkStart w:id="148" w:name="_Toc491894821"/>
      <w:bookmarkStart w:id="149" w:name="_Toc34734486"/>
      <w:bookmarkStart w:id="150" w:name="_Toc46053404"/>
      <w:bookmarkStart w:id="151" w:name="_Toc46093318"/>
      <w:bookmarkStart w:id="152" w:name="_Toc46093601"/>
      <w:bookmarkStart w:id="153" w:name="_Toc66703176"/>
      <w:r w:rsidRPr="00A96AC5">
        <w:rPr>
          <w:rFonts w:cs="Times New Roman"/>
        </w:rPr>
        <w:t xml:space="preserve">Paper selection and analysis of urban </w:t>
      </w:r>
      <w:bookmarkEnd w:id="148"/>
      <w:r w:rsidRPr="00A96AC5">
        <w:rPr>
          <w:rFonts w:cs="Times New Roman"/>
        </w:rPr>
        <w:t>logistics (UL)</w:t>
      </w:r>
      <w:bookmarkEnd w:id="149"/>
      <w:bookmarkEnd w:id="150"/>
      <w:bookmarkEnd w:id="151"/>
      <w:bookmarkEnd w:id="152"/>
      <w:bookmarkEnd w:id="153"/>
    </w:p>
    <w:p w14:paraId="55850677" w14:textId="77777777" w:rsidR="0071798B" w:rsidRPr="00A96AC5" w:rsidRDefault="0071798B" w:rsidP="00C15D78">
      <w:pPr>
        <w:spacing w:before="240" w:after="240" w:line="360" w:lineRule="auto"/>
        <w:rPr>
          <w:rFonts w:cs="Times New Roman"/>
          <w:szCs w:val="24"/>
        </w:rPr>
      </w:pPr>
      <w:r w:rsidRPr="00A96AC5">
        <w:rPr>
          <w:rFonts w:cs="Times New Roman"/>
          <w:szCs w:val="24"/>
        </w:rPr>
        <w:t xml:space="preserve">An initial body of literature was gathered using a ‘keyword search’ in SCOPUS, one of the largest </w:t>
      </w:r>
      <w:proofErr w:type="gramStart"/>
      <w:r w:rsidRPr="00A96AC5">
        <w:rPr>
          <w:rFonts w:cs="Times New Roman"/>
          <w:szCs w:val="24"/>
        </w:rPr>
        <w:t>abstract</w:t>
      </w:r>
      <w:proofErr w:type="gramEnd"/>
      <w:r w:rsidRPr="00A96AC5">
        <w:rPr>
          <w:rFonts w:cs="Times New Roman"/>
          <w:szCs w:val="24"/>
        </w:rPr>
        <w:t xml:space="preserve"> and citation databases for peer-reviewed scientific literature, including journals, </w:t>
      </w:r>
      <w:r w:rsidRPr="00A96AC5">
        <w:rPr>
          <w:rFonts w:cs="Times New Roman"/>
          <w:szCs w:val="24"/>
        </w:rPr>
        <w:lastRenderedPageBreak/>
        <w:t xml:space="preserve">books, and conference proceedings. SCOPUS is linked to the databases of major publishers such as Elsevier, Emerald, Springer, and Wiley. </w:t>
      </w:r>
    </w:p>
    <w:p w14:paraId="5BDD415E" w14:textId="539A8911" w:rsidR="0071798B" w:rsidRPr="00D72B82" w:rsidRDefault="0071798B" w:rsidP="00C15D78">
      <w:pPr>
        <w:spacing w:before="240" w:after="240" w:line="360" w:lineRule="auto"/>
        <w:rPr>
          <w:rFonts w:cs="Times New Roman"/>
          <w:szCs w:val="24"/>
        </w:rPr>
      </w:pPr>
      <w:r w:rsidRPr="00A96AC5">
        <w:rPr>
          <w:rFonts w:cs="Times New Roman"/>
          <w:szCs w:val="24"/>
        </w:rPr>
        <w:t xml:space="preserve">The complete list of search criteria is reported in </w:t>
      </w:r>
      <w:r w:rsidR="00325F10">
        <w:rPr>
          <w:rFonts w:cs="Times New Roman"/>
          <w:szCs w:val="24"/>
        </w:rPr>
        <w:fldChar w:fldCharType="begin"/>
      </w:r>
      <w:r w:rsidR="00325F10">
        <w:rPr>
          <w:rFonts w:cs="Times New Roman"/>
          <w:szCs w:val="24"/>
        </w:rPr>
        <w:instrText xml:space="preserve"> REF _Ref46829975 \h </w:instrText>
      </w:r>
      <w:r w:rsidR="00325F10">
        <w:rPr>
          <w:rFonts w:cs="Times New Roman"/>
          <w:szCs w:val="24"/>
        </w:rPr>
      </w:r>
      <w:r w:rsidR="00325F10">
        <w:rPr>
          <w:rFonts w:cs="Times New Roman"/>
          <w:szCs w:val="24"/>
        </w:rPr>
        <w:fldChar w:fldCharType="separate"/>
      </w:r>
      <w:r w:rsidR="0005064B">
        <w:t xml:space="preserve">Table </w:t>
      </w:r>
      <w:r w:rsidR="0005064B">
        <w:rPr>
          <w:noProof/>
        </w:rPr>
        <w:t>2</w:t>
      </w:r>
      <w:r w:rsidR="0005064B">
        <w:noBreakHyphen/>
      </w:r>
      <w:r w:rsidR="0005064B">
        <w:rPr>
          <w:noProof/>
        </w:rPr>
        <w:t>1</w:t>
      </w:r>
      <w:r w:rsidR="00325F10">
        <w:rPr>
          <w:rFonts w:cs="Times New Roman"/>
          <w:szCs w:val="24"/>
        </w:rPr>
        <w:fldChar w:fldCharType="end"/>
      </w:r>
      <w:r w:rsidRPr="008903D1">
        <w:rPr>
          <w:rFonts w:cs="Times New Roman"/>
          <w:szCs w:val="24"/>
        </w:rPr>
        <w:t>. The results</w:t>
      </w:r>
      <w:r w:rsidRPr="00737239">
        <w:rPr>
          <w:rFonts w:cs="Times New Roman"/>
          <w:szCs w:val="24"/>
        </w:rPr>
        <w:t xml:space="preserve"> were English-</w:t>
      </w:r>
      <w:r w:rsidRPr="00D72B82">
        <w:rPr>
          <w:rFonts w:cs="Times New Roman"/>
          <w:szCs w:val="24"/>
        </w:rPr>
        <w:t xml:space="preserve">language </w:t>
      </w:r>
      <w:proofErr w:type="gramStart"/>
      <w:r w:rsidRPr="00D72B82">
        <w:rPr>
          <w:rFonts w:cs="Times New Roman"/>
          <w:szCs w:val="24"/>
        </w:rPr>
        <w:t>articles</w:t>
      </w:r>
      <w:proofErr w:type="gramEnd"/>
      <w:r w:rsidRPr="00D72B82">
        <w:rPr>
          <w:rFonts w:cs="Times New Roman"/>
          <w:szCs w:val="24"/>
        </w:rPr>
        <w:t xml:space="preserve"> and they were gathered using the keywords ‘sustainable urban logistics’, ‘sustainable city logistics’, ‘green urban logistics’, and ‘sustainable urban freight’, with searches of titles, abstracts, and keywords. This process resulted in the retrieval of 330 academic papers.</w:t>
      </w:r>
    </w:p>
    <w:tbl>
      <w:tblPr>
        <w:tblStyle w:val="TableGrid"/>
        <w:tblW w:w="5000" w:type="pct"/>
        <w:tblLook w:val="04A0" w:firstRow="1" w:lastRow="0" w:firstColumn="1" w:lastColumn="0" w:noHBand="0" w:noVBand="1"/>
      </w:tblPr>
      <w:tblGrid>
        <w:gridCol w:w="2847"/>
        <w:gridCol w:w="6169"/>
      </w:tblGrid>
      <w:tr w:rsidR="00D72B82" w:rsidRPr="00D72B82" w14:paraId="5DE3A45F" w14:textId="77777777" w:rsidTr="00F7598C">
        <w:tc>
          <w:tcPr>
            <w:tcW w:w="1579" w:type="pct"/>
          </w:tcPr>
          <w:p w14:paraId="5221A304" w14:textId="01F450B3" w:rsidR="0071798B" w:rsidRPr="00D72B82" w:rsidRDefault="0071798B" w:rsidP="00220461">
            <w:pPr>
              <w:spacing w:line="240" w:lineRule="auto"/>
              <w:ind w:firstLine="440"/>
              <w:rPr>
                <w:rFonts w:cs="Times New Roman"/>
                <w:b/>
                <w:bCs/>
                <w:sz w:val="22"/>
              </w:rPr>
            </w:pPr>
            <w:r w:rsidRPr="00D72B82">
              <w:rPr>
                <w:rFonts w:cs="Times New Roman"/>
                <w:sz w:val="22"/>
              </w:rPr>
              <w:t>Inclusion criteria</w:t>
            </w:r>
          </w:p>
        </w:tc>
        <w:tc>
          <w:tcPr>
            <w:tcW w:w="3421" w:type="pct"/>
          </w:tcPr>
          <w:p w14:paraId="6F77B18F" w14:textId="77777777" w:rsidR="0071798B" w:rsidRPr="00D72B82" w:rsidRDefault="0071798B" w:rsidP="00220461">
            <w:pPr>
              <w:spacing w:line="240" w:lineRule="auto"/>
              <w:ind w:firstLine="440"/>
              <w:jc w:val="center"/>
              <w:rPr>
                <w:rFonts w:cs="Times New Roman"/>
                <w:b/>
                <w:bCs/>
                <w:sz w:val="22"/>
              </w:rPr>
            </w:pPr>
            <w:r w:rsidRPr="00D72B82">
              <w:rPr>
                <w:rFonts w:cs="Times New Roman"/>
                <w:sz w:val="22"/>
              </w:rPr>
              <w:t>Description</w:t>
            </w:r>
          </w:p>
        </w:tc>
      </w:tr>
      <w:tr w:rsidR="00D72B82" w:rsidRPr="00D72B82" w14:paraId="2EA2879D" w14:textId="77777777" w:rsidTr="00C95B63">
        <w:tc>
          <w:tcPr>
            <w:tcW w:w="1579" w:type="pct"/>
            <w:vAlign w:val="center"/>
          </w:tcPr>
          <w:p w14:paraId="0125C03C" w14:textId="77777777" w:rsidR="0071798B" w:rsidRPr="00D72B82" w:rsidRDefault="0071798B" w:rsidP="00C95B63">
            <w:pPr>
              <w:spacing w:line="240" w:lineRule="auto"/>
              <w:ind w:firstLine="440"/>
              <w:jc w:val="center"/>
              <w:rPr>
                <w:rFonts w:cs="Times New Roman"/>
                <w:b/>
                <w:bCs/>
                <w:sz w:val="22"/>
              </w:rPr>
            </w:pPr>
            <w:r w:rsidRPr="00D72B82">
              <w:rPr>
                <w:rFonts w:cs="Times New Roman"/>
                <w:sz w:val="22"/>
              </w:rPr>
              <w:t>Keywords</w:t>
            </w:r>
          </w:p>
        </w:tc>
        <w:tc>
          <w:tcPr>
            <w:tcW w:w="3421" w:type="pct"/>
          </w:tcPr>
          <w:p w14:paraId="204C6A9B" w14:textId="77777777" w:rsidR="0071798B" w:rsidRPr="00D72B82" w:rsidRDefault="0071798B" w:rsidP="00220461">
            <w:pPr>
              <w:spacing w:line="240" w:lineRule="auto"/>
              <w:rPr>
                <w:rFonts w:cs="Times New Roman"/>
                <w:sz w:val="22"/>
              </w:rPr>
            </w:pPr>
            <w:r w:rsidRPr="00D72B82">
              <w:rPr>
                <w:rFonts w:cs="Times New Roman"/>
                <w:sz w:val="22"/>
              </w:rPr>
              <w:t>‘Sustainable urban logistics’ or ‘sustainable city logistics’ or ‘sustainable urban freight’ or ‘green urban logistics’</w:t>
            </w:r>
          </w:p>
        </w:tc>
      </w:tr>
      <w:tr w:rsidR="00D72B82" w:rsidRPr="00D72B82" w14:paraId="6D5D9138" w14:textId="77777777" w:rsidTr="00C95B63">
        <w:tc>
          <w:tcPr>
            <w:tcW w:w="1579" w:type="pct"/>
            <w:vAlign w:val="center"/>
          </w:tcPr>
          <w:p w14:paraId="2C396612" w14:textId="77777777" w:rsidR="0071798B" w:rsidRPr="00D72B82" w:rsidRDefault="0071798B" w:rsidP="00C95B63">
            <w:pPr>
              <w:spacing w:line="240" w:lineRule="auto"/>
              <w:ind w:firstLine="440"/>
              <w:jc w:val="center"/>
              <w:rPr>
                <w:rFonts w:cs="Times New Roman"/>
                <w:b/>
                <w:bCs/>
                <w:sz w:val="22"/>
              </w:rPr>
            </w:pPr>
            <w:r w:rsidRPr="00D72B82">
              <w:rPr>
                <w:rFonts w:cs="Times New Roman"/>
                <w:sz w:val="22"/>
              </w:rPr>
              <w:t>Language</w:t>
            </w:r>
          </w:p>
        </w:tc>
        <w:tc>
          <w:tcPr>
            <w:tcW w:w="3421" w:type="pct"/>
          </w:tcPr>
          <w:p w14:paraId="310D7C12" w14:textId="77777777" w:rsidR="0071798B" w:rsidRPr="00D72B82" w:rsidRDefault="0071798B" w:rsidP="00220461">
            <w:pPr>
              <w:spacing w:line="240" w:lineRule="auto"/>
              <w:ind w:firstLine="440"/>
              <w:rPr>
                <w:rFonts w:cs="Times New Roman"/>
                <w:sz w:val="22"/>
              </w:rPr>
            </w:pPr>
            <w:r w:rsidRPr="00D72B82">
              <w:rPr>
                <w:rFonts w:cs="Times New Roman"/>
                <w:sz w:val="22"/>
              </w:rPr>
              <w:t>English</w:t>
            </w:r>
          </w:p>
        </w:tc>
      </w:tr>
      <w:tr w:rsidR="00D72B82" w:rsidRPr="00D72B82" w14:paraId="410C61F0" w14:textId="77777777" w:rsidTr="00C95B63">
        <w:tc>
          <w:tcPr>
            <w:tcW w:w="1579" w:type="pct"/>
            <w:vAlign w:val="center"/>
          </w:tcPr>
          <w:p w14:paraId="39990F43" w14:textId="77777777" w:rsidR="0071798B" w:rsidRPr="00D72B82" w:rsidRDefault="0071798B" w:rsidP="00C95B63">
            <w:pPr>
              <w:spacing w:line="240" w:lineRule="auto"/>
              <w:ind w:firstLine="440"/>
              <w:jc w:val="center"/>
              <w:rPr>
                <w:rFonts w:cs="Times New Roman"/>
                <w:b/>
                <w:bCs/>
                <w:sz w:val="22"/>
              </w:rPr>
            </w:pPr>
            <w:r w:rsidRPr="00D72B82">
              <w:rPr>
                <w:rFonts w:cs="Times New Roman"/>
                <w:sz w:val="22"/>
              </w:rPr>
              <w:t>Source</w:t>
            </w:r>
          </w:p>
        </w:tc>
        <w:tc>
          <w:tcPr>
            <w:tcW w:w="3421" w:type="pct"/>
          </w:tcPr>
          <w:p w14:paraId="3FEB4D97" w14:textId="77777777" w:rsidR="0071798B" w:rsidRPr="00D72B82" w:rsidRDefault="0071798B" w:rsidP="00220461">
            <w:pPr>
              <w:spacing w:line="240" w:lineRule="auto"/>
              <w:ind w:firstLine="440"/>
              <w:rPr>
                <w:rFonts w:cs="Times New Roman"/>
                <w:sz w:val="22"/>
              </w:rPr>
            </w:pPr>
            <w:r w:rsidRPr="00D72B82">
              <w:rPr>
                <w:rFonts w:cs="Times New Roman"/>
                <w:sz w:val="22"/>
              </w:rPr>
              <w:t>Scopus</w:t>
            </w:r>
          </w:p>
        </w:tc>
      </w:tr>
      <w:tr w:rsidR="00D72B82" w:rsidRPr="00D72B82" w14:paraId="7BDE4E05" w14:textId="77777777" w:rsidTr="00C95B63">
        <w:trPr>
          <w:trHeight w:val="112"/>
        </w:trPr>
        <w:tc>
          <w:tcPr>
            <w:tcW w:w="1579" w:type="pct"/>
            <w:vAlign w:val="center"/>
          </w:tcPr>
          <w:p w14:paraId="131603FD" w14:textId="77777777" w:rsidR="0071798B" w:rsidRPr="00D72B82" w:rsidRDefault="0071798B" w:rsidP="00C95B63">
            <w:pPr>
              <w:spacing w:line="240" w:lineRule="auto"/>
              <w:ind w:firstLine="440"/>
              <w:jc w:val="center"/>
              <w:rPr>
                <w:rFonts w:cs="Times New Roman"/>
                <w:b/>
                <w:bCs/>
                <w:sz w:val="22"/>
              </w:rPr>
            </w:pPr>
            <w:r w:rsidRPr="00D72B82">
              <w:rPr>
                <w:rFonts w:cs="Times New Roman"/>
                <w:sz w:val="22"/>
              </w:rPr>
              <w:t>Document type</w:t>
            </w:r>
          </w:p>
        </w:tc>
        <w:tc>
          <w:tcPr>
            <w:tcW w:w="3421" w:type="pct"/>
          </w:tcPr>
          <w:p w14:paraId="4EA3C58B" w14:textId="77777777" w:rsidR="0071798B" w:rsidRPr="00D72B82" w:rsidRDefault="0071798B" w:rsidP="00220461">
            <w:pPr>
              <w:spacing w:line="240" w:lineRule="auto"/>
              <w:ind w:firstLine="440"/>
              <w:rPr>
                <w:rFonts w:cs="Times New Roman"/>
                <w:sz w:val="22"/>
              </w:rPr>
            </w:pPr>
            <w:r w:rsidRPr="00D72B82">
              <w:rPr>
                <w:rFonts w:cs="Times New Roman"/>
                <w:sz w:val="22"/>
              </w:rPr>
              <w:t>Article</w:t>
            </w:r>
          </w:p>
        </w:tc>
      </w:tr>
      <w:tr w:rsidR="00D72B82" w:rsidRPr="00D72B82" w14:paraId="6302D59E" w14:textId="77777777" w:rsidTr="00C95B63">
        <w:trPr>
          <w:trHeight w:val="112"/>
        </w:trPr>
        <w:tc>
          <w:tcPr>
            <w:tcW w:w="1579" w:type="pct"/>
            <w:vAlign w:val="center"/>
          </w:tcPr>
          <w:p w14:paraId="27C90DBA" w14:textId="3A1E5947" w:rsidR="00FA47E4" w:rsidRPr="00D72B82" w:rsidRDefault="007E0D59" w:rsidP="00C95B63">
            <w:pPr>
              <w:spacing w:line="240" w:lineRule="auto"/>
              <w:ind w:firstLine="440"/>
              <w:jc w:val="center"/>
              <w:rPr>
                <w:rFonts w:cs="Times New Roman"/>
                <w:sz w:val="22"/>
              </w:rPr>
            </w:pPr>
            <w:r w:rsidRPr="00D72B82">
              <w:rPr>
                <w:rFonts w:cs="Times New Roman"/>
                <w:sz w:val="22"/>
              </w:rPr>
              <w:t>Time interval</w:t>
            </w:r>
          </w:p>
        </w:tc>
        <w:tc>
          <w:tcPr>
            <w:tcW w:w="3421" w:type="pct"/>
          </w:tcPr>
          <w:p w14:paraId="672073AE" w14:textId="250D196C" w:rsidR="00FA47E4" w:rsidRPr="00D72B82" w:rsidRDefault="00585434" w:rsidP="00220461">
            <w:pPr>
              <w:spacing w:line="240" w:lineRule="auto"/>
              <w:ind w:firstLine="440"/>
              <w:rPr>
                <w:rFonts w:cs="Times New Roman"/>
                <w:sz w:val="22"/>
              </w:rPr>
            </w:pPr>
            <w:r w:rsidRPr="00D72B82">
              <w:rPr>
                <w:rFonts w:cs="Times New Roman"/>
                <w:sz w:val="22"/>
              </w:rPr>
              <w:t>1982-2019</w:t>
            </w:r>
          </w:p>
        </w:tc>
      </w:tr>
      <w:tr w:rsidR="00D72B82" w:rsidRPr="00D72B82" w14:paraId="2554CFC4" w14:textId="77777777" w:rsidTr="00C95B63">
        <w:tc>
          <w:tcPr>
            <w:tcW w:w="1579" w:type="pct"/>
            <w:vAlign w:val="center"/>
          </w:tcPr>
          <w:p w14:paraId="1A63FE92" w14:textId="77777777" w:rsidR="0071798B" w:rsidRPr="00D72B82" w:rsidRDefault="0071798B" w:rsidP="00C95B63">
            <w:pPr>
              <w:spacing w:line="240" w:lineRule="auto"/>
              <w:ind w:firstLine="440"/>
              <w:jc w:val="center"/>
              <w:rPr>
                <w:rFonts w:cs="Times New Roman"/>
                <w:b/>
                <w:bCs/>
                <w:sz w:val="22"/>
              </w:rPr>
            </w:pPr>
            <w:r w:rsidRPr="00D72B82">
              <w:rPr>
                <w:rFonts w:cs="Times New Roman"/>
                <w:sz w:val="22"/>
              </w:rPr>
              <w:t>Restriction</w:t>
            </w:r>
          </w:p>
        </w:tc>
        <w:tc>
          <w:tcPr>
            <w:tcW w:w="3421" w:type="pct"/>
          </w:tcPr>
          <w:p w14:paraId="0929D81F" w14:textId="77777777" w:rsidR="0071798B" w:rsidRPr="00D72B82" w:rsidRDefault="0071798B" w:rsidP="00220461">
            <w:pPr>
              <w:spacing w:line="240" w:lineRule="auto"/>
              <w:ind w:firstLine="440"/>
              <w:rPr>
                <w:rFonts w:cs="Times New Roman"/>
                <w:sz w:val="22"/>
              </w:rPr>
            </w:pPr>
            <w:r w:rsidRPr="00D72B82">
              <w:rPr>
                <w:rFonts w:cs="Times New Roman"/>
                <w:sz w:val="22"/>
              </w:rPr>
              <w:t>Article title, Abstract, Keywords</w:t>
            </w:r>
          </w:p>
        </w:tc>
      </w:tr>
    </w:tbl>
    <w:p w14:paraId="41B35603" w14:textId="582A6149" w:rsidR="0071798B" w:rsidRPr="00C95B63" w:rsidRDefault="007B5959" w:rsidP="00A234C5">
      <w:pPr>
        <w:pStyle w:val="Caption"/>
      </w:pPr>
      <w:bookmarkStart w:id="154" w:name="_Ref46829975"/>
      <w:bookmarkStart w:id="155" w:name="_Toc491870109"/>
      <w:bookmarkStart w:id="156" w:name="_Toc34674929"/>
      <w:bookmarkStart w:id="157" w:name="_Toc34734721"/>
      <w:bookmarkStart w:id="158" w:name="_Toc46053535"/>
      <w:bookmarkStart w:id="159" w:name="_Toc46093784"/>
      <w:bookmarkStart w:id="160" w:name="_Toc66698752"/>
      <w:r>
        <w:t>Table</w:t>
      </w:r>
      <w:r w:rsidR="00A234C5">
        <w:t xml:space="preserve"> </w:t>
      </w:r>
      <w:r w:rsidR="000306D9">
        <w:fldChar w:fldCharType="begin"/>
      </w:r>
      <w:r w:rsidR="000306D9">
        <w:instrText xml:space="preserve"> STYLEREF 1 \s </w:instrText>
      </w:r>
      <w:r w:rsidR="000306D9">
        <w:fldChar w:fldCharType="separate"/>
      </w:r>
      <w:r w:rsidR="0005064B">
        <w:rPr>
          <w:noProof/>
        </w:rPr>
        <w:t>2</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1</w:t>
      </w:r>
      <w:r w:rsidR="000306D9">
        <w:rPr>
          <w:noProof/>
        </w:rPr>
        <w:fldChar w:fldCharType="end"/>
      </w:r>
      <w:bookmarkEnd w:id="154"/>
      <w:r w:rsidR="00C27E7C">
        <w:t>:</w:t>
      </w:r>
      <w:r w:rsidR="0071798B" w:rsidRPr="00C95B63">
        <w:t xml:space="preserve"> Criteria for the paper </w:t>
      </w:r>
      <w:bookmarkEnd w:id="155"/>
      <w:r w:rsidR="0071798B" w:rsidRPr="00C95B63">
        <w:t>search</w:t>
      </w:r>
      <w:bookmarkEnd w:id="156"/>
      <w:bookmarkEnd w:id="157"/>
      <w:bookmarkEnd w:id="158"/>
      <w:bookmarkEnd w:id="159"/>
      <w:bookmarkEnd w:id="160"/>
    </w:p>
    <w:p w14:paraId="35F1A5C8" w14:textId="77777777" w:rsidR="00D32DDE" w:rsidRDefault="0071798B" w:rsidP="00C15D78">
      <w:pPr>
        <w:spacing w:before="240" w:after="240" w:line="360" w:lineRule="auto"/>
        <w:rPr>
          <w:rFonts w:cs="Times New Roman"/>
        </w:rPr>
      </w:pPr>
      <w:r w:rsidRPr="00737239">
        <w:rPr>
          <w:rFonts w:cs="Times New Roman"/>
        </w:rPr>
        <w:t>The primary purpose of this phase was to ensure that the articles under consideration were relevant to the field of SUL. The first stage involved reading the abstract and the full text of each paper. Following this, 77 academic papers were removed from the</w:t>
      </w:r>
      <w:r w:rsidRPr="00802DC5">
        <w:rPr>
          <w:rFonts w:cs="Times New Roman"/>
        </w:rPr>
        <w:t xml:space="preserve"> list. The remaining 253 papers were mark</w:t>
      </w:r>
      <w:r w:rsidRPr="006C301D">
        <w:rPr>
          <w:rFonts w:cs="Times New Roman"/>
        </w:rPr>
        <w:t xml:space="preserve">ed and numbered for use in the literature review. </w:t>
      </w:r>
    </w:p>
    <w:p w14:paraId="1283D434" w14:textId="4D2A114B" w:rsidR="0071798B" w:rsidRPr="00737239" w:rsidRDefault="0071798B" w:rsidP="00C15D78">
      <w:pPr>
        <w:spacing w:before="240" w:after="240" w:line="360" w:lineRule="auto"/>
        <w:rPr>
          <w:rFonts w:cs="Times New Roman"/>
        </w:rPr>
      </w:pPr>
      <w:r w:rsidRPr="00A96AC5">
        <w:rPr>
          <w:rFonts w:cs="Times New Roman"/>
        </w:rPr>
        <w:t>A three-layer hierarchy was employed to classify the selected papers: (</w:t>
      </w:r>
      <w:proofErr w:type="spellStart"/>
      <w:r w:rsidRPr="00A96AC5">
        <w:rPr>
          <w:rFonts w:cs="Times New Roman"/>
        </w:rPr>
        <w:t>i</w:t>
      </w:r>
      <w:proofErr w:type="spellEnd"/>
      <w:r w:rsidRPr="00A96AC5">
        <w:rPr>
          <w:rFonts w:cs="Times New Roman"/>
        </w:rPr>
        <w:t xml:space="preserve">) bibliometric evaluation, (ii) research topics, and (iii) methodology. </w:t>
      </w:r>
      <w:r w:rsidRPr="008903D1">
        <w:rPr>
          <w:rFonts w:cs="Times New Roman"/>
        </w:rPr>
        <w:fldChar w:fldCharType="begin"/>
      </w:r>
      <w:r w:rsidRPr="00A96AC5">
        <w:rPr>
          <w:rFonts w:cs="Times New Roman"/>
        </w:rPr>
        <w:instrText xml:space="preserve"> REF _Ref532217210 \h </w:instrText>
      </w:r>
      <w:r w:rsidR="008903D1">
        <w:rPr>
          <w:rFonts w:cs="Times New Roman"/>
        </w:rPr>
        <w:instrText xml:space="preserve"> \* MERGEFORMAT </w:instrText>
      </w:r>
      <w:r w:rsidRPr="008903D1">
        <w:rPr>
          <w:rFonts w:cs="Times New Roman"/>
        </w:rPr>
      </w:r>
      <w:r w:rsidRPr="008903D1">
        <w:rPr>
          <w:rFonts w:cs="Times New Roman"/>
        </w:rPr>
        <w:fldChar w:fldCharType="separate"/>
      </w:r>
      <w:r w:rsidR="0005064B" w:rsidRPr="008903D1">
        <w:rPr>
          <w:rFonts w:cs="Times New Roman"/>
        </w:rPr>
        <w:t xml:space="preserve">Figure </w:t>
      </w:r>
      <w:r w:rsidR="0005064B">
        <w:rPr>
          <w:rFonts w:cs="Times New Roman"/>
          <w:noProof/>
        </w:rPr>
        <w:t>2</w:t>
      </w:r>
      <w:r w:rsidR="0005064B">
        <w:rPr>
          <w:rFonts w:cs="Times New Roman"/>
          <w:noProof/>
        </w:rPr>
        <w:noBreakHyphen/>
        <w:t>2</w:t>
      </w:r>
      <w:r w:rsidRPr="008903D1">
        <w:rPr>
          <w:rFonts w:cs="Times New Roman"/>
        </w:rPr>
        <w:fldChar w:fldCharType="end"/>
      </w:r>
      <w:r w:rsidRPr="008903D1">
        <w:rPr>
          <w:rFonts w:cs="Times New Roman"/>
        </w:rPr>
        <w:t xml:space="preserve"> illustrates this </w:t>
      </w:r>
      <w:r w:rsidRPr="00737239">
        <w:rPr>
          <w:rFonts w:cs="Times New Roman"/>
        </w:rPr>
        <w:t>classification process.</w:t>
      </w:r>
    </w:p>
    <w:p w14:paraId="66709A31" w14:textId="77777777" w:rsidR="0071798B" w:rsidRPr="008903D1" w:rsidRDefault="0071798B" w:rsidP="000A4E8C">
      <w:pPr>
        <w:spacing w:line="360" w:lineRule="auto"/>
        <w:rPr>
          <w:rFonts w:cs="Times New Roman"/>
          <w:color w:val="FF0000"/>
        </w:rPr>
      </w:pPr>
      <w:r w:rsidRPr="008903D1">
        <w:rPr>
          <w:rFonts w:cs="Times New Roman"/>
          <w:noProof/>
          <w:color w:val="FF0000"/>
          <w:lang w:eastAsia="en-GB"/>
        </w:rPr>
        <w:lastRenderedPageBreak/>
        <mc:AlternateContent>
          <mc:Choice Requires="wps">
            <w:drawing>
              <wp:anchor distT="0" distB="0" distL="114300" distR="114300" simplePos="0" relativeHeight="251658240" behindDoc="0" locked="0" layoutInCell="1" allowOverlap="1" wp14:anchorId="01AE4468" wp14:editId="158304FA">
                <wp:simplePos x="0" y="0"/>
                <wp:positionH relativeFrom="column">
                  <wp:posOffset>28937</wp:posOffset>
                </wp:positionH>
                <wp:positionV relativeFrom="paragraph">
                  <wp:posOffset>1688</wp:posOffset>
                </wp:positionV>
                <wp:extent cx="5353291" cy="284480"/>
                <wp:effectExtent l="0" t="19050" r="38100" b="39370"/>
                <wp:wrapNone/>
                <wp:docPr id="29" name="Right Arrow 29"/>
                <wp:cNvGraphicFramePr/>
                <a:graphic xmlns:a="http://schemas.openxmlformats.org/drawingml/2006/main">
                  <a:graphicData uri="http://schemas.microsoft.com/office/word/2010/wordprocessingShape">
                    <wps:wsp>
                      <wps:cNvSpPr/>
                      <wps:spPr>
                        <a:xfrm>
                          <a:off x="0" y="0"/>
                          <a:ext cx="5353291" cy="284480"/>
                        </a:xfrm>
                        <a:prstGeom prst="rightArrow">
                          <a:avLst>
                            <a:gd name="adj1" fmla="val 50000"/>
                            <a:gd name="adj2" fmla="val 143084"/>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type w14:anchorId="2D0532D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9" o:spid="_x0000_s1026" type="#_x0000_t13" style="position:absolute;margin-left:2.3pt;margin-top:.15pt;width:421.5pt;height:22.4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" adj="19958" fillcolor="white [3201]" strokecolor="#5b9bd5 [3204]" strokeweight="1pt"/>
            </w:pict>
          </mc:Fallback>
        </mc:AlternateContent>
      </w:r>
      <w:r w:rsidRPr="008903D1">
        <w:rPr>
          <w:rFonts w:cs="Times New Roman"/>
          <w:noProof/>
          <w:color w:val="FF0000"/>
          <w:lang w:eastAsia="en-GB"/>
        </w:rPr>
        <w:drawing>
          <wp:inline distT="0" distB="0" distL="0" distR="0" wp14:anchorId="5E62B154" wp14:editId="0B39D170">
            <wp:extent cx="5414841" cy="3200400"/>
            <wp:effectExtent l="0" t="0" r="33655" b="0"/>
            <wp:docPr id="30" name="Di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08D838B3" w14:textId="767730F6" w:rsidR="0071798B" w:rsidRPr="008903D1" w:rsidRDefault="0071798B" w:rsidP="000A4E8C">
      <w:pPr>
        <w:pStyle w:val="Caption"/>
        <w:spacing w:after="0" w:line="360" w:lineRule="auto"/>
        <w:rPr>
          <w:rFonts w:cs="Times New Roman"/>
        </w:rPr>
      </w:pPr>
      <w:bookmarkStart w:id="161" w:name="_Ref532217210"/>
      <w:bookmarkStart w:id="162" w:name="_Toc491869759"/>
      <w:bookmarkStart w:id="163" w:name="_Toc34675008"/>
      <w:bookmarkStart w:id="164" w:name="_Toc34734800"/>
      <w:bookmarkStart w:id="165" w:name="_Toc46053663"/>
      <w:bookmarkStart w:id="166" w:name="_Toc66698696"/>
      <w:r w:rsidRPr="008903D1">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2</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2</w:t>
      </w:r>
      <w:r w:rsidR="00632993">
        <w:rPr>
          <w:rFonts w:cs="Times New Roman"/>
        </w:rPr>
        <w:fldChar w:fldCharType="end"/>
      </w:r>
      <w:bookmarkEnd w:id="161"/>
      <w:r w:rsidR="00FD1FFD">
        <w:rPr>
          <w:rFonts w:cs="Times New Roman"/>
          <w:noProof/>
        </w:rPr>
        <w:t>:</w:t>
      </w:r>
      <w:r w:rsidRPr="008903D1">
        <w:rPr>
          <w:rFonts w:cs="Times New Roman"/>
        </w:rPr>
        <w:t xml:space="preserve"> The </w:t>
      </w:r>
      <w:bookmarkEnd w:id="162"/>
      <w:r w:rsidRPr="008903D1">
        <w:rPr>
          <w:rFonts w:cs="Times New Roman"/>
        </w:rPr>
        <w:t>paper classification process</w:t>
      </w:r>
      <w:bookmarkEnd w:id="163"/>
      <w:bookmarkEnd w:id="164"/>
      <w:bookmarkEnd w:id="165"/>
      <w:bookmarkEnd w:id="166"/>
    </w:p>
    <w:p w14:paraId="6A03D7E8" w14:textId="77777777" w:rsidR="0071798B" w:rsidRPr="00737239" w:rsidRDefault="0071798B" w:rsidP="000A4E8C">
      <w:pPr>
        <w:pStyle w:val="Heading2"/>
        <w:spacing w:before="40" w:afterLines="0" w:after="0" w:line="360" w:lineRule="auto"/>
        <w:jc w:val="left"/>
        <w:rPr>
          <w:rFonts w:cs="Times New Roman"/>
        </w:rPr>
      </w:pPr>
      <w:bookmarkStart w:id="167" w:name="_Toc491894822"/>
      <w:bookmarkStart w:id="168" w:name="_Toc34734487"/>
      <w:bookmarkStart w:id="169" w:name="_Toc46053405"/>
      <w:bookmarkStart w:id="170" w:name="_Toc46093319"/>
      <w:bookmarkStart w:id="171" w:name="_Toc46093602"/>
      <w:bookmarkStart w:id="172" w:name="_Toc66703177"/>
      <w:r w:rsidRPr="00737239">
        <w:rPr>
          <w:rFonts w:cs="Times New Roman"/>
        </w:rPr>
        <w:t xml:space="preserve">Bibliometric </w:t>
      </w:r>
      <w:bookmarkEnd w:id="167"/>
      <w:r w:rsidRPr="00737239">
        <w:rPr>
          <w:rFonts w:cs="Times New Roman"/>
        </w:rPr>
        <w:t>evaluation</w:t>
      </w:r>
      <w:bookmarkEnd w:id="168"/>
      <w:bookmarkEnd w:id="169"/>
      <w:bookmarkEnd w:id="170"/>
      <w:bookmarkEnd w:id="171"/>
      <w:bookmarkEnd w:id="172"/>
    </w:p>
    <w:p w14:paraId="307ED7EB" w14:textId="13332174" w:rsidR="0071798B" w:rsidRPr="00C15D78" w:rsidRDefault="0071798B" w:rsidP="00C15D78">
      <w:pPr>
        <w:spacing w:after="240" w:line="360" w:lineRule="auto"/>
        <w:rPr>
          <w:rFonts w:cs="Times New Roman"/>
        </w:rPr>
      </w:pPr>
      <w:r w:rsidRPr="008903D1">
        <w:rPr>
          <w:rFonts w:cs="Times New Roman"/>
        </w:rPr>
        <w:fldChar w:fldCharType="begin"/>
      </w:r>
      <w:r w:rsidRPr="00A96AC5">
        <w:rPr>
          <w:rFonts w:cs="Times New Roman"/>
        </w:rPr>
        <w:instrText xml:space="preserve"> REF _Ref532215793 \h </w:instrText>
      </w:r>
      <w:r w:rsidR="008903D1">
        <w:rPr>
          <w:rFonts w:cs="Times New Roman"/>
        </w:rPr>
        <w:instrText xml:space="preserve"> \* MERGEFORMAT </w:instrText>
      </w:r>
      <w:r w:rsidRPr="008903D1">
        <w:rPr>
          <w:rFonts w:cs="Times New Roman"/>
        </w:rPr>
      </w:r>
      <w:r w:rsidRPr="008903D1">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2</w:t>
      </w:r>
      <w:r w:rsidR="0005064B">
        <w:rPr>
          <w:rFonts w:cs="Times New Roman"/>
          <w:noProof/>
        </w:rPr>
        <w:noBreakHyphen/>
        <w:t>2</w:t>
      </w:r>
      <w:r w:rsidRPr="008903D1">
        <w:rPr>
          <w:rFonts w:cs="Times New Roman"/>
        </w:rPr>
        <w:fldChar w:fldCharType="end"/>
      </w:r>
      <w:r w:rsidRPr="008903D1">
        <w:rPr>
          <w:rFonts w:cs="Times New Roman"/>
        </w:rPr>
        <w:t xml:space="preserve"> lists the </w:t>
      </w:r>
      <w:r w:rsidRPr="00737239">
        <w:rPr>
          <w:rFonts w:cs="Times New Roman"/>
        </w:rPr>
        <w:t xml:space="preserve">journals that have each published more than five articles </w:t>
      </w:r>
      <w:proofErr w:type="gramStart"/>
      <w:r w:rsidRPr="00737239">
        <w:rPr>
          <w:rFonts w:cs="Times New Roman"/>
        </w:rPr>
        <w:t>on the subject of SUL</w:t>
      </w:r>
      <w:proofErr w:type="gramEnd"/>
      <w:r w:rsidRPr="00737239">
        <w:rPr>
          <w:rFonts w:cs="Times New Roman"/>
        </w:rPr>
        <w:t>.</w:t>
      </w:r>
      <w:r w:rsidRPr="00802DC5">
        <w:rPr>
          <w:rFonts w:cs="Times New Roman"/>
          <w:b/>
          <w:bCs/>
          <w:i/>
          <w:iCs/>
          <w:highlight w:val="yellow"/>
        </w:rPr>
        <w:t xml:space="preserve"> </w:t>
      </w:r>
    </w:p>
    <w:tbl>
      <w:tblPr>
        <w:tblStyle w:val="TableGrid1"/>
        <w:tblW w:w="5000" w:type="pct"/>
        <w:jc w:val="center"/>
        <w:tblLook w:val="04A0" w:firstRow="1" w:lastRow="0" w:firstColumn="1" w:lastColumn="0" w:noHBand="0" w:noVBand="1"/>
      </w:tblPr>
      <w:tblGrid>
        <w:gridCol w:w="7651"/>
        <w:gridCol w:w="1365"/>
      </w:tblGrid>
      <w:tr w:rsidR="0071798B" w:rsidRPr="008903D1" w14:paraId="1D58D48C" w14:textId="77777777" w:rsidTr="00F7598C">
        <w:trPr>
          <w:jc w:val="center"/>
        </w:trPr>
        <w:tc>
          <w:tcPr>
            <w:tcW w:w="4243" w:type="pct"/>
          </w:tcPr>
          <w:p w14:paraId="0D2E16C9" w14:textId="77777777" w:rsidR="0071798B" w:rsidRPr="00A96AC5" w:rsidRDefault="0071798B" w:rsidP="00C95B63">
            <w:pPr>
              <w:spacing w:line="240" w:lineRule="auto"/>
              <w:jc w:val="center"/>
              <w:rPr>
                <w:rFonts w:cs="Times New Roman"/>
                <w:b/>
                <w:bCs/>
                <w:sz w:val="22"/>
              </w:rPr>
            </w:pPr>
            <w:r w:rsidRPr="00A96AC5">
              <w:rPr>
                <w:rFonts w:cs="Times New Roman"/>
                <w:b/>
                <w:bCs/>
                <w:sz w:val="22"/>
              </w:rPr>
              <w:t>Name of journal</w:t>
            </w:r>
          </w:p>
        </w:tc>
        <w:tc>
          <w:tcPr>
            <w:tcW w:w="757" w:type="pct"/>
          </w:tcPr>
          <w:p w14:paraId="3C2CCA47" w14:textId="77777777" w:rsidR="0071798B" w:rsidRPr="00A96AC5" w:rsidRDefault="0071798B" w:rsidP="00C95B63">
            <w:pPr>
              <w:spacing w:line="240" w:lineRule="auto"/>
              <w:rPr>
                <w:rFonts w:cs="Times New Roman"/>
                <w:b/>
                <w:bCs/>
                <w:sz w:val="22"/>
              </w:rPr>
            </w:pPr>
            <w:r w:rsidRPr="00A96AC5">
              <w:rPr>
                <w:rFonts w:cs="Times New Roman"/>
                <w:b/>
                <w:bCs/>
                <w:sz w:val="22"/>
              </w:rPr>
              <w:t>Numbers</w:t>
            </w:r>
          </w:p>
        </w:tc>
      </w:tr>
      <w:tr w:rsidR="0071798B" w:rsidRPr="008903D1" w14:paraId="5A07CBD4" w14:textId="77777777" w:rsidTr="00F7598C">
        <w:trPr>
          <w:jc w:val="center"/>
        </w:trPr>
        <w:tc>
          <w:tcPr>
            <w:tcW w:w="4243" w:type="pct"/>
          </w:tcPr>
          <w:p w14:paraId="73DEAEA9" w14:textId="77777777" w:rsidR="0071798B" w:rsidRPr="00737239" w:rsidRDefault="0071798B" w:rsidP="00C95B63">
            <w:pPr>
              <w:spacing w:line="240" w:lineRule="auto"/>
              <w:rPr>
                <w:rFonts w:cs="Times New Roman"/>
                <w:sz w:val="22"/>
              </w:rPr>
            </w:pPr>
            <w:r w:rsidRPr="00737239">
              <w:rPr>
                <w:rFonts w:cs="Times New Roman"/>
                <w:sz w:val="22"/>
              </w:rPr>
              <w:t>Sustainability</w:t>
            </w:r>
          </w:p>
        </w:tc>
        <w:tc>
          <w:tcPr>
            <w:tcW w:w="757" w:type="pct"/>
          </w:tcPr>
          <w:p w14:paraId="40DF8540" w14:textId="77777777" w:rsidR="0071798B" w:rsidRPr="006C301D" w:rsidRDefault="0071798B" w:rsidP="00C95B63">
            <w:pPr>
              <w:spacing w:line="240" w:lineRule="auto"/>
              <w:jc w:val="center"/>
              <w:rPr>
                <w:rFonts w:cs="Times New Roman"/>
                <w:sz w:val="22"/>
              </w:rPr>
            </w:pPr>
            <w:r w:rsidRPr="00802DC5">
              <w:rPr>
                <w:rFonts w:cs="Times New Roman"/>
                <w:sz w:val="22"/>
              </w:rPr>
              <w:t>27</w:t>
            </w:r>
          </w:p>
        </w:tc>
      </w:tr>
      <w:tr w:rsidR="0071798B" w:rsidRPr="008903D1" w14:paraId="61ABB87B" w14:textId="77777777" w:rsidTr="00F7598C">
        <w:trPr>
          <w:jc w:val="center"/>
        </w:trPr>
        <w:tc>
          <w:tcPr>
            <w:tcW w:w="4243" w:type="pct"/>
          </w:tcPr>
          <w:p w14:paraId="78236D36" w14:textId="77777777" w:rsidR="0071798B" w:rsidRPr="00737239" w:rsidRDefault="0071798B" w:rsidP="00C95B63">
            <w:pPr>
              <w:spacing w:line="240" w:lineRule="auto"/>
              <w:rPr>
                <w:rFonts w:cs="Times New Roman"/>
                <w:sz w:val="22"/>
              </w:rPr>
            </w:pPr>
            <w:r w:rsidRPr="00737239">
              <w:rPr>
                <w:rFonts w:cs="Times New Roman"/>
                <w:sz w:val="22"/>
              </w:rPr>
              <w:t>European Transport Research Review</w:t>
            </w:r>
          </w:p>
        </w:tc>
        <w:tc>
          <w:tcPr>
            <w:tcW w:w="757" w:type="pct"/>
          </w:tcPr>
          <w:p w14:paraId="0221B1B9" w14:textId="77777777" w:rsidR="0071798B" w:rsidRPr="006C301D" w:rsidRDefault="0071798B" w:rsidP="00C95B63">
            <w:pPr>
              <w:spacing w:line="240" w:lineRule="auto"/>
              <w:jc w:val="center"/>
              <w:rPr>
                <w:rFonts w:cs="Times New Roman"/>
                <w:sz w:val="22"/>
              </w:rPr>
            </w:pPr>
            <w:r w:rsidRPr="00802DC5">
              <w:rPr>
                <w:rFonts w:cs="Times New Roman"/>
                <w:sz w:val="22"/>
              </w:rPr>
              <w:t>12</w:t>
            </w:r>
          </w:p>
        </w:tc>
      </w:tr>
      <w:tr w:rsidR="0071798B" w:rsidRPr="008903D1" w14:paraId="75830911" w14:textId="77777777" w:rsidTr="00F7598C">
        <w:trPr>
          <w:jc w:val="center"/>
        </w:trPr>
        <w:tc>
          <w:tcPr>
            <w:tcW w:w="4243" w:type="pct"/>
          </w:tcPr>
          <w:p w14:paraId="13D14252" w14:textId="77777777" w:rsidR="0071798B" w:rsidRPr="00737239" w:rsidRDefault="0071798B" w:rsidP="00C95B63">
            <w:pPr>
              <w:spacing w:line="240" w:lineRule="auto"/>
              <w:rPr>
                <w:rFonts w:cs="Times New Roman"/>
                <w:sz w:val="22"/>
              </w:rPr>
            </w:pPr>
            <w:r w:rsidRPr="00737239">
              <w:rPr>
                <w:rFonts w:cs="Times New Roman"/>
                <w:sz w:val="22"/>
              </w:rPr>
              <w:t>Transportation Research: Part D</w:t>
            </w:r>
          </w:p>
        </w:tc>
        <w:tc>
          <w:tcPr>
            <w:tcW w:w="757" w:type="pct"/>
          </w:tcPr>
          <w:p w14:paraId="5DEA0307" w14:textId="77777777" w:rsidR="0071798B" w:rsidRPr="006C301D" w:rsidRDefault="0071798B" w:rsidP="00C95B63">
            <w:pPr>
              <w:spacing w:line="240" w:lineRule="auto"/>
              <w:jc w:val="center"/>
              <w:rPr>
                <w:rFonts w:cs="Times New Roman"/>
                <w:sz w:val="22"/>
              </w:rPr>
            </w:pPr>
            <w:r w:rsidRPr="00802DC5">
              <w:rPr>
                <w:rFonts w:cs="Times New Roman"/>
                <w:sz w:val="22"/>
              </w:rPr>
              <w:t>11</w:t>
            </w:r>
          </w:p>
        </w:tc>
      </w:tr>
      <w:tr w:rsidR="0071798B" w:rsidRPr="008903D1" w14:paraId="69FD5DE3" w14:textId="77777777" w:rsidTr="00F7598C">
        <w:trPr>
          <w:jc w:val="center"/>
        </w:trPr>
        <w:tc>
          <w:tcPr>
            <w:tcW w:w="4243" w:type="pct"/>
          </w:tcPr>
          <w:p w14:paraId="3EFFD619" w14:textId="77777777" w:rsidR="0071798B" w:rsidRPr="00737239" w:rsidRDefault="0071798B" w:rsidP="00C95B63">
            <w:pPr>
              <w:spacing w:line="240" w:lineRule="auto"/>
              <w:rPr>
                <w:rFonts w:cs="Times New Roman"/>
                <w:sz w:val="22"/>
              </w:rPr>
            </w:pPr>
            <w:r w:rsidRPr="00737239">
              <w:rPr>
                <w:rFonts w:cs="Times New Roman"/>
                <w:sz w:val="22"/>
              </w:rPr>
              <w:t>Transportation Research: Part A</w:t>
            </w:r>
          </w:p>
        </w:tc>
        <w:tc>
          <w:tcPr>
            <w:tcW w:w="757" w:type="pct"/>
          </w:tcPr>
          <w:p w14:paraId="77C55FE9" w14:textId="77777777" w:rsidR="0071798B" w:rsidRPr="006C301D" w:rsidRDefault="0071798B" w:rsidP="00C95B63">
            <w:pPr>
              <w:spacing w:line="240" w:lineRule="auto"/>
              <w:jc w:val="center"/>
              <w:rPr>
                <w:rFonts w:cs="Times New Roman"/>
                <w:sz w:val="22"/>
              </w:rPr>
            </w:pPr>
            <w:r w:rsidRPr="00802DC5">
              <w:rPr>
                <w:rFonts w:cs="Times New Roman"/>
                <w:sz w:val="22"/>
              </w:rPr>
              <w:t>11</w:t>
            </w:r>
          </w:p>
        </w:tc>
      </w:tr>
      <w:tr w:rsidR="0071798B" w:rsidRPr="008903D1" w14:paraId="39DB016E" w14:textId="77777777" w:rsidTr="00F7598C">
        <w:trPr>
          <w:jc w:val="center"/>
        </w:trPr>
        <w:tc>
          <w:tcPr>
            <w:tcW w:w="4243" w:type="pct"/>
          </w:tcPr>
          <w:p w14:paraId="3807AB33" w14:textId="77777777" w:rsidR="0071798B" w:rsidRPr="00737239" w:rsidRDefault="0071798B" w:rsidP="00C95B63">
            <w:pPr>
              <w:spacing w:line="240" w:lineRule="auto"/>
              <w:rPr>
                <w:rFonts w:cs="Times New Roman"/>
                <w:sz w:val="22"/>
              </w:rPr>
            </w:pPr>
            <w:r w:rsidRPr="00737239">
              <w:rPr>
                <w:rFonts w:cs="Times New Roman"/>
                <w:sz w:val="22"/>
              </w:rPr>
              <w:t>Journal of Transport Geography</w:t>
            </w:r>
          </w:p>
        </w:tc>
        <w:tc>
          <w:tcPr>
            <w:tcW w:w="757" w:type="pct"/>
          </w:tcPr>
          <w:p w14:paraId="193FA649" w14:textId="77777777" w:rsidR="0071798B" w:rsidRPr="006C301D" w:rsidRDefault="0071798B" w:rsidP="00C95B63">
            <w:pPr>
              <w:spacing w:line="240" w:lineRule="auto"/>
              <w:jc w:val="center"/>
              <w:rPr>
                <w:rFonts w:cs="Times New Roman"/>
                <w:sz w:val="22"/>
              </w:rPr>
            </w:pPr>
            <w:r w:rsidRPr="00802DC5">
              <w:rPr>
                <w:rFonts w:cs="Times New Roman"/>
                <w:sz w:val="22"/>
              </w:rPr>
              <w:t>9</w:t>
            </w:r>
          </w:p>
        </w:tc>
      </w:tr>
      <w:tr w:rsidR="0071798B" w:rsidRPr="008903D1" w14:paraId="1518B75A" w14:textId="77777777" w:rsidTr="00F7598C">
        <w:trPr>
          <w:jc w:val="center"/>
        </w:trPr>
        <w:tc>
          <w:tcPr>
            <w:tcW w:w="4243" w:type="pct"/>
          </w:tcPr>
          <w:p w14:paraId="21D2BAAB" w14:textId="77777777" w:rsidR="0071798B" w:rsidRPr="00737239" w:rsidRDefault="0071798B" w:rsidP="00C95B63">
            <w:pPr>
              <w:spacing w:line="240" w:lineRule="auto"/>
              <w:rPr>
                <w:rFonts w:cs="Times New Roman"/>
                <w:sz w:val="22"/>
              </w:rPr>
            </w:pPr>
            <w:r w:rsidRPr="00737239">
              <w:rPr>
                <w:rFonts w:cs="Times New Roman"/>
                <w:sz w:val="22"/>
              </w:rPr>
              <w:t>European Journal of Operational Research</w:t>
            </w:r>
          </w:p>
        </w:tc>
        <w:tc>
          <w:tcPr>
            <w:tcW w:w="757" w:type="pct"/>
          </w:tcPr>
          <w:p w14:paraId="2C500691" w14:textId="77777777" w:rsidR="0071798B" w:rsidRPr="006C301D" w:rsidRDefault="0071798B" w:rsidP="00C95B63">
            <w:pPr>
              <w:spacing w:line="240" w:lineRule="auto"/>
              <w:jc w:val="center"/>
              <w:rPr>
                <w:rFonts w:cs="Times New Roman"/>
                <w:sz w:val="22"/>
              </w:rPr>
            </w:pPr>
            <w:r w:rsidRPr="00802DC5">
              <w:rPr>
                <w:rFonts w:cs="Times New Roman"/>
                <w:sz w:val="22"/>
              </w:rPr>
              <w:t>8</w:t>
            </w:r>
          </w:p>
        </w:tc>
      </w:tr>
      <w:tr w:rsidR="0071798B" w:rsidRPr="008903D1" w14:paraId="2F0179F8" w14:textId="77777777" w:rsidTr="00F7598C">
        <w:trPr>
          <w:jc w:val="center"/>
        </w:trPr>
        <w:tc>
          <w:tcPr>
            <w:tcW w:w="4243" w:type="pct"/>
          </w:tcPr>
          <w:p w14:paraId="703EC6E4" w14:textId="77777777" w:rsidR="0071798B" w:rsidRPr="00737239" w:rsidRDefault="0071798B" w:rsidP="00C95B63">
            <w:pPr>
              <w:spacing w:line="240" w:lineRule="auto"/>
              <w:rPr>
                <w:rFonts w:cs="Times New Roman"/>
                <w:sz w:val="22"/>
              </w:rPr>
            </w:pPr>
            <w:r w:rsidRPr="00737239">
              <w:rPr>
                <w:rFonts w:cs="Times New Roman"/>
                <w:sz w:val="22"/>
              </w:rPr>
              <w:t>Journal of Cleaner Production</w:t>
            </w:r>
          </w:p>
        </w:tc>
        <w:tc>
          <w:tcPr>
            <w:tcW w:w="757" w:type="pct"/>
          </w:tcPr>
          <w:p w14:paraId="336118CF" w14:textId="77777777" w:rsidR="0071798B" w:rsidRPr="006C301D" w:rsidRDefault="0071798B" w:rsidP="00C95B63">
            <w:pPr>
              <w:spacing w:line="240" w:lineRule="auto"/>
              <w:jc w:val="center"/>
              <w:rPr>
                <w:rFonts w:cs="Times New Roman"/>
                <w:sz w:val="22"/>
              </w:rPr>
            </w:pPr>
            <w:r w:rsidRPr="00802DC5">
              <w:rPr>
                <w:rFonts w:cs="Times New Roman"/>
                <w:sz w:val="22"/>
              </w:rPr>
              <w:t>7</w:t>
            </w:r>
          </w:p>
        </w:tc>
      </w:tr>
      <w:tr w:rsidR="0071798B" w:rsidRPr="008903D1" w14:paraId="74C9701F" w14:textId="77777777" w:rsidTr="00F7598C">
        <w:trPr>
          <w:jc w:val="center"/>
        </w:trPr>
        <w:tc>
          <w:tcPr>
            <w:tcW w:w="4243" w:type="pct"/>
          </w:tcPr>
          <w:p w14:paraId="66B0DE7B" w14:textId="77777777" w:rsidR="0071798B" w:rsidRPr="00737239" w:rsidRDefault="0071798B" w:rsidP="00C95B63">
            <w:pPr>
              <w:spacing w:line="240" w:lineRule="auto"/>
              <w:rPr>
                <w:rFonts w:cs="Times New Roman"/>
                <w:sz w:val="22"/>
              </w:rPr>
            </w:pPr>
            <w:r w:rsidRPr="00737239">
              <w:rPr>
                <w:rFonts w:cs="Times New Roman"/>
                <w:sz w:val="22"/>
              </w:rPr>
              <w:t>Transport Reviews</w:t>
            </w:r>
          </w:p>
        </w:tc>
        <w:tc>
          <w:tcPr>
            <w:tcW w:w="757" w:type="pct"/>
          </w:tcPr>
          <w:p w14:paraId="2A540826" w14:textId="77777777" w:rsidR="0071798B" w:rsidRPr="006C301D" w:rsidRDefault="0071798B" w:rsidP="00C95B63">
            <w:pPr>
              <w:spacing w:line="240" w:lineRule="auto"/>
              <w:jc w:val="center"/>
              <w:rPr>
                <w:rFonts w:cs="Times New Roman"/>
                <w:sz w:val="22"/>
              </w:rPr>
            </w:pPr>
            <w:r w:rsidRPr="00802DC5">
              <w:rPr>
                <w:rFonts w:cs="Times New Roman"/>
                <w:sz w:val="22"/>
              </w:rPr>
              <w:t>7</w:t>
            </w:r>
          </w:p>
        </w:tc>
      </w:tr>
      <w:tr w:rsidR="0071798B" w:rsidRPr="008903D1" w14:paraId="72748C3C" w14:textId="77777777" w:rsidTr="00F7598C">
        <w:trPr>
          <w:jc w:val="center"/>
        </w:trPr>
        <w:tc>
          <w:tcPr>
            <w:tcW w:w="4243" w:type="pct"/>
          </w:tcPr>
          <w:p w14:paraId="6EDF38B0" w14:textId="77777777" w:rsidR="0071798B" w:rsidRPr="00737239" w:rsidRDefault="0071798B" w:rsidP="00C95B63">
            <w:pPr>
              <w:spacing w:line="240" w:lineRule="auto"/>
              <w:rPr>
                <w:rFonts w:cs="Times New Roman"/>
                <w:sz w:val="22"/>
              </w:rPr>
            </w:pPr>
            <w:r w:rsidRPr="00737239">
              <w:rPr>
                <w:rFonts w:cs="Times New Roman"/>
                <w:sz w:val="22"/>
              </w:rPr>
              <w:t>Transportation Research: Part E</w:t>
            </w:r>
          </w:p>
        </w:tc>
        <w:tc>
          <w:tcPr>
            <w:tcW w:w="757" w:type="pct"/>
          </w:tcPr>
          <w:p w14:paraId="048EB9A4" w14:textId="77777777" w:rsidR="0071798B" w:rsidRPr="006C301D" w:rsidRDefault="0071798B" w:rsidP="00C95B63">
            <w:pPr>
              <w:spacing w:line="240" w:lineRule="auto"/>
              <w:jc w:val="center"/>
              <w:rPr>
                <w:rFonts w:cs="Times New Roman"/>
                <w:sz w:val="22"/>
              </w:rPr>
            </w:pPr>
            <w:r w:rsidRPr="00802DC5">
              <w:rPr>
                <w:rFonts w:cs="Times New Roman"/>
                <w:sz w:val="22"/>
              </w:rPr>
              <w:t>6</w:t>
            </w:r>
          </w:p>
        </w:tc>
      </w:tr>
    </w:tbl>
    <w:p w14:paraId="08AA1DFB" w14:textId="2956D713" w:rsidR="00C95B63" w:rsidRDefault="007B5959" w:rsidP="00D32DDE">
      <w:pPr>
        <w:pStyle w:val="Caption"/>
        <w:spacing w:after="0" w:line="360" w:lineRule="auto"/>
        <w:rPr>
          <w:rFonts w:cs="Times New Roman"/>
        </w:rPr>
      </w:pPr>
      <w:bookmarkStart w:id="173" w:name="_Ref532215793"/>
      <w:bookmarkStart w:id="174" w:name="_Toc491870110"/>
      <w:bookmarkStart w:id="175" w:name="_Toc34674930"/>
      <w:bookmarkStart w:id="176" w:name="_Toc34734722"/>
      <w:bookmarkStart w:id="177" w:name="_Toc46053536"/>
      <w:bookmarkStart w:id="178" w:name="_Toc46093785"/>
      <w:bookmarkStart w:id="179" w:name="_Toc66698753"/>
      <w:r>
        <w:rPr>
          <w:rFonts w:cs="Times New Roman"/>
        </w:rPr>
        <w:t>Table</w:t>
      </w:r>
      <w:r w:rsidR="0071798B"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2</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2</w:t>
      </w:r>
      <w:r w:rsidR="00FE10DA">
        <w:rPr>
          <w:rFonts w:cs="Times New Roman"/>
        </w:rPr>
        <w:fldChar w:fldCharType="end"/>
      </w:r>
      <w:bookmarkEnd w:id="173"/>
      <w:r w:rsidR="00C27E7C">
        <w:rPr>
          <w:rFonts w:cs="Times New Roman"/>
        </w:rPr>
        <w:t xml:space="preserve">: </w:t>
      </w:r>
      <w:r w:rsidR="0071798B" w:rsidRPr="008903D1">
        <w:rPr>
          <w:rFonts w:cs="Times New Roman"/>
        </w:rPr>
        <w:t>Journals that have published at least six articles</w:t>
      </w:r>
      <w:bookmarkEnd w:id="174"/>
      <w:r w:rsidR="0071798B" w:rsidRPr="008903D1">
        <w:rPr>
          <w:rFonts w:cs="Times New Roman"/>
        </w:rPr>
        <w:t xml:space="preserve"> on the subject of sustainable urban </w:t>
      </w:r>
      <w:proofErr w:type="gramStart"/>
      <w:r w:rsidR="0071798B" w:rsidRPr="008903D1">
        <w:rPr>
          <w:rFonts w:cs="Times New Roman"/>
        </w:rPr>
        <w:t>logistics</w:t>
      </w:r>
      <w:bookmarkEnd w:id="175"/>
      <w:bookmarkEnd w:id="176"/>
      <w:bookmarkEnd w:id="177"/>
      <w:bookmarkEnd w:id="178"/>
      <w:bookmarkEnd w:id="179"/>
      <w:proofErr w:type="gramEnd"/>
    </w:p>
    <w:p w14:paraId="028C759A" w14:textId="77777777" w:rsidR="00650826" w:rsidRDefault="00650826" w:rsidP="00C15D78">
      <w:pPr>
        <w:spacing w:before="240" w:after="240" w:line="360" w:lineRule="auto"/>
        <w:rPr>
          <w:rFonts w:cs="Times New Roman"/>
        </w:rPr>
      </w:pPr>
    </w:p>
    <w:p w14:paraId="3BF5E7AF" w14:textId="77777777" w:rsidR="00650826" w:rsidRDefault="00650826" w:rsidP="00C15D78">
      <w:pPr>
        <w:spacing w:before="240" w:after="240" w:line="360" w:lineRule="auto"/>
        <w:rPr>
          <w:rFonts w:cs="Times New Roman"/>
        </w:rPr>
      </w:pPr>
    </w:p>
    <w:p w14:paraId="2B71EDFA" w14:textId="77777777" w:rsidR="00650826" w:rsidRDefault="00650826" w:rsidP="00C15D78">
      <w:pPr>
        <w:spacing w:before="240" w:after="240" w:line="360" w:lineRule="auto"/>
        <w:rPr>
          <w:rFonts w:cs="Times New Roman"/>
        </w:rPr>
      </w:pPr>
    </w:p>
    <w:p w14:paraId="12BBA267" w14:textId="2BCE7BD9" w:rsidR="0071798B" w:rsidRPr="00A96AC5" w:rsidRDefault="0071798B" w:rsidP="00C15D78">
      <w:pPr>
        <w:spacing w:before="240" w:after="240" w:line="360" w:lineRule="auto"/>
        <w:rPr>
          <w:rFonts w:cs="Times New Roman"/>
        </w:rPr>
      </w:pPr>
      <w:r w:rsidRPr="008903D1">
        <w:rPr>
          <w:rFonts w:cs="Times New Roman"/>
        </w:rPr>
        <w:lastRenderedPageBreak/>
        <w:fldChar w:fldCharType="begin"/>
      </w:r>
      <w:r w:rsidRPr="00A96AC5">
        <w:rPr>
          <w:rFonts w:cs="Times New Roman"/>
        </w:rPr>
        <w:instrText xml:space="preserve"> REF _Ref532215809 \h  \* MERGEFORMAT </w:instrText>
      </w:r>
      <w:r w:rsidRPr="008903D1">
        <w:rPr>
          <w:rFonts w:cs="Times New Roman"/>
        </w:rPr>
      </w:r>
      <w:r w:rsidRPr="008903D1">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rPr>
        <w:t>2</w:t>
      </w:r>
      <w:r w:rsidR="0005064B">
        <w:rPr>
          <w:rFonts w:cs="Times New Roman"/>
        </w:rPr>
        <w:noBreakHyphen/>
        <w:t>3</w:t>
      </w:r>
      <w:r w:rsidRPr="008903D1">
        <w:rPr>
          <w:rFonts w:cs="Times New Roman"/>
        </w:rPr>
        <w:fldChar w:fldCharType="end"/>
      </w:r>
      <w:r w:rsidRPr="008903D1">
        <w:rPr>
          <w:rFonts w:cs="Times New Roman"/>
        </w:rPr>
        <w:t xml:space="preserve"> lists</w:t>
      </w:r>
      <w:r w:rsidRPr="00737239">
        <w:rPr>
          <w:rFonts w:cs="Times New Roman"/>
        </w:rPr>
        <w:t xml:space="preserve"> authors who have published at least five articles, alongside the countries in which they are based. This reveals that researchers from</w:t>
      </w:r>
      <w:r w:rsidRPr="00802DC5">
        <w:rPr>
          <w:rFonts w:cs="Times New Roman"/>
          <w:sz w:val="22"/>
        </w:rPr>
        <w:t xml:space="preserve"> Belgium, Norway, and</w:t>
      </w:r>
      <w:r w:rsidRPr="006C301D">
        <w:rPr>
          <w:rFonts w:cs="Times New Roman"/>
        </w:rPr>
        <w:t xml:space="preserve"> Italy are prolific in this fi</w:t>
      </w:r>
      <w:r w:rsidRPr="00A96AC5">
        <w:rPr>
          <w:rFonts w:cs="Times New Roman"/>
        </w:rPr>
        <w:t>eld.</w:t>
      </w:r>
    </w:p>
    <w:tbl>
      <w:tblPr>
        <w:tblStyle w:val="TableGrid"/>
        <w:tblW w:w="5000" w:type="pct"/>
        <w:tblLook w:val="04A0" w:firstRow="1" w:lastRow="0" w:firstColumn="1" w:lastColumn="0" w:noHBand="0" w:noVBand="1"/>
      </w:tblPr>
      <w:tblGrid>
        <w:gridCol w:w="1504"/>
        <w:gridCol w:w="1504"/>
        <w:gridCol w:w="1504"/>
        <w:gridCol w:w="1504"/>
        <w:gridCol w:w="1502"/>
        <w:gridCol w:w="1498"/>
      </w:tblGrid>
      <w:tr w:rsidR="0071798B" w:rsidRPr="008903D1" w14:paraId="0A69EF35" w14:textId="77777777" w:rsidTr="00F7598C">
        <w:tc>
          <w:tcPr>
            <w:tcW w:w="834" w:type="pct"/>
          </w:tcPr>
          <w:p w14:paraId="4352037D" w14:textId="77777777" w:rsidR="0071798B" w:rsidRPr="00A96AC5" w:rsidRDefault="0071798B" w:rsidP="00C95B63">
            <w:pPr>
              <w:spacing w:line="240" w:lineRule="auto"/>
              <w:jc w:val="center"/>
              <w:rPr>
                <w:rFonts w:cs="Times New Roman"/>
                <w:b/>
                <w:bCs/>
                <w:sz w:val="22"/>
              </w:rPr>
            </w:pPr>
            <w:r w:rsidRPr="00A96AC5">
              <w:rPr>
                <w:rFonts w:cs="Times New Roman"/>
                <w:b/>
                <w:bCs/>
                <w:sz w:val="22"/>
              </w:rPr>
              <w:t>Authors</w:t>
            </w:r>
          </w:p>
        </w:tc>
        <w:tc>
          <w:tcPr>
            <w:tcW w:w="834" w:type="pct"/>
          </w:tcPr>
          <w:p w14:paraId="3C5CA37C" w14:textId="77777777" w:rsidR="0071798B" w:rsidRPr="008903D1" w:rsidRDefault="0071798B" w:rsidP="00C95B63">
            <w:pPr>
              <w:spacing w:line="240" w:lineRule="auto"/>
              <w:jc w:val="center"/>
              <w:rPr>
                <w:rFonts w:cs="Times New Roman"/>
                <w:b/>
                <w:bCs/>
                <w:sz w:val="22"/>
              </w:rPr>
            </w:pPr>
            <w:r w:rsidRPr="008903D1">
              <w:rPr>
                <w:rFonts w:cs="Times New Roman"/>
                <w:b/>
                <w:bCs/>
                <w:sz w:val="22"/>
              </w:rPr>
              <w:t>Country</w:t>
            </w:r>
          </w:p>
        </w:tc>
        <w:tc>
          <w:tcPr>
            <w:tcW w:w="834" w:type="pct"/>
          </w:tcPr>
          <w:p w14:paraId="48F8940E" w14:textId="77777777" w:rsidR="0071798B" w:rsidRPr="00737239" w:rsidRDefault="0071798B" w:rsidP="00C95B63">
            <w:pPr>
              <w:spacing w:line="240" w:lineRule="auto"/>
              <w:jc w:val="center"/>
              <w:rPr>
                <w:rFonts w:cs="Times New Roman"/>
                <w:b/>
                <w:bCs/>
                <w:sz w:val="22"/>
              </w:rPr>
            </w:pPr>
            <w:r w:rsidRPr="00737239">
              <w:rPr>
                <w:rFonts w:cs="Times New Roman"/>
                <w:b/>
                <w:bCs/>
                <w:sz w:val="22"/>
              </w:rPr>
              <w:t>Numbers</w:t>
            </w:r>
          </w:p>
        </w:tc>
        <w:tc>
          <w:tcPr>
            <w:tcW w:w="834" w:type="pct"/>
          </w:tcPr>
          <w:p w14:paraId="0354A5EC" w14:textId="77777777" w:rsidR="0071798B" w:rsidRPr="00A96AC5" w:rsidRDefault="0071798B" w:rsidP="00C95B63">
            <w:pPr>
              <w:spacing w:line="240" w:lineRule="auto"/>
              <w:jc w:val="center"/>
              <w:rPr>
                <w:rFonts w:cs="Times New Roman"/>
                <w:b/>
                <w:bCs/>
                <w:sz w:val="22"/>
              </w:rPr>
            </w:pPr>
            <w:r w:rsidRPr="00737239">
              <w:rPr>
                <w:rFonts w:cs="Times New Roman"/>
                <w:b/>
                <w:bCs/>
                <w:sz w:val="22"/>
              </w:rPr>
              <w:t>Authors</w:t>
            </w:r>
          </w:p>
        </w:tc>
        <w:tc>
          <w:tcPr>
            <w:tcW w:w="833" w:type="pct"/>
          </w:tcPr>
          <w:p w14:paraId="616DF120" w14:textId="77777777" w:rsidR="0071798B" w:rsidRPr="008903D1" w:rsidRDefault="0071798B" w:rsidP="00C95B63">
            <w:pPr>
              <w:spacing w:line="240" w:lineRule="auto"/>
              <w:jc w:val="center"/>
              <w:rPr>
                <w:rFonts w:cs="Times New Roman"/>
                <w:b/>
                <w:bCs/>
                <w:sz w:val="22"/>
              </w:rPr>
            </w:pPr>
            <w:r w:rsidRPr="008903D1">
              <w:rPr>
                <w:rFonts w:cs="Times New Roman"/>
                <w:b/>
                <w:bCs/>
                <w:sz w:val="22"/>
              </w:rPr>
              <w:t>Country</w:t>
            </w:r>
          </w:p>
        </w:tc>
        <w:tc>
          <w:tcPr>
            <w:tcW w:w="833" w:type="pct"/>
          </w:tcPr>
          <w:p w14:paraId="51C840C7" w14:textId="77777777" w:rsidR="0071798B" w:rsidRPr="00737239" w:rsidRDefault="0071798B" w:rsidP="00C95B63">
            <w:pPr>
              <w:spacing w:line="240" w:lineRule="auto"/>
              <w:jc w:val="center"/>
              <w:rPr>
                <w:rFonts w:cs="Times New Roman"/>
                <w:b/>
                <w:bCs/>
                <w:sz w:val="22"/>
              </w:rPr>
            </w:pPr>
            <w:r w:rsidRPr="00737239">
              <w:rPr>
                <w:rFonts w:cs="Times New Roman"/>
                <w:b/>
                <w:bCs/>
                <w:sz w:val="22"/>
              </w:rPr>
              <w:t>Numbers</w:t>
            </w:r>
          </w:p>
        </w:tc>
      </w:tr>
      <w:tr w:rsidR="0071798B" w:rsidRPr="008903D1" w14:paraId="6D01BC0A" w14:textId="77777777" w:rsidTr="00F7598C">
        <w:tc>
          <w:tcPr>
            <w:tcW w:w="834" w:type="pct"/>
          </w:tcPr>
          <w:p w14:paraId="1D0A80B9" w14:textId="77777777" w:rsidR="0071798B" w:rsidRPr="00737239" w:rsidRDefault="0071798B" w:rsidP="00C95B63">
            <w:pPr>
              <w:spacing w:line="240" w:lineRule="auto"/>
              <w:jc w:val="center"/>
              <w:rPr>
                <w:rFonts w:cs="Times New Roman"/>
                <w:sz w:val="22"/>
              </w:rPr>
            </w:pPr>
            <w:proofErr w:type="spellStart"/>
            <w:r w:rsidRPr="00737239">
              <w:rPr>
                <w:rFonts w:cs="Times New Roman"/>
                <w:sz w:val="22"/>
              </w:rPr>
              <w:t>Macharis</w:t>
            </w:r>
            <w:proofErr w:type="spellEnd"/>
          </w:p>
        </w:tc>
        <w:tc>
          <w:tcPr>
            <w:tcW w:w="834" w:type="pct"/>
          </w:tcPr>
          <w:p w14:paraId="36F90316" w14:textId="77777777" w:rsidR="0071798B" w:rsidRPr="006C301D" w:rsidRDefault="0071798B" w:rsidP="00C95B63">
            <w:pPr>
              <w:spacing w:line="240" w:lineRule="auto"/>
              <w:jc w:val="center"/>
              <w:rPr>
                <w:rFonts w:cs="Times New Roman"/>
                <w:sz w:val="22"/>
              </w:rPr>
            </w:pPr>
            <w:r w:rsidRPr="00802DC5">
              <w:rPr>
                <w:rFonts w:cs="Times New Roman"/>
                <w:sz w:val="22"/>
              </w:rPr>
              <w:t>Belgium</w:t>
            </w:r>
          </w:p>
        </w:tc>
        <w:tc>
          <w:tcPr>
            <w:tcW w:w="834" w:type="pct"/>
          </w:tcPr>
          <w:p w14:paraId="09F84095" w14:textId="77777777" w:rsidR="0071798B" w:rsidRPr="00A96AC5" w:rsidRDefault="0071798B" w:rsidP="00C95B63">
            <w:pPr>
              <w:spacing w:line="240" w:lineRule="auto"/>
              <w:jc w:val="center"/>
              <w:rPr>
                <w:rFonts w:cs="Times New Roman"/>
                <w:sz w:val="22"/>
              </w:rPr>
            </w:pPr>
            <w:r w:rsidRPr="00A96AC5">
              <w:rPr>
                <w:rFonts w:cs="Times New Roman"/>
                <w:sz w:val="22"/>
              </w:rPr>
              <w:t>12</w:t>
            </w:r>
          </w:p>
        </w:tc>
        <w:tc>
          <w:tcPr>
            <w:tcW w:w="834" w:type="pct"/>
          </w:tcPr>
          <w:p w14:paraId="13D24296" w14:textId="77777777" w:rsidR="0071798B" w:rsidRPr="00A96AC5" w:rsidRDefault="0071798B" w:rsidP="00C95B63">
            <w:pPr>
              <w:spacing w:line="240" w:lineRule="auto"/>
              <w:jc w:val="center"/>
              <w:rPr>
                <w:rFonts w:cs="Times New Roman"/>
                <w:bCs/>
                <w:sz w:val="22"/>
              </w:rPr>
            </w:pPr>
            <w:proofErr w:type="spellStart"/>
            <w:r w:rsidRPr="00A96AC5">
              <w:rPr>
                <w:rFonts w:cs="Times New Roman"/>
                <w:bCs/>
                <w:sz w:val="22"/>
              </w:rPr>
              <w:t>Muñuzuri</w:t>
            </w:r>
            <w:proofErr w:type="spellEnd"/>
          </w:p>
        </w:tc>
        <w:tc>
          <w:tcPr>
            <w:tcW w:w="833" w:type="pct"/>
          </w:tcPr>
          <w:p w14:paraId="04513FA6" w14:textId="77777777" w:rsidR="0071798B" w:rsidRPr="00A96AC5" w:rsidRDefault="0071798B" w:rsidP="00C95B63">
            <w:pPr>
              <w:spacing w:line="240" w:lineRule="auto"/>
              <w:jc w:val="center"/>
              <w:rPr>
                <w:rFonts w:cs="Times New Roman"/>
                <w:sz w:val="22"/>
              </w:rPr>
            </w:pPr>
            <w:r w:rsidRPr="00A96AC5">
              <w:rPr>
                <w:rFonts w:cs="Times New Roman"/>
                <w:sz w:val="22"/>
              </w:rPr>
              <w:t>Span</w:t>
            </w:r>
          </w:p>
        </w:tc>
        <w:tc>
          <w:tcPr>
            <w:tcW w:w="833" w:type="pct"/>
          </w:tcPr>
          <w:p w14:paraId="3C037DE6" w14:textId="77777777" w:rsidR="0071798B" w:rsidRPr="00A96AC5" w:rsidRDefault="0071798B" w:rsidP="00C95B63">
            <w:pPr>
              <w:spacing w:line="240" w:lineRule="auto"/>
              <w:jc w:val="center"/>
              <w:rPr>
                <w:rFonts w:cs="Times New Roman"/>
                <w:sz w:val="22"/>
              </w:rPr>
            </w:pPr>
            <w:r w:rsidRPr="00A96AC5">
              <w:rPr>
                <w:rFonts w:cs="Times New Roman"/>
                <w:sz w:val="22"/>
              </w:rPr>
              <w:t>5</w:t>
            </w:r>
          </w:p>
        </w:tc>
      </w:tr>
      <w:tr w:rsidR="0071798B" w:rsidRPr="008903D1" w14:paraId="09A02A27" w14:textId="77777777" w:rsidTr="00F7598C">
        <w:tc>
          <w:tcPr>
            <w:tcW w:w="834" w:type="pct"/>
          </w:tcPr>
          <w:p w14:paraId="7697C384" w14:textId="77777777" w:rsidR="0071798B" w:rsidRPr="00737239" w:rsidRDefault="0071798B" w:rsidP="00C95B63">
            <w:pPr>
              <w:spacing w:line="240" w:lineRule="auto"/>
              <w:jc w:val="center"/>
              <w:rPr>
                <w:rFonts w:cs="Times New Roman"/>
                <w:sz w:val="22"/>
              </w:rPr>
            </w:pPr>
            <w:proofErr w:type="spellStart"/>
            <w:r w:rsidRPr="00737239">
              <w:rPr>
                <w:rFonts w:cs="Times New Roman"/>
                <w:sz w:val="22"/>
              </w:rPr>
              <w:t>Marcucci</w:t>
            </w:r>
            <w:proofErr w:type="spellEnd"/>
          </w:p>
        </w:tc>
        <w:tc>
          <w:tcPr>
            <w:tcW w:w="834" w:type="pct"/>
          </w:tcPr>
          <w:p w14:paraId="373490C5" w14:textId="77777777" w:rsidR="0071798B" w:rsidRPr="006C301D" w:rsidRDefault="0071798B" w:rsidP="00C95B63">
            <w:pPr>
              <w:spacing w:line="240" w:lineRule="auto"/>
              <w:jc w:val="center"/>
              <w:rPr>
                <w:rFonts w:cs="Times New Roman"/>
                <w:sz w:val="22"/>
              </w:rPr>
            </w:pPr>
            <w:r w:rsidRPr="00802DC5">
              <w:rPr>
                <w:rFonts w:cs="Times New Roman"/>
                <w:sz w:val="22"/>
              </w:rPr>
              <w:t>Norway</w:t>
            </w:r>
          </w:p>
        </w:tc>
        <w:tc>
          <w:tcPr>
            <w:tcW w:w="834" w:type="pct"/>
          </w:tcPr>
          <w:p w14:paraId="76A2AC1B" w14:textId="77777777" w:rsidR="0071798B" w:rsidRPr="00A96AC5" w:rsidRDefault="0071798B" w:rsidP="00C95B63">
            <w:pPr>
              <w:spacing w:line="240" w:lineRule="auto"/>
              <w:jc w:val="center"/>
              <w:rPr>
                <w:rFonts w:cs="Times New Roman"/>
                <w:sz w:val="22"/>
              </w:rPr>
            </w:pPr>
            <w:r w:rsidRPr="00A96AC5">
              <w:rPr>
                <w:rFonts w:cs="Times New Roman"/>
                <w:sz w:val="22"/>
              </w:rPr>
              <w:t>8</w:t>
            </w:r>
          </w:p>
        </w:tc>
        <w:tc>
          <w:tcPr>
            <w:tcW w:w="834" w:type="pct"/>
          </w:tcPr>
          <w:p w14:paraId="59B18024" w14:textId="77777777" w:rsidR="0071798B" w:rsidRPr="00A96AC5" w:rsidRDefault="0071798B" w:rsidP="00C95B63">
            <w:pPr>
              <w:spacing w:line="240" w:lineRule="auto"/>
              <w:jc w:val="center"/>
              <w:rPr>
                <w:rFonts w:cs="Times New Roman"/>
                <w:bCs/>
                <w:sz w:val="22"/>
              </w:rPr>
            </w:pPr>
            <w:proofErr w:type="spellStart"/>
            <w:r w:rsidRPr="00A96AC5">
              <w:rPr>
                <w:rFonts w:cs="Times New Roman"/>
                <w:bCs/>
                <w:sz w:val="22"/>
              </w:rPr>
              <w:t>Guadix</w:t>
            </w:r>
            <w:proofErr w:type="spellEnd"/>
          </w:p>
        </w:tc>
        <w:tc>
          <w:tcPr>
            <w:tcW w:w="833" w:type="pct"/>
          </w:tcPr>
          <w:p w14:paraId="098DDA7F" w14:textId="77777777" w:rsidR="0071798B" w:rsidRPr="00A96AC5" w:rsidRDefault="0071798B" w:rsidP="00C95B63">
            <w:pPr>
              <w:spacing w:line="240" w:lineRule="auto"/>
              <w:jc w:val="center"/>
              <w:rPr>
                <w:rFonts w:cs="Times New Roman"/>
                <w:sz w:val="22"/>
              </w:rPr>
            </w:pPr>
            <w:r w:rsidRPr="00A96AC5">
              <w:rPr>
                <w:rFonts w:cs="Times New Roman"/>
                <w:sz w:val="22"/>
              </w:rPr>
              <w:t>Spain</w:t>
            </w:r>
          </w:p>
        </w:tc>
        <w:tc>
          <w:tcPr>
            <w:tcW w:w="833" w:type="pct"/>
          </w:tcPr>
          <w:p w14:paraId="2203DF74" w14:textId="77777777" w:rsidR="0071798B" w:rsidRPr="00A96AC5" w:rsidRDefault="0071798B" w:rsidP="00C95B63">
            <w:pPr>
              <w:spacing w:line="240" w:lineRule="auto"/>
              <w:jc w:val="center"/>
              <w:rPr>
                <w:rFonts w:cs="Times New Roman"/>
                <w:sz w:val="22"/>
              </w:rPr>
            </w:pPr>
            <w:r w:rsidRPr="00A96AC5">
              <w:rPr>
                <w:rFonts w:cs="Times New Roman"/>
                <w:sz w:val="22"/>
              </w:rPr>
              <w:t>5</w:t>
            </w:r>
          </w:p>
        </w:tc>
      </w:tr>
      <w:tr w:rsidR="0071798B" w:rsidRPr="008903D1" w14:paraId="44FF045F" w14:textId="77777777" w:rsidTr="00F7598C">
        <w:tc>
          <w:tcPr>
            <w:tcW w:w="834" w:type="pct"/>
          </w:tcPr>
          <w:p w14:paraId="607DD8CE" w14:textId="77777777" w:rsidR="0071798B" w:rsidRPr="00737239" w:rsidRDefault="0071798B" w:rsidP="00C95B63">
            <w:pPr>
              <w:spacing w:line="240" w:lineRule="auto"/>
              <w:jc w:val="center"/>
              <w:rPr>
                <w:rFonts w:cs="Times New Roman"/>
                <w:bCs/>
                <w:sz w:val="22"/>
              </w:rPr>
            </w:pPr>
            <w:proofErr w:type="spellStart"/>
            <w:r w:rsidRPr="00737239">
              <w:rPr>
                <w:rFonts w:cs="Times New Roman"/>
                <w:bCs/>
                <w:sz w:val="22"/>
              </w:rPr>
              <w:t>Gatta</w:t>
            </w:r>
            <w:proofErr w:type="spellEnd"/>
          </w:p>
        </w:tc>
        <w:tc>
          <w:tcPr>
            <w:tcW w:w="834" w:type="pct"/>
          </w:tcPr>
          <w:p w14:paraId="56F35158" w14:textId="77777777" w:rsidR="0071798B" w:rsidRPr="006C301D" w:rsidRDefault="0071798B" w:rsidP="00C95B63">
            <w:pPr>
              <w:spacing w:line="240" w:lineRule="auto"/>
              <w:jc w:val="center"/>
              <w:rPr>
                <w:rFonts w:cs="Times New Roman"/>
                <w:sz w:val="22"/>
              </w:rPr>
            </w:pPr>
            <w:r w:rsidRPr="00802DC5">
              <w:rPr>
                <w:rFonts w:cs="Times New Roman"/>
                <w:sz w:val="22"/>
              </w:rPr>
              <w:t>Italy</w:t>
            </w:r>
          </w:p>
        </w:tc>
        <w:tc>
          <w:tcPr>
            <w:tcW w:w="834" w:type="pct"/>
          </w:tcPr>
          <w:p w14:paraId="4F847622" w14:textId="77777777" w:rsidR="0071798B" w:rsidRPr="00A96AC5" w:rsidRDefault="0071798B" w:rsidP="00C95B63">
            <w:pPr>
              <w:spacing w:line="240" w:lineRule="auto"/>
              <w:jc w:val="center"/>
              <w:rPr>
                <w:rFonts w:cs="Times New Roman"/>
                <w:sz w:val="22"/>
              </w:rPr>
            </w:pPr>
            <w:r w:rsidRPr="00A96AC5">
              <w:rPr>
                <w:rFonts w:cs="Times New Roman"/>
                <w:sz w:val="22"/>
              </w:rPr>
              <w:t>7</w:t>
            </w:r>
          </w:p>
        </w:tc>
        <w:tc>
          <w:tcPr>
            <w:tcW w:w="834" w:type="pct"/>
          </w:tcPr>
          <w:p w14:paraId="27B4D609" w14:textId="77777777" w:rsidR="0071798B" w:rsidRPr="00A96AC5" w:rsidRDefault="0071798B" w:rsidP="00C95B63">
            <w:pPr>
              <w:spacing w:line="240" w:lineRule="auto"/>
              <w:jc w:val="center"/>
              <w:rPr>
                <w:rFonts w:cs="Times New Roman"/>
                <w:bCs/>
                <w:sz w:val="22"/>
              </w:rPr>
            </w:pPr>
            <w:r w:rsidRPr="00A96AC5">
              <w:rPr>
                <w:rFonts w:cs="Times New Roman"/>
                <w:bCs/>
                <w:sz w:val="22"/>
              </w:rPr>
              <w:t>Cortes</w:t>
            </w:r>
          </w:p>
        </w:tc>
        <w:tc>
          <w:tcPr>
            <w:tcW w:w="833" w:type="pct"/>
          </w:tcPr>
          <w:p w14:paraId="5F83EF62" w14:textId="77777777" w:rsidR="0071798B" w:rsidRPr="00A96AC5" w:rsidRDefault="0071798B" w:rsidP="00C95B63">
            <w:pPr>
              <w:spacing w:line="240" w:lineRule="auto"/>
              <w:jc w:val="center"/>
              <w:rPr>
                <w:rFonts w:cs="Times New Roman"/>
                <w:sz w:val="22"/>
              </w:rPr>
            </w:pPr>
            <w:r w:rsidRPr="00A96AC5">
              <w:rPr>
                <w:rFonts w:cs="Times New Roman"/>
                <w:sz w:val="22"/>
              </w:rPr>
              <w:t>UK</w:t>
            </w:r>
          </w:p>
        </w:tc>
        <w:tc>
          <w:tcPr>
            <w:tcW w:w="833" w:type="pct"/>
          </w:tcPr>
          <w:p w14:paraId="638373D1" w14:textId="77777777" w:rsidR="0071798B" w:rsidRPr="00A96AC5" w:rsidRDefault="0071798B" w:rsidP="00C95B63">
            <w:pPr>
              <w:spacing w:line="240" w:lineRule="auto"/>
              <w:jc w:val="center"/>
              <w:rPr>
                <w:rFonts w:cs="Times New Roman"/>
                <w:sz w:val="22"/>
              </w:rPr>
            </w:pPr>
            <w:r w:rsidRPr="00A96AC5">
              <w:rPr>
                <w:rFonts w:cs="Times New Roman"/>
                <w:sz w:val="22"/>
              </w:rPr>
              <w:t>5</w:t>
            </w:r>
          </w:p>
        </w:tc>
      </w:tr>
      <w:tr w:rsidR="0071798B" w:rsidRPr="008903D1" w14:paraId="5D285069" w14:textId="77777777" w:rsidTr="00F7598C">
        <w:tc>
          <w:tcPr>
            <w:tcW w:w="834" w:type="pct"/>
          </w:tcPr>
          <w:p w14:paraId="06579C7D" w14:textId="77777777" w:rsidR="0071798B" w:rsidRPr="00737239" w:rsidRDefault="0071798B" w:rsidP="00C95B63">
            <w:pPr>
              <w:spacing w:line="240" w:lineRule="auto"/>
              <w:jc w:val="center"/>
              <w:rPr>
                <w:rFonts w:cs="Times New Roman"/>
                <w:bCs/>
                <w:sz w:val="22"/>
              </w:rPr>
            </w:pPr>
            <w:proofErr w:type="spellStart"/>
            <w:r w:rsidRPr="00737239">
              <w:rPr>
                <w:rFonts w:cs="Times New Roman"/>
                <w:bCs/>
                <w:sz w:val="22"/>
              </w:rPr>
              <w:t>Verlinde</w:t>
            </w:r>
            <w:proofErr w:type="spellEnd"/>
          </w:p>
        </w:tc>
        <w:tc>
          <w:tcPr>
            <w:tcW w:w="834" w:type="pct"/>
          </w:tcPr>
          <w:p w14:paraId="6A1B1111" w14:textId="77777777" w:rsidR="0071798B" w:rsidRPr="006C301D" w:rsidRDefault="0071798B" w:rsidP="00C95B63">
            <w:pPr>
              <w:spacing w:line="240" w:lineRule="auto"/>
              <w:jc w:val="center"/>
              <w:rPr>
                <w:rFonts w:cs="Times New Roman"/>
                <w:sz w:val="22"/>
              </w:rPr>
            </w:pPr>
            <w:r w:rsidRPr="00802DC5">
              <w:rPr>
                <w:rFonts w:cs="Times New Roman"/>
                <w:sz w:val="22"/>
              </w:rPr>
              <w:t>Belgium</w:t>
            </w:r>
          </w:p>
        </w:tc>
        <w:tc>
          <w:tcPr>
            <w:tcW w:w="834" w:type="pct"/>
          </w:tcPr>
          <w:p w14:paraId="2B6AB914" w14:textId="77777777" w:rsidR="0071798B" w:rsidRPr="00A96AC5" w:rsidRDefault="0071798B" w:rsidP="00C95B63">
            <w:pPr>
              <w:spacing w:line="240" w:lineRule="auto"/>
              <w:jc w:val="center"/>
              <w:rPr>
                <w:rFonts w:cs="Times New Roman"/>
                <w:sz w:val="22"/>
              </w:rPr>
            </w:pPr>
            <w:r w:rsidRPr="00A96AC5">
              <w:rPr>
                <w:rFonts w:cs="Times New Roman"/>
                <w:sz w:val="22"/>
              </w:rPr>
              <w:t>6</w:t>
            </w:r>
          </w:p>
        </w:tc>
        <w:tc>
          <w:tcPr>
            <w:tcW w:w="834" w:type="pct"/>
          </w:tcPr>
          <w:p w14:paraId="384B106E" w14:textId="77777777" w:rsidR="0071798B" w:rsidRPr="00A96AC5" w:rsidRDefault="0071798B" w:rsidP="00C95B63">
            <w:pPr>
              <w:spacing w:line="240" w:lineRule="auto"/>
              <w:jc w:val="center"/>
              <w:rPr>
                <w:rFonts w:cs="Times New Roman"/>
                <w:bCs/>
                <w:sz w:val="22"/>
              </w:rPr>
            </w:pPr>
            <w:r w:rsidRPr="00A96AC5">
              <w:rPr>
                <w:rFonts w:cs="Times New Roman"/>
                <w:bCs/>
                <w:sz w:val="22"/>
              </w:rPr>
              <w:t>Browne</w:t>
            </w:r>
          </w:p>
        </w:tc>
        <w:tc>
          <w:tcPr>
            <w:tcW w:w="833" w:type="pct"/>
          </w:tcPr>
          <w:p w14:paraId="32C20F79" w14:textId="77777777" w:rsidR="0071798B" w:rsidRPr="00A96AC5" w:rsidRDefault="0071798B" w:rsidP="00C95B63">
            <w:pPr>
              <w:spacing w:line="240" w:lineRule="auto"/>
              <w:jc w:val="center"/>
              <w:rPr>
                <w:rFonts w:cs="Times New Roman"/>
                <w:sz w:val="22"/>
              </w:rPr>
            </w:pPr>
            <w:r w:rsidRPr="00A96AC5">
              <w:rPr>
                <w:rFonts w:cs="Times New Roman"/>
                <w:sz w:val="22"/>
              </w:rPr>
              <w:t>Sweden</w:t>
            </w:r>
          </w:p>
        </w:tc>
        <w:tc>
          <w:tcPr>
            <w:tcW w:w="833" w:type="pct"/>
          </w:tcPr>
          <w:p w14:paraId="59D861AF" w14:textId="77777777" w:rsidR="0071798B" w:rsidRPr="00A96AC5" w:rsidRDefault="0071798B" w:rsidP="00C95B63">
            <w:pPr>
              <w:spacing w:line="240" w:lineRule="auto"/>
              <w:jc w:val="center"/>
              <w:rPr>
                <w:rFonts w:cs="Times New Roman"/>
                <w:sz w:val="22"/>
              </w:rPr>
            </w:pPr>
            <w:r w:rsidRPr="00A96AC5">
              <w:rPr>
                <w:rFonts w:cs="Times New Roman"/>
                <w:sz w:val="22"/>
              </w:rPr>
              <w:t>5</w:t>
            </w:r>
          </w:p>
        </w:tc>
      </w:tr>
    </w:tbl>
    <w:p w14:paraId="6EA1C42D" w14:textId="646BC1B4" w:rsidR="0071798B" w:rsidRPr="008903D1" w:rsidRDefault="007B5959" w:rsidP="000A4E8C">
      <w:pPr>
        <w:pStyle w:val="Caption"/>
        <w:spacing w:after="0" w:line="360" w:lineRule="auto"/>
        <w:rPr>
          <w:rFonts w:cs="Times New Roman"/>
        </w:rPr>
      </w:pPr>
      <w:bookmarkStart w:id="180" w:name="_Ref532215809"/>
      <w:bookmarkStart w:id="181" w:name="_Toc491870111"/>
      <w:bookmarkStart w:id="182" w:name="_Toc34674931"/>
      <w:bookmarkStart w:id="183" w:name="_Toc34734723"/>
      <w:bookmarkStart w:id="184" w:name="_Toc46053537"/>
      <w:bookmarkStart w:id="185" w:name="_Toc46093786"/>
      <w:bookmarkStart w:id="186" w:name="_Toc66698754"/>
      <w:r>
        <w:rPr>
          <w:rFonts w:cs="Times New Roman"/>
        </w:rPr>
        <w:t>Table</w:t>
      </w:r>
      <w:r w:rsidR="0071798B"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2</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3</w:t>
      </w:r>
      <w:r w:rsidR="00FE10DA">
        <w:rPr>
          <w:rFonts w:cs="Times New Roman"/>
        </w:rPr>
        <w:fldChar w:fldCharType="end"/>
      </w:r>
      <w:bookmarkEnd w:id="180"/>
      <w:r w:rsidR="00AF217C">
        <w:rPr>
          <w:rFonts w:cs="Times New Roman"/>
        </w:rPr>
        <w:t xml:space="preserve">: </w:t>
      </w:r>
      <w:r w:rsidR="0071798B" w:rsidRPr="008903D1">
        <w:rPr>
          <w:rFonts w:cs="Times New Roman"/>
        </w:rPr>
        <w:t xml:space="preserve">Authors who have published at least five </w:t>
      </w:r>
      <w:proofErr w:type="gramStart"/>
      <w:r w:rsidR="0071798B" w:rsidRPr="008903D1">
        <w:rPr>
          <w:rFonts w:cs="Times New Roman"/>
        </w:rPr>
        <w:t>articles</w:t>
      </w:r>
      <w:bookmarkEnd w:id="181"/>
      <w:bookmarkEnd w:id="182"/>
      <w:bookmarkEnd w:id="183"/>
      <w:bookmarkEnd w:id="184"/>
      <w:bookmarkEnd w:id="185"/>
      <w:bookmarkEnd w:id="186"/>
      <w:proofErr w:type="gramEnd"/>
    </w:p>
    <w:p w14:paraId="66279DBE" w14:textId="7E3BD3B9" w:rsidR="0071798B" w:rsidRPr="00A96AC5" w:rsidRDefault="0071798B" w:rsidP="00C15D78">
      <w:pPr>
        <w:spacing w:before="240" w:after="240" w:line="360" w:lineRule="auto"/>
        <w:rPr>
          <w:rFonts w:cs="Times New Roman"/>
        </w:rPr>
      </w:pPr>
      <w:r w:rsidRPr="008903D1">
        <w:rPr>
          <w:rFonts w:cs="Times New Roman"/>
        </w:rPr>
        <w:fldChar w:fldCharType="begin"/>
      </w:r>
      <w:r w:rsidRPr="00A96AC5">
        <w:rPr>
          <w:rFonts w:cs="Times New Roman"/>
        </w:rPr>
        <w:instrText xml:space="preserve"> REF _Ref532217281 \h </w:instrText>
      </w:r>
      <w:r w:rsidR="008903D1">
        <w:rPr>
          <w:rFonts w:cs="Times New Roman"/>
        </w:rPr>
        <w:instrText xml:space="preserve"> \* MERGEFORMAT </w:instrText>
      </w:r>
      <w:r w:rsidRPr="008903D1">
        <w:rPr>
          <w:rFonts w:cs="Times New Roman"/>
        </w:rPr>
      </w:r>
      <w:r w:rsidRPr="008903D1">
        <w:rPr>
          <w:rFonts w:cs="Times New Roman"/>
        </w:rPr>
        <w:fldChar w:fldCharType="separate"/>
      </w:r>
      <w:r w:rsidR="0005064B" w:rsidRPr="008903D1">
        <w:rPr>
          <w:rFonts w:cs="Times New Roman"/>
        </w:rPr>
        <w:t xml:space="preserve">Figure </w:t>
      </w:r>
      <w:r w:rsidR="0005064B">
        <w:rPr>
          <w:rFonts w:cs="Times New Roman"/>
          <w:noProof/>
        </w:rPr>
        <w:t>2</w:t>
      </w:r>
      <w:r w:rsidR="0005064B">
        <w:rPr>
          <w:rFonts w:cs="Times New Roman"/>
          <w:noProof/>
        </w:rPr>
        <w:noBreakHyphen/>
        <w:t>3</w:t>
      </w:r>
      <w:r w:rsidRPr="008903D1">
        <w:rPr>
          <w:rFonts w:cs="Times New Roman"/>
        </w:rPr>
        <w:fldChar w:fldCharType="end"/>
      </w:r>
      <w:r w:rsidRPr="008903D1">
        <w:rPr>
          <w:rFonts w:cs="Times New Roman"/>
        </w:rPr>
        <w:t xml:space="preserve"> shows the number of papers published per year. It illustrates that research in the SUL field attracted little attention between 1982 and 2003. From 2003 to 2007, the number of papers increase</w:t>
      </w:r>
      <w:r w:rsidRPr="00737239">
        <w:rPr>
          <w:rFonts w:cs="Times New Roman"/>
        </w:rPr>
        <w:t xml:space="preserve">d to an average of four per year, and between 2012 and 2016 to an average of 25 per year. Since 2016, more than 30 papers have been published per year. </w:t>
      </w:r>
      <w:proofErr w:type="gramStart"/>
      <w:r w:rsidRPr="00737239">
        <w:rPr>
          <w:rFonts w:cs="Times New Roman"/>
        </w:rPr>
        <w:t>It is clear that the</w:t>
      </w:r>
      <w:proofErr w:type="gramEnd"/>
      <w:r w:rsidRPr="00737239">
        <w:rPr>
          <w:rFonts w:cs="Times New Roman"/>
        </w:rPr>
        <w:t xml:space="preserve"> study of SUL has seen an upward t</w:t>
      </w:r>
      <w:r w:rsidRPr="00802DC5">
        <w:rPr>
          <w:rFonts w:cs="Times New Roman"/>
        </w:rPr>
        <w:t>rend over the past 34 years.</w:t>
      </w:r>
    </w:p>
    <w:p w14:paraId="18DB7B1C" w14:textId="77777777" w:rsidR="0071798B" w:rsidRPr="008903D1" w:rsidRDefault="0071798B" w:rsidP="000A4E8C">
      <w:pPr>
        <w:spacing w:line="360" w:lineRule="auto"/>
        <w:jc w:val="center"/>
        <w:rPr>
          <w:rFonts w:cs="Times New Roman"/>
        </w:rPr>
      </w:pPr>
      <w:r w:rsidRPr="008903D1">
        <w:rPr>
          <w:rFonts w:cs="Times New Roman"/>
          <w:noProof/>
          <w:lang w:eastAsia="en-GB"/>
        </w:rPr>
        <w:drawing>
          <wp:inline distT="0" distB="0" distL="0" distR="0" wp14:anchorId="44247B12" wp14:editId="535F9E2C">
            <wp:extent cx="5701030" cy="2333625"/>
            <wp:effectExtent l="0" t="0" r="13970" b="9525"/>
            <wp:docPr id="1" name="Chart 1">
              <a:extLst xmlns:a="http://schemas.openxmlformats.org/drawingml/2006/main">
                <a:ext uri="{FF2B5EF4-FFF2-40B4-BE49-F238E27FC236}">
                  <a16:creationId xmlns:a16="http://schemas.microsoft.com/office/drawing/2014/main" id="{8587B3FC-9C6B-4C63-BA8B-D916157DCF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70EA907" w14:textId="7FC60B2D" w:rsidR="0071798B" w:rsidRPr="008903D1" w:rsidRDefault="0071798B" w:rsidP="000A4E8C">
      <w:pPr>
        <w:pStyle w:val="Caption"/>
        <w:spacing w:after="0" w:line="360" w:lineRule="auto"/>
        <w:rPr>
          <w:rFonts w:cs="Times New Roman"/>
        </w:rPr>
      </w:pPr>
      <w:bookmarkStart w:id="187" w:name="_Ref532217281"/>
      <w:bookmarkStart w:id="188" w:name="_Toc491869760"/>
      <w:bookmarkStart w:id="189" w:name="_Toc477972755"/>
      <w:bookmarkStart w:id="190" w:name="_Toc480825158"/>
      <w:bookmarkStart w:id="191" w:name="_Toc490484780"/>
      <w:bookmarkStart w:id="192" w:name="_Toc490415376"/>
      <w:bookmarkStart w:id="193" w:name="_Toc34675009"/>
      <w:bookmarkStart w:id="194" w:name="_Toc34734801"/>
      <w:bookmarkStart w:id="195" w:name="_Toc46053664"/>
      <w:bookmarkStart w:id="196" w:name="_Toc66698697"/>
      <w:r w:rsidRPr="008903D1">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2</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3</w:t>
      </w:r>
      <w:r w:rsidR="00632993">
        <w:rPr>
          <w:rFonts w:cs="Times New Roman"/>
        </w:rPr>
        <w:fldChar w:fldCharType="end"/>
      </w:r>
      <w:bookmarkEnd w:id="187"/>
      <w:r w:rsidR="00FD1FFD">
        <w:rPr>
          <w:rFonts w:cs="Times New Roman"/>
        </w:rPr>
        <w:t>:</w:t>
      </w:r>
      <w:r w:rsidRPr="008903D1">
        <w:rPr>
          <w:rFonts w:cs="Times New Roman"/>
        </w:rPr>
        <w:t xml:space="preserve"> Number of publications per </w:t>
      </w:r>
      <w:bookmarkEnd w:id="188"/>
      <w:bookmarkEnd w:id="189"/>
      <w:bookmarkEnd w:id="190"/>
      <w:bookmarkEnd w:id="191"/>
      <w:bookmarkEnd w:id="192"/>
      <w:r w:rsidRPr="008903D1">
        <w:rPr>
          <w:rFonts w:cs="Times New Roman"/>
        </w:rPr>
        <w:t>year</w:t>
      </w:r>
      <w:bookmarkEnd w:id="193"/>
      <w:bookmarkEnd w:id="194"/>
      <w:bookmarkEnd w:id="195"/>
      <w:bookmarkEnd w:id="196"/>
    </w:p>
    <w:p w14:paraId="487752CD" w14:textId="77777777" w:rsidR="0071798B" w:rsidRPr="00802DC5" w:rsidRDefault="0071798B" w:rsidP="000A4E8C">
      <w:pPr>
        <w:pStyle w:val="Heading2"/>
        <w:spacing w:after="120" w:line="360" w:lineRule="auto"/>
        <w:rPr>
          <w:rFonts w:cs="Times New Roman"/>
        </w:rPr>
      </w:pPr>
      <w:bookmarkStart w:id="197" w:name="_Toc34734488"/>
      <w:bookmarkStart w:id="198" w:name="_Toc46053406"/>
      <w:bookmarkStart w:id="199" w:name="_Toc46093320"/>
      <w:bookmarkStart w:id="200" w:name="_Toc46093603"/>
      <w:bookmarkStart w:id="201" w:name="_Toc66703178"/>
      <w:r w:rsidRPr="00737239">
        <w:rPr>
          <w:rFonts w:cs="Times New Roman"/>
        </w:rPr>
        <w:t>Critical review of the body of literature</w:t>
      </w:r>
      <w:bookmarkEnd w:id="197"/>
      <w:bookmarkEnd w:id="198"/>
      <w:bookmarkEnd w:id="199"/>
      <w:bookmarkEnd w:id="200"/>
      <w:bookmarkEnd w:id="201"/>
      <w:r w:rsidRPr="00737239">
        <w:rPr>
          <w:rFonts w:cs="Times New Roman"/>
        </w:rPr>
        <w:t xml:space="preserve"> </w:t>
      </w:r>
    </w:p>
    <w:p w14:paraId="24B05379" w14:textId="443876C2" w:rsidR="0071798B" w:rsidRPr="00A96AC5" w:rsidRDefault="0071798B" w:rsidP="000A4E8C">
      <w:pPr>
        <w:spacing w:line="360" w:lineRule="auto"/>
        <w:rPr>
          <w:rFonts w:cs="Times New Roman"/>
          <w:noProof/>
        </w:rPr>
      </w:pPr>
      <w:r w:rsidRPr="006C301D">
        <w:rPr>
          <w:rFonts w:cs="Times New Roman"/>
          <w:szCs w:val="24"/>
        </w:rPr>
        <w:t>For this literature review, 228 academic papers (following the exclusion of a further 25) were classified under seven primary categories, by research topic (excluding papers detailing literature reviews): (1) freight movement optimisation, (2) new operatin</w:t>
      </w:r>
      <w:r w:rsidRPr="00A96AC5">
        <w:rPr>
          <w:rFonts w:cs="Times New Roman"/>
          <w:szCs w:val="24"/>
        </w:rPr>
        <w:t>g models, (3) performance evaluation, (4) planning and design, (5) stakeholder engagement, (6) technological upgrades, and (7) demand management. Part B of Appendix I provides a detailed classification of the 253 papers according to these categories, as well as identifying sub-</w:t>
      </w:r>
      <w:r w:rsidRPr="00A96AC5">
        <w:rPr>
          <w:rFonts w:cs="Times New Roman"/>
          <w:szCs w:val="24"/>
        </w:rPr>
        <w:lastRenderedPageBreak/>
        <w:t xml:space="preserve">categories. </w:t>
      </w:r>
      <w:r w:rsidRPr="008903D1">
        <w:rPr>
          <w:rFonts w:cs="Times New Roman"/>
          <w:szCs w:val="24"/>
        </w:rPr>
        <w:fldChar w:fldCharType="begin"/>
      </w:r>
      <w:r w:rsidRPr="00A96AC5">
        <w:rPr>
          <w:rFonts w:cs="Times New Roman"/>
          <w:szCs w:val="24"/>
        </w:rPr>
        <w:instrText xml:space="preserve"> REF _Ref26979499 \h </w:instrText>
      </w:r>
      <w:r w:rsidR="008903D1">
        <w:rPr>
          <w:rFonts w:cs="Times New Roman"/>
          <w:szCs w:val="24"/>
        </w:rPr>
        <w:instrText xml:space="preserve"> \* MERGEFORMAT </w:instrText>
      </w:r>
      <w:r w:rsidRPr="008903D1">
        <w:rPr>
          <w:rFonts w:cs="Times New Roman"/>
          <w:szCs w:val="24"/>
        </w:rPr>
      </w:r>
      <w:r w:rsidRPr="008903D1">
        <w:rPr>
          <w:rFonts w:cs="Times New Roman"/>
          <w:szCs w:val="24"/>
        </w:rPr>
        <w:fldChar w:fldCharType="separate"/>
      </w:r>
      <w:r w:rsidR="0005064B" w:rsidRPr="00737239">
        <w:rPr>
          <w:rFonts w:cs="Times New Roman"/>
        </w:rPr>
        <w:t xml:space="preserve">Figure </w:t>
      </w:r>
      <w:r w:rsidR="0005064B">
        <w:rPr>
          <w:rFonts w:cs="Times New Roman"/>
          <w:noProof/>
        </w:rPr>
        <w:t>2</w:t>
      </w:r>
      <w:r w:rsidR="0005064B">
        <w:rPr>
          <w:rFonts w:cs="Times New Roman"/>
          <w:noProof/>
        </w:rPr>
        <w:noBreakHyphen/>
        <w:t>4</w:t>
      </w:r>
      <w:r w:rsidRPr="008903D1">
        <w:rPr>
          <w:rFonts w:cs="Times New Roman"/>
          <w:szCs w:val="24"/>
        </w:rPr>
        <w:fldChar w:fldCharType="end"/>
      </w:r>
      <w:r w:rsidRPr="008903D1">
        <w:rPr>
          <w:rFonts w:cs="Times New Roman"/>
          <w:szCs w:val="24"/>
        </w:rPr>
        <w:t xml:space="preserve"> shows the paper distribution across the seven topics</w:t>
      </w:r>
      <w:r w:rsidRPr="00737239">
        <w:rPr>
          <w:rFonts w:cs="Times New Roman"/>
          <w:szCs w:val="24"/>
        </w:rPr>
        <w:t xml:space="preserve">. A basic description of these categories is </w:t>
      </w:r>
      <w:r w:rsidRPr="00802DC5">
        <w:rPr>
          <w:rFonts w:cs="Times New Roman"/>
          <w:szCs w:val="24"/>
        </w:rPr>
        <w:t>provided in</w:t>
      </w:r>
      <w:r w:rsidRPr="006C301D">
        <w:rPr>
          <w:rFonts w:cs="Times New Roman"/>
          <w:szCs w:val="24"/>
        </w:rPr>
        <w:t xml:space="preserve"> the following section.</w:t>
      </w:r>
      <w:r w:rsidRPr="00A96AC5">
        <w:rPr>
          <w:rFonts w:cs="Times New Roman"/>
          <w:noProof/>
        </w:rPr>
        <w:t xml:space="preserve"> </w:t>
      </w:r>
    </w:p>
    <w:p w14:paraId="1B7F09FF" w14:textId="77777777" w:rsidR="0071798B" w:rsidRPr="008903D1" w:rsidRDefault="0071798B" w:rsidP="000A4E8C">
      <w:pPr>
        <w:spacing w:line="360" w:lineRule="auto"/>
        <w:jc w:val="center"/>
        <w:rPr>
          <w:rFonts w:cs="Times New Roman"/>
          <w:szCs w:val="24"/>
        </w:rPr>
      </w:pPr>
      <w:r w:rsidRPr="008903D1">
        <w:rPr>
          <w:rFonts w:cs="Times New Roman"/>
          <w:noProof/>
          <w:lang w:eastAsia="en-GB"/>
        </w:rPr>
        <w:drawing>
          <wp:inline distT="0" distB="0" distL="0" distR="0" wp14:anchorId="7421FCB7" wp14:editId="56E8F9E1">
            <wp:extent cx="4572000" cy="2743200"/>
            <wp:effectExtent l="0" t="0" r="0" b="0"/>
            <wp:docPr id="4" name="Chart 4">
              <a:extLst xmlns:a="http://schemas.openxmlformats.org/drawingml/2006/main">
                <a:ext uri="{FF2B5EF4-FFF2-40B4-BE49-F238E27FC236}">
                  <a16:creationId xmlns:a16="http://schemas.microsoft.com/office/drawing/2014/main" id="{3A910513-A516-4C15-AAC0-74732CE9D9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3AF4896" w14:textId="6013F8D4" w:rsidR="0071798B" w:rsidRPr="00737239" w:rsidRDefault="0071798B" w:rsidP="000A4E8C">
      <w:pPr>
        <w:pStyle w:val="Caption"/>
        <w:spacing w:after="0" w:line="360" w:lineRule="auto"/>
        <w:rPr>
          <w:rFonts w:cs="Times New Roman"/>
        </w:rPr>
      </w:pPr>
      <w:bookmarkStart w:id="202" w:name="_Ref26979499"/>
      <w:bookmarkStart w:id="203" w:name="_Toc491869761"/>
      <w:bookmarkStart w:id="204" w:name="_Toc34675010"/>
      <w:bookmarkStart w:id="205" w:name="_Toc34734802"/>
      <w:bookmarkStart w:id="206" w:name="_Toc46053665"/>
      <w:bookmarkStart w:id="207" w:name="_Toc66698698"/>
      <w:r w:rsidRPr="00737239">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2</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4</w:t>
      </w:r>
      <w:r w:rsidR="00632993">
        <w:rPr>
          <w:rFonts w:cs="Times New Roman"/>
        </w:rPr>
        <w:fldChar w:fldCharType="end"/>
      </w:r>
      <w:bookmarkEnd w:id="202"/>
      <w:r w:rsidR="00FD1FFD">
        <w:rPr>
          <w:rFonts w:cs="Times New Roman"/>
        </w:rPr>
        <w:t>:</w:t>
      </w:r>
      <w:r w:rsidRPr="008903D1">
        <w:rPr>
          <w:rFonts w:cs="Times New Roman"/>
        </w:rPr>
        <w:t xml:space="preserve"> The numbers of papers addressing each </w:t>
      </w:r>
      <w:bookmarkEnd w:id="203"/>
      <w:proofErr w:type="gramStart"/>
      <w:r w:rsidRPr="008903D1">
        <w:rPr>
          <w:rFonts w:cs="Times New Roman"/>
        </w:rPr>
        <w:t>topic</w:t>
      </w:r>
      <w:bookmarkEnd w:id="204"/>
      <w:bookmarkEnd w:id="205"/>
      <w:bookmarkEnd w:id="206"/>
      <w:bookmarkEnd w:id="207"/>
      <w:proofErr w:type="gramEnd"/>
    </w:p>
    <w:p w14:paraId="2680913D" w14:textId="77777777" w:rsidR="0071798B" w:rsidRPr="006C301D" w:rsidRDefault="0071798B" w:rsidP="000A4E8C">
      <w:pPr>
        <w:pStyle w:val="Heading3"/>
        <w:spacing w:line="360" w:lineRule="auto"/>
        <w:rPr>
          <w:rFonts w:cs="Times New Roman"/>
        </w:rPr>
      </w:pPr>
      <w:r w:rsidRPr="00802DC5">
        <w:rPr>
          <w:rFonts w:cs="Times New Roman"/>
        </w:rPr>
        <w:t xml:space="preserve"> </w:t>
      </w:r>
      <w:bookmarkStart w:id="208" w:name="_Toc34734489"/>
      <w:bookmarkStart w:id="209" w:name="_Toc46053407"/>
      <w:bookmarkStart w:id="210" w:name="_Toc46093321"/>
      <w:bookmarkStart w:id="211" w:name="_Toc46093604"/>
      <w:bookmarkStart w:id="212" w:name="_Toc66703179"/>
      <w:r w:rsidRPr="00802DC5">
        <w:rPr>
          <w:rFonts w:cs="Times New Roman"/>
        </w:rPr>
        <w:t>Freight-movement optimisation</w:t>
      </w:r>
      <w:bookmarkEnd w:id="208"/>
      <w:bookmarkEnd w:id="209"/>
      <w:bookmarkEnd w:id="210"/>
      <w:bookmarkEnd w:id="211"/>
      <w:bookmarkEnd w:id="212"/>
    </w:p>
    <w:p w14:paraId="07AF13DA" w14:textId="36C1312D" w:rsidR="0071798B" w:rsidRPr="00C15D78" w:rsidRDefault="0071798B" w:rsidP="00C15D78">
      <w:pPr>
        <w:spacing w:after="240" w:line="360" w:lineRule="auto"/>
        <w:rPr>
          <w:rFonts w:cs="Times New Roman"/>
        </w:rPr>
      </w:pPr>
      <w:r w:rsidRPr="00A96AC5">
        <w:rPr>
          <w:rFonts w:cs="Times New Roman"/>
          <w:szCs w:val="24"/>
        </w:rPr>
        <w:t>Studies in this category concern the optimisation of goods-movement between the consigner and consignee in SUL networks. Vehicle routing problems (VRP) are the primary research area of this topic and</w:t>
      </w:r>
      <w:r w:rsidRPr="00A96AC5">
        <w:rPr>
          <w:rFonts w:cs="Times New Roman"/>
        </w:rPr>
        <w:t xml:space="preserve"> defined as ‘</w:t>
      </w:r>
      <w:r w:rsidRPr="00A96AC5">
        <w:rPr>
          <w:rFonts w:cs="Times New Roman"/>
          <w:iCs/>
        </w:rPr>
        <w:t>the problem of designing optimal delivery or collection routes from one or several depots to a number of geographically scattered cities or customers, subject to side constraints</w:t>
      </w:r>
      <w:r w:rsidRPr="00A96AC5">
        <w:rPr>
          <w:rFonts w:cs="Times New Roman"/>
        </w:rPr>
        <w:t xml:space="preserve">’ </w:t>
      </w:r>
      <w:r w:rsidR="00FC790D">
        <w:rPr>
          <w:iCs/>
          <w:noProof/>
        </w:rPr>
        <w:fldChar w:fldCharType="begin"/>
      </w:r>
      <w:r w:rsidR="00647E79">
        <w:rPr>
          <w:iCs/>
          <w:noProof/>
        </w:rPr>
        <w:instrText xml:space="preserve"> ADDIN EN.CITE &lt;EndNote&gt;&lt;Cite&gt;&lt;Author&gt;Laporte&lt;/Author&gt;&lt;Year&gt;1992&lt;/Year&gt;&lt;RecNum&gt;40&lt;/RecNum&gt;&lt;DisplayText&gt;(Laporte, 1992)&lt;/DisplayText&gt;&lt;record&gt;&lt;rec-number&gt;40&lt;/rec-number&gt;&lt;foreign-keys&gt;&lt;key app="EN" db-id="pzt5ep52hsedfpeext2pdfes0w0aswaewef2" timestamp="1605187992"&gt;40&lt;/key&gt;&lt;/foreign-keys&gt;&lt;ref-type name="Journal Article"&gt;17&lt;/ref-type&gt;&lt;contributors&gt;&lt;authors&gt;&lt;author&gt;Laporte, Gilbert&lt;/author&gt;&lt;/authors&gt;&lt;/contributors&gt;&lt;titles&gt;&lt;title&gt;The vehicle routing problem: An overview of exact and approximate algorithms&lt;/title&gt;&lt;secondary-title&gt;European journal of operational research&lt;/secondary-title&gt;&lt;/titles&gt;&lt;periodical&gt;&lt;full-title&gt;European journal of operational research&lt;/full-title&gt;&lt;/periodical&gt;&lt;pages&gt;345-358&lt;/pages&gt;&lt;volume&gt;59&lt;/volume&gt;&lt;number&gt;3&lt;/number&gt;&lt;dates&gt;&lt;year&gt;1992&lt;/year&gt;&lt;/dates&gt;&lt;isbn&gt;0377-2217&lt;/isbn&gt;&lt;urls&gt;&lt;/urls&gt;&lt;/record&gt;&lt;/Cite&gt;&lt;/EndNote&gt;</w:instrText>
      </w:r>
      <w:r w:rsidR="00FC790D">
        <w:rPr>
          <w:iCs/>
          <w:noProof/>
        </w:rPr>
        <w:fldChar w:fldCharType="separate"/>
      </w:r>
      <w:r w:rsidR="00FC790D">
        <w:rPr>
          <w:iCs/>
          <w:noProof/>
        </w:rPr>
        <w:t>(Laporte, 1992)</w:t>
      </w:r>
      <w:r w:rsidR="00FC790D">
        <w:rPr>
          <w:iCs/>
          <w:noProof/>
        </w:rPr>
        <w:fldChar w:fldCharType="end"/>
      </w:r>
      <w:r w:rsidRPr="00A96AC5">
        <w:rPr>
          <w:rFonts w:cs="Times New Roman"/>
          <w:iCs/>
        </w:rPr>
        <w:t>.</w:t>
      </w:r>
      <w:r w:rsidRPr="00A96AC5">
        <w:rPr>
          <w:rFonts w:cs="Times New Roman"/>
        </w:rPr>
        <w:t xml:space="preserve"> </w:t>
      </w:r>
      <w:r w:rsidR="00FC790D">
        <w:rPr>
          <w:noProof/>
        </w:rPr>
        <w:fldChar w:fldCharType="begin"/>
      </w:r>
      <w:r w:rsidR="00647E79">
        <w:rPr>
          <w:noProof/>
        </w:rPr>
        <w:instrText xml:space="preserve"> ADDIN EN.CITE &lt;EndNote&gt;&lt;Cite AuthorYear="1"&gt;&lt;Author&gt;Kim&lt;/Author&gt;&lt;Year&gt;2015&lt;/Year&gt;&lt;RecNum&gt;41&lt;/RecNum&gt;&lt;DisplayText&gt;Kim et al. (2015)&lt;/DisplayText&gt;&lt;record&gt;&lt;rec-number&gt;41&lt;/rec-number&gt;&lt;foreign-keys&gt;&lt;key app="EN" db-id="pzt5ep52hsedfpeext2pdfes0w0aswaewef2" timestamp="1605187992"&gt;41&lt;/key&gt;&lt;/foreign-keys&gt;&lt;ref-type name="Journal Article"&gt;17&lt;/ref-type&gt;&lt;contributors&gt;&lt;authors&gt;&lt;author&gt;Kim, Gitae&lt;/author&gt;&lt;author&gt;Ong, Yew-Soon&lt;/author&gt;&lt;author&gt;Heng, Chen Kim&lt;/author&gt;&lt;author&gt;Tan, Puay Siew&lt;/author&gt;&lt;author&gt;Zhang, Nengsheng Allan&lt;/author&gt;&lt;/authors&gt;&lt;/contributors&gt;&lt;titles&gt;&lt;title&gt;City vehicle routing problem (city VRP): A review&lt;/title&gt;&lt;secondary-title&gt;IEEE Transactions on Intelligent Transportation Systems&lt;/secondary-title&gt;&lt;/titles&gt;&lt;periodical&gt;&lt;full-title&gt;IEEE Transactions on Intelligent Transportation Systems&lt;/full-title&gt;&lt;/periodical&gt;&lt;pages&gt;1654-1666&lt;/pages&gt;&lt;volume&gt;16&lt;/volume&gt;&lt;number&gt;4&lt;/number&gt;&lt;dates&gt;&lt;year&gt;2015&lt;/year&gt;&lt;/dates&gt;&lt;isbn&gt;1524-9050&lt;/isbn&gt;&lt;urls&gt;&lt;related-urls&gt;&lt;url&gt;http://ieeexplore.ieee.org/abstract/document/7047830/?reload=true&lt;/url&gt;&lt;/related-urls&gt;&lt;/urls&gt;&lt;research-notes&gt;119&lt;/research-notes&gt;&lt;/record&gt;&lt;/Cite&gt;&lt;/EndNote&gt;</w:instrText>
      </w:r>
      <w:r w:rsidR="00FC790D">
        <w:rPr>
          <w:noProof/>
        </w:rPr>
        <w:fldChar w:fldCharType="separate"/>
      </w:r>
      <w:r w:rsidR="00FC790D">
        <w:rPr>
          <w:noProof/>
        </w:rPr>
        <w:t>Kim et al. (2015)</w:t>
      </w:r>
      <w:r w:rsidR="00FC790D">
        <w:rPr>
          <w:noProof/>
        </w:rPr>
        <w:fldChar w:fldCharType="end"/>
      </w:r>
      <w:r w:rsidR="00FC790D">
        <w:rPr>
          <w:noProof/>
        </w:rPr>
        <w:t xml:space="preserve"> </w:t>
      </w:r>
      <w:r w:rsidRPr="00A96AC5">
        <w:rPr>
          <w:rFonts w:cs="Times New Roman"/>
        </w:rPr>
        <w:t xml:space="preserve">identify eight types of VRP challenges: environmental cost, travel cost, distance, travel time, fleet size, driver cost, fixed cost, and time windows. Compared to traditional VRPs, those in UL also include issues of traffic regulations, road congestion, road conditions, parking space, air pollution, noise, and emergencies </w:t>
      </w:r>
      <w:r w:rsidR="00FC790D">
        <w:rPr>
          <w:noProof/>
        </w:rPr>
        <w:fldChar w:fldCharType="begin">
          <w:fldData xml:space="preserve">PEVuZE5vdGU+PENpdGU+PEF1dGhvcj5FaG1rZTwvQXV0aG9yPjxZZWFyPjIwMTI8L1llYXI+PFJl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=
</w:fldData>
        </w:fldChar>
      </w:r>
      <w:r w:rsidR="00647E79">
        <w:rPr>
          <w:noProof/>
        </w:rPr>
        <w:instrText xml:space="preserve"> ADDIN EN.CITE </w:instrText>
      </w:r>
      <w:r w:rsidR="00647E79">
        <w:rPr>
          <w:noProof/>
        </w:rPr>
        <w:fldChar w:fldCharType="begin">
          <w:fldData xml:space="preserve">PEVuZE5vdGU+PENpdGU+PEF1dGhvcj5FaG1rZTwvQXV0aG9yPjxZZWFyPjIwMTI8L1llYXI+PFJl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=
</w:fldData>
        </w:fldChar>
      </w:r>
      <w:r w:rsidR="00647E79">
        <w:rPr>
          <w:noProof/>
        </w:rPr>
        <w:instrText xml:space="preserve"> ADDIN EN.CITE.DATA </w:instrText>
      </w:r>
      <w:r w:rsidR="00647E79">
        <w:rPr>
          <w:noProof/>
        </w:rPr>
      </w:r>
      <w:r w:rsidR="00647E79">
        <w:rPr>
          <w:noProof/>
        </w:rPr>
        <w:fldChar w:fldCharType="end"/>
      </w:r>
      <w:r w:rsidR="00FC790D">
        <w:rPr>
          <w:noProof/>
        </w:rPr>
      </w:r>
      <w:r w:rsidR="00FC790D">
        <w:rPr>
          <w:noProof/>
        </w:rPr>
        <w:fldChar w:fldCharType="separate"/>
      </w:r>
      <w:r w:rsidR="00FC790D">
        <w:rPr>
          <w:noProof/>
        </w:rPr>
        <w:t>(Ehmke et al., 2012)</w:t>
      </w:r>
      <w:r w:rsidR="00FC790D">
        <w:rPr>
          <w:noProof/>
        </w:rPr>
        <w:fldChar w:fldCharType="end"/>
      </w:r>
      <w:r w:rsidRPr="00A96AC5">
        <w:rPr>
          <w:rFonts w:cs="Times New Roman"/>
        </w:rPr>
        <w:t xml:space="preserve">. The specific requirements of stakeholders also result in new problems for city VRPs, such as the need to ensure optimal levels of profit to carriers (Kim et al., 2015). </w:t>
      </w:r>
      <w:r w:rsidRPr="00737239">
        <w:rPr>
          <w:rFonts w:cs="Times New Roman"/>
        </w:rPr>
        <w:fldChar w:fldCharType="begin"/>
      </w:r>
      <w:r w:rsidRPr="00A96AC5">
        <w:rPr>
          <w:rFonts w:cs="Times New Roman"/>
        </w:rPr>
        <w:instrText xml:space="preserve"> REF _Ref30088398 \h </w:instrText>
      </w:r>
      <w:r w:rsidR="008903D1">
        <w:rPr>
          <w:rFonts w:cs="Times New Roman"/>
        </w:rPr>
        <w:instrText xml:space="preserve"> \* MERGEFORMAT </w:instrText>
      </w:r>
      <w:r w:rsidRPr="00737239">
        <w:rPr>
          <w:rFonts w:cs="Times New Roman"/>
        </w:rPr>
      </w:r>
      <w:r w:rsidRPr="00737239">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2</w:t>
      </w:r>
      <w:r w:rsidR="0005064B">
        <w:rPr>
          <w:rFonts w:cs="Times New Roman"/>
          <w:noProof/>
        </w:rPr>
        <w:noBreakHyphen/>
        <w:t>4</w:t>
      </w:r>
      <w:r w:rsidRPr="00737239">
        <w:rPr>
          <w:rFonts w:cs="Times New Roman"/>
        </w:rPr>
        <w:fldChar w:fldCharType="end"/>
      </w:r>
      <w:r w:rsidRPr="008903D1">
        <w:rPr>
          <w:rFonts w:cs="Times New Roman"/>
        </w:rPr>
        <w:t xml:space="preserve"> lists </w:t>
      </w:r>
      <w:r w:rsidRPr="00737239">
        <w:rPr>
          <w:rFonts w:cs="Times New Roman"/>
        </w:rPr>
        <w:t xml:space="preserve">the VRP types typically found in urban environments, along with their </w:t>
      </w:r>
      <w:r w:rsidRPr="00802DC5">
        <w:rPr>
          <w:rFonts w:cs="Times New Roman"/>
        </w:rPr>
        <w:t>specific constraints.</w:t>
      </w:r>
    </w:p>
    <w:tbl>
      <w:tblPr>
        <w:tblStyle w:val="TableGrid1"/>
        <w:tblW w:w="5000" w:type="pct"/>
        <w:tblLook w:val="04A0" w:firstRow="1" w:lastRow="0" w:firstColumn="1" w:lastColumn="0" w:noHBand="0" w:noVBand="1"/>
      </w:tblPr>
      <w:tblGrid>
        <w:gridCol w:w="4099"/>
        <w:gridCol w:w="4917"/>
      </w:tblGrid>
      <w:tr w:rsidR="0071798B" w:rsidRPr="008903D1" w14:paraId="69181554" w14:textId="77777777" w:rsidTr="00F7598C">
        <w:trPr>
          <w:trHeight w:val="283"/>
        </w:trPr>
        <w:tc>
          <w:tcPr>
            <w:tcW w:w="2273" w:type="pct"/>
          </w:tcPr>
          <w:p w14:paraId="62994D9D" w14:textId="77777777" w:rsidR="0071798B" w:rsidRPr="00A96AC5" w:rsidRDefault="0071798B" w:rsidP="00C15D78">
            <w:pPr>
              <w:spacing w:line="240" w:lineRule="auto"/>
              <w:jc w:val="center"/>
              <w:rPr>
                <w:rFonts w:cs="Times New Roman"/>
                <w:b/>
                <w:bCs/>
                <w:sz w:val="22"/>
              </w:rPr>
            </w:pPr>
            <w:r w:rsidRPr="00A96AC5">
              <w:rPr>
                <w:rFonts w:cs="Times New Roman"/>
                <w:b/>
                <w:bCs/>
                <w:sz w:val="22"/>
              </w:rPr>
              <w:t>VRP Types</w:t>
            </w:r>
          </w:p>
        </w:tc>
        <w:tc>
          <w:tcPr>
            <w:tcW w:w="2727" w:type="pct"/>
          </w:tcPr>
          <w:p w14:paraId="2E435B73" w14:textId="77777777" w:rsidR="0071798B" w:rsidRPr="00A96AC5" w:rsidRDefault="0071798B" w:rsidP="00C15D78">
            <w:pPr>
              <w:spacing w:line="240" w:lineRule="auto"/>
              <w:jc w:val="center"/>
              <w:rPr>
                <w:rFonts w:cs="Times New Roman"/>
                <w:b/>
                <w:bCs/>
                <w:sz w:val="22"/>
              </w:rPr>
            </w:pPr>
            <w:r w:rsidRPr="00A96AC5">
              <w:rPr>
                <w:rFonts w:cs="Times New Roman"/>
                <w:b/>
                <w:bCs/>
                <w:sz w:val="22"/>
              </w:rPr>
              <w:t>Key Indicators</w:t>
            </w:r>
          </w:p>
        </w:tc>
      </w:tr>
      <w:tr w:rsidR="0071798B" w:rsidRPr="008903D1" w14:paraId="35AB7953" w14:textId="77777777" w:rsidTr="00F7598C">
        <w:trPr>
          <w:trHeight w:val="283"/>
        </w:trPr>
        <w:tc>
          <w:tcPr>
            <w:tcW w:w="2273" w:type="pct"/>
          </w:tcPr>
          <w:p w14:paraId="5BF72D74" w14:textId="77777777" w:rsidR="0071798B" w:rsidRPr="00802DC5" w:rsidRDefault="0071798B" w:rsidP="00C15D78">
            <w:pPr>
              <w:spacing w:line="240" w:lineRule="auto"/>
              <w:rPr>
                <w:rFonts w:cs="Times New Roman"/>
                <w:sz w:val="22"/>
              </w:rPr>
            </w:pPr>
            <w:r w:rsidRPr="00737239">
              <w:rPr>
                <w:rFonts w:cs="Times New Roman"/>
                <w:sz w:val="22"/>
              </w:rPr>
              <w:t>CVRP (Capacitated vehicle-routing problem)</w:t>
            </w:r>
          </w:p>
        </w:tc>
        <w:tc>
          <w:tcPr>
            <w:tcW w:w="2727" w:type="pct"/>
          </w:tcPr>
          <w:p w14:paraId="3497913C" w14:textId="77777777" w:rsidR="0071798B" w:rsidRPr="00A96AC5" w:rsidRDefault="0071798B" w:rsidP="00C15D78">
            <w:pPr>
              <w:spacing w:line="240" w:lineRule="auto"/>
              <w:rPr>
                <w:rFonts w:cs="Times New Roman"/>
                <w:sz w:val="22"/>
              </w:rPr>
            </w:pPr>
            <w:r w:rsidRPr="006C301D">
              <w:rPr>
                <w:rFonts w:cs="Times New Roman"/>
                <w:sz w:val="22"/>
              </w:rPr>
              <w:t>Restriction of the vehicle-loading capacity</w:t>
            </w:r>
          </w:p>
        </w:tc>
      </w:tr>
      <w:tr w:rsidR="0071798B" w:rsidRPr="008903D1" w14:paraId="667BDC2A" w14:textId="77777777" w:rsidTr="00F7598C">
        <w:trPr>
          <w:trHeight w:val="283"/>
        </w:trPr>
        <w:tc>
          <w:tcPr>
            <w:tcW w:w="2273" w:type="pct"/>
          </w:tcPr>
          <w:p w14:paraId="0E5A266B" w14:textId="77777777" w:rsidR="0071798B" w:rsidRPr="00737239" w:rsidRDefault="0071798B" w:rsidP="00C15D78">
            <w:pPr>
              <w:spacing w:line="240" w:lineRule="auto"/>
              <w:rPr>
                <w:rFonts w:cs="Times New Roman"/>
                <w:sz w:val="22"/>
              </w:rPr>
            </w:pPr>
            <w:r w:rsidRPr="00737239">
              <w:rPr>
                <w:rFonts w:cs="Times New Roman"/>
                <w:sz w:val="22"/>
              </w:rPr>
              <w:t>Dial-a-ride problem (DARP)</w:t>
            </w:r>
          </w:p>
        </w:tc>
        <w:tc>
          <w:tcPr>
            <w:tcW w:w="2727" w:type="pct"/>
          </w:tcPr>
          <w:p w14:paraId="3380925E" w14:textId="77777777" w:rsidR="0071798B" w:rsidRPr="006C301D" w:rsidRDefault="0071798B" w:rsidP="00C15D78">
            <w:pPr>
              <w:spacing w:line="240" w:lineRule="auto"/>
              <w:rPr>
                <w:rFonts w:cs="Times New Roman"/>
                <w:sz w:val="22"/>
              </w:rPr>
            </w:pPr>
            <w:r w:rsidRPr="00802DC5">
              <w:rPr>
                <w:rFonts w:cs="Times New Roman"/>
                <w:sz w:val="22"/>
              </w:rPr>
              <w:t>Restrictions of consumers’ specific requirements and vehicle type</w:t>
            </w:r>
          </w:p>
        </w:tc>
      </w:tr>
      <w:tr w:rsidR="0071798B" w:rsidRPr="008903D1" w14:paraId="78C914D6" w14:textId="77777777" w:rsidTr="00F7598C">
        <w:trPr>
          <w:trHeight w:val="283"/>
        </w:trPr>
        <w:tc>
          <w:tcPr>
            <w:tcW w:w="2273" w:type="pct"/>
          </w:tcPr>
          <w:p w14:paraId="38BA240E" w14:textId="77777777" w:rsidR="0071798B" w:rsidRPr="00802DC5" w:rsidRDefault="0071798B" w:rsidP="00C15D78">
            <w:pPr>
              <w:spacing w:line="240" w:lineRule="auto"/>
              <w:rPr>
                <w:rFonts w:cs="Times New Roman"/>
                <w:sz w:val="22"/>
              </w:rPr>
            </w:pPr>
            <w:r w:rsidRPr="00737239">
              <w:rPr>
                <w:rFonts w:cs="Times New Roman"/>
                <w:sz w:val="22"/>
              </w:rPr>
              <w:t>Distance-constrained capacitated vehicle-routing problem (DCVRP)</w:t>
            </w:r>
          </w:p>
        </w:tc>
        <w:tc>
          <w:tcPr>
            <w:tcW w:w="2727" w:type="pct"/>
          </w:tcPr>
          <w:p w14:paraId="5805FD09" w14:textId="77777777" w:rsidR="0071798B" w:rsidRPr="00A96AC5" w:rsidRDefault="0071798B" w:rsidP="00C15D78">
            <w:pPr>
              <w:spacing w:line="240" w:lineRule="auto"/>
              <w:rPr>
                <w:rFonts w:cs="Times New Roman"/>
                <w:sz w:val="22"/>
              </w:rPr>
            </w:pPr>
            <w:r w:rsidRPr="006C301D">
              <w:rPr>
                <w:rFonts w:cs="Times New Roman"/>
                <w:sz w:val="22"/>
              </w:rPr>
              <w:t xml:space="preserve">Restriction of max. </w:t>
            </w:r>
            <w:r w:rsidRPr="00A96AC5">
              <w:rPr>
                <w:rFonts w:cs="Times New Roman"/>
                <w:sz w:val="22"/>
              </w:rPr>
              <w:t>travel miles</w:t>
            </w:r>
          </w:p>
        </w:tc>
      </w:tr>
      <w:tr w:rsidR="0071798B" w:rsidRPr="008903D1" w14:paraId="0B3D245A" w14:textId="77777777" w:rsidTr="00F7598C">
        <w:trPr>
          <w:trHeight w:val="283"/>
        </w:trPr>
        <w:tc>
          <w:tcPr>
            <w:tcW w:w="2273" w:type="pct"/>
          </w:tcPr>
          <w:p w14:paraId="55315C63" w14:textId="77777777" w:rsidR="0071798B" w:rsidRPr="00802DC5" w:rsidRDefault="0071798B" w:rsidP="00C15D78">
            <w:pPr>
              <w:spacing w:line="240" w:lineRule="auto"/>
              <w:rPr>
                <w:rFonts w:cs="Times New Roman"/>
                <w:sz w:val="22"/>
              </w:rPr>
            </w:pPr>
            <w:r w:rsidRPr="00737239">
              <w:rPr>
                <w:rFonts w:cs="Times New Roman"/>
                <w:sz w:val="22"/>
              </w:rPr>
              <w:lastRenderedPageBreak/>
              <w:t>The emissions vehicle-routing problem (EVRP)</w:t>
            </w:r>
          </w:p>
        </w:tc>
        <w:tc>
          <w:tcPr>
            <w:tcW w:w="2727" w:type="pct"/>
          </w:tcPr>
          <w:p w14:paraId="61B22B89" w14:textId="77777777" w:rsidR="0071798B" w:rsidRPr="00A96AC5" w:rsidRDefault="0071798B" w:rsidP="00C15D78">
            <w:pPr>
              <w:spacing w:line="240" w:lineRule="auto"/>
              <w:rPr>
                <w:rFonts w:cs="Times New Roman"/>
                <w:sz w:val="22"/>
              </w:rPr>
            </w:pPr>
            <w:r w:rsidRPr="006C301D">
              <w:rPr>
                <w:rFonts w:cs="Times New Roman"/>
                <w:sz w:val="22"/>
              </w:rPr>
              <w:t>Restriction of emissions and pollution</w:t>
            </w:r>
          </w:p>
        </w:tc>
      </w:tr>
      <w:tr w:rsidR="0071798B" w:rsidRPr="008903D1" w14:paraId="2C9D8F5E" w14:textId="77777777" w:rsidTr="00F7598C">
        <w:trPr>
          <w:trHeight w:val="283"/>
        </w:trPr>
        <w:tc>
          <w:tcPr>
            <w:tcW w:w="2273" w:type="pct"/>
          </w:tcPr>
          <w:p w14:paraId="43A854A8" w14:textId="77777777" w:rsidR="0071798B" w:rsidRPr="00737239" w:rsidRDefault="0071798B" w:rsidP="00C15D78">
            <w:pPr>
              <w:spacing w:line="240" w:lineRule="auto"/>
              <w:rPr>
                <w:rFonts w:cs="Times New Roman"/>
                <w:sz w:val="22"/>
              </w:rPr>
            </w:pPr>
            <w:r w:rsidRPr="00737239">
              <w:rPr>
                <w:rFonts w:cs="Times New Roman"/>
                <w:sz w:val="22"/>
              </w:rPr>
              <w:t>Generalised VRP (GVRP)</w:t>
            </w:r>
          </w:p>
        </w:tc>
        <w:tc>
          <w:tcPr>
            <w:tcW w:w="2727" w:type="pct"/>
          </w:tcPr>
          <w:p w14:paraId="2BC48135" w14:textId="77777777" w:rsidR="0071798B" w:rsidRPr="006C301D" w:rsidRDefault="0071798B" w:rsidP="00C15D78">
            <w:pPr>
              <w:spacing w:line="240" w:lineRule="auto"/>
              <w:rPr>
                <w:rFonts w:cs="Times New Roman"/>
                <w:sz w:val="22"/>
              </w:rPr>
            </w:pPr>
            <w:r w:rsidRPr="00802DC5">
              <w:rPr>
                <w:rFonts w:cs="Times New Roman"/>
                <w:sz w:val="22"/>
              </w:rPr>
              <w:t>Restriction of type of consumer</w:t>
            </w:r>
          </w:p>
        </w:tc>
      </w:tr>
      <w:tr w:rsidR="0071798B" w:rsidRPr="008903D1" w14:paraId="4BFCE128" w14:textId="77777777" w:rsidTr="00F7598C">
        <w:trPr>
          <w:trHeight w:val="283"/>
        </w:trPr>
        <w:tc>
          <w:tcPr>
            <w:tcW w:w="2273" w:type="pct"/>
          </w:tcPr>
          <w:p w14:paraId="3391DD12" w14:textId="77777777" w:rsidR="0071798B" w:rsidRPr="00802DC5" w:rsidRDefault="0071798B" w:rsidP="00C15D78">
            <w:pPr>
              <w:spacing w:line="240" w:lineRule="auto"/>
              <w:rPr>
                <w:rFonts w:cs="Times New Roman"/>
                <w:sz w:val="22"/>
              </w:rPr>
            </w:pPr>
            <w:r w:rsidRPr="00737239">
              <w:rPr>
                <w:rFonts w:cs="Times New Roman"/>
                <w:sz w:val="22"/>
              </w:rPr>
              <w:t>Multi-depot vehicle-routing problem (MDVRP)</w:t>
            </w:r>
          </w:p>
        </w:tc>
        <w:tc>
          <w:tcPr>
            <w:tcW w:w="2727" w:type="pct"/>
          </w:tcPr>
          <w:p w14:paraId="7DDABFCC" w14:textId="77777777" w:rsidR="0071798B" w:rsidRPr="00A96AC5" w:rsidRDefault="0071798B" w:rsidP="00C15D78">
            <w:pPr>
              <w:spacing w:line="240" w:lineRule="auto"/>
              <w:rPr>
                <w:rFonts w:cs="Times New Roman"/>
                <w:sz w:val="22"/>
              </w:rPr>
            </w:pPr>
            <w:r w:rsidRPr="006C301D">
              <w:rPr>
                <w:rFonts w:cs="Times New Roman"/>
                <w:sz w:val="22"/>
              </w:rPr>
              <w:t>Several depots are considered to serve clients</w:t>
            </w:r>
          </w:p>
        </w:tc>
      </w:tr>
      <w:tr w:rsidR="0071798B" w:rsidRPr="008903D1" w14:paraId="48111366" w14:textId="77777777" w:rsidTr="00F7598C">
        <w:trPr>
          <w:trHeight w:val="283"/>
        </w:trPr>
        <w:tc>
          <w:tcPr>
            <w:tcW w:w="2273" w:type="pct"/>
          </w:tcPr>
          <w:p w14:paraId="3F5692AC" w14:textId="77777777" w:rsidR="0071798B" w:rsidRPr="00737239" w:rsidRDefault="0071798B" w:rsidP="00C15D78">
            <w:pPr>
              <w:spacing w:line="240" w:lineRule="auto"/>
              <w:rPr>
                <w:rFonts w:cs="Times New Roman"/>
                <w:sz w:val="22"/>
              </w:rPr>
            </w:pPr>
            <w:r w:rsidRPr="00737239">
              <w:rPr>
                <w:rFonts w:cs="Times New Roman"/>
                <w:sz w:val="22"/>
              </w:rPr>
              <w:t>Split-delivery VRP (SDVRP)</w:t>
            </w:r>
          </w:p>
        </w:tc>
        <w:tc>
          <w:tcPr>
            <w:tcW w:w="2727" w:type="pct"/>
          </w:tcPr>
          <w:p w14:paraId="7745B3D6" w14:textId="77777777" w:rsidR="0071798B" w:rsidRPr="006C301D" w:rsidRDefault="0071798B" w:rsidP="00C15D78">
            <w:pPr>
              <w:spacing w:line="240" w:lineRule="auto"/>
              <w:rPr>
                <w:rFonts w:cs="Times New Roman"/>
                <w:sz w:val="22"/>
              </w:rPr>
            </w:pPr>
            <w:r w:rsidRPr="00802DC5">
              <w:rPr>
                <w:rFonts w:cs="Times New Roman"/>
                <w:sz w:val="22"/>
              </w:rPr>
              <w:t>Restriction of number of vehicles</w:t>
            </w:r>
          </w:p>
        </w:tc>
      </w:tr>
      <w:tr w:rsidR="0071798B" w:rsidRPr="008903D1" w14:paraId="7BAD0336" w14:textId="77777777" w:rsidTr="00F7598C">
        <w:trPr>
          <w:trHeight w:val="283"/>
        </w:trPr>
        <w:tc>
          <w:tcPr>
            <w:tcW w:w="2273" w:type="pct"/>
          </w:tcPr>
          <w:p w14:paraId="5222173B" w14:textId="77777777" w:rsidR="0071798B" w:rsidRPr="00737239" w:rsidRDefault="0071798B" w:rsidP="00C15D78">
            <w:pPr>
              <w:spacing w:line="240" w:lineRule="auto"/>
              <w:rPr>
                <w:rFonts w:cs="Times New Roman"/>
                <w:sz w:val="22"/>
              </w:rPr>
            </w:pPr>
            <w:r w:rsidRPr="00737239">
              <w:rPr>
                <w:rFonts w:cs="Times New Roman"/>
                <w:sz w:val="22"/>
              </w:rPr>
              <w:t>Stochastic VRP (SVRP</w:t>
            </w:r>
          </w:p>
        </w:tc>
        <w:tc>
          <w:tcPr>
            <w:tcW w:w="2727" w:type="pct"/>
          </w:tcPr>
          <w:p w14:paraId="00E210D9" w14:textId="77777777" w:rsidR="0071798B" w:rsidRPr="006C301D" w:rsidRDefault="0071798B" w:rsidP="00C15D78">
            <w:pPr>
              <w:spacing w:line="240" w:lineRule="auto"/>
              <w:rPr>
                <w:rFonts w:cs="Times New Roman"/>
                <w:sz w:val="22"/>
              </w:rPr>
            </w:pPr>
            <w:r w:rsidRPr="00802DC5">
              <w:rPr>
                <w:rFonts w:cs="Times New Roman"/>
                <w:sz w:val="22"/>
              </w:rPr>
              <w:t>Restriction of customer demands</w:t>
            </w:r>
          </w:p>
        </w:tc>
      </w:tr>
      <w:tr w:rsidR="0071798B" w:rsidRPr="008903D1" w14:paraId="1D9E7B71" w14:textId="77777777" w:rsidTr="00F7598C">
        <w:trPr>
          <w:trHeight w:val="283"/>
        </w:trPr>
        <w:tc>
          <w:tcPr>
            <w:tcW w:w="2273" w:type="pct"/>
          </w:tcPr>
          <w:p w14:paraId="3761192B" w14:textId="77777777" w:rsidR="0071798B" w:rsidRPr="00737239" w:rsidRDefault="0071798B" w:rsidP="00C15D78">
            <w:pPr>
              <w:spacing w:line="240" w:lineRule="auto"/>
              <w:rPr>
                <w:rFonts w:cs="Times New Roman"/>
                <w:sz w:val="22"/>
              </w:rPr>
            </w:pPr>
            <w:r w:rsidRPr="00737239">
              <w:rPr>
                <w:rFonts w:cs="Times New Roman"/>
                <w:sz w:val="22"/>
              </w:rPr>
              <w:t>Time-dependent VRP (TDVRP)</w:t>
            </w:r>
          </w:p>
        </w:tc>
        <w:tc>
          <w:tcPr>
            <w:tcW w:w="2727" w:type="pct"/>
          </w:tcPr>
          <w:p w14:paraId="230F50E1" w14:textId="77777777" w:rsidR="0071798B" w:rsidRPr="006C301D" w:rsidRDefault="0071798B" w:rsidP="00C15D78">
            <w:pPr>
              <w:spacing w:line="240" w:lineRule="auto"/>
              <w:rPr>
                <w:rFonts w:cs="Times New Roman"/>
                <w:sz w:val="22"/>
              </w:rPr>
            </w:pPr>
            <w:r w:rsidRPr="00802DC5">
              <w:rPr>
                <w:rFonts w:cs="Times New Roman"/>
                <w:sz w:val="22"/>
              </w:rPr>
              <w:t>Restriction of travel time</w:t>
            </w:r>
          </w:p>
        </w:tc>
      </w:tr>
      <w:tr w:rsidR="0071798B" w:rsidRPr="008903D1" w14:paraId="66C28C48" w14:textId="77777777" w:rsidTr="00F7598C">
        <w:trPr>
          <w:trHeight w:val="283"/>
        </w:trPr>
        <w:tc>
          <w:tcPr>
            <w:tcW w:w="2273" w:type="pct"/>
          </w:tcPr>
          <w:p w14:paraId="63F25E43" w14:textId="77777777" w:rsidR="0071798B" w:rsidRPr="00802DC5" w:rsidRDefault="0071798B" w:rsidP="00C15D78">
            <w:pPr>
              <w:spacing w:line="240" w:lineRule="auto"/>
              <w:rPr>
                <w:rFonts w:cs="Times New Roman"/>
                <w:sz w:val="22"/>
              </w:rPr>
            </w:pPr>
            <w:r w:rsidRPr="00737239">
              <w:rPr>
                <w:rFonts w:cs="Times New Roman"/>
                <w:sz w:val="22"/>
              </w:rPr>
              <w:t>Truck and Trailer routing Problem (TTRP)</w:t>
            </w:r>
          </w:p>
        </w:tc>
        <w:tc>
          <w:tcPr>
            <w:tcW w:w="2727" w:type="pct"/>
          </w:tcPr>
          <w:p w14:paraId="641723BA" w14:textId="77777777" w:rsidR="0071798B" w:rsidRPr="00A96AC5" w:rsidRDefault="0071798B" w:rsidP="00C15D78">
            <w:pPr>
              <w:spacing w:line="240" w:lineRule="auto"/>
              <w:rPr>
                <w:rFonts w:cs="Times New Roman"/>
                <w:sz w:val="22"/>
              </w:rPr>
            </w:pPr>
            <w:r w:rsidRPr="006C301D">
              <w:rPr>
                <w:rFonts w:cs="Times New Roman"/>
                <w:sz w:val="22"/>
              </w:rPr>
              <w:t>Restriction of service provider</w:t>
            </w:r>
          </w:p>
        </w:tc>
      </w:tr>
      <w:tr w:rsidR="0071798B" w:rsidRPr="008903D1" w14:paraId="1D3B0115" w14:textId="77777777" w:rsidTr="00F7598C">
        <w:trPr>
          <w:trHeight w:val="283"/>
        </w:trPr>
        <w:tc>
          <w:tcPr>
            <w:tcW w:w="2273" w:type="pct"/>
          </w:tcPr>
          <w:p w14:paraId="508C8DB5" w14:textId="77777777" w:rsidR="0071798B" w:rsidRPr="00737239" w:rsidRDefault="0071798B" w:rsidP="00C15D78">
            <w:pPr>
              <w:spacing w:line="240" w:lineRule="auto"/>
              <w:rPr>
                <w:rFonts w:cs="Times New Roman"/>
                <w:sz w:val="22"/>
              </w:rPr>
            </w:pPr>
            <w:r w:rsidRPr="00737239">
              <w:rPr>
                <w:rFonts w:cs="Times New Roman"/>
                <w:sz w:val="22"/>
              </w:rPr>
              <w:t>CVRP on trees (TCVRP)</w:t>
            </w:r>
          </w:p>
        </w:tc>
        <w:tc>
          <w:tcPr>
            <w:tcW w:w="2727" w:type="pct"/>
          </w:tcPr>
          <w:p w14:paraId="3B2533A4" w14:textId="77777777" w:rsidR="0071798B" w:rsidRPr="006C301D" w:rsidRDefault="0071798B" w:rsidP="00C15D78">
            <w:pPr>
              <w:spacing w:line="240" w:lineRule="auto"/>
              <w:rPr>
                <w:rFonts w:cs="Times New Roman"/>
                <w:sz w:val="22"/>
              </w:rPr>
            </w:pPr>
            <w:r w:rsidRPr="00802DC5">
              <w:rPr>
                <w:rFonts w:cs="Times New Roman"/>
                <w:sz w:val="22"/>
              </w:rPr>
              <w:t>Adding collection point during routing</w:t>
            </w:r>
          </w:p>
        </w:tc>
      </w:tr>
      <w:tr w:rsidR="0071798B" w:rsidRPr="008903D1" w14:paraId="1CD98C1C" w14:textId="77777777" w:rsidTr="00F7598C">
        <w:trPr>
          <w:trHeight w:val="283"/>
        </w:trPr>
        <w:tc>
          <w:tcPr>
            <w:tcW w:w="2273" w:type="pct"/>
          </w:tcPr>
          <w:p w14:paraId="7BA548AF" w14:textId="77777777" w:rsidR="0071798B" w:rsidRPr="00802DC5" w:rsidRDefault="0071798B" w:rsidP="00C15D78">
            <w:pPr>
              <w:spacing w:line="240" w:lineRule="auto"/>
              <w:rPr>
                <w:rFonts w:cs="Times New Roman"/>
                <w:sz w:val="22"/>
              </w:rPr>
            </w:pPr>
            <w:r w:rsidRPr="00737239">
              <w:rPr>
                <w:rFonts w:cs="Times New Roman"/>
                <w:sz w:val="22"/>
              </w:rPr>
              <w:t>VRP with Pick Up and Delivery (VRPPD</w:t>
            </w:r>
          </w:p>
        </w:tc>
        <w:tc>
          <w:tcPr>
            <w:tcW w:w="2727" w:type="pct"/>
          </w:tcPr>
          <w:p w14:paraId="0EE25B69" w14:textId="77777777" w:rsidR="0071798B" w:rsidRPr="00A96AC5" w:rsidRDefault="0071798B" w:rsidP="00C15D78">
            <w:pPr>
              <w:spacing w:line="240" w:lineRule="auto"/>
              <w:rPr>
                <w:rFonts w:cs="Times New Roman"/>
                <w:sz w:val="22"/>
              </w:rPr>
            </w:pPr>
            <w:r w:rsidRPr="006C301D">
              <w:rPr>
                <w:rFonts w:cs="Times New Roman"/>
                <w:sz w:val="22"/>
              </w:rPr>
              <w:t>Joined delivery and pick-up process are in one tour</w:t>
            </w:r>
          </w:p>
        </w:tc>
      </w:tr>
      <w:tr w:rsidR="0071798B" w:rsidRPr="008903D1" w14:paraId="740E5133" w14:textId="77777777" w:rsidTr="00F7598C">
        <w:trPr>
          <w:trHeight w:val="476"/>
        </w:trPr>
        <w:tc>
          <w:tcPr>
            <w:tcW w:w="2273" w:type="pct"/>
          </w:tcPr>
          <w:p w14:paraId="60E0D427" w14:textId="77777777" w:rsidR="0071798B" w:rsidRPr="00802DC5" w:rsidRDefault="0071798B" w:rsidP="00C15D78">
            <w:pPr>
              <w:spacing w:line="240" w:lineRule="auto"/>
              <w:rPr>
                <w:rFonts w:cs="Times New Roman"/>
                <w:sz w:val="22"/>
              </w:rPr>
            </w:pPr>
            <w:r w:rsidRPr="00737239">
              <w:rPr>
                <w:rFonts w:cs="Times New Roman"/>
                <w:sz w:val="22"/>
              </w:rPr>
              <w:t>Vehicle Routing problem with multiple routes (VRPM)</w:t>
            </w:r>
          </w:p>
        </w:tc>
        <w:tc>
          <w:tcPr>
            <w:tcW w:w="2727" w:type="pct"/>
          </w:tcPr>
          <w:p w14:paraId="2C37CF09" w14:textId="77777777" w:rsidR="0071798B" w:rsidRPr="00A96AC5" w:rsidRDefault="0071798B" w:rsidP="00C15D78">
            <w:pPr>
              <w:spacing w:line="240" w:lineRule="auto"/>
              <w:rPr>
                <w:rFonts w:cs="Times New Roman"/>
                <w:sz w:val="22"/>
              </w:rPr>
            </w:pPr>
            <w:r w:rsidRPr="006C301D">
              <w:rPr>
                <w:rFonts w:cs="Times New Roman"/>
                <w:sz w:val="22"/>
              </w:rPr>
              <w:t>Dynamic routing choices according to traffic conditions</w:t>
            </w:r>
          </w:p>
        </w:tc>
      </w:tr>
    </w:tbl>
    <w:p w14:paraId="644E15EC" w14:textId="0C056DA4" w:rsidR="0071798B" w:rsidRPr="00737239" w:rsidRDefault="007B5959" w:rsidP="000A4E8C">
      <w:pPr>
        <w:pStyle w:val="Caption"/>
        <w:spacing w:after="0" w:line="360" w:lineRule="auto"/>
        <w:rPr>
          <w:rFonts w:cs="Times New Roman"/>
        </w:rPr>
      </w:pPr>
      <w:bookmarkStart w:id="213" w:name="_Ref30088398"/>
      <w:bookmarkStart w:id="214" w:name="_Toc491870113"/>
      <w:bookmarkStart w:id="215" w:name="_Toc34674932"/>
      <w:bookmarkStart w:id="216" w:name="_Toc34734724"/>
      <w:bookmarkStart w:id="217" w:name="_Toc46053538"/>
      <w:bookmarkStart w:id="218" w:name="_Toc46093787"/>
      <w:bookmarkStart w:id="219" w:name="_Toc66698755"/>
      <w:r>
        <w:rPr>
          <w:rFonts w:cs="Times New Roman"/>
        </w:rPr>
        <w:t>Table</w:t>
      </w:r>
      <w:r w:rsidR="0071798B"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2</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4</w:t>
      </w:r>
      <w:r w:rsidR="00FE10DA">
        <w:rPr>
          <w:rFonts w:cs="Times New Roman"/>
        </w:rPr>
        <w:fldChar w:fldCharType="end"/>
      </w:r>
      <w:bookmarkEnd w:id="213"/>
      <w:r w:rsidR="00AF217C">
        <w:rPr>
          <w:rFonts w:cs="Times New Roman"/>
        </w:rPr>
        <w:t>:</w:t>
      </w:r>
      <w:r w:rsidR="0071798B" w:rsidRPr="008903D1">
        <w:rPr>
          <w:rFonts w:cs="Times New Roman"/>
        </w:rPr>
        <w:t xml:space="preserve"> Categories of vehicle-routing problems in city </w:t>
      </w:r>
      <w:bookmarkEnd w:id="214"/>
      <w:r w:rsidR="0071798B" w:rsidRPr="008903D1">
        <w:rPr>
          <w:rFonts w:cs="Times New Roman"/>
        </w:rPr>
        <w:t>logistics (Kim et al., 2015)</w:t>
      </w:r>
      <w:bookmarkEnd w:id="215"/>
      <w:bookmarkEnd w:id="216"/>
      <w:bookmarkEnd w:id="217"/>
      <w:bookmarkEnd w:id="218"/>
      <w:bookmarkEnd w:id="219"/>
    </w:p>
    <w:p w14:paraId="3B269172" w14:textId="38FB17D8" w:rsidR="0071798B" w:rsidRPr="00A96AC5" w:rsidRDefault="0071798B" w:rsidP="00C15D78">
      <w:pPr>
        <w:spacing w:before="240" w:after="240" w:line="360" w:lineRule="auto"/>
        <w:rPr>
          <w:rFonts w:cs="Times New Roman"/>
        </w:rPr>
      </w:pPr>
      <w:r w:rsidRPr="00802DC5">
        <w:rPr>
          <w:rFonts w:cs="Times New Roman"/>
        </w:rPr>
        <w:t xml:space="preserve">The primary characteristic of the listed VRP types is that penalties can be implemented if any of the restrictions are contravened. For example, </w:t>
      </w:r>
      <w:r w:rsidR="00662594">
        <w:rPr>
          <w:noProof/>
        </w:rPr>
        <w:fldChar w:fldCharType="begin">
          <w:fldData xml:space="preserve">PEVuZE5vdGU+PENpdGUgQXV0aG9yWWVhcj0iMSI+PEF1dGhvcj5NdcOxdXp1cmk8L0F1dGhvcj48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</w:fldData>
        </w:fldChar>
      </w:r>
      <w:r w:rsidR="00465551">
        <w:rPr>
          <w:noProof/>
        </w:rPr>
        <w:instrText xml:space="preserve"> ADDIN EN.CITE </w:instrText>
      </w:r>
      <w:r w:rsidR="00465551">
        <w:rPr>
          <w:noProof/>
        </w:rPr>
        <w:fldChar w:fldCharType="begin">
          <w:fldData xml:space="preserve">PEVuZE5vdGU+PENpdGUgQXV0aG9yWWVhcj0iMSI+PEF1dGhvcj5NdcOxdXp1cmk8L0F1dGhvcj48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</w:fldData>
        </w:fldChar>
      </w:r>
      <w:r w:rsidR="00465551">
        <w:rPr>
          <w:noProof/>
        </w:rPr>
        <w:instrText xml:space="preserve"> ADDIN EN.CITE.DATA </w:instrText>
      </w:r>
      <w:r w:rsidR="00465551">
        <w:rPr>
          <w:noProof/>
        </w:rPr>
      </w:r>
      <w:r w:rsidR="00465551">
        <w:rPr>
          <w:noProof/>
        </w:rPr>
        <w:fldChar w:fldCharType="end"/>
      </w:r>
      <w:r w:rsidR="00662594">
        <w:rPr>
          <w:noProof/>
        </w:rPr>
      </w:r>
      <w:r w:rsidR="00662594">
        <w:rPr>
          <w:noProof/>
        </w:rPr>
        <w:fldChar w:fldCharType="separate"/>
      </w:r>
      <w:r w:rsidR="00465551">
        <w:rPr>
          <w:noProof/>
        </w:rPr>
        <w:t>Muñuzuri et al. (2013b)</w:t>
      </w:r>
      <w:r w:rsidR="00662594">
        <w:rPr>
          <w:noProof/>
        </w:rPr>
        <w:fldChar w:fldCharType="end"/>
      </w:r>
      <w:r w:rsidRPr="00A96AC5">
        <w:rPr>
          <w:rFonts w:cs="Times New Roman"/>
        </w:rPr>
        <w:t xml:space="preserve"> introduce two kinds of penalty in VRPs with time windows (VRPTW): (</w:t>
      </w:r>
      <w:proofErr w:type="spellStart"/>
      <w:r w:rsidRPr="00A96AC5">
        <w:rPr>
          <w:rFonts w:cs="Times New Roman"/>
        </w:rPr>
        <w:t>i</w:t>
      </w:r>
      <w:proofErr w:type="spellEnd"/>
      <w:r w:rsidRPr="00A96AC5">
        <w:rPr>
          <w:rFonts w:cs="Times New Roman"/>
        </w:rPr>
        <w:t xml:space="preserve">) any delay or early arrival is not permitted, and freight should be redelivered on the next trip; and (ii) delayed arrivals are prohibited, requiring a new delivery, but early arrivals are accepted, though drivers should wait until the scheduled timetable to unload the goods. Clearly, any penalty leads to additional costs for the logistical activities (e.g., increasing service time, travel distance, operational cost). </w:t>
      </w:r>
    </w:p>
    <w:p w14:paraId="008E723D" w14:textId="4FF68F39" w:rsidR="0071798B" w:rsidRPr="008903D1" w:rsidRDefault="0071798B" w:rsidP="00C15D78">
      <w:pPr>
        <w:spacing w:before="240" w:after="240" w:line="360" w:lineRule="auto"/>
        <w:rPr>
          <w:rFonts w:cs="Times New Roman"/>
          <w:szCs w:val="24"/>
        </w:rPr>
      </w:pPr>
      <w:r w:rsidRPr="008903D1">
        <w:rPr>
          <w:rFonts w:cs="Times New Roman"/>
          <w:szCs w:val="24"/>
        </w:rPr>
        <w:t>Numerous papers focus on methodological developments associated with the above objectives. Quantitative methods (such as</w:t>
      </w:r>
      <w:r w:rsidR="004B04ED">
        <w:rPr>
          <w:rFonts w:cs="Times New Roman"/>
          <w:szCs w:val="24"/>
        </w:rPr>
        <w:t>,</w:t>
      </w:r>
      <w:r w:rsidRPr="008903D1">
        <w:rPr>
          <w:rFonts w:cs="Times New Roman"/>
          <w:szCs w:val="24"/>
        </w:rPr>
        <w:t xml:space="preserve"> integer programming, knowledge-based models, and simulation) are employed to solve these problems. Some researchers optimise VRP through a change of delivery framework. For example, </w:t>
      </w:r>
      <w:r w:rsidR="002576C5">
        <w:rPr>
          <w:rFonts w:cs="Times New Roman"/>
          <w:noProof/>
          <w:szCs w:val="24"/>
        </w:rPr>
        <w:fldChar w:fldCharType="begin">
          <w:fldData xml:space="preserve">PEVuZE5vdGU+PENpdGUgQXV0aG9yWWVhcj0iMSI+PEF1dGhvcj5BcnZpZHNzb248L0F1dGhvcj48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</w:fldData>
        </w:fldChar>
      </w:r>
      <w:r w:rsidR="00647E79">
        <w:rPr>
          <w:rFonts w:cs="Times New Roman"/>
          <w:noProof/>
          <w:szCs w:val="24"/>
        </w:rPr>
        <w:instrText xml:space="preserve"> ADDIN EN.CITE </w:instrText>
      </w:r>
      <w:r w:rsidR="00647E79">
        <w:rPr>
          <w:rFonts w:cs="Times New Roman"/>
          <w:noProof/>
          <w:szCs w:val="24"/>
        </w:rPr>
        <w:fldChar w:fldCharType="begin">
          <w:fldData xml:space="preserve">PEVuZE5vdGU+PENpdGUgQXV0aG9yWWVhcj0iMSI+PEF1dGhvcj5BcnZpZHNzb248L0F1dGhvcj48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</w:fldData>
        </w:fldChar>
      </w:r>
      <w:r w:rsidR="00647E79">
        <w:rPr>
          <w:rFonts w:cs="Times New Roman"/>
          <w:noProof/>
          <w:szCs w:val="24"/>
        </w:rPr>
        <w:instrText xml:space="preserve"> ADDIN EN.CITE.DATA </w:instrText>
      </w:r>
      <w:r w:rsidR="00647E79">
        <w:rPr>
          <w:rFonts w:cs="Times New Roman"/>
          <w:noProof/>
          <w:szCs w:val="24"/>
        </w:rPr>
      </w:r>
      <w:r w:rsidR="00647E79">
        <w:rPr>
          <w:rFonts w:cs="Times New Roman"/>
          <w:noProof/>
          <w:szCs w:val="24"/>
        </w:rPr>
        <w:fldChar w:fldCharType="end"/>
      </w:r>
      <w:r w:rsidR="002576C5">
        <w:rPr>
          <w:rFonts w:cs="Times New Roman"/>
          <w:noProof/>
          <w:szCs w:val="24"/>
        </w:rPr>
      </w:r>
      <w:r w:rsidR="002576C5">
        <w:rPr>
          <w:rFonts w:cs="Times New Roman"/>
          <w:noProof/>
          <w:szCs w:val="24"/>
        </w:rPr>
        <w:fldChar w:fldCharType="separate"/>
      </w:r>
      <w:r w:rsidR="002576C5">
        <w:rPr>
          <w:rFonts w:cs="Times New Roman"/>
          <w:noProof/>
          <w:szCs w:val="24"/>
        </w:rPr>
        <w:t>Arvidsson (2013)</w:t>
      </w:r>
      <w:r w:rsidR="002576C5">
        <w:rPr>
          <w:rFonts w:cs="Times New Roman"/>
          <w:noProof/>
          <w:szCs w:val="24"/>
        </w:rPr>
        <w:fldChar w:fldCharType="end"/>
      </w:r>
      <w:r w:rsidR="002576C5">
        <w:rPr>
          <w:rFonts w:cs="Times New Roman"/>
          <w:noProof/>
          <w:szCs w:val="24"/>
        </w:rPr>
        <w:t xml:space="preserve"> </w:t>
      </w:r>
      <w:r w:rsidRPr="008903D1">
        <w:rPr>
          <w:rFonts w:cs="Times New Roman"/>
          <w:szCs w:val="24"/>
        </w:rPr>
        <w:t xml:space="preserve">used the milk-run method to reduce the total cost and alleviate negative environmental impact. </w:t>
      </w:r>
    </w:p>
    <w:p w14:paraId="54F1FF10" w14:textId="654B242A" w:rsidR="0071798B" w:rsidRPr="008903D1" w:rsidRDefault="0071798B" w:rsidP="00C15D78">
      <w:pPr>
        <w:spacing w:before="240" w:after="240" w:line="360" w:lineRule="auto"/>
        <w:rPr>
          <w:rFonts w:cs="Times New Roman"/>
          <w:szCs w:val="24"/>
        </w:rPr>
      </w:pPr>
      <w:r w:rsidRPr="008903D1">
        <w:rPr>
          <w:rFonts w:cs="Times New Roman"/>
          <w:szCs w:val="24"/>
        </w:rPr>
        <w:t xml:space="preserve">Most of the research in this area is devoted to establishing new formulations of mathematical models to describe the problems. </w:t>
      </w:r>
      <w:r w:rsidR="000105D6">
        <w:rPr>
          <w:rFonts w:cs="Times New Roman"/>
          <w:szCs w:val="24"/>
        </w:rPr>
        <w:fldChar w:fldCharType="begin">
          <w:fldData xml:space="preserve">PEVuZE5vdGU+PENpdGUgQXV0aG9yWWVhcj0iMSI+PEF1dGhvcj5UYW5pZ3VjaGk8L0F1dGhvcj48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</w:fldData>
        </w:fldChar>
      </w:r>
      <w:r w:rsidR="00647E79">
        <w:rPr>
          <w:rFonts w:cs="Times New Roman"/>
          <w:szCs w:val="24"/>
        </w:rPr>
        <w:instrText xml:space="preserve"> ADDIN EN.CITE </w:instrText>
      </w:r>
      <w:r w:rsidR="00647E79">
        <w:rPr>
          <w:rFonts w:cs="Times New Roman"/>
          <w:szCs w:val="24"/>
        </w:rPr>
        <w:fldChar w:fldCharType="begin">
          <w:fldData xml:space="preserve">PEVuZE5vdGU+PENpdGUgQXV0aG9yWWVhcj0iMSI+PEF1dGhvcj5UYW5pZ3VjaGk8L0F1dGhvcj48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</w:fldData>
        </w:fldChar>
      </w:r>
      <w:r w:rsidR="00647E79">
        <w:rPr>
          <w:rFonts w:cs="Times New Roman"/>
          <w:szCs w:val="24"/>
        </w:rPr>
        <w:instrText xml:space="preserve"> ADDIN EN.CITE.DATA </w:instrText>
      </w:r>
      <w:r w:rsidR="00647E79">
        <w:rPr>
          <w:rFonts w:cs="Times New Roman"/>
          <w:szCs w:val="24"/>
        </w:rPr>
      </w:r>
      <w:r w:rsidR="00647E79">
        <w:rPr>
          <w:rFonts w:cs="Times New Roman"/>
          <w:szCs w:val="24"/>
        </w:rPr>
        <w:fldChar w:fldCharType="end"/>
      </w:r>
      <w:r w:rsidR="000105D6">
        <w:rPr>
          <w:rFonts w:cs="Times New Roman"/>
          <w:szCs w:val="24"/>
        </w:rPr>
      </w:r>
      <w:r w:rsidR="000105D6">
        <w:rPr>
          <w:rFonts w:cs="Times New Roman"/>
          <w:szCs w:val="24"/>
        </w:rPr>
        <w:fldChar w:fldCharType="separate"/>
      </w:r>
      <w:r w:rsidR="00E53D0D">
        <w:rPr>
          <w:rFonts w:cs="Times New Roman"/>
          <w:noProof/>
          <w:szCs w:val="24"/>
        </w:rPr>
        <w:t>Taniguchi and Shimamoto (2004)</w:t>
      </w:r>
      <w:r w:rsidR="000105D6">
        <w:rPr>
          <w:rFonts w:cs="Times New Roman"/>
          <w:szCs w:val="24"/>
        </w:rPr>
        <w:fldChar w:fldCharType="end"/>
      </w:r>
      <w:r w:rsidR="00E53D0D">
        <w:rPr>
          <w:rFonts w:cs="Times New Roman"/>
          <w:szCs w:val="24"/>
        </w:rPr>
        <w:t xml:space="preserve"> </w:t>
      </w:r>
      <w:r w:rsidRPr="008903D1">
        <w:rPr>
          <w:rFonts w:cs="Times New Roman"/>
          <w:szCs w:val="24"/>
        </w:rPr>
        <w:t xml:space="preserve">used the dynamic vehicle scheduling model to simulate real-time information-based delivery methods, helping carriers reduce their total costs and alleviate traffic congestion. </w:t>
      </w:r>
      <w:r w:rsidR="00902E18">
        <w:rPr>
          <w:rFonts w:cs="Times New Roman"/>
          <w:szCs w:val="24"/>
        </w:rPr>
        <w:fldChar w:fldCharType="begin"/>
      </w:r>
      <w:r w:rsidR="00647E79">
        <w:rPr>
          <w:rFonts w:cs="Times New Roman"/>
          <w:szCs w:val="24"/>
        </w:rPr>
        <w:instrText xml:space="preserve"> ADDIN EN.CITE &lt;EndNote&gt;&lt;Cite AuthorYear="1"&gt;&lt;Author&gt;Figliozzi&lt;/Author&gt;&lt;Year&gt;2010&lt;/Year&gt;&lt;RecNum&gt;46&lt;/RecNum&gt;&lt;DisplayText&gt;Figliozzi (2010)&lt;/DisplayText&gt;&lt;record&gt;&lt;rec-number&gt;46&lt;/rec-number&gt;&lt;foreign-keys&gt;&lt;key app="EN" db-id="pzt5ep52hsedfpeext2pdfes0w0aswaewef2" timestamp="1605187992"&gt;46&lt;/key&gt;&lt;/foreign-keys&gt;&lt;ref-type name="Journal Article"&gt;17&lt;/ref-type&gt;&lt;contributors&gt;&lt;authors&gt;&lt;author&gt;Figliozzi, Miguel Andres&lt;/author&gt;&lt;/authors&gt;&lt;/contributors&gt;&lt;titles&gt;&lt;title&gt;The impacts of congestion on commercial vehicle tour characteristics and costs&lt;/title&gt;&lt;secondary-title&gt;Transportation research part E: logistics and transportation review&lt;/secondary-title&gt;&lt;/titles&gt;&lt;periodical&gt;&lt;full-title&gt;Transportation research part E: logistics and transportation review&lt;/full-title&gt;&lt;/periodical&gt;&lt;pages&gt;496-506&lt;/pages&gt;&lt;volume&gt;46&lt;/volume&gt;&lt;number&gt;4&lt;/number&gt;&lt;dates&gt;&lt;year&gt;2010&lt;/year&gt;&lt;/dates&gt;&lt;isbn&gt;1366-5545&lt;/isbn&gt;&lt;urls&gt;&lt;related-urls&gt;&lt;url&gt;http://www.sciencedirect.com/science/article/pii/S1366554509000374&lt;/url&gt;&lt;/related-urls&gt;&lt;/urls&gt;&lt;research-notes&gt;20&lt;/research-notes&gt;&lt;/record&gt;&lt;/Cite&gt;&lt;/EndNote&gt;</w:instrText>
      </w:r>
      <w:r w:rsidR="00902E18">
        <w:rPr>
          <w:rFonts w:cs="Times New Roman"/>
          <w:szCs w:val="24"/>
        </w:rPr>
        <w:fldChar w:fldCharType="separate"/>
      </w:r>
      <w:r w:rsidR="00902E18">
        <w:rPr>
          <w:rFonts w:cs="Times New Roman"/>
          <w:noProof/>
          <w:szCs w:val="24"/>
        </w:rPr>
        <w:t>Figliozzi (2010)</w:t>
      </w:r>
      <w:r w:rsidR="00902E18">
        <w:rPr>
          <w:rFonts w:cs="Times New Roman"/>
          <w:szCs w:val="24"/>
        </w:rPr>
        <w:fldChar w:fldCharType="end"/>
      </w:r>
      <w:r w:rsidRPr="008903D1">
        <w:rPr>
          <w:rFonts w:cs="Times New Roman"/>
          <w:szCs w:val="24"/>
        </w:rPr>
        <w:t xml:space="preserve"> implemented tour models to deal with uncertainty and congestion, helping carriers to reduce the costs of the tour. </w:t>
      </w:r>
      <w:r w:rsidR="00902E18">
        <w:rPr>
          <w:rFonts w:cs="Times New Roman"/>
          <w:szCs w:val="24"/>
        </w:rPr>
        <w:fldChar w:fldCharType="begin"/>
      </w:r>
      <w:r w:rsidR="00647E79">
        <w:rPr>
          <w:rFonts w:cs="Times New Roman"/>
          <w:szCs w:val="24"/>
        </w:rPr>
        <w:instrText xml:space="preserve"> ADDIN EN.CITE &lt;EndNote&gt;&lt;Cite AuthorYear="1"&gt;&lt;Author&gt;Boussier&lt;/Author&gt;&lt;Year&gt;2011&lt;/Year&gt;&lt;RecNum&gt;47&lt;/RecNum&gt;&lt;DisplayText&gt;Boussier et al. (2011)&lt;/DisplayText&gt;&lt;record&gt;&lt;rec-number&gt;47&lt;/rec-number&gt;&lt;foreign-keys&gt;&lt;key app="EN" db-id="pzt5ep52hsedfpeext2pdfes0w0aswaewef2" timestamp="1605187992"&gt;47&lt;/key&gt;&lt;/foreign-keys&gt;&lt;ref-type name="Journal Article"&gt;17&lt;/ref-type&gt;&lt;contributors&gt;&lt;authors&gt;&lt;author&gt;Boussier, Jean-Marie&lt;/author&gt;&lt;author&gt;Cucu, Tatiana&lt;/author&gt;&lt;author&gt;Ion, Luminita&lt;/author&gt;&lt;author&gt;Breuil, Dominique&lt;/author&gt;&lt;/authors&gt;&lt;/contributors&gt;&lt;titles&gt;&lt;title&gt;Simulation of goods delivery process&lt;/title&gt;&lt;secondary-title&gt;International Journal of Physical Distribution &amp;amp; Logistics Management&lt;/secondary-title&gt;&lt;/titles&gt;&lt;periodical&gt;&lt;full-title&gt;International Journal of Physical Distribution &amp;amp; Logistics Management&lt;/full-title&gt;&lt;/periodical&gt;&lt;pages&gt;913-930&lt;/pages&gt;&lt;volume&gt;41&lt;/volume&gt;&lt;number&gt;9&lt;/number&gt;&lt;dates&gt;&lt;year&gt;2011&lt;/year&gt;&lt;/dates&gt;&lt;isbn&gt;0960-0035&lt;/isbn&gt;&lt;urls&gt;&lt;related-urls&gt;&lt;url&gt;http://www.emeraldinsight.com/doi/abs/10.1108/09600031111175852&lt;/url&gt;&lt;/related-urls&gt;&lt;/urls&gt;&lt;research-notes&gt;97&lt;/research-notes&gt;&lt;/record&gt;&lt;/Cite&gt;&lt;/EndNote&gt;</w:instrText>
      </w:r>
      <w:r w:rsidR="00902E18">
        <w:rPr>
          <w:rFonts w:cs="Times New Roman"/>
          <w:szCs w:val="24"/>
        </w:rPr>
        <w:fldChar w:fldCharType="separate"/>
      </w:r>
      <w:r w:rsidR="00902E18">
        <w:rPr>
          <w:rFonts w:cs="Times New Roman"/>
          <w:noProof/>
          <w:szCs w:val="24"/>
        </w:rPr>
        <w:t>Boussier et al. (2011)</w:t>
      </w:r>
      <w:r w:rsidR="00902E18">
        <w:rPr>
          <w:rFonts w:cs="Times New Roman"/>
          <w:szCs w:val="24"/>
        </w:rPr>
        <w:fldChar w:fldCharType="end"/>
      </w:r>
      <w:r w:rsidR="00902E18">
        <w:rPr>
          <w:rFonts w:cs="Times New Roman"/>
          <w:szCs w:val="24"/>
        </w:rPr>
        <w:t xml:space="preserve"> </w:t>
      </w:r>
      <w:r w:rsidRPr="008903D1">
        <w:rPr>
          <w:rFonts w:cs="Times New Roman"/>
          <w:szCs w:val="24"/>
        </w:rPr>
        <w:t xml:space="preserve">used behavioural models to simulate how parking policies influence routing and deliveries in the city area. </w:t>
      </w:r>
      <w:r w:rsidR="007D1225">
        <w:rPr>
          <w:rFonts w:cs="Times New Roman"/>
          <w:noProof/>
          <w:szCs w:val="24"/>
        </w:rPr>
        <w:t>Ehmke et al. (2012)</w:t>
      </w:r>
      <w:r w:rsidR="007D1225">
        <w:rPr>
          <w:rFonts w:cs="Times New Roman"/>
          <w:szCs w:val="24"/>
        </w:rPr>
        <w:t xml:space="preserve"> </w:t>
      </w:r>
      <w:r w:rsidRPr="008903D1">
        <w:rPr>
          <w:rFonts w:cs="Times New Roman"/>
          <w:szCs w:val="24"/>
        </w:rPr>
        <w:t xml:space="preserve">used the data mining approach to evaluate the impact of time-dependent travel times on routing quality for city logistics applications. </w:t>
      </w:r>
      <w:r w:rsidR="006927EF">
        <w:rPr>
          <w:rFonts w:cs="Times New Roman"/>
          <w:szCs w:val="24"/>
        </w:rPr>
        <w:fldChar w:fldCharType="begin"/>
      </w:r>
      <w:r w:rsidR="00647E79">
        <w:rPr>
          <w:rFonts w:cs="Times New Roman"/>
          <w:szCs w:val="24"/>
        </w:rPr>
        <w:instrText xml:space="preserve"> ADDIN EN.CITE &lt;EndNote&gt;&lt;Cite AuthorYear="1"&gt;&lt;Author&gt;Akyol&lt;/Author&gt;&lt;Year&gt;2013&lt;/Year&gt;&lt;RecNum&gt;48&lt;/RecNum&gt;&lt;DisplayText&gt;Akyol and De Koster (2013)&lt;/DisplayText&gt;&lt;record&gt;&lt;rec-number&gt;48&lt;/rec-number&gt;&lt;foreign-keys&gt;&lt;key app="EN" db-id="pzt5ep52hsedfpeext2pdfes0w0aswaewef2" timestamp="1605187992"&gt;48&lt;/key&gt;&lt;/foreign-keys&gt;&lt;ref-type name="Journal Article"&gt;17&lt;/ref-type&gt;&lt;contributors&gt;&lt;authors&gt;&lt;author&gt;Akyol, Derya Eren&lt;/author&gt;&lt;author&gt;De Koster, René B. M.&lt;/author&gt;&lt;/authors&gt;&lt;/contributors&gt;&lt;titles&gt;&lt;title&gt;Non-dominated Time-Window Policies in City Distribution&lt;/title&gt;&lt;secondary-title&gt;Production and Operations Management&lt;/secondary-title&gt;&lt;/titles&gt;&lt;periodical&gt;&lt;full-title&gt;Production and Operations Management&lt;/full-title&gt;&lt;/periodical&gt;&lt;pages&gt;739-751&lt;/pages&gt;&lt;volume&gt;22&lt;/volume&gt;&lt;number&gt;3&lt;/number&gt;&lt;keywords&gt;&lt;keyword&gt;urban freight transport&lt;/keyword&gt;&lt;keyword&gt;sustainability&lt;/keyword&gt;&lt;keyword&gt;time windows&lt;/keyword&gt;&lt;keyword&gt;data envelopment analysis&lt;/keyword&gt;&lt;/keywords&gt;&lt;dates&gt;&lt;year&gt;2013&lt;/year&gt;&lt;pub-dates&gt;&lt;date&gt;2013/05/01&lt;/date&gt;&lt;/pub-dates&gt;&lt;/dates&gt;&lt;publisher&gt;John Wiley &amp;amp; Sons, Ltd&lt;/publisher&gt;&lt;isbn&gt;1059-1478&lt;/isbn&gt;&lt;urls&gt;&lt;related-urls&gt;&lt;url&gt;https://doi.org/10.1111/j.1937-5956.2012.01414.x&lt;/url&gt;&lt;/related-urls&gt;&lt;/urls&gt;&lt;electronic-resource-num&gt;10.1111/j.1937-5956.2012.01414.x&lt;/electronic-resource-num&gt;&lt;access-date&gt;2020/07/24&lt;/access-date&gt;&lt;/record&gt;&lt;/Cite&gt;&lt;/EndNote&gt;</w:instrText>
      </w:r>
      <w:r w:rsidR="006927EF">
        <w:rPr>
          <w:rFonts w:cs="Times New Roman"/>
          <w:szCs w:val="24"/>
        </w:rPr>
        <w:fldChar w:fldCharType="separate"/>
      </w:r>
      <w:r w:rsidR="00B139A1">
        <w:rPr>
          <w:rFonts w:cs="Times New Roman"/>
          <w:noProof/>
          <w:szCs w:val="24"/>
        </w:rPr>
        <w:t>Akyol and De Koster (2013)</w:t>
      </w:r>
      <w:r w:rsidR="006927EF">
        <w:rPr>
          <w:rFonts w:cs="Times New Roman"/>
          <w:szCs w:val="24"/>
        </w:rPr>
        <w:fldChar w:fldCharType="end"/>
      </w:r>
      <w:r w:rsidR="00B139A1">
        <w:rPr>
          <w:rFonts w:cs="Times New Roman"/>
          <w:szCs w:val="24"/>
        </w:rPr>
        <w:t xml:space="preserve"> </w:t>
      </w:r>
      <w:r w:rsidRPr="008903D1">
        <w:rPr>
          <w:rFonts w:cs="Times New Roman"/>
          <w:szCs w:val="24"/>
        </w:rPr>
        <w:t xml:space="preserve">combined time window satisfaction function and routing cost function to evaluate the most appropriate time regulation for city logistics. </w:t>
      </w:r>
      <w:r w:rsidR="006927EF">
        <w:rPr>
          <w:rFonts w:cs="Times New Roman"/>
          <w:szCs w:val="24"/>
        </w:rPr>
        <w:fldChar w:fldCharType="begin"/>
      </w:r>
      <w:r w:rsidR="00647E79">
        <w:rPr>
          <w:rFonts w:cs="Times New Roman"/>
          <w:szCs w:val="24"/>
        </w:rPr>
        <w:instrText xml:space="preserve"> ADDIN EN.CITE &lt;EndNote&gt;&lt;Cite AuthorYear="1"&gt;&lt;Author&gt;Crainic&lt;/Author&gt;&lt;Year&gt;2014&lt;/Year&gt;&lt;RecNum&gt;49&lt;/RecNum&gt;&lt;DisplayText&gt;Crainic and Sgalambro (2014)&lt;/DisplayText&gt;&lt;record&gt;&lt;rec-number&gt;49&lt;/rec-number&gt;&lt;foreign-keys&gt;&lt;key app="EN" db-id="pzt5ep52hsedfpeext2pdfes0w0aswaewef2" timestamp="1605187992"&gt;49&lt;/key&gt;&lt;/foreign-keys&gt;&lt;ref-type name="Journal Article"&gt;17&lt;/ref-type&gt;&lt;contributors&gt;&lt;authors&gt;&lt;author&gt;Crainic, Teodor Gabriel&lt;/author&gt;&lt;author&gt;Sgalambro, Antonino&lt;/author&gt;&lt;/authors&gt;&lt;/contributors&gt;&lt;titles&gt;&lt;title&gt;Service network design models for two-tier city logistics&lt;/title&gt;&lt;secondary-title&gt;Optimization Letters&lt;/secondary-title&gt;&lt;/titles&gt;&lt;periodical&gt;&lt;full-title&gt;Optimization Letters&lt;/full-title&gt;&lt;/periodical&gt;&lt;pages&gt;1375-1387&lt;/pages&gt;&lt;volume&gt;8&lt;/volume&gt;&lt;number&gt;4&lt;/number&gt;&lt;dates&gt;&lt;year&gt;2014&lt;/year&gt;&lt;pub-dates&gt;&lt;date&gt;2014/04/01&lt;/date&gt;&lt;/pub-dates&gt;&lt;/dates&gt;&lt;isbn&gt;1862-4480&lt;/isbn&gt;&lt;urls&gt;&lt;related-urls&gt;&lt;url&gt;https://doi.org/10.1007/s11590-013-0662-1&lt;/url&gt;&lt;/related-urls&gt;&lt;/urls&gt;&lt;electronic-resource-num&gt;10.1007/s11590-013-0662-1&lt;/electronic-resource-num&gt;&lt;/record&gt;&lt;/Cite&gt;&lt;/EndNote&gt;</w:instrText>
      </w:r>
      <w:r w:rsidR="006927EF">
        <w:rPr>
          <w:rFonts w:cs="Times New Roman"/>
          <w:szCs w:val="24"/>
        </w:rPr>
        <w:fldChar w:fldCharType="separate"/>
      </w:r>
      <w:r w:rsidR="00B139A1">
        <w:rPr>
          <w:rFonts w:cs="Times New Roman"/>
          <w:noProof/>
          <w:szCs w:val="24"/>
        </w:rPr>
        <w:t xml:space="preserve">Crainic </w:t>
      </w:r>
      <w:r w:rsidR="00B139A1">
        <w:rPr>
          <w:rFonts w:cs="Times New Roman"/>
          <w:noProof/>
          <w:szCs w:val="24"/>
        </w:rPr>
        <w:lastRenderedPageBreak/>
        <w:t>and Sgalambro (2014)</w:t>
      </w:r>
      <w:r w:rsidR="006927EF">
        <w:rPr>
          <w:rFonts w:cs="Times New Roman"/>
          <w:szCs w:val="24"/>
        </w:rPr>
        <w:fldChar w:fldCharType="end"/>
      </w:r>
      <w:r w:rsidR="009F7EFA">
        <w:rPr>
          <w:rFonts w:cs="Times New Roman"/>
          <w:szCs w:val="24"/>
        </w:rPr>
        <w:t xml:space="preserve"> </w:t>
      </w:r>
      <w:r w:rsidRPr="008903D1">
        <w:rPr>
          <w:rFonts w:cs="Times New Roman"/>
          <w:szCs w:val="24"/>
        </w:rPr>
        <w:t xml:space="preserve">used the </w:t>
      </w:r>
      <w:r w:rsidRPr="008903D1">
        <w:rPr>
          <w:rFonts w:cs="Times New Roman"/>
          <w:i/>
          <w:iCs/>
          <w:szCs w:val="24"/>
        </w:rPr>
        <w:t>aa-</w:t>
      </w:r>
      <w:proofErr w:type="spellStart"/>
      <w:r w:rsidRPr="008903D1">
        <w:rPr>
          <w:rFonts w:cs="Times New Roman"/>
          <w:i/>
          <w:iCs/>
          <w:szCs w:val="24"/>
        </w:rPr>
        <w:t>uUNVSND</w:t>
      </w:r>
      <w:proofErr w:type="spellEnd"/>
      <w:r w:rsidRPr="008903D1">
        <w:rPr>
          <w:rFonts w:cs="Times New Roman"/>
          <w:i/>
          <w:iCs/>
          <w:szCs w:val="24"/>
        </w:rPr>
        <w:t xml:space="preserve"> </w:t>
      </w:r>
      <w:r w:rsidRPr="008903D1">
        <w:rPr>
          <w:rFonts w:cs="Times New Roman"/>
          <w:szCs w:val="24"/>
        </w:rPr>
        <w:t xml:space="preserve">models to optimise the two-tier city logistics network with fixed charges and time-windows. </w:t>
      </w:r>
      <w:r w:rsidR="006927EF">
        <w:rPr>
          <w:rFonts w:cs="Times New Roman"/>
          <w:szCs w:val="24"/>
        </w:rPr>
        <w:fldChar w:fldCharType="begin"/>
      </w:r>
      <w:r w:rsidR="00647E79">
        <w:rPr>
          <w:rFonts w:cs="Times New Roman"/>
          <w:szCs w:val="24"/>
        </w:rPr>
        <w:instrText xml:space="preserve"> ADDIN EN.CITE &lt;EndNote&gt;&lt;Cite AuthorYear="1"&gt;&lt;Author&gt;Pamučar&lt;/Author&gt;&lt;Year&gt;2016&lt;/Year&gt;&lt;RecNum&gt;50&lt;/RecNum&gt;&lt;DisplayText&gt;Pamučar et al. (2016)&lt;/DisplayText&gt;&lt;record&gt;&lt;rec-number&gt;50&lt;/rec-number&gt;&lt;foreign-keys&gt;&lt;key app="EN" db-id="pzt5ep52hsedfpeext2pdfes0w0aswaewef2" timestamp="1605187992"&gt;50&lt;/key&gt;&lt;/foreign-keys&gt;&lt;ref-type name="Journal Article"&gt;17&lt;/ref-type&gt;&lt;contributors&gt;&lt;authors&gt;&lt;author&gt;Pamučar, Dragan&lt;/author&gt;&lt;author&gt;Gigović, Ljubomir&lt;/author&gt;&lt;author&gt;Ćirović, Goran&lt;/author&gt;&lt;author&gt;Regodić, Miodrag&lt;/author&gt;&lt;/authors&gt;&lt;/contributors&gt;&lt;titles&gt;&lt;title&gt;Transport spatial model for the definition of green routes for city logistics centers&lt;/title&gt;&lt;secondary-title&gt;Environmental Impact Assessment Review&lt;/secondary-title&gt;&lt;/titles&gt;&lt;periodical&gt;&lt;full-title&gt;Environmental Impact Assessment Review&lt;/full-title&gt;&lt;/periodical&gt;&lt;pages&gt;72-87&lt;/pages&gt;&lt;volume&gt;56&lt;/volume&gt;&lt;dates&gt;&lt;year&gt;2016&lt;/year&gt;&lt;/dates&gt;&lt;isbn&gt;0195-9255&lt;/isbn&gt;&lt;urls&gt;&lt;related-urls&gt;&lt;url&gt;http://www.sciencedirect.com/science/article/pii/S0195925515000931&lt;/url&gt;&lt;/related-urls&gt;&lt;/urls&gt;&lt;research-notes&gt;104&lt;/research-notes&gt;&lt;/record&gt;&lt;/Cite&gt;&lt;/EndNote&gt;</w:instrText>
      </w:r>
      <w:r w:rsidR="006927EF">
        <w:rPr>
          <w:rFonts w:cs="Times New Roman"/>
          <w:szCs w:val="24"/>
        </w:rPr>
        <w:fldChar w:fldCharType="separate"/>
      </w:r>
      <w:r w:rsidR="00D45946">
        <w:rPr>
          <w:rFonts w:cs="Times New Roman"/>
          <w:noProof/>
          <w:szCs w:val="24"/>
        </w:rPr>
        <w:t>Pamučar et al. (2016)</w:t>
      </w:r>
      <w:r w:rsidR="006927EF">
        <w:rPr>
          <w:rFonts w:cs="Times New Roman"/>
          <w:szCs w:val="24"/>
        </w:rPr>
        <w:fldChar w:fldCharType="end"/>
      </w:r>
      <w:r w:rsidR="00D45946">
        <w:rPr>
          <w:rFonts w:cs="Times New Roman"/>
          <w:szCs w:val="24"/>
        </w:rPr>
        <w:t xml:space="preserve"> </w:t>
      </w:r>
      <w:r w:rsidRPr="008903D1">
        <w:rPr>
          <w:rFonts w:cs="Times New Roman"/>
          <w:szCs w:val="24"/>
        </w:rPr>
        <w:t xml:space="preserve">implemented the transport spatial decision support model (TSDSM) and a geographic information system (GIS) to choose the best routes for green vehicles and to maximise the positive effects on the environment. </w:t>
      </w:r>
      <w:r w:rsidR="006927EF">
        <w:rPr>
          <w:rFonts w:cs="Times New Roman"/>
          <w:noProof/>
          <w:szCs w:val="24"/>
        </w:rPr>
        <w:fldChar w:fldCharType="begin">
          <w:fldData xml:space="preserve">PEVuZE5vdGU+PENpdGUgQXV0aG9yWWVhcj0iMSI+PEF1dGhvcj5ZYW5nPC9BdXRob3I+PFllYXI+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</w:fldData>
        </w:fldChar>
      </w:r>
      <w:r w:rsidR="00647E79">
        <w:rPr>
          <w:rFonts w:cs="Times New Roman"/>
          <w:noProof/>
          <w:szCs w:val="24"/>
        </w:rPr>
        <w:instrText xml:space="preserve"> ADDIN EN.CITE </w:instrText>
      </w:r>
      <w:r w:rsidR="00647E79">
        <w:rPr>
          <w:rFonts w:cs="Times New Roman"/>
          <w:noProof/>
          <w:szCs w:val="24"/>
        </w:rPr>
        <w:fldChar w:fldCharType="begin">
          <w:fldData xml:space="preserve">PEVuZE5vdGU+PENpdGUgQXV0aG9yWWVhcj0iMSI+PEF1dGhvcj5ZYW5nPC9BdXRob3I+PFllYXI+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</w:fldData>
        </w:fldChar>
      </w:r>
      <w:r w:rsidR="00647E79">
        <w:rPr>
          <w:rFonts w:cs="Times New Roman"/>
          <w:noProof/>
          <w:szCs w:val="24"/>
        </w:rPr>
        <w:instrText xml:space="preserve"> ADDIN EN.CITE.DATA </w:instrText>
      </w:r>
      <w:r w:rsidR="00647E79">
        <w:rPr>
          <w:rFonts w:cs="Times New Roman"/>
          <w:noProof/>
          <w:szCs w:val="24"/>
        </w:rPr>
      </w:r>
      <w:r w:rsidR="00647E79">
        <w:rPr>
          <w:rFonts w:cs="Times New Roman"/>
          <w:noProof/>
          <w:szCs w:val="24"/>
        </w:rPr>
        <w:fldChar w:fldCharType="end"/>
      </w:r>
      <w:r w:rsidR="006927EF">
        <w:rPr>
          <w:rFonts w:cs="Times New Roman"/>
          <w:noProof/>
          <w:szCs w:val="24"/>
        </w:rPr>
      </w:r>
      <w:r w:rsidR="006927EF">
        <w:rPr>
          <w:rFonts w:cs="Times New Roman"/>
          <w:noProof/>
          <w:szCs w:val="24"/>
        </w:rPr>
        <w:fldChar w:fldCharType="separate"/>
      </w:r>
      <w:r w:rsidR="00D45946">
        <w:rPr>
          <w:rFonts w:cs="Times New Roman"/>
          <w:noProof/>
          <w:szCs w:val="24"/>
        </w:rPr>
        <w:t>Yang et al. (2016)</w:t>
      </w:r>
      <w:r w:rsidR="006927EF">
        <w:rPr>
          <w:rFonts w:cs="Times New Roman"/>
          <w:noProof/>
          <w:szCs w:val="24"/>
        </w:rPr>
        <w:fldChar w:fldCharType="end"/>
      </w:r>
      <w:r w:rsidRPr="008903D1">
        <w:rPr>
          <w:rFonts w:cs="Times New Roman"/>
          <w:szCs w:val="24"/>
        </w:rPr>
        <w:t xml:space="preserve"> used bilinear non-convex mixed integer programming to reduce the carbon emissions associated with vehicle usage. </w:t>
      </w:r>
    </w:p>
    <w:p w14:paraId="523950B7" w14:textId="0C02F709" w:rsidR="0071798B" w:rsidRPr="00A96AC5" w:rsidRDefault="0071798B" w:rsidP="00C15D78">
      <w:pPr>
        <w:spacing w:before="240" w:after="240" w:line="360" w:lineRule="auto"/>
        <w:rPr>
          <w:rFonts w:cs="Times New Roman"/>
        </w:rPr>
      </w:pPr>
      <w:proofErr w:type="gramStart"/>
      <w:r w:rsidRPr="00737239">
        <w:rPr>
          <w:rFonts w:cs="Times New Roman"/>
        </w:rPr>
        <w:t>A number of</w:t>
      </w:r>
      <w:proofErr w:type="gramEnd"/>
      <w:r w:rsidRPr="00737239">
        <w:rPr>
          <w:rFonts w:cs="Times New Roman"/>
        </w:rPr>
        <w:t xml:space="preserve"> papers focus on solution methodologies for the previously developed models. In this context, the development of intel</w:t>
      </w:r>
      <w:r w:rsidRPr="00802DC5">
        <w:rPr>
          <w:rFonts w:cs="Times New Roman"/>
        </w:rPr>
        <w:t xml:space="preserve">ligent algorithms (IAs) constitutes the primary research area. </w:t>
      </w:r>
      <w:r w:rsidR="006927EF">
        <w:rPr>
          <w:noProof/>
        </w:rPr>
        <w:fldChar w:fldCharType="begin">
          <w:fldData xml:space="preserve">PEVuZE5vdGU+PENpdGUgQXV0aG9yWWVhcj0iMSI+PEF1dGhvcj5IZW1tZWxtYXlyPC9BdXRob3I+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</w:fldData>
        </w:fldChar>
      </w:r>
      <w:r w:rsidR="00647E79">
        <w:rPr>
          <w:noProof/>
        </w:rPr>
        <w:instrText xml:space="preserve"> ADDIN EN.CITE </w:instrText>
      </w:r>
      <w:r w:rsidR="00647E79">
        <w:rPr>
          <w:noProof/>
        </w:rPr>
        <w:fldChar w:fldCharType="begin">
          <w:fldData xml:space="preserve">PEVuZE5vdGU+PENpdGUgQXV0aG9yWWVhcj0iMSI+PEF1dGhvcj5IZW1tZWxtYXlyPC9BdXRob3I+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</w:fldData>
        </w:fldChar>
      </w:r>
      <w:r w:rsidR="00647E79">
        <w:rPr>
          <w:noProof/>
        </w:rPr>
        <w:instrText xml:space="preserve"> ADDIN EN.CITE.DATA </w:instrText>
      </w:r>
      <w:r w:rsidR="00647E79">
        <w:rPr>
          <w:noProof/>
        </w:rPr>
      </w:r>
      <w:r w:rsidR="00647E79">
        <w:rPr>
          <w:noProof/>
        </w:rPr>
        <w:fldChar w:fldCharType="end"/>
      </w:r>
      <w:r w:rsidR="006927EF">
        <w:rPr>
          <w:noProof/>
        </w:rPr>
      </w:r>
      <w:r w:rsidR="006927EF">
        <w:rPr>
          <w:noProof/>
        </w:rPr>
        <w:fldChar w:fldCharType="separate"/>
      </w:r>
      <w:r w:rsidR="00D45946">
        <w:rPr>
          <w:noProof/>
        </w:rPr>
        <w:t>Hemmelmayr et al. (2012)</w:t>
      </w:r>
      <w:r w:rsidR="006927EF">
        <w:rPr>
          <w:noProof/>
        </w:rPr>
        <w:fldChar w:fldCharType="end"/>
      </w:r>
      <w:r w:rsidR="00DF43C7">
        <w:rPr>
          <w:noProof/>
        </w:rPr>
        <w:t xml:space="preserve"> </w:t>
      </w:r>
      <w:r w:rsidRPr="00A96AC5">
        <w:rPr>
          <w:rFonts w:cs="Times New Roman"/>
        </w:rPr>
        <w:t xml:space="preserve">used an adaptive large neighbourhood search heuristic to deal with the location-routing problem (LRP) in the two-echelon city logistics system. </w:t>
      </w:r>
      <w:r w:rsidR="001C1316">
        <w:rPr>
          <w:rFonts w:cs="Times New Roman"/>
        </w:rPr>
        <w:fldChar w:fldCharType="begin"/>
      </w:r>
      <w:r w:rsidR="001C1316">
        <w:rPr>
          <w:rFonts w:cs="Times New Roman"/>
        </w:rPr>
        <w:instrText xml:space="preserve"> ADDIN EN.CITE &lt;EndNote&gt;&lt;Cite AuthorYear="1"&gt;&lt;Author&gt;van Duin&lt;/Author&gt;&lt;Year&gt;2013&lt;/Year&gt;&lt;RecNum&gt;375&lt;/RecNum&gt;&lt;DisplayText&gt;van Duin et al. (2013)&lt;/DisplayText&gt;&lt;record&gt;&lt;rec-number&gt;375&lt;/rec-number&gt;&lt;foreign-keys&gt;&lt;key app="EN" db-id="pzt5ep52hsedfpeext2pdfes0w0aswaewef2" timestamp="1605190345"&gt;375&lt;/key&gt;&lt;/foreign-keys&gt;&lt;ref-type name="Journal Article"&gt;17&lt;/ref-type&gt;&lt;contributors&gt;&lt;authors&gt;&lt;author&gt;van Duin, JHR&lt;/author&gt;&lt;author&gt;Tavasszy, LA&lt;/author&gt;&lt;author&gt;Quak, HJ&lt;/author&gt;&lt;/authors&gt;&lt;/contributors&gt;&lt;titles&gt;&lt;title&gt;Towards E (lectric)-urban freight: first promising steps in the electric vehicle revolution&lt;/title&gt;&lt;secondary-title&gt;European Transport\Trasporti Europei&lt;/secondary-title&gt;&lt;/titles&gt;&lt;periodical&gt;&lt;full-title&gt;European Transport\Trasporti Europei&lt;/full-title&gt;&lt;/periodical&gt;&lt;pages&gt;1-9&lt;/pages&gt;&lt;number&gt;54&lt;/number&gt;&lt;dates&gt;&lt;year&gt;2013&lt;/year&gt;&lt;/dates&gt;&lt;urls&gt;&lt;/urls&gt;&lt;/record&gt;&lt;/Cite&gt;&lt;/EndNote&gt;</w:instrText>
      </w:r>
      <w:r w:rsidR="001C1316">
        <w:rPr>
          <w:rFonts w:cs="Times New Roman"/>
        </w:rPr>
        <w:fldChar w:fldCharType="separate"/>
      </w:r>
      <w:r w:rsidR="001C1316">
        <w:rPr>
          <w:rFonts w:cs="Times New Roman"/>
          <w:noProof/>
        </w:rPr>
        <w:t>van Duin et al. (2013)</w:t>
      </w:r>
      <w:r w:rsidR="001C1316">
        <w:rPr>
          <w:rFonts w:cs="Times New Roman"/>
        </w:rPr>
        <w:fldChar w:fldCharType="end"/>
      </w:r>
      <w:r w:rsidR="001C1316">
        <w:rPr>
          <w:rFonts w:cs="Times New Roman"/>
        </w:rPr>
        <w:t xml:space="preserve"> </w:t>
      </w:r>
      <w:r w:rsidRPr="00A96AC5">
        <w:rPr>
          <w:rFonts w:cs="Times New Roman"/>
        </w:rPr>
        <w:t xml:space="preserve">used a heuristic algorithm to solve the MILP formulation of the fleet size and mix vehicle-routing problem (FSMVRP) and help carriers to reduce the travel distance of the electric vehicle (EV). </w:t>
      </w:r>
      <w:r w:rsidR="006927EF">
        <w:rPr>
          <w:noProof/>
        </w:rPr>
        <w:fldChar w:fldCharType="begin"/>
      </w:r>
      <w:r w:rsidR="00647E79">
        <w:rPr>
          <w:noProof/>
        </w:rPr>
        <w:instrText xml:space="preserve"> ADDIN EN.CITE &lt;EndNote&gt;&lt;Cite AuthorYear="1"&gt;&lt;Author&gt;Cattaruzza&lt;/Author&gt;&lt;Year&gt;2014&lt;/Year&gt;&lt;RecNum&gt;54&lt;/RecNum&gt;&lt;DisplayText&gt;Cattaruzza et al. (2014)&lt;/DisplayText&gt;&lt;record&gt;&lt;rec-number&gt;54&lt;/rec-number&gt;&lt;foreign-keys&gt;&lt;key app="EN" db-id="pzt5ep52hsedfpeext2pdfes0w0aswaewef2" timestamp="1605187992"&gt;54&lt;/key&gt;&lt;/foreign-keys&gt;&lt;ref-type name="Journal Article"&gt;17&lt;/ref-type&gt;&lt;contributors&gt;&lt;authors&gt;&lt;author&gt;Cattaruzza, Diego&lt;/author&gt;&lt;author&gt;Absi, Nabil&lt;/author&gt;&lt;author&gt;Feillet, Dominique&lt;/author&gt;&lt;author&gt;Vidal, Thibaut&lt;/author&gt;&lt;/authors&gt;&lt;/contributors&gt;&lt;titles&gt;&lt;title&gt;A memetic algorithm for the Multi Trip Vehicle Routing Problem&lt;/title&gt;&lt;secondary-title&gt;European Journal of Operational Research&lt;/secondary-title&gt;&lt;/titles&gt;&lt;periodical&gt;&lt;full-title&gt;European journal of operational research&lt;/full-title&gt;&lt;/periodical&gt;&lt;pages&gt;833-848&lt;/pages&gt;&lt;volume&gt;236&lt;/volume&gt;&lt;number&gt;3&lt;/number&gt;&lt;keywords&gt;&lt;keyword&gt;Multi Trip Vehicle Routing Problem&lt;/keyword&gt;&lt;keyword&gt;Memetic algorithm&lt;/keyword&gt;&lt;keyword&gt;City logistics&lt;/keyword&gt;&lt;/keywords&gt;&lt;dates&gt;&lt;year&gt;2014&lt;/year&gt;&lt;pub-dates&gt;&lt;date&gt;2014/08/01/&lt;/date&gt;&lt;/pub-dates&gt;&lt;/dates&gt;&lt;isbn&gt;0377-2217&lt;/isbn&gt;&lt;urls&gt;&lt;related-urls&gt;&lt;url&gt;http://www.sciencedirect.com/science/article/pii/S0377221713005006&lt;/url&gt;&lt;/related-urls&gt;&lt;/urls&gt;&lt;electronic-resource-num&gt;https://doi.org/10.1016/j.ejor.2013.06.012&lt;/electronic-resource-num&gt;&lt;/record&gt;&lt;/Cite&gt;&lt;/EndNote&gt;</w:instrText>
      </w:r>
      <w:r w:rsidR="006927EF">
        <w:rPr>
          <w:noProof/>
        </w:rPr>
        <w:fldChar w:fldCharType="separate"/>
      </w:r>
      <w:r w:rsidR="00404DE0">
        <w:rPr>
          <w:noProof/>
        </w:rPr>
        <w:t>Cattaruzza et al. (2014)</w:t>
      </w:r>
      <w:r w:rsidR="006927EF">
        <w:rPr>
          <w:noProof/>
        </w:rPr>
        <w:fldChar w:fldCharType="end"/>
      </w:r>
      <w:r w:rsidR="00404DE0">
        <w:rPr>
          <w:noProof/>
        </w:rPr>
        <w:t xml:space="preserve"> </w:t>
      </w:r>
      <w:r w:rsidRPr="00A96AC5">
        <w:rPr>
          <w:rFonts w:cs="Times New Roman"/>
        </w:rPr>
        <w:t xml:space="preserve">proposed a hybrid genetic algorithm to resolve the multi-trip VRP. </w:t>
      </w:r>
      <w:r w:rsidR="006927EF">
        <w:fldChar w:fldCharType="begin"/>
      </w:r>
      <w:r w:rsidR="00647E79">
        <w:instrText xml:space="preserve"> ADDIN EN.CITE &lt;EndNote&gt;&lt;Cite AuthorYear="1"&gt;&lt;Author&gt;Boschetti&lt;/Author&gt;&lt;Year&gt;2015&lt;/Year&gt;&lt;RecNum&gt;55&lt;/RecNum&gt;&lt;DisplayText&gt;Boschetti and Maniezzo (2015)&lt;/DisplayText&gt;&lt;record&gt;&lt;rec-number&gt;55&lt;/rec-number&gt;&lt;foreign-keys&gt;&lt;key app="EN" db-id="pzt5ep52hsedfpeext2pdfes0w0aswaewef2" timestamp="1605187992"&gt;55&lt;/key&gt;&lt;/foreign-keys&gt;&lt;ref-type name="Journal Article"&gt;17&lt;/ref-type&gt;&lt;contributors&gt;&lt;authors&gt;&lt;author&gt;Boschetti, Marco&lt;/author&gt;&lt;author&gt;Maniezzo, Vittorio&lt;/author&gt;&lt;/authors&gt;&lt;/contributors&gt;&lt;titles&gt;&lt;title&gt;A set covering b</w:instrText>
      </w:r>
      <w:r w:rsidR="00647E79">
        <w:rPr>
          <w:rFonts w:hint="eastAsia"/>
        </w:rPr>
        <w:instrText>ased matheuristic for a real</w:instrText>
      </w:r>
      <w:r w:rsidR="00647E79">
        <w:rPr>
          <w:rFonts w:hint="eastAsia"/>
        </w:rPr>
        <w:instrText>‐</w:instrText>
      </w:r>
      <w:r w:rsidR="00647E79">
        <w:rPr>
          <w:rFonts w:hint="eastAsia"/>
        </w:rPr>
        <w:instrText>world city logistics problem&lt;/title&gt;&lt;secondary-title&gt;International Transactions in Operational Research&lt;/secondary-title&gt;&lt;/titles&gt;&lt;periodical&gt;&lt;full-title&gt;International Transactions in Operational Research&lt;/full-title&gt;&lt;/periodi</w:instrText>
      </w:r>
      <w:r w:rsidR="00647E79">
        <w:instrText>cal&gt;&lt;pages&gt;169-195&lt;/pages&gt;&lt;volume&gt;22&lt;/volume&gt;&lt;number&gt;1&lt;/number&gt;&lt;dates&gt;&lt;year&gt;2015&lt;/year&gt;&lt;/dates&gt;&lt;isbn&gt;1475-3995&lt;/isbn&gt;&lt;urls&gt;&lt;related-urls&gt;&lt;url&gt;http://onlinelibrary.wiley.com/doi/10.1111/itor.12110/full&lt;/url&gt;&lt;/related-urls&gt;&lt;/urls&gt;&lt;research-notes&gt;89&lt;/research-notes&gt;&lt;/record&gt;&lt;/Cite&gt;&lt;/EndNote&gt;</w:instrText>
      </w:r>
      <w:r w:rsidR="006927EF">
        <w:fldChar w:fldCharType="separate"/>
      </w:r>
      <w:r w:rsidR="00404DE0">
        <w:rPr>
          <w:noProof/>
        </w:rPr>
        <w:t>Boschetti and Maniezzo (2015)</w:t>
      </w:r>
      <w:r w:rsidR="006927EF">
        <w:fldChar w:fldCharType="end"/>
      </w:r>
      <w:r w:rsidRPr="00A96AC5">
        <w:rPr>
          <w:rFonts w:cs="Times New Roman"/>
        </w:rPr>
        <w:t xml:space="preserve"> used an extended set covering model (SCC) and a randomised constructive heuristic algorithm for the multi-trip VRP with time windows. </w:t>
      </w:r>
      <w:r w:rsidR="006927EF">
        <w:rPr>
          <w:noProof/>
        </w:rPr>
        <w:fldChar w:fldCharType="begin"/>
      </w:r>
      <w:r w:rsidR="00647E79">
        <w:rPr>
          <w:noProof/>
        </w:rPr>
        <w:instrText xml:space="preserve"> ADDIN EN.CITE &lt;EndNote&gt;&lt;Cite AuthorYear="1"&gt;&lt;Author&gt;Breunig&lt;/Author&gt;&lt;Year&gt;2016&lt;/Year&gt;&lt;RecNum&gt;56&lt;/RecNum&gt;&lt;DisplayText&gt;Breunig et al. (2016)&lt;/DisplayText&gt;&lt;record&gt;&lt;rec-number&gt;56&lt;/rec-number&gt;&lt;foreign-keys&gt;&lt;key app="EN" db-id="pzt5ep52hsedfpeext2pdfes0w0aswaewef2" timestamp="1605187992"&gt;56&lt;/key&gt;&lt;/foreign-keys&gt;&lt;ref-type name="Journal Article"&gt;17&lt;/ref-type&gt;&lt;contributors&gt;&lt;authors&gt;&lt;author&gt;Breunig, Ulrich&lt;/author&gt;&lt;author&gt;Schmid, Verena&lt;/author&gt;&lt;author&gt;Hartl, Richard F&lt;/author&gt;&lt;author&gt;Vidal, Thibaut&lt;/author&gt;&lt;/authors&gt;&lt;/contributors&gt;&lt;titles&gt;&lt;title&gt;A large neighbourhood based heuristic for two-echelon routing problems&lt;/title&gt;&lt;secondary-title&gt;Computers &amp;amp; Operations Research&lt;/secondary-title&gt;&lt;/titles&gt;&lt;periodical&gt;&lt;full-title&gt;Computers &amp;amp; Operations Research&lt;/full-title&gt;&lt;/periodical&gt;&lt;pages&gt;208-225&lt;/pages&gt;&lt;volume&gt;76&lt;/volume&gt;&lt;dates&gt;&lt;year&gt;2016&lt;/year&gt;&lt;/dates&gt;&lt;isbn&gt;0305-0548&lt;/isbn&gt;&lt;urls&gt;&lt;/urls&gt;&lt;research-notes&gt;136&lt;/research-notes&gt;&lt;/record&gt;&lt;/Cite&gt;&lt;/EndNote&gt;</w:instrText>
      </w:r>
      <w:r w:rsidR="006927EF">
        <w:rPr>
          <w:noProof/>
        </w:rPr>
        <w:fldChar w:fldCharType="separate"/>
      </w:r>
      <w:r w:rsidR="00404DE0">
        <w:rPr>
          <w:noProof/>
        </w:rPr>
        <w:t>Breunig et al. (2016)</w:t>
      </w:r>
      <w:r w:rsidR="006927EF">
        <w:rPr>
          <w:noProof/>
        </w:rPr>
        <w:fldChar w:fldCharType="end"/>
      </w:r>
      <w:r w:rsidR="008D5D76">
        <w:rPr>
          <w:noProof/>
        </w:rPr>
        <w:t xml:space="preserve"> </w:t>
      </w:r>
      <w:r w:rsidRPr="00A96AC5">
        <w:rPr>
          <w:rFonts w:cs="Times New Roman"/>
        </w:rPr>
        <w:t>proposed a hybrid meta-heuristic to optimise the selections of intermediate facilities.</w:t>
      </w:r>
    </w:p>
    <w:p w14:paraId="336B45FA" w14:textId="09CBB4BC" w:rsidR="0071798B" w:rsidRPr="00A96AC5" w:rsidRDefault="0071798B" w:rsidP="000A4E8C">
      <w:pPr>
        <w:pStyle w:val="Heading3"/>
        <w:spacing w:line="360" w:lineRule="auto"/>
        <w:rPr>
          <w:rFonts w:cs="Times New Roman"/>
        </w:rPr>
      </w:pPr>
      <w:bookmarkStart w:id="220" w:name="_Toc34734490"/>
      <w:bookmarkStart w:id="221" w:name="_Toc46053408"/>
      <w:bookmarkStart w:id="222" w:name="_Toc46093322"/>
      <w:bookmarkStart w:id="223" w:name="_Toc46093605"/>
      <w:bookmarkStart w:id="224" w:name="_Toc66703180"/>
      <w:r w:rsidRPr="00A96AC5">
        <w:rPr>
          <w:rFonts w:cs="Times New Roman"/>
        </w:rPr>
        <w:t>New operating models</w:t>
      </w:r>
      <w:bookmarkEnd w:id="220"/>
      <w:bookmarkEnd w:id="221"/>
      <w:bookmarkEnd w:id="222"/>
      <w:bookmarkEnd w:id="223"/>
      <w:bookmarkEnd w:id="224"/>
    </w:p>
    <w:p w14:paraId="38C72D42" w14:textId="37F2C790" w:rsidR="00A52A19" w:rsidRPr="008D5D76" w:rsidRDefault="0071798B" w:rsidP="008D5D76">
      <w:pPr>
        <w:pStyle w:val="Heading4"/>
        <w:numPr>
          <w:ilvl w:val="0"/>
          <w:numId w:val="0"/>
        </w:numPr>
        <w:spacing w:line="360" w:lineRule="auto"/>
        <w:rPr>
          <w:bCs w:val="0"/>
          <w:i w:val="0"/>
          <w:iCs w:val="0"/>
          <w:noProof/>
        </w:rPr>
      </w:pPr>
      <w:r w:rsidRPr="008D5D76">
        <w:rPr>
          <w:bCs w:val="0"/>
          <w:i w:val="0"/>
          <w:iCs w:val="0"/>
          <w:noProof/>
        </w:rPr>
        <w:t xml:space="preserve">This category is concerned with testing new approaches and ideas for SUL operations. It includes four sub-topics: (i) </w:t>
      </w:r>
      <w:r w:rsidR="00A52A19" w:rsidRPr="008D5D76">
        <w:rPr>
          <w:bCs w:val="0"/>
          <w:i w:val="0"/>
          <w:iCs w:val="0"/>
          <w:noProof/>
        </w:rPr>
        <w:t>Innovative logistics incentives for the optimisation of urban logistics</w:t>
      </w:r>
      <w:r w:rsidRPr="008D5D76">
        <w:rPr>
          <w:bCs w:val="0"/>
          <w:i w:val="0"/>
          <w:iCs w:val="0"/>
          <w:noProof/>
        </w:rPr>
        <w:t xml:space="preserve">, (ii) alternative delivery methods, (iii) evaluating the performance of EVs in SUL contexts; (iv) </w:t>
      </w:r>
      <w:r w:rsidR="004F141F" w:rsidRPr="008D5D76">
        <w:rPr>
          <w:bCs w:val="0"/>
          <w:i w:val="0"/>
          <w:iCs w:val="0"/>
          <w:noProof/>
        </w:rPr>
        <w:t xml:space="preserve">Collaborative urban logistics </w:t>
      </w:r>
      <w:r w:rsidRPr="008D5D76">
        <w:rPr>
          <w:bCs w:val="0"/>
          <w:i w:val="0"/>
          <w:iCs w:val="0"/>
          <w:noProof/>
        </w:rPr>
        <w:t>networks.</w:t>
      </w:r>
    </w:p>
    <w:p w14:paraId="093C2D52" w14:textId="77777777" w:rsidR="00E56E94" w:rsidRPr="008903D1" w:rsidRDefault="00E56E94" w:rsidP="000A4E8C">
      <w:pPr>
        <w:pStyle w:val="Heading4"/>
        <w:spacing w:after="0" w:line="360" w:lineRule="auto"/>
        <w:rPr>
          <w:rFonts w:cs="Times New Roman"/>
        </w:rPr>
      </w:pPr>
      <w:r w:rsidRPr="00A96AC5">
        <w:rPr>
          <w:rFonts w:cs="Times New Roman"/>
        </w:rPr>
        <w:t>Innovative</w:t>
      </w:r>
      <w:r w:rsidRPr="008903D1">
        <w:rPr>
          <w:rFonts w:cs="Times New Roman"/>
        </w:rPr>
        <w:t xml:space="preserve"> </w:t>
      </w:r>
      <w:r w:rsidRPr="00737239">
        <w:rPr>
          <w:rFonts w:cs="Times New Roman"/>
        </w:rPr>
        <w:t>logistics</w:t>
      </w:r>
      <w:r w:rsidRPr="008903D1">
        <w:rPr>
          <w:rFonts w:cs="Times New Roman"/>
        </w:rPr>
        <w:t xml:space="preserve"> </w:t>
      </w:r>
      <w:r w:rsidRPr="00737239">
        <w:rPr>
          <w:rFonts w:cs="Times New Roman"/>
        </w:rPr>
        <w:t>incentives</w:t>
      </w:r>
      <w:r w:rsidRPr="008903D1">
        <w:rPr>
          <w:rFonts w:cs="Times New Roman"/>
        </w:rPr>
        <w:t xml:space="preserve"> </w:t>
      </w:r>
      <w:r w:rsidRPr="00737239">
        <w:rPr>
          <w:rFonts w:cs="Times New Roman"/>
        </w:rPr>
        <w:t>for</w:t>
      </w:r>
      <w:r w:rsidRPr="008903D1">
        <w:rPr>
          <w:rFonts w:cs="Times New Roman"/>
        </w:rPr>
        <w:t xml:space="preserve"> </w:t>
      </w:r>
      <w:r w:rsidRPr="00737239">
        <w:rPr>
          <w:rFonts w:cs="Times New Roman"/>
        </w:rPr>
        <w:t>the</w:t>
      </w:r>
      <w:r w:rsidRPr="008903D1">
        <w:rPr>
          <w:rFonts w:cs="Times New Roman"/>
        </w:rPr>
        <w:t xml:space="preserve"> </w:t>
      </w:r>
      <w:r w:rsidRPr="00737239">
        <w:rPr>
          <w:rFonts w:cs="Times New Roman"/>
        </w:rPr>
        <w:t>optimisation</w:t>
      </w:r>
      <w:r w:rsidRPr="008903D1">
        <w:rPr>
          <w:rFonts w:cs="Times New Roman"/>
        </w:rPr>
        <w:t xml:space="preserve"> </w:t>
      </w:r>
      <w:r w:rsidRPr="00737239">
        <w:rPr>
          <w:rFonts w:cs="Times New Roman"/>
        </w:rPr>
        <w:t>of</w:t>
      </w:r>
      <w:r w:rsidRPr="008903D1">
        <w:rPr>
          <w:rFonts w:cs="Times New Roman"/>
        </w:rPr>
        <w:t xml:space="preserve"> </w:t>
      </w:r>
      <w:r w:rsidRPr="00737239">
        <w:rPr>
          <w:rFonts w:cs="Times New Roman"/>
        </w:rPr>
        <w:t>urban</w:t>
      </w:r>
      <w:r w:rsidRPr="008903D1">
        <w:rPr>
          <w:rFonts w:cs="Times New Roman"/>
        </w:rPr>
        <w:t xml:space="preserve"> </w:t>
      </w:r>
      <w:r w:rsidRPr="00737239">
        <w:rPr>
          <w:rFonts w:cs="Times New Roman"/>
        </w:rPr>
        <w:t>logistics</w:t>
      </w:r>
    </w:p>
    <w:p w14:paraId="05C19753" w14:textId="7E51FC07" w:rsidR="0071798B" w:rsidRPr="00A96AC5" w:rsidRDefault="00365E36" w:rsidP="00C15D78">
      <w:pPr>
        <w:spacing w:after="240" w:line="360" w:lineRule="auto"/>
        <w:rPr>
          <w:rFonts w:cs="Times New Roman"/>
        </w:rPr>
      </w:pPr>
      <w:r>
        <w:fldChar w:fldCharType="begin"/>
      </w:r>
      <w:r w:rsidR="00647E79">
        <w:instrText xml:space="preserve"> ADDIN EN.CITE &lt;EndNote&gt;&lt;Cite AuthorYear="1"&gt;&lt;Author&gt;Muñuzuri&lt;/Author&gt;&lt;Year&gt;2010&lt;/Year&gt;&lt;RecNum&gt;57&lt;/RecNum&gt;&lt;DisplayText&gt;Muñuzuri et al. (2010)&lt;/DisplayText&gt;&lt;record&gt;&lt;rec-number&gt;57&lt;/rec-number&gt;&lt;foreign-keys&gt;&lt;key app="EN" db-id="pzt5ep52hsedfpeext2pdfes0w0aswaewef2" timestamp="1605187992"&gt;57&lt;/key&gt;&lt;/foreign-keys&gt;&lt;ref-type name="Journal Article"&gt;17&lt;/ref-type&gt;&lt;contributors&gt;&lt;authors&gt;&lt;author&gt;Muñuzuri, Jesús&lt;/author&gt;&lt;author&gt;Cortés, Pablo&lt;/author&gt;&lt;author&gt;Onieva, Luis&lt;/author&gt;&lt;author&gt;Guadix, José&lt;/author&gt;&lt;/authors&gt;&lt;/contributors&gt;&lt;titles&gt;&lt;title&gt;Modelling peak-hour urban freight movements with limited data availability&lt;/title&gt;&lt;secondary-title&gt;Computers &amp;amp; Industrial Engineering&lt;/secondary-title&gt;&lt;/titles&gt;&lt;periodical&gt;&lt;full-title&gt;Computers &amp;amp; Industrial Engineering&lt;/full-title&gt;&lt;/periodical&gt;&lt;pages&gt;34-44&lt;/pages&gt;&lt;volume&gt;59&lt;/volume&gt;&lt;number&gt;1&lt;/number&gt;&lt;dates&gt;&lt;year&gt;2010&lt;/year&gt;&lt;/dates&gt;&lt;isbn&gt;0360-8352&lt;/isbn&gt;&lt;urls&gt;&lt;/urls&gt;&lt;/record&gt;&lt;/Cite&gt;&lt;/EndNote&gt;</w:instrText>
      </w:r>
      <w:r>
        <w:fldChar w:fldCharType="separate"/>
      </w:r>
      <w:r w:rsidR="00CA4181">
        <w:rPr>
          <w:noProof/>
        </w:rPr>
        <w:t>Muñuzuri et al. (2010)</w:t>
      </w:r>
      <w:r>
        <w:fldChar w:fldCharType="end"/>
      </w:r>
      <w:r w:rsidR="005F4602">
        <w:t xml:space="preserve"> </w:t>
      </w:r>
      <w:r w:rsidR="0071798B" w:rsidRPr="00A96AC5">
        <w:rPr>
          <w:rFonts w:cs="Times New Roman"/>
        </w:rPr>
        <w:t xml:space="preserve">used trip-generation models to simulate traffic congestion in Seville, showing that off-hours delivery can efficiently reduce pollution and congestion issues as it is less affected by the high-volume traffic flow that characterises the daytime. However, </w:t>
      </w:r>
      <w:r>
        <w:fldChar w:fldCharType="begin"/>
      </w:r>
      <w:r w:rsidR="00647E79">
        <w:instrText xml:space="preserve"> ADDIN EN.CITE &lt;EndNote&gt;&lt;Cite AuthorYear="1"&gt;&lt;Author&gt;Silas&lt;/Author&gt;&lt;Year&gt;2012&lt;/Year&gt;&lt;RecNum&gt;58&lt;/RecNum&gt;&lt;DisplayText&gt;Silas et al. (2012)&lt;/DisplayText&gt;&lt;record&gt;&lt;rec-number&gt;58&lt;/rec-number&gt;&lt;foreign-keys&gt;&lt;key app="EN" db-id="pzt5ep52hsedfpeext2pdfes0w0aswaewef2" timestamp="1605187992"&gt;58&lt;/key&gt;&lt;/foreign-keys&gt;&lt;ref-type name="Journal Article"&gt;17&lt;/ref-type&gt;&lt;contributors&gt;&lt;authors&gt;&lt;author&gt;Silas, Michael A&lt;/author&gt;&lt;author&gt;Holguín-Veras, José&lt;/author&gt;&lt;author&gt;Jara-Díaz, Sergio&lt;/author&gt;&lt;/authors&gt;&lt;/contributors&gt;&lt;titles&gt;&lt;title&gt;Optimal distribution of financial incentives to foster off-hour deliveries in urban areas&lt;/title&gt;&lt;secondary-title&gt;Transportation Research Part A: Policy and Practice&lt;/secondary-title&gt;&lt;/titles&gt;&lt;periodical&gt;&lt;full-title&gt;Transportation Research Part A: Policy and Practice&lt;/full-title&gt;&lt;/periodical&gt;&lt;pages&gt;1205-1215&lt;/pages&gt;&lt;volume&gt;46&lt;/volume&gt;&lt;number&gt;8&lt;/number&gt;&lt;dates&gt;&lt;year&gt;2012&lt;/year&gt;&lt;/dates&gt;&lt;isbn&gt;0965-8564&lt;/isbn&gt;&lt;urls&gt;&lt;/urls&gt;&lt;/record&gt;&lt;/Cite&gt;&lt;/EndNote&gt;</w:instrText>
      </w:r>
      <w:r>
        <w:fldChar w:fldCharType="separate"/>
      </w:r>
      <w:r w:rsidR="00CA4181">
        <w:rPr>
          <w:noProof/>
        </w:rPr>
        <w:t>Silas et al. (2012)</w:t>
      </w:r>
      <w:r>
        <w:fldChar w:fldCharType="end"/>
      </w:r>
      <w:r w:rsidR="0071798B" w:rsidRPr="00A96AC5">
        <w:rPr>
          <w:rFonts w:cs="Times New Roman"/>
        </w:rPr>
        <w:t xml:space="preserve"> argue that off-hours delivery can increase total delivery costs due to additional labour expenses. In addition, night traffic leads to social issues, such as problems of safety and noise</w:t>
      </w:r>
      <w:r w:rsidR="001C77BB">
        <w:rPr>
          <w:rFonts w:cs="Times New Roman"/>
        </w:rPr>
        <w:fldChar w:fldCharType="begin"/>
      </w:r>
      <w:r w:rsidR="001C77BB">
        <w:rPr>
          <w:rFonts w:cs="Times New Roman"/>
        </w:rPr>
        <w:instrText xml:space="preserve"> ADDIN EN.CITE &lt;EndNote&gt;&lt;Cite&gt;&lt;Author&gt;Sathaye&lt;/Author&gt;&lt;Year&gt;2010&lt;/Year&gt;&lt;RecNum&gt;256&lt;/RecNum&gt;&lt;DisplayText&gt;(Sathaye et al., 2010)&lt;/DisplayText&gt;&lt;record&gt;&lt;rec-number&gt;256&lt;/rec-number&gt;&lt;foreign-keys&gt;&lt;key app="EN" db-id="x5etaz5aiszvz0edasvvpwvotttxepvd25t2" timestamp="1611184632"&gt;256&lt;/key&gt;&lt;/foreign-keys&gt;&lt;ref-type name="Journal Article"&gt;17&lt;/ref-type&gt;&lt;contributors&gt;&lt;authors&gt;&lt;author&gt;Sathaye, Nakul&lt;/author&gt;&lt;author&gt;Horvath, Arpad&lt;/author&gt;&lt;author&gt;Madanat, Samer&lt;/author&gt;&lt;/authors&gt;&lt;/contributors&gt;&lt;titles&gt;&lt;title&gt;Unintended impacts of increased truck loads on pavement supply-chain emissions&lt;/title&gt;&lt;secondary-title&gt;Transportation Research Part A: Policy and Practice&lt;/secondary-title&gt;&lt;/titles&gt;&lt;periodical&gt;&lt;full-title&gt;Transportation Research Part A: Policy and Practice&lt;/full-title&gt;&lt;abbr-1&gt;Transp. Res. Part A Policy Pract.&lt;/abbr-1&gt;&lt;/periodical&gt;&lt;pages&gt;1-15&lt;/pages&gt;&lt;volume&gt;44&lt;/volume&gt;&lt;number&gt;1&lt;/number&gt;&lt;keywords&gt;&lt;keyword&gt;City logistics&lt;/keyword&gt;&lt;keyword&gt;Life-cycle assessment&lt;/keyword&gt;&lt;keyword&gt;Freight policies&lt;/keyword&gt;&lt;keyword&gt;Load consolidation&lt;/keyword&gt;&lt;keyword&gt;Truck weight&lt;/keyword&gt;&lt;keyword&gt;Environment&lt;/keyword&gt;&lt;/keywords&gt;&lt;dates&gt;&lt;year&gt;2010&lt;/year&gt;&lt;pub-dates&gt;&lt;date&gt;2010/01/01/&lt;/date&gt;&lt;/pub-dates&gt;&lt;/dates&gt;&lt;isbn&gt;0965-8564&lt;/isbn&gt;&lt;urls&gt;&lt;related-urls&gt;&lt;url&gt;http://www.sciencedirect.com/science/article/pii/S0965856409000986&lt;/url&gt;&lt;/related-urls&gt;&lt;/urls&gt;&lt;electronic-resource-num&gt;https://doi.org/10.1016/j.tra.2009.09.002&lt;/electronic-resource-num&gt;&lt;/record&gt;&lt;/Cite&gt;&lt;/EndNote&gt;</w:instrText>
      </w:r>
      <w:r w:rsidR="001C77BB">
        <w:rPr>
          <w:rFonts w:cs="Times New Roman"/>
        </w:rPr>
        <w:fldChar w:fldCharType="separate"/>
      </w:r>
      <w:r w:rsidR="001C77BB">
        <w:rPr>
          <w:rFonts w:cs="Times New Roman"/>
          <w:noProof/>
        </w:rPr>
        <w:t>(Sathaye et al., 2010)</w:t>
      </w:r>
      <w:r w:rsidR="001C77BB">
        <w:rPr>
          <w:rFonts w:cs="Times New Roman"/>
        </w:rPr>
        <w:fldChar w:fldCharType="end"/>
      </w:r>
      <w:r w:rsidR="0071798B" w:rsidRPr="00A96AC5">
        <w:rPr>
          <w:rFonts w:cs="Times New Roman"/>
        </w:rPr>
        <w:t xml:space="preserve">. </w:t>
      </w:r>
      <w:r>
        <w:rPr>
          <w:noProof/>
        </w:rPr>
        <w:fldChar w:fldCharType="begin"/>
      </w:r>
      <w:r w:rsidR="00647E79">
        <w:rPr>
          <w:noProof/>
        </w:rPr>
        <w:instrText xml:space="preserve"> ADDIN EN.CITE &lt;EndNote&gt;&lt;Cite AuthorYear="1"&gt;&lt;Author&gt;Holguín-Veras&lt;/Author&gt;&lt;Year&gt;2012&lt;/Year&gt;&lt;RecNum&gt;60&lt;/RecNum&gt;&lt;DisplayText&gt;Holguín-Veras (2012)&lt;/DisplayText&gt;&lt;record&gt;&lt;rec-number&gt;60&lt;/rec-number&gt;&lt;foreign-keys&gt;&lt;key app="EN" db-id="pzt5ep52hsedfpeext2pdfes0w0aswaewef2" timestamp="1605187992"&gt;60&lt;/key&gt;&lt;/foreign-keys&gt;&lt;ref-type name="Journal Article"&gt;17&lt;/ref-type&gt;&lt;contributors&gt;&lt;authors&gt;&lt;author&gt;Holguín-Veras, José&lt;/author&gt;&lt;/authors&gt;&lt;/contributors&gt;&lt;titles&gt;&lt;title&gt;Approximation model to estimate joint market share in off-hour deliveries: William H. Hart Professor&lt;/title&gt;&lt;secondary-title&gt;Logistics Research&lt;/secondary-title&gt;&lt;/titles&gt;&lt;periodical&gt;&lt;full-title&gt;Logistics Research&lt;/full-title&gt;&lt;/periodical&gt;&lt;pages&gt;101-110&lt;/pages&gt;&lt;volume&gt;4&lt;/volume&gt;&lt;number&gt;3&lt;/number&gt;&lt;dates&gt;&lt;year&gt;2012&lt;/year&gt;&lt;pub-dates&gt;&lt;date&gt;2012/05/01&lt;/date&gt;&lt;/pub-dates&gt;&lt;/dates&gt;&lt;isbn&gt;1865-0368&lt;/isbn&gt;&lt;urls&gt;&lt;related-urls&gt;&lt;url&gt;https://doi.org/10.1007/s12159-012-0065-1&lt;/url&gt;&lt;url&gt;https://link.springer.com/content/pdf/10.1007%2Fs12159-012-0065-1.pdf&lt;/url&gt;&lt;/related-urls&gt;&lt;/urls&gt;&lt;electronic-resource-num&gt;10.1007/s12159-012-0065-1&lt;/electronic-resource-num&gt;&lt;research-notes&gt;58&lt;/research-notes&gt;&lt;/record&gt;&lt;/Cite&gt;&lt;/EndNote&gt;</w:instrText>
      </w:r>
      <w:r>
        <w:rPr>
          <w:noProof/>
        </w:rPr>
        <w:fldChar w:fldCharType="separate"/>
      </w:r>
      <w:r w:rsidR="00CA4181">
        <w:rPr>
          <w:noProof/>
        </w:rPr>
        <w:t>Holguín-Veras (2012)</w:t>
      </w:r>
      <w:r>
        <w:rPr>
          <w:noProof/>
        </w:rPr>
        <w:fldChar w:fldCharType="end"/>
      </w:r>
      <w:r w:rsidR="0071798B" w:rsidRPr="00A96AC5">
        <w:rPr>
          <w:rFonts w:cs="Times New Roman"/>
        </w:rPr>
        <w:t xml:space="preserve"> note that, to determine the profitability of off-hours operations, the views of affected residents and employees, along with government support, are the key factors.</w:t>
      </w:r>
    </w:p>
    <w:p w14:paraId="4B9F5961" w14:textId="4C125F15" w:rsidR="0071798B" w:rsidRPr="00A96AC5" w:rsidRDefault="009A124D" w:rsidP="00C15D78">
      <w:pPr>
        <w:spacing w:after="240" w:line="360" w:lineRule="auto"/>
        <w:rPr>
          <w:rFonts w:cs="Times New Roman"/>
        </w:rPr>
      </w:pPr>
      <w:r>
        <w:rPr>
          <w:noProof/>
        </w:rPr>
        <w:lastRenderedPageBreak/>
        <w:fldChar w:fldCharType="begin"/>
      </w:r>
      <w:r w:rsidR="00647E79">
        <w:rPr>
          <w:noProof/>
        </w:rPr>
        <w:instrText xml:space="preserve"> ADDIN EN.CITE &lt;EndNote&gt;&lt;Cite AuthorYear="1"&gt;&lt;Author&gt;Muñuzuri&lt;/Author&gt;&lt;Year&gt;2012&lt;/Year&gt;&lt;RecNum&gt;61&lt;/RecNum&gt;&lt;DisplayText&gt;Muñuzuri et al. (2012)&lt;/DisplayText&gt;&lt;record&gt;&lt;rec-number&gt;61&lt;/rec-number&gt;&lt;foreign-keys&gt;&lt;key app="EN" db-id="pzt5ep52hsedfpeext2pdfes0w0aswaewef2" timestamp="1605187992"&gt;61&lt;/key&gt;&lt;/foreign-keys&gt;&lt;ref-type name="Journal Article"&gt;17&lt;/ref-type&gt;&lt;contributors&gt;&lt;authors&gt;&lt;author&gt;Muñuzuri, Jesús&lt;/author&gt;&lt;author&gt;Cortés, Pablo&lt;/author&gt;&lt;author&gt;Grosso, Rafael&lt;/author&gt;&lt;author&gt;Guadix, José&lt;/author&gt;&lt;/authors&gt;&lt;/contributors&gt;&lt;titles&gt;&lt;title&gt;Selecting the location of minihubs for freight delivery in congested downtown areas&lt;/title&gt;&lt;secondary-title&gt;Journal of Computational Science&lt;/secondary-title&gt;&lt;/titles&gt;&lt;periodical&gt;&lt;full-title&gt;Journal of Computational Science&lt;/full-title&gt;&lt;/periodical&gt;&lt;pages&gt;228-237&lt;/pages&gt;&lt;volume&gt;3&lt;/volume&gt;&lt;number&gt;4&lt;/number&gt;&lt;dates&gt;&lt;year&gt;2012&lt;/year&gt;&lt;/dates&gt;&lt;isbn&gt;1877-7503&lt;/isbn&gt;&lt;urls&gt;&lt;related-urls&gt;&lt;url&gt;http://www.sciencedirect.com/science/article/pii/S1877750311001098&lt;/url&gt;&lt;/related-urls&gt;&lt;/urls&gt;&lt;research-notes&gt;55&lt;/research-notes&gt;&lt;/record&gt;&lt;/Cite&gt;&lt;/EndNote&gt;</w:instrText>
      </w:r>
      <w:r>
        <w:rPr>
          <w:noProof/>
        </w:rPr>
        <w:fldChar w:fldCharType="separate"/>
      </w:r>
      <w:r>
        <w:rPr>
          <w:noProof/>
        </w:rPr>
        <w:t>Muñuzuri et al. (2012)</w:t>
      </w:r>
      <w:r>
        <w:rPr>
          <w:noProof/>
        </w:rPr>
        <w:fldChar w:fldCharType="end"/>
      </w:r>
      <w:r w:rsidR="0071798B" w:rsidRPr="00A96AC5">
        <w:rPr>
          <w:rFonts w:cs="Times New Roman"/>
        </w:rPr>
        <w:t xml:space="preserve"> suggest the use of </w:t>
      </w:r>
      <w:proofErr w:type="gramStart"/>
      <w:r w:rsidR="0071798B" w:rsidRPr="00A96AC5">
        <w:rPr>
          <w:rFonts w:cs="Times New Roman"/>
        </w:rPr>
        <w:t>mini-hubs</w:t>
      </w:r>
      <w:proofErr w:type="gramEnd"/>
      <w:r w:rsidR="0071798B" w:rsidRPr="00A96AC5">
        <w:rPr>
          <w:rFonts w:cs="Times New Roman"/>
        </w:rPr>
        <w:t xml:space="preserve"> in city centres to improve delivery activities and reduce total emissions. However, they identify barriers to this in terms of the ability of these </w:t>
      </w:r>
      <w:proofErr w:type="gramStart"/>
      <w:r w:rsidR="0071798B" w:rsidRPr="00A96AC5">
        <w:rPr>
          <w:rFonts w:cs="Times New Roman"/>
        </w:rPr>
        <w:t>mini-hubs</w:t>
      </w:r>
      <w:proofErr w:type="gramEnd"/>
      <w:r w:rsidR="0071798B" w:rsidRPr="00A96AC5">
        <w:rPr>
          <w:rFonts w:cs="Times New Roman"/>
        </w:rPr>
        <w:t xml:space="preserve"> to deal with different goods categories. Furthermore, cities characterised by large historical centres may have insufficient facilities to support the operations.  </w:t>
      </w:r>
      <w:r>
        <w:rPr>
          <w:rFonts w:cs="Times New Roman"/>
          <w:noProof/>
        </w:rPr>
        <w:fldChar w:fldCharType="begin"/>
      </w:r>
      <w:r w:rsidR="00647E79">
        <w:rPr>
          <w:rFonts w:cs="Times New Roman"/>
          <w:noProof/>
        </w:rPr>
        <w:instrText xml:space="preserve"> ADDIN EN.CITE &lt;EndNote&gt;&lt;Cite AuthorYear="1"&gt;&lt;Author&gt;Li&lt;/Author&gt;&lt;Year&gt;2014&lt;/Year&gt;&lt;RecNum&gt;62&lt;/RecNum&gt;&lt;DisplayText&gt;Li et al. (2014)&lt;/DisplayText&gt;&lt;record&gt;&lt;rec-number&gt;62&lt;/rec-number&gt;&lt;foreign-keys&gt;&lt;key app="EN" db-id="pzt5ep52hsedfpeext2pdfes0w0aswaewef2" timestamp="1605187992"&gt;62&lt;/key&gt;&lt;/foreign-keys&gt;&lt;ref-type name="Journal Article"&gt;17&lt;/ref-type&gt;&lt;contributors&gt;&lt;authors&gt;&lt;author&gt;Li, Baoxiang&lt;/author&gt;&lt;author&gt;Krushinsky, Dmitry&lt;/author&gt;&lt;author&gt;Reijers, Hajo A.&lt;/author&gt;&lt;author&gt;Van Woensel, Tom&lt;/author&gt;&lt;/authors&gt;&lt;/contributors&gt;&lt;titles&gt;&lt;title&gt;The Share-a-Ride Problem: People and parcels sharing taxis&lt;/title&gt;&lt;secondary-title&gt;European Journal of Operational Research&lt;/secondary-title&gt;&lt;/titles&gt;&lt;periodical&gt;&lt;full-title&gt;European journal of operational research&lt;/full-title&gt;&lt;/periodical&gt;&lt;pages&gt;31-40&lt;/pages&gt;&lt;volume&gt;238&lt;/volume&gt;&lt;number&gt;1&lt;/number&gt;&lt;keywords&gt;&lt;keyword&gt;Transportation&lt;/keyword&gt;&lt;keyword&gt;Share-a-Ride Problem&lt;/keyword&gt;&lt;keyword&gt;Freight insertion problem&lt;/keyword&gt;&lt;keyword&gt;Multi-commodity&lt;/keyword&gt;&lt;keyword&gt;Taxi&lt;/keyword&gt;&lt;/keywords&gt;&lt;dates&gt;&lt;year&gt;2014&lt;/year&gt;&lt;pub-dates&gt;&lt;date&gt;2014/10/01/&lt;/date&gt;&lt;/pub-dates&gt;&lt;/dates&gt;&lt;isbn&gt;0377-2217&lt;/isbn&gt;&lt;urls&gt;&lt;related-urls&gt;&lt;url&gt;http://www.sciencedirect.com/science/article/pii/S0377221714002173&lt;/url&gt;&lt;/related-urls&gt;&lt;/urls&gt;&lt;electronic-resource-num&gt;https://doi.org/10.1016/j.ejor.2014.03.003&lt;/electronic-resource-num&gt;&lt;/record&gt;&lt;/Cite&gt;&lt;/EndNote&gt;</w:instrText>
      </w:r>
      <w:r>
        <w:rPr>
          <w:rFonts w:cs="Times New Roman"/>
          <w:noProof/>
        </w:rPr>
        <w:fldChar w:fldCharType="separate"/>
      </w:r>
      <w:r w:rsidR="0080028C">
        <w:rPr>
          <w:rFonts w:cs="Times New Roman"/>
          <w:noProof/>
        </w:rPr>
        <w:t>Li et al. (2014)</w:t>
      </w:r>
      <w:r>
        <w:rPr>
          <w:rFonts w:cs="Times New Roman"/>
          <w:noProof/>
        </w:rPr>
        <w:fldChar w:fldCharType="end"/>
      </w:r>
      <w:r w:rsidR="00450A18">
        <w:t xml:space="preserve"> </w:t>
      </w:r>
      <w:r w:rsidR="0071798B" w:rsidRPr="00A96AC5">
        <w:rPr>
          <w:rFonts w:cs="Times New Roman"/>
        </w:rPr>
        <w:t>propose the use of taxis for goods deliveries, exploiting their spare capacity. They formulate the ‘share-a-ride problem’, solved through a ‘greedy insertion algorithm’.</w:t>
      </w:r>
    </w:p>
    <w:p w14:paraId="72F38D00" w14:textId="3A815FFA" w:rsidR="0071798B" w:rsidRPr="00A96AC5" w:rsidRDefault="009A124D" w:rsidP="00C15D78">
      <w:pPr>
        <w:spacing w:after="240" w:line="360" w:lineRule="auto"/>
        <w:rPr>
          <w:rFonts w:cs="Times New Roman"/>
        </w:rPr>
      </w:pPr>
      <w:r>
        <w:fldChar w:fldCharType="begin"/>
      </w:r>
      <w:r w:rsidR="00647E79">
        <w:instrText xml:space="preserve"> ADDIN EN.CITE &lt;EndNote&gt;&lt;Cite AuthorYear="1"&gt;&lt;Author&gt;Wang&lt;/Author&gt;&lt;Year&gt;2015&lt;/Year&gt;&lt;RecNum&gt;63&lt;/RecNum&gt;&lt;DisplayText&gt;Wang and Zhou (2015)&lt;/DisplayText&gt;&lt;record&gt;&lt;rec-number&gt;63&lt;/rec-number&gt;&lt;foreign-keys&gt;&lt;key app="EN" db-id="pzt5ep52hsedfpeext2pdfes0w0aswaewef2" timestamp="1605187992"&gt;63&lt;/key&gt;&lt;/foreign-keys&gt;&lt;ref-type name="Journal Article"&gt;17&lt;/ref-type&gt;&lt;contributors&gt;&lt;authors&gt;&lt;author&gt;Wang, Xiaokun Cara&lt;/author&gt;&lt;author&gt;Zhou, Yiwei&lt;/author&gt;&lt;/authors&gt;&lt;/contributors&gt;&lt;titles&gt;&lt;title&gt;Deliveries to residential units: A rising form of freight transportation in the US&lt;/title&gt;&lt;secondary-title&gt;Transportation Research Part C: Emerging Technologies&lt;/secondary-title&gt;&lt;/titles&gt;&lt;periodical&gt;&lt;full-title&gt;Transportation Research Part C: Emerging Technologies&lt;/full-title&gt;&lt;/periodical&gt;&lt;pages&gt;46-55&lt;/pages&gt;&lt;volume&gt;58&lt;/volume&gt;&lt;dates&gt;&lt;year&gt;2015&lt;/year&gt;&lt;/dates&gt;&lt;isbn&gt;0968-090X&lt;/isbn&gt;&lt;urls&gt;&lt;related-urls&gt;&lt;url&gt;http://www.sciencedirect.com/science/article/pii/S0968090X15002442&lt;/url&gt;&lt;/related-urls&gt;&lt;/urls&gt;&lt;research-notes&gt;147&lt;/research-notes&gt;&lt;/record&gt;&lt;/Cite&gt;&lt;/EndNote&gt;</w:instrText>
      </w:r>
      <w:r>
        <w:fldChar w:fldCharType="separate"/>
      </w:r>
      <w:r w:rsidR="0080028C">
        <w:rPr>
          <w:noProof/>
        </w:rPr>
        <w:t>Wang and Zhou (2015)</w:t>
      </w:r>
      <w:r>
        <w:fldChar w:fldCharType="end"/>
      </w:r>
      <w:r w:rsidR="00682EEB">
        <w:t xml:space="preserve"> </w:t>
      </w:r>
      <w:r w:rsidR="0071798B" w:rsidRPr="00A96AC5">
        <w:rPr>
          <w:rFonts w:cs="Times New Roman"/>
        </w:rPr>
        <w:t xml:space="preserve">designed a resident-driven delivery model to replace the traditional door-to-door delivery method. In this model, carriers leave goods in a storage hub located in the residential area and customers collect the goods themselves. This model helps companies to reduce their costs and travel distances. However, the researchers note that acceptance of this model is hugely variable, depending on residents’ educational background. </w:t>
      </w:r>
    </w:p>
    <w:p w14:paraId="1EE41FDE" w14:textId="549D4D4C" w:rsidR="0071798B" w:rsidRPr="00A96AC5" w:rsidRDefault="0071798B" w:rsidP="0069022D">
      <w:pPr>
        <w:spacing w:after="240" w:line="360" w:lineRule="auto"/>
        <w:rPr>
          <w:rFonts w:cs="Times New Roman"/>
        </w:rPr>
      </w:pPr>
      <w:r w:rsidRPr="00A96AC5">
        <w:rPr>
          <w:rFonts w:cs="Times New Roman"/>
        </w:rPr>
        <w:t xml:space="preserve">Crowd logistics is a new UL concept that has emerged through IT development. In this model, the excess space in passenger vehicles is used for parcel delivery. This model would thus not rely entirely on the LSPs, and it could generate economic, environmental, and social benefits </w:t>
      </w:r>
      <w:r w:rsidR="00EB59F4">
        <w:rPr>
          <w:noProof/>
        </w:rPr>
        <w:fldChar w:fldCharType="begin">
          <w:fldData xml:space="preserve">PEVuZE5vdGU+PENpdGU+PEF1dGhvcj5CdWxkZW8gUmFpPC9BdXRob3I+PFllYXI+MjAxNzwvWWVh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</w:fldData>
        </w:fldChar>
      </w:r>
      <w:r w:rsidR="00647E79">
        <w:rPr>
          <w:noProof/>
        </w:rPr>
        <w:instrText xml:space="preserve"> ADDIN EN.CITE </w:instrText>
      </w:r>
      <w:r w:rsidR="00647E79">
        <w:rPr>
          <w:noProof/>
        </w:rPr>
        <w:fldChar w:fldCharType="begin">
          <w:fldData xml:space="preserve">PEVuZE5vdGU+PENpdGU+PEF1dGhvcj5CdWxkZW8gUmFpPC9BdXRob3I+PFllYXI+MjAxNzwvWWVh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</w:fldData>
        </w:fldChar>
      </w:r>
      <w:r w:rsidR="00647E79">
        <w:rPr>
          <w:noProof/>
        </w:rPr>
        <w:instrText xml:space="preserve"> ADDIN EN.CITE.DATA </w:instrText>
      </w:r>
      <w:r w:rsidR="00647E79">
        <w:rPr>
          <w:noProof/>
        </w:rPr>
      </w:r>
      <w:r w:rsidR="00647E79">
        <w:rPr>
          <w:noProof/>
        </w:rPr>
        <w:fldChar w:fldCharType="end"/>
      </w:r>
      <w:r w:rsidR="00EB59F4">
        <w:rPr>
          <w:noProof/>
        </w:rPr>
      </w:r>
      <w:r w:rsidR="00EB59F4">
        <w:rPr>
          <w:noProof/>
        </w:rPr>
        <w:fldChar w:fldCharType="separate"/>
      </w:r>
      <w:r w:rsidR="00EB59F4">
        <w:rPr>
          <w:noProof/>
        </w:rPr>
        <w:t>(Buldeo Rai et al., 2017)</w:t>
      </w:r>
      <w:r w:rsidR="00EB59F4">
        <w:rPr>
          <w:noProof/>
        </w:rPr>
        <w:fldChar w:fldCharType="end"/>
      </w:r>
      <w:r w:rsidRPr="00A96AC5">
        <w:rPr>
          <w:rFonts w:cs="Times New Roman"/>
        </w:rPr>
        <w:t xml:space="preserve">. </w:t>
      </w:r>
      <w:r w:rsidR="00EB59F4">
        <w:rPr>
          <w:noProof/>
        </w:rPr>
        <w:fldChar w:fldCharType="begin">
          <w:fldData xml:space="preserve">PEVuZE5vdGU+PENpdGUgQXV0aG9yWWVhcj0iMSI+PEF1dGhvcj5HYXR0YTwvQXV0aG9yPjxZZWFy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</w:fldData>
        </w:fldChar>
      </w:r>
      <w:r w:rsidR="00647E79">
        <w:rPr>
          <w:noProof/>
        </w:rPr>
        <w:instrText xml:space="preserve"> ADDIN EN.CITE </w:instrText>
      </w:r>
      <w:r w:rsidR="00647E79">
        <w:rPr>
          <w:noProof/>
        </w:rPr>
        <w:fldChar w:fldCharType="begin">
          <w:fldData xml:space="preserve">PEVuZE5vdGU+PENpdGUgQXV0aG9yWWVhcj0iMSI+PEF1dGhvcj5HYXR0YTwvQXV0aG9yPjxZZWFy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</w:fldData>
        </w:fldChar>
      </w:r>
      <w:r w:rsidR="00647E79">
        <w:rPr>
          <w:noProof/>
        </w:rPr>
        <w:instrText xml:space="preserve"> ADDIN EN.CITE.DATA </w:instrText>
      </w:r>
      <w:r w:rsidR="00647E79">
        <w:rPr>
          <w:noProof/>
        </w:rPr>
      </w:r>
      <w:r w:rsidR="00647E79">
        <w:rPr>
          <w:noProof/>
        </w:rPr>
        <w:fldChar w:fldCharType="end"/>
      </w:r>
      <w:r w:rsidR="00EB59F4">
        <w:rPr>
          <w:noProof/>
        </w:rPr>
      </w:r>
      <w:r w:rsidR="00EB59F4">
        <w:rPr>
          <w:noProof/>
        </w:rPr>
        <w:fldChar w:fldCharType="separate"/>
      </w:r>
      <w:r w:rsidR="002D6A0A">
        <w:rPr>
          <w:noProof/>
        </w:rPr>
        <w:t>Gatta et al. (2019b)</w:t>
      </w:r>
      <w:r w:rsidR="00EB59F4">
        <w:rPr>
          <w:noProof/>
        </w:rPr>
        <w:fldChar w:fldCharType="end"/>
      </w:r>
      <w:r w:rsidRPr="00A96AC5">
        <w:rPr>
          <w:rFonts w:cs="Times New Roman"/>
        </w:rPr>
        <w:t xml:space="preserve"> conclude that, when combined with automatic parcel lockers, crowd logistics has the flexibility to match the time-windows demanding from its users. However, the competitive service price requires sufficient volume of ‘crowd shippers’ </w:t>
      </w:r>
      <w:r w:rsidR="00EB59F4">
        <w:rPr>
          <w:noProof/>
        </w:rPr>
        <w:fldChar w:fldCharType="begin">
          <w:fldData xml:space="preserve">PEVuZE5vdGU+PENpdGU+PEF1dGhvcj5HYXR0YTwvQXV0aG9yPjxZZWFyPjIwMTk8L1llYXI+PFJl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==
</w:fldData>
        </w:fldChar>
      </w:r>
      <w:r w:rsidR="00647E79">
        <w:rPr>
          <w:noProof/>
        </w:rPr>
        <w:instrText xml:space="preserve"> ADDIN EN.CITE </w:instrText>
      </w:r>
      <w:r w:rsidR="00647E79">
        <w:rPr>
          <w:noProof/>
        </w:rPr>
        <w:fldChar w:fldCharType="begin">
          <w:fldData xml:space="preserve">PEVuZE5vdGU+PENpdGU+PEF1dGhvcj5HYXR0YTwvQXV0aG9yPjxZZWFyPjIwMTk8L1llYXI+PFJl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==
</w:fldData>
        </w:fldChar>
      </w:r>
      <w:r w:rsidR="00647E79">
        <w:rPr>
          <w:noProof/>
        </w:rPr>
        <w:instrText xml:space="preserve"> ADDIN EN.CITE.DATA </w:instrText>
      </w:r>
      <w:r w:rsidR="00647E79">
        <w:rPr>
          <w:noProof/>
        </w:rPr>
      </w:r>
      <w:r w:rsidR="00647E79">
        <w:rPr>
          <w:noProof/>
        </w:rPr>
        <w:fldChar w:fldCharType="end"/>
      </w:r>
      <w:r w:rsidR="00EB59F4">
        <w:rPr>
          <w:noProof/>
        </w:rPr>
      </w:r>
      <w:r w:rsidR="00EB59F4">
        <w:rPr>
          <w:noProof/>
        </w:rPr>
        <w:fldChar w:fldCharType="separate"/>
      </w:r>
      <w:r w:rsidR="002D6A0A">
        <w:rPr>
          <w:noProof/>
        </w:rPr>
        <w:t>(Gatta et al., 2019b)</w:t>
      </w:r>
      <w:r w:rsidR="00EB59F4">
        <w:rPr>
          <w:noProof/>
        </w:rPr>
        <w:fldChar w:fldCharType="end"/>
      </w:r>
      <w:r w:rsidRPr="00A96AC5">
        <w:rPr>
          <w:rFonts w:cs="Times New Roman"/>
        </w:rPr>
        <w:t xml:space="preserve">. </w:t>
      </w:r>
      <w:r w:rsidR="00EB59F4">
        <w:rPr>
          <w:noProof/>
        </w:rPr>
        <w:fldChar w:fldCharType="begin">
          <w:fldData xml:space="preserve">PEVuZE5vdGU+PENpdGUgQXV0aG9yWWVhcj0iMSI+PEF1dGhvcj5HaXJldDwvQXV0aG9yPjxZZWFy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</w:fldData>
        </w:fldChar>
      </w:r>
      <w:r w:rsidR="00647E79">
        <w:rPr>
          <w:noProof/>
        </w:rPr>
        <w:instrText xml:space="preserve"> ADDIN EN.CITE </w:instrText>
      </w:r>
      <w:r w:rsidR="00647E79">
        <w:rPr>
          <w:noProof/>
        </w:rPr>
        <w:fldChar w:fldCharType="begin">
          <w:fldData xml:space="preserve">PEVuZE5vdGU+PENpdGUgQXV0aG9yWWVhcj0iMSI+PEF1dGhvcj5HaXJldDwvQXV0aG9yPjxZZWFy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</w:fldData>
        </w:fldChar>
      </w:r>
      <w:r w:rsidR="00647E79">
        <w:rPr>
          <w:noProof/>
        </w:rPr>
        <w:instrText xml:space="preserve"> ADDIN EN.CITE.DATA </w:instrText>
      </w:r>
      <w:r w:rsidR="00647E79">
        <w:rPr>
          <w:noProof/>
        </w:rPr>
      </w:r>
      <w:r w:rsidR="00647E79">
        <w:rPr>
          <w:noProof/>
        </w:rPr>
        <w:fldChar w:fldCharType="end"/>
      </w:r>
      <w:r w:rsidR="00EB59F4">
        <w:rPr>
          <w:noProof/>
        </w:rPr>
      </w:r>
      <w:r w:rsidR="00EB59F4">
        <w:rPr>
          <w:noProof/>
        </w:rPr>
        <w:fldChar w:fldCharType="separate"/>
      </w:r>
      <w:r w:rsidR="00EB59F4">
        <w:rPr>
          <w:noProof/>
        </w:rPr>
        <w:t>Giret et al. (2018)</w:t>
      </w:r>
      <w:r w:rsidR="00EB59F4">
        <w:rPr>
          <w:noProof/>
        </w:rPr>
        <w:fldChar w:fldCharType="end"/>
      </w:r>
      <w:r w:rsidRPr="00A96AC5">
        <w:rPr>
          <w:rFonts w:cs="Times New Roman"/>
        </w:rPr>
        <w:t xml:space="preserve"> combined multi-agent system techniques and complex network-based algorithms to optimise sustainable delivery routes; and their results indicate that, compared with parcel delivery by dedicated carriers, crowd logistics significantly reduces travel miles and air pollutant emissions. </w:t>
      </w:r>
      <w:r w:rsidR="00EB59F4">
        <w:rPr>
          <w:noProof/>
        </w:rPr>
        <w:fldChar w:fldCharType="begin">
          <w:fldData xml:space="preserve">PEVuZE5vdGU+PENpdGUgQXV0aG9yWWVhcj0iMSI+PEF1dGhvcj5HdW88L0F1dGhvcj48WWVhcj4y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</w:fldData>
        </w:fldChar>
      </w:r>
      <w:r w:rsidR="00647E79">
        <w:rPr>
          <w:noProof/>
        </w:rPr>
        <w:instrText xml:space="preserve"> ADDIN EN.CITE </w:instrText>
      </w:r>
      <w:r w:rsidR="00647E79">
        <w:rPr>
          <w:noProof/>
        </w:rPr>
        <w:fldChar w:fldCharType="begin">
          <w:fldData xml:space="preserve">PEVuZE5vdGU+PENpdGUgQXV0aG9yWWVhcj0iMSI+PEF1dGhvcj5HdW88L0F1dGhvcj48WWVhcj4y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</w:fldData>
        </w:fldChar>
      </w:r>
      <w:r w:rsidR="00647E79">
        <w:rPr>
          <w:noProof/>
        </w:rPr>
        <w:instrText xml:space="preserve"> ADDIN EN.CITE.DATA </w:instrText>
      </w:r>
      <w:r w:rsidR="00647E79">
        <w:rPr>
          <w:noProof/>
        </w:rPr>
      </w:r>
      <w:r w:rsidR="00647E79">
        <w:rPr>
          <w:noProof/>
        </w:rPr>
        <w:fldChar w:fldCharType="end"/>
      </w:r>
      <w:r w:rsidR="00EB59F4">
        <w:rPr>
          <w:noProof/>
        </w:rPr>
      </w:r>
      <w:r w:rsidR="00EB59F4">
        <w:rPr>
          <w:noProof/>
        </w:rPr>
        <w:fldChar w:fldCharType="separate"/>
      </w:r>
      <w:r w:rsidR="00EB59F4">
        <w:rPr>
          <w:noProof/>
        </w:rPr>
        <w:t>Guo et al. (2019)</w:t>
      </w:r>
      <w:r w:rsidR="00EB59F4">
        <w:rPr>
          <w:noProof/>
        </w:rPr>
        <w:fldChar w:fldCharType="end"/>
      </w:r>
      <w:r w:rsidRPr="00A96AC5">
        <w:rPr>
          <w:rFonts w:cs="Times New Roman"/>
        </w:rPr>
        <w:t xml:space="preserve"> propose a unique type of crowd logistics, with online orders delivered by offline consumers to their neighbours. The new strategy generates savings on overall delivery costs and travel distance. Moreover, the ratio of the savings depends on the number of participating offline consumers.</w:t>
      </w:r>
    </w:p>
    <w:p w14:paraId="30A73A9A" w14:textId="77777777" w:rsidR="0071798B" w:rsidRPr="00A96AC5" w:rsidRDefault="0071798B" w:rsidP="000A4E8C">
      <w:pPr>
        <w:pStyle w:val="Heading4"/>
        <w:spacing w:after="0" w:line="360" w:lineRule="auto"/>
        <w:rPr>
          <w:rFonts w:cs="Times New Roman"/>
        </w:rPr>
      </w:pPr>
      <w:r w:rsidRPr="00A96AC5">
        <w:rPr>
          <w:rFonts w:cs="Times New Roman"/>
        </w:rPr>
        <w:t>Alternative delivery methods</w:t>
      </w:r>
    </w:p>
    <w:p w14:paraId="38BBB3C4" w14:textId="4987025A" w:rsidR="0071798B" w:rsidRPr="00A96AC5" w:rsidRDefault="0071798B" w:rsidP="00C15D78">
      <w:pPr>
        <w:spacing w:after="240" w:line="360" w:lineRule="auto"/>
        <w:rPr>
          <w:rFonts w:cs="Times New Roman"/>
        </w:rPr>
      </w:pPr>
      <w:r w:rsidRPr="00A96AC5">
        <w:rPr>
          <w:rFonts w:cs="Times New Roman"/>
        </w:rPr>
        <w:t xml:space="preserve">Research has also investigated the possibility of non-road delivery models. For example, in Amsterdam, deliveries by electric ships through the water canal networks have been seen to significantly reduce waiting times and fuel consumption in the city </w:t>
      </w:r>
      <w:r w:rsidR="00F56E7B">
        <w:fldChar w:fldCharType="begin"/>
      </w:r>
      <w:r w:rsidR="00647E79">
        <w:instrText xml:space="preserve"> ADDIN EN.CITE &lt;EndNote&gt;&lt;Cite&gt;&lt;Author&gt;Van Duin&lt;/Author&gt;&lt;Year&gt;2014&lt;/Year&gt;&lt;RecNum&gt;68&lt;/RecNum&gt;&lt;DisplayText&gt;(Van Duin et al., 2014)&lt;/DisplayText&gt;&lt;record&gt;&lt;rec-number&gt;68&lt;/rec-number&gt;&lt;foreign-keys&gt;&lt;key app="EN" db-id="pzt5ep52hsedfpeext2pdfes0w0aswaewef2" timestamp="1605187993"&gt;68&lt;/key&gt;&lt;/foreign-keys&gt;&lt;ref-type name="Journal Article"&gt;17&lt;/ref-type&gt;&lt;contributors&gt;&lt;authors&gt;&lt;author&gt;Van Duin, JHR&lt;/author&gt;&lt;author&gt;Kortmann, R&lt;/author&gt;&lt;author&gt;van den Boogaard, SL&lt;/author&gt;&lt;/authors&gt;&lt;/contributors&gt;&lt;titles&gt;&lt;title&gt;City logistics through the canals? A simulation study on freight waterborne transport in the inner-city of Amsterdam&lt;/title&gt;&lt;secondary-title&gt;International Journal of Urban Sciences&lt;/secondary-title&gt;&lt;/titles&gt;&lt;periodical&gt;&lt;full-title&gt;International Journal of Urban Sciences&lt;/full-title&gt;&lt;/periodical&gt;&lt;pages&gt;186-200&lt;/pages&gt;&lt;volume&gt;18&lt;/volume&gt;&lt;number&gt;2&lt;/number&gt;&lt;dates&gt;&lt;year&gt;2014&lt;/year&gt;&lt;/dates&gt;&lt;isbn&gt;1226-5934&lt;/isbn&gt;&lt;urls&gt;&lt;related-urls&gt;&lt;url&gt;http://www.tandfonline.com/doi/abs/10.1080/12265934.2014.929021&lt;/url&gt;&lt;/related-urls&gt;&lt;/urls&gt;&lt;research-notes&gt;108&lt;/research-notes&gt;&lt;/record&gt;&lt;/Cite&gt;&lt;/EndNote&gt;</w:instrText>
      </w:r>
      <w:r w:rsidR="00F56E7B">
        <w:fldChar w:fldCharType="separate"/>
      </w:r>
      <w:r w:rsidR="00F56E7B">
        <w:rPr>
          <w:noProof/>
        </w:rPr>
        <w:t>(Van Duin et al., 2014)</w:t>
      </w:r>
      <w:r w:rsidR="00F56E7B">
        <w:fldChar w:fldCharType="end"/>
      </w:r>
      <w:r w:rsidRPr="00A96AC5">
        <w:rPr>
          <w:rFonts w:cs="Times New Roman"/>
        </w:rPr>
        <w:t xml:space="preserve">. </w:t>
      </w:r>
      <w:r w:rsidR="00F56E7B">
        <w:rPr>
          <w:noProof/>
        </w:rPr>
        <w:fldChar w:fldCharType="begin"/>
      </w:r>
      <w:r w:rsidR="00647E79">
        <w:rPr>
          <w:noProof/>
        </w:rPr>
        <w:instrText xml:space="preserve"> ADDIN EN.CITE &lt;EndNote&gt;&lt;Cite AuthorYear="1"&gt;&lt;Author&gt;Van Binsbergen&lt;/Author&gt;&lt;Year&gt;2010&lt;/Year&gt;&lt;RecNum&gt;69&lt;/RecNum&gt;&lt;DisplayText&gt;Van Binsbergen and Bovy (2010)&lt;/DisplayText&gt;&lt;record&gt;&lt;rec-number&gt;69&lt;/rec-number&gt;&lt;foreign-keys&gt;&lt;key app="EN" db-id="pzt5ep52hsedfpeext2pdfes0w0aswaewef2" timestamp="1605187993"&gt;69&lt;/key&gt;&lt;/foreign-keys&gt;&lt;ref-type name="Journal Article"&gt;17&lt;/ref-type&gt;&lt;contributors&gt;&lt;authors&gt;&lt;author&gt;Van Binsbergen, Arjan&lt;/author&gt;&lt;author&gt;Bovy, Piet&lt;/author&gt;&lt;/authors&gt;&lt;/contributors&gt;&lt;titles&gt;&lt;title&gt;Underground Urban Goods Distribution Networks&lt;/title&gt;&lt;secondary-title&gt;Innovation: The European Journal of Social Science Research&lt;/secondary-title&gt;&lt;/titles&gt;&lt;periodical&gt;&lt;full-title&gt;Innovation: The European Journal of Social Science Research&lt;/full-title&gt;&lt;/periodical&gt;&lt;pages&gt;111-128&lt;/pages&gt;&lt;volume&gt;13&lt;/volume&gt;&lt;number&gt;1&lt;/number&gt;&lt;dates&gt;&lt;year&gt;2010&lt;/year&gt;&lt;/dates&gt;&lt;isbn&gt;1351-1610&amp;#xD;1469-8412&lt;/isbn&gt;&lt;urls&gt;&lt;/urls&gt;&lt;electronic-resource-num&gt;10.1080/135116100111694&lt;/electronic-resource-num&gt;&lt;/record&gt;&lt;/Cite&gt;&lt;/EndNote&gt;</w:instrText>
      </w:r>
      <w:r w:rsidR="00F56E7B">
        <w:rPr>
          <w:noProof/>
        </w:rPr>
        <w:fldChar w:fldCharType="separate"/>
      </w:r>
      <w:r w:rsidR="00F56E7B">
        <w:rPr>
          <w:noProof/>
        </w:rPr>
        <w:t>Van Binsbergen and Bovy (2010)</w:t>
      </w:r>
      <w:r w:rsidR="00F56E7B">
        <w:rPr>
          <w:noProof/>
        </w:rPr>
        <w:fldChar w:fldCharType="end"/>
      </w:r>
      <w:r w:rsidRPr="00A96AC5">
        <w:rPr>
          <w:rFonts w:cs="Times New Roman"/>
        </w:rPr>
        <w:t xml:space="preserve">, </w:t>
      </w:r>
      <w:r w:rsidR="00F56E7B">
        <w:rPr>
          <w:noProof/>
        </w:rPr>
        <w:fldChar w:fldCharType="begin"/>
      </w:r>
      <w:r w:rsidR="00CA64EE">
        <w:rPr>
          <w:noProof/>
        </w:rPr>
        <w:instrText xml:space="preserve"> ADDIN EN.CITE &lt;EndNote&gt;&lt;Cite&gt;&lt;Author&gt;Alessandrini&lt;/Author&gt;&lt;Year&gt;2012&lt;/Year&gt;&lt;RecNum&gt;117&lt;/RecNum&gt;&lt;DisplayText&gt;(Alessandrini et al., 2012)&lt;/DisplayText&gt;&lt;record&gt;&lt;rec-number&gt;117&lt;/rec-number&gt;&lt;foreign-keys&gt;&lt;key app="EN" db-id="x5etaz5aiszvz0edasvvpwvotttxepvd25t2" timestamp="1605185596"&gt;117&lt;/key&gt;&lt;/foreign-keys&gt;&lt;ref-type name="Journal Article"&gt;17&lt;/ref-type&gt;&lt;contributors&gt;&lt;authors&gt;&lt;author&gt;Alessandrini, Adriano&lt;/author&gt;&lt;author&gt;Delle Site, Paolo&lt;/author&gt;&lt;author&gt;Filippi, Francesco&lt;/author&gt;&lt;author&gt;Salucci, Marco Valerio&lt;/author&gt;&lt;/authors&gt;&lt;/contributors&gt;&lt;titles&gt;&lt;title&gt;Using rail to make urban freight distribution more sustainable&lt;/title&gt;&lt;secondary-title&gt;European Transport\Trasporti Europei&lt;/secondary-title&gt;&lt;/titles&gt;&lt;periodical&gt;&lt;full-title&gt;European Transport\Trasporti Europei&lt;/full-title&gt;&lt;/periodical&gt;&lt;number&gt;50&lt;/number&gt;&lt;dates&gt;&lt;year&gt;2012&lt;/year&gt;&lt;/dates&gt;&lt;urls&gt;&lt;/urls&gt;&lt;/record&gt;&lt;/Cite&gt;&lt;/EndNote&gt;</w:instrText>
      </w:r>
      <w:r w:rsidR="00F56E7B">
        <w:rPr>
          <w:noProof/>
        </w:rPr>
        <w:fldChar w:fldCharType="separate"/>
      </w:r>
      <w:r w:rsidR="004B5CCA">
        <w:rPr>
          <w:noProof/>
        </w:rPr>
        <w:t>(Alessandrini et al., 2012)</w:t>
      </w:r>
      <w:r w:rsidR="00F56E7B">
        <w:rPr>
          <w:noProof/>
        </w:rPr>
        <w:fldChar w:fldCharType="end"/>
      </w:r>
      <w:r w:rsidR="009250BD">
        <w:rPr>
          <w:rFonts w:hint="eastAsia"/>
          <w:noProof/>
        </w:rPr>
        <w:t>,</w:t>
      </w:r>
      <w:r w:rsidRPr="00A96AC5">
        <w:rPr>
          <w:rFonts w:cs="Times New Roman"/>
        </w:rPr>
        <w:t xml:space="preserve"> and </w:t>
      </w:r>
      <w:r w:rsidR="00EE30E0">
        <w:rPr>
          <w:rFonts w:cs="Times New Roman"/>
        </w:rPr>
        <w:fldChar w:fldCharType="begin"/>
      </w:r>
      <w:r w:rsidR="00CA64EE">
        <w:rPr>
          <w:rFonts w:cs="Times New Roman"/>
        </w:rPr>
        <w:instrText xml:space="preserve"> ADDIN EN.CITE &lt;EndNote&gt;&lt;Cite AuthorYear="1"&gt;&lt;Author&gt;Arvidsson&lt;/Author&gt;&lt;Year&gt;2013&lt;/Year&gt;&lt;RecNum&gt;113&lt;/RecNum&gt;&lt;DisplayText&gt;Arvidsson and Browne (2013)&lt;/DisplayText&gt;&lt;record&gt;&lt;rec-number&gt;113&lt;/rec-number&gt;&lt;foreign-keys&gt;&lt;key app="EN" db-id="x5etaz5aiszvz0edasvvpwvotttxepvd25t2" timestamp="1605182736"&gt;113&lt;/key&gt;&lt;/foreign-keys&gt;&lt;ref-type name="Journal Article"&gt;17&lt;/ref-type&gt;&lt;contributors&gt;&lt;authors&gt;&lt;author&gt;Arvidsson, Niklas&lt;/author&gt;&lt;author&gt;Browne, Michael&lt;/author&gt;&lt;/authors&gt;&lt;/contributors&gt;&lt;titles&gt;&lt;title&gt;A review of the success and failure of tram systems to carry urban freight: the implications for a low emission intermodal solution using electric vehicles on trams&lt;/title&gt;&lt;secondary-title&gt;European Transport\Trasporti Europei&lt;/secondary-title&gt;&lt;/titles&gt;&lt;periodical&gt;&lt;full-title&gt;European Transport\Trasporti Europei&lt;/full-title&gt;&lt;/periodical&gt;&lt;pages&gt;1-5&lt;/pages&gt;&lt;number&gt;54&lt;/number&gt;&lt;dates&gt;&lt;year&gt;2013&lt;/year&gt;&lt;/dates&gt;&lt;urls&gt;&lt;/urls&gt;&lt;/record&gt;&lt;/Cite&gt;&lt;/EndNote&gt;</w:instrText>
      </w:r>
      <w:r w:rsidR="00EE30E0">
        <w:rPr>
          <w:rFonts w:cs="Times New Roman"/>
        </w:rPr>
        <w:fldChar w:fldCharType="separate"/>
      </w:r>
      <w:r w:rsidR="009250BD">
        <w:rPr>
          <w:rFonts w:cs="Times New Roman"/>
          <w:noProof/>
        </w:rPr>
        <w:t>Arvidsson and Browne (2013)</w:t>
      </w:r>
      <w:r w:rsidR="00EE30E0">
        <w:rPr>
          <w:rFonts w:cs="Times New Roman"/>
        </w:rPr>
        <w:fldChar w:fldCharType="end"/>
      </w:r>
      <w:r w:rsidR="00EE30E0">
        <w:rPr>
          <w:rFonts w:cs="Times New Roman"/>
        </w:rPr>
        <w:t xml:space="preserve"> </w:t>
      </w:r>
      <w:r w:rsidRPr="00A96AC5">
        <w:rPr>
          <w:rFonts w:cs="Times New Roman"/>
        </w:rPr>
        <w:t xml:space="preserve">propose the use of metro/tram railways systems for goods deliveries, citing advantages in terms of capacity, fuel consumption, and ground space occupation. However, there are some </w:t>
      </w:r>
      <w:r w:rsidRPr="00A96AC5">
        <w:rPr>
          <w:rFonts w:cs="Times New Roman"/>
        </w:rPr>
        <w:lastRenderedPageBreak/>
        <w:t xml:space="preserve">constraints in terms of a lack of support facilities and activities; the limited flexibility of the routes; and difficulties in obtaining the cooperation of delivery companies and underground operators. Quantitative findings are presented by </w:t>
      </w:r>
      <w:r w:rsidR="00BD4473">
        <w:rPr>
          <w:noProof/>
        </w:rPr>
        <w:fldChar w:fldCharType="begin">
          <w:fldData xml:space="preserve">PEVuZE5vdGU+PENpdGUgQXV0aG9yWWVhcj0iMSI+PEF1dGhvcj5Eb25nPC9BdXRob3I+PFllYXI+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</w:fldData>
        </w:fldChar>
      </w:r>
      <w:r w:rsidR="00647E79">
        <w:rPr>
          <w:noProof/>
        </w:rPr>
        <w:instrText xml:space="preserve"> ADDIN EN.CITE </w:instrText>
      </w:r>
      <w:r w:rsidR="00647E79">
        <w:rPr>
          <w:noProof/>
        </w:rPr>
        <w:fldChar w:fldCharType="begin">
          <w:fldData xml:space="preserve">PEVuZE5vdGU+PENpdGUgQXV0aG9yWWVhcj0iMSI+PEF1dGhvcj5Eb25nPC9BdXRob3I+PFllYXI+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</w:fldData>
        </w:fldChar>
      </w:r>
      <w:r w:rsidR="00647E79">
        <w:rPr>
          <w:noProof/>
        </w:rPr>
        <w:instrText xml:space="preserve"> ADDIN EN.CITE.DATA </w:instrText>
      </w:r>
      <w:r w:rsidR="00647E79">
        <w:rPr>
          <w:noProof/>
        </w:rPr>
      </w:r>
      <w:r w:rsidR="00647E79">
        <w:rPr>
          <w:noProof/>
        </w:rPr>
        <w:fldChar w:fldCharType="end"/>
      </w:r>
      <w:r w:rsidR="00BD4473">
        <w:rPr>
          <w:noProof/>
        </w:rPr>
      </w:r>
      <w:r w:rsidR="00BD4473">
        <w:rPr>
          <w:noProof/>
        </w:rPr>
        <w:fldChar w:fldCharType="separate"/>
      </w:r>
      <w:r w:rsidR="00BD4473">
        <w:rPr>
          <w:noProof/>
        </w:rPr>
        <w:t>Dong et al. (2019)</w:t>
      </w:r>
      <w:r w:rsidR="00BD4473">
        <w:rPr>
          <w:noProof/>
        </w:rPr>
        <w:fldChar w:fldCharType="end"/>
      </w:r>
      <w:r w:rsidRPr="00A96AC5">
        <w:rPr>
          <w:rFonts w:cs="Times New Roman"/>
        </w:rPr>
        <w:t xml:space="preserve">, who implemented a simulation using the system dynamics method to test the delivery efficiency of an underground system under different densities of metro line. The results suggest that underground delivery significantly reduces on-road freight traffic volume, alleviates congestion, and reduces truck-related emissions. Furthermore, it improves logistics efficiency by reducing travel times in the urban area. </w:t>
      </w:r>
    </w:p>
    <w:p w14:paraId="13EC31CF" w14:textId="4E034557" w:rsidR="0071798B" w:rsidRPr="00A96AC5" w:rsidRDefault="0071798B" w:rsidP="00C15D78">
      <w:pPr>
        <w:spacing w:after="240" w:line="360" w:lineRule="auto"/>
        <w:rPr>
          <w:rFonts w:cs="Times New Roman"/>
        </w:rPr>
      </w:pPr>
      <w:r w:rsidRPr="00A96AC5">
        <w:rPr>
          <w:rFonts w:cs="Times New Roman"/>
        </w:rPr>
        <w:t xml:space="preserve">The use of cargo bikes (or cargo cyclists) for urban delivery is a new idea being tested in practice </w:t>
      </w:r>
      <w:r w:rsidR="00BD4473">
        <w:rPr>
          <w:rFonts w:cs="Times New Roman"/>
        </w:rPr>
        <w:fldChar w:fldCharType="begin">
          <w:fldData xml:space="preserve">PEVuZE5vdGU+PENpdGU+PEF1dGhvcj5TY2hsaXdhPC9BdXRob3I+PFllYXI+MjAxNTwvWWVhcj48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</w:fldData>
        </w:fldChar>
      </w:r>
      <w:r w:rsidR="00CA64EE">
        <w:rPr>
          <w:rFonts w:cs="Times New Roman"/>
        </w:rPr>
        <w:instrText xml:space="preserve"> ADDIN EN.CITE </w:instrText>
      </w:r>
      <w:r w:rsidR="00CA64EE">
        <w:rPr>
          <w:rFonts w:cs="Times New Roman"/>
        </w:rPr>
        <w:fldChar w:fldCharType="begin">
          <w:fldData xml:space="preserve">PEVuZE5vdGU+PENpdGU+PEF1dGhvcj5TY2hsaXdhPC9BdXRob3I+PFllYXI+MjAxNTwvWWVhcj48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</w:fldData>
        </w:fldChar>
      </w:r>
      <w:r w:rsidR="00CA64EE">
        <w:rPr>
          <w:rFonts w:cs="Times New Roman"/>
        </w:rPr>
        <w:instrText xml:space="preserve"> ADDIN EN.CITE.DATA </w:instrText>
      </w:r>
      <w:r w:rsidR="00CA64EE">
        <w:rPr>
          <w:rFonts w:cs="Times New Roman"/>
        </w:rPr>
      </w:r>
      <w:r w:rsidR="00CA64EE">
        <w:rPr>
          <w:rFonts w:cs="Times New Roman"/>
        </w:rPr>
        <w:fldChar w:fldCharType="end"/>
      </w:r>
      <w:r w:rsidR="00BD4473">
        <w:rPr>
          <w:rFonts w:cs="Times New Roman"/>
        </w:rPr>
      </w:r>
      <w:r w:rsidR="00BD4473">
        <w:rPr>
          <w:rFonts w:cs="Times New Roman"/>
        </w:rPr>
        <w:fldChar w:fldCharType="separate"/>
      </w:r>
      <w:r w:rsidR="00163D1C">
        <w:rPr>
          <w:rFonts w:cs="Times New Roman"/>
          <w:noProof/>
        </w:rPr>
        <w:t>(Schliwa et al., 2015, Anderluh et al., 2017, Pitera et al., 2017, Arnold et al., 2018, Sheth et al., 2019)</w:t>
      </w:r>
      <w:r w:rsidR="00BD4473">
        <w:rPr>
          <w:rFonts w:cs="Times New Roman"/>
        </w:rPr>
        <w:fldChar w:fldCharType="end"/>
      </w:r>
      <w:r w:rsidR="00BD4473">
        <w:rPr>
          <w:rFonts w:cs="Times New Roman" w:hint="eastAsia"/>
        </w:rPr>
        <w:t>.</w:t>
      </w:r>
      <w:r w:rsidR="00BD4473">
        <w:rPr>
          <w:rFonts w:cs="Times New Roman"/>
        </w:rPr>
        <w:t xml:space="preserve"> </w:t>
      </w:r>
      <w:r w:rsidRPr="00A96AC5">
        <w:rPr>
          <w:rFonts w:cs="Times New Roman"/>
        </w:rPr>
        <w:t xml:space="preserve">The results indicate that cargo bikes are adaptable for historic neighbourhoods and high-density urban areas with narrow streets. As a zero-emission delivery tool, they also support the environmental objectives of </w:t>
      </w:r>
      <w:r w:rsidR="00A84BEB">
        <w:rPr>
          <w:rFonts w:cs="Times New Roman"/>
        </w:rPr>
        <w:t>LAs</w:t>
      </w:r>
      <w:r w:rsidRPr="00A96AC5">
        <w:rPr>
          <w:rFonts w:cs="Times New Roman"/>
        </w:rPr>
        <w:t xml:space="preserve">. Urban restrictive policies do not affect the cargo bike distribution </w:t>
      </w:r>
      <w:proofErr w:type="gramStart"/>
      <w:r w:rsidRPr="00A96AC5">
        <w:rPr>
          <w:rFonts w:cs="Times New Roman"/>
        </w:rPr>
        <w:t>process,</w:t>
      </w:r>
      <w:proofErr w:type="gramEnd"/>
      <w:r w:rsidRPr="00A96AC5">
        <w:rPr>
          <w:rFonts w:cs="Times New Roman"/>
        </w:rPr>
        <w:t xml:space="preserve"> thus the flexibility improves logistics efficiency in traffic-controlled regions. The operational cost is also lower than that of the conventional delivery method. However, evidence from the above cases also illustrates various drawbacks. First, the loading capacity is </w:t>
      </w:r>
      <w:proofErr w:type="gramStart"/>
      <w:r w:rsidRPr="00A96AC5">
        <w:rPr>
          <w:rFonts w:cs="Times New Roman"/>
        </w:rPr>
        <w:t>relative</w:t>
      </w:r>
      <w:proofErr w:type="gramEnd"/>
      <w:r w:rsidRPr="00A96AC5">
        <w:rPr>
          <w:rFonts w:cs="Times New Roman"/>
        </w:rPr>
        <w:t xml:space="preserve"> low and cargo cycles are only suitable for low-volume and -weight deliveries. Second, it is difficult to equip the bikes the technology necessary to display real-time delivery information to the receivers. Third, the service size is relatively small, thereby additional goods-loading facilities are required to support bike delivery. Finally, safety risks are increased by the inadequate protection measures of the cargo bike.</w:t>
      </w:r>
    </w:p>
    <w:p w14:paraId="673F903D" w14:textId="0C9A80DD" w:rsidR="0071798B" w:rsidRPr="00A96AC5" w:rsidRDefault="00E56E94" w:rsidP="000A4E8C">
      <w:pPr>
        <w:pStyle w:val="Heading4"/>
        <w:spacing w:after="0" w:line="360" w:lineRule="auto"/>
        <w:rPr>
          <w:rFonts w:cs="Times New Roman"/>
        </w:rPr>
      </w:pPr>
      <w:r w:rsidRPr="00A96AC5">
        <w:rPr>
          <w:rFonts w:cs="Times New Roman"/>
        </w:rPr>
        <w:t xml:space="preserve">Alternative </w:t>
      </w:r>
      <w:r w:rsidR="0071798B" w:rsidRPr="008903D1">
        <w:rPr>
          <w:rFonts w:cs="Times New Roman"/>
        </w:rPr>
        <w:t>v</w:t>
      </w:r>
      <w:r w:rsidR="0071798B" w:rsidRPr="00737239">
        <w:rPr>
          <w:rFonts w:cs="Times New Roman"/>
        </w:rPr>
        <w:t xml:space="preserve">ehicles </w:t>
      </w:r>
    </w:p>
    <w:p w14:paraId="26408D4B" w14:textId="21D57AB8" w:rsidR="0071798B" w:rsidRPr="00A96AC5" w:rsidRDefault="0071798B" w:rsidP="00C15D78">
      <w:pPr>
        <w:spacing w:after="240" w:line="360" w:lineRule="auto"/>
        <w:rPr>
          <w:rFonts w:cs="Times New Roman"/>
        </w:rPr>
      </w:pPr>
      <w:r w:rsidRPr="00A96AC5">
        <w:rPr>
          <w:rFonts w:cs="Times New Roman"/>
        </w:rPr>
        <w:t xml:space="preserve">Electricity-powered vehicles (EV) have significant advantages over combustion engine vehicles in terms of environmental </w:t>
      </w:r>
      <w:r w:rsidR="00B61686">
        <w:rPr>
          <w:rFonts w:cs="Times New Roman"/>
        </w:rPr>
        <w:fldChar w:fldCharType="begin">
          <w:fldData xml:space="preserve">PEVuZE5vdGU+PENpdGU+PEF1dGhvcj5NYWNoYXJpczwvQXV0aG9yPjxZZWFyPjIwMDc8L1llYXI+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</w:fldData>
        </w:fldChar>
      </w:r>
      <w:r w:rsidR="00647E79">
        <w:rPr>
          <w:rFonts w:cs="Times New Roman"/>
        </w:rPr>
        <w:instrText xml:space="preserve"> ADDIN EN.CITE </w:instrText>
      </w:r>
      <w:r w:rsidR="00647E79">
        <w:rPr>
          <w:rFonts w:cs="Times New Roman"/>
        </w:rPr>
        <w:fldChar w:fldCharType="begin">
          <w:fldData xml:space="preserve">PEVuZE5vdGU+PENpdGU+PEF1dGhvcj5NYWNoYXJpczwvQXV0aG9yPjxZZWFyPjIwMDc8L1llYXI+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</w:fldData>
        </w:fldChar>
      </w:r>
      <w:r w:rsidR="00647E79">
        <w:rPr>
          <w:rFonts w:cs="Times New Roman"/>
        </w:rPr>
        <w:instrText xml:space="preserve"> ADDIN EN.CITE.DATA </w:instrText>
      </w:r>
      <w:r w:rsidR="00647E79">
        <w:rPr>
          <w:rFonts w:cs="Times New Roman"/>
        </w:rPr>
      </w:r>
      <w:r w:rsidR="00647E79">
        <w:rPr>
          <w:rFonts w:cs="Times New Roman"/>
        </w:rPr>
        <w:fldChar w:fldCharType="end"/>
      </w:r>
      <w:r w:rsidR="00B61686">
        <w:rPr>
          <w:rFonts w:cs="Times New Roman"/>
        </w:rPr>
      </w:r>
      <w:r w:rsidR="00B61686">
        <w:rPr>
          <w:rFonts w:cs="Times New Roman"/>
        </w:rPr>
        <w:fldChar w:fldCharType="separate"/>
      </w:r>
      <w:r w:rsidR="00B61686">
        <w:rPr>
          <w:rFonts w:cs="Times New Roman"/>
          <w:noProof/>
        </w:rPr>
        <w:t>(Macharis et al., 2007, Quak, 2014, Lebeau et al., 2015, Duarte et al., 2016, Muñoz-Villamizar et al., 2017)</w:t>
      </w:r>
      <w:r w:rsidR="00B61686">
        <w:rPr>
          <w:rFonts w:cs="Times New Roman"/>
        </w:rPr>
        <w:fldChar w:fldCharType="end"/>
      </w:r>
      <w:r w:rsidR="00AE7F93">
        <w:rPr>
          <w:rFonts w:cs="Times New Roman"/>
        </w:rPr>
        <w:t xml:space="preserve"> </w:t>
      </w:r>
      <w:r w:rsidRPr="00A96AC5">
        <w:rPr>
          <w:rFonts w:cs="Times New Roman"/>
        </w:rPr>
        <w:t xml:space="preserve">and lower operational costs </w:t>
      </w:r>
      <w:r w:rsidR="00B61686">
        <w:rPr>
          <w:rFonts w:cs="Times New Roman"/>
        </w:rPr>
        <w:fldChar w:fldCharType="begin">
          <w:fldData xml:space="preserve">PEVuZE5vdGU+PENpdGU+PEF1dGhvcj5NYWNoYXJpczwvQXV0aG9yPjxZZWFyPjIwMTM8L1llYXI+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</w:fldData>
        </w:fldChar>
      </w:r>
      <w:r w:rsidR="00647E79">
        <w:rPr>
          <w:rFonts w:cs="Times New Roman"/>
        </w:rPr>
        <w:instrText xml:space="preserve"> ADDIN EN.CITE </w:instrText>
      </w:r>
      <w:r w:rsidR="00647E79">
        <w:rPr>
          <w:rFonts w:cs="Times New Roman"/>
        </w:rPr>
        <w:fldChar w:fldCharType="begin">
          <w:fldData xml:space="preserve">PEVuZE5vdGU+PENpdGU+PEF1dGhvcj5NYWNoYXJpczwvQXV0aG9yPjxZZWFyPjIwMTM8L1llYXI+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</w:fldData>
        </w:fldChar>
      </w:r>
      <w:r w:rsidR="00647E79">
        <w:rPr>
          <w:rFonts w:cs="Times New Roman"/>
        </w:rPr>
        <w:instrText xml:space="preserve"> ADDIN EN.CITE.DATA </w:instrText>
      </w:r>
      <w:r w:rsidR="00647E79">
        <w:rPr>
          <w:rFonts w:cs="Times New Roman"/>
        </w:rPr>
      </w:r>
      <w:r w:rsidR="00647E79">
        <w:rPr>
          <w:rFonts w:cs="Times New Roman"/>
        </w:rPr>
        <w:fldChar w:fldCharType="end"/>
      </w:r>
      <w:r w:rsidR="00B61686">
        <w:rPr>
          <w:rFonts w:cs="Times New Roman"/>
        </w:rPr>
      </w:r>
      <w:r w:rsidR="00B61686">
        <w:rPr>
          <w:rFonts w:cs="Times New Roman"/>
        </w:rPr>
        <w:fldChar w:fldCharType="separate"/>
      </w:r>
      <w:r w:rsidR="00B61686">
        <w:rPr>
          <w:rFonts w:cs="Times New Roman"/>
          <w:noProof/>
        </w:rPr>
        <w:t>(Macharis et al., 2013, Ahani et al., 2016, Giordano et al., 2018)</w:t>
      </w:r>
      <w:r w:rsidR="00B61686">
        <w:rPr>
          <w:rFonts w:cs="Times New Roman"/>
        </w:rPr>
        <w:fldChar w:fldCharType="end"/>
      </w:r>
      <w:r w:rsidRPr="00A96AC5">
        <w:rPr>
          <w:rFonts w:cs="Times New Roman"/>
        </w:rPr>
        <w:t xml:space="preserve">. However, in the current context, EVs cannot yet replace conventional trucks because combustion engine vehicles still have more stability in terms of risk and uncertainty control </w:t>
      </w:r>
      <w:r w:rsidR="00C00B9D">
        <w:rPr>
          <w:noProof/>
        </w:rPr>
        <w:t>(Quak, 2014)</w:t>
      </w:r>
      <w:r w:rsidRPr="00A96AC5">
        <w:rPr>
          <w:rFonts w:cs="Times New Roman"/>
        </w:rPr>
        <w:t xml:space="preserve">. The designs of EVs and conventional vehicles should be </w:t>
      </w:r>
      <w:proofErr w:type="gramStart"/>
      <w:r w:rsidRPr="00A96AC5">
        <w:rPr>
          <w:rFonts w:cs="Times New Roman"/>
        </w:rPr>
        <w:t>compatible</w:t>
      </w:r>
      <w:proofErr w:type="gramEnd"/>
      <w:r w:rsidRPr="00A96AC5">
        <w:rPr>
          <w:rFonts w:cs="Times New Roman"/>
        </w:rPr>
        <w:t xml:space="preserve"> and the vehicles used together, under the current logistics operating model, to reduce the risks associated with the new technology </w:t>
      </w:r>
      <w:r w:rsidR="00085270" w:rsidRPr="00247948">
        <w:rPr>
          <w:noProof/>
        </w:rPr>
        <w:t>(Quak, 2014)</w:t>
      </w:r>
      <w:r w:rsidRPr="00A96AC5">
        <w:rPr>
          <w:rFonts w:cs="Times New Roman"/>
        </w:rPr>
        <w:t xml:space="preserve">. The capacity and road adaption of EVs are usually lower than those of conventional vehicles </w:t>
      </w:r>
      <w:r w:rsidR="00762613" w:rsidRPr="004C1BDE">
        <w:rPr>
          <w:noProof/>
        </w:rPr>
        <w:t>(Lebeau et al., 2015)</w:t>
      </w:r>
      <w:r w:rsidRPr="00A96AC5">
        <w:rPr>
          <w:rFonts w:cs="Times New Roman"/>
        </w:rPr>
        <w:t xml:space="preserve">; thus, when dealing with a large quantity of goods, more EVs must be </w:t>
      </w:r>
      <w:r w:rsidRPr="00A96AC5">
        <w:rPr>
          <w:rFonts w:cs="Times New Roman"/>
        </w:rPr>
        <w:lastRenderedPageBreak/>
        <w:t xml:space="preserve">used, thus increasing traffic pressure </w:t>
      </w:r>
      <w:r w:rsidR="0023154A" w:rsidRPr="00247948">
        <w:rPr>
          <w:noProof/>
        </w:rPr>
        <w:t>(Lebeau et al., 2015)</w:t>
      </w:r>
      <w:r w:rsidRPr="00A96AC5">
        <w:rPr>
          <w:rFonts w:cs="Times New Roman"/>
        </w:rPr>
        <w:t xml:space="preserve">. In addition, supplementary infrastructure is required in metropolitan areas, as battery charging in off-hours could not adequately meet the needs of a day’s work for an EV in a metropolitan area </w:t>
      </w:r>
      <w:r w:rsidR="00C37CA9">
        <w:t>(</w:t>
      </w:r>
      <w:proofErr w:type="spellStart"/>
      <w:r w:rsidR="00C37CA9">
        <w:t>Taefi</w:t>
      </w:r>
      <w:proofErr w:type="spellEnd"/>
      <w:r w:rsidR="00C37CA9">
        <w:t>, 2016)</w:t>
      </w:r>
      <w:r w:rsidRPr="00A96AC5">
        <w:rPr>
          <w:rFonts w:cs="Times New Roman"/>
        </w:rPr>
        <w:t xml:space="preserve">. Owing to noise and emissions, EVs are more likely to be competitive than conventional diesel vehicles if deployed in a ‘day-and-night’ shift delivery model, but this  research demonstrates that </w:t>
      </w:r>
      <w:r w:rsidR="00B61686">
        <w:fldChar w:fldCharType="begin"/>
      </w:r>
      <w:r w:rsidR="00647E79">
        <w:instrText xml:space="preserve"> ADDIN EN.CITE &lt;EndNote&gt;&lt;Cite&gt;&lt;Author&gt;Taefi&lt;/Author&gt;&lt;Year&gt;2016&lt;/Year&gt;&lt;RecNum&gt;86&lt;/RecNum&gt;&lt;DisplayText&gt;(Taefi, 2016)&lt;/DisplayText&gt;&lt;record&gt;&lt;rec-number&gt;86&lt;/rec-number&gt;&lt;foreign-keys&gt;&lt;key app="EN" db-id="pzt5ep52hsedfpeext2pdfes0w0aswaewef2" timestamp="1605187993"&gt;86&lt;/key&gt;&lt;/foreign-keys&gt;&lt;ref-type name="Journal Article"&gt;17&lt;/ref-type&gt;&lt;contributors&gt;&lt;authors&gt;&lt;author&gt;Taefi, Tessa T&lt;/author&gt;&lt;/authors&gt;&lt;/contributors&gt;&lt;titles&gt;&lt;title&gt;Viability of electric vehicles in combined day and night delivery: a total cost of ownership example in Germany&lt;/title&gt;&lt;secondary-title&gt;EJTIR&lt;/secondary-title&gt;&lt;/titles&gt;&lt;periodical&gt;&lt;full-title&gt;EJTIR&lt;/full-title&gt;&lt;/periodical&gt;&lt;pages&gt;600-618&lt;/pages&gt;&lt;volume&gt;16&lt;/volume&gt;&lt;number&gt;4&lt;/number&gt;&lt;dates&gt;&lt;year&gt;2016&lt;/year&gt;&lt;/dates&gt;&lt;urls&gt;&lt;/urls&gt;&lt;/record&gt;&lt;/Cite&gt;&lt;/EndNote&gt;</w:instrText>
      </w:r>
      <w:r w:rsidR="00B61686">
        <w:fldChar w:fldCharType="separate"/>
      </w:r>
      <w:r w:rsidR="00B61686">
        <w:rPr>
          <w:noProof/>
        </w:rPr>
        <w:t>(Taefi, 2016)</w:t>
      </w:r>
      <w:r w:rsidR="00B61686">
        <w:fldChar w:fldCharType="end"/>
      </w:r>
      <w:r w:rsidRPr="00A96AC5">
        <w:rPr>
          <w:rFonts w:cs="Times New Roman"/>
        </w:rPr>
        <w:t>.</w:t>
      </w:r>
    </w:p>
    <w:p w14:paraId="64AFAAF6" w14:textId="72EF7B81" w:rsidR="0071798B" w:rsidRPr="00A96AC5" w:rsidRDefault="0071798B" w:rsidP="00C15D78">
      <w:pPr>
        <w:spacing w:after="240" w:line="360" w:lineRule="auto"/>
        <w:rPr>
          <w:rFonts w:cs="Times New Roman"/>
        </w:rPr>
      </w:pPr>
      <w:r w:rsidRPr="00A96AC5">
        <w:rPr>
          <w:rFonts w:cs="Times New Roman"/>
        </w:rPr>
        <w:t xml:space="preserve">From a government perspective, EVs will create additional financial burdens. Due to the high purchase cost of the EVs, the government must provide subsidies to logistical companies wishing to buy them </w:t>
      </w:r>
      <w:r w:rsidR="00430C0E">
        <w:fldChar w:fldCharType="begin"/>
      </w:r>
      <w:r w:rsidR="00647E79">
        <w:instrText xml:space="preserve"> ADDIN EN.CITE &lt;EndNote&gt;&lt;Cite&gt;&lt;Author&gt;Roumboutsos&lt;/Author&gt;&lt;Year&gt;2014&lt;/Year&gt;&lt;RecNum&gt;87&lt;/RecNum&gt;&lt;DisplayText&gt;(Roumboutsos et al., 2014)&lt;/DisplayText&gt;&lt;record&gt;&lt;rec-number&gt;87&lt;/rec-number&gt;&lt;foreign-keys&gt;&lt;key app="EN" db-id="pzt5ep52hsedfpeext2pdfes0w0aswaewef2" timestamp="1605187993"&gt;87&lt;/key&gt;&lt;/foreign-keys&gt;&lt;ref-type name="Journal Article"&gt;17&lt;/ref-type&gt;&lt;contributors&gt;&lt;authors&gt;&lt;author&gt;Roumboutsos, Athena&lt;/author&gt;&lt;author&gt;Kapros, Seraphim&lt;/author&gt;&lt;author&gt;Vanelslander, Thierry&lt;/author&gt;&lt;/authors&gt;&lt;/contributors&gt;&lt;titles&gt;&lt;title&gt;Green city logistics: Systems of Innovation to assess the potential of E-vehicles&lt;/title&gt;&lt;secondary-title&gt;Research in Transportation Business &amp;amp; Management&lt;/secondary-title&gt;&lt;/titles&gt;&lt;periodical&gt;&lt;full-title&gt;Research in Transportation Business &amp;amp; Management&lt;/full-title&gt;&lt;/periodical&gt;&lt;pages&gt;43-52&lt;/pages&gt;&lt;volume&gt;11&lt;/volume&gt;&lt;dates&gt;&lt;year&gt;2014&lt;/year&gt;&lt;/dates&gt;&lt;isbn&gt;2210-5395&lt;/isbn&gt;&lt;urls&gt;&lt;related-urls&gt;&lt;url&gt;http://www.sciencedirect.com/science/article/pii/S2210539514000303&lt;/url&gt;&lt;/related-urls&gt;&lt;/urls&gt;&lt;research-notes&gt;50&lt;/research-notes&gt;&lt;/record&gt;&lt;/Cite&gt;&lt;/EndNote&gt;</w:instrText>
      </w:r>
      <w:r w:rsidR="00430C0E">
        <w:fldChar w:fldCharType="separate"/>
      </w:r>
      <w:r w:rsidR="00430C0E">
        <w:rPr>
          <w:noProof/>
        </w:rPr>
        <w:t>(Roumboutsos et al., 2014)</w:t>
      </w:r>
      <w:r w:rsidR="00430C0E">
        <w:fldChar w:fldCharType="end"/>
      </w:r>
      <w:r w:rsidRPr="00A96AC5">
        <w:rPr>
          <w:rFonts w:cs="Times New Roman"/>
        </w:rPr>
        <w:t xml:space="preserve">. Moreover, detailed policies are required to support the implementation of EVs. Another drawback is noted by </w:t>
      </w:r>
      <w:r w:rsidR="00430C0E">
        <w:fldChar w:fldCharType="begin"/>
      </w:r>
      <w:r w:rsidR="00647E79">
        <w:instrText xml:space="preserve"> ADDIN EN.CITE &lt;EndNote&gt;&lt;Cite AuthorYear="1"&gt;&lt;Author&gt;Lebeau&lt;/Author&gt;&lt;Year&gt;2016&lt;/Year&gt;&lt;RecNum&gt;88&lt;/RecNum&gt;&lt;DisplayText&gt;Lebeau et al. (2016)&lt;/DisplayText&gt;&lt;record&gt;&lt;rec-number&gt;88&lt;/rec-number&gt;&lt;foreign-keys&gt;&lt;key app="EN" db-id="pzt5ep52hsedfpeext2pdfes0w0aswaewef2" timestamp="1605187993"&gt;88&lt;/key&gt;&lt;/foreign-keys&gt;&lt;ref-type name="Journal Article"&gt;17&lt;/ref-type&gt;&lt;contributors&gt;&lt;authors&gt;&lt;author&gt;Lebeau, Philippe&lt;/author&gt;&lt;author&gt;Macharis, Cathy&lt;/author&gt;&lt;author&gt;Van Mierlo, Joeri&lt;/author&gt;&lt;/authors&gt;&lt;/contributors&gt;&lt;titles&gt;&lt;title&gt;Exploring the choice of battery electric vehicles in city logistics: A conjoint-based choice analysis&lt;/title&gt;&lt;secondary-title&gt;Transportation Research Part E: Logistics and Transportation Review&lt;/secondary-title&gt;&lt;/titles&gt;&lt;periodical&gt;&lt;full-title&gt;Transportation research part E: logistics and transportation review&lt;/full-title&gt;&lt;/periodical&gt;&lt;pages&gt;245-258&lt;/pages&gt;&lt;volume&gt;91&lt;/volume&gt;&lt;dates&gt;&lt;year&gt;2016&lt;/year&gt;&lt;/dates&gt;&lt;isbn&gt;1366-5545&lt;/isbn&gt;&lt;urls&gt;&lt;related-urls&gt;&lt;url&gt;http://www.sciencedirect.com/science/article/pii/S1366554515301873&lt;/url&gt;&lt;/related-urls&gt;&lt;/urls&gt;&lt;research-notes&gt;139&lt;/research-notes&gt;&lt;/record&gt;&lt;/Cite&gt;&lt;/EndNote&gt;</w:instrText>
      </w:r>
      <w:r w:rsidR="00430C0E">
        <w:fldChar w:fldCharType="separate"/>
      </w:r>
      <w:r w:rsidR="00AD079F">
        <w:rPr>
          <w:noProof/>
        </w:rPr>
        <w:t>Lebeau et al. (2016)</w:t>
      </w:r>
      <w:r w:rsidR="00430C0E">
        <w:fldChar w:fldCharType="end"/>
      </w:r>
      <w:r w:rsidRPr="00A96AC5">
        <w:rPr>
          <w:rFonts w:cs="Times New Roman"/>
        </w:rPr>
        <w:t xml:space="preserve">, who insist that even if the vehicles have lower operational costs, the entire cost of their lifecycle is much higher than that of a conventional vehicle. Battery degradation is also highlighted by </w:t>
      </w:r>
      <w:r w:rsidR="003C6593">
        <w:rPr>
          <w:noProof/>
        </w:rPr>
        <w:t>Taefi (2016)</w:t>
      </w:r>
      <w:r w:rsidR="00ED26B3">
        <w:rPr>
          <w:noProof/>
        </w:rPr>
        <w:t xml:space="preserve"> and</w:t>
      </w:r>
      <w:r w:rsidR="003C6593">
        <w:rPr>
          <w:noProof/>
        </w:rPr>
        <w:t xml:space="preserve"> </w:t>
      </w:r>
      <w:r w:rsidR="00430C0E">
        <w:rPr>
          <w:noProof/>
        </w:rPr>
        <w:fldChar w:fldCharType="begin">
          <w:fldData xml:space="preserve">PEVuZE5vdGU+PENpdGUgQXV0aG9yWWVhcj0iMSI+PEF1dGhvcj5QZWxsZXRpZXI8L0F1dGhvcj48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</w:fldData>
        </w:fldChar>
      </w:r>
      <w:r w:rsidR="00647E79">
        <w:rPr>
          <w:noProof/>
        </w:rPr>
        <w:instrText xml:space="preserve"> ADDIN EN.CITE </w:instrText>
      </w:r>
      <w:r w:rsidR="00647E79">
        <w:rPr>
          <w:noProof/>
        </w:rPr>
        <w:fldChar w:fldCharType="begin">
          <w:fldData xml:space="preserve">PEVuZE5vdGU+PENpdGUgQXV0aG9yWWVhcj0iMSI+PEF1dGhvcj5QZWxsZXRpZXI8L0F1dGhvcj48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</w:fldData>
        </w:fldChar>
      </w:r>
      <w:r w:rsidR="00647E79">
        <w:rPr>
          <w:noProof/>
        </w:rPr>
        <w:instrText xml:space="preserve"> ADDIN EN.CITE.DATA </w:instrText>
      </w:r>
      <w:r w:rsidR="00647E79">
        <w:rPr>
          <w:noProof/>
        </w:rPr>
      </w:r>
      <w:r w:rsidR="00647E79">
        <w:rPr>
          <w:noProof/>
        </w:rPr>
        <w:fldChar w:fldCharType="end"/>
      </w:r>
      <w:r w:rsidR="00430C0E">
        <w:rPr>
          <w:noProof/>
        </w:rPr>
      </w:r>
      <w:r w:rsidR="00430C0E">
        <w:rPr>
          <w:noProof/>
        </w:rPr>
        <w:fldChar w:fldCharType="separate"/>
      </w:r>
      <w:r w:rsidR="00850B2A">
        <w:rPr>
          <w:noProof/>
        </w:rPr>
        <w:t>Pelletier et al. (2018)</w:t>
      </w:r>
      <w:r w:rsidR="00430C0E">
        <w:rPr>
          <w:noProof/>
        </w:rPr>
        <w:fldChar w:fldCharType="end"/>
      </w:r>
      <w:r w:rsidRPr="00A96AC5">
        <w:rPr>
          <w:rFonts w:cs="Times New Roman"/>
        </w:rPr>
        <w:t xml:space="preserve">, with challenges posed by the fading of the battery capacity and power. Such issues will impede delivery efficiency as the service radius of the EV decreases over time. </w:t>
      </w:r>
    </w:p>
    <w:p w14:paraId="423E9BF9" w14:textId="1BE2CBC3" w:rsidR="0071798B" w:rsidRDefault="0071798B" w:rsidP="000A4E8C">
      <w:pPr>
        <w:pStyle w:val="Heading4"/>
        <w:spacing w:after="0" w:line="360" w:lineRule="auto"/>
        <w:rPr>
          <w:rFonts w:cs="Times New Roman"/>
        </w:rPr>
      </w:pPr>
      <w:r w:rsidRPr="00A96AC5">
        <w:rPr>
          <w:rFonts w:cs="Times New Roman"/>
        </w:rPr>
        <w:t>Collaborative urban logistics (UL)</w:t>
      </w:r>
    </w:p>
    <w:p w14:paraId="4F88C5C1" w14:textId="1F79EA83" w:rsidR="0071798B" w:rsidRPr="00B0610A" w:rsidRDefault="00674E62" w:rsidP="001802EF">
      <w:pPr>
        <w:spacing w:after="240" w:line="360" w:lineRule="auto"/>
        <w:rPr>
          <w:color w:val="FF0000"/>
        </w:rPr>
      </w:pPr>
      <w:r w:rsidRPr="00A76461">
        <w:rPr>
          <w:color w:val="FF0000"/>
        </w:rPr>
        <w:t xml:space="preserve">Collaborative freight transportation involves the creation of partnerships involving two or more actors aiming at achieving specific business goals through the utilisation of shared assets </w:t>
      </w:r>
      <w:r w:rsidRPr="00A76461">
        <w:rPr>
          <w:color w:val="FF0000"/>
        </w:rPr>
        <w:fldChar w:fldCharType="begin"/>
      </w:r>
      <w:r w:rsidRPr="00A76461">
        <w:rPr>
          <w:color w:val="FF0000"/>
        </w:rPr>
        <w:instrText xml:space="preserve"> ADDIN EN.CITE &lt;EndNote&gt;&lt;Cite&gt;&lt;Author&gt;Lambert&lt;/Author&gt;&lt;Year&gt;1999&lt;/Year&gt;&lt;RecNum&gt;216&lt;/RecNum&gt;&lt;DisplayText&gt;(Lambert et al., 1999, Pomponi et al., 2013)&lt;/DisplayText&gt;&lt;record&gt;&lt;rec-number&gt;216&lt;/rec-number&gt;&lt;foreign-keys&gt;&lt;key app="EN" db-id="x5etaz5aiszvz0edasvvpwvotttxepvd25t2" timestamp="1611177410"&gt;216&lt;/key&gt;&lt;/foreign-keys&gt;&lt;ref-type name="Journal Article"&gt;17&lt;/ref-type&gt;&lt;contributors&gt;&lt;authors&gt;&lt;author&gt;Lambert, Douglas M&lt;/author&gt;&lt;author&gt;Emmelhainz, Margaret A&lt;/author&gt;&lt;author&gt;Gardner, John T &lt;/author&gt;&lt;/authors&gt;&lt;/contributors&gt;&lt;titles&gt;&lt;title&gt;Building successful logistics partnerships&lt;/title&gt;&lt;secondary-title&gt;Journal of business logistics&lt;/secondary-title&gt;&lt;/titles&gt;&lt;periodical&gt;&lt;full-title&gt;Journal of business logistics&lt;/full-title&gt;&lt;/periodical&gt;&lt;pages&gt;165&lt;/pages&gt;&lt;volume&gt;20&lt;/volume&gt;&lt;number&gt;1&lt;/number&gt;&lt;dates&gt;&lt;year&gt;1999&lt;/year&gt;&lt;/dates&gt;&lt;isbn&gt;0735-3766&lt;/isbn&gt;&lt;urls&gt;&lt;/urls&gt;&lt;/record&gt;&lt;/Cite&gt;&lt;Cite&gt;&lt;Author&gt;Pomponi&lt;/Author&gt;&lt;Year&gt;2013&lt;/Year&gt;&lt;RecNum&gt;217&lt;/RecNum&gt;&lt;record&gt;&lt;rec-number&gt;217&lt;/rec-number&gt;&lt;foreign-keys&gt;&lt;key app="EN" db-id="x5etaz5aiszvz0edasvvpwvotttxepvd25t2" timestamp="1611177410"&gt;217&lt;/key&gt;&lt;/foreign-keys&gt;&lt;ref-type name="Journal Article"&gt;17&lt;/ref-type&gt;&lt;contributors&gt;&lt;authors&gt;&lt;author&gt;Pomponi, Francesco&lt;/author&gt;&lt;author&gt;Fratocchi, Luciano&lt;/author&gt;&lt;author&gt;Tafuri, Silvia Rossi&lt;/author&gt;&lt;author&gt;Palumbo, Mario&lt;/author&gt;&lt;/authors&gt;&lt;/contributors&gt;&lt;titles&gt;&lt;title&gt;Horizontal collaboration in logistics: a comprehensive framework&lt;/title&gt;&lt;secondary-title&gt;Research in Logistics &amp;amp; Production&lt;/secondary-title&gt;&lt;/titles&gt;&lt;periodical&gt;&lt;full-title&gt;Research in Logistics &amp;amp; Production&lt;/full-title&gt;&lt;/periodical&gt;&lt;volume&gt;3&lt;/volume&gt;&lt;dates&gt;&lt;year&gt;2013&lt;/year&gt;&lt;/dates&gt;&lt;isbn&gt;2083-4942&lt;/isbn&gt;&lt;urls&gt;&lt;/urls&gt;&lt;/record&gt;&lt;/Cite&gt;&lt;/EndNote&gt;</w:instrText>
      </w:r>
      <w:r w:rsidRPr="00A76461">
        <w:rPr>
          <w:color w:val="FF0000"/>
        </w:rPr>
        <w:fldChar w:fldCharType="separate"/>
      </w:r>
      <w:r w:rsidRPr="00A76461">
        <w:rPr>
          <w:noProof/>
          <w:color w:val="FF0000"/>
        </w:rPr>
        <w:t>(Lambert et al., 1999, Pomponi et al., 2013)</w:t>
      </w:r>
      <w:r w:rsidRPr="00A76461">
        <w:rPr>
          <w:color w:val="FF0000"/>
        </w:rPr>
        <w:fldChar w:fldCharType="end"/>
      </w:r>
      <w:r w:rsidRPr="00A76461">
        <w:rPr>
          <w:color w:val="FF0000"/>
        </w:rPr>
        <w:t xml:space="preserve">. </w:t>
      </w:r>
      <w:r w:rsidR="00357B8E">
        <w:rPr>
          <w:color w:val="FF0000"/>
        </w:rPr>
        <w:t>I</w:t>
      </w:r>
      <w:r w:rsidR="00357B8E">
        <w:rPr>
          <w:rFonts w:hint="eastAsia"/>
          <w:color w:val="FF0000"/>
        </w:rPr>
        <w:t>n</w:t>
      </w:r>
      <w:r w:rsidR="00357B8E">
        <w:rPr>
          <w:color w:val="FF0000"/>
        </w:rPr>
        <w:t xml:space="preserve"> the field of </w:t>
      </w:r>
      <w:r w:rsidR="00357B8E">
        <w:rPr>
          <w:rFonts w:cs="Times New Roman"/>
        </w:rPr>
        <w:t>c</w:t>
      </w:r>
      <w:r w:rsidR="0071798B" w:rsidRPr="00A96AC5">
        <w:rPr>
          <w:rFonts w:cs="Times New Roman"/>
        </w:rPr>
        <w:t>ollaborative UL</w:t>
      </w:r>
      <w:r w:rsidR="00357B8E">
        <w:rPr>
          <w:rFonts w:cs="Times New Roman"/>
        </w:rPr>
        <w:t>, it</w:t>
      </w:r>
      <w:r w:rsidR="0071798B" w:rsidRPr="00A96AC5">
        <w:rPr>
          <w:rFonts w:cs="Times New Roman"/>
        </w:rPr>
        <w:t xml:space="preserve"> concerns all members in a supply chain for an urban area, rather than the pure logistics activities or LSPs in the geographical region of </w:t>
      </w:r>
      <w:r w:rsidR="006E32A1">
        <w:rPr>
          <w:rFonts w:cs="Times New Roman"/>
        </w:rPr>
        <w:t xml:space="preserve">a </w:t>
      </w:r>
      <w:r w:rsidR="0071798B" w:rsidRPr="00A96AC5">
        <w:rPr>
          <w:rFonts w:cs="Times New Roman"/>
        </w:rPr>
        <w:t>city.</w:t>
      </w:r>
      <w:r w:rsidR="005A33F5" w:rsidRPr="005A33F5">
        <w:rPr>
          <w:color w:val="FF0000"/>
        </w:rPr>
        <w:t xml:space="preserve"> </w:t>
      </w:r>
      <w:r w:rsidR="005A33F5" w:rsidRPr="00A76461">
        <w:rPr>
          <w:color w:val="FF0000"/>
        </w:rPr>
        <w:fldChar w:fldCharType="begin">
          <w:fldData xml:space="preserve">PEVuZE5vdGU+PENpdGUgQXV0aG9yWWVhcj0iMSI+PEF1dGhvcj5DbGVvcGhhczwvQXV0aG9yPjxZ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==
</w:fldData>
        </w:fldChar>
      </w:r>
      <w:r w:rsidR="005A33F5" w:rsidRPr="00A76461">
        <w:rPr>
          <w:color w:val="FF0000"/>
        </w:rPr>
        <w:instrText xml:space="preserve"> ADDIN EN.CITE </w:instrText>
      </w:r>
      <w:r w:rsidR="005A33F5" w:rsidRPr="00A76461">
        <w:rPr>
          <w:color w:val="FF0000"/>
        </w:rPr>
        <w:fldChar w:fldCharType="begin">
          <w:fldData xml:space="preserve">PEVuZE5vdGU+PENpdGUgQXV0aG9yWWVhcj0iMSI+PEF1dGhvcj5DbGVvcGhhczwvQXV0aG9yPjxZ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==
</w:fldData>
        </w:fldChar>
      </w:r>
      <w:r w:rsidR="005A33F5" w:rsidRPr="00A76461">
        <w:rPr>
          <w:color w:val="FF0000"/>
        </w:rPr>
        <w:instrText xml:space="preserve"> ADDIN EN.CITE.DATA </w:instrText>
      </w:r>
      <w:r w:rsidR="005A33F5" w:rsidRPr="00A76461">
        <w:rPr>
          <w:color w:val="FF0000"/>
        </w:rPr>
      </w:r>
      <w:r w:rsidR="005A33F5" w:rsidRPr="00A76461">
        <w:rPr>
          <w:color w:val="FF0000"/>
        </w:rPr>
        <w:fldChar w:fldCharType="end"/>
      </w:r>
      <w:r w:rsidR="005A33F5" w:rsidRPr="00A76461">
        <w:rPr>
          <w:color w:val="FF0000"/>
        </w:rPr>
      </w:r>
      <w:r w:rsidR="005A33F5" w:rsidRPr="00A76461">
        <w:rPr>
          <w:color w:val="FF0000"/>
        </w:rPr>
        <w:fldChar w:fldCharType="separate"/>
      </w:r>
      <w:r w:rsidR="005A33F5" w:rsidRPr="00A76461">
        <w:rPr>
          <w:color w:val="FF0000"/>
        </w:rPr>
        <w:t>Cleophas et al. (2019)</w:t>
      </w:r>
      <w:r w:rsidR="005A33F5" w:rsidRPr="00A76461">
        <w:rPr>
          <w:color w:val="FF0000"/>
        </w:rPr>
        <w:fldChar w:fldCharType="end"/>
      </w:r>
      <w:r w:rsidR="005A33F5">
        <w:rPr>
          <w:color w:val="FF0000"/>
        </w:rPr>
        <w:t xml:space="preserve"> classify the forms of collaborative </w:t>
      </w:r>
      <w:r w:rsidR="00B0610A">
        <w:rPr>
          <w:color w:val="FF0000"/>
        </w:rPr>
        <w:t xml:space="preserve">urban </w:t>
      </w:r>
      <w:r w:rsidR="005A33F5">
        <w:rPr>
          <w:color w:val="FF0000"/>
        </w:rPr>
        <w:t>freight transportation into two main categories</w:t>
      </w:r>
      <w:r w:rsidR="00E225C9">
        <w:rPr>
          <w:color w:val="FF0000"/>
        </w:rPr>
        <w:t xml:space="preserve">: </w:t>
      </w:r>
      <w:r w:rsidR="005A33F5">
        <w:rPr>
          <w:color w:val="FF0000"/>
        </w:rPr>
        <w:t>h</w:t>
      </w:r>
      <w:r w:rsidR="005A33F5" w:rsidRPr="005A33F5">
        <w:rPr>
          <w:color w:val="FF0000"/>
        </w:rPr>
        <w:t xml:space="preserve">orizontal </w:t>
      </w:r>
      <w:r w:rsidR="005A33F5">
        <w:rPr>
          <w:color w:val="FF0000"/>
        </w:rPr>
        <w:t>c</w:t>
      </w:r>
      <w:r w:rsidR="005A33F5" w:rsidRPr="005A33F5">
        <w:rPr>
          <w:color w:val="FF0000"/>
        </w:rPr>
        <w:t>ollaboration and vertical collaboration.</w:t>
      </w:r>
      <w:r w:rsidR="005A33F5">
        <w:rPr>
          <w:color w:val="FF0000"/>
        </w:rPr>
        <w:t xml:space="preserve"> The attribute of the horizontal collaboration </w:t>
      </w:r>
      <w:r w:rsidR="005A0123">
        <w:rPr>
          <w:color w:val="FF0000"/>
        </w:rPr>
        <w:t xml:space="preserve">is </w:t>
      </w:r>
      <w:r w:rsidR="005A33F5" w:rsidRPr="005A33F5">
        <w:rPr>
          <w:color w:val="FF0000"/>
        </w:rPr>
        <w:t xml:space="preserve">multiple </w:t>
      </w:r>
      <w:r w:rsidR="00B0610A">
        <w:rPr>
          <w:color w:val="FF0000"/>
        </w:rPr>
        <w:t>agents</w:t>
      </w:r>
      <w:r w:rsidR="005A33F5" w:rsidRPr="005A33F5">
        <w:rPr>
          <w:color w:val="FF0000"/>
        </w:rPr>
        <w:t xml:space="preserve"> work together in the same tier of the supply chain</w:t>
      </w:r>
      <w:r w:rsidR="00B0610A">
        <w:rPr>
          <w:color w:val="FF0000"/>
        </w:rPr>
        <w:t xml:space="preserve">, and each </w:t>
      </w:r>
      <w:r w:rsidR="005A0123" w:rsidRPr="00B0610A">
        <w:rPr>
          <w:color w:val="FF0000"/>
        </w:rPr>
        <w:t>partner</w:t>
      </w:r>
      <w:r w:rsidR="00B0610A" w:rsidRPr="00B0610A">
        <w:rPr>
          <w:color w:val="FF0000"/>
        </w:rPr>
        <w:t xml:space="preserve"> serve the same or at least overlapping parts of the transport network</w:t>
      </w:r>
      <w:r w:rsidR="00B0610A">
        <w:rPr>
          <w:color w:val="FF0000"/>
        </w:rPr>
        <w:t xml:space="preserve">. </w:t>
      </w:r>
      <w:r w:rsidR="005A33F5" w:rsidRPr="005A33F5">
        <w:rPr>
          <w:color w:val="FF0000"/>
        </w:rPr>
        <w:t>(e.g., two or more LSPs can cooperatively implement the last mile deliveries)</w:t>
      </w:r>
      <w:r w:rsidR="005A33F5">
        <w:rPr>
          <w:color w:val="FF0000"/>
        </w:rPr>
        <w:t xml:space="preserve">. Many studies have been investigated such kind of collaboration. For example, </w:t>
      </w:r>
      <w:r w:rsidR="005A33F5">
        <w:rPr>
          <w:rFonts w:cs="Times New Roman"/>
        </w:rPr>
        <w:t>t</w:t>
      </w:r>
      <w:r w:rsidR="0071798B" w:rsidRPr="00A96AC5">
        <w:rPr>
          <w:rFonts w:cs="Times New Roman"/>
        </w:rPr>
        <w:t xml:space="preserve">he simulation results of </w:t>
      </w:r>
      <w:r w:rsidR="00563712">
        <w:rPr>
          <w:noProof/>
        </w:rPr>
        <w:fldChar w:fldCharType="begin"/>
      </w:r>
      <w:r w:rsidR="00647E79">
        <w:rPr>
          <w:noProof/>
        </w:rPr>
        <w:instrText xml:space="preserve"> ADDIN EN.CITE &lt;EndNote&gt;&lt;Cite AuthorYear="1"&gt;&lt;Author&gt;Zissis&lt;/Author&gt;&lt;Year&gt;2018&lt;/Year&gt;&lt;RecNum&gt;90&lt;/RecNum&gt;&lt;DisplayText&gt;Zissis et al. (2018)&lt;/DisplayText&gt;&lt;record&gt;&lt;rec-number&gt;90&lt;/rec-number&gt;&lt;foreign-keys&gt;&lt;key app="EN" db-id="pzt5ep52hsedfpeext2pdfes0w0aswaewef2" timestamp="1605187993"&gt;90&lt;/key&gt;&lt;/foreign-keys&gt;&lt;ref-type name="Journal Article"&gt;17&lt;/ref-type&gt;&lt;contributors&gt;&lt;authors&gt;&lt;author&gt;Zissis, D.&lt;/author&gt;&lt;author&gt;Aktas, E.&lt;/author&gt;&lt;author&gt;Bourlakis, M.&lt;/author&gt;&lt;/authors&gt;&lt;/contributors&gt;&lt;auth-address&gt;School of Management, University of Bath, Bath, United Kingdom&amp;#xD;School of Management, Cranfield University, Cranfield, United Kingdom&lt;/auth-address&gt;&lt;titles&gt;&lt;title&gt;Collaboration in urban distribution of online grocery orders&lt;/title&gt;&lt;secondary-title&gt;International Journal of Logistics Management&lt;/secondary-title&gt;&lt;alt-title&gt;Int. J. Logist. Manage.&lt;/alt-title&gt;&lt;/titles&gt;&lt;periodical&gt;&lt;full-title&gt;International Journal of Logistics Management&lt;/full-title&gt;&lt;abbr-1&gt;Int. J. Logist. Manage.&lt;/abbr-1&gt;&lt;/periodical&gt;&lt;alt-periodical&gt;&lt;full-title&gt;International Journal of Logistics Management&lt;/full-title&gt;&lt;abbr-1&gt;Int. J. Logist. Manage.&lt;/abbr-1&gt;&lt;/alt-periodical&gt;&lt;pages&gt;1196-1214&lt;/pages&gt;&lt;volume&gt;29&lt;/volume&gt;&lt;number&gt;4&lt;/number&gt;&lt;keywords&gt;&lt;keyword&gt;Europe&lt;/keyword&gt;&lt;keyword&gt;Food logistics&lt;/keyword&gt;&lt;keyword&gt;Mixed method&lt;/keyword&gt;&lt;keyword&gt;Sustainability&lt;/keyword&gt;&lt;keyword&gt;Urban logistics&lt;/keyword&gt;&lt;/keywords&gt;&lt;dates&gt;&lt;year&gt;2018&lt;/year&gt;&lt;/dates&gt;&lt;publisher&gt;Emerald Group Publishing Ltd.&lt;/publisher&gt;&lt;isbn&gt;09574093 (ISSN)&lt;/isbn&gt;&lt;work-type&gt;Article&lt;/work-type&gt;&lt;urls&gt;&lt;related-urls&gt;&lt;url&gt;https://www.scopus.com/inward/record.uri?eid=2-s2.0-85053243378&amp;amp;doi=10.1108%2fIJLM-11-2017-0303&amp;amp;partnerID=40&amp;amp;md5=3141e7a53e79736f4455aae2deec356f&lt;/url&gt;&lt;/related-urls&gt;&lt;/urls&gt;&lt;electronic-resource-num&gt;10.1108/IJLM-11-2017-0303&lt;/electronic-resource-num&gt;&lt;remote-database-name&gt;Scopus&lt;/remote-database-name&gt;&lt;research-notes&gt;240&lt;/research-notes&gt;&lt;language&gt;English&lt;/language&gt;&lt;/record&gt;&lt;/Cite&gt;&lt;/EndNote&gt;</w:instrText>
      </w:r>
      <w:r w:rsidR="00563712">
        <w:rPr>
          <w:noProof/>
        </w:rPr>
        <w:fldChar w:fldCharType="separate"/>
      </w:r>
      <w:r w:rsidR="00563712">
        <w:rPr>
          <w:noProof/>
        </w:rPr>
        <w:t>Zissis et al. (2018)</w:t>
      </w:r>
      <w:r w:rsidR="00563712">
        <w:rPr>
          <w:noProof/>
        </w:rPr>
        <w:fldChar w:fldCharType="end"/>
      </w:r>
      <w:r w:rsidR="0071798B" w:rsidRPr="00A96AC5">
        <w:rPr>
          <w:rFonts w:cs="Times New Roman"/>
        </w:rPr>
        <w:t xml:space="preserve"> illustrate that travel distance in the urban area can be decreased when multiple grocery retailers merge their deliveries of online orders. </w:t>
      </w:r>
      <w:r w:rsidR="00563712">
        <w:rPr>
          <w:noProof/>
        </w:rPr>
        <w:fldChar w:fldCharType="begin"/>
      </w:r>
      <w:r w:rsidR="00647E79">
        <w:rPr>
          <w:noProof/>
        </w:rPr>
        <w:instrText xml:space="preserve"> ADDIN EN.CITE &lt;EndNote&gt;&lt;Cite AuthorYear="1"&gt;&lt;Author&gt;Nadarajah&lt;/Author&gt;&lt;Year&gt;2013&lt;/Year&gt;&lt;RecNum&gt;91&lt;/RecNum&gt;&lt;DisplayText&gt;Nadarajah and Bookbinder (2013)&lt;/DisplayText&gt;&lt;record&gt;&lt;rec-number&gt;91&lt;/rec-number&gt;&lt;foreign-keys&gt;&lt;key app="EN" db-id="pzt5ep52hsedfpeext2pdfes0w0aswaewef2" timestamp="1605187993"&gt;91&lt;/key&gt;&lt;/foreign-keys&gt;&lt;ref-type name="Journal Article"&gt;17&lt;/ref-type&gt;&lt;contributors&gt;&lt;authors&gt;&lt;author&gt;Nadarajah, Selvaprabu&lt;/author&gt;&lt;author&gt;Bookbinder, James H.&lt;/author&gt;&lt;/authors&gt;&lt;/contributors&gt;&lt;titles&gt;&lt;title&gt;Less-Than-Truckload carrier collaboration problem: modeling framework and solution approach&lt;/title&gt;&lt;secondary-title&gt;Journal of Heuristics&lt;/secondary-title&gt;&lt;/titles&gt;&lt;periodical&gt;&lt;full-title&gt;Journal of Heuristics&lt;/full-title&gt;&lt;/periodical&gt;&lt;pages&gt;917-942&lt;/pages&gt;&lt;volume&gt;19&lt;/volume&gt;&lt;number&gt;6&lt;/number&gt;&lt;dates&gt;&lt;year&gt;2013&lt;/year&gt;&lt;pub-dates&gt;&lt;date&gt;2013/12/01&lt;/date&gt;&lt;/pub-dates&gt;&lt;/dates&gt;&lt;isbn&gt;1572-9397&lt;/isbn&gt;&lt;urls&gt;&lt;related-urls&gt;&lt;url&gt;https://doi.org/10.1007/s10732-013-9229-7&lt;/url&gt;&lt;url&gt;https://link.springer.com/content/pdf/10.1007%2Fs10732-013-9229-7.pdf&lt;/url&gt;&lt;/related-urls&gt;&lt;/urls&gt;&lt;electronic-resource-num&gt;10.1007/s10732-013-9229-7&lt;/electronic-resource-num&gt;&lt;research-notes&gt;81&lt;/research-notes&gt;&lt;/record&gt;&lt;/Cite&gt;&lt;/EndNote&gt;</w:instrText>
      </w:r>
      <w:r w:rsidR="00563712">
        <w:rPr>
          <w:noProof/>
        </w:rPr>
        <w:fldChar w:fldCharType="separate"/>
      </w:r>
      <w:r w:rsidR="007D1AE9">
        <w:rPr>
          <w:noProof/>
        </w:rPr>
        <w:t>Nadarajah and Bookbinder (2013)</w:t>
      </w:r>
      <w:r w:rsidR="00563712">
        <w:rPr>
          <w:noProof/>
        </w:rPr>
        <w:fldChar w:fldCharType="end"/>
      </w:r>
      <w:r w:rsidR="0071798B" w:rsidRPr="00A96AC5">
        <w:rPr>
          <w:rFonts w:cs="Times New Roman"/>
        </w:rPr>
        <w:t xml:space="preserve"> used a guided local search (GLS) method to optimise delivery routing under the collaborative logistics model, with multiple carriers integrating their goods before entering the city. Their study found a 3-15% reduction in travel miles when collaborating distribution. </w:t>
      </w:r>
      <w:r w:rsidR="00563712">
        <w:rPr>
          <w:noProof/>
        </w:rPr>
        <w:fldChar w:fldCharType="begin"/>
      </w:r>
      <w:r w:rsidR="00647E79">
        <w:rPr>
          <w:noProof/>
        </w:rPr>
        <w:instrText xml:space="preserve"> ADDIN EN.CITE &lt;EndNote&gt;&lt;Cite AuthorYear="1"&gt;&lt;Author&gt;Montoya-Torres&lt;/Author&gt;&lt;Year&gt;2016&lt;/Year&gt;&lt;RecNum&gt;92&lt;/RecNum&gt;&lt;DisplayText&gt;Montoya-Torres et al. (2016)&lt;/DisplayText&gt;&lt;record&gt;&lt;rec-number&gt;92&lt;/rec-number&gt;&lt;foreign-keys&gt;&lt;key app="EN" db-id="pzt5ep52hsedfpeext2pdfes0w0aswaewef2" timestamp="1605187993"&gt;92&lt;/key&gt;&lt;/foreign-keys&gt;&lt;ref-type name="Journal Article"&gt;17&lt;/ref-type&gt;&lt;contributors&gt;&lt;authors&gt;&lt;author&gt;Montoya-Torres, Jairo R.&lt;/author&gt;&lt;author&gt;Muñoz-Villamizar, Andrés&lt;/author&gt;&lt;author&gt;Vega-Mejía, Carlos A.&lt;/author&gt;&lt;/authors&gt;&lt;/contributors&gt;&lt;titles&gt;&lt;title&gt;On the impact of collaborative strategies for goods delivery in city logistics&lt;/title&gt;&lt;secondary-title&gt;Production Planning &amp;amp; Control&lt;/secondary-title&gt;&lt;/titles&gt;&lt;periodical&gt;&lt;full-title&gt;Production Planning &amp;amp; Control&lt;/full-title&gt;&lt;/periodical&gt;&lt;pages&gt;443-455&lt;/pages&gt;&lt;volume&gt;27&lt;/volume&gt;&lt;number&gt;6&lt;/number&gt;&lt;dates&gt;&lt;year&gt;2016&lt;/year&gt;&lt;pub-dates&gt;&lt;date&gt;2016/04/25&lt;/date&gt;&lt;/pub-dates&gt;&lt;/dates&gt;&lt;publisher&gt;Taylor &amp;amp; Francis&lt;/publisher&gt;&lt;isbn&gt;0953-7287&lt;/isbn&gt;&lt;urls&gt;&lt;related-urls&gt;&lt;url&gt;https://doi.org/10.1080/09537287.2016.1147092&lt;/url&gt;&lt;url&gt;https://www.tandfonline.com/doi/pdf/10.1080/09537287.2016.1147092?needAccess=true&lt;/url&gt;&lt;/related-urls&gt;&lt;/urls&gt;&lt;electronic-resource-num&gt;10.1080/09537287.2016.1147092&lt;/electronic-resource-num&gt;&lt;research-notes&gt;148&lt;/research-notes&gt;&lt;/record&gt;&lt;/Cite&gt;&lt;/EndNote&gt;</w:instrText>
      </w:r>
      <w:r w:rsidR="00563712">
        <w:rPr>
          <w:noProof/>
        </w:rPr>
        <w:fldChar w:fldCharType="separate"/>
      </w:r>
      <w:r w:rsidR="007D1AE9">
        <w:rPr>
          <w:noProof/>
        </w:rPr>
        <w:t>Montoya-Torres et al. (2016)</w:t>
      </w:r>
      <w:r w:rsidR="00563712">
        <w:rPr>
          <w:noProof/>
        </w:rPr>
        <w:fldChar w:fldCharType="end"/>
      </w:r>
      <w:r w:rsidR="0071798B" w:rsidRPr="00A96AC5">
        <w:rPr>
          <w:rFonts w:cs="Times New Roman"/>
        </w:rPr>
        <w:t xml:space="preserve"> conclude that, in comparison with non-cooperative </w:t>
      </w:r>
      <w:r w:rsidR="0071798B" w:rsidRPr="00A96AC5">
        <w:rPr>
          <w:rFonts w:cs="Times New Roman"/>
        </w:rPr>
        <w:lastRenderedPageBreak/>
        <w:t>distribution, a cooperative strategy between carriers can have advantages of reduced operational cost, air pollutant emissions, travel miles, and travel times in the city.</w:t>
      </w:r>
      <w:r w:rsidR="00747ECB">
        <w:rPr>
          <w:rFonts w:cs="Times New Roman"/>
        </w:rPr>
        <w:t xml:space="preserve"> </w:t>
      </w:r>
    </w:p>
    <w:p w14:paraId="184045CA" w14:textId="6009D812" w:rsidR="00DB4BC4" w:rsidRPr="00B0610A" w:rsidRDefault="00801827" w:rsidP="001802EF">
      <w:pPr>
        <w:spacing w:after="240" w:line="360" w:lineRule="auto"/>
        <w:rPr>
          <w:color w:val="FF0000"/>
        </w:rPr>
      </w:pPr>
      <w:r w:rsidRPr="00356A17">
        <w:rPr>
          <w:rFonts w:cs="Times New Roman"/>
          <w:color w:val="FF0000"/>
        </w:rPr>
        <w:t xml:space="preserve">In the mechanism of vertical </w:t>
      </w:r>
      <w:r w:rsidR="00BB4A67" w:rsidRPr="00356A17">
        <w:rPr>
          <w:rFonts w:cs="Times New Roman" w:hint="eastAsia"/>
          <w:color w:val="FF0000"/>
        </w:rPr>
        <w:t>collaborative</w:t>
      </w:r>
      <w:r w:rsidR="00BB4A67" w:rsidRPr="00356A17">
        <w:rPr>
          <w:rFonts w:cs="Times New Roman"/>
          <w:color w:val="FF0000"/>
        </w:rPr>
        <w:t xml:space="preserve"> UL</w:t>
      </w:r>
      <w:r w:rsidRPr="00356A17">
        <w:rPr>
          <w:rFonts w:cs="Times New Roman"/>
          <w:color w:val="FF0000"/>
        </w:rPr>
        <w:t xml:space="preserve">, </w:t>
      </w:r>
      <w:r w:rsidR="00B0610A" w:rsidRPr="00356A17">
        <w:rPr>
          <w:rFonts w:cs="Times New Roman"/>
          <w:color w:val="FF0000"/>
        </w:rPr>
        <w:t xml:space="preserve">each partner serves distinct parts of the transportation network, and </w:t>
      </w:r>
      <w:r w:rsidR="00B0610A" w:rsidRPr="00A76461">
        <w:rPr>
          <w:color w:val="FF0000"/>
        </w:rPr>
        <w:t>goods flow across partners who are in a multi-tier structural relationship</w:t>
      </w:r>
      <w:r w:rsidR="00B0610A">
        <w:rPr>
          <w:color w:val="FF0000"/>
        </w:rPr>
        <w:t xml:space="preserve"> </w:t>
      </w:r>
      <w:r w:rsidR="00B0610A" w:rsidRPr="00A76461">
        <w:rPr>
          <w:color w:val="FF0000"/>
        </w:rPr>
        <w:fldChar w:fldCharType="begin">
          <w:fldData xml:space="preserve">PEVuZE5vdGU+PENpdGU+PEF1dGhvcj5DbGVvcGhhczwvQXV0aG9yPjxZZWFyPjIwMTk8L1llYXI+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</w:fldData>
        </w:fldChar>
      </w:r>
      <w:r w:rsidR="00B0610A">
        <w:rPr>
          <w:color w:val="FF0000"/>
        </w:rPr>
        <w:instrText xml:space="preserve"> ADDIN EN.CITE </w:instrText>
      </w:r>
      <w:r w:rsidR="00B0610A">
        <w:rPr>
          <w:color w:val="FF0000"/>
        </w:rPr>
        <w:fldChar w:fldCharType="begin">
          <w:fldData xml:space="preserve">PEVuZE5vdGU+PENpdGU+PEF1dGhvcj5DbGVvcGhhczwvQXV0aG9yPjxZZWFyPjIwMTk8L1llYXI+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</w:fldData>
        </w:fldChar>
      </w:r>
      <w:r w:rsidR="00B0610A">
        <w:rPr>
          <w:color w:val="FF0000"/>
        </w:rPr>
        <w:instrText xml:space="preserve"> ADDIN EN.CITE.DATA </w:instrText>
      </w:r>
      <w:r w:rsidR="00B0610A">
        <w:rPr>
          <w:color w:val="FF0000"/>
        </w:rPr>
      </w:r>
      <w:r w:rsidR="00B0610A">
        <w:rPr>
          <w:color w:val="FF0000"/>
        </w:rPr>
        <w:fldChar w:fldCharType="end"/>
      </w:r>
      <w:r w:rsidR="00B0610A" w:rsidRPr="00A76461">
        <w:rPr>
          <w:color w:val="FF0000"/>
        </w:rPr>
      </w:r>
      <w:r w:rsidR="00B0610A" w:rsidRPr="00A76461">
        <w:rPr>
          <w:color w:val="FF0000"/>
        </w:rPr>
        <w:fldChar w:fldCharType="separate"/>
      </w:r>
      <w:r w:rsidR="00B0610A">
        <w:rPr>
          <w:noProof/>
          <w:color w:val="FF0000"/>
        </w:rPr>
        <w:t>(Cleophas et al., 2019)</w:t>
      </w:r>
      <w:r w:rsidR="00B0610A" w:rsidRPr="00A76461">
        <w:rPr>
          <w:color w:val="FF0000"/>
        </w:rPr>
        <w:fldChar w:fldCharType="end"/>
      </w:r>
      <w:r w:rsidR="00B0610A" w:rsidRPr="00A76461">
        <w:rPr>
          <w:color w:val="FF0000"/>
        </w:rPr>
        <w:t>.</w:t>
      </w:r>
      <w:r w:rsidR="00B0610A">
        <w:rPr>
          <w:color w:val="FF0000"/>
        </w:rPr>
        <w:t xml:space="preserve"> </w:t>
      </w:r>
      <w:r w:rsidR="00BC7376">
        <w:rPr>
          <w:color w:val="FF0000"/>
        </w:rPr>
        <w:t>UCC</w:t>
      </w:r>
      <w:r w:rsidR="006E32A1">
        <w:rPr>
          <w:color w:val="FF0000"/>
        </w:rPr>
        <w:t>s</w:t>
      </w:r>
      <w:r w:rsidR="00BC7376">
        <w:rPr>
          <w:color w:val="FF0000"/>
        </w:rPr>
        <w:t xml:space="preserve"> </w:t>
      </w:r>
      <w:r w:rsidR="006E32A1">
        <w:rPr>
          <w:color w:val="FF0000"/>
        </w:rPr>
        <w:t>represent</w:t>
      </w:r>
      <w:r w:rsidR="00BC7376">
        <w:rPr>
          <w:color w:val="FF0000"/>
        </w:rPr>
        <w:t xml:space="preserve"> pivotal facilit</w:t>
      </w:r>
      <w:r w:rsidR="006E32A1">
        <w:rPr>
          <w:color w:val="FF0000"/>
        </w:rPr>
        <w:t>ies</w:t>
      </w:r>
      <w:r w:rsidR="00BC7376">
        <w:rPr>
          <w:color w:val="FF0000"/>
        </w:rPr>
        <w:t xml:space="preserve"> </w:t>
      </w:r>
      <w:r>
        <w:rPr>
          <w:color w:val="FF0000"/>
        </w:rPr>
        <w:t xml:space="preserve">of the </w:t>
      </w:r>
      <w:r w:rsidR="00B0610A">
        <w:rPr>
          <w:color w:val="FF0000"/>
        </w:rPr>
        <w:t xml:space="preserve">logistics </w:t>
      </w:r>
      <w:r w:rsidR="00B0610A" w:rsidRPr="00B0610A">
        <w:rPr>
          <w:color w:val="FF0000"/>
        </w:rPr>
        <w:t>initiative</w:t>
      </w:r>
      <w:r w:rsidR="001802EF">
        <w:rPr>
          <w:color w:val="FF0000"/>
        </w:rPr>
        <w:t xml:space="preserve"> with the characteristic form of vertical collaboration</w:t>
      </w:r>
      <w:r w:rsidR="006E32A1">
        <w:rPr>
          <w:color w:val="FF0000"/>
        </w:rPr>
        <w:t>, UCC-</w:t>
      </w:r>
      <w:r w:rsidR="00E304AE" w:rsidRPr="00A76461">
        <w:rPr>
          <w:color w:val="FF0000"/>
        </w:rPr>
        <w:t xml:space="preserve">based delivery mechanisms can be regarded as a two-echelon delivery network </w:t>
      </w:r>
      <w:r w:rsidR="00E304AE" w:rsidRPr="00A76461">
        <w:rPr>
          <w:color w:val="FF0000"/>
        </w:rPr>
        <w:fldChar w:fldCharType="begin"/>
      </w:r>
      <w:r w:rsidR="00E304AE" w:rsidRPr="00A76461">
        <w:rPr>
          <w:color w:val="FF0000"/>
        </w:rPr>
        <w:instrText xml:space="preserve"> ADDIN EN.CITE &lt;EndNote&gt;&lt;Cite&gt;&lt;Author&gt;Nozick&lt;/Author&gt;&lt;Year&gt;2001&lt;/Year&gt;&lt;RecNum&gt;219&lt;/RecNum&gt;&lt;DisplayText&gt;(Nozick and Turnquist, 2001)&lt;/DisplayText&gt;&lt;record&gt;&lt;rec-number&gt;219&lt;/rec-number&gt;&lt;foreign-keys&gt;&lt;key app="EN" db-id="x5etaz5aiszvz0edasvvpwvotttxepvd25t2" timestamp="1611177410"&gt;219&lt;/key&gt;&lt;/foreign-keys&gt;&lt;ref-type name="Journal Article"&gt;17&lt;/ref-type&gt;&lt;contributors&gt;&lt;authors&gt;&lt;author&gt;Nozick, Linda K.&lt;/author&gt;&lt;author&gt;Turnquist, Mark A.&lt;/author&gt;&lt;/authors&gt;&lt;/contributors&gt;&lt;titles&gt;&lt;title&gt;A two-echelon inventory allocation and distribution center location analysis&lt;/title&gt;&lt;secondary-title&gt;Transportation Research Part E: Logistics and Transportation Review&lt;/secondary-title&gt;&lt;/titles&gt;&lt;periodical&gt;&lt;full-title&gt;Transportation Research Part E: Logistics and Transportation Review&lt;/full-title&gt;&lt;abbr-1&gt;Transp. Res. Part E Logist. Transp. Rev.&lt;/abbr-1&gt;&lt;/periodical&gt;&lt;pages&gt;425-441&lt;/pages&gt;&lt;volume&gt;37&lt;/volume&gt;&lt;number&gt;6&lt;/number&gt;&lt;keywords&gt;&lt;keyword&gt;Location analysis&lt;/keyword&gt;&lt;keyword&gt;Multi-echelon inventory&lt;/keyword&gt;&lt;keyword&gt;Logistics&lt;/keyword&gt;&lt;/keywords&gt;&lt;dates&gt;&lt;year&gt;2001&lt;/year&gt;&lt;pub-dates&gt;&lt;date&gt;2001/12/01/&lt;/date&gt;&lt;/pub-dates&gt;&lt;/dates&gt;&lt;isbn&gt;1366-5545&lt;/isbn&gt;&lt;urls&gt;&lt;related-urls&gt;&lt;url&gt;http://www.sciencedirect.com/science/article/pii/S1366554501000072&lt;/url&gt;&lt;/related-urls&gt;&lt;/urls&gt;&lt;electronic-resource-num&gt;https://doi.org/10.1016/S1366-5545(01)00007-2&lt;/electronic-resource-num&gt;&lt;/record&gt;&lt;/Cite&gt;&lt;/EndNote&gt;</w:instrText>
      </w:r>
      <w:r w:rsidR="00E304AE" w:rsidRPr="00A76461">
        <w:rPr>
          <w:color w:val="FF0000"/>
        </w:rPr>
        <w:fldChar w:fldCharType="separate"/>
      </w:r>
      <w:r w:rsidR="00E304AE" w:rsidRPr="00A76461">
        <w:rPr>
          <w:noProof/>
          <w:color w:val="FF0000"/>
        </w:rPr>
        <w:t>(Nozick and Turnquist, 2001)</w:t>
      </w:r>
      <w:r w:rsidR="00E304AE" w:rsidRPr="00A76461">
        <w:rPr>
          <w:color w:val="FF0000"/>
        </w:rPr>
        <w:fldChar w:fldCharType="end"/>
      </w:r>
      <w:r w:rsidR="00E304AE" w:rsidRPr="00A76461">
        <w:rPr>
          <w:color w:val="FF0000"/>
        </w:rPr>
        <w:t xml:space="preserve">. Parcels are transhipped to an intermediate facility before being moved to an urban area </w:t>
      </w:r>
      <w:r w:rsidR="00E304AE" w:rsidRPr="00A76461">
        <w:rPr>
          <w:color w:val="FF0000"/>
        </w:rPr>
        <w:fldChar w:fldCharType="begin"/>
      </w:r>
      <w:r w:rsidR="00E304AE" w:rsidRPr="00A76461">
        <w:rPr>
          <w:color w:val="FF0000"/>
        </w:rPr>
        <w:instrText xml:space="preserve"> ADDIN EN.CITE &lt;EndNote&gt;&lt;Cite&gt;&lt;Author&gt;Guastaroba&lt;/Author&gt;&lt;Year&gt;2016&lt;/Year&gt;&lt;RecNum&gt;220&lt;/RecNum&gt;&lt;DisplayText&gt;(Guastaroba et al., 2016)&lt;/DisplayText&gt;&lt;record&gt;&lt;rec-number&gt;220&lt;/rec-number&gt;&lt;foreign-keys&gt;&lt;key app="EN" db-id="x5etaz5aiszvz0edasvvpwvotttxepvd25t2" timestamp="1611177410"&gt;220&lt;/key&gt;&lt;/foreign-keys&gt;&lt;ref-type name="Journal Article"&gt;17&lt;/ref-type&gt;&lt;contributors&gt;&lt;authors&gt;&lt;author&gt;Guastaroba, Gianfranco&lt;/author&gt;&lt;author&gt;Speranza, Maria Grazia&lt;/author&gt;&lt;author&gt;Vigo, Daniele %J Transportation Science&lt;/author&gt;&lt;/authors&gt;&lt;/contributors&gt;&lt;titles&gt;&lt;title&gt;Intermediate facilities in freight transportation planning: a survey&lt;/title&gt;&lt;/titles&gt;&lt;pages&gt;763-789&lt;/pages&gt;&lt;volume&gt;50&lt;/volume&gt;&lt;number&gt;3&lt;/number&gt;&lt;dates&gt;&lt;year&gt;2016&lt;/year&gt;&lt;/dates&gt;&lt;isbn&gt;0041-1655&lt;/isbn&gt;&lt;urls&gt;&lt;/urls&gt;&lt;/record&gt;&lt;/Cite&gt;&lt;/EndNote&gt;</w:instrText>
      </w:r>
      <w:r w:rsidR="00E304AE" w:rsidRPr="00A76461">
        <w:rPr>
          <w:color w:val="FF0000"/>
        </w:rPr>
        <w:fldChar w:fldCharType="separate"/>
      </w:r>
      <w:r w:rsidR="00E304AE" w:rsidRPr="00A76461">
        <w:rPr>
          <w:noProof/>
          <w:color w:val="FF0000"/>
        </w:rPr>
        <w:t>(Guastaroba et al., 2016)</w:t>
      </w:r>
      <w:r w:rsidR="00E304AE" w:rsidRPr="00A76461">
        <w:rPr>
          <w:color w:val="FF0000"/>
        </w:rPr>
        <w:fldChar w:fldCharType="end"/>
      </w:r>
      <w:r w:rsidR="00E304AE" w:rsidRPr="00A76461">
        <w:rPr>
          <w:color w:val="FF0000"/>
        </w:rPr>
        <w:t xml:space="preserve">. After that, sustainable methods, such as light or electric vehicles are utilised for goods distribution within the urban area </w:t>
      </w:r>
      <w:r w:rsidR="00E304AE" w:rsidRPr="00A76461">
        <w:rPr>
          <w:color w:val="FF0000"/>
        </w:rPr>
        <w:fldChar w:fldCharType="begin"/>
      </w:r>
      <w:r w:rsidR="00E304AE" w:rsidRPr="00A76461">
        <w:rPr>
          <w:color w:val="FF0000"/>
        </w:rPr>
        <w:instrText xml:space="preserve"> ADDIN EN.CITE &lt;EndNote&gt;&lt;Cite&gt;&lt;Author&gt;Gonzalez-Feliu&lt;/Author&gt;&lt;Year&gt;2008&lt;/Year&gt;&lt;RecNum&gt;221&lt;/RecNum&gt;&lt;DisplayText&gt;(Gonzalez-Feliu, 2008)&lt;/DisplayText&gt;&lt;record&gt;&lt;rec-number&gt;221&lt;/rec-number&gt;&lt;foreign-keys&gt;&lt;key app="EN" db-id="x5etaz5aiszvz0edasvvpwvotttxepvd25t2" timestamp="1611177411"&gt;221&lt;/key&gt;&lt;/foreign-keys&gt;&lt;ref-type name="Thesis"&gt;32&lt;/ref-type&gt;&lt;contributors&gt;&lt;authors&gt;&lt;author&gt;Gonzalez-Feliu, Jesus&lt;/author&gt;&lt;/authors&gt;&lt;/contributors&gt;&lt;titles&gt;&lt;title&gt;Models and methods for the city logistics: The two-echelon capacitated vehicle routing problem&lt;/title&gt;&lt;/titles&gt;&lt;dates&gt;&lt;year&gt;2008&lt;/year&gt;&lt;/dates&gt;&lt;publisher&gt;Politecnico di Torino&lt;/publisher&gt;&lt;urls&gt;&lt;/urls&gt;&lt;/record&gt;&lt;/Cite&gt;&lt;/EndNote&gt;</w:instrText>
      </w:r>
      <w:r w:rsidR="00E304AE" w:rsidRPr="00A76461">
        <w:rPr>
          <w:color w:val="FF0000"/>
        </w:rPr>
        <w:fldChar w:fldCharType="separate"/>
      </w:r>
      <w:r w:rsidR="00E304AE" w:rsidRPr="00A76461">
        <w:rPr>
          <w:noProof/>
          <w:color w:val="FF0000"/>
        </w:rPr>
        <w:t>(Gonzalez-Feliu, 2008)</w:t>
      </w:r>
      <w:r w:rsidR="00E304AE" w:rsidRPr="00A76461">
        <w:rPr>
          <w:color w:val="FF0000"/>
        </w:rPr>
        <w:fldChar w:fldCharType="end"/>
      </w:r>
      <w:r w:rsidR="00E304AE" w:rsidRPr="00A76461">
        <w:rPr>
          <w:color w:val="FF0000"/>
        </w:rPr>
        <w:t>.</w:t>
      </w:r>
      <w:r w:rsidR="00E304AE">
        <w:rPr>
          <w:color w:val="FF0000"/>
        </w:rPr>
        <w:t xml:space="preserve"> </w:t>
      </w:r>
      <w:r w:rsidR="0071798B" w:rsidRPr="00924AC3">
        <w:rPr>
          <w:rFonts w:cs="Times New Roman"/>
          <w:color w:val="FF0000"/>
        </w:rPr>
        <w:t xml:space="preserve">In contrast to the </w:t>
      </w:r>
      <w:r>
        <w:rPr>
          <w:color w:val="FF0000"/>
        </w:rPr>
        <w:t>h</w:t>
      </w:r>
      <w:r w:rsidRPr="005A33F5">
        <w:rPr>
          <w:color w:val="FF0000"/>
        </w:rPr>
        <w:t xml:space="preserve">orizontal </w:t>
      </w:r>
      <w:r>
        <w:rPr>
          <w:color w:val="FF0000"/>
        </w:rPr>
        <w:t>c</w:t>
      </w:r>
      <w:r w:rsidRPr="005A33F5">
        <w:rPr>
          <w:color w:val="FF0000"/>
        </w:rPr>
        <w:t>ollaboration</w:t>
      </w:r>
      <w:r>
        <w:rPr>
          <w:color w:val="FF0000"/>
        </w:rPr>
        <w:t xml:space="preserve"> system</w:t>
      </w:r>
      <w:r w:rsidR="00B0610A">
        <w:rPr>
          <w:rFonts w:cs="Times New Roman"/>
        </w:rPr>
        <w:t xml:space="preserve"> </w:t>
      </w:r>
      <w:r w:rsidR="00B0610A" w:rsidRPr="00924AC3">
        <w:rPr>
          <w:rFonts w:cs="Times New Roman"/>
          <w:color w:val="FF0000"/>
        </w:rPr>
        <w:t>which</w:t>
      </w:r>
      <w:r w:rsidR="0071798B" w:rsidRPr="00924AC3">
        <w:rPr>
          <w:rFonts w:cs="Times New Roman"/>
          <w:color w:val="FF0000"/>
        </w:rPr>
        <w:t xml:space="preserve"> involves only stakeholders with the same attributes, the UCC is a comprehensive project that involves stakeholders with different features, business targets, and priority of interest.</w:t>
      </w:r>
      <w:r w:rsidR="0071798B" w:rsidRPr="00A96AC5">
        <w:rPr>
          <w:rFonts w:cs="Times New Roman"/>
        </w:rPr>
        <w:t xml:space="preserve"> This kind of project encourages private companies to build shared distribution centres in the outskirts or industrial areas of a city. All participants share the facilities and equipment of the UCCs, where goods are sorted and loaded onto smaller vehicles for last-mile delivery to customers </w:t>
      </w:r>
      <w:r w:rsidR="00563712">
        <w:rPr>
          <w:noProof/>
        </w:rPr>
        <w:fldChar w:fldCharType="begin"/>
      </w:r>
      <w:r w:rsidR="00E7392C">
        <w:rPr>
          <w:noProof/>
        </w:rPr>
        <w:instrText xml:space="preserve"> ADDIN EN.CITE &lt;EndNote&gt;&lt;Cite&gt;&lt;Author&gt;Allen&lt;/Author&gt;&lt;Year&gt;2012&lt;/Year&gt;&lt;RecNum&gt;3&lt;/RecNum&gt;&lt;DisplayText&gt;(Allen et al., 2012)&lt;/DisplayText&gt;&lt;record&gt;&lt;rec-number&gt;3&lt;/rec-number&gt;&lt;foreign-keys&gt;&lt;key app="EN" db-id="x5etaz5aiszvz0edasvvpwvotttxepvd25t2" timestamp="1603795843"&gt;3&lt;/key&gt;&lt;/foreign-keys&gt;&lt;ref-type name="Journal Article"&gt;17&lt;/ref-type&gt;&lt;contributors&gt;&lt;authors&gt;&lt;author&gt;Allen, Julian&lt;/author&gt;&lt;author&gt;Browne, Michael&lt;/author&gt;&lt;author&gt;Woodburn, Allan&lt;/author&gt;&lt;author&gt;Leonardi, Jacques&lt;/author&gt;&lt;/authors&gt;&lt;/contributors&gt;&lt;titles&gt;&lt;title&gt;The Role of Urban Consolidation Centres in Sustainable Freight Transport&lt;/title&gt;&lt;secondary-title&gt;Transport Reviews&lt;/secondary-title&gt;&lt;/titles&gt;&lt;periodical&gt;&lt;full-title&gt;Transport Reviews&lt;/full-title&gt;&lt;/periodical&gt;&lt;pages&gt;473-490&lt;/pages&gt;&lt;volume&gt;32&lt;/volume&gt;&lt;number&gt;4&lt;/number&gt;&lt;dates&gt;&lt;year&gt;2012&lt;/year&gt;&lt;pub-dates&gt;&lt;date&gt;2012/07/01&lt;/date&gt;&lt;/pub-dates&gt;&lt;/dates&gt;&lt;publisher&gt;Routledge&lt;/publisher&gt;&lt;isbn&gt;0144-1647&lt;/isbn&gt;&lt;urls&gt;&lt;related-urls&gt;&lt;url&gt;https://doi.org/10.1080/01441647.2012.688074&lt;/url&gt;&lt;/related-urls&gt;&lt;/urls&gt;&lt;electronic-resource-num&gt;10.1080/01441647.2012.688074&lt;/electronic-resource-num&gt;&lt;/record&gt;&lt;/Cite&gt;&lt;/EndNote&gt;</w:instrText>
      </w:r>
      <w:r w:rsidR="00563712">
        <w:rPr>
          <w:noProof/>
        </w:rPr>
        <w:fldChar w:fldCharType="separate"/>
      </w:r>
      <w:r w:rsidR="00563712">
        <w:rPr>
          <w:noProof/>
        </w:rPr>
        <w:t>(Allen et al., 2012)</w:t>
      </w:r>
      <w:r w:rsidR="00563712">
        <w:rPr>
          <w:noProof/>
        </w:rPr>
        <w:fldChar w:fldCharType="end"/>
      </w:r>
      <w:r w:rsidR="0071798B" w:rsidRPr="00A96AC5">
        <w:rPr>
          <w:rFonts w:cs="Times New Roman"/>
        </w:rPr>
        <w:t xml:space="preserve">. </w:t>
      </w:r>
      <w:r w:rsidR="00DB4BC4" w:rsidRPr="0050480E">
        <w:t>A typical UCC system requires the set</w:t>
      </w:r>
      <w:r w:rsidR="00DB4BC4">
        <w:t>u</w:t>
      </w:r>
      <w:r w:rsidR="00DB4BC4" w:rsidRPr="0050480E">
        <w:t xml:space="preserve">p of a collaborative network involving upstream and downstream stakeholders, including </w:t>
      </w:r>
      <w:r w:rsidR="00DB4BC4" w:rsidRPr="0050480E">
        <w:rPr>
          <w:rFonts w:hint="eastAsia"/>
        </w:rPr>
        <w:t>upstream</w:t>
      </w:r>
      <w:r w:rsidR="00DB4BC4" w:rsidRPr="0050480E">
        <w:t xml:space="preserve"> long-haul carriers (LHCs), suppliers, and downstream customers, </w:t>
      </w:r>
      <w:proofErr w:type="gramStart"/>
      <w:r w:rsidR="00DB4BC4" w:rsidRPr="0050480E">
        <w:t>in order to</w:t>
      </w:r>
      <w:proofErr w:type="gramEnd"/>
      <w:r w:rsidR="00DB4BC4" w:rsidRPr="0050480E">
        <w:t xml:space="preserve"> intercept and merge goods flows to be delivered in an urban area </w:t>
      </w:r>
      <w:r w:rsidR="00DB4BC4" w:rsidRPr="0050480E">
        <w:fldChar w:fldCharType="begin">
          <w:fldData xml:space="preserve">PEVuZE5vdGU+PENpdGU+PEF1dGhvcj5DbGVvcGhhczwvQXV0aG9yPjxZZWFyPjIwMTk8L1llYXI+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</w:fldData>
        </w:fldChar>
      </w:r>
      <w:r w:rsidR="00DB4BC4">
        <w:instrText xml:space="preserve"> ADDIN EN.CITE </w:instrText>
      </w:r>
      <w:r w:rsidR="00DB4BC4">
        <w:fldChar w:fldCharType="begin">
          <w:fldData xml:space="preserve">PEVuZE5vdGU+PENpdGU+PEF1dGhvcj5DbGVvcGhhczwvQXV0aG9yPjxZZWFyPjIwMTk8L1llYXI+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</w:fldData>
        </w:fldChar>
      </w:r>
      <w:r w:rsidR="00DB4BC4">
        <w:instrText xml:space="preserve"> ADDIN EN.CITE.DATA </w:instrText>
      </w:r>
      <w:r w:rsidR="00DB4BC4">
        <w:fldChar w:fldCharType="end"/>
      </w:r>
      <w:r w:rsidR="00DB4BC4" w:rsidRPr="0050480E">
        <w:fldChar w:fldCharType="separate"/>
      </w:r>
      <w:r w:rsidR="00DB4BC4" w:rsidRPr="0050480E">
        <w:rPr>
          <w:noProof/>
        </w:rPr>
        <w:t>(Cleophas et al., 2019)</w:t>
      </w:r>
      <w:r w:rsidR="00DB4BC4" w:rsidRPr="0050480E">
        <w:fldChar w:fldCharType="end"/>
      </w:r>
      <w:r w:rsidR="00DB4BC4" w:rsidRPr="0050480E">
        <w:t xml:space="preserve">. </w:t>
      </w:r>
      <w:r w:rsidR="00DB4BC4">
        <w:fldChar w:fldCharType="begin">
          <w:fldData xml:space="preserve">PEVuZE5vdGU+PENpdGUgQXV0aG9yWWVhcj0iMSI+PEF1dGhvcj52YW4gSGVlc3dpams8L0F1dGhv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</w:fldData>
        </w:fldChar>
      </w:r>
      <w:r w:rsidR="00DB4BC4">
        <w:instrText xml:space="preserve"> ADDIN EN.CITE </w:instrText>
      </w:r>
      <w:r w:rsidR="00DB4BC4">
        <w:fldChar w:fldCharType="begin">
          <w:fldData xml:space="preserve">PEVuZE5vdGU+PENpdGUgQXV0aG9yWWVhcj0iMSI+PEF1dGhvcj52YW4gSGVlc3dpams8L0F1dGhv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</w:fldData>
        </w:fldChar>
      </w:r>
      <w:r w:rsidR="00DB4BC4">
        <w:instrText xml:space="preserve"> ADDIN EN.CITE.DATA </w:instrText>
      </w:r>
      <w:r w:rsidR="00DB4BC4">
        <w:fldChar w:fldCharType="end"/>
      </w:r>
      <w:r w:rsidR="00DB4BC4">
        <w:fldChar w:fldCharType="separate"/>
      </w:r>
      <w:r w:rsidR="00DB4BC4">
        <w:rPr>
          <w:noProof/>
        </w:rPr>
        <w:t>van Heeswijk et al. (2019)</w:t>
      </w:r>
      <w:r w:rsidR="00DB4BC4">
        <w:fldChar w:fldCharType="end"/>
      </w:r>
      <w:r w:rsidR="00DB4BC4">
        <w:t xml:space="preserve"> </w:t>
      </w:r>
      <w:r w:rsidR="00DB4BC4" w:rsidRPr="0050480E">
        <w:t xml:space="preserve">identify two different types of UCC business models according to the categories of UCC subscribers. In the first model, LHCs outsource their last-mile delivery business to an UCC, which consolidates goods from multiple LHCs, and deliver them to the customers in the </w:t>
      </w:r>
      <w:r w:rsidR="00DB4BC4">
        <w:t xml:space="preserve">urban area; </w:t>
      </w:r>
      <w:r w:rsidR="00DB4BC4" w:rsidRPr="0050480E">
        <w:t>Brussels UCC operates according to this model</w:t>
      </w:r>
      <w:r w:rsidR="00DB4BC4">
        <w:t xml:space="preserve"> </w:t>
      </w:r>
      <w:r w:rsidR="00DB4BC4" w:rsidRPr="0050480E">
        <w:fldChar w:fldCharType="begin">
          <w:fldData xml:space="preserve">PEVuZE5vdGU+PENpdGU+PEF1dGhvcj5KYW5qZXZpYzwvQXV0aG9yPjxZZWFyPjIwMTc8L1llYXI+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</w:fldData>
        </w:fldChar>
      </w:r>
      <w:r w:rsidR="00DB4BC4">
        <w:instrText xml:space="preserve"> ADDIN EN.CITE </w:instrText>
      </w:r>
      <w:r w:rsidR="00DB4BC4">
        <w:fldChar w:fldCharType="begin">
          <w:fldData xml:space="preserve">PEVuZE5vdGU+PENpdGU+PEF1dGhvcj5KYW5qZXZpYzwvQXV0aG9yPjxZZWFyPjIwMTc8L1llYXI+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</w:fldData>
        </w:fldChar>
      </w:r>
      <w:r w:rsidR="00DB4BC4">
        <w:instrText xml:space="preserve"> ADDIN EN.CITE.DATA </w:instrText>
      </w:r>
      <w:r w:rsidR="00DB4BC4">
        <w:fldChar w:fldCharType="end"/>
      </w:r>
      <w:r w:rsidR="00DB4BC4" w:rsidRPr="0050480E">
        <w:fldChar w:fldCharType="separate"/>
      </w:r>
      <w:r w:rsidR="00DB4BC4" w:rsidRPr="0050480E">
        <w:rPr>
          <w:noProof/>
        </w:rPr>
        <w:t>(Janjevic and Ndiaye, 2017b)</w:t>
      </w:r>
      <w:r w:rsidR="00DB4BC4" w:rsidRPr="0050480E">
        <w:fldChar w:fldCharType="end"/>
      </w:r>
      <w:r w:rsidR="00DB4BC4" w:rsidRPr="0050480E">
        <w:t>. In the second category of UCCs, downstream customers (</w:t>
      </w:r>
      <w:proofErr w:type="gramStart"/>
      <w:r w:rsidR="00DB4BC4" w:rsidRPr="0050480E">
        <w:t>e.g.</w:t>
      </w:r>
      <w:proofErr w:type="gramEnd"/>
      <w:r w:rsidR="00DB4BC4" w:rsidRPr="0050480E">
        <w:t xml:space="preserve"> retailers, restaurant</w:t>
      </w:r>
      <w:r w:rsidR="00DB4BC4">
        <w:t>s</w:t>
      </w:r>
      <w:r w:rsidR="00DB4BC4" w:rsidRPr="0050480E">
        <w:t xml:space="preserve">) designate the UCC facility as a consolidation point in order to activate collaborative delivery mechanisms in the urban area. This model includes the operational UCCs for perishable products in Parma (Italy) </w:t>
      </w:r>
      <w:r w:rsidR="00DB4BC4" w:rsidRPr="0050480E">
        <w:fldChar w:fldCharType="begin"/>
      </w:r>
      <w:r w:rsidR="00DB4BC4">
        <w:instrText xml:space="preserve"> ADDIN EN.CITE &lt;EndNote&gt;&lt;Cite&gt;&lt;Author&gt;Morganti&lt;/Author&gt;&lt;Year&gt;2015&lt;/Year&gt;&lt;RecNum&gt;222&lt;/RecNum&gt;&lt;DisplayText&gt;(Morganti and Gonzalez-Feliu, 2015)&lt;/DisplayText&gt;&lt;record&gt;&lt;rec-number&gt;222&lt;/rec-number&gt;&lt;foreign-keys&gt;&lt;key app="EN" db-id="x5etaz5aiszvz0edasvvpwvotttxepvd25t2" timestamp="1611177411"&gt;222&lt;/key&gt;&lt;/foreign-keys&gt;&lt;ref-type name="Journal Article"&gt;17&lt;/ref-type&gt;&lt;contributors&gt;&lt;authors&gt;&lt;author&gt;Morganti, Eleonora&lt;/author&gt;&lt;author&gt;Gonzalez-Feliu, Jesus&lt;/author&gt;&lt;/authors&gt;&lt;/contributors&gt;&lt;titles&gt;&lt;title&gt;City logistics for perishable products. The case of the Parma&amp;apos;s Food Hub&lt;/title&gt;&lt;secondary-title&gt;Case Studies on Transport Policy&lt;/secondary-title&gt;&lt;/titles&gt;&lt;periodical&gt;&lt;full-title&gt;Case Studies on Transport Policy&lt;/full-title&gt;&lt;abbr-1&gt;Case Stud. Transp. Policy&lt;/abbr-1&gt;&lt;/periodical&gt;&lt;pages&gt;120-128&lt;/pages&gt;&lt;volume&gt;3&lt;/volume&gt;&lt;number&gt;2&lt;/number&gt;&lt;keywords&gt;&lt;keyword&gt;City logistics&lt;/keyword&gt;&lt;keyword&gt;Food delivery&lt;/keyword&gt;&lt;keyword&gt;Food hub&lt;/keyword&gt;&lt;/keywords&gt;&lt;dates&gt;&lt;year&gt;2015&lt;/year&gt;&lt;pub-dates&gt;&lt;date&gt;2015/06/01/&lt;/date&gt;&lt;/pub-dates&gt;&lt;/dates&gt;&lt;isbn&gt;2213-624X&lt;/isbn&gt;&lt;urls&gt;&lt;related-urls&gt;&lt;url&gt;http://www.sciencedirect.com/science/article/pii/S2213624X14000479&lt;/url&gt;&lt;/related-urls&gt;&lt;/urls&gt;&lt;electronic-resource-num&gt;https://doi.org/10.1016/j.cstp.2014.08.003&lt;/electronic-resource-num&gt;&lt;/record&gt;&lt;/Cite&gt;&lt;/EndNote&gt;</w:instrText>
      </w:r>
      <w:r w:rsidR="00DB4BC4" w:rsidRPr="0050480E">
        <w:fldChar w:fldCharType="separate"/>
      </w:r>
      <w:r w:rsidR="00DB4BC4" w:rsidRPr="0050480E">
        <w:rPr>
          <w:noProof/>
        </w:rPr>
        <w:t>(Morganti and Gonzalez-Feliu, 2015)</w:t>
      </w:r>
      <w:r w:rsidR="00DB4BC4" w:rsidRPr="0050480E">
        <w:fldChar w:fldCharType="end"/>
      </w:r>
      <w:r w:rsidR="00DB4BC4" w:rsidRPr="0050480E">
        <w:t xml:space="preserve"> and Nijmegen (The Netherlands) </w:t>
      </w:r>
      <w:r w:rsidR="00DB4BC4" w:rsidRPr="0050480E">
        <w:fldChar w:fldCharType="begin">
          <w:fldData xml:space="preserve">PEVuZE5vdGU+PENpdGU+PEF1dGhvcj5EdWluPC9BdXRob3I+PFllYXI+MjAxNjwvWWVhcj48UmVj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</w:fldData>
        </w:fldChar>
      </w:r>
      <w:r w:rsidR="00DB4BC4">
        <w:instrText xml:space="preserve"> ADDIN EN.CITE </w:instrText>
      </w:r>
      <w:r w:rsidR="00DB4BC4">
        <w:fldChar w:fldCharType="begin">
          <w:fldData xml:space="preserve">PEVuZE5vdGU+PENpdGU+PEF1dGhvcj5EdWluPC9BdXRob3I+PFllYXI+MjAxNjwvWWVhcj48UmVj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</w:fldData>
        </w:fldChar>
      </w:r>
      <w:r w:rsidR="00DB4BC4">
        <w:instrText xml:space="preserve"> ADDIN EN.CITE.DATA </w:instrText>
      </w:r>
      <w:r w:rsidR="00DB4BC4">
        <w:fldChar w:fldCharType="end"/>
      </w:r>
      <w:r w:rsidR="00DB4BC4" w:rsidRPr="0050480E">
        <w:fldChar w:fldCharType="separate"/>
      </w:r>
      <w:r w:rsidR="00DB4BC4" w:rsidRPr="0050480E">
        <w:rPr>
          <w:noProof/>
        </w:rPr>
        <w:t>(Duin et al., 2016)</w:t>
      </w:r>
      <w:r w:rsidR="00DB4BC4" w:rsidRPr="0050480E">
        <w:fldChar w:fldCharType="end"/>
      </w:r>
      <w:r w:rsidR="00DB4BC4" w:rsidRPr="0050480E">
        <w:t xml:space="preserve"> and the British UCCs serving the Regent Street area in London </w:t>
      </w:r>
      <w:r w:rsidR="00DB4BC4" w:rsidRPr="0050480E">
        <w:fldChar w:fldCharType="begin"/>
      </w:r>
      <w:r w:rsidR="00DB4BC4">
        <w:instrText xml:space="preserve"> ADDIN EN.CITE &lt;EndNote&gt;&lt;Cite&gt;&lt;Author&gt;Browne&lt;/Author&gt;&lt;Year&gt;2011&lt;/Year&gt;&lt;RecNum&gt;83&lt;/RecNum&gt;&lt;DisplayText&gt;(Browne et al., 2011)&lt;/DisplayText&gt;&lt;record&gt;&lt;rec-number&gt;83&lt;/rec-number&gt;&lt;foreign-keys&gt;&lt;key app="EN" db-id="a2ax0090pfwzzled2pbxpp5js9dsz5wzxa2e" timestamp="1558992209" guid="d8e50652-b17b-4a0a-abea-c85591881811"&gt;83&lt;/key&gt;&lt;key app="ENWeb" db-id=""&gt;0&lt;/key&gt;&lt;/foreign-keys&gt;&lt;ref-type name="Journal Article"&gt;17&lt;/ref-type&gt;&lt;contributors&gt;&lt;authors&gt;&lt;author&gt;Browne, Michael&lt;/author&gt;&lt;author&gt;Allen, Julian&lt;/author&gt;&lt;author&gt;Leonardi, Jacques&lt;/author&gt;&lt;/authors&gt;&lt;/contributors&gt;&lt;titles&gt;&lt;title&gt;Evaluating the use of an urban consolidation centre and electric vehicles in central London&lt;/title&gt;&lt;secondary-title&gt;IATSS research&lt;/secondary-title&gt;&lt;/titles&gt;&lt;periodical&gt;&lt;full-title&gt;IATSS research&lt;/full-title&gt;&lt;/periodical&gt;&lt;pages&gt;1-6&lt;/pages&gt;&lt;volume&gt;35&lt;/volume&gt;&lt;number&gt;1&lt;/number&gt;&lt;dates&gt;&lt;year&gt;2011&lt;/year&gt;&lt;/dates&gt;&lt;isbn&gt;0386-1112&lt;/isbn&gt;&lt;urls&gt;&lt;/urls&gt;&lt;/record&gt;&lt;/Cite&gt;&lt;/EndNote&gt;</w:instrText>
      </w:r>
      <w:r w:rsidR="00DB4BC4" w:rsidRPr="0050480E">
        <w:fldChar w:fldCharType="separate"/>
      </w:r>
      <w:r w:rsidR="00DB4BC4" w:rsidRPr="0050480E">
        <w:rPr>
          <w:noProof/>
        </w:rPr>
        <w:t>(Browne et al., 2011)</w:t>
      </w:r>
      <w:r w:rsidR="00DB4BC4" w:rsidRPr="0050480E">
        <w:fldChar w:fldCharType="end"/>
      </w:r>
      <w:r w:rsidR="00DB4BC4" w:rsidRPr="0050480E">
        <w:t xml:space="preserve"> and the Bristol-Bath conurbation </w:t>
      </w:r>
      <w:r w:rsidR="00DB4BC4" w:rsidRPr="0050480E">
        <w:fldChar w:fldCharType="begin">
          <w:fldData xml:space="preserve">PEVuZE5vdGU+PENpdGU+PEF1dGhvcj5EdWluPC9BdXRob3I+PFllYXI+MjAxNjwvWWVhcj48UmVj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</w:fldData>
        </w:fldChar>
      </w:r>
      <w:r w:rsidR="00DB4BC4">
        <w:instrText xml:space="preserve"> ADDIN EN.CITE </w:instrText>
      </w:r>
      <w:r w:rsidR="00DB4BC4">
        <w:fldChar w:fldCharType="begin">
          <w:fldData xml:space="preserve">PEVuZE5vdGU+PENpdGU+PEF1dGhvcj5EdWluPC9BdXRob3I+PFllYXI+MjAxNjwvWWVhcj48UmVj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</w:fldData>
        </w:fldChar>
      </w:r>
      <w:r w:rsidR="00DB4BC4">
        <w:instrText xml:space="preserve"> ADDIN EN.CITE.DATA </w:instrText>
      </w:r>
      <w:r w:rsidR="00DB4BC4">
        <w:fldChar w:fldCharType="end"/>
      </w:r>
      <w:r w:rsidR="00DB4BC4" w:rsidRPr="0050480E">
        <w:fldChar w:fldCharType="separate"/>
      </w:r>
      <w:r w:rsidR="00DB4BC4" w:rsidRPr="0050480E">
        <w:rPr>
          <w:noProof/>
        </w:rPr>
        <w:t>(Duin et al., 2016)</w:t>
      </w:r>
      <w:r w:rsidR="00DB4BC4" w:rsidRPr="0050480E">
        <w:fldChar w:fldCharType="end"/>
      </w:r>
      <w:r w:rsidR="00DB4BC4" w:rsidRPr="0050480E">
        <w:t>.</w:t>
      </w:r>
    </w:p>
    <w:p w14:paraId="4D175FCB" w14:textId="05DB686B" w:rsidR="0071798B" w:rsidRPr="008903D1" w:rsidRDefault="0071798B" w:rsidP="001802EF">
      <w:pPr>
        <w:spacing w:after="240" w:line="360" w:lineRule="auto"/>
        <w:rPr>
          <w:rFonts w:cs="Times New Roman"/>
        </w:rPr>
      </w:pPr>
      <w:r w:rsidRPr="00A96AC5">
        <w:rPr>
          <w:rFonts w:cs="Times New Roman"/>
        </w:rPr>
        <w:t xml:space="preserve">When well-orchestrated, this cooperating strategy helps participants to reduce operational costs, vehicle numbers, and travel distance </w:t>
      </w:r>
      <w:r w:rsidR="00563712">
        <w:rPr>
          <w:noProof/>
        </w:rPr>
        <w:fldChar w:fldCharType="begin">
          <w:fldData xml:space="preserve">PEVuZE5vdGU+PENpdGU+PEF1dGhvcj5CYXR0YWlhPC9BdXRob3I+PFllYXI+MjAxNDwvWWVhcj48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</w:fldData>
        </w:fldChar>
      </w:r>
      <w:r w:rsidR="00E7392C">
        <w:rPr>
          <w:noProof/>
        </w:rPr>
        <w:instrText xml:space="preserve"> ADDIN EN.CITE </w:instrText>
      </w:r>
      <w:r w:rsidR="00E7392C">
        <w:rPr>
          <w:noProof/>
        </w:rPr>
        <w:fldChar w:fldCharType="begin">
          <w:fldData xml:space="preserve">PEVuZE5vdGU+PENpdGU+PEF1dGhvcj5CYXR0YWlhPC9BdXRob3I+PFllYXI+MjAxNDwvWWVhcj48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</w:fldData>
        </w:fldChar>
      </w:r>
      <w:r w:rsidR="00E7392C">
        <w:rPr>
          <w:noProof/>
        </w:rPr>
        <w:instrText xml:space="preserve"> ADDIN EN.CITE.DATA </w:instrText>
      </w:r>
      <w:r w:rsidR="00E7392C">
        <w:rPr>
          <w:noProof/>
        </w:rPr>
      </w:r>
      <w:r w:rsidR="00E7392C">
        <w:rPr>
          <w:noProof/>
        </w:rPr>
        <w:fldChar w:fldCharType="end"/>
      </w:r>
      <w:r w:rsidR="00563712">
        <w:rPr>
          <w:noProof/>
        </w:rPr>
      </w:r>
      <w:r w:rsidR="00563712">
        <w:rPr>
          <w:noProof/>
        </w:rPr>
        <w:fldChar w:fldCharType="separate"/>
      </w:r>
      <w:r w:rsidR="00563712">
        <w:rPr>
          <w:noProof/>
        </w:rPr>
        <w:t>(Battaia et al., 2014)</w:t>
      </w:r>
      <w:r w:rsidR="00563712">
        <w:rPr>
          <w:noProof/>
        </w:rPr>
        <w:fldChar w:fldCharType="end"/>
      </w:r>
      <w:r w:rsidRPr="00A96AC5">
        <w:rPr>
          <w:rFonts w:cs="Times New Roman"/>
        </w:rPr>
        <w:t xml:space="preserve">. At the UCCs, careful planning is undertaken to consolidate volumes and arrange appropriate routes and schedules to reduce the </w:t>
      </w:r>
      <w:r w:rsidRPr="00A96AC5">
        <w:rPr>
          <w:rFonts w:cs="Times New Roman"/>
        </w:rPr>
        <w:lastRenderedPageBreak/>
        <w:t xml:space="preserve">negative environmental impact on the city </w:t>
      </w:r>
      <w:r w:rsidR="00563712">
        <w:rPr>
          <w:noProof/>
        </w:rPr>
        <w:fldChar w:fldCharType="begin">
          <w:fldData xml:space="preserve">PEVuZE5vdGU+PENpdGU+PEF1dGhvcj5PbHNzb248L0F1dGhvcj48WWVhcj4yMDE0PC9ZZWFyPjxS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</w:fldData>
        </w:fldChar>
      </w:r>
      <w:r w:rsidR="00CA2D5D">
        <w:rPr>
          <w:noProof/>
        </w:rPr>
        <w:instrText xml:space="preserve"> ADDIN EN.CITE </w:instrText>
      </w:r>
      <w:r w:rsidR="00CA2D5D">
        <w:rPr>
          <w:noProof/>
        </w:rPr>
        <w:fldChar w:fldCharType="begin">
          <w:fldData xml:space="preserve">PEVuZE5vdGU+PENpdGU+PEF1dGhvcj5PbHNzb248L0F1dGhvcj48WWVhcj4yMDE0PC9ZZWFyPjxS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</w:fldData>
        </w:fldChar>
      </w:r>
      <w:r w:rsidR="00CA2D5D">
        <w:rPr>
          <w:noProof/>
        </w:rPr>
        <w:instrText xml:space="preserve"> ADDIN EN.CITE.DATA </w:instrText>
      </w:r>
      <w:r w:rsidR="00CA2D5D">
        <w:rPr>
          <w:noProof/>
        </w:rPr>
      </w:r>
      <w:r w:rsidR="00CA2D5D">
        <w:rPr>
          <w:noProof/>
        </w:rPr>
        <w:fldChar w:fldCharType="end"/>
      </w:r>
      <w:r w:rsidR="00563712">
        <w:rPr>
          <w:noProof/>
        </w:rPr>
      </w:r>
      <w:r w:rsidR="00563712">
        <w:rPr>
          <w:noProof/>
        </w:rPr>
        <w:fldChar w:fldCharType="separate"/>
      </w:r>
      <w:r w:rsidR="00563712">
        <w:rPr>
          <w:noProof/>
        </w:rPr>
        <w:t>(Olsson and Woxenius, 2014)</w:t>
      </w:r>
      <w:r w:rsidR="00563712">
        <w:rPr>
          <w:noProof/>
        </w:rPr>
        <w:fldChar w:fldCharType="end"/>
      </w:r>
      <w:r w:rsidRPr="00A96AC5">
        <w:rPr>
          <w:rFonts w:cs="Times New Roman"/>
        </w:rPr>
        <w:t xml:space="preserve">. The UCC model has performed well in small-scale cooperative exploratory programmes </w:t>
      </w:r>
      <w:r w:rsidR="00563712">
        <w:rPr>
          <w:noProof/>
        </w:rPr>
        <w:fldChar w:fldCharType="begin">
          <w:fldData xml:space="preserve">PEVuZE5vdGU+PENpdGU+PEF1dGhvcj5KYWN5bmE8L0F1dGhvcj48WWVhcj4yMDEzPC9ZZWFyPjxS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</w:fldData>
        </w:fldChar>
      </w:r>
      <w:r w:rsidR="00647E79">
        <w:rPr>
          <w:noProof/>
        </w:rPr>
        <w:instrText xml:space="preserve"> ADDIN EN.CITE </w:instrText>
      </w:r>
      <w:r w:rsidR="00647E79">
        <w:rPr>
          <w:noProof/>
        </w:rPr>
        <w:fldChar w:fldCharType="begin">
          <w:fldData xml:space="preserve">PEVuZE5vdGU+PENpdGU+PEF1dGhvcj5KYWN5bmE8L0F1dGhvcj48WWVhcj4yMDEzPC9ZZWFyPjxS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</w:fldData>
        </w:fldChar>
      </w:r>
      <w:r w:rsidR="00647E79">
        <w:rPr>
          <w:noProof/>
        </w:rPr>
        <w:instrText xml:space="preserve"> ADDIN EN.CITE.DATA </w:instrText>
      </w:r>
      <w:r w:rsidR="00647E79">
        <w:rPr>
          <w:noProof/>
        </w:rPr>
      </w:r>
      <w:r w:rsidR="00647E79">
        <w:rPr>
          <w:noProof/>
        </w:rPr>
        <w:fldChar w:fldCharType="end"/>
      </w:r>
      <w:r w:rsidR="00563712">
        <w:rPr>
          <w:noProof/>
        </w:rPr>
      </w:r>
      <w:r w:rsidR="00563712">
        <w:rPr>
          <w:noProof/>
        </w:rPr>
        <w:fldChar w:fldCharType="separate"/>
      </w:r>
      <w:r w:rsidR="00563712">
        <w:rPr>
          <w:noProof/>
        </w:rPr>
        <w:t>(Jacyna, 2013)</w:t>
      </w:r>
      <w:r w:rsidR="00563712">
        <w:rPr>
          <w:noProof/>
        </w:rPr>
        <w:fldChar w:fldCharType="end"/>
      </w:r>
      <w:r w:rsidRPr="00A96AC5">
        <w:rPr>
          <w:rFonts w:cs="Times New Roman"/>
        </w:rPr>
        <w:t xml:space="preserve">. Although significant benefits can be achieved by UCCs, few private companies are willing to participate in these schemes. The projects are typically aimed at resolving environmental problems, thus they do not always align with the core interests of private companies </w:t>
      </w:r>
      <w:r w:rsidR="00563712">
        <w:fldChar w:fldCharType="begin"/>
      </w:r>
      <w:r w:rsidR="00647E79">
        <w:instrText xml:space="preserve"> ADDIN EN.CITE &lt;EndNote&gt;&lt;Cite&gt;&lt;Author&gt;Holguín-Veras&lt;/Author&gt;&lt;Year&gt;2016&lt;/Year&gt;&lt;RecNum&gt;95&lt;/RecNum&gt;&lt;DisplayText&gt;(Holguín-Veras and Sánchez-Díaz, 2016)&lt;/DisplayText&gt;&lt;record&gt;&lt;rec-number&gt;95&lt;/rec-number&gt;&lt;foreign-keys&gt;&lt;key app="EN" db-id="pzt5ep52hsedfpeext2pdfes0w0aswaewef2" timestamp="1605187993"&gt;95&lt;/key&gt;&lt;/foreign-keys&gt;&lt;ref-type name="Journal Article"&gt;17&lt;/ref-type&gt;&lt;contributors&gt;&lt;authors&gt;&lt;author&gt;Holguín-Veras, José&lt;/author&gt;&lt;author&gt;Sánchez-Díaz, Iván&lt;/author&gt;&lt;/authors&gt;&lt;/contributors&gt;&lt;titles&gt;&lt;title&gt;Freight demand management and the potential of receiver-led consolidation programs&lt;/title&gt;&lt;secondary-title&gt;Transportation Research Part A: Policy and Practice&lt;/secondary-title&gt;&lt;/titles&gt;&lt;periodical&gt;&lt;full-title&gt;Transportation Research Part A: Policy and Practice&lt;/full-title&gt;&lt;/periodical&gt;&lt;pages&gt;109-130&lt;/pages&gt;&lt;volume&gt;84&lt;/volume&gt;&lt;dates&gt;&lt;year&gt;2016&lt;/year&gt;&lt;/dates&gt;&lt;isbn&gt;0965-8564&lt;/isbn&gt;&lt;urls&gt;&lt;related-urls&gt;&lt;url&gt;http://www.sciencedirect.com/science/article/pii/S0965856415001792&lt;/url&gt;&lt;/related-urls&gt;&lt;/urls&gt;&lt;research-notes&gt;103&lt;/research-notes&gt;&lt;/record&gt;&lt;/Cite&gt;&lt;/EndNote&gt;</w:instrText>
      </w:r>
      <w:r w:rsidR="00563712">
        <w:fldChar w:fldCharType="separate"/>
      </w:r>
      <w:r w:rsidR="00563712">
        <w:rPr>
          <w:noProof/>
        </w:rPr>
        <w:t>(Holguín-Veras and Sánchez-Díaz, 2016)</w:t>
      </w:r>
      <w:r w:rsidR="00563712">
        <w:fldChar w:fldCharType="end"/>
      </w:r>
      <w:r w:rsidRPr="00A96AC5">
        <w:rPr>
          <w:rFonts w:cs="Times New Roman"/>
        </w:rPr>
        <w:t xml:space="preserve">. A detailed review of a paper on the advantages and disadvantages of UCCs is presented in section </w:t>
      </w:r>
      <w:r w:rsidRPr="008903D1">
        <w:rPr>
          <w:rFonts w:cs="Times New Roman"/>
        </w:rPr>
        <w:fldChar w:fldCharType="begin"/>
      </w:r>
      <w:r w:rsidRPr="00A96AC5">
        <w:rPr>
          <w:rFonts w:cs="Times New Roman"/>
        </w:rPr>
        <w:instrText xml:space="preserve"> REF _Ref30088527 \n \h  \* MERGEFORMAT </w:instrText>
      </w:r>
      <w:r w:rsidRPr="008903D1">
        <w:rPr>
          <w:rFonts w:cs="Times New Roman"/>
        </w:rPr>
      </w:r>
      <w:r w:rsidRPr="008903D1">
        <w:rPr>
          <w:rFonts w:cs="Times New Roman"/>
        </w:rPr>
        <w:fldChar w:fldCharType="separate"/>
      </w:r>
      <w:r w:rsidR="0005064B">
        <w:rPr>
          <w:rFonts w:cs="Times New Roman"/>
        </w:rPr>
        <w:t>2.7</w:t>
      </w:r>
      <w:r w:rsidRPr="008903D1">
        <w:rPr>
          <w:rFonts w:cs="Times New Roman"/>
        </w:rPr>
        <w:fldChar w:fldCharType="end"/>
      </w:r>
      <w:r w:rsidRPr="008903D1">
        <w:rPr>
          <w:rFonts w:cs="Times New Roman"/>
        </w:rPr>
        <w:t>.</w:t>
      </w:r>
    </w:p>
    <w:p w14:paraId="74379A10" w14:textId="77777777" w:rsidR="005344D0" w:rsidRPr="00737239" w:rsidRDefault="005344D0" w:rsidP="005344D0">
      <w:pPr>
        <w:pStyle w:val="Heading3"/>
        <w:spacing w:line="360" w:lineRule="auto"/>
        <w:rPr>
          <w:rFonts w:cs="Times New Roman"/>
        </w:rPr>
      </w:pPr>
      <w:bookmarkStart w:id="225" w:name="_Toc34734491"/>
      <w:bookmarkStart w:id="226" w:name="_Toc46053409"/>
      <w:bookmarkStart w:id="227" w:name="_Toc46093323"/>
      <w:bookmarkStart w:id="228" w:name="_Toc46093606"/>
      <w:bookmarkStart w:id="229" w:name="_Toc66703181"/>
      <w:bookmarkStart w:id="230" w:name="_Toc46053410"/>
      <w:bookmarkStart w:id="231" w:name="_Toc46093324"/>
      <w:bookmarkStart w:id="232" w:name="_Toc46093607"/>
      <w:bookmarkStart w:id="233" w:name="_Toc491894826"/>
      <w:bookmarkStart w:id="234" w:name="_Toc34734492"/>
      <w:r w:rsidRPr="00737239">
        <w:rPr>
          <w:rFonts w:cs="Times New Roman"/>
        </w:rPr>
        <w:t>Performance evaluation</w:t>
      </w:r>
      <w:bookmarkEnd w:id="225"/>
      <w:bookmarkEnd w:id="226"/>
      <w:bookmarkEnd w:id="227"/>
      <w:bookmarkEnd w:id="228"/>
      <w:bookmarkEnd w:id="229"/>
    </w:p>
    <w:p w14:paraId="141E5E16" w14:textId="77777777" w:rsidR="005344D0" w:rsidRPr="00A96AC5" w:rsidRDefault="005344D0" w:rsidP="005344D0">
      <w:pPr>
        <w:spacing w:after="240" w:line="360" w:lineRule="auto"/>
        <w:rPr>
          <w:rFonts w:cs="Times New Roman"/>
          <w:szCs w:val="24"/>
        </w:rPr>
      </w:pPr>
      <w:r w:rsidRPr="00802DC5">
        <w:rPr>
          <w:rFonts w:cs="Times New Roman"/>
        </w:rPr>
        <w:t>The performance evaluation can be divided into the ex-ante estimation and ex-post assessment. This evaluation appraises the achievements or estimated results of new logistics models, innovative technology, UL initiatives, and transport policy. This s</w:t>
      </w:r>
      <w:r w:rsidRPr="006C301D">
        <w:rPr>
          <w:rFonts w:cs="Times New Roman"/>
        </w:rPr>
        <w:t xml:space="preserve">ection illustrates the framework of the SUL </w:t>
      </w:r>
      <w:r w:rsidRPr="00A96AC5">
        <w:rPr>
          <w:rFonts w:cs="Times New Roman"/>
          <w:szCs w:val="24"/>
        </w:rPr>
        <w:t>key performance indicators (KPIs) and the frequency of the popular indicators in the reviewed literature. To close, there is a description of multi-criteria decision-making (MCDM), in which multiple indicators with conflicting attributes are adopted, and various papers that use MCDM tools to develop more articulated evaluation frameworks.</w:t>
      </w:r>
    </w:p>
    <w:p w14:paraId="6C0C38A6" w14:textId="77777777" w:rsidR="005344D0" w:rsidRPr="00A96AC5" w:rsidRDefault="005344D0" w:rsidP="005344D0">
      <w:pPr>
        <w:pStyle w:val="Heading4"/>
        <w:spacing w:after="0" w:line="360" w:lineRule="auto"/>
        <w:rPr>
          <w:rFonts w:cs="Times New Roman"/>
        </w:rPr>
      </w:pPr>
      <w:r w:rsidRPr="00A96AC5">
        <w:rPr>
          <w:rFonts w:cs="Times New Roman"/>
        </w:rPr>
        <w:t>Key performance indicators (KPIs) for sustainable urban logistics (SUL)</w:t>
      </w:r>
    </w:p>
    <w:p w14:paraId="2BE61D29" w14:textId="77777777" w:rsidR="005344D0" w:rsidRPr="00A96AC5" w:rsidRDefault="005344D0" w:rsidP="005344D0">
      <w:pPr>
        <w:spacing w:after="240" w:line="360" w:lineRule="auto"/>
        <w:rPr>
          <w:rFonts w:cs="Times New Roman"/>
        </w:rPr>
      </w:pPr>
      <w:r>
        <w:rPr>
          <w:noProof/>
        </w:rPr>
        <w:fldChar w:fldCharType="begin"/>
      </w:r>
      <w:r>
        <w:rPr>
          <w:noProof/>
        </w:rPr>
        <w:instrText xml:space="preserve"> ADDIN EN.CITE &lt;EndNote&gt;&lt;Cite AuthorYear="1"&gt;&lt;Author&gt;Patier&lt;/Author&gt;&lt;Year&gt;2010&lt;/Year&gt;&lt;RecNum&gt;96&lt;/RecNum&gt;&lt;DisplayText&gt;Patier and Browne (2010)&lt;/DisplayText&gt;&lt;record&gt;&lt;rec-number&gt;96&lt;/rec-number&gt;&lt;foreign-keys&gt;&lt;key app="EN" db-id="pzt5ep52hsedfpeext2pdfes0w0aswaewef2" timestamp="1605187993"&gt;96&lt;/key&gt;&lt;/foreign-keys&gt;&lt;ref-type name="Journal Article"&gt;17&lt;/ref-type&gt;&lt;contributors&gt;&lt;authors&gt;&lt;author&gt;Patier, Danièle&lt;/author&gt;&lt;author&gt;Browne, Michael&lt;/author&gt;&lt;/authors&gt;&lt;/contributors&gt;&lt;titles&gt;&lt;title&gt;A methodology for the evaluation of urban logistics innovations&lt;/title&gt;&lt;secondary-title&gt;Procedia - Social and Behavioral Sciences&lt;/secondary-title&gt;&lt;/titles&gt;&lt;periodical&gt;&lt;full-title&gt;Procedia - Social and Behavioral Sciences&lt;/full-title&gt;&lt;/periodical&gt;&lt;pages&gt;6229-6241&lt;/pages&gt;&lt;volume&gt;2&lt;/volume&gt;&lt;number&gt;3&lt;/number&gt;&lt;keywords&gt;&lt;keyword&gt;Evaluation&lt;/keyword&gt;&lt;keyword&gt;projects&lt;/keyword&gt;&lt;keyword&gt;innovations&lt;/keyword&gt;&lt;keyword&gt;urban goods&lt;/keyword&gt;&lt;/keywords&gt;&lt;dates&gt;&lt;year&gt;2010&lt;/year&gt;&lt;pub-dates&gt;&lt;date&gt;2010/01/01/&lt;/date&gt;&lt;/pub-dates&gt;&lt;/dates&gt;&lt;isbn&gt;1877-0428&lt;/isbn&gt;&lt;urls&gt;&lt;related-urls&gt;&lt;url&gt;http://www.sciencedirect.com/science/article/pii/S1877042810010864&lt;/url&gt;&lt;/related-urls&gt;&lt;/urls&gt;&lt;electronic-resource-num&gt;https://doi.org/10.1016/j.sbspro.2010.04.033&lt;/electronic-resource-num&gt;&lt;/record&gt;&lt;/Cite&gt;&lt;/EndNote&gt;</w:instrText>
      </w:r>
      <w:r>
        <w:rPr>
          <w:noProof/>
        </w:rPr>
        <w:fldChar w:fldCharType="separate"/>
      </w:r>
      <w:r>
        <w:rPr>
          <w:noProof/>
        </w:rPr>
        <w:t>Patier and Browne (2010)</w:t>
      </w:r>
      <w:r>
        <w:rPr>
          <w:noProof/>
        </w:rPr>
        <w:fldChar w:fldCharType="end"/>
      </w:r>
      <w:r>
        <w:t xml:space="preserve"> </w:t>
      </w:r>
      <w:r w:rsidRPr="00A96AC5">
        <w:rPr>
          <w:rFonts w:cs="Times New Roman"/>
        </w:rPr>
        <w:t>provide an extensive list of SUL KPIs (Table 14). They classify these as core indicators (i.e., those considered in the relevant performance evaluation research) and additional indicators (i.e., those which improve the quality of the results).</w:t>
      </w:r>
    </w:p>
    <w:tbl>
      <w:tblPr>
        <w:tblStyle w:val="TableGrid"/>
        <w:tblW w:w="5000" w:type="pct"/>
        <w:tblLook w:val="04A0" w:firstRow="1" w:lastRow="0" w:firstColumn="1" w:lastColumn="0" w:noHBand="0" w:noVBand="1"/>
      </w:tblPr>
      <w:tblGrid>
        <w:gridCol w:w="1524"/>
        <w:gridCol w:w="3691"/>
        <w:gridCol w:w="3801"/>
      </w:tblGrid>
      <w:tr w:rsidR="005344D0" w:rsidRPr="008903D1" w14:paraId="2C8A4D8E" w14:textId="77777777" w:rsidTr="006E32A1">
        <w:tc>
          <w:tcPr>
            <w:tcW w:w="845" w:type="pct"/>
          </w:tcPr>
          <w:p w14:paraId="35F97441" w14:textId="77777777" w:rsidR="005344D0" w:rsidRPr="00A96AC5" w:rsidRDefault="005344D0" w:rsidP="006E32A1">
            <w:pPr>
              <w:spacing w:line="240" w:lineRule="auto"/>
              <w:rPr>
                <w:rFonts w:cs="Times New Roman"/>
                <w:b/>
                <w:bCs/>
                <w:sz w:val="22"/>
              </w:rPr>
            </w:pPr>
            <w:r w:rsidRPr="00A96AC5">
              <w:rPr>
                <w:rFonts w:cs="Times New Roman"/>
                <w:b/>
                <w:bCs/>
                <w:sz w:val="22"/>
              </w:rPr>
              <w:t>Dimensions</w:t>
            </w:r>
          </w:p>
        </w:tc>
        <w:tc>
          <w:tcPr>
            <w:tcW w:w="2047" w:type="pct"/>
          </w:tcPr>
          <w:p w14:paraId="3DEDAA98" w14:textId="77777777" w:rsidR="005344D0" w:rsidRPr="00A96AC5" w:rsidRDefault="005344D0" w:rsidP="006E32A1">
            <w:pPr>
              <w:spacing w:line="240" w:lineRule="auto"/>
              <w:jc w:val="center"/>
              <w:rPr>
                <w:rFonts w:cs="Times New Roman"/>
                <w:b/>
                <w:bCs/>
                <w:sz w:val="22"/>
              </w:rPr>
            </w:pPr>
            <w:r w:rsidRPr="00A96AC5">
              <w:rPr>
                <w:rFonts w:cs="Times New Roman"/>
                <w:b/>
                <w:bCs/>
                <w:sz w:val="22"/>
              </w:rPr>
              <w:t>Core indicators</w:t>
            </w:r>
          </w:p>
        </w:tc>
        <w:tc>
          <w:tcPr>
            <w:tcW w:w="2108" w:type="pct"/>
          </w:tcPr>
          <w:p w14:paraId="61B65FE9" w14:textId="77777777" w:rsidR="005344D0" w:rsidRPr="00A96AC5" w:rsidRDefault="005344D0" w:rsidP="006E32A1">
            <w:pPr>
              <w:spacing w:line="240" w:lineRule="auto"/>
              <w:jc w:val="center"/>
              <w:rPr>
                <w:rFonts w:cs="Times New Roman"/>
                <w:b/>
                <w:bCs/>
                <w:sz w:val="22"/>
              </w:rPr>
            </w:pPr>
            <w:r w:rsidRPr="00A96AC5">
              <w:rPr>
                <w:rFonts w:cs="Times New Roman"/>
                <w:b/>
                <w:bCs/>
                <w:sz w:val="22"/>
              </w:rPr>
              <w:t>Additional indicators</w:t>
            </w:r>
          </w:p>
        </w:tc>
      </w:tr>
      <w:tr w:rsidR="005344D0" w:rsidRPr="008903D1" w14:paraId="698CDFF7" w14:textId="77777777" w:rsidTr="006E32A1">
        <w:tc>
          <w:tcPr>
            <w:tcW w:w="845" w:type="pct"/>
            <w:vAlign w:val="center"/>
          </w:tcPr>
          <w:p w14:paraId="50CE073E" w14:textId="77777777" w:rsidR="005344D0" w:rsidRPr="00737239" w:rsidRDefault="005344D0" w:rsidP="006E32A1">
            <w:pPr>
              <w:spacing w:line="240" w:lineRule="auto"/>
              <w:jc w:val="center"/>
              <w:rPr>
                <w:rFonts w:cs="Times New Roman"/>
                <w:sz w:val="22"/>
              </w:rPr>
            </w:pPr>
            <w:r w:rsidRPr="00737239">
              <w:rPr>
                <w:rFonts w:cs="Times New Roman"/>
                <w:sz w:val="22"/>
              </w:rPr>
              <w:t>Logistics data</w:t>
            </w:r>
          </w:p>
        </w:tc>
        <w:tc>
          <w:tcPr>
            <w:tcW w:w="2047" w:type="pct"/>
          </w:tcPr>
          <w:p w14:paraId="0AF8BA61" w14:textId="77777777" w:rsidR="005344D0" w:rsidRPr="006C301D" w:rsidRDefault="005344D0" w:rsidP="006E32A1">
            <w:pPr>
              <w:pStyle w:val="ListParagraph"/>
              <w:numPr>
                <w:ilvl w:val="0"/>
                <w:numId w:val="3"/>
              </w:numPr>
              <w:spacing w:line="240" w:lineRule="auto"/>
              <w:ind w:left="357" w:hanging="357"/>
              <w:rPr>
                <w:rFonts w:cs="Times New Roman"/>
                <w:sz w:val="22"/>
              </w:rPr>
            </w:pPr>
            <w:r w:rsidRPr="00802DC5">
              <w:rPr>
                <w:rFonts w:cs="Times New Roman"/>
                <w:sz w:val="22"/>
              </w:rPr>
              <w:t xml:space="preserve">Number of parcels delivered or picked </w:t>
            </w:r>
            <w:proofErr w:type="gramStart"/>
            <w:r w:rsidRPr="00802DC5">
              <w:rPr>
                <w:rFonts w:cs="Times New Roman"/>
                <w:sz w:val="22"/>
              </w:rPr>
              <w:t>up</w:t>
            </w:r>
            <w:proofErr w:type="gramEnd"/>
          </w:p>
          <w:p w14:paraId="0312E173"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Number of stops</w:t>
            </w:r>
          </w:p>
          <w:p w14:paraId="065FB3D3"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Duration of stops</w:t>
            </w:r>
          </w:p>
          <w:p w14:paraId="20825E3A"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Action zone</w:t>
            </w:r>
          </w:p>
          <w:p w14:paraId="4465A6DC"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 xml:space="preserve">Distance covered by road with thermic </w:t>
            </w:r>
            <w:proofErr w:type="gramStart"/>
            <w:r w:rsidRPr="00A96AC5">
              <w:rPr>
                <w:rFonts w:cs="Times New Roman"/>
                <w:sz w:val="22"/>
              </w:rPr>
              <w:t>vehicles</w:t>
            </w:r>
            <w:proofErr w:type="gramEnd"/>
          </w:p>
          <w:p w14:paraId="0ABF21AD"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 xml:space="preserve">Distance covered with non-polluting </w:t>
            </w:r>
            <w:proofErr w:type="gramStart"/>
            <w:r w:rsidRPr="00A96AC5">
              <w:rPr>
                <w:rFonts w:cs="Times New Roman"/>
                <w:sz w:val="22"/>
              </w:rPr>
              <w:t>vehicles</w:t>
            </w:r>
            <w:proofErr w:type="gramEnd"/>
          </w:p>
          <w:p w14:paraId="617B9A40"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Vehicle and handling equipment capacity</w:t>
            </w:r>
          </w:p>
          <w:p w14:paraId="5DD97020"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 xml:space="preserve">Number of vehicles crossing on the </w:t>
            </w:r>
            <w:proofErr w:type="gramStart"/>
            <w:r w:rsidRPr="00A96AC5">
              <w:rPr>
                <w:rFonts w:cs="Times New Roman"/>
                <w:sz w:val="22"/>
              </w:rPr>
              <w:t>platform</w:t>
            </w:r>
            <w:proofErr w:type="gramEnd"/>
          </w:p>
          <w:p w14:paraId="79AF6485"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Using rate of urban logistics (UL) space</w:t>
            </w:r>
          </w:p>
        </w:tc>
        <w:tc>
          <w:tcPr>
            <w:tcW w:w="2108" w:type="pct"/>
          </w:tcPr>
          <w:p w14:paraId="58B04DE8"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Length of the round</w:t>
            </w:r>
          </w:p>
          <w:p w14:paraId="7EA9A667"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 xml:space="preserve">Delivery time, delivery constraints </w:t>
            </w:r>
          </w:p>
          <w:p w14:paraId="4D61B78D"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Time for loading/</w:t>
            </w:r>
            <w:proofErr w:type="gramStart"/>
            <w:r w:rsidRPr="00A96AC5">
              <w:rPr>
                <w:rFonts w:cs="Times New Roman"/>
                <w:sz w:val="22"/>
              </w:rPr>
              <w:t>unloading</w:t>
            </w:r>
            <w:proofErr w:type="gramEnd"/>
          </w:p>
          <w:p w14:paraId="38CB790F"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Filling rate of vehicles</w:t>
            </w:r>
          </w:p>
          <w:p w14:paraId="70F0104F"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Speed of vehicles</w:t>
            </w:r>
          </w:p>
          <w:p w14:paraId="44AE9B10"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Timetable in the platform</w:t>
            </w:r>
          </w:p>
          <w:p w14:paraId="797F9218"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Timetable for each stop for delivery</w:t>
            </w:r>
          </w:p>
          <w:p w14:paraId="2E14A864" w14:textId="77777777" w:rsidR="005344D0" w:rsidRPr="00A96AC5" w:rsidRDefault="005344D0" w:rsidP="006E32A1">
            <w:pPr>
              <w:spacing w:line="240" w:lineRule="auto"/>
              <w:rPr>
                <w:rFonts w:cs="Times New Roman"/>
                <w:sz w:val="22"/>
              </w:rPr>
            </w:pPr>
          </w:p>
        </w:tc>
      </w:tr>
      <w:tr w:rsidR="005344D0" w:rsidRPr="008903D1" w14:paraId="104E8526" w14:textId="77777777" w:rsidTr="006E32A1">
        <w:tc>
          <w:tcPr>
            <w:tcW w:w="845" w:type="pct"/>
            <w:vAlign w:val="center"/>
          </w:tcPr>
          <w:p w14:paraId="5C78E630" w14:textId="77777777" w:rsidR="005344D0" w:rsidRPr="006C301D" w:rsidRDefault="005344D0" w:rsidP="006E32A1">
            <w:pPr>
              <w:spacing w:line="240" w:lineRule="auto"/>
              <w:jc w:val="center"/>
              <w:rPr>
                <w:rFonts w:cs="Times New Roman"/>
                <w:sz w:val="22"/>
              </w:rPr>
            </w:pPr>
            <w:r w:rsidRPr="00737239">
              <w:rPr>
                <w:rFonts w:cs="Times New Roman"/>
                <w:sz w:val="22"/>
              </w:rPr>
              <w:t xml:space="preserve">Economic and </w:t>
            </w:r>
            <w:r w:rsidRPr="00802DC5">
              <w:rPr>
                <w:rFonts w:cs="Times New Roman"/>
                <w:sz w:val="22"/>
              </w:rPr>
              <w:t>commercial indicators</w:t>
            </w:r>
          </w:p>
        </w:tc>
        <w:tc>
          <w:tcPr>
            <w:tcW w:w="2047" w:type="pct"/>
          </w:tcPr>
          <w:p w14:paraId="2523A903" w14:textId="77777777" w:rsidR="005344D0" w:rsidRPr="00A96AC5" w:rsidRDefault="005344D0" w:rsidP="006E32A1">
            <w:pPr>
              <w:pStyle w:val="ListParagraph"/>
              <w:numPr>
                <w:ilvl w:val="0"/>
                <w:numId w:val="3"/>
              </w:numPr>
              <w:spacing w:line="240" w:lineRule="auto"/>
              <w:ind w:left="357" w:hanging="357"/>
              <w:rPr>
                <w:rFonts w:cs="Times New Roman"/>
                <w:sz w:val="22"/>
              </w:rPr>
            </w:pPr>
            <w:proofErr w:type="gramStart"/>
            <w:r w:rsidRPr="00A96AC5">
              <w:rPr>
                <w:rFonts w:cs="Times New Roman"/>
                <w:sz w:val="22"/>
              </w:rPr>
              <w:t>Investments</w:t>
            </w:r>
            <w:proofErr w:type="gramEnd"/>
            <w:r w:rsidRPr="00A96AC5">
              <w:rPr>
                <w:rFonts w:cs="Times New Roman"/>
                <w:sz w:val="22"/>
              </w:rPr>
              <w:t xml:space="preserve"> cost</w:t>
            </w:r>
          </w:p>
          <w:p w14:paraId="6417AF4E"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Exploitation cost</w:t>
            </w:r>
          </w:p>
          <w:p w14:paraId="7BAD2DA8"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Subsidy</w:t>
            </w:r>
          </w:p>
          <w:p w14:paraId="3DBD7C91"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lastRenderedPageBreak/>
              <w:t>Price</w:t>
            </w:r>
          </w:p>
          <w:p w14:paraId="2960AE4E"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Customer or user satisfaction</w:t>
            </w:r>
          </w:p>
        </w:tc>
        <w:tc>
          <w:tcPr>
            <w:tcW w:w="2108" w:type="pct"/>
          </w:tcPr>
          <w:p w14:paraId="7D0BA1D3"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lastRenderedPageBreak/>
              <w:t>Subcontracting</w:t>
            </w:r>
          </w:p>
          <w:p w14:paraId="424C2466"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Safety of the freight</w:t>
            </w:r>
          </w:p>
          <w:p w14:paraId="7E1D238F"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Typology of concerned activities</w:t>
            </w:r>
          </w:p>
          <w:p w14:paraId="3EEA223B"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lastRenderedPageBreak/>
              <w:t>Typology of involved goods</w:t>
            </w:r>
          </w:p>
          <w:p w14:paraId="372FFFE2"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Motivation of customers</w:t>
            </w:r>
          </w:p>
          <w:p w14:paraId="477861C2"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Evolution of the turnover</w:t>
            </w:r>
          </w:p>
          <w:p w14:paraId="704B3574"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Evolution of the exploitation results</w:t>
            </w:r>
          </w:p>
        </w:tc>
      </w:tr>
      <w:tr w:rsidR="005344D0" w:rsidRPr="008903D1" w14:paraId="6345FDAB" w14:textId="77777777" w:rsidTr="006E32A1">
        <w:tc>
          <w:tcPr>
            <w:tcW w:w="845" w:type="pct"/>
            <w:vAlign w:val="center"/>
          </w:tcPr>
          <w:p w14:paraId="2F56CCC3" w14:textId="77777777" w:rsidR="005344D0" w:rsidRPr="00802DC5" w:rsidRDefault="005344D0" w:rsidP="006E32A1">
            <w:pPr>
              <w:spacing w:line="240" w:lineRule="auto"/>
              <w:jc w:val="center"/>
              <w:rPr>
                <w:rFonts w:cs="Times New Roman"/>
                <w:sz w:val="22"/>
              </w:rPr>
            </w:pPr>
            <w:r w:rsidRPr="00737239">
              <w:rPr>
                <w:rFonts w:cs="Times New Roman"/>
                <w:sz w:val="22"/>
              </w:rPr>
              <w:lastRenderedPageBreak/>
              <w:t>Environmental indicators</w:t>
            </w:r>
          </w:p>
        </w:tc>
        <w:tc>
          <w:tcPr>
            <w:tcW w:w="2047" w:type="pct"/>
          </w:tcPr>
          <w:p w14:paraId="2FFA1308"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6C301D">
              <w:rPr>
                <w:rFonts w:cs="Times New Roman"/>
                <w:sz w:val="22"/>
              </w:rPr>
              <w:t>Energy consumption</w:t>
            </w:r>
          </w:p>
          <w:p w14:paraId="27B8EA9B" w14:textId="77777777" w:rsidR="005344D0" w:rsidRPr="00A96AC5" w:rsidRDefault="005344D0" w:rsidP="006E32A1">
            <w:pPr>
              <w:pStyle w:val="ListParagraph"/>
              <w:numPr>
                <w:ilvl w:val="0"/>
                <w:numId w:val="3"/>
              </w:numPr>
              <w:spacing w:line="240" w:lineRule="auto"/>
              <w:ind w:left="357" w:hanging="357"/>
              <w:rPr>
                <w:rFonts w:cs="Times New Roman"/>
                <w:sz w:val="22"/>
              </w:rPr>
            </w:pPr>
            <w:proofErr w:type="gramStart"/>
            <w:r w:rsidRPr="00A96AC5">
              <w:rPr>
                <w:rFonts w:cs="Times New Roman"/>
                <w:sz w:val="22"/>
              </w:rPr>
              <w:t>Pollutants</w:t>
            </w:r>
            <w:proofErr w:type="gramEnd"/>
            <w:r w:rsidRPr="00A96AC5">
              <w:rPr>
                <w:rFonts w:cs="Times New Roman"/>
                <w:sz w:val="22"/>
              </w:rPr>
              <w:t xml:space="preserve"> emissions</w:t>
            </w:r>
          </w:p>
          <w:p w14:paraId="7C0D07D5"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Rate of deliveries with clean vehicles</w:t>
            </w:r>
          </w:p>
        </w:tc>
        <w:tc>
          <w:tcPr>
            <w:tcW w:w="2108" w:type="pct"/>
          </w:tcPr>
          <w:p w14:paraId="1AF27A2E"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Noise</w:t>
            </w:r>
          </w:p>
        </w:tc>
      </w:tr>
      <w:tr w:rsidR="005344D0" w:rsidRPr="008903D1" w14:paraId="3D7ACC4D" w14:textId="77777777" w:rsidTr="006E32A1">
        <w:tc>
          <w:tcPr>
            <w:tcW w:w="845" w:type="pct"/>
            <w:vAlign w:val="center"/>
          </w:tcPr>
          <w:p w14:paraId="0F21637D" w14:textId="77777777" w:rsidR="005344D0" w:rsidRPr="00802DC5" w:rsidRDefault="005344D0" w:rsidP="006E32A1">
            <w:pPr>
              <w:spacing w:line="240" w:lineRule="auto"/>
              <w:jc w:val="center"/>
              <w:rPr>
                <w:rFonts w:cs="Times New Roman"/>
                <w:sz w:val="22"/>
              </w:rPr>
            </w:pPr>
            <w:r w:rsidRPr="00737239">
              <w:rPr>
                <w:rFonts w:cs="Times New Roman"/>
                <w:sz w:val="22"/>
              </w:rPr>
              <w:t>Social indicators</w:t>
            </w:r>
          </w:p>
        </w:tc>
        <w:tc>
          <w:tcPr>
            <w:tcW w:w="2047" w:type="pct"/>
          </w:tcPr>
          <w:p w14:paraId="0EF26823"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6C301D">
              <w:rPr>
                <w:rFonts w:cs="Times New Roman"/>
                <w:sz w:val="22"/>
              </w:rPr>
              <w:t>Working conditions</w:t>
            </w:r>
          </w:p>
          <w:p w14:paraId="0491C343"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Employment</w:t>
            </w:r>
          </w:p>
          <w:p w14:paraId="66FC8BD2"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Formation</w:t>
            </w:r>
          </w:p>
        </w:tc>
        <w:tc>
          <w:tcPr>
            <w:tcW w:w="2108" w:type="pct"/>
          </w:tcPr>
          <w:p w14:paraId="018CF71F"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Time of employees’ trips</w:t>
            </w:r>
          </w:p>
          <w:p w14:paraId="17F10F18"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Evolution of carriers</w:t>
            </w:r>
          </w:p>
          <w:p w14:paraId="15DCD35B"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Working schedule</w:t>
            </w:r>
          </w:p>
          <w:p w14:paraId="53A4FB8C"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Mode of transport of the delivery men</w:t>
            </w:r>
          </w:p>
          <w:p w14:paraId="7B5315DD"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Working safety</w:t>
            </w:r>
          </w:p>
        </w:tc>
      </w:tr>
      <w:tr w:rsidR="005344D0" w:rsidRPr="008903D1" w14:paraId="47FF2BAD" w14:textId="77777777" w:rsidTr="006E32A1">
        <w:tc>
          <w:tcPr>
            <w:tcW w:w="845" w:type="pct"/>
            <w:vAlign w:val="center"/>
          </w:tcPr>
          <w:p w14:paraId="2AFC7A1E" w14:textId="77777777" w:rsidR="005344D0" w:rsidRPr="00802DC5" w:rsidRDefault="005344D0" w:rsidP="006E32A1">
            <w:pPr>
              <w:spacing w:line="240" w:lineRule="auto"/>
              <w:jc w:val="center"/>
              <w:rPr>
                <w:rFonts w:cs="Times New Roman"/>
                <w:sz w:val="22"/>
              </w:rPr>
            </w:pPr>
            <w:r w:rsidRPr="00737239">
              <w:rPr>
                <w:rFonts w:cs="Times New Roman"/>
                <w:sz w:val="22"/>
              </w:rPr>
              <w:t>Specificity regulation</w:t>
            </w:r>
          </w:p>
        </w:tc>
        <w:tc>
          <w:tcPr>
            <w:tcW w:w="2047" w:type="pct"/>
          </w:tcPr>
          <w:p w14:paraId="32E5AA10" w14:textId="77777777" w:rsidR="005344D0" w:rsidRPr="00A96AC5" w:rsidRDefault="005344D0" w:rsidP="006E32A1">
            <w:pPr>
              <w:pStyle w:val="ListParagraph"/>
              <w:numPr>
                <w:ilvl w:val="0"/>
                <w:numId w:val="3"/>
              </w:numPr>
              <w:spacing w:line="240" w:lineRule="auto"/>
              <w:ind w:left="357" w:hanging="357"/>
              <w:rPr>
                <w:rFonts w:cs="Times New Roman"/>
                <w:sz w:val="22"/>
              </w:rPr>
            </w:pPr>
            <w:proofErr w:type="spellStart"/>
            <w:r w:rsidRPr="006C301D">
              <w:rPr>
                <w:rFonts w:cs="Times New Roman"/>
                <w:sz w:val="22"/>
              </w:rPr>
              <w:t>Authorised</w:t>
            </w:r>
            <w:proofErr w:type="spellEnd"/>
            <w:r w:rsidRPr="006C301D">
              <w:rPr>
                <w:rFonts w:cs="Times New Roman"/>
                <w:sz w:val="22"/>
              </w:rPr>
              <w:t xml:space="preserve"> deliveries</w:t>
            </w:r>
          </w:p>
          <w:p w14:paraId="2FBA077F"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Road occupancy</w:t>
            </w:r>
          </w:p>
          <w:p w14:paraId="0EBE6B41"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Time of ‘restricting parking’</w:t>
            </w:r>
          </w:p>
        </w:tc>
        <w:tc>
          <w:tcPr>
            <w:tcW w:w="2108" w:type="pct"/>
          </w:tcPr>
          <w:p w14:paraId="3A256778" w14:textId="77777777" w:rsidR="005344D0" w:rsidRPr="00A96AC5" w:rsidRDefault="005344D0" w:rsidP="006E32A1">
            <w:pPr>
              <w:pStyle w:val="ListParagraph"/>
              <w:numPr>
                <w:ilvl w:val="0"/>
                <w:numId w:val="3"/>
              </w:numPr>
              <w:spacing w:line="240" w:lineRule="auto"/>
              <w:ind w:left="357" w:hanging="357"/>
              <w:rPr>
                <w:rFonts w:cs="Times New Roman"/>
                <w:sz w:val="22"/>
              </w:rPr>
            </w:pPr>
            <w:r w:rsidRPr="00A96AC5">
              <w:rPr>
                <w:rFonts w:cs="Times New Roman"/>
                <w:sz w:val="22"/>
              </w:rPr>
              <w:t>Conflicts between users of the space</w:t>
            </w:r>
          </w:p>
        </w:tc>
      </w:tr>
    </w:tbl>
    <w:p w14:paraId="233B77D2" w14:textId="57BD3D6A" w:rsidR="005344D0" w:rsidRPr="008903D1" w:rsidRDefault="005344D0" w:rsidP="005344D0">
      <w:pPr>
        <w:pStyle w:val="Caption"/>
        <w:spacing w:after="0" w:line="360" w:lineRule="auto"/>
        <w:rPr>
          <w:rFonts w:cs="Times New Roman"/>
        </w:rPr>
      </w:pPr>
      <w:bookmarkStart w:id="235" w:name="_Ref40794988"/>
      <w:bookmarkStart w:id="236" w:name="_Toc34674933"/>
      <w:bookmarkStart w:id="237" w:name="_Toc34734725"/>
      <w:bookmarkStart w:id="238" w:name="_Toc46053539"/>
      <w:bookmarkStart w:id="239" w:name="_Toc46093788"/>
      <w:bookmarkStart w:id="240" w:name="_Toc66698756"/>
      <w:r>
        <w:rPr>
          <w:rFonts w:cs="Times New Roman"/>
        </w:rPr>
        <w:t>Table</w:t>
      </w:r>
      <w:r w:rsidRPr="00737239">
        <w:rPr>
          <w:rFonts w:cs="Times New Roman"/>
        </w:rPr>
        <w:t xml:space="preserve"> </w:t>
      </w:r>
      <w:r>
        <w:rPr>
          <w:rFonts w:cs="Times New Roman"/>
        </w:rPr>
        <w:fldChar w:fldCharType="begin"/>
      </w:r>
      <w:r>
        <w:rPr>
          <w:rFonts w:cs="Times New Roman"/>
        </w:rPr>
        <w:instrText xml:space="preserve"> STYLEREF 1 \s </w:instrText>
      </w:r>
      <w:r>
        <w:rPr>
          <w:rFonts w:cs="Times New Roman"/>
        </w:rPr>
        <w:fldChar w:fldCharType="separate"/>
      </w:r>
      <w:r w:rsidR="0005064B">
        <w:rPr>
          <w:rFonts w:cs="Times New Roman"/>
          <w:noProof/>
        </w:rPr>
        <w:t>2</w:t>
      </w:r>
      <w:r>
        <w:rPr>
          <w:rFonts w:cs="Times New Roman"/>
        </w:rPr>
        <w:fldChar w:fldCharType="end"/>
      </w:r>
      <w:r>
        <w:rPr>
          <w:rFonts w:cs="Times New Roman"/>
        </w:rPr>
        <w:noBreakHyphen/>
      </w:r>
      <w:r>
        <w:rPr>
          <w:rFonts w:cs="Times New Roman"/>
        </w:rPr>
        <w:fldChar w:fldCharType="begin"/>
      </w:r>
      <w:r>
        <w:rPr>
          <w:rFonts w:cs="Times New Roman"/>
        </w:rPr>
        <w:instrText xml:space="preserve"> SEQ Table \* ARABIC \s 1 </w:instrText>
      </w:r>
      <w:r>
        <w:rPr>
          <w:rFonts w:cs="Times New Roman"/>
        </w:rPr>
        <w:fldChar w:fldCharType="separate"/>
      </w:r>
      <w:r w:rsidR="0005064B">
        <w:rPr>
          <w:rFonts w:cs="Times New Roman"/>
          <w:noProof/>
        </w:rPr>
        <w:t>5</w:t>
      </w:r>
      <w:r>
        <w:rPr>
          <w:rFonts w:cs="Times New Roman"/>
        </w:rPr>
        <w:fldChar w:fldCharType="end"/>
      </w:r>
      <w:bookmarkEnd w:id="235"/>
      <w:r>
        <w:rPr>
          <w:rFonts w:cs="Times New Roman"/>
        </w:rPr>
        <w:t>:</w:t>
      </w:r>
      <w:r w:rsidRPr="008903D1">
        <w:rPr>
          <w:rFonts w:cs="Times New Roman"/>
        </w:rPr>
        <w:t xml:space="preserve"> Indicator system for sustainable urban logistics (SUL)</w:t>
      </w:r>
      <w:bookmarkEnd w:id="236"/>
      <w:bookmarkEnd w:id="237"/>
      <w:bookmarkEnd w:id="238"/>
      <w:bookmarkEnd w:id="239"/>
      <w:bookmarkEnd w:id="240"/>
    </w:p>
    <w:p w14:paraId="3B708350" w14:textId="220D16C9" w:rsidR="005344D0" w:rsidRDefault="005344D0" w:rsidP="005344D0">
      <w:pPr>
        <w:spacing w:before="240" w:after="240" w:line="360" w:lineRule="auto"/>
        <w:rPr>
          <w:rFonts w:cs="Times New Roman"/>
        </w:rPr>
      </w:pPr>
      <w:r w:rsidRPr="00737239">
        <w:rPr>
          <w:rFonts w:cs="Times New Roman"/>
        </w:rPr>
        <w:t xml:space="preserve">Similar research was conducted by </w:t>
      </w:r>
      <w:r>
        <w:rPr>
          <w:noProof/>
        </w:rPr>
        <w:fldChar w:fldCharType="begin"/>
      </w:r>
      <w:r>
        <w:rPr>
          <w:noProof/>
        </w:rPr>
        <w:instrText xml:space="preserve"> ADDIN EN.CITE &lt;EndNote&gt;&lt;Cite&gt;&lt;Author&gt;Buldeo Rai&lt;/Author&gt;&lt;Year&gt;2018&lt;/Year&gt;&lt;RecNum&gt;97&lt;/RecNum&gt;&lt;DisplayText&gt;(Buldeo Rai et al., 2018)&lt;/DisplayText&gt;&lt;record&gt;&lt;rec-number&gt;97&lt;/rec-number&gt;&lt;foreign-keys&gt;&lt;key app="EN" db-id="pzt5ep52hsedfpeext2pdfes0w0aswaewef2" timestamp="1605187993"&gt;97&lt;/key&gt;&lt;/foreign-keys&gt;&lt;ref-type name="Journal Article"&gt;17&lt;/ref-type&gt;&lt;contributors&gt;&lt;authors&gt;&lt;author&gt;Buldeo Rai, H.&lt;/author&gt;&lt;author&gt;van Lier, T.&lt;/author&gt;&lt;author&gt;Meers, D.&lt;/author&gt;&lt;author&gt;Macharis, C.&lt;/author&gt;&lt;/authors&gt;&lt;/contributors&gt;&lt;auth-address&gt;Vrije Universiteit Brussel–Mobility, Logistics and Automotive Technology Research Centre (MOBI), Brussels, Belgium&lt;/auth-address&gt;&lt;titles&gt;&lt;title&gt;An indicator approach to sustainable urban freight transport&lt;/title&gt;&lt;secondary-title&gt;Journal of Urbanism&lt;/secondary-title&gt;&lt;alt-title&gt;J. Urban.&lt;/alt-title&gt;&lt;/titles&gt;&lt;periodical&gt;&lt;full-title&gt;Journal of Urbanism&lt;/full-title&gt;&lt;abbr-1&gt;J. Urban.&lt;/abbr-1&gt;&lt;/periodical&gt;&lt;alt-periodical&gt;&lt;full-title&gt;Journal of Urbanism&lt;/full-title&gt;&lt;abbr-1&gt;J. Urban.&lt;/abbr-1&gt;&lt;/alt-periodical&gt;&lt;pages&gt;81-102&lt;/pages&gt;&lt;volume&gt;11&lt;/volume&gt;&lt;number&gt;1&lt;/number&gt;&lt;keywords&gt;&lt;keyword&gt;indicators&lt;/keyword&gt;&lt;keyword&gt;policy assessment&lt;/keyword&gt;&lt;keyword&gt;sustainability&lt;/keyword&gt;&lt;keyword&gt;urban freight policy&lt;/keyword&gt;&lt;keyword&gt;Urban freight transport&lt;/keyword&gt;&lt;/keywords&gt;&lt;dates&gt;&lt;year&gt;2018&lt;/year&gt;&lt;/dates&gt;&lt;publisher&gt;Routledge&lt;/publisher&gt;&lt;isbn&gt;17549175 (ISSN)&lt;/isbn&gt;&lt;work-type&gt;Article&lt;/work-type&gt;&lt;urls&gt;&lt;related-urls&gt;&lt;url&gt;https://www.scopus.com/inward/record.uri?eid=2-s2.0-85027356204&amp;amp;doi=10.1080%2f17549175.2017.1363076&amp;amp;partnerID=40&amp;amp;md5=68e2fa656d21ec9cad77a8f9fd270fbc&lt;/url&gt;&lt;url&gt;https://www.tandfonline.com/doi/pdf/10.1080/17549175.2017.1363076?needAccess=true&lt;/url&gt;&lt;/related-urls&gt;&lt;/urls&gt;&lt;electronic-resource-num&gt;10.1080/17549175.2017.1363076&lt;/electronic-resource-num&gt;&lt;remote-database-name&gt;Scopus&lt;/remote-database-name&gt;&lt;research-notes&gt;196&lt;/research-notes&gt;&lt;language&gt;English&lt;/language&gt;&lt;/record&gt;&lt;/Cite&gt;&lt;/EndNote&gt;</w:instrText>
      </w:r>
      <w:r>
        <w:rPr>
          <w:noProof/>
        </w:rPr>
        <w:fldChar w:fldCharType="separate"/>
      </w:r>
      <w:r>
        <w:rPr>
          <w:noProof/>
        </w:rPr>
        <w:t>(Buldeo Rai et al., 2018)</w:t>
      </w:r>
      <w:r>
        <w:rPr>
          <w:noProof/>
        </w:rPr>
        <w:fldChar w:fldCharType="end"/>
      </w:r>
      <w:r w:rsidRPr="00737239">
        <w:rPr>
          <w:rFonts w:cs="Times New Roman"/>
          <w:noProof/>
        </w:rPr>
        <w:t>, who categorise</w:t>
      </w:r>
      <w:r w:rsidRPr="00802DC5">
        <w:rPr>
          <w:rFonts w:cs="Times New Roman"/>
        </w:rPr>
        <w:t xml:space="preserve"> the indicators by types of ‘profit’ (economic performance), ‘planet’ (environmental performance</w:t>
      </w:r>
      <w:r w:rsidRPr="006C301D">
        <w:rPr>
          <w:rFonts w:cs="Times New Roman"/>
        </w:rPr>
        <w:t xml:space="preserve">), and ‘people’ (social performance). The key difference between these two is that the latter study did not include indicators of human wellbeing in the social dimension. Based on an understanding of these types of indicator, </w:t>
      </w:r>
      <w:r w:rsidRPr="008903D1">
        <w:rPr>
          <w:rFonts w:cs="Times New Roman"/>
        </w:rPr>
        <w:fldChar w:fldCharType="begin"/>
      </w:r>
      <w:r w:rsidRPr="00A96AC5">
        <w:rPr>
          <w:rFonts w:cs="Times New Roman"/>
        </w:rPr>
        <w:instrText xml:space="preserve"> REF _Ref25923356 \h </w:instrText>
      </w:r>
      <w:r>
        <w:rPr>
          <w:rFonts w:cs="Times New Roman"/>
        </w:rPr>
        <w:instrText xml:space="preserve"> \* MERGEFORMAT </w:instrText>
      </w:r>
      <w:r w:rsidRPr="008903D1">
        <w:rPr>
          <w:rFonts w:cs="Times New Roman"/>
        </w:rPr>
      </w:r>
      <w:r w:rsidRPr="008903D1">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2</w:t>
      </w:r>
      <w:r w:rsidR="0005064B">
        <w:rPr>
          <w:rFonts w:cs="Times New Roman"/>
          <w:noProof/>
        </w:rPr>
        <w:noBreakHyphen/>
        <w:t>6</w:t>
      </w:r>
      <w:r w:rsidRPr="008903D1">
        <w:rPr>
          <w:rFonts w:cs="Times New Roman"/>
        </w:rPr>
        <w:fldChar w:fldCharType="end"/>
      </w:r>
      <w:r w:rsidRPr="008903D1">
        <w:rPr>
          <w:rFonts w:cs="Times New Roman"/>
        </w:rPr>
        <w:t xml:space="preserve"> </w:t>
      </w:r>
      <w:r w:rsidRPr="00737239">
        <w:rPr>
          <w:rFonts w:cs="Times New Roman"/>
        </w:rPr>
        <w:t xml:space="preserve">details the distribution of the indicators measured by these papers on performance evaluation. It shows that the indicators of air pollution, travel time, cost and travel distance has attracted </w:t>
      </w:r>
      <w:r w:rsidRPr="00802DC5">
        <w:rPr>
          <w:rFonts w:cs="Times New Roman"/>
        </w:rPr>
        <w:t>the most interest in previous study.</w:t>
      </w:r>
    </w:p>
    <w:tbl>
      <w:tblPr>
        <w:tblStyle w:val="TableGrid"/>
        <w:tblW w:w="5000" w:type="pct"/>
        <w:tblLook w:val="04A0" w:firstRow="1" w:lastRow="0" w:firstColumn="1" w:lastColumn="0" w:noHBand="0" w:noVBand="1"/>
      </w:tblPr>
      <w:tblGrid>
        <w:gridCol w:w="1998"/>
        <w:gridCol w:w="5788"/>
        <w:gridCol w:w="1230"/>
      </w:tblGrid>
      <w:tr w:rsidR="005344D0" w:rsidRPr="00247948" w14:paraId="5851984D" w14:textId="77777777" w:rsidTr="006E32A1">
        <w:tc>
          <w:tcPr>
            <w:tcW w:w="1108" w:type="pct"/>
            <w:vAlign w:val="center"/>
          </w:tcPr>
          <w:p w14:paraId="666A6D9A" w14:textId="77777777" w:rsidR="005344D0" w:rsidRPr="00247948" w:rsidRDefault="005344D0" w:rsidP="006E32A1">
            <w:pPr>
              <w:spacing w:line="240" w:lineRule="auto"/>
              <w:jc w:val="center"/>
              <w:rPr>
                <w:b/>
                <w:bCs/>
                <w:sz w:val="22"/>
              </w:rPr>
            </w:pPr>
            <w:r w:rsidRPr="00247948">
              <w:rPr>
                <w:b/>
                <w:bCs/>
                <w:sz w:val="22"/>
              </w:rPr>
              <w:t>Indicators</w:t>
            </w:r>
          </w:p>
        </w:tc>
        <w:tc>
          <w:tcPr>
            <w:tcW w:w="3210" w:type="pct"/>
          </w:tcPr>
          <w:p w14:paraId="1BFB891C" w14:textId="77777777" w:rsidR="005344D0" w:rsidRPr="00247948" w:rsidRDefault="005344D0" w:rsidP="006E32A1">
            <w:pPr>
              <w:spacing w:line="240" w:lineRule="auto"/>
              <w:jc w:val="center"/>
              <w:rPr>
                <w:b/>
                <w:bCs/>
                <w:sz w:val="22"/>
              </w:rPr>
            </w:pPr>
            <w:r w:rsidRPr="00247948">
              <w:rPr>
                <w:b/>
                <w:bCs/>
                <w:sz w:val="22"/>
              </w:rPr>
              <w:t>Reference</w:t>
            </w:r>
          </w:p>
        </w:tc>
        <w:tc>
          <w:tcPr>
            <w:tcW w:w="682" w:type="pct"/>
          </w:tcPr>
          <w:p w14:paraId="1BC7BAAF" w14:textId="77777777" w:rsidR="005344D0" w:rsidRPr="00247948" w:rsidRDefault="005344D0" w:rsidP="006E32A1">
            <w:pPr>
              <w:spacing w:line="240" w:lineRule="auto"/>
              <w:jc w:val="center"/>
              <w:rPr>
                <w:b/>
                <w:bCs/>
                <w:sz w:val="22"/>
              </w:rPr>
            </w:pPr>
            <w:r w:rsidRPr="00247948">
              <w:rPr>
                <w:b/>
                <w:bCs/>
                <w:sz w:val="22"/>
              </w:rPr>
              <w:t>Numbers</w:t>
            </w:r>
          </w:p>
        </w:tc>
      </w:tr>
      <w:tr w:rsidR="005344D0" w:rsidRPr="00081D74" w14:paraId="5ED6C6A9" w14:textId="77777777" w:rsidTr="006E32A1">
        <w:tc>
          <w:tcPr>
            <w:tcW w:w="1108" w:type="pct"/>
            <w:vAlign w:val="center"/>
          </w:tcPr>
          <w:p w14:paraId="4D4C9BD0" w14:textId="77777777" w:rsidR="005344D0" w:rsidRPr="00247948" w:rsidRDefault="005344D0" w:rsidP="006E32A1">
            <w:pPr>
              <w:spacing w:line="240" w:lineRule="auto"/>
              <w:jc w:val="left"/>
              <w:rPr>
                <w:sz w:val="22"/>
              </w:rPr>
            </w:pPr>
            <w:r w:rsidRPr="00247948">
              <w:rPr>
                <w:sz w:val="22"/>
              </w:rPr>
              <w:t xml:space="preserve">Air </w:t>
            </w:r>
            <w:r>
              <w:rPr>
                <w:sz w:val="22"/>
              </w:rPr>
              <w:t>p</w:t>
            </w:r>
            <w:r w:rsidRPr="00247948">
              <w:rPr>
                <w:sz w:val="22"/>
              </w:rPr>
              <w:t xml:space="preserve">ollutant </w:t>
            </w:r>
            <w:r>
              <w:rPr>
                <w:sz w:val="22"/>
              </w:rPr>
              <w:t>e</w:t>
            </w:r>
            <w:r w:rsidRPr="00247948">
              <w:rPr>
                <w:sz w:val="22"/>
              </w:rPr>
              <w:t>mission</w:t>
            </w:r>
          </w:p>
        </w:tc>
        <w:tc>
          <w:tcPr>
            <w:tcW w:w="3210" w:type="pct"/>
          </w:tcPr>
          <w:p w14:paraId="0F024C3D" w14:textId="77777777" w:rsidR="005344D0" w:rsidRPr="00081D74" w:rsidRDefault="005344D0" w:rsidP="006E32A1">
            <w:pPr>
              <w:spacing w:line="240" w:lineRule="auto"/>
              <w:rPr>
                <w:sz w:val="22"/>
                <w:lang w:val="fr-FR"/>
              </w:rPr>
            </w:pPr>
            <w:r>
              <w:rPr>
                <w:sz w:val="22"/>
                <w:lang w:val="fr-FR"/>
              </w:rPr>
              <w:fldChar w:fldCharType="begin"/>
            </w:r>
            <w:r>
              <w:rPr>
                <w:sz w:val="22"/>
                <w:lang w:val="fr-FR"/>
              </w:rPr>
              <w:instrText xml:space="preserve"> ADDIN EN.CITE &lt;EndNote&gt;&lt;Cite AuthorYear="1"&gt;&lt;Author&gt;Sathaye&lt;/Author&gt;&lt;Year&gt;2010&lt;/Year&gt;&lt;RecNum&gt;256&lt;/RecNum&gt;&lt;DisplayText&gt;Sathaye et al. (2010)&lt;/DisplayText&gt;&lt;record&gt;&lt;rec-number&gt;256&lt;/rec-number&gt;&lt;foreign-keys&gt;&lt;key app="EN" db-id="x5etaz5aiszvz0edasvvpwvotttxepvd25t2" timestamp="1611184632"&gt;256&lt;/key&gt;&lt;/foreign-keys&gt;&lt;ref-type name="Journal Article"&gt;17&lt;/ref-type&gt;&lt;contributors&gt;&lt;authors&gt;&lt;author&gt;Sathaye, Nakul&lt;/author&gt;&lt;author&gt;Horvath, Arpad&lt;/author&gt;&lt;author&gt;Madanat, Samer&lt;/author&gt;&lt;/authors&gt;&lt;/contributors&gt;&lt;titles&gt;&lt;title&gt;Unintended impacts of increased truck loads on pavement supply-chain emissions&lt;/title&gt;&lt;secondary-title&gt;Transportation Research Part A: Policy and Practice&lt;/secondary-title&gt;&lt;/titles&gt;&lt;periodical&gt;&lt;full-title&gt;Transportation Research Part A: Policy and Practice&lt;/full-title&gt;&lt;abbr-1&gt;Transp. Res. Part A Policy Pract.&lt;/abbr-1&gt;&lt;/periodical&gt;&lt;pages&gt;1-15&lt;/pages&gt;&lt;volume&gt;44&lt;/volume&gt;&lt;number&gt;1&lt;/number&gt;&lt;keywords&gt;&lt;keyword&gt;City logistics&lt;/keyword&gt;&lt;keyword&gt;Life-cycle assessment&lt;/keyword&gt;&lt;keyword&gt;Freight policies&lt;/keyword&gt;&lt;keyword&gt;Load consolidation&lt;/keyword&gt;&lt;keyword&gt;Truck weight&lt;/keyword&gt;&lt;keyword&gt;Environment&lt;/keyword&gt;&lt;/keywords&gt;&lt;dates&gt;&lt;year&gt;2010&lt;/year&gt;&lt;pub-dates&gt;&lt;date&gt;2010/01/01/&lt;/date&gt;&lt;/pub-dates&gt;&lt;/dates&gt;&lt;isbn&gt;0965-8564&lt;/isbn&gt;&lt;urls&gt;&lt;related-urls&gt;&lt;url&gt;http://www.sciencedirect.com/science/article/pii/S0965856409000986&lt;/url&gt;&lt;/related-urls&gt;&lt;/urls&gt;&lt;electronic-resource-num&gt;https://doi.org/10.1016/j.tra.2009.09.002&lt;/electronic-resource-num&gt;&lt;/record&gt;&lt;/Cite&gt;&lt;/EndNote&gt;</w:instrText>
            </w:r>
            <w:r>
              <w:rPr>
                <w:sz w:val="22"/>
                <w:lang w:val="fr-FR"/>
              </w:rPr>
              <w:fldChar w:fldCharType="separate"/>
            </w:r>
            <w:r>
              <w:rPr>
                <w:noProof/>
                <w:sz w:val="22"/>
                <w:lang w:val="fr-FR"/>
              </w:rPr>
              <w:t>Sathaye et al. (2010)</w:t>
            </w:r>
            <w:r>
              <w:rPr>
                <w:sz w:val="22"/>
                <w:lang w:val="fr-FR"/>
              </w:rPr>
              <w:fldChar w:fldCharType="end"/>
            </w:r>
            <w:r>
              <w:rPr>
                <w:sz w:val="22"/>
                <w:lang w:val="fr-FR"/>
              </w:rPr>
              <w:t>;</w:t>
            </w:r>
            <w:r w:rsidRPr="007741AE">
              <w:rPr>
                <w:sz w:val="22"/>
                <w:lang w:val="fr-FR"/>
              </w:rPr>
              <w:t xml:space="preserve"> </w:t>
            </w:r>
            <w:r w:rsidRPr="003504BA">
              <w:rPr>
                <w:sz w:val="22"/>
              </w:rPr>
              <w:fldChar w:fldCharType="begin">
                <w:fldData xml:space="preserve">PEVuZE5vdGU+PENpdGUgQXV0aG9yWWVhcj0iMSI+PEF1dGhvcj5MZWU8L0F1dGhvcj48WWVhcj4y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</w:fldData>
              </w:fldChar>
            </w:r>
            <w:r>
              <w:rPr>
                <w:sz w:val="22"/>
              </w:rPr>
              <w:instrText xml:space="preserve"> ADDIN EN.CITE </w:instrText>
            </w:r>
            <w:r>
              <w:rPr>
                <w:sz w:val="22"/>
              </w:rPr>
              <w:fldChar w:fldCharType="begin">
                <w:fldData xml:space="preserve">PEVuZE5vdGU+PENpdGUgQXV0aG9yWWVhcj0iMSI+PEF1dGhvcj5MZWU8L0F1dGhvcj48WWVhcj4y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</w:fldData>
              </w:fldChar>
            </w:r>
            <w:r>
              <w:rPr>
                <w:sz w:val="22"/>
              </w:rPr>
              <w:instrText xml:space="preserve"> ADDIN EN.CITE.DATA </w:instrText>
            </w:r>
            <w:r>
              <w:rPr>
                <w:sz w:val="22"/>
              </w:rPr>
            </w:r>
            <w:r>
              <w:rPr>
                <w:sz w:val="22"/>
              </w:rPr>
              <w:fldChar w:fldCharType="end"/>
            </w:r>
            <w:r w:rsidRPr="003504BA">
              <w:rPr>
                <w:sz w:val="22"/>
              </w:rPr>
            </w:r>
            <w:r w:rsidRPr="003504BA">
              <w:rPr>
                <w:sz w:val="22"/>
              </w:rPr>
              <w:fldChar w:fldCharType="separate"/>
            </w:r>
            <w:r w:rsidRPr="00081D74">
              <w:rPr>
                <w:noProof/>
                <w:sz w:val="22"/>
                <w:lang w:val="fr-FR"/>
              </w:rPr>
              <w:t>Lee et al. (2012)</w:t>
            </w:r>
            <w:r w:rsidRPr="003504BA">
              <w:rPr>
                <w:sz w:val="22"/>
              </w:rPr>
              <w:fldChar w:fldCharType="end"/>
            </w:r>
            <w:r>
              <w:rPr>
                <w:sz w:val="22"/>
                <w:lang w:val="fr-FR"/>
              </w:rPr>
              <w:t>;</w:t>
            </w:r>
            <w:r w:rsidRPr="007741AE">
              <w:rPr>
                <w:sz w:val="22"/>
                <w:lang w:val="fr-FR"/>
              </w:rPr>
              <w:t xml:space="preserve"> </w:t>
            </w:r>
            <w:r w:rsidRPr="003504BA">
              <w:rPr>
                <w:sz w:val="22"/>
              </w:rPr>
              <w:fldChar w:fldCharType="begin"/>
            </w:r>
            <w:r w:rsidRPr="00E5436C">
              <w:rPr>
                <w:sz w:val="22"/>
                <w:lang w:val="it-IT"/>
              </w:rPr>
              <w:instrText xml:space="preserve"> ADDIN EN.CITE &lt;EndNote&gt;&lt;Cite AuthorYear="1"&gt;&lt;Author&gt;Qureshi&lt;/Author&gt;&lt;Year&gt;2014&lt;/Year&gt;&lt;RecNum&gt;100&lt;/RecNum&gt;&lt;DisplayText&gt;Qureshi et al. (2014)&lt;/DisplayText&gt;&lt;record&gt;&lt;rec-number&gt;100&lt;/rec-number&gt;&lt;foreign-keys&gt;&lt;key app="EN" db-id="pzt5ep52hsedfpeext2pdfes0w0aswaewef2" timestamp="1605187993"&gt;100&lt;/key&gt;&lt;/foreign-keys&gt;&lt;ref-type name="Journal Article"&gt;17&lt;/ref-type&gt;&lt;contributors&gt;&lt;authors&gt;&lt;author&gt;Qureshi, Ali Gul&lt;/author&gt;&lt;author&gt;Taniguchi, Eiichi&lt;/author&gt;&lt;author&gt;Thompson, Russell G.&lt;/author&gt;&lt;author&gt;Teo, Joel S. E.&lt;/author&gt;&lt;/authors&gt;&lt;/contributors&gt;&lt;titles&gt;&lt;title&gt;Application of exact route optimization for the evaluation of a city logistics truck ban scheme&lt;/title&gt;&lt;secondary-title&gt;International Journal of Urban Sciences&lt;/secondary-title&gt;&lt;/titles&gt;&lt;periodical&gt;&lt;full-title&gt;International Journal of Urban Sciences&lt;/full-title&gt;&lt;/periodical&gt;&lt;pages&gt;117-132&lt;/pages&gt;&lt;volume&gt;18&lt;/volume&gt;&lt;number&gt;2&lt;/number&gt;&lt;dates&gt;&lt;year&gt;2014&lt;/year&gt;&lt;pub-dates&gt;&lt;date&gt;2014/05/04&lt;/date&gt;&lt;/pub-dates&gt;&lt;/dates&gt;&lt;publisher&gt;Routledge&lt;/publisher&gt;&lt;isbn&gt;1226-5934&lt;/isbn&gt;&lt;urls&gt;&lt;related-urls&gt;&lt;url&gt;https://doi.org/10.1080/12265934.2014.930672&lt;/url&gt;&lt;url&gt;https://www.tandfonline.com/doi/pdf/10.1080/12265934.2014.930672?needAccess=true&lt;/url&gt;&lt;/related-urls&gt;&lt;/urls&gt;&lt;electronic-resource-num&gt;10.1080/12265934.2014.930672&lt;/electronic-resource-num&gt;&lt;research-notes&gt;97&lt;/research-notes&gt;&lt;/record&gt;&lt;/Cite&gt;&lt;/EndNote&gt;</w:instrText>
            </w:r>
            <w:r w:rsidRPr="003504BA">
              <w:rPr>
                <w:sz w:val="22"/>
              </w:rPr>
              <w:fldChar w:fldCharType="separate"/>
            </w:r>
            <w:r w:rsidRPr="00081D74">
              <w:rPr>
                <w:noProof/>
                <w:sz w:val="22"/>
                <w:lang w:val="fr-FR"/>
              </w:rPr>
              <w:t>Qureshi et al. (2014)</w:t>
            </w:r>
            <w:r w:rsidRPr="003504BA">
              <w:rPr>
                <w:sz w:val="22"/>
              </w:rPr>
              <w:fldChar w:fldCharType="end"/>
            </w:r>
            <w:r>
              <w:rPr>
                <w:sz w:val="22"/>
                <w:lang w:val="fr-FR"/>
              </w:rPr>
              <w:t>;</w:t>
            </w:r>
            <w:r w:rsidRPr="007741AE">
              <w:rPr>
                <w:sz w:val="22"/>
                <w:lang w:val="fr-FR"/>
              </w:rPr>
              <w:t xml:space="preserve"> </w:t>
            </w:r>
            <w:r>
              <w:rPr>
                <w:sz w:val="22"/>
              </w:rPr>
              <w:fldChar w:fldCharType="begin"/>
            </w:r>
            <w:r w:rsidRPr="00E5436C">
              <w:rPr>
                <w:sz w:val="22"/>
                <w:lang w:val="it-IT"/>
              </w:rPr>
              <w:instrText xml:space="preserve"> ADDIN EN.CITE &lt;EndNote&gt;&lt;Cite AuthorYear="1"&gt;&lt;Author&gt;Veličković&lt;/Author&gt;&lt;Year&gt;2014&lt;/Year&gt;&lt;RecNum&gt;101&lt;/RecNum&gt;&lt;DisplayText&gt;Veličković et al. (2014)&lt;/DisplayText&gt;&lt;record&gt;&lt;rec-number&gt;101&lt;/rec-number&gt;&lt;foreign-keys&gt;&lt;key app="EN" db-id="pzt5ep52hsedfpeext2pdfes0w0aswaewef2" timestamp="1605187993"&gt;101&lt;/key&gt;&lt;/foreign-keys&gt;&lt;ref-type name="Journal Article"&gt;17&lt;/ref-type&gt;&lt;contributors&gt;&lt;authors&gt;&lt;author&gt;Veličković, M. S.&lt;/author&gt;&lt;author&gt;Stojanović, D. M.&lt;/author&gt;&lt;author&gt;Basarić, V. B.&lt;/author&gt;&lt;/authors&gt;&lt;/contributors&gt;&lt;auth-address&gt;Faculty of Technical Sciences, University of Novi Sad, Novi Sad, Serbia&lt;/auth-address&gt;&lt;titles&gt;&lt;title&gt;The assessment of pollutants emissions within sustainable urban freight transport development the case of novi sad&lt;/title&gt;&lt;secondary-title&gt;Thermal Science&lt;/secondary-title&gt;&lt;alt-title&gt;Therm. Sci.&lt;/alt-title&gt;&lt;/titles&gt;&lt;periodical&gt;&lt;full-title&gt;Thermal Science&lt;/full-title&gt;&lt;abbr-1&gt;Therm. Sci.&lt;/abbr-1&gt;&lt;/periodical&gt;&lt;alt-periodical&gt;&lt;full-title&gt;Thermal Science&lt;/full-title&gt;&lt;abbr-1&gt;Therm. Sci.&lt;/abbr-1&gt;&lt;/alt-periodical&gt;&lt;pages&gt;307-321&lt;/pages&gt;&lt;volume&gt;18&lt;/volume&gt;&lt;number&gt;1&lt;/number&gt;&lt;keywords&gt;&lt;keyword&gt;Air pollution&lt;/keyword&gt;&lt;keyword&gt;All-or-nothing assignment&lt;/keyword&gt;&lt;keyword&gt;COPERT 4&lt;/keyword&gt;&lt;keyword&gt;Engine technology restriction measures&lt;/keyword&gt;&lt;keyword&gt;Urban freight transport&lt;/keyword&gt;&lt;keyword&gt;Urban transport planning&lt;/keyword&gt;&lt;/keywords&gt;&lt;dates&gt;&lt;year&gt;2014&lt;/year&gt;&lt;/dates&gt;&lt;isbn&gt;03549836 (ISSN)&lt;/isbn&gt;&lt;work-type&gt;Article&lt;/work-type&gt;&lt;urls&gt;&lt;related-urls&gt;&lt;url&gt;https://www.scopus.com/inward/record.uri?eid=2-s2.0-84897762167&amp;amp;doi=10.2298%2fTSCI120808037V&amp;amp;partnerID=40&amp;amp;md5=75d4a1ce2b045d13905d093e0f434e0a&lt;/url&gt;&lt;url&gt;http://www.doiserbia.nb.rs/img/doi/0354-9836/2014/0354-98361300037V.pdf&lt;/url&gt;&lt;/related-urls&gt;&lt;/urls&gt;&lt;electronic-resource-num&gt;10.2298/TSCI120808037V&lt;/electronic-resource-num&gt;&lt;remote-database-name&gt;Scopus&lt;/remote-database-name&gt;&lt;research-notes&gt;103&lt;/research-notes&gt;&lt;language&gt;English&lt;/language&gt;&lt;/record&gt;&lt;/Cite&gt;&lt;/EndNote&gt;</w:instrText>
            </w:r>
            <w:r>
              <w:rPr>
                <w:sz w:val="22"/>
              </w:rPr>
              <w:fldChar w:fldCharType="separate"/>
            </w:r>
            <w:r w:rsidRPr="00081D74">
              <w:rPr>
                <w:noProof/>
                <w:sz w:val="22"/>
                <w:lang w:val="fr-FR"/>
              </w:rPr>
              <w:t>Veličković et al. (2014)</w:t>
            </w:r>
            <w:r>
              <w:rPr>
                <w:sz w:val="22"/>
              </w:rPr>
              <w:fldChar w:fldCharType="end"/>
            </w:r>
            <w:r>
              <w:rPr>
                <w:sz w:val="22"/>
                <w:lang w:val="fr-FR"/>
              </w:rPr>
              <w:t>;</w:t>
            </w:r>
            <w:r w:rsidRPr="007741AE">
              <w:rPr>
                <w:sz w:val="22"/>
                <w:lang w:val="fr-FR"/>
              </w:rPr>
              <w:t xml:space="preserve"> </w:t>
            </w:r>
            <w:r>
              <w:rPr>
                <w:sz w:val="22"/>
              </w:rPr>
              <w:fldChar w:fldCharType="begin">
                <w:fldData xml:space="preserve">PEVuZE5vdGU+PENpdGUgQXV0aG9yWWVhcj0iMSI+PEF1dGhvcj5Ob3JkdMO4bW1lPC9BdXRob3I+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</w:fldData>
              </w:fldChar>
            </w:r>
            <w:r w:rsidRPr="007A38D6">
              <w:rPr>
                <w:sz w:val="22"/>
                <w:lang w:val="it-IT"/>
              </w:rPr>
              <w:instrText xml:space="preserve"> ADDIN EN.CITE </w:instrText>
            </w:r>
            <w:r>
              <w:rPr>
                <w:sz w:val="22"/>
              </w:rPr>
              <w:fldChar w:fldCharType="begin">
                <w:fldData xml:space="preserve">PEVuZE5vdGU+PENpdGUgQXV0aG9yWWVhcj0iMSI+PEF1dGhvcj5Ob3JkdMO4bW1lPC9BdXRob3I+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</w:fldData>
              </w:fldChar>
            </w:r>
            <w:r w:rsidRPr="007A38D6">
              <w:rPr>
                <w:sz w:val="22"/>
                <w:lang w:val="it-IT"/>
              </w:rPr>
              <w:instrText xml:space="preserve"> ADDIN EN.CITE.DATA </w:instrText>
            </w:r>
            <w:r>
              <w:rPr>
                <w:sz w:val="22"/>
              </w:rPr>
            </w:r>
            <w:r>
              <w:rPr>
                <w:sz w:val="22"/>
              </w:rPr>
              <w:fldChar w:fldCharType="end"/>
            </w:r>
            <w:r>
              <w:rPr>
                <w:sz w:val="22"/>
              </w:rPr>
            </w:r>
            <w:r>
              <w:rPr>
                <w:sz w:val="22"/>
              </w:rPr>
              <w:fldChar w:fldCharType="separate"/>
            </w:r>
            <w:r w:rsidRPr="00E5436C">
              <w:rPr>
                <w:noProof/>
                <w:sz w:val="22"/>
                <w:lang w:val="it-IT"/>
              </w:rPr>
              <w:t>Nordtømme et al. (2015a)</w:t>
            </w:r>
            <w:r>
              <w:rPr>
                <w:sz w:val="22"/>
              </w:rPr>
              <w:fldChar w:fldCharType="end"/>
            </w:r>
            <w:r>
              <w:rPr>
                <w:sz w:val="22"/>
                <w:lang w:val="fr-FR"/>
              </w:rPr>
              <w:t>;</w:t>
            </w:r>
            <w:r w:rsidRPr="007741AE">
              <w:rPr>
                <w:sz w:val="22"/>
                <w:lang w:val="fr-FR"/>
              </w:rPr>
              <w:t xml:space="preserve"> </w:t>
            </w:r>
            <w:r>
              <w:rPr>
                <w:sz w:val="22"/>
              </w:rPr>
              <w:fldChar w:fldCharType="begin">
                <w:fldData xml:space="preserve">PEVuZE5vdGU+PENpdGUgQXV0aG9yWWVhcj0iMSI+PEF1dGhvcj5BZGl0amFuZHJhPC9BdXRob3I+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</w:fldData>
              </w:fldChar>
            </w:r>
            <w:r w:rsidRPr="007A38D6">
              <w:rPr>
                <w:sz w:val="22"/>
                <w:lang w:val="it-IT"/>
              </w:rPr>
              <w:instrText xml:space="preserve"> ADDIN EN.CITE </w:instrText>
            </w:r>
            <w:r>
              <w:rPr>
                <w:sz w:val="22"/>
              </w:rPr>
              <w:fldChar w:fldCharType="begin">
                <w:fldData xml:space="preserve">PEVuZE5vdGU+PENpdGUgQXV0aG9yWWVhcj0iMSI+PEF1dGhvcj5BZGl0amFuZHJhPC9BdXRob3I+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</w:fldData>
              </w:fldChar>
            </w:r>
            <w:r w:rsidRPr="007A38D6">
              <w:rPr>
                <w:sz w:val="22"/>
                <w:lang w:val="it-IT"/>
              </w:rPr>
              <w:instrText xml:space="preserve"> ADDIN EN.CITE.DATA </w:instrText>
            </w:r>
            <w:r>
              <w:rPr>
                <w:sz w:val="22"/>
              </w:rPr>
            </w:r>
            <w:r>
              <w:rPr>
                <w:sz w:val="22"/>
              </w:rPr>
              <w:fldChar w:fldCharType="end"/>
            </w:r>
            <w:r>
              <w:rPr>
                <w:sz w:val="22"/>
              </w:rPr>
            </w:r>
            <w:r>
              <w:rPr>
                <w:sz w:val="22"/>
              </w:rPr>
              <w:fldChar w:fldCharType="separate"/>
            </w:r>
            <w:r w:rsidRPr="00081D74">
              <w:rPr>
                <w:noProof/>
                <w:sz w:val="22"/>
                <w:lang w:val="fr-FR"/>
              </w:rPr>
              <w:t>Aditjandra et al. (2016)</w:t>
            </w:r>
            <w:r>
              <w:rPr>
                <w:sz w:val="22"/>
              </w:rPr>
              <w:fldChar w:fldCharType="end"/>
            </w:r>
            <w:r>
              <w:rPr>
                <w:sz w:val="22"/>
                <w:lang w:val="fr-FR"/>
              </w:rPr>
              <w:t>;</w:t>
            </w:r>
            <w:r w:rsidRPr="007741AE">
              <w:rPr>
                <w:sz w:val="22"/>
                <w:lang w:val="fr-FR"/>
              </w:rPr>
              <w:t xml:space="preserve"> </w:t>
            </w:r>
            <w:r>
              <w:rPr>
                <w:sz w:val="22"/>
              </w:rPr>
              <w:fldChar w:fldCharType="begin">
                <w:fldData xml:space="preserve">PEVuZE5vdGU+PENpdGUgQXV0aG9yWWVhcj0iMSI+PEF1dGhvcj5Lb8OnPC9BdXRob3I+PFllYXI+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</w:fldData>
              </w:fldChar>
            </w:r>
            <w:r w:rsidRPr="00E0335F">
              <w:rPr>
                <w:sz w:val="22"/>
              </w:rPr>
              <w:instrText xml:space="preserve"> ADDIN EN.CITE </w:instrText>
            </w:r>
            <w:r>
              <w:rPr>
                <w:sz w:val="22"/>
              </w:rPr>
              <w:fldChar w:fldCharType="begin">
                <w:fldData xml:space="preserve">PEVuZE5vdGU+PENpdGUgQXV0aG9yWWVhcj0iMSI+PEF1dGhvcj5Lb8OnPC9BdXRob3I+PFllYXI+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</w:fldData>
              </w:fldChar>
            </w:r>
            <w:r w:rsidRPr="00E0335F">
              <w:rPr>
                <w:sz w:val="22"/>
              </w:rPr>
              <w:instrText xml:space="preserve"> ADDIN EN.CITE.DATA </w:instrText>
            </w:r>
            <w:r>
              <w:rPr>
                <w:sz w:val="22"/>
              </w:rPr>
            </w:r>
            <w:r>
              <w:rPr>
                <w:sz w:val="22"/>
              </w:rPr>
              <w:fldChar w:fldCharType="end"/>
            </w:r>
            <w:r>
              <w:rPr>
                <w:sz w:val="22"/>
              </w:rPr>
            </w:r>
            <w:r>
              <w:rPr>
                <w:sz w:val="22"/>
              </w:rPr>
              <w:fldChar w:fldCharType="separate"/>
            </w:r>
            <w:r w:rsidRPr="00081D74">
              <w:rPr>
                <w:noProof/>
                <w:sz w:val="22"/>
                <w:lang w:val="fr-FR"/>
              </w:rPr>
              <w:t>Koç et al. (2016)</w:t>
            </w:r>
            <w:r>
              <w:rPr>
                <w:sz w:val="22"/>
              </w:rPr>
              <w:fldChar w:fldCharType="end"/>
            </w:r>
            <w:r>
              <w:rPr>
                <w:sz w:val="22"/>
                <w:lang w:val="fr-FR"/>
              </w:rPr>
              <w:t>;</w:t>
            </w:r>
            <w:r w:rsidRPr="007741AE">
              <w:rPr>
                <w:sz w:val="22"/>
                <w:lang w:val="fr-FR"/>
              </w:rPr>
              <w:t xml:space="preserve"> </w:t>
            </w:r>
            <w:r>
              <w:rPr>
                <w:sz w:val="22"/>
              </w:rPr>
              <w:fldChar w:fldCharType="begin"/>
            </w:r>
            <w:r>
              <w:rPr>
                <w:sz w:val="22"/>
              </w:rPr>
              <w:instrText xml:space="preserve"> ADDIN EN.CITE &lt;EndNote&gt;&lt;Cite AuthorYear="1"&gt;&lt;Author&gt;Outapa&lt;/Author&gt;&lt;Year&gt;2016&lt;/Year&gt;&lt;RecNum&gt;105&lt;/RecNum&gt;&lt;DisplayText&gt;Outapa et al. (2016)&lt;/DisplayText&gt;&lt;record&gt;&lt;rec-number&gt;105&lt;/rec-number&gt;&lt;foreign-keys&gt;&lt;key app="EN" db-id="pzt5ep52hsedfpeext2pdfes0w0aswaewef2" timestamp="1605187994"&gt;105&lt;/key&gt;&lt;/foreign-keys&gt;&lt;ref-type name="Journal Article"&gt;17&lt;/ref-type&gt;&lt;contributors&gt;&lt;authors&gt;&lt;author&gt;Outapa, P.&lt;/author&gt;&lt;author&gt;Kondo, A.&lt;/author&gt;&lt;author&gt;Thepanondh, S.&lt;/author&gt;&lt;/authors&gt;&lt;/contributors&gt;&lt;auth-address&gt;Faculty of Public Health, Mahidol University, Thailand&amp;#xD;Center of Excellence on Environmental Health and Toxicology (EHT), Bangkok, Thailand&amp;#xD;Graduate School of Engineering, Osaka University, Japan&lt;/auth-address&gt;&lt;titles&gt;&lt;title&gt;Effect of speed on emissions of air pollutants in urban environment: Case study of truck emissions&lt;/title&gt;&lt;secondary-title&gt;International Journal of GEOMATE&lt;/secondary-title&gt;&lt;alt-title&gt;Int. J. GEOMATE&lt;/alt-title&gt;&lt;/titles&gt;&lt;periodical&gt;&lt;full-title&gt;International Journal of GEOMATE&lt;/full-title&gt;&lt;abbr-1&gt;Int. J. GEOMATE&lt;/abbr-1&gt;&lt;/periodical&gt;&lt;alt-periodical&gt;&lt;full-title&gt;International Journal of GEOMATE&lt;/full-title&gt;&lt;abbr-1&gt;Int. J. GEOMATE&lt;/abbr-1&gt;&lt;/alt-periodical&gt;&lt;pages&gt;2200-2207&lt;/pages&gt;&lt;volume&gt;11&lt;/volume&gt;&lt;number&gt;1&lt;/number&gt;&lt;keywords&gt;&lt;keyword&gt;Conventional air pollutants&lt;/keyword&gt;&lt;keyword&gt;Emission factors&lt;/keyword&gt;&lt;keyword&gt;Emission inventory&lt;/keyword&gt;&lt;keyword&gt;IVE model&lt;/keyword&gt;&lt;keyword&gt;Speed&lt;/keyword&gt;&lt;/keywords&gt;&lt;dates&gt;&lt;year&gt;2016&lt;/year&gt;&lt;/dates&gt;&lt;publisher&gt;GEOMATE International Society&lt;/publisher&gt;&lt;isbn&gt;21862982 (ISSN)&lt;/isbn&gt;&lt;work-type&gt;Article&lt;/work-type&gt;&lt;urls&gt;&lt;related-urls&gt;&lt;url&gt;https://www.scopus.com/inward/record.uri?eid=2-s2.0-84956613630&amp;amp;partnerID=40&amp;amp;md5=5d77a7b59b99ce9a905df1aacf2b3f9b&lt;/url&gt;&lt;/related-urls&gt;&lt;/urls&gt;&lt;remote-database-name&gt;Scopus&lt;/remote-database-name&gt;&lt;research-notes&gt;150&lt;/research-notes&gt;&lt;language&gt;English&lt;/language&gt;&lt;/record&gt;&lt;/Cite&gt;&lt;/EndNote&gt;</w:instrText>
            </w:r>
            <w:r>
              <w:rPr>
                <w:sz w:val="22"/>
              </w:rPr>
              <w:fldChar w:fldCharType="separate"/>
            </w:r>
            <w:r w:rsidRPr="00081D74">
              <w:rPr>
                <w:noProof/>
                <w:sz w:val="22"/>
                <w:lang w:val="fr-FR"/>
              </w:rPr>
              <w:t>Outapa et al. (2016)</w:t>
            </w:r>
            <w:r>
              <w:rPr>
                <w:sz w:val="22"/>
              </w:rPr>
              <w:fldChar w:fldCharType="end"/>
            </w:r>
            <w:r>
              <w:rPr>
                <w:sz w:val="22"/>
                <w:lang w:val="fr-FR"/>
              </w:rPr>
              <w:t>;</w:t>
            </w:r>
            <w:r w:rsidRPr="007741AE">
              <w:rPr>
                <w:sz w:val="22"/>
                <w:lang w:val="fr-FR"/>
              </w:rPr>
              <w:t xml:space="preserve"> </w:t>
            </w:r>
            <w:r>
              <w:rPr>
                <w:sz w:val="22"/>
              </w:rPr>
              <w:fldChar w:fldCharType="begin">
                <w:fldData xml:space="preserve">PEVuZE5vdGU+PENpdGUgQXV0aG9yWWVhcj0iMSI+PEF1dGhvcj5HdW88L0F1dGhvcj48WWVhcj4y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</w:fldData>
              </w:fldChar>
            </w:r>
            <w:r>
              <w:rPr>
                <w:sz w:val="22"/>
              </w:rPr>
              <w:instrText xml:space="preserve"> ADDIN EN.CITE </w:instrText>
            </w:r>
            <w:r>
              <w:rPr>
                <w:sz w:val="22"/>
              </w:rPr>
              <w:fldChar w:fldCharType="begin">
                <w:fldData xml:space="preserve">PEVuZE5vdGU+PENpdGUgQXV0aG9yWWVhcj0iMSI+PEF1dGhvcj5HdW88L0F1dGhvcj48WWVhcj4y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</w:fldData>
              </w:fldChar>
            </w:r>
            <w:r>
              <w:rPr>
                <w:sz w:val="22"/>
              </w:rPr>
              <w:instrText xml:space="preserve"> ADDIN EN.CITE.DATA </w:instrText>
            </w:r>
            <w:r>
              <w:rPr>
                <w:sz w:val="22"/>
              </w:rPr>
            </w:r>
            <w:r>
              <w:rPr>
                <w:sz w:val="22"/>
              </w:rPr>
              <w:fldChar w:fldCharType="end"/>
            </w:r>
            <w:r>
              <w:rPr>
                <w:sz w:val="22"/>
              </w:rPr>
            </w:r>
            <w:r>
              <w:rPr>
                <w:sz w:val="22"/>
              </w:rPr>
              <w:fldChar w:fldCharType="separate"/>
            </w:r>
            <w:r w:rsidRPr="00081D74">
              <w:rPr>
                <w:noProof/>
                <w:sz w:val="22"/>
                <w:lang w:val="fr-FR"/>
              </w:rPr>
              <w:t>Guo and Ma (2017)</w:t>
            </w:r>
            <w:r>
              <w:rPr>
                <w:sz w:val="22"/>
              </w:rPr>
              <w:fldChar w:fldCharType="end"/>
            </w:r>
            <w:r>
              <w:rPr>
                <w:sz w:val="22"/>
                <w:lang w:val="fr-FR"/>
              </w:rPr>
              <w:t>;</w:t>
            </w:r>
            <w:r w:rsidRPr="007741AE">
              <w:rPr>
                <w:sz w:val="22"/>
                <w:lang w:val="fr-FR"/>
              </w:rPr>
              <w:t xml:space="preserve"> </w:t>
            </w:r>
            <w:r>
              <w:rPr>
                <w:sz w:val="22"/>
              </w:rPr>
              <w:fldChar w:fldCharType="begin">
                <w:fldData xml:space="preserve">PEVuZE5vdGU+PENpdGUgQXV0aG9yWWVhcj0iMSI+PEF1dGhvcj5DaGVuPC9BdXRob3I+PFllYXI+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</w:fldData>
              </w:fldChar>
            </w:r>
            <w:r>
              <w:rPr>
                <w:sz w:val="22"/>
              </w:rPr>
              <w:instrText xml:space="preserve"> ADDIN EN.CITE </w:instrText>
            </w:r>
            <w:r>
              <w:rPr>
                <w:sz w:val="22"/>
              </w:rPr>
              <w:fldChar w:fldCharType="begin">
                <w:fldData xml:space="preserve">PEVuZE5vdGU+PENpdGUgQXV0aG9yWWVhcj0iMSI+PEF1dGhvcj5DaGVuPC9BdXRob3I+PFllYXI+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</w:fldData>
              </w:fldChar>
            </w:r>
            <w:r>
              <w:rPr>
                <w:sz w:val="22"/>
              </w:rPr>
              <w:instrText xml:space="preserve"> ADDIN EN.CITE.DATA </w:instrText>
            </w:r>
            <w:r>
              <w:rPr>
                <w:sz w:val="22"/>
              </w:rPr>
            </w:r>
            <w:r>
              <w:rPr>
                <w:sz w:val="22"/>
              </w:rPr>
              <w:fldChar w:fldCharType="end"/>
            </w:r>
            <w:r>
              <w:rPr>
                <w:sz w:val="22"/>
              </w:rPr>
            </w:r>
            <w:r>
              <w:rPr>
                <w:sz w:val="22"/>
              </w:rPr>
              <w:fldChar w:fldCharType="separate"/>
            </w:r>
            <w:r w:rsidRPr="00081D74">
              <w:rPr>
                <w:noProof/>
                <w:sz w:val="22"/>
                <w:lang w:val="fr-FR"/>
              </w:rPr>
              <w:t>Chen et al. (2018)</w:t>
            </w:r>
            <w:r>
              <w:rPr>
                <w:sz w:val="22"/>
              </w:rPr>
              <w:fldChar w:fldCharType="end"/>
            </w:r>
            <w:r>
              <w:rPr>
                <w:sz w:val="22"/>
                <w:lang w:val="fr-FR"/>
              </w:rPr>
              <w:t>;</w:t>
            </w:r>
            <w:r w:rsidRPr="007741AE">
              <w:rPr>
                <w:sz w:val="22"/>
                <w:lang w:val="fr-FR"/>
              </w:rPr>
              <w:t xml:space="preserve"> </w:t>
            </w:r>
            <w:r>
              <w:rPr>
                <w:sz w:val="22"/>
              </w:rPr>
              <w:fldChar w:fldCharType="begin">
                <w:fldData xml:space="preserve">PEVuZE5vdGU+PENpdGUgQXV0aG9yWWVhcj0iMSI+PEF1dGhvcj5Ib2xndcOtbi1WZXJhczwvQXV0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</w:fldData>
              </w:fldChar>
            </w:r>
            <w:r>
              <w:rPr>
                <w:sz w:val="22"/>
              </w:rPr>
              <w:instrText xml:space="preserve"> ADDIN EN.CITE </w:instrText>
            </w:r>
            <w:r>
              <w:rPr>
                <w:sz w:val="22"/>
              </w:rPr>
              <w:fldChar w:fldCharType="begin">
                <w:fldData xml:space="preserve">PEVuZE5vdGU+PENpdGUgQXV0aG9yWWVhcj0iMSI+PEF1dGhvcj5Ib2xndcOtbi1WZXJhczwvQXV0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</w:fldData>
              </w:fldChar>
            </w:r>
            <w:r>
              <w:rPr>
                <w:sz w:val="22"/>
              </w:rPr>
              <w:instrText xml:space="preserve"> ADDIN EN.CITE.DATA </w:instrText>
            </w:r>
            <w:r>
              <w:rPr>
                <w:sz w:val="22"/>
              </w:rPr>
            </w:r>
            <w:r>
              <w:rPr>
                <w:sz w:val="22"/>
              </w:rPr>
              <w:fldChar w:fldCharType="end"/>
            </w:r>
            <w:r>
              <w:rPr>
                <w:sz w:val="22"/>
              </w:rPr>
            </w:r>
            <w:r>
              <w:rPr>
                <w:sz w:val="22"/>
              </w:rPr>
              <w:fldChar w:fldCharType="separate"/>
            </w:r>
            <w:r w:rsidRPr="00081D74">
              <w:rPr>
                <w:noProof/>
                <w:sz w:val="22"/>
                <w:lang w:val="fr-FR"/>
              </w:rPr>
              <w:t>Holguín-Veras et al. (2018)</w:t>
            </w:r>
            <w:r>
              <w:rPr>
                <w:sz w:val="22"/>
              </w:rPr>
              <w:fldChar w:fldCharType="end"/>
            </w:r>
            <w:r>
              <w:rPr>
                <w:sz w:val="22"/>
                <w:lang w:val="fr-FR"/>
              </w:rPr>
              <w:t>;</w:t>
            </w:r>
            <w:r w:rsidRPr="007741AE">
              <w:rPr>
                <w:sz w:val="22"/>
                <w:lang w:val="fr-FR"/>
              </w:rPr>
              <w:t xml:space="preserve"> </w:t>
            </w:r>
            <w:r>
              <w:rPr>
                <w:sz w:val="22"/>
              </w:rPr>
              <w:fldChar w:fldCharType="begin">
                <w:fldData xml:space="preserve">PEVuZE5vdGU+PENpdGUgQXV0aG9yWWVhcj0iMSI+PEF1dGhvcj5MZWU8L0F1dGhvcj48WWVhcj4y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</w:fldData>
              </w:fldChar>
            </w:r>
            <w:r>
              <w:rPr>
                <w:sz w:val="22"/>
              </w:rPr>
              <w:instrText xml:space="preserve"> ADDIN EN.CITE </w:instrText>
            </w:r>
            <w:r>
              <w:rPr>
                <w:sz w:val="22"/>
              </w:rPr>
              <w:fldChar w:fldCharType="begin">
                <w:fldData xml:space="preserve">PEVuZE5vdGU+PENpdGUgQXV0aG9yWWVhcj0iMSI+PEF1dGhvcj5MZWU8L0F1dGhvcj48WWVhcj4y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</w:fldData>
              </w:fldChar>
            </w:r>
            <w:r>
              <w:rPr>
                <w:sz w:val="22"/>
              </w:rPr>
              <w:instrText xml:space="preserve"> ADDIN EN.CITE.DATA </w:instrText>
            </w:r>
            <w:r>
              <w:rPr>
                <w:sz w:val="22"/>
              </w:rPr>
            </w:r>
            <w:r>
              <w:rPr>
                <w:sz w:val="22"/>
              </w:rPr>
              <w:fldChar w:fldCharType="end"/>
            </w:r>
            <w:r>
              <w:rPr>
                <w:sz w:val="22"/>
              </w:rPr>
            </w:r>
            <w:r>
              <w:rPr>
                <w:sz w:val="22"/>
              </w:rPr>
              <w:fldChar w:fldCharType="separate"/>
            </w:r>
            <w:r w:rsidRPr="00A04B1C">
              <w:rPr>
                <w:noProof/>
                <w:sz w:val="22"/>
                <w:lang w:val="fr-FR"/>
              </w:rPr>
              <w:t>Lee and Hwang (2018)</w:t>
            </w:r>
            <w:r>
              <w:rPr>
                <w:sz w:val="22"/>
              </w:rPr>
              <w:fldChar w:fldCharType="end"/>
            </w:r>
            <w:r>
              <w:rPr>
                <w:sz w:val="22"/>
                <w:lang w:val="fr-FR"/>
              </w:rPr>
              <w:t>;</w:t>
            </w:r>
            <w:r w:rsidRPr="007741AE">
              <w:rPr>
                <w:rFonts w:hint="eastAsia"/>
                <w:sz w:val="22"/>
                <w:lang w:val="fr-FR"/>
              </w:rPr>
              <w:t xml:space="preserve"> </w:t>
            </w:r>
            <w:r>
              <w:rPr>
                <w:sz w:val="22"/>
              </w:rPr>
              <w:fldChar w:fldCharType="begin"/>
            </w:r>
            <w:r>
              <w:rPr>
                <w:sz w:val="22"/>
              </w:rPr>
              <w:instrText xml:space="preserve"> ADDIN EN.CITE &lt;EndNote&gt;&lt;Cite AuthorYear="1"&gt;&lt;Author&gt;Marcucci&lt;/Author&gt;&lt;Year&gt;2017&lt;/Year&gt;&lt;RecNum&gt;161&lt;/RecNum&gt;&lt;DisplayText&gt;Marcucci et al. (2017a)&lt;/DisplayText&gt;&lt;record&gt;&lt;rec-number&gt;161&lt;/rec-number&gt;&lt;foreign-k</w:instrText>
            </w:r>
            <w:r w:rsidRPr="00E0335F">
              <w:rPr>
                <w:sz w:val="22"/>
                <w:lang w:val="it-IT"/>
              </w:rPr>
              <w:instrText>eys&gt;&lt;key app="EN" db-id="x5etaz5aiszvz0edasvvpwvotttxepvd25t2" timestamp="1609264002"&gt;161&lt;/key&gt;&lt;/foreign-keys&gt;&lt;ref-type name="Journal Article"&gt;17&lt;/ref-type&gt;&lt;contributors&gt;&lt;authors&gt;&lt;author&gt;Marcucci, E.&lt;/author&gt;&lt;author&gt;Gatta, V.&lt;/author&gt;&lt;author&gt;Marciani, M.&lt;/author&gt;&lt;author&gt;Cossu, P.&lt;/author&gt;&lt;/authors&gt;&lt;/contributors&gt;&lt;auth-address&gt;Department of Political Science, Roma Tre University, Via Gabriello Chiabrera 199, Rome, 00145, Italy&amp;#xD;FIT Consulting srl, Via Lavinio 15, Rome, 00183, Italy&amp;#xD;Molde University College, Britvegen 2, Molde, 6410, Norway&lt;/auth-address&gt;&lt;titles&gt;&lt;title&gt;Measuring the effects of an urban freight policy package defined via a collaborative governance model&lt;/title&gt;&lt;secondary-title&gt;Research in Transportation Economics&lt;/secondary-title&gt;&lt;/titles&gt;&lt;pages&gt;3-9&lt;/pages&gt;&lt;volume&gt;65&lt;/volume&gt;&lt;keywords&gt;&lt;keyword&gt;City logistics&lt;/keyword&gt;&lt;keyword&gt;Collaborative logistics&lt;/keyword&gt;&lt;keyword&gt;Governance model&lt;/keyword&gt;&lt;keyword&gt;Stakeholders engagement&lt;/keyword&gt;&lt;/keywords&gt;&lt;dates&gt;&lt;year&gt;2017&lt;/year&gt;&lt;/dates&gt;&lt;publisher&gt;JAI Press&lt;/publisher&gt;&lt;isbn&gt;07398859 (ISSN)&lt;/isbn&gt;&lt;work-type&gt;Article&lt;/work-type&gt;&lt;urls&gt;&lt;related-urls&gt;&lt;url&gt;https://www.scopus.com/inward/record.uri?eid=2-s2.0-85029706904&amp;amp;doi=10.1016%2fj.retrec.2017.</w:instrText>
            </w:r>
            <w:r w:rsidRPr="00F73634">
              <w:rPr>
                <w:sz w:val="22"/>
                <w:lang w:val="it-IT"/>
              </w:rPr>
              <w:instrText>09.001&amp;amp;partnerID=40&amp;amp;md5=d8a9c1baa072da3e73730916e2b30088&lt;/url&gt;&lt;/related-urls&gt;&lt;/urls&gt;&lt;electronic-resource-num&gt;10.1016/j.retrec.2017.09.001&lt;/electronic-resource-num&gt;&lt;remote-database-name&gt;Scopus&lt;/remote-database-name&gt;&lt;language&gt;English&lt;/language&gt;&lt;/record&gt;&lt;/Cite&gt;&lt;/EndNote&gt;</w:instrText>
            </w:r>
            <w:r>
              <w:rPr>
                <w:sz w:val="22"/>
              </w:rPr>
              <w:fldChar w:fldCharType="separate"/>
            </w:r>
            <w:r w:rsidRPr="00F73634">
              <w:rPr>
                <w:noProof/>
                <w:sz w:val="22"/>
                <w:lang w:val="it-IT"/>
              </w:rPr>
              <w:t xml:space="preserve">Marcucci et al. </w:t>
            </w:r>
            <w:r w:rsidRPr="00E5436C">
              <w:rPr>
                <w:noProof/>
                <w:sz w:val="22"/>
                <w:lang w:val="it-IT"/>
              </w:rPr>
              <w:t>(2017a)</w:t>
            </w:r>
            <w:r>
              <w:rPr>
                <w:sz w:val="22"/>
              </w:rPr>
              <w:fldChar w:fldCharType="end"/>
            </w:r>
            <w:r>
              <w:rPr>
                <w:sz w:val="22"/>
                <w:lang w:val="fr-FR"/>
              </w:rPr>
              <w:t>;</w:t>
            </w:r>
            <w:r w:rsidRPr="007741AE">
              <w:rPr>
                <w:sz w:val="22"/>
                <w:lang w:val="fr-FR"/>
              </w:rPr>
              <w:t xml:space="preserve"> </w:t>
            </w:r>
            <w:r>
              <w:rPr>
                <w:sz w:val="22"/>
              </w:rPr>
              <w:fldChar w:fldCharType="begin">
                <w:fldData xml:space="preserve">PEVuZE5vdGU+PENpdGUgQXV0aG9yWWVhcj0iMSI+PEF1dGhvcj5Jd2FuPC9BdXRob3I+PFllYXI+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</w:fldData>
              </w:fldChar>
            </w:r>
            <w:r w:rsidRPr="00E5436C">
              <w:rPr>
                <w:sz w:val="22"/>
                <w:lang w:val="it-IT"/>
              </w:rPr>
              <w:instrText xml:space="preserve"> ADDIN EN.CITE </w:instrText>
            </w:r>
            <w:r>
              <w:rPr>
                <w:sz w:val="22"/>
              </w:rPr>
              <w:fldChar w:fldCharType="begin">
                <w:fldData xml:space="preserve">PEVuZE5vdGU+PENpdGUgQXV0aG9yWWVhcj0iMSI+PEF1dGhvcj5Jd2FuPC9BdXRob3I+PFllYXI+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</w:fldData>
              </w:fldChar>
            </w:r>
            <w:r w:rsidRPr="00E5436C">
              <w:rPr>
                <w:sz w:val="22"/>
                <w:lang w:val="it-IT"/>
              </w:rPr>
              <w:instrText xml:space="preserve"> ADDIN EN.CITE.DATA </w:instrText>
            </w:r>
            <w:r>
              <w:rPr>
                <w:sz w:val="22"/>
              </w:rPr>
            </w:r>
            <w:r>
              <w:rPr>
                <w:sz w:val="22"/>
              </w:rPr>
              <w:fldChar w:fldCharType="end"/>
            </w:r>
            <w:r>
              <w:rPr>
                <w:sz w:val="22"/>
              </w:rPr>
            </w:r>
            <w:r>
              <w:rPr>
                <w:sz w:val="22"/>
              </w:rPr>
              <w:fldChar w:fldCharType="separate"/>
            </w:r>
            <w:r w:rsidRPr="00A04B1C">
              <w:rPr>
                <w:noProof/>
                <w:sz w:val="22"/>
                <w:lang w:val="fr-FR"/>
              </w:rPr>
              <w:t>Iwan et al. (2018)</w:t>
            </w:r>
            <w:r>
              <w:rPr>
                <w:sz w:val="22"/>
              </w:rPr>
              <w:fldChar w:fldCharType="end"/>
            </w:r>
            <w:r>
              <w:rPr>
                <w:sz w:val="22"/>
                <w:lang w:val="fr-FR"/>
              </w:rPr>
              <w:t>;</w:t>
            </w:r>
            <w:r w:rsidRPr="007741AE">
              <w:rPr>
                <w:sz w:val="22"/>
                <w:lang w:val="fr-FR"/>
              </w:rPr>
              <w:t xml:space="preserve"> </w:t>
            </w:r>
            <w:r>
              <w:rPr>
                <w:sz w:val="22"/>
              </w:rPr>
              <w:fldChar w:fldCharType="begin">
                <w:fldData xml:space="preserve">PEVuZE5vdGU+PENpdGUgQXV0aG9yWWVhcj0iMSI+PEF1dGhvcj5NYXJ1am88L0F1dGhvcj48WWVh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==
</w:fldData>
              </w:fldChar>
            </w:r>
            <w:r w:rsidRPr="00E5436C">
              <w:rPr>
                <w:sz w:val="22"/>
                <w:lang w:val="it-IT"/>
              </w:rPr>
              <w:instrText xml:space="preserve"> ADDIN EN.CITE </w:instrText>
            </w:r>
            <w:r>
              <w:rPr>
                <w:sz w:val="22"/>
              </w:rPr>
              <w:fldChar w:fldCharType="begin">
                <w:fldData xml:space="preserve">PEVuZE5vdGU+PENpdGUgQXV0aG9yWWVhcj0iMSI+PEF1dGhvcj5NYXJ1am88L0F1dGhvcj48WWVh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==
</w:fldData>
              </w:fldChar>
            </w:r>
            <w:r w:rsidRPr="00E5436C">
              <w:rPr>
                <w:sz w:val="22"/>
                <w:lang w:val="it-IT"/>
              </w:rPr>
              <w:instrText xml:space="preserve"> ADDIN EN.CITE.DATA </w:instrText>
            </w:r>
            <w:r>
              <w:rPr>
                <w:sz w:val="22"/>
              </w:rPr>
            </w:r>
            <w:r>
              <w:rPr>
                <w:sz w:val="22"/>
              </w:rPr>
              <w:fldChar w:fldCharType="end"/>
            </w:r>
            <w:r>
              <w:rPr>
                <w:sz w:val="22"/>
              </w:rPr>
            </w:r>
            <w:r>
              <w:rPr>
                <w:sz w:val="22"/>
              </w:rPr>
              <w:fldChar w:fldCharType="separate"/>
            </w:r>
            <w:r w:rsidRPr="00A04B1C">
              <w:rPr>
                <w:noProof/>
                <w:sz w:val="22"/>
                <w:lang w:val="fr-FR"/>
              </w:rPr>
              <w:t>Marujo et al. (2018)</w:t>
            </w:r>
            <w:r>
              <w:rPr>
                <w:sz w:val="22"/>
              </w:rPr>
              <w:fldChar w:fldCharType="end"/>
            </w:r>
            <w:r>
              <w:rPr>
                <w:sz w:val="22"/>
                <w:lang w:val="fr-FR"/>
              </w:rPr>
              <w:t>;</w:t>
            </w:r>
            <w:r w:rsidRPr="007741AE">
              <w:rPr>
                <w:sz w:val="22"/>
                <w:lang w:val="fr-FR"/>
              </w:rPr>
              <w:t xml:space="preserve"> </w:t>
            </w:r>
            <w:r>
              <w:rPr>
                <w:sz w:val="22"/>
              </w:rPr>
              <w:fldChar w:fldCharType="begin">
                <w:fldData xml:space="preserve">PEVuZE5vdGU+PENpdGUgQXV0aG9yWWVhcj0iMSI+PEF1dGhvcj5Nb21tZW5zPC9BdXRob3I+PFll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</w:fldData>
              </w:fldChar>
            </w:r>
            <w:r w:rsidRPr="00E5436C">
              <w:rPr>
                <w:sz w:val="22"/>
                <w:lang w:val="it-IT"/>
              </w:rPr>
              <w:instrText xml:space="preserve"> ADDIN EN.CITE </w:instrText>
            </w:r>
            <w:r>
              <w:rPr>
                <w:sz w:val="22"/>
              </w:rPr>
              <w:fldChar w:fldCharType="begin">
                <w:fldData xml:space="preserve">PEVuZE5vdGU+PENpdGUgQXV0aG9yWWVhcj0iMSI+PEF1dGhvcj5Nb21tZW5zPC9BdXRob3I+PFll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</w:fldData>
              </w:fldChar>
            </w:r>
            <w:r w:rsidRPr="00E5436C">
              <w:rPr>
                <w:sz w:val="22"/>
                <w:lang w:val="it-IT"/>
              </w:rPr>
              <w:instrText xml:space="preserve"> ADDIN EN.CITE.DATA </w:instrText>
            </w:r>
            <w:r>
              <w:rPr>
                <w:sz w:val="22"/>
              </w:rPr>
            </w:r>
            <w:r>
              <w:rPr>
                <w:sz w:val="22"/>
              </w:rPr>
              <w:fldChar w:fldCharType="end"/>
            </w:r>
            <w:r>
              <w:rPr>
                <w:sz w:val="22"/>
              </w:rPr>
            </w:r>
            <w:r>
              <w:rPr>
                <w:sz w:val="22"/>
              </w:rPr>
              <w:fldChar w:fldCharType="separate"/>
            </w:r>
            <w:r w:rsidRPr="00A04B1C">
              <w:rPr>
                <w:noProof/>
                <w:sz w:val="22"/>
                <w:lang w:val="fr-FR"/>
              </w:rPr>
              <w:t xml:space="preserve">Mommens et al. </w:t>
            </w:r>
            <w:r w:rsidRPr="00BA4FBE">
              <w:rPr>
                <w:noProof/>
                <w:sz w:val="22"/>
                <w:lang w:val="fr-FR"/>
              </w:rPr>
              <w:t>(2018)</w:t>
            </w:r>
            <w:r>
              <w:rPr>
                <w:sz w:val="22"/>
              </w:rPr>
              <w:fldChar w:fldCharType="end"/>
            </w:r>
            <w:r>
              <w:rPr>
                <w:sz w:val="22"/>
                <w:lang w:val="fr-FR"/>
              </w:rPr>
              <w:t>;</w:t>
            </w:r>
            <w:r w:rsidRPr="007741AE">
              <w:rPr>
                <w:sz w:val="22"/>
                <w:lang w:val="fr-FR"/>
              </w:rPr>
              <w:t xml:space="preserve"> </w:t>
            </w:r>
            <w:r>
              <w:rPr>
                <w:sz w:val="22"/>
              </w:rPr>
              <w:fldChar w:fldCharType="begin"/>
            </w:r>
            <w:r>
              <w:rPr>
                <w:sz w:val="22"/>
              </w:rPr>
              <w:instrText xml:space="preserve"> ADDIN EN.CITE &lt;EndNote&gt;&lt;Cite AuthorYear="1"&gt;&lt;Author&gt;Yusuf&lt;/Author&gt;&lt;Year&gt;2018&lt;/Year&gt;&lt;RecNum&gt;114&lt;/RecNum&gt;&lt;DisplayText&gt;Yusuf (2018)&lt;/DisplayText&gt;&lt;record&gt;&lt;rec-number&gt;114&lt;/rec-number&gt;&lt;foreign-keys&gt;&lt;key app="EN" db-id="pzt5ep52hsedfpeext2pdfes0w0aswaewef2" timestamp="1605187994"&gt;114&lt;/key&gt;&lt;/foreign-keys&gt;&lt;ref-type name="Journal Article"&gt;17&lt;/ref-type&gt;&lt;contributors&gt;&lt;authors&gt;&lt;author&gt;Yusuf, N.&lt;/author&gt;&lt;/authors&gt;&lt;/contributors&gt;&lt;auth-address&gt;University of Indonesia, Indonesia&amp;#xD;Universiti Tun Hussein Onn, Malaysia&lt;/auth-address&gt;&lt;titles&gt;&lt;title&gt;The impact of freight vehicle access restriction on the sustainability of Jakarta intra urban tollway system&lt;/title&gt;&lt;secondary-title&gt;Planning Malaysia&lt;/secondary-title&gt;&lt;alt-title&gt;Plann.Malays.&lt;/alt-title&gt;&lt;/titles&gt;&lt;periodical&gt;&lt;full-title&gt;Planning Malaysia&lt;/full-title&gt;&lt;abbr-1&gt;Plann.Malays.&lt;/abbr-1&gt;&lt;/periodical&gt;&lt;alt-periodical&gt;&lt;full-title&gt;Planning Malaysia&lt;/full-title&gt;&lt;abbr-1&gt;Plann.Malays.&lt;/abbr-1&gt;&lt;/alt-periodical&gt;&lt;pages&gt;50-62&lt;/pages&gt;&lt;volume&gt;16&lt;/volume&gt;&lt;number&gt;1&lt;/number&gt;&lt;keywords&gt;&lt;keyword&gt;Access restriction&lt;/keyword&gt;&lt;keyword&gt;Freight vehicle&lt;/keyword&gt;&lt;keyword&gt;Sustainable transportation&lt;/keyword&gt;&lt;keyword&gt;Toll way system&lt;/keyword&gt;&lt;/keywords&gt;&lt;dates&gt;&lt;year&gt;2018&lt;/year&gt;&lt;/dates&gt;&lt;publisher&gt;Malaysian Institute Of Planners&lt;/publisher&gt;&lt;isbn&gt;16756215 (ISSN)&lt;/isbn&gt;&lt;work-type&gt;Article&lt;/work-type&gt;&lt;urls&gt;&lt;related-urls&gt;&lt;url&gt;https://www.scopus.com/inward/record.uri?eid=2-s2.0-85050867316&amp;amp;partnerID=40&amp;amp;md5=8ccfd92327b632f9560b112a8bf5fc56&lt;/url&gt;&lt;/related-urls&gt;&lt;/urls&gt;&lt;remote-database-name&gt;Scopus&lt;/remote-database-name&gt;&lt;research-notes&gt;239&lt;/research-notes&gt;&lt;language&gt;English&lt;/language&gt;&lt;/record&gt;&lt;/Cite&gt;&lt;/EndNote&gt;</w:instrText>
            </w:r>
            <w:r>
              <w:rPr>
                <w:sz w:val="22"/>
              </w:rPr>
              <w:fldChar w:fldCharType="separate"/>
            </w:r>
            <w:r w:rsidRPr="00BA4FBE">
              <w:rPr>
                <w:noProof/>
                <w:sz w:val="22"/>
                <w:lang w:val="fr-FR"/>
              </w:rPr>
              <w:t>Yusuf (2018)</w:t>
            </w:r>
            <w:r>
              <w:rPr>
                <w:sz w:val="22"/>
              </w:rPr>
              <w:fldChar w:fldCharType="end"/>
            </w:r>
            <w:r>
              <w:rPr>
                <w:sz w:val="22"/>
                <w:lang w:val="fr-FR"/>
              </w:rPr>
              <w:t>;</w:t>
            </w:r>
            <w:r w:rsidRPr="00B9689B">
              <w:rPr>
                <w:sz w:val="22"/>
                <w:lang w:val="fr-FR"/>
              </w:rPr>
              <w:t xml:space="preserve"> </w:t>
            </w:r>
            <w:r>
              <w:rPr>
                <w:sz w:val="22"/>
              </w:rPr>
              <w:fldChar w:fldCharType="begin">
                <w:fldData xml:space="preserve">PEVuZE5vdGU+PENpdGUgQXV0aG9yWWVhcj0iMSI+PEF1dGhvcj5BbmFnbm9zdG9wb3Vsb3U8L0F1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</w:fldData>
              </w:fldChar>
            </w:r>
            <w:r>
              <w:rPr>
                <w:sz w:val="22"/>
              </w:rPr>
              <w:instrText xml:space="preserve"> ADDIN EN.CITE </w:instrText>
            </w:r>
            <w:r>
              <w:rPr>
                <w:sz w:val="22"/>
              </w:rPr>
              <w:fldChar w:fldCharType="begin">
                <w:fldData xml:space="preserve">PEVuZE5vdGU+PENpdGUgQXV0aG9yWWVhcj0iMSI+PEF1dGhvcj5BbmFnbm9zdG9wb3Vsb3U8L0F1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</w:fldData>
              </w:fldChar>
            </w:r>
            <w:r>
              <w:rPr>
                <w:sz w:val="22"/>
              </w:rPr>
              <w:instrText xml:space="preserve"> ADDIN EN.CITE.DATA </w:instrText>
            </w:r>
            <w:r>
              <w:rPr>
                <w:sz w:val="22"/>
              </w:rPr>
            </w:r>
            <w:r>
              <w:rPr>
                <w:sz w:val="22"/>
              </w:rPr>
              <w:fldChar w:fldCharType="end"/>
            </w:r>
            <w:r>
              <w:rPr>
                <w:sz w:val="22"/>
              </w:rPr>
            </w:r>
            <w:r>
              <w:rPr>
                <w:sz w:val="22"/>
              </w:rPr>
              <w:fldChar w:fldCharType="separate"/>
            </w:r>
            <w:r w:rsidRPr="00BA4FBE">
              <w:rPr>
                <w:noProof/>
                <w:sz w:val="22"/>
                <w:lang w:val="fr-FR"/>
              </w:rPr>
              <w:t>Anagnostopoulou et al. (2019)</w:t>
            </w:r>
            <w:r>
              <w:rPr>
                <w:sz w:val="22"/>
              </w:rPr>
              <w:fldChar w:fldCharType="end"/>
            </w:r>
          </w:p>
        </w:tc>
        <w:tc>
          <w:tcPr>
            <w:tcW w:w="682" w:type="pct"/>
            <w:vAlign w:val="center"/>
          </w:tcPr>
          <w:p w14:paraId="6633732F" w14:textId="77777777" w:rsidR="005344D0" w:rsidRPr="00081D74" w:rsidRDefault="005344D0" w:rsidP="006E32A1">
            <w:pPr>
              <w:spacing w:line="240" w:lineRule="auto"/>
              <w:jc w:val="center"/>
              <w:rPr>
                <w:sz w:val="22"/>
                <w:lang w:val="fr-FR"/>
              </w:rPr>
            </w:pPr>
            <w:r w:rsidRPr="00081D74">
              <w:rPr>
                <w:sz w:val="22"/>
                <w:lang w:val="fr-FR"/>
              </w:rPr>
              <w:t>18</w:t>
            </w:r>
          </w:p>
        </w:tc>
      </w:tr>
      <w:tr w:rsidR="005344D0" w:rsidRPr="00081D74" w14:paraId="0D53E537" w14:textId="77777777" w:rsidTr="006E32A1">
        <w:tc>
          <w:tcPr>
            <w:tcW w:w="1108" w:type="pct"/>
            <w:vAlign w:val="center"/>
          </w:tcPr>
          <w:p w14:paraId="70903382" w14:textId="77777777" w:rsidR="005344D0" w:rsidRPr="00081D74" w:rsidRDefault="005344D0" w:rsidP="006E32A1">
            <w:pPr>
              <w:spacing w:line="240" w:lineRule="auto"/>
              <w:jc w:val="left"/>
              <w:rPr>
                <w:sz w:val="22"/>
                <w:lang w:val="fr-FR"/>
              </w:rPr>
            </w:pPr>
            <w:proofErr w:type="spellStart"/>
            <w:r w:rsidRPr="00081D74">
              <w:rPr>
                <w:sz w:val="22"/>
                <w:lang w:val="fr-FR"/>
              </w:rPr>
              <w:t>Travel</w:t>
            </w:r>
            <w:proofErr w:type="spellEnd"/>
            <w:r w:rsidRPr="00081D74">
              <w:rPr>
                <w:sz w:val="22"/>
                <w:lang w:val="fr-FR"/>
              </w:rPr>
              <w:t xml:space="preserve"> time</w:t>
            </w:r>
          </w:p>
        </w:tc>
        <w:tc>
          <w:tcPr>
            <w:tcW w:w="3210" w:type="pct"/>
          </w:tcPr>
          <w:p w14:paraId="6714F491" w14:textId="77777777" w:rsidR="005344D0" w:rsidRPr="00A04B1C" w:rsidRDefault="005344D0" w:rsidP="006E32A1">
            <w:pPr>
              <w:spacing w:line="240" w:lineRule="auto"/>
              <w:rPr>
                <w:sz w:val="22"/>
                <w:lang w:val="it-IT"/>
              </w:rPr>
            </w:pPr>
            <w:r w:rsidRPr="003504BA">
              <w:rPr>
                <w:sz w:val="22"/>
              </w:rPr>
              <w:fldChar w:fldCharType="begin">
                <w:fldData xml:space="preserve">PEVuZE5vdGU+PENpdGUgQXV0aG9yWWVhcj0iMSI+PEF1dGhvcj5GaWdsaW96emk8L0F1dGhvcj48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</w:fldData>
              </w:fldChar>
            </w:r>
            <w:r w:rsidRPr="007C274E">
              <w:rPr>
                <w:sz w:val="22"/>
                <w:lang w:val="it-IT"/>
              </w:rPr>
              <w:instrText xml:space="preserve"> ADDIN EN.CITE </w:instrText>
            </w:r>
            <w:r>
              <w:rPr>
                <w:sz w:val="22"/>
              </w:rPr>
              <w:fldChar w:fldCharType="begin">
                <w:fldData xml:space="preserve">PEVuZE5vdGU+PENpdGUgQXV0aG9yWWVhcj0iMSI+PEF1dGhvcj5GaWdsaW96emk8L0F1dGhvcj48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</w:fldData>
              </w:fldChar>
            </w:r>
            <w:r w:rsidRPr="007C274E">
              <w:rPr>
                <w:sz w:val="22"/>
                <w:lang w:val="it-IT"/>
              </w:rPr>
              <w:instrText xml:space="preserve"> ADDIN EN.CITE.DATA </w:instrText>
            </w:r>
            <w:r>
              <w:rPr>
                <w:sz w:val="22"/>
              </w:rPr>
            </w:r>
            <w:r>
              <w:rPr>
                <w:sz w:val="22"/>
              </w:rPr>
              <w:fldChar w:fldCharType="end"/>
            </w:r>
            <w:r w:rsidRPr="003504BA">
              <w:rPr>
                <w:sz w:val="22"/>
              </w:rPr>
            </w:r>
            <w:r w:rsidRPr="003504BA">
              <w:rPr>
                <w:sz w:val="22"/>
              </w:rPr>
              <w:fldChar w:fldCharType="separate"/>
            </w:r>
            <w:r w:rsidRPr="00A04B1C">
              <w:rPr>
                <w:noProof/>
                <w:sz w:val="22"/>
                <w:lang w:val="it-IT"/>
              </w:rPr>
              <w:t>Figliozzi (2010)</w:t>
            </w:r>
            <w:r w:rsidRPr="003504BA">
              <w:rPr>
                <w:sz w:val="22"/>
              </w:rPr>
              <w:fldChar w:fldCharType="end"/>
            </w:r>
            <w:r>
              <w:rPr>
                <w:sz w:val="22"/>
                <w:lang w:val="it-IT"/>
              </w:rPr>
              <w:t>;</w:t>
            </w:r>
            <w:r w:rsidRPr="00A04B1C">
              <w:rPr>
                <w:sz w:val="22"/>
                <w:lang w:val="it-IT"/>
              </w:rPr>
              <w:t xml:space="preserve"> </w:t>
            </w:r>
            <w:r w:rsidRPr="003504BA">
              <w:rPr>
                <w:sz w:val="22"/>
              </w:rPr>
              <w:fldChar w:fldCharType="begin">
                <w:fldData xml:space="preserve">PEVuZE5vdGU+PENpdGUgQXV0aG9yWWVhcj0iMSI+PEF1dGhvcj5EZWZsb3JpbzwvQXV0aG9yPjxZ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</w:fldData>
              </w:fldChar>
            </w:r>
            <w:r w:rsidRPr="00E5436C">
              <w:rPr>
                <w:sz w:val="22"/>
                <w:lang w:val="it-IT"/>
              </w:rPr>
              <w:instrText xml:space="preserve"> ADDIN EN.CITE </w:instrText>
            </w:r>
            <w:r>
              <w:rPr>
                <w:sz w:val="22"/>
              </w:rPr>
              <w:fldChar w:fldCharType="begin">
                <w:fldData xml:space="preserve">PEVuZE5vdGU+PENpdGUgQXV0aG9yWWVhcj0iMSI+PEF1dGhvcj5EZWZsb3JpbzwvQXV0aG9yPjxZ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</w:fldData>
              </w:fldChar>
            </w:r>
            <w:r w:rsidRPr="00E5436C">
              <w:rPr>
                <w:sz w:val="22"/>
                <w:lang w:val="it-IT"/>
              </w:rPr>
              <w:instrText xml:space="preserve"> ADDIN EN.CITE.DATA </w:instrText>
            </w:r>
            <w:r>
              <w:rPr>
                <w:sz w:val="22"/>
              </w:rPr>
            </w:r>
            <w:r>
              <w:rPr>
                <w:sz w:val="22"/>
              </w:rPr>
              <w:fldChar w:fldCharType="end"/>
            </w:r>
            <w:r w:rsidRPr="003504BA">
              <w:rPr>
                <w:sz w:val="22"/>
              </w:rPr>
            </w:r>
            <w:r w:rsidRPr="003504BA">
              <w:rPr>
                <w:sz w:val="22"/>
              </w:rPr>
              <w:fldChar w:fldCharType="separate"/>
            </w:r>
            <w:r w:rsidRPr="00A04B1C">
              <w:rPr>
                <w:noProof/>
                <w:sz w:val="22"/>
                <w:lang w:val="it-IT"/>
              </w:rPr>
              <w:t>Deflorio et al. (2012)</w:t>
            </w:r>
            <w:r w:rsidRPr="003504BA">
              <w:rPr>
                <w:sz w:val="22"/>
              </w:rPr>
              <w:fldChar w:fldCharType="end"/>
            </w:r>
            <w:r>
              <w:rPr>
                <w:sz w:val="22"/>
                <w:lang w:val="it-IT"/>
              </w:rPr>
              <w:t>;</w:t>
            </w:r>
            <w:r w:rsidRPr="00A04B1C">
              <w:rPr>
                <w:sz w:val="22"/>
                <w:lang w:val="it-IT"/>
              </w:rPr>
              <w:t xml:space="preserve"> </w:t>
            </w:r>
            <w:r w:rsidRPr="003504BA">
              <w:rPr>
                <w:sz w:val="22"/>
              </w:rPr>
              <w:fldChar w:fldCharType="begin">
                <w:fldData xml:space="preserve">PEVuZE5vdGU+PENpdGUgQXV0aG9yWWVhcj0iMSI+PEF1dGhvcj5HcmVlbjwvQXV0aG9yPjxZZWFy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</w:fldData>
              </w:fldChar>
            </w:r>
            <w:r w:rsidRPr="00E5436C">
              <w:rPr>
                <w:sz w:val="22"/>
                <w:lang w:val="it-IT"/>
              </w:rPr>
              <w:instrText xml:space="preserve"> ADDIN EN.CITE </w:instrText>
            </w:r>
            <w:r>
              <w:rPr>
                <w:sz w:val="22"/>
              </w:rPr>
              <w:fldChar w:fldCharType="begin">
                <w:fldData xml:space="preserve">PEVuZE5vdGU+PENpdGUgQXV0aG9yWWVhcj0iMSI+PEF1dGhvcj5HcmVlbjwvQXV0aG9yPjxZZWFy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</w:fldData>
              </w:fldChar>
            </w:r>
            <w:r w:rsidRPr="00E5436C">
              <w:rPr>
                <w:sz w:val="22"/>
                <w:lang w:val="it-IT"/>
              </w:rPr>
              <w:instrText xml:space="preserve"> ADDIN EN.CITE.DATA </w:instrText>
            </w:r>
            <w:r>
              <w:rPr>
                <w:sz w:val="22"/>
              </w:rPr>
            </w:r>
            <w:r>
              <w:rPr>
                <w:sz w:val="22"/>
              </w:rPr>
              <w:fldChar w:fldCharType="end"/>
            </w:r>
            <w:r w:rsidRPr="003504BA">
              <w:rPr>
                <w:sz w:val="22"/>
              </w:rPr>
            </w:r>
            <w:r w:rsidRPr="003504BA">
              <w:rPr>
                <w:sz w:val="22"/>
              </w:rPr>
              <w:fldChar w:fldCharType="separate"/>
            </w:r>
            <w:r w:rsidRPr="00A04B1C">
              <w:rPr>
                <w:noProof/>
                <w:sz w:val="22"/>
                <w:lang w:val="it-IT"/>
              </w:rPr>
              <w:t xml:space="preserve">Green et al. </w:t>
            </w:r>
            <w:r w:rsidRPr="007C274E">
              <w:rPr>
                <w:noProof/>
                <w:sz w:val="22"/>
                <w:lang w:val="fr-FR"/>
              </w:rPr>
              <w:t>(2013)</w:t>
            </w:r>
            <w:r w:rsidRPr="003504BA">
              <w:rPr>
                <w:sz w:val="22"/>
              </w:rPr>
              <w:fldChar w:fldCharType="end"/>
            </w:r>
            <w:r w:rsidRPr="007C274E">
              <w:rPr>
                <w:sz w:val="22"/>
                <w:lang w:val="fr-FR"/>
              </w:rPr>
              <w:t>;</w:t>
            </w:r>
            <w:r>
              <w:rPr>
                <w:sz w:val="22"/>
                <w:lang w:val="fr-FR"/>
              </w:rPr>
              <w:t xml:space="preserve"> </w:t>
            </w:r>
            <w:r>
              <w:rPr>
                <w:sz w:val="22"/>
                <w:lang w:val="fr-FR"/>
              </w:rPr>
              <w:fldChar w:fldCharType="begin"/>
            </w:r>
            <w:r>
              <w:rPr>
                <w:sz w:val="22"/>
                <w:lang w:val="fr-FR"/>
              </w:rPr>
              <w:instrText xml:space="preserve"> ADDIN EN.CITE &lt;EndNote&gt;&lt;Cite AuthorYear="1"&gt;&lt;Author&gt;Muñuzuri&lt;/Author&gt;&lt;Year&gt;2013&lt;/Year&gt;&lt;RecNum&gt;374&lt;/RecNum&gt;&lt;DisplayText&gt;Muñuzuri et al. (2013a)&lt;/DisplayText&gt;&lt;record&gt;&lt;rec-number&gt;374&lt;/rec-number&gt;&lt;foreign-keys&gt;&lt;key app="EN" db-id="pzt5ep52hsedfpeext2pdfes0w0aswaewef2" timestamp="1605189904"&gt;374&lt;/key&gt;&lt;/foreign-keys&gt;&lt;ref-type name="Journal Article"&gt;17&lt;/ref-type&gt;&lt;contributors&gt;&lt;authors&gt;&lt;author&gt;Muñuzuri, Jesús&lt;/author&gt;&lt;author&gt;Cortés, Pablo&lt;/author&gt;&lt;author&gt;Onieva, Luis&lt;/author&gt;&lt;author&gt;Guadix, José&lt;/author&gt;&lt;/authors&gt;&lt;/contributors&gt;&lt;titles&gt;&lt;title&gt;Simulating the effects of pedestrianisation on urban freight deliveries&lt;/title&gt;&lt;secondary-title&gt;European Transport\Trasporti Europei&lt;/secondary-title&gt;&lt;/titles&gt;&lt;periodical&gt;&lt;full-title&gt;European Transport\Trasporti Europei&lt;/full-title&gt;&lt;/periodical&gt;&lt;pages&gt;1-10&lt;/pages&gt;&lt;number&gt;54&lt;/number&gt;&lt;dates&gt;&lt;year&gt;2013&lt;/year&gt;&lt;/dates&gt;&lt;urls&gt;&lt;/urls&gt;&lt;/record&gt;&lt;/Cite&gt;&lt;/EndNote&gt;</w:instrText>
            </w:r>
            <w:r>
              <w:rPr>
                <w:sz w:val="22"/>
                <w:lang w:val="fr-FR"/>
              </w:rPr>
              <w:fldChar w:fldCharType="separate"/>
            </w:r>
            <w:r>
              <w:rPr>
                <w:noProof/>
                <w:sz w:val="22"/>
                <w:lang w:val="fr-FR"/>
              </w:rPr>
              <w:t>Muñuzuri et al. (2013a)</w:t>
            </w:r>
            <w:r>
              <w:rPr>
                <w:sz w:val="22"/>
                <w:lang w:val="fr-FR"/>
              </w:rPr>
              <w:fldChar w:fldCharType="end"/>
            </w:r>
            <w:r w:rsidRPr="007C274E">
              <w:rPr>
                <w:sz w:val="22"/>
                <w:lang w:val="fr-FR"/>
              </w:rPr>
              <w:t xml:space="preserve">; </w:t>
            </w:r>
            <w:r>
              <w:rPr>
                <w:sz w:val="22"/>
              </w:rPr>
              <w:fldChar w:fldCharType="begin">
                <w:fldData xml:space="preserve">PEVuZE5vdGU+PENpdGUgQXV0aG9yWWVhcj0iMSI+PEF1dGhvcj5Lb8OnPC9BdXRob3I+PFllYXI+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</w:fldData>
              </w:fldChar>
            </w:r>
            <w:r w:rsidRPr="00E5436C">
              <w:rPr>
                <w:sz w:val="22"/>
                <w:lang w:val="it-IT"/>
              </w:rPr>
              <w:instrText xml:space="preserve"> ADDIN EN.CITE </w:instrText>
            </w:r>
            <w:r>
              <w:rPr>
                <w:sz w:val="22"/>
              </w:rPr>
              <w:fldChar w:fldCharType="begin">
                <w:fldData xml:space="preserve">PEVuZE5vdGU+PENpdGUgQXV0aG9yWWVhcj0iMSI+PEF1dGhvcj5Lb8OnPC9BdXRob3I+PFllYXI+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</w:fldData>
              </w:fldChar>
            </w:r>
            <w:r w:rsidRPr="00E5436C">
              <w:rPr>
                <w:sz w:val="22"/>
                <w:lang w:val="it-IT"/>
              </w:rPr>
              <w:instrText xml:space="preserve"> ADDIN EN.CITE.DATA </w:instrText>
            </w:r>
            <w:r>
              <w:rPr>
                <w:sz w:val="22"/>
              </w:rPr>
            </w:r>
            <w:r>
              <w:rPr>
                <w:sz w:val="22"/>
              </w:rPr>
              <w:fldChar w:fldCharType="end"/>
            </w:r>
            <w:r>
              <w:rPr>
                <w:sz w:val="22"/>
              </w:rPr>
            </w:r>
            <w:r>
              <w:rPr>
                <w:sz w:val="22"/>
              </w:rPr>
              <w:fldChar w:fldCharType="separate"/>
            </w:r>
            <w:r w:rsidRPr="007C274E">
              <w:rPr>
                <w:noProof/>
                <w:sz w:val="22"/>
                <w:lang w:val="fr-FR"/>
              </w:rPr>
              <w:t>Koç et al. (2016)</w:t>
            </w:r>
            <w:r>
              <w:rPr>
                <w:sz w:val="22"/>
              </w:rPr>
              <w:fldChar w:fldCharType="end"/>
            </w:r>
            <w:r w:rsidRPr="007C274E">
              <w:rPr>
                <w:sz w:val="22"/>
                <w:lang w:val="fr-FR"/>
              </w:rPr>
              <w:t xml:space="preserve">; </w:t>
            </w:r>
            <w:r>
              <w:rPr>
                <w:sz w:val="22"/>
              </w:rPr>
              <w:fldChar w:fldCharType="begin"/>
            </w:r>
            <w:r w:rsidRPr="007A38D6">
              <w:rPr>
                <w:sz w:val="22"/>
                <w:lang w:val="it-IT"/>
              </w:rPr>
              <w:instrText xml:space="preserve"> ADDIN EN.CITE &lt;EndNote&gt;&lt;Cite AuthorYear="1"&gt;&lt;Author&gt;Marcucci&lt;/Author&gt;&lt;Year&gt;2017&lt;/Year&gt;&lt;RecNum&gt;161&lt;/RecNum&gt;&lt;DisplayText&gt;Marcucci et al. (2017a)&lt;/DisplayText&gt;&lt;record&gt;&lt;rec-number&gt;161&lt;/rec-number&gt;&lt;foreign-keys&gt;&lt;key app="EN" db-id="x5etaz5aiszvz0edasvvpwvotttxepvd25t2" timestamp="1609264002"&gt;161&lt;/key&gt;&lt;/foreign-keys&gt;&lt;ref-type name="Journal Article"&gt;17&lt;/ref-type&gt;&lt;contributors&gt;&lt;authors&gt;&lt;author&gt;Marcucci, E.&lt;/author&gt;&lt;author&gt;Gatta, V.&lt;/author&gt;&lt;author&gt;Marciani, M.&lt;/author&gt;&lt;author&gt;Cossu, P.&lt;/author&gt;&lt;/authors&gt;&lt;/contributors&gt;&lt;auth-address&gt;Department of Political Science, Roma Tre University, Via Gabriello Chiabrera 199, Rome, 00145, Italy&amp;#xD;FIT Consulting srl, Via Lavinio 15, Rome, 00183, Italy&amp;#xD;Molde University College, Britvegen 2, Molde, 6410, Norway&lt;/auth-address&gt;&lt;titles&gt;&lt;title&gt;Measuring the effects of an urban freight policy package defined via a collaborative governance model&lt;/title&gt;&lt;secondary-title&gt;Research in Transportation Economics&lt;/secondary-title&gt;&lt;/titles&gt;&lt;pages&gt;3-9&lt;/pages&gt;&lt;volume&gt;65&lt;/volume&gt;&lt;keywords&gt;&lt;keyword&gt;City logistics&lt;/keyword&gt;&lt;keyword&gt;Collaborative logistics&lt;/keyword&gt;&lt;keyword&gt;Governance model&lt;/keyword&gt;&lt;keyword&gt;Stakeholders engagement&lt;/keyword&gt;&lt;/keywords&gt;&lt;dates&gt;&lt;year&gt;2017&lt;/year&gt;&lt;/dates&gt;&lt;publisher&gt;JAI Press&lt;/publisher&gt;&lt;isbn&gt;07398859 (ISSN)&lt;/isbn&gt;&lt;work-type&gt;Article&lt;/work-type&gt;&lt;urls&gt;&lt;related-urls&gt;&lt;url&gt;https://www.scopus.com/inward/record.uri?eid=2-s2.0-85029706904&amp;amp;doi=10.1016%2fj.retrec.2017.09.001&amp;amp;partnerID=40&amp;amp;md5=d8a9c1baa072da3e73730916e2b30088&lt;/url&gt;&lt;/related-urls&gt;&lt;/urls&gt;&lt;electronic-resource-num&gt;10.1016/j.retrec.2017.09.001&lt;/electronic-resource-num&gt;&lt;remote-database-name&gt;Scopus&lt;/remote-database-name&gt;&lt;language&gt;English&lt;/language&gt;&lt;/record&gt;&lt;/Cite&gt;&lt;/EndNote&gt;</w:instrText>
            </w:r>
            <w:r>
              <w:rPr>
                <w:sz w:val="22"/>
              </w:rPr>
              <w:fldChar w:fldCharType="separate"/>
            </w:r>
            <w:r w:rsidRPr="00E5436C">
              <w:rPr>
                <w:noProof/>
                <w:sz w:val="22"/>
                <w:lang w:val="it-IT"/>
              </w:rPr>
              <w:t>Marcucci et al. (2017a)</w:t>
            </w:r>
            <w:r>
              <w:rPr>
                <w:sz w:val="22"/>
              </w:rPr>
              <w:fldChar w:fldCharType="end"/>
            </w:r>
            <w:r w:rsidRPr="007C274E">
              <w:rPr>
                <w:sz w:val="22"/>
                <w:lang w:val="fr-FR"/>
              </w:rPr>
              <w:t xml:space="preserve">; </w:t>
            </w:r>
            <w:r>
              <w:rPr>
                <w:sz w:val="22"/>
              </w:rPr>
              <w:fldChar w:fldCharType="begin">
                <w:fldData xml:space="preserve">PEVuZE5vdGU+PENpdGUgQXV0aG9yWWVhcj0iMSI+PEF1dGhvcj5NYXJ1am88L0F1dGhvcj48WWVh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==
</w:fldData>
              </w:fldChar>
            </w:r>
            <w:r w:rsidRPr="00E5436C">
              <w:rPr>
                <w:sz w:val="22"/>
                <w:lang w:val="it-IT"/>
              </w:rPr>
              <w:instrText xml:space="preserve"> ADDIN EN.CITE </w:instrText>
            </w:r>
            <w:r>
              <w:rPr>
                <w:sz w:val="22"/>
              </w:rPr>
              <w:fldChar w:fldCharType="begin">
                <w:fldData xml:space="preserve">PEVuZE5vdGU+PENpdGUgQXV0aG9yWWVhcj0iMSI+PEF1dGhvcj5NYXJ1am88L0F1dGhvcj48WWVh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==
</w:fldData>
              </w:fldChar>
            </w:r>
            <w:r w:rsidRPr="00E5436C">
              <w:rPr>
                <w:sz w:val="22"/>
                <w:lang w:val="it-IT"/>
              </w:rPr>
              <w:instrText xml:space="preserve"> ADDIN EN.CITE.DATA </w:instrText>
            </w:r>
            <w:r>
              <w:rPr>
                <w:sz w:val="22"/>
              </w:rPr>
            </w:r>
            <w:r>
              <w:rPr>
                <w:sz w:val="22"/>
              </w:rPr>
              <w:fldChar w:fldCharType="end"/>
            </w:r>
            <w:r>
              <w:rPr>
                <w:sz w:val="22"/>
              </w:rPr>
            </w:r>
            <w:r>
              <w:rPr>
                <w:sz w:val="22"/>
              </w:rPr>
              <w:fldChar w:fldCharType="separate"/>
            </w:r>
            <w:r w:rsidRPr="007C274E">
              <w:rPr>
                <w:noProof/>
                <w:sz w:val="22"/>
                <w:lang w:val="fr-FR"/>
              </w:rPr>
              <w:t>Marujo et al. (2018)</w:t>
            </w:r>
            <w:r>
              <w:rPr>
                <w:sz w:val="22"/>
              </w:rPr>
              <w:fldChar w:fldCharType="end"/>
            </w:r>
            <w:r w:rsidRPr="007C274E">
              <w:rPr>
                <w:sz w:val="22"/>
                <w:lang w:val="fr-FR"/>
              </w:rPr>
              <w:t xml:space="preserve">; </w:t>
            </w:r>
            <w:r>
              <w:rPr>
                <w:sz w:val="22"/>
              </w:rPr>
              <w:fldChar w:fldCharType="begin"/>
            </w:r>
            <w:r w:rsidRPr="00E5436C">
              <w:rPr>
                <w:sz w:val="22"/>
                <w:lang w:val="it-IT"/>
              </w:rPr>
              <w:instrText xml:space="preserve"> ADDIN EN.CITE &lt;EndNote&gt;&lt;Cite AuthorYear="1"&gt;&lt;Author&gt;Yusuf&lt;/Author&gt;&lt;Year&gt;2018&lt;/Year&gt;&lt;RecNum&gt;114&lt;/RecNum&gt;&lt;DisplayText&gt;Yusuf (2018)&lt;/DisplayText&gt;&lt;record&gt;&lt;rec-number&gt;114&lt;/rec-number&gt;&lt;foreign-keys&gt;&lt;key app="EN" db-id="pzt5ep52hsedfpeext2pdfes0w0aswaewef2" timestamp="1605187994"&gt;114&lt;/key&gt;&lt;/foreign-keys&gt;&lt;ref-type name="Journal Article"&gt;17&lt;/ref-type&gt;&lt;contributors&gt;&lt;authors&gt;&lt;author&gt;Yusuf, N.&lt;/author&gt;&lt;/authors&gt;&lt;/contributors&gt;&lt;auth-address&gt;University of Indonesia, Indonesia&amp;#xD;Universiti Tun Hussein Onn, Malaysia&lt;/auth-address&gt;&lt;titles&gt;&lt;title&gt;The impact of freight vehicle access restriction on the sustainability of Jakarta intra urban tollway system&lt;/title&gt;&lt;secondary-title&gt;Planning Malaysia&lt;/secondary-title&gt;&lt;alt-title&gt;Plann.Malays.&lt;/alt-title&gt;&lt;/titles&gt;&lt;periodical&gt;&lt;full-title&gt;Planning Malaysia&lt;/full-title&gt;&lt;abbr-1&gt;Plann.Malays.&lt;/abbr-1&gt;&lt;/periodical&gt;&lt;alt-periodical&gt;&lt;full-title&gt;Planning Malaysia&lt;/full-title&gt;&lt;abbr-1&gt;Plann.Malays.&lt;/abbr-1&gt;&lt;/alt-periodical&gt;&lt;pages&gt;50-62&lt;/pages&gt;&lt;volume&gt;16&lt;/volume&gt;&lt;number&gt;1&lt;/number&gt;&lt;keywords&gt;&lt;keyword&gt;Access restriction&lt;/keyword&gt;&lt;keyword&gt;Freight vehicle&lt;/keyword&gt;&lt;keyword&gt;Sustainable transportation&lt;/keyword&gt;&lt;keyword&gt;Toll way system&lt;/keyword&gt;&lt;/keywords&gt;&lt;dates&gt;&lt;year&gt;2018&lt;/year&gt;&lt;/dates&gt;&lt;publisher&gt;Malaysian Institute Of Planners&lt;/publisher&gt;&lt;isbn&gt;16756215 (ISSN)&lt;/isbn&gt;&lt;work-type&gt;Article&lt;/work-type&gt;&lt;urls&gt;&lt;related-urls&gt;&lt;url&gt;https://www.scopus.com/inward/record.uri?eid=2-s2.0-85050867316&amp;amp;partnerID=40&amp;amp;md5=8ccfd92327b632f9560b112a8bf5fc56&lt;/url&gt;&lt;/related-urls&gt;&lt;/urls&gt;&lt;remote-database-name&gt;Scopus&lt;/remote-database-name&gt;&lt;research-notes&gt;239&lt;/research-notes&gt;&lt;language&gt;English&lt;/language&gt;&lt;/record&gt;&lt;/Cite&gt;&lt;/EndNote&gt;</w:instrText>
            </w:r>
            <w:r>
              <w:rPr>
                <w:sz w:val="22"/>
              </w:rPr>
              <w:fldChar w:fldCharType="separate"/>
            </w:r>
            <w:r w:rsidRPr="007C274E">
              <w:rPr>
                <w:noProof/>
                <w:sz w:val="22"/>
                <w:lang w:val="fr-FR"/>
              </w:rPr>
              <w:t>Yusuf (2018)</w:t>
            </w:r>
            <w:r>
              <w:rPr>
                <w:sz w:val="22"/>
              </w:rPr>
              <w:fldChar w:fldCharType="end"/>
            </w:r>
            <w:r w:rsidRPr="007C274E">
              <w:rPr>
                <w:sz w:val="22"/>
                <w:lang w:val="fr-FR"/>
              </w:rPr>
              <w:t xml:space="preserve">; </w:t>
            </w:r>
            <w:r>
              <w:rPr>
                <w:sz w:val="22"/>
              </w:rPr>
              <w:fldChar w:fldCharType="begin">
                <w:fldData xml:space="preserve">PEVuZE5vdGU+PENpdGUgQXV0aG9yWWVhcj0iMSI+PEF1dGhvcj5NYXJ1am88L0F1dGhvcj48WWVh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==
</w:fldData>
              </w:fldChar>
            </w:r>
            <w:r w:rsidRPr="00E5436C">
              <w:rPr>
                <w:sz w:val="22"/>
                <w:lang w:val="it-IT"/>
              </w:rPr>
              <w:instrText xml:space="preserve"> ADDIN EN.CITE </w:instrText>
            </w:r>
            <w:r>
              <w:rPr>
                <w:sz w:val="22"/>
              </w:rPr>
              <w:fldChar w:fldCharType="begin">
                <w:fldData xml:space="preserve">PEVuZE5vdGU+PENpdGUgQXV0aG9yWWVhcj0iMSI+PEF1dGhvcj5NYXJ1am88L0F1dGhvcj48WWVh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==
</w:fldData>
              </w:fldChar>
            </w:r>
            <w:r w:rsidRPr="00E5436C">
              <w:rPr>
                <w:sz w:val="22"/>
                <w:lang w:val="it-IT"/>
              </w:rPr>
              <w:instrText xml:space="preserve"> ADDIN EN.CITE.DATA </w:instrText>
            </w:r>
            <w:r>
              <w:rPr>
                <w:sz w:val="22"/>
              </w:rPr>
            </w:r>
            <w:r>
              <w:rPr>
                <w:sz w:val="22"/>
              </w:rPr>
              <w:fldChar w:fldCharType="end"/>
            </w:r>
            <w:r>
              <w:rPr>
                <w:sz w:val="22"/>
              </w:rPr>
            </w:r>
            <w:r>
              <w:rPr>
                <w:sz w:val="22"/>
              </w:rPr>
              <w:fldChar w:fldCharType="separate"/>
            </w:r>
            <w:r w:rsidRPr="007C274E">
              <w:rPr>
                <w:noProof/>
                <w:sz w:val="22"/>
                <w:lang w:val="fr-FR"/>
              </w:rPr>
              <w:t xml:space="preserve">Marujo et al. </w:t>
            </w:r>
            <w:r w:rsidRPr="00A04B1C">
              <w:rPr>
                <w:noProof/>
                <w:sz w:val="22"/>
                <w:lang w:val="it-IT"/>
              </w:rPr>
              <w:t>(2018)</w:t>
            </w:r>
            <w:r>
              <w:rPr>
                <w:sz w:val="22"/>
              </w:rPr>
              <w:fldChar w:fldCharType="end"/>
            </w:r>
            <w:r>
              <w:rPr>
                <w:sz w:val="22"/>
                <w:lang w:val="it-IT"/>
              </w:rPr>
              <w:t>;</w:t>
            </w:r>
            <w:r w:rsidRPr="00A04B1C">
              <w:rPr>
                <w:sz w:val="22"/>
                <w:lang w:val="it-IT"/>
              </w:rPr>
              <w:t xml:space="preserve"> </w:t>
            </w:r>
            <w:r>
              <w:rPr>
                <w:sz w:val="22"/>
              </w:rPr>
              <w:fldChar w:fldCharType="begin">
                <w:fldData xml:space="preserve">PEVuZE5vdGU+PENpdGUgQXV0aG9yWWVhcj0iMSI+PEF1dGhvcj5NYXp6YXJpbm88L0F1dGhvcj48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</w:fldData>
              </w:fldChar>
            </w:r>
            <w:r w:rsidRPr="00E5436C">
              <w:rPr>
                <w:sz w:val="22"/>
                <w:lang w:val="it-IT"/>
              </w:rPr>
              <w:instrText xml:space="preserve"> ADDIN EN.CITE </w:instrText>
            </w:r>
            <w:r>
              <w:rPr>
                <w:sz w:val="22"/>
              </w:rPr>
              <w:fldChar w:fldCharType="begin">
                <w:fldData xml:space="preserve">PEVuZE5vdGU+PENpdGUgQXV0aG9yWWVhcj0iMSI+PEF1dGhvcj5NYXp6YXJpbm88L0F1dGhvcj48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</w:fldData>
              </w:fldChar>
            </w:r>
            <w:r w:rsidRPr="00E5436C">
              <w:rPr>
                <w:sz w:val="22"/>
                <w:lang w:val="it-IT"/>
              </w:rPr>
              <w:instrText xml:space="preserve"> ADDIN EN.CITE.DATA </w:instrText>
            </w:r>
            <w:r>
              <w:rPr>
                <w:sz w:val="22"/>
              </w:rPr>
            </w:r>
            <w:r>
              <w:rPr>
                <w:sz w:val="22"/>
              </w:rPr>
              <w:fldChar w:fldCharType="end"/>
            </w:r>
            <w:r>
              <w:rPr>
                <w:sz w:val="22"/>
              </w:rPr>
            </w:r>
            <w:r>
              <w:rPr>
                <w:sz w:val="22"/>
              </w:rPr>
              <w:fldChar w:fldCharType="separate"/>
            </w:r>
            <w:r w:rsidRPr="00A04B1C">
              <w:rPr>
                <w:noProof/>
                <w:sz w:val="22"/>
                <w:lang w:val="it-IT"/>
              </w:rPr>
              <w:t>Mazzarino and Rubini (2019)</w:t>
            </w:r>
            <w:r>
              <w:rPr>
                <w:sz w:val="22"/>
              </w:rPr>
              <w:fldChar w:fldCharType="end"/>
            </w:r>
            <w:r>
              <w:rPr>
                <w:sz w:val="22"/>
                <w:lang w:val="it-IT"/>
              </w:rPr>
              <w:t>;</w:t>
            </w:r>
            <w:r w:rsidRPr="00A04B1C">
              <w:rPr>
                <w:sz w:val="22"/>
                <w:lang w:val="it-IT"/>
              </w:rPr>
              <w:t xml:space="preserve"> </w:t>
            </w:r>
            <w:r>
              <w:rPr>
                <w:sz w:val="22"/>
              </w:rPr>
              <w:fldChar w:fldCharType="begin">
                <w:fldData xml:space="preserve">PEVuZE5vdGU+PENpdGUgQXV0aG9yWWVhcj0iMSI+PEF1dGhvcj5aaGFuZzwvQXV0aG9yPjxZZWFy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</w:fldData>
              </w:fldChar>
            </w:r>
            <w:r w:rsidRPr="00E5436C">
              <w:rPr>
                <w:sz w:val="22"/>
                <w:lang w:val="it-IT"/>
              </w:rPr>
              <w:instrText xml:space="preserve"> ADDIN EN.CITE </w:instrText>
            </w:r>
            <w:r>
              <w:rPr>
                <w:sz w:val="22"/>
              </w:rPr>
              <w:fldChar w:fldCharType="begin">
                <w:fldData xml:space="preserve">PEVuZE5vdGU+PENpdGUgQXV0aG9yWWVhcj0iMSI+PEF1dGhvcj5aaGFuZzwvQXV0aG9yPjxZZWFy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</w:fldData>
              </w:fldChar>
            </w:r>
            <w:r w:rsidRPr="00E5436C">
              <w:rPr>
                <w:sz w:val="22"/>
                <w:lang w:val="it-IT"/>
              </w:rPr>
              <w:instrText xml:space="preserve"> ADDIN EN.CITE.DATA </w:instrText>
            </w:r>
            <w:r>
              <w:rPr>
                <w:sz w:val="22"/>
              </w:rPr>
            </w:r>
            <w:r>
              <w:rPr>
                <w:sz w:val="22"/>
              </w:rPr>
              <w:fldChar w:fldCharType="end"/>
            </w:r>
            <w:r>
              <w:rPr>
                <w:sz w:val="22"/>
              </w:rPr>
            </w:r>
            <w:r>
              <w:rPr>
                <w:sz w:val="22"/>
              </w:rPr>
              <w:fldChar w:fldCharType="separate"/>
            </w:r>
            <w:r w:rsidRPr="00A04B1C">
              <w:rPr>
                <w:noProof/>
                <w:sz w:val="22"/>
                <w:lang w:val="it-IT"/>
              </w:rPr>
              <w:t>Zhang et al. (2019)</w:t>
            </w:r>
            <w:r>
              <w:rPr>
                <w:sz w:val="22"/>
              </w:rPr>
              <w:fldChar w:fldCharType="end"/>
            </w:r>
          </w:p>
        </w:tc>
        <w:tc>
          <w:tcPr>
            <w:tcW w:w="682" w:type="pct"/>
            <w:vAlign w:val="center"/>
          </w:tcPr>
          <w:p w14:paraId="29F73FB6" w14:textId="77777777" w:rsidR="005344D0" w:rsidRPr="00081D74" w:rsidRDefault="005344D0" w:rsidP="006E32A1">
            <w:pPr>
              <w:spacing w:line="240" w:lineRule="auto"/>
              <w:jc w:val="center"/>
              <w:rPr>
                <w:sz w:val="22"/>
                <w:lang w:val="fr-FR"/>
              </w:rPr>
            </w:pPr>
            <w:r w:rsidRPr="00081D74">
              <w:rPr>
                <w:sz w:val="22"/>
                <w:lang w:val="fr-FR"/>
              </w:rPr>
              <w:t>10</w:t>
            </w:r>
          </w:p>
        </w:tc>
      </w:tr>
      <w:tr w:rsidR="005344D0" w:rsidRPr="00081D74" w14:paraId="58CD4E3A" w14:textId="77777777" w:rsidTr="006E32A1">
        <w:tc>
          <w:tcPr>
            <w:tcW w:w="1108" w:type="pct"/>
            <w:vAlign w:val="center"/>
          </w:tcPr>
          <w:p w14:paraId="668D1604" w14:textId="77777777" w:rsidR="005344D0" w:rsidRPr="00081D74" w:rsidRDefault="005344D0" w:rsidP="006E32A1">
            <w:pPr>
              <w:spacing w:line="240" w:lineRule="auto"/>
              <w:jc w:val="left"/>
              <w:rPr>
                <w:sz w:val="22"/>
                <w:lang w:val="fr-FR"/>
              </w:rPr>
            </w:pPr>
            <w:proofErr w:type="spellStart"/>
            <w:r>
              <w:rPr>
                <w:sz w:val="22"/>
                <w:lang w:val="fr-FR"/>
              </w:rPr>
              <w:t>Logistics</w:t>
            </w:r>
            <w:proofErr w:type="spellEnd"/>
            <w:r>
              <w:rPr>
                <w:sz w:val="22"/>
                <w:lang w:val="fr-FR"/>
              </w:rPr>
              <w:t xml:space="preserve"> </w:t>
            </w:r>
            <w:proofErr w:type="spellStart"/>
            <w:r>
              <w:rPr>
                <w:sz w:val="22"/>
                <w:lang w:val="fr-FR"/>
              </w:rPr>
              <w:t>c</w:t>
            </w:r>
            <w:r w:rsidRPr="00081D74">
              <w:rPr>
                <w:sz w:val="22"/>
                <w:lang w:val="fr-FR"/>
              </w:rPr>
              <w:t>ost</w:t>
            </w:r>
            <w:proofErr w:type="spellEnd"/>
          </w:p>
        </w:tc>
        <w:tc>
          <w:tcPr>
            <w:tcW w:w="3210" w:type="pct"/>
          </w:tcPr>
          <w:p w14:paraId="4D9289A5" w14:textId="77777777" w:rsidR="005344D0" w:rsidRPr="00A04B1C" w:rsidRDefault="005344D0" w:rsidP="006E32A1">
            <w:pPr>
              <w:spacing w:line="240" w:lineRule="auto"/>
              <w:rPr>
                <w:sz w:val="22"/>
                <w:lang w:val="it-IT"/>
              </w:rPr>
            </w:pPr>
            <w:r w:rsidRPr="003504BA">
              <w:rPr>
                <w:sz w:val="22"/>
              </w:rPr>
              <w:fldChar w:fldCharType="begin">
                <w:fldData xml:space="preserve">PEVuZE5vdGU+PENpdGUgQXV0aG9yWWVhcj0iMSI+PEF1dGhvcj5GaWdsaW96emk8L0F1dGhvcj48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</w:fldData>
              </w:fldChar>
            </w:r>
            <w:r w:rsidRPr="007C274E">
              <w:rPr>
                <w:sz w:val="22"/>
                <w:lang w:val="it-IT"/>
              </w:rPr>
              <w:instrText xml:space="preserve"> ADDIN EN.CITE </w:instrText>
            </w:r>
            <w:r>
              <w:rPr>
                <w:sz w:val="22"/>
              </w:rPr>
              <w:fldChar w:fldCharType="begin">
                <w:fldData xml:space="preserve">PEVuZE5vdGU+PENpdGUgQXV0aG9yWWVhcj0iMSI+PEF1dGhvcj5GaWdsaW96emk8L0F1dGhvcj48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</w:fldData>
              </w:fldChar>
            </w:r>
            <w:r w:rsidRPr="007C274E">
              <w:rPr>
                <w:sz w:val="22"/>
                <w:lang w:val="it-IT"/>
              </w:rPr>
              <w:instrText xml:space="preserve"> ADDIN EN.CITE.DATA </w:instrText>
            </w:r>
            <w:r>
              <w:rPr>
                <w:sz w:val="22"/>
              </w:rPr>
            </w:r>
            <w:r>
              <w:rPr>
                <w:sz w:val="22"/>
              </w:rPr>
              <w:fldChar w:fldCharType="end"/>
            </w:r>
            <w:r w:rsidRPr="003504BA">
              <w:rPr>
                <w:sz w:val="22"/>
              </w:rPr>
            </w:r>
            <w:r w:rsidRPr="003504BA">
              <w:rPr>
                <w:sz w:val="22"/>
              </w:rPr>
              <w:fldChar w:fldCharType="separate"/>
            </w:r>
            <w:r w:rsidRPr="00A04B1C">
              <w:rPr>
                <w:noProof/>
                <w:sz w:val="22"/>
                <w:lang w:val="it-IT"/>
              </w:rPr>
              <w:t>Figliozzi (2010)</w:t>
            </w:r>
            <w:r w:rsidRPr="003504BA">
              <w:rPr>
                <w:sz w:val="22"/>
              </w:rPr>
              <w:fldChar w:fldCharType="end"/>
            </w:r>
            <w:r>
              <w:rPr>
                <w:sz w:val="22"/>
                <w:lang w:val="it-IT"/>
              </w:rPr>
              <w:t>;</w:t>
            </w:r>
            <w:r w:rsidRPr="007741AE">
              <w:rPr>
                <w:sz w:val="22"/>
                <w:lang w:val="it-IT"/>
              </w:rPr>
              <w:t xml:space="preserve"> </w:t>
            </w:r>
            <w:r w:rsidRPr="003504BA">
              <w:rPr>
                <w:sz w:val="22"/>
              </w:rPr>
              <w:fldChar w:fldCharType="begin"/>
            </w:r>
            <w:r w:rsidRPr="00E5436C">
              <w:rPr>
                <w:sz w:val="22"/>
                <w:lang w:val="it-IT"/>
              </w:rPr>
              <w:instrText xml:space="preserve"> ADDIN EN.CITE &lt;EndNote&gt;&lt;Cite AuthorYear="1"&gt;&lt;Author&gt;Flamini&lt;/Author&gt;&lt;Year&gt;2011&lt;/Year&gt;&lt;RecNum&gt;121&lt;/RecNum&gt;&lt;DisplayText&gt;Flamini et al. (2011)&lt;/DisplayText&gt;&lt;record&gt;&lt;rec-number&gt;121&lt;/rec-number&gt;&lt;foreign-keys&gt;&lt;key app="EN" db-id="pzt5ep52hsedfpeext2pdfes0w0aswaewef2" timestamp="1605187994"&gt;121&lt;/key&gt;&lt;/foreign-keys&gt;&lt;ref-type name="Journal Article"&gt;17&lt;/ref-type&gt;&lt;contributors&gt;&lt;authors&gt;&lt;author&gt;Flamini, Marta&lt;/author&gt;&lt;author&gt;Nigro, Marialisa&lt;/author&gt;&lt;author&gt;Pacciarelli, Dario&lt;/author&gt;&lt;/authors&gt;&lt;/contributors&gt;&lt;titles&gt;&lt;title&gt;Assessing the value of information for retail distribution of perishable goods&lt;/title&gt;&lt;secondary-title&gt;European Transport Research Review&lt;/secondary-title&gt;&lt;/titles&gt;&lt;periodical&gt;&lt;full-title&gt;European Transport Research Review&lt;/full-title&gt;&lt;abbr-1&gt;Eur. Transp. Res. Rev.&lt;/abbr-1&gt;&lt;/periodical&gt;&lt;pages&gt;103-112&lt;/pages&gt;&lt;volume&gt;3&lt;/volume&gt;&lt;number&gt;2&lt;/number&gt;&lt;dates&gt;&lt;year&gt;2011&lt;/year&gt;&lt;pub-dates&gt;&lt;date&gt;2011/07/01&lt;/date&gt;&lt;/pub-dates&gt;&lt;/dates&gt;&lt;isbn&gt;1866-8887&lt;/isbn&gt;&lt;urls&gt;&lt;related-urls&gt;&lt;url&gt;https://doi.org/10.1007/s12544-011-0051-8&lt;/url&gt;&lt;url&gt;https://etrr.springeropen.com/track/pdf/10.1007/s12544-011-0051-8&lt;/url&gt;&lt;/related-urls&gt;&lt;/urls&gt;&lt;electronic-resource-num&gt;10.1007/s12544-011-0051-8&lt;/electronic-resource-num&gt;&lt;research-notes&gt;45&lt;/research-notes&gt;&lt;/record&gt;&lt;/Cite&gt;&lt;/EndNote&gt;</w:instrText>
            </w:r>
            <w:r w:rsidRPr="003504BA">
              <w:rPr>
                <w:sz w:val="22"/>
              </w:rPr>
              <w:fldChar w:fldCharType="separate"/>
            </w:r>
            <w:r w:rsidRPr="00A04B1C">
              <w:rPr>
                <w:noProof/>
                <w:sz w:val="22"/>
                <w:lang w:val="it-IT"/>
              </w:rPr>
              <w:t>Flamini et al. (2011)</w:t>
            </w:r>
            <w:r w:rsidRPr="003504BA">
              <w:rPr>
                <w:sz w:val="22"/>
              </w:rPr>
              <w:fldChar w:fldCharType="end"/>
            </w:r>
            <w:r>
              <w:rPr>
                <w:sz w:val="22"/>
                <w:lang w:val="it-IT"/>
              </w:rPr>
              <w:t>;</w:t>
            </w:r>
            <w:r w:rsidRPr="007741AE">
              <w:rPr>
                <w:sz w:val="22"/>
                <w:lang w:val="it-IT"/>
              </w:rPr>
              <w:t xml:space="preserve"> </w:t>
            </w:r>
            <w:r>
              <w:rPr>
                <w:sz w:val="22"/>
              </w:rPr>
              <w:fldChar w:fldCharType="begin">
                <w:fldData xml:space="preserve">PEVuZE5vdGU+PENpdGUgQXV0aG9yWWVhcj0iMSI+PEF1dGhvcj5NdW51enVyaTwvQXV0aG9yPjxZ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</w:fldData>
              </w:fldChar>
            </w:r>
            <w:r w:rsidRPr="00E5436C">
              <w:rPr>
                <w:sz w:val="22"/>
                <w:lang w:val="it-IT"/>
              </w:rPr>
              <w:instrText xml:space="preserve"> ADDIN EN.CITE </w:instrText>
            </w:r>
            <w:r>
              <w:rPr>
                <w:sz w:val="22"/>
              </w:rPr>
              <w:fldChar w:fldCharType="begin">
                <w:fldData xml:space="preserve">PEVuZE5vdGU+PENpdGUgQXV0aG9yWWVhcj0iMSI+PEF1dGhvcj5NdW51enVyaTwvQXV0aG9yPjxZ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</w:fldData>
              </w:fldChar>
            </w:r>
            <w:r w:rsidRPr="00E5436C">
              <w:rPr>
                <w:sz w:val="22"/>
                <w:lang w:val="it-IT"/>
              </w:rPr>
              <w:instrText xml:space="preserve"> ADDIN EN.CITE.DATA </w:instrText>
            </w:r>
            <w:r>
              <w:rPr>
                <w:sz w:val="22"/>
              </w:rPr>
            </w:r>
            <w:r>
              <w:rPr>
                <w:sz w:val="22"/>
              </w:rPr>
              <w:fldChar w:fldCharType="end"/>
            </w:r>
            <w:r>
              <w:rPr>
                <w:sz w:val="22"/>
              </w:rPr>
            </w:r>
            <w:r>
              <w:rPr>
                <w:sz w:val="22"/>
              </w:rPr>
              <w:fldChar w:fldCharType="separate"/>
            </w:r>
            <w:r w:rsidRPr="00A04B1C">
              <w:rPr>
                <w:noProof/>
                <w:sz w:val="22"/>
                <w:lang w:val="it-IT"/>
              </w:rPr>
              <w:t xml:space="preserve">Munuzuri et al. </w:t>
            </w:r>
            <w:r w:rsidRPr="00036AB6">
              <w:rPr>
                <w:noProof/>
                <w:sz w:val="22"/>
                <w:lang w:val="fr-FR"/>
              </w:rPr>
              <w:t>(2012)</w:t>
            </w:r>
            <w:r>
              <w:rPr>
                <w:sz w:val="22"/>
              </w:rPr>
              <w:fldChar w:fldCharType="end"/>
            </w:r>
            <w:r w:rsidRPr="00036AB6">
              <w:rPr>
                <w:sz w:val="22"/>
                <w:lang w:val="fr-FR"/>
              </w:rPr>
              <w:t xml:space="preserve">; </w:t>
            </w:r>
            <w:r w:rsidRPr="003504BA">
              <w:rPr>
                <w:sz w:val="22"/>
              </w:rPr>
              <w:fldChar w:fldCharType="begin">
                <w:fldData xml:space="preserve">PEVuZE5vdGU+PENpdGUgQXV0aG9yWWVhcj0iMSI+PEF1dGhvcj5HcmVlbjwvQXV0aG9yPjxZZWFy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</w:fldData>
              </w:fldChar>
            </w:r>
            <w:r w:rsidRPr="00E5436C">
              <w:rPr>
                <w:sz w:val="22"/>
                <w:lang w:val="it-IT"/>
              </w:rPr>
              <w:instrText xml:space="preserve"> ADDIN EN.CITE </w:instrText>
            </w:r>
            <w:r>
              <w:rPr>
                <w:sz w:val="22"/>
              </w:rPr>
              <w:fldChar w:fldCharType="begin">
                <w:fldData xml:space="preserve">PEVuZE5vdGU+PENpdGUgQXV0aG9yWWVhcj0iMSI+PEF1dGhvcj5HcmVlbjwvQXV0aG9yPjxZZWFy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</w:fldData>
              </w:fldChar>
            </w:r>
            <w:r w:rsidRPr="00E5436C">
              <w:rPr>
                <w:sz w:val="22"/>
                <w:lang w:val="it-IT"/>
              </w:rPr>
              <w:instrText xml:space="preserve"> ADDIN EN.CITE.DATA </w:instrText>
            </w:r>
            <w:r>
              <w:rPr>
                <w:sz w:val="22"/>
              </w:rPr>
            </w:r>
            <w:r>
              <w:rPr>
                <w:sz w:val="22"/>
              </w:rPr>
              <w:fldChar w:fldCharType="end"/>
            </w:r>
            <w:r w:rsidRPr="003504BA">
              <w:rPr>
                <w:sz w:val="22"/>
              </w:rPr>
            </w:r>
            <w:r w:rsidRPr="003504BA">
              <w:rPr>
                <w:sz w:val="22"/>
              </w:rPr>
              <w:fldChar w:fldCharType="separate"/>
            </w:r>
            <w:r w:rsidRPr="00036AB6">
              <w:rPr>
                <w:noProof/>
                <w:sz w:val="22"/>
                <w:lang w:val="fr-FR"/>
              </w:rPr>
              <w:t>Green et al. (2013)</w:t>
            </w:r>
            <w:r w:rsidRPr="003504BA">
              <w:rPr>
                <w:sz w:val="22"/>
              </w:rPr>
              <w:fldChar w:fldCharType="end"/>
            </w:r>
            <w:r w:rsidRPr="00036AB6">
              <w:rPr>
                <w:sz w:val="22"/>
                <w:lang w:val="fr-FR"/>
              </w:rPr>
              <w:t xml:space="preserve">; </w:t>
            </w:r>
            <w:r w:rsidRPr="003504BA">
              <w:rPr>
                <w:sz w:val="22"/>
              </w:rPr>
              <w:fldChar w:fldCharType="begin"/>
            </w:r>
            <w:r w:rsidRPr="00E5436C">
              <w:rPr>
                <w:sz w:val="22"/>
                <w:lang w:val="it-IT"/>
              </w:rPr>
              <w:instrText xml:space="preserve"> ADDIN EN.CITE &lt;EndNote&gt;&lt;Cite AuthorYear="1"&gt;&lt;Author&gt;Grosso&lt;/Author&gt;&lt;Year&gt;2014&lt;/Year&gt;&lt;RecNum&gt;123&lt;/RecNum&gt;&lt;DisplayText&gt;Grosso et al. (2014)&lt;/DisplayText&gt;&lt;record&gt;&lt;rec-number&gt;123&lt;/rec-number&gt;&lt;foreign-keys&gt;&lt;key app="EN" db-id="pzt5ep52hsedfpeext2pdfes0w0aswaewef2" timestamp="1605187994"&gt;123&lt;/key&gt;&lt;/foreign-keys&gt;&lt;ref-type name="Journal Article"&gt;17&lt;/ref-type&gt;&lt;contributors&gt;&lt;authors&gt;&lt;author&gt;Grosso, R.&lt;/author&gt;&lt;author&gt;Muñuzuri, J.&lt;/author&gt;&lt;author&gt;Cortes, P.&lt;/author&gt;&lt;author&gt;Carrillo, J.&lt;/author&gt;&lt;/authors&gt;&lt;/contributors&gt;&lt;auth-address&gt;Dpto. de Organización Industrial y Gestión de Empresas II, ETSI. Universidad de Sevilla, Camino de los Descubrimientos, s/n. Isla de la Cartuja, 41092, Seville, Spain&lt;/auth-address&gt;&lt;titles&gt;&lt;title&gt;City logistics: Are sustainability policies really sustainable?&lt;/title&gt;&lt;secondary-title&gt;Direccion y Organizacion&lt;/secondary-title&gt;&lt;alt-title&gt;Dir. Organ.&lt;/alt-title&gt;&lt;/titles&gt;&lt;periodical&gt;&lt;full-title&gt;Direccion y Organizacion&lt;/full-title&gt;&lt;abbr-1&gt;Dir. Organ.&lt;/abbr-1&gt;&lt;/periodical&gt;&lt;alt-periodical&gt;&lt;full-title&gt;Direccion y Organizacion&lt;/full-title&gt;&lt;abbr-1&gt;Dir. Organ.&lt;/abbr-1&gt;&lt;/alt-periodical&gt;&lt;pages&gt;45-50&lt;/pages&gt;&lt;volume&gt;53&lt;/volume&gt;&lt;keywords&gt;&lt;keyword&gt;Access time windows&lt;/keyword&gt;&lt;keyword&gt;City centers&lt;/keyword&gt;&lt;keyword&gt;City logistic&lt;/keyword&gt;&lt;keyword&gt;Genetic algorithms&lt;/keyword&gt;&lt;keyword&gt;Sustainable policies&lt;/keyword&gt;&lt;keyword&gt;Vehicle routing&lt;/keyword&gt;&lt;/keywords&gt;&lt;dates&gt;&lt;year&gt;2014&lt;/year&gt;&lt;/dates&gt;&lt;publisher&gt;Universidad Politecnica de Madrid&lt;/publisher&gt;&lt;isbn&gt;1132175X (ISSN)&lt;/isbn&gt;&lt;work-type&gt;Article&lt;/work-type&gt;&lt;urls&gt;&lt;related-urls&gt;&lt;url&gt;https://www.scopus.com/inward/record.uri?eid=2-s2.0-84905453317&amp;amp;partnerID=40&amp;amp;md5=eaf01d7e1df3b6f5def71298398f60ba&lt;/url&gt;&lt;/related-urls&gt;&lt;/urls&gt;&lt;remote-database-name&gt;Scopus&lt;/remote-database-name&gt;&lt;research-notes&gt;89&lt;/research-notes&gt;&lt;language&gt;English&lt;/language&gt;&lt;/record&gt;&lt;/Cite&gt;&lt;/EndNote&gt;</w:instrText>
            </w:r>
            <w:r w:rsidRPr="003504BA">
              <w:rPr>
                <w:sz w:val="22"/>
              </w:rPr>
              <w:fldChar w:fldCharType="separate"/>
            </w:r>
            <w:r w:rsidRPr="00036AB6">
              <w:rPr>
                <w:noProof/>
                <w:sz w:val="22"/>
                <w:lang w:val="fr-FR"/>
              </w:rPr>
              <w:t>Grosso et al. (2014)</w:t>
            </w:r>
            <w:r w:rsidRPr="003504BA">
              <w:rPr>
                <w:sz w:val="22"/>
              </w:rPr>
              <w:fldChar w:fldCharType="end"/>
            </w:r>
            <w:r w:rsidRPr="00036AB6">
              <w:rPr>
                <w:sz w:val="22"/>
                <w:lang w:val="fr-FR"/>
              </w:rPr>
              <w:t xml:space="preserve">; </w:t>
            </w:r>
            <w:r>
              <w:rPr>
                <w:sz w:val="22"/>
              </w:rPr>
              <w:fldChar w:fldCharType="begin">
                <w:fldData xml:space="preserve">PEVuZE5vdGU+PENpdGUgQXV0aG9yWWVhcj0iMSI+PEF1dGhvcj5Lb8OnPC9BdXRob3I+PFllYXI+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</w:fldData>
              </w:fldChar>
            </w:r>
            <w:r w:rsidRPr="00E5436C">
              <w:rPr>
                <w:sz w:val="22"/>
                <w:lang w:val="it-IT"/>
              </w:rPr>
              <w:instrText xml:space="preserve"> ADDIN EN.CITE </w:instrText>
            </w:r>
            <w:r>
              <w:rPr>
                <w:sz w:val="22"/>
              </w:rPr>
              <w:fldChar w:fldCharType="begin">
                <w:fldData xml:space="preserve">PEVuZE5vdGU+PENpdGUgQXV0aG9yWWVhcj0iMSI+PEF1dGhvcj5Lb8OnPC9BdXRob3I+PFllYXI+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</w:fldData>
              </w:fldChar>
            </w:r>
            <w:r w:rsidRPr="00E5436C">
              <w:rPr>
                <w:sz w:val="22"/>
                <w:lang w:val="it-IT"/>
              </w:rPr>
              <w:instrText xml:space="preserve"> ADDIN EN.CITE.DATA </w:instrText>
            </w:r>
            <w:r>
              <w:rPr>
                <w:sz w:val="22"/>
              </w:rPr>
            </w:r>
            <w:r>
              <w:rPr>
                <w:sz w:val="22"/>
              </w:rPr>
              <w:fldChar w:fldCharType="end"/>
            </w:r>
            <w:r>
              <w:rPr>
                <w:sz w:val="22"/>
              </w:rPr>
            </w:r>
            <w:r>
              <w:rPr>
                <w:sz w:val="22"/>
              </w:rPr>
              <w:fldChar w:fldCharType="separate"/>
            </w:r>
            <w:r w:rsidRPr="00036AB6">
              <w:rPr>
                <w:noProof/>
                <w:sz w:val="22"/>
                <w:lang w:val="fr-FR"/>
              </w:rPr>
              <w:t>Koç et al. (2016)</w:t>
            </w:r>
            <w:r>
              <w:rPr>
                <w:sz w:val="22"/>
              </w:rPr>
              <w:fldChar w:fldCharType="end"/>
            </w:r>
            <w:r w:rsidRPr="00036AB6">
              <w:rPr>
                <w:sz w:val="22"/>
                <w:lang w:val="fr-FR"/>
              </w:rPr>
              <w:t xml:space="preserve">; </w:t>
            </w:r>
            <w:r>
              <w:rPr>
                <w:sz w:val="22"/>
              </w:rPr>
              <w:fldChar w:fldCharType="begin">
                <w:fldData xml:space="preserve">PEVuZE5vdGU+PENpdGUgQXV0aG9yWWVhcj0iMSI+PEF1dGhvcj5MaTwvQXV0aG9yPjxZZWFyPjIw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=
</w:fldData>
              </w:fldChar>
            </w:r>
            <w:r w:rsidRPr="00E5436C">
              <w:rPr>
                <w:sz w:val="22"/>
                <w:lang w:val="it-IT"/>
              </w:rPr>
              <w:instrText xml:space="preserve"> ADDIN EN.CITE </w:instrText>
            </w:r>
            <w:r>
              <w:rPr>
                <w:sz w:val="22"/>
              </w:rPr>
              <w:fldChar w:fldCharType="begin">
                <w:fldData xml:space="preserve">PEVuZE5vdGU+PENpdGUgQXV0aG9yWWVhcj0iMSI+PEF1dGhvcj5MaTwvQXV0aG9yPjxZZWFyPjIw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=
</w:fldData>
              </w:fldChar>
            </w:r>
            <w:r w:rsidRPr="00E5436C">
              <w:rPr>
                <w:sz w:val="22"/>
                <w:lang w:val="it-IT"/>
              </w:rPr>
              <w:instrText xml:space="preserve"> ADDIN EN.CITE.DATA </w:instrText>
            </w:r>
            <w:r>
              <w:rPr>
                <w:sz w:val="22"/>
              </w:rPr>
            </w:r>
            <w:r>
              <w:rPr>
                <w:sz w:val="22"/>
              </w:rPr>
              <w:fldChar w:fldCharType="end"/>
            </w:r>
            <w:r>
              <w:rPr>
                <w:sz w:val="22"/>
              </w:rPr>
            </w:r>
            <w:r>
              <w:rPr>
                <w:sz w:val="22"/>
              </w:rPr>
              <w:fldChar w:fldCharType="separate"/>
            </w:r>
            <w:r w:rsidRPr="00036AB6">
              <w:rPr>
                <w:noProof/>
                <w:sz w:val="22"/>
                <w:lang w:val="fr-FR"/>
              </w:rPr>
              <w:t>Li et al. (2018)</w:t>
            </w:r>
            <w:r>
              <w:rPr>
                <w:sz w:val="22"/>
              </w:rPr>
              <w:fldChar w:fldCharType="end"/>
            </w:r>
            <w:r w:rsidRPr="00036AB6">
              <w:rPr>
                <w:sz w:val="22"/>
                <w:lang w:val="fr-FR"/>
              </w:rPr>
              <w:t xml:space="preserve">; </w:t>
            </w:r>
            <w:r>
              <w:rPr>
                <w:sz w:val="22"/>
              </w:rPr>
              <w:fldChar w:fldCharType="begin">
                <w:fldData xml:space="preserve">PEVuZE5vdGU+PENpdGUgQXV0aG9yWWVhcj0iMSI+PEF1dGhvcj5NYXJ1am88L0F1dGhvcj48WWVh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==
</w:fldData>
              </w:fldChar>
            </w:r>
            <w:r w:rsidRPr="007A38D6">
              <w:rPr>
                <w:sz w:val="22"/>
                <w:lang w:val="it-IT"/>
              </w:rPr>
              <w:instrText xml:space="preserve"> ADDIN EN.CITE </w:instrText>
            </w:r>
            <w:r>
              <w:rPr>
                <w:sz w:val="22"/>
              </w:rPr>
              <w:fldChar w:fldCharType="begin">
                <w:fldData xml:space="preserve">PEVuZE5vdGU+PENpdGUgQXV0aG9yWWVhcj0iMSI+PEF1dGhvcj5NYXJ1am88L0F1dGhvcj48WWVh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==
</w:fldData>
              </w:fldChar>
            </w:r>
            <w:r w:rsidRPr="007A38D6">
              <w:rPr>
                <w:sz w:val="22"/>
                <w:lang w:val="it-IT"/>
              </w:rPr>
              <w:instrText xml:space="preserve"> ADDIN EN.CITE.DATA </w:instrText>
            </w:r>
            <w:r>
              <w:rPr>
                <w:sz w:val="22"/>
              </w:rPr>
            </w:r>
            <w:r>
              <w:rPr>
                <w:sz w:val="22"/>
              </w:rPr>
              <w:fldChar w:fldCharType="end"/>
            </w:r>
            <w:r>
              <w:rPr>
                <w:sz w:val="22"/>
              </w:rPr>
            </w:r>
            <w:r>
              <w:rPr>
                <w:sz w:val="22"/>
              </w:rPr>
              <w:fldChar w:fldCharType="separate"/>
            </w:r>
            <w:r w:rsidRPr="00036AB6">
              <w:rPr>
                <w:noProof/>
                <w:sz w:val="22"/>
                <w:lang w:val="fr-FR"/>
              </w:rPr>
              <w:t>Marujo et al. (2018)</w:t>
            </w:r>
            <w:r>
              <w:rPr>
                <w:sz w:val="22"/>
              </w:rPr>
              <w:fldChar w:fldCharType="end"/>
            </w:r>
            <w:r w:rsidRPr="00036AB6">
              <w:rPr>
                <w:sz w:val="22"/>
                <w:lang w:val="fr-FR"/>
              </w:rPr>
              <w:t xml:space="preserve">; </w:t>
            </w:r>
            <w:r>
              <w:rPr>
                <w:sz w:val="22"/>
              </w:rPr>
              <w:fldChar w:fldCharType="begin">
                <w:fldData xml:space="preserve">PEVuZE5vdGU+PENpdGUgQXV0aG9yWWVhcj0iMSI+PEF1dGhvcj5Nb21tZW5zPC9BdXRob3I+PFll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</w:fldData>
              </w:fldChar>
            </w:r>
            <w:r w:rsidRPr="007A38D6">
              <w:rPr>
                <w:sz w:val="22"/>
                <w:lang w:val="it-IT"/>
              </w:rPr>
              <w:instrText xml:space="preserve"> ADDIN EN.CITE </w:instrText>
            </w:r>
            <w:r>
              <w:rPr>
                <w:sz w:val="22"/>
              </w:rPr>
              <w:fldChar w:fldCharType="begin">
                <w:fldData xml:space="preserve">PEVuZE5vdGU+PENpdGUgQXV0aG9yWWVhcj0iMSI+PEF1dGhvcj5Nb21tZW5zPC9BdXRob3I+PFll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</w:fldData>
              </w:fldChar>
            </w:r>
            <w:r w:rsidRPr="007A38D6">
              <w:rPr>
                <w:sz w:val="22"/>
                <w:lang w:val="it-IT"/>
              </w:rPr>
              <w:instrText xml:space="preserve"> ADDIN EN.CITE.DATA </w:instrText>
            </w:r>
            <w:r>
              <w:rPr>
                <w:sz w:val="22"/>
              </w:rPr>
            </w:r>
            <w:r>
              <w:rPr>
                <w:sz w:val="22"/>
              </w:rPr>
              <w:fldChar w:fldCharType="end"/>
            </w:r>
            <w:r>
              <w:rPr>
                <w:sz w:val="22"/>
              </w:rPr>
            </w:r>
            <w:r>
              <w:rPr>
                <w:sz w:val="22"/>
              </w:rPr>
              <w:fldChar w:fldCharType="separate"/>
            </w:r>
            <w:r w:rsidRPr="00036AB6">
              <w:rPr>
                <w:noProof/>
                <w:sz w:val="22"/>
                <w:lang w:val="fr-FR"/>
              </w:rPr>
              <w:t xml:space="preserve">Mommens et al. </w:t>
            </w:r>
            <w:r w:rsidRPr="00BA4FBE">
              <w:rPr>
                <w:noProof/>
                <w:sz w:val="22"/>
                <w:lang w:val="it-IT"/>
              </w:rPr>
              <w:t>(2018)</w:t>
            </w:r>
            <w:r>
              <w:rPr>
                <w:sz w:val="22"/>
              </w:rPr>
              <w:fldChar w:fldCharType="end"/>
            </w:r>
            <w:r>
              <w:rPr>
                <w:sz w:val="22"/>
                <w:lang w:val="it-IT"/>
              </w:rPr>
              <w:t>;</w:t>
            </w:r>
            <w:r w:rsidRPr="00A04B1C">
              <w:rPr>
                <w:sz w:val="22"/>
                <w:lang w:val="it-IT"/>
              </w:rPr>
              <w:t xml:space="preserve"> </w:t>
            </w:r>
            <w:r>
              <w:rPr>
                <w:sz w:val="22"/>
              </w:rPr>
              <w:fldChar w:fldCharType="begin">
                <w:fldData xml:space="preserve">PEVuZE5vdGU+PENpdGUgQXV0aG9yWWVhcj0iMSI+PEF1dGhvcj5aaGFuZzwvQXV0aG9yPjxZZWFy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</w:fldData>
              </w:fldChar>
            </w:r>
            <w:r>
              <w:rPr>
                <w:sz w:val="22"/>
              </w:rPr>
              <w:instrText xml:space="preserve"> ADDIN EN.CITE </w:instrText>
            </w:r>
            <w:r>
              <w:rPr>
                <w:sz w:val="22"/>
              </w:rPr>
              <w:fldChar w:fldCharType="begin">
                <w:fldData xml:space="preserve">PEVuZE5vdGU+PENpdGUgQXV0aG9yWWVhcj0iMSI+PEF1dGhvcj5aaGFuZzwvQXV0aG9yPjxZZWFy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</w:fldData>
              </w:fldChar>
            </w:r>
            <w:r>
              <w:rPr>
                <w:sz w:val="22"/>
              </w:rPr>
              <w:instrText xml:space="preserve"> ADDIN EN.CITE.DATA </w:instrText>
            </w:r>
            <w:r>
              <w:rPr>
                <w:sz w:val="22"/>
              </w:rPr>
            </w:r>
            <w:r>
              <w:rPr>
                <w:sz w:val="22"/>
              </w:rPr>
              <w:fldChar w:fldCharType="end"/>
            </w:r>
            <w:r>
              <w:rPr>
                <w:sz w:val="22"/>
              </w:rPr>
            </w:r>
            <w:r>
              <w:rPr>
                <w:sz w:val="22"/>
              </w:rPr>
              <w:fldChar w:fldCharType="separate"/>
            </w:r>
            <w:r w:rsidRPr="00BA4FBE">
              <w:rPr>
                <w:noProof/>
                <w:sz w:val="22"/>
                <w:lang w:val="it-IT"/>
              </w:rPr>
              <w:t>Zhang et al. (2019)</w:t>
            </w:r>
            <w:r>
              <w:rPr>
                <w:sz w:val="22"/>
              </w:rPr>
              <w:fldChar w:fldCharType="end"/>
            </w:r>
            <w:r w:rsidRPr="00A04B1C">
              <w:rPr>
                <w:rFonts w:hint="eastAsia"/>
                <w:sz w:val="22"/>
                <w:lang w:val="it-IT"/>
              </w:rPr>
              <w:t>.</w:t>
            </w:r>
          </w:p>
        </w:tc>
        <w:tc>
          <w:tcPr>
            <w:tcW w:w="682" w:type="pct"/>
            <w:vAlign w:val="center"/>
          </w:tcPr>
          <w:p w14:paraId="09B751E4" w14:textId="77777777" w:rsidR="005344D0" w:rsidRPr="00081D74" w:rsidRDefault="005344D0" w:rsidP="006E32A1">
            <w:pPr>
              <w:spacing w:line="240" w:lineRule="auto"/>
              <w:jc w:val="center"/>
              <w:rPr>
                <w:sz w:val="22"/>
                <w:lang w:val="fr-FR"/>
              </w:rPr>
            </w:pPr>
            <w:r w:rsidRPr="00081D74">
              <w:rPr>
                <w:sz w:val="22"/>
                <w:lang w:val="fr-FR"/>
              </w:rPr>
              <w:t>10</w:t>
            </w:r>
          </w:p>
        </w:tc>
      </w:tr>
      <w:tr w:rsidR="005344D0" w:rsidRPr="00081D74" w14:paraId="1C7BFAC5" w14:textId="77777777" w:rsidTr="006E32A1">
        <w:tc>
          <w:tcPr>
            <w:tcW w:w="1108" w:type="pct"/>
            <w:vAlign w:val="center"/>
          </w:tcPr>
          <w:p w14:paraId="573EDBF7" w14:textId="77777777" w:rsidR="005344D0" w:rsidRPr="00081D74" w:rsidRDefault="005344D0" w:rsidP="006E32A1">
            <w:pPr>
              <w:spacing w:line="240" w:lineRule="auto"/>
              <w:jc w:val="left"/>
              <w:rPr>
                <w:sz w:val="22"/>
                <w:lang w:val="fr-FR"/>
              </w:rPr>
            </w:pPr>
            <w:proofErr w:type="spellStart"/>
            <w:r w:rsidRPr="00081D74">
              <w:rPr>
                <w:sz w:val="22"/>
                <w:lang w:val="fr-FR"/>
              </w:rPr>
              <w:t>Travel</w:t>
            </w:r>
            <w:proofErr w:type="spellEnd"/>
            <w:r w:rsidRPr="00081D74">
              <w:rPr>
                <w:sz w:val="22"/>
                <w:lang w:val="fr-FR"/>
              </w:rPr>
              <w:t xml:space="preserve"> distance</w:t>
            </w:r>
          </w:p>
        </w:tc>
        <w:tc>
          <w:tcPr>
            <w:tcW w:w="3210" w:type="pct"/>
          </w:tcPr>
          <w:p w14:paraId="218964DB" w14:textId="77777777" w:rsidR="005344D0" w:rsidRPr="00BA4FBE" w:rsidRDefault="005344D0" w:rsidP="006E32A1">
            <w:pPr>
              <w:spacing w:line="240" w:lineRule="auto"/>
              <w:rPr>
                <w:sz w:val="22"/>
                <w:lang w:val="nl-NL"/>
              </w:rPr>
            </w:pPr>
            <w:r w:rsidRPr="003504BA">
              <w:rPr>
                <w:sz w:val="22"/>
              </w:rPr>
              <w:fldChar w:fldCharType="begin">
                <w:fldData xml:space="preserve">PEVuZE5vdGU+PENpdGUgQXV0aG9yWWVhcj0iMSI+PEF1dGhvcj5GaWdsaW96emk8L0F1dGhvcj48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</w:fldData>
              </w:fldChar>
            </w:r>
            <w:r w:rsidRPr="007C274E">
              <w:rPr>
                <w:sz w:val="22"/>
                <w:lang w:val="it-IT"/>
              </w:rPr>
              <w:instrText xml:space="preserve"> ADDIN EN.CITE </w:instrText>
            </w:r>
            <w:r>
              <w:rPr>
                <w:sz w:val="22"/>
              </w:rPr>
              <w:fldChar w:fldCharType="begin">
                <w:fldData xml:space="preserve">PEVuZE5vdGU+PENpdGUgQXV0aG9yWWVhcj0iMSI+PEF1dGhvcj5GaWdsaW96emk8L0F1dGhvcj48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</w:fldData>
              </w:fldChar>
            </w:r>
            <w:r w:rsidRPr="007C274E">
              <w:rPr>
                <w:sz w:val="22"/>
                <w:lang w:val="it-IT"/>
              </w:rPr>
              <w:instrText xml:space="preserve"> ADDIN EN.CITE.DATA </w:instrText>
            </w:r>
            <w:r>
              <w:rPr>
                <w:sz w:val="22"/>
              </w:rPr>
            </w:r>
            <w:r>
              <w:rPr>
                <w:sz w:val="22"/>
              </w:rPr>
              <w:fldChar w:fldCharType="end"/>
            </w:r>
            <w:r w:rsidRPr="003504BA">
              <w:rPr>
                <w:sz w:val="22"/>
              </w:rPr>
            </w:r>
            <w:r w:rsidRPr="003504BA">
              <w:rPr>
                <w:sz w:val="22"/>
              </w:rPr>
              <w:fldChar w:fldCharType="separate"/>
            </w:r>
            <w:r w:rsidRPr="00BA4FBE">
              <w:rPr>
                <w:noProof/>
                <w:sz w:val="22"/>
                <w:lang w:val="it-IT"/>
              </w:rPr>
              <w:t>Figliozzi (2010)</w:t>
            </w:r>
            <w:r w:rsidRPr="003504BA">
              <w:rPr>
                <w:sz w:val="22"/>
              </w:rPr>
              <w:fldChar w:fldCharType="end"/>
            </w:r>
            <w:r>
              <w:rPr>
                <w:sz w:val="22"/>
                <w:lang w:val="it-IT"/>
              </w:rPr>
              <w:t>;</w:t>
            </w:r>
            <w:r w:rsidRPr="00BA4FBE">
              <w:rPr>
                <w:sz w:val="22"/>
                <w:lang w:val="it-IT"/>
              </w:rPr>
              <w:t xml:space="preserve"> </w:t>
            </w:r>
            <w:r w:rsidRPr="003504BA">
              <w:rPr>
                <w:sz w:val="22"/>
              </w:rPr>
              <w:fldChar w:fldCharType="begin">
                <w:fldData xml:space="preserve">PEVuZE5vdGU+PENpdGUgQXV0aG9yWWVhcj0iMSI+PEF1dGhvcj5Hb256YWxlei1GZWxpdTwvQXV0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</w:fldData>
              </w:fldChar>
            </w:r>
            <w:r w:rsidRPr="00E5436C">
              <w:rPr>
                <w:sz w:val="22"/>
                <w:lang w:val="it-IT"/>
              </w:rPr>
              <w:instrText xml:space="preserve"> ADDIN EN.CITE </w:instrText>
            </w:r>
            <w:r>
              <w:rPr>
                <w:sz w:val="22"/>
              </w:rPr>
              <w:fldChar w:fldCharType="begin">
                <w:fldData xml:space="preserve">PEVuZE5vdGU+PENpdGUgQXV0aG9yWWVhcj0iMSI+PEF1dGhvcj5Hb256YWxlei1GZWxpdTwvQXV0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</w:fldData>
              </w:fldChar>
            </w:r>
            <w:r w:rsidRPr="00E5436C">
              <w:rPr>
                <w:sz w:val="22"/>
                <w:lang w:val="it-IT"/>
              </w:rPr>
              <w:instrText xml:space="preserve"> ADDIN EN.CITE.DATA </w:instrText>
            </w:r>
            <w:r>
              <w:rPr>
                <w:sz w:val="22"/>
              </w:rPr>
            </w:r>
            <w:r>
              <w:rPr>
                <w:sz w:val="22"/>
              </w:rPr>
              <w:fldChar w:fldCharType="end"/>
            </w:r>
            <w:r w:rsidRPr="003504BA">
              <w:rPr>
                <w:sz w:val="22"/>
              </w:rPr>
            </w:r>
            <w:r w:rsidRPr="003504BA">
              <w:rPr>
                <w:sz w:val="22"/>
              </w:rPr>
              <w:fldChar w:fldCharType="separate"/>
            </w:r>
            <w:r w:rsidRPr="00BA4FBE">
              <w:rPr>
                <w:noProof/>
                <w:sz w:val="22"/>
                <w:lang w:val="it-IT"/>
              </w:rPr>
              <w:t xml:space="preserve">Gonzalez-Feliu et al. </w:t>
            </w:r>
            <w:r w:rsidRPr="00BA4FBE">
              <w:rPr>
                <w:noProof/>
                <w:sz w:val="22"/>
                <w:lang w:val="nl-NL"/>
              </w:rPr>
              <w:t>(2012)</w:t>
            </w:r>
            <w:r w:rsidRPr="003504BA">
              <w:rPr>
                <w:sz w:val="22"/>
              </w:rPr>
              <w:fldChar w:fldCharType="end"/>
            </w:r>
            <w:r>
              <w:rPr>
                <w:sz w:val="22"/>
                <w:lang w:val="nl-NL"/>
              </w:rPr>
              <w:t>;</w:t>
            </w:r>
            <w:r w:rsidRPr="00BA4FBE">
              <w:rPr>
                <w:sz w:val="22"/>
                <w:lang w:val="nl-NL"/>
              </w:rPr>
              <w:t xml:space="preserve"> </w:t>
            </w:r>
            <w:r w:rsidRPr="003504BA">
              <w:rPr>
                <w:sz w:val="22"/>
              </w:rPr>
              <w:fldChar w:fldCharType="begin">
                <w:fldData xml:space="preserve">PEVuZE5vdGU+PENpdGUgQXV0aG9yWWVhcj0iMSI+PEF1dGhvcj5HcmVlbjwvQXV0aG9yPjxZZWFy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</w:fldData>
              </w:fldChar>
            </w:r>
            <w:r w:rsidRPr="00E5436C">
              <w:rPr>
                <w:sz w:val="22"/>
                <w:lang w:val="it-IT"/>
              </w:rPr>
              <w:instrText xml:space="preserve"> ADDIN EN.CITE </w:instrText>
            </w:r>
            <w:r>
              <w:rPr>
                <w:sz w:val="22"/>
              </w:rPr>
              <w:fldChar w:fldCharType="begin">
                <w:fldData xml:space="preserve">PEVuZE5vdGU+PENpdGUgQXV0aG9yWWVhcj0iMSI+PEF1dGhvcj5HcmVlbjwvQXV0aG9yPjxZZWFy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</w:fldData>
              </w:fldChar>
            </w:r>
            <w:r w:rsidRPr="00E5436C">
              <w:rPr>
                <w:sz w:val="22"/>
                <w:lang w:val="it-IT"/>
              </w:rPr>
              <w:instrText xml:space="preserve"> ADDIN EN.CITE.DATA </w:instrText>
            </w:r>
            <w:r>
              <w:rPr>
                <w:sz w:val="22"/>
              </w:rPr>
            </w:r>
            <w:r>
              <w:rPr>
                <w:sz w:val="22"/>
              </w:rPr>
              <w:fldChar w:fldCharType="end"/>
            </w:r>
            <w:r w:rsidRPr="003504BA">
              <w:rPr>
                <w:sz w:val="22"/>
              </w:rPr>
            </w:r>
            <w:r w:rsidRPr="003504BA">
              <w:rPr>
                <w:sz w:val="22"/>
              </w:rPr>
              <w:fldChar w:fldCharType="separate"/>
            </w:r>
            <w:r w:rsidRPr="00BA4FBE">
              <w:rPr>
                <w:noProof/>
                <w:sz w:val="22"/>
                <w:lang w:val="nl-NL"/>
              </w:rPr>
              <w:t>Green et al. (2013)</w:t>
            </w:r>
            <w:r w:rsidRPr="003504BA">
              <w:rPr>
                <w:sz w:val="22"/>
              </w:rPr>
              <w:fldChar w:fldCharType="end"/>
            </w:r>
            <w:r>
              <w:rPr>
                <w:sz w:val="22"/>
                <w:lang w:val="nl-NL"/>
              </w:rPr>
              <w:t>;</w:t>
            </w:r>
            <w:r w:rsidRPr="00BA4FBE">
              <w:rPr>
                <w:sz w:val="22"/>
                <w:lang w:val="nl-NL"/>
              </w:rPr>
              <w:t xml:space="preserve"> </w:t>
            </w:r>
            <w:r w:rsidRPr="003504BA">
              <w:rPr>
                <w:sz w:val="22"/>
              </w:rPr>
              <w:fldChar w:fldCharType="begin"/>
            </w:r>
            <w:r w:rsidRPr="00E5436C">
              <w:rPr>
                <w:sz w:val="22"/>
                <w:lang w:val="it-IT"/>
              </w:rPr>
              <w:instrText xml:space="preserve"> ADDIN EN.CITE &lt;EndNote&gt;&lt;Cite AuthorYear="1"&gt;&lt;Author&gt;Grosso&lt;/Author&gt;&lt;Year&gt;2014&lt;/Year&gt;&lt;RecNum&gt;123&lt;/RecNum&gt;&lt;DisplayText&gt;Grosso et al. (2014)&lt;/DisplayText&gt;&lt;record&gt;&lt;rec-number&gt;123&lt;/rec-number&gt;&lt;foreign-keys&gt;&lt;key app="EN" db-id="pzt5ep52hsedfpeext2pdfes0w0aswaewef2" timestamp="1605187994"&gt;123&lt;/key&gt;&lt;/foreign-keys&gt;&lt;ref-type name="Journal Article"&gt;17&lt;/ref-type&gt;&lt;contributors&gt;&lt;authors&gt;&lt;author&gt;Grosso, R.&lt;/author&gt;&lt;author&gt;Muñuzuri, J.&lt;/author&gt;&lt;author&gt;Cortes, P.&lt;/author&gt;&lt;author&gt;Carrillo, J.&lt;/author&gt;&lt;/authors&gt;&lt;/contributors&gt;&lt;auth-address&gt;Dpto. de Organización Industrial y Gestión de Empresas II, ETSI. Universidad de Sevilla, Camino de los Descubrimientos, s/n. Isla de la Cartuja, 41092, Seville, Spain&lt;/auth-address&gt;&lt;titles&gt;&lt;title&gt;City logistics: Are sustainability policies really sustainable?&lt;/title&gt;&lt;secondary-title&gt;Direccion y Organizacion&lt;/secondary-title&gt;&lt;alt-title&gt;Dir. Organ.&lt;/alt-title&gt;&lt;/titles&gt;&lt;periodical&gt;&lt;full-title&gt;Direccion y Organizacion&lt;/full-title&gt;&lt;abbr-1&gt;Dir. Organ.&lt;/abbr-1&gt;&lt;/periodical&gt;&lt;alt-periodical&gt;&lt;full-title&gt;Direccion y Organizacion&lt;/full-title&gt;&lt;abbr-1&gt;Dir. Organ.&lt;/abbr-1&gt;&lt;/alt-periodical&gt;&lt;pages&gt;45-50&lt;/pages&gt;&lt;volume&gt;53&lt;/volume&gt;&lt;keywords&gt;&lt;keyword&gt;Access time windows&lt;/keyword&gt;&lt;keyword&gt;City centers&lt;/keyword&gt;&lt;keyword&gt;City logistic&lt;/keyword&gt;&lt;keyword&gt;Genetic algorithms&lt;/keyword&gt;&lt;keyword&gt;Sustainable policies&lt;/keyword&gt;&lt;keyword&gt;Vehicle routing&lt;/keyword&gt;&lt;/keywords&gt;&lt;dates&gt;&lt;year&gt;2014&lt;/year&gt;&lt;/dates&gt;&lt;publisher&gt;Universidad Politecnica de Madrid&lt;/publisher&gt;&lt;isbn&gt;1132175X (ISSN)&lt;/isbn&gt;&lt;work-type&gt;Article&lt;/work-type&gt;&lt;urls&gt;&lt;related-urls&gt;&lt;url&gt;https://www.scopus.com/inward/record.uri?eid=2-s2.0-84905453317&amp;amp;partnerID=40&amp;amp;md5=eaf01d7e1df3b6f5def71298398f60ba&lt;/url&gt;&lt;/related-urls&gt;&lt;/urls&gt;&lt;remote-database-name&gt;Scopus&lt;/remote-database-name&gt;&lt;research-notes&gt;89&lt;/research-notes&gt;&lt;language&gt;English&lt;/language&gt;&lt;/record&gt;&lt;/Cite&gt;&lt;/EndNote&gt;</w:instrText>
            </w:r>
            <w:r w:rsidRPr="003504BA">
              <w:rPr>
                <w:sz w:val="22"/>
              </w:rPr>
              <w:fldChar w:fldCharType="separate"/>
            </w:r>
            <w:r w:rsidRPr="00BA4FBE">
              <w:rPr>
                <w:noProof/>
                <w:sz w:val="22"/>
                <w:lang w:val="nl-NL"/>
              </w:rPr>
              <w:t>Grosso et al. (2014)</w:t>
            </w:r>
            <w:r w:rsidRPr="003504BA">
              <w:rPr>
                <w:sz w:val="22"/>
              </w:rPr>
              <w:fldChar w:fldCharType="end"/>
            </w:r>
            <w:r>
              <w:rPr>
                <w:sz w:val="22"/>
                <w:lang w:val="nl-NL"/>
              </w:rPr>
              <w:t>;</w:t>
            </w:r>
            <w:r w:rsidRPr="00BA4FBE">
              <w:rPr>
                <w:sz w:val="22"/>
                <w:lang w:val="nl-NL"/>
              </w:rPr>
              <w:t xml:space="preserve"> </w:t>
            </w:r>
            <w:r>
              <w:rPr>
                <w:sz w:val="22"/>
              </w:rPr>
              <w:fldChar w:fldCharType="begin">
                <w:fldData xml:space="preserve">PEVuZE5vdGU+PENpdGUgQXV0aG9yWWVhcj0iMSI+PEF1dGhvcj5Lb8OnPC9BdXRob3I+PFllYXI+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</w:fldData>
              </w:fldChar>
            </w:r>
            <w:r w:rsidRPr="00E5436C">
              <w:rPr>
                <w:sz w:val="22"/>
                <w:lang w:val="it-IT"/>
              </w:rPr>
              <w:instrText xml:space="preserve"> ADDIN EN.CITE </w:instrText>
            </w:r>
            <w:r>
              <w:rPr>
                <w:sz w:val="22"/>
              </w:rPr>
              <w:fldChar w:fldCharType="begin">
                <w:fldData xml:space="preserve">PEVuZE5vdGU+PENpdGUgQXV0aG9yWWVhcj0iMSI+PEF1dGhvcj5Lb8OnPC9BdXRob3I+PFllYXI+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</w:fldData>
              </w:fldChar>
            </w:r>
            <w:r w:rsidRPr="00E5436C">
              <w:rPr>
                <w:sz w:val="22"/>
                <w:lang w:val="it-IT"/>
              </w:rPr>
              <w:instrText xml:space="preserve"> ADDIN EN.CITE.DATA </w:instrText>
            </w:r>
            <w:r>
              <w:rPr>
                <w:sz w:val="22"/>
              </w:rPr>
            </w:r>
            <w:r>
              <w:rPr>
                <w:sz w:val="22"/>
              </w:rPr>
              <w:fldChar w:fldCharType="end"/>
            </w:r>
            <w:r>
              <w:rPr>
                <w:sz w:val="22"/>
              </w:rPr>
            </w:r>
            <w:r>
              <w:rPr>
                <w:sz w:val="22"/>
              </w:rPr>
              <w:fldChar w:fldCharType="separate"/>
            </w:r>
            <w:r w:rsidRPr="00BA4FBE">
              <w:rPr>
                <w:noProof/>
                <w:sz w:val="22"/>
                <w:lang w:val="nl-NL"/>
              </w:rPr>
              <w:t>Koç et al. (2016)</w:t>
            </w:r>
            <w:r>
              <w:rPr>
                <w:sz w:val="22"/>
              </w:rPr>
              <w:fldChar w:fldCharType="end"/>
            </w:r>
            <w:r>
              <w:rPr>
                <w:sz w:val="22"/>
                <w:lang w:val="nl-NL"/>
              </w:rPr>
              <w:t>;</w:t>
            </w:r>
            <w:r w:rsidRPr="00BA4FBE">
              <w:rPr>
                <w:sz w:val="22"/>
                <w:lang w:val="nl-NL"/>
              </w:rPr>
              <w:t xml:space="preserve"> </w:t>
            </w:r>
            <w:r>
              <w:rPr>
                <w:sz w:val="22"/>
              </w:rPr>
              <w:fldChar w:fldCharType="begin">
                <w:fldData xml:space="preserve">PEVuZE5vdGU+PENpdGUgQXV0aG9yWWVhcj0iMSI+PEF1dGhvcj5aaGFuZzwvQXV0aG9yPjxZZWFy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</w:fldData>
              </w:fldChar>
            </w:r>
            <w:r w:rsidRPr="00E5436C">
              <w:rPr>
                <w:sz w:val="22"/>
                <w:lang w:val="it-IT"/>
              </w:rPr>
              <w:instrText xml:space="preserve"> ADDIN EN.CITE </w:instrText>
            </w:r>
            <w:r>
              <w:rPr>
                <w:sz w:val="22"/>
              </w:rPr>
              <w:fldChar w:fldCharType="begin">
                <w:fldData xml:space="preserve">PEVuZE5vdGU+PENpdGUgQXV0aG9yWWVhcj0iMSI+PEF1dGhvcj5aaGFuZzwvQXV0aG9yPjxZZWFy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</w:fldData>
              </w:fldChar>
            </w:r>
            <w:r w:rsidRPr="00E5436C">
              <w:rPr>
                <w:sz w:val="22"/>
                <w:lang w:val="it-IT"/>
              </w:rPr>
              <w:instrText xml:space="preserve"> ADDIN EN.CITE.DATA </w:instrText>
            </w:r>
            <w:r>
              <w:rPr>
                <w:sz w:val="22"/>
              </w:rPr>
            </w:r>
            <w:r>
              <w:rPr>
                <w:sz w:val="22"/>
              </w:rPr>
              <w:fldChar w:fldCharType="end"/>
            </w:r>
            <w:r>
              <w:rPr>
                <w:sz w:val="22"/>
              </w:rPr>
            </w:r>
            <w:r>
              <w:rPr>
                <w:sz w:val="22"/>
              </w:rPr>
              <w:fldChar w:fldCharType="separate"/>
            </w:r>
            <w:r w:rsidRPr="00BA4FBE">
              <w:rPr>
                <w:noProof/>
                <w:sz w:val="22"/>
                <w:lang w:val="nl-NL"/>
              </w:rPr>
              <w:t>Zhang et al. (2019)</w:t>
            </w:r>
            <w:r>
              <w:rPr>
                <w:sz w:val="22"/>
              </w:rPr>
              <w:fldChar w:fldCharType="end"/>
            </w:r>
            <w:r>
              <w:rPr>
                <w:sz w:val="22"/>
                <w:lang w:val="nl-NL"/>
              </w:rPr>
              <w:t>;</w:t>
            </w:r>
            <w:r w:rsidRPr="00BA4FBE">
              <w:rPr>
                <w:sz w:val="22"/>
                <w:lang w:val="nl-NL"/>
              </w:rPr>
              <w:t xml:space="preserve"> </w:t>
            </w:r>
            <w:r>
              <w:rPr>
                <w:sz w:val="22"/>
              </w:rPr>
              <w:fldChar w:fldCharType="begin"/>
            </w:r>
            <w:r w:rsidRPr="00F73634">
              <w:rPr>
                <w:sz w:val="22"/>
                <w:lang w:val="it-IT"/>
              </w:rPr>
              <w:instrText xml:space="preserve"> ADDIN EN.CITE &lt;EndNote&gt;&lt;Cite AuthorYear="1"&gt;&lt;Author&gt;Marcucci&lt;/Author&gt;&lt;Year&gt;2017&lt;/Year&gt;&lt;RecNum&gt;161&lt;/RecNum&gt;&lt;DisplayText&gt;Marcucci et al. (2017a)&lt;/DisplayText&gt;&lt;record&gt;&lt;rec-number&gt;161&lt;/rec-number&gt;&lt;foreign-keys&gt;&lt;key app="EN" db-id="x5etaz5aiszvz0edasvvpwvotttxepvd25t2" timestamp="1609264002"&gt;161&lt;/key&gt;&lt;/foreign-keys&gt;&lt;ref-type name="Journal Article"&gt;17&lt;/ref-type&gt;&lt;contributors&gt;&lt;authors&gt;&lt;author&gt;Marcucci, E.&lt;/author&gt;&lt;author&gt;Gatta, V.&lt;/author&gt;&lt;author&gt;Marciani, M.&lt;/author&gt;&lt;author&gt;Cossu, P.&lt;/author&gt;&lt;/authors&gt;&lt;/contributors&gt;&lt;auth-address&gt;Department of Political Science, Roma Tre University, Via Gabriello Chiabrera 199, Rome, 00145, Italy&amp;#xD;FIT Consulting srl, Via Lavinio 15, Rome, 00183, Italy&amp;#xD;Molde University College, Britvegen 2, Molde, 6410, Norway&lt;/auth-address&gt;&lt;titles&gt;&lt;title&gt;Measuring the effects of an urban freight policy package defined via a collaborative governance model&lt;/title&gt;&lt;secondary-title&gt;Research in Transportation Economics&lt;/secondary-title&gt;&lt;/titles&gt;&lt;pages&gt;3-9&lt;/pages&gt;&lt;volume&gt;65&lt;/volume&gt;&lt;keywords&gt;&lt;keyword&gt;City logistics&lt;/keyword&gt;&lt;keyword&gt;Collaborative logistics&lt;/keyword&gt;&lt;keyword&gt;Governance model&lt;/keyword&gt;&lt;keyword&gt;Stakeholders engagement&lt;/keyword&gt;&lt;/keywords&gt;&lt;dates&gt;&lt;year&gt;2017&lt;/year&gt;&lt;/dates&gt;&lt;publisher&gt;JAI Press&lt;/publisher&gt;&lt;isbn&gt;07398859 (ISSN)&lt;/isbn&gt;&lt;work-type&gt;Article&lt;/work-type&gt;&lt;urls&gt;&lt;related-urls&gt;&lt;url&gt;https://www.scopus.com/inward/record.uri?eid=2-s2.0-85029706904&amp;amp;doi=10.1016%2fj.retrec.2017.09.001&amp;amp;partnerID=40&amp;amp;md5=d8a9c1baa072da3e73730916e2b30088&lt;/url&gt;&lt;/related-urls&gt;&lt;/urls&gt;&lt;electronic-resource-num&gt;10.1016/j.retrec.2017.09.001&lt;/electronic-resource-num&gt;&lt;remote-database-name&gt;Scopus&lt;/remote-database-name&gt;&lt;language&gt;English&lt;/language&gt;&lt;/record&gt;&lt;/Cite&gt;&lt;/EndNote&gt;</w:instrText>
            </w:r>
            <w:r>
              <w:rPr>
                <w:sz w:val="22"/>
              </w:rPr>
              <w:fldChar w:fldCharType="separate"/>
            </w:r>
            <w:r w:rsidRPr="00E5436C">
              <w:rPr>
                <w:noProof/>
                <w:sz w:val="22"/>
                <w:lang w:val="it-IT"/>
              </w:rPr>
              <w:t xml:space="preserve">Marcucci et al. </w:t>
            </w:r>
            <w:r w:rsidRPr="00F73634">
              <w:rPr>
                <w:noProof/>
                <w:sz w:val="22"/>
                <w:lang w:val="it-IT"/>
              </w:rPr>
              <w:t>(2017a)</w:t>
            </w:r>
            <w:r>
              <w:rPr>
                <w:sz w:val="22"/>
              </w:rPr>
              <w:fldChar w:fldCharType="end"/>
            </w:r>
            <w:r>
              <w:rPr>
                <w:sz w:val="22"/>
                <w:lang w:val="nl-NL"/>
              </w:rPr>
              <w:t>;</w:t>
            </w:r>
            <w:r w:rsidRPr="00BA4FBE">
              <w:rPr>
                <w:sz w:val="22"/>
                <w:lang w:val="nl-NL"/>
              </w:rPr>
              <w:t xml:space="preserve"> </w:t>
            </w:r>
            <w:r>
              <w:rPr>
                <w:sz w:val="22"/>
              </w:rPr>
              <w:fldChar w:fldCharType="begin">
                <w:fldData xml:space="preserve">PEVuZE5vdGU+PENpdGUgQXV0aG9yWWVhcj0iMSI+PEF1dGhvcj5Ib2xndcOtbi1WZXJhczwvQXV0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</w:fldData>
              </w:fldChar>
            </w:r>
            <w:r w:rsidRPr="00F73634">
              <w:rPr>
                <w:sz w:val="22"/>
                <w:lang w:val="it-IT"/>
              </w:rPr>
              <w:instrText xml:space="preserve"> ADDIN EN.CITE </w:instrText>
            </w:r>
            <w:r>
              <w:rPr>
                <w:sz w:val="22"/>
              </w:rPr>
              <w:fldChar w:fldCharType="begin">
                <w:fldData xml:space="preserve">PEVuZE5vdGU+PENpdGUgQXV0aG9yWWVhcj0iMSI+PEF1dGhvcj5Ib2xndcOtbi1WZXJhczwvQXV0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</w:fldData>
              </w:fldChar>
            </w:r>
            <w:r w:rsidRPr="00F73634">
              <w:rPr>
                <w:sz w:val="22"/>
                <w:lang w:val="it-IT"/>
              </w:rPr>
              <w:instrText xml:space="preserve"> ADDIN EN.CITE.DATA </w:instrText>
            </w:r>
            <w:r>
              <w:rPr>
                <w:sz w:val="22"/>
              </w:rPr>
            </w:r>
            <w:r>
              <w:rPr>
                <w:sz w:val="22"/>
              </w:rPr>
              <w:fldChar w:fldCharType="end"/>
            </w:r>
            <w:r>
              <w:rPr>
                <w:sz w:val="22"/>
              </w:rPr>
            </w:r>
            <w:r>
              <w:rPr>
                <w:sz w:val="22"/>
              </w:rPr>
              <w:fldChar w:fldCharType="separate"/>
            </w:r>
            <w:r w:rsidRPr="00BA4FBE">
              <w:rPr>
                <w:noProof/>
                <w:sz w:val="22"/>
                <w:lang w:val="nl-NL"/>
              </w:rPr>
              <w:t>Holguín-Veras et al. (2018)</w:t>
            </w:r>
            <w:r>
              <w:rPr>
                <w:sz w:val="22"/>
              </w:rPr>
              <w:fldChar w:fldCharType="end"/>
            </w:r>
            <w:r>
              <w:rPr>
                <w:sz w:val="22"/>
                <w:lang w:val="nl-NL"/>
              </w:rPr>
              <w:t>;</w:t>
            </w:r>
            <w:r w:rsidRPr="00BA4FBE">
              <w:rPr>
                <w:sz w:val="22"/>
                <w:lang w:val="nl-NL"/>
              </w:rPr>
              <w:t xml:space="preserve"> </w:t>
            </w:r>
            <w:r>
              <w:rPr>
                <w:sz w:val="22"/>
              </w:rPr>
              <w:fldChar w:fldCharType="begin">
                <w:fldData xml:space="preserve">PEVuZE5vdGU+PENpdGUgQXV0aG9yWWVhcj0iMSI+PEF1dGhvcj5NYXJ1am88L0F1dGhvcj48WWVh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==
</w:fldData>
              </w:fldChar>
            </w:r>
            <w:r w:rsidRPr="00120BCB">
              <w:rPr>
                <w:sz w:val="22"/>
                <w:lang w:val="it-IT"/>
              </w:rPr>
              <w:instrText xml:space="preserve"> ADDIN EN.CITE </w:instrText>
            </w:r>
            <w:r>
              <w:rPr>
                <w:sz w:val="22"/>
              </w:rPr>
              <w:fldChar w:fldCharType="begin">
                <w:fldData xml:space="preserve">PEVuZE5vdGU+PENpdGUgQXV0aG9yWWVhcj0iMSI+PEF1dGhvcj5NYXJ1am88L0F1dGhvcj48WWVh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==
</w:fldData>
              </w:fldChar>
            </w:r>
            <w:r w:rsidRPr="00120BCB">
              <w:rPr>
                <w:sz w:val="22"/>
                <w:lang w:val="it-IT"/>
              </w:rPr>
              <w:instrText xml:space="preserve"> ADDIN EN.CITE.DATA </w:instrText>
            </w:r>
            <w:r>
              <w:rPr>
                <w:sz w:val="22"/>
              </w:rPr>
            </w:r>
            <w:r>
              <w:rPr>
                <w:sz w:val="22"/>
              </w:rPr>
              <w:fldChar w:fldCharType="end"/>
            </w:r>
            <w:r>
              <w:rPr>
                <w:sz w:val="22"/>
              </w:rPr>
            </w:r>
            <w:r>
              <w:rPr>
                <w:sz w:val="22"/>
              </w:rPr>
              <w:fldChar w:fldCharType="separate"/>
            </w:r>
            <w:r w:rsidRPr="00BA4FBE">
              <w:rPr>
                <w:noProof/>
                <w:sz w:val="22"/>
                <w:lang w:val="nl-NL"/>
              </w:rPr>
              <w:t>Marujo et al. (2018)</w:t>
            </w:r>
            <w:r>
              <w:rPr>
                <w:sz w:val="22"/>
              </w:rPr>
              <w:fldChar w:fldCharType="end"/>
            </w:r>
            <w:r w:rsidRPr="00BA4FBE">
              <w:rPr>
                <w:sz w:val="22"/>
                <w:lang w:val="nl-NL"/>
              </w:rPr>
              <w:t>.</w:t>
            </w:r>
          </w:p>
        </w:tc>
        <w:tc>
          <w:tcPr>
            <w:tcW w:w="682" w:type="pct"/>
            <w:vAlign w:val="center"/>
          </w:tcPr>
          <w:p w14:paraId="2EEEDC08" w14:textId="77777777" w:rsidR="005344D0" w:rsidRPr="00081D74" w:rsidRDefault="005344D0" w:rsidP="006E32A1">
            <w:pPr>
              <w:spacing w:line="240" w:lineRule="auto"/>
              <w:jc w:val="center"/>
              <w:rPr>
                <w:sz w:val="22"/>
                <w:lang w:val="fr-FR"/>
              </w:rPr>
            </w:pPr>
            <w:r w:rsidRPr="00081D74">
              <w:rPr>
                <w:sz w:val="22"/>
                <w:lang w:val="fr-FR"/>
              </w:rPr>
              <w:t>9</w:t>
            </w:r>
          </w:p>
        </w:tc>
      </w:tr>
      <w:tr w:rsidR="005344D0" w:rsidRPr="00081D74" w14:paraId="54F5F298" w14:textId="77777777" w:rsidTr="006E32A1">
        <w:tc>
          <w:tcPr>
            <w:tcW w:w="1108" w:type="pct"/>
            <w:vAlign w:val="center"/>
          </w:tcPr>
          <w:p w14:paraId="5B502591" w14:textId="77777777" w:rsidR="005344D0" w:rsidRPr="00081D74" w:rsidRDefault="005344D0" w:rsidP="006E32A1">
            <w:pPr>
              <w:spacing w:line="240" w:lineRule="auto"/>
              <w:jc w:val="left"/>
              <w:rPr>
                <w:sz w:val="22"/>
                <w:lang w:val="fr-FR"/>
              </w:rPr>
            </w:pPr>
            <w:r w:rsidRPr="00081D74">
              <w:rPr>
                <w:sz w:val="22"/>
                <w:lang w:val="fr-FR"/>
              </w:rPr>
              <w:lastRenderedPageBreak/>
              <w:t>Rate of acceptance</w:t>
            </w:r>
          </w:p>
        </w:tc>
        <w:tc>
          <w:tcPr>
            <w:tcW w:w="3210" w:type="pct"/>
          </w:tcPr>
          <w:p w14:paraId="2CBE08E3" w14:textId="77777777" w:rsidR="005344D0" w:rsidRPr="00081D74" w:rsidRDefault="005344D0" w:rsidP="006E32A1">
            <w:pPr>
              <w:spacing w:line="240" w:lineRule="auto"/>
              <w:rPr>
                <w:sz w:val="22"/>
                <w:lang w:val="fr-FR"/>
              </w:rPr>
            </w:pPr>
            <w:r w:rsidRPr="003504BA">
              <w:rPr>
                <w:sz w:val="22"/>
              </w:rPr>
              <w:fldChar w:fldCharType="begin">
                <w:fldData xml:space="preserve">PEVuZE5vdGU+PENpdGUgQXV0aG9yWWVhcj0iMSI+PEF1dGhvcj5MaW5kaG9sbTwvQXV0aG9yPjxZ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</w:fldData>
              </w:fldChar>
            </w:r>
            <w:r>
              <w:rPr>
                <w:sz w:val="22"/>
              </w:rPr>
              <w:instrText xml:space="preserve"> ADDIN EN.CITE </w:instrText>
            </w:r>
            <w:r>
              <w:rPr>
                <w:sz w:val="22"/>
              </w:rPr>
              <w:fldChar w:fldCharType="begin">
                <w:fldData xml:space="preserve">PEVuZE5vdGU+PENpdGUgQXV0aG9yWWVhcj0iMSI+PEF1dGhvcj5MaW5kaG9sbTwvQXV0aG9yPjxZ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</w:fldData>
              </w:fldChar>
            </w:r>
            <w:r>
              <w:rPr>
                <w:sz w:val="22"/>
              </w:rPr>
              <w:instrText xml:space="preserve"> ADDIN EN.CITE.DATA </w:instrText>
            </w:r>
            <w:r>
              <w:rPr>
                <w:sz w:val="22"/>
              </w:rPr>
            </w:r>
            <w:r>
              <w:rPr>
                <w:sz w:val="22"/>
              </w:rPr>
              <w:fldChar w:fldCharType="end"/>
            </w:r>
            <w:r w:rsidRPr="003504BA">
              <w:rPr>
                <w:sz w:val="22"/>
              </w:rPr>
            </w:r>
            <w:r w:rsidRPr="003504BA">
              <w:rPr>
                <w:sz w:val="22"/>
              </w:rPr>
              <w:fldChar w:fldCharType="separate"/>
            </w:r>
            <w:r>
              <w:rPr>
                <w:noProof/>
                <w:sz w:val="22"/>
              </w:rPr>
              <w:t>Lindholm and Blinge (2014)</w:t>
            </w:r>
            <w:r w:rsidRPr="003504BA">
              <w:rPr>
                <w:sz w:val="22"/>
              </w:rPr>
              <w:fldChar w:fldCharType="end"/>
            </w:r>
            <w:r>
              <w:rPr>
                <w:sz w:val="22"/>
              </w:rPr>
              <w:t>;</w:t>
            </w:r>
            <w:r w:rsidRPr="003504BA">
              <w:rPr>
                <w:sz w:val="22"/>
              </w:rPr>
              <w:t xml:space="preserve"> </w:t>
            </w:r>
            <w:r>
              <w:rPr>
                <w:sz w:val="22"/>
              </w:rPr>
              <w:fldChar w:fldCharType="begin">
                <w:fldData xml:space="preserve">PEVuZE5vdGU+PENpdGUgQXV0aG9yWWVhcj0iMSI+PEF1dGhvcj5Ob3JkdMO4bW1lPC9BdXRob3I+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</w:fldData>
              </w:fldChar>
            </w:r>
            <w:r>
              <w:rPr>
                <w:sz w:val="22"/>
              </w:rPr>
              <w:instrText xml:space="preserve"> ADDIN EN.CITE </w:instrText>
            </w:r>
            <w:r>
              <w:rPr>
                <w:sz w:val="22"/>
              </w:rPr>
              <w:fldChar w:fldCharType="begin">
                <w:fldData xml:space="preserve">PEVuZE5vdGU+PENpdGUgQXV0aG9yWWVhcj0iMSI+PEF1dGhvcj5Ob3JkdMO4bW1lPC9BdXRob3I+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</w:fldData>
              </w:fldChar>
            </w:r>
            <w:r>
              <w:rPr>
                <w:sz w:val="22"/>
              </w:rPr>
              <w:instrText xml:space="preserve"> ADDIN EN.CITE.DATA </w:instrText>
            </w:r>
            <w:r>
              <w:rPr>
                <w:sz w:val="22"/>
              </w:rPr>
            </w:r>
            <w:r>
              <w:rPr>
                <w:sz w:val="22"/>
              </w:rPr>
              <w:fldChar w:fldCharType="end"/>
            </w:r>
            <w:r>
              <w:rPr>
                <w:sz w:val="22"/>
              </w:rPr>
            </w:r>
            <w:r>
              <w:rPr>
                <w:sz w:val="22"/>
              </w:rPr>
              <w:fldChar w:fldCharType="separate"/>
            </w:r>
            <w:r>
              <w:rPr>
                <w:noProof/>
                <w:sz w:val="22"/>
              </w:rPr>
              <w:t>Nordtømme et al. (2015a)</w:t>
            </w:r>
            <w:r>
              <w:rPr>
                <w:sz w:val="22"/>
              </w:rPr>
              <w:fldChar w:fldCharType="end"/>
            </w:r>
            <w:r>
              <w:rPr>
                <w:sz w:val="22"/>
              </w:rPr>
              <w:t xml:space="preserve">; </w:t>
            </w:r>
            <w:r>
              <w:rPr>
                <w:sz w:val="22"/>
              </w:rPr>
              <w:fldChar w:fldCharType="begin"/>
            </w:r>
            <w:r>
              <w:rPr>
                <w:sz w:val="22"/>
              </w:rPr>
              <w:instrText xml:space="preserve"> ADDIN EN.CITE &lt;EndNote&gt;&lt;Cite AuthorYear="1"&gt;&lt;Author&gt;Gatta&lt;/Author&gt;&lt;Year&gt;2016&lt;/Year&gt;&lt;RecNum&gt;136&lt;/RecNum&gt;&lt;DisplayText&gt;Gatta and Marcucci (2016)&lt;/DisplayText&gt;&lt;record&gt;&lt;rec-number&gt;136&lt;/rec-number&gt;&lt;foreign-keys&gt;&lt;key app="EN" db-id="x5etaz5aiszvz0edasvvpwvotttxepvd25t2" timestamp="1609264002"&gt;136&lt;/key&gt;&lt;/foreign-keys&gt;&lt;ref-type name="Journal Article"&gt;17&lt;/ref-type&gt;&lt;contributors&gt;&lt;authors&gt;&lt;author&gt;Gatta, V.&lt;/author&gt;&lt;author&gt;Marcucci, E.&lt;/author&gt;&lt;/authors&gt;&lt;/contributors&gt;&lt;auth-address&gt;DISP/CREI, University of Roma Tre, Rome, Italy&lt;/auth-address&gt;&lt;titles&gt;&lt;title&gt;Behavioural implications of non-linear effects on urban freight transport policies: The case of retailers and transport providers in Rome&lt;/title&gt;&lt;secondary-title&gt;Case Studies on Transport Policy&lt;/secondary-title&gt;&lt;alt-title&gt;Case Stud. Transp. Policy&lt;/alt-title&gt;&lt;/titles&gt;&lt;periodical&gt;&lt;full-title&gt;Case Studies on Transport Policy&lt;/full-title&gt;&lt;abbr-1&gt;Case Stud. Transp. Policy&lt;/abbr-1&gt;&lt;/periodical&gt;&lt;alt-periodical&gt;&lt;full-title&gt;Case Studies on Transport Policy&lt;/full-title&gt;&lt;abbr-1&gt;Case Stud. Transp. Policy&lt;/abbr-1&gt;&lt;/alt-periodical&gt;&lt;pages&gt;22-28&lt;/pages&gt;&lt;volume&gt;4&lt;/volume&gt;&lt;number&gt;1&lt;/number&gt;&lt;keywords&gt;&lt;keyword&gt;Behaviour&lt;/keyword&gt;&lt;keyword&gt;Non-linear effects&lt;/keyword&gt;&lt;keyword&gt;Urban freight transport policy&lt;/keyword&gt;&lt;/keywords&gt;&lt;dates&gt;&lt;year&gt;2016&lt;/year&gt;&lt;/dates&gt;&lt;publisher&gt;Elsevier Ltd&lt;/publisher&gt;&lt;isbn&gt;2213624X (ISSN)&lt;/isbn&gt;&lt;work-type&gt;Article&lt;/work-type&gt;&lt;urls&gt;&lt;related-urls&gt;&lt;url&gt;https://www.scopus.com/inward/record.uri?eid=2-s2.0-84960800829&amp;amp;doi=10.1016%2fj.cstp.2015.08.001&amp;amp;partnerID=40&amp;amp;md5=d35882e3a88379fa608c1ff83ba16cb2&lt;/url&gt;&lt;/related-urls&gt;&lt;/urls&gt;&lt;electronic-resource-num&gt;10.1016/j.cstp.2015.08.001&lt;/electronic-resource-num&gt;&lt;remote-database-name&gt;Scopus&lt;/remote-database-name&gt;&lt;language&gt;English&lt;/language&gt;&lt;/record&gt;&lt;/Cite&gt;&lt;/EndNote&gt;</w:instrText>
            </w:r>
            <w:r>
              <w:rPr>
                <w:sz w:val="22"/>
              </w:rPr>
              <w:fldChar w:fldCharType="separate"/>
            </w:r>
            <w:r>
              <w:rPr>
                <w:noProof/>
                <w:sz w:val="22"/>
              </w:rPr>
              <w:t>Gatta and Marcucci (2016)</w:t>
            </w:r>
            <w:r>
              <w:rPr>
                <w:sz w:val="22"/>
              </w:rPr>
              <w:fldChar w:fldCharType="end"/>
            </w:r>
            <w:r>
              <w:rPr>
                <w:sz w:val="22"/>
              </w:rPr>
              <w:t>.</w:t>
            </w:r>
          </w:p>
        </w:tc>
        <w:tc>
          <w:tcPr>
            <w:tcW w:w="682" w:type="pct"/>
            <w:vAlign w:val="center"/>
          </w:tcPr>
          <w:p w14:paraId="1167C4CF" w14:textId="77777777" w:rsidR="005344D0" w:rsidRPr="00081D74" w:rsidRDefault="005344D0" w:rsidP="006E32A1">
            <w:pPr>
              <w:spacing w:line="240" w:lineRule="auto"/>
              <w:jc w:val="center"/>
              <w:rPr>
                <w:sz w:val="22"/>
                <w:lang w:val="fr-FR"/>
              </w:rPr>
            </w:pPr>
            <w:r w:rsidRPr="00081D74">
              <w:rPr>
                <w:sz w:val="22"/>
                <w:lang w:val="fr-FR"/>
              </w:rPr>
              <w:t>3</w:t>
            </w:r>
          </w:p>
        </w:tc>
      </w:tr>
      <w:tr w:rsidR="005344D0" w:rsidRPr="00081D74" w14:paraId="1F169917" w14:textId="77777777" w:rsidTr="006E32A1">
        <w:tc>
          <w:tcPr>
            <w:tcW w:w="1108" w:type="pct"/>
            <w:vAlign w:val="center"/>
          </w:tcPr>
          <w:p w14:paraId="7A68904D" w14:textId="77777777" w:rsidR="005344D0" w:rsidRPr="00081D74" w:rsidRDefault="005344D0" w:rsidP="006E32A1">
            <w:pPr>
              <w:spacing w:line="240" w:lineRule="auto"/>
              <w:jc w:val="left"/>
              <w:rPr>
                <w:sz w:val="22"/>
                <w:lang w:val="fr-FR"/>
              </w:rPr>
            </w:pPr>
            <w:r w:rsidRPr="00081D74">
              <w:rPr>
                <w:sz w:val="22"/>
                <w:lang w:val="fr-FR"/>
              </w:rPr>
              <w:t xml:space="preserve">Fuel </w:t>
            </w:r>
            <w:proofErr w:type="spellStart"/>
            <w:r w:rsidRPr="00081D74">
              <w:rPr>
                <w:sz w:val="22"/>
                <w:lang w:val="fr-FR"/>
              </w:rPr>
              <w:t>consumption</w:t>
            </w:r>
            <w:proofErr w:type="spellEnd"/>
          </w:p>
        </w:tc>
        <w:tc>
          <w:tcPr>
            <w:tcW w:w="3210" w:type="pct"/>
          </w:tcPr>
          <w:p w14:paraId="1874C712" w14:textId="77777777" w:rsidR="005344D0" w:rsidRPr="00FD2C0A" w:rsidRDefault="005344D0" w:rsidP="006E32A1">
            <w:pPr>
              <w:spacing w:line="240" w:lineRule="auto"/>
              <w:rPr>
                <w:sz w:val="22"/>
                <w:lang w:val="fr-FR"/>
              </w:rPr>
            </w:pPr>
            <w:r>
              <w:rPr>
                <w:sz w:val="22"/>
              </w:rPr>
              <w:fldChar w:fldCharType="begin"/>
            </w:r>
            <w:r w:rsidRPr="007A38D6">
              <w:rPr>
                <w:sz w:val="22"/>
                <w:lang w:val="it-IT"/>
              </w:rPr>
              <w:instrText xml:space="preserve"> ADDIN EN.CITE &lt;EndNote&gt;&lt;Cite AuthorYear="1"&gt;&lt;Author&gt;Marcucci&lt;/Author&gt;&lt;Year&gt;2017&lt;/Year&gt;&lt;RecNum&gt;161&lt;/RecNum&gt;&lt;DisplayText&gt;Marcucci et al. (2017a)&lt;/DisplayText&gt;&lt;record&gt;&lt;rec-number&gt;161&lt;/rec-number&gt;&lt;foreign-keys&gt;&lt;key app="EN" db-id="x5etaz5aiszvz0edasvvpwvotttxepvd25t2" timestamp="1609264002"&gt;161&lt;/key&gt;&lt;/foreign-keys&gt;&lt;ref-type name="Journal Article"&gt;17&lt;/ref-type&gt;&lt;contributors&gt;&lt;authors&gt;&lt;author&gt;Marcucci, E.&lt;/author&gt;&lt;author&gt;Gatta, V.&lt;/author&gt;&lt;author&gt;Marciani, M.&lt;/author&gt;&lt;author&gt;Cossu, P.&lt;/author&gt;&lt;/authors&gt;&lt;/contributors&gt;&lt;auth-address&gt;Department of Political Science, Roma Tre University, Via Gabriello Chiabrera 199, Rome, 00145, Italy&amp;#xD;FIT Consulting srl, Via Lavinio 15, Rome, 00183, Italy&amp;#xD;Molde University College, Britvegen 2, Molde, 6410, Norway&lt;/auth-address&gt;&lt;titles&gt;&lt;title&gt;Measuring the effects of an urban freight policy package defined via a collaborative governance model&lt;/title&gt;&lt;secondary-title&gt;Research in Transportation Economics&lt;/secondary-title&gt;&lt;/titles&gt;&lt;pages&gt;3-9&lt;/pages&gt;&lt;volume&gt;65&lt;/volume&gt;&lt;keywords&gt;&lt;keyword&gt;City logistics&lt;/keyword&gt;&lt;keyword&gt;Collaborative logistics&lt;/keyword&gt;&lt;keyword&gt;Governance model&lt;/keyword&gt;&lt;keyword&gt;Stakeholders engagement&lt;/keyword&gt;&lt;/keywords&gt;&lt;dates&gt;&lt;year&gt;2017&lt;/year&gt;&lt;/dates&gt;&lt;publisher&gt;JAI Press&lt;/publisher&gt;&lt;isbn&gt;07398859 (ISSN)&lt;/isbn&gt;&lt;work-type&gt;Article&lt;/work-type&gt;&lt;urls&gt;&lt;related-urls&gt;&lt;url&gt;https://www.scopus.com/inward/record.uri?eid=2-s2.0-85029706904&amp;amp;doi=10.1016%2fj.retrec.2017.09.001&amp;amp;partnerID=40&amp;amp;md5=d8a9c1baa072da3e73730916e2b30088&lt;/url&gt;&lt;/related-urls&gt;&lt;/urls&gt;&lt;electronic-resource-num&gt;10.1016/j.retrec.2017.09.001&lt;/electronic-resource-num&gt;&lt;remote-database-name&gt;Scopus&lt;/remote-database-name&gt;&lt;language&gt;English&lt;/language&gt;&lt;/record&gt;&lt;/Cite&gt;&lt;/EndNote&gt;</w:instrText>
            </w:r>
            <w:r>
              <w:rPr>
                <w:sz w:val="22"/>
              </w:rPr>
              <w:fldChar w:fldCharType="separate"/>
            </w:r>
            <w:r w:rsidRPr="00E5436C">
              <w:rPr>
                <w:noProof/>
                <w:sz w:val="22"/>
                <w:lang w:val="it-IT"/>
              </w:rPr>
              <w:t>Marcucci et al. (2017a)</w:t>
            </w:r>
            <w:r>
              <w:rPr>
                <w:sz w:val="22"/>
              </w:rPr>
              <w:fldChar w:fldCharType="end"/>
            </w:r>
            <w:r>
              <w:rPr>
                <w:sz w:val="22"/>
                <w:lang w:val="fr-FR"/>
              </w:rPr>
              <w:t>;</w:t>
            </w:r>
            <w:r w:rsidRPr="007741AE">
              <w:rPr>
                <w:sz w:val="22"/>
                <w:lang w:val="fr-FR"/>
              </w:rPr>
              <w:t xml:space="preserve"> </w:t>
            </w:r>
            <w:r>
              <w:rPr>
                <w:sz w:val="22"/>
              </w:rPr>
              <w:fldChar w:fldCharType="begin">
                <w:fldData xml:space="preserve">PEVuZE5vdGU+PENpdGUgQXV0aG9yWWVhcj0iMSI+PEF1dGhvcj5NYXJ1am88L0F1dGhvcj48WWVh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==
</w:fldData>
              </w:fldChar>
            </w:r>
            <w:r w:rsidRPr="00E5436C">
              <w:rPr>
                <w:sz w:val="22"/>
                <w:lang w:val="it-IT"/>
              </w:rPr>
              <w:instrText xml:space="preserve"> ADDIN EN.CITE </w:instrText>
            </w:r>
            <w:r>
              <w:rPr>
                <w:sz w:val="22"/>
              </w:rPr>
              <w:fldChar w:fldCharType="begin">
                <w:fldData xml:space="preserve">PEVuZE5vdGU+PENpdGUgQXV0aG9yWWVhcj0iMSI+PEF1dGhvcj5NYXJ1am88L0F1dGhvcj48WWVh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==
</w:fldData>
              </w:fldChar>
            </w:r>
            <w:r w:rsidRPr="00E5436C">
              <w:rPr>
                <w:sz w:val="22"/>
                <w:lang w:val="it-IT"/>
              </w:rPr>
              <w:instrText xml:space="preserve"> ADDIN EN.CITE.DATA </w:instrText>
            </w:r>
            <w:r>
              <w:rPr>
                <w:sz w:val="22"/>
              </w:rPr>
            </w:r>
            <w:r>
              <w:rPr>
                <w:sz w:val="22"/>
              </w:rPr>
              <w:fldChar w:fldCharType="end"/>
            </w:r>
            <w:r>
              <w:rPr>
                <w:sz w:val="22"/>
              </w:rPr>
            </w:r>
            <w:r>
              <w:rPr>
                <w:sz w:val="22"/>
              </w:rPr>
              <w:fldChar w:fldCharType="separate"/>
            </w:r>
            <w:r w:rsidRPr="00BA4FBE">
              <w:rPr>
                <w:noProof/>
                <w:sz w:val="22"/>
                <w:lang w:val="fr-FR"/>
              </w:rPr>
              <w:t>Marujo et al. (2018)</w:t>
            </w:r>
            <w:r>
              <w:rPr>
                <w:sz w:val="22"/>
              </w:rPr>
              <w:fldChar w:fldCharType="end"/>
            </w:r>
            <w:r>
              <w:rPr>
                <w:sz w:val="22"/>
                <w:lang w:val="fr-FR"/>
              </w:rPr>
              <w:t>;</w:t>
            </w:r>
            <w:r w:rsidRPr="007741AE">
              <w:rPr>
                <w:sz w:val="22"/>
                <w:lang w:val="fr-FR"/>
              </w:rPr>
              <w:t xml:space="preserve"> </w:t>
            </w:r>
            <w:r>
              <w:rPr>
                <w:sz w:val="22"/>
              </w:rPr>
              <w:fldChar w:fldCharType="begin">
                <w:fldData xml:space="preserve">PEVuZE5vdGU+PENpdGUgQXV0aG9yWWVhcj0iMSI+PEF1dGhvcj5aaGFuZzwvQXV0aG9yPjxZZWFy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</w:fldData>
              </w:fldChar>
            </w:r>
            <w:r>
              <w:rPr>
                <w:sz w:val="22"/>
              </w:rPr>
              <w:instrText xml:space="preserve"> ADDIN EN.CITE </w:instrText>
            </w:r>
            <w:r>
              <w:rPr>
                <w:sz w:val="22"/>
              </w:rPr>
              <w:fldChar w:fldCharType="begin">
                <w:fldData xml:space="preserve">PEVuZE5vdGU+PENpdGUgQXV0aG9yWWVhcj0iMSI+PEF1dGhvcj5aaGFuZzwvQXV0aG9yPjxZZWFy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</w:fldData>
              </w:fldChar>
            </w:r>
            <w:r>
              <w:rPr>
                <w:sz w:val="22"/>
              </w:rPr>
              <w:instrText xml:space="preserve"> ADDIN EN.CITE.DATA </w:instrText>
            </w:r>
            <w:r>
              <w:rPr>
                <w:sz w:val="22"/>
              </w:rPr>
            </w:r>
            <w:r>
              <w:rPr>
                <w:sz w:val="22"/>
              </w:rPr>
              <w:fldChar w:fldCharType="end"/>
            </w:r>
            <w:r>
              <w:rPr>
                <w:sz w:val="22"/>
              </w:rPr>
            </w:r>
            <w:r>
              <w:rPr>
                <w:sz w:val="22"/>
              </w:rPr>
              <w:fldChar w:fldCharType="separate"/>
            </w:r>
            <w:r w:rsidRPr="00BA4FBE">
              <w:rPr>
                <w:noProof/>
                <w:sz w:val="22"/>
                <w:lang w:val="fr-FR"/>
              </w:rPr>
              <w:t xml:space="preserve">Zhang et al. </w:t>
            </w:r>
            <w:r>
              <w:rPr>
                <w:noProof/>
                <w:sz w:val="22"/>
              </w:rPr>
              <w:t>(2019)</w:t>
            </w:r>
            <w:r>
              <w:rPr>
                <w:sz w:val="22"/>
              </w:rPr>
              <w:fldChar w:fldCharType="end"/>
            </w:r>
            <w:r w:rsidRPr="007741AE">
              <w:rPr>
                <w:sz w:val="22"/>
                <w:lang w:val="fr-FR"/>
              </w:rPr>
              <w:t>.</w:t>
            </w:r>
          </w:p>
        </w:tc>
        <w:tc>
          <w:tcPr>
            <w:tcW w:w="682" w:type="pct"/>
            <w:vAlign w:val="center"/>
          </w:tcPr>
          <w:p w14:paraId="5305C2FF" w14:textId="77777777" w:rsidR="005344D0" w:rsidRPr="00081D74" w:rsidRDefault="005344D0" w:rsidP="006E32A1">
            <w:pPr>
              <w:spacing w:line="240" w:lineRule="auto"/>
              <w:jc w:val="center"/>
              <w:rPr>
                <w:sz w:val="22"/>
                <w:lang w:val="fr-FR"/>
              </w:rPr>
            </w:pPr>
            <w:r w:rsidRPr="00081D74">
              <w:rPr>
                <w:sz w:val="22"/>
                <w:lang w:val="fr-FR"/>
              </w:rPr>
              <w:t>3</w:t>
            </w:r>
          </w:p>
        </w:tc>
      </w:tr>
      <w:tr w:rsidR="005344D0" w:rsidRPr="00081D74" w14:paraId="1C367F42" w14:textId="77777777" w:rsidTr="006E32A1">
        <w:tc>
          <w:tcPr>
            <w:tcW w:w="1108" w:type="pct"/>
            <w:vAlign w:val="center"/>
          </w:tcPr>
          <w:p w14:paraId="40FBC2C6" w14:textId="77777777" w:rsidR="005344D0" w:rsidRPr="00081D74" w:rsidRDefault="005344D0" w:rsidP="006E32A1">
            <w:pPr>
              <w:spacing w:line="240" w:lineRule="auto"/>
              <w:jc w:val="left"/>
              <w:rPr>
                <w:sz w:val="22"/>
                <w:lang w:val="fr-FR"/>
              </w:rPr>
            </w:pPr>
            <w:r w:rsidRPr="00081D74">
              <w:rPr>
                <w:sz w:val="22"/>
                <w:lang w:val="fr-FR"/>
              </w:rPr>
              <w:t>Noise</w:t>
            </w:r>
          </w:p>
        </w:tc>
        <w:tc>
          <w:tcPr>
            <w:tcW w:w="3210" w:type="pct"/>
          </w:tcPr>
          <w:p w14:paraId="156C0158" w14:textId="77777777" w:rsidR="005344D0" w:rsidRPr="00081D74" w:rsidRDefault="005344D0" w:rsidP="006E32A1">
            <w:pPr>
              <w:spacing w:line="240" w:lineRule="auto"/>
              <w:rPr>
                <w:sz w:val="22"/>
                <w:lang w:val="fr-FR"/>
              </w:rPr>
            </w:pPr>
            <w:r>
              <w:rPr>
                <w:sz w:val="22"/>
              </w:rPr>
              <w:fldChar w:fldCharType="begin">
                <w:fldData xml:space="preserve">PEVuZE5vdGU+PENpdGUgQXV0aG9yWWVhcj0iMSI+PEF1dGhvcj5Nb21tZW5zPC9BdXRob3I+PFll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</w:fldData>
              </w:fldChar>
            </w:r>
            <w:r>
              <w:rPr>
                <w:sz w:val="22"/>
              </w:rPr>
              <w:instrText xml:space="preserve"> ADDIN EN.CITE </w:instrText>
            </w:r>
            <w:r>
              <w:rPr>
                <w:sz w:val="22"/>
              </w:rPr>
              <w:fldChar w:fldCharType="begin">
                <w:fldData xml:space="preserve">PEVuZE5vdGU+PENpdGUgQXV0aG9yWWVhcj0iMSI+PEF1dGhvcj5Nb21tZW5zPC9BdXRob3I+PFll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</w:fldData>
              </w:fldChar>
            </w:r>
            <w:r>
              <w:rPr>
                <w:sz w:val="22"/>
              </w:rPr>
              <w:instrText xml:space="preserve"> ADDIN EN.CITE.DATA </w:instrText>
            </w:r>
            <w:r>
              <w:rPr>
                <w:sz w:val="22"/>
              </w:rPr>
            </w:r>
            <w:r>
              <w:rPr>
                <w:sz w:val="22"/>
              </w:rPr>
              <w:fldChar w:fldCharType="end"/>
            </w:r>
            <w:r>
              <w:rPr>
                <w:sz w:val="22"/>
              </w:rPr>
            </w:r>
            <w:r>
              <w:rPr>
                <w:sz w:val="22"/>
              </w:rPr>
              <w:fldChar w:fldCharType="separate"/>
            </w:r>
            <w:r>
              <w:rPr>
                <w:noProof/>
                <w:sz w:val="22"/>
              </w:rPr>
              <w:t>Mommens et al. (2018)</w:t>
            </w:r>
            <w:r>
              <w:rPr>
                <w:sz w:val="22"/>
              </w:rPr>
              <w:fldChar w:fldCharType="end"/>
            </w:r>
            <w:r>
              <w:rPr>
                <w:sz w:val="22"/>
              </w:rPr>
              <w:t xml:space="preserve">; </w:t>
            </w:r>
            <w:r>
              <w:rPr>
                <w:sz w:val="22"/>
              </w:rPr>
              <w:fldChar w:fldCharType="begin"/>
            </w:r>
            <w:r>
              <w:rPr>
                <w:sz w:val="22"/>
              </w:rPr>
              <w:instrText xml:space="preserve"> ADDIN EN.CITE &lt;EndNote&gt;&lt;Cite AuthorYear="1"&gt;&lt;Author&gt;Yusuf&lt;/Author&gt;&lt;Year&gt;2018&lt;/Year&gt;&lt;RecNum&gt;114&lt;/RecNum&gt;&lt;DisplayText&gt;Yusuf (2018)&lt;/DisplayText&gt;&lt;record&gt;&lt;rec-number&gt;114&lt;/rec-number&gt;&lt;foreign-keys&gt;&lt;key app="EN" db-id="pzt5ep52hsedfpeext2pdfes0w0aswaewef2" timestamp="1605187994"&gt;114&lt;/key&gt;&lt;/foreign-keys&gt;&lt;ref-type name="Journal Article"&gt;17&lt;/ref-type&gt;&lt;contributors&gt;&lt;authors&gt;&lt;author&gt;Yusuf, N.&lt;/author&gt;&lt;/authors&gt;&lt;/contributors&gt;&lt;auth-address&gt;University of Indonesia, Indonesia&amp;#xD;Universiti Tun Hussein Onn, Malaysia&lt;/auth-address&gt;&lt;titles&gt;&lt;title&gt;The impact of freight vehicle access restriction on the sustainability of Jakarta intra urban tollway system&lt;/title&gt;&lt;secondary-title&gt;Planning Malaysia&lt;/secondary-title&gt;&lt;alt-title&gt;Plann.Malays.&lt;/alt-title&gt;&lt;/titles&gt;&lt;periodical&gt;&lt;full-title&gt;Planning Malaysia&lt;/full-title&gt;&lt;abbr-1&gt;Plann.Malays.&lt;/abbr-1&gt;&lt;/periodical&gt;&lt;alt-periodical&gt;&lt;full-title&gt;Planning Malaysia&lt;/full-title&gt;&lt;abbr-1&gt;Plann.Malays.&lt;/abbr-1&gt;&lt;/alt-periodical&gt;&lt;pages&gt;50-62&lt;/pages&gt;&lt;volume&gt;16&lt;/volume&gt;&lt;number&gt;1&lt;/number&gt;&lt;keywords&gt;&lt;keyword&gt;Access restriction&lt;/keyword&gt;&lt;keyword&gt;Freight vehicle&lt;/keyword&gt;&lt;keyword&gt;Sustainable transportation&lt;/keyword&gt;&lt;keyword&gt;Toll way system&lt;/keyword&gt;&lt;/keywords&gt;&lt;dates&gt;&lt;year&gt;2018&lt;/year&gt;&lt;/dates&gt;&lt;publisher&gt;Malaysian Institute Of Planners&lt;/publisher&gt;&lt;isbn&gt;16756215 (ISSN)&lt;/isbn&gt;&lt;work-type&gt;Article&lt;/work-type&gt;&lt;urls&gt;&lt;related-urls&gt;&lt;url&gt;https://www.scopus.com/inward/record.uri?eid=2-s2.0-85050867316&amp;amp;partnerID=40&amp;amp;md5=8ccfd92327b632f9560b112a8bf5fc56&lt;/url&gt;&lt;/related-urls&gt;&lt;/urls&gt;&lt;remote-database-name&gt;Scopus&lt;/remote-database-name&gt;&lt;research-notes&gt;239&lt;/research-notes&gt;&lt;language&gt;English&lt;/language&gt;&lt;/record&gt;&lt;/Cite&gt;&lt;/EndNote&gt;</w:instrText>
            </w:r>
            <w:r>
              <w:rPr>
                <w:sz w:val="22"/>
              </w:rPr>
              <w:fldChar w:fldCharType="separate"/>
            </w:r>
            <w:r>
              <w:rPr>
                <w:noProof/>
                <w:sz w:val="22"/>
              </w:rPr>
              <w:t>Yusuf (2018)</w:t>
            </w:r>
            <w:r>
              <w:rPr>
                <w:sz w:val="22"/>
              </w:rPr>
              <w:fldChar w:fldCharType="end"/>
            </w:r>
            <w:r>
              <w:rPr>
                <w:sz w:val="22"/>
              </w:rPr>
              <w:t>.</w:t>
            </w:r>
          </w:p>
        </w:tc>
        <w:tc>
          <w:tcPr>
            <w:tcW w:w="682" w:type="pct"/>
            <w:vAlign w:val="center"/>
          </w:tcPr>
          <w:p w14:paraId="6B7C5785" w14:textId="77777777" w:rsidR="005344D0" w:rsidRPr="00081D74" w:rsidRDefault="005344D0" w:rsidP="006E32A1">
            <w:pPr>
              <w:spacing w:line="240" w:lineRule="auto"/>
              <w:jc w:val="center"/>
              <w:rPr>
                <w:sz w:val="22"/>
                <w:lang w:val="fr-FR"/>
              </w:rPr>
            </w:pPr>
            <w:r w:rsidRPr="00081D74">
              <w:rPr>
                <w:sz w:val="22"/>
                <w:lang w:val="fr-FR"/>
              </w:rPr>
              <w:t>2</w:t>
            </w:r>
          </w:p>
        </w:tc>
      </w:tr>
      <w:tr w:rsidR="005344D0" w:rsidRPr="00081D74" w14:paraId="7FDA35F2" w14:textId="77777777" w:rsidTr="006E32A1">
        <w:tc>
          <w:tcPr>
            <w:tcW w:w="1108" w:type="pct"/>
            <w:vAlign w:val="center"/>
          </w:tcPr>
          <w:p w14:paraId="71BCB6DA" w14:textId="77777777" w:rsidR="005344D0" w:rsidRPr="00081D74" w:rsidRDefault="005344D0" w:rsidP="006E32A1">
            <w:pPr>
              <w:spacing w:line="240" w:lineRule="auto"/>
              <w:jc w:val="left"/>
              <w:rPr>
                <w:sz w:val="22"/>
                <w:lang w:val="fr-FR"/>
              </w:rPr>
            </w:pPr>
            <w:r w:rsidRPr="00081D74">
              <w:rPr>
                <w:sz w:val="22"/>
                <w:lang w:val="fr-FR"/>
              </w:rPr>
              <w:t>Customer satisfaction</w:t>
            </w:r>
          </w:p>
        </w:tc>
        <w:tc>
          <w:tcPr>
            <w:tcW w:w="3210" w:type="pct"/>
          </w:tcPr>
          <w:p w14:paraId="6FBFCC04" w14:textId="77777777" w:rsidR="005344D0" w:rsidRPr="00A04B1C" w:rsidRDefault="005344D0" w:rsidP="006E32A1">
            <w:pPr>
              <w:spacing w:line="240" w:lineRule="auto"/>
              <w:rPr>
                <w:sz w:val="22"/>
                <w:lang w:val="sv-SE"/>
              </w:rPr>
            </w:pPr>
            <w:r w:rsidRPr="003504BA">
              <w:rPr>
                <w:sz w:val="22"/>
              </w:rPr>
              <w:fldChar w:fldCharType="begin"/>
            </w:r>
            <w:r>
              <w:rPr>
                <w:sz w:val="22"/>
              </w:rPr>
              <w:instrText xml:space="preserve"> ADDIN EN.CITE &lt;EndNote&gt;&lt;Cite AuthorYear="1"&gt;&lt;Author&gt;Holguín-Veras&lt;/Author&gt;&lt;Year&gt;2012&lt;/Year&gt;&lt;RecNum&gt;60&lt;/RecNum&gt;&lt;DisplayText&gt;Holguín-Veras (2012)&lt;/DisplayText&gt;&lt;record&gt;&lt;rec-number&gt;60&lt;/rec-number&gt;&lt;foreign-keys&gt;&lt;key app="EN" db-id="pzt5ep52hsedfpeext2pdfes0w0aswaewef2" timestamp="1605187992"&gt;60&lt;/key&gt;&lt;/foreign-keys&gt;&lt;ref-type name="Journal Article"&gt;17&lt;/ref-type&gt;&lt;contributors&gt;&lt;authors&gt;&lt;author&gt;Holguín-Veras, José&lt;/author&gt;&lt;/authors&gt;&lt;/contributors&gt;&lt;titles&gt;&lt;title&gt;Approximation model to estimate joint market share in off-hour deliveries: William H. Hart Professor&lt;/title&gt;&lt;secondary-title&gt;Logistics Research&lt;/secondary-title&gt;&lt;/titles&gt;&lt;periodical&gt;&lt;full-title&gt;Logistics Research&lt;/full-title&gt;&lt;/periodical&gt;&lt;pages&gt;101-110&lt;/pages&gt;&lt;volume&gt;4&lt;/volume&gt;&lt;number&gt;3&lt;/number&gt;&lt;dates&gt;&lt;year&gt;2012&lt;/year&gt;&lt;pub-dates&gt;&lt;date&gt;2012/05/01&lt;/date&gt;&lt;/pub-dates&gt;&lt;/dates&gt;&lt;isbn&gt;1865-0368&lt;/isbn&gt;&lt;urls&gt;&lt;related-urls&gt;&lt;url&gt;https://doi.org/10.1007/s12159-012-0065-1&lt;/url&gt;&lt;url&gt;https://link.springer.com/content/pdf/10.1007%2Fs12159-012-0065-1.pdf&lt;/url&gt;&lt;/related-urls&gt;&lt;/urls&gt;&lt;electronic-resource-num&gt;10.1007/s12159-012-0065-1&lt;/electronic-resource-num&gt;&lt;research-notes&gt;58&lt;/research-notes&gt;&lt;/record&gt;&lt;/Cite&gt;&lt;/EndNote&gt;</w:instrText>
            </w:r>
            <w:r w:rsidRPr="003504BA">
              <w:rPr>
                <w:sz w:val="22"/>
              </w:rPr>
              <w:fldChar w:fldCharType="separate"/>
            </w:r>
            <w:r w:rsidRPr="00BA4FBE">
              <w:rPr>
                <w:noProof/>
                <w:sz w:val="22"/>
                <w:lang w:val="sv-SE"/>
              </w:rPr>
              <w:t>Holguín-Veras (2012)</w:t>
            </w:r>
            <w:r w:rsidRPr="003504BA">
              <w:rPr>
                <w:sz w:val="22"/>
              </w:rPr>
              <w:fldChar w:fldCharType="end"/>
            </w:r>
            <w:r>
              <w:rPr>
                <w:sz w:val="22"/>
                <w:lang w:val="sv-SE"/>
              </w:rPr>
              <w:t>;</w:t>
            </w:r>
            <w:r w:rsidRPr="007741AE">
              <w:rPr>
                <w:sz w:val="22"/>
                <w:lang w:val="sv-SE"/>
              </w:rPr>
              <w:t xml:space="preserve"> </w:t>
            </w:r>
            <w:r w:rsidRPr="003504BA">
              <w:rPr>
                <w:sz w:val="22"/>
              </w:rPr>
              <w:fldChar w:fldCharType="begin">
                <w:fldData xml:space="preserve">PEVuZE5vdGU+PENpdGUgQXV0aG9yWWVhcj0iMSI+PEF1dGhvcj5MaW5kaG9sbTwvQXV0aG9yPjxZ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</w:fldData>
              </w:fldChar>
            </w:r>
            <w:r>
              <w:rPr>
                <w:sz w:val="22"/>
              </w:rPr>
              <w:instrText xml:space="preserve"> ADDIN EN.CITE </w:instrText>
            </w:r>
            <w:r>
              <w:rPr>
                <w:sz w:val="22"/>
              </w:rPr>
              <w:fldChar w:fldCharType="begin">
                <w:fldData xml:space="preserve">PEVuZE5vdGU+PENpdGUgQXV0aG9yWWVhcj0iMSI+PEF1dGhvcj5MaW5kaG9sbTwvQXV0aG9yPjxZ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</w:fldData>
              </w:fldChar>
            </w:r>
            <w:r>
              <w:rPr>
                <w:sz w:val="22"/>
              </w:rPr>
              <w:instrText xml:space="preserve"> ADDIN EN.CITE.DATA </w:instrText>
            </w:r>
            <w:r>
              <w:rPr>
                <w:sz w:val="22"/>
              </w:rPr>
            </w:r>
            <w:r>
              <w:rPr>
                <w:sz w:val="22"/>
              </w:rPr>
              <w:fldChar w:fldCharType="end"/>
            </w:r>
            <w:r w:rsidRPr="003504BA">
              <w:rPr>
                <w:sz w:val="22"/>
              </w:rPr>
            </w:r>
            <w:r w:rsidRPr="003504BA">
              <w:rPr>
                <w:sz w:val="22"/>
              </w:rPr>
              <w:fldChar w:fldCharType="separate"/>
            </w:r>
            <w:r w:rsidRPr="00BA4FBE">
              <w:rPr>
                <w:noProof/>
                <w:sz w:val="22"/>
                <w:lang w:val="sv-SE"/>
              </w:rPr>
              <w:t>Lindholm and Blinge (2014)</w:t>
            </w:r>
            <w:r w:rsidRPr="003504BA">
              <w:rPr>
                <w:sz w:val="22"/>
              </w:rPr>
              <w:fldChar w:fldCharType="end"/>
            </w:r>
            <w:r w:rsidRPr="007741AE">
              <w:rPr>
                <w:sz w:val="22"/>
                <w:lang w:val="sv-SE"/>
              </w:rPr>
              <w:t>.</w:t>
            </w:r>
          </w:p>
        </w:tc>
        <w:tc>
          <w:tcPr>
            <w:tcW w:w="682" w:type="pct"/>
            <w:vAlign w:val="center"/>
          </w:tcPr>
          <w:p w14:paraId="2C02BB5A" w14:textId="77777777" w:rsidR="005344D0" w:rsidRPr="00081D74" w:rsidRDefault="005344D0" w:rsidP="006E32A1">
            <w:pPr>
              <w:spacing w:line="240" w:lineRule="auto"/>
              <w:jc w:val="center"/>
              <w:rPr>
                <w:sz w:val="22"/>
                <w:lang w:val="fr-FR"/>
              </w:rPr>
            </w:pPr>
            <w:r w:rsidRPr="00081D74">
              <w:rPr>
                <w:sz w:val="22"/>
                <w:lang w:val="fr-FR"/>
              </w:rPr>
              <w:t>2</w:t>
            </w:r>
          </w:p>
        </w:tc>
      </w:tr>
      <w:tr w:rsidR="005344D0" w:rsidRPr="00081D74" w14:paraId="1B01E973" w14:textId="77777777" w:rsidTr="006E32A1">
        <w:tc>
          <w:tcPr>
            <w:tcW w:w="1108" w:type="pct"/>
            <w:vAlign w:val="center"/>
          </w:tcPr>
          <w:p w14:paraId="71548557" w14:textId="77777777" w:rsidR="005344D0" w:rsidRPr="00081D74" w:rsidRDefault="005344D0" w:rsidP="006E32A1">
            <w:pPr>
              <w:spacing w:line="240" w:lineRule="auto"/>
              <w:jc w:val="left"/>
              <w:rPr>
                <w:sz w:val="22"/>
                <w:lang w:val="fr-FR"/>
              </w:rPr>
            </w:pPr>
            <w:r w:rsidRPr="00081D74">
              <w:rPr>
                <w:sz w:val="22"/>
                <w:lang w:val="fr-FR"/>
              </w:rPr>
              <w:t>Stop duration</w:t>
            </w:r>
          </w:p>
        </w:tc>
        <w:tc>
          <w:tcPr>
            <w:tcW w:w="3210" w:type="pct"/>
          </w:tcPr>
          <w:p w14:paraId="528C4155" w14:textId="77777777" w:rsidR="005344D0" w:rsidRPr="00BA4FBE" w:rsidRDefault="005344D0" w:rsidP="006E32A1">
            <w:pPr>
              <w:spacing w:line="240" w:lineRule="auto"/>
              <w:rPr>
                <w:sz w:val="22"/>
                <w:lang w:val="it-IT"/>
              </w:rPr>
            </w:pPr>
            <w:r w:rsidRPr="003504BA">
              <w:rPr>
                <w:sz w:val="22"/>
              </w:rPr>
              <w:fldChar w:fldCharType="begin">
                <w:fldData xml:space="preserve">PEVuZE5vdGU+PENpdGUgQXV0aG9yWWVhcj0iMSI+PEF1dGhvcj5GaWdsaW96emk8L0F1dGhvcj48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</w:fldData>
              </w:fldChar>
            </w:r>
            <w:r w:rsidRPr="007C274E">
              <w:rPr>
                <w:sz w:val="22"/>
                <w:lang w:val="it-IT"/>
              </w:rPr>
              <w:instrText xml:space="preserve"> ADDIN EN.CITE </w:instrText>
            </w:r>
            <w:r>
              <w:rPr>
                <w:sz w:val="22"/>
              </w:rPr>
              <w:fldChar w:fldCharType="begin">
                <w:fldData xml:space="preserve">PEVuZE5vdGU+PENpdGUgQXV0aG9yWWVhcj0iMSI+PEF1dGhvcj5GaWdsaW96emk8L0F1dGhvcj48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</w:fldData>
              </w:fldChar>
            </w:r>
            <w:r w:rsidRPr="007C274E">
              <w:rPr>
                <w:sz w:val="22"/>
                <w:lang w:val="it-IT"/>
              </w:rPr>
              <w:instrText xml:space="preserve"> ADDIN EN.CITE.DATA </w:instrText>
            </w:r>
            <w:r>
              <w:rPr>
                <w:sz w:val="22"/>
              </w:rPr>
            </w:r>
            <w:r>
              <w:rPr>
                <w:sz w:val="22"/>
              </w:rPr>
              <w:fldChar w:fldCharType="end"/>
            </w:r>
            <w:r w:rsidRPr="003504BA">
              <w:rPr>
                <w:sz w:val="22"/>
              </w:rPr>
            </w:r>
            <w:r w:rsidRPr="003504BA">
              <w:rPr>
                <w:sz w:val="22"/>
              </w:rPr>
              <w:fldChar w:fldCharType="separate"/>
            </w:r>
            <w:r w:rsidRPr="00BA4FBE">
              <w:rPr>
                <w:noProof/>
                <w:sz w:val="22"/>
                <w:lang w:val="it-IT"/>
              </w:rPr>
              <w:t>Figliozzi (2010)</w:t>
            </w:r>
            <w:r w:rsidRPr="003504BA">
              <w:rPr>
                <w:sz w:val="22"/>
              </w:rPr>
              <w:fldChar w:fldCharType="end"/>
            </w:r>
            <w:r>
              <w:rPr>
                <w:sz w:val="22"/>
                <w:lang w:val="it-IT"/>
              </w:rPr>
              <w:t>;</w:t>
            </w:r>
            <w:r w:rsidRPr="007741AE">
              <w:rPr>
                <w:sz w:val="22"/>
                <w:lang w:val="it-IT"/>
              </w:rPr>
              <w:t xml:space="preserve"> </w:t>
            </w:r>
            <w:r>
              <w:rPr>
                <w:sz w:val="22"/>
                <w:lang w:val="fr-FR"/>
              </w:rPr>
              <w:fldChar w:fldCharType="begin"/>
            </w:r>
            <w:r>
              <w:rPr>
                <w:sz w:val="22"/>
                <w:lang w:val="fr-FR"/>
              </w:rPr>
              <w:instrText xml:space="preserve"> ADDIN EN.CITE &lt;EndNote&gt;&lt;Cite AuthorYear="1"&gt;&lt;Author&gt;Muñuzuri&lt;/Author&gt;&lt;Year&gt;2013&lt;/Year&gt;&lt;RecNum&gt;374&lt;/RecNum&gt;&lt;DisplayText&gt;Muñuzuri et al. (2013a)&lt;/DisplayText&gt;&lt;record&gt;&lt;rec-number&gt;374&lt;/rec-number&gt;&lt;foreign-keys&gt;&lt;key app="EN" db-id="pzt5ep52hsedfpeext2pdfes0w0aswaewef2" timestamp="1605189904"&gt;374&lt;/key&gt;&lt;/foreign-keys&gt;&lt;ref-type name="Journal Article"&gt;17&lt;/ref-type&gt;&lt;contributors&gt;&lt;authors&gt;&lt;author&gt;Muñuzuri, Jesús&lt;/author&gt;&lt;author&gt;Cortés, Pablo&lt;/author&gt;&lt;author&gt;Onieva, Luis&lt;/author&gt;&lt;author&gt;Guadix, José&lt;/author&gt;&lt;/authors&gt;&lt;/contributors&gt;&lt;titles&gt;&lt;title&gt;Simulating the effects of pedestrianisation on urban freight deliveries&lt;/title&gt;&lt;secondary-title&gt;European Transport\Trasporti Europei&lt;/secondary-title&gt;&lt;/titles&gt;&lt;periodical&gt;&lt;full-title&gt;European Transport\Trasporti Europei&lt;/full-title&gt;&lt;/periodical&gt;&lt;pages&gt;1-10&lt;/pages&gt;&lt;number&gt;54&lt;/number&gt;&lt;dates&gt;&lt;year&gt;2013&lt;/year&gt;&lt;/dates&gt;&lt;urls&gt;&lt;/urls&gt;&lt;/record&gt;&lt;/Cite&gt;&lt;/EndNote&gt;</w:instrText>
            </w:r>
            <w:r>
              <w:rPr>
                <w:sz w:val="22"/>
                <w:lang w:val="fr-FR"/>
              </w:rPr>
              <w:fldChar w:fldCharType="separate"/>
            </w:r>
            <w:r>
              <w:rPr>
                <w:noProof/>
                <w:sz w:val="22"/>
                <w:lang w:val="fr-FR"/>
              </w:rPr>
              <w:t>Muñuzuri et al. (2013a)</w:t>
            </w:r>
            <w:r>
              <w:rPr>
                <w:sz w:val="22"/>
                <w:lang w:val="fr-FR"/>
              </w:rPr>
              <w:fldChar w:fldCharType="end"/>
            </w:r>
            <w:r w:rsidRPr="007741AE">
              <w:rPr>
                <w:sz w:val="22"/>
                <w:lang w:val="it-IT"/>
              </w:rPr>
              <w:t>.</w:t>
            </w:r>
          </w:p>
        </w:tc>
        <w:tc>
          <w:tcPr>
            <w:tcW w:w="682" w:type="pct"/>
            <w:vAlign w:val="center"/>
          </w:tcPr>
          <w:p w14:paraId="69B334EA" w14:textId="77777777" w:rsidR="005344D0" w:rsidRPr="00081D74" w:rsidRDefault="005344D0" w:rsidP="006E32A1">
            <w:pPr>
              <w:spacing w:line="240" w:lineRule="auto"/>
              <w:jc w:val="center"/>
              <w:rPr>
                <w:sz w:val="22"/>
                <w:lang w:val="fr-FR"/>
              </w:rPr>
            </w:pPr>
            <w:r w:rsidRPr="00081D74">
              <w:rPr>
                <w:sz w:val="22"/>
                <w:lang w:val="fr-FR"/>
              </w:rPr>
              <w:t>2</w:t>
            </w:r>
          </w:p>
        </w:tc>
      </w:tr>
      <w:tr w:rsidR="005344D0" w:rsidRPr="00081D74" w14:paraId="37B224DA" w14:textId="77777777" w:rsidTr="006E32A1">
        <w:tc>
          <w:tcPr>
            <w:tcW w:w="1108" w:type="pct"/>
            <w:vAlign w:val="center"/>
          </w:tcPr>
          <w:p w14:paraId="33659E98" w14:textId="77777777" w:rsidR="005344D0" w:rsidRPr="00081D74" w:rsidRDefault="005344D0" w:rsidP="006E32A1">
            <w:pPr>
              <w:spacing w:line="240" w:lineRule="auto"/>
              <w:jc w:val="left"/>
              <w:rPr>
                <w:sz w:val="22"/>
                <w:lang w:val="fr-FR"/>
              </w:rPr>
            </w:pPr>
            <w:proofErr w:type="spellStart"/>
            <w:r w:rsidRPr="00081D74">
              <w:rPr>
                <w:sz w:val="22"/>
                <w:lang w:val="fr-FR"/>
              </w:rPr>
              <w:t>Goods</w:t>
            </w:r>
            <w:proofErr w:type="spellEnd"/>
            <w:r w:rsidRPr="00081D74">
              <w:rPr>
                <w:sz w:val="22"/>
                <w:lang w:val="fr-FR"/>
              </w:rPr>
              <w:t xml:space="preserve"> handling time</w:t>
            </w:r>
          </w:p>
        </w:tc>
        <w:tc>
          <w:tcPr>
            <w:tcW w:w="3210" w:type="pct"/>
          </w:tcPr>
          <w:p w14:paraId="5C820170" w14:textId="77777777" w:rsidR="005344D0" w:rsidRPr="00A04B1C" w:rsidRDefault="005344D0" w:rsidP="006E32A1">
            <w:pPr>
              <w:spacing w:line="240" w:lineRule="auto"/>
              <w:rPr>
                <w:sz w:val="22"/>
                <w:lang w:val="it-IT"/>
              </w:rPr>
            </w:pPr>
            <w:r>
              <w:rPr>
                <w:sz w:val="22"/>
              </w:rPr>
              <w:fldChar w:fldCharType="begin">
                <w:fldData xml:space="preserve">PEVuZE5vdGU+PENpdGUgQXV0aG9yWWVhcj0iMSI+PEF1dGhvcj5NYXJ1am88L0F1dGhvcj48WWVh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==
</w:fldData>
              </w:fldChar>
            </w:r>
            <w:r w:rsidRPr="00E5436C">
              <w:rPr>
                <w:sz w:val="22"/>
                <w:lang w:val="it-IT"/>
              </w:rPr>
              <w:instrText xml:space="preserve"> ADDIN EN.CITE </w:instrText>
            </w:r>
            <w:r>
              <w:rPr>
                <w:sz w:val="22"/>
              </w:rPr>
              <w:fldChar w:fldCharType="begin">
                <w:fldData xml:space="preserve">PEVuZE5vdGU+PENpdGUgQXV0aG9yWWVhcj0iMSI+PEF1dGhvcj5NYXJ1am88L0F1dGhvcj48WWVh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==
</w:fldData>
              </w:fldChar>
            </w:r>
            <w:r w:rsidRPr="00E5436C">
              <w:rPr>
                <w:sz w:val="22"/>
                <w:lang w:val="it-IT"/>
              </w:rPr>
              <w:instrText xml:space="preserve"> ADDIN EN.CITE.DATA </w:instrText>
            </w:r>
            <w:r>
              <w:rPr>
                <w:sz w:val="22"/>
              </w:rPr>
            </w:r>
            <w:r>
              <w:rPr>
                <w:sz w:val="22"/>
              </w:rPr>
              <w:fldChar w:fldCharType="end"/>
            </w:r>
            <w:r>
              <w:rPr>
                <w:sz w:val="22"/>
              </w:rPr>
            </w:r>
            <w:r>
              <w:rPr>
                <w:sz w:val="22"/>
              </w:rPr>
              <w:fldChar w:fldCharType="separate"/>
            </w:r>
            <w:r w:rsidRPr="00BA4FBE">
              <w:rPr>
                <w:noProof/>
                <w:sz w:val="22"/>
                <w:lang w:val="it-IT"/>
              </w:rPr>
              <w:t>Marujo et al. (2018)</w:t>
            </w:r>
            <w:r>
              <w:rPr>
                <w:sz w:val="22"/>
              </w:rPr>
              <w:fldChar w:fldCharType="end"/>
            </w:r>
            <w:r>
              <w:rPr>
                <w:sz w:val="22"/>
                <w:lang w:val="it-IT"/>
              </w:rPr>
              <w:t>;</w:t>
            </w:r>
            <w:r w:rsidRPr="007741AE">
              <w:rPr>
                <w:sz w:val="22"/>
                <w:lang w:val="it-IT"/>
              </w:rPr>
              <w:t xml:space="preserve"> </w:t>
            </w:r>
            <w:r>
              <w:rPr>
                <w:sz w:val="22"/>
              </w:rPr>
              <w:fldChar w:fldCharType="begin">
                <w:fldData xml:space="preserve">PEVuZE5vdGU+PENpdGUgQXV0aG9yWWVhcj0iMSI+PEF1dGhvcj5NYXp6YXJpbm88L0F1dGhvcj48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</w:fldData>
              </w:fldChar>
            </w:r>
            <w:r w:rsidRPr="00E5436C">
              <w:rPr>
                <w:sz w:val="22"/>
                <w:lang w:val="it-IT"/>
              </w:rPr>
              <w:instrText xml:space="preserve"> ADDIN EN.CITE </w:instrText>
            </w:r>
            <w:r>
              <w:rPr>
                <w:sz w:val="22"/>
              </w:rPr>
              <w:fldChar w:fldCharType="begin">
                <w:fldData xml:space="preserve">PEVuZE5vdGU+PENpdGUgQXV0aG9yWWVhcj0iMSI+PEF1dGhvcj5NYXp6YXJpbm88L0F1dGhvcj48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</w:fldData>
              </w:fldChar>
            </w:r>
            <w:r w:rsidRPr="00E5436C">
              <w:rPr>
                <w:sz w:val="22"/>
                <w:lang w:val="it-IT"/>
              </w:rPr>
              <w:instrText xml:space="preserve"> ADDIN EN.CITE.DATA </w:instrText>
            </w:r>
            <w:r>
              <w:rPr>
                <w:sz w:val="22"/>
              </w:rPr>
            </w:r>
            <w:r>
              <w:rPr>
                <w:sz w:val="22"/>
              </w:rPr>
              <w:fldChar w:fldCharType="end"/>
            </w:r>
            <w:r>
              <w:rPr>
                <w:sz w:val="22"/>
              </w:rPr>
            </w:r>
            <w:r>
              <w:rPr>
                <w:sz w:val="22"/>
              </w:rPr>
              <w:fldChar w:fldCharType="separate"/>
            </w:r>
            <w:r w:rsidRPr="00BA4FBE">
              <w:rPr>
                <w:noProof/>
                <w:sz w:val="22"/>
                <w:lang w:val="it-IT"/>
              </w:rPr>
              <w:t>Mazzarino and Rubini (2019)</w:t>
            </w:r>
            <w:r>
              <w:rPr>
                <w:sz w:val="22"/>
              </w:rPr>
              <w:fldChar w:fldCharType="end"/>
            </w:r>
            <w:r w:rsidRPr="007741AE">
              <w:rPr>
                <w:sz w:val="22"/>
                <w:lang w:val="it-IT"/>
              </w:rPr>
              <w:t>.</w:t>
            </w:r>
          </w:p>
        </w:tc>
        <w:tc>
          <w:tcPr>
            <w:tcW w:w="682" w:type="pct"/>
            <w:vAlign w:val="center"/>
          </w:tcPr>
          <w:p w14:paraId="027E05D3" w14:textId="77777777" w:rsidR="005344D0" w:rsidRPr="00081D74" w:rsidRDefault="005344D0" w:rsidP="006E32A1">
            <w:pPr>
              <w:spacing w:line="240" w:lineRule="auto"/>
              <w:jc w:val="center"/>
              <w:rPr>
                <w:sz w:val="22"/>
                <w:lang w:val="fr-FR"/>
              </w:rPr>
            </w:pPr>
            <w:r w:rsidRPr="00081D74">
              <w:rPr>
                <w:sz w:val="22"/>
                <w:lang w:val="fr-FR"/>
              </w:rPr>
              <w:t>2</w:t>
            </w:r>
          </w:p>
        </w:tc>
      </w:tr>
      <w:tr w:rsidR="005344D0" w:rsidRPr="00081D74" w14:paraId="28699990" w14:textId="77777777" w:rsidTr="006E32A1">
        <w:tc>
          <w:tcPr>
            <w:tcW w:w="1108" w:type="pct"/>
            <w:vAlign w:val="center"/>
          </w:tcPr>
          <w:p w14:paraId="483C97B0" w14:textId="77777777" w:rsidR="005344D0" w:rsidRPr="00081D74" w:rsidRDefault="005344D0" w:rsidP="006E32A1">
            <w:pPr>
              <w:spacing w:line="240" w:lineRule="auto"/>
              <w:jc w:val="left"/>
              <w:rPr>
                <w:sz w:val="22"/>
                <w:lang w:val="fr-FR"/>
              </w:rPr>
            </w:pPr>
            <w:r w:rsidRPr="00081D74">
              <w:rPr>
                <w:sz w:val="22"/>
                <w:lang w:val="fr-FR"/>
              </w:rPr>
              <w:t>Traffic volume</w:t>
            </w:r>
          </w:p>
        </w:tc>
        <w:tc>
          <w:tcPr>
            <w:tcW w:w="3210" w:type="pct"/>
          </w:tcPr>
          <w:p w14:paraId="57941945" w14:textId="77777777" w:rsidR="005344D0" w:rsidRPr="00FD2C0A" w:rsidRDefault="005344D0" w:rsidP="006E32A1">
            <w:pPr>
              <w:spacing w:line="240" w:lineRule="auto"/>
              <w:rPr>
                <w:sz w:val="22"/>
                <w:lang w:val="fr-FR"/>
              </w:rPr>
            </w:pPr>
            <w:r>
              <w:rPr>
                <w:sz w:val="22"/>
              </w:rPr>
              <w:fldChar w:fldCharType="begin">
                <w:fldData xml:space="preserve">PEVuZE5vdGU+PENpdGUgQXV0aG9yWWVhcj0iMSI+PEF1dGhvcj5DaGVuPC9BdXRob3I+PFllYXI+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</w:fldData>
              </w:fldChar>
            </w:r>
            <w:r>
              <w:rPr>
                <w:sz w:val="22"/>
              </w:rPr>
              <w:instrText xml:space="preserve"> ADDIN EN.CITE </w:instrText>
            </w:r>
            <w:r>
              <w:rPr>
                <w:sz w:val="22"/>
              </w:rPr>
              <w:fldChar w:fldCharType="begin">
                <w:fldData xml:space="preserve">PEVuZE5vdGU+PENpdGUgQXV0aG9yWWVhcj0iMSI+PEF1dGhvcj5DaGVuPC9BdXRob3I+PFllYXI+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</w:fldData>
              </w:fldChar>
            </w:r>
            <w:r>
              <w:rPr>
                <w:sz w:val="22"/>
              </w:rPr>
              <w:instrText xml:space="preserve"> ADDIN EN.CITE.DATA </w:instrText>
            </w:r>
            <w:r>
              <w:rPr>
                <w:sz w:val="22"/>
              </w:rPr>
            </w:r>
            <w:r>
              <w:rPr>
                <w:sz w:val="22"/>
              </w:rPr>
              <w:fldChar w:fldCharType="end"/>
            </w:r>
            <w:r>
              <w:rPr>
                <w:sz w:val="22"/>
              </w:rPr>
            </w:r>
            <w:r>
              <w:rPr>
                <w:sz w:val="22"/>
              </w:rPr>
              <w:fldChar w:fldCharType="separate"/>
            </w:r>
            <w:r w:rsidRPr="00BA4FBE">
              <w:rPr>
                <w:noProof/>
                <w:sz w:val="22"/>
                <w:lang w:val="fr-FR"/>
              </w:rPr>
              <w:t>Chen et al. (2018)</w:t>
            </w:r>
            <w:r>
              <w:rPr>
                <w:sz w:val="22"/>
              </w:rPr>
              <w:fldChar w:fldCharType="end"/>
            </w:r>
            <w:r>
              <w:rPr>
                <w:sz w:val="22"/>
                <w:lang w:val="fr-FR"/>
              </w:rPr>
              <w:t>;</w:t>
            </w:r>
            <w:r w:rsidRPr="007741AE">
              <w:rPr>
                <w:sz w:val="22"/>
                <w:lang w:val="fr-FR"/>
              </w:rPr>
              <w:t xml:space="preserve"> </w:t>
            </w:r>
            <w:r>
              <w:rPr>
                <w:sz w:val="22"/>
              </w:rPr>
              <w:fldChar w:fldCharType="begin">
                <w:fldData xml:space="preserve">PEVuZE5vdGU+PENpdGUgQXV0aG9yWWVhcj0iMSI+PEF1dGhvcj5Jd2FuPC9BdXRob3I+PFllYXI+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</w:fldData>
              </w:fldChar>
            </w:r>
            <w:r>
              <w:rPr>
                <w:sz w:val="22"/>
              </w:rPr>
              <w:instrText xml:space="preserve"> ADDIN EN.CITE </w:instrText>
            </w:r>
            <w:r>
              <w:rPr>
                <w:sz w:val="22"/>
              </w:rPr>
              <w:fldChar w:fldCharType="begin">
                <w:fldData xml:space="preserve">PEVuZE5vdGU+PENpdGUgQXV0aG9yWWVhcj0iMSI+PEF1dGhvcj5Jd2FuPC9BdXRob3I+PFllYXI+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</w:fldData>
              </w:fldChar>
            </w:r>
            <w:r>
              <w:rPr>
                <w:sz w:val="22"/>
              </w:rPr>
              <w:instrText xml:space="preserve"> ADDIN EN.CITE.DATA </w:instrText>
            </w:r>
            <w:r>
              <w:rPr>
                <w:sz w:val="22"/>
              </w:rPr>
            </w:r>
            <w:r>
              <w:rPr>
                <w:sz w:val="22"/>
              </w:rPr>
              <w:fldChar w:fldCharType="end"/>
            </w:r>
            <w:r>
              <w:rPr>
                <w:sz w:val="22"/>
              </w:rPr>
            </w:r>
            <w:r>
              <w:rPr>
                <w:sz w:val="22"/>
              </w:rPr>
              <w:fldChar w:fldCharType="separate"/>
            </w:r>
            <w:r w:rsidRPr="00BA4FBE">
              <w:rPr>
                <w:noProof/>
                <w:sz w:val="22"/>
                <w:lang w:val="fr-FR"/>
              </w:rPr>
              <w:t xml:space="preserve">Iwan et al. </w:t>
            </w:r>
            <w:r>
              <w:rPr>
                <w:noProof/>
                <w:sz w:val="22"/>
              </w:rPr>
              <w:t>(2018)</w:t>
            </w:r>
            <w:r>
              <w:rPr>
                <w:sz w:val="22"/>
              </w:rPr>
              <w:fldChar w:fldCharType="end"/>
            </w:r>
          </w:p>
        </w:tc>
        <w:tc>
          <w:tcPr>
            <w:tcW w:w="682" w:type="pct"/>
            <w:vAlign w:val="center"/>
          </w:tcPr>
          <w:p w14:paraId="679A6034" w14:textId="77777777" w:rsidR="005344D0" w:rsidRPr="00081D74" w:rsidRDefault="005344D0" w:rsidP="006E32A1">
            <w:pPr>
              <w:spacing w:line="240" w:lineRule="auto"/>
              <w:jc w:val="center"/>
              <w:rPr>
                <w:sz w:val="22"/>
                <w:lang w:val="fr-FR"/>
              </w:rPr>
            </w:pPr>
            <w:r w:rsidRPr="00081D74">
              <w:rPr>
                <w:sz w:val="22"/>
                <w:lang w:val="fr-FR"/>
              </w:rPr>
              <w:t>2</w:t>
            </w:r>
          </w:p>
        </w:tc>
      </w:tr>
      <w:tr w:rsidR="005344D0" w:rsidRPr="00081D74" w14:paraId="426DA8D1" w14:textId="77777777" w:rsidTr="006E32A1">
        <w:tc>
          <w:tcPr>
            <w:tcW w:w="1108" w:type="pct"/>
            <w:vAlign w:val="center"/>
          </w:tcPr>
          <w:p w14:paraId="7634E7A6" w14:textId="77777777" w:rsidR="005344D0" w:rsidRPr="00081D74" w:rsidRDefault="005344D0" w:rsidP="006E32A1">
            <w:pPr>
              <w:spacing w:line="240" w:lineRule="auto"/>
              <w:jc w:val="left"/>
              <w:rPr>
                <w:sz w:val="22"/>
                <w:lang w:val="fr-FR"/>
              </w:rPr>
            </w:pPr>
            <w:r w:rsidRPr="00081D74">
              <w:rPr>
                <w:sz w:val="22"/>
                <w:lang w:val="fr-FR"/>
              </w:rPr>
              <w:t>Congestion</w:t>
            </w:r>
          </w:p>
        </w:tc>
        <w:tc>
          <w:tcPr>
            <w:tcW w:w="3210" w:type="pct"/>
          </w:tcPr>
          <w:p w14:paraId="66A7D04D" w14:textId="77777777" w:rsidR="005344D0" w:rsidRPr="00081D74" w:rsidRDefault="005344D0" w:rsidP="006E32A1">
            <w:pPr>
              <w:spacing w:line="240" w:lineRule="auto"/>
              <w:rPr>
                <w:sz w:val="22"/>
                <w:lang w:val="fr-FR"/>
              </w:rPr>
            </w:pPr>
            <w:r>
              <w:rPr>
                <w:sz w:val="22"/>
              </w:rPr>
              <w:fldChar w:fldCharType="begin">
                <w:fldData xml:space="preserve">PEVuZE5vdGU+PENpdGUgQXV0aG9yWWVhcj0iMSI+PEF1dGhvcj5Nb21tZW5zPC9BdXRob3I+PFll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</w:fldData>
              </w:fldChar>
            </w:r>
            <w:r>
              <w:rPr>
                <w:sz w:val="22"/>
              </w:rPr>
              <w:instrText xml:space="preserve"> ADDIN EN.CITE </w:instrText>
            </w:r>
            <w:r>
              <w:rPr>
                <w:sz w:val="22"/>
              </w:rPr>
              <w:fldChar w:fldCharType="begin">
                <w:fldData xml:space="preserve">PEVuZE5vdGU+PENpdGUgQXV0aG9yWWVhcj0iMSI+PEF1dGhvcj5Nb21tZW5zPC9BdXRob3I+PFll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</w:fldData>
              </w:fldChar>
            </w:r>
            <w:r>
              <w:rPr>
                <w:sz w:val="22"/>
              </w:rPr>
              <w:instrText xml:space="preserve"> ADDIN EN.CITE.DATA </w:instrText>
            </w:r>
            <w:r>
              <w:rPr>
                <w:sz w:val="22"/>
              </w:rPr>
            </w:r>
            <w:r>
              <w:rPr>
                <w:sz w:val="22"/>
              </w:rPr>
              <w:fldChar w:fldCharType="end"/>
            </w:r>
            <w:r>
              <w:rPr>
                <w:sz w:val="22"/>
              </w:rPr>
            </w:r>
            <w:r>
              <w:rPr>
                <w:sz w:val="22"/>
              </w:rPr>
              <w:fldChar w:fldCharType="separate"/>
            </w:r>
            <w:r>
              <w:rPr>
                <w:noProof/>
                <w:sz w:val="22"/>
              </w:rPr>
              <w:t>Mommens et al. (2018)</w:t>
            </w:r>
            <w:r>
              <w:rPr>
                <w:sz w:val="22"/>
              </w:rPr>
              <w:fldChar w:fldCharType="end"/>
            </w:r>
          </w:p>
        </w:tc>
        <w:tc>
          <w:tcPr>
            <w:tcW w:w="682" w:type="pct"/>
            <w:vAlign w:val="center"/>
          </w:tcPr>
          <w:p w14:paraId="4EEF03B2" w14:textId="77777777" w:rsidR="005344D0" w:rsidRPr="00081D74" w:rsidRDefault="005344D0" w:rsidP="006E32A1">
            <w:pPr>
              <w:spacing w:line="240" w:lineRule="auto"/>
              <w:jc w:val="center"/>
              <w:rPr>
                <w:sz w:val="22"/>
                <w:lang w:val="fr-FR"/>
              </w:rPr>
            </w:pPr>
            <w:r w:rsidRPr="00081D74">
              <w:rPr>
                <w:sz w:val="22"/>
                <w:lang w:val="fr-FR"/>
              </w:rPr>
              <w:t>1</w:t>
            </w:r>
          </w:p>
        </w:tc>
      </w:tr>
      <w:tr w:rsidR="005344D0" w:rsidRPr="00081D74" w14:paraId="67AFD4CE" w14:textId="77777777" w:rsidTr="006E32A1">
        <w:tc>
          <w:tcPr>
            <w:tcW w:w="1108" w:type="pct"/>
            <w:vAlign w:val="center"/>
          </w:tcPr>
          <w:p w14:paraId="03F23C03" w14:textId="77777777" w:rsidR="005344D0" w:rsidRPr="00081D74" w:rsidRDefault="005344D0" w:rsidP="006E32A1">
            <w:pPr>
              <w:spacing w:line="240" w:lineRule="auto"/>
              <w:jc w:val="left"/>
              <w:rPr>
                <w:sz w:val="22"/>
                <w:lang w:val="fr-FR"/>
              </w:rPr>
            </w:pPr>
            <w:r w:rsidRPr="00081D74">
              <w:rPr>
                <w:sz w:val="22"/>
                <w:lang w:val="fr-FR"/>
              </w:rPr>
              <w:t>Profit</w:t>
            </w:r>
          </w:p>
        </w:tc>
        <w:tc>
          <w:tcPr>
            <w:tcW w:w="3210" w:type="pct"/>
          </w:tcPr>
          <w:p w14:paraId="7EF4E9A5" w14:textId="77777777" w:rsidR="005344D0" w:rsidRPr="00081D74" w:rsidRDefault="005344D0" w:rsidP="006E32A1">
            <w:pPr>
              <w:spacing w:line="240" w:lineRule="auto"/>
              <w:rPr>
                <w:sz w:val="22"/>
                <w:lang w:val="fr-FR"/>
              </w:rPr>
            </w:pPr>
            <w:r w:rsidRPr="003504BA">
              <w:rPr>
                <w:sz w:val="22"/>
              </w:rPr>
              <w:fldChar w:fldCharType="begin">
                <w:fldData xml:space="preserve">PEVuZE5vdGU+PENpdGUgQXV0aG9yWWVhcj0iMSI+PEF1dGhvcj5HcmVlbjwvQXV0aG9yPjxZZWFy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</w:fldData>
              </w:fldChar>
            </w:r>
            <w:r>
              <w:rPr>
                <w:sz w:val="22"/>
              </w:rPr>
              <w:instrText xml:space="preserve"> ADDIN EN.CITE </w:instrText>
            </w:r>
            <w:r>
              <w:rPr>
                <w:sz w:val="22"/>
              </w:rPr>
              <w:fldChar w:fldCharType="begin">
                <w:fldData xml:space="preserve">PEVuZE5vdGU+PENpdGUgQXV0aG9yWWVhcj0iMSI+PEF1dGhvcj5HcmVlbjwvQXV0aG9yPjxZZWFy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</w:fldData>
              </w:fldChar>
            </w:r>
            <w:r>
              <w:rPr>
                <w:sz w:val="22"/>
              </w:rPr>
              <w:instrText xml:space="preserve"> ADDIN EN.CITE.DATA </w:instrText>
            </w:r>
            <w:r>
              <w:rPr>
                <w:sz w:val="22"/>
              </w:rPr>
            </w:r>
            <w:r>
              <w:rPr>
                <w:sz w:val="22"/>
              </w:rPr>
              <w:fldChar w:fldCharType="end"/>
            </w:r>
            <w:r w:rsidRPr="003504BA">
              <w:rPr>
                <w:sz w:val="22"/>
              </w:rPr>
            </w:r>
            <w:r w:rsidRPr="003504BA">
              <w:rPr>
                <w:sz w:val="22"/>
              </w:rPr>
              <w:fldChar w:fldCharType="separate"/>
            </w:r>
            <w:r>
              <w:rPr>
                <w:noProof/>
                <w:sz w:val="22"/>
              </w:rPr>
              <w:t>Green et al. (2013)</w:t>
            </w:r>
            <w:r w:rsidRPr="003504BA">
              <w:rPr>
                <w:sz w:val="22"/>
              </w:rPr>
              <w:fldChar w:fldCharType="end"/>
            </w:r>
          </w:p>
        </w:tc>
        <w:tc>
          <w:tcPr>
            <w:tcW w:w="682" w:type="pct"/>
            <w:vAlign w:val="center"/>
          </w:tcPr>
          <w:p w14:paraId="14B465BE" w14:textId="77777777" w:rsidR="005344D0" w:rsidRPr="00081D74" w:rsidRDefault="005344D0" w:rsidP="006E32A1">
            <w:pPr>
              <w:spacing w:line="240" w:lineRule="auto"/>
              <w:jc w:val="center"/>
              <w:rPr>
                <w:sz w:val="22"/>
                <w:lang w:val="fr-FR"/>
              </w:rPr>
            </w:pPr>
            <w:r w:rsidRPr="00081D74">
              <w:rPr>
                <w:sz w:val="22"/>
                <w:lang w:val="fr-FR"/>
              </w:rPr>
              <w:t>1</w:t>
            </w:r>
          </w:p>
        </w:tc>
      </w:tr>
      <w:tr w:rsidR="005344D0" w:rsidRPr="00081D74" w14:paraId="78250D64" w14:textId="77777777" w:rsidTr="006E32A1">
        <w:tc>
          <w:tcPr>
            <w:tcW w:w="1108" w:type="pct"/>
            <w:vAlign w:val="center"/>
          </w:tcPr>
          <w:p w14:paraId="5F83D82C" w14:textId="77777777" w:rsidR="005344D0" w:rsidRPr="00081D74" w:rsidRDefault="005344D0" w:rsidP="006E32A1">
            <w:pPr>
              <w:spacing w:line="240" w:lineRule="auto"/>
              <w:jc w:val="left"/>
              <w:rPr>
                <w:sz w:val="22"/>
                <w:lang w:val="fr-FR"/>
              </w:rPr>
            </w:pPr>
            <w:r w:rsidRPr="00081D74">
              <w:rPr>
                <w:sz w:val="22"/>
                <w:lang w:val="fr-FR"/>
              </w:rPr>
              <w:t>Numbers of trips</w:t>
            </w:r>
          </w:p>
        </w:tc>
        <w:tc>
          <w:tcPr>
            <w:tcW w:w="3210" w:type="pct"/>
          </w:tcPr>
          <w:p w14:paraId="6008FB0E" w14:textId="77777777" w:rsidR="005344D0" w:rsidRPr="00081D74" w:rsidRDefault="005344D0" w:rsidP="006E32A1">
            <w:pPr>
              <w:spacing w:line="240" w:lineRule="auto"/>
              <w:rPr>
                <w:sz w:val="22"/>
                <w:lang w:val="fr-FR"/>
              </w:rPr>
            </w:pPr>
            <w:r>
              <w:rPr>
                <w:sz w:val="22"/>
              </w:rPr>
              <w:fldChar w:fldCharType="begin">
                <w:fldData xml:space="preserve">PEVuZE5vdGU+PENpdGUgQXV0aG9yWWVhcj0iMSI+PEF1dGhvcj5NYXp6YXJpbm88L0F1dGhvcj48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</w:fldData>
              </w:fldChar>
            </w:r>
            <w:r>
              <w:rPr>
                <w:sz w:val="22"/>
              </w:rPr>
              <w:instrText xml:space="preserve"> ADDIN EN.CITE </w:instrText>
            </w:r>
            <w:r>
              <w:rPr>
                <w:sz w:val="22"/>
              </w:rPr>
              <w:fldChar w:fldCharType="begin">
                <w:fldData xml:space="preserve">PEVuZE5vdGU+PENpdGUgQXV0aG9yWWVhcj0iMSI+PEF1dGhvcj5NYXp6YXJpbm88L0F1dGhvcj48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</w:fldData>
              </w:fldChar>
            </w:r>
            <w:r>
              <w:rPr>
                <w:sz w:val="22"/>
              </w:rPr>
              <w:instrText xml:space="preserve"> ADDIN EN.CITE.DATA </w:instrText>
            </w:r>
            <w:r>
              <w:rPr>
                <w:sz w:val="22"/>
              </w:rPr>
            </w:r>
            <w:r>
              <w:rPr>
                <w:sz w:val="22"/>
              </w:rPr>
              <w:fldChar w:fldCharType="end"/>
            </w:r>
            <w:r>
              <w:rPr>
                <w:sz w:val="22"/>
              </w:rPr>
            </w:r>
            <w:r>
              <w:rPr>
                <w:sz w:val="22"/>
              </w:rPr>
              <w:fldChar w:fldCharType="separate"/>
            </w:r>
            <w:r>
              <w:rPr>
                <w:noProof/>
                <w:sz w:val="22"/>
              </w:rPr>
              <w:t>Mazzarino and Rubini (2019)</w:t>
            </w:r>
            <w:r>
              <w:rPr>
                <w:sz w:val="22"/>
              </w:rPr>
              <w:fldChar w:fldCharType="end"/>
            </w:r>
          </w:p>
        </w:tc>
        <w:tc>
          <w:tcPr>
            <w:tcW w:w="682" w:type="pct"/>
            <w:vAlign w:val="center"/>
          </w:tcPr>
          <w:p w14:paraId="53943794" w14:textId="77777777" w:rsidR="005344D0" w:rsidRPr="00081D74" w:rsidRDefault="005344D0" w:rsidP="006E32A1">
            <w:pPr>
              <w:spacing w:line="240" w:lineRule="auto"/>
              <w:jc w:val="center"/>
              <w:rPr>
                <w:sz w:val="22"/>
                <w:lang w:val="fr-FR"/>
              </w:rPr>
            </w:pPr>
            <w:r w:rsidRPr="00081D74">
              <w:rPr>
                <w:sz w:val="22"/>
                <w:lang w:val="fr-FR"/>
              </w:rPr>
              <w:t>1</w:t>
            </w:r>
          </w:p>
        </w:tc>
      </w:tr>
      <w:tr w:rsidR="005344D0" w:rsidRPr="00081D74" w14:paraId="5A7DC54E" w14:textId="77777777" w:rsidTr="006E32A1">
        <w:tc>
          <w:tcPr>
            <w:tcW w:w="1108" w:type="pct"/>
            <w:vAlign w:val="center"/>
          </w:tcPr>
          <w:p w14:paraId="407FB35C" w14:textId="77777777" w:rsidR="005344D0" w:rsidRPr="00081D74" w:rsidRDefault="005344D0" w:rsidP="006E32A1">
            <w:pPr>
              <w:spacing w:line="240" w:lineRule="auto"/>
              <w:jc w:val="left"/>
              <w:rPr>
                <w:sz w:val="22"/>
                <w:lang w:val="fr-FR"/>
              </w:rPr>
            </w:pPr>
            <w:proofErr w:type="spellStart"/>
            <w:r w:rsidRPr="00081D74">
              <w:rPr>
                <w:sz w:val="22"/>
                <w:lang w:val="fr-FR"/>
              </w:rPr>
              <w:t>Carrying</w:t>
            </w:r>
            <w:proofErr w:type="spellEnd"/>
            <w:r w:rsidRPr="00081D74">
              <w:rPr>
                <w:sz w:val="22"/>
                <w:lang w:val="fr-FR"/>
              </w:rPr>
              <w:t xml:space="preserve"> </w:t>
            </w:r>
            <w:proofErr w:type="spellStart"/>
            <w:r w:rsidRPr="00081D74">
              <w:rPr>
                <w:sz w:val="22"/>
                <w:lang w:val="fr-FR"/>
              </w:rPr>
              <w:t>Capacity</w:t>
            </w:r>
            <w:proofErr w:type="spellEnd"/>
          </w:p>
        </w:tc>
        <w:tc>
          <w:tcPr>
            <w:tcW w:w="3210" w:type="pct"/>
          </w:tcPr>
          <w:p w14:paraId="7E1097FA" w14:textId="77777777" w:rsidR="005344D0" w:rsidRPr="00081D74" w:rsidRDefault="005344D0" w:rsidP="006E32A1">
            <w:pPr>
              <w:spacing w:line="240" w:lineRule="auto"/>
              <w:rPr>
                <w:sz w:val="22"/>
                <w:lang w:val="fr-FR"/>
              </w:rPr>
            </w:pPr>
            <w:r>
              <w:rPr>
                <w:sz w:val="22"/>
              </w:rPr>
              <w:fldChar w:fldCharType="begin">
                <w:fldData xml:space="preserve">PEVuZE5vdGU+PENpdGUgQXV0aG9yWWVhcj0iMSI+PEF1dGhvcj5NYXp6YXJpbm88L0F1dGhvcj48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</w:fldData>
              </w:fldChar>
            </w:r>
            <w:r>
              <w:rPr>
                <w:sz w:val="22"/>
              </w:rPr>
              <w:instrText xml:space="preserve"> ADDIN EN.CITE </w:instrText>
            </w:r>
            <w:r>
              <w:rPr>
                <w:sz w:val="22"/>
              </w:rPr>
              <w:fldChar w:fldCharType="begin">
                <w:fldData xml:space="preserve">PEVuZE5vdGU+PENpdGUgQXV0aG9yWWVhcj0iMSI+PEF1dGhvcj5NYXp6YXJpbm88L0F1dGhvcj48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</w:fldData>
              </w:fldChar>
            </w:r>
            <w:r>
              <w:rPr>
                <w:sz w:val="22"/>
              </w:rPr>
              <w:instrText xml:space="preserve"> ADDIN EN.CITE.DATA </w:instrText>
            </w:r>
            <w:r>
              <w:rPr>
                <w:sz w:val="22"/>
              </w:rPr>
            </w:r>
            <w:r>
              <w:rPr>
                <w:sz w:val="22"/>
              </w:rPr>
              <w:fldChar w:fldCharType="end"/>
            </w:r>
            <w:r>
              <w:rPr>
                <w:sz w:val="22"/>
              </w:rPr>
            </w:r>
            <w:r>
              <w:rPr>
                <w:sz w:val="22"/>
              </w:rPr>
              <w:fldChar w:fldCharType="separate"/>
            </w:r>
            <w:r>
              <w:rPr>
                <w:noProof/>
                <w:sz w:val="22"/>
              </w:rPr>
              <w:t>Mazzarino and Rubini (2019)</w:t>
            </w:r>
            <w:r>
              <w:rPr>
                <w:sz w:val="22"/>
              </w:rPr>
              <w:fldChar w:fldCharType="end"/>
            </w:r>
          </w:p>
        </w:tc>
        <w:tc>
          <w:tcPr>
            <w:tcW w:w="682" w:type="pct"/>
            <w:vAlign w:val="center"/>
          </w:tcPr>
          <w:p w14:paraId="5DA33D91" w14:textId="77777777" w:rsidR="005344D0" w:rsidRPr="00081D74" w:rsidRDefault="005344D0" w:rsidP="006E32A1">
            <w:pPr>
              <w:spacing w:line="240" w:lineRule="auto"/>
              <w:jc w:val="center"/>
              <w:rPr>
                <w:sz w:val="22"/>
                <w:lang w:val="fr-FR"/>
              </w:rPr>
            </w:pPr>
            <w:r w:rsidRPr="00081D74">
              <w:rPr>
                <w:sz w:val="22"/>
                <w:lang w:val="fr-FR"/>
              </w:rPr>
              <w:t>1</w:t>
            </w:r>
          </w:p>
        </w:tc>
      </w:tr>
    </w:tbl>
    <w:p w14:paraId="2607352D" w14:textId="357B4C4A" w:rsidR="005344D0" w:rsidRPr="008903D1" w:rsidRDefault="005344D0" w:rsidP="005344D0">
      <w:pPr>
        <w:pStyle w:val="Caption"/>
        <w:spacing w:after="0" w:line="360" w:lineRule="auto"/>
        <w:rPr>
          <w:rFonts w:cs="Times New Roman"/>
        </w:rPr>
      </w:pPr>
      <w:bookmarkStart w:id="241" w:name="_Ref25923356"/>
      <w:bookmarkStart w:id="242" w:name="_Toc34674934"/>
      <w:bookmarkStart w:id="243" w:name="_Toc34734726"/>
      <w:bookmarkStart w:id="244" w:name="_Toc46053540"/>
      <w:bookmarkStart w:id="245" w:name="_Toc46093789"/>
      <w:bookmarkStart w:id="246" w:name="_Toc66698757"/>
      <w:r>
        <w:rPr>
          <w:rFonts w:cs="Times New Roman"/>
        </w:rPr>
        <w:t>Table</w:t>
      </w:r>
      <w:r w:rsidRPr="00737239">
        <w:rPr>
          <w:rFonts w:cs="Times New Roman"/>
        </w:rPr>
        <w:t xml:space="preserve"> </w:t>
      </w:r>
      <w:r>
        <w:rPr>
          <w:rFonts w:cs="Times New Roman"/>
        </w:rPr>
        <w:fldChar w:fldCharType="begin"/>
      </w:r>
      <w:r>
        <w:rPr>
          <w:rFonts w:cs="Times New Roman"/>
        </w:rPr>
        <w:instrText xml:space="preserve"> STYLEREF 1 \s </w:instrText>
      </w:r>
      <w:r>
        <w:rPr>
          <w:rFonts w:cs="Times New Roman"/>
        </w:rPr>
        <w:fldChar w:fldCharType="separate"/>
      </w:r>
      <w:r w:rsidR="0005064B">
        <w:rPr>
          <w:rFonts w:cs="Times New Roman"/>
          <w:noProof/>
        </w:rPr>
        <w:t>2</w:t>
      </w:r>
      <w:r>
        <w:rPr>
          <w:rFonts w:cs="Times New Roman"/>
        </w:rPr>
        <w:fldChar w:fldCharType="end"/>
      </w:r>
      <w:r>
        <w:rPr>
          <w:rFonts w:cs="Times New Roman"/>
        </w:rPr>
        <w:noBreakHyphen/>
      </w:r>
      <w:r>
        <w:rPr>
          <w:rFonts w:cs="Times New Roman"/>
        </w:rPr>
        <w:fldChar w:fldCharType="begin"/>
      </w:r>
      <w:r>
        <w:rPr>
          <w:rFonts w:cs="Times New Roman"/>
        </w:rPr>
        <w:instrText xml:space="preserve"> SEQ Table \* ARABIC \s 1 </w:instrText>
      </w:r>
      <w:r>
        <w:rPr>
          <w:rFonts w:cs="Times New Roman"/>
        </w:rPr>
        <w:fldChar w:fldCharType="separate"/>
      </w:r>
      <w:r w:rsidR="0005064B">
        <w:rPr>
          <w:rFonts w:cs="Times New Roman"/>
          <w:noProof/>
        </w:rPr>
        <w:t>6</w:t>
      </w:r>
      <w:r>
        <w:rPr>
          <w:rFonts w:cs="Times New Roman"/>
        </w:rPr>
        <w:fldChar w:fldCharType="end"/>
      </w:r>
      <w:bookmarkEnd w:id="241"/>
      <w:r>
        <w:rPr>
          <w:rFonts w:cs="Times New Roman"/>
        </w:rPr>
        <w:t>:</w:t>
      </w:r>
      <w:r w:rsidRPr="008903D1">
        <w:rPr>
          <w:rFonts w:cs="Times New Roman"/>
        </w:rPr>
        <w:t xml:space="preserve"> Indicators measured in reviewed papers of performance </w:t>
      </w:r>
      <w:proofErr w:type="gramStart"/>
      <w:r w:rsidRPr="008903D1">
        <w:rPr>
          <w:rFonts w:cs="Times New Roman"/>
        </w:rPr>
        <w:t>evaluation</w:t>
      </w:r>
      <w:bookmarkEnd w:id="242"/>
      <w:bookmarkEnd w:id="243"/>
      <w:bookmarkEnd w:id="244"/>
      <w:bookmarkEnd w:id="245"/>
      <w:bookmarkEnd w:id="246"/>
      <w:proofErr w:type="gramEnd"/>
    </w:p>
    <w:p w14:paraId="7D8FD224" w14:textId="77777777" w:rsidR="005344D0" w:rsidRPr="00A96AC5" w:rsidRDefault="005344D0" w:rsidP="005344D0">
      <w:pPr>
        <w:spacing w:before="240" w:after="240" w:line="360" w:lineRule="auto"/>
        <w:rPr>
          <w:rFonts w:cs="Times New Roman"/>
        </w:rPr>
      </w:pPr>
      <w:r w:rsidRPr="00737239">
        <w:rPr>
          <w:rFonts w:cs="Times New Roman"/>
        </w:rPr>
        <w:t xml:space="preserve">The emissions and consumption totals derived from the last-mile delivery account for the largest proportion in the entire delivery work </w:t>
      </w:r>
      <w:r>
        <w:fldChar w:fldCharType="begin"/>
      </w:r>
      <w:r>
        <w:instrText xml:space="preserve"> ADDIN EN.CITE &lt;EndNote&gt;&lt;Cite&gt;&lt;Author&gt;Wygonik&lt;/Author&gt;&lt;Year&gt;2014&lt;/Year&gt;&lt;RecNum&gt;128&lt;/RecNum&gt;&lt;DisplayText&gt;(Wygonik and Goodchild, 2014)&lt;/DisplayText&gt;&lt;record&gt;&lt;rec-number&gt;128&lt;/rec-number&gt;&lt;foreign-keys&gt;&lt;key app="EN" db-id="pzt5ep52hsedfpeext2pdfes0w0aswaewef2" timestamp="1605187994"&gt;128&lt;/key&gt;&lt;/foreign-keys&gt;&lt;ref-type name="Book Section"&gt;5&lt;/ref-type&gt;&lt;contributors&gt;&lt;authors&gt;&lt;author&gt;Wygonik, Erica&lt;/author&gt;&lt;author&gt;Goodchild, Anne&lt;/author&gt;&lt;/authors&gt;&lt;/contributors&gt;&lt;titles&gt;&lt;title&gt;Comparison of Vehicle Miles Traveled and Pollution from Three Goods Movement Strategies&lt;/title&gt;&lt;secondary-title&gt;Sustainable Logistics&lt;/secondary-title&gt;&lt;/titles&gt;&lt;pages&gt;63-82&lt;/pages&gt;&lt;dates&gt;&lt;year&gt;2014&lt;/year&gt;&lt;/dates&gt;&lt;publisher&gt;Emerald Group Publishing Limited&lt;/publisher&gt;&lt;isbn&gt;2044-9941&lt;/isbn&gt;&lt;urls&gt;&lt;related-urls&gt;&lt;url&gt;http://www.emeraldinsight.com/doi/abs/10.1108/S2044-994120140000006003&lt;/url&gt;&lt;/related-urls&gt;&lt;/urls&gt;&lt;research-notes&gt;153&lt;/research-notes&gt;&lt;/record&gt;&lt;/Cite&gt;&lt;/EndNote&gt;</w:instrText>
      </w:r>
      <w:r>
        <w:fldChar w:fldCharType="separate"/>
      </w:r>
      <w:r>
        <w:rPr>
          <w:noProof/>
        </w:rPr>
        <w:t>(Wygonik and Goodchild, 2014)</w:t>
      </w:r>
      <w:r>
        <w:fldChar w:fldCharType="end"/>
      </w:r>
      <w:r w:rsidRPr="00737239">
        <w:rPr>
          <w:rFonts w:cs="Times New Roman"/>
        </w:rPr>
        <w:t>. As such, environmenta</w:t>
      </w:r>
      <w:r w:rsidRPr="00802DC5">
        <w:rPr>
          <w:rFonts w:cs="Times New Roman"/>
        </w:rPr>
        <w:t>l indicators (e.g., CO</w:t>
      </w:r>
      <w:r w:rsidRPr="00802DC5">
        <w:rPr>
          <w:rFonts w:cs="Times New Roman"/>
          <w:vertAlign w:val="subscript"/>
        </w:rPr>
        <w:t>2</w:t>
      </w:r>
      <w:r w:rsidRPr="006C301D">
        <w:rPr>
          <w:rFonts w:cs="Times New Roman"/>
        </w:rPr>
        <w:t>, NO</w:t>
      </w:r>
      <w:r w:rsidRPr="00A96AC5">
        <w:rPr>
          <w:rFonts w:cs="Times New Roman"/>
          <w:vertAlign w:val="subscript"/>
        </w:rPr>
        <w:t>x</w:t>
      </w:r>
      <w:r w:rsidRPr="00A96AC5">
        <w:rPr>
          <w:rFonts w:cs="Times New Roman"/>
        </w:rPr>
        <w:t xml:space="preserve">, </w:t>
      </w:r>
      <w:proofErr w:type="spellStart"/>
      <w:r w:rsidRPr="00A96AC5">
        <w:rPr>
          <w:rFonts w:cs="Times New Roman"/>
        </w:rPr>
        <w:t>SO</w:t>
      </w:r>
      <w:r w:rsidRPr="00A96AC5">
        <w:rPr>
          <w:rFonts w:cs="Times New Roman"/>
          <w:vertAlign w:val="subscript"/>
        </w:rPr>
        <w:t>x</w:t>
      </w:r>
      <w:proofErr w:type="spellEnd"/>
      <w:r w:rsidRPr="00A96AC5">
        <w:rPr>
          <w:rFonts w:cs="Times New Roman"/>
        </w:rPr>
        <w:t xml:space="preserve">, fuel consumption, PM2.5) are usually used to evaluate SUL performance. All the listed environmental indicators are positively correlated with vehicle travel miles. Different methods are used to conduct evaluation exercises, such as energy conservation </w:t>
      </w:r>
      <w:r>
        <w:rPr>
          <w:noProof/>
        </w:rPr>
        <w:t>(Gonzalez-Feliu et al., 2012)</w:t>
      </w:r>
      <w:r w:rsidRPr="00A96AC5">
        <w:rPr>
          <w:rFonts w:cs="Times New Roman"/>
        </w:rPr>
        <w:t xml:space="preserve"> and mathematical functions </w:t>
      </w:r>
      <w:r>
        <w:rPr>
          <w:noProof/>
        </w:rPr>
        <w:fldChar w:fldCharType="begin">
          <w:fldData xml:space="preserve">PEVuZE5vdGU+PENpdGU+PEF1dGhvcj5ZYW5nPC9BdXRob3I+PFllYXI+MjAxNjwvWWVhcj48UmVj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</w:fldData>
        </w:fldChar>
      </w:r>
      <w:r>
        <w:rPr>
          <w:noProof/>
        </w:rPr>
        <w:instrText xml:space="preserve"> ADDIN EN.CITE </w:instrText>
      </w:r>
      <w:r>
        <w:rPr>
          <w:noProof/>
        </w:rPr>
        <w:fldChar w:fldCharType="begin">
          <w:fldData xml:space="preserve">PEVuZE5vdGU+PENpdGU+PEF1dGhvcj5ZYW5nPC9BdXRob3I+PFllYXI+MjAxNjwvWWVhcj48UmVj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</w:fldData>
        </w:fldChar>
      </w:r>
      <w:r>
        <w:rPr>
          <w:noProof/>
        </w:rPr>
        <w:instrText xml:space="preserve"> ADDIN EN.CITE.DATA </w:instrText>
      </w:r>
      <w:r>
        <w:rPr>
          <w:noProof/>
        </w:rPr>
      </w:r>
      <w:r>
        <w:rPr>
          <w:noProof/>
        </w:rPr>
        <w:fldChar w:fldCharType="end"/>
      </w:r>
      <w:r>
        <w:rPr>
          <w:noProof/>
        </w:rPr>
      </w:r>
      <w:r>
        <w:rPr>
          <w:noProof/>
        </w:rPr>
        <w:fldChar w:fldCharType="separate"/>
      </w:r>
      <w:r>
        <w:rPr>
          <w:noProof/>
        </w:rPr>
        <w:t>(Yang et al., 2016)</w:t>
      </w:r>
      <w:r>
        <w:rPr>
          <w:noProof/>
        </w:rPr>
        <w:fldChar w:fldCharType="end"/>
      </w:r>
      <w:r w:rsidRPr="00A96AC5">
        <w:rPr>
          <w:rFonts w:cs="Times New Roman"/>
        </w:rPr>
        <w:t>. Environmental KPIs can also be utilised to track the influence of urban logistical systems on other phenomena (e.g., public health). Lee et al. (2012) set levels of carbon monoxide, hydrocarbons, nitrogen oxides, and particulate matter as KPIs with which to monitor public health, comparing values across time before and after the implementation of a city logistics programme.</w:t>
      </w:r>
    </w:p>
    <w:p w14:paraId="117DA445" w14:textId="77777777" w:rsidR="005344D0" w:rsidRPr="008903D1" w:rsidRDefault="005344D0" w:rsidP="005344D0">
      <w:pPr>
        <w:pStyle w:val="Heading4"/>
        <w:spacing w:after="0" w:line="360" w:lineRule="auto"/>
        <w:rPr>
          <w:rFonts w:cs="Times New Roman"/>
          <w:lang w:val="it-IT"/>
        </w:rPr>
      </w:pPr>
      <w:r w:rsidRPr="00A96AC5">
        <w:rPr>
          <w:rFonts w:cs="Times New Roman"/>
          <w:lang w:val="it-IT"/>
        </w:rPr>
        <w:t>Multi-criteria decision-making (MCDM)</w:t>
      </w:r>
    </w:p>
    <w:p w14:paraId="1C13A1D7" w14:textId="0CD15634" w:rsidR="005344D0" w:rsidRPr="006C301D" w:rsidRDefault="005344D0" w:rsidP="005344D0">
      <w:pPr>
        <w:spacing w:after="240" w:line="360" w:lineRule="auto"/>
        <w:rPr>
          <w:rFonts w:cs="Times New Roman"/>
          <w:szCs w:val="24"/>
        </w:rPr>
      </w:pPr>
      <w:r w:rsidRPr="000F093E">
        <w:rPr>
          <w:rFonts w:cs="Times New Roman"/>
          <w:szCs w:val="24"/>
        </w:rPr>
        <w:t xml:space="preserve">For the purpose to comprehensively evaluate the global performance of logistics initiatives, multiple indicators with different attributes should be </w:t>
      </w:r>
      <w:proofErr w:type="gramStart"/>
      <w:r w:rsidRPr="000F093E">
        <w:rPr>
          <w:rFonts w:cs="Times New Roman"/>
          <w:szCs w:val="24"/>
        </w:rPr>
        <w:t>taken into account</w:t>
      </w:r>
      <w:proofErr w:type="gramEnd"/>
      <w:r w:rsidRPr="000F093E">
        <w:rPr>
          <w:rFonts w:cs="Times New Roman"/>
          <w:szCs w:val="24"/>
        </w:rPr>
        <w:t xml:space="preserve">. However, some indicators may be conflicts with each other. For example, considering the indicator of ‘working safety’ and ‘cost’ in </w:t>
      </w:r>
      <w:r w:rsidRPr="000F093E">
        <w:rPr>
          <w:rFonts w:cs="Times New Roman"/>
          <w:szCs w:val="24"/>
        </w:rPr>
        <w:fldChar w:fldCharType="begin"/>
      </w:r>
      <w:r w:rsidRPr="000F093E">
        <w:rPr>
          <w:rFonts w:cs="Times New Roman"/>
          <w:szCs w:val="24"/>
        </w:rPr>
        <w:instrText xml:space="preserve"> REF _Ref40794988 \h  \* MERGEFORMAT </w:instrText>
      </w:r>
      <w:r w:rsidRPr="000F093E">
        <w:rPr>
          <w:rFonts w:cs="Times New Roman"/>
          <w:szCs w:val="24"/>
        </w:rPr>
      </w:r>
      <w:r w:rsidRPr="000F093E">
        <w:rPr>
          <w:rFonts w:cs="Times New Roman"/>
          <w:szCs w:val="24"/>
        </w:rPr>
        <w:fldChar w:fldCharType="separate"/>
      </w:r>
      <w:r w:rsidR="0005064B" w:rsidRPr="0005064B">
        <w:rPr>
          <w:rFonts w:cs="Times New Roman"/>
          <w:szCs w:val="24"/>
        </w:rPr>
        <w:t>Table 2</w:t>
      </w:r>
      <w:r w:rsidR="0005064B" w:rsidRPr="0005064B">
        <w:rPr>
          <w:rFonts w:cs="Times New Roman"/>
          <w:szCs w:val="24"/>
        </w:rPr>
        <w:noBreakHyphen/>
        <w:t>5</w:t>
      </w:r>
      <w:r w:rsidRPr="000F093E">
        <w:rPr>
          <w:rFonts w:cs="Times New Roman"/>
          <w:szCs w:val="24"/>
        </w:rPr>
        <w:fldChar w:fldCharType="end"/>
      </w:r>
      <w:r w:rsidRPr="000F093E">
        <w:rPr>
          <w:rFonts w:cs="Times New Roman"/>
          <w:szCs w:val="24"/>
        </w:rPr>
        <w:t xml:space="preserve">: in practice, additional cost should be invested </w:t>
      </w:r>
      <w:proofErr w:type="gramStart"/>
      <w:r w:rsidRPr="000F093E">
        <w:rPr>
          <w:rFonts w:cs="Times New Roman"/>
          <w:szCs w:val="24"/>
        </w:rPr>
        <w:t>in order to</w:t>
      </w:r>
      <w:proofErr w:type="gramEnd"/>
      <w:r w:rsidRPr="000F093E">
        <w:rPr>
          <w:rFonts w:cs="Times New Roman"/>
          <w:szCs w:val="24"/>
        </w:rPr>
        <w:t xml:space="preserve"> improve the safety of operation. This factor may cause the incomplete conclusion about real performance of specific logistics initiatives. MCDM methods could deal with such problems when evaluate any logistics initiatives based on various conflicts criteria.</w:t>
      </w:r>
    </w:p>
    <w:p w14:paraId="3834867A" w14:textId="77777777" w:rsidR="005344D0" w:rsidRPr="00A96AC5" w:rsidRDefault="005344D0" w:rsidP="005344D0">
      <w:pPr>
        <w:spacing w:before="240" w:after="240" w:line="360" w:lineRule="auto"/>
        <w:rPr>
          <w:rFonts w:cs="Times New Roman"/>
          <w:szCs w:val="24"/>
        </w:rPr>
      </w:pPr>
      <w:r w:rsidRPr="00A96AC5">
        <w:rPr>
          <w:rFonts w:cs="Times New Roman"/>
          <w:szCs w:val="24"/>
        </w:rPr>
        <w:t>The class of MCDM methods can be used to enhance the stakeholder’s group decision-making approach</w:t>
      </w:r>
      <w:r>
        <w:rPr>
          <w:rFonts w:cs="Times New Roman"/>
          <w:szCs w:val="24"/>
        </w:rPr>
        <w:t xml:space="preserve">, in terms of </w:t>
      </w:r>
      <w:r w:rsidRPr="00A96AC5">
        <w:rPr>
          <w:rFonts w:cs="Times New Roman"/>
          <w:szCs w:val="24"/>
        </w:rPr>
        <w:t xml:space="preserve">rank, rate, screen, and sort problems. The common trait of these problems </w:t>
      </w:r>
      <w:r w:rsidRPr="00A96AC5">
        <w:rPr>
          <w:rFonts w:cs="Times New Roman"/>
          <w:szCs w:val="24"/>
        </w:rPr>
        <w:lastRenderedPageBreak/>
        <w:t xml:space="preserve">is that they involve multiple and often conflicting criteria, across which a given performance function must be optimised. This is challenging, and compromises must be formulated </w:t>
      </w:r>
      <w:r>
        <w:rPr>
          <w:noProof/>
          <w:szCs w:val="24"/>
        </w:rPr>
        <w:fldChar w:fldCharType="begin"/>
      </w:r>
      <w:r>
        <w:rPr>
          <w:noProof/>
          <w:szCs w:val="24"/>
        </w:rPr>
        <w:instrText xml:space="preserve"> ADDIN EN.CITE &lt;EndNote&gt;&lt;Cite&gt;&lt;Author&gt;Ishizaka&lt;/Author&gt;&lt;Year&gt;2013&lt;/Year&gt;&lt;RecNum&gt;129&lt;/RecNum&gt;&lt;DisplayText&gt;(Ishizaka and Nemery, 2013)&lt;/DisplayText&gt;&lt;record&gt;&lt;rec-number&gt;129&lt;/rec-number&gt;&lt;foreign-keys&gt;&lt;key app="EN" db-id="pzt5ep52hsedfpeext2pdfes0w0aswaewef2" timestamp="1605187994"&gt;129&lt;/key&gt;&lt;/foreign-keys&gt;&lt;ref-type name="Book"&gt;6&lt;/ref-type&gt;&lt;contributors&gt;&lt;authors&gt;&lt;author&gt;Ishizaka, Alessio&lt;/author&gt;&lt;author&gt;Nemery, Philippe&lt;/author&gt;&lt;/authors&gt;&lt;/contributors&gt;&lt;titles&gt;&lt;title&gt;Multi-criteria decision analysis: methods and software&lt;/title&gt;&lt;/titles&gt;&lt;dates&gt;&lt;year&gt;2013&lt;/year&gt;&lt;/dates&gt;&lt;publisher&gt;John Wiley &amp;amp; Sons&lt;/publisher&gt;&lt;isbn&gt;1118644913&lt;/isbn&gt;&lt;urls&gt;&lt;/urls&gt;&lt;/record&gt;&lt;/Cite&gt;&lt;/EndNote&gt;</w:instrText>
      </w:r>
      <w:r>
        <w:rPr>
          <w:noProof/>
          <w:szCs w:val="24"/>
        </w:rPr>
        <w:fldChar w:fldCharType="separate"/>
      </w:r>
      <w:r>
        <w:rPr>
          <w:noProof/>
          <w:szCs w:val="24"/>
        </w:rPr>
        <w:t>(Ishizaka and Nemery, 2013)</w:t>
      </w:r>
      <w:r>
        <w:rPr>
          <w:noProof/>
          <w:szCs w:val="24"/>
        </w:rPr>
        <w:fldChar w:fldCharType="end"/>
      </w:r>
      <w:r w:rsidRPr="00A96AC5">
        <w:rPr>
          <w:rFonts w:cs="Times New Roman"/>
          <w:szCs w:val="24"/>
        </w:rPr>
        <w:t xml:space="preserve">. Methodologies such as fuzzy set theory, the technique for order of preference by similarity to ideal solution (TOPSIS), the analytic hierarchy process (AHP), and affinity diagrams are commonly used to assess performance SUL initiatives. </w:t>
      </w:r>
      <w:r>
        <w:rPr>
          <w:szCs w:val="24"/>
        </w:rPr>
        <w:fldChar w:fldCharType="begin"/>
      </w:r>
      <w:r>
        <w:rPr>
          <w:szCs w:val="24"/>
        </w:rPr>
        <w:instrText xml:space="preserve"> ADDIN EN.CITE &lt;EndNote&gt;&lt;Cite AuthorYear="1"&gt;&lt;Author&gt;Awasthi&lt;/Author&gt;&lt;Year&gt;2012&lt;/Year&gt;&lt;RecNum&gt;130&lt;/RecNum&gt;&lt;DisplayText&gt;Awasthi and Chauhan (2012)&lt;/DisplayText&gt;&lt;record&gt;&lt;rec-number&gt;130&lt;/rec-number&gt;&lt;foreign-keys&gt;&lt;key app="EN" db-id="pzt5ep52hsedfpeext2pdfes0w0aswaewef2" timestamp="1605187994"&gt;130&lt;/key&gt;&lt;/foreign-keys&gt;&lt;ref-type name="Journal Article"&gt;17&lt;/ref-type&gt;&lt;contributors&gt;&lt;authors&gt;&lt;author&gt;Awasthi, Anjali&lt;/author&gt;&lt;author&gt;Chauhan, Satyaveer S&lt;/author&gt;&lt;/authors&gt;&lt;/contributors&gt;&lt;titles&gt;&lt;title&gt;A hybrid approach integrating Affinity Diagram, AHP and fuzzy TOPSIS for sustainable city logistics planning&lt;/title&gt;&lt;secondary-title&gt;Applied Mathematical Modelling&lt;/secondary-title&gt;&lt;/titles&gt;&lt;periodical&gt;&lt;full-title&gt;Applied Mathematical Modelling&lt;/full-title&gt;&lt;/periodical&gt;&lt;pages&gt;573-584&lt;/pages&gt;&lt;volume&gt;36&lt;/volume&gt;&lt;number&gt;2&lt;/number&gt;&lt;dates&gt;&lt;year&gt;2012&lt;/year&gt;&lt;/dates&gt;&lt;isbn&gt;0307-904X&lt;/isbn&gt;&lt;urls&gt;&lt;related-urls&gt;&lt;url&gt;http://www.sciencedirect.com/science/article/pii/S0307904X11004136&lt;/url&gt;&lt;/related-urls&gt;&lt;/urls&gt;&lt;research-notes&gt;14&lt;/research-notes&gt;&lt;/record&gt;&lt;/Cite&gt;&lt;/EndNote&gt;</w:instrText>
      </w:r>
      <w:r>
        <w:rPr>
          <w:szCs w:val="24"/>
        </w:rPr>
        <w:fldChar w:fldCharType="separate"/>
      </w:r>
      <w:r>
        <w:rPr>
          <w:noProof/>
          <w:szCs w:val="24"/>
        </w:rPr>
        <w:t>Awasthi and Chauhan (2012)</w:t>
      </w:r>
      <w:r>
        <w:rPr>
          <w:szCs w:val="24"/>
        </w:rPr>
        <w:fldChar w:fldCharType="end"/>
      </w:r>
      <w:r w:rsidRPr="00A96AC5">
        <w:rPr>
          <w:rFonts w:cs="Times New Roman"/>
          <w:szCs w:val="24"/>
        </w:rPr>
        <w:t xml:space="preserve"> list the four steps of MCDM methods in the context of SUL: (</w:t>
      </w:r>
      <w:proofErr w:type="spellStart"/>
      <w:r w:rsidRPr="00A96AC5">
        <w:rPr>
          <w:rFonts w:cs="Times New Roman"/>
          <w:szCs w:val="24"/>
        </w:rPr>
        <w:t>i</w:t>
      </w:r>
      <w:proofErr w:type="spellEnd"/>
      <w:r w:rsidRPr="00A96AC5">
        <w:rPr>
          <w:rFonts w:cs="Times New Roman"/>
          <w:szCs w:val="24"/>
        </w:rPr>
        <w:t xml:space="preserve">) identifying criteria to assess the performance of city logistics initiatives, (ii) establishing a decision-making committee of representatives of city logistics stakeholders to select the criteria and viable alternatives, (iii) providing a rating for the alternatives to selected criteria and aggregating these ratings through the selected methodology, and (iv) performing a sensitivity analysis to evaluate the robustness of the results. Using this framework, several authors have proposed different MCDM methods for the evaluation of SUL initiatives. </w:t>
      </w:r>
      <w:r>
        <w:rPr>
          <w:noProof/>
          <w:szCs w:val="24"/>
        </w:rPr>
        <w:fldChar w:fldCharType="begin"/>
      </w:r>
      <w:r>
        <w:rPr>
          <w:noProof/>
          <w:szCs w:val="24"/>
        </w:rPr>
        <w:instrText xml:space="preserve"> ADDIN EN.CITE &lt;EndNote&gt;&lt;Cite AuthorYear="1"&gt;&lt;Author&gt;Smirlis&lt;/Author&gt;&lt;Year&gt;2012&lt;/Year&gt;&lt;RecNum&gt;131&lt;/RecNum&gt;&lt;DisplayText&gt;Smirlis et al. (2012)&lt;/DisplayText&gt;&lt;record&gt;&lt;rec-number&gt;131&lt;/rec-number&gt;&lt;foreign-keys&gt;&lt;key app="EN" db-id="pzt5ep52hsedfpeext2pdfes0w0aswaewef2" timestamp="1605187994"&gt;131&lt;/key&gt;&lt;/foreign-keys&gt;&lt;ref-type name="Journal Article"&gt;17&lt;/ref-type&gt;&lt;contributors&gt;&lt;authors&gt;&lt;author&gt;Smirlis, Yannis G&lt;/author&gt;&lt;author&gt;Zeimpekis, Vasileios&lt;/author&gt;&lt;author&gt;Kaimakamis, G&lt;/author&gt;&lt;/authors&gt;&lt;/contributors&gt;&lt;titles&gt;&lt;title&gt;Data envelopment analysis models to support the selection of vehicle routing software for city logistics operations&lt;/title&gt;&lt;secondary-title&gt;Operational Research&lt;/secondary-title&gt;&lt;/titles&gt;&lt;periodical&gt;&lt;full-title&gt;Operational Research&lt;/full-title&gt;&lt;/periodical&gt;&lt;pages&gt;399-420&lt;/pages&gt;&lt;volume&gt;12&lt;/volume&gt;&lt;number&gt;3&lt;/number&gt;&lt;dates&gt;&lt;year&gt;2012&lt;/year&gt;&lt;/dates&gt;&lt;isbn&gt;1109-2858&lt;/isbn&gt;&lt;urls&gt;&lt;related-urls&gt;&lt;url&gt;https://link.springer.com/article/10.1007%2Fs12351-010-0100-4?LI=true&lt;/url&gt;&lt;/related-urls&gt;&lt;/urls&gt;&lt;research-notes&gt;132&lt;/research-notes&gt;&lt;/record&gt;&lt;/Cite&gt;&lt;/EndNote&gt;</w:instrText>
      </w:r>
      <w:r>
        <w:rPr>
          <w:noProof/>
          <w:szCs w:val="24"/>
        </w:rPr>
        <w:fldChar w:fldCharType="separate"/>
      </w:r>
      <w:r>
        <w:rPr>
          <w:noProof/>
          <w:szCs w:val="24"/>
        </w:rPr>
        <w:t>Smirlis et al. (2012)</w:t>
      </w:r>
      <w:r>
        <w:rPr>
          <w:noProof/>
          <w:szCs w:val="24"/>
        </w:rPr>
        <w:fldChar w:fldCharType="end"/>
      </w:r>
      <w:r w:rsidRPr="00A96AC5">
        <w:rPr>
          <w:rFonts w:cs="Times New Roman"/>
          <w:szCs w:val="24"/>
        </w:rPr>
        <w:t xml:space="preserve"> developed a combination of data envelopment analysis (DEA) and GIS to select the best vehicle routing</w:t>
      </w:r>
      <w:r>
        <w:rPr>
          <w:rFonts w:cs="Times New Roman"/>
          <w:szCs w:val="24"/>
        </w:rPr>
        <w:t xml:space="preserve"> software</w:t>
      </w:r>
      <w:r w:rsidRPr="00A96AC5">
        <w:rPr>
          <w:rFonts w:cs="Times New Roman"/>
          <w:szCs w:val="24"/>
        </w:rPr>
        <w:t>.</w:t>
      </w:r>
      <w:r w:rsidRPr="00294707">
        <w:rPr>
          <w:rFonts w:cs="Times New Roman"/>
          <w:szCs w:val="24"/>
        </w:rPr>
        <w:t xml:space="preserve"> </w:t>
      </w:r>
      <w:r w:rsidRPr="00A96AC5">
        <w:rPr>
          <w:rFonts w:cs="Times New Roman"/>
          <w:szCs w:val="24"/>
        </w:rPr>
        <w:t>The role of the DEA is to transform the qualitative information to measurable quantitative data when dealing with insufficient data input.</w:t>
      </w:r>
      <w:r>
        <w:rPr>
          <w:rFonts w:cs="Times New Roman"/>
          <w:szCs w:val="24"/>
        </w:rPr>
        <w:t xml:space="preserve"> </w:t>
      </w:r>
      <w:r>
        <w:rPr>
          <w:szCs w:val="24"/>
        </w:rPr>
        <w:fldChar w:fldCharType="begin"/>
      </w:r>
      <w:r>
        <w:rPr>
          <w:szCs w:val="24"/>
        </w:rPr>
        <w:instrText xml:space="preserve"> ADDIN EN.CITE &lt;EndNote&gt;&lt;Cite AuthorYear="1"&gt;&lt;Author&gt;Tadić&lt;/Author&gt;&lt;Year&gt;2014&lt;/Year&gt;&lt;RecNum&gt;132&lt;/RecNum&gt;&lt;DisplayText&gt;Tadić et al. (2014)&lt;/DisplayText&gt;&lt;record&gt;&lt;rec-number&gt;132&lt;/rec-number&gt;&lt;foreign-keys&gt;&lt;key app="EN" db-id="pzt5ep52hsedfpeext2pdfes0w0aswaewef2" timestamp="1605187994"&gt;132&lt;/key&gt;&lt;/foreign-keys&gt;&lt;ref-type name="Journal Article"&gt;17&lt;/ref-type&gt;&lt;contributors&gt;&lt;authors&gt;&lt;author&gt;Tadić, Snežana&lt;/author&gt;&lt;author&gt;Zečević, Slobodan&lt;/author&gt;&lt;author&gt;Krstić, Mladen&lt;/author&gt;&lt;/authors&gt;&lt;/contributors&gt;&lt;titles&gt;&lt;title&gt;A novel hybrid MCDM model based on fuzzy DEMATEL, fuzzy ANP and fuzzy VIKOR for city logistics concept selection&lt;/title&gt;&lt;secondary-title&gt;Expert Systems with Applications&lt;/secondary-title&gt;&lt;/titles&gt;&lt;periodical&gt;&lt;full-title&gt;Expert Systems with Applications&lt;/full-title&gt;&lt;/periodical&gt;&lt;pages&gt;8112-8128&lt;/pages&gt;&lt;volume&gt;41&lt;/volume&gt;&lt;number&gt;18&lt;/number&gt;&lt;dates&gt;&lt;year&gt;2014&lt;/year&gt;&lt;/dates&gt;&lt;isbn&gt;0957-4174&lt;/isbn&gt;&lt;urls&gt;&lt;related-urls&gt;&lt;url&gt;http://www.sciencedirect.com/science/article/pii/S0957417414004199&lt;/url&gt;&lt;/related-urls&gt;&lt;/urls&gt;&lt;research-notes&gt;25&lt;/research-notes&gt;&lt;/record&gt;&lt;/Cite&gt;&lt;/EndNote&gt;</w:instrText>
      </w:r>
      <w:r>
        <w:rPr>
          <w:szCs w:val="24"/>
        </w:rPr>
        <w:fldChar w:fldCharType="separate"/>
      </w:r>
      <w:r>
        <w:rPr>
          <w:noProof/>
          <w:szCs w:val="24"/>
        </w:rPr>
        <w:t>Tadić et al. (2014)</w:t>
      </w:r>
      <w:r>
        <w:rPr>
          <w:szCs w:val="24"/>
        </w:rPr>
        <w:fldChar w:fldCharType="end"/>
      </w:r>
      <w:r w:rsidRPr="00A96AC5">
        <w:rPr>
          <w:rFonts w:cs="Times New Roman"/>
          <w:szCs w:val="24"/>
        </w:rPr>
        <w:t xml:space="preserve"> used the fuzzy ANP, DEMATEL, and VIKOR to evaluate four possible SUL models (decentralised road systems, centralised cargo tram systems, intermodal transport networks, and unified freight systems with trams and EVs) for evaluation across 10 criteria from three different dimensions. Based on seven indicators and the three dimensions of SUL, </w:t>
      </w:r>
      <w:r>
        <w:rPr>
          <w:rFonts w:cs="Times New Roman"/>
          <w:noProof/>
          <w:szCs w:val="24"/>
        </w:rPr>
        <w:fldChar w:fldCharType="begin"/>
      </w:r>
      <w:r>
        <w:rPr>
          <w:rFonts w:cs="Times New Roman"/>
          <w:noProof/>
          <w:szCs w:val="24"/>
        </w:rPr>
        <w:instrText xml:space="preserve"> ADDIN EN.CITE &lt;EndNote&gt;&lt;Cite AuthorYear="1"&gt;&lt;Author&gt;Bouhana&lt;/Author&gt;&lt;Year&gt;2015&lt;/Year&gt;&lt;RecNum&gt;133&lt;/RecNum&gt;&lt;DisplayText&gt;Bouhana et al. (2015)&lt;/DisplayText&gt;&lt;record&gt;&lt;rec-number&gt;133&lt;/rec-number&gt;&lt;foreign-keys&gt;&lt;key app="EN" db-id="pzt5ep52hsedfpeext2pdfes0w0aswaewef2" timestamp="1605187994"&gt;133&lt;/key&gt;&lt;/foreign-keys&gt;&lt;ref-type name="Journal Article"&gt;17&lt;/ref-type&gt;&lt;contributors&gt;&lt;authors&gt;&lt;author&gt;Bouhana, Amna&lt;/author&gt;&lt;author&gt;Zidi, Amir&lt;/author&gt;&lt;author&gt;Fekih, Afef&lt;/author&gt;&lt;author&gt;Chabchoub, Habib&lt;/author&gt;&lt;author&gt;Abed, Mourad&lt;/author&gt;&lt;/authors&gt;&lt;/contributors&gt;&lt;titles&gt;&lt;title&gt;An ontology-based CBR approach for personalized itinerary search systems for sustainable urban freight transport&lt;/title&gt;&lt;secondary-title&gt;Expert Systems with Applications&lt;/secondary-title&gt;&lt;/titles&gt;&lt;periodical&gt;&lt;full-title&gt;Expert Systems with Applications&lt;/full-title&gt;&lt;/periodical&gt;&lt;pages&gt;3724-3741&lt;/pages&gt;&lt;volume&gt;42&lt;/volume&gt;&lt;number&gt;7&lt;/number&gt;&lt;keywords&gt;&lt;keyword&gt;Multi-criteria decision support&lt;/keyword&gt;&lt;keyword&gt;Information retrieval&lt;/keyword&gt;&lt;keyword&gt;Personalization&lt;/keyword&gt;&lt;keyword&gt;Itinerary search&lt;/keyword&gt;&lt;keyword&gt;Urban freight transport&lt;/keyword&gt;&lt;/keywords&gt;&lt;dates&gt;&lt;year&gt;2015&lt;/year&gt;&lt;pub-dates&gt;&lt;date&gt;2015/05/01/&lt;/date&gt;&lt;/pub-dates&gt;&lt;/dates&gt;&lt;isbn&gt;0957-4174&lt;/isbn&gt;&lt;urls&gt;&lt;related-urls&gt;&lt;url&gt;http://www.sciencedirect.com/science/article/pii/S0957417414007908&lt;/url&gt;&lt;/related-urls&gt;&lt;/urls&gt;&lt;electronic-resource-num&gt;https://doi.org/10.1016/j.eswa.2014.12.012&lt;/electronic-resource-num&gt;&lt;/record&gt;&lt;/Cite&gt;&lt;/EndNote&gt;</w:instrText>
      </w:r>
      <w:r>
        <w:rPr>
          <w:rFonts w:cs="Times New Roman"/>
          <w:noProof/>
          <w:szCs w:val="24"/>
        </w:rPr>
        <w:fldChar w:fldCharType="separate"/>
      </w:r>
      <w:r>
        <w:rPr>
          <w:rFonts w:cs="Times New Roman"/>
          <w:noProof/>
          <w:szCs w:val="24"/>
        </w:rPr>
        <w:t>Bouhana et al. (2015)</w:t>
      </w:r>
      <w:r>
        <w:rPr>
          <w:rFonts w:cs="Times New Roman"/>
          <w:noProof/>
          <w:szCs w:val="24"/>
        </w:rPr>
        <w:fldChar w:fldCharType="end"/>
      </w:r>
      <w:r>
        <w:rPr>
          <w:rFonts w:cs="Times New Roman"/>
          <w:szCs w:val="24"/>
        </w:rPr>
        <w:t xml:space="preserve"> </w:t>
      </w:r>
      <w:r w:rsidRPr="00A96AC5">
        <w:rPr>
          <w:rFonts w:cs="Times New Roman"/>
          <w:szCs w:val="24"/>
        </w:rPr>
        <w:t>built an intelligent decision-making system through a case-based reasoning (CBR) approach. The information input of this model is based on semantic web rule languages. This system optimises delivery routing for the carriers, simultaneously considering the different requirements (environmental impact, time windows) of several stakeholders.</w:t>
      </w:r>
      <w:r>
        <w:rPr>
          <w:rFonts w:cs="Times New Roman"/>
          <w:szCs w:val="24"/>
        </w:rPr>
        <w:t xml:space="preserve"> </w:t>
      </w:r>
      <w:r>
        <w:rPr>
          <w:noProof/>
          <w:szCs w:val="24"/>
        </w:rPr>
        <w:fldChar w:fldCharType="begin">
          <w:fldData xml:space="preserve">PEVuZE5vdGU+PENpdGUgQXV0aG9yWWVhcj0iMSI+PEF1dGhvcj5NaWxhbjwvQXV0aG9yPjxZZWFy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</w:fldData>
        </w:fldChar>
      </w:r>
      <w:r>
        <w:rPr>
          <w:noProof/>
          <w:szCs w:val="24"/>
        </w:rPr>
        <w:instrText xml:space="preserve"> ADDIN EN.CITE </w:instrText>
      </w:r>
      <w:r>
        <w:rPr>
          <w:noProof/>
          <w:szCs w:val="24"/>
        </w:rPr>
        <w:fldChar w:fldCharType="begin">
          <w:fldData xml:space="preserve">PEVuZE5vdGU+PENpdGUgQXV0aG9yWWVhcj0iMSI+PEF1dGhvcj5NaWxhbjwvQXV0aG9yPjxZZWFy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</w:fldData>
        </w:fldChar>
      </w:r>
      <w:r>
        <w:rPr>
          <w:noProof/>
          <w:szCs w:val="24"/>
        </w:rPr>
        <w:instrText xml:space="preserve"> ADDIN EN.CITE.DATA </w:instrText>
      </w:r>
      <w:r>
        <w:rPr>
          <w:noProof/>
          <w:szCs w:val="24"/>
        </w:rPr>
      </w:r>
      <w:r>
        <w:rPr>
          <w:noProof/>
          <w:szCs w:val="24"/>
        </w:rPr>
        <w:fldChar w:fldCharType="end"/>
      </w:r>
      <w:r>
        <w:rPr>
          <w:noProof/>
          <w:szCs w:val="24"/>
        </w:rPr>
      </w:r>
      <w:r>
        <w:rPr>
          <w:noProof/>
          <w:szCs w:val="24"/>
        </w:rPr>
        <w:fldChar w:fldCharType="separate"/>
      </w:r>
      <w:r>
        <w:rPr>
          <w:noProof/>
          <w:szCs w:val="24"/>
        </w:rPr>
        <w:t>Milan et al. (2015)</w:t>
      </w:r>
      <w:r>
        <w:rPr>
          <w:noProof/>
          <w:szCs w:val="24"/>
        </w:rPr>
        <w:fldChar w:fldCharType="end"/>
      </w:r>
      <w:r w:rsidRPr="00A96AC5">
        <w:rPr>
          <w:rFonts w:cs="Times New Roman"/>
          <w:szCs w:val="24"/>
        </w:rPr>
        <w:t xml:space="preserve"> used PROMETHEE to illuminate stakeholder preferences in a case study examining potential pick-up schedule scenarios for an on-street Oxfam donation bank.</w:t>
      </w:r>
      <w:r>
        <w:rPr>
          <w:rFonts w:cs="Times New Roman"/>
          <w:szCs w:val="24"/>
        </w:rPr>
        <w:t xml:space="preserve"> </w:t>
      </w:r>
      <w:r>
        <w:rPr>
          <w:rFonts w:cs="Times New Roman"/>
          <w:noProof/>
          <w:szCs w:val="24"/>
        </w:rPr>
        <w:fldChar w:fldCharType="begin"/>
      </w:r>
      <w:r>
        <w:rPr>
          <w:rFonts w:cs="Times New Roman"/>
          <w:noProof/>
          <w:szCs w:val="24"/>
        </w:rPr>
        <w:instrText xml:space="preserve"> ADDIN EN.CITE &lt;EndNote&gt;&lt;Cite AuthorYear="1"&gt;&lt;Author&gt;Rao&lt;/Author&gt;&lt;Year&gt;2015&lt;/Year&gt;&lt;RecNum&gt;135&lt;/RecNum&gt;&lt;DisplayText&gt;Rao et al. (2015)&lt;/DisplayText&gt;&lt;record&gt;&lt;rec-number&gt;135&lt;/rec-number&gt;&lt;foreign-keys&gt;&lt;key app="EN" db-id="pzt5ep52hsedfpeext2pdfes0w0aswaewef2" timestamp="1605187994"&gt;135&lt;/key&gt;&lt;/foreign-keys&gt;&lt;ref-type name="Journal Article"&gt;17&lt;/ref-type&gt;&lt;contributors&gt;&lt;authors&gt;&lt;author&gt;Rao, Congjun&lt;/author&gt;&lt;author&gt;Goh, Mark&lt;/author&gt;&lt;author&gt;Zhao, Yong&lt;/author&gt;&lt;author&gt;Zheng, Junjun&lt;/author&gt;&lt;/authors&gt;&lt;/contributors&gt;&lt;titles&gt;&lt;title&gt;Location selection of city logistics centers under sustainability&lt;/title&gt;&lt;secondary-title&gt;Transportation Research Part D: Transport and Environment&lt;/secondary-title&gt;&lt;/titles&gt;&lt;periodical&gt;&lt;full-title&gt;Transportation Research Part D: Transport and Environment&lt;/full-title&gt;&lt;abbr-1&gt;Transp. Res. Part D Transp. Environ.&lt;/abbr-1&gt;&lt;/periodical&gt;&lt;pages&gt;29-44&lt;/pages&gt;&lt;volume&gt;36&lt;/volume&gt;&lt;keywords&gt;&lt;keyword&gt;City logistics centers&lt;/keyword&gt;&lt;keyword&gt;Location selection&lt;/keyword&gt;&lt;keyword&gt;Sustainability&lt;/keyword&gt;&lt;keyword&gt;THOWA operator&lt;/keyword&gt;&lt;keyword&gt;TOPSIS&lt;/keyword&gt;&lt;/keywords&gt;&lt;dates&gt;&lt;year&gt;2015&lt;/year&gt;&lt;pub-dates&gt;&lt;date&gt;2015/05/01/&lt;/date&gt;&lt;/pub-dates&gt;&lt;/dates&gt;&lt;isbn&gt;1361-9209&lt;/isbn&gt;&lt;urls&gt;&lt;related-urls&gt;&lt;url&gt;http://www.sciencedirect.com/science/article/pii/S1361920915000176&lt;/url&gt;&lt;/related-urls&gt;&lt;/urls&gt;&lt;electronic-resource-num&gt;https://doi.org/10.1016/j.trd.2015.02.008&lt;/electronic-resource-num&gt;&lt;/record&gt;&lt;/Cite&gt;&lt;/EndNote&gt;</w:instrText>
      </w:r>
      <w:r>
        <w:rPr>
          <w:rFonts w:cs="Times New Roman"/>
          <w:noProof/>
          <w:szCs w:val="24"/>
        </w:rPr>
        <w:fldChar w:fldCharType="separate"/>
      </w:r>
      <w:r>
        <w:rPr>
          <w:rFonts w:cs="Times New Roman"/>
          <w:noProof/>
          <w:szCs w:val="24"/>
        </w:rPr>
        <w:t>Rao et al. (2015)</w:t>
      </w:r>
      <w:r>
        <w:rPr>
          <w:rFonts w:cs="Times New Roman"/>
          <w:noProof/>
          <w:szCs w:val="24"/>
        </w:rPr>
        <w:fldChar w:fldCharType="end"/>
      </w:r>
      <w:r w:rsidRPr="00593BD8">
        <w:rPr>
          <w:rFonts w:cs="Times New Roman"/>
          <w:szCs w:val="24"/>
        </w:rPr>
        <w:t xml:space="preserve"> deal with the UCC location selection through Fuzzy TOPSIS methods, based on the economic, environmental and social criteria.</w:t>
      </w:r>
      <w:r>
        <w:rPr>
          <w:rFonts w:cs="Times New Roman"/>
          <w:szCs w:val="24"/>
        </w:rPr>
        <w:t xml:space="preserve"> </w:t>
      </w:r>
      <w:r>
        <w:rPr>
          <w:szCs w:val="24"/>
        </w:rPr>
        <w:fldChar w:fldCharType="begin"/>
      </w:r>
      <w:r>
        <w:rPr>
          <w:szCs w:val="24"/>
        </w:rPr>
        <w:instrText xml:space="preserve"> ADDIN EN.CITE &lt;EndNote&gt;&lt;Cite AuthorYear="1"&gt;&lt;Author&gt;Awasthi&lt;/Author&gt;&lt;Year&gt;2016&lt;/Year&gt;&lt;RecNum&gt;136&lt;/RecNum&gt;&lt;DisplayText&gt;Awasthi et al. (2016)&lt;/DisplayText&gt;&lt;record&gt;&lt;rec-number&gt;136&lt;/rec-number&gt;&lt;foreign-keys&gt;&lt;key app="EN" db-id="pzt5ep52hsedfpeext2pdfes0w0aswaewef2" timestamp="1605187994"&gt;136&lt;/key&gt;&lt;/foreign-keys&gt;&lt;ref-type name="Journal Article"&gt;17&lt;/ref-type&gt;&lt;contributors&gt;&lt;authors&gt;&lt;author&gt;Awasthi, Anjali&lt;/author&gt;&lt;author&gt;Adetiloye, Taiwo&lt;/author&gt;&lt;author&gt;Crainic, Teodor Gabriel&lt;/author&gt;&lt;/authors&gt;&lt;/contributors&gt;&lt;titles&gt;&lt;title&gt;Collaboration partner selection for city logistics planning under municipal freight regulations&lt;/title&gt;&lt;secondary-title&gt;Applied Mathematical Modelling&lt;/secondary-title&gt;&lt;/titles&gt;&lt;periodical&gt;&lt;full-title&gt;Applied Mathematical Modelling&lt;/full-title&gt;&lt;/periodical&gt;&lt;pages&gt;510-525&lt;/pages&gt;&lt;volume&gt;40&lt;/volume&gt;&lt;number&gt;1&lt;/number&gt;&lt;dates&gt;&lt;year&gt;2016&lt;/year&gt;&lt;/dates&gt;&lt;isbn&gt;0307-904X&lt;/isbn&gt;&lt;urls&gt;&lt;related-urls&gt;&lt;url&gt;http://www.sciencedirect.com/science/article/pii/S0307904X15003765&lt;/url&gt;&lt;/related-urls&gt;&lt;/urls&gt;&lt;research-notes&gt;118&lt;/research-notes&gt;&lt;/record&gt;&lt;/Cite&gt;&lt;/EndNote&gt;</w:instrText>
      </w:r>
      <w:r>
        <w:rPr>
          <w:szCs w:val="24"/>
        </w:rPr>
        <w:fldChar w:fldCharType="separate"/>
      </w:r>
      <w:r>
        <w:rPr>
          <w:noProof/>
          <w:szCs w:val="24"/>
        </w:rPr>
        <w:t>Awasthi et al. (2016)</w:t>
      </w:r>
      <w:r>
        <w:rPr>
          <w:szCs w:val="24"/>
        </w:rPr>
        <w:fldChar w:fldCharType="end"/>
      </w:r>
      <w:r>
        <w:rPr>
          <w:szCs w:val="24"/>
        </w:rPr>
        <w:t xml:space="preserve"> </w:t>
      </w:r>
      <w:r w:rsidRPr="00A96AC5">
        <w:rPr>
          <w:rFonts w:cs="Times New Roman"/>
          <w:szCs w:val="24"/>
        </w:rPr>
        <w:t>used a fuzzy BOCR (benefit, opportunities, cost, and risk) GRA (grey relational analysis) method to select logistical partners.</w:t>
      </w:r>
      <w:r>
        <w:rPr>
          <w:rFonts w:cs="Times New Roman"/>
          <w:szCs w:val="24"/>
        </w:rPr>
        <w:t xml:space="preserve"> </w:t>
      </w:r>
      <w:r>
        <w:rPr>
          <w:noProof/>
          <w:szCs w:val="24"/>
        </w:rPr>
        <w:fldChar w:fldCharType="begin">
          <w:fldData xml:space="preserve">PEVuZE5vdGU+PENpdGUgQXV0aG9yWWVhcj0iMSI+PEF1dGhvcj5CYW5kZWlyYTwvQXV0aG9yPjxZ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=
</w:fldData>
        </w:fldChar>
      </w:r>
      <w:r>
        <w:rPr>
          <w:noProof/>
          <w:szCs w:val="24"/>
        </w:rPr>
        <w:instrText xml:space="preserve"> ADDIN EN.CITE </w:instrText>
      </w:r>
      <w:r>
        <w:rPr>
          <w:noProof/>
          <w:szCs w:val="24"/>
        </w:rPr>
        <w:fldChar w:fldCharType="begin">
          <w:fldData xml:space="preserve">PEVuZE5vdGU+PENpdGUgQXV0aG9yWWVhcj0iMSI+PEF1dGhvcj5CYW5kZWlyYTwvQXV0aG9yPjxZ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=
</w:fldData>
        </w:fldChar>
      </w:r>
      <w:r>
        <w:rPr>
          <w:noProof/>
          <w:szCs w:val="24"/>
        </w:rPr>
        <w:instrText xml:space="preserve"> ADDIN EN.CITE.DATA </w:instrText>
      </w:r>
      <w:r>
        <w:rPr>
          <w:noProof/>
          <w:szCs w:val="24"/>
        </w:rPr>
      </w:r>
      <w:r>
        <w:rPr>
          <w:noProof/>
          <w:szCs w:val="24"/>
        </w:rPr>
        <w:fldChar w:fldCharType="end"/>
      </w:r>
      <w:r>
        <w:rPr>
          <w:noProof/>
          <w:szCs w:val="24"/>
        </w:rPr>
      </w:r>
      <w:r>
        <w:rPr>
          <w:noProof/>
          <w:szCs w:val="24"/>
        </w:rPr>
        <w:fldChar w:fldCharType="separate"/>
      </w:r>
      <w:r>
        <w:rPr>
          <w:noProof/>
          <w:szCs w:val="24"/>
        </w:rPr>
        <w:t>Bandeira et al. (2018)</w:t>
      </w:r>
      <w:r>
        <w:rPr>
          <w:noProof/>
          <w:szCs w:val="24"/>
        </w:rPr>
        <w:fldChar w:fldCharType="end"/>
      </w:r>
      <w:r w:rsidRPr="00A96AC5">
        <w:rPr>
          <w:rFonts w:cs="Times New Roman"/>
          <w:szCs w:val="24"/>
        </w:rPr>
        <w:t xml:space="preserve"> implemented the fuzzy logic technique for a comparative assessment of different scenarios for adapting e-tricycles for urban distribution. </w:t>
      </w:r>
      <w:r>
        <w:rPr>
          <w:noProof/>
          <w:szCs w:val="24"/>
        </w:rPr>
        <w:fldChar w:fldCharType="begin">
          <w:fldData xml:space="preserve">PEVuZE5vdGU+PENpdGUgQXV0aG9yWWVhcj0iMSI+PEF1dGhvcj5LaWpld3NrYTwvQXV0aG9yPjxZ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</w:fldData>
        </w:fldChar>
      </w:r>
      <w:r>
        <w:rPr>
          <w:noProof/>
          <w:szCs w:val="24"/>
        </w:rPr>
        <w:instrText xml:space="preserve"> ADDIN EN.CITE </w:instrText>
      </w:r>
      <w:r>
        <w:rPr>
          <w:noProof/>
          <w:szCs w:val="24"/>
        </w:rPr>
        <w:fldChar w:fldCharType="begin">
          <w:fldData xml:space="preserve">PEVuZE5vdGU+PENpdGUgQXV0aG9yWWVhcj0iMSI+PEF1dGhvcj5LaWpld3NrYTwvQXV0aG9yPjxZ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</w:fldData>
        </w:fldChar>
      </w:r>
      <w:r>
        <w:rPr>
          <w:noProof/>
          <w:szCs w:val="24"/>
        </w:rPr>
        <w:instrText xml:space="preserve"> ADDIN EN.CITE.DATA </w:instrText>
      </w:r>
      <w:r>
        <w:rPr>
          <w:noProof/>
          <w:szCs w:val="24"/>
        </w:rPr>
      </w:r>
      <w:r>
        <w:rPr>
          <w:noProof/>
          <w:szCs w:val="24"/>
        </w:rPr>
        <w:fldChar w:fldCharType="end"/>
      </w:r>
      <w:r>
        <w:rPr>
          <w:noProof/>
          <w:szCs w:val="24"/>
        </w:rPr>
      </w:r>
      <w:r>
        <w:rPr>
          <w:noProof/>
          <w:szCs w:val="24"/>
        </w:rPr>
        <w:fldChar w:fldCharType="separate"/>
      </w:r>
      <w:r>
        <w:rPr>
          <w:noProof/>
          <w:szCs w:val="24"/>
        </w:rPr>
        <w:t>Kijewska et al. (2018)</w:t>
      </w:r>
      <w:r>
        <w:rPr>
          <w:noProof/>
          <w:szCs w:val="24"/>
        </w:rPr>
        <w:fldChar w:fldCharType="end"/>
      </w:r>
      <w:r w:rsidRPr="00A96AC5">
        <w:rPr>
          <w:rFonts w:cs="Times New Roman"/>
          <w:szCs w:val="24"/>
        </w:rPr>
        <w:t xml:space="preserve"> select the most appreciate administrative measures in the context of sustainable development by comparing AHP and DEMATEL results.</w:t>
      </w:r>
      <w:r>
        <w:rPr>
          <w:rFonts w:cs="Times New Roman"/>
          <w:szCs w:val="24"/>
        </w:rPr>
        <w:t xml:space="preserve"> </w:t>
      </w:r>
    </w:p>
    <w:p w14:paraId="3B4BA51F" w14:textId="1926B84D" w:rsidR="009578F1" w:rsidRPr="00A96AC5" w:rsidRDefault="009578F1" w:rsidP="000A4E8C">
      <w:pPr>
        <w:pStyle w:val="Heading3"/>
        <w:spacing w:before="40" w:line="360" w:lineRule="auto"/>
        <w:jc w:val="left"/>
        <w:rPr>
          <w:rFonts w:cs="Times New Roman"/>
        </w:rPr>
      </w:pPr>
      <w:bookmarkStart w:id="247" w:name="_Toc66703182"/>
      <w:r w:rsidRPr="00A96AC5">
        <w:rPr>
          <w:rFonts w:cs="Times New Roman"/>
        </w:rPr>
        <w:lastRenderedPageBreak/>
        <w:t xml:space="preserve">Aggregate </w:t>
      </w:r>
      <w:r w:rsidR="00335E50">
        <w:rPr>
          <w:rFonts w:cs="Times New Roman"/>
        </w:rPr>
        <w:t>p</w:t>
      </w:r>
      <w:r w:rsidR="00335E50" w:rsidRPr="00A96AC5">
        <w:rPr>
          <w:rFonts w:cs="Times New Roman"/>
        </w:rPr>
        <w:t xml:space="preserve">lanning </w:t>
      </w:r>
      <w:r w:rsidRPr="00A96AC5">
        <w:rPr>
          <w:rFonts w:cs="Times New Roman"/>
        </w:rPr>
        <w:t>of urban logistics (UL)</w:t>
      </w:r>
      <w:bookmarkEnd w:id="230"/>
      <w:bookmarkEnd w:id="231"/>
      <w:bookmarkEnd w:id="232"/>
      <w:bookmarkEnd w:id="247"/>
    </w:p>
    <w:bookmarkEnd w:id="233"/>
    <w:bookmarkEnd w:id="234"/>
    <w:p w14:paraId="6C47216F" w14:textId="1219573E" w:rsidR="0071798B" w:rsidRPr="00737239" w:rsidRDefault="0071798B" w:rsidP="00C15D78">
      <w:pPr>
        <w:spacing w:after="240" w:line="360" w:lineRule="auto"/>
        <w:rPr>
          <w:rFonts w:cs="Times New Roman"/>
          <w:szCs w:val="24"/>
        </w:rPr>
      </w:pPr>
      <w:r w:rsidRPr="00A96AC5">
        <w:rPr>
          <w:rFonts w:cs="Times New Roman"/>
          <w:szCs w:val="24"/>
        </w:rPr>
        <w:t xml:space="preserve">The papers in this category focus on the formulation of reasonable logistics plans, as well as the implementation of the new logistics projects to reduce the risks caused by uncertainty. In the context of SUL, environmental factors are the primary motivations, thus the scheming process usually prioritises environmental progress </w:t>
      </w:r>
      <w:r w:rsidR="00E57E56">
        <w:rPr>
          <w:noProof/>
          <w:szCs w:val="24"/>
        </w:rPr>
        <w:fldChar w:fldCharType="begin">
          <w:fldData xml:space="preserve">PEVuZE5vdGU+PENpdGU+PEF1dGhvcj5Gb3NzaGVpbTwvQXV0aG9yPjxZZWFyPjIwMTc8L1llYXI+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</w:fldData>
        </w:fldChar>
      </w:r>
      <w:r w:rsidR="00647E79">
        <w:rPr>
          <w:noProof/>
          <w:szCs w:val="24"/>
        </w:rPr>
        <w:instrText xml:space="preserve"> ADDIN EN.CITE </w:instrText>
      </w:r>
      <w:r w:rsidR="00647E79">
        <w:rPr>
          <w:noProof/>
          <w:szCs w:val="24"/>
        </w:rPr>
        <w:fldChar w:fldCharType="begin">
          <w:fldData xml:space="preserve">PEVuZE5vdGU+PENpdGU+PEF1dGhvcj5Gb3NzaGVpbTwvQXV0aG9yPjxZZWFyPjIwMTc8L1llYXI+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</w:fldData>
        </w:fldChar>
      </w:r>
      <w:r w:rsidR="00647E79">
        <w:rPr>
          <w:noProof/>
          <w:szCs w:val="24"/>
        </w:rPr>
        <w:instrText xml:space="preserve"> ADDIN EN.CITE.DATA </w:instrText>
      </w:r>
      <w:r w:rsidR="00647E79">
        <w:rPr>
          <w:noProof/>
          <w:szCs w:val="24"/>
        </w:rPr>
      </w:r>
      <w:r w:rsidR="00647E79">
        <w:rPr>
          <w:noProof/>
          <w:szCs w:val="24"/>
        </w:rPr>
        <w:fldChar w:fldCharType="end"/>
      </w:r>
      <w:r w:rsidR="00E57E56">
        <w:rPr>
          <w:noProof/>
          <w:szCs w:val="24"/>
        </w:rPr>
      </w:r>
      <w:r w:rsidR="00E57E56">
        <w:rPr>
          <w:noProof/>
          <w:szCs w:val="24"/>
        </w:rPr>
        <w:fldChar w:fldCharType="separate"/>
      </w:r>
      <w:r w:rsidR="00E57E56">
        <w:rPr>
          <w:noProof/>
          <w:szCs w:val="24"/>
        </w:rPr>
        <w:t>(Fossheim and Andersen, 2017)</w:t>
      </w:r>
      <w:r w:rsidR="00E57E56">
        <w:rPr>
          <w:noProof/>
          <w:szCs w:val="24"/>
        </w:rPr>
        <w:fldChar w:fldCharType="end"/>
      </w:r>
      <w:r w:rsidRPr="00A96AC5">
        <w:rPr>
          <w:rFonts w:cs="Times New Roman"/>
          <w:szCs w:val="24"/>
        </w:rPr>
        <w:t xml:space="preserve">. </w:t>
      </w:r>
      <w:r w:rsidR="00E57E56">
        <w:fldChar w:fldCharType="begin"/>
      </w:r>
      <w:r w:rsidR="00647E79">
        <w:instrText xml:space="preserve"> ADDIN EN.CITE &lt;EndNote&gt;&lt;Cite AuthorYear="1"&gt;&lt;Author&gt;Russo&lt;/Author&gt;&lt;Year&gt;2016&lt;/Year&gt;&lt;RecNum&gt;140&lt;/RecNum&gt;&lt;DisplayText&gt;Russo and Comi (2016)&lt;/DisplayText&gt;&lt;record&gt;&lt;rec-number&gt;140&lt;/rec-number&gt;&lt;foreign-keys&gt;&lt;key app="EN" db-id="pzt5ep52hsedfpeext2pdfes0w0aswaewef2" timestamp="1605187994"&gt;140&lt;/key&gt;&lt;/foreign-keys&gt;&lt;ref-type name="Journal Article"&gt;17&lt;/ref-type&gt;&lt;contributors&gt;&lt;authors&gt;&lt;author&gt;Russo, Francesco&lt;/author&gt;&lt;author&gt;Comi, Antonio&lt;/author&gt;&lt;/authors&gt;&lt;/contributors&gt;&lt;titles&gt;&lt;title&gt;Urban freight transport planning towards green goals: synthetic environmental evidence from tested results&lt;/title&gt;&lt;secondary-title&gt;Sustainability&lt;/secondary-title&gt;&lt;/titles&gt;&lt;periodical&gt;&lt;full-title&gt;Sustainability (Switzerland)&lt;/full-title&gt;&lt;abbr-1&gt;Sustainability&lt;/abbr-1&gt;&lt;/periodical&gt;&lt;pages&gt;381&lt;/pages&gt;&lt;volume&gt;8&lt;/volume&gt;&lt;number&gt;4&lt;/number&gt;&lt;dates&gt;&lt;year&gt;2016&lt;/year&gt;&lt;/dates&gt;&lt;urls&gt;&lt;related-urls&gt;&lt;url&gt;http://www.mdpi.com/2071-1050/8/4/381/html&lt;/url&gt;&lt;/related-urls&gt;&lt;/urls&gt;&lt;research-notes&gt;117&lt;/research-notes&gt;&lt;/record&gt;&lt;/Cite&gt;&lt;/EndNote&gt;</w:instrText>
      </w:r>
      <w:r w:rsidR="00E57E56">
        <w:fldChar w:fldCharType="separate"/>
      </w:r>
      <w:r w:rsidR="00AC48F1">
        <w:rPr>
          <w:noProof/>
        </w:rPr>
        <w:t>Russo and Comi (2016)</w:t>
      </w:r>
      <w:r w:rsidR="00E57E56">
        <w:fldChar w:fldCharType="end"/>
      </w:r>
      <w:r w:rsidRPr="00A96AC5">
        <w:rPr>
          <w:rFonts w:cs="Times New Roman"/>
        </w:rPr>
        <w:t xml:space="preserve"> illustrate that the planning process of a logistics project is a cyclical procedure, which begins with the ex-ante assessment and ends with the ex-post assessment (</w:t>
      </w:r>
      <w:r w:rsidRPr="00737239">
        <w:rPr>
          <w:rFonts w:cs="Times New Roman"/>
        </w:rPr>
        <w:fldChar w:fldCharType="begin"/>
      </w:r>
      <w:r w:rsidRPr="00A96AC5">
        <w:rPr>
          <w:rFonts w:cs="Times New Roman"/>
        </w:rPr>
        <w:instrText xml:space="preserve"> REF _Ref532217411 \h </w:instrText>
      </w:r>
      <w:r w:rsidR="008903D1">
        <w:rPr>
          <w:rFonts w:cs="Times New Roman"/>
        </w:rPr>
        <w:instrText xml:space="preserve"> \* MERGEFORMAT </w:instrText>
      </w:r>
      <w:r w:rsidRPr="00737239">
        <w:rPr>
          <w:rFonts w:cs="Times New Roman"/>
        </w:rPr>
      </w:r>
      <w:r w:rsidRPr="00737239">
        <w:rPr>
          <w:rFonts w:cs="Times New Roman"/>
        </w:rPr>
        <w:fldChar w:fldCharType="separate"/>
      </w:r>
      <w:r w:rsidR="0005064B" w:rsidRPr="00737239">
        <w:rPr>
          <w:rFonts w:cs="Times New Roman"/>
        </w:rPr>
        <w:t xml:space="preserve">Figure </w:t>
      </w:r>
      <w:r w:rsidR="0005064B">
        <w:rPr>
          <w:rFonts w:cs="Times New Roman"/>
          <w:noProof/>
        </w:rPr>
        <w:t>2</w:t>
      </w:r>
      <w:r w:rsidR="0005064B">
        <w:rPr>
          <w:rFonts w:cs="Times New Roman"/>
          <w:noProof/>
        </w:rPr>
        <w:noBreakHyphen/>
        <w:t>5</w:t>
      </w:r>
      <w:r w:rsidRPr="00737239">
        <w:rPr>
          <w:rFonts w:cs="Times New Roman"/>
        </w:rPr>
        <w:fldChar w:fldCharType="end"/>
      </w:r>
      <w:r w:rsidRPr="008903D1">
        <w:rPr>
          <w:rFonts w:cs="Times New Roman"/>
        </w:rPr>
        <w:t>).</w:t>
      </w:r>
    </w:p>
    <w:p w14:paraId="7FDA89A5" w14:textId="53E15553" w:rsidR="0071798B" w:rsidRPr="008903D1" w:rsidRDefault="00B76FC4" w:rsidP="000A4E8C">
      <w:pPr>
        <w:spacing w:line="360" w:lineRule="auto"/>
        <w:jc w:val="center"/>
        <w:rPr>
          <w:rFonts w:cs="Times New Roman"/>
        </w:rPr>
      </w:pPr>
      <w:r w:rsidRPr="00737239">
        <w:rPr>
          <w:rFonts w:cs="Times New Roman"/>
          <w:noProof/>
        </w:rPr>
        <w:object w:dxaOrig="9525" w:dyaOrig="5190" w14:anchorId="294DD360">
          <v:shape id="_x0000_i1027" type="#_x0000_t75" style="width:416.25pt;height:217.2pt" o:ole="">
            <v:imagedata r:id="rId28" o:title=""/>
          </v:shape>
          <o:OLEObject Type="Embed" ProgID="Visio.Drawing.15" ShapeID="_x0000_i1027" DrawAspect="Content" ObjectID="_1681648034" r:id="rId29"/>
        </w:object>
      </w:r>
    </w:p>
    <w:p w14:paraId="7DDF758D" w14:textId="5D5FDF36" w:rsidR="0071798B" w:rsidRPr="00737239" w:rsidRDefault="0071798B" w:rsidP="000A4E8C">
      <w:pPr>
        <w:pStyle w:val="Caption"/>
        <w:spacing w:after="0" w:line="360" w:lineRule="auto"/>
        <w:rPr>
          <w:rFonts w:cs="Times New Roman"/>
        </w:rPr>
      </w:pPr>
      <w:bookmarkStart w:id="248" w:name="_Ref532217411"/>
      <w:bookmarkStart w:id="249" w:name="_Toc491869762"/>
      <w:bookmarkStart w:id="250" w:name="_Toc34675011"/>
      <w:bookmarkStart w:id="251" w:name="_Toc34734803"/>
      <w:bookmarkStart w:id="252" w:name="_Toc46053666"/>
      <w:bookmarkStart w:id="253" w:name="_Toc66698699"/>
      <w:r w:rsidRPr="00737239">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2</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5</w:t>
      </w:r>
      <w:r w:rsidR="00632993">
        <w:rPr>
          <w:rFonts w:cs="Times New Roman"/>
        </w:rPr>
        <w:fldChar w:fldCharType="end"/>
      </w:r>
      <w:bookmarkEnd w:id="248"/>
      <w:r w:rsidR="00FD1FFD">
        <w:rPr>
          <w:rFonts w:cs="Times New Roman"/>
        </w:rPr>
        <w:t>:</w:t>
      </w:r>
      <w:r w:rsidRPr="008903D1">
        <w:rPr>
          <w:rFonts w:cs="Times New Roman"/>
        </w:rPr>
        <w:t xml:space="preserve"> City logistics planning</w:t>
      </w:r>
      <w:bookmarkEnd w:id="249"/>
      <w:r w:rsidRPr="008903D1">
        <w:rPr>
          <w:rFonts w:cs="Times New Roman"/>
        </w:rPr>
        <w:t xml:space="preserve"> process</w:t>
      </w:r>
      <w:bookmarkEnd w:id="250"/>
      <w:bookmarkEnd w:id="251"/>
      <w:bookmarkEnd w:id="252"/>
      <w:bookmarkEnd w:id="253"/>
    </w:p>
    <w:p w14:paraId="11D1B908" w14:textId="1F5DBF48" w:rsidR="00615202" w:rsidRDefault="0071798B" w:rsidP="00C15D78">
      <w:pPr>
        <w:spacing w:before="240" w:after="240" w:line="360" w:lineRule="auto"/>
        <w:rPr>
          <w:rFonts w:cs="Times New Roman"/>
        </w:rPr>
      </w:pPr>
      <w:r w:rsidRPr="00802DC5">
        <w:rPr>
          <w:rFonts w:cs="Times New Roman"/>
        </w:rPr>
        <w:t>When any measures of the plan are modified, this series of procedures is repeated. A city logistics network is a complex system, and some fundamental factors should be considered (e.g., traffic volumes, land use). For example, from a sustainability point o</w:t>
      </w:r>
      <w:r w:rsidRPr="006C301D">
        <w:rPr>
          <w:rFonts w:cs="Times New Roman"/>
        </w:rPr>
        <w:t xml:space="preserve">f view, the selection of the most suitable location for </w:t>
      </w:r>
      <w:r w:rsidR="009578F1" w:rsidRPr="00A96AC5">
        <w:rPr>
          <w:rFonts w:cs="Times New Roman"/>
        </w:rPr>
        <w:t xml:space="preserve">a </w:t>
      </w:r>
      <w:r w:rsidRPr="008903D1">
        <w:rPr>
          <w:rFonts w:cs="Times New Roman"/>
        </w:rPr>
        <w:t xml:space="preserve">UCC facility is one of the complicated issues in the design of </w:t>
      </w:r>
      <w:r w:rsidRPr="00737239">
        <w:rPr>
          <w:rFonts w:cs="Times New Roman"/>
        </w:rPr>
        <w:t xml:space="preserve">the ULN. The urban population and the scale of the freight demands determine the size of the UCC. However, other factors – such as geographic environment, land price, urban buildings </w:t>
      </w:r>
      <w:r w:rsidR="00615202">
        <w:fldChar w:fldCharType="begin"/>
      </w:r>
      <w:r w:rsidR="00647E79">
        <w:instrText xml:space="preserve"> ADDIN EN.CITE &lt;EndNote&gt;&lt;Cite&gt;&lt;Author&gt;Jaller&lt;/Author&gt;&lt;Year&gt;2015&lt;/Year&gt;&lt;RecNum&gt;141&lt;/RecNum&gt;&lt;DisplayText&gt;(Jaller et al., 2015)&lt;/DisplayText&gt;&lt;record&gt;&lt;rec-number&gt;141&lt;/rec-number&gt;&lt;foreign-keys&gt;&lt;key app="EN" db-id="pzt5ep52hsedfpeext2pdfes0w0aswaewef2" timestamp="1605187994"&gt;141&lt;/key&gt;&lt;/foreign-keys&gt;&lt;ref-type name="Journal Article"&gt;17&lt;/ref-type&gt;&lt;contributors&gt;&lt;authors&gt;&lt;author&gt;Jaller, Miguel&lt;/author&gt;&lt;author&gt;Wang, Xiaokun Cara&lt;/author&gt;&lt;author&gt;Holguin-Veras, Jose&lt;/author&gt;&lt;/authors&gt;&lt;/contributors&gt;&lt;titles&gt;&lt;title&gt;Large urban freight traffic generators: Opportunities for city logistics initiatives&lt;/title&gt;&lt;secondary-title&gt;Journal of Transport and Land Use&lt;/secondary-title&gt;&lt;/titles&gt;&lt;periodical&gt;&lt;full-title&gt;Journal of Transport and Land Use&lt;/full-title&gt;&lt;/periodical&gt;&lt;pages&gt;51-67&lt;/pages&gt;&lt;volume&gt;8&lt;/volume&gt;&lt;number&gt;1&lt;/number&gt;&lt;dates&gt;&lt;year&gt;2015&lt;/year&gt;&lt;/dates&gt;&lt;isbn&gt;1938-7849&lt;/isbn&gt;&lt;urls&gt;&lt;related-urls&gt;&lt;url&gt;https://jtlu.org/index.php/jtlu/article/view/406&lt;/url&gt;&lt;/related-urls&gt;&lt;/urls&gt;&lt;research-notes&gt;105&lt;/research-notes&gt;&lt;/record&gt;&lt;/Cite&gt;&lt;/EndNote&gt;</w:instrText>
      </w:r>
      <w:r w:rsidR="00615202">
        <w:fldChar w:fldCharType="separate"/>
      </w:r>
      <w:r w:rsidR="00615202">
        <w:rPr>
          <w:noProof/>
        </w:rPr>
        <w:t>(Jaller et al., 2015)</w:t>
      </w:r>
      <w:r w:rsidR="00615202">
        <w:fldChar w:fldCharType="end"/>
      </w:r>
      <w:r w:rsidRPr="00737239">
        <w:rPr>
          <w:rFonts w:cs="Times New Roman"/>
        </w:rPr>
        <w:t xml:space="preserve">, public facilities, road size, traffic conditions, </w:t>
      </w:r>
      <w:r w:rsidRPr="00802DC5">
        <w:rPr>
          <w:rFonts w:cs="Times New Roman"/>
        </w:rPr>
        <w:t xml:space="preserve">the distance to urban areas, and residents’ reactions – can all strongly influence locational choices </w:t>
      </w:r>
      <w:r w:rsidR="00615202">
        <w:fldChar w:fldCharType="begin"/>
      </w:r>
      <w:r w:rsidR="00647E79">
        <w:instrText xml:space="preserve"> ADDIN EN.CITE &lt;EndNote&gt;&lt;Cite&gt;&lt;Author&gt;Tánczos&lt;/Author&gt;&lt;Year&gt;2000&lt;/Year&gt;&lt;RecNum&gt;142&lt;/RecNum&gt;&lt;DisplayText&gt;(Tánczos and Rónai, 2000)&lt;/DisplayText&gt;&lt;record&gt;&lt;rec-number&gt;142&lt;/rec-number&gt;&lt;foreign-keys&gt;&lt;key app="EN" db-id="pzt5ep52hsedfpeext2pdfes0w0aswaewef2" timestamp="1605187994"&gt;142&lt;/key&gt;&lt;/foreign-keys&gt;&lt;ref-type name="Journal Article"&gt;17&lt;/ref-type&gt;&lt;contributors&gt;&lt;authors&gt;&lt;author&gt;Tánczos, Katalin&lt;/author&gt;&lt;author&gt;Rónai, Péter&lt;/author&gt;&lt;/authors&gt;&lt;/contributors&gt;&lt;titles&gt;&lt;title&gt;Budapest-on the way to join the IDIOMA project&lt;/title&gt;&lt;secondary-title&gt;Periodica Polytechnica. Transportation Engineering&lt;/secondary-title&gt;&lt;/titles&gt;&lt;periodical&gt;&lt;full-title&gt;Periodica Polytechnica. Transportation Engineering&lt;/full-title&gt;&lt;/periodical&gt;&lt;pages&gt;91&lt;/pages&gt;&lt;volume&gt;28&lt;/volume&gt;&lt;number&gt;1-2&lt;/number&gt;&lt;keywords&gt;&lt;keyword&gt;B&lt;/keyword&gt;&lt;/keywords&gt;&lt;dates&gt;&lt;year&gt;2000&lt;/year&gt;&lt;/dates&gt;&lt;isbn&gt;0303-7800&lt;/isbn&gt;&lt;urls&gt;&lt;related-urls&gt;&lt;url&gt;&lt;style face="underline" font="default" size="100%"&gt;http://search.proquest.com/openview/a47e01d0835a2801f00c9a5216dac47a/1?pq-origsite=gscholar&amp;amp;cbl=2034352&lt;/style&gt;&lt;/url&gt;&lt;/related-urls&gt;&lt;/urls&gt;&lt;research-notes&gt;160&lt;/research-notes&gt;&lt;/record&gt;&lt;/Cite&gt;&lt;/EndNote&gt;</w:instrText>
      </w:r>
      <w:r w:rsidR="00615202">
        <w:fldChar w:fldCharType="separate"/>
      </w:r>
      <w:r w:rsidR="00615202">
        <w:rPr>
          <w:noProof/>
        </w:rPr>
        <w:t>(Tánczos and Rónai, 2000)</w:t>
      </w:r>
      <w:r w:rsidR="00615202">
        <w:fldChar w:fldCharType="end"/>
      </w:r>
      <w:r w:rsidRPr="00802DC5">
        <w:rPr>
          <w:rFonts w:cs="Times New Roman"/>
        </w:rPr>
        <w:t>.</w:t>
      </w:r>
      <w:r w:rsidRPr="006C301D">
        <w:rPr>
          <w:rFonts w:cs="Times New Roman"/>
        </w:rPr>
        <w:t xml:space="preserve"> In addition, there are many factors unrelated to UL to be </w:t>
      </w:r>
      <w:proofErr w:type="gramStart"/>
      <w:r w:rsidRPr="006C301D">
        <w:rPr>
          <w:rFonts w:cs="Times New Roman"/>
        </w:rPr>
        <w:t>taken into account</w:t>
      </w:r>
      <w:proofErr w:type="gramEnd"/>
      <w:r w:rsidRPr="006C301D">
        <w:rPr>
          <w:rFonts w:cs="Times New Roman"/>
        </w:rPr>
        <w:t xml:space="preserve">. For example, when scheduling a delivery plan, external constraints (e.g., national law, infrastructure, culture) should be considered </w:t>
      </w:r>
      <w:r w:rsidR="00615202">
        <w:rPr>
          <w:noProof/>
        </w:rPr>
        <w:fldChar w:fldCharType="begin">
          <w:fldData xml:space="preserve">PEVuZE5vdGU+PENpdGU+PEF1dGhvcj5MaW5kaG9sbTwvQXV0aG9yPjxZZWFyPjIwMTI8L1llYXI+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</w:fldData>
        </w:fldChar>
      </w:r>
      <w:r w:rsidR="00647E79">
        <w:rPr>
          <w:noProof/>
        </w:rPr>
        <w:instrText xml:space="preserve"> ADDIN EN.CITE </w:instrText>
      </w:r>
      <w:r w:rsidR="00647E79">
        <w:rPr>
          <w:noProof/>
        </w:rPr>
        <w:fldChar w:fldCharType="begin">
          <w:fldData xml:space="preserve">PEVuZE5vdGU+PENpdGU+PEF1dGhvcj5MaW5kaG9sbTwvQXV0aG9yPjxZZWFyPjIwMTI8L1llYXI+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</w:fldData>
        </w:fldChar>
      </w:r>
      <w:r w:rsidR="00647E79">
        <w:rPr>
          <w:noProof/>
        </w:rPr>
        <w:instrText xml:space="preserve"> ADDIN EN.CITE.DATA </w:instrText>
      </w:r>
      <w:r w:rsidR="00647E79">
        <w:rPr>
          <w:noProof/>
        </w:rPr>
      </w:r>
      <w:r w:rsidR="00647E79">
        <w:rPr>
          <w:noProof/>
        </w:rPr>
        <w:fldChar w:fldCharType="end"/>
      </w:r>
      <w:r w:rsidR="00615202">
        <w:rPr>
          <w:noProof/>
        </w:rPr>
      </w:r>
      <w:r w:rsidR="00615202">
        <w:rPr>
          <w:noProof/>
        </w:rPr>
        <w:fldChar w:fldCharType="separate"/>
      </w:r>
      <w:r w:rsidR="00615202">
        <w:rPr>
          <w:noProof/>
        </w:rPr>
        <w:t>(Lindholm and Behrends, 2012)</w:t>
      </w:r>
      <w:r w:rsidR="00615202">
        <w:rPr>
          <w:noProof/>
        </w:rPr>
        <w:fldChar w:fldCharType="end"/>
      </w:r>
      <w:r w:rsidRPr="00A96AC5">
        <w:rPr>
          <w:rFonts w:cs="Times New Roman"/>
        </w:rPr>
        <w:t xml:space="preserve">. In addition, the design of the road capacity and logistical facilities should reflect the future freight demand and goods movement </w:t>
      </w:r>
      <w:r w:rsidRPr="00A96AC5">
        <w:rPr>
          <w:rFonts w:cs="Times New Roman"/>
        </w:rPr>
        <w:lastRenderedPageBreak/>
        <w:t xml:space="preserve">in the city, as well as the connection of the city freight transportation with the intercity transportation network to avoid congestion </w:t>
      </w:r>
      <w:r w:rsidR="00615202">
        <w:rPr>
          <w:rFonts w:cs="Times New Roman"/>
        </w:rPr>
        <w:fldChar w:fldCharType="begin">
          <w:fldData xml:space="preserve">PEVuZE5vdGU+PENpdGU+PEF1dGhvcj5UYW48L0F1dGhvcj48WWVhcj4yMDA2PC9ZZWFyPjxSZWNO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</w:fldData>
        </w:fldChar>
      </w:r>
      <w:r w:rsidR="00647E79">
        <w:rPr>
          <w:rFonts w:cs="Times New Roman"/>
        </w:rPr>
        <w:instrText xml:space="preserve"> ADDIN EN.CITE </w:instrText>
      </w:r>
      <w:r w:rsidR="00647E79">
        <w:rPr>
          <w:rFonts w:cs="Times New Roman"/>
        </w:rPr>
        <w:fldChar w:fldCharType="begin">
          <w:fldData xml:space="preserve">PEVuZE5vdGU+PENpdGU+PEF1dGhvcj5UYW48L0F1dGhvcj48WWVhcj4yMDA2PC9ZZWFyPjxSZWNO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</w:fldData>
        </w:fldChar>
      </w:r>
      <w:r w:rsidR="00647E79">
        <w:rPr>
          <w:rFonts w:cs="Times New Roman"/>
        </w:rPr>
        <w:instrText xml:space="preserve"> ADDIN EN.CITE.DATA </w:instrText>
      </w:r>
      <w:r w:rsidR="00647E79">
        <w:rPr>
          <w:rFonts w:cs="Times New Roman"/>
        </w:rPr>
      </w:r>
      <w:r w:rsidR="00647E79">
        <w:rPr>
          <w:rFonts w:cs="Times New Roman"/>
        </w:rPr>
        <w:fldChar w:fldCharType="end"/>
      </w:r>
      <w:r w:rsidR="00615202">
        <w:rPr>
          <w:rFonts w:cs="Times New Roman"/>
        </w:rPr>
      </w:r>
      <w:r w:rsidR="00615202">
        <w:rPr>
          <w:rFonts w:cs="Times New Roman"/>
        </w:rPr>
        <w:fldChar w:fldCharType="separate"/>
      </w:r>
      <w:r w:rsidR="00615202">
        <w:rPr>
          <w:rFonts w:cs="Times New Roman"/>
          <w:noProof/>
        </w:rPr>
        <w:t>(Tan et al., 2006, Dablanc, 2007)</w:t>
      </w:r>
      <w:r w:rsidR="00615202">
        <w:rPr>
          <w:rFonts w:cs="Times New Roman"/>
        </w:rPr>
        <w:fldChar w:fldCharType="end"/>
      </w:r>
      <w:r w:rsidR="00615202">
        <w:rPr>
          <w:rFonts w:cs="Times New Roman"/>
        </w:rPr>
        <w:t>.</w:t>
      </w:r>
    </w:p>
    <w:p w14:paraId="603A1544" w14:textId="2D7F72F5" w:rsidR="0071798B" w:rsidRPr="00A96AC5" w:rsidRDefault="0071798B" w:rsidP="00C15D78">
      <w:pPr>
        <w:spacing w:before="240" w:after="240" w:line="360" w:lineRule="auto"/>
        <w:rPr>
          <w:rFonts w:cs="Times New Roman"/>
        </w:rPr>
      </w:pPr>
      <w:r w:rsidRPr="00A96AC5">
        <w:rPr>
          <w:rFonts w:cs="Times New Roman"/>
        </w:rPr>
        <w:t xml:space="preserve">Methods can be employed to improve the reliability of the planning process. The ‘light transferability approach’ is one popular option. This involves identifying and adapting to new scenarios and good practices from successfully implemented UL strategies. This method can reduce the costs incurred and investment required at the planning stage, but it has a high failure rate, owing to the complexity of ULNs. Each city has unique characteristics, and a solution adopted in one successful case may not return the same results in another. A consultation mechanism that involved multiple stakeholders in the planning would improve rates of acceptance and commitment, thus improving success rates </w:t>
      </w:r>
      <w:r w:rsidR="00A4748B">
        <w:rPr>
          <w:noProof/>
        </w:rPr>
        <w:fldChar w:fldCharType="begin"/>
      </w:r>
      <w:r w:rsidR="00647E79">
        <w:rPr>
          <w:noProof/>
        </w:rPr>
        <w:instrText xml:space="preserve"> ADDIN EN.CITE &lt;EndNote&gt;&lt;Cite&gt;&lt;Author&gt;Österle&lt;/Author&gt;&lt;Year&gt;2015&lt;/Year&gt;&lt;RecNum&gt;146&lt;/RecNum&gt;&lt;DisplayText&gt;(Österle et al., 2015)&lt;/DisplayText&gt;&lt;record&gt;&lt;rec-number&gt;146&lt;/rec-number&gt;&lt;foreign-keys&gt;&lt;key app="EN" db-id="pzt5ep52hsedfpeext2pdfes0w0aswaewef2" timestamp="1605187995"&gt;146&lt;/key&gt;&lt;/foreign-keys&gt;&lt;ref-type name="Journal Article"&gt;17&lt;/ref-type&gt;&lt;contributors&gt;&lt;authors&gt;&lt;author&gt;Österle, Ines&lt;/author&gt;&lt;author&gt;Aditjandra Paulus, T.&lt;/author&gt;&lt;author&gt;Vaghi, Carlo&lt;/author&gt;&lt;author&gt;Grea, Gabriele&lt;/author&gt;&lt;author&gt;Zunder Thomas, H.&lt;/author&gt;&lt;/authors&gt;&lt;/contributors&gt;&lt;titles&gt;&lt;title&gt;The role of a structured stakeholder consultation process within the establishment of a sustainable urban supply chain&lt;/title&gt;&lt;secondary-title&gt;Supply Chain Management: An International Journal&lt;/secondary-title&gt;&lt;/titles&gt;&lt;periodical&gt;&lt;full-title&gt;Supply Chain Management: An International Journal&lt;/full-title&gt;&lt;/periodical&gt;&lt;pages&gt;284-299&lt;/pages&gt;&lt;volume&gt;20&lt;/volume&gt;&lt;number&gt;3&lt;/number&gt;&lt;dates&gt;&lt;year&gt;2015&lt;/year&gt;&lt;/dates&gt;&lt;publisher&gt;Emerald Group Publishing Limited&lt;/publisher&gt;&lt;isbn&gt;1359-8546&lt;/isbn&gt;&lt;urls&gt;&lt;related-urls&gt;&lt;url&gt;https://doi.org/10.1108/SCM-05-2014-0149&lt;/url&gt;&lt;/related-urls&gt;&lt;/urls&gt;&lt;electronic-resource-num&gt;10.1108/SCM-05-2014-0149&lt;/electronic-resource-num&gt;&lt;access-date&gt;2020/06/24&lt;/access-date&gt;&lt;/record&gt;&lt;/Cite&gt;&lt;/EndNote&gt;</w:instrText>
      </w:r>
      <w:r w:rsidR="00A4748B">
        <w:rPr>
          <w:noProof/>
        </w:rPr>
        <w:fldChar w:fldCharType="separate"/>
      </w:r>
      <w:r w:rsidR="00A4748B">
        <w:rPr>
          <w:noProof/>
        </w:rPr>
        <w:t>(Österle et al., 2015)</w:t>
      </w:r>
      <w:r w:rsidR="00A4748B">
        <w:rPr>
          <w:noProof/>
        </w:rPr>
        <w:fldChar w:fldCharType="end"/>
      </w:r>
      <w:r w:rsidRPr="00A96AC5">
        <w:rPr>
          <w:rFonts w:cs="Times New Roman"/>
        </w:rPr>
        <w:t xml:space="preserve">. In addition, simulation techniques can be implemented to predict the outcome of the logistics plan </w:t>
      </w:r>
      <w:r w:rsidR="00A4748B">
        <w:rPr>
          <w:noProof/>
        </w:rPr>
        <w:fldChar w:fldCharType="begin">
          <w:fldData xml:space="preserve">PEVuZE5vdGU+PENpdGU+PEF1dGhvcj5Db21pPC9BdXRob3I+PFllYXI+MjAxODwvWWVhcj48UmVj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</w:fldData>
        </w:fldChar>
      </w:r>
      <w:r w:rsidR="00647E79">
        <w:rPr>
          <w:noProof/>
        </w:rPr>
        <w:instrText xml:space="preserve"> ADDIN EN.CITE </w:instrText>
      </w:r>
      <w:r w:rsidR="00647E79">
        <w:rPr>
          <w:noProof/>
        </w:rPr>
        <w:fldChar w:fldCharType="begin">
          <w:fldData xml:space="preserve">PEVuZE5vdGU+PENpdGU+PEF1dGhvcj5Db21pPC9BdXRob3I+PFllYXI+MjAxODwvWWVhcj48UmVj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</w:fldData>
        </w:fldChar>
      </w:r>
      <w:r w:rsidR="00647E79">
        <w:rPr>
          <w:noProof/>
        </w:rPr>
        <w:instrText xml:space="preserve"> ADDIN EN.CITE.DATA </w:instrText>
      </w:r>
      <w:r w:rsidR="00647E79">
        <w:rPr>
          <w:noProof/>
        </w:rPr>
      </w:r>
      <w:r w:rsidR="00647E79">
        <w:rPr>
          <w:noProof/>
        </w:rPr>
        <w:fldChar w:fldCharType="end"/>
      </w:r>
      <w:r w:rsidR="00A4748B">
        <w:rPr>
          <w:noProof/>
        </w:rPr>
      </w:r>
      <w:r w:rsidR="00A4748B">
        <w:rPr>
          <w:noProof/>
        </w:rPr>
        <w:fldChar w:fldCharType="separate"/>
      </w:r>
      <w:r w:rsidR="00A4748B">
        <w:rPr>
          <w:noProof/>
        </w:rPr>
        <w:t>(Comi et al., 2018)</w:t>
      </w:r>
      <w:r w:rsidR="00A4748B">
        <w:rPr>
          <w:noProof/>
        </w:rPr>
        <w:fldChar w:fldCharType="end"/>
      </w:r>
      <w:r w:rsidRPr="00A96AC5">
        <w:rPr>
          <w:rFonts w:cs="Times New Roman"/>
        </w:rPr>
        <w:t xml:space="preserve">. This study </w:t>
      </w:r>
      <w:r w:rsidRPr="00A96AC5">
        <w:rPr>
          <w:rFonts w:cs="Times New Roman"/>
          <w:noProof/>
        </w:rPr>
        <w:t>(Comi et al., 2018)</w:t>
      </w:r>
      <w:r w:rsidRPr="00A96AC5">
        <w:rPr>
          <w:rFonts w:cs="Times New Roman"/>
        </w:rPr>
        <w:t xml:space="preserve"> used the tour planning tools for selection of the appropriate location for the delivery bay, based on analysis of the geographical and logistical demand information.</w:t>
      </w:r>
    </w:p>
    <w:p w14:paraId="7C0E7783" w14:textId="160778D8" w:rsidR="0071798B" w:rsidRPr="00A96AC5" w:rsidRDefault="00A4748B" w:rsidP="00C15D78">
      <w:pPr>
        <w:spacing w:before="240" w:after="240" w:line="360" w:lineRule="auto"/>
        <w:rPr>
          <w:rFonts w:cs="Times New Roman"/>
        </w:rPr>
      </w:pPr>
      <w:r>
        <w:rPr>
          <w:noProof/>
        </w:rPr>
        <w:fldChar w:fldCharType="begin"/>
      </w:r>
      <w:r w:rsidR="00647E79">
        <w:rPr>
          <w:noProof/>
        </w:rPr>
        <w:instrText xml:space="preserve"> ADDIN EN.CITE &lt;EndNote&gt;&lt;Cite AuthorYear="1"&gt;&lt;Author&gt;Jones Jr&lt;/Author&gt;&lt;Year&gt;2004&lt;/Year&gt;&lt;RecNum&gt;148&lt;/RecNum&gt;&lt;DisplayText&gt;Jones Jr and Turner (2004)&lt;/DisplayText&gt;&lt;record&gt;&lt;rec-number&gt;148&lt;/rec-number&gt;&lt;foreign-keys&gt;&lt;key app="EN" db-id="pzt5ep52hsedfpeext2pdfes0w0aswaewef2" timestamp="1605187995"&gt;148&lt;/key&gt;&lt;/foreign-keys&gt;&lt;ref-type name="Journal Article"&gt;17&lt;/ref-type&gt;&lt;contributors&gt;&lt;authors&gt;&lt;author&gt;Jones Jr, S. L.&lt;/author&gt;&lt;author&gt;Turner, D. S.&lt;/author&gt;&lt;/authors&gt;&lt;/contributors&gt;&lt;auth-address&gt;University of Alabama, Birmingham, AL, United States&amp;#xD;Univ. Transp. Center for Alabama, Birmingham, AL, United States&lt;/auth-address&gt;&lt;titles&gt;&lt;title&gt;Identification of common issues facing intermodal transportation planning&lt;/title&gt;&lt;secondary-title&gt;ITE Journal (Institute of Transportation Engineers)&lt;/secondary-title&gt;&lt;alt-title&gt;ITE J&lt;/alt-title&gt;&lt;/titles&gt;&lt;periodical&gt;&lt;full-title&gt;ITE Journal (Institute of Transportation Engineers)&lt;/full-title&gt;&lt;abbr-1&gt;ITE J&lt;/abbr-1&gt;&lt;/periodical&gt;&lt;alt-periodical&gt;&lt;full-title&gt;ITE Journal (Institute of Transportation Engineers)&lt;/full-title&gt;&lt;abbr-1&gt;ITE J&lt;/abbr-1&gt;&lt;/alt-periodical&gt;&lt;pages&gt;30-39&lt;/pages&gt;&lt;volume&gt;74&lt;/volume&gt;&lt;number&gt;11&lt;/number&gt;&lt;keywords&gt;&lt;keyword&gt;Environmental impact&lt;/keyword&gt;&lt;keyword&gt;Finance&lt;/keyword&gt;&lt;keyword&gt;Freight transportation&lt;/keyword&gt;&lt;keyword&gt;Public policy&lt;/keyword&gt;&lt;keyword&gt;Resource allocation&lt;/keyword&gt;&lt;keyword&gt;Sustainable development&lt;/keyword&gt;&lt;keyword&gt;Financial resources&lt;/keyword&gt;&lt;keyword&gt;Urban transportation planning&lt;/keyword&gt;&lt;keyword&gt;Urban planning&lt;/keyword&gt;&lt;/keywords&gt;&lt;dates&gt;&lt;year&gt;2004&lt;/year&gt;&lt;/dates&gt;&lt;isbn&gt;01628178 (ISSN)&lt;/isbn&gt;&lt;work-type&gt;Article&lt;/work-type&gt;&lt;urls&gt;&lt;related-urls&gt;&lt;url&gt;https://www.scopus.com/inward/record.uri?eid=2-s2.0-8644236709&amp;amp;partnerID=40&amp;amp;md5=3d4b3fb63a98f868e5ab8ff9af4ec9d2&lt;/url&gt;&lt;/related-urls&gt;&lt;/urls&gt;&lt;remote-database-name&gt;Scopus&lt;/remote-database-name&gt;&lt;research-notes&gt;07&lt;/research-notes&gt;&lt;language&gt;English&lt;/language&gt;&lt;/record&gt;&lt;/Cite&gt;&lt;/EndNote&gt;</w:instrText>
      </w:r>
      <w:r>
        <w:rPr>
          <w:noProof/>
        </w:rPr>
        <w:fldChar w:fldCharType="separate"/>
      </w:r>
      <w:r>
        <w:rPr>
          <w:noProof/>
        </w:rPr>
        <w:t>Jones Jr and Turner (2004)</w:t>
      </w:r>
      <w:r>
        <w:rPr>
          <w:noProof/>
        </w:rPr>
        <w:fldChar w:fldCharType="end"/>
      </w:r>
      <w:r w:rsidR="0071798B" w:rsidRPr="00A96AC5">
        <w:rPr>
          <w:rFonts w:cs="Times New Roman"/>
        </w:rPr>
        <w:t xml:space="preserve"> summarise five types of prevalent issues in logistics planning. First, lack of participants during the planning stage leads to difficulties in achieving a consensus between the different organisations involved. A detailed discussion of this issue is presented by </w:t>
      </w:r>
      <w:r>
        <w:rPr>
          <w:noProof/>
        </w:rPr>
        <w:fldChar w:fldCharType="begin"/>
      </w:r>
      <w:r w:rsidR="007F30D5">
        <w:rPr>
          <w:noProof/>
        </w:rPr>
        <w:instrText xml:space="preserve"> ADDIN EN.CITE &lt;EndNote&gt;&lt;Cite AuthorYear="1"&gt;&lt;Author&gt;Ballantyne&lt;/Author&gt;&lt;Year&gt;2013&lt;/Year&gt;&lt;RecNum&gt;252&lt;/RecNum&gt;&lt;DisplayText&gt;Ballantyne et al. (2013)&lt;/DisplayText&gt;&lt;record&gt;&lt;rec-number&gt;252&lt;/rec-number&gt;&lt;foreign-keys&gt;&lt;key app="EN" db-id="x5etaz5aiszvz0edasvvpwvotttxepvd25t2" timestamp="1611182458"&gt;252&lt;/key&gt;&lt;/foreign-keys&gt;&lt;ref-type name="Journal Article"&gt;17&lt;/ref-type&gt;&lt;contributors&gt;&lt;authors&gt;&lt;author&gt;Ballantyne, Erica E. F.&lt;/author&gt;&lt;author&gt;Lindholm, Maria&lt;/author&gt;&lt;author&gt;Whiteing, Anthony&lt;/author&gt;&lt;/authors&gt;&lt;/contributors&gt;&lt;titles&gt;&lt;title&gt;A comparative study of urban freight transport planning: addressing stakeholder needs&lt;/title&gt;&lt;secondary-title&gt;Journal of Transport Geography&lt;/secondary-title&gt;&lt;/titles&gt;&lt;periodical&gt;&lt;full-title&gt;Journal of Transport Geography&lt;/full-title&gt;&lt;abbr-1&gt;J. Transp. Geogr.&lt;/abbr-1&gt;&lt;/periodical&gt;&lt;pages&gt;93-101&lt;/pages&gt;&lt;volume&gt;32&lt;/volume&gt;&lt;keywords&gt;&lt;keyword&gt;Local authorities&lt;/keyword&gt;&lt;keyword&gt;Urban freight&lt;/keyword&gt;&lt;keyword&gt;Transport planning&lt;/keyword&gt;&lt;keyword&gt;Urban freight stakeholders&lt;/keyword&gt;&lt;/keywords&gt;&lt;dates&gt;&lt;year&gt;2013&lt;/year&gt;&lt;pub-dates&gt;&lt;date&gt;2013/10/01/&lt;/date&gt;&lt;/pub-dates&gt;&lt;/dates&gt;&lt;isbn&gt;0966-6923&lt;/isbn&gt;&lt;urls&gt;&lt;related-urls&gt;&lt;url&gt;http://www.sciencedirect.com/science/article/pii/S0966692313001671&lt;/url&gt;&lt;/related-urls&gt;&lt;/urls&gt;&lt;electronic-resource-num&gt;https://doi.org/10.1016/j.jtrangeo.2013.08.013&lt;/electronic-resource-num&gt;&lt;/record&gt;&lt;/Cite&gt;&lt;/EndNote&gt;</w:instrText>
      </w:r>
      <w:r>
        <w:rPr>
          <w:noProof/>
        </w:rPr>
        <w:fldChar w:fldCharType="separate"/>
      </w:r>
      <w:r w:rsidR="002B0FA7">
        <w:rPr>
          <w:noProof/>
        </w:rPr>
        <w:t>Ballantyne et al. (2013)</w:t>
      </w:r>
      <w:r>
        <w:rPr>
          <w:noProof/>
        </w:rPr>
        <w:fldChar w:fldCharType="end"/>
      </w:r>
      <w:r w:rsidR="0071798B" w:rsidRPr="00A96AC5">
        <w:rPr>
          <w:rFonts w:cs="Times New Roman"/>
        </w:rPr>
        <w:t xml:space="preserve">. Second, there is often insufficient data to support the planning, leading to proposals that are ultimately inappropriate for urban freight transportation. Third, technic innovation will change the patterns of logistics activities, while such factor is usually not considering in the planning stage. Fourth, with limited effective analytical tools, there is no standard methodology for analysing the planning process in the context of city logistics, this issue is also brought out by </w:t>
      </w:r>
      <w:r>
        <w:rPr>
          <w:noProof/>
        </w:rPr>
        <w:fldChar w:fldCharType="begin">
          <w:fldData xml:space="preserve">PEVuZE5vdGU+PENpdGUgQXV0aG9yWWVhcj0iMSI+PEF1dGhvcj5MaW5kaG9sbTwvQXV0aG9yPjxZ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</w:fldData>
        </w:fldChar>
      </w:r>
      <w:r w:rsidR="00647E79">
        <w:rPr>
          <w:noProof/>
        </w:rPr>
        <w:instrText xml:space="preserve"> ADDIN EN.CITE </w:instrText>
      </w:r>
      <w:r w:rsidR="00647E79">
        <w:rPr>
          <w:noProof/>
        </w:rPr>
        <w:fldChar w:fldCharType="begin">
          <w:fldData xml:space="preserve">PEVuZE5vdGU+PENpdGUgQXV0aG9yWWVhcj0iMSI+PEF1dGhvcj5MaW5kaG9sbTwvQXV0aG9yPjxZ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</w:fldData>
        </w:fldChar>
      </w:r>
      <w:r w:rsidR="00647E79">
        <w:rPr>
          <w:noProof/>
        </w:rPr>
        <w:instrText xml:space="preserve"> ADDIN EN.CITE.DATA </w:instrText>
      </w:r>
      <w:r w:rsidR="00647E79">
        <w:rPr>
          <w:noProof/>
        </w:rPr>
      </w:r>
      <w:r w:rsidR="00647E79">
        <w:rPr>
          <w:noProof/>
        </w:rPr>
        <w:fldChar w:fldCharType="end"/>
      </w:r>
      <w:r>
        <w:rPr>
          <w:noProof/>
        </w:rPr>
      </w:r>
      <w:r>
        <w:rPr>
          <w:noProof/>
        </w:rPr>
        <w:fldChar w:fldCharType="separate"/>
      </w:r>
      <w:r w:rsidR="001A0E77">
        <w:rPr>
          <w:noProof/>
        </w:rPr>
        <w:t>Lindholm and Behrends (2012)</w:t>
      </w:r>
      <w:r>
        <w:rPr>
          <w:noProof/>
        </w:rPr>
        <w:fldChar w:fldCharType="end"/>
      </w:r>
      <w:r w:rsidR="0071798B" w:rsidRPr="00A96AC5">
        <w:rPr>
          <w:rFonts w:cs="Times New Roman"/>
        </w:rPr>
        <w:t xml:space="preserve">. Finally, planners usually have no professional knowledge and are not dedicated to working in the field of urban freight transportation. As a result, the target of a plan can be inappropriate as early as the design phase. This issue is also highlighted by </w:t>
      </w:r>
      <w:r w:rsidR="0071798B" w:rsidRPr="00A96AC5">
        <w:rPr>
          <w:rFonts w:cs="Times New Roman"/>
          <w:noProof/>
        </w:rPr>
        <w:t>(Dablanc, 2007).</w:t>
      </w:r>
    </w:p>
    <w:p w14:paraId="520BDF6A" w14:textId="77777777" w:rsidR="0071798B" w:rsidRPr="00A96AC5" w:rsidRDefault="0071798B" w:rsidP="000A4E8C">
      <w:pPr>
        <w:pStyle w:val="Heading3"/>
        <w:spacing w:before="40" w:line="360" w:lineRule="auto"/>
        <w:jc w:val="left"/>
        <w:rPr>
          <w:rFonts w:cs="Times New Roman"/>
        </w:rPr>
      </w:pPr>
      <w:bookmarkStart w:id="254" w:name="_Toc34734493"/>
      <w:bookmarkStart w:id="255" w:name="_Toc46053411"/>
      <w:bookmarkStart w:id="256" w:name="_Toc46093325"/>
      <w:bookmarkStart w:id="257" w:name="_Toc46093608"/>
      <w:bookmarkStart w:id="258" w:name="_Toc66703183"/>
      <w:r w:rsidRPr="00A96AC5">
        <w:rPr>
          <w:rFonts w:cs="Times New Roman"/>
        </w:rPr>
        <w:t>Stakeholder engagement</w:t>
      </w:r>
      <w:bookmarkEnd w:id="254"/>
      <w:bookmarkEnd w:id="255"/>
      <w:bookmarkEnd w:id="256"/>
      <w:bookmarkEnd w:id="257"/>
      <w:bookmarkEnd w:id="258"/>
    </w:p>
    <w:p w14:paraId="2C86C50B" w14:textId="77777777" w:rsidR="0071798B" w:rsidRPr="00A96AC5" w:rsidRDefault="0071798B" w:rsidP="00C15D78">
      <w:pPr>
        <w:spacing w:after="240" w:line="360" w:lineRule="auto"/>
        <w:rPr>
          <w:rFonts w:cs="Times New Roman"/>
          <w:szCs w:val="24"/>
        </w:rPr>
      </w:pPr>
      <w:r w:rsidRPr="00A96AC5">
        <w:rPr>
          <w:rFonts w:cs="Times New Roman"/>
          <w:szCs w:val="24"/>
        </w:rPr>
        <w:t>These papers discuss the involvement of different actors in the formulation of SUL policies and practice. Two sub-topics are identified in this category: (</w:t>
      </w:r>
      <w:proofErr w:type="spellStart"/>
      <w:r w:rsidRPr="00A96AC5">
        <w:rPr>
          <w:rFonts w:cs="Times New Roman"/>
          <w:szCs w:val="24"/>
        </w:rPr>
        <w:t>i</w:t>
      </w:r>
      <w:proofErr w:type="spellEnd"/>
      <w:r w:rsidRPr="00A96AC5">
        <w:rPr>
          <w:rFonts w:cs="Times New Roman"/>
          <w:szCs w:val="24"/>
        </w:rPr>
        <w:t>) stakeholder relationships, including bottom-up procedures for stakeholders’ participation; and (ii) policymaking, with studies devoted to the formulation of reasonable logistics policies through consideration of the needs of different stakeholders, from a top-down perspective.</w:t>
      </w:r>
    </w:p>
    <w:p w14:paraId="4942012D" w14:textId="77777777" w:rsidR="0071798B" w:rsidRPr="00A96AC5" w:rsidRDefault="0071798B" w:rsidP="000A4E8C">
      <w:pPr>
        <w:pStyle w:val="Heading4"/>
        <w:spacing w:after="0" w:line="360" w:lineRule="auto"/>
        <w:rPr>
          <w:rFonts w:cs="Times New Roman"/>
        </w:rPr>
      </w:pPr>
      <w:r w:rsidRPr="00A96AC5">
        <w:rPr>
          <w:rFonts w:cs="Times New Roman"/>
        </w:rPr>
        <w:lastRenderedPageBreak/>
        <w:t>Stakeholder relationships</w:t>
      </w:r>
    </w:p>
    <w:p w14:paraId="574F4FBF" w14:textId="57B721E3" w:rsidR="0071798B" w:rsidRPr="00A96AC5" w:rsidRDefault="0071798B" w:rsidP="00C15D78">
      <w:pPr>
        <w:spacing w:after="240" w:line="360" w:lineRule="auto"/>
        <w:rPr>
          <w:rFonts w:cs="Times New Roman"/>
        </w:rPr>
      </w:pPr>
      <w:r w:rsidRPr="00A96AC5">
        <w:rPr>
          <w:rFonts w:cs="Times New Roman"/>
        </w:rPr>
        <w:t xml:space="preserve">It is agreed in the existing literature that mutual targets for different stakeholders is the key to long-term sustainability of logistics projects project </w:t>
      </w:r>
      <w:r w:rsidR="00073AE2">
        <w:rPr>
          <w:noProof/>
        </w:rPr>
        <w:fldChar w:fldCharType="begin">
          <w:fldData xml:space="preserve">PEVuZE5vdGU+PENpdGU+PEF1dGhvcj5LYXRzZWxhPC9BdXRob3I+PFllYXI+MjAxOTwvWWVhcj48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</w:fldData>
        </w:fldChar>
      </w:r>
      <w:r w:rsidR="00FF23CA">
        <w:rPr>
          <w:noProof/>
        </w:rPr>
        <w:instrText xml:space="preserve"> ADDIN EN.CITE </w:instrText>
      </w:r>
      <w:r w:rsidR="00FF23CA">
        <w:rPr>
          <w:noProof/>
        </w:rPr>
        <w:fldChar w:fldCharType="begin">
          <w:fldData xml:space="preserve">PEVuZE5vdGU+PENpdGU+PEF1dGhvcj5LYXRzZWxhPC9BdXRob3I+PFllYXI+MjAxOTwvWWVhcj48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</w:fldData>
        </w:fldChar>
      </w:r>
      <w:r w:rsidR="00FF23CA">
        <w:rPr>
          <w:noProof/>
        </w:rPr>
        <w:instrText xml:space="preserve"> ADDIN EN.CITE.DATA </w:instrText>
      </w:r>
      <w:r w:rsidR="00FF23CA">
        <w:rPr>
          <w:noProof/>
        </w:rPr>
      </w:r>
      <w:r w:rsidR="00FF23CA">
        <w:rPr>
          <w:noProof/>
        </w:rPr>
        <w:fldChar w:fldCharType="end"/>
      </w:r>
      <w:r w:rsidR="00073AE2">
        <w:rPr>
          <w:noProof/>
        </w:rPr>
      </w:r>
      <w:r w:rsidR="00073AE2">
        <w:rPr>
          <w:noProof/>
        </w:rPr>
        <w:fldChar w:fldCharType="separate"/>
      </w:r>
      <w:r w:rsidR="00073AE2">
        <w:rPr>
          <w:noProof/>
        </w:rPr>
        <w:t>(Katsela and Browne, 2019)</w:t>
      </w:r>
      <w:r w:rsidR="00073AE2">
        <w:rPr>
          <w:noProof/>
        </w:rPr>
        <w:fldChar w:fldCharType="end"/>
      </w:r>
      <w:r w:rsidRPr="00A96AC5">
        <w:rPr>
          <w:rFonts w:cs="Times New Roman"/>
        </w:rPr>
        <w:t xml:space="preserve">. However, </w:t>
      </w:r>
      <w:r w:rsidR="00073AE2">
        <w:fldChar w:fldCharType="begin"/>
      </w:r>
      <w:r w:rsidR="00647E79">
        <w:instrText xml:space="preserve"> ADDIN EN.CITE &lt;EndNote&gt;&lt;Cite AuthorYear="1"&gt;&lt;Author&gt;Gammelgaard&lt;/Author&gt;&lt;Year&gt;2015&lt;/Year&gt;&lt;RecNum&gt;151&lt;/RecNum&gt;&lt;DisplayText&gt;Gammelgaard (2015)&lt;/DisplayText&gt;&lt;record&gt;&lt;rec-number&gt;151&lt;/rec-number&gt;&lt;foreign-keys&gt;&lt;key app="EN" db-id="pzt5ep52hsedfpeext2pdfes0w0aswaewef2" timestamp="1605187995"&gt;151&lt;/key&gt;&lt;/foreign-keys&gt;&lt;ref-type name="Journal Article"&gt;17&lt;/ref-type&gt;&lt;contributors&gt;&lt;authors&gt;&lt;author&gt;Gammelgaard, Britta&lt;/author&gt;&lt;/authors&gt;&lt;/contributors&gt;&lt;titles&gt;&lt;title&gt;The emergence of city logistics: the case of Copenhagen’s Citylogistik-kbh&lt;/title&gt;&lt;secondary-title&gt;International Journal of Physical Distribution &amp;amp; Logistics Management&lt;/secondary-title&gt;&lt;/titles&gt;&lt;periodical&gt;&lt;full-title&gt;International Journal of Physical Distribution &amp;amp; Logistics Management&lt;/full-title&gt;&lt;/periodical&gt;&lt;pages&gt;333-351&lt;/pages&gt;&lt;volume&gt;45&lt;/volume&gt;&lt;number&gt;4&lt;/number&gt;&lt;dates&gt;&lt;year&gt;2015&lt;/year&gt;&lt;/dates&gt;&lt;isbn&gt;0960-0035&lt;/isbn&gt;&lt;urls&gt;&lt;related-urls&gt;&lt;url&gt;http://www.emeraldinsight.com/doi/abs/10.1108/IJPDLM-12-2014-0291&lt;/url&gt;&lt;/related-urls&gt;&lt;/urls&gt;&lt;research-notes&gt;122&lt;/research-notes&gt;&lt;/record&gt;&lt;/Cite&gt;&lt;/EndNote&gt;</w:instrText>
      </w:r>
      <w:r w:rsidR="00073AE2">
        <w:fldChar w:fldCharType="separate"/>
      </w:r>
      <w:r w:rsidR="00A76115">
        <w:rPr>
          <w:noProof/>
        </w:rPr>
        <w:t>Gammelgaard (2015)</w:t>
      </w:r>
      <w:r w:rsidR="00073AE2">
        <w:fldChar w:fldCharType="end"/>
      </w:r>
      <w:r w:rsidRPr="00A96AC5">
        <w:rPr>
          <w:rFonts w:cs="Times New Roman"/>
        </w:rPr>
        <w:t xml:space="preserve"> shows that the most difficult challenge is finding agreement between public and private stakeholders on sustainability targets, primarily because the different parties have conflicting objectives. For example, carriers seek lower operation costs and higher delivery rates, while authorities prefer to reduce noise and emissions, and consumers concentrate on the timely delivery of goods </w:t>
      </w:r>
      <w:r w:rsidR="00073AE2">
        <w:fldChar w:fldCharType="begin"/>
      </w:r>
      <w:r w:rsidR="00647E79">
        <w:instrText xml:space="preserve"> ADDIN EN.CITE &lt;EndNote&gt;&lt;Cite&gt;&lt;Author&gt;Quak&lt;/Author&gt;&lt;Year&gt;2007&lt;/Year&gt;&lt;RecNum&gt;152&lt;/RecNum&gt;&lt;DisplayText&gt;(Quak and Dekoster, 2007)&lt;/DisplayText&gt;&lt;record&gt;&lt;rec-number&gt;152&lt;/rec-number&gt;&lt;foreign-keys&gt;&lt;key app="EN" db-id="pzt5ep52hsedfpeext2pdfes0w0aswaewef2" timestamp="1605187995"&gt;152&lt;/key&gt;&lt;/foreign-keys&gt;&lt;ref-type name="Journal Article"&gt;17&lt;/ref-type&gt;&lt;contributors&gt;&lt;authors&gt;&lt;author&gt;Quak, H.&lt;/author&gt;&lt;author&gt;Dekoster, M.&lt;/author&gt;&lt;/authors&gt;&lt;/contributors&gt;&lt;titles&gt;&lt;title&gt;Exploring retailers’ sensitivity to local sustainability policies&lt;/title&gt;&lt;secondary-title&gt;Journal of Operations Management&lt;/secondary-title&gt;&lt;/titles&gt;&lt;periodical&gt;&lt;full-title&gt;Journal of Operations Management&lt;/full-title&gt;&lt;/periodical&gt;&lt;pages&gt;1103-1122&lt;/pages&gt;&lt;volume&gt;25&lt;/volume&gt;&lt;number&gt;6&lt;/number&gt;&lt;dates&gt;&lt;year&gt;2007&lt;/year&gt;&lt;/dates&gt;&lt;isbn&gt;02726963&lt;/isbn&gt;&lt;urls&gt;&lt;/urls&gt;&lt;electronic-resource-num&gt;10.1016/j.jom.2007.01.020&lt;/electronic-resource-num&gt;&lt;/record&gt;&lt;/Cite&gt;&lt;/EndNote&gt;</w:instrText>
      </w:r>
      <w:r w:rsidR="00073AE2">
        <w:fldChar w:fldCharType="separate"/>
      </w:r>
      <w:r w:rsidR="00073AE2">
        <w:rPr>
          <w:noProof/>
        </w:rPr>
        <w:t>(Quak and Dekoster, 2007)</w:t>
      </w:r>
      <w:r w:rsidR="00073AE2">
        <w:fldChar w:fldCharType="end"/>
      </w:r>
      <w:r w:rsidRPr="00A96AC5">
        <w:rPr>
          <w:rFonts w:cs="Times New Roman"/>
        </w:rPr>
        <w:t xml:space="preserve">. Furthermore, no stakeholders are willing to sacrifice their economic interests for SUL environmental objectives. </w:t>
      </w:r>
    </w:p>
    <w:p w14:paraId="307A534A" w14:textId="2FB9D12E" w:rsidR="0071798B" w:rsidRPr="00A96AC5" w:rsidRDefault="00073AE2" w:rsidP="00C15D78">
      <w:pPr>
        <w:spacing w:after="240" w:line="360" w:lineRule="auto"/>
        <w:rPr>
          <w:rFonts w:cs="Times New Roman"/>
        </w:rPr>
      </w:pPr>
      <w:r>
        <w:rPr>
          <w:noProof/>
        </w:rPr>
        <w:fldChar w:fldCharType="begin"/>
      </w:r>
      <w:r w:rsidR="00647E79">
        <w:rPr>
          <w:noProof/>
        </w:rPr>
        <w:instrText xml:space="preserve"> ADDIN EN.CITE &lt;EndNote&gt;&lt;Cite AuthorYear="1"&gt;&lt;Author&gt;Friesz&lt;/Author&gt;&lt;Year&gt;2011&lt;/Year&gt;&lt;RecNum&gt;153&lt;/RecNum&gt;&lt;DisplayText&gt;Friesz et al. (2011)&lt;/DisplayText&gt;&lt;record&gt;&lt;rec-number&gt;153&lt;/rec-number&gt;&lt;foreign-keys&gt;&lt;key app="EN" db-id="pzt5ep52hsedfpeext2pdfes0w0aswaewef2" timestamp="1605187995"&gt;153&lt;/key&gt;&lt;/foreign-keys&gt;&lt;ref-type name="Journal Article"&gt;17&lt;/ref-type&gt;&lt;contributors&gt;&lt;authors&gt;&lt;author&gt;Friesz, Terry L.&lt;/author&gt;&lt;author&gt;Lee, Ilsoo&lt;/author&gt;&lt;author&gt;Lin, Cheng-Chang&lt;/author&gt;&lt;/authors&gt;&lt;/contributors&gt;&lt;titles&gt;&lt;title&gt;Competition and disruption in a dynamic urban supply chain&lt;/title&gt;&lt;secondary-title&gt;Transportation Research Part B: Methodological&lt;/secondary-title&gt;&lt;/titles&gt;&lt;periodical&gt;&lt;full-title&gt;Transportation Research Part B: Methodological&lt;/full-title&gt;&lt;abbr-1&gt;Transp. Res. Part B Methodol.&lt;/abbr-1&gt;&lt;/periodical&gt;&lt;pages&gt;1212-1231&lt;/pages&gt;&lt;volume&gt;45&lt;/volume&gt;&lt;number&gt;8&lt;/number&gt;&lt;keywords&gt;&lt;keyword&gt;Dynamic supply chains&lt;/keyword&gt;&lt;keyword&gt;Supply chain networks&lt;/keyword&gt;&lt;keyword&gt;Urban supply chains&lt;/keyword&gt;&lt;keyword&gt;City logistics&lt;/keyword&gt;&lt;keyword&gt;Disruptions&lt;/keyword&gt;&lt;keyword&gt;Differential variational inequalities&lt;/keyword&gt;&lt;/keywords&gt;&lt;dates&gt;&lt;year&gt;2011&lt;/year&gt;&lt;pub-dates&gt;&lt;date&gt;2011/09/01/&lt;/date&gt;&lt;/pub-dates&gt;&lt;/dates&gt;&lt;isbn&gt;0191-2615&lt;/isbn&gt;&lt;urls&gt;&lt;related-urls&gt;&lt;url&gt;http://www.sciencedirect.com/science/article/pii/S0191261511000555&lt;/url&gt;&lt;/related-urls&gt;&lt;/urls&gt;&lt;electronic-resource-num&gt;https://doi.org/10.1016/j.trb.2011.05.005&lt;/electronic-resource-num&gt;&lt;/record&gt;&lt;/Cite&gt;&lt;/EndNote&gt;</w:instrText>
      </w:r>
      <w:r>
        <w:rPr>
          <w:noProof/>
        </w:rPr>
        <w:fldChar w:fldCharType="separate"/>
      </w:r>
      <w:r w:rsidR="00BF7534">
        <w:rPr>
          <w:noProof/>
        </w:rPr>
        <w:t>Friesz et al. (2011)</w:t>
      </w:r>
      <w:r>
        <w:rPr>
          <w:noProof/>
        </w:rPr>
        <w:fldChar w:fldCharType="end"/>
      </w:r>
      <w:r w:rsidR="008E6370">
        <w:t xml:space="preserve"> </w:t>
      </w:r>
      <w:r w:rsidR="0071798B" w:rsidRPr="00A96AC5">
        <w:rPr>
          <w:rFonts w:cs="Times New Roman"/>
        </w:rPr>
        <w:t xml:space="preserve">employ the concept of ‘supply chain thinking’, whereby the efficiency of the entire supply chain is optimised, rather than the objectives of individual stakeholders (consumers, shipper, carrier). Their findings illustrate that the possibility of profit improvements across the entire supply chain is the only incentive for each stakeholder. A major issue when SUL solutions are implemented across supply chains is reward distribution, as some stakeholders may not receive adequate rewards for their contributions. Within this context, methodologies such as those of agent-based models (ABMs) can be used to investigate the configuration of stakeholders’ networks in UL systems. The remarkable feature of ABM is its ability to simulate the impact of multiple dimensions, such as public intervention </w:t>
      </w:r>
      <w:r>
        <w:rPr>
          <w:rFonts w:cs="Times New Roman"/>
        </w:rPr>
        <w:fldChar w:fldCharType="begin">
          <w:fldData xml:space="preserve">PEVuZE5vdGU+PENpdGU+PEF1dGhvcj5CYWluZHVyPC9BdXRob3I+PFllYXI+MjAxMTwvWWVhcj48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=
</w:fldData>
        </w:fldChar>
      </w:r>
      <w:r w:rsidR="00647E79">
        <w:rPr>
          <w:rFonts w:cs="Times New Roman"/>
        </w:rPr>
        <w:instrText xml:space="preserve"> ADDIN EN.CITE </w:instrText>
      </w:r>
      <w:r w:rsidR="00647E79">
        <w:rPr>
          <w:rFonts w:cs="Times New Roman"/>
        </w:rPr>
        <w:fldChar w:fldCharType="begin">
          <w:fldData xml:space="preserve">PEVuZE5vdGU+PENpdGU+PEF1dGhvcj5CYWluZHVyPC9BdXRob3I+PFllYXI+MjAxMTwvWWVhcj48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=
</w:fldData>
        </w:fldChar>
      </w:r>
      <w:r w:rsidR="00647E79">
        <w:rPr>
          <w:rFonts w:cs="Times New Roman"/>
        </w:rPr>
        <w:instrText xml:space="preserve"> ADDIN EN.CITE.DATA </w:instrText>
      </w:r>
      <w:r w:rsidR="00647E79">
        <w:rPr>
          <w:rFonts w:cs="Times New Roman"/>
        </w:rPr>
      </w:r>
      <w:r w:rsidR="00647E79">
        <w:rPr>
          <w:rFonts w:cs="Times New Roman"/>
        </w:rPr>
        <w:fldChar w:fldCharType="end"/>
      </w:r>
      <w:r>
        <w:rPr>
          <w:rFonts w:cs="Times New Roman"/>
        </w:rPr>
      </w:r>
      <w:r>
        <w:rPr>
          <w:rFonts w:cs="Times New Roman"/>
        </w:rPr>
        <w:fldChar w:fldCharType="separate"/>
      </w:r>
      <w:r>
        <w:rPr>
          <w:rFonts w:cs="Times New Roman"/>
          <w:noProof/>
        </w:rPr>
        <w:t>(Baindur and Viegas, 2011, Maggi and Vallino, 2016)</w:t>
      </w:r>
      <w:r>
        <w:rPr>
          <w:rFonts w:cs="Times New Roman"/>
        </w:rPr>
        <w:fldChar w:fldCharType="end"/>
      </w:r>
      <w:r w:rsidR="0071798B" w:rsidRPr="00A96AC5">
        <w:rPr>
          <w:rFonts w:cs="Times New Roman"/>
        </w:rPr>
        <w:t xml:space="preserve">, the behaviour of the stakeholders </w:t>
      </w:r>
      <w:r>
        <w:rPr>
          <w:rFonts w:cs="Times New Roman"/>
        </w:rPr>
        <w:fldChar w:fldCharType="begin">
          <w:fldData xml:space="preserve">PEVuZE5vdGU+PENpdGU+PEF1dGhvcj5CYWluZHVyPC9BdXRob3I+PFllYXI+MjAxMTwvWWVhcj48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</w:fldData>
        </w:fldChar>
      </w:r>
      <w:r w:rsidR="00647E79">
        <w:rPr>
          <w:rFonts w:cs="Times New Roman"/>
        </w:rPr>
        <w:instrText xml:space="preserve"> ADDIN EN.CITE </w:instrText>
      </w:r>
      <w:r w:rsidR="00647E79">
        <w:rPr>
          <w:rFonts w:cs="Times New Roman"/>
        </w:rPr>
        <w:fldChar w:fldCharType="begin">
          <w:fldData xml:space="preserve">PEVuZE5vdGU+PENpdGU+PEF1dGhvcj5CYWluZHVyPC9BdXRob3I+PFllYXI+MjAxMTwvWWVhcj48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</w:fldData>
        </w:fldChar>
      </w:r>
      <w:r w:rsidR="00647E79">
        <w:rPr>
          <w:rFonts w:cs="Times New Roman"/>
        </w:rPr>
        <w:instrText xml:space="preserve"> ADDIN EN.CITE.DATA </w:instrText>
      </w:r>
      <w:r w:rsidR="00647E79">
        <w:rPr>
          <w:rFonts w:cs="Times New Roman"/>
        </w:rPr>
      </w:r>
      <w:r w:rsidR="00647E79">
        <w:rPr>
          <w:rFonts w:cs="Times New Roman"/>
        </w:rPr>
        <w:fldChar w:fldCharType="end"/>
      </w:r>
      <w:r>
        <w:rPr>
          <w:rFonts w:cs="Times New Roman"/>
        </w:rPr>
      </w:r>
      <w:r>
        <w:rPr>
          <w:rFonts w:cs="Times New Roman"/>
        </w:rPr>
        <w:fldChar w:fldCharType="separate"/>
      </w:r>
      <w:r>
        <w:rPr>
          <w:rFonts w:cs="Times New Roman"/>
          <w:noProof/>
        </w:rPr>
        <w:t>(Baindur and Viegas, 2011, Boussier et al., 2011)</w:t>
      </w:r>
      <w:r>
        <w:rPr>
          <w:rFonts w:cs="Times New Roman"/>
        </w:rPr>
        <w:fldChar w:fldCharType="end"/>
      </w:r>
      <w:r w:rsidR="0071798B" w:rsidRPr="00A96AC5">
        <w:rPr>
          <w:rFonts w:cs="Times New Roman"/>
        </w:rPr>
        <w:t xml:space="preserve">, market factors </w:t>
      </w:r>
      <w:r>
        <w:rPr>
          <w:rFonts w:cs="Times New Roman"/>
          <w:noProof/>
        </w:rPr>
        <w:fldChar w:fldCharType="begin"/>
      </w:r>
      <w:r w:rsidR="00647E79">
        <w:rPr>
          <w:rFonts w:cs="Times New Roman"/>
          <w:noProof/>
        </w:rPr>
        <w:instrText xml:space="preserve"> ADDIN EN.CITE &lt;EndNote&gt;&lt;Cite&gt;&lt;Author&gt;Baindur&lt;/Author&gt;&lt;Year&gt;2011&lt;/Year&gt;&lt;RecNum&gt;154&lt;/RecNum&gt;&lt;DisplayText&gt;(Baindur and Viegas, 2011)&lt;/DisplayText&gt;&lt;record&gt;&lt;rec-number&gt;154&lt;/rec-number&gt;&lt;foreign-keys&gt;&lt;key app="EN" db-id="pzt5ep52hsedfpeext2pdfes0w0aswaewef2" timestamp="1605187995"&gt;154&lt;/key&gt;&lt;/foreign-keys&gt;&lt;ref-type name="Journal Article"&gt;17&lt;/ref-type&gt;&lt;contributors&gt;&lt;authors&gt;&lt;author&gt;Baindur, Deepak&lt;/author&gt;&lt;author&gt;Viegas, José Manuel&lt;/author&gt;&lt;/authors&gt;&lt;/contributors&gt;&lt;titles&gt;&lt;title&gt;An agent based model concept for assessing modal share in inter-regional freight transport markets&lt;/title&gt;&lt;secondary-title&gt;Journal of Transport Geography&lt;/secondary-title&gt;&lt;/titles&gt;&lt;periodical&gt;&lt;full-title&gt;Journal of transport geography&lt;/full-title&gt;&lt;/periodical&gt;&lt;pages&gt;1093-1105&lt;/pages&gt;&lt;volume&gt;19&lt;/volume&gt;&lt;number&gt;6&lt;/number&gt;&lt;keywords&gt;&lt;keyword&gt;Inter-urban freight transport market&lt;/keyword&gt;&lt;keyword&gt;Micro-simulation&lt;/keyword&gt;&lt;keyword&gt;Agent based model&lt;/keyword&gt;&lt;keyword&gt;Motorways of the Sea&lt;/keyword&gt;&lt;keyword&gt;Intermodal&lt;/keyword&gt;&lt;keyword&gt;Modal competition&lt;/keyword&gt;&lt;/keywords&gt;&lt;dates&gt;&lt;year&gt;2011&lt;/year&gt;&lt;pub-dates&gt;&lt;date&gt;2011/11/01/&lt;/date&gt;&lt;/pub-dates&gt;&lt;/dates&gt;&lt;isbn&gt;0966-6923&lt;/isbn&gt;&lt;urls&gt;&lt;related-urls&gt;&lt;url&gt;http://www.sciencedirect.com/science/article/pii/S0966692311000536&lt;/url&gt;&lt;/related-urls&gt;&lt;/urls&gt;&lt;electronic-resource-num&gt;https://doi.org/10.1016/j.jtrangeo.2011.05.006&lt;/electronic-resource-num&gt;&lt;/record&gt;&lt;/Cite&gt;&lt;/EndNote&gt;</w:instrText>
      </w:r>
      <w:r>
        <w:rPr>
          <w:rFonts w:cs="Times New Roman"/>
          <w:noProof/>
        </w:rPr>
        <w:fldChar w:fldCharType="separate"/>
      </w:r>
      <w:r>
        <w:rPr>
          <w:rFonts w:cs="Times New Roman"/>
          <w:noProof/>
        </w:rPr>
        <w:t>(Baindur and Viegas, 2011)</w:t>
      </w:r>
      <w:r>
        <w:rPr>
          <w:rFonts w:cs="Times New Roman"/>
          <w:noProof/>
        </w:rPr>
        <w:fldChar w:fldCharType="end"/>
      </w:r>
      <w:r w:rsidR="0071798B" w:rsidRPr="00A96AC5">
        <w:rPr>
          <w:rFonts w:cs="Times New Roman"/>
        </w:rPr>
        <w:t xml:space="preserve">, the status of freight flow among the agents </w:t>
      </w:r>
      <w:r>
        <w:fldChar w:fldCharType="begin"/>
      </w:r>
      <w:r w:rsidR="00647E79">
        <w:instrText xml:space="preserve"> ADDIN EN.CITE &lt;EndNote&gt;&lt;Cite&gt;&lt;Author&gt;Taniguchi&lt;/Author&gt;&lt;Year&gt;2003&lt;/Year&gt;&lt;RecNum&gt;156&lt;/RecNum&gt;&lt;DisplayText&gt;(Taniguchi et al., 2003)&lt;/DisplayText&gt;&lt;record&gt;&lt;rec-number&gt;156&lt;/rec-number&gt;&lt;foreign-keys&gt;&lt;key app="EN" db-id="pzt5ep52hsedfpeext2pdfes0w0aswaewef2" timestamp="1605187995"&gt;156&lt;/key&gt;&lt;/foreign-keys&gt;&lt;ref-type name="Journal Article"&gt;17&lt;/ref-type&gt;&lt;contributors&gt;&lt;authors&gt;&lt;author&gt;Taniguchi, Eiichi&lt;/author&gt;&lt;author&gt;Thompson, Russell G&lt;/author&gt;&lt;author&gt;Yamada, Tadashi&lt;/author&gt;&lt;/authors&gt;&lt;/contributors&gt;&lt;titles&gt;&lt;title&gt;Predicting the effects of city logistics schemes&lt;/title&gt;&lt;secondary-title&gt;Transport Reviews&lt;/secondary-title&gt;&lt;/titles&gt;&lt;periodical&gt;&lt;full-title&gt;Transport Reviews&lt;/full-title&gt;&lt;/periodical&gt;&lt;pages&gt;489-515&lt;/pages&gt;&lt;volume&gt;23&lt;/volume&gt;&lt;number&gt;4&lt;/number&gt;&lt;dates&gt;&lt;year&gt;2003&lt;/year&gt;&lt;/dates&gt;&lt;isbn&gt;0144-1647&lt;/isbn&gt;&lt;urls&gt;&lt;related-urls&gt;&lt;url&gt;http://www.tandfonline.com/doi/abs/10.1080/01441640210163999&lt;/url&gt;&lt;/related-urls&gt;&lt;/urls&gt;&lt;research-notes&gt;36&lt;/research-notes&gt;&lt;/record&gt;&lt;/Cite&gt;&lt;/EndNote&gt;</w:instrText>
      </w:r>
      <w:r>
        <w:fldChar w:fldCharType="separate"/>
      </w:r>
      <w:r>
        <w:rPr>
          <w:noProof/>
        </w:rPr>
        <w:t>(Taniguchi et al., 2003)</w:t>
      </w:r>
      <w:r>
        <w:fldChar w:fldCharType="end"/>
      </w:r>
      <w:r w:rsidR="0071798B" w:rsidRPr="00A96AC5">
        <w:rPr>
          <w:rFonts w:cs="Times New Roman"/>
        </w:rPr>
        <w:t xml:space="preserve">, and the performance of delivery channels between each agent in logistical systems </w:t>
      </w:r>
      <w:r>
        <w:rPr>
          <w:noProof/>
        </w:rPr>
        <w:fldChar w:fldCharType="begin"/>
      </w:r>
      <w:r w:rsidR="00647E79">
        <w:rPr>
          <w:noProof/>
        </w:rPr>
        <w:instrText xml:space="preserve"> ADDIN EN.CITE &lt;EndNote&gt;&lt;Cite&gt;&lt;Author&gt;Teo&lt;/Author&gt;&lt;Year&gt;2014&lt;/Year&gt;&lt;RecNum&gt;157&lt;/RecNum&gt;&lt;DisplayText&gt;(Teo et al., 2014)&lt;/DisplayText&gt;&lt;record&gt;&lt;rec-number&gt;157&lt;/rec-number&gt;&lt;foreign-keys&gt;&lt;key app="EN" db-id="pzt5ep52hsedfpeext2pdfes0w0aswaewef2" timestamp="1605187995"&gt;157&lt;/key&gt;&lt;/foreign-keys&gt;&lt;ref-type name="Journal Article"&gt;17&lt;/ref-type&gt;&lt;contributors&gt;&lt;authors&gt;&lt;author&gt;Teo, JSE&lt;/author&gt;&lt;author&gt;Taniguchi, E&lt;/author&gt;&lt;author&gt;Qureshi, AG&lt;/author&gt;&lt;/authors&gt;&lt;/contributors&gt;&lt;titles&gt;&lt;title&gt;Multi-agent systems modelling approach to evaluate urban motorways for city logistics&lt;/title&gt;&lt;secondary-title&gt;International Journal of Urban Sciences&lt;/secondary-title&gt;&lt;/titles&gt;&lt;periodical&gt;&lt;full-title&gt;International Journal of Urban Sciences&lt;/full-title&gt;&lt;/periodical&gt;&lt;pages&gt;154-165&lt;/pages&gt;&lt;volume&gt;18&lt;/volume&gt;&lt;number&gt;2&lt;/number&gt;&lt;dates&gt;&lt;year&gt;2014&lt;/year&gt;&lt;/dates&gt;&lt;isbn&gt;1226-5934&lt;/isbn&gt;&lt;urls&gt;&lt;related-urls&gt;&lt;url&gt;http://www.tandfonline.com/doi/abs/10.1080/12265934.2014.929020&lt;/url&gt;&lt;/related-urls&gt;&lt;/urls&gt;&lt;research-notes&gt;92&lt;/research-notes&gt;&lt;/record&gt;&lt;/Cite&gt;&lt;/EndNote&gt;</w:instrText>
      </w:r>
      <w:r>
        <w:rPr>
          <w:noProof/>
        </w:rPr>
        <w:fldChar w:fldCharType="separate"/>
      </w:r>
      <w:r>
        <w:rPr>
          <w:noProof/>
        </w:rPr>
        <w:t>(Teo et al., 2014)</w:t>
      </w:r>
      <w:r>
        <w:rPr>
          <w:noProof/>
        </w:rPr>
        <w:fldChar w:fldCharType="end"/>
      </w:r>
      <w:r w:rsidR="0071798B" w:rsidRPr="00A96AC5">
        <w:rPr>
          <w:rFonts w:cs="Times New Roman"/>
        </w:rPr>
        <w:t xml:space="preserve">. Although ABMs are a powerful modelling tool, their validation is often problematic, making it difficult to implement the suggested recommendations in the real-world </w:t>
      </w:r>
      <w:r>
        <w:fldChar w:fldCharType="begin"/>
      </w:r>
      <w:r w:rsidR="00647E79">
        <w:instrText xml:space="preserve"> ADDIN EN.CITE &lt;EndNote&gt;&lt;Cite&gt;&lt;Author&gt;Maggi&lt;/Author&gt;&lt;Year&gt;2016&lt;/Year&gt;&lt;RecNum&gt;155&lt;/RecNum&gt;&lt;DisplayText&gt;(Maggi and Vallino, 2016)&lt;/DisplayText&gt;&lt;record&gt;&lt;rec-number&gt;155&lt;/rec-number&gt;&lt;foreign-keys&gt;&lt;key app="EN" db-id="pzt5ep52hsedfpeext2pdfes0w0aswaewef2" timestamp="1605187995"&gt;155&lt;/key&gt;&lt;/foreign-keys&gt;&lt;ref-type name="Journal Article"&gt;17&lt;/ref-type&gt;&lt;contributors&gt;&lt;authors&gt;&lt;author&gt;Maggi, Elena&lt;/author&gt;&lt;author&gt;Vallino, Elena&lt;/author&gt;&lt;/authors&gt;&lt;/contributors&gt;&lt;titles&gt;&lt;title&gt;Understanding urban mobility and the impact of public policies: The role of the agent-based models&lt;/title&gt;&lt;secondary-title&gt;Research in Transportation Economics&lt;/secondary-title&gt;&lt;/titles&gt;&lt;periodical&gt;&lt;full-title&gt;Research in Transportation Economics&lt;/full-title&gt;&lt;/periodical&gt;&lt;pages&gt;50-59&lt;/pages&gt;&lt;volume&gt;55&lt;/volume&gt;&lt;dates&gt;&lt;year&gt;2016&lt;/year&gt;&lt;/dates&gt;&lt;isbn&gt;0739-8859&lt;/isbn&gt;&lt;urls&gt;&lt;related-urls&gt;&lt;url&gt;http://www.sciencedirect.com/science/article/pii/S0739885916300415&lt;/url&gt;&lt;/related-urls&gt;&lt;/urls&gt;&lt;research-notes&gt;140&lt;/research-notes&gt;&lt;/record&gt;&lt;/Cite&gt;&lt;/EndNote&gt;</w:instrText>
      </w:r>
      <w:r>
        <w:fldChar w:fldCharType="separate"/>
      </w:r>
      <w:r>
        <w:rPr>
          <w:noProof/>
        </w:rPr>
        <w:t>(Maggi and Vallino, 2016)</w:t>
      </w:r>
      <w:r>
        <w:fldChar w:fldCharType="end"/>
      </w:r>
      <w:r w:rsidR="0071798B" w:rsidRPr="00A96AC5">
        <w:rPr>
          <w:rFonts w:cs="Times New Roman"/>
        </w:rPr>
        <w:t>.</w:t>
      </w:r>
    </w:p>
    <w:p w14:paraId="5FDA13AD" w14:textId="77777777" w:rsidR="0071798B" w:rsidRPr="00A96AC5" w:rsidRDefault="0071798B" w:rsidP="000A4E8C">
      <w:pPr>
        <w:pStyle w:val="Heading4"/>
        <w:spacing w:after="0" w:line="360" w:lineRule="auto"/>
        <w:rPr>
          <w:rFonts w:cs="Times New Roman"/>
        </w:rPr>
      </w:pPr>
      <w:r w:rsidRPr="00A96AC5">
        <w:rPr>
          <w:rFonts w:cs="Times New Roman"/>
        </w:rPr>
        <w:t>Policymaking</w:t>
      </w:r>
    </w:p>
    <w:p w14:paraId="28C16C09" w14:textId="414DB799" w:rsidR="0071798B" w:rsidRPr="00A96AC5" w:rsidRDefault="0071798B" w:rsidP="00C15D78">
      <w:pPr>
        <w:spacing w:after="240" w:line="360" w:lineRule="auto"/>
        <w:rPr>
          <w:rFonts w:cs="Times New Roman"/>
        </w:rPr>
      </w:pPr>
      <w:r w:rsidRPr="00A96AC5">
        <w:rPr>
          <w:rFonts w:cs="Times New Roman"/>
        </w:rPr>
        <w:t xml:space="preserve">Local and central governments act as organisers of urban logistical systems. In addition to providing infrastructures, such actors use policy and financial incentives to promote cooperative relationships between different stakeholders, even where participants are competitors </w:t>
      </w:r>
      <w:r w:rsidR="000D06CE">
        <w:rPr>
          <w:noProof/>
        </w:rPr>
        <w:fldChar w:fldCharType="begin"/>
      </w:r>
      <w:r w:rsidR="00647E79">
        <w:rPr>
          <w:noProof/>
        </w:rPr>
        <w:instrText xml:space="preserve"> ADDIN EN.CITE &lt;EndNote&gt;&lt;Cite&gt;&lt;Author&gt;Ambrosini&lt;/Author&gt;&lt;Year&gt;2013&lt;/Year&gt;&lt;RecNum&gt;158&lt;/RecNum&gt;&lt;DisplayText&gt;(Ambrosini et al., 2013)&lt;/DisplayText&gt;&lt;record&gt;&lt;rec-number&gt;158&lt;/rec-number&gt;&lt;foreign-keys&gt;&lt;key app="EN" db-id="pzt5ep52hsedfpeext2pdfes0w0aswaewef2" timestamp="1605187995"&gt;158&lt;/key&gt;&lt;/foreign-keys&gt;&lt;ref-type name="Journal Article"&gt;17&lt;/ref-type&gt;&lt;contributors&gt;&lt;authors&gt;&lt;author&gt;Ambrosini, Christian&lt;/author&gt;&lt;author&gt;Gonzalez-Feliu, Jesus&lt;/author&gt;&lt;author&gt;Toilier, Florence&lt;/author&gt;&lt;/authors&gt;&lt;/contributors&gt;&lt;auth-address&gt;Laboratoire d&amp;apos;économie des transports (LET)&lt;/auth-address&gt;&lt;titles&gt;&lt;title&gt;A design methodology for scenario-analysis in urban freight modelling&lt;/title&gt;&lt;secondary-title&gt;European Transport/Trasporti Europei&lt;/secondary-title&gt;&lt;/titles&gt;&lt;periodical&gt;&lt;full-title&gt;European Transport/Trasporti Europei&lt;/full-title&gt;&lt;/periodical&gt;&lt;pages&gt;1-21&lt;/pages&gt;&lt;volume&gt;54&lt;/volume&gt;&lt;number&gt;7&lt;/number&gt;&lt;keywords&gt;&lt;keyword&gt;Urban goods movement&lt;/keyword&gt;&lt;keyword&gt;transport modelling&lt;/keyword&gt;&lt;keyword&gt;scenario construction&lt;/keyword&gt;&lt;keyword&gt;urban policy&lt;/keyword&gt;&lt;keyword&gt;decision support&lt;/keyword&gt;&lt;/keywords&gt;&lt;dates&gt;&lt;year&gt;2013&lt;/year&gt;&lt;pub-dates&gt;&lt;date&gt;2013-07-01&lt;/date&gt;&lt;/pub-dates&gt;&lt;/dates&gt;&lt;call-num&gt;halshs-00843286&lt;/call-num&gt;&lt;urls&gt;&lt;related-urls&gt;&lt;url&gt;https://halshs.archives-ouvertes.fr/halshs-00843286&lt;/url&gt;&lt;/related-urls&gt;&lt;/urls&gt;&lt;custom2&gt;https://halshs.archives-ouvertes.fr/halshs-00843286/document&amp;#xD;https://halshs.archives-ouvertes.fr/halshs-00843286/file/ET_2013_54_7_Ambrosini_et_al.pdf&lt;/custom2&gt;&lt;remote-database-name&gt;Shs&amp;#xD;Cnrs&amp;#xD;Univ-lyon2&amp;#xD;Let&amp;#xD;Laet&amp;#xD;Entpe&amp;#xD;Labeximu&amp;#xD;Udl&lt;/remote-database-name&gt;&lt;research-notes&gt;avec comité de lecture&lt;/research-notes&gt;&lt;language&gt;English&lt;/language&gt;&lt;/record&gt;&lt;/Cite&gt;&lt;/EndNote&gt;</w:instrText>
      </w:r>
      <w:r w:rsidR="000D06CE">
        <w:rPr>
          <w:noProof/>
        </w:rPr>
        <w:fldChar w:fldCharType="separate"/>
      </w:r>
      <w:r w:rsidR="000D06CE">
        <w:rPr>
          <w:noProof/>
        </w:rPr>
        <w:t>(Ambrosini et al., 2013)</w:t>
      </w:r>
      <w:r w:rsidR="000D06CE">
        <w:rPr>
          <w:noProof/>
        </w:rPr>
        <w:fldChar w:fldCharType="end"/>
      </w:r>
      <w:r w:rsidRPr="00A96AC5">
        <w:rPr>
          <w:rFonts w:cs="Times New Roman"/>
        </w:rPr>
        <w:t xml:space="preserve">. The truck-sharing system in the USA, which reschedules delivery trucks for delivery companies through a public platform, is one example. This project significantly reduces the cost and number of trucks in city logistics when demand increases </w:t>
      </w:r>
      <w:r w:rsidR="000D06CE">
        <w:fldChar w:fldCharType="begin"/>
      </w:r>
      <w:r w:rsidR="00647E79">
        <w:instrText xml:space="preserve"> ADDIN EN.CITE &lt;EndNote&gt;&lt;Cite&gt;&lt;Author&gt;Regan&lt;/Author&gt;&lt;Year&gt;2005&lt;/Year&gt;&lt;RecNum&gt;159&lt;/RecNum&gt;&lt;DisplayText&gt;(Regan and Golob, 2005)&lt;/DisplayText&gt;&lt;record&gt;&lt;rec-number&gt;159&lt;/rec-number&gt;&lt;foreign-keys&gt;&lt;key app="EN" db-id="pzt5ep52hsedfpeext2pdfes0w0aswaewef2" timestamp="1605187995"&gt;159&lt;/key&gt;&lt;/foreign-keys&gt;&lt;ref-type name="Journal Article"&gt;17&lt;/ref-type&gt;&lt;contributors&gt;&lt;authors&gt;&lt;author&gt;Regan, Amelia C&lt;/author&gt;&lt;author&gt;Golob, Thomas F&lt;/author&gt;&lt;/authors&gt;&lt;/contributors&gt;&lt;titles&gt;&lt;title&gt;Trucking industry demand for urban shared use freight terminals&lt;/title&gt;&lt;secondary-title&gt;Transportation&lt;/secondary-title&gt;&lt;/titles&gt;&lt;periodical&gt;&lt;full-title&gt;Transportation&lt;/full-title&gt;&lt;/periodical&gt;&lt;pages&gt;23-36&lt;/pages&gt;&lt;volume&gt;32&lt;/volume&gt;&lt;number&gt;1&lt;/number&gt;&lt;dates&gt;&lt;year&gt;2005&lt;/year&gt;&lt;/dates&gt;&lt;isbn&gt;0049-4488&lt;/isbn&gt;&lt;urls&gt;&lt;/urls&gt;&lt;electronic-resource-num&gt;https://link.springer.com/article/10.1007%2Fs11116-004-2218-9?LI=true&lt;/electronic-resource-num&gt;&lt;research-notes&gt;38&lt;/research-notes&gt;&lt;/record&gt;&lt;/Cite&gt;&lt;/EndNote&gt;</w:instrText>
      </w:r>
      <w:r w:rsidR="000D06CE">
        <w:fldChar w:fldCharType="separate"/>
      </w:r>
      <w:r w:rsidR="000D06CE">
        <w:rPr>
          <w:noProof/>
        </w:rPr>
        <w:t>(Regan and Golob, 2005)</w:t>
      </w:r>
      <w:r w:rsidR="000D06CE">
        <w:fldChar w:fldCharType="end"/>
      </w:r>
      <w:r w:rsidRPr="00A96AC5">
        <w:rPr>
          <w:rFonts w:cs="Times New Roman"/>
        </w:rPr>
        <w:t xml:space="preserve">. The objective of government interventions is to reduce the negative </w:t>
      </w:r>
      <w:r w:rsidRPr="00A96AC5">
        <w:rPr>
          <w:rFonts w:cs="Times New Roman"/>
        </w:rPr>
        <w:lastRenderedPageBreak/>
        <w:t xml:space="preserve">social, economic, and ecological impact of UL </w:t>
      </w:r>
      <w:r w:rsidR="000D06CE">
        <w:fldChar w:fldCharType="begin"/>
      </w:r>
      <w:r w:rsidR="00647E79">
        <w:instrText xml:space="preserve"> ADDIN EN.CITE &lt;EndNote&gt;&lt;Cite&gt;&lt;Author&gt;Stathopoulos&lt;/Author&gt;&lt;Year&gt;2012&lt;/Year&gt;&lt;RecNum&gt;160&lt;/RecNum&gt;&lt;DisplayText&gt;(Stathopoulos et al., 2012)&lt;/DisplayText&gt;&lt;record&gt;&lt;rec-number&gt;160&lt;/rec-number&gt;&lt;foreign-keys&gt;&lt;key app="EN" db-id="pzt5ep52hsedfpeext2pdfes0w0aswaewef2" timestamp="1605187995"&gt;160&lt;/key&gt;&lt;/foreign-keys&gt;&lt;ref-type name="Journal Article"&gt;17&lt;/ref-type&gt;&lt;contributors&gt;&lt;authors&gt;&lt;author&gt;Stathopoulos, Amanda&lt;/author&gt;&lt;author&gt;Valeri, Eva&lt;/author&gt;&lt;author&gt;Marcucci, Edoardo&lt;/author&gt;&lt;/authors&gt;&lt;/contributors&gt;&lt;titles&gt;&lt;title&gt;Stakeholder reactions to urban freight policy innovation&lt;/title&gt;&lt;secondary-title&gt;Journal of Transport Geography&lt;/secondary-title&gt;&lt;/titles&gt;&lt;periodical&gt;&lt;full-title&gt;Journal of transport geography&lt;/full-title&gt;&lt;/periodical&gt;&lt;pages&gt;34-45&lt;/pages&gt;&lt;volume&gt;22&lt;/volume&gt;&lt;dates&gt;&lt;year&gt;2012&lt;/year&gt;&lt;/dates&gt;&lt;isbn&gt;0966-6923&lt;/isbn&gt;&lt;urls&gt;&lt;related-urls&gt;&lt;url&gt;http://www.sciencedirect.com/science/article/pii/S0966692311002195&lt;/url&gt;&lt;/related-urls&gt;&lt;/urls&gt;&lt;research-notes&gt;17&lt;/research-notes&gt;&lt;/record&gt;&lt;/Cite&gt;&lt;/EndNote&gt;</w:instrText>
      </w:r>
      <w:r w:rsidR="000D06CE">
        <w:fldChar w:fldCharType="separate"/>
      </w:r>
      <w:r w:rsidR="000D06CE">
        <w:rPr>
          <w:noProof/>
        </w:rPr>
        <w:t>(Stathopoulos et al., 2012)</w:t>
      </w:r>
      <w:r w:rsidR="000D06CE">
        <w:fldChar w:fldCharType="end"/>
      </w:r>
      <w:r w:rsidRPr="00A96AC5">
        <w:rPr>
          <w:rFonts w:cs="Times New Roman"/>
        </w:rPr>
        <w:t xml:space="preserve">. Policy and regulation are powerful tools with which the government can intervene in logistics activities. The alteration of urban policies can influence stakeholder behaviours in the supply chain, as well as the logistics activities in urban areas, as noted by </w:t>
      </w:r>
      <w:r w:rsidR="000D06CE">
        <w:rPr>
          <w:noProof/>
        </w:rPr>
        <w:fldChar w:fldCharType="begin"/>
      </w:r>
      <w:r w:rsidR="00647E79">
        <w:rPr>
          <w:noProof/>
        </w:rPr>
        <w:instrText xml:space="preserve"> ADDIN EN.CITE &lt;EndNote&gt;&lt;Cite AuthorYear="1"&gt;&lt;Author&gt;Hensher&lt;/Author&gt;&lt;Year&gt;2005&lt;/Year&gt;&lt;RecNum&gt;161&lt;/RecNum&gt;&lt;DisplayText&gt;Hensher and Puckett (2005)&lt;/DisplayText&gt;&lt;record&gt;&lt;rec-number&gt;161&lt;/rec-number&gt;&lt;foreign-keys&gt;&lt;key app="EN" db-id="pzt5ep52hsedfpeext2pdfes0w0aswaewef2" timestamp="1605187995"&gt;161&lt;/key&gt;&lt;/foreign-keys&gt;&lt;ref-type name="Journal Article"&gt;17&lt;/ref-type&gt;&lt;contributors&gt;&lt;authors&gt;&lt;author&gt;Hensher, David A&lt;/author&gt;&lt;author&gt;Puckett, Sean M&lt;/author&gt;&lt;/authors&gt;&lt;/contributors&gt;&lt;titles&gt;&lt;title&gt;Refocusing the modelling of freight distribution: Development of an economic-based framework to evaluate supply chain behaviour in response to congestion charging&lt;/title&gt;&lt;secondary-title&gt;Transportation&lt;/secondary-title&gt;&lt;/titles&gt;&lt;periodical&gt;&lt;full-title&gt;Transportation&lt;/full-title&gt;&lt;/periodical&gt;&lt;pages&gt;573-602&lt;/pages&gt;&lt;volume&gt;32&lt;/volume&gt;&lt;number&gt;6&lt;/number&gt;&lt;dates&gt;&lt;year&gt;2005&lt;/year&gt;&lt;/dates&gt;&lt;isbn&gt;0049-4488&lt;/isbn&gt;&lt;urls&gt;&lt;related-urls&gt;&lt;url&gt;https://link.springer.com/article/10.1007%2Fs11116-004-7615-6?LI=true&lt;/url&gt;&lt;/related-urls&gt;&lt;/urls&gt;&lt;research-notes&gt;19&lt;/research-notes&gt;&lt;/record&gt;&lt;/Cite&gt;&lt;/EndNote&gt;</w:instrText>
      </w:r>
      <w:r w:rsidR="000D06CE">
        <w:rPr>
          <w:noProof/>
        </w:rPr>
        <w:fldChar w:fldCharType="separate"/>
      </w:r>
      <w:r w:rsidR="00A25D28">
        <w:rPr>
          <w:noProof/>
        </w:rPr>
        <w:t>Hensher and Puckett (2005)</w:t>
      </w:r>
      <w:r w:rsidR="000D06CE">
        <w:rPr>
          <w:noProof/>
        </w:rPr>
        <w:fldChar w:fldCharType="end"/>
      </w:r>
      <w:r w:rsidRPr="00A96AC5">
        <w:rPr>
          <w:rFonts w:cs="Times New Roman"/>
        </w:rPr>
        <w:t xml:space="preserve">. </w:t>
      </w:r>
      <w:r w:rsidRPr="00A96AC5">
        <w:rPr>
          <w:rFonts w:cs="Times New Roman"/>
          <w:noProof/>
        </w:rPr>
        <w:t xml:space="preserve">Hensher and Puckett (2005) </w:t>
      </w:r>
      <w:r w:rsidRPr="00A96AC5">
        <w:rPr>
          <w:rFonts w:cs="Times New Roman"/>
        </w:rPr>
        <w:t xml:space="preserve">also illustrate how a policy of financial incentives can reduce traffic congestion in cities, as the behaviour of members in the endpoints of a supply chain (suppliers or retailers) can be influenced by a policy to change their time slot of delivery. However, </w:t>
      </w:r>
      <w:r w:rsidR="000D06CE">
        <w:rPr>
          <w:noProof/>
        </w:rPr>
        <w:fldChar w:fldCharType="begin"/>
      </w:r>
      <w:r w:rsidR="00647E79">
        <w:rPr>
          <w:noProof/>
        </w:rPr>
        <w:instrText xml:space="preserve"> ADDIN EN.CITE &lt;EndNote&gt;&lt;Cite AuthorYear="1"&gt;&lt;Author&gt;Jarl&lt;/Author&gt;&lt;Year&gt;2009&lt;/Year&gt;&lt;RecNum&gt;162&lt;/RecNum&gt;&lt;DisplayText&gt;Jarl (2009)&lt;/DisplayText&gt;&lt;record&gt;&lt;rec-number&gt;162&lt;/rec-number&gt;&lt;foreign-keys&gt;&lt;key app="EN" db-id="pzt5ep52hsedfpeext2pdfes0w0aswaewef2" timestamp="1605187995"&gt;162&lt;/key&gt;&lt;/foreign-keys&gt;&lt;ref-type name="Journal Article"&gt;17&lt;/ref-type&gt;&lt;contributors&gt;&lt;authors&gt;&lt;author&gt;Jarl, Valfrid&lt;/author&gt;&lt;/authors&gt;&lt;/contributors&gt;&lt;titles&gt;&lt;title&gt;Congestion pricing in urban areas: theory and case studies&lt;/title&gt;&lt;/titles&gt;&lt;dates&gt;&lt;year&gt;2009&lt;/year&gt;&lt;/dates&gt;&lt;urls&gt;&lt;/urls&gt;&lt;/record&gt;&lt;/Cite&gt;&lt;/EndNote&gt;</w:instrText>
      </w:r>
      <w:r w:rsidR="000D06CE">
        <w:rPr>
          <w:noProof/>
        </w:rPr>
        <w:fldChar w:fldCharType="separate"/>
      </w:r>
      <w:r w:rsidR="00C37466">
        <w:rPr>
          <w:noProof/>
        </w:rPr>
        <w:t>Jarl (2009)</w:t>
      </w:r>
      <w:r w:rsidR="000D06CE">
        <w:rPr>
          <w:noProof/>
        </w:rPr>
        <w:fldChar w:fldCharType="end"/>
      </w:r>
      <w:r w:rsidRPr="00A96AC5">
        <w:rPr>
          <w:rFonts w:cs="Times New Roman"/>
        </w:rPr>
        <w:t xml:space="preserve"> argues that a policy (such as emission charges) of increasing charges will not improve traffic conditions and could create an extra expense for all stakeholders in the ULN. </w:t>
      </w:r>
      <w:r w:rsidR="000D06CE">
        <w:rPr>
          <w:noProof/>
        </w:rPr>
        <w:fldChar w:fldCharType="begin">
          <w:fldData xml:space="preserve">PEVuZE5vdGU+PENpdGUgQXV0aG9yWWVhcj0iMSI+PEF1dGhvcj5UcmV0dmlrPC9BdXRob3I+PFll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</w:fldData>
        </w:fldChar>
      </w:r>
      <w:r w:rsidR="00647E79">
        <w:rPr>
          <w:noProof/>
        </w:rPr>
        <w:instrText xml:space="preserve"> ADDIN EN.CITE </w:instrText>
      </w:r>
      <w:r w:rsidR="00647E79">
        <w:rPr>
          <w:noProof/>
        </w:rPr>
        <w:fldChar w:fldCharType="begin">
          <w:fldData xml:space="preserve">PEVuZE5vdGU+PENpdGUgQXV0aG9yWWVhcj0iMSI+PEF1dGhvcj5UcmV0dmlrPC9BdXRob3I+PFll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</w:fldData>
        </w:fldChar>
      </w:r>
      <w:r w:rsidR="00647E79">
        <w:rPr>
          <w:noProof/>
        </w:rPr>
        <w:instrText xml:space="preserve"> ADDIN EN.CITE.DATA </w:instrText>
      </w:r>
      <w:r w:rsidR="00647E79">
        <w:rPr>
          <w:noProof/>
        </w:rPr>
      </w:r>
      <w:r w:rsidR="00647E79">
        <w:rPr>
          <w:noProof/>
        </w:rPr>
        <w:fldChar w:fldCharType="end"/>
      </w:r>
      <w:r w:rsidR="000D06CE">
        <w:rPr>
          <w:noProof/>
        </w:rPr>
      </w:r>
      <w:r w:rsidR="000D06CE">
        <w:rPr>
          <w:noProof/>
        </w:rPr>
        <w:fldChar w:fldCharType="separate"/>
      </w:r>
      <w:r w:rsidR="006E5F91">
        <w:rPr>
          <w:noProof/>
        </w:rPr>
        <w:t>Tretvik et al. (2014)</w:t>
      </w:r>
      <w:r w:rsidR="000D06CE">
        <w:rPr>
          <w:noProof/>
        </w:rPr>
        <w:fldChar w:fldCharType="end"/>
      </w:r>
      <w:r w:rsidRPr="00A96AC5">
        <w:rPr>
          <w:rFonts w:cs="Times New Roman"/>
        </w:rPr>
        <w:t xml:space="preserve"> found that restrictive policies can increase expenses for carriers; and consequently, such policies can encourage suppliers or retailers to choose green shipment to avoid the increased service price. </w:t>
      </w:r>
      <w:r w:rsidR="000D06CE">
        <w:rPr>
          <w:noProof/>
        </w:rPr>
        <w:fldChar w:fldCharType="begin"/>
      </w:r>
      <w:r w:rsidR="00647E79">
        <w:rPr>
          <w:noProof/>
        </w:rPr>
        <w:instrText xml:space="preserve"> ADDIN EN.CITE &lt;EndNote&gt;&lt;Cite AuthorYear="1"&gt;&lt;Author&gt;Nuzzolo&lt;/Author&gt;&lt;Year&gt;2016&lt;/Year&gt;&lt;RecNum&gt;164&lt;/RecNum&gt;&lt;DisplayText&gt;Nuzzolo et al. (2016)&lt;/DisplayText&gt;&lt;record&gt;&lt;rec-number&gt;164&lt;/rec-number&gt;&lt;foreign-keys&gt;&lt;key app="EN" db-id="pzt5ep52hsedfpeext2pdfes0w0aswaewef2" timestamp="1605187995"&gt;164&lt;/key&gt;&lt;/foreign-keys&gt;&lt;ref-type name="Journal Article"&gt;17&lt;/ref-type&gt;&lt;contributors&gt;&lt;authors&gt;&lt;author&gt;Nuzzolo, Agostino&lt;/author&gt;&lt;author&gt;Comi, Antonio&lt;/author&gt;&lt;author&gt;Ibeas, Angel&lt;/author&gt;&lt;author&gt;Moura, Jose L.&lt;/author&gt;&lt;/authors&gt;&lt;/contributors&gt;&lt;titles&gt;&lt;title&gt;Urban freight transport and city logistics policies: Indications from Rome, Barcelona, and Santander&lt;/title&gt;&lt;secondary-title&gt;International Journal of Sustainable Transportation&lt;/secondary-title&gt;&lt;/titles&gt;&lt;periodical&gt;&lt;full-title&gt;International Journal of Sustainable Transportation&lt;/full-title&gt;&lt;/periodical&gt;&lt;pages&gt;552-566&lt;/pages&gt;&lt;volume&gt;10&lt;/volume&gt;&lt;number&gt;6&lt;/number&gt;&lt;dates&gt;&lt;year&gt;2016&lt;/year&gt;&lt;pub-dates&gt;&lt;date&gt;2016/07/02&lt;/date&gt;&lt;/pub-dates&gt;&lt;/dates&gt;&lt;publisher&gt;Taylor &amp;amp; Francis&lt;/publisher&gt;&lt;isbn&gt;1556-8318&lt;/isbn&gt;&lt;urls&gt;&lt;related-urls&gt;&lt;url&gt;https://doi.org/10.1080/15568318.2015.1014778&lt;/url&gt;&lt;url&gt;https://www.tandfonline.com/doi/pdf/10.1080/15568318.2015.1014778?needAccess=true&lt;/url&gt;&lt;/related-urls&gt;&lt;/urls&gt;&lt;electronic-resource-num&gt;10.1080/15568318.2015.1014778&lt;/electronic-resource-num&gt;&lt;research-notes&gt;149&lt;/research-notes&gt;&lt;/record&gt;&lt;/Cite&gt;&lt;/EndNote&gt;</w:instrText>
      </w:r>
      <w:r w:rsidR="000D06CE">
        <w:rPr>
          <w:noProof/>
        </w:rPr>
        <w:fldChar w:fldCharType="separate"/>
      </w:r>
      <w:r w:rsidR="0039162F">
        <w:rPr>
          <w:noProof/>
        </w:rPr>
        <w:t>Nuzzolo et al. (2016)</w:t>
      </w:r>
      <w:r w:rsidR="000D06CE">
        <w:rPr>
          <w:noProof/>
        </w:rPr>
        <w:fldChar w:fldCharType="end"/>
      </w:r>
      <w:r w:rsidRPr="00A96AC5">
        <w:rPr>
          <w:rFonts w:cs="Times New Roman"/>
        </w:rPr>
        <w:t xml:space="preserve"> conclude that an incentive policy (extending the time windows for commercial trucks) can encourage retailers to integrate their deliveries by the third-party logistics providers (3PLs). </w:t>
      </w:r>
    </w:p>
    <w:p w14:paraId="669FADCE" w14:textId="33DA4679" w:rsidR="0071798B" w:rsidRPr="00A96AC5" w:rsidRDefault="0071798B" w:rsidP="00C15D78">
      <w:pPr>
        <w:spacing w:after="240" w:line="360" w:lineRule="auto"/>
        <w:rPr>
          <w:rFonts w:cs="Times New Roman"/>
        </w:rPr>
      </w:pPr>
      <w:r w:rsidRPr="00A96AC5">
        <w:rPr>
          <w:rFonts w:cs="Times New Roman"/>
        </w:rPr>
        <w:t xml:space="preserve">The policymaker must consider stakeholders preferences </w:t>
      </w:r>
      <w:r w:rsidR="004811FC">
        <w:rPr>
          <w:noProof/>
        </w:rPr>
        <w:fldChar w:fldCharType="begin"/>
      </w:r>
      <w:r w:rsidR="000C5785">
        <w:rPr>
          <w:noProof/>
        </w:rPr>
        <w:instrText xml:space="preserve"> ADDIN EN.CITE &lt;EndNote&gt;&lt;Cite&gt;&lt;Author&gt;Gatta&lt;/Author&gt;&lt;Year&gt;2016&lt;/Year&gt;&lt;RecNum&gt;136&lt;/RecNum&gt;&lt;DisplayText&gt;(Gatta and Marcucci, 2016)&lt;/DisplayText&gt;&lt;record&gt;&lt;rec-number&gt;136&lt;/rec-number&gt;&lt;foreign-keys&gt;&lt;key app="EN" db-id="x5etaz5aiszvz0edasvvpwvotttxepvd25t2" timestamp="1609264002"&gt;136&lt;/key&gt;&lt;/foreign-keys&gt;&lt;ref-type name="Journal Article"&gt;17&lt;/ref-type&gt;&lt;contributors&gt;&lt;authors&gt;&lt;author&gt;Gatta, V.&lt;/author&gt;&lt;author&gt;Marcucci, E.&lt;/author&gt;&lt;/authors&gt;&lt;/contributors&gt;&lt;auth-address&gt;DISP/CREI, University of Roma Tre, Rome, Italy&lt;/auth-address&gt;&lt;titles&gt;&lt;title&gt;Behavioural implications of non-linear effects on urban freight transport policies: The case of retailers and transport providers in Rome&lt;/title&gt;&lt;secondary-title&gt;Case Studies on Transport Policy&lt;/secondary-title&gt;&lt;alt-title&gt;Case Stud. Transp. Policy&lt;/alt-title&gt;&lt;/titles&gt;&lt;periodical&gt;&lt;full-title&gt;Case Studies on Transport Policy&lt;/full-title&gt;&lt;abbr-1&gt;Case Stud. Transp. Policy&lt;/abbr-1&gt;&lt;/periodical&gt;&lt;alt-periodical&gt;&lt;full-title&gt;Case Studies on Transport Policy&lt;/full-title&gt;&lt;abbr-1&gt;Case Stud. Transp. Policy&lt;/abbr-1&gt;&lt;/alt-periodical&gt;&lt;pages&gt;22-28&lt;/pages&gt;&lt;volume&gt;4&lt;/volume&gt;&lt;number&gt;1&lt;/number&gt;&lt;keywords&gt;&lt;keyword&gt;Behaviour&lt;/keyword&gt;&lt;keyword&gt;Non-linear effects&lt;/keyword&gt;&lt;keyword&gt;Urban freight transport policy&lt;/keyword&gt;&lt;/keywords&gt;&lt;dates&gt;&lt;year&gt;2016&lt;/year&gt;&lt;/dates&gt;&lt;publisher&gt;Elsevier Ltd&lt;/publisher&gt;&lt;isbn&gt;2213624X (ISSN)&lt;/isbn&gt;&lt;work-type&gt;Article&lt;/work-type&gt;&lt;urls&gt;&lt;related-urls&gt;&lt;url&gt;https://www.scopus.com/inward/record.uri?eid=2-s2.0-84960800829&amp;amp;doi=10.1016%2fj.cstp.2015.08.001&amp;amp;partnerID=40&amp;amp;md5=d35882e3a88379fa608c1ff83ba16cb2&lt;/url&gt;&lt;/related-urls&gt;&lt;/urls&gt;&lt;electronic-resource-num&gt;10.1016/j.cstp.2015.08.001&lt;/electronic-resource-num&gt;&lt;remote-database-name&gt;Scopus&lt;/remote-database-name&gt;&lt;language&gt;English&lt;/language&gt;&lt;/record&gt;&lt;/Cite&gt;&lt;/EndNote&gt;</w:instrText>
      </w:r>
      <w:r w:rsidR="004811FC">
        <w:rPr>
          <w:noProof/>
        </w:rPr>
        <w:fldChar w:fldCharType="separate"/>
      </w:r>
      <w:r w:rsidR="004811FC">
        <w:rPr>
          <w:noProof/>
        </w:rPr>
        <w:t>(Gatta and Marcucci, 2016)</w:t>
      </w:r>
      <w:r w:rsidR="004811FC">
        <w:rPr>
          <w:noProof/>
        </w:rPr>
        <w:fldChar w:fldCharType="end"/>
      </w:r>
      <w:r w:rsidRPr="00A96AC5">
        <w:rPr>
          <w:rFonts w:cs="Times New Roman"/>
        </w:rPr>
        <w:t xml:space="preserve">. Good communication between city authorities and logistics companies can help to formulate a rational policy, especially in terms of land use and time windows </w:t>
      </w:r>
      <w:r w:rsidR="004811FC">
        <w:fldChar w:fldCharType="begin"/>
      </w:r>
      <w:r w:rsidR="00647E79">
        <w:instrText xml:space="preserve"> ADDIN EN.CITE &lt;EndNote&gt;&lt;Cite&gt;&lt;Author&gt;Muñuzuri&lt;/Author&gt;&lt;Year&gt;2005&lt;/Year&gt;&lt;RecNum&gt;165&lt;/RecNum&gt;&lt;DisplayText&gt;(Muñuzuri et al., 2005)&lt;/DisplayText&gt;&lt;record&gt;&lt;rec-number&gt;165&lt;/rec-number&gt;&lt;foreign-keys&gt;&lt;key app="EN" db-id="pzt5ep52hsedfpeext2pdfes0w0aswaewef2" timestamp="1605187995"&gt;165&lt;/key&gt;&lt;/foreign-keys&gt;&lt;ref-type name="Journal Article"&gt;17&lt;/ref-type&gt;&lt;contributors&gt;&lt;authors&gt;&lt;author&gt;Muñuzuri, Jesús&lt;/author&gt;&lt;author&gt;Larrañeta, Juan&lt;/author&gt;&lt;author&gt;Onieva, Luis&lt;/author&gt;&lt;author&gt;Cortés, Pablo&lt;/author&gt;&lt;/authors&gt;&lt;/contributors&gt;&lt;titles&gt;&lt;title&gt;Solutions applicable by local administrations for urban logistics improvement&lt;/title&gt;&lt;secondary-title&gt;Cities&lt;/secondary-title&gt;&lt;/titles&gt;&lt;periodical&gt;&lt;full-title&gt;Cities&lt;/full-title&gt;&lt;/periodical&gt;&lt;pages&gt;15-28&lt;/pages&gt;&lt;volume&gt;22&lt;/volume&gt;&lt;number&gt;1&lt;/number&gt;&lt;dates&gt;&lt;year&gt;2005&lt;/year&gt;&lt;/dates&gt;&lt;isbn&gt;0264-2751&lt;/isbn&gt;&lt;urls&gt;&lt;related-urls&gt;&lt;url&gt;http://www.sciencedirect.com/science/article/pii/S0264275104001313&lt;/url&gt;&lt;/related-urls&gt;&lt;/urls&gt;&lt;research-notes&gt;3&lt;/research-notes&gt;&lt;/record&gt;&lt;/Cite&gt;&lt;/EndNote&gt;</w:instrText>
      </w:r>
      <w:r w:rsidR="004811FC">
        <w:fldChar w:fldCharType="separate"/>
      </w:r>
      <w:r w:rsidR="004811FC">
        <w:rPr>
          <w:noProof/>
        </w:rPr>
        <w:t>(Muñuzuri et al., 2005)</w:t>
      </w:r>
      <w:r w:rsidR="004811FC">
        <w:fldChar w:fldCharType="end"/>
      </w:r>
      <w:r w:rsidRPr="00A96AC5">
        <w:rPr>
          <w:rFonts w:cs="Times New Roman"/>
        </w:rPr>
        <w:t xml:space="preserve">. Even unimportant stakeholders should be involved in the policy design procedure to ensure that their needs are recognised in the decision-making system </w:t>
      </w:r>
      <w:r w:rsidR="004811FC">
        <w:rPr>
          <w:noProof/>
        </w:rPr>
        <w:fldChar w:fldCharType="begin"/>
      </w:r>
      <w:r w:rsidR="00647E79">
        <w:rPr>
          <w:noProof/>
        </w:rPr>
        <w:instrText xml:space="preserve"> ADDIN EN.CITE &lt;EndNote&gt;&lt;Cite&gt;&lt;Author&gt;Anderson&lt;/Author&gt;&lt;Year&gt;2005&lt;/Year&gt;&lt;RecNum&gt;9&lt;/RecNum&gt;&lt;DisplayText&gt;(Anderson et al., 2005)&lt;/DisplayText&gt;&lt;record&gt;&lt;rec-number&gt;9&lt;/rec-number&gt;&lt;foreign-keys&gt;&lt;key app="EN" db-id="pzt5ep52hsedfpeext2pdfes0w0aswaewef2" timestamp="1605187992"&gt;9&lt;/key&gt;&lt;/foreign-keys&gt;&lt;ref-type name="Journal Article"&gt;17&lt;/ref-type&gt;&lt;contributors&gt;&lt;authors&gt;&lt;author&gt;Anderson, Stephen&lt;/author&gt;&lt;author&gt;Allen, Julian&lt;/author&gt;&lt;author&gt;Browne, Michael&lt;/author&gt;&lt;/authors&gt;&lt;/contributors&gt;&lt;titles&gt;&lt;title&gt;Urban logistics––how can it meet policy makers’ sustainability objectives?&lt;/title&gt;&lt;secondary-title&gt;Journal of transport geography&lt;/secondary-title&gt;&lt;/titles&gt;&lt;periodical&gt;&lt;full-title&gt;Journal of transport geography&lt;/full-title&gt;&lt;/periodical&gt;&lt;pages&gt;71-81&lt;/pages&gt;&lt;volume&gt;13&lt;/volume&gt;&lt;number&gt;1&lt;/number&gt;&lt;dates&gt;&lt;year&gt;2005&lt;/year&gt;&lt;/dates&gt;&lt;isbn&gt;0966-6923&lt;/isbn&gt;&lt;urls&gt;&lt;/urls&gt;&lt;research-notes&gt;10&lt;/research-notes&gt;&lt;/record&gt;&lt;/Cite&gt;&lt;/EndNote&gt;</w:instrText>
      </w:r>
      <w:r w:rsidR="004811FC">
        <w:rPr>
          <w:noProof/>
        </w:rPr>
        <w:fldChar w:fldCharType="separate"/>
      </w:r>
      <w:r w:rsidR="004811FC">
        <w:rPr>
          <w:noProof/>
        </w:rPr>
        <w:t>(Anderson et al., 2005)</w:t>
      </w:r>
      <w:r w:rsidR="004811FC">
        <w:rPr>
          <w:noProof/>
        </w:rPr>
        <w:fldChar w:fldCharType="end"/>
      </w:r>
      <w:r w:rsidRPr="00A96AC5">
        <w:rPr>
          <w:rFonts w:cs="Times New Roman"/>
        </w:rPr>
        <w:t xml:space="preserve">. However, to date, there has been little involvement of private companies and small retailers in local transport policy-making processes, typically because they have limited understanding of policy design activities </w:t>
      </w:r>
      <w:r w:rsidR="004811FC">
        <w:fldChar w:fldCharType="begin"/>
      </w:r>
      <w:r w:rsidR="00647E79">
        <w:instrText xml:space="preserve"> ADDIN EN.CITE &lt;EndNote&gt;&lt;Cite&gt;&lt;Author&gt;Lindholm&lt;/Author&gt;&lt;Year&gt;2013&lt;/Year&gt;&lt;RecNum&gt;166&lt;/RecNum&gt;&lt;DisplayText&gt;(Lindholm and Browne, 2013)&lt;/DisplayText&gt;&lt;record&gt;&lt;rec-number&gt;166&lt;/rec-number&gt;&lt;foreign-keys&gt;&lt;key app="EN" db-id="pzt5ep52hsedfpeext2pdfes0w0aswaewef2" timestamp="1605187995"&gt;166&lt;/key&gt;&lt;/foreign-keys&gt;&lt;ref-type name="Journal Article"&gt;17&lt;/ref-type&gt;&lt;contributors&gt;&lt;authors&gt;&lt;author&gt;Lindholm, Maria&lt;/author&gt;&lt;author&gt;Browne, Michael&lt;/author&gt;&lt;/authors&gt;&lt;/contributors&gt;&lt;titles&gt;&lt;title&gt;Local authority cooperation with urban freight stakeholders: A comparison of partnership approaches&lt;/title&gt;&lt;secondary-title&gt;European Journal of transport and infrastructure research&lt;/secondary-title&gt;&lt;/titles&gt;&lt;periodical&gt;&lt;full-title&gt;European Journal of Transport and Infrastructure Research&lt;/full-title&gt;&lt;abbr-1&gt;Eur. J. Transp. Infrastruct. Res.&lt;/abbr-1&gt;&lt;/periodical&gt;&lt;pages&gt;20-38&lt;/pages&gt;&lt;volume&gt;13&lt;/volume&gt;&lt;number&gt;1&lt;/number&gt;&lt;dates&gt;&lt;year&gt;2013&lt;/year&gt;&lt;/dates&gt;&lt;isbn&gt;1567-7141&lt;/isbn&gt;&lt;urls&gt;&lt;related-urls&gt;&lt;url&gt;http://www.ejtir.tbm.tudelft.nl/ISSUES/2013_01/pdf/2013_01_01.pdf&lt;/url&gt;&lt;/related-urls&gt;&lt;/urls&gt;&lt;research-notes&gt;40&lt;/research-notes&gt;&lt;/record&gt;&lt;/Cite&gt;&lt;/EndNote&gt;</w:instrText>
      </w:r>
      <w:r w:rsidR="004811FC">
        <w:fldChar w:fldCharType="separate"/>
      </w:r>
      <w:r w:rsidR="004811FC">
        <w:rPr>
          <w:noProof/>
        </w:rPr>
        <w:t>(Lindholm and Browne, 2013)</w:t>
      </w:r>
      <w:r w:rsidR="004811FC">
        <w:fldChar w:fldCharType="end"/>
      </w:r>
      <w:r w:rsidRPr="00A96AC5">
        <w:rPr>
          <w:rFonts w:cs="Times New Roman"/>
        </w:rPr>
        <w:t xml:space="preserve"> and urban freight policy has only an insignificant impact on their business </w:t>
      </w:r>
      <w:r w:rsidR="00E44593">
        <w:rPr>
          <w:noProof/>
        </w:rPr>
        <w:t>(Ballantyne et al., 2013)</w:t>
      </w:r>
      <w:r w:rsidRPr="00A96AC5">
        <w:rPr>
          <w:rFonts w:cs="Times New Roman"/>
        </w:rPr>
        <w:t xml:space="preserve">. The new idea is to involve third-party institutions (for instance, universities and consulting firms) that have no business relationship with other stakeholders in the ULN to design sustainability policies and, consequently, achieve more acceptable results </w:t>
      </w:r>
      <w:r w:rsidR="004811FC">
        <w:rPr>
          <w:noProof/>
        </w:rPr>
        <w:fldChar w:fldCharType="begin"/>
      </w:r>
      <w:r w:rsidR="00647E79">
        <w:rPr>
          <w:noProof/>
        </w:rPr>
        <w:instrText xml:space="preserve"> ADDIN EN.CITE &lt;EndNote&gt;&lt;Cite&gt;&lt;Author&gt;Cui&lt;/Author&gt;&lt;Year&gt;2015&lt;/Year&gt;&lt;RecNum&gt;167&lt;/RecNum&gt;&lt;DisplayText&gt;(Cui et al., 2015)&lt;/DisplayText&gt;&lt;record&gt;&lt;rec-number&gt;167&lt;/rec-number&gt;&lt;foreign-keys&gt;&lt;key app="EN" db-id="pzt5ep52hsedfpeext2pdfes0w0aswaewef2" timestamp="1605187995"&gt;167&lt;/key&gt;&lt;/foreign-keys&gt;&lt;ref-type name="Journal Article"&gt;17&lt;/ref-type&gt;&lt;contributors&gt;&lt;authors&gt;&lt;author&gt;Cui, Jianqiang&lt;/author&gt;&lt;author&gt;Dodson, Jago&lt;/author&gt;&lt;author&gt;Hall, Peter V.&lt;/author&gt;&lt;/authors&gt;&lt;/contributors&gt;&lt;titles&gt;&lt;title&gt;Planning for Urban Freight Transport: An Overview&lt;/title&gt;&lt;secondary-title&gt;Transport Reviews&lt;/secondary-title&gt;&lt;/titles&gt;&lt;periodical&gt;&lt;full-title&gt;Transport Reviews&lt;/full-title&gt;&lt;/periodical&gt;&lt;pages&gt;583-598&lt;/pages&gt;&lt;volume&gt;35&lt;/volume&gt;&lt;number&gt;5&lt;/number&gt;&lt;dates&gt;&lt;year&gt;2015&lt;/year&gt;&lt;pub-dates&gt;&lt;date&gt;2015/09/03&lt;/date&gt;&lt;/pub-dates&gt;&lt;/dates&gt;&lt;publisher&gt;Routledge&lt;/publisher&gt;&lt;isbn&gt;0144-1647&lt;/isbn&gt;&lt;urls&gt;&lt;related-urls&gt;&lt;url&gt;https://doi.org/10.1080/01441647.2015.1038666&lt;/url&gt;&lt;url&gt;https://www.tandfonline.com/doi/pdf/10.1080/01441647.2015.1038666?needAccess=true&lt;/url&gt;&lt;/related-urls&gt;&lt;/urls&gt;&lt;electronic-resource-num&gt;10.1080/01441647.2015.1038666&lt;/electronic-resource-num&gt;&lt;research-notes&gt;113&lt;/research-notes&gt;&lt;/record&gt;&lt;/Cite&gt;&lt;/EndNote&gt;</w:instrText>
      </w:r>
      <w:r w:rsidR="004811FC">
        <w:rPr>
          <w:noProof/>
        </w:rPr>
        <w:fldChar w:fldCharType="separate"/>
      </w:r>
      <w:r w:rsidR="004811FC">
        <w:rPr>
          <w:noProof/>
        </w:rPr>
        <w:t>(Cui et al., 2015)</w:t>
      </w:r>
      <w:r w:rsidR="004811FC">
        <w:rPr>
          <w:noProof/>
        </w:rPr>
        <w:fldChar w:fldCharType="end"/>
      </w:r>
      <w:r w:rsidRPr="00A96AC5">
        <w:rPr>
          <w:rFonts w:cs="Times New Roman"/>
        </w:rPr>
        <w:t xml:space="preserve">. </w:t>
      </w:r>
    </w:p>
    <w:p w14:paraId="042220FA" w14:textId="722F004B" w:rsidR="0071798B" w:rsidRPr="00A96AC5" w:rsidRDefault="0071798B" w:rsidP="00C15D78">
      <w:pPr>
        <w:spacing w:after="240" w:line="360" w:lineRule="auto"/>
        <w:rPr>
          <w:rFonts w:cs="Times New Roman"/>
        </w:rPr>
      </w:pPr>
      <w:r w:rsidRPr="00A96AC5">
        <w:rPr>
          <w:rFonts w:cs="Times New Roman"/>
        </w:rPr>
        <w:t xml:space="preserve">Further research has explored the appropriate methods for evaluating the implemented policies. </w:t>
      </w:r>
      <w:r w:rsidR="002C2C98">
        <w:t>Stathopoulos et al. (2012)</w:t>
      </w:r>
      <w:r w:rsidRPr="00A96AC5">
        <w:rPr>
          <w:rFonts w:cs="Times New Roman"/>
        </w:rPr>
        <w:t xml:space="preserve"> conclude that a survey could adequately identify the concerns and problems of different stakeholders. For example, a consultation of different stakeholders was launched in Paris to elicit views of on-street delivery bays </w:t>
      </w:r>
      <w:r w:rsidR="004811FC">
        <w:rPr>
          <w:noProof/>
        </w:rPr>
        <w:fldChar w:fldCharType="begin"/>
      </w:r>
      <w:r w:rsidR="00647E79">
        <w:rPr>
          <w:noProof/>
        </w:rPr>
        <w:instrText xml:space="preserve"> ADDIN EN.CITE &lt;EndNote&gt;&lt;Cite&gt;&lt;Author&gt;Dablanc&lt;/Author&gt;&lt;Year&gt;2011&lt;/Year&gt;&lt;RecNum&gt;168&lt;/RecNum&gt;&lt;DisplayText&gt;(Dablanc et al., 2011a)&lt;/DisplayText&gt;&lt;record&gt;&lt;rec-number&gt;168&lt;/rec-number&gt;&lt;foreign-keys&gt;&lt;key app="EN" db-id="pzt5ep52hsedfpeext2pdfes0w0aswaewef2" timestamp="1605187995"&gt;168&lt;/key&gt;&lt;/foreign-keys&gt;&lt;ref-type name="Journal Article"&gt;17&lt;/ref-type&gt;&lt;contributors&gt;&lt;authors&gt;&lt;author&gt;Dablanc, Laetitia&lt;/author&gt;&lt;author&gt;Diziain, Diana&lt;/author&gt;&lt;author&gt;Levifve, Hervé&lt;/author&gt;&lt;/authors&gt;&lt;/contributors&gt;&lt;titles&gt;&lt;title&gt;Urban freight consultations in the Paris region&lt;/title&gt;&lt;secondary-title&gt;European transport research review&lt;/secondary-title&gt;&lt;/titles&gt;&lt;periodical&gt;&lt;full-title&gt;European Transport Research Review&lt;/full-title&gt;&lt;abbr-1&gt;Eur. Transp. Res. Rev.&lt;/abbr-1&gt;&lt;/periodical&gt;&lt;pages&gt;47-57&lt;/pages&gt;&lt;volume&gt;3&lt;/volume&gt;&lt;number&gt;1&lt;/number&gt;&lt;dates&gt;&lt;year&gt;2011&lt;/year&gt;&lt;/dates&gt;&lt;isbn&gt;1867-0717&lt;/isbn&gt;&lt;urls&gt;&lt;related-urls&gt;&lt;url&gt;https://link.springer.com/article/10.1007%2Fs12544-011-0049-2?LI=true&lt;/url&gt;&lt;/related-urls&gt;&lt;/urls&gt;&lt;research-notes&gt;61&lt;/research-notes&gt;&lt;/record&gt;&lt;/Cite&gt;&lt;/EndNote&gt;</w:instrText>
      </w:r>
      <w:r w:rsidR="004811FC">
        <w:rPr>
          <w:noProof/>
        </w:rPr>
        <w:fldChar w:fldCharType="separate"/>
      </w:r>
      <w:r w:rsidR="00386AD4">
        <w:rPr>
          <w:noProof/>
        </w:rPr>
        <w:t>(Dablanc et al., 2011a)</w:t>
      </w:r>
      <w:r w:rsidR="004811FC">
        <w:rPr>
          <w:noProof/>
        </w:rPr>
        <w:fldChar w:fldCharType="end"/>
      </w:r>
      <w:r w:rsidRPr="00A96AC5">
        <w:rPr>
          <w:rFonts w:cs="Times New Roman"/>
        </w:rPr>
        <w:t xml:space="preserve">. </w:t>
      </w:r>
      <w:r w:rsidR="004811FC">
        <w:rPr>
          <w:noProof/>
        </w:rPr>
        <w:fldChar w:fldCharType="begin"/>
      </w:r>
      <w:r w:rsidR="00647E79">
        <w:rPr>
          <w:noProof/>
        </w:rPr>
        <w:instrText xml:space="preserve"> ADDIN EN.CITE &lt;EndNote&gt;&lt;Cite AuthorYear="1"&gt;&lt;Author&gt;Petersen&lt;/Author&gt;&lt;Year&gt;2006&lt;/Year&gt;&lt;RecNum&gt;169&lt;/RecNum&gt;&lt;DisplayText&gt;Petersen (2006)&lt;/DisplayText&gt;&lt;record&gt;&lt;rec-number&gt;169&lt;/rec-number&gt;&lt;foreign-keys&gt;&lt;key app="EN" db-id="pzt5ep52hsedfpeext2pdfes0w0aswaewef2" timestamp="1605187995"&gt;169&lt;/key&gt;&lt;/foreign-keys&gt;&lt;ref-type name="Journal Article"&gt;17&lt;/ref-type&gt;&lt;contributors&gt;&lt;authors&gt;&lt;author&gt;Petersen, T.&lt;/author&gt;&lt;/authors&gt;&lt;/contributors&gt;&lt;titles&gt;&lt;title&gt;Development of a city logistics concept&lt;/title&gt;&lt;secondary-title&gt;Production Planning &amp;amp; Control&lt;/secondary-title&gt;&lt;/titles&gt;&lt;periodical&gt;&lt;full-title&gt;Production Planning &amp;amp; Control&lt;/full-title&gt;&lt;/periodical&gt;&lt;pages&gt;616-623&lt;/pages&gt;&lt;volume&gt;17&lt;/volume&gt;&lt;number&gt;6&lt;/number&gt;&lt;dates&gt;&lt;year&gt;2006&lt;/year&gt;&lt;pub-dates&gt;&lt;date&gt;2006/09/01&lt;/date&gt;&lt;/pub-dates&gt;&lt;/dates&gt;&lt;publisher&gt;Taylor &amp;amp; Francis&lt;/publisher&gt;&lt;isbn&gt;0953-7287&lt;/isbn&gt;&lt;urls&gt;&lt;related-urls&gt;&lt;url&gt;https://doi.org/10.1080/09537280600866843&lt;/url&gt;&lt;/related-urls&gt;&lt;/urls&gt;&lt;electronic-resource-num&gt;10.1080/09537280600866843&lt;/electronic-resource-num&gt;&lt;/record&gt;&lt;/Cite&gt;&lt;/EndNote&gt;</w:instrText>
      </w:r>
      <w:r w:rsidR="004811FC">
        <w:rPr>
          <w:noProof/>
        </w:rPr>
        <w:fldChar w:fldCharType="separate"/>
      </w:r>
      <w:r w:rsidR="0061024A">
        <w:rPr>
          <w:noProof/>
        </w:rPr>
        <w:t>Petersen (2006)</w:t>
      </w:r>
      <w:r w:rsidR="004811FC">
        <w:rPr>
          <w:noProof/>
        </w:rPr>
        <w:fldChar w:fldCharType="end"/>
      </w:r>
      <w:r w:rsidRPr="00A96AC5">
        <w:rPr>
          <w:rFonts w:cs="Times New Roman"/>
          <w:noProof/>
        </w:rPr>
        <w:t xml:space="preserve"> provides another example</w:t>
      </w:r>
      <w:r w:rsidRPr="00A96AC5">
        <w:rPr>
          <w:rFonts w:cs="Times New Roman"/>
        </w:rPr>
        <w:t xml:space="preserve">, with a workshop held to bring different stakeholders into the design of new regulation for city logistics. Questionnaire distribution also helps policymakers </w:t>
      </w:r>
      <w:r w:rsidRPr="00A96AC5">
        <w:rPr>
          <w:rFonts w:cs="Times New Roman"/>
        </w:rPr>
        <w:lastRenderedPageBreak/>
        <w:t xml:space="preserve">to gather feedback from residents; and administrators can amend policies in response to public opinion, illuminated through polling </w:t>
      </w:r>
      <w:r w:rsidR="004811FC">
        <w:rPr>
          <w:noProof/>
        </w:rPr>
        <w:fldChar w:fldCharType="begin"/>
      </w:r>
      <w:r w:rsidR="00647E79">
        <w:rPr>
          <w:noProof/>
        </w:rPr>
        <w:instrText xml:space="preserve"> ADDIN EN.CITE &lt;EndNote&gt;&lt;Cite&gt;&lt;Author&gt;Gatta&lt;/Author&gt;&lt;Year&gt;2014&lt;/Year&gt;&lt;RecNum&gt;170&lt;/RecNum&gt;&lt;DisplayText&gt;(Gatta and Marcucci, 2014)&lt;/DisplayText&gt;&lt;record&gt;&lt;rec-number&gt;170&lt;/rec-number&gt;&lt;foreign-keys&gt;&lt;key app="EN" db-id="pzt5ep52hsedfpeext2pdfes0w0aswaewef2" timestamp="1605187995"&gt;170&lt;/key&gt;&lt;/foreign-keys&gt;&lt;ref-type name="Journal Article"&gt;17&lt;/ref-type&gt;&lt;contributors&gt;&lt;authors&gt;&lt;author&gt;Gatta, Valerio&lt;/author&gt;&lt;author&gt;Marcucci, Edoardo&lt;/author&gt;&lt;/authors&gt;&lt;/contributors&gt;&lt;titles&gt;&lt;title&gt;Urban freight transport and policy changes: Improving decision makers&amp;apos; awareness via an agent-specific approach&lt;/title&gt;&lt;secondary-title&gt;Transport Policy&lt;/secondary-title&gt;&lt;/titles&gt;&lt;periodical&gt;&lt;full-title&gt;Transport Policy&lt;/full-title&gt;&lt;abbr-1&gt;Transp. Policy&lt;/abbr-1&gt;&lt;/periodical&gt;&lt;pages&gt;248-252&lt;/pages&gt;&lt;volume&gt;36&lt;/volume&gt;&lt;keywords&gt;&lt;keyword&gt;Urban freight policy&lt;/keyword&gt;&lt;keyword&gt;Agent-specific approach&lt;/keyword&gt;&lt;keyword&gt;Stated preferences&lt;/keyword&gt;&lt;keyword&gt;Willingness to pay&lt;/keyword&gt;&lt;/keywords&gt;&lt;dates&gt;&lt;year&gt;2014&lt;/year&gt;&lt;pub-dates&gt;&lt;date&gt;2014/11/01/&lt;/date&gt;&lt;/pub-dates&gt;&lt;/dates&gt;&lt;isbn&gt;0967-070X&lt;/isbn&gt;&lt;urls&gt;&lt;related-urls&gt;&lt;url&gt;http://www.sciencedirect.com/science/article/pii/S0967070X14001966&lt;/url&gt;&lt;/related-urls&gt;&lt;/urls&gt;&lt;electronic-resource-num&gt;https://doi.org/10.1016/j.tranpol.2014.09.007&lt;/electronic-resource-num&gt;&lt;/record&gt;&lt;/Cite&gt;&lt;/EndNote&gt;</w:instrText>
      </w:r>
      <w:r w:rsidR="004811FC">
        <w:rPr>
          <w:noProof/>
        </w:rPr>
        <w:fldChar w:fldCharType="separate"/>
      </w:r>
      <w:r w:rsidR="004811FC">
        <w:rPr>
          <w:noProof/>
        </w:rPr>
        <w:t>(Gatta and Marcucci, 2014)</w:t>
      </w:r>
      <w:r w:rsidR="004811FC">
        <w:rPr>
          <w:noProof/>
        </w:rPr>
        <w:fldChar w:fldCharType="end"/>
      </w:r>
      <w:r w:rsidRPr="00A96AC5">
        <w:rPr>
          <w:rFonts w:cs="Times New Roman"/>
        </w:rPr>
        <w:t xml:space="preserve">. For a comprehensive understanding of the effect of a particular policy, polls should be carried out multiple times, presenting the design and implementation process of the policy. Statistical tools can also act as supplementary methods to predict changes in residents’ opinions on various policies </w:t>
      </w:r>
      <w:r w:rsidR="004811FC">
        <w:fldChar w:fldCharType="begin">
          <w:fldData xml:space="preserve">PEVuZE5vdGU+PENpdGU+PEF1dGhvcj5MaW5kaG9sbTwvQXV0aG9yPjxZZWFyPjIwMTQ8L1llYXI+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=
</w:fldData>
        </w:fldChar>
      </w:r>
      <w:r w:rsidR="00647E79">
        <w:instrText xml:space="preserve"> ADDIN EN.CITE </w:instrText>
      </w:r>
      <w:r w:rsidR="00647E79">
        <w:fldChar w:fldCharType="begin">
          <w:fldData xml:space="preserve">PEVuZE5vdGU+PENpdGU+PEF1dGhvcj5MaW5kaG9sbTwvQXV0aG9yPjxZZWFyPjIwMTQ8L1llYXI+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=
</w:fldData>
        </w:fldChar>
      </w:r>
      <w:r w:rsidR="00647E79">
        <w:instrText xml:space="preserve"> ADDIN EN.CITE.DATA </w:instrText>
      </w:r>
      <w:r w:rsidR="00647E79">
        <w:fldChar w:fldCharType="end"/>
      </w:r>
      <w:r w:rsidR="004811FC">
        <w:fldChar w:fldCharType="separate"/>
      </w:r>
      <w:r w:rsidR="004811FC">
        <w:rPr>
          <w:noProof/>
        </w:rPr>
        <w:t>(Lindholm and Blinge, 2014)</w:t>
      </w:r>
      <w:r w:rsidR="004811FC">
        <w:fldChar w:fldCharType="end"/>
      </w:r>
      <w:r w:rsidRPr="00A96AC5">
        <w:rPr>
          <w:rFonts w:cs="Times New Roman"/>
        </w:rPr>
        <w:t xml:space="preserve">. During the consultation process, the MCDM is an effective tool for eliciting the priorities of the stakeholder groups, based on quantitative ranking. Thereby enhancing the stakeholders engagement in consultation process </w:t>
      </w:r>
      <w:r w:rsidR="004811FC">
        <w:rPr>
          <w:noProof/>
        </w:rPr>
        <w:fldChar w:fldCharType="begin"/>
      </w:r>
      <w:r w:rsidR="00647E79">
        <w:rPr>
          <w:noProof/>
        </w:rPr>
        <w:instrText xml:space="preserve"> ADDIN EN.CITE &lt;EndNote&gt;&lt;Cite&gt;&lt;Author&gt;Lebeau&lt;/Author&gt;&lt;Year&gt;2018&lt;/Year&gt;&lt;RecNum&gt;171&lt;/RecNum&gt;&lt;DisplayText&gt;(Lebeau et al., 2018)&lt;/DisplayText&gt;&lt;record&gt;&lt;rec-number&gt;171&lt;/rec-number&gt;&lt;foreign-keys&gt;&lt;key app="EN" db-id="pzt5ep52hsedfpeext2pdfes0w0aswaewef2" timestamp="1605187995"&gt;171&lt;/key&gt;&lt;/foreign-keys&gt;&lt;ref-type name="Journal Article"&gt;17&lt;/ref-type&gt;&lt;contributors&gt;&lt;authors&gt;&lt;author&gt;Lebeau, P.&lt;/author&gt;&lt;author&gt;Macharis, C.&lt;/author&gt;&lt;author&gt;Van Mierlo, J.&lt;/author&gt;&lt;author&gt;Janjevic, M.&lt;/author&gt;&lt;/authors&gt;&lt;/contributors&gt;&lt;auth-address&gt;Vrije Universiteit Brussel, Belgium&amp;#xD;Univeristé Libre de Bruxelles, Belgium&lt;/auth-address&gt;&lt;titles&gt;&lt;title&gt;Improving policy support in city logistics: The contributions of a multi-actor multi-criteria analysis&lt;/title&gt;&lt;secondary-title&gt;Case Studies on Transport Policy&lt;/secondary-title&gt;&lt;alt-title&gt;Case Stud. Transp. Policy&lt;/alt-title&gt;&lt;/titles&gt;&lt;periodical&gt;&lt;full-title&gt;Case Studies on Transport Policy&lt;/full-title&gt;&lt;abbr-1&gt;Case Stud. Transp. Policy&lt;/abbr-1&gt;&lt;/periodical&gt;&lt;alt-periodical&gt;&lt;full-title&gt;Case Studies on Transport Policy&lt;/full-title&gt;&lt;abbr-1&gt;Case Stud. Transp. Policy&lt;/abbr-1&gt;&lt;/alt-periodical&gt;&lt;pages&gt;554-563&lt;/pages&gt;&lt;volume&gt;6&lt;/volume&gt;&lt;number&gt;4&lt;/number&gt;&lt;keywords&gt;&lt;keyword&gt;Battery electric vehicles&lt;/keyword&gt;&lt;keyword&gt;City logistics&lt;/keyword&gt;&lt;keyword&gt;Multi-actor multi-criteria analysis&lt;/keyword&gt;&lt;keyword&gt;Stakeholder analysis&lt;/keyword&gt;&lt;keyword&gt;Urban consolidation centres&lt;/keyword&gt;&lt;/keywords&gt;&lt;dates&gt;&lt;year&gt;2018&lt;/year&gt;&lt;/dates&gt;&lt;publisher&gt;Elsevier Ltd&lt;/publisher&gt;&lt;isbn&gt;2213624X (ISSN)&lt;/isbn&gt;&lt;work-type&gt;Article&lt;/work-type&gt;&lt;urls&gt;&lt;related-urls&gt;&lt;url&gt;https://www.scopus.com/inward/record.uri?eid=2-s2.0-85054091881&amp;amp;doi=10.1016%2fj.cstp.2018.07.003&amp;amp;partnerID=40&amp;amp;md5=ac009d605a0ec41693363aeb76f6b0be&lt;/url&gt;&lt;/related-urls&gt;&lt;/urls&gt;&lt;electronic-resource-num&gt;10.1016/j.cstp.2018.07.003&lt;/electronic-resource-num&gt;&lt;remote-database-name&gt;Scopus&lt;/remote-database-name&gt;&lt;language&gt;English&lt;/language&gt;&lt;/record&gt;&lt;/Cite&gt;&lt;/EndNote&gt;</w:instrText>
      </w:r>
      <w:r w:rsidR="004811FC">
        <w:rPr>
          <w:noProof/>
        </w:rPr>
        <w:fldChar w:fldCharType="separate"/>
      </w:r>
      <w:r w:rsidR="004811FC">
        <w:rPr>
          <w:noProof/>
        </w:rPr>
        <w:t>(Lebeau et al., 2018)</w:t>
      </w:r>
      <w:r w:rsidR="004811FC">
        <w:rPr>
          <w:noProof/>
        </w:rPr>
        <w:fldChar w:fldCharType="end"/>
      </w:r>
      <w:r w:rsidRPr="00A96AC5">
        <w:rPr>
          <w:rFonts w:cs="Times New Roman"/>
        </w:rPr>
        <w:t>.</w:t>
      </w:r>
    </w:p>
    <w:p w14:paraId="2C57BCBC" w14:textId="77777777" w:rsidR="0071798B" w:rsidRPr="00A96AC5" w:rsidRDefault="0071798B" w:rsidP="000A4E8C">
      <w:pPr>
        <w:pStyle w:val="Heading3"/>
        <w:spacing w:before="40" w:line="360" w:lineRule="auto"/>
        <w:jc w:val="left"/>
        <w:rPr>
          <w:rFonts w:cs="Times New Roman"/>
        </w:rPr>
      </w:pPr>
      <w:bookmarkStart w:id="259" w:name="_Toc34734494"/>
      <w:bookmarkStart w:id="260" w:name="_Toc46053412"/>
      <w:bookmarkStart w:id="261" w:name="_Toc46093326"/>
      <w:bookmarkStart w:id="262" w:name="_Toc46093609"/>
      <w:bookmarkStart w:id="263" w:name="_Toc66703184"/>
      <w:r w:rsidRPr="00A96AC5">
        <w:rPr>
          <w:rFonts w:cs="Times New Roman"/>
        </w:rPr>
        <w:t>Technology upgrades</w:t>
      </w:r>
      <w:bookmarkEnd w:id="259"/>
      <w:bookmarkEnd w:id="260"/>
      <w:bookmarkEnd w:id="261"/>
      <w:bookmarkEnd w:id="262"/>
      <w:bookmarkEnd w:id="263"/>
      <w:r w:rsidRPr="00A96AC5">
        <w:rPr>
          <w:rFonts w:cs="Times New Roman"/>
        </w:rPr>
        <w:t xml:space="preserve"> </w:t>
      </w:r>
    </w:p>
    <w:p w14:paraId="6A07A055" w14:textId="739075FD" w:rsidR="0071798B" w:rsidRPr="00A96AC5" w:rsidRDefault="0071798B" w:rsidP="00C15D78">
      <w:pPr>
        <w:spacing w:after="240" w:line="360" w:lineRule="auto"/>
        <w:rPr>
          <w:rFonts w:cs="Times New Roman"/>
          <w:szCs w:val="24"/>
        </w:rPr>
      </w:pPr>
      <w:r w:rsidRPr="00A96AC5">
        <w:rPr>
          <w:rFonts w:cs="Times New Roman"/>
          <w:szCs w:val="24"/>
        </w:rPr>
        <w:t>These papers evaluate the performance of the new technology and the benefits of introducing this into UL contexts. These papers fall into two sub-categories: (</w:t>
      </w:r>
      <w:proofErr w:type="spellStart"/>
      <w:r w:rsidRPr="00A96AC5">
        <w:rPr>
          <w:rFonts w:cs="Times New Roman"/>
          <w:szCs w:val="24"/>
        </w:rPr>
        <w:t>i</w:t>
      </w:r>
      <w:proofErr w:type="spellEnd"/>
      <w:r w:rsidRPr="00A96AC5">
        <w:rPr>
          <w:rFonts w:cs="Times New Roman"/>
          <w:szCs w:val="24"/>
        </w:rPr>
        <w:t>)</w:t>
      </w:r>
      <w:r w:rsidRPr="00A96AC5">
        <w:rPr>
          <w:rFonts w:cs="Times New Roman"/>
        </w:rPr>
        <w:t xml:space="preserve"> information technology (</w:t>
      </w:r>
      <w:r w:rsidRPr="00A96AC5">
        <w:rPr>
          <w:rFonts w:cs="Times New Roman"/>
          <w:szCs w:val="24"/>
        </w:rPr>
        <w:t xml:space="preserve">IT) and (ii) </w:t>
      </w:r>
      <w:r w:rsidRPr="00A96AC5">
        <w:rPr>
          <w:rFonts w:cs="Times New Roman"/>
        </w:rPr>
        <w:t>intelligent transportation systems</w:t>
      </w:r>
      <w:r w:rsidRPr="00A96AC5">
        <w:rPr>
          <w:rFonts w:cs="Times New Roman"/>
          <w:szCs w:val="24"/>
        </w:rPr>
        <w:t xml:space="preserve"> (ITS). </w:t>
      </w:r>
    </w:p>
    <w:p w14:paraId="419EDA62" w14:textId="77777777" w:rsidR="0071798B" w:rsidRPr="00A96AC5" w:rsidRDefault="0071798B" w:rsidP="000A4E8C">
      <w:pPr>
        <w:pStyle w:val="Heading4"/>
        <w:spacing w:after="0" w:line="360" w:lineRule="auto"/>
        <w:rPr>
          <w:rFonts w:cs="Times New Roman"/>
        </w:rPr>
      </w:pPr>
      <w:r w:rsidRPr="00A96AC5">
        <w:rPr>
          <w:rFonts w:cs="Times New Roman"/>
        </w:rPr>
        <w:t>Information technology (IT)</w:t>
      </w:r>
    </w:p>
    <w:p w14:paraId="7E8CBF4B" w14:textId="1508AB4E" w:rsidR="0071798B" w:rsidRPr="00A96AC5" w:rsidRDefault="0071798B" w:rsidP="00C15D78">
      <w:pPr>
        <w:tabs>
          <w:tab w:val="left" w:pos="3316"/>
        </w:tabs>
        <w:spacing w:after="240" w:line="360" w:lineRule="auto"/>
        <w:rPr>
          <w:rFonts w:cs="Times New Roman"/>
        </w:rPr>
      </w:pPr>
      <w:r w:rsidRPr="00A96AC5">
        <w:rPr>
          <w:rFonts w:cs="Times New Roman"/>
        </w:rPr>
        <w:t>Information technology (IT) can dynamically engage with LSPs by displaying real-time data. It can enhance schedule reliability and delivery flexibility</w:t>
      </w:r>
      <w:r w:rsidR="00625DF7">
        <w:rPr>
          <w:noProof/>
        </w:rPr>
        <w:t xml:space="preserve"> </w:t>
      </w:r>
      <w:r w:rsidR="008D7E17">
        <w:rPr>
          <w:noProof/>
        </w:rPr>
        <w:fldChar w:fldCharType="begin"/>
      </w:r>
      <w:r w:rsidR="008D7E17">
        <w:rPr>
          <w:noProof/>
        </w:rPr>
        <w:instrText xml:space="preserve"> ADDIN EN.CITE &lt;EndNote&gt;&lt;Cite&gt;&lt;Author&gt;Ehmke&lt;/Author&gt;&lt;Year&gt;2010&lt;/Year&gt;&lt;RecNum&gt;371&lt;/RecNum&gt;&lt;DisplayText&gt;(Ehmke and Mattfeld, 2010)&lt;/DisplayText&gt;&lt;record&gt;&lt;rec-number&gt;371&lt;/rec-number&gt;&lt;foreign-keys&gt;&lt;key app="EN" db-id="pzt5ep52hsedfpeext2pdfes0w0aswaewef2" timestamp="1605188653"&gt;371&lt;/key&gt;&lt;/foreign-keys&gt;&lt;ref-type name="Journal Article"&gt;17&lt;/ref-type&gt;&lt;contributors&gt;&lt;authors&gt;&lt;author&gt;Ehmke, Jan Fabian&lt;/author&gt;&lt;author&gt;Mattfeld, Dirk Christian&lt;/author&gt;&lt;/authors&gt;&lt;/contributors&gt;&lt;titles&gt;&lt;title&gt;Data allocation and application for time-dependent vehicle routing in city logistics&lt;/title&gt;&lt;secondary-title&gt;European Transport\Trasporti Europei&lt;/secondary-title&gt;&lt;/titles&gt;&lt;periodical&gt;&lt;full-title&gt;European Transport\Trasporti Europei&lt;/full-title&gt;&lt;/periodical&gt;&lt;pages&gt;24-35&lt;/pages&gt;&lt;number&gt;46&lt;/number&gt;&lt;dates&gt;&lt;year&gt;2010&lt;/year&gt;&lt;/dates&gt;&lt;urls&gt;&lt;/urls&gt;&lt;/record&gt;&lt;/Cite&gt;&lt;/EndNote&gt;</w:instrText>
      </w:r>
      <w:r w:rsidR="008D7E17">
        <w:rPr>
          <w:noProof/>
        </w:rPr>
        <w:fldChar w:fldCharType="separate"/>
      </w:r>
      <w:r w:rsidR="008D7E17">
        <w:rPr>
          <w:noProof/>
        </w:rPr>
        <w:t>(Ehmke and Mattfeld, 2010)</w:t>
      </w:r>
      <w:r w:rsidR="008D7E17">
        <w:rPr>
          <w:noProof/>
        </w:rPr>
        <w:fldChar w:fldCharType="end"/>
      </w:r>
      <w:r w:rsidRPr="00A96AC5">
        <w:rPr>
          <w:rFonts w:cs="Times New Roman"/>
        </w:rPr>
        <w:t xml:space="preserve">. Ehmke and </w:t>
      </w:r>
      <w:proofErr w:type="spellStart"/>
      <w:r w:rsidRPr="00A96AC5">
        <w:rPr>
          <w:rFonts w:cs="Times New Roman"/>
        </w:rPr>
        <w:t>Mattfeld</w:t>
      </w:r>
      <w:proofErr w:type="spellEnd"/>
      <w:r w:rsidRPr="00A96AC5">
        <w:rPr>
          <w:rFonts w:cs="Times New Roman"/>
        </w:rPr>
        <w:t xml:space="preserve"> (2010) used time-dependent planning methods to analyse real traffic data, then sent computed scenarios to drivers using telematics technology, thereby helping the drivers to choose the best routes. </w:t>
      </w:r>
      <w:r w:rsidR="00BD32C1">
        <w:rPr>
          <w:noProof/>
        </w:rPr>
        <w:fldChar w:fldCharType="begin"/>
      </w:r>
      <w:r w:rsidR="00647E79">
        <w:rPr>
          <w:noProof/>
        </w:rPr>
        <w:instrText xml:space="preserve"> ADDIN EN.CITE &lt;EndNote&gt;&lt;Cite AuthorYear="1"&gt;&lt;Author&gt;Arango&lt;/Author&gt;&lt;Year&gt;2012&lt;/Year&gt;&lt;RecNum&gt;173&lt;/RecNum&gt;&lt;DisplayText&gt;Arango et al. (2012)&lt;/DisplayText&gt;&lt;record&gt;&lt;rec-number&gt;173&lt;/rec-number&gt;&lt;foreign-keys&gt;&lt;key app="EN" db-id="pzt5ep52hsedfpeext2pdfes0w0aswaewef2" timestamp="1605187995"&gt;173&lt;/key&gt;&lt;/foreign-keys&gt;&lt;ref-type name="Journal Article"&gt;17&lt;/ref-type&gt;&lt;contributors&gt;&lt;authors&gt;&lt;author&gt;Arango, Serna&lt;/author&gt;&lt;author&gt;Martin Dario&lt;/author&gt;&lt;author&gt;Uran, Serna&lt;/author&gt;&lt;author&gt;Augusto, Conrado&lt;/author&gt;&lt;author&gt;Alvarez Uribe, Karla Cristina&lt;/author&gt;&lt;/authors&gt;&lt;/contributors&gt;&lt;titles&gt;&lt;title&gt;Collaborative autonomous systems in models of urban logistics&lt;/title&gt;&lt;secondary-title&gt;Dyna&lt;/secondary-title&gt;&lt;/titles&gt;&lt;periodical&gt;&lt;full-title&gt;Dyna&lt;/full-title&gt;&lt;/periodical&gt;&lt;pages&gt;171-179&lt;/pages&gt;&lt;volume&gt;79&lt;/volume&gt;&lt;number&gt;172&lt;/number&gt;&lt;dates&gt;&lt;year&gt;2012&lt;/year&gt;&lt;/dates&gt;&lt;isbn&gt;0012-7353&lt;/isbn&gt;&lt;urls&gt;&lt;/urls&gt;&lt;/record&gt;&lt;/Cite&gt;&lt;/EndNote&gt;</w:instrText>
      </w:r>
      <w:r w:rsidR="00BD32C1">
        <w:rPr>
          <w:noProof/>
        </w:rPr>
        <w:fldChar w:fldCharType="separate"/>
      </w:r>
      <w:r w:rsidR="00810351">
        <w:rPr>
          <w:noProof/>
        </w:rPr>
        <w:t>Arango et al. (2012)</w:t>
      </w:r>
      <w:r w:rsidR="00BD32C1">
        <w:rPr>
          <w:noProof/>
        </w:rPr>
        <w:fldChar w:fldCharType="end"/>
      </w:r>
      <w:r w:rsidRPr="00A96AC5">
        <w:rPr>
          <w:rFonts w:cs="Times New Roman"/>
        </w:rPr>
        <w:t xml:space="preserve"> conclude that the implementation of such technology could enhance the profitability of logistics companies and improve communication between different stakeholders, including information exchange between logistical companies and the authorities.</w:t>
      </w:r>
      <w:r w:rsidRPr="00A96AC5">
        <w:rPr>
          <w:rFonts w:cs="Times New Roman"/>
          <w:b/>
          <w:bCs/>
          <w:i/>
          <w:iCs/>
          <w:highlight w:val="yellow"/>
        </w:rPr>
        <w:t xml:space="preserve"> </w:t>
      </w:r>
    </w:p>
    <w:p w14:paraId="7893ADB5" w14:textId="77777777" w:rsidR="0071798B" w:rsidRPr="00A96AC5" w:rsidRDefault="0071798B" w:rsidP="000A4E8C">
      <w:pPr>
        <w:pStyle w:val="Heading4"/>
        <w:spacing w:after="0" w:line="360" w:lineRule="auto"/>
        <w:rPr>
          <w:rFonts w:cs="Times New Roman"/>
        </w:rPr>
      </w:pPr>
      <w:r w:rsidRPr="00A96AC5">
        <w:rPr>
          <w:rFonts w:cs="Times New Roman"/>
        </w:rPr>
        <w:t>Intelligent transportation systems (ITS)</w:t>
      </w:r>
    </w:p>
    <w:p w14:paraId="32AEA4E4" w14:textId="36EB1EF8" w:rsidR="0071798B" w:rsidRPr="006C301D" w:rsidRDefault="0071798B" w:rsidP="00C15D78">
      <w:pPr>
        <w:tabs>
          <w:tab w:val="left" w:pos="3316"/>
        </w:tabs>
        <w:spacing w:after="240" w:line="360" w:lineRule="auto"/>
        <w:rPr>
          <w:rFonts w:cs="Times New Roman"/>
        </w:rPr>
      </w:pPr>
      <w:r w:rsidRPr="00A96AC5">
        <w:rPr>
          <w:rFonts w:cs="Times New Roman"/>
        </w:rPr>
        <w:t xml:space="preserve">The integration of ITS into UL is an emerging research topic. </w:t>
      </w:r>
      <w:r w:rsidR="00BD32C1">
        <w:rPr>
          <w:noProof/>
        </w:rPr>
        <w:fldChar w:fldCharType="begin">
          <w:fldData xml:space="preserve">PEVuZE5vdGU+PENpdGUgQXV0aG9yWWVhcj0iMSI+PEF1dGhvcj5DcmFpbmljPC9BdXRob3I+PFll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</w:fldData>
        </w:fldChar>
      </w:r>
      <w:r w:rsidR="00647E79">
        <w:rPr>
          <w:noProof/>
        </w:rPr>
        <w:instrText xml:space="preserve"> ADDIN EN.CITE </w:instrText>
      </w:r>
      <w:r w:rsidR="00647E79">
        <w:rPr>
          <w:noProof/>
        </w:rPr>
        <w:fldChar w:fldCharType="begin">
          <w:fldData xml:space="preserve">PEVuZE5vdGU+PENpdGUgQXV0aG9yWWVhcj0iMSI+PEF1dGhvcj5DcmFpbmljPC9BdXRob3I+PFll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</w:fldData>
        </w:fldChar>
      </w:r>
      <w:r w:rsidR="00647E79">
        <w:rPr>
          <w:noProof/>
        </w:rPr>
        <w:instrText xml:space="preserve"> ADDIN EN.CITE.DATA </w:instrText>
      </w:r>
      <w:r w:rsidR="00647E79">
        <w:rPr>
          <w:noProof/>
        </w:rPr>
      </w:r>
      <w:r w:rsidR="00647E79">
        <w:rPr>
          <w:noProof/>
        </w:rPr>
        <w:fldChar w:fldCharType="end"/>
      </w:r>
      <w:r w:rsidR="00BD32C1">
        <w:rPr>
          <w:noProof/>
        </w:rPr>
      </w:r>
      <w:r w:rsidR="00BD32C1">
        <w:rPr>
          <w:noProof/>
        </w:rPr>
        <w:fldChar w:fldCharType="separate"/>
      </w:r>
      <w:r w:rsidR="00AD2C38">
        <w:rPr>
          <w:noProof/>
        </w:rPr>
        <w:t>Crainic et al. (2009)</w:t>
      </w:r>
      <w:r w:rsidR="00BD32C1">
        <w:rPr>
          <w:noProof/>
        </w:rPr>
        <w:fldChar w:fldCharType="end"/>
      </w:r>
      <w:r w:rsidRPr="00A96AC5">
        <w:rPr>
          <w:rFonts w:cs="Times New Roman"/>
        </w:rPr>
        <w:t xml:space="preserve"> define ITS as ‘tomorrow’s technology, infrastructure, and service, as well as the planning operation, and control methods to be used for transportation of persons and freight’. </w:t>
      </w:r>
      <w:r w:rsidR="00BD32C1">
        <w:rPr>
          <w:noProof/>
        </w:rPr>
        <w:fldChar w:fldCharType="begin">
          <w:fldData xml:space="preserve">PEVuZE5vdGU+PENpdGUgQXV0aG9yWWVhcj0iMSI+PEF1dGhvcj5UYW5pZ3VjaGk8L0F1dGhvcj48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</w:fldData>
        </w:fldChar>
      </w:r>
      <w:r w:rsidR="00647E79">
        <w:rPr>
          <w:noProof/>
        </w:rPr>
        <w:instrText xml:space="preserve"> ADDIN EN.CITE </w:instrText>
      </w:r>
      <w:r w:rsidR="00647E79">
        <w:rPr>
          <w:noProof/>
        </w:rPr>
        <w:fldChar w:fldCharType="begin">
          <w:fldData xml:space="preserve">PEVuZE5vdGU+PENpdGUgQXV0aG9yWWVhcj0iMSI+PEF1dGhvcj5UYW5pZ3VjaGk8L0F1dGhvcj48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</w:fldData>
        </w:fldChar>
      </w:r>
      <w:r w:rsidR="00647E79">
        <w:rPr>
          <w:noProof/>
        </w:rPr>
        <w:instrText xml:space="preserve"> ADDIN EN.CITE.DATA </w:instrText>
      </w:r>
      <w:r w:rsidR="00647E79">
        <w:rPr>
          <w:noProof/>
        </w:rPr>
      </w:r>
      <w:r w:rsidR="00647E79">
        <w:rPr>
          <w:noProof/>
        </w:rPr>
        <w:fldChar w:fldCharType="end"/>
      </w:r>
      <w:r w:rsidR="00BD32C1">
        <w:rPr>
          <w:noProof/>
        </w:rPr>
      </w:r>
      <w:r w:rsidR="00BD32C1">
        <w:rPr>
          <w:noProof/>
        </w:rPr>
        <w:fldChar w:fldCharType="separate"/>
      </w:r>
      <w:r w:rsidR="00810351">
        <w:rPr>
          <w:noProof/>
        </w:rPr>
        <w:t>Taniguchi and Shimamoto (2004)</w:t>
      </w:r>
      <w:r w:rsidR="00BD32C1">
        <w:rPr>
          <w:noProof/>
        </w:rPr>
        <w:fldChar w:fldCharType="end"/>
      </w:r>
      <w:r w:rsidRPr="00A96AC5">
        <w:rPr>
          <w:rFonts w:cs="Times New Roman"/>
        </w:rPr>
        <w:t xml:space="preserve"> state that the most valuable functions of ITS for urban freight are represented by its ability to dynamically solve forecasting, scheduling, and routing problems. In this way, ITS can improve the performance of logistical systems by reducing travel distance and travel and service times, as well as alleviating the negative impacts on urban environments </w:t>
      </w:r>
      <w:r w:rsidR="00BD32C1">
        <w:rPr>
          <w:noProof/>
        </w:rPr>
        <w:fldChar w:fldCharType="begin"/>
      </w:r>
      <w:r w:rsidR="00647E79">
        <w:rPr>
          <w:noProof/>
        </w:rPr>
        <w:instrText xml:space="preserve"> ADDIN EN.CITE &lt;EndNote&gt;&lt;Cite&gt;&lt;Author&gt;Qureshi&lt;/Author&gt;&lt;Year&gt;2012&lt;/Year&gt;&lt;RecNum&gt;175&lt;/RecNum&gt;&lt;DisplayText&gt;(Qureshi et al., 2012)&lt;/DisplayText&gt;&lt;record&gt;&lt;rec-number&gt;175&lt;/rec-number&gt;&lt;foreign-keys&gt;&lt;key app="EN" db-id="pzt5ep52hsedfpeext2pdfes0w0aswaewef2" timestamp="1605187996"&gt;175&lt;/key&gt;&lt;/foreign-keys&gt;&lt;ref-type name="Journal Article"&gt;17&lt;/ref-type&gt;&lt;contributors&gt;&lt;authors&gt;&lt;author&gt;Qureshi, Ali Gul&lt;/author&gt;&lt;author&gt;Taniguchi, Eiichi&lt;/author&gt;&lt;author&gt;Yamada, Tadashi&lt;/author&gt;&lt;/authors&gt;&lt;/contributors&gt;&lt;titles&gt;&lt;title&gt;An Analysis of Exact VRPTW Solutions on ITS Data-based Logistics Instances&lt;/title&gt;&lt;secondary-title&gt;International Journal of Intelligent Transportation Systems Research&lt;/secondary-title&gt;&lt;/titles&gt;&lt;periodical&gt;&lt;full-title&gt;International Journal of Intelligent Transportation Systems Research&lt;/full-title&gt;&lt;/periodical&gt;&lt;pages&gt;34-46&lt;/pages&gt;&lt;volume&gt;10&lt;/volume&gt;&lt;number&gt;1&lt;/number&gt;&lt;dates&gt;&lt;year&gt;2012&lt;/year&gt;&lt;pub-dates&gt;&lt;date&gt;2012/01/01&lt;/date&gt;&lt;/pub-dates&gt;&lt;/dates&gt;&lt;isbn&gt;1868-8659&lt;/isbn&gt;&lt;urls&gt;&lt;related-urls&gt;&lt;url&gt;https://doi.org/10.1007/s13177-011-0040-2&lt;/url&gt;&lt;/related-urls&gt;&lt;/urls&gt;&lt;electronic-resource-num&gt;10.1007/s13177-011-0040-2&lt;/electronic-resource-num&gt;&lt;/record&gt;&lt;/Cite&gt;&lt;/EndNote&gt;</w:instrText>
      </w:r>
      <w:r w:rsidR="00BD32C1">
        <w:rPr>
          <w:noProof/>
        </w:rPr>
        <w:fldChar w:fldCharType="separate"/>
      </w:r>
      <w:r w:rsidR="00BD32C1">
        <w:rPr>
          <w:noProof/>
        </w:rPr>
        <w:t>(Qureshi et al., 2012)</w:t>
      </w:r>
      <w:r w:rsidR="00BD32C1">
        <w:rPr>
          <w:noProof/>
        </w:rPr>
        <w:fldChar w:fldCharType="end"/>
      </w:r>
      <w:r w:rsidRPr="00A96AC5">
        <w:rPr>
          <w:rFonts w:cs="Times New Roman"/>
        </w:rPr>
        <w:t xml:space="preserve">. Such systems allow governments to cooperate with individual logistical enterprises in ULNs. The real-time data exchange between the carriers and the government not only improves traffic conditions, but also benefits freight mobility. However, connecting UL </w:t>
      </w:r>
      <w:r w:rsidRPr="00A96AC5">
        <w:rPr>
          <w:rFonts w:cs="Times New Roman"/>
        </w:rPr>
        <w:lastRenderedPageBreak/>
        <w:t xml:space="preserve">systems with ITS requires complex technological upgrades </w:t>
      </w:r>
      <w:r w:rsidR="00BD32C1">
        <w:rPr>
          <w:noProof/>
        </w:rPr>
        <w:fldChar w:fldCharType="begin"/>
      </w:r>
      <w:r w:rsidR="00647E79">
        <w:rPr>
          <w:noProof/>
        </w:rPr>
        <w:instrText xml:space="preserve"> ADDIN EN.CITE &lt;EndNote&gt;&lt;Cite&gt;&lt;Author&gt;Cortes&lt;/Author&gt;&lt;Year&gt;2013&lt;/Year&gt;&lt;RecNum&gt;176&lt;/RecNum&gt;&lt;DisplayText&gt;(Cortes et al., 2013)&lt;/DisplayText&gt;&lt;record&gt;&lt;rec-number&gt;176&lt;/rec-number&gt;&lt;foreign-keys&gt;&lt;key app="EN" db-id="pzt5ep52hsedfpeext2pdfes0w0aswaewef2" timestamp="1605187996"&gt;176&lt;/key&gt;&lt;/foreign-keys&gt;&lt;ref-type name="Journal Article"&gt;17&lt;/ref-type&gt;&lt;contributors&gt;&lt;authors&gt;&lt;author&gt;Zapata Cortes&lt;/author&gt;&lt;author&gt;Julian Andres&lt;/author&gt;&lt;author&gt;Arango Serna&lt;/author&gt;&lt;author&gt;Martin Dario&lt;/author&gt;&lt;author&gt;Andres Gomez, Rodrigo&lt;/author&gt;&lt;/authors&gt;&lt;/contributors&gt;&lt;titles&gt;&lt;title&gt;Information systems applied to transport improvement&lt;/title&gt;&lt;secondary-title&gt;Dyna&lt;/secondary-title&gt;&lt;/titles&gt;&lt;periodical&gt;&lt;full-title&gt;Dyna&lt;/full-title&gt;&lt;/periodical&gt;&lt;pages&gt;77-86&lt;/pages&gt;&lt;volume&gt;80&lt;/volume&gt;&lt;number&gt;180&lt;/number&gt;&lt;dates&gt;&lt;year&gt;2013&lt;/year&gt;&lt;/dates&gt;&lt;isbn&gt;0012-7353&lt;/isbn&gt;&lt;urls&gt;&lt;/urls&gt;&lt;/record&gt;&lt;/Cite&gt;&lt;/EndNote&gt;</w:instrText>
      </w:r>
      <w:r w:rsidR="00BD32C1">
        <w:rPr>
          <w:noProof/>
        </w:rPr>
        <w:fldChar w:fldCharType="separate"/>
      </w:r>
      <w:r w:rsidR="00BD32C1">
        <w:rPr>
          <w:noProof/>
        </w:rPr>
        <w:t>(Cortes et al., 2013)</w:t>
      </w:r>
      <w:r w:rsidR="00BD32C1">
        <w:rPr>
          <w:noProof/>
        </w:rPr>
        <w:fldChar w:fldCharType="end"/>
      </w:r>
      <w:r w:rsidRPr="00A96AC5">
        <w:rPr>
          <w:rFonts w:cs="Times New Roman"/>
        </w:rPr>
        <w:t xml:space="preserve">. </w:t>
      </w:r>
      <w:r w:rsidRPr="00A96AC5">
        <w:rPr>
          <w:rFonts w:cs="Times New Roman"/>
          <w:noProof/>
        </w:rPr>
        <w:t>Cortes et al. (2013)</w:t>
      </w:r>
      <w:r w:rsidRPr="00A96AC5">
        <w:rPr>
          <w:rFonts w:cs="Times New Roman"/>
        </w:rPr>
        <w:t xml:space="preserve"> detail six device categories with which both infrastructures and freight vehicles should be endowed (</w:t>
      </w:r>
      <w:r w:rsidRPr="00737239">
        <w:rPr>
          <w:rFonts w:cs="Times New Roman"/>
        </w:rPr>
        <w:fldChar w:fldCharType="begin"/>
      </w:r>
      <w:r w:rsidRPr="00A96AC5">
        <w:rPr>
          <w:rFonts w:cs="Times New Roman"/>
        </w:rPr>
        <w:instrText xml:space="preserve"> REF _Ref30089629 \h </w:instrText>
      </w:r>
      <w:r w:rsidR="008903D1">
        <w:rPr>
          <w:rFonts w:cs="Times New Roman"/>
        </w:rPr>
        <w:instrText xml:space="preserve"> \* MERGEFORMAT </w:instrText>
      </w:r>
      <w:r w:rsidRPr="00737239">
        <w:rPr>
          <w:rFonts w:cs="Times New Roman"/>
        </w:rPr>
      </w:r>
      <w:r w:rsidRPr="00737239">
        <w:rPr>
          <w:rFonts w:cs="Times New Roman"/>
        </w:rPr>
        <w:fldChar w:fldCharType="separate"/>
      </w:r>
      <w:r w:rsidR="0005064B" w:rsidRPr="0005064B">
        <w:rPr>
          <w:rFonts w:cs="Times New Roman"/>
          <w:bCs/>
        </w:rPr>
        <w:t xml:space="preserve">Table </w:t>
      </w:r>
      <w:r w:rsidR="0005064B" w:rsidRPr="0005064B">
        <w:rPr>
          <w:rFonts w:cs="Times New Roman"/>
          <w:bCs/>
          <w:noProof/>
        </w:rPr>
        <w:t>2</w:t>
      </w:r>
      <w:r w:rsidR="0005064B" w:rsidRPr="0005064B">
        <w:rPr>
          <w:rFonts w:cs="Times New Roman"/>
          <w:bCs/>
          <w:noProof/>
        </w:rPr>
        <w:noBreakHyphen/>
        <w:t>7</w:t>
      </w:r>
      <w:r w:rsidRPr="00737239">
        <w:rPr>
          <w:rFonts w:cs="Times New Roman"/>
        </w:rPr>
        <w:fldChar w:fldCharType="end"/>
      </w:r>
      <w:r w:rsidRPr="008903D1">
        <w:rPr>
          <w:rFonts w:cs="Times New Roman"/>
        </w:rPr>
        <w:t xml:space="preserve">), </w:t>
      </w:r>
      <w:r w:rsidRPr="00737239">
        <w:rPr>
          <w:rFonts w:cs="Times New Roman"/>
        </w:rPr>
        <w:t>though they note that these devices could significantly increase costs for logistics companies.</w:t>
      </w:r>
    </w:p>
    <w:tbl>
      <w:tblPr>
        <w:tblStyle w:val="TableGrid1"/>
        <w:tblW w:w="5000" w:type="pct"/>
        <w:tblLook w:val="04A0" w:firstRow="1" w:lastRow="0" w:firstColumn="1" w:lastColumn="0" w:noHBand="0" w:noVBand="1"/>
      </w:tblPr>
      <w:tblGrid>
        <w:gridCol w:w="1634"/>
        <w:gridCol w:w="3323"/>
        <w:gridCol w:w="4059"/>
      </w:tblGrid>
      <w:tr w:rsidR="0071798B" w:rsidRPr="008903D1" w14:paraId="0456B60F" w14:textId="77777777" w:rsidTr="00F7598C">
        <w:trPr>
          <w:trHeight w:val="315"/>
        </w:trPr>
        <w:tc>
          <w:tcPr>
            <w:tcW w:w="906" w:type="pct"/>
            <w:vAlign w:val="center"/>
          </w:tcPr>
          <w:p w14:paraId="70F8899B" w14:textId="77777777" w:rsidR="0071798B" w:rsidRPr="00A96AC5" w:rsidRDefault="0071798B" w:rsidP="00C15D78">
            <w:pPr>
              <w:spacing w:line="240" w:lineRule="auto"/>
              <w:jc w:val="center"/>
              <w:rPr>
                <w:rFonts w:cs="Times New Roman"/>
                <w:b/>
                <w:color w:val="000000"/>
                <w:sz w:val="22"/>
              </w:rPr>
            </w:pPr>
            <w:r w:rsidRPr="00A96AC5">
              <w:rPr>
                <w:rFonts w:cs="Times New Roman"/>
                <w:b/>
                <w:color w:val="000000"/>
                <w:sz w:val="22"/>
              </w:rPr>
              <w:t>Device categories</w:t>
            </w:r>
          </w:p>
        </w:tc>
        <w:tc>
          <w:tcPr>
            <w:tcW w:w="1843" w:type="pct"/>
            <w:vAlign w:val="center"/>
          </w:tcPr>
          <w:p w14:paraId="09C3E3CB" w14:textId="77777777" w:rsidR="0071798B" w:rsidRPr="00A96AC5" w:rsidRDefault="0071798B" w:rsidP="00C15D78">
            <w:pPr>
              <w:spacing w:line="240" w:lineRule="auto"/>
              <w:jc w:val="center"/>
              <w:rPr>
                <w:rFonts w:cs="Times New Roman"/>
                <w:b/>
                <w:color w:val="000000"/>
                <w:sz w:val="22"/>
              </w:rPr>
            </w:pPr>
            <w:r w:rsidRPr="00A96AC5">
              <w:rPr>
                <w:rFonts w:cs="Times New Roman"/>
                <w:b/>
                <w:color w:val="000000"/>
                <w:sz w:val="22"/>
              </w:rPr>
              <w:t>Device in infrastructure</w:t>
            </w:r>
          </w:p>
        </w:tc>
        <w:tc>
          <w:tcPr>
            <w:tcW w:w="2251" w:type="pct"/>
            <w:vAlign w:val="center"/>
          </w:tcPr>
          <w:p w14:paraId="3B068630" w14:textId="77777777" w:rsidR="0071798B" w:rsidRPr="00A96AC5" w:rsidRDefault="0071798B" w:rsidP="00C15D78">
            <w:pPr>
              <w:spacing w:line="240" w:lineRule="auto"/>
              <w:jc w:val="center"/>
              <w:rPr>
                <w:rFonts w:cs="Times New Roman"/>
                <w:b/>
                <w:color w:val="000000"/>
                <w:sz w:val="22"/>
              </w:rPr>
            </w:pPr>
            <w:r w:rsidRPr="00A96AC5">
              <w:rPr>
                <w:rFonts w:cs="Times New Roman"/>
                <w:b/>
                <w:color w:val="000000"/>
                <w:sz w:val="22"/>
              </w:rPr>
              <w:t>Device in vehicle</w:t>
            </w:r>
          </w:p>
        </w:tc>
      </w:tr>
      <w:tr w:rsidR="0071798B" w:rsidRPr="008903D1" w14:paraId="6708F5CB" w14:textId="77777777" w:rsidTr="00F7598C">
        <w:trPr>
          <w:trHeight w:val="486"/>
        </w:trPr>
        <w:tc>
          <w:tcPr>
            <w:tcW w:w="906" w:type="pct"/>
          </w:tcPr>
          <w:p w14:paraId="0D931007" w14:textId="77777777" w:rsidR="0071798B" w:rsidRPr="00737239" w:rsidRDefault="0071798B" w:rsidP="00C15D78">
            <w:pPr>
              <w:spacing w:line="240" w:lineRule="auto"/>
              <w:jc w:val="center"/>
              <w:rPr>
                <w:rFonts w:cs="Times New Roman"/>
                <w:color w:val="000000"/>
                <w:sz w:val="22"/>
              </w:rPr>
            </w:pPr>
            <w:r w:rsidRPr="00737239">
              <w:rPr>
                <w:rFonts w:cs="Times New Roman"/>
                <w:color w:val="000000"/>
                <w:sz w:val="22"/>
              </w:rPr>
              <w:t>Locating</w:t>
            </w:r>
          </w:p>
        </w:tc>
        <w:tc>
          <w:tcPr>
            <w:tcW w:w="1843" w:type="pct"/>
          </w:tcPr>
          <w:p w14:paraId="5DDAA752" w14:textId="77777777" w:rsidR="0071798B" w:rsidRPr="006C301D" w:rsidRDefault="0071798B" w:rsidP="00C15D78">
            <w:pPr>
              <w:spacing w:line="240" w:lineRule="auto"/>
              <w:rPr>
                <w:rFonts w:cs="Times New Roman"/>
                <w:color w:val="000000"/>
                <w:sz w:val="22"/>
              </w:rPr>
            </w:pPr>
            <w:r w:rsidRPr="00802DC5">
              <w:rPr>
                <w:rFonts w:cs="Times New Roman"/>
                <w:color w:val="000000"/>
                <w:sz w:val="22"/>
              </w:rPr>
              <w:t>Digital maps, geographic information systems (GIS), transport network databases</w:t>
            </w:r>
          </w:p>
        </w:tc>
        <w:tc>
          <w:tcPr>
            <w:tcW w:w="2251" w:type="pct"/>
          </w:tcPr>
          <w:p w14:paraId="2851D945" w14:textId="77777777" w:rsidR="0071798B" w:rsidRPr="00A96AC5" w:rsidRDefault="0071798B" w:rsidP="00C15D78">
            <w:pPr>
              <w:spacing w:line="240" w:lineRule="auto"/>
              <w:rPr>
                <w:rFonts w:cs="Times New Roman"/>
                <w:color w:val="000000"/>
                <w:sz w:val="22"/>
              </w:rPr>
            </w:pPr>
            <w:r w:rsidRPr="00A96AC5">
              <w:rPr>
                <w:rFonts w:cs="Times New Roman"/>
                <w:color w:val="000000"/>
                <w:sz w:val="22"/>
              </w:rPr>
              <w:t>Cell phone location, global navigation satellite system, auto-vehicle location</w:t>
            </w:r>
          </w:p>
        </w:tc>
      </w:tr>
      <w:tr w:rsidR="0071798B" w:rsidRPr="008903D1" w14:paraId="3FFD98C5" w14:textId="77777777" w:rsidTr="00F7598C">
        <w:trPr>
          <w:trHeight w:val="615"/>
        </w:trPr>
        <w:tc>
          <w:tcPr>
            <w:tcW w:w="906" w:type="pct"/>
          </w:tcPr>
          <w:p w14:paraId="5DCA62C2" w14:textId="77777777" w:rsidR="0071798B" w:rsidRPr="00802DC5" w:rsidRDefault="0071798B" w:rsidP="00C15D78">
            <w:pPr>
              <w:spacing w:line="240" w:lineRule="auto"/>
              <w:jc w:val="center"/>
              <w:rPr>
                <w:rFonts w:cs="Times New Roman"/>
                <w:color w:val="000000"/>
                <w:sz w:val="22"/>
              </w:rPr>
            </w:pPr>
            <w:r w:rsidRPr="00737239">
              <w:rPr>
                <w:rFonts w:cs="Times New Roman"/>
                <w:color w:val="000000"/>
                <w:sz w:val="22"/>
              </w:rPr>
              <w:t>Information acquisition</w:t>
            </w:r>
          </w:p>
        </w:tc>
        <w:tc>
          <w:tcPr>
            <w:tcW w:w="1843" w:type="pct"/>
          </w:tcPr>
          <w:p w14:paraId="383B898A" w14:textId="77777777" w:rsidR="0071798B" w:rsidRPr="00A96AC5" w:rsidRDefault="0071798B" w:rsidP="00C15D78">
            <w:pPr>
              <w:spacing w:line="240" w:lineRule="auto"/>
              <w:rPr>
                <w:rFonts w:cs="Times New Roman"/>
                <w:color w:val="000000"/>
                <w:sz w:val="22"/>
              </w:rPr>
            </w:pPr>
            <w:r w:rsidRPr="006C301D">
              <w:rPr>
                <w:rFonts w:cs="Times New Roman"/>
                <w:color w:val="000000"/>
                <w:sz w:val="22"/>
              </w:rPr>
              <w:t>Traffic detector, time monitors, automatic incident detection</w:t>
            </w:r>
          </w:p>
        </w:tc>
        <w:tc>
          <w:tcPr>
            <w:tcW w:w="2251" w:type="pct"/>
          </w:tcPr>
          <w:p w14:paraId="5F183D89" w14:textId="77777777" w:rsidR="0071798B" w:rsidRPr="00A96AC5" w:rsidRDefault="0071798B" w:rsidP="00C15D78">
            <w:pPr>
              <w:spacing w:line="240" w:lineRule="auto"/>
              <w:rPr>
                <w:rFonts w:cs="Times New Roman"/>
                <w:color w:val="000000"/>
                <w:sz w:val="22"/>
              </w:rPr>
            </w:pPr>
            <w:r w:rsidRPr="00A96AC5">
              <w:rPr>
                <w:rFonts w:cs="Times New Roman"/>
                <w:color w:val="000000"/>
                <w:sz w:val="22"/>
              </w:rPr>
              <w:t>Automatic vehicle identification, vehicle checking and exploration</w:t>
            </w:r>
          </w:p>
        </w:tc>
      </w:tr>
      <w:tr w:rsidR="0071798B" w:rsidRPr="008903D1" w14:paraId="075BFC8B" w14:textId="77777777" w:rsidTr="00F7598C">
        <w:trPr>
          <w:trHeight w:val="615"/>
        </w:trPr>
        <w:tc>
          <w:tcPr>
            <w:tcW w:w="906" w:type="pct"/>
          </w:tcPr>
          <w:p w14:paraId="7EDA9BE6" w14:textId="77777777" w:rsidR="0071798B" w:rsidRPr="00802DC5" w:rsidRDefault="0071798B" w:rsidP="00C15D78">
            <w:pPr>
              <w:spacing w:line="240" w:lineRule="auto"/>
              <w:jc w:val="center"/>
              <w:rPr>
                <w:rFonts w:cs="Times New Roman"/>
                <w:color w:val="000000"/>
                <w:sz w:val="22"/>
              </w:rPr>
            </w:pPr>
            <w:r w:rsidRPr="00737239">
              <w:rPr>
                <w:rFonts w:cs="Times New Roman"/>
                <w:color w:val="000000"/>
                <w:sz w:val="22"/>
              </w:rPr>
              <w:t>Information processing</w:t>
            </w:r>
          </w:p>
        </w:tc>
        <w:tc>
          <w:tcPr>
            <w:tcW w:w="1843" w:type="pct"/>
          </w:tcPr>
          <w:p w14:paraId="239BBAB2" w14:textId="77777777" w:rsidR="0071798B" w:rsidRPr="00A96AC5" w:rsidRDefault="0071798B" w:rsidP="00C15D78">
            <w:pPr>
              <w:spacing w:line="240" w:lineRule="auto"/>
              <w:rPr>
                <w:rFonts w:cs="Times New Roman"/>
                <w:color w:val="000000"/>
                <w:sz w:val="22"/>
              </w:rPr>
            </w:pPr>
            <w:proofErr w:type="gramStart"/>
            <w:r w:rsidRPr="006C301D">
              <w:rPr>
                <w:rFonts w:cs="Times New Roman"/>
                <w:color w:val="000000"/>
                <w:sz w:val="22"/>
              </w:rPr>
              <w:t>Data  dictionaries</w:t>
            </w:r>
            <w:proofErr w:type="gramEnd"/>
            <w:r w:rsidRPr="006C301D">
              <w:rPr>
                <w:rFonts w:cs="Times New Roman"/>
                <w:color w:val="000000"/>
                <w:sz w:val="22"/>
              </w:rPr>
              <w:t>, data fusion, data exchange</w:t>
            </w:r>
          </w:p>
        </w:tc>
        <w:tc>
          <w:tcPr>
            <w:tcW w:w="2251" w:type="pct"/>
          </w:tcPr>
          <w:p w14:paraId="2856071F" w14:textId="77777777" w:rsidR="0071798B" w:rsidRPr="00A96AC5" w:rsidRDefault="0071798B" w:rsidP="00C15D78">
            <w:pPr>
              <w:spacing w:line="240" w:lineRule="auto"/>
              <w:rPr>
                <w:rFonts w:cs="Times New Roman"/>
                <w:color w:val="000000"/>
                <w:sz w:val="22"/>
              </w:rPr>
            </w:pPr>
            <w:r w:rsidRPr="00A96AC5">
              <w:rPr>
                <w:rFonts w:cs="Times New Roman"/>
                <w:color w:val="000000"/>
                <w:sz w:val="22"/>
              </w:rPr>
              <w:t>On-board computers, digital maps machine</w:t>
            </w:r>
          </w:p>
        </w:tc>
      </w:tr>
      <w:tr w:rsidR="0071798B" w:rsidRPr="008903D1" w14:paraId="3B10BE23" w14:textId="77777777" w:rsidTr="00F7598C">
        <w:trPr>
          <w:trHeight w:val="730"/>
        </w:trPr>
        <w:tc>
          <w:tcPr>
            <w:tcW w:w="906" w:type="pct"/>
          </w:tcPr>
          <w:p w14:paraId="6EF41086" w14:textId="77777777" w:rsidR="0071798B" w:rsidRPr="00737239" w:rsidRDefault="0071798B" w:rsidP="00C15D78">
            <w:pPr>
              <w:spacing w:line="240" w:lineRule="auto"/>
              <w:jc w:val="center"/>
              <w:rPr>
                <w:rFonts w:cs="Times New Roman"/>
                <w:color w:val="000000"/>
                <w:sz w:val="22"/>
              </w:rPr>
            </w:pPr>
            <w:r w:rsidRPr="00737239">
              <w:rPr>
                <w:rFonts w:cs="Times New Roman"/>
                <w:color w:val="000000"/>
                <w:sz w:val="22"/>
              </w:rPr>
              <w:t>Communication</w:t>
            </w:r>
          </w:p>
        </w:tc>
        <w:tc>
          <w:tcPr>
            <w:tcW w:w="1843" w:type="pct"/>
          </w:tcPr>
          <w:p w14:paraId="242ACF14" w14:textId="77777777" w:rsidR="0071798B" w:rsidRPr="006C301D" w:rsidRDefault="0071798B" w:rsidP="00C15D78">
            <w:pPr>
              <w:spacing w:line="240" w:lineRule="auto"/>
              <w:rPr>
                <w:rFonts w:cs="Times New Roman"/>
                <w:color w:val="000000"/>
                <w:sz w:val="22"/>
              </w:rPr>
            </w:pPr>
            <w:r w:rsidRPr="00802DC5">
              <w:rPr>
                <w:rFonts w:cs="Times New Roman"/>
                <w:color w:val="000000"/>
                <w:sz w:val="22"/>
              </w:rPr>
              <w:t xml:space="preserve">Fixed microwave links, optical </w:t>
            </w:r>
            <w:proofErr w:type="spellStart"/>
            <w:r w:rsidRPr="00802DC5">
              <w:rPr>
                <w:rFonts w:cs="Times New Roman"/>
                <w:color w:val="000000"/>
                <w:sz w:val="22"/>
              </w:rPr>
              <w:t>fiber</w:t>
            </w:r>
            <w:proofErr w:type="spellEnd"/>
            <w:r w:rsidRPr="00802DC5">
              <w:rPr>
                <w:rFonts w:cs="Times New Roman"/>
                <w:color w:val="000000"/>
                <w:sz w:val="22"/>
              </w:rPr>
              <w:t xml:space="preserve"> networks, beacons (DSRC), mobile network</w:t>
            </w:r>
          </w:p>
        </w:tc>
        <w:tc>
          <w:tcPr>
            <w:tcW w:w="2251" w:type="pct"/>
          </w:tcPr>
          <w:p w14:paraId="19570969" w14:textId="77777777" w:rsidR="0071798B" w:rsidRPr="00A96AC5" w:rsidRDefault="0071798B" w:rsidP="00C15D78">
            <w:pPr>
              <w:spacing w:line="240" w:lineRule="auto"/>
              <w:rPr>
                <w:rFonts w:cs="Times New Roman"/>
                <w:color w:val="000000"/>
                <w:sz w:val="22"/>
              </w:rPr>
            </w:pPr>
            <w:r w:rsidRPr="00A96AC5">
              <w:rPr>
                <w:rFonts w:cs="Times New Roman"/>
                <w:color w:val="000000"/>
                <w:sz w:val="22"/>
              </w:rPr>
              <w:t>Digital radio tuners receivers, mobile receivers, highway radio ads, signal converters</w:t>
            </w:r>
          </w:p>
        </w:tc>
      </w:tr>
      <w:tr w:rsidR="0071798B" w:rsidRPr="008903D1" w14:paraId="26CE955F" w14:textId="77777777" w:rsidTr="00F7598C">
        <w:trPr>
          <w:trHeight w:val="615"/>
        </w:trPr>
        <w:tc>
          <w:tcPr>
            <w:tcW w:w="906" w:type="pct"/>
          </w:tcPr>
          <w:p w14:paraId="0C5B1903" w14:textId="77777777" w:rsidR="0071798B" w:rsidRPr="00802DC5" w:rsidRDefault="0071798B" w:rsidP="00C15D78">
            <w:pPr>
              <w:spacing w:line="240" w:lineRule="auto"/>
              <w:jc w:val="center"/>
              <w:rPr>
                <w:rFonts w:cs="Times New Roman"/>
                <w:color w:val="000000"/>
                <w:sz w:val="22"/>
              </w:rPr>
            </w:pPr>
            <w:r w:rsidRPr="00737239">
              <w:rPr>
                <w:rFonts w:cs="Times New Roman"/>
                <w:color w:val="000000"/>
                <w:sz w:val="22"/>
              </w:rPr>
              <w:t>Information distribution</w:t>
            </w:r>
          </w:p>
        </w:tc>
        <w:tc>
          <w:tcPr>
            <w:tcW w:w="1843" w:type="pct"/>
          </w:tcPr>
          <w:p w14:paraId="1DDB48D5" w14:textId="77777777" w:rsidR="0071798B" w:rsidRPr="00A96AC5" w:rsidRDefault="0071798B" w:rsidP="00C15D78">
            <w:pPr>
              <w:spacing w:line="240" w:lineRule="auto"/>
              <w:rPr>
                <w:rFonts w:cs="Times New Roman"/>
                <w:color w:val="000000"/>
                <w:sz w:val="22"/>
              </w:rPr>
            </w:pPr>
            <w:r w:rsidRPr="006C301D">
              <w:rPr>
                <w:rFonts w:cs="Times New Roman"/>
                <w:color w:val="000000"/>
                <w:sz w:val="22"/>
              </w:rPr>
              <w:t>Signals f</w:t>
            </w:r>
            <w:r w:rsidRPr="00A96AC5">
              <w:rPr>
                <w:rFonts w:cs="Times New Roman"/>
                <w:color w:val="000000"/>
                <w:sz w:val="22"/>
              </w:rPr>
              <w:t>or dynamic messages, internet, telephony points</w:t>
            </w:r>
          </w:p>
        </w:tc>
        <w:tc>
          <w:tcPr>
            <w:tcW w:w="2251" w:type="pct"/>
          </w:tcPr>
          <w:p w14:paraId="0085C476" w14:textId="77777777" w:rsidR="0071798B" w:rsidRPr="00A96AC5" w:rsidRDefault="0071798B" w:rsidP="00C15D78">
            <w:pPr>
              <w:spacing w:line="240" w:lineRule="auto"/>
              <w:rPr>
                <w:rFonts w:cs="Times New Roman"/>
                <w:color w:val="000000"/>
                <w:sz w:val="22"/>
              </w:rPr>
            </w:pPr>
            <w:r w:rsidRPr="00A96AC5">
              <w:rPr>
                <w:rFonts w:cs="Times New Roman"/>
                <w:color w:val="000000"/>
                <w:sz w:val="22"/>
              </w:rPr>
              <w:t>Hands-free, personal digital assistance</w:t>
            </w:r>
          </w:p>
        </w:tc>
      </w:tr>
      <w:tr w:rsidR="0071798B" w:rsidRPr="008903D1" w14:paraId="6D869306" w14:textId="77777777" w:rsidTr="00F7598C">
        <w:trPr>
          <w:trHeight w:val="407"/>
        </w:trPr>
        <w:tc>
          <w:tcPr>
            <w:tcW w:w="906" w:type="pct"/>
          </w:tcPr>
          <w:p w14:paraId="5E452152" w14:textId="77777777" w:rsidR="0071798B" w:rsidRPr="00802DC5" w:rsidRDefault="0071798B" w:rsidP="00C15D78">
            <w:pPr>
              <w:spacing w:line="240" w:lineRule="auto"/>
              <w:jc w:val="center"/>
              <w:rPr>
                <w:rFonts w:cs="Times New Roman"/>
                <w:color w:val="000000"/>
                <w:sz w:val="22"/>
              </w:rPr>
            </w:pPr>
            <w:r w:rsidRPr="00737239">
              <w:rPr>
                <w:rFonts w:cs="Times New Roman"/>
                <w:color w:val="000000"/>
                <w:sz w:val="22"/>
              </w:rPr>
              <w:t>Information usage</w:t>
            </w:r>
          </w:p>
        </w:tc>
        <w:tc>
          <w:tcPr>
            <w:tcW w:w="1843" w:type="pct"/>
          </w:tcPr>
          <w:p w14:paraId="1D1C3AE5" w14:textId="77777777" w:rsidR="0071798B" w:rsidRPr="00A96AC5" w:rsidRDefault="0071798B" w:rsidP="00C15D78">
            <w:pPr>
              <w:spacing w:line="240" w:lineRule="auto"/>
              <w:rPr>
                <w:rFonts w:cs="Times New Roman"/>
                <w:color w:val="000000"/>
                <w:sz w:val="22"/>
              </w:rPr>
            </w:pPr>
            <w:r w:rsidRPr="006C301D">
              <w:rPr>
                <w:rFonts w:cs="Times New Roman"/>
                <w:color w:val="000000"/>
                <w:sz w:val="22"/>
              </w:rPr>
              <w:t xml:space="preserve">Incident detectors, demand management, </w:t>
            </w:r>
            <w:proofErr w:type="gramStart"/>
            <w:r w:rsidRPr="006C301D">
              <w:rPr>
                <w:rFonts w:cs="Times New Roman"/>
                <w:color w:val="000000"/>
                <w:sz w:val="22"/>
              </w:rPr>
              <w:t>traffic</w:t>
            </w:r>
            <w:proofErr w:type="gramEnd"/>
            <w:r w:rsidRPr="006C301D">
              <w:rPr>
                <w:rFonts w:cs="Times New Roman"/>
                <w:color w:val="000000"/>
                <w:sz w:val="22"/>
              </w:rPr>
              <w:t xml:space="preserve"> and congestion monitoring</w:t>
            </w:r>
          </w:p>
        </w:tc>
        <w:tc>
          <w:tcPr>
            <w:tcW w:w="2251" w:type="pct"/>
          </w:tcPr>
          <w:p w14:paraId="5F0C14CB" w14:textId="77777777" w:rsidR="0071798B" w:rsidRPr="00A96AC5" w:rsidRDefault="0071798B" w:rsidP="00C15D78">
            <w:pPr>
              <w:spacing w:line="240" w:lineRule="auto"/>
              <w:rPr>
                <w:rFonts w:cs="Times New Roman"/>
                <w:color w:val="000000"/>
                <w:sz w:val="22"/>
              </w:rPr>
            </w:pPr>
            <w:r w:rsidRPr="00A96AC5">
              <w:rPr>
                <w:rFonts w:cs="Times New Roman"/>
                <w:color w:val="000000"/>
                <w:sz w:val="22"/>
              </w:rPr>
              <w:t>Routing guide, driver’s advanced support system</w:t>
            </w:r>
          </w:p>
        </w:tc>
      </w:tr>
    </w:tbl>
    <w:p w14:paraId="5EC340DE" w14:textId="63E85448" w:rsidR="0071798B" w:rsidRPr="00737239" w:rsidRDefault="007B5959" w:rsidP="00246032">
      <w:pPr>
        <w:pStyle w:val="Caption"/>
        <w:spacing w:line="360" w:lineRule="auto"/>
        <w:rPr>
          <w:rFonts w:cs="Times New Roman"/>
        </w:rPr>
      </w:pPr>
      <w:bookmarkStart w:id="264" w:name="_Ref30089629"/>
      <w:bookmarkStart w:id="265" w:name="_Toc490574365"/>
      <w:bookmarkStart w:id="266" w:name="_Toc490415027"/>
      <w:bookmarkStart w:id="267" w:name="_Toc491870114"/>
      <w:bookmarkStart w:id="268" w:name="_Toc34674935"/>
      <w:bookmarkStart w:id="269" w:name="_Toc34734727"/>
      <w:bookmarkStart w:id="270" w:name="_Toc46053541"/>
      <w:bookmarkStart w:id="271" w:name="_Toc46093790"/>
      <w:bookmarkStart w:id="272" w:name="_Toc66698758"/>
      <w:r>
        <w:rPr>
          <w:rFonts w:cs="Times New Roman"/>
        </w:rPr>
        <w:t>Table</w:t>
      </w:r>
      <w:r w:rsidR="0071798B"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2</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7</w:t>
      </w:r>
      <w:r w:rsidR="00FE10DA">
        <w:rPr>
          <w:rFonts w:cs="Times New Roman"/>
        </w:rPr>
        <w:fldChar w:fldCharType="end"/>
      </w:r>
      <w:bookmarkEnd w:id="264"/>
      <w:r w:rsidR="00AF217C">
        <w:rPr>
          <w:rFonts w:cs="Times New Roman"/>
        </w:rPr>
        <w:t>:</w:t>
      </w:r>
      <w:r w:rsidR="0071798B" w:rsidRPr="008903D1">
        <w:rPr>
          <w:rFonts w:cs="Times New Roman"/>
        </w:rPr>
        <w:t xml:space="preserve"> Technology in intelligent transportation systems (ITS</w:t>
      </w:r>
      <w:bookmarkEnd w:id="265"/>
      <w:bookmarkEnd w:id="266"/>
      <w:r w:rsidR="0071798B" w:rsidRPr="008903D1">
        <w:rPr>
          <w:rFonts w:cs="Times New Roman"/>
        </w:rPr>
        <w:t>) (</w:t>
      </w:r>
      <w:r w:rsidR="003A5FEA">
        <w:rPr>
          <w:rFonts w:cs="Times New Roman"/>
        </w:rPr>
        <w:t xml:space="preserve">Adapted from </w:t>
      </w:r>
      <w:r w:rsidR="0071798B" w:rsidRPr="008903D1">
        <w:rPr>
          <w:rFonts w:cs="Times New Roman"/>
        </w:rPr>
        <w:t>Cortes et al., 2013)</w:t>
      </w:r>
      <w:bookmarkEnd w:id="267"/>
      <w:bookmarkEnd w:id="268"/>
      <w:bookmarkEnd w:id="269"/>
      <w:bookmarkEnd w:id="270"/>
      <w:bookmarkEnd w:id="271"/>
      <w:bookmarkEnd w:id="272"/>
    </w:p>
    <w:p w14:paraId="039C6FE0" w14:textId="77777777" w:rsidR="0071798B" w:rsidRPr="006C301D" w:rsidRDefault="0071798B" w:rsidP="000A4E8C">
      <w:pPr>
        <w:pStyle w:val="Heading3"/>
        <w:spacing w:line="360" w:lineRule="auto"/>
        <w:rPr>
          <w:rFonts w:cs="Times New Roman"/>
        </w:rPr>
      </w:pPr>
      <w:bookmarkStart w:id="273" w:name="_Toc491894830"/>
      <w:bookmarkStart w:id="274" w:name="_Toc34734495"/>
      <w:bookmarkStart w:id="275" w:name="_Toc46053413"/>
      <w:bookmarkStart w:id="276" w:name="_Toc46093327"/>
      <w:bookmarkStart w:id="277" w:name="_Toc46093610"/>
      <w:bookmarkStart w:id="278" w:name="_Toc66703185"/>
      <w:r w:rsidRPr="00802DC5">
        <w:rPr>
          <w:rFonts w:cs="Times New Roman"/>
        </w:rPr>
        <w:t xml:space="preserve">Demand </w:t>
      </w:r>
      <w:bookmarkEnd w:id="273"/>
      <w:r w:rsidRPr="00802DC5">
        <w:rPr>
          <w:rFonts w:cs="Times New Roman"/>
        </w:rPr>
        <w:t>management</w:t>
      </w:r>
      <w:bookmarkEnd w:id="274"/>
      <w:bookmarkEnd w:id="275"/>
      <w:bookmarkEnd w:id="276"/>
      <w:bookmarkEnd w:id="277"/>
      <w:bookmarkEnd w:id="278"/>
    </w:p>
    <w:p w14:paraId="237C9515" w14:textId="3672F173" w:rsidR="0071798B" w:rsidRPr="00A96AC5" w:rsidRDefault="0071798B" w:rsidP="00C15D78">
      <w:pPr>
        <w:spacing w:after="240" w:line="360" w:lineRule="auto"/>
        <w:rPr>
          <w:rFonts w:cs="Times New Roman"/>
        </w:rPr>
      </w:pPr>
      <w:r w:rsidRPr="00A96AC5">
        <w:rPr>
          <w:rFonts w:cs="Times New Roman"/>
        </w:rPr>
        <w:t xml:space="preserve">From the macro environment, the city economy determines the volume of urban freight flows. At the same time, the interaction of this factor with the spatial pattern of the city influences the efficiency of UL, as well as the related planning/project to resolve the issues </w:t>
      </w:r>
      <w:r w:rsidR="00AA785A">
        <w:rPr>
          <w:noProof/>
        </w:rPr>
        <w:fldChar w:fldCharType="begin">
          <w:fldData xml:space="preserve">PEVuZE5vdGU+PENpdGU+PEF1dGhvcj5PZ3Vuc2FueWE8L0F1dGhvcj48WWVhcj4xOTgyPC9ZZWFy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</w:fldData>
        </w:fldChar>
      </w:r>
      <w:r w:rsidR="00647E79">
        <w:rPr>
          <w:noProof/>
        </w:rPr>
        <w:instrText xml:space="preserve"> ADDIN EN.CITE </w:instrText>
      </w:r>
      <w:r w:rsidR="00647E79">
        <w:rPr>
          <w:noProof/>
        </w:rPr>
        <w:fldChar w:fldCharType="begin">
          <w:fldData xml:space="preserve">PEVuZE5vdGU+PENpdGU+PEF1dGhvcj5PZ3Vuc2FueWE8L0F1dGhvcj48WWVhcj4xOTgyPC9ZZWFy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</w:fldData>
        </w:fldChar>
      </w:r>
      <w:r w:rsidR="00647E79">
        <w:rPr>
          <w:noProof/>
        </w:rPr>
        <w:instrText xml:space="preserve"> ADDIN EN.CITE.DATA </w:instrText>
      </w:r>
      <w:r w:rsidR="00647E79">
        <w:rPr>
          <w:noProof/>
        </w:rPr>
      </w:r>
      <w:r w:rsidR="00647E79">
        <w:rPr>
          <w:noProof/>
        </w:rPr>
        <w:fldChar w:fldCharType="end"/>
      </w:r>
      <w:r w:rsidR="00AA785A">
        <w:rPr>
          <w:noProof/>
        </w:rPr>
      </w:r>
      <w:r w:rsidR="00AA785A">
        <w:rPr>
          <w:noProof/>
        </w:rPr>
        <w:fldChar w:fldCharType="separate"/>
      </w:r>
      <w:r w:rsidR="00AA785A">
        <w:rPr>
          <w:noProof/>
        </w:rPr>
        <w:t>(Ogunsanya, 1982)</w:t>
      </w:r>
      <w:r w:rsidR="00AA785A">
        <w:rPr>
          <w:noProof/>
        </w:rPr>
        <w:fldChar w:fldCharType="end"/>
      </w:r>
      <w:r w:rsidRPr="00A96AC5">
        <w:rPr>
          <w:rFonts w:cs="Times New Roman"/>
        </w:rPr>
        <w:t xml:space="preserve">. Appropriate management of the demand for goods leads to greater efficiency in freight transportation. Using an accurate demand forecast, companies can configure the appropriate logistics resources for the urban distribution, thus reducing the lead time and operational cost </w:t>
      </w:r>
      <w:r w:rsidR="00AA785A">
        <w:rPr>
          <w:noProof/>
        </w:rPr>
        <w:fldChar w:fldCharType="begin">
          <w:fldData xml:space="preserve">PEVuZE5vdGU+PENpdGU+PEF1dGhvcj5TaGV1PC9BdXRob3I+PFllYXI+MjAwNjwvWWVhcj48UmVj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</w:fldData>
        </w:fldChar>
      </w:r>
      <w:r w:rsidR="00647E79">
        <w:rPr>
          <w:noProof/>
        </w:rPr>
        <w:instrText xml:space="preserve"> ADDIN EN.CITE </w:instrText>
      </w:r>
      <w:r w:rsidR="00647E79">
        <w:rPr>
          <w:noProof/>
        </w:rPr>
        <w:fldChar w:fldCharType="begin">
          <w:fldData xml:space="preserve">PEVuZE5vdGU+PENpdGU+PEF1dGhvcj5TaGV1PC9BdXRob3I+PFllYXI+MjAwNjwvWWVhcj48UmVj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</w:fldData>
        </w:fldChar>
      </w:r>
      <w:r w:rsidR="00647E79">
        <w:rPr>
          <w:noProof/>
        </w:rPr>
        <w:instrText xml:space="preserve"> ADDIN EN.CITE.DATA </w:instrText>
      </w:r>
      <w:r w:rsidR="00647E79">
        <w:rPr>
          <w:noProof/>
        </w:rPr>
      </w:r>
      <w:r w:rsidR="00647E79">
        <w:rPr>
          <w:noProof/>
        </w:rPr>
        <w:fldChar w:fldCharType="end"/>
      </w:r>
      <w:r w:rsidR="00AA785A">
        <w:rPr>
          <w:noProof/>
        </w:rPr>
      </w:r>
      <w:r w:rsidR="00AA785A">
        <w:rPr>
          <w:noProof/>
        </w:rPr>
        <w:fldChar w:fldCharType="separate"/>
      </w:r>
      <w:r w:rsidR="00AA785A">
        <w:rPr>
          <w:noProof/>
        </w:rPr>
        <w:t>(Sheu, 2006)</w:t>
      </w:r>
      <w:r w:rsidR="00AA785A">
        <w:rPr>
          <w:noProof/>
        </w:rPr>
        <w:fldChar w:fldCharType="end"/>
      </w:r>
      <w:r w:rsidRPr="00A96AC5">
        <w:rPr>
          <w:rFonts w:cs="Times New Roman"/>
          <w:noProof/>
        </w:rPr>
        <w:t>.</w:t>
      </w:r>
      <w:r w:rsidRPr="00A96AC5">
        <w:rPr>
          <w:rFonts w:cs="Times New Roman"/>
        </w:rPr>
        <w:t xml:space="preserve"> </w:t>
      </w:r>
    </w:p>
    <w:p w14:paraId="7D6FFCA6" w14:textId="4DB457FC" w:rsidR="0071798B" w:rsidRPr="00A96AC5" w:rsidRDefault="0071798B" w:rsidP="00C15D78">
      <w:pPr>
        <w:spacing w:after="240" w:line="360" w:lineRule="auto"/>
        <w:rPr>
          <w:rFonts w:cs="Times New Roman"/>
        </w:rPr>
      </w:pPr>
      <w:r w:rsidRPr="00A96AC5">
        <w:rPr>
          <w:rFonts w:cs="Times New Roman"/>
        </w:rPr>
        <w:t xml:space="preserve">The volume of demand not only influences vehicles’ travel distances </w:t>
      </w:r>
      <w:r w:rsidR="00AA785A">
        <w:rPr>
          <w:noProof/>
        </w:rPr>
        <w:fldChar w:fldCharType="begin"/>
      </w:r>
      <w:r w:rsidR="00647E79">
        <w:rPr>
          <w:noProof/>
        </w:rPr>
        <w:instrText xml:space="preserve"> ADDIN EN.CITE &lt;EndNote&gt;&lt;Cite&gt;&lt;Author&gt;Crainic&lt;/Author&gt;&lt;Year&gt;2015&lt;/Year&gt;&lt;RecNum&gt;179&lt;/RecNum&gt;&lt;DisplayText&gt;(Crainic et al., 2015)&lt;/DisplayText&gt;&lt;record&gt;&lt;rec-number&gt;179&lt;/rec-number&gt;&lt;foreign-keys&gt;&lt;key app="EN" db-id="pzt5ep52hsedfpeext2pdfes0w0aswaewef2" timestamp="1605187996"&gt;179&lt;/key&gt;&lt;/foreign-keys&gt;&lt;ref-type name="Journal Article"&gt;17&lt;/ref-type&gt;&lt;contributors&gt;&lt;authors&gt;&lt;author&gt;Crainic, Teodor Gabriel&lt;/author&gt;&lt;author&gt;Errico, Fausto&lt;/author&gt;&lt;author&gt;Rei, Walter&lt;/author&gt;&lt;author&gt;Ricciardi, Nicoletta&lt;/author&gt;&lt;/authors&gt;&lt;/contributors&gt;&lt;titles&gt;&lt;title&gt;Modeling Demand Uncertainty in Two-Tier City Logistics Tactical Planning&lt;/title&gt;&lt;secondary-title&gt;Transportation Science&lt;/secondary-title&gt;&lt;/titles&gt;&lt;periodical&gt;&lt;full-title&gt;Transportation Science&lt;/full-title&gt;&lt;/periodical&gt;&lt;pages&gt;559-578&lt;/pages&gt;&lt;volume&gt;50&lt;/volume&gt;&lt;number&gt;2&lt;/number&gt;&lt;dates&gt;&lt;year&gt;2015&lt;/year&gt;&lt;pub-dates&gt;&lt;date&gt;2016/05/01&lt;/date&gt;&lt;/pub-dates&gt;&lt;/dates&gt;&lt;publisher&gt;INFORMS&lt;/publisher&gt;&lt;isbn&gt;0041-1655&lt;/isbn&gt;&lt;urls&gt;&lt;related-urls&gt;&lt;url&gt;https://doi.org/10.1287/trsc.2015.0606&lt;/url&gt;&lt;/related-urls&gt;&lt;/urls&gt;&lt;electronic-resource-num&gt;10.1287/trsc.2015.0606&lt;/electronic-resource-num&gt;&lt;research-notes&gt;112&lt;/research-notes&gt;&lt;access-date&gt;2019/11/07&lt;/access-date&gt;&lt;/record&gt;&lt;/Cite&gt;&lt;/EndNote&gt;</w:instrText>
      </w:r>
      <w:r w:rsidR="00AA785A">
        <w:rPr>
          <w:noProof/>
        </w:rPr>
        <w:fldChar w:fldCharType="separate"/>
      </w:r>
      <w:r w:rsidR="00AA785A">
        <w:rPr>
          <w:noProof/>
        </w:rPr>
        <w:t>(Crainic et al., 2015)</w:t>
      </w:r>
      <w:r w:rsidR="00AA785A">
        <w:rPr>
          <w:noProof/>
        </w:rPr>
        <w:fldChar w:fldCharType="end"/>
      </w:r>
      <w:r w:rsidRPr="00A96AC5">
        <w:rPr>
          <w:rFonts w:cs="Times New Roman"/>
        </w:rPr>
        <w:t>, but also affects retailers’ lead times</w:t>
      </w:r>
      <w:r w:rsidR="00354EEE">
        <w:t xml:space="preserve"> </w:t>
      </w:r>
      <w:r w:rsidR="00AA785A">
        <w:fldChar w:fldCharType="begin"/>
      </w:r>
      <w:r w:rsidR="00647E79">
        <w:instrText xml:space="preserve"> ADDIN EN.CITE &lt;EndNote&gt;&lt;Cite&gt;&lt;Author&gt;Holguín-Veras&lt;/Author&gt;&lt;Year&gt;2016&lt;/Year&gt;&lt;RecNum&gt;95&lt;/RecNum&gt;&lt;DisplayText&gt;(Holguín-Veras and Sánchez-Díaz, 2016)&lt;/DisplayText&gt;&lt;record&gt;&lt;rec-number&gt;95&lt;/rec-number&gt;&lt;foreign-keys&gt;&lt;key app="EN" db-id="pzt5ep52hsedfpeext2pdfes0w0aswaewef2" timestamp="1605187993"&gt;95&lt;/key&gt;&lt;/foreign-keys&gt;&lt;ref-type name="Journal Article"&gt;17&lt;/ref-type&gt;&lt;contributors&gt;&lt;authors&gt;&lt;author&gt;Holguín-Veras, José&lt;/author&gt;&lt;author&gt;Sánchez-Díaz, Iván&lt;/author&gt;&lt;/authors&gt;&lt;/contributors&gt;&lt;titles&gt;&lt;title&gt;Freight demand management and the potential of receiver-led consolidation programs&lt;/title&gt;&lt;secondary-title&gt;Transportation Research Part A: Policy and Practice&lt;/secondary-title&gt;&lt;/titles&gt;&lt;periodical&gt;&lt;full-title&gt;Transportation Research Part A: Policy and Practice&lt;/full-title&gt;&lt;/periodical&gt;&lt;pages&gt;109-130&lt;/pages&gt;&lt;volume&gt;84&lt;/volume&gt;&lt;dates&gt;&lt;year&gt;2016&lt;/year&gt;&lt;/dates&gt;&lt;isbn&gt;0965-8564&lt;/isbn&gt;&lt;urls&gt;&lt;related-urls&gt;&lt;url&gt;http://www.sciencedirect.com/science/article/pii/S0965856415001792&lt;/url&gt;&lt;/related-urls&gt;&lt;/urls&gt;&lt;research-notes&gt;103&lt;/research-notes&gt;&lt;/record&gt;&lt;/Cite&gt;&lt;/EndNote&gt;</w:instrText>
      </w:r>
      <w:r w:rsidR="00AA785A">
        <w:fldChar w:fldCharType="separate"/>
      </w:r>
      <w:r w:rsidR="00AA785A">
        <w:rPr>
          <w:noProof/>
        </w:rPr>
        <w:t>(Holguín-Veras and Sánchez-Díaz, 2016)</w:t>
      </w:r>
      <w:r w:rsidR="00AA785A">
        <w:fldChar w:fldCharType="end"/>
      </w:r>
      <w:r w:rsidRPr="00A96AC5">
        <w:rPr>
          <w:rFonts w:cs="Times New Roman"/>
        </w:rPr>
        <w:t xml:space="preserve">. Additionally, categories and volumes of customer demand affect retailers’ restocking procedures. </w:t>
      </w:r>
      <w:r w:rsidR="00AA785A">
        <w:rPr>
          <w:rFonts w:cs="Times New Roman"/>
        </w:rPr>
        <w:fldChar w:fldCharType="begin"/>
      </w:r>
      <w:r w:rsidR="00647E79">
        <w:rPr>
          <w:rFonts w:cs="Times New Roman"/>
        </w:rPr>
        <w:instrText xml:space="preserve"> ADDIN EN.CITE &lt;EndNote&gt;&lt;Cite&gt;&lt;Author&gt;Nuzzolo&lt;/Author&gt;&lt;Year&gt;2014&lt;/Year&gt;&lt;RecNum&gt;180&lt;/RecNum&gt;&lt;DisplayText&gt;(Nuzzolo and Comi, 2014a)&lt;/DisplayText&gt;&lt;record&gt;&lt;rec-number&gt;180&lt;/rec-number&gt;&lt;foreign-keys&gt;&lt;key app="EN" db-id="pzt5ep52hsedfpeext2pdfes0w0aswaewef2" timestamp="1605187996"&gt;180&lt;/key&gt;&lt;/foreign-keys&gt;&lt;ref-type name="Journal Article"&gt;17&lt;/ref-type&gt;&lt;contributors&gt;&lt;authors&gt;&lt;author&gt;Nuzzolo, Agostino&lt;/author&gt;&lt;author&gt;Comi, Antonio&lt;/author&gt;&lt;/authors&gt;&lt;/contributors&gt;&lt;titles&gt;&lt;title&gt;A system of models to forecast the effects of demographic changes on urban shop restocking&lt;/title&gt;&lt;secondary-title&gt;Research in Transportation Business &amp;amp; Management&lt;/secondary-title&gt;&lt;/titles&gt;&lt;periodical&gt;&lt;full-title&gt;Research in Transportation Business &amp;amp; Management&lt;/full-title&gt;&lt;/periodical&gt;&lt;pages&gt;142-151&lt;/pages&gt;&lt;volume&gt;11&lt;/volume&gt;&lt;dates&gt;&lt;year&gt;2014&lt;/year&gt;&lt;/dates&gt;&lt;isbn&gt;2210-5395&lt;/isbn&gt;&lt;urls&gt;&lt;related-urls&gt;&lt;url&gt;http://www.sciencedirect.com/science/article/pii/S2210539514000066&lt;/url&gt;&lt;/related-urls&gt;&lt;/urls&gt;&lt;research-notes&gt;91&lt;/research-notes&gt;&lt;/record&gt;&lt;/Cite&gt;&lt;/EndNote&gt;</w:instrText>
      </w:r>
      <w:r w:rsidR="00AA785A">
        <w:rPr>
          <w:rFonts w:cs="Times New Roman"/>
        </w:rPr>
        <w:fldChar w:fldCharType="separate"/>
      </w:r>
      <w:r w:rsidR="00AA785A">
        <w:rPr>
          <w:rFonts w:cs="Times New Roman"/>
          <w:noProof/>
        </w:rPr>
        <w:t>(Nuzzolo and Comi, 2014a)</w:t>
      </w:r>
      <w:r w:rsidR="00AA785A">
        <w:rPr>
          <w:rFonts w:cs="Times New Roman"/>
        </w:rPr>
        <w:fldChar w:fldCharType="end"/>
      </w:r>
      <w:r w:rsidR="007356AF">
        <w:rPr>
          <w:rFonts w:cs="Times New Roman"/>
        </w:rPr>
        <w:t xml:space="preserve"> </w:t>
      </w:r>
      <w:r w:rsidRPr="00A96AC5">
        <w:rPr>
          <w:rFonts w:cs="Times New Roman"/>
        </w:rPr>
        <w:t xml:space="preserve">surveyed an urban area (300 households) to gather information on their requirements for goods, and they developed a simulation model integrating delivery methods </w:t>
      </w:r>
      <w:r w:rsidRPr="00A96AC5">
        <w:rPr>
          <w:rFonts w:cs="Times New Roman"/>
        </w:rPr>
        <w:lastRenderedPageBreak/>
        <w:t>and inventory management. The resulting model identified opportunities for carriers to reduce travel distances associated with online shopping demand.</w:t>
      </w:r>
    </w:p>
    <w:p w14:paraId="4C3C6B15" w14:textId="76EE3B5E" w:rsidR="0071798B" w:rsidRPr="00A96AC5" w:rsidRDefault="0071798B" w:rsidP="00C15D78">
      <w:pPr>
        <w:spacing w:before="156" w:after="240" w:line="360" w:lineRule="auto"/>
        <w:rPr>
          <w:rFonts w:cs="Times New Roman"/>
        </w:rPr>
      </w:pPr>
      <w:r w:rsidRPr="00A96AC5">
        <w:rPr>
          <w:rFonts w:cs="Times New Roman"/>
        </w:rPr>
        <w:t xml:space="preserve">From the perspective of sustainability, an accurate estimation of peak and off-peak periods, numbers and types of receivers to be delivered, and volumes and categories of goods shipped can help to reduce travel distance and driving time </w:t>
      </w:r>
      <w:r w:rsidR="00AA785A">
        <w:rPr>
          <w:noProof/>
        </w:rPr>
        <w:fldChar w:fldCharType="begin"/>
      </w:r>
      <w:r w:rsidR="00647E79">
        <w:rPr>
          <w:noProof/>
        </w:rPr>
        <w:instrText xml:space="preserve"> ADDIN EN.CITE &lt;EndNote&gt;&lt;Cite&gt;&lt;Author&gt;Muñuzuri&lt;/Author&gt;&lt;Year&gt;2009&lt;/Year&gt;&lt;RecNum&gt;181&lt;/RecNum&gt;&lt;DisplayText&gt;(Muñuzuri et al., 2009)&lt;/DisplayText&gt;&lt;record&gt;&lt;rec-number&gt;181&lt;/rec-number&gt;&lt;foreign-keys&gt;&lt;key app="EN" db-id="pzt5ep52hsedfpeext2pdfes0w0aswaewef2" timestamp="1605187996"&gt;181&lt;/key&gt;&lt;/foreign-keys&gt;&lt;ref-type name="Journal Article"&gt;17&lt;/ref-type&gt;&lt;contributors&gt;&lt;authors&gt;&lt;author&gt;Jesús Muñuzuri&lt;/author&gt;&lt;author&gt;Pablo Cortés&lt;/author&gt;&lt;author&gt;Luis Onieva&lt;/author&gt;&lt;author&gt;José Guadix&lt;/author&gt;&lt;/authors&gt;&lt;/contributors&gt;&lt;titles&gt;&lt;title&gt;Modeling Freight Delivery Flows: Missing Link of Urban Transport Analysis&lt;/title&gt;&lt;secondary-title&gt;Journal of Urban Planning and Development&lt;/secondary-title&gt;&lt;/titles&gt;&lt;periodical&gt;&lt;full-title&gt;Journal of Urban Planning and Development&lt;/full-title&gt;&lt;/periodical&gt;&lt;pages&gt;91-99&lt;/pages&gt;&lt;volume&gt;135&lt;/volume&gt;&lt;number&gt;3&lt;/number&gt;&lt;dates&gt;&lt;year&gt;2009&lt;/year&gt;&lt;/dates&gt;&lt;urls&gt;&lt;related-urls&gt;&lt;url&gt;https://ascelibrary.org/doi/abs/10.1061/%28ASCE%29UP.1943-5444.0000011 %X Urban freight transport has barely incited any modeling efforts when compared to passenger cars and public transport, which is mainly due to the lack of available data and the complexity of the delivery route patterns and the involved decision making. We present here a modeling approach consisting of a demand model followed by an entropy maximization procedure to estimate an origin-destination matrix for urban freight transport vehicles, both for business to business and home deliveries, during the morning peak hour. This approach requires relatively few data inputs in comparison with other existing models and represents an initial step toward the inclusion of freight delivery models in overall urban transport planning. The application of the model is illustrated with a case study in the city of Seville, with its efficiency tested by the validation of the results using actual traffic counts.&lt;/url&gt;&lt;/related-urls&gt;&lt;/urls&gt;&lt;electronic-resource-num&gt;doi:10.1061/(ASCE)UP.1943-5444.0000011&lt;/electronic-resource-num&gt;&lt;research-notes&gt;32&lt;/research-notes&gt;&lt;/record&gt;&lt;/Cite&gt;&lt;/EndNote&gt;</w:instrText>
      </w:r>
      <w:r w:rsidR="00AA785A">
        <w:rPr>
          <w:noProof/>
        </w:rPr>
        <w:fldChar w:fldCharType="separate"/>
      </w:r>
      <w:r w:rsidR="00AA785A">
        <w:rPr>
          <w:noProof/>
        </w:rPr>
        <w:t>(Muñuzuri et al., 2009)</w:t>
      </w:r>
      <w:r w:rsidR="00AA785A">
        <w:rPr>
          <w:noProof/>
        </w:rPr>
        <w:fldChar w:fldCharType="end"/>
      </w:r>
      <w:r w:rsidRPr="00A96AC5">
        <w:rPr>
          <w:rFonts w:cs="Times New Roman"/>
        </w:rPr>
        <w:t xml:space="preserve">. A quantitative study conducted by </w:t>
      </w:r>
      <w:r w:rsidR="00AA785A">
        <w:rPr>
          <w:noProof/>
        </w:rPr>
        <w:fldChar w:fldCharType="begin">
          <w:fldData xml:space="preserve">PEVuZE5vdGU+PENpdGUgQXV0aG9yWWVhcj0iMSI+PEF1dGhvcj5OdXp6b2xvPC9BdXRob3I+PFll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</w:fldData>
        </w:fldChar>
      </w:r>
      <w:r w:rsidR="00647E79">
        <w:rPr>
          <w:noProof/>
        </w:rPr>
        <w:instrText xml:space="preserve"> ADDIN EN.CITE </w:instrText>
      </w:r>
      <w:r w:rsidR="00647E79">
        <w:rPr>
          <w:noProof/>
        </w:rPr>
        <w:fldChar w:fldCharType="begin">
          <w:fldData xml:space="preserve">PEVuZE5vdGU+PENpdGUgQXV0aG9yWWVhcj0iMSI+PEF1dGhvcj5OdXp6b2xvPC9BdXRob3I+PFll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</w:fldData>
        </w:fldChar>
      </w:r>
      <w:r w:rsidR="00647E79">
        <w:rPr>
          <w:noProof/>
        </w:rPr>
        <w:instrText xml:space="preserve"> ADDIN EN.CITE.DATA </w:instrText>
      </w:r>
      <w:r w:rsidR="00647E79">
        <w:rPr>
          <w:noProof/>
        </w:rPr>
      </w:r>
      <w:r w:rsidR="00647E79">
        <w:rPr>
          <w:noProof/>
        </w:rPr>
        <w:fldChar w:fldCharType="end"/>
      </w:r>
      <w:r w:rsidR="00AA785A">
        <w:rPr>
          <w:noProof/>
        </w:rPr>
      </w:r>
      <w:r w:rsidR="00AA785A">
        <w:rPr>
          <w:noProof/>
        </w:rPr>
        <w:fldChar w:fldCharType="separate"/>
      </w:r>
      <w:r w:rsidR="008958AE">
        <w:rPr>
          <w:noProof/>
        </w:rPr>
        <w:t>Nuzzolo and Comi (2014b)</w:t>
      </w:r>
      <w:r w:rsidR="00AA785A">
        <w:rPr>
          <w:noProof/>
        </w:rPr>
        <w:fldChar w:fldCharType="end"/>
      </w:r>
      <w:r w:rsidRPr="00A96AC5">
        <w:rPr>
          <w:rFonts w:cs="Times New Roman"/>
        </w:rPr>
        <w:t xml:space="preserve"> analysed shipment size, freight traffic, and other relative variables (e.g., localisation of freight centres, characteristics of shops) to estimate the numbers of delivery trips. </w:t>
      </w:r>
      <w:r w:rsidR="00AA785A">
        <w:rPr>
          <w:noProof/>
        </w:rPr>
        <w:fldChar w:fldCharType="begin">
          <w:fldData xml:space="preserve">PEVuZE5vdGU+PENpdGUgQXV0aG9yWWVhcj0iMSI+PEF1dGhvcj5Tw6FuY2hlei1Ew61hejwvQXV0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</w:fldData>
        </w:fldChar>
      </w:r>
      <w:r w:rsidR="00647E79">
        <w:rPr>
          <w:noProof/>
        </w:rPr>
        <w:instrText xml:space="preserve"> ADDIN EN.CITE </w:instrText>
      </w:r>
      <w:r w:rsidR="00647E79">
        <w:rPr>
          <w:noProof/>
        </w:rPr>
        <w:fldChar w:fldCharType="begin">
          <w:fldData xml:space="preserve">PEVuZE5vdGU+PENpdGUgQXV0aG9yWWVhcj0iMSI+PEF1dGhvcj5Tw6FuY2hlei1Ew61hejwvQXV0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</w:fldData>
        </w:fldChar>
      </w:r>
      <w:r w:rsidR="00647E79">
        <w:rPr>
          <w:noProof/>
        </w:rPr>
        <w:instrText xml:space="preserve"> ADDIN EN.CITE.DATA </w:instrText>
      </w:r>
      <w:r w:rsidR="00647E79">
        <w:rPr>
          <w:noProof/>
        </w:rPr>
      </w:r>
      <w:r w:rsidR="00647E79">
        <w:rPr>
          <w:noProof/>
        </w:rPr>
        <w:fldChar w:fldCharType="end"/>
      </w:r>
      <w:r w:rsidR="00AA785A">
        <w:rPr>
          <w:noProof/>
        </w:rPr>
      </w:r>
      <w:r w:rsidR="00AA785A">
        <w:rPr>
          <w:noProof/>
        </w:rPr>
        <w:fldChar w:fldCharType="separate"/>
      </w:r>
      <w:r w:rsidR="00467C27">
        <w:rPr>
          <w:noProof/>
        </w:rPr>
        <w:t>Sánchez-Díaz (2017)</w:t>
      </w:r>
      <w:r w:rsidR="00AA785A">
        <w:rPr>
          <w:noProof/>
        </w:rPr>
        <w:fldChar w:fldCharType="end"/>
      </w:r>
      <w:r w:rsidRPr="00A96AC5">
        <w:rPr>
          <w:rFonts w:cs="Times New Roman"/>
        </w:rPr>
        <w:t xml:space="preserve"> implemented a mixed-regression analysis using discrete choice models to estimate the number of delivery trips per week for different commercial sectors. </w:t>
      </w:r>
    </w:p>
    <w:p w14:paraId="44E4EB5B" w14:textId="41FB7992" w:rsidR="0071798B" w:rsidRDefault="0071798B" w:rsidP="00C15D78">
      <w:pPr>
        <w:spacing w:before="156" w:after="240" w:line="360" w:lineRule="auto"/>
        <w:rPr>
          <w:rFonts w:cs="Times New Roman"/>
        </w:rPr>
      </w:pPr>
      <w:r w:rsidRPr="00A96AC5">
        <w:rPr>
          <w:rFonts w:cs="Times New Roman"/>
        </w:rPr>
        <w:t xml:space="preserve">A precise estimation of the numbers of delivery trips and/or trucks can support transport planning by policymakers. </w:t>
      </w:r>
      <w:r w:rsidR="00AA785A">
        <w:rPr>
          <w:rFonts w:cs="Times New Roman"/>
        </w:rPr>
        <w:fldChar w:fldCharType="begin"/>
      </w:r>
      <w:r w:rsidR="00647E79">
        <w:rPr>
          <w:rFonts w:cs="Times New Roman"/>
        </w:rPr>
        <w:instrText xml:space="preserve"> ADDIN EN.CITE &lt;EndNote&gt;&lt;Cite AuthorYear="1"&gt;&lt;Author&gt;de Oliveira&lt;/Author&gt;&lt;Year&gt;2017&lt;/Year&gt;&lt;RecNum&gt;184&lt;/RecNum&gt;&lt;DisplayText&gt;de Oliveira et al. (2017)&lt;/DisplayText&gt;&lt;record&gt;&lt;rec-number&gt;184&lt;/rec-number&gt;&lt;foreign-keys&gt;&lt;key app="EN" db-id="pzt5ep52hsedfpeext2pdfes0w0aswaewef2" timestamp="1605187996"&gt;184&lt;/key&gt;&lt;/foreign-keys&gt;&lt;ref-type name="Journal Article"&gt;17&lt;/ref-type&gt;&lt;contributors&gt;&lt;authors&gt;&lt;author&gt;de Oliveira, L. K.&lt;/author&gt;&lt;author&gt;Nóbrega, R. A. A.&lt;/author&gt;&lt;author&gt;Ebias, D. G.&lt;/author&gt;&lt;author&gt;Corrêa, B. G. S.&lt;/author&gt;&lt;/authors&gt;&lt;/contributors&gt;&lt;auth-address&gt;Universidade Federal de Minas Gerais, Belo Horizonte, Brazil&amp;#xD;Centro Universitário Formiguense, Formiga, Brazil&lt;/auth-address&gt;&lt;titles&gt;&lt;title&gt;Analysis of freight trip generation model for food and beverage in Belo Horizonte (Brazil)&lt;/title&gt;&lt;secondary-title&gt;Region&lt;/secondary-title&gt;&lt;alt-title&gt;Reg.&lt;/alt-title&gt;&lt;/titles&gt;&lt;periodical&gt;&lt;full-title&gt;Region&lt;/full-title&gt;&lt;abbr-1&gt;Reg.&lt;/abbr-1&gt;&lt;/periodical&gt;&lt;alt-periodical&gt;&lt;full-title&gt;Region&lt;/full-title&gt;&lt;abbr-1&gt;Reg.&lt;/abbr-1&gt;&lt;/alt-periodical&gt;&lt;pages&gt;17-30&lt;/pages&gt;&lt;volume&gt;4&lt;/volume&gt;&lt;number&gt;1&lt;/number&gt;&lt;keywords&gt;&lt;keyword&gt;Brazil&lt;/keyword&gt;&lt;keyword&gt;Freight trip generation&lt;/keyword&gt;&lt;keyword&gt;Geospatial analysis&lt;/keyword&gt;&lt;keyword&gt;Pubs and restaurants&lt;/keyword&gt;&lt;keyword&gt;Trucking&lt;/keyword&gt;&lt;keyword&gt;Urban goods distribution&lt;/keyword&gt;&lt;/keywords&gt;&lt;dates&gt;&lt;year&gt;2017&lt;/year&gt;&lt;/dates&gt;&lt;publisher&gt;European Regional Science Association&lt;/publisher&gt;&lt;isbn&gt;24095370 (ISSN)&lt;/isbn&gt;&lt;work-type&gt;Article&lt;/work-type&gt;&lt;urls&gt;&lt;related-urls&gt;&lt;url&gt;https://www.scopus.com/inward/record.uri?eid=2-s2.0-85034208245&amp;amp;doi=10.18335%2fregion.v4i1.102&amp;amp;partnerID=40&amp;amp;md5=96750d86e63b43bb8cfd432a7b870b95&lt;/url&gt;&lt;/related-urls&gt;&lt;/urls&gt;&lt;electronic-resource-num&gt;10.18335/region.v4i1.102&lt;/electronic-resource-num&gt;&lt;remote-database-name&gt;Scopus&lt;/remote-database-name&gt;&lt;research-notes&gt;167&lt;/research-notes&gt;&lt;language&gt;English&lt;/language&gt;&lt;/record&gt;&lt;/Cite&gt;&lt;/EndNote&gt;</w:instrText>
      </w:r>
      <w:r w:rsidR="00AA785A">
        <w:rPr>
          <w:rFonts w:cs="Times New Roman"/>
        </w:rPr>
        <w:fldChar w:fldCharType="separate"/>
      </w:r>
      <w:r w:rsidR="00467C27">
        <w:rPr>
          <w:rFonts w:cs="Times New Roman"/>
          <w:noProof/>
        </w:rPr>
        <w:t>de Oliveira et al. (2017)</w:t>
      </w:r>
      <w:r w:rsidR="00AA785A">
        <w:rPr>
          <w:rFonts w:cs="Times New Roman"/>
        </w:rPr>
        <w:fldChar w:fldCharType="end"/>
      </w:r>
      <w:r w:rsidR="00F83E01">
        <w:rPr>
          <w:rFonts w:cs="Times New Roman"/>
        </w:rPr>
        <w:t xml:space="preserve"> </w:t>
      </w:r>
      <w:r w:rsidRPr="00A96AC5">
        <w:rPr>
          <w:rFonts w:cs="Times New Roman"/>
        </w:rPr>
        <w:t xml:space="preserve">used the mathematical GIS-based model – which combines demographic data, road network density, and socioeconomic data – to estimate delivery demand in number of trips per day in different regions of the city, thus helping transportation and public managers to formulate policy for regulating freight transportation. </w:t>
      </w:r>
      <w:r w:rsidR="00AA785A">
        <w:rPr>
          <w:noProof/>
        </w:rPr>
        <w:fldChar w:fldCharType="begin"/>
      </w:r>
      <w:r w:rsidR="00647E79">
        <w:rPr>
          <w:noProof/>
        </w:rPr>
        <w:instrText xml:space="preserve"> ADDIN EN.CITE &lt;EndNote&gt;&lt;Cite AuthorYear="1"&gt;&lt;Author&gt;Aditjandra&lt;/Author&gt;&lt;Year&gt;2018&lt;/Year&gt;&lt;RecNum&gt;185&lt;/RecNum&gt;&lt;DisplayText&gt;Aditjandra and Zunder (2018)&lt;/DisplayText&gt;&lt;record&gt;&lt;rec-number&gt;185&lt;/rec-number&gt;&lt;foreign-keys&gt;&lt;key app="EN" db-id="pzt5ep52hsedfpeext2pdfes0w0aswaewef2" timestamp="1605187996"&gt;185&lt;/key&gt;&lt;/foreign-keys&gt;&lt;ref-type name="Journal Article"&gt;17&lt;/ref-type&gt;&lt;contributors&gt;&lt;authors&gt;&lt;author&gt;Aditjandra, Paulus T.&lt;/author&gt;&lt;author&gt;Zunder, Thomas H.&lt;/author&gt;&lt;/authors&gt;&lt;/contributors&gt;&lt;titles&gt;&lt;title&gt;Exploring the relationship between urban freight demand and the purchasing behaviour of a University&lt;/title&gt;&lt;secondary-title&gt;European Transport Research Review&lt;/secondary-title&gt;&lt;/titles&gt;&lt;periodical&gt;&lt;full-title&gt;European Transport Research Review&lt;/full-title&gt;&lt;abbr-1&gt;Eur. Transp. Res. Rev.&lt;/abbr-1&gt;&lt;/periodical&gt;&lt;pages&gt;1&lt;/pages&gt;&lt;volume&gt;10&lt;/volume&gt;&lt;number&gt;1&lt;/number&gt;&lt;dates&gt;&lt;year&gt;2018&lt;/year&gt;&lt;pub-dates&gt;&lt;date&gt;2017/12/02&lt;/date&gt;&lt;/pub-dates&gt;&lt;/dates&gt;&lt;isbn&gt;1866-8887&lt;/isbn&gt;&lt;urls&gt;&lt;related-urls&gt;&lt;url&gt;https://doi.org/10.1007/s12544-017-0273-5&lt;/url&gt;&lt;/related-urls&gt;&lt;/urls&gt;&lt;electronic-resource-num&gt;10.1007/s12544-017-0273-5&lt;/electronic-resource-num&gt;&lt;/record&gt;&lt;/Cite&gt;&lt;/EndNote&gt;</w:instrText>
      </w:r>
      <w:r w:rsidR="00AA785A">
        <w:rPr>
          <w:noProof/>
        </w:rPr>
        <w:fldChar w:fldCharType="separate"/>
      </w:r>
      <w:r w:rsidR="00F83E01">
        <w:rPr>
          <w:noProof/>
        </w:rPr>
        <w:t>Aditjandra and Zunder (2018)</w:t>
      </w:r>
      <w:r w:rsidR="00AA785A">
        <w:rPr>
          <w:noProof/>
        </w:rPr>
        <w:fldChar w:fldCharType="end"/>
      </w:r>
      <w:r w:rsidRPr="00A96AC5">
        <w:rPr>
          <w:rFonts w:cs="Times New Roman"/>
        </w:rPr>
        <w:t xml:space="preserve"> used a multivariate analysis to assess university staff purchase demand, concluding that training in specific staff roles would benefit the university’s urban freight management. </w:t>
      </w:r>
      <w:r w:rsidR="00AA785A">
        <w:rPr>
          <w:noProof/>
        </w:rPr>
        <w:fldChar w:fldCharType="begin">
          <w:fldData xml:space="preserve">PEVuZE5vdGU+PENpdGUgQXV0aG9yWWVhcj0iMSI+PEF1dGhvcj5MaXU8L0F1dGhvcj48WWVhcj4y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=
</w:fldData>
        </w:fldChar>
      </w:r>
      <w:r w:rsidR="00647E79">
        <w:rPr>
          <w:noProof/>
        </w:rPr>
        <w:instrText xml:space="preserve"> ADDIN EN.CITE </w:instrText>
      </w:r>
      <w:r w:rsidR="00647E79">
        <w:rPr>
          <w:noProof/>
        </w:rPr>
        <w:fldChar w:fldCharType="begin">
          <w:fldData xml:space="preserve">PEVuZE5vdGU+PENpdGUgQXV0aG9yWWVhcj0iMSI+PEF1dGhvcj5MaXU8L0F1dGhvcj48WWVhcj4y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=
</w:fldData>
        </w:fldChar>
      </w:r>
      <w:r w:rsidR="00647E79">
        <w:rPr>
          <w:noProof/>
        </w:rPr>
        <w:instrText xml:space="preserve"> ADDIN EN.CITE.DATA </w:instrText>
      </w:r>
      <w:r w:rsidR="00647E79">
        <w:rPr>
          <w:noProof/>
        </w:rPr>
      </w:r>
      <w:r w:rsidR="00647E79">
        <w:rPr>
          <w:noProof/>
        </w:rPr>
        <w:fldChar w:fldCharType="end"/>
      </w:r>
      <w:r w:rsidR="00AA785A">
        <w:rPr>
          <w:noProof/>
        </w:rPr>
      </w:r>
      <w:r w:rsidR="00AA785A">
        <w:rPr>
          <w:noProof/>
        </w:rPr>
        <w:fldChar w:fldCharType="separate"/>
      </w:r>
      <w:r w:rsidR="00F03F2E">
        <w:rPr>
          <w:noProof/>
        </w:rPr>
        <w:t>Liu et al. (2018)</w:t>
      </w:r>
      <w:r w:rsidR="00AA785A">
        <w:rPr>
          <w:noProof/>
        </w:rPr>
        <w:fldChar w:fldCharType="end"/>
      </w:r>
      <w:r w:rsidRPr="00A96AC5">
        <w:rPr>
          <w:rFonts w:cs="Times New Roman"/>
        </w:rPr>
        <w:t xml:space="preserve"> propose a new spatial organization model of supply–demand coordination to quantify the mismatch between the freight traffic flow generated by city logistics demand and road capacity. Their findings subsequently helped the </w:t>
      </w:r>
      <w:r w:rsidR="00A84BEB">
        <w:rPr>
          <w:rFonts w:cs="Times New Roman"/>
        </w:rPr>
        <w:t>LAs</w:t>
      </w:r>
      <w:r w:rsidRPr="00A96AC5">
        <w:rPr>
          <w:rFonts w:cs="Times New Roman"/>
        </w:rPr>
        <w:t xml:space="preserve"> to plan appropriate road resources for UL in metropolitan areas. </w:t>
      </w:r>
      <w:r w:rsidR="00AA785A">
        <w:rPr>
          <w:rFonts w:cs="Times New Roman"/>
        </w:rPr>
        <w:fldChar w:fldCharType="begin"/>
      </w:r>
      <w:r w:rsidR="000C5785">
        <w:rPr>
          <w:rFonts w:cs="Times New Roman"/>
        </w:rPr>
        <w:instrText xml:space="preserve"> ADDIN EN.CITE &lt;EndNote&gt;&lt;Cite AuthorYear="1"&gt;&lt;Author&gt;De Bakshi&lt;/Author&gt;&lt;Year&gt;2020&lt;/Year&gt;&lt;RecNum&gt;116&lt;/RecNum&gt;&lt;DisplayText&gt;De Bakshi et al. (2020)&lt;/DisplayText&gt;&lt;record&gt;&lt;rec-number&gt;116&lt;/rec-number&gt;&lt;foreign-keys&gt;&lt;key app="EN" db-id="x5etaz5aiszvz0edasvvpwvotttxepvd25t2" timestamp="1605182935"&gt;116&lt;/key&gt;&lt;/foreign-keys&gt;&lt;ref-type name="Journal Article"&gt;17&lt;/ref-type&gt;&lt;contributors&gt;&lt;authors&gt;&lt;author&gt;De Bakshi, Nilanjana&lt;/author&gt;&lt;author&gt;Tiwari, Geetam&lt;/author&gt;&lt;author&gt;Bolia, Nomesh B.&lt;/author&gt;&lt;/authors&gt;&lt;/contributors&gt;&lt;titles&gt;&lt;title&gt;Influence of urban form on urban freight trip generation&lt;/title&gt;&lt;secondary-title&gt;Case studies on transport policy&lt;/secondary-title&gt;&lt;/titles&gt;&lt;periodical&gt;&lt;full-title&gt;Case Studies on Transport Policy&lt;/full-title&gt;&lt;abbr-1&gt;Case Stud. Transp. Policy&lt;/abbr-1&gt;&lt;/periodical&gt;&lt;pages&gt;229-235&lt;/pages&gt;&lt;volume&gt;8&lt;/volume&gt;&lt;number&gt;1&lt;/number&gt;&lt;keywords&gt;&lt;keyword&gt;Urban form&lt;/keyword&gt;&lt;keyword&gt;Land use mix&lt;/keyword&gt;&lt;keyword&gt;Freight trip generation&lt;/keyword&gt;&lt;keyword&gt;Commercial density&lt;/keyword&gt;&lt;keyword&gt;Urban freight&lt;/keyword&gt;&lt;keyword&gt;Land use&lt;/keyword&gt;&lt;keyword&gt;Population density&lt;/keyword&gt;&lt;/keywords&gt;&lt;dates&gt;&lt;year&gt;2020&lt;/year&gt;&lt;/dates&gt;&lt;publisher&gt;Elsevier Ltd&lt;/publisher&gt;&lt;isbn&gt;2213-624X&lt;/isbn&gt;&lt;urls&gt;&lt;/urls&gt;&lt;electronic-resource-num&gt;10.1016/j.cstp.2019.04.004&lt;/electronic-resource-num&gt;&lt;/record&gt;&lt;/Cite&gt;&lt;/EndNote&gt;</w:instrText>
      </w:r>
      <w:r w:rsidR="00AA785A">
        <w:rPr>
          <w:rFonts w:cs="Times New Roman"/>
        </w:rPr>
        <w:fldChar w:fldCharType="separate"/>
      </w:r>
      <w:r w:rsidR="009271CC">
        <w:rPr>
          <w:rFonts w:cs="Times New Roman"/>
          <w:noProof/>
        </w:rPr>
        <w:t>De Bakshi et al. (2020)</w:t>
      </w:r>
      <w:r w:rsidR="00AA785A">
        <w:rPr>
          <w:rFonts w:cs="Times New Roman"/>
        </w:rPr>
        <w:fldChar w:fldCharType="end"/>
      </w:r>
      <w:r w:rsidR="00F9387D">
        <w:rPr>
          <w:rFonts w:cs="Times New Roman"/>
        </w:rPr>
        <w:t xml:space="preserve"> </w:t>
      </w:r>
      <w:r w:rsidRPr="00A96AC5">
        <w:rPr>
          <w:rFonts w:cs="Times New Roman"/>
        </w:rPr>
        <w:t>evaluated how environmental variables of population density, commercial density, and land use influence freight trip generation, with the intention of identifying a clean and efficient delivery mode for areas of large habitat density and retail sector employment.</w:t>
      </w:r>
    </w:p>
    <w:p w14:paraId="69CAE686" w14:textId="37481623" w:rsidR="00E60BC8" w:rsidRPr="00E60BC8" w:rsidRDefault="002F084E" w:rsidP="000A4E8C">
      <w:pPr>
        <w:pStyle w:val="Heading2"/>
        <w:spacing w:after="120" w:line="360" w:lineRule="auto"/>
      </w:pPr>
      <w:bookmarkStart w:id="279" w:name="_Toc46053414"/>
      <w:bookmarkStart w:id="280" w:name="_Toc46093328"/>
      <w:bookmarkStart w:id="281" w:name="_Toc46093611"/>
      <w:bookmarkStart w:id="282" w:name="_Toc66703186"/>
      <w:bookmarkStart w:id="283" w:name="_Toc34734496"/>
      <w:r w:rsidRPr="00A96AC5">
        <w:t xml:space="preserve">A </w:t>
      </w:r>
      <w:r w:rsidR="00645F88">
        <w:rPr>
          <w:rFonts w:hint="eastAsia"/>
        </w:rPr>
        <w:t>R</w:t>
      </w:r>
      <w:r w:rsidRPr="00A96AC5">
        <w:t>eview of employed methods</w:t>
      </w:r>
      <w:bookmarkEnd w:id="279"/>
      <w:bookmarkEnd w:id="280"/>
      <w:bookmarkEnd w:id="281"/>
      <w:bookmarkEnd w:id="282"/>
      <w:r w:rsidRPr="00A96AC5" w:rsidDel="002F084E">
        <w:t xml:space="preserve"> </w:t>
      </w:r>
      <w:bookmarkEnd w:id="283"/>
    </w:p>
    <w:p w14:paraId="509CF649" w14:textId="01FC886F" w:rsidR="0071798B" w:rsidRPr="00A96AC5" w:rsidRDefault="00295B21" w:rsidP="00C15D78">
      <w:pPr>
        <w:spacing w:after="240" w:line="360" w:lineRule="auto"/>
        <w:rPr>
          <w:rFonts w:cs="Times New Roman"/>
        </w:rPr>
      </w:pPr>
      <w:r>
        <w:rPr>
          <w:rFonts w:cs="Times New Roman"/>
          <w:noProof/>
        </w:rPr>
        <w:fldChar w:fldCharType="begin"/>
      </w:r>
      <w:r w:rsidR="00647E79">
        <w:rPr>
          <w:rFonts w:cs="Times New Roman"/>
          <w:noProof/>
        </w:rPr>
        <w:instrText xml:space="preserve"> ADDIN EN.CITE &lt;EndNote&gt;&lt;Cite AuthorYear="1"&gt;&lt;Author&gt;Lagorio&lt;/Author&gt;&lt;Year&gt;2016&lt;/Year&gt;&lt;RecNum&gt;188&lt;/RecNum&gt;&lt;DisplayText&gt;Lagorio et al. (2016)&lt;/DisplayText&gt;&lt;record&gt;&lt;rec-number&gt;188&lt;/rec-number&gt;&lt;foreign-keys&gt;&lt;key app="EN" db-id="pzt5ep52hsedfpeext2pdfes0w0aswaewef2" timestamp="1605187996"&gt;188&lt;/key&gt;&lt;/foreign-keys&gt;&lt;ref-type name="Journal Article"&gt;17&lt;/ref-type&gt;&lt;contributors&gt;&lt;authors&gt;&lt;author&gt;Lagorio, Alexandra&lt;/author&gt;&lt;author&gt;Pinto, Roberto&lt;/author&gt;&lt;author&gt;Golini, Ruggero&lt;/author&gt;&lt;/authors&gt;&lt;/contributors&gt;&lt;titles&gt;&lt;title&gt;Research in urban logistics: a systematic literature review&lt;/title&gt;&lt;secondary-title&gt;International Journal of Physical Distribution &amp;amp; Logistics Management&lt;/secondary-title&gt;&lt;/titles&gt;&lt;periodical&gt;&lt;full-title&gt;International Journal of Physical Distribution &amp;amp; Logistics Management&lt;/full-title&gt;&lt;/periodical&gt;&lt;pages&gt;908-931&lt;/pages&gt;&lt;volume&gt;46&lt;/volume&gt;&lt;number&gt;10&lt;/number&gt;&lt;dates&gt;&lt;year&gt;2016&lt;/year&gt;&lt;/dates&gt;&lt;publisher&gt;Emerald Group Publishing Limited&lt;/publisher&gt;&lt;isbn&gt;0960-0035&lt;/isbn&gt;&lt;urls&gt;&lt;related-urls&gt;&lt;url&gt;https://doi.org/10.1108/IJPDLM-01-2016-0008&lt;/url&gt;&lt;/related-urls&gt;&lt;/urls&gt;&lt;electronic-resource-num&gt;10.1108/IJPDLM-01-2016-0008&lt;/electronic-resource-num&gt;&lt;access-date&gt;2020/07/10&lt;/access-date&gt;&lt;/record&gt;&lt;/Cite&gt;&lt;/EndNote&gt;</w:instrText>
      </w:r>
      <w:r>
        <w:rPr>
          <w:rFonts w:cs="Times New Roman"/>
          <w:noProof/>
        </w:rPr>
        <w:fldChar w:fldCharType="separate"/>
      </w:r>
      <w:r w:rsidR="00D225ED">
        <w:rPr>
          <w:rFonts w:cs="Times New Roman"/>
          <w:noProof/>
        </w:rPr>
        <w:t>Lagorio et al. (2016)</w:t>
      </w:r>
      <w:r>
        <w:rPr>
          <w:rFonts w:cs="Times New Roman"/>
          <w:noProof/>
        </w:rPr>
        <w:fldChar w:fldCharType="end"/>
      </w:r>
      <w:r w:rsidR="00CD7F67">
        <w:rPr>
          <w:rFonts w:cs="Times New Roman"/>
        </w:rPr>
        <w:t xml:space="preserve"> </w:t>
      </w:r>
      <w:r w:rsidR="0071798B" w:rsidRPr="00A96AC5">
        <w:rPr>
          <w:rFonts w:cs="Times New Roman"/>
        </w:rPr>
        <w:t xml:space="preserve">identify six primary categories of research method in the field of SUL: (1) quantitative modelling, (2) case study, (3) literature review, (4) experimental/piloting, (5) survey, and (6) simulation. </w:t>
      </w:r>
    </w:p>
    <w:p w14:paraId="33C0EA23" w14:textId="2BC9767D" w:rsidR="0071798B" w:rsidRPr="00A96AC5" w:rsidRDefault="0071798B" w:rsidP="00C15D78">
      <w:pPr>
        <w:spacing w:after="240" w:line="360" w:lineRule="auto"/>
        <w:rPr>
          <w:rFonts w:cs="Times New Roman"/>
        </w:rPr>
      </w:pPr>
      <w:r w:rsidRPr="00A96AC5">
        <w:rPr>
          <w:rFonts w:cs="Times New Roman"/>
        </w:rPr>
        <w:t>Quantitative models are ‘compact representations where a single or multiple equations may describe the performance of the system for a large set of input functions and initial states’</w:t>
      </w:r>
      <w:r w:rsidRPr="00A96AC5">
        <w:rPr>
          <w:rFonts w:cs="Times New Roman"/>
          <w:i/>
        </w:rPr>
        <w:t xml:space="preserve"> </w:t>
      </w:r>
      <w:r w:rsidR="00295B21">
        <w:lastRenderedPageBreak/>
        <w:fldChar w:fldCharType="begin"/>
      </w:r>
      <w:r w:rsidR="00647E79">
        <w:instrText xml:space="preserve"> ADDIN EN.CITE &lt;EndNote&gt;&lt;Cite&gt;&lt;Author&gt;Lunze&lt;/Author&gt;&lt;Year&gt;1998&lt;/Year&gt;&lt;RecNum&gt;189&lt;/RecNum&gt;&lt;DisplayText&gt;(Lunze, 1998)&lt;/DisplayText&gt;&lt;record&gt;&lt;rec-number&gt;189&lt;/rec-number&gt;&lt;foreign-keys&gt;&lt;key app="EN" db-id="pzt5ep52hsedfpeext2pdfes0w0aswaewef2" timestamp="1605187996"&gt;189&lt;/key&gt;&lt;/foreign-keys&gt;&lt;ref-type name="Journal Article"&gt;17&lt;/ref-type&gt;&lt;contributors&gt;&lt;authors&gt;&lt;author&gt;Lunze, Jan&lt;/author&gt;&lt;/authors&gt;&lt;/contributors&gt;&lt;titles&gt;&lt;title&gt;Qualitative modelling of dynamical systems&lt;/title&gt;&lt;secondary-title&gt;Mathematics and Computers in Simulation&lt;/secondary-title&gt;&lt;/titles&gt;&lt;periodical&gt;&lt;full-title&gt;Mathematics and Computers in Simulation&lt;/full-title&gt;&lt;/periodical&gt;&lt;pages&gt;465-483&lt;/pages&gt;&lt;volume&gt;46&lt;/volume&gt;&lt;number&gt;5&lt;/number&gt;&lt;dates&gt;&lt;year&gt;1998&lt;/year&gt;&lt;pub-dates&gt;&lt;date&gt;1998/06/01/&lt;/date&gt;&lt;/pub-dates&gt;&lt;/dates&gt;&lt;isbn&gt;0378-4754&lt;/isbn&gt;&lt;urls&gt;&lt;related-urls&gt;&lt;url&gt;http://www.sciencedirect.com/science/article/pii/S0378475498000779&lt;/url&gt;&lt;/related-urls&gt;&lt;/urls&gt;&lt;electronic-resource-num&gt;http://dx.doi.org/10.1016/S0378-4754(98)00077-9&lt;/electronic-resource-num&gt;&lt;/record&gt;&lt;/Cite&gt;&lt;/EndNote&gt;</w:instrText>
      </w:r>
      <w:r w:rsidR="00295B21">
        <w:fldChar w:fldCharType="separate"/>
      </w:r>
      <w:r w:rsidR="00295B21">
        <w:rPr>
          <w:noProof/>
        </w:rPr>
        <w:t>(Lunze, 1998)</w:t>
      </w:r>
      <w:r w:rsidR="00295B21">
        <w:fldChar w:fldCharType="end"/>
      </w:r>
      <w:r w:rsidRPr="00A96AC5">
        <w:rPr>
          <w:rFonts w:cs="Times New Roman"/>
        </w:rPr>
        <w:t>. In SUL, papers dealing with quantitative modelling include those developing empirical formula</w:t>
      </w:r>
      <w:r w:rsidR="004F3E18">
        <w:rPr>
          <w:rFonts w:cs="Times New Roman"/>
        </w:rPr>
        <w:t>e</w:t>
      </w:r>
      <w:r w:rsidRPr="00A96AC5">
        <w:rPr>
          <w:rFonts w:cs="Times New Roman"/>
        </w:rPr>
        <w:t>, mathematical models, and solution algorithms.</w:t>
      </w:r>
    </w:p>
    <w:p w14:paraId="41375C88" w14:textId="593765F4" w:rsidR="0071798B" w:rsidRPr="00802DC5" w:rsidRDefault="0071798B" w:rsidP="00C15D78">
      <w:pPr>
        <w:spacing w:after="240" w:line="360" w:lineRule="auto"/>
        <w:rPr>
          <w:rFonts w:cs="Times New Roman"/>
        </w:rPr>
      </w:pPr>
      <w:r w:rsidRPr="00A96AC5">
        <w:rPr>
          <w:rFonts w:cs="Times New Roman"/>
        </w:rPr>
        <w:t xml:space="preserve">The case study category includes both papers based on a single </w:t>
      </w:r>
      <w:r w:rsidR="00292E50" w:rsidRPr="00A96AC5">
        <w:rPr>
          <w:rFonts w:cs="Times New Roman"/>
        </w:rPr>
        <w:t>example</w:t>
      </w:r>
      <w:r w:rsidRPr="00A96AC5">
        <w:rPr>
          <w:rFonts w:cs="Times New Roman"/>
        </w:rPr>
        <w:t xml:space="preserve"> and those detailing multiple </w:t>
      </w:r>
      <w:r w:rsidR="00E60BC8" w:rsidRPr="00A96AC5">
        <w:rPr>
          <w:rFonts w:cs="Times New Roman"/>
        </w:rPr>
        <w:t>examples</w:t>
      </w:r>
      <w:r w:rsidRPr="00A96AC5">
        <w:rPr>
          <w:rFonts w:cs="Times New Roman"/>
        </w:rPr>
        <w:t>. A single case stu</w:t>
      </w:r>
      <w:r w:rsidRPr="008903D1">
        <w:rPr>
          <w:rFonts w:cs="Times New Roman"/>
        </w:rPr>
        <w:t xml:space="preserve">dy is often related to investigations of an exploratory nature. The work </w:t>
      </w:r>
      <w:r w:rsidRPr="00737239">
        <w:rPr>
          <w:rFonts w:cs="Times New Roman"/>
        </w:rPr>
        <w:t xml:space="preserve">may also be conducted to verify the reliability of a quantitative study, and multiple case studies might aim to verify theories or produce more advanced conclusions. </w:t>
      </w:r>
    </w:p>
    <w:p w14:paraId="1BD2531F" w14:textId="750FEAD4" w:rsidR="0071798B" w:rsidRPr="00802DC5" w:rsidRDefault="0071798B" w:rsidP="00C15D78">
      <w:pPr>
        <w:spacing w:after="240" w:line="360" w:lineRule="auto"/>
        <w:rPr>
          <w:rFonts w:cs="Times New Roman"/>
        </w:rPr>
      </w:pPr>
      <w:r w:rsidRPr="006C301D">
        <w:rPr>
          <w:rFonts w:cs="Times New Roman"/>
        </w:rPr>
        <w:t>Literature reviews present an outline of the research body on a particular topic, with o</w:t>
      </w:r>
      <w:r w:rsidRPr="00A96AC5">
        <w:rPr>
          <w:rFonts w:cs="Times New Roman"/>
        </w:rPr>
        <w:t>rganised and definite methods applied to analyse and evaluate the associated studies. Experimental/pilot studies use samples to verify </w:t>
      </w:r>
      <w:hyperlink r:id="rId30" w:tooltip="Hypothesis" w:history="1">
        <w:r w:rsidRPr="008903D1">
          <w:rPr>
            <w:rFonts w:cs="Times New Roman"/>
          </w:rPr>
          <w:t>hypothes</w:t>
        </w:r>
        <w:r w:rsidRPr="00737239">
          <w:rPr>
            <w:rFonts w:cs="Times New Roman"/>
          </w:rPr>
          <w:t>es</w:t>
        </w:r>
      </w:hyperlink>
      <w:r w:rsidRPr="008903D1">
        <w:rPr>
          <w:rFonts w:cs="Times New Roman"/>
        </w:rPr>
        <w:t xml:space="preserve">, and they may </w:t>
      </w:r>
      <w:r w:rsidRPr="00737239">
        <w:rPr>
          <w:rFonts w:cs="Times New Roman"/>
        </w:rPr>
        <w:t xml:space="preserve">involve statistical methods. </w:t>
      </w:r>
    </w:p>
    <w:p w14:paraId="136E3F1D" w14:textId="77777777" w:rsidR="0071798B" w:rsidRPr="00A96AC5" w:rsidRDefault="0071798B" w:rsidP="00C15D78">
      <w:pPr>
        <w:spacing w:after="240" w:line="360" w:lineRule="auto"/>
        <w:rPr>
          <w:rFonts w:cs="Times New Roman"/>
        </w:rPr>
      </w:pPr>
      <w:r w:rsidRPr="00A96AC5">
        <w:rPr>
          <w:rFonts w:cs="Times New Roman"/>
        </w:rPr>
        <w:t>In survey methods, questionnaires are employed to gather qualitative data (e.g., opinions and feedback) and quantitative data (e.g., rankings and numbers). The survey data can be used in descriptive and exploratory studies to reach authoritative conclusions.</w:t>
      </w:r>
    </w:p>
    <w:p w14:paraId="2271B13A" w14:textId="427AB6B6" w:rsidR="0071798B" w:rsidRPr="00A96AC5" w:rsidRDefault="00295B21" w:rsidP="00C15D78">
      <w:pPr>
        <w:spacing w:after="240" w:line="360" w:lineRule="auto"/>
        <w:rPr>
          <w:rFonts w:cs="Times New Roman"/>
        </w:rPr>
      </w:pPr>
      <w:r>
        <w:rPr>
          <w:noProof/>
          <w:lang w:val="en-US"/>
        </w:rPr>
        <w:fldChar w:fldCharType="begin"/>
      </w:r>
      <w:r w:rsidR="00647E79">
        <w:rPr>
          <w:noProof/>
          <w:lang w:val="en-US"/>
        </w:rPr>
        <w:instrText xml:space="preserve"> ADDIN EN.CITE &lt;EndNote&gt;&lt;Cite AuthorYear="1"&gt;&lt;Author&gt;Banks&lt;/Author&gt;&lt;Year&gt;2005&lt;/Year&gt;&lt;RecNum&gt;190&lt;/RecNum&gt;&lt;DisplayText&gt;Banks et al. (2005)&lt;/DisplayText&gt;&lt;record&gt;&lt;rec-number&gt;190&lt;/rec-number&gt;&lt;foreign-keys&gt;&lt;key app="EN" db-id="pzt5ep52hsedfpeext2pdfes0w0aswaewef2" timestamp="1605187996"&gt;190&lt;/key&gt;&lt;/foreign-keys&gt;&lt;ref-type name="Book"&gt;6&lt;/ref-type&gt;&lt;contributors&gt;&lt;authors&gt;&lt;author&gt;Banks, Jerry&lt;/author&gt;&lt;author&gt;Carson, John S&lt;/author&gt;&lt;author&gt;Nelson, Barry L&lt;/author&gt;&lt;author&gt;Nicol, David M&lt;/author&gt;&lt;/authors&gt;&lt;/contributors&gt;&lt;titles&gt;&lt;title&gt;Discrete-event system simulation (4th edition)&lt;/title&gt;&lt;/titles&gt;&lt;volume&gt;3&lt;/volume&gt;&lt;dates&gt;&lt;year&gt;2005&lt;/year&gt;&lt;/dates&gt;&lt;publisher&gt;Prentice hall Upper Saddle River, NJ&lt;/publisher&gt;&lt;urls&gt;&lt;/urls&gt;&lt;/record&gt;&lt;/Cite&gt;&lt;/EndNote&gt;</w:instrText>
      </w:r>
      <w:r>
        <w:rPr>
          <w:noProof/>
          <w:lang w:val="en-US"/>
        </w:rPr>
        <w:fldChar w:fldCharType="separate"/>
      </w:r>
      <w:r w:rsidR="00D225ED">
        <w:rPr>
          <w:noProof/>
          <w:lang w:val="en-US"/>
        </w:rPr>
        <w:t>Banks et al. (2005)</w:t>
      </w:r>
      <w:r>
        <w:rPr>
          <w:noProof/>
          <w:lang w:val="en-US"/>
        </w:rPr>
        <w:fldChar w:fldCharType="end"/>
      </w:r>
      <w:r w:rsidR="009F4BFB">
        <w:rPr>
          <w:lang w:val="en-US"/>
        </w:rPr>
        <w:t xml:space="preserve"> </w:t>
      </w:r>
      <w:r w:rsidR="0071798B" w:rsidRPr="00A96AC5">
        <w:rPr>
          <w:rFonts w:cs="Times New Roman"/>
        </w:rPr>
        <w:t xml:space="preserve">describe simulation as follows: </w:t>
      </w:r>
    </w:p>
    <w:p w14:paraId="7EA8B0A5" w14:textId="77777777" w:rsidR="0071798B" w:rsidRPr="00A96AC5" w:rsidRDefault="0071798B" w:rsidP="00C15D78">
      <w:pPr>
        <w:spacing w:after="240" w:line="360" w:lineRule="auto"/>
        <w:ind w:left="851"/>
        <w:rPr>
          <w:rFonts w:cs="Times New Roman"/>
        </w:rPr>
      </w:pPr>
      <w:r w:rsidRPr="00A96AC5">
        <w:rPr>
          <w:rFonts w:cs="Times New Roman"/>
          <w:i/>
        </w:rPr>
        <w:t>T</w:t>
      </w:r>
      <w:r w:rsidRPr="00A96AC5">
        <w:rPr>
          <w:rFonts w:cs="Times New Roman"/>
          <w:i/>
          <w:iCs/>
        </w:rPr>
        <w:t>he imitation of the operation of a real-world process or system over time to develop a set of assumptions of mathematical, logical, and symbolic relationship between the entities of interest, of the system; and estimate the measures of performance of the system with the simulation-generated data</w:t>
      </w:r>
      <w:r w:rsidRPr="00A96AC5">
        <w:rPr>
          <w:rFonts w:cs="Times New Roman"/>
        </w:rPr>
        <w:t>.</w:t>
      </w:r>
    </w:p>
    <w:p w14:paraId="5B835942" w14:textId="77777777" w:rsidR="0071798B" w:rsidRPr="00A96AC5" w:rsidRDefault="0071798B" w:rsidP="00C15D78">
      <w:pPr>
        <w:spacing w:after="240" w:line="360" w:lineRule="auto"/>
        <w:rPr>
          <w:rFonts w:cs="Times New Roman"/>
        </w:rPr>
      </w:pPr>
      <w:r w:rsidRPr="00A96AC5">
        <w:rPr>
          <w:rFonts w:cs="Times New Roman"/>
        </w:rPr>
        <w:t>In SUL, this method is used for ex-ante evaluations and ex-post analyses of city logistics solutions. Simulation work usually involves software packages that reproduce the functioning of logistical systems.</w:t>
      </w:r>
    </w:p>
    <w:p w14:paraId="5CE0A124" w14:textId="6C4B03BD" w:rsidR="0071798B" w:rsidRPr="00A96AC5" w:rsidRDefault="0071798B" w:rsidP="000C45A2">
      <w:pPr>
        <w:spacing w:after="240" w:line="360" w:lineRule="auto"/>
        <w:rPr>
          <w:rFonts w:cs="Times New Roman"/>
        </w:rPr>
      </w:pPr>
      <w:r w:rsidRPr="008903D1">
        <w:rPr>
          <w:rFonts w:cs="Times New Roman"/>
        </w:rPr>
        <w:fldChar w:fldCharType="begin"/>
      </w:r>
      <w:r w:rsidRPr="00A96AC5">
        <w:rPr>
          <w:rFonts w:cs="Times New Roman"/>
        </w:rPr>
        <w:instrText xml:space="preserve"> REF _Ref26979565 \h </w:instrText>
      </w:r>
      <w:r w:rsidR="008903D1">
        <w:rPr>
          <w:rFonts w:cs="Times New Roman"/>
        </w:rPr>
        <w:instrText xml:space="preserve"> \* MERGEFORMAT </w:instrText>
      </w:r>
      <w:r w:rsidRPr="008903D1">
        <w:rPr>
          <w:rFonts w:cs="Times New Roman"/>
        </w:rPr>
      </w:r>
      <w:r w:rsidRPr="008903D1">
        <w:rPr>
          <w:rFonts w:cs="Times New Roman"/>
        </w:rPr>
        <w:fldChar w:fldCharType="separate"/>
      </w:r>
      <w:r w:rsidR="0005064B" w:rsidRPr="008903D1">
        <w:rPr>
          <w:rFonts w:cs="Times New Roman"/>
        </w:rPr>
        <w:t xml:space="preserve">Figure </w:t>
      </w:r>
      <w:r w:rsidR="0005064B">
        <w:rPr>
          <w:rFonts w:cs="Times New Roman"/>
          <w:noProof/>
        </w:rPr>
        <w:t>2</w:t>
      </w:r>
      <w:r w:rsidR="0005064B">
        <w:rPr>
          <w:rFonts w:cs="Times New Roman"/>
          <w:noProof/>
        </w:rPr>
        <w:noBreakHyphen/>
        <w:t>6</w:t>
      </w:r>
      <w:r w:rsidRPr="008903D1">
        <w:rPr>
          <w:rFonts w:cs="Times New Roman"/>
        </w:rPr>
        <w:fldChar w:fldCharType="end"/>
      </w:r>
      <w:r w:rsidRPr="008903D1">
        <w:rPr>
          <w:rFonts w:cs="Times New Roman"/>
        </w:rPr>
        <w:t xml:space="preserve"> illustrates how many papers utilise each of these </w:t>
      </w:r>
      <w:r w:rsidRPr="00737239">
        <w:rPr>
          <w:rFonts w:cs="Times New Roman"/>
        </w:rPr>
        <w:t xml:space="preserve">methods. (A complete list of papers and their methodologies can be found in Part C of Appendix II.) </w:t>
      </w:r>
      <w:proofErr w:type="gramStart"/>
      <w:r w:rsidRPr="00737239">
        <w:rPr>
          <w:rFonts w:cs="Times New Roman"/>
        </w:rPr>
        <w:t>It is clear that SUL</w:t>
      </w:r>
      <w:proofErr w:type="gramEnd"/>
      <w:r w:rsidRPr="00737239">
        <w:rPr>
          <w:rFonts w:cs="Times New Roman"/>
        </w:rPr>
        <w:t xml:space="preserve"> research is dominated by quantitative modelling, case study, and survey, with two-thirds of the</w:t>
      </w:r>
      <w:r w:rsidRPr="00802DC5">
        <w:rPr>
          <w:rFonts w:cs="Times New Roman"/>
        </w:rPr>
        <w:t xml:space="preserve"> selected papers using one of these methods.</w:t>
      </w:r>
    </w:p>
    <w:p w14:paraId="3092CBCE" w14:textId="77777777" w:rsidR="0071798B" w:rsidRPr="008903D1" w:rsidRDefault="0071798B" w:rsidP="000A4E8C">
      <w:pPr>
        <w:spacing w:line="360" w:lineRule="auto"/>
        <w:jc w:val="center"/>
        <w:rPr>
          <w:rFonts w:cs="Times New Roman"/>
        </w:rPr>
      </w:pPr>
      <w:r w:rsidRPr="008903D1">
        <w:rPr>
          <w:rFonts w:cs="Times New Roman"/>
          <w:noProof/>
          <w:lang w:eastAsia="en-GB"/>
        </w:rPr>
        <w:lastRenderedPageBreak/>
        <w:drawing>
          <wp:inline distT="0" distB="0" distL="0" distR="0" wp14:anchorId="42C72140" wp14:editId="6C537F65">
            <wp:extent cx="4572000" cy="2743200"/>
            <wp:effectExtent l="0" t="0" r="0" b="0"/>
            <wp:docPr id="6" name="Chart 6">
              <a:extLst xmlns:a="http://schemas.openxmlformats.org/drawingml/2006/main">
                <a:ext uri="{FF2B5EF4-FFF2-40B4-BE49-F238E27FC236}">
                  <a16:creationId xmlns:a16="http://schemas.microsoft.com/office/drawing/2014/main" id="{D70533ED-2FA7-4DE5-BC74-162A80E011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B6B4834" w14:textId="5B251161" w:rsidR="0071798B" w:rsidRPr="00737239" w:rsidRDefault="0071798B" w:rsidP="00246032">
      <w:pPr>
        <w:pStyle w:val="Caption"/>
        <w:spacing w:line="360" w:lineRule="auto"/>
        <w:rPr>
          <w:rFonts w:cs="Times New Roman"/>
        </w:rPr>
      </w:pPr>
      <w:bookmarkStart w:id="284" w:name="_Ref26979565"/>
      <w:bookmarkStart w:id="285" w:name="_Toc491869763"/>
      <w:bookmarkStart w:id="286" w:name="_Toc34675012"/>
      <w:bookmarkStart w:id="287" w:name="_Toc34734804"/>
      <w:bookmarkStart w:id="288" w:name="_Toc46053667"/>
      <w:bookmarkStart w:id="289" w:name="_Toc66698700"/>
      <w:r w:rsidRPr="008903D1">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2</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6</w:t>
      </w:r>
      <w:r w:rsidR="00632993">
        <w:rPr>
          <w:rFonts w:cs="Times New Roman"/>
        </w:rPr>
        <w:fldChar w:fldCharType="end"/>
      </w:r>
      <w:bookmarkEnd w:id="284"/>
      <w:r w:rsidR="00FD1FFD">
        <w:rPr>
          <w:rFonts w:cs="Times New Roman"/>
        </w:rPr>
        <w:t>:</w:t>
      </w:r>
      <w:r w:rsidRPr="008903D1">
        <w:rPr>
          <w:rFonts w:cs="Times New Roman"/>
        </w:rPr>
        <w:t xml:space="preserve"> The frequency of use of each research method</w:t>
      </w:r>
      <w:bookmarkEnd w:id="285"/>
      <w:r w:rsidRPr="008903D1">
        <w:rPr>
          <w:rFonts w:cs="Times New Roman"/>
        </w:rPr>
        <w:t xml:space="preserve"> in the relevant literature</w:t>
      </w:r>
      <w:bookmarkStart w:id="290" w:name="_Toc34734497"/>
      <w:bookmarkEnd w:id="286"/>
      <w:bookmarkEnd w:id="287"/>
      <w:bookmarkEnd w:id="288"/>
      <w:bookmarkEnd w:id="289"/>
    </w:p>
    <w:p w14:paraId="709310B3" w14:textId="28D63880" w:rsidR="00C132B0" w:rsidRPr="00802DC5" w:rsidRDefault="00C132B0" w:rsidP="000A4E8C">
      <w:pPr>
        <w:pStyle w:val="Heading2"/>
        <w:spacing w:after="120" w:line="360" w:lineRule="auto"/>
        <w:rPr>
          <w:rFonts w:cs="Times New Roman"/>
        </w:rPr>
      </w:pPr>
      <w:bookmarkStart w:id="291" w:name="_Toc46053415"/>
      <w:bookmarkStart w:id="292" w:name="_Toc46093329"/>
      <w:bookmarkStart w:id="293" w:name="_Toc46093612"/>
      <w:bookmarkStart w:id="294" w:name="_Toc66703187"/>
      <w:r w:rsidRPr="00802DC5">
        <w:rPr>
          <w:rFonts w:cs="Times New Roman"/>
        </w:rPr>
        <w:t xml:space="preserve">Research gaps in SUL and </w:t>
      </w:r>
      <w:r w:rsidR="00D577A1">
        <w:rPr>
          <w:rFonts w:cs="Times New Roman"/>
        </w:rPr>
        <w:t>t</w:t>
      </w:r>
      <w:r w:rsidRPr="00802DC5">
        <w:rPr>
          <w:rFonts w:cs="Times New Roman"/>
        </w:rPr>
        <w:t>opic selection</w:t>
      </w:r>
      <w:bookmarkEnd w:id="291"/>
      <w:bookmarkEnd w:id="292"/>
      <w:bookmarkEnd w:id="293"/>
      <w:bookmarkEnd w:id="294"/>
    </w:p>
    <w:bookmarkEnd w:id="290"/>
    <w:p w14:paraId="18CB1155" w14:textId="37A70AC1" w:rsidR="00F05849" w:rsidRDefault="00C15AD9" w:rsidP="000C45A2">
      <w:pPr>
        <w:spacing w:before="156" w:after="240" w:line="360" w:lineRule="auto"/>
        <w:rPr>
          <w:rFonts w:cs="Times New Roman"/>
        </w:rPr>
      </w:pPr>
      <w:r>
        <w:rPr>
          <w:rFonts w:cs="Times New Roman"/>
        </w:rPr>
        <w:t xml:space="preserve">The topic selection is based on the three </w:t>
      </w:r>
      <w:r w:rsidR="008A48A4">
        <w:rPr>
          <w:rFonts w:cs="Times New Roman"/>
        </w:rPr>
        <w:t xml:space="preserve">categories of </w:t>
      </w:r>
      <w:r>
        <w:rPr>
          <w:rFonts w:cs="Times New Roman"/>
        </w:rPr>
        <w:t xml:space="preserve">elements </w:t>
      </w:r>
      <w:r w:rsidR="00F05849">
        <w:rPr>
          <w:rFonts w:cs="Times New Roman"/>
        </w:rPr>
        <w:t xml:space="preserve">in terms of </w:t>
      </w:r>
      <w:r w:rsidR="009E4440">
        <w:rPr>
          <w:rFonts w:cs="Times New Roman"/>
        </w:rPr>
        <w:t>‘</w:t>
      </w:r>
      <w:r w:rsidR="00150527">
        <w:rPr>
          <w:rFonts w:cs="Times New Roman"/>
        </w:rPr>
        <w:t>g</w:t>
      </w:r>
      <w:r w:rsidR="00F05849">
        <w:rPr>
          <w:rFonts w:cs="Times New Roman"/>
        </w:rPr>
        <w:t xml:space="preserve">aps from </w:t>
      </w:r>
      <w:r w:rsidR="00F05849" w:rsidRPr="00F05849">
        <w:rPr>
          <w:rFonts w:cs="Times New Roman"/>
        </w:rPr>
        <w:t>literature</w:t>
      </w:r>
      <w:r w:rsidR="009E4440">
        <w:rPr>
          <w:rFonts w:cs="Times New Roman"/>
        </w:rPr>
        <w:t>’</w:t>
      </w:r>
      <w:r w:rsidR="00657D1C">
        <w:rPr>
          <w:rFonts w:cs="Times New Roman"/>
        </w:rPr>
        <w:t>,</w:t>
      </w:r>
      <w:r w:rsidR="00657D1C" w:rsidRPr="00657D1C">
        <w:rPr>
          <w:rFonts w:cs="Times New Roman"/>
        </w:rPr>
        <w:t xml:space="preserve"> </w:t>
      </w:r>
      <w:r w:rsidR="009E4440">
        <w:rPr>
          <w:rFonts w:cs="Times New Roman"/>
        </w:rPr>
        <w:t>‘</w:t>
      </w:r>
      <w:r w:rsidR="00EE5671" w:rsidRPr="00F05849">
        <w:rPr>
          <w:rFonts w:cs="Times New Roman"/>
        </w:rPr>
        <w:t>professional experience</w:t>
      </w:r>
      <w:r w:rsidR="009E4440">
        <w:rPr>
          <w:rFonts w:cs="Times New Roman"/>
        </w:rPr>
        <w:t>’</w:t>
      </w:r>
      <w:r w:rsidR="00657D1C">
        <w:rPr>
          <w:rFonts w:cs="Times New Roman"/>
        </w:rPr>
        <w:t xml:space="preserve">, and </w:t>
      </w:r>
      <w:r w:rsidR="009E4440">
        <w:rPr>
          <w:rFonts w:cs="Times New Roman"/>
        </w:rPr>
        <w:t>‘</w:t>
      </w:r>
      <w:r w:rsidR="00EE5671">
        <w:rPr>
          <w:rFonts w:cs="Times New Roman"/>
        </w:rPr>
        <w:t>a</w:t>
      </w:r>
      <w:r w:rsidR="00EE5671" w:rsidRPr="00F05849">
        <w:rPr>
          <w:rFonts w:cs="Times New Roman"/>
        </w:rPr>
        <w:t>dvisor or mentor</w:t>
      </w:r>
      <w:r w:rsidR="009E4440">
        <w:rPr>
          <w:rFonts w:cs="Times New Roman"/>
        </w:rPr>
        <w:t>’</w:t>
      </w:r>
      <w:r w:rsidR="00657D1C">
        <w:rPr>
          <w:rFonts w:cs="Times New Roman"/>
        </w:rPr>
        <w:t xml:space="preserve">. These elements are </w:t>
      </w:r>
      <w:r w:rsidR="00374D5D">
        <w:rPr>
          <w:rFonts w:cs="Times New Roman"/>
        </w:rPr>
        <w:t>deemed</w:t>
      </w:r>
      <w:r w:rsidR="00657D1C">
        <w:rPr>
          <w:rFonts w:cs="Times New Roman"/>
        </w:rPr>
        <w:t xml:space="preserve"> </w:t>
      </w:r>
      <w:r w:rsidR="00840244">
        <w:rPr>
          <w:rFonts w:cs="Times New Roman"/>
        </w:rPr>
        <w:t>to be</w:t>
      </w:r>
      <w:r w:rsidR="00657D1C">
        <w:rPr>
          <w:rFonts w:cs="Times New Roman"/>
        </w:rPr>
        <w:t xml:space="preserve"> </w:t>
      </w:r>
      <w:r w:rsidR="008A48A4">
        <w:rPr>
          <w:rFonts w:cs="Times New Roman"/>
        </w:rPr>
        <w:t xml:space="preserve">important factors </w:t>
      </w:r>
      <w:r w:rsidR="008A0216">
        <w:rPr>
          <w:rFonts w:cs="Times New Roman"/>
        </w:rPr>
        <w:t xml:space="preserve">that help to choose </w:t>
      </w:r>
      <w:r w:rsidR="005B7CCE">
        <w:rPr>
          <w:rFonts w:cs="Times New Roman"/>
        </w:rPr>
        <w:t xml:space="preserve">the </w:t>
      </w:r>
      <w:r w:rsidR="008A0216">
        <w:rPr>
          <w:rFonts w:cs="Times New Roman"/>
        </w:rPr>
        <w:t>right research topics</w:t>
      </w:r>
      <w:r w:rsidR="00D67105">
        <w:rPr>
          <w:rFonts w:cs="Times New Roman"/>
        </w:rPr>
        <w:t xml:space="preserve"> </w:t>
      </w:r>
      <w:r w:rsidR="006853D8">
        <w:rPr>
          <w:rFonts w:cs="Times New Roman"/>
          <w:noProof/>
        </w:rPr>
        <w:fldChar w:fldCharType="begin"/>
      </w:r>
      <w:r w:rsidR="00647E79">
        <w:rPr>
          <w:rFonts w:cs="Times New Roman"/>
          <w:noProof/>
        </w:rPr>
        <w:instrText xml:space="preserve"> ADDIN EN.CITE &lt;EndNote&gt;&lt;Cite&gt;&lt;Author&gt;Corbin&lt;/Author&gt;&lt;Year&gt;2014&lt;/Year&gt;&lt;RecNum&gt;191&lt;/RecNum&gt;&lt;DisplayText&gt;(Corbin and Strauss, 2014)&lt;/DisplayText&gt;&lt;record&gt;&lt;rec-number&gt;191&lt;/rec-number&gt;&lt;foreign-keys&gt;&lt;key app="EN" db-id="pzt5ep52hsedfpeext2pdfes0w0aswaewef2" timestamp="1605187996"&gt;191&lt;/key&gt;&lt;/foreign-keys&gt;&lt;ref-type name="Book"&gt;6&lt;/ref-type&gt;&lt;contributors&gt;&lt;authors&gt;&lt;author&gt;Corbin, Juliet&lt;/author&gt;&lt;author&gt;Strauss, Anselm&lt;/author&gt;&lt;/authors&gt;&lt;/contributors&gt;&lt;titles&gt;&lt;title&gt;Basics of qualitative research: Techniques and procedures for developing grounded theory&lt;/title&gt;&lt;/titles&gt;&lt;dates&gt;&lt;year&gt;2014&lt;/year&gt;&lt;/dates&gt;&lt;publisher&gt;Sage publications&lt;/publisher&gt;&lt;isbn&gt;1483315681&lt;/isbn&gt;&lt;urls&gt;&lt;/urls&gt;&lt;/record&gt;&lt;/Cite&gt;&lt;/EndNote&gt;</w:instrText>
      </w:r>
      <w:r w:rsidR="006853D8">
        <w:rPr>
          <w:rFonts w:cs="Times New Roman"/>
          <w:noProof/>
        </w:rPr>
        <w:fldChar w:fldCharType="separate"/>
      </w:r>
      <w:r w:rsidR="006853D8">
        <w:rPr>
          <w:rFonts w:cs="Times New Roman"/>
          <w:noProof/>
        </w:rPr>
        <w:t>(Corbin and Strauss, 2014)</w:t>
      </w:r>
      <w:r w:rsidR="006853D8">
        <w:rPr>
          <w:rFonts w:cs="Times New Roman"/>
          <w:noProof/>
        </w:rPr>
        <w:fldChar w:fldCharType="end"/>
      </w:r>
      <w:r w:rsidR="00D67105">
        <w:rPr>
          <w:rFonts w:cs="Times New Roman"/>
        </w:rPr>
        <w:t>.</w:t>
      </w:r>
      <w:r w:rsidR="00824BE6">
        <w:rPr>
          <w:rFonts w:cs="Times New Roman"/>
        </w:rPr>
        <w:t xml:space="preserve"> </w:t>
      </w:r>
    </w:p>
    <w:p w14:paraId="5229A09D" w14:textId="02CA031E" w:rsidR="0077697F" w:rsidRPr="003057C9" w:rsidRDefault="00840244" w:rsidP="000C45A2">
      <w:pPr>
        <w:spacing w:before="156" w:after="240" w:line="360" w:lineRule="auto"/>
        <w:rPr>
          <w:rFonts w:cs="Times New Roman"/>
        </w:rPr>
      </w:pPr>
      <w:r>
        <w:rPr>
          <w:rFonts w:cs="Times New Roman"/>
        </w:rPr>
        <w:t>With</w:t>
      </w:r>
      <w:r w:rsidR="00D67105">
        <w:rPr>
          <w:rFonts w:cs="Times New Roman"/>
        </w:rPr>
        <w:t xml:space="preserve"> regard</w:t>
      </w:r>
      <w:r>
        <w:rPr>
          <w:rFonts w:cs="Times New Roman"/>
        </w:rPr>
        <w:t>s to</w:t>
      </w:r>
      <w:r w:rsidR="00D67105">
        <w:rPr>
          <w:rFonts w:cs="Times New Roman"/>
        </w:rPr>
        <w:t xml:space="preserve"> the first element, </w:t>
      </w:r>
      <w:r w:rsidR="006534FE">
        <w:rPr>
          <w:rFonts w:cs="Times New Roman"/>
        </w:rPr>
        <w:t xml:space="preserve">the </w:t>
      </w:r>
      <w:r w:rsidR="00D67105">
        <w:rPr>
          <w:rFonts w:cs="Times New Roman"/>
        </w:rPr>
        <w:t>a</w:t>
      </w:r>
      <w:r w:rsidR="0077697F" w:rsidRPr="003057C9">
        <w:rPr>
          <w:rFonts w:cs="Times New Roman"/>
        </w:rPr>
        <w:t xml:space="preserve">bove sections provide seven main categories of research dimensions in the field of SUL. </w:t>
      </w:r>
      <w:r w:rsidR="00736CA8" w:rsidRPr="003057C9">
        <w:rPr>
          <w:rFonts w:cs="Times New Roman"/>
        </w:rPr>
        <w:t>T</w:t>
      </w:r>
      <w:r w:rsidR="0077697F" w:rsidRPr="003057C9">
        <w:rPr>
          <w:rFonts w:cs="Times New Roman"/>
        </w:rPr>
        <w:t xml:space="preserve">he results obtained from </w:t>
      </w:r>
      <w:r w:rsidR="006534FE">
        <w:rPr>
          <w:rFonts w:cs="Times New Roman"/>
        </w:rPr>
        <w:t xml:space="preserve">the </w:t>
      </w:r>
      <w:r w:rsidR="0077697F" w:rsidRPr="003057C9">
        <w:rPr>
          <w:rFonts w:cs="Times New Roman"/>
        </w:rPr>
        <w:t>literature analysis demonstrate the research gaps in each aspect of the SUL research. For the freight movement optimisation, urban morphology is seldom considered. Limited study has investigated how the real urban environment (</w:t>
      </w:r>
      <w:proofErr w:type="gramStart"/>
      <w:r w:rsidR="0077697F" w:rsidRPr="003057C9">
        <w:rPr>
          <w:rFonts w:cs="Times New Roman"/>
        </w:rPr>
        <w:t>e.g.</w:t>
      </w:r>
      <w:proofErr w:type="gramEnd"/>
      <w:r w:rsidR="0077697F" w:rsidRPr="003057C9">
        <w:rPr>
          <w:rFonts w:cs="Times New Roman"/>
        </w:rPr>
        <w:t xml:space="preserve"> road size, shapes of </w:t>
      </w:r>
      <w:r w:rsidR="00DC5513">
        <w:rPr>
          <w:rFonts w:cs="Times New Roman"/>
        </w:rPr>
        <w:t xml:space="preserve">the </w:t>
      </w:r>
      <w:r w:rsidR="0077697F" w:rsidRPr="003057C9">
        <w:rPr>
          <w:rFonts w:cs="Times New Roman"/>
        </w:rPr>
        <w:t xml:space="preserve">city </w:t>
      </w:r>
      <w:r w:rsidR="00A9271D" w:rsidRPr="003057C9">
        <w:rPr>
          <w:rFonts w:cs="Times New Roman"/>
        </w:rPr>
        <w:t>centre</w:t>
      </w:r>
      <w:r w:rsidR="0077697F" w:rsidRPr="003057C9">
        <w:rPr>
          <w:rFonts w:cs="Times New Roman"/>
        </w:rPr>
        <w:t xml:space="preserve">, feasible infrastructure, etc.) affects vehicle movement. In addition, the impact of </w:t>
      </w:r>
      <w:r w:rsidR="00DC5513">
        <w:rPr>
          <w:rFonts w:cs="Times New Roman"/>
        </w:rPr>
        <w:t xml:space="preserve">the </w:t>
      </w:r>
      <w:r w:rsidR="0077697F" w:rsidRPr="003057C9">
        <w:rPr>
          <w:rFonts w:cs="Times New Roman"/>
        </w:rPr>
        <w:t>seasonal event (such as temporary road closure/maintenance) on the optimi</w:t>
      </w:r>
      <w:r w:rsidR="003A22F0">
        <w:rPr>
          <w:rFonts w:cs="Times New Roman"/>
        </w:rPr>
        <w:t>s</w:t>
      </w:r>
      <w:r w:rsidR="0077697F" w:rsidRPr="003057C9">
        <w:rPr>
          <w:rFonts w:cs="Times New Roman"/>
        </w:rPr>
        <w:t xml:space="preserve">ation of freight distribution in </w:t>
      </w:r>
      <w:r w:rsidR="003A22F0">
        <w:rPr>
          <w:rFonts w:cs="Times New Roman"/>
        </w:rPr>
        <w:t>an</w:t>
      </w:r>
      <w:r w:rsidR="0077697F" w:rsidRPr="003057C9">
        <w:rPr>
          <w:rFonts w:cs="Times New Roman"/>
        </w:rPr>
        <w:t xml:space="preserve"> urban area has not been well discussed. Meanwhile, these </w:t>
      </w:r>
      <w:proofErr w:type="gramStart"/>
      <w:r w:rsidR="0077697F" w:rsidRPr="003057C9">
        <w:rPr>
          <w:rFonts w:cs="Times New Roman"/>
        </w:rPr>
        <w:t>researches</w:t>
      </w:r>
      <w:proofErr w:type="gramEnd"/>
      <w:r w:rsidR="0077697F" w:rsidRPr="003057C9">
        <w:rPr>
          <w:rFonts w:cs="Times New Roman"/>
        </w:rPr>
        <w:t xml:space="preserve"> seldom optimise the vehicle routing problem in the context of reverse logistics activities.</w:t>
      </w:r>
    </w:p>
    <w:p w14:paraId="2203957B" w14:textId="7465A412" w:rsidR="0077697F" w:rsidRPr="003057C9" w:rsidRDefault="0077697F" w:rsidP="000C45A2">
      <w:pPr>
        <w:spacing w:before="156" w:after="240" w:line="360" w:lineRule="auto"/>
        <w:rPr>
          <w:rFonts w:cs="Times New Roman"/>
        </w:rPr>
      </w:pPr>
      <w:r w:rsidRPr="003057C9">
        <w:rPr>
          <w:rFonts w:cs="Times New Roman"/>
        </w:rPr>
        <w:t xml:space="preserve">For the </w:t>
      </w:r>
      <w:proofErr w:type="gramStart"/>
      <w:r w:rsidRPr="003057C9">
        <w:rPr>
          <w:rFonts w:cs="Times New Roman"/>
        </w:rPr>
        <w:t>researches</w:t>
      </w:r>
      <w:proofErr w:type="gramEnd"/>
      <w:r w:rsidRPr="003057C9">
        <w:rPr>
          <w:rFonts w:cs="Times New Roman"/>
        </w:rPr>
        <w:t xml:space="preserve"> about the new operating model of SUL, most of the literature </w:t>
      </w:r>
      <w:r w:rsidR="00A9271D" w:rsidRPr="003057C9">
        <w:rPr>
          <w:rFonts w:cs="Times New Roman"/>
        </w:rPr>
        <w:t>focus</w:t>
      </w:r>
      <w:r w:rsidR="00EC2EDC">
        <w:rPr>
          <w:rFonts w:cs="Times New Roman"/>
        </w:rPr>
        <w:t>es</w:t>
      </w:r>
      <w:r w:rsidR="00A9271D" w:rsidRPr="003057C9">
        <w:rPr>
          <w:rFonts w:cs="Times New Roman"/>
        </w:rPr>
        <w:t xml:space="preserve"> on discuss</w:t>
      </w:r>
      <w:r w:rsidR="00837609">
        <w:rPr>
          <w:rFonts w:cs="Times New Roman"/>
        </w:rPr>
        <w:t>ing</w:t>
      </w:r>
      <w:r w:rsidRPr="003057C9">
        <w:rPr>
          <w:rFonts w:cs="Times New Roman"/>
        </w:rPr>
        <w:t xml:space="preserve"> the potential environmental and financial benefits of innovative designing and ideas in city logistics. However, </w:t>
      </w:r>
      <w:r w:rsidR="00A9271D" w:rsidRPr="003057C9">
        <w:rPr>
          <w:rFonts w:cs="Times New Roman"/>
        </w:rPr>
        <w:t>fewer studies</w:t>
      </w:r>
      <w:r w:rsidRPr="003057C9">
        <w:rPr>
          <w:rFonts w:cs="Times New Roman"/>
        </w:rPr>
        <w:t xml:space="preserve"> disclose a variety of risks of these new operating models, such as risk in operational management. </w:t>
      </w:r>
      <w:r w:rsidR="009E5D71" w:rsidRPr="003057C9">
        <w:rPr>
          <w:rFonts w:cs="Times New Roman"/>
        </w:rPr>
        <w:t>L</w:t>
      </w:r>
      <w:r w:rsidRPr="003057C9">
        <w:rPr>
          <w:rFonts w:cs="Times New Roman"/>
        </w:rPr>
        <w:t xml:space="preserve">imited studies </w:t>
      </w:r>
      <w:r w:rsidR="009E5D71" w:rsidRPr="003057C9">
        <w:rPr>
          <w:rFonts w:cs="Times New Roman"/>
        </w:rPr>
        <w:t>in the field of</w:t>
      </w:r>
      <w:r w:rsidRPr="003057C9">
        <w:rPr>
          <w:rFonts w:cs="Times New Roman"/>
        </w:rPr>
        <w:t xml:space="preserve"> alternative delivery methods discussed the consequence of implementing these new shipping methods on</w:t>
      </w:r>
      <w:r w:rsidR="005A014B">
        <w:rPr>
          <w:rFonts w:cs="Times New Roman"/>
        </w:rPr>
        <w:t xml:space="preserve"> </w:t>
      </w:r>
      <w:r w:rsidRPr="003057C9">
        <w:rPr>
          <w:rFonts w:cs="Times New Roman"/>
        </w:rPr>
        <w:t xml:space="preserve">entire cities. In addition, the risk of these alternative methods at the strategic, tactical, and </w:t>
      </w:r>
      <w:r w:rsidRPr="003057C9">
        <w:rPr>
          <w:rFonts w:cs="Times New Roman"/>
        </w:rPr>
        <w:lastRenderedPageBreak/>
        <w:t>operational levels should receive more attention. For the studies about collaborative logistics, the internal competition between multiple LSPs (can</w:t>
      </w:r>
      <w:r w:rsidR="00E63E9E">
        <w:rPr>
          <w:rFonts w:cs="Times New Roman"/>
        </w:rPr>
        <w:t xml:space="preserve"> also</w:t>
      </w:r>
      <w:r w:rsidRPr="003057C9">
        <w:rPr>
          <w:rFonts w:cs="Times New Roman"/>
        </w:rPr>
        <w:t xml:space="preserve"> be multiple retailers and suppliers) has not been </w:t>
      </w:r>
      <w:proofErr w:type="gramStart"/>
      <w:r w:rsidRPr="003057C9">
        <w:rPr>
          <w:rFonts w:cs="Times New Roman"/>
        </w:rPr>
        <w:t>taken into account</w:t>
      </w:r>
      <w:proofErr w:type="gramEnd"/>
      <w:r w:rsidR="006A330E">
        <w:rPr>
          <w:rFonts w:cs="Times New Roman"/>
        </w:rPr>
        <w:t>, s</w:t>
      </w:r>
      <w:r w:rsidRPr="003057C9">
        <w:rPr>
          <w:rFonts w:cs="Times New Roman"/>
        </w:rPr>
        <w:t>ince these agents could operate their own activity individually in order to maximise their own benefits, which would destab</w:t>
      </w:r>
      <w:r w:rsidR="00D32DDE">
        <w:rPr>
          <w:rFonts w:cs="Times New Roman"/>
        </w:rPr>
        <w:t>i</w:t>
      </w:r>
      <w:r w:rsidRPr="003057C9">
        <w:rPr>
          <w:rFonts w:cs="Times New Roman"/>
        </w:rPr>
        <w:t>lise the collaborative network.</w:t>
      </w:r>
    </w:p>
    <w:p w14:paraId="7E8A5F7B" w14:textId="17473267" w:rsidR="0077697F" w:rsidRPr="003057C9" w:rsidRDefault="0077697F" w:rsidP="000C45A2">
      <w:pPr>
        <w:spacing w:before="156" w:after="240" w:line="360" w:lineRule="auto"/>
        <w:rPr>
          <w:rFonts w:cs="Times New Roman"/>
        </w:rPr>
      </w:pPr>
      <w:r w:rsidRPr="003057C9">
        <w:rPr>
          <w:rFonts w:cs="Times New Roman"/>
        </w:rPr>
        <w:t xml:space="preserve">In the research field of performance evaluation, the concerning </w:t>
      </w:r>
      <w:r w:rsidR="006A330E">
        <w:rPr>
          <w:rFonts w:cs="Times New Roman"/>
        </w:rPr>
        <w:t xml:space="preserve">aspect </w:t>
      </w:r>
      <w:r w:rsidRPr="003057C9">
        <w:rPr>
          <w:rFonts w:cs="Times New Roman"/>
        </w:rPr>
        <w:t>of SUL focus</w:t>
      </w:r>
      <w:r w:rsidR="006A330E">
        <w:rPr>
          <w:rFonts w:cs="Times New Roman"/>
        </w:rPr>
        <w:t>es</w:t>
      </w:r>
      <w:r w:rsidRPr="003057C9">
        <w:rPr>
          <w:rFonts w:cs="Times New Roman"/>
        </w:rPr>
        <w:t xml:space="preserve"> on the environmental impacts, such as the negatives externalities generated by logistics activities. However, </w:t>
      </w:r>
      <w:r w:rsidR="006A330E">
        <w:rPr>
          <w:rFonts w:cs="Times New Roman"/>
        </w:rPr>
        <w:t xml:space="preserve">the </w:t>
      </w:r>
      <w:r w:rsidRPr="003057C9">
        <w:rPr>
          <w:rFonts w:cs="Times New Roman"/>
        </w:rPr>
        <w:t>econom</w:t>
      </w:r>
      <w:r w:rsidR="005E10C7">
        <w:rPr>
          <w:rFonts w:cs="Times New Roman"/>
        </w:rPr>
        <w:t xml:space="preserve">ic </w:t>
      </w:r>
      <w:r w:rsidRPr="003057C9">
        <w:rPr>
          <w:rFonts w:cs="Times New Roman"/>
        </w:rPr>
        <w:t xml:space="preserve">sustainability of any logistics initiatives is overestimated, </w:t>
      </w:r>
      <w:r w:rsidR="00957DAA">
        <w:rPr>
          <w:rFonts w:cs="Times New Roman" w:hint="eastAsia"/>
        </w:rPr>
        <w:t>though</w:t>
      </w:r>
      <w:r w:rsidRPr="003057C9">
        <w:rPr>
          <w:rFonts w:cs="Times New Roman"/>
        </w:rPr>
        <w:t xml:space="preserve"> costs associated with emissions are considered as economic benefits of SUL project</w:t>
      </w:r>
      <w:r w:rsidR="006A330E">
        <w:rPr>
          <w:rFonts w:cs="Times New Roman"/>
        </w:rPr>
        <w:t>s</w:t>
      </w:r>
      <w:r w:rsidRPr="003057C9">
        <w:rPr>
          <w:rFonts w:cs="Times New Roman"/>
        </w:rPr>
        <w:t xml:space="preserve"> in some studies. Conversely, the financial issues (</w:t>
      </w:r>
      <w:proofErr w:type="gramStart"/>
      <w:r w:rsidRPr="003057C9">
        <w:rPr>
          <w:rFonts w:cs="Times New Roman"/>
        </w:rPr>
        <w:t>e.g.</w:t>
      </w:r>
      <w:proofErr w:type="gramEnd"/>
      <w:r w:rsidRPr="003057C9">
        <w:rPr>
          <w:rFonts w:cs="Times New Roman"/>
        </w:rPr>
        <w:t xml:space="preserve"> profitability) that affected </w:t>
      </w:r>
      <w:r w:rsidR="006A330E">
        <w:rPr>
          <w:rFonts w:cs="Times New Roman"/>
        </w:rPr>
        <w:t xml:space="preserve">the </w:t>
      </w:r>
      <w:r w:rsidRPr="003057C9">
        <w:rPr>
          <w:rFonts w:cs="Times New Roman"/>
        </w:rPr>
        <w:t>long</w:t>
      </w:r>
      <w:r w:rsidR="006A330E">
        <w:rPr>
          <w:rFonts w:cs="Times New Roman"/>
        </w:rPr>
        <w:t>-</w:t>
      </w:r>
      <w:r w:rsidRPr="003057C9">
        <w:rPr>
          <w:rFonts w:cs="Times New Roman"/>
        </w:rPr>
        <w:t xml:space="preserve">term sustainability of the logistics project </w:t>
      </w:r>
      <w:r w:rsidR="00A96959">
        <w:rPr>
          <w:rFonts w:cs="Times New Roman"/>
        </w:rPr>
        <w:t>are</w:t>
      </w:r>
      <w:r w:rsidRPr="003057C9">
        <w:rPr>
          <w:rFonts w:cs="Times New Roman"/>
        </w:rPr>
        <w:t xml:space="preserve"> neglected. Besides this, there </w:t>
      </w:r>
      <w:r w:rsidR="00400E63">
        <w:rPr>
          <w:rFonts w:cs="Times New Roman"/>
        </w:rPr>
        <w:t>are</w:t>
      </w:r>
      <w:r w:rsidRPr="003057C9">
        <w:rPr>
          <w:rFonts w:cs="Times New Roman"/>
        </w:rPr>
        <w:t xml:space="preserve"> no adequate tools to precisely calculate the effects of </w:t>
      </w:r>
      <w:r w:rsidR="00A96959">
        <w:rPr>
          <w:rFonts w:cs="Times New Roman"/>
        </w:rPr>
        <w:t xml:space="preserve">an </w:t>
      </w:r>
      <w:r w:rsidRPr="003057C9">
        <w:rPr>
          <w:rFonts w:cs="Times New Roman"/>
        </w:rPr>
        <w:t xml:space="preserve">SUL project in </w:t>
      </w:r>
      <w:r w:rsidR="00400E63">
        <w:rPr>
          <w:rFonts w:cs="Times New Roman"/>
        </w:rPr>
        <w:t xml:space="preserve">the </w:t>
      </w:r>
      <w:r w:rsidRPr="003057C9">
        <w:rPr>
          <w:rFonts w:cs="Times New Roman"/>
        </w:rPr>
        <w:t>social aspect.</w:t>
      </w:r>
    </w:p>
    <w:p w14:paraId="1D7DDCAF" w14:textId="4268C62C" w:rsidR="0077697F" w:rsidRPr="003057C9" w:rsidRDefault="0077697F" w:rsidP="000C45A2">
      <w:pPr>
        <w:spacing w:before="156" w:after="240" w:line="360" w:lineRule="auto"/>
        <w:rPr>
          <w:rFonts w:cs="Times New Roman"/>
        </w:rPr>
      </w:pPr>
      <w:r w:rsidRPr="003057C9">
        <w:rPr>
          <w:rFonts w:cs="Times New Roman"/>
        </w:rPr>
        <w:t xml:space="preserve">Planning issues </w:t>
      </w:r>
      <w:r w:rsidR="00CA32CA">
        <w:rPr>
          <w:rFonts w:cs="Times New Roman"/>
        </w:rPr>
        <w:t>are</w:t>
      </w:r>
      <w:r w:rsidRPr="003057C9">
        <w:rPr>
          <w:rFonts w:cs="Times New Roman"/>
        </w:rPr>
        <w:t xml:space="preserve"> not a popular research topic in the field </w:t>
      </w:r>
      <w:r w:rsidR="004C7D33">
        <w:rPr>
          <w:rFonts w:cs="Times New Roman"/>
        </w:rPr>
        <w:t xml:space="preserve">of </w:t>
      </w:r>
      <w:r w:rsidRPr="003057C9">
        <w:rPr>
          <w:rFonts w:cs="Times New Roman"/>
        </w:rPr>
        <w:t>SUL. The details of planning process</w:t>
      </w:r>
      <w:r w:rsidR="00FC6C83">
        <w:rPr>
          <w:rFonts w:cs="Times New Roman"/>
        </w:rPr>
        <w:t>es</w:t>
      </w:r>
      <w:r w:rsidRPr="003057C9">
        <w:rPr>
          <w:rFonts w:cs="Times New Roman"/>
        </w:rPr>
        <w:t xml:space="preserve"> should receive more </w:t>
      </w:r>
      <w:r w:rsidR="00FC6C83">
        <w:rPr>
          <w:rFonts w:cs="Times New Roman"/>
        </w:rPr>
        <w:t>in-</w:t>
      </w:r>
      <w:r w:rsidRPr="003057C9">
        <w:rPr>
          <w:rFonts w:cs="Times New Roman"/>
        </w:rPr>
        <w:t xml:space="preserve">depth investigation so that a standard paradigm for SUL planning can be formulated. For example, a norm agenda for </w:t>
      </w:r>
      <w:r w:rsidR="00AE1835">
        <w:rPr>
          <w:rFonts w:cs="Times New Roman"/>
        </w:rPr>
        <w:t>the</w:t>
      </w:r>
      <w:r w:rsidRPr="003057C9">
        <w:rPr>
          <w:rFonts w:cs="Times New Roman"/>
        </w:rPr>
        <w:t xml:space="preserve"> planning of </w:t>
      </w:r>
      <w:r w:rsidR="00AE1835">
        <w:rPr>
          <w:rFonts w:cs="Times New Roman"/>
        </w:rPr>
        <w:t xml:space="preserve">a </w:t>
      </w:r>
      <w:r w:rsidRPr="003057C9">
        <w:rPr>
          <w:rFonts w:cs="Times New Roman"/>
        </w:rPr>
        <w:t xml:space="preserve">logistics project should be proposed. </w:t>
      </w:r>
      <w:r w:rsidR="00522206">
        <w:rPr>
          <w:rFonts w:cs="Times New Roman" w:hint="eastAsia"/>
        </w:rPr>
        <w:t>The</w:t>
      </w:r>
      <w:r w:rsidR="00522206">
        <w:rPr>
          <w:rFonts w:cs="Times New Roman"/>
        </w:rPr>
        <w:t xml:space="preserve"> evaluation of </w:t>
      </w:r>
      <w:r w:rsidR="00522206">
        <w:rPr>
          <w:rFonts w:cs="Times New Roman" w:hint="eastAsia"/>
        </w:rPr>
        <w:t>planning</w:t>
      </w:r>
      <w:r w:rsidR="00522206">
        <w:rPr>
          <w:rFonts w:cs="Times New Roman"/>
        </w:rPr>
        <w:t xml:space="preserve"> outcome in urban logistics </w:t>
      </w:r>
      <w:r w:rsidR="00522206">
        <w:rPr>
          <w:rFonts w:cs="Times New Roman" w:hint="eastAsia"/>
        </w:rPr>
        <w:t>is</w:t>
      </w:r>
      <w:r w:rsidR="00522206">
        <w:rPr>
          <w:rFonts w:cs="Times New Roman"/>
        </w:rPr>
        <w:t xml:space="preserve"> </w:t>
      </w:r>
      <w:r w:rsidR="00522206">
        <w:rPr>
          <w:rFonts w:cs="Times New Roman" w:hint="eastAsia"/>
        </w:rPr>
        <w:t>alwa</w:t>
      </w:r>
      <w:r w:rsidR="00522206">
        <w:rPr>
          <w:rFonts w:cs="Times New Roman"/>
        </w:rPr>
        <w:t>ys based on the qualitative description</w:t>
      </w:r>
      <w:r w:rsidR="000A6E90">
        <w:rPr>
          <w:rFonts w:cs="Times New Roman"/>
        </w:rPr>
        <w:t>, however</w:t>
      </w:r>
      <w:r w:rsidR="009D53DB">
        <w:rPr>
          <w:rFonts w:cs="Times New Roman"/>
        </w:rPr>
        <w:t>,</w:t>
      </w:r>
      <w:r w:rsidR="000A6E90">
        <w:rPr>
          <w:rFonts w:cs="Times New Roman"/>
        </w:rPr>
        <w:t xml:space="preserve"> </w:t>
      </w:r>
      <w:r w:rsidR="00E7327A">
        <w:rPr>
          <w:rFonts w:cs="Times New Roman"/>
        </w:rPr>
        <w:t xml:space="preserve">a </w:t>
      </w:r>
      <w:r w:rsidR="000A6E90">
        <w:rPr>
          <w:rFonts w:cs="Times New Roman"/>
        </w:rPr>
        <w:t xml:space="preserve">lack of research </w:t>
      </w:r>
      <w:r w:rsidR="009D53DB">
        <w:rPr>
          <w:rFonts w:cs="Times New Roman"/>
        </w:rPr>
        <w:t>introduces</w:t>
      </w:r>
      <w:r w:rsidR="000A6E90">
        <w:rPr>
          <w:rFonts w:cs="Times New Roman"/>
        </w:rPr>
        <w:t xml:space="preserve"> numerical data</w:t>
      </w:r>
      <w:r w:rsidR="0009263F">
        <w:rPr>
          <w:rFonts w:cs="Times New Roman"/>
        </w:rPr>
        <w:t>/</w:t>
      </w:r>
      <w:r w:rsidR="000A6E90">
        <w:rPr>
          <w:rFonts w:cs="Times New Roman"/>
        </w:rPr>
        <w:t xml:space="preserve">results </w:t>
      </w:r>
      <w:r w:rsidR="0009263F">
        <w:rPr>
          <w:rFonts w:cs="Times New Roman"/>
        </w:rPr>
        <w:t>to support the effectiveness of logistics planning. Therefore, a</w:t>
      </w:r>
      <w:r w:rsidRPr="003057C9">
        <w:rPr>
          <w:rFonts w:cs="Times New Roman"/>
        </w:rPr>
        <w:t xml:space="preserve"> comprehensive performance evaluation should be proposed to demonstrate the effect of the planning strategy.</w:t>
      </w:r>
    </w:p>
    <w:p w14:paraId="0087E7BD" w14:textId="6A4F9CDE" w:rsidR="0077697F" w:rsidRPr="003057C9" w:rsidRDefault="0077697F" w:rsidP="000C45A2">
      <w:pPr>
        <w:spacing w:before="156" w:after="240" w:line="360" w:lineRule="auto"/>
        <w:rPr>
          <w:rFonts w:cs="Times New Roman"/>
        </w:rPr>
      </w:pPr>
      <w:r w:rsidRPr="003057C9">
        <w:rPr>
          <w:rFonts w:cs="Times New Roman"/>
        </w:rPr>
        <w:t xml:space="preserve">Stakeholders who </w:t>
      </w:r>
      <w:r w:rsidR="000320DA">
        <w:rPr>
          <w:rFonts w:cs="Times New Roman"/>
        </w:rPr>
        <w:t>have</w:t>
      </w:r>
      <w:r w:rsidRPr="003057C9">
        <w:rPr>
          <w:rFonts w:cs="Times New Roman"/>
        </w:rPr>
        <w:t xml:space="preserve"> expertise in urban logistics should be involved in decision-making and project implementation phase to promote efficiency in the city logistics system. However, studies neither provide comprehensive stakeholder analysis to understand their needs, preferences and viewpoints nor disclose the effects of the stakeholder’s engagement. Another new research aspect is building trust among the stakeholders to mitigate their complexity of relations</w:t>
      </w:r>
      <w:r w:rsidR="009F6988">
        <w:rPr>
          <w:rFonts w:cs="Times New Roman"/>
        </w:rPr>
        <w:t xml:space="preserve"> </w:t>
      </w:r>
      <w:r w:rsidRPr="003057C9">
        <w:rPr>
          <w:rFonts w:cs="Times New Roman"/>
        </w:rPr>
        <w:t xml:space="preserve">caused by the contradictory interests of stakeholders with various attributes. More seriously, stakeholders </w:t>
      </w:r>
      <w:r w:rsidR="001A505D">
        <w:rPr>
          <w:rFonts w:cs="Times New Roman"/>
        </w:rPr>
        <w:t xml:space="preserve">are </w:t>
      </w:r>
      <w:r w:rsidRPr="003057C9">
        <w:rPr>
          <w:rFonts w:cs="Times New Roman"/>
        </w:rPr>
        <w:t xml:space="preserve">normally unwilling to expose their preferences due to protecting </w:t>
      </w:r>
      <w:r w:rsidR="008D7C45">
        <w:rPr>
          <w:rFonts w:cs="Times New Roman"/>
        </w:rPr>
        <w:t xml:space="preserve">the </w:t>
      </w:r>
      <w:r w:rsidRPr="003057C9">
        <w:rPr>
          <w:rFonts w:cs="Times New Roman"/>
        </w:rPr>
        <w:t>confidentiality of information. Therefore, adequate tools should be formulated to accurately measure the different preference</w:t>
      </w:r>
      <w:r w:rsidR="000F3658">
        <w:rPr>
          <w:rFonts w:cs="Times New Roman"/>
        </w:rPr>
        <w:t>s</w:t>
      </w:r>
      <w:r w:rsidRPr="003057C9">
        <w:rPr>
          <w:rFonts w:cs="Times New Roman"/>
        </w:rPr>
        <w:t xml:space="preserve"> of stakeholders. Limited research aims to analyse private stakeholders</w:t>
      </w:r>
      <w:r w:rsidR="000F3658">
        <w:rPr>
          <w:rFonts w:cs="Times New Roman"/>
        </w:rPr>
        <w:t>’</w:t>
      </w:r>
      <w:r w:rsidRPr="003057C9">
        <w:rPr>
          <w:rFonts w:cs="Times New Roman"/>
        </w:rPr>
        <w:t xml:space="preserve"> (</w:t>
      </w:r>
      <w:proofErr w:type="gramStart"/>
      <w:r w:rsidRPr="003057C9">
        <w:rPr>
          <w:rFonts w:cs="Times New Roman"/>
        </w:rPr>
        <w:t>e.g.</w:t>
      </w:r>
      <w:proofErr w:type="gramEnd"/>
      <w:r w:rsidRPr="003057C9">
        <w:rPr>
          <w:rFonts w:cs="Times New Roman"/>
        </w:rPr>
        <w:t xml:space="preserve"> residents, LSPs, retailers) perception about urban logistics initiatives, including regulation</w:t>
      </w:r>
      <w:r w:rsidR="009325F2">
        <w:rPr>
          <w:rFonts w:cs="Times New Roman"/>
        </w:rPr>
        <w:t xml:space="preserve"> and</w:t>
      </w:r>
      <w:r w:rsidRPr="003057C9">
        <w:rPr>
          <w:rFonts w:cs="Times New Roman"/>
        </w:rPr>
        <w:t xml:space="preserve"> innovative project. In the policy</w:t>
      </w:r>
      <w:r w:rsidR="0036339B">
        <w:rPr>
          <w:rFonts w:cs="Times New Roman"/>
        </w:rPr>
        <w:t>-</w:t>
      </w:r>
      <w:r w:rsidRPr="003057C9">
        <w:rPr>
          <w:rFonts w:cs="Times New Roman"/>
        </w:rPr>
        <w:t>making process, the stakeholders’ willingness to adapt restrictive policy should get depth analysis</w:t>
      </w:r>
      <w:r w:rsidR="0036339B">
        <w:rPr>
          <w:rFonts w:cs="Times New Roman"/>
        </w:rPr>
        <w:t xml:space="preserve"> - </w:t>
      </w:r>
      <w:r w:rsidRPr="003057C9">
        <w:rPr>
          <w:rFonts w:cs="Times New Roman"/>
        </w:rPr>
        <w:t>such</w:t>
      </w:r>
      <w:r w:rsidR="00880BD2">
        <w:rPr>
          <w:rFonts w:cs="Times New Roman"/>
        </w:rPr>
        <w:t xml:space="preserve"> an</w:t>
      </w:r>
      <w:r w:rsidRPr="003057C9">
        <w:rPr>
          <w:rFonts w:cs="Times New Roman"/>
        </w:rPr>
        <w:t xml:space="preserve"> issue is significantly affecting the successful implementation of the issued policy.</w:t>
      </w:r>
      <w:r w:rsidR="00514B3F">
        <w:rPr>
          <w:rFonts w:cs="Times New Roman"/>
        </w:rPr>
        <w:t xml:space="preserve"> </w:t>
      </w:r>
    </w:p>
    <w:p w14:paraId="4CD800DC" w14:textId="27C7584E" w:rsidR="00676A59" w:rsidRDefault="0087631D" w:rsidP="000C45A2">
      <w:pPr>
        <w:spacing w:after="240" w:line="360" w:lineRule="auto"/>
        <w:rPr>
          <w:rFonts w:cs="Times New Roman"/>
        </w:rPr>
      </w:pPr>
      <w:r>
        <w:rPr>
          <w:rFonts w:cs="Times New Roman"/>
        </w:rPr>
        <w:lastRenderedPageBreak/>
        <w:t>C</w:t>
      </w:r>
      <w:r w:rsidR="004F5B4B">
        <w:rPr>
          <w:rFonts w:cs="Times New Roman"/>
        </w:rPr>
        <w:t>onsidering the second element</w:t>
      </w:r>
      <w:r>
        <w:rPr>
          <w:rFonts w:cs="Times New Roman"/>
        </w:rPr>
        <w:t xml:space="preserve">, </w:t>
      </w:r>
      <w:r w:rsidR="009133D5" w:rsidRPr="00A96AC5">
        <w:rPr>
          <w:rFonts w:cs="Times New Roman"/>
        </w:rPr>
        <w:t>three papers of literature reviews also summarise five promising research topics for investigation</w:t>
      </w:r>
      <w:r w:rsidR="003B0528" w:rsidRPr="00A96AC5">
        <w:rPr>
          <w:rFonts w:cs="Times New Roman"/>
        </w:rPr>
        <w:t xml:space="preserve"> in the field of UL</w:t>
      </w:r>
      <w:r w:rsidR="009133D5" w:rsidRPr="00A96AC5">
        <w:rPr>
          <w:rFonts w:cs="Times New Roman"/>
        </w:rPr>
        <w:t xml:space="preserve">: reasonable policymaking </w:t>
      </w:r>
      <w:r w:rsidR="006853D8">
        <w:rPr>
          <w:rFonts w:cs="Times New Roman"/>
          <w:noProof/>
        </w:rPr>
        <w:fldChar w:fldCharType="begin"/>
      </w:r>
      <w:r w:rsidR="00647E79">
        <w:rPr>
          <w:rFonts w:cs="Times New Roman"/>
          <w:noProof/>
        </w:rPr>
        <w:instrText xml:space="preserve"> ADDIN EN.CITE &lt;EndNote&gt;&lt;Cite&gt;&lt;Author&gt;Anand&lt;/Author&gt;&lt;Year&gt;2015&lt;/Year&gt;&lt;RecNum&gt;34&lt;/RecNum&gt;&lt;DisplayText&gt;(Anand et al., 2015)&lt;/DisplayText&gt;&lt;record&gt;&lt;rec-number&gt;34&lt;/rec-number&gt;&lt;foreign-keys&gt;&lt;key app="EN" db-id="pzt5ep52hsedfpeext2pdfes0w0aswaewef2" timestamp="1605187992"&gt;34&lt;/key&gt;&lt;/foreign-keys&gt;&lt;ref-type name="Journal Article"&gt;17&lt;/ref-type&gt;&lt;contributors&gt;&lt;authors&gt;&lt;author&gt;Anand, Nilesh&lt;/author&gt;&lt;author&gt;van Duin, Ron&lt;/author&gt;&lt;author&gt;Quak, Hans&lt;/author&gt;&lt;author&gt;Tavasszy, Lori&lt;/author&gt;&lt;/authors&gt;&lt;/contributors&gt;&lt;titles&gt;&lt;title&gt;Relevance of City Logistics Modelling Efforts: A Review&lt;/title&gt;&lt;secondary-title&gt;Transport Reviews&lt;/secondary-title&gt;&lt;/titles&gt;&lt;periodical&gt;&lt;full-title&gt;Transport Reviews&lt;/full-title&gt;&lt;/periodical&gt;&lt;pages&gt;701-719&lt;/pages&gt;&lt;volume&gt;35&lt;/volume&gt;&lt;number&gt;6&lt;/number&gt;&lt;dates&gt;&lt;year&gt;2015&lt;/year&gt;&lt;pub-dates&gt;&lt;date&gt;2015/11/02&lt;/date&gt;&lt;/pub-dates&gt;&lt;/dates&gt;&lt;publisher&gt;Routledge&lt;/publisher&gt;&lt;isbn&gt;0144-1647&lt;/isbn&gt;&lt;urls&gt;&lt;related-urls&gt;&lt;url&gt;https://doi.org/10.1080/01441647.2015.1052112&lt;/url&gt;&lt;/related-urls&gt;&lt;/urls&gt;&lt;electronic-resource-num&gt;10.1080/01441647.2015.1052112&lt;/electronic-resource-num&gt;&lt;/record&gt;&lt;/Cite&gt;&lt;/EndNote&gt;</w:instrText>
      </w:r>
      <w:r w:rsidR="006853D8">
        <w:rPr>
          <w:rFonts w:cs="Times New Roman"/>
          <w:noProof/>
        </w:rPr>
        <w:fldChar w:fldCharType="separate"/>
      </w:r>
      <w:r w:rsidR="006853D8">
        <w:rPr>
          <w:rFonts w:cs="Times New Roman"/>
          <w:noProof/>
        </w:rPr>
        <w:t>(Anand et al., 2015)</w:t>
      </w:r>
      <w:r w:rsidR="006853D8">
        <w:rPr>
          <w:rFonts w:cs="Times New Roman"/>
          <w:noProof/>
        </w:rPr>
        <w:fldChar w:fldCharType="end"/>
      </w:r>
      <w:r w:rsidR="009F5512">
        <w:rPr>
          <w:rFonts w:cs="Times New Roman"/>
          <w:noProof/>
        </w:rPr>
        <w:t>,</w:t>
      </w:r>
      <w:r w:rsidR="00E952CE">
        <w:rPr>
          <w:rFonts w:cs="Times New Roman"/>
          <w:noProof/>
        </w:rPr>
        <w:t xml:space="preserve"> </w:t>
      </w:r>
      <w:r w:rsidR="009133D5" w:rsidRPr="00A96AC5">
        <w:rPr>
          <w:rFonts w:cs="Times New Roman"/>
        </w:rPr>
        <w:t xml:space="preserve">perspective of stakeholders </w:t>
      </w:r>
      <w:r w:rsidR="006853D8">
        <w:rPr>
          <w:rFonts w:cs="Times New Roman"/>
        </w:rPr>
        <w:fldChar w:fldCharType="begin">
          <w:fldData xml:space="preserve">PEVuZE5vdGU+PENpdGU+PEF1dGhvcj5BbmFuZDwvQXV0aG9yPjxZZWFyPjIwMTQ8L1llYXI+PFJl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</w:fldData>
        </w:fldChar>
      </w:r>
      <w:r w:rsidR="00647E79">
        <w:rPr>
          <w:rFonts w:cs="Times New Roman"/>
        </w:rPr>
        <w:instrText xml:space="preserve"> ADDIN EN.CITE </w:instrText>
      </w:r>
      <w:r w:rsidR="00647E79">
        <w:rPr>
          <w:rFonts w:cs="Times New Roman"/>
        </w:rPr>
        <w:fldChar w:fldCharType="begin">
          <w:fldData xml:space="preserve">PEVuZE5vdGU+PENpdGU+PEF1dGhvcj5BbmFuZDwvQXV0aG9yPjxZZWFyPjIwMTQ8L1llYXI+PFJl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</w:fldData>
        </w:fldChar>
      </w:r>
      <w:r w:rsidR="00647E79">
        <w:rPr>
          <w:rFonts w:cs="Times New Roman"/>
        </w:rPr>
        <w:instrText xml:space="preserve"> ADDIN EN.CITE.DATA </w:instrText>
      </w:r>
      <w:r w:rsidR="00647E79">
        <w:rPr>
          <w:rFonts w:cs="Times New Roman"/>
        </w:rPr>
      </w:r>
      <w:r w:rsidR="00647E79">
        <w:rPr>
          <w:rFonts w:cs="Times New Roman"/>
        </w:rPr>
        <w:fldChar w:fldCharType="end"/>
      </w:r>
      <w:r w:rsidR="006853D8">
        <w:rPr>
          <w:rFonts w:cs="Times New Roman"/>
        </w:rPr>
      </w:r>
      <w:r w:rsidR="006853D8">
        <w:rPr>
          <w:rFonts w:cs="Times New Roman"/>
        </w:rPr>
        <w:fldChar w:fldCharType="separate"/>
      </w:r>
      <w:r w:rsidR="006853D8">
        <w:rPr>
          <w:rFonts w:cs="Times New Roman"/>
          <w:noProof/>
        </w:rPr>
        <w:t>(Anand et al., 2014, Lagorio et al., 2016)</w:t>
      </w:r>
      <w:r w:rsidR="006853D8">
        <w:rPr>
          <w:rFonts w:cs="Times New Roman"/>
        </w:rPr>
        <w:fldChar w:fldCharType="end"/>
      </w:r>
      <w:r w:rsidR="00EC050D">
        <w:rPr>
          <w:rFonts w:cs="Times New Roman"/>
        </w:rPr>
        <w:t xml:space="preserve">, </w:t>
      </w:r>
      <w:r w:rsidR="009133D5" w:rsidRPr="00A96AC5">
        <w:rPr>
          <w:rFonts w:cs="Times New Roman"/>
        </w:rPr>
        <w:t xml:space="preserve">cooperation logistics, technological innovation, and new delivery models </w:t>
      </w:r>
      <w:r w:rsidR="006853D8">
        <w:rPr>
          <w:rFonts w:cs="Times New Roman"/>
        </w:rPr>
        <w:fldChar w:fldCharType="begin">
          <w:fldData xml:space="preserve">PEVuZE5vdGU+PENpdGU+PEF1dGhvcj5MYWdvcmlvPC9BdXRob3I+PFllYXI+MjAxNjwvWWVhcj48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==
</w:fldData>
        </w:fldChar>
      </w:r>
      <w:r w:rsidR="00647E79">
        <w:rPr>
          <w:rFonts w:cs="Times New Roman"/>
        </w:rPr>
        <w:instrText xml:space="preserve"> ADDIN EN.CITE </w:instrText>
      </w:r>
      <w:r w:rsidR="00647E79">
        <w:rPr>
          <w:rFonts w:cs="Times New Roman"/>
        </w:rPr>
        <w:fldChar w:fldCharType="begin">
          <w:fldData xml:space="preserve">PEVuZE5vdGU+PENpdGU+PEF1dGhvcj5MYWdvcmlvPC9BdXRob3I+PFllYXI+MjAxNjwvWWVhcj48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==
</w:fldData>
        </w:fldChar>
      </w:r>
      <w:r w:rsidR="00647E79">
        <w:rPr>
          <w:rFonts w:cs="Times New Roman"/>
        </w:rPr>
        <w:instrText xml:space="preserve"> ADDIN EN.CITE.DATA </w:instrText>
      </w:r>
      <w:r w:rsidR="00647E79">
        <w:rPr>
          <w:rFonts w:cs="Times New Roman"/>
        </w:rPr>
      </w:r>
      <w:r w:rsidR="00647E79">
        <w:rPr>
          <w:rFonts w:cs="Times New Roman"/>
        </w:rPr>
        <w:fldChar w:fldCharType="end"/>
      </w:r>
      <w:r w:rsidR="006853D8">
        <w:rPr>
          <w:rFonts w:cs="Times New Roman"/>
        </w:rPr>
      </w:r>
      <w:r w:rsidR="006853D8">
        <w:rPr>
          <w:rFonts w:cs="Times New Roman"/>
        </w:rPr>
        <w:fldChar w:fldCharType="separate"/>
      </w:r>
      <w:r w:rsidR="006853D8">
        <w:rPr>
          <w:rFonts w:cs="Times New Roman"/>
          <w:noProof/>
        </w:rPr>
        <w:t>(Lagorio et al., 2016, Savelsbergh and Van Woensel, 2016)</w:t>
      </w:r>
      <w:r w:rsidR="006853D8">
        <w:rPr>
          <w:rFonts w:cs="Times New Roman"/>
        </w:rPr>
        <w:fldChar w:fldCharType="end"/>
      </w:r>
      <w:r w:rsidR="00EC050D">
        <w:rPr>
          <w:rFonts w:cs="Times New Roman"/>
        </w:rPr>
        <w:t xml:space="preserve">. </w:t>
      </w:r>
      <w:r w:rsidR="009133D5" w:rsidRPr="00737239">
        <w:rPr>
          <w:rFonts w:cs="Times New Roman"/>
        </w:rPr>
        <w:t>As such, contemporary resea</w:t>
      </w:r>
      <w:r w:rsidR="009133D5" w:rsidRPr="00802DC5">
        <w:rPr>
          <w:rFonts w:cs="Times New Roman"/>
        </w:rPr>
        <w:t xml:space="preserve">rch projects should follow this trend, as well as introducing innovative elements. </w:t>
      </w:r>
    </w:p>
    <w:p w14:paraId="65B5D5C3" w14:textId="792AA634" w:rsidR="00307E39" w:rsidRDefault="0073714D" w:rsidP="000C45A2">
      <w:pPr>
        <w:spacing w:after="240" w:line="360" w:lineRule="auto"/>
        <w:rPr>
          <w:rFonts w:cs="Times New Roman"/>
        </w:rPr>
      </w:pPr>
      <w:r>
        <w:rPr>
          <w:rFonts w:cs="Times New Roman"/>
        </w:rPr>
        <w:t>T</w:t>
      </w:r>
      <w:r w:rsidRPr="00A96AC5">
        <w:rPr>
          <w:rFonts w:cs="Times New Roman"/>
        </w:rPr>
        <w:t>his PhD research considers UCCs as a unit of analysis</w:t>
      </w:r>
      <w:r w:rsidR="00DF6583">
        <w:rPr>
          <w:rFonts w:cs="Times New Roman"/>
        </w:rPr>
        <w:t>, a</w:t>
      </w:r>
      <w:r w:rsidR="0071798B" w:rsidRPr="00A96AC5">
        <w:rPr>
          <w:rFonts w:cs="Times New Roman"/>
        </w:rPr>
        <w:t>s UCCs are pivotal SUL facilities</w:t>
      </w:r>
      <w:r w:rsidR="0018213D">
        <w:rPr>
          <w:rFonts w:cs="Times New Roman"/>
        </w:rPr>
        <w:t xml:space="preserve"> in which </w:t>
      </w:r>
      <w:r w:rsidR="000D1F87">
        <w:rPr>
          <w:rFonts w:cs="Times New Roman"/>
        </w:rPr>
        <w:t xml:space="preserve">the </w:t>
      </w:r>
      <w:r w:rsidR="0018213D">
        <w:rPr>
          <w:rFonts w:cs="Times New Roman"/>
        </w:rPr>
        <w:t>above research gaps exist in such</w:t>
      </w:r>
      <w:r w:rsidR="00DF6583">
        <w:rPr>
          <w:rFonts w:cs="Times New Roman"/>
        </w:rPr>
        <w:t xml:space="preserve"> a</w:t>
      </w:r>
      <w:r w:rsidR="0018213D">
        <w:rPr>
          <w:rFonts w:cs="Times New Roman"/>
        </w:rPr>
        <w:t xml:space="preserve"> facility. Moreover, UCC</w:t>
      </w:r>
      <w:r w:rsidR="0071798B" w:rsidRPr="00A96AC5">
        <w:rPr>
          <w:rFonts w:cs="Times New Roman"/>
        </w:rPr>
        <w:t xml:space="preserve"> management involves all the essential dimensions (new technologies, new operating systems, stakeholder engagement needs) highlighted in the literature review</w:t>
      </w:r>
      <w:r w:rsidR="0018213D">
        <w:rPr>
          <w:rFonts w:cs="Times New Roman"/>
        </w:rPr>
        <w:t xml:space="preserve"> papers</w:t>
      </w:r>
      <w:r w:rsidR="0071798B" w:rsidRPr="00A96AC5">
        <w:rPr>
          <w:rFonts w:cs="Times New Roman"/>
        </w:rPr>
        <w:t xml:space="preserve">. </w:t>
      </w:r>
      <w:r w:rsidR="00D228FE">
        <w:rPr>
          <w:rFonts w:cs="Times New Roman"/>
        </w:rPr>
        <w:t>C</w:t>
      </w:r>
      <w:r w:rsidR="00D228FE">
        <w:rPr>
          <w:rFonts w:cs="Times New Roman" w:hint="eastAsia"/>
        </w:rPr>
        <w:t>ompar</w:t>
      </w:r>
      <w:r w:rsidR="00DF6583">
        <w:rPr>
          <w:rFonts w:cs="Times New Roman"/>
        </w:rPr>
        <w:t>ed</w:t>
      </w:r>
      <w:r w:rsidR="00D228FE">
        <w:rPr>
          <w:rFonts w:cs="Times New Roman"/>
        </w:rPr>
        <w:t xml:space="preserve"> </w:t>
      </w:r>
      <w:r w:rsidR="00044EDB">
        <w:rPr>
          <w:rFonts w:cs="Times New Roman"/>
        </w:rPr>
        <w:t>to</w:t>
      </w:r>
      <w:r w:rsidR="00D228FE">
        <w:rPr>
          <w:rFonts w:cs="Times New Roman"/>
        </w:rPr>
        <w:t xml:space="preserve"> </w:t>
      </w:r>
      <w:r w:rsidR="00D228FE">
        <w:rPr>
          <w:rFonts w:cs="Times New Roman" w:hint="eastAsia"/>
        </w:rPr>
        <w:t>other</w:t>
      </w:r>
      <w:r w:rsidR="00D228FE">
        <w:rPr>
          <w:rFonts w:cs="Times New Roman"/>
        </w:rPr>
        <w:t xml:space="preserve"> </w:t>
      </w:r>
      <w:r w:rsidR="00D228FE">
        <w:rPr>
          <w:rFonts w:cs="Times New Roman" w:hint="eastAsia"/>
        </w:rPr>
        <w:t>logistics</w:t>
      </w:r>
      <w:r w:rsidR="00D228FE">
        <w:rPr>
          <w:rFonts w:cs="Times New Roman"/>
        </w:rPr>
        <w:t xml:space="preserve"> </w:t>
      </w:r>
      <w:r w:rsidR="00E46E6E">
        <w:rPr>
          <w:rFonts w:cs="Times New Roman"/>
        </w:rPr>
        <w:t xml:space="preserve">solutions, </w:t>
      </w:r>
      <w:r w:rsidR="00044EDB">
        <w:rPr>
          <w:rFonts w:cs="Times New Roman"/>
        </w:rPr>
        <w:t xml:space="preserve">a </w:t>
      </w:r>
      <w:r w:rsidR="00E46E6E">
        <w:rPr>
          <w:rFonts w:cs="Times New Roman"/>
        </w:rPr>
        <w:t xml:space="preserve">UCC is a pivotal </w:t>
      </w:r>
      <w:r w:rsidR="000E7810">
        <w:rPr>
          <w:rFonts w:cs="Times New Roman"/>
        </w:rPr>
        <w:t>facility that could</w:t>
      </w:r>
      <w:r w:rsidR="00A545F4">
        <w:rPr>
          <w:rFonts w:cs="Times New Roman"/>
        </w:rPr>
        <w:t xml:space="preserve"> simultaneously</w:t>
      </w:r>
      <w:r w:rsidR="000E7810">
        <w:rPr>
          <w:rFonts w:cs="Times New Roman"/>
        </w:rPr>
        <w:t xml:space="preserve"> </w:t>
      </w:r>
      <w:r w:rsidR="00286B8E">
        <w:rPr>
          <w:rFonts w:cs="Times New Roman"/>
        </w:rPr>
        <w:t xml:space="preserve">generate both economic and environmental </w:t>
      </w:r>
      <w:r w:rsidR="000E7810">
        <w:rPr>
          <w:rFonts w:cs="Times New Roman"/>
        </w:rPr>
        <w:t>benefits</w:t>
      </w:r>
      <w:r w:rsidR="00A545F4">
        <w:rPr>
          <w:rFonts w:cs="Times New Roman"/>
        </w:rPr>
        <w:t xml:space="preserve">. In addition, such </w:t>
      </w:r>
      <w:r w:rsidR="00721618">
        <w:rPr>
          <w:rFonts w:cs="Times New Roman"/>
        </w:rPr>
        <w:t xml:space="preserve">kinds of </w:t>
      </w:r>
      <w:r w:rsidR="00A545F4">
        <w:rPr>
          <w:rFonts w:cs="Times New Roman"/>
        </w:rPr>
        <w:t>benefit</w:t>
      </w:r>
      <w:r w:rsidR="006239ED">
        <w:rPr>
          <w:rFonts w:cs="Times New Roman"/>
        </w:rPr>
        <w:t>s</w:t>
      </w:r>
      <w:r w:rsidR="00A545F4">
        <w:rPr>
          <w:rFonts w:cs="Times New Roman"/>
        </w:rPr>
        <w:t xml:space="preserve"> could</w:t>
      </w:r>
      <w:r w:rsidR="006239ED">
        <w:rPr>
          <w:rFonts w:cs="Times New Roman"/>
        </w:rPr>
        <w:t xml:space="preserve"> be</w:t>
      </w:r>
      <w:r w:rsidR="00A545F4">
        <w:rPr>
          <w:rFonts w:cs="Times New Roman"/>
        </w:rPr>
        <w:t xml:space="preserve"> enjoy</w:t>
      </w:r>
      <w:r w:rsidR="006239ED">
        <w:rPr>
          <w:rFonts w:cs="Times New Roman"/>
        </w:rPr>
        <w:t>ed</w:t>
      </w:r>
      <w:r w:rsidR="00A545F4">
        <w:rPr>
          <w:rFonts w:cs="Times New Roman"/>
        </w:rPr>
        <w:t xml:space="preserve"> by </w:t>
      </w:r>
      <w:r w:rsidR="000E7810">
        <w:rPr>
          <w:rFonts w:cs="Times New Roman"/>
        </w:rPr>
        <w:t xml:space="preserve">all </w:t>
      </w:r>
      <w:proofErr w:type="spellStart"/>
      <w:r w:rsidR="000E7810">
        <w:rPr>
          <w:rFonts w:cs="Times New Roman"/>
        </w:rPr>
        <w:t>participa</w:t>
      </w:r>
      <w:r w:rsidR="006239ED">
        <w:rPr>
          <w:rFonts w:cs="Times New Roman"/>
        </w:rPr>
        <w:t>n</w:t>
      </w:r>
      <w:r w:rsidR="000E7810">
        <w:rPr>
          <w:rFonts w:cs="Times New Roman"/>
        </w:rPr>
        <w:t>tes</w:t>
      </w:r>
      <w:proofErr w:type="spellEnd"/>
      <w:r w:rsidR="000E7810">
        <w:rPr>
          <w:rFonts w:cs="Times New Roman"/>
        </w:rPr>
        <w:t xml:space="preserve"> </w:t>
      </w:r>
      <w:r w:rsidR="00A545F4">
        <w:rPr>
          <w:rFonts w:cs="Times New Roman"/>
        </w:rPr>
        <w:t xml:space="preserve">as well as </w:t>
      </w:r>
      <w:r w:rsidR="000E7810">
        <w:rPr>
          <w:rFonts w:cs="Times New Roman"/>
        </w:rPr>
        <w:t>associated parties</w:t>
      </w:r>
      <w:r w:rsidR="00286B8E">
        <w:rPr>
          <w:rFonts w:cs="Times New Roman"/>
        </w:rPr>
        <w:t xml:space="preserve"> (</w:t>
      </w:r>
      <w:proofErr w:type="gramStart"/>
      <w:r w:rsidR="00286B8E">
        <w:rPr>
          <w:rFonts w:cs="Times New Roman"/>
        </w:rPr>
        <w:t>e.g.</w:t>
      </w:r>
      <w:proofErr w:type="gramEnd"/>
      <w:r w:rsidR="00286B8E">
        <w:rPr>
          <w:rFonts w:cs="Times New Roman"/>
        </w:rPr>
        <w:t xml:space="preserve"> </w:t>
      </w:r>
      <w:r w:rsidR="0072235F">
        <w:rPr>
          <w:rFonts w:cs="Times New Roman"/>
        </w:rPr>
        <w:t>receivers</w:t>
      </w:r>
      <w:r w:rsidR="00286B8E">
        <w:rPr>
          <w:rFonts w:cs="Times New Roman"/>
        </w:rPr>
        <w:t>, suppliers)</w:t>
      </w:r>
      <w:r w:rsidR="000E7810">
        <w:rPr>
          <w:rFonts w:cs="Times New Roman"/>
        </w:rPr>
        <w:t xml:space="preserve">. </w:t>
      </w:r>
      <w:r w:rsidR="00A9242A" w:rsidRPr="00A96AC5">
        <w:rPr>
          <w:rFonts w:cs="Times New Roman"/>
        </w:rPr>
        <w:t>However, the implementation of UCC facilities is not always successful in practice, with numerous problems still awaiting resolution</w:t>
      </w:r>
      <w:r w:rsidR="00A9242A">
        <w:rPr>
          <w:rFonts w:cs="Times New Roman" w:hint="eastAsia"/>
        </w:rPr>
        <w:t>,</w:t>
      </w:r>
      <w:r w:rsidR="00A9242A">
        <w:rPr>
          <w:rFonts w:cs="Times New Roman"/>
        </w:rPr>
        <w:t xml:space="preserve"> and </w:t>
      </w:r>
      <w:r w:rsidR="0093671E">
        <w:rPr>
          <w:rFonts w:cs="Times New Roman"/>
        </w:rPr>
        <w:t>many UCC</w:t>
      </w:r>
      <w:r w:rsidR="001F293C">
        <w:rPr>
          <w:rFonts w:cs="Times New Roman"/>
        </w:rPr>
        <w:t xml:space="preserve">s </w:t>
      </w:r>
      <w:r w:rsidR="00F64C34">
        <w:rPr>
          <w:rFonts w:cs="Times New Roman"/>
        </w:rPr>
        <w:t>fail</w:t>
      </w:r>
      <w:r w:rsidR="0093671E">
        <w:rPr>
          <w:rFonts w:cs="Times New Roman"/>
        </w:rPr>
        <w:t xml:space="preserve"> </w:t>
      </w:r>
      <w:r w:rsidR="00365CF7">
        <w:rPr>
          <w:rFonts w:cs="Times New Roman"/>
        </w:rPr>
        <w:t>during the tr</w:t>
      </w:r>
      <w:r w:rsidR="00F64C34">
        <w:rPr>
          <w:rFonts w:cs="Times New Roman"/>
        </w:rPr>
        <w:t>ia</w:t>
      </w:r>
      <w:r w:rsidR="00365CF7">
        <w:rPr>
          <w:rFonts w:cs="Times New Roman"/>
        </w:rPr>
        <w:t>l stage</w:t>
      </w:r>
      <w:r w:rsidR="001F293C">
        <w:rPr>
          <w:rFonts w:cs="Times New Roman"/>
        </w:rPr>
        <w:t>s</w:t>
      </w:r>
      <w:r w:rsidR="00F64C34">
        <w:rPr>
          <w:rFonts w:cs="Times New Roman"/>
        </w:rPr>
        <w:t xml:space="preserve">. </w:t>
      </w:r>
      <w:r w:rsidR="00365CF7">
        <w:rPr>
          <w:rFonts w:cs="Times New Roman"/>
        </w:rPr>
        <w:t xml:space="preserve"> </w:t>
      </w:r>
      <w:proofErr w:type="gramStart"/>
      <w:r w:rsidR="00F64690">
        <w:rPr>
          <w:rFonts w:cs="Times New Roman"/>
        </w:rPr>
        <w:t>I</w:t>
      </w:r>
      <w:r w:rsidR="00F64690">
        <w:rPr>
          <w:rFonts w:cs="Times New Roman" w:hint="eastAsia"/>
        </w:rPr>
        <w:t>n</w:t>
      </w:r>
      <w:r w:rsidR="00F64690">
        <w:rPr>
          <w:rFonts w:cs="Times New Roman"/>
        </w:rPr>
        <w:t xml:space="preserve"> </w:t>
      </w:r>
      <w:r w:rsidR="00F64690">
        <w:rPr>
          <w:rFonts w:cs="Times New Roman" w:hint="eastAsia"/>
        </w:rPr>
        <w:t>order</w:t>
      </w:r>
      <w:r w:rsidR="00F64690">
        <w:rPr>
          <w:rFonts w:cs="Times New Roman"/>
        </w:rPr>
        <w:t xml:space="preserve"> </w:t>
      </w:r>
      <w:r w:rsidR="00F64690">
        <w:rPr>
          <w:rFonts w:cs="Times New Roman" w:hint="eastAsia"/>
        </w:rPr>
        <w:t>to</w:t>
      </w:r>
      <w:proofErr w:type="gramEnd"/>
      <w:r w:rsidR="00F64690">
        <w:rPr>
          <w:rFonts w:cs="Times New Roman"/>
        </w:rPr>
        <w:t xml:space="preserve"> have an in-depth understanding of the issues of </w:t>
      </w:r>
      <w:r w:rsidR="001F293C">
        <w:rPr>
          <w:rFonts w:cs="Times New Roman"/>
        </w:rPr>
        <w:t xml:space="preserve">a </w:t>
      </w:r>
      <w:r w:rsidR="00F64690">
        <w:rPr>
          <w:rFonts w:cs="Times New Roman"/>
        </w:rPr>
        <w:t xml:space="preserve">UCC, a comprehensive literature review </w:t>
      </w:r>
      <w:r w:rsidR="00F03459">
        <w:rPr>
          <w:rFonts w:cs="Times New Roman"/>
        </w:rPr>
        <w:t xml:space="preserve">should be conducted. The findings from the literature review could also </w:t>
      </w:r>
      <w:r w:rsidR="00B0288C">
        <w:rPr>
          <w:rFonts w:cs="Times New Roman"/>
        </w:rPr>
        <w:t>indicate</w:t>
      </w:r>
      <w:r w:rsidR="005F4C43">
        <w:rPr>
          <w:rFonts w:cs="Times New Roman"/>
        </w:rPr>
        <w:t xml:space="preserve"> further solutions for the issues of UCC</w:t>
      </w:r>
      <w:r w:rsidR="004C73B7">
        <w:rPr>
          <w:rFonts w:cs="Times New Roman"/>
        </w:rPr>
        <w:t>s</w:t>
      </w:r>
      <w:r w:rsidR="00A9242A">
        <w:rPr>
          <w:rFonts w:cs="Times New Roman"/>
        </w:rPr>
        <w:t>.</w:t>
      </w:r>
      <w:r w:rsidR="005E1589">
        <w:rPr>
          <w:rFonts w:cs="Times New Roman"/>
        </w:rPr>
        <w:t xml:space="preserve"> </w:t>
      </w:r>
      <w:r w:rsidR="005E1589" w:rsidRPr="00A96AC5">
        <w:rPr>
          <w:rFonts w:cs="Times New Roman"/>
        </w:rPr>
        <w:t>For the reasons cited above, the management of UCCs is a fascinating topic.</w:t>
      </w:r>
    </w:p>
    <w:p w14:paraId="7C86D698" w14:textId="40DA4597" w:rsidR="00736C9D" w:rsidRDefault="00736C9D" w:rsidP="00246032">
      <w:pPr>
        <w:spacing w:after="240" w:line="360" w:lineRule="auto"/>
        <w:rPr>
          <w:rFonts w:cs="Times New Roman"/>
        </w:rPr>
      </w:pPr>
      <w:r>
        <w:rPr>
          <w:rFonts w:cs="Times New Roman"/>
        </w:rPr>
        <w:t xml:space="preserve">Regarding the third element, </w:t>
      </w:r>
      <w:r w:rsidR="00487C89">
        <w:rPr>
          <w:rFonts w:cs="Times New Roman" w:hint="eastAsia"/>
        </w:rPr>
        <w:t>selecting</w:t>
      </w:r>
      <w:r w:rsidR="00487C89">
        <w:rPr>
          <w:rFonts w:cs="Times New Roman"/>
        </w:rPr>
        <w:t xml:space="preserve"> </w:t>
      </w:r>
      <w:r w:rsidR="00487C89">
        <w:rPr>
          <w:rFonts w:cs="Times New Roman" w:hint="eastAsia"/>
        </w:rPr>
        <w:t>the</w:t>
      </w:r>
      <w:r w:rsidR="00487C89">
        <w:rPr>
          <w:rFonts w:cs="Times New Roman"/>
        </w:rPr>
        <w:t xml:space="preserve"> </w:t>
      </w:r>
      <w:r w:rsidR="00487C89">
        <w:rPr>
          <w:rFonts w:cs="Times New Roman" w:hint="eastAsia"/>
        </w:rPr>
        <w:t>UCC</w:t>
      </w:r>
      <w:r w:rsidR="00487C89">
        <w:rPr>
          <w:rFonts w:cs="Times New Roman"/>
        </w:rPr>
        <w:t xml:space="preserve"> </w:t>
      </w:r>
      <w:r w:rsidR="00487C89">
        <w:rPr>
          <w:rFonts w:cs="Times New Roman" w:hint="eastAsia"/>
        </w:rPr>
        <w:t>as</w:t>
      </w:r>
      <w:r w:rsidR="002E594D">
        <w:rPr>
          <w:rFonts w:cs="Times New Roman"/>
        </w:rPr>
        <w:t xml:space="preserve"> the</w:t>
      </w:r>
      <w:r w:rsidR="00487C89">
        <w:rPr>
          <w:rFonts w:cs="Times New Roman"/>
        </w:rPr>
        <w:t xml:space="preserve"> </w:t>
      </w:r>
      <w:r w:rsidR="00487C89">
        <w:rPr>
          <w:rFonts w:cs="Times New Roman" w:hint="eastAsia"/>
        </w:rPr>
        <w:t>research</w:t>
      </w:r>
      <w:r w:rsidR="00487C89">
        <w:rPr>
          <w:rFonts w:cs="Times New Roman"/>
        </w:rPr>
        <w:t xml:space="preserve"> </w:t>
      </w:r>
      <w:r w:rsidR="00487C89">
        <w:rPr>
          <w:rFonts w:cs="Times New Roman" w:hint="eastAsia"/>
        </w:rPr>
        <w:t>topic</w:t>
      </w:r>
      <w:r w:rsidR="00487C89">
        <w:rPr>
          <w:rFonts w:cs="Times New Roman"/>
        </w:rPr>
        <w:t xml:space="preserve"> </w:t>
      </w:r>
      <w:r w:rsidR="004C73B7">
        <w:rPr>
          <w:rFonts w:cs="Times New Roman"/>
        </w:rPr>
        <w:t>was done in</w:t>
      </w:r>
      <w:r w:rsidR="00487C89">
        <w:rPr>
          <w:rFonts w:cs="Times New Roman"/>
        </w:rPr>
        <w:t xml:space="preserve"> </w:t>
      </w:r>
      <w:r w:rsidR="00487C89">
        <w:rPr>
          <w:rFonts w:cs="Times New Roman" w:hint="eastAsia"/>
        </w:rPr>
        <w:t>accord</w:t>
      </w:r>
      <w:r w:rsidR="00296EAB">
        <w:rPr>
          <w:rFonts w:cs="Times New Roman"/>
        </w:rPr>
        <w:t xml:space="preserve"> with</w:t>
      </w:r>
      <w:r w:rsidR="00487C89">
        <w:rPr>
          <w:rFonts w:cs="Times New Roman"/>
        </w:rPr>
        <w:t xml:space="preserve"> the suggestions of </w:t>
      </w:r>
      <w:r w:rsidR="00296EAB">
        <w:rPr>
          <w:rFonts w:cs="Times New Roman"/>
        </w:rPr>
        <w:t xml:space="preserve">the </w:t>
      </w:r>
      <w:r w:rsidR="00487C89">
        <w:rPr>
          <w:rFonts w:cs="Times New Roman"/>
        </w:rPr>
        <w:t>supervisor</w:t>
      </w:r>
      <w:r w:rsidR="00296EAB">
        <w:rPr>
          <w:rFonts w:cs="Times New Roman"/>
        </w:rPr>
        <w:t>y</w:t>
      </w:r>
      <w:r w:rsidR="00487C89">
        <w:rPr>
          <w:rFonts w:cs="Times New Roman"/>
        </w:rPr>
        <w:t xml:space="preserve"> team. In specific, </w:t>
      </w:r>
      <w:r>
        <w:rPr>
          <w:rFonts w:cs="Times New Roman"/>
        </w:rPr>
        <w:t>t</w:t>
      </w:r>
      <w:r w:rsidR="0071798B" w:rsidRPr="00A96AC5">
        <w:rPr>
          <w:rFonts w:cs="Times New Roman"/>
        </w:rPr>
        <w:t xml:space="preserve">his research is partly supported by the </w:t>
      </w:r>
      <w:proofErr w:type="spellStart"/>
      <w:r w:rsidR="0071798B" w:rsidRPr="00A96AC5">
        <w:rPr>
          <w:rFonts w:cs="Times New Roman"/>
        </w:rPr>
        <w:t>ProSFeT</w:t>
      </w:r>
      <w:proofErr w:type="spellEnd"/>
      <w:r w:rsidR="0071798B" w:rsidRPr="00A96AC5">
        <w:rPr>
          <w:rFonts w:cs="Times New Roman"/>
        </w:rPr>
        <w:t xml:space="preserve"> project (Promoting Sustainable Freight Transport in Urban Contexts: Policy and Decision-Making Approaches), </w:t>
      </w:r>
      <w:r w:rsidR="00776FB6">
        <w:rPr>
          <w:rFonts w:cs="Times New Roman" w:hint="eastAsia"/>
        </w:rPr>
        <w:t>which</w:t>
      </w:r>
      <w:r w:rsidR="00776FB6">
        <w:rPr>
          <w:rFonts w:cs="Times New Roman"/>
        </w:rPr>
        <w:t xml:space="preserve"> organised by University of Sheffield. T</w:t>
      </w:r>
      <w:r w:rsidR="00776FB6" w:rsidRPr="00A96AC5">
        <w:rPr>
          <w:rFonts w:cs="Times New Roman"/>
        </w:rPr>
        <w:t>hus,</w:t>
      </w:r>
      <w:r w:rsidR="0071798B" w:rsidRPr="00A96AC5">
        <w:rPr>
          <w:rFonts w:cs="Times New Roman"/>
        </w:rPr>
        <w:t xml:space="preserve"> data collection was conducted on the UCCs provided by this project. In addition, due to the researcher’s own personal network, the department of logistics in Wuhan University of Technology was able to provide data from UCCs in the Chinese UL market. As a result, this research provides a comparative investigation of UCCs in </w:t>
      </w:r>
      <w:r w:rsidR="00412971">
        <w:rPr>
          <w:rFonts w:cs="Times New Roman"/>
        </w:rPr>
        <w:t xml:space="preserve">both </w:t>
      </w:r>
      <w:r w:rsidR="0071798B" w:rsidRPr="00A96AC5">
        <w:rPr>
          <w:rFonts w:cs="Times New Roman"/>
        </w:rPr>
        <w:t xml:space="preserve">the EU and Chinese markets based on primary data. </w:t>
      </w:r>
    </w:p>
    <w:p w14:paraId="52BE1AF5" w14:textId="70367C5C" w:rsidR="00CF3A0E" w:rsidRPr="00A96AC5" w:rsidRDefault="00CF3A0E" w:rsidP="00CF3A0E">
      <w:pPr>
        <w:spacing w:after="240" w:line="360" w:lineRule="auto"/>
        <w:rPr>
          <w:rFonts w:cs="Times New Roman"/>
        </w:rPr>
      </w:pPr>
      <w:r>
        <w:rPr>
          <w:rFonts w:cs="Times New Roman"/>
        </w:rPr>
        <w:t>I</w:t>
      </w:r>
      <w:r>
        <w:rPr>
          <w:rFonts w:cs="Times New Roman" w:hint="eastAsia"/>
        </w:rPr>
        <w:t>n</w:t>
      </w:r>
      <w:r>
        <w:rPr>
          <w:rFonts w:cs="Times New Roman"/>
        </w:rPr>
        <w:t xml:space="preserve"> </w:t>
      </w:r>
      <w:r>
        <w:rPr>
          <w:rFonts w:cs="Times New Roman" w:hint="eastAsia"/>
        </w:rPr>
        <w:t>t</w:t>
      </w:r>
      <w:r>
        <w:rPr>
          <w:rFonts w:cs="Times New Roman"/>
        </w:rPr>
        <w:t>his section, t</w:t>
      </w:r>
      <w:r w:rsidRPr="00A96AC5">
        <w:rPr>
          <w:rFonts w:cs="Times New Roman"/>
        </w:rPr>
        <w:t>he topic classification process revealed that</w:t>
      </w:r>
      <w:r w:rsidR="002E594D">
        <w:rPr>
          <w:rFonts w:cs="Times New Roman"/>
        </w:rPr>
        <w:t xml:space="preserve"> </w:t>
      </w:r>
      <w:r w:rsidRPr="00A96AC5">
        <w:rPr>
          <w:rFonts w:cs="Times New Roman"/>
        </w:rPr>
        <w:t xml:space="preserve">23 papers focused specifically on UCCs </w:t>
      </w:r>
      <w:r w:rsidR="00E95DE6">
        <w:rPr>
          <w:rFonts w:cs="Times New Roman"/>
        </w:rPr>
        <w:t xml:space="preserve">and </w:t>
      </w:r>
      <w:r w:rsidRPr="00A96AC5">
        <w:rPr>
          <w:rFonts w:cs="Times New Roman"/>
        </w:rPr>
        <w:t xml:space="preserve">were published before the year of </w:t>
      </w:r>
      <w:r w:rsidRPr="008903D1">
        <w:rPr>
          <w:rFonts w:cs="Times New Roman"/>
        </w:rPr>
        <w:t>201</w:t>
      </w:r>
      <w:r w:rsidRPr="00737239">
        <w:rPr>
          <w:rFonts w:cs="Times New Roman"/>
        </w:rPr>
        <w:t>9</w:t>
      </w:r>
      <w:r w:rsidRPr="00802DC5">
        <w:rPr>
          <w:rFonts w:cs="Times New Roman"/>
        </w:rPr>
        <w:t>: equivalent to approximately 10% of the total (</w:t>
      </w:r>
      <w:r w:rsidRPr="00A96AC5">
        <w:rPr>
          <w:rFonts w:cs="Times New Roman"/>
        </w:rPr>
        <w:t>253 papers) published on UL (reviewed in 2019). This indicates that the study of UCC</w:t>
      </w:r>
      <w:r w:rsidR="00532138">
        <w:rPr>
          <w:rFonts w:cs="Times New Roman"/>
        </w:rPr>
        <w:t>s</w:t>
      </w:r>
      <w:r w:rsidRPr="00A96AC5">
        <w:rPr>
          <w:rFonts w:cs="Times New Roman"/>
        </w:rPr>
        <w:t xml:space="preserve"> received moderate attention. </w:t>
      </w:r>
      <w:proofErr w:type="gramStart"/>
      <w:r>
        <w:rPr>
          <w:rFonts w:cs="Times New Roman"/>
        </w:rPr>
        <w:t xml:space="preserve">For the purpose </w:t>
      </w:r>
      <w:r w:rsidR="004F31DA">
        <w:rPr>
          <w:rFonts w:cs="Times New Roman"/>
        </w:rPr>
        <w:t>of</w:t>
      </w:r>
      <w:proofErr w:type="gramEnd"/>
      <w:r w:rsidR="004F31DA">
        <w:rPr>
          <w:rFonts w:cs="Times New Roman"/>
        </w:rPr>
        <w:t xml:space="preserve"> having</w:t>
      </w:r>
      <w:r w:rsidR="00583969">
        <w:rPr>
          <w:rFonts w:cs="Times New Roman"/>
        </w:rPr>
        <w:t xml:space="preserve"> a full insight </w:t>
      </w:r>
      <w:r w:rsidR="004F31DA">
        <w:rPr>
          <w:rFonts w:cs="Times New Roman"/>
        </w:rPr>
        <w:t>into</w:t>
      </w:r>
      <w:r w:rsidR="00583969">
        <w:rPr>
          <w:rFonts w:cs="Times New Roman"/>
        </w:rPr>
        <w:t xml:space="preserve"> the UCC network</w:t>
      </w:r>
      <w:r w:rsidR="004F31DA">
        <w:rPr>
          <w:rFonts w:cs="Times New Roman"/>
        </w:rPr>
        <w:t>,</w:t>
      </w:r>
      <w:r w:rsidR="00583969">
        <w:rPr>
          <w:rFonts w:cs="Times New Roman"/>
        </w:rPr>
        <w:t xml:space="preserve"> </w:t>
      </w:r>
      <w:r w:rsidR="004F31DA">
        <w:rPr>
          <w:rFonts w:cs="Times New Roman"/>
        </w:rPr>
        <w:t>a</w:t>
      </w:r>
      <w:r w:rsidR="00583969">
        <w:rPr>
          <w:rFonts w:cs="Times New Roman"/>
        </w:rPr>
        <w:t xml:space="preserve"> </w:t>
      </w:r>
      <w:r w:rsidR="00AC43A3">
        <w:rPr>
          <w:rFonts w:cs="Times New Roman"/>
        </w:rPr>
        <w:lastRenderedPageBreak/>
        <w:t>dedicated literature review in</w:t>
      </w:r>
      <w:r w:rsidR="007777F4">
        <w:rPr>
          <w:rFonts w:cs="Times New Roman"/>
        </w:rPr>
        <w:t>to the</w:t>
      </w:r>
      <w:r w:rsidR="00AC43A3">
        <w:rPr>
          <w:rFonts w:cs="Times New Roman"/>
        </w:rPr>
        <w:t xml:space="preserve"> UCC domain should be conducted. The details are shown in the next section.</w:t>
      </w:r>
    </w:p>
    <w:p w14:paraId="09D2DE9F" w14:textId="77777777" w:rsidR="0071798B" w:rsidRPr="00A96AC5" w:rsidRDefault="0071798B" w:rsidP="000A4E8C">
      <w:pPr>
        <w:pStyle w:val="Heading2"/>
        <w:spacing w:after="120" w:line="360" w:lineRule="auto"/>
        <w:rPr>
          <w:rFonts w:cs="Times New Roman"/>
          <w:lang w:val="fr-FR"/>
        </w:rPr>
      </w:pPr>
      <w:bookmarkStart w:id="295" w:name="_Toc490415379"/>
      <w:bookmarkStart w:id="296" w:name="_Toc490823578"/>
      <w:bookmarkStart w:id="297" w:name="_Toc490484783"/>
      <w:bookmarkStart w:id="298" w:name="_Toc491894833"/>
      <w:bookmarkStart w:id="299" w:name="_Toc34734498"/>
      <w:bookmarkStart w:id="300" w:name="_Toc46053416"/>
      <w:bookmarkStart w:id="301" w:name="_Toc46093330"/>
      <w:bookmarkStart w:id="302" w:name="_Toc46093613"/>
      <w:bookmarkStart w:id="303" w:name="_Toc66703188"/>
      <w:r w:rsidRPr="00A96AC5">
        <w:rPr>
          <w:rFonts w:cs="Times New Roman"/>
          <w:lang w:val="fr-FR"/>
        </w:rPr>
        <w:t xml:space="preserve">A focus on </w:t>
      </w:r>
      <w:proofErr w:type="spellStart"/>
      <w:r w:rsidRPr="00A96AC5">
        <w:rPr>
          <w:rFonts w:cs="Times New Roman"/>
          <w:lang w:val="fr-FR"/>
        </w:rPr>
        <w:t>urban</w:t>
      </w:r>
      <w:proofErr w:type="spellEnd"/>
      <w:r w:rsidRPr="00A96AC5">
        <w:rPr>
          <w:rFonts w:cs="Times New Roman"/>
          <w:lang w:val="fr-FR"/>
        </w:rPr>
        <w:t xml:space="preserve"> consolidation </w:t>
      </w:r>
      <w:r w:rsidRPr="0018213D">
        <w:rPr>
          <w:rFonts w:cs="Times New Roman"/>
          <w:lang w:val="fr-FR"/>
        </w:rPr>
        <w:t>centres</w:t>
      </w:r>
      <w:r w:rsidRPr="00A96AC5">
        <w:rPr>
          <w:rFonts w:cs="Times New Roman"/>
          <w:lang w:val="fr-FR"/>
        </w:rPr>
        <w:t xml:space="preserve"> (</w:t>
      </w:r>
      <w:proofErr w:type="spellStart"/>
      <w:r w:rsidRPr="00A96AC5">
        <w:rPr>
          <w:rFonts w:cs="Times New Roman"/>
          <w:lang w:val="fr-FR"/>
        </w:rPr>
        <w:t>UCCs</w:t>
      </w:r>
      <w:bookmarkEnd w:id="295"/>
      <w:bookmarkEnd w:id="296"/>
      <w:bookmarkEnd w:id="297"/>
      <w:bookmarkEnd w:id="298"/>
      <w:proofErr w:type="spellEnd"/>
      <w:r w:rsidRPr="00A96AC5">
        <w:rPr>
          <w:rFonts w:cs="Times New Roman"/>
          <w:lang w:val="fr-FR"/>
        </w:rPr>
        <w:t>)</w:t>
      </w:r>
      <w:bookmarkEnd w:id="299"/>
      <w:bookmarkEnd w:id="300"/>
      <w:bookmarkEnd w:id="301"/>
      <w:bookmarkEnd w:id="302"/>
      <w:bookmarkEnd w:id="303"/>
    </w:p>
    <w:p w14:paraId="79B33C38" w14:textId="5AC708E6" w:rsidR="0071798B" w:rsidRPr="008903D1" w:rsidRDefault="0071798B" w:rsidP="000C45A2">
      <w:pPr>
        <w:spacing w:after="240" w:line="360" w:lineRule="auto"/>
        <w:rPr>
          <w:rFonts w:cs="Times New Roman"/>
        </w:rPr>
      </w:pPr>
      <w:r w:rsidRPr="00A96AC5">
        <w:rPr>
          <w:rFonts w:cs="Times New Roman"/>
        </w:rPr>
        <w:t xml:space="preserve">The literature on UCCs in the field of SUL is now presented to identify relevant research gaps. </w:t>
      </w:r>
      <w:r w:rsidRPr="00A96AC5">
        <w:rPr>
          <w:rFonts w:cs="Times New Roman"/>
          <w:szCs w:val="24"/>
        </w:rPr>
        <w:t>In the body of the literature considered in the previous sections, UCCs are explicitly considered in just 23 papers (</w:t>
      </w:r>
      <w:r w:rsidRPr="00737239">
        <w:rPr>
          <w:rFonts w:cs="Times New Roman"/>
          <w:szCs w:val="24"/>
        </w:rPr>
        <w:fldChar w:fldCharType="begin"/>
      </w:r>
      <w:r w:rsidRPr="00A96AC5">
        <w:rPr>
          <w:rFonts w:cs="Times New Roman"/>
          <w:szCs w:val="24"/>
        </w:rPr>
        <w:instrText xml:space="preserve"> REF _Ref34397217 \h </w:instrText>
      </w:r>
      <w:r w:rsidR="008903D1">
        <w:rPr>
          <w:rFonts w:cs="Times New Roman"/>
          <w:szCs w:val="24"/>
        </w:rPr>
        <w:instrText xml:space="preserve"> \* MERGEFORMAT </w:instrText>
      </w:r>
      <w:r w:rsidRPr="00737239">
        <w:rPr>
          <w:rFonts w:cs="Times New Roman"/>
          <w:szCs w:val="24"/>
        </w:rPr>
      </w:r>
      <w:r w:rsidRPr="00737239">
        <w:rPr>
          <w:rFonts w:cs="Times New Roman"/>
          <w:szCs w:val="24"/>
        </w:rPr>
        <w:fldChar w:fldCharType="separate"/>
      </w:r>
      <w:r w:rsidR="0005064B">
        <w:rPr>
          <w:rFonts w:cs="Times New Roman"/>
        </w:rPr>
        <w:t>Table</w:t>
      </w:r>
      <w:r w:rsidR="0005064B" w:rsidRPr="00737239">
        <w:rPr>
          <w:rFonts w:cs="Times New Roman"/>
        </w:rPr>
        <w:t xml:space="preserve"> </w:t>
      </w:r>
      <w:r w:rsidR="0005064B">
        <w:rPr>
          <w:rFonts w:cs="Times New Roman"/>
          <w:noProof/>
        </w:rPr>
        <w:t>2</w:t>
      </w:r>
      <w:r w:rsidR="0005064B">
        <w:rPr>
          <w:rFonts w:cs="Times New Roman"/>
          <w:noProof/>
        </w:rPr>
        <w:noBreakHyphen/>
        <w:t>8</w:t>
      </w:r>
      <w:r w:rsidRPr="00737239">
        <w:rPr>
          <w:rFonts w:cs="Times New Roman"/>
          <w:szCs w:val="24"/>
        </w:rPr>
        <w:fldChar w:fldCharType="end"/>
      </w:r>
      <w:r w:rsidRPr="008903D1">
        <w:rPr>
          <w:rFonts w:cs="Times New Roman"/>
          <w:szCs w:val="24"/>
        </w:rPr>
        <w:t xml:space="preserve">). As this is not sufficient </w:t>
      </w:r>
      <w:r w:rsidRPr="00737239">
        <w:rPr>
          <w:rFonts w:cs="Times New Roman"/>
          <w:szCs w:val="24"/>
        </w:rPr>
        <w:t xml:space="preserve">to highlight </w:t>
      </w:r>
      <w:r w:rsidR="007777F4">
        <w:rPr>
          <w:rFonts w:cs="Times New Roman"/>
          <w:szCs w:val="24"/>
        </w:rPr>
        <w:t>any</w:t>
      </w:r>
      <w:r w:rsidRPr="00737239">
        <w:rPr>
          <w:rFonts w:cs="Times New Roman"/>
          <w:szCs w:val="24"/>
        </w:rPr>
        <w:t xml:space="preserve"> res</w:t>
      </w:r>
      <w:r w:rsidRPr="00802DC5">
        <w:rPr>
          <w:rFonts w:cs="Times New Roman"/>
          <w:szCs w:val="24"/>
        </w:rPr>
        <w:t xml:space="preserve">earch gaps, a specific keyword search procedure was performed to find more articles in the field of UCC management. </w:t>
      </w:r>
    </w:p>
    <w:tbl>
      <w:tblPr>
        <w:tblStyle w:val="TableGrid"/>
        <w:tblW w:w="5041" w:type="pct"/>
        <w:tblInd w:w="-5" w:type="dxa"/>
        <w:tblLook w:val="04A0" w:firstRow="1" w:lastRow="0" w:firstColumn="1" w:lastColumn="0" w:noHBand="0" w:noVBand="1"/>
      </w:tblPr>
      <w:tblGrid>
        <w:gridCol w:w="9090"/>
      </w:tblGrid>
      <w:tr w:rsidR="0071798B" w:rsidRPr="008903D1" w14:paraId="446ED50D" w14:textId="77777777" w:rsidTr="00FB270A">
        <w:tc>
          <w:tcPr>
            <w:tcW w:w="5000" w:type="pct"/>
          </w:tcPr>
          <w:p w14:paraId="6C1A34F7" w14:textId="77777777" w:rsidR="0071798B" w:rsidRPr="00802DC5" w:rsidRDefault="0071798B" w:rsidP="000C45A2">
            <w:pPr>
              <w:spacing w:line="240" w:lineRule="auto"/>
              <w:rPr>
                <w:rFonts w:cs="Times New Roman"/>
              </w:rPr>
            </w:pPr>
            <w:r w:rsidRPr="00737239">
              <w:rPr>
                <w:rFonts w:cs="Times New Roman"/>
              </w:rPr>
              <w:t>08, 22, 26, 43, 49, 57, 62, 75, 78, 88, 112, 121, 132, 136, 141, 143, 184, 185, 189, 221, 228, 237, 247</w:t>
            </w:r>
          </w:p>
        </w:tc>
      </w:tr>
    </w:tbl>
    <w:p w14:paraId="6AF02E29" w14:textId="300C3510" w:rsidR="0071798B" w:rsidRPr="00737239" w:rsidRDefault="007B5959" w:rsidP="00246032">
      <w:pPr>
        <w:pStyle w:val="Caption"/>
        <w:spacing w:line="360" w:lineRule="auto"/>
        <w:rPr>
          <w:rFonts w:cs="Times New Roman"/>
        </w:rPr>
      </w:pPr>
      <w:bookmarkStart w:id="304" w:name="_Ref34397217"/>
      <w:bookmarkStart w:id="305" w:name="_Toc490574366"/>
      <w:bookmarkStart w:id="306" w:name="_Toc490415028"/>
      <w:bookmarkStart w:id="307" w:name="_Toc491870116"/>
      <w:bookmarkStart w:id="308" w:name="_Toc34674936"/>
      <w:bookmarkStart w:id="309" w:name="_Toc34734728"/>
      <w:bookmarkStart w:id="310" w:name="_Toc46053542"/>
      <w:bookmarkStart w:id="311" w:name="_Toc46093791"/>
      <w:bookmarkStart w:id="312" w:name="_Toc66698759"/>
      <w:r>
        <w:rPr>
          <w:rFonts w:cs="Times New Roman"/>
        </w:rPr>
        <w:t>Table</w:t>
      </w:r>
      <w:r w:rsidR="0071798B"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2</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8</w:t>
      </w:r>
      <w:r w:rsidR="00FE10DA">
        <w:rPr>
          <w:rFonts w:cs="Times New Roman"/>
        </w:rPr>
        <w:fldChar w:fldCharType="end"/>
      </w:r>
      <w:bookmarkEnd w:id="304"/>
      <w:bookmarkEnd w:id="305"/>
      <w:bookmarkEnd w:id="306"/>
      <w:bookmarkEnd w:id="307"/>
      <w:r w:rsidR="00AF217C">
        <w:rPr>
          <w:rFonts w:cs="Times New Roman"/>
        </w:rPr>
        <w:t>:</w:t>
      </w:r>
      <w:r w:rsidR="0071798B" w:rsidRPr="008903D1">
        <w:rPr>
          <w:rFonts w:cs="Times New Roman"/>
        </w:rPr>
        <w:t xml:space="preserve"> Papers in the literature on urban consolidation centres (UCCs)</w:t>
      </w:r>
      <w:bookmarkEnd w:id="308"/>
      <w:bookmarkEnd w:id="309"/>
      <w:bookmarkEnd w:id="310"/>
      <w:bookmarkEnd w:id="311"/>
      <w:bookmarkEnd w:id="312"/>
    </w:p>
    <w:p w14:paraId="1B27BDF4" w14:textId="4ECE8832" w:rsidR="0071798B" w:rsidRPr="000F61BC" w:rsidRDefault="0071798B" w:rsidP="000C45A2">
      <w:pPr>
        <w:spacing w:after="240" w:line="360" w:lineRule="auto"/>
        <w:rPr>
          <w:rFonts w:cs="Times New Roman"/>
        </w:rPr>
      </w:pPr>
      <w:r w:rsidRPr="00802DC5">
        <w:rPr>
          <w:rFonts w:cs="Times New Roman"/>
        </w:rPr>
        <w:t xml:space="preserve">This further work was helpful </w:t>
      </w:r>
      <w:r w:rsidR="00F27A4E">
        <w:rPr>
          <w:rFonts w:cs="Times New Roman"/>
        </w:rPr>
        <w:t>in</w:t>
      </w:r>
      <w:r w:rsidRPr="00802DC5">
        <w:rPr>
          <w:rFonts w:cs="Times New Roman"/>
        </w:rPr>
        <w:t xml:space="preserve"> gaining a deeper understanding of the current research on UCCs. The paper search and selection process were the same as that described in sections 2.1 and 2.2.</w:t>
      </w:r>
      <w:r w:rsidRPr="000F61BC">
        <w:rPr>
          <w:rFonts w:cs="Times New Roman"/>
        </w:rPr>
        <w:t xml:space="preserve"> </w:t>
      </w:r>
      <w:proofErr w:type="gramStart"/>
      <w:r w:rsidR="008B48FF" w:rsidRPr="000F61BC">
        <w:rPr>
          <w:rFonts w:cs="Times New Roman"/>
        </w:rPr>
        <w:t>In order to</w:t>
      </w:r>
      <w:proofErr w:type="gramEnd"/>
      <w:r w:rsidR="008B48FF" w:rsidRPr="000F61BC">
        <w:rPr>
          <w:rFonts w:cs="Times New Roman"/>
        </w:rPr>
        <w:t xml:space="preserve"> deepen the search, </w:t>
      </w:r>
      <w:r w:rsidR="00DF62FA">
        <w:rPr>
          <w:rFonts w:cs="Times New Roman"/>
        </w:rPr>
        <w:t>this chapter</w:t>
      </w:r>
      <w:r w:rsidR="008B48FF" w:rsidRPr="000F61BC">
        <w:rPr>
          <w:rFonts w:cs="Times New Roman"/>
        </w:rPr>
        <w:t xml:space="preserve"> also looked for UCC-related papers where the sustainability dimension was not specifically accounted</w:t>
      </w:r>
      <w:r w:rsidR="00F27A4E">
        <w:rPr>
          <w:rFonts w:cs="Times New Roman"/>
        </w:rPr>
        <w:t xml:space="preserve"> for</w:t>
      </w:r>
      <w:r w:rsidR="008B48FF" w:rsidRPr="000F61BC">
        <w:rPr>
          <w:rFonts w:cs="Times New Roman"/>
        </w:rPr>
        <w:t xml:space="preserve">. For this reason, these papers did not appear in the previous search. </w:t>
      </w:r>
      <w:r w:rsidRPr="00A96AC5">
        <w:rPr>
          <w:rFonts w:cs="Times New Roman"/>
        </w:rPr>
        <w:t>The selection of new keywords was based on the above 23 articles, and the screening criteria were as follows:</w:t>
      </w:r>
    </w:p>
    <w:p w14:paraId="5EAEF236" w14:textId="77777777" w:rsidR="0071798B" w:rsidRPr="008903D1" w:rsidRDefault="0071798B" w:rsidP="00A323CC">
      <w:pPr>
        <w:pStyle w:val="ListParagraph1"/>
        <w:numPr>
          <w:ilvl w:val="0"/>
          <w:numId w:val="7"/>
        </w:numPr>
        <w:spacing w:line="360" w:lineRule="auto"/>
        <w:ind w:firstLineChars="0"/>
      </w:pPr>
      <w:r w:rsidRPr="008903D1">
        <w:t xml:space="preserve">Keywords such as ‘urban distribution centre’ and their synonyms (e.g., ‘city distribution centre’, ‘urban consolidation centre’, etc.) </w:t>
      </w:r>
    </w:p>
    <w:p w14:paraId="788EE0C6" w14:textId="77777777" w:rsidR="0071798B" w:rsidRPr="008903D1" w:rsidRDefault="0071798B" w:rsidP="00A323CC">
      <w:pPr>
        <w:pStyle w:val="ListParagraph1"/>
        <w:numPr>
          <w:ilvl w:val="0"/>
          <w:numId w:val="7"/>
        </w:numPr>
        <w:spacing w:after="240" w:line="360" w:lineRule="auto"/>
        <w:ind w:firstLineChars="0"/>
      </w:pPr>
      <w:r w:rsidRPr="008903D1">
        <w:t>Keywords related to the operational model of UCC networks (e.g., ‘two-echelon delivery systems’)</w:t>
      </w:r>
    </w:p>
    <w:tbl>
      <w:tblPr>
        <w:tblStyle w:val="TableGrid1"/>
        <w:tblW w:w="5000" w:type="pct"/>
        <w:tblLook w:val="04A0" w:firstRow="1" w:lastRow="0" w:firstColumn="1" w:lastColumn="0" w:noHBand="0" w:noVBand="1"/>
      </w:tblPr>
      <w:tblGrid>
        <w:gridCol w:w="1884"/>
        <w:gridCol w:w="7132"/>
      </w:tblGrid>
      <w:tr w:rsidR="0071798B" w:rsidRPr="008903D1" w14:paraId="14070B28" w14:textId="77777777" w:rsidTr="009620D1">
        <w:tc>
          <w:tcPr>
            <w:tcW w:w="1045" w:type="pct"/>
          </w:tcPr>
          <w:p w14:paraId="1C51FFFF" w14:textId="77777777" w:rsidR="0071798B" w:rsidRPr="00802DC5" w:rsidRDefault="0071798B" w:rsidP="000C45A2">
            <w:pPr>
              <w:spacing w:line="240" w:lineRule="auto"/>
              <w:jc w:val="center"/>
              <w:rPr>
                <w:rFonts w:cs="Times New Roman"/>
                <w:b/>
                <w:bCs/>
                <w:sz w:val="22"/>
              </w:rPr>
            </w:pPr>
            <w:r w:rsidRPr="00737239">
              <w:rPr>
                <w:rFonts w:cs="Times New Roman"/>
                <w:b/>
                <w:bCs/>
                <w:sz w:val="22"/>
              </w:rPr>
              <w:t>Inclusion criteria</w:t>
            </w:r>
          </w:p>
        </w:tc>
        <w:tc>
          <w:tcPr>
            <w:tcW w:w="3955" w:type="pct"/>
          </w:tcPr>
          <w:p w14:paraId="10D69B0D" w14:textId="77777777" w:rsidR="0071798B" w:rsidRPr="00A96AC5" w:rsidRDefault="0071798B" w:rsidP="000C45A2">
            <w:pPr>
              <w:spacing w:line="240" w:lineRule="auto"/>
              <w:jc w:val="center"/>
              <w:rPr>
                <w:rFonts w:cs="Times New Roman"/>
                <w:b/>
                <w:bCs/>
                <w:sz w:val="22"/>
              </w:rPr>
            </w:pPr>
            <w:r w:rsidRPr="006C301D">
              <w:rPr>
                <w:rFonts w:cs="Times New Roman"/>
                <w:b/>
                <w:bCs/>
                <w:sz w:val="22"/>
              </w:rPr>
              <w:t>Description</w:t>
            </w:r>
          </w:p>
        </w:tc>
      </w:tr>
      <w:tr w:rsidR="0071798B" w:rsidRPr="008903D1" w14:paraId="6D40A927" w14:textId="77777777" w:rsidTr="009620D1">
        <w:tc>
          <w:tcPr>
            <w:tcW w:w="1045" w:type="pct"/>
            <w:vAlign w:val="center"/>
          </w:tcPr>
          <w:p w14:paraId="6D43B14E" w14:textId="77777777" w:rsidR="0071798B" w:rsidRPr="00802DC5" w:rsidRDefault="0071798B" w:rsidP="009620D1">
            <w:pPr>
              <w:spacing w:line="240" w:lineRule="auto"/>
              <w:jc w:val="center"/>
              <w:rPr>
                <w:rFonts w:cs="Times New Roman"/>
                <w:b/>
                <w:bCs/>
                <w:sz w:val="22"/>
              </w:rPr>
            </w:pPr>
            <w:r w:rsidRPr="00737239">
              <w:rPr>
                <w:rFonts w:cs="Times New Roman"/>
                <w:sz w:val="22"/>
              </w:rPr>
              <w:t>Keywords</w:t>
            </w:r>
          </w:p>
        </w:tc>
        <w:tc>
          <w:tcPr>
            <w:tcW w:w="3955" w:type="pct"/>
          </w:tcPr>
          <w:p w14:paraId="58F5EAE1" w14:textId="77777777" w:rsidR="0071798B" w:rsidRPr="00A96AC5" w:rsidRDefault="0071798B" w:rsidP="000C45A2">
            <w:pPr>
              <w:spacing w:line="240" w:lineRule="auto"/>
              <w:rPr>
                <w:rFonts w:cs="Times New Roman"/>
                <w:sz w:val="22"/>
              </w:rPr>
            </w:pPr>
            <w:r w:rsidRPr="006C301D">
              <w:rPr>
                <w:rFonts w:cs="Times New Roman"/>
                <w:sz w:val="22"/>
              </w:rPr>
              <w:t>‘urban consolidation centre’, or ‘ci</w:t>
            </w:r>
            <w:r w:rsidRPr="00A96AC5">
              <w:rPr>
                <w:rFonts w:cs="Times New Roman"/>
                <w:sz w:val="22"/>
              </w:rPr>
              <w:t>ty distribution centre’, ‘urban distribution centre’, or ‘two-echelon delivery systems’, or ‘two-echelon delivery network’</w:t>
            </w:r>
          </w:p>
        </w:tc>
      </w:tr>
      <w:tr w:rsidR="0071798B" w:rsidRPr="008903D1" w14:paraId="3497B7A1" w14:textId="77777777" w:rsidTr="009620D1">
        <w:tc>
          <w:tcPr>
            <w:tcW w:w="1045" w:type="pct"/>
            <w:vAlign w:val="center"/>
          </w:tcPr>
          <w:p w14:paraId="64A64131" w14:textId="77777777" w:rsidR="0071798B" w:rsidRPr="00802DC5" w:rsidRDefault="0071798B" w:rsidP="009620D1">
            <w:pPr>
              <w:spacing w:line="240" w:lineRule="auto"/>
              <w:jc w:val="center"/>
              <w:rPr>
                <w:rFonts w:cs="Times New Roman"/>
                <w:b/>
                <w:bCs/>
                <w:sz w:val="22"/>
              </w:rPr>
            </w:pPr>
            <w:r w:rsidRPr="00737239">
              <w:rPr>
                <w:rFonts w:cs="Times New Roman"/>
                <w:sz w:val="22"/>
              </w:rPr>
              <w:t>Language</w:t>
            </w:r>
          </w:p>
        </w:tc>
        <w:tc>
          <w:tcPr>
            <w:tcW w:w="3955" w:type="pct"/>
          </w:tcPr>
          <w:p w14:paraId="591FD0BD" w14:textId="77777777" w:rsidR="0071798B" w:rsidRPr="00A96AC5" w:rsidRDefault="0071798B" w:rsidP="000C45A2">
            <w:pPr>
              <w:spacing w:line="240" w:lineRule="auto"/>
              <w:rPr>
                <w:rFonts w:cs="Times New Roman"/>
                <w:sz w:val="22"/>
              </w:rPr>
            </w:pPr>
            <w:r w:rsidRPr="006C301D">
              <w:rPr>
                <w:rFonts w:cs="Times New Roman"/>
                <w:sz w:val="22"/>
              </w:rPr>
              <w:t>English</w:t>
            </w:r>
          </w:p>
        </w:tc>
      </w:tr>
      <w:tr w:rsidR="0071798B" w:rsidRPr="008903D1" w14:paraId="6F878CEB" w14:textId="77777777" w:rsidTr="009620D1">
        <w:tc>
          <w:tcPr>
            <w:tcW w:w="1045" w:type="pct"/>
            <w:vAlign w:val="center"/>
          </w:tcPr>
          <w:p w14:paraId="3B6C7494" w14:textId="77777777" w:rsidR="0071798B" w:rsidRPr="00802DC5" w:rsidRDefault="0071798B" w:rsidP="009620D1">
            <w:pPr>
              <w:spacing w:line="240" w:lineRule="auto"/>
              <w:jc w:val="center"/>
              <w:rPr>
                <w:rFonts w:cs="Times New Roman"/>
                <w:b/>
                <w:bCs/>
                <w:sz w:val="22"/>
              </w:rPr>
            </w:pPr>
            <w:r w:rsidRPr="00737239">
              <w:rPr>
                <w:rFonts w:cs="Times New Roman"/>
                <w:sz w:val="22"/>
              </w:rPr>
              <w:t>Source</w:t>
            </w:r>
          </w:p>
        </w:tc>
        <w:tc>
          <w:tcPr>
            <w:tcW w:w="3955" w:type="pct"/>
          </w:tcPr>
          <w:p w14:paraId="4AC12A7B" w14:textId="77777777" w:rsidR="0071798B" w:rsidRPr="00A96AC5" w:rsidRDefault="0071798B" w:rsidP="000C45A2">
            <w:pPr>
              <w:spacing w:line="240" w:lineRule="auto"/>
              <w:rPr>
                <w:rFonts w:cs="Times New Roman"/>
                <w:sz w:val="22"/>
              </w:rPr>
            </w:pPr>
            <w:r w:rsidRPr="006C301D">
              <w:rPr>
                <w:rFonts w:cs="Times New Roman"/>
                <w:sz w:val="22"/>
              </w:rPr>
              <w:t>Scopus</w:t>
            </w:r>
          </w:p>
        </w:tc>
      </w:tr>
      <w:tr w:rsidR="0071798B" w:rsidRPr="008903D1" w14:paraId="460D6672" w14:textId="77777777" w:rsidTr="009620D1">
        <w:tc>
          <w:tcPr>
            <w:tcW w:w="1045" w:type="pct"/>
            <w:vAlign w:val="center"/>
          </w:tcPr>
          <w:p w14:paraId="3E360437" w14:textId="77777777" w:rsidR="0071798B" w:rsidRPr="00802DC5" w:rsidRDefault="0071798B" w:rsidP="009620D1">
            <w:pPr>
              <w:spacing w:line="240" w:lineRule="auto"/>
              <w:jc w:val="center"/>
              <w:rPr>
                <w:rFonts w:cs="Times New Roman"/>
                <w:b/>
                <w:bCs/>
                <w:sz w:val="22"/>
              </w:rPr>
            </w:pPr>
            <w:r w:rsidRPr="00737239">
              <w:rPr>
                <w:rFonts w:cs="Times New Roman"/>
                <w:sz w:val="22"/>
              </w:rPr>
              <w:t>Document type</w:t>
            </w:r>
          </w:p>
        </w:tc>
        <w:tc>
          <w:tcPr>
            <w:tcW w:w="3955" w:type="pct"/>
          </w:tcPr>
          <w:p w14:paraId="394C7ABD" w14:textId="77777777" w:rsidR="0071798B" w:rsidRPr="00A96AC5" w:rsidRDefault="0071798B" w:rsidP="000C45A2">
            <w:pPr>
              <w:spacing w:line="240" w:lineRule="auto"/>
              <w:rPr>
                <w:rFonts w:cs="Times New Roman"/>
                <w:sz w:val="22"/>
              </w:rPr>
            </w:pPr>
            <w:r w:rsidRPr="006C301D">
              <w:rPr>
                <w:rFonts w:cs="Times New Roman"/>
                <w:sz w:val="22"/>
              </w:rPr>
              <w:t>Journal article and conference paper</w:t>
            </w:r>
          </w:p>
        </w:tc>
      </w:tr>
      <w:tr w:rsidR="0071798B" w:rsidRPr="008903D1" w14:paraId="60142303" w14:textId="77777777" w:rsidTr="009620D1">
        <w:tc>
          <w:tcPr>
            <w:tcW w:w="1045" w:type="pct"/>
            <w:vAlign w:val="center"/>
          </w:tcPr>
          <w:p w14:paraId="0B200FB0" w14:textId="77777777" w:rsidR="0071798B" w:rsidRPr="00802DC5" w:rsidRDefault="0071798B" w:rsidP="009620D1">
            <w:pPr>
              <w:spacing w:line="240" w:lineRule="auto"/>
              <w:jc w:val="center"/>
              <w:rPr>
                <w:rFonts w:cs="Times New Roman"/>
                <w:b/>
                <w:bCs/>
                <w:sz w:val="22"/>
              </w:rPr>
            </w:pPr>
            <w:r w:rsidRPr="00737239">
              <w:rPr>
                <w:rFonts w:cs="Times New Roman"/>
                <w:sz w:val="22"/>
              </w:rPr>
              <w:t>Restriction</w:t>
            </w:r>
          </w:p>
        </w:tc>
        <w:tc>
          <w:tcPr>
            <w:tcW w:w="3955" w:type="pct"/>
          </w:tcPr>
          <w:p w14:paraId="68069878" w14:textId="77777777" w:rsidR="0071798B" w:rsidRPr="00A96AC5" w:rsidRDefault="0071798B" w:rsidP="000C45A2">
            <w:pPr>
              <w:spacing w:line="240" w:lineRule="auto"/>
              <w:rPr>
                <w:rFonts w:cs="Times New Roman"/>
                <w:sz w:val="22"/>
              </w:rPr>
            </w:pPr>
            <w:r w:rsidRPr="006C301D">
              <w:rPr>
                <w:rFonts w:cs="Times New Roman"/>
                <w:sz w:val="22"/>
              </w:rPr>
              <w:t xml:space="preserve">Article title, Abstract, </w:t>
            </w:r>
            <w:r w:rsidRPr="00A96AC5">
              <w:rPr>
                <w:rFonts w:cs="Times New Roman"/>
                <w:sz w:val="22"/>
              </w:rPr>
              <w:t>Keywords</w:t>
            </w:r>
          </w:p>
        </w:tc>
      </w:tr>
      <w:tr w:rsidR="0071798B" w:rsidRPr="008903D1" w14:paraId="5D67713D" w14:textId="77777777" w:rsidTr="009620D1">
        <w:tc>
          <w:tcPr>
            <w:tcW w:w="1045" w:type="pct"/>
            <w:vAlign w:val="center"/>
          </w:tcPr>
          <w:p w14:paraId="7F9007BF" w14:textId="77777777" w:rsidR="0071798B" w:rsidRPr="00802DC5" w:rsidRDefault="0071798B" w:rsidP="009620D1">
            <w:pPr>
              <w:spacing w:line="240" w:lineRule="auto"/>
              <w:jc w:val="center"/>
              <w:rPr>
                <w:rFonts w:cs="Times New Roman"/>
                <w:b/>
                <w:bCs/>
                <w:sz w:val="22"/>
              </w:rPr>
            </w:pPr>
            <w:r w:rsidRPr="00737239">
              <w:rPr>
                <w:rFonts w:cs="Times New Roman"/>
                <w:sz w:val="22"/>
              </w:rPr>
              <w:t>Time interval</w:t>
            </w:r>
          </w:p>
        </w:tc>
        <w:tc>
          <w:tcPr>
            <w:tcW w:w="3955" w:type="pct"/>
          </w:tcPr>
          <w:p w14:paraId="53862C89" w14:textId="45D3A442" w:rsidR="0071798B" w:rsidRPr="00802DC5" w:rsidRDefault="0071798B" w:rsidP="000C45A2">
            <w:pPr>
              <w:spacing w:line="240" w:lineRule="auto"/>
              <w:rPr>
                <w:rFonts w:cs="Times New Roman"/>
                <w:sz w:val="22"/>
              </w:rPr>
            </w:pPr>
            <w:r w:rsidRPr="00802DC5">
              <w:rPr>
                <w:rFonts w:cs="Times New Roman"/>
                <w:sz w:val="22"/>
              </w:rPr>
              <w:t>2007-</w:t>
            </w:r>
            <w:r w:rsidR="008B48FF" w:rsidRPr="008903D1">
              <w:rPr>
                <w:rFonts w:cs="Times New Roman"/>
                <w:sz w:val="22"/>
              </w:rPr>
              <w:t>201</w:t>
            </w:r>
            <w:r w:rsidR="008B48FF" w:rsidRPr="00737239">
              <w:rPr>
                <w:rFonts w:cs="Times New Roman"/>
                <w:sz w:val="22"/>
              </w:rPr>
              <w:t>9</w:t>
            </w:r>
          </w:p>
        </w:tc>
      </w:tr>
    </w:tbl>
    <w:p w14:paraId="64701975" w14:textId="288B4B5B" w:rsidR="0071798B" w:rsidRPr="00737239" w:rsidRDefault="007B5959" w:rsidP="00246032">
      <w:pPr>
        <w:pStyle w:val="Caption"/>
        <w:spacing w:line="360" w:lineRule="auto"/>
        <w:rPr>
          <w:rFonts w:cs="Times New Roman"/>
        </w:rPr>
      </w:pPr>
      <w:bookmarkStart w:id="313" w:name="_Ref34397273"/>
      <w:bookmarkStart w:id="314" w:name="_Toc491870117"/>
      <w:bookmarkStart w:id="315" w:name="_Toc34674937"/>
      <w:bookmarkStart w:id="316" w:name="_Toc34734729"/>
      <w:bookmarkStart w:id="317" w:name="_Toc46053543"/>
      <w:bookmarkStart w:id="318" w:name="_Toc46093792"/>
      <w:bookmarkStart w:id="319" w:name="_Toc66698760"/>
      <w:r>
        <w:rPr>
          <w:rFonts w:cs="Times New Roman"/>
        </w:rPr>
        <w:t>Table</w:t>
      </w:r>
      <w:r w:rsidR="0071798B"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2</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9</w:t>
      </w:r>
      <w:r w:rsidR="00FE10DA">
        <w:rPr>
          <w:rFonts w:cs="Times New Roman"/>
        </w:rPr>
        <w:fldChar w:fldCharType="end"/>
      </w:r>
      <w:bookmarkEnd w:id="313"/>
      <w:r w:rsidR="00AF217C">
        <w:rPr>
          <w:rFonts w:cs="Times New Roman"/>
        </w:rPr>
        <w:t>:</w:t>
      </w:r>
      <w:r w:rsidR="0071798B" w:rsidRPr="008903D1">
        <w:rPr>
          <w:rFonts w:cs="Times New Roman"/>
        </w:rPr>
        <w:t xml:space="preserve"> Criteria for the paper search</w:t>
      </w:r>
      <w:bookmarkEnd w:id="314"/>
      <w:bookmarkEnd w:id="315"/>
      <w:bookmarkEnd w:id="316"/>
      <w:bookmarkEnd w:id="317"/>
      <w:bookmarkEnd w:id="318"/>
      <w:bookmarkEnd w:id="319"/>
    </w:p>
    <w:bookmarkStart w:id="320" w:name="_Hlk491765632"/>
    <w:p w14:paraId="3B8D97B6" w14:textId="7087F60F" w:rsidR="0071798B" w:rsidRPr="00802DC5" w:rsidRDefault="0071798B" w:rsidP="000C45A2">
      <w:pPr>
        <w:spacing w:before="240" w:after="240" w:line="360" w:lineRule="auto"/>
        <w:rPr>
          <w:rFonts w:cs="Times New Roman"/>
        </w:rPr>
      </w:pPr>
      <w:r w:rsidRPr="00737239">
        <w:rPr>
          <w:rFonts w:cs="Times New Roman"/>
        </w:rPr>
        <w:fldChar w:fldCharType="begin"/>
      </w:r>
      <w:r w:rsidRPr="00A96AC5">
        <w:rPr>
          <w:rFonts w:cs="Times New Roman"/>
        </w:rPr>
        <w:instrText xml:space="preserve"> REF _Ref34397273 \h </w:instrText>
      </w:r>
      <w:r w:rsidR="008903D1">
        <w:rPr>
          <w:rFonts w:cs="Times New Roman"/>
        </w:rPr>
        <w:instrText xml:space="preserve"> \* MERGEFORMAT </w:instrText>
      </w:r>
      <w:r w:rsidRPr="00737239">
        <w:rPr>
          <w:rFonts w:cs="Times New Roman"/>
        </w:rPr>
      </w:r>
      <w:r w:rsidRPr="00737239">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2</w:t>
      </w:r>
      <w:r w:rsidR="0005064B">
        <w:rPr>
          <w:rFonts w:cs="Times New Roman"/>
          <w:noProof/>
        </w:rPr>
        <w:noBreakHyphen/>
        <w:t>9</w:t>
      </w:r>
      <w:r w:rsidRPr="00737239">
        <w:rPr>
          <w:rFonts w:cs="Times New Roman"/>
        </w:rPr>
        <w:fldChar w:fldCharType="end"/>
      </w:r>
      <w:r w:rsidRPr="008903D1">
        <w:rPr>
          <w:rFonts w:cs="Times New Roman"/>
        </w:rPr>
        <w:t xml:space="preserve"> shows the search</w:t>
      </w:r>
      <w:r w:rsidRPr="00737239">
        <w:rPr>
          <w:rFonts w:cs="Times New Roman"/>
        </w:rPr>
        <w:t xml:space="preserve"> criteria used to gather the papers. As a result, 114 papers (Appendix III Part A) were select</w:t>
      </w:r>
      <w:r w:rsidRPr="00802DC5">
        <w:rPr>
          <w:rFonts w:cs="Times New Roman"/>
        </w:rPr>
        <w:t xml:space="preserve">ed for use in the literature </w:t>
      </w:r>
      <w:proofErr w:type="gramStart"/>
      <w:r w:rsidRPr="00802DC5">
        <w:rPr>
          <w:rFonts w:cs="Times New Roman"/>
        </w:rPr>
        <w:t>review</w:t>
      </w:r>
      <w:proofErr w:type="gramEnd"/>
      <w:r w:rsidRPr="00802DC5">
        <w:rPr>
          <w:rFonts w:cs="Times New Roman"/>
        </w:rPr>
        <w:t xml:space="preserve"> and each was given a unique identifier from ‘1B’ to ‘114B’. </w:t>
      </w:r>
      <w:r w:rsidRPr="00737239">
        <w:rPr>
          <w:rFonts w:cs="Times New Roman"/>
        </w:rPr>
        <w:fldChar w:fldCharType="begin"/>
      </w:r>
      <w:r w:rsidRPr="00A96AC5">
        <w:rPr>
          <w:rFonts w:cs="Times New Roman"/>
        </w:rPr>
        <w:instrText xml:space="preserve"> REF _Ref26979592 \h </w:instrText>
      </w:r>
      <w:r w:rsidR="008903D1">
        <w:rPr>
          <w:rFonts w:cs="Times New Roman"/>
        </w:rPr>
        <w:instrText xml:space="preserve"> \* MERGEFORMAT </w:instrText>
      </w:r>
      <w:r w:rsidRPr="00737239">
        <w:rPr>
          <w:rFonts w:cs="Times New Roman"/>
        </w:rPr>
      </w:r>
      <w:r w:rsidRPr="00737239">
        <w:rPr>
          <w:rFonts w:cs="Times New Roman"/>
        </w:rPr>
        <w:fldChar w:fldCharType="separate"/>
      </w:r>
      <w:r w:rsidR="0005064B" w:rsidRPr="0005064B">
        <w:rPr>
          <w:rFonts w:cs="Times New Roman"/>
          <w:bCs/>
        </w:rPr>
        <w:t xml:space="preserve">Figure </w:t>
      </w:r>
      <w:r w:rsidR="0005064B" w:rsidRPr="0005064B">
        <w:rPr>
          <w:rFonts w:cs="Times New Roman"/>
          <w:bCs/>
          <w:noProof/>
        </w:rPr>
        <w:t>2</w:t>
      </w:r>
      <w:r w:rsidR="0005064B" w:rsidRPr="0005064B">
        <w:rPr>
          <w:rFonts w:cs="Times New Roman"/>
          <w:bCs/>
          <w:noProof/>
        </w:rPr>
        <w:noBreakHyphen/>
        <w:t>7</w:t>
      </w:r>
      <w:r w:rsidRPr="00737239">
        <w:rPr>
          <w:rFonts w:cs="Times New Roman"/>
        </w:rPr>
        <w:fldChar w:fldCharType="end"/>
      </w:r>
      <w:r w:rsidRPr="008903D1">
        <w:rPr>
          <w:rFonts w:cs="Times New Roman"/>
        </w:rPr>
        <w:t xml:space="preserve"> shows an increase in the number of </w:t>
      </w:r>
      <w:r w:rsidRPr="00737239">
        <w:rPr>
          <w:rFonts w:cs="Times New Roman"/>
        </w:rPr>
        <w:t>relevant publ</w:t>
      </w:r>
      <w:r w:rsidRPr="00802DC5">
        <w:rPr>
          <w:rFonts w:cs="Times New Roman"/>
        </w:rPr>
        <w:t>ications, with 64 papers appearing between 2007 and 2017. Since 2012, papers on UC</w:t>
      </w:r>
      <w:r w:rsidRPr="006C301D">
        <w:rPr>
          <w:rFonts w:cs="Times New Roman"/>
        </w:rPr>
        <w:t>C</w:t>
      </w:r>
      <w:r w:rsidR="00F62C0B">
        <w:rPr>
          <w:rFonts w:cs="Times New Roman"/>
        </w:rPr>
        <w:t>s</w:t>
      </w:r>
      <w:r w:rsidRPr="006C301D">
        <w:rPr>
          <w:rFonts w:cs="Times New Roman"/>
        </w:rPr>
        <w:t xml:space="preserve"> have been published </w:t>
      </w:r>
      <w:r w:rsidRPr="006C301D">
        <w:rPr>
          <w:rFonts w:cs="Times New Roman"/>
        </w:rPr>
        <w:lastRenderedPageBreak/>
        <w:t xml:space="preserve">significantly more frequently than in the previous five years. The fluctuations in 2013 and 2019 </w:t>
      </w:r>
      <w:r w:rsidRPr="008903D1">
        <w:rPr>
          <w:rFonts w:cs="Times New Roman"/>
        </w:rPr>
        <w:t xml:space="preserve">were due to the removal of invalid papers </w:t>
      </w:r>
      <w:r w:rsidRPr="00737239">
        <w:rPr>
          <w:rFonts w:cs="Times New Roman"/>
        </w:rPr>
        <w:t>during the</w:t>
      </w:r>
      <w:r w:rsidRPr="00802DC5">
        <w:rPr>
          <w:rFonts w:cs="Times New Roman"/>
        </w:rPr>
        <w:t xml:space="preserve"> paper selection process. </w:t>
      </w:r>
    </w:p>
    <w:bookmarkEnd w:id="320"/>
    <w:p w14:paraId="420204C6" w14:textId="77777777" w:rsidR="0071798B" w:rsidRPr="006C301D" w:rsidRDefault="0071798B" w:rsidP="000A4E8C">
      <w:pPr>
        <w:spacing w:line="360" w:lineRule="auto"/>
        <w:rPr>
          <w:rFonts w:cs="Times New Roman"/>
        </w:rPr>
      </w:pPr>
    </w:p>
    <w:p w14:paraId="627DE9BB" w14:textId="77777777" w:rsidR="0071798B" w:rsidRPr="008903D1" w:rsidRDefault="0071798B" w:rsidP="000A4E8C">
      <w:pPr>
        <w:spacing w:line="360" w:lineRule="auto"/>
        <w:jc w:val="center"/>
        <w:rPr>
          <w:rFonts w:cs="Times New Roman"/>
        </w:rPr>
      </w:pPr>
      <w:bookmarkStart w:id="321" w:name="_Toc477867149"/>
      <w:bookmarkStart w:id="322" w:name="_Toc477972771"/>
      <w:bookmarkStart w:id="323" w:name="_Toc480825163"/>
      <w:r w:rsidRPr="008903D1">
        <w:rPr>
          <w:rFonts w:cs="Times New Roman"/>
          <w:noProof/>
          <w:lang w:eastAsia="en-GB"/>
        </w:rPr>
        <w:drawing>
          <wp:inline distT="0" distB="0" distL="0" distR="0" wp14:anchorId="5A4B3C27" wp14:editId="134F84C1">
            <wp:extent cx="5169535" cy="2676525"/>
            <wp:effectExtent l="0" t="0" r="12065" b="15875"/>
            <wp:docPr id="8" name="Chart 8">
              <a:extLst xmlns:a="http://schemas.openxmlformats.org/drawingml/2006/main">
                <a:ext uri="{FF2B5EF4-FFF2-40B4-BE49-F238E27FC236}">
                  <a16:creationId xmlns:a16="http://schemas.microsoft.com/office/drawing/2014/main" id="{098C3B32-E93B-4967-BE7A-66C3E34B18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37CA7EB" w14:textId="3ACF9892" w:rsidR="0071798B" w:rsidRPr="00737239" w:rsidRDefault="0071798B" w:rsidP="000A4E8C">
      <w:pPr>
        <w:pStyle w:val="Caption"/>
        <w:spacing w:after="0" w:line="360" w:lineRule="auto"/>
        <w:rPr>
          <w:rFonts w:cs="Times New Roman"/>
        </w:rPr>
      </w:pPr>
      <w:bookmarkStart w:id="324" w:name="_Ref26979592"/>
      <w:bookmarkStart w:id="325" w:name="_Toc490412886"/>
      <w:bookmarkStart w:id="326" w:name="_Toc490743354"/>
      <w:bookmarkStart w:id="327" w:name="_Toc490414809"/>
      <w:bookmarkStart w:id="328" w:name="_Toc491869764"/>
      <w:bookmarkStart w:id="329" w:name="_Toc34675013"/>
      <w:bookmarkStart w:id="330" w:name="_Toc34734805"/>
      <w:bookmarkStart w:id="331" w:name="_Toc46053668"/>
      <w:bookmarkStart w:id="332" w:name="_Toc66698701"/>
      <w:r w:rsidRPr="00737239">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2</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7</w:t>
      </w:r>
      <w:r w:rsidR="00632993">
        <w:rPr>
          <w:rFonts w:cs="Times New Roman"/>
        </w:rPr>
        <w:fldChar w:fldCharType="end"/>
      </w:r>
      <w:bookmarkEnd w:id="324"/>
      <w:r w:rsidR="00FD1FFD">
        <w:rPr>
          <w:rFonts w:cs="Times New Roman"/>
        </w:rPr>
        <w:t>:</w:t>
      </w:r>
      <w:r w:rsidRPr="008903D1">
        <w:rPr>
          <w:rFonts w:cs="Times New Roman"/>
        </w:rPr>
        <w:t xml:space="preserve"> </w:t>
      </w:r>
      <w:bookmarkEnd w:id="325"/>
      <w:bookmarkEnd w:id="326"/>
      <w:bookmarkEnd w:id="327"/>
      <w:bookmarkEnd w:id="328"/>
      <w:r w:rsidRPr="008903D1">
        <w:rPr>
          <w:rFonts w:cs="Times New Roman"/>
        </w:rPr>
        <w:t>Frequency of paper publication, by year, 2004-2019</w:t>
      </w:r>
      <w:bookmarkEnd w:id="329"/>
      <w:bookmarkEnd w:id="330"/>
      <w:bookmarkEnd w:id="331"/>
      <w:bookmarkEnd w:id="332"/>
    </w:p>
    <w:p w14:paraId="304294F3" w14:textId="77777777" w:rsidR="0071798B" w:rsidRPr="006C301D" w:rsidRDefault="0071798B" w:rsidP="000A4E8C">
      <w:pPr>
        <w:pStyle w:val="Heading2"/>
        <w:spacing w:after="120" w:line="360" w:lineRule="auto"/>
        <w:rPr>
          <w:rFonts w:cs="Times New Roman"/>
          <w:szCs w:val="24"/>
        </w:rPr>
      </w:pPr>
      <w:bookmarkStart w:id="333" w:name="_Toc491894834"/>
      <w:bookmarkStart w:id="334" w:name="_Ref30088527"/>
      <w:bookmarkStart w:id="335" w:name="_Toc34734499"/>
      <w:bookmarkStart w:id="336" w:name="_Toc46053417"/>
      <w:bookmarkStart w:id="337" w:name="_Toc46093331"/>
      <w:bookmarkStart w:id="338" w:name="_Toc46093614"/>
      <w:bookmarkStart w:id="339" w:name="_Toc66703189"/>
      <w:bookmarkEnd w:id="321"/>
      <w:bookmarkEnd w:id="322"/>
      <w:bookmarkEnd w:id="323"/>
      <w:r w:rsidRPr="00737239">
        <w:rPr>
          <w:rFonts w:cs="Times New Roman"/>
        </w:rPr>
        <w:t>Critical review of the literature on urban consolidation centres (UCC</w:t>
      </w:r>
      <w:bookmarkEnd w:id="333"/>
      <w:bookmarkEnd w:id="334"/>
      <w:r w:rsidRPr="00802DC5">
        <w:rPr>
          <w:rFonts w:cs="Times New Roman"/>
          <w:szCs w:val="24"/>
        </w:rPr>
        <w:t>s)</w:t>
      </w:r>
      <w:bookmarkEnd w:id="335"/>
      <w:bookmarkEnd w:id="336"/>
      <w:bookmarkEnd w:id="337"/>
      <w:bookmarkEnd w:id="338"/>
      <w:bookmarkEnd w:id="339"/>
    </w:p>
    <w:p w14:paraId="57484176" w14:textId="21DCA25D" w:rsidR="009620D1" w:rsidRDefault="0071798B" w:rsidP="004367A3">
      <w:pPr>
        <w:spacing w:after="240" w:line="360" w:lineRule="auto"/>
        <w:rPr>
          <w:rFonts w:cs="Times New Roman"/>
          <w:szCs w:val="24"/>
        </w:rPr>
      </w:pPr>
      <w:r w:rsidRPr="00A96AC5">
        <w:rPr>
          <w:rFonts w:cs="Times New Roman"/>
          <w:szCs w:val="24"/>
        </w:rPr>
        <w:t xml:space="preserve">The selected 114 papers were classified by research topic, based on the five topic categories proposed by </w:t>
      </w:r>
      <w:r w:rsidR="00BE10A4">
        <w:rPr>
          <w:rFonts w:cs="Times New Roman"/>
          <w:noProof/>
          <w:szCs w:val="24"/>
        </w:rPr>
        <w:fldChar w:fldCharType="begin"/>
      </w:r>
      <w:r w:rsidR="00647E79">
        <w:rPr>
          <w:rFonts w:cs="Times New Roman"/>
          <w:noProof/>
          <w:szCs w:val="24"/>
        </w:rPr>
        <w:instrText xml:space="preserve"> ADDIN EN.CITE &lt;EndNote&gt;&lt;Cite AuthorYear="1"&gt;&lt;Author&gt;Björklund&lt;/Author&gt;&lt;Year&gt;2018&lt;/Year&gt;&lt;RecNum&gt;193&lt;/RecNum&gt;&lt;DisplayText&gt;Björklund and Johansson (2018)&lt;/DisplayText&gt;&lt;record&gt;&lt;rec-number&gt;193&lt;/rec-number&gt;&lt;foreign-keys&gt;&lt;key app="EN" db-id="pzt5ep52hsedfpeext2pdfes0w0aswaewef2" timestamp="1605187996"&gt;193&lt;/key&gt;&lt;/foreign-keys&gt;&lt;ref-type name="Journal Article"&gt;17&lt;/ref-type&gt;&lt;contributors&gt;&lt;authors&gt;&lt;author&gt;Björklund, M.&lt;/author&gt;&lt;author&gt;Johansson, H.&lt;/author&gt;&lt;/authors&gt;&lt;/contributors&gt;&lt;auth-address&gt;Department of Management and Engineering, Linköping University, Linköping, Sweden&lt;/auth-address&gt;&lt;titles&gt;&lt;title&gt;Urban consolidation centre – a literature review, categorisation, and a future research agenda&lt;/title&gt;&lt;secondary-title&gt;International Journal of Physical Distribution and Logistics Management&lt;/secondary-title&gt;&lt;alt-title&gt;Int. J. Phys. Distrib. Logist. Manage.&lt;/alt-title&gt;&lt;/titles&gt;&lt;periodical&gt;&lt;full-title&gt;International Journal of Physical Distribution and Logistics Management&lt;/full-title&gt;&lt;abbr-1&gt;Int. J. Phys. Distrib. Logist. Manage.&lt;/abbr-1&gt;&lt;/periodical&gt;&lt;alt-periodical&gt;&lt;full-title&gt;International Journal of Physical Distribution and Logistics Management&lt;/full-title&gt;&lt;abbr-1&gt;Int. J. Phys. Distrib. Logist. Manage.&lt;/abbr-1&gt;&lt;/alt-periodical&gt;&lt;pages&gt;745-764&lt;/pages&gt;&lt;volume&gt;48&lt;/volume&gt;&lt;number&gt;8&lt;/number&gt;&lt;keywords&gt;&lt;keyword&gt;City logistics&lt;/keyword&gt;&lt;keyword&gt;Content analysis&lt;/keyword&gt;&lt;keyword&gt;Structural literature review&lt;/keyword&gt;&lt;keyword&gt;Urban consolidation centre&lt;/keyword&gt;&lt;keyword&gt;Urban freight&lt;/keyword&gt;&lt;/keywords&gt;&lt;dates&gt;&lt;year&gt;2018&lt;/year&gt;&lt;/dates&gt;&lt;publisher&gt;Emerald Group Publishing Ltd.&lt;/publisher&gt;&lt;isbn&gt;09600035 (ISSN)&lt;/isbn&gt;&lt;work-type&gt;Review&lt;/work-type&gt;&lt;urls&gt;&lt;related-urls&gt;&lt;url&gt;https://www.scopus.com/inward/record.uri?eid=2-s2.0-85053043973&amp;amp;doi=10.1108%2fIJPDLM-01-2017-0050&amp;amp;partnerID=40&amp;amp;md5=8a1369e4790eabb65ce4c45c35d90352&lt;/url&gt;&lt;/related-urls&gt;&lt;/urls&gt;&lt;electronic-resource-num&gt;10.1108/IJPDLM-01-2017-0050&lt;/electronic-resource-num&gt;&lt;remote-database-name&gt;Scopus&lt;/remote-database-name&gt;&lt;language&gt;English&lt;/language&gt;&lt;/record&gt;&lt;/Cite&gt;&lt;/EndNote&gt;</w:instrText>
      </w:r>
      <w:r w:rsidR="00BE10A4">
        <w:rPr>
          <w:rFonts w:cs="Times New Roman"/>
          <w:noProof/>
          <w:szCs w:val="24"/>
        </w:rPr>
        <w:fldChar w:fldCharType="separate"/>
      </w:r>
      <w:r w:rsidR="001E14C3">
        <w:rPr>
          <w:rFonts w:cs="Times New Roman"/>
          <w:noProof/>
          <w:szCs w:val="24"/>
        </w:rPr>
        <w:t>Björklund and Johansson (2018)</w:t>
      </w:r>
      <w:r w:rsidR="00BE10A4">
        <w:rPr>
          <w:rFonts w:cs="Times New Roman"/>
          <w:noProof/>
          <w:szCs w:val="24"/>
        </w:rPr>
        <w:fldChar w:fldCharType="end"/>
      </w:r>
      <w:r w:rsidRPr="00A96AC5">
        <w:rPr>
          <w:rFonts w:cs="Times New Roman"/>
          <w:szCs w:val="24"/>
        </w:rPr>
        <w:t>. First, ‘stakeholders’ refers to those papers discussing stakeholder involvement in terms of collaboration and the tools or measurements employed to support the framework of stakeholder participation.</w:t>
      </w:r>
      <w:r w:rsidRPr="008903D1">
        <w:rPr>
          <w:rFonts w:cs="Times New Roman"/>
          <w:noProof/>
          <w:szCs w:val="24"/>
        </w:rPr>
        <w:t xml:space="preserve"> The second category is ‘design of distribution structure’, which refers to the changes in the traditional delivery mechanism and the emergence of new delivery patterns in the UCC network. Third, the category of ‘design of transport resources’ is those papers investigating the outcome of replacing the conventional vehicle by alternative delivery methods or clean-fuel vehicles for urban distribution in the UCC service area. Fourth, papers in the category of ‘environmental and social considerations’ investigate how UCCs promote environmental and social sustainability or resolve particular issues. Finally, the category of ‘economic considerations</w:t>
      </w:r>
      <w:r w:rsidRPr="00737239">
        <w:rPr>
          <w:rFonts w:cs="Times New Roman"/>
          <w:szCs w:val="24"/>
        </w:rPr>
        <w:t>’ refers to those papers that explor</w:t>
      </w:r>
      <w:r w:rsidRPr="00802DC5">
        <w:rPr>
          <w:rFonts w:cs="Times New Roman"/>
          <w:szCs w:val="24"/>
        </w:rPr>
        <w:t>e the economic benefits</w:t>
      </w:r>
      <w:r w:rsidR="008D041E">
        <w:rPr>
          <w:rFonts w:cs="Times New Roman"/>
          <w:szCs w:val="24"/>
        </w:rPr>
        <w:t xml:space="preserve"> and issues</w:t>
      </w:r>
      <w:r w:rsidRPr="00802DC5">
        <w:rPr>
          <w:rFonts w:cs="Times New Roman"/>
          <w:szCs w:val="24"/>
        </w:rPr>
        <w:t xml:space="preserve"> of the UCC project. In addition to these five, a category of ‘literature review’ was introduced for those pap</w:t>
      </w:r>
      <w:r w:rsidRPr="006C301D">
        <w:rPr>
          <w:rFonts w:cs="Times New Roman"/>
          <w:szCs w:val="24"/>
        </w:rPr>
        <w:t xml:space="preserve">ers that review previous articles and UCC cases. </w:t>
      </w:r>
    </w:p>
    <w:p w14:paraId="113398B8" w14:textId="2BAE1DD2" w:rsidR="00AD138F" w:rsidRPr="004367A3" w:rsidRDefault="00AD138F" w:rsidP="004367A3">
      <w:pPr>
        <w:spacing w:after="240" w:line="360" w:lineRule="auto"/>
        <w:rPr>
          <w:rFonts w:cs="Times New Roman"/>
          <w:szCs w:val="24"/>
        </w:rPr>
      </w:pPr>
      <w:r w:rsidRPr="00802DC5">
        <w:rPr>
          <w:rFonts w:cs="Times New Roman"/>
          <w:szCs w:val="24"/>
        </w:rPr>
        <w:lastRenderedPageBreak/>
        <w:t xml:space="preserve">Although </w:t>
      </w:r>
      <w:r>
        <w:rPr>
          <w:noProof/>
          <w:szCs w:val="24"/>
        </w:rPr>
        <w:t>Björklund and Johansson (2018)</w:t>
      </w:r>
      <w:r w:rsidRPr="00A96AC5">
        <w:rPr>
          <w:rFonts w:cs="Times New Roman"/>
          <w:szCs w:val="24"/>
        </w:rPr>
        <w:t xml:space="preserve"> provide a sound framework for the research topics, their study takes a global view of the categories and does not discuss the topics in detail. Our literature review thus provides a supplemental element to their work.  </w:t>
      </w:r>
      <w:r w:rsidRPr="00737239">
        <w:rPr>
          <w:rFonts w:cs="Times New Roman"/>
          <w:szCs w:val="24"/>
        </w:rPr>
        <w:fldChar w:fldCharType="begin"/>
      </w:r>
      <w:r w:rsidRPr="00A96AC5">
        <w:rPr>
          <w:rFonts w:cs="Times New Roman"/>
          <w:szCs w:val="24"/>
        </w:rPr>
        <w:instrText xml:space="preserve"> REF _Ref26452062 \h  \* MERGEFORMAT </w:instrText>
      </w:r>
      <w:r w:rsidRPr="00737239">
        <w:rPr>
          <w:rFonts w:cs="Times New Roman"/>
          <w:szCs w:val="24"/>
        </w:rPr>
      </w:r>
      <w:r w:rsidRPr="00737239">
        <w:rPr>
          <w:rFonts w:cs="Times New Roman"/>
          <w:szCs w:val="24"/>
        </w:rPr>
        <w:fldChar w:fldCharType="separate"/>
      </w:r>
      <w:r w:rsidR="0005064B" w:rsidRPr="0005064B">
        <w:rPr>
          <w:rFonts w:cs="Times New Roman"/>
          <w:szCs w:val="24"/>
        </w:rPr>
        <w:t xml:space="preserve">Table </w:t>
      </w:r>
      <w:r w:rsidR="0005064B" w:rsidRPr="0005064B">
        <w:rPr>
          <w:rFonts w:cs="Times New Roman"/>
          <w:noProof/>
          <w:szCs w:val="24"/>
        </w:rPr>
        <w:t>2</w:t>
      </w:r>
      <w:r w:rsidR="0005064B" w:rsidRPr="0005064B">
        <w:rPr>
          <w:rFonts w:cs="Times New Roman"/>
          <w:noProof/>
          <w:szCs w:val="24"/>
        </w:rPr>
        <w:noBreakHyphen/>
        <w:t>10</w:t>
      </w:r>
      <w:r w:rsidRPr="00737239">
        <w:rPr>
          <w:rFonts w:cs="Times New Roman"/>
          <w:szCs w:val="24"/>
        </w:rPr>
        <w:fldChar w:fldCharType="end"/>
      </w:r>
      <w:r w:rsidRPr="008903D1">
        <w:rPr>
          <w:rFonts w:cs="Times New Roman"/>
          <w:szCs w:val="24"/>
        </w:rPr>
        <w:t xml:space="preserve"> details the categories and themes of the reviewed papers</w:t>
      </w:r>
      <w:r>
        <w:rPr>
          <w:rFonts w:cs="Times New Roman"/>
          <w:szCs w:val="24"/>
        </w:rPr>
        <w:t>.</w:t>
      </w:r>
    </w:p>
    <w:tbl>
      <w:tblPr>
        <w:tblStyle w:val="TableGrid"/>
        <w:tblW w:w="5000" w:type="pct"/>
        <w:tblLook w:val="04A0" w:firstRow="1" w:lastRow="0" w:firstColumn="1" w:lastColumn="0" w:noHBand="0" w:noVBand="1"/>
      </w:tblPr>
      <w:tblGrid>
        <w:gridCol w:w="1526"/>
        <w:gridCol w:w="2699"/>
        <w:gridCol w:w="4791"/>
      </w:tblGrid>
      <w:tr w:rsidR="0071798B" w:rsidRPr="008903D1" w14:paraId="7CD7F895" w14:textId="77777777" w:rsidTr="008E6447">
        <w:tc>
          <w:tcPr>
            <w:tcW w:w="846" w:type="pct"/>
            <w:vAlign w:val="center"/>
          </w:tcPr>
          <w:p w14:paraId="52D2EE68" w14:textId="77777777" w:rsidR="0071798B" w:rsidRPr="008903D1" w:rsidRDefault="0071798B" w:rsidP="00060810">
            <w:pPr>
              <w:spacing w:line="240" w:lineRule="auto"/>
              <w:jc w:val="center"/>
              <w:rPr>
                <w:rFonts w:cs="Times New Roman"/>
                <w:b/>
                <w:bCs/>
                <w:noProof/>
                <w:sz w:val="22"/>
              </w:rPr>
            </w:pPr>
            <w:r w:rsidRPr="008903D1">
              <w:rPr>
                <w:rFonts w:cs="Times New Roman"/>
                <w:b/>
                <w:bCs/>
                <w:noProof/>
                <w:sz w:val="22"/>
              </w:rPr>
              <w:t>Category</w:t>
            </w:r>
          </w:p>
        </w:tc>
        <w:tc>
          <w:tcPr>
            <w:tcW w:w="1497" w:type="pct"/>
            <w:vAlign w:val="center"/>
          </w:tcPr>
          <w:p w14:paraId="0110DB6F" w14:textId="77777777" w:rsidR="0071798B" w:rsidRPr="008903D1" w:rsidRDefault="0071798B" w:rsidP="00060810">
            <w:pPr>
              <w:spacing w:line="240" w:lineRule="auto"/>
              <w:jc w:val="center"/>
              <w:rPr>
                <w:rFonts w:cs="Times New Roman"/>
                <w:b/>
                <w:bCs/>
                <w:noProof/>
                <w:sz w:val="22"/>
              </w:rPr>
            </w:pPr>
            <w:r w:rsidRPr="008903D1">
              <w:rPr>
                <w:rFonts w:cs="Times New Roman"/>
                <w:b/>
                <w:bCs/>
                <w:noProof/>
                <w:sz w:val="22"/>
              </w:rPr>
              <w:t>Theme</w:t>
            </w:r>
          </w:p>
        </w:tc>
        <w:tc>
          <w:tcPr>
            <w:tcW w:w="2657" w:type="pct"/>
            <w:vAlign w:val="center"/>
          </w:tcPr>
          <w:p w14:paraId="7EBEE805" w14:textId="77777777" w:rsidR="0071798B" w:rsidRPr="008903D1" w:rsidRDefault="0071798B" w:rsidP="00060810">
            <w:pPr>
              <w:spacing w:line="240" w:lineRule="auto"/>
              <w:jc w:val="center"/>
              <w:rPr>
                <w:rFonts w:cs="Times New Roman"/>
                <w:b/>
                <w:bCs/>
                <w:noProof/>
                <w:sz w:val="22"/>
              </w:rPr>
            </w:pPr>
            <w:r w:rsidRPr="008903D1">
              <w:rPr>
                <w:rFonts w:cs="Times New Roman"/>
                <w:b/>
                <w:bCs/>
                <w:noProof/>
                <w:sz w:val="22"/>
              </w:rPr>
              <w:t>Papers</w:t>
            </w:r>
          </w:p>
        </w:tc>
      </w:tr>
      <w:tr w:rsidR="0071798B" w:rsidRPr="008903D1" w14:paraId="0B1A8917" w14:textId="77777777" w:rsidTr="008E6447">
        <w:tc>
          <w:tcPr>
            <w:tcW w:w="846" w:type="pct"/>
            <w:vMerge w:val="restart"/>
            <w:vAlign w:val="center"/>
          </w:tcPr>
          <w:p w14:paraId="04685FBF" w14:textId="77777777" w:rsidR="0071798B" w:rsidRPr="008903D1" w:rsidRDefault="0071798B" w:rsidP="00060810">
            <w:pPr>
              <w:spacing w:line="240" w:lineRule="auto"/>
              <w:jc w:val="left"/>
              <w:rPr>
                <w:rFonts w:cs="Times New Roman"/>
                <w:noProof/>
                <w:sz w:val="22"/>
              </w:rPr>
            </w:pPr>
            <w:r w:rsidRPr="008903D1">
              <w:rPr>
                <w:rFonts w:cs="Times New Roman"/>
                <w:noProof/>
                <w:sz w:val="22"/>
              </w:rPr>
              <w:t>Stakeholders</w:t>
            </w:r>
          </w:p>
        </w:tc>
        <w:tc>
          <w:tcPr>
            <w:tcW w:w="1497" w:type="pct"/>
            <w:vAlign w:val="center"/>
          </w:tcPr>
          <w:p w14:paraId="332DE05B" w14:textId="77777777" w:rsidR="0071798B" w:rsidRPr="008903D1" w:rsidRDefault="0071798B" w:rsidP="00060810">
            <w:pPr>
              <w:spacing w:line="240" w:lineRule="auto"/>
              <w:jc w:val="left"/>
              <w:rPr>
                <w:rFonts w:cs="Times New Roman"/>
                <w:noProof/>
                <w:sz w:val="22"/>
              </w:rPr>
            </w:pPr>
            <w:r w:rsidRPr="008903D1">
              <w:rPr>
                <w:rFonts w:cs="Times New Roman"/>
                <w:noProof/>
                <w:sz w:val="22"/>
              </w:rPr>
              <w:t>Mention stakeholders</w:t>
            </w:r>
          </w:p>
        </w:tc>
        <w:tc>
          <w:tcPr>
            <w:tcW w:w="2657" w:type="pct"/>
            <w:vAlign w:val="center"/>
          </w:tcPr>
          <w:p w14:paraId="0204BEDB" w14:textId="77777777" w:rsidR="0071798B" w:rsidRPr="008903D1" w:rsidRDefault="0071798B" w:rsidP="00060810">
            <w:pPr>
              <w:spacing w:line="240" w:lineRule="auto"/>
              <w:jc w:val="left"/>
              <w:rPr>
                <w:rFonts w:cs="Times New Roman"/>
                <w:noProof/>
                <w:sz w:val="22"/>
              </w:rPr>
            </w:pPr>
            <w:r w:rsidRPr="008903D1">
              <w:rPr>
                <w:rFonts w:cs="Times New Roman"/>
                <w:noProof/>
                <w:sz w:val="22"/>
              </w:rPr>
              <w:t>3B, 4B, 6B, 9B, 11B, 17B, 20B, 22B, 25B, 26B, 29B, 30B, 34B, 45B, 72B, 73B, 74B, 83B, 86B, 87B, 88B, 95B, 105B</w:t>
            </w:r>
          </w:p>
        </w:tc>
      </w:tr>
      <w:tr w:rsidR="0071798B" w:rsidRPr="008903D1" w14:paraId="20E31B99" w14:textId="77777777" w:rsidTr="008E6447">
        <w:tc>
          <w:tcPr>
            <w:tcW w:w="846" w:type="pct"/>
            <w:vMerge/>
            <w:vAlign w:val="center"/>
          </w:tcPr>
          <w:p w14:paraId="1409ED4F" w14:textId="77777777" w:rsidR="0071798B" w:rsidRPr="008903D1" w:rsidRDefault="0071798B" w:rsidP="00060810">
            <w:pPr>
              <w:spacing w:line="240" w:lineRule="auto"/>
              <w:jc w:val="left"/>
              <w:rPr>
                <w:rFonts w:cs="Times New Roman"/>
                <w:noProof/>
                <w:sz w:val="22"/>
              </w:rPr>
            </w:pPr>
          </w:p>
        </w:tc>
        <w:tc>
          <w:tcPr>
            <w:tcW w:w="1497" w:type="pct"/>
            <w:vAlign w:val="center"/>
          </w:tcPr>
          <w:p w14:paraId="5BE1B1C6" w14:textId="77777777" w:rsidR="0071798B" w:rsidRPr="008903D1" w:rsidRDefault="0071798B" w:rsidP="00060810">
            <w:pPr>
              <w:spacing w:line="240" w:lineRule="auto"/>
              <w:jc w:val="left"/>
              <w:rPr>
                <w:rFonts w:cs="Times New Roman"/>
                <w:noProof/>
                <w:sz w:val="22"/>
              </w:rPr>
            </w:pPr>
            <w:r w:rsidRPr="008903D1">
              <w:rPr>
                <w:rFonts w:cs="Times New Roman"/>
                <w:noProof/>
                <w:sz w:val="22"/>
              </w:rPr>
              <w:t>Stakeholder collaboration in urban consolidation centre (UCC) initiatives</w:t>
            </w:r>
          </w:p>
        </w:tc>
        <w:tc>
          <w:tcPr>
            <w:tcW w:w="2657" w:type="pct"/>
            <w:vAlign w:val="center"/>
          </w:tcPr>
          <w:p w14:paraId="7C6DF1D3" w14:textId="77777777" w:rsidR="0071798B" w:rsidRPr="008903D1" w:rsidRDefault="0071798B" w:rsidP="00060810">
            <w:pPr>
              <w:spacing w:line="240" w:lineRule="auto"/>
              <w:jc w:val="left"/>
              <w:rPr>
                <w:rFonts w:cs="Times New Roman"/>
                <w:noProof/>
                <w:sz w:val="22"/>
              </w:rPr>
            </w:pPr>
            <w:r w:rsidRPr="008903D1">
              <w:rPr>
                <w:rFonts w:cs="Times New Roman"/>
                <w:noProof/>
                <w:sz w:val="22"/>
              </w:rPr>
              <w:t>6B, 9B, 25B, 26B, 30B, 34B, 35B, 36B, 39B, 87B, 105B</w:t>
            </w:r>
          </w:p>
        </w:tc>
      </w:tr>
      <w:tr w:rsidR="0071798B" w:rsidRPr="008903D1" w14:paraId="39924AD3" w14:textId="77777777" w:rsidTr="008E6447">
        <w:trPr>
          <w:trHeight w:val="654"/>
        </w:trPr>
        <w:tc>
          <w:tcPr>
            <w:tcW w:w="846" w:type="pct"/>
            <w:vMerge/>
            <w:vAlign w:val="center"/>
          </w:tcPr>
          <w:p w14:paraId="43A67E72" w14:textId="77777777" w:rsidR="0071798B" w:rsidRPr="008903D1" w:rsidRDefault="0071798B" w:rsidP="00060810">
            <w:pPr>
              <w:spacing w:line="240" w:lineRule="auto"/>
              <w:jc w:val="left"/>
              <w:rPr>
                <w:rFonts w:cs="Times New Roman"/>
                <w:noProof/>
                <w:sz w:val="22"/>
              </w:rPr>
            </w:pPr>
          </w:p>
        </w:tc>
        <w:tc>
          <w:tcPr>
            <w:tcW w:w="1497" w:type="pct"/>
            <w:vAlign w:val="center"/>
          </w:tcPr>
          <w:p w14:paraId="654DA84A" w14:textId="77777777" w:rsidR="0071798B" w:rsidRPr="008903D1" w:rsidRDefault="0071798B" w:rsidP="00060810">
            <w:pPr>
              <w:spacing w:line="240" w:lineRule="auto"/>
              <w:jc w:val="left"/>
              <w:rPr>
                <w:rFonts w:cs="Times New Roman"/>
                <w:noProof/>
                <w:sz w:val="22"/>
              </w:rPr>
            </w:pPr>
            <w:r w:rsidRPr="008903D1">
              <w:rPr>
                <w:rFonts w:cs="Times New Roman"/>
                <w:noProof/>
                <w:sz w:val="22"/>
              </w:rPr>
              <w:t>Stakeholder involvement/support in research study</w:t>
            </w:r>
          </w:p>
        </w:tc>
        <w:tc>
          <w:tcPr>
            <w:tcW w:w="2657" w:type="pct"/>
            <w:vAlign w:val="center"/>
          </w:tcPr>
          <w:p w14:paraId="6F3E06A8" w14:textId="77777777" w:rsidR="0071798B" w:rsidRPr="008903D1" w:rsidRDefault="0071798B" w:rsidP="00060810">
            <w:pPr>
              <w:spacing w:line="240" w:lineRule="auto"/>
              <w:jc w:val="left"/>
              <w:rPr>
                <w:rFonts w:cs="Times New Roman"/>
                <w:noProof/>
                <w:sz w:val="22"/>
              </w:rPr>
            </w:pPr>
            <w:r w:rsidRPr="008903D1">
              <w:rPr>
                <w:rFonts w:cs="Times New Roman"/>
                <w:noProof/>
                <w:sz w:val="22"/>
              </w:rPr>
              <w:t>2B, 6B, 7B, 9B, 30B, 36B, 37B, 40B, 42B, 58B, 67B, 83B, 87B, 105B, 111B, 112B, 113B</w:t>
            </w:r>
          </w:p>
        </w:tc>
      </w:tr>
      <w:tr w:rsidR="0071798B" w:rsidRPr="008903D1" w14:paraId="7D6DB0F2" w14:textId="77777777" w:rsidTr="008E6447">
        <w:tc>
          <w:tcPr>
            <w:tcW w:w="846" w:type="pct"/>
            <w:vMerge w:val="restart"/>
            <w:vAlign w:val="center"/>
          </w:tcPr>
          <w:p w14:paraId="3C4D5ACB" w14:textId="77777777" w:rsidR="0071798B" w:rsidRPr="008903D1" w:rsidRDefault="0071798B" w:rsidP="00060810">
            <w:pPr>
              <w:spacing w:line="240" w:lineRule="auto"/>
              <w:jc w:val="left"/>
              <w:rPr>
                <w:rFonts w:cs="Times New Roman"/>
                <w:noProof/>
                <w:sz w:val="22"/>
              </w:rPr>
            </w:pPr>
            <w:r w:rsidRPr="008903D1">
              <w:rPr>
                <w:rFonts w:cs="Times New Roman"/>
                <w:noProof/>
                <w:sz w:val="22"/>
              </w:rPr>
              <w:t>Design of distribution structure</w:t>
            </w:r>
          </w:p>
        </w:tc>
        <w:tc>
          <w:tcPr>
            <w:tcW w:w="1497" w:type="pct"/>
            <w:vAlign w:val="center"/>
          </w:tcPr>
          <w:p w14:paraId="7EA0E4ED" w14:textId="77777777" w:rsidR="0071798B" w:rsidRPr="008903D1" w:rsidRDefault="0071798B" w:rsidP="00060810">
            <w:pPr>
              <w:spacing w:line="240" w:lineRule="auto"/>
              <w:jc w:val="left"/>
              <w:rPr>
                <w:rFonts w:cs="Times New Roman"/>
                <w:noProof/>
                <w:sz w:val="22"/>
              </w:rPr>
            </w:pPr>
            <w:r w:rsidRPr="008903D1">
              <w:rPr>
                <w:rFonts w:cs="Times New Roman"/>
                <w:noProof/>
                <w:sz w:val="22"/>
              </w:rPr>
              <w:t>Practical contribution</w:t>
            </w:r>
          </w:p>
        </w:tc>
        <w:tc>
          <w:tcPr>
            <w:tcW w:w="2657" w:type="pct"/>
            <w:vAlign w:val="center"/>
          </w:tcPr>
          <w:p w14:paraId="7D7B475D" w14:textId="77777777" w:rsidR="0071798B" w:rsidRPr="008903D1" w:rsidRDefault="0071798B" w:rsidP="00060810">
            <w:pPr>
              <w:spacing w:line="240" w:lineRule="auto"/>
              <w:jc w:val="left"/>
              <w:rPr>
                <w:rFonts w:cs="Times New Roman"/>
                <w:noProof/>
                <w:sz w:val="22"/>
              </w:rPr>
            </w:pPr>
            <w:r w:rsidRPr="008903D1">
              <w:rPr>
                <w:rFonts w:cs="Times New Roman"/>
                <w:noProof/>
                <w:sz w:val="22"/>
              </w:rPr>
              <w:t>3B, 4B, 5B, 7B, 11B, 12B, 17B, 18B, 26B, 30B, 66B, 73B, 74B, 86B, 96B, 110B, 114B</w:t>
            </w:r>
          </w:p>
        </w:tc>
      </w:tr>
      <w:tr w:rsidR="0071798B" w:rsidRPr="008903D1" w14:paraId="3CAAA0C5" w14:textId="77777777" w:rsidTr="008E6447">
        <w:tc>
          <w:tcPr>
            <w:tcW w:w="846" w:type="pct"/>
            <w:vMerge/>
            <w:vAlign w:val="center"/>
          </w:tcPr>
          <w:p w14:paraId="742A1EFC" w14:textId="77777777" w:rsidR="0071798B" w:rsidRPr="008903D1" w:rsidRDefault="0071798B" w:rsidP="00060810">
            <w:pPr>
              <w:spacing w:line="240" w:lineRule="auto"/>
              <w:jc w:val="left"/>
              <w:rPr>
                <w:rFonts w:cs="Times New Roman"/>
                <w:noProof/>
                <w:sz w:val="22"/>
              </w:rPr>
            </w:pPr>
          </w:p>
        </w:tc>
        <w:tc>
          <w:tcPr>
            <w:tcW w:w="1497" w:type="pct"/>
            <w:vAlign w:val="center"/>
          </w:tcPr>
          <w:p w14:paraId="0EF3991E" w14:textId="77777777" w:rsidR="0071798B" w:rsidRPr="008903D1" w:rsidRDefault="0071798B" w:rsidP="00060810">
            <w:pPr>
              <w:spacing w:line="240" w:lineRule="auto"/>
              <w:jc w:val="left"/>
              <w:rPr>
                <w:rFonts w:cs="Times New Roman"/>
                <w:noProof/>
                <w:sz w:val="22"/>
              </w:rPr>
            </w:pPr>
            <w:r w:rsidRPr="008903D1">
              <w:rPr>
                <w:rFonts w:cs="Times New Roman"/>
                <w:noProof/>
                <w:sz w:val="22"/>
              </w:rPr>
              <w:t>Localisation of urban consolidation centre (UCC)</w:t>
            </w:r>
          </w:p>
        </w:tc>
        <w:tc>
          <w:tcPr>
            <w:tcW w:w="2657" w:type="pct"/>
            <w:vAlign w:val="center"/>
          </w:tcPr>
          <w:p w14:paraId="3245D935" w14:textId="77777777" w:rsidR="0071798B" w:rsidRPr="008903D1" w:rsidRDefault="0071798B" w:rsidP="00060810">
            <w:pPr>
              <w:spacing w:line="240" w:lineRule="auto"/>
              <w:jc w:val="left"/>
              <w:rPr>
                <w:rFonts w:cs="Times New Roman"/>
                <w:noProof/>
                <w:sz w:val="22"/>
              </w:rPr>
            </w:pPr>
            <w:r w:rsidRPr="008903D1">
              <w:rPr>
                <w:rFonts w:cs="Times New Roman"/>
                <w:noProof/>
                <w:sz w:val="22"/>
              </w:rPr>
              <w:t>19B, 21B, 24B, 38B, 41B, 63B, 65B, 76B, 77B, 78B, 81B, 98B, 99B</w:t>
            </w:r>
          </w:p>
        </w:tc>
      </w:tr>
      <w:tr w:rsidR="0071798B" w:rsidRPr="008903D1" w14:paraId="58B7FC5A" w14:textId="77777777" w:rsidTr="008E6447">
        <w:tc>
          <w:tcPr>
            <w:tcW w:w="846" w:type="pct"/>
            <w:vMerge/>
            <w:vAlign w:val="center"/>
          </w:tcPr>
          <w:p w14:paraId="78E66939" w14:textId="77777777" w:rsidR="0071798B" w:rsidRPr="008903D1" w:rsidRDefault="0071798B" w:rsidP="00060810">
            <w:pPr>
              <w:spacing w:line="240" w:lineRule="auto"/>
              <w:jc w:val="left"/>
              <w:rPr>
                <w:rFonts w:cs="Times New Roman"/>
                <w:noProof/>
                <w:sz w:val="22"/>
              </w:rPr>
            </w:pPr>
          </w:p>
        </w:tc>
        <w:tc>
          <w:tcPr>
            <w:tcW w:w="1497" w:type="pct"/>
            <w:vAlign w:val="center"/>
          </w:tcPr>
          <w:p w14:paraId="3A5FB0BC" w14:textId="77777777" w:rsidR="0071798B" w:rsidRPr="008903D1" w:rsidRDefault="0071798B" w:rsidP="00060810">
            <w:pPr>
              <w:spacing w:line="240" w:lineRule="auto"/>
              <w:jc w:val="left"/>
              <w:rPr>
                <w:rFonts w:cs="Times New Roman"/>
                <w:noProof/>
                <w:sz w:val="22"/>
              </w:rPr>
            </w:pPr>
            <w:r w:rsidRPr="008903D1">
              <w:rPr>
                <w:rFonts w:cs="Times New Roman"/>
                <w:noProof/>
                <w:sz w:val="22"/>
              </w:rPr>
              <w:t>Route planning and optimisation</w:t>
            </w:r>
          </w:p>
        </w:tc>
        <w:tc>
          <w:tcPr>
            <w:tcW w:w="2657" w:type="pct"/>
            <w:vAlign w:val="center"/>
          </w:tcPr>
          <w:p w14:paraId="040BEE0C" w14:textId="77777777" w:rsidR="0071798B" w:rsidRPr="008903D1" w:rsidRDefault="0071798B" w:rsidP="00060810">
            <w:pPr>
              <w:spacing w:line="240" w:lineRule="auto"/>
              <w:jc w:val="left"/>
              <w:rPr>
                <w:rFonts w:cs="Times New Roman"/>
                <w:noProof/>
                <w:sz w:val="22"/>
              </w:rPr>
            </w:pPr>
            <w:r w:rsidRPr="008903D1">
              <w:rPr>
                <w:rFonts w:cs="Times New Roman"/>
                <w:noProof/>
                <w:sz w:val="22"/>
              </w:rPr>
              <w:t>19B, 21B, 24B, 27B, 38B, 41B, 43B, 75B, 76B, 78B, 80B, 81B, 97B, 98B</w:t>
            </w:r>
          </w:p>
        </w:tc>
      </w:tr>
      <w:tr w:rsidR="0071798B" w:rsidRPr="008903D1" w14:paraId="08D64D84" w14:textId="77777777" w:rsidTr="008E6447">
        <w:tc>
          <w:tcPr>
            <w:tcW w:w="846" w:type="pct"/>
            <w:vMerge w:val="restart"/>
            <w:vAlign w:val="center"/>
          </w:tcPr>
          <w:p w14:paraId="2558F92A" w14:textId="77777777" w:rsidR="0071798B" w:rsidRPr="008903D1" w:rsidRDefault="0071798B" w:rsidP="00060810">
            <w:pPr>
              <w:spacing w:line="240" w:lineRule="auto"/>
              <w:jc w:val="left"/>
              <w:rPr>
                <w:rFonts w:cs="Times New Roman"/>
                <w:noProof/>
                <w:sz w:val="22"/>
              </w:rPr>
            </w:pPr>
            <w:r w:rsidRPr="008903D1">
              <w:rPr>
                <w:rFonts w:cs="Times New Roman"/>
                <w:noProof/>
                <w:sz w:val="22"/>
              </w:rPr>
              <w:t>Design of transport resources</w:t>
            </w:r>
          </w:p>
        </w:tc>
        <w:tc>
          <w:tcPr>
            <w:tcW w:w="1497" w:type="pct"/>
            <w:vAlign w:val="center"/>
          </w:tcPr>
          <w:p w14:paraId="615B8C62" w14:textId="77777777" w:rsidR="0071798B" w:rsidRPr="008903D1" w:rsidRDefault="0071798B" w:rsidP="00060810">
            <w:pPr>
              <w:spacing w:line="240" w:lineRule="auto"/>
              <w:jc w:val="left"/>
              <w:rPr>
                <w:rFonts w:cs="Times New Roman"/>
                <w:noProof/>
                <w:sz w:val="22"/>
              </w:rPr>
            </w:pPr>
            <w:r w:rsidRPr="008903D1">
              <w:rPr>
                <w:rFonts w:cs="Times New Roman"/>
                <w:noProof/>
                <w:sz w:val="22"/>
              </w:rPr>
              <w:t>Change in vehicle fuel</w:t>
            </w:r>
          </w:p>
        </w:tc>
        <w:tc>
          <w:tcPr>
            <w:tcW w:w="2657" w:type="pct"/>
            <w:vAlign w:val="center"/>
          </w:tcPr>
          <w:p w14:paraId="10257A6C" w14:textId="77777777" w:rsidR="0071798B" w:rsidRPr="008903D1" w:rsidRDefault="0071798B" w:rsidP="00060810">
            <w:pPr>
              <w:spacing w:line="240" w:lineRule="auto"/>
              <w:jc w:val="left"/>
              <w:rPr>
                <w:rFonts w:cs="Times New Roman"/>
                <w:noProof/>
                <w:sz w:val="22"/>
              </w:rPr>
            </w:pPr>
            <w:r w:rsidRPr="008903D1">
              <w:rPr>
                <w:rFonts w:cs="Times New Roman"/>
                <w:noProof/>
                <w:sz w:val="22"/>
              </w:rPr>
              <w:t>10B, 57B, 59B, 61B, 77B, 97B</w:t>
            </w:r>
          </w:p>
        </w:tc>
      </w:tr>
      <w:tr w:rsidR="0071798B" w:rsidRPr="008903D1" w14:paraId="1A21086D" w14:textId="77777777" w:rsidTr="008E6447">
        <w:tc>
          <w:tcPr>
            <w:tcW w:w="846" w:type="pct"/>
            <w:vMerge/>
            <w:vAlign w:val="center"/>
          </w:tcPr>
          <w:p w14:paraId="206870FC" w14:textId="77777777" w:rsidR="0071798B" w:rsidRPr="008903D1" w:rsidRDefault="0071798B" w:rsidP="00060810">
            <w:pPr>
              <w:spacing w:line="240" w:lineRule="auto"/>
              <w:jc w:val="left"/>
              <w:rPr>
                <w:rFonts w:cs="Times New Roman"/>
                <w:noProof/>
                <w:sz w:val="22"/>
              </w:rPr>
            </w:pPr>
          </w:p>
        </w:tc>
        <w:tc>
          <w:tcPr>
            <w:tcW w:w="1497" w:type="pct"/>
            <w:vAlign w:val="center"/>
          </w:tcPr>
          <w:p w14:paraId="61C33794" w14:textId="77777777" w:rsidR="0071798B" w:rsidRPr="008903D1" w:rsidRDefault="0071798B" w:rsidP="00060810">
            <w:pPr>
              <w:spacing w:line="240" w:lineRule="auto"/>
              <w:jc w:val="left"/>
              <w:rPr>
                <w:rFonts w:cs="Times New Roman"/>
                <w:noProof/>
                <w:sz w:val="22"/>
              </w:rPr>
            </w:pPr>
            <w:r w:rsidRPr="008903D1">
              <w:rPr>
                <w:rFonts w:cs="Times New Roman"/>
                <w:noProof/>
                <w:sz w:val="22"/>
              </w:rPr>
              <w:t>Intermodal transports</w:t>
            </w:r>
          </w:p>
        </w:tc>
        <w:tc>
          <w:tcPr>
            <w:tcW w:w="2657" w:type="pct"/>
            <w:vAlign w:val="center"/>
          </w:tcPr>
          <w:p w14:paraId="19382646" w14:textId="77777777" w:rsidR="0071798B" w:rsidRPr="008903D1" w:rsidRDefault="0071798B" w:rsidP="00060810">
            <w:pPr>
              <w:spacing w:line="240" w:lineRule="auto"/>
              <w:jc w:val="left"/>
              <w:rPr>
                <w:rFonts w:cs="Times New Roman"/>
                <w:noProof/>
                <w:sz w:val="22"/>
              </w:rPr>
            </w:pPr>
            <w:r w:rsidRPr="008903D1">
              <w:rPr>
                <w:rFonts w:cs="Times New Roman"/>
                <w:noProof/>
                <w:sz w:val="22"/>
              </w:rPr>
              <w:t>1B, 10B, 12B, 61B, 68B, 73B, 79B</w:t>
            </w:r>
          </w:p>
        </w:tc>
      </w:tr>
      <w:tr w:rsidR="0071798B" w:rsidRPr="008903D1" w14:paraId="169EA85B" w14:textId="77777777" w:rsidTr="008E6447">
        <w:tc>
          <w:tcPr>
            <w:tcW w:w="846" w:type="pct"/>
            <w:vMerge w:val="restart"/>
            <w:vAlign w:val="center"/>
          </w:tcPr>
          <w:p w14:paraId="004CEB88" w14:textId="77777777" w:rsidR="0071798B" w:rsidRPr="008903D1" w:rsidRDefault="0071798B" w:rsidP="00060810">
            <w:pPr>
              <w:spacing w:line="240" w:lineRule="auto"/>
              <w:jc w:val="left"/>
              <w:rPr>
                <w:rFonts w:cs="Times New Roman"/>
                <w:noProof/>
                <w:sz w:val="22"/>
              </w:rPr>
            </w:pPr>
            <w:r w:rsidRPr="008903D1">
              <w:rPr>
                <w:rFonts w:cs="Times New Roman"/>
                <w:noProof/>
                <w:sz w:val="22"/>
              </w:rPr>
              <w:t>Environmental and social considerations</w:t>
            </w:r>
          </w:p>
        </w:tc>
        <w:tc>
          <w:tcPr>
            <w:tcW w:w="1497" w:type="pct"/>
            <w:vAlign w:val="center"/>
          </w:tcPr>
          <w:p w14:paraId="21F48125" w14:textId="77777777" w:rsidR="0071798B" w:rsidRPr="008903D1" w:rsidRDefault="0071798B" w:rsidP="00060810">
            <w:pPr>
              <w:spacing w:line="240" w:lineRule="auto"/>
              <w:jc w:val="left"/>
              <w:rPr>
                <w:rFonts w:cs="Times New Roman"/>
                <w:noProof/>
                <w:sz w:val="22"/>
              </w:rPr>
            </w:pPr>
            <w:r w:rsidRPr="008903D1">
              <w:rPr>
                <w:rFonts w:cs="Times New Roman"/>
                <w:noProof/>
                <w:sz w:val="22"/>
              </w:rPr>
              <w:t>Driving forces</w:t>
            </w:r>
          </w:p>
        </w:tc>
        <w:tc>
          <w:tcPr>
            <w:tcW w:w="2657" w:type="pct"/>
            <w:vAlign w:val="center"/>
          </w:tcPr>
          <w:p w14:paraId="3C0B3FE2" w14:textId="77777777" w:rsidR="0071798B" w:rsidRPr="008903D1" w:rsidRDefault="0071798B" w:rsidP="00060810">
            <w:pPr>
              <w:spacing w:line="240" w:lineRule="auto"/>
              <w:jc w:val="left"/>
              <w:rPr>
                <w:rFonts w:cs="Times New Roman"/>
                <w:noProof/>
                <w:sz w:val="22"/>
              </w:rPr>
            </w:pPr>
            <w:r w:rsidRPr="008903D1">
              <w:rPr>
                <w:rFonts w:cs="Times New Roman"/>
                <w:noProof/>
                <w:sz w:val="22"/>
              </w:rPr>
              <w:t>14B, 31B, 53B, 74B, 84B, 89B, 91B, 100B</w:t>
            </w:r>
          </w:p>
        </w:tc>
      </w:tr>
      <w:tr w:rsidR="0071798B" w:rsidRPr="008903D1" w14:paraId="793E5B80" w14:textId="77777777" w:rsidTr="008E6447">
        <w:tc>
          <w:tcPr>
            <w:tcW w:w="846" w:type="pct"/>
            <w:vMerge/>
            <w:vAlign w:val="center"/>
          </w:tcPr>
          <w:p w14:paraId="5FAD6A12" w14:textId="77777777" w:rsidR="0071798B" w:rsidRPr="008903D1" w:rsidRDefault="0071798B" w:rsidP="00060810">
            <w:pPr>
              <w:spacing w:line="240" w:lineRule="auto"/>
              <w:jc w:val="left"/>
              <w:rPr>
                <w:rFonts w:cs="Times New Roman"/>
                <w:noProof/>
                <w:sz w:val="22"/>
              </w:rPr>
            </w:pPr>
          </w:p>
        </w:tc>
        <w:tc>
          <w:tcPr>
            <w:tcW w:w="1497" w:type="pct"/>
            <w:vAlign w:val="center"/>
          </w:tcPr>
          <w:p w14:paraId="1ACB2B87" w14:textId="77777777" w:rsidR="0071798B" w:rsidRPr="008903D1" w:rsidRDefault="0071798B" w:rsidP="00060810">
            <w:pPr>
              <w:spacing w:line="240" w:lineRule="auto"/>
              <w:jc w:val="left"/>
              <w:rPr>
                <w:rFonts w:cs="Times New Roman"/>
                <w:noProof/>
                <w:sz w:val="22"/>
              </w:rPr>
            </w:pPr>
            <w:r w:rsidRPr="008903D1">
              <w:rPr>
                <w:rFonts w:cs="Times New Roman"/>
                <w:noProof/>
                <w:sz w:val="22"/>
              </w:rPr>
              <w:t>Changes in environmental and social dimensions</w:t>
            </w:r>
          </w:p>
        </w:tc>
        <w:tc>
          <w:tcPr>
            <w:tcW w:w="2657" w:type="pct"/>
            <w:vAlign w:val="center"/>
          </w:tcPr>
          <w:p w14:paraId="7F519E99" w14:textId="77777777" w:rsidR="0071798B" w:rsidRPr="008903D1" w:rsidRDefault="0071798B" w:rsidP="00060810">
            <w:pPr>
              <w:spacing w:line="240" w:lineRule="auto"/>
              <w:jc w:val="left"/>
              <w:rPr>
                <w:rFonts w:cs="Times New Roman"/>
                <w:noProof/>
                <w:sz w:val="22"/>
              </w:rPr>
            </w:pPr>
            <w:r w:rsidRPr="008903D1">
              <w:rPr>
                <w:rFonts w:cs="Times New Roman"/>
                <w:noProof/>
                <w:sz w:val="22"/>
              </w:rPr>
              <w:t>10B, 14B, 15B, 16B, 20B, 23B, 28B, 40B, 44B, 45B, 47B, 50B, 64B, 75B, 78B, 79B, 82B, 90B, 93B, 94B, 97B, 98B, 101B, 102B, 106B, 107B, 108B,109B</w:t>
            </w:r>
          </w:p>
        </w:tc>
      </w:tr>
      <w:tr w:rsidR="0071798B" w:rsidRPr="008903D1" w14:paraId="0522461A" w14:textId="77777777" w:rsidTr="008E6447">
        <w:trPr>
          <w:trHeight w:val="1223"/>
        </w:trPr>
        <w:tc>
          <w:tcPr>
            <w:tcW w:w="846" w:type="pct"/>
            <w:vMerge w:val="restart"/>
            <w:vAlign w:val="center"/>
          </w:tcPr>
          <w:p w14:paraId="68492A85" w14:textId="77777777" w:rsidR="0071798B" w:rsidRPr="008903D1" w:rsidRDefault="0071798B" w:rsidP="00060810">
            <w:pPr>
              <w:spacing w:line="240" w:lineRule="auto"/>
              <w:jc w:val="left"/>
              <w:rPr>
                <w:rFonts w:cs="Times New Roman"/>
                <w:noProof/>
                <w:sz w:val="22"/>
              </w:rPr>
            </w:pPr>
            <w:r w:rsidRPr="008903D1">
              <w:rPr>
                <w:rFonts w:cs="Times New Roman"/>
                <w:noProof/>
                <w:sz w:val="22"/>
              </w:rPr>
              <w:t>Economic considerations</w:t>
            </w:r>
          </w:p>
        </w:tc>
        <w:tc>
          <w:tcPr>
            <w:tcW w:w="1497" w:type="pct"/>
            <w:vAlign w:val="center"/>
          </w:tcPr>
          <w:p w14:paraId="59F1153E" w14:textId="77777777" w:rsidR="0071798B" w:rsidRPr="008903D1" w:rsidRDefault="0071798B" w:rsidP="00060810">
            <w:pPr>
              <w:spacing w:line="240" w:lineRule="auto"/>
              <w:jc w:val="left"/>
              <w:rPr>
                <w:rFonts w:cs="Times New Roman"/>
                <w:noProof/>
                <w:sz w:val="22"/>
              </w:rPr>
            </w:pPr>
            <w:r w:rsidRPr="008903D1">
              <w:rPr>
                <w:rFonts w:cs="Times New Roman"/>
                <w:noProof/>
                <w:sz w:val="22"/>
              </w:rPr>
              <w:t>Urban consolidation centre (UCC) as a cost driver or reducer</w:t>
            </w:r>
          </w:p>
        </w:tc>
        <w:tc>
          <w:tcPr>
            <w:tcW w:w="2657" w:type="pct"/>
            <w:vAlign w:val="center"/>
          </w:tcPr>
          <w:p w14:paraId="10C8DF11" w14:textId="77777777" w:rsidR="0071798B" w:rsidRPr="008903D1" w:rsidRDefault="0071798B" w:rsidP="00060810">
            <w:pPr>
              <w:spacing w:line="240" w:lineRule="auto"/>
              <w:jc w:val="left"/>
              <w:rPr>
                <w:rFonts w:cs="Times New Roman"/>
                <w:noProof/>
                <w:sz w:val="22"/>
              </w:rPr>
            </w:pPr>
            <w:r w:rsidRPr="008903D1">
              <w:rPr>
                <w:rFonts w:cs="Times New Roman"/>
                <w:noProof/>
                <w:sz w:val="22"/>
              </w:rPr>
              <w:t>13B, 16B, 23B, 25B, 26B, 27B, 29B, 40B, 44B,47B, 48B, 49B, 50B, 52B, 54B, 57B, 61B, 64B, 67B, 77B, 78B,79B, 82B, 95B, 98B, 101B, 106B, 107B,109B</w:t>
            </w:r>
          </w:p>
        </w:tc>
      </w:tr>
      <w:tr w:rsidR="0071798B" w:rsidRPr="008903D1" w14:paraId="1B649D2A" w14:textId="77777777" w:rsidTr="008E6447">
        <w:tc>
          <w:tcPr>
            <w:tcW w:w="846" w:type="pct"/>
            <w:vMerge/>
          </w:tcPr>
          <w:p w14:paraId="0EE80C65" w14:textId="77777777" w:rsidR="0071798B" w:rsidRPr="008903D1" w:rsidRDefault="0071798B" w:rsidP="00060810">
            <w:pPr>
              <w:spacing w:line="240" w:lineRule="auto"/>
              <w:jc w:val="left"/>
              <w:rPr>
                <w:rFonts w:cs="Times New Roman"/>
                <w:noProof/>
                <w:sz w:val="22"/>
              </w:rPr>
            </w:pPr>
          </w:p>
        </w:tc>
        <w:tc>
          <w:tcPr>
            <w:tcW w:w="1497" w:type="pct"/>
            <w:vAlign w:val="center"/>
          </w:tcPr>
          <w:p w14:paraId="773033F6" w14:textId="77777777" w:rsidR="0071798B" w:rsidRPr="008903D1" w:rsidRDefault="0071798B" w:rsidP="00060810">
            <w:pPr>
              <w:spacing w:line="240" w:lineRule="auto"/>
              <w:jc w:val="left"/>
              <w:rPr>
                <w:rFonts w:cs="Times New Roman"/>
                <w:noProof/>
                <w:sz w:val="22"/>
              </w:rPr>
            </w:pPr>
            <w:r w:rsidRPr="008903D1">
              <w:rPr>
                <w:rFonts w:cs="Times New Roman"/>
                <w:noProof/>
                <w:sz w:val="22"/>
              </w:rPr>
              <w:t>Economy of scale</w:t>
            </w:r>
          </w:p>
        </w:tc>
        <w:tc>
          <w:tcPr>
            <w:tcW w:w="2657" w:type="pct"/>
            <w:vAlign w:val="center"/>
          </w:tcPr>
          <w:p w14:paraId="0F466A31" w14:textId="77777777" w:rsidR="0071798B" w:rsidRPr="008903D1" w:rsidRDefault="0071798B" w:rsidP="00060810">
            <w:pPr>
              <w:spacing w:line="240" w:lineRule="auto"/>
              <w:jc w:val="left"/>
              <w:rPr>
                <w:rFonts w:cs="Times New Roman"/>
                <w:noProof/>
                <w:sz w:val="22"/>
              </w:rPr>
            </w:pPr>
            <w:r w:rsidRPr="008903D1">
              <w:rPr>
                <w:rFonts w:cs="Times New Roman"/>
                <w:noProof/>
                <w:sz w:val="22"/>
              </w:rPr>
              <w:t>22B, 25B, 27B, 29B, 40B, 48B, 49B, 51B, 55B, 69B, 72B, 85B, 88B</w:t>
            </w:r>
          </w:p>
        </w:tc>
      </w:tr>
      <w:tr w:rsidR="0071798B" w:rsidRPr="008903D1" w14:paraId="63D870C2" w14:textId="77777777" w:rsidTr="008E6447">
        <w:tc>
          <w:tcPr>
            <w:tcW w:w="846" w:type="pct"/>
            <w:vMerge/>
          </w:tcPr>
          <w:p w14:paraId="7DEE130B" w14:textId="77777777" w:rsidR="0071798B" w:rsidRPr="008903D1" w:rsidRDefault="0071798B" w:rsidP="00060810">
            <w:pPr>
              <w:spacing w:line="240" w:lineRule="auto"/>
              <w:jc w:val="left"/>
              <w:rPr>
                <w:rFonts w:cs="Times New Roman"/>
                <w:noProof/>
                <w:sz w:val="22"/>
              </w:rPr>
            </w:pPr>
          </w:p>
        </w:tc>
        <w:tc>
          <w:tcPr>
            <w:tcW w:w="1497" w:type="pct"/>
            <w:vAlign w:val="center"/>
          </w:tcPr>
          <w:p w14:paraId="315D9571" w14:textId="77777777" w:rsidR="0071798B" w:rsidRPr="008903D1" w:rsidRDefault="0071798B" w:rsidP="00060810">
            <w:pPr>
              <w:spacing w:line="240" w:lineRule="auto"/>
              <w:jc w:val="left"/>
              <w:rPr>
                <w:rFonts w:cs="Times New Roman"/>
                <w:noProof/>
                <w:sz w:val="22"/>
              </w:rPr>
            </w:pPr>
            <w:r w:rsidRPr="008903D1">
              <w:rPr>
                <w:rFonts w:cs="Times New Roman"/>
                <w:noProof/>
                <w:sz w:val="22"/>
              </w:rPr>
              <w:t>Who should finance</w:t>
            </w:r>
          </w:p>
        </w:tc>
        <w:tc>
          <w:tcPr>
            <w:tcW w:w="2657" w:type="pct"/>
            <w:vAlign w:val="center"/>
          </w:tcPr>
          <w:p w14:paraId="6E3AE10C" w14:textId="77777777" w:rsidR="0071798B" w:rsidRPr="008903D1" w:rsidRDefault="0071798B" w:rsidP="00060810">
            <w:pPr>
              <w:spacing w:line="240" w:lineRule="auto"/>
              <w:jc w:val="left"/>
              <w:rPr>
                <w:rFonts w:cs="Times New Roman"/>
                <w:noProof/>
                <w:sz w:val="22"/>
              </w:rPr>
            </w:pPr>
            <w:r w:rsidRPr="008903D1">
              <w:rPr>
                <w:rFonts w:cs="Times New Roman"/>
                <w:noProof/>
                <w:sz w:val="22"/>
              </w:rPr>
              <w:t>22B, 33B, 48B, 51B, 55B, 72B</w:t>
            </w:r>
          </w:p>
        </w:tc>
      </w:tr>
      <w:tr w:rsidR="0071798B" w:rsidRPr="008903D1" w14:paraId="2B7F21BD" w14:textId="77777777" w:rsidTr="008E6447">
        <w:tc>
          <w:tcPr>
            <w:tcW w:w="846" w:type="pct"/>
          </w:tcPr>
          <w:p w14:paraId="016AB5CC" w14:textId="77777777" w:rsidR="0071798B" w:rsidRPr="008903D1" w:rsidRDefault="0071798B" w:rsidP="00060810">
            <w:pPr>
              <w:spacing w:line="240" w:lineRule="auto"/>
              <w:jc w:val="left"/>
              <w:rPr>
                <w:rFonts w:cs="Times New Roman"/>
                <w:noProof/>
                <w:sz w:val="22"/>
              </w:rPr>
            </w:pPr>
            <w:r w:rsidRPr="008903D1">
              <w:rPr>
                <w:rFonts w:cs="Times New Roman"/>
                <w:noProof/>
                <w:sz w:val="22"/>
              </w:rPr>
              <w:t>Literature/case review</w:t>
            </w:r>
          </w:p>
        </w:tc>
        <w:tc>
          <w:tcPr>
            <w:tcW w:w="1497" w:type="pct"/>
            <w:vAlign w:val="center"/>
          </w:tcPr>
          <w:p w14:paraId="75CCF520" w14:textId="77777777" w:rsidR="0071798B" w:rsidRPr="008903D1" w:rsidRDefault="0071798B" w:rsidP="00060810">
            <w:pPr>
              <w:spacing w:line="240" w:lineRule="auto"/>
              <w:jc w:val="center"/>
              <w:rPr>
                <w:rFonts w:cs="Times New Roman"/>
                <w:noProof/>
                <w:sz w:val="22"/>
              </w:rPr>
            </w:pPr>
            <w:r w:rsidRPr="008903D1">
              <w:rPr>
                <w:rFonts w:cs="Times New Roman"/>
                <w:noProof/>
                <w:sz w:val="22"/>
              </w:rPr>
              <w:t>------------</w:t>
            </w:r>
          </w:p>
        </w:tc>
        <w:tc>
          <w:tcPr>
            <w:tcW w:w="2657" w:type="pct"/>
            <w:vAlign w:val="center"/>
          </w:tcPr>
          <w:p w14:paraId="52E4B84C" w14:textId="77777777" w:rsidR="0071798B" w:rsidRPr="008903D1" w:rsidRDefault="0071798B" w:rsidP="00060810">
            <w:pPr>
              <w:spacing w:line="240" w:lineRule="auto"/>
              <w:jc w:val="left"/>
              <w:rPr>
                <w:rFonts w:cs="Times New Roman"/>
                <w:noProof/>
                <w:sz w:val="22"/>
              </w:rPr>
            </w:pPr>
            <w:r w:rsidRPr="008903D1">
              <w:rPr>
                <w:rFonts w:cs="Times New Roman"/>
                <w:noProof/>
                <w:sz w:val="22"/>
              </w:rPr>
              <w:t>5B, 7B, 8B, 32B, 33B, 35B, 46B, 56B, 60B, 62B, 70B, 71B, 92B, 103B, 104B</w:t>
            </w:r>
          </w:p>
        </w:tc>
      </w:tr>
    </w:tbl>
    <w:p w14:paraId="473E193D" w14:textId="27CC51B0" w:rsidR="0071798B" w:rsidRPr="00737239" w:rsidRDefault="007B5959" w:rsidP="00AD138F">
      <w:pPr>
        <w:pStyle w:val="Caption"/>
        <w:spacing w:line="360" w:lineRule="auto"/>
        <w:rPr>
          <w:rFonts w:cs="Times New Roman"/>
        </w:rPr>
      </w:pPr>
      <w:bookmarkStart w:id="340" w:name="_Ref26452062"/>
      <w:bookmarkStart w:id="341" w:name="_Toc34674938"/>
      <w:bookmarkStart w:id="342" w:name="_Toc34734730"/>
      <w:bookmarkStart w:id="343" w:name="_Toc46053544"/>
      <w:bookmarkStart w:id="344" w:name="_Toc46093793"/>
      <w:bookmarkStart w:id="345" w:name="_Toc66698761"/>
      <w:r>
        <w:rPr>
          <w:rFonts w:cs="Times New Roman"/>
        </w:rPr>
        <w:t>Table</w:t>
      </w:r>
      <w:r w:rsidR="0071798B"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2</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10</w:t>
      </w:r>
      <w:r w:rsidR="00FE10DA">
        <w:rPr>
          <w:rFonts w:cs="Times New Roman"/>
        </w:rPr>
        <w:fldChar w:fldCharType="end"/>
      </w:r>
      <w:bookmarkEnd w:id="340"/>
      <w:r w:rsidR="00AF217C">
        <w:rPr>
          <w:rFonts w:cs="Times New Roman"/>
        </w:rPr>
        <w:t>:</w:t>
      </w:r>
      <w:r w:rsidR="0071798B" w:rsidRPr="008903D1">
        <w:rPr>
          <w:rFonts w:cs="Times New Roman"/>
        </w:rPr>
        <w:t xml:space="preserve"> Categories and themes in the reviewed articles (proposed by Björklund and Johansson [2018])</w:t>
      </w:r>
      <w:bookmarkEnd w:id="341"/>
      <w:bookmarkEnd w:id="342"/>
      <w:bookmarkEnd w:id="343"/>
      <w:bookmarkEnd w:id="344"/>
      <w:bookmarkEnd w:id="345"/>
    </w:p>
    <w:p w14:paraId="2716E01A" w14:textId="77777777" w:rsidR="0071798B" w:rsidRPr="00A96AC5" w:rsidRDefault="0071798B" w:rsidP="000A4E8C">
      <w:pPr>
        <w:pStyle w:val="Heading3"/>
        <w:spacing w:line="360" w:lineRule="auto"/>
        <w:rPr>
          <w:rFonts w:cs="Times New Roman"/>
        </w:rPr>
      </w:pPr>
      <w:bookmarkStart w:id="346" w:name="_Toc491894839"/>
      <w:bookmarkStart w:id="347" w:name="_Toc34734500"/>
      <w:bookmarkStart w:id="348" w:name="_Toc46053418"/>
      <w:bookmarkStart w:id="349" w:name="_Toc46093332"/>
      <w:bookmarkStart w:id="350" w:name="_Toc46093615"/>
      <w:bookmarkStart w:id="351" w:name="_Toc66703190"/>
      <w:r w:rsidRPr="00A96AC5">
        <w:rPr>
          <w:rFonts w:cs="Times New Roman"/>
        </w:rPr>
        <w:t xml:space="preserve">Stakeholder </w:t>
      </w:r>
      <w:bookmarkEnd w:id="346"/>
      <w:r w:rsidRPr="00A96AC5">
        <w:rPr>
          <w:rFonts w:cs="Times New Roman"/>
        </w:rPr>
        <w:t>engagement</w:t>
      </w:r>
      <w:bookmarkEnd w:id="347"/>
      <w:bookmarkEnd w:id="348"/>
      <w:bookmarkEnd w:id="349"/>
      <w:bookmarkEnd w:id="350"/>
      <w:bookmarkEnd w:id="351"/>
    </w:p>
    <w:p w14:paraId="33A00F1A" w14:textId="6A0EDCE4" w:rsidR="0071798B" w:rsidRPr="008903D1" w:rsidRDefault="0071798B" w:rsidP="004367A3">
      <w:pPr>
        <w:spacing w:after="240" w:line="360" w:lineRule="auto"/>
        <w:rPr>
          <w:rFonts w:cs="Times New Roman"/>
        </w:rPr>
      </w:pPr>
      <w:r w:rsidRPr="00A96AC5">
        <w:rPr>
          <w:rFonts w:cs="Times New Roman"/>
        </w:rPr>
        <w:t xml:space="preserve">As summarised by previous studies, suppliers, </w:t>
      </w:r>
      <w:r w:rsidR="00B55F35">
        <w:rPr>
          <w:rFonts w:cs="Times New Roman" w:hint="eastAsia"/>
        </w:rPr>
        <w:t>LSPs</w:t>
      </w:r>
      <w:r w:rsidR="004201CB">
        <w:rPr>
          <w:rFonts w:cs="Times New Roman"/>
        </w:rPr>
        <w:t xml:space="preserve"> (intercity carrier and local carrier)</w:t>
      </w:r>
      <w:r w:rsidRPr="00A96AC5">
        <w:rPr>
          <w:rFonts w:cs="Times New Roman"/>
        </w:rPr>
        <w:t xml:space="preserve">, UCC operators, </w:t>
      </w:r>
      <w:r w:rsidR="004201CB">
        <w:rPr>
          <w:rFonts w:cs="Times New Roman"/>
        </w:rPr>
        <w:t>receivers</w:t>
      </w:r>
      <w:r w:rsidRPr="00A96AC5">
        <w:rPr>
          <w:rFonts w:cs="Times New Roman"/>
        </w:rPr>
        <w:t xml:space="preserve">, and </w:t>
      </w:r>
      <w:r w:rsidR="00A84BEB">
        <w:rPr>
          <w:rFonts w:cs="Times New Roman"/>
        </w:rPr>
        <w:t>LAs</w:t>
      </w:r>
      <w:r w:rsidRPr="00A96AC5">
        <w:rPr>
          <w:rFonts w:cs="Times New Roman"/>
        </w:rPr>
        <w:t xml:space="preserve"> </w:t>
      </w:r>
      <w:r w:rsidR="00200F07">
        <w:rPr>
          <w:rFonts w:cs="Times New Roman"/>
        </w:rPr>
        <w:fldChar w:fldCharType="begin">
          <w:fldData xml:space="preserve">PEVuZE5vdGU+PENpdGU+PEF1dGhvcj5Ccm93bmU8L0F1dGhvcj48WWVhcj4yMDA3PC9ZZWFyPjxS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==
</w:fldData>
        </w:fldChar>
      </w:r>
      <w:r w:rsidR="00DD4C65">
        <w:rPr>
          <w:rFonts w:cs="Times New Roman"/>
        </w:rPr>
        <w:instrText xml:space="preserve"> ADDIN EN.CITE </w:instrText>
      </w:r>
      <w:r w:rsidR="00DD4C65">
        <w:rPr>
          <w:rFonts w:cs="Times New Roman"/>
        </w:rPr>
        <w:fldChar w:fldCharType="begin">
          <w:fldData xml:space="preserve">PEVuZE5vdGU+PENpdGU+PEF1dGhvcj5Ccm93bmU8L0F1dGhvcj48WWVhcj4yMDA3PC9ZZWFyPjxS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==
</w:fldData>
        </w:fldChar>
      </w:r>
      <w:r w:rsidR="00DD4C65">
        <w:rPr>
          <w:rFonts w:cs="Times New Roman"/>
        </w:rPr>
        <w:instrText xml:space="preserve"> ADDIN EN.CITE.DATA </w:instrText>
      </w:r>
      <w:r w:rsidR="00DD4C65">
        <w:rPr>
          <w:rFonts w:cs="Times New Roman"/>
        </w:rPr>
      </w:r>
      <w:r w:rsidR="00DD4C65">
        <w:rPr>
          <w:rFonts w:cs="Times New Roman"/>
        </w:rPr>
        <w:fldChar w:fldCharType="end"/>
      </w:r>
      <w:r w:rsidR="00200F07">
        <w:rPr>
          <w:rFonts w:cs="Times New Roman"/>
        </w:rPr>
      </w:r>
      <w:r w:rsidR="00200F07">
        <w:rPr>
          <w:rFonts w:cs="Times New Roman"/>
        </w:rPr>
        <w:fldChar w:fldCharType="separate"/>
      </w:r>
      <w:r w:rsidR="00DD4C65">
        <w:rPr>
          <w:rFonts w:cs="Times New Roman"/>
          <w:noProof/>
        </w:rPr>
        <w:t>(Browne et al., 2007, van Duin et al., 2010, Van Rooijen and Quak, 2010, Allen et al., 2012, Malhene et al., 2012, Verlinde et al., 2012, Allen et al., 2014, Battaia et al., 2014, Nordtømme et al., 2015b, Kin et al., 2016, Van Duin et al., 2018)</w:t>
      </w:r>
      <w:r w:rsidR="00200F07">
        <w:rPr>
          <w:rFonts w:cs="Times New Roman"/>
        </w:rPr>
        <w:fldChar w:fldCharType="end"/>
      </w:r>
      <w:r w:rsidR="003D256A">
        <w:rPr>
          <w:rFonts w:cs="Times New Roman"/>
        </w:rPr>
        <w:t xml:space="preserve"> </w:t>
      </w:r>
      <w:r w:rsidRPr="00A96AC5">
        <w:rPr>
          <w:rFonts w:cs="Times New Roman"/>
          <w:noProof/>
        </w:rPr>
        <w:t xml:space="preserve">are the </w:t>
      </w:r>
      <w:r w:rsidRPr="00A96AC5">
        <w:rPr>
          <w:rFonts w:cs="Times New Roman"/>
          <w:noProof/>
        </w:rPr>
        <w:lastRenderedPageBreak/>
        <w:t xml:space="preserve">main </w:t>
      </w:r>
      <w:r w:rsidR="004201CB">
        <w:rPr>
          <w:rFonts w:cs="Times New Roman"/>
          <w:noProof/>
        </w:rPr>
        <w:t>stakeholders</w:t>
      </w:r>
      <w:r w:rsidRPr="00A96AC5">
        <w:rPr>
          <w:rFonts w:cs="Times New Roman"/>
          <w:noProof/>
        </w:rPr>
        <w:t xml:space="preserve"> in the UCC facility</w:t>
      </w:r>
      <w:r w:rsidRPr="00A96AC5">
        <w:rPr>
          <w:rFonts w:cs="Times New Roman"/>
        </w:rPr>
        <w:t xml:space="preserve">. Based on their respective attributes, these stakeholders can each be defined as either public or private sectors </w:t>
      </w:r>
      <w:r w:rsidR="000B0B76">
        <w:rPr>
          <w:noProof/>
        </w:rPr>
        <w:fldChar w:fldCharType="begin"/>
      </w:r>
      <w:r w:rsidR="00647E79">
        <w:rPr>
          <w:noProof/>
        </w:rPr>
        <w:instrText xml:space="preserve"> ADDIN EN.CITE &lt;EndNote&gt;&lt;Cite&gt;&lt;Author&gt;Gonzalez-Feliu&lt;/Author&gt;&lt;Year&gt;2014&lt;/Year&gt;&lt;RecNum&gt;200&lt;/RecNum&gt;&lt;DisplayText&gt;(Gonzalez-Feliu and Morana, 2014)&lt;/DisplayText&gt;&lt;record&gt;&lt;rec-number&gt;200&lt;/rec-number&gt;&lt;foreign-keys&gt;&lt;key app="EN" db-id="pzt5ep52hsedfpeext2pdfes0w0aswaewef2" timestamp="1605187996"&gt;200&lt;/key&gt;&lt;/foreign-keys&gt;&lt;ref-type name="Serial"&gt;57&lt;/ref-type&gt;&lt;contributors&gt;&lt;authors&gt;&lt;author&gt;Gonzalez-Feliu, J.&lt;/author&gt;&lt;author&gt;Morana, J.&lt;/author&gt;&lt;/authors&gt;&lt;/contributors&gt;&lt;auth-address&gt;Centre National de la Recherche Scientifique, Lyon, France&amp;#xD;Université Lyon 2, Lyon, France&lt;/auth-address&gt;&lt;titles&gt;&lt;title&gt;Assessing urban logistics pooling sustainability via a hierarchic dashboard from a group decision perspective&lt;/title&gt;&lt;secondary-title&gt;Transport and Sustainability&lt;/secondary-title&gt;&lt;alt-title&gt;Transp. Sustain.&lt;/alt-title&gt;&lt;/titles&gt;&lt;pages&gt;113-135&lt;/pages&gt;&lt;volume&gt;6&lt;/volume&gt;&lt;keywords&gt;&lt;keyword&gt;Consensus&lt;/keyword&gt;&lt;keyword&gt;Group decision support&lt;/keyword&gt;&lt;keyword&gt;Logistics pooling&lt;/keyword&gt;&lt;keyword&gt;Sustainable development&lt;/keyword&gt;&lt;keyword&gt;Urban distribution&lt;/keyword&gt;&lt;/keywords&gt;&lt;dates&gt;&lt;year&gt;2014&lt;/year&gt;&lt;/dates&gt;&lt;publisher&gt;Emerald Group Publishing Ltd.&lt;/publisher&gt;&lt;isbn&gt;20449941 (ISSN)&lt;/isbn&gt;&lt;work-type&gt;Article&lt;/work-type&gt;&lt;urls&gt;&lt;related-urls&gt;&lt;url&gt;https://www.scopus.com/inward/record.uri?eid=2-s2.0-84908332642&amp;amp;doi=10.1108%2fS2044-994120140000006004&amp;amp;partnerID=40&amp;amp;md5=11156cbf456e36d617316ea67bceb2a8&lt;/url&gt;&lt;url&gt;http://www.emeraldinsight.com/doi/pdfplus/10.1108/S2044-994120140000006004&lt;/url&gt;&lt;/related-urls&gt;&lt;/urls&gt;&lt;electronic-resource-num&gt;10.1108/S2044-994120140000006004&lt;/electronic-resource-num&gt;&lt;remote-database-name&gt;Scopus&lt;/remote-database-name&gt;&lt;language&gt;English&lt;/language&gt;&lt;/record&gt;&lt;/Cite&gt;&lt;/EndNote&gt;</w:instrText>
      </w:r>
      <w:r w:rsidR="000B0B76">
        <w:rPr>
          <w:noProof/>
        </w:rPr>
        <w:fldChar w:fldCharType="separate"/>
      </w:r>
      <w:r w:rsidR="000B0B76">
        <w:rPr>
          <w:noProof/>
        </w:rPr>
        <w:t>(Gonzalez-Feliu and Morana, 2014)</w:t>
      </w:r>
      <w:r w:rsidR="000B0B76">
        <w:rPr>
          <w:noProof/>
        </w:rPr>
        <w:fldChar w:fldCharType="end"/>
      </w:r>
      <w:r w:rsidRPr="00A96AC5">
        <w:rPr>
          <w:rFonts w:cs="Times New Roman"/>
        </w:rPr>
        <w:t xml:space="preserve">. In addition, another classification is derived from the </w:t>
      </w:r>
      <w:r w:rsidR="000B0B76">
        <w:fldChar w:fldCharType="begin"/>
      </w:r>
      <w:r w:rsidR="00647E79">
        <w:instrText xml:space="preserve"> ADDIN EN.CITE &lt;EndNote&gt;&lt;Cite&gt;&lt;Author&gt;Freeman&lt;/Author&gt;&lt;Year&gt;2010&lt;/Year&gt;&lt;RecNum&gt;201&lt;/RecNum&gt;&lt;DisplayText&gt;(Freeman et al., 2010)&lt;/DisplayText&gt;&lt;record&gt;&lt;rec-number&gt;201&lt;/rec-number&gt;&lt;foreign-keys&gt;&lt;key app="EN" db-id="pzt5ep52hsedfpeext2pdfes0w0aswaewef2" timestamp="1605187996"&gt;201&lt;/key&gt;&lt;/foreign-keys&gt;&lt;ref-type name="Book"&gt;6&lt;/ref-type&gt;&lt;contributors&gt;&lt;authors&gt;&lt;author&gt;Freeman, R Edward&lt;/author&gt;&lt;author&gt;Harrison, Jeffrey S&lt;/author&gt;&lt;author&gt;Wicks, Andrew C&lt;/author&gt;&lt;author&gt;Parmar, Bidhan L&lt;/author&gt;&lt;author&gt;De Colle, Simone&lt;/author&gt;&lt;/authors&gt;&lt;/contributors&gt;&lt;titles&gt;&lt;title&gt;Stakeholder theory: The state of the art&lt;/title&gt;&lt;/titles&gt;&lt;dates&gt;&lt;year&gt;2010&lt;/year&gt;&lt;/dates&gt;&lt;publisher&gt;Cambridge University Press&lt;/publisher&gt;&lt;isbn&gt;1139484117&lt;/isbn&gt;&lt;urls&gt;&lt;/urls&gt;&lt;/record&gt;&lt;/Cite&gt;&lt;/EndNote&gt;</w:instrText>
      </w:r>
      <w:r w:rsidR="000B0B76">
        <w:fldChar w:fldCharType="separate"/>
      </w:r>
      <w:r w:rsidR="000B0B76">
        <w:rPr>
          <w:noProof/>
        </w:rPr>
        <w:t>(Freeman et al., 2010)</w:t>
      </w:r>
      <w:r w:rsidR="000B0B76">
        <w:fldChar w:fldCharType="end"/>
      </w:r>
      <w:r w:rsidRPr="00A96AC5">
        <w:rPr>
          <w:rFonts w:cs="Times New Roman"/>
        </w:rPr>
        <w:t xml:space="preserve"> stakeholder theory, which defines stakeholder groups as either primary or secondary, using </w:t>
      </w:r>
      <w:r w:rsidRPr="00A96AC5">
        <w:rPr>
          <w:rFonts w:cs="Times New Roman"/>
          <w:szCs w:val="24"/>
        </w:rPr>
        <w:t xml:space="preserve">a </w:t>
      </w:r>
      <w:r w:rsidRPr="00A96AC5">
        <w:rPr>
          <w:rFonts w:cs="Times New Roman"/>
          <w:noProof/>
          <w:szCs w:val="24"/>
        </w:rPr>
        <w:t>two-layer</w:t>
      </w:r>
      <w:r w:rsidRPr="00A96AC5">
        <w:rPr>
          <w:rFonts w:cs="Times New Roman"/>
          <w:szCs w:val="24"/>
        </w:rPr>
        <w:t xml:space="preserve"> wheel map. The primary stakeholders </w:t>
      </w:r>
      <w:proofErr w:type="gramStart"/>
      <w:r w:rsidRPr="00A96AC5">
        <w:rPr>
          <w:rFonts w:cs="Times New Roman"/>
          <w:szCs w:val="24"/>
        </w:rPr>
        <w:t>are located in</w:t>
      </w:r>
      <w:proofErr w:type="gramEnd"/>
      <w:r w:rsidRPr="00A96AC5">
        <w:rPr>
          <w:rFonts w:cs="Times New Roman"/>
          <w:szCs w:val="24"/>
        </w:rPr>
        <w:t xml:space="preserve"> the inner layer of the wheel, where they create the value and support the business of the UCC project. The secondary stakeholders </w:t>
      </w:r>
      <w:proofErr w:type="gramStart"/>
      <w:r w:rsidRPr="00A96AC5">
        <w:rPr>
          <w:rFonts w:cs="Times New Roman"/>
          <w:szCs w:val="24"/>
        </w:rPr>
        <w:t>are located in</w:t>
      </w:r>
      <w:proofErr w:type="gramEnd"/>
      <w:r w:rsidRPr="00A96AC5">
        <w:rPr>
          <w:rFonts w:cs="Times New Roman"/>
          <w:szCs w:val="24"/>
        </w:rPr>
        <w:t xml:space="preserve"> the outer layer of the project, and their behaviour can affect the UCC business and operations. A basic stakeholder map for the UCC </w:t>
      </w:r>
      <w:r w:rsidRPr="00A96AC5">
        <w:rPr>
          <w:rFonts w:cs="Times New Roman"/>
          <w:noProof/>
          <w:szCs w:val="24"/>
        </w:rPr>
        <w:t xml:space="preserve">is depicted </w:t>
      </w:r>
      <w:r w:rsidRPr="00A96AC5">
        <w:rPr>
          <w:rFonts w:cs="Times New Roman"/>
          <w:szCs w:val="24"/>
        </w:rPr>
        <w:t xml:space="preserve">in </w:t>
      </w:r>
      <w:r w:rsidRPr="008903D1">
        <w:rPr>
          <w:rFonts w:cs="Times New Roman"/>
          <w:szCs w:val="24"/>
        </w:rPr>
        <w:fldChar w:fldCharType="begin"/>
      </w:r>
      <w:r w:rsidRPr="00A96AC5">
        <w:rPr>
          <w:rFonts w:cs="Times New Roman"/>
          <w:szCs w:val="24"/>
        </w:rPr>
        <w:instrText xml:space="preserve"> REF _Ref528238825 \h </w:instrText>
      </w:r>
      <w:r w:rsidR="008903D1">
        <w:rPr>
          <w:rFonts w:cs="Times New Roman"/>
          <w:szCs w:val="24"/>
        </w:rPr>
        <w:instrText xml:space="preserve"> \* MERGEFORMAT </w:instrText>
      </w:r>
      <w:r w:rsidRPr="008903D1">
        <w:rPr>
          <w:rFonts w:cs="Times New Roman"/>
          <w:szCs w:val="24"/>
        </w:rPr>
      </w:r>
      <w:r w:rsidRPr="008903D1">
        <w:rPr>
          <w:rFonts w:cs="Times New Roman"/>
          <w:szCs w:val="24"/>
        </w:rPr>
        <w:fldChar w:fldCharType="separate"/>
      </w:r>
      <w:r w:rsidR="0005064B" w:rsidRPr="008903D1">
        <w:rPr>
          <w:rFonts w:cs="Times New Roman"/>
        </w:rPr>
        <w:t xml:space="preserve">Figure </w:t>
      </w:r>
      <w:r w:rsidR="0005064B">
        <w:rPr>
          <w:rFonts w:cs="Times New Roman"/>
          <w:noProof/>
        </w:rPr>
        <w:t>2</w:t>
      </w:r>
      <w:r w:rsidR="0005064B">
        <w:rPr>
          <w:rFonts w:cs="Times New Roman"/>
          <w:noProof/>
        </w:rPr>
        <w:noBreakHyphen/>
        <w:t>8</w:t>
      </w:r>
      <w:r w:rsidRPr="008903D1">
        <w:rPr>
          <w:rFonts w:cs="Times New Roman"/>
          <w:szCs w:val="24"/>
        </w:rPr>
        <w:fldChar w:fldCharType="end"/>
      </w:r>
      <w:r w:rsidRPr="008903D1">
        <w:rPr>
          <w:rFonts w:cs="Times New Roman"/>
          <w:szCs w:val="24"/>
        </w:rPr>
        <w:t>.</w:t>
      </w:r>
    </w:p>
    <w:p w14:paraId="1E702121" w14:textId="77777777" w:rsidR="0071798B" w:rsidRPr="008903D1" w:rsidRDefault="0071798B" w:rsidP="000A4E8C">
      <w:pPr>
        <w:spacing w:line="360" w:lineRule="auto"/>
        <w:rPr>
          <w:rFonts w:cs="Times New Roman"/>
        </w:rPr>
      </w:pPr>
      <w:r w:rsidRPr="008903D1">
        <w:rPr>
          <w:rFonts w:cs="Times New Roman"/>
          <w:noProof/>
          <w:lang w:eastAsia="en-GB"/>
        </w:rPr>
        <w:drawing>
          <wp:inline distT="0" distB="0" distL="0" distR="0" wp14:anchorId="6CA498C2" wp14:editId="0185309C">
            <wp:extent cx="5252521" cy="3943755"/>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akeholders Wheel.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60231" cy="3949544"/>
                    </a:xfrm>
                    <a:prstGeom prst="rect">
                      <a:avLst/>
                    </a:prstGeom>
                  </pic:spPr>
                </pic:pic>
              </a:graphicData>
            </a:graphic>
          </wp:inline>
        </w:drawing>
      </w:r>
    </w:p>
    <w:p w14:paraId="4EB3A9CE" w14:textId="074AB740" w:rsidR="0071798B" w:rsidRPr="00737239" w:rsidRDefault="0071798B" w:rsidP="000A4E8C">
      <w:pPr>
        <w:pStyle w:val="Caption"/>
        <w:spacing w:after="0" w:line="360" w:lineRule="auto"/>
        <w:rPr>
          <w:rFonts w:cs="Times New Roman"/>
        </w:rPr>
      </w:pPr>
      <w:bookmarkStart w:id="352" w:name="_Ref528238825"/>
      <w:bookmarkStart w:id="353" w:name="_Toc34675014"/>
      <w:bookmarkStart w:id="354" w:name="_Toc34734806"/>
      <w:bookmarkStart w:id="355" w:name="_Toc46053669"/>
      <w:bookmarkStart w:id="356" w:name="_Toc66698702"/>
      <w:r w:rsidRPr="008903D1">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2</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8</w:t>
      </w:r>
      <w:r w:rsidR="00632993">
        <w:rPr>
          <w:rFonts w:cs="Times New Roman"/>
        </w:rPr>
        <w:fldChar w:fldCharType="end"/>
      </w:r>
      <w:bookmarkEnd w:id="352"/>
      <w:r w:rsidR="00FD1FFD">
        <w:rPr>
          <w:rFonts w:cs="Times New Roman"/>
        </w:rPr>
        <w:t>:</w:t>
      </w:r>
      <w:r w:rsidRPr="008903D1">
        <w:rPr>
          <w:rFonts w:cs="Times New Roman"/>
        </w:rPr>
        <w:t xml:space="preserve"> Map of urban consolidation centre (UCC) stakeholders, based on Freeman (2010) stakeholder </w:t>
      </w:r>
      <w:proofErr w:type="gramStart"/>
      <w:r w:rsidRPr="008903D1">
        <w:rPr>
          <w:rFonts w:cs="Times New Roman"/>
        </w:rPr>
        <w:t>theory</w:t>
      </w:r>
      <w:bookmarkEnd w:id="353"/>
      <w:bookmarkEnd w:id="354"/>
      <w:bookmarkEnd w:id="355"/>
      <w:bookmarkEnd w:id="356"/>
      <w:proofErr w:type="gramEnd"/>
    </w:p>
    <w:p w14:paraId="396576C6" w14:textId="3146F9CE" w:rsidR="00A27EF9" w:rsidRDefault="0071798B" w:rsidP="00357E34">
      <w:pPr>
        <w:spacing w:line="360" w:lineRule="auto"/>
        <w:rPr>
          <w:rFonts w:cs="Times New Roman"/>
        </w:rPr>
      </w:pPr>
      <w:r w:rsidRPr="00802DC5">
        <w:rPr>
          <w:rFonts w:cs="Times New Roman"/>
        </w:rPr>
        <w:t xml:space="preserve">Much of the literature highlights the importance of collaborative partnerships between stakeholders in a UCC network </w:t>
      </w:r>
      <w:r w:rsidR="000B0B76">
        <w:rPr>
          <w:rFonts w:cs="Times New Roman"/>
        </w:rPr>
        <w:fldChar w:fldCharType="begin">
          <w:fldData xml:space="preserve">PEVuZE5vdGU+PENpdGU+PEF1dGhvcj5Hb256YWxlei1GZWxpdTwvQXV0aG9yPjxZZWFyPjIwMTQ8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</w:fldData>
        </w:fldChar>
      </w:r>
      <w:r w:rsidR="00647E79">
        <w:rPr>
          <w:rFonts w:cs="Times New Roman"/>
        </w:rPr>
        <w:instrText xml:space="preserve"> ADDIN EN.CITE </w:instrText>
      </w:r>
      <w:r w:rsidR="00647E79">
        <w:rPr>
          <w:rFonts w:cs="Times New Roman"/>
        </w:rPr>
        <w:fldChar w:fldCharType="begin">
          <w:fldData xml:space="preserve">PEVuZE5vdGU+PENpdGU+PEF1dGhvcj5Hb256YWxlei1GZWxpdTwvQXV0aG9yPjxZZWFyPjIwMTQ8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</w:fldData>
        </w:fldChar>
      </w:r>
      <w:r w:rsidR="00647E79">
        <w:rPr>
          <w:rFonts w:cs="Times New Roman"/>
        </w:rPr>
        <w:instrText xml:space="preserve"> ADDIN EN.CITE.DATA </w:instrText>
      </w:r>
      <w:r w:rsidR="00647E79">
        <w:rPr>
          <w:rFonts w:cs="Times New Roman"/>
        </w:rPr>
      </w:r>
      <w:r w:rsidR="00647E79">
        <w:rPr>
          <w:rFonts w:cs="Times New Roman"/>
        </w:rPr>
        <w:fldChar w:fldCharType="end"/>
      </w:r>
      <w:r w:rsidR="000B0B76">
        <w:rPr>
          <w:rFonts w:cs="Times New Roman"/>
        </w:rPr>
      </w:r>
      <w:r w:rsidR="000B0B76">
        <w:rPr>
          <w:rFonts w:cs="Times New Roman"/>
        </w:rPr>
        <w:fldChar w:fldCharType="separate"/>
      </w:r>
      <w:r w:rsidR="000B0B76">
        <w:rPr>
          <w:rFonts w:cs="Times New Roman"/>
          <w:noProof/>
        </w:rPr>
        <w:t>(Gonzalez-Feliu et al., 2014a, Österle et al., 2015, Gonzalez-Feliu et al., 2018)</w:t>
      </w:r>
      <w:r w:rsidR="000B0B76">
        <w:rPr>
          <w:rFonts w:cs="Times New Roman"/>
        </w:rPr>
        <w:fldChar w:fldCharType="end"/>
      </w:r>
      <w:r w:rsidRPr="00A96AC5">
        <w:rPr>
          <w:rFonts w:cs="Times New Roman"/>
        </w:rPr>
        <w:t xml:space="preserve">. </w:t>
      </w:r>
      <w:r w:rsidR="007E00D1">
        <w:rPr>
          <w:rFonts w:cs="Times New Roman"/>
        </w:rPr>
        <w:fldChar w:fldCharType="begin"/>
      </w:r>
      <w:r w:rsidR="000756A1">
        <w:rPr>
          <w:rFonts w:cs="Times New Roman"/>
        </w:rPr>
        <w:instrText xml:space="preserve"> ADDIN EN.CITE &lt;EndNote&gt;&lt;Cite&gt;&lt;Author&gt;van Heeswijk&lt;/Author&gt;&lt;Year&gt;2019&lt;/Year&gt;&lt;RecNum&gt;119&lt;/RecNum&gt;&lt;DisplayText&gt;(van Heeswijk et al., 2019)&lt;/DisplayText&gt;&lt;record&gt;&lt;rec-number&gt;119&lt;/rec-number&gt;&lt;foreign-keys&gt;&lt;key app="EN" db-id="x5etaz5aiszvz0edasvvpwvotttxepvd25t2" timestamp="1605186233"&gt;119&lt;/key&gt;&lt;/foreign-keys&gt;&lt;ref-type name="Journal Article"&gt;17&lt;/ref-type&gt;&lt;contributors&gt;&lt;authors&gt;&lt;author&gt;van Heeswijk, Wouter&lt;/author&gt;&lt;author&gt;Larsen, Rune&lt;/author&gt;&lt;author&gt;Larsen, Allan&lt;/author&gt;&lt;/authors&gt;&lt;/contributors&gt;&lt;titles&gt;&lt;title&gt;An urban consolidation center in the city of Copenhagen: A simulation study&lt;/title&gt;&lt;secondary-title&gt;International Journal of Sustainable Transportation&lt;/secondary-title&gt;&lt;/titles&gt;&lt;periodical&gt;&lt;full-title&gt;International Journal of Sustainable Transportation&lt;/full-title&gt;&lt;abbr-1&gt;Intl. J. Sustainable Transp.&lt;/abbr-1&gt;&lt;/periodical&gt;&lt;pages&gt;675-691&lt;/pages&gt;&lt;volume&gt;13&lt;/volume&gt;&lt;number&gt;9&lt;/number&gt;&lt;dates&gt;&lt;year&gt;2019&lt;/year&gt;&lt;pub-dates&gt;&lt;date&gt;2019/10/21&lt;/date&gt;&lt;/pub-dates&gt;&lt;/dates&gt;&lt;publisher&gt;Taylor &amp;amp; Francis&lt;/publisher&gt;&lt;isbn&gt;1556-8318&lt;/isbn&gt;&lt;urls&gt;&lt;related-urls&gt;&lt;url&gt;https://doi.org/10.1080/15568318.2018.1503380&lt;/url&gt;&lt;/related-urls&gt;&lt;/urls&gt;&lt;electronic-resource-num&gt;10.1080/15568318.2018.1503380&lt;/electronic-resource-num&gt;&lt;/record&gt;&lt;/Cite&gt;&lt;/EndNote&gt;</w:instrText>
      </w:r>
      <w:r w:rsidR="007E00D1">
        <w:rPr>
          <w:rFonts w:cs="Times New Roman"/>
        </w:rPr>
        <w:fldChar w:fldCharType="separate"/>
      </w:r>
      <w:r w:rsidR="000756A1">
        <w:rPr>
          <w:rFonts w:cs="Times New Roman"/>
          <w:noProof/>
        </w:rPr>
        <w:t>(van Heeswijk et al., 2019)</w:t>
      </w:r>
      <w:r w:rsidR="007E00D1">
        <w:rPr>
          <w:rFonts w:cs="Times New Roman"/>
        </w:rPr>
        <w:fldChar w:fldCharType="end"/>
      </w:r>
      <w:r w:rsidR="00606589">
        <w:rPr>
          <w:rFonts w:cs="Times New Roman"/>
        </w:rPr>
        <w:t xml:space="preserve"> </w:t>
      </w:r>
      <w:r w:rsidR="0001677F" w:rsidRPr="006B7EE3">
        <w:rPr>
          <w:rFonts w:cs="Times New Roman"/>
        </w:rPr>
        <w:t>indicate that</w:t>
      </w:r>
      <w:r w:rsidR="00B61C19" w:rsidRPr="006B7EE3">
        <w:rPr>
          <w:rFonts w:cs="Times New Roman"/>
        </w:rPr>
        <w:t xml:space="preserve"> when enough numbers of stakeholders join </w:t>
      </w:r>
      <w:r w:rsidR="00274081">
        <w:rPr>
          <w:rFonts w:cs="Times New Roman"/>
        </w:rPr>
        <w:t xml:space="preserve">a </w:t>
      </w:r>
      <w:r w:rsidR="00B61C19" w:rsidRPr="006B7EE3">
        <w:rPr>
          <w:rFonts w:cs="Times New Roman"/>
        </w:rPr>
        <w:t xml:space="preserve">UCC system, </w:t>
      </w:r>
      <w:r w:rsidR="00274081">
        <w:rPr>
          <w:rFonts w:cs="Times New Roman"/>
        </w:rPr>
        <w:t xml:space="preserve">then this </w:t>
      </w:r>
      <w:r w:rsidR="002239F5" w:rsidRPr="006B7EE3">
        <w:rPr>
          <w:rFonts w:cs="Times New Roman"/>
        </w:rPr>
        <w:t>UCC system can obtain a win-win situation</w:t>
      </w:r>
      <w:r w:rsidR="008E033A" w:rsidRPr="006B7EE3">
        <w:rPr>
          <w:rFonts w:cs="Times New Roman"/>
        </w:rPr>
        <w:t xml:space="preserve"> between UCC and the intercity carriers and </w:t>
      </w:r>
      <w:r w:rsidR="00B61C19" w:rsidRPr="006B7EE3">
        <w:rPr>
          <w:rFonts w:cs="Times New Roman"/>
        </w:rPr>
        <w:t>receivers</w:t>
      </w:r>
      <w:r w:rsidR="008E033A" w:rsidRPr="006B7EE3">
        <w:rPr>
          <w:rFonts w:cs="Times New Roman"/>
        </w:rPr>
        <w:t xml:space="preserve"> </w:t>
      </w:r>
      <w:r w:rsidR="002239F5" w:rsidRPr="006B7EE3">
        <w:rPr>
          <w:rFonts w:cs="Times New Roman"/>
        </w:rPr>
        <w:t>(</w:t>
      </w:r>
      <w:r w:rsidR="009F63C3">
        <w:rPr>
          <w:rFonts w:cs="Times New Roman"/>
        </w:rPr>
        <w:t xml:space="preserve">the </w:t>
      </w:r>
      <w:r w:rsidR="002239F5" w:rsidRPr="006B7EE3">
        <w:rPr>
          <w:rFonts w:cs="Times New Roman"/>
        </w:rPr>
        <w:t>UCC could achieve self-sustaining</w:t>
      </w:r>
      <w:r w:rsidR="009F63C3">
        <w:rPr>
          <w:rFonts w:cs="Times New Roman"/>
        </w:rPr>
        <w:t xml:space="preserve"> status</w:t>
      </w:r>
      <w:r w:rsidR="002239F5" w:rsidRPr="006B7EE3">
        <w:rPr>
          <w:rFonts w:cs="Times New Roman"/>
        </w:rPr>
        <w:t xml:space="preserve"> due to the sufficient income;</w:t>
      </w:r>
      <w:r w:rsidR="00B61C19" w:rsidRPr="006B7EE3">
        <w:rPr>
          <w:rFonts w:cs="Times New Roman"/>
        </w:rPr>
        <w:t xml:space="preserve"> also, </w:t>
      </w:r>
      <w:r w:rsidR="002239F5" w:rsidRPr="006B7EE3">
        <w:rPr>
          <w:rFonts w:cs="Times New Roman"/>
        </w:rPr>
        <w:t>all subscribers can acquire cost saving</w:t>
      </w:r>
      <w:r w:rsidR="009F63C3">
        <w:rPr>
          <w:rFonts w:cs="Times New Roman"/>
        </w:rPr>
        <w:t>s</w:t>
      </w:r>
      <w:r w:rsidR="002239F5" w:rsidRPr="006B7EE3">
        <w:rPr>
          <w:rFonts w:cs="Times New Roman"/>
        </w:rPr>
        <w:t xml:space="preserve"> as the shipping cost</w:t>
      </w:r>
      <w:r w:rsidR="00A80732">
        <w:rPr>
          <w:rFonts w:cs="Times New Roman"/>
        </w:rPr>
        <w:t>s</w:t>
      </w:r>
      <w:r w:rsidR="002239F5" w:rsidRPr="006B7EE3">
        <w:rPr>
          <w:rFonts w:cs="Times New Roman"/>
        </w:rPr>
        <w:t xml:space="preserve"> per unit decrease) owing to the </w:t>
      </w:r>
      <w:r w:rsidR="002239F5" w:rsidRPr="006B7EE3">
        <w:rPr>
          <w:rFonts w:cs="Times New Roman" w:hint="eastAsia"/>
        </w:rPr>
        <w:t>economies</w:t>
      </w:r>
      <w:r w:rsidR="002239F5" w:rsidRPr="006B7EE3">
        <w:rPr>
          <w:rFonts w:cs="Times New Roman"/>
        </w:rPr>
        <w:t xml:space="preserve"> </w:t>
      </w:r>
      <w:r w:rsidR="002239F5" w:rsidRPr="006B7EE3">
        <w:rPr>
          <w:rFonts w:cs="Times New Roman" w:hint="eastAsia"/>
        </w:rPr>
        <w:t>of</w:t>
      </w:r>
      <w:r w:rsidR="002239F5" w:rsidRPr="006B7EE3">
        <w:rPr>
          <w:rFonts w:cs="Times New Roman"/>
        </w:rPr>
        <w:t xml:space="preserve"> </w:t>
      </w:r>
      <w:r w:rsidR="002239F5" w:rsidRPr="006B7EE3">
        <w:rPr>
          <w:rFonts w:cs="Times New Roman" w:hint="eastAsia"/>
        </w:rPr>
        <w:t>scale</w:t>
      </w:r>
      <w:r w:rsidR="00B61C19" w:rsidRPr="006B7EE3">
        <w:rPr>
          <w:rFonts w:cs="Times New Roman"/>
        </w:rPr>
        <w:t xml:space="preserve">. </w:t>
      </w:r>
      <w:r w:rsidR="0094250C">
        <w:rPr>
          <w:rFonts w:cs="Times New Roman"/>
        </w:rPr>
        <w:t xml:space="preserve">Besides financial effect, </w:t>
      </w:r>
      <w:r w:rsidR="00F32631">
        <w:rPr>
          <w:rFonts w:cs="Times New Roman"/>
        </w:rPr>
        <w:t xml:space="preserve">UCC can generate </w:t>
      </w:r>
      <w:r w:rsidR="00F32631">
        <w:rPr>
          <w:rFonts w:cs="Times New Roman"/>
        </w:rPr>
        <w:lastRenderedPageBreak/>
        <w:t>advantage</w:t>
      </w:r>
      <w:r w:rsidR="00E73C17">
        <w:rPr>
          <w:rFonts w:cs="Times New Roman" w:hint="eastAsia"/>
        </w:rPr>
        <w:t>s</w:t>
      </w:r>
      <w:r w:rsidR="00F32631">
        <w:rPr>
          <w:rFonts w:cs="Times New Roman"/>
        </w:rPr>
        <w:t xml:space="preserve"> </w:t>
      </w:r>
      <w:r w:rsidR="00A80732">
        <w:rPr>
          <w:rFonts w:cs="Times New Roman"/>
        </w:rPr>
        <w:t>from</w:t>
      </w:r>
      <w:r w:rsidR="00F32631">
        <w:rPr>
          <w:rFonts w:cs="Times New Roman"/>
        </w:rPr>
        <w:t xml:space="preserve"> the perspectives of traffic, </w:t>
      </w:r>
      <w:r w:rsidR="00CB7A4F">
        <w:rPr>
          <w:rFonts w:cs="Times New Roman"/>
        </w:rPr>
        <w:t xml:space="preserve">logistics operation, </w:t>
      </w:r>
      <w:r w:rsidR="00D466D9">
        <w:rPr>
          <w:rFonts w:cs="Times New Roman"/>
        </w:rPr>
        <w:t xml:space="preserve">and the </w:t>
      </w:r>
      <w:r w:rsidR="00CB7A4F">
        <w:rPr>
          <w:rFonts w:cs="Times New Roman"/>
        </w:rPr>
        <w:t>environment</w:t>
      </w:r>
      <w:r w:rsidR="00D466D9">
        <w:rPr>
          <w:rFonts w:cs="Times New Roman"/>
        </w:rPr>
        <w:t xml:space="preserve"> -</w:t>
      </w:r>
      <w:r w:rsidR="00CB7A4F">
        <w:rPr>
          <w:rFonts w:cs="Times New Roman"/>
        </w:rPr>
        <w:t xml:space="preserve"> which benefits all participants and associated parties</w:t>
      </w:r>
      <w:r w:rsidR="00656393">
        <w:rPr>
          <w:rFonts w:cs="Times New Roman"/>
        </w:rPr>
        <w:t xml:space="preserve"> </w:t>
      </w:r>
      <w:r w:rsidR="00081853">
        <w:rPr>
          <w:noProof/>
        </w:rPr>
        <w:fldChar w:fldCharType="begin"/>
      </w:r>
      <w:r w:rsidR="00232D14">
        <w:rPr>
          <w:noProof/>
        </w:rPr>
        <w:instrText xml:space="preserve"> ADDIN EN.CITE &lt;EndNote&gt;&lt;Cite&gt;&lt;Author&gt;Allen&lt;/Author&gt;&lt;Year&gt;2012&lt;/Year&gt;&lt;RecNum&gt;3&lt;/RecNum&gt;&lt;DisplayText&gt;(Allen et al., 2012)&lt;/DisplayText&gt;&lt;record&gt;&lt;rec-number&gt;3&lt;/rec-number&gt;&lt;foreign-keys&gt;&lt;key app="EN" db-id="x5etaz5aiszvz0edasvvpwvotttxepvd25t2" timestamp="1603795843"&gt;3&lt;/key&gt;&lt;/foreign-keys&gt;&lt;ref-type name="Journal Article"&gt;17&lt;/ref-type&gt;&lt;contributors&gt;&lt;authors&gt;&lt;author&gt;Allen, Julian&lt;/author&gt;&lt;author&gt;Browne, Michael&lt;/author&gt;&lt;author&gt;Woodburn, Allan&lt;/author&gt;&lt;author&gt;Leonardi, Jacques&lt;/author&gt;&lt;/authors&gt;&lt;/contributors&gt;&lt;titles&gt;&lt;title&gt;The Role of Urban Consolidation Centres in Sustainable Freight Transport&lt;/title&gt;&lt;secondary-title&gt;Transport Reviews&lt;/secondary-title&gt;&lt;/titles&gt;&lt;periodical&gt;&lt;full-title&gt;Transport Reviews&lt;/full-title&gt;&lt;/periodical&gt;&lt;pages&gt;473-490&lt;/pages&gt;&lt;volume&gt;32&lt;/volume&gt;&lt;number&gt;4&lt;/number&gt;&lt;dates&gt;&lt;year&gt;2012&lt;/year&gt;&lt;pub-dates&gt;&lt;date&gt;2012/07/01&lt;/date&gt;&lt;/pub-dates&gt;&lt;/dates&gt;&lt;publisher&gt;Routledge&lt;/publisher&gt;&lt;isbn&gt;0144-1647&lt;/isbn&gt;&lt;urls&gt;&lt;related-urls&gt;&lt;url&gt;https://doi.org/10.1080/01441647.2012.688074&lt;/url&gt;&lt;/related-urls&gt;&lt;/urls&gt;&lt;electronic-resource-num&gt;10.1080/01441647.2012.688074&lt;/electronic-resource-num&gt;&lt;/record&gt;&lt;/Cite&gt;&lt;/EndNote&gt;</w:instrText>
      </w:r>
      <w:r w:rsidR="00081853">
        <w:rPr>
          <w:noProof/>
        </w:rPr>
        <w:fldChar w:fldCharType="separate"/>
      </w:r>
      <w:r w:rsidR="00081853">
        <w:rPr>
          <w:noProof/>
        </w:rPr>
        <w:t>(Allen et al., 2012)</w:t>
      </w:r>
      <w:r w:rsidR="00081853">
        <w:rPr>
          <w:noProof/>
        </w:rPr>
        <w:fldChar w:fldCharType="end"/>
      </w:r>
      <w:r w:rsidR="00CB7A4F">
        <w:rPr>
          <w:rFonts w:cs="Times New Roman"/>
        </w:rPr>
        <w:t>.</w:t>
      </w:r>
    </w:p>
    <w:p w14:paraId="008E8099" w14:textId="56144B13" w:rsidR="0071798B" w:rsidRPr="00862CC6" w:rsidRDefault="00317805" w:rsidP="00D466D9">
      <w:pPr>
        <w:spacing w:before="240" w:line="360" w:lineRule="auto"/>
        <w:rPr>
          <w:rFonts w:cs="Times New Roman"/>
        </w:rPr>
      </w:pPr>
      <w:r>
        <w:rPr>
          <w:rFonts w:cs="Times New Roman" w:hint="eastAsia"/>
        </w:rPr>
        <w:t>N</w:t>
      </w:r>
      <w:r w:rsidR="006256D5" w:rsidRPr="006B7EE3">
        <w:rPr>
          <w:rFonts w:cs="Times New Roman"/>
        </w:rPr>
        <w:t>evertheless</w:t>
      </w:r>
      <w:r w:rsidR="002239F5" w:rsidRPr="006B7EE3">
        <w:rPr>
          <w:rFonts w:cs="Times New Roman"/>
        </w:rPr>
        <w:t xml:space="preserve">, </w:t>
      </w:r>
      <w:r w:rsidR="007D0960">
        <w:rPr>
          <w:rFonts w:cs="Times New Roman"/>
        </w:rPr>
        <w:t>o</w:t>
      </w:r>
      <w:r w:rsidR="007D0960" w:rsidRPr="00A96AC5">
        <w:rPr>
          <w:rFonts w:cs="Times New Roman"/>
        </w:rPr>
        <w:t xml:space="preserve">ne drawback of the UCC project is the high possibility of a loss of consumers’ economic benefits due to the additional goods handling stage in the supply chain </w:t>
      </w:r>
      <w:r w:rsidR="002D6A0A">
        <w:rPr>
          <w:rFonts w:cs="Times New Roman"/>
        </w:rPr>
        <w:fldChar w:fldCharType="begin">
          <w:fldData xml:space="preserve">PEVuZE5vdGU+PENpdGU+PEF1dGhvcj5PbGl2ZWlyYTwvQXV0aG9yPjxZZWFyPjIwMTI8L1llYXI+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</w:fldData>
        </w:fldChar>
      </w:r>
      <w:r w:rsidR="00647E79">
        <w:rPr>
          <w:rFonts w:cs="Times New Roman"/>
        </w:rPr>
        <w:instrText xml:space="preserve"> ADDIN EN.CITE </w:instrText>
      </w:r>
      <w:r w:rsidR="00647E79">
        <w:rPr>
          <w:rFonts w:cs="Times New Roman"/>
        </w:rPr>
        <w:fldChar w:fldCharType="begin">
          <w:fldData xml:space="preserve">PEVuZE5vdGU+PENpdGU+PEF1dGhvcj5PbGl2ZWlyYTwvQXV0aG9yPjxZZWFyPjIwMTI8L1llYXI+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</w:fldData>
        </w:fldChar>
      </w:r>
      <w:r w:rsidR="00647E79">
        <w:rPr>
          <w:rFonts w:cs="Times New Roman"/>
        </w:rPr>
        <w:instrText xml:space="preserve"> ADDIN EN.CITE.DATA </w:instrText>
      </w:r>
      <w:r w:rsidR="00647E79">
        <w:rPr>
          <w:rFonts w:cs="Times New Roman"/>
        </w:rPr>
      </w:r>
      <w:r w:rsidR="00647E79">
        <w:rPr>
          <w:rFonts w:cs="Times New Roman"/>
        </w:rPr>
        <w:fldChar w:fldCharType="end"/>
      </w:r>
      <w:r w:rsidR="002D6A0A">
        <w:rPr>
          <w:rFonts w:cs="Times New Roman"/>
        </w:rPr>
      </w:r>
      <w:r w:rsidR="002D6A0A">
        <w:rPr>
          <w:rFonts w:cs="Times New Roman"/>
        </w:rPr>
        <w:fldChar w:fldCharType="separate"/>
      </w:r>
      <w:r w:rsidR="002D6A0A">
        <w:rPr>
          <w:rFonts w:cs="Times New Roman"/>
          <w:noProof/>
        </w:rPr>
        <w:t>(Oliveira et al., 2012)</w:t>
      </w:r>
      <w:r w:rsidR="002D6A0A">
        <w:rPr>
          <w:rFonts w:cs="Times New Roman"/>
        </w:rPr>
        <w:fldChar w:fldCharType="end"/>
      </w:r>
      <w:r w:rsidR="007D0960" w:rsidRPr="00A96AC5">
        <w:rPr>
          <w:rFonts w:cs="Times New Roman"/>
        </w:rPr>
        <w:t>.</w:t>
      </w:r>
      <w:r w:rsidR="0051051C">
        <w:rPr>
          <w:rFonts w:cs="Times New Roman"/>
        </w:rPr>
        <w:t xml:space="preserve"> </w:t>
      </w:r>
      <w:r w:rsidR="005D0E7D">
        <w:rPr>
          <w:rFonts w:cs="Times New Roman"/>
        </w:rPr>
        <w:t>A</w:t>
      </w:r>
      <w:r w:rsidR="002239F5" w:rsidRPr="006B7EE3">
        <w:rPr>
          <w:rFonts w:cs="Times New Roman"/>
        </w:rPr>
        <w:t xml:space="preserve">ccording to the current literature and state-of-practice, the most widely adopted payment mechanism requires each agent </w:t>
      </w:r>
      <w:r w:rsidR="001276C2">
        <w:rPr>
          <w:rFonts w:cs="Times New Roman"/>
        </w:rPr>
        <w:t xml:space="preserve">to </w:t>
      </w:r>
      <w:r w:rsidR="002239F5" w:rsidRPr="006B7EE3">
        <w:rPr>
          <w:rFonts w:cs="Times New Roman"/>
        </w:rPr>
        <w:t xml:space="preserve">undertake their cost individually in an UCC based FTC. </w:t>
      </w:r>
      <w:r w:rsidR="00957ECE">
        <w:rPr>
          <w:rFonts w:cs="Times New Roman"/>
        </w:rPr>
        <w:t xml:space="preserve">It </w:t>
      </w:r>
      <w:r w:rsidR="002239F5" w:rsidRPr="006B7EE3">
        <w:rPr>
          <w:rFonts w:cs="Times New Roman"/>
        </w:rPr>
        <w:t>causes the stakeholder (</w:t>
      </w:r>
      <w:proofErr w:type="gramStart"/>
      <w:r w:rsidR="002239F5" w:rsidRPr="006B7EE3">
        <w:rPr>
          <w:rFonts w:cs="Times New Roman"/>
        </w:rPr>
        <w:t>e.g.</w:t>
      </w:r>
      <w:proofErr w:type="gramEnd"/>
      <w:r w:rsidR="002239F5" w:rsidRPr="006B7EE3">
        <w:rPr>
          <w:rFonts w:cs="Times New Roman"/>
        </w:rPr>
        <w:t xml:space="preserve"> LHCs) </w:t>
      </w:r>
      <w:r w:rsidR="00342822">
        <w:rPr>
          <w:rFonts w:cs="Times New Roman"/>
        </w:rPr>
        <w:t xml:space="preserve">to </w:t>
      </w:r>
      <w:r w:rsidR="002239F5" w:rsidRPr="006B7EE3">
        <w:rPr>
          <w:rFonts w:cs="Times New Roman"/>
        </w:rPr>
        <w:t>make decision o</w:t>
      </w:r>
      <w:r w:rsidR="00D15AF5">
        <w:rPr>
          <w:rFonts w:cs="Times New Roman"/>
        </w:rPr>
        <w:t>n</w:t>
      </w:r>
      <w:r w:rsidR="002239F5" w:rsidRPr="006B7EE3">
        <w:rPr>
          <w:rFonts w:cs="Times New Roman"/>
        </w:rPr>
        <w:t xml:space="preserve"> whether </w:t>
      </w:r>
      <w:r w:rsidR="00D15AF5">
        <w:rPr>
          <w:rFonts w:cs="Times New Roman"/>
        </w:rPr>
        <w:t xml:space="preserve">to </w:t>
      </w:r>
      <w:r w:rsidR="002239F5" w:rsidRPr="006B7EE3">
        <w:rPr>
          <w:rFonts w:cs="Times New Roman"/>
        </w:rPr>
        <w:t>join the UCC project separately, which exacerbate</w:t>
      </w:r>
      <w:r w:rsidR="00C75118">
        <w:rPr>
          <w:rFonts w:cs="Times New Roman"/>
        </w:rPr>
        <w:t>s the</w:t>
      </w:r>
      <w:r w:rsidR="002239F5" w:rsidRPr="006B7EE3">
        <w:rPr>
          <w:rFonts w:cs="Times New Roman" w:hint="eastAsia"/>
        </w:rPr>
        <w:t xml:space="preserve"> </w:t>
      </w:r>
      <w:r w:rsidR="002239F5" w:rsidRPr="006B7EE3">
        <w:rPr>
          <w:rFonts w:cs="Times New Roman"/>
        </w:rPr>
        <w:t>UCC</w:t>
      </w:r>
      <w:r w:rsidR="001D53D1">
        <w:rPr>
          <w:rFonts w:cs="Times New Roman"/>
        </w:rPr>
        <w:t>’s</w:t>
      </w:r>
      <w:r w:rsidR="002239F5" w:rsidRPr="006B7EE3">
        <w:rPr>
          <w:rFonts w:cs="Times New Roman"/>
        </w:rPr>
        <w:t xml:space="preserve"> financial issues as stakeholders will quit such system if </w:t>
      </w:r>
      <w:r w:rsidR="002239F5" w:rsidRPr="006B7EE3">
        <w:rPr>
          <w:rFonts w:cs="Times New Roman" w:hint="eastAsia"/>
        </w:rPr>
        <w:t>stakeholders</w:t>
      </w:r>
      <w:r w:rsidR="002239F5" w:rsidRPr="006B7EE3">
        <w:rPr>
          <w:rFonts w:cs="Times New Roman"/>
        </w:rPr>
        <w:t xml:space="preserve"> </w:t>
      </w:r>
      <w:r w:rsidR="002239F5" w:rsidRPr="006B7EE3">
        <w:rPr>
          <w:rFonts w:cs="Times New Roman" w:hint="eastAsia"/>
        </w:rPr>
        <w:t>have</w:t>
      </w:r>
      <w:r w:rsidR="002239F5" w:rsidRPr="006B7EE3">
        <w:rPr>
          <w:rFonts w:cs="Times New Roman"/>
        </w:rPr>
        <w:t xml:space="preserve"> </w:t>
      </w:r>
      <w:r w:rsidR="002239F5" w:rsidRPr="006B7EE3">
        <w:rPr>
          <w:rFonts w:cs="Times New Roman" w:hint="eastAsia"/>
        </w:rPr>
        <w:t>to</w:t>
      </w:r>
      <w:r w:rsidR="002239F5" w:rsidRPr="006B7EE3">
        <w:rPr>
          <w:rFonts w:cs="Times New Roman"/>
        </w:rPr>
        <w:t xml:space="preserve"> individually </w:t>
      </w:r>
      <w:r w:rsidR="002239F5" w:rsidRPr="006B7EE3">
        <w:rPr>
          <w:rFonts w:cs="Times New Roman" w:hint="eastAsia"/>
        </w:rPr>
        <w:t>confront</w:t>
      </w:r>
      <w:r w:rsidR="002239F5" w:rsidRPr="006B7EE3">
        <w:rPr>
          <w:rFonts w:cs="Times New Roman"/>
        </w:rPr>
        <w:t xml:space="preserve"> extra cost generated by </w:t>
      </w:r>
      <w:r w:rsidR="001E1992">
        <w:rPr>
          <w:rFonts w:cs="Times New Roman"/>
        </w:rPr>
        <w:t xml:space="preserve">the </w:t>
      </w:r>
      <w:r w:rsidR="002239F5" w:rsidRPr="006B7EE3">
        <w:rPr>
          <w:rFonts w:cs="Times New Roman"/>
        </w:rPr>
        <w:t xml:space="preserve">UCC </w:t>
      </w:r>
      <w:r w:rsidR="002D6A0A">
        <w:rPr>
          <w:rFonts w:cs="Times New Roman"/>
        </w:rPr>
        <w:fldChar w:fldCharType="begin">
          <w:fldData xml:space="preserve">PEVuZE5vdGU+PENpdGU+PEF1dGhvcj5CYXR0YWlhPC9BdXRob3I+PFllYXI+MjAxNDwvWWVhcj48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</w:fldData>
        </w:fldChar>
      </w:r>
      <w:r w:rsidR="00232D14">
        <w:rPr>
          <w:rFonts w:cs="Times New Roman"/>
        </w:rPr>
        <w:instrText xml:space="preserve"> ADDIN EN.CITE </w:instrText>
      </w:r>
      <w:r w:rsidR="00232D14">
        <w:rPr>
          <w:rFonts w:cs="Times New Roman"/>
        </w:rPr>
        <w:fldChar w:fldCharType="begin">
          <w:fldData xml:space="preserve">PEVuZE5vdGU+PENpdGU+PEF1dGhvcj5CYXR0YWlhPC9BdXRob3I+PFllYXI+MjAxNDwvWWVhcj48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</w:fldData>
        </w:fldChar>
      </w:r>
      <w:r w:rsidR="00232D14">
        <w:rPr>
          <w:rFonts w:cs="Times New Roman"/>
        </w:rPr>
        <w:instrText xml:space="preserve"> ADDIN EN.CITE.DATA </w:instrText>
      </w:r>
      <w:r w:rsidR="00232D14">
        <w:rPr>
          <w:rFonts w:cs="Times New Roman"/>
        </w:rPr>
      </w:r>
      <w:r w:rsidR="00232D14">
        <w:rPr>
          <w:rFonts w:cs="Times New Roman"/>
        </w:rPr>
        <w:fldChar w:fldCharType="end"/>
      </w:r>
      <w:r w:rsidR="002D6A0A">
        <w:rPr>
          <w:rFonts w:cs="Times New Roman"/>
        </w:rPr>
      </w:r>
      <w:r w:rsidR="002D6A0A">
        <w:rPr>
          <w:rFonts w:cs="Times New Roman"/>
        </w:rPr>
        <w:fldChar w:fldCharType="separate"/>
      </w:r>
      <w:r w:rsidR="002D6A0A">
        <w:rPr>
          <w:rFonts w:cs="Times New Roman"/>
          <w:noProof/>
        </w:rPr>
        <w:t>(Battaia et al., 2014)</w:t>
      </w:r>
      <w:r w:rsidR="002D6A0A">
        <w:rPr>
          <w:rFonts w:cs="Times New Roman"/>
        </w:rPr>
        <w:fldChar w:fldCharType="end"/>
      </w:r>
      <w:r w:rsidR="002239F5" w:rsidRPr="006B7EE3">
        <w:rPr>
          <w:rFonts w:cs="Times New Roman"/>
        </w:rPr>
        <w:t>.</w:t>
      </w:r>
      <w:r w:rsidR="00862CC6">
        <w:rPr>
          <w:rFonts w:cs="Times New Roman"/>
        </w:rPr>
        <w:t xml:space="preserve"> </w:t>
      </w:r>
      <w:r w:rsidR="0078420B">
        <w:rPr>
          <w:rFonts w:cs="Times New Roman"/>
        </w:rPr>
        <w:t>T</w:t>
      </w:r>
      <w:r w:rsidR="0071798B" w:rsidRPr="00A96AC5">
        <w:rPr>
          <w:rFonts w:cs="Times New Roman"/>
        </w:rPr>
        <w:t xml:space="preserve">hese stakeholders’ objectives are heterogeneous </w:t>
      </w:r>
      <w:r w:rsidR="002D6A0A">
        <w:rPr>
          <w:rFonts w:cs="Times New Roman"/>
        </w:rPr>
        <w:fldChar w:fldCharType="begin">
          <w:fldData xml:space="preserve">PEVuZE5vdGU+PENpdGU+PEF1dGhvcj5BbGpvaGFuaTwvQXV0aG9yPjxZZWFyPjIwMTg8L1llYXI+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</w:fldData>
        </w:fldChar>
      </w:r>
      <w:r w:rsidR="008E6F3B">
        <w:rPr>
          <w:rFonts w:cs="Times New Roman"/>
        </w:rPr>
        <w:instrText xml:space="preserve"> ADDIN EN.CITE </w:instrText>
      </w:r>
      <w:r w:rsidR="008E6F3B">
        <w:rPr>
          <w:rFonts w:cs="Times New Roman"/>
        </w:rPr>
        <w:fldChar w:fldCharType="begin">
          <w:fldData xml:space="preserve">PEVuZE5vdGU+PENpdGU+PEF1dGhvcj5BbGpvaGFuaTwvQXV0aG9yPjxZZWFyPjIwMTg8L1llYXI+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</w:fldData>
        </w:fldChar>
      </w:r>
      <w:r w:rsidR="008E6F3B">
        <w:rPr>
          <w:rFonts w:cs="Times New Roman"/>
        </w:rPr>
        <w:instrText xml:space="preserve"> ADDIN EN.CITE.DATA </w:instrText>
      </w:r>
      <w:r w:rsidR="008E6F3B">
        <w:rPr>
          <w:rFonts w:cs="Times New Roman"/>
        </w:rPr>
      </w:r>
      <w:r w:rsidR="008E6F3B">
        <w:rPr>
          <w:rFonts w:cs="Times New Roman"/>
        </w:rPr>
        <w:fldChar w:fldCharType="end"/>
      </w:r>
      <w:r w:rsidR="002D6A0A">
        <w:rPr>
          <w:rFonts w:cs="Times New Roman"/>
        </w:rPr>
      </w:r>
      <w:r w:rsidR="002D6A0A">
        <w:rPr>
          <w:rFonts w:cs="Times New Roman"/>
        </w:rPr>
        <w:fldChar w:fldCharType="separate"/>
      </w:r>
      <w:r w:rsidR="002D6A0A">
        <w:rPr>
          <w:rFonts w:cs="Times New Roman"/>
          <w:noProof/>
        </w:rPr>
        <w:t>(Aljohani and Thompson, 2018, Gatta et al., 2019a)</w:t>
      </w:r>
      <w:r w:rsidR="002D6A0A">
        <w:rPr>
          <w:rFonts w:cs="Times New Roman"/>
        </w:rPr>
        <w:fldChar w:fldCharType="end"/>
      </w:r>
      <w:r w:rsidR="0071798B" w:rsidRPr="00A96AC5">
        <w:rPr>
          <w:rFonts w:cs="Times New Roman"/>
        </w:rPr>
        <w:t xml:space="preserve">, which leads to conflict during operations. </w:t>
      </w:r>
      <w:r w:rsidR="002D6A0A">
        <w:rPr>
          <w:noProof/>
        </w:rPr>
        <w:fldChar w:fldCharType="begin">
          <w:fldData xml:space="preserve">PEVuZE5vdGU+PENpdGUgQXV0aG9yWWVhcj0iMSI+PEF1dGhvcj5Ob3JkdMO4bW1lPC9BdXRob3I+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</w:fldData>
        </w:fldChar>
      </w:r>
      <w:r w:rsidR="00647E79">
        <w:rPr>
          <w:noProof/>
        </w:rPr>
        <w:instrText xml:space="preserve"> ADDIN EN.CITE </w:instrText>
      </w:r>
      <w:r w:rsidR="00647E79">
        <w:rPr>
          <w:noProof/>
        </w:rPr>
        <w:fldChar w:fldCharType="begin">
          <w:fldData xml:space="preserve">PEVuZE5vdGU+PENpdGUgQXV0aG9yWWVhcj0iMSI+PEF1dGhvcj5Ob3JkdMO4bW1lPC9BdXRob3I+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</w:fldData>
        </w:fldChar>
      </w:r>
      <w:r w:rsidR="00647E79">
        <w:rPr>
          <w:noProof/>
        </w:rPr>
        <w:instrText xml:space="preserve"> ADDIN EN.CITE.DATA </w:instrText>
      </w:r>
      <w:r w:rsidR="00647E79">
        <w:rPr>
          <w:noProof/>
        </w:rPr>
      </w:r>
      <w:r w:rsidR="00647E79">
        <w:rPr>
          <w:noProof/>
        </w:rPr>
        <w:fldChar w:fldCharType="end"/>
      </w:r>
      <w:r w:rsidR="002D6A0A">
        <w:rPr>
          <w:noProof/>
        </w:rPr>
      </w:r>
      <w:r w:rsidR="002D6A0A">
        <w:rPr>
          <w:noProof/>
        </w:rPr>
        <w:fldChar w:fldCharType="separate"/>
      </w:r>
      <w:r w:rsidR="00B53D5D">
        <w:rPr>
          <w:noProof/>
        </w:rPr>
        <w:t>Nordtømme et al. (2015b)</w:t>
      </w:r>
      <w:r w:rsidR="002D6A0A">
        <w:rPr>
          <w:noProof/>
        </w:rPr>
        <w:fldChar w:fldCharType="end"/>
      </w:r>
      <w:r w:rsidR="0071798B" w:rsidRPr="00A96AC5">
        <w:rPr>
          <w:rFonts w:cs="Times New Roman"/>
        </w:rPr>
        <w:t xml:space="preserve"> identify key barriers to the implementation of UCCs, and these stem</w:t>
      </w:r>
      <w:r w:rsidR="00080A3A">
        <w:rPr>
          <w:rFonts w:cs="Times New Roman"/>
        </w:rPr>
        <w:t>s</w:t>
      </w:r>
      <w:r w:rsidR="0071798B" w:rsidRPr="00A96AC5">
        <w:rPr>
          <w:rFonts w:cs="Times New Roman"/>
        </w:rPr>
        <w:t xml:space="preserve"> primarily from factors of regulation, finance, society, culture, and institutions. The researchers also note that differences in targets and ways of achieving goals frequently lead to conflict (</w:t>
      </w:r>
      <w:r w:rsidR="0071798B" w:rsidRPr="008903D1">
        <w:rPr>
          <w:rFonts w:cs="Times New Roman"/>
        </w:rPr>
        <w:fldChar w:fldCharType="begin"/>
      </w:r>
      <w:r w:rsidR="0071798B" w:rsidRPr="00A96AC5">
        <w:rPr>
          <w:rFonts w:cs="Times New Roman"/>
        </w:rPr>
        <w:instrText xml:space="preserve"> REF _Ref34397376 \h </w:instrText>
      </w:r>
      <w:r w:rsidR="008903D1">
        <w:rPr>
          <w:rFonts w:cs="Times New Roman"/>
        </w:rPr>
        <w:instrText xml:space="preserve"> \* MERGEFORMAT </w:instrText>
      </w:r>
      <w:r w:rsidR="0071798B" w:rsidRPr="008903D1">
        <w:rPr>
          <w:rFonts w:cs="Times New Roman"/>
        </w:rPr>
      </w:r>
      <w:r w:rsidR="0071798B" w:rsidRPr="008903D1">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2</w:t>
      </w:r>
      <w:r w:rsidR="0005064B">
        <w:rPr>
          <w:rFonts w:cs="Times New Roman"/>
          <w:noProof/>
        </w:rPr>
        <w:noBreakHyphen/>
        <w:t>11</w:t>
      </w:r>
      <w:r w:rsidR="0071798B" w:rsidRPr="008903D1">
        <w:rPr>
          <w:rFonts w:cs="Times New Roman"/>
        </w:rPr>
        <w:fldChar w:fldCharType="end"/>
      </w:r>
      <w:r w:rsidR="0071798B" w:rsidRPr="008903D1">
        <w:rPr>
          <w:rFonts w:cs="Times New Roman"/>
        </w:rPr>
        <w:t>).</w:t>
      </w:r>
    </w:p>
    <w:tbl>
      <w:tblPr>
        <w:tblStyle w:val="TableGrid"/>
        <w:tblW w:w="5000" w:type="pct"/>
        <w:jc w:val="center"/>
        <w:tblLook w:val="04A0" w:firstRow="1" w:lastRow="0" w:firstColumn="1" w:lastColumn="0" w:noHBand="0" w:noVBand="1"/>
      </w:tblPr>
      <w:tblGrid>
        <w:gridCol w:w="2016"/>
        <w:gridCol w:w="3276"/>
        <w:gridCol w:w="3724"/>
      </w:tblGrid>
      <w:tr w:rsidR="0071798B" w:rsidRPr="008903D1" w14:paraId="2AE0B0F6" w14:textId="77777777" w:rsidTr="00F7598C">
        <w:trPr>
          <w:jc w:val="center"/>
        </w:trPr>
        <w:tc>
          <w:tcPr>
            <w:tcW w:w="1118" w:type="pct"/>
          </w:tcPr>
          <w:p w14:paraId="75E813CB" w14:textId="77777777" w:rsidR="0071798B" w:rsidRPr="006C301D" w:rsidRDefault="0071798B" w:rsidP="004367A3">
            <w:pPr>
              <w:spacing w:line="240" w:lineRule="auto"/>
              <w:jc w:val="center"/>
              <w:rPr>
                <w:rFonts w:cs="Times New Roman"/>
                <w:b/>
                <w:sz w:val="22"/>
              </w:rPr>
            </w:pPr>
            <w:r w:rsidRPr="00802DC5">
              <w:rPr>
                <w:rFonts w:cs="Times New Roman"/>
                <w:b/>
                <w:sz w:val="22"/>
              </w:rPr>
              <w:t>Stakeholders</w:t>
            </w:r>
          </w:p>
        </w:tc>
        <w:tc>
          <w:tcPr>
            <w:tcW w:w="1817" w:type="pct"/>
          </w:tcPr>
          <w:p w14:paraId="634C4503" w14:textId="77777777" w:rsidR="0071798B" w:rsidRPr="00A96AC5" w:rsidRDefault="0071798B" w:rsidP="004367A3">
            <w:pPr>
              <w:spacing w:line="240" w:lineRule="auto"/>
              <w:jc w:val="center"/>
              <w:rPr>
                <w:rFonts w:cs="Times New Roman"/>
                <w:b/>
                <w:sz w:val="22"/>
              </w:rPr>
            </w:pPr>
            <w:r w:rsidRPr="00A96AC5">
              <w:rPr>
                <w:rFonts w:cs="Times New Roman"/>
                <w:b/>
                <w:sz w:val="22"/>
              </w:rPr>
              <w:t>Objectives</w:t>
            </w:r>
          </w:p>
        </w:tc>
        <w:tc>
          <w:tcPr>
            <w:tcW w:w="2065" w:type="pct"/>
          </w:tcPr>
          <w:p w14:paraId="0000699F" w14:textId="77777777" w:rsidR="0071798B" w:rsidRPr="00A96AC5" w:rsidRDefault="0071798B" w:rsidP="004367A3">
            <w:pPr>
              <w:spacing w:line="240" w:lineRule="auto"/>
              <w:jc w:val="center"/>
              <w:rPr>
                <w:rFonts w:cs="Times New Roman"/>
                <w:b/>
                <w:sz w:val="22"/>
              </w:rPr>
            </w:pPr>
            <w:r w:rsidRPr="00A96AC5">
              <w:rPr>
                <w:rFonts w:cs="Times New Roman"/>
                <w:b/>
                <w:sz w:val="22"/>
              </w:rPr>
              <w:t>Ways of reaching objectives</w:t>
            </w:r>
          </w:p>
        </w:tc>
      </w:tr>
      <w:tr w:rsidR="0071798B" w:rsidRPr="008903D1" w14:paraId="495E93A1" w14:textId="77777777" w:rsidTr="00F7598C">
        <w:trPr>
          <w:jc w:val="center"/>
        </w:trPr>
        <w:tc>
          <w:tcPr>
            <w:tcW w:w="1118" w:type="pct"/>
            <w:vAlign w:val="center"/>
          </w:tcPr>
          <w:p w14:paraId="08F189B1" w14:textId="1721EE47" w:rsidR="0071798B" w:rsidRPr="00737239" w:rsidRDefault="009322FE" w:rsidP="004367A3">
            <w:pPr>
              <w:spacing w:line="240" w:lineRule="auto"/>
              <w:jc w:val="left"/>
              <w:rPr>
                <w:rFonts w:cs="Times New Roman"/>
                <w:sz w:val="22"/>
              </w:rPr>
            </w:pPr>
            <w:r>
              <w:rPr>
                <w:rFonts w:cs="Times New Roman"/>
                <w:sz w:val="22"/>
              </w:rPr>
              <w:t>LSPs</w:t>
            </w:r>
          </w:p>
        </w:tc>
        <w:tc>
          <w:tcPr>
            <w:tcW w:w="1817" w:type="pct"/>
            <w:vAlign w:val="center"/>
          </w:tcPr>
          <w:p w14:paraId="353BEEAB" w14:textId="635163CC" w:rsidR="0071798B" w:rsidRPr="00A96AC5" w:rsidRDefault="00C16261" w:rsidP="004367A3">
            <w:pPr>
              <w:spacing w:line="240" w:lineRule="auto"/>
              <w:jc w:val="left"/>
              <w:rPr>
                <w:rFonts w:cs="Times New Roman"/>
                <w:sz w:val="22"/>
              </w:rPr>
            </w:pPr>
            <w:r w:rsidRPr="00802DC5">
              <w:rPr>
                <w:rFonts w:cs="Times New Roman"/>
              </w:rPr>
              <w:t>Profitability</w:t>
            </w:r>
          </w:p>
        </w:tc>
        <w:tc>
          <w:tcPr>
            <w:tcW w:w="2065" w:type="pct"/>
            <w:vAlign w:val="center"/>
          </w:tcPr>
          <w:p w14:paraId="573FE5C5" w14:textId="77777777" w:rsidR="0071798B" w:rsidRPr="00A96AC5" w:rsidRDefault="0071798B" w:rsidP="004367A3">
            <w:pPr>
              <w:spacing w:line="240" w:lineRule="auto"/>
              <w:jc w:val="left"/>
              <w:rPr>
                <w:rFonts w:cs="Times New Roman"/>
                <w:sz w:val="22"/>
              </w:rPr>
            </w:pPr>
            <w:r w:rsidRPr="00A96AC5">
              <w:rPr>
                <w:rFonts w:cs="Times New Roman"/>
                <w:sz w:val="22"/>
              </w:rPr>
              <w:t xml:space="preserve">Reducing transportation costs </w:t>
            </w:r>
          </w:p>
        </w:tc>
      </w:tr>
      <w:tr w:rsidR="0071798B" w:rsidRPr="008903D1" w14:paraId="30A63879" w14:textId="77777777" w:rsidTr="00F7598C">
        <w:trPr>
          <w:jc w:val="center"/>
        </w:trPr>
        <w:tc>
          <w:tcPr>
            <w:tcW w:w="1118" w:type="pct"/>
            <w:vAlign w:val="center"/>
          </w:tcPr>
          <w:p w14:paraId="4C5251E4" w14:textId="0EF40B8C" w:rsidR="0071798B" w:rsidRPr="00737239" w:rsidRDefault="009322FE" w:rsidP="004367A3">
            <w:pPr>
              <w:spacing w:line="240" w:lineRule="auto"/>
              <w:jc w:val="left"/>
              <w:rPr>
                <w:rFonts w:cs="Times New Roman"/>
                <w:sz w:val="22"/>
              </w:rPr>
            </w:pPr>
            <w:r>
              <w:rPr>
                <w:rFonts w:cs="Times New Roman"/>
                <w:sz w:val="22"/>
              </w:rPr>
              <w:t>Supplier</w:t>
            </w:r>
          </w:p>
        </w:tc>
        <w:tc>
          <w:tcPr>
            <w:tcW w:w="1817" w:type="pct"/>
            <w:vAlign w:val="center"/>
          </w:tcPr>
          <w:p w14:paraId="0D1C7FD5" w14:textId="217D4D59" w:rsidR="0071798B" w:rsidRPr="008903D1" w:rsidRDefault="00C16261" w:rsidP="004367A3">
            <w:pPr>
              <w:spacing w:line="240" w:lineRule="auto"/>
              <w:jc w:val="left"/>
              <w:rPr>
                <w:rFonts w:cs="Times New Roman"/>
                <w:sz w:val="22"/>
              </w:rPr>
            </w:pPr>
            <w:r w:rsidRPr="00802DC5">
              <w:rPr>
                <w:rFonts w:cs="Times New Roman"/>
              </w:rPr>
              <w:t>Profitability</w:t>
            </w:r>
          </w:p>
        </w:tc>
        <w:tc>
          <w:tcPr>
            <w:tcW w:w="2065" w:type="pct"/>
            <w:vAlign w:val="center"/>
          </w:tcPr>
          <w:p w14:paraId="1960C65A" w14:textId="77777777" w:rsidR="0071798B" w:rsidRPr="00802DC5" w:rsidRDefault="0071798B" w:rsidP="004367A3">
            <w:pPr>
              <w:spacing w:line="240" w:lineRule="auto"/>
              <w:jc w:val="left"/>
              <w:rPr>
                <w:rFonts w:cs="Times New Roman"/>
                <w:sz w:val="22"/>
              </w:rPr>
            </w:pPr>
            <w:r w:rsidRPr="00737239">
              <w:rPr>
                <w:rFonts w:cs="Times New Roman"/>
                <w:sz w:val="22"/>
              </w:rPr>
              <w:t>Increasing business volume, reducing operation costs, increasing logistics efficiency</w:t>
            </w:r>
          </w:p>
        </w:tc>
      </w:tr>
      <w:tr w:rsidR="0071798B" w:rsidRPr="008903D1" w14:paraId="401DEF23" w14:textId="77777777" w:rsidTr="00F7598C">
        <w:trPr>
          <w:jc w:val="center"/>
        </w:trPr>
        <w:tc>
          <w:tcPr>
            <w:tcW w:w="1118" w:type="pct"/>
            <w:vAlign w:val="center"/>
          </w:tcPr>
          <w:p w14:paraId="73D14243" w14:textId="6EE7DFC3" w:rsidR="0071798B" w:rsidRPr="00737239" w:rsidRDefault="009322FE" w:rsidP="004367A3">
            <w:pPr>
              <w:spacing w:line="240" w:lineRule="auto"/>
              <w:jc w:val="left"/>
              <w:rPr>
                <w:rFonts w:cs="Times New Roman"/>
                <w:sz w:val="22"/>
              </w:rPr>
            </w:pPr>
            <w:r>
              <w:rPr>
                <w:rFonts w:cs="Times New Roman"/>
                <w:sz w:val="22"/>
              </w:rPr>
              <w:t>Receivers</w:t>
            </w:r>
          </w:p>
        </w:tc>
        <w:tc>
          <w:tcPr>
            <w:tcW w:w="1817" w:type="pct"/>
            <w:vAlign w:val="center"/>
          </w:tcPr>
          <w:p w14:paraId="3DE7E90B" w14:textId="77777777" w:rsidR="0071798B" w:rsidRPr="006C301D" w:rsidRDefault="0071798B" w:rsidP="004367A3">
            <w:pPr>
              <w:spacing w:line="240" w:lineRule="auto"/>
              <w:jc w:val="left"/>
              <w:rPr>
                <w:rFonts w:cs="Times New Roman"/>
                <w:sz w:val="22"/>
              </w:rPr>
            </w:pPr>
            <w:r w:rsidRPr="00802DC5">
              <w:rPr>
                <w:rFonts w:cs="Times New Roman"/>
                <w:sz w:val="22"/>
              </w:rPr>
              <w:t>Lowest price, on-time delivery</w:t>
            </w:r>
          </w:p>
        </w:tc>
        <w:tc>
          <w:tcPr>
            <w:tcW w:w="2065" w:type="pct"/>
            <w:vAlign w:val="center"/>
          </w:tcPr>
          <w:p w14:paraId="04E429A2" w14:textId="77777777" w:rsidR="0071798B" w:rsidRPr="00A96AC5" w:rsidRDefault="0071798B" w:rsidP="004367A3">
            <w:pPr>
              <w:spacing w:line="240" w:lineRule="auto"/>
              <w:ind w:left="110" w:hangingChars="50" w:hanging="110"/>
              <w:jc w:val="left"/>
              <w:rPr>
                <w:rFonts w:cs="Times New Roman"/>
                <w:sz w:val="22"/>
              </w:rPr>
            </w:pPr>
            <w:r w:rsidRPr="00A96AC5">
              <w:rPr>
                <w:rFonts w:cs="Times New Roman"/>
                <w:sz w:val="22"/>
              </w:rPr>
              <w:t>Choice, assessment, complaints</w:t>
            </w:r>
          </w:p>
        </w:tc>
      </w:tr>
      <w:tr w:rsidR="0071798B" w:rsidRPr="008903D1" w14:paraId="1CF0780B" w14:textId="77777777" w:rsidTr="00F7598C">
        <w:trPr>
          <w:jc w:val="center"/>
        </w:trPr>
        <w:tc>
          <w:tcPr>
            <w:tcW w:w="1118" w:type="pct"/>
            <w:vAlign w:val="center"/>
          </w:tcPr>
          <w:p w14:paraId="576BEFE6" w14:textId="77777777" w:rsidR="0071798B" w:rsidRPr="00737239" w:rsidRDefault="0071798B" w:rsidP="004367A3">
            <w:pPr>
              <w:spacing w:line="240" w:lineRule="auto"/>
              <w:jc w:val="left"/>
              <w:rPr>
                <w:rFonts w:cs="Times New Roman"/>
                <w:sz w:val="22"/>
              </w:rPr>
            </w:pPr>
            <w:r w:rsidRPr="00737239">
              <w:rPr>
                <w:rFonts w:cs="Times New Roman"/>
                <w:sz w:val="22"/>
              </w:rPr>
              <w:t>Administrators</w:t>
            </w:r>
          </w:p>
        </w:tc>
        <w:tc>
          <w:tcPr>
            <w:tcW w:w="1817" w:type="pct"/>
            <w:vAlign w:val="center"/>
          </w:tcPr>
          <w:p w14:paraId="62DF30C1" w14:textId="77777777" w:rsidR="0071798B" w:rsidRPr="006C301D" w:rsidRDefault="0071798B" w:rsidP="004367A3">
            <w:pPr>
              <w:spacing w:line="240" w:lineRule="auto"/>
              <w:jc w:val="left"/>
              <w:rPr>
                <w:rFonts w:cs="Times New Roman"/>
                <w:sz w:val="22"/>
              </w:rPr>
            </w:pPr>
            <w:r w:rsidRPr="00802DC5">
              <w:rPr>
                <w:rFonts w:cs="Times New Roman"/>
                <w:sz w:val="22"/>
              </w:rPr>
              <w:t xml:space="preserve">1. </w:t>
            </w:r>
            <w:proofErr w:type="spellStart"/>
            <w:r w:rsidRPr="00802DC5">
              <w:rPr>
                <w:rFonts w:cs="Times New Roman"/>
                <w:sz w:val="22"/>
              </w:rPr>
              <w:t>Revitalisation</w:t>
            </w:r>
            <w:proofErr w:type="spellEnd"/>
            <w:r w:rsidRPr="00802DC5">
              <w:rPr>
                <w:rFonts w:cs="Times New Roman"/>
                <w:sz w:val="22"/>
              </w:rPr>
              <w:t xml:space="preserve"> of the city</w:t>
            </w:r>
          </w:p>
          <w:p w14:paraId="275E5307" w14:textId="77777777" w:rsidR="0071798B" w:rsidRPr="00A96AC5" w:rsidRDefault="0071798B" w:rsidP="004367A3">
            <w:pPr>
              <w:spacing w:line="240" w:lineRule="auto"/>
              <w:jc w:val="left"/>
              <w:rPr>
                <w:rFonts w:cs="Times New Roman"/>
                <w:sz w:val="22"/>
              </w:rPr>
            </w:pPr>
            <w:r w:rsidRPr="00A96AC5">
              <w:rPr>
                <w:rFonts w:cs="Times New Roman"/>
                <w:sz w:val="22"/>
              </w:rPr>
              <w:t>2. Low environmental impact</w:t>
            </w:r>
          </w:p>
          <w:p w14:paraId="68A3F122" w14:textId="77777777" w:rsidR="0071798B" w:rsidRPr="00A96AC5" w:rsidRDefault="0071798B" w:rsidP="004367A3">
            <w:pPr>
              <w:spacing w:line="240" w:lineRule="auto"/>
              <w:jc w:val="left"/>
              <w:rPr>
                <w:rFonts w:cs="Times New Roman"/>
                <w:sz w:val="22"/>
              </w:rPr>
            </w:pPr>
            <w:r w:rsidRPr="00A96AC5">
              <w:rPr>
                <w:rFonts w:cs="Times New Roman"/>
                <w:sz w:val="22"/>
              </w:rPr>
              <w:t>3. Low financial expenditure</w:t>
            </w:r>
          </w:p>
        </w:tc>
        <w:tc>
          <w:tcPr>
            <w:tcW w:w="2065" w:type="pct"/>
            <w:vAlign w:val="center"/>
          </w:tcPr>
          <w:p w14:paraId="74668B07" w14:textId="77777777" w:rsidR="0071798B" w:rsidRPr="00A96AC5" w:rsidRDefault="0071798B" w:rsidP="004367A3">
            <w:pPr>
              <w:spacing w:line="240" w:lineRule="auto"/>
              <w:jc w:val="left"/>
              <w:rPr>
                <w:rFonts w:cs="Times New Roman"/>
                <w:sz w:val="22"/>
              </w:rPr>
            </w:pPr>
            <w:r w:rsidRPr="00A96AC5">
              <w:rPr>
                <w:rFonts w:cs="Times New Roman"/>
                <w:sz w:val="22"/>
              </w:rPr>
              <w:t>Policy and regulation</w:t>
            </w:r>
          </w:p>
        </w:tc>
      </w:tr>
      <w:tr w:rsidR="0071798B" w:rsidRPr="008903D1" w14:paraId="7912FC95" w14:textId="77777777" w:rsidTr="00F7598C">
        <w:trPr>
          <w:jc w:val="center"/>
        </w:trPr>
        <w:tc>
          <w:tcPr>
            <w:tcW w:w="1118" w:type="pct"/>
            <w:vAlign w:val="center"/>
          </w:tcPr>
          <w:p w14:paraId="5039F212" w14:textId="78AC5C76" w:rsidR="0071798B" w:rsidRPr="00737239" w:rsidRDefault="00EC5743" w:rsidP="004367A3">
            <w:pPr>
              <w:spacing w:line="240" w:lineRule="auto"/>
              <w:jc w:val="left"/>
              <w:rPr>
                <w:rFonts w:cs="Times New Roman"/>
                <w:sz w:val="22"/>
              </w:rPr>
            </w:pPr>
            <w:r>
              <w:rPr>
                <w:rFonts w:cs="Times New Roman"/>
                <w:sz w:val="22"/>
              </w:rPr>
              <w:t xml:space="preserve">UCC </w:t>
            </w:r>
            <w:r w:rsidR="0071798B" w:rsidRPr="00737239">
              <w:rPr>
                <w:rFonts w:cs="Times New Roman"/>
                <w:sz w:val="22"/>
              </w:rPr>
              <w:t>Operators</w:t>
            </w:r>
          </w:p>
        </w:tc>
        <w:tc>
          <w:tcPr>
            <w:tcW w:w="1817" w:type="pct"/>
            <w:vAlign w:val="center"/>
          </w:tcPr>
          <w:p w14:paraId="5A087F98" w14:textId="77777777" w:rsidR="0071798B" w:rsidRPr="006C301D" w:rsidRDefault="0071798B" w:rsidP="004367A3">
            <w:pPr>
              <w:spacing w:line="240" w:lineRule="auto"/>
              <w:jc w:val="left"/>
              <w:rPr>
                <w:rFonts w:cs="Times New Roman"/>
                <w:sz w:val="22"/>
              </w:rPr>
            </w:pPr>
            <w:r w:rsidRPr="00802DC5">
              <w:rPr>
                <w:rFonts w:cs="Times New Roman"/>
                <w:sz w:val="22"/>
              </w:rPr>
              <w:t>Maintaining profitability</w:t>
            </w:r>
          </w:p>
        </w:tc>
        <w:tc>
          <w:tcPr>
            <w:tcW w:w="2065" w:type="pct"/>
            <w:vAlign w:val="center"/>
          </w:tcPr>
          <w:p w14:paraId="1313C902" w14:textId="77777777" w:rsidR="0071798B" w:rsidRPr="00A96AC5" w:rsidRDefault="0071798B" w:rsidP="004367A3">
            <w:pPr>
              <w:spacing w:line="240" w:lineRule="auto"/>
              <w:jc w:val="left"/>
              <w:rPr>
                <w:rFonts w:cs="Times New Roman"/>
                <w:sz w:val="22"/>
              </w:rPr>
            </w:pPr>
            <w:r w:rsidRPr="00A96AC5">
              <w:rPr>
                <w:rFonts w:cs="Times New Roman"/>
                <w:sz w:val="22"/>
              </w:rPr>
              <w:t>Lower operating cost, more participants</w:t>
            </w:r>
          </w:p>
        </w:tc>
      </w:tr>
    </w:tbl>
    <w:p w14:paraId="6870DC6F" w14:textId="689A4AFC" w:rsidR="0071798B" w:rsidRPr="008903D1" w:rsidRDefault="007B5959" w:rsidP="000A4E8C">
      <w:pPr>
        <w:pStyle w:val="Caption"/>
        <w:spacing w:after="0" w:line="360" w:lineRule="auto"/>
        <w:rPr>
          <w:rFonts w:cs="Times New Roman"/>
        </w:rPr>
      </w:pPr>
      <w:bookmarkStart w:id="357" w:name="_Ref34397376"/>
      <w:bookmarkStart w:id="358" w:name="_Toc490574371"/>
      <w:bookmarkStart w:id="359" w:name="_Toc491870119"/>
      <w:bookmarkStart w:id="360" w:name="_Toc34674939"/>
      <w:bookmarkStart w:id="361" w:name="_Toc34734731"/>
      <w:bookmarkStart w:id="362" w:name="_Toc46053545"/>
      <w:bookmarkStart w:id="363" w:name="_Toc46093794"/>
      <w:bookmarkStart w:id="364" w:name="_Toc66698762"/>
      <w:r>
        <w:rPr>
          <w:rFonts w:cs="Times New Roman"/>
        </w:rPr>
        <w:t>Table</w:t>
      </w:r>
      <w:r w:rsidR="0071798B"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2</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11</w:t>
      </w:r>
      <w:r w:rsidR="00FE10DA">
        <w:rPr>
          <w:rFonts w:cs="Times New Roman"/>
        </w:rPr>
        <w:fldChar w:fldCharType="end"/>
      </w:r>
      <w:bookmarkEnd w:id="357"/>
      <w:r w:rsidR="00AF217C">
        <w:rPr>
          <w:rFonts w:cs="Times New Roman"/>
        </w:rPr>
        <w:t>:</w:t>
      </w:r>
      <w:r w:rsidR="0071798B" w:rsidRPr="008903D1">
        <w:rPr>
          <w:rFonts w:cs="Times New Roman"/>
        </w:rPr>
        <w:t xml:space="preserve"> Urban consolidation centre (UCC) stakeholder </w:t>
      </w:r>
      <w:bookmarkEnd w:id="358"/>
      <w:bookmarkEnd w:id="359"/>
      <w:r w:rsidR="0071798B" w:rsidRPr="008903D1">
        <w:rPr>
          <w:rFonts w:cs="Times New Roman"/>
        </w:rPr>
        <w:t>targets</w:t>
      </w:r>
      <w:bookmarkEnd w:id="360"/>
      <w:bookmarkEnd w:id="361"/>
      <w:bookmarkEnd w:id="362"/>
      <w:bookmarkEnd w:id="363"/>
      <w:bookmarkEnd w:id="364"/>
    </w:p>
    <w:p w14:paraId="4CC5755A" w14:textId="6C0A50CD" w:rsidR="0071798B" w:rsidRPr="00A96AC5" w:rsidRDefault="0071798B" w:rsidP="005841AD">
      <w:pPr>
        <w:spacing w:after="240" w:line="360" w:lineRule="auto"/>
        <w:rPr>
          <w:rFonts w:cs="Times New Roman"/>
        </w:rPr>
      </w:pPr>
      <w:r w:rsidRPr="00737239">
        <w:rPr>
          <w:rFonts w:cs="Times New Roman"/>
        </w:rPr>
        <w:t xml:space="preserve">Results from previous studies provide examples of this kind of issue. For instance, competitive relationships between carriers create challenges to collaboration in the UCC </w:t>
      </w:r>
      <w:r w:rsidR="00B04B60">
        <w:rPr>
          <w:noProof/>
        </w:rPr>
        <w:fldChar w:fldCharType="begin">
          <w:fldData xml:space="preserve">PEVuZE5vdGU+PENpdGU+PEF1dGhvcj5Fc3RyYWRhPC9BdXRob3I+PFllYXI+MjAxNzwvWWVhcj48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</w:fldData>
        </w:fldChar>
      </w:r>
      <w:r w:rsidR="001B186D">
        <w:rPr>
          <w:noProof/>
        </w:rPr>
        <w:instrText xml:space="preserve"> ADDIN EN.CITE </w:instrText>
      </w:r>
      <w:r w:rsidR="001B186D">
        <w:rPr>
          <w:noProof/>
        </w:rPr>
        <w:fldChar w:fldCharType="begin">
          <w:fldData xml:space="preserve">PEVuZE5vdGU+PENpdGU+PEF1dGhvcj5Fc3RyYWRhPC9BdXRob3I+PFllYXI+MjAxNzwvWWVhcj48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</w:fldData>
        </w:fldChar>
      </w:r>
      <w:r w:rsidR="001B186D">
        <w:rPr>
          <w:noProof/>
        </w:rPr>
        <w:instrText xml:space="preserve"> ADDIN EN.CITE.DATA </w:instrText>
      </w:r>
      <w:r w:rsidR="001B186D">
        <w:rPr>
          <w:noProof/>
        </w:rPr>
      </w:r>
      <w:r w:rsidR="001B186D">
        <w:rPr>
          <w:noProof/>
        </w:rPr>
        <w:fldChar w:fldCharType="end"/>
      </w:r>
      <w:r w:rsidR="00B04B60">
        <w:rPr>
          <w:noProof/>
        </w:rPr>
      </w:r>
      <w:r w:rsidR="00B04B60">
        <w:rPr>
          <w:noProof/>
        </w:rPr>
        <w:fldChar w:fldCharType="separate"/>
      </w:r>
      <w:r w:rsidR="00B04B60">
        <w:rPr>
          <w:noProof/>
        </w:rPr>
        <w:t>(Estrada and Roca-Riu, 2017)</w:t>
      </w:r>
      <w:r w:rsidR="00B04B60">
        <w:rPr>
          <w:noProof/>
        </w:rPr>
        <w:fldChar w:fldCharType="end"/>
      </w:r>
      <w:r w:rsidRPr="006C301D">
        <w:rPr>
          <w:rFonts w:cs="Times New Roman"/>
        </w:rPr>
        <w:t xml:space="preserve">. From </w:t>
      </w:r>
      <w:r w:rsidR="0056411D">
        <w:rPr>
          <w:rFonts w:cs="Times New Roman"/>
        </w:rPr>
        <w:t>an</w:t>
      </w:r>
      <w:r w:rsidRPr="006C301D">
        <w:rPr>
          <w:rFonts w:cs="Times New Roman"/>
        </w:rPr>
        <w:t xml:space="preserve"> operational perspective, although there are economic and environmental benefits to involvi</w:t>
      </w:r>
      <w:r w:rsidRPr="00A96AC5">
        <w:rPr>
          <w:rFonts w:cs="Times New Roman"/>
        </w:rPr>
        <w:t xml:space="preserve">ng multiple carriers, doing so reduces logistics efficiency </w:t>
      </w:r>
      <w:r w:rsidR="00B04B60">
        <w:rPr>
          <w:noProof/>
        </w:rPr>
        <w:fldChar w:fldCharType="begin">
          <w:fldData xml:space="preserve">PEVuZE5vdGU+PENpdGU+PEF1dGhvcj5TaW1vbmk8L0F1dGhvcj48WWVhcj4yMDE4PC9ZZWFyPjxS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</w:fldData>
        </w:fldChar>
      </w:r>
      <w:r w:rsidR="00647E79">
        <w:rPr>
          <w:noProof/>
        </w:rPr>
        <w:instrText xml:space="preserve"> ADDIN EN.CITE </w:instrText>
      </w:r>
      <w:r w:rsidR="00647E79">
        <w:rPr>
          <w:noProof/>
        </w:rPr>
        <w:fldChar w:fldCharType="begin">
          <w:fldData xml:space="preserve">PEVuZE5vdGU+PENpdGU+PEF1dGhvcj5TaW1vbmk8L0F1dGhvcj48WWVhcj4yMDE4PC9ZZWFyPjxS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</w:fldData>
        </w:fldChar>
      </w:r>
      <w:r w:rsidR="00647E79">
        <w:rPr>
          <w:noProof/>
        </w:rPr>
        <w:instrText xml:space="preserve"> ADDIN EN.CITE.DATA </w:instrText>
      </w:r>
      <w:r w:rsidR="00647E79">
        <w:rPr>
          <w:noProof/>
        </w:rPr>
      </w:r>
      <w:r w:rsidR="00647E79">
        <w:rPr>
          <w:noProof/>
        </w:rPr>
        <w:fldChar w:fldCharType="end"/>
      </w:r>
      <w:r w:rsidR="00B04B60">
        <w:rPr>
          <w:noProof/>
        </w:rPr>
      </w:r>
      <w:r w:rsidR="00B04B60">
        <w:rPr>
          <w:noProof/>
        </w:rPr>
        <w:fldChar w:fldCharType="separate"/>
      </w:r>
      <w:r w:rsidR="00B04B60">
        <w:rPr>
          <w:noProof/>
        </w:rPr>
        <w:t>(Simoni et al., 2018)</w:t>
      </w:r>
      <w:r w:rsidR="00B04B60">
        <w:rPr>
          <w:noProof/>
        </w:rPr>
        <w:fldChar w:fldCharType="end"/>
      </w:r>
      <w:r w:rsidRPr="00A96AC5">
        <w:rPr>
          <w:rFonts w:cs="Times New Roman"/>
        </w:rPr>
        <w:t xml:space="preserve">. Furthermore, even when carriers can reduce their costs by participating in the UCC, these companies still believe that the UCC occupies a partial market, leading to a decrease in their profits </w:t>
      </w:r>
      <w:r w:rsidR="00B04B60">
        <w:rPr>
          <w:noProof/>
        </w:rPr>
        <w:fldChar w:fldCharType="begin">
          <w:fldData xml:space="preserve">PEVuZE5vdGU+PENpdGU+PEF1dGhvcj5EdWluPC9BdXRob3I+PFllYXI+MjAxNjwvWWVhcj48UmVj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</w:fldData>
        </w:fldChar>
      </w:r>
      <w:r w:rsidR="00CA2D5D">
        <w:rPr>
          <w:noProof/>
        </w:rPr>
        <w:instrText xml:space="preserve"> ADDIN EN.CITE </w:instrText>
      </w:r>
      <w:r w:rsidR="00CA2D5D">
        <w:rPr>
          <w:noProof/>
        </w:rPr>
        <w:fldChar w:fldCharType="begin">
          <w:fldData xml:space="preserve">PEVuZE5vdGU+PENpdGU+PEF1dGhvcj5EdWluPC9BdXRob3I+PFllYXI+MjAxNjwvWWVhcj48UmVj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</w:fldData>
        </w:fldChar>
      </w:r>
      <w:r w:rsidR="00CA2D5D">
        <w:rPr>
          <w:noProof/>
        </w:rPr>
        <w:instrText xml:space="preserve"> ADDIN EN.CITE.DATA </w:instrText>
      </w:r>
      <w:r w:rsidR="00CA2D5D">
        <w:rPr>
          <w:noProof/>
        </w:rPr>
      </w:r>
      <w:r w:rsidR="00CA2D5D">
        <w:rPr>
          <w:noProof/>
        </w:rPr>
        <w:fldChar w:fldCharType="end"/>
      </w:r>
      <w:r w:rsidR="00B04B60">
        <w:rPr>
          <w:noProof/>
        </w:rPr>
      </w:r>
      <w:r w:rsidR="00B04B60">
        <w:rPr>
          <w:noProof/>
        </w:rPr>
        <w:fldChar w:fldCharType="separate"/>
      </w:r>
      <w:r w:rsidR="00B04B60">
        <w:rPr>
          <w:noProof/>
        </w:rPr>
        <w:t>(Duin et al., 2016)</w:t>
      </w:r>
      <w:r w:rsidR="00B04B60">
        <w:rPr>
          <w:noProof/>
        </w:rPr>
        <w:fldChar w:fldCharType="end"/>
      </w:r>
      <w:r w:rsidRPr="00A96AC5">
        <w:rPr>
          <w:rFonts w:cs="Times New Roman"/>
        </w:rPr>
        <w:t xml:space="preserve">. It is difficult to involve new </w:t>
      </w:r>
      <w:r w:rsidR="00C76346">
        <w:rPr>
          <w:rFonts w:cs="Times New Roman"/>
        </w:rPr>
        <w:t>receivers</w:t>
      </w:r>
      <w:r w:rsidRPr="00A96AC5">
        <w:rPr>
          <w:rFonts w:cs="Times New Roman"/>
        </w:rPr>
        <w:t xml:space="preserve"> in a UCC project. The decision to adopt the service varies depending on the types of goods-receivers </w:t>
      </w:r>
      <w:r w:rsidR="00B04B60">
        <w:rPr>
          <w:noProof/>
        </w:rPr>
        <w:fldChar w:fldCharType="begin"/>
      </w:r>
      <w:r w:rsidR="00CA2D5D">
        <w:rPr>
          <w:noProof/>
        </w:rPr>
        <w:instrText xml:space="preserve"> ADDIN EN.CITE &lt;EndNote&gt;&lt;Cite&gt;&lt;Author&gt;Marcucci&lt;/Author&gt;&lt;Year&gt;2008&lt;/Year&gt;&lt;RecNum&gt;227&lt;/RecNum&gt;&lt;DisplayText&gt;(Marcucci and Danielis, 2008)&lt;/DisplayText&gt;&lt;record&gt;&lt;rec-number&gt;227&lt;/rec-number&gt;&lt;foreign-keys&gt;&lt;key app="EN" db-id="x5etaz5aiszvz0edasvvpwvotttxepvd25t2" timestamp="1611177411"&gt;227&lt;/key&gt;&lt;/foreign-keys&gt;&lt;ref-type name="Journal Article"&gt;17&lt;/ref-type&gt;&lt;contributors&gt;&lt;authors&gt;&lt;author&gt;Marcucci, Edoardo&lt;/author&gt;&lt;author&gt;Danielis, Romeo&lt;/author&gt;&lt;/authors&gt;&lt;/contributors&gt;&lt;titles&gt;&lt;title&gt;The potential demand for a urban freight consolidation centre&lt;/title&gt;&lt;secondary-title&gt;Transportation&lt;/secondary-title&gt;&lt;/titles&gt;&lt;periodical&gt;&lt;full-title&gt;Transportation&lt;/full-title&gt;&lt;abbr-1&gt;Transportation&lt;/abbr-1&gt;&lt;/periodical&gt;&lt;pages&gt;269-284&lt;/pages&gt;&lt;volume&gt;35&lt;/volume&gt;&lt;number&gt;2&lt;/number&gt;&lt;dates&gt;&lt;year&gt;2008&lt;/year&gt;&lt;/dates&gt;&lt;isbn&gt;0049-4488&lt;/isbn&gt;&lt;urls&gt;&lt;related-urls&gt;&lt;url&gt;https://link.springer.com/article/10.1007%2Fs11116-007-9147-3?LI=true&lt;/url&gt;&lt;/related-urls&gt;&lt;/urls&gt;&lt;research-notes&gt;26&lt;/research-notes&gt;&lt;/record&gt;&lt;/Cite&gt;&lt;/EndNote&gt;</w:instrText>
      </w:r>
      <w:r w:rsidR="00B04B60">
        <w:rPr>
          <w:noProof/>
        </w:rPr>
        <w:fldChar w:fldCharType="separate"/>
      </w:r>
      <w:r w:rsidR="00B04B60">
        <w:rPr>
          <w:noProof/>
        </w:rPr>
        <w:t>(Marcucci and Danielis, 2008)</w:t>
      </w:r>
      <w:r w:rsidR="00B04B60">
        <w:rPr>
          <w:noProof/>
        </w:rPr>
        <w:fldChar w:fldCharType="end"/>
      </w:r>
      <w:r w:rsidRPr="00A96AC5">
        <w:rPr>
          <w:rFonts w:cs="Times New Roman"/>
        </w:rPr>
        <w:t xml:space="preserve">. </w:t>
      </w:r>
      <w:r w:rsidR="00B04B60">
        <w:rPr>
          <w:noProof/>
        </w:rPr>
        <w:fldChar w:fldCharType="begin"/>
      </w:r>
      <w:r w:rsidR="00647E79">
        <w:rPr>
          <w:noProof/>
        </w:rPr>
        <w:instrText xml:space="preserve"> ADDIN EN.CITE &lt;EndNote&gt;&lt;Cite AuthorYear="1"&gt;&lt;Author&gt;Ljungberg&lt;/Author&gt;&lt;Year&gt;2004&lt;/Year&gt;&lt;RecNum&gt;210&lt;/RecNum&gt;&lt;DisplayText&gt;Ljungberg and Gebresenbet (2004)&lt;/DisplayText&gt;&lt;record&gt;&lt;rec-number&gt;210&lt;/rec-number&gt;&lt;foreign-keys&gt;&lt;key app="EN" db-id="pzt5ep52hsedfpeext2pdfes0w0aswaewef2" timestamp="1605187996"&gt;210&lt;/key&gt;&lt;/foreign-keys&gt;&lt;ref-type name="Journal Article"&gt;17&lt;/ref-type&gt;&lt;contributors&gt;&lt;authors&gt;&lt;author&gt;Ljungberg, David&lt;/author&gt;&lt;author&gt;Gebresenbet, Girma&lt;/author&gt;&lt;/authors&gt;&lt;/contributors&gt;&lt;titles&gt;&lt;title&gt;Mapping out the potential for coordinated goods distribution in city centres: The case of Uppsala&lt;/title&gt;&lt;secondary-title&gt;International Journal of Transport Management&lt;/secondary-title&gt;&lt;/titles&gt;&lt;periodical&gt;&lt;full-title&gt;International Journal of Transport Management&lt;/full-title&gt;&lt;/periodical&gt;&lt;pages&gt;161-172&lt;/pages&gt;&lt;volume&gt;2&lt;/volume&gt;&lt;number&gt;3-4&lt;/number&gt;&lt;dates&gt;&lt;year&gt;2004&lt;/year&gt;&lt;/dates&gt;&lt;isbn&gt;1471-4051&lt;/isbn&gt;&lt;urls&gt;&lt;/urls&gt;&lt;research-notes&gt;08&lt;/research-notes&gt;&lt;/record&gt;&lt;/Cite&gt;&lt;/EndNote&gt;</w:instrText>
      </w:r>
      <w:r w:rsidR="00B04B60">
        <w:rPr>
          <w:noProof/>
        </w:rPr>
        <w:fldChar w:fldCharType="separate"/>
      </w:r>
      <w:r w:rsidR="0039346B">
        <w:rPr>
          <w:noProof/>
        </w:rPr>
        <w:t>Ljungberg and Gebresenbet (2004)</w:t>
      </w:r>
      <w:r w:rsidR="00B04B60">
        <w:rPr>
          <w:noProof/>
        </w:rPr>
        <w:fldChar w:fldCharType="end"/>
      </w:r>
      <w:r w:rsidRPr="00A96AC5">
        <w:rPr>
          <w:rFonts w:cs="Times New Roman"/>
        </w:rPr>
        <w:t xml:space="preserve"> show that it is difficult for UCCs to provide </w:t>
      </w:r>
      <w:r w:rsidR="00C4748F">
        <w:rPr>
          <w:rFonts w:cs="Times New Roman"/>
        </w:rPr>
        <w:t xml:space="preserve">an </w:t>
      </w:r>
      <w:r w:rsidRPr="00A96AC5">
        <w:rPr>
          <w:rFonts w:cs="Times New Roman"/>
        </w:rPr>
        <w:t xml:space="preserve">adequate service to meet the requirements of a wide consumer base (e.g., both individuals and retailers in the city). Such requirements concern the categories and volume of goods, as </w:t>
      </w:r>
      <w:r w:rsidRPr="00A96AC5">
        <w:rPr>
          <w:rFonts w:cs="Times New Roman"/>
        </w:rPr>
        <w:lastRenderedPageBreak/>
        <w:t>well as time schedules and frequency of deliver</w:t>
      </w:r>
      <w:r w:rsidR="00C85427">
        <w:rPr>
          <w:rFonts w:cs="Times New Roman"/>
        </w:rPr>
        <w:t>ies</w:t>
      </w:r>
      <w:r w:rsidRPr="00A96AC5">
        <w:rPr>
          <w:rFonts w:cs="Times New Roman"/>
        </w:rPr>
        <w:t xml:space="preserve">. </w:t>
      </w:r>
      <w:r w:rsidR="005959E5">
        <w:rPr>
          <w:noProof/>
        </w:rPr>
        <w:t>Marcucci and Danielis (2008)</w:t>
      </w:r>
      <w:r w:rsidRPr="00A96AC5">
        <w:rPr>
          <w:rFonts w:cs="Times New Roman"/>
        </w:rPr>
        <w:t xml:space="preserve"> also illustrate that UCCs are not suitable for consumers who generate large volumes of freight. Furthermore, </w:t>
      </w:r>
      <w:r w:rsidR="0090539D">
        <w:rPr>
          <w:rFonts w:cs="Times New Roman"/>
        </w:rPr>
        <w:t xml:space="preserve">clients </w:t>
      </w:r>
      <w:r w:rsidRPr="00A96AC5">
        <w:rPr>
          <w:rFonts w:cs="Times New Roman"/>
        </w:rPr>
        <w:t xml:space="preserve">reject UCCs if adoption would require them to change their conventional business models </w:t>
      </w:r>
      <w:r w:rsidR="00B04B60">
        <w:rPr>
          <w:noProof/>
        </w:rPr>
        <w:fldChar w:fldCharType="begin">
          <w:fldData xml:space="preserve">PEVuZE5vdGU+PENpdGU+PEF1dGhvcj5kZWxsJmFwb3M7T2xpbzwvQXV0aG9yPjxZZWFyPjIwMTc8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=
</w:fldData>
        </w:fldChar>
      </w:r>
      <w:r w:rsidR="00647E79">
        <w:rPr>
          <w:noProof/>
        </w:rPr>
        <w:instrText xml:space="preserve"> ADDIN EN.CITE </w:instrText>
      </w:r>
      <w:r w:rsidR="00647E79">
        <w:rPr>
          <w:noProof/>
        </w:rPr>
        <w:fldChar w:fldCharType="begin">
          <w:fldData xml:space="preserve">PEVuZE5vdGU+PENpdGU+PEF1dGhvcj5kZWxsJmFwb3M7T2xpbzwvQXV0aG9yPjxZZWFyPjIwMTc8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=
</w:fldData>
        </w:fldChar>
      </w:r>
      <w:r w:rsidR="00647E79">
        <w:rPr>
          <w:noProof/>
        </w:rPr>
        <w:instrText xml:space="preserve"> ADDIN EN.CITE.DATA </w:instrText>
      </w:r>
      <w:r w:rsidR="00647E79">
        <w:rPr>
          <w:noProof/>
        </w:rPr>
      </w:r>
      <w:r w:rsidR="00647E79">
        <w:rPr>
          <w:noProof/>
        </w:rPr>
        <w:fldChar w:fldCharType="end"/>
      </w:r>
      <w:r w:rsidR="00B04B60">
        <w:rPr>
          <w:noProof/>
        </w:rPr>
      </w:r>
      <w:r w:rsidR="00B04B60">
        <w:rPr>
          <w:noProof/>
        </w:rPr>
        <w:fldChar w:fldCharType="separate"/>
      </w:r>
      <w:r w:rsidR="004E0F6F">
        <w:rPr>
          <w:noProof/>
        </w:rPr>
        <w:t>(dell'Olio et al., 2017)</w:t>
      </w:r>
      <w:r w:rsidR="00B04B60">
        <w:rPr>
          <w:noProof/>
        </w:rPr>
        <w:fldChar w:fldCharType="end"/>
      </w:r>
      <w:r w:rsidRPr="00A96AC5">
        <w:rPr>
          <w:rFonts w:cs="Times New Roman"/>
        </w:rPr>
        <w:t xml:space="preserve">. </w:t>
      </w:r>
      <w:r w:rsidR="005841AD">
        <w:rPr>
          <w:noProof/>
        </w:rPr>
        <w:t>D</w:t>
      </w:r>
      <w:r w:rsidR="005841AD" w:rsidRPr="00247948">
        <w:rPr>
          <w:noProof/>
        </w:rPr>
        <w:t>ell’Olio et al. (2017)</w:t>
      </w:r>
      <w:r w:rsidR="005841AD" w:rsidRPr="00A96AC5">
        <w:rPr>
          <w:rFonts w:cs="Times New Roman"/>
        </w:rPr>
        <w:t xml:space="preserve"> </w:t>
      </w:r>
      <w:r w:rsidR="005841AD">
        <w:rPr>
          <w:rFonts w:cs="Times New Roman"/>
        </w:rPr>
        <w:t xml:space="preserve">also </w:t>
      </w:r>
      <w:r w:rsidR="005841AD" w:rsidRPr="00A96AC5">
        <w:rPr>
          <w:rFonts w:cs="Times New Roman"/>
        </w:rPr>
        <w:t xml:space="preserve">found that an increased price charge discourages </w:t>
      </w:r>
      <w:r w:rsidR="005841AD">
        <w:rPr>
          <w:rFonts w:cs="Times New Roman"/>
        </w:rPr>
        <w:t xml:space="preserve">receivers </w:t>
      </w:r>
      <w:r w:rsidR="005841AD" w:rsidRPr="00A96AC5">
        <w:rPr>
          <w:rFonts w:cs="Times New Roman"/>
        </w:rPr>
        <w:t xml:space="preserve">from participating in the project, as </w:t>
      </w:r>
      <w:r w:rsidR="005841AD">
        <w:rPr>
          <w:rFonts w:cs="Times New Roman"/>
        </w:rPr>
        <w:t>receivers</w:t>
      </w:r>
      <w:r w:rsidR="005841AD" w:rsidRPr="00A96AC5">
        <w:rPr>
          <w:rFonts w:cs="Times New Roman"/>
        </w:rPr>
        <w:t xml:space="preserve"> are sensitive to cost.</w:t>
      </w:r>
      <w:r w:rsidR="005841AD">
        <w:rPr>
          <w:rFonts w:cs="Times New Roman"/>
        </w:rPr>
        <w:t xml:space="preserve"> </w:t>
      </w:r>
    </w:p>
    <w:p w14:paraId="4E33CE2B" w14:textId="77777777" w:rsidR="0071798B" w:rsidRPr="00A96AC5" w:rsidRDefault="0071798B" w:rsidP="000A4E8C">
      <w:pPr>
        <w:pStyle w:val="Heading3"/>
        <w:spacing w:line="360" w:lineRule="auto"/>
        <w:rPr>
          <w:rFonts w:cs="Times New Roman"/>
        </w:rPr>
      </w:pPr>
      <w:bookmarkStart w:id="365" w:name="_Toc34734501"/>
      <w:bookmarkStart w:id="366" w:name="_Toc46053419"/>
      <w:bookmarkStart w:id="367" w:name="_Toc46093333"/>
      <w:bookmarkStart w:id="368" w:name="_Toc46093616"/>
      <w:bookmarkStart w:id="369" w:name="_Toc66703191"/>
      <w:r w:rsidRPr="00A96AC5">
        <w:rPr>
          <w:rFonts w:cs="Times New Roman"/>
        </w:rPr>
        <w:t>Design of distribution structure</w:t>
      </w:r>
      <w:bookmarkEnd w:id="365"/>
      <w:bookmarkEnd w:id="366"/>
      <w:bookmarkEnd w:id="367"/>
      <w:bookmarkEnd w:id="368"/>
      <w:bookmarkEnd w:id="369"/>
    </w:p>
    <w:p w14:paraId="3EFB1F20" w14:textId="074826D8" w:rsidR="00262FE5" w:rsidRDefault="00820D0F" w:rsidP="00D30CE8">
      <w:pPr>
        <w:spacing w:after="240" w:line="360" w:lineRule="auto"/>
        <w:rPr>
          <w:rFonts w:cs="Times New Roman"/>
        </w:rPr>
      </w:pPr>
      <w:r>
        <w:fldChar w:fldCharType="begin"/>
      </w:r>
      <w:r w:rsidR="00647E79">
        <w:instrText xml:space="preserve"> ADDIN EN.CITE &lt;EndNote&gt;&lt;Cite AuthorYear="1"&gt;&lt;Author&gt;Jacobsen&lt;/Author&gt;&lt;Year&gt;1980&lt;/Year&gt;&lt;RecNum&gt;212&lt;/RecNum&gt;&lt;DisplayText&gt;Jacobsen and Madsen (1980)&lt;/DisplayText&gt;&lt;record&gt;&lt;rec-number&gt;212&lt;/rec-number&gt;&lt;foreign-keys&gt;&lt;key app="EN" db-id="pzt5ep52hsedfpeext2pdfes0w0aswaewef2" timestamp="1605187996"&gt;212&lt;/key&gt;&lt;/foreign-keys&gt;&lt;ref-type name="Journal Article"&gt;17&lt;/ref-type&gt;&lt;contributors&gt;&lt;authors&gt;&lt;author&gt;Jacobsen, S Kruse&lt;/author&gt;&lt;author&gt;Madsen, Oli BG&lt;/author&gt;&lt;/authors&gt;&lt;/contributors&gt;&lt;titles&gt;&lt;title&gt;A comparative study of heuristics for a two-level routing-location problem&lt;/title&gt;&lt;secondary-title&gt;European Journal of Operational Research&lt;/secondary-title&gt;&lt;/titles&gt;&lt;periodical&gt;&lt;full-title&gt;European journal of operational research&lt;/full-title&gt;&lt;/periodical&gt;&lt;pages&gt;378-387&lt;/pages&gt;&lt;volume&gt;5&lt;/volume&gt;&lt;number&gt;6&lt;/number&gt;&lt;dates&gt;&lt;year&gt;1980&lt;/year&gt;&lt;/dates&gt;&lt;isbn&gt;0377-2217&lt;/isbn&gt;&lt;urls&gt;&lt;/urls&gt;&lt;/record&gt;&lt;/Cite&gt;&lt;/EndNote&gt;</w:instrText>
      </w:r>
      <w:r>
        <w:fldChar w:fldCharType="separate"/>
      </w:r>
      <w:r>
        <w:rPr>
          <w:noProof/>
        </w:rPr>
        <w:t>Jacobsen and Madsen (1980)</w:t>
      </w:r>
      <w:r>
        <w:fldChar w:fldCharType="end"/>
      </w:r>
      <w:r w:rsidR="0071798B" w:rsidRPr="00A96AC5">
        <w:rPr>
          <w:rFonts w:cs="Times New Roman"/>
        </w:rPr>
        <w:t xml:space="preserve"> first propose</w:t>
      </w:r>
      <w:r w:rsidR="00166233">
        <w:rPr>
          <w:rFonts w:cs="Times New Roman"/>
        </w:rPr>
        <w:t>d</w:t>
      </w:r>
      <w:r w:rsidR="0071798B" w:rsidRPr="00A96AC5">
        <w:rPr>
          <w:rFonts w:cs="Times New Roman"/>
        </w:rPr>
        <w:t xml:space="preserve"> a delivery mode that uses a transfer station (transit point) between the sender and the receiver. They define the optimisation of such</w:t>
      </w:r>
      <w:r w:rsidR="00166233">
        <w:rPr>
          <w:rFonts w:cs="Times New Roman"/>
        </w:rPr>
        <w:t xml:space="preserve"> a</w:t>
      </w:r>
      <w:r w:rsidR="0071798B" w:rsidRPr="00A96AC5">
        <w:rPr>
          <w:rFonts w:cs="Times New Roman"/>
        </w:rPr>
        <w:t xml:space="preserve"> delivery mechanism as the two-level routing-location problem. In mathematics, ‘nodes’ represent senders, receivers, and the transit point, and the route between them is referred to as an ‘edge’ </w:t>
      </w:r>
      <w:r w:rsidR="005978D2">
        <w:rPr>
          <w:noProof/>
        </w:rPr>
        <w:fldChar w:fldCharType="begin"/>
      </w:r>
      <w:r w:rsidR="00647E79">
        <w:rPr>
          <w:noProof/>
        </w:rPr>
        <w:instrText xml:space="preserve"> ADDIN EN.CITE &lt;EndNote&gt;&lt;Cite&gt;&lt;Author&gt;Ahyja&lt;/Author&gt;&lt;Year&gt;1995&lt;/Year&gt;&lt;RecNum&gt;213&lt;/RecNum&gt;&lt;DisplayText&gt;(Ahyja et al., 1995)&lt;/DisplayText&gt;&lt;record&gt;&lt;rec-number&gt;213&lt;/rec-number&gt;&lt;foreign-keys&gt;&lt;key app="EN" db-id="pzt5ep52hsedfpeext2pdfes0w0aswaewef2" timestamp="1605187996"&gt;213&lt;/key&gt;&lt;/foreign-keys&gt;&lt;ref-type name="Journal Article"&gt;17&lt;/ref-type&gt;&lt;contributors&gt;&lt;authors&gt;&lt;author&gt;Ahyja, Ravindra K&lt;/author&gt;&lt;author&gt;Magnanti, Thomas L&lt;/author&gt;&lt;author&gt;Orlin, James B&lt;/author&gt;&lt;author&gt;Weihe, K&lt;/author&gt;&lt;/authors&gt;&lt;/contributors&gt;&lt;titles&gt;&lt;title&gt;Network flows: theory, algorithms and applications&lt;/title&gt;&lt;secondary-title&gt;ZOR-Methods and Models of Operations Research&lt;/secondary-title&gt;&lt;/titles&gt;&lt;periodical&gt;&lt;full-title&gt;ZOR-Methods and Models of Operations Research&lt;/full-title&gt;&lt;/periodical&gt;&lt;pages&gt;252-254&lt;/pages&gt;&lt;volume&gt;41&lt;/volume&gt;&lt;number&gt;3&lt;/number&gt;&lt;dates&gt;&lt;year&gt;1995&lt;/year&gt;&lt;/dates&gt;&lt;isbn&gt;0340-9422&lt;/isbn&gt;&lt;urls&gt;&lt;/urls&gt;&lt;/record&gt;&lt;/Cite&gt;&lt;/EndNote&gt;</w:instrText>
      </w:r>
      <w:r w:rsidR="005978D2">
        <w:rPr>
          <w:noProof/>
        </w:rPr>
        <w:fldChar w:fldCharType="separate"/>
      </w:r>
      <w:r w:rsidR="009448AE">
        <w:rPr>
          <w:noProof/>
        </w:rPr>
        <w:t>(Ahyja et al., 1995)</w:t>
      </w:r>
      <w:r w:rsidR="005978D2">
        <w:rPr>
          <w:noProof/>
        </w:rPr>
        <w:fldChar w:fldCharType="end"/>
      </w:r>
      <w:r w:rsidR="0071798B" w:rsidRPr="00A96AC5">
        <w:rPr>
          <w:rFonts w:cs="Times New Roman"/>
        </w:rPr>
        <w:t xml:space="preserve">. The route between senders and the transfer station is defined as the primary route, and the route between the transfer station and the receivers are the secondary route. Multiples of these routes can form a so-called two-echelon logistical network. </w:t>
      </w:r>
    </w:p>
    <w:p w14:paraId="25763B6C" w14:textId="0636A8D4" w:rsidR="0071798B" w:rsidRPr="006C301D" w:rsidRDefault="0071798B" w:rsidP="00D30CE8">
      <w:pPr>
        <w:spacing w:after="240" w:line="360" w:lineRule="auto"/>
        <w:rPr>
          <w:rFonts w:cs="Times New Roman"/>
        </w:rPr>
      </w:pPr>
      <w:r w:rsidRPr="00A96AC5">
        <w:rPr>
          <w:rFonts w:cs="Times New Roman"/>
        </w:rPr>
        <w:t>The targets and methodologies of VRP research for the UCC are the same as those of the UL research (</w:t>
      </w:r>
      <w:r w:rsidR="00EB382C">
        <w:rPr>
          <w:rFonts w:cs="Times New Roman"/>
        </w:rPr>
        <w:t>S</w:t>
      </w:r>
      <w:r w:rsidRPr="00A96AC5">
        <w:rPr>
          <w:rFonts w:cs="Times New Roman"/>
        </w:rPr>
        <w:t xml:space="preserve">ection 2.3.3). The principle of a two-tier city delivery network is to transfer goods from long-distance vehicles to smaller ones, increasing loading rates for both types of vehicle, and thereby reducing fuel consumption and emissions per parcel. </w:t>
      </w:r>
      <w:r w:rsidRPr="00737239">
        <w:rPr>
          <w:rFonts w:cs="Times New Roman"/>
        </w:rPr>
        <w:fldChar w:fldCharType="begin"/>
      </w:r>
      <w:r w:rsidRPr="00A96AC5">
        <w:rPr>
          <w:rFonts w:cs="Times New Roman"/>
        </w:rPr>
        <w:instrText xml:space="preserve"> REF _Ref26537259 \h </w:instrText>
      </w:r>
      <w:r w:rsidR="008903D1">
        <w:rPr>
          <w:rFonts w:cs="Times New Roman"/>
        </w:rPr>
        <w:instrText xml:space="preserve"> \* MERGEFORMAT </w:instrText>
      </w:r>
      <w:r w:rsidRPr="00737239">
        <w:rPr>
          <w:rFonts w:cs="Times New Roman"/>
        </w:rPr>
      </w:r>
      <w:r w:rsidRPr="00737239">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2</w:t>
      </w:r>
      <w:r w:rsidR="0005064B">
        <w:rPr>
          <w:rFonts w:cs="Times New Roman"/>
          <w:noProof/>
        </w:rPr>
        <w:noBreakHyphen/>
        <w:t>12</w:t>
      </w:r>
      <w:r w:rsidRPr="00737239">
        <w:rPr>
          <w:rFonts w:cs="Times New Roman"/>
        </w:rPr>
        <w:fldChar w:fldCharType="end"/>
      </w:r>
      <w:r w:rsidRPr="008903D1">
        <w:rPr>
          <w:rFonts w:cs="Times New Roman"/>
        </w:rPr>
        <w:t xml:space="preserve"> </w:t>
      </w:r>
      <w:r w:rsidRPr="00737239">
        <w:rPr>
          <w:rFonts w:cs="Times New Roman"/>
        </w:rPr>
        <w:t>provides examples of reviewed papers on the two-echelon VRPs.</w:t>
      </w:r>
    </w:p>
    <w:tbl>
      <w:tblPr>
        <w:tblStyle w:val="TableGrid"/>
        <w:tblW w:w="5000" w:type="pct"/>
        <w:tblLook w:val="04A0" w:firstRow="1" w:lastRow="0" w:firstColumn="1" w:lastColumn="0" w:noHBand="0" w:noVBand="1"/>
      </w:tblPr>
      <w:tblGrid>
        <w:gridCol w:w="1978"/>
        <w:gridCol w:w="2788"/>
        <w:gridCol w:w="1890"/>
        <w:gridCol w:w="2360"/>
      </w:tblGrid>
      <w:tr w:rsidR="0071798B" w:rsidRPr="008903D1" w14:paraId="0DBAF305" w14:textId="77777777" w:rsidTr="0000462D">
        <w:tc>
          <w:tcPr>
            <w:tcW w:w="1097" w:type="pct"/>
            <w:vAlign w:val="center"/>
          </w:tcPr>
          <w:p w14:paraId="43D26F88" w14:textId="77777777" w:rsidR="0071798B" w:rsidRPr="008903D1" w:rsidRDefault="0071798B" w:rsidP="00D30CE8">
            <w:pPr>
              <w:spacing w:line="240" w:lineRule="auto"/>
              <w:jc w:val="center"/>
              <w:rPr>
                <w:rFonts w:cs="Times New Roman"/>
                <w:b/>
                <w:bCs/>
                <w:sz w:val="22"/>
              </w:rPr>
            </w:pPr>
            <w:r w:rsidRPr="008903D1">
              <w:rPr>
                <w:rFonts w:cs="Times New Roman"/>
                <w:b/>
                <w:bCs/>
                <w:sz w:val="22"/>
              </w:rPr>
              <w:t>Topics</w:t>
            </w:r>
          </w:p>
        </w:tc>
        <w:tc>
          <w:tcPr>
            <w:tcW w:w="1546" w:type="pct"/>
            <w:vAlign w:val="center"/>
          </w:tcPr>
          <w:p w14:paraId="7B0D9150" w14:textId="77777777" w:rsidR="0071798B" w:rsidRPr="008903D1" w:rsidRDefault="0071798B" w:rsidP="00D30CE8">
            <w:pPr>
              <w:spacing w:line="240" w:lineRule="auto"/>
              <w:jc w:val="center"/>
              <w:rPr>
                <w:rFonts w:cs="Times New Roman"/>
                <w:b/>
                <w:bCs/>
                <w:sz w:val="22"/>
              </w:rPr>
            </w:pPr>
            <w:r w:rsidRPr="008903D1">
              <w:rPr>
                <w:rFonts w:cs="Times New Roman"/>
                <w:b/>
                <w:bCs/>
                <w:sz w:val="22"/>
              </w:rPr>
              <w:t>Methodology</w:t>
            </w:r>
          </w:p>
        </w:tc>
        <w:tc>
          <w:tcPr>
            <w:tcW w:w="1048" w:type="pct"/>
            <w:vAlign w:val="center"/>
          </w:tcPr>
          <w:p w14:paraId="528CB341" w14:textId="77777777" w:rsidR="0071798B" w:rsidRPr="008903D1" w:rsidRDefault="0071798B" w:rsidP="00D30CE8">
            <w:pPr>
              <w:spacing w:line="240" w:lineRule="auto"/>
              <w:jc w:val="center"/>
              <w:rPr>
                <w:rFonts w:cs="Times New Roman"/>
                <w:b/>
                <w:bCs/>
                <w:sz w:val="22"/>
              </w:rPr>
            </w:pPr>
            <w:r w:rsidRPr="008903D1">
              <w:rPr>
                <w:rFonts w:cs="Times New Roman"/>
                <w:b/>
                <w:bCs/>
                <w:sz w:val="22"/>
              </w:rPr>
              <w:t>Additional features</w:t>
            </w:r>
          </w:p>
        </w:tc>
        <w:tc>
          <w:tcPr>
            <w:tcW w:w="1309" w:type="pct"/>
            <w:vAlign w:val="center"/>
          </w:tcPr>
          <w:p w14:paraId="7AC5B4ED" w14:textId="77777777" w:rsidR="0071798B" w:rsidRPr="008903D1" w:rsidRDefault="0071798B" w:rsidP="00D30CE8">
            <w:pPr>
              <w:spacing w:line="240" w:lineRule="auto"/>
              <w:jc w:val="center"/>
              <w:rPr>
                <w:rFonts w:cs="Times New Roman"/>
                <w:b/>
                <w:bCs/>
                <w:sz w:val="22"/>
              </w:rPr>
            </w:pPr>
            <w:r w:rsidRPr="008903D1">
              <w:rPr>
                <w:rFonts w:cs="Times New Roman"/>
                <w:b/>
                <w:bCs/>
                <w:sz w:val="22"/>
              </w:rPr>
              <w:t>Reference</w:t>
            </w:r>
          </w:p>
        </w:tc>
      </w:tr>
      <w:tr w:rsidR="0000462D" w:rsidRPr="008903D1" w14:paraId="45B49EA6" w14:textId="77777777" w:rsidTr="0000462D">
        <w:tc>
          <w:tcPr>
            <w:tcW w:w="1097" w:type="pct"/>
            <w:vAlign w:val="center"/>
          </w:tcPr>
          <w:p w14:paraId="5809B14D" w14:textId="77777777" w:rsidR="0000462D" w:rsidRPr="008903D1" w:rsidRDefault="0000462D" w:rsidP="0000462D">
            <w:pPr>
              <w:pStyle w:val="Normal0"/>
              <w:rPr>
                <w:rFonts w:ascii="Times New Roman" w:hAnsi="Times New Roman" w:cs="Times New Roman"/>
                <w:sz w:val="22"/>
                <w:szCs w:val="22"/>
              </w:rPr>
            </w:pPr>
            <w:r w:rsidRPr="008903D1">
              <w:rPr>
                <w:rFonts w:ascii="Times New Roman" w:hAnsi="Times New Roman" w:cs="Times New Roman"/>
                <w:sz w:val="22"/>
                <w:szCs w:val="22"/>
              </w:rPr>
              <w:t>Vehicle-routing problems (VRPs)</w:t>
            </w:r>
          </w:p>
        </w:tc>
        <w:tc>
          <w:tcPr>
            <w:tcW w:w="1546" w:type="pct"/>
            <w:vAlign w:val="center"/>
          </w:tcPr>
          <w:p w14:paraId="06E3B071" w14:textId="77777777" w:rsidR="0000462D" w:rsidRPr="008903D1" w:rsidRDefault="0000462D" w:rsidP="0000462D">
            <w:pPr>
              <w:pStyle w:val="Normal0"/>
              <w:jc w:val="center"/>
              <w:rPr>
                <w:rFonts w:ascii="Times New Roman" w:hAnsi="Times New Roman" w:cs="Times New Roman"/>
                <w:sz w:val="22"/>
                <w:szCs w:val="22"/>
              </w:rPr>
            </w:pPr>
            <w:r w:rsidRPr="008903D1">
              <w:rPr>
                <w:rFonts w:ascii="Times New Roman" w:hAnsi="Times New Roman" w:cs="Times New Roman"/>
                <w:sz w:val="22"/>
                <w:szCs w:val="22"/>
              </w:rPr>
              <w:t>Mixed-integer linear programming model</w:t>
            </w:r>
          </w:p>
        </w:tc>
        <w:tc>
          <w:tcPr>
            <w:tcW w:w="1048" w:type="pct"/>
            <w:vAlign w:val="center"/>
          </w:tcPr>
          <w:p w14:paraId="67F48DE1" w14:textId="77777777" w:rsidR="0000462D" w:rsidRPr="008903D1" w:rsidRDefault="0000462D" w:rsidP="0000462D">
            <w:pPr>
              <w:spacing w:line="240" w:lineRule="auto"/>
              <w:jc w:val="center"/>
              <w:rPr>
                <w:rFonts w:cs="Times New Roman"/>
                <w:sz w:val="22"/>
              </w:rPr>
            </w:pPr>
            <w:r w:rsidRPr="008903D1">
              <w:rPr>
                <w:rFonts w:cs="Times New Roman"/>
                <w:sz w:val="22"/>
              </w:rPr>
              <w:t>Cross-docking management</w:t>
            </w:r>
          </w:p>
        </w:tc>
        <w:tc>
          <w:tcPr>
            <w:tcW w:w="1309" w:type="pct"/>
            <w:vAlign w:val="center"/>
          </w:tcPr>
          <w:p w14:paraId="2BF3DEBC" w14:textId="61B6BF8E" w:rsidR="0000462D" w:rsidRPr="008903D1" w:rsidRDefault="0000462D" w:rsidP="0000462D">
            <w:pPr>
              <w:spacing w:line="240" w:lineRule="auto"/>
              <w:jc w:val="center"/>
              <w:rPr>
                <w:rFonts w:cs="Times New Roman"/>
                <w:sz w:val="22"/>
              </w:rPr>
            </w:pPr>
            <w:r w:rsidRPr="006E18C6">
              <w:rPr>
                <w:rFonts w:cs="Times New Roman"/>
                <w:sz w:val="22"/>
              </w:rPr>
              <w:fldChar w:fldCharType="begin"/>
            </w:r>
            <w:r w:rsidR="00647E79">
              <w:rPr>
                <w:rFonts w:cs="Times New Roman"/>
                <w:sz w:val="22"/>
              </w:rPr>
              <w:instrText xml:space="preserve"> ADDIN EN.CITE &lt;EndNote&gt;&lt;Cite&gt;&lt;Author&gt;Dondo&lt;/Author&gt;&lt;Year&gt;2011&lt;/Year&gt;&lt;RecNum&gt;214&lt;/RecNum&gt;&lt;DisplayText&gt;(Dondo et al., 2011)&lt;/DisplayText&gt;&lt;record&gt;&lt;rec-number&gt;214&lt;/rec-number&gt;&lt;foreign-keys&gt;&lt;key app="EN" db-id="pzt5ep52hsedfpeext2pdfes0w0aswaewef2" timestamp="1605187997"&gt;214&lt;/key&gt;&lt;/foreign-keys&gt;&lt;ref-type name="Journal Article"&gt;17&lt;/ref-type&gt;&lt;contributors&gt;&lt;authors&gt;&lt;author&gt;Dondo, Rodolfo&lt;/author&gt;&lt;author&gt;Méndez, Carlos A&lt;/author&gt;&lt;author&gt;Cerdá, Jaime&lt;/author&gt;&lt;/authors&gt;&lt;/contributors&gt;&lt;titles&gt;&lt;title&gt;The multi-echelon vehicle routing problem with cross docking in supply chain management&lt;/title&gt;&lt;secondary-title&gt;Computers &amp;amp; Chemical Engineering&lt;/secondary-title&gt;&lt;/titles&gt;&lt;periodical&gt;&lt;full-title&gt;Computers &amp;amp; Chemical Engineering&lt;/full-title&gt;&lt;/periodical&gt;&lt;pages&gt;3002-3024&lt;/pages&gt;&lt;volume&gt;35&lt;/volume&gt;&lt;number&gt;12&lt;/number&gt;&lt;dates&gt;&lt;year&gt;2011&lt;/year&gt;&lt;/dates&gt;&lt;isbn&gt;0098-1354&lt;/isbn&gt;&lt;urls&gt;&lt;/urls&gt;&lt;/record&gt;&lt;/Cite&gt;&lt;/EndNote&gt;</w:instrText>
            </w:r>
            <w:r w:rsidRPr="006E18C6">
              <w:rPr>
                <w:rFonts w:cs="Times New Roman"/>
                <w:sz w:val="22"/>
              </w:rPr>
              <w:fldChar w:fldCharType="separate"/>
            </w:r>
            <w:r w:rsidRPr="006E18C6">
              <w:rPr>
                <w:rFonts w:cs="Times New Roman"/>
                <w:noProof/>
                <w:sz w:val="22"/>
              </w:rPr>
              <w:t>(Dondo et al., 2011)</w:t>
            </w:r>
            <w:r w:rsidRPr="006E18C6">
              <w:rPr>
                <w:rFonts w:cs="Times New Roman"/>
                <w:sz w:val="22"/>
              </w:rPr>
              <w:fldChar w:fldCharType="end"/>
            </w:r>
          </w:p>
        </w:tc>
      </w:tr>
      <w:tr w:rsidR="0000462D" w:rsidRPr="008903D1" w14:paraId="0EEBFA40" w14:textId="77777777" w:rsidTr="0000462D">
        <w:trPr>
          <w:trHeight w:val="934"/>
        </w:trPr>
        <w:tc>
          <w:tcPr>
            <w:tcW w:w="1097" w:type="pct"/>
            <w:vAlign w:val="center"/>
          </w:tcPr>
          <w:p w14:paraId="3D3723AA" w14:textId="77777777" w:rsidR="0000462D" w:rsidRPr="008903D1" w:rsidRDefault="0000462D" w:rsidP="0000462D">
            <w:pPr>
              <w:pStyle w:val="Normal0"/>
              <w:rPr>
                <w:rFonts w:ascii="Times New Roman" w:hAnsi="Times New Roman" w:cs="Times New Roman"/>
                <w:sz w:val="22"/>
                <w:szCs w:val="22"/>
              </w:rPr>
            </w:pPr>
            <w:r w:rsidRPr="008903D1">
              <w:rPr>
                <w:rFonts w:ascii="Times New Roman" w:hAnsi="Times New Roman" w:cs="Times New Roman"/>
                <w:sz w:val="22"/>
                <w:szCs w:val="22"/>
              </w:rPr>
              <w:t>Vehicle-routing problems (VRPs) with time windows</w:t>
            </w:r>
          </w:p>
        </w:tc>
        <w:tc>
          <w:tcPr>
            <w:tcW w:w="1546" w:type="pct"/>
            <w:vAlign w:val="center"/>
          </w:tcPr>
          <w:p w14:paraId="0760170A" w14:textId="77777777" w:rsidR="0000462D" w:rsidRPr="008903D1" w:rsidRDefault="0000462D" w:rsidP="0000462D">
            <w:pPr>
              <w:pStyle w:val="Normal0"/>
              <w:jc w:val="center"/>
              <w:rPr>
                <w:rFonts w:ascii="Times New Roman" w:hAnsi="Times New Roman" w:cs="Times New Roman"/>
                <w:sz w:val="22"/>
                <w:szCs w:val="22"/>
              </w:rPr>
            </w:pPr>
            <w:r w:rsidRPr="008903D1">
              <w:rPr>
                <w:rFonts w:ascii="Times New Roman" w:hAnsi="Times New Roman" w:cs="Times New Roman"/>
                <w:sz w:val="22"/>
                <w:szCs w:val="22"/>
              </w:rPr>
              <w:t xml:space="preserve">Variable </w:t>
            </w:r>
            <w:proofErr w:type="spellStart"/>
            <w:r w:rsidRPr="008903D1">
              <w:rPr>
                <w:rFonts w:ascii="Times New Roman" w:hAnsi="Times New Roman" w:cs="Times New Roman"/>
                <w:sz w:val="22"/>
                <w:szCs w:val="22"/>
              </w:rPr>
              <w:t>neighbourhood</w:t>
            </w:r>
            <w:proofErr w:type="spellEnd"/>
            <w:r w:rsidRPr="008903D1">
              <w:rPr>
                <w:rFonts w:ascii="Times New Roman" w:hAnsi="Times New Roman" w:cs="Times New Roman"/>
                <w:sz w:val="22"/>
                <w:szCs w:val="22"/>
              </w:rPr>
              <w:t xml:space="preserve"> search and Tabu search</w:t>
            </w:r>
          </w:p>
        </w:tc>
        <w:tc>
          <w:tcPr>
            <w:tcW w:w="1048" w:type="pct"/>
            <w:vAlign w:val="center"/>
          </w:tcPr>
          <w:p w14:paraId="0C608BCA" w14:textId="77777777" w:rsidR="0000462D" w:rsidRPr="008903D1" w:rsidRDefault="0000462D" w:rsidP="0000462D">
            <w:pPr>
              <w:spacing w:line="240" w:lineRule="auto"/>
              <w:jc w:val="center"/>
              <w:rPr>
                <w:rFonts w:cs="Times New Roman"/>
                <w:sz w:val="22"/>
                <w:lang w:val="fr-FR"/>
              </w:rPr>
            </w:pPr>
            <w:r w:rsidRPr="008903D1">
              <w:rPr>
                <w:rFonts w:cs="Times New Roman"/>
                <w:sz w:val="22"/>
                <w:lang w:val="fr-FR"/>
              </w:rPr>
              <w:t xml:space="preserve">Multiple </w:t>
            </w:r>
            <w:proofErr w:type="spellStart"/>
            <w:r w:rsidRPr="008903D1">
              <w:rPr>
                <w:rFonts w:cs="Times New Roman"/>
                <w:sz w:val="22"/>
                <w:lang w:val="fr-FR"/>
              </w:rPr>
              <w:t>urban</w:t>
            </w:r>
            <w:proofErr w:type="spellEnd"/>
            <w:r w:rsidRPr="008903D1">
              <w:rPr>
                <w:rFonts w:cs="Times New Roman"/>
                <w:sz w:val="22"/>
                <w:lang w:val="fr-FR"/>
              </w:rPr>
              <w:t xml:space="preserve"> consolidation centres (</w:t>
            </w:r>
            <w:proofErr w:type="spellStart"/>
            <w:r w:rsidRPr="008903D1">
              <w:rPr>
                <w:rFonts w:cs="Times New Roman"/>
                <w:sz w:val="22"/>
                <w:lang w:val="fr-FR"/>
              </w:rPr>
              <w:t>UCCs</w:t>
            </w:r>
            <w:proofErr w:type="spellEnd"/>
            <w:r w:rsidRPr="008903D1">
              <w:rPr>
                <w:rFonts w:cs="Times New Roman"/>
                <w:sz w:val="22"/>
                <w:lang w:val="fr-FR"/>
              </w:rPr>
              <w:t>)</w:t>
            </w:r>
          </w:p>
        </w:tc>
        <w:tc>
          <w:tcPr>
            <w:tcW w:w="1309" w:type="pct"/>
            <w:vAlign w:val="center"/>
          </w:tcPr>
          <w:p w14:paraId="6EDF7DDA" w14:textId="7A10A7B7" w:rsidR="0000462D" w:rsidRPr="008903D1" w:rsidRDefault="0000462D" w:rsidP="0000462D">
            <w:pPr>
              <w:spacing w:line="240" w:lineRule="auto"/>
              <w:jc w:val="center"/>
              <w:rPr>
                <w:rFonts w:cs="Times New Roman"/>
                <w:sz w:val="22"/>
              </w:rPr>
            </w:pPr>
            <w:r w:rsidRPr="006E18C6">
              <w:rPr>
                <w:rFonts w:cs="Times New Roman"/>
                <w:sz w:val="22"/>
              </w:rPr>
              <w:fldChar w:fldCharType="begin">
                <w:fldData xml:space="preserve">PEVuZE5vdGU+PENpdGU+PEF1dGhvcj5Fc2N1w61uPC9BdXRob3I+PFllYXI+MjAxMjwvWWVhcj48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</w:fldData>
              </w:fldChar>
            </w:r>
            <w:r w:rsidR="00647E79">
              <w:rPr>
                <w:rFonts w:cs="Times New Roman"/>
                <w:sz w:val="22"/>
              </w:rPr>
              <w:instrText xml:space="preserve"> ADDIN EN.CITE </w:instrText>
            </w:r>
            <w:r w:rsidR="00647E79">
              <w:rPr>
                <w:rFonts w:cs="Times New Roman"/>
                <w:sz w:val="22"/>
              </w:rPr>
              <w:fldChar w:fldCharType="begin">
                <w:fldData xml:space="preserve">PEVuZE5vdGU+PENpdGU+PEF1dGhvcj5Fc2N1w61uPC9BdXRob3I+PFllYXI+MjAxMjwvWWVhcj48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</w:fldData>
              </w:fldChar>
            </w:r>
            <w:r w:rsidR="00647E79">
              <w:rPr>
                <w:rFonts w:cs="Times New Roman"/>
                <w:sz w:val="22"/>
              </w:rPr>
              <w:instrText xml:space="preserve"> ADDIN EN.CITE.DATA </w:instrText>
            </w:r>
            <w:r w:rsidR="00647E79">
              <w:rPr>
                <w:rFonts w:cs="Times New Roman"/>
                <w:sz w:val="22"/>
              </w:rPr>
            </w:r>
            <w:r w:rsidR="00647E79">
              <w:rPr>
                <w:rFonts w:cs="Times New Roman"/>
                <w:sz w:val="22"/>
              </w:rPr>
              <w:fldChar w:fldCharType="end"/>
            </w:r>
            <w:r w:rsidRPr="006E18C6">
              <w:rPr>
                <w:rFonts w:cs="Times New Roman"/>
                <w:sz w:val="22"/>
              </w:rPr>
            </w:r>
            <w:r w:rsidRPr="006E18C6">
              <w:rPr>
                <w:rFonts w:cs="Times New Roman"/>
                <w:sz w:val="22"/>
              </w:rPr>
              <w:fldChar w:fldCharType="separate"/>
            </w:r>
            <w:r w:rsidRPr="006E18C6">
              <w:rPr>
                <w:rFonts w:cs="Times New Roman"/>
                <w:noProof/>
                <w:sz w:val="22"/>
              </w:rPr>
              <w:t>(Escuín et al., 2012)</w:t>
            </w:r>
            <w:r w:rsidRPr="006E18C6">
              <w:rPr>
                <w:rFonts w:cs="Times New Roman"/>
                <w:sz w:val="22"/>
              </w:rPr>
              <w:fldChar w:fldCharType="end"/>
            </w:r>
          </w:p>
        </w:tc>
      </w:tr>
      <w:tr w:rsidR="0000462D" w:rsidRPr="008903D1" w14:paraId="2A1237D3" w14:textId="77777777" w:rsidTr="0000462D">
        <w:tc>
          <w:tcPr>
            <w:tcW w:w="1097" w:type="pct"/>
            <w:vAlign w:val="center"/>
          </w:tcPr>
          <w:p w14:paraId="0DEC2C04" w14:textId="77777777" w:rsidR="0000462D" w:rsidRPr="008903D1" w:rsidRDefault="0000462D" w:rsidP="0000462D">
            <w:pPr>
              <w:pStyle w:val="Normal0"/>
              <w:rPr>
                <w:rFonts w:ascii="Times New Roman" w:hAnsi="Times New Roman" w:cs="Times New Roman"/>
                <w:sz w:val="22"/>
                <w:szCs w:val="22"/>
              </w:rPr>
            </w:pPr>
            <w:r w:rsidRPr="008903D1">
              <w:rPr>
                <w:rFonts w:ascii="Times New Roman" w:hAnsi="Times New Roman" w:cs="Times New Roman"/>
                <w:sz w:val="22"/>
                <w:szCs w:val="22"/>
              </w:rPr>
              <w:t>Location-routing problems (LRPs)</w:t>
            </w:r>
          </w:p>
        </w:tc>
        <w:tc>
          <w:tcPr>
            <w:tcW w:w="1546" w:type="pct"/>
            <w:vAlign w:val="center"/>
          </w:tcPr>
          <w:p w14:paraId="386142DC" w14:textId="77777777" w:rsidR="0000462D" w:rsidRPr="008903D1" w:rsidRDefault="0000462D" w:rsidP="0000462D">
            <w:pPr>
              <w:pStyle w:val="Normal0"/>
              <w:jc w:val="center"/>
              <w:rPr>
                <w:rFonts w:ascii="Times New Roman" w:hAnsi="Times New Roman" w:cs="Times New Roman"/>
                <w:sz w:val="22"/>
                <w:szCs w:val="22"/>
              </w:rPr>
            </w:pPr>
            <w:r w:rsidRPr="008903D1">
              <w:rPr>
                <w:rFonts w:ascii="Times New Roman" w:hAnsi="Times New Roman" w:cs="Times New Roman"/>
                <w:sz w:val="22"/>
                <w:szCs w:val="22"/>
              </w:rPr>
              <w:t xml:space="preserve">Greedy </w:t>
            </w:r>
            <w:proofErr w:type="spellStart"/>
            <w:r w:rsidRPr="008903D1">
              <w:rPr>
                <w:rFonts w:ascii="Times New Roman" w:hAnsi="Times New Roman" w:cs="Times New Roman"/>
                <w:sz w:val="22"/>
                <w:szCs w:val="22"/>
              </w:rPr>
              <w:t>randomised</w:t>
            </w:r>
            <w:proofErr w:type="spellEnd"/>
            <w:r w:rsidRPr="008903D1">
              <w:rPr>
                <w:rFonts w:ascii="Times New Roman" w:hAnsi="Times New Roman" w:cs="Times New Roman"/>
                <w:sz w:val="22"/>
                <w:szCs w:val="22"/>
              </w:rPr>
              <w:t xml:space="preserve"> adaptive search procedure</w:t>
            </w:r>
          </w:p>
        </w:tc>
        <w:tc>
          <w:tcPr>
            <w:tcW w:w="1048" w:type="pct"/>
            <w:vAlign w:val="center"/>
          </w:tcPr>
          <w:p w14:paraId="064ECE9D" w14:textId="77777777" w:rsidR="0000462D" w:rsidRPr="008903D1" w:rsidRDefault="0000462D" w:rsidP="0000462D">
            <w:pPr>
              <w:spacing w:line="240" w:lineRule="auto"/>
              <w:jc w:val="center"/>
              <w:rPr>
                <w:rFonts w:cs="Times New Roman"/>
                <w:sz w:val="22"/>
              </w:rPr>
            </w:pPr>
            <w:r w:rsidRPr="008903D1">
              <w:rPr>
                <w:rFonts w:cs="Times New Roman"/>
                <w:sz w:val="22"/>
              </w:rPr>
              <w:t>Learning process and path relinking</w:t>
            </w:r>
          </w:p>
        </w:tc>
        <w:tc>
          <w:tcPr>
            <w:tcW w:w="1309" w:type="pct"/>
            <w:vAlign w:val="center"/>
          </w:tcPr>
          <w:p w14:paraId="1859049A" w14:textId="2AC30237" w:rsidR="0000462D" w:rsidRPr="008903D1" w:rsidRDefault="0000462D" w:rsidP="0000462D">
            <w:pPr>
              <w:spacing w:line="240" w:lineRule="auto"/>
              <w:jc w:val="center"/>
              <w:rPr>
                <w:rFonts w:cs="Times New Roman"/>
                <w:sz w:val="22"/>
              </w:rPr>
            </w:pPr>
            <w:r w:rsidRPr="006E18C6">
              <w:rPr>
                <w:rFonts w:cs="Times New Roman"/>
                <w:sz w:val="22"/>
              </w:rPr>
              <w:fldChar w:fldCharType="begin">
                <w:fldData xml:space="preserve">PEVuZE5vdGU+PENpdGU+PEF1dGhvcj5OZ3V5ZW48L0F1dGhvcj48WWVhcj4yMDEyPC9ZZWFyPjxS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</w:fldData>
              </w:fldChar>
            </w:r>
            <w:r w:rsidR="00647E79">
              <w:rPr>
                <w:rFonts w:cs="Times New Roman"/>
                <w:sz w:val="22"/>
              </w:rPr>
              <w:instrText xml:space="preserve"> ADDIN EN.CITE </w:instrText>
            </w:r>
            <w:r w:rsidR="00647E79">
              <w:rPr>
                <w:rFonts w:cs="Times New Roman"/>
                <w:sz w:val="22"/>
              </w:rPr>
              <w:fldChar w:fldCharType="begin">
                <w:fldData xml:space="preserve">PEVuZE5vdGU+PENpdGU+PEF1dGhvcj5OZ3V5ZW48L0F1dGhvcj48WWVhcj4yMDEyPC9ZZWFyPjxS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</w:fldData>
              </w:fldChar>
            </w:r>
            <w:r w:rsidR="00647E79">
              <w:rPr>
                <w:rFonts w:cs="Times New Roman"/>
                <w:sz w:val="22"/>
              </w:rPr>
              <w:instrText xml:space="preserve"> ADDIN EN.CITE.DATA </w:instrText>
            </w:r>
            <w:r w:rsidR="00647E79">
              <w:rPr>
                <w:rFonts w:cs="Times New Roman"/>
                <w:sz w:val="22"/>
              </w:rPr>
            </w:r>
            <w:r w:rsidR="00647E79">
              <w:rPr>
                <w:rFonts w:cs="Times New Roman"/>
                <w:sz w:val="22"/>
              </w:rPr>
              <w:fldChar w:fldCharType="end"/>
            </w:r>
            <w:r w:rsidRPr="006E18C6">
              <w:rPr>
                <w:rFonts w:cs="Times New Roman"/>
                <w:sz w:val="22"/>
              </w:rPr>
            </w:r>
            <w:r w:rsidRPr="006E18C6">
              <w:rPr>
                <w:rFonts w:cs="Times New Roman"/>
                <w:sz w:val="22"/>
              </w:rPr>
              <w:fldChar w:fldCharType="separate"/>
            </w:r>
            <w:r w:rsidRPr="006E18C6">
              <w:rPr>
                <w:rFonts w:cs="Times New Roman"/>
                <w:noProof/>
                <w:sz w:val="22"/>
              </w:rPr>
              <w:t>(Nguyen et al., 2012)</w:t>
            </w:r>
            <w:r w:rsidRPr="006E18C6">
              <w:rPr>
                <w:rFonts w:cs="Times New Roman"/>
                <w:sz w:val="22"/>
              </w:rPr>
              <w:fldChar w:fldCharType="end"/>
            </w:r>
          </w:p>
        </w:tc>
      </w:tr>
      <w:tr w:rsidR="0000462D" w:rsidRPr="008903D1" w14:paraId="701BBC7A" w14:textId="77777777" w:rsidTr="0000462D">
        <w:trPr>
          <w:trHeight w:val="1043"/>
        </w:trPr>
        <w:tc>
          <w:tcPr>
            <w:tcW w:w="1097" w:type="pct"/>
            <w:vAlign w:val="center"/>
          </w:tcPr>
          <w:p w14:paraId="17F4761E" w14:textId="77777777" w:rsidR="0000462D" w:rsidRPr="008903D1" w:rsidRDefault="0000462D" w:rsidP="0000462D">
            <w:pPr>
              <w:pStyle w:val="Normal0"/>
              <w:rPr>
                <w:rFonts w:ascii="Times New Roman" w:hAnsi="Times New Roman" w:cs="Times New Roman"/>
                <w:sz w:val="22"/>
                <w:szCs w:val="22"/>
              </w:rPr>
            </w:pPr>
            <w:r w:rsidRPr="008903D1">
              <w:rPr>
                <w:rFonts w:ascii="Times New Roman" w:hAnsi="Times New Roman" w:cs="Times New Roman"/>
                <w:sz w:val="22"/>
                <w:szCs w:val="22"/>
              </w:rPr>
              <w:t>Vehicle-routing problems (VRPs)</w:t>
            </w:r>
          </w:p>
        </w:tc>
        <w:tc>
          <w:tcPr>
            <w:tcW w:w="1546" w:type="pct"/>
            <w:vAlign w:val="center"/>
          </w:tcPr>
          <w:p w14:paraId="186415EC" w14:textId="77777777" w:rsidR="0000462D" w:rsidRPr="008903D1" w:rsidRDefault="0000462D" w:rsidP="0000462D">
            <w:pPr>
              <w:pStyle w:val="Normal0"/>
              <w:jc w:val="center"/>
              <w:rPr>
                <w:rFonts w:ascii="Times New Roman" w:hAnsi="Times New Roman" w:cs="Times New Roman"/>
                <w:sz w:val="22"/>
                <w:szCs w:val="22"/>
              </w:rPr>
            </w:pPr>
            <w:r w:rsidRPr="008903D1">
              <w:rPr>
                <w:rFonts w:ascii="Times New Roman" w:hAnsi="Times New Roman" w:cs="Times New Roman"/>
                <w:sz w:val="22"/>
                <w:szCs w:val="22"/>
              </w:rPr>
              <w:t xml:space="preserve">Adaptive large </w:t>
            </w:r>
            <w:proofErr w:type="spellStart"/>
            <w:r w:rsidRPr="008903D1">
              <w:rPr>
                <w:rFonts w:ascii="Times New Roman" w:hAnsi="Times New Roman" w:cs="Times New Roman"/>
                <w:sz w:val="22"/>
                <w:szCs w:val="22"/>
              </w:rPr>
              <w:t>neighbourhood</w:t>
            </w:r>
            <w:proofErr w:type="spellEnd"/>
            <w:r w:rsidRPr="008903D1">
              <w:rPr>
                <w:rFonts w:ascii="Times New Roman" w:hAnsi="Times New Roman" w:cs="Times New Roman"/>
                <w:sz w:val="22"/>
                <w:szCs w:val="22"/>
              </w:rPr>
              <w:t xml:space="preserve"> search (ALNS) heuristic</w:t>
            </w:r>
          </w:p>
        </w:tc>
        <w:tc>
          <w:tcPr>
            <w:tcW w:w="1048" w:type="pct"/>
            <w:vAlign w:val="center"/>
          </w:tcPr>
          <w:p w14:paraId="52A9BAFA" w14:textId="76CEB0E4" w:rsidR="0000462D" w:rsidRPr="008903D1" w:rsidRDefault="0000462D" w:rsidP="0000462D">
            <w:pPr>
              <w:spacing w:line="240" w:lineRule="auto"/>
              <w:jc w:val="center"/>
              <w:rPr>
                <w:rFonts w:cs="Times New Roman"/>
                <w:sz w:val="22"/>
              </w:rPr>
            </w:pPr>
            <w:r w:rsidRPr="008903D1">
              <w:rPr>
                <w:rFonts w:cs="Times New Roman"/>
                <w:sz w:val="22"/>
              </w:rPr>
              <w:t>______</w:t>
            </w:r>
          </w:p>
        </w:tc>
        <w:tc>
          <w:tcPr>
            <w:tcW w:w="1309" w:type="pct"/>
            <w:vAlign w:val="center"/>
          </w:tcPr>
          <w:p w14:paraId="5476E428" w14:textId="1B1B39C3" w:rsidR="0000462D" w:rsidRPr="008903D1" w:rsidRDefault="0000462D" w:rsidP="0000462D">
            <w:pPr>
              <w:spacing w:line="240" w:lineRule="auto"/>
              <w:jc w:val="center"/>
              <w:rPr>
                <w:rFonts w:cs="Times New Roman"/>
                <w:sz w:val="22"/>
              </w:rPr>
            </w:pPr>
            <w:r w:rsidRPr="006E18C6">
              <w:rPr>
                <w:rFonts w:cs="Times New Roman"/>
                <w:sz w:val="22"/>
              </w:rPr>
              <w:fldChar w:fldCharType="begin">
                <w:fldData xml:space="preserve">PEVuZE5vdGU+PENpdGU+PEF1dGhvcj5IZW1tZWxtYXlyPC9BdXRob3I+PFllYXI+MjAxMjwvWWVh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</w:fldData>
              </w:fldChar>
            </w:r>
            <w:r w:rsidR="00647E79">
              <w:rPr>
                <w:rFonts w:cs="Times New Roman"/>
                <w:sz w:val="22"/>
              </w:rPr>
              <w:instrText xml:space="preserve"> ADDIN EN.CITE </w:instrText>
            </w:r>
            <w:r w:rsidR="00647E79">
              <w:rPr>
                <w:rFonts w:cs="Times New Roman"/>
                <w:sz w:val="22"/>
              </w:rPr>
              <w:fldChar w:fldCharType="begin">
                <w:fldData xml:space="preserve">PEVuZE5vdGU+PENpdGU+PEF1dGhvcj5IZW1tZWxtYXlyPC9BdXRob3I+PFllYXI+MjAxMjwvWWVh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</w:fldData>
              </w:fldChar>
            </w:r>
            <w:r w:rsidR="00647E79">
              <w:rPr>
                <w:rFonts w:cs="Times New Roman"/>
                <w:sz w:val="22"/>
              </w:rPr>
              <w:instrText xml:space="preserve"> ADDIN EN.CITE.DATA </w:instrText>
            </w:r>
            <w:r w:rsidR="00647E79">
              <w:rPr>
                <w:rFonts w:cs="Times New Roman"/>
                <w:sz w:val="22"/>
              </w:rPr>
            </w:r>
            <w:r w:rsidR="00647E79">
              <w:rPr>
                <w:rFonts w:cs="Times New Roman"/>
                <w:sz w:val="22"/>
              </w:rPr>
              <w:fldChar w:fldCharType="end"/>
            </w:r>
            <w:r w:rsidRPr="006E18C6">
              <w:rPr>
                <w:rFonts w:cs="Times New Roman"/>
                <w:sz w:val="22"/>
              </w:rPr>
            </w:r>
            <w:r w:rsidRPr="006E18C6">
              <w:rPr>
                <w:rFonts w:cs="Times New Roman"/>
                <w:sz w:val="22"/>
              </w:rPr>
              <w:fldChar w:fldCharType="separate"/>
            </w:r>
            <w:r>
              <w:rPr>
                <w:rFonts w:cs="Times New Roman"/>
                <w:noProof/>
                <w:sz w:val="22"/>
              </w:rPr>
              <w:t>(Hemmelmayr et al., 2012)</w:t>
            </w:r>
            <w:r w:rsidRPr="006E18C6">
              <w:rPr>
                <w:rFonts w:cs="Times New Roman"/>
                <w:sz w:val="22"/>
              </w:rPr>
              <w:fldChar w:fldCharType="end"/>
            </w:r>
          </w:p>
        </w:tc>
      </w:tr>
      <w:tr w:rsidR="0000462D" w:rsidRPr="008903D1" w14:paraId="009737F0" w14:textId="77777777" w:rsidTr="0000462D">
        <w:trPr>
          <w:trHeight w:val="800"/>
        </w:trPr>
        <w:tc>
          <w:tcPr>
            <w:tcW w:w="1097" w:type="pct"/>
            <w:vAlign w:val="center"/>
          </w:tcPr>
          <w:p w14:paraId="731A8E60" w14:textId="77777777" w:rsidR="0000462D" w:rsidRPr="008903D1" w:rsidRDefault="0000462D" w:rsidP="0000462D">
            <w:pPr>
              <w:spacing w:line="240" w:lineRule="auto"/>
              <w:jc w:val="left"/>
              <w:rPr>
                <w:rFonts w:cs="Times New Roman"/>
                <w:sz w:val="22"/>
              </w:rPr>
            </w:pPr>
            <w:r w:rsidRPr="008903D1">
              <w:rPr>
                <w:rFonts w:cs="Times New Roman"/>
                <w:sz w:val="22"/>
              </w:rPr>
              <w:t>Location-routing problems (LRPs)</w:t>
            </w:r>
          </w:p>
        </w:tc>
        <w:tc>
          <w:tcPr>
            <w:tcW w:w="1546" w:type="pct"/>
            <w:vAlign w:val="center"/>
          </w:tcPr>
          <w:p w14:paraId="5CD4F508" w14:textId="77777777" w:rsidR="0000462D" w:rsidRPr="008903D1" w:rsidRDefault="0000462D" w:rsidP="0000462D">
            <w:pPr>
              <w:spacing w:line="240" w:lineRule="auto"/>
              <w:jc w:val="center"/>
              <w:rPr>
                <w:rFonts w:cs="Times New Roman"/>
                <w:sz w:val="22"/>
              </w:rPr>
            </w:pPr>
            <w:r w:rsidRPr="008903D1">
              <w:rPr>
                <w:rFonts w:cs="Times New Roman"/>
                <w:sz w:val="22"/>
              </w:rPr>
              <w:t>Mixed-integer linear programming model</w:t>
            </w:r>
          </w:p>
        </w:tc>
        <w:tc>
          <w:tcPr>
            <w:tcW w:w="1048" w:type="pct"/>
            <w:vAlign w:val="center"/>
          </w:tcPr>
          <w:p w14:paraId="70C90CFE" w14:textId="03628D2D" w:rsidR="0000462D" w:rsidRPr="008903D1" w:rsidRDefault="0000462D" w:rsidP="0000462D">
            <w:pPr>
              <w:spacing w:line="240" w:lineRule="auto"/>
              <w:jc w:val="center"/>
              <w:rPr>
                <w:rFonts w:cs="Times New Roman"/>
                <w:sz w:val="22"/>
              </w:rPr>
            </w:pPr>
            <w:r w:rsidRPr="008903D1">
              <w:rPr>
                <w:rFonts w:cs="Times New Roman"/>
                <w:sz w:val="22"/>
              </w:rPr>
              <w:t>______</w:t>
            </w:r>
          </w:p>
        </w:tc>
        <w:tc>
          <w:tcPr>
            <w:tcW w:w="1309" w:type="pct"/>
            <w:vAlign w:val="center"/>
          </w:tcPr>
          <w:p w14:paraId="6C046B59" w14:textId="131F9FA5" w:rsidR="0000462D" w:rsidRPr="008903D1" w:rsidRDefault="0000462D" w:rsidP="0000462D">
            <w:pPr>
              <w:spacing w:line="240" w:lineRule="auto"/>
              <w:jc w:val="center"/>
              <w:rPr>
                <w:rFonts w:cs="Times New Roman"/>
                <w:sz w:val="22"/>
              </w:rPr>
            </w:pPr>
            <w:r w:rsidRPr="006E18C6">
              <w:rPr>
                <w:rFonts w:cs="Times New Roman"/>
                <w:sz w:val="22"/>
              </w:rPr>
              <w:fldChar w:fldCharType="begin"/>
            </w:r>
            <w:r w:rsidR="00647E79">
              <w:rPr>
                <w:rFonts w:cs="Times New Roman"/>
                <w:sz w:val="22"/>
              </w:rPr>
              <w:instrText xml:space="preserve"> ADDIN EN.CITE &lt;EndNote&gt;&lt;Cite&gt;&lt;Author&gt;Muñoz-Villamizar&lt;/Author&gt;&lt;Year&gt;2014&lt;/Year&gt;&lt;RecNum&gt;217&lt;/RecNum&gt;&lt;DisplayText&gt;(Muñoz-Villamizar et al., 2014)&lt;/DisplayText&gt;&lt;record&gt;&lt;rec-number&gt;217&lt;/rec-number&gt;&lt;foreign-keys&gt;&lt;key app="EN" db-id="pzt5ep52hsedfpeext2pdfes0w0aswaewef2" timestamp="1605187997"&gt;217&lt;/key&gt;&lt;/foreign-keys&gt;&lt;ref-type name="Journal Article"&gt;17&lt;/ref-type&gt;&lt;contributors&gt;&lt;authors&gt;&lt;author&gt;Muñoz-Villamizar, Andrés Felipe&lt;/author&gt;&lt;author&gt;Montoya-Torres, Jairo R&lt;/author&gt;&lt;author&gt;Herazo-Padilla, Nilson&lt;/author&gt;&lt;/authors&gt;&lt;/contributors&gt;&lt;titles&gt;&lt;title&gt;Mathematical programming modeling and resolution of the location-routing problem in urban logistics&lt;/title&gt;&lt;secondary-title&gt;Ingeniería y Universidad&lt;/secondary-title&gt;&lt;/titles&gt;&lt;periodical&gt;&lt;full-title&gt;Ingeniería y Universidad&lt;/full-title&gt;&lt;/periodical&gt;&lt;pages&gt;271-289&lt;/pages&gt;&lt;volume&gt;18&lt;/volume&gt;&lt;number&gt;2&lt;/number&gt;&lt;dates&gt;&lt;year&gt;2014&lt;/year&gt;&lt;/dates&gt;&lt;isbn&gt;0123-2126&lt;/isbn&gt;&lt;urls&gt;&lt;/urls&gt;&lt;/record&gt;&lt;/Cite&gt;&lt;/EndNote&gt;</w:instrText>
            </w:r>
            <w:r w:rsidRPr="006E18C6">
              <w:rPr>
                <w:rFonts w:cs="Times New Roman"/>
                <w:sz w:val="22"/>
              </w:rPr>
              <w:fldChar w:fldCharType="separate"/>
            </w:r>
            <w:r w:rsidRPr="006E18C6">
              <w:rPr>
                <w:rFonts w:cs="Times New Roman"/>
                <w:noProof/>
                <w:sz w:val="22"/>
              </w:rPr>
              <w:t>(Muñoz-Villamizar et al., 2014)</w:t>
            </w:r>
            <w:r w:rsidRPr="006E18C6">
              <w:rPr>
                <w:rFonts w:cs="Times New Roman"/>
                <w:sz w:val="22"/>
              </w:rPr>
              <w:fldChar w:fldCharType="end"/>
            </w:r>
          </w:p>
        </w:tc>
      </w:tr>
      <w:tr w:rsidR="0000462D" w:rsidRPr="008903D1" w14:paraId="1C459E7C" w14:textId="77777777" w:rsidTr="0000462D">
        <w:tc>
          <w:tcPr>
            <w:tcW w:w="1097" w:type="pct"/>
            <w:vAlign w:val="center"/>
          </w:tcPr>
          <w:p w14:paraId="44499661" w14:textId="77777777" w:rsidR="0000462D" w:rsidRPr="008903D1" w:rsidRDefault="0000462D" w:rsidP="0000462D">
            <w:pPr>
              <w:spacing w:line="240" w:lineRule="auto"/>
              <w:jc w:val="left"/>
              <w:rPr>
                <w:rFonts w:cs="Times New Roman"/>
                <w:sz w:val="22"/>
              </w:rPr>
            </w:pPr>
            <w:r w:rsidRPr="008903D1">
              <w:rPr>
                <w:rFonts w:cs="Times New Roman"/>
                <w:sz w:val="22"/>
              </w:rPr>
              <w:t>Vehicle-routing problems (VRPs) with vehicle-capacity restriction</w:t>
            </w:r>
          </w:p>
        </w:tc>
        <w:tc>
          <w:tcPr>
            <w:tcW w:w="1546" w:type="pct"/>
            <w:vAlign w:val="center"/>
          </w:tcPr>
          <w:p w14:paraId="561AD6D0" w14:textId="77777777" w:rsidR="0000462D" w:rsidRPr="008903D1" w:rsidRDefault="0000462D" w:rsidP="0000462D">
            <w:pPr>
              <w:spacing w:line="240" w:lineRule="auto"/>
              <w:jc w:val="center"/>
              <w:rPr>
                <w:rFonts w:cs="Times New Roman"/>
                <w:sz w:val="22"/>
              </w:rPr>
            </w:pPr>
            <w:r w:rsidRPr="008903D1">
              <w:rPr>
                <w:rFonts w:cs="Times New Roman"/>
                <w:sz w:val="22"/>
              </w:rPr>
              <w:t>Heuristics</w:t>
            </w:r>
          </w:p>
        </w:tc>
        <w:tc>
          <w:tcPr>
            <w:tcW w:w="1048" w:type="pct"/>
            <w:vAlign w:val="center"/>
          </w:tcPr>
          <w:p w14:paraId="5EAFCB1E" w14:textId="7E4A74BE" w:rsidR="0000462D" w:rsidRPr="008903D1" w:rsidRDefault="0000462D" w:rsidP="0000462D">
            <w:pPr>
              <w:spacing w:line="240" w:lineRule="auto"/>
              <w:jc w:val="center"/>
              <w:rPr>
                <w:rFonts w:cs="Times New Roman"/>
                <w:sz w:val="22"/>
              </w:rPr>
            </w:pPr>
            <w:r w:rsidRPr="008903D1">
              <w:rPr>
                <w:rFonts w:cs="Times New Roman"/>
                <w:sz w:val="22"/>
              </w:rPr>
              <w:t>______</w:t>
            </w:r>
          </w:p>
        </w:tc>
        <w:tc>
          <w:tcPr>
            <w:tcW w:w="1309" w:type="pct"/>
            <w:vAlign w:val="center"/>
          </w:tcPr>
          <w:p w14:paraId="19102AC6" w14:textId="31233F1B" w:rsidR="0000462D" w:rsidRPr="008903D1" w:rsidRDefault="0000462D" w:rsidP="0000462D">
            <w:pPr>
              <w:spacing w:line="240" w:lineRule="auto"/>
              <w:jc w:val="center"/>
              <w:rPr>
                <w:rFonts w:cs="Times New Roman"/>
                <w:sz w:val="22"/>
              </w:rPr>
            </w:pPr>
            <w:r w:rsidRPr="006E18C6">
              <w:rPr>
                <w:rFonts w:cs="Times New Roman"/>
                <w:sz w:val="22"/>
              </w:rPr>
              <w:fldChar w:fldCharType="begin"/>
            </w:r>
            <w:r w:rsidR="00647E79">
              <w:rPr>
                <w:rFonts w:cs="Times New Roman"/>
                <w:sz w:val="22"/>
              </w:rPr>
              <w:instrText xml:space="preserve"> ADDIN EN.CITE &lt;EndNote&gt;&lt;Cite&gt;&lt;Author&gt;HIOHI&lt;/Author&gt;&lt;Year&gt;2015&lt;/Year&gt;&lt;RecNum&gt;218&lt;/RecNum&gt;&lt;DisplayText&gt;(HIOHI et al., 2015)&lt;/DisplayText&gt;&lt;record&gt;&lt;rec-number&gt;218&lt;/rec-number&gt;&lt;foreign-keys&gt;&lt;key app="EN" db-id="pzt5ep52hsedfpeext2pdfes0w0aswaewef2" timestamp="1605187997"&gt;218&lt;/key&gt;&lt;/foreign-keys&gt;&lt;ref-type name="Journal Article"&gt;17&lt;/ref-type&gt;&lt;contributors&gt;&lt;authors&gt;&lt;author&gt;HIOHI, Laurentiu&lt;/author&gt;&lt;author&gt;BURCIU, Stefan&lt;/author&gt;&lt;author&gt;POPA, Mihaela&lt;/author&gt;&lt;/authors&gt;&lt;/contributors&gt;&lt;titles&gt;&lt;title&gt;COLLABORATIVE SYSTEMS IN URBAN LOGISTICS&lt;/title&gt;&lt;/titles&gt;&lt;dates&gt;&lt;year&gt;2015&lt;/year&gt;&lt;/dates&gt;&lt;urls&gt;&lt;/urls&gt;&lt;/record&gt;&lt;/Cite&gt;&lt;/EndNote&gt;</w:instrText>
            </w:r>
            <w:r w:rsidRPr="006E18C6">
              <w:rPr>
                <w:rFonts w:cs="Times New Roman"/>
                <w:sz w:val="22"/>
              </w:rPr>
              <w:fldChar w:fldCharType="separate"/>
            </w:r>
            <w:r w:rsidRPr="006E18C6">
              <w:rPr>
                <w:rFonts w:cs="Times New Roman"/>
                <w:noProof/>
                <w:sz w:val="22"/>
              </w:rPr>
              <w:t>(HIOHI et al., 2015)</w:t>
            </w:r>
            <w:r w:rsidRPr="006E18C6">
              <w:rPr>
                <w:rFonts w:cs="Times New Roman"/>
                <w:sz w:val="22"/>
              </w:rPr>
              <w:fldChar w:fldCharType="end"/>
            </w:r>
          </w:p>
        </w:tc>
      </w:tr>
      <w:tr w:rsidR="0000462D" w:rsidRPr="008903D1" w14:paraId="417690EF" w14:textId="77777777" w:rsidTr="0000462D">
        <w:tc>
          <w:tcPr>
            <w:tcW w:w="1097" w:type="pct"/>
            <w:vAlign w:val="center"/>
          </w:tcPr>
          <w:p w14:paraId="35DDC97F" w14:textId="77777777" w:rsidR="0000462D" w:rsidRPr="008903D1" w:rsidRDefault="0000462D" w:rsidP="0000462D">
            <w:pPr>
              <w:spacing w:line="240" w:lineRule="auto"/>
              <w:jc w:val="left"/>
              <w:rPr>
                <w:rFonts w:cs="Times New Roman"/>
                <w:sz w:val="22"/>
              </w:rPr>
            </w:pPr>
            <w:r w:rsidRPr="008903D1">
              <w:rPr>
                <w:rFonts w:cs="Times New Roman"/>
                <w:sz w:val="22"/>
              </w:rPr>
              <w:lastRenderedPageBreak/>
              <w:t>Location-routing problems (LRPs)</w:t>
            </w:r>
          </w:p>
        </w:tc>
        <w:tc>
          <w:tcPr>
            <w:tcW w:w="1546" w:type="pct"/>
            <w:vAlign w:val="center"/>
          </w:tcPr>
          <w:p w14:paraId="1887EDCC" w14:textId="77777777" w:rsidR="0000462D" w:rsidRPr="008903D1" w:rsidRDefault="0000462D" w:rsidP="0000462D">
            <w:pPr>
              <w:spacing w:line="240" w:lineRule="auto"/>
              <w:jc w:val="center"/>
              <w:rPr>
                <w:rFonts w:cs="Times New Roman"/>
                <w:sz w:val="22"/>
              </w:rPr>
            </w:pPr>
            <w:r w:rsidRPr="008903D1">
              <w:rPr>
                <w:rFonts w:cs="Times New Roman"/>
                <w:sz w:val="22"/>
              </w:rPr>
              <w:t>L-shaped algorithms</w:t>
            </w:r>
          </w:p>
        </w:tc>
        <w:tc>
          <w:tcPr>
            <w:tcW w:w="1048" w:type="pct"/>
            <w:vAlign w:val="center"/>
          </w:tcPr>
          <w:p w14:paraId="31BA6ABA" w14:textId="77777777" w:rsidR="0000462D" w:rsidRPr="008903D1" w:rsidRDefault="0000462D" w:rsidP="0000462D">
            <w:pPr>
              <w:spacing w:line="240" w:lineRule="auto"/>
              <w:jc w:val="center"/>
              <w:rPr>
                <w:rFonts w:cs="Times New Roman"/>
                <w:sz w:val="22"/>
              </w:rPr>
            </w:pPr>
            <w:r w:rsidRPr="008903D1">
              <w:rPr>
                <w:rFonts w:cs="Times New Roman"/>
                <w:sz w:val="22"/>
              </w:rPr>
              <w:t>Simulation approach</w:t>
            </w:r>
          </w:p>
        </w:tc>
        <w:tc>
          <w:tcPr>
            <w:tcW w:w="1309" w:type="pct"/>
            <w:vAlign w:val="center"/>
          </w:tcPr>
          <w:p w14:paraId="579D1D36" w14:textId="7CDEEA60" w:rsidR="0000462D" w:rsidRPr="008903D1" w:rsidRDefault="0000462D" w:rsidP="0000462D">
            <w:pPr>
              <w:spacing w:line="240" w:lineRule="auto"/>
              <w:jc w:val="center"/>
              <w:rPr>
                <w:rFonts w:cs="Times New Roman"/>
                <w:sz w:val="22"/>
              </w:rPr>
            </w:pPr>
            <w:r w:rsidRPr="006E18C6">
              <w:rPr>
                <w:rFonts w:cs="Times New Roman"/>
                <w:sz w:val="22"/>
              </w:rPr>
              <w:fldChar w:fldCharType="begin">
                <w:fldData xml:space="preserve">PEVuZE5vdGU+PENpdGU+PEF1dGhvcj5EZWxsJmFwb3M7QW1pY288L0F1dGhvcj48WWVhcj4yMDE3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</w:fldData>
              </w:fldChar>
            </w:r>
            <w:r w:rsidR="00613F02">
              <w:rPr>
                <w:rFonts w:cs="Times New Roman"/>
                <w:sz w:val="22"/>
              </w:rPr>
              <w:instrText xml:space="preserve"> ADDIN EN.CITE </w:instrText>
            </w:r>
            <w:r w:rsidR="00613F02">
              <w:rPr>
                <w:rFonts w:cs="Times New Roman"/>
                <w:sz w:val="22"/>
              </w:rPr>
              <w:fldChar w:fldCharType="begin">
                <w:fldData xml:space="preserve">PEVuZE5vdGU+PENpdGU+PEF1dGhvcj5EZWxsJmFwb3M7QW1pY288L0F1dGhvcj48WWVhcj4yMDE3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</w:fldData>
              </w:fldChar>
            </w:r>
            <w:r w:rsidR="00613F02">
              <w:rPr>
                <w:rFonts w:cs="Times New Roman"/>
                <w:sz w:val="22"/>
              </w:rPr>
              <w:instrText xml:space="preserve"> ADDIN EN.CITE.DATA </w:instrText>
            </w:r>
            <w:r w:rsidR="00613F02">
              <w:rPr>
                <w:rFonts w:cs="Times New Roman"/>
                <w:sz w:val="22"/>
              </w:rPr>
            </w:r>
            <w:r w:rsidR="00613F02">
              <w:rPr>
                <w:rFonts w:cs="Times New Roman"/>
                <w:sz w:val="22"/>
              </w:rPr>
              <w:fldChar w:fldCharType="end"/>
            </w:r>
            <w:r w:rsidRPr="006E18C6">
              <w:rPr>
                <w:rFonts w:cs="Times New Roman"/>
                <w:sz w:val="22"/>
              </w:rPr>
            </w:r>
            <w:r w:rsidRPr="006E18C6">
              <w:rPr>
                <w:rFonts w:cs="Times New Roman"/>
                <w:sz w:val="22"/>
              </w:rPr>
              <w:fldChar w:fldCharType="separate"/>
            </w:r>
            <w:r w:rsidRPr="006E18C6">
              <w:rPr>
                <w:rFonts w:cs="Times New Roman"/>
                <w:noProof/>
                <w:sz w:val="22"/>
              </w:rPr>
              <w:t>(Dell'Amico and Novellani, 2017)</w:t>
            </w:r>
            <w:r w:rsidRPr="006E18C6">
              <w:rPr>
                <w:rFonts w:cs="Times New Roman"/>
                <w:sz w:val="22"/>
              </w:rPr>
              <w:fldChar w:fldCharType="end"/>
            </w:r>
          </w:p>
        </w:tc>
      </w:tr>
      <w:tr w:rsidR="0000462D" w:rsidRPr="008903D1" w14:paraId="309C1125" w14:textId="77777777" w:rsidTr="0000462D">
        <w:tc>
          <w:tcPr>
            <w:tcW w:w="1097" w:type="pct"/>
            <w:vAlign w:val="center"/>
          </w:tcPr>
          <w:p w14:paraId="7CA30560" w14:textId="77777777" w:rsidR="0000462D" w:rsidRPr="008903D1" w:rsidRDefault="0000462D" w:rsidP="0000462D">
            <w:pPr>
              <w:spacing w:line="240" w:lineRule="auto"/>
              <w:jc w:val="left"/>
              <w:rPr>
                <w:rFonts w:cs="Times New Roman"/>
                <w:sz w:val="22"/>
              </w:rPr>
            </w:pPr>
            <w:r w:rsidRPr="008903D1">
              <w:rPr>
                <w:rFonts w:cs="Times New Roman"/>
                <w:sz w:val="22"/>
              </w:rPr>
              <w:t>Location-routing problems (LRPs)</w:t>
            </w:r>
          </w:p>
        </w:tc>
        <w:tc>
          <w:tcPr>
            <w:tcW w:w="1546" w:type="pct"/>
            <w:vAlign w:val="center"/>
          </w:tcPr>
          <w:p w14:paraId="15122AF0" w14:textId="77777777" w:rsidR="0000462D" w:rsidRPr="008903D1" w:rsidRDefault="0000462D" w:rsidP="0000462D">
            <w:pPr>
              <w:spacing w:line="240" w:lineRule="auto"/>
              <w:jc w:val="center"/>
              <w:rPr>
                <w:rFonts w:cs="Times New Roman"/>
                <w:sz w:val="22"/>
              </w:rPr>
            </w:pPr>
            <w:r w:rsidRPr="008903D1">
              <w:rPr>
                <w:rFonts w:cs="Times New Roman"/>
                <w:sz w:val="22"/>
              </w:rPr>
              <w:t xml:space="preserve">Biased </w:t>
            </w:r>
            <w:proofErr w:type="spellStart"/>
            <w:r w:rsidRPr="008903D1">
              <w:rPr>
                <w:rFonts w:cs="Times New Roman"/>
                <w:sz w:val="22"/>
              </w:rPr>
              <w:t>randomisation</w:t>
            </w:r>
            <w:proofErr w:type="spellEnd"/>
            <w:r w:rsidRPr="008903D1">
              <w:rPr>
                <w:rFonts w:cs="Times New Roman"/>
                <w:sz w:val="22"/>
              </w:rPr>
              <w:t xml:space="preserve"> – CWS heuristic</w:t>
            </w:r>
          </w:p>
        </w:tc>
        <w:tc>
          <w:tcPr>
            <w:tcW w:w="1048" w:type="pct"/>
            <w:vAlign w:val="center"/>
          </w:tcPr>
          <w:p w14:paraId="750604CA" w14:textId="77777777" w:rsidR="0000462D" w:rsidRPr="008903D1" w:rsidRDefault="0000462D" w:rsidP="0000462D">
            <w:pPr>
              <w:spacing w:line="240" w:lineRule="auto"/>
              <w:jc w:val="center"/>
              <w:rPr>
                <w:rFonts w:cs="Times New Roman"/>
                <w:sz w:val="22"/>
              </w:rPr>
            </w:pPr>
            <w:r w:rsidRPr="008903D1">
              <w:rPr>
                <w:rFonts w:cs="Times New Roman"/>
                <w:sz w:val="22"/>
              </w:rPr>
              <w:t>Multiple fleet cooperation</w:t>
            </w:r>
          </w:p>
        </w:tc>
        <w:tc>
          <w:tcPr>
            <w:tcW w:w="1309" w:type="pct"/>
            <w:vAlign w:val="center"/>
          </w:tcPr>
          <w:p w14:paraId="02F29DCA" w14:textId="499EFA26" w:rsidR="0000462D" w:rsidRPr="008903D1" w:rsidRDefault="0000462D" w:rsidP="0000462D">
            <w:pPr>
              <w:spacing w:line="240" w:lineRule="auto"/>
              <w:jc w:val="center"/>
              <w:rPr>
                <w:rFonts w:cs="Times New Roman"/>
                <w:sz w:val="22"/>
              </w:rPr>
            </w:pPr>
            <w:r w:rsidRPr="006E18C6">
              <w:rPr>
                <w:rFonts w:cs="Times New Roman"/>
                <w:sz w:val="22"/>
              </w:rPr>
              <w:fldChar w:fldCharType="begin">
                <w:fldData xml:space="preserve">PEVuZE5vdGU+PENpdGU+PEF1dGhvcj5OYXRhcmFqPC9BdXRob3I+PFllYXI+MjAxOTwvWWVhcj48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</w:fldData>
              </w:fldChar>
            </w:r>
            <w:r w:rsidR="003B0895">
              <w:rPr>
                <w:rFonts w:cs="Times New Roman"/>
                <w:sz w:val="22"/>
              </w:rPr>
              <w:instrText xml:space="preserve"> ADDIN EN.CITE </w:instrText>
            </w:r>
            <w:r w:rsidR="003B0895">
              <w:rPr>
                <w:rFonts w:cs="Times New Roman"/>
                <w:sz w:val="22"/>
              </w:rPr>
              <w:fldChar w:fldCharType="begin">
                <w:fldData xml:space="preserve">PEVuZE5vdGU+PENpdGU+PEF1dGhvcj5OYXRhcmFqPC9BdXRob3I+PFllYXI+MjAxOTwvWWVhcj48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</w:fldData>
              </w:fldChar>
            </w:r>
            <w:r w:rsidR="003B0895">
              <w:rPr>
                <w:rFonts w:cs="Times New Roman"/>
                <w:sz w:val="22"/>
              </w:rPr>
              <w:instrText xml:space="preserve"> ADDIN EN.CITE.DATA </w:instrText>
            </w:r>
            <w:r w:rsidR="003B0895">
              <w:rPr>
                <w:rFonts w:cs="Times New Roman"/>
                <w:sz w:val="22"/>
              </w:rPr>
            </w:r>
            <w:r w:rsidR="003B0895">
              <w:rPr>
                <w:rFonts w:cs="Times New Roman"/>
                <w:sz w:val="22"/>
              </w:rPr>
              <w:fldChar w:fldCharType="end"/>
            </w:r>
            <w:r w:rsidRPr="006E18C6">
              <w:rPr>
                <w:rFonts w:cs="Times New Roman"/>
                <w:sz w:val="22"/>
              </w:rPr>
            </w:r>
            <w:r w:rsidRPr="006E18C6">
              <w:rPr>
                <w:rFonts w:cs="Times New Roman"/>
                <w:sz w:val="22"/>
              </w:rPr>
              <w:fldChar w:fldCharType="separate"/>
            </w:r>
            <w:r w:rsidRPr="006E18C6">
              <w:rPr>
                <w:rFonts w:cs="Times New Roman"/>
                <w:noProof/>
                <w:sz w:val="22"/>
              </w:rPr>
              <w:t>(Nataraj et al., 2019)</w:t>
            </w:r>
            <w:r w:rsidRPr="006E18C6">
              <w:rPr>
                <w:rFonts w:cs="Times New Roman"/>
                <w:sz w:val="22"/>
              </w:rPr>
              <w:fldChar w:fldCharType="end"/>
            </w:r>
          </w:p>
        </w:tc>
      </w:tr>
    </w:tbl>
    <w:p w14:paraId="6E4A8C36" w14:textId="29E81501" w:rsidR="0071798B" w:rsidRPr="00737239" w:rsidRDefault="007B5959" w:rsidP="00223C7E">
      <w:pPr>
        <w:pStyle w:val="Caption"/>
        <w:spacing w:line="360" w:lineRule="auto"/>
        <w:rPr>
          <w:rFonts w:cs="Times New Roman"/>
        </w:rPr>
      </w:pPr>
      <w:bookmarkStart w:id="370" w:name="_Ref26537259"/>
      <w:bookmarkStart w:id="371" w:name="_Toc34674940"/>
      <w:bookmarkStart w:id="372" w:name="_Toc34734732"/>
      <w:bookmarkStart w:id="373" w:name="_Toc46053546"/>
      <w:bookmarkStart w:id="374" w:name="_Toc46093795"/>
      <w:bookmarkStart w:id="375" w:name="_Toc66698763"/>
      <w:r>
        <w:rPr>
          <w:rFonts w:cs="Times New Roman"/>
        </w:rPr>
        <w:t>Table</w:t>
      </w:r>
      <w:r w:rsidR="0071798B"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2</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12</w:t>
      </w:r>
      <w:r w:rsidR="00FE10DA">
        <w:rPr>
          <w:rFonts w:cs="Times New Roman"/>
        </w:rPr>
        <w:fldChar w:fldCharType="end"/>
      </w:r>
      <w:bookmarkEnd w:id="370"/>
      <w:r w:rsidR="00AF217C">
        <w:rPr>
          <w:rFonts w:cs="Times New Roman"/>
        </w:rPr>
        <w:t>:</w:t>
      </w:r>
      <w:r w:rsidR="0071798B" w:rsidRPr="008903D1">
        <w:rPr>
          <w:rFonts w:cs="Times New Roman"/>
        </w:rPr>
        <w:t xml:space="preserve"> Reviewed papers on two-echelon vehicle-routing problems (VRPs)</w:t>
      </w:r>
      <w:bookmarkEnd w:id="371"/>
      <w:bookmarkEnd w:id="372"/>
      <w:bookmarkEnd w:id="373"/>
      <w:bookmarkEnd w:id="374"/>
      <w:bookmarkEnd w:id="375"/>
    </w:p>
    <w:p w14:paraId="3CF1E74F" w14:textId="77777777" w:rsidR="0071798B" w:rsidRPr="008903D1" w:rsidRDefault="0071798B" w:rsidP="000A4E8C">
      <w:pPr>
        <w:spacing w:line="360" w:lineRule="auto"/>
        <w:jc w:val="center"/>
        <w:rPr>
          <w:rFonts w:cs="Times New Roman"/>
        </w:rPr>
      </w:pPr>
      <w:r w:rsidRPr="006C301D">
        <w:rPr>
          <w:rFonts w:cs="Times New Roman"/>
          <w:noProof/>
        </w:rPr>
        <w:object w:dxaOrig="8415" w:dyaOrig="3375" w14:anchorId="29B2C1C6">
          <v:shape id="_x0000_i1028" type="#_x0000_t75" style="width:415.7pt;height:166.2pt" o:ole="">
            <v:imagedata r:id="rId34" o:title=""/>
          </v:shape>
          <o:OLEObject Type="Embed" ProgID="Visio.Drawing.15" ShapeID="_x0000_i1028" DrawAspect="Content" ObjectID="_1681648035" r:id="rId35"/>
        </w:object>
      </w:r>
    </w:p>
    <w:p w14:paraId="2743868F" w14:textId="3D919D1A" w:rsidR="0071798B" w:rsidRPr="00737239" w:rsidRDefault="0071798B" w:rsidP="00223C7E">
      <w:pPr>
        <w:pStyle w:val="Caption"/>
        <w:spacing w:line="360" w:lineRule="auto"/>
        <w:rPr>
          <w:rFonts w:cs="Times New Roman"/>
        </w:rPr>
      </w:pPr>
      <w:bookmarkStart w:id="376" w:name="_Ref26979631"/>
      <w:bookmarkStart w:id="377" w:name="_Toc490574343"/>
      <w:bookmarkStart w:id="378" w:name="_Toc491869767"/>
      <w:bookmarkStart w:id="379" w:name="_Toc34675015"/>
      <w:bookmarkStart w:id="380" w:name="_Toc34734807"/>
      <w:bookmarkStart w:id="381" w:name="_Toc46053670"/>
      <w:bookmarkStart w:id="382" w:name="_Toc66698703"/>
      <w:r w:rsidRPr="00737239">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2</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9</w:t>
      </w:r>
      <w:r w:rsidR="00632993">
        <w:rPr>
          <w:rFonts w:cs="Times New Roman"/>
        </w:rPr>
        <w:fldChar w:fldCharType="end"/>
      </w:r>
      <w:bookmarkEnd w:id="376"/>
      <w:r w:rsidR="00FD1FFD">
        <w:rPr>
          <w:rFonts w:cs="Times New Roman"/>
        </w:rPr>
        <w:t>:</w:t>
      </w:r>
      <w:r w:rsidRPr="008903D1">
        <w:rPr>
          <w:rFonts w:cs="Times New Roman"/>
        </w:rPr>
        <w:t xml:space="preserve"> Structure of four-tier urban consolidation centre (UCC) </w:t>
      </w:r>
      <w:bookmarkEnd w:id="377"/>
      <w:bookmarkEnd w:id="378"/>
      <w:r w:rsidRPr="008903D1">
        <w:rPr>
          <w:rFonts w:cs="Times New Roman"/>
        </w:rPr>
        <w:t>network</w:t>
      </w:r>
      <w:bookmarkEnd w:id="379"/>
      <w:bookmarkEnd w:id="380"/>
      <w:bookmarkEnd w:id="381"/>
      <w:bookmarkEnd w:id="382"/>
    </w:p>
    <w:p w14:paraId="648DF304" w14:textId="5AED84DA" w:rsidR="0071798B" w:rsidRPr="00737239" w:rsidRDefault="0071798B" w:rsidP="00D30CE8">
      <w:pPr>
        <w:spacing w:before="240" w:after="240" w:line="360" w:lineRule="auto"/>
        <w:rPr>
          <w:rFonts w:cs="Times New Roman"/>
        </w:rPr>
      </w:pPr>
      <w:r w:rsidRPr="00802DC5">
        <w:rPr>
          <w:rFonts w:cs="Times New Roman"/>
        </w:rPr>
        <w:t xml:space="preserve">Further enhancements to these frameworks have been made. </w:t>
      </w:r>
      <w:r w:rsidR="00D4781A">
        <w:fldChar w:fldCharType="begin"/>
      </w:r>
      <w:r w:rsidR="00647E79">
        <w:instrText xml:space="preserve"> ADDIN EN.CITE &lt;EndNote&gt;&lt;Cite AuthorYear="1"&gt;&lt;Author&gt;Hamidi&lt;/Author&gt;&lt;Year&gt;2012&lt;/Year&gt;&lt;RecNum&gt;221&lt;/RecNum&gt;&lt;DisplayText&gt;Hamidi et al. (2012)&lt;/DisplayText&gt;&lt;record&gt;&lt;rec-number&gt;221&lt;/rec-number&gt;&lt;foreign-keys&gt;&lt;key app="EN" db-id="pzt5ep52hsedfpeext2pdfes0w0aswaewef2" timestamp="1605187997"&gt;221&lt;/key&gt;&lt;/foreign-keys&gt;&lt;ref-type name="Journal Article"&gt;17&lt;/ref-type&gt;&lt;contributors&gt;&lt;authors&gt;&lt;author&gt;Hamidi, M.&lt;/author&gt;&lt;author&gt;Farahmand, K.&lt;/author&gt;&lt;author&gt;Sajjadi, S. R.&lt;/author&gt;&lt;/authors&gt;&lt;/contributors&gt;&lt;titles&gt;&lt;title&gt;Modeling a four-layer location-routing problem&lt;/title&gt;&lt;secondary-title&gt;International Journal of Industrial Engineering Computations&lt;/secondary-title&gt;&lt;/titles&gt;&lt;periodical&gt;&lt;full-title&gt;International Journal of Industrial Engineering Computations&lt;/full-title&gt;&lt;abbr-1&gt;Int. J. Ind. Eng. Comput.&lt;/abbr-1&gt;&lt;/periodical&gt;&lt;pages&gt;43-52&lt;/pages&gt;&lt;volume&gt;3&lt;/volume&gt;&lt;number&gt;1 SUPPL&lt;/number&gt;&lt;dates&gt;&lt;year&gt;2012&lt;/year&gt;&lt;/dates&gt;&lt;work-type&gt;Article&lt;/work-type&gt;&lt;urls&gt;&lt;related-urls&gt;&lt;url&gt;&lt;style face="underline" font="default" size="100%"&gt;https://www.scopus.com/inward/record.uri?eid=2-s2.0-84863693475&amp;amp;doi=10.5267%2fj.ijiec.2011.08.015&amp;amp;partnerID=40&amp;amp;md5=930b985e93c1b07471d1c1f997ed4347&lt;/style&gt;&lt;/url&gt;&lt;/related-urls&gt;&lt;/urls&gt;&lt;electronic-resource-num&gt;10.5267/j.ijiec.2011.08.015&lt;/electronic-resource-num&gt;&lt;remote-database-name&gt;Scopus&lt;/remote-database-name&gt;&lt;research-notes&gt;55&lt;/research-notes&gt;&lt;/record&gt;&lt;/Cite&gt;&lt;/EndNote&gt;</w:instrText>
      </w:r>
      <w:r w:rsidR="00D4781A">
        <w:fldChar w:fldCharType="separate"/>
      </w:r>
      <w:r w:rsidR="00C945DE">
        <w:rPr>
          <w:noProof/>
        </w:rPr>
        <w:t>Hamidi et al. (2012)</w:t>
      </w:r>
      <w:r w:rsidR="00D4781A">
        <w:fldChar w:fldCharType="end"/>
      </w:r>
      <w:r w:rsidRPr="00802DC5">
        <w:rPr>
          <w:rFonts w:cs="Times New Roman"/>
        </w:rPr>
        <w:t xml:space="preserve"> propose a three-tier VRP networ</w:t>
      </w:r>
      <w:r w:rsidRPr="006C301D">
        <w:rPr>
          <w:rFonts w:cs="Times New Roman"/>
        </w:rPr>
        <w:t>k, adding another transfer point to the route between UCCs and consumers to reduce waiting times and congestion issues (</w:t>
      </w:r>
      <w:r w:rsidRPr="00737239">
        <w:rPr>
          <w:rFonts w:cs="Times New Roman"/>
        </w:rPr>
        <w:fldChar w:fldCharType="begin"/>
      </w:r>
      <w:r w:rsidRPr="00A96AC5">
        <w:rPr>
          <w:rFonts w:cs="Times New Roman"/>
        </w:rPr>
        <w:instrText xml:space="preserve"> REF _Ref26979631 \h </w:instrText>
      </w:r>
      <w:r w:rsidR="008903D1">
        <w:rPr>
          <w:rFonts w:cs="Times New Roman"/>
        </w:rPr>
        <w:instrText xml:space="preserve"> \* MERGEFORMAT </w:instrText>
      </w:r>
      <w:r w:rsidRPr="00737239">
        <w:rPr>
          <w:rFonts w:cs="Times New Roman"/>
        </w:rPr>
      </w:r>
      <w:r w:rsidRPr="00737239">
        <w:rPr>
          <w:rFonts w:cs="Times New Roman"/>
        </w:rPr>
        <w:fldChar w:fldCharType="separate"/>
      </w:r>
      <w:r w:rsidR="0005064B" w:rsidRPr="0005064B">
        <w:rPr>
          <w:rFonts w:cs="Times New Roman"/>
          <w:bCs/>
        </w:rPr>
        <w:t xml:space="preserve">Figure </w:t>
      </w:r>
      <w:r w:rsidR="0005064B" w:rsidRPr="0005064B">
        <w:rPr>
          <w:rFonts w:cs="Times New Roman"/>
          <w:bCs/>
          <w:noProof/>
        </w:rPr>
        <w:t>2</w:t>
      </w:r>
      <w:r w:rsidR="0005064B" w:rsidRPr="0005064B">
        <w:rPr>
          <w:rFonts w:cs="Times New Roman"/>
          <w:bCs/>
          <w:noProof/>
        </w:rPr>
        <w:noBreakHyphen/>
        <w:t>9</w:t>
      </w:r>
      <w:r w:rsidRPr="00737239">
        <w:rPr>
          <w:rFonts w:cs="Times New Roman"/>
        </w:rPr>
        <w:fldChar w:fldCharType="end"/>
      </w:r>
      <w:r w:rsidRPr="008903D1">
        <w:rPr>
          <w:rFonts w:cs="Times New Roman"/>
        </w:rPr>
        <w:t xml:space="preserve">). </w:t>
      </w:r>
    </w:p>
    <w:p w14:paraId="34B0BCD7" w14:textId="77777777" w:rsidR="0071798B" w:rsidRPr="00802DC5" w:rsidRDefault="0071798B" w:rsidP="000A4E8C">
      <w:pPr>
        <w:pStyle w:val="Heading3"/>
        <w:spacing w:line="360" w:lineRule="auto"/>
        <w:rPr>
          <w:rFonts w:cs="Times New Roman"/>
        </w:rPr>
      </w:pPr>
      <w:bookmarkStart w:id="383" w:name="_Toc34734502"/>
      <w:bookmarkStart w:id="384" w:name="_Toc46053420"/>
      <w:bookmarkStart w:id="385" w:name="_Toc46093334"/>
      <w:bookmarkStart w:id="386" w:name="_Toc46093617"/>
      <w:bookmarkStart w:id="387" w:name="_Toc66703192"/>
      <w:r w:rsidRPr="00737239">
        <w:rPr>
          <w:rFonts w:cs="Times New Roman"/>
        </w:rPr>
        <w:t>Design of transport resources</w:t>
      </w:r>
      <w:bookmarkEnd w:id="383"/>
      <w:bookmarkEnd w:id="384"/>
      <w:bookmarkEnd w:id="385"/>
      <w:bookmarkEnd w:id="386"/>
      <w:bookmarkEnd w:id="387"/>
    </w:p>
    <w:p w14:paraId="7B495C84" w14:textId="1838FB33" w:rsidR="0071798B" w:rsidRPr="00A96AC5" w:rsidRDefault="0071798B" w:rsidP="00D30CE8">
      <w:pPr>
        <w:spacing w:after="240" w:line="360" w:lineRule="auto"/>
        <w:rPr>
          <w:rFonts w:cs="Times New Roman"/>
        </w:rPr>
      </w:pPr>
      <w:r w:rsidRPr="006C301D">
        <w:rPr>
          <w:rFonts w:cs="Times New Roman"/>
        </w:rPr>
        <w:t xml:space="preserve">Replacing conventional vehicles with alternative methods of city distribution can strengthen the ability of </w:t>
      </w:r>
      <w:r w:rsidR="009C02A6">
        <w:rPr>
          <w:rFonts w:cs="Times New Roman"/>
        </w:rPr>
        <w:t xml:space="preserve">a </w:t>
      </w:r>
      <w:r w:rsidRPr="006C301D">
        <w:rPr>
          <w:rFonts w:cs="Times New Roman"/>
        </w:rPr>
        <w:t xml:space="preserve">UCC to mitigate the sustainability issues in </w:t>
      </w:r>
      <w:r w:rsidR="009C02A6">
        <w:rPr>
          <w:rFonts w:cs="Times New Roman"/>
        </w:rPr>
        <w:t>an</w:t>
      </w:r>
      <w:r w:rsidRPr="006C301D">
        <w:rPr>
          <w:rFonts w:cs="Times New Roman"/>
        </w:rPr>
        <w:t xml:space="preserve"> ur</w:t>
      </w:r>
      <w:r w:rsidRPr="00A96AC5">
        <w:rPr>
          <w:rFonts w:cs="Times New Roman"/>
        </w:rPr>
        <w:t xml:space="preserve">ban area. </w:t>
      </w:r>
      <w:r w:rsidR="00B71C3E">
        <w:rPr>
          <w:noProof/>
        </w:rPr>
        <w:fldChar w:fldCharType="begin"/>
      </w:r>
      <w:r w:rsidR="00647E79">
        <w:rPr>
          <w:noProof/>
        </w:rPr>
        <w:instrText xml:space="preserve"> ADDIN EN.CITE &lt;EndNote&gt;&lt;Cite AuthorYear="1"&gt;&lt;Author&gt;Hyard&lt;/Author&gt;&lt;Year&gt;2013&lt;/Year&gt;&lt;RecNum&gt;222&lt;/RecNum&gt;&lt;DisplayText&gt;Hyard (2013)&lt;/DisplayText&gt;&lt;record&gt;&lt;rec-number&gt;222&lt;/rec-number&gt;&lt;foreign-keys&gt;&lt;key app="EN" db-id="pzt5ep52hsedfpeext2pdfes0w0aswaewef2" timestamp="1605187997"&gt;222&lt;/key&gt;&lt;/foreign-keys&gt;&lt;ref-type name="Journal Article"&gt;17&lt;/ref-type&gt;&lt;contributors&gt;&lt;authors&gt;&lt;author&gt;Hyard, Alexandra&lt;/author&gt;&lt;/authors&gt;&lt;/contributors&gt;&lt;titles&gt;&lt;title&gt;Non-technological innovations for sustainable transport&lt;/title&gt;&lt;secondary-title&gt;Technological Forecasting and Social Change&lt;/secondary-title&gt;&lt;/titles&gt;&lt;periodical&gt;&lt;full-title&gt;Technological Forecasting and Social Change&lt;/full-title&gt;&lt;/periodical&gt;&lt;pages&gt;1375-1386&lt;/pages&gt;&lt;volume&gt;80&lt;/volume&gt;&lt;number&gt;7&lt;/number&gt;&lt;dates&gt;&lt;year&gt;2013&lt;/year&gt;&lt;/dates&gt;&lt;isbn&gt;0040-1625&lt;/isbn&gt;&lt;urls&gt;&lt;/urls&gt;&lt;/record&gt;&lt;/Cite&gt;&lt;/EndNote&gt;</w:instrText>
      </w:r>
      <w:r w:rsidR="00B71C3E">
        <w:rPr>
          <w:noProof/>
        </w:rPr>
        <w:fldChar w:fldCharType="separate"/>
      </w:r>
      <w:r w:rsidR="00083FA1">
        <w:rPr>
          <w:noProof/>
        </w:rPr>
        <w:t>Hyard (2013)</w:t>
      </w:r>
      <w:r w:rsidR="00B71C3E">
        <w:rPr>
          <w:noProof/>
        </w:rPr>
        <w:fldChar w:fldCharType="end"/>
      </w:r>
      <w:r w:rsidRPr="00A96AC5">
        <w:rPr>
          <w:rFonts w:cs="Times New Roman"/>
        </w:rPr>
        <w:t xml:space="preserve"> presents a pilot case in which a UCC acts as the connection point in inter-modal transportation, with a boat used for urban delivery in Amsterdam. A combined delivery employing the urban rail network (e.g., tram and train) and a UCC can also contribute to sustainability, owing to the large carrying capacity and low emissions </w:t>
      </w:r>
      <w:r w:rsidR="00B71C3E">
        <w:rPr>
          <w:noProof/>
        </w:rPr>
        <w:fldChar w:fldCharType="begin">
          <w:fldData xml:space="preserve">PEVuZE5vdGU+PENpdGU+PEF1dGhvcj5aeWNoPC9BdXRob3I+PFllYXI+MjAxNDwvWWVhcj48UmVj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</w:fldData>
        </w:fldChar>
      </w:r>
      <w:r w:rsidR="00647E79">
        <w:rPr>
          <w:noProof/>
        </w:rPr>
        <w:instrText xml:space="preserve"> ADDIN EN.CITE </w:instrText>
      </w:r>
      <w:r w:rsidR="00647E79">
        <w:rPr>
          <w:noProof/>
        </w:rPr>
        <w:fldChar w:fldCharType="begin">
          <w:fldData xml:space="preserve">PEVuZE5vdGU+PENpdGU+PEF1dGhvcj5aeWNoPC9BdXRob3I+PFllYXI+MjAxNDwvWWVhcj48UmVj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</w:fldData>
        </w:fldChar>
      </w:r>
      <w:r w:rsidR="00647E79">
        <w:rPr>
          <w:noProof/>
        </w:rPr>
        <w:instrText xml:space="preserve"> ADDIN EN.CITE.DATA </w:instrText>
      </w:r>
      <w:r w:rsidR="00647E79">
        <w:rPr>
          <w:noProof/>
        </w:rPr>
      </w:r>
      <w:r w:rsidR="00647E79">
        <w:rPr>
          <w:noProof/>
        </w:rPr>
        <w:fldChar w:fldCharType="end"/>
      </w:r>
      <w:r w:rsidR="00B71C3E">
        <w:rPr>
          <w:noProof/>
        </w:rPr>
      </w:r>
      <w:r w:rsidR="00B71C3E">
        <w:rPr>
          <w:noProof/>
        </w:rPr>
        <w:fldChar w:fldCharType="separate"/>
      </w:r>
      <w:r w:rsidR="00B71C3E">
        <w:rPr>
          <w:noProof/>
        </w:rPr>
        <w:t>(Zych, 2014)</w:t>
      </w:r>
      <w:r w:rsidR="00B71C3E">
        <w:rPr>
          <w:noProof/>
        </w:rPr>
        <w:fldChar w:fldCharType="end"/>
      </w:r>
      <w:r w:rsidRPr="00A96AC5">
        <w:rPr>
          <w:rFonts w:cs="Times New Roman"/>
        </w:rPr>
        <w:t xml:space="preserve">. A detailed review of the pilot cases of rail delivery was conducted by </w:t>
      </w:r>
      <w:r w:rsidR="004B5CCA">
        <w:rPr>
          <w:noProof/>
        </w:rPr>
        <w:t>(Alessandrini et al., 2012)</w:t>
      </w:r>
      <w:r w:rsidRPr="00A96AC5">
        <w:rPr>
          <w:rFonts w:cs="Times New Roman"/>
        </w:rPr>
        <w:t>, alongside a case study of the rail delivery model, and</w:t>
      </w:r>
      <w:r w:rsidR="009C02A6">
        <w:rPr>
          <w:rFonts w:cs="Times New Roman"/>
        </w:rPr>
        <w:t xml:space="preserve"> these</w:t>
      </w:r>
      <w:r w:rsidRPr="00A96AC5">
        <w:rPr>
          <w:rFonts w:cs="Times New Roman"/>
        </w:rPr>
        <w:t xml:space="preserve"> found that integrated train transportation results in lower levels of cost and air pollutants than conventional vehicles.</w:t>
      </w:r>
    </w:p>
    <w:p w14:paraId="6F1F1E08" w14:textId="7603BF33" w:rsidR="0071798B" w:rsidRPr="00A96AC5" w:rsidRDefault="0071798B" w:rsidP="00D30CE8">
      <w:pPr>
        <w:spacing w:after="240" w:line="360" w:lineRule="auto"/>
        <w:rPr>
          <w:rFonts w:cs="Times New Roman"/>
        </w:rPr>
      </w:pPr>
      <w:r w:rsidRPr="00A96AC5">
        <w:rPr>
          <w:rFonts w:cs="Times New Roman"/>
        </w:rPr>
        <w:t>The cargo bike or tricycle is another popular delivery method used with micro-UCCs (</w:t>
      </w:r>
      <w:proofErr w:type="gramStart"/>
      <w:r w:rsidRPr="00A96AC5">
        <w:rPr>
          <w:rFonts w:cs="Times New Roman"/>
        </w:rPr>
        <w:t>mini-hubs</w:t>
      </w:r>
      <w:proofErr w:type="gramEnd"/>
      <w:r w:rsidRPr="00A96AC5">
        <w:rPr>
          <w:rFonts w:cs="Times New Roman"/>
        </w:rPr>
        <w:t>). Due to the low capacity of cargo bike</w:t>
      </w:r>
      <w:r w:rsidR="003F5316">
        <w:rPr>
          <w:rFonts w:cs="Times New Roman"/>
        </w:rPr>
        <w:t>s</w:t>
      </w:r>
      <w:r w:rsidRPr="00A96AC5">
        <w:rPr>
          <w:rFonts w:cs="Times New Roman"/>
        </w:rPr>
        <w:t>, micro-UCC</w:t>
      </w:r>
      <w:r w:rsidR="003F5316">
        <w:rPr>
          <w:rFonts w:cs="Times New Roman"/>
        </w:rPr>
        <w:t>s</w:t>
      </w:r>
      <w:r w:rsidRPr="00A96AC5">
        <w:rPr>
          <w:rFonts w:cs="Times New Roman"/>
        </w:rPr>
        <w:t xml:space="preserve"> located in or near its service area are required to facilitate the circulation of the bike delivery </w:t>
      </w:r>
      <w:r w:rsidR="00B71C3E">
        <w:rPr>
          <w:noProof/>
        </w:rPr>
        <w:fldChar w:fldCharType="begin"/>
      </w:r>
      <w:r w:rsidR="00647E79">
        <w:rPr>
          <w:noProof/>
        </w:rPr>
        <w:instrText xml:space="preserve"> ADDIN EN.CITE &lt;EndNote&gt;&lt;Cite&gt;&lt;Author&gt;Browne&lt;/Author&gt;&lt;Year&gt;2011&lt;/Year&gt;&lt;RecNum&gt;224&lt;/RecNum&gt;&lt;DisplayText&gt;(Browne et al., 2011)&lt;/DisplayText&gt;&lt;record&gt;&lt;rec-number&gt;224&lt;/rec-number&gt;&lt;foreign-keys&gt;&lt;key app="EN" db-id="pzt5ep52hsedfpeext2pdfes0w0aswaewef2" timestamp="1605187997"&gt;224&lt;/key&gt;&lt;/foreign-keys&gt;&lt;ref-type name="Journal Article"&gt;17&lt;/ref-type&gt;&lt;contributors&gt;&lt;authors&gt;&lt;author&gt;Browne, Michael&lt;/author&gt;&lt;author&gt;Allen, Julian&lt;/author&gt;&lt;author&gt;Leonardi, Jacques&lt;/author&gt;&lt;/authors&gt;&lt;/contributors&gt;&lt;titles&gt;&lt;title&gt;Evaluating the use of an urban consolidation centre and electric vehicles in central London&lt;/title&gt;&lt;secondary-title&gt;IATSS research&lt;/secondary-title&gt;&lt;/titles&gt;&lt;periodical&gt;&lt;full-title&gt;IATSS research&lt;/full-title&gt;&lt;/periodical&gt;&lt;pages&gt;1-6&lt;/pages&gt;&lt;volume&gt;35&lt;/volume&gt;&lt;number&gt;1&lt;/number&gt;&lt;dates&gt;&lt;year&gt;2011&lt;/year&gt;&lt;/dates&gt;&lt;isbn&gt;0386-1112&lt;/isbn&gt;&lt;urls&gt;&lt;/urls&gt;&lt;/record&gt;&lt;/Cite&gt;&lt;/EndNote&gt;</w:instrText>
      </w:r>
      <w:r w:rsidR="00B71C3E">
        <w:rPr>
          <w:noProof/>
        </w:rPr>
        <w:fldChar w:fldCharType="separate"/>
      </w:r>
      <w:r w:rsidR="00B71C3E">
        <w:rPr>
          <w:noProof/>
        </w:rPr>
        <w:t>(Browne et al., 2011)</w:t>
      </w:r>
      <w:r w:rsidR="00B71C3E">
        <w:rPr>
          <w:noProof/>
        </w:rPr>
        <w:fldChar w:fldCharType="end"/>
      </w:r>
      <w:r w:rsidRPr="00A96AC5">
        <w:rPr>
          <w:rFonts w:cs="Times New Roman"/>
        </w:rPr>
        <w:t xml:space="preserve">. Although the travel distance per parcel is longer for the cargo bike/tricycle than for the conventional vehicle, these tools significantly mitigate the environmental and social issues (e.g., reducing </w:t>
      </w:r>
      <w:r w:rsidRPr="00A96AC5">
        <w:rPr>
          <w:rFonts w:cs="Times New Roman"/>
        </w:rPr>
        <w:lastRenderedPageBreak/>
        <w:t xml:space="preserve">road occupancy and emissions) in </w:t>
      </w:r>
      <w:r w:rsidR="003F5316">
        <w:rPr>
          <w:rFonts w:cs="Times New Roman"/>
        </w:rPr>
        <w:t>an</w:t>
      </w:r>
      <w:r w:rsidRPr="00A96AC5">
        <w:rPr>
          <w:rFonts w:cs="Times New Roman"/>
        </w:rPr>
        <w:t xml:space="preserve"> urban area </w:t>
      </w:r>
      <w:r w:rsidR="00782915">
        <w:rPr>
          <w:noProof/>
        </w:rPr>
        <w:t>(Browne et al., 2011)</w:t>
      </w:r>
      <w:r w:rsidRPr="00A96AC5">
        <w:rPr>
          <w:rFonts w:cs="Times New Roman"/>
        </w:rPr>
        <w:t xml:space="preserve">. The cargo bike has significant advantages in terms of improving delivery efficiency in conditions of high congestion </w:t>
      </w:r>
      <w:r w:rsidR="00B71C3E">
        <w:rPr>
          <w:noProof/>
        </w:rPr>
        <w:fldChar w:fldCharType="begin">
          <w:fldData xml:space="preserve">PEVuZE5vdGU+PENpdGU+PEF1dGhvcj5TaW1vbmk8L0F1dGhvcj48WWVhcj4yMDE4PC9ZZWFyPjxS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</w:fldData>
        </w:fldChar>
      </w:r>
      <w:r w:rsidR="00647E79">
        <w:rPr>
          <w:noProof/>
        </w:rPr>
        <w:instrText xml:space="preserve"> ADDIN EN.CITE </w:instrText>
      </w:r>
      <w:r w:rsidR="00647E79">
        <w:rPr>
          <w:noProof/>
        </w:rPr>
        <w:fldChar w:fldCharType="begin">
          <w:fldData xml:space="preserve">PEVuZE5vdGU+PENpdGU+PEF1dGhvcj5TaW1vbmk8L0F1dGhvcj48WWVhcj4yMDE4PC9ZZWFyPjxS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</w:fldData>
        </w:fldChar>
      </w:r>
      <w:r w:rsidR="00647E79">
        <w:rPr>
          <w:noProof/>
        </w:rPr>
        <w:instrText xml:space="preserve"> ADDIN EN.CITE.DATA </w:instrText>
      </w:r>
      <w:r w:rsidR="00647E79">
        <w:rPr>
          <w:noProof/>
        </w:rPr>
      </w:r>
      <w:r w:rsidR="00647E79">
        <w:rPr>
          <w:noProof/>
        </w:rPr>
        <w:fldChar w:fldCharType="end"/>
      </w:r>
      <w:r w:rsidR="00B71C3E">
        <w:rPr>
          <w:noProof/>
        </w:rPr>
      </w:r>
      <w:r w:rsidR="00B71C3E">
        <w:rPr>
          <w:noProof/>
        </w:rPr>
        <w:fldChar w:fldCharType="separate"/>
      </w:r>
      <w:r w:rsidR="00B71C3E">
        <w:rPr>
          <w:noProof/>
        </w:rPr>
        <w:t>(Simoni et al., 2018)</w:t>
      </w:r>
      <w:r w:rsidR="00B71C3E">
        <w:rPr>
          <w:noProof/>
        </w:rPr>
        <w:fldChar w:fldCharType="end"/>
      </w:r>
      <w:r w:rsidRPr="00A96AC5">
        <w:rPr>
          <w:rFonts w:cs="Times New Roman"/>
        </w:rPr>
        <w:t xml:space="preserve">. In addition, </w:t>
      </w:r>
      <w:r w:rsidR="00B71C3E">
        <w:rPr>
          <w:noProof/>
        </w:rPr>
        <w:fldChar w:fldCharType="begin">
          <w:fldData xml:space="preserve">PEVuZE5vdGU+PENpdGUgQXV0aG9yWWVhcj0iMSI+PEF1dGhvcj5LaW48L0F1dGhvcj48WWVhcj4y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</w:fldData>
        </w:fldChar>
      </w:r>
      <w:r w:rsidR="00CF6F78">
        <w:rPr>
          <w:noProof/>
        </w:rPr>
        <w:instrText xml:space="preserve"> ADDIN EN.CITE </w:instrText>
      </w:r>
      <w:r w:rsidR="00CF6F78">
        <w:rPr>
          <w:noProof/>
        </w:rPr>
        <w:fldChar w:fldCharType="begin">
          <w:fldData xml:space="preserve">PEVuZE5vdGU+PENpdGUgQXV0aG9yWWVhcj0iMSI+PEF1dGhvcj5LaW48L0F1dGhvcj48WWVhcj4y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</w:fldData>
        </w:fldChar>
      </w:r>
      <w:r w:rsidR="00CF6F78">
        <w:rPr>
          <w:noProof/>
        </w:rPr>
        <w:instrText xml:space="preserve"> ADDIN EN.CITE.DATA </w:instrText>
      </w:r>
      <w:r w:rsidR="00CF6F78">
        <w:rPr>
          <w:noProof/>
        </w:rPr>
      </w:r>
      <w:r w:rsidR="00CF6F78">
        <w:rPr>
          <w:noProof/>
        </w:rPr>
        <w:fldChar w:fldCharType="end"/>
      </w:r>
      <w:r w:rsidR="00B71C3E">
        <w:rPr>
          <w:noProof/>
        </w:rPr>
      </w:r>
      <w:r w:rsidR="00B71C3E">
        <w:rPr>
          <w:noProof/>
        </w:rPr>
        <w:fldChar w:fldCharType="separate"/>
      </w:r>
      <w:r w:rsidR="00083FA1">
        <w:rPr>
          <w:noProof/>
        </w:rPr>
        <w:t>Kin et al. (2018)</w:t>
      </w:r>
      <w:r w:rsidR="00B71C3E">
        <w:rPr>
          <w:noProof/>
        </w:rPr>
        <w:fldChar w:fldCharType="end"/>
      </w:r>
      <w:r w:rsidRPr="00A96AC5">
        <w:rPr>
          <w:rFonts w:cs="Times New Roman"/>
        </w:rPr>
        <w:t xml:space="preserve"> indicate that the operational cost of bike delivery is lower than that of vehicle delivery when dealing with a small volume of freight demand.</w:t>
      </w:r>
    </w:p>
    <w:p w14:paraId="239CCD4D" w14:textId="05FB1449" w:rsidR="0071798B" w:rsidRPr="00A96AC5" w:rsidRDefault="00B71C3E" w:rsidP="00D30CE8">
      <w:pPr>
        <w:spacing w:after="240" w:line="360" w:lineRule="auto"/>
        <w:rPr>
          <w:rFonts w:cs="Times New Roman"/>
        </w:rPr>
      </w:pPr>
      <w:r>
        <w:rPr>
          <w:noProof/>
        </w:rPr>
        <w:fldChar w:fldCharType="begin"/>
      </w:r>
      <w:r w:rsidR="00CA2D5D">
        <w:rPr>
          <w:noProof/>
        </w:rPr>
        <w:instrText xml:space="preserve"> ADDIN EN.CITE &lt;EndNote&gt;&lt;Cite AuthorYear="1"&gt;&lt;Author&gt;van Duin&lt;/Author&gt;&lt;Year&gt;2010&lt;/Year&gt;&lt;RecNum&gt;224&lt;/RecNum&gt;&lt;DisplayText&gt;van Duin et al. (2010)&lt;/DisplayText&gt;&lt;record&gt;&lt;rec-number&gt;224&lt;/rec-number&gt;&lt;foreign-keys&gt;&lt;key app="EN" db-id="x5etaz5aiszvz0edasvvpwvotttxepvd25t2" timestamp="1611177411"&gt;224&lt;/key&gt;&lt;/foreign-keys&gt;&lt;ref-type name="Journal Article"&gt;17&lt;/ref-type&gt;&lt;contributors&gt;&lt;authors&gt;&lt;author&gt;van Duin, J. H. R.&lt;/author&gt;&lt;author&gt;Quak, Hans&lt;/author&gt;&lt;author&gt;Muñuzuri, Jesús&lt;/author&gt;&lt;/authors&gt;&lt;/contributors&gt;&lt;titles&gt;&lt;title&gt;New challenges for urban consolidation centres: A case study in The Hague&lt;/title&gt;&lt;secondary-title&gt;Procedia - Social and Behavioral Sciences&lt;/secondary-title&gt;&lt;/titles&gt;&lt;periodical&gt;&lt;full-title&gt;Procedia - Social and Behavioral Sciences&lt;/full-title&gt;&lt;/periodical&gt;&lt;pages&gt;6177-6188&lt;/pages&gt;&lt;volume&gt;2&lt;/volume&gt;&lt;number&gt;3&lt;/number&gt;&lt;keywords&gt;&lt;keyword&gt;Urban consolodation center&lt;/keyword&gt;&lt;keyword&gt;feasibility study&lt;/keyword&gt;&lt;keyword&gt;evaluation&lt;/keyword&gt;&lt;/keywords&gt;&lt;dates&gt;&lt;year&gt;2010&lt;/year&gt;&lt;pub-dates&gt;&lt;date&gt;2010/01/01/&lt;/date&gt;&lt;/pub-dates&gt;&lt;/dates&gt;&lt;isbn&gt;1877-0428&lt;/isbn&gt;&lt;urls&gt;&lt;related-urls&gt;&lt;url&gt;http://www.sciencedirect.com/science/article/pii/S1877042810010827&lt;/url&gt;&lt;url&gt;https://ac.els-cdn.com/S1877042810010827/1-s2.0-S1877042810010827-main.pdf?_tid=cc3f2443-f811-446f-a7ba-0e1fb3645109&amp;amp;acdnat=1544012059_6bde41e7ddc03b8e9f2252a733ede604&lt;/url&gt;&lt;/related-urls&gt;&lt;/urls&gt;&lt;electronic-resource-num&gt;https://doi.org/10.1016/j.sbspro.2010.04.029&lt;/electronic-resource-num&gt;&lt;/record&gt;&lt;/Cite&gt;&lt;/EndNote&gt;</w:instrText>
      </w:r>
      <w:r>
        <w:rPr>
          <w:noProof/>
        </w:rPr>
        <w:fldChar w:fldCharType="separate"/>
      </w:r>
      <w:r w:rsidR="00B10448">
        <w:rPr>
          <w:noProof/>
        </w:rPr>
        <w:t>van Duin et al. (2010)</w:t>
      </w:r>
      <w:r>
        <w:rPr>
          <w:noProof/>
        </w:rPr>
        <w:fldChar w:fldCharType="end"/>
      </w:r>
      <w:r w:rsidR="0071798B" w:rsidRPr="00A96AC5">
        <w:rPr>
          <w:rFonts w:cs="Times New Roman"/>
        </w:rPr>
        <w:t xml:space="preserve"> highlight eco-vehicles as the key success factor for UCC projects, as this tool can further improve the environmental performance of the UCC. In the London case</w:t>
      </w:r>
      <w:r w:rsidR="008A3F4A">
        <w:rPr>
          <w:rFonts w:cs="Times New Roman"/>
        </w:rPr>
        <w:t>,</w:t>
      </w:r>
      <w:r w:rsidR="0071798B" w:rsidRPr="00A96AC5">
        <w:rPr>
          <w:rFonts w:cs="Times New Roman"/>
        </w:rPr>
        <w:t xml:space="preserve"> studied by </w:t>
      </w:r>
      <w:r w:rsidR="0071798B" w:rsidRPr="00A96AC5">
        <w:rPr>
          <w:rFonts w:cs="Times New Roman"/>
          <w:noProof/>
        </w:rPr>
        <w:t>Browne et al. (2011)</w:t>
      </w:r>
      <w:r w:rsidR="0071798B" w:rsidRPr="00A96AC5">
        <w:rPr>
          <w:rFonts w:cs="Times New Roman"/>
        </w:rPr>
        <w:t xml:space="preserve">, EVs reduced fuel utilisation and air pollution. </w:t>
      </w:r>
      <w:r w:rsidR="002072E7">
        <w:rPr>
          <w:noProof/>
        </w:rPr>
        <w:t>Simoni et al. (2018)</w:t>
      </w:r>
      <w:r w:rsidR="0071798B" w:rsidRPr="00A96AC5">
        <w:rPr>
          <w:rFonts w:cs="Times New Roman"/>
        </w:rPr>
        <w:t xml:space="preserve"> illustrate that the EV’s technical features (speed, capacity, operational costs) make the vehicle suitable for delivery in congest</w:t>
      </w:r>
      <w:r w:rsidR="00CE1CF6">
        <w:rPr>
          <w:rFonts w:cs="Times New Roman"/>
        </w:rPr>
        <w:t xml:space="preserve">ed </w:t>
      </w:r>
      <w:r w:rsidR="0071798B" w:rsidRPr="00A96AC5">
        <w:rPr>
          <w:rFonts w:cs="Times New Roman"/>
        </w:rPr>
        <w:t>areas. Owing to restrictions on loading capacity and battery life, EVs increase operational costs for long-distance route</w:t>
      </w:r>
      <w:r w:rsidR="00AA247A">
        <w:rPr>
          <w:rFonts w:cs="Times New Roman"/>
        </w:rPr>
        <w:t>s</w:t>
      </w:r>
      <w:r w:rsidR="0071798B" w:rsidRPr="00A96AC5">
        <w:rPr>
          <w:rFonts w:cs="Times New Roman"/>
        </w:rPr>
        <w:t xml:space="preserve"> </w:t>
      </w:r>
      <w:r>
        <w:rPr>
          <w:noProof/>
        </w:rPr>
        <w:fldChar w:fldCharType="begin"/>
      </w:r>
      <w:r w:rsidR="00647E79">
        <w:rPr>
          <w:noProof/>
        </w:rPr>
        <w:instrText xml:space="preserve"> ADDIN EN.CITE &lt;EndNote&gt;&lt;Cite&gt;&lt;Author&gt;Lebeau&lt;/Author&gt;&lt;Year&gt;2015&lt;/Year&gt;&lt;RecNum&gt;80&lt;/RecNum&gt;&lt;DisplayText&gt;(Lebeau et al., 2015)&lt;/DisplayText&gt;&lt;record&gt;&lt;rec-number&gt;80&lt;/rec-number&gt;&lt;foreign-keys&gt;&lt;key app="EN" db-id="pzt5ep52hsedfpeext2pdfes0w0aswaewef2" timestamp="1605187993"&gt;80&lt;/key&gt;&lt;/foreign-keys&gt;&lt;ref-type name="Journal Article"&gt;17&lt;/ref-type&gt;&lt;contributors&gt;&lt;authors&gt;&lt;author&gt;Lebeau, Philippe&lt;/author&gt;&lt;author&gt;De Cauwer, Cedric&lt;/author&gt;&lt;author&gt;Van Mierlo, Joeri&lt;/author&gt;&lt;author&gt;Macharis, Cathy&lt;/author&gt;&lt;author&gt;Verbeke, Wouter&lt;/author&gt;&lt;author&gt;Coosemans, Thierry&lt;/author&gt;&lt;/authors&gt;&lt;/contributors&gt;&lt;titles&gt;&lt;title&gt;Conventional, hybrid, or electric vehicles: which technology for an urban distribution centre?&lt;/title&gt;&lt;secondary-title&gt;The Scientific World Journal&lt;/secondary-title&gt;&lt;/titles&gt;&lt;periodical&gt;&lt;full-title&gt;The Scientific World Journal&lt;/full-title&gt;&lt;/periodical&gt;&lt;volume&gt;2015&lt;/volume&gt;&lt;dates&gt;&lt;year&gt;2015&lt;/year&gt;&lt;/dates&gt;&lt;isbn&gt;2356-6140&lt;/isbn&gt;&lt;urls&gt;&lt;/urls&gt;&lt;research-notes&gt;121&lt;/research-notes&gt;&lt;/record&gt;&lt;/Cite&gt;&lt;/EndNote&gt;</w:instrText>
      </w:r>
      <w:r>
        <w:rPr>
          <w:noProof/>
        </w:rPr>
        <w:fldChar w:fldCharType="separate"/>
      </w:r>
      <w:r>
        <w:rPr>
          <w:noProof/>
        </w:rPr>
        <w:t>(Lebeau et al., 2015)</w:t>
      </w:r>
      <w:r>
        <w:rPr>
          <w:noProof/>
        </w:rPr>
        <w:fldChar w:fldCharType="end"/>
      </w:r>
      <w:r w:rsidR="0071798B" w:rsidRPr="00A96AC5">
        <w:rPr>
          <w:rFonts w:cs="Times New Roman"/>
        </w:rPr>
        <w:t>. The hybrid vehicle has shown promise for resolving these issues, having the potential to promote higher cost savings and lower emission</w:t>
      </w:r>
      <w:r w:rsidR="00AE703D">
        <w:rPr>
          <w:rFonts w:cs="Times New Roman"/>
        </w:rPr>
        <w:t>s</w:t>
      </w:r>
      <w:r w:rsidR="0071798B" w:rsidRPr="00A96AC5">
        <w:rPr>
          <w:rFonts w:cs="Times New Roman"/>
        </w:rPr>
        <w:t xml:space="preserve"> </w:t>
      </w:r>
      <w:r w:rsidR="00AE61CE">
        <w:rPr>
          <w:noProof/>
        </w:rPr>
        <w:t>(Lebeau et al., 2015)</w:t>
      </w:r>
      <w:r w:rsidR="0071798B" w:rsidRPr="00A96AC5">
        <w:rPr>
          <w:rFonts w:cs="Times New Roman"/>
        </w:rPr>
        <w:t xml:space="preserve">. </w:t>
      </w:r>
    </w:p>
    <w:p w14:paraId="517CBEC4" w14:textId="77777777" w:rsidR="0071798B" w:rsidRPr="00A96AC5" w:rsidRDefault="0071798B" w:rsidP="000A4E8C">
      <w:pPr>
        <w:pStyle w:val="Heading3"/>
        <w:spacing w:line="360" w:lineRule="auto"/>
        <w:rPr>
          <w:rFonts w:cs="Times New Roman"/>
        </w:rPr>
      </w:pPr>
      <w:bookmarkStart w:id="388" w:name="_Toc34734503"/>
      <w:bookmarkStart w:id="389" w:name="_Toc46053421"/>
      <w:bookmarkStart w:id="390" w:name="_Toc46093335"/>
      <w:bookmarkStart w:id="391" w:name="_Toc46093618"/>
      <w:bookmarkStart w:id="392" w:name="_Toc66703193"/>
      <w:r w:rsidRPr="00A96AC5">
        <w:rPr>
          <w:rFonts w:cs="Times New Roman"/>
        </w:rPr>
        <w:t>Environmental and social performance</w:t>
      </w:r>
      <w:bookmarkEnd w:id="388"/>
      <w:bookmarkEnd w:id="389"/>
      <w:bookmarkEnd w:id="390"/>
      <w:bookmarkEnd w:id="391"/>
      <w:bookmarkEnd w:id="392"/>
    </w:p>
    <w:p w14:paraId="03256151" w14:textId="7023DA41" w:rsidR="004D661A" w:rsidRDefault="0071798B" w:rsidP="00D30CE8">
      <w:pPr>
        <w:spacing w:after="240" w:line="360" w:lineRule="auto"/>
        <w:rPr>
          <w:rFonts w:cs="Times New Roman"/>
        </w:rPr>
      </w:pPr>
      <w:r w:rsidRPr="00A96AC5">
        <w:rPr>
          <w:rFonts w:cs="Times New Roman"/>
        </w:rPr>
        <w:t xml:space="preserve">To the best </w:t>
      </w:r>
      <w:r w:rsidR="00AE703D">
        <w:rPr>
          <w:rFonts w:cs="Times New Roman"/>
        </w:rPr>
        <w:t xml:space="preserve">of </w:t>
      </w:r>
      <w:r w:rsidRPr="00A96AC5">
        <w:rPr>
          <w:rFonts w:cs="Times New Roman"/>
        </w:rPr>
        <w:t xml:space="preserve">our knowledge, </w:t>
      </w:r>
      <w:r w:rsidR="00A67CFB">
        <w:rPr>
          <w:rFonts w:cs="Times New Roman"/>
          <w:noProof/>
        </w:rPr>
        <w:fldChar w:fldCharType="begin"/>
      </w:r>
      <w:r w:rsidR="00CA2D5D">
        <w:rPr>
          <w:rFonts w:cs="Times New Roman"/>
          <w:noProof/>
        </w:rPr>
        <w:instrText xml:space="preserve"> ADDIN EN.CITE &lt;EndNote&gt;&lt;Cite AuthorYear="1"&gt;&lt;Author&gt;Browne&lt;/Author&gt;&lt;Year&gt;2007&lt;/Year&gt;&lt;RecNum&gt;200&lt;/RecNum&gt;&lt;DisplayText&gt;Browne et al. (2007)&lt;/DisplayText&gt;&lt;record&gt;&lt;rec-number&gt;200&lt;/rec-number&gt;&lt;foreign-keys&gt;&lt;key app="EN" db-id="x5etaz5aiszvz0edasvvpwvotttxepvd25t2" timestamp="1611177410"&gt;200&lt;/key&gt;&lt;/foreign-keys&gt;&lt;ref-type name="Journal Article"&gt;17&lt;/ref-type&gt;&lt;contributors&gt;&lt;authors&gt;&lt;author&gt;Browne, M.&lt;/author&gt;&lt;author&gt;Woodburn, A.&lt;/author&gt;&lt;author&gt;Allen, J.&lt;/author&gt;&lt;/authors&gt;&lt;/contributors&gt;&lt;titles&gt;&lt;title&gt;Evaluating the potential for urban consolidation centres&lt;/title&gt;&lt;secondary-title&gt;European Transport&lt;/secondary-title&gt;&lt;/titles&gt;&lt;periodical&gt;&lt;full-title&gt;European Transport&lt;/full-title&gt;&lt;/periodical&gt;&lt;pages&gt;46-63&lt;/pages&gt;&lt;volume&gt;35&lt;/volume&gt;&lt;dates&gt;&lt;year&gt;2007&lt;/year&gt;&lt;/dates&gt;&lt;urls&gt;&lt;/urls&gt;&lt;/record&gt;&lt;/Cite&gt;&lt;/EndNote&gt;</w:instrText>
      </w:r>
      <w:r w:rsidR="00A67CFB">
        <w:rPr>
          <w:rFonts w:cs="Times New Roman"/>
          <w:noProof/>
        </w:rPr>
        <w:fldChar w:fldCharType="separate"/>
      </w:r>
      <w:r w:rsidR="00A67CFB">
        <w:rPr>
          <w:rFonts w:cs="Times New Roman"/>
          <w:noProof/>
        </w:rPr>
        <w:t>Browne et al. (2007)</w:t>
      </w:r>
      <w:r w:rsidR="00A67CFB">
        <w:rPr>
          <w:rFonts w:cs="Times New Roman"/>
          <w:noProof/>
        </w:rPr>
        <w:fldChar w:fldCharType="end"/>
      </w:r>
      <w:r w:rsidRPr="00A96AC5">
        <w:rPr>
          <w:rFonts w:cs="Times New Roman"/>
        </w:rPr>
        <w:t xml:space="preserve"> conducted the first comprehensive UCC evaluation work based on four categories of indicators: (1) performance of logistics and supply chain changes, (2) social and environmental impact of UCC vehicle activity, (3) vehicle activity, and (4) goods operating activity. </w:t>
      </w:r>
      <w:r w:rsidR="00A67CFB">
        <w:rPr>
          <w:noProof/>
        </w:rPr>
        <w:fldChar w:fldCharType="begin"/>
      </w:r>
      <w:r w:rsidR="00647E79">
        <w:rPr>
          <w:noProof/>
        </w:rPr>
        <w:instrText xml:space="preserve"> ADDIN EN.CITE &lt;EndNote&gt;&lt;Cite AuthorYear="1"&gt;&lt;Author&gt;Patier&lt;/Author&gt;&lt;Year&gt;2010&lt;/Year&gt;&lt;RecNum&gt;96&lt;/RecNum&gt;&lt;DisplayText&gt;Patier and Browne (2010)&lt;/DisplayText&gt;&lt;record&gt;&lt;rec-number&gt;96&lt;/rec-number&gt;&lt;foreign-keys&gt;&lt;key app="EN" db-id="pzt5ep52hsedfpeext2pdfes0w0aswaewef2" timestamp="1605187993"&gt;96&lt;/key&gt;&lt;/foreign-keys&gt;&lt;ref-type name="Journal Article"&gt;17&lt;/ref-type&gt;&lt;contributors&gt;&lt;authors&gt;&lt;author&gt;Patier, Danièle&lt;/author&gt;&lt;author&gt;Browne, Michael&lt;/author&gt;&lt;/authors&gt;&lt;/contributors&gt;&lt;titles&gt;&lt;title&gt;A methodology for the evaluation of urban logistics innovations&lt;/title&gt;&lt;secondary-title&gt;Procedia - Social and Behavioral Sciences&lt;/secondary-title&gt;&lt;/titles&gt;&lt;periodical&gt;&lt;full-title&gt;Procedia - Social and Behavioral Sciences&lt;/full-title&gt;&lt;/periodical&gt;&lt;pages&gt;6229-6241&lt;/pages&gt;&lt;volume&gt;2&lt;/volume&gt;&lt;number&gt;3&lt;/number&gt;&lt;keywords&gt;&lt;keyword&gt;Evaluation&lt;/keyword&gt;&lt;keyword&gt;projects&lt;/keyword&gt;&lt;keyword&gt;innovations&lt;/keyword&gt;&lt;keyword&gt;urban goods&lt;/keyword&gt;&lt;/keywords&gt;&lt;dates&gt;&lt;year&gt;2010&lt;/year&gt;&lt;pub-dates&gt;&lt;date&gt;2010/01/01/&lt;/date&gt;&lt;/pub-dates&gt;&lt;/dates&gt;&lt;isbn&gt;1877-0428&lt;/isbn&gt;&lt;urls&gt;&lt;related-urls&gt;&lt;url&gt;http://www.sciencedirect.com/science/article/pii/S1877042810010864&lt;/url&gt;&lt;/related-urls&gt;&lt;/urls&gt;&lt;electronic-resource-num&gt;https://doi.org/10.1016/j.sbspro.2010.04.033&lt;/electronic-resource-num&gt;&lt;/record&gt;&lt;/Cite&gt;&lt;/EndNote&gt;</w:instrText>
      </w:r>
      <w:r w:rsidR="00A67CFB">
        <w:rPr>
          <w:noProof/>
        </w:rPr>
        <w:fldChar w:fldCharType="separate"/>
      </w:r>
      <w:r w:rsidR="002D7502">
        <w:rPr>
          <w:noProof/>
        </w:rPr>
        <w:t>Patier and Browne (2010)</w:t>
      </w:r>
      <w:r w:rsidR="00A67CFB">
        <w:rPr>
          <w:noProof/>
        </w:rPr>
        <w:fldChar w:fldCharType="end"/>
      </w:r>
      <w:r w:rsidRPr="00A96AC5">
        <w:rPr>
          <w:rFonts w:cs="Times New Roman"/>
        </w:rPr>
        <w:t xml:space="preserve"> propose a systematic framework of economic, environmental, and social indicators</w:t>
      </w:r>
      <w:r w:rsidRPr="00A96AC5" w:rsidDel="006B64C5">
        <w:rPr>
          <w:rFonts w:cs="Times New Roman"/>
        </w:rPr>
        <w:t xml:space="preserve"> </w:t>
      </w:r>
      <w:r w:rsidRPr="00A96AC5">
        <w:rPr>
          <w:rFonts w:cs="Times New Roman"/>
        </w:rPr>
        <w:t xml:space="preserve">for UCC performance evaluation. Their study used a scoring approach to assess the quality of the evaluation results of </w:t>
      </w:r>
      <w:r w:rsidR="003704AE">
        <w:rPr>
          <w:rFonts w:cs="Times New Roman"/>
        </w:rPr>
        <w:t xml:space="preserve">the </w:t>
      </w:r>
      <w:r w:rsidRPr="00A96AC5">
        <w:rPr>
          <w:rFonts w:cs="Times New Roman"/>
        </w:rPr>
        <w:t>Bristol</w:t>
      </w:r>
      <w:r w:rsidR="003704AE">
        <w:rPr>
          <w:rFonts w:cs="Times New Roman"/>
        </w:rPr>
        <w:t xml:space="preserve"> </w:t>
      </w:r>
      <w:r w:rsidRPr="00A96AC5">
        <w:rPr>
          <w:rFonts w:cs="Times New Roman"/>
        </w:rPr>
        <w:t>-</w:t>
      </w:r>
      <w:r w:rsidR="003704AE">
        <w:rPr>
          <w:rFonts w:cs="Times New Roman"/>
        </w:rPr>
        <w:t xml:space="preserve"> </w:t>
      </w:r>
      <w:r w:rsidRPr="00A96AC5">
        <w:rPr>
          <w:rFonts w:cs="Times New Roman"/>
        </w:rPr>
        <w:t xml:space="preserve">Bath UCC, as well as identifying the important indicators to be considered. </w:t>
      </w:r>
      <w:r w:rsidR="00A67CFB">
        <w:rPr>
          <w:noProof/>
        </w:rPr>
        <w:fldChar w:fldCharType="begin"/>
      </w:r>
      <w:r w:rsidR="00647E79">
        <w:rPr>
          <w:noProof/>
        </w:rPr>
        <w:instrText xml:space="preserve"> ADDIN EN.CITE &lt;EndNote&gt;&lt;Cite AuthorYear="1"&gt;&lt;Author&gt;Gonzalez-Feliu&lt;/Author&gt;&lt;Year&gt;2014&lt;/Year&gt;&lt;RecNum&gt;200&lt;/RecNum&gt;&lt;DisplayText&gt;Gonzalez-Feliu and Morana (2014)&lt;/DisplayText&gt;&lt;record&gt;&lt;rec-number&gt;200&lt;/rec-number&gt;&lt;foreign-keys&gt;&lt;key app="EN" db-id="pzt5ep52hsedfpeext2pdfes0w0aswaewef2" timestamp="1605187996"&gt;200&lt;/key&gt;&lt;/foreign-keys&gt;&lt;ref-type name="Serial"&gt;57&lt;/ref-type&gt;&lt;contributors&gt;&lt;authors&gt;&lt;author&gt;Gonzalez-Feliu, J.&lt;/author&gt;&lt;author&gt;Morana, J.&lt;/author&gt;&lt;/authors&gt;&lt;/contributors&gt;&lt;auth-address&gt;Centre National de la Recherche Scientifique, Lyon, France&amp;#xD;Université Lyon 2, Lyon, France&lt;/auth-address&gt;&lt;titles&gt;&lt;title&gt;Assessing urban logistics pooling sustainability via a hierarchic dashboard from a group decision perspective&lt;/title&gt;&lt;secondary-title&gt;Transport and Sustainability&lt;/secondary-title&gt;&lt;alt-title&gt;Transp. Sustain.&lt;/alt-title&gt;&lt;/titles&gt;&lt;pages&gt;113-135&lt;/pages&gt;&lt;volume&gt;6&lt;/volume&gt;&lt;keywords&gt;&lt;keyword&gt;Consensus&lt;/keyword&gt;&lt;keyword&gt;Group decision support&lt;/keyword&gt;&lt;keyword&gt;Logistics pooling&lt;/keyword&gt;&lt;keyword&gt;Sustainable development&lt;/keyword&gt;&lt;keyword&gt;Urban distribution&lt;/keyword&gt;&lt;/keywords&gt;&lt;dates&gt;&lt;year&gt;2014&lt;/year&gt;&lt;/dates&gt;&lt;publisher&gt;Emerald Group Publishing Ltd.&lt;/publisher&gt;&lt;isbn&gt;20449941 (ISSN)&lt;/isbn&gt;&lt;work-type&gt;Article&lt;/work-type&gt;&lt;urls&gt;&lt;related-urls&gt;&lt;url&gt;https://www.scopus.com/inward/record.uri?eid=2-s2.0-84908332642&amp;amp;doi=10.1108%2fS2044-994120140000006004&amp;amp;partnerID=40&amp;amp;md5=11156cbf456e36d617316ea67bceb2a8&lt;/url&gt;&lt;url&gt;http://www.emeraldinsight.com/doi/pdfplus/10.1108/S2044-994120140000006004&lt;/url&gt;&lt;/related-urls&gt;&lt;/urls&gt;&lt;electronic-resource-num&gt;10.1108/S2044-994120140000006004&lt;/electronic-resource-num&gt;&lt;remote-database-name&gt;Scopus&lt;/remote-database-name&gt;&lt;language&gt;English&lt;/language&gt;&lt;/record&gt;&lt;/Cite&gt;&lt;/EndNote&gt;</w:instrText>
      </w:r>
      <w:r w:rsidR="00A67CFB">
        <w:rPr>
          <w:noProof/>
        </w:rPr>
        <w:fldChar w:fldCharType="separate"/>
      </w:r>
      <w:r w:rsidR="003031E2">
        <w:rPr>
          <w:noProof/>
        </w:rPr>
        <w:t>Gonzalez-Feliu and Morana (2014)</w:t>
      </w:r>
      <w:r w:rsidR="00A67CFB">
        <w:rPr>
          <w:noProof/>
        </w:rPr>
        <w:fldChar w:fldCharType="end"/>
      </w:r>
      <w:r w:rsidR="007D743A">
        <w:t xml:space="preserve"> </w:t>
      </w:r>
      <w:r w:rsidRPr="00A96AC5">
        <w:rPr>
          <w:rFonts w:cs="Times New Roman"/>
        </w:rPr>
        <w:t xml:space="preserve">filtered the primary sustainability indicators from an overview of the literature, categorising them as the </w:t>
      </w:r>
      <w:r w:rsidR="005363DD">
        <w:rPr>
          <w:rFonts w:cs="Times New Roman"/>
        </w:rPr>
        <w:t>‘</w:t>
      </w:r>
      <w:r w:rsidRPr="00A96AC5">
        <w:rPr>
          <w:rFonts w:cs="Times New Roman"/>
        </w:rPr>
        <w:t>4As</w:t>
      </w:r>
      <w:r w:rsidR="005363DD">
        <w:rPr>
          <w:rFonts w:cs="Times New Roman"/>
        </w:rPr>
        <w:t>’ of</w:t>
      </w:r>
      <w:r w:rsidRPr="00A96AC5">
        <w:rPr>
          <w:rFonts w:cs="Times New Roman"/>
        </w:rPr>
        <w:t xml:space="preserve"> sustainable transport vision: awareness, act and shift, avoidance, and anticipation. Based on the indicators, they implemented a two-phase group decision-making process to measure the pooling solution of logistics under multiple stakeholders’ collaborative framework. In the research of UCC location selection, </w:t>
      </w:r>
      <w:r w:rsidR="00A67CFB">
        <w:rPr>
          <w:noProof/>
        </w:rPr>
        <w:fldChar w:fldCharType="begin"/>
      </w:r>
      <w:r w:rsidR="00647E79">
        <w:rPr>
          <w:noProof/>
        </w:rPr>
        <w:instrText xml:space="preserve"> ADDIN EN.CITE &lt;EndNote&gt;&lt;Cite AuthorYear="1"&gt;&lt;Author&gt;Gogas&lt;/Author&gt;&lt;Year&gt;2017&lt;/Year&gt;&lt;RecNum&gt;226&lt;/RecNum&gt;&lt;DisplayText&gt;Gogas and Nathanail (2017)&lt;/DisplayText&gt;&lt;record&gt;&lt;rec-number&gt;226&lt;/rec-number&gt;&lt;foreign-keys&gt;&lt;key app="EN" db-id="pzt5ep52hsedfpeext2pdfes0w0aswaewef2" timestamp="1605187997"&gt;226&lt;/key&gt;&lt;/foreign-keys&gt;&lt;ref-type name="Journal Article"&gt;17&lt;/ref-type&gt;&lt;contributors&gt;&lt;authors&gt;&lt;author&gt;Gogas, Michael A&lt;/author&gt;&lt;author&gt;Nathanail, Eftihia&lt;/author&gt;&lt;/authors&gt;&lt;/contributors&gt;&lt;titles&gt;&lt;title&gt;Evaluation of Urban Consolidation Centers: A Methodological Framework&lt;/title&gt;&lt;secondary-title&gt;Procedia Engineering&lt;/secondary-title&gt;&lt;/titles&gt;&lt;periodical&gt;&lt;full-title&gt;Procedia Engineering&lt;/full-title&gt;&lt;/periodical&gt;&lt;pages&gt;461-471&lt;/pages&gt;&lt;volume&gt;178&lt;/volume&gt;&lt;dates&gt;&lt;year&gt;2017&lt;/year&gt;&lt;/dates&gt;&lt;isbn&gt;1877-7058&lt;/isbn&gt;&lt;urls&gt;&lt;/urls&gt;&lt;/record&gt;&lt;/Cite&gt;&lt;/EndNote&gt;</w:instrText>
      </w:r>
      <w:r w:rsidR="00A67CFB">
        <w:rPr>
          <w:noProof/>
        </w:rPr>
        <w:fldChar w:fldCharType="separate"/>
      </w:r>
      <w:r w:rsidR="00A52853">
        <w:rPr>
          <w:noProof/>
        </w:rPr>
        <w:t>Gogas and Nathanail (2017)</w:t>
      </w:r>
      <w:r w:rsidR="00A67CFB">
        <w:rPr>
          <w:noProof/>
        </w:rPr>
        <w:fldChar w:fldCharType="end"/>
      </w:r>
      <w:r w:rsidR="0059212C">
        <w:t xml:space="preserve"> </w:t>
      </w:r>
      <w:r w:rsidRPr="00A96AC5">
        <w:rPr>
          <w:rFonts w:cs="Times New Roman"/>
        </w:rPr>
        <w:t>propose a framework of indicators to achieve optimum solutions from the perspective of economic, environmental, and social concerns. Their indicators can also be used in an MCDM process to consider the different attributes of the various stakeholders.</w:t>
      </w:r>
    </w:p>
    <w:p w14:paraId="4E918F55" w14:textId="1169AD6C" w:rsidR="00330BA9" w:rsidRDefault="0071798B" w:rsidP="00D30CE8">
      <w:pPr>
        <w:spacing w:after="240" w:line="360" w:lineRule="auto"/>
        <w:rPr>
          <w:rFonts w:cs="Times New Roman"/>
        </w:rPr>
      </w:pPr>
      <w:r w:rsidRPr="00A96AC5">
        <w:rPr>
          <w:rFonts w:cs="Times New Roman"/>
        </w:rPr>
        <w:t>It is clear that establishing a UCC will improve the environmental and social performance of urban delivery</w:t>
      </w:r>
      <w:r w:rsidR="004D661A">
        <w:rPr>
          <w:rFonts w:cs="Times New Roman"/>
        </w:rPr>
        <w:t xml:space="preserve"> </w:t>
      </w:r>
      <w:r w:rsidR="00A67CFB">
        <w:rPr>
          <w:rFonts w:cs="Times New Roman"/>
          <w:noProof/>
        </w:rPr>
        <w:fldChar w:fldCharType="begin"/>
      </w:r>
      <w:r w:rsidR="00CA2D5D">
        <w:rPr>
          <w:rFonts w:cs="Times New Roman"/>
          <w:noProof/>
        </w:rPr>
        <w:instrText xml:space="preserve"> ADDIN EN.CITE &lt;EndNote&gt;&lt;Cite&gt;&lt;Author&gt;Browne&lt;/Author&gt;&lt;Year&gt;2005&lt;/Year&gt;&lt;RecNum&gt;194&lt;/RecNum&gt;&lt;DisplayText&gt;(Browne et al., 2005)&lt;/DisplayText&gt;&lt;record&gt;&lt;rec-number&gt;194&lt;/rec-number&gt;&lt;foreign-keys&gt;&lt;key app="EN" db-id="x5etaz5aiszvz0edasvvpwvotttxepvd25t2" timestamp="1611177410"&gt;194&lt;/key&gt;&lt;/foreign-keys&gt;&lt;ref-type name="Journal Article"&gt;17&lt;/ref-type&gt;&lt;contributors&gt;&lt;authors&gt;&lt;author&gt;Browne, Michael&lt;/author&gt;&lt;author&gt;Sweet, Michael&lt;/author&gt;&lt;author&gt;Woodburn, Allan&lt;/author&gt;&lt;author&gt;Allen, Julian&lt;/author&gt;&lt;/authors&gt;&lt;/contributors&gt;&lt;titles&gt;&lt;title&gt;Urban freight consolidation centres final report&lt;/title&gt;&lt;secondary-title&gt;Transport Studies Group, University of Westminster&lt;/secondary-title&gt;&lt;/titles&gt;&lt;periodical&gt;&lt;full-title&gt;Transport Studies Group, University of Westminster&lt;/full-title&gt;&lt;/periodical&gt;&lt;volume&gt;10&lt;/volume&gt;&lt;dates&gt;&lt;year&gt;2005&lt;/year&gt;&lt;/dates&gt;&lt;urls&gt;&lt;/urls&gt;&lt;/record&gt;&lt;/Cite&gt;&lt;/EndNote&gt;</w:instrText>
      </w:r>
      <w:r w:rsidR="00A67CFB">
        <w:rPr>
          <w:rFonts w:cs="Times New Roman"/>
          <w:noProof/>
        </w:rPr>
        <w:fldChar w:fldCharType="separate"/>
      </w:r>
      <w:r w:rsidR="00A67CFB">
        <w:rPr>
          <w:rFonts w:cs="Times New Roman"/>
          <w:noProof/>
        </w:rPr>
        <w:t>(Browne et al., 2005)</w:t>
      </w:r>
      <w:r w:rsidR="00A67CFB">
        <w:rPr>
          <w:rFonts w:cs="Times New Roman"/>
          <w:noProof/>
        </w:rPr>
        <w:fldChar w:fldCharType="end"/>
      </w:r>
      <w:r w:rsidR="00F05246">
        <w:rPr>
          <w:rFonts w:cs="Times New Roman"/>
          <w:noProof/>
        </w:rPr>
        <w:t xml:space="preserve">. </w:t>
      </w:r>
      <w:r w:rsidRPr="008903D1">
        <w:rPr>
          <w:rFonts w:cs="Times New Roman"/>
        </w:rPr>
        <w:fldChar w:fldCharType="begin"/>
      </w:r>
      <w:r w:rsidRPr="00A96AC5">
        <w:rPr>
          <w:rFonts w:cs="Times New Roman"/>
        </w:rPr>
        <w:instrText xml:space="preserve"> REF _Ref26910924 \h </w:instrText>
      </w:r>
      <w:r w:rsidR="008903D1">
        <w:rPr>
          <w:rFonts w:cs="Times New Roman"/>
        </w:rPr>
        <w:instrText xml:space="preserve"> \* MERGEFORMAT </w:instrText>
      </w:r>
      <w:r w:rsidRPr="008903D1">
        <w:rPr>
          <w:rFonts w:cs="Times New Roman"/>
        </w:rPr>
      </w:r>
      <w:r w:rsidRPr="008903D1">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2</w:t>
      </w:r>
      <w:r w:rsidR="0005064B">
        <w:rPr>
          <w:rFonts w:cs="Times New Roman"/>
          <w:noProof/>
        </w:rPr>
        <w:noBreakHyphen/>
        <w:t>13</w:t>
      </w:r>
      <w:r w:rsidRPr="008903D1">
        <w:rPr>
          <w:rFonts w:cs="Times New Roman"/>
        </w:rPr>
        <w:fldChar w:fldCharType="end"/>
      </w:r>
      <w:r w:rsidRPr="008903D1">
        <w:rPr>
          <w:rFonts w:cs="Times New Roman"/>
        </w:rPr>
        <w:t xml:space="preserve"> shows the environmental and social criteria </w:t>
      </w:r>
      <w:r w:rsidRPr="008903D1">
        <w:rPr>
          <w:rFonts w:cs="Times New Roman"/>
        </w:rPr>
        <w:lastRenderedPageBreak/>
        <w:t xml:space="preserve">focused on </w:t>
      </w:r>
      <w:r w:rsidR="009F78F9">
        <w:rPr>
          <w:rFonts w:cs="Times New Roman"/>
        </w:rPr>
        <w:t xml:space="preserve">in </w:t>
      </w:r>
      <w:r w:rsidRPr="008903D1">
        <w:rPr>
          <w:rFonts w:cs="Times New Roman"/>
        </w:rPr>
        <w:t>existing research</w:t>
      </w:r>
      <w:r w:rsidR="00500AB3">
        <w:rPr>
          <w:rFonts w:cs="Times New Roman"/>
        </w:rPr>
        <w:t>, which indicates</w:t>
      </w:r>
      <w:r w:rsidR="00E16294">
        <w:rPr>
          <w:rFonts w:cs="Times New Roman"/>
        </w:rPr>
        <w:t xml:space="preserve"> </w:t>
      </w:r>
      <w:r w:rsidR="00500AB3">
        <w:rPr>
          <w:rFonts w:cs="Times New Roman"/>
        </w:rPr>
        <w:t>the</w:t>
      </w:r>
      <w:r w:rsidR="00F05246">
        <w:rPr>
          <w:rFonts w:cs="Times New Roman"/>
        </w:rPr>
        <w:t xml:space="preserve"> potential</w:t>
      </w:r>
      <w:r w:rsidR="00500AB3">
        <w:rPr>
          <w:rFonts w:cs="Times New Roman"/>
        </w:rPr>
        <w:t xml:space="preserve"> </w:t>
      </w:r>
      <w:r w:rsidR="00F05246">
        <w:rPr>
          <w:rFonts w:cs="Times New Roman"/>
        </w:rPr>
        <w:t>achievement</w:t>
      </w:r>
      <w:r w:rsidR="00E16294">
        <w:rPr>
          <w:rFonts w:cs="Times New Roman"/>
        </w:rPr>
        <w:t>s</w:t>
      </w:r>
      <w:r w:rsidR="00F05246">
        <w:rPr>
          <w:rFonts w:cs="Times New Roman"/>
        </w:rPr>
        <w:t xml:space="preserve"> </w:t>
      </w:r>
      <w:r w:rsidR="00500AB3">
        <w:rPr>
          <w:rFonts w:cs="Times New Roman"/>
        </w:rPr>
        <w:t>of UCCs</w:t>
      </w:r>
      <w:r w:rsidR="00F05246">
        <w:rPr>
          <w:rFonts w:cs="Times New Roman"/>
        </w:rPr>
        <w:t xml:space="preserve"> </w:t>
      </w:r>
      <w:r w:rsidR="00E16294">
        <w:rPr>
          <w:rFonts w:cs="Times New Roman"/>
        </w:rPr>
        <w:t xml:space="preserve">with respect to </w:t>
      </w:r>
      <w:r w:rsidR="00F05246">
        <w:rPr>
          <w:rFonts w:cs="Times New Roman"/>
        </w:rPr>
        <w:t>environmental and social dimensions</w:t>
      </w:r>
      <w:r w:rsidR="00500AB3">
        <w:rPr>
          <w:rFonts w:cs="Times New Roman"/>
        </w:rPr>
        <w:t>.</w:t>
      </w:r>
    </w:p>
    <w:p w14:paraId="67647D99" w14:textId="77777777" w:rsidR="00777A86" w:rsidRPr="004D661A" w:rsidRDefault="00777A86" w:rsidP="00D30CE8">
      <w:pPr>
        <w:spacing w:after="240" w:line="360" w:lineRule="auto"/>
        <w:rPr>
          <w:rFonts w:cs="Times New Roman"/>
        </w:rPr>
      </w:pPr>
    </w:p>
    <w:tbl>
      <w:tblPr>
        <w:tblStyle w:val="TableGrid"/>
        <w:tblW w:w="5000" w:type="pct"/>
        <w:tblLook w:val="04A0" w:firstRow="1" w:lastRow="0" w:firstColumn="1" w:lastColumn="0" w:noHBand="0" w:noVBand="1"/>
      </w:tblPr>
      <w:tblGrid>
        <w:gridCol w:w="2335"/>
        <w:gridCol w:w="6681"/>
      </w:tblGrid>
      <w:tr w:rsidR="0071798B" w:rsidRPr="008903D1" w14:paraId="52AD2E4F" w14:textId="77777777" w:rsidTr="00500AB3">
        <w:tc>
          <w:tcPr>
            <w:tcW w:w="1295" w:type="pct"/>
          </w:tcPr>
          <w:p w14:paraId="40FC9A9F" w14:textId="77777777" w:rsidR="0071798B" w:rsidRPr="00A96AC5" w:rsidRDefault="0071798B" w:rsidP="00D30CE8">
            <w:pPr>
              <w:spacing w:line="240" w:lineRule="auto"/>
              <w:jc w:val="center"/>
              <w:rPr>
                <w:rFonts w:cs="Times New Roman"/>
              </w:rPr>
            </w:pPr>
            <w:r w:rsidRPr="006C301D">
              <w:rPr>
                <w:rFonts w:cs="Times New Roman"/>
              </w:rPr>
              <w:t>Criteria</w:t>
            </w:r>
          </w:p>
        </w:tc>
        <w:tc>
          <w:tcPr>
            <w:tcW w:w="3705" w:type="pct"/>
          </w:tcPr>
          <w:p w14:paraId="35C49C4E" w14:textId="77777777" w:rsidR="0071798B" w:rsidRPr="00A96AC5" w:rsidRDefault="0071798B" w:rsidP="00D30CE8">
            <w:pPr>
              <w:spacing w:line="240" w:lineRule="auto"/>
              <w:jc w:val="center"/>
              <w:rPr>
                <w:rFonts w:cs="Times New Roman"/>
              </w:rPr>
            </w:pPr>
            <w:r w:rsidRPr="00A96AC5">
              <w:rPr>
                <w:rFonts w:cs="Times New Roman"/>
              </w:rPr>
              <w:t>Reference</w:t>
            </w:r>
          </w:p>
        </w:tc>
      </w:tr>
      <w:tr w:rsidR="001A4615" w:rsidRPr="008903D1" w14:paraId="2EAC8D31" w14:textId="77777777" w:rsidTr="00500AB3">
        <w:tc>
          <w:tcPr>
            <w:tcW w:w="1295" w:type="pct"/>
            <w:vAlign w:val="center"/>
          </w:tcPr>
          <w:p w14:paraId="58D65B99" w14:textId="77777777" w:rsidR="001A4615" w:rsidRPr="00802DC5" w:rsidRDefault="001A4615" w:rsidP="001A4615">
            <w:pPr>
              <w:spacing w:line="240" w:lineRule="auto"/>
              <w:jc w:val="left"/>
              <w:rPr>
                <w:rFonts w:cs="Times New Roman"/>
              </w:rPr>
            </w:pPr>
            <w:r w:rsidRPr="00737239">
              <w:rPr>
                <w:rFonts w:cs="Times New Roman"/>
              </w:rPr>
              <w:t>Air pollutant emission</w:t>
            </w:r>
          </w:p>
        </w:tc>
        <w:tc>
          <w:tcPr>
            <w:tcW w:w="3705" w:type="pct"/>
            <w:vAlign w:val="center"/>
          </w:tcPr>
          <w:p w14:paraId="5A7A5DEA" w14:textId="5388A744" w:rsidR="000B6A80" w:rsidRPr="000E0AA5" w:rsidRDefault="001A4615" w:rsidP="001A4615">
            <w:pPr>
              <w:spacing w:line="240" w:lineRule="auto"/>
              <w:jc w:val="left"/>
              <w:rPr>
                <w:lang w:val="fr-FR"/>
              </w:rPr>
            </w:pPr>
            <w:r>
              <w:fldChar w:fldCharType="begin"/>
            </w:r>
            <w:r w:rsidR="00647E79" w:rsidRPr="00E5436C">
              <w:rPr>
                <w:lang w:val="it-IT"/>
              </w:rPr>
              <w:instrText xml:space="preserve"> ADDIN EN.CITE &lt;EndNote&gt;&lt;Cite AuthorYear="1"&gt;&lt;Author&gt;Browne&lt;/Author&gt;&lt;Year&gt;2011&lt;/Year&gt;&lt;RecNum&gt;224&lt;/RecNum&gt;&lt;DisplayText&gt;Browne et al. (2011)&lt;/DisplayText&gt;&lt;record&gt;&lt;rec-number&gt;224&lt;/rec-number&gt;&lt;foreign-keys&gt;&lt;key app="EN" db-id="pzt5ep52hsedfpeext2pdfes0w0aswaewef2" timestamp="1605187997"&gt;224&lt;/key&gt;&lt;/foreign-keys&gt;&lt;ref-type name="Journal Article"&gt;17&lt;/ref-type&gt;&lt;contributors&gt;&lt;authors&gt;&lt;author&gt;Browne, Michael&lt;/author&gt;&lt;author&gt;Allen, Julian&lt;/author&gt;&lt;author&gt;Leonardi, Jacques&lt;/author&gt;&lt;/authors&gt;&lt;/contributors&gt;&lt;titles&gt;&lt;title&gt;Evaluating the use of an urban consolidation centre and electric vehicles in central London&lt;/title&gt;&lt;secondary-title&gt;IATSS research&lt;/secondary-title&gt;&lt;/titles&gt;&lt;periodical&gt;&lt;full-title&gt;IATSS research&lt;/full-title&gt;&lt;/periodical&gt;&lt;pages&gt;1-6&lt;/pages&gt;&lt;volume&gt;35&lt;/volume&gt;&lt;number&gt;1&lt;/number&gt;&lt;dates&gt;&lt;year&gt;2011&lt;/year&gt;&lt;/dates&gt;&lt;isbn&gt;0386-1112&lt;/isbn&gt;&lt;urls&gt;&lt;/urls&gt;&lt;/record&gt;&lt;/Cite&gt;&lt;/EndNote&gt;</w:instrText>
            </w:r>
            <w:r>
              <w:fldChar w:fldCharType="separate"/>
            </w:r>
            <w:r w:rsidRPr="00346FFA">
              <w:rPr>
                <w:noProof/>
                <w:lang w:val="fr-FR"/>
              </w:rPr>
              <w:t>Browne et al. (2011)</w:t>
            </w:r>
            <w:r>
              <w:fldChar w:fldCharType="end"/>
            </w:r>
            <w:r>
              <w:rPr>
                <w:lang w:val="fr-FR"/>
              </w:rPr>
              <w:t>;</w:t>
            </w:r>
            <w:r w:rsidRPr="00346FFA">
              <w:rPr>
                <w:lang w:val="fr-FR"/>
              </w:rPr>
              <w:t xml:space="preserve"> </w:t>
            </w:r>
            <w:r>
              <w:fldChar w:fldCharType="begin">
                <w:fldData xml:space="preserve">PEVuZE5vdGU+PENpdGUgQXV0aG9yWWVhcj0iMSI+PEF1dGhvcj5Db3JyZWlhPC9BdXRob3I+PFll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</w:fldData>
              </w:fldChar>
            </w:r>
            <w:r w:rsidR="00647E79" w:rsidRPr="00E5436C">
              <w:rPr>
                <w:lang w:val="it-IT"/>
              </w:rPr>
              <w:instrText xml:space="preserve"> ADDIN EN.CITE </w:instrText>
            </w:r>
            <w:r w:rsidR="00647E79">
              <w:fldChar w:fldCharType="begin">
                <w:fldData xml:space="preserve">PEVuZE5vdGU+PENpdGUgQXV0aG9yWWVhcj0iMSI+PEF1dGhvcj5Db3JyZWlhPC9BdXRob3I+PFll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</w:fldData>
              </w:fldChar>
            </w:r>
            <w:r w:rsidR="00647E79" w:rsidRPr="00E5436C">
              <w:rPr>
                <w:lang w:val="it-IT"/>
              </w:rPr>
              <w:instrText xml:space="preserve"> ADDIN EN.CITE.DATA </w:instrText>
            </w:r>
            <w:r w:rsidR="00647E79">
              <w:fldChar w:fldCharType="end"/>
            </w:r>
            <w:r>
              <w:fldChar w:fldCharType="separate"/>
            </w:r>
            <w:r w:rsidRPr="00346FFA">
              <w:rPr>
                <w:noProof/>
                <w:lang w:val="fr-FR"/>
              </w:rPr>
              <w:t>Correia et al. (2012)</w:t>
            </w:r>
            <w:r>
              <w:fldChar w:fldCharType="end"/>
            </w:r>
            <w:r>
              <w:rPr>
                <w:lang w:val="fr-FR"/>
              </w:rPr>
              <w:t>;</w:t>
            </w:r>
            <w:r w:rsidRPr="00346FFA">
              <w:rPr>
                <w:lang w:val="fr-FR"/>
              </w:rPr>
              <w:t xml:space="preserve"> </w:t>
            </w:r>
            <w:r>
              <w:fldChar w:fldCharType="begin"/>
            </w:r>
            <w:r w:rsidR="00647E79">
              <w:instrText xml:space="preserve"> ADDIN EN.CITE &lt;EndNote&gt;&lt;Cite AuthorYear="1"&gt;&lt;Author&gt;Gonzalez-Feliu&lt;/Author&gt;&lt;Year&gt;2014&lt;/Year&gt;&lt;RecNum&gt;200&lt;/RecNum&gt;&lt;DisplayText&gt;Gonzalez-Feliu and Morana (2014)&lt;/DisplayText&gt;&lt;record&gt;&lt;rec-number&gt;200&lt;/rec-number&gt;&lt;foreign-keys&gt;&lt;key app="EN" db-id="pzt5ep52hsedfpeext2pdfes0w0aswaewef2" timestamp="1605187996"&gt;200&lt;/key&gt;&lt;/foreign-keys&gt;&lt;ref-type name="Serial"&gt;57&lt;/ref-type&gt;&lt;contributors&gt;&lt;authors&gt;&lt;author&gt;Gonzalez-Feliu, J.&lt;/author&gt;&lt;author&gt;Morana, J.&lt;/author&gt;&lt;/authors&gt;&lt;/contributors&gt;&lt;auth-address&gt;Centre National de la Recherche Scientifique, Lyon, France&amp;#xD;Université Lyon 2, Lyon, France&lt;/auth-address&gt;&lt;titles&gt;&lt;title&gt;Assessing urban logistics pooling sustainability via a hierarchic dashboard from a group decision perspective&lt;/title&gt;&lt;secondary-title&gt;Transport and Sustainability&lt;/secondary-title&gt;&lt;alt-title&gt;Transp. Sustain.&lt;/alt-title&gt;&lt;/titles&gt;&lt;pages&gt;113-135&lt;/pages&gt;&lt;volume&gt;6&lt;/volume&gt;&lt;keywords&gt;&lt;keyword&gt;Consensus&lt;/keyword&gt;&lt;keyword&gt;Group decision support&lt;/keyword&gt;&lt;keyword&gt;Logistics pooling&lt;/keyword&gt;&lt;keyword&gt;Sustainable development&lt;/keyword&gt;&lt;keyword&gt;Urban distribution&lt;/keyword&gt;&lt;/keywords&gt;&lt;dates&gt;&lt;year&gt;2014&lt;/year&gt;&lt;/dates&gt;&lt;publisher&gt;Emerald Group Publishing Ltd.&lt;/publisher&gt;&lt;isbn&gt;20449941 (ISSN)&lt;/isbn&gt;&lt;work-type&gt;Article&lt;/work-type&gt;&lt;urls&gt;&lt;related-urls&gt;&lt;url&gt;https://www.scopus.com/inward/record.uri?eid=2-s2.0-84908332642&amp;amp;doi=10.1108%2fS2044-994120140000006004&amp;amp;partnerID=40&amp;amp;md5=11156cbf456e36d617316ea67bceb2a8&lt;/url&gt;&lt;url&gt;http://www.emeraldinsight.com/doi/pdfplus/10.1108/S2044-994120140000006004&lt;/url&gt;&lt;/related-urls&gt;&lt;/urls&gt;&lt;electronic-resource-num&gt;10.1108/S2044-994120140000006004&lt;/electronic-resource-num&gt;&lt;remote-database-name&gt;Scopus&lt;/remote-database-name&gt;&lt;language&gt;English&lt;/language&gt;&lt;/record&gt;&lt;/Cite&gt;&lt;/EndNote&gt;</w:instrText>
            </w:r>
            <w:r>
              <w:fldChar w:fldCharType="separate"/>
            </w:r>
            <w:r w:rsidRPr="00346FFA">
              <w:rPr>
                <w:noProof/>
                <w:lang w:val="fr-FR"/>
              </w:rPr>
              <w:t>Gonzalez-Feliu and Morana (2014)</w:t>
            </w:r>
            <w:r>
              <w:fldChar w:fldCharType="end"/>
            </w:r>
            <w:r>
              <w:rPr>
                <w:lang w:val="fr-FR"/>
              </w:rPr>
              <w:t>;</w:t>
            </w:r>
            <w:r w:rsidRPr="00346FFA">
              <w:rPr>
                <w:lang w:val="fr-FR"/>
              </w:rPr>
              <w:t xml:space="preserve"> </w:t>
            </w:r>
            <w:r w:rsidR="00301C18">
              <w:rPr>
                <w:lang w:val="fr-FR"/>
              </w:rPr>
              <w:fldChar w:fldCharType="begin"/>
            </w:r>
            <w:r w:rsidR="00301C18">
              <w:rPr>
                <w:lang w:val="fr-FR"/>
              </w:rPr>
              <w:instrText xml:space="preserve"> ADDIN EN.CITE &lt;EndNote&gt;&lt;Cite&gt;&lt;Author&gt;Daniela&lt;/Author&gt;&lt;Year&gt;2014&lt;/Year&gt;&lt;RecNum&gt;255&lt;/RecNum&gt;&lt;DisplayText&gt;(Daniela et al., 2014)&lt;/DisplayText&gt;&lt;record&gt;&lt;rec-number&gt;255&lt;/rec-number&gt;&lt;foreign-keys&gt;&lt;key app="EN" db-id="x5etaz5aiszvz0edasvvpwvotttxepvd25t2" timestamp="1611183566"&gt;255&lt;/key&gt;&lt;/foreign-keys&gt;&lt;ref-type name="Journal Article"&gt;17&lt;/ref-type&gt;&lt;contributors&gt;&lt;authors&gt;&lt;author&gt;Daniela, Paddeu&lt;/author&gt;&lt;author&gt;Paolo, Fadda&lt;/author&gt;&lt;author&gt;Gianfranco, Fancello&lt;/author&gt;&lt;author&gt;Graham, Parkhurst&lt;/author&gt;&lt;author&gt;Miriam, Ricci&lt;/author&gt;&lt;/authors&gt;&lt;/contributors&gt;&lt;titles&gt;&lt;title&gt;Reduced Urban Traffic and Emissions within Urban Consolidation Centre Schemes: The Case of Bristol&lt;/title&gt;&lt;secondary-title&gt;Transportation Research Procedia&lt;/secondary-title&gt;&lt;/titles&gt;&lt;periodical&gt;&lt;full-title&gt;Transportation Research Procedia&lt;/full-title&gt;&lt;/periodical&gt;&lt;pages&gt;508-517&lt;/pages&gt;&lt;volume&gt;3&lt;/volume&gt;&lt;keywords&gt;&lt;keyword&gt;Polluting Emissions&lt;/keyword&gt;&lt;keyword&gt;Sustainable Freight Transport&lt;/keyword&gt;&lt;keyword&gt;Urban Freight Consolidation Centres (UFCCs)&lt;/keyword&gt;&lt;/keywords&gt;&lt;dates&gt;&lt;year&gt;2014&lt;/year&gt;&lt;pub-dates&gt;&lt;date&gt;2014/01/01/&lt;/date&gt;&lt;/pub-dates&gt;&lt;/dates&gt;&lt;isbn&gt;2352-1465&lt;/isbn&gt;&lt;urls&gt;&lt;related-urls&gt;&lt;url&gt;http://www.sciencedirect.com/science/article/pii/S2352146514001951&lt;/url&gt;&lt;/related-urls&gt;&lt;/urls&gt;&lt;electronic-resource-num&gt;https://doi.org/10.1016/j.trpro.2014.10.032&lt;/electronic-resource-num&gt;&lt;/record&gt;&lt;/Cite&gt;&lt;/EndNote&gt;</w:instrText>
            </w:r>
            <w:r w:rsidR="00301C18">
              <w:rPr>
                <w:lang w:val="fr-FR"/>
              </w:rPr>
              <w:fldChar w:fldCharType="separate"/>
            </w:r>
            <w:r w:rsidR="00301C18">
              <w:rPr>
                <w:noProof/>
                <w:lang w:val="fr-FR"/>
              </w:rPr>
              <w:t>(Daniela et al., 2014)</w:t>
            </w:r>
            <w:r w:rsidR="00301C18">
              <w:rPr>
                <w:lang w:val="fr-FR"/>
              </w:rPr>
              <w:fldChar w:fldCharType="end"/>
            </w:r>
            <w:r>
              <w:rPr>
                <w:lang w:val="fr-FR"/>
              </w:rPr>
              <w:t>;</w:t>
            </w:r>
            <w:r w:rsidRPr="00346FFA">
              <w:rPr>
                <w:lang w:val="fr-FR"/>
              </w:rPr>
              <w:t xml:space="preserve"> </w:t>
            </w:r>
            <w:r w:rsidR="000B6A80">
              <w:rPr>
                <w:lang w:val="fr-FR"/>
              </w:rPr>
              <w:fldChar w:fldCharType="begin"/>
            </w:r>
            <w:r w:rsidR="000D1526">
              <w:rPr>
                <w:lang w:val="fr-FR"/>
              </w:rPr>
              <w:instrText xml:space="preserve"> ADDIN EN.CITE &lt;EndNote&gt;&lt;Cite AuthorYear="1"&gt;&lt;Author&gt;Moutaoukil&lt;/Author&gt;&lt;Year&gt;2015&lt;/Year&gt;&lt;RecNum&gt;373&lt;/RecNum&gt;&lt;DisplayText&gt;Moutaoukil et al. (2015)&lt;/DisplayText&gt;&lt;record&gt;&lt;rec-number&gt;373&lt;/rec-number&gt;&lt;foreign-keys&gt;&lt;key app="EN" db-id="pzt5ep52hsedfpeext2pdfes0w0aswaewef2" timestamp="1605189298"&gt;373&lt;/key&gt;&lt;/foreign-keys&gt;&lt;ref-type name="Journal Article"&gt;17&lt;/ref-type&gt;&lt;contributors&gt;&lt;authors&gt;&lt;author&gt;Moutaoukil, Abdelhamid&lt;/author&gt;&lt;author&gt;Neubert, Gilles&lt;/author&gt;&lt;author&gt;Derrouiche, Ridha&lt;/author&gt;&lt;/authors&gt;&lt;/contributors&gt;&lt;titles&gt;&lt;title&gt;Urban Freight Distribution: The impact of delivery time on sustainability&lt;/title&gt;&lt;secondary-title&gt;IFAC-PapersOnLine&lt;/secondary-title&gt;&lt;/titles&gt;&lt;periodical&gt;&lt;abbr-1&gt;IFAC-PapersOnLine&lt;/abbr-1&gt;&lt;/periodical&gt;&lt;pages&gt;2368-2373&lt;/pages&gt;&lt;volume&gt;48&lt;/volume&gt;&lt;number&gt;3&lt;/number&gt;&lt;keywords&gt;&lt;keyword&gt;Urban freight distribution&lt;/keyword&gt;&lt;keyword&gt;logistics pooling&lt;/keyword&gt;&lt;keyword&gt;vehicle routing problem&lt;/keyword&gt;&lt;keyword&gt;Sustainable logistics network&lt;/keyword&gt;&lt;keyword&gt;agri-food sector&lt;/keyword&gt;&lt;/keywords&gt;&lt;dates&gt;&lt;year&gt;2015&lt;/year&gt;&lt;pub-dates&gt;&lt;date&gt;2015/01/01/&lt;/date&gt;&lt;/pub-dates&gt;&lt;/dates&gt;&lt;isbn&gt;2405-8963&lt;/isbn&gt;&lt;urls&gt;&lt;related-urls&gt;&lt;url&gt;http://www.sciencedirect.com/science/article/pii/S2405896315006813&lt;/url&gt;&lt;/related-urls&gt;&lt;/urls&gt;&lt;electronic-resource-num&gt;https://doi.org/10.1016/j.ifacol.2015.06.442&lt;/electronic-resource-num&gt;&lt;/record&gt;&lt;/Cite&gt;&lt;/EndNote&gt;</w:instrText>
            </w:r>
            <w:r w:rsidR="000B6A80">
              <w:rPr>
                <w:lang w:val="fr-FR"/>
              </w:rPr>
              <w:fldChar w:fldCharType="separate"/>
            </w:r>
            <w:r w:rsidR="000D1526">
              <w:rPr>
                <w:noProof/>
                <w:lang w:val="fr-FR"/>
              </w:rPr>
              <w:t>Moutaoukil et al. (2015)</w:t>
            </w:r>
            <w:r w:rsidR="000B6A80">
              <w:rPr>
                <w:lang w:val="fr-FR"/>
              </w:rPr>
              <w:fldChar w:fldCharType="end"/>
            </w:r>
          </w:p>
          <w:p w14:paraId="3284E0B0" w14:textId="73188CB0" w:rsidR="001A4615" w:rsidRPr="00647E79" w:rsidRDefault="001A4615" w:rsidP="001A4615">
            <w:pPr>
              <w:spacing w:line="240" w:lineRule="auto"/>
              <w:jc w:val="left"/>
              <w:rPr>
                <w:lang w:val="fr-FR"/>
              </w:rPr>
            </w:pPr>
            <w:r>
              <w:rPr>
                <w:lang w:val="fr-FR"/>
              </w:rPr>
              <w:t>;</w:t>
            </w:r>
            <w:r w:rsidRPr="00346FFA">
              <w:rPr>
                <w:lang w:val="fr-FR"/>
              </w:rPr>
              <w:t xml:space="preserve"> </w:t>
            </w:r>
            <w:r>
              <w:fldChar w:fldCharType="begin"/>
            </w:r>
            <w:r w:rsidR="00647E79">
              <w:instrText xml:space="preserve"> ADDIN EN.CITE &lt;EndNote&gt;&lt;Cite AuthorYear="1"&gt;&lt;Author&gt;Nocera&lt;/Author&gt;&lt;Year&gt;2015&lt;/Year&gt;&lt;RecNum&gt;230&lt;/RecNum&gt;&lt;DisplayText&gt;Nocera and Cavallaro (2015)&lt;/DisplayText&gt;&lt;record&gt;&lt;rec-number&gt;230&lt;/rec-number&gt;&lt;foreign-keys&gt;&lt;key app="EN" db-id="pzt5ep52hsedfpeext2pdfes0w0aswaewef2" timestamp="1605187997"&gt;230&lt;/key&gt;&lt;/foreign-keys&gt;&lt;ref-type name="Journal Article"&gt;17&lt;/ref-type&gt;&lt;contributors&gt;&lt;authors&gt;&lt;author&gt;Nocera, S.&lt;/author&gt;&lt;author&gt;Cavallaro, F.&lt;/author&gt;&lt;/authors&gt;&lt;/contributors&gt;&lt;auth-address&gt;Università IUAV di Venezia, S. Croce 191, I-30123 Venice, Italy&lt;/auth-address&gt;&lt;titles&gt;&lt;title&gt;A two-step method to evaluate the Well-To-Wheel carbon efficiency of Urban Consolidation Centres&lt;/title&gt;&lt;secondary-title&gt;Research in Transportation Economics&lt;/secondary-title&gt;&lt;alt-title&gt;Res. Transp. Econ.&lt;/alt-title&gt;&lt;/titles&gt;&lt;periodical&gt;&lt;full-title&gt;Research in Transportation Economics&lt;/full-title&gt;&lt;/periodical&gt;&lt;keywords&gt;&lt;keyword&gt;CO2 emissions&lt;/keyword&gt;&lt;keyword&gt;Lucca&lt;/keyword&gt;&lt;keyword&gt;Urban consolidation centre&lt;/keyword&gt;&lt;keyword&gt;Urban freight transport&lt;/keyword&gt;&lt;keyword&gt;Well-to-wheel analysis&lt;/keyword&gt;&lt;/keywords&gt;&lt;dates&gt;&lt;year&gt;2015&lt;/year&gt;&lt;/dates&gt;&lt;publisher&gt;JAI Press&lt;/publisher&gt;&lt;isbn&gt;07398859 (ISSN)&lt;/isbn&gt;&lt;work-type&gt;Article in Press&lt;/work-type&gt;&lt;urls&gt;&lt;related-urls&gt;&lt;url&gt;https://www.scopus.com/inward/record.uri?eid=2-s2.0-85017379689&amp;amp;doi=10.1016%2fj.retrec.2017.04.001&amp;amp;partnerID=40&amp;amp;md5=81580e071069b77d2f136e12934df6c6&lt;/url&gt;&lt;/related-urls&gt;&lt;/urls&gt;&lt;electronic-resource-num&gt;10.1016/j.retrec.2017.04.001&lt;/electronic-resource-num&gt;&lt;remote-database-name&gt;Scopus&lt;/remote-database-name&gt;&lt;language&gt;English&lt;/language&gt;&lt;/record&gt;&lt;/Cite&gt;&lt;/EndNote&gt;</w:instrText>
            </w:r>
            <w:r>
              <w:fldChar w:fldCharType="separate"/>
            </w:r>
            <w:r w:rsidRPr="00346FFA">
              <w:rPr>
                <w:noProof/>
                <w:lang w:val="fr-FR"/>
              </w:rPr>
              <w:t>Nocera and Cavallaro (2015)</w:t>
            </w:r>
            <w:r>
              <w:fldChar w:fldCharType="end"/>
            </w:r>
            <w:r>
              <w:rPr>
                <w:lang w:val="fr-FR"/>
              </w:rPr>
              <w:t>;</w:t>
            </w:r>
            <w:r w:rsidRPr="00346FFA">
              <w:rPr>
                <w:lang w:val="fr-FR"/>
              </w:rPr>
              <w:t xml:space="preserve"> </w:t>
            </w:r>
            <w:r w:rsidR="00647E79">
              <w:rPr>
                <w:lang w:val="fr-FR"/>
              </w:rPr>
              <w:fldChar w:fldCharType="begin"/>
            </w:r>
            <w:r w:rsidR="00453AB7">
              <w:rPr>
                <w:lang w:val="fr-FR"/>
              </w:rPr>
              <w:instrText xml:space="preserve"> ADDIN EN.CITE &lt;EndNote&gt;&lt;Cite&gt;&lt;Author&gt;Clausen&lt;/Author&gt;&lt;Year&gt;2016&lt;/Year&gt;&lt;RecNum&gt;370&lt;/RecNum&gt;&lt;DisplayText&gt;(Clausen et al., 2016)&lt;/DisplayText&gt;&lt;record&gt;&lt;rec-number&gt;370&lt;/rec-number&gt;&lt;foreign-keys&gt;&lt;key app="EN" db-id="pzt5ep52hsedfpeext2pdfes0w0aswaewef2" timestamp="1605188078"&gt;370&lt;/key&gt;&lt;/foreign-keys&gt;&lt;ref-type name="Journal Article"&gt;17&lt;/ref-type&gt;&lt;contributors&gt;&lt;authors&gt;&lt;author&gt;Clausen, Uwe&lt;/author&gt;&lt;author&gt;Geiger, Christiane&lt;/author&gt;&lt;author&gt;Pöting, Moritz&lt;/author&gt;&lt;/authors&gt;&lt;/contributors&gt;&lt;titles&gt;&lt;title&gt;Hands-on Testing of Last Mile Concepts&lt;/title&gt;&lt;secondary-title&gt;Transportation Research Procedia&lt;/secondary-title&gt;&lt;/titles&gt;&lt;periodical&gt;&lt;full-title&gt;Transportation Research Procedia&lt;/full-title&gt;&lt;/periodical&gt;&lt;pages&gt;1533-1542&lt;/pages&gt;&lt;volume&gt;14&lt;/volume&gt;&lt;keywords&gt;&lt;keyword&gt;LaMiLo project&lt;/keyword&gt;&lt;keyword&gt;City Logistics&lt;/keyword&gt;&lt;keyword&gt;Last-Mile&lt;/keyword&gt;&lt;keyword&gt;Sustainability&lt;/keyword&gt;&lt;keyword&gt;Urban Consolidation Centres&lt;/keyword&gt;&lt;/keywords&gt;&lt;dates&gt;&lt;year&gt;2016&lt;/year&gt;&lt;pub-dates&gt;&lt;date&gt;2016/01/01/&lt;/date&gt;&lt;/pub-dates&gt;&lt;/dates&gt;&lt;isbn&gt;2352-1465&lt;/isbn&gt;&lt;urls&gt;&lt;related-urls&gt;&lt;url&gt;http://www.sciencedirect.com/science/article/pii/S2352146516301193&lt;/url&gt;&lt;/related-urls&gt;&lt;/urls&gt;&lt;electronic-resource-num&gt;https://doi.org/10.1016/j.trpro.2016.05.118&lt;/electronic-resource-num&gt;&lt;/record&gt;&lt;/Cite&gt;&lt;/EndNote&gt;</w:instrText>
            </w:r>
            <w:r w:rsidR="00647E79">
              <w:rPr>
                <w:lang w:val="fr-FR"/>
              </w:rPr>
              <w:fldChar w:fldCharType="separate"/>
            </w:r>
            <w:r w:rsidR="00453AB7">
              <w:rPr>
                <w:noProof/>
                <w:lang w:val="fr-FR"/>
              </w:rPr>
              <w:t>(Clausen et al., 2016)</w:t>
            </w:r>
            <w:r w:rsidR="00647E79">
              <w:rPr>
                <w:lang w:val="fr-FR"/>
              </w:rPr>
              <w:fldChar w:fldCharType="end"/>
            </w:r>
            <w:r>
              <w:rPr>
                <w:lang w:val="fr-FR"/>
              </w:rPr>
              <w:t>;</w:t>
            </w:r>
            <w:r w:rsidRPr="00346FFA">
              <w:rPr>
                <w:lang w:val="fr-FR"/>
              </w:rPr>
              <w:t xml:space="preserve"> </w:t>
            </w:r>
            <w:r>
              <w:fldChar w:fldCharType="begin">
                <w:fldData xml:space="preserve">PEVuZE5vdGU+PENpdGUgQXV0aG9yWWVhcj0iMSI+PEF1dGhvcj5TYWV0dGE8L0F1dGhvcj48WWVh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=
</w:fldData>
              </w:fldChar>
            </w:r>
            <w:r w:rsidR="00B900CC">
              <w:instrText xml:space="preserve"> ADDIN EN.CITE </w:instrText>
            </w:r>
            <w:r w:rsidR="00B900CC">
              <w:fldChar w:fldCharType="begin">
                <w:fldData xml:space="preserve">PEVuZE5vdGU+PENpdGUgQXV0aG9yWWVhcj0iMSI+PEF1dGhvcj5TYWV0dGE8L0F1dGhvcj48WWVh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=
</w:fldData>
              </w:fldChar>
            </w:r>
            <w:r w:rsidR="00B900CC">
              <w:instrText xml:space="preserve"> ADDIN EN.CITE.DATA </w:instrText>
            </w:r>
            <w:r w:rsidR="00B900CC">
              <w:fldChar w:fldCharType="end"/>
            </w:r>
            <w:r>
              <w:fldChar w:fldCharType="separate"/>
            </w:r>
            <w:r w:rsidRPr="00346FFA">
              <w:rPr>
                <w:noProof/>
                <w:lang w:val="fr-FR"/>
              </w:rPr>
              <w:t>Saetta and Caldarelli (2016)</w:t>
            </w:r>
            <w:r>
              <w:fldChar w:fldCharType="end"/>
            </w:r>
            <w:r>
              <w:rPr>
                <w:lang w:val="fr-FR"/>
              </w:rPr>
              <w:t>;</w:t>
            </w:r>
            <w:r w:rsidRPr="00346FFA">
              <w:rPr>
                <w:lang w:val="fr-FR"/>
              </w:rPr>
              <w:t xml:space="preserve"> </w:t>
            </w:r>
            <w:r>
              <w:fldChar w:fldCharType="begin">
                <w:fldData xml:space="preserve">PEVuZE5vdGU+PENpdGUgQXV0aG9yWWVhcj0iMSI+PEF1dGhvcj5GaXJkYXVzaXlhaDwvQXV0aG9y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</w:fldData>
              </w:fldChar>
            </w:r>
            <w:r w:rsidR="00B175F1">
              <w:instrText xml:space="preserve"> ADDIN EN.CITE </w:instrText>
            </w:r>
            <w:r w:rsidR="00B175F1">
              <w:fldChar w:fldCharType="begin">
                <w:fldData xml:space="preserve">PEVuZE5vdGU+PENpdGUgQXV0aG9yWWVhcj0iMSI+PEF1dGhvcj5GaXJkYXVzaXlhaDwvQXV0aG9y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</w:fldData>
              </w:fldChar>
            </w:r>
            <w:r w:rsidR="00B175F1">
              <w:instrText xml:space="preserve"> ADDIN EN.CITE.DATA </w:instrText>
            </w:r>
            <w:r w:rsidR="00B175F1">
              <w:fldChar w:fldCharType="end"/>
            </w:r>
            <w:r>
              <w:fldChar w:fldCharType="separate"/>
            </w:r>
            <w:r w:rsidRPr="00346FFA">
              <w:rPr>
                <w:noProof/>
                <w:lang w:val="fr-FR"/>
              </w:rPr>
              <w:t xml:space="preserve">Firdausiyah et al. </w:t>
            </w:r>
            <w:r w:rsidRPr="0024558B">
              <w:rPr>
                <w:noProof/>
                <w:lang w:val="fr-FR"/>
              </w:rPr>
              <w:t>(2019)</w:t>
            </w:r>
            <w:r>
              <w:fldChar w:fldCharType="end"/>
            </w:r>
          </w:p>
        </w:tc>
      </w:tr>
      <w:tr w:rsidR="001A4615" w:rsidRPr="008903D1" w14:paraId="00A0126D" w14:textId="77777777" w:rsidTr="00500AB3">
        <w:tc>
          <w:tcPr>
            <w:tcW w:w="1295" w:type="pct"/>
            <w:vAlign w:val="center"/>
          </w:tcPr>
          <w:p w14:paraId="2CB14EB1" w14:textId="77777777" w:rsidR="001A4615" w:rsidRPr="00802DC5" w:rsidRDefault="001A4615" w:rsidP="001A4615">
            <w:pPr>
              <w:spacing w:line="240" w:lineRule="auto"/>
              <w:jc w:val="left"/>
              <w:rPr>
                <w:rFonts w:cs="Times New Roman"/>
              </w:rPr>
            </w:pPr>
            <w:r w:rsidRPr="00737239">
              <w:rPr>
                <w:rFonts w:cs="Times New Roman"/>
              </w:rPr>
              <w:t>Travel miles</w:t>
            </w:r>
          </w:p>
        </w:tc>
        <w:tc>
          <w:tcPr>
            <w:tcW w:w="3705" w:type="pct"/>
            <w:vAlign w:val="center"/>
          </w:tcPr>
          <w:p w14:paraId="2924B77D" w14:textId="2D954719" w:rsidR="001A4615" w:rsidRPr="00A96AC5" w:rsidRDefault="001A4615" w:rsidP="001A4615">
            <w:pPr>
              <w:spacing w:line="240" w:lineRule="auto"/>
              <w:jc w:val="left"/>
              <w:rPr>
                <w:rFonts w:cs="Times New Roman"/>
                <w:lang w:val="fr-FR"/>
              </w:rPr>
            </w:pPr>
            <w:r>
              <w:fldChar w:fldCharType="begin"/>
            </w:r>
            <w:r w:rsidR="00647E79" w:rsidRPr="00E5436C">
              <w:rPr>
                <w:lang w:val="it-IT"/>
              </w:rPr>
              <w:instrText xml:space="preserve"> ADDIN EN.CITE &lt;EndNote&gt;&lt;Cite AuthorYear="1"&gt;&lt;Author&gt;Browne&lt;/Author&gt;&lt;Year&gt;2011&lt;/Year&gt;&lt;RecNum&gt;224&lt;/RecNum&gt;&lt;DisplayText&gt;Browne et al. (2011)&lt;/DisplayText&gt;&lt;record&gt;&lt;rec-number&gt;224&lt;/rec-number&gt;&lt;foreign-keys&gt;&lt;key app="EN" db-id="pzt5ep52hsedfpeext2pdfes0w0aswaewef2" timestamp="1605187997"&gt;224&lt;/key&gt;&lt;/foreign-keys&gt;&lt;ref-type name="Journal Article"&gt;17&lt;/ref-type&gt;&lt;contributors&gt;&lt;authors&gt;&lt;author&gt;Browne, Michael&lt;/author&gt;&lt;author&gt;Allen, Julian&lt;/author&gt;&lt;author&gt;Leonardi, Jacques&lt;/author&gt;&lt;/authors&gt;&lt;/contributors&gt;&lt;titles&gt;&lt;title&gt;Evaluating the use of an urban consolidation centre and electric vehicles in central London&lt;/title&gt;&lt;secondary-title&gt;IATSS research&lt;/secondary-title&gt;&lt;/titles&gt;&lt;periodical&gt;&lt;full-title&gt;IATSS research&lt;/full-title&gt;&lt;/periodical&gt;&lt;pages&gt;1-6&lt;/pages&gt;&lt;volume&gt;35&lt;/volume&gt;&lt;number&gt;1&lt;/number&gt;&lt;dates&gt;&lt;year&gt;2011&lt;/year&gt;&lt;/dates&gt;&lt;isbn&gt;0386-1112&lt;/isbn&gt;&lt;urls&gt;&lt;/urls&gt;&lt;/record&gt;&lt;/Cite&gt;&lt;/EndNote&gt;</w:instrText>
            </w:r>
            <w:r>
              <w:fldChar w:fldCharType="separate"/>
            </w:r>
            <w:r w:rsidRPr="00346FFA">
              <w:rPr>
                <w:noProof/>
                <w:lang w:val="fr-FR"/>
              </w:rPr>
              <w:t>Browne et al. (2011)</w:t>
            </w:r>
            <w:r>
              <w:fldChar w:fldCharType="end"/>
            </w:r>
            <w:r>
              <w:rPr>
                <w:lang w:val="fr-FR"/>
              </w:rPr>
              <w:t>;</w:t>
            </w:r>
            <w:r w:rsidR="002B6ABD">
              <w:rPr>
                <w:lang w:val="fr-FR"/>
              </w:rPr>
              <w:fldChar w:fldCharType="begin"/>
            </w:r>
            <w:r w:rsidR="00453FC5">
              <w:rPr>
                <w:lang w:val="fr-FR"/>
              </w:rPr>
              <w:instrText xml:space="preserve"> ADDIN EN.CITE &lt;EndNote&gt;&lt;Cite&gt;&lt;Author&gt;Chen&lt;/Author&gt;&lt;Year&gt;2012&lt;/Year&gt;&lt;RecNum&gt;120&lt;/RecNum&gt;&lt;DisplayText&gt;(Chen et al., 2012)&lt;/DisplayText&gt;&lt;record&gt;&lt;rec-number&gt;120&lt;/rec-number&gt;&lt;foreign-keys&gt;&lt;key app="EN" db-id="x5etaz5aiszvz0edasvvpwvotttxepvd25t2" timestamp="1605187228"&gt;120&lt;/key&gt;&lt;/foreign-keys&gt;&lt;ref-type name="Journal Article"&gt;17&lt;/ref-type&gt;&lt;contributors&gt;&lt;authors&gt;&lt;author&gt;Chen, Qin&lt;/author&gt;&lt;author&gt;Lin, Jie&lt;/author&gt;&lt;author&gt;Kawamura, Kazuya&lt;/author&gt;&lt;/authors&gt;&lt;/contributors&gt;&lt;titles&gt;&lt;title&gt;Comparison of Urban Cooperative Delivery and Direct Delivery Strategies&lt;/title&gt;&lt;secondary-title&gt;Transportation Research Record&lt;/secondary-title&gt;&lt;/titles&gt;&lt;periodical&gt;&lt;full-title&gt;Transportation Research Record&lt;/full-title&gt;&lt;/periodical&gt;&lt;pages&gt;28-39&lt;/pages&gt;&lt;volume&gt;2288&lt;/volume&gt;&lt;number&gt;1&lt;/number&gt;&lt;dates&gt;&lt;year&gt;2012&lt;/year&gt;&lt;pub-dates&gt;&lt;date&gt;2012/01/01&lt;/date&gt;&lt;/pub-dates&gt;&lt;/dates&gt;&lt;publisher&gt;SAGE Publications Inc&lt;/publisher&gt;&lt;isbn&gt;0361-1981&lt;/isbn&gt;&lt;urls&gt;&lt;related-urls&gt;&lt;url&gt;https://doi.org/10.3141/2288-04&lt;/url&gt;&lt;/related-urls&gt;&lt;/urls&gt;&lt;electronic-resource-num&gt;10.3141/2288-04&lt;/electronic-resource-num&gt;&lt;access-date&gt;2020/11/12&lt;/access-date&gt;&lt;/record&gt;&lt;/Cite&gt;&lt;/EndNote&gt;</w:instrText>
            </w:r>
            <w:r w:rsidR="002B6ABD">
              <w:rPr>
                <w:lang w:val="fr-FR"/>
              </w:rPr>
              <w:fldChar w:fldCharType="separate"/>
            </w:r>
            <w:r w:rsidR="002B6DFD">
              <w:rPr>
                <w:noProof/>
                <w:lang w:val="fr-FR"/>
              </w:rPr>
              <w:t>(Chen et al., 2012)</w:t>
            </w:r>
            <w:r w:rsidR="002B6ABD">
              <w:rPr>
                <w:lang w:val="fr-FR"/>
              </w:rPr>
              <w:fldChar w:fldCharType="end"/>
            </w:r>
            <w:r>
              <w:rPr>
                <w:lang w:val="fr-FR"/>
              </w:rPr>
              <w:t>;</w:t>
            </w:r>
            <w:r w:rsidRPr="007741AE">
              <w:rPr>
                <w:lang w:val="fr-FR"/>
              </w:rPr>
              <w:t xml:space="preserve"> </w:t>
            </w:r>
            <w:r>
              <w:fldChar w:fldCharType="begin">
                <w:fldData xml:space="preserve">PEVuZE5vdGU+PENpdGUgQXV0aG9yWWVhcj0iMSI+PEF1dGhvcj5Db3JyZWlhPC9BdXRob3I+PFll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</w:fldData>
              </w:fldChar>
            </w:r>
            <w:r w:rsidR="00647E79" w:rsidRPr="00E5436C">
              <w:rPr>
                <w:lang w:val="it-IT"/>
              </w:rPr>
              <w:instrText xml:space="preserve"> ADDIN EN.CITE </w:instrText>
            </w:r>
            <w:r w:rsidR="00647E79">
              <w:fldChar w:fldCharType="begin">
                <w:fldData xml:space="preserve">PEVuZE5vdGU+PENpdGUgQXV0aG9yWWVhcj0iMSI+PEF1dGhvcj5Db3JyZWlhPC9BdXRob3I+PFll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</w:fldData>
              </w:fldChar>
            </w:r>
            <w:r w:rsidR="00647E79" w:rsidRPr="00E5436C">
              <w:rPr>
                <w:lang w:val="it-IT"/>
              </w:rPr>
              <w:instrText xml:space="preserve"> ADDIN EN.CITE.DATA </w:instrText>
            </w:r>
            <w:r w:rsidR="00647E79">
              <w:fldChar w:fldCharType="end"/>
            </w:r>
            <w:r>
              <w:fldChar w:fldCharType="separate"/>
            </w:r>
            <w:r w:rsidRPr="00346FFA">
              <w:rPr>
                <w:noProof/>
                <w:lang w:val="fr-FR"/>
              </w:rPr>
              <w:t>Correia et al. (2012)</w:t>
            </w:r>
            <w:r>
              <w:fldChar w:fldCharType="end"/>
            </w:r>
            <w:r>
              <w:rPr>
                <w:lang w:val="fr-FR"/>
              </w:rPr>
              <w:t>;</w:t>
            </w:r>
            <w:r w:rsidRPr="007741AE">
              <w:rPr>
                <w:lang w:val="fr-FR"/>
              </w:rPr>
              <w:t xml:space="preserve"> </w:t>
            </w:r>
            <w:r>
              <w:fldChar w:fldCharType="begin">
                <w:fldData xml:space="preserve">PEVuZE5vdGU+PENpdGUgQXV0aG9yWWVhcj0iMSI+PEF1dGhvcj5KYWN5bmE8L0F1dGhvcj48WWVh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=
</w:fldData>
              </w:fldChar>
            </w:r>
            <w:r w:rsidR="00647E79" w:rsidRPr="00E5436C">
              <w:rPr>
                <w:lang w:val="it-IT"/>
              </w:rPr>
              <w:instrText xml:space="preserve"> ADDIN EN.CITE </w:instrText>
            </w:r>
            <w:r w:rsidR="00647E79">
              <w:fldChar w:fldCharType="begin">
                <w:fldData xml:space="preserve">PEVuZE5vdGU+PENpdGUgQXV0aG9yWWVhcj0iMSI+PEF1dGhvcj5KYWN5bmE8L0F1dGhvcj48WWVh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=
</w:fldData>
              </w:fldChar>
            </w:r>
            <w:r w:rsidR="00647E79" w:rsidRPr="00E5436C">
              <w:rPr>
                <w:lang w:val="it-IT"/>
              </w:rPr>
              <w:instrText xml:space="preserve"> ADDIN EN.CITE.DATA </w:instrText>
            </w:r>
            <w:r w:rsidR="00647E79">
              <w:fldChar w:fldCharType="end"/>
            </w:r>
            <w:r>
              <w:fldChar w:fldCharType="separate"/>
            </w:r>
            <w:r w:rsidRPr="00346FFA">
              <w:rPr>
                <w:noProof/>
                <w:lang w:val="fr-FR"/>
              </w:rPr>
              <w:t>Jacyna (2013)</w:t>
            </w:r>
            <w:r>
              <w:fldChar w:fldCharType="end"/>
            </w:r>
            <w:r>
              <w:rPr>
                <w:lang w:val="fr-FR"/>
              </w:rPr>
              <w:t>;</w:t>
            </w:r>
            <w:r w:rsidRPr="007741AE">
              <w:rPr>
                <w:lang w:val="fr-FR"/>
              </w:rPr>
              <w:t xml:space="preserve"> </w:t>
            </w:r>
            <w:r>
              <w:fldChar w:fldCharType="begin">
                <w:fldData xml:space="preserve">PEVuZE5vdGU+PENpdGUgQXV0aG9yWWVhcj0iMSI+PEF1dGhvcj5SdXNzbzwvQXV0aG9yPjxZZWFy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</w:fldData>
              </w:fldChar>
            </w:r>
            <w:r w:rsidR="00647E79" w:rsidRPr="00E5436C">
              <w:rPr>
                <w:lang w:val="it-IT"/>
              </w:rPr>
              <w:instrText xml:space="preserve"> ADDIN EN.CITE </w:instrText>
            </w:r>
            <w:r w:rsidR="00647E79">
              <w:fldChar w:fldCharType="begin">
                <w:fldData xml:space="preserve">PEVuZE5vdGU+PENpdGUgQXV0aG9yWWVhcj0iMSI+PEF1dGhvcj5SdXNzbzwvQXV0aG9yPjxZZWFy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</w:fldData>
              </w:fldChar>
            </w:r>
            <w:r w:rsidR="00647E79" w:rsidRPr="00E5436C">
              <w:rPr>
                <w:lang w:val="it-IT"/>
              </w:rPr>
              <w:instrText xml:space="preserve"> ADDIN EN.CITE.DATA </w:instrText>
            </w:r>
            <w:r w:rsidR="00647E79">
              <w:fldChar w:fldCharType="end"/>
            </w:r>
            <w:r>
              <w:fldChar w:fldCharType="separate"/>
            </w:r>
            <w:r w:rsidRPr="00346FFA">
              <w:rPr>
                <w:noProof/>
                <w:lang w:val="fr-FR"/>
              </w:rPr>
              <w:t>Russo et al. (2013)</w:t>
            </w:r>
            <w:r>
              <w:fldChar w:fldCharType="end"/>
            </w:r>
            <w:r>
              <w:rPr>
                <w:lang w:val="fr-FR"/>
              </w:rPr>
              <w:t>;</w:t>
            </w:r>
            <w:r w:rsidRPr="007741AE">
              <w:rPr>
                <w:lang w:val="fr-FR"/>
              </w:rPr>
              <w:t xml:space="preserve"> </w:t>
            </w:r>
            <w:r w:rsidR="00AA2399">
              <w:rPr>
                <w:rFonts w:cs="Times New Roman"/>
                <w:noProof/>
              </w:rPr>
              <w:fldChar w:fldCharType="begin"/>
            </w:r>
            <w:r w:rsidR="00AA2399" w:rsidRPr="00E5436C">
              <w:rPr>
                <w:rFonts w:cs="Times New Roman"/>
                <w:noProof/>
                <w:lang w:val="it-IT"/>
              </w:rPr>
              <w:instrText xml:space="preserve"> ADDIN EN.CITE &lt;EndNote&gt;&lt;Cite AuthorYear="1"&gt;&lt;Author&gt;Faure&lt;/Author&gt;&lt;Year&gt;2016&lt;/Year&gt;&lt;RecNum&gt;242&lt;/RecNum&gt;&lt;DisplayText&gt;Faure et al. (2016)&lt;/DisplayText&gt;&lt;record&gt;&lt;rec-number&gt;242&lt;/rec-number&gt;&lt;foreign-keys&gt;&lt;key app="EN" db-id="pzt5ep52hsedfpeext2pdfes0w0aswaewef2" timestamp="1605187997"&gt;242&lt;/key&gt;&lt;/foreign-keys&gt;&lt;ref-type name="Journal Article"&gt;17&lt;/ref-type&gt;&lt;contributors&gt;&lt;authors&gt;&lt;author&gt;Faure, Lucile&lt;/author&gt;&lt;author&gt;Burlat, Patrick&lt;/author&gt;&lt;author&gt;Marquès, Guillaume&lt;/author&gt;&lt;/authors&gt;&lt;/contributors&gt;&lt;titles&gt;&lt;title&gt;Evaluate the Viability of Urban Consolidation Centre with Regards to Urban Morphology&lt;/title&gt;&lt;secondary-title&gt;Transportation Research Procedia&lt;/secondary-title&gt;&lt;/titles&gt;&lt;periodical&gt;&lt;full-title&gt;Transportation Research Procedia&lt;/full-title&gt;&lt;/periodical&gt;&lt;pages&gt;348-356&lt;/pages&gt;&lt;volume&gt;12&lt;/volume&gt;&lt;keywords&gt;&lt;keyword&gt;Urban Consolidation Centre&lt;/keyword&gt;&lt;keyword&gt;Profitability&lt;/keyword&gt;&lt;keyword&gt;City Logistics&lt;/keyword&gt;&lt;keyword&gt;Economic Assessment&lt;/keyword&gt;&lt;/keywords&gt;&lt;dates&gt;&lt;year&gt;2016&lt;/year&gt;&lt;pub-dates&gt;&lt;date&gt;2016/01/01/&lt;/date&gt;&lt;/pub-dates&gt;&lt;/dates&gt;&lt;isbn&gt;2352-1465&lt;/isbn&gt;&lt;urls&gt;&lt;related-urls&gt;&lt;url&gt;http://www.sciencedirect.com/science/article/pii/S2352146516000727&lt;/url&gt;&lt;/related-urls&gt;&lt;/urls&gt;&lt;electronic-resource-num&gt;https://doi.org/10.1016/j.trpro.2016.02.071&lt;/electronic-resource-num&gt;&lt;/record&gt;&lt;/Cite&gt;&lt;/EndNote&gt;</w:instrText>
            </w:r>
            <w:r w:rsidR="00AA2399">
              <w:rPr>
                <w:rFonts w:cs="Times New Roman"/>
                <w:noProof/>
              </w:rPr>
              <w:fldChar w:fldCharType="separate"/>
            </w:r>
            <w:r w:rsidR="00AA2399" w:rsidRPr="00E5436C">
              <w:rPr>
                <w:rFonts w:cs="Times New Roman"/>
                <w:noProof/>
                <w:lang w:val="it-IT"/>
              </w:rPr>
              <w:t>Faure et al. (2016)</w:t>
            </w:r>
            <w:r w:rsidR="00AA2399">
              <w:rPr>
                <w:rFonts w:cs="Times New Roman"/>
                <w:noProof/>
              </w:rPr>
              <w:fldChar w:fldCharType="end"/>
            </w:r>
            <w:r>
              <w:rPr>
                <w:lang w:val="fr-FR"/>
              </w:rPr>
              <w:t>;</w:t>
            </w:r>
            <w:r w:rsidRPr="007741AE">
              <w:rPr>
                <w:lang w:val="fr-FR"/>
              </w:rPr>
              <w:t xml:space="preserve"> </w:t>
            </w:r>
            <w:r w:rsidR="001A0E08">
              <w:rPr>
                <w:lang w:val="fr-FR"/>
              </w:rPr>
              <w:fldChar w:fldCharType="begin"/>
            </w:r>
            <w:r w:rsidR="000D1526">
              <w:rPr>
                <w:lang w:val="fr-FR"/>
              </w:rPr>
              <w:instrText xml:space="preserve"> ADDIN EN.CITE &lt;EndNote&gt;&lt;Cite AuthorYear="1"&gt;&lt;Author&gt;Moutaoukil&lt;/Author&gt;&lt;Year&gt;2015&lt;/Year&gt;&lt;RecNum&gt;373&lt;/RecNum&gt;&lt;DisplayText&gt;Moutaoukil et al. (2015)&lt;/DisplayText&gt;&lt;record&gt;&lt;rec-number&gt;373&lt;/rec-number&gt;&lt;foreign-keys&gt;&lt;key app="EN" db-id="pzt5ep52hsedfpeext2pdfes0w0aswaewef2" timestamp="1605189298"&gt;373&lt;/key&gt;&lt;/foreign-keys&gt;&lt;ref-type name="Journal Article"&gt;17&lt;/ref-type&gt;&lt;contributors&gt;&lt;authors&gt;&lt;author&gt;Moutaoukil, Abdelhamid&lt;/author&gt;&lt;author&gt;Neubert, Gilles&lt;/author&gt;&lt;author&gt;Derrouiche, Ridha&lt;/author&gt;&lt;/authors&gt;&lt;/contributors&gt;&lt;titles&gt;&lt;title&gt;Urban Freight Distribution: The impact of delivery time on sustainability&lt;/title&gt;&lt;secondary-title&gt;IFAC-PapersOnLine&lt;/secondary-title&gt;&lt;/titles&gt;&lt;periodical&gt;&lt;abbr-1&gt;IFAC-PapersOnLine&lt;/abbr-1&gt;&lt;/periodical&gt;&lt;pages&gt;2368-2373&lt;/pages&gt;&lt;volume&gt;48&lt;/volume&gt;&lt;number&gt;3&lt;/number&gt;&lt;keywords&gt;&lt;keyword&gt;Urban freight distribution&lt;/keyword&gt;&lt;keyword&gt;logistics pooling&lt;/keyword&gt;&lt;keyword&gt;vehicle routing problem&lt;/keyword&gt;&lt;keyword&gt;Sustainable logistics network&lt;/keyword&gt;&lt;keyword&gt;agri-food sector&lt;/keyword&gt;&lt;/keywords&gt;&lt;dates&gt;&lt;year&gt;2015&lt;/year&gt;&lt;pub-dates&gt;&lt;date&gt;2015/01/01/&lt;/date&gt;&lt;/pub-dates&gt;&lt;/dates&gt;&lt;isbn&gt;2405-8963&lt;/isbn&gt;&lt;urls&gt;&lt;related-urls&gt;&lt;url&gt;http://www.sciencedirect.com/science/article/pii/S2405896315006813&lt;/url&gt;&lt;/related-urls&gt;&lt;/urls&gt;&lt;electronic-resource-num&gt;https://doi.org/10.1016/j.ifacol.2015.06.442&lt;/electronic-resource-num&gt;&lt;/record&gt;&lt;/Cite&gt;&lt;/EndNote&gt;</w:instrText>
            </w:r>
            <w:r w:rsidR="001A0E08">
              <w:rPr>
                <w:lang w:val="fr-FR"/>
              </w:rPr>
              <w:fldChar w:fldCharType="separate"/>
            </w:r>
            <w:r w:rsidR="000D1526">
              <w:rPr>
                <w:noProof/>
                <w:lang w:val="fr-FR"/>
              </w:rPr>
              <w:t>Moutaoukil et al. (2015)</w:t>
            </w:r>
            <w:r w:rsidR="001A0E08">
              <w:rPr>
                <w:lang w:val="fr-FR"/>
              </w:rPr>
              <w:fldChar w:fldCharType="end"/>
            </w:r>
            <w:r>
              <w:rPr>
                <w:lang w:val="fr-FR"/>
              </w:rPr>
              <w:t>;</w:t>
            </w:r>
            <w:r w:rsidRPr="007741AE">
              <w:rPr>
                <w:lang w:val="fr-FR"/>
              </w:rPr>
              <w:t xml:space="preserve"> </w:t>
            </w:r>
            <w:r>
              <w:fldChar w:fldCharType="begin">
                <w:fldData xml:space="preserve">PEVuZE5vdGU+PENpdGUgQXV0aG9yWWVhcj0iMSI+PEF1dGhvcj5SYWJlPC9BdXRob3I+PFllYXI+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</w:fldData>
              </w:fldChar>
            </w:r>
            <w:r w:rsidR="00453FC5">
              <w:instrText xml:space="preserve"> ADDIN EN.CITE </w:instrText>
            </w:r>
            <w:r w:rsidR="00453FC5">
              <w:fldChar w:fldCharType="begin">
                <w:fldData xml:space="preserve">PEVuZE5vdGU+PENpdGUgQXV0aG9yWWVhcj0iMSI+PEF1dGhvcj5SYWJlPC9BdXRob3I+PFllYXI+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</w:fldData>
              </w:fldChar>
            </w:r>
            <w:r w:rsidR="00453FC5">
              <w:instrText xml:space="preserve"> ADDIN EN.CITE.DATA </w:instrText>
            </w:r>
            <w:r w:rsidR="00453FC5">
              <w:fldChar w:fldCharType="end"/>
            </w:r>
            <w:r>
              <w:fldChar w:fldCharType="separate"/>
            </w:r>
            <w:r w:rsidRPr="0024558B">
              <w:rPr>
                <w:noProof/>
                <w:lang w:val="fr-FR"/>
              </w:rPr>
              <w:t>Rabe et al. (2019)</w:t>
            </w:r>
            <w:r>
              <w:fldChar w:fldCharType="end"/>
            </w:r>
          </w:p>
        </w:tc>
      </w:tr>
      <w:tr w:rsidR="001A4615" w:rsidRPr="008903D1" w14:paraId="2A64AE3C" w14:textId="77777777" w:rsidTr="00500AB3">
        <w:tc>
          <w:tcPr>
            <w:tcW w:w="1295" w:type="pct"/>
            <w:vAlign w:val="center"/>
          </w:tcPr>
          <w:p w14:paraId="17EF952D" w14:textId="77777777" w:rsidR="001A4615" w:rsidRPr="00802DC5" w:rsidRDefault="001A4615" w:rsidP="001A4615">
            <w:pPr>
              <w:spacing w:line="240" w:lineRule="auto"/>
              <w:jc w:val="left"/>
              <w:rPr>
                <w:rFonts w:cs="Times New Roman"/>
              </w:rPr>
            </w:pPr>
            <w:r w:rsidRPr="00737239">
              <w:rPr>
                <w:rFonts w:cs="Times New Roman"/>
              </w:rPr>
              <w:t>Travel times</w:t>
            </w:r>
          </w:p>
        </w:tc>
        <w:tc>
          <w:tcPr>
            <w:tcW w:w="3705" w:type="pct"/>
            <w:vAlign w:val="center"/>
          </w:tcPr>
          <w:p w14:paraId="5D3A8DF4" w14:textId="73D40F14" w:rsidR="001A4615" w:rsidRPr="00A96AC5" w:rsidRDefault="001A4615" w:rsidP="001A4615">
            <w:pPr>
              <w:spacing w:line="240" w:lineRule="auto"/>
              <w:jc w:val="left"/>
              <w:rPr>
                <w:rFonts w:cs="Times New Roman"/>
                <w:lang w:val="es-ES_tradnl"/>
              </w:rPr>
            </w:pPr>
            <w:r>
              <w:fldChar w:fldCharType="begin">
                <w:fldData xml:space="preserve">PEVuZE5vdGU+PENpdGUgQXV0aG9yWWVhcj0iMSI+PEF1dGhvcj5Db3JyZWlhPC9BdXRob3I+PFll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</w:fldData>
              </w:fldChar>
            </w:r>
            <w:r w:rsidR="00647E79" w:rsidRPr="00E5436C">
              <w:rPr>
                <w:lang w:val="it-IT"/>
              </w:rPr>
              <w:instrText xml:space="preserve"> ADDIN EN.CITE </w:instrText>
            </w:r>
            <w:r w:rsidR="00647E79">
              <w:fldChar w:fldCharType="begin">
                <w:fldData xml:space="preserve">PEVuZE5vdGU+PENpdGUgQXV0aG9yWWVhcj0iMSI+PEF1dGhvcj5Db3JyZWlhPC9BdXRob3I+PFll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</w:fldData>
              </w:fldChar>
            </w:r>
            <w:r w:rsidR="00647E79" w:rsidRPr="00E5436C">
              <w:rPr>
                <w:lang w:val="it-IT"/>
              </w:rPr>
              <w:instrText xml:space="preserve"> ADDIN EN.CITE.DATA </w:instrText>
            </w:r>
            <w:r w:rsidR="00647E79">
              <w:fldChar w:fldCharType="end"/>
            </w:r>
            <w:r>
              <w:fldChar w:fldCharType="separate"/>
            </w:r>
            <w:r w:rsidRPr="00346FFA">
              <w:rPr>
                <w:noProof/>
                <w:lang w:val="es-ES_tradnl"/>
              </w:rPr>
              <w:t>Correia et al. (2012)</w:t>
            </w:r>
            <w:r>
              <w:fldChar w:fldCharType="end"/>
            </w:r>
            <w:r>
              <w:rPr>
                <w:lang w:val="es-ES_tradnl"/>
              </w:rPr>
              <w:t>;</w:t>
            </w:r>
            <w:r w:rsidRPr="007741AE">
              <w:rPr>
                <w:lang w:val="es-ES_tradnl"/>
              </w:rPr>
              <w:t xml:space="preserve"> </w:t>
            </w:r>
            <w:r>
              <w:fldChar w:fldCharType="begin">
                <w:fldData xml:space="preserve">PEVuZE5vdGU+PENpdGUgQXV0aG9yWWVhcj0iMSI+PEF1dGhvcj5KYWN5bmE8L0F1dGhvcj48WWVh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=
</w:fldData>
              </w:fldChar>
            </w:r>
            <w:r w:rsidR="00647E79" w:rsidRPr="00E5436C">
              <w:rPr>
                <w:lang w:val="it-IT"/>
              </w:rPr>
              <w:instrText xml:space="preserve"> ADDIN EN.CITE </w:instrText>
            </w:r>
            <w:r w:rsidR="00647E79">
              <w:fldChar w:fldCharType="begin">
                <w:fldData xml:space="preserve">PEVuZE5vdGU+PENpdGUgQXV0aG9yWWVhcj0iMSI+PEF1dGhvcj5KYWN5bmE8L0F1dGhvcj48WWVh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=
</w:fldData>
              </w:fldChar>
            </w:r>
            <w:r w:rsidR="00647E79" w:rsidRPr="00E5436C">
              <w:rPr>
                <w:lang w:val="it-IT"/>
              </w:rPr>
              <w:instrText xml:space="preserve"> ADDIN EN.CITE.DATA </w:instrText>
            </w:r>
            <w:r w:rsidR="00647E79">
              <w:fldChar w:fldCharType="end"/>
            </w:r>
            <w:r>
              <w:fldChar w:fldCharType="separate"/>
            </w:r>
            <w:r w:rsidRPr="00346FFA">
              <w:rPr>
                <w:noProof/>
                <w:lang w:val="es-ES_tradnl"/>
              </w:rPr>
              <w:t>Jacyna (2013)</w:t>
            </w:r>
            <w:r>
              <w:fldChar w:fldCharType="end"/>
            </w:r>
            <w:r>
              <w:rPr>
                <w:lang w:val="es-ES_tradnl"/>
              </w:rPr>
              <w:t>;</w:t>
            </w:r>
            <w:r w:rsidRPr="007741AE">
              <w:rPr>
                <w:lang w:val="es-ES_tradnl"/>
              </w:rPr>
              <w:t xml:space="preserve"> </w:t>
            </w:r>
            <w:r>
              <w:fldChar w:fldCharType="begin">
                <w:fldData xml:space="preserve">PEVuZE5vdGU+PENpdGUgQXV0aG9yWWVhcj0iMSI+PEF1dGhvcj5SdXNzbzwvQXV0aG9yPjxZZWFy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</w:fldData>
              </w:fldChar>
            </w:r>
            <w:r w:rsidR="00647E79" w:rsidRPr="00E5436C">
              <w:rPr>
                <w:lang w:val="it-IT"/>
              </w:rPr>
              <w:instrText xml:space="preserve"> ADDIN EN.CITE </w:instrText>
            </w:r>
            <w:r w:rsidR="00647E79">
              <w:fldChar w:fldCharType="begin">
                <w:fldData xml:space="preserve">PEVuZE5vdGU+PENpdGUgQXV0aG9yWWVhcj0iMSI+PEF1dGhvcj5SdXNzbzwvQXV0aG9yPjxZZWFy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</w:fldData>
              </w:fldChar>
            </w:r>
            <w:r w:rsidR="00647E79" w:rsidRPr="00E5436C">
              <w:rPr>
                <w:lang w:val="it-IT"/>
              </w:rPr>
              <w:instrText xml:space="preserve"> ADDIN EN.CITE.DATA </w:instrText>
            </w:r>
            <w:r w:rsidR="00647E79">
              <w:fldChar w:fldCharType="end"/>
            </w:r>
            <w:r>
              <w:fldChar w:fldCharType="separate"/>
            </w:r>
            <w:r w:rsidRPr="00346FFA">
              <w:rPr>
                <w:noProof/>
                <w:lang w:val="es-ES_tradnl"/>
              </w:rPr>
              <w:t>Russo et al. (2013)</w:t>
            </w:r>
            <w:r>
              <w:fldChar w:fldCharType="end"/>
            </w:r>
            <w:r>
              <w:rPr>
                <w:lang w:val="es-ES_tradnl"/>
              </w:rPr>
              <w:t>;</w:t>
            </w:r>
            <w:r w:rsidRPr="007741AE">
              <w:rPr>
                <w:lang w:val="es-ES_tradnl"/>
              </w:rPr>
              <w:t xml:space="preserve"> </w:t>
            </w:r>
            <w:r>
              <w:fldChar w:fldCharType="begin"/>
            </w:r>
            <w:r w:rsidR="00647E79">
              <w:instrText xml:space="preserve"> ADDIN EN.CITE &lt;EndNote&gt;&lt;Cite AuthorYear="1"&gt;&lt;Author&gt;Gonzalez-Feliu&lt;/Author&gt;&lt;Year&gt;2014&lt;/Year&gt;&lt;RecNum&gt;200&lt;/RecNum&gt;&lt;DisplayText&gt;Gonzalez-Feliu and Morana (2014)&lt;/DisplayText&gt;&lt;record&gt;&lt;rec-number&gt;200&lt;/rec-number&gt;&lt;foreign-keys&gt;&lt;key app="EN" db-id="pzt5ep52hsedfpeext2pdfes0w0aswaewef2" timestamp="1605187996"&gt;200&lt;/key&gt;&lt;/foreign-keys&gt;&lt;ref-type name="Serial"&gt;57&lt;/ref-type&gt;&lt;contributors&gt;&lt;authors&gt;&lt;author&gt;Gonzalez-Feliu, J.&lt;/author&gt;&lt;author&gt;Morana, J.&lt;/author&gt;&lt;/authors&gt;&lt;/contributors&gt;&lt;auth-address&gt;Centre National de la Recherche Scientifique, Lyon, France&amp;#xD;Université Lyon 2, Lyon, France&lt;/auth-address&gt;&lt;titles&gt;&lt;title&gt;Assessing urban logistics pooling sustainability via a hierarchic dashboard from a group decision perspective&lt;/title&gt;&lt;secondary-title&gt;Transport and Sustainability&lt;/secondary-title&gt;&lt;alt-title&gt;Transp. Sustain.&lt;/alt-title&gt;&lt;/titles&gt;&lt;pages&gt;113-135&lt;/pages&gt;&lt;volume&gt;6&lt;/volume&gt;&lt;keywords&gt;&lt;keyword&gt;Consensus&lt;/keyword&gt;&lt;keyword&gt;Group decision support&lt;/keyword&gt;&lt;keyword&gt;Logistics pooling&lt;/keyword&gt;&lt;keyword&gt;Sustainable development&lt;/keyword&gt;&lt;keyword&gt;Urban distribution&lt;/keyword&gt;&lt;/keywords&gt;&lt;dates&gt;&lt;year&gt;2014&lt;/year&gt;&lt;/dates&gt;&lt;publisher&gt;Emerald Group Publishing Ltd.&lt;/publisher&gt;&lt;isbn&gt;20449941 (ISSN)&lt;/isbn&gt;&lt;work-type&gt;Article&lt;/work-type&gt;&lt;urls&gt;&lt;related-urls&gt;&lt;url&gt;https://www.scopus.com/inward/record.uri?eid=2-s2.0-84908332642&amp;amp;doi=10.1108%2fS2044-994120140000006004&amp;amp;partnerID=40&amp;amp;md5=11156cbf456e36d617316ea67bceb2a8&lt;/url&gt;&lt;url&gt;http://www.emeraldinsight.com/doi/pdfplus/10.1108/S2044-994120140000006004&lt;/url&gt;&lt;/related-urls&gt;&lt;/urls&gt;&lt;electronic-resource-num&gt;10.1108/S2044-994120140000006004&lt;/electronic-resource-num&gt;&lt;remote-database-name&gt;Scopus&lt;/remote-database-name&gt;&lt;language&gt;English&lt;/language&gt;&lt;/record&gt;&lt;/Cite&gt;&lt;/EndNote&gt;</w:instrText>
            </w:r>
            <w:r>
              <w:fldChar w:fldCharType="separate"/>
            </w:r>
            <w:r w:rsidRPr="00346FFA">
              <w:rPr>
                <w:noProof/>
                <w:lang w:val="es-ES_tradnl"/>
              </w:rPr>
              <w:t>Gonzalez-Feliu and Morana (2014)</w:t>
            </w:r>
            <w:r>
              <w:fldChar w:fldCharType="end"/>
            </w:r>
            <w:r>
              <w:rPr>
                <w:lang w:val="es-ES_tradnl"/>
              </w:rPr>
              <w:t>;</w:t>
            </w:r>
            <w:r w:rsidRPr="007741AE">
              <w:rPr>
                <w:lang w:val="es-ES_tradnl"/>
              </w:rPr>
              <w:t xml:space="preserve"> </w:t>
            </w:r>
            <w:r>
              <w:fldChar w:fldCharType="begin">
                <w:fldData xml:space="preserve">PEVuZE5vdGU+PENpdGUgQXV0aG9yWWVhcj0iMSI+PEF1dGhvcj5SYWJlPC9BdXRob3I+PFllYXI+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</w:fldData>
              </w:fldChar>
            </w:r>
            <w:r w:rsidR="00B5242C">
              <w:instrText xml:space="preserve"> ADDIN EN.CITE </w:instrText>
            </w:r>
            <w:r w:rsidR="00B5242C">
              <w:fldChar w:fldCharType="begin">
                <w:fldData xml:space="preserve">PEVuZE5vdGU+PENpdGUgQXV0aG9yWWVhcj0iMSI+PEF1dGhvcj5SYWJlPC9BdXRob3I+PFllYXI+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</w:fldData>
              </w:fldChar>
            </w:r>
            <w:r w:rsidR="00B5242C">
              <w:instrText xml:space="preserve"> ADDIN EN.CITE.DATA </w:instrText>
            </w:r>
            <w:r w:rsidR="00B5242C">
              <w:fldChar w:fldCharType="end"/>
            </w:r>
            <w:r>
              <w:fldChar w:fldCharType="separate"/>
            </w:r>
            <w:r w:rsidRPr="00346FFA">
              <w:rPr>
                <w:noProof/>
                <w:lang w:val="es-ES_tradnl"/>
              </w:rPr>
              <w:t xml:space="preserve">Rabe et al. </w:t>
            </w:r>
            <w:r w:rsidRPr="0024558B">
              <w:rPr>
                <w:noProof/>
                <w:lang w:val="es-ES_tradnl"/>
              </w:rPr>
              <w:t>(2019)</w:t>
            </w:r>
            <w:r>
              <w:fldChar w:fldCharType="end"/>
            </w:r>
          </w:p>
        </w:tc>
      </w:tr>
      <w:tr w:rsidR="001A4615" w:rsidRPr="008903D1" w14:paraId="1CA7AF1F" w14:textId="77777777" w:rsidTr="00500AB3">
        <w:tc>
          <w:tcPr>
            <w:tcW w:w="1295" w:type="pct"/>
            <w:vAlign w:val="center"/>
          </w:tcPr>
          <w:p w14:paraId="737CF4D5" w14:textId="77777777" w:rsidR="001A4615" w:rsidRPr="00802DC5" w:rsidRDefault="001A4615" w:rsidP="001A4615">
            <w:pPr>
              <w:spacing w:line="240" w:lineRule="auto"/>
              <w:jc w:val="left"/>
              <w:rPr>
                <w:rFonts w:cs="Times New Roman"/>
              </w:rPr>
            </w:pPr>
            <w:r w:rsidRPr="00737239">
              <w:rPr>
                <w:rFonts w:cs="Times New Roman"/>
              </w:rPr>
              <w:t>Vehicle numbers</w:t>
            </w:r>
          </w:p>
        </w:tc>
        <w:tc>
          <w:tcPr>
            <w:tcW w:w="3705" w:type="pct"/>
            <w:vAlign w:val="center"/>
          </w:tcPr>
          <w:p w14:paraId="1BC982B2" w14:textId="5A336D36" w:rsidR="001A4615" w:rsidRPr="000E0AA5" w:rsidRDefault="001A4615" w:rsidP="001A4615">
            <w:pPr>
              <w:spacing w:line="240" w:lineRule="auto"/>
              <w:jc w:val="left"/>
              <w:rPr>
                <w:lang w:val="fr-FR"/>
              </w:rPr>
            </w:pPr>
            <w:r>
              <w:fldChar w:fldCharType="begin">
                <w:fldData xml:space="preserve">PEVuZE5vdGU+PENpdGUgQXV0aG9yWWVhcj0iMSI+PEF1dGhvcj5Db3JyZWlhPC9BdXRob3I+PFll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</w:fldData>
              </w:fldChar>
            </w:r>
            <w:r w:rsidR="00647E79" w:rsidRPr="00E5436C">
              <w:rPr>
                <w:lang w:val="it-IT"/>
              </w:rPr>
              <w:instrText xml:space="preserve"> ADDIN EN.CITE </w:instrText>
            </w:r>
            <w:r w:rsidR="00647E79">
              <w:fldChar w:fldCharType="begin">
                <w:fldData xml:space="preserve">PEVuZE5vdGU+PENpdGUgQXV0aG9yWWVhcj0iMSI+PEF1dGhvcj5Db3JyZWlhPC9BdXRob3I+PFll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</w:fldData>
              </w:fldChar>
            </w:r>
            <w:r w:rsidR="00647E79" w:rsidRPr="00E5436C">
              <w:rPr>
                <w:lang w:val="it-IT"/>
              </w:rPr>
              <w:instrText xml:space="preserve"> ADDIN EN.CITE.DATA </w:instrText>
            </w:r>
            <w:r w:rsidR="00647E79">
              <w:fldChar w:fldCharType="end"/>
            </w:r>
            <w:r>
              <w:fldChar w:fldCharType="separate"/>
            </w:r>
            <w:r w:rsidRPr="00346FFA">
              <w:rPr>
                <w:noProof/>
                <w:lang w:val="fr-FR"/>
              </w:rPr>
              <w:t>Correia et al. (2012)</w:t>
            </w:r>
            <w:r>
              <w:fldChar w:fldCharType="end"/>
            </w:r>
            <w:r>
              <w:rPr>
                <w:lang w:val="fr-FR"/>
              </w:rPr>
              <w:t>;</w:t>
            </w:r>
            <w:r w:rsidRPr="007741AE">
              <w:rPr>
                <w:lang w:val="fr-FR"/>
              </w:rPr>
              <w:t xml:space="preserve"> </w:t>
            </w:r>
            <w:r>
              <w:fldChar w:fldCharType="begin">
                <w:fldData xml:space="preserve">PEVuZE5vdGU+PENpdGUgQXV0aG9yWWVhcj0iMSI+PEF1dGhvcj5SdXNzbzwvQXV0aG9yPjxZZWFy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</w:fldData>
              </w:fldChar>
            </w:r>
            <w:r w:rsidR="00647E79" w:rsidRPr="00E5436C">
              <w:rPr>
                <w:lang w:val="it-IT"/>
              </w:rPr>
              <w:instrText xml:space="preserve"> ADDIN EN.CITE </w:instrText>
            </w:r>
            <w:r w:rsidR="00647E79">
              <w:fldChar w:fldCharType="begin">
                <w:fldData xml:space="preserve">PEVuZE5vdGU+PENpdGUgQXV0aG9yWWVhcj0iMSI+PEF1dGhvcj5SdXNzbzwvQXV0aG9yPjxZZWFy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</w:fldData>
              </w:fldChar>
            </w:r>
            <w:r w:rsidR="00647E79" w:rsidRPr="00E5436C">
              <w:rPr>
                <w:lang w:val="it-IT"/>
              </w:rPr>
              <w:instrText xml:space="preserve"> ADDIN EN.CITE.DATA </w:instrText>
            </w:r>
            <w:r w:rsidR="00647E79">
              <w:fldChar w:fldCharType="end"/>
            </w:r>
            <w:r>
              <w:fldChar w:fldCharType="separate"/>
            </w:r>
            <w:r w:rsidRPr="0024558B">
              <w:rPr>
                <w:noProof/>
                <w:lang w:val="fr-FR"/>
              </w:rPr>
              <w:t>Russo et al. (2013)</w:t>
            </w:r>
            <w:r>
              <w:fldChar w:fldCharType="end"/>
            </w:r>
            <w:r>
              <w:rPr>
                <w:lang w:val="fr-FR"/>
              </w:rPr>
              <w:t>;</w:t>
            </w:r>
            <w:r w:rsidRPr="007741AE">
              <w:rPr>
                <w:lang w:val="fr-FR"/>
              </w:rPr>
              <w:t xml:space="preserve"> </w:t>
            </w:r>
            <w:r w:rsidR="00301C18">
              <w:rPr>
                <w:lang w:val="fr-FR"/>
              </w:rPr>
              <w:fldChar w:fldCharType="begin"/>
            </w:r>
            <w:r w:rsidR="00301C18">
              <w:rPr>
                <w:lang w:val="fr-FR"/>
              </w:rPr>
              <w:instrText xml:space="preserve"> ADDIN EN.CITE &lt;EndNote&gt;&lt;Cite&gt;&lt;Author&gt;Daniela&lt;/Author&gt;&lt;Year&gt;2014&lt;/Year&gt;&lt;RecNum&gt;255&lt;/RecNum&gt;&lt;DisplayText&gt;(Daniela et al., 2014)&lt;/DisplayText&gt;&lt;record&gt;&lt;rec-number&gt;255&lt;/rec-number&gt;&lt;foreign-keys&gt;&lt;key app="EN" db-id="x5etaz5aiszvz0edasvvpwvotttxepvd25t2" timestamp="1611183566"&gt;255&lt;/key&gt;&lt;/foreign-keys&gt;&lt;ref-type name="Journal Article"&gt;17&lt;/ref-type&gt;&lt;contributors&gt;&lt;authors&gt;&lt;author&gt;Daniela, Paddeu&lt;/author&gt;&lt;author&gt;Paolo, Fadda&lt;/author&gt;&lt;author&gt;Gianfranco, Fancello&lt;/author&gt;&lt;author&gt;Graham, Parkhurst&lt;/author&gt;&lt;author&gt;Miriam, Ricci&lt;/author&gt;&lt;/authors&gt;&lt;/contributors&gt;&lt;titles&gt;&lt;title&gt;Reduced Urban Traffic and Emissions within Urban Consolidation Centre Schemes: The Case of Bristol&lt;/title&gt;&lt;secondary-title&gt;Transportation Research Procedia&lt;/secondary-title&gt;&lt;/titles&gt;&lt;periodical&gt;&lt;full-title&gt;Transportation Research Procedia&lt;/full-title&gt;&lt;/periodical&gt;&lt;pages&gt;508-517&lt;/pages&gt;&lt;volume&gt;3&lt;/volume&gt;&lt;keywords&gt;&lt;keyword&gt;Polluting Emissions&lt;/keyword&gt;&lt;keyword&gt;Sustainable Freight Transport&lt;/keyword&gt;&lt;keyword&gt;Urban Freight Consolidation Centres (UFCCs)&lt;/keyword&gt;&lt;/keywords&gt;&lt;dates&gt;&lt;year&gt;2014&lt;/year&gt;&lt;pub-dates&gt;&lt;date&gt;2014/01/01/&lt;/date&gt;&lt;/pub-dates&gt;&lt;/dates&gt;&lt;isbn&gt;2352-1465&lt;/isbn&gt;&lt;urls&gt;&lt;related-urls&gt;&lt;url&gt;http://www.sciencedirect.com/science/article/pii/S2352146514001951&lt;/url&gt;&lt;/related-urls&gt;&lt;/urls&gt;&lt;electronic-resource-num&gt;https://doi.org/10.1016/j.trpro.2014.10.032&lt;/electronic-resource-num&gt;&lt;/record&gt;&lt;/Cite&gt;&lt;/EndNote&gt;</w:instrText>
            </w:r>
            <w:r w:rsidR="00301C18">
              <w:rPr>
                <w:lang w:val="fr-FR"/>
              </w:rPr>
              <w:fldChar w:fldCharType="separate"/>
            </w:r>
            <w:r w:rsidR="00301C18">
              <w:rPr>
                <w:noProof/>
                <w:lang w:val="fr-FR"/>
              </w:rPr>
              <w:t>(Daniela et al., 2014)</w:t>
            </w:r>
            <w:r w:rsidR="00301C18">
              <w:rPr>
                <w:lang w:val="fr-FR"/>
              </w:rPr>
              <w:fldChar w:fldCharType="end"/>
            </w:r>
            <w:r>
              <w:rPr>
                <w:lang w:val="fr-FR"/>
              </w:rPr>
              <w:t>;</w:t>
            </w:r>
            <w:r w:rsidRPr="007741AE">
              <w:rPr>
                <w:lang w:val="fr-FR"/>
              </w:rPr>
              <w:t xml:space="preserve"> </w:t>
            </w:r>
            <w:r>
              <w:fldChar w:fldCharType="begin">
                <w:fldData xml:space="preserve">PEVuZE5vdGU+PENpdGUgQXV0aG9yWWVhcj0iMSI+PEF1dGhvcj5SYWJlPC9BdXRob3I+PFllYXI+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</w:fldData>
              </w:fldChar>
            </w:r>
            <w:r w:rsidR="00B96EBD">
              <w:instrText xml:space="preserve"> ADDIN EN.CITE </w:instrText>
            </w:r>
            <w:r w:rsidR="00B96EBD">
              <w:fldChar w:fldCharType="begin">
                <w:fldData xml:space="preserve">PEVuZE5vdGU+PENpdGUgQXV0aG9yWWVhcj0iMSI+PEF1dGhvcj5SYWJlPC9BdXRob3I+PFllYXI+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</w:fldData>
              </w:fldChar>
            </w:r>
            <w:r w:rsidR="00B96EBD">
              <w:instrText xml:space="preserve"> ADDIN EN.CITE.DATA </w:instrText>
            </w:r>
            <w:r w:rsidR="00B96EBD">
              <w:fldChar w:fldCharType="end"/>
            </w:r>
            <w:r>
              <w:fldChar w:fldCharType="separate"/>
            </w:r>
            <w:r w:rsidRPr="0024558B">
              <w:rPr>
                <w:noProof/>
                <w:lang w:val="fr-FR"/>
              </w:rPr>
              <w:t xml:space="preserve">Rabe et al. </w:t>
            </w:r>
            <w:r>
              <w:rPr>
                <w:noProof/>
              </w:rPr>
              <w:t>(2019)</w:t>
            </w:r>
            <w:r>
              <w:fldChar w:fldCharType="end"/>
            </w:r>
          </w:p>
        </w:tc>
      </w:tr>
      <w:tr w:rsidR="001A4615" w:rsidRPr="008903D1" w14:paraId="2D031714" w14:textId="77777777" w:rsidTr="00500AB3">
        <w:tc>
          <w:tcPr>
            <w:tcW w:w="1295" w:type="pct"/>
            <w:vAlign w:val="center"/>
          </w:tcPr>
          <w:p w14:paraId="67F60489" w14:textId="77777777" w:rsidR="001A4615" w:rsidRPr="00802DC5" w:rsidRDefault="001A4615" w:rsidP="001A4615">
            <w:pPr>
              <w:spacing w:line="240" w:lineRule="auto"/>
              <w:jc w:val="left"/>
              <w:rPr>
                <w:rFonts w:cs="Times New Roman"/>
              </w:rPr>
            </w:pPr>
            <w:r w:rsidRPr="00737239">
              <w:rPr>
                <w:rFonts w:cs="Times New Roman"/>
              </w:rPr>
              <w:t>Number of delivery trips</w:t>
            </w:r>
          </w:p>
        </w:tc>
        <w:tc>
          <w:tcPr>
            <w:tcW w:w="3705" w:type="pct"/>
            <w:vAlign w:val="center"/>
          </w:tcPr>
          <w:p w14:paraId="6418F886" w14:textId="21ACB2D3" w:rsidR="001A4615" w:rsidRPr="00A96AC5" w:rsidRDefault="00301C18" w:rsidP="001A4615">
            <w:pPr>
              <w:spacing w:line="240" w:lineRule="auto"/>
              <w:jc w:val="left"/>
              <w:rPr>
                <w:rFonts w:cs="Times New Roman"/>
                <w:lang w:val="fr-FR"/>
              </w:rPr>
            </w:pPr>
            <w:r>
              <w:rPr>
                <w:lang w:val="fr-FR"/>
              </w:rPr>
              <w:fldChar w:fldCharType="begin"/>
            </w:r>
            <w:r>
              <w:rPr>
                <w:lang w:val="fr-FR"/>
              </w:rPr>
              <w:instrText xml:space="preserve"> ADDIN EN.CITE &lt;EndNote&gt;&lt;Cite&gt;&lt;Author&gt;Daniela&lt;/Author&gt;&lt;Year&gt;2014&lt;/Year&gt;&lt;RecNum&gt;255&lt;/RecNum&gt;&lt;DisplayText&gt;(Daniela et al., 2014)&lt;/DisplayText&gt;&lt;record&gt;&lt;rec-number&gt;255&lt;/rec-number&gt;&lt;foreign-keys&gt;&lt;key app="EN" db-id="x5etaz5aiszvz0edasvvpwvotttxepvd25t2" timestamp="1611183566"&gt;255&lt;/key&gt;&lt;/foreign-keys&gt;&lt;ref-type name="Journal Article"&gt;17&lt;/ref-type&gt;&lt;contributors&gt;&lt;authors&gt;&lt;author&gt;Daniela, Paddeu&lt;/author&gt;&lt;author&gt;Paolo, Fadda&lt;/author&gt;&lt;author&gt;Gianfranco, Fancello&lt;/author&gt;&lt;author&gt;Graham, Parkhurst&lt;/author&gt;&lt;author&gt;Miriam, Ricci&lt;/author&gt;&lt;/authors&gt;&lt;/contributors&gt;&lt;titles&gt;&lt;title&gt;Reduced Urban Traffic and Emissions within Urban Consolidation Centre Schemes: The Case of Bristol&lt;/title&gt;&lt;secondary-title&gt;Transportation Research Procedia&lt;/secondary-title&gt;&lt;/titles&gt;&lt;periodical&gt;&lt;full-title&gt;Transportation Research Procedia&lt;/full-title&gt;&lt;/periodical&gt;&lt;pages&gt;508-517&lt;/pages&gt;&lt;volume&gt;3&lt;/volume&gt;&lt;keywords&gt;&lt;keyword&gt;Polluting Emissions&lt;/keyword&gt;&lt;keyword&gt;Sustainable Freight Transport&lt;/keyword&gt;&lt;keyword&gt;Urban Freight Consolidation Centres (UFCCs)&lt;/keyword&gt;&lt;/keywords&gt;&lt;dates&gt;&lt;year&gt;2014&lt;/year&gt;&lt;pub-dates&gt;&lt;date&gt;2014/01/01/&lt;/date&gt;&lt;/pub-dates&gt;&lt;/dates&gt;&lt;isbn&gt;2352-1465&lt;/isbn&gt;&lt;urls&gt;&lt;related-urls&gt;&lt;url&gt;http://www.sciencedirect.com/science/article/pii/S2352146514001951&lt;/url&gt;&lt;/related-urls&gt;&lt;/urls&gt;&lt;electronic-resource-num&gt;https://doi.org/10.1016/j.trpro.2014.10.032&lt;/electronic-resource-num&gt;&lt;/record&gt;&lt;/Cite&gt;&lt;/EndNote&gt;</w:instrText>
            </w:r>
            <w:r>
              <w:rPr>
                <w:lang w:val="fr-FR"/>
              </w:rPr>
              <w:fldChar w:fldCharType="separate"/>
            </w:r>
            <w:r>
              <w:rPr>
                <w:noProof/>
                <w:lang w:val="fr-FR"/>
              </w:rPr>
              <w:t>(Daniela et al., 2014)</w:t>
            </w:r>
            <w:r>
              <w:rPr>
                <w:lang w:val="fr-FR"/>
              </w:rPr>
              <w:fldChar w:fldCharType="end"/>
            </w:r>
            <w:r w:rsidR="001A4615">
              <w:rPr>
                <w:lang w:val="fr-FR"/>
              </w:rPr>
              <w:t>;</w:t>
            </w:r>
            <w:r w:rsidR="001A4615" w:rsidRPr="007741AE">
              <w:rPr>
                <w:lang w:val="fr-FR"/>
              </w:rPr>
              <w:t xml:space="preserve"> </w:t>
            </w:r>
            <w:r w:rsidR="001A0E08">
              <w:rPr>
                <w:lang w:val="fr-FR"/>
              </w:rPr>
              <w:fldChar w:fldCharType="begin"/>
            </w:r>
            <w:r w:rsidR="000D1526">
              <w:rPr>
                <w:lang w:val="fr-FR"/>
              </w:rPr>
              <w:instrText xml:space="preserve"> ADDIN EN.CITE &lt;EndNote&gt;&lt;Cite AuthorYear="1"&gt;&lt;Author&gt;Moutaoukil&lt;/Author&gt;&lt;Year&gt;2015&lt;/Year&gt;&lt;RecNum&gt;373&lt;/RecNum&gt;&lt;DisplayText&gt;Moutaoukil et al. (2015)&lt;/DisplayText&gt;&lt;record&gt;&lt;rec-number&gt;373&lt;/rec-number&gt;&lt;foreign-keys&gt;&lt;key app="EN" db-id="pzt5ep52hsedfpeext2pdfes0w0aswaewef2" timestamp="1605189298"&gt;373&lt;/key&gt;&lt;/foreign-keys&gt;&lt;ref-type name="Journal Article"&gt;17&lt;/ref-type&gt;&lt;contributors&gt;&lt;authors&gt;&lt;author&gt;Moutaoukil, Abdelhamid&lt;/author&gt;&lt;author&gt;Neubert, Gilles&lt;/author&gt;&lt;author&gt;Derrouiche, Ridha&lt;/author&gt;&lt;/authors&gt;&lt;/contributors&gt;&lt;titles&gt;&lt;title&gt;Urban Freight Distribution: The impact of delivery time on sustainability&lt;/title&gt;&lt;secondary-title&gt;IFAC-PapersOnLine&lt;/secondary-title&gt;&lt;/titles&gt;&lt;periodical&gt;&lt;abbr-1&gt;IFAC-PapersOnLine&lt;/abbr-1&gt;&lt;/periodical&gt;&lt;pages&gt;2368-2373&lt;/pages&gt;&lt;volume&gt;48&lt;/volume&gt;&lt;number&gt;3&lt;/number&gt;&lt;keywords&gt;&lt;keyword&gt;Urban freight distribution&lt;/keyword&gt;&lt;keyword&gt;logistics pooling&lt;/keyword&gt;&lt;keyword&gt;vehicle routing problem&lt;/keyword&gt;&lt;keyword&gt;Sustainable logistics network&lt;/keyword&gt;&lt;keyword&gt;agri-food sector&lt;/keyword&gt;&lt;/keywords&gt;&lt;dates&gt;&lt;year&gt;2015&lt;/year&gt;&lt;pub-dates&gt;&lt;date&gt;2015/01/01/&lt;/date&gt;&lt;/pub-dates&gt;&lt;/dates&gt;&lt;isbn&gt;2405-8963&lt;/isbn&gt;&lt;urls&gt;&lt;related-urls&gt;&lt;url&gt;http://www.sciencedirect.com/science/article/pii/S2405896315006813&lt;/url&gt;&lt;/related-urls&gt;&lt;/urls&gt;&lt;electronic-resource-num&gt;https://doi.org/10.1016/j.ifacol.2015.06.442&lt;/electronic-resource-num&gt;&lt;/record&gt;&lt;/Cite&gt;&lt;/EndNote&gt;</w:instrText>
            </w:r>
            <w:r w:rsidR="001A0E08">
              <w:rPr>
                <w:lang w:val="fr-FR"/>
              </w:rPr>
              <w:fldChar w:fldCharType="separate"/>
            </w:r>
            <w:r w:rsidR="000D1526">
              <w:rPr>
                <w:noProof/>
                <w:lang w:val="fr-FR"/>
              </w:rPr>
              <w:t>Moutaoukil et al. (2015)</w:t>
            </w:r>
            <w:r w:rsidR="001A0E08">
              <w:rPr>
                <w:lang w:val="fr-FR"/>
              </w:rPr>
              <w:fldChar w:fldCharType="end"/>
            </w:r>
            <w:r w:rsidR="001A4615">
              <w:rPr>
                <w:lang w:val="fr-FR"/>
              </w:rPr>
              <w:t>;</w:t>
            </w:r>
            <w:r w:rsidR="001A4615" w:rsidRPr="007741AE">
              <w:rPr>
                <w:lang w:val="fr-FR"/>
              </w:rPr>
              <w:t xml:space="preserve"> </w:t>
            </w:r>
            <w:r w:rsidR="001A4615">
              <w:fldChar w:fldCharType="begin">
                <w:fldData xml:space="preserve">PEVuZE5vdGU+PENpdGUgQXV0aG9yWWVhcj0iMSI+PEF1dGhvcj5SYWJlPC9BdXRob3I+PFllYXI+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</w:fldData>
              </w:fldChar>
            </w:r>
            <w:r w:rsidR="004D7186">
              <w:instrText xml:space="preserve"> ADDIN EN.CITE </w:instrText>
            </w:r>
            <w:r w:rsidR="004D7186">
              <w:fldChar w:fldCharType="begin">
                <w:fldData xml:space="preserve">PEVuZE5vdGU+PENpdGUgQXV0aG9yWWVhcj0iMSI+PEF1dGhvcj5SYWJlPC9BdXRob3I+PFllYXI+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</w:fldData>
              </w:fldChar>
            </w:r>
            <w:r w:rsidR="004D7186">
              <w:instrText xml:space="preserve"> ADDIN EN.CITE.DATA </w:instrText>
            </w:r>
            <w:r w:rsidR="004D7186">
              <w:fldChar w:fldCharType="end"/>
            </w:r>
            <w:r w:rsidR="001A4615">
              <w:fldChar w:fldCharType="separate"/>
            </w:r>
            <w:r w:rsidR="001A4615" w:rsidRPr="0024558B">
              <w:rPr>
                <w:noProof/>
                <w:lang w:val="fr-FR"/>
              </w:rPr>
              <w:t>Rabe et al. (2019)</w:t>
            </w:r>
            <w:r w:rsidR="001A4615">
              <w:fldChar w:fldCharType="end"/>
            </w:r>
          </w:p>
        </w:tc>
      </w:tr>
      <w:tr w:rsidR="001A4615" w:rsidRPr="008903D1" w14:paraId="08D48103" w14:textId="77777777" w:rsidTr="00500AB3">
        <w:tc>
          <w:tcPr>
            <w:tcW w:w="1295" w:type="pct"/>
            <w:vAlign w:val="center"/>
          </w:tcPr>
          <w:p w14:paraId="6A993168" w14:textId="77777777" w:rsidR="001A4615" w:rsidRPr="00802DC5" w:rsidRDefault="001A4615" w:rsidP="001A4615">
            <w:pPr>
              <w:spacing w:line="240" w:lineRule="auto"/>
              <w:jc w:val="left"/>
              <w:rPr>
                <w:rFonts w:cs="Times New Roman"/>
              </w:rPr>
            </w:pPr>
            <w:r w:rsidRPr="00737239">
              <w:rPr>
                <w:rFonts w:cs="Times New Roman"/>
              </w:rPr>
              <w:t>Truck-loading rate</w:t>
            </w:r>
          </w:p>
        </w:tc>
        <w:tc>
          <w:tcPr>
            <w:tcW w:w="3705" w:type="pct"/>
            <w:vAlign w:val="center"/>
          </w:tcPr>
          <w:p w14:paraId="12094624" w14:textId="34264BCE" w:rsidR="001A4615" w:rsidRPr="00A96AC5" w:rsidRDefault="001A0E08" w:rsidP="001A4615">
            <w:pPr>
              <w:spacing w:line="240" w:lineRule="auto"/>
              <w:jc w:val="left"/>
              <w:rPr>
                <w:rFonts w:cs="Times New Roman"/>
                <w:lang w:val="fr-FR"/>
              </w:rPr>
            </w:pPr>
            <w:r>
              <w:rPr>
                <w:lang w:val="fr-FR"/>
              </w:rPr>
              <w:fldChar w:fldCharType="begin"/>
            </w:r>
            <w:r w:rsidR="000D1526">
              <w:rPr>
                <w:lang w:val="fr-FR"/>
              </w:rPr>
              <w:instrText xml:space="preserve"> ADDIN EN.CITE &lt;EndNote&gt;&lt;Cite AuthorYear="1"&gt;&lt;Author&gt;Moutaoukil&lt;/Author&gt;&lt;Year&gt;2015&lt;/Year&gt;&lt;RecNum&gt;373&lt;/RecNum&gt;&lt;DisplayText&gt;Moutaoukil et al. (2015)&lt;/DisplayText&gt;&lt;record&gt;&lt;rec-number&gt;373&lt;/rec-number&gt;&lt;foreign-keys&gt;&lt;key app="EN" db-id="pzt5ep52hsedfpeext2pdfes0w0aswaewef2" timestamp="1605189298"&gt;373&lt;/key&gt;&lt;/foreign-keys&gt;&lt;ref-type name="Journal Article"&gt;17&lt;/ref-type&gt;&lt;contributors&gt;&lt;authors&gt;&lt;author&gt;Moutaoukil, Abdelhamid&lt;/author&gt;&lt;author&gt;Neubert, Gilles&lt;/author&gt;&lt;author&gt;Derrouiche, Ridha&lt;/author&gt;&lt;/authors&gt;&lt;/contributors&gt;&lt;titles&gt;&lt;title&gt;Urban Freight Distribution: The impact of delivery time on sustainability&lt;/title&gt;&lt;secondary-title&gt;IFAC-PapersOnLine&lt;/secondary-title&gt;&lt;/titles&gt;&lt;periodical&gt;&lt;abbr-1&gt;IFAC-PapersOnLine&lt;/abbr-1&gt;&lt;/periodical&gt;&lt;pages&gt;2368-2373&lt;/pages&gt;&lt;volume&gt;48&lt;/volume&gt;&lt;number&gt;3&lt;/number&gt;&lt;keywords&gt;&lt;keyword&gt;Urban freight distribution&lt;/keyword&gt;&lt;keyword&gt;logistics pooling&lt;/keyword&gt;&lt;keyword&gt;vehicle routing problem&lt;/keyword&gt;&lt;keyword&gt;Sustainable logistics network&lt;/keyword&gt;&lt;keyword&gt;agri-food sector&lt;/keyword&gt;&lt;/keywords&gt;&lt;dates&gt;&lt;year&gt;2015&lt;/year&gt;&lt;pub-dates&gt;&lt;date&gt;2015/01/01/&lt;/date&gt;&lt;/pub-dates&gt;&lt;/dates&gt;&lt;isbn&gt;2405-8963&lt;/isbn&gt;&lt;urls&gt;&lt;related-urls&gt;&lt;url&gt;http://www.sciencedirect.com/science/article/pii/S2405896315006813&lt;/url&gt;&lt;/related-urls&gt;&lt;/urls&gt;&lt;electronic-resource-num&gt;https://doi.org/10.1016/j.ifacol.2015.06.442&lt;/electronic-resource-num&gt;&lt;/record&gt;&lt;/Cite&gt;&lt;/EndNote&gt;</w:instrText>
            </w:r>
            <w:r>
              <w:rPr>
                <w:lang w:val="fr-FR"/>
              </w:rPr>
              <w:fldChar w:fldCharType="separate"/>
            </w:r>
            <w:r w:rsidR="000D1526">
              <w:rPr>
                <w:noProof/>
                <w:lang w:val="fr-FR"/>
              </w:rPr>
              <w:t>Moutaoukil et al. (2015)</w:t>
            </w:r>
            <w:r>
              <w:rPr>
                <w:lang w:val="fr-FR"/>
              </w:rPr>
              <w:fldChar w:fldCharType="end"/>
            </w:r>
            <w:r w:rsidR="001A4615">
              <w:rPr>
                <w:lang w:val="fr-FR"/>
              </w:rPr>
              <w:t>;</w:t>
            </w:r>
            <w:r w:rsidR="001A4615" w:rsidRPr="007741AE">
              <w:rPr>
                <w:lang w:val="fr-FR"/>
              </w:rPr>
              <w:t xml:space="preserve"> </w:t>
            </w:r>
            <w:r w:rsidR="001A4615">
              <w:fldChar w:fldCharType="begin">
                <w:fldData xml:space="preserve">PEVuZE5vdGU+PENpdGUgQXV0aG9yWWVhcj0iMSI+PEF1dGhvcj5SYWJlPC9BdXRob3I+PFllYXI+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</w:fldData>
              </w:fldChar>
            </w:r>
            <w:r w:rsidR="007D7D52" w:rsidRPr="007A38D6">
              <w:rPr>
                <w:lang w:val="it-IT"/>
              </w:rPr>
              <w:instrText xml:space="preserve"> ADDIN EN.CITE </w:instrText>
            </w:r>
            <w:r w:rsidR="007D7D52">
              <w:fldChar w:fldCharType="begin">
                <w:fldData xml:space="preserve">PEVuZE5vdGU+PENpdGUgQXV0aG9yWWVhcj0iMSI+PEF1dGhvcj5SYWJlPC9BdXRob3I+PFllYXI+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</w:fldData>
              </w:fldChar>
            </w:r>
            <w:r w:rsidR="007D7D52" w:rsidRPr="007A38D6">
              <w:rPr>
                <w:lang w:val="it-IT"/>
              </w:rPr>
              <w:instrText xml:space="preserve"> ADDIN EN.CITE.DATA </w:instrText>
            </w:r>
            <w:r w:rsidR="007D7D52">
              <w:fldChar w:fldCharType="end"/>
            </w:r>
            <w:r w:rsidR="001A4615">
              <w:fldChar w:fldCharType="separate"/>
            </w:r>
            <w:r w:rsidR="001A4615" w:rsidRPr="0024558B">
              <w:rPr>
                <w:noProof/>
                <w:lang w:val="fr-FR"/>
              </w:rPr>
              <w:t xml:space="preserve">Rabe et al. </w:t>
            </w:r>
            <w:r w:rsidR="001A4615">
              <w:rPr>
                <w:noProof/>
              </w:rPr>
              <w:t>(2019)</w:t>
            </w:r>
            <w:r w:rsidR="001A4615">
              <w:fldChar w:fldCharType="end"/>
            </w:r>
          </w:p>
        </w:tc>
      </w:tr>
    </w:tbl>
    <w:p w14:paraId="5B6610D4" w14:textId="716AB86D" w:rsidR="0071798B" w:rsidRDefault="007B5959" w:rsidP="00223C7E">
      <w:pPr>
        <w:pStyle w:val="Caption"/>
        <w:spacing w:line="360" w:lineRule="auto"/>
        <w:rPr>
          <w:rFonts w:cs="Times New Roman"/>
        </w:rPr>
      </w:pPr>
      <w:bookmarkStart w:id="393" w:name="_Ref26910924"/>
      <w:bookmarkStart w:id="394" w:name="_Ref26910910"/>
      <w:bookmarkStart w:id="395" w:name="_Toc34674941"/>
      <w:bookmarkStart w:id="396" w:name="_Toc34734733"/>
      <w:bookmarkStart w:id="397" w:name="_Toc46053547"/>
      <w:bookmarkStart w:id="398" w:name="_Toc46093796"/>
      <w:bookmarkStart w:id="399" w:name="_Toc66698764"/>
      <w:r>
        <w:rPr>
          <w:rFonts w:cs="Times New Roman"/>
        </w:rPr>
        <w:t>Table</w:t>
      </w:r>
      <w:r w:rsidR="0071798B"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2</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13</w:t>
      </w:r>
      <w:r w:rsidR="00FE10DA">
        <w:rPr>
          <w:rFonts w:cs="Times New Roman"/>
        </w:rPr>
        <w:fldChar w:fldCharType="end"/>
      </w:r>
      <w:bookmarkEnd w:id="393"/>
      <w:r w:rsidR="00AF217C">
        <w:rPr>
          <w:rFonts w:cs="Times New Roman"/>
        </w:rPr>
        <w:t>:</w:t>
      </w:r>
      <w:r w:rsidR="0071798B" w:rsidRPr="008903D1">
        <w:rPr>
          <w:rFonts w:cs="Times New Roman"/>
        </w:rPr>
        <w:t xml:space="preserve"> Evaluations of urban consolidation centre (UCC) research, environmental and social criteria</w:t>
      </w:r>
      <w:bookmarkEnd w:id="394"/>
      <w:bookmarkEnd w:id="395"/>
      <w:bookmarkEnd w:id="396"/>
      <w:bookmarkEnd w:id="397"/>
      <w:bookmarkEnd w:id="398"/>
      <w:bookmarkEnd w:id="399"/>
    </w:p>
    <w:p w14:paraId="5E26A9C2" w14:textId="7F030731" w:rsidR="00A844E5" w:rsidRPr="00A844E5" w:rsidRDefault="00A844E5" w:rsidP="00A844E5">
      <w:pPr>
        <w:spacing w:after="240" w:line="360" w:lineRule="auto"/>
      </w:pPr>
      <w:r w:rsidRPr="00802DC5">
        <w:rPr>
          <w:rFonts w:cs="Times New Roman"/>
        </w:rPr>
        <w:t>The three primary methodologies used in the above research are survey, the mathematical model, and simulation. The survey approach is a common means of comparing results from be</w:t>
      </w:r>
      <w:r w:rsidRPr="006C301D">
        <w:rPr>
          <w:rFonts w:cs="Times New Roman"/>
        </w:rPr>
        <w:t xml:space="preserve">fore and after the establishment of a UCC </w:t>
      </w:r>
      <w:r>
        <w:fldChar w:fldCharType="begin">
          <w:fldData xml:space="preserve">PEVuZE5vdGU+PENpdGU+PEF1dGhvcj5Ccm93bmU8L0F1dGhvcj48WWVhcj4yMDExPC9ZZWFyPjxS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</w:fldData>
        </w:fldChar>
      </w:r>
      <w:r w:rsidR="00453AB7">
        <w:instrText xml:space="preserve"> ADDIN EN.CITE </w:instrText>
      </w:r>
      <w:r w:rsidR="00453AB7">
        <w:fldChar w:fldCharType="begin">
          <w:fldData xml:space="preserve">PEVuZE5vdGU+PENpdGU+PEF1dGhvcj5Ccm93bmU8L0F1dGhvcj48WWVhcj4yMDExPC9ZZWFyPjxS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</w:fldData>
        </w:fldChar>
      </w:r>
      <w:r w:rsidR="00453AB7">
        <w:instrText xml:space="preserve"> ADDIN EN.CITE.DATA </w:instrText>
      </w:r>
      <w:r w:rsidR="00453AB7">
        <w:fldChar w:fldCharType="end"/>
      </w:r>
      <w:r>
        <w:fldChar w:fldCharType="separate"/>
      </w:r>
      <w:r w:rsidR="00453AB7">
        <w:rPr>
          <w:noProof/>
        </w:rPr>
        <w:t>(Browne et al., 2011, Correia et al., 2012, Gonzalez-Feliu and Morana, 2014, Nocera and Cavallaro, 2015, Clausen et al., 2016)</w:t>
      </w:r>
      <w:r>
        <w:fldChar w:fldCharType="end"/>
      </w:r>
      <w:r w:rsidRPr="00A96AC5">
        <w:rPr>
          <w:rFonts w:cs="Times New Roman"/>
        </w:rPr>
        <w:t xml:space="preserve">. The mathematical model </w:t>
      </w:r>
      <w:r>
        <w:fldChar w:fldCharType="begin">
          <w:fldData xml:space="preserve">PEVuZE5vdGU+PENpdGU+PEF1dGhvcj5DaGVuPC9BdXRob3I+PFllYXI+MjAxMjwvWWVhcj48UmVj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==
</w:fldData>
        </w:fldChar>
      </w:r>
      <w:r w:rsidR="000E0AA5">
        <w:instrText xml:space="preserve"> ADDIN EN.CITE </w:instrText>
      </w:r>
      <w:r w:rsidR="000E0AA5">
        <w:fldChar w:fldCharType="begin">
          <w:fldData xml:space="preserve">PEVuZE5vdGU+PENpdGU+PEF1dGhvcj5DaGVuPC9BdXRob3I+PFllYXI+MjAxMjwvWWVhcj48UmVj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==
</w:fldData>
        </w:fldChar>
      </w:r>
      <w:r w:rsidR="000E0AA5">
        <w:instrText xml:space="preserve"> ADDIN EN.CITE.DATA </w:instrText>
      </w:r>
      <w:r w:rsidR="000E0AA5">
        <w:fldChar w:fldCharType="end"/>
      </w:r>
      <w:r>
        <w:fldChar w:fldCharType="separate"/>
      </w:r>
      <w:r w:rsidR="000E0AA5">
        <w:rPr>
          <w:noProof/>
        </w:rPr>
        <w:t>(Chen et al., 2012, Jacyna, 2013, Russo et al., 2013, Daniela et al., 2014, Moutaoukil et al., 2015, Faure et al., 2016)</w:t>
      </w:r>
      <w:r>
        <w:fldChar w:fldCharType="end"/>
      </w:r>
      <w:r>
        <w:t xml:space="preserve"> </w:t>
      </w:r>
      <w:r w:rsidRPr="00A96AC5">
        <w:rPr>
          <w:rFonts w:cs="Times New Roman"/>
        </w:rPr>
        <w:t xml:space="preserve">and simulation </w:t>
      </w:r>
      <w:r>
        <w:fldChar w:fldCharType="begin">
          <w:fldData xml:space="preserve">PEVuZE5vdGU+PENpdGU+PEF1dGhvcj5UZW88L0F1dGhvcj48WWVhcj4yMDE1PC9ZZWFyPjxSZWNO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</w:fldData>
        </w:fldChar>
      </w:r>
      <w:r w:rsidR="00782C3B">
        <w:instrText xml:space="preserve"> ADDIN EN.CITE </w:instrText>
      </w:r>
      <w:r w:rsidR="00782C3B">
        <w:fldChar w:fldCharType="begin">
          <w:fldData xml:space="preserve">PEVuZE5vdGU+PENpdGU+PEF1dGhvcj5UZW88L0F1dGhvcj48WWVhcj4yMDE1PC9ZZWFyPjxSZWNO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</w:fldData>
        </w:fldChar>
      </w:r>
      <w:r w:rsidR="00782C3B">
        <w:instrText xml:space="preserve"> ADDIN EN.CITE.DATA </w:instrText>
      </w:r>
      <w:r w:rsidR="00782C3B">
        <w:fldChar w:fldCharType="end"/>
      </w:r>
      <w:r>
        <w:fldChar w:fldCharType="separate"/>
      </w:r>
      <w:r>
        <w:rPr>
          <w:noProof/>
        </w:rPr>
        <w:t>(Teo et al., 2015, Saetta and Caldarelli, 2016, Firdausiyah et al., 2019, Rabe et al., 2019)</w:t>
      </w:r>
      <w:r>
        <w:fldChar w:fldCharType="end"/>
      </w:r>
      <w:r w:rsidRPr="00A96AC5">
        <w:rPr>
          <w:rFonts w:cs="Times New Roman"/>
        </w:rPr>
        <w:t xml:space="preserve"> are employed for ex-ante evaluation of UCC planning or analysis of the potential outcomes of proposed UCC scenarios.</w:t>
      </w:r>
    </w:p>
    <w:p w14:paraId="266D9D5F" w14:textId="1F3AE675" w:rsidR="0071798B" w:rsidRDefault="0071798B" w:rsidP="000A4E8C">
      <w:pPr>
        <w:pStyle w:val="Heading3"/>
        <w:spacing w:line="360" w:lineRule="auto"/>
        <w:rPr>
          <w:rFonts w:cs="Times New Roman"/>
        </w:rPr>
      </w:pPr>
      <w:bookmarkStart w:id="400" w:name="_Toc34734504"/>
      <w:bookmarkStart w:id="401" w:name="_Toc46053422"/>
      <w:bookmarkStart w:id="402" w:name="_Toc46093336"/>
      <w:bookmarkStart w:id="403" w:name="_Toc46093619"/>
      <w:bookmarkStart w:id="404" w:name="_Toc66703194"/>
      <w:r w:rsidRPr="00A96AC5">
        <w:rPr>
          <w:rFonts w:cs="Times New Roman"/>
        </w:rPr>
        <w:t>Economic considerations</w:t>
      </w:r>
      <w:bookmarkEnd w:id="400"/>
      <w:bookmarkEnd w:id="401"/>
      <w:bookmarkEnd w:id="402"/>
      <w:bookmarkEnd w:id="403"/>
      <w:bookmarkEnd w:id="404"/>
    </w:p>
    <w:p w14:paraId="66E85FD8" w14:textId="4FA21A3D" w:rsidR="00772A85" w:rsidRPr="00DA16FA" w:rsidRDefault="003C582E" w:rsidP="0027312F">
      <w:pPr>
        <w:spacing w:after="240" w:line="360" w:lineRule="auto"/>
        <w:rPr>
          <w:color w:val="000000" w:themeColor="text1"/>
        </w:rPr>
      </w:pPr>
      <w:r w:rsidRPr="00DA16FA">
        <w:rPr>
          <w:rFonts w:cs="Times New Roman"/>
          <w:noProof/>
          <w:color w:val="000000" w:themeColor="text1"/>
        </w:rPr>
        <w:fldChar w:fldCharType="begin"/>
      </w:r>
      <w:r w:rsidR="00647E79" w:rsidRPr="00DA16FA">
        <w:rPr>
          <w:rFonts w:cs="Times New Roman"/>
          <w:noProof/>
          <w:color w:val="000000" w:themeColor="text1"/>
        </w:rPr>
        <w:instrText xml:space="preserve"> ADDIN EN.CITE &lt;EndNote&gt;&lt;Cite AuthorYear="1"&gt;&lt;Author&gt;Browne&lt;/Author&gt;&lt;Year&gt;2011&lt;/Year&gt;&lt;RecNum&gt;224&lt;/RecNum&gt;&lt;DisplayText&gt;Browne et al. (2011)&lt;/DisplayText&gt;&lt;record&gt;&lt;rec-number&gt;224&lt;/rec-number&gt;&lt;foreign-keys&gt;&lt;key app="EN" db-id="pzt5ep52hsedfpeext2pdfes0w0aswaewef2" timestamp="1605187997"&gt;224&lt;/key&gt;&lt;/foreign-keys&gt;&lt;ref-type name="Journal Article"&gt;17&lt;/ref-type&gt;&lt;contributors&gt;&lt;authors&gt;&lt;author&gt;Browne, Michael&lt;/author&gt;&lt;author&gt;Allen, Julian&lt;/author&gt;&lt;author&gt;Leonardi, Jacques&lt;/author&gt;&lt;/authors&gt;&lt;/contributors&gt;&lt;titles&gt;&lt;title&gt;Evaluating the use of an urban consolidation centre and electric vehicles in central London&lt;/title&gt;&lt;secondary-title&gt;IATSS research&lt;/secondary-title&gt;&lt;/titles&gt;&lt;periodical&gt;&lt;full-title&gt;IATSS research&lt;/full-title&gt;&lt;/periodical&gt;&lt;pages&gt;1-6&lt;/pages&gt;&lt;volume&gt;35&lt;/volume&gt;&lt;number&gt;1&lt;/number&gt;&lt;dates&gt;&lt;year&gt;2011&lt;/year&gt;&lt;/dates&gt;&lt;isbn&gt;0386-1112&lt;/isbn&gt;&lt;urls&gt;&lt;/urls&gt;&lt;/record&gt;&lt;/Cite&gt;&lt;/EndNote&gt;</w:instrText>
      </w:r>
      <w:r w:rsidRPr="00DA16FA">
        <w:rPr>
          <w:rFonts w:cs="Times New Roman"/>
          <w:noProof/>
          <w:color w:val="000000" w:themeColor="text1"/>
        </w:rPr>
        <w:fldChar w:fldCharType="separate"/>
      </w:r>
      <w:r w:rsidR="00EA7453" w:rsidRPr="00DA16FA">
        <w:rPr>
          <w:rFonts w:cs="Times New Roman"/>
          <w:noProof/>
          <w:color w:val="000000" w:themeColor="text1"/>
        </w:rPr>
        <w:t>Browne et al. (2011)</w:t>
      </w:r>
      <w:r w:rsidRPr="00DA16FA">
        <w:rPr>
          <w:rFonts w:cs="Times New Roman"/>
          <w:noProof/>
          <w:color w:val="000000" w:themeColor="text1"/>
        </w:rPr>
        <w:fldChar w:fldCharType="end"/>
      </w:r>
      <w:r w:rsidR="00754586" w:rsidRPr="00DA16FA">
        <w:rPr>
          <w:rFonts w:cs="Times New Roman"/>
          <w:noProof/>
          <w:color w:val="000000" w:themeColor="text1"/>
        </w:rPr>
        <w:t xml:space="preserve"> </w:t>
      </w:r>
      <w:r w:rsidR="004430AA" w:rsidRPr="00DA16FA">
        <w:rPr>
          <w:rFonts w:cs="Times New Roman"/>
          <w:noProof/>
          <w:color w:val="000000" w:themeColor="text1"/>
        </w:rPr>
        <w:t>investigated a UCC that used EVs and cargo tricycles to reduce operational costs, including</w:t>
      </w:r>
      <w:r w:rsidR="00811D6D" w:rsidRPr="00DA16FA">
        <w:rPr>
          <w:rFonts w:cs="Times New Roman"/>
          <w:noProof/>
          <w:color w:val="000000" w:themeColor="text1"/>
        </w:rPr>
        <w:t>:</w:t>
      </w:r>
      <w:r w:rsidR="004430AA" w:rsidRPr="00DA16FA">
        <w:rPr>
          <w:rFonts w:cs="Times New Roman"/>
          <w:noProof/>
          <w:color w:val="000000" w:themeColor="text1"/>
        </w:rPr>
        <w:t xml:space="preserve"> capital, fuel, insurance, excise duty, maintenance, and drivers. For the participa</w:t>
      </w:r>
      <w:r w:rsidR="00026029" w:rsidRPr="00DA16FA">
        <w:rPr>
          <w:rFonts w:cs="Times New Roman"/>
          <w:noProof/>
          <w:color w:val="000000" w:themeColor="text1"/>
        </w:rPr>
        <w:t xml:space="preserve">ting inter city carriers, </w:t>
      </w:r>
      <w:r w:rsidR="00811D6D" w:rsidRPr="00DA16FA">
        <w:rPr>
          <w:rFonts w:cs="Times New Roman"/>
          <w:noProof/>
          <w:color w:val="000000" w:themeColor="text1"/>
        </w:rPr>
        <w:t xml:space="preserve">a </w:t>
      </w:r>
      <w:r w:rsidR="00026029" w:rsidRPr="00DA16FA">
        <w:rPr>
          <w:rFonts w:cs="Times New Roman"/>
          <w:noProof/>
          <w:color w:val="000000" w:themeColor="text1"/>
        </w:rPr>
        <w:t>UCC can simplify their</w:t>
      </w:r>
      <w:r w:rsidR="00722F7D" w:rsidRPr="00DA16FA">
        <w:rPr>
          <w:rFonts w:cs="Times New Roman"/>
          <w:noProof/>
          <w:color w:val="000000" w:themeColor="text1"/>
        </w:rPr>
        <w:t xml:space="preserve"> delivery process</w:t>
      </w:r>
      <w:r w:rsidR="0039235E" w:rsidRPr="00DA16FA">
        <w:rPr>
          <w:rFonts w:cs="Times New Roman"/>
          <w:noProof/>
          <w:color w:val="000000" w:themeColor="text1"/>
        </w:rPr>
        <w:t xml:space="preserve"> </w:t>
      </w:r>
      <w:r w:rsidRPr="00DA16FA">
        <w:rPr>
          <w:rFonts w:cs="Times New Roman"/>
          <w:noProof/>
          <w:color w:val="000000" w:themeColor="text1"/>
        </w:rPr>
        <w:fldChar w:fldCharType="begin"/>
      </w:r>
      <w:r w:rsidR="0036548D" w:rsidRPr="00DA16FA">
        <w:rPr>
          <w:rFonts w:cs="Times New Roman"/>
          <w:noProof/>
          <w:color w:val="000000" w:themeColor="text1"/>
        </w:rPr>
        <w:instrText xml:space="preserve"> ADDIN EN.CITE &lt;EndNote&gt;&lt;Cite&gt;&lt;Author&gt;Van Rooijen&lt;/Author&gt;&lt;Year&gt;2010&lt;/Year&gt;&lt;RecNum&gt;103&lt;/RecNum&gt;&lt;DisplayText&gt;(Van Rooijen and Quak, 2010)&lt;/DisplayText&gt;&lt;record&gt;&lt;rec-number&gt;103&lt;/rec-number&gt;&lt;foreign-keys&gt;&lt;key app="EN" db-id="x5etaz5aiszvz0edasvvpwvotttxepvd25t2" timestamp="1603802000"&gt;103&lt;/key&gt;&lt;/foreign-keys&gt;&lt;ref-type name="Conference Proceedings"&gt;10&lt;/ref-type&gt;&lt;contributors&gt;&lt;authors&gt;&lt;author&gt;Van Rooijen, T.&lt;/author&gt;&lt;author&gt;Quak, H.&lt;/author&gt;&lt;/authors&gt;&lt;/contributors&gt;&lt;auth-address&gt;TNO Mobility and Logistics, Van Mourik Broekmanweg 6, 2628 XE Delft, Netherlands&lt;/auth-address&gt;&lt;titles&gt;&lt;title&gt;Local impacts of a new urban consolidation centre - The case of Binnenstadservice.nl&lt;/title&gt;&lt;secondary-title&gt;Procedia - Social and Behavioral Sciences&lt;/secondary-title&gt;&lt;alt-title&gt;Procedia Soc. Behav. Sci.&lt;/alt-title&gt;&lt;/titles&gt;&lt;periodical&gt;&lt;full-title&gt;Procedia - Social and Behavioral Sciences&lt;/full-title&gt;&lt;/periodical&gt;&lt;pages&gt;5967-5979&lt;/pages&gt;&lt;volume&gt;2&lt;/volume&gt;&lt;edition&gt;3&lt;/edition&gt;&lt;keywords&gt;&lt;keyword&gt;City logistics&lt;/keyword&gt;&lt;keyword&gt;Local impact&lt;/keyword&gt;&lt;keyword&gt;Sustainability&lt;/keyword&gt;&lt;keyword&gt;Urban consolidation centre&lt;/keyword&gt;&lt;keyword&gt;Urban freight transport&lt;/keyword&gt;&lt;/keywords&gt;&lt;dates&gt;&lt;year&gt;2010&lt;/year&gt;&lt;/dates&gt;&lt;publisher&gt;Elsevier Ltd&lt;/publisher&gt;&lt;isbn&gt;18770428 (ISSN)&lt;/isbn&gt;&lt;work-type&gt;Conference Paper&lt;/work-type&gt;&lt;urls&gt;&lt;related-urls&gt;&lt;url&gt;https://www.scopus.com/inward/record.uri?eid=2-s2.0-77956638111&amp;amp;doi=10.1016%2fj.sbspro.2010.04.011&amp;amp;partnerID=40&amp;amp;md5=cd5918733874976af2e61fa15799d3e9&lt;/url&gt;&lt;/related-urls&gt;&lt;/urls&gt;&lt;electronic-resource-num&gt;10.1016/j.sbspro.2010.04.011&lt;/electronic-resource-num&gt;&lt;remote-database-name&gt;Scopus&lt;/remote-database-name&gt;&lt;language&gt;English&lt;/language&gt;&lt;/record&gt;&lt;/Cite&gt;&lt;/EndNote&gt;</w:instrText>
      </w:r>
      <w:r w:rsidRPr="00DA16FA">
        <w:rPr>
          <w:rFonts w:cs="Times New Roman"/>
          <w:noProof/>
          <w:color w:val="000000" w:themeColor="text1"/>
        </w:rPr>
        <w:fldChar w:fldCharType="separate"/>
      </w:r>
      <w:r w:rsidRPr="00DA16FA">
        <w:rPr>
          <w:rFonts w:cs="Times New Roman"/>
          <w:noProof/>
          <w:color w:val="000000" w:themeColor="text1"/>
        </w:rPr>
        <w:t>(Van Rooijen and Quak, 2010)</w:t>
      </w:r>
      <w:r w:rsidRPr="00DA16FA">
        <w:rPr>
          <w:rFonts w:cs="Times New Roman"/>
          <w:noProof/>
          <w:color w:val="000000" w:themeColor="text1"/>
        </w:rPr>
        <w:fldChar w:fldCharType="end"/>
      </w:r>
      <w:r w:rsidR="0039235E" w:rsidRPr="00DA16FA">
        <w:rPr>
          <w:rFonts w:cs="Times New Roman"/>
          <w:noProof/>
          <w:color w:val="000000" w:themeColor="text1"/>
        </w:rPr>
        <w:t xml:space="preserve">. </w:t>
      </w:r>
      <w:r w:rsidR="00AF11D9" w:rsidRPr="00DA16FA">
        <w:rPr>
          <w:rFonts w:cs="Times New Roman"/>
          <w:noProof/>
          <w:color w:val="000000" w:themeColor="text1"/>
        </w:rPr>
        <w:t xml:space="preserve">Furthermore, delivery costs can be reduced by optimising delivery routes </w:t>
      </w:r>
      <w:r w:rsidR="00AF11D9" w:rsidRPr="00DA16FA">
        <w:rPr>
          <w:noProof/>
          <w:color w:val="000000" w:themeColor="text1"/>
        </w:rPr>
        <w:t>(Jacyna, 2013)</w:t>
      </w:r>
      <w:r w:rsidR="00AF11D9" w:rsidRPr="00DA16FA">
        <w:rPr>
          <w:rFonts w:cs="Times New Roman"/>
          <w:noProof/>
          <w:color w:val="000000" w:themeColor="text1"/>
        </w:rPr>
        <w:t xml:space="preserve"> and delivery times </w:t>
      </w:r>
      <w:r w:rsidR="001A0E08" w:rsidRPr="00DA16FA">
        <w:rPr>
          <w:color w:val="000000" w:themeColor="text1"/>
          <w:lang w:val="fr-FR"/>
        </w:rPr>
        <w:fldChar w:fldCharType="begin"/>
      </w:r>
      <w:r w:rsidR="00D118B8" w:rsidRPr="00DA16FA">
        <w:rPr>
          <w:color w:val="000000" w:themeColor="text1"/>
          <w:lang w:val="fr-FR"/>
        </w:rPr>
        <w:instrText xml:space="preserve"> ADDIN EN.CITE &lt;EndNote&gt;&lt;Cite&gt;&lt;Author&gt;Moutaoukil&lt;/Author&gt;&lt;Year&gt;2015&lt;/Year&gt;&lt;RecNum&gt;373&lt;/RecNum&gt;&lt;DisplayText&gt;(Moutaoukil et al., 2015)&lt;/DisplayText&gt;&lt;record&gt;&lt;rec-number&gt;373&lt;/rec-number&gt;&lt;foreign-keys&gt;&lt;key app="EN" db-id="pzt5ep52hsedfpeext2pdfes0w0aswaewef2" timestamp="1605189298"&gt;373&lt;/key&gt;&lt;/foreign-keys&gt;&lt;ref-type name="Journal Article"&gt;17&lt;/ref-type&gt;&lt;contributors&gt;&lt;authors&gt;&lt;author&gt;Moutaoukil, Abdelhamid&lt;/author&gt;&lt;author&gt;Neubert, Gilles&lt;/author&gt;&lt;author&gt;Derrouiche, Ridha&lt;/author&gt;&lt;/authors&gt;&lt;/contributors&gt;&lt;titles&gt;&lt;title&gt;Urban Freight Distribution: The impact of delivery time on sustainability&lt;/title&gt;&lt;secondary-title&gt;IFAC-PapersOnLine&lt;/secondary-title&gt;&lt;/titles&gt;&lt;periodical&gt;&lt;abbr-1&gt;IFAC-PapersOnLine&lt;/abbr-1&gt;&lt;/periodical&gt;&lt;pages&gt;2368-2373&lt;/pages&gt;&lt;volume&gt;48&lt;/volume&gt;&lt;number&gt;3&lt;/number&gt;&lt;keywords&gt;&lt;keyword&gt;Urban freight distribution&lt;/keyword&gt;&lt;keyword&gt;logistics pooling&lt;/keyword&gt;&lt;keyword&gt;vehicle routing problem&lt;/keyword&gt;&lt;keyword&gt;Sustainable logistics network&lt;/keyword&gt;&lt;keyword&gt;agri-food sector&lt;/keyword&gt;&lt;/keywords&gt;&lt;dates&gt;&lt;year&gt;2015&lt;/year&gt;&lt;pub-dates&gt;&lt;date&gt;2015/01/01/&lt;/date&gt;&lt;/pub-dates&gt;&lt;/dates&gt;&lt;isbn&gt;2405-8963&lt;/isbn&gt;&lt;urls&gt;&lt;related-urls&gt;&lt;url&gt;http://www.sciencedirect.com/science/article/pii/S2405896315006813&lt;/url&gt;&lt;/related-urls&gt;&lt;/urls&gt;&lt;electronic-resource-num&gt;https://doi.org/10.1016/j.ifacol.2015.06.442&lt;/electronic-resource-num&gt;&lt;/record&gt;&lt;/Cite&gt;&lt;/EndNote&gt;</w:instrText>
      </w:r>
      <w:r w:rsidR="001A0E08" w:rsidRPr="00DA16FA">
        <w:rPr>
          <w:color w:val="000000" w:themeColor="text1"/>
          <w:lang w:val="fr-FR"/>
        </w:rPr>
        <w:fldChar w:fldCharType="separate"/>
      </w:r>
      <w:r w:rsidR="00D118B8" w:rsidRPr="00DA16FA">
        <w:rPr>
          <w:noProof/>
          <w:color w:val="000000" w:themeColor="text1"/>
          <w:lang w:val="fr-FR"/>
        </w:rPr>
        <w:t>(Moutaoukil et al., 2015)</w:t>
      </w:r>
      <w:r w:rsidR="001A0E08" w:rsidRPr="00DA16FA">
        <w:rPr>
          <w:color w:val="000000" w:themeColor="text1"/>
          <w:lang w:val="fr-FR"/>
        </w:rPr>
        <w:fldChar w:fldCharType="end"/>
      </w:r>
      <w:r w:rsidR="00AF11D9" w:rsidRPr="00DA16FA">
        <w:rPr>
          <w:rFonts w:cs="Times New Roman"/>
          <w:noProof/>
          <w:color w:val="000000" w:themeColor="text1"/>
        </w:rPr>
        <w:t>.</w:t>
      </w:r>
      <w:r w:rsidR="009A276D" w:rsidRPr="00DA16FA">
        <w:rPr>
          <w:rFonts w:cs="Times New Roman"/>
          <w:noProof/>
          <w:color w:val="000000" w:themeColor="text1"/>
        </w:rPr>
        <w:t xml:space="preserve"> </w:t>
      </w:r>
      <w:r w:rsidRPr="00DA16FA">
        <w:rPr>
          <w:noProof/>
          <w:color w:val="000000" w:themeColor="text1"/>
        </w:rPr>
        <w:fldChar w:fldCharType="begin"/>
      </w:r>
      <w:r w:rsidR="00647E79" w:rsidRPr="00DA16FA">
        <w:rPr>
          <w:noProof/>
          <w:color w:val="000000" w:themeColor="text1"/>
        </w:rPr>
        <w:instrText xml:space="preserve"> ADDIN EN.CITE &lt;EndNote&gt;&lt;Cite AuthorYear="1"&gt;&lt;Author&gt;Aastrup&lt;/Author&gt;&lt;Year&gt;2012&lt;/Year&gt;&lt;RecNum&gt;239&lt;/RecNum&gt;&lt;DisplayText&gt;Aastrup et al. (2012)&lt;/DisplayText&gt;&lt;record&gt;&lt;rec-number&gt;239&lt;/rec-number&gt;&lt;foreign-keys&gt;&lt;key app="EN" db-id="pzt5ep52hsedfpeext2pdfes0w0aswaewef2" timestamp="1605187997"&gt;239&lt;/key&gt;&lt;/foreign-keys&gt;&lt;ref-type name="Conference Proceedings"&gt;10&lt;/ref-type&gt;&lt;contributors&gt;&lt;authors&gt;&lt;author&gt;Aastrup, Jesper&lt;/author&gt;&lt;author&gt;Gammelgaard, Britta&lt;/author&gt;&lt;author&gt;Prockl, Günter&lt;/author&gt;&lt;/authors&gt;&lt;/contributors&gt;&lt;titles&gt;&lt;title&gt;3PL Services in City Logistics: A User&amp;apos;s Perspective&lt;/title&gt;&lt;secondary-title&gt;Proceedings of the 24th Annual Nordic Logics Research Network Conference: NOFOMA 2012&lt;/secondary-title&gt;&lt;/titles&gt;&lt;pages&gt;2-20&lt;/pages&gt;&lt;dates&gt;&lt;year&gt;2012&lt;/year&gt;&lt;/dates&gt;&lt;publisher&gt;Turku School of Economics and Business Administration&lt;/publisher&gt;&lt;urls&gt;&lt;/urls&gt;&lt;/record&gt;&lt;/Cite&gt;&lt;/EndNote&gt;</w:instrText>
      </w:r>
      <w:r w:rsidRPr="00DA16FA">
        <w:rPr>
          <w:noProof/>
          <w:color w:val="000000" w:themeColor="text1"/>
        </w:rPr>
        <w:fldChar w:fldCharType="separate"/>
      </w:r>
      <w:r w:rsidR="00AA225C" w:rsidRPr="00DA16FA">
        <w:rPr>
          <w:noProof/>
          <w:color w:val="000000" w:themeColor="text1"/>
        </w:rPr>
        <w:t>Aastrup et al. (2012)</w:t>
      </w:r>
      <w:r w:rsidRPr="00DA16FA">
        <w:rPr>
          <w:noProof/>
          <w:color w:val="000000" w:themeColor="text1"/>
        </w:rPr>
        <w:fldChar w:fldCharType="end"/>
      </w:r>
      <w:r w:rsidR="00492D47" w:rsidRPr="00DA16FA">
        <w:rPr>
          <w:color w:val="000000" w:themeColor="text1"/>
        </w:rPr>
        <w:t xml:space="preserve"> </w:t>
      </w:r>
      <w:r w:rsidR="00922F71" w:rsidRPr="00DA16FA">
        <w:rPr>
          <w:color w:val="000000" w:themeColor="text1"/>
        </w:rPr>
        <w:t xml:space="preserve">illustrate that </w:t>
      </w:r>
      <w:r w:rsidR="00A82FF7" w:rsidRPr="00DA16FA">
        <w:rPr>
          <w:color w:val="000000" w:themeColor="text1"/>
        </w:rPr>
        <w:t xml:space="preserve">a </w:t>
      </w:r>
      <w:r w:rsidR="00922F71" w:rsidRPr="00DA16FA">
        <w:rPr>
          <w:color w:val="000000" w:themeColor="text1"/>
        </w:rPr>
        <w:t xml:space="preserve">UCC can </w:t>
      </w:r>
      <w:r w:rsidR="001040D3" w:rsidRPr="00DA16FA">
        <w:rPr>
          <w:color w:val="000000" w:themeColor="text1"/>
        </w:rPr>
        <w:t>personalise delivery schedules for the participating retail stores</w:t>
      </w:r>
      <w:r w:rsidR="00132F4C" w:rsidRPr="00DA16FA">
        <w:rPr>
          <w:color w:val="000000" w:themeColor="text1"/>
        </w:rPr>
        <w:t>.</w:t>
      </w:r>
      <w:r w:rsidR="001040D3" w:rsidRPr="00DA16FA">
        <w:rPr>
          <w:color w:val="000000" w:themeColor="text1"/>
        </w:rPr>
        <w:t xml:space="preserve"> </w:t>
      </w:r>
      <w:r w:rsidR="00DF4859" w:rsidRPr="00DA16FA">
        <w:rPr>
          <w:color w:val="000000" w:themeColor="text1"/>
        </w:rPr>
        <w:t>Thus</w:t>
      </w:r>
      <w:r w:rsidR="00132F4C" w:rsidRPr="00DA16FA">
        <w:rPr>
          <w:color w:val="000000" w:themeColor="text1"/>
        </w:rPr>
        <w:t>,</w:t>
      </w:r>
      <w:r w:rsidR="001040D3" w:rsidRPr="00DA16FA">
        <w:rPr>
          <w:color w:val="000000" w:themeColor="text1"/>
        </w:rPr>
        <w:t xml:space="preserve"> </w:t>
      </w:r>
      <w:r w:rsidR="00DF016D" w:rsidRPr="00DA16FA">
        <w:rPr>
          <w:color w:val="000000" w:themeColor="text1"/>
        </w:rPr>
        <w:t xml:space="preserve">the </w:t>
      </w:r>
      <w:r w:rsidR="00132F4C" w:rsidRPr="00DA16FA">
        <w:rPr>
          <w:color w:val="000000" w:themeColor="text1"/>
        </w:rPr>
        <w:t xml:space="preserve">UCC </w:t>
      </w:r>
      <w:r w:rsidR="001040D3" w:rsidRPr="00DA16FA">
        <w:rPr>
          <w:color w:val="000000" w:themeColor="text1"/>
        </w:rPr>
        <w:t xml:space="preserve">reduces the human resources and </w:t>
      </w:r>
      <w:r w:rsidR="00626EBF" w:rsidRPr="00DA16FA">
        <w:rPr>
          <w:color w:val="000000" w:themeColor="text1"/>
        </w:rPr>
        <w:t xml:space="preserve">other </w:t>
      </w:r>
      <w:r w:rsidR="001040D3" w:rsidRPr="00DA16FA">
        <w:rPr>
          <w:color w:val="000000" w:themeColor="text1"/>
        </w:rPr>
        <w:t xml:space="preserve">resources that these stores invested in the </w:t>
      </w:r>
      <w:r w:rsidR="00252842" w:rsidRPr="00DA16FA">
        <w:rPr>
          <w:color w:val="000000" w:themeColor="text1"/>
        </w:rPr>
        <w:t xml:space="preserve">logistics </w:t>
      </w:r>
      <w:r w:rsidR="00252842" w:rsidRPr="00DA16FA">
        <w:rPr>
          <w:color w:val="000000" w:themeColor="text1"/>
        </w:rPr>
        <w:lastRenderedPageBreak/>
        <w:t>planning</w:t>
      </w:r>
      <w:r w:rsidR="001040D3" w:rsidRPr="00DA16FA">
        <w:rPr>
          <w:color w:val="000000" w:themeColor="text1"/>
        </w:rPr>
        <w:t>.</w:t>
      </w:r>
      <w:r w:rsidR="004D1010" w:rsidRPr="00DA16FA">
        <w:rPr>
          <w:color w:val="000000" w:themeColor="text1"/>
        </w:rPr>
        <w:t xml:space="preserve"> </w:t>
      </w:r>
      <w:r w:rsidR="00626EBF" w:rsidRPr="00DA16FA">
        <w:rPr>
          <w:color w:val="000000" w:themeColor="text1"/>
        </w:rPr>
        <w:t xml:space="preserve">A </w:t>
      </w:r>
      <w:r w:rsidR="00FF6BBA" w:rsidRPr="00DA16FA">
        <w:rPr>
          <w:color w:val="000000" w:themeColor="text1"/>
        </w:rPr>
        <w:t xml:space="preserve">UCC can also generate benefits for the participating goods receivers in </w:t>
      </w:r>
      <w:r w:rsidR="00E66881" w:rsidRPr="00DA16FA">
        <w:rPr>
          <w:color w:val="000000" w:themeColor="text1"/>
        </w:rPr>
        <w:t>an</w:t>
      </w:r>
      <w:r w:rsidR="00FF6BBA" w:rsidRPr="00DA16FA">
        <w:rPr>
          <w:color w:val="000000" w:themeColor="text1"/>
        </w:rPr>
        <w:t xml:space="preserve"> urban area since the flexible service</w:t>
      </w:r>
      <w:r w:rsidR="00852044" w:rsidRPr="00DA16FA">
        <w:rPr>
          <w:color w:val="000000" w:themeColor="text1"/>
        </w:rPr>
        <w:t xml:space="preserve"> </w:t>
      </w:r>
      <w:r w:rsidR="00FF6BBA" w:rsidRPr="00DA16FA">
        <w:rPr>
          <w:color w:val="000000" w:themeColor="text1"/>
        </w:rPr>
        <w:t xml:space="preserve">can be provided to facilitate </w:t>
      </w:r>
      <w:r w:rsidR="00CB5B84" w:rsidRPr="00DA16FA">
        <w:rPr>
          <w:color w:val="000000" w:themeColor="text1"/>
        </w:rPr>
        <w:t xml:space="preserve">both </w:t>
      </w:r>
      <w:r w:rsidR="00FF6BBA" w:rsidRPr="00DA16FA">
        <w:rPr>
          <w:color w:val="000000" w:themeColor="text1"/>
        </w:rPr>
        <w:t>the</w:t>
      </w:r>
      <w:r w:rsidR="00CB5B84" w:rsidRPr="00DA16FA">
        <w:rPr>
          <w:color w:val="000000" w:themeColor="text1"/>
        </w:rPr>
        <w:t xml:space="preserve"> </w:t>
      </w:r>
      <w:r w:rsidR="00FF6BBA" w:rsidRPr="00DA16FA">
        <w:rPr>
          <w:color w:val="000000" w:themeColor="text1"/>
        </w:rPr>
        <w:t>forward and reverse logistics process</w:t>
      </w:r>
      <w:r w:rsidR="00CB5B84" w:rsidRPr="00DA16FA">
        <w:rPr>
          <w:color w:val="000000" w:themeColor="text1"/>
        </w:rPr>
        <w:t>es</w:t>
      </w:r>
      <w:r w:rsidR="00FF6BBA" w:rsidRPr="00DA16FA">
        <w:rPr>
          <w:color w:val="000000" w:themeColor="text1"/>
        </w:rPr>
        <w:t xml:space="preserve"> </w:t>
      </w:r>
      <w:r w:rsidR="00EA43BC" w:rsidRPr="00DA16FA">
        <w:rPr>
          <w:color w:val="000000" w:themeColor="text1"/>
        </w:rPr>
        <w:t xml:space="preserve">according to the </w:t>
      </w:r>
      <w:r w:rsidR="005549F2" w:rsidRPr="00DA16FA">
        <w:rPr>
          <w:color w:val="000000" w:themeColor="text1"/>
        </w:rPr>
        <w:t xml:space="preserve">customers’ requirement of time-windows and </w:t>
      </w:r>
      <w:r w:rsidR="005549F2" w:rsidRPr="00DA16FA">
        <w:rPr>
          <w:rFonts w:cs="Times New Roman"/>
          <w:color w:val="000000" w:themeColor="text1"/>
          <w:szCs w:val="24"/>
        </w:rPr>
        <w:t>delivery frequency</w:t>
      </w:r>
      <w:r w:rsidR="005549F2" w:rsidRPr="00DA16FA">
        <w:rPr>
          <w:color w:val="000000" w:themeColor="text1"/>
        </w:rPr>
        <w:t xml:space="preserve"> </w:t>
      </w:r>
      <w:r w:rsidRPr="00DA16FA">
        <w:rPr>
          <w:noProof/>
          <w:color w:val="000000" w:themeColor="text1"/>
        </w:rPr>
        <w:fldChar w:fldCharType="begin"/>
      </w:r>
      <w:r w:rsidR="0036548D" w:rsidRPr="00DA16FA">
        <w:rPr>
          <w:noProof/>
          <w:color w:val="000000" w:themeColor="text1"/>
        </w:rPr>
        <w:instrText xml:space="preserve"> ADDIN EN.CITE &lt;EndNote&gt;&lt;Cite&gt;&lt;Author&gt;Paddeu&lt;/Author&gt;&lt;Year&gt;2017&lt;/Year&gt;&lt;RecNum&gt;57&lt;/RecNum&gt;&lt;DisplayText&gt;(Paddeu, 2017)&lt;/DisplayText&gt;&lt;record&gt;&lt;rec-number&gt;57&lt;/rec-number&gt;&lt;foreign-keys&gt;&lt;key app="EN" db-id="x5etaz5aiszvz0edasvvpwvotttxepvd25t2" timestamp="1603802000"&gt;57&lt;/key&gt;&lt;/foreign-keys&gt;&lt;ref-type name="Journal Article"&gt;17&lt;/ref-type&gt;&lt;contributors&gt;&lt;authors&gt;&lt;author&gt;Paddeu, D.&lt;/author&gt;&lt;/authors&gt;&lt;/contributors&gt;&lt;auth-address&gt;D.I.C.A.A.R., University of Cagliari, Via Marengo 2, Cagliari, 09124, Italy&lt;/auth-address&gt;&lt;titles&gt;&lt;title&gt;The Bristol-Bath Urban freight Consolidation Centre from the perspective of its users&lt;/title&gt;&lt;secondary-title&gt;Case Studies on Transport Policy&lt;/secondary-title&gt;&lt;alt-title&gt;Case Stud. Transp. Policy&lt;/alt-title&gt;&lt;/titles&gt;&lt;periodical&gt;&lt;full-title&gt;Case Studies on Transport Policy&lt;/full-title&gt;&lt;abbr-1&gt;Case Stud. Transp. Policy&lt;/abbr-1&gt;&lt;/periodical&gt;&lt;alt-periodical&gt;&lt;full-title&gt;Case Studies on Transport Policy&lt;/full-title&gt;&lt;abbr-1&gt;Case Stud. Transp. Policy&lt;/abbr-1&gt;&lt;/alt-periodical&gt;&lt;pages&gt;483-491&lt;/pages&gt;&lt;volume&gt;5&lt;/volume&gt;&lt;number&gt;3&lt;/number&gt;&lt;keywords&gt;&lt;keyword&gt;Case study&lt;/keyword&gt;&lt;keyword&gt;City logistics&lt;/keyword&gt;&lt;keyword&gt;Stakeholders perception&lt;/keyword&gt;&lt;/keywords&gt;&lt;dates&gt;&lt;year&gt;2017&lt;/year&gt;&lt;/dates&gt;&lt;publisher&gt;Elsevier Ltd&lt;/publisher&gt;&lt;isbn&gt;2213624X (ISSN)&lt;/isbn&gt;&lt;work-type&gt;Article&lt;/work-type&gt;&lt;urls&gt;&lt;related-urls&gt;&lt;url&gt;https://www.scopus.com/inward/record.uri?eid=2-s2.0-85021226794&amp;amp;doi=10.1016%2fj.cstp.2017.06.001&amp;amp;partnerID=40&amp;amp;md5=2ba31683c718b31a6331ad1ea15834cd&lt;/url&gt;&lt;/related-urls&gt;&lt;/urls&gt;&lt;electronic-resource-num&gt;10.1016/j.cstp.2017.06.001&lt;/electronic-resource-num&gt;&lt;remote-database-name&gt;Scopus&lt;/remote-database-name&gt;&lt;language&gt;English&lt;/language&gt;&lt;/record&gt;&lt;/Cite&gt;&lt;/EndNote&gt;</w:instrText>
      </w:r>
      <w:r w:rsidRPr="00DA16FA">
        <w:rPr>
          <w:noProof/>
          <w:color w:val="000000" w:themeColor="text1"/>
        </w:rPr>
        <w:fldChar w:fldCharType="separate"/>
      </w:r>
      <w:r w:rsidRPr="00DA16FA">
        <w:rPr>
          <w:noProof/>
          <w:color w:val="000000" w:themeColor="text1"/>
        </w:rPr>
        <w:t>(Paddeu, 2017)</w:t>
      </w:r>
      <w:r w:rsidRPr="00DA16FA">
        <w:rPr>
          <w:noProof/>
          <w:color w:val="000000" w:themeColor="text1"/>
        </w:rPr>
        <w:fldChar w:fldCharType="end"/>
      </w:r>
      <w:r w:rsidR="00FF6BBA" w:rsidRPr="00DA16FA">
        <w:rPr>
          <w:color w:val="000000" w:themeColor="text1"/>
        </w:rPr>
        <w:t>.</w:t>
      </w:r>
      <w:r w:rsidR="00772A85" w:rsidRPr="00DA16FA">
        <w:rPr>
          <w:color w:val="000000" w:themeColor="text1"/>
        </w:rPr>
        <w:t xml:space="preserve"> </w:t>
      </w:r>
      <w:r w:rsidR="005E7F8D" w:rsidRPr="00DA16FA">
        <w:rPr>
          <w:color w:val="000000" w:themeColor="text1"/>
        </w:rPr>
        <w:t xml:space="preserve">A UCC can offer value-added services, such as </w:t>
      </w:r>
      <w:r w:rsidR="00825A36" w:rsidRPr="00DA16FA">
        <w:rPr>
          <w:color w:val="000000" w:themeColor="text1"/>
        </w:rPr>
        <w:t>inventory management</w:t>
      </w:r>
      <w:r w:rsidR="005E7F8D" w:rsidRPr="00DA16FA">
        <w:rPr>
          <w:color w:val="000000" w:themeColor="text1"/>
        </w:rPr>
        <w:t>,</w:t>
      </w:r>
      <w:r w:rsidR="000C3C61" w:rsidRPr="00DA16FA">
        <w:rPr>
          <w:color w:val="000000" w:themeColor="text1"/>
        </w:rPr>
        <w:t xml:space="preserve"> </w:t>
      </w:r>
      <w:r w:rsidR="00825A36" w:rsidRPr="00DA16FA">
        <w:rPr>
          <w:color w:val="000000" w:themeColor="text1"/>
        </w:rPr>
        <w:t>goods storage</w:t>
      </w:r>
      <w:r w:rsidR="005E7F8D" w:rsidRPr="00DA16FA">
        <w:rPr>
          <w:color w:val="000000" w:themeColor="text1"/>
        </w:rPr>
        <w:t>, and</w:t>
      </w:r>
      <w:r w:rsidR="002631EF" w:rsidRPr="00DA16FA">
        <w:rPr>
          <w:color w:val="000000" w:themeColor="text1"/>
        </w:rPr>
        <w:t xml:space="preserve"> </w:t>
      </w:r>
      <w:r w:rsidR="005E7F8D" w:rsidRPr="00DA16FA">
        <w:rPr>
          <w:color w:val="000000" w:themeColor="text1"/>
        </w:rPr>
        <w:t>ordering</w:t>
      </w:r>
      <w:r w:rsidR="000C3C61" w:rsidRPr="00DA16FA">
        <w:rPr>
          <w:color w:val="000000" w:themeColor="text1"/>
        </w:rPr>
        <w:t xml:space="preserve"> </w:t>
      </w:r>
      <w:r w:rsidR="005E7F8D" w:rsidRPr="00DA16FA">
        <w:rPr>
          <w:color w:val="000000" w:themeColor="text1"/>
        </w:rPr>
        <w:t>processe</w:t>
      </w:r>
      <w:r w:rsidR="0005639C" w:rsidRPr="00DA16FA">
        <w:rPr>
          <w:color w:val="000000" w:themeColor="text1"/>
        </w:rPr>
        <w:t>s</w:t>
      </w:r>
      <w:r w:rsidR="005E7F8D" w:rsidRPr="00DA16FA">
        <w:rPr>
          <w:color w:val="000000" w:themeColor="text1"/>
        </w:rPr>
        <w:t xml:space="preserve"> </w:t>
      </w:r>
      <w:r w:rsidR="00825A36" w:rsidRPr="00DA16FA">
        <w:rPr>
          <w:color w:val="000000" w:themeColor="text1"/>
        </w:rPr>
        <w:t xml:space="preserve">to </w:t>
      </w:r>
      <w:r w:rsidR="005E7F8D" w:rsidRPr="00DA16FA">
        <w:rPr>
          <w:color w:val="000000" w:themeColor="text1"/>
        </w:rPr>
        <w:t>facilitate the in-store logistics activities</w:t>
      </w:r>
      <w:r w:rsidR="0005639C" w:rsidRPr="00DA16FA">
        <w:rPr>
          <w:color w:val="000000" w:themeColor="text1"/>
        </w:rPr>
        <w:t xml:space="preserve"> (Browne et al., 2005; Allen et al., 2012)</w:t>
      </w:r>
      <w:r w:rsidR="005E7F8D" w:rsidRPr="00DA16FA">
        <w:rPr>
          <w:color w:val="000000" w:themeColor="text1"/>
        </w:rPr>
        <w:t>.</w:t>
      </w:r>
      <w:r w:rsidR="002631EF" w:rsidRPr="00DA16FA">
        <w:rPr>
          <w:color w:val="000000" w:themeColor="text1"/>
        </w:rPr>
        <w:t xml:space="preserve"> </w:t>
      </w:r>
      <w:r w:rsidR="00772A85" w:rsidRPr="00DA16FA">
        <w:rPr>
          <w:rFonts w:hint="eastAsia"/>
          <w:color w:val="000000" w:themeColor="text1"/>
        </w:rPr>
        <w:t>For</w:t>
      </w:r>
      <w:r w:rsidR="00772A85" w:rsidRPr="00DA16FA">
        <w:rPr>
          <w:color w:val="000000" w:themeColor="text1"/>
        </w:rPr>
        <w:t xml:space="preserve"> </w:t>
      </w:r>
      <w:r w:rsidR="00772A85" w:rsidRPr="00DA16FA">
        <w:rPr>
          <w:rFonts w:hint="eastAsia"/>
          <w:color w:val="000000" w:themeColor="text1"/>
        </w:rPr>
        <w:t>instance</w:t>
      </w:r>
      <w:r w:rsidR="00772A85" w:rsidRPr="00DA16FA">
        <w:rPr>
          <w:color w:val="000000" w:themeColor="text1"/>
        </w:rPr>
        <w:t xml:space="preserve">, as indicated by </w:t>
      </w:r>
      <w:r w:rsidRPr="00DA16FA">
        <w:rPr>
          <w:rFonts w:cs="Times New Roman"/>
          <w:color w:val="000000" w:themeColor="text1"/>
          <w:szCs w:val="24"/>
        </w:rPr>
        <w:fldChar w:fldCharType="begin"/>
      </w:r>
      <w:r w:rsidR="00647E79" w:rsidRPr="00DA16FA">
        <w:rPr>
          <w:rFonts w:cs="Times New Roman"/>
          <w:color w:val="000000" w:themeColor="text1"/>
          <w:szCs w:val="24"/>
        </w:rPr>
        <w:instrText xml:space="preserve"> ADDIN EN.CITE &lt;EndNote&gt;&lt;Cite AuthorYear="1"&gt;&lt;Author&gt;Lin&lt;/Author&gt;&lt;Year&gt;2016&lt;/Year&gt;&lt;RecNum&gt;241&lt;/RecNum&gt;&lt;DisplayText&gt;Lin et al. (2016)&lt;/DisplayText&gt;&lt;record&gt;&lt;rec-number&gt;241&lt;/rec-number&gt;&lt;foreign-keys&gt;&lt;key app="EN" db-id="pzt5ep52hsedfpeext2pdfes0w0aswaewef2" timestamp="1605187997"&gt;241&lt;/key&gt;&lt;/foreign-keys&gt;&lt;ref-type name="Journal Article"&gt;17&lt;/ref-type&gt;&lt;contributors&gt;&lt;authors&gt;&lt;author&gt;Lin, Jane&lt;/author&gt;&lt;author&gt;Chen, Qin&lt;/author&gt;&lt;author&gt;Kawamura, Kazuya&lt;/author&gt;&lt;/authors&gt;&lt;/contributors&gt;&lt;titles&gt;&lt;title&gt;Sustainability SI: Logistics Cost and Environmental Impact Analyses of Urban Delivery Consolidation Strategies&lt;/title&gt;&lt;secondary-title&gt;Networks and Spatial Economics&lt;/secondary-title&gt;&lt;/titles&gt;&lt;periodical&gt;&lt;full-title&gt;Networks and Spatial Economics&lt;/full-title&gt;&lt;abbr-1&gt;Netw. Spat. Econ.&lt;/abbr-1&gt;&lt;/periodical&gt;&lt;pages&gt;227-253&lt;/pages&gt;&lt;volume&gt;16&lt;/volume&gt;&lt;number&gt;1&lt;/number&gt;&lt;dates&gt;&lt;year&gt;2016&lt;/year&gt;&lt;pub-dates&gt;&lt;date&gt;2016/03/01&lt;/date&gt;&lt;/pub-dates&gt;&lt;/dates&gt;&lt;isbn&gt;1572-9427&lt;/isbn&gt;&lt;urls&gt;&lt;related-urls&gt;&lt;url&gt;https://doi.org/10.1007/s11067-014-9235-9&lt;/url&gt;&lt;url&gt;https://link.springer.com/content/pdf/10.1007%2Fs11067-014-9235-9.pdf&lt;/url&gt;&lt;url&gt;https://link.springer.com/article/10.1007%2Fs11067-014-9235-9&lt;/url&gt;&lt;/related-urls&gt;&lt;/urls&gt;&lt;electronic-resource-num&gt;10.1007/s11067-014-9235-9&lt;/electronic-resource-num&gt;&lt;/record&gt;&lt;/Cite&gt;&lt;/EndNote&gt;</w:instrText>
      </w:r>
      <w:r w:rsidRPr="00DA16FA">
        <w:rPr>
          <w:rFonts w:cs="Times New Roman"/>
          <w:color w:val="000000" w:themeColor="text1"/>
          <w:szCs w:val="24"/>
        </w:rPr>
        <w:fldChar w:fldCharType="separate"/>
      </w:r>
      <w:r w:rsidR="00AA225C" w:rsidRPr="00DA16FA">
        <w:rPr>
          <w:rFonts w:cs="Times New Roman"/>
          <w:noProof/>
          <w:color w:val="000000" w:themeColor="text1"/>
          <w:szCs w:val="24"/>
        </w:rPr>
        <w:t>Lin et al. (2016)</w:t>
      </w:r>
      <w:r w:rsidRPr="00DA16FA">
        <w:rPr>
          <w:rFonts w:cs="Times New Roman"/>
          <w:color w:val="000000" w:themeColor="text1"/>
          <w:szCs w:val="24"/>
        </w:rPr>
        <w:fldChar w:fldCharType="end"/>
      </w:r>
      <w:r w:rsidR="00772A85" w:rsidRPr="00DA16FA">
        <w:rPr>
          <w:color w:val="000000" w:themeColor="text1"/>
        </w:rPr>
        <w:t xml:space="preserve">, </w:t>
      </w:r>
      <w:r w:rsidR="00537D37" w:rsidRPr="00DA16FA">
        <w:rPr>
          <w:color w:val="000000" w:themeColor="text1"/>
        </w:rPr>
        <w:t>t</w:t>
      </w:r>
      <w:r w:rsidR="00772A85" w:rsidRPr="00DA16FA">
        <w:rPr>
          <w:color w:val="000000" w:themeColor="text1"/>
        </w:rPr>
        <w:t>he renting cost</w:t>
      </w:r>
      <w:r w:rsidR="00537D37" w:rsidRPr="00DA16FA">
        <w:rPr>
          <w:color w:val="000000" w:themeColor="text1"/>
        </w:rPr>
        <w:t>s</w:t>
      </w:r>
      <w:r w:rsidR="00772A85" w:rsidRPr="00DA16FA">
        <w:rPr>
          <w:color w:val="000000" w:themeColor="text1"/>
        </w:rPr>
        <w:t xml:space="preserve"> of retailers can be reduced if the retailers set their storage space in the UCC which </w:t>
      </w:r>
      <w:r w:rsidR="00537D37" w:rsidRPr="00DA16FA">
        <w:rPr>
          <w:color w:val="000000" w:themeColor="text1"/>
        </w:rPr>
        <w:t xml:space="preserve">is </w:t>
      </w:r>
      <w:r w:rsidR="00772A85" w:rsidRPr="00DA16FA">
        <w:rPr>
          <w:color w:val="000000" w:themeColor="text1"/>
        </w:rPr>
        <w:t>locate</w:t>
      </w:r>
      <w:r w:rsidR="00537D37" w:rsidRPr="00DA16FA">
        <w:rPr>
          <w:color w:val="000000" w:themeColor="text1"/>
        </w:rPr>
        <w:t>d</w:t>
      </w:r>
      <w:r w:rsidR="00772A85" w:rsidRPr="00DA16FA">
        <w:rPr>
          <w:color w:val="000000" w:themeColor="text1"/>
        </w:rPr>
        <w:t xml:space="preserve"> far away from the commercial area.</w:t>
      </w:r>
      <w:r w:rsidR="00B1052E" w:rsidRPr="00DA16FA">
        <w:rPr>
          <w:color w:val="000000" w:themeColor="text1"/>
        </w:rPr>
        <w:t xml:space="preserve"> Since UCC</w:t>
      </w:r>
      <w:r w:rsidR="00537D37" w:rsidRPr="00DA16FA">
        <w:rPr>
          <w:color w:val="000000" w:themeColor="text1"/>
        </w:rPr>
        <w:t>s</w:t>
      </w:r>
      <w:r w:rsidR="00B1052E" w:rsidRPr="00DA16FA">
        <w:rPr>
          <w:color w:val="000000" w:themeColor="text1"/>
        </w:rPr>
        <w:t xml:space="preserve"> generate benefits for</w:t>
      </w:r>
      <w:r w:rsidR="00041741" w:rsidRPr="00DA16FA">
        <w:rPr>
          <w:color w:val="000000" w:themeColor="text1"/>
        </w:rPr>
        <w:t xml:space="preserve"> </w:t>
      </w:r>
      <w:r w:rsidR="00CF462E" w:rsidRPr="00DA16FA">
        <w:rPr>
          <w:color w:val="000000" w:themeColor="text1"/>
        </w:rPr>
        <w:t>private stakeholders</w:t>
      </w:r>
      <w:r w:rsidR="0027312F" w:rsidRPr="00DA16FA">
        <w:rPr>
          <w:color w:val="000000" w:themeColor="text1"/>
        </w:rPr>
        <w:t xml:space="preserve"> </w:t>
      </w:r>
      <w:r w:rsidR="00CF462E" w:rsidRPr="00DA16FA">
        <w:rPr>
          <w:color w:val="000000" w:themeColor="text1"/>
        </w:rPr>
        <w:t xml:space="preserve">such as </w:t>
      </w:r>
      <w:r w:rsidR="00B1052E" w:rsidRPr="00DA16FA">
        <w:rPr>
          <w:color w:val="000000" w:themeColor="text1"/>
        </w:rPr>
        <w:t>customers</w:t>
      </w:r>
      <w:r w:rsidR="003B1F53" w:rsidRPr="00DA16FA">
        <w:rPr>
          <w:color w:val="000000" w:themeColor="text1"/>
        </w:rPr>
        <w:t xml:space="preserve"> in urban area (</w:t>
      </w:r>
      <w:proofErr w:type="gramStart"/>
      <w:r w:rsidR="003B1F53" w:rsidRPr="00DA16FA">
        <w:rPr>
          <w:color w:val="000000" w:themeColor="text1"/>
        </w:rPr>
        <w:t>e.g.</w:t>
      </w:r>
      <w:proofErr w:type="gramEnd"/>
      <w:r w:rsidR="003B1F53" w:rsidRPr="00DA16FA">
        <w:rPr>
          <w:color w:val="000000" w:themeColor="text1"/>
        </w:rPr>
        <w:t xml:space="preserve"> retailer stores, restaurant, office, etc.)</w:t>
      </w:r>
      <w:r w:rsidR="00B1052E" w:rsidRPr="00DA16FA">
        <w:rPr>
          <w:color w:val="000000" w:themeColor="text1"/>
        </w:rPr>
        <w:t xml:space="preserve"> and </w:t>
      </w:r>
      <w:r w:rsidR="003B1F53" w:rsidRPr="00DA16FA">
        <w:rPr>
          <w:color w:val="000000" w:themeColor="text1"/>
        </w:rPr>
        <w:t>intercity carrier</w:t>
      </w:r>
      <w:r w:rsidR="0027312F" w:rsidRPr="00DA16FA">
        <w:rPr>
          <w:color w:val="000000" w:themeColor="text1"/>
        </w:rPr>
        <w:t>s</w:t>
      </w:r>
      <w:r w:rsidR="00B1052E" w:rsidRPr="00DA16FA">
        <w:rPr>
          <w:color w:val="000000" w:themeColor="text1"/>
        </w:rPr>
        <w:t xml:space="preserve">, in turn, </w:t>
      </w:r>
      <w:r w:rsidR="00A91655" w:rsidRPr="00DA16FA">
        <w:rPr>
          <w:color w:val="000000" w:themeColor="text1"/>
        </w:rPr>
        <w:t xml:space="preserve">these </w:t>
      </w:r>
      <w:r w:rsidR="00B1052E" w:rsidRPr="00DA16FA">
        <w:rPr>
          <w:color w:val="000000" w:themeColor="text1"/>
        </w:rPr>
        <w:t xml:space="preserve">private stakeholders </w:t>
      </w:r>
      <w:r w:rsidR="003B1F53" w:rsidRPr="00DA16FA">
        <w:rPr>
          <w:color w:val="000000" w:themeColor="text1"/>
        </w:rPr>
        <w:t>should finance</w:t>
      </w:r>
      <w:r w:rsidR="0027312F" w:rsidRPr="00DA16FA">
        <w:rPr>
          <w:color w:val="000000" w:themeColor="text1"/>
        </w:rPr>
        <w:t xml:space="preserve"> to UCCs</w:t>
      </w:r>
      <w:r w:rsidR="00AE12D2" w:rsidRPr="00DA16FA">
        <w:rPr>
          <w:color w:val="000000" w:themeColor="text1"/>
        </w:rPr>
        <w:t xml:space="preserve"> (Allen et al., 2012)</w:t>
      </w:r>
      <w:r w:rsidR="0027312F" w:rsidRPr="00DA16FA">
        <w:rPr>
          <w:color w:val="000000" w:themeColor="text1"/>
        </w:rPr>
        <w:t>.</w:t>
      </w:r>
    </w:p>
    <w:p w14:paraId="69949030" w14:textId="44CEF7D6" w:rsidR="00B71C51" w:rsidRDefault="00A960D0" w:rsidP="00560D1E">
      <w:pPr>
        <w:spacing w:after="240" w:line="360" w:lineRule="auto"/>
        <w:rPr>
          <w:rFonts w:cs="Times New Roman"/>
          <w:color w:val="FF0000"/>
        </w:rPr>
      </w:pPr>
      <w:r w:rsidRPr="003D09FA">
        <w:rPr>
          <w:rFonts w:cs="Times New Roman"/>
          <w:noProof/>
          <w:color w:val="FF0000"/>
        </w:rPr>
        <w:t>C</w:t>
      </w:r>
      <w:r w:rsidR="0071798B" w:rsidRPr="003D09FA">
        <w:rPr>
          <w:rFonts w:cs="Times New Roman"/>
          <w:noProof/>
          <w:color w:val="FF0000"/>
        </w:rPr>
        <w:t>ustomer density, demand quantity, facility location, and vehicle type can all significantly affect the economic performance of a UCC</w:t>
      </w:r>
      <w:r w:rsidR="002B6DFD" w:rsidRPr="003D09FA">
        <w:rPr>
          <w:rFonts w:cs="Times New Roman"/>
          <w:noProof/>
          <w:color w:val="FF0000"/>
        </w:rPr>
        <w:t xml:space="preserve"> (Chen et al., 2012</w:t>
      </w:r>
      <w:r w:rsidR="002B6DFD" w:rsidRPr="003D09FA">
        <w:rPr>
          <w:rFonts w:cs="Times New Roman" w:hint="eastAsia"/>
          <w:noProof/>
          <w:color w:val="FF0000"/>
        </w:rPr>
        <w:t>)</w:t>
      </w:r>
      <w:r w:rsidR="0071798B" w:rsidRPr="003D09FA">
        <w:rPr>
          <w:rFonts w:cs="Times New Roman"/>
          <w:noProof/>
          <w:color w:val="FF0000"/>
        </w:rPr>
        <w:t>.</w:t>
      </w:r>
      <w:r w:rsidR="0055677E">
        <w:rPr>
          <w:rFonts w:cs="Times New Roman"/>
          <w:noProof/>
          <w:color w:val="FF0000"/>
        </w:rPr>
        <w:t xml:space="preserve"> </w:t>
      </w:r>
      <w:r w:rsidR="00363AE7">
        <w:rPr>
          <w:rFonts w:cs="Times New Roman" w:hint="eastAsia"/>
          <w:noProof/>
          <w:color w:val="FF0000"/>
        </w:rPr>
        <w:t>For</w:t>
      </w:r>
      <w:r w:rsidR="00363AE7">
        <w:rPr>
          <w:rFonts w:cs="Times New Roman"/>
          <w:noProof/>
          <w:color w:val="FF0000"/>
        </w:rPr>
        <w:t xml:space="preserve"> </w:t>
      </w:r>
      <w:r w:rsidR="00363AE7">
        <w:rPr>
          <w:rFonts w:cs="Times New Roman" w:hint="eastAsia"/>
          <w:noProof/>
          <w:color w:val="FF0000"/>
        </w:rPr>
        <w:t>example</w:t>
      </w:r>
      <w:r w:rsidR="0055677E">
        <w:rPr>
          <w:rFonts w:cs="Times New Roman"/>
          <w:noProof/>
          <w:color w:val="FF0000"/>
        </w:rPr>
        <w:t>,</w:t>
      </w:r>
      <w:r w:rsidR="0071798B" w:rsidRPr="003D09FA">
        <w:rPr>
          <w:rFonts w:cs="Times New Roman"/>
          <w:noProof/>
          <w:color w:val="FF0000"/>
        </w:rPr>
        <w:t xml:space="preserve"> </w:t>
      </w:r>
      <w:r w:rsidR="003C582E" w:rsidRPr="003D09FA">
        <w:rPr>
          <w:rFonts w:cs="Times New Roman"/>
          <w:noProof/>
          <w:color w:val="FF0000"/>
        </w:rPr>
        <w:fldChar w:fldCharType="begin"/>
      </w:r>
      <w:r w:rsidR="00647E79" w:rsidRPr="003D09FA">
        <w:rPr>
          <w:rFonts w:cs="Times New Roman"/>
          <w:noProof/>
          <w:color w:val="FF0000"/>
        </w:rPr>
        <w:instrText xml:space="preserve"> ADDIN EN.CITE &lt;EndNote&gt;&lt;Cite AuthorYear="1"&gt;&lt;Author&gt;Faure&lt;/Author&gt;&lt;Year&gt;2016&lt;/Year&gt;&lt;RecNum&gt;242&lt;/RecNum&gt;&lt;DisplayText&gt;Faure et al. (2016)&lt;/DisplayText&gt;&lt;record&gt;&lt;rec-number&gt;242&lt;/rec-number&gt;&lt;foreign-keys&gt;&lt;key app="EN" db-id="pzt5ep52hsedfpeext2pdfes0w0aswaewef2" timestamp="1605187997"&gt;242&lt;/key&gt;&lt;/foreign-keys&gt;&lt;ref-type name="Journal Article"&gt;17&lt;/ref-type&gt;&lt;contributors&gt;&lt;authors&gt;&lt;author&gt;Faure, Lucile&lt;/author&gt;&lt;author&gt;Burlat, Patrick&lt;/author&gt;&lt;author&gt;Marquès, Guillaume&lt;/author&gt;&lt;/authors&gt;&lt;/contributors&gt;&lt;titles&gt;&lt;title&gt;Evaluate the Viability of Urban Consolidation Centre with Regards to Urban Morphology&lt;/title&gt;&lt;secondary-title&gt;Transportation Research Procedia&lt;/secondary-title&gt;&lt;/titles&gt;&lt;periodical&gt;&lt;full-title&gt;Transportation Research Procedia&lt;/full-title&gt;&lt;/periodical&gt;&lt;pages&gt;348-356&lt;/pages&gt;&lt;volume&gt;12&lt;/volume&gt;&lt;keywords&gt;&lt;keyword&gt;Urban Consolidation Centre&lt;/keyword&gt;&lt;keyword&gt;Profitability&lt;/keyword&gt;&lt;keyword&gt;City Logistics&lt;/keyword&gt;&lt;keyword&gt;Economic Assessment&lt;/keyword&gt;&lt;/keywords&gt;&lt;dates&gt;&lt;year&gt;2016&lt;/year&gt;&lt;pub-dates&gt;&lt;date&gt;2016/01/01/&lt;/date&gt;&lt;/pub-dates&gt;&lt;/dates&gt;&lt;isbn&gt;2352-1465&lt;/isbn&gt;&lt;urls&gt;&lt;related-urls&gt;&lt;url&gt;http://www.sciencedirect.com/science/article/pii/S2352146516000727&lt;/url&gt;&lt;/related-urls&gt;&lt;/urls&gt;&lt;electronic-resource-num&gt;https://doi.org/10.1016/j.trpro.2016.02.071&lt;/electronic-resource-num&gt;&lt;/record&gt;&lt;/Cite&gt;&lt;/EndNote&gt;</w:instrText>
      </w:r>
      <w:r w:rsidR="003C582E" w:rsidRPr="003D09FA">
        <w:rPr>
          <w:rFonts w:cs="Times New Roman"/>
          <w:noProof/>
          <w:color w:val="FF0000"/>
        </w:rPr>
        <w:fldChar w:fldCharType="separate"/>
      </w:r>
      <w:r w:rsidR="00AA225C" w:rsidRPr="003D09FA">
        <w:rPr>
          <w:rFonts w:cs="Times New Roman"/>
          <w:noProof/>
          <w:color w:val="FF0000"/>
        </w:rPr>
        <w:t>Faure et al. (2016)</w:t>
      </w:r>
      <w:r w:rsidR="003C582E" w:rsidRPr="003D09FA">
        <w:rPr>
          <w:rFonts w:cs="Times New Roman"/>
          <w:noProof/>
          <w:color w:val="FF0000"/>
        </w:rPr>
        <w:fldChar w:fldCharType="end"/>
      </w:r>
      <w:r w:rsidR="0071798B" w:rsidRPr="003D09FA">
        <w:rPr>
          <w:rFonts w:cs="Times New Roman"/>
          <w:noProof/>
          <w:color w:val="FF0000"/>
        </w:rPr>
        <w:t xml:space="preserve"> illustrate that urban morphology influences delivery routing, which indirectly influences operational costs. A minimum number of UCC subscribers are required to achieve financial sustainability </w:t>
      </w:r>
      <w:r w:rsidR="003C582E" w:rsidRPr="003D09FA">
        <w:rPr>
          <w:rFonts w:cs="Times New Roman"/>
          <w:noProof/>
          <w:color w:val="FF0000"/>
        </w:rPr>
        <w:fldChar w:fldCharType="begin">
          <w:fldData xml:space="preserve">PEVuZE5vdGU+PENpdGU+PEF1dGhvcj52YW4gRHVpbjwvQXV0aG9yPjxZZWFyPjIwMTA8L1llYXI+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</w:fldData>
        </w:fldChar>
      </w:r>
      <w:r w:rsidR="00CA2D5D" w:rsidRPr="003D09FA">
        <w:rPr>
          <w:rFonts w:cs="Times New Roman"/>
          <w:noProof/>
          <w:color w:val="FF0000"/>
        </w:rPr>
        <w:instrText xml:space="preserve"> ADDIN EN.CITE </w:instrText>
      </w:r>
      <w:r w:rsidR="00CA2D5D" w:rsidRPr="003D09FA">
        <w:rPr>
          <w:rFonts w:cs="Times New Roman"/>
          <w:noProof/>
          <w:color w:val="FF0000"/>
        </w:rPr>
        <w:fldChar w:fldCharType="begin">
          <w:fldData xml:space="preserve">PEVuZE5vdGU+PENpdGU+PEF1dGhvcj52YW4gRHVpbjwvQXV0aG9yPjxZZWFyPjIwMTA8L1llYXI+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</w:fldData>
        </w:fldChar>
      </w:r>
      <w:r w:rsidR="00CA2D5D" w:rsidRPr="003D09FA">
        <w:rPr>
          <w:rFonts w:cs="Times New Roman"/>
          <w:noProof/>
          <w:color w:val="FF0000"/>
        </w:rPr>
        <w:instrText xml:space="preserve"> ADDIN EN.CITE.DATA </w:instrText>
      </w:r>
      <w:r w:rsidR="00CA2D5D" w:rsidRPr="003D09FA">
        <w:rPr>
          <w:rFonts w:cs="Times New Roman"/>
          <w:noProof/>
          <w:color w:val="FF0000"/>
        </w:rPr>
      </w:r>
      <w:r w:rsidR="00CA2D5D" w:rsidRPr="003D09FA">
        <w:rPr>
          <w:rFonts w:cs="Times New Roman"/>
          <w:noProof/>
          <w:color w:val="FF0000"/>
        </w:rPr>
        <w:fldChar w:fldCharType="end"/>
      </w:r>
      <w:r w:rsidR="003C582E" w:rsidRPr="003D09FA">
        <w:rPr>
          <w:rFonts w:cs="Times New Roman"/>
          <w:noProof/>
          <w:color w:val="FF0000"/>
        </w:rPr>
      </w:r>
      <w:r w:rsidR="003C582E" w:rsidRPr="003D09FA">
        <w:rPr>
          <w:rFonts w:cs="Times New Roman"/>
          <w:noProof/>
          <w:color w:val="FF0000"/>
        </w:rPr>
        <w:fldChar w:fldCharType="separate"/>
      </w:r>
      <w:r w:rsidR="003C582E" w:rsidRPr="003D09FA">
        <w:rPr>
          <w:rFonts w:cs="Times New Roman"/>
          <w:noProof/>
          <w:color w:val="FF0000"/>
        </w:rPr>
        <w:t>(van Duin et al., 2010, Ville et al., 2013, Gonzalez-Feliu et al., 2014a)</w:t>
      </w:r>
      <w:r w:rsidR="003C582E" w:rsidRPr="003D09FA">
        <w:rPr>
          <w:rFonts w:cs="Times New Roman"/>
          <w:noProof/>
          <w:color w:val="FF0000"/>
        </w:rPr>
        <w:fldChar w:fldCharType="end"/>
      </w:r>
      <w:r w:rsidR="0071798B" w:rsidRPr="003D09FA">
        <w:rPr>
          <w:rFonts w:cs="Times New Roman"/>
          <w:noProof/>
          <w:color w:val="FF0000"/>
        </w:rPr>
        <w:t xml:space="preserve">. This is primarily because many UCCs carry </w:t>
      </w:r>
      <w:r w:rsidR="003C7E7C" w:rsidRPr="003D09FA">
        <w:rPr>
          <w:rFonts w:cs="Times New Roman"/>
          <w:noProof/>
          <w:color w:val="FF0000"/>
        </w:rPr>
        <w:t xml:space="preserve">both </w:t>
      </w:r>
      <w:r w:rsidR="0071798B" w:rsidRPr="003D09FA">
        <w:rPr>
          <w:rFonts w:cs="Times New Roman"/>
          <w:noProof/>
          <w:color w:val="FF0000"/>
        </w:rPr>
        <w:t xml:space="preserve">high </w:t>
      </w:r>
      <w:r w:rsidR="003C7E7C" w:rsidRPr="003D09FA">
        <w:rPr>
          <w:rFonts w:cs="Times New Roman"/>
          <w:noProof/>
          <w:color w:val="FF0000"/>
        </w:rPr>
        <w:t xml:space="preserve">initial investment </w:t>
      </w:r>
      <w:r w:rsidR="00C7016E" w:rsidRPr="003D09FA">
        <w:rPr>
          <w:rFonts w:cs="Times New Roman"/>
          <w:noProof/>
          <w:color w:val="FF0000"/>
        </w:rPr>
        <w:t xml:space="preserve">(Quak and Tavasszy, 2011) </w:t>
      </w:r>
      <w:r w:rsidR="003C7E7C" w:rsidRPr="003D09FA">
        <w:rPr>
          <w:rFonts w:cs="Times New Roman"/>
          <w:noProof/>
          <w:color w:val="FF0000"/>
        </w:rPr>
        <w:t xml:space="preserve">and </w:t>
      </w:r>
      <w:r w:rsidR="0071798B" w:rsidRPr="003D09FA">
        <w:rPr>
          <w:rFonts w:cs="Times New Roman"/>
          <w:noProof/>
          <w:color w:val="FF0000"/>
        </w:rPr>
        <w:t xml:space="preserve">operational costs </w:t>
      </w:r>
      <w:r w:rsidR="009B303F" w:rsidRPr="003D09FA">
        <w:rPr>
          <w:rFonts w:cs="Times New Roman"/>
          <w:noProof/>
          <w:color w:val="FF0000"/>
        </w:rPr>
        <w:t>(Simoni et al., 2018)</w:t>
      </w:r>
      <w:r w:rsidR="0071798B" w:rsidRPr="003D09FA">
        <w:rPr>
          <w:rFonts w:cs="Times New Roman"/>
          <w:noProof/>
          <w:color w:val="FF0000"/>
        </w:rPr>
        <w:t xml:space="preserve">. In practice, the massive economies of scale associated with a high volume of users and sufficient logistics demand are key to the success of a UCC </w:t>
      </w:r>
      <w:r w:rsidR="003C582E" w:rsidRPr="003D09FA">
        <w:rPr>
          <w:rFonts w:cs="Times New Roman"/>
          <w:noProof/>
          <w:color w:val="FF0000"/>
        </w:rPr>
        <w:fldChar w:fldCharType="begin"/>
      </w:r>
      <w:r w:rsidR="0036548D" w:rsidRPr="003D09FA">
        <w:rPr>
          <w:rFonts w:cs="Times New Roman"/>
          <w:noProof/>
          <w:color w:val="FF0000"/>
        </w:rPr>
        <w:instrText xml:space="preserve"> ADDIN EN.CITE &lt;EndNote&gt;&lt;Cite&gt;&lt;Author&gt;Björklund&lt;/Author&gt;&lt;Year&gt;2017&lt;/Year&gt;&lt;RecNum&gt;114&lt;/RecNum&gt;&lt;DisplayText&gt;(Björklund et al., 2017)&lt;/DisplayText&gt;&lt;record&gt;&lt;rec-number&gt;114&lt;/rec-number&gt;&lt;foreign-keys&gt;&lt;key app="EN" db-id="x5etaz5aiszvz0edasvvpwvotttxepvd25t2" timestamp="1605182814"&gt;114&lt;/key&gt;&lt;/foreign-keys&gt;&lt;ref-type name="Journal Article"&gt;17&lt;/ref-type&gt;&lt;contributors&gt;&lt;authors&gt;&lt;author&gt;Björklund, Maria&lt;/author&gt;&lt;author&gt;Abrahamsson, Mats&lt;/author&gt;&lt;author&gt;Johansson, Henrik&lt;/author&gt;&lt;/authors&gt;&lt;/contributors&gt;&lt;titles&gt;&lt;title&gt;Critical factors for viable business models for urban consolidation centres&lt;/title&gt;&lt;secondary-title&gt;Research in transportation economics&lt;/secondary-title&gt;&lt;/titles&gt;&lt;pages&gt;36-47&lt;/pages&gt;&lt;volume&gt;64&lt;/volume&gt;&lt;keywords&gt;&lt;keyword&gt;Urban logistics&lt;/keyword&gt;&lt;keyword&gt;Critical factors&lt;/keyword&gt;&lt;keyword&gt;Urban consolidation centres&lt;/keyword&gt;&lt;keyword&gt;Business models&lt;/keyword&gt;&lt;keyword&gt;Economics&lt;/keyword&gt;&lt;keyword&gt;Business &amp;amp; Economics&lt;/keyword&gt;&lt;keyword&gt;Social Sciences&lt;/keyword&gt;&lt;keyword&gt;Technology&lt;/keyword&gt;&lt;keyword&gt;Transportation&lt;/keyword&gt;&lt;keyword&gt;Science &amp;amp; Technology&lt;/keyword&gt;&lt;/keywords&gt;&lt;dates&gt;&lt;year&gt;2017&lt;/year&gt;&lt;/dates&gt;&lt;pub-location&gt;OXFORD&lt;/pub-location&gt;&lt;publisher&gt;OXFORD: Elsevier BV&lt;/publisher&gt;&lt;isbn&gt;0739-8859&lt;/isbn&gt;&lt;urls&gt;&lt;/urls&gt;&lt;electronic-resource-num&gt;10.1016/j.retrec.2017.09.009&lt;/electronic-resource-num&gt;&lt;/record&gt;&lt;/Cite&gt;&lt;/EndNote&gt;</w:instrText>
      </w:r>
      <w:r w:rsidR="003C582E" w:rsidRPr="003D09FA">
        <w:rPr>
          <w:rFonts w:cs="Times New Roman"/>
          <w:noProof/>
          <w:color w:val="FF0000"/>
        </w:rPr>
        <w:fldChar w:fldCharType="separate"/>
      </w:r>
      <w:r w:rsidR="008711E0" w:rsidRPr="003D09FA">
        <w:rPr>
          <w:rFonts w:cs="Times New Roman"/>
          <w:noProof/>
          <w:color w:val="FF0000"/>
        </w:rPr>
        <w:t>(Björklund et al., 2017)</w:t>
      </w:r>
      <w:r w:rsidR="003C582E" w:rsidRPr="003D09FA">
        <w:rPr>
          <w:rFonts w:cs="Times New Roman"/>
          <w:noProof/>
          <w:color w:val="FF0000"/>
        </w:rPr>
        <w:fldChar w:fldCharType="end"/>
      </w:r>
      <w:r w:rsidR="0071798B" w:rsidRPr="003D09FA">
        <w:rPr>
          <w:rFonts w:cs="Times New Roman"/>
          <w:noProof/>
          <w:color w:val="FF0000"/>
        </w:rPr>
        <w:t xml:space="preserve">. These elements can generate large gains for UCCs </w:t>
      </w:r>
      <w:r w:rsidR="00E72432" w:rsidRPr="003D09FA">
        <w:rPr>
          <w:rFonts w:cs="Times New Roman"/>
          <w:noProof/>
          <w:color w:val="FF0000"/>
        </w:rPr>
        <w:t>(Kin et al., 2016)</w:t>
      </w:r>
      <w:r w:rsidR="0071798B" w:rsidRPr="003D09FA">
        <w:rPr>
          <w:rFonts w:cs="Times New Roman"/>
          <w:noProof/>
          <w:color w:val="FF0000"/>
        </w:rPr>
        <w:t xml:space="preserve"> and reduce the logistics cost per shipment </w:t>
      </w:r>
      <w:r w:rsidR="002B6DFD" w:rsidRPr="003D09FA">
        <w:rPr>
          <w:rFonts w:cs="Times New Roman"/>
          <w:noProof/>
          <w:color w:val="FF0000"/>
        </w:rPr>
        <w:t>(Chen et al., 2012</w:t>
      </w:r>
      <w:r w:rsidR="002B6DFD" w:rsidRPr="003D09FA">
        <w:rPr>
          <w:rFonts w:cs="Times New Roman" w:hint="eastAsia"/>
          <w:noProof/>
          <w:color w:val="FF0000"/>
        </w:rPr>
        <w:t>)</w:t>
      </w:r>
      <w:r w:rsidR="0071798B" w:rsidRPr="003D09FA">
        <w:rPr>
          <w:rFonts w:cs="Times New Roman"/>
          <w:noProof/>
          <w:color w:val="FF0000"/>
        </w:rPr>
        <w:t>.</w:t>
      </w:r>
      <w:r w:rsidR="0071798B" w:rsidRPr="003D09FA">
        <w:rPr>
          <w:rFonts w:cs="Times New Roman"/>
          <w:color w:val="FF0000"/>
        </w:rPr>
        <w:t xml:space="preserve"> </w:t>
      </w:r>
    </w:p>
    <w:p w14:paraId="49DB66D9" w14:textId="5315C49A" w:rsidR="00FA4C3B" w:rsidRPr="00FA4C3B" w:rsidRDefault="00A12158" w:rsidP="006A5470">
      <w:pPr>
        <w:spacing w:after="240" w:line="360" w:lineRule="auto"/>
        <w:rPr>
          <w:rFonts w:cs="Times New Roman"/>
          <w:noProof/>
          <w:color w:val="FF0000"/>
        </w:rPr>
      </w:pPr>
      <w:r w:rsidRPr="003D09FA">
        <w:rPr>
          <w:rStyle w:val="fontstyle01"/>
          <w:rFonts w:ascii="Times New Roman" w:hAnsi="Times New Roman" w:cs="Times New Roman"/>
          <w:color w:val="FF0000"/>
        </w:rPr>
        <w:t xml:space="preserve">While UCCs provide great environmental and social advantages, their financial sustainability, along with their transition to </w:t>
      </w:r>
      <w:proofErr w:type="gramStart"/>
      <w:r w:rsidRPr="003D09FA">
        <w:rPr>
          <w:rStyle w:val="fontstyle01"/>
          <w:rFonts w:ascii="Times New Roman" w:hAnsi="Times New Roman" w:cs="Times New Roman"/>
          <w:color w:val="FF0000"/>
        </w:rPr>
        <w:t>autonomously-funded</w:t>
      </w:r>
      <w:proofErr w:type="gramEnd"/>
      <w:r w:rsidRPr="003D09FA">
        <w:rPr>
          <w:rStyle w:val="fontstyle01"/>
          <w:rFonts w:ascii="Times New Roman" w:hAnsi="Times New Roman" w:cs="Times New Roman"/>
          <w:color w:val="FF0000"/>
        </w:rPr>
        <w:t xml:space="preserve"> projects, which are not heavily relying on governmental support, is a challenging proposition. Even if governments invest considerable capital in the initial stage of the UCC project, this might not achieve long-term sustainability </w:t>
      </w:r>
      <w:r w:rsidRPr="003D09FA">
        <w:rPr>
          <w:rStyle w:val="fontstyle01"/>
          <w:rFonts w:ascii="Times New Roman" w:hAnsi="Times New Roman" w:cs="Times New Roman"/>
          <w:color w:val="FF0000"/>
        </w:rPr>
        <w:fldChar w:fldCharType="begin">
          <w:fldData xml:space="preserve">PEVuZE5vdGU+PENpdGU+PEF1dGhvcj5BbGxlbjwvQXV0aG9yPjxZZWFyPjIwMTI8L1llYXI+PFJl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</w:fldData>
        </w:fldChar>
      </w:r>
      <w:r w:rsidRPr="003D09FA">
        <w:rPr>
          <w:rStyle w:val="fontstyle01"/>
          <w:rFonts w:ascii="Times New Roman" w:hAnsi="Times New Roman" w:cs="Times New Roman"/>
          <w:color w:val="FF0000"/>
        </w:rPr>
        <w:instrText xml:space="preserve"> ADDIN EN.CITE </w:instrText>
      </w:r>
      <w:r w:rsidRPr="003D09FA">
        <w:rPr>
          <w:rStyle w:val="fontstyle01"/>
          <w:rFonts w:ascii="Times New Roman" w:hAnsi="Times New Roman" w:cs="Times New Roman"/>
          <w:color w:val="FF0000"/>
        </w:rPr>
        <w:fldChar w:fldCharType="begin">
          <w:fldData xml:space="preserve">PEVuZE5vdGU+PENpdGU+PEF1dGhvcj5BbGxlbjwvQXV0aG9yPjxZZWFyPjIwMTI8L1llYXI+PFJl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</w:fldData>
        </w:fldChar>
      </w:r>
      <w:r w:rsidRPr="003D09FA">
        <w:rPr>
          <w:rStyle w:val="fontstyle01"/>
          <w:rFonts w:ascii="Times New Roman" w:hAnsi="Times New Roman" w:cs="Times New Roman"/>
          <w:color w:val="FF0000"/>
        </w:rPr>
        <w:instrText xml:space="preserve"> ADDIN EN.CITE.DATA </w:instrText>
      </w:r>
      <w:r w:rsidRPr="003D09FA">
        <w:rPr>
          <w:rStyle w:val="fontstyle01"/>
          <w:rFonts w:ascii="Times New Roman" w:hAnsi="Times New Roman" w:cs="Times New Roman"/>
          <w:color w:val="FF0000"/>
        </w:rPr>
      </w:r>
      <w:r w:rsidRPr="003D09FA">
        <w:rPr>
          <w:rStyle w:val="fontstyle01"/>
          <w:rFonts w:ascii="Times New Roman" w:hAnsi="Times New Roman" w:cs="Times New Roman"/>
          <w:color w:val="FF0000"/>
        </w:rPr>
        <w:fldChar w:fldCharType="end"/>
      </w:r>
      <w:r w:rsidRPr="003D09FA">
        <w:rPr>
          <w:rStyle w:val="fontstyle01"/>
          <w:rFonts w:ascii="Times New Roman" w:hAnsi="Times New Roman" w:cs="Times New Roman"/>
          <w:color w:val="FF0000"/>
        </w:rPr>
      </w:r>
      <w:r w:rsidRPr="003D09FA">
        <w:rPr>
          <w:rStyle w:val="fontstyle01"/>
          <w:rFonts w:ascii="Times New Roman" w:hAnsi="Times New Roman" w:cs="Times New Roman"/>
          <w:color w:val="FF0000"/>
        </w:rPr>
        <w:fldChar w:fldCharType="separate"/>
      </w:r>
      <w:r w:rsidRPr="003D09FA">
        <w:rPr>
          <w:rStyle w:val="fontstyle01"/>
          <w:rFonts w:ascii="Times New Roman" w:hAnsi="Times New Roman" w:cs="Times New Roman"/>
          <w:noProof/>
          <w:color w:val="FF0000"/>
        </w:rPr>
        <w:t>(Allen et al., 2012)</w:t>
      </w:r>
      <w:r w:rsidRPr="003D09FA">
        <w:rPr>
          <w:rStyle w:val="fontstyle01"/>
          <w:rFonts w:ascii="Times New Roman" w:hAnsi="Times New Roman" w:cs="Times New Roman"/>
          <w:color w:val="FF0000"/>
        </w:rPr>
        <w:fldChar w:fldCharType="end"/>
      </w:r>
      <w:r w:rsidRPr="003D09FA">
        <w:rPr>
          <w:rStyle w:val="fontstyle01"/>
          <w:rFonts w:ascii="Times New Roman" w:hAnsi="Times New Roman" w:cs="Times New Roman"/>
          <w:color w:val="FF0000"/>
        </w:rPr>
        <w:t>.</w:t>
      </w:r>
      <w:r>
        <w:rPr>
          <w:rFonts w:cs="Times New Roman"/>
          <w:noProof/>
          <w:color w:val="FF0000"/>
        </w:rPr>
        <w:t xml:space="preserve"> </w:t>
      </w:r>
      <w:r w:rsidR="00AB7763" w:rsidRPr="003D09FA">
        <w:rPr>
          <w:rStyle w:val="fontstyle01"/>
          <w:rFonts w:ascii="Times New Roman" w:hAnsi="Times New Roman" w:cs="Times New Roman"/>
          <w:color w:val="FF0000"/>
        </w:rPr>
        <w:t xml:space="preserve">Historically, the low volume of users subscribing to UCC facilities has caused financial issues; indeed, most of these schemes have been implemented voluntarily. As such, it is hard for UCCs to achieve financial availability through service fees </w:t>
      </w:r>
      <w:r w:rsidR="00AB7763" w:rsidRPr="003D09FA">
        <w:rPr>
          <w:rStyle w:val="fontstyle01"/>
          <w:rFonts w:ascii="Times New Roman" w:hAnsi="Times New Roman" w:cs="Times New Roman"/>
          <w:color w:val="FF0000"/>
        </w:rPr>
        <w:fldChar w:fldCharType="begin"/>
      </w:r>
      <w:r w:rsidR="00AB7763" w:rsidRPr="003D09FA">
        <w:rPr>
          <w:rStyle w:val="fontstyle01"/>
          <w:rFonts w:ascii="Times New Roman" w:hAnsi="Times New Roman" w:cs="Times New Roman"/>
          <w:color w:val="FF0000"/>
        </w:rPr>
        <w:instrText xml:space="preserve"> ADDIN EN.CITE &lt;EndNote&gt;&lt;Cite&gt;&lt;Author&gt;Paddeu&lt;/Author&gt;&lt;Year&gt;2018&lt;/Year&gt;&lt;RecNum&gt;189&lt;/RecNum&gt;&lt;DisplayText&gt;(Paddeu, 2018)&lt;/DisplayText&gt;&lt;record&gt;&lt;rec-number&gt;189&lt;/rec-number&gt;&lt;foreign-keys&gt;&lt;key app="EN" db-id="x5etaz5aiszvz0edasvvpwvotttxepvd25t2" timestamp="1611177410"&gt;189&lt;/key&gt;&lt;/foreign-keys&gt;&lt;ref-type name="Book Section"&gt;5&lt;/ref-type&gt;&lt;contributors&gt;&lt;authors&gt;&lt;author&gt;Paddeu, Daniela&lt;/author&gt;&lt;/authors&gt;&lt;/contributors&gt;&lt;titles&gt;&lt;title&gt;Sustainable Solutions for Urban Freight Transport and Logistics: An Analysis of Urban Consolidation Centers&lt;/title&gt;&lt;secondary-title&gt;Sustainable Freight Transport&lt;/secondary-title&gt;&lt;/titles&gt;&lt;pages&gt;121-137&lt;/pages&gt;&lt;dates&gt;&lt;year&gt;2018&lt;/year&gt;&lt;/dates&gt;&lt;publisher&gt;Springer&lt;/publisher&gt;&lt;urls&gt;&lt;/urls&gt;&lt;/record&gt;&lt;/Cite&gt;&lt;/EndNote&gt;</w:instrText>
      </w:r>
      <w:r w:rsidR="00AB7763" w:rsidRPr="003D09FA">
        <w:rPr>
          <w:rStyle w:val="fontstyle01"/>
          <w:rFonts w:ascii="Times New Roman" w:hAnsi="Times New Roman" w:cs="Times New Roman"/>
          <w:color w:val="FF0000"/>
        </w:rPr>
        <w:fldChar w:fldCharType="separate"/>
      </w:r>
      <w:r w:rsidR="00AB7763" w:rsidRPr="003D09FA">
        <w:rPr>
          <w:rStyle w:val="fontstyle01"/>
          <w:rFonts w:ascii="Times New Roman" w:hAnsi="Times New Roman" w:cs="Times New Roman"/>
          <w:noProof/>
          <w:color w:val="FF0000"/>
        </w:rPr>
        <w:t>(Paddeu, 2018)</w:t>
      </w:r>
      <w:r w:rsidR="00AB7763" w:rsidRPr="003D09FA">
        <w:rPr>
          <w:rStyle w:val="fontstyle01"/>
          <w:rFonts w:ascii="Times New Roman" w:hAnsi="Times New Roman" w:cs="Times New Roman"/>
          <w:color w:val="FF0000"/>
        </w:rPr>
        <w:fldChar w:fldCharType="end"/>
      </w:r>
      <w:r w:rsidR="00AB7763" w:rsidRPr="003D09FA">
        <w:rPr>
          <w:rStyle w:val="fontstyle01"/>
          <w:rFonts w:ascii="Times New Roman" w:hAnsi="Times New Roman" w:cs="Times New Roman"/>
          <w:color w:val="FF0000"/>
        </w:rPr>
        <w:t>.</w:t>
      </w:r>
      <w:r w:rsidR="00FA4C3B">
        <w:rPr>
          <w:rStyle w:val="fontstyle01"/>
          <w:rFonts w:ascii="Times New Roman" w:hAnsi="Times New Roman" w:cs="Times New Roman"/>
          <w:color w:val="FF0000"/>
        </w:rPr>
        <w:t xml:space="preserve"> </w:t>
      </w:r>
      <w:r w:rsidR="00AB7763" w:rsidRPr="003D09FA">
        <w:rPr>
          <w:rStyle w:val="fontstyle01"/>
          <w:rFonts w:ascii="Times New Roman" w:hAnsi="Times New Roman" w:cs="Times New Roman"/>
          <w:color w:val="FF0000"/>
        </w:rPr>
        <w:t>F</w:t>
      </w:r>
      <w:r w:rsidR="00A802E4">
        <w:rPr>
          <w:rStyle w:val="fontstyle01"/>
          <w:rFonts w:ascii="Times New Roman" w:hAnsi="Times New Roman" w:cs="Times New Roman"/>
          <w:color w:val="FF0000"/>
        </w:rPr>
        <w:t>ive</w:t>
      </w:r>
      <w:r w:rsidR="00AB7763" w:rsidRPr="003D09FA">
        <w:rPr>
          <w:rStyle w:val="fontstyle01"/>
          <w:rFonts w:ascii="Times New Roman" w:hAnsi="Times New Roman" w:cs="Times New Roman"/>
          <w:color w:val="FF0000"/>
        </w:rPr>
        <w:t xml:space="preserve"> main factors can produce such issues:</w:t>
      </w:r>
      <w:r w:rsidR="00EA01CE">
        <w:rPr>
          <w:rFonts w:cs="Times New Roman"/>
          <w:color w:val="FF0000"/>
          <w:szCs w:val="24"/>
        </w:rPr>
        <w:t xml:space="preserve"> </w:t>
      </w:r>
    </w:p>
    <w:p w14:paraId="56AE32EE" w14:textId="0ADD8C38" w:rsidR="007A4F7A" w:rsidRPr="00C11332" w:rsidRDefault="00FA4C3B" w:rsidP="00A323CC">
      <w:pPr>
        <w:pStyle w:val="ListParagraph"/>
        <w:numPr>
          <w:ilvl w:val="0"/>
          <w:numId w:val="20"/>
        </w:numPr>
        <w:spacing w:after="240" w:line="360" w:lineRule="auto"/>
        <w:rPr>
          <w:rStyle w:val="fontstyle01"/>
          <w:rFonts w:ascii="Times New Roman" w:hAnsi="Times New Roman" w:cs="Times New Roman"/>
          <w:color w:val="FF0000"/>
        </w:rPr>
      </w:pPr>
      <w:r w:rsidRPr="00C11332">
        <w:rPr>
          <w:rStyle w:val="fontstyle01"/>
          <w:rFonts w:ascii="Times New Roman" w:hAnsi="Times New Roman" w:cs="Times New Roman"/>
          <w:color w:val="FF0000"/>
        </w:rPr>
        <w:t xml:space="preserve">Given </w:t>
      </w:r>
      <w:r w:rsidRPr="00C11332">
        <w:rPr>
          <w:rStyle w:val="fontstyle01"/>
          <w:rFonts w:ascii="Times New Roman" w:hAnsi="Times New Roman" w:cs="Times New Roman"/>
          <w:color w:val="FF0000"/>
          <w:sz w:val="22"/>
          <w:szCs w:val="22"/>
        </w:rPr>
        <w:t>the</w:t>
      </w:r>
      <w:r w:rsidRPr="00C11332">
        <w:rPr>
          <w:rStyle w:val="fontstyle01"/>
          <w:rFonts w:ascii="Times New Roman" w:hAnsi="Times New Roman" w:cs="Times New Roman"/>
          <w:color w:val="FF0000"/>
        </w:rPr>
        <w:t xml:space="preserve"> extremely fragmented nature of the urban freight transport market (in which a plethora of small companies and self-employed drivers operate) </w:t>
      </w:r>
      <w:r w:rsidRPr="00C11332">
        <w:rPr>
          <w:rStyle w:val="fontstyle01"/>
          <w:rFonts w:ascii="Times New Roman" w:hAnsi="Times New Roman" w:cs="Times New Roman"/>
          <w:color w:val="FF0000"/>
        </w:rPr>
        <w:fldChar w:fldCharType="begin"/>
      </w:r>
      <w:r w:rsidRPr="00C11332">
        <w:rPr>
          <w:rStyle w:val="fontstyle01"/>
          <w:rFonts w:ascii="Times New Roman" w:hAnsi="Times New Roman" w:cs="Times New Roman"/>
          <w:color w:val="FF0000"/>
        </w:rPr>
        <w:instrText xml:space="preserve"> ADDIN EN.CITE &lt;EndNote&gt;&lt;Cite&gt;&lt;Author&gt;Paddeu&lt;/Author&gt;&lt;Year&gt;2018&lt;/Year&gt;&lt;RecNum&gt;189&lt;/RecNum&gt;&lt;DisplayText&gt;(Paddeu, 2018)&lt;/DisplayText&gt;&lt;record&gt;&lt;rec-number&gt;189&lt;/rec-number&gt;&lt;foreign-keys&gt;&lt;key app="EN" db-id="x5etaz5aiszvz0edasvvpwvotttxepvd25t2" timestamp="1611177410"&gt;189&lt;/key&gt;&lt;/foreign-keys&gt;&lt;ref-type name="Book Section"&gt;5&lt;/ref-type&gt;&lt;contributors&gt;&lt;authors&gt;&lt;author&gt;Paddeu, Daniela&lt;/author&gt;&lt;/authors&gt;&lt;/contributors&gt;&lt;titles&gt;&lt;title&gt;Sustainable Solutions for Urban Freight Transport and Logistics: An Analysis of Urban Consolidation Centers&lt;/title&gt;&lt;secondary-title&gt;Sustainable Freight Transport&lt;/secondary-title&gt;&lt;/titles&gt;&lt;pages&gt;121-137&lt;/pages&gt;&lt;dates&gt;&lt;year&gt;2018&lt;/year&gt;&lt;/dates&gt;&lt;publisher&gt;Springer&lt;/publisher&gt;&lt;urls&gt;&lt;/urls&gt;&lt;/record&gt;&lt;/Cite&gt;&lt;/EndNote&gt;</w:instrText>
      </w:r>
      <w:r w:rsidRPr="00C11332">
        <w:rPr>
          <w:rStyle w:val="fontstyle01"/>
          <w:rFonts w:ascii="Times New Roman" w:hAnsi="Times New Roman" w:cs="Times New Roman"/>
          <w:color w:val="FF0000"/>
        </w:rPr>
        <w:fldChar w:fldCharType="separate"/>
      </w:r>
      <w:r w:rsidRPr="00C11332">
        <w:rPr>
          <w:rStyle w:val="fontstyle01"/>
          <w:rFonts w:ascii="Times New Roman" w:hAnsi="Times New Roman" w:cs="Times New Roman"/>
          <w:noProof/>
          <w:color w:val="FF0000"/>
        </w:rPr>
        <w:t>(Paddeu, 2018)</w:t>
      </w:r>
      <w:r w:rsidRPr="00C11332">
        <w:rPr>
          <w:rStyle w:val="fontstyle01"/>
          <w:rFonts w:ascii="Times New Roman" w:hAnsi="Times New Roman" w:cs="Times New Roman"/>
          <w:color w:val="FF0000"/>
        </w:rPr>
        <w:fldChar w:fldCharType="end"/>
      </w:r>
      <w:r w:rsidRPr="00C11332">
        <w:rPr>
          <w:rStyle w:val="fontstyle01"/>
          <w:rFonts w:ascii="Times New Roman" w:hAnsi="Times New Roman" w:cs="Times New Roman"/>
          <w:color w:val="FF0000"/>
        </w:rPr>
        <w:t xml:space="preserve">, it is difficult for UCCs to capture significant market shares in last-mile logistics </w:t>
      </w:r>
      <w:r w:rsidRPr="00C11332">
        <w:rPr>
          <w:rStyle w:val="fontstyle01"/>
          <w:rFonts w:ascii="Times New Roman" w:hAnsi="Times New Roman" w:cs="Times New Roman"/>
          <w:color w:val="FF0000"/>
        </w:rPr>
        <w:fldChar w:fldCharType="begin">
          <w:fldData xml:space="preserve">PEVuZE5vdGU+PENpdGU+PEF1dGhvcj52YW4gRHVpbjwvQXV0aG9yPjxZZWFyPjIwMTA8L1llYXI+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</w:fldData>
        </w:fldChar>
      </w:r>
      <w:r w:rsidRPr="00C11332">
        <w:rPr>
          <w:rStyle w:val="fontstyle01"/>
          <w:rFonts w:ascii="Times New Roman" w:hAnsi="Times New Roman" w:cs="Times New Roman"/>
          <w:color w:val="FF0000"/>
        </w:rPr>
        <w:instrText xml:space="preserve"> ADDIN EN.CITE </w:instrText>
      </w:r>
      <w:r w:rsidRPr="00C11332">
        <w:rPr>
          <w:rStyle w:val="fontstyle01"/>
          <w:rFonts w:ascii="Times New Roman" w:hAnsi="Times New Roman" w:cs="Times New Roman"/>
          <w:color w:val="FF0000"/>
        </w:rPr>
        <w:fldChar w:fldCharType="begin">
          <w:fldData xml:space="preserve">PEVuZE5vdGU+PENpdGU+PEF1dGhvcj52YW4gRHVpbjwvQXV0aG9yPjxZZWFyPjIwMTA8L1llYXI+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</w:fldData>
        </w:fldChar>
      </w:r>
      <w:r w:rsidRPr="00C11332">
        <w:rPr>
          <w:rStyle w:val="fontstyle01"/>
          <w:rFonts w:ascii="Times New Roman" w:hAnsi="Times New Roman" w:cs="Times New Roman"/>
          <w:color w:val="FF0000"/>
        </w:rPr>
        <w:instrText xml:space="preserve"> ADDIN EN.CITE.DATA </w:instrText>
      </w:r>
      <w:r w:rsidRPr="00C11332">
        <w:rPr>
          <w:rStyle w:val="fontstyle01"/>
          <w:rFonts w:ascii="Times New Roman" w:hAnsi="Times New Roman" w:cs="Times New Roman"/>
          <w:color w:val="FF0000"/>
        </w:rPr>
      </w:r>
      <w:r w:rsidRPr="00C11332">
        <w:rPr>
          <w:rStyle w:val="fontstyle01"/>
          <w:rFonts w:ascii="Times New Roman" w:hAnsi="Times New Roman" w:cs="Times New Roman"/>
          <w:color w:val="FF0000"/>
        </w:rPr>
        <w:fldChar w:fldCharType="end"/>
      </w:r>
      <w:r w:rsidRPr="00C11332">
        <w:rPr>
          <w:rStyle w:val="fontstyle01"/>
          <w:rFonts w:ascii="Times New Roman" w:hAnsi="Times New Roman" w:cs="Times New Roman"/>
          <w:color w:val="FF0000"/>
        </w:rPr>
      </w:r>
      <w:r w:rsidRPr="00C11332">
        <w:rPr>
          <w:rStyle w:val="fontstyle01"/>
          <w:rFonts w:ascii="Times New Roman" w:hAnsi="Times New Roman" w:cs="Times New Roman"/>
          <w:color w:val="FF0000"/>
        </w:rPr>
        <w:fldChar w:fldCharType="separate"/>
      </w:r>
      <w:r w:rsidRPr="00C11332">
        <w:rPr>
          <w:rStyle w:val="fontstyle01"/>
          <w:rFonts w:ascii="Times New Roman" w:hAnsi="Times New Roman" w:cs="Times New Roman"/>
          <w:noProof/>
          <w:color w:val="FF0000"/>
        </w:rPr>
        <w:t>(van Duin et al., 2010, Allen et al., 2014)</w:t>
      </w:r>
      <w:r w:rsidRPr="00C11332">
        <w:rPr>
          <w:rStyle w:val="fontstyle01"/>
          <w:rFonts w:ascii="Times New Roman" w:hAnsi="Times New Roman" w:cs="Times New Roman"/>
          <w:color w:val="FF0000"/>
        </w:rPr>
        <w:fldChar w:fldCharType="end"/>
      </w:r>
      <w:r w:rsidRPr="00C11332">
        <w:rPr>
          <w:rStyle w:val="fontstyle01"/>
          <w:rFonts w:ascii="Times New Roman" w:hAnsi="Times New Roman" w:cs="Times New Roman"/>
          <w:color w:val="FF0000"/>
        </w:rPr>
        <w:t>.</w:t>
      </w:r>
      <w:r w:rsidR="009D40B8" w:rsidRPr="00C11332">
        <w:rPr>
          <w:rStyle w:val="fontstyle01"/>
          <w:rFonts w:ascii="Times New Roman" w:hAnsi="Times New Roman" w:cs="Times New Roman"/>
          <w:color w:val="FF0000"/>
        </w:rPr>
        <w:t xml:space="preserve"> </w:t>
      </w:r>
      <w:r w:rsidR="007A4F7A" w:rsidRPr="00C11332">
        <w:rPr>
          <w:rStyle w:val="fontstyle01"/>
          <w:rFonts w:ascii="Times New Roman" w:hAnsi="Times New Roman" w:cs="Times New Roman"/>
          <w:color w:val="FF0000"/>
        </w:rPr>
        <w:t xml:space="preserve">Moreover, </w:t>
      </w:r>
      <w:r w:rsidR="007A4F7A" w:rsidRPr="00C11332">
        <w:rPr>
          <w:noProof/>
          <w:color w:val="FF0000"/>
        </w:rPr>
        <w:fldChar w:fldCharType="begin"/>
      </w:r>
      <w:r w:rsidR="007A4F7A" w:rsidRPr="00C11332">
        <w:rPr>
          <w:noProof/>
          <w:color w:val="FF0000"/>
        </w:rPr>
        <w:instrText xml:space="preserve"> ADDIN EN.CITE &lt;EndNote&gt;&lt;Cite AuthorYear="1"&gt;&lt;Author&gt;Morganti&lt;/Author&gt;&lt;Year&gt;2015&lt;/Year&gt;&lt;RecNum&gt;222&lt;/RecNum&gt;&lt;DisplayText&gt;Morganti and Gonzalez-Feliu (2015)&lt;/DisplayText&gt;&lt;record&gt;&lt;rec-number&gt;222&lt;/rec-number&gt;&lt;foreign-keys&gt;&lt;key app="EN" db-id="x5etaz5aiszvz0edasvvpwvotttxepvd25t2" timestamp="1611177411"&gt;222&lt;/key&gt;&lt;/foreign-keys&gt;&lt;ref-type name="Journal Article"&gt;17&lt;/ref-type&gt;&lt;contributors&gt;&lt;authors&gt;&lt;author&gt;Morganti, Eleonora&lt;/author&gt;&lt;author&gt;Gonzalez-Feliu, Jesus&lt;/author&gt;&lt;/authors&gt;&lt;/contributors&gt;&lt;titles&gt;&lt;title&gt;City logistics for perishable products. The case of the Parma&amp;apos;s Food Hub&lt;/title&gt;&lt;secondary-title&gt;Case Studies on Transport Policy&lt;/secondary-title&gt;&lt;/titles&gt;&lt;periodical&gt;&lt;full-title&gt;Case Studies on Transport Policy&lt;/full-title&gt;&lt;abbr-1&gt;Case Stud. Transp. Policy&lt;/abbr-1&gt;&lt;/periodical&gt;&lt;pages&gt;120-128&lt;/pages&gt;&lt;volume&gt;3&lt;/volume&gt;&lt;number&gt;2&lt;/number&gt;&lt;keywords&gt;&lt;keyword&gt;City logistics&lt;/keyword&gt;&lt;keyword&gt;Food delivery&lt;/keyword&gt;&lt;keyword&gt;Food hub&lt;/keyword&gt;&lt;/keywords&gt;&lt;dates&gt;&lt;year&gt;2015&lt;/year&gt;&lt;pub-dates&gt;&lt;date&gt;2015/06/01/&lt;/date&gt;&lt;/pub-dates&gt;&lt;/dates&gt;&lt;isbn&gt;2213-624X&lt;/isbn&gt;&lt;urls&gt;&lt;related-urls&gt;&lt;url&gt;http://www.sciencedirect.com/science/article/pii/S2213624X14000479&lt;/url&gt;&lt;/related-urls&gt;&lt;/urls&gt;&lt;electronic-resource-num&gt;https://doi.org/10.1016/j.cstp.2014.08.003&lt;/electronic-resource-num&gt;&lt;/record&gt;&lt;/Cite&gt;&lt;/EndNote&gt;</w:instrText>
      </w:r>
      <w:r w:rsidR="007A4F7A" w:rsidRPr="00C11332">
        <w:rPr>
          <w:noProof/>
          <w:color w:val="FF0000"/>
        </w:rPr>
        <w:fldChar w:fldCharType="separate"/>
      </w:r>
      <w:r w:rsidR="007A4F7A" w:rsidRPr="00C11332">
        <w:rPr>
          <w:noProof/>
          <w:color w:val="FF0000"/>
        </w:rPr>
        <w:t>Morganti and Gonzalez-Feliu (2015)</w:t>
      </w:r>
      <w:r w:rsidR="007A4F7A" w:rsidRPr="00C11332">
        <w:rPr>
          <w:noProof/>
          <w:color w:val="FF0000"/>
        </w:rPr>
        <w:fldChar w:fldCharType="end"/>
      </w:r>
      <w:r w:rsidR="007A4F7A" w:rsidRPr="00C11332">
        <w:rPr>
          <w:rFonts w:cs="Times New Roman"/>
          <w:color w:val="FF0000"/>
        </w:rPr>
        <w:t xml:space="preserve"> found </w:t>
      </w:r>
      <w:r w:rsidR="007A4F7A" w:rsidRPr="00C11332">
        <w:rPr>
          <w:rFonts w:cs="Times New Roman"/>
          <w:color w:val="FF0000"/>
        </w:rPr>
        <w:lastRenderedPageBreak/>
        <w:t xml:space="preserve">that a considerable amount of informal logistics activity is carried out by wholesalers, suppliers, and shopkeepers, leading to inefficiencies in UCC implementation. </w:t>
      </w:r>
      <w:r w:rsidR="00421B2B" w:rsidRPr="00C11332">
        <w:rPr>
          <w:rFonts w:cs="Times New Roman"/>
          <w:color w:val="FF0000"/>
        </w:rPr>
        <w:t xml:space="preserve">Lastly UL services cannot all be undertaken by one or two UCCs, as there are numerous </w:t>
      </w:r>
      <w:r w:rsidR="00363AE7">
        <w:rPr>
          <w:rFonts w:cs="Times New Roman"/>
          <w:color w:val="FF0000"/>
        </w:rPr>
        <w:t>kinds of goods which UCC cannot handle</w:t>
      </w:r>
      <w:r w:rsidR="003E3284">
        <w:rPr>
          <w:rFonts w:cs="Times New Roman"/>
          <w:color w:val="FF0000"/>
        </w:rPr>
        <w:t xml:space="preserve"> </w:t>
      </w:r>
      <w:r w:rsidR="00421B2B" w:rsidRPr="00C11332">
        <w:rPr>
          <w:noProof/>
          <w:color w:val="FF0000"/>
        </w:rPr>
        <w:t>(Browne et al., 2011)</w:t>
      </w:r>
      <w:r w:rsidR="00421B2B" w:rsidRPr="00C11332">
        <w:rPr>
          <w:rFonts w:cs="Times New Roman"/>
          <w:color w:val="FF0000"/>
        </w:rPr>
        <w:t>.</w:t>
      </w:r>
    </w:p>
    <w:p w14:paraId="547D787E" w14:textId="1A21C863" w:rsidR="006C3833" w:rsidRDefault="00FA4C3B" w:rsidP="00A323CC">
      <w:pPr>
        <w:pStyle w:val="ListParagraph"/>
        <w:numPr>
          <w:ilvl w:val="0"/>
          <w:numId w:val="20"/>
        </w:numPr>
        <w:spacing w:after="240" w:line="360" w:lineRule="auto"/>
        <w:rPr>
          <w:rFonts w:cs="Times New Roman"/>
          <w:color w:val="FF0000"/>
        </w:rPr>
      </w:pPr>
      <w:r w:rsidRPr="00C11332">
        <w:rPr>
          <w:rStyle w:val="fontstyle01"/>
          <w:rFonts w:ascii="Times New Roman" w:hAnsi="Times New Roman" w:cs="Times New Roman"/>
          <w:color w:val="FF0000"/>
        </w:rPr>
        <w:t xml:space="preserve">Due to the need to introduce further sorting and merging processes, UCC schemes might generate extra fees for all the actors involved in the entire supply chain </w:t>
      </w:r>
      <w:r w:rsidRPr="00C11332">
        <w:rPr>
          <w:rStyle w:val="fontstyle01"/>
          <w:rFonts w:ascii="Times New Roman" w:hAnsi="Times New Roman" w:cs="Times New Roman"/>
          <w:color w:val="FF0000"/>
        </w:rPr>
        <w:fldChar w:fldCharType="begin">
          <w:fldData xml:space="preserve">PEVuZE5vdGU+PENpdGU+PEF1dGhvcj5WYW4gUm9vaWplbjwvQXV0aG9yPjxZZWFyPjIwMTA8L1ll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=
</w:fldData>
        </w:fldChar>
      </w:r>
      <w:r w:rsidR="00FB6083">
        <w:rPr>
          <w:rStyle w:val="fontstyle01"/>
          <w:rFonts w:ascii="Times New Roman" w:hAnsi="Times New Roman" w:cs="Times New Roman"/>
          <w:color w:val="FF0000"/>
        </w:rPr>
        <w:instrText xml:space="preserve"> ADDIN EN.CITE </w:instrText>
      </w:r>
      <w:r w:rsidR="00FB6083">
        <w:rPr>
          <w:rStyle w:val="fontstyle01"/>
          <w:rFonts w:ascii="Times New Roman" w:hAnsi="Times New Roman" w:cs="Times New Roman"/>
          <w:color w:val="FF0000"/>
        </w:rPr>
        <w:fldChar w:fldCharType="begin">
          <w:fldData xml:space="preserve">PEVuZE5vdGU+PENpdGU+PEF1dGhvcj5WYW4gUm9vaWplbjwvQXV0aG9yPjxZZWFyPjIwMTA8L1ll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=
</w:fldData>
        </w:fldChar>
      </w:r>
      <w:r w:rsidR="00FB6083">
        <w:rPr>
          <w:rStyle w:val="fontstyle01"/>
          <w:rFonts w:ascii="Times New Roman" w:hAnsi="Times New Roman" w:cs="Times New Roman"/>
          <w:color w:val="FF0000"/>
        </w:rPr>
        <w:instrText xml:space="preserve"> ADDIN EN.CITE.DATA </w:instrText>
      </w:r>
      <w:r w:rsidR="00FB6083">
        <w:rPr>
          <w:rStyle w:val="fontstyle01"/>
          <w:rFonts w:ascii="Times New Roman" w:hAnsi="Times New Roman" w:cs="Times New Roman"/>
          <w:color w:val="FF0000"/>
        </w:rPr>
      </w:r>
      <w:r w:rsidR="00FB6083">
        <w:rPr>
          <w:rStyle w:val="fontstyle01"/>
          <w:rFonts w:ascii="Times New Roman" w:hAnsi="Times New Roman" w:cs="Times New Roman"/>
          <w:color w:val="FF0000"/>
        </w:rPr>
        <w:fldChar w:fldCharType="end"/>
      </w:r>
      <w:r w:rsidRPr="00C11332">
        <w:rPr>
          <w:rStyle w:val="fontstyle01"/>
          <w:rFonts w:ascii="Times New Roman" w:hAnsi="Times New Roman" w:cs="Times New Roman"/>
          <w:color w:val="FF0000"/>
        </w:rPr>
      </w:r>
      <w:r w:rsidRPr="00C11332">
        <w:rPr>
          <w:rStyle w:val="fontstyle01"/>
          <w:rFonts w:ascii="Times New Roman" w:hAnsi="Times New Roman" w:cs="Times New Roman"/>
          <w:color w:val="FF0000"/>
        </w:rPr>
        <w:fldChar w:fldCharType="separate"/>
      </w:r>
      <w:r w:rsidR="00FB6083">
        <w:rPr>
          <w:rStyle w:val="fontstyle01"/>
          <w:rFonts w:ascii="Times New Roman" w:hAnsi="Times New Roman" w:cs="Times New Roman"/>
          <w:noProof/>
          <w:color w:val="FF0000"/>
        </w:rPr>
        <w:t>(Van Rooijen and Quak, 2010, Allen et al., 2015)</w:t>
      </w:r>
      <w:r w:rsidRPr="00C11332">
        <w:rPr>
          <w:rStyle w:val="fontstyle01"/>
          <w:rFonts w:ascii="Times New Roman" w:hAnsi="Times New Roman" w:cs="Times New Roman"/>
          <w:color w:val="FF0000"/>
        </w:rPr>
        <w:fldChar w:fldCharType="end"/>
      </w:r>
      <w:r w:rsidRPr="00C11332">
        <w:rPr>
          <w:rStyle w:val="fontstyle01"/>
          <w:rFonts w:ascii="Times New Roman" w:hAnsi="Times New Roman" w:cs="Times New Roman"/>
          <w:color w:val="FF0000"/>
        </w:rPr>
        <w:t xml:space="preserve">. </w:t>
      </w:r>
      <w:r w:rsidR="00E36212" w:rsidRPr="00C11332">
        <w:rPr>
          <w:rFonts w:cs="Times New Roman"/>
          <w:color w:val="FF0000"/>
        </w:rPr>
        <w:t>This is an obstacle for UCC users, including LSPs and receivers, as long-term participants in the project (</w:t>
      </w:r>
      <w:r w:rsidR="00E36212" w:rsidRPr="00C11332">
        <w:rPr>
          <w:rFonts w:cs="Times New Roman"/>
          <w:color w:val="FF0000"/>
        </w:rPr>
        <w:fldChar w:fldCharType="begin">
          <w:fldData xml:space="preserve">PEVuZE5vdGU+PENpdGU+PEF1dGhvcj5BbGxlbjwvQXV0aG9yPjxZZWFyPjIwMDc8L1llYXI+PFJl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==
</w:fldData>
        </w:fldChar>
      </w:r>
      <w:r w:rsidR="00E36212" w:rsidRPr="00C11332">
        <w:rPr>
          <w:rFonts w:cs="Times New Roman"/>
          <w:color w:val="FF0000"/>
        </w:rPr>
        <w:instrText xml:space="preserve"> ADDIN EN.CITE </w:instrText>
      </w:r>
      <w:r w:rsidR="00E36212" w:rsidRPr="00C11332">
        <w:rPr>
          <w:rFonts w:cs="Times New Roman"/>
          <w:color w:val="FF0000"/>
        </w:rPr>
        <w:fldChar w:fldCharType="begin">
          <w:fldData xml:space="preserve">PEVuZE5vdGU+PENpdGU+PEF1dGhvcj5BbGxlbjwvQXV0aG9yPjxZZWFyPjIwMDc8L1llYXI+PFJl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==
</w:fldData>
        </w:fldChar>
      </w:r>
      <w:r w:rsidR="00E36212" w:rsidRPr="00C11332">
        <w:rPr>
          <w:rFonts w:cs="Times New Roman"/>
          <w:color w:val="FF0000"/>
        </w:rPr>
        <w:instrText xml:space="preserve"> ADDIN EN.CITE.DATA </w:instrText>
      </w:r>
      <w:r w:rsidR="00E36212" w:rsidRPr="00C11332">
        <w:rPr>
          <w:rFonts w:cs="Times New Roman"/>
          <w:color w:val="FF0000"/>
        </w:rPr>
      </w:r>
      <w:r w:rsidR="00E36212" w:rsidRPr="00C11332">
        <w:rPr>
          <w:rFonts w:cs="Times New Roman"/>
          <w:color w:val="FF0000"/>
        </w:rPr>
        <w:fldChar w:fldCharType="end"/>
      </w:r>
      <w:r w:rsidR="00E36212" w:rsidRPr="00C11332">
        <w:rPr>
          <w:rFonts w:cs="Times New Roman"/>
          <w:color w:val="FF0000"/>
        </w:rPr>
      </w:r>
      <w:r w:rsidR="00E36212" w:rsidRPr="00C11332">
        <w:rPr>
          <w:rFonts w:cs="Times New Roman"/>
          <w:color w:val="FF0000"/>
        </w:rPr>
        <w:fldChar w:fldCharType="separate"/>
      </w:r>
      <w:r w:rsidR="00E36212" w:rsidRPr="00C11332">
        <w:rPr>
          <w:rFonts w:cs="Times New Roman"/>
          <w:noProof/>
          <w:color w:val="FF0000"/>
        </w:rPr>
        <w:t>(Allen et al., 2007, Nordtømme et al., 2015b, Van Duin et al., 2018)</w:t>
      </w:r>
      <w:r w:rsidR="00E36212" w:rsidRPr="00C11332">
        <w:rPr>
          <w:rFonts w:cs="Times New Roman"/>
          <w:color w:val="FF0000"/>
        </w:rPr>
        <w:fldChar w:fldCharType="end"/>
      </w:r>
      <w:r w:rsidR="00E36212" w:rsidRPr="00C11332">
        <w:rPr>
          <w:rFonts w:cs="Times New Roman"/>
          <w:color w:val="FF0000"/>
        </w:rPr>
        <w:t xml:space="preserve">). </w:t>
      </w:r>
      <w:r w:rsidR="00DC758F" w:rsidRPr="00C11332">
        <w:rPr>
          <w:rStyle w:val="fontstyle01"/>
          <w:rFonts w:ascii="Times New Roman" w:hAnsi="Times New Roman" w:cs="Times New Roman"/>
          <w:color w:val="FF0000"/>
        </w:rPr>
        <w:t>In addition</w:t>
      </w:r>
      <w:r w:rsidR="00E50D36" w:rsidRPr="00C11332">
        <w:rPr>
          <w:rStyle w:val="fontstyle01"/>
          <w:rFonts w:ascii="Times New Roman" w:hAnsi="Times New Roman" w:cs="Times New Roman"/>
          <w:color w:val="FF0000"/>
        </w:rPr>
        <w:t xml:space="preserve">, since </w:t>
      </w:r>
      <w:r w:rsidR="00E50D36" w:rsidRPr="00C11332">
        <w:rPr>
          <w:rFonts w:cs="Times New Roman"/>
          <w:color w:val="FF0000"/>
        </w:rPr>
        <w:t xml:space="preserve">the relationship with the facility is usually voluntary, thus the customer can easily quit the project if they feel they are not deriving any benefit from it (e.g., cost savings and service efficiency) </w:t>
      </w:r>
      <w:r w:rsidR="00E50D36" w:rsidRPr="00C11332">
        <w:rPr>
          <w:color w:val="FF0000"/>
        </w:rPr>
        <w:t>(Allen et al., 2012)</w:t>
      </w:r>
      <w:r w:rsidR="00E50D36" w:rsidRPr="00C11332">
        <w:rPr>
          <w:rFonts w:cs="Times New Roman"/>
          <w:color w:val="FF0000"/>
        </w:rPr>
        <w:t>.</w:t>
      </w:r>
      <w:r w:rsidR="00784EEB" w:rsidRPr="00C11332">
        <w:rPr>
          <w:rFonts w:cs="Times New Roman"/>
          <w:color w:val="FF0000"/>
        </w:rPr>
        <w:t xml:space="preserve"> </w:t>
      </w:r>
    </w:p>
    <w:p w14:paraId="3DD69DFF" w14:textId="3DAB189D" w:rsidR="00FA4C3B" w:rsidRPr="00C11332" w:rsidRDefault="00FA4C3B" w:rsidP="00A323CC">
      <w:pPr>
        <w:pStyle w:val="ListParagraph"/>
        <w:numPr>
          <w:ilvl w:val="0"/>
          <w:numId w:val="20"/>
        </w:numPr>
        <w:spacing w:after="240" w:line="360" w:lineRule="auto"/>
        <w:rPr>
          <w:rFonts w:cs="Times New Roman"/>
          <w:color w:val="FF0000"/>
        </w:rPr>
      </w:pPr>
      <w:r w:rsidRPr="00C11332">
        <w:rPr>
          <w:rStyle w:val="fontstyle01"/>
          <w:rFonts w:ascii="Times New Roman" w:hAnsi="Times New Roman" w:cs="Times New Roman"/>
          <w:color w:val="FF0000"/>
        </w:rPr>
        <w:t xml:space="preserve">In addition, as profit margins in the urban freight market are generally low, shippers are reluctant to join UCC projects and to hand over one of the most lucrative portions of their value chain to an external entity </w:t>
      </w:r>
      <w:r w:rsidRPr="00C11332">
        <w:rPr>
          <w:rFonts w:cs="Times New Roman"/>
          <w:color w:val="FF0000"/>
        </w:rPr>
        <w:fldChar w:fldCharType="begin"/>
      </w:r>
      <w:r w:rsidRPr="00C11332">
        <w:rPr>
          <w:rFonts w:cs="Times New Roman"/>
          <w:color w:val="FF0000"/>
        </w:rPr>
        <w:instrText xml:space="preserve"> ADDIN EN.CITE &lt;EndNote&gt;&lt;Cite&gt;&lt;Author&gt;Van Rooijen&lt;/Author&gt;&lt;Year&gt;2010&lt;/Year&gt;&lt;RecNum&gt;103&lt;/RecNum&gt;&lt;DisplayText&gt;(Van Rooijen and Quak, 2010)&lt;/DisplayText&gt;&lt;record&gt;&lt;rec-number&gt;103&lt;/rec-number&gt;&lt;foreign-keys&gt;&lt;key app="EN" db-id="x5etaz5aiszvz0edasvvpwvotttxepvd25t2" timestamp="1603802000"&gt;103&lt;/key&gt;&lt;/foreign-keys&gt;&lt;ref-type name="Conference Proceedings"&gt;10&lt;/ref-type&gt;&lt;contributors&gt;&lt;authors&gt;&lt;author&gt;Van Rooijen, T.&lt;/author&gt;&lt;author&gt;Quak, H.&lt;/author&gt;&lt;/authors&gt;&lt;/contributors&gt;&lt;auth-address&gt;TNO Mobility and Logistics, Van Mourik Broekmanweg 6, 2628 XE Delft, Netherlands&lt;/auth-address&gt;&lt;titles&gt;&lt;title&gt;Local impacts of a new urban consolidation centre - The case of Binnenstadservice.nl&lt;/title&gt;&lt;secondary-title&gt;Procedia - Social and Behavioral Sciences&lt;/secondary-title&gt;&lt;alt-title&gt;Procedia Soc. Behav. Sci.&lt;/alt-title&gt;&lt;/titles&gt;&lt;periodical&gt;&lt;full-title&gt;Procedia - Social and Behavioral Sciences&lt;/full-title&gt;&lt;/periodical&gt;&lt;pages&gt;5967-5979&lt;/pages&gt;&lt;volume&gt;2&lt;/volume&gt;&lt;edition&gt;3&lt;/edition&gt;&lt;keywords&gt;&lt;keyword&gt;City logistics&lt;/keyword&gt;&lt;keyword&gt;Local impact&lt;/keyword&gt;&lt;keyword&gt;Sustainability&lt;/keyword&gt;&lt;keyword&gt;Urban consolidation centre&lt;/keyword&gt;&lt;keyword&gt;Urban freight transport&lt;/keyword&gt;&lt;/keywords&gt;&lt;dates&gt;&lt;year&gt;2010&lt;/year&gt;&lt;/dates&gt;&lt;publisher&gt;Elsevier Ltd&lt;/publisher&gt;&lt;isbn&gt;18770428 (ISSN)&lt;/isbn&gt;&lt;work-type&gt;Conference Paper&lt;/work-type&gt;&lt;urls&gt;&lt;related-urls&gt;&lt;url&gt;https://www.scopus.com/inward/record.uri?eid=2-s2.0-77956638111&amp;amp;doi=10.1016%2fj.sbspro.2010.04.011&amp;amp;partnerID=40&amp;amp;md5=cd5918733874976af2e61fa15799d3e9&lt;/url&gt;&lt;/related-urls&gt;&lt;/urls&gt;&lt;electronic-resource-num&gt;10.1016/j.sbspro.2010.04.011&lt;/electronic-resource-num&gt;&lt;remote-database-name&gt;Scopus&lt;/remote-database-name&gt;&lt;language&gt;English&lt;/language&gt;&lt;/record&gt;&lt;/Cite&gt;&lt;/EndNote&gt;</w:instrText>
      </w:r>
      <w:r w:rsidRPr="00C11332">
        <w:rPr>
          <w:rFonts w:cs="Times New Roman"/>
          <w:color w:val="FF0000"/>
        </w:rPr>
        <w:fldChar w:fldCharType="separate"/>
      </w:r>
      <w:r w:rsidRPr="00C11332">
        <w:rPr>
          <w:rFonts w:cs="Times New Roman"/>
          <w:noProof/>
          <w:color w:val="FF0000"/>
        </w:rPr>
        <w:t>(Van Rooijen and Quak, 2010)</w:t>
      </w:r>
      <w:r w:rsidRPr="00C11332">
        <w:rPr>
          <w:rFonts w:cs="Times New Roman"/>
          <w:color w:val="FF0000"/>
        </w:rPr>
        <w:fldChar w:fldCharType="end"/>
      </w:r>
      <w:r w:rsidRPr="00C11332">
        <w:rPr>
          <w:rFonts w:cs="Times New Roman"/>
          <w:color w:val="FF0000"/>
        </w:rPr>
        <w:t>.</w:t>
      </w:r>
    </w:p>
    <w:p w14:paraId="2EE925A7" w14:textId="77777777" w:rsidR="00A011DB" w:rsidRPr="00C11332" w:rsidRDefault="00FA4C3B" w:rsidP="00A323CC">
      <w:pPr>
        <w:pStyle w:val="ListParagraph"/>
        <w:numPr>
          <w:ilvl w:val="0"/>
          <w:numId w:val="20"/>
        </w:numPr>
        <w:spacing w:after="240" w:line="360" w:lineRule="auto"/>
        <w:rPr>
          <w:rStyle w:val="fontstyle01"/>
          <w:rFonts w:ascii="Times New Roman" w:hAnsi="Times New Roman" w:cs="Times New Roman"/>
          <w:color w:val="FF0000"/>
        </w:rPr>
      </w:pPr>
      <w:r w:rsidRPr="00C11332">
        <w:rPr>
          <w:rStyle w:val="fontstyle01"/>
          <w:rFonts w:ascii="Times New Roman" w:hAnsi="Times New Roman" w:cs="Times New Roman"/>
          <w:color w:val="FF0000"/>
        </w:rPr>
        <w:t xml:space="preserve">Many carriers might already autonomously achieve high truck-load rates; as such, they can realise efficient shipments. This will prevent them to subscribe to UCC facilities </w:t>
      </w:r>
      <w:r w:rsidRPr="00C11332">
        <w:rPr>
          <w:rStyle w:val="fontstyle01"/>
          <w:rFonts w:ascii="Times New Roman" w:hAnsi="Times New Roman" w:cs="Times New Roman"/>
          <w:color w:val="FF0000"/>
        </w:rPr>
        <w:fldChar w:fldCharType="begin">
          <w:fldData xml:space="preserve">PEVuZE5vdGU+PENpdGU+PEF1dGhvcj5PbHNzb248L0F1dGhvcj48WWVhcj4yMDE0PC9ZZWFyPjxS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</w:fldData>
        </w:fldChar>
      </w:r>
      <w:r w:rsidRPr="00C11332">
        <w:rPr>
          <w:rStyle w:val="fontstyle01"/>
          <w:rFonts w:ascii="Times New Roman" w:hAnsi="Times New Roman" w:cs="Times New Roman"/>
          <w:color w:val="FF0000"/>
        </w:rPr>
        <w:instrText xml:space="preserve"> ADDIN EN.CITE </w:instrText>
      </w:r>
      <w:r w:rsidRPr="00C11332">
        <w:rPr>
          <w:rStyle w:val="fontstyle01"/>
          <w:rFonts w:ascii="Times New Roman" w:hAnsi="Times New Roman" w:cs="Times New Roman"/>
          <w:color w:val="FF0000"/>
        </w:rPr>
        <w:fldChar w:fldCharType="begin">
          <w:fldData xml:space="preserve">PEVuZE5vdGU+PENpdGU+PEF1dGhvcj5PbHNzb248L0F1dGhvcj48WWVhcj4yMDE0PC9ZZWFyPjxS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</w:fldData>
        </w:fldChar>
      </w:r>
      <w:r w:rsidRPr="00C11332">
        <w:rPr>
          <w:rStyle w:val="fontstyle01"/>
          <w:rFonts w:ascii="Times New Roman" w:hAnsi="Times New Roman" w:cs="Times New Roman"/>
          <w:color w:val="FF0000"/>
        </w:rPr>
        <w:instrText xml:space="preserve"> ADDIN EN.CITE.DATA </w:instrText>
      </w:r>
      <w:r w:rsidRPr="00C11332">
        <w:rPr>
          <w:rStyle w:val="fontstyle01"/>
          <w:rFonts w:ascii="Times New Roman" w:hAnsi="Times New Roman" w:cs="Times New Roman"/>
          <w:color w:val="FF0000"/>
        </w:rPr>
      </w:r>
      <w:r w:rsidRPr="00C11332">
        <w:rPr>
          <w:rStyle w:val="fontstyle01"/>
          <w:rFonts w:ascii="Times New Roman" w:hAnsi="Times New Roman" w:cs="Times New Roman"/>
          <w:color w:val="FF0000"/>
        </w:rPr>
        <w:fldChar w:fldCharType="end"/>
      </w:r>
      <w:r w:rsidRPr="00C11332">
        <w:rPr>
          <w:rStyle w:val="fontstyle01"/>
          <w:rFonts w:ascii="Times New Roman" w:hAnsi="Times New Roman" w:cs="Times New Roman"/>
          <w:color w:val="FF0000"/>
        </w:rPr>
      </w:r>
      <w:r w:rsidRPr="00C11332">
        <w:rPr>
          <w:rStyle w:val="fontstyle01"/>
          <w:rFonts w:ascii="Times New Roman" w:hAnsi="Times New Roman" w:cs="Times New Roman"/>
          <w:color w:val="FF0000"/>
        </w:rPr>
        <w:fldChar w:fldCharType="separate"/>
      </w:r>
      <w:r w:rsidRPr="00C11332">
        <w:rPr>
          <w:rStyle w:val="fontstyle01"/>
          <w:rFonts w:ascii="Times New Roman" w:hAnsi="Times New Roman" w:cs="Times New Roman"/>
          <w:noProof/>
          <w:color w:val="FF0000"/>
        </w:rPr>
        <w:t>(Olsson and Woxenius, 2014)</w:t>
      </w:r>
      <w:r w:rsidRPr="00C11332">
        <w:rPr>
          <w:rStyle w:val="fontstyle01"/>
          <w:rFonts w:ascii="Times New Roman" w:hAnsi="Times New Roman" w:cs="Times New Roman"/>
          <w:color w:val="FF0000"/>
        </w:rPr>
        <w:fldChar w:fldCharType="end"/>
      </w:r>
      <w:r w:rsidRPr="00C11332">
        <w:rPr>
          <w:rStyle w:val="fontstyle01"/>
          <w:rFonts w:ascii="Times New Roman" w:hAnsi="Times New Roman" w:cs="Times New Roman"/>
          <w:color w:val="FF0000"/>
        </w:rPr>
        <w:t xml:space="preserve">. </w:t>
      </w:r>
    </w:p>
    <w:p w14:paraId="29E424F7" w14:textId="77777777" w:rsidR="00E50D36" w:rsidRPr="00C11332" w:rsidRDefault="00FA4C3B" w:rsidP="00A323CC">
      <w:pPr>
        <w:pStyle w:val="ListParagraph"/>
        <w:numPr>
          <w:ilvl w:val="0"/>
          <w:numId w:val="20"/>
        </w:numPr>
        <w:spacing w:after="240" w:line="360" w:lineRule="auto"/>
        <w:rPr>
          <w:rStyle w:val="fontstyle01"/>
          <w:rFonts w:ascii="Times New Roman" w:hAnsi="Times New Roman" w:cs="Times New Roman"/>
          <w:color w:val="FF0000"/>
        </w:rPr>
      </w:pPr>
      <w:r w:rsidRPr="00C11332">
        <w:rPr>
          <w:rStyle w:val="fontstyle01"/>
          <w:rFonts w:ascii="Times New Roman" w:hAnsi="Times New Roman" w:cs="Times New Roman"/>
          <w:color w:val="FF0000"/>
        </w:rPr>
        <w:t xml:space="preserve">Many UCC projects are originally built for experimental purposes; such attempts generally exhibit a weak stakeholders’ engagement and communication during the planning stage, making the transition to a fully operational project extremely difficult </w:t>
      </w:r>
      <w:r w:rsidRPr="00C11332">
        <w:rPr>
          <w:rStyle w:val="fontstyle01"/>
          <w:rFonts w:ascii="Times New Roman" w:hAnsi="Times New Roman" w:cs="Times New Roman"/>
          <w:color w:val="FF0000"/>
        </w:rPr>
        <w:fldChar w:fldCharType="begin"/>
      </w:r>
      <w:r w:rsidRPr="00C11332">
        <w:rPr>
          <w:rStyle w:val="fontstyle01"/>
          <w:rFonts w:ascii="Times New Roman" w:hAnsi="Times New Roman" w:cs="Times New Roman"/>
          <w:color w:val="FF0000"/>
        </w:rPr>
        <w:instrText xml:space="preserve"> ADDIN EN.CITE &lt;EndNote&gt;&lt;Cite&gt;&lt;Author&gt;Tsiulin&lt;/Author&gt;&lt;Year&gt;2017&lt;/Year&gt;&lt;RecNum&gt;66&lt;/RecNum&gt;&lt;DisplayText&gt;(Tsiulin et al., 2017)&lt;/DisplayText&gt;&lt;record&gt;&lt;rec-number&gt;66&lt;/rec-number&gt;&lt;foreign-keys&gt;&lt;key app="EN" db-id="x5etaz5aiszvz0edasvvpwvotttxepvd25t2" timestamp="1603802000"&gt;66&lt;/key&gt;&lt;/foreign-keys&gt;&lt;ref-type name="Journal Article"&gt;17&lt;/ref-type&gt;&lt;contributors&gt;&lt;authors&gt;&lt;author&gt;Tsiulin, S.&lt;/author&gt;&lt;author&gt;Hilmola, O. P.&lt;/author&gt;&lt;author&gt;Goryaev, N.&lt;/author&gt;&lt;/authors&gt;&lt;/contributors&gt;&lt;auth-address&gt;Department of Exploitation of Auto Transport, South Ural State University, Chelyabinsk, Russian Federation&amp;#xD;Lappeenranta University of Technology, Kouvola Unit, Prikaatintie 9, Kouvola, FIN-45100, Finland&lt;/auth-address&gt;&lt;titles&gt;&lt;title&gt;Barriers towards development of urban consolidation centres and their implementation: Literature review&lt;/title&gt;&lt;secondary-title&gt;World Review of Intermodal Transportation Research&lt;/secondary-title&gt;&lt;/titles&gt;&lt;periodical&gt;&lt;full-title&gt;World Review of Intermodal Transportation Research&lt;/full-title&gt;&lt;/periodical&gt;&lt;pages&gt;251-272&lt;/pages&gt;&lt;volume&gt;6&lt;/volume&gt;&lt;number&gt;3&lt;/number&gt;&lt;keywords&gt;&lt;keyword&gt;Consolidation centres&lt;/keyword&gt;&lt;keyword&gt;Literature review&lt;/keyword&gt;&lt;keyword&gt;Sustainable transport&lt;/keyword&gt;&lt;keyword&gt;Urban freight transport&lt;/keyword&gt;&lt;/keywords&gt;&lt;dates&gt;&lt;year&gt;2017&lt;/year&gt;&lt;/dates&gt;&lt;publisher&gt;Inderscience Publishers&lt;/publisher&gt;&lt;isbn&gt;17494729 (ISSN)&lt;/isbn&gt;&lt;work-type&gt;Review&lt;/work-type&gt;&lt;urls&gt;&lt;related-urls&gt;&lt;url&gt;https://www.scopus.com/inward/record.uri?eid=2-s2.0-85028864850&amp;amp;doi=10.1504%2fWRITR.2017.086235&amp;amp;partnerID=40&amp;amp;md5=770a292249a297f2f8050e470d3a1871&lt;/url&gt;&lt;/related-urls&gt;&lt;/urls&gt;&lt;electronic-resource-num&gt;10.1504/WRITR.2017.086235&lt;/electronic-resource-num&gt;&lt;remote-database-name&gt;Scopus&lt;/remote-database-name&gt;&lt;language&gt;English&lt;/language&gt;&lt;/record&gt;&lt;/Cite&gt;&lt;/EndNote&gt;</w:instrText>
      </w:r>
      <w:r w:rsidRPr="00C11332">
        <w:rPr>
          <w:rStyle w:val="fontstyle01"/>
          <w:rFonts w:ascii="Times New Roman" w:hAnsi="Times New Roman" w:cs="Times New Roman"/>
          <w:color w:val="FF0000"/>
        </w:rPr>
        <w:fldChar w:fldCharType="separate"/>
      </w:r>
      <w:r w:rsidRPr="00C11332">
        <w:rPr>
          <w:rStyle w:val="fontstyle01"/>
          <w:rFonts w:ascii="Times New Roman" w:hAnsi="Times New Roman" w:cs="Times New Roman"/>
          <w:noProof/>
          <w:color w:val="FF0000"/>
        </w:rPr>
        <w:t>(Tsiulin et al., 2017)</w:t>
      </w:r>
      <w:r w:rsidRPr="00C11332">
        <w:rPr>
          <w:rStyle w:val="fontstyle01"/>
          <w:rFonts w:ascii="Times New Roman" w:hAnsi="Times New Roman" w:cs="Times New Roman"/>
          <w:color w:val="FF0000"/>
        </w:rPr>
        <w:fldChar w:fldCharType="end"/>
      </w:r>
      <w:r w:rsidRPr="00C11332">
        <w:rPr>
          <w:rStyle w:val="fontstyle01"/>
          <w:rFonts w:ascii="Times New Roman" w:hAnsi="Times New Roman" w:cs="Times New Roman"/>
          <w:color w:val="FF0000"/>
        </w:rPr>
        <w:t>.</w:t>
      </w:r>
    </w:p>
    <w:p w14:paraId="5338FE30" w14:textId="6644509F" w:rsidR="00C11332" w:rsidRDefault="00752822" w:rsidP="00C11332">
      <w:pPr>
        <w:spacing w:after="240" w:line="360" w:lineRule="auto"/>
        <w:rPr>
          <w:rFonts w:cs="Times New Roman"/>
          <w:color w:val="FF0000"/>
          <w:szCs w:val="24"/>
        </w:rPr>
      </w:pPr>
      <w:r w:rsidRPr="003D09FA">
        <w:rPr>
          <w:rStyle w:val="fontstyle01"/>
          <w:rFonts w:ascii="Times New Roman" w:hAnsi="Times New Roman" w:cs="Times New Roman"/>
          <w:color w:val="FF0000"/>
        </w:rPr>
        <w:t xml:space="preserve">Besides the above-mentioned issues, high fixed costs (typically faced by LAs) represent another financial constraint for UCC projects </w:t>
      </w:r>
      <w:r w:rsidRPr="003D09FA">
        <w:rPr>
          <w:rStyle w:val="fontstyle01"/>
          <w:rFonts w:ascii="Times New Roman" w:hAnsi="Times New Roman" w:cs="Times New Roman"/>
          <w:color w:val="FF0000"/>
        </w:rPr>
        <w:fldChar w:fldCharType="begin"/>
      </w:r>
      <w:r w:rsidRPr="003D09FA">
        <w:rPr>
          <w:rStyle w:val="fontstyle01"/>
          <w:rFonts w:ascii="Times New Roman" w:hAnsi="Times New Roman" w:cs="Times New Roman"/>
          <w:color w:val="FF0000"/>
        </w:rPr>
        <w:instrText xml:space="preserve"> ADDIN EN.CITE &lt;EndNote&gt;&lt;Cite&gt;&lt;Author&gt;Quak&lt;/Author&gt;&lt;Year&gt;2011&lt;/Year&gt;&lt;RecNum&gt;226&lt;/RecNum&gt;&lt;DisplayText&gt;(Quak and Tavasszy, 2011)&lt;/DisplayText&gt;&lt;record&gt;&lt;rec-number&gt;226&lt;/rec-number&gt;&lt;foreign-keys&gt;&lt;key app="EN" db-id="x5etaz5aiszvz0edasvvpwvotttxepvd25t2" timestamp="1611177411"&gt;226&lt;/key&gt;&lt;/foreign-keys&gt;&lt;ref-type name="Journal Article"&gt;17&lt;/ref-type&gt;&lt;contributors&gt;&lt;authors&gt;&lt;author&gt;Quak, H.&lt;/author&gt;&lt;author&gt;Tavasszy, L.&lt;/author&gt;&lt;/authors&gt;&lt;/contributors&gt;&lt;titles&gt;&lt;title&gt;Customized solutions for sustainable city logistics: The viability of urban freight consolidation centres&lt;/title&gt;&lt;secondary-title&gt;Transitions Towards Sustainable Mobility&lt;/secondary-title&gt;&lt;/titles&gt;&lt;periodical&gt;&lt;full-title&gt;Transitions Towards Sustainable Mobility&lt;/full-title&gt;&lt;/periodical&gt;&lt;pages&gt;213-233&lt;/pages&gt;&lt;dates&gt;&lt;year&gt;2011&lt;/year&gt;&lt;/dates&gt;&lt;urls&gt;&lt;/urls&gt;&lt;/record&gt;&lt;/Cite&gt;&lt;Cite&gt;&lt;Author&gt;Quak&lt;/Author&gt;&lt;Year&gt;2011&lt;/Year&gt;&lt;RecNum&gt;226&lt;/RecNum&gt;&lt;record&gt;&lt;rec-number&gt;226&lt;/rec-number&gt;&lt;foreign-keys&gt;&lt;key app="EN" db-id="x5etaz5aiszvz0edasvvpwvotttxepvd25t2" timestamp="1611177411"&gt;226&lt;/key&gt;&lt;/foreign-keys&gt;&lt;ref-type name="Journal Article"&gt;17&lt;/ref-type&gt;&lt;contributors&gt;&lt;authors&gt;&lt;author&gt;Quak, H.&lt;/author&gt;&lt;author&gt;Tavasszy, L.&lt;/author&gt;&lt;/authors&gt;&lt;/contributors&gt;&lt;titles&gt;&lt;title&gt;Customized solutions for sustainable city logistics: The viability of urban freight consolidation centres&lt;/title&gt;&lt;secondary-title&gt;Transitions Towards Sustainable Mobility&lt;/secondary-title&gt;&lt;/titles&gt;&lt;periodical&gt;&lt;full-title&gt;Transitions Towards Sustainable Mobility&lt;/full-title&gt;&lt;/periodical&gt;&lt;pages&gt;213-233&lt;/pages&gt;&lt;dates&gt;&lt;year&gt;2011&lt;/year&gt;&lt;/dates&gt;&lt;urls&gt;&lt;/urls&gt;&lt;/record&gt;&lt;/Cite&gt;&lt;/EndNote&gt;</w:instrText>
      </w:r>
      <w:r w:rsidRPr="003D09FA">
        <w:rPr>
          <w:rStyle w:val="fontstyle01"/>
          <w:rFonts w:ascii="Times New Roman" w:hAnsi="Times New Roman" w:cs="Times New Roman"/>
          <w:color w:val="FF0000"/>
        </w:rPr>
        <w:fldChar w:fldCharType="separate"/>
      </w:r>
      <w:r w:rsidRPr="003D09FA">
        <w:rPr>
          <w:rStyle w:val="fontstyle01"/>
          <w:rFonts w:ascii="Times New Roman" w:hAnsi="Times New Roman" w:cs="Times New Roman"/>
          <w:noProof/>
          <w:color w:val="FF0000"/>
        </w:rPr>
        <w:t>(Quak and Tavasszy, 2011)</w:t>
      </w:r>
      <w:r w:rsidRPr="003D09FA">
        <w:rPr>
          <w:rStyle w:val="fontstyle01"/>
          <w:rFonts w:ascii="Times New Roman" w:hAnsi="Times New Roman" w:cs="Times New Roman"/>
          <w:color w:val="FF0000"/>
        </w:rPr>
        <w:fldChar w:fldCharType="end"/>
      </w:r>
      <w:r w:rsidRPr="003D09FA">
        <w:rPr>
          <w:rStyle w:val="fontstyle01"/>
          <w:rFonts w:ascii="Times New Roman" w:hAnsi="Times New Roman" w:cs="Times New Roman"/>
          <w:color w:val="FF0000"/>
        </w:rPr>
        <w:t xml:space="preserve">. LAs might be able to set up UCCs thanks to grants or external funding </w:t>
      </w:r>
      <w:r w:rsidRPr="003D09FA">
        <w:rPr>
          <w:rStyle w:val="fontstyle01"/>
          <w:rFonts w:ascii="Times New Roman" w:hAnsi="Times New Roman" w:cs="Times New Roman"/>
          <w:color w:val="FF0000"/>
        </w:rPr>
        <w:fldChar w:fldCharType="begin">
          <w:fldData xml:space="preserve">PEVuZE5vdGU+PENpdGU+PEF1dGhvcj5EdWluPC9BdXRob3I+PFllYXI+MjAxNjwvWWVhcj48UmVj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</w:fldData>
        </w:fldChar>
      </w:r>
      <w:r w:rsidRPr="003D09FA">
        <w:rPr>
          <w:rStyle w:val="fontstyle01"/>
          <w:rFonts w:ascii="Times New Roman" w:hAnsi="Times New Roman" w:cs="Times New Roman"/>
          <w:color w:val="FF0000"/>
        </w:rPr>
        <w:instrText xml:space="preserve"> ADDIN EN.CITE </w:instrText>
      </w:r>
      <w:r w:rsidRPr="003D09FA">
        <w:rPr>
          <w:rStyle w:val="fontstyle01"/>
          <w:rFonts w:ascii="Times New Roman" w:hAnsi="Times New Roman" w:cs="Times New Roman"/>
          <w:color w:val="FF0000"/>
        </w:rPr>
        <w:fldChar w:fldCharType="begin">
          <w:fldData xml:space="preserve">PEVuZE5vdGU+PENpdGU+PEF1dGhvcj5EdWluPC9BdXRob3I+PFllYXI+MjAxNjwvWWVhcj48UmVj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</w:fldData>
        </w:fldChar>
      </w:r>
      <w:r w:rsidRPr="003D09FA">
        <w:rPr>
          <w:rStyle w:val="fontstyle01"/>
          <w:rFonts w:ascii="Times New Roman" w:hAnsi="Times New Roman" w:cs="Times New Roman"/>
          <w:color w:val="FF0000"/>
        </w:rPr>
        <w:instrText xml:space="preserve"> ADDIN EN.CITE.DATA </w:instrText>
      </w:r>
      <w:r w:rsidRPr="003D09FA">
        <w:rPr>
          <w:rStyle w:val="fontstyle01"/>
          <w:rFonts w:ascii="Times New Roman" w:hAnsi="Times New Roman" w:cs="Times New Roman"/>
          <w:color w:val="FF0000"/>
        </w:rPr>
      </w:r>
      <w:r w:rsidRPr="003D09FA">
        <w:rPr>
          <w:rStyle w:val="fontstyle01"/>
          <w:rFonts w:ascii="Times New Roman" w:hAnsi="Times New Roman" w:cs="Times New Roman"/>
          <w:color w:val="FF0000"/>
        </w:rPr>
        <w:fldChar w:fldCharType="end"/>
      </w:r>
      <w:r w:rsidRPr="003D09FA">
        <w:rPr>
          <w:rStyle w:val="fontstyle01"/>
          <w:rFonts w:ascii="Times New Roman" w:hAnsi="Times New Roman" w:cs="Times New Roman"/>
          <w:color w:val="FF0000"/>
        </w:rPr>
      </w:r>
      <w:r w:rsidRPr="003D09FA">
        <w:rPr>
          <w:rStyle w:val="fontstyle01"/>
          <w:rFonts w:ascii="Times New Roman" w:hAnsi="Times New Roman" w:cs="Times New Roman"/>
          <w:color w:val="FF0000"/>
        </w:rPr>
        <w:fldChar w:fldCharType="separate"/>
      </w:r>
      <w:r w:rsidRPr="003D09FA">
        <w:rPr>
          <w:rStyle w:val="fontstyle01"/>
          <w:rFonts w:ascii="Times New Roman" w:hAnsi="Times New Roman" w:cs="Times New Roman"/>
          <w:noProof/>
          <w:color w:val="FF0000"/>
        </w:rPr>
        <w:t>(Duin et al., 2016, Paddeu, 2018)</w:t>
      </w:r>
      <w:r w:rsidRPr="003D09FA">
        <w:rPr>
          <w:rStyle w:val="fontstyle01"/>
          <w:rFonts w:ascii="Times New Roman" w:hAnsi="Times New Roman" w:cs="Times New Roman"/>
          <w:color w:val="FF0000"/>
        </w:rPr>
        <w:fldChar w:fldCharType="end"/>
      </w:r>
      <w:r w:rsidRPr="003D09FA">
        <w:rPr>
          <w:rStyle w:val="fontstyle01"/>
          <w:rFonts w:ascii="Times New Roman" w:hAnsi="Times New Roman" w:cs="Times New Roman"/>
          <w:color w:val="FF0000"/>
        </w:rPr>
        <w:t xml:space="preserve">; however, many UCC projects suffer losses from the very initial stage of their operations, </w:t>
      </w:r>
      <w:r w:rsidRPr="003D09FA">
        <w:rPr>
          <w:rStyle w:val="fontstyle01"/>
          <w:rFonts w:ascii="Times New Roman" w:hAnsi="Times New Roman" w:cs="Times New Roman"/>
          <w:noProof/>
          <w:color w:val="FF0000"/>
        </w:rPr>
        <w:t xml:space="preserve">failing to reach commercial viability </w:t>
      </w:r>
      <w:r w:rsidRPr="003D09FA">
        <w:rPr>
          <w:rStyle w:val="fontstyle01"/>
          <w:rFonts w:ascii="Times New Roman" w:hAnsi="Times New Roman" w:cs="Times New Roman"/>
          <w:noProof/>
          <w:color w:val="FF0000"/>
        </w:rPr>
        <w:fldChar w:fldCharType="begin">
          <w:fldData xml:space="preserve">PEVuZE5vdGU+PENpdGU+PEF1dGhvcj52YW4gRHVpbjwvQXV0aG9yPjxZZWFyPjIwMTA8L1llYXI+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</w:fldData>
        </w:fldChar>
      </w:r>
      <w:r w:rsidRPr="003D09FA">
        <w:rPr>
          <w:rStyle w:val="fontstyle01"/>
          <w:rFonts w:ascii="Times New Roman" w:hAnsi="Times New Roman" w:cs="Times New Roman"/>
          <w:noProof/>
          <w:color w:val="FF0000"/>
        </w:rPr>
        <w:instrText xml:space="preserve"> ADDIN EN.CITE </w:instrText>
      </w:r>
      <w:r w:rsidRPr="003D09FA">
        <w:rPr>
          <w:rStyle w:val="fontstyle01"/>
          <w:rFonts w:ascii="Times New Roman" w:hAnsi="Times New Roman" w:cs="Times New Roman"/>
          <w:noProof/>
          <w:color w:val="FF0000"/>
        </w:rPr>
        <w:fldChar w:fldCharType="begin">
          <w:fldData xml:space="preserve">PEVuZE5vdGU+PENpdGU+PEF1dGhvcj52YW4gRHVpbjwvQXV0aG9yPjxZZWFyPjIwMTA8L1llYXI+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</w:fldData>
        </w:fldChar>
      </w:r>
      <w:r w:rsidRPr="003D09FA">
        <w:rPr>
          <w:rStyle w:val="fontstyle01"/>
          <w:rFonts w:ascii="Times New Roman" w:hAnsi="Times New Roman" w:cs="Times New Roman"/>
          <w:noProof/>
          <w:color w:val="FF0000"/>
        </w:rPr>
        <w:instrText xml:space="preserve"> ADDIN EN.CITE.DATA </w:instrText>
      </w:r>
      <w:r w:rsidRPr="003D09FA">
        <w:rPr>
          <w:rStyle w:val="fontstyle01"/>
          <w:rFonts w:ascii="Times New Roman" w:hAnsi="Times New Roman" w:cs="Times New Roman"/>
          <w:noProof/>
          <w:color w:val="FF0000"/>
        </w:rPr>
      </w:r>
      <w:r w:rsidRPr="003D09FA">
        <w:rPr>
          <w:rStyle w:val="fontstyle01"/>
          <w:rFonts w:ascii="Times New Roman" w:hAnsi="Times New Roman" w:cs="Times New Roman"/>
          <w:noProof/>
          <w:color w:val="FF0000"/>
        </w:rPr>
        <w:fldChar w:fldCharType="end"/>
      </w:r>
      <w:r w:rsidRPr="003D09FA">
        <w:rPr>
          <w:rStyle w:val="fontstyle01"/>
          <w:rFonts w:ascii="Times New Roman" w:hAnsi="Times New Roman" w:cs="Times New Roman"/>
          <w:noProof/>
          <w:color w:val="FF0000"/>
        </w:rPr>
      </w:r>
      <w:r w:rsidRPr="003D09FA">
        <w:rPr>
          <w:rStyle w:val="fontstyle01"/>
          <w:rFonts w:ascii="Times New Roman" w:hAnsi="Times New Roman" w:cs="Times New Roman"/>
          <w:noProof/>
          <w:color w:val="FF0000"/>
        </w:rPr>
        <w:fldChar w:fldCharType="separate"/>
      </w:r>
      <w:r w:rsidRPr="003D09FA">
        <w:rPr>
          <w:rStyle w:val="fontstyle01"/>
          <w:rFonts w:ascii="Times New Roman" w:hAnsi="Times New Roman" w:cs="Times New Roman"/>
          <w:noProof/>
          <w:color w:val="FF0000"/>
        </w:rPr>
        <w:t>(van Duin et al., 2010, Janjevic and Ndiaye, 2017a)</w:t>
      </w:r>
      <w:r w:rsidRPr="003D09FA">
        <w:rPr>
          <w:rStyle w:val="fontstyle01"/>
          <w:rFonts w:ascii="Times New Roman" w:hAnsi="Times New Roman" w:cs="Times New Roman"/>
          <w:noProof/>
          <w:color w:val="FF0000"/>
        </w:rPr>
        <w:fldChar w:fldCharType="end"/>
      </w:r>
      <w:r w:rsidRPr="003D09FA">
        <w:rPr>
          <w:rStyle w:val="fontstyle01"/>
          <w:rFonts w:ascii="Times New Roman" w:hAnsi="Times New Roman" w:cs="Times New Roman"/>
          <w:noProof/>
          <w:color w:val="FF0000"/>
        </w:rPr>
        <w:t xml:space="preserve">. </w:t>
      </w:r>
      <w:r w:rsidR="00A84BEB">
        <w:rPr>
          <w:rFonts w:cs="Times New Roman"/>
          <w:color w:val="FF0000"/>
          <w:szCs w:val="24"/>
        </w:rPr>
        <w:t>LAs</w:t>
      </w:r>
      <w:r w:rsidR="0071798B" w:rsidRPr="003D09FA">
        <w:rPr>
          <w:rFonts w:cs="Times New Roman"/>
          <w:color w:val="FF0000"/>
          <w:szCs w:val="24"/>
        </w:rPr>
        <w:t xml:space="preserve"> normally give financial support to UCCs to reduce the risks posed by required investments and market forces </w:t>
      </w:r>
      <w:r w:rsidR="003C582E" w:rsidRPr="003D09FA">
        <w:rPr>
          <w:rFonts w:cs="Times New Roman"/>
          <w:color w:val="FF0000"/>
          <w:szCs w:val="24"/>
        </w:rPr>
        <w:fldChar w:fldCharType="begin">
          <w:fldData xml:space="preserve">PEVuZE5vdGU+PENpdGU+PEF1dGhvcj5BbGxlbjwvQXV0aG9yPjxZZWFyPjIwMTI8L1llYXI+PFJl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</w:fldData>
        </w:fldChar>
      </w:r>
      <w:r w:rsidR="0036548D" w:rsidRPr="003D09FA">
        <w:rPr>
          <w:rFonts w:cs="Times New Roman"/>
          <w:color w:val="FF0000"/>
          <w:szCs w:val="24"/>
        </w:rPr>
        <w:instrText xml:space="preserve"> ADDIN EN.CITE </w:instrText>
      </w:r>
      <w:r w:rsidR="0036548D" w:rsidRPr="003D09FA">
        <w:rPr>
          <w:rFonts w:cs="Times New Roman"/>
          <w:color w:val="FF0000"/>
          <w:szCs w:val="24"/>
        </w:rPr>
        <w:fldChar w:fldCharType="begin">
          <w:fldData xml:space="preserve">PEVuZE5vdGU+PENpdGU+PEF1dGhvcj5BbGxlbjwvQXV0aG9yPjxZZWFyPjIwMTI8L1llYXI+PFJl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</w:fldData>
        </w:fldChar>
      </w:r>
      <w:r w:rsidR="0036548D" w:rsidRPr="003D09FA">
        <w:rPr>
          <w:rFonts w:cs="Times New Roman"/>
          <w:color w:val="FF0000"/>
          <w:szCs w:val="24"/>
        </w:rPr>
        <w:instrText xml:space="preserve"> ADDIN EN.CITE.DATA </w:instrText>
      </w:r>
      <w:r w:rsidR="0036548D" w:rsidRPr="003D09FA">
        <w:rPr>
          <w:rFonts w:cs="Times New Roman"/>
          <w:color w:val="FF0000"/>
          <w:szCs w:val="24"/>
        </w:rPr>
      </w:r>
      <w:r w:rsidR="0036548D" w:rsidRPr="003D09FA">
        <w:rPr>
          <w:rFonts w:cs="Times New Roman"/>
          <w:color w:val="FF0000"/>
          <w:szCs w:val="24"/>
        </w:rPr>
        <w:fldChar w:fldCharType="end"/>
      </w:r>
      <w:r w:rsidR="003C582E" w:rsidRPr="003D09FA">
        <w:rPr>
          <w:rFonts w:cs="Times New Roman"/>
          <w:color w:val="FF0000"/>
          <w:szCs w:val="24"/>
        </w:rPr>
      </w:r>
      <w:r w:rsidR="003C582E" w:rsidRPr="003D09FA">
        <w:rPr>
          <w:rFonts w:cs="Times New Roman"/>
          <w:color w:val="FF0000"/>
          <w:szCs w:val="24"/>
        </w:rPr>
        <w:fldChar w:fldCharType="separate"/>
      </w:r>
      <w:r w:rsidR="003C582E" w:rsidRPr="003D09FA">
        <w:rPr>
          <w:rFonts w:cs="Times New Roman"/>
          <w:noProof/>
          <w:color w:val="FF0000"/>
          <w:szCs w:val="24"/>
        </w:rPr>
        <w:t>(Allen et al., 2012, Zhou and Wang, 2013, Lebeau et al., 2017, Simoni et al., 2018)</w:t>
      </w:r>
      <w:r w:rsidR="003C582E" w:rsidRPr="003D09FA">
        <w:rPr>
          <w:rFonts w:cs="Times New Roman"/>
          <w:color w:val="FF0000"/>
          <w:szCs w:val="24"/>
        </w:rPr>
        <w:fldChar w:fldCharType="end"/>
      </w:r>
      <w:r w:rsidR="0071798B" w:rsidRPr="003D09FA">
        <w:rPr>
          <w:rFonts w:cs="Times New Roman"/>
          <w:color w:val="FF0000"/>
          <w:szCs w:val="24"/>
        </w:rPr>
        <w:t>. Subsidies are used to develop UCC projects and encourage potential users to subscribe</w:t>
      </w:r>
      <w:r w:rsidR="00FF525D" w:rsidRPr="003D09FA">
        <w:rPr>
          <w:rFonts w:cs="Times New Roman"/>
          <w:color w:val="FF0000"/>
          <w:szCs w:val="24"/>
        </w:rPr>
        <w:t xml:space="preserve"> </w:t>
      </w:r>
      <w:r w:rsidR="003C582E" w:rsidRPr="003D09FA">
        <w:rPr>
          <w:noProof/>
          <w:color w:val="FF0000"/>
          <w:szCs w:val="24"/>
        </w:rPr>
        <w:fldChar w:fldCharType="begin">
          <w:fldData xml:space="preserve">PEVuZE5vdGU+PENpdGU+PEF1dGhvcj5WZXJsaW5kZTwvQXV0aG9yPjxZZWFyPjIwMTI8L1llYXI+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</w:fldData>
        </w:fldChar>
      </w:r>
      <w:r w:rsidR="000756A1" w:rsidRPr="003D09FA">
        <w:rPr>
          <w:noProof/>
          <w:color w:val="FF0000"/>
          <w:szCs w:val="24"/>
        </w:rPr>
        <w:instrText xml:space="preserve"> ADDIN EN.CITE </w:instrText>
      </w:r>
      <w:r w:rsidR="000756A1" w:rsidRPr="003D09FA">
        <w:rPr>
          <w:noProof/>
          <w:color w:val="FF0000"/>
          <w:szCs w:val="24"/>
        </w:rPr>
        <w:fldChar w:fldCharType="begin">
          <w:fldData xml:space="preserve">PEVuZE5vdGU+PENpdGU+PEF1dGhvcj5WZXJsaW5kZTwvQXV0aG9yPjxZZWFyPjIwMTI8L1llYXI+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</w:fldData>
        </w:fldChar>
      </w:r>
      <w:r w:rsidR="000756A1" w:rsidRPr="003D09FA">
        <w:rPr>
          <w:noProof/>
          <w:color w:val="FF0000"/>
          <w:szCs w:val="24"/>
        </w:rPr>
        <w:instrText xml:space="preserve"> ADDIN EN.CITE.DATA </w:instrText>
      </w:r>
      <w:r w:rsidR="000756A1" w:rsidRPr="003D09FA">
        <w:rPr>
          <w:noProof/>
          <w:color w:val="FF0000"/>
          <w:szCs w:val="24"/>
        </w:rPr>
      </w:r>
      <w:r w:rsidR="000756A1" w:rsidRPr="003D09FA">
        <w:rPr>
          <w:noProof/>
          <w:color w:val="FF0000"/>
          <w:szCs w:val="24"/>
        </w:rPr>
        <w:fldChar w:fldCharType="end"/>
      </w:r>
      <w:r w:rsidR="003C582E" w:rsidRPr="003D09FA">
        <w:rPr>
          <w:noProof/>
          <w:color w:val="FF0000"/>
          <w:szCs w:val="24"/>
        </w:rPr>
      </w:r>
      <w:r w:rsidR="003C582E" w:rsidRPr="003D09FA">
        <w:rPr>
          <w:noProof/>
          <w:color w:val="FF0000"/>
          <w:szCs w:val="24"/>
        </w:rPr>
        <w:fldChar w:fldCharType="separate"/>
      </w:r>
      <w:r w:rsidR="000756A1" w:rsidRPr="003D09FA">
        <w:rPr>
          <w:noProof/>
          <w:color w:val="FF0000"/>
          <w:szCs w:val="24"/>
        </w:rPr>
        <w:t>(Verlinde et al., 2012, Simoni et al., 2018, van Heeswijk et al., 2019)</w:t>
      </w:r>
      <w:r w:rsidR="003C582E" w:rsidRPr="003D09FA">
        <w:rPr>
          <w:noProof/>
          <w:color w:val="FF0000"/>
          <w:szCs w:val="24"/>
        </w:rPr>
        <w:fldChar w:fldCharType="end"/>
      </w:r>
      <w:r w:rsidR="0071798B" w:rsidRPr="003D09FA">
        <w:rPr>
          <w:rFonts w:cs="Times New Roman"/>
          <w:color w:val="FF0000"/>
          <w:szCs w:val="24"/>
        </w:rPr>
        <w:t>.</w:t>
      </w:r>
      <w:r w:rsidR="00AF3864">
        <w:rPr>
          <w:rFonts w:cs="Times New Roman"/>
          <w:color w:val="FF0000"/>
          <w:szCs w:val="24"/>
        </w:rPr>
        <w:t xml:space="preserve"> </w:t>
      </w:r>
      <w:r w:rsidR="003B6983" w:rsidRPr="003D09FA">
        <w:rPr>
          <w:rFonts w:cs="Times New Roman" w:hint="eastAsia"/>
          <w:color w:val="FF0000"/>
          <w:szCs w:val="24"/>
        </w:rPr>
        <w:t>The</w:t>
      </w:r>
      <w:r w:rsidR="003B6983" w:rsidRPr="003D09FA">
        <w:rPr>
          <w:rFonts w:cs="Times New Roman"/>
          <w:color w:val="FF0000"/>
          <w:szCs w:val="24"/>
        </w:rPr>
        <w:t xml:space="preserve"> </w:t>
      </w:r>
      <w:r w:rsidR="003B6983" w:rsidRPr="003D09FA">
        <w:rPr>
          <w:rStyle w:val="fontstyle01"/>
          <w:rFonts w:ascii="Times New Roman" w:hAnsi="Times New Roman" w:cs="Times New Roman"/>
          <w:noProof/>
          <w:color w:val="FF0000"/>
        </w:rPr>
        <w:t xml:space="preserve">subsidies can </w:t>
      </w:r>
      <w:r w:rsidR="003B6983" w:rsidRPr="003D09FA">
        <w:rPr>
          <w:rStyle w:val="fontstyle01"/>
          <w:rFonts w:ascii="Times New Roman" w:hAnsi="Times New Roman" w:cs="Times New Roman" w:hint="eastAsia"/>
          <w:noProof/>
          <w:color w:val="FF0000"/>
        </w:rPr>
        <w:t>even</w:t>
      </w:r>
      <w:r w:rsidR="003B6983" w:rsidRPr="003D09FA">
        <w:rPr>
          <w:rStyle w:val="fontstyle01"/>
          <w:rFonts w:ascii="Times New Roman" w:hAnsi="Times New Roman" w:cs="Times New Roman"/>
          <w:noProof/>
          <w:color w:val="FF0000"/>
        </w:rPr>
        <w:t xml:space="preserve"> cover 40% of the total expenditure of an UCC, as stated by </w:t>
      </w:r>
      <w:r w:rsidR="003B6983" w:rsidRPr="003D09FA">
        <w:rPr>
          <w:rStyle w:val="fontstyle01"/>
          <w:rFonts w:ascii="Times New Roman" w:hAnsi="Times New Roman" w:cs="Times New Roman"/>
          <w:noProof/>
          <w:color w:val="FF0000"/>
        </w:rPr>
        <w:fldChar w:fldCharType="begin">
          <w:fldData xml:space="preserve">PEVuZE5vdGU+PENpdGUgQXV0aG9yWWVhcj0iMSI+PEF1dGhvcj5EdWluPC9BdXRob3I+PFllYXI+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=
</w:fldData>
        </w:fldChar>
      </w:r>
      <w:r w:rsidR="003B6983" w:rsidRPr="003D09FA">
        <w:rPr>
          <w:rStyle w:val="fontstyle01"/>
          <w:rFonts w:ascii="Times New Roman" w:hAnsi="Times New Roman" w:cs="Times New Roman"/>
          <w:noProof/>
          <w:color w:val="FF0000"/>
        </w:rPr>
        <w:instrText xml:space="preserve"> ADDIN EN.CITE </w:instrText>
      </w:r>
      <w:r w:rsidR="003B6983" w:rsidRPr="003D09FA">
        <w:rPr>
          <w:rStyle w:val="fontstyle01"/>
          <w:rFonts w:ascii="Times New Roman" w:hAnsi="Times New Roman" w:cs="Times New Roman"/>
          <w:noProof/>
          <w:color w:val="FF0000"/>
        </w:rPr>
        <w:fldChar w:fldCharType="begin">
          <w:fldData xml:space="preserve">PEVuZE5vdGU+PENpdGUgQXV0aG9yWWVhcj0iMSI+PEF1dGhvcj5EdWluPC9BdXRob3I+PFllYXI+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=
</w:fldData>
        </w:fldChar>
      </w:r>
      <w:r w:rsidR="003B6983" w:rsidRPr="003D09FA">
        <w:rPr>
          <w:rStyle w:val="fontstyle01"/>
          <w:rFonts w:ascii="Times New Roman" w:hAnsi="Times New Roman" w:cs="Times New Roman"/>
          <w:noProof/>
          <w:color w:val="FF0000"/>
        </w:rPr>
        <w:instrText xml:space="preserve"> ADDIN EN.CITE.DATA </w:instrText>
      </w:r>
      <w:r w:rsidR="003B6983" w:rsidRPr="003D09FA">
        <w:rPr>
          <w:rStyle w:val="fontstyle01"/>
          <w:rFonts w:ascii="Times New Roman" w:hAnsi="Times New Roman" w:cs="Times New Roman"/>
          <w:noProof/>
          <w:color w:val="FF0000"/>
        </w:rPr>
      </w:r>
      <w:r w:rsidR="003B6983" w:rsidRPr="003D09FA">
        <w:rPr>
          <w:rStyle w:val="fontstyle01"/>
          <w:rFonts w:ascii="Times New Roman" w:hAnsi="Times New Roman" w:cs="Times New Roman"/>
          <w:noProof/>
          <w:color w:val="FF0000"/>
        </w:rPr>
        <w:fldChar w:fldCharType="end"/>
      </w:r>
      <w:r w:rsidR="003B6983" w:rsidRPr="003D09FA">
        <w:rPr>
          <w:rStyle w:val="fontstyle01"/>
          <w:rFonts w:ascii="Times New Roman" w:hAnsi="Times New Roman" w:cs="Times New Roman"/>
          <w:noProof/>
          <w:color w:val="FF0000"/>
        </w:rPr>
      </w:r>
      <w:r w:rsidR="003B6983" w:rsidRPr="003D09FA">
        <w:rPr>
          <w:rStyle w:val="fontstyle01"/>
          <w:rFonts w:ascii="Times New Roman" w:hAnsi="Times New Roman" w:cs="Times New Roman"/>
          <w:noProof/>
          <w:color w:val="FF0000"/>
        </w:rPr>
        <w:fldChar w:fldCharType="separate"/>
      </w:r>
      <w:r w:rsidR="003B6983" w:rsidRPr="003D09FA">
        <w:rPr>
          <w:rStyle w:val="fontstyle01"/>
          <w:rFonts w:ascii="Times New Roman" w:hAnsi="Times New Roman" w:cs="Times New Roman"/>
          <w:noProof/>
          <w:color w:val="FF0000"/>
        </w:rPr>
        <w:t>Duin et al. (2016)</w:t>
      </w:r>
      <w:r w:rsidR="003B6983" w:rsidRPr="003D09FA">
        <w:rPr>
          <w:rStyle w:val="fontstyle01"/>
          <w:rFonts w:ascii="Times New Roman" w:hAnsi="Times New Roman" w:cs="Times New Roman"/>
          <w:noProof/>
          <w:color w:val="FF0000"/>
        </w:rPr>
        <w:fldChar w:fldCharType="end"/>
      </w:r>
      <w:r w:rsidR="00300828" w:rsidRPr="003D09FA">
        <w:rPr>
          <w:rStyle w:val="fontstyle01"/>
          <w:rFonts w:ascii="Times New Roman" w:hAnsi="Times New Roman" w:cs="Times New Roman"/>
          <w:noProof/>
          <w:color w:val="FF0000"/>
        </w:rPr>
        <w:t xml:space="preserve">. </w:t>
      </w:r>
      <w:r w:rsidR="0071798B" w:rsidRPr="003D09FA">
        <w:rPr>
          <w:rFonts w:cs="Times New Roman"/>
          <w:color w:val="FF0000"/>
          <w:szCs w:val="24"/>
        </w:rPr>
        <w:t xml:space="preserve">As a result, </w:t>
      </w:r>
      <w:r w:rsidR="0071798B" w:rsidRPr="003D09FA">
        <w:rPr>
          <w:rFonts w:cs="Times New Roman"/>
          <w:color w:val="FF0000"/>
        </w:rPr>
        <w:t>the numbers of clients increase</w:t>
      </w:r>
      <w:r w:rsidR="0071798B" w:rsidRPr="003D09FA">
        <w:rPr>
          <w:rFonts w:cs="Times New Roman"/>
          <w:color w:val="FF0000"/>
          <w:szCs w:val="24"/>
        </w:rPr>
        <w:t xml:space="preserve"> in the short term </w:t>
      </w:r>
      <w:r w:rsidR="003C582E" w:rsidRPr="003D09FA">
        <w:rPr>
          <w:color w:val="FF0000"/>
        </w:rPr>
        <w:fldChar w:fldCharType="begin"/>
      </w:r>
      <w:r w:rsidR="00647E79" w:rsidRPr="003D09FA">
        <w:rPr>
          <w:color w:val="FF0000"/>
        </w:rPr>
        <w:instrText xml:space="preserve"> ADDIN EN.CITE &lt;EndNote&gt;&lt;Cite&gt;&lt;Author&gt;Ville&lt;/Author&gt;&lt;Year&gt;2013&lt;/Year&gt;&lt;RecNum&gt;243&lt;/RecNum&gt;&lt;DisplayText&gt;(Ville et al., 2013)&lt;/DisplayText&gt;&lt;record&gt;&lt;rec-number&gt;243&lt;/rec-number&gt;&lt;foreign-keys&gt;&lt;key app="EN" db-id="pzt5ep52hsedfpeext2pdfes0w0aswaewef2" timestamp="1605187997"&gt;243&lt;/key&gt;&lt;/foreign-keys&gt;&lt;ref-type name="Journal Article"&gt;17&lt;/ref-type&gt;&lt;contributors&gt;&lt;authors&gt;&lt;author&gt;Ville, Sandrine&lt;/author&gt;&lt;author&gt;Gonzalez-Feliu, Jesus&lt;/author&gt;&lt;author&gt;Dablanc, Laetitia&lt;/author&gt;&lt;/authors&gt;&lt;/contributors&gt;&lt;titles&gt;&lt;title&gt;The Limits of Public Policy Intervention in Urban Logistics: Lessons from Vicenza (Italy)&lt;/title&gt;&lt;secondary-title&gt;European Planning Studies&lt;/secondary-title&gt;&lt;/titles&gt;&lt;periodical&gt;&lt;full-title&gt;European Planning Studies&lt;/full-title&gt;&lt;/periodical&gt;&lt;pages&gt;1528-1541&lt;/pages&gt;&lt;volume&gt;21&lt;/volume&gt;&lt;number&gt;10&lt;/number&gt;&lt;dates&gt;&lt;year&gt;2013&lt;/year&gt;&lt;pub-dates&gt;&lt;date&gt;2013/10/01&lt;/date&gt;&lt;/pub-dates&gt;&lt;/dates&gt;&lt;publisher&gt;Routledge&lt;/publisher&gt;&lt;isbn&gt;0965-4313&lt;/isbn&gt;&lt;urls&gt;&lt;related-urls&gt;&lt;url&gt;https://doi.org/10.1080/09654313.2012.722954&lt;/url&gt;&lt;url&gt;https://www.tandfonline.com/doi/abs/10.1080/09654313.2012.722954&lt;/url&gt;&lt;url&gt;https://www.tandfonline.com/doi/pdf/10.1080/09654313.2012.722954?needAccess=true&lt;/url&gt;&lt;/related-urls&gt;&lt;/urls&gt;&lt;electronic-resource-num&gt;10.1080/09654313.2012.722954&lt;/electronic-resource-num&gt;&lt;/record&gt;&lt;/Cite&gt;&lt;/EndNote&gt;</w:instrText>
      </w:r>
      <w:r w:rsidR="003C582E" w:rsidRPr="003D09FA">
        <w:rPr>
          <w:color w:val="FF0000"/>
        </w:rPr>
        <w:fldChar w:fldCharType="separate"/>
      </w:r>
      <w:r w:rsidR="003C582E" w:rsidRPr="003D09FA">
        <w:rPr>
          <w:noProof/>
          <w:color w:val="FF0000"/>
        </w:rPr>
        <w:t>(Ville et al., 2013)</w:t>
      </w:r>
      <w:r w:rsidR="003C582E" w:rsidRPr="003D09FA">
        <w:rPr>
          <w:color w:val="FF0000"/>
        </w:rPr>
        <w:fldChar w:fldCharType="end"/>
      </w:r>
      <w:r w:rsidR="0071798B" w:rsidRPr="003D09FA">
        <w:rPr>
          <w:rFonts w:cs="Times New Roman"/>
          <w:color w:val="FF0000"/>
          <w:szCs w:val="24"/>
        </w:rPr>
        <w:t xml:space="preserve">. However, permanent subsidisation is not </w:t>
      </w:r>
      <w:r w:rsidR="0071798B" w:rsidRPr="003D09FA">
        <w:rPr>
          <w:rFonts w:cs="Times New Roman"/>
          <w:color w:val="FF0000"/>
          <w:szCs w:val="24"/>
        </w:rPr>
        <w:lastRenderedPageBreak/>
        <w:t xml:space="preserve">appropriate due to the financial burden on local government. As illustrated by </w:t>
      </w:r>
      <w:r w:rsidR="003C582E" w:rsidRPr="003D09FA">
        <w:rPr>
          <w:noProof/>
          <w:color w:val="FF0000"/>
          <w:szCs w:val="24"/>
        </w:rPr>
        <w:fldChar w:fldCharType="begin"/>
      </w:r>
      <w:r w:rsidR="00D40D7C" w:rsidRPr="003D09FA">
        <w:rPr>
          <w:noProof/>
          <w:color w:val="FF0000"/>
          <w:szCs w:val="24"/>
        </w:rPr>
        <w:instrText xml:space="preserve"> ADDIN EN.CITE &lt;EndNote&gt;&lt;Cite AuthorYear="1"&gt;&lt;Author&gt;Paddeu&lt;/Author&gt;&lt;Year&gt;2017&lt;/Year&gt;&lt;RecNum&gt;57&lt;/RecNum&gt;&lt;DisplayText&gt;Paddeu (2017)&lt;/DisplayText&gt;&lt;record&gt;&lt;rec-number&gt;57&lt;/rec-number&gt;&lt;foreign-keys&gt;&lt;key app="EN" db-id="x5etaz5aiszvz0edasvvpwvotttxepvd25t2" timestamp="1603802000"&gt;57&lt;/key&gt;&lt;/foreign-keys&gt;&lt;ref-type name="Journal Article"&gt;17&lt;/ref-type&gt;&lt;contributors&gt;&lt;authors&gt;&lt;author&gt;Paddeu, D.&lt;/author&gt;&lt;/authors&gt;&lt;/contributors&gt;&lt;auth-address&gt;D.I.C.A.A.R., University of Cagliari, Via Marengo 2, Cagliari, 09124, Italy&lt;/auth-address&gt;&lt;titles&gt;&lt;title&gt;The Bristol-Bath Urban freight Consolidation Centre from the perspective of its users&lt;/title&gt;&lt;secondary-title&gt;Case Studies on Transport Policy&lt;/secondary-title&gt;&lt;alt-title&gt;Case Stud. Transp. Policy&lt;/alt-title&gt;&lt;/titles&gt;&lt;periodical&gt;&lt;full-title&gt;Case Studies on Transport Policy&lt;/full-title&gt;&lt;abbr-1&gt;Case Stud. Transp. Policy&lt;/abbr-1&gt;&lt;/periodical&gt;&lt;alt-periodical&gt;&lt;full-title&gt;Case Studies on Transport Policy&lt;/full-title&gt;&lt;abbr-1&gt;Case Stud. Transp. Policy&lt;/abbr-1&gt;&lt;/alt-periodical&gt;&lt;pages&gt;483-491&lt;/pages&gt;&lt;volume&gt;5&lt;/volume&gt;&lt;number&gt;3&lt;/number&gt;&lt;keywords&gt;&lt;keyword&gt;Case study&lt;/keyword&gt;&lt;keyword&gt;City logistics&lt;/keyword&gt;&lt;keyword&gt;Stakeholders perception&lt;/keyword&gt;&lt;/keywords&gt;&lt;dates&gt;&lt;year&gt;2017&lt;/year&gt;&lt;/dates&gt;&lt;publisher&gt;Elsevier Ltd&lt;/publisher&gt;&lt;isbn&gt;2213624X (ISSN)&lt;/isbn&gt;&lt;work-type&gt;Article&lt;/work-type&gt;&lt;urls&gt;&lt;related-urls&gt;&lt;url&gt;https://www.scopus.com/inward/record.uri?eid=2-s2.0-85021226794&amp;amp;doi=10.1016%2fj.cstp.2017.06.001&amp;amp;partnerID=40&amp;amp;md5=2ba31683c718b31a6331ad1ea15834cd&lt;/url&gt;&lt;/related-urls&gt;&lt;/urls&gt;&lt;electronic-resource-num&gt;10.1016/j.cstp.2017.06.001&lt;/electronic-resource-num&gt;&lt;remote-database-name&gt;Scopus&lt;/remote-database-name&gt;&lt;language&gt;English&lt;/language&gt;&lt;/record&gt;&lt;/Cite&gt;&lt;/EndNote&gt;</w:instrText>
      </w:r>
      <w:r w:rsidR="003C582E" w:rsidRPr="003D09FA">
        <w:rPr>
          <w:noProof/>
          <w:color w:val="FF0000"/>
          <w:szCs w:val="24"/>
        </w:rPr>
        <w:fldChar w:fldCharType="separate"/>
      </w:r>
      <w:r w:rsidR="00C55729" w:rsidRPr="003D09FA">
        <w:rPr>
          <w:noProof/>
          <w:color w:val="FF0000"/>
          <w:szCs w:val="24"/>
        </w:rPr>
        <w:t>Paddeu (2017)</w:t>
      </w:r>
      <w:r w:rsidR="003C582E" w:rsidRPr="003D09FA">
        <w:rPr>
          <w:noProof/>
          <w:color w:val="FF0000"/>
          <w:szCs w:val="24"/>
        </w:rPr>
        <w:fldChar w:fldCharType="end"/>
      </w:r>
      <w:r w:rsidR="0071798B" w:rsidRPr="003D09FA">
        <w:rPr>
          <w:rFonts w:cs="Times New Roman"/>
          <w:color w:val="FF0000"/>
          <w:szCs w:val="24"/>
        </w:rPr>
        <w:t>, when the subsidy is terminated, UCCs struggle to maintain their financial status and, if they operating independently in the freight transport market, the extra cost leads users to abandon the project</w:t>
      </w:r>
      <w:r w:rsidR="00300828" w:rsidRPr="003D09FA">
        <w:rPr>
          <w:rFonts w:cs="Times New Roman"/>
          <w:color w:val="FF0000"/>
          <w:szCs w:val="24"/>
        </w:rPr>
        <w:t xml:space="preserve"> </w:t>
      </w:r>
      <w:r w:rsidR="00300828" w:rsidRPr="003D09FA">
        <w:rPr>
          <w:rStyle w:val="fontstyle01"/>
          <w:rFonts w:ascii="Times New Roman" w:hAnsi="Times New Roman" w:cs="Times New Roman"/>
          <w:noProof/>
          <w:color w:val="FF0000"/>
        </w:rPr>
        <w:fldChar w:fldCharType="begin">
          <w:fldData xml:space="preserve">PEVuZE5vdGU+PENpdGU+PEF1dGhvcj5Ccm93bmU8L0F1dGhvcj48WWVhcj4yMDA1PC9ZZWFyPjxS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</w:fldData>
        </w:fldChar>
      </w:r>
      <w:r w:rsidR="00300828" w:rsidRPr="003D09FA">
        <w:rPr>
          <w:rStyle w:val="fontstyle01"/>
          <w:rFonts w:ascii="Times New Roman" w:hAnsi="Times New Roman" w:cs="Times New Roman"/>
          <w:noProof/>
          <w:color w:val="FF0000"/>
        </w:rPr>
        <w:instrText xml:space="preserve"> ADDIN EN.CITE </w:instrText>
      </w:r>
      <w:r w:rsidR="00300828" w:rsidRPr="003D09FA">
        <w:rPr>
          <w:rStyle w:val="fontstyle01"/>
          <w:rFonts w:ascii="Times New Roman" w:hAnsi="Times New Roman" w:cs="Times New Roman"/>
          <w:noProof/>
          <w:color w:val="FF0000"/>
        </w:rPr>
        <w:fldChar w:fldCharType="begin">
          <w:fldData xml:space="preserve">PEVuZE5vdGU+PENpdGU+PEF1dGhvcj5Ccm93bmU8L0F1dGhvcj48WWVhcj4yMDA1PC9ZZWFyPjxS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</w:fldData>
        </w:fldChar>
      </w:r>
      <w:r w:rsidR="00300828" w:rsidRPr="003D09FA">
        <w:rPr>
          <w:rStyle w:val="fontstyle01"/>
          <w:rFonts w:ascii="Times New Roman" w:hAnsi="Times New Roman" w:cs="Times New Roman"/>
          <w:noProof/>
          <w:color w:val="FF0000"/>
        </w:rPr>
        <w:instrText xml:space="preserve"> ADDIN EN.CITE.DATA </w:instrText>
      </w:r>
      <w:r w:rsidR="00300828" w:rsidRPr="003D09FA">
        <w:rPr>
          <w:rStyle w:val="fontstyle01"/>
          <w:rFonts w:ascii="Times New Roman" w:hAnsi="Times New Roman" w:cs="Times New Roman"/>
          <w:noProof/>
          <w:color w:val="FF0000"/>
        </w:rPr>
      </w:r>
      <w:r w:rsidR="00300828" w:rsidRPr="003D09FA">
        <w:rPr>
          <w:rStyle w:val="fontstyle01"/>
          <w:rFonts w:ascii="Times New Roman" w:hAnsi="Times New Roman" w:cs="Times New Roman"/>
          <w:noProof/>
          <w:color w:val="FF0000"/>
        </w:rPr>
        <w:fldChar w:fldCharType="end"/>
      </w:r>
      <w:r w:rsidR="00300828" w:rsidRPr="003D09FA">
        <w:rPr>
          <w:rStyle w:val="fontstyle01"/>
          <w:rFonts w:ascii="Times New Roman" w:hAnsi="Times New Roman" w:cs="Times New Roman"/>
          <w:noProof/>
          <w:color w:val="FF0000"/>
        </w:rPr>
      </w:r>
      <w:r w:rsidR="00300828" w:rsidRPr="003D09FA">
        <w:rPr>
          <w:rStyle w:val="fontstyle01"/>
          <w:rFonts w:ascii="Times New Roman" w:hAnsi="Times New Roman" w:cs="Times New Roman"/>
          <w:noProof/>
          <w:color w:val="FF0000"/>
        </w:rPr>
        <w:fldChar w:fldCharType="separate"/>
      </w:r>
      <w:r w:rsidR="00300828" w:rsidRPr="003D09FA">
        <w:rPr>
          <w:rStyle w:val="fontstyle01"/>
          <w:rFonts w:ascii="Times New Roman" w:hAnsi="Times New Roman" w:cs="Times New Roman"/>
          <w:noProof/>
          <w:color w:val="FF0000"/>
        </w:rPr>
        <w:t>(Browne et al., 2005, Duin et al., 2016, Kin et al., 2016)</w:t>
      </w:r>
      <w:r w:rsidR="00300828" w:rsidRPr="003D09FA">
        <w:rPr>
          <w:rStyle w:val="fontstyle01"/>
          <w:rFonts w:ascii="Times New Roman" w:hAnsi="Times New Roman" w:cs="Times New Roman"/>
          <w:noProof/>
          <w:color w:val="FF0000"/>
        </w:rPr>
        <w:fldChar w:fldCharType="end"/>
      </w:r>
      <w:r w:rsidR="0071798B" w:rsidRPr="003D09FA">
        <w:rPr>
          <w:rFonts w:cs="Times New Roman"/>
          <w:color w:val="FF0000"/>
          <w:szCs w:val="24"/>
        </w:rPr>
        <w:t>.</w:t>
      </w:r>
      <w:r w:rsidR="00560D1E" w:rsidRPr="003D09FA">
        <w:rPr>
          <w:rFonts w:cs="Times New Roman"/>
          <w:color w:val="FF0000"/>
          <w:szCs w:val="24"/>
        </w:rPr>
        <w:t xml:space="preserve"> </w:t>
      </w:r>
      <w:r w:rsidR="00300828" w:rsidRPr="003D09FA">
        <w:rPr>
          <w:rStyle w:val="fontstyle01"/>
          <w:rFonts w:ascii="Times New Roman" w:hAnsi="Times New Roman" w:cs="Times New Roman"/>
          <w:color w:val="FF0000"/>
        </w:rPr>
        <w:t xml:space="preserve">For the purpose of promoting the adoption of UCCs, LAs might need to use restrictive policies (such as congestion and emission charges), in order to force LHCs to join such schemes, or to penalise them from an economic point of view </w:t>
      </w:r>
      <w:r w:rsidR="00300828" w:rsidRPr="003D09FA">
        <w:rPr>
          <w:rStyle w:val="fontstyle01"/>
          <w:rFonts w:ascii="Times New Roman" w:hAnsi="Times New Roman" w:cs="Times New Roman"/>
          <w:color w:val="FF0000"/>
        </w:rPr>
        <w:fldChar w:fldCharType="begin">
          <w:fldData xml:space="preserve">PEVuZE5vdGU+PENpdGU+PEF1dGhvcj5BbGxlbjwvQXV0aG9yPjxZZWFyPjIwMTI8L1llYXI+PFJl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==
</w:fldData>
        </w:fldChar>
      </w:r>
      <w:r w:rsidR="00300828" w:rsidRPr="003D09FA">
        <w:rPr>
          <w:rStyle w:val="fontstyle01"/>
          <w:rFonts w:ascii="Times New Roman" w:hAnsi="Times New Roman" w:cs="Times New Roman"/>
          <w:color w:val="FF0000"/>
        </w:rPr>
        <w:instrText xml:space="preserve"> ADDIN EN.CITE </w:instrText>
      </w:r>
      <w:r w:rsidR="00300828" w:rsidRPr="003D09FA">
        <w:rPr>
          <w:rStyle w:val="fontstyle01"/>
          <w:rFonts w:ascii="Times New Roman" w:hAnsi="Times New Roman" w:cs="Times New Roman"/>
          <w:color w:val="FF0000"/>
        </w:rPr>
        <w:fldChar w:fldCharType="begin">
          <w:fldData xml:space="preserve">PEVuZE5vdGU+PENpdGU+PEF1dGhvcj5BbGxlbjwvQXV0aG9yPjxZZWFyPjIwMTI8L1llYXI+PFJl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==
</w:fldData>
        </w:fldChar>
      </w:r>
      <w:r w:rsidR="00300828" w:rsidRPr="003D09FA">
        <w:rPr>
          <w:rStyle w:val="fontstyle01"/>
          <w:rFonts w:ascii="Times New Roman" w:hAnsi="Times New Roman" w:cs="Times New Roman"/>
          <w:color w:val="FF0000"/>
        </w:rPr>
        <w:instrText xml:space="preserve"> ADDIN EN.CITE.DATA </w:instrText>
      </w:r>
      <w:r w:rsidR="00300828" w:rsidRPr="003D09FA">
        <w:rPr>
          <w:rStyle w:val="fontstyle01"/>
          <w:rFonts w:ascii="Times New Roman" w:hAnsi="Times New Roman" w:cs="Times New Roman"/>
          <w:color w:val="FF0000"/>
        </w:rPr>
      </w:r>
      <w:r w:rsidR="00300828" w:rsidRPr="003D09FA">
        <w:rPr>
          <w:rStyle w:val="fontstyle01"/>
          <w:rFonts w:ascii="Times New Roman" w:hAnsi="Times New Roman" w:cs="Times New Roman"/>
          <w:color w:val="FF0000"/>
        </w:rPr>
        <w:fldChar w:fldCharType="end"/>
      </w:r>
      <w:r w:rsidR="00300828" w:rsidRPr="003D09FA">
        <w:rPr>
          <w:rStyle w:val="fontstyle01"/>
          <w:rFonts w:ascii="Times New Roman" w:hAnsi="Times New Roman" w:cs="Times New Roman"/>
          <w:color w:val="FF0000"/>
        </w:rPr>
      </w:r>
      <w:r w:rsidR="00300828" w:rsidRPr="003D09FA">
        <w:rPr>
          <w:rStyle w:val="fontstyle01"/>
          <w:rFonts w:ascii="Times New Roman" w:hAnsi="Times New Roman" w:cs="Times New Roman"/>
          <w:color w:val="FF0000"/>
        </w:rPr>
        <w:fldChar w:fldCharType="separate"/>
      </w:r>
      <w:r w:rsidR="00300828" w:rsidRPr="003D09FA">
        <w:rPr>
          <w:rStyle w:val="fontstyle01"/>
          <w:rFonts w:ascii="Times New Roman" w:hAnsi="Times New Roman" w:cs="Times New Roman"/>
          <w:noProof/>
          <w:color w:val="FF0000"/>
        </w:rPr>
        <w:t>(Allen et al., 2012, Ville et al., 2013, Björklund et al., 2017)</w:t>
      </w:r>
      <w:r w:rsidR="00300828" w:rsidRPr="003D09FA">
        <w:rPr>
          <w:rStyle w:val="fontstyle01"/>
          <w:rFonts w:ascii="Times New Roman" w:hAnsi="Times New Roman" w:cs="Times New Roman"/>
          <w:color w:val="FF0000"/>
        </w:rPr>
        <w:fldChar w:fldCharType="end"/>
      </w:r>
      <w:r w:rsidR="00300828" w:rsidRPr="003D09FA">
        <w:rPr>
          <w:rStyle w:val="fontstyle01"/>
          <w:rFonts w:ascii="Times New Roman" w:hAnsi="Times New Roman" w:cs="Times New Roman"/>
          <w:color w:val="FF0000"/>
        </w:rPr>
        <w:t>; however, imposing such measures could generate legal feuds between LAs and private companies.</w:t>
      </w:r>
      <w:r w:rsidR="00300828" w:rsidRPr="003D09FA">
        <w:rPr>
          <w:rFonts w:cs="Times New Roman"/>
          <w:color w:val="FF0000"/>
          <w:szCs w:val="24"/>
        </w:rPr>
        <w:t xml:space="preserve"> </w:t>
      </w:r>
    </w:p>
    <w:p w14:paraId="411661F7" w14:textId="18AE6578" w:rsidR="00C11332" w:rsidRPr="00224640" w:rsidRDefault="00C11332" w:rsidP="00560D1E">
      <w:pPr>
        <w:spacing w:after="240" w:line="360" w:lineRule="auto"/>
        <w:rPr>
          <w:rFonts w:cs="Times New Roman"/>
          <w:color w:val="FF0000"/>
          <w:szCs w:val="24"/>
        </w:rPr>
      </w:pPr>
      <w:r w:rsidRPr="00C42B43">
        <w:rPr>
          <w:rFonts w:cs="Times New Roman"/>
          <w:color w:val="FF0000"/>
        </w:rPr>
        <w:t xml:space="preserve">Inadequate payment mechanisms also create financial difficulties, as reported by </w:t>
      </w:r>
      <w:r w:rsidRPr="00C42B43">
        <w:rPr>
          <w:color w:val="FF0000"/>
        </w:rPr>
        <w:t>Allen et al. (2012)</w:t>
      </w:r>
      <w:r w:rsidRPr="00C42B43">
        <w:rPr>
          <w:rFonts w:cs="Times New Roman"/>
          <w:color w:val="FF0000"/>
        </w:rPr>
        <w:t xml:space="preserve">: some UCCs only charge the payment from the receiver, upstream carriers are not involved in the payment mechanism. As only a single category of agent is involved, it results in insufficient income for the project. </w:t>
      </w:r>
    </w:p>
    <w:p w14:paraId="4715A1BF" w14:textId="7DCB25DA" w:rsidR="00973609" w:rsidRDefault="00973609" w:rsidP="000A6357">
      <w:pPr>
        <w:pStyle w:val="Heading4"/>
        <w:spacing w:after="0" w:line="360" w:lineRule="auto"/>
        <w:rPr>
          <w:rStyle w:val="fontstyle01"/>
          <w:rFonts w:ascii="Times New Roman" w:hAnsi="Times New Roman"/>
          <w:color w:val="auto"/>
          <w:szCs w:val="22"/>
        </w:rPr>
      </w:pPr>
      <w:r w:rsidRPr="000A6357">
        <w:rPr>
          <w:rStyle w:val="fontstyle01"/>
          <w:rFonts w:ascii="Times New Roman" w:hAnsi="Times New Roman"/>
          <w:color w:val="auto"/>
          <w:szCs w:val="22"/>
        </w:rPr>
        <w:t>Cost-allocation mechanisms for UCCs</w:t>
      </w:r>
    </w:p>
    <w:p w14:paraId="79D96823" w14:textId="3FAAC376" w:rsidR="00D53756" w:rsidRPr="00D53756" w:rsidRDefault="000355A6" w:rsidP="00D53756">
      <w:pPr>
        <w:spacing w:after="240" w:line="360" w:lineRule="auto"/>
        <w:rPr>
          <w:rFonts w:cs="Times New Roman"/>
          <w:color w:val="FF0000"/>
        </w:rPr>
      </w:pPr>
      <w:r w:rsidRPr="005E2AB5">
        <w:rPr>
          <w:rFonts w:cs="Times New Roman"/>
          <w:color w:val="FF0000"/>
        </w:rPr>
        <w:t xml:space="preserve">Much of the current literature on </w:t>
      </w:r>
      <w:r w:rsidR="005E2AB5" w:rsidRPr="005E2AB5">
        <w:rPr>
          <w:rFonts w:cs="Times New Roman"/>
          <w:color w:val="FF0000"/>
        </w:rPr>
        <w:t>UCC</w:t>
      </w:r>
      <w:r w:rsidRPr="005E2AB5">
        <w:rPr>
          <w:rFonts w:cs="Times New Roman"/>
          <w:color w:val="FF0000"/>
        </w:rPr>
        <w:t xml:space="preserve"> pays particular attention to the cost allocation problem.</w:t>
      </w:r>
      <w:r w:rsidR="00711B8D">
        <w:rPr>
          <w:rFonts w:cs="Times New Roman"/>
          <w:color w:val="FF0000"/>
        </w:rPr>
        <w:t xml:space="preserve"> </w:t>
      </w:r>
      <w:r w:rsidR="00D53756" w:rsidRPr="00EA15D8">
        <w:rPr>
          <w:noProof/>
          <w:color w:val="FF0000"/>
        </w:rPr>
        <w:t xml:space="preserve">According to the current literature, the most widely adopted cost-sharing mechanism requires operators and LAs to assume economic and financial responsibility for UCC operations. </w:t>
      </w:r>
      <w:r w:rsidR="005E2AB5" w:rsidRPr="005E2AB5">
        <w:rPr>
          <w:rStyle w:val="fontstyle01"/>
          <w:rFonts w:ascii="Times New Roman" w:hAnsi="Times New Roman" w:cs="Times New Roman"/>
          <w:color w:val="FF0000"/>
        </w:rPr>
        <w:t>Such mechanisms might cause low uptake rates (</w:t>
      </w:r>
      <w:proofErr w:type="gramStart"/>
      <w:r w:rsidR="005E2AB5" w:rsidRPr="005E2AB5">
        <w:rPr>
          <w:rStyle w:val="fontstyle01"/>
          <w:rFonts w:ascii="Times New Roman" w:hAnsi="Times New Roman" w:cs="Times New Roman"/>
          <w:color w:val="FF0000"/>
        </w:rPr>
        <w:t>e.g.</w:t>
      </w:r>
      <w:proofErr w:type="gramEnd"/>
      <w:r w:rsidR="005E2AB5" w:rsidRPr="005E2AB5">
        <w:rPr>
          <w:rStyle w:val="fontstyle01"/>
          <w:rFonts w:ascii="Times New Roman" w:hAnsi="Times New Roman" w:cs="Times New Roman"/>
          <w:color w:val="FF0000"/>
        </w:rPr>
        <w:t xml:space="preserve"> for LHCs) and exacerbate UCC financial issues </w:t>
      </w:r>
      <w:r w:rsidR="005E2AB5" w:rsidRPr="005E2AB5">
        <w:rPr>
          <w:rStyle w:val="fontstyle01"/>
          <w:rFonts w:ascii="Times New Roman" w:hAnsi="Times New Roman" w:cs="Times New Roman"/>
          <w:color w:val="FF0000"/>
        </w:rPr>
        <w:fldChar w:fldCharType="begin">
          <w:fldData xml:space="preserve">PEVuZE5vdGU+PENpdGU+PEF1dGhvcj5CYXR0YWlhPC9BdXRob3I+PFllYXI+MjAxNDwvWWVhcj48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</w:fldData>
        </w:fldChar>
      </w:r>
      <w:r w:rsidR="005E2AB5" w:rsidRPr="005E2AB5">
        <w:rPr>
          <w:rStyle w:val="fontstyle01"/>
          <w:rFonts w:ascii="Times New Roman" w:hAnsi="Times New Roman" w:cs="Times New Roman"/>
          <w:color w:val="FF0000"/>
        </w:rPr>
        <w:instrText xml:space="preserve"> ADDIN EN.CITE </w:instrText>
      </w:r>
      <w:r w:rsidR="005E2AB5" w:rsidRPr="005E2AB5">
        <w:rPr>
          <w:rStyle w:val="fontstyle01"/>
          <w:rFonts w:ascii="Times New Roman" w:hAnsi="Times New Roman" w:cs="Times New Roman"/>
          <w:color w:val="FF0000"/>
        </w:rPr>
        <w:fldChar w:fldCharType="begin">
          <w:fldData xml:space="preserve">PEVuZE5vdGU+PENpdGU+PEF1dGhvcj5CYXR0YWlhPC9BdXRob3I+PFllYXI+MjAxNDwvWWVhcj48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</w:fldData>
        </w:fldChar>
      </w:r>
      <w:r w:rsidR="005E2AB5" w:rsidRPr="005E2AB5">
        <w:rPr>
          <w:rStyle w:val="fontstyle01"/>
          <w:rFonts w:ascii="Times New Roman" w:hAnsi="Times New Roman" w:cs="Times New Roman"/>
          <w:color w:val="FF0000"/>
        </w:rPr>
        <w:instrText xml:space="preserve"> ADDIN EN.CITE.DATA </w:instrText>
      </w:r>
      <w:r w:rsidR="005E2AB5" w:rsidRPr="005E2AB5">
        <w:rPr>
          <w:rStyle w:val="fontstyle01"/>
          <w:rFonts w:ascii="Times New Roman" w:hAnsi="Times New Roman" w:cs="Times New Roman"/>
          <w:color w:val="FF0000"/>
        </w:rPr>
      </w:r>
      <w:r w:rsidR="005E2AB5" w:rsidRPr="005E2AB5">
        <w:rPr>
          <w:rStyle w:val="fontstyle01"/>
          <w:rFonts w:ascii="Times New Roman" w:hAnsi="Times New Roman" w:cs="Times New Roman"/>
          <w:color w:val="FF0000"/>
        </w:rPr>
        <w:fldChar w:fldCharType="end"/>
      </w:r>
      <w:r w:rsidR="005E2AB5" w:rsidRPr="005E2AB5">
        <w:rPr>
          <w:rStyle w:val="fontstyle01"/>
          <w:rFonts w:ascii="Times New Roman" w:hAnsi="Times New Roman" w:cs="Times New Roman"/>
          <w:color w:val="FF0000"/>
        </w:rPr>
      </w:r>
      <w:r w:rsidR="005E2AB5" w:rsidRPr="005E2AB5">
        <w:rPr>
          <w:rStyle w:val="fontstyle01"/>
          <w:rFonts w:ascii="Times New Roman" w:hAnsi="Times New Roman" w:cs="Times New Roman"/>
          <w:color w:val="FF0000"/>
        </w:rPr>
        <w:fldChar w:fldCharType="separate"/>
      </w:r>
      <w:r w:rsidR="005E2AB5" w:rsidRPr="005E2AB5">
        <w:rPr>
          <w:rStyle w:val="fontstyle01"/>
          <w:rFonts w:ascii="Times New Roman" w:hAnsi="Times New Roman" w:cs="Times New Roman"/>
          <w:noProof/>
          <w:color w:val="FF0000"/>
        </w:rPr>
        <w:t>(Battaia et al., 2014)</w:t>
      </w:r>
      <w:r w:rsidR="005E2AB5" w:rsidRPr="005E2AB5">
        <w:rPr>
          <w:rStyle w:val="fontstyle01"/>
          <w:rFonts w:ascii="Times New Roman" w:hAnsi="Times New Roman" w:cs="Times New Roman"/>
          <w:color w:val="FF0000"/>
        </w:rPr>
        <w:fldChar w:fldCharType="end"/>
      </w:r>
      <w:r w:rsidR="005E2AB5" w:rsidRPr="005E2AB5">
        <w:rPr>
          <w:rStyle w:val="fontstyle01"/>
          <w:rFonts w:ascii="Times New Roman" w:hAnsi="Times New Roman" w:cs="Times New Roman"/>
          <w:color w:val="FF0000"/>
        </w:rPr>
        <w:t xml:space="preserve">. As such, the current expectation for local governments is to find ways to promote responsibility sharing for UCC operations, in such a way to produce shared allocations of logistics costs, with the main aim of sustaining the viability of UCCs </w:t>
      </w:r>
      <w:r w:rsidR="005E2AB5" w:rsidRPr="005E2AB5">
        <w:rPr>
          <w:rStyle w:val="fontstyle01"/>
          <w:rFonts w:ascii="Times New Roman" w:hAnsi="Times New Roman" w:cs="Times New Roman"/>
          <w:color w:val="FF0000"/>
        </w:rPr>
        <w:fldChar w:fldCharType="begin">
          <w:fldData xml:space="preserve">PEVuZE5vdGU+PENpdGU+PEF1dGhvcj5Ccm93bmU8L0F1dGhvcj48WWVhcj4yMDA1PC9ZZWFyPjxS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</w:fldData>
        </w:fldChar>
      </w:r>
      <w:r w:rsidR="005E2AB5" w:rsidRPr="005E2AB5">
        <w:rPr>
          <w:rStyle w:val="fontstyle01"/>
          <w:rFonts w:ascii="Times New Roman" w:hAnsi="Times New Roman" w:cs="Times New Roman"/>
          <w:color w:val="FF0000"/>
        </w:rPr>
        <w:instrText xml:space="preserve"> ADDIN EN.CITE </w:instrText>
      </w:r>
      <w:r w:rsidR="005E2AB5" w:rsidRPr="005E2AB5">
        <w:rPr>
          <w:rStyle w:val="fontstyle01"/>
          <w:rFonts w:ascii="Times New Roman" w:hAnsi="Times New Roman" w:cs="Times New Roman"/>
          <w:color w:val="FF0000"/>
        </w:rPr>
        <w:fldChar w:fldCharType="begin">
          <w:fldData xml:space="preserve">PEVuZE5vdGU+PENpdGU+PEF1dGhvcj5Ccm93bmU8L0F1dGhvcj48WWVhcj4yMDA1PC9ZZWFyPjxS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</w:fldData>
        </w:fldChar>
      </w:r>
      <w:r w:rsidR="005E2AB5" w:rsidRPr="005E2AB5">
        <w:rPr>
          <w:rStyle w:val="fontstyle01"/>
          <w:rFonts w:ascii="Times New Roman" w:hAnsi="Times New Roman" w:cs="Times New Roman"/>
          <w:color w:val="FF0000"/>
        </w:rPr>
        <w:instrText xml:space="preserve"> ADDIN EN.CITE.DATA </w:instrText>
      </w:r>
      <w:r w:rsidR="005E2AB5" w:rsidRPr="005E2AB5">
        <w:rPr>
          <w:rStyle w:val="fontstyle01"/>
          <w:rFonts w:ascii="Times New Roman" w:hAnsi="Times New Roman" w:cs="Times New Roman"/>
          <w:color w:val="FF0000"/>
        </w:rPr>
      </w:r>
      <w:r w:rsidR="005E2AB5" w:rsidRPr="005E2AB5">
        <w:rPr>
          <w:rStyle w:val="fontstyle01"/>
          <w:rFonts w:ascii="Times New Roman" w:hAnsi="Times New Roman" w:cs="Times New Roman"/>
          <w:color w:val="FF0000"/>
        </w:rPr>
        <w:fldChar w:fldCharType="end"/>
      </w:r>
      <w:r w:rsidR="005E2AB5" w:rsidRPr="005E2AB5">
        <w:rPr>
          <w:rStyle w:val="fontstyle01"/>
          <w:rFonts w:ascii="Times New Roman" w:hAnsi="Times New Roman" w:cs="Times New Roman"/>
          <w:color w:val="FF0000"/>
        </w:rPr>
      </w:r>
      <w:r w:rsidR="005E2AB5" w:rsidRPr="005E2AB5">
        <w:rPr>
          <w:rStyle w:val="fontstyle01"/>
          <w:rFonts w:ascii="Times New Roman" w:hAnsi="Times New Roman" w:cs="Times New Roman"/>
          <w:color w:val="FF0000"/>
        </w:rPr>
        <w:fldChar w:fldCharType="separate"/>
      </w:r>
      <w:r w:rsidR="005E2AB5" w:rsidRPr="005E2AB5">
        <w:rPr>
          <w:rStyle w:val="fontstyle01"/>
          <w:rFonts w:ascii="Times New Roman" w:hAnsi="Times New Roman" w:cs="Times New Roman"/>
          <w:noProof/>
          <w:color w:val="FF0000"/>
        </w:rPr>
        <w:t>(Browne et al., 2005, Marcucci and Danielis, 2008, Allen et al., 2012)</w:t>
      </w:r>
      <w:r w:rsidR="005E2AB5" w:rsidRPr="005E2AB5">
        <w:rPr>
          <w:rStyle w:val="fontstyle01"/>
          <w:rFonts w:ascii="Times New Roman" w:hAnsi="Times New Roman" w:cs="Times New Roman"/>
          <w:color w:val="FF0000"/>
        </w:rPr>
        <w:fldChar w:fldCharType="end"/>
      </w:r>
      <w:r w:rsidR="005E2AB5" w:rsidRPr="005E2AB5">
        <w:rPr>
          <w:rStyle w:val="fontstyle01"/>
          <w:rFonts w:ascii="Times New Roman" w:hAnsi="Times New Roman" w:cs="Times New Roman"/>
          <w:color w:val="FF0000"/>
        </w:rPr>
        <w:t xml:space="preserve">. Specifically, LAs should seek to build </w:t>
      </w:r>
      <w:r w:rsidR="005E2AB5" w:rsidRPr="005E2AB5">
        <w:rPr>
          <w:rFonts w:cs="Times New Roman"/>
          <w:i/>
          <w:color w:val="FF0000"/>
        </w:rPr>
        <w:t>coalitions</w:t>
      </w:r>
      <w:r w:rsidR="005E2AB5" w:rsidRPr="005E2AB5">
        <w:rPr>
          <w:rFonts w:cs="Times New Roman"/>
          <w:color w:val="FF0000"/>
        </w:rPr>
        <w:t xml:space="preserve"> aimed</w:t>
      </w:r>
      <w:r w:rsidR="005E2AB5" w:rsidRPr="005E2AB5">
        <w:rPr>
          <w:rStyle w:val="fontstyle01"/>
          <w:rFonts w:ascii="Times New Roman" w:hAnsi="Times New Roman" w:cs="Times New Roman"/>
          <w:color w:val="FF0000"/>
        </w:rPr>
        <w:t xml:space="preserve"> at involving more stakeholders in the functioning of UCC facility, through participatory cost-sharing mechanisms. </w:t>
      </w:r>
      <w:r w:rsidR="00651191">
        <w:rPr>
          <w:noProof/>
          <w:color w:val="FF0000"/>
        </w:rPr>
        <w:t>T</w:t>
      </w:r>
      <w:r w:rsidR="00651191" w:rsidRPr="00EA15D8">
        <w:rPr>
          <w:noProof/>
          <w:color w:val="FF0000"/>
        </w:rPr>
        <w:t xml:space="preserve">he pivotal role of cost-sharing policies to share financial burdens among a wider set of different classes of stakeholders (including Suppliers, Long-haul Carriers, Retailers) and successfully implement advanced consolidation-based logistics strategies were widely evidenced in the literature </w:t>
      </w:r>
      <w:r w:rsidR="00651191" w:rsidRPr="00EA15D8">
        <w:rPr>
          <w:noProof/>
          <w:color w:val="FF0000"/>
        </w:rPr>
        <w:fldChar w:fldCharType="begin">
          <w:fldData xml:space="preserve">PEVuZE5vdGU+PENpdGU+PEF1dGhvcj5TY2hhZmZlcjwvQXV0aG9yPjxZZWFyPjIwMDA8L1llYXI+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</w:fldData>
        </w:fldChar>
      </w:r>
      <w:r w:rsidR="00651191" w:rsidRPr="00EA15D8">
        <w:rPr>
          <w:noProof/>
          <w:color w:val="FF0000"/>
        </w:rPr>
        <w:instrText xml:space="preserve"> ADDIN EN.CITE </w:instrText>
      </w:r>
      <w:r w:rsidR="00651191" w:rsidRPr="00EA15D8">
        <w:rPr>
          <w:noProof/>
          <w:color w:val="FF0000"/>
        </w:rPr>
        <w:fldChar w:fldCharType="begin">
          <w:fldData xml:space="preserve">PEVuZE5vdGU+PENpdGU+PEF1dGhvcj5TY2hhZmZlcjwvQXV0aG9yPjxZZWFyPjIwMDA8L1llYXI+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</w:fldData>
        </w:fldChar>
      </w:r>
      <w:r w:rsidR="00651191" w:rsidRPr="00EA15D8">
        <w:rPr>
          <w:noProof/>
          <w:color w:val="FF0000"/>
        </w:rPr>
        <w:instrText xml:space="preserve"> ADDIN EN.CITE.DATA </w:instrText>
      </w:r>
      <w:r w:rsidR="00651191" w:rsidRPr="00EA15D8">
        <w:rPr>
          <w:noProof/>
          <w:color w:val="FF0000"/>
        </w:rPr>
      </w:r>
      <w:r w:rsidR="00651191" w:rsidRPr="00EA15D8">
        <w:rPr>
          <w:noProof/>
          <w:color w:val="FF0000"/>
        </w:rPr>
        <w:fldChar w:fldCharType="end"/>
      </w:r>
      <w:r w:rsidR="00651191" w:rsidRPr="00EA15D8">
        <w:rPr>
          <w:noProof/>
          <w:color w:val="FF0000"/>
        </w:rPr>
      </w:r>
      <w:r w:rsidR="00651191" w:rsidRPr="00EA15D8">
        <w:rPr>
          <w:noProof/>
          <w:color w:val="FF0000"/>
        </w:rPr>
        <w:fldChar w:fldCharType="separate"/>
      </w:r>
      <w:r w:rsidR="00651191" w:rsidRPr="00EA15D8">
        <w:rPr>
          <w:color w:val="FF0000"/>
        </w:rPr>
        <w:t>(Schaffer, 2000, Kurnia and Johnston, 2001, Guajardo and Rönnqvist, 2016, Verdonck et al., 2016)</w:t>
      </w:r>
      <w:r w:rsidR="00651191" w:rsidRPr="00EA15D8">
        <w:rPr>
          <w:noProof/>
          <w:color w:val="FF0000"/>
        </w:rPr>
        <w:fldChar w:fldCharType="end"/>
      </w:r>
      <w:r w:rsidR="00651191">
        <w:rPr>
          <w:noProof/>
          <w:color w:val="FF0000"/>
        </w:rPr>
        <w:t>.</w:t>
      </w:r>
    </w:p>
    <w:p w14:paraId="1FA03858" w14:textId="77777777" w:rsidR="005E2AB5" w:rsidRPr="005E2AB5" w:rsidRDefault="005E2AB5" w:rsidP="005E2AB5">
      <w:pPr>
        <w:spacing w:after="240" w:line="360" w:lineRule="auto"/>
        <w:rPr>
          <w:rStyle w:val="fontstyle01"/>
          <w:rFonts w:ascii="Times New Roman" w:hAnsi="Times New Roman" w:cs="Times New Roman"/>
          <w:color w:val="FF0000"/>
        </w:rPr>
      </w:pPr>
      <w:r w:rsidRPr="005E2AB5">
        <w:rPr>
          <w:rFonts w:cs="Times New Roman"/>
          <w:color w:val="FF0000"/>
        </w:rPr>
        <w:t xml:space="preserve">As such, cost allocation rules should span across individual stakeholders’ business boundaries, implementing </w:t>
      </w:r>
      <w:r w:rsidRPr="005E2AB5">
        <w:rPr>
          <w:rFonts w:cs="Times New Roman"/>
          <w:i/>
          <w:color w:val="FF0000"/>
        </w:rPr>
        <w:t>extended responsibility</w:t>
      </w:r>
      <w:r w:rsidRPr="005E2AB5">
        <w:rPr>
          <w:rFonts w:cs="Times New Roman"/>
          <w:color w:val="FF0000"/>
        </w:rPr>
        <w:t xml:space="preserve"> rules capable of providing a comprehensive view of the whole logistics chain. Also, c</w:t>
      </w:r>
      <w:r w:rsidRPr="005E2AB5">
        <w:rPr>
          <w:rStyle w:val="fontstyle01"/>
          <w:rFonts w:ascii="Times New Roman" w:hAnsi="Times New Roman" w:cs="Times New Roman"/>
          <w:color w:val="FF0000"/>
        </w:rPr>
        <w:t xml:space="preserve">ost allocation mechanisms should provide rules for sharing the overall cost of the logistical activities taking place within the UCC network, involving all </w:t>
      </w:r>
      <w:r w:rsidRPr="005E2AB5">
        <w:rPr>
          <w:rStyle w:val="fontstyle01"/>
          <w:rFonts w:ascii="Times New Roman" w:hAnsi="Times New Roman" w:cs="Times New Roman"/>
          <w:color w:val="FF0000"/>
        </w:rPr>
        <w:lastRenderedPageBreak/>
        <w:t xml:space="preserve">stakeholders in a multi-tier position according to fairness and efficiency principles. In practice, </w:t>
      </w:r>
      <w:r w:rsidRPr="005E2AB5">
        <w:rPr>
          <w:rFonts w:cs="Times New Roman"/>
          <w:color w:val="FF0000"/>
        </w:rPr>
        <w:t xml:space="preserve">complex negotiations are required to enable the distribution of costs and benefits among agents </w:t>
      </w:r>
      <w:r w:rsidRPr="005E2AB5">
        <w:rPr>
          <w:rFonts w:cs="Times New Roman"/>
          <w:color w:val="FF0000"/>
        </w:rPr>
        <w:fldChar w:fldCharType="begin"/>
      </w:r>
      <w:r w:rsidRPr="005E2AB5">
        <w:rPr>
          <w:rFonts w:cs="Times New Roman"/>
          <w:color w:val="FF0000"/>
        </w:rPr>
        <w:instrText xml:space="preserve"> ADDIN EN.CITE &lt;EndNote&gt;&lt;Cite&gt;&lt;Author&gt;Kurnia&lt;/Author&gt;&lt;Year&gt;2001&lt;/Year&gt;&lt;RecNum&gt;228&lt;/RecNum&gt;&lt;DisplayText&gt;(Kurnia and Johnston, 2001)&lt;/DisplayText&gt;&lt;record&gt;&lt;rec-number&gt;228&lt;/rec-number&gt;&lt;foreign-keys&gt;&lt;key app="EN" db-id="x5etaz5aiszvz0edasvvpwvotttxepvd25t2" timestamp="1611177411"&gt;228&lt;/key&gt;&lt;/foreign-keys&gt;&lt;ref-type name="Journal Article"&gt;17&lt;/ref-type&gt;&lt;contributors&gt;&lt;authors&gt;&lt;author&gt;Kurnia, Sherah&lt;/author&gt;&lt;author&gt;Johnston, Robert B.&lt;/author&gt;&lt;/authors&gt;&lt;/contributors&gt;&lt;titles&gt;&lt;title&gt;Adoption of efficient consumer response: the issue of mutuality&lt;/title&gt;&lt;secondary-title&gt;Supply Chain Management: An International Journal&lt;/secondary-title&gt;&lt;/titles&gt;&lt;periodical&gt;&lt;full-title&gt;Supply Chain Management: An International Journal&lt;/full-title&gt;&lt;/periodical&gt;&lt;pages&gt;230-241&lt;/pages&gt;&lt;volume&gt;6&lt;/volume&gt;&lt;number&gt;5&lt;/number&gt;&lt;keywords&gt;&lt;keyword&gt;Grocery&lt;/keyword&gt;&lt;keyword&gt;Consumer Behaviour&lt;/keyword&gt;&lt;keyword&gt;Australia&lt;/keyword&gt;&lt;keyword&gt;Case Studies&lt;/keyword&gt;&lt;keyword&gt;Response Rate&lt;/keyword&gt;&lt;/keywords&gt;&lt;dates&gt;&lt;year&gt;2001&lt;/year&gt;&lt;pub-dates&gt;&lt;date&gt;//&lt;/date&gt;&lt;/pub-dates&gt;&lt;/dates&gt;&lt;urls&gt;&lt;related-urls&gt;&lt;url&gt;https://www.ingentaconnect.com/content/mcb/177/2001/00000006/00000005/art00005&lt;/url&gt;&lt;url&gt;https://doi.org/10.1108/13598540110407778&lt;/url&gt;&lt;/related-urls&gt;&lt;/urls&gt;&lt;electronic-resource-num&gt;10.1108/13598540110407778&lt;/electronic-resource-num&gt;&lt;/record&gt;&lt;/Cite&gt;&lt;/EndNote&gt;</w:instrText>
      </w:r>
      <w:r w:rsidRPr="005E2AB5">
        <w:rPr>
          <w:rFonts w:cs="Times New Roman"/>
          <w:color w:val="FF0000"/>
        </w:rPr>
        <w:fldChar w:fldCharType="separate"/>
      </w:r>
      <w:r w:rsidRPr="005E2AB5">
        <w:rPr>
          <w:rFonts w:cs="Times New Roman"/>
          <w:noProof/>
          <w:color w:val="FF0000"/>
        </w:rPr>
        <w:t>(Kurnia and Johnston, 2001)</w:t>
      </w:r>
      <w:r w:rsidRPr="005E2AB5">
        <w:rPr>
          <w:rFonts w:cs="Times New Roman"/>
          <w:color w:val="FF0000"/>
        </w:rPr>
        <w:fldChar w:fldCharType="end"/>
      </w:r>
      <w:r w:rsidRPr="005E2AB5">
        <w:rPr>
          <w:rFonts w:cs="Times New Roman"/>
          <w:color w:val="FF0000"/>
        </w:rPr>
        <w:t xml:space="preserve">. Considering this, </w:t>
      </w:r>
      <w:r w:rsidRPr="005E2AB5">
        <w:rPr>
          <w:rStyle w:val="fontstyle01"/>
          <w:rFonts w:ascii="Times New Roman" w:hAnsi="Times New Roman" w:cs="Times New Roman"/>
          <w:color w:val="FF0000"/>
        </w:rPr>
        <w:t xml:space="preserve">models and methods aimed at performing such allocations could be of help to </w:t>
      </w:r>
      <w:proofErr w:type="gramStart"/>
      <w:r w:rsidRPr="005E2AB5">
        <w:rPr>
          <w:rStyle w:val="fontstyle01"/>
          <w:rFonts w:ascii="Times New Roman" w:hAnsi="Times New Roman" w:cs="Times New Roman"/>
          <w:color w:val="FF0000"/>
        </w:rPr>
        <w:t>policy-makers</w:t>
      </w:r>
      <w:proofErr w:type="gramEnd"/>
      <w:r w:rsidRPr="005E2AB5">
        <w:rPr>
          <w:rStyle w:val="fontstyle01"/>
          <w:rFonts w:ascii="Times New Roman" w:hAnsi="Times New Roman" w:cs="Times New Roman"/>
          <w:color w:val="FF0000"/>
        </w:rPr>
        <w:t xml:space="preserve"> willing to adopt UCC solutions in urban contexts. </w:t>
      </w:r>
    </w:p>
    <w:p w14:paraId="609E5BE3" w14:textId="77777777" w:rsidR="005E2AB5" w:rsidRPr="00631DA4" w:rsidRDefault="005E2AB5" w:rsidP="005E2AB5">
      <w:pPr>
        <w:spacing w:after="240" w:line="360" w:lineRule="auto"/>
        <w:rPr>
          <w:rFonts w:cs="Times New Roman"/>
          <w:color w:val="000000" w:themeColor="text1"/>
        </w:rPr>
      </w:pPr>
      <w:r w:rsidRPr="005E2AB5">
        <w:rPr>
          <w:rFonts w:cs="Times New Roman"/>
          <w:color w:val="FF0000"/>
        </w:rPr>
        <w:fldChar w:fldCharType="begin">
          <w:fldData xml:space="preserve">PEVuZE5vdGU+PENpdGUgQXV0aG9yWWVhcj0iMSI+PEF1dGhvcj5HdWFqYXJkbzwvQXV0aG9yPjxZ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</w:fldData>
        </w:fldChar>
      </w:r>
      <w:r w:rsidRPr="005E2AB5">
        <w:rPr>
          <w:rFonts w:cs="Times New Roman"/>
          <w:color w:val="FF0000"/>
        </w:rPr>
        <w:instrText xml:space="preserve"> ADDIN EN.CITE </w:instrText>
      </w:r>
      <w:r w:rsidRPr="005E2AB5">
        <w:rPr>
          <w:rFonts w:cs="Times New Roman"/>
          <w:color w:val="FF0000"/>
        </w:rPr>
        <w:fldChar w:fldCharType="begin">
          <w:fldData xml:space="preserve">PEVuZE5vdGU+PENpdGUgQXV0aG9yWWVhcj0iMSI+PEF1dGhvcj5HdWFqYXJkbzwvQXV0aG9yPjxZ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</w:fldData>
        </w:fldChar>
      </w:r>
      <w:r w:rsidRPr="005E2AB5">
        <w:rPr>
          <w:rFonts w:cs="Times New Roman"/>
          <w:color w:val="FF0000"/>
        </w:rPr>
        <w:instrText xml:space="preserve"> ADDIN EN.CITE.DATA </w:instrText>
      </w:r>
      <w:r w:rsidRPr="005E2AB5">
        <w:rPr>
          <w:rFonts w:cs="Times New Roman"/>
          <w:color w:val="FF0000"/>
        </w:rPr>
      </w:r>
      <w:r w:rsidRPr="005E2AB5">
        <w:rPr>
          <w:rFonts w:cs="Times New Roman"/>
          <w:color w:val="FF0000"/>
        </w:rPr>
        <w:fldChar w:fldCharType="end"/>
      </w:r>
      <w:r w:rsidRPr="005E2AB5">
        <w:rPr>
          <w:rFonts w:cs="Times New Roman"/>
          <w:color w:val="FF0000"/>
        </w:rPr>
      </w:r>
      <w:r w:rsidRPr="005E2AB5">
        <w:rPr>
          <w:rFonts w:cs="Times New Roman"/>
          <w:color w:val="FF0000"/>
        </w:rPr>
        <w:fldChar w:fldCharType="separate"/>
      </w:r>
      <w:r w:rsidRPr="005E2AB5">
        <w:rPr>
          <w:rFonts w:cs="Times New Roman"/>
          <w:noProof/>
          <w:color w:val="FF0000"/>
        </w:rPr>
        <w:t>Guajardo and Rönnqvist (2016)</w:t>
      </w:r>
      <w:r w:rsidRPr="005E2AB5">
        <w:rPr>
          <w:rFonts w:cs="Times New Roman"/>
          <w:color w:val="FF0000"/>
        </w:rPr>
        <w:fldChar w:fldCharType="end"/>
      </w:r>
      <w:r w:rsidRPr="005E2AB5">
        <w:rPr>
          <w:rFonts w:cs="Times New Roman"/>
          <w:color w:val="FF0000"/>
        </w:rPr>
        <w:t xml:space="preserve"> </w:t>
      </w:r>
      <w:r w:rsidRPr="005E2AB5">
        <w:rPr>
          <w:rFonts w:cs="Times New Roman"/>
          <w:noProof/>
          <w:color w:val="FF0000"/>
        </w:rPr>
        <w:t>performed a very detailed review of</w:t>
      </w:r>
      <w:r w:rsidRPr="005E2AB5">
        <w:rPr>
          <w:rFonts w:cs="Times New Roman"/>
          <w:color w:val="FF0000"/>
        </w:rPr>
        <w:t xml:space="preserve"> cost-allocation methods in transportation problems, albeit not restricting their focus to the urban setting (and, therefore, to UCCs). </w:t>
      </w:r>
      <w:proofErr w:type="gramStart"/>
      <w:r w:rsidRPr="005E2AB5">
        <w:rPr>
          <w:rFonts w:cs="Times New Roman"/>
          <w:color w:val="FF0000"/>
          <w:lang w:val="en-US"/>
        </w:rPr>
        <w:t>In particular, collaboration</w:t>
      </w:r>
      <w:proofErr w:type="gramEnd"/>
      <w:r w:rsidRPr="005E2AB5">
        <w:rPr>
          <w:rFonts w:cs="Times New Roman"/>
          <w:color w:val="FF0000"/>
          <w:lang w:val="en-US"/>
        </w:rPr>
        <w:t xml:space="preserve"> or cooperation might be expressed through the willingness of sharing logistical resources or accepting the negative externalities due to freight transportation activities. </w:t>
      </w:r>
      <w:r w:rsidRPr="005E2AB5">
        <w:rPr>
          <w:rFonts w:cs="Times New Roman"/>
          <w:color w:val="FF0000"/>
        </w:rPr>
        <w:t xml:space="preserve">Cooperation might involve different tangible and intangible assets; </w:t>
      </w:r>
      <w:r w:rsidRPr="005E2AB5">
        <w:rPr>
          <w:rFonts w:cs="Times New Roman"/>
          <w:color w:val="FF0000"/>
          <w:lang w:val="en-US"/>
        </w:rPr>
        <w:t>how to distribute profits or how to allocate costs is the key problem for setting up such collaborations</w:t>
      </w:r>
      <w:r w:rsidRPr="005E2AB5">
        <w:rPr>
          <w:rFonts w:cs="Times New Roman"/>
          <w:color w:val="FF0000"/>
        </w:rPr>
        <w:t xml:space="preserve">. According to </w:t>
      </w:r>
      <w:r w:rsidRPr="005E2AB5">
        <w:rPr>
          <w:rFonts w:cs="Times New Roman"/>
          <w:color w:val="FF0000"/>
        </w:rPr>
        <w:fldChar w:fldCharType="begin">
          <w:fldData xml:space="preserve">PEVuZE5vdGU+PENpdGUgQXV0aG9yWWVhcj0iMSI+PEF1dGhvcj5HdWFqYXJkbzwvQXV0aG9yPjxZ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</w:fldData>
        </w:fldChar>
      </w:r>
      <w:r w:rsidRPr="005E2AB5">
        <w:rPr>
          <w:rFonts w:cs="Times New Roman"/>
          <w:color w:val="FF0000"/>
        </w:rPr>
        <w:instrText xml:space="preserve"> ADDIN EN.CITE </w:instrText>
      </w:r>
      <w:r w:rsidRPr="005E2AB5">
        <w:rPr>
          <w:rFonts w:cs="Times New Roman"/>
          <w:color w:val="FF0000"/>
        </w:rPr>
        <w:fldChar w:fldCharType="begin">
          <w:fldData xml:space="preserve">PEVuZE5vdGU+PENpdGUgQXV0aG9yWWVhcj0iMSI+PEF1dGhvcj5HdWFqYXJkbzwvQXV0aG9yPjxZ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</w:fldData>
        </w:fldChar>
      </w:r>
      <w:r w:rsidRPr="005E2AB5">
        <w:rPr>
          <w:rFonts w:cs="Times New Roman"/>
          <w:color w:val="FF0000"/>
        </w:rPr>
        <w:instrText xml:space="preserve"> ADDIN EN.CITE.DATA </w:instrText>
      </w:r>
      <w:r w:rsidRPr="005E2AB5">
        <w:rPr>
          <w:rFonts w:cs="Times New Roman"/>
          <w:color w:val="FF0000"/>
        </w:rPr>
      </w:r>
      <w:r w:rsidRPr="005E2AB5">
        <w:rPr>
          <w:rFonts w:cs="Times New Roman"/>
          <w:color w:val="FF0000"/>
        </w:rPr>
        <w:fldChar w:fldCharType="end"/>
      </w:r>
      <w:r w:rsidRPr="005E2AB5">
        <w:rPr>
          <w:rFonts w:cs="Times New Roman"/>
          <w:color w:val="FF0000"/>
        </w:rPr>
      </w:r>
      <w:r w:rsidRPr="005E2AB5">
        <w:rPr>
          <w:rFonts w:cs="Times New Roman"/>
          <w:color w:val="FF0000"/>
        </w:rPr>
        <w:fldChar w:fldCharType="separate"/>
      </w:r>
      <w:r w:rsidRPr="005E2AB5">
        <w:rPr>
          <w:rFonts w:cs="Times New Roman"/>
          <w:noProof/>
          <w:color w:val="FF0000"/>
        </w:rPr>
        <w:t>Guajardo and Rönnqvist (2016)</w:t>
      </w:r>
      <w:r w:rsidRPr="005E2AB5">
        <w:rPr>
          <w:rFonts w:cs="Times New Roman"/>
          <w:color w:val="FF0000"/>
        </w:rPr>
        <w:fldChar w:fldCharType="end"/>
      </w:r>
      <w:r w:rsidRPr="005E2AB5">
        <w:rPr>
          <w:rFonts w:cs="Times New Roman"/>
          <w:color w:val="FF0000"/>
        </w:rPr>
        <w:t xml:space="preserve">, cooperative game-theoretical models are particularly suited for solving this type of problems. Within this context, the most employed game-theoretical approach is the one based on the concept of </w:t>
      </w:r>
      <w:r w:rsidRPr="005E2AB5">
        <w:rPr>
          <w:rFonts w:cs="Times New Roman"/>
          <w:i/>
          <w:color w:val="FF0000"/>
        </w:rPr>
        <w:t>core</w:t>
      </w:r>
      <w:r w:rsidRPr="005E2AB5">
        <w:rPr>
          <w:rFonts w:cs="Times New Roman"/>
          <w:color w:val="FF0000"/>
        </w:rPr>
        <w:t xml:space="preserve">. Such a concept (and its ad-hoc developed variations) appears one of the most naturally adaptable ones to the transportation context, given its property of </w:t>
      </w:r>
      <w:r w:rsidRPr="005E2AB5">
        <w:rPr>
          <w:rFonts w:cs="Times New Roman"/>
          <w:i/>
          <w:color w:val="FF0000"/>
        </w:rPr>
        <w:t>individual rationality</w:t>
      </w:r>
      <w:r w:rsidRPr="005E2AB5">
        <w:rPr>
          <w:rFonts w:cs="Times New Roman"/>
          <w:color w:val="FF0000"/>
        </w:rPr>
        <w:t>. Such a property can very naturally describe the desired</w:t>
      </w:r>
      <w:r w:rsidRPr="005E2AB5">
        <w:rPr>
          <w:rFonts w:cs="Times New Roman"/>
          <w:i/>
          <w:color w:val="FF0000"/>
        </w:rPr>
        <w:t xml:space="preserve"> tout court</w:t>
      </w:r>
      <w:r w:rsidRPr="005E2AB5">
        <w:rPr>
          <w:rFonts w:cs="Times New Roman"/>
          <w:color w:val="FF0000"/>
        </w:rPr>
        <w:t xml:space="preserve"> stability of the collaboration among the members of the logistical network (see, for instance: </w:t>
      </w:r>
      <w:r w:rsidRPr="005E2AB5">
        <w:rPr>
          <w:rFonts w:cs="Times New Roman"/>
          <w:color w:val="FF0000"/>
        </w:rPr>
        <w:fldChar w:fldCharType="begin"/>
      </w:r>
      <w:r w:rsidRPr="005E2AB5">
        <w:rPr>
          <w:rFonts w:cs="Times New Roman"/>
          <w:color w:val="FF0000"/>
        </w:rPr>
        <w:instrText xml:space="preserve"> ADDIN EN.CITE &lt;EndNote&gt;&lt;Cite AuthorYear="1"&gt;&lt;Author&gt;Dai&lt;/Author&gt;&lt;Year&gt;2012&lt;/Year&gt;&lt;RecNum&gt;241&lt;/RecNum&gt;&lt;DisplayText&gt;Dai and Chen (2012)&lt;/DisplayText&gt;&lt;record&gt;&lt;rec-number&gt;241&lt;/rec-number&gt;&lt;foreign-keys&gt;&lt;key app="EN" db-id="x5etaz5aiszvz0edasvvpwvotttxepvd25t2" timestamp="1611177959"&gt;241&lt;/key&gt;&lt;/foreign-keys&gt;&lt;ref-type name="Journal Article"&gt;17&lt;/ref-type&gt;&lt;contributors&gt;&lt;authors&gt;&lt;author&gt;Dai, Bo&lt;/author&gt;&lt;author&gt;Chen, Haoxun&lt;/author&gt;&lt;/authors&gt;&lt;/contributors&gt;&lt;titles&gt;&lt;title&gt;Profit allocation mechanisms for carrier collaboration in pickup and delivery service&lt;/title&gt;&lt;secondary-title&gt;Computers &amp;amp; Industrial Engineering&lt;/secondary-title&gt;&lt;/titles&gt;&lt;periodical&gt;&lt;full-title&gt;Computers &amp;amp; Industrial Engineering&lt;/full-title&gt;&lt;/periodical&gt;&lt;pages&gt;633-643&lt;/pages&gt;&lt;volume&gt;62&lt;/volume&gt;&lt;number&gt;2&lt;/number&gt;&lt;keywords&gt;&lt;keyword&gt;Collaborative logistics&lt;/keyword&gt;&lt;keyword&gt;Carrier collaboration&lt;/keyword&gt;&lt;keyword&gt;Profit allocation mechanism&lt;/keyword&gt;&lt;keyword&gt;Cooperative game&lt;/keyword&gt;&lt;/keywords&gt;&lt;dates&gt;&lt;year&gt;2012&lt;/year&gt;&lt;pub-dates&gt;&lt;date&gt;2012/03/01/&lt;/date&gt;&lt;/pub-dates&gt;&lt;/dates&gt;&lt;isbn&gt;0360-8352&lt;/isbn&gt;&lt;urls&gt;&lt;related-urls&gt;&lt;url&gt;http://www.sciencedirect.com/science/article/pii/S0360835211003524&lt;/url&gt;&lt;/related-urls&gt;&lt;/urls&gt;&lt;electronic-resource-num&gt;https://doi.org/10.1016/j.cie.2011.11.029&lt;/elect</w:instrText>
      </w:r>
      <w:r w:rsidRPr="00E0335F">
        <w:rPr>
          <w:rFonts w:cs="Times New Roman"/>
          <w:color w:val="FF0000"/>
          <w:lang w:val="it-IT"/>
        </w:rPr>
        <w:instrText>ronic-resource-num&gt;&lt;/record&gt;&lt;/Cite&gt;&lt;/EndNote&gt;</w:instrText>
      </w:r>
      <w:r w:rsidRPr="005E2AB5">
        <w:rPr>
          <w:rFonts w:cs="Times New Roman"/>
          <w:color w:val="FF0000"/>
        </w:rPr>
        <w:fldChar w:fldCharType="separate"/>
      </w:r>
      <w:r w:rsidRPr="00E0335F">
        <w:rPr>
          <w:rFonts w:cs="Times New Roman"/>
          <w:noProof/>
          <w:color w:val="FF0000"/>
          <w:lang w:val="it-IT"/>
        </w:rPr>
        <w:t>Dai and Chen (2012)</w:t>
      </w:r>
      <w:r w:rsidRPr="005E2AB5">
        <w:rPr>
          <w:rFonts w:cs="Times New Roman"/>
          <w:color w:val="FF0000"/>
        </w:rPr>
        <w:fldChar w:fldCharType="end"/>
      </w:r>
      <w:r w:rsidRPr="00E0335F">
        <w:rPr>
          <w:rFonts w:cs="Times New Roman"/>
          <w:color w:val="FF0000"/>
          <w:lang w:val="it-IT"/>
        </w:rPr>
        <w:t xml:space="preserve">, </w:t>
      </w:r>
      <w:r w:rsidRPr="005E2AB5">
        <w:rPr>
          <w:rFonts w:cs="Times New Roman"/>
          <w:color w:val="FF0000"/>
        </w:rPr>
        <w:fldChar w:fldCharType="begin"/>
      </w:r>
      <w:r w:rsidRPr="00E0335F">
        <w:rPr>
          <w:rFonts w:cs="Times New Roman"/>
          <w:color w:val="FF0000"/>
          <w:lang w:val="it-IT"/>
        </w:rPr>
        <w:instrText xml:space="preserve"> ADDIN EN.CITE &lt;EndNote&gt;&lt;Cite AuthorYear="1"&gt;&lt;Author&gt;Padilla Tinoco&lt;/Author&gt;&lt;Year&gt;2017&lt;/Year&gt;&lt;RecNum&gt;242&lt;/RecNum&gt;&lt;DisplayText&gt;Padilla Tinoco et al. (2017)&lt;/DisplayText&gt;&lt;record&gt;&lt;rec-number&gt;242&lt;/rec-number&gt;&lt;foreign-keys&gt;&lt;key app="EN" db-id="x5etaz5aiszvz0edasvvpwvotttxepvd25t2" timestamp="1611178013"&gt;242&lt;/key&gt;&lt;/foreign-keys&gt;&lt;ref-type name="Journal Article"&gt;17&lt;/ref-type&gt;&lt;contributors&gt;&lt;authors&gt;&lt;author&gt;Padilla Tinoco, S</w:instrText>
      </w:r>
      <w:r w:rsidRPr="005E2AB5">
        <w:rPr>
          <w:rFonts w:cs="Times New Roman"/>
          <w:color w:val="FF0000"/>
          <w:lang w:val="it-IT"/>
        </w:rPr>
        <w:instrText>ilvia Valeria&lt;/author&gt;&lt;author&gt;Creemers, Stefan&lt;/author&gt;&lt;author&gt;Boute, Robert N.&lt;/author&gt;&lt;/authors&gt;&lt;/contributors&gt;&lt;titles&gt;&lt;title&gt;Collaborative shipping under different cost-sharing agreements&lt;/title&gt;&lt;secondary-title&gt;European Journal of Operational Research&lt;/secondary-title&gt;&lt;/titles&gt;&lt;periodical&gt;&lt;full-title&gt;European Journal of Operational Research&lt;/full-title&gt;&lt;abbr-1&gt;Eur J Oper Res&lt;/abbr-1&gt;&lt;/periodical&gt;&lt;pages&gt;827-837&lt;/pages&gt;&lt;volume&gt;263&lt;/volume&gt;&lt;number&gt;3&lt;/number&gt;&lt;keywords&gt;&lt;keyword&gt;Supply chain management&lt;/keyword&gt;&lt;keyword&gt;Horizontal collaboration&lt;/keyword&gt;&lt;keyword&gt;Joint replenishment&lt;/keyword&gt;&lt;keyword&gt;Can-order policy&lt;/keyword&gt;&lt;keyword&gt;Gain sharing&lt;/keyword&gt;&lt;/keywords&gt;&lt;dates&gt;&lt;year&gt;2017&lt;/year&gt;&lt;pub-dates&gt;&lt;date&gt;2017/12/16/&lt;/date&gt;&lt;/pub-dates&gt;&lt;/dates&gt;&lt;isbn&gt;0377-2217&lt;/isbn&gt;&lt;urls&gt;&lt;related-urls&gt;&lt;url&gt;http://www.sciencedirect.com/science/article/pii/S0377221717304411&lt;/url&gt;&lt;/related-urls&gt;&lt;/urls&gt;&lt;electronic-resource-num&gt;https://doi.org/10.1016/j.ejor.2017.05.013&lt;/electronic-resource-num&gt;&lt;/record&gt;&lt;/Cite&gt;&lt;/EndNote&gt;</w:instrText>
      </w:r>
      <w:r w:rsidRPr="005E2AB5">
        <w:rPr>
          <w:rFonts w:cs="Times New Roman"/>
          <w:color w:val="FF0000"/>
        </w:rPr>
        <w:fldChar w:fldCharType="separate"/>
      </w:r>
      <w:r w:rsidRPr="005E2AB5">
        <w:rPr>
          <w:rFonts w:cs="Times New Roman"/>
          <w:noProof/>
          <w:color w:val="FF0000"/>
          <w:lang w:val="it-IT"/>
        </w:rPr>
        <w:t>Padilla Tinoco et al. (2017)</w:t>
      </w:r>
      <w:r w:rsidRPr="005E2AB5">
        <w:rPr>
          <w:rFonts w:cs="Times New Roman"/>
          <w:color w:val="FF0000"/>
        </w:rPr>
        <w:fldChar w:fldCharType="end"/>
      </w:r>
      <w:r w:rsidRPr="005E2AB5">
        <w:rPr>
          <w:rFonts w:cs="Times New Roman"/>
          <w:color w:val="FF0000"/>
          <w:lang w:val="it-IT"/>
        </w:rPr>
        <w:t xml:space="preserve">, </w:t>
      </w:r>
      <w:r w:rsidRPr="005E2AB5">
        <w:rPr>
          <w:rFonts w:cs="Times New Roman"/>
          <w:color w:val="FF0000"/>
        </w:rPr>
        <w:fldChar w:fldCharType="begin"/>
      </w:r>
      <w:r w:rsidRPr="005E2AB5">
        <w:rPr>
          <w:rFonts w:cs="Times New Roman"/>
          <w:color w:val="FF0000"/>
          <w:lang w:val="it-IT"/>
        </w:rPr>
        <w:instrText xml:space="preserve"> ADDIN EN.CITE &lt;EndNote&gt;&lt;Cite AuthorYear="1"&gt;&lt;Author&gt;Hezarkhani&lt;/Author&gt;&lt;Year&gt;2019&lt;/Year&gt;&lt;RecNum&gt;243&lt;/RecNum&gt;&lt;DisplayText&gt;Hezarkhani et al. (2019)&lt;/DisplayText&gt;&lt;record&gt;&lt;rec-number&gt;243&lt;/rec-number&gt;&lt;foreign-keys&gt;&lt;key app="EN" db-id="x5etaz5aiszvz0edasvvpwvotttxepvd25t2" timestamp="1611178073"&gt;243&lt;/key&gt;&lt;/foreign-keys&gt;&lt;ref-type name="Journal Article"&gt;17&lt;/ref-type&gt;&lt;contributors&gt;&lt;authors&gt;&lt;author&gt;Hezarkhani, Behzad&lt;/author&gt;&lt;author&gt;Slikker, Marco&lt;/author&gt;&lt;author&gt;Van Woensel, Tom&lt;/author&gt;&lt;/authors&gt;&lt;/contributors&gt;&lt;titles&gt;&lt;title&gt;Gain-sharing in urban consolidation centers&lt;/title&gt;&lt;secondary-title&gt;European Journal of Operational Research&lt;/secondary-title&gt;&lt;/titles&gt;&lt;periodical&gt;&lt;full-title&gt;European Journal of Operational Research&lt;/full-title&gt;&lt;abbr-1&gt;Eur J Oper Res&lt;/abbr-1&gt;&lt;/periodical&gt;&lt;pages&gt;380-392&lt;/pages&gt;&lt;volume&gt;279&lt;/volume&gt;&lt;number&gt;2&lt;/number&gt;&lt;keywords&gt;&lt;keyword&gt;Game theory&lt;/keyword&gt;&lt;keyword&gt;Last mile logistics&lt;/keyword&gt;&lt;keyword&gt;Urban consolidation centers&lt;/keyword&gt;&lt;keyword&gt;Gain-sharing&lt;/keyword&gt;&lt;keyword&gt;Core&lt;/keyword&gt;&lt;/keywords&gt;&lt;dates&gt;&lt;year&gt;2019&lt;/year&gt;&lt;pub-dates&gt;&lt;date&gt;2019/12/01/&lt;/date&gt;&lt;/pub-dates&gt;&lt;/dates&gt;&lt;isbn&gt;0377-2217&lt;/isbn&gt;&lt;urls&gt;&lt;related-urls&gt;&lt;url&gt;http://www.sciencedirect.com/science/article/pii/S037722171930445X&lt;/url&gt;&lt;/related-urls&gt;&lt;/urls&gt;&lt;electronic-resource-num&gt;https://doi.org/10.1016/j.ejor.2019.05.028&lt;/electronic-resource-num&gt;&lt;/record&gt;&lt;/Cite&gt;&lt;/EndNote&gt;</w:instrText>
      </w:r>
      <w:r w:rsidRPr="005E2AB5">
        <w:rPr>
          <w:rFonts w:cs="Times New Roman"/>
          <w:color w:val="FF0000"/>
        </w:rPr>
        <w:fldChar w:fldCharType="separate"/>
      </w:r>
      <w:r w:rsidRPr="005E2AB5">
        <w:rPr>
          <w:rFonts w:cs="Times New Roman"/>
          <w:noProof/>
          <w:color w:val="FF0000"/>
          <w:lang w:val="it-IT"/>
        </w:rPr>
        <w:t xml:space="preserve">Hezarkhani et al. </w:t>
      </w:r>
      <w:r w:rsidRPr="005E2AB5">
        <w:rPr>
          <w:rFonts w:cs="Times New Roman"/>
          <w:noProof/>
          <w:color w:val="FF0000"/>
        </w:rPr>
        <w:t>(2019)</w:t>
      </w:r>
      <w:r w:rsidRPr="005E2AB5">
        <w:rPr>
          <w:rFonts w:cs="Times New Roman"/>
          <w:color w:val="FF0000"/>
        </w:rPr>
        <w:fldChar w:fldCharType="end"/>
      </w:r>
      <w:r w:rsidRPr="005E2AB5">
        <w:rPr>
          <w:rFonts w:cs="Times New Roman"/>
          <w:color w:val="FF0000"/>
        </w:rPr>
        <w:t>).</w:t>
      </w:r>
    </w:p>
    <w:p w14:paraId="3637FE17" w14:textId="77777777" w:rsidR="005E2AB5" w:rsidRPr="00F2410E" w:rsidRDefault="005E2AB5" w:rsidP="005E2AB5">
      <w:pPr>
        <w:spacing w:after="240" w:line="360" w:lineRule="auto"/>
        <w:rPr>
          <w:rFonts w:cs="Times New Roman"/>
          <w:color w:val="FF0000"/>
        </w:rPr>
      </w:pPr>
      <w:r w:rsidRPr="00F2410E">
        <w:rPr>
          <w:rStyle w:val="fontstyle01"/>
          <w:rFonts w:ascii="Times New Roman" w:hAnsi="Times New Roman" w:cs="Times New Roman"/>
          <w:color w:val="FF0000"/>
        </w:rPr>
        <w:t>Let (</w:t>
      </w:r>
      <w:proofErr w:type="spellStart"/>
      <w:proofErr w:type="gramStart"/>
      <w:r w:rsidRPr="00F2410E">
        <w:rPr>
          <w:rStyle w:val="fontstyle01"/>
          <w:rFonts w:ascii="Times New Roman" w:hAnsi="Times New Roman" w:cs="Times New Roman"/>
          <w:i/>
          <w:color w:val="FF0000"/>
        </w:rPr>
        <w:t>N</w:t>
      </w:r>
      <w:r w:rsidRPr="00F2410E">
        <w:rPr>
          <w:rStyle w:val="fontstyle01"/>
          <w:rFonts w:ascii="Times New Roman" w:hAnsi="Times New Roman" w:cs="Times New Roman"/>
          <w:color w:val="FF0000"/>
        </w:rPr>
        <w:t>,</w:t>
      </w:r>
      <w:r w:rsidRPr="00F2410E">
        <w:rPr>
          <w:rStyle w:val="fontstyle01"/>
          <w:rFonts w:ascii="Times New Roman" w:hAnsi="Times New Roman" w:cs="Times New Roman"/>
          <w:i/>
          <w:color w:val="FF0000"/>
        </w:rPr>
        <w:t>υ</w:t>
      </w:r>
      <w:proofErr w:type="spellEnd"/>
      <w:proofErr w:type="gramEnd"/>
      <w:r w:rsidRPr="00F2410E">
        <w:rPr>
          <w:rStyle w:val="fontstyle01"/>
          <w:rFonts w:ascii="Times New Roman" w:hAnsi="Times New Roman" w:cs="Times New Roman"/>
          <w:color w:val="FF0000"/>
        </w:rPr>
        <w:t xml:space="preserve">) be a pair where </w:t>
      </w:r>
      <w:r w:rsidRPr="00F2410E">
        <w:rPr>
          <w:rStyle w:val="fontstyle01"/>
          <w:rFonts w:ascii="Times New Roman" w:hAnsi="Times New Roman" w:cs="Times New Roman"/>
          <w:i/>
          <w:color w:val="FF0000"/>
        </w:rPr>
        <w:t>N</w:t>
      </w:r>
      <w:r w:rsidRPr="00F2410E">
        <w:rPr>
          <w:rStyle w:val="fontstyle01"/>
          <w:rFonts w:ascii="Times New Roman" w:hAnsi="Times New Roman" w:cs="Times New Roman"/>
          <w:color w:val="FF0000"/>
        </w:rPr>
        <w:t xml:space="preserve"> is the set of players and the function </w:t>
      </w:r>
      <w:r w:rsidRPr="00F2410E">
        <w:rPr>
          <w:rStyle w:val="fontstyle01"/>
          <w:rFonts w:ascii="Times New Roman" w:hAnsi="Times New Roman" w:cs="Times New Roman"/>
          <w:i/>
          <w:color w:val="FF0000"/>
        </w:rPr>
        <w:t>υ</w:t>
      </w:r>
      <w:r w:rsidRPr="00F2410E">
        <w:rPr>
          <w:rStyle w:val="fontstyle01"/>
          <w:rFonts w:ascii="Times New Roman" w:hAnsi="Times New Roman" w:cs="Times New Roman"/>
          <w:color w:val="FF0000"/>
        </w:rPr>
        <w:t xml:space="preserve"> is defined of the superset of </w:t>
      </w:r>
      <w:r w:rsidRPr="00F2410E">
        <w:rPr>
          <w:rStyle w:val="fontstyle01"/>
          <w:rFonts w:ascii="Times New Roman" w:hAnsi="Times New Roman" w:cs="Times New Roman"/>
          <w:i/>
          <w:color w:val="FF0000"/>
        </w:rPr>
        <w:t>N</w:t>
      </w:r>
      <w:r w:rsidRPr="00F2410E">
        <w:rPr>
          <w:rStyle w:val="fontstyle01"/>
          <w:rFonts w:ascii="Times New Roman" w:hAnsi="Times New Roman" w:cs="Times New Roman"/>
          <w:color w:val="FF0000"/>
        </w:rPr>
        <w:t xml:space="preserve">. The function </w:t>
      </w:r>
      <w:r w:rsidRPr="00F2410E">
        <w:rPr>
          <w:rStyle w:val="fontstyle01"/>
          <w:rFonts w:ascii="Times New Roman" w:hAnsi="Times New Roman" w:cs="Times New Roman"/>
          <w:i/>
          <w:color w:val="FF0000"/>
        </w:rPr>
        <w:t>υ(T)</w:t>
      </w:r>
      <w:r w:rsidRPr="00F2410E">
        <w:rPr>
          <w:rStyle w:val="fontstyle01"/>
          <w:rFonts w:ascii="Times New Roman" w:hAnsi="Times New Roman" w:cs="Times New Roman"/>
          <w:color w:val="FF0000"/>
        </w:rPr>
        <w:t xml:space="preserve"> describes the value of collaboration of players </w:t>
      </w:r>
      <w:proofErr w:type="gramStart"/>
      <w:r w:rsidRPr="00F2410E">
        <w:rPr>
          <w:rStyle w:val="fontstyle01"/>
          <w:rFonts w:ascii="Times New Roman" w:hAnsi="Times New Roman" w:cs="Times New Roman"/>
          <w:color w:val="FF0000"/>
        </w:rPr>
        <w:t>in a given</w:t>
      </w:r>
      <w:proofErr w:type="gramEnd"/>
      <w:r w:rsidRPr="00F2410E">
        <w:rPr>
          <w:rStyle w:val="fontstyle01"/>
          <w:rFonts w:ascii="Times New Roman" w:hAnsi="Times New Roman" w:cs="Times New Roman"/>
          <w:color w:val="FF0000"/>
        </w:rPr>
        <w:t xml:space="preserve"> subset </w:t>
      </w:r>
      <w:r w:rsidRPr="00F2410E">
        <w:rPr>
          <w:rStyle w:val="fontstyle01"/>
          <w:rFonts w:ascii="Times New Roman" w:hAnsi="Times New Roman" w:cs="Times New Roman"/>
          <w:i/>
          <w:color w:val="FF0000"/>
        </w:rPr>
        <w:t>T</w:t>
      </w:r>
      <w:r w:rsidRPr="00F2410E">
        <w:rPr>
          <w:rStyle w:val="fontstyle01"/>
          <w:rFonts w:ascii="Cambria Math" w:hAnsi="Cambria Math" w:cs="Cambria Math"/>
          <w:i/>
          <w:color w:val="FF0000"/>
        </w:rPr>
        <w:t>⊆</w:t>
      </w:r>
      <w:r w:rsidRPr="00F2410E">
        <w:rPr>
          <w:rStyle w:val="fontstyle01"/>
          <w:rFonts w:ascii="Times New Roman" w:hAnsi="Times New Roman" w:cs="Times New Roman"/>
          <w:i/>
          <w:color w:val="FF0000"/>
        </w:rPr>
        <w:t>N</w:t>
      </w:r>
      <w:r w:rsidRPr="00F2410E">
        <w:rPr>
          <w:rStyle w:val="fontstyle01"/>
          <w:rFonts w:ascii="Times New Roman" w:hAnsi="Times New Roman" w:cs="Times New Roman"/>
          <w:color w:val="FF0000"/>
        </w:rPr>
        <w:t>.</w:t>
      </w:r>
      <w:r w:rsidRPr="00F2410E">
        <w:rPr>
          <w:rFonts w:cs="Times New Roman"/>
          <w:color w:val="FF0000"/>
        </w:rPr>
        <w:t xml:space="preserve"> The pair </w:t>
      </w:r>
      <w:r w:rsidRPr="00F2410E">
        <w:rPr>
          <w:rStyle w:val="fontstyle01"/>
          <w:rFonts w:ascii="Times New Roman" w:hAnsi="Times New Roman" w:cs="Times New Roman"/>
          <w:color w:val="FF0000"/>
        </w:rPr>
        <w:t>(</w:t>
      </w:r>
      <w:proofErr w:type="spellStart"/>
      <w:proofErr w:type="gramStart"/>
      <w:r w:rsidRPr="00F2410E">
        <w:rPr>
          <w:rStyle w:val="fontstyle01"/>
          <w:rFonts w:ascii="Times New Roman" w:hAnsi="Times New Roman" w:cs="Times New Roman"/>
          <w:i/>
          <w:color w:val="FF0000"/>
        </w:rPr>
        <w:t>N</w:t>
      </w:r>
      <w:r w:rsidRPr="00F2410E">
        <w:rPr>
          <w:rStyle w:val="fontstyle01"/>
          <w:rFonts w:ascii="Times New Roman" w:hAnsi="Times New Roman" w:cs="Times New Roman"/>
          <w:color w:val="FF0000"/>
        </w:rPr>
        <w:t>,</w:t>
      </w:r>
      <w:r w:rsidRPr="00F2410E">
        <w:rPr>
          <w:rStyle w:val="fontstyle01"/>
          <w:rFonts w:ascii="Times New Roman" w:hAnsi="Times New Roman" w:cs="Times New Roman"/>
          <w:i/>
          <w:color w:val="FF0000"/>
        </w:rPr>
        <w:t>υ</w:t>
      </w:r>
      <w:proofErr w:type="spellEnd"/>
      <w:proofErr w:type="gramEnd"/>
      <w:r w:rsidRPr="00F2410E">
        <w:rPr>
          <w:rStyle w:val="fontstyle01"/>
          <w:rFonts w:ascii="Times New Roman" w:hAnsi="Times New Roman" w:cs="Times New Roman"/>
          <w:color w:val="FF0000"/>
        </w:rPr>
        <w:t>) is called a Transferable Utility (TU) game.</w:t>
      </w:r>
      <w:r w:rsidRPr="00F2410E">
        <w:rPr>
          <w:rFonts w:cs="Times New Roman"/>
          <w:color w:val="FF0000"/>
        </w:rPr>
        <w:t xml:space="preserve"> Classical solutions </w:t>
      </w:r>
      <w:r w:rsidRPr="00F2410E">
        <w:rPr>
          <w:rFonts w:cs="Times New Roman"/>
          <w:iCs/>
          <w:color w:val="FF0000"/>
        </w:rPr>
        <w:t>address an aggregation issue, trying to summarise information from TU games into single allocations/payoffs assigned to each of the players.</w:t>
      </w:r>
      <w:r w:rsidRPr="00F2410E">
        <w:rPr>
          <w:rFonts w:cs="Times New Roman"/>
          <w:color w:val="FF0000"/>
        </w:rPr>
        <w:t xml:space="preserve"> Within this context, the </w:t>
      </w:r>
      <w:r w:rsidRPr="00F2410E">
        <w:rPr>
          <w:rFonts w:cs="Times New Roman"/>
          <w:i/>
          <w:color w:val="FF0000"/>
        </w:rPr>
        <w:t>individual rationality</w:t>
      </w:r>
      <w:r w:rsidRPr="00F2410E">
        <w:rPr>
          <w:rFonts w:cs="Times New Roman"/>
          <w:color w:val="FF0000"/>
        </w:rPr>
        <w:t xml:space="preserve"> property of the </w:t>
      </w:r>
      <w:r w:rsidRPr="00F2410E">
        <w:rPr>
          <w:rFonts w:cs="Times New Roman"/>
          <w:i/>
          <w:color w:val="FF0000"/>
        </w:rPr>
        <w:t>core</w:t>
      </w:r>
      <w:r w:rsidRPr="00F2410E">
        <w:rPr>
          <w:rFonts w:cs="Times New Roman"/>
          <w:color w:val="FF0000"/>
        </w:rPr>
        <w:t xml:space="preserve"> incorporates the desirable incentive to joining a coalition, meaning that each participant is better off with the collaborative allocation than with its initial endowment</w:t>
      </w:r>
      <w:r w:rsidRPr="00F2410E">
        <w:rPr>
          <w:rFonts w:cs="Times New Roman"/>
          <w:color w:val="FF0000"/>
          <w:position w:val="-10"/>
        </w:rPr>
        <w:t xml:space="preserve"> </w:t>
      </w:r>
      <w:r w:rsidRPr="00F2410E">
        <w:rPr>
          <w:rStyle w:val="fontstyle01"/>
          <w:rFonts w:ascii="Times New Roman" w:hAnsi="Times New Roman" w:cs="Times New Roman"/>
          <w:i/>
          <w:color w:val="FF0000"/>
        </w:rPr>
        <w:t>υ(</w:t>
      </w:r>
      <w:proofErr w:type="spellStart"/>
      <w:r w:rsidRPr="00F2410E">
        <w:rPr>
          <w:rStyle w:val="fontstyle01"/>
          <w:rFonts w:ascii="Times New Roman" w:hAnsi="Times New Roman" w:cs="Times New Roman"/>
          <w:i/>
          <w:color w:val="FF0000"/>
        </w:rPr>
        <w:t>i</w:t>
      </w:r>
      <w:proofErr w:type="spellEnd"/>
      <w:r w:rsidRPr="00F2410E">
        <w:rPr>
          <w:rStyle w:val="fontstyle01"/>
          <w:rFonts w:ascii="Times New Roman" w:hAnsi="Times New Roman" w:cs="Times New Roman"/>
          <w:i/>
          <w:color w:val="FF0000"/>
        </w:rPr>
        <w:t>)</w:t>
      </w:r>
      <w:r w:rsidRPr="00F2410E">
        <w:rPr>
          <w:rFonts w:cs="Times New Roman"/>
          <w:color w:val="FF0000"/>
        </w:rPr>
        <w:t xml:space="preserve">. </w:t>
      </w:r>
    </w:p>
    <w:p w14:paraId="1D1B7E0B" w14:textId="77777777" w:rsidR="005E2AB5" w:rsidRPr="00F2410E" w:rsidRDefault="005E2AB5" w:rsidP="005E2AB5">
      <w:pPr>
        <w:spacing w:after="240" w:line="360" w:lineRule="auto"/>
        <w:rPr>
          <w:rFonts w:cs="Times New Roman"/>
          <w:color w:val="FF0000"/>
        </w:rPr>
      </w:pPr>
      <w:r w:rsidRPr="00F2410E">
        <w:rPr>
          <w:rFonts w:cs="Times New Roman"/>
          <w:color w:val="FF0000"/>
        </w:rPr>
        <w:t xml:space="preserve">Among the other approaches which have been employed for promoting collaboration among stakeholders engaged in a logistics system, </w:t>
      </w:r>
      <w:r w:rsidRPr="00F2410E">
        <w:rPr>
          <w:rFonts w:cs="Times New Roman"/>
          <w:color w:val="FF0000"/>
        </w:rPr>
        <w:fldChar w:fldCharType="begin">
          <w:fldData xml:space="preserve">PEVuZE5vdGU+PENpdGUgQXV0aG9yWWVhcj0iMSI+PEF1dGhvcj5HdWFqYXJkbzwvQXV0aG9yPjxZ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</w:fldData>
        </w:fldChar>
      </w:r>
      <w:r w:rsidRPr="00F2410E">
        <w:rPr>
          <w:rFonts w:cs="Times New Roman"/>
          <w:color w:val="FF0000"/>
        </w:rPr>
        <w:instrText xml:space="preserve"> ADDIN EN.CITE </w:instrText>
      </w:r>
      <w:r w:rsidRPr="00F2410E">
        <w:rPr>
          <w:rFonts w:cs="Times New Roman"/>
          <w:color w:val="FF0000"/>
        </w:rPr>
        <w:fldChar w:fldCharType="begin">
          <w:fldData xml:space="preserve">PEVuZE5vdGU+PENpdGUgQXV0aG9yWWVhcj0iMSI+PEF1dGhvcj5HdWFqYXJkbzwvQXV0aG9yPjxZ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</w:fldData>
        </w:fldChar>
      </w:r>
      <w:r w:rsidRPr="00F2410E">
        <w:rPr>
          <w:rFonts w:cs="Times New Roman"/>
          <w:color w:val="FF0000"/>
        </w:rPr>
        <w:instrText xml:space="preserve"> ADDIN EN.CITE.DATA </w:instrText>
      </w:r>
      <w:r w:rsidRPr="00F2410E">
        <w:rPr>
          <w:rFonts w:cs="Times New Roman"/>
          <w:color w:val="FF0000"/>
        </w:rPr>
      </w:r>
      <w:r w:rsidRPr="00F2410E">
        <w:rPr>
          <w:rFonts w:cs="Times New Roman"/>
          <w:color w:val="FF0000"/>
        </w:rPr>
        <w:fldChar w:fldCharType="end"/>
      </w:r>
      <w:r w:rsidRPr="00F2410E">
        <w:rPr>
          <w:rFonts w:cs="Times New Roman"/>
          <w:color w:val="FF0000"/>
        </w:rPr>
      </w:r>
      <w:r w:rsidRPr="00F2410E">
        <w:rPr>
          <w:rFonts w:cs="Times New Roman"/>
          <w:color w:val="FF0000"/>
        </w:rPr>
        <w:fldChar w:fldCharType="separate"/>
      </w:r>
      <w:r w:rsidRPr="00F2410E">
        <w:rPr>
          <w:rFonts w:cs="Times New Roman"/>
          <w:noProof/>
          <w:color w:val="FF0000"/>
        </w:rPr>
        <w:t>Guajardo and Rönnqvist (2016)</w:t>
      </w:r>
      <w:r w:rsidRPr="00F2410E">
        <w:rPr>
          <w:rFonts w:cs="Times New Roman"/>
          <w:color w:val="FF0000"/>
        </w:rPr>
        <w:fldChar w:fldCharType="end"/>
      </w:r>
      <w:r w:rsidRPr="00F2410E">
        <w:rPr>
          <w:rFonts w:cs="Times New Roman"/>
          <w:color w:val="FF0000"/>
        </w:rPr>
        <w:t xml:space="preserve"> </w:t>
      </w:r>
      <w:r w:rsidRPr="00F2410E">
        <w:rPr>
          <w:rFonts w:cs="Times New Roman"/>
          <w:noProof/>
          <w:color w:val="FF0000"/>
        </w:rPr>
        <w:t xml:space="preserve">also cite the study by </w:t>
      </w:r>
      <w:r w:rsidRPr="00F2410E">
        <w:rPr>
          <w:rFonts w:cs="Times New Roman"/>
          <w:color w:val="FF0000"/>
        </w:rPr>
        <w:fldChar w:fldCharType="begin"/>
      </w:r>
      <w:r w:rsidRPr="00F2410E">
        <w:rPr>
          <w:rFonts w:cs="Times New Roman"/>
          <w:color w:val="FF0000"/>
        </w:rPr>
        <w:instrText xml:space="preserve"> ADDIN EN.CITE &lt;EndNote&gt;&lt;Cite AuthorYear="1"&gt;&lt;Author&gt;Vanovermeire&lt;/Author&gt;&lt;Year&gt;2014&lt;/Year&gt;&lt;RecNum&gt;230&lt;/RecNum&gt;&lt;DisplayText&gt;Vanovermeire et al. (2014)&lt;/DisplayText&gt;&lt;record&gt;&lt;rec-number&gt;230&lt;/rec-number&gt;&lt;foreign-keys&gt;&lt;key app="EN" db-id="x5etaz5aiszvz0edasvvpwvotttxepvd25t2" timestamp="1611177411"&gt;230&lt;/key&gt;&lt;/foreign-keys&gt;&lt;ref-type name="Journal Article"&gt;17&lt;/ref-type&gt;&lt;contributors&gt;&lt;authors&gt;&lt;author&gt;Vanovermeire, Christine&lt;/author&gt;&lt;author&gt;Sörensen, Kenneth&lt;/author&gt;&lt;author&gt;Van Breedam, Alex&lt;/author&gt;&lt;author&gt;Vannieuwenhuyse, Bart&lt;/author&gt;&lt;author&gt;Verstrepen, Sven&lt;/author&gt;&lt;/authors&gt;&lt;/contributors&gt;&lt;titles&gt;&lt;title&gt;Horizontal logistics collaboration: decreasing costs through flexibility and an adequate cost allocation strategy&lt;/title&gt;&lt;secondary-title&gt;International Journal of Logistics Research and Applications&lt;/secondary-title&gt;&lt;/titles&gt;&lt;periodical&gt;&lt;full-title&gt;International Journal of Logistics Research and Applications&lt;/full-title&gt;&lt;abbr-1&gt;Int. J. Logist. Res. Applic.&lt;/abbr-1&gt;&lt;/periodical&gt;&lt;pages&gt;339-355&lt;/pages&gt;&lt;volume&gt;17&lt;/volume&gt;&lt;number&gt;4&lt;/number&gt;&lt;dates&gt;&lt;year&gt;2014&lt;/year&gt;&lt;/dates&gt;&lt;isbn&gt;1367-5567&lt;/isbn&gt;&lt;urls&gt;&lt;/urls&gt;&lt;/record&gt;&lt;/Cite&gt;&lt;/EndNote&gt;</w:instrText>
      </w:r>
      <w:r w:rsidRPr="00F2410E">
        <w:rPr>
          <w:rFonts w:cs="Times New Roman"/>
          <w:color w:val="FF0000"/>
        </w:rPr>
        <w:fldChar w:fldCharType="separate"/>
      </w:r>
      <w:r w:rsidRPr="00F2410E">
        <w:rPr>
          <w:rFonts w:cs="Times New Roman"/>
          <w:noProof/>
          <w:color w:val="FF0000"/>
        </w:rPr>
        <w:t>Vanovermeire et al. (2014)</w:t>
      </w:r>
      <w:r w:rsidRPr="00F2410E">
        <w:rPr>
          <w:rFonts w:cs="Times New Roman"/>
          <w:color w:val="FF0000"/>
        </w:rPr>
        <w:fldChar w:fldCharType="end"/>
      </w:r>
      <w:r w:rsidRPr="00F2410E">
        <w:rPr>
          <w:rFonts w:cs="Times New Roman"/>
          <w:noProof/>
          <w:color w:val="FF0000"/>
        </w:rPr>
        <w:t xml:space="preserve"> based on the </w:t>
      </w:r>
      <w:r w:rsidRPr="00F2410E">
        <w:rPr>
          <w:rFonts w:cs="Times New Roman"/>
          <w:i/>
          <w:color w:val="FF0000"/>
        </w:rPr>
        <w:t>Shapley Value</w:t>
      </w:r>
      <w:r w:rsidRPr="00F2410E">
        <w:rPr>
          <w:rFonts w:cs="Times New Roman"/>
          <w:color w:val="FF0000"/>
        </w:rPr>
        <w:t xml:space="preserve"> </w:t>
      </w:r>
      <w:r w:rsidRPr="00F2410E">
        <w:rPr>
          <w:rFonts w:cs="Times New Roman"/>
          <w:color w:val="FF0000"/>
        </w:rPr>
        <w:fldChar w:fldCharType="begin"/>
      </w:r>
      <w:r w:rsidRPr="00F2410E">
        <w:rPr>
          <w:rFonts w:cs="Times New Roman"/>
          <w:color w:val="FF0000"/>
        </w:rPr>
        <w:instrText xml:space="preserve"> ADDIN EN.CITE &lt;EndNote&gt;&lt;Cite&gt;&lt;Author&gt;Shapley&lt;/Author&gt;&lt;Year&gt;1953&lt;/Year&gt;&lt;RecNum&gt;231&lt;/RecNum&gt;&lt;DisplayText&gt;(Shapley, 1953)&lt;/DisplayText&gt;&lt;record&gt;&lt;rec-number&gt;231&lt;/rec-number&gt;&lt;foreign-keys&gt;&lt;key app="EN" db-id="x5etaz5aiszvz0edasvvpwvotttxepvd25t2" timestamp="1611177411"&gt;231&lt;/key&gt;&lt;/foreign-keys&gt;&lt;ref-type name="Journal Article"&gt;17&lt;/ref-type&gt;&lt;contributors&gt;&lt;authors&gt;&lt;author&gt;Shapley, Lloyd S&lt;/author&gt;&lt;/authors&gt;&lt;/contributors&gt;&lt;titles&gt;&lt;title&gt;A value for n-person games&lt;/title&gt;&lt;secondary-title&gt;Contributions to the Theory of Games&lt;/secondary-title&gt;&lt;/titles&gt;&lt;periodical&gt;&lt;full-title&gt;Contributions to the Theory of Games&lt;/full-title&gt;&lt;/periodical&gt;&lt;pages&gt;307-317&lt;/pages&gt;&lt;volume&gt;2&lt;/volume&gt;&lt;number&gt;28&lt;/number&gt;&lt;dates&gt;&lt;year&gt;1953&lt;/year&gt;&lt;/dates&gt;&lt;urls&gt;&lt;/urls&gt;&lt;/record&gt;&lt;/Cite&gt;&lt;/EndNote&gt;</w:instrText>
      </w:r>
      <w:r w:rsidRPr="00F2410E">
        <w:rPr>
          <w:rFonts w:cs="Times New Roman"/>
          <w:color w:val="FF0000"/>
        </w:rPr>
        <w:fldChar w:fldCharType="separate"/>
      </w:r>
      <w:r w:rsidRPr="00F2410E">
        <w:rPr>
          <w:rFonts w:cs="Times New Roman"/>
          <w:noProof/>
          <w:color w:val="FF0000"/>
        </w:rPr>
        <w:t>(Shapley, 1953)</w:t>
      </w:r>
      <w:r w:rsidRPr="00F2410E">
        <w:rPr>
          <w:rFonts w:cs="Times New Roman"/>
          <w:color w:val="FF0000"/>
        </w:rPr>
        <w:fldChar w:fldCharType="end"/>
      </w:r>
      <w:r w:rsidRPr="00F2410E">
        <w:rPr>
          <w:rFonts w:cs="Times New Roman"/>
          <w:color w:val="FF0000"/>
        </w:rPr>
        <w:t>.</w:t>
      </w:r>
    </w:p>
    <w:p w14:paraId="42BF1CA0" w14:textId="77777777" w:rsidR="005E2AB5" w:rsidRPr="00F2410E" w:rsidRDefault="005E2AB5" w:rsidP="005E2AB5">
      <w:pPr>
        <w:spacing w:after="240" w:line="360" w:lineRule="auto"/>
        <w:rPr>
          <w:rFonts w:cs="Times New Roman"/>
          <w:iCs/>
          <w:color w:val="FF0000"/>
        </w:rPr>
      </w:pPr>
      <w:r w:rsidRPr="00F2410E">
        <w:rPr>
          <w:rFonts w:cs="Times New Roman"/>
          <w:iCs/>
          <w:color w:val="FF0000"/>
        </w:rPr>
        <w:t>Shapley (1953) succeeded in providing the following four conditions on the transformation from a TU-game into an allocation that can be fairly said to be natural:</w:t>
      </w:r>
    </w:p>
    <w:p w14:paraId="38B9FB8B" w14:textId="77777777" w:rsidR="005E2AB5" w:rsidRPr="00F2410E" w:rsidRDefault="005E2AB5" w:rsidP="00A323CC">
      <w:pPr>
        <w:pStyle w:val="ListParagraph"/>
        <w:numPr>
          <w:ilvl w:val="0"/>
          <w:numId w:val="20"/>
        </w:numPr>
        <w:spacing w:after="240" w:line="360" w:lineRule="auto"/>
        <w:rPr>
          <w:rFonts w:cs="Times New Roman"/>
          <w:color w:val="FF0000"/>
        </w:rPr>
      </w:pPr>
      <w:r w:rsidRPr="00F2410E">
        <w:rPr>
          <w:rFonts w:cs="Times New Roman"/>
          <w:iCs/>
          <w:color w:val="FF0000"/>
        </w:rPr>
        <w:lastRenderedPageBreak/>
        <w:t xml:space="preserve">The </w:t>
      </w:r>
      <w:r w:rsidRPr="00F2410E">
        <w:rPr>
          <w:rFonts w:cs="Times New Roman"/>
          <w:i/>
          <w:color w:val="FF0000"/>
        </w:rPr>
        <w:t>symmetry</w:t>
      </w:r>
      <w:r w:rsidRPr="00F2410E">
        <w:rPr>
          <w:rFonts w:cs="Times New Roman"/>
          <w:iCs/>
          <w:color w:val="FF0000"/>
        </w:rPr>
        <w:t xml:space="preserve"> axiom: if two participants equally contribute to the worth of any coalition, </w:t>
      </w:r>
      <w:proofErr w:type="gramStart"/>
      <w:r w:rsidRPr="00F2410E">
        <w:rPr>
          <w:rFonts w:cs="Times New Roman"/>
          <w:iCs/>
          <w:color w:val="FF0000"/>
        </w:rPr>
        <w:t>i.e.</w:t>
      </w:r>
      <w:proofErr w:type="gramEnd"/>
      <w:r w:rsidRPr="00F2410E">
        <w:rPr>
          <w:rStyle w:val="fontstyle01"/>
          <w:rFonts w:ascii="Times New Roman" w:hAnsi="Times New Roman" w:cs="Times New Roman"/>
          <w:color w:val="FF0000"/>
        </w:rPr>
        <w:t xml:space="preserve"> </w:t>
      </w:r>
      <w:r w:rsidRPr="00F2410E">
        <w:rPr>
          <w:rStyle w:val="fontstyle01"/>
          <w:rFonts w:ascii="Times New Roman" w:hAnsi="Times New Roman" w:cs="Times New Roman"/>
          <w:i/>
          <w:color w:val="FF0000"/>
        </w:rPr>
        <w:t>υ(T)</w:t>
      </w:r>
      <w:r w:rsidRPr="00F2410E">
        <w:rPr>
          <w:rStyle w:val="fontstyle01"/>
          <w:rFonts w:ascii="Times New Roman" w:hAnsi="Times New Roman" w:cs="Times New Roman"/>
          <w:color w:val="FF0000"/>
        </w:rPr>
        <w:t xml:space="preserve">, </w:t>
      </w:r>
      <w:r w:rsidRPr="00F2410E">
        <w:rPr>
          <w:rFonts w:cs="Times New Roman"/>
          <w:iCs/>
          <w:color w:val="FF0000"/>
        </w:rPr>
        <w:t xml:space="preserve">then they must have the same Shapley value. </w:t>
      </w:r>
    </w:p>
    <w:p w14:paraId="51F3E008" w14:textId="77777777" w:rsidR="005E2AB5" w:rsidRPr="00F2410E" w:rsidRDefault="005E2AB5" w:rsidP="00A323CC">
      <w:pPr>
        <w:pStyle w:val="ListParagraph"/>
        <w:numPr>
          <w:ilvl w:val="0"/>
          <w:numId w:val="20"/>
        </w:numPr>
        <w:spacing w:after="240" w:line="360" w:lineRule="auto"/>
        <w:rPr>
          <w:rFonts w:cs="Times New Roman"/>
          <w:color w:val="FF0000"/>
        </w:rPr>
      </w:pPr>
      <w:r w:rsidRPr="00F2410E">
        <w:rPr>
          <w:rFonts w:cs="Times New Roman"/>
          <w:iCs/>
          <w:color w:val="FF0000"/>
        </w:rPr>
        <w:t xml:space="preserve">The </w:t>
      </w:r>
      <w:r w:rsidRPr="00F2410E">
        <w:rPr>
          <w:rFonts w:cs="Times New Roman"/>
          <w:i/>
          <w:color w:val="FF0000"/>
        </w:rPr>
        <w:t>efficiency</w:t>
      </w:r>
      <w:r w:rsidRPr="00F2410E">
        <w:rPr>
          <w:rFonts w:cs="Times New Roman"/>
          <w:iCs/>
          <w:color w:val="FF0000"/>
        </w:rPr>
        <w:t xml:space="preserve"> axiom: the sum of individual Shapley values must be equal to the worth of the whole grand coalition.</w:t>
      </w:r>
    </w:p>
    <w:p w14:paraId="13E67943" w14:textId="77777777" w:rsidR="005E2AB5" w:rsidRPr="00F2410E" w:rsidRDefault="005E2AB5" w:rsidP="00A323CC">
      <w:pPr>
        <w:pStyle w:val="ListParagraph"/>
        <w:numPr>
          <w:ilvl w:val="0"/>
          <w:numId w:val="20"/>
        </w:numPr>
        <w:spacing w:after="240" w:line="360" w:lineRule="auto"/>
        <w:rPr>
          <w:rFonts w:cs="Times New Roman"/>
          <w:color w:val="FF0000"/>
        </w:rPr>
      </w:pPr>
      <w:r w:rsidRPr="00F2410E">
        <w:rPr>
          <w:rFonts w:cs="Times New Roman"/>
          <w:iCs/>
          <w:color w:val="FF0000"/>
        </w:rPr>
        <w:t xml:space="preserve">The </w:t>
      </w:r>
      <w:r w:rsidRPr="00F2410E">
        <w:rPr>
          <w:rFonts w:cs="Times New Roman"/>
          <w:i/>
          <w:color w:val="FF0000"/>
        </w:rPr>
        <w:t>dummy-player</w:t>
      </w:r>
      <w:r w:rsidRPr="00F2410E">
        <w:rPr>
          <w:rFonts w:cs="Times New Roman"/>
          <w:iCs/>
          <w:color w:val="FF0000"/>
        </w:rPr>
        <w:t xml:space="preserve"> axiom: A participant who does not contribute to any coalition must have a null value. </w:t>
      </w:r>
    </w:p>
    <w:p w14:paraId="0BC6B777" w14:textId="77777777" w:rsidR="005E2AB5" w:rsidRPr="00F2410E" w:rsidRDefault="005E2AB5" w:rsidP="00A323CC">
      <w:pPr>
        <w:pStyle w:val="ListParagraph"/>
        <w:numPr>
          <w:ilvl w:val="0"/>
          <w:numId w:val="20"/>
        </w:numPr>
        <w:spacing w:after="240" w:line="360" w:lineRule="auto"/>
        <w:rPr>
          <w:rFonts w:cs="Times New Roman"/>
          <w:color w:val="FF0000"/>
        </w:rPr>
      </w:pPr>
      <w:r w:rsidRPr="00F2410E">
        <w:rPr>
          <w:rFonts w:cs="Times New Roman"/>
          <w:iCs/>
          <w:color w:val="FF0000"/>
        </w:rPr>
        <w:t xml:space="preserve">The </w:t>
      </w:r>
      <w:r w:rsidRPr="00F2410E">
        <w:rPr>
          <w:rFonts w:cs="Times New Roman"/>
          <w:i/>
          <w:color w:val="FF0000"/>
        </w:rPr>
        <w:t>additivity</w:t>
      </w:r>
      <w:r w:rsidRPr="00F2410E">
        <w:rPr>
          <w:rFonts w:cs="Times New Roman"/>
          <w:iCs/>
          <w:color w:val="FF0000"/>
        </w:rPr>
        <w:t xml:space="preserve"> axiom: let us have two TU games on the same set of players. For each TU game, each player has a Shapley value. Let us construct the sum-game of the previous two games. Then, individual Shapley values of the sum game are equal to the sum of the two initial Shapley values. </w:t>
      </w:r>
    </w:p>
    <w:p w14:paraId="61790594" w14:textId="5ABD056F" w:rsidR="005E2AB5" w:rsidRDefault="005E2AB5" w:rsidP="005E2AB5">
      <w:pPr>
        <w:spacing w:after="240" w:line="360" w:lineRule="auto"/>
        <w:rPr>
          <w:rFonts w:cs="Times New Roman"/>
          <w:color w:val="FF0000"/>
        </w:rPr>
      </w:pPr>
      <w:r w:rsidRPr="00E36E5D">
        <w:rPr>
          <w:rFonts w:cs="Times New Roman"/>
          <w:color w:val="FF0000"/>
        </w:rPr>
        <w:t>The Shapley value has been also used for sharing mechanisms in transportation as a form of incentives for companies to join the full collaboration, even if it does not necessarily satisfy individual rationality (</w:t>
      </w:r>
      <w:r w:rsidRPr="00E36E5D">
        <w:rPr>
          <w:rFonts w:cs="Times New Roman"/>
          <w:color w:val="FF0000"/>
        </w:rPr>
        <w:fldChar w:fldCharType="begin"/>
      </w:r>
      <w:r w:rsidRPr="00E36E5D">
        <w:rPr>
          <w:rFonts w:cs="Times New Roman"/>
          <w:color w:val="FF0000"/>
        </w:rPr>
        <w:instrText xml:space="preserve"> ADDIN EN.CITE &lt;EndNote&gt;&lt;Cite AuthorYear="1"&gt;&lt;Author&gt;Vanovermeire&lt;/Author&gt;&lt;Year&gt;2014&lt;/Year&gt;&lt;RecNum&gt;230&lt;/RecNum&gt;&lt;DisplayText&gt;Vanovermeire et al. (2014)&lt;/DisplayText&gt;&lt;record&gt;&lt;rec-number&gt;230&lt;/rec-number&gt;&lt;foreign-keys&gt;&lt;key app="EN" db-id="x5etaz5aiszvz0edasvvpwvotttxepvd25t2" timestamp="1611177411"&gt;230&lt;/key&gt;&lt;/foreign-keys&gt;&lt;ref-type name="Journal Article"&gt;17&lt;/ref-type&gt;&lt;contributors&gt;&lt;authors&gt;&lt;author&gt;Vanovermeire, Christine&lt;/author&gt;&lt;author&gt;Sörensen, Kenneth&lt;/author&gt;&lt;author&gt;Van Breedam, Alex&lt;/author&gt;&lt;author&gt;Vannieuwenhuyse, Bart&lt;/author&gt;&lt;author&gt;Verstrepen, Sven&lt;/author&gt;&lt;/authors&gt;&lt;/contributors&gt;&lt;titles&gt;&lt;title&gt;Horizontal logistics collaboration: decreasing costs through flexibility and an adequate cost allocation strategy&lt;/title&gt;&lt;secondary-title&gt;International Journal of Logistics Research and Applications&lt;/secondary-title&gt;&lt;/titles&gt;&lt;periodical&gt;&lt;full-title&gt;International Journal of Logistics Research and Applications&lt;/full-title&gt;&lt;abbr-1&gt;Int. J. Logist. Res. Applic.&lt;/abbr-1&gt;&lt;/periodical&gt;&lt;pages&gt;339-355&lt;/pages&gt;&lt;volume&gt;17&lt;/volume&gt;&lt;number&gt;4&lt;/number&gt;&lt;dates&gt;&lt;year&gt;2014&lt;/year&gt;&lt;/dates&gt;&lt;isbn&gt;1367-5567&lt;/isbn&gt;&lt;urls&gt;&lt;/urls&gt;&lt;/record&gt;&lt;/Cite&gt;&lt;/EndNote&gt;</w:instrText>
      </w:r>
      <w:r w:rsidRPr="00E36E5D">
        <w:rPr>
          <w:rFonts w:cs="Times New Roman"/>
          <w:color w:val="FF0000"/>
        </w:rPr>
        <w:fldChar w:fldCharType="separate"/>
      </w:r>
      <w:r w:rsidRPr="00E36E5D">
        <w:rPr>
          <w:rFonts w:cs="Times New Roman"/>
          <w:noProof/>
          <w:color w:val="FF0000"/>
        </w:rPr>
        <w:t>Vanovermeire et al. (2014)</w:t>
      </w:r>
      <w:r w:rsidRPr="00E36E5D">
        <w:rPr>
          <w:rFonts w:cs="Times New Roman"/>
          <w:color w:val="FF0000"/>
        </w:rPr>
        <w:fldChar w:fldCharType="end"/>
      </w:r>
      <w:r w:rsidRPr="00E36E5D">
        <w:rPr>
          <w:rFonts w:cs="Times New Roman"/>
          <w:color w:val="FF0000"/>
        </w:rPr>
        <w:t>).</w:t>
      </w:r>
    </w:p>
    <w:p w14:paraId="7AD7E530" w14:textId="77777777" w:rsidR="005E2AB5" w:rsidRPr="00E36E5D" w:rsidRDefault="005E2AB5" w:rsidP="005E2AB5">
      <w:pPr>
        <w:spacing w:after="240" w:line="360" w:lineRule="auto"/>
        <w:rPr>
          <w:rFonts w:cs="Times"/>
          <w:color w:val="FF0000"/>
          <w:lang w:val="en-US"/>
        </w:rPr>
      </w:pPr>
      <w:r w:rsidRPr="00E36E5D">
        <w:rPr>
          <w:color w:val="FF0000"/>
        </w:rPr>
        <w:t xml:space="preserve">Dai and Chen (2012) study the stability </w:t>
      </w:r>
      <w:r w:rsidRPr="00E36E5D">
        <w:rPr>
          <w:rFonts w:eastAsia="Times New Roman"/>
          <w:color w:val="FF0000"/>
        </w:rPr>
        <w:t xml:space="preserve">multiple carriers’ alliance if carriers share their transportation requests, vehicle capacities </w:t>
      </w:r>
      <w:proofErr w:type="gramStart"/>
      <w:r w:rsidRPr="00E36E5D">
        <w:rPr>
          <w:rFonts w:eastAsia="Times New Roman"/>
          <w:color w:val="FF0000"/>
        </w:rPr>
        <w:t>in order to</w:t>
      </w:r>
      <w:proofErr w:type="gramEnd"/>
      <w:r w:rsidRPr="00E36E5D">
        <w:rPr>
          <w:rFonts w:eastAsia="Times New Roman"/>
          <w:color w:val="FF0000"/>
        </w:rPr>
        <w:t xml:space="preserve"> increase vehicle utilization rates and reduce empty back hauls; they employ</w:t>
      </w:r>
      <w:r w:rsidRPr="00E36E5D">
        <w:rPr>
          <w:color w:val="FF0000"/>
        </w:rPr>
        <w:t xml:space="preserve"> the Shapley value to re-allocate profits among the multiple carriers. This is done as to maintain the stability of the alliance among carriers. Significantly, the authors prove that the Shapley value is in the core. As also shown by Dahlberg et al. (2019), if</w:t>
      </w:r>
      <w:r w:rsidRPr="00E36E5D">
        <w:rPr>
          <w:rFonts w:cs="Times"/>
          <w:color w:val="FF0000"/>
          <w:lang w:val="en-US"/>
        </w:rPr>
        <w:t xml:space="preserve"> an allocation mechanism satisfies both fairness and individual rationality properties, then there is good hope to provide strong incentives, successful at making stakeholders collaborate. </w:t>
      </w:r>
    </w:p>
    <w:p w14:paraId="7709E2D1" w14:textId="1E1901F7" w:rsidR="005E2AB5" w:rsidRPr="005E2AB5" w:rsidRDefault="005E2AB5" w:rsidP="00AC7CA1">
      <w:pPr>
        <w:spacing w:after="240" w:line="360" w:lineRule="auto"/>
        <w:rPr>
          <w:rStyle w:val="fontstyle01"/>
          <w:rFonts w:ascii="Times New Roman" w:hAnsi="Times New Roman"/>
          <w:color w:val="FF0000"/>
          <w:szCs w:val="22"/>
        </w:rPr>
      </w:pPr>
      <w:proofErr w:type="spellStart"/>
      <w:r w:rsidRPr="00E36E5D">
        <w:rPr>
          <w:color w:val="FF0000"/>
        </w:rPr>
        <w:t>Hezarkhani</w:t>
      </w:r>
      <w:proofErr w:type="spellEnd"/>
      <w:r w:rsidRPr="00E36E5D">
        <w:rPr>
          <w:color w:val="FF0000"/>
        </w:rPr>
        <w:t xml:space="preserve"> et al. (2019) study the relationship between a UCC and its suppliers; collaboration here is intended as stakeholders’ willingness to process goods through the UCC, </w:t>
      </w:r>
      <w:proofErr w:type="gramStart"/>
      <w:r w:rsidRPr="00E36E5D">
        <w:rPr>
          <w:color w:val="FF0000"/>
        </w:rPr>
        <w:t>in order to</w:t>
      </w:r>
      <w:proofErr w:type="gramEnd"/>
      <w:r w:rsidRPr="00E36E5D">
        <w:rPr>
          <w:color w:val="FF0000"/>
        </w:rPr>
        <w:t xml:space="preserve"> reduce the unit costs for UCCs through the achievement of economies of scale. Profits achieved by the UCC profits are shared with participants </w:t>
      </w:r>
      <w:proofErr w:type="gramStart"/>
      <w:r w:rsidRPr="00E36E5D">
        <w:rPr>
          <w:color w:val="FF0000"/>
        </w:rPr>
        <w:t>in order to</w:t>
      </w:r>
      <w:proofErr w:type="gramEnd"/>
      <w:r w:rsidRPr="00E36E5D">
        <w:rPr>
          <w:color w:val="FF0000"/>
        </w:rPr>
        <w:t xml:space="preserve"> provide an incentive aimed at fostering collaboration. </w:t>
      </w:r>
    </w:p>
    <w:p w14:paraId="57C7070D" w14:textId="77777777" w:rsidR="0071798B" w:rsidRPr="00A96AC5" w:rsidRDefault="0071798B" w:rsidP="00D30CE8">
      <w:pPr>
        <w:pStyle w:val="Heading2"/>
        <w:spacing w:after="120"/>
        <w:rPr>
          <w:rFonts w:cs="Times New Roman"/>
        </w:rPr>
      </w:pPr>
      <w:bookmarkStart w:id="405" w:name="_Toc490823582"/>
      <w:bookmarkStart w:id="406" w:name="_Toc491894843"/>
      <w:bookmarkStart w:id="407" w:name="_Toc34734505"/>
      <w:bookmarkStart w:id="408" w:name="_Toc46053423"/>
      <w:bookmarkStart w:id="409" w:name="_Toc46093337"/>
      <w:bookmarkStart w:id="410" w:name="_Toc46093620"/>
      <w:bookmarkStart w:id="411" w:name="_Toc66703195"/>
      <w:r w:rsidRPr="00A96AC5">
        <w:rPr>
          <w:rFonts w:cs="Times New Roman"/>
        </w:rPr>
        <w:t xml:space="preserve">An analysis of real-world urban consolidation centre (UCC) </w:t>
      </w:r>
      <w:bookmarkEnd w:id="405"/>
      <w:bookmarkEnd w:id="406"/>
      <w:r w:rsidRPr="00A96AC5">
        <w:rPr>
          <w:rFonts w:cs="Times New Roman"/>
        </w:rPr>
        <w:t>implementation</w:t>
      </w:r>
      <w:bookmarkEnd w:id="407"/>
      <w:bookmarkEnd w:id="408"/>
      <w:bookmarkEnd w:id="409"/>
      <w:bookmarkEnd w:id="410"/>
      <w:bookmarkEnd w:id="411"/>
    </w:p>
    <w:p w14:paraId="0966553E" w14:textId="6088E626" w:rsidR="0071798B" w:rsidRDefault="0071798B" w:rsidP="00D30CE8">
      <w:pPr>
        <w:spacing w:before="240" w:after="240" w:line="360" w:lineRule="auto"/>
        <w:rPr>
          <w:rFonts w:cs="Times New Roman"/>
        </w:rPr>
      </w:pPr>
      <w:bookmarkStart w:id="412" w:name="_Toc490415383"/>
      <w:bookmarkStart w:id="413" w:name="_Toc490484789"/>
      <w:bookmarkStart w:id="414" w:name="_Toc490485340"/>
      <w:r w:rsidRPr="00A96AC5">
        <w:rPr>
          <w:rFonts w:cs="Times New Roman"/>
        </w:rPr>
        <w:t xml:space="preserve">To understand the operating issues that affect UCCs, this chapter analyses real-world implementations in various cities and seeks solutions to the UL challenges. The first step in this section is to identify the relevant secondary data sources, including government reports, </w:t>
      </w:r>
      <w:r w:rsidRPr="00A96AC5">
        <w:rPr>
          <w:rFonts w:cs="Times New Roman"/>
        </w:rPr>
        <w:lastRenderedPageBreak/>
        <w:t>white papers, and project reports. Based on the gathered data, the UCCs’ SUL performance is discussed.</w:t>
      </w:r>
    </w:p>
    <w:bookmarkEnd w:id="412"/>
    <w:bookmarkEnd w:id="413"/>
    <w:bookmarkEnd w:id="414"/>
    <w:p w14:paraId="2ECC61A5" w14:textId="01CC1380" w:rsidR="009A2756" w:rsidRDefault="00697146" w:rsidP="00D30CE8">
      <w:pPr>
        <w:spacing w:after="240" w:line="360" w:lineRule="auto"/>
        <w:rPr>
          <w:rFonts w:cs="Times New Roman"/>
        </w:rPr>
      </w:pPr>
      <w:r>
        <w:rPr>
          <w:rFonts w:cs="Times New Roman"/>
          <w:szCs w:val="24"/>
        </w:rPr>
        <w:fldChar w:fldCharType="begin"/>
      </w:r>
      <w:r>
        <w:rPr>
          <w:rFonts w:cs="Times New Roman"/>
          <w:szCs w:val="24"/>
        </w:rPr>
        <w:instrText xml:space="preserve"> REF _Ref46830855 \h </w:instrText>
      </w:r>
      <w:r>
        <w:rPr>
          <w:rFonts w:cs="Times New Roman"/>
          <w:szCs w:val="24"/>
        </w:rPr>
      </w:r>
      <w:r>
        <w:rPr>
          <w:rFonts w:cs="Times New Roman"/>
          <w:szCs w:val="24"/>
        </w:rPr>
        <w:fldChar w:fldCharType="separate"/>
      </w:r>
      <w:r w:rsidR="0005064B" w:rsidRPr="00697146">
        <w:rPr>
          <w:rFonts w:cs="Times New Roman"/>
        </w:rPr>
        <w:t xml:space="preserve">Table </w:t>
      </w:r>
      <w:r w:rsidR="0005064B">
        <w:rPr>
          <w:rFonts w:cs="Times New Roman"/>
          <w:noProof/>
        </w:rPr>
        <w:t>2</w:t>
      </w:r>
      <w:r w:rsidR="0005064B">
        <w:rPr>
          <w:rFonts w:cs="Times New Roman"/>
        </w:rPr>
        <w:noBreakHyphen/>
      </w:r>
      <w:r w:rsidR="0005064B">
        <w:rPr>
          <w:rFonts w:cs="Times New Roman"/>
          <w:noProof/>
        </w:rPr>
        <w:t>14</w:t>
      </w:r>
      <w:r>
        <w:rPr>
          <w:rFonts w:cs="Times New Roman"/>
          <w:szCs w:val="24"/>
        </w:rPr>
        <w:fldChar w:fldCharType="end"/>
      </w:r>
      <w:r>
        <w:rPr>
          <w:rFonts w:cs="Times New Roman"/>
          <w:szCs w:val="24"/>
        </w:rPr>
        <w:t xml:space="preserve"> </w:t>
      </w:r>
      <w:r w:rsidR="0071798B" w:rsidRPr="00737239">
        <w:rPr>
          <w:rFonts w:cs="Times New Roman"/>
          <w:szCs w:val="24"/>
        </w:rPr>
        <w:t xml:space="preserve">provides a list of the resources from which the UCC case studies were selected. During the filtering process (Appendix IV), those cases without clear data descriptions were removed. </w:t>
      </w:r>
      <w:r w:rsidR="0071798B" w:rsidRPr="00802DC5">
        <w:rPr>
          <w:rFonts w:cs="Times New Roman"/>
        </w:rPr>
        <w:t>When the values were not consistent for different files, the qualitative descriptions were used. Areas of missing or incomplete data are left blank in the f</w:t>
      </w:r>
      <w:r w:rsidR="0071798B" w:rsidRPr="006C301D">
        <w:rPr>
          <w:rFonts w:cs="Times New Roman"/>
        </w:rPr>
        <w:t xml:space="preserve">ollowing discussion. Appendix IV provides a complete classification of the analysed UCC cases, based on their </w:t>
      </w:r>
      <w:proofErr w:type="gramStart"/>
      <w:r w:rsidR="0071798B" w:rsidRPr="006C301D">
        <w:rPr>
          <w:rFonts w:cs="Times New Roman"/>
        </w:rPr>
        <w:t>type</w:t>
      </w:r>
      <w:proofErr w:type="gramEnd"/>
      <w:r w:rsidR="0071798B" w:rsidRPr="006C301D">
        <w:rPr>
          <w:rFonts w:cs="Times New Roman"/>
        </w:rPr>
        <w:t xml:space="preserve"> and achieved performance across a wide range of indicators, also formulating a synthetic judgement on the success of the initiative.</w:t>
      </w:r>
    </w:p>
    <w:tbl>
      <w:tblPr>
        <w:tblStyle w:val="TableGrid"/>
        <w:tblW w:w="5000" w:type="pct"/>
        <w:tblLook w:val="04A0" w:firstRow="1" w:lastRow="0" w:firstColumn="1" w:lastColumn="0" w:noHBand="0" w:noVBand="1"/>
      </w:tblPr>
      <w:tblGrid>
        <w:gridCol w:w="2015"/>
        <w:gridCol w:w="3651"/>
        <w:gridCol w:w="3350"/>
      </w:tblGrid>
      <w:tr w:rsidR="003E0FB6" w:rsidRPr="008903D1" w14:paraId="4373B367" w14:textId="77777777" w:rsidTr="00CD604C">
        <w:tc>
          <w:tcPr>
            <w:tcW w:w="1117" w:type="pct"/>
          </w:tcPr>
          <w:p w14:paraId="6C3194F3" w14:textId="77777777" w:rsidR="003E0FB6" w:rsidRPr="008903D1" w:rsidRDefault="003E0FB6" w:rsidP="00CD604C">
            <w:pPr>
              <w:spacing w:line="240" w:lineRule="auto"/>
              <w:jc w:val="center"/>
              <w:rPr>
                <w:rFonts w:cs="Times New Roman"/>
                <w:b/>
                <w:sz w:val="22"/>
              </w:rPr>
            </w:pPr>
            <w:r w:rsidRPr="008903D1">
              <w:rPr>
                <w:rFonts w:cs="Times New Roman"/>
                <w:b/>
                <w:sz w:val="22"/>
              </w:rPr>
              <w:t>Project/Source</w:t>
            </w:r>
          </w:p>
        </w:tc>
        <w:tc>
          <w:tcPr>
            <w:tcW w:w="2024" w:type="pct"/>
          </w:tcPr>
          <w:p w14:paraId="452C1A8C" w14:textId="77777777" w:rsidR="003E0FB6" w:rsidRPr="008903D1" w:rsidRDefault="003E0FB6" w:rsidP="00CD604C">
            <w:pPr>
              <w:spacing w:line="240" w:lineRule="auto"/>
              <w:jc w:val="center"/>
              <w:rPr>
                <w:rFonts w:cs="Times New Roman"/>
                <w:b/>
                <w:sz w:val="22"/>
              </w:rPr>
            </w:pPr>
            <w:r w:rsidRPr="008903D1">
              <w:rPr>
                <w:rFonts w:cs="Times New Roman"/>
                <w:b/>
                <w:sz w:val="22"/>
              </w:rPr>
              <w:t>Sponsor</w:t>
            </w:r>
          </w:p>
        </w:tc>
        <w:tc>
          <w:tcPr>
            <w:tcW w:w="1858" w:type="pct"/>
          </w:tcPr>
          <w:p w14:paraId="480358D5" w14:textId="77777777" w:rsidR="003E0FB6" w:rsidRPr="008903D1" w:rsidRDefault="003E0FB6" w:rsidP="00CD604C">
            <w:pPr>
              <w:spacing w:line="240" w:lineRule="auto"/>
              <w:jc w:val="center"/>
              <w:rPr>
                <w:rFonts w:cs="Times New Roman"/>
                <w:b/>
                <w:sz w:val="22"/>
              </w:rPr>
            </w:pPr>
            <w:r w:rsidRPr="008903D1">
              <w:rPr>
                <w:rFonts w:cs="Times New Roman"/>
                <w:b/>
                <w:sz w:val="22"/>
              </w:rPr>
              <w:t>Name of the report</w:t>
            </w:r>
          </w:p>
        </w:tc>
      </w:tr>
      <w:tr w:rsidR="003E0FB6" w:rsidRPr="008903D1" w14:paraId="61A51C14" w14:textId="77777777" w:rsidTr="00CD604C">
        <w:tc>
          <w:tcPr>
            <w:tcW w:w="1117" w:type="pct"/>
            <w:vAlign w:val="center"/>
          </w:tcPr>
          <w:p w14:paraId="48B64FF5" w14:textId="77777777" w:rsidR="003E0FB6" w:rsidRPr="008903D1" w:rsidRDefault="003E0FB6" w:rsidP="00CD604C">
            <w:pPr>
              <w:spacing w:line="240" w:lineRule="auto"/>
              <w:jc w:val="left"/>
              <w:rPr>
                <w:rFonts w:eastAsia="Calibri" w:cs="Times New Roman"/>
                <w:sz w:val="22"/>
              </w:rPr>
            </w:pPr>
            <w:r w:rsidRPr="008903D1">
              <w:rPr>
                <w:rFonts w:cs="Times New Roman"/>
                <w:sz w:val="22"/>
              </w:rPr>
              <w:t>ENCLOSE</w:t>
            </w:r>
          </w:p>
        </w:tc>
        <w:tc>
          <w:tcPr>
            <w:tcW w:w="2024" w:type="pct"/>
            <w:vAlign w:val="center"/>
          </w:tcPr>
          <w:p w14:paraId="1526462B" w14:textId="0D14D14C" w:rsidR="003E0FB6" w:rsidRPr="008903D1" w:rsidRDefault="003E0FB6" w:rsidP="00CD604C">
            <w:pPr>
              <w:spacing w:line="240" w:lineRule="auto"/>
              <w:jc w:val="left"/>
              <w:rPr>
                <w:rFonts w:cs="Times New Roman"/>
                <w:sz w:val="22"/>
              </w:rPr>
            </w:pPr>
            <w:r w:rsidRPr="008903D1">
              <w:rPr>
                <w:rFonts w:cs="Times New Roman"/>
                <w:sz w:val="22"/>
              </w:rPr>
              <w:t>The project funded by the European Commission under the </w:t>
            </w:r>
            <w:hyperlink r:id="rId36" w:history="1">
              <w:r w:rsidRPr="008903D1">
                <w:rPr>
                  <w:rFonts w:cs="Times New Roman"/>
                  <w:sz w:val="22"/>
                </w:rPr>
                <w:t>Intelligent Energy – Europe</w:t>
              </w:r>
            </w:hyperlink>
            <w:r w:rsidRPr="008903D1">
              <w:rPr>
                <w:rFonts w:cs="Times New Roman"/>
                <w:b/>
                <w:bCs/>
                <w:sz w:val="22"/>
              </w:rPr>
              <w:t> </w:t>
            </w:r>
            <w:r w:rsidRPr="008903D1">
              <w:rPr>
                <w:rFonts w:cs="Times New Roman"/>
                <w:sz w:val="22"/>
              </w:rPr>
              <w:t xml:space="preserve">(IEE) </w:t>
            </w:r>
            <w:proofErr w:type="spellStart"/>
            <w:r w:rsidRPr="008903D1">
              <w:rPr>
                <w:rFonts w:cs="Times New Roman"/>
                <w:sz w:val="22"/>
              </w:rPr>
              <w:t>programme</w:t>
            </w:r>
            <w:proofErr w:type="spellEnd"/>
            <w:r w:rsidRPr="008903D1">
              <w:rPr>
                <w:rFonts w:cs="Times New Roman"/>
                <w:sz w:val="22"/>
              </w:rPr>
              <w:t> </w:t>
            </w:r>
          </w:p>
        </w:tc>
        <w:tc>
          <w:tcPr>
            <w:tcW w:w="1858" w:type="pct"/>
            <w:vAlign w:val="center"/>
          </w:tcPr>
          <w:p w14:paraId="785EA321" w14:textId="77777777" w:rsidR="003E0FB6" w:rsidRPr="008903D1" w:rsidRDefault="003E0FB6" w:rsidP="00CD604C">
            <w:pPr>
              <w:spacing w:line="240" w:lineRule="auto"/>
              <w:jc w:val="left"/>
              <w:rPr>
                <w:rFonts w:cs="Times New Roman"/>
                <w:sz w:val="22"/>
              </w:rPr>
            </w:pPr>
            <w:r w:rsidRPr="008903D1">
              <w:rPr>
                <w:rFonts w:cs="Times New Roman"/>
                <w:sz w:val="22"/>
              </w:rPr>
              <w:t>‘Guidelines: Developing a Sustainable Urban Logistics Plan’</w:t>
            </w:r>
          </w:p>
        </w:tc>
      </w:tr>
      <w:tr w:rsidR="003E0FB6" w:rsidRPr="008903D1" w14:paraId="1A6A6D21" w14:textId="77777777" w:rsidTr="00CD604C">
        <w:tc>
          <w:tcPr>
            <w:tcW w:w="1117" w:type="pct"/>
            <w:vAlign w:val="center"/>
          </w:tcPr>
          <w:p w14:paraId="1633051C" w14:textId="77777777" w:rsidR="003E0FB6" w:rsidRPr="008903D1" w:rsidRDefault="003E0FB6" w:rsidP="00CD604C">
            <w:pPr>
              <w:spacing w:line="240" w:lineRule="auto"/>
              <w:jc w:val="left"/>
              <w:rPr>
                <w:rFonts w:eastAsia="Calibri" w:cs="Times New Roman"/>
                <w:sz w:val="22"/>
              </w:rPr>
            </w:pPr>
            <w:r w:rsidRPr="008903D1">
              <w:rPr>
                <w:rFonts w:cs="Times New Roman"/>
                <w:sz w:val="22"/>
              </w:rPr>
              <w:t>SUGAR</w:t>
            </w:r>
          </w:p>
        </w:tc>
        <w:tc>
          <w:tcPr>
            <w:tcW w:w="2024" w:type="pct"/>
            <w:vAlign w:val="center"/>
          </w:tcPr>
          <w:p w14:paraId="3E57AE7B" w14:textId="77777777" w:rsidR="003E0FB6" w:rsidRPr="008903D1" w:rsidRDefault="003E0FB6" w:rsidP="00CD604C">
            <w:pPr>
              <w:spacing w:line="240" w:lineRule="auto"/>
              <w:jc w:val="left"/>
              <w:rPr>
                <w:rFonts w:cs="Times New Roman"/>
                <w:sz w:val="22"/>
              </w:rPr>
            </w:pPr>
            <w:r w:rsidRPr="008903D1">
              <w:rPr>
                <w:rFonts w:cs="Times New Roman"/>
                <w:sz w:val="22"/>
              </w:rPr>
              <w:t>A project funded by the Central European Initiative</w:t>
            </w:r>
          </w:p>
        </w:tc>
        <w:tc>
          <w:tcPr>
            <w:tcW w:w="1858" w:type="pct"/>
            <w:vAlign w:val="center"/>
          </w:tcPr>
          <w:p w14:paraId="44CD7E13" w14:textId="77777777" w:rsidR="003E0FB6" w:rsidRPr="008903D1" w:rsidRDefault="003E0FB6" w:rsidP="00CD604C">
            <w:pPr>
              <w:spacing w:line="240" w:lineRule="auto"/>
              <w:jc w:val="left"/>
              <w:rPr>
                <w:rFonts w:eastAsia="Calibri" w:cs="Times New Roman"/>
                <w:sz w:val="22"/>
              </w:rPr>
            </w:pPr>
            <w:r w:rsidRPr="008903D1">
              <w:rPr>
                <w:rFonts w:cs="Times New Roman"/>
                <w:sz w:val="22"/>
              </w:rPr>
              <w:t>‘Sustainable Urban Goods Logistics Achieved by Regional and Local Policies’</w:t>
            </w:r>
          </w:p>
        </w:tc>
      </w:tr>
      <w:tr w:rsidR="003E0FB6" w:rsidRPr="008903D1" w14:paraId="585F9656" w14:textId="77777777" w:rsidTr="00CD604C">
        <w:tc>
          <w:tcPr>
            <w:tcW w:w="1117" w:type="pct"/>
            <w:vMerge w:val="restart"/>
            <w:vAlign w:val="center"/>
          </w:tcPr>
          <w:p w14:paraId="7FE956BD" w14:textId="77777777" w:rsidR="003E0FB6" w:rsidRPr="008903D1" w:rsidRDefault="003E0FB6" w:rsidP="00CD604C">
            <w:pPr>
              <w:spacing w:line="240" w:lineRule="auto"/>
              <w:jc w:val="left"/>
              <w:rPr>
                <w:rFonts w:eastAsia="Calibri" w:cs="Times New Roman"/>
                <w:sz w:val="22"/>
              </w:rPr>
            </w:pPr>
            <w:r w:rsidRPr="008903D1">
              <w:rPr>
                <w:rFonts w:cs="Times New Roman"/>
                <w:sz w:val="22"/>
              </w:rPr>
              <w:t>CIVITAS</w:t>
            </w:r>
          </w:p>
          <w:p w14:paraId="35B18300" w14:textId="77777777" w:rsidR="003E0FB6" w:rsidRPr="008903D1" w:rsidRDefault="003E0FB6" w:rsidP="00CD604C">
            <w:pPr>
              <w:spacing w:line="240" w:lineRule="auto"/>
              <w:jc w:val="left"/>
              <w:rPr>
                <w:rFonts w:eastAsia="Calibri" w:cs="Times New Roman"/>
                <w:sz w:val="22"/>
              </w:rPr>
            </w:pPr>
          </w:p>
        </w:tc>
        <w:tc>
          <w:tcPr>
            <w:tcW w:w="2024" w:type="pct"/>
            <w:vMerge w:val="restart"/>
            <w:vAlign w:val="center"/>
          </w:tcPr>
          <w:p w14:paraId="75FB7807" w14:textId="77777777" w:rsidR="003E0FB6" w:rsidRPr="008903D1" w:rsidRDefault="003E0FB6" w:rsidP="00CD604C">
            <w:pPr>
              <w:spacing w:line="240" w:lineRule="auto"/>
              <w:jc w:val="left"/>
              <w:rPr>
                <w:rFonts w:cs="Times New Roman"/>
                <w:sz w:val="22"/>
              </w:rPr>
            </w:pPr>
            <w:r w:rsidRPr="008903D1">
              <w:rPr>
                <w:rFonts w:cs="Times New Roman"/>
                <w:sz w:val="22"/>
              </w:rPr>
              <w:t>CIVITAS is a network dedicated to cleaner, better transport in Europe and beyond, financed by the European Commission (EC)</w:t>
            </w:r>
          </w:p>
        </w:tc>
        <w:tc>
          <w:tcPr>
            <w:tcW w:w="1858" w:type="pct"/>
            <w:vAlign w:val="center"/>
          </w:tcPr>
          <w:p w14:paraId="4B38AD5D" w14:textId="77777777" w:rsidR="003E0FB6" w:rsidRPr="008903D1" w:rsidRDefault="003E0FB6" w:rsidP="00CD604C">
            <w:pPr>
              <w:spacing w:line="240" w:lineRule="auto"/>
              <w:jc w:val="left"/>
              <w:rPr>
                <w:rFonts w:eastAsia="Calibri" w:cs="Times New Roman"/>
                <w:sz w:val="22"/>
              </w:rPr>
            </w:pPr>
            <w:r w:rsidRPr="008903D1">
              <w:rPr>
                <w:rFonts w:cs="Times New Roman"/>
                <w:sz w:val="22"/>
              </w:rPr>
              <w:t>‘Cluster Report 4: Logistics and Good Distribution’</w:t>
            </w:r>
          </w:p>
        </w:tc>
      </w:tr>
      <w:tr w:rsidR="003E0FB6" w:rsidRPr="008903D1" w14:paraId="25CC7ACF" w14:textId="77777777" w:rsidTr="00CD604C">
        <w:tc>
          <w:tcPr>
            <w:tcW w:w="1117" w:type="pct"/>
            <w:vMerge/>
            <w:vAlign w:val="center"/>
          </w:tcPr>
          <w:p w14:paraId="66173B01" w14:textId="77777777" w:rsidR="003E0FB6" w:rsidRPr="008903D1" w:rsidRDefault="003E0FB6" w:rsidP="00CD604C">
            <w:pPr>
              <w:spacing w:line="240" w:lineRule="auto"/>
              <w:jc w:val="left"/>
              <w:rPr>
                <w:rFonts w:eastAsia="Calibri" w:cs="Times New Roman"/>
                <w:sz w:val="22"/>
              </w:rPr>
            </w:pPr>
          </w:p>
        </w:tc>
        <w:tc>
          <w:tcPr>
            <w:tcW w:w="2024" w:type="pct"/>
            <w:vMerge/>
            <w:vAlign w:val="center"/>
          </w:tcPr>
          <w:p w14:paraId="243F866F" w14:textId="77777777" w:rsidR="003E0FB6" w:rsidRPr="008903D1" w:rsidRDefault="003E0FB6" w:rsidP="00CD604C">
            <w:pPr>
              <w:spacing w:line="240" w:lineRule="auto"/>
              <w:jc w:val="left"/>
              <w:rPr>
                <w:rFonts w:cs="Times New Roman"/>
                <w:sz w:val="22"/>
              </w:rPr>
            </w:pPr>
          </w:p>
        </w:tc>
        <w:tc>
          <w:tcPr>
            <w:tcW w:w="1858" w:type="pct"/>
            <w:vAlign w:val="center"/>
          </w:tcPr>
          <w:p w14:paraId="34150779" w14:textId="77777777" w:rsidR="003E0FB6" w:rsidRPr="008903D1" w:rsidRDefault="003E0FB6" w:rsidP="00CD604C">
            <w:pPr>
              <w:spacing w:line="240" w:lineRule="auto"/>
              <w:jc w:val="left"/>
              <w:rPr>
                <w:rFonts w:eastAsia="Calibri" w:cs="Times New Roman"/>
                <w:sz w:val="22"/>
              </w:rPr>
            </w:pPr>
            <w:r w:rsidRPr="008903D1">
              <w:rPr>
                <w:rFonts w:cs="Times New Roman"/>
                <w:sz w:val="22"/>
              </w:rPr>
              <w:t>‘Policy Recommendations’</w:t>
            </w:r>
          </w:p>
        </w:tc>
      </w:tr>
      <w:tr w:rsidR="003E0FB6" w:rsidRPr="008903D1" w14:paraId="0183D436" w14:textId="77777777" w:rsidTr="00CD604C">
        <w:tc>
          <w:tcPr>
            <w:tcW w:w="1117" w:type="pct"/>
            <w:vAlign w:val="center"/>
          </w:tcPr>
          <w:p w14:paraId="3090267A" w14:textId="77777777" w:rsidR="003E0FB6" w:rsidRPr="008903D1" w:rsidRDefault="003E0FB6" w:rsidP="00CD604C">
            <w:pPr>
              <w:spacing w:line="240" w:lineRule="auto"/>
              <w:jc w:val="left"/>
              <w:rPr>
                <w:rFonts w:cs="Times New Roman"/>
                <w:sz w:val="22"/>
              </w:rPr>
            </w:pPr>
            <w:r w:rsidRPr="008903D1">
              <w:rPr>
                <w:rFonts w:cs="Times New Roman"/>
                <w:sz w:val="22"/>
              </w:rPr>
              <w:t>TURBLOG</w:t>
            </w:r>
          </w:p>
        </w:tc>
        <w:tc>
          <w:tcPr>
            <w:tcW w:w="2024" w:type="pct"/>
            <w:vMerge w:val="restart"/>
            <w:vAlign w:val="center"/>
          </w:tcPr>
          <w:p w14:paraId="2520D08B" w14:textId="77777777" w:rsidR="003E0FB6" w:rsidRPr="008903D1" w:rsidRDefault="003E0FB6" w:rsidP="00CD604C">
            <w:pPr>
              <w:spacing w:line="240" w:lineRule="auto"/>
              <w:jc w:val="left"/>
              <w:rPr>
                <w:rFonts w:cs="Times New Roman"/>
                <w:sz w:val="22"/>
              </w:rPr>
            </w:pPr>
            <w:r w:rsidRPr="008903D1">
              <w:rPr>
                <w:rFonts w:cs="Times New Roman"/>
                <w:sz w:val="22"/>
              </w:rPr>
              <w:t>The TURBLOG project concerns the transferability of urban logistics (UL) concepts and practices, from a worldwide perspective</w:t>
            </w:r>
          </w:p>
        </w:tc>
        <w:tc>
          <w:tcPr>
            <w:tcW w:w="1858" w:type="pct"/>
            <w:vAlign w:val="center"/>
          </w:tcPr>
          <w:p w14:paraId="76ED1D24" w14:textId="77777777" w:rsidR="003E0FB6" w:rsidRPr="008903D1" w:rsidRDefault="003E0FB6" w:rsidP="00CD604C">
            <w:pPr>
              <w:spacing w:line="240" w:lineRule="auto"/>
              <w:jc w:val="left"/>
              <w:rPr>
                <w:rFonts w:cs="Times New Roman"/>
                <w:sz w:val="22"/>
              </w:rPr>
            </w:pPr>
            <w:r w:rsidRPr="008903D1">
              <w:rPr>
                <w:rFonts w:cs="Times New Roman"/>
                <w:sz w:val="22"/>
              </w:rPr>
              <w:t>‘Urban Logistics Practices Synthesis of Selected Case Studies’</w:t>
            </w:r>
          </w:p>
        </w:tc>
      </w:tr>
      <w:tr w:rsidR="003E0FB6" w:rsidRPr="008903D1" w14:paraId="2148277D" w14:textId="77777777" w:rsidTr="00CD604C">
        <w:tc>
          <w:tcPr>
            <w:tcW w:w="1117" w:type="pct"/>
            <w:vAlign w:val="center"/>
          </w:tcPr>
          <w:p w14:paraId="3970BEE9" w14:textId="77777777" w:rsidR="003E0FB6" w:rsidRPr="008903D1" w:rsidRDefault="003E0FB6" w:rsidP="00CD604C">
            <w:pPr>
              <w:spacing w:line="240" w:lineRule="auto"/>
              <w:jc w:val="left"/>
              <w:rPr>
                <w:rFonts w:cs="Times New Roman"/>
                <w:sz w:val="22"/>
              </w:rPr>
            </w:pPr>
            <w:r w:rsidRPr="008903D1">
              <w:rPr>
                <w:rFonts w:cs="Times New Roman"/>
                <w:sz w:val="22"/>
              </w:rPr>
              <w:t>TURBLOG</w:t>
            </w:r>
          </w:p>
        </w:tc>
        <w:tc>
          <w:tcPr>
            <w:tcW w:w="2024" w:type="pct"/>
            <w:vMerge/>
            <w:vAlign w:val="center"/>
          </w:tcPr>
          <w:p w14:paraId="3558B954" w14:textId="77777777" w:rsidR="003E0FB6" w:rsidRPr="008903D1" w:rsidRDefault="003E0FB6" w:rsidP="00CD604C">
            <w:pPr>
              <w:spacing w:line="240" w:lineRule="auto"/>
              <w:jc w:val="left"/>
              <w:rPr>
                <w:rFonts w:cs="Times New Roman"/>
                <w:sz w:val="22"/>
              </w:rPr>
            </w:pPr>
          </w:p>
        </w:tc>
        <w:tc>
          <w:tcPr>
            <w:tcW w:w="1858" w:type="pct"/>
            <w:vAlign w:val="center"/>
          </w:tcPr>
          <w:p w14:paraId="27CA91CD" w14:textId="77777777" w:rsidR="003E0FB6" w:rsidRPr="008903D1" w:rsidRDefault="003E0FB6" w:rsidP="00CD604C">
            <w:pPr>
              <w:spacing w:line="240" w:lineRule="auto"/>
              <w:jc w:val="left"/>
              <w:rPr>
                <w:rFonts w:cs="Times New Roman"/>
                <w:sz w:val="22"/>
              </w:rPr>
            </w:pPr>
            <w:r w:rsidRPr="008903D1">
              <w:rPr>
                <w:rFonts w:cs="Times New Roman"/>
                <w:sz w:val="22"/>
              </w:rPr>
              <w:t>‘Business Concepts and Models for Urban Logistics’</w:t>
            </w:r>
          </w:p>
        </w:tc>
      </w:tr>
      <w:tr w:rsidR="003E0FB6" w:rsidRPr="008903D1" w14:paraId="33FDA7AC" w14:textId="77777777" w:rsidTr="00CD604C">
        <w:tc>
          <w:tcPr>
            <w:tcW w:w="1117" w:type="pct"/>
            <w:vAlign w:val="center"/>
          </w:tcPr>
          <w:p w14:paraId="681F9ADC" w14:textId="77777777" w:rsidR="003E0FB6" w:rsidRPr="008903D1" w:rsidRDefault="003E0FB6" w:rsidP="00CD604C">
            <w:pPr>
              <w:spacing w:line="240" w:lineRule="auto"/>
              <w:jc w:val="left"/>
              <w:rPr>
                <w:rFonts w:cs="Times New Roman"/>
                <w:sz w:val="22"/>
              </w:rPr>
            </w:pPr>
            <w:r w:rsidRPr="008903D1">
              <w:rPr>
                <w:rFonts w:cs="Times New Roman"/>
                <w:sz w:val="22"/>
              </w:rPr>
              <w:t>TURBLOG</w:t>
            </w:r>
          </w:p>
        </w:tc>
        <w:tc>
          <w:tcPr>
            <w:tcW w:w="2024" w:type="pct"/>
            <w:vMerge/>
            <w:vAlign w:val="center"/>
          </w:tcPr>
          <w:p w14:paraId="1F84C975" w14:textId="77777777" w:rsidR="003E0FB6" w:rsidRPr="008903D1" w:rsidRDefault="003E0FB6" w:rsidP="00CD604C">
            <w:pPr>
              <w:spacing w:line="240" w:lineRule="auto"/>
              <w:jc w:val="left"/>
              <w:rPr>
                <w:rFonts w:cs="Times New Roman"/>
                <w:sz w:val="22"/>
              </w:rPr>
            </w:pPr>
          </w:p>
        </w:tc>
        <w:tc>
          <w:tcPr>
            <w:tcW w:w="1858" w:type="pct"/>
            <w:vAlign w:val="center"/>
          </w:tcPr>
          <w:p w14:paraId="443157AF" w14:textId="77777777" w:rsidR="003E0FB6" w:rsidRPr="008903D1" w:rsidRDefault="003E0FB6" w:rsidP="00CD604C">
            <w:pPr>
              <w:spacing w:line="240" w:lineRule="auto"/>
              <w:jc w:val="left"/>
              <w:rPr>
                <w:rFonts w:cs="Times New Roman"/>
                <w:sz w:val="22"/>
              </w:rPr>
            </w:pPr>
            <w:r w:rsidRPr="008903D1">
              <w:rPr>
                <w:rFonts w:cs="Times New Roman"/>
                <w:sz w:val="22"/>
              </w:rPr>
              <w:t>‘Transferability Guidelines and Evaluation’</w:t>
            </w:r>
          </w:p>
        </w:tc>
      </w:tr>
      <w:tr w:rsidR="003E0FB6" w:rsidRPr="008903D1" w14:paraId="4150A207" w14:textId="77777777" w:rsidTr="00CD604C">
        <w:tc>
          <w:tcPr>
            <w:tcW w:w="1117" w:type="pct"/>
            <w:vAlign w:val="center"/>
          </w:tcPr>
          <w:p w14:paraId="251635D2" w14:textId="77777777" w:rsidR="003E0FB6" w:rsidRPr="008903D1" w:rsidRDefault="003E0FB6" w:rsidP="00CD604C">
            <w:pPr>
              <w:spacing w:line="240" w:lineRule="auto"/>
              <w:jc w:val="left"/>
              <w:rPr>
                <w:rFonts w:cs="Times New Roman"/>
                <w:sz w:val="22"/>
              </w:rPr>
            </w:pPr>
            <w:r w:rsidRPr="008903D1">
              <w:rPr>
                <w:rFonts w:cs="Times New Roman"/>
                <w:sz w:val="22"/>
              </w:rPr>
              <w:t>Buchanan and Partners Limited</w:t>
            </w:r>
          </w:p>
        </w:tc>
        <w:tc>
          <w:tcPr>
            <w:tcW w:w="2024" w:type="pct"/>
            <w:vAlign w:val="center"/>
          </w:tcPr>
          <w:p w14:paraId="601B85F0" w14:textId="77777777" w:rsidR="003E0FB6" w:rsidRPr="008903D1" w:rsidRDefault="003E0FB6" w:rsidP="00CD604C">
            <w:pPr>
              <w:spacing w:line="240" w:lineRule="auto"/>
              <w:jc w:val="left"/>
              <w:rPr>
                <w:rFonts w:cs="Times New Roman"/>
                <w:sz w:val="22"/>
              </w:rPr>
            </w:pPr>
            <w:r w:rsidRPr="008903D1">
              <w:rPr>
                <w:rFonts w:cs="Times New Roman"/>
                <w:sz w:val="22"/>
              </w:rPr>
              <w:t>A consulting company for different businesses</w:t>
            </w:r>
          </w:p>
        </w:tc>
        <w:tc>
          <w:tcPr>
            <w:tcW w:w="1858" w:type="pct"/>
            <w:vAlign w:val="center"/>
          </w:tcPr>
          <w:p w14:paraId="1AEE416D" w14:textId="77777777" w:rsidR="003E0FB6" w:rsidRPr="008903D1" w:rsidRDefault="003E0FB6" w:rsidP="00CD604C">
            <w:pPr>
              <w:spacing w:line="240" w:lineRule="auto"/>
              <w:jc w:val="left"/>
              <w:rPr>
                <w:rFonts w:cs="Times New Roman"/>
                <w:sz w:val="22"/>
              </w:rPr>
            </w:pPr>
            <w:r w:rsidRPr="008903D1">
              <w:rPr>
                <w:rFonts w:cs="Times New Roman"/>
                <w:sz w:val="22"/>
              </w:rPr>
              <w:t>‘Sustainable Urban Distribution (Draft Report)’</w:t>
            </w:r>
          </w:p>
        </w:tc>
      </w:tr>
      <w:tr w:rsidR="003E0FB6" w:rsidRPr="008903D1" w14:paraId="7D538BA5" w14:textId="77777777" w:rsidTr="00CD604C">
        <w:trPr>
          <w:trHeight w:val="416"/>
        </w:trPr>
        <w:tc>
          <w:tcPr>
            <w:tcW w:w="1117" w:type="pct"/>
            <w:vAlign w:val="center"/>
          </w:tcPr>
          <w:p w14:paraId="4D64BF8F" w14:textId="77777777" w:rsidR="003E0FB6" w:rsidRPr="008903D1" w:rsidRDefault="003E0FB6" w:rsidP="00CD604C">
            <w:pPr>
              <w:spacing w:line="240" w:lineRule="auto"/>
              <w:jc w:val="left"/>
              <w:rPr>
                <w:rFonts w:cs="Times New Roman"/>
                <w:sz w:val="22"/>
              </w:rPr>
            </w:pPr>
            <w:r w:rsidRPr="008903D1">
              <w:rPr>
                <w:rFonts w:cs="Times New Roman"/>
                <w:sz w:val="22"/>
              </w:rPr>
              <w:t>Transport &amp; Travel Research Ltd</w:t>
            </w:r>
          </w:p>
        </w:tc>
        <w:tc>
          <w:tcPr>
            <w:tcW w:w="2024" w:type="pct"/>
            <w:vAlign w:val="center"/>
          </w:tcPr>
          <w:p w14:paraId="2D15A2B3" w14:textId="77777777" w:rsidR="003E0FB6" w:rsidRPr="008903D1" w:rsidRDefault="003E0FB6" w:rsidP="00CD604C">
            <w:pPr>
              <w:spacing w:line="240" w:lineRule="auto"/>
              <w:jc w:val="left"/>
              <w:rPr>
                <w:rFonts w:cs="Times New Roman"/>
                <w:sz w:val="22"/>
              </w:rPr>
            </w:pPr>
            <w:r w:rsidRPr="008903D1">
              <w:rPr>
                <w:rFonts w:cs="Times New Roman"/>
                <w:sz w:val="22"/>
              </w:rPr>
              <w:t xml:space="preserve">A company working for world-class transport and mobility solutions that underpin tomorrow’s economy and </w:t>
            </w:r>
            <w:proofErr w:type="gramStart"/>
            <w:r w:rsidRPr="008903D1">
              <w:rPr>
                <w:rFonts w:cs="Times New Roman"/>
                <w:sz w:val="22"/>
              </w:rPr>
              <w:t>society</w:t>
            </w:r>
            <w:proofErr w:type="gramEnd"/>
          </w:p>
          <w:p w14:paraId="320F6706" w14:textId="77777777" w:rsidR="003E0FB6" w:rsidRPr="008903D1" w:rsidRDefault="003E0FB6" w:rsidP="00CD604C">
            <w:pPr>
              <w:spacing w:line="240" w:lineRule="auto"/>
              <w:jc w:val="left"/>
              <w:rPr>
                <w:rFonts w:cs="Times New Roman"/>
                <w:sz w:val="22"/>
              </w:rPr>
            </w:pPr>
          </w:p>
        </w:tc>
        <w:tc>
          <w:tcPr>
            <w:tcW w:w="1858" w:type="pct"/>
            <w:vAlign w:val="center"/>
          </w:tcPr>
          <w:p w14:paraId="13F01B49" w14:textId="77777777" w:rsidR="003E0FB6" w:rsidRPr="008903D1" w:rsidRDefault="003E0FB6" w:rsidP="00CD604C">
            <w:pPr>
              <w:spacing w:line="240" w:lineRule="auto"/>
              <w:jc w:val="left"/>
              <w:rPr>
                <w:rFonts w:cs="Times New Roman"/>
                <w:sz w:val="22"/>
              </w:rPr>
            </w:pPr>
            <w:r w:rsidRPr="008903D1">
              <w:rPr>
                <w:rFonts w:cs="Times New Roman"/>
                <w:sz w:val="22"/>
              </w:rPr>
              <w:t>‘Freight Consolidation Centre Study (Main Report)’</w:t>
            </w:r>
          </w:p>
        </w:tc>
      </w:tr>
      <w:tr w:rsidR="003E0FB6" w:rsidRPr="008903D1" w14:paraId="3F14FC2C" w14:textId="77777777" w:rsidTr="00CD604C">
        <w:tc>
          <w:tcPr>
            <w:tcW w:w="1117" w:type="pct"/>
            <w:vAlign w:val="center"/>
          </w:tcPr>
          <w:p w14:paraId="092127C4" w14:textId="77777777" w:rsidR="003E0FB6" w:rsidRPr="008903D1" w:rsidRDefault="003E0FB6" w:rsidP="00CD604C">
            <w:pPr>
              <w:spacing w:line="240" w:lineRule="auto"/>
              <w:jc w:val="left"/>
              <w:rPr>
                <w:rFonts w:cs="Times New Roman"/>
                <w:sz w:val="22"/>
              </w:rPr>
            </w:pPr>
            <w:r w:rsidRPr="008903D1">
              <w:rPr>
                <w:rFonts w:cs="Times New Roman"/>
                <w:sz w:val="22"/>
              </w:rPr>
              <w:t>The NYURUDIN Centre for Transportation Policy and Management</w:t>
            </w:r>
          </w:p>
        </w:tc>
        <w:tc>
          <w:tcPr>
            <w:tcW w:w="2024" w:type="pct"/>
            <w:vAlign w:val="center"/>
          </w:tcPr>
          <w:p w14:paraId="57FF3031" w14:textId="72AE0223" w:rsidR="003E0FB6" w:rsidRPr="008903D1" w:rsidRDefault="000306D9" w:rsidP="00CD604C">
            <w:pPr>
              <w:spacing w:line="240" w:lineRule="auto"/>
              <w:jc w:val="left"/>
              <w:rPr>
                <w:rFonts w:cs="Times New Roman"/>
                <w:sz w:val="22"/>
              </w:rPr>
            </w:pPr>
            <w:hyperlink r:id="rId37" w:tgtFrame="_blank" w:history="1">
              <w:r w:rsidR="003E0FB6" w:rsidRPr="008903D1">
                <w:rPr>
                  <w:rFonts w:cs="Times New Roman"/>
                  <w:sz w:val="22"/>
                </w:rPr>
                <w:t>The Rudin Center for Transportation Policy and Management</w:t>
              </w:r>
            </w:hyperlink>
            <w:r w:rsidR="003E0FB6" w:rsidRPr="008903D1">
              <w:rPr>
                <w:rFonts w:cs="Times New Roman"/>
                <w:sz w:val="22"/>
              </w:rPr>
              <w:t> at NYU Wagner explores challenges in transportation and infrastructure</w:t>
            </w:r>
          </w:p>
        </w:tc>
        <w:tc>
          <w:tcPr>
            <w:tcW w:w="1858" w:type="pct"/>
            <w:vAlign w:val="center"/>
          </w:tcPr>
          <w:p w14:paraId="73E8A529" w14:textId="77777777" w:rsidR="003E0FB6" w:rsidRPr="008903D1" w:rsidRDefault="003E0FB6" w:rsidP="00CD604C">
            <w:pPr>
              <w:spacing w:line="240" w:lineRule="auto"/>
              <w:jc w:val="left"/>
              <w:rPr>
                <w:rFonts w:cs="Times New Roman"/>
                <w:sz w:val="22"/>
              </w:rPr>
            </w:pPr>
            <w:r w:rsidRPr="008903D1">
              <w:rPr>
                <w:rFonts w:cs="Times New Roman"/>
                <w:sz w:val="22"/>
              </w:rPr>
              <w:t xml:space="preserve">‘Urban Distribution </w:t>
            </w:r>
            <w:proofErr w:type="spellStart"/>
            <w:r w:rsidRPr="008903D1">
              <w:rPr>
                <w:rFonts w:cs="Times New Roman"/>
                <w:sz w:val="22"/>
              </w:rPr>
              <w:t>Centres</w:t>
            </w:r>
            <w:proofErr w:type="spellEnd"/>
            <w:r w:rsidRPr="008903D1">
              <w:rPr>
                <w:rFonts w:cs="Times New Roman"/>
                <w:sz w:val="22"/>
              </w:rPr>
              <w:t>: A Means to Reducing Freight Vehicle Miles Traveled’</w:t>
            </w:r>
          </w:p>
        </w:tc>
      </w:tr>
      <w:tr w:rsidR="003E0FB6" w:rsidRPr="008903D1" w14:paraId="51F8A2A3" w14:textId="77777777" w:rsidTr="00CD604C">
        <w:tc>
          <w:tcPr>
            <w:tcW w:w="1117" w:type="pct"/>
          </w:tcPr>
          <w:p w14:paraId="231AFB94" w14:textId="77777777" w:rsidR="003E0FB6" w:rsidRPr="008903D1" w:rsidRDefault="003E0FB6" w:rsidP="00CD604C">
            <w:pPr>
              <w:spacing w:line="240" w:lineRule="auto"/>
              <w:rPr>
                <w:rFonts w:cs="Times New Roman"/>
                <w:sz w:val="22"/>
              </w:rPr>
            </w:pPr>
            <w:r w:rsidRPr="008903D1">
              <w:rPr>
                <w:rFonts w:cs="Times New Roman"/>
                <w:sz w:val="22"/>
              </w:rPr>
              <w:t>Transport for London</w:t>
            </w:r>
          </w:p>
        </w:tc>
        <w:tc>
          <w:tcPr>
            <w:tcW w:w="2024" w:type="pct"/>
            <w:vAlign w:val="center"/>
          </w:tcPr>
          <w:p w14:paraId="5D321D34" w14:textId="77777777" w:rsidR="003E0FB6" w:rsidRPr="008903D1" w:rsidRDefault="003E0FB6" w:rsidP="00CD604C">
            <w:pPr>
              <w:spacing w:line="240" w:lineRule="auto"/>
              <w:jc w:val="left"/>
              <w:rPr>
                <w:rFonts w:cs="Times New Roman"/>
                <w:sz w:val="22"/>
              </w:rPr>
            </w:pPr>
            <w:r w:rsidRPr="008903D1">
              <w:rPr>
                <w:rFonts w:cs="Times New Roman"/>
                <w:sz w:val="22"/>
              </w:rPr>
              <w:t>The company providing public transportation in London</w:t>
            </w:r>
          </w:p>
        </w:tc>
        <w:tc>
          <w:tcPr>
            <w:tcW w:w="1858" w:type="pct"/>
            <w:vAlign w:val="center"/>
          </w:tcPr>
          <w:p w14:paraId="669735D2" w14:textId="77777777" w:rsidR="003E0FB6" w:rsidRPr="008903D1" w:rsidRDefault="003E0FB6" w:rsidP="00CD604C">
            <w:pPr>
              <w:spacing w:line="240" w:lineRule="auto"/>
              <w:jc w:val="left"/>
              <w:rPr>
                <w:rFonts w:cs="Times New Roman"/>
                <w:sz w:val="22"/>
              </w:rPr>
            </w:pPr>
            <w:r w:rsidRPr="008903D1">
              <w:rPr>
                <w:rFonts w:cs="Times New Roman"/>
                <w:sz w:val="22"/>
              </w:rPr>
              <w:t>‘Rethinking Deliveries Report’</w:t>
            </w:r>
          </w:p>
        </w:tc>
      </w:tr>
      <w:tr w:rsidR="003E0FB6" w:rsidRPr="008903D1" w14:paraId="7824D905" w14:textId="77777777" w:rsidTr="00CD604C">
        <w:tc>
          <w:tcPr>
            <w:tcW w:w="1117" w:type="pct"/>
          </w:tcPr>
          <w:p w14:paraId="4A842FE4" w14:textId="77777777" w:rsidR="003E0FB6" w:rsidRPr="008903D1" w:rsidRDefault="003E0FB6" w:rsidP="00CD604C">
            <w:pPr>
              <w:spacing w:line="240" w:lineRule="auto"/>
              <w:rPr>
                <w:rFonts w:cs="Times New Roman"/>
                <w:sz w:val="22"/>
              </w:rPr>
            </w:pPr>
            <w:r w:rsidRPr="008903D1">
              <w:rPr>
                <w:rFonts w:cs="Times New Roman"/>
                <w:sz w:val="22"/>
              </w:rPr>
              <w:t>University of Westminster</w:t>
            </w:r>
          </w:p>
        </w:tc>
        <w:tc>
          <w:tcPr>
            <w:tcW w:w="2024" w:type="pct"/>
            <w:vAlign w:val="center"/>
          </w:tcPr>
          <w:p w14:paraId="4C2E0E27" w14:textId="77777777" w:rsidR="003E0FB6" w:rsidRPr="008903D1" w:rsidRDefault="003E0FB6" w:rsidP="00CD604C">
            <w:pPr>
              <w:spacing w:line="240" w:lineRule="auto"/>
              <w:jc w:val="left"/>
              <w:rPr>
                <w:rFonts w:cs="Times New Roman"/>
                <w:sz w:val="22"/>
              </w:rPr>
            </w:pPr>
            <w:r w:rsidRPr="008903D1">
              <w:rPr>
                <w:rFonts w:cs="Times New Roman"/>
                <w:sz w:val="22"/>
              </w:rPr>
              <w:t xml:space="preserve">International Conference for Urban Distribution </w:t>
            </w:r>
            <w:proofErr w:type="spellStart"/>
            <w:r w:rsidRPr="008903D1">
              <w:rPr>
                <w:rFonts w:cs="Times New Roman"/>
                <w:sz w:val="22"/>
              </w:rPr>
              <w:t>Centres</w:t>
            </w:r>
            <w:proofErr w:type="spellEnd"/>
          </w:p>
        </w:tc>
        <w:tc>
          <w:tcPr>
            <w:tcW w:w="1858" w:type="pct"/>
            <w:vAlign w:val="center"/>
          </w:tcPr>
          <w:p w14:paraId="1DE1BD38" w14:textId="77777777" w:rsidR="003E0FB6" w:rsidRPr="008903D1" w:rsidRDefault="003E0FB6" w:rsidP="00CD604C">
            <w:pPr>
              <w:spacing w:line="240" w:lineRule="auto"/>
              <w:jc w:val="left"/>
              <w:rPr>
                <w:rFonts w:cs="Times New Roman"/>
                <w:sz w:val="22"/>
              </w:rPr>
            </w:pPr>
            <w:r w:rsidRPr="008903D1">
              <w:rPr>
                <w:rFonts w:cs="Times New Roman"/>
                <w:sz w:val="22"/>
              </w:rPr>
              <w:t xml:space="preserve">‘Urban Freight Consolidation </w:t>
            </w:r>
            <w:proofErr w:type="spellStart"/>
            <w:r w:rsidRPr="008903D1">
              <w:rPr>
                <w:rFonts w:cs="Times New Roman"/>
                <w:sz w:val="22"/>
              </w:rPr>
              <w:t>Centres</w:t>
            </w:r>
            <w:proofErr w:type="spellEnd"/>
            <w:r w:rsidRPr="008903D1">
              <w:rPr>
                <w:rFonts w:cs="Times New Roman"/>
                <w:sz w:val="22"/>
              </w:rPr>
              <w:t xml:space="preserve"> (Final Report)’</w:t>
            </w:r>
          </w:p>
        </w:tc>
      </w:tr>
      <w:tr w:rsidR="003E0FB6" w:rsidRPr="008903D1" w14:paraId="7E605E37" w14:textId="77777777" w:rsidTr="00CD604C">
        <w:tc>
          <w:tcPr>
            <w:tcW w:w="1117" w:type="pct"/>
          </w:tcPr>
          <w:p w14:paraId="38A68030" w14:textId="77777777" w:rsidR="003E0FB6" w:rsidRPr="008903D1" w:rsidRDefault="003E0FB6" w:rsidP="00CD604C">
            <w:pPr>
              <w:spacing w:line="240" w:lineRule="auto"/>
              <w:rPr>
                <w:rFonts w:cs="Times New Roman"/>
                <w:sz w:val="22"/>
              </w:rPr>
            </w:pPr>
            <w:r w:rsidRPr="008903D1">
              <w:rPr>
                <w:rFonts w:cs="Times New Roman"/>
                <w:sz w:val="22"/>
              </w:rPr>
              <w:t>University of Paris-Est</w:t>
            </w:r>
          </w:p>
        </w:tc>
        <w:tc>
          <w:tcPr>
            <w:tcW w:w="2024" w:type="pct"/>
            <w:vAlign w:val="center"/>
          </w:tcPr>
          <w:p w14:paraId="66909684" w14:textId="77777777" w:rsidR="003E0FB6" w:rsidRPr="008903D1" w:rsidRDefault="003E0FB6" w:rsidP="00CD604C">
            <w:pPr>
              <w:spacing w:line="240" w:lineRule="auto"/>
              <w:jc w:val="left"/>
              <w:rPr>
                <w:rFonts w:cs="Times New Roman"/>
                <w:sz w:val="22"/>
              </w:rPr>
            </w:pPr>
            <w:r w:rsidRPr="008903D1">
              <w:rPr>
                <w:rFonts w:cs="Times New Roman"/>
                <w:sz w:val="22"/>
              </w:rPr>
              <w:t>International Conference for Urban Logistics</w:t>
            </w:r>
          </w:p>
        </w:tc>
        <w:tc>
          <w:tcPr>
            <w:tcW w:w="1858" w:type="pct"/>
            <w:vAlign w:val="center"/>
          </w:tcPr>
          <w:p w14:paraId="53EB2111" w14:textId="77777777" w:rsidR="003E0FB6" w:rsidRPr="008903D1" w:rsidRDefault="003E0FB6" w:rsidP="00CD604C">
            <w:pPr>
              <w:spacing w:line="240" w:lineRule="auto"/>
              <w:jc w:val="left"/>
              <w:rPr>
                <w:rFonts w:cs="Times New Roman"/>
                <w:sz w:val="22"/>
              </w:rPr>
            </w:pPr>
            <w:r w:rsidRPr="008903D1">
              <w:rPr>
                <w:rFonts w:cs="Times New Roman"/>
                <w:sz w:val="22"/>
              </w:rPr>
              <w:t>Project SOLUTIONS webinar series ‘City Logistics’</w:t>
            </w:r>
          </w:p>
        </w:tc>
      </w:tr>
      <w:tr w:rsidR="003E0FB6" w:rsidRPr="008903D1" w14:paraId="0BB2BD22" w14:textId="77777777" w:rsidTr="009B0064">
        <w:trPr>
          <w:trHeight w:val="274"/>
        </w:trPr>
        <w:tc>
          <w:tcPr>
            <w:tcW w:w="1117" w:type="pct"/>
            <w:vAlign w:val="center"/>
          </w:tcPr>
          <w:p w14:paraId="520B6A67" w14:textId="77777777" w:rsidR="003E0FB6" w:rsidRPr="008903D1" w:rsidRDefault="003E0FB6" w:rsidP="009B0064">
            <w:pPr>
              <w:spacing w:line="240" w:lineRule="auto"/>
              <w:jc w:val="center"/>
              <w:rPr>
                <w:rFonts w:cs="Times New Roman"/>
                <w:sz w:val="22"/>
              </w:rPr>
            </w:pPr>
            <w:r w:rsidRPr="008903D1">
              <w:rPr>
                <w:rFonts w:cs="Times New Roman"/>
                <w:sz w:val="22"/>
              </w:rPr>
              <w:lastRenderedPageBreak/>
              <w:t xml:space="preserve">Hans </w:t>
            </w:r>
            <w:proofErr w:type="spellStart"/>
            <w:r w:rsidRPr="008903D1">
              <w:rPr>
                <w:rFonts w:cs="Times New Roman"/>
                <w:sz w:val="22"/>
              </w:rPr>
              <w:t>Quak</w:t>
            </w:r>
            <w:proofErr w:type="spellEnd"/>
          </w:p>
        </w:tc>
        <w:tc>
          <w:tcPr>
            <w:tcW w:w="2024" w:type="pct"/>
            <w:vAlign w:val="center"/>
          </w:tcPr>
          <w:p w14:paraId="1AFDC62A" w14:textId="07629FF6" w:rsidR="003E0FB6" w:rsidRPr="008903D1" w:rsidRDefault="00B9190C" w:rsidP="00CD604C">
            <w:pPr>
              <w:spacing w:line="240" w:lineRule="auto"/>
              <w:jc w:val="left"/>
              <w:rPr>
                <w:rFonts w:cs="Times New Roman"/>
                <w:sz w:val="22"/>
              </w:rPr>
            </w:pPr>
            <w:r>
              <w:rPr>
                <w:rFonts w:cs="Times New Roman"/>
                <w:sz w:val="22"/>
              </w:rPr>
              <w:t>2</w:t>
            </w:r>
            <w:r w:rsidRPr="00B9190C">
              <w:rPr>
                <w:rFonts w:cs="Times New Roman"/>
                <w:sz w:val="22"/>
                <w:vertAlign w:val="superscript"/>
              </w:rPr>
              <w:t>nd</w:t>
            </w:r>
            <w:r>
              <w:rPr>
                <w:rFonts w:cs="Times New Roman"/>
                <w:sz w:val="22"/>
              </w:rPr>
              <w:t xml:space="preserve"> Innovation in </w:t>
            </w:r>
            <w:r w:rsidR="009B0064">
              <w:rPr>
                <w:rFonts w:cs="Times New Roman"/>
                <w:sz w:val="22"/>
              </w:rPr>
              <w:t>Urban Freight International Workshop</w:t>
            </w:r>
          </w:p>
        </w:tc>
        <w:tc>
          <w:tcPr>
            <w:tcW w:w="1858" w:type="pct"/>
            <w:vAlign w:val="center"/>
          </w:tcPr>
          <w:p w14:paraId="14A7FD72" w14:textId="77777777" w:rsidR="003E0FB6" w:rsidRPr="008903D1" w:rsidRDefault="003E0FB6" w:rsidP="00CD604C">
            <w:pPr>
              <w:spacing w:line="240" w:lineRule="auto"/>
              <w:jc w:val="left"/>
              <w:rPr>
                <w:rFonts w:cs="Times New Roman"/>
                <w:sz w:val="22"/>
              </w:rPr>
            </w:pPr>
            <w:r w:rsidRPr="008903D1">
              <w:rPr>
                <w:rFonts w:cs="Times New Roman"/>
                <w:sz w:val="22"/>
              </w:rPr>
              <w:t xml:space="preserve">‘Urban Consolidation </w:t>
            </w:r>
            <w:proofErr w:type="spellStart"/>
            <w:r w:rsidRPr="008903D1">
              <w:rPr>
                <w:rFonts w:cs="Times New Roman"/>
                <w:sz w:val="22"/>
              </w:rPr>
              <w:t>Centres</w:t>
            </w:r>
            <w:proofErr w:type="spellEnd"/>
            <w:r w:rsidRPr="008903D1">
              <w:rPr>
                <w:rFonts w:cs="Times New Roman"/>
                <w:sz w:val="22"/>
              </w:rPr>
              <w:t>, A Viable Business Model and Their Role in Electric Powered City Logistics’</w:t>
            </w:r>
          </w:p>
        </w:tc>
      </w:tr>
    </w:tbl>
    <w:p w14:paraId="25520452" w14:textId="55447281" w:rsidR="00112A92" w:rsidRDefault="00112A92" w:rsidP="00697146">
      <w:pPr>
        <w:pStyle w:val="Caption"/>
        <w:spacing w:line="360" w:lineRule="auto"/>
        <w:rPr>
          <w:rFonts w:cs="Times New Roman"/>
        </w:rPr>
      </w:pPr>
      <w:bookmarkStart w:id="415" w:name="_Ref46830855"/>
      <w:bookmarkStart w:id="416" w:name="_Toc66698765"/>
      <w:r w:rsidRPr="00697146">
        <w:rPr>
          <w:rFonts w:cs="Times New Roman"/>
        </w:rPr>
        <w:t xml:space="preserve">Table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2</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14</w:t>
      </w:r>
      <w:r w:rsidR="00FE10DA">
        <w:rPr>
          <w:rFonts w:cs="Times New Roman"/>
        </w:rPr>
        <w:fldChar w:fldCharType="end"/>
      </w:r>
      <w:bookmarkEnd w:id="415"/>
      <w:r w:rsidR="00697146" w:rsidRPr="00697146">
        <w:rPr>
          <w:rFonts w:cs="Times New Roman"/>
        </w:rPr>
        <w:t xml:space="preserve">: </w:t>
      </w:r>
      <w:r w:rsidR="00697146" w:rsidRPr="008903D1">
        <w:rPr>
          <w:rFonts w:cs="Times New Roman"/>
        </w:rPr>
        <w:t>Resource list for urban consolidation centre (UCC) real case reviews</w:t>
      </w:r>
      <w:bookmarkEnd w:id="416"/>
    </w:p>
    <w:p w14:paraId="0E357524" w14:textId="47CFC1A5" w:rsidR="00E1356D" w:rsidRPr="00E1356D" w:rsidRDefault="00E1356D" w:rsidP="00E1356D">
      <w:pPr>
        <w:pStyle w:val="Heading3"/>
        <w:spacing w:line="360" w:lineRule="auto"/>
        <w:rPr>
          <w:rFonts w:cs="Times New Roman"/>
          <w:lang w:val="it-IT"/>
        </w:rPr>
      </w:pPr>
      <w:bookmarkStart w:id="417" w:name="_Toc490823585"/>
      <w:bookmarkStart w:id="418" w:name="_Toc490484790"/>
      <w:bookmarkStart w:id="419" w:name="_Toc490415384"/>
      <w:bookmarkStart w:id="420" w:name="_Toc491894845"/>
      <w:bookmarkStart w:id="421" w:name="_Toc34734507"/>
      <w:bookmarkStart w:id="422" w:name="_Toc46053425"/>
      <w:bookmarkStart w:id="423" w:name="_Toc46093339"/>
      <w:bookmarkStart w:id="424" w:name="_Toc46093622"/>
      <w:bookmarkStart w:id="425" w:name="_Toc66703196"/>
      <w:r w:rsidRPr="00777E77">
        <w:rPr>
          <w:rFonts w:cs="Times New Roman"/>
          <w:lang w:val="it-IT"/>
        </w:rPr>
        <w:t>Urban consolidation centre</w:t>
      </w:r>
      <w:r>
        <w:rPr>
          <w:rFonts w:cs="Times New Roman"/>
          <w:lang w:val="it-IT"/>
        </w:rPr>
        <w:t>s</w:t>
      </w:r>
      <w:r w:rsidRPr="00777E77">
        <w:rPr>
          <w:rFonts w:cs="Times New Roman"/>
          <w:lang w:val="it-IT"/>
        </w:rPr>
        <w:t xml:space="preserve"> (UCC</w:t>
      </w:r>
      <w:r>
        <w:rPr>
          <w:rFonts w:cs="Times New Roman"/>
          <w:lang w:val="it-IT"/>
        </w:rPr>
        <w:t>s</w:t>
      </w:r>
      <w:r w:rsidRPr="00777E77">
        <w:rPr>
          <w:rFonts w:cs="Times New Roman"/>
          <w:lang w:val="it-IT"/>
        </w:rPr>
        <w:t xml:space="preserve">) </w:t>
      </w:r>
      <w:bookmarkEnd w:id="417"/>
      <w:bookmarkEnd w:id="418"/>
      <w:bookmarkEnd w:id="419"/>
      <w:bookmarkEnd w:id="420"/>
      <w:r w:rsidRPr="00777E77">
        <w:rPr>
          <w:rFonts w:cs="Times New Roman"/>
          <w:lang w:val="it-IT"/>
        </w:rPr>
        <w:t>classification</w:t>
      </w:r>
      <w:bookmarkEnd w:id="421"/>
      <w:bookmarkEnd w:id="422"/>
      <w:bookmarkEnd w:id="423"/>
      <w:bookmarkEnd w:id="424"/>
      <w:bookmarkEnd w:id="425"/>
    </w:p>
    <w:p w14:paraId="1B20961F" w14:textId="2CF991B8" w:rsidR="008F2FC8" w:rsidRPr="00B31556" w:rsidRDefault="00EC23B8" w:rsidP="00D30CE8">
      <w:pPr>
        <w:spacing w:after="240" w:line="360" w:lineRule="auto"/>
        <w:rPr>
          <w:rFonts w:cs="Times New Roman"/>
          <w:color w:val="FF0000"/>
        </w:rPr>
      </w:pPr>
      <w:r w:rsidRPr="00B31556">
        <w:rPr>
          <w:noProof/>
          <w:color w:val="FF0000"/>
        </w:rPr>
        <w:t>Browne et al. (2005)</w:t>
      </w:r>
      <w:r w:rsidR="0071798B" w:rsidRPr="00B31556">
        <w:rPr>
          <w:rFonts w:cs="Times New Roman"/>
          <w:color w:val="FF0000"/>
        </w:rPr>
        <w:t xml:space="preserve"> divided the real-world cases into the three broad categories of study</w:t>
      </w:r>
      <w:r w:rsidR="00E5357A" w:rsidRPr="00B31556">
        <w:rPr>
          <w:rFonts w:cs="Times New Roman"/>
          <w:color w:val="FF0000"/>
        </w:rPr>
        <w:t xml:space="preserve"> based on their targeted market areas</w:t>
      </w:r>
      <w:r w:rsidR="0071798B" w:rsidRPr="00B31556">
        <w:rPr>
          <w:rFonts w:cs="Times New Roman"/>
          <w:color w:val="FF0000"/>
        </w:rPr>
        <w:t>: neighbourhood (district), town-wide, and site-specific.</w:t>
      </w:r>
      <w:r w:rsidR="006405DE" w:rsidRPr="00B31556">
        <w:rPr>
          <w:rFonts w:cs="Times New Roman"/>
          <w:color w:val="FF0000"/>
        </w:rPr>
        <w:t xml:space="preserve"> </w:t>
      </w:r>
      <w:r w:rsidR="0071798B" w:rsidRPr="00B31556">
        <w:rPr>
          <w:rFonts w:cs="Times New Roman"/>
          <w:color w:val="FF0000"/>
        </w:rPr>
        <w:fldChar w:fldCharType="begin"/>
      </w:r>
      <w:r w:rsidR="0071798B" w:rsidRPr="00B31556">
        <w:rPr>
          <w:rFonts w:cs="Times New Roman"/>
          <w:color w:val="FF0000"/>
        </w:rPr>
        <w:instrText xml:space="preserve"> REF _Ref26979281 \h </w:instrText>
      </w:r>
      <w:r w:rsidR="008903D1" w:rsidRPr="00B31556">
        <w:rPr>
          <w:rFonts w:cs="Times New Roman"/>
          <w:color w:val="FF0000"/>
        </w:rPr>
        <w:instrText xml:space="preserve"> \* MERGEFORMAT </w:instrText>
      </w:r>
      <w:r w:rsidR="0071798B" w:rsidRPr="00B31556">
        <w:rPr>
          <w:rFonts w:cs="Times New Roman"/>
          <w:color w:val="FF0000"/>
        </w:rPr>
      </w:r>
      <w:r w:rsidR="0071798B" w:rsidRPr="00B31556">
        <w:rPr>
          <w:rFonts w:cs="Times New Roman"/>
          <w:color w:val="FF0000"/>
        </w:rPr>
        <w:fldChar w:fldCharType="separate"/>
      </w:r>
      <w:r w:rsidR="0005064B" w:rsidRPr="00B31556">
        <w:rPr>
          <w:rFonts w:cs="Times New Roman"/>
          <w:color w:val="FF0000"/>
        </w:rPr>
        <w:t xml:space="preserve">Table </w:t>
      </w:r>
      <w:r w:rsidR="0005064B">
        <w:rPr>
          <w:rFonts w:cs="Times New Roman"/>
          <w:noProof/>
          <w:color w:val="FF0000"/>
        </w:rPr>
        <w:t>2</w:t>
      </w:r>
      <w:r w:rsidR="0005064B" w:rsidRPr="00B31556">
        <w:rPr>
          <w:rFonts w:cs="Times New Roman"/>
          <w:noProof/>
          <w:color w:val="FF0000"/>
        </w:rPr>
        <w:noBreakHyphen/>
      </w:r>
      <w:r w:rsidR="0005064B">
        <w:rPr>
          <w:rFonts w:cs="Times New Roman"/>
          <w:noProof/>
          <w:color w:val="FF0000"/>
        </w:rPr>
        <w:t>15</w:t>
      </w:r>
      <w:r w:rsidR="0071798B" w:rsidRPr="00B31556">
        <w:rPr>
          <w:rFonts w:cs="Times New Roman"/>
          <w:color w:val="FF0000"/>
        </w:rPr>
        <w:fldChar w:fldCharType="end"/>
      </w:r>
      <w:r w:rsidR="0071798B" w:rsidRPr="00B31556">
        <w:rPr>
          <w:rFonts w:cs="Times New Roman"/>
          <w:color w:val="FF0000"/>
        </w:rPr>
        <w:t xml:space="preserve"> provides the details of the</w:t>
      </w:r>
      <w:r w:rsidR="008F2FC8" w:rsidRPr="00B31556">
        <w:rPr>
          <w:rFonts w:cs="Times New Roman"/>
          <w:color w:val="FF0000"/>
        </w:rPr>
        <w:t xml:space="preserve"> </w:t>
      </w:r>
      <w:r w:rsidR="0071798B" w:rsidRPr="00B31556">
        <w:rPr>
          <w:rFonts w:cs="Times New Roman"/>
          <w:color w:val="FF0000"/>
        </w:rPr>
        <w:t>classifications.</w:t>
      </w:r>
    </w:p>
    <w:tbl>
      <w:tblPr>
        <w:tblStyle w:val="TableGrid"/>
        <w:tblW w:w="4998" w:type="pct"/>
        <w:jc w:val="center"/>
        <w:tblLook w:val="04A0" w:firstRow="1" w:lastRow="0" w:firstColumn="1" w:lastColumn="0" w:noHBand="0" w:noVBand="1"/>
      </w:tblPr>
      <w:tblGrid>
        <w:gridCol w:w="2830"/>
        <w:gridCol w:w="6182"/>
      </w:tblGrid>
      <w:tr w:rsidR="00B31556" w:rsidRPr="00B31556" w14:paraId="1707B352" w14:textId="77777777" w:rsidTr="008F2FC8">
        <w:trPr>
          <w:jc w:val="center"/>
        </w:trPr>
        <w:tc>
          <w:tcPr>
            <w:tcW w:w="1570" w:type="pct"/>
            <w:vAlign w:val="center"/>
          </w:tcPr>
          <w:p w14:paraId="59B23D0A" w14:textId="77777777" w:rsidR="008F2FC8" w:rsidRPr="00B31556" w:rsidRDefault="008F2FC8" w:rsidP="00060810">
            <w:pPr>
              <w:spacing w:line="240" w:lineRule="auto"/>
              <w:jc w:val="center"/>
              <w:rPr>
                <w:rFonts w:cs="Times New Roman"/>
                <w:bCs/>
                <w:color w:val="FF0000"/>
                <w:sz w:val="22"/>
                <w:lang w:val="fr-FR"/>
              </w:rPr>
            </w:pPr>
            <w:r w:rsidRPr="00B31556">
              <w:rPr>
                <w:rFonts w:cs="Times New Roman"/>
                <w:bCs/>
                <w:color w:val="FF0000"/>
                <w:sz w:val="22"/>
                <w:lang w:val="fr-FR"/>
              </w:rPr>
              <w:t>Urban consolidation centre (UCC) type</w:t>
            </w:r>
          </w:p>
        </w:tc>
        <w:tc>
          <w:tcPr>
            <w:tcW w:w="3430" w:type="pct"/>
            <w:vAlign w:val="center"/>
          </w:tcPr>
          <w:p w14:paraId="25DC7F2D" w14:textId="77777777" w:rsidR="008F2FC8" w:rsidRPr="00B31556" w:rsidRDefault="008F2FC8" w:rsidP="00060810">
            <w:pPr>
              <w:spacing w:line="240" w:lineRule="auto"/>
              <w:jc w:val="center"/>
              <w:rPr>
                <w:rFonts w:cs="Times New Roman"/>
                <w:bCs/>
                <w:color w:val="FF0000"/>
                <w:sz w:val="22"/>
              </w:rPr>
            </w:pPr>
            <w:r w:rsidRPr="00B31556">
              <w:rPr>
                <w:rFonts w:cs="Times New Roman"/>
                <w:bCs/>
                <w:color w:val="FF0000"/>
                <w:sz w:val="22"/>
              </w:rPr>
              <w:t>Description</w:t>
            </w:r>
          </w:p>
        </w:tc>
      </w:tr>
      <w:tr w:rsidR="00B31556" w:rsidRPr="00B31556" w14:paraId="15ACEF24" w14:textId="77777777" w:rsidTr="008F2FC8">
        <w:trPr>
          <w:jc w:val="center"/>
        </w:trPr>
        <w:tc>
          <w:tcPr>
            <w:tcW w:w="1570" w:type="pct"/>
            <w:vAlign w:val="center"/>
          </w:tcPr>
          <w:p w14:paraId="01D47E40" w14:textId="77777777" w:rsidR="008F2FC8" w:rsidRPr="00B31556" w:rsidRDefault="008F2FC8" w:rsidP="008F2FC8">
            <w:pPr>
              <w:spacing w:line="240" w:lineRule="auto"/>
              <w:jc w:val="center"/>
              <w:rPr>
                <w:rFonts w:cs="Times New Roman"/>
                <w:bCs/>
                <w:color w:val="FF0000"/>
                <w:sz w:val="22"/>
              </w:rPr>
            </w:pPr>
            <w:proofErr w:type="spellStart"/>
            <w:r w:rsidRPr="00B31556">
              <w:rPr>
                <w:rFonts w:cs="Times New Roman"/>
                <w:bCs/>
                <w:color w:val="FF0000"/>
                <w:sz w:val="22"/>
              </w:rPr>
              <w:t>Neighbourhood</w:t>
            </w:r>
            <w:proofErr w:type="spellEnd"/>
          </w:p>
        </w:tc>
        <w:tc>
          <w:tcPr>
            <w:tcW w:w="3430" w:type="pct"/>
          </w:tcPr>
          <w:p w14:paraId="4FFC1B37" w14:textId="1BAD1BF9" w:rsidR="008F2FC8" w:rsidRPr="00B31556" w:rsidRDefault="008F2FC8" w:rsidP="00060810">
            <w:pPr>
              <w:spacing w:line="240" w:lineRule="auto"/>
              <w:rPr>
                <w:rFonts w:cs="Times New Roman"/>
                <w:bCs/>
                <w:color w:val="FF0000"/>
                <w:sz w:val="22"/>
              </w:rPr>
            </w:pPr>
            <w:r w:rsidRPr="00B31556">
              <w:rPr>
                <w:rFonts w:cs="Times New Roman"/>
                <w:bCs/>
                <w:color w:val="FF0000"/>
                <w:sz w:val="22"/>
              </w:rPr>
              <w:t xml:space="preserve">The facility is responsible for </w:t>
            </w:r>
            <w:r w:rsidR="005E171A">
              <w:rPr>
                <w:rFonts w:cs="Times New Roman"/>
                <w:bCs/>
                <w:color w:val="FF0000"/>
                <w:sz w:val="22"/>
              </w:rPr>
              <w:t>a</w:t>
            </w:r>
            <w:r w:rsidRPr="00B31556">
              <w:rPr>
                <w:rFonts w:cs="Times New Roman"/>
                <w:bCs/>
                <w:color w:val="FF0000"/>
                <w:sz w:val="22"/>
              </w:rPr>
              <w:t xml:space="preserve"> small area</w:t>
            </w:r>
          </w:p>
        </w:tc>
      </w:tr>
      <w:tr w:rsidR="00B31556" w:rsidRPr="00B31556" w14:paraId="73E52650" w14:textId="77777777" w:rsidTr="008F2FC8">
        <w:trPr>
          <w:jc w:val="center"/>
        </w:trPr>
        <w:tc>
          <w:tcPr>
            <w:tcW w:w="1570" w:type="pct"/>
            <w:vAlign w:val="center"/>
          </w:tcPr>
          <w:p w14:paraId="1A7F90A5" w14:textId="77777777" w:rsidR="008F2FC8" w:rsidRPr="00B31556" w:rsidRDefault="008F2FC8" w:rsidP="008F2FC8">
            <w:pPr>
              <w:spacing w:line="240" w:lineRule="auto"/>
              <w:jc w:val="center"/>
              <w:rPr>
                <w:rFonts w:cs="Times New Roman"/>
                <w:bCs/>
                <w:color w:val="FF0000"/>
                <w:sz w:val="22"/>
              </w:rPr>
            </w:pPr>
            <w:r w:rsidRPr="00B31556">
              <w:rPr>
                <w:rFonts w:cs="Times New Roman"/>
                <w:bCs/>
                <w:color w:val="FF0000"/>
                <w:sz w:val="22"/>
              </w:rPr>
              <w:t>Town-wide</w:t>
            </w:r>
          </w:p>
        </w:tc>
        <w:tc>
          <w:tcPr>
            <w:tcW w:w="3430" w:type="pct"/>
          </w:tcPr>
          <w:p w14:paraId="2ADCCE5A" w14:textId="77777777" w:rsidR="008F2FC8" w:rsidRPr="00B31556" w:rsidRDefault="008F2FC8" w:rsidP="00060810">
            <w:pPr>
              <w:spacing w:line="240" w:lineRule="auto"/>
              <w:rPr>
                <w:rFonts w:cs="Times New Roman"/>
                <w:bCs/>
                <w:color w:val="FF0000"/>
                <w:sz w:val="22"/>
              </w:rPr>
            </w:pPr>
            <w:r w:rsidRPr="00B31556">
              <w:rPr>
                <w:rFonts w:cs="Times New Roman"/>
                <w:bCs/>
                <w:color w:val="FF0000"/>
                <w:sz w:val="22"/>
              </w:rPr>
              <w:t>The facility is used to deliver to the whole city (or even the area around the city)</w:t>
            </w:r>
          </w:p>
        </w:tc>
      </w:tr>
      <w:tr w:rsidR="00B31556" w:rsidRPr="00B31556" w14:paraId="0D7D6ACF" w14:textId="77777777" w:rsidTr="008F2FC8">
        <w:trPr>
          <w:jc w:val="center"/>
        </w:trPr>
        <w:tc>
          <w:tcPr>
            <w:tcW w:w="1570" w:type="pct"/>
            <w:vAlign w:val="center"/>
          </w:tcPr>
          <w:p w14:paraId="33A20151" w14:textId="77777777" w:rsidR="008F2FC8" w:rsidRPr="00B31556" w:rsidRDefault="008F2FC8" w:rsidP="008F2FC8">
            <w:pPr>
              <w:spacing w:line="240" w:lineRule="auto"/>
              <w:jc w:val="center"/>
              <w:rPr>
                <w:rFonts w:cs="Times New Roman"/>
                <w:bCs/>
                <w:color w:val="FF0000"/>
                <w:sz w:val="22"/>
              </w:rPr>
            </w:pPr>
            <w:r w:rsidRPr="00B31556">
              <w:rPr>
                <w:rFonts w:cs="Times New Roman"/>
                <w:bCs/>
                <w:color w:val="FF0000"/>
                <w:sz w:val="22"/>
              </w:rPr>
              <w:t>Site-specific</w:t>
            </w:r>
          </w:p>
        </w:tc>
        <w:tc>
          <w:tcPr>
            <w:tcW w:w="3430" w:type="pct"/>
          </w:tcPr>
          <w:p w14:paraId="69195FCF" w14:textId="77777777" w:rsidR="008F2FC8" w:rsidRPr="00B31556" w:rsidRDefault="008F2FC8" w:rsidP="00060810">
            <w:pPr>
              <w:spacing w:line="240" w:lineRule="auto"/>
              <w:rPr>
                <w:rFonts w:cs="Times New Roman"/>
                <w:bCs/>
                <w:color w:val="FF0000"/>
                <w:sz w:val="22"/>
              </w:rPr>
            </w:pPr>
            <w:r w:rsidRPr="00B31556">
              <w:rPr>
                <w:rFonts w:cs="Times New Roman"/>
                <w:bCs/>
                <w:color w:val="FF0000"/>
                <w:sz w:val="22"/>
              </w:rPr>
              <w:t>The facility is designed for a specific industry</w:t>
            </w:r>
          </w:p>
        </w:tc>
      </w:tr>
    </w:tbl>
    <w:p w14:paraId="4490AEB0" w14:textId="772FC4E5" w:rsidR="003F164F" w:rsidRPr="00B31556" w:rsidRDefault="007B5959" w:rsidP="009C21B3">
      <w:pPr>
        <w:pStyle w:val="Caption"/>
        <w:spacing w:line="360" w:lineRule="auto"/>
        <w:rPr>
          <w:rFonts w:cs="Times New Roman"/>
          <w:color w:val="FF0000"/>
        </w:rPr>
      </w:pPr>
      <w:bookmarkStart w:id="426" w:name="_Ref26979281"/>
      <w:bookmarkStart w:id="427" w:name="_Toc490928518"/>
      <w:bookmarkStart w:id="428" w:name="_Toc490415036"/>
      <w:bookmarkStart w:id="429" w:name="_Toc491870122"/>
      <w:bookmarkStart w:id="430" w:name="_Ref26979739"/>
      <w:bookmarkStart w:id="431" w:name="_Toc34674943"/>
      <w:bookmarkStart w:id="432" w:name="_Toc34734735"/>
      <w:bookmarkStart w:id="433" w:name="_Toc46053549"/>
      <w:bookmarkStart w:id="434" w:name="_Toc46093798"/>
      <w:bookmarkStart w:id="435" w:name="_Toc66698766"/>
      <w:r w:rsidRPr="00B31556">
        <w:rPr>
          <w:rFonts w:cs="Times New Roman"/>
          <w:color w:val="FF0000"/>
        </w:rPr>
        <w:t>Table</w:t>
      </w:r>
      <w:r w:rsidR="0071798B" w:rsidRPr="00B31556">
        <w:rPr>
          <w:rFonts w:cs="Times New Roman"/>
          <w:color w:val="FF0000"/>
        </w:rPr>
        <w:t xml:space="preserve"> </w:t>
      </w:r>
      <w:r w:rsidR="00FE10DA" w:rsidRPr="00B31556">
        <w:rPr>
          <w:rFonts w:cs="Times New Roman"/>
          <w:color w:val="FF0000"/>
        </w:rPr>
        <w:fldChar w:fldCharType="begin"/>
      </w:r>
      <w:r w:rsidR="00FE10DA" w:rsidRPr="00B31556">
        <w:rPr>
          <w:rFonts w:cs="Times New Roman"/>
          <w:color w:val="FF0000"/>
        </w:rPr>
        <w:instrText xml:space="preserve"> STYLEREF 1 \s </w:instrText>
      </w:r>
      <w:r w:rsidR="00FE10DA" w:rsidRPr="00B31556">
        <w:rPr>
          <w:rFonts w:cs="Times New Roman"/>
          <w:color w:val="FF0000"/>
        </w:rPr>
        <w:fldChar w:fldCharType="separate"/>
      </w:r>
      <w:r w:rsidR="0005064B">
        <w:rPr>
          <w:rFonts w:cs="Times New Roman"/>
          <w:noProof/>
          <w:color w:val="FF0000"/>
        </w:rPr>
        <w:t>2</w:t>
      </w:r>
      <w:r w:rsidR="00FE10DA" w:rsidRPr="00B31556">
        <w:rPr>
          <w:rFonts w:cs="Times New Roman"/>
          <w:color w:val="FF0000"/>
        </w:rPr>
        <w:fldChar w:fldCharType="end"/>
      </w:r>
      <w:r w:rsidR="00FE10DA" w:rsidRPr="00B31556">
        <w:rPr>
          <w:rFonts w:cs="Times New Roman"/>
          <w:color w:val="FF0000"/>
        </w:rPr>
        <w:noBreakHyphen/>
      </w:r>
      <w:r w:rsidR="00FE10DA" w:rsidRPr="00B31556">
        <w:rPr>
          <w:rFonts w:cs="Times New Roman"/>
          <w:color w:val="FF0000"/>
        </w:rPr>
        <w:fldChar w:fldCharType="begin"/>
      </w:r>
      <w:r w:rsidR="00FE10DA" w:rsidRPr="00B31556">
        <w:rPr>
          <w:rFonts w:cs="Times New Roman"/>
          <w:color w:val="FF0000"/>
        </w:rPr>
        <w:instrText xml:space="preserve"> SEQ Table \* ARABIC \s 1 </w:instrText>
      </w:r>
      <w:r w:rsidR="00FE10DA" w:rsidRPr="00B31556">
        <w:rPr>
          <w:rFonts w:cs="Times New Roman"/>
          <w:color w:val="FF0000"/>
        </w:rPr>
        <w:fldChar w:fldCharType="separate"/>
      </w:r>
      <w:r w:rsidR="0005064B">
        <w:rPr>
          <w:rFonts w:cs="Times New Roman"/>
          <w:noProof/>
          <w:color w:val="FF0000"/>
        </w:rPr>
        <w:t>15</w:t>
      </w:r>
      <w:r w:rsidR="00FE10DA" w:rsidRPr="00B31556">
        <w:rPr>
          <w:rFonts w:cs="Times New Roman"/>
          <w:color w:val="FF0000"/>
        </w:rPr>
        <w:fldChar w:fldCharType="end"/>
      </w:r>
      <w:bookmarkEnd w:id="426"/>
      <w:r w:rsidR="00AF217C" w:rsidRPr="00B31556">
        <w:rPr>
          <w:rFonts w:cs="Times New Roman"/>
          <w:color w:val="FF0000"/>
        </w:rPr>
        <w:t>:</w:t>
      </w:r>
      <w:r w:rsidR="0071798B" w:rsidRPr="00B31556">
        <w:rPr>
          <w:rFonts w:cs="Times New Roman"/>
          <w:color w:val="FF0000"/>
        </w:rPr>
        <w:t xml:space="preserve"> Urban consolidation centre</w:t>
      </w:r>
      <w:r w:rsidR="00816D86" w:rsidRPr="00B31556">
        <w:rPr>
          <w:rFonts w:cs="Times New Roman"/>
          <w:color w:val="FF0000"/>
        </w:rPr>
        <w:t>s</w:t>
      </w:r>
      <w:r w:rsidR="0071798B" w:rsidRPr="00B31556">
        <w:rPr>
          <w:rFonts w:cs="Times New Roman"/>
          <w:color w:val="FF0000"/>
        </w:rPr>
        <w:t xml:space="preserve"> (UCC</w:t>
      </w:r>
      <w:r w:rsidR="00816D86" w:rsidRPr="00B31556">
        <w:rPr>
          <w:rFonts w:cs="Times New Roman"/>
          <w:color w:val="FF0000"/>
        </w:rPr>
        <w:t>s</w:t>
      </w:r>
      <w:r w:rsidR="0071798B" w:rsidRPr="00B31556">
        <w:rPr>
          <w:rFonts w:cs="Times New Roman"/>
          <w:color w:val="FF0000"/>
        </w:rPr>
        <w:t>) classification</w:t>
      </w:r>
      <w:bookmarkStart w:id="436" w:name="_Toc477972785"/>
      <w:bookmarkStart w:id="437" w:name="_Toc477867178"/>
      <w:bookmarkEnd w:id="427"/>
      <w:bookmarkEnd w:id="428"/>
      <w:bookmarkEnd w:id="429"/>
      <w:bookmarkEnd w:id="430"/>
      <w:r w:rsidR="0071798B" w:rsidRPr="00B31556">
        <w:rPr>
          <w:rFonts w:cs="Times New Roman"/>
          <w:color w:val="FF0000"/>
        </w:rPr>
        <w:t xml:space="preserve"> (Browne et al., 2005)</w:t>
      </w:r>
      <w:bookmarkEnd w:id="431"/>
      <w:bookmarkEnd w:id="432"/>
      <w:bookmarkEnd w:id="433"/>
      <w:bookmarkEnd w:id="434"/>
      <w:bookmarkEnd w:id="435"/>
    </w:p>
    <w:p w14:paraId="33D9DE26" w14:textId="77777777" w:rsidR="000F71D6" w:rsidRPr="000F71D6" w:rsidRDefault="000F71D6" w:rsidP="000F71D6">
      <w:pPr>
        <w:spacing w:after="240" w:line="360" w:lineRule="auto"/>
        <w:rPr>
          <w:rFonts w:asciiTheme="majorBidi" w:hAnsiTheme="majorBidi" w:cstheme="majorBidi"/>
          <w:color w:val="FF0000"/>
        </w:rPr>
      </w:pPr>
      <w:r w:rsidRPr="000F71D6">
        <w:rPr>
          <w:rFonts w:cs="Times New Roman"/>
          <w:color w:val="FF0000"/>
          <w:szCs w:val="24"/>
        </w:rPr>
        <w:t>This research involved a multiple-case study that investigated two operational UCCs in Sweden and two in China. One of the Swedish cases is a neighbourhood UCC built in Stockholm city centre to serve the business area and handle normal parcels. The other Swedish case is a site-specific UCC, which tranships the construction materials into the Stockholm Royal Seaport</w:t>
      </w:r>
      <w:r w:rsidRPr="000F71D6">
        <w:rPr>
          <w:rFonts w:asciiTheme="majorBidi" w:hAnsiTheme="majorBidi" w:cstheme="majorBidi"/>
          <w:color w:val="FF0000"/>
        </w:rPr>
        <w:t xml:space="preserve">. Both of the investigated Chinese cases are </w:t>
      </w:r>
      <w:proofErr w:type="gramStart"/>
      <w:r w:rsidRPr="000F71D6">
        <w:rPr>
          <w:rFonts w:asciiTheme="majorBidi" w:hAnsiTheme="majorBidi" w:cstheme="majorBidi"/>
          <w:color w:val="FF0000"/>
        </w:rPr>
        <w:t>town-wide</w:t>
      </w:r>
      <w:proofErr w:type="gramEnd"/>
      <w:r w:rsidRPr="000F71D6">
        <w:rPr>
          <w:rFonts w:asciiTheme="majorBidi" w:hAnsiTheme="majorBidi" w:cstheme="majorBidi"/>
          <w:color w:val="FF0000"/>
        </w:rPr>
        <w:t xml:space="preserve"> UCCs in Wuhan. The first one delivers medicine and medical equipment, and the other is responsible for the transhipment of cold-chain products.</w:t>
      </w:r>
    </w:p>
    <w:p w14:paraId="0CA44D61" w14:textId="6A57D770" w:rsidR="000F71D6" w:rsidRPr="000F71D6" w:rsidRDefault="000F71D6" w:rsidP="000F71D6">
      <w:pPr>
        <w:spacing w:after="240" w:line="360" w:lineRule="auto"/>
        <w:rPr>
          <w:rFonts w:asciiTheme="majorBidi" w:hAnsiTheme="majorBidi" w:cstheme="majorBidi"/>
          <w:color w:val="FF0000"/>
        </w:rPr>
      </w:pPr>
      <w:r w:rsidRPr="000F71D6">
        <w:rPr>
          <w:color w:val="FF0000"/>
        </w:rPr>
        <w:t>A neighbourhood UCC is normally built to serve a particular district of the city (e.g., a commercial district or business district). The size of the</w:t>
      </w:r>
      <w:r w:rsidRPr="000F71D6">
        <w:rPr>
          <w:rFonts w:hint="eastAsia"/>
          <w:color w:val="FF0000"/>
        </w:rPr>
        <w:t>i</w:t>
      </w:r>
      <w:r w:rsidRPr="000F71D6">
        <w:rPr>
          <w:color w:val="FF0000"/>
        </w:rPr>
        <w:t>r service area is small (1-2 km</w:t>
      </w:r>
      <w:r w:rsidRPr="000F71D6">
        <w:rPr>
          <w:color w:val="FF0000"/>
          <w:vertAlign w:val="superscript"/>
        </w:rPr>
        <w:t>2</w:t>
      </w:r>
      <w:r w:rsidRPr="000F71D6">
        <w:rPr>
          <w:color w:val="FF0000"/>
        </w:rPr>
        <w:t xml:space="preserve">). </w:t>
      </w:r>
      <w:r w:rsidRPr="000F71D6">
        <w:rPr>
          <w:color w:val="FF0000"/>
        </w:rPr>
        <w:fldChar w:fldCharType="begin"/>
      </w:r>
      <w:r w:rsidRPr="000F71D6">
        <w:rPr>
          <w:color w:val="FF0000"/>
        </w:rPr>
        <w:instrText xml:space="preserve"> ADDIN EN.CITE &lt;EndNote&gt;&lt;Cite AuthorYear="1"&gt;&lt;Author&gt;Alan&lt;/Author&gt;&lt;Year&gt;2010&lt;/Year&gt;&lt;RecNum&gt;251&lt;/RecNum&gt;&lt;DisplayText&gt;Alan et al. (2010)&lt;/DisplayText&gt;&lt;record&gt;&lt;rec-number&gt;251&lt;/rec-number&gt;&lt;foreign-keys&gt;&lt;key app="EN" db-id="pzt5ep52hsedfpeext2pdfes0w0aswaewef2" timestamp="1605187998"&gt;251&lt;/key&gt;&lt;/foreign-keys&gt;&lt;ref-type name="Report"&gt;27&lt;/ref-type&gt;&lt;contributors&gt;&lt;authors&gt;&lt;author&gt;Alan, Lewis&lt;/author&gt;&lt;author&gt;Mark, Fell&lt;/author&gt;&lt;author&gt;Derek, Palmer &lt;/author&gt;&lt;/authors&gt;&lt;/contributors&gt;&lt;titles&gt;&lt;title&gt;Freight Consolidation Centre Study: Executive Summary &lt;/title&gt;&lt;/titles&gt;&lt;dates&gt;&lt;year&gt;2010&lt;/year&gt;&lt;/dates&gt;&lt;pub-location&gt;London&lt;/pub-location&gt;&lt;publisher&gt;Transport &amp;amp; Travel Research Ltd&lt;/publisher&gt;&lt;urls&gt;&lt;/urls&gt;&lt;/record&gt;&lt;/Cite&gt;&lt;/EndNote&gt;</w:instrText>
      </w:r>
      <w:r w:rsidRPr="000F71D6">
        <w:rPr>
          <w:color w:val="FF0000"/>
        </w:rPr>
        <w:fldChar w:fldCharType="separate"/>
      </w:r>
      <w:r w:rsidRPr="000F71D6">
        <w:rPr>
          <w:noProof/>
          <w:color w:val="FF0000"/>
        </w:rPr>
        <w:t>Alan et al. (2010)</w:t>
      </w:r>
      <w:r w:rsidRPr="000F71D6">
        <w:rPr>
          <w:color w:val="FF0000"/>
        </w:rPr>
        <w:fldChar w:fldCharType="end"/>
      </w:r>
      <w:r w:rsidRPr="000F71D6">
        <w:rPr>
          <w:color w:val="FF0000"/>
        </w:rPr>
        <w:t xml:space="preserve"> </w:t>
      </w:r>
      <w:r w:rsidRPr="000F71D6">
        <w:rPr>
          <w:rFonts w:cs="Times New Roman"/>
          <w:color w:val="FF0000"/>
        </w:rPr>
        <w:t>found that neighbourhood UCCs are usually set up for experimental purposes. There are various reasons for that. First, these UCCs are easier to build than the site-specific variety, as they do not require professional equipment or manpower. Second, the experimental results and conclusions are universal, due to the broad range of clients, including retailers, residents, and restaurants in their service areas. Third, government policies can directly intervene in and influence the operations.</w:t>
      </w:r>
      <w:r w:rsidRPr="000F71D6">
        <w:rPr>
          <w:color w:val="FF0000"/>
        </w:rPr>
        <w:t xml:space="preserve"> </w:t>
      </w:r>
      <w:r w:rsidRPr="000F71D6">
        <w:rPr>
          <w:rFonts w:cs="Times New Roman"/>
          <w:color w:val="FF0000"/>
        </w:rPr>
        <w:t xml:space="preserve">Most UCCs with an experimental purpose design their operating models based on previous research findings and theories </w:t>
      </w:r>
      <w:r w:rsidRPr="000F71D6">
        <w:rPr>
          <w:rFonts w:cs="Times New Roman"/>
          <w:noProof/>
          <w:color w:val="FF0000"/>
        </w:rPr>
        <w:t>(Browne et al., 2005)</w:t>
      </w:r>
      <w:r w:rsidRPr="000F71D6">
        <w:rPr>
          <w:rFonts w:cs="Times New Roman"/>
          <w:color w:val="FF0000"/>
        </w:rPr>
        <w:t xml:space="preserve">. The two significant features of these UCC are (1) their use of innovative technology and equipment and (2) their testing of new operational models. However, the economic benefits </w:t>
      </w:r>
      <w:r w:rsidRPr="000F71D6">
        <w:rPr>
          <w:rFonts w:cs="Times New Roman"/>
          <w:color w:val="FF0000"/>
        </w:rPr>
        <w:lastRenderedPageBreak/>
        <w:t xml:space="preserve">and the reliability of freight delivery are not the primary considerations of experimental UCCs </w:t>
      </w:r>
      <w:r w:rsidRPr="000F71D6">
        <w:rPr>
          <w:noProof/>
          <w:color w:val="FF0000"/>
        </w:rPr>
        <w:fldChar w:fldCharType="begin"/>
      </w:r>
      <w:r w:rsidRPr="000F71D6">
        <w:rPr>
          <w:noProof/>
          <w:color w:val="FF0000"/>
        </w:rPr>
        <w:instrText xml:space="preserve"> ADDIN EN.CITE &lt;EndNote&gt;&lt;Cite&gt;&lt;Author&gt;Dablanc&lt;/Author&gt;&lt;Year&gt;2011&lt;/Year&gt;&lt;RecNum&gt;193&lt;/RecNum&gt;&lt;DisplayText&gt;(Dablanc et al., 2011b)&lt;/DisplayText&gt;&lt;record&gt;&lt;rec-number&gt;193&lt;/rec-number&gt;&lt;foreign-keys&gt;&lt;key app="EN" db-id="x5etaz5aiszvz0edasvvpwvotttxepvd25t2" timestamp="1611177410"&gt;193&lt;/key&gt;&lt;/foreign-keys&gt;&lt;ref-type name="Report"&gt;27&lt;/ref-type&gt;&lt;contributors&gt;&lt;authors&gt;&lt;author&gt;Dablanc, Laetitia&lt;/author&gt;&lt;author&gt;Patier, Danièle&lt;/author&gt;&lt;author&gt;Gonzalez-Feliu, Jesus&lt;/author&gt;&lt;author&gt;Augereau, Virginie&lt;/author&gt;&lt;author&gt;Leonardi, Jacques&lt;/author&gt;&lt;author&gt;Simmeone, Tommasso&lt;/author&gt;&lt;author&gt;Cerdà, Luis&lt;/author&gt;&lt;/authors&gt;&lt;/contributors&gt;&lt;titles&gt;&lt;title&gt;SUGAR. Sustainable Urban Goods Logistics Achieved by Regional and Local Policies. City Logistics Best Practices: a Handbook for Authorities&lt;/title&gt;&lt;/titles&gt;&lt;dates&gt;&lt;year&gt;2011&lt;/year&gt;&lt;/dates&gt;&lt;urls&gt;&lt;/urls&gt;&lt;/record&gt;&lt;/Cite&gt;&lt;Cite&gt;&lt;Author&gt;Dablanc&lt;/Author&gt;&lt;Year&gt;2011&lt;/Year&gt;&lt;RecNum&gt;193&lt;/RecNum&gt;&lt;record&gt;&lt;rec-number&gt;193&lt;/rec-number&gt;&lt;foreign-keys&gt;&lt;key app="EN" db-id="x5etaz5aiszvz0edasvvpwvotttxepvd25t2" timestamp="1611177410"&gt;193&lt;/key&gt;&lt;/foreign-keys&gt;&lt;ref-type name="Report"&gt;27&lt;/ref-type&gt;&lt;contributors&gt;&lt;authors&gt;&lt;author&gt;Dablanc, Laetitia&lt;/author&gt;&lt;author&gt;Patier, Danièle&lt;/author&gt;&lt;author&gt;Gonzalez-Feliu, Jesus&lt;/author&gt;&lt;author&gt;Augereau, Virginie&lt;/author&gt;&lt;author&gt;Leonardi, Jacques&lt;/author&gt;&lt;author&gt;Simmeone, Tommasso&lt;/author&gt;&lt;author&gt;Cerdà, Luis&lt;/author&gt;&lt;/authors&gt;&lt;/contributors&gt;&lt;titles&gt;&lt;title&gt;SUGAR. Sustainable Urban Goods Logistics Achieved by Regional and Local Policies. City Logistics Best Practices: a Handbook for Authorities&lt;/title&gt;&lt;/titles&gt;&lt;dates&gt;&lt;year&gt;2011&lt;/year&gt;&lt;/dates&gt;&lt;urls&gt;&lt;/urls&gt;&lt;/record&gt;&lt;/Cite&gt;&lt;/EndNote&gt;</w:instrText>
      </w:r>
      <w:r w:rsidRPr="000F71D6">
        <w:rPr>
          <w:noProof/>
          <w:color w:val="FF0000"/>
        </w:rPr>
        <w:fldChar w:fldCharType="separate"/>
      </w:r>
      <w:r w:rsidRPr="000F71D6">
        <w:rPr>
          <w:noProof/>
          <w:color w:val="FF0000"/>
        </w:rPr>
        <w:t>(Dablanc et al., 2011b)</w:t>
      </w:r>
      <w:r w:rsidRPr="000F71D6">
        <w:rPr>
          <w:noProof/>
          <w:color w:val="FF0000"/>
        </w:rPr>
        <w:fldChar w:fldCharType="end"/>
      </w:r>
      <w:r w:rsidRPr="000F71D6">
        <w:rPr>
          <w:rFonts w:cs="Times New Roman"/>
          <w:color w:val="FF0000"/>
        </w:rPr>
        <w:t xml:space="preserve">. </w:t>
      </w:r>
      <w:r w:rsidRPr="000F71D6">
        <w:rPr>
          <w:color w:val="FF0000"/>
        </w:rPr>
        <w:t xml:space="preserve">Town-wide UCCs are established to handle the goods delivered to the entire city. These UCCs are </w:t>
      </w:r>
      <w:r w:rsidRPr="000F71D6">
        <w:rPr>
          <w:rFonts w:hint="eastAsia"/>
          <w:color w:val="FF0000"/>
        </w:rPr>
        <w:t>either</w:t>
      </w:r>
      <w:r w:rsidRPr="000F71D6">
        <w:rPr>
          <w:color w:val="FF0000"/>
        </w:rPr>
        <w:t xml:space="preserve"> </w:t>
      </w:r>
      <w:r w:rsidRPr="000F71D6">
        <w:rPr>
          <w:rFonts w:cs="Times New Roman"/>
          <w:color w:val="FF0000"/>
          <w:szCs w:val="24"/>
        </w:rPr>
        <w:t xml:space="preserve">implemented in the city logistics systems for sustainability purposes </w:t>
      </w:r>
      <w:r w:rsidRPr="000F71D6">
        <w:rPr>
          <w:rFonts w:cs="Times New Roman" w:hint="eastAsia"/>
          <w:color w:val="FF0000"/>
          <w:szCs w:val="24"/>
        </w:rPr>
        <w:t>(</w:t>
      </w:r>
      <w:r w:rsidRPr="000F71D6">
        <w:rPr>
          <w:rFonts w:cs="Times New Roman"/>
          <w:color w:val="FF0000"/>
          <w:szCs w:val="24"/>
        </w:rPr>
        <w:t xml:space="preserve">e.g., mitigating environmental and social issues) or built to </w:t>
      </w:r>
      <w:r w:rsidR="00482FB1">
        <w:rPr>
          <w:rFonts w:cs="Times New Roman"/>
          <w:color w:val="FF0000"/>
          <w:szCs w:val="24"/>
        </w:rPr>
        <w:t>earn</w:t>
      </w:r>
      <w:r w:rsidR="007343F4">
        <w:rPr>
          <w:rFonts w:cs="Times New Roman"/>
          <w:color w:val="FF0000"/>
          <w:szCs w:val="24"/>
        </w:rPr>
        <w:t xml:space="preserve"> profits for the investors</w:t>
      </w:r>
      <w:r w:rsidRPr="000F71D6">
        <w:rPr>
          <w:rFonts w:cs="Times New Roman"/>
          <w:color w:val="FF0000"/>
          <w:szCs w:val="24"/>
        </w:rPr>
        <w:t xml:space="preserve">. The report of the ‘Directory of London Construction Consolidation Centres’ indicates that, although site-specific UCCs represent a small proportion of the total, they each have a strong financial status. This type of UCC is either profitable or expected to become so in the coming years. This sound financial status is owed to a stable number of customers, as many of these customers are obligated to participate in the project. Furthermore, the site-specific UCC has a single business structure, such as only serving construction sites (London construction UCC) or retailers (Meadowhall), which reduces the additional expenses associated with operating a different business. Customers normally receive benefits from the UCC project. Such positive results attract more customers, which increases the volume of business </w:t>
      </w:r>
      <w:r w:rsidRPr="000F71D6">
        <w:rPr>
          <w:noProof/>
          <w:color w:val="FF0000"/>
          <w:szCs w:val="24"/>
        </w:rPr>
        <w:t>(Dablanc et al., 2011b)</w:t>
      </w:r>
      <w:r w:rsidRPr="000F71D6">
        <w:rPr>
          <w:rFonts w:cs="Times New Roman"/>
          <w:color w:val="FF0000"/>
          <w:szCs w:val="24"/>
        </w:rPr>
        <w:t>.</w:t>
      </w:r>
    </w:p>
    <w:p w14:paraId="474910F0" w14:textId="5462624C" w:rsidR="000D761F" w:rsidRPr="000D761F" w:rsidRDefault="00052CDB" w:rsidP="00821E3F">
      <w:pPr>
        <w:pStyle w:val="Heading3"/>
        <w:spacing w:line="360" w:lineRule="auto"/>
      </w:pPr>
      <w:bookmarkStart w:id="438" w:name="_Toc66703197"/>
      <w:bookmarkEnd w:id="436"/>
      <w:bookmarkEnd w:id="437"/>
      <w:r>
        <w:t xml:space="preserve">Urban consolidation centres </w:t>
      </w:r>
      <w:proofErr w:type="gramStart"/>
      <w:r>
        <w:t>-  a</w:t>
      </w:r>
      <w:proofErr w:type="gramEnd"/>
      <w:r>
        <w:t xml:space="preserve"> taxonomy</w:t>
      </w:r>
      <w:bookmarkEnd w:id="438"/>
    </w:p>
    <w:p w14:paraId="4D91BF74" w14:textId="175B2BCA" w:rsidR="002C32BC" w:rsidRPr="001802EF" w:rsidRDefault="002C32BC" w:rsidP="006A7B7E">
      <w:pPr>
        <w:spacing w:after="240" w:line="360" w:lineRule="auto"/>
        <w:rPr>
          <w:rFonts w:ascii="TimesNewRomanPSMT" w:eastAsia="Times New Roman" w:hAnsi="TimesNewRomanPSMT" w:cs="Times New Roman"/>
          <w:color w:val="FF0000"/>
          <w:szCs w:val="24"/>
        </w:rPr>
      </w:pPr>
      <w:r w:rsidRPr="001802EF">
        <w:rPr>
          <w:rFonts w:ascii="TimesNewRomanPSMT" w:eastAsia="Times New Roman" w:hAnsi="TimesNewRomanPSMT" w:cs="Times New Roman"/>
          <w:color w:val="FF0000"/>
          <w:szCs w:val="24"/>
        </w:rPr>
        <w:t xml:space="preserve">This section presents the main findings of the UCC’s features. These include elements proposed </w:t>
      </w:r>
      <w:r w:rsidR="001802EF" w:rsidRPr="001802EF">
        <w:rPr>
          <w:rFonts w:ascii="TimesNewRomanPSMT" w:eastAsia="Times New Roman" w:hAnsi="TimesNewRomanPSMT" w:cs="Times New Roman"/>
          <w:color w:val="FF0000"/>
          <w:szCs w:val="24"/>
        </w:rPr>
        <w:t xml:space="preserve">by </w:t>
      </w:r>
      <w:r w:rsidR="001802EF" w:rsidRPr="001802EF">
        <w:rPr>
          <w:rFonts w:ascii="TimesNewRomanPSMT" w:eastAsia="Times New Roman" w:hAnsi="TimesNewRomanPSMT" w:cs="Times New Roman"/>
          <w:color w:val="FF0000"/>
          <w:szCs w:val="24"/>
        </w:rPr>
        <w:fldChar w:fldCharType="begin"/>
      </w:r>
      <w:r w:rsidR="00BE5CD4">
        <w:rPr>
          <w:rFonts w:ascii="TimesNewRomanPSMT" w:eastAsia="Times New Roman" w:hAnsi="TimesNewRomanPSMT" w:cs="Times New Roman"/>
          <w:color w:val="FF0000"/>
          <w:szCs w:val="24"/>
        </w:rPr>
        <w:instrText xml:space="preserve"> ADDIN EN.CITE &lt;EndNote&gt;&lt;Cite&gt;&lt;Author&gt;Tario&lt;/Author&gt;&lt;Year&gt;2011&lt;/Year&gt;&lt;RecNum&gt;30&lt;/RecNum&gt;&lt;DisplayText&gt;(Tario et al., 2011)&lt;/DisplayText&gt;&lt;record&gt;&lt;rec-number&gt;30&lt;/rec-number&gt;&lt;foreign-keys&gt;&lt;key app="EN" db-id="pzt5ep52hsedfpeext2pdfes0w0aswaewef2" timestamp="1605187992"&gt;30&lt;/key&gt;&lt;/foreign-keys&gt;&lt;ref-type name="Journal Article"&gt;17&lt;/ref-type&gt;&lt;contributors&gt;&lt;authors&gt;&lt;author&gt;Tario, JD&lt;/author&gt;&lt;author&gt;Ancar, R&lt;/author&gt;&lt;author&gt;Panero, M&lt;/author&gt;&lt;author&gt;Hyeon-Shic, S&lt;/author&gt;&lt;author&gt;Lopez, DP&lt;/author&gt;&lt;/authors&gt;&lt;/contributors&gt;&lt;titles&gt;&lt;title&gt;Urban distribution centers: a means to reducing freight vehicle miles travelled&lt;/title&gt;&lt;secondary-title&gt;Final Report. Prepared for the New York State Energy Research and Development Authority. Albany, NY&lt;/secondary-title&gt;&lt;/titles&gt;&lt;periodical&gt;&lt;full-title&gt;Final Report. Prepared for the New York State Energy Research and Development Authority. Albany, NY&lt;/full-title&gt;&lt;/periodical&gt;&lt;dates&gt;&lt;year&gt;2011&lt;/year&gt;&lt;/dates&gt;&lt;urls&gt;&lt;/urls&gt;&lt;/record&gt;&lt;/Cite&gt;&lt;/EndNote&gt;</w:instrText>
      </w:r>
      <w:r w:rsidR="001802EF" w:rsidRPr="001802EF">
        <w:rPr>
          <w:rFonts w:ascii="TimesNewRomanPSMT" w:eastAsia="Times New Roman" w:hAnsi="TimesNewRomanPSMT" w:cs="Times New Roman"/>
          <w:color w:val="FF0000"/>
          <w:szCs w:val="24"/>
        </w:rPr>
        <w:fldChar w:fldCharType="separate"/>
      </w:r>
      <w:r w:rsidR="00BE5CD4">
        <w:rPr>
          <w:rFonts w:ascii="TimesNewRomanPSMT" w:eastAsia="Times New Roman" w:hAnsi="TimesNewRomanPSMT" w:cs="Times New Roman"/>
          <w:noProof/>
          <w:color w:val="FF0000"/>
          <w:szCs w:val="24"/>
        </w:rPr>
        <w:t xml:space="preserve">Tario et al. </w:t>
      </w:r>
      <w:r w:rsidR="00880716">
        <w:rPr>
          <w:rFonts w:ascii="TimesNewRomanPSMT" w:eastAsia="Times New Roman" w:hAnsi="TimesNewRomanPSMT" w:cs="Times New Roman"/>
          <w:noProof/>
          <w:color w:val="FF0000"/>
          <w:szCs w:val="24"/>
        </w:rPr>
        <w:t>(</w:t>
      </w:r>
      <w:r w:rsidR="00BE5CD4">
        <w:rPr>
          <w:rFonts w:ascii="TimesNewRomanPSMT" w:eastAsia="Times New Roman" w:hAnsi="TimesNewRomanPSMT" w:cs="Times New Roman"/>
          <w:noProof/>
          <w:color w:val="FF0000"/>
          <w:szCs w:val="24"/>
        </w:rPr>
        <w:t>2011)</w:t>
      </w:r>
      <w:r w:rsidR="001802EF" w:rsidRPr="001802EF">
        <w:rPr>
          <w:rFonts w:ascii="TimesNewRomanPSMT" w:eastAsia="Times New Roman" w:hAnsi="TimesNewRomanPSMT" w:cs="Times New Roman"/>
          <w:color w:val="FF0000"/>
          <w:szCs w:val="24"/>
        </w:rPr>
        <w:fldChar w:fldCharType="end"/>
      </w:r>
      <w:r w:rsidRPr="001802EF">
        <w:rPr>
          <w:rFonts w:ascii="TimesNewRomanPSMT" w:eastAsia="Times New Roman" w:hAnsi="TimesNewRomanPSMT" w:cs="Times New Roman"/>
          <w:color w:val="FF0000"/>
          <w:szCs w:val="24"/>
        </w:rPr>
        <w:t xml:space="preserve">, </w:t>
      </w:r>
      <w:r w:rsidR="00D03173">
        <w:rPr>
          <w:rFonts w:ascii="TimesNewRomanPSMT" w:eastAsia="Times New Roman" w:hAnsi="TimesNewRomanPSMT" w:cs="Times New Roman"/>
          <w:color w:val="FF0000"/>
          <w:szCs w:val="24"/>
        </w:rPr>
        <w:t>which includes:</w:t>
      </w:r>
      <w:r w:rsidRPr="00805364">
        <w:rPr>
          <w:rFonts w:ascii="TimesNewRomanPSMT" w:eastAsia="Times New Roman" w:hAnsi="TimesNewRomanPSMT" w:cs="Times New Roman"/>
          <w:color w:val="FF0000"/>
          <w:szCs w:val="24"/>
        </w:rPr>
        <w:t xml:space="preserve"> ownership, public support, services</w:t>
      </w:r>
      <w:r w:rsidRPr="001802EF">
        <w:rPr>
          <w:rFonts w:ascii="TimesNewRomanPSMT" w:eastAsia="Times New Roman" w:hAnsi="TimesNewRomanPSMT" w:cs="Times New Roman"/>
          <w:color w:val="FF0000"/>
          <w:szCs w:val="24"/>
        </w:rPr>
        <w:t xml:space="preserve"> </w:t>
      </w:r>
      <w:r w:rsidRPr="00805364">
        <w:rPr>
          <w:rFonts w:ascii="TimesNewRomanPSMT" w:eastAsia="Times New Roman" w:hAnsi="TimesNewRomanPSMT" w:cs="Times New Roman"/>
          <w:color w:val="FF0000"/>
          <w:szCs w:val="24"/>
        </w:rPr>
        <w:t xml:space="preserve">spatial coverage, location, and transportation solutions and vehicles, among others. </w:t>
      </w:r>
    </w:p>
    <w:p w14:paraId="0DDB6840" w14:textId="6EF9FB74" w:rsidR="004A5754" w:rsidRPr="00BF183E" w:rsidRDefault="00821E3F" w:rsidP="00821E3F">
      <w:pPr>
        <w:pStyle w:val="Heading4"/>
        <w:spacing w:after="0" w:line="360" w:lineRule="auto"/>
        <w:rPr>
          <w:color w:val="FF0000"/>
        </w:rPr>
      </w:pPr>
      <w:r w:rsidRPr="00BF183E">
        <w:rPr>
          <w:color w:val="FF0000"/>
        </w:rPr>
        <w:t>Ownership</w:t>
      </w:r>
    </w:p>
    <w:p w14:paraId="2AD4FA14" w14:textId="279B623C" w:rsidR="00AF3FD2" w:rsidRPr="00080242" w:rsidRDefault="001802EF" w:rsidP="005F5830">
      <w:pPr>
        <w:spacing w:after="240" w:line="360" w:lineRule="auto"/>
        <w:rPr>
          <w:rFonts w:ascii="TimesNewRomanPSMT" w:eastAsia="Times New Roman" w:hAnsi="TimesNewRomanPSMT" w:cs="Times New Roman"/>
          <w:color w:val="FF0000"/>
          <w:szCs w:val="24"/>
        </w:rPr>
      </w:pPr>
      <w:r>
        <w:rPr>
          <w:rFonts w:cs="Times New Roman"/>
          <w:color w:val="FF0000"/>
        </w:rPr>
        <w:t>Accordin</w:t>
      </w:r>
      <w:r w:rsidR="00042ABB">
        <w:rPr>
          <w:rFonts w:cs="Times New Roman"/>
          <w:color w:val="FF0000"/>
        </w:rPr>
        <w:t>g</w:t>
      </w:r>
      <w:r>
        <w:rPr>
          <w:rFonts w:cs="Times New Roman"/>
          <w:color w:val="FF0000"/>
        </w:rPr>
        <w:t xml:space="preserve"> to the grey literature review, t</w:t>
      </w:r>
      <w:r w:rsidR="00080242" w:rsidRPr="00080242">
        <w:rPr>
          <w:rFonts w:cs="Times New Roman"/>
          <w:color w:val="FF0000"/>
        </w:rPr>
        <w:t xml:space="preserve">his </w:t>
      </w:r>
      <w:r w:rsidR="0009311C">
        <w:rPr>
          <w:rFonts w:cs="Times New Roman"/>
          <w:color w:val="FF0000"/>
        </w:rPr>
        <w:t>section</w:t>
      </w:r>
      <w:r w:rsidR="00080242" w:rsidRPr="00080242">
        <w:rPr>
          <w:rFonts w:cs="Times New Roman"/>
          <w:color w:val="FF0000"/>
        </w:rPr>
        <w:t xml:space="preserve"> identified three main types of UCC ownership: private (including solo-private owned and joint ventures), public-private partnerships (PPP), and publicly owned. Private UCCs are usually led by the LSPs without the involvement of any public institution. The solo privately owned project is established by one freight company capable of imposing a consolidating business alone. In the joint-venture UCC, either different LSPs cooperate in the UCC for joint delivery or different companies set up a new ‘company’ to </w:t>
      </w:r>
      <w:r w:rsidR="00080242" w:rsidRPr="00080242">
        <w:rPr>
          <w:rFonts w:ascii="TimesNewRomanPSMT" w:eastAsia="Times New Roman" w:hAnsi="TimesNewRomanPSMT" w:cs="Times New Roman"/>
          <w:color w:val="FF0000"/>
          <w:szCs w:val="24"/>
        </w:rPr>
        <w:t>neutrally handle the goods from these companies. The PPP project is a formula that involves building the UCC by engaging both private and public agents (local governments, chambers of</w:t>
      </w:r>
      <w:r w:rsidR="00080242" w:rsidRPr="00080242">
        <w:rPr>
          <w:rFonts w:eastAsia="Times New Roman" w:cs="Times New Roman"/>
          <w:color w:val="FF0000"/>
          <w:szCs w:val="24"/>
        </w:rPr>
        <w:t xml:space="preserve"> </w:t>
      </w:r>
      <w:r w:rsidR="00080242" w:rsidRPr="00080242">
        <w:rPr>
          <w:rFonts w:ascii="TimesNewRomanPSMT" w:eastAsia="Times New Roman" w:hAnsi="TimesNewRomanPSMT" w:cs="Times New Roman"/>
          <w:color w:val="FF0000"/>
          <w:szCs w:val="24"/>
        </w:rPr>
        <w:t xml:space="preserve">commerce or </w:t>
      </w:r>
      <w:r w:rsidR="00080242">
        <w:rPr>
          <w:rFonts w:ascii="TimesNewRomanPSMT" w:eastAsia="Times New Roman" w:hAnsi="TimesNewRomanPSMT" w:cs="Times New Roman"/>
          <w:color w:val="FF0000"/>
          <w:szCs w:val="24"/>
        </w:rPr>
        <w:t>related</w:t>
      </w:r>
      <w:r w:rsidR="00080242" w:rsidRPr="00080242">
        <w:rPr>
          <w:rFonts w:ascii="TimesNewRomanPSMT" w:eastAsia="Times New Roman" w:hAnsi="TimesNewRomanPSMT" w:cs="Times New Roman"/>
          <w:color w:val="FF0000"/>
          <w:szCs w:val="24"/>
        </w:rPr>
        <w:t xml:space="preserve"> institutions). There are two variations of this scheme: (</w:t>
      </w:r>
      <w:proofErr w:type="spellStart"/>
      <w:r w:rsidR="00080242" w:rsidRPr="00080242">
        <w:rPr>
          <w:rFonts w:ascii="TimesNewRomanPSMT" w:eastAsia="Times New Roman" w:hAnsi="TimesNewRomanPSMT" w:cs="Times New Roman"/>
          <w:color w:val="FF0000"/>
          <w:szCs w:val="24"/>
        </w:rPr>
        <w:t>i</w:t>
      </w:r>
      <w:proofErr w:type="spellEnd"/>
      <w:r w:rsidR="00080242" w:rsidRPr="00080242">
        <w:rPr>
          <w:rFonts w:ascii="TimesNewRomanPSMT" w:eastAsia="Times New Roman" w:hAnsi="TimesNewRomanPSMT" w:cs="Times New Roman"/>
          <w:color w:val="FF0000"/>
          <w:szCs w:val="24"/>
        </w:rPr>
        <w:t xml:space="preserve">) public and private agents invest in a new company together; or (ii) the </w:t>
      </w:r>
      <w:r w:rsidR="00A84BEB">
        <w:rPr>
          <w:rFonts w:ascii="TimesNewRomanPSMT" w:eastAsia="Times New Roman" w:hAnsi="TimesNewRomanPSMT" w:cs="Times New Roman"/>
          <w:color w:val="FF0000"/>
          <w:szCs w:val="24"/>
        </w:rPr>
        <w:t>LAs</w:t>
      </w:r>
      <w:r w:rsidR="00080242" w:rsidRPr="00080242">
        <w:rPr>
          <w:rFonts w:ascii="TimesNewRomanPSMT" w:eastAsia="Times New Roman" w:hAnsi="TimesNewRomanPSMT" w:cs="Times New Roman"/>
          <w:color w:val="FF0000"/>
          <w:szCs w:val="24"/>
        </w:rPr>
        <w:t xml:space="preserve"> accredit an agreement with some existing local carrier, while public funding usually supports this project.</w:t>
      </w:r>
      <w:r w:rsidR="00080242" w:rsidRPr="00080242">
        <w:rPr>
          <w:rFonts w:eastAsia="Times New Roman" w:cs="Times New Roman"/>
          <w:color w:val="FF0000"/>
          <w:szCs w:val="24"/>
        </w:rPr>
        <w:t xml:space="preserve"> </w:t>
      </w:r>
      <w:r w:rsidR="00080242" w:rsidRPr="00080242">
        <w:rPr>
          <w:rFonts w:ascii="TimesNewRomanPS-ItalicMT" w:eastAsia="Times New Roman" w:hAnsi="TimesNewRomanPS-ItalicMT" w:cs="Times New Roman"/>
          <w:i/>
          <w:iCs/>
          <w:color w:val="FF0000"/>
          <w:szCs w:val="24"/>
        </w:rPr>
        <w:t xml:space="preserve">Publicly owned UCCs </w:t>
      </w:r>
      <w:r w:rsidR="00080242" w:rsidRPr="00080242">
        <w:rPr>
          <w:rFonts w:ascii="TimesNewRomanPSMT" w:eastAsia="Times New Roman" w:hAnsi="TimesNewRomanPSMT" w:cs="Times New Roman"/>
          <w:color w:val="FF0000"/>
          <w:szCs w:val="24"/>
        </w:rPr>
        <w:t>usually receive investment by the local government and are operated by one or more private companies that win a public tender.</w:t>
      </w:r>
    </w:p>
    <w:p w14:paraId="58FA2A2B" w14:textId="38514F45" w:rsidR="00AF3FD2" w:rsidRPr="00BF183E" w:rsidRDefault="00AF3FD2" w:rsidP="00AF3FD2">
      <w:pPr>
        <w:pStyle w:val="Heading4"/>
        <w:spacing w:after="0" w:line="360" w:lineRule="auto"/>
        <w:rPr>
          <w:color w:val="FF0000"/>
        </w:rPr>
      </w:pPr>
      <w:r w:rsidRPr="00BF183E">
        <w:rPr>
          <w:rFonts w:ascii="TimesNewRomanPSMT" w:eastAsia="Times New Roman" w:hAnsi="TimesNewRomanPSMT" w:cs="Times New Roman"/>
          <w:color w:val="FF0000"/>
          <w:szCs w:val="24"/>
        </w:rPr>
        <w:lastRenderedPageBreak/>
        <w:t>Public support</w:t>
      </w:r>
    </w:p>
    <w:p w14:paraId="48B63C35" w14:textId="12238AD5" w:rsidR="00003D25" w:rsidRPr="0084081D" w:rsidRDefault="00003D25" w:rsidP="0084081D">
      <w:pPr>
        <w:spacing w:after="240" w:line="360" w:lineRule="auto"/>
        <w:rPr>
          <w:rFonts w:ascii="TimesNewRomanPSMT" w:eastAsia="Times New Roman" w:hAnsi="TimesNewRomanPSMT" w:cs="Times New Roman"/>
          <w:color w:val="FF0000"/>
          <w:szCs w:val="24"/>
        </w:rPr>
      </w:pPr>
      <w:r w:rsidRPr="0084081D">
        <w:rPr>
          <w:rFonts w:ascii="TimesNewRomanPSMT" w:eastAsia="Times New Roman" w:hAnsi="TimesNewRomanPSMT" w:cs="Times New Roman"/>
          <w:color w:val="FF0000"/>
          <w:szCs w:val="24"/>
        </w:rPr>
        <w:t xml:space="preserve">Public support is given to both neighbourhood and town-wide projects, while governmental intervention varies from one type to another. General public support includes financial subsidies, which includes start-up subsidies and price compensation. Start-up subsidies are used to launch the project, supporting facility renting, worker recruitment, and equipment purchasing. </w:t>
      </w:r>
      <w:r w:rsidRPr="0084081D">
        <w:rPr>
          <w:rFonts w:ascii="TimesNewRomanPSMT" w:eastAsia="Times New Roman" w:hAnsi="TimesNewRomanPSMT" w:cs="Times New Roman" w:hint="eastAsia"/>
          <w:color w:val="FF0000"/>
          <w:szCs w:val="24"/>
        </w:rPr>
        <w:t>I</w:t>
      </w:r>
      <w:r w:rsidRPr="0084081D">
        <w:rPr>
          <w:rFonts w:ascii="TimesNewRomanPSMT" w:eastAsia="Times New Roman" w:hAnsi="TimesNewRomanPSMT" w:cs="Times New Roman"/>
          <w:color w:val="FF0000"/>
          <w:szCs w:val="24"/>
        </w:rPr>
        <w:t xml:space="preserve">n some cases, the start-up subsidies continue until a critical mass of users is reached and the UCC becomes self-sustaining. </w:t>
      </w:r>
      <w:r w:rsidR="00042ABB">
        <w:rPr>
          <w:rFonts w:ascii="TimesNewRomanPSMT" w:eastAsia="Times New Roman" w:hAnsi="TimesNewRomanPSMT" w:cs="Times New Roman"/>
          <w:color w:val="FF0000"/>
          <w:szCs w:val="24"/>
        </w:rPr>
        <w:t xml:space="preserve">Since many UCCs implement </w:t>
      </w:r>
      <w:r w:rsidR="00042ABB" w:rsidRPr="0084081D">
        <w:rPr>
          <w:rFonts w:ascii="TimesNewRomanPSMT" w:eastAsia="Times New Roman" w:hAnsi="TimesNewRomanPSMT" w:cs="Times New Roman"/>
          <w:color w:val="FF0000"/>
          <w:szCs w:val="24"/>
        </w:rPr>
        <w:t>the low-price strategy for the UCC service fee</w:t>
      </w:r>
      <w:r w:rsidR="00042ABB">
        <w:rPr>
          <w:rFonts w:ascii="TimesNewRomanPSMT" w:eastAsia="Times New Roman" w:hAnsi="TimesNewRomanPSMT" w:cs="Times New Roman"/>
          <w:color w:val="FF0000"/>
          <w:szCs w:val="24"/>
        </w:rPr>
        <w:t xml:space="preserve"> to attract the customers </w:t>
      </w:r>
      <w:r w:rsidR="00A84BEB">
        <w:rPr>
          <w:rFonts w:ascii="TimesNewRomanPSMT" w:eastAsia="Times New Roman" w:hAnsi="TimesNewRomanPSMT" w:cs="Times New Roman"/>
          <w:color w:val="FF0000"/>
          <w:szCs w:val="24"/>
        </w:rPr>
        <w:t>at the beginning of the project</w:t>
      </w:r>
      <w:r w:rsidR="00042ABB">
        <w:rPr>
          <w:rFonts w:ascii="TimesNewRomanPSMT" w:eastAsia="Times New Roman" w:hAnsi="TimesNewRomanPSMT" w:cs="Times New Roman"/>
          <w:color w:val="FF0000"/>
          <w:szCs w:val="24"/>
        </w:rPr>
        <w:t xml:space="preserve">, </w:t>
      </w:r>
      <w:r w:rsidR="00042ABB" w:rsidRPr="0084081D">
        <w:rPr>
          <w:rFonts w:ascii="TimesNewRomanPSMT" w:eastAsia="Times New Roman" w:hAnsi="TimesNewRomanPSMT" w:cs="Times New Roman"/>
          <w:color w:val="FF0000"/>
          <w:szCs w:val="24"/>
        </w:rPr>
        <w:t>the</w:t>
      </w:r>
      <w:r w:rsidR="00042ABB">
        <w:rPr>
          <w:rFonts w:ascii="TimesNewRomanPSMT" w:eastAsia="Times New Roman" w:hAnsi="TimesNewRomanPSMT" w:cs="Times New Roman"/>
          <w:color w:val="FF0000"/>
          <w:szCs w:val="24"/>
        </w:rPr>
        <w:t>ir</w:t>
      </w:r>
      <w:r w:rsidR="00042ABB" w:rsidRPr="0084081D">
        <w:rPr>
          <w:rFonts w:ascii="TimesNewRomanPSMT" w:eastAsia="Times New Roman" w:hAnsi="TimesNewRomanPSMT" w:cs="Times New Roman"/>
          <w:color w:val="FF0000"/>
          <w:szCs w:val="24"/>
        </w:rPr>
        <w:t xml:space="preserve"> income cannot cover the entire cost of the project</w:t>
      </w:r>
      <w:r w:rsidR="00042ABB">
        <w:rPr>
          <w:rFonts w:ascii="TimesNewRomanPSMT" w:eastAsia="Times New Roman" w:hAnsi="TimesNewRomanPSMT" w:cs="Times New Roman"/>
          <w:color w:val="FF0000"/>
          <w:szCs w:val="24"/>
        </w:rPr>
        <w:t xml:space="preserve">. </w:t>
      </w:r>
      <w:r w:rsidR="004A1460">
        <w:rPr>
          <w:rFonts w:ascii="TimesNewRomanPSMT" w:eastAsia="Times New Roman" w:hAnsi="TimesNewRomanPSMT" w:cs="Times New Roman"/>
          <w:color w:val="FF0000"/>
          <w:szCs w:val="24"/>
        </w:rPr>
        <w:t>C</w:t>
      </w:r>
      <w:r w:rsidR="00042ABB">
        <w:rPr>
          <w:rFonts w:ascii="TimesNewRomanPSMT" w:eastAsia="Times New Roman" w:hAnsi="TimesNewRomanPSMT" w:cs="Times New Roman"/>
          <w:color w:val="FF0000"/>
          <w:szCs w:val="24"/>
        </w:rPr>
        <w:t xml:space="preserve">onsequently, public funding </w:t>
      </w:r>
      <w:r w:rsidR="00A84BEB">
        <w:rPr>
          <w:rFonts w:ascii="TimesNewRomanPSMT" w:eastAsia="Times New Roman" w:hAnsi="TimesNewRomanPSMT" w:cs="Times New Roman"/>
          <w:color w:val="FF0000"/>
          <w:szCs w:val="24"/>
        </w:rPr>
        <w:t>is also</w:t>
      </w:r>
      <w:r w:rsidR="00042ABB">
        <w:rPr>
          <w:rFonts w:ascii="TimesNewRomanPSMT" w:eastAsia="Times New Roman" w:hAnsi="TimesNewRomanPSMT" w:cs="Times New Roman"/>
          <w:color w:val="FF0000"/>
          <w:szCs w:val="24"/>
        </w:rPr>
        <w:t xml:space="preserve"> used as the p</w:t>
      </w:r>
      <w:r w:rsidRPr="0084081D">
        <w:rPr>
          <w:rFonts w:ascii="TimesNewRomanPSMT" w:eastAsia="Times New Roman" w:hAnsi="TimesNewRomanPSMT" w:cs="Times New Roman"/>
          <w:color w:val="FF0000"/>
          <w:szCs w:val="24"/>
        </w:rPr>
        <w:t xml:space="preserve">rice compensations to </w:t>
      </w:r>
      <w:r w:rsidR="00A84BEB" w:rsidRPr="00A84BEB">
        <w:rPr>
          <w:rFonts w:ascii="TimesNewRomanPSMT" w:eastAsia="Times New Roman" w:hAnsi="TimesNewRomanPSMT" w:cs="Times New Roman"/>
          <w:color w:val="FF0000"/>
          <w:szCs w:val="24"/>
        </w:rPr>
        <w:t>cover losses</w:t>
      </w:r>
      <w:r w:rsidRPr="0084081D">
        <w:rPr>
          <w:rFonts w:ascii="TimesNewRomanPSMT" w:eastAsia="Times New Roman" w:hAnsi="TimesNewRomanPSMT" w:cs="Times New Roman"/>
          <w:color w:val="FF0000"/>
          <w:szCs w:val="24"/>
        </w:rPr>
        <w:t xml:space="preserve"> in the UCC project. </w:t>
      </w:r>
    </w:p>
    <w:p w14:paraId="1230A87B" w14:textId="69B75A99" w:rsidR="00003D25" w:rsidRPr="0084081D" w:rsidRDefault="00A84BEB" w:rsidP="0084081D">
      <w:pPr>
        <w:spacing w:after="240" w:line="360" w:lineRule="auto"/>
        <w:rPr>
          <w:rFonts w:ascii="TimesNewRomanPSMT" w:eastAsia="Times New Roman" w:hAnsi="TimesNewRomanPSMT" w:cs="Times New Roman"/>
          <w:color w:val="FF0000"/>
          <w:szCs w:val="24"/>
        </w:rPr>
      </w:pPr>
      <w:r>
        <w:rPr>
          <w:rFonts w:ascii="TimesNewRomanPSMT" w:eastAsia="Times New Roman" w:hAnsi="TimesNewRomanPSMT" w:cs="Times New Roman"/>
          <w:color w:val="FF0000"/>
          <w:szCs w:val="24"/>
        </w:rPr>
        <w:t xml:space="preserve">Besides the subsidies, LAs can enact the traffic regulation to </w:t>
      </w:r>
      <w:r w:rsidR="00003D25" w:rsidRPr="0084081D">
        <w:rPr>
          <w:rFonts w:ascii="TimesNewRomanPSMT" w:eastAsia="Times New Roman" w:hAnsi="TimesNewRomanPSMT" w:cs="Times New Roman"/>
          <w:color w:val="FF0000"/>
          <w:szCs w:val="24"/>
        </w:rPr>
        <w:t>support</w:t>
      </w:r>
      <w:r>
        <w:rPr>
          <w:rFonts w:ascii="TimesNewRomanPSMT" w:eastAsia="Times New Roman" w:hAnsi="TimesNewRomanPSMT" w:cs="Times New Roman"/>
          <w:color w:val="FF0000"/>
          <w:szCs w:val="24"/>
        </w:rPr>
        <w:t xml:space="preserve"> the UCCs</w:t>
      </w:r>
      <w:r w:rsidR="00003D25" w:rsidRPr="0084081D">
        <w:rPr>
          <w:rFonts w:ascii="TimesNewRomanPSMT" w:eastAsia="Times New Roman" w:hAnsi="TimesNewRomanPSMT" w:cs="Times New Roman"/>
          <w:color w:val="FF0000"/>
          <w:szCs w:val="24"/>
        </w:rPr>
        <w:t>, such as setting restrictions on the vehicles that access the urban area (e.g., time-windows, congestion charge, weight restrictions). These restrictive measures are implemented because acceptance of UCCs is discretionary. Restrictive measures could increase freight companies’ shipping costs for the last-mile delivery</w:t>
      </w:r>
      <w:r w:rsidR="00FC3F19" w:rsidRPr="0084081D">
        <w:rPr>
          <w:rFonts w:ascii="TimesNewRomanPSMT" w:eastAsia="Times New Roman" w:hAnsi="TimesNewRomanPSMT" w:cs="Times New Roman"/>
          <w:color w:val="FF0000"/>
          <w:szCs w:val="24"/>
        </w:rPr>
        <w:t xml:space="preserve"> so that increasing </w:t>
      </w:r>
      <w:r w:rsidR="00834C9E" w:rsidRPr="0084081D">
        <w:rPr>
          <w:rFonts w:ascii="TimesNewRomanPSMT" w:eastAsia="Times New Roman" w:hAnsi="TimesNewRomanPSMT" w:cs="Times New Roman"/>
          <w:color w:val="FF0000"/>
          <w:szCs w:val="24"/>
        </w:rPr>
        <w:t xml:space="preserve">the </w:t>
      </w:r>
      <w:r w:rsidR="00003D25" w:rsidRPr="0084081D">
        <w:rPr>
          <w:rFonts w:ascii="TimesNewRomanPSMT" w:eastAsia="Times New Roman" w:hAnsi="TimesNewRomanPSMT" w:cs="Times New Roman"/>
          <w:color w:val="FF0000"/>
          <w:szCs w:val="24"/>
        </w:rPr>
        <w:t>acceptability</w:t>
      </w:r>
      <w:r w:rsidR="00834C9E" w:rsidRPr="0084081D">
        <w:rPr>
          <w:rFonts w:ascii="TimesNewRomanPSMT" w:eastAsia="Times New Roman" w:hAnsi="TimesNewRomanPSMT" w:cs="Times New Roman"/>
          <w:color w:val="FF0000"/>
          <w:szCs w:val="24"/>
        </w:rPr>
        <w:t xml:space="preserve"> of </w:t>
      </w:r>
      <w:r w:rsidR="005B4962" w:rsidRPr="0084081D">
        <w:rPr>
          <w:rFonts w:ascii="TimesNewRomanPSMT" w:eastAsia="Times New Roman" w:hAnsi="TimesNewRomanPSMT" w:cs="Times New Roman"/>
          <w:color w:val="FF0000"/>
          <w:szCs w:val="24"/>
        </w:rPr>
        <w:t>potential</w:t>
      </w:r>
      <w:r w:rsidR="00454847" w:rsidRPr="0084081D">
        <w:rPr>
          <w:rFonts w:ascii="TimesNewRomanPSMT" w:eastAsia="Times New Roman" w:hAnsi="TimesNewRomanPSMT" w:cs="Times New Roman"/>
          <w:color w:val="FF0000"/>
          <w:szCs w:val="24"/>
        </w:rPr>
        <w:t xml:space="preserve"> UCC users</w:t>
      </w:r>
      <w:r w:rsidR="00003D25" w:rsidRPr="0084081D">
        <w:rPr>
          <w:rFonts w:ascii="TimesNewRomanPSMT" w:eastAsia="Times New Roman" w:hAnsi="TimesNewRomanPSMT" w:cs="Times New Roman"/>
          <w:color w:val="FF0000"/>
          <w:szCs w:val="24"/>
        </w:rPr>
        <w:t xml:space="preserve"> for subscribing the services from UCC and remaining competitive of UCC project in the local freight market. On the other hand, some positive measures have also been implemented, such as</w:t>
      </w:r>
      <w:r w:rsidR="00227EB4" w:rsidRPr="0084081D">
        <w:rPr>
          <w:rFonts w:ascii="TimesNewRomanPSMT" w:eastAsia="Times New Roman" w:hAnsi="TimesNewRomanPSMT" w:cs="Times New Roman"/>
          <w:color w:val="FF0000"/>
          <w:szCs w:val="24"/>
        </w:rPr>
        <w:t xml:space="preserve"> (1)</w:t>
      </w:r>
      <w:r w:rsidR="00003D25" w:rsidRPr="0084081D">
        <w:rPr>
          <w:rFonts w:ascii="TimesNewRomanPSMT" w:eastAsia="Times New Roman" w:hAnsi="TimesNewRomanPSMT" w:cs="Times New Roman"/>
          <w:color w:val="FF0000"/>
          <w:szCs w:val="24"/>
        </w:rPr>
        <w:t xml:space="preserve"> </w:t>
      </w:r>
      <w:r w:rsidR="00227EB4" w:rsidRPr="0084081D">
        <w:rPr>
          <w:rFonts w:ascii="TimesNewRomanPSMT" w:eastAsia="Times New Roman" w:hAnsi="TimesNewRomanPSMT" w:cs="Times New Roman"/>
          <w:color w:val="FF0000"/>
          <w:szCs w:val="24"/>
        </w:rPr>
        <w:t>LAs</w:t>
      </w:r>
      <w:r w:rsidR="00003D25" w:rsidRPr="0084081D">
        <w:rPr>
          <w:rFonts w:ascii="TimesNewRomanPSMT" w:eastAsia="Times New Roman" w:hAnsi="TimesNewRomanPSMT" w:cs="Times New Roman"/>
          <w:color w:val="FF0000"/>
          <w:szCs w:val="24"/>
        </w:rPr>
        <w:t xml:space="preserve"> sharing the proven advantages with their publicity channels to attract new participants</w:t>
      </w:r>
      <w:r w:rsidR="00227EB4" w:rsidRPr="0084081D">
        <w:rPr>
          <w:rFonts w:ascii="TimesNewRomanPSMT" w:eastAsia="Times New Roman" w:hAnsi="TimesNewRomanPSMT" w:cs="Times New Roman"/>
          <w:color w:val="FF0000"/>
          <w:szCs w:val="24"/>
        </w:rPr>
        <w:t xml:space="preserve">; (2) LAs </w:t>
      </w:r>
      <w:r w:rsidR="00C34E3C" w:rsidRPr="0084081D">
        <w:rPr>
          <w:rFonts w:ascii="TimesNewRomanPSMT" w:eastAsia="Times New Roman" w:hAnsi="TimesNewRomanPSMT" w:cs="Times New Roman"/>
          <w:color w:val="FF0000"/>
          <w:szCs w:val="24"/>
        </w:rPr>
        <w:t>grant</w:t>
      </w:r>
      <w:r w:rsidR="002A3176" w:rsidRPr="0084081D">
        <w:rPr>
          <w:rFonts w:ascii="TimesNewRomanPSMT" w:eastAsia="Times New Roman" w:hAnsi="TimesNewRomanPSMT" w:cs="Times New Roman"/>
          <w:color w:val="FF0000"/>
          <w:szCs w:val="24"/>
        </w:rPr>
        <w:t xml:space="preserve"> some kinds of</w:t>
      </w:r>
      <w:r w:rsidR="00C34E3C" w:rsidRPr="0084081D">
        <w:rPr>
          <w:rFonts w:ascii="TimesNewRomanPSMT" w:eastAsia="Times New Roman" w:hAnsi="TimesNewRomanPSMT" w:cs="Times New Roman"/>
          <w:color w:val="FF0000"/>
          <w:szCs w:val="24"/>
        </w:rPr>
        <w:t xml:space="preserve"> </w:t>
      </w:r>
      <w:r w:rsidR="002A3176" w:rsidRPr="0084081D">
        <w:rPr>
          <w:rFonts w:ascii="TimesNewRomanPSMT" w:eastAsia="Times New Roman" w:hAnsi="TimesNewRomanPSMT" w:cs="Times New Roman"/>
          <w:color w:val="FF0000"/>
          <w:szCs w:val="24"/>
        </w:rPr>
        <w:t xml:space="preserve">privilege to the </w:t>
      </w:r>
      <w:r w:rsidR="00B256BB" w:rsidRPr="0084081D">
        <w:rPr>
          <w:rFonts w:ascii="TimesNewRomanPSMT" w:eastAsia="Times New Roman" w:hAnsi="TimesNewRomanPSMT" w:cs="Times New Roman"/>
          <w:color w:val="FF0000"/>
          <w:szCs w:val="24"/>
        </w:rPr>
        <w:t xml:space="preserve">UCC’s vehicles using </w:t>
      </w:r>
      <w:r w:rsidR="00227EB4" w:rsidRPr="0084081D">
        <w:rPr>
          <w:rFonts w:ascii="TimesNewRomanPSMT" w:eastAsia="Times New Roman" w:hAnsi="TimesNewRomanPSMT" w:cs="Times New Roman"/>
          <w:color w:val="FF0000"/>
          <w:szCs w:val="24"/>
        </w:rPr>
        <w:t xml:space="preserve">parking areas </w:t>
      </w:r>
      <w:r w:rsidR="00B256BB" w:rsidRPr="0084081D">
        <w:rPr>
          <w:rFonts w:ascii="TimesNewRomanPSMT" w:eastAsia="Times New Roman" w:hAnsi="TimesNewRomanPSMT" w:cs="Times New Roman"/>
          <w:color w:val="FF0000"/>
          <w:szCs w:val="24"/>
        </w:rPr>
        <w:t>and roads.</w:t>
      </w:r>
    </w:p>
    <w:p w14:paraId="6FBC2762" w14:textId="7C344A1B" w:rsidR="00003D25" w:rsidRPr="0084081D" w:rsidRDefault="00593A9E" w:rsidP="0084081D">
      <w:pPr>
        <w:spacing w:after="240" w:line="360" w:lineRule="auto"/>
        <w:rPr>
          <w:rFonts w:ascii="TimesNewRomanPSMT" w:eastAsia="Times New Roman" w:hAnsi="TimesNewRomanPSMT" w:cs="Times New Roman"/>
          <w:color w:val="FF0000"/>
          <w:szCs w:val="24"/>
        </w:rPr>
      </w:pPr>
      <w:r>
        <w:rPr>
          <w:rFonts w:ascii="TimesNewRomanPSMT" w:eastAsia="Times New Roman" w:hAnsi="TimesNewRomanPSMT" w:cs="Times New Roman"/>
          <w:color w:val="FF0000"/>
          <w:szCs w:val="24"/>
        </w:rPr>
        <w:t>T</w:t>
      </w:r>
      <w:r w:rsidRPr="0084081D">
        <w:rPr>
          <w:rFonts w:ascii="TimesNewRomanPSMT" w:eastAsia="Times New Roman" w:hAnsi="TimesNewRomanPSMT" w:cs="Times New Roman"/>
          <w:color w:val="FF0000"/>
          <w:szCs w:val="24"/>
        </w:rPr>
        <w:t>he</w:t>
      </w:r>
      <w:r>
        <w:rPr>
          <w:rFonts w:ascii="TimesNewRomanPSMT" w:eastAsia="Times New Roman" w:hAnsi="TimesNewRomanPSMT" w:cs="Times New Roman"/>
          <w:color w:val="FF0000"/>
          <w:szCs w:val="24"/>
        </w:rPr>
        <w:t xml:space="preserve"> results from</w:t>
      </w:r>
      <w:r w:rsidRPr="0084081D">
        <w:rPr>
          <w:rFonts w:ascii="TimesNewRomanPSMT" w:eastAsia="Times New Roman" w:hAnsi="TimesNewRomanPSMT" w:cs="Times New Roman"/>
          <w:color w:val="FF0000"/>
          <w:szCs w:val="24"/>
        </w:rPr>
        <w:t xml:space="preserve"> reviewed neighbourhood</w:t>
      </w:r>
      <w:r>
        <w:rPr>
          <w:rFonts w:ascii="TimesNewRomanPSMT" w:eastAsia="Times New Roman" w:hAnsi="TimesNewRomanPSMT" w:cs="Times New Roman"/>
          <w:color w:val="FF0000"/>
          <w:szCs w:val="24"/>
        </w:rPr>
        <w:t xml:space="preserve"> UCCs</w:t>
      </w:r>
      <w:r w:rsidRPr="0084081D">
        <w:rPr>
          <w:rFonts w:ascii="TimesNewRomanPSMT" w:eastAsia="Times New Roman" w:hAnsi="TimesNewRomanPSMT" w:cs="Times New Roman"/>
          <w:color w:val="FF0000"/>
          <w:szCs w:val="24"/>
        </w:rPr>
        <w:t xml:space="preserve"> and town-wide UCCs</w:t>
      </w:r>
      <w:r>
        <w:rPr>
          <w:rFonts w:ascii="TimesNewRomanPSMT" w:eastAsia="Times New Roman" w:hAnsi="TimesNewRomanPSMT" w:cs="Times New Roman"/>
          <w:color w:val="FF0000"/>
          <w:szCs w:val="24"/>
        </w:rPr>
        <w:t xml:space="preserve"> reveals that, f</w:t>
      </w:r>
      <w:r w:rsidR="00003D25" w:rsidRPr="0084081D">
        <w:rPr>
          <w:rFonts w:ascii="TimesNewRomanPSMT" w:eastAsia="Times New Roman" w:hAnsi="TimesNewRomanPSMT" w:cs="Times New Roman"/>
          <w:color w:val="FF0000"/>
          <w:szCs w:val="24"/>
        </w:rPr>
        <w:t>or the purpose of minimising governmental interference in free-market competition by creating monopoly or oligopoly conditions,</w:t>
      </w:r>
      <w:r>
        <w:rPr>
          <w:rFonts w:ascii="TimesNewRomanPSMT" w:eastAsia="Times New Roman" w:hAnsi="TimesNewRomanPSMT" w:cs="Times New Roman"/>
          <w:color w:val="FF0000"/>
          <w:szCs w:val="24"/>
        </w:rPr>
        <w:t xml:space="preserve"> </w:t>
      </w:r>
      <w:r w:rsidR="00003D25" w:rsidRPr="0084081D">
        <w:rPr>
          <w:rFonts w:ascii="TimesNewRomanPSMT" w:eastAsia="Times New Roman" w:hAnsi="TimesNewRomanPSMT" w:cs="Times New Roman"/>
          <w:color w:val="FF0000"/>
          <w:szCs w:val="24"/>
        </w:rPr>
        <w:t xml:space="preserve">municipal laws prevent </w:t>
      </w:r>
      <w:r w:rsidR="00A84BEB">
        <w:rPr>
          <w:rFonts w:ascii="TimesNewRomanPSMT" w:eastAsia="Times New Roman" w:hAnsi="TimesNewRomanPSMT" w:cs="Times New Roman"/>
          <w:color w:val="FF0000"/>
          <w:szCs w:val="24"/>
        </w:rPr>
        <w:t>LA</w:t>
      </w:r>
      <w:r w:rsidR="00003D25" w:rsidRPr="0084081D">
        <w:rPr>
          <w:rFonts w:ascii="TimesNewRomanPSMT" w:eastAsia="Times New Roman" w:hAnsi="TimesNewRomanPSMT" w:cs="Times New Roman"/>
          <w:color w:val="FF0000"/>
          <w:szCs w:val="24"/>
        </w:rPr>
        <w:t>s from prohibiting all direct deliveries in the urban area</w:t>
      </w:r>
      <w:r>
        <w:rPr>
          <w:rFonts w:ascii="TimesNewRomanPSMT" w:eastAsia="Times New Roman" w:hAnsi="TimesNewRomanPSMT" w:cs="Times New Roman"/>
          <w:color w:val="FF0000"/>
          <w:szCs w:val="24"/>
        </w:rPr>
        <w:t xml:space="preserve"> to support these two kinds of UCC project</w:t>
      </w:r>
      <w:r w:rsidR="00003D25" w:rsidRPr="0084081D">
        <w:rPr>
          <w:rFonts w:ascii="TimesNewRomanPSMT" w:eastAsia="Times New Roman" w:hAnsi="TimesNewRomanPSMT" w:cs="Times New Roman"/>
          <w:color w:val="FF0000"/>
          <w:szCs w:val="24"/>
        </w:rPr>
        <w:t xml:space="preserve">. For this reason, the acceptance of </w:t>
      </w:r>
      <w:r w:rsidRPr="0084081D">
        <w:rPr>
          <w:rFonts w:ascii="TimesNewRomanPSMT" w:eastAsia="Times New Roman" w:hAnsi="TimesNewRomanPSMT" w:cs="Times New Roman"/>
          <w:color w:val="FF0000"/>
          <w:szCs w:val="24"/>
        </w:rPr>
        <w:t>neighbourhood</w:t>
      </w:r>
      <w:r>
        <w:rPr>
          <w:rFonts w:ascii="TimesNewRomanPSMT" w:eastAsia="Times New Roman" w:hAnsi="TimesNewRomanPSMT" w:cs="Times New Roman"/>
          <w:color w:val="FF0000"/>
          <w:szCs w:val="24"/>
        </w:rPr>
        <w:t xml:space="preserve"> </w:t>
      </w:r>
      <w:r w:rsidRPr="0084081D">
        <w:rPr>
          <w:rFonts w:ascii="TimesNewRomanPSMT" w:eastAsia="Times New Roman" w:hAnsi="TimesNewRomanPSMT" w:cs="Times New Roman"/>
          <w:color w:val="FF0000"/>
          <w:szCs w:val="24"/>
        </w:rPr>
        <w:t xml:space="preserve">and </w:t>
      </w:r>
      <w:proofErr w:type="gramStart"/>
      <w:r w:rsidRPr="0084081D">
        <w:rPr>
          <w:rFonts w:ascii="TimesNewRomanPSMT" w:eastAsia="Times New Roman" w:hAnsi="TimesNewRomanPSMT" w:cs="Times New Roman"/>
          <w:color w:val="FF0000"/>
          <w:szCs w:val="24"/>
        </w:rPr>
        <w:t>town-wide</w:t>
      </w:r>
      <w:proofErr w:type="gramEnd"/>
      <w:r w:rsidRPr="0084081D">
        <w:rPr>
          <w:rFonts w:ascii="TimesNewRomanPSMT" w:eastAsia="Times New Roman" w:hAnsi="TimesNewRomanPSMT" w:cs="Times New Roman"/>
          <w:color w:val="FF0000"/>
          <w:szCs w:val="24"/>
        </w:rPr>
        <w:t xml:space="preserve"> </w:t>
      </w:r>
      <w:r w:rsidR="00003D25" w:rsidRPr="0084081D">
        <w:rPr>
          <w:rFonts w:ascii="TimesNewRomanPSMT" w:eastAsia="Times New Roman" w:hAnsi="TimesNewRomanPSMT" w:cs="Times New Roman"/>
          <w:color w:val="FF0000"/>
          <w:szCs w:val="24"/>
        </w:rPr>
        <w:t>UCC is voluntary.</w:t>
      </w:r>
      <w:r>
        <w:rPr>
          <w:rFonts w:ascii="TimesNewRomanPSMT" w:eastAsia="Times New Roman" w:hAnsi="TimesNewRomanPSMT" w:cs="Times New Roman"/>
          <w:color w:val="FF0000"/>
          <w:szCs w:val="24"/>
        </w:rPr>
        <w:t xml:space="preserve"> </w:t>
      </w:r>
      <w:r w:rsidR="00003D25" w:rsidRPr="0084081D">
        <w:rPr>
          <w:rFonts w:ascii="TimesNewRomanPSMT" w:eastAsia="Times New Roman" w:hAnsi="TimesNewRomanPSMT" w:cs="Times New Roman"/>
          <w:color w:val="FF0000"/>
          <w:szCs w:val="24"/>
        </w:rPr>
        <w:t>However, some site-specific UCCs are compulsory (e.g., the UCC at Heathrow airport). This kind of UCC system is developed through collaboration between the local authority and the landlord. In this compulsory framework, the landlord can manage the logistics activities of different UCC customers (e.g., shops, restaurants). Thereby, the landlord sets the UCC as the sole entrance for freight vehicle flows.</w:t>
      </w:r>
    </w:p>
    <w:p w14:paraId="4C27160C" w14:textId="7BE71CC2" w:rsidR="00E63252" w:rsidRPr="00BF183E" w:rsidRDefault="00E63252" w:rsidP="00E63252">
      <w:pPr>
        <w:pStyle w:val="Heading4"/>
        <w:spacing w:after="0" w:line="360" w:lineRule="auto"/>
        <w:rPr>
          <w:rFonts w:ascii="TimesNewRomanPSMT" w:eastAsia="Times New Roman" w:hAnsi="TimesNewRomanPSMT" w:cs="Times New Roman"/>
          <w:color w:val="FF0000"/>
          <w:szCs w:val="24"/>
        </w:rPr>
      </w:pPr>
      <w:r w:rsidRPr="00BF183E">
        <w:rPr>
          <w:rFonts w:ascii="TimesNewRomanPSMT" w:eastAsia="Times New Roman" w:hAnsi="TimesNewRomanPSMT" w:cs="Times New Roman"/>
          <w:color w:val="FF0000"/>
          <w:szCs w:val="24"/>
        </w:rPr>
        <w:t xml:space="preserve">Services </w:t>
      </w:r>
    </w:p>
    <w:p w14:paraId="6E002451" w14:textId="77777777" w:rsidR="004433D6" w:rsidRPr="005344D0" w:rsidRDefault="004433D6" w:rsidP="00A33814">
      <w:pPr>
        <w:spacing w:after="240" w:line="360" w:lineRule="auto"/>
        <w:rPr>
          <w:rFonts w:ascii="TimesNewRomanPSMT" w:eastAsia="Times New Roman" w:hAnsi="TimesNewRomanPSMT" w:cs="Times New Roman"/>
          <w:color w:val="FF0000"/>
          <w:szCs w:val="24"/>
        </w:rPr>
      </w:pPr>
      <w:r w:rsidRPr="005344D0">
        <w:rPr>
          <w:rFonts w:ascii="TimesNewRomanPSMT" w:eastAsia="Times New Roman" w:hAnsi="TimesNewRomanPSMT" w:cs="Times New Roman"/>
          <w:color w:val="FF0000"/>
          <w:szCs w:val="24"/>
        </w:rPr>
        <w:t xml:space="preserve">Most of the neighbourhood and </w:t>
      </w:r>
      <w:proofErr w:type="gramStart"/>
      <w:r w:rsidRPr="005344D0">
        <w:rPr>
          <w:rFonts w:ascii="TimesNewRomanPSMT" w:eastAsia="Times New Roman" w:hAnsi="TimesNewRomanPSMT" w:cs="Times New Roman"/>
          <w:color w:val="FF0000"/>
          <w:szCs w:val="24"/>
        </w:rPr>
        <w:t>town-wide</w:t>
      </w:r>
      <w:proofErr w:type="gramEnd"/>
      <w:r w:rsidRPr="005344D0">
        <w:rPr>
          <w:rFonts w:ascii="TimesNewRomanPSMT" w:eastAsia="Times New Roman" w:hAnsi="TimesNewRomanPSMT" w:cs="Times New Roman"/>
          <w:color w:val="FF0000"/>
          <w:szCs w:val="24"/>
        </w:rPr>
        <w:t xml:space="preserve"> UCCs were established to handle parcels only. These parcels come from couriers. The UCC replaces the couriers and distributes their parcels </w:t>
      </w:r>
      <w:r w:rsidRPr="005344D0">
        <w:rPr>
          <w:rFonts w:ascii="TimesNewRomanPSMT" w:eastAsia="Times New Roman" w:hAnsi="TimesNewRomanPSMT" w:cs="Times New Roman"/>
          <w:color w:val="FF0000"/>
          <w:szCs w:val="24"/>
        </w:rPr>
        <w:lastRenderedPageBreak/>
        <w:t>to the destinations in the urban area. Parcels do not usually require specialised treatment during the sorting and delivery process. Sometimes, goods with added value are distributed later, when the UCC has proven useful or increased its output and reduced its operating deficits. Many site-specific UCCs deliver goods that require special treatment (e.g., perishable food). For this, the UCC charges an extra upfront cost to purchase additional infrastructure and dedicated vehicles.</w:t>
      </w:r>
    </w:p>
    <w:p w14:paraId="167E2EA4" w14:textId="010D84CF" w:rsidR="004433D6" w:rsidRPr="005344D0" w:rsidRDefault="004433D6" w:rsidP="004433D6">
      <w:pPr>
        <w:spacing w:after="240" w:line="360" w:lineRule="auto"/>
        <w:rPr>
          <w:rFonts w:ascii="TimesNewRomanPSMT" w:eastAsia="Times New Roman" w:hAnsi="TimesNewRomanPSMT" w:cs="Times New Roman"/>
          <w:color w:val="FF0000"/>
          <w:szCs w:val="24"/>
        </w:rPr>
      </w:pPr>
      <w:r w:rsidRPr="005344D0">
        <w:rPr>
          <w:rFonts w:ascii="TimesNewRomanPSMT" w:eastAsia="Times New Roman" w:hAnsi="TimesNewRomanPSMT" w:cs="Times New Roman"/>
          <w:color w:val="FF0000"/>
          <w:szCs w:val="24"/>
        </w:rPr>
        <w:t xml:space="preserve">In addition to the consolidated deliveries, many UCCs also provide a range of value-adding services. These additional services are conceived as a means of improving the attractiveness of the UCC, as well as generating additional revenues in many cases. </w:t>
      </w:r>
      <w:r w:rsidRPr="005344D0">
        <w:rPr>
          <w:rFonts w:ascii="TimesNewRomanPSMT" w:eastAsia="Times New Roman" w:hAnsi="TimesNewRomanPSMT" w:cs="Times New Roman"/>
          <w:color w:val="FF0000"/>
          <w:szCs w:val="24"/>
        </w:rPr>
        <w:fldChar w:fldCharType="begin"/>
      </w:r>
      <w:r w:rsidRPr="005344D0">
        <w:rPr>
          <w:rFonts w:ascii="TimesNewRomanPSMT" w:eastAsia="Times New Roman" w:hAnsi="TimesNewRomanPSMT" w:cs="Times New Roman"/>
          <w:color w:val="FF0000"/>
          <w:szCs w:val="24"/>
        </w:rPr>
        <w:instrText xml:space="preserve"> REF _Ref60136960 \h </w:instrText>
      </w:r>
      <w:r w:rsidRPr="005344D0">
        <w:rPr>
          <w:rFonts w:ascii="TimesNewRomanPSMT" w:eastAsia="Times New Roman" w:hAnsi="TimesNewRomanPSMT" w:cs="Times New Roman"/>
          <w:color w:val="FF0000"/>
          <w:szCs w:val="24"/>
        </w:rPr>
      </w:r>
      <w:r w:rsidRPr="005344D0">
        <w:rPr>
          <w:rFonts w:ascii="TimesNewRomanPSMT" w:eastAsia="Times New Roman" w:hAnsi="TimesNewRomanPSMT" w:cs="Times New Roman"/>
          <w:color w:val="FF0000"/>
          <w:szCs w:val="24"/>
        </w:rPr>
        <w:fldChar w:fldCharType="separate"/>
      </w:r>
      <w:r w:rsidR="0005064B" w:rsidRPr="005344D0">
        <w:rPr>
          <w:color w:val="FF0000"/>
        </w:rPr>
        <w:t xml:space="preserve">Table </w:t>
      </w:r>
      <w:r w:rsidR="0005064B">
        <w:rPr>
          <w:noProof/>
          <w:color w:val="FF0000"/>
        </w:rPr>
        <w:t>2</w:t>
      </w:r>
      <w:r w:rsidR="0005064B" w:rsidRPr="005344D0">
        <w:rPr>
          <w:color w:val="FF0000"/>
        </w:rPr>
        <w:noBreakHyphen/>
      </w:r>
      <w:r w:rsidR="0005064B">
        <w:rPr>
          <w:noProof/>
          <w:color w:val="FF0000"/>
        </w:rPr>
        <w:t>16</w:t>
      </w:r>
      <w:r w:rsidRPr="005344D0">
        <w:rPr>
          <w:rFonts w:ascii="TimesNewRomanPSMT" w:eastAsia="Times New Roman" w:hAnsi="TimesNewRomanPSMT" w:cs="Times New Roman"/>
          <w:color w:val="FF0000"/>
          <w:szCs w:val="24"/>
        </w:rPr>
        <w:fldChar w:fldCharType="end"/>
      </w:r>
      <w:r w:rsidRPr="005344D0">
        <w:rPr>
          <w:rFonts w:ascii="TimesNewRomanPSMT" w:eastAsia="Times New Roman" w:hAnsi="TimesNewRomanPSMT" w:cs="Times New Roman"/>
          <w:color w:val="FF0000"/>
          <w:szCs w:val="24"/>
        </w:rPr>
        <w:t xml:space="preserve"> lists the specific additional services of the UCCs.</w:t>
      </w:r>
    </w:p>
    <w:tbl>
      <w:tblPr>
        <w:tblStyle w:val="TableGrid"/>
        <w:tblW w:w="0" w:type="auto"/>
        <w:tblLook w:val="04A0" w:firstRow="1" w:lastRow="0" w:firstColumn="1" w:lastColumn="0" w:noHBand="0" w:noVBand="1"/>
      </w:tblPr>
      <w:tblGrid>
        <w:gridCol w:w="2122"/>
        <w:gridCol w:w="6894"/>
      </w:tblGrid>
      <w:tr w:rsidR="00923102" w:rsidRPr="005344D0" w14:paraId="0D41ACAD" w14:textId="77777777" w:rsidTr="00A33814">
        <w:tc>
          <w:tcPr>
            <w:tcW w:w="2122" w:type="dxa"/>
          </w:tcPr>
          <w:p w14:paraId="5146D456" w14:textId="08967CF4" w:rsidR="00923102" w:rsidRPr="005344D0" w:rsidRDefault="00923102" w:rsidP="00A33814">
            <w:pPr>
              <w:spacing w:line="240" w:lineRule="auto"/>
              <w:jc w:val="center"/>
              <w:rPr>
                <w:rFonts w:ascii="TimesNewRomanPSMT" w:eastAsia="Times New Roman" w:hAnsi="TimesNewRomanPSMT" w:cs="Times New Roman"/>
                <w:color w:val="FF0000"/>
                <w:sz w:val="22"/>
              </w:rPr>
            </w:pPr>
            <w:r w:rsidRPr="005344D0">
              <w:rPr>
                <w:rFonts w:ascii="TimesNewRomanPSMT" w:eastAsia="Times New Roman" w:hAnsi="TimesNewRomanPSMT" w:cs="Times New Roman"/>
                <w:color w:val="FF0000"/>
                <w:sz w:val="22"/>
              </w:rPr>
              <w:t>Types of additional service</w:t>
            </w:r>
            <w:r w:rsidR="008045AE" w:rsidRPr="005344D0">
              <w:rPr>
                <w:rFonts w:ascii="TimesNewRomanPSMT" w:eastAsia="Times New Roman" w:hAnsi="TimesNewRomanPSMT" w:cs="Times New Roman"/>
                <w:color w:val="FF0000"/>
                <w:sz w:val="22"/>
              </w:rPr>
              <w:t>s</w:t>
            </w:r>
          </w:p>
        </w:tc>
        <w:tc>
          <w:tcPr>
            <w:tcW w:w="6894" w:type="dxa"/>
            <w:vAlign w:val="center"/>
          </w:tcPr>
          <w:p w14:paraId="254CC581" w14:textId="77777777" w:rsidR="00923102" w:rsidRPr="005344D0" w:rsidRDefault="00923102" w:rsidP="00A33814">
            <w:pPr>
              <w:spacing w:line="240" w:lineRule="auto"/>
              <w:jc w:val="center"/>
              <w:rPr>
                <w:rFonts w:ascii="TimesNewRomanPSMT" w:eastAsia="Times New Roman" w:hAnsi="TimesNewRomanPSMT" w:cs="Times New Roman"/>
                <w:color w:val="FF0000"/>
                <w:sz w:val="22"/>
              </w:rPr>
            </w:pPr>
            <w:r w:rsidRPr="005344D0">
              <w:rPr>
                <w:rFonts w:ascii="TimesNewRomanPSMT" w:eastAsia="Times New Roman" w:hAnsi="TimesNewRomanPSMT" w:cs="Times New Roman"/>
                <w:color w:val="FF0000"/>
                <w:sz w:val="22"/>
              </w:rPr>
              <w:t>Details</w:t>
            </w:r>
          </w:p>
        </w:tc>
      </w:tr>
      <w:tr w:rsidR="00923102" w:rsidRPr="005344D0" w14:paraId="21DF069E" w14:textId="77777777" w:rsidTr="00A33814">
        <w:tc>
          <w:tcPr>
            <w:tcW w:w="2122" w:type="dxa"/>
            <w:vAlign w:val="center"/>
          </w:tcPr>
          <w:p w14:paraId="2B8A0EEA" w14:textId="77777777" w:rsidR="00923102" w:rsidRPr="005344D0" w:rsidRDefault="00923102" w:rsidP="00A33814">
            <w:pPr>
              <w:spacing w:line="240" w:lineRule="auto"/>
              <w:jc w:val="center"/>
              <w:rPr>
                <w:rFonts w:ascii="TimesNewRomanPSMT" w:eastAsia="Times New Roman" w:hAnsi="TimesNewRomanPSMT" w:cs="Times New Roman"/>
                <w:color w:val="FF0000"/>
                <w:sz w:val="22"/>
              </w:rPr>
            </w:pPr>
            <w:r w:rsidRPr="005344D0">
              <w:rPr>
                <w:rFonts w:ascii="TimesNewRomanPSMT" w:eastAsia="Times New Roman" w:hAnsi="TimesNewRomanPSMT" w:cs="Times New Roman"/>
                <w:color w:val="FF0000"/>
                <w:sz w:val="22"/>
              </w:rPr>
              <w:t>Stockholding</w:t>
            </w:r>
          </w:p>
        </w:tc>
        <w:tc>
          <w:tcPr>
            <w:tcW w:w="6894" w:type="dxa"/>
          </w:tcPr>
          <w:p w14:paraId="6A6AE4F9" w14:textId="77777777" w:rsidR="00923102" w:rsidRPr="005344D0" w:rsidRDefault="00923102" w:rsidP="00A33814">
            <w:pPr>
              <w:spacing w:line="240" w:lineRule="auto"/>
              <w:jc w:val="left"/>
              <w:rPr>
                <w:rFonts w:eastAsia="Times New Roman" w:cs="Times New Roman"/>
                <w:color w:val="FF0000"/>
                <w:sz w:val="22"/>
              </w:rPr>
            </w:pPr>
            <w:r w:rsidRPr="005344D0">
              <w:rPr>
                <w:rFonts w:ascii="TimesNewRomanPSMT" w:eastAsia="Times New Roman" w:hAnsi="TimesNewRomanPSMT" w:cs="Times New Roman"/>
                <w:color w:val="FF0000"/>
                <w:sz w:val="22"/>
              </w:rPr>
              <w:t>The UCC warehouse provides goods storage services for the retailers, restaurants, and hotels.</w:t>
            </w:r>
          </w:p>
        </w:tc>
      </w:tr>
      <w:tr w:rsidR="00923102" w:rsidRPr="005344D0" w14:paraId="4CEE5997" w14:textId="77777777" w:rsidTr="00A33814">
        <w:tc>
          <w:tcPr>
            <w:tcW w:w="2122" w:type="dxa"/>
            <w:vAlign w:val="center"/>
          </w:tcPr>
          <w:p w14:paraId="040D8CEE" w14:textId="77777777" w:rsidR="00923102" w:rsidRPr="005344D0" w:rsidRDefault="00923102" w:rsidP="00A33814">
            <w:pPr>
              <w:spacing w:line="240" w:lineRule="auto"/>
              <w:jc w:val="center"/>
              <w:rPr>
                <w:rFonts w:ascii="TimesNewRomanPSMT" w:eastAsia="Times New Roman" w:hAnsi="TimesNewRomanPSMT" w:cs="Times New Roman"/>
                <w:color w:val="FF0000"/>
                <w:sz w:val="22"/>
              </w:rPr>
            </w:pPr>
            <w:r w:rsidRPr="005344D0">
              <w:rPr>
                <w:rFonts w:ascii="TimesNewRomanPSMT" w:eastAsia="Times New Roman" w:hAnsi="TimesNewRomanPSMT" w:cs="Times New Roman"/>
                <w:color w:val="FF0000"/>
                <w:sz w:val="22"/>
              </w:rPr>
              <w:t>Inventory management</w:t>
            </w:r>
          </w:p>
        </w:tc>
        <w:tc>
          <w:tcPr>
            <w:tcW w:w="6894" w:type="dxa"/>
          </w:tcPr>
          <w:p w14:paraId="16E43C6A" w14:textId="77777777" w:rsidR="00923102" w:rsidRPr="005344D0" w:rsidRDefault="00923102" w:rsidP="00A33814">
            <w:pPr>
              <w:spacing w:line="240" w:lineRule="auto"/>
              <w:jc w:val="left"/>
              <w:rPr>
                <w:rFonts w:ascii="TimesNewRomanPSMT" w:eastAsia="Times New Roman" w:hAnsi="TimesNewRomanPSMT" w:cs="Times New Roman"/>
                <w:color w:val="FF0000"/>
                <w:sz w:val="22"/>
              </w:rPr>
            </w:pPr>
            <w:r w:rsidRPr="005344D0">
              <w:rPr>
                <w:rFonts w:ascii="TimesNewRomanPSMT" w:eastAsia="Times New Roman" w:hAnsi="TimesNewRomanPSMT" w:cs="Times New Roman"/>
                <w:color w:val="FF0000"/>
                <w:sz w:val="22"/>
              </w:rPr>
              <w:t>The UCC integrates with the retailers’ systems, which provides a useful local buffer stock that can be replenished timely when needed, thus reducing delivery lead times, improving product availability and customer service, and reducing stock loss.</w:t>
            </w:r>
          </w:p>
        </w:tc>
      </w:tr>
      <w:tr w:rsidR="00923102" w:rsidRPr="005344D0" w14:paraId="4F8357FA" w14:textId="77777777" w:rsidTr="00A33814">
        <w:tc>
          <w:tcPr>
            <w:tcW w:w="2122" w:type="dxa"/>
            <w:vAlign w:val="center"/>
          </w:tcPr>
          <w:p w14:paraId="6EEFE0B3" w14:textId="77777777" w:rsidR="00923102" w:rsidRPr="005344D0" w:rsidRDefault="00923102" w:rsidP="00A33814">
            <w:pPr>
              <w:spacing w:line="240" w:lineRule="auto"/>
              <w:jc w:val="center"/>
              <w:rPr>
                <w:rFonts w:ascii="TimesNewRomanPSMT" w:eastAsia="Times New Roman" w:hAnsi="TimesNewRomanPSMT" w:cs="Times New Roman"/>
                <w:color w:val="FF0000"/>
                <w:sz w:val="22"/>
              </w:rPr>
            </w:pPr>
            <w:r w:rsidRPr="005344D0">
              <w:rPr>
                <w:rFonts w:ascii="TimesNewRomanPSMT" w:eastAsia="Times New Roman" w:hAnsi="TimesNewRomanPSMT" w:cs="Times New Roman"/>
                <w:color w:val="FF0000"/>
                <w:sz w:val="22"/>
              </w:rPr>
              <w:t>Business-to-customer (B2C)</w:t>
            </w:r>
          </w:p>
        </w:tc>
        <w:tc>
          <w:tcPr>
            <w:tcW w:w="6894" w:type="dxa"/>
          </w:tcPr>
          <w:p w14:paraId="038C33FC" w14:textId="77777777" w:rsidR="00923102" w:rsidRPr="005344D0" w:rsidRDefault="00923102" w:rsidP="00A33814">
            <w:pPr>
              <w:spacing w:line="240" w:lineRule="auto"/>
              <w:jc w:val="left"/>
              <w:rPr>
                <w:rFonts w:ascii="TimesNewRomanPSMT" w:eastAsia="Times New Roman" w:hAnsi="TimesNewRomanPSMT" w:cs="Times New Roman"/>
                <w:color w:val="FF0000"/>
                <w:sz w:val="22"/>
              </w:rPr>
            </w:pPr>
            <w:r w:rsidRPr="005344D0">
              <w:rPr>
                <w:rFonts w:ascii="TimesNewRomanPSMT" w:eastAsia="Times New Roman" w:hAnsi="TimesNewRomanPSMT" w:cs="Times New Roman"/>
                <w:color w:val="FF0000"/>
                <w:sz w:val="22"/>
              </w:rPr>
              <w:t xml:space="preserve">The UCC offers pre-retailing activities for small/independent customers, such as consignment unpacking, preparation of products for display, and price labelling. </w:t>
            </w:r>
          </w:p>
          <w:p w14:paraId="34B2EEE3" w14:textId="77777777" w:rsidR="00923102" w:rsidRPr="005344D0" w:rsidRDefault="00923102" w:rsidP="00A33814">
            <w:pPr>
              <w:spacing w:line="240" w:lineRule="auto"/>
              <w:jc w:val="left"/>
              <w:rPr>
                <w:rFonts w:ascii="TimesNewRomanPSMT" w:hAnsi="TimesNewRomanPSMT" w:cs="Times New Roman" w:hint="eastAsia"/>
                <w:color w:val="FF0000"/>
                <w:sz w:val="22"/>
              </w:rPr>
            </w:pPr>
            <w:r w:rsidRPr="005344D0">
              <w:rPr>
                <w:rFonts w:ascii="TimesNewRomanPSMT" w:eastAsia="Times New Roman" w:hAnsi="TimesNewRomanPSMT" w:cs="Times New Roman"/>
                <w:color w:val="FF0000"/>
                <w:sz w:val="22"/>
              </w:rPr>
              <w:t xml:space="preserve">The UCC offers </w:t>
            </w:r>
            <w:r w:rsidRPr="005344D0">
              <w:rPr>
                <w:rFonts w:cs="Times New Roman"/>
                <w:color w:val="FF0000"/>
                <w:sz w:val="22"/>
              </w:rPr>
              <w:t xml:space="preserve">intra-city express services, such as </w:t>
            </w:r>
            <w:r w:rsidRPr="005344D0">
              <w:rPr>
                <w:rFonts w:ascii="TimesNewRomanPSMT" w:eastAsia="Times New Roman" w:hAnsi="TimesNewRomanPSMT" w:cs="Times New Roman"/>
                <w:color w:val="FF0000"/>
                <w:sz w:val="22"/>
              </w:rPr>
              <w:t xml:space="preserve">inter-store transfers, home delivery, and customer collection of products purchased in town. </w:t>
            </w:r>
          </w:p>
        </w:tc>
      </w:tr>
      <w:tr w:rsidR="00923102" w:rsidRPr="005344D0" w14:paraId="43802B36" w14:textId="77777777" w:rsidTr="00A33814">
        <w:tc>
          <w:tcPr>
            <w:tcW w:w="2122" w:type="dxa"/>
            <w:vAlign w:val="center"/>
          </w:tcPr>
          <w:p w14:paraId="7CD2DFAB" w14:textId="77777777" w:rsidR="00923102" w:rsidRPr="005344D0" w:rsidRDefault="00923102" w:rsidP="00A33814">
            <w:pPr>
              <w:spacing w:line="240" w:lineRule="auto"/>
              <w:jc w:val="center"/>
              <w:rPr>
                <w:rFonts w:ascii="TimesNewRomanPSMT" w:eastAsia="Times New Roman" w:hAnsi="TimesNewRomanPSMT" w:cs="Times New Roman"/>
                <w:color w:val="FF0000"/>
                <w:sz w:val="22"/>
              </w:rPr>
            </w:pPr>
            <w:r w:rsidRPr="005344D0">
              <w:rPr>
                <w:rFonts w:ascii="TimesNewRomanPSMT" w:eastAsia="Times New Roman" w:hAnsi="TimesNewRomanPSMT" w:cs="Times New Roman"/>
                <w:color w:val="FF0000"/>
                <w:sz w:val="22"/>
              </w:rPr>
              <w:t>Reverse logistics</w:t>
            </w:r>
          </w:p>
        </w:tc>
        <w:tc>
          <w:tcPr>
            <w:tcW w:w="6894" w:type="dxa"/>
          </w:tcPr>
          <w:p w14:paraId="40DB98C2" w14:textId="77777777" w:rsidR="00923102" w:rsidRPr="005344D0" w:rsidRDefault="00923102" w:rsidP="00A33814">
            <w:pPr>
              <w:spacing w:line="240" w:lineRule="auto"/>
              <w:jc w:val="left"/>
              <w:rPr>
                <w:rFonts w:eastAsia="Times New Roman" w:cs="Times New Roman"/>
                <w:color w:val="FF0000"/>
                <w:sz w:val="22"/>
              </w:rPr>
            </w:pPr>
            <w:r w:rsidRPr="005344D0">
              <w:rPr>
                <w:rFonts w:ascii="TimesNewRomanPSMT" w:eastAsia="Times New Roman" w:hAnsi="TimesNewRomanPSMT" w:cs="Times New Roman"/>
                <w:color w:val="FF0000"/>
                <w:sz w:val="22"/>
              </w:rPr>
              <w:t>The UCC has a role in the handling of return and recycling flows, including product returns and the coordination of waste and packaging collection for recycling</w:t>
            </w:r>
          </w:p>
        </w:tc>
      </w:tr>
    </w:tbl>
    <w:p w14:paraId="3B288681" w14:textId="6025C245" w:rsidR="007951CB" w:rsidRPr="005344D0" w:rsidRDefault="008C7446" w:rsidP="008C7446">
      <w:pPr>
        <w:pStyle w:val="Caption"/>
        <w:rPr>
          <w:rFonts w:cs="Times New Roman"/>
          <w:color w:val="FF0000"/>
        </w:rPr>
      </w:pPr>
      <w:bookmarkStart w:id="439" w:name="_Ref60136960"/>
      <w:bookmarkStart w:id="440" w:name="_Toc66698767"/>
      <w:r w:rsidRPr="005344D0">
        <w:rPr>
          <w:color w:val="FF0000"/>
        </w:rPr>
        <w:t xml:space="preserve">Table </w:t>
      </w:r>
      <w:r w:rsidR="00FE10DA" w:rsidRPr="005344D0">
        <w:rPr>
          <w:color w:val="FF0000"/>
        </w:rPr>
        <w:fldChar w:fldCharType="begin"/>
      </w:r>
      <w:r w:rsidR="00FE10DA" w:rsidRPr="005344D0">
        <w:rPr>
          <w:color w:val="FF0000"/>
        </w:rPr>
        <w:instrText xml:space="preserve"> STYLEREF 1 \s </w:instrText>
      </w:r>
      <w:r w:rsidR="00FE10DA" w:rsidRPr="005344D0">
        <w:rPr>
          <w:color w:val="FF0000"/>
        </w:rPr>
        <w:fldChar w:fldCharType="separate"/>
      </w:r>
      <w:r w:rsidR="0005064B">
        <w:rPr>
          <w:noProof/>
          <w:color w:val="FF0000"/>
        </w:rPr>
        <w:t>2</w:t>
      </w:r>
      <w:r w:rsidR="00FE10DA" w:rsidRPr="005344D0">
        <w:rPr>
          <w:color w:val="FF0000"/>
        </w:rPr>
        <w:fldChar w:fldCharType="end"/>
      </w:r>
      <w:r w:rsidR="00FE10DA" w:rsidRPr="005344D0">
        <w:rPr>
          <w:color w:val="FF0000"/>
        </w:rPr>
        <w:noBreakHyphen/>
      </w:r>
      <w:r w:rsidR="00FE10DA" w:rsidRPr="005344D0">
        <w:rPr>
          <w:color w:val="FF0000"/>
        </w:rPr>
        <w:fldChar w:fldCharType="begin"/>
      </w:r>
      <w:r w:rsidR="00FE10DA" w:rsidRPr="005344D0">
        <w:rPr>
          <w:color w:val="FF0000"/>
        </w:rPr>
        <w:instrText xml:space="preserve"> SEQ Table \* ARABIC \s 1 </w:instrText>
      </w:r>
      <w:r w:rsidR="00FE10DA" w:rsidRPr="005344D0">
        <w:rPr>
          <w:color w:val="FF0000"/>
        </w:rPr>
        <w:fldChar w:fldCharType="separate"/>
      </w:r>
      <w:r w:rsidR="0005064B">
        <w:rPr>
          <w:noProof/>
          <w:color w:val="FF0000"/>
        </w:rPr>
        <w:t>16</w:t>
      </w:r>
      <w:r w:rsidR="00FE10DA" w:rsidRPr="005344D0">
        <w:rPr>
          <w:color w:val="FF0000"/>
        </w:rPr>
        <w:fldChar w:fldCharType="end"/>
      </w:r>
      <w:bookmarkEnd w:id="439"/>
      <w:r w:rsidRPr="005344D0">
        <w:rPr>
          <w:rFonts w:cs="Times New Roman"/>
          <w:color w:val="FF0000"/>
        </w:rPr>
        <w:t>: Additional service of urban consolidation centres (UCCs)</w:t>
      </w:r>
      <w:bookmarkEnd w:id="440"/>
      <w:r w:rsidRPr="005344D0">
        <w:rPr>
          <w:rFonts w:cs="Times New Roman"/>
          <w:color w:val="FF0000"/>
        </w:rPr>
        <w:t xml:space="preserve"> </w:t>
      </w:r>
    </w:p>
    <w:p w14:paraId="21E62BA4" w14:textId="5E3D6200" w:rsidR="00C83CD7" w:rsidRPr="00BF183E" w:rsidRDefault="00C83CD7" w:rsidP="00C83CD7">
      <w:pPr>
        <w:pStyle w:val="Heading4"/>
        <w:spacing w:after="0" w:line="360" w:lineRule="auto"/>
        <w:rPr>
          <w:rFonts w:ascii="TimesNewRomanPSMT" w:eastAsia="Times New Roman" w:hAnsi="TimesNewRomanPSMT" w:cs="Times New Roman"/>
          <w:color w:val="FF0000"/>
          <w:szCs w:val="24"/>
        </w:rPr>
      </w:pPr>
      <w:r w:rsidRPr="00BF183E">
        <w:rPr>
          <w:rFonts w:ascii="TimesNewRomanPSMT" w:eastAsia="Times New Roman" w:hAnsi="TimesNewRomanPSMT" w:cs="Times New Roman"/>
          <w:color w:val="FF0000"/>
          <w:szCs w:val="24"/>
        </w:rPr>
        <w:t>Location of UCC</w:t>
      </w:r>
    </w:p>
    <w:p w14:paraId="3AD5BE3C" w14:textId="1D674BF1" w:rsidR="006751C4" w:rsidRPr="00AB2658" w:rsidRDefault="001D354C" w:rsidP="007C0E54">
      <w:pPr>
        <w:spacing w:after="240" w:line="360" w:lineRule="auto"/>
        <w:rPr>
          <w:rFonts w:ascii="TimesNewRomanPSMT" w:eastAsia="Times New Roman" w:hAnsi="TimesNewRomanPSMT" w:cs="Times New Roman"/>
          <w:color w:val="FF0000"/>
          <w:szCs w:val="24"/>
        </w:rPr>
      </w:pPr>
      <w:r w:rsidRPr="00AB2658">
        <w:rPr>
          <w:rFonts w:ascii="TimesNewRomanPSMT" w:eastAsia="Times New Roman" w:hAnsi="TimesNewRomanPSMT" w:cs="Times New Roman"/>
          <w:color w:val="FF0000"/>
          <w:szCs w:val="24"/>
        </w:rPr>
        <w:t xml:space="preserve">For the </w:t>
      </w:r>
      <w:proofErr w:type="gramStart"/>
      <w:r w:rsidRPr="00AB2658">
        <w:rPr>
          <w:rFonts w:ascii="TimesNewRomanPSMT" w:eastAsia="Times New Roman" w:hAnsi="TimesNewRomanPSMT" w:cs="Times New Roman"/>
          <w:color w:val="FF0000"/>
          <w:szCs w:val="24"/>
        </w:rPr>
        <w:t>town-wide</w:t>
      </w:r>
      <w:proofErr w:type="gramEnd"/>
      <w:r w:rsidRPr="00AB2658">
        <w:rPr>
          <w:rFonts w:ascii="TimesNewRomanPSMT" w:eastAsia="Times New Roman" w:hAnsi="TimesNewRomanPSMT" w:cs="Times New Roman"/>
          <w:color w:val="FF0000"/>
          <w:szCs w:val="24"/>
        </w:rPr>
        <w:t xml:space="preserve"> UCCs, most of the facilities are located in the outskirts (e.g., logistics zones) and close to the highways. For the neighbourhood UCCs, the facilities can be sited either in their service area or outside the city. For the site-specific UCCs, their locations are in or close to the location of the </w:t>
      </w:r>
      <w:r w:rsidR="009E3CAD">
        <w:rPr>
          <w:rFonts w:ascii="TimesNewRomanPSMT" w:eastAsia="Times New Roman" w:hAnsi="TimesNewRomanPSMT" w:cs="Times New Roman"/>
          <w:color w:val="FF0000"/>
          <w:szCs w:val="24"/>
        </w:rPr>
        <w:t xml:space="preserve">UCC’s </w:t>
      </w:r>
      <w:r w:rsidRPr="00AB2658">
        <w:rPr>
          <w:rFonts w:ascii="TimesNewRomanPSMT" w:eastAsia="Times New Roman" w:hAnsi="TimesNewRomanPSMT" w:cs="Times New Roman"/>
          <w:color w:val="FF0000"/>
          <w:szCs w:val="24"/>
        </w:rPr>
        <w:t>customers. The selection of the location may be determined by land prices, environmental performance, or the traffic generation of the UCC itself.</w:t>
      </w:r>
    </w:p>
    <w:p w14:paraId="3FBB96DA" w14:textId="102F8D7C" w:rsidR="003D1B06" w:rsidRPr="00BF183E" w:rsidRDefault="003D1B06" w:rsidP="003D1B06">
      <w:pPr>
        <w:pStyle w:val="Heading4"/>
        <w:spacing w:after="0" w:line="360" w:lineRule="auto"/>
        <w:rPr>
          <w:rFonts w:ascii="TimesNewRomanPSMT" w:eastAsia="Times New Roman" w:hAnsi="TimesNewRomanPSMT" w:cs="Times New Roman"/>
          <w:color w:val="FF0000"/>
          <w:szCs w:val="24"/>
        </w:rPr>
      </w:pPr>
      <w:r w:rsidRPr="00BF183E">
        <w:rPr>
          <w:rFonts w:ascii="TimesNewRomanPSMT" w:eastAsia="Times New Roman" w:hAnsi="TimesNewRomanPSMT" w:cs="Times New Roman"/>
          <w:color w:val="FF0000"/>
          <w:szCs w:val="24"/>
        </w:rPr>
        <w:t>Clean delivery methods</w:t>
      </w:r>
    </w:p>
    <w:p w14:paraId="3C6BBD7B" w14:textId="6B8C7AD6" w:rsidR="003D1B06" w:rsidRPr="00AB2658" w:rsidRDefault="00D604EB" w:rsidP="00B34D69">
      <w:pPr>
        <w:spacing w:after="240" w:line="360" w:lineRule="auto"/>
        <w:rPr>
          <w:rFonts w:ascii="TimesNewRomanPSMT" w:eastAsia="Times New Roman" w:hAnsi="TimesNewRomanPSMT" w:cs="Times New Roman"/>
          <w:color w:val="FF0000"/>
          <w:szCs w:val="24"/>
        </w:rPr>
      </w:pPr>
      <w:r w:rsidRPr="00AB2658">
        <w:rPr>
          <w:rFonts w:ascii="TimesNewRomanPSMT" w:eastAsia="Times New Roman" w:hAnsi="TimesNewRomanPSMT" w:cs="Times New Roman"/>
          <w:color w:val="FF0000"/>
          <w:szCs w:val="24"/>
        </w:rPr>
        <w:t xml:space="preserve">The selected clean vehicles have included those powered by biofuel, compressed gas, and electricity. </w:t>
      </w:r>
      <w:r w:rsidRPr="00AB2658">
        <w:rPr>
          <w:color w:val="FF0000"/>
        </w:rPr>
        <w:t xml:space="preserve">A large proportion of UCCs are equipped with clean vehicles for urban delivery. There are three main reasons for this strategy: (1) </w:t>
      </w:r>
      <w:r w:rsidRPr="00AB2658">
        <w:rPr>
          <w:rFonts w:ascii="TimesNewRomanPSMT" w:eastAsia="Times New Roman" w:hAnsi="TimesNewRomanPSMT" w:cs="Times New Roman"/>
          <w:color w:val="FF0000"/>
          <w:szCs w:val="24"/>
        </w:rPr>
        <w:t xml:space="preserve">some UCCs have enjoyed substantial funding from the EU or national policies by which experimentation with and testing of new </w:t>
      </w:r>
      <w:r w:rsidRPr="00AB2658">
        <w:rPr>
          <w:rFonts w:ascii="TimesNewRomanPSMT" w:eastAsia="Times New Roman" w:hAnsi="TimesNewRomanPSMT" w:cs="Times New Roman"/>
          <w:color w:val="FF0000"/>
          <w:szCs w:val="24"/>
        </w:rPr>
        <w:lastRenderedPageBreak/>
        <w:t xml:space="preserve">technologies are encouraged; (2) UCCs are usually embedded in broader sustainability policies, which most local governments would like to make as visible as possible to their citizens, and clean vehicles are useful for this role; and (3) the engagement of local authorities in the UCCs allows for higher upfront costs, which cleaner vehicles are likely to contribute to. </w:t>
      </w:r>
    </w:p>
    <w:p w14:paraId="07515556" w14:textId="54F646B2" w:rsidR="00AB2658" w:rsidRPr="00447226" w:rsidRDefault="00AB2658" w:rsidP="00447226">
      <w:pPr>
        <w:spacing w:line="360" w:lineRule="auto"/>
        <w:rPr>
          <w:rFonts w:ascii="TimesNewRomanPSMT" w:eastAsia="Times New Roman" w:hAnsi="TimesNewRomanPSMT" w:cs="Times New Roman"/>
          <w:color w:val="FF0000"/>
          <w:szCs w:val="24"/>
        </w:rPr>
      </w:pPr>
      <w:r w:rsidRPr="00AB2658">
        <w:rPr>
          <w:rFonts w:ascii="TimesNewRomanPSMT" w:eastAsia="Times New Roman" w:hAnsi="TimesNewRomanPSMT" w:cs="Times New Roman"/>
          <w:color w:val="FF0000"/>
          <w:szCs w:val="24"/>
        </w:rPr>
        <w:t>Cargo bicycles</w:t>
      </w:r>
      <w:r w:rsidRPr="00AB2658">
        <w:rPr>
          <w:rFonts w:ascii="宋体" w:eastAsia="宋体" w:hAnsi="宋体" w:cs="宋体"/>
          <w:color w:val="FF0000"/>
          <w:szCs w:val="24"/>
        </w:rPr>
        <w:t xml:space="preserve"> </w:t>
      </w:r>
      <w:r w:rsidRPr="00AB2658">
        <w:rPr>
          <w:rFonts w:ascii="TimesNewRomanPSMT" w:eastAsia="Times New Roman" w:hAnsi="TimesNewRomanPSMT" w:cs="Times New Roman"/>
          <w:color w:val="FF0000"/>
          <w:szCs w:val="24"/>
        </w:rPr>
        <w:t>(or cargo</w:t>
      </w:r>
      <w:r w:rsidRPr="00AB2658">
        <w:rPr>
          <w:rFonts w:ascii="TimesNewRomanPSMT" w:eastAsia="Times New Roman" w:hAnsi="TimesNewRomanPSMT" w:cs="Times New Roman"/>
          <w:bCs/>
          <w:i/>
          <w:iCs/>
          <w:color w:val="FF0000"/>
          <w:szCs w:val="24"/>
        </w:rPr>
        <w:t xml:space="preserve"> </w:t>
      </w:r>
      <w:r w:rsidRPr="00AB2658">
        <w:rPr>
          <w:rFonts w:ascii="TimesNewRomanPSMT" w:eastAsia="Times New Roman" w:hAnsi="TimesNewRomanPSMT" w:cs="Times New Roman"/>
          <w:color w:val="FF0000"/>
          <w:szCs w:val="24"/>
        </w:rPr>
        <w:t xml:space="preserve">tricycles) are suitable for short-distance deliveries, and the neighbourhood UCCs can be equipped with these to serve small urban areas. The advantages of the cargo bicycle are (1) it has high efficiency for deliveries in </w:t>
      </w:r>
      <w:r w:rsidRPr="00AB2658">
        <w:rPr>
          <w:rFonts w:cs="Times New Roman"/>
          <w:color w:val="FF0000"/>
        </w:rPr>
        <w:t>historic neighbourhoods and high-density, urban areas with narrow streets</w:t>
      </w:r>
      <w:r w:rsidRPr="00AB2658">
        <w:rPr>
          <w:rFonts w:ascii="TimesNewRomanPSMT" w:eastAsia="Times New Roman" w:hAnsi="TimesNewRomanPSMT" w:cs="Times New Roman"/>
          <w:color w:val="FF0000"/>
          <w:szCs w:val="24"/>
        </w:rPr>
        <w:t>; and (2) they are not restricted by urban transport policy, as they generate zero emissions and have no road occupation.</w:t>
      </w:r>
    </w:p>
    <w:p w14:paraId="1243205E" w14:textId="77777777" w:rsidR="0071798B" w:rsidRPr="00A96AC5" w:rsidRDefault="0071798B" w:rsidP="000A4E8C">
      <w:pPr>
        <w:pStyle w:val="Heading3"/>
        <w:spacing w:line="360" w:lineRule="auto"/>
        <w:rPr>
          <w:rFonts w:cs="Times New Roman"/>
        </w:rPr>
      </w:pPr>
      <w:bookmarkStart w:id="441" w:name="_Toc491894848"/>
      <w:bookmarkStart w:id="442" w:name="_Toc34734508"/>
      <w:bookmarkStart w:id="443" w:name="_Toc46053426"/>
      <w:bookmarkStart w:id="444" w:name="_Toc46093340"/>
      <w:bookmarkStart w:id="445" w:name="_Toc46093623"/>
      <w:bookmarkStart w:id="446" w:name="_Toc66703198"/>
      <w:r w:rsidRPr="00A96AC5">
        <w:rPr>
          <w:rFonts w:cs="Times New Roman"/>
        </w:rPr>
        <w:t>Discussion</w:t>
      </w:r>
      <w:bookmarkEnd w:id="441"/>
      <w:bookmarkEnd w:id="442"/>
      <w:bookmarkEnd w:id="443"/>
      <w:bookmarkEnd w:id="444"/>
      <w:bookmarkEnd w:id="445"/>
      <w:bookmarkEnd w:id="446"/>
    </w:p>
    <w:p w14:paraId="609391F8" w14:textId="430807BD" w:rsidR="00F6504E" w:rsidRDefault="0071798B" w:rsidP="00D30CE8">
      <w:pPr>
        <w:spacing w:after="240" w:line="360" w:lineRule="auto"/>
        <w:rPr>
          <w:rFonts w:cs="Times New Roman"/>
          <w:szCs w:val="24"/>
        </w:rPr>
      </w:pPr>
      <w:r w:rsidRPr="00B9392C">
        <w:rPr>
          <w:rFonts w:cs="Times New Roman"/>
          <w:szCs w:val="24"/>
        </w:rPr>
        <w:t>As shown in the synthetic table in Appendix IV, most UCCs</w:t>
      </w:r>
      <w:r w:rsidR="008F06BB" w:rsidRPr="00B9392C">
        <w:rPr>
          <w:rFonts w:cs="Times New Roman"/>
          <w:szCs w:val="24"/>
        </w:rPr>
        <w:t xml:space="preserve"> build for </w:t>
      </w:r>
      <w:r w:rsidR="00B7595C" w:rsidRPr="00B9392C">
        <w:rPr>
          <w:rFonts w:cs="Times New Roman"/>
          <w:szCs w:val="24"/>
        </w:rPr>
        <w:t>experimental purpose and</w:t>
      </w:r>
      <w:r w:rsidRPr="00B9392C">
        <w:rPr>
          <w:rFonts w:cs="Times New Roman"/>
          <w:szCs w:val="24"/>
        </w:rPr>
        <w:t xml:space="preserve"> </w:t>
      </w:r>
      <w:proofErr w:type="gramStart"/>
      <w:r w:rsidRPr="00B9392C">
        <w:rPr>
          <w:rFonts w:cs="Times New Roman"/>
          <w:szCs w:val="24"/>
        </w:rPr>
        <w:t>close down</w:t>
      </w:r>
      <w:proofErr w:type="gramEnd"/>
      <w:r w:rsidRPr="00B9392C">
        <w:rPr>
          <w:rFonts w:cs="Times New Roman"/>
          <w:szCs w:val="24"/>
        </w:rPr>
        <w:t xml:space="preserve"> when the research task is complete </w:t>
      </w:r>
      <w:r w:rsidRPr="00B9392C">
        <w:rPr>
          <w:rFonts w:cs="Times New Roman"/>
          <w:noProof/>
          <w:szCs w:val="24"/>
        </w:rPr>
        <w:t>(Browne et al., 2005)</w:t>
      </w:r>
      <w:r w:rsidRPr="00B9392C">
        <w:rPr>
          <w:rFonts w:cs="Times New Roman"/>
          <w:szCs w:val="24"/>
        </w:rPr>
        <w:t xml:space="preserve">. </w:t>
      </w:r>
      <w:r w:rsidR="00F6504E">
        <w:rPr>
          <w:rFonts w:cs="Times New Roman"/>
        </w:rPr>
        <w:t>O</w:t>
      </w:r>
      <w:r w:rsidR="00F6504E" w:rsidRPr="00F6504E">
        <w:rPr>
          <w:rFonts w:cs="Times New Roman"/>
        </w:rPr>
        <w:t>nly a few of them are transferred to the operational project.</w:t>
      </w:r>
      <w:r w:rsidR="00F6504E">
        <w:rPr>
          <w:rFonts w:cs="Times New Roman"/>
        </w:rPr>
        <w:t xml:space="preserve"> </w:t>
      </w:r>
      <w:r w:rsidR="00F6504E" w:rsidRPr="00A96AC5">
        <w:rPr>
          <w:rFonts w:cs="Times New Roman"/>
        </w:rPr>
        <w:t xml:space="preserve">Experimental UCCs are more concerned with sustainability indicators than with economic rewards; whilst operational UCCs are concerned with surviving </w:t>
      </w:r>
      <w:r w:rsidR="00F6504E">
        <w:rPr>
          <w:rFonts w:cs="Times New Roman"/>
        </w:rPr>
        <w:t xml:space="preserve">the </w:t>
      </w:r>
      <w:r w:rsidR="00F6504E" w:rsidRPr="00A96AC5">
        <w:rPr>
          <w:rFonts w:cs="Times New Roman"/>
        </w:rPr>
        <w:t>fierce market competition. Businesses and services are therefore given more consideration in the operational UCC model. To achieve the best results, different measures can be implemented for testing purposes in different scenarios of the experimental UCC. However, in the operational UCC, each measure must be well considered before application to avoid negative impacts.</w:t>
      </w:r>
    </w:p>
    <w:p w14:paraId="40E08A97" w14:textId="64C38534" w:rsidR="00B32985" w:rsidRPr="00B9392C" w:rsidRDefault="00DA4BE0" w:rsidP="00D30CE8">
      <w:pPr>
        <w:spacing w:after="240" w:line="360" w:lineRule="auto"/>
        <w:rPr>
          <w:rFonts w:cs="Times New Roman"/>
        </w:rPr>
      </w:pPr>
      <w:r w:rsidRPr="00DA4BE0">
        <w:rPr>
          <w:rFonts w:cs="Times New Roman"/>
        </w:rPr>
        <w:t xml:space="preserve">Even </w:t>
      </w:r>
      <w:r w:rsidR="00CC62BE">
        <w:rPr>
          <w:rFonts w:cs="Times New Roman"/>
        </w:rPr>
        <w:t xml:space="preserve">some experimental UCCs successfully transfers to </w:t>
      </w:r>
      <w:proofErr w:type="spellStart"/>
      <w:proofErr w:type="gramStart"/>
      <w:r w:rsidR="00CC62BE">
        <w:rPr>
          <w:rFonts w:cs="Times New Roman"/>
        </w:rPr>
        <w:t>a</w:t>
      </w:r>
      <w:proofErr w:type="spellEnd"/>
      <w:proofErr w:type="gramEnd"/>
      <w:r w:rsidR="00CC62BE">
        <w:rPr>
          <w:rFonts w:cs="Times New Roman"/>
        </w:rPr>
        <w:t xml:space="preserve"> operational project,</w:t>
      </w:r>
      <w:r>
        <w:rPr>
          <w:rFonts w:cs="Times New Roman"/>
        </w:rPr>
        <w:t xml:space="preserve"> </w:t>
      </w:r>
      <w:r w:rsidRPr="00DA4BE0">
        <w:rPr>
          <w:rFonts w:cs="Times New Roman"/>
        </w:rPr>
        <w:t xml:space="preserve">many </w:t>
      </w:r>
      <w:r w:rsidR="00CC62BE">
        <w:rPr>
          <w:rFonts w:cs="Times New Roman"/>
        </w:rPr>
        <w:t>of them</w:t>
      </w:r>
      <w:r w:rsidRPr="00DA4BE0">
        <w:rPr>
          <w:rFonts w:cs="Times New Roman"/>
        </w:rPr>
        <w:t xml:space="preserve"> are terminated for different reasons</w:t>
      </w:r>
      <w:r w:rsidR="008361E2">
        <w:rPr>
          <w:rFonts w:cs="Times New Roman"/>
        </w:rPr>
        <w:t>,</w:t>
      </w:r>
      <w:r w:rsidR="008361E2" w:rsidRPr="00B9392C">
        <w:rPr>
          <w:rFonts w:cs="Times New Roman"/>
          <w:szCs w:val="24"/>
        </w:rPr>
        <w:t xml:space="preserve"> </w:t>
      </w:r>
      <w:r w:rsidR="0071798B" w:rsidRPr="00B9392C">
        <w:rPr>
          <w:rFonts w:cs="Times New Roman"/>
          <w:szCs w:val="24"/>
        </w:rPr>
        <w:t xml:space="preserve">A number of operational UCCs fail due to the errors or mistakes in the pre-assessment stage, such as the case in Brussels </w:t>
      </w:r>
      <w:r w:rsidR="005F7DF7" w:rsidRPr="00B9392C">
        <w:rPr>
          <w:noProof/>
          <w:szCs w:val="24"/>
        </w:rPr>
        <w:t>(Dablanc et al., 2011b)</w:t>
      </w:r>
      <w:r w:rsidR="0071798B" w:rsidRPr="00B9392C">
        <w:rPr>
          <w:rFonts w:cs="Times New Roman"/>
          <w:szCs w:val="24"/>
        </w:rPr>
        <w:t xml:space="preserve">. Nevertheless, most UCCs progress on environmental indicators, though many are closed for financial reasons </w:t>
      </w:r>
      <w:r w:rsidR="000A1977" w:rsidRPr="00B9392C">
        <w:rPr>
          <w:noProof/>
          <w:szCs w:val="24"/>
        </w:rPr>
        <w:fldChar w:fldCharType="begin"/>
      </w:r>
      <w:r w:rsidR="00D40D7C" w:rsidRPr="00B9392C">
        <w:rPr>
          <w:noProof/>
          <w:szCs w:val="24"/>
        </w:rPr>
        <w:instrText xml:space="preserve"> ADDIN EN.CITE &lt;EndNote&gt;&lt;Cite&gt;&lt;Author&gt;Vahrenkamp&lt;/Author&gt;&lt;Year&gt;2016&lt;/Year&gt;&lt;RecNum&gt;69&lt;/RecNum&gt;&lt;DisplayText&gt;(Vahrenkamp, 2016)&lt;/DisplayText&gt;&lt;record&gt;&lt;rec-number&gt;69&lt;/rec-number&gt;&lt;foreign-keys&gt;&lt;key app="EN" db-id="x5etaz5aiszvz0edasvvpwvotttxepvd25t2" timestamp="1603802000"&gt;69&lt;/key&gt;&lt;/foreign-keys&gt;&lt;ref-type name="Journal Article"&gt;17&lt;/ref-type&gt;&lt;contributors&gt;&lt;authors&gt;&lt;author&gt;Vahrenkamp, R.&lt;/author&gt;&lt;/authors&gt;&lt;/contributors&gt;&lt;auth-address&gt;Berlin, Germany&lt;/auth-address&gt;&lt;titles&gt;&lt;title&gt;25 years city logistic: Why failed the urban consolidation centres?&lt;/title&gt;&lt;secondary-title&gt;European Transport - Trasporti Europei&lt;/secondary-title&gt;&lt;alt-title&gt;Eur. Transp. Trasporti Eur.&lt;/alt-title&gt;&lt;/titles&gt;&lt;periodical&gt;&lt;full-title&gt;European Transport - Trasporti Europei&lt;/full-title&gt;&lt;abbr-1&gt;Eur. Transp. Trasporti Eur.&lt;/abbr-1&gt;&lt;/periodical&gt;&lt;alt-periodical&gt;&lt;full-title&gt;European Transport - Trasporti Europei&lt;/full-title&gt;&lt;abbr-1&gt;Eur. Transp. Trasporti Eur.&lt;/abbr-1&gt;&lt;/alt-periodical&gt;&lt;number&gt;60&lt;/number&gt;&lt;keywords&gt;&lt;keyword&gt;Transportation&lt;/keyword&gt;&lt;keyword&gt;City logistics&lt;/keyword&gt;&lt;keyword&gt;European cities&lt;/keyword&gt;&lt;keyword&gt;European union&lt;/keyword&gt;&lt;keyword&gt;Research programs&lt;/keyword&gt;&lt;keyword&gt;Urban consolidation&lt;/keyword&gt;&lt;keyword&gt;Mechanical engineering&lt;/keyword&gt;&lt;/keywords&gt;&lt;dates&gt;&lt;year&gt;2016&lt;/year&gt;&lt;/dates&gt;&lt;publisher&gt;Institute for Transport Studies in the European Economic Integration&lt;/publisher&gt;&lt;isbn&gt;18253997 (ISSN)&lt;/isbn&gt;&lt;work-type&gt;Article&lt;/work-type&gt;&lt;urls&gt;&lt;related-urls&gt;&lt;url&gt;https://www.scopus.com/inward/record.uri?eid=2-s2.0-84968665499&amp;amp;partnerID=40&amp;amp;md5=0b26171cbcb0c82ab23221904d43e122&lt;/url&gt;&lt;/related-urls&gt;&lt;/urls&gt;&lt;remote-database-name&gt;Scopus&lt;/remote-database-name&gt;&lt;language&gt;English&lt;/language&gt;&lt;/record&gt;&lt;/Cite&gt;&lt;/EndNote&gt;</w:instrText>
      </w:r>
      <w:r w:rsidR="000A1977" w:rsidRPr="00B9392C">
        <w:rPr>
          <w:noProof/>
          <w:szCs w:val="24"/>
        </w:rPr>
        <w:fldChar w:fldCharType="separate"/>
      </w:r>
      <w:r w:rsidR="000A1977" w:rsidRPr="00B9392C">
        <w:rPr>
          <w:noProof/>
          <w:szCs w:val="24"/>
        </w:rPr>
        <w:t>(Vahrenkamp, 2016)</w:t>
      </w:r>
      <w:r w:rsidR="000A1977" w:rsidRPr="00B9392C">
        <w:rPr>
          <w:noProof/>
          <w:szCs w:val="24"/>
        </w:rPr>
        <w:fldChar w:fldCharType="end"/>
      </w:r>
      <w:r w:rsidR="0071798B" w:rsidRPr="00B9392C">
        <w:rPr>
          <w:rFonts w:cs="Times New Roman"/>
          <w:szCs w:val="24"/>
        </w:rPr>
        <w:t xml:space="preserve">. Problems often arise following the exhaustion of project funds </w:t>
      </w:r>
      <w:r w:rsidR="005735E4" w:rsidRPr="00B9392C">
        <w:rPr>
          <w:noProof/>
          <w:szCs w:val="24"/>
        </w:rPr>
        <w:t>(Kin et al., 2016)</w:t>
      </w:r>
      <w:r w:rsidR="0071798B" w:rsidRPr="00B9392C">
        <w:rPr>
          <w:rFonts w:cs="Times New Roman"/>
          <w:szCs w:val="24"/>
        </w:rPr>
        <w:t xml:space="preserve">, with investors choosing not to cover financial losses </w:t>
      </w:r>
      <w:r w:rsidR="001517EF" w:rsidRPr="00B9392C">
        <w:rPr>
          <w:noProof/>
          <w:szCs w:val="24"/>
        </w:rPr>
        <w:t>(Duin et al., 2016)</w:t>
      </w:r>
      <w:r w:rsidR="0071798B" w:rsidRPr="00B9392C">
        <w:rPr>
          <w:rFonts w:cs="Times New Roman"/>
          <w:szCs w:val="24"/>
        </w:rPr>
        <w:t xml:space="preserve">. The primary reason for this issue is that the extra goods handling process creates </w:t>
      </w:r>
      <w:r w:rsidR="0071798B" w:rsidRPr="00B9392C">
        <w:rPr>
          <w:rFonts w:cs="Times New Roman"/>
        </w:rPr>
        <w:t xml:space="preserve">additional costs in the freight transport chain. While this promotes environmental and social benefits for the city, it does not add value </w:t>
      </w:r>
      <w:r w:rsidR="00F467EF" w:rsidRPr="00B9392C">
        <w:rPr>
          <w:rFonts w:cs="Times New Roman"/>
        </w:rPr>
        <w:t>to</w:t>
      </w:r>
      <w:r w:rsidR="0071798B" w:rsidRPr="00B9392C">
        <w:rPr>
          <w:rFonts w:cs="Times New Roman"/>
        </w:rPr>
        <w:t xml:space="preserve"> the logistics activities. </w:t>
      </w:r>
    </w:p>
    <w:p w14:paraId="48CDAE1F" w14:textId="052C03DD" w:rsidR="0071798B" w:rsidRPr="00A96AC5" w:rsidRDefault="0071798B" w:rsidP="00D30CE8">
      <w:pPr>
        <w:spacing w:after="240" w:line="360" w:lineRule="auto"/>
        <w:rPr>
          <w:rFonts w:cs="Times New Roman"/>
        </w:rPr>
      </w:pPr>
      <w:r w:rsidRPr="00A96AC5">
        <w:rPr>
          <w:rFonts w:cs="Times New Roman"/>
        </w:rPr>
        <w:t xml:space="preserve">Indeed, </w:t>
      </w:r>
      <w:r w:rsidR="005D7746">
        <w:rPr>
          <w:rFonts w:cs="Times New Roman"/>
        </w:rPr>
        <w:t xml:space="preserve">it is difficult for different stakeholders to </w:t>
      </w:r>
      <w:r w:rsidR="00F467EF">
        <w:rPr>
          <w:rFonts w:cs="Times New Roman"/>
        </w:rPr>
        <w:t>acknowledge</w:t>
      </w:r>
      <w:r w:rsidR="005D7746">
        <w:rPr>
          <w:rFonts w:cs="Times New Roman"/>
        </w:rPr>
        <w:t xml:space="preserve"> the UCC’s </w:t>
      </w:r>
      <w:proofErr w:type="spellStart"/>
      <w:r w:rsidR="005D7746">
        <w:rPr>
          <w:rFonts w:cs="Times New Roman"/>
        </w:rPr>
        <w:t>achievemt</w:t>
      </w:r>
      <w:proofErr w:type="spellEnd"/>
      <w:r w:rsidR="005D7746">
        <w:rPr>
          <w:rFonts w:cs="Times New Roman"/>
        </w:rPr>
        <w:t>. Private stakeholders</w:t>
      </w:r>
      <w:r w:rsidRPr="00A96AC5">
        <w:rPr>
          <w:rFonts w:cs="Times New Roman"/>
        </w:rPr>
        <w:t xml:space="preserve"> (retailers, carriers, and suppliers) value the economic performance of the UCC</w:t>
      </w:r>
      <w:r w:rsidR="00F467EF">
        <w:rPr>
          <w:rFonts w:cs="Times New Roman"/>
        </w:rPr>
        <w:t>,</w:t>
      </w:r>
      <w:r w:rsidRPr="00A96AC5">
        <w:rPr>
          <w:rFonts w:cs="Times New Roman"/>
        </w:rPr>
        <w:t xml:space="preserve"> this factor prevent</w:t>
      </w:r>
      <w:r w:rsidR="00F467EF">
        <w:rPr>
          <w:rFonts w:cs="Times New Roman"/>
        </w:rPr>
        <w:t>s</w:t>
      </w:r>
      <w:r w:rsidRPr="00A96AC5">
        <w:rPr>
          <w:rFonts w:cs="Times New Roman"/>
        </w:rPr>
        <w:t xml:space="preserve"> them to the participant the project and share the extra cost generated by </w:t>
      </w:r>
      <w:r w:rsidRPr="00A96AC5">
        <w:rPr>
          <w:rFonts w:cs="Times New Roman"/>
        </w:rPr>
        <w:lastRenderedPageBreak/>
        <w:t xml:space="preserve">UCC. Therefore, the number of </w:t>
      </w:r>
      <w:r w:rsidR="002E2759">
        <w:rPr>
          <w:rFonts w:cs="Times New Roman"/>
        </w:rPr>
        <w:t xml:space="preserve">users </w:t>
      </w:r>
      <w:r w:rsidRPr="00A96AC5">
        <w:rPr>
          <w:rFonts w:cs="Times New Roman"/>
        </w:rPr>
        <w:t>in practice is lower than the values estimated during planning. On the other hand, many UCCs are unable to achieve adequate freight demand for break-even volume. From one perspective, the additional costs exacerbate this issue. From another perspective, UCCs can only process a limited number of goods, whilst the business of urban freight relies on diversity. In addition, the UFT market segment is already held by other logistics companies, which squeezes the UCC market share. Another barrier not revealed in the industrial report but mentioned elsewhere in the academic literature is that the price setting of the UCC depends on the carrier’s cost saving in the urban delivery. However, as the value of the cost saving is very limited, the UCC must implement a low-price strategy and, as a result, struggles to cover its expenses.</w:t>
      </w:r>
    </w:p>
    <w:p w14:paraId="60E2B977" w14:textId="69F1AE1E" w:rsidR="0071798B" w:rsidRPr="00A96AC5" w:rsidRDefault="0071798B" w:rsidP="00D30CE8">
      <w:pPr>
        <w:spacing w:after="240" w:line="360" w:lineRule="auto"/>
        <w:rPr>
          <w:rFonts w:cs="Times New Roman"/>
          <w:szCs w:val="24"/>
        </w:rPr>
      </w:pPr>
      <w:r w:rsidRPr="00A96AC5">
        <w:rPr>
          <w:rFonts w:cs="Times New Roman"/>
          <w:szCs w:val="24"/>
        </w:rPr>
        <w:t xml:space="preserve">Operational problems are another cause of UCC failure. First, service efficiency levels often fail to meet customer requirements. Indeed, for customers, the UCC service quality is low compared with that of the logistics services. Many users report that UCCs cannot provide flexible services that meet their requirements for delivery-time windows. Second, UCCs struggle to balance the interests of stakeholders </w:t>
      </w:r>
      <w:r w:rsidR="0082558E">
        <w:rPr>
          <w:noProof/>
          <w:szCs w:val="24"/>
        </w:rPr>
        <w:t>(Duin et al., 2016)</w:t>
      </w:r>
      <w:r w:rsidRPr="00A96AC5">
        <w:rPr>
          <w:rFonts w:cs="Times New Roman"/>
          <w:szCs w:val="24"/>
        </w:rPr>
        <w:t xml:space="preserve">. </w:t>
      </w:r>
    </w:p>
    <w:p w14:paraId="01D2552B" w14:textId="5116439E" w:rsidR="0071798B" w:rsidRPr="00A96AC5" w:rsidRDefault="0071798B" w:rsidP="00D30CE8">
      <w:pPr>
        <w:spacing w:after="240" w:line="360" w:lineRule="auto"/>
        <w:rPr>
          <w:rFonts w:cs="Times New Roman"/>
        </w:rPr>
      </w:pPr>
      <w:r w:rsidRPr="00A96AC5">
        <w:rPr>
          <w:rFonts w:cs="Times New Roman"/>
          <w:szCs w:val="24"/>
        </w:rPr>
        <w:t xml:space="preserve">A third reason is the low acceptance of this project by residents in the city. Potential users are sometimes unwilling to change their conventional business patterns due to lack of awareness of the importance of social and environmental </w:t>
      </w:r>
      <w:r w:rsidRPr="00A96AC5">
        <w:rPr>
          <w:rFonts w:cs="Times New Roman"/>
        </w:rPr>
        <w:t xml:space="preserve">improvements. Furthermore, some psychological behaviours prevent citizens from participating in innovative projects; for example, as illustrated by </w:t>
      </w:r>
      <w:r w:rsidR="000A1977">
        <w:rPr>
          <w:noProof/>
        </w:rPr>
        <w:fldChar w:fldCharType="begin"/>
      </w:r>
      <w:r w:rsidR="00647E79">
        <w:rPr>
          <w:noProof/>
        </w:rPr>
        <w:instrText xml:space="preserve"> ADDIN EN.CITE &lt;EndNote&gt;&lt;Cite AuthorYear="1"&gt;&lt;Author&gt;Gonzalez-Feliu&lt;/Author&gt;&lt;Year&gt;2014&lt;/Year&gt;&lt;RecNum&gt;23&lt;/RecNum&gt;&lt;DisplayText&gt;Gonzalez-Feliu et al. (2014b)&lt;/DisplayText&gt;&lt;record&gt;&lt;rec-number&gt;23&lt;/rec-number&gt;&lt;foreign-keys&gt;&lt;key app="EN" db-id="pzt5ep52hsedfpeext2pdfes0w0aswaewef2" timestamp="1605187992"&gt;23&lt;/key&gt;&lt;/foreign-keys&gt;&lt;ref-type name="Book"&gt;6&lt;/ref-type&gt;&lt;contributors&gt;&lt;authors&gt;&lt;author&gt;Gonzalez-Feliu, Jesus&lt;/author&gt;&lt;author&gt;Semet, Frédéric&lt;/author&gt;&lt;author&gt;Routhier, Jean-Louis&lt;/author&gt;&lt;/authors&gt;&lt;/contributors&gt;&lt;titles&gt;&lt;title&gt;Sustainable urban logistics: Concepts, methods and information systems&lt;/title&gt;&lt;/titles&gt;&lt;dates&gt;&lt;year&gt;2014&lt;/year&gt;&lt;/dates&gt;&lt;publisher&gt;Springer&lt;/publisher&gt;&lt;isbn&gt;3642317871&lt;/isbn&gt;&lt;urls&gt;&lt;/urls&gt;&lt;/record&gt;&lt;/Cite&gt;&lt;/EndNote&gt;</w:instrText>
      </w:r>
      <w:r w:rsidR="000A1977">
        <w:rPr>
          <w:noProof/>
        </w:rPr>
        <w:fldChar w:fldCharType="separate"/>
      </w:r>
      <w:r w:rsidR="000A1977">
        <w:rPr>
          <w:noProof/>
        </w:rPr>
        <w:t>Gonzalez-Feliu et al. (2014b)</w:t>
      </w:r>
      <w:r w:rsidR="000A1977">
        <w:rPr>
          <w:noProof/>
        </w:rPr>
        <w:fldChar w:fldCharType="end"/>
      </w:r>
      <w:r w:rsidRPr="00A96AC5">
        <w:rPr>
          <w:rFonts w:cs="Times New Roman"/>
        </w:rPr>
        <w:t xml:space="preserve">, there is </w:t>
      </w:r>
      <w:r w:rsidRPr="00A96AC5">
        <w:rPr>
          <w:rFonts w:cs="Times New Roman"/>
          <w:iCs/>
        </w:rPr>
        <w:t>the</w:t>
      </w:r>
      <w:r w:rsidRPr="00A96AC5">
        <w:rPr>
          <w:rFonts w:cs="Times New Roman"/>
          <w:i/>
          <w:iCs/>
        </w:rPr>
        <w:t xml:space="preserve"> </w:t>
      </w:r>
      <w:r w:rsidRPr="00A96AC5">
        <w:rPr>
          <w:rFonts w:cs="Times New Roman"/>
          <w:iCs/>
        </w:rPr>
        <w:t>‘NIMBY’ mindset (Not In My Back Yard), which describes the rejection by some of new infrastructure.</w:t>
      </w:r>
      <w:r w:rsidRPr="00A96AC5">
        <w:rPr>
          <w:rFonts w:cs="Times New Roman"/>
        </w:rPr>
        <w:t xml:space="preserve"> </w:t>
      </w:r>
    </w:p>
    <w:p w14:paraId="1A5D3D5D" w14:textId="4FA3E864" w:rsidR="0071798B" w:rsidRPr="00D30CE8" w:rsidRDefault="0071798B" w:rsidP="00D30CE8">
      <w:pPr>
        <w:spacing w:after="240" w:line="360" w:lineRule="auto"/>
        <w:rPr>
          <w:rFonts w:cs="Times New Roman"/>
        </w:rPr>
      </w:pPr>
      <w:r w:rsidRPr="00A96AC5">
        <w:rPr>
          <w:rFonts w:cs="Times New Roman"/>
        </w:rPr>
        <w:t xml:space="preserve">Finally, weak legitimacy leads to opposition by LSPs, who believe that the government should not be using public funds to establish ‘logistics competitors’ for them. Thus, </w:t>
      </w:r>
      <w:r w:rsidRPr="00A96AC5">
        <w:rPr>
          <w:rFonts w:cs="Times New Roman"/>
          <w:szCs w:val="24"/>
        </w:rPr>
        <w:t xml:space="preserve">LSPs see the UCCs as damaging to the interests of private companies, which generates strong opposition from industry lobbies </w:t>
      </w:r>
      <w:r w:rsidR="00F9703E">
        <w:rPr>
          <w:noProof/>
          <w:szCs w:val="24"/>
        </w:rPr>
        <w:t>(Duin et al., 2016)</w:t>
      </w:r>
      <w:r w:rsidRPr="00A96AC5">
        <w:rPr>
          <w:rFonts w:cs="Times New Roman"/>
          <w:szCs w:val="24"/>
        </w:rPr>
        <w:t>.</w:t>
      </w:r>
      <w:bookmarkStart w:id="447" w:name="_Toc490823589"/>
      <w:bookmarkStart w:id="448" w:name="_Toc490484794"/>
      <w:bookmarkStart w:id="449" w:name="_Toc490415387"/>
      <w:bookmarkStart w:id="450" w:name="_Toc491894850"/>
    </w:p>
    <w:p w14:paraId="0607CDB0" w14:textId="493F44D9" w:rsidR="0071798B" w:rsidRDefault="0071798B" w:rsidP="00D30CE8">
      <w:pPr>
        <w:pStyle w:val="Heading3"/>
        <w:spacing w:line="360" w:lineRule="auto"/>
        <w:rPr>
          <w:rFonts w:cs="Times New Roman"/>
        </w:rPr>
      </w:pPr>
      <w:bookmarkStart w:id="451" w:name="_Toc34734509"/>
      <w:bookmarkStart w:id="452" w:name="_Toc46053427"/>
      <w:bookmarkStart w:id="453" w:name="_Toc46093341"/>
      <w:bookmarkStart w:id="454" w:name="_Toc46093624"/>
      <w:bookmarkStart w:id="455" w:name="_Toc66703199"/>
      <w:r w:rsidRPr="00A96AC5">
        <w:rPr>
          <w:rFonts w:cs="Times New Roman"/>
        </w:rPr>
        <w:t>Research gaps</w:t>
      </w:r>
      <w:bookmarkEnd w:id="451"/>
      <w:bookmarkEnd w:id="452"/>
      <w:bookmarkEnd w:id="453"/>
      <w:bookmarkEnd w:id="454"/>
      <w:bookmarkEnd w:id="455"/>
      <w:r w:rsidRPr="00A96AC5">
        <w:rPr>
          <w:rFonts w:cs="Times New Roman"/>
        </w:rPr>
        <w:t xml:space="preserve"> </w:t>
      </w:r>
      <w:bookmarkEnd w:id="447"/>
      <w:bookmarkEnd w:id="448"/>
      <w:bookmarkEnd w:id="449"/>
      <w:bookmarkEnd w:id="450"/>
    </w:p>
    <w:p w14:paraId="5D317C25" w14:textId="7A7CB3FA" w:rsidR="00377CF5" w:rsidRDefault="00C823C9" w:rsidP="00A84627">
      <w:pPr>
        <w:pStyle w:val="CommentText"/>
        <w:spacing w:after="240" w:line="360" w:lineRule="auto"/>
        <w:rPr>
          <w:rFonts w:eastAsiaTheme="minorEastAsia"/>
          <w:kern w:val="0"/>
          <w:sz w:val="24"/>
          <w:szCs w:val="22"/>
          <w:lang w:val="en-GB"/>
        </w:rPr>
      </w:pPr>
      <w:r w:rsidRPr="004E403B">
        <w:rPr>
          <w:rFonts w:eastAsiaTheme="minorEastAsia"/>
          <w:kern w:val="0"/>
          <w:sz w:val="24"/>
          <w:szCs w:val="22"/>
          <w:lang w:val="en-GB"/>
        </w:rPr>
        <w:t xml:space="preserve">Much research indicates </w:t>
      </w:r>
      <w:r w:rsidR="00A6757B">
        <w:rPr>
          <w:rFonts w:eastAsiaTheme="minorEastAsia"/>
          <w:kern w:val="0"/>
          <w:sz w:val="24"/>
          <w:szCs w:val="22"/>
          <w:lang w:val="en-GB"/>
        </w:rPr>
        <w:t xml:space="preserve">that </w:t>
      </w:r>
      <w:r w:rsidR="004E403B">
        <w:rPr>
          <w:rFonts w:eastAsiaTheme="minorEastAsia"/>
          <w:kern w:val="0"/>
          <w:sz w:val="24"/>
          <w:szCs w:val="22"/>
          <w:lang w:val="en-GB"/>
        </w:rPr>
        <w:t>the UCC network</w:t>
      </w:r>
      <w:r w:rsidR="00DD7978">
        <w:rPr>
          <w:rFonts w:eastAsiaTheme="minorEastAsia"/>
          <w:kern w:val="0"/>
          <w:sz w:val="24"/>
          <w:szCs w:val="22"/>
          <w:lang w:val="en-GB"/>
        </w:rPr>
        <w:t xml:space="preserve"> </w:t>
      </w:r>
      <w:r w:rsidR="00DD7978">
        <w:rPr>
          <w:rFonts w:eastAsiaTheme="minorEastAsia" w:hint="eastAsia"/>
          <w:kern w:val="0"/>
          <w:sz w:val="24"/>
          <w:szCs w:val="22"/>
          <w:lang w:val="en-GB"/>
        </w:rPr>
        <w:t>is</w:t>
      </w:r>
      <w:r w:rsidR="00DD7978">
        <w:rPr>
          <w:rFonts w:eastAsiaTheme="minorEastAsia"/>
          <w:kern w:val="0"/>
          <w:sz w:val="24"/>
          <w:szCs w:val="22"/>
          <w:lang w:val="en-GB"/>
        </w:rPr>
        <w:t xml:space="preserve"> </w:t>
      </w:r>
      <w:r w:rsidR="00DD7978">
        <w:rPr>
          <w:rFonts w:eastAsiaTheme="minorEastAsia" w:hint="eastAsia"/>
          <w:kern w:val="0"/>
          <w:sz w:val="24"/>
          <w:szCs w:val="22"/>
          <w:lang w:val="en-GB"/>
        </w:rPr>
        <w:t>a</w:t>
      </w:r>
      <w:r w:rsidR="00DD7978">
        <w:rPr>
          <w:rFonts w:eastAsiaTheme="minorEastAsia"/>
          <w:kern w:val="0"/>
          <w:sz w:val="24"/>
          <w:szCs w:val="22"/>
          <w:lang w:val="en-GB"/>
        </w:rPr>
        <w:t xml:space="preserve"> </w:t>
      </w:r>
      <w:r w:rsidR="00DD7978" w:rsidRPr="004E403B">
        <w:rPr>
          <w:rFonts w:eastAsiaTheme="minorEastAsia"/>
          <w:kern w:val="0"/>
          <w:sz w:val="24"/>
          <w:szCs w:val="22"/>
          <w:lang w:val="en-GB"/>
        </w:rPr>
        <w:t xml:space="preserve">collaborative environment </w:t>
      </w:r>
      <w:r w:rsidR="00DD7978">
        <w:rPr>
          <w:rFonts w:eastAsiaTheme="minorEastAsia"/>
          <w:kern w:val="0"/>
          <w:sz w:val="24"/>
          <w:szCs w:val="22"/>
          <w:lang w:val="en-GB"/>
        </w:rPr>
        <w:t xml:space="preserve">that </w:t>
      </w:r>
      <w:r w:rsidR="00DD7978">
        <w:rPr>
          <w:rFonts w:eastAsiaTheme="minorEastAsia" w:hint="eastAsia"/>
          <w:kern w:val="0"/>
          <w:sz w:val="24"/>
          <w:szCs w:val="22"/>
          <w:lang w:val="en-GB"/>
        </w:rPr>
        <w:t>involves</w:t>
      </w:r>
      <w:r w:rsidR="00DD7978">
        <w:rPr>
          <w:rFonts w:eastAsiaTheme="minorEastAsia"/>
          <w:kern w:val="0"/>
          <w:sz w:val="24"/>
          <w:szCs w:val="22"/>
          <w:lang w:val="en-GB"/>
        </w:rPr>
        <w:t xml:space="preserve"> </w:t>
      </w:r>
      <w:r w:rsidR="00DD7978" w:rsidRPr="004E403B">
        <w:rPr>
          <w:rFonts w:eastAsiaTheme="minorEastAsia"/>
          <w:kern w:val="0"/>
          <w:sz w:val="24"/>
          <w:szCs w:val="22"/>
          <w:lang w:val="en-GB"/>
        </w:rPr>
        <w:t>both private and public stakeholders</w:t>
      </w:r>
      <w:r w:rsidRPr="004E403B">
        <w:rPr>
          <w:rFonts w:eastAsiaTheme="minorEastAsia"/>
          <w:kern w:val="0"/>
          <w:sz w:val="24"/>
          <w:szCs w:val="22"/>
          <w:lang w:val="en-GB"/>
        </w:rPr>
        <w:t xml:space="preserve">. </w:t>
      </w:r>
      <w:r w:rsidR="00A84627" w:rsidRPr="00834E1C">
        <w:rPr>
          <w:rFonts w:eastAsiaTheme="minorEastAsia"/>
          <w:kern w:val="0"/>
          <w:sz w:val="24"/>
          <w:szCs w:val="22"/>
          <w:lang w:val="en-GB"/>
        </w:rPr>
        <w:t xml:space="preserve">All the </w:t>
      </w:r>
      <w:r w:rsidR="00A84627" w:rsidRPr="00834E1C">
        <w:rPr>
          <w:rFonts w:eastAsiaTheme="minorEastAsia" w:hint="eastAsia"/>
          <w:kern w:val="0"/>
          <w:sz w:val="24"/>
          <w:szCs w:val="22"/>
          <w:lang w:val="en-GB"/>
        </w:rPr>
        <w:t>stakeholder</w:t>
      </w:r>
      <w:r w:rsidR="00A84627">
        <w:rPr>
          <w:rFonts w:eastAsiaTheme="minorEastAsia"/>
          <w:kern w:val="0"/>
          <w:sz w:val="24"/>
          <w:szCs w:val="22"/>
          <w:lang w:val="en-GB"/>
        </w:rPr>
        <w:t>s</w:t>
      </w:r>
      <w:r w:rsidR="00A84627" w:rsidRPr="00834E1C">
        <w:rPr>
          <w:rFonts w:eastAsiaTheme="minorEastAsia"/>
          <w:kern w:val="0"/>
          <w:sz w:val="24"/>
          <w:szCs w:val="22"/>
          <w:lang w:val="en-GB"/>
        </w:rPr>
        <w:t xml:space="preserve"> </w:t>
      </w:r>
      <w:r w:rsidR="00A84627">
        <w:rPr>
          <w:rFonts w:eastAsiaTheme="minorEastAsia"/>
          <w:kern w:val="0"/>
          <w:sz w:val="24"/>
          <w:szCs w:val="22"/>
          <w:lang w:val="en-GB"/>
        </w:rPr>
        <w:t xml:space="preserve">should </w:t>
      </w:r>
      <w:r w:rsidR="00A84627" w:rsidRPr="00834E1C">
        <w:rPr>
          <w:rFonts w:eastAsiaTheme="minorEastAsia"/>
          <w:kern w:val="0"/>
          <w:sz w:val="24"/>
          <w:szCs w:val="22"/>
          <w:lang w:val="en-GB"/>
        </w:rPr>
        <w:t>develop a common agenda and strive for the same goals</w:t>
      </w:r>
      <w:r w:rsidR="00A84627">
        <w:rPr>
          <w:rFonts w:eastAsiaTheme="minorEastAsia"/>
          <w:kern w:val="0"/>
          <w:sz w:val="24"/>
          <w:szCs w:val="22"/>
          <w:lang w:val="en-GB"/>
        </w:rPr>
        <w:t xml:space="preserve"> </w:t>
      </w:r>
      <w:r w:rsidR="00A84627" w:rsidRPr="00834E1C">
        <w:rPr>
          <w:rFonts w:eastAsiaTheme="minorEastAsia"/>
          <w:kern w:val="0"/>
          <w:sz w:val="24"/>
          <w:szCs w:val="22"/>
          <w:lang w:val="en-GB"/>
        </w:rPr>
        <w:t>while considering their objectives.</w:t>
      </w:r>
      <w:r w:rsidR="00A84627">
        <w:rPr>
          <w:rFonts w:eastAsiaTheme="minorEastAsia"/>
          <w:kern w:val="0"/>
          <w:sz w:val="24"/>
          <w:szCs w:val="22"/>
          <w:lang w:val="en-GB"/>
        </w:rPr>
        <w:t xml:space="preserve"> </w:t>
      </w:r>
      <w:r w:rsidR="003B065E">
        <w:rPr>
          <w:rFonts w:eastAsiaTheme="minorEastAsia"/>
          <w:kern w:val="0"/>
          <w:sz w:val="24"/>
          <w:szCs w:val="22"/>
          <w:lang w:val="en-GB"/>
        </w:rPr>
        <w:t xml:space="preserve">They also </w:t>
      </w:r>
      <w:r w:rsidR="00C67149">
        <w:rPr>
          <w:rFonts w:eastAsiaTheme="minorEastAsia"/>
          <w:kern w:val="0"/>
          <w:sz w:val="24"/>
          <w:szCs w:val="22"/>
          <w:lang w:val="en-GB"/>
        </w:rPr>
        <w:t>explain</w:t>
      </w:r>
      <w:r w:rsidR="008B0855">
        <w:rPr>
          <w:rFonts w:eastAsiaTheme="minorEastAsia"/>
          <w:kern w:val="0"/>
          <w:sz w:val="24"/>
          <w:szCs w:val="22"/>
          <w:lang w:val="en-GB"/>
        </w:rPr>
        <w:t xml:space="preserve"> that</w:t>
      </w:r>
      <w:r w:rsidR="00C67149">
        <w:rPr>
          <w:rFonts w:eastAsiaTheme="minorEastAsia"/>
          <w:kern w:val="0"/>
          <w:sz w:val="24"/>
          <w:szCs w:val="22"/>
          <w:lang w:val="en-GB"/>
        </w:rPr>
        <w:t xml:space="preserve"> </w:t>
      </w:r>
      <w:r w:rsidR="008B0855">
        <w:rPr>
          <w:rFonts w:eastAsiaTheme="minorEastAsia"/>
          <w:kern w:val="0"/>
          <w:sz w:val="24"/>
          <w:szCs w:val="22"/>
          <w:lang w:val="en-GB"/>
        </w:rPr>
        <w:t>a</w:t>
      </w:r>
      <w:r w:rsidR="00C67149">
        <w:rPr>
          <w:rFonts w:eastAsiaTheme="minorEastAsia"/>
          <w:kern w:val="0"/>
          <w:sz w:val="24"/>
          <w:szCs w:val="22"/>
          <w:lang w:val="en-GB"/>
        </w:rPr>
        <w:t xml:space="preserve"> sound </w:t>
      </w:r>
      <w:r w:rsidR="00C06685">
        <w:rPr>
          <w:rFonts w:eastAsiaTheme="minorEastAsia"/>
          <w:kern w:val="0"/>
          <w:sz w:val="24"/>
          <w:szCs w:val="22"/>
          <w:lang w:val="en-GB"/>
        </w:rPr>
        <w:t>collaborative environment can promote the sustainability of UCC</w:t>
      </w:r>
      <w:r w:rsidR="00DC7FF3">
        <w:rPr>
          <w:rFonts w:eastAsiaTheme="minorEastAsia"/>
          <w:kern w:val="0"/>
          <w:sz w:val="24"/>
          <w:szCs w:val="22"/>
          <w:lang w:val="en-GB"/>
        </w:rPr>
        <w:t>s</w:t>
      </w:r>
      <w:r w:rsidR="00C06685">
        <w:rPr>
          <w:rFonts w:eastAsiaTheme="minorEastAsia"/>
          <w:kern w:val="0"/>
          <w:sz w:val="24"/>
          <w:szCs w:val="22"/>
          <w:lang w:val="en-GB"/>
        </w:rPr>
        <w:t xml:space="preserve">. </w:t>
      </w:r>
      <w:r w:rsidR="00CA3390">
        <w:rPr>
          <w:rFonts w:eastAsiaTheme="minorEastAsia"/>
          <w:kern w:val="0"/>
          <w:sz w:val="24"/>
          <w:szCs w:val="22"/>
          <w:lang w:val="en-GB"/>
        </w:rPr>
        <w:t xml:space="preserve">However, </w:t>
      </w:r>
      <w:r w:rsidR="007D5F73">
        <w:rPr>
          <w:rFonts w:eastAsiaTheme="minorEastAsia"/>
          <w:kern w:val="0"/>
          <w:sz w:val="24"/>
          <w:szCs w:val="22"/>
          <w:lang w:val="en-GB"/>
        </w:rPr>
        <w:t>these studies emphasis</w:t>
      </w:r>
      <w:r w:rsidR="004C629D">
        <w:rPr>
          <w:rFonts w:eastAsiaTheme="minorEastAsia"/>
          <w:kern w:val="0"/>
          <w:sz w:val="24"/>
          <w:szCs w:val="22"/>
          <w:lang w:val="en-GB"/>
        </w:rPr>
        <w:t>e that</w:t>
      </w:r>
      <w:r w:rsidR="007D5F73">
        <w:rPr>
          <w:rFonts w:eastAsiaTheme="minorEastAsia"/>
          <w:kern w:val="0"/>
          <w:sz w:val="24"/>
          <w:szCs w:val="22"/>
          <w:lang w:val="en-GB"/>
        </w:rPr>
        <w:t xml:space="preserve"> such </w:t>
      </w:r>
      <w:r w:rsidR="009C2D9A">
        <w:rPr>
          <w:rFonts w:eastAsiaTheme="minorEastAsia"/>
          <w:kern w:val="0"/>
          <w:sz w:val="24"/>
          <w:szCs w:val="22"/>
          <w:lang w:val="en-GB"/>
        </w:rPr>
        <w:t>collaboration</w:t>
      </w:r>
      <w:r w:rsidR="004C629D">
        <w:rPr>
          <w:rFonts w:eastAsiaTheme="minorEastAsia"/>
          <w:kern w:val="0"/>
          <w:sz w:val="24"/>
          <w:szCs w:val="22"/>
          <w:lang w:val="en-GB"/>
        </w:rPr>
        <w:t>s</w:t>
      </w:r>
      <w:r w:rsidR="006D2FE3">
        <w:rPr>
          <w:rFonts w:eastAsiaTheme="minorEastAsia"/>
          <w:kern w:val="0"/>
          <w:sz w:val="24"/>
          <w:szCs w:val="22"/>
          <w:lang w:val="en-GB"/>
        </w:rPr>
        <w:t xml:space="preserve"> </w:t>
      </w:r>
      <w:r w:rsidR="004C629D">
        <w:rPr>
          <w:rFonts w:eastAsiaTheme="minorEastAsia"/>
          <w:kern w:val="0"/>
          <w:sz w:val="24"/>
          <w:szCs w:val="22"/>
          <w:lang w:val="en-GB"/>
        </w:rPr>
        <w:t>are</w:t>
      </w:r>
      <w:r w:rsidR="006D2FE3">
        <w:rPr>
          <w:rFonts w:eastAsiaTheme="minorEastAsia"/>
          <w:kern w:val="0"/>
          <w:sz w:val="24"/>
          <w:szCs w:val="22"/>
          <w:lang w:val="en-GB"/>
        </w:rPr>
        <w:t xml:space="preserve"> </w:t>
      </w:r>
      <w:r w:rsidR="009F548D">
        <w:rPr>
          <w:rFonts w:eastAsiaTheme="minorEastAsia"/>
          <w:kern w:val="0"/>
          <w:sz w:val="24"/>
          <w:szCs w:val="22"/>
          <w:lang w:val="en-GB"/>
        </w:rPr>
        <w:t>only</w:t>
      </w:r>
      <w:r w:rsidR="009C2D9A">
        <w:rPr>
          <w:rFonts w:eastAsiaTheme="minorEastAsia"/>
          <w:kern w:val="0"/>
          <w:sz w:val="24"/>
          <w:szCs w:val="22"/>
          <w:lang w:val="en-GB"/>
        </w:rPr>
        <w:t xml:space="preserve"> </w:t>
      </w:r>
      <w:r w:rsidR="006D2FE3">
        <w:rPr>
          <w:rFonts w:eastAsiaTheme="minorEastAsia"/>
          <w:kern w:val="0"/>
          <w:sz w:val="24"/>
          <w:szCs w:val="22"/>
          <w:lang w:val="en-GB"/>
        </w:rPr>
        <w:t xml:space="preserve">based on the environmental and social </w:t>
      </w:r>
      <w:r w:rsidR="006D2FE3">
        <w:rPr>
          <w:rFonts w:eastAsiaTheme="minorEastAsia"/>
          <w:kern w:val="0"/>
          <w:sz w:val="24"/>
          <w:szCs w:val="22"/>
          <w:lang w:val="en-GB"/>
        </w:rPr>
        <w:lastRenderedPageBreak/>
        <w:t>consideration</w:t>
      </w:r>
      <w:r w:rsidR="004C629D">
        <w:rPr>
          <w:rFonts w:eastAsiaTheme="minorEastAsia"/>
          <w:kern w:val="0"/>
          <w:sz w:val="24"/>
          <w:szCs w:val="22"/>
          <w:lang w:val="en-GB"/>
        </w:rPr>
        <w:t>s</w:t>
      </w:r>
      <w:r w:rsidR="006D2FE3">
        <w:rPr>
          <w:rFonts w:eastAsiaTheme="minorEastAsia"/>
          <w:kern w:val="0"/>
          <w:sz w:val="24"/>
          <w:szCs w:val="22"/>
          <w:lang w:val="en-GB"/>
        </w:rPr>
        <w:t>, which</w:t>
      </w:r>
      <w:r w:rsidR="00546CFB">
        <w:rPr>
          <w:rFonts w:eastAsiaTheme="minorEastAsia"/>
          <w:kern w:val="0"/>
          <w:sz w:val="24"/>
          <w:szCs w:val="22"/>
          <w:lang w:val="en-GB"/>
        </w:rPr>
        <w:t xml:space="preserve"> there</w:t>
      </w:r>
      <w:r w:rsidR="006D35F9">
        <w:rPr>
          <w:rFonts w:eastAsiaTheme="minorEastAsia"/>
          <w:kern w:val="0"/>
          <w:sz w:val="24"/>
          <w:szCs w:val="22"/>
          <w:lang w:val="en-GB"/>
        </w:rPr>
        <w:t>fore</w:t>
      </w:r>
      <w:r w:rsidR="006D2FE3">
        <w:rPr>
          <w:rFonts w:eastAsiaTheme="minorEastAsia"/>
          <w:kern w:val="0"/>
          <w:sz w:val="24"/>
          <w:szCs w:val="22"/>
          <w:lang w:val="en-GB"/>
        </w:rPr>
        <w:t xml:space="preserve"> requires the</w:t>
      </w:r>
      <w:r w:rsidR="00187BC1">
        <w:rPr>
          <w:rFonts w:eastAsiaTheme="minorEastAsia"/>
          <w:kern w:val="0"/>
          <w:sz w:val="24"/>
          <w:szCs w:val="22"/>
          <w:lang w:val="en-GB"/>
        </w:rPr>
        <w:t xml:space="preserve"> private</w:t>
      </w:r>
      <w:r w:rsidR="006D2FE3">
        <w:rPr>
          <w:rFonts w:eastAsiaTheme="minorEastAsia"/>
          <w:kern w:val="0"/>
          <w:sz w:val="24"/>
          <w:szCs w:val="22"/>
          <w:lang w:val="en-GB"/>
        </w:rPr>
        <w:t xml:space="preserve"> stakeholders (</w:t>
      </w:r>
      <w:proofErr w:type="gramStart"/>
      <w:r w:rsidR="006D2FE3">
        <w:rPr>
          <w:rFonts w:eastAsiaTheme="minorEastAsia"/>
          <w:kern w:val="0"/>
          <w:sz w:val="24"/>
          <w:szCs w:val="22"/>
          <w:lang w:val="en-GB"/>
        </w:rPr>
        <w:t>e.g.</w:t>
      </w:r>
      <w:proofErr w:type="gramEnd"/>
      <w:r w:rsidR="006D2FE3">
        <w:rPr>
          <w:rFonts w:eastAsiaTheme="minorEastAsia"/>
          <w:kern w:val="0"/>
          <w:sz w:val="24"/>
          <w:szCs w:val="22"/>
          <w:lang w:val="en-GB"/>
        </w:rPr>
        <w:t xml:space="preserve"> intercity carriers, receivers) to undertake the social </w:t>
      </w:r>
      <w:r w:rsidR="00BD76CF">
        <w:rPr>
          <w:rFonts w:eastAsiaTheme="minorEastAsia"/>
          <w:kern w:val="0"/>
          <w:sz w:val="24"/>
          <w:szCs w:val="22"/>
          <w:lang w:val="en-GB"/>
        </w:rPr>
        <w:t>responsibilit</w:t>
      </w:r>
      <w:r w:rsidR="00B70D83">
        <w:rPr>
          <w:rFonts w:eastAsiaTheme="minorEastAsia"/>
          <w:kern w:val="0"/>
          <w:sz w:val="24"/>
          <w:szCs w:val="22"/>
          <w:lang w:val="en-GB"/>
        </w:rPr>
        <w:t>ies</w:t>
      </w:r>
      <w:r w:rsidR="00065FAC">
        <w:rPr>
          <w:rFonts w:eastAsiaTheme="minorEastAsia"/>
          <w:kern w:val="0"/>
          <w:sz w:val="24"/>
          <w:szCs w:val="22"/>
          <w:lang w:val="en-GB"/>
        </w:rPr>
        <w:t xml:space="preserve"> but </w:t>
      </w:r>
      <w:r w:rsidR="00767932">
        <w:rPr>
          <w:rFonts w:eastAsiaTheme="minorEastAsia"/>
          <w:kern w:val="0"/>
          <w:sz w:val="24"/>
          <w:szCs w:val="22"/>
          <w:lang w:val="en-GB"/>
        </w:rPr>
        <w:t>neglect</w:t>
      </w:r>
      <w:r w:rsidR="00B70D83">
        <w:rPr>
          <w:rFonts w:eastAsiaTheme="minorEastAsia"/>
          <w:kern w:val="0"/>
          <w:sz w:val="24"/>
          <w:szCs w:val="22"/>
          <w:lang w:val="en-GB"/>
        </w:rPr>
        <w:t>s</w:t>
      </w:r>
      <w:r w:rsidR="00EF7A78">
        <w:rPr>
          <w:rFonts w:eastAsiaTheme="minorEastAsia"/>
          <w:kern w:val="0"/>
          <w:sz w:val="24"/>
          <w:szCs w:val="22"/>
          <w:lang w:val="en-GB"/>
        </w:rPr>
        <w:t xml:space="preserve"> </w:t>
      </w:r>
      <w:r w:rsidR="0080658B">
        <w:rPr>
          <w:rFonts w:eastAsiaTheme="minorEastAsia"/>
          <w:kern w:val="0"/>
          <w:sz w:val="24"/>
          <w:szCs w:val="22"/>
          <w:lang w:val="en-GB"/>
        </w:rPr>
        <w:t>the potential negative effects</w:t>
      </w:r>
      <w:r w:rsidR="00BD3D5C">
        <w:rPr>
          <w:rFonts w:eastAsiaTheme="minorEastAsia"/>
          <w:kern w:val="0"/>
          <w:sz w:val="24"/>
          <w:szCs w:val="22"/>
          <w:lang w:val="en-GB"/>
        </w:rPr>
        <w:t xml:space="preserve"> of UCC</w:t>
      </w:r>
      <w:r w:rsidR="00B70D83">
        <w:rPr>
          <w:rFonts w:eastAsiaTheme="minorEastAsia"/>
          <w:kern w:val="0"/>
          <w:sz w:val="24"/>
          <w:szCs w:val="22"/>
          <w:lang w:val="en-GB"/>
        </w:rPr>
        <w:t>s</w:t>
      </w:r>
      <w:r w:rsidR="0080658B">
        <w:rPr>
          <w:rFonts w:eastAsiaTheme="minorEastAsia"/>
          <w:kern w:val="0"/>
          <w:sz w:val="24"/>
          <w:szCs w:val="22"/>
          <w:lang w:val="en-GB"/>
        </w:rPr>
        <w:t xml:space="preserve"> on </w:t>
      </w:r>
      <w:r w:rsidR="00187BC1">
        <w:rPr>
          <w:rFonts w:eastAsiaTheme="minorEastAsia"/>
          <w:kern w:val="0"/>
          <w:sz w:val="24"/>
          <w:szCs w:val="22"/>
          <w:lang w:val="en-GB"/>
        </w:rPr>
        <w:t xml:space="preserve">the </w:t>
      </w:r>
      <w:r w:rsidR="0080658B">
        <w:rPr>
          <w:rFonts w:eastAsiaTheme="minorEastAsia"/>
          <w:kern w:val="0"/>
          <w:sz w:val="24"/>
          <w:szCs w:val="22"/>
          <w:lang w:val="en-GB"/>
        </w:rPr>
        <w:t>business</w:t>
      </w:r>
      <w:r w:rsidR="00187BC1">
        <w:rPr>
          <w:rFonts w:eastAsiaTheme="minorEastAsia"/>
          <w:kern w:val="0"/>
          <w:sz w:val="24"/>
          <w:szCs w:val="22"/>
          <w:lang w:val="en-GB"/>
        </w:rPr>
        <w:t xml:space="preserve"> of private stakeholders</w:t>
      </w:r>
      <w:r w:rsidR="00BD76CF">
        <w:rPr>
          <w:rFonts w:eastAsiaTheme="minorEastAsia"/>
          <w:kern w:val="0"/>
          <w:sz w:val="24"/>
          <w:szCs w:val="22"/>
          <w:lang w:val="en-GB"/>
        </w:rPr>
        <w:t>.</w:t>
      </w:r>
      <w:r w:rsidR="00B571B5">
        <w:rPr>
          <w:rFonts w:eastAsiaTheme="minorEastAsia"/>
          <w:kern w:val="0"/>
          <w:sz w:val="24"/>
          <w:szCs w:val="22"/>
          <w:lang w:val="en-GB"/>
        </w:rPr>
        <w:t xml:space="preserve"> </w:t>
      </w:r>
      <w:r w:rsidR="009811E2" w:rsidRPr="00C63049">
        <w:rPr>
          <w:rFonts w:eastAsiaTheme="minorEastAsia"/>
          <w:kern w:val="0"/>
          <w:sz w:val="24"/>
          <w:szCs w:val="22"/>
          <w:lang w:val="en-GB"/>
        </w:rPr>
        <w:t xml:space="preserve">In fact, economic barriers </w:t>
      </w:r>
      <w:r w:rsidR="00E53934">
        <w:rPr>
          <w:rFonts w:eastAsiaTheme="minorEastAsia"/>
          <w:kern w:val="0"/>
          <w:sz w:val="24"/>
          <w:szCs w:val="22"/>
          <w:lang w:val="en-GB"/>
        </w:rPr>
        <w:t xml:space="preserve">will </w:t>
      </w:r>
      <w:r w:rsidR="009811E2" w:rsidRPr="00C63049">
        <w:rPr>
          <w:rFonts w:eastAsiaTheme="minorEastAsia"/>
          <w:kern w:val="0"/>
          <w:sz w:val="24"/>
          <w:szCs w:val="22"/>
          <w:lang w:val="en-GB"/>
        </w:rPr>
        <w:t>discourage participation</w:t>
      </w:r>
      <w:r w:rsidR="00991DC9">
        <w:rPr>
          <w:rFonts w:eastAsiaTheme="minorEastAsia"/>
          <w:kern w:val="0"/>
          <w:sz w:val="24"/>
          <w:szCs w:val="22"/>
          <w:lang w:val="en-GB"/>
        </w:rPr>
        <w:t xml:space="preserve"> of private </w:t>
      </w:r>
      <w:r w:rsidR="00991DC9" w:rsidRPr="00C63049">
        <w:rPr>
          <w:rFonts w:eastAsiaTheme="minorEastAsia"/>
          <w:kern w:val="0"/>
          <w:sz w:val="24"/>
          <w:szCs w:val="22"/>
          <w:lang w:val="en-GB"/>
        </w:rPr>
        <w:t>stakeholder</w:t>
      </w:r>
      <w:r w:rsidR="00AA4108">
        <w:rPr>
          <w:rFonts w:eastAsiaTheme="minorEastAsia"/>
          <w:kern w:val="0"/>
          <w:sz w:val="24"/>
          <w:szCs w:val="22"/>
          <w:lang w:val="en-GB"/>
        </w:rPr>
        <w:t>s</w:t>
      </w:r>
      <w:r w:rsidR="009811E2" w:rsidRPr="00C63049">
        <w:rPr>
          <w:rFonts w:eastAsiaTheme="minorEastAsia"/>
          <w:kern w:val="0"/>
          <w:sz w:val="24"/>
          <w:szCs w:val="22"/>
          <w:lang w:val="en-GB"/>
        </w:rPr>
        <w:t xml:space="preserve"> (such as goods receivers and </w:t>
      </w:r>
      <w:r w:rsidR="00C768E8">
        <w:rPr>
          <w:rFonts w:eastAsiaTheme="minorEastAsia"/>
          <w:kern w:val="0"/>
          <w:sz w:val="24"/>
          <w:szCs w:val="22"/>
          <w:lang w:val="en-GB"/>
        </w:rPr>
        <w:t>LSPs</w:t>
      </w:r>
      <w:r w:rsidR="009811E2" w:rsidRPr="00C63049">
        <w:rPr>
          <w:rFonts w:eastAsiaTheme="minorEastAsia"/>
          <w:kern w:val="0"/>
          <w:sz w:val="24"/>
          <w:szCs w:val="22"/>
          <w:lang w:val="en-GB"/>
        </w:rPr>
        <w:t>), as monetary benefits are ultimately more important to them.</w:t>
      </w:r>
      <w:r w:rsidR="009811E2">
        <w:rPr>
          <w:rFonts w:eastAsiaTheme="minorEastAsia"/>
          <w:kern w:val="0"/>
          <w:sz w:val="24"/>
          <w:szCs w:val="22"/>
          <w:lang w:val="en-GB"/>
        </w:rPr>
        <w:t xml:space="preserve"> </w:t>
      </w:r>
      <w:r w:rsidR="00C768E8">
        <w:rPr>
          <w:rFonts w:eastAsiaTheme="minorEastAsia"/>
          <w:kern w:val="0"/>
          <w:sz w:val="24"/>
          <w:szCs w:val="22"/>
          <w:lang w:val="en-GB"/>
        </w:rPr>
        <w:t>If</w:t>
      </w:r>
      <w:r w:rsidR="007D4761">
        <w:rPr>
          <w:rFonts w:eastAsiaTheme="minorEastAsia"/>
          <w:kern w:val="0"/>
          <w:sz w:val="24"/>
          <w:szCs w:val="22"/>
          <w:lang w:val="en-GB"/>
        </w:rPr>
        <w:t xml:space="preserve"> the economic benefits of private stakeholders are damaged due to the UCC</w:t>
      </w:r>
      <w:r w:rsidR="004418FA">
        <w:rPr>
          <w:rFonts w:eastAsiaTheme="minorEastAsia"/>
          <w:kern w:val="0"/>
          <w:sz w:val="24"/>
          <w:szCs w:val="22"/>
          <w:lang w:val="en-GB"/>
        </w:rPr>
        <w:t xml:space="preserve"> project</w:t>
      </w:r>
      <w:r w:rsidR="00BF5289">
        <w:rPr>
          <w:rFonts w:eastAsiaTheme="minorEastAsia"/>
          <w:kern w:val="0"/>
          <w:sz w:val="24"/>
          <w:szCs w:val="22"/>
          <w:lang w:val="en-GB"/>
        </w:rPr>
        <w:t xml:space="preserve">, </w:t>
      </w:r>
      <w:r w:rsidR="00BF5211">
        <w:rPr>
          <w:rFonts w:eastAsiaTheme="minorEastAsia"/>
          <w:kern w:val="0"/>
          <w:sz w:val="24"/>
          <w:szCs w:val="22"/>
          <w:lang w:val="en-GB"/>
        </w:rPr>
        <w:t xml:space="preserve">it is easy to </w:t>
      </w:r>
      <w:r w:rsidR="00736378">
        <w:rPr>
          <w:rFonts w:eastAsiaTheme="minorEastAsia"/>
          <w:kern w:val="0"/>
          <w:sz w:val="24"/>
          <w:szCs w:val="22"/>
          <w:lang w:val="en-GB"/>
        </w:rPr>
        <w:t>lo</w:t>
      </w:r>
      <w:r w:rsidR="00991DC9">
        <w:rPr>
          <w:rFonts w:eastAsiaTheme="minorEastAsia"/>
          <w:kern w:val="0"/>
          <w:sz w:val="24"/>
          <w:szCs w:val="22"/>
          <w:lang w:val="en-GB"/>
        </w:rPr>
        <w:t>se the</w:t>
      </w:r>
      <w:r w:rsidR="007D4761">
        <w:rPr>
          <w:rFonts w:eastAsiaTheme="minorEastAsia"/>
          <w:kern w:val="0"/>
          <w:sz w:val="24"/>
          <w:szCs w:val="22"/>
          <w:lang w:val="en-GB"/>
        </w:rPr>
        <w:t>ir</w:t>
      </w:r>
      <w:r w:rsidR="00991DC9">
        <w:rPr>
          <w:rFonts w:eastAsiaTheme="minorEastAsia"/>
          <w:kern w:val="0"/>
          <w:sz w:val="24"/>
          <w:szCs w:val="22"/>
          <w:lang w:val="en-GB"/>
        </w:rPr>
        <w:t xml:space="preserve"> support</w:t>
      </w:r>
      <w:r w:rsidR="004418FA">
        <w:rPr>
          <w:rFonts w:eastAsiaTheme="minorEastAsia"/>
          <w:kern w:val="0"/>
          <w:sz w:val="24"/>
          <w:szCs w:val="22"/>
          <w:lang w:val="en-GB"/>
        </w:rPr>
        <w:t xml:space="preserve"> </w:t>
      </w:r>
      <w:r w:rsidR="00F0216E">
        <w:rPr>
          <w:rFonts w:eastAsiaTheme="minorEastAsia"/>
          <w:kern w:val="0"/>
          <w:sz w:val="24"/>
          <w:szCs w:val="22"/>
          <w:lang w:val="en-GB"/>
        </w:rPr>
        <w:t>for</w:t>
      </w:r>
      <w:r w:rsidR="004418FA">
        <w:rPr>
          <w:rFonts w:eastAsiaTheme="minorEastAsia"/>
          <w:kern w:val="0"/>
          <w:sz w:val="24"/>
          <w:szCs w:val="22"/>
          <w:lang w:val="en-GB"/>
        </w:rPr>
        <w:t xml:space="preserve"> such</w:t>
      </w:r>
      <w:r w:rsidR="00F0216E">
        <w:rPr>
          <w:rFonts w:eastAsiaTheme="minorEastAsia"/>
          <w:kern w:val="0"/>
          <w:sz w:val="24"/>
          <w:szCs w:val="22"/>
          <w:lang w:val="en-GB"/>
        </w:rPr>
        <w:t xml:space="preserve"> a</w:t>
      </w:r>
      <w:r w:rsidR="004418FA">
        <w:rPr>
          <w:rFonts w:eastAsiaTheme="minorEastAsia"/>
          <w:kern w:val="0"/>
          <w:sz w:val="24"/>
          <w:szCs w:val="22"/>
          <w:lang w:val="en-GB"/>
        </w:rPr>
        <w:t xml:space="preserve"> project</w:t>
      </w:r>
      <w:r w:rsidR="00FE0036">
        <w:rPr>
          <w:rFonts w:eastAsiaTheme="minorEastAsia"/>
          <w:kern w:val="0"/>
          <w:sz w:val="24"/>
          <w:szCs w:val="22"/>
          <w:lang w:val="en-GB"/>
        </w:rPr>
        <w:t xml:space="preserve">, </w:t>
      </w:r>
      <w:r w:rsidR="00AF6E02">
        <w:rPr>
          <w:rFonts w:eastAsiaTheme="minorEastAsia"/>
          <w:kern w:val="0"/>
          <w:sz w:val="24"/>
          <w:szCs w:val="22"/>
          <w:lang w:val="en-GB"/>
        </w:rPr>
        <w:t xml:space="preserve">which </w:t>
      </w:r>
      <w:r w:rsidR="003A05C0">
        <w:rPr>
          <w:rFonts w:eastAsiaTheme="minorEastAsia"/>
          <w:kern w:val="0"/>
          <w:sz w:val="24"/>
          <w:szCs w:val="22"/>
          <w:lang w:val="en-GB"/>
        </w:rPr>
        <w:t xml:space="preserve">consequently </w:t>
      </w:r>
      <w:r w:rsidR="00AF6E02">
        <w:rPr>
          <w:rFonts w:eastAsiaTheme="minorEastAsia"/>
          <w:kern w:val="0"/>
          <w:sz w:val="24"/>
          <w:szCs w:val="22"/>
          <w:lang w:val="en-GB"/>
        </w:rPr>
        <w:t xml:space="preserve">causes the UCC project </w:t>
      </w:r>
      <w:r w:rsidR="00F66030">
        <w:rPr>
          <w:rFonts w:eastAsiaTheme="minorEastAsia"/>
          <w:kern w:val="0"/>
          <w:sz w:val="24"/>
          <w:szCs w:val="22"/>
          <w:lang w:val="en-GB"/>
        </w:rPr>
        <w:t xml:space="preserve">to be </w:t>
      </w:r>
      <w:r w:rsidR="00AF6E02">
        <w:rPr>
          <w:rFonts w:eastAsiaTheme="minorEastAsia"/>
          <w:kern w:val="0"/>
          <w:sz w:val="24"/>
          <w:szCs w:val="22"/>
          <w:lang w:val="en-GB"/>
        </w:rPr>
        <w:t xml:space="preserve">terminated. </w:t>
      </w:r>
      <w:r w:rsidR="00120292">
        <w:rPr>
          <w:rFonts w:eastAsiaTheme="minorEastAsia"/>
          <w:kern w:val="0"/>
          <w:sz w:val="24"/>
          <w:szCs w:val="22"/>
          <w:lang w:val="en-GB"/>
        </w:rPr>
        <w:t>M</w:t>
      </w:r>
      <w:r w:rsidR="00BD76CF">
        <w:rPr>
          <w:rFonts w:eastAsiaTheme="minorEastAsia"/>
          <w:kern w:val="0"/>
          <w:sz w:val="24"/>
          <w:szCs w:val="22"/>
          <w:lang w:val="en-GB"/>
        </w:rPr>
        <w:t xml:space="preserve">ost </w:t>
      </w:r>
      <w:r w:rsidR="00120292">
        <w:rPr>
          <w:rFonts w:eastAsiaTheme="minorEastAsia"/>
          <w:kern w:val="0"/>
          <w:sz w:val="24"/>
          <w:szCs w:val="22"/>
          <w:lang w:val="en-GB"/>
        </w:rPr>
        <w:t>studies</w:t>
      </w:r>
      <w:r w:rsidR="00BD76CF">
        <w:rPr>
          <w:rFonts w:eastAsiaTheme="minorEastAsia"/>
          <w:kern w:val="0"/>
          <w:sz w:val="24"/>
          <w:szCs w:val="22"/>
          <w:lang w:val="en-GB"/>
        </w:rPr>
        <w:t xml:space="preserve"> ignore the potential economic rewards </w:t>
      </w:r>
      <w:r w:rsidR="00205E56">
        <w:rPr>
          <w:rFonts w:eastAsiaTheme="minorEastAsia"/>
          <w:kern w:val="0"/>
          <w:sz w:val="24"/>
          <w:szCs w:val="22"/>
          <w:lang w:val="en-GB"/>
        </w:rPr>
        <w:t xml:space="preserve">that stakeholders </w:t>
      </w:r>
      <w:r w:rsidR="009811E2">
        <w:rPr>
          <w:rFonts w:eastAsiaTheme="minorEastAsia"/>
          <w:kern w:val="0"/>
          <w:sz w:val="24"/>
          <w:szCs w:val="22"/>
          <w:lang w:val="en-GB"/>
        </w:rPr>
        <w:t>can receive</w:t>
      </w:r>
      <w:r w:rsidR="00205E56">
        <w:rPr>
          <w:rFonts w:eastAsiaTheme="minorEastAsia"/>
          <w:kern w:val="0"/>
          <w:sz w:val="24"/>
          <w:szCs w:val="22"/>
          <w:lang w:val="en-GB"/>
        </w:rPr>
        <w:t xml:space="preserve"> through</w:t>
      </w:r>
      <w:r w:rsidR="00BD76CF">
        <w:rPr>
          <w:rFonts w:eastAsiaTheme="minorEastAsia"/>
          <w:kern w:val="0"/>
          <w:sz w:val="24"/>
          <w:szCs w:val="22"/>
          <w:lang w:val="en-GB"/>
        </w:rPr>
        <w:t xml:space="preserve"> participating </w:t>
      </w:r>
      <w:r w:rsidR="00DA61D3">
        <w:rPr>
          <w:rFonts w:eastAsiaTheme="minorEastAsia"/>
          <w:kern w:val="0"/>
          <w:sz w:val="24"/>
          <w:szCs w:val="22"/>
          <w:lang w:val="en-GB"/>
        </w:rPr>
        <w:t xml:space="preserve">in </w:t>
      </w:r>
      <w:r w:rsidR="00205E56">
        <w:rPr>
          <w:rFonts w:eastAsiaTheme="minorEastAsia"/>
          <w:kern w:val="0"/>
          <w:sz w:val="24"/>
          <w:szCs w:val="22"/>
          <w:lang w:val="en-GB"/>
        </w:rPr>
        <w:t xml:space="preserve">UCC projects. Therefore, </w:t>
      </w:r>
      <w:r w:rsidR="004418FA">
        <w:rPr>
          <w:rFonts w:eastAsiaTheme="minorEastAsia"/>
          <w:kern w:val="0"/>
          <w:sz w:val="24"/>
          <w:szCs w:val="22"/>
          <w:lang w:val="en-GB"/>
        </w:rPr>
        <w:t xml:space="preserve">it is necessary </w:t>
      </w:r>
      <w:r w:rsidR="00205E56">
        <w:rPr>
          <w:rFonts w:eastAsiaTheme="minorEastAsia"/>
          <w:kern w:val="0"/>
          <w:sz w:val="24"/>
          <w:szCs w:val="22"/>
          <w:lang w:val="en-GB"/>
        </w:rPr>
        <w:t xml:space="preserve">to build a collaborative </w:t>
      </w:r>
      <w:r w:rsidR="00A23DC9">
        <w:rPr>
          <w:rFonts w:eastAsiaTheme="minorEastAsia"/>
          <w:kern w:val="0"/>
          <w:sz w:val="24"/>
          <w:szCs w:val="22"/>
          <w:lang w:val="en-GB"/>
        </w:rPr>
        <w:t>UCC system</w:t>
      </w:r>
      <w:r w:rsidR="00F54B27">
        <w:rPr>
          <w:rFonts w:eastAsiaTheme="minorEastAsia"/>
          <w:kern w:val="0"/>
          <w:sz w:val="24"/>
          <w:szCs w:val="22"/>
          <w:lang w:val="en-GB"/>
        </w:rPr>
        <w:t xml:space="preserve"> </w:t>
      </w:r>
      <w:r w:rsidR="00DA61D3">
        <w:rPr>
          <w:rFonts w:eastAsiaTheme="minorEastAsia"/>
          <w:kern w:val="0"/>
          <w:sz w:val="24"/>
          <w:szCs w:val="22"/>
          <w:lang w:val="en-GB"/>
        </w:rPr>
        <w:t xml:space="preserve">that will </w:t>
      </w:r>
      <w:r w:rsidR="008717C8">
        <w:rPr>
          <w:rFonts w:eastAsiaTheme="minorEastAsia"/>
          <w:kern w:val="0"/>
          <w:sz w:val="24"/>
          <w:szCs w:val="22"/>
          <w:lang w:val="en-GB"/>
        </w:rPr>
        <w:t xml:space="preserve">enable all stakeholders </w:t>
      </w:r>
      <w:r w:rsidR="00755711">
        <w:rPr>
          <w:rFonts w:eastAsiaTheme="minorEastAsia"/>
          <w:kern w:val="0"/>
          <w:sz w:val="24"/>
          <w:szCs w:val="22"/>
          <w:lang w:val="en-GB"/>
        </w:rPr>
        <w:t xml:space="preserve">to </w:t>
      </w:r>
      <w:r w:rsidR="002A051E">
        <w:rPr>
          <w:rFonts w:eastAsiaTheme="minorEastAsia"/>
          <w:kern w:val="0"/>
          <w:sz w:val="24"/>
          <w:szCs w:val="22"/>
          <w:lang w:val="en-GB"/>
        </w:rPr>
        <w:t xml:space="preserve">be </w:t>
      </w:r>
      <w:r w:rsidR="00DC402C">
        <w:rPr>
          <w:rFonts w:eastAsiaTheme="minorEastAsia"/>
          <w:kern w:val="0"/>
          <w:sz w:val="24"/>
          <w:szCs w:val="22"/>
          <w:lang w:val="en-GB"/>
        </w:rPr>
        <w:t>aware</w:t>
      </w:r>
      <w:r w:rsidR="009811E2">
        <w:rPr>
          <w:rFonts w:eastAsiaTheme="minorEastAsia"/>
          <w:kern w:val="0"/>
          <w:sz w:val="24"/>
          <w:szCs w:val="22"/>
          <w:lang w:val="en-GB"/>
        </w:rPr>
        <w:t xml:space="preserve"> that</w:t>
      </w:r>
      <w:r w:rsidR="008717C8">
        <w:rPr>
          <w:rFonts w:eastAsiaTheme="minorEastAsia"/>
          <w:kern w:val="0"/>
          <w:sz w:val="24"/>
          <w:szCs w:val="22"/>
          <w:lang w:val="en-GB"/>
        </w:rPr>
        <w:t xml:space="preserve"> UCC</w:t>
      </w:r>
      <w:r w:rsidR="00755711">
        <w:rPr>
          <w:rFonts w:eastAsiaTheme="minorEastAsia"/>
          <w:kern w:val="0"/>
          <w:sz w:val="24"/>
          <w:szCs w:val="22"/>
          <w:lang w:val="en-GB"/>
        </w:rPr>
        <w:t>s</w:t>
      </w:r>
      <w:r w:rsidR="008717C8">
        <w:rPr>
          <w:rFonts w:eastAsiaTheme="minorEastAsia"/>
          <w:kern w:val="0"/>
          <w:sz w:val="24"/>
          <w:szCs w:val="22"/>
          <w:lang w:val="en-GB"/>
        </w:rPr>
        <w:t xml:space="preserve"> can </w:t>
      </w:r>
      <w:r w:rsidR="00A23DC9">
        <w:rPr>
          <w:rFonts w:eastAsiaTheme="minorEastAsia"/>
          <w:kern w:val="0"/>
          <w:sz w:val="24"/>
          <w:szCs w:val="22"/>
          <w:lang w:val="en-GB"/>
        </w:rPr>
        <w:t>generate benefits in all three dimensions of SUL.</w:t>
      </w:r>
      <w:r w:rsidR="004F5B57">
        <w:rPr>
          <w:rFonts w:eastAsiaTheme="minorEastAsia"/>
          <w:kern w:val="0"/>
          <w:sz w:val="24"/>
          <w:szCs w:val="22"/>
          <w:lang w:val="en-GB"/>
        </w:rPr>
        <w:t xml:space="preserve"> C</w:t>
      </w:r>
      <w:r w:rsidR="004F5B57">
        <w:rPr>
          <w:rFonts w:eastAsiaTheme="minorEastAsia" w:hint="eastAsia"/>
          <w:kern w:val="0"/>
          <w:sz w:val="24"/>
          <w:szCs w:val="22"/>
          <w:lang w:val="en-GB"/>
        </w:rPr>
        <w:t>onsidering</w:t>
      </w:r>
      <w:r w:rsidR="004F5B57">
        <w:rPr>
          <w:rFonts w:eastAsiaTheme="minorEastAsia"/>
          <w:kern w:val="0"/>
          <w:sz w:val="24"/>
          <w:szCs w:val="22"/>
          <w:lang w:val="en-GB"/>
        </w:rPr>
        <w:t xml:space="preserve"> </w:t>
      </w:r>
      <w:r w:rsidR="004F5B57">
        <w:rPr>
          <w:rFonts w:eastAsiaTheme="minorEastAsia" w:hint="eastAsia"/>
          <w:kern w:val="0"/>
          <w:sz w:val="24"/>
          <w:szCs w:val="22"/>
          <w:lang w:val="en-GB"/>
        </w:rPr>
        <w:t>this,</w:t>
      </w:r>
      <w:r w:rsidR="004F5B57">
        <w:rPr>
          <w:rFonts w:eastAsiaTheme="minorEastAsia"/>
          <w:kern w:val="0"/>
          <w:sz w:val="24"/>
          <w:szCs w:val="22"/>
          <w:lang w:val="en-GB"/>
        </w:rPr>
        <w:t xml:space="preserve"> stakeholders</w:t>
      </w:r>
      <w:r w:rsidR="00FE0D53">
        <w:rPr>
          <w:rFonts w:eastAsiaTheme="minorEastAsia"/>
          <w:kern w:val="0"/>
          <w:sz w:val="24"/>
          <w:szCs w:val="22"/>
          <w:lang w:val="en-GB"/>
        </w:rPr>
        <w:t>’</w:t>
      </w:r>
      <w:r w:rsidR="004F5B57">
        <w:rPr>
          <w:rFonts w:eastAsiaTheme="minorEastAsia"/>
          <w:kern w:val="0"/>
          <w:sz w:val="24"/>
          <w:szCs w:val="22"/>
          <w:lang w:val="en-GB"/>
        </w:rPr>
        <w:t xml:space="preserve"> engagement </w:t>
      </w:r>
      <w:r w:rsidR="00DA09B0">
        <w:rPr>
          <w:rFonts w:eastAsiaTheme="minorEastAsia"/>
          <w:kern w:val="0"/>
          <w:sz w:val="24"/>
          <w:szCs w:val="22"/>
          <w:lang w:val="en-GB"/>
        </w:rPr>
        <w:t>event</w:t>
      </w:r>
      <w:r w:rsidR="00891146">
        <w:rPr>
          <w:rFonts w:eastAsiaTheme="minorEastAsia"/>
          <w:kern w:val="0"/>
          <w:sz w:val="24"/>
          <w:szCs w:val="22"/>
          <w:lang w:val="en-GB"/>
        </w:rPr>
        <w:t>s</w:t>
      </w:r>
      <w:r w:rsidR="00DA09B0">
        <w:rPr>
          <w:rFonts w:eastAsiaTheme="minorEastAsia"/>
          <w:kern w:val="0"/>
          <w:sz w:val="24"/>
          <w:szCs w:val="22"/>
          <w:lang w:val="en-GB"/>
        </w:rPr>
        <w:t xml:space="preserve"> </w:t>
      </w:r>
      <w:r w:rsidR="004F5B57">
        <w:rPr>
          <w:rFonts w:eastAsiaTheme="minorEastAsia"/>
          <w:kern w:val="0"/>
          <w:sz w:val="24"/>
          <w:szCs w:val="22"/>
          <w:lang w:val="en-GB"/>
        </w:rPr>
        <w:t xml:space="preserve">should be organised </w:t>
      </w:r>
      <w:r w:rsidR="00A5520F">
        <w:rPr>
          <w:rFonts w:eastAsiaTheme="minorEastAsia"/>
          <w:kern w:val="0"/>
          <w:sz w:val="24"/>
          <w:szCs w:val="22"/>
          <w:lang w:val="en-GB"/>
        </w:rPr>
        <w:t>for</w:t>
      </w:r>
      <w:r w:rsidR="000A2206">
        <w:rPr>
          <w:rFonts w:eastAsiaTheme="minorEastAsia"/>
          <w:kern w:val="0"/>
          <w:sz w:val="24"/>
          <w:szCs w:val="22"/>
          <w:lang w:val="en-GB"/>
        </w:rPr>
        <w:t xml:space="preserve"> </w:t>
      </w:r>
      <w:r w:rsidR="00A5520F">
        <w:rPr>
          <w:rFonts w:eastAsiaTheme="minorEastAsia"/>
          <w:kern w:val="0"/>
          <w:sz w:val="24"/>
          <w:szCs w:val="22"/>
          <w:lang w:val="en-GB"/>
        </w:rPr>
        <w:t>stakeholders to exchange their opinions</w:t>
      </w:r>
      <w:r w:rsidR="00DC41E0">
        <w:rPr>
          <w:rFonts w:eastAsiaTheme="minorEastAsia"/>
          <w:kern w:val="0"/>
          <w:sz w:val="24"/>
          <w:szCs w:val="22"/>
          <w:lang w:val="en-GB"/>
        </w:rPr>
        <w:t xml:space="preserve"> and</w:t>
      </w:r>
      <w:r w:rsidR="00A5520F">
        <w:rPr>
          <w:rFonts w:eastAsiaTheme="minorEastAsia"/>
          <w:kern w:val="0"/>
          <w:sz w:val="24"/>
          <w:szCs w:val="22"/>
          <w:lang w:val="en-GB"/>
        </w:rPr>
        <w:t xml:space="preserve"> </w:t>
      </w:r>
      <w:r w:rsidR="003D26E7">
        <w:rPr>
          <w:rFonts w:eastAsiaTheme="minorEastAsia"/>
          <w:kern w:val="0"/>
          <w:sz w:val="24"/>
          <w:szCs w:val="22"/>
          <w:lang w:val="en-GB"/>
        </w:rPr>
        <w:t>express their concerns</w:t>
      </w:r>
      <w:r w:rsidR="00881C58">
        <w:rPr>
          <w:rFonts w:eastAsiaTheme="minorEastAsia"/>
          <w:kern w:val="0"/>
          <w:sz w:val="24"/>
          <w:szCs w:val="22"/>
          <w:lang w:val="en-GB"/>
        </w:rPr>
        <w:t xml:space="preserve">. </w:t>
      </w:r>
      <w:r w:rsidR="00A2784B">
        <w:rPr>
          <w:rFonts w:eastAsiaTheme="minorEastAsia"/>
          <w:kern w:val="0"/>
          <w:sz w:val="24"/>
          <w:szCs w:val="22"/>
          <w:lang w:val="en-GB"/>
        </w:rPr>
        <w:t xml:space="preserve">Relying on such </w:t>
      </w:r>
      <w:r w:rsidR="00891146">
        <w:rPr>
          <w:rFonts w:eastAsiaTheme="minorEastAsia"/>
          <w:kern w:val="0"/>
          <w:sz w:val="24"/>
          <w:szCs w:val="22"/>
          <w:lang w:val="en-GB"/>
        </w:rPr>
        <w:t xml:space="preserve">an </w:t>
      </w:r>
      <w:r w:rsidR="00A2784B">
        <w:rPr>
          <w:rFonts w:eastAsiaTheme="minorEastAsia"/>
          <w:kern w:val="0"/>
          <w:sz w:val="24"/>
          <w:szCs w:val="22"/>
          <w:lang w:val="en-GB"/>
        </w:rPr>
        <w:t>approach</w:t>
      </w:r>
      <w:r w:rsidR="00881C58">
        <w:rPr>
          <w:rFonts w:eastAsiaTheme="minorEastAsia"/>
          <w:kern w:val="0"/>
          <w:sz w:val="24"/>
          <w:szCs w:val="22"/>
          <w:lang w:val="en-GB"/>
        </w:rPr>
        <w:t>, UCC project</w:t>
      </w:r>
      <w:r w:rsidR="00074342">
        <w:rPr>
          <w:rFonts w:eastAsiaTheme="minorEastAsia"/>
          <w:kern w:val="0"/>
          <w:sz w:val="24"/>
          <w:szCs w:val="22"/>
          <w:lang w:val="en-GB"/>
        </w:rPr>
        <w:t>s</w:t>
      </w:r>
      <w:r w:rsidR="00881C58">
        <w:rPr>
          <w:rFonts w:eastAsiaTheme="minorEastAsia"/>
          <w:kern w:val="0"/>
          <w:sz w:val="24"/>
          <w:szCs w:val="22"/>
          <w:lang w:val="en-GB"/>
        </w:rPr>
        <w:t xml:space="preserve"> can be </w:t>
      </w:r>
      <w:r w:rsidR="00B844B9">
        <w:rPr>
          <w:rFonts w:eastAsiaTheme="minorEastAsia"/>
          <w:kern w:val="0"/>
          <w:sz w:val="24"/>
          <w:szCs w:val="22"/>
          <w:lang w:val="en-GB"/>
        </w:rPr>
        <w:t xml:space="preserve">well </w:t>
      </w:r>
      <w:r w:rsidR="00881C58">
        <w:rPr>
          <w:rFonts w:eastAsiaTheme="minorEastAsia"/>
          <w:kern w:val="0"/>
          <w:sz w:val="24"/>
          <w:szCs w:val="22"/>
          <w:lang w:val="en-GB"/>
        </w:rPr>
        <w:t xml:space="preserve">configured to </w:t>
      </w:r>
      <w:r w:rsidR="001431BE" w:rsidRPr="001431BE">
        <w:rPr>
          <w:rFonts w:eastAsiaTheme="minorEastAsia"/>
          <w:kern w:val="0"/>
          <w:sz w:val="24"/>
          <w:szCs w:val="22"/>
          <w:lang w:val="en-GB"/>
        </w:rPr>
        <w:t>contemplate</w:t>
      </w:r>
      <w:r w:rsidR="00881C58">
        <w:rPr>
          <w:rFonts w:eastAsiaTheme="minorEastAsia"/>
          <w:kern w:val="0"/>
          <w:sz w:val="24"/>
          <w:szCs w:val="22"/>
          <w:lang w:val="en-GB"/>
        </w:rPr>
        <w:t xml:space="preserve"> the </w:t>
      </w:r>
      <w:r w:rsidR="00032166">
        <w:rPr>
          <w:rFonts w:eastAsiaTheme="minorEastAsia"/>
          <w:kern w:val="0"/>
          <w:sz w:val="24"/>
          <w:szCs w:val="22"/>
          <w:lang w:val="en-GB"/>
        </w:rPr>
        <w:t>commercial</w:t>
      </w:r>
      <w:r w:rsidR="00881C58">
        <w:rPr>
          <w:rFonts w:eastAsiaTheme="minorEastAsia"/>
          <w:kern w:val="0"/>
          <w:sz w:val="24"/>
          <w:szCs w:val="22"/>
          <w:lang w:val="en-GB"/>
        </w:rPr>
        <w:t xml:space="preserve"> interest</w:t>
      </w:r>
      <w:r w:rsidR="00074342">
        <w:rPr>
          <w:rFonts w:eastAsiaTheme="minorEastAsia"/>
          <w:kern w:val="0"/>
          <w:sz w:val="24"/>
          <w:szCs w:val="22"/>
          <w:lang w:val="en-GB"/>
        </w:rPr>
        <w:t>s</w:t>
      </w:r>
      <w:r w:rsidR="00881C58">
        <w:rPr>
          <w:rFonts w:eastAsiaTheme="minorEastAsia"/>
          <w:kern w:val="0"/>
          <w:sz w:val="24"/>
          <w:szCs w:val="22"/>
          <w:lang w:val="en-GB"/>
        </w:rPr>
        <w:t xml:space="preserve"> of the stakeholders</w:t>
      </w:r>
      <w:r w:rsidR="002516A7">
        <w:rPr>
          <w:rFonts w:eastAsiaTheme="minorEastAsia"/>
          <w:kern w:val="0"/>
          <w:sz w:val="24"/>
          <w:szCs w:val="22"/>
          <w:lang w:val="en-GB"/>
        </w:rPr>
        <w:t>.</w:t>
      </w:r>
      <w:r w:rsidR="00881C58">
        <w:rPr>
          <w:rFonts w:eastAsiaTheme="minorEastAsia"/>
          <w:kern w:val="0"/>
          <w:sz w:val="24"/>
          <w:szCs w:val="22"/>
          <w:lang w:val="en-GB"/>
        </w:rPr>
        <w:t xml:space="preserve"> </w:t>
      </w:r>
      <w:r w:rsidR="002516A7">
        <w:rPr>
          <w:rFonts w:eastAsiaTheme="minorEastAsia"/>
          <w:kern w:val="0"/>
          <w:sz w:val="24"/>
          <w:szCs w:val="22"/>
          <w:lang w:val="en-GB"/>
        </w:rPr>
        <w:t>T</w:t>
      </w:r>
      <w:r w:rsidR="00614885">
        <w:rPr>
          <w:rFonts w:eastAsiaTheme="minorEastAsia"/>
          <w:kern w:val="0"/>
          <w:sz w:val="24"/>
          <w:szCs w:val="22"/>
          <w:lang w:val="en-GB"/>
        </w:rPr>
        <w:t xml:space="preserve">hereby </w:t>
      </w:r>
      <w:r w:rsidR="003B6425">
        <w:rPr>
          <w:rFonts w:eastAsiaTheme="minorEastAsia"/>
          <w:kern w:val="0"/>
          <w:sz w:val="24"/>
          <w:szCs w:val="22"/>
          <w:lang w:val="en-GB"/>
        </w:rPr>
        <w:t>these stakeholders</w:t>
      </w:r>
      <w:r w:rsidR="00614885">
        <w:rPr>
          <w:rFonts w:eastAsiaTheme="minorEastAsia"/>
          <w:kern w:val="0"/>
          <w:sz w:val="24"/>
          <w:szCs w:val="22"/>
          <w:lang w:val="en-GB"/>
        </w:rPr>
        <w:t xml:space="preserve"> can support the sustainability of UCC</w:t>
      </w:r>
      <w:r w:rsidR="00584D01">
        <w:rPr>
          <w:rFonts w:eastAsiaTheme="minorEastAsia"/>
          <w:kern w:val="0"/>
          <w:sz w:val="24"/>
          <w:szCs w:val="22"/>
          <w:lang w:val="en-GB"/>
        </w:rPr>
        <w:t>s</w:t>
      </w:r>
      <w:r w:rsidR="00614885">
        <w:rPr>
          <w:rFonts w:eastAsiaTheme="minorEastAsia"/>
          <w:kern w:val="0"/>
          <w:sz w:val="24"/>
          <w:szCs w:val="22"/>
          <w:lang w:val="en-GB"/>
        </w:rPr>
        <w:t xml:space="preserve"> together.</w:t>
      </w:r>
      <w:r w:rsidR="00834E1C">
        <w:rPr>
          <w:rFonts w:eastAsiaTheme="minorEastAsia"/>
          <w:kern w:val="0"/>
          <w:sz w:val="24"/>
          <w:szCs w:val="22"/>
          <w:lang w:val="en-GB"/>
        </w:rPr>
        <w:t xml:space="preserve"> </w:t>
      </w:r>
      <w:r w:rsidR="00834E1C" w:rsidRPr="00834E1C">
        <w:rPr>
          <w:rFonts w:eastAsiaTheme="minorEastAsia"/>
          <w:kern w:val="0"/>
          <w:sz w:val="24"/>
          <w:szCs w:val="22"/>
          <w:lang w:val="en-GB"/>
        </w:rPr>
        <w:t>As the outcome of stakeholders engagement</w:t>
      </w:r>
      <w:r w:rsidR="00377CF5" w:rsidRPr="00834E1C">
        <w:rPr>
          <w:rFonts w:eastAsiaTheme="minorEastAsia"/>
          <w:kern w:val="0"/>
          <w:sz w:val="24"/>
          <w:szCs w:val="22"/>
          <w:lang w:val="en-GB"/>
        </w:rPr>
        <w:t>, stakeholders can agree upon how they will</w:t>
      </w:r>
      <w:r w:rsidR="00834E1C" w:rsidRPr="00834E1C">
        <w:rPr>
          <w:rFonts w:eastAsiaTheme="minorEastAsia"/>
          <w:kern w:val="0"/>
          <w:sz w:val="24"/>
          <w:szCs w:val="22"/>
          <w:lang w:val="en-GB"/>
        </w:rPr>
        <w:t xml:space="preserve"> </w:t>
      </w:r>
      <w:r w:rsidR="00377CF5" w:rsidRPr="00834E1C">
        <w:rPr>
          <w:rFonts w:eastAsiaTheme="minorEastAsia"/>
          <w:kern w:val="0"/>
          <w:sz w:val="24"/>
          <w:szCs w:val="22"/>
          <w:lang w:val="en-GB"/>
        </w:rPr>
        <w:t>initiate UCCs, share cost</w:t>
      </w:r>
      <w:r w:rsidR="007B5354">
        <w:rPr>
          <w:rFonts w:eastAsiaTheme="minorEastAsia"/>
          <w:kern w:val="0"/>
          <w:sz w:val="24"/>
          <w:szCs w:val="22"/>
          <w:lang w:val="en-GB"/>
        </w:rPr>
        <w:t>s</w:t>
      </w:r>
      <w:r w:rsidR="00377CF5" w:rsidRPr="00834E1C">
        <w:rPr>
          <w:rFonts w:eastAsiaTheme="minorEastAsia"/>
          <w:kern w:val="0"/>
          <w:sz w:val="24"/>
          <w:szCs w:val="22"/>
          <w:lang w:val="en-GB"/>
        </w:rPr>
        <w:t xml:space="preserve"> and risk and develop ideas concerning what other policies and initiatives</w:t>
      </w:r>
      <w:r w:rsidR="00834E1C" w:rsidRPr="00834E1C">
        <w:rPr>
          <w:rFonts w:eastAsiaTheme="minorEastAsia"/>
          <w:kern w:val="0"/>
          <w:sz w:val="24"/>
          <w:szCs w:val="22"/>
          <w:lang w:val="en-GB"/>
        </w:rPr>
        <w:t xml:space="preserve"> </w:t>
      </w:r>
      <w:r w:rsidR="00377CF5" w:rsidRPr="00834E1C">
        <w:rPr>
          <w:rFonts w:eastAsiaTheme="minorEastAsia"/>
          <w:kern w:val="0"/>
          <w:sz w:val="24"/>
          <w:szCs w:val="22"/>
          <w:lang w:val="en-GB"/>
        </w:rPr>
        <w:t>they need</w:t>
      </w:r>
      <w:r w:rsidR="007B5354">
        <w:rPr>
          <w:rFonts w:eastAsiaTheme="minorEastAsia"/>
          <w:kern w:val="0"/>
          <w:sz w:val="24"/>
          <w:szCs w:val="22"/>
          <w:lang w:val="en-GB"/>
        </w:rPr>
        <w:t xml:space="preserve"> in place in order</w:t>
      </w:r>
      <w:r w:rsidR="00377CF5" w:rsidRPr="00834E1C">
        <w:rPr>
          <w:rFonts w:eastAsiaTheme="minorEastAsia"/>
          <w:kern w:val="0"/>
          <w:sz w:val="24"/>
          <w:szCs w:val="22"/>
          <w:lang w:val="en-GB"/>
        </w:rPr>
        <w:t xml:space="preserve"> to increase the effectiveness of UCCs</w:t>
      </w:r>
      <w:r w:rsidR="00EB42C2">
        <w:rPr>
          <w:rFonts w:eastAsiaTheme="minorEastAsia"/>
          <w:kern w:val="0"/>
          <w:sz w:val="24"/>
          <w:szCs w:val="22"/>
          <w:lang w:val="en-GB"/>
        </w:rPr>
        <w:t xml:space="preserve"> </w:t>
      </w:r>
      <w:r w:rsidR="000A1977">
        <w:rPr>
          <w:rFonts w:eastAsiaTheme="minorEastAsia"/>
          <w:kern w:val="0"/>
          <w:sz w:val="24"/>
          <w:szCs w:val="22"/>
          <w:lang w:val="en-GB"/>
        </w:rPr>
        <w:fldChar w:fldCharType="begin"/>
      </w:r>
      <w:r w:rsidR="00647E79">
        <w:rPr>
          <w:rFonts w:eastAsiaTheme="minorEastAsia"/>
          <w:kern w:val="0"/>
          <w:sz w:val="24"/>
          <w:szCs w:val="22"/>
          <w:lang w:val="en-GB"/>
        </w:rPr>
        <w:instrText xml:space="preserve"> ADDIN EN.CITE &lt;EndNote&gt;&lt;Cite&gt;&lt;Author&gt;Akgün&lt;/Author&gt;&lt;Year&gt;2019&lt;/Year&gt;&lt;RecNum&gt;253&lt;/RecNum&gt;&lt;DisplayText&gt;(Akgün et al., 2019a)&lt;/DisplayText&gt;&lt;record&gt;&lt;rec-number&gt;253&lt;/rec-number&gt;&lt;foreign-keys&gt;&lt;key app="EN" db-id="pzt5ep52hsedfpeext2pdfes0w0aswaewef2" timestamp="1605187998"&gt;253&lt;/key&gt;&lt;/foreign-keys&gt;&lt;ref-type name="Journal Article"&gt;17&lt;/ref-type&gt;&lt;contributors&gt;&lt;authors&gt;&lt;author&gt;Akgün, Emine Zehra&lt;/author&gt;&lt;author&gt;Monios, Jason&lt;/author&gt;&lt;author&gt;Fonzone, Achille&lt;/author&gt;&lt;/authors&gt;&lt;/contributors&gt;&lt;titles&gt;&lt;title&gt;Supporting urban consolidation centres with urban freight transport policies: a comparative study of Scotland and Sweden&lt;/title&gt;&lt;secondary-title&gt;International Journal of Logistics Research and Applications&lt;/secondary-title&gt;&lt;/titles&gt;&lt;periodical&gt;&lt;full-title&gt;International Journal of Logistics Research and Applications&lt;/full-title&gt;&lt;/periodical&gt;&lt;pages&gt;291-310&lt;/pages&gt;&lt;volume&gt;23&lt;/volume&gt;&lt;number&gt;3&lt;/number&gt;&lt;dates&gt;&lt;year&gt;2019&lt;/year&gt;&lt;pub-dates&gt;&lt;date&gt;2020/05/03&lt;/date&gt;&lt;/pub-dates&gt;&lt;/dates&gt;&lt;publisher&gt;Taylor &amp;amp; Francis&lt;/publisher&gt;&lt;isbn&gt;1367-5567&lt;/isbn&gt;&lt;urls&gt;&lt;related-urls&gt;&lt;url&gt;https://doi.org/10.1080/13675567.2019.1679743&lt;/url&gt;&lt;/related-urls&gt;&lt;/urls&gt;&lt;electronic-resource-num&gt;10.1080/13675567.2019.1679743&lt;/electronic-resource-num&gt;&lt;/record&gt;&lt;/Cite&gt;&lt;/EndNote&gt;</w:instrText>
      </w:r>
      <w:r w:rsidR="000A1977">
        <w:rPr>
          <w:rFonts w:eastAsiaTheme="minorEastAsia"/>
          <w:kern w:val="0"/>
          <w:sz w:val="24"/>
          <w:szCs w:val="22"/>
          <w:lang w:val="en-GB"/>
        </w:rPr>
        <w:fldChar w:fldCharType="separate"/>
      </w:r>
      <w:r w:rsidR="00FA6BB7">
        <w:rPr>
          <w:rFonts w:eastAsiaTheme="minorEastAsia"/>
          <w:noProof/>
          <w:kern w:val="0"/>
          <w:sz w:val="24"/>
          <w:szCs w:val="22"/>
          <w:lang w:val="en-GB"/>
        </w:rPr>
        <w:t>(Akgün et al., 2019a)</w:t>
      </w:r>
      <w:r w:rsidR="000A1977">
        <w:rPr>
          <w:rFonts w:eastAsiaTheme="minorEastAsia"/>
          <w:kern w:val="0"/>
          <w:sz w:val="24"/>
          <w:szCs w:val="22"/>
          <w:lang w:val="en-GB"/>
        </w:rPr>
        <w:fldChar w:fldCharType="end"/>
      </w:r>
      <w:r w:rsidR="00377CF5" w:rsidRPr="00834E1C">
        <w:rPr>
          <w:rFonts w:eastAsiaTheme="minorEastAsia"/>
          <w:kern w:val="0"/>
          <w:sz w:val="24"/>
          <w:szCs w:val="22"/>
          <w:lang w:val="en-GB"/>
        </w:rPr>
        <w:t>.</w:t>
      </w:r>
    </w:p>
    <w:p w14:paraId="029E163B" w14:textId="3D5B326B" w:rsidR="00C63049" w:rsidRDefault="007B5354" w:rsidP="00C63049">
      <w:pPr>
        <w:pStyle w:val="CommentText"/>
        <w:spacing w:after="240" w:line="360" w:lineRule="auto"/>
        <w:rPr>
          <w:rFonts w:eastAsiaTheme="minorEastAsia"/>
          <w:kern w:val="0"/>
          <w:sz w:val="24"/>
          <w:szCs w:val="22"/>
          <w:lang w:val="en-GB"/>
        </w:rPr>
      </w:pPr>
      <w:r>
        <w:rPr>
          <w:rFonts w:eastAsiaTheme="minorEastAsia"/>
          <w:kern w:val="0"/>
          <w:sz w:val="24"/>
          <w:szCs w:val="22"/>
          <w:lang w:val="en-GB"/>
        </w:rPr>
        <w:t xml:space="preserve">A </w:t>
      </w:r>
      <w:r w:rsidR="006053F6">
        <w:rPr>
          <w:rFonts w:eastAsiaTheme="minorEastAsia"/>
          <w:kern w:val="0"/>
          <w:sz w:val="24"/>
          <w:szCs w:val="22"/>
          <w:lang w:val="en-GB"/>
        </w:rPr>
        <w:t>m</w:t>
      </w:r>
      <w:r w:rsidR="003A58C8">
        <w:rPr>
          <w:rFonts w:eastAsiaTheme="minorEastAsia"/>
          <w:kern w:val="0"/>
          <w:sz w:val="24"/>
          <w:szCs w:val="22"/>
          <w:lang w:val="en-GB"/>
        </w:rPr>
        <w:t xml:space="preserve">eaningful stakeholders engagement should be organised to allow all stakeholders </w:t>
      </w:r>
      <w:r w:rsidR="00EB7A87">
        <w:rPr>
          <w:rFonts w:eastAsiaTheme="minorEastAsia"/>
          <w:kern w:val="0"/>
          <w:sz w:val="24"/>
          <w:szCs w:val="22"/>
          <w:lang w:val="en-GB"/>
        </w:rPr>
        <w:t xml:space="preserve">to </w:t>
      </w:r>
      <w:r w:rsidR="003A58C8">
        <w:rPr>
          <w:rFonts w:eastAsiaTheme="minorEastAsia"/>
          <w:kern w:val="0"/>
          <w:sz w:val="24"/>
          <w:szCs w:val="22"/>
          <w:lang w:val="en-GB"/>
        </w:rPr>
        <w:t>take responsibility for the sustainability of UCC</w:t>
      </w:r>
      <w:r w:rsidR="00C971CB">
        <w:rPr>
          <w:rFonts w:eastAsiaTheme="minorEastAsia"/>
          <w:kern w:val="0"/>
          <w:sz w:val="24"/>
          <w:szCs w:val="22"/>
          <w:lang w:val="en-GB"/>
        </w:rPr>
        <w:t>s</w:t>
      </w:r>
      <w:r w:rsidR="003A58C8">
        <w:rPr>
          <w:rFonts w:eastAsiaTheme="minorEastAsia"/>
          <w:kern w:val="0"/>
          <w:sz w:val="24"/>
          <w:szCs w:val="22"/>
          <w:lang w:val="en-GB"/>
        </w:rPr>
        <w:t>. However, l</w:t>
      </w:r>
      <w:r w:rsidR="0049364E">
        <w:rPr>
          <w:rFonts w:eastAsiaTheme="minorEastAsia"/>
          <w:kern w:val="0"/>
          <w:sz w:val="24"/>
          <w:szCs w:val="22"/>
          <w:lang w:val="en-GB"/>
        </w:rPr>
        <w:t xml:space="preserve">imited research recognises </w:t>
      </w:r>
      <w:r w:rsidR="00987999">
        <w:rPr>
          <w:rFonts w:eastAsiaTheme="minorEastAsia"/>
          <w:kern w:val="0"/>
          <w:sz w:val="24"/>
          <w:szCs w:val="22"/>
          <w:lang w:val="en-GB"/>
        </w:rPr>
        <w:t>how</w:t>
      </w:r>
      <w:r w:rsidR="0049364E">
        <w:rPr>
          <w:rFonts w:eastAsiaTheme="minorEastAsia"/>
          <w:kern w:val="0"/>
          <w:sz w:val="24"/>
          <w:szCs w:val="22"/>
          <w:lang w:val="en-GB"/>
        </w:rPr>
        <w:t xml:space="preserve"> importan</w:t>
      </w:r>
      <w:r w:rsidR="00987999">
        <w:rPr>
          <w:rFonts w:eastAsiaTheme="minorEastAsia"/>
          <w:kern w:val="0"/>
          <w:sz w:val="24"/>
          <w:szCs w:val="22"/>
          <w:lang w:val="en-GB"/>
        </w:rPr>
        <w:t xml:space="preserve">t </w:t>
      </w:r>
      <w:r w:rsidR="0049364E">
        <w:rPr>
          <w:rFonts w:eastAsiaTheme="minorEastAsia"/>
          <w:kern w:val="0"/>
          <w:sz w:val="24"/>
          <w:szCs w:val="22"/>
          <w:lang w:val="en-GB"/>
        </w:rPr>
        <w:t>the stakeholders engagement</w:t>
      </w:r>
      <w:r w:rsidR="00541B49">
        <w:rPr>
          <w:rFonts w:eastAsiaTheme="minorEastAsia"/>
          <w:kern w:val="0"/>
          <w:sz w:val="24"/>
          <w:szCs w:val="22"/>
          <w:lang w:val="en-GB"/>
        </w:rPr>
        <w:t xml:space="preserve"> is</w:t>
      </w:r>
      <w:r w:rsidR="0041248E">
        <w:rPr>
          <w:rFonts w:eastAsiaTheme="minorEastAsia"/>
          <w:kern w:val="0"/>
          <w:sz w:val="24"/>
          <w:szCs w:val="22"/>
          <w:lang w:val="en-GB"/>
        </w:rPr>
        <w:t xml:space="preserve"> </w:t>
      </w:r>
      <w:r w:rsidR="00DB1CB5">
        <w:rPr>
          <w:rFonts w:eastAsiaTheme="minorEastAsia"/>
          <w:kern w:val="0"/>
          <w:sz w:val="24"/>
          <w:szCs w:val="22"/>
          <w:lang w:val="en-GB"/>
        </w:rPr>
        <w:t>in</w:t>
      </w:r>
      <w:r w:rsidR="0049364E">
        <w:rPr>
          <w:rFonts w:eastAsiaTheme="minorEastAsia"/>
          <w:kern w:val="0"/>
          <w:sz w:val="24"/>
          <w:szCs w:val="22"/>
          <w:lang w:val="en-GB"/>
        </w:rPr>
        <w:t xml:space="preserve"> </w:t>
      </w:r>
      <w:r w:rsidR="00C553B0">
        <w:rPr>
          <w:rFonts w:eastAsiaTheme="minorEastAsia"/>
          <w:kern w:val="0"/>
          <w:sz w:val="24"/>
          <w:szCs w:val="22"/>
          <w:lang w:val="en-GB"/>
        </w:rPr>
        <w:t>construct</w:t>
      </w:r>
      <w:r w:rsidR="00987999">
        <w:rPr>
          <w:rFonts w:eastAsiaTheme="minorEastAsia"/>
          <w:kern w:val="0"/>
          <w:sz w:val="24"/>
          <w:szCs w:val="22"/>
          <w:lang w:val="en-GB"/>
        </w:rPr>
        <w:t>ing</w:t>
      </w:r>
      <w:r w:rsidR="0049364E">
        <w:rPr>
          <w:rFonts w:eastAsiaTheme="minorEastAsia"/>
          <w:kern w:val="0"/>
          <w:sz w:val="24"/>
          <w:szCs w:val="22"/>
          <w:lang w:val="en-GB"/>
        </w:rPr>
        <w:t xml:space="preserve"> a sound collaborative network between different types of stakeholders.</w:t>
      </w:r>
      <w:r w:rsidR="00987999">
        <w:rPr>
          <w:rFonts w:eastAsiaTheme="minorEastAsia"/>
          <w:kern w:val="0"/>
          <w:sz w:val="24"/>
          <w:szCs w:val="22"/>
          <w:lang w:val="en-GB"/>
        </w:rPr>
        <w:t xml:space="preserve"> </w:t>
      </w:r>
      <w:r w:rsidR="003A58C8">
        <w:rPr>
          <w:rFonts w:eastAsiaTheme="minorEastAsia"/>
          <w:kern w:val="0"/>
          <w:sz w:val="24"/>
          <w:szCs w:val="22"/>
          <w:lang w:val="en-GB"/>
        </w:rPr>
        <w:t>Furthermore</w:t>
      </w:r>
      <w:r w:rsidR="00167AAA">
        <w:rPr>
          <w:rFonts w:eastAsiaTheme="minorEastAsia"/>
          <w:kern w:val="0"/>
          <w:sz w:val="24"/>
          <w:szCs w:val="22"/>
          <w:lang w:val="en-GB"/>
        </w:rPr>
        <w:t xml:space="preserve">, </w:t>
      </w:r>
      <w:r w:rsidR="003A58C8">
        <w:rPr>
          <w:rFonts w:eastAsiaTheme="minorEastAsia"/>
          <w:kern w:val="0"/>
          <w:sz w:val="24"/>
          <w:szCs w:val="22"/>
          <w:lang w:val="en-GB"/>
        </w:rPr>
        <w:t>l</w:t>
      </w:r>
      <w:r w:rsidR="00A41A80">
        <w:rPr>
          <w:rFonts w:eastAsiaTheme="minorEastAsia"/>
          <w:kern w:val="0"/>
          <w:sz w:val="24"/>
          <w:szCs w:val="22"/>
          <w:lang w:val="en-GB"/>
        </w:rPr>
        <w:t>imited studies</w:t>
      </w:r>
      <w:r w:rsidR="00C23073">
        <w:rPr>
          <w:rFonts w:eastAsiaTheme="minorEastAsia"/>
          <w:kern w:val="0"/>
          <w:sz w:val="24"/>
          <w:szCs w:val="22"/>
          <w:lang w:val="en-GB"/>
        </w:rPr>
        <w:t xml:space="preserve"> ha</w:t>
      </w:r>
      <w:r w:rsidR="00A41A80">
        <w:rPr>
          <w:rFonts w:eastAsiaTheme="minorEastAsia"/>
          <w:kern w:val="0"/>
          <w:sz w:val="24"/>
          <w:szCs w:val="22"/>
          <w:lang w:val="en-GB"/>
        </w:rPr>
        <w:t>ve</w:t>
      </w:r>
      <w:r w:rsidR="00C23073">
        <w:rPr>
          <w:rFonts w:eastAsiaTheme="minorEastAsia"/>
          <w:kern w:val="0"/>
          <w:sz w:val="24"/>
          <w:szCs w:val="22"/>
          <w:lang w:val="en-GB"/>
        </w:rPr>
        <w:t xml:space="preserve"> discussed both the </w:t>
      </w:r>
      <w:r w:rsidR="00BD1672">
        <w:rPr>
          <w:rFonts w:eastAsiaTheme="minorEastAsia"/>
          <w:kern w:val="0"/>
          <w:sz w:val="24"/>
          <w:szCs w:val="22"/>
          <w:lang w:val="en-GB"/>
        </w:rPr>
        <w:t xml:space="preserve">process and </w:t>
      </w:r>
      <w:r w:rsidR="00C23073">
        <w:rPr>
          <w:rFonts w:eastAsiaTheme="minorEastAsia"/>
          <w:kern w:val="0"/>
          <w:sz w:val="24"/>
          <w:szCs w:val="22"/>
          <w:lang w:val="en-GB"/>
        </w:rPr>
        <w:t>outcomes</w:t>
      </w:r>
      <w:r w:rsidR="003A58C8">
        <w:rPr>
          <w:rFonts w:eastAsiaTheme="minorEastAsia"/>
          <w:kern w:val="0"/>
          <w:sz w:val="24"/>
          <w:szCs w:val="22"/>
          <w:lang w:val="en-GB"/>
        </w:rPr>
        <w:t xml:space="preserve"> of the stakeholders engagement</w:t>
      </w:r>
      <w:r w:rsidR="00C23073">
        <w:rPr>
          <w:rFonts w:eastAsiaTheme="minorEastAsia"/>
          <w:kern w:val="0"/>
          <w:sz w:val="24"/>
          <w:szCs w:val="22"/>
          <w:lang w:val="en-GB"/>
        </w:rPr>
        <w:t>.</w:t>
      </w:r>
      <w:r w:rsidR="00E21FE5">
        <w:rPr>
          <w:rFonts w:eastAsiaTheme="minorEastAsia"/>
          <w:kern w:val="0"/>
          <w:sz w:val="24"/>
          <w:szCs w:val="22"/>
          <w:lang w:val="en-GB"/>
        </w:rPr>
        <w:t xml:space="preserve"> </w:t>
      </w:r>
      <w:r w:rsidR="00A67550" w:rsidRPr="00A67550">
        <w:rPr>
          <w:rFonts w:eastAsiaTheme="minorEastAsia"/>
          <w:kern w:val="0"/>
          <w:sz w:val="24"/>
          <w:szCs w:val="22"/>
          <w:lang w:val="en-GB"/>
        </w:rPr>
        <w:t>Specifically</w:t>
      </w:r>
      <w:r w:rsidR="00E21FE5">
        <w:rPr>
          <w:rFonts w:eastAsiaTheme="minorEastAsia"/>
          <w:kern w:val="0"/>
          <w:sz w:val="24"/>
          <w:szCs w:val="22"/>
          <w:lang w:val="en-GB"/>
        </w:rPr>
        <w:t>, t</w:t>
      </w:r>
      <w:r w:rsidR="00C823C9" w:rsidRPr="004E403B">
        <w:rPr>
          <w:rFonts w:eastAsiaTheme="minorEastAsia"/>
          <w:kern w:val="0"/>
          <w:sz w:val="24"/>
          <w:szCs w:val="22"/>
          <w:lang w:val="en-GB"/>
        </w:rPr>
        <w:t>here is a lack of research examining how these collaborations are formed and which stakeholders tend to be included.</w:t>
      </w:r>
      <w:r w:rsidR="00E21FE5" w:rsidRPr="00E21FE5">
        <w:rPr>
          <w:rFonts w:eastAsiaTheme="minorEastAsia"/>
          <w:kern w:val="0"/>
          <w:sz w:val="24"/>
          <w:szCs w:val="22"/>
          <w:lang w:val="en-GB"/>
        </w:rPr>
        <w:t xml:space="preserve"> </w:t>
      </w:r>
      <w:r w:rsidR="00E21FE5">
        <w:rPr>
          <w:rFonts w:eastAsiaTheme="minorEastAsia"/>
          <w:kern w:val="0"/>
          <w:sz w:val="24"/>
          <w:szCs w:val="22"/>
          <w:lang w:val="en-GB"/>
        </w:rPr>
        <w:t>Few p</w:t>
      </w:r>
      <w:r w:rsidR="00E21FE5" w:rsidRPr="004E403B">
        <w:rPr>
          <w:rFonts w:eastAsiaTheme="minorEastAsia"/>
          <w:kern w:val="0"/>
          <w:sz w:val="24"/>
          <w:szCs w:val="22"/>
          <w:lang w:val="en-GB"/>
        </w:rPr>
        <w:t>revious studies</w:t>
      </w:r>
      <w:r w:rsidR="00E21FE5">
        <w:rPr>
          <w:rFonts w:eastAsiaTheme="minorEastAsia"/>
          <w:kern w:val="0"/>
          <w:sz w:val="24"/>
          <w:szCs w:val="22"/>
          <w:lang w:val="en-GB"/>
        </w:rPr>
        <w:t xml:space="preserve"> </w:t>
      </w:r>
      <w:r w:rsidR="00E21FE5" w:rsidRPr="004E403B">
        <w:rPr>
          <w:rFonts w:eastAsiaTheme="minorEastAsia"/>
          <w:kern w:val="0"/>
          <w:sz w:val="24"/>
          <w:szCs w:val="22"/>
          <w:lang w:val="en-GB"/>
        </w:rPr>
        <w:t xml:space="preserve">have characterised the features of these relationships between </w:t>
      </w:r>
      <w:r w:rsidR="00E21FE5">
        <w:rPr>
          <w:rFonts w:eastAsiaTheme="minorEastAsia"/>
          <w:kern w:val="0"/>
          <w:sz w:val="24"/>
          <w:szCs w:val="22"/>
          <w:lang w:val="en-GB"/>
        </w:rPr>
        <w:t xml:space="preserve">various kinds of </w:t>
      </w:r>
      <w:r w:rsidR="00E21FE5" w:rsidRPr="004E403B">
        <w:rPr>
          <w:rFonts w:eastAsiaTheme="minorEastAsia"/>
          <w:kern w:val="0"/>
          <w:sz w:val="24"/>
          <w:szCs w:val="22"/>
          <w:lang w:val="en-GB"/>
        </w:rPr>
        <w:t>stakeholders</w:t>
      </w:r>
      <w:r w:rsidR="00E21FE5">
        <w:rPr>
          <w:rFonts w:eastAsiaTheme="minorEastAsia"/>
          <w:kern w:val="0"/>
          <w:sz w:val="24"/>
          <w:szCs w:val="22"/>
          <w:lang w:val="en-GB"/>
        </w:rPr>
        <w:t xml:space="preserve">. As a result, </w:t>
      </w:r>
      <w:r w:rsidR="00A24B55">
        <w:rPr>
          <w:rFonts w:eastAsiaTheme="minorEastAsia"/>
          <w:kern w:val="0"/>
          <w:sz w:val="24"/>
          <w:szCs w:val="22"/>
          <w:lang w:val="en-GB"/>
        </w:rPr>
        <w:t>t</w:t>
      </w:r>
      <w:r w:rsidR="00E21FE5" w:rsidRPr="004E403B">
        <w:rPr>
          <w:rFonts w:eastAsiaTheme="minorEastAsia"/>
          <w:kern w:val="0"/>
          <w:sz w:val="24"/>
          <w:szCs w:val="22"/>
          <w:lang w:val="en-GB"/>
        </w:rPr>
        <w:t xml:space="preserve">here is </w:t>
      </w:r>
      <w:r w:rsidR="000704DE">
        <w:rPr>
          <w:rFonts w:eastAsiaTheme="minorEastAsia"/>
          <w:kern w:val="0"/>
          <w:sz w:val="24"/>
          <w:szCs w:val="22"/>
          <w:lang w:val="en-GB"/>
        </w:rPr>
        <w:t xml:space="preserve">an </w:t>
      </w:r>
      <w:r w:rsidR="00E21FE5" w:rsidRPr="004E403B">
        <w:rPr>
          <w:rFonts w:eastAsiaTheme="minorEastAsia"/>
          <w:kern w:val="0"/>
          <w:sz w:val="24"/>
          <w:szCs w:val="22"/>
          <w:lang w:val="en-GB"/>
        </w:rPr>
        <w:t>insufficient elaboration of the variation in stakeholders’ targets, interests, costs, and rewards.</w:t>
      </w:r>
      <w:r w:rsidR="00FA59CC">
        <w:rPr>
          <w:rFonts w:eastAsiaTheme="minorEastAsia"/>
          <w:kern w:val="0"/>
          <w:sz w:val="24"/>
          <w:szCs w:val="22"/>
          <w:lang w:val="en-GB"/>
        </w:rPr>
        <w:t xml:space="preserve"> </w:t>
      </w:r>
      <w:r w:rsidR="003A58C8">
        <w:rPr>
          <w:rFonts w:eastAsiaTheme="minorEastAsia"/>
          <w:kern w:val="0"/>
          <w:sz w:val="24"/>
          <w:szCs w:val="22"/>
          <w:lang w:val="en-GB"/>
        </w:rPr>
        <w:t xml:space="preserve">Although </w:t>
      </w:r>
      <w:r w:rsidR="00C823C9" w:rsidRPr="004E403B">
        <w:rPr>
          <w:rFonts w:eastAsiaTheme="minorEastAsia"/>
          <w:kern w:val="0"/>
          <w:sz w:val="24"/>
          <w:szCs w:val="22"/>
          <w:lang w:val="en-GB"/>
        </w:rPr>
        <w:t xml:space="preserve">stakeholder </w:t>
      </w:r>
      <w:r w:rsidR="00273861">
        <w:rPr>
          <w:rFonts w:eastAsiaTheme="minorEastAsia"/>
          <w:kern w:val="0"/>
          <w:sz w:val="24"/>
          <w:szCs w:val="22"/>
          <w:lang w:val="en-GB"/>
        </w:rPr>
        <w:t xml:space="preserve">conflicts are noted </w:t>
      </w:r>
      <w:r w:rsidR="00A31331">
        <w:rPr>
          <w:rFonts w:eastAsiaTheme="minorEastAsia"/>
          <w:kern w:val="0"/>
          <w:sz w:val="24"/>
          <w:szCs w:val="22"/>
          <w:lang w:val="en-GB"/>
        </w:rPr>
        <w:t>by many studies</w:t>
      </w:r>
      <w:r w:rsidR="003A58C8">
        <w:rPr>
          <w:rFonts w:eastAsiaTheme="minorEastAsia"/>
          <w:kern w:val="0"/>
          <w:sz w:val="24"/>
          <w:szCs w:val="22"/>
          <w:lang w:val="en-GB"/>
        </w:rPr>
        <w:t xml:space="preserve">, </w:t>
      </w:r>
      <w:r w:rsidR="00C63049">
        <w:rPr>
          <w:rFonts w:eastAsiaTheme="minorEastAsia"/>
          <w:kern w:val="0"/>
          <w:sz w:val="24"/>
          <w:szCs w:val="22"/>
          <w:lang w:val="en-GB"/>
        </w:rPr>
        <w:t>t</w:t>
      </w:r>
      <w:r w:rsidR="00C823C9" w:rsidRPr="004E403B">
        <w:rPr>
          <w:rFonts w:eastAsiaTheme="minorEastAsia"/>
          <w:kern w:val="0"/>
          <w:sz w:val="24"/>
          <w:szCs w:val="22"/>
          <w:lang w:val="en-GB"/>
        </w:rPr>
        <w:t xml:space="preserve">he features of these conflicts are rarely captured, nor </w:t>
      </w:r>
      <w:r w:rsidR="00F1002A">
        <w:rPr>
          <w:rFonts w:eastAsiaTheme="minorEastAsia"/>
          <w:kern w:val="0"/>
          <w:sz w:val="24"/>
          <w:szCs w:val="22"/>
          <w:lang w:val="en-GB"/>
        </w:rPr>
        <w:t xml:space="preserve">are </w:t>
      </w:r>
      <w:r w:rsidR="00C823C9" w:rsidRPr="004E403B">
        <w:rPr>
          <w:rFonts w:eastAsiaTheme="minorEastAsia"/>
          <w:kern w:val="0"/>
          <w:sz w:val="24"/>
          <w:szCs w:val="22"/>
          <w:lang w:val="en-GB"/>
        </w:rPr>
        <w:t>the reasons for the emergence of the conflicts</w:t>
      </w:r>
      <w:r w:rsidR="00414FF2">
        <w:rPr>
          <w:rFonts w:eastAsiaTheme="minorEastAsia"/>
          <w:kern w:val="0"/>
          <w:sz w:val="24"/>
          <w:szCs w:val="22"/>
          <w:lang w:val="en-GB"/>
        </w:rPr>
        <w:t xml:space="preserve"> are </w:t>
      </w:r>
      <w:r w:rsidR="00115E13">
        <w:rPr>
          <w:rFonts w:eastAsiaTheme="minorEastAsia" w:hint="eastAsia"/>
          <w:kern w:val="0"/>
          <w:sz w:val="24"/>
          <w:szCs w:val="22"/>
          <w:lang w:val="en-GB"/>
        </w:rPr>
        <w:t>exposed</w:t>
      </w:r>
      <w:r w:rsidR="00C823C9" w:rsidRPr="004E403B">
        <w:rPr>
          <w:rFonts w:eastAsiaTheme="minorEastAsia"/>
          <w:kern w:val="0"/>
          <w:sz w:val="24"/>
          <w:szCs w:val="22"/>
          <w:lang w:val="en-GB"/>
        </w:rPr>
        <w:t xml:space="preserve">. </w:t>
      </w:r>
      <w:r w:rsidR="001A1549" w:rsidRPr="004E403B">
        <w:rPr>
          <w:rFonts w:eastAsiaTheme="minorEastAsia"/>
          <w:kern w:val="0"/>
          <w:sz w:val="24"/>
          <w:szCs w:val="22"/>
          <w:lang w:val="en-GB"/>
        </w:rPr>
        <w:t>In addition, few studies measure the differences in stakeholder preferences to indicate the diversification of different stakeholders’ opinion</w:t>
      </w:r>
      <w:r w:rsidR="00F1002A">
        <w:rPr>
          <w:rFonts w:eastAsiaTheme="minorEastAsia"/>
          <w:kern w:val="0"/>
          <w:sz w:val="24"/>
          <w:szCs w:val="22"/>
          <w:lang w:val="en-GB"/>
        </w:rPr>
        <w:t>s</w:t>
      </w:r>
      <w:r w:rsidR="001A1549" w:rsidRPr="004E403B">
        <w:rPr>
          <w:rFonts w:eastAsiaTheme="minorEastAsia"/>
          <w:kern w:val="0"/>
          <w:sz w:val="24"/>
          <w:szCs w:val="22"/>
          <w:lang w:val="en-GB"/>
        </w:rPr>
        <w:t xml:space="preserve">.  </w:t>
      </w:r>
    </w:p>
    <w:p w14:paraId="3D1B7EF0" w14:textId="2B7BA8B7" w:rsidR="004F2D78" w:rsidRDefault="00376674" w:rsidP="00C63049">
      <w:pPr>
        <w:pStyle w:val="CommentText"/>
        <w:spacing w:after="240" w:line="360" w:lineRule="auto"/>
        <w:rPr>
          <w:rFonts w:eastAsiaTheme="minorEastAsia"/>
          <w:kern w:val="0"/>
          <w:sz w:val="24"/>
          <w:szCs w:val="22"/>
          <w:lang w:val="en-GB"/>
        </w:rPr>
      </w:pPr>
      <w:r w:rsidRPr="00C63049">
        <w:rPr>
          <w:rFonts w:eastAsiaTheme="minorEastAsia"/>
          <w:kern w:val="0"/>
          <w:sz w:val="24"/>
          <w:szCs w:val="22"/>
          <w:lang w:val="en-GB"/>
        </w:rPr>
        <w:t>Financial issues have been highlighted in some research. Many studies emphasise the large initial investments in a UCC</w:t>
      </w:r>
      <w:r w:rsidR="00872E67">
        <w:rPr>
          <w:rFonts w:eastAsiaTheme="minorEastAsia"/>
          <w:kern w:val="0"/>
          <w:sz w:val="24"/>
          <w:szCs w:val="22"/>
          <w:lang w:val="en-GB"/>
        </w:rPr>
        <w:t xml:space="preserve"> </w:t>
      </w:r>
      <w:r w:rsidRPr="00C63049">
        <w:rPr>
          <w:rFonts w:eastAsiaTheme="minorEastAsia"/>
          <w:kern w:val="0"/>
          <w:sz w:val="24"/>
          <w:szCs w:val="22"/>
          <w:lang w:val="en-GB"/>
        </w:rPr>
        <w:t xml:space="preserve">and the extra operational costs generated in the supply chain. Although some articles have classified these expenditures, few studies have sketched the cost </w:t>
      </w:r>
      <w:r w:rsidRPr="00C63049">
        <w:rPr>
          <w:rFonts w:eastAsiaTheme="minorEastAsia"/>
          <w:kern w:val="0"/>
          <w:sz w:val="24"/>
          <w:szCs w:val="22"/>
          <w:lang w:val="en-GB"/>
        </w:rPr>
        <w:lastRenderedPageBreak/>
        <w:t xml:space="preserve">components related to different logistics activities. Current cost analyses are normally based on in-operating cases, with limited research assessing financial feasibility during the planning stage through accurate cost estimation. </w:t>
      </w:r>
    </w:p>
    <w:p w14:paraId="25306EE8" w14:textId="77777777" w:rsidR="00B9392C" w:rsidRDefault="00376674" w:rsidP="007F2A9F">
      <w:pPr>
        <w:pStyle w:val="CommentText"/>
        <w:spacing w:after="240" w:line="360" w:lineRule="auto"/>
        <w:rPr>
          <w:rFonts w:eastAsiaTheme="minorEastAsia"/>
          <w:kern w:val="0"/>
          <w:sz w:val="24"/>
          <w:szCs w:val="24"/>
          <w:lang w:val="en-GB"/>
        </w:rPr>
      </w:pPr>
      <w:r w:rsidRPr="007241E4">
        <w:rPr>
          <w:rFonts w:eastAsiaTheme="minorEastAsia"/>
          <w:kern w:val="0"/>
          <w:sz w:val="24"/>
          <w:szCs w:val="24"/>
          <w:lang w:val="en-GB"/>
        </w:rPr>
        <w:t xml:space="preserve">On the other hand, current academic research does not shed light on the financial issues caused by a lack of users. When </w:t>
      </w:r>
      <w:r w:rsidR="008C2E1F" w:rsidRPr="007241E4">
        <w:rPr>
          <w:rFonts w:eastAsiaTheme="minorEastAsia"/>
          <w:kern w:val="0"/>
          <w:sz w:val="24"/>
          <w:szCs w:val="24"/>
          <w:lang w:val="en-GB"/>
        </w:rPr>
        <w:t>this issue happens</w:t>
      </w:r>
      <w:r w:rsidR="00AE0B6D" w:rsidRPr="007241E4">
        <w:rPr>
          <w:rFonts w:eastAsiaTheme="minorEastAsia"/>
          <w:kern w:val="0"/>
          <w:sz w:val="24"/>
          <w:szCs w:val="24"/>
          <w:lang w:val="en-GB"/>
        </w:rPr>
        <w:t>,</w:t>
      </w:r>
      <w:r w:rsidR="008C2E1F" w:rsidRPr="007241E4">
        <w:rPr>
          <w:rFonts w:eastAsiaTheme="minorEastAsia"/>
          <w:kern w:val="0"/>
          <w:sz w:val="24"/>
          <w:szCs w:val="24"/>
          <w:lang w:val="en-GB"/>
        </w:rPr>
        <w:t xml:space="preserve"> and </w:t>
      </w:r>
      <w:r w:rsidR="00B60E6A" w:rsidRPr="007241E4">
        <w:rPr>
          <w:rFonts w:eastAsiaTheme="minorEastAsia"/>
          <w:kern w:val="0"/>
          <w:sz w:val="24"/>
          <w:szCs w:val="24"/>
          <w:lang w:val="en-GB"/>
        </w:rPr>
        <w:t>causes</w:t>
      </w:r>
      <w:r w:rsidRPr="007241E4">
        <w:rPr>
          <w:rFonts w:eastAsiaTheme="minorEastAsia"/>
          <w:kern w:val="0"/>
          <w:sz w:val="24"/>
          <w:szCs w:val="24"/>
          <w:lang w:val="en-GB"/>
        </w:rPr>
        <w:t xml:space="preserve"> insufficient income</w:t>
      </w:r>
      <w:r w:rsidR="008C2E1F" w:rsidRPr="007241E4">
        <w:rPr>
          <w:rFonts w:eastAsiaTheme="minorEastAsia"/>
          <w:kern w:val="0"/>
          <w:sz w:val="24"/>
          <w:szCs w:val="24"/>
          <w:lang w:val="en-GB"/>
        </w:rPr>
        <w:t xml:space="preserve"> for</w:t>
      </w:r>
      <w:r w:rsidR="00AE0B6D" w:rsidRPr="007241E4">
        <w:rPr>
          <w:rFonts w:eastAsiaTheme="minorEastAsia"/>
          <w:kern w:val="0"/>
          <w:sz w:val="24"/>
          <w:szCs w:val="24"/>
          <w:lang w:val="en-GB"/>
        </w:rPr>
        <w:t xml:space="preserve"> a</w:t>
      </w:r>
      <w:r w:rsidR="008C2E1F" w:rsidRPr="007241E4">
        <w:rPr>
          <w:rFonts w:eastAsiaTheme="minorEastAsia"/>
          <w:kern w:val="0"/>
          <w:sz w:val="24"/>
          <w:szCs w:val="24"/>
          <w:lang w:val="en-GB"/>
        </w:rPr>
        <w:t xml:space="preserve"> UCC</w:t>
      </w:r>
      <w:r w:rsidRPr="007241E4">
        <w:rPr>
          <w:rFonts w:eastAsiaTheme="minorEastAsia"/>
          <w:kern w:val="0"/>
          <w:sz w:val="24"/>
          <w:szCs w:val="24"/>
          <w:lang w:val="en-GB"/>
        </w:rPr>
        <w:t xml:space="preserve">, the local authorities must cover the shortfall. </w:t>
      </w:r>
      <w:r w:rsidR="00E00910" w:rsidRPr="007241E4">
        <w:rPr>
          <w:rFonts w:eastAsiaTheme="minorEastAsia"/>
          <w:kern w:val="0"/>
          <w:sz w:val="24"/>
          <w:szCs w:val="24"/>
          <w:lang w:val="en-GB"/>
        </w:rPr>
        <w:t>As a result,</w:t>
      </w:r>
      <w:r w:rsidRPr="007241E4">
        <w:rPr>
          <w:rFonts w:eastAsiaTheme="minorEastAsia"/>
          <w:kern w:val="0"/>
          <w:sz w:val="24"/>
          <w:szCs w:val="24"/>
          <w:lang w:val="en-GB"/>
        </w:rPr>
        <w:t xml:space="preserve"> the financial burden of the local authorities</w:t>
      </w:r>
      <w:r w:rsidR="00E00910" w:rsidRPr="007241E4">
        <w:rPr>
          <w:rFonts w:eastAsiaTheme="minorEastAsia"/>
          <w:kern w:val="0"/>
          <w:sz w:val="24"/>
          <w:szCs w:val="24"/>
          <w:lang w:val="en-GB"/>
        </w:rPr>
        <w:t xml:space="preserve"> is increase</w:t>
      </w:r>
      <w:r w:rsidR="0062640A" w:rsidRPr="007241E4">
        <w:rPr>
          <w:rFonts w:eastAsiaTheme="minorEastAsia"/>
          <w:kern w:val="0"/>
          <w:sz w:val="24"/>
          <w:szCs w:val="24"/>
          <w:lang w:val="en-GB"/>
        </w:rPr>
        <w:t>d</w:t>
      </w:r>
      <w:r w:rsidR="00E00910" w:rsidRPr="007241E4">
        <w:rPr>
          <w:rFonts w:eastAsiaTheme="minorEastAsia"/>
          <w:kern w:val="0"/>
          <w:sz w:val="24"/>
          <w:szCs w:val="24"/>
          <w:lang w:val="en-GB"/>
        </w:rPr>
        <w:t>.</w:t>
      </w:r>
      <w:r w:rsidRPr="007241E4">
        <w:rPr>
          <w:rFonts w:eastAsiaTheme="minorEastAsia"/>
          <w:kern w:val="0"/>
          <w:sz w:val="24"/>
          <w:szCs w:val="24"/>
          <w:lang w:val="en-GB"/>
        </w:rPr>
        <w:t xml:space="preserve"> </w:t>
      </w:r>
      <w:r w:rsidR="00AF3897" w:rsidRPr="007241E4">
        <w:rPr>
          <w:rFonts w:eastAsiaTheme="minorEastAsia"/>
          <w:kern w:val="0"/>
          <w:sz w:val="24"/>
          <w:szCs w:val="24"/>
          <w:lang w:val="en-GB"/>
        </w:rPr>
        <w:t xml:space="preserve">Limited investigations proposed </w:t>
      </w:r>
      <w:r w:rsidR="00124250" w:rsidRPr="007241E4">
        <w:rPr>
          <w:rFonts w:eastAsiaTheme="minorEastAsia"/>
          <w:kern w:val="0"/>
          <w:sz w:val="24"/>
          <w:szCs w:val="24"/>
          <w:lang w:val="en-GB"/>
        </w:rPr>
        <w:t>solutions for UCC</w:t>
      </w:r>
      <w:r w:rsidR="00006E15" w:rsidRPr="007241E4">
        <w:rPr>
          <w:rFonts w:eastAsiaTheme="minorEastAsia"/>
          <w:kern w:val="0"/>
          <w:sz w:val="24"/>
          <w:szCs w:val="24"/>
          <w:lang w:val="en-GB"/>
        </w:rPr>
        <w:t>s</w:t>
      </w:r>
      <w:r w:rsidR="00124250" w:rsidRPr="007241E4">
        <w:rPr>
          <w:rFonts w:eastAsiaTheme="minorEastAsia"/>
          <w:kern w:val="0"/>
          <w:sz w:val="24"/>
          <w:szCs w:val="24"/>
          <w:lang w:val="en-GB"/>
        </w:rPr>
        <w:t xml:space="preserve"> to deal with such </w:t>
      </w:r>
      <w:r w:rsidR="00802AD7" w:rsidRPr="007241E4">
        <w:rPr>
          <w:rFonts w:eastAsiaTheme="minorEastAsia"/>
          <w:kern w:val="0"/>
          <w:sz w:val="24"/>
          <w:szCs w:val="24"/>
          <w:lang w:val="en-GB"/>
        </w:rPr>
        <w:t>critical</w:t>
      </w:r>
      <w:r w:rsidR="00124250" w:rsidRPr="007241E4">
        <w:rPr>
          <w:rFonts w:eastAsiaTheme="minorEastAsia"/>
          <w:kern w:val="0"/>
          <w:sz w:val="24"/>
          <w:szCs w:val="24"/>
          <w:lang w:val="en-GB"/>
        </w:rPr>
        <w:t xml:space="preserve"> circumstance</w:t>
      </w:r>
      <w:r w:rsidR="00006E15" w:rsidRPr="007241E4">
        <w:rPr>
          <w:rFonts w:eastAsiaTheme="minorEastAsia"/>
          <w:kern w:val="0"/>
          <w:sz w:val="24"/>
          <w:szCs w:val="24"/>
          <w:lang w:val="en-GB"/>
        </w:rPr>
        <w:t>s</w:t>
      </w:r>
      <w:r w:rsidR="00124250" w:rsidRPr="007241E4">
        <w:rPr>
          <w:rFonts w:eastAsiaTheme="minorEastAsia"/>
          <w:kern w:val="0"/>
          <w:sz w:val="24"/>
          <w:szCs w:val="24"/>
          <w:lang w:val="en-GB"/>
        </w:rPr>
        <w:t xml:space="preserve">. </w:t>
      </w:r>
      <w:r w:rsidR="00C21D49" w:rsidRPr="00764A13">
        <w:rPr>
          <w:rFonts w:eastAsiaTheme="minorEastAsia"/>
          <w:kern w:val="0"/>
          <w:sz w:val="24"/>
          <w:szCs w:val="24"/>
          <w:lang w:val="en-GB"/>
        </w:rPr>
        <w:t>In</w:t>
      </w:r>
      <w:r w:rsidR="00B72D89" w:rsidRPr="00764A13">
        <w:rPr>
          <w:rFonts w:eastAsiaTheme="minorEastAsia"/>
          <w:kern w:val="0"/>
          <w:sz w:val="24"/>
          <w:szCs w:val="24"/>
          <w:lang w:val="en-GB"/>
        </w:rPr>
        <w:t xml:space="preserve"> addressing such issue</w:t>
      </w:r>
      <w:r w:rsidR="00C21D49" w:rsidRPr="00764A13">
        <w:rPr>
          <w:rFonts w:eastAsiaTheme="minorEastAsia"/>
          <w:kern w:val="0"/>
          <w:sz w:val="24"/>
          <w:szCs w:val="24"/>
          <w:lang w:val="en-GB"/>
        </w:rPr>
        <w:t>s</w:t>
      </w:r>
      <w:r w:rsidR="00B72D89" w:rsidRPr="00764A13">
        <w:rPr>
          <w:rFonts w:eastAsiaTheme="minorEastAsia"/>
          <w:kern w:val="0"/>
          <w:sz w:val="24"/>
          <w:szCs w:val="24"/>
          <w:lang w:val="en-GB"/>
        </w:rPr>
        <w:t xml:space="preserve">, </w:t>
      </w:r>
      <w:r w:rsidRPr="00764A13">
        <w:rPr>
          <w:rFonts w:eastAsiaTheme="minorEastAsia"/>
          <w:kern w:val="0"/>
          <w:sz w:val="24"/>
          <w:szCs w:val="24"/>
          <w:lang w:val="en-GB"/>
        </w:rPr>
        <w:t>the key point is</w:t>
      </w:r>
      <w:r w:rsidR="003A4AB6" w:rsidRPr="00764A13">
        <w:rPr>
          <w:rFonts w:eastAsiaTheme="minorEastAsia"/>
          <w:kern w:val="0"/>
          <w:sz w:val="24"/>
          <w:szCs w:val="24"/>
          <w:lang w:val="en-GB"/>
        </w:rPr>
        <w:t xml:space="preserve"> to</w:t>
      </w:r>
      <w:r w:rsidRPr="00764A13">
        <w:rPr>
          <w:rFonts w:eastAsiaTheme="minorEastAsia"/>
          <w:kern w:val="0"/>
          <w:sz w:val="24"/>
          <w:szCs w:val="24"/>
          <w:lang w:val="en-GB"/>
        </w:rPr>
        <w:t xml:space="preserve"> </w:t>
      </w:r>
      <w:r w:rsidR="008C54EC" w:rsidRPr="00764A13">
        <w:rPr>
          <w:rFonts w:eastAsiaTheme="minorEastAsia"/>
          <w:kern w:val="0"/>
          <w:sz w:val="24"/>
          <w:szCs w:val="24"/>
          <w:lang w:val="en-GB"/>
        </w:rPr>
        <w:t>involv</w:t>
      </w:r>
      <w:r w:rsidR="003A4AB6" w:rsidRPr="00764A13">
        <w:rPr>
          <w:rFonts w:eastAsiaTheme="minorEastAsia"/>
          <w:kern w:val="0"/>
          <w:sz w:val="24"/>
          <w:szCs w:val="24"/>
          <w:lang w:val="en-GB"/>
        </w:rPr>
        <w:t>e</w:t>
      </w:r>
      <w:r w:rsidR="008C54EC" w:rsidRPr="00764A13">
        <w:rPr>
          <w:rFonts w:eastAsiaTheme="minorEastAsia"/>
          <w:kern w:val="0"/>
          <w:sz w:val="24"/>
          <w:szCs w:val="24"/>
          <w:lang w:val="en-GB"/>
        </w:rPr>
        <w:t xml:space="preserve"> more categories of stakeholders </w:t>
      </w:r>
      <w:r w:rsidRPr="00764A13">
        <w:rPr>
          <w:rFonts w:eastAsiaTheme="minorEastAsia"/>
          <w:kern w:val="0"/>
          <w:sz w:val="24"/>
          <w:szCs w:val="24"/>
          <w:lang w:val="en-GB"/>
        </w:rPr>
        <w:t>who tend to support UCC</w:t>
      </w:r>
      <w:r w:rsidR="003A4AB6" w:rsidRPr="00764A13">
        <w:rPr>
          <w:rFonts w:eastAsiaTheme="minorEastAsia"/>
          <w:kern w:val="0"/>
          <w:sz w:val="24"/>
          <w:szCs w:val="24"/>
          <w:lang w:val="en-GB"/>
        </w:rPr>
        <w:t>s</w:t>
      </w:r>
      <w:r w:rsidR="008C54EC" w:rsidRPr="00764A13">
        <w:rPr>
          <w:rFonts w:eastAsiaTheme="minorEastAsia"/>
          <w:kern w:val="0"/>
          <w:sz w:val="24"/>
          <w:szCs w:val="24"/>
          <w:lang w:val="en-GB"/>
        </w:rPr>
        <w:t>.</w:t>
      </w:r>
      <w:r w:rsidRPr="007241E4">
        <w:rPr>
          <w:rFonts w:eastAsiaTheme="minorEastAsia"/>
          <w:kern w:val="0"/>
          <w:sz w:val="24"/>
          <w:szCs w:val="24"/>
          <w:lang w:val="en-GB"/>
        </w:rPr>
        <w:t xml:space="preserve"> </w:t>
      </w:r>
      <w:r w:rsidR="002D5A7C" w:rsidRPr="007241E4">
        <w:rPr>
          <w:rFonts w:eastAsiaTheme="minorEastAsia"/>
          <w:kern w:val="0"/>
          <w:sz w:val="24"/>
          <w:szCs w:val="24"/>
          <w:lang w:val="en-GB"/>
        </w:rPr>
        <w:t>T</w:t>
      </w:r>
      <w:r w:rsidR="002D5A7C" w:rsidRPr="007241E4">
        <w:rPr>
          <w:rFonts w:eastAsiaTheme="minorEastAsia" w:hint="eastAsia"/>
          <w:kern w:val="0"/>
          <w:sz w:val="24"/>
          <w:szCs w:val="24"/>
          <w:lang w:val="en-GB"/>
        </w:rPr>
        <w:t>his</w:t>
      </w:r>
      <w:r w:rsidR="002D5A7C" w:rsidRPr="007241E4">
        <w:rPr>
          <w:rFonts w:eastAsiaTheme="minorEastAsia"/>
          <w:kern w:val="0"/>
          <w:sz w:val="24"/>
          <w:szCs w:val="24"/>
          <w:lang w:val="en-GB"/>
        </w:rPr>
        <w:t xml:space="preserve"> is because</w:t>
      </w:r>
      <w:r w:rsidR="00067310" w:rsidRPr="007241E4">
        <w:rPr>
          <w:rFonts w:eastAsiaTheme="minorEastAsia"/>
          <w:kern w:val="0"/>
          <w:sz w:val="24"/>
          <w:szCs w:val="24"/>
          <w:lang w:val="en-GB"/>
        </w:rPr>
        <w:t xml:space="preserve"> </w:t>
      </w:r>
      <w:r w:rsidR="003A4AB6" w:rsidRPr="007241E4">
        <w:rPr>
          <w:rFonts w:eastAsiaTheme="minorEastAsia"/>
          <w:kern w:val="0"/>
          <w:sz w:val="24"/>
          <w:szCs w:val="24"/>
          <w:lang w:val="en-GB"/>
        </w:rPr>
        <w:t xml:space="preserve">the </w:t>
      </w:r>
      <w:r w:rsidR="00067310" w:rsidRPr="007241E4">
        <w:rPr>
          <w:rFonts w:eastAsiaTheme="minorEastAsia"/>
          <w:kern w:val="0"/>
          <w:sz w:val="24"/>
          <w:szCs w:val="24"/>
          <w:lang w:val="en-GB"/>
        </w:rPr>
        <w:t>function</w:t>
      </w:r>
      <w:r w:rsidR="00F725BD" w:rsidRPr="007241E4">
        <w:rPr>
          <w:rFonts w:eastAsiaTheme="minorEastAsia"/>
          <w:kern w:val="0"/>
          <w:sz w:val="24"/>
          <w:szCs w:val="24"/>
          <w:lang w:val="en-GB"/>
        </w:rPr>
        <w:t xml:space="preserve"> of</w:t>
      </w:r>
      <w:r w:rsidR="008C54EC" w:rsidRPr="007241E4">
        <w:rPr>
          <w:rFonts w:eastAsiaTheme="minorEastAsia"/>
          <w:kern w:val="0"/>
          <w:sz w:val="24"/>
          <w:szCs w:val="24"/>
          <w:lang w:val="en-GB"/>
        </w:rPr>
        <w:t xml:space="preserve"> the</w:t>
      </w:r>
      <w:r w:rsidR="00F725BD" w:rsidRPr="007241E4">
        <w:rPr>
          <w:rFonts w:eastAsiaTheme="minorEastAsia"/>
          <w:kern w:val="0"/>
          <w:sz w:val="24"/>
          <w:szCs w:val="24"/>
          <w:lang w:val="en-GB"/>
        </w:rPr>
        <w:t xml:space="preserve"> UCC</w:t>
      </w:r>
      <w:r w:rsidR="00067310" w:rsidRPr="007241E4">
        <w:rPr>
          <w:rFonts w:eastAsiaTheme="minorEastAsia"/>
          <w:kern w:val="0"/>
          <w:sz w:val="24"/>
          <w:szCs w:val="24"/>
          <w:lang w:val="en-GB"/>
        </w:rPr>
        <w:t xml:space="preserve"> </w:t>
      </w:r>
      <w:r w:rsidRPr="007241E4">
        <w:rPr>
          <w:rFonts w:eastAsiaTheme="minorEastAsia"/>
          <w:kern w:val="0"/>
          <w:sz w:val="24"/>
          <w:szCs w:val="24"/>
          <w:lang w:val="en-GB"/>
        </w:rPr>
        <w:t>was due to the efficiency of the market and not just for environmental issue</w:t>
      </w:r>
      <w:r w:rsidR="0070436C" w:rsidRPr="007241E4">
        <w:rPr>
          <w:rFonts w:eastAsiaTheme="minorEastAsia"/>
          <w:kern w:val="0"/>
          <w:sz w:val="24"/>
          <w:szCs w:val="24"/>
          <w:lang w:val="en-GB"/>
        </w:rPr>
        <w:t>s</w:t>
      </w:r>
      <w:r w:rsidR="002D5A7C" w:rsidRPr="007241E4">
        <w:rPr>
          <w:rFonts w:eastAsiaTheme="minorEastAsia"/>
          <w:kern w:val="0"/>
          <w:sz w:val="24"/>
          <w:szCs w:val="24"/>
          <w:lang w:val="en-GB"/>
        </w:rPr>
        <w:t>.</w:t>
      </w:r>
      <w:r w:rsidR="0024077A" w:rsidRPr="007241E4">
        <w:rPr>
          <w:rFonts w:eastAsiaTheme="minorEastAsia"/>
          <w:kern w:val="0"/>
          <w:sz w:val="24"/>
          <w:szCs w:val="24"/>
          <w:lang w:val="en-GB"/>
        </w:rPr>
        <w:t xml:space="preserve"> </w:t>
      </w:r>
      <w:r w:rsidR="0056541D">
        <w:rPr>
          <w:rFonts w:eastAsiaTheme="minorEastAsia"/>
          <w:kern w:val="0"/>
          <w:sz w:val="24"/>
          <w:szCs w:val="24"/>
          <w:lang w:val="en-GB"/>
        </w:rPr>
        <w:t xml:space="preserve">However, </w:t>
      </w:r>
      <w:r w:rsidR="0056541D" w:rsidRPr="00764A13">
        <w:rPr>
          <w:rFonts w:eastAsiaTheme="minorEastAsia"/>
          <w:kern w:val="0"/>
          <w:sz w:val="24"/>
          <w:szCs w:val="24"/>
          <w:lang w:val="en-GB"/>
        </w:rPr>
        <w:t>current mechanisms just require individual LHCs to join UCC schemes. Therefore, UCC facilities operators, or LAs (which mainly act as sponsors of the project) need to assume the financial responsibility for UCC operations. Such mechanisms might cause low uptake rates (</w:t>
      </w:r>
      <w:proofErr w:type="gramStart"/>
      <w:r w:rsidR="0056541D" w:rsidRPr="00764A13">
        <w:rPr>
          <w:rFonts w:eastAsiaTheme="minorEastAsia"/>
          <w:kern w:val="0"/>
          <w:sz w:val="24"/>
          <w:szCs w:val="24"/>
          <w:lang w:val="en-GB"/>
        </w:rPr>
        <w:t>e.g.</w:t>
      </w:r>
      <w:proofErr w:type="gramEnd"/>
      <w:r w:rsidR="0056541D" w:rsidRPr="00764A13">
        <w:rPr>
          <w:rFonts w:eastAsiaTheme="minorEastAsia"/>
          <w:kern w:val="0"/>
          <w:sz w:val="24"/>
          <w:szCs w:val="24"/>
          <w:lang w:val="en-GB"/>
        </w:rPr>
        <w:t xml:space="preserve"> for LHCs) and exacerbate UCC financial issues </w:t>
      </w:r>
      <w:r w:rsidR="0056541D" w:rsidRPr="00764A13">
        <w:rPr>
          <w:rFonts w:eastAsiaTheme="minorEastAsia"/>
          <w:kern w:val="0"/>
          <w:sz w:val="24"/>
          <w:szCs w:val="24"/>
          <w:lang w:val="en-GB"/>
        </w:rPr>
        <w:fldChar w:fldCharType="begin">
          <w:fldData xml:space="preserve">PEVuZE5vdGU+PENpdGU+PEF1dGhvcj5CYXR0YWlhPC9BdXRob3I+PFllYXI+MjAxNDwvWWVhcj48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</w:fldData>
        </w:fldChar>
      </w:r>
      <w:r w:rsidR="0056541D" w:rsidRPr="00764A13">
        <w:rPr>
          <w:rFonts w:eastAsiaTheme="minorEastAsia"/>
          <w:kern w:val="0"/>
          <w:sz w:val="24"/>
          <w:szCs w:val="24"/>
          <w:lang w:val="en-GB"/>
        </w:rPr>
        <w:instrText xml:space="preserve"> ADDIN EN.CITE </w:instrText>
      </w:r>
      <w:r w:rsidR="0056541D" w:rsidRPr="00764A13">
        <w:rPr>
          <w:rFonts w:eastAsiaTheme="minorEastAsia"/>
          <w:kern w:val="0"/>
          <w:sz w:val="24"/>
          <w:szCs w:val="24"/>
          <w:lang w:val="en-GB"/>
        </w:rPr>
        <w:fldChar w:fldCharType="begin">
          <w:fldData xml:space="preserve">PEVuZE5vdGU+PENpdGU+PEF1dGhvcj5CYXR0YWlhPC9BdXRob3I+PFllYXI+MjAxNDwvWWVhcj48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</w:fldData>
        </w:fldChar>
      </w:r>
      <w:r w:rsidR="0056541D" w:rsidRPr="00764A13">
        <w:rPr>
          <w:rFonts w:eastAsiaTheme="minorEastAsia"/>
          <w:kern w:val="0"/>
          <w:sz w:val="24"/>
          <w:szCs w:val="24"/>
          <w:lang w:val="en-GB"/>
        </w:rPr>
        <w:instrText xml:space="preserve"> ADDIN EN.CITE.DATA </w:instrText>
      </w:r>
      <w:r w:rsidR="0056541D" w:rsidRPr="00764A13">
        <w:rPr>
          <w:rFonts w:eastAsiaTheme="minorEastAsia"/>
          <w:kern w:val="0"/>
          <w:sz w:val="24"/>
          <w:szCs w:val="24"/>
          <w:lang w:val="en-GB"/>
        </w:rPr>
      </w:r>
      <w:r w:rsidR="0056541D" w:rsidRPr="00764A13">
        <w:rPr>
          <w:rFonts w:eastAsiaTheme="minorEastAsia"/>
          <w:kern w:val="0"/>
          <w:sz w:val="24"/>
          <w:szCs w:val="24"/>
          <w:lang w:val="en-GB"/>
        </w:rPr>
        <w:fldChar w:fldCharType="end"/>
      </w:r>
      <w:r w:rsidR="0056541D" w:rsidRPr="00764A13">
        <w:rPr>
          <w:rFonts w:eastAsiaTheme="minorEastAsia"/>
          <w:kern w:val="0"/>
          <w:sz w:val="24"/>
          <w:szCs w:val="24"/>
          <w:lang w:val="en-GB"/>
        </w:rPr>
      </w:r>
      <w:r w:rsidR="0056541D" w:rsidRPr="00764A13">
        <w:rPr>
          <w:rFonts w:eastAsiaTheme="minorEastAsia"/>
          <w:kern w:val="0"/>
          <w:sz w:val="24"/>
          <w:szCs w:val="24"/>
          <w:lang w:val="en-GB"/>
        </w:rPr>
        <w:fldChar w:fldCharType="separate"/>
      </w:r>
      <w:r w:rsidR="0056541D" w:rsidRPr="00764A13">
        <w:rPr>
          <w:rFonts w:eastAsiaTheme="minorEastAsia"/>
          <w:kern w:val="0"/>
          <w:sz w:val="24"/>
          <w:szCs w:val="24"/>
          <w:lang w:val="en-GB"/>
        </w:rPr>
        <w:t>(Battaia et al., 2014)</w:t>
      </w:r>
      <w:r w:rsidR="0056541D" w:rsidRPr="00764A13">
        <w:rPr>
          <w:rFonts w:eastAsiaTheme="minorEastAsia"/>
          <w:kern w:val="0"/>
          <w:sz w:val="24"/>
          <w:szCs w:val="24"/>
          <w:lang w:val="en-GB"/>
        </w:rPr>
        <w:fldChar w:fldCharType="end"/>
      </w:r>
      <w:r w:rsidR="0056541D" w:rsidRPr="00764A13">
        <w:rPr>
          <w:rFonts w:eastAsiaTheme="minorEastAsia"/>
          <w:kern w:val="0"/>
          <w:sz w:val="24"/>
          <w:szCs w:val="24"/>
          <w:lang w:val="en-GB"/>
        </w:rPr>
        <w:t>.</w:t>
      </w:r>
      <w:r w:rsidR="00DD6FF6" w:rsidRPr="00764A13">
        <w:rPr>
          <w:rFonts w:eastAsiaTheme="minorEastAsia"/>
          <w:kern w:val="0"/>
          <w:sz w:val="24"/>
          <w:szCs w:val="24"/>
          <w:lang w:val="en-GB"/>
        </w:rPr>
        <w:t xml:space="preserve"> </w:t>
      </w:r>
      <w:r w:rsidR="00766829" w:rsidRPr="007241E4">
        <w:rPr>
          <w:rFonts w:eastAsiaTheme="minorEastAsia" w:hint="eastAsia"/>
          <w:kern w:val="0"/>
          <w:sz w:val="24"/>
          <w:szCs w:val="24"/>
          <w:lang w:val="en-GB"/>
        </w:rPr>
        <w:t>As</w:t>
      </w:r>
      <w:r w:rsidR="00766829" w:rsidRPr="007241E4">
        <w:rPr>
          <w:rFonts w:eastAsiaTheme="minorEastAsia"/>
          <w:kern w:val="0"/>
          <w:sz w:val="24"/>
          <w:szCs w:val="24"/>
          <w:lang w:val="en-GB"/>
        </w:rPr>
        <w:t xml:space="preserve"> </w:t>
      </w:r>
      <w:r w:rsidR="00766829" w:rsidRPr="007241E4">
        <w:rPr>
          <w:rFonts w:eastAsiaTheme="minorEastAsia" w:hint="eastAsia"/>
          <w:kern w:val="0"/>
          <w:sz w:val="24"/>
          <w:szCs w:val="24"/>
          <w:lang w:val="en-GB"/>
        </w:rPr>
        <w:t>t</w:t>
      </w:r>
      <w:r w:rsidR="00766829" w:rsidRPr="007241E4">
        <w:rPr>
          <w:rFonts w:eastAsiaTheme="minorEastAsia"/>
          <w:kern w:val="0"/>
          <w:sz w:val="24"/>
          <w:szCs w:val="24"/>
          <w:lang w:val="en-GB"/>
        </w:rPr>
        <w:t>he outcome of stakeholders engagement</w:t>
      </w:r>
      <w:r w:rsidR="00ED575F" w:rsidRPr="007241E4">
        <w:rPr>
          <w:rFonts w:eastAsiaTheme="minorEastAsia"/>
          <w:kern w:val="0"/>
          <w:sz w:val="24"/>
          <w:szCs w:val="24"/>
          <w:lang w:val="en-GB"/>
        </w:rPr>
        <w:t>, local authorities must formulate and implement reasonable policies</w:t>
      </w:r>
      <w:r w:rsidR="00B72D89" w:rsidRPr="007241E4">
        <w:rPr>
          <w:rFonts w:eastAsiaTheme="minorEastAsia"/>
          <w:kern w:val="0"/>
          <w:sz w:val="24"/>
          <w:szCs w:val="24"/>
          <w:lang w:val="en-GB"/>
        </w:rPr>
        <w:t xml:space="preserve"> in the payment mechanism, to </w:t>
      </w:r>
      <w:r w:rsidR="00ED575F" w:rsidRPr="007241E4">
        <w:rPr>
          <w:rFonts w:eastAsiaTheme="minorEastAsia"/>
          <w:kern w:val="0"/>
          <w:sz w:val="24"/>
          <w:szCs w:val="24"/>
          <w:lang w:val="en-GB"/>
        </w:rPr>
        <w:t xml:space="preserve">ensure </w:t>
      </w:r>
      <w:r w:rsidR="0032243F" w:rsidRPr="007241E4">
        <w:rPr>
          <w:rFonts w:eastAsiaTheme="minorEastAsia"/>
          <w:kern w:val="0"/>
          <w:sz w:val="24"/>
          <w:szCs w:val="24"/>
          <w:lang w:val="en-GB"/>
        </w:rPr>
        <w:t xml:space="preserve">the </w:t>
      </w:r>
      <w:r w:rsidR="00ED575F" w:rsidRPr="007241E4">
        <w:rPr>
          <w:rFonts w:eastAsiaTheme="minorEastAsia"/>
          <w:kern w:val="0"/>
          <w:sz w:val="24"/>
          <w:szCs w:val="24"/>
          <w:lang w:val="en-GB"/>
        </w:rPr>
        <w:t>overall sustainability</w:t>
      </w:r>
      <w:r w:rsidR="00B72D89" w:rsidRPr="007241E4">
        <w:rPr>
          <w:rFonts w:eastAsiaTheme="minorEastAsia"/>
          <w:kern w:val="0"/>
          <w:sz w:val="24"/>
          <w:szCs w:val="24"/>
          <w:lang w:val="en-GB"/>
        </w:rPr>
        <w:t xml:space="preserve"> of </w:t>
      </w:r>
      <w:r w:rsidR="0070436C" w:rsidRPr="007241E4">
        <w:rPr>
          <w:rFonts w:eastAsiaTheme="minorEastAsia"/>
          <w:kern w:val="0"/>
          <w:sz w:val="24"/>
          <w:szCs w:val="24"/>
          <w:lang w:val="en-GB"/>
        </w:rPr>
        <w:t xml:space="preserve">a </w:t>
      </w:r>
      <w:r w:rsidR="00B72D89" w:rsidRPr="007241E4">
        <w:rPr>
          <w:rFonts w:eastAsiaTheme="minorEastAsia"/>
          <w:kern w:val="0"/>
          <w:sz w:val="24"/>
          <w:szCs w:val="24"/>
          <w:lang w:val="en-GB"/>
        </w:rPr>
        <w:t>UCC</w:t>
      </w:r>
      <w:r w:rsidR="00ED575F" w:rsidRPr="007241E4">
        <w:rPr>
          <w:rFonts w:eastAsiaTheme="minorEastAsia"/>
          <w:kern w:val="0"/>
          <w:sz w:val="24"/>
          <w:szCs w:val="24"/>
          <w:lang w:val="en-GB"/>
        </w:rPr>
        <w:t xml:space="preserve">. However, no article found the theoretical foundations to support the legitimacy of the </w:t>
      </w:r>
      <w:r w:rsidR="008C54EC" w:rsidRPr="007241E4">
        <w:rPr>
          <w:rFonts w:eastAsiaTheme="minorEastAsia"/>
          <w:kern w:val="0"/>
          <w:sz w:val="24"/>
          <w:szCs w:val="24"/>
          <w:lang w:val="en-GB"/>
        </w:rPr>
        <w:t>policymaking</w:t>
      </w:r>
      <w:r w:rsidR="00ED575F" w:rsidRPr="007241E4">
        <w:rPr>
          <w:rFonts w:eastAsiaTheme="minorEastAsia"/>
          <w:kern w:val="0"/>
          <w:sz w:val="24"/>
          <w:szCs w:val="24"/>
          <w:lang w:val="en-GB"/>
        </w:rPr>
        <w:t xml:space="preserve"> </w:t>
      </w:r>
      <w:r w:rsidR="00B91AB8" w:rsidRPr="007241E4">
        <w:rPr>
          <w:rFonts w:eastAsiaTheme="minorEastAsia"/>
          <w:kern w:val="0"/>
          <w:sz w:val="24"/>
          <w:szCs w:val="24"/>
          <w:lang w:val="en-GB"/>
        </w:rPr>
        <w:t>to</w:t>
      </w:r>
      <w:r w:rsidR="00ED575F" w:rsidRPr="007241E4">
        <w:rPr>
          <w:rFonts w:eastAsiaTheme="minorEastAsia"/>
          <w:kern w:val="0"/>
          <w:sz w:val="24"/>
          <w:szCs w:val="24"/>
          <w:lang w:val="en-GB"/>
        </w:rPr>
        <w:t xml:space="preserve"> involve different stakeholders. </w:t>
      </w:r>
      <w:r w:rsidR="0071798B" w:rsidRPr="007241E4">
        <w:rPr>
          <w:rFonts w:eastAsiaTheme="minorEastAsia"/>
          <w:kern w:val="0"/>
          <w:sz w:val="24"/>
          <w:szCs w:val="24"/>
          <w:lang w:val="en-GB"/>
        </w:rPr>
        <w:t>In addition, little research has been devoted to cost-sharing models that could efficiently and fairly share the cost between stakeholders.</w:t>
      </w:r>
      <w:r w:rsidR="007F2A9F" w:rsidRPr="007241E4">
        <w:rPr>
          <w:rFonts w:eastAsiaTheme="minorEastAsia"/>
          <w:kern w:val="0"/>
          <w:sz w:val="24"/>
          <w:szCs w:val="24"/>
          <w:lang w:val="en-GB"/>
        </w:rPr>
        <w:t xml:space="preserve"> </w:t>
      </w:r>
    </w:p>
    <w:p w14:paraId="081B7806" w14:textId="42C3170E" w:rsidR="00BE2548" w:rsidRPr="00A96AC5" w:rsidRDefault="00BE2548" w:rsidP="00C63049">
      <w:pPr>
        <w:spacing w:after="240" w:line="360" w:lineRule="auto"/>
        <w:rPr>
          <w:rFonts w:cs="Times New Roman"/>
        </w:rPr>
      </w:pPr>
      <w:bookmarkStart w:id="456" w:name="_Toc490415388"/>
      <w:bookmarkStart w:id="457" w:name="_Toc490823590"/>
      <w:bookmarkStart w:id="458" w:name="_Toc490484795"/>
      <w:r w:rsidRPr="00A96AC5">
        <w:rPr>
          <w:rFonts w:cs="Times New Roman"/>
        </w:rPr>
        <w:t>Strategic decision support systems (that can also be utilised by other stakeholders in the industry), which provide some sort of scenario-planning functionality, could be useful in the strategic design phase. With this specific functionality, a decision-maker (such as a transport planner with a city council) could identify the expected financial status of the UCC by calculating the hypothetical demand for last-mile delivery services (in terms of typical incoming trucks per day and number of customers to be served, with their operating time windows). For this reason, adequate tools capable of addressing financial issues relat</w:t>
      </w:r>
      <w:r w:rsidR="0070436C">
        <w:rPr>
          <w:rFonts w:cs="Times New Roman"/>
        </w:rPr>
        <w:t>ing</w:t>
      </w:r>
      <w:r w:rsidRPr="00A96AC5">
        <w:rPr>
          <w:rFonts w:cs="Times New Roman"/>
        </w:rPr>
        <w:t xml:space="preserve"> to the investment planning phase, rather than just operational issues (concerned with the day-to-day functioning of established logistical platforms), are necessary for promoting project planning.</w:t>
      </w:r>
    </w:p>
    <w:p w14:paraId="0849B1FD" w14:textId="77777777" w:rsidR="000E1BA2" w:rsidRPr="00A96AC5" w:rsidRDefault="000E1BA2" w:rsidP="000A4E8C">
      <w:pPr>
        <w:pStyle w:val="Heading2"/>
        <w:spacing w:after="120" w:line="360" w:lineRule="auto"/>
        <w:rPr>
          <w:rFonts w:cs="Times New Roman"/>
        </w:rPr>
      </w:pPr>
      <w:bookmarkStart w:id="459" w:name="_Toc46053428"/>
      <w:bookmarkStart w:id="460" w:name="_Toc46093342"/>
      <w:bookmarkStart w:id="461" w:name="_Toc46093625"/>
      <w:bookmarkStart w:id="462" w:name="_Toc66703200"/>
      <w:bookmarkStart w:id="463" w:name="_Toc491894851"/>
      <w:bookmarkStart w:id="464" w:name="_Ref27561177"/>
      <w:bookmarkStart w:id="465" w:name="_Toc34734510"/>
      <w:r w:rsidRPr="00A96AC5">
        <w:rPr>
          <w:rFonts w:cs="Times New Roman"/>
        </w:rPr>
        <w:t>Research questions</w:t>
      </w:r>
      <w:bookmarkEnd w:id="459"/>
      <w:bookmarkEnd w:id="460"/>
      <w:bookmarkEnd w:id="461"/>
      <w:bookmarkEnd w:id="462"/>
    </w:p>
    <w:p w14:paraId="7AB70E37" w14:textId="450097A8" w:rsidR="000E1BA2" w:rsidRPr="00A96AC5" w:rsidRDefault="000E1BA2" w:rsidP="00BE2548">
      <w:pPr>
        <w:spacing w:after="240" w:line="360" w:lineRule="auto"/>
        <w:rPr>
          <w:rFonts w:cs="Times New Roman"/>
        </w:rPr>
      </w:pPr>
      <w:r w:rsidRPr="00A96AC5">
        <w:rPr>
          <w:rFonts w:cs="Times New Roman"/>
        </w:rPr>
        <w:t xml:space="preserve">This study aims to address the shortcomings described above and </w:t>
      </w:r>
      <w:r w:rsidR="00AF4D86">
        <w:rPr>
          <w:rFonts w:cs="Times New Roman"/>
        </w:rPr>
        <w:t xml:space="preserve">those </w:t>
      </w:r>
      <w:r w:rsidRPr="00A96AC5">
        <w:rPr>
          <w:rFonts w:cs="Times New Roman"/>
        </w:rPr>
        <w:t>identified in the literature and the ind</w:t>
      </w:r>
      <w:r w:rsidR="005930CE">
        <w:rPr>
          <w:rFonts w:cs="Times New Roman"/>
        </w:rPr>
        <w:t>ustrial reports. The study focu</w:t>
      </w:r>
      <w:r w:rsidRPr="00A96AC5">
        <w:rPr>
          <w:rFonts w:cs="Times New Roman"/>
        </w:rPr>
        <w:t xml:space="preserve">ses on </w:t>
      </w:r>
      <w:r w:rsidR="009E232B">
        <w:rPr>
          <w:rFonts w:cs="Times New Roman"/>
        </w:rPr>
        <w:t>three</w:t>
      </w:r>
      <w:r w:rsidRPr="00A96AC5">
        <w:rPr>
          <w:rFonts w:cs="Times New Roman"/>
        </w:rPr>
        <w:t xml:space="preserve"> primary research questions </w:t>
      </w:r>
      <w:r w:rsidRPr="00A96AC5">
        <w:rPr>
          <w:rFonts w:cs="Times New Roman"/>
        </w:rPr>
        <w:lastRenderedPageBreak/>
        <w:t xml:space="preserve">(PRQs), including </w:t>
      </w:r>
      <w:r w:rsidR="009E232B">
        <w:rPr>
          <w:rFonts w:cs="Times New Roman"/>
        </w:rPr>
        <w:t>four</w:t>
      </w:r>
      <w:r w:rsidRPr="00A96AC5">
        <w:rPr>
          <w:rFonts w:cs="Times New Roman"/>
        </w:rPr>
        <w:t xml:space="preserve"> sub-questions (SQ). The first primary</w:t>
      </w:r>
      <w:r w:rsidR="00DF76F7">
        <w:rPr>
          <w:rFonts w:cs="Times New Roman"/>
        </w:rPr>
        <w:t xml:space="preserve"> </w:t>
      </w:r>
      <w:r w:rsidR="00DF76F7" w:rsidRPr="00A96AC5">
        <w:rPr>
          <w:rFonts w:cs="Times New Roman"/>
        </w:rPr>
        <w:t>research</w:t>
      </w:r>
      <w:r w:rsidRPr="00A96AC5">
        <w:rPr>
          <w:rFonts w:cs="Times New Roman"/>
        </w:rPr>
        <w:t xml:space="preserve"> question (PRQ1) </w:t>
      </w:r>
      <w:r w:rsidR="00A35053">
        <w:rPr>
          <w:rFonts w:cs="Times New Roman"/>
        </w:rPr>
        <w:t>is</w:t>
      </w:r>
      <w:r w:rsidRPr="00A96AC5">
        <w:rPr>
          <w:rFonts w:cs="Times New Roman"/>
        </w:rPr>
        <w:t xml:space="preserve"> associated with UCC </w:t>
      </w:r>
      <w:r w:rsidR="00DE22E6">
        <w:rPr>
          <w:rFonts w:cs="Times New Roman"/>
        </w:rPr>
        <w:t>cost structure</w:t>
      </w:r>
      <w:r w:rsidRPr="00A96AC5">
        <w:rPr>
          <w:rFonts w:cs="Times New Roman"/>
        </w:rPr>
        <w:t xml:space="preserve">. The </w:t>
      </w:r>
      <w:r w:rsidR="00481954">
        <w:rPr>
          <w:rFonts w:cs="Times New Roman"/>
        </w:rPr>
        <w:t>second</w:t>
      </w:r>
      <w:r w:rsidRPr="00A96AC5">
        <w:rPr>
          <w:rFonts w:cs="Times New Roman"/>
        </w:rPr>
        <w:t xml:space="preserve"> primary research question (PRQ</w:t>
      </w:r>
      <w:r w:rsidR="00481954">
        <w:rPr>
          <w:rFonts w:cs="Times New Roman"/>
        </w:rPr>
        <w:t>2</w:t>
      </w:r>
      <w:r w:rsidRPr="00A96AC5">
        <w:rPr>
          <w:rFonts w:cs="Times New Roman"/>
        </w:rPr>
        <w:t>) deal</w:t>
      </w:r>
      <w:r w:rsidR="00A35053">
        <w:rPr>
          <w:rFonts w:cs="Times New Roman"/>
        </w:rPr>
        <w:t>s</w:t>
      </w:r>
      <w:r w:rsidRPr="00A96AC5">
        <w:rPr>
          <w:rFonts w:cs="Times New Roman"/>
        </w:rPr>
        <w:t xml:space="preserve"> with the stakeholder engagement process. </w:t>
      </w:r>
      <w:r w:rsidR="00481954">
        <w:rPr>
          <w:rFonts w:cs="Times New Roman"/>
        </w:rPr>
        <w:t>The third primary</w:t>
      </w:r>
      <w:r w:rsidR="00DF76F7">
        <w:rPr>
          <w:rFonts w:cs="Times New Roman"/>
        </w:rPr>
        <w:t xml:space="preserve"> </w:t>
      </w:r>
      <w:r w:rsidR="00DF76F7" w:rsidRPr="00A96AC5">
        <w:rPr>
          <w:rFonts w:cs="Times New Roman"/>
        </w:rPr>
        <w:t>research</w:t>
      </w:r>
      <w:r w:rsidR="00481954">
        <w:rPr>
          <w:rFonts w:cs="Times New Roman"/>
        </w:rPr>
        <w:t xml:space="preserve"> question</w:t>
      </w:r>
      <w:r w:rsidR="00C92B5A">
        <w:rPr>
          <w:rFonts w:cs="Times New Roman"/>
        </w:rPr>
        <w:t xml:space="preserve"> (PRQ3) </w:t>
      </w:r>
      <w:r w:rsidR="003D0F46">
        <w:rPr>
          <w:rFonts w:cs="Times New Roman"/>
        </w:rPr>
        <w:t>addresses the financial issues of UCC</w:t>
      </w:r>
      <w:r w:rsidR="00A35053">
        <w:rPr>
          <w:rFonts w:cs="Times New Roman"/>
        </w:rPr>
        <w:t>s</w:t>
      </w:r>
      <w:r w:rsidR="003D0F46">
        <w:rPr>
          <w:rFonts w:cs="Times New Roman"/>
        </w:rPr>
        <w:t xml:space="preserve"> through the cost sharing strategy. </w:t>
      </w:r>
      <w:r w:rsidR="009E232B">
        <w:rPr>
          <w:rFonts w:cs="Times New Roman"/>
        </w:rPr>
        <w:t xml:space="preserve">The </w:t>
      </w:r>
      <w:r w:rsidR="00C65CD2">
        <w:rPr>
          <w:rFonts w:cs="Times New Roman"/>
        </w:rPr>
        <w:t>last</w:t>
      </w:r>
      <w:r w:rsidR="009E232B">
        <w:rPr>
          <w:rFonts w:cs="Times New Roman"/>
        </w:rPr>
        <w:t xml:space="preserve"> section</w:t>
      </w:r>
      <w:r w:rsidR="00C65CD2">
        <w:rPr>
          <w:rFonts w:cs="Times New Roman"/>
        </w:rPr>
        <w:t xml:space="preserve"> </w:t>
      </w:r>
      <w:r w:rsidR="002F043A">
        <w:rPr>
          <w:rFonts w:cs="Times New Roman"/>
        </w:rPr>
        <w:t>aims</w:t>
      </w:r>
      <w:r w:rsidR="00436B0E">
        <w:rPr>
          <w:rFonts w:cs="Times New Roman"/>
        </w:rPr>
        <w:t xml:space="preserve"> to integrate the </w:t>
      </w:r>
      <w:r w:rsidR="004240A4">
        <w:rPr>
          <w:rFonts w:cs="Times New Roman"/>
        </w:rPr>
        <w:t xml:space="preserve">cost structure and </w:t>
      </w:r>
      <w:r w:rsidR="002F043A">
        <w:rPr>
          <w:rFonts w:cs="Times New Roman"/>
        </w:rPr>
        <w:t xml:space="preserve">cost sharing principle into </w:t>
      </w:r>
      <w:r w:rsidR="00DF76F7">
        <w:rPr>
          <w:rFonts w:cs="Times New Roman"/>
        </w:rPr>
        <w:t xml:space="preserve">a GIS based software, which helps the UCC planners </w:t>
      </w:r>
      <w:r w:rsidR="00B40C97">
        <w:rPr>
          <w:rFonts w:cs="Times New Roman"/>
        </w:rPr>
        <w:t>to estimate</w:t>
      </w:r>
      <w:r w:rsidR="006607DF">
        <w:rPr>
          <w:rFonts w:cs="Times New Roman"/>
        </w:rPr>
        <w:t xml:space="preserve"> the UCC cost as early as</w:t>
      </w:r>
      <w:r w:rsidR="00A35053">
        <w:rPr>
          <w:rFonts w:cs="Times New Roman"/>
        </w:rPr>
        <w:t xml:space="preserve"> the</w:t>
      </w:r>
      <w:r w:rsidR="006607DF">
        <w:rPr>
          <w:rFonts w:cs="Times New Roman"/>
        </w:rPr>
        <w:t xml:space="preserve"> planning stage.</w:t>
      </w:r>
    </w:p>
    <w:p w14:paraId="5BA95C6C" w14:textId="77777777" w:rsidR="000E1BA2" w:rsidRPr="00737239" w:rsidRDefault="000E1BA2" w:rsidP="00D73EAB">
      <w:pPr>
        <w:spacing w:after="240" w:line="360" w:lineRule="auto"/>
        <w:rPr>
          <w:rFonts w:cs="Times New Roman"/>
          <w:b/>
          <w:i/>
          <w:iCs/>
        </w:rPr>
      </w:pPr>
      <w:r w:rsidRPr="00A96AC5">
        <w:rPr>
          <w:rFonts w:cs="Times New Roman"/>
          <w:b/>
          <w:i/>
          <w:iCs/>
          <w:lang w:eastAsia="en-US"/>
        </w:rPr>
        <w:t xml:space="preserve">PRQ 1: </w:t>
      </w:r>
      <w:r w:rsidRPr="00A96AC5">
        <w:rPr>
          <w:rFonts w:cs="Times New Roman"/>
          <w:b/>
          <w:i/>
          <w:iCs/>
        </w:rPr>
        <w:t xml:space="preserve">How </w:t>
      </w:r>
      <w:r w:rsidRPr="008903D1">
        <w:rPr>
          <w:rFonts w:cs="Times New Roman"/>
          <w:b/>
          <w:i/>
          <w:iCs/>
        </w:rPr>
        <w:t>to accurately estimate the financial performance of UCC during the project planning phase?</w:t>
      </w:r>
    </w:p>
    <w:p w14:paraId="5A0E78B6" w14:textId="0FAA5282" w:rsidR="000E1BA2" w:rsidRPr="00737239" w:rsidRDefault="000E1BA2" w:rsidP="007B7385">
      <w:pPr>
        <w:spacing w:after="240" w:line="360" w:lineRule="auto"/>
        <w:rPr>
          <w:rFonts w:cs="Times New Roman"/>
        </w:rPr>
      </w:pPr>
      <w:r w:rsidRPr="00802DC5">
        <w:rPr>
          <w:rFonts w:cs="Times New Roman"/>
        </w:rPr>
        <w:t>Explanation:</w:t>
      </w:r>
      <w:r w:rsidR="006607DF">
        <w:rPr>
          <w:rFonts w:cs="Times New Roman"/>
        </w:rPr>
        <w:t xml:space="preserve"> </w:t>
      </w:r>
      <w:r w:rsidRPr="00CB4736">
        <w:rPr>
          <w:rFonts w:cs="Times New Roman"/>
        </w:rPr>
        <w:t xml:space="preserve">In </w:t>
      </w:r>
      <w:r w:rsidR="006607DF" w:rsidRPr="00CB4736">
        <w:rPr>
          <w:rFonts w:cs="Times New Roman"/>
        </w:rPr>
        <w:t>this</w:t>
      </w:r>
      <w:r w:rsidRPr="00CB4736">
        <w:rPr>
          <w:rFonts w:cs="Times New Roman"/>
        </w:rPr>
        <w:t xml:space="preserve"> section, </w:t>
      </w:r>
      <w:r w:rsidR="00DF62FA">
        <w:rPr>
          <w:rFonts w:cs="Times New Roman"/>
        </w:rPr>
        <w:t>this research</w:t>
      </w:r>
      <w:r w:rsidRPr="00CB4736">
        <w:rPr>
          <w:rFonts w:cs="Times New Roman"/>
        </w:rPr>
        <w:t xml:space="preserve"> refer</w:t>
      </w:r>
      <w:r w:rsidR="00DF62FA">
        <w:rPr>
          <w:rFonts w:cs="Times New Roman"/>
        </w:rPr>
        <w:t>s</w:t>
      </w:r>
      <w:r w:rsidRPr="00CB4736">
        <w:rPr>
          <w:rFonts w:cs="Times New Roman"/>
        </w:rPr>
        <w:t xml:space="preserve"> to previous literatures to design the cost structure for the UCC. Depending on the variables and functions listed in</w:t>
      </w:r>
      <w:r w:rsidR="00A35053">
        <w:rPr>
          <w:rFonts w:cs="Times New Roman"/>
        </w:rPr>
        <w:t xml:space="preserve"> the</w:t>
      </w:r>
      <w:r w:rsidRPr="00CB4736">
        <w:rPr>
          <w:rFonts w:cs="Times New Roman"/>
        </w:rPr>
        <w:t xml:space="preserve"> reviewed articles, </w:t>
      </w:r>
      <w:r w:rsidR="00DF62FA">
        <w:rPr>
          <w:rFonts w:cs="Times New Roman"/>
        </w:rPr>
        <w:t>this research</w:t>
      </w:r>
      <w:r w:rsidRPr="00CB4736">
        <w:rPr>
          <w:rFonts w:cs="Times New Roman"/>
        </w:rPr>
        <w:t xml:space="preserve"> propose</w:t>
      </w:r>
      <w:r w:rsidR="00DF62FA">
        <w:rPr>
          <w:rFonts w:cs="Times New Roman"/>
        </w:rPr>
        <w:t>s</w:t>
      </w:r>
      <w:r w:rsidRPr="00CB4736">
        <w:rPr>
          <w:rFonts w:cs="Times New Roman"/>
        </w:rPr>
        <w:t xml:space="preserve"> that the cost of a UCC comprises categories of fixed costs and variable costs, according to their properties. </w:t>
      </w:r>
      <w:r w:rsidRPr="00737239">
        <w:rPr>
          <w:rFonts w:cs="Times New Roman"/>
        </w:rPr>
        <w:t>The variable cost is then distributed based on the logistics activities (e.g., goods handling, distribution, receipt). This research seeks to develop a formula-based approach to calcu</w:t>
      </w:r>
      <w:r w:rsidRPr="00802DC5">
        <w:rPr>
          <w:rFonts w:cs="Times New Roman"/>
        </w:rPr>
        <w:t xml:space="preserve">lating these costs. The results will allow decision-makers to estimate financial feasibility during the project </w:t>
      </w:r>
      <w:r w:rsidRPr="006C301D">
        <w:rPr>
          <w:rFonts w:cs="Times New Roman"/>
        </w:rPr>
        <w:t>planning stage.</w:t>
      </w:r>
      <w:r w:rsidR="00093CCC" w:rsidRPr="00093CCC">
        <w:rPr>
          <w:rFonts w:cs="Times New Roman"/>
        </w:rPr>
        <w:t xml:space="preserve"> </w:t>
      </w:r>
      <w:r w:rsidR="00093CCC">
        <w:rPr>
          <w:rFonts w:cs="Times New Roman"/>
        </w:rPr>
        <w:t xml:space="preserve">In the end, </w:t>
      </w:r>
      <w:r w:rsidR="00DF62FA">
        <w:rPr>
          <w:rFonts w:cs="Times New Roman"/>
        </w:rPr>
        <w:t>this research</w:t>
      </w:r>
      <w:r w:rsidR="00093CCC">
        <w:rPr>
          <w:rFonts w:cs="Times New Roman"/>
        </w:rPr>
        <w:t xml:space="preserve"> </w:t>
      </w:r>
      <w:proofErr w:type="gramStart"/>
      <w:r w:rsidR="00093CCC">
        <w:rPr>
          <w:rFonts w:cs="Times New Roman"/>
        </w:rPr>
        <w:t>use</w:t>
      </w:r>
      <w:proofErr w:type="gramEnd"/>
      <w:r w:rsidR="00093CCC">
        <w:rPr>
          <w:rFonts w:cs="Times New Roman"/>
        </w:rPr>
        <w:t xml:space="preserve"> a small experiment to validate the feasibility of these proposed formulas.</w:t>
      </w:r>
    </w:p>
    <w:p w14:paraId="01E0BCDA" w14:textId="3C35341E" w:rsidR="000E1BA2" w:rsidRPr="00A96AC5" w:rsidRDefault="000E1BA2" w:rsidP="000A4E8C">
      <w:pPr>
        <w:spacing w:line="360" w:lineRule="auto"/>
        <w:rPr>
          <w:rFonts w:cs="Times New Roman"/>
          <w:bCs/>
          <w:i/>
          <w:iCs/>
          <w:lang w:eastAsia="en-US"/>
        </w:rPr>
      </w:pPr>
      <w:r w:rsidRPr="00A96AC5">
        <w:rPr>
          <w:rFonts w:cs="Times New Roman"/>
          <w:b/>
          <w:i/>
          <w:iCs/>
          <w:lang w:eastAsia="en-US"/>
        </w:rPr>
        <w:t xml:space="preserve">PRQ </w:t>
      </w:r>
      <w:r w:rsidR="004306D2">
        <w:rPr>
          <w:rFonts w:cs="Times New Roman"/>
          <w:b/>
          <w:i/>
          <w:iCs/>
          <w:lang w:eastAsia="en-US"/>
        </w:rPr>
        <w:t>2</w:t>
      </w:r>
      <w:r w:rsidRPr="00A96AC5">
        <w:rPr>
          <w:rFonts w:cs="Times New Roman"/>
          <w:b/>
          <w:i/>
          <w:iCs/>
          <w:lang w:eastAsia="en-US"/>
        </w:rPr>
        <w:t xml:space="preserve">: </w:t>
      </w:r>
      <w:r w:rsidRPr="00A96AC5">
        <w:rPr>
          <w:rFonts w:cs="Times New Roman"/>
          <w:b/>
          <w:i/>
          <w:iCs/>
        </w:rPr>
        <w:t xml:space="preserve">How to promote the stakeholders engagement in </w:t>
      </w:r>
      <w:r w:rsidR="00A35053">
        <w:rPr>
          <w:rFonts w:cs="Times New Roman"/>
          <w:b/>
          <w:i/>
          <w:iCs/>
        </w:rPr>
        <w:t xml:space="preserve">a </w:t>
      </w:r>
      <w:r w:rsidRPr="00A96AC5">
        <w:rPr>
          <w:rFonts w:cs="Times New Roman"/>
          <w:b/>
          <w:i/>
          <w:iCs/>
        </w:rPr>
        <w:t>UCC facility?</w:t>
      </w:r>
    </w:p>
    <w:p w14:paraId="25B99CD0" w14:textId="2EE10118" w:rsidR="000E1BA2" w:rsidRPr="00737239" w:rsidRDefault="000E1BA2" w:rsidP="000A4E8C">
      <w:pPr>
        <w:snapToGrid w:val="0"/>
        <w:spacing w:before="100" w:beforeAutospacing="1" w:line="360" w:lineRule="auto"/>
        <w:rPr>
          <w:rFonts w:cs="Times New Roman"/>
          <w:bCs/>
          <w:i/>
          <w:iCs/>
          <w:lang w:eastAsia="en-US"/>
        </w:rPr>
      </w:pPr>
      <w:r w:rsidRPr="00A96AC5">
        <w:rPr>
          <w:rFonts w:cs="Times New Roman"/>
          <w:bCs/>
          <w:i/>
          <w:iCs/>
          <w:lang w:eastAsia="en-US"/>
        </w:rPr>
        <w:t>SQ</w:t>
      </w:r>
      <w:r w:rsidR="004306D2">
        <w:rPr>
          <w:rFonts w:cs="Times New Roman"/>
          <w:bCs/>
          <w:i/>
          <w:iCs/>
          <w:lang w:eastAsia="en-US"/>
        </w:rPr>
        <w:t>1</w:t>
      </w:r>
      <w:r w:rsidRPr="00A96AC5">
        <w:rPr>
          <w:rFonts w:cs="Times New Roman"/>
          <w:bCs/>
          <w:i/>
          <w:iCs/>
          <w:lang w:eastAsia="en-US"/>
        </w:rPr>
        <w:t>: What</w:t>
      </w:r>
      <w:r w:rsidRPr="008903D1">
        <w:rPr>
          <w:rFonts w:cs="Times New Roman"/>
          <w:bCs/>
          <w:i/>
          <w:iCs/>
          <w:lang w:eastAsia="en-US"/>
        </w:rPr>
        <w:t xml:space="preserve"> </w:t>
      </w:r>
      <w:r w:rsidRPr="00737239">
        <w:rPr>
          <w:rFonts w:cs="Times New Roman"/>
          <w:bCs/>
          <w:i/>
          <w:iCs/>
          <w:lang w:eastAsia="en-US"/>
        </w:rPr>
        <w:t>are</w:t>
      </w:r>
      <w:r w:rsidRPr="008903D1">
        <w:rPr>
          <w:rFonts w:cs="Times New Roman"/>
          <w:bCs/>
          <w:i/>
          <w:iCs/>
          <w:lang w:eastAsia="en-US"/>
        </w:rPr>
        <w:t xml:space="preserve"> </w:t>
      </w:r>
      <w:r w:rsidRPr="00737239">
        <w:rPr>
          <w:rFonts w:cs="Times New Roman"/>
          <w:bCs/>
          <w:i/>
          <w:iCs/>
          <w:lang w:eastAsia="en-US"/>
        </w:rPr>
        <w:t>the</w:t>
      </w:r>
      <w:r w:rsidRPr="008903D1">
        <w:rPr>
          <w:rFonts w:cs="Times New Roman"/>
          <w:bCs/>
          <w:i/>
          <w:iCs/>
          <w:lang w:eastAsia="en-US"/>
        </w:rPr>
        <w:t xml:space="preserve"> </w:t>
      </w:r>
      <w:r w:rsidRPr="00737239">
        <w:rPr>
          <w:rFonts w:cs="Times New Roman"/>
          <w:bCs/>
          <w:i/>
          <w:iCs/>
          <w:lang w:eastAsia="en-US"/>
        </w:rPr>
        <w:t>details</w:t>
      </w:r>
      <w:r w:rsidRPr="008903D1">
        <w:rPr>
          <w:rFonts w:cs="Times New Roman"/>
          <w:bCs/>
          <w:i/>
          <w:iCs/>
          <w:lang w:eastAsia="en-US"/>
        </w:rPr>
        <w:t xml:space="preserve"> </w:t>
      </w:r>
      <w:r w:rsidRPr="00737239">
        <w:rPr>
          <w:rFonts w:cs="Times New Roman"/>
          <w:bCs/>
          <w:i/>
          <w:iCs/>
          <w:lang w:eastAsia="en-US"/>
        </w:rPr>
        <w:t>of</w:t>
      </w:r>
      <w:r w:rsidRPr="008903D1">
        <w:rPr>
          <w:rFonts w:cs="Times New Roman"/>
          <w:bCs/>
          <w:i/>
          <w:iCs/>
          <w:lang w:eastAsia="en-US"/>
        </w:rPr>
        <w:t xml:space="preserve"> stakeholder engagement process </w:t>
      </w:r>
      <w:r w:rsidRPr="00737239">
        <w:rPr>
          <w:rFonts w:cs="Times New Roman"/>
          <w:bCs/>
          <w:i/>
          <w:iCs/>
          <w:lang w:eastAsia="en-US"/>
        </w:rPr>
        <w:t>when</w:t>
      </w:r>
      <w:r w:rsidRPr="008903D1">
        <w:rPr>
          <w:rFonts w:cs="Times New Roman"/>
          <w:bCs/>
          <w:i/>
          <w:iCs/>
          <w:lang w:eastAsia="en-US"/>
        </w:rPr>
        <w:t xml:space="preserve"> establishing urban consolidation centre (UCC) projects </w:t>
      </w:r>
      <w:r w:rsidRPr="00737239">
        <w:rPr>
          <w:rFonts w:cs="Times New Roman"/>
          <w:bCs/>
          <w:i/>
          <w:iCs/>
          <w:lang w:eastAsia="en-US"/>
        </w:rPr>
        <w:t>in</w:t>
      </w:r>
      <w:r w:rsidRPr="008903D1">
        <w:rPr>
          <w:rFonts w:cs="Times New Roman"/>
          <w:bCs/>
          <w:i/>
          <w:iCs/>
          <w:lang w:eastAsia="en-US"/>
        </w:rPr>
        <w:t xml:space="preserve"> </w:t>
      </w:r>
      <w:r w:rsidRPr="00737239">
        <w:rPr>
          <w:rFonts w:cs="Times New Roman"/>
          <w:bCs/>
          <w:i/>
          <w:iCs/>
          <w:lang w:eastAsia="en-US"/>
        </w:rPr>
        <w:t>different</w:t>
      </w:r>
      <w:r w:rsidRPr="008903D1">
        <w:rPr>
          <w:rFonts w:cs="Times New Roman"/>
          <w:bCs/>
          <w:i/>
          <w:iCs/>
          <w:lang w:eastAsia="en-US"/>
        </w:rPr>
        <w:t xml:space="preserve"> </w:t>
      </w:r>
      <w:r w:rsidRPr="00737239">
        <w:rPr>
          <w:rFonts w:cs="Times New Roman"/>
          <w:bCs/>
          <w:i/>
          <w:iCs/>
          <w:lang w:eastAsia="en-US"/>
        </w:rPr>
        <w:t>countries</w:t>
      </w:r>
      <w:r w:rsidRPr="008903D1">
        <w:rPr>
          <w:rFonts w:cs="Times New Roman"/>
          <w:bCs/>
          <w:i/>
          <w:iCs/>
          <w:lang w:eastAsia="en-US"/>
        </w:rPr>
        <w:t>?</w:t>
      </w:r>
    </w:p>
    <w:p w14:paraId="5CC19215" w14:textId="6C04069F" w:rsidR="000E1BA2" w:rsidRPr="00737239" w:rsidRDefault="000E1BA2" w:rsidP="000A4E8C">
      <w:pPr>
        <w:snapToGrid w:val="0"/>
        <w:spacing w:before="100" w:beforeAutospacing="1" w:line="360" w:lineRule="auto"/>
        <w:rPr>
          <w:rFonts w:cs="Times New Roman"/>
          <w:bCs/>
          <w:i/>
          <w:iCs/>
          <w:lang w:eastAsia="en-US"/>
        </w:rPr>
      </w:pPr>
      <w:r w:rsidRPr="00737239">
        <w:rPr>
          <w:rFonts w:cs="Times New Roman"/>
          <w:bCs/>
          <w:i/>
          <w:iCs/>
          <w:lang w:eastAsia="en-US"/>
        </w:rPr>
        <w:t xml:space="preserve">SQ </w:t>
      </w:r>
      <w:r w:rsidR="004306D2">
        <w:rPr>
          <w:rFonts w:cs="Times New Roman"/>
          <w:bCs/>
          <w:i/>
          <w:iCs/>
          <w:lang w:eastAsia="en-US"/>
        </w:rPr>
        <w:t>2</w:t>
      </w:r>
      <w:r w:rsidRPr="00737239">
        <w:rPr>
          <w:rFonts w:cs="Times New Roman"/>
          <w:bCs/>
          <w:i/>
          <w:iCs/>
          <w:lang w:eastAsia="en-US"/>
        </w:rPr>
        <w:t xml:space="preserve">: </w:t>
      </w:r>
      <w:r w:rsidR="00A35053">
        <w:rPr>
          <w:rFonts w:cs="Times New Roman"/>
          <w:bCs/>
          <w:i/>
          <w:iCs/>
          <w:lang w:eastAsia="en-US"/>
        </w:rPr>
        <w:t>How to e</w:t>
      </w:r>
      <w:r w:rsidRPr="00737239">
        <w:rPr>
          <w:rFonts w:cs="Times New Roman"/>
          <w:bCs/>
          <w:i/>
          <w:iCs/>
          <w:lang w:eastAsia="en-US"/>
        </w:rPr>
        <w:t>valuat</w:t>
      </w:r>
      <w:r w:rsidR="00A35053">
        <w:rPr>
          <w:rFonts w:cs="Times New Roman"/>
          <w:bCs/>
          <w:i/>
          <w:iCs/>
          <w:lang w:eastAsia="en-US"/>
        </w:rPr>
        <w:t>e</w:t>
      </w:r>
      <w:r w:rsidRPr="00737239">
        <w:rPr>
          <w:rFonts w:cs="Times New Roman"/>
          <w:bCs/>
          <w:i/>
          <w:iCs/>
          <w:lang w:eastAsia="en-US"/>
        </w:rPr>
        <w:t xml:space="preserve"> the heterogeneity of stakeholders’ object</w:t>
      </w:r>
      <w:r w:rsidRPr="00802DC5">
        <w:rPr>
          <w:rFonts w:cs="Times New Roman"/>
          <w:bCs/>
          <w:i/>
          <w:iCs/>
          <w:lang w:eastAsia="en-US"/>
        </w:rPr>
        <w:t>ives in urban consolidation centres (UCCs)</w:t>
      </w:r>
      <w:r w:rsidRPr="008903D1">
        <w:rPr>
          <w:rFonts w:cs="Times New Roman"/>
          <w:bCs/>
          <w:i/>
          <w:iCs/>
          <w:lang w:eastAsia="en-US"/>
        </w:rPr>
        <w:t>?</w:t>
      </w:r>
    </w:p>
    <w:p w14:paraId="090E1B28" w14:textId="5AE1779F" w:rsidR="000E1BA2" w:rsidRPr="00737239" w:rsidRDefault="000E1BA2" w:rsidP="007B7385">
      <w:pPr>
        <w:snapToGrid w:val="0"/>
        <w:spacing w:before="100" w:beforeAutospacing="1" w:after="240" w:line="360" w:lineRule="auto"/>
        <w:rPr>
          <w:rFonts w:cs="Times New Roman"/>
          <w:bCs/>
          <w:i/>
          <w:iCs/>
          <w:lang w:eastAsia="en-US"/>
        </w:rPr>
      </w:pPr>
      <w:r w:rsidRPr="00802DC5">
        <w:rPr>
          <w:rFonts w:cs="Times New Roman"/>
        </w:rPr>
        <w:t>Explanation: Under the framework of SQ</w:t>
      </w:r>
      <w:r w:rsidR="004306D2">
        <w:rPr>
          <w:rFonts w:cs="Times New Roman"/>
        </w:rPr>
        <w:t>1</w:t>
      </w:r>
      <w:r w:rsidRPr="00802DC5">
        <w:rPr>
          <w:rFonts w:cs="Times New Roman"/>
        </w:rPr>
        <w:t>, the logistics profile (LP) in the service area of the urban consolidation centre (UCC) will be illustrated at beginning. Then</w:t>
      </w:r>
      <w:r w:rsidR="00A35053">
        <w:rPr>
          <w:rFonts w:cs="Times New Roman"/>
        </w:rPr>
        <w:t>,</w:t>
      </w:r>
      <w:r w:rsidRPr="00802DC5">
        <w:rPr>
          <w:rFonts w:cs="Times New Roman"/>
        </w:rPr>
        <w:t xml:space="preserve"> a comprehensive stakeholders analysis will</w:t>
      </w:r>
      <w:r w:rsidRPr="006C301D">
        <w:rPr>
          <w:rFonts w:cs="Times New Roman"/>
        </w:rPr>
        <w:t xml:space="preserve"> be implemented to demonstrate the way</w:t>
      </w:r>
      <w:r w:rsidR="00A35053">
        <w:rPr>
          <w:rFonts w:cs="Times New Roman"/>
        </w:rPr>
        <w:t>s</w:t>
      </w:r>
      <w:r w:rsidRPr="006C301D">
        <w:rPr>
          <w:rFonts w:cs="Times New Roman"/>
        </w:rPr>
        <w:t xml:space="preserve"> </w:t>
      </w:r>
      <w:r w:rsidR="00A35053">
        <w:rPr>
          <w:rFonts w:cs="Times New Roman"/>
        </w:rPr>
        <w:t>in which to</w:t>
      </w:r>
      <w:r w:rsidRPr="006C301D">
        <w:rPr>
          <w:rFonts w:cs="Times New Roman"/>
        </w:rPr>
        <w:t xml:space="preserve"> organise different stakeholders in different urban consolidation centre (UCC) projects. It includes an analysis of stakeholder engagement in terms of motivations for participation, tools for gathering sufficient us</w:t>
      </w:r>
      <w:r w:rsidRPr="00A96AC5">
        <w:rPr>
          <w:rFonts w:cs="Times New Roman"/>
        </w:rPr>
        <w:t xml:space="preserve">ers, and approaches to integrating different stakeholder interests. The last section will reveal the features of stakeholder partnerships in different urban consolidation centres. </w:t>
      </w:r>
      <w:r w:rsidR="006B50AA">
        <w:rPr>
          <w:rFonts w:cs="Times New Roman"/>
        </w:rPr>
        <w:t>Besides this</w:t>
      </w:r>
      <w:r w:rsidRPr="00A96AC5">
        <w:rPr>
          <w:rFonts w:cs="Times New Roman"/>
        </w:rPr>
        <w:t>, stakeholder partnerships in the UCC will be mapped to compare the advantages and disadvantages generated by the</w:t>
      </w:r>
      <w:r w:rsidRPr="008903D1">
        <w:rPr>
          <w:rFonts w:cs="Times New Roman"/>
        </w:rPr>
        <w:t xml:space="preserve"> different partnerships.</w:t>
      </w:r>
    </w:p>
    <w:p w14:paraId="7D3473BE" w14:textId="76528875" w:rsidR="000E1BA2" w:rsidRPr="00CB4736" w:rsidRDefault="000E1BA2" w:rsidP="007B7385">
      <w:pPr>
        <w:snapToGrid w:val="0"/>
        <w:spacing w:before="100" w:beforeAutospacing="1" w:after="240" w:line="360" w:lineRule="auto"/>
        <w:rPr>
          <w:rFonts w:cs="Times New Roman"/>
        </w:rPr>
      </w:pPr>
      <w:r w:rsidRPr="00CB4736">
        <w:rPr>
          <w:rFonts w:cs="Times New Roman"/>
        </w:rPr>
        <w:lastRenderedPageBreak/>
        <w:t>In response to SQ</w:t>
      </w:r>
      <w:r w:rsidR="004306D2" w:rsidRPr="00CB4736">
        <w:rPr>
          <w:rFonts w:cs="Times New Roman"/>
        </w:rPr>
        <w:t>2</w:t>
      </w:r>
      <w:r w:rsidRPr="00CB4736">
        <w:rPr>
          <w:rFonts w:cs="Times New Roman"/>
        </w:rPr>
        <w:t xml:space="preserve">, for the purpose </w:t>
      </w:r>
      <w:r w:rsidR="00F772CB">
        <w:rPr>
          <w:rFonts w:cs="Times New Roman"/>
        </w:rPr>
        <w:t>of</w:t>
      </w:r>
      <w:r w:rsidRPr="00CB4736">
        <w:rPr>
          <w:rFonts w:cs="Times New Roman"/>
        </w:rPr>
        <w:t xml:space="preserve"> engag</w:t>
      </w:r>
      <w:r w:rsidR="00F772CB">
        <w:rPr>
          <w:rFonts w:cs="Times New Roman"/>
        </w:rPr>
        <w:t>ing</w:t>
      </w:r>
      <w:r w:rsidRPr="00CB4736">
        <w:rPr>
          <w:rFonts w:cs="Times New Roman"/>
        </w:rPr>
        <w:t xml:space="preserve"> stakeholders properly, their different preferences need to be </w:t>
      </w:r>
      <w:proofErr w:type="gramStart"/>
      <w:r w:rsidRPr="00CB4736">
        <w:rPr>
          <w:rFonts w:cs="Times New Roman"/>
        </w:rPr>
        <w:t>understand</w:t>
      </w:r>
      <w:proofErr w:type="gramEnd"/>
      <w:r w:rsidRPr="00CB4736">
        <w:rPr>
          <w:rFonts w:cs="Times New Roman"/>
        </w:rPr>
        <w:t>. This SQ includes three subsections</w:t>
      </w:r>
      <w:r w:rsidR="00F772CB">
        <w:rPr>
          <w:rFonts w:cs="Times New Roman"/>
        </w:rPr>
        <w:t>.</w:t>
      </w:r>
      <w:r w:rsidRPr="00CB4736">
        <w:rPr>
          <w:rFonts w:cs="Times New Roman"/>
        </w:rPr>
        <w:t xml:space="preserve"> </w:t>
      </w:r>
      <w:r w:rsidR="00F772CB">
        <w:rPr>
          <w:rFonts w:cs="Times New Roman"/>
        </w:rPr>
        <w:t>F</w:t>
      </w:r>
      <w:r w:rsidRPr="00CB4736">
        <w:rPr>
          <w:rFonts w:cs="Times New Roman"/>
        </w:rPr>
        <w:t xml:space="preserve">irstly, it is essential to carefully select the relevant criteria that can indicate both positive and negative elements of the UCC implementation. Meanwhile, appropriate indicators for the identified criteria will be defined. Secondly, appropriate methodologies for combining multiple, conflicting, decision-making criteria aimed at measuring the heterogeneities of different stakeholders will be adopted. Specifically, </w:t>
      </w:r>
      <w:r w:rsidR="0023607B">
        <w:rPr>
          <w:rFonts w:cs="Times New Roman"/>
        </w:rPr>
        <w:t>an</w:t>
      </w:r>
      <w:r w:rsidRPr="00CB4736">
        <w:rPr>
          <w:rFonts w:cs="Times New Roman"/>
        </w:rPr>
        <w:t xml:space="preserve"> MCDM method will be used to quantify stakeholder preferences; after this, non-parametric testing is conducted to analyse the degree of divergence between stakeholder preferences. The quantitative results from these tests can enable a straightforward comparison of the degree of stakeholder collaboration in the different cases. Lastly, thematic analysis is conducted to investigate what kind of conflicting stakeholder interests</w:t>
      </w:r>
      <w:r w:rsidR="0023607B">
        <w:rPr>
          <w:rFonts w:cs="Times New Roman"/>
        </w:rPr>
        <w:t xml:space="preserve"> </w:t>
      </w:r>
      <w:r w:rsidRPr="00CB4736">
        <w:rPr>
          <w:rFonts w:cs="Times New Roman"/>
        </w:rPr>
        <w:t>may arise in the UCC</w:t>
      </w:r>
      <w:r w:rsidR="0023607B">
        <w:rPr>
          <w:rFonts w:cs="Times New Roman"/>
        </w:rPr>
        <w:t>,</w:t>
      </w:r>
      <w:r w:rsidRPr="00CB4736">
        <w:rPr>
          <w:rFonts w:cs="Times New Roman"/>
        </w:rPr>
        <w:t xml:space="preserve"> as well as the reasons cause the conflict on actions of </w:t>
      </w:r>
      <w:r w:rsidR="00B13E63">
        <w:rPr>
          <w:rFonts w:cs="Times New Roman"/>
        </w:rPr>
        <w:t>one</w:t>
      </w:r>
      <w:r w:rsidRPr="00CB4736">
        <w:rPr>
          <w:rFonts w:cs="Times New Roman"/>
        </w:rPr>
        <w:t xml:space="preserve"> stakeholder towards another. The data analysis approach in the last sub-section will combine the qualitative information gathered during interviews with different stakeholders and the quantitative results from the MCDM and non-parametric tests. </w:t>
      </w:r>
    </w:p>
    <w:p w14:paraId="56AC1077" w14:textId="4921DC4E" w:rsidR="00822E3A" w:rsidRPr="00CB4736" w:rsidRDefault="003F566D" w:rsidP="007B7385">
      <w:pPr>
        <w:snapToGrid w:val="0"/>
        <w:spacing w:before="100" w:beforeAutospacing="1" w:after="240" w:line="360" w:lineRule="auto"/>
        <w:rPr>
          <w:rFonts w:cs="Times New Roman"/>
          <w:bCs/>
          <w:lang w:val="en-US" w:eastAsia="en-US"/>
        </w:rPr>
      </w:pPr>
      <w:r>
        <w:rPr>
          <w:rFonts w:cs="Times New Roman"/>
          <w:bCs/>
          <w:lang w:eastAsia="en-US"/>
        </w:rPr>
        <w:t>UCC planners could identify the potential issues</w:t>
      </w:r>
      <w:r>
        <w:rPr>
          <w:rFonts w:cs="Times New Roman" w:hint="eastAsia"/>
          <w:bCs/>
        </w:rPr>
        <w:t xml:space="preserve"> </w:t>
      </w:r>
      <w:r>
        <w:rPr>
          <w:rFonts w:cs="Times New Roman"/>
          <w:bCs/>
        </w:rPr>
        <w:t>and conflicts between different stakeholders in the project</w:t>
      </w:r>
      <w:r w:rsidR="006954A4">
        <w:rPr>
          <w:rFonts w:cs="Times New Roman"/>
          <w:bCs/>
        </w:rPr>
        <w:t xml:space="preserve"> </w:t>
      </w:r>
      <w:r w:rsidR="00B935A6">
        <w:rPr>
          <w:rFonts w:cs="Times New Roman"/>
          <w:bCs/>
        </w:rPr>
        <w:t>by</w:t>
      </w:r>
      <w:r w:rsidR="007F2D40">
        <w:rPr>
          <w:rFonts w:cs="Times New Roman"/>
          <w:bCs/>
        </w:rPr>
        <w:t xml:space="preserve"> addressing the PRQ2. </w:t>
      </w:r>
      <w:r w:rsidR="001F19DF">
        <w:rPr>
          <w:rFonts w:cs="Times New Roman"/>
          <w:bCs/>
          <w:lang w:val="en-US" w:eastAsia="en-US"/>
        </w:rPr>
        <w:t>Therefore,</w:t>
      </w:r>
      <w:r w:rsidR="006954A4">
        <w:rPr>
          <w:rFonts w:cs="Times New Roman"/>
          <w:bCs/>
          <w:lang w:eastAsia="en-US"/>
        </w:rPr>
        <w:t xml:space="preserve"> appropriate </w:t>
      </w:r>
      <w:r w:rsidR="006954A4" w:rsidRPr="00802DC5">
        <w:rPr>
          <w:rFonts w:cs="Times New Roman"/>
          <w:bCs/>
          <w:lang w:eastAsia="en-US"/>
        </w:rPr>
        <w:t>actions</w:t>
      </w:r>
      <w:r w:rsidR="006954A4">
        <w:rPr>
          <w:rFonts w:cs="Times New Roman"/>
          <w:bCs/>
          <w:lang w:eastAsia="en-US"/>
        </w:rPr>
        <w:t xml:space="preserve"> can be</w:t>
      </w:r>
      <w:r w:rsidR="006954A4">
        <w:rPr>
          <w:rFonts w:cs="Times New Roman"/>
          <w:bCs/>
          <w:lang w:val="en-US" w:eastAsia="en-US"/>
        </w:rPr>
        <w:t xml:space="preserve"> </w:t>
      </w:r>
      <w:r w:rsidR="00CB4736">
        <w:rPr>
          <w:rFonts w:cs="Times New Roman"/>
          <w:bCs/>
          <w:lang w:eastAsia="en-US"/>
        </w:rPr>
        <w:t>implemented</w:t>
      </w:r>
      <w:r w:rsidR="0016154A">
        <w:rPr>
          <w:rFonts w:cs="Times New Roman"/>
          <w:bCs/>
          <w:lang w:eastAsia="en-US"/>
        </w:rPr>
        <w:t xml:space="preserve"> </w:t>
      </w:r>
      <w:r w:rsidR="0016154A" w:rsidRPr="00802DC5">
        <w:rPr>
          <w:rFonts w:cs="Times New Roman"/>
          <w:bCs/>
          <w:lang w:eastAsia="en-US"/>
        </w:rPr>
        <w:t xml:space="preserve">for </w:t>
      </w:r>
      <w:r w:rsidR="001F19DF">
        <w:rPr>
          <w:rFonts w:cs="Times New Roman"/>
          <w:bCs/>
          <w:lang w:eastAsia="en-US"/>
        </w:rPr>
        <w:t xml:space="preserve">the purpose of </w:t>
      </w:r>
      <w:r w:rsidR="0016154A" w:rsidRPr="00802DC5">
        <w:rPr>
          <w:rFonts w:cs="Times New Roman"/>
          <w:bCs/>
          <w:lang w:eastAsia="en-US"/>
        </w:rPr>
        <w:t>improving stakeholder engagement</w:t>
      </w:r>
      <w:r w:rsidR="001F19DF">
        <w:rPr>
          <w:rFonts w:cs="Times New Roman"/>
          <w:bCs/>
          <w:lang w:eastAsia="en-US"/>
        </w:rPr>
        <w:t xml:space="preserve"> so that </w:t>
      </w:r>
      <w:r w:rsidRPr="00737239">
        <w:rPr>
          <w:rFonts w:cs="Times New Roman"/>
          <w:bCs/>
          <w:lang w:eastAsia="en-US"/>
        </w:rPr>
        <w:t>stakeholders’ tr</w:t>
      </w:r>
      <w:r w:rsidRPr="00802DC5">
        <w:rPr>
          <w:rFonts w:cs="Times New Roman"/>
          <w:bCs/>
          <w:lang w:eastAsia="en-US"/>
        </w:rPr>
        <w:t xml:space="preserve">ust </w:t>
      </w:r>
      <w:r w:rsidR="006B3DE4">
        <w:rPr>
          <w:rFonts w:cs="Times New Roman"/>
          <w:bCs/>
          <w:lang w:eastAsia="en-US"/>
        </w:rPr>
        <w:t xml:space="preserve">could </w:t>
      </w:r>
      <w:r>
        <w:rPr>
          <w:rFonts w:cs="Times New Roman"/>
          <w:bCs/>
          <w:lang w:eastAsia="en-US"/>
        </w:rPr>
        <w:t xml:space="preserve">be </w:t>
      </w:r>
      <w:r w:rsidR="006B3DE4">
        <w:rPr>
          <w:rFonts w:cs="Times New Roman"/>
          <w:bCs/>
          <w:lang w:eastAsia="en-US"/>
        </w:rPr>
        <w:t>e</w:t>
      </w:r>
      <w:r w:rsidR="006B3DE4" w:rsidRPr="00737239">
        <w:rPr>
          <w:rFonts w:cs="Times New Roman"/>
          <w:bCs/>
          <w:lang w:eastAsia="en-US"/>
        </w:rPr>
        <w:t>nhanc</w:t>
      </w:r>
      <w:r w:rsidR="006B3DE4">
        <w:rPr>
          <w:rFonts w:cs="Times New Roman"/>
          <w:bCs/>
          <w:lang w:eastAsia="en-US"/>
        </w:rPr>
        <w:t>e</w:t>
      </w:r>
      <w:r>
        <w:rPr>
          <w:rFonts w:cs="Times New Roman"/>
          <w:bCs/>
          <w:lang w:eastAsia="en-US"/>
        </w:rPr>
        <w:t>d</w:t>
      </w:r>
      <w:r w:rsidR="006B3DE4" w:rsidRPr="00737239">
        <w:rPr>
          <w:rFonts w:cs="Times New Roman"/>
          <w:bCs/>
          <w:lang w:eastAsia="en-US"/>
        </w:rPr>
        <w:t xml:space="preserve"> </w:t>
      </w:r>
      <w:r w:rsidR="006B3DE4" w:rsidRPr="00802DC5">
        <w:rPr>
          <w:rFonts w:cs="Times New Roman"/>
          <w:bCs/>
          <w:lang w:eastAsia="en-US"/>
        </w:rPr>
        <w:t>in the project</w:t>
      </w:r>
      <w:r w:rsidR="00CB4736">
        <w:rPr>
          <w:rFonts w:cs="Times New Roman"/>
          <w:bCs/>
          <w:lang w:eastAsia="en-US"/>
        </w:rPr>
        <w:t xml:space="preserve">. </w:t>
      </w:r>
      <w:r w:rsidR="006B3DE4" w:rsidRPr="00802DC5">
        <w:rPr>
          <w:rFonts w:cs="Times New Roman"/>
          <w:bCs/>
          <w:lang w:eastAsia="en-US"/>
        </w:rPr>
        <w:t xml:space="preserve"> </w:t>
      </w:r>
      <w:r w:rsidR="00822E3A" w:rsidRPr="00A96AC5">
        <w:rPr>
          <w:rFonts w:cs="Times New Roman"/>
          <w:bCs/>
          <w:lang w:eastAsia="en-US"/>
        </w:rPr>
        <w:t xml:space="preserve">Based on </w:t>
      </w:r>
      <w:r w:rsidR="00CB4736">
        <w:rPr>
          <w:rFonts w:cs="Times New Roman"/>
          <w:bCs/>
          <w:lang w:eastAsia="en-US"/>
        </w:rPr>
        <w:t>such achievement</w:t>
      </w:r>
      <w:r w:rsidR="00822E3A" w:rsidRPr="00A96AC5">
        <w:rPr>
          <w:rFonts w:cs="Times New Roman"/>
          <w:bCs/>
          <w:lang w:eastAsia="en-US"/>
        </w:rPr>
        <w:t xml:space="preserve">, sustainable models of risk and profit allocation will be designed for the sustainable development of the facilities. </w:t>
      </w:r>
    </w:p>
    <w:p w14:paraId="44510270" w14:textId="3BD3A266" w:rsidR="00B753FD" w:rsidRPr="006C301D" w:rsidRDefault="00B753FD" w:rsidP="000A4E8C">
      <w:pPr>
        <w:spacing w:line="360" w:lineRule="auto"/>
        <w:rPr>
          <w:rFonts w:cs="Times New Roman"/>
          <w:b/>
          <w:i/>
          <w:iCs/>
          <w:lang w:eastAsia="en-US"/>
        </w:rPr>
      </w:pPr>
      <w:r w:rsidRPr="00802DC5">
        <w:rPr>
          <w:rFonts w:cs="Times New Roman"/>
          <w:b/>
          <w:i/>
          <w:iCs/>
          <w:lang w:eastAsia="en-US"/>
        </w:rPr>
        <w:t xml:space="preserve">PRQ </w:t>
      </w:r>
      <w:r w:rsidR="00822E3A">
        <w:rPr>
          <w:rFonts w:cs="Times New Roman"/>
          <w:b/>
          <w:i/>
          <w:iCs/>
          <w:lang w:eastAsia="en-US"/>
        </w:rPr>
        <w:t>3</w:t>
      </w:r>
      <w:r w:rsidRPr="00802DC5">
        <w:rPr>
          <w:rFonts w:cs="Times New Roman"/>
          <w:b/>
          <w:i/>
          <w:iCs/>
          <w:lang w:eastAsia="en-US"/>
        </w:rPr>
        <w:t xml:space="preserve">: How to develop novel methods and models for cost and risk allocation among the UCC stakeholders? </w:t>
      </w:r>
    </w:p>
    <w:p w14:paraId="72D76BA9" w14:textId="3C67ADD8" w:rsidR="00B753FD" w:rsidRPr="00737239" w:rsidRDefault="00B753FD" w:rsidP="000A4E8C">
      <w:pPr>
        <w:snapToGrid w:val="0"/>
        <w:spacing w:before="100" w:beforeAutospacing="1" w:line="360" w:lineRule="auto"/>
        <w:rPr>
          <w:rFonts w:cs="Times New Roman"/>
          <w:bCs/>
          <w:i/>
          <w:iCs/>
          <w:lang w:eastAsia="en-US"/>
        </w:rPr>
      </w:pPr>
      <w:r w:rsidRPr="00A96AC5">
        <w:rPr>
          <w:rFonts w:cs="Times New Roman"/>
          <w:bCs/>
          <w:i/>
          <w:iCs/>
          <w:lang w:eastAsia="en-US"/>
        </w:rPr>
        <w:t>SQ</w:t>
      </w:r>
      <w:r w:rsidR="004306D2">
        <w:rPr>
          <w:rFonts w:cs="Times New Roman"/>
          <w:bCs/>
          <w:i/>
          <w:iCs/>
          <w:lang w:eastAsia="en-US"/>
        </w:rPr>
        <w:t>3</w:t>
      </w:r>
      <w:r w:rsidRPr="00A96AC5">
        <w:rPr>
          <w:rFonts w:cs="Times New Roman"/>
          <w:bCs/>
          <w:i/>
          <w:iCs/>
          <w:lang w:eastAsia="en-US"/>
        </w:rPr>
        <w:t xml:space="preserve">: What is the justification for the engagement of different stakeholders in a cost allocation </w:t>
      </w:r>
      <w:r w:rsidRPr="00A96AC5">
        <w:rPr>
          <w:rFonts w:cs="Times New Roman"/>
          <w:bCs/>
          <w:i/>
          <w:iCs/>
        </w:rPr>
        <w:t>mechanism</w:t>
      </w:r>
      <w:r w:rsidRPr="008903D1">
        <w:rPr>
          <w:rFonts w:cs="Times New Roman"/>
          <w:bCs/>
          <w:i/>
          <w:iCs/>
          <w:lang w:eastAsia="en-US"/>
        </w:rPr>
        <w:t>?</w:t>
      </w:r>
    </w:p>
    <w:p w14:paraId="4D4A1E97" w14:textId="3CAAED39" w:rsidR="00B753FD" w:rsidRPr="00802DC5" w:rsidRDefault="00B753FD" w:rsidP="000A4E8C">
      <w:pPr>
        <w:snapToGrid w:val="0"/>
        <w:spacing w:before="100" w:beforeAutospacing="1" w:line="360" w:lineRule="auto"/>
        <w:rPr>
          <w:rFonts w:cs="Times New Roman"/>
          <w:bCs/>
          <w:i/>
          <w:iCs/>
          <w:lang w:eastAsia="en-US"/>
        </w:rPr>
      </w:pPr>
      <w:r w:rsidRPr="00737239">
        <w:rPr>
          <w:rFonts w:cs="Times New Roman"/>
          <w:bCs/>
          <w:i/>
          <w:iCs/>
          <w:lang w:eastAsia="en-US"/>
        </w:rPr>
        <w:t>SQ</w:t>
      </w:r>
      <w:r w:rsidR="004306D2">
        <w:rPr>
          <w:rFonts w:cs="Times New Roman"/>
          <w:bCs/>
          <w:i/>
          <w:iCs/>
          <w:lang w:eastAsia="en-US"/>
        </w:rPr>
        <w:t>4</w:t>
      </w:r>
      <w:r w:rsidRPr="00737239">
        <w:rPr>
          <w:rFonts w:cs="Times New Roman"/>
          <w:bCs/>
          <w:i/>
          <w:iCs/>
          <w:lang w:eastAsia="en-US"/>
        </w:rPr>
        <w:t xml:space="preserve">: How </w:t>
      </w:r>
      <w:r w:rsidRPr="00802DC5">
        <w:rPr>
          <w:rFonts w:cs="Times New Roman"/>
          <w:bCs/>
          <w:i/>
          <w:iCs/>
        </w:rPr>
        <w:t>would</w:t>
      </w:r>
      <w:r w:rsidRPr="008903D1">
        <w:rPr>
          <w:rFonts w:cs="Times New Roman"/>
          <w:bCs/>
          <w:i/>
          <w:iCs/>
          <w:lang w:eastAsia="en-US"/>
        </w:rPr>
        <w:t xml:space="preserve"> reasonable models </w:t>
      </w:r>
      <w:r w:rsidRPr="00737239">
        <w:rPr>
          <w:rFonts w:cs="Times New Roman"/>
          <w:bCs/>
          <w:i/>
          <w:iCs/>
          <w:lang w:eastAsia="en-US"/>
        </w:rPr>
        <w:t>of cost allocation among stakeholders participating in UCCs be defined?</w:t>
      </w:r>
    </w:p>
    <w:p w14:paraId="52395285" w14:textId="7709657C" w:rsidR="00BB0C9B" w:rsidRDefault="00B753FD" w:rsidP="007B7385">
      <w:pPr>
        <w:snapToGrid w:val="0"/>
        <w:spacing w:before="100" w:beforeAutospacing="1" w:after="240" w:line="360" w:lineRule="auto"/>
        <w:rPr>
          <w:rFonts w:cs="Times New Roman"/>
          <w:bCs/>
          <w:lang w:eastAsia="en-US"/>
        </w:rPr>
      </w:pPr>
      <w:r w:rsidRPr="006C301D">
        <w:rPr>
          <w:rFonts w:cs="Times New Roman"/>
          <w:bCs/>
          <w:lang w:eastAsia="en-US"/>
        </w:rPr>
        <w:t>Explanation: In response to financial issues caused by insufficient volume of consumers (a problem discussed frequently in articles and industrial reports</w:t>
      </w:r>
      <w:r w:rsidR="008B6C13">
        <w:rPr>
          <w:rFonts w:cs="Times New Roman"/>
          <w:bCs/>
          <w:lang w:eastAsia="en-US"/>
        </w:rPr>
        <w:t>)</w:t>
      </w:r>
      <w:r w:rsidRPr="006C301D">
        <w:rPr>
          <w:rFonts w:cs="Times New Roman"/>
          <w:bCs/>
          <w:lang w:eastAsia="en-US"/>
        </w:rPr>
        <w:t>, part of the UCC costs can be allocat</w:t>
      </w:r>
      <w:r w:rsidRPr="00A96AC5">
        <w:rPr>
          <w:rFonts w:cs="Times New Roman"/>
          <w:bCs/>
          <w:lang w:eastAsia="en-US"/>
        </w:rPr>
        <w:t xml:space="preserve">ed to upstream and downstream </w:t>
      </w:r>
      <w:r w:rsidRPr="00A96AC5">
        <w:rPr>
          <w:rFonts w:cs="Times New Roman"/>
          <w:bCs/>
        </w:rPr>
        <w:t>s</w:t>
      </w:r>
      <w:r w:rsidRPr="00A96AC5">
        <w:rPr>
          <w:rFonts w:cs="Times New Roman"/>
          <w:bCs/>
          <w:lang w:eastAsia="en-US"/>
        </w:rPr>
        <w:t xml:space="preserve">takeholders. </w:t>
      </w:r>
      <w:r w:rsidRPr="00A96AC5">
        <w:rPr>
          <w:rFonts w:cs="Times New Roman"/>
          <w:bCs/>
        </w:rPr>
        <w:t>Addressing</w:t>
      </w:r>
      <w:r w:rsidRPr="00A96AC5">
        <w:rPr>
          <w:rFonts w:cs="Times New Roman"/>
          <w:bCs/>
          <w:lang w:eastAsia="en-US"/>
        </w:rPr>
        <w:t xml:space="preserve"> the </w:t>
      </w:r>
      <w:r w:rsidRPr="00A96AC5">
        <w:rPr>
          <w:rFonts w:cs="Times New Roman"/>
          <w:bCs/>
        </w:rPr>
        <w:t>SQ</w:t>
      </w:r>
      <w:r w:rsidR="00822E3A">
        <w:rPr>
          <w:rFonts w:cs="Times New Roman"/>
          <w:bCs/>
          <w:lang w:eastAsia="en-US"/>
        </w:rPr>
        <w:t>3</w:t>
      </w:r>
      <w:r w:rsidRPr="00A96AC5">
        <w:rPr>
          <w:rFonts w:cs="Times New Roman"/>
          <w:bCs/>
          <w:lang w:eastAsia="en-US"/>
        </w:rPr>
        <w:t xml:space="preserve"> will enhance the justification of different stakeholders to share the UCC’s cost. Here, </w:t>
      </w:r>
      <w:r w:rsidR="00830976">
        <w:rPr>
          <w:rFonts w:cs="Times New Roman"/>
          <w:bCs/>
          <w:lang w:eastAsia="en-US"/>
        </w:rPr>
        <w:t>this research</w:t>
      </w:r>
      <w:r w:rsidRPr="00A96AC5">
        <w:rPr>
          <w:rFonts w:cs="Times New Roman"/>
          <w:bCs/>
          <w:lang w:eastAsia="en-US"/>
        </w:rPr>
        <w:t xml:space="preserve"> refer</w:t>
      </w:r>
      <w:r w:rsidR="00830976">
        <w:rPr>
          <w:rFonts w:cs="Times New Roman"/>
          <w:bCs/>
          <w:lang w:eastAsia="en-US"/>
        </w:rPr>
        <w:t>s</w:t>
      </w:r>
      <w:r w:rsidRPr="00A96AC5">
        <w:rPr>
          <w:rFonts w:cs="Times New Roman"/>
          <w:bCs/>
          <w:lang w:eastAsia="en-US"/>
        </w:rPr>
        <w:t xml:space="preserve"> to </w:t>
      </w:r>
      <w:r w:rsidRPr="00A96AC5">
        <w:rPr>
          <w:rFonts w:cs="Times New Roman"/>
          <w:bCs/>
          <w:lang w:eastAsia="en-US"/>
        </w:rPr>
        <w:lastRenderedPageBreak/>
        <w:t xml:space="preserve">previous studies </w:t>
      </w:r>
      <w:r w:rsidRPr="00A96AC5">
        <w:rPr>
          <w:rFonts w:cs="Times New Roman"/>
          <w:bCs/>
        </w:rPr>
        <w:t xml:space="preserve">that </w:t>
      </w:r>
      <w:r w:rsidRPr="00A96AC5">
        <w:rPr>
          <w:rFonts w:cs="Times New Roman"/>
          <w:bCs/>
          <w:lang w:eastAsia="en-US"/>
        </w:rPr>
        <w:t xml:space="preserve">propose that relevant stakeholders have a responsibility to resolve the sustainability issues, and these studies support the legitimacy of involving different stakeholders in the cost allocation. </w:t>
      </w:r>
      <w:r w:rsidRPr="00A96AC5">
        <w:rPr>
          <w:rFonts w:cs="Times New Roman"/>
          <w:bCs/>
        </w:rPr>
        <w:t>To</w:t>
      </w:r>
      <w:r w:rsidRPr="00A96AC5">
        <w:rPr>
          <w:rFonts w:cs="Times New Roman"/>
          <w:bCs/>
          <w:lang w:eastAsia="en-US"/>
        </w:rPr>
        <w:t xml:space="preserve"> </w:t>
      </w:r>
      <w:r w:rsidRPr="00A96AC5">
        <w:rPr>
          <w:rFonts w:cs="Times New Roman"/>
          <w:bCs/>
        </w:rPr>
        <w:t>tackle</w:t>
      </w:r>
      <w:r w:rsidRPr="00A96AC5">
        <w:rPr>
          <w:rFonts w:cs="Times New Roman"/>
          <w:bCs/>
          <w:lang w:eastAsia="en-US"/>
        </w:rPr>
        <w:t xml:space="preserve"> </w:t>
      </w:r>
      <w:r w:rsidRPr="00A96AC5">
        <w:rPr>
          <w:rFonts w:cs="Times New Roman"/>
          <w:bCs/>
        </w:rPr>
        <w:t>SQ</w:t>
      </w:r>
      <w:r w:rsidR="00822E3A">
        <w:rPr>
          <w:rFonts w:cs="Times New Roman"/>
          <w:bCs/>
          <w:lang w:eastAsia="en-US"/>
        </w:rPr>
        <w:t>4</w:t>
      </w:r>
      <w:r w:rsidRPr="00A96AC5">
        <w:rPr>
          <w:rFonts w:cs="Times New Roman"/>
          <w:bCs/>
          <w:lang w:eastAsia="en-US"/>
        </w:rPr>
        <w:t xml:space="preserve">, </w:t>
      </w:r>
      <w:r w:rsidRPr="00A96AC5">
        <w:rPr>
          <w:rFonts w:cs="Times New Roman"/>
          <w:bCs/>
        </w:rPr>
        <w:t xml:space="preserve">a </w:t>
      </w:r>
      <w:r w:rsidRPr="00A96AC5">
        <w:rPr>
          <w:rFonts w:cs="Times New Roman"/>
          <w:bCs/>
          <w:lang w:eastAsia="en-US"/>
        </w:rPr>
        <w:t>cooperative game theory approach is used to formulate fair and efficient cost allocation rules for the stakeholders in the upstream and downstream relationship</w:t>
      </w:r>
      <w:r w:rsidR="008B6C13">
        <w:rPr>
          <w:rFonts w:cs="Times New Roman"/>
          <w:bCs/>
          <w:lang w:eastAsia="en-US"/>
        </w:rPr>
        <w:t>s</w:t>
      </w:r>
      <w:r w:rsidRPr="00A96AC5">
        <w:rPr>
          <w:rFonts w:cs="Times New Roman"/>
          <w:bCs/>
          <w:lang w:eastAsia="en-US"/>
        </w:rPr>
        <w:t xml:space="preserve">. A case study is conducted to test the feasibility of this cost allocation rule. </w:t>
      </w:r>
      <w:r w:rsidRPr="00A96AC5">
        <w:rPr>
          <w:rFonts w:cs="Times New Roman"/>
          <w:bCs/>
        </w:rPr>
        <w:t>PRQ</w:t>
      </w:r>
      <w:r w:rsidRPr="008903D1">
        <w:rPr>
          <w:rFonts w:cs="Times New Roman"/>
          <w:bCs/>
          <w:lang w:eastAsia="en-US"/>
        </w:rPr>
        <w:t xml:space="preserve">3 </w:t>
      </w:r>
      <w:r w:rsidRPr="00737239">
        <w:rPr>
          <w:rFonts w:cs="Times New Roman"/>
          <w:bCs/>
          <w:lang w:eastAsia="en-US"/>
        </w:rPr>
        <w:t xml:space="preserve">is addressed </w:t>
      </w:r>
      <w:proofErr w:type="gramStart"/>
      <w:r w:rsidRPr="00737239">
        <w:rPr>
          <w:rFonts w:cs="Times New Roman"/>
          <w:bCs/>
          <w:lang w:eastAsia="en-US"/>
        </w:rPr>
        <w:t>with regard to</w:t>
      </w:r>
      <w:proofErr w:type="gramEnd"/>
      <w:r w:rsidRPr="00737239">
        <w:rPr>
          <w:rFonts w:cs="Times New Roman"/>
          <w:bCs/>
          <w:lang w:eastAsia="en-US"/>
        </w:rPr>
        <w:t xml:space="preserve"> mitigating financial issues by promoting stakeholder engagement. </w:t>
      </w:r>
    </w:p>
    <w:p w14:paraId="3E8737CA" w14:textId="3E3D40B5" w:rsidR="00C8467E" w:rsidRPr="00C8467E" w:rsidRDefault="00C8467E" w:rsidP="007B7385">
      <w:pPr>
        <w:snapToGrid w:val="0"/>
        <w:spacing w:before="100" w:beforeAutospacing="1" w:after="240" w:line="360" w:lineRule="auto"/>
        <w:rPr>
          <w:rFonts w:cs="Times New Roman"/>
          <w:b/>
          <w:bCs/>
          <w:lang w:eastAsia="en-US"/>
        </w:rPr>
      </w:pPr>
      <w:r w:rsidRPr="00C8467E">
        <w:rPr>
          <w:b/>
          <w:bCs/>
        </w:rPr>
        <w:t>A Decision Support System for the strategic planning of urban consolidation centres</w:t>
      </w:r>
    </w:p>
    <w:p w14:paraId="3909E884" w14:textId="0CB99A64" w:rsidR="0071798B" w:rsidRPr="007B7385" w:rsidRDefault="00315D64" w:rsidP="007B7385">
      <w:pPr>
        <w:spacing w:after="240" w:line="360" w:lineRule="auto"/>
        <w:ind w:right="54"/>
        <w:rPr>
          <w:rFonts w:cs="Times New Roman"/>
          <w:bCs/>
          <w:lang w:eastAsia="en-US"/>
        </w:rPr>
      </w:pPr>
      <w:r>
        <w:rPr>
          <w:rFonts w:cs="Times New Roman"/>
          <w:bCs/>
          <w:lang w:eastAsia="en-US"/>
        </w:rPr>
        <w:t>F</w:t>
      </w:r>
      <w:r w:rsidR="00B753FD" w:rsidRPr="00A96AC5">
        <w:rPr>
          <w:rFonts w:cs="Times New Roman"/>
          <w:bCs/>
          <w:lang w:eastAsia="en-US"/>
        </w:rPr>
        <w:t xml:space="preserve">ormulae designed </w:t>
      </w:r>
      <w:r w:rsidR="0042201F">
        <w:rPr>
          <w:rFonts w:cs="Times New Roman"/>
          <w:bCs/>
          <w:lang w:eastAsia="en-US"/>
        </w:rPr>
        <w:t>to address PRQ1</w:t>
      </w:r>
      <w:r w:rsidR="00B753FD" w:rsidRPr="00A96AC5">
        <w:rPr>
          <w:rFonts w:cs="Times New Roman"/>
          <w:bCs/>
          <w:lang w:eastAsia="en-US"/>
        </w:rPr>
        <w:t xml:space="preserve"> will be embedded in </w:t>
      </w:r>
      <w:r>
        <w:rPr>
          <w:rFonts w:cs="Times New Roman"/>
          <w:bCs/>
          <w:lang w:eastAsia="en-US"/>
        </w:rPr>
        <w:t>a decision support system.</w:t>
      </w:r>
      <w:r w:rsidR="00B753FD" w:rsidRPr="00A96AC5">
        <w:rPr>
          <w:rFonts w:cs="Times New Roman"/>
          <w:bCs/>
          <w:lang w:eastAsia="en-US"/>
        </w:rPr>
        <w:t xml:space="preserve"> Planners can then estimate the financial performance of a UCC in potential scenarios according to the pre-inputted variables in terms of location, workforce planning, consumer volumes, and fleet size. As a result, this decision-making tool can facilitate decision-making in the planning stage by providing a useful estimate of the investment required and its potential financial reward. Planners can also better understand the potential reasons for financial difficulties.</w:t>
      </w:r>
      <w:bookmarkStart w:id="466" w:name="_Toc490823591"/>
      <w:bookmarkStart w:id="467" w:name="_Toc490484796"/>
      <w:bookmarkStart w:id="468" w:name="_Toc490415389"/>
      <w:bookmarkEnd w:id="456"/>
      <w:bookmarkEnd w:id="457"/>
      <w:bookmarkEnd w:id="458"/>
      <w:bookmarkEnd w:id="463"/>
      <w:bookmarkEnd w:id="464"/>
      <w:bookmarkEnd w:id="465"/>
    </w:p>
    <w:p w14:paraId="4C29D9C2" w14:textId="77777777" w:rsidR="0071798B" w:rsidRPr="00737239" w:rsidRDefault="00DC7C39" w:rsidP="000A4E8C">
      <w:pPr>
        <w:pStyle w:val="Heading2"/>
        <w:spacing w:after="120" w:line="360" w:lineRule="auto"/>
        <w:rPr>
          <w:rFonts w:cs="Times New Roman"/>
        </w:rPr>
      </w:pPr>
      <w:bookmarkStart w:id="469" w:name="_Toc490823592"/>
      <w:bookmarkStart w:id="470" w:name="_Toc490484797"/>
      <w:bookmarkStart w:id="471" w:name="_Toc491894853"/>
      <w:bookmarkStart w:id="472" w:name="_Toc34734511"/>
      <w:bookmarkEnd w:id="466"/>
      <w:bookmarkEnd w:id="467"/>
      <w:bookmarkEnd w:id="468"/>
      <w:r>
        <w:rPr>
          <w:rFonts w:cs="Times New Roman"/>
        </w:rPr>
        <w:t xml:space="preserve"> </w:t>
      </w:r>
      <w:bookmarkStart w:id="473" w:name="_Toc46053429"/>
      <w:bookmarkStart w:id="474" w:name="_Toc46093343"/>
      <w:bookmarkStart w:id="475" w:name="_Toc46093626"/>
      <w:bookmarkStart w:id="476" w:name="_Toc66703201"/>
      <w:r w:rsidR="0071798B" w:rsidRPr="008903D1">
        <w:rPr>
          <w:rFonts w:cs="Times New Roman"/>
        </w:rPr>
        <w:t xml:space="preserve">Chapter </w:t>
      </w:r>
      <w:bookmarkEnd w:id="469"/>
      <w:bookmarkEnd w:id="470"/>
      <w:bookmarkEnd w:id="471"/>
      <w:r w:rsidR="0071798B" w:rsidRPr="00737239">
        <w:rPr>
          <w:rFonts w:cs="Times New Roman"/>
        </w:rPr>
        <w:t>summary</w:t>
      </w:r>
      <w:bookmarkEnd w:id="472"/>
      <w:bookmarkEnd w:id="473"/>
      <w:bookmarkEnd w:id="474"/>
      <w:bookmarkEnd w:id="475"/>
      <w:bookmarkEnd w:id="476"/>
    </w:p>
    <w:p w14:paraId="7C93BE17" w14:textId="77777777" w:rsidR="0071798B" w:rsidRPr="00A96AC5" w:rsidRDefault="0071798B" w:rsidP="000A4E8C">
      <w:pPr>
        <w:spacing w:line="360" w:lineRule="auto"/>
        <w:rPr>
          <w:rFonts w:cs="Times New Roman"/>
        </w:rPr>
      </w:pPr>
      <w:r w:rsidRPr="00802DC5">
        <w:rPr>
          <w:rFonts w:cs="Times New Roman"/>
        </w:rPr>
        <w:t>This chapter reviewed the articles in the research field of SUL and UCCs. In addition, a grey literature review was conducted. Combing the academic findings and industrial issues, this research considers internal issues of stakeholder engagement, collaborative frameworks, and financial d</w:t>
      </w:r>
      <w:r w:rsidRPr="006C301D">
        <w:rPr>
          <w:rFonts w:cs="Times New Roman"/>
        </w:rPr>
        <w:t xml:space="preserve">ifficulties. It also identifies gaps in the existing literature and proposes </w:t>
      </w:r>
      <w:proofErr w:type="gramStart"/>
      <w:r w:rsidRPr="006C301D">
        <w:rPr>
          <w:rFonts w:cs="Times New Roman"/>
        </w:rPr>
        <w:t>a number of</w:t>
      </w:r>
      <w:proofErr w:type="gramEnd"/>
      <w:r w:rsidRPr="006C301D">
        <w:rPr>
          <w:rFonts w:cs="Times New Roman"/>
        </w:rPr>
        <w:t xml:space="preserve"> research questions. The following chapters will discuss the methodologies chosen to investigate these problems.</w:t>
      </w:r>
    </w:p>
    <w:p w14:paraId="4AF077A9" w14:textId="77777777" w:rsidR="0071798B" w:rsidRPr="00A96AC5" w:rsidRDefault="0071798B" w:rsidP="000A4E8C">
      <w:pPr>
        <w:spacing w:line="360" w:lineRule="auto"/>
        <w:jc w:val="left"/>
        <w:rPr>
          <w:rFonts w:cs="Times New Roman"/>
        </w:rPr>
      </w:pPr>
      <w:r w:rsidRPr="00A96AC5">
        <w:rPr>
          <w:rFonts w:cs="Times New Roman"/>
        </w:rPr>
        <w:br w:type="page"/>
      </w:r>
    </w:p>
    <w:p w14:paraId="062B5940" w14:textId="77777777" w:rsidR="0071798B" w:rsidRPr="00A96AC5" w:rsidRDefault="0071798B" w:rsidP="000A4E8C">
      <w:pPr>
        <w:pStyle w:val="Heading1"/>
        <w:spacing w:after="0" w:afterAutospacing="0" w:line="360" w:lineRule="auto"/>
        <w:rPr>
          <w:rFonts w:cs="Times New Roman"/>
        </w:rPr>
      </w:pPr>
      <w:bookmarkStart w:id="477" w:name="_Toc34734512"/>
      <w:bookmarkStart w:id="478" w:name="_Toc46053430"/>
      <w:bookmarkStart w:id="479" w:name="_Toc46093344"/>
      <w:bookmarkStart w:id="480" w:name="_Toc46093627"/>
      <w:bookmarkStart w:id="481" w:name="_Toc66703202"/>
      <w:r w:rsidRPr="00A96AC5">
        <w:rPr>
          <w:rFonts w:cs="Times New Roman"/>
        </w:rPr>
        <w:lastRenderedPageBreak/>
        <w:t>Methodology</w:t>
      </w:r>
      <w:bookmarkEnd w:id="477"/>
      <w:bookmarkEnd w:id="478"/>
      <w:bookmarkEnd w:id="479"/>
      <w:bookmarkEnd w:id="480"/>
      <w:bookmarkEnd w:id="481"/>
    </w:p>
    <w:p w14:paraId="480BB155" w14:textId="74B3A1E3" w:rsidR="0071798B" w:rsidRPr="00A96AC5" w:rsidRDefault="0071798B" w:rsidP="000A4E8C">
      <w:pPr>
        <w:spacing w:line="360" w:lineRule="auto"/>
        <w:rPr>
          <w:rFonts w:cs="Times New Roman"/>
        </w:rPr>
      </w:pPr>
      <w:bookmarkStart w:id="482" w:name="_Toc490823595"/>
      <w:bookmarkStart w:id="483" w:name="_Toc460086053"/>
      <w:bookmarkStart w:id="484" w:name="_Toc490415391"/>
      <w:bookmarkStart w:id="485" w:name="_Toc490484800"/>
      <w:r w:rsidRPr="00A96AC5">
        <w:rPr>
          <w:rFonts w:cs="Times New Roman"/>
        </w:rPr>
        <w:t xml:space="preserve">This chapter provides an overview of the methodological approach used in this </w:t>
      </w:r>
      <w:r w:rsidR="00055552">
        <w:rPr>
          <w:rFonts w:cs="Times New Roman"/>
        </w:rPr>
        <w:t>thesis</w:t>
      </w:r>
      <w:r w:rsidRPr="00A96AC5">
        <w:rPr>
          <w:rFonts w:cs="Times New Roman"/>
        </w:rPr>
        <w:t>, emphasising the research philosophy and data collection process. In addition, details of the theoretical and modelling frameworks are provided.</w:t>
      </w:r>
    </w:p>
    <w:p w14:paraId="039EF5DB" w14:textId="400C35A5" w:rsidR="0071798B" w:rsidRDefault="0071798B" w:rsidP="000A4E8C">
      <w:pPr>
        <w:pStyle w:val="Heading2"/>
        <w:spacing w:after="120" w:line="360" w:lineRule="auto"/>
        <w:rPr>
          <w:rFonts w:cs="Times New Roman"/>
        </w:rPr>
      </w:pPr>
      <w:bookmarkStart w:id="486" w:name="_Toc491894855"/>
      <w:bookmarkStart w:id="487" w:name="_Toc34734513"/>
      <w:bookmarkStart w:id="488" w:name="_Toc46053431"/>
      <w:bookmarkStart w:id="489" w:name="_Toc46093345"/>
      <w:bookmarkStart w:id="490" w:name="_Toc46093628"/>
      <w:bookmarkStart w:id="491" w:name="_Toc66703203"/>
      <w:r w:rsidRPr="00A96AC5">
        <w:rPr>
          <w:rFonts w:cs="Times New Roman"/>
        </w:rPr>
        <w:t xml:space="preserve">Research </w:t>
      </w:r>
      <w:bookmarkEnd w:id="482"/>
      <w:bookmarkEnd w:id="483"/>
      <w:bookmarkEnd w:id="484"/>
      <w:bookmarkEnd w:id="485"/>
      <w:bookmarkEnd w:id="486"/>
      <w:r w:rsidRPr="00A96AC5">
        <w:rPr>
          <w:rFonts w:cs="Times New Roman"/>
        </w:rPr>
        <w:t>philosophy</w:t>
      </w:r>
      <w:bookmarkEnd w:id="487"/>
      <w:bookmarkEnd w:id="488"/>
      <w:bookmarkEnd w:id="489"/>
      <w:bookmarkEnd w:id="490"/>
      <w:bookmarkEnd w:id="491"/>
    </w:p>
    <w:p w14:paraId="388C49E2" w14:textId="364E9BA1" w:rsidR="0071798B" w:rsidRDefault="003B59C6" w:rsidP="007B7385">
      <w:pPr>
        <w:spacing w:after="240" w:line="360" w:lineRule="auto"/>
        <w:rPr>
          <w:rFonts w:cs="Times New Roman"/>
        </w:rPr>
      </w:pPr>
      <w:r>
        <w:rPr>
          <w:rFonts w:cs="Times New Roman" w:hint="eastAsia"/>
        </w:rPr>
        <w:t>This</w:t>
      </w:r>
      <w:r>
        <w:rPr>
          <w:rFonts w:cs="Times New Roman"/>
        </w:rPr>
        <w:t xml:space="preserve"> </w:t>
      </w:r>
      <w:r>
        <w:rPr>
          <w:rFonts w:cs="Times New Roman" w:hint="eastAsia"/>
        </w:rPr>
        <w:t>research</w:t>
      </w:r>
      <w:r>
        <w:rPr>
          <w:rFonts w:cs="Times New Roman"/>
        </w:rPr>
        <w:t xml:space="preserve"> followed </w:t>
      </w:r>
      <w:r w:rsidR="00A72992">
        <w:rPr>
          <w:rFonts w:cs="Times New Roman"/>
        </w:rPr>
        <w:t>an</w:t>
      </w:r>
      <w:r>
        <w:rPr>
          <w:rFonts w:cs="Times New Roman"/>
        </w:rPr>
        <w:t xml:space="preserve"> </w:t>
      </w:r>
      <w:r>
        <w:rPr>
          <w:rFonts w:cs="Times New Roman" w:hint="eastAsia"/>
        </w:rPr>
        <w:t>operational</w:t>
      </w:r>
      <w:r>
        <w:rPr>
          <w:rFonts w:cs="Times New Roman"/>
        </w:rPr>
        <w:t xml:space="preserve"> </w:t>
      </w:r>
      <w:r>
        <w:rPr>
          <w:rFonts w:cs="Times New Roman" w:hint="eastAsia"/>
        </w:rPr>
        <w:t>research</w:t>
      </w:r>
      <w:r w:rsidR="00A72992">
        <w:rPr>
          <w:rFonts w:cs="Times New Roman"/>
          <w:lang w:val="en-US"/>
        </w:rPr>
        <w:t xml:space="preserve"> (OR)</w:t>
      </w:r>
      <w:r>
        <w:rPr>
          <w:rFonts w:cs="Times New Roman"/>
        </w:rPr>
        <w:t xml:space="preserve"> </w:t>
      </w:r>
      <w:r>
        <w:rPr>
          <w:rFonts w:cs="Times New Roman" w:hint="eastAsia"/>
        </w:rPr>
        <w:t>paradigm</w:t>
      </w:r>
      <w:r w:rsidR="00A72992">
        <w:rPr>
          <w:rFonts w:cs="Times New Roman"/>
        </w:rPr>
        <w:t xml:space="preserve">. As </w:t>
      </w:r>
      <w:r w:rsidR="002F0EEC">
        <w:rPr>
          <w:rFonts w:cs="Times New Roman"/>
        </w:rPr>
        <w:t xml:space="preserve">indicated in </w:t>
      </w:r>
      <w:r w:rsidR="0021173E">
        <w:rPr>
          <w:rFonts w:cs="Times New Roman"/>
        </w:rPr>
        <w:t>S</w:t>
      </w:r>
      <w:r w:rsidR="002F0EEC">
        <w:rPr>
          <w:rFonts w:cs="Times New Roman"/>
        </w:rPr>
        <w:t>ection 2.9, this thesis includ</w:t>
      </w:r>
      <w:r w:rsidR="00DB0EBA">
        <w:rPr>
          <w:rFonts w:cs="Times New Roman"/>
        </w:rPr>
        <w:t>es</w:t>
      </w:r>
      <w:r w:rsidR="002F0EEC">
        <w:rPr>
          <w:rFonts w:cs="Times New Roman"/>
        </w:rPr>
        <w:t xml:space="preserve"> two major parts</w:t>
      </w:r>
      <w:r w:rsidR="000F72CD">
        <w:rPr>
          <w:rFonts w:cs="Times New Roman"/>
        </w:rPr>
        <w:t>.</w:t>
      </w:r>
      <w:r w:rsidR="002F0EEC">
        <w:rPr>
          <w:rFonts w:cs="Times New Roman"/>
        </w:rPr>
        <w:t xml:space="preserve"> </w:t>
      </w:r>
      <w:r w:rsidR="000F72CD">
        <w:rPr>
          <w:rFonts w:cs="Times New Roman"/>
        </w:rPr>
        <w:t>I</w:t>
      </w:r>
      <w:r w:rsidR="00540842">
        <w:rPr>
          <w:rFonts w:cs="Times New Roman"/>
        </w:rPr>
        <w:t>n</w:t>
      </w:r>
      <w:r w:rsidR="002F0EEC">
        <w:rPr>
          <w:rFonts w:cs="Times New Roman"/>
        </w:rPr>
        <w:t xml:space="preserve"> the first part, </w:t>
      </w:r>
      <w:r w:rsidR="005F184D">
        <w:rPr>
          <w:rFonts w:cs="Times New Roman"/>
        </w:rPr>
        <w:t>this study hope</w:t>
      </w:r>
      <w:r w:rsidR="00DB6BCF">
        <w:rPr>
          <w:rFonts w:cs="Times New Roman"/>
        </w:rPr>
        <w:t>s</w:t>
      </w:r>
      <w:r w:rsidR="005F184D">
        <w:rPr>
          <w:rFonts w:cs="Times New Roman"/>
        </w:rPr>
        <w:t xml:space="preserve"> to use </w:t>
      </w:r>
      <w:r w:rsidR="002439B2">
        <w:rPr>
          <w:rFonts w:cs="Times New Roman"/>
        </w:rPr>
        <w:t>a</w:t>
      </w:r>
      <w:r w:rsidR="005F184D">
        <w:rPr>
          <w:rFonts w:cs="Times New Roman"/>
        </w:rPr>
        <w:t xml:space="preserve"> combined approach</w:t>
      </w:r>
      <w:r w:rsidR="002439B2">
        <w:rPr>
          <w:rFonts w:cs="Times New Roman"/>
        </w:rPr>
        <w:t xml:space="preserve">, which integrates AHP </w:t>
      </w:r>
      <w:r w:rsidR="00C82AE4">
        <w:rPr>
          <w:rFonts w:cs="Times New Roman"/>
        </w:rPr>
        <w:t>with</w:t>
      </w:r>
      <w:r w:rsidR="002439B2">
        <w:rPr>
          <w:rFonts w:cs="Times New Roman"/>
        </w:rPr>
        <w:t xml:space="preserve"> </w:t>
      </w:r>
      <w:r w:rsidR="002439B2">
        <w:rPr>
          <w:rFonts w:cs="Times New Roman" w:hint="eastAsia"/>
        </w:rPr>
        <w:t>Thematic</w:t>
      </w:r>
      <w:r w:rsidR="002439B2">
        <w:rPr>
          <w:rFonts w:cs="Times New Roman"/>
        </w:rPr>
        <w:t xml:space="preserve"> </w:t>
      </w:r>
      <w:r w:rsidR="002439B2">
        <w:rPr>
          <w:rFonts w:cs="Times New Roman" w:hint="eastAsia"/>
        </w:rPr>
        <w:t>Analysis</w:t>
      </w:r>
      <w:r w:rsidR="002439B2">
        <w:rPr>
          <w:rFonts w:cs="Times New Roman"/>
        </w:rPr>
        <w:t>, to</w:t>
      </w:r>
      <w:r w:rsidR="004906C3">
        <w:rPr>
          <w:rFonts w:cs="Times New Roman"/>
        </w:rPr>
        <w:t xml:space="preserve"> measure the agreement and expl</w:t>
      </w:r>
      <w:r w:rsidR="00B3228F">
        <w:rPr>
          <w:rFonts w:cs="Times New Roman"/>
        </w:rPr>
        <w:t>ain</w:t>
      </w:r>
      <w:r w:rsidR="004906C3">
        <w:rPr>
          <w:rFonts w:cs="Times New Roman"/>
        </w:rPr>
        <w:t xml:space="preserve"> the categories and reasons </w:t>
      </w:r>
      <w:r w:rsidR="00BF6857">
        <w:rPr>
          <w:rFonts w:cs="Times New Roman"/>
        </w:rPr>
        <w:t>for</w:t>
      </w:r>
      <w:r w:rsidR="004906C3">
        <w:rPr>
          <w:rFonts w:cs="Times New Roman"/>
        </w:rPr>
        <w:t xml:space="preserve"> the conflicts between different stakeholders in the UCC. </w:t>
      </w:r>
      <w:r w:rsidR="00540842">
        <w:rPr>
          <w:rFonts w:cs="Times New Roman"/>
        </w:rPr>
        <w:t xml:space="preserve">In the second part, </w:t>
      </w:r>
      <w:r w:rsidR="00931740">
        <w:rPr>
          <w:rFonts w:cs="Times New Roman"/>
        </w:rPr>
        <w:t>a</w:t>
      </w:r>
      <w:r w:rsidR="000D582E">
        <w:rPr>
          <w:rFonts w:cs="Times New Roman"/>
        </w:rPr>
        <w:t xml:space="preserve">n </w:t>
      </w:r>
      <w:r w:rsidR="0063780E">
        <w:rPr>
          <w:rFonts w:cs="Times New Roman"/>
        </w:rPr>
        <w:t>innovative</w:t>
      </w:r>
      <w:r w:rsidR="00C00EEF">
        <w:rPr>
          <w:rFonts w:cs="Times New Roman"/>
        </w:rPr>
        <w:t xml:space="preserve"> cost allocation method</w:t>
      </w:r>
      <w:r w:rsidR="00931740">
        <w:rPr>
          <w:rFonts w:cs="Times New Roman"/>
        </w:rPr>
        <w:t xml:space="preserve"> with Shapley value characteristics form </w:t>
      </w:r>
      <w:r w:rsidR="00DF55E0">
        <w:rPr>
          <w:rFonts w:cs="Times New Roman"/>
        </w:rPr>
        <w:t>is</w:t>
      </w:r>
      <w:r w:rsidR="00931740">
        <w:rPr>
          <w:rFonts w:cs="Times New Roman"/>
        </w:rPr>
        <w:t xml:space="preserve"> develop</w:t>
      </w:r>
      <w:r w:rsidR="00C00EEF">
        <w:rPr>
          <w:rFonts w:cs="Times New Roman"/>
        </w:rPr>
        <w:t xml:space="preserve">ed and implicated to mitigate the financial burdens of </w:t>
      </w:r>
      <w:r w:rsidR="0040532E">
        <w:rPr>
          <w:rFonts w:cs="Times New Roman"/>
        </w:rPr>
        <w:t xml:space="preserve">a </w:t>
      </w:r>
      <w:r w:rsidR="00C00EEF">
        <w:rPr>
          <w:rFonts w:cs="Times New Roman"/>
        </w:rPr>
        <w:t xml:space="preserve">UCC. </w:t>
      </w:r>
      <w:r w:rsidR="0071798B" w:rsidRPr="00A96AC5">
        <w:rPr>
          <w:rFonts w:cs="Times New Roman"/>
        </w:rPr>
        <w:t xml:space="preserve">As this work is based on operational research (OR) methodologies, the models are implemented for practical issues, rather than to test specific hypotheses or put forward new theories </w:t>
      </w:r>
      <w:r w:rsidR="000A1977">
        <w:rPr>
          <w:rFonts w:cs="Times New Roman"/>
        </w:rPr>
        <w:fldChar w:fldCharType="begin"/>
      </w:r>
      <w:r w:rsidR="00647E79">
        <w:rPr>
          <w:rFonts w:cs="Times New Roman"/>
        </w:rPr>
        <w:instrText xml:space="preserve"> ADDIN EN.CITE &lt;EndNote&gt;&lt;Cite&gt;&lt;Author&gt;Jackson&lt;/Author&gt;&lt;Year&gt;1993&lt;/Year&gt;&lt;RecNum&gt;254&lt;/RecNum&gt;&lt;DisplayText&gt;(Jackson, 1993)&lt;/DisplayText&gt;&lt;record&gt;&lt;rec-number&gt;254&lt;/rec-number&gt;&lt;foreign-keys&gt;&lt;key app="EN" db-id="pzt5ep52hsedfpeext2pdfes0w0aswaewef2" timestamp="1605187998"&gt;254&lt;/key&gt;&lt;/foreign-keys&gt;&lt;ref-type name="Journal Article"&gt;17&lt;/ref-type&gt;&lt;contributors&gt;&lt;authors&gt;&lt;author&gt;Jackson, Michael C.&lt;/author&gt;&lt;/authors&gt;&lt;/contributors&gt;&lt;titles&gt;&lt;title&gt;Social Theory and Operational Research Practice&lt;/title&gt;&lt;secondary-title&gt;Journal of the Operational Research Society&lt;/secondary-title&gt;&lt;/titles&gt;&lt;periodical&gt;&lt;full-title&gt;Journal of the Operational Research Society&lt;/full-title&gt;&lt;/periodical&gt;&lt;pages&gt;563-577&lt;/pages&gt;&lt;volume&gt;44&lt;/volume&gt;&lt;number&gt;6&lt;/number&gt;&lt;dates&gt;&lt;year&gt;1993&lt;/year&gt;&lt;pub-dates&gt;&lt;date&gt;June 01&lt;/date&gt;&lt;/pub-dates&gt;&lt;/dates&gt;&lt;isbn&gt;1476-9360&lt;/isbn&gt;&lt;label&gt;Jackson1993&lt;/label&gt;&lt;work-type&gt;journal article&lt;/work-type&gt;&lt;urls&gt;&lt;related-urls&gt;&lt;url&gt;https://doi.org/10.1057/jors.1993.98&lt;/url&gt;&lt;url&gt;http://dx.doi.org/10.1057/jors.1993.98&lt;/url&gt;&lt;/related-urls&gt;&lt;/urls&gt;&lt;electronic-resource-num&gt;10.1057/jors.1993.98&lt;/electronic-resource-num&gt;&lt;/record&gt;&lt;/Cite&gt;&lt;/EndNote&gt;</w:instrText>
      </w:r>
      <w:r w:rsidR="000A1977">
        <w:rPr>
          <w:rFonts w:cs="Times New Roman"/>
        </w:rPr>
        <w:fldChar w:fldCharType="separate"/>
      </w:r>
      <w:r w:rsidR="000A1977">
        <w:rPr>
          <w:rFonts w:cs="Times New Roman"/>
          <w:noProof/>
        </w:rPr>
        <w:t>(Jackson, 1993)</w:t>
      </w:r>
      <w:r w:rsidR="000A1977">
        <w:rPr>
          <w:rFonts w:cs="Times New Roman"/>
        </w:rPr>
        <w:fldChar w:fldCharType="end"/>
      </w:r>
      <w:r w:rsidR="0071798B" w:rsidRPr="00A96AC5">
        <w:rPr>
          <w:rFonts w:cs="Times New Roman"/>
        </w:rPr>
        <w:t xml:space="preserve">. </w:t>
      </w:r>
      <w:r w:rsidR="000A1977">
        <w:fldChar w:fldCharType="begin"/>
      </w:r>
      <w:r w:rsidR="00647E79">
        <w:instrText xml:space="preserve"> ADDIN EN.CITE &lt;EndNote&gt;&lt;Cite AuthorYear="1"&gt;&lt;Author&gt;Miser&lt;/Author&gt;&lt;Year&gt;1997&lt;/Year&gt;&lt;RecNum&gt;255&lt;/RecNum&gt;&lt;DisplayText&gt;Miser (1997)&lt;/DisplayText&gt;&lt;record&gt;&lt;rec-number&gt;255&lt;/rec-number&gt;&lt;foreign-keys&gt;&lt;key app="EN" db-id="pzt5ep52hsedfpeext2pdfes0w0aswaewef2" timestamp="1605187998"&gt;255&lt;/key&gt;&lt;/foreign-keys&gt;&lt;ref-type name="Journal Article"&gt;17&lt;/ref-type&gt;&lt;contributors&gt;&lt;authors&gt;&lt;author&gt;Miser, Hugh J.&lt;/author&gt;&lt;/authors&gt;&lt;/contributors&gt;&lt;titles&gt;&lt;title&gt;The Easy Chair: Is It Possible to Have a Good Definitional Description of Operations Research and Management Science?&lt;/title&gt;&lt;secondary-title&gt;Interfaces&lt;/secondary-title&gt;&lt;/titles&gt;&lt;periodical&gt;&lt;full-title&gt;Interfaces&lt;/full-title&gt;&lt;/periodical&gt;&lt;pages&gt;16-21&lt;/pages&gt;&lt;volume&gt;27&lt;/volume&gt;&lt;number&gt;6&lt;/number&gt;&lt;dates&gt;&lt;year&gt;1997&lt;/year&gt;&lt;/dates&gt;&lt;publisher&gt;INFORMS&lt;/publisher&gt;&lt;isbn&gt;00922102, 1526551X&lt;/isbn&gt;&lt;urls&gt;&lt;related-urls&gt;&lt;url&gt;http://www.jstor.org/stable/25062312&lt;/url&gt;&lt;/related-urls&gt;&lt;/urls&gt;&lt;custom1&gt;Full publication date: Nov. - Dec., 1997&lt;/custom1&gt;&lt;/record&gt;&lt;/Cite&gt;&lt;/EndNote&gt;</w:instrText>
      </w:r>
      <w:r w:rsidR="000A1977">
        <w:fldChar w:fldCharType="separate"/>
      </w:r>
      <w:r w:rsidR="000A1977">
        <w:rPr>
          <w:noProof/>
        </w:rPr>
        <w:t>Miser (1997)</w:t>
      </w:r>
      <w:r w:rsidR="000A1977">
        <w:fldChar w:fldCharType="end"/>
      </w:r>
      <w:r w:rsidR="0071798B" w:rsidRPr="00A96AC5">
        <w:rPr>
          <w:rFonts w:cs="Times New Roman"/>
        </w:rPr>
        <w:t xml:space="preserve"> stresses that OR seeks to formulate new models and algorithms and has characteristics more closely correlated with engineering than with social science. This type of research is devoted to the resolution of problems using a mathematical modelling approach </w:t>
      </w:r>
      <w:r w:rsidR="000A1977">
        <w:fldChar w:fldCharType="begin"/>
      </w:r>
      <w:r w:rsidR="00647E79">
        <w:instrText xml:space="preserve"> ADDIN EN.CITE &lt;EndNote&gt;&lt;Cite&gt;&lt;Author&gt;Papoulias&lt;/Author&gt;&lt;Year&gt;1984&lt;/Year&gt;&lt;RecNum&gt;256&lt;/RecNum&gt;&lt;DisplayText&gt;(Papoulias, 1984)&lt;/DisplayText&gt;&lt;record&gt;&lt;rec-number&gt;256&lt;/rec-number&gt;&lt;foreign-keys&gt;&lt;key app="EN" db-id="pzt5ep52hsedfpeext2pdfes0w0aswaewef2" timestamp="1605187998"&gt;256&lt;/key&gt;&lt;/foreign-keys&gt;&lt;ref-type name="Journal Article"&gt;17&lt;/ref-type&gt;&lt;contributors&gt;&lt;authors&gt;&lt;author&gt;Papoulias, Demetrios B.&lt;/author&gt;&lt;/authors&gt;&lt;/contributors&gt;&lt;titles&gt;&lt;title&gt;Philosophy and Operational Research&lt;/title&gt;&lt;secondary-title&gt;The Journal of the Operational Research Society&lt;/secondary-title&gt;&lt;/titles&gt;&lt;periodical&gt;&lt;full-title&gt;The Journal of the Operational Research Society&lt;/full-title&gt;&lt;/periodical&gt;&lt;pages&gt;772-774&lt;/pages&gt;&lt;volume&gt;35&lt;/volume&gt;&lt;number&gt;8&lt;/number&gt;&lt;dates&gt;&lt;year&gt;1984&lt;/year&gt;&lt;/dates&gt;&lt;publisher&gt;Palgrave Macmillan Journals&lt;/publisher&gt;&lt;isbn&gt;01605682, 14769360&lt;/isbn&gt;&lt;urls&gt;&lt;related-urls&gt;&lt;url&gt;http://www.jstor.org/stable/2581985&lt;/url&gt;&lt;/related-urls&gt;&lt;/urls&gt;&lt;custom1&gt;Full publication date: Aug., 1984&lt;/custom1&gt;&lt;electronic-resource-num&gt;10.2307/2581985&lt;/electronic-resource-num&gt;&lt;/record&gt;&lt;/Cite&gt;&lt;/EndNote&gt;</w:instrText>
      </w:r>
      <w:r w:rsidR="000A1977">
        <w:fldChar w:fldCharType="separate"/>
      </w:r>
      <w:r w:rsidR="000A1977">
        <w:rPr>
          <w:noProof/>
        </w:rPr>
        <w:t>(Papoulias, 1984)</w:t>
      </w:r>
      <w:r w:rsidR="000A1977">
        <w:fldChar w:fldCharType="end"/>
      </w:r>
      <w:r w:rsidR="005654DB">
        <w:rPr>
          <w:rFonts w:hint="eastAsia"/>
        </w:rPr>
        <w:t>.</w:t>
      </w:r>
      <w:r w:rsidR="005654DB">
        <w:t xml:space="preserve"> </w:t>
      </w:r>
      <w:r w:rsidR="0071798B" w:rsidRPr="00A96AC5">
        <w:rPr>
          <w:rFonts w:cs="Times New Roman"/>
        </w:rPr>
        <w:t xml:space="preserve">Therefore, no specific paradigm of social science research is linked to OR </w:t>
      </w:r>
      <w:r w:rsidR="000A1977">
        <w:fldChar w:fldCharType="begin"/>
      </w:r>
      <w:r w:rsidR="00647E79">
        <w:instrText xml:space="preserve"> ADDIN EN.CITE &lt;EndNote&gt;&lt;Cite&gt;&lt;Author&gt;Meredith&lt;/Author&gt;&lt;Year&gt;1989&lt;/Year&gt;&lt;RecNum&gt;257&lt;/RecNum&gt;&lt;DisplayText&gt;(Meredith et al., 1989)&lt;/DisplayText&gt;&lt;record&gt;&lt;rec-number&gt;257&lt;/rec-number&gt;&lt;foreign-keys&gt;&lt;key app="EN" db-id="pzt5ep52hsedfpeext2pdfes0w0aswaewef2" timestamp="1605187998"&gt;257&lt;/key&gt;&lt;/foreign-keys&gt;&lt;ref-type name="Journal Article"&gt;17&lt;/ref-type&gt;&lt;contributors&gt;&lt;authors&gt;&lt;author&gt;Meredith, Jack R.&lt;/author&gt;&lt;author&gt;Raturi, Amitabh&lt;/author&gt;&lt;author&gt;Amoako-Gyampah, Kwasi&lt;/author&gt;&lt;author&gt;Kaplan, Bonnie&lt;/author&gt;&lt;/authors&gt;&lt;/contributors&gt;&lt;titles&gt;&lt;title&gt;Alternative research paradigms in operations&lt;/title&gt;&lt;secondary-title&gt;Journal of Operations Management&lt;/secondary-title&gt;&lt;/titles&gt;&lt;periodical&gt;&lt;full-title&gt;Journal of Operations Management&lt;/full-title&gt;&lt;/periodical&gt;&lt;pages&gt;297-326&lt;/pages&gt;&lt;volume&gt;8&lt;/volume&gt;&lt;number&gt;4&lt;/number&gt;&lt;dates&gt;&lt;year&gt;1989&lt;/year&gt;&lt;pub-dates&gt;&lt;date&gt;1989/10/01/&lt;/date&gt;&lt;/pub-dates&gt;&lt;/dates&gt;&lt;isbn&gt;0272-6963&lt;/isbn&gt;&lt;urls&gt;&lt;related-urls&gt;&lt;url&gt;http://www.sciencedirect.com/science/article/pii/0272696389900338&lt;/url&gt;&lt;/related-urls&gt;&lt;/urls&gt;&lt;electronic-resource-num&gt;http://dx.doi.org/10.1016/0272-6963(89)90033-8&lt;/electronic-resource-num&gt;&lt;/record&gt;&lt;/Cite&gt;&lt;/EndNote&gt;</w:instrText>
      </w:r>
      <w:r w:rsidR="000A1977">
        <w:fldChar w:fldCharType="separate"/>
      </w:r>
      <w:r w:rsidR="000A1977">
        <w:rPr>
          <w:noProof/>
        </w:rPr>
        <w:t>(Meredith et al., 1989)</w:t>
      </w:r>
      <w:r w:rsidR="000A1977">
        <w:fldChar w:fldCharType="end"/>
      </w:r>
      <w:r w:rsidR="0071798B" w:rsidRPr="00A96AC5">
        <w:rPr>
          <w:rFonts w:cs="Times New Roman"/>
        </w:rPr>
        <w:t xml:space="preserve">. </w:t>
      </w:r>
    </w:p>
    <w:p w14:paraId="3F26BFB3" w14:textId="34BA0D06" w:rsidR="0071798B" w:rsidRPr="00737239" w:rsidRDefault="0071798B" w:rsidP="007B7385">
      <w:pPr>
        <w:spacing w:after="240" w:line="360" w:lineRule="auto"/>
        <w:rPr>
          <w:rFonts w:cs="Times New Roman"/>
        </w:rPr>
      </w:pPr>
      <w:r w:rsidRPr="00A96AC5">
        <w:rPr>
          <w:rFonts w:cs="Times New Roman"/>
        </w:rPr>
        <w:t xml:space="preserve">Neither philosophical paradigm of positivism </w:t>
      </w:r>
      <w:proofErr w:type="gramStart"/>
      <w:r w:rsidRPr="00A96AC5">
        <w:rPr>
          <w:rFonts w:cs="Times New Roman"/>
        </w:rPr>
        <w:t>or</w:t>
      </w:r>
      <w:proofErr w:type="gramEnd"/>
      <w:r w:rsidRPr="00A96AC5">
        <w:rPr>
          <w:rFonts w:cs="Times New Roman"/>
        </w:rPr>
        <w:t xml:space="preserve"> interpretivism is suitable for application in OR. </w:t>
      </w:r>
      <w:r w:rsidR="00F67FC8">
        <w:t xml:space="preserve">Manson's (2006) </w:t>
      </w:r>
      <w:r w:rsidRPr="00A96AC5">
        <w:rPr>
          <w:rFonts w:cs="Times New Roman"/>
        </w:rPr>
        <w:t>design research paradigm is more relevant to OR than to other types of social science philosophy, and it is applied here as a philosophical perspective.</w:t>
      </w:r>
      <w:r w:rsidR="008A5500">
        <w:rPr>
          <w:rFonts w:cs="Times New Roman"/>
        </w:rPr>
        <w:t xml:space="preserve"> </w:t>
      </w:r>
      <w:r w:rsidR="000A1977">
        <w:rPr>
          <w:rFonts w:cs="Times New Roman"/>
        </w:rPr>
        <w:fldChar w:fldCharType="begin"/>
      </w:r>
      <w:r w:rsidR="00647E79">
        <w:rPr>
          <w:rFonts w:cs="Times New Roman"/>
        </w:rPr>
        <w:instrText xml:space="preserve"> ADDIN EN.CITE &lt;EndNote&gt;&lt;Cite AuthorYear="1"&gt;&lt;Author&gt;Manson&lt;/Author&gt;&lt;Year&gt;2006&lt;/Year&gt;&lt;RecNum&gt;258&lt;/RecNum&gt;&lt;DisplayText&gt;Manson (2006)&lt;/DisplayText&gt;&lt;record&gt;&lt;rec-number&gt;258&lt;/rec-number&gt;&lt;foreign-keys&gt;&lt;key app="EN" db-id="pzt5ep52hsedfpeext2pdfes0w0aswaewef2" timestamp="1605187998"&gt;258&lt;/key&gt;&lt;/foreign-keys&gt;&lt;ref-type name="Journal Article"&gt;17&lt;/ref-type&gt;&lt;contributors&gt;&lt;authors&gt;&lt;author&gt;Manson, Neil J&lt;/author&gt;&lt;/authors&gt;&lt;/contributors&gt;&lt;titles&gt;&lt;title&gt;Is operations research really research?&lt;/title&gt;&lt;secondary-title&gt;Orion&lt;/secondary-title&gt;&lt;/titles&gt;&lt;periodical&gt;&lt;full-title&gt;Orion&lt;/full-title&gt;&lt;/periodical&gt;&lt;pages&gt;155-180&lt;/pages&gt;&lt;volume&gt;22&lt;/volume&gt;&lt;number&gt;2&lt;/number&gt;&lt;dates&gt;&lt;year&gt;2006&lt;/year&gt;&lt;/dates&gt;&lt;urls&gt;&lt;/urls&gt;&lt;/record&gt;&lt;/Cite&gt;&lt;/EndNote&gt;</w:instrText>
      </w:r>
      <w:r w:rsidR="000A1977">
        <w:rPr>
          <w:rFonts w:cs="Times New Roman"/>
        </w:rPr>
        <w:fldChar w:fldCharType="separate"/>
      </w:r>
      <w:r w:rsidR="000A1977">
        <w:rPr>
          <w:rFonts w:cs="Times New Roman"/>
          <w:noProof/>
        </w:rPr>
        <w:t>Manson (2006)</w:t>
      </w:r>
      <w:r w:rsidR="000A1977">
        <w:rPr>
          <w:rFonts w:cs="Times New Roman"/>
        </w:rPr>
        <w:fldChar w:fldCharType="end"/>
      </w:r>
      <w:r w:rsidR="000A1977">
        <w:rPr>
          <w:noProof/>
        </w:rPr>
        <w:t xml:space="preserve"> </w:t>
      </w:r>
      <w:r w:rsidRPr="00A96AC5">
        <w:rPr>
          <w:rFonts w:cs="Times New Roman"/>
        </w:rPr>
        <w:t xml:space="preserve">defines </w:t>
      </w:r>
      <w:r w:rsidRPr="00A96AC5">
        <w:rPr>
          <w:rFonts w:cs="Times New Roman"/>
          <w:iCs/>
        </w:rPr>
        <w:t>design research</w:t>
      </w:r>
      <w:r w:rsidRPr="00A96AC5">
        <w:rPr>
          <w:rFonts w:cs="Times New Roman"/>
          <w:i/>
          <w:iCs/>
        </w:rPr>
        <w:t xml:space="preserve"> </w:t>
      </w:r>
      <w:r w:rsidRPr="00A96AC5">
        <w:rPr>
          <w:rFonts w:cs="Times New Roman"/>
          <w:iCs/>
        </w:rPr>
        <w:t>as</w:t>
      </w:r>
      <w:r w:rsidRPr="00A96AC5">
        <w:rPr>
          <w:rFonts w:cs="Times New Roman"/>
          <w:i/>
          <w:iCs/>
        </w:rPr>
        <w:t xml:space="preserve"> </w:t>
      </w:r>
      <w:r w:rsidRPr="00A96AC5">
        <w:rPr>
          <w:rFonts w:cs="Times New Roman"/>
          <w:iCs/>
        </w:rPr>
        <w:t>‘</w:t>
      </w:r>
      <w:r w:rsidR="00E245C3">
        <w:rPr>
          <w:rFonts w:cs="Times New Roman"/>
          <w:iCs/>
        </w:rPr>
        <w:t>a</w:t>
      </w:r>
      <w:r w:rsidRPr="00A96AC5">
        <w:rPr>
          <w:rFonts w:cs="Times New Roman"/>
          <w:iCs/>
        </w:rPr>
        <w:t xml:space="preserve"> process of using knowledge to design and create useful artefacts, for instance</w:t>
      </w:r>
      <w:r w:rsidR="00050200">
        <w:rPr>
          <w:rFonts w:cs="Times New Roman"/>
          <w:iCs/>
        </w:rPr>
        <w:t>:</w:t>
      </w:r>
      <w:r w:rsidRPr="00A96AC5">
        <w:rPr>
          <w:rFonts w:cs="Times New Roman"/>
          <w:iCs/>
        </w:rPr>
        <w:t xml:space="preserve"> models and methods’.</w:t>
      </w:r>
      <w:r w:rsidRPr="00A96AC5">
        <w:rPr>
          <w:rFonts w:cs="Times New Roman"/>
        </w:rPr>
        <w:t xml:space="preserve"> </w:t>
      </w:r>
      <w:r w:rsidR="000A1977">
        <w:rPr>
          <w:rFonts w:cs="Times New Roman"/>
        </w:rPr>
        <w:fldChar w:fldCharType="begin"/>
      </w:r>
      <w:r w:rsidR="00647E79">
        <w:rPr>
          <w:rFonts w:cs="Times New Roman"/>
        </w:rPr>
        <w:instrText xml:space="preserve"> ADDIN EN.CITE &lt;EndNote&gt;&lt;Cite AuthorYear="1"&gt;&lt;Author&gt;Vaishnavi&lt;/Author&gt;&lt;Year&gt;2004&lt;/Year&gt;&lt;RecNum&gt;259&lt;/RecNum&gt;&lt;DisplayText&gt;Vaishnavi and Kuechler (2004)&lt;/DisplayText&gt;&lt;record&gt;&lt;rec-number&gt;259&lt;/rec-number&gt;&lt;foreign-keys&gt;&lt;key app="EN" db-id="pzt5ep52hsedfpeext2pdfes0w0aswaewef2" timestamp="1605187998"&gt;259&lt;/key&gt;&lt;/foreign-keys&gt;&lt;ref-type name="Unpublished Work"&gt;34&lt;/ref-type&gt;&lt;contributors&gt;&lt;authors&gt;&lt;author&gt;Vaishnavi, V.&lt;/author&gt;&lt;author&gt;Kuechler, W.&lt;/author&gt;&lt;/authors&gt;&lt;/contributors&gt;&lt;titles&gt;&lt;title&gt;Design Research in Information Systems&lt;/title&gt;&lt;/titles&gt;&lt;keywords&gt;&lt;keyword&gt;design-research&lt;/keyword&gt;&lt;keyword&gt;information-systems&lt;/keyword&gt;&lt;keyword&gt;meso&lt;/keyword&gt;&lt;keyword&gt;methodology&lt;/keyword&gt;&lt;/keywords&gt;&lt;dates&gt;&lt;year&gt;2004&lt;/year&gt;&lt;/dates&gt;&lt;urls&gt;&lt;/urls&gt;&lt;electronic-resource-num&gt;citeulike-article-id:6505471&lt;/electronic-resource-num&gt;&lt;/record&gt;&lt;/Cite&gt;&lt;/EndNote&gt;</w:instrText>
      </w:r>
      <w:r w:rsidR="000A1977">
        <w:rPr>
          <w:rFonts w:cs="Times New Roman"/>
        </w:rPr>
        <w:fldChar w:fldCharType="separate"/>
      </w:r>
      <w:r w:rsidR="000A1977">
        <w:rPr>
          <w:rFonts w:cs="Times New Roman"/>
          <w:noProof/>
        </w:rPr>
        <w:t>Vaishnavi and Kuechler (2004)</w:t>
      </w:r>
      <w:r w:rsidR="000A1977">
        <w:rPr>
          <w:rFonts w:cs="Times New Roman"/>
        </w:rPr>
        <w:fldChar w:fldCharType="end"/>
      </w:r>
      <w:r w:rsidR="007D438A">
        <w:rPr>
          <w:rFonts w:cs="Times New Roman"/>
        </w:rPr>
        <w:t xml:space="preserve"> </w:t>
      </w:r>
      <w:r w:rsidRPr="00A96AC5">
        <w:rPr>
          <w:rFonts w:cs="Times New Roman"/>
        </w:rPr>
        <w:t>compared design research with positivism and interpretivism in terms of their respective ontology, epistemology, axiology, and methodology (</w:t>
      </w:r>
      <w:r w:rsidRPr="00737239">
        <w:rPr>
          <w:rFonts w:cs="Times New Roman"/>
        </w:rPr>
        <w:fldChar w:fldCharType="begin"/>
      </w:r>
      <w:r w:rsidRPr="00A96AC5">
        <w:rPr>
          <w:rFonts w:cs="Times New Roman"/>
        </w:rPr>
        <w:instrText xml:space="preserve"> REF _Ref30090598 \h </w:instrText>
      </w:r>
      <w:r w:rsidR="008903D1">
        <w:rPr>
          <w:rFonts w:cs="Times New Roman"/>
        </w:rPr>
        <w:instrText xml:space="preserve"> \* MERGEFORMAT </w:instrText>
      </w:r>
      <w:r w:rsidRPr="00737239">
        <w:rPr>
          <w:rFonts w:cs="Times New Roman"/>
        </w:rPr>
      </w:r>
      <w:r w:rsidRPr="00737239">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3</w:t>
      </w:r>
      <w:r w:rsidR="0005064B">
        <w:rPr>
          <w:rFonts w:cs="Times New Roman"/>
          <w:noProof/>
        </w:rPr>
        <w:noBreakHyphen/>
        <w:t>1</w:t>
      </w:r>
      <w:r w:rsidRPr="00737239">
        <w:rPr>
          <w:rFonts w:cs="Times New Roman"/>
        </w:rPr>
        <w:fldChar w:fldCharType="end"/>
      </w:r>
      <w:r w:rsidRPr="008903D1">
        <w:rPr>
          <w:rFonts w:cs="Times New Roman"/>
        </w:rPr>
        <w:t>).</w:t>
      </w:r>
    </w:p>
    <w:tbl>
      <w:tblPr>
        <w:tblStyle w:val="TableGrid"/>
        <w:tblW w:w="5000" w:type="pct"/>
        <w:jc w:val="center"/>
        <w:tblLook w:val="04A0" w:firstRow="1" w:lastRow="0" w:firstColumn="1" w:lastColumn="0" w:noHBand="0" w:noVBand="1"/>
      </w:tblPr>
      <w:tblGrid>
        <w:gridCol w:w="1442"/>
        <w:gridCol w:w="1883"/>
        <w:gridCol w:w="2521"/>
        <w:gridCol w:w="3170"/>
      </w:tblGrid>
      <w:tr w:rsidR="0071798B" w:rsidRPr="008903D1" w14:paraId="35A1F9E7" w14:textId="77777777" w:rsidTr="00243109">
        <w:trPr>
          <w:jc w:val="center"/>
        </w:trPr>
        <w:tc>
          <w:tcPr>
            <w:tcW w:w="800" w:type="pct"/>
          </w:tcPr>
          <w:p w14:paraId="4C9503E1" w14:textId="77777777" w:rsidR="0071798B" w:rsidRPr="008903D1" w:rsidRDefault="0071798B" w:rsidP="007B7385">
            <w:pPr>
              <w:spacing w:line="240" w:lineRule="auto"/>
              <w:jc w:val="center"/>
              <w:rPr>
                <w:rFonts w:cs="Times New Roman"/>
                <w:b/>
                <w:sz w:val="22"/>
              </w:rPr>
            </w:pPr>
            <w:r w:rsidRPr="008903D1">
              <w:rPr>
                <w:rFonts w:cs="Times New Roman"/>
                <w:b/>
                <w:sz w:val="22"/>
              </w:rPr>
              <w:t>Basic Belief</w:t>
            </w:r>
          </w:p>
        </w:tc>
        <w:tc>
          <w:tcPr>
            <w:tcW w:w="1044" w:type="pct"/>
          </w:tcPr>
          <w:p w14:paraId="0BC29E04" w14:textId="77777777" w:rsidR="0071798B" w:rsidRPr="008903D1" w:rsidRDefault="0071798B" w:rsidP="007B7385">
            <w:pPr>
              <w:spacing w:line="240" w:lineRule="auto"/>
              <w:jc w:val="center"/>
              <w:rPr>
                <w:rFonts w:cs="Times New Roman"/>
                <w:b/>
                <w:sz w:val="22"/>
              </w:rPr>
            </w:pPr>
            <w:r w:rsidRPr="008903D1">
              <w:rPr>
                <w:rFonts w:cs="Times New Roman"/>
                <w:b/>
                <w:sz w:val="22"/>
              </w:rPr>
              <w:t>Positivist</w:t>
            </w:r>
          </w:p>
        </w:tc>
        <w:tc>
          <w:tcPr>
            <w:tcW w:w="1398" w:type="pct"/>
          </w:tcPr>
          <w:p w14:paraId="4434B9AC" w14:textId="77777777" w:rsidR="0071798B" w:rsidRPr="008903D1" w:rsidRDefault="0071798B" w:rsidP="007B7385">
            <w:pPr>
              <w:spacing w:line="240" w:lineRule="auto"/>
              <w:jc w:val="center"/>
              <w:rPr>
                <w:rFonts w:cs="Times New Roman"/>
                <w:b/>
                <w:sz w:val="22"/>
              </w:rPr>
            </w:pPr>
            <w:r w:rsidRPr="008903D1">
              <w:rPr>
                <w:rFonts w:cs="Times New Roman"/>
                <w:b/>
                <w:sz w:val="22"/>
              </w:rPr>
              <w:t>Interpretivist</w:t>
            </w:r>
          </w:p>
        </w:tc>
        <w:tc>
          <w:tcPr>
            <w:tcW w:w="1759" w:type="pct"/>
          </w:tcPr>
          <w:p w14:paraId="35C3DA7F" w14:textId="77777777" w:rsidR="0071798B" w:rsidRPr="008903D1" w:rsidRDefault="0071798B" w:rsidP="007B7385">
            <w:pPr>
              <w:spacing w:line="240" w:lineRule="auto"/>
              <w:jc w:val="center"/>
              <w:rPr>
                <w:rFonts w:cs="Times New Roman"/>
                <w:b/>
                <w:sz w:val="22"/>
              </w:rPr>
            </w:pPr>
            <w:r w:rsidRPr="008903D1">
              <w:rPr>
                <w:rFonts w:cs="Times New Roman"/>
                <w:b/>
                <w:sz w:val="22"/>
              </w:rPr>
              <w:t>Design research</w:t>
            </w:r>
          </w:p>
        </w:tc>
      </w:tr>
      <w:tr w:rsidR="0071798B" w:rsidRPr="008903D1" w14:paraId="2DFD1803" w14:textId="77777777" w:rsidTr="00243109">
        <w:trPr>
          <w:jc w:val="center"/>
        </w:trPr>
        <w:tc>
          <w:tcPr>
            <w:tcW w:w="800" w:type="pct"/>
          </w:tcPr>
          <w:p w14:paraId="21FCDC80" w14:textId="77777777" w:rsidR="0071798B" w:rsidRPr="008903D1" w:rsidRDefault="0071798B" w:rsidP="007B7385">
            <w:pPr>
              <w:spacing w:line="240" w:lineRule="auto"/>
              <w:jc w:val="center"/>
              <w:rPr>
                <w:rFonts w:cs="Times New Roman"/>
                <w:sz w:val="22"/>
              </w:rPr>
            </w:pPr>
            <w:r w:rsidRPr="008903D1">
              <w:rPr>
                <w:rFonts w:cs="Times New Roman"/>
                <w:color w:val="000000"/>
                <w:sz w:val="22"/>
              </w:rPr>
              <w:t>Ontology</w:t>
            </w:r>
          </w:p>
        </w:tc>
        <w:tc>
          <w:tcPr>
            <w:tcW w:w="1044" w:type="pct"/>
          </w:tcPr>
          <w:p w14:paraId="7CA3DC35" w14:textId="77777777" w:rsidR="0071798B" w:rsidRPr="008903D1" w:rsidRDefault="0071798B" w:rsidP="00C56754">
            <w:pPr>
              <w:spacing w:line="240" w:lineRule="auto"/>
              <w:jc w:val="left"/>
              <w:rPr>
                <w:rFonts w:cs="Times New Roman"/>
                <w:sz w:val="22"/>
              </w:rPr>
            </w:pPr>
            <w:r w:rsidRPr="008903D1">
              <w:rPr>
                <w:rFonts w:cs="Times New Roman"/>
                <w:color w:val="000000"/>
                <w:sz w:val="22"/>
              </w:rPr>
              <w:t>A single reality; knowable, probabilistic</w:t>
            </w:r>
          </w:p>
        </w:tc>
        <w:tc>
          <w:tcPr>
            <w:tcW w:w="1398" w:type="pct"/>
          </w:tcPr>
          <w:p w14:paraId="3543E8EC" w14:textId="77777777" w:rsidR="0071798B" w:rsidRPr="008903D1" w:rsidRDefault="0071798B" w:rsidP="00C56754">
            <w:pPr>
              <w:spacing w:line="240" w:lineRule="auto"/>
              <w:jc w:val="left"/>
              <w:rPr>
                <w:rFonts w:cs="Times New Roman"/>
                <w:sz w:val="22"/>
              </w:rPr>
            </w:pPr>
            <w:r w:rsidRPr="008903D1">
              <w:rPr>
                <w:rFonts w:cs="Times New Roman"/>
                <w:color w:val="000000"/>
                <w:sz w:val="22"/>
              </w:rPr>
              <w:t>Multiple realities,</w:t>
            </w:r>
            <w:r w:rsidRPr="008903D1">
              <w:rPr>
                <w:rFonts w:cs="Times New Roman"/>
                <w:color w:val="000000"/>
                <w:sz w:val="22"/>
              </w:rPr>
              <w:br/>
              <w:t>socially constructed</w:t>
            </w:r>
          </w:p>
        </w:tc>
        <w:tc>
          <w:tcPr>
            <w:tcW w:w="1759" w:type="pct"/>
          </w:tcPr>
          <w:p w14:paraId="094B6F64" w14:textId="77777777" w:rsidR="0071798B" w:rsidRPr="008903D1" w:rsidRDefault="0071798B" w:rsidP="00C56754">
            <w:pPr>
              <w:spacing w:line="240" w:lineRule="auto"/>
              <w:jc w:val="left"/>
              <w:rPr>
                <w:rFonts w:cs="Times New Roman"/>
                <w:sz w:val="22"/>
              </w:rPr>
            </w:pPr>
            <w:r w:rsidRPr="008903D1">
              <w:rPr>
                <w:rFonts w:cs="Times New Roman"/>
                <w:color w:val="000000"/>
                <w:sz w:val="22"/>
              </w:rPr>
              <w:t>Multiple, contextually</w:t>
            </w:r>
            <w:r w:rsidRPr="008903D1">
              <w:rPr>
                <w:rFonts w:cs="Times New Roman"/>
                <w:color w:val="000000"/>
                <w:sz w:val="22"/>
              </w:rPr>
              <w:br/>
              <w:t>situated alternative</w:t>
            </w:r>
            <w:r w:rsidRPr="008903D1">
              <w:rPr>
                <w:rFonts w:cs="Times New Roman"/>
                <w:color w:val="000000"/>
                <w:sz w:val="22"/>
              </w:rPr>
              <w:br/>
              <w:t>world states; socio-technologically enabled</w:t>
            </w:r>
          </w:p>
        </w:tc>
      </w:tr>
      <w:tr w:rsidR="0071798B" w:rsidRPr="008903D1" w14:paraId="7DB6CC3C" w14:textId="77777777" w:rsidTr="00243109">
        <w:trPr>
          <w:jc w:val="center"/>
        </w:trPr>
        <w:tc>
          <w:tcPr>
            <w:tcW w:w="800" w:type="pct"/>
          </w:tcPr>
          <w:p w14:paraId="618EE5E8" w14:textId="77777777" w:rsidR="0071798B" w:rsidRPr="008903D1" w:rsidRDefault="0071798B" w:rsidP="007B7385">
            <w:pPr>
              <w:spacing w:line="240" w:lineRule="auto"/>
              <w:jc w:val="center"/>
              <w:rPr>
                <w:rFonts w:cs="Times New Roman"/>
                <w:sz w:val="22"/>
              </w:rPr>
            </w:pPr>
            <w:r w:rsidRPr="008903D1">
              <w:rPr>
                <w:rFonts w:cs="Times New Roman"/>
                <w:color w:val="000000"/>
                <w:sz w:val="22"/>
              </w:rPr>
              <w:t>Epistemology</w:t>
            </w:r>
          </w:p>
        </w:tc>
        <w:tc>
          <w:tcPr>
            <w:tcW w:w="1044" w:type="pct"/>
          </w:tcPr>
          <w:p w14:paraId="4216E5AD" w14:textId="2943D773" w:rsidR="0071798B" w:rsidRPr="008903D1" w:rsidRDefault="0071798B" w:rsidP="00C56754">
            <w:pPr>
              <w:spacing w:line="240" w:lineRule="auto"/>
              <w:jc w:val="left"/>
              <w:rPr>
                <w:rFonts w:cs="Times New Roman"/>
                <w:sz w:val="22"/>
              </w:rPr>
            </w:pPr>
            <w:r w:rsidRPr="008903D1">
              <w:rPr>
                <w:rFonts w:cs="Times New Roman"/>
                <w:color w:val="000000"/>
                <w:sz w:val="22"/>
              </w:rPr>
              <w:t>Objective, dispassionate;</w:t>
            </w:r>
            <w:r w:rsidRPr="008903D1">
              <w:rPr>
                <w:rFonts w:cs="Times New Roman"/>
                <w:color w:val="000000"/>
                <w:sz w:val="22"/>
              </w:rPr>
              <w:br/>
              <w:t>a detached observer of</w:t>
            </w:r>
            <w:r w:rsidR="00C56754">
              <w:rPr>
                <w:rFonts w:cs="Times New Roman"/>
                <w:color w:val="000000"/>
                <w:sz w:val="22"/>
              </w:rPr>
              <w:t xml:space="preserve"> </w:t>
            </w:r>
            <w:r w:rsidRPr="008903D1">
              <w:rPr>
                <w:rFonts w:cs="Times New Roman"/>
                <w:color w:val="000000"/>
                <w:sz w:val="22"/>
              </w:rPr>
              <w:t>truth</w:t>
            </w:r>
          </w:p>
        </w:tc>
        <w:tc>
          <w:tcPr>
            <w:tcW w:w="1398" w:type="pct"/>
          </w:tcPr>
          <w:p w14:paraId="0375E303" w14:textId="77777777" w:rsidR="0071798B" w:rsidRPr="008903D1" w:rsidRDefault="0071798B" w:rsidP="00C56754">
            <w:pPr>
              <w:spacing w:line="240" w:lineRule="auto"/>
              <w:jc w:val="left"/>
              <w:rPr>
                <w:rFonts w:cs="Times New Roman"/>
                <w:sz w:val="22"/>
              </w:rPr>
            </w:pPr>
            <w:proofErr w:type="gramStart"/>
            <w:r w:rsidRPr="008903D1">
              <w:rPr>
                <w:rFonts w:cs="Times New Roman"/>
                <w:color w:val="000000"/>
                <w:sz w:val="22"/>
              </w:rPr>
              <w:t>Subjective;</w:t>
            </w:r>
            <w:proofErr w:type="gramEnd"/>
            <w:r w:rsidRPr="008903D1">
              <w:rPr>
                <w:rFonts w:cs="Times New Roman"/>
                <w:color w:val="000000"/>
                <w:sz w:val="22"/>
              </w:rPr>
              <w:t xml:space="preserve"> </w:t>
            </w:r>
            <w:r w:rsidRPr="008903D1">
              <w:rPr>
                <w:rFonts w:cs="Times New Roman"/>
                <w:iCs/>
                <w:color w:val="000000"/>
                <w:sz w:val="22"/>
              </w:rPr>
              <w:t>i.e.</w:t>
            </w:r>
            <w:r w:rsidRPr="008903D1">
              <w:rPr>
                <w:rFonts w:cs="Times New Roman"/>
                <w:i/>
                <w:iCs/>
                <w:color w:val="000000"/>
                <w:sz w:val="22"/>
              </w:rPr>
              <w:t xml:space="preserve"> </w:t>
            </w:r>
            <w:r w:rsidRPr="008903D1">
              <w:rPr>
                <w:rFonts w:cs="Times New Roman"/>
                <w:color w:val="000000"/>
                <w:sz w:val="22"/>
              </w:rPr>
              <w:t>values</w:t>
            </w:r>
            <w:r w:rsidRPr="008903D1">
              <w:rPr>
                <w:rFonts w:cs="Times New Roman"/>
                <w:color w:val="000000"/>
                <w:sz w:val="22"/>
              </w:rPr>
              <w:br/>
              <w:t>and knowledge emerge</w:t>
            </w:r>
            <w:r w:rsidRPr="008903D1">
              <w:rPr>
                <w:rFonts w:cs="Times New Roman"/>
                <w:color w:val="000000"/>
                <w:sz w:val="22"/>
              </w:rPr>
              <w:br/>
              <w:t>from the researcher-participant interaction</w:t>
            </w:r>
          </w:p>
        </w:tc>
        <w:tc>
          <w:tcPr>
            <w:tcW w:w="1759" w:type="pct"/>
          </w:tcPr>
          <w:p w14:paraId="5C92904D" w14:textId="77777777" w:rsidR="0071798B" w:rsidRPr="008903D1" w:rsidRDefault="0071798B" w:rsidP="00C56754">
            <w:pPr>
              <w:spacing w:line="240" w:lineRule="auto"/>
              <w:jc w:val="left"/>
              <w:rPr>
                <w:rFonts w:cs="Times New Roman"/>
                <w:sz w:val="22"/>
              </w:rPr>
            </w:pPr>
            <w:r w:rsidRPr="008903D1">
              <w:rPr>
                <w:rFonts w:cs="Times New Roman"/>
                <w:color w:val="000000"/>
                <w:sz w:val="22"/>
              </w:rPr>
              <w:t xml:space="preserve">Knowing through </w:t>
            </w:r>
            <w:proofErr w:type="gramStart"/>
            <w:r w:rsidRPr="008903D1">
              <w:rPr>
                <w:rFonts w:cs="Times New Roman"/>
                <w:color w:val="000000"/>
                <w:sz w:val="22"/>
              </w:rPr>
              <w:t>making:</w:t>
            </w:r>
            <w:proofErr w:type="gramEnd"/>
            <w:r w:rsidRPr="008903D1">
              <w:rPr>
                <w:rFonts w:cs="Times New Roman"/>
                <w:color w:val="000000"/>
                <w:sz w:val="22"/>
              </w:rPr>
              <w:t xml:space="preserve"> objectively constrained construction within a context; </w:t>
            </w:r>
            <w:r w:rsidRPr="008903D1">
              <w:rPr>
                <w:rFonts w:cs="Times New Roman"/>
                <w:color w:val="000000"/>
                <w:sz w:val="22"/>
              </w:rPr>
              <w:lastRenderedPageBreak/>
              <w:t>iterative circumscription reveals meaning</w:t>
            </w:r>
          </w:p>
        </w:tc>
      </w:tr>
      <w:tr w:rsidR="0071798B" w:rsidRPr="008903D1" w14:paraId="25266012" w14:textId="77777777" w:rsidTr="00243109">
        <w:trPr>
          <w:jc w:val="center"/>
        </w:trPr>
        <w:tc>
          <w:tcPr>
            <w:tcW w:w="800" w:type="pct"/>
          </w:tcPr>
          <w:p w14:paraId="68C61A12" w14:textId="77777777" w:rsidR="0071798B" w:rsidRPr="008903D1" w:rsidRDefault="0071798B" w:rsidP="007B7385">
            <w:pPr>
              <w:spacing w:line="240" w:lineRule="auto"/>
              <w:jc w:val="center"/>
              <w:rPr>
                <w:rFonts w:cs="Times New Roman"/>
                <w:sz w:val="22"/>
              </w:rPr>
            </w:pPr>
            <w:r w:rsidRPr="008903D1">
              <w:rPr>
                <w:rFonts w:cs="Times New Roman"/>
                <w:color w:val="000000"/>
                <w:sz w:val="22"/>
              </w:rPr>
              <w:lastRenderedPageBreak/>
              <w:t>Methodology</w:t>
            </w:r>
          </w:p>
        </w:tc>
        <w:tc>
          <w:tcPr>
            <w:tcW w:w="1044" w:type="pct"/>
          </w:tcPr>
          <w:p w14:paraId="12E3238C" w14:textId="77777777" w:rsidR="0071798B" w:rsidRPr="008903D1" w:rsidRDefault="0071798B" w:rsidP="00C56754">
            <w:pPr>
              <w:spacing w:line="240" w:lineRule="auto"/>
              <w:jc w:val="left"/>
              <w:rPr>
                <w:rFonts w:cs="Times New Roman"/>
                <w:sz w:val="22"/>
              </w:rPr>
            </w:pPr>
            <w:r w:rsidRPr="008903D1">
              <w:rPr>
                <w:rFonts w:cs="Times New Roman"/>
                <w:color w:val="000000"/>
                <w:sz w:val="22"/>
              </w:rPr>
              <w:t>Observation, quantitative, statistical</w:t>
            </w:r>
          </w:p>
        </w:tc>
        <w:tc>
          <w:tcPr>
            <w:tcW w:w="1398" w:type="pct"/>
          </w:tcPr>
          <w:p w14:paraId="2ED760C4" w14:textId="77777777" w:rsidR="0071798B" w:rsidRPr="008903D1" w:rsidRDefault="0071798B" w:rsidP="00C56754">
            <w:pPr>
              <w:spacing w:line="240" w:lineRule="auto"/>
              <w:jc w:val="left"/>
              <w:rPr>
                <w:rFonts w:cs="Times New Roman"/>
                <w:sz w:val="22"/>
              </w:rPr>
            </w:pPr>
            <w:r w:rsidRPr="008903D1">
              <w:rPr>
                <w:rFonts w:cs="Times New Roman"/>
                <w:color w:val="000000"/>
                <w:sz w:val="22"/>
              </w:rPr>
              <w:t>Participation, qualitative; hermeneutical, dialectical</w:t>
            </w:r>
          </w:p>
        </w:tc>
        <w:tc>
          <w:tcPr>
            <w:tcW w:w="1759" w:type="pct"/>
          </w:tcPr>
          <w:p w14:paraId="17A80DCE" w14:textId="77777777" w:rsidR="0071798B" w:rsidRPr="008903D1" w:rsidRDefault="0071798B" w:rsidP="00C56754">
            <w:pPr>
              <w:spacing w:line="240" w:lineRule="auto"/>
              <w:jc w:val="left"/>
              <w:rPr>
                <w:rFonts w:cs="Times New Roman"/>
                <w:sz w:val="22"/>
              </w:rPr>
            </w:pPr>
            <w:r w:rsidRPr="008903D1">
              <w:rPr>
                <w:rFonts w:cs="Times New Roman"/>
                <w:color w:val="000000"/>
                <w:sz w:val="22"/>
              </w:rPr>
              <w:t>Developmental;</w:t>
            </w:r>
            <w:r w:rsidRPr="008903D1">
              <w:rPr>
                <w:rFonts w:cs="Times New Roman"/>
                <w:color w:val="000000"/>
                <w:sz w:val="22"/>
              </w:rPr>
              <w:br/>
              <w:t>measures artefactual impacts in the composite system</w:t>
            </w:r>
          </w:p>
        </w:tc>
      </w:tr>
      <w:tr w:rsidR="0071798B" w:rsidRPr="008903D1" w14:paraId="3824D327" w14:textId="77777777" w:rsidTr="00243109">
        <w:trPr>
          <w:jc w:val="center"/>
        </w:trPr>
        <w:tc>
          <w:tcPr>
            <w:tcW w:w="800" w:type="pct"/>
          </w:tcPr>
          <w:p w14:paraId="4C4049E9" w14:textId="77777777" w:rsidR="0071798B" w:rsidRPr="008903D1" w:rsidRDefault="0071798B" w:rsidP="007B7385">
            <w:pPr>
              <w:spacing w:line="240" w:lineRule="auto"/>
              <w:jc w:val="center"/>
              <w:rPr>
                <w:rFonts w:cs="Times New Roman"/>
                <w:sz w:val="22"/>
              </w:rPr>
            </w:pPr>
            <w:r w:rsidRPr="008903D1">
              <w:rPr>
                <w:rFonts w:cs="Times New Roman"/>
                <w:color w:val="000000"/>
                <w:sz w:val="22"/>
              </w:rPr>
              <w:t>Axiology</w:t>
            </w:r>
          </w:p>
        </w:tc>
        <w:tc>
          <w:tcPr>
            <w:tcW w:w="1044" w:type="pct"/>
          </w:tcPr>
          <w:p w14:paraId="59605266" w14:textId="77777777" w:rsidR="0071798B" w:rsidRPr="008903D1" w:rsidRDefault="0071798B" w:rsidP="00C56754">
            <w:pPr>
              <w:spacing w:line="240" w:lineRule="auto"/>
              <w:jc w:val="left"/>
              <w:rPr>
                <w:rFonts w:cs="Times New Roman"/>
                <w:sz w:val="22"/>
              </w:rPr>
            </w:pPr>
            <w:r w:rsidRPr="008903D1">
              <w:rPr>
                <w:rFonts w:cs="Times New Roman"/>
                <w:color w:val="000000"/>
                <w:sz w:val="22"/>
              </w:rPr>
              <w:t>Truth: universal and</w:t>
            </w:r>
            <w:r w:rsidRPr="008903D1">
              <w:rPr>
                <w:rFonts w:cs="Times New Roman"/>
                <w:color w:val="000000"/>
                <w:sz w:val="22"/>
              </w:rPr>
              <w:br/>
              <w:t>beautiful; prediction</w:t>
            </w:r>
          </w:p>
        </w:tc>
        <w:tc>
          <w:tcPr>
            <w:tcW w:w="1398" w:type="pct"/>
          </w:tcPr>
          <w:p w14:paraId="5F45FC54" w14:textId="77777777" w:rsidR="0071798B" w:rsidRPr="008903D1" w:rsidRDefault="0071798B" w:rsidP="00C56754">
            <w:pPr>
              <w:spacing w:line="240" w:lineRule="auto"/>
              <w:jc w:val="left"/>
              <w:rPr>
                <w:rFonts w:cs="Times New Roman"/>
                <w:sz w:val="22"/>
              </w:rPr>
            </w:pPr>
            <w:r w:rsidRPr="008903D1">
              <w:rPr>
                <w:rFonts w:cs="Times New Roman"/>
                <w:color w:val="000000"/>
                <w:sz w:val="22"/>
              </w:rPr>
              <w:t>Understanding: situated</w:t>
            </w:r>
            <w:r w:rsidRPr="008903D1">
              <w:rPr>
                <w:rFonts w:cs="Times New Roman"/>
                <w:color w:val="000000"/>
                <w:sz w:val="22"/>
              </w:rPr>
              <w:br/>
              <w:t>and descriptive</w:t>
            </w:r>
          </w:p>
        </w:tc>
        <w:tc>
          <w:tcPr>
            <w:tcW w:w="1759" w:type="pct"/>
          </w:tcPr>
          <w:p w14:paraId="1AEE043A" w14:textId="77777777" w:rsidR="0071798B" w:rsidRPr="008903D1" w:rsidRDefault="0071798B" w:rsidP="00C56754">
            <w:pPr>
              <w:spacing w:line="240" w:lineRule="auto"/>
              <w:jc w:val="left"/>
              <w:rPr>
                <w:rFonts w:cs="Times New Roman"/>
                <w:color w:val="000000"/>
                <w:sz w:val="22"/>
              </w:rPr>
            </w:pPr>
            <w:r w:rsidRPr="008903D1">
              <w:rPr>
                <w:rFonts w:cs="Times New Roman"/>
                <w:color w:val="000000"/>
                <w:sz w:val="22"/>
              </w:rPr>
              <w:t>Control; creation;</w:t>
            </w:r>
            <w:r w:rsidRPr="008903D1">
              <w:rPr>
                <w:rFonts w:cs="Times New Roman"/>
                <w:color w:val="000000"/>
                <w:sz w:val="22"/>
              </w:rPr>
              <w:br/>
              <w:t>progress (</w:t>
            </w:r>
            <w:r w:rsidRPr="008903D1">
              <w:rPr>
                <w:rFonts w:cs="Times New Roman"/>
                <w:iCs/>
                <w:color w:val="000000"/>
                <w:sz w:val="22"/>
              </w:rPr>
              <w:t xml:space="preserve">i.e., </w:t>
            </w:r>
            <w:r w:rsidRPr="008903D1">
              <w:rPr>
                <w:rFonts w:cs="Times New Roman"/>
                <w:color w:val="000000"/>
                <w:sz w:val="22"/>
              </w:rPr>
              <w:t>improvement); understanding</w:t>
            </w:r>
          </w:p>
        </w:tc>
      </w:tr>
    </w:tbl>
    <w:p w14:paraId="77C54DD7" w14:textId="0303A2AD" w:rsidR="0071798B" w:rsidRDefault="007B5959" w:rsidP="000A4E8C">
      <w:pPr>
        <w:pStyle w:val="Caption"/>
        <w:spacing w:after="0" w:line="360" w:lineRule="auto"/>
        <w:rPr>
          <w:rFonts w:cs="Times New Roman"/>
        </w:rPr>
      </w:pPr>
      <w:bookmarkStart w:id="492" w:name="_Ref30090598"/>
      <w:bookmarkStart w:id="493" w:name="_Toc490928521"/>
      <w:bookmarkStart w:id="494" w:name="_Toc491870124"/>
      <w:bookmarkStart w:id="495" w:name="_Toc34674945"/>
      <w:bookmarkStart w:id="496" w:name="_Toc34734737"/>
      <w:bookmarkStart w:id="497" w:name="_Toc46053551"/>
      <w:bookmarkStart w:id="498" w:name="_Toc46093800"/>
      <w:bookmarkStart w:id="499" w:name="_Toc66698768"/>
      <w:r>
        <w:rPr>
          <w:rFonts w:cs="Times New Roman"/>
        </w:rPr>
        <w:t>Table</w:t>
      </w:r>
      <w:r w:rsidR="0071798B"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3</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1</w:t>
      </w:r>
      <w:r w:rsidR="00FE10DA">
        <w:rPr>
          <w:rFonts w:cs="Times New Roman"/>
        </w:rPr>
        <w:fldChar w:fldCharType="end"/>
      </w:r>
      <w:bookmarkEnd w:id="492"/>
      <w:r w:rsidR="00AF217C">
        <w:rPr>
          <w:rFonts w:cs="Times New Roman"/>
        </w:rPr>
        <w:t>:</w:t>
      </w:r>
      <w:r w:rsidR="0071798B" w:rsidRPr="008903D1">
        <w:rPr>
          <w:rFonts w:cs="Times New Roman"/>
        </w:rPr>
        <w:t xml:space="preserve"> Philosophical assumptions of positivist, interpretivist, and design </w:t>
      </w:r>
      <w:bookmarkEnd w:id="493"/>
      <w:bookmarkEnd w:id="494"/>
      <w:r w:rsidR="0071798B" w:rsidRPr="008903D1">
        <w:rPr>
          <w:rFonts w:cs="Times New Roman"/>
        </w:rPr>
        <w:t>research</w:t>
      </w:r>
      <w:bookmarkEnd w:id="495"/>
      <w:bookmarkEnd w:id="496"/>
      <w:bookmarkEnd w:id="497"/>
      <w:bookmarkEnd w:id="498"/>
      <w:bookmarkEnd w:id="499"/>
    </w:p>
    <w:p w14:paraId="69BF45AA" w14:textId="6999421D" w:rsidR="00D56E3F" w:rsidRPr="00E26C09" w:rsidRDefault="00D56E3F" w:rsidP="0039582D">
      <w:pPr>
        <w:pStyle w:val="Heading2"/>
        <w:spacing w:after="120"/>
      </w:pPr>
      <w:bookmarkStart w:id="500" w:name="_Toc46053432"/>
      <w:bookmarkStart w:id="501" w:name="_Toc46093346"/>
      <w:bookmarkStart w:id="502" w:name="_Toc46093629"/>
      <w:bookmarkStart w:id="503" w:name="_Toc66703204"/>
      <w:r w:rsidRPr="00E26C09">
        <w:t xml:space="preserve">Theoretical </w:t>
      </w:r>
      <w:r w:rsidR="00335E50">
        <w:t>lens</w:t>
      </w:r>
      <w:r w:rsidR="00335E50" w:rsidRPr="00E26C09">
        <w:t xml:space="preserve"> </w:t>
      </w:r>
      <w:r w:rsidRPr="00E26C09">
        <w:t>of the Thesis</w:t>
      </w:r>
      <w:bookmarkEnd w:id="500"/>
      <w:bookmarkEnd w:id="501"/>
      <w:bookmarkEnd w:id="502"/>
      <w:bookmarkEnd w:id="503"/>
    </w:p>
    <w:p w14:paraId="69E06CE9" w14:textId="516F9341" w:rsidR="00D56E3F" w:rsidRPr="00E26C09" w:rsidRDefault="009D3451" w:rsidP="0039582D">
      <w:pPr>
        <w:pStyle w:val="Heading3"/>
      </w:pPr>
      <w:bookmarkStart w:id="504" w:name="_Toc46053433"/>
      <w:bookmarkStart w:id="505" w:name="_Toc46093347"/>
      <w:bookmarkStart w:id="506" w:name="_Toc46093630"/>
      <w:bookmarkStart w:id="507" w:name="_Toc66703205"/>
      <w:r>
        <w:t>Origin</w:t>
      </w:r>
      <w:r w:rsidR="00F13376">
        <w:t xml:space="preserve"> </w:t>
      </w:r>
      <w:r w:rsidR="00D56E3F" w:rsidRPr="00E26C09">
        <w:rPr>
          <w:rFonts w:hint="eastAsia"/>
        </w:rPr>
        <w:t>of</w:t>
      </w:r>
      <w:r w:rsidR="00D56E3F" w:rsidRPr="00E26C09">
        <w:t xml:space="preserve"> </w:t>
      </w:r>
      <w:r w:rsidR="00335E50">
        <w:t>s</w:t>
      </w:r>
      <w:r w:rsidR="00335E50" w:rsidRPr="00E26C09">
        <w:rPr>
          <w:rFonts w:hint="eastAsia"/>
        </w:rPr>
        <w:t>takeholder</w:t>
      </w:r>
      <w:r w:rsidR="00335E50" w:rsidRPr="00E26C09">
        <w:t xml:space="preserve"> </w:t>
      </w:r>
      <w:bookmarkEnd w:id="504"/>
      <w:bookmarkEnd w:id="505"/>
      <w:bookmarkEnd w:id="506"/>
      <w:r w:rsidR="00335E50">
        <w:t>t</w:t>
      </w:r>
      <w:r w:rsidR="00335E50" w:rsidRPr="00E26C09">
        <w:rPr>
          <w:rFonts w:hint="eastAsia"/>
        </w:rPr>
        <w:t>heory</w:t>
      </w:r>
      <w:bookmarkEnd w:id="507"/>
    </w:p>
    <w:p w14:paraId="61BF24E6" w14:textId="1C0A8E6A" w:rsidR="00D56E3F" w:rsidRPr="00E26C09" w:rsidRDefault="00D56E3F" w:rsidP="00D56E3F">
      <w:pPr>
        <w:spacing w:after="240" w:line="360" w:lineRule="auto"/>
        <w:rPr>
          <w:rFonts w:eastAsia="等线" w:cs="Arial"/>
        </w:rPr>
      </w:pPr>
      <w:bookmarkStart w:id="508" w:name="_Hlk44365074"/>
      <w:r w:rsidRPr="00E26C09">
        <w:rPr>
          <w:rFonts w:eastAsia="等线" w:cs="Arial" w:hint="eastAsia"/>
        </w:rPr>
        <w:t>Stakeholder</w:t>
      </w:r>
      <w:r w:rsidRPr="00E26C09">
        <w:rPr>
          <w:rFonts w:eastAsia="等线" w:cs="Arial"/>
        </w:rPr>
        <w:t xml:space="preserve"> </w:t>
      </w:r>
      <w:r w:rsidRPr="00E26C09">
        <w:rPr>
          <w:rFonts w:eastAsia="等线" w:cs="Arial" w:hint="eastAsia"/>
        </w:rPr>
        <w:t>theory</w:t>
      </w:r>
      <w:r w:rsidRPr="00E26C09">
        <w:rPr>
          <w:rFonts w:eastAsia="等线" w:cs="Arial"/>
        </w:rPr>
        <w:t xml:space="preserve"> </w:t>
      </w:r>
      <w:r w:rsidRPr="00E26C09">
        <w:rPr>
          <w:rFonts w:eastAsia="等线" w:cs="Arial" w:hint="eastAsia"/>
        </w:rPr>
        <w:t>was</w:t>
      </w:r>
      <w:r w:rsidR="0019463F">
        <w:rPr>
          <w:rFonts w:eastAsia="等线" w:cs="Arial"/>
        </w:rPr>
        <w:t xml:space="preserve"> first</w:t>
      </w:r>
      <w:r w:rsidRPr="00E26C09">
        <w:rPr>
          <w:rFonts w:eastAsia="等线" w:cs="Arial"/>
        </w:rPr>
        <w:t xml:space="preserve"> </w:t>
      </w:r>
      <w:r w:rsidRPr="00E26C09">
        <w:rPr>
          <w:rFonts w:eastAsia="等线" w:cs="Arial" w:hint="eastAsia"/>
        </w:rPr>
        <w:t>proposed</w:t>
      </w:r>
      <w:r w:rsidRPr="00E26C09">
        <w:rPr>
          <w:rFonts w:eastAsia="等线" w:cs="Arial"/>
        </w:rPr>
        <w:t xml:space="preserve"> </w:t>
      </w:r>
      <w:r w:rsidRPr="00E26C09">
        <w:rPr>
          <w:rFonts w:eastAsia="等线" w:cs="Arial" w:hint="eastAsia"/>
        </w:rPr>
        <w:t>in</w:t>
      </w:r>
      <w:r w:rsidRPr="00E26C09">
        <w:rPr>
          <w:rFonts w:eastAsia="等线" w:cs="Arial"/>
        </w:rPr>
        <w:t xml:space="preserve"> 1960s, during which </w:t>
      </w:r>
      <w:r w:rsidR="0019463F">
        <w:rPr>
          <w:rFonts w:eastAsia="等线" w:cs="Arial"/>
        </w:rPr>
        <w:t xml:space="preserve">time </w:t>
      </w:r>
      <w:r w:rsidRPr="00E26C09">
        <w:rPr>
          <w:rFonts w:eastAsia="等线" w:cs="Arial" w:hint="eastAsia"/>
        </w:rPr>
        <w:t>the</w:t>
      </w:r>
      <w:r w:rsidRPr="00E26C09">
        <w:rPr>
          <w:rFonts w:eastAsia="等线" w:cs="Arial"/>
        </w:rPr>
        <w:t xml:space="preserve"> </w:t>
      </w:r>
      <w:r w:rsidRPr="00E26C09">
        <w:rPr>
          <w:rFonts w:eastAsia="等线" w:cs="Arial" w:hint="eastAsia"/>
        </w:rPr>
        <w:t>executives</w:t>
      </w:r>
      <w:r w:rsidRPr="00E26C09">
        <w:rPr>
          <w:rFonts w:eastAsia="等线" w:cs="Arial"/>
        </w:rPr>
        <w:t xml:space="preserve"> </w:t>
      </w:r>
      <w:r>
        <w:rPr>
          <w:rFonts w:eastAsia="等线" w:cs="Arial"/>
        </w:rPr>
        <w:t>of firm</w:t>
      </w:r>
      <w:r w:rsidR="0019463F">
        <w:rPr>
          <w:rFonts w:eastAsia="等线" w:cs="Arial"/>
        </w:rPr>
        <w:t>s</w:t>
      </w:r>
      <w:r>
        <w:rPr>
          <w:rFonts w:eastAsia="等线" w:cs="Arial"/>
        </w:rPr>
        <w:t xml:space="preserve"> </w:t>
      </w:r>
      <w:r w:rsidRPr="00E26C09">
        <w:rPr>
          <w:rFonts w:eastAsia="等线" w:cs="Arial" w:hint="eastAsia"/>
        </w:rPr>
        <w:t>consider</w:t>
      </w:r>
      <w:r w:rsidR="0019463F">
        <w:rPr>
          <w:rFonts w:eastAsia="等线" w:cs="Arial"/>
        </w:rPr>
        <w:t>ed</w:t>
      </w:r>
      <w:r w:rsidRPr="00E26C09">
        <w:rPr>
          <w:rFonts w:eastAsia="等线" w:cs="Arial"/>
        </w:rPr>
        <w:t xml:space="preserve"> </w:t>
      </w:r>
      <w:r w:rsidRPr="00E26C09">
        <w:rPr>
          <w:rFonts w:eastAsia="等线" w:cs="Arial" w:hint="eastAsia"/>
        </w:rPr>
        <w:t>their</w:t>
      </w:r>
      <w:r w:rsidRPr="00E26C09">
        <w:rPr>
          <w:rFonts w:eastAsia="等线" w:cs="Arial"/>
        </w:rPr>
        <w:t xml:space="preserve"> business activities a</w:t>
      </w:r>
      <w:r w:rsidR="0019463F">
        <w:rPr>
          <w:rFonts w:eastAsia="等线" w:cs="Arial"/>
        </w:rPr>
        <w:t>s</w:t>
      </w:r>
      <w:r w:rsidRPr="00E26C09">
        <w:rPr>
          <w:rFonts w:eastAsia="等线" w:cs="Arial"/>
        </w:rPr>
        <w:t xml:space="preserve"> separate from their business ethics. </w:t>
      </w:r>
      <w:r w:rsidRPr="00E26C09">
        <w:rPr>
          <w:rFonts w:eastAsia="等线" w:cs="Arial" w:hint="eastAsia"/>
        </w:rPr>
        <w:t>Stakeholder</w:t>
      </w:r>
      <w:r w:rsidRPr="00E26C09">
        <w:rPr>
          <w:rFonts w:eastAsia="等线" w:cs="Arial"/>
        </w:rPr>
        <w:t xml:space="preserve"> </w:t>
      </w:r>
      <w:r w:rsidRPr="00E26C09">
        <w:rPr>
          <w:rFonts w:eastAsia="等线" w:cs="Arial" w:hint="eastAsia"/>
        </w:rPr>
        <w:t>theory</w:t>
      </w:r>
      <w:r w:rsidRPr="00E26C09">
        <w:rPr>
          <w:rFonts w:eastAsia="等线" w:cs="Arial"/>
        </w:rPr>
        <w:t xml:space="preserve"> is derived from the concept of</w:t>
      </w:r>
      <w:r w:rsidR="0019463F">
        <w:rPr>
          <w:rFonts w:eastAsia="等线" w:cs="Arial"/>
        </w:rPr>
        <w:t xml:space="preserve"> the</w:t>
      </w:r>
      <w:r w:rsidRPr="00E26C09">
        <w:rPr>
          <w:rFonts w:eastAsia="等线" w:cs="Arial"/>
        </w:rPr>
        <w:t xml:space="preserve"> “responsibility principle”, which requires the </w:t>
      </w:r>
      <w:r w:rsidRPr="00A22878">
        <w:rPr>
          <w:rFonts w:eastAsia="等线" w:cs="Arial"/>
        </w:rPr>
        <w:t xml:space="preserve">business decision of the firms </w:t>
      </w:r>
      <w:r w:rsidRPr="00E26C09">
        <w:rPr>
          <w:rFonts w:eastAsia="等线" w:cs="Arial"/>
        </w:rPr>
        <w:t xml:space="preserve">to consider </w:t>
      </w:r>
      <w:r w:rsidR="0019463F">
        <w:rPr>
          <w:rFonts w:eastAsia="等线" w:cs="Arial"/>
        </w:rPr>
        <w:t>its</w:t>
      </w:r>
      <w:r w:rsidRPr="00E26C09">
        <w:rPr>
          <w:rFonts w:eastAsia="等线" w:cs="Arial"/>
        </w:rPr>
        <w:t xml:space="preserve"> moral responsibility and business ethic</w:t>
      </w:r>
      <w:r w:rsidRPr="00E26C09">
        <w:rPr>
          <w:rFonts w:eastAsia="等线" w:cs="Arial" w:hint="eastAsia"/>
        </w:rPr>
        <w:t>s.</w:t>
      </w:r>
      <w:r w:rsidRPr="00E26C09">
        <w:rPr>
          <w:rFonts w:eastAsia="等线" w:cs="Arial"/>
        </w:rPr>
        <w:t xml:space="preserve"> </w:t>
      </w:r>
      <w:r w:rsidR="0021691F">
        <w:rPr>
          <w:rFonts w:eastAsia="等线" w:cs="Arial"/>
        </w:rPr>
        <w:t>In the</w:t>
      </w:r>
      <w:r w:rsidRPr="00E26C09">
        <w:rPr>
          <w:rFonts w:eastAsia="等线" w:cs="Arial"/>
        </w:rPr>
        <w:t xml:space="preserve"> beginning, s</w:t>
      </w:r>
      <w:r w:rsidRPr="00E26C09">
        <w:rPr>
          <w:rFonts w:eastAsia="等线" w:cs="Arial" w:hint="eastAsia"/>
        </w:rPr>
        <w:t>uch</w:t>
      </w:r>
      <w:r w:rsidRPr="00E26C09">
        <w:rPr>
          <w:rFonts w:eastAsia="等线" w:cs="Arial"/>
        </w:rPr>
        <w:t xml:space="preserve"> </w:t>
      </w:r>
      <w:r w:rsidR="001E303D">
        <w:rPr>
          <w:rFonts w:eastAsia="等线" w:cs="Arial"/>
        </w:rPr>
        <w:t xml:space="preserve">a </w:t>
      </w:r>
      <w:r w:rsidRPr="00E26C09">
        <w:rPr>
          <w:rFonts w:eastAsia="等线" w:cs="Arial" w:hint="eastAsia"/>
        </w:rPr>
        <w:t>proposition</w:t>
      </w:r>
      <w:r w:rsidRPr="00E26C09">
        <w:rPr>
          <w:rFonts w:eastAsia="等线" w:cs="Arial"/>
        </w:rPr>
        <w:t xml:space="preserve"> </w:t>
      </w:r>
      <w:r>
        <w:rPr>
          <w:rFonts w:eastAsia="等线" w:cs="Arial" w:hint="eastAsia"/>
        </w:rPr>
        <w:t>was</w:t>
      </w:r>
      <w:r>
        <w:rPr>
          <w:rFonts w:eastAsia="等线" w:cs="Arial"/>
        </w:rPr>
        <w:t xml:space="preserve"> </w:t>
      </w:r>
      <w:r w:rsidRPr="00E26C09">
        <w:rPr>
          <w:rFonts w:eastAsia="等线" w:cs="Arial" w:hint="eastAsia"/>
        </w:rPr>
        <w:t>n</w:t>
      </w:r>
      <w:r w:rsidRPr="00E26C09">
        <w:rPr>
          <w:rFonts w:eastAsia="等线" w:cs="Arial"/>
        </w:rPr>
        <w:t xml:space="preserve">ot accepted by some groups </w:t>
      </w:r>
      <w:r w:rsidRPr="00A22878">
        <w:rPr>
          <w:rFonts w:eastAsia="等线" w:cs="Arial"/>
        </w:rPr>
        <w:t>(</w:t>
      </w:r>
      <w:proofErr w:type="gramStart"/>
      <w:r w:rsidRPr="00A22878">
        <w:rPr>
          <w:rFonts w:eastAsia="等线" w:cs="Arial"/>
        </w:rPr>
        <w:t>e.g.</w:t>
      </w:r>
      <w:proofErr w:type="gramEnd"/>
      <w:r w:rsidRPr="00A22878">
        <w:rPr>
          <w:rFonts w:eastAsia="等线" w:cs="Arial"/>
        </w:rPr>
        <w:t xml:space="preserve"> shareholders)</w:t>
      </w:r>
      <w:r w:rsidRPr="00E26C09">
        <w:rPr>
          <w:rFonts w:eastAsia="等线" w:cs="Arial"/>
        </w:rPr>
        <w:t xml:space="preserve">, as many </w:t>
      </w:r>
      <w:r>
        <w:rPr>
          <w:rFonts w:eastAsia="等线" w:cs="Arial"/>
        </w:rPr>
        <w:t>firms</w:t>
      </w:r>
      <w:r w:rsidRPr="00E26C09">
        <w:rPr>
          <w:rFonts w:eastAsia="等线" w:cs="Arial"/>
        </w:rPr>
        <w:t xml:space="preserve"> d</w:t>
      </w:r>
      <w:r w:rsidR="00536E27">
        <w:rPr>
          <w:rFonts w:eastAsia="等线" w:cs="Arial"/>
        </w:rPr>
        <w:t>id</w:t>
      </w:r>
      <w:r w:rsidRPr="00E26C09">
        <w:rPr>
          <w:rFonts w:eastAsia="等线" w:cs="Arial"/>
        </w:rPr>
        <w:t xml:space="preserve"> not want to invest resources in </w:t>
      </w:r>
      <w:r w:rsidRPr="00A22878">
        <w:rPr>
          <w:rFonts w:eastAsia="等线" w:cs="Arial"/>
        </w:rPr>
        <w:t>other irrelevant activities</w:t>
      </w:r>
      <w:r w:rsidRPr="00E26C09">
        <w:rPr>
          <w:rFonts w:eastAsia="等线" w:cs="Arial"/>
        </w:rPr>
        <w:t xml:space="preserve">. Indeed, the opposition </w:t>
      </w:r>
      <w:r w:rsidR="00536E27">
        <w:rPr>
          <w:rFonts w:eastAsia="等线" w:cs="Arial"/>
        </w:rPr>
        <w:t>to</w:t>
      </w:r>
      <w:r w:rsidRPr="00E26C09">
        <w:rPr>
          <w:rFonts w:eastAsia="等线" w:cs="Arial"/>
        </w:rPr>
        <w:t xml:space="preserve"> the “responsibility principle” aris</w:t>
      </w:r>
      <w:r w:rsidR="004449D5">
        <w:rPr>
          <w:rFonts w:eastAsia="等线" w:cs="Arial"/>
        </w:rPr>
        <w:t>e</w:t>
      </w:r>
      <w:r w:rsidRPr="00E26C09">
        <w:rPr>
          <w:rFonts w:eastAsia="等线" w:cs="Arial"/>
        </w:rPr>
        <w:t xml:space="preserve"> owing to the </w:t>
      </w:r>
      <w:r w:rsidRPr="00E26C09">
        <w:rPr>
          <w:rFonts w:eastAsia="等线" w:cs="Arial" w:hint="eastAsia"/>
        </w:rPr>
        <w:t>defending</w:t>
      </w:r>
      <w:r w:rsidRPr="00E26C09">
        <w:rPr>
          <w:rFonts w:eastAsia="等线" w:cs="Arial"/>
        </w:rPr>
        <w:t xml:space="preserve"> on the basis of capitalism value</w:t>
      </w:r>
      <w:r w:rsidR="00222579">
        <w:rPr>
          <w:rFonts w:eastAsia="等线" w:cs="Arial"/>
        </w:rPr>
        <w:t>s</w:t>
      </w:r>
      <w:r w:rsidRPr="00E26C09">
        <w:rPr>
          <w:rFonts w:eastAsia="等线" w:cs="Arial"/>
        </w:rPr>
        <w:t>:  ‘</w:t>
      </w:r>
      <w:hyperlink r:id="rId38" w:tooltip="Private property" w:history="1">
        <w:r w:rsidRPr="00E26C09">
          <w:rPr>
            <w:rFonts w:eastAsia="等线" w:cs="Arial"/>
            <w:i/>
            <w:iCs/>
          </w:rPr>
          <w:t>private ownership</w:t>
        </w:r>
      </w:hyperlink>
      <w:r w:rsidRPr="00E26C09">
        <w:rPr>
          <w:rFonts w:eastAsia="等线" w:cs="Arial"/>
          <w:i/>
          <w:iCs/>
        </w:rPr>
        <w:t> of the </w:t>
      </w:r>
      <w:hyperlink r:id="rId39" w:tooltip="Means of production" w:history="1">
        <w:r w:rsidRPr="00E26C09">
          <w:rPr>
            <w:rFonts w:eastAsia="等线" w:cs="Arial"/>
            <w:i/>
            <w:iCs/>
          </w:rPr>
          <w:t>means of production</w:t>
        </w:r>
      </w:hyperlink>
      <w:r w:rsidRPr="00E26C09">
        <w:rPr>
          <w:rFonts w:eastAsia="等线" w:cs="Arial"/>
          <w:i/>
          <w:iCs/>
        </w:rPr>
        <w:t> and their operation for </w:t>
      </w:r>
      <w:hyperlink r:id="rId40" w:tooltip="Profit (economics)" w:history="1">
        <w:r w:rsidRPr="00E26C09">
          <w:rPr>
            <w:rFonts w:eastAsia="等线" w:cs="Arial"/>
            <w:i/>
            <w:iCs/>
          </w:rPr>
          <w:t>profit</w:t>
        </w:r>
      </w:hyperlink>
      <w:r w:rsidRPr="00E26C09">
        <w:rPr>
          <w:rFonts w:eastAsia="等线" w:cs="Arial"/>
        </w:rPr>
        <w:t xml:space="preserve"> </w:t>
      </w:r>
      <w:r w:rsidR="007D438A">
        <w:rPr>
          <w:rFonts w:eastAsia="等线" w:cs="Arial"/>
          <w:noProof/>
        </w:rPr>
        <w:fldChar w:fldCharType="begin"/>
      </w:r>
      <w:r w:rsidR="00647E79">
        <w:rPr>
          <w:rFonts w:eastAsia="等线" w:cs="Arial"/>
          <w:noProof/>
        </w:rPr>
        <w:instrText xml:space="preserve"> ADDIN EN.CITE &lt;EndNote&gt;&lt;Cite&gt;&lt;Author&gt;Zimbalist&lt;/Author&gt;&lt;Year&gt;2014&lt;/Year&gt;&lt;RecNum&gt;260&lt;/RecNum&gt;&lt;DisplayText&gt;(Zimbalist and Sherman, 2014)&lt;/DisplayText&gt;&lt;record&gt;&lt;rec-number&gt;260&lt;/rec-number&gt;&lt;foreign-keys&gt;&lt;key app="EN" db-id="pzt5ep52hsedfpeext2pdfes0w0aswaewef2" timestamp="1605187998"&gt;260&lt;/key&gt;&lt;/foreign-keys&gt;&lt;ref-type name="Book"&gt;6&lt;/ref-type&gt;&lt;contributors&gt;&lt;authors&gt;&lt;author&gt;Zimbalist, Andrew&lt;/author&gt;&lt;author&gt;Sherman, Howard J&lt;/author&gt;&lt;/authors&gt;&lt;/contributors&gt;&lt;titles&gt;&lt;title&gt;Comparing economic systems: a political-economic approach&lt;/title&gt;&lt;/titles&gt;&lt;dates&gt;&lt;year&gt;2014&lt;/year&gt;&lt;/dates&gt;&lt;publisher&gt;Academic Press&lt;/publisher&gt;&lt;isbn&gt;1483260933&lt;/isbn&gt;&lt;urls&gt;&lt;/urls&gt;&lt;/record&gt;&lt;/Cite&gt;&lt;/EndNote&gt;</w:instrText>
      </w:r>
      <w:r w:rsidR="007D438A">
        <w:rPr>
          <w:rFonts w:eastAsia="等线" w:cs="Arial"/>
          <w:noProof/>
        </w:rPr>
        <w:fldChar w:fldCharType="separate"/>
      </w:r>
      <w:r w:rsidR="007D438A">
        <w:rPr>
          <w:rFonts w:eastAsia="等线" w:cs="Arial"/>
          <w:noProof/>
        </w:rPr>
        <w:t>(Zimbalist and Sherman, 2014)</w:t>
      </w:r>
      <w:r w:rsidR="007D438A">
        <w:rPr>
          <w:rFonts w:eastAsia="等线" w:cs="Arial"/>
          <w:noProof/>
        </w:rPr>
        <w:fldChar w:fldCharType="end"/>
      </w:r>
      <w:r w:rsidRPr="00E26C09">
        <w:rPr>
          <w:rFonts w:eastAsia="等线" w:cs="Arial"/>
        </w:rPr>
        <w:t xml:space="preserve">’. An argument from Shareholders </w:t>
      </w:r>
      <w:r w:rsidR="00222579">
        <w:rPr>
          <w:rFonts w:eastAsia="等线" w:cs="Arial"/>
        </w:rPr>
        <w:t>T</w:t>
      </w:r>
      <w:r w:rsidRPr="00E26C09">
        <w:rPr>
          <w:rFonts w:eastAsia="等线" w:cs="Arial"/>
        </w:rPr>
        <w:t xml:space="preserve">heory </w:t>
      </w:r>
      <w:r w:rsidR="007D438A">
        <w:rPr>
          <w:rFonts w:eastAsia="等线" w:cs="Arial"/>
          <w:noProof/>
        </w:rPr>
        <w:fldChar w:fldCharType="begin"/>
      </w:r>
      <w:r w:rsidR="00647E79">
        <w:rPr>
          <w:rFonts w:eastAsia="等线" w:cs="Arial"/>
          <w:noProof/>
        </w:rPr>
        <w:instrText xml:space="preserve"> ADDIN EN.CITE &lt;EndNote&gt;&lt;Cite&gt;&lt;Author&gt;Friedman&lt;/Author&gt;&lt;Year&gt;1970&lt;/Year&gt;&lt;RecNum&gt;261&lt;/RecNum&gt;&lt;DisplayText&gt;(Friedman, 1970)&lt;/DisplayText&gt;&lt;record&gt;&lt;rec-number&gt;261&lt;/rec-number&gt;&lt;foreign-keys&gt;&lt;key app="EN" db-id="pzt5ep52hsedfpeext2pdfes0w0aswaewef2" timestamp="1605187998"&gt;261&lt;/key&gt;&lt;/foreign-keys&gt;&lt;ref-type name="Book Section"&gt;5&lt;/ref-type&gt;&lt;contributors&gt;&lt;authors&gt;&lt;author&gt;Friedman, Milton&lt;/author&gt;&lt;/authors&gt;&lt;/contributors&gt;&lt;titles&gt;&lt;title&gt;The social responsibility of business is to increase its profits&lt;/title&gt;&lt;secondary-title&gt;Corporate ethics and corporate governance&lt;/secondary-title&gt;&lt;/titles&gt;&lt;pages&gt;173-178&lt;/pages&gt;&lt;dates&gt;&lt;year&gt;1970&lt;/year&gt;&lt;/dates&gt;&lt;publisher&gt;Springer&lt;/publisher&gt;&lt;urls&gt;&lt;/urls&gt;&lt;/record&gt;&lt;/Cite&gt;&lt;/EndNote&gt;</w:instrText>
      </w:r>
      <w:r w:rsidR="007D438A">
        <w:rPr>
          <w:rFonts w:eastAsia="等线" w:cs="Arial"/>
          <w:noProof/>
        </w:rPr>
        <w:fldChar w:fldCharType="separate"/>
      </w:r>
      <w:r w:rsidR="007D438A">
        <w:rPr>
          <w:rFonts w:eastAsia="等线" w:cs="Arial"/>
          <w:noProof/>
        </w:rPr>
        <w:t>(Friedman, 1970)</w:t>
      </w:r>
      <w:r w:rsidR="007D438A">
        <w:rPr>
          <w:rFonts w:eastAsia="等线" w:cs="Arial"/>
          <w:noProof/>
        </w:rPr>
        <w:fldChar w:fldCharType="end"/>
      </w:r>
      <w:r w:rsidRPr="00E26C09">
        <w:rPr>
          <w:rFonts w:eastAsia="等线" w:cs="Arial"/>
        </w:rPr>
        <w:t xml:space="preserve"> stands on this point, which declares that:</w:t>
      </w:r>
    </w:p>
    <w:p w14:paraId="7CF767DD" w14:textId="3A2E7EBF" w:rsidR="00D56E3F" w:rsidRPr="00E26C09" w:rsidRDefault="00D56E3F" w:rsidP="00D56E3F">
      <w:pPr>
        <w:spacing w:after="240" w:line="360" w:lineRule="auto"/>
        <w:ind w:left="720"/>
        <w:jc w:val="left"/>
        <w:rPr>
          <w:rFonts w:eastAsia="等线" w:cs="Arial"/>
          <w:i/>
          <w:iCs/>
        </w:rPr>
      </w:pPr>
      <w:r w:rsidRPr="00E26C09">
        <w:rPr>
          <w:rFonts w:eastAsia="等线" w:cs="Arial"/>
          <w:i/>
          <w:iCs/>
        </w:rPr>
        <w:t>‘In a </w:t>
      </w:r>
      <w:hyperlink r:id="rId41" w:tooltip="Free-enterprise" w:history="1">
        <w:r w:rsidRPr="00E26C09">
          <w:rPr>
            <w:rFonts w:eastAsia="等线" w:cs="Arial"/>
            <w:i/>
            <w:iCs/>
          </w:rPr>
          <w:t>free-enterprise</w:t>
        </w:r>
      </w:hyperlink>
      <w:r w:rsidRPr="00E26C09">
        <w:rPr>
          <w:rFonts w:eastAsia="等线" w:cs="Arial"/>
          <w:i/>
          <w:iCs/>
        </w:rPr>
        <w:t>, </w:t>
      </w:r>
      <w:hyperlink r:id="rId42" w:tooltip="Private property" w:history="1">
        <w:r w:rsidRPr="00E26C09">
          <w:rPr>
            <w:rFonts w:eastAsia="等线" w:cs="Arial"/>
            <w:i/>
            <w:iCs/>
          </w:rPr>
          <w:t>private-property</w:t>
        </w:r>
      </w:hyperlink>
      <w:r w:rsidRPr="00E26C09">
        <w:rPr>
          <w:rFonts w:eastAsia="等线" w:cs="Arial"/>
          <w:i/>
          <w:iCs/>
        </w:rPr>
        <w:t> system, a </w:t>
      </w:r>
      <w:hyperlink r:id="rId43" w:history="1">
        <w:r w:rsidRPr="00E26C09">
          <w:rPr>
            <w:rFonts w:eastAsia="等线" w:cs="Arial"/>
            <w:i/>
            <w:iCs/>
          </w:rPr>
          <w:t>corporate executive</w:t>
        </w:r>
      </w:hyperlink>
      <w:r w:rsidRPr="00E26C09">
        <w:rPr>
          <w:rFonts w:eastAsia="等线" w:cs="Arial"/>
          <w:i/>
          <w:iCs/>
        </w:rPr>
        <w:t> is an employee of the owners of the business. He has direct responsibility to his employers. That responsibility is to conduct the business in accordance with their desires</w:t>
      </w:r>
      <w:r>
        <w:rPr>
          <w:rFonts w:eastAsia="等线" w:cs="Arial"/>
          <w:i/>
          <w:iCs/>
        </w:rPr>
        <w:t xml:space="preserve"> </w:t>
      </w:r>
      <w:r w:rsidRPr="00E26C09">
        <w:rPr>
          <w:rFonts w:eastAsia="等线" w:cs="Arial"/>
          <w:i/>
          <w:iCs/>
        </w:rPr>
        <w:t>... There is one and only one social responsibility of business</w:t>
      </w:r>
      <w:r w:rsidR="00222579">
        <w:rPr>
          <w:rFonts w:eastAsia="等线" w:cs="Arial"/>
          <w:i/>
          <w:iCs/>
        </w:rPr>
        <w:t xml:space="preserve"> </w:t>
      </w:r>
      <w:r w:rsidRPr="00E26C09">
        <w:rPr>
          <w:rFonts w:eastAsia="等线" w:cs="Arial"/>
          <w:i/>
          <w:iCs/>
        </w:rPr>
        <w:t>-</w:t>
      </w:r>
      <w:r w:rsidR="00222579">
        <w:rPr>
          <w:rFonts w:eastAsia="等线" w:cs="Arial"/>
          <w:i/>
          <w:iCs/>
        </w:rPr>
        <w:t xml:space="preserve"> </w:t>
      </w:r>
      <w:r w:rsidRPr="00E26C09">
        <w:rPr>
          <w:rFonts w:eastAsia="等线" w:cs="Arial"/>
          <w:i/>
          <w:iCs/>
        </w:rPr>
        <w:t xml:space="preserve">to use its resources and engage in activities designed to increase its </w:t>
      </w:r>
      <w:proofErr w:type="gramStart"/>
      <w:r w:rsidRPr="00E26C09">
        <w:rPr>
          <w:rFonts w:eastAsia="等线" w:cs="Arial"/>
          <w:i/>
          <w:iCs/>
        </w:rPr>
        <w:t>profits’</w:t>
      </w:r>
      <w:proofErr w:type="gramEnd"/>
    </w:p>
    <w:p w14:paraId="3A588119" w14:textId="2C46B8C2" w:rsidR="00D56E3F" w:rsidRPr="00E26C09" w:rsidRDefault="00D56E3F" w:rsidP="00D56E3F">
      <w:pPr>
        <w:spacing w:after="240" w:line="360" w:lineRule="auto"/>
        <w:rPr>
          <w:rFonts w:eastAsia="等线" w:cs="Arial"/>
        </w:rPr>
      </w:pPr>
      <w:r w:rsidRPr="008167DB">
        <w:rPr>
          <w:rFonts w:eastAsia="等线" w:cs="Arial"/>
        </w:rPr>
        <w:t xml:space="preserve">Friedman’s theory (1970) highlights </w:t>
      </w:r>
      <w:r w:rsidR="00222579">
        <w:rPr>
          <w:rFonts w:eastAsia="等线" w:cs="Arial"/>
        </w:rPr>
        <w:t xml:space="preserve">that </w:t>
      </w:r>
      <w:r w:rsidRPr="008167DB">
        <w:rPr>
          <w:rFonts w:eastAsia="等线" w:cs="Arial"/>
        </w:rPr>
        <w:t>the value of an enterprise is depend</w:t>
      </w:r>
      <w:r w:rsidR="00222579">
        <w:rPr>
          <w:rFonts w:eastAsia="等线" w:cs="Arial"/>
        </w:rPr>
        <w:t>ent</w:t>
      </w:r>
      <w:r w:rsidRPr="008167DB">
        <w:rPr>
          <w:rFonts w:eastAsia="等线" w:cs="Arial"/>
        </w:rPr>
        <w:t xml:space="preserve"> on the investment from the shareholders. </w:t>
      </w:r>
      <w:r>
        <w:rPr>
          <w:rFonts w:eastAsia="等线" w:cs="Arial"/>
        </w:rPr>
        <w:t>Furthermore,</w:t>
      </w:r>
      <w:r w:rsidRPr="008167DB">
        <w:rPr>
          <w:rFonts w:eastAsia="等线" w:cs="Arial"/>
        </w:rPr>
        <w:t xml:space="preserve"> Friedman (1970) believes shareholders</w:t>
      </w:r>
      <w:r w:rsidR="00222579">
        <w:rPr>
          <w:rFonts w:eastAsia="等线" w:cs="Arial"/>
        </w:rPr>
        <w:t>’</w:t>
      </w:r>
      <w:r w:rsidRPr="008167DB">
        <w:rPr>
          <w:rFonts w:eastAsia="等线" w:cs="Arial"/>
        </w:rPr>
        <w:t xml:space="preserve"> interest</w:t>
      </w:r>
      <w:r w:rsidR="00222579">
        <w:rPr>
          <w:rFonts w:eastAsia="等线" w:cs="Arial"/>
        </w:rPr>
        <w:t>s are</w:t>
      </w:r>
      <w:r w:rsidRPr="008167DB">
        <w:rPr>
          <w:rFonts w:eastAsia="等线" w:cs="Arial"/>
        </w:rPr>
        <w:t xml:space="preserve"> bounds</w:t>
      </w:r>
      <w:r w:rsidR="00222579">
        <w:rPr>
          <w:rFonts w:eastAsia="等线" w:cs="Arial"/>
        </w:rPr>
        <w:t xml:space="preserve"> up</w:t>
      </w:r>
      <w:r w:rsidRPr="008167DB">
        <w:rPr>
          <w:rFonts w:eastAsia="等线" w:cs="Arial"/>
        </w:rPr>
        <w:t xml:space="preserve"> with the interest</w:t>
      </w:r>
      <w:r w:rsidR="00411CB4">
        <w:rPr>
          <w:rFonts w:eastAsia="等线" w:cs="Arial"/>
        </w:rPr>
        <w:t>s</w:t>
      </w:r>
      <w:r w:rsidRPr="008167DB">
        <w:rPr>
          <w:rFonts w:eastAsia="等线" w:cs="Arial"/>
        </w:rPr>
        <w:t xml:space="preserve"> of </w:t>
      </w:r>
      <w:r w:rsidR="00411CB4">
        <w:rPr>
          <w:rFonts w:eastAsia="等线" w:cs="Arial"/>
        </w:rPr>
        <w:t xml:space="preserve">the </w:t>
      </w:r>
      <w:r w:rsidRPr="008167DB">
        <w:rPr>
          <w:rFonts w:eastAsia="等线" w:cs="Arial"/>
        </w:rPr>
        <w:t>firm</w:t>
      </w:r>
      <w:r>
        <w:rPr>
          <w:rFonts w:eastAsia="等线" w:cs="Arial"/>
        </w:rPr>
        <w:t>.</w:t>
      </w:r>
      <w:r w:rsidRPr="008167DB">
        <w:rPr>
          <w:rFonts w:eastAsia="等线" w:cs="Arial"/>
        </w:rPr>
        <w:t xml:space="preserve"> </w:t>
      </w:r>
      <w:r w:rsidRPr="00E26C09">
        <w:rPr>
          <w:rFonts w:eastAsia="等线" w:cs="Arial"/>
        </w:rPr>
        <w:t xml:space="preserve">Therefore, </w:t>
      </w:r>
      <w:r w:rsidR="00411CB4">
        <w:rPr>
          <w:rFonts w:eastAsia="等线" w:cs="Arial"/>
        </w:rPr>
        <w:t>m</w:t>
      </w:r>
      <w:r w:rsidRPr="00E26C09">
        <w:rPr>
          <w:rFonts w:eastAsia="等线" w:cs="Arial"/>
        </w:rPr>
        <w:t xml:space="preserve">aximising the interest of the shareholders will </w:t>
      </w:r>
      <w:r>
        <w:rPr>
          <w:rFonts w:eastAsia="等线" w:cs="Arial" w:hint="eastAsia"/>
        </w:rPr>
        <w:t>also</w:t>
      </w:r>
      <w:r>
        <w:rPr>
          <w:rFonts w:eastAsia="等线" w:cs="Arial"/>
        </w:rPr>
        <w:t xml:space="preserve"> </w:t>
      </w:r>
      <w:r>
        <w:rPr>
          <w:rFonts w:eastAsia="等线" w:cs="Arial" w:hint="eastAsia"/>
        </w:rPr>
        <w:t>increase</w:t>
      </w:r>
      <w:r w:rsidRPr="00E26C09">
        <w:rPr>
          <w:rFonts w:eastAsia="等线" w:cs="Arial"/>
        </w:rPr>
        <w:t xml:space="preserve"> the </w:t>
      </w:r>
      <w:r>
        <w:rPr>
          <w:rFonts w:eastAsia="等线" w:cs="Arial" w:hint="eastAsia"/>
        </w:rPr>
        <w:t>profit</w:t>
      </w:r>
      <w:r>
        <w:rPr>
          <w:rFonts w:eastAsia="等线" w:cs="Arial"/>
        </w:rPr>
        <w:t xml:space="preserve"> </w:t>
      </w:r>
      <w:r w:rsidRPr="00E26C09">
        <w:rPr>
          <w:rFonts w:eastAsia="等线" w:cs="Arial"/>
        </w:rPr>
        <w:t xml:space="preserve">of the firms. </w:t>
      </w:r>
    </w:p>
    <w:p w14:paraId="705D60A4" w14:textId="131D1650" w:rsidR="00D56E3F" w:rsidRPr="000A19B3" w:rsidRDefault="00D56E3F" w:rsidP="00D56E3F">
      <w:pPr>
        <w:spacing w:after="240" w:line="360" w:lineRule="auto"/>
        <w:rPr>
          <w:rFonts w:eastAsia="等线" w:cs="Arial"/>
        </w:rPr>
      </w:pPr>
      <w:r w:rsidRPr="00E26C09">
        <w:rPr>
          <w:rFonts w:eastAsia="等线" w:cs="Arial"/>
        </w:rPr>
        <w:t xml:space="preserve">However, the shareholders theory ignored many externalities which could influence the business performance of the firms. Since many emerging challenges hamper the managerial efficiency of firm, the justification of the shareholders theory is criticised </w:t>
      </w:r>
      <w:r w:rsidR="00C62D31">
        <w:rPr>
          <w:rFonts w:eastAsia="等线" w:cs="Arial"/>
        </w:rPr>
        <w:fldChar w:fldCharType="begin"/>
      </w:r>
      <w:r w:rsidR="00647E79">
        <w:rPr>
          <w:rFonts w:eastAsia="等线" w:cs="Arial"/>
        </w:rPr>
        <w:instrText xml:space="preserve"> ADDIN EN.CITE &lt;EndNote&gt;&lt;Cite&gt;&lt;Author&gt;Stead&lt;/Author&gt;&lt;Year&gt;1999&lt;/Year&gt;&lt;RecNum&gt;262&lt;/RecNum&gt;&lt;DisplayText&gt;(Stead et al., 1999)&lt;/DisplayText&gt;&lt;record&gt;&lt;rec-number&gt;262&lt;/rec-number&gt;&lt;foreign-keys&gt;&lt;key app="EN" db-id="pzt5ep52hsedfpeext2pdfes0w0aswaewef2" timestamp="1605187998"&gt;262&lt;/key&gt;&lt;/foreign-keys&gt;&lt;ref-type name="Journal Article"&gt;17&lt;/ref-type&gt;&lt;contributors&gt;&lt;authors&gt;&lt;author&gt;Stead, W Edward&lt;/author&gt;&lt;author&gt;Stead, Jean Garner %J Reader In Business&lt;/author&gt;&lt;author&gt;Environment&lt;/author&gt;&lt;/authors&gt;&lt;/contributors&gt;&lt;titles&gt;&lt;title&gt;Strategic management for a small planet&lt;/title&gt;&lt;/titles&gt;&lt;pages&gt;78&lt;/pages&gt;&lt;dates&gt;&lt;year&gt;1999&lt;/year&gt;&lt;/dates&gt;&lt;isbn&gt;8173711585&lt;/isbn&gt;&lt;urls&gt;&lt;/urls&gt;&lt;/record&gt;&lt;/Cite&gt;&lt;/EndNote&gt;</w:instrText>
      </w:r>
      <w:r w:rsidR="00C62D31">
        <w:rPr>
          <w:rFonts w:eastAsia="等线" w:cs="Arial"/>
        </w:rPr>
        <w:fldChar w:fldCharType="separate"/>
      </w:r>
      <w:r w:rsidR="00C62D31">
        <w:rPr>
          <w:rFonts w:eastAsia="等线" w:cs="Arial"/>
          <w:noProof/>
        </w:rPr>
        <w:t>(Stead et al., 1999)</w:t>
      </w:r>
      <w:r w:rsidR="00C62D31">
        <w:rPr>
          <w:rFonts w:eastAsia="等线" w:cs="Arial"/>
        </w:rPr>
        <w:fldChar w:fldCharType="end"/>
      </w:r>
      <w:r w:rsidRPr="00E26C09">
        <w:rPr>
          <w:rFonts w:eastAsia="等线" w:cs="Arial"/>
        </w:rPr>
        <w:t xml:space="preserve">. </w:t>
      </w:r>
      <w:r w:rsidR="00726CDB">
        <w:rPr>
          <w:rFonts w:eastAsia="等线" w:cs="Arial"/>
        </w:rPr>
        <w:lastRenderedPageBreak/>
        <w:t xml:space="preserve">As summarised by </w:t>
      </w:r>
      <w:r w:rsidR="00726CDB">
        <w:rPr>
          <w:rFonts w:eastAsia="等线" w:cs="Arial"/>
        </w:rPr>
        <w:fldChar w:fldCharType="begin"/>
      </w:r>
      <w:r w:rsidR="00647E79">
        <w:rPr>
          <w:rFonts w:eastAsia="等线" w:cs="Arial"/>
        </w:rPr>
        <w:instrText xml:space="preserve"> ADDIN EN.CITE &lt;EndNote&gt;&lt;Cite AuthorYear="1"&gt;&lt;Author&gt;Jensen&lt;/Author&gt;&lt;Year&gt;2002&lt;/Year&gt;&lt;RecNum&gt;263&lt;/RecNum&gt;&lt;DisplayText&gt;Jensen (2002)&lt;/DisplayText&gt;&lt;record&gt;&lt;rec-number&gt;263&lt;/rec-number&gt;&lt;foreign-keys&gt;&lt;key app="EN" db-id="pzt5ep52hsedfpeext2pdfes0w0aswaewef2" timestamp="1605187998"&gt;263&lt;/key&gt;&lt;/foreign-keys&gt;&lt;ref-type name="Journal Article"&gt;17&lt;/ref-type&gt;&lt;contributors&gt;&lt;authors&gt;&lt;author&gt;Jensen, Michael C.&lt;/author&gt;&lt;/authors&gt;&lt;/contributors&gt;&lt;titles&gt;&lt;title&gt;Value Maximization, Stakeholder Theory, and the Corporate Objective Function&lt;/title&gt;&lt;secondary-title&gt;Business Ethics Quarterly&lt;/secondary-title&gt;&lt;/titles&gt;&lt;periodical&gt;&lt;full-title&gt;Business Ethics Quarterly&lt;/full-title&gt;&lt;/periodical&gt;&lt;pages&gt;235-256&lt;/pages&gt;&lt;volume&gt;12&lt;/volume&gt;&lt;number&gt;2&lt;/number&gt;&lt;dates&gt;&lt;year&gt;2002&lt;/year&gt;&lt;/dates&gt;&lt;publisher&gt;Cambridge University Press&lt;/publisher&gt;&lt;isbn&gt;1052150X&lt;/isbn&gt;&lt;urls&gt;&lt;related-urls&gt;&lt;url&gt;www.jstor.org/stable/3857812&lt;/url&gt;&lt;/related-urls&gt;&lt;/urls&gt;&lt;custom1&gt;Full publication date: Apr., 2002&lt;/custom1&gt;&lt;electronic-resource-num&gt;10.2307/3857812&lt;/electronic-resource-num&gt;&lt;remote-database-name&gt;JSTOR&lt;/remote-database-name&gt;&lt;access-date&gt;2020/07/28/&lt;/access-date&gt;&lt;/record&gt;&lt;/Cite&gt;&lt;/EndNote&gt;</w:instrText>
      </w:r>
      <w:r w:rsidR="00726CDB">
        <w:rPr>
          <w:rFonts w:eastAsia="等线" w:cs="Arial"/>
        </w:rPr>
        <w:fldChar w:fldCharType="separate"/>
      </w:r>
      <w:r w:rsidR="00726CDB">
        <w:rPr>
          <w:rFonts w:eastAsia="等线" w:cs="Arial"/>
          <w:noProof/>
        </w:rPr>
        <w:t>Jensen (2002)</w:t>
      </w:r>
      <w:r w:rsidR="00726CDB">
        <w:rPr>
          <w:rFonts w:eastAsia="等线" w:cs="Arial"/>
        </w:rPr>
        <w:fldChar w:fldCharType="end"/>
      </w:r>
      <w:r w:rsidR="00726CDB">
        <w:rPr>
          <w:rFonts w:eastAsia="等线" w:cs="Arial"/>
        </w:rPr>
        <w:t xml:space="preserve">, </w:t>
      </w:r>
      <w:r w:rsidRPr="00E26C09">
        <w:rPr>
          <w:rFonts w:eastAsia="等线" w:cs="Arial"/>
        </w:rPr>
        <w:t>the profits of a firm</w:t>
      </w:r>
      <w:r>
        <w:rPr>
          <w:rFonts w:eastAsia="等线" w:cs="Arial"/>
        </w:rPr>
        <w:t xml:space="preserve"> can be impact</w:t>
      </w:r>
      <w:r w:rsidR="002F6AD4">
        <w:rPr>
          <w:rFonts w:eastAsia="等线" w:cs="Arial"/>
        </w:rPr>
        <w:t>ed</w:t>
      </w:r>
      <w:r>
        <w:rPr>
          <w:rFonts w:eastAsia="等线" w:cs="Arial"/>
        </w:rPr>
        <w:t xml:space="preserve"> by s</w:t>
      </w:r>
      <w:r w:rsidRPr="00E26C09">
        <w:rPr>
          <w:rFonts w:eastAsia="等线" w:cs="Arial"/>
        </w:rPr>
        <w:t>ome factors such as</w:t>
      </w:r>
      <w:r w:rsidR="00C15CB5">
        <w:rPr>
          <w:rFonts w:eastAsia="等线" w:cs="Arial"/>
        </w:rPr>
        <w:t>,</w:t>
      </w:r>
      <w:r w:rsidRPr="00E26C09">
        <w:rPr>
          <w:rFonts w:eastAsia="等线" w:cs="Arial"/>
        </w:rPr>
        <w:t xml:space="preserve"> human resources, advanced knowledge</w:t>
      </w:r>
      <w:r>
        <w:rPr>
          <w:rFonts w:eastAsia="等线" w:cs="Arial"/>
        </w:rPr>
        <w:t xml:space="preserve">, </w:t>
      </w:r>
      <w:r w:rsidRPr="00E26C09">
        <w:rPr>
          <w:rFonts w:eastAsia="等线" w:cs="Arial"/>
        </w:rPr>
        <w:t>corporate reputation, technology, etc.</w:t>
      </w:r>
      <w:r>
        <w:rPr>
          <w:rFonts w:eastAsia="等线" w:cs="Arial"/>
        </w:rPr>
        <w:t xml:space="preserve"> The opinion that </w:t>
      </w:r>
      <w:r w:rsidRPr="00E26C09">
        <w:rPr>
          <w:rFonts w:eastAsia="等线" w:cs="Arial"/>
        </w:rPr>
        <w:t>shareholder</w:t>
      </w:r>
      <w:r w:rsidR="006270F8">
        <w:rPr>
          <w:rFonts w:eastAsia="等线" w:cs="Arial"/>
        </w:rPr>
        <w:t>s</w:t>
      </w:r>
      <w:r w:rsidRPr="00E26C09">
        <w:rPr>
          <w:rFonts w:eastAsia="等线" w:cs="Arial"/>
        </w:rPr>
        <w:t xml:space="preserve"> (with their capital) </w:t>
      </w:r>
      <w:r w:rsidR="006270F8">
        <w:rPr>
          <w:rFonts w:eastAsia="等线" w:cs="Arial"/>
        </w:rPr>
        <w:t>are</w:t>
      </w:r>
      <w:r w:rsidRPr="00E26C09">
        <w:rPr>
          <w:rFonts w:eastAsia="等线" w:cs="Arial"/>
        </w:rPr>
        <w:t xml:space="preserve"> the group that determines the development and undertake</w:t>
      </w:r>
      <w:r w:rsidR="00A97D43">
        <w:rPr>
          <w:rFonts w:eastAsia="等线" w:cs="Arial"/>
        </w:rPr>
        <w:t>s</w:t>
      </w:r>
      <w:r w:rsidRPr="00E26C09">
        <w:rPr>
          <w:rFonts w:eastAsia="等线" w:cs="Arial"/>
        </w:rPr>
        <w:t xml:space="preserve"> the risk for the enterprise, has been doubted by society.</w:t>
      </w:r>
      <w:r>
        <w:rPr>
          <w:rFonts w:eastAsia="等线" w:cs="Arial"/>
        </w:rPr>
        <w:t xml:space="preserve"> </w:t>
      </w:r>
      <w:r w:rsidRPr="00DB7594">
        <w:rPr>
          <w:rFonts w:eastAsia="等线" w:cs="Arial" w:hint="eastAsia"/>
        </w:rPr>
        <w:t>In</w:t>
      </w:r>
      <w:r w:rsidRPr="00DB7594">
        <w:rPr>
          <w:rFonts w:eastAsia="等线" w:cs="Arial"/>
        </w:rPr>
        <w:t xml:space="preserve"> this context, </w:t>
      </w:r>
      <w:proofErr w:type="gramStart"/>
      <w:r w:rsidRPr="00DB7594">
        <w:rPr>
          <w:rFonts w:eastAsia="等线" w:cs="Arial"/>
        </w:rPr>
        <w:t>a number of</w:t>
      </w:r>
      <w:proofErr w:type="gramEnd"/>
      <w:r w:rsidRPr="00DB7594">
        <w:rPr>
          <w:rFonts w:eastAsia="等线" w:cs="Arial"/>
        </w:rPr>
        <w:t xml:space="preserve"> studies recognised that stakeholders could influence the business performance of a firm</w:t>
      </w:r>
      <w:r w:rsidR="00CE4F27">
        <w:rPr>
          <w:rFonts w:eastAsia="等线" w:cs="Arial"/>
        </w:rPr>
        <w:t>;</w:t>
      </w:r>
      <w:r w:rsidRPr="000A19B3">
        <w:rPr>
          <w:rFonts w:eastAsia="等线" w:cs="Arial"/>
        </w:rPr>
        <w:t xml:space="preserve"> </w:t>
      </w:r>
      <w:r>
        <w:rPr>
          <w:rFonts w:eastAsia="等线" w:cs="Arial"/>
        </w:rPr>
        <w:t>t</w:t>
      </w:r>
      <w:r w:rsidRPr="00E26C09">
        <w:rPr>
          <w:rFonts w:eastAsia="等线" w:cs="Arial"/>
        </w:rPr>
        <w:t>he importance of “stakeholders</w:t>
      </w:r>
      <w:r w:rsidR="00A13A38">
        <w:rPr>
          <w:rFonts w:eastAsia="等线" w:cs="Arial"/>
        </w:rPr>
        <w:t>’</w:t>
      </w:r>
      <w:r w:rsidRPr="00E26C09">
        <w:rPr>
          <w:rFonts w:eastAsia="等线" w:cs="Arial"/>
        </w:rPr>
        <w:t xml:space="preserve"> support”</w:t>
      </w:r>
      <w:r>
        <w:rPr>
          <w:rFonts w:eastAsia="等线" w:cs="Arial"/>
        </w:rPr>
        <w:t xml:space="preserve"> </w:t>
      </w:r>
      <w:r>
        <w:rPr>
          <w:rFonts w:eastAsia="等线" w:cs="Arial" w:hint="eastAsia"/>
        </w:rPr>
        <w:t>t</w:t>
      </w:r>
      <w:r>
        <w:rPr>
          <w:rFonts w:eastAsia="等线" w:cs="Arial"/>
        </w:rPr>
        <w:t>o the firm</w:t>
      </w:r>
      <w:r w:rsidRPr="00E26C09">
        <w:rPr>
          <w:rFonts w:eastAsia="等线" w:cs="Arial"/>
        </w:rPr>
        <w:t xml:space="preserve"> </w:t>
      </w:r>
      <w:r w:rsidR="00A13A38">
        <w:rPr>
          <w:rFonts w:eastAsia="等线" w:cs="Arial"/>
        </w:rPr>
        <w:t>w</w:t>
      </w:r>
      <w:r w:rsidRPr="00E26C09">
        <w:rPr>
          <w:rFonts w:eastAsia="等线" w:cs="Arial"/>
        </w:rPr>
        <w:t xml:space="preserve">as </w:t>
      </w:r>
      <w:r>
        <w:rPr>
          <w:rFonts w:eastAsia="等线" w:cs="Arial"/>
        </w:rPr>
        <w:t>firstly put forward</w:t>
      </w:r>
      <w:r w:rsidRPr="00E26C09">
        <w:rPr>
          <w:rFonts w:eastAsia="等线" w:cs="Arial"/>
        </w:rPr>
        <w:t xml:space="preserve"> by Ansoff (1965). His study </w:t>
      </w:r>
      <w:r w:rsidR="007D438A">
        <w:rPr>
          <w:rFonts w:eastAsia="等线" w:cs="Arial"/>
        </w:rPr>
        <w:fldChar w:fldCharType="begin"/>
      </w:r>
      <w:r w:rsidR="00647E79">
        <w:rPr>
          <w:rFonts w:eastAsia="等线" w:cs="Arial"/>
        </w:rPr>
        <w:instrText xml:space="preserve"> ADDIN EN.CITE &lt;EndNote&gt;&lt;Cite&gt;&lt;Author&gt;Ansoff&lt;/Author&gt;&lt;Year&gt;1965&lt;/Year&gt;&lt;RecNum&gt;264&lt;/RecNum&gt;&lt;DisplayText&gt;(Ansoff, 1965)&lt;/DisplayText&gt;&lt;record&gt;&lt;rec-number&gt;264&lt;/rec-number&gt;&lt;foreign-keys&gt;&lt;key app="EN" db-id="pzt5ep52hsedfpeext2pdfes0w0aswaewef2" timestamp="1605187998"&gt;264&lt;/key&gt;&lt;/foreign-keys&gt;&lt;ref-type name="Book"&gt;6&lt;/ref-type&gt;&lt;contributors&gt;&lt;authors&gt;&lt;author&gt;Ansoff, H Igor&lt;/author&gt;&lt;/authors&gt;&lt;/contributors&gt;&lt;titles&gt;&lt;title&gt;Corporate strategy: An analytic approach to business policy for growth and expansion&lt;/title&gt;&lt;/titles&gt;&lt;dates&gt;&lt;year&gt;1965&lt;/year&gt;&lt;/dates&gt;&lt;publisher&gt;McGraw-Hill Companies&lt;/publisher&gt;&lt;urls&gt;&lt;/urls&gt;&lt;/record&gt;&lt;/Cite&gt;&lt;/EndNote&gt;</w:instrText>
      </w:r>
      <w:r w:rsidR="007D438A">
        <w:rPr>
          <w:rFonts w:eastAsia="等线" w:cs="Arial"/>
        </w:rPr>
        <w:fldChar w:fldCharType="separate"/>
      </w:r>
      <w:r w:rsidR="007D438A">
        <w:rPr>
          <w:rFonts w:eastAsia="等线" w:cs="Arial"/>
          <w:noProof/>
        </w:rPr>
        <w:t>(Ansoff, 1965)</w:t>
      </w:r>
      <w:r w:rsidR="007D438A">
        <w:rPr>
          <w:rFonts w:eastAsia="等线" w:cs="Arial"/>
        </w:rPr>
        <w:fldChar w:fldCharType="end"/>
      </w:r>
      <w:r w:rsidRPr="00E26C09">
        <w:rPr>
          <w:rFonts w:eastAsia="等线" w:cs="Arial"/>
        </w:rPr>
        <w:t xml:space="preserve"> proposes a ‘narrow’ stakeholders theory in order to sync the firm’s objectives with its internal stakeholders’ concerns. These stakeholders </w:t>
      </w:r>
      <w:proofErr w:type="gramStart"/>
      <w:r w:rsidRPr="00E26C09">
        <w:rPr>
          <w:rFonts w:eastAsia="等线" w:cs="Arial"/>
        </w:rPr>
        <w:t>includ</w:t>
      </w:r>
      <w:r w:rsidR="00320865">
        <w:rPr>
          <w:rFonts w:eastAsia="等线" w:cs="Arial"/>
        </w:rPr>
        <w:t>es</w:t>
      </w:r>
      <w:proofErr w:type="gramEnd"/>
      <w:r w:rsidRPr="00E26C09">
        <w:rPr>
          <w:rFonts w:eastAsia="等线" w:cs="Arial"/>
        </w:rPr>
        <w:t xml:space="preserve"> managers, workers, stockholders, suppliers,</w:t>
      </w:r>
      <w:r w:rsidR="00AD4104">
        <w:rPr>
          <w:rFonts w:eastAsia="等线" w:cs="Arial"/>
        </w:rPr>
        <w:t xml:space="preserve"> and</w:t>
      </w:r>
      <w:r w:rsidRPr="00E26C09">
        <w:rPr>
          <w:rFonts w:eastAsia="等线" w:cs="Arial"/>
        </w:rPr>
        <w:t xml:space="preserve"> vendors, wh</w:t>
      </w:r>
      <w:r w:rsidR="00AE343D">
        <w:rPr>
          <w:rFonts w:eastAsia="等线" w:cs="Arial"/>
        </w:rPr>
        <w:t>o</w:t>
      </w:r>
      <w:r w:rsidRPr="00E26C09">
        <w:rPr>
          <w:rFonts w:eastAsia="等线" w:cs="Arial"/>
        </w:rPr>
        <w:t xml:space="preserve"> are considered </w:t>
      </w:r>
      <w:r w:rsidR="00F226B5">
        <w:rPr>
          <w:rFonts w:eastAsia="等线" w:cs="Arial"/>
        </w:rPr>
        <w:t xml:space="preserve">to be </w:t>
      </w:r>
      <w:r w:rsidRPr="00E26C09">
        <w:rPr>
          <w:rFonts w:eastAsia="等线" w:cs="Arial"/>
        </w:rPr>
        <w:t>influenc</w:t>
      </w:r>
      <w:r>
        <w:rPr>
          <w:rFonts w:eastAsia="等线" w:cs="Arial"/>
        </w:rPr>
        <w:t>ing</w:t>
      </w:r>
      <w:r w:rsidRPr="00E26C09">
        <w:rPr>
          <w:rFonts w:eastAsia="等线" w:cs="Arial"/>
        </w:rPr>
        <w:t xml:space="preserve"> the firm’s interest</w:t>
      </w:r>
      <w:r w:rsidR="00F226B5">
        <w:rPr>
          <w:rFonts w:eastAsia="等线" w:cs="Arial"/>
        </w:rPr>
        <w:t>s</w:t>
      </w:r>
      <w:r w:rsidRPr="00E26C09">
        <w:rPr>
          <w:rFonts w:eastAsia="等线" w:cs="Arial"/>
        </w:rPr>
        <w:t xml:space="preserve"> </w:t>
      </w:r>
      <w:r w:rsidRPr="00E26C09">
        <w:rPr>
          <w:rFonts w:eastAsia="等线" w:cs="Arial"/>
          <w:noProof/>
        </w:rPr>
        <w:t>(Ansoff, 1965)</w:t>
      </w:r>
      <w:r w:rsidRPr="00E26C09">
        <w:rPr>
          <w:rFonts w:eastAsia="等线" w:cs="Arial"/>
        </w:rPr>
        <w:t xml:space="preserve">. During this period, </w:t>
      </w:r>
      <w:r w:rsidRPr="00E26C09">
        <w:rPr>
          <w:rFonts w:eastAsia="等线" w:cs="Arial" w:hint="eastAsia"/>
        </w:rPr>
        <w:t>t</w:t>
      </w:r>
      <w:r w:rsidRPr="00E26C09">
        <w:rPr>
          <w:rFonts w:eastAsia="等线" w:cs="Arial"/>
        </w:rPr>
        <w:t>he studies about the stakeholder’s theory focus</w:t>
      </w:r>
      <w:r w:rsidR="00DE6082">
        <w:rPr>
          <w:rFonts w:eastAsia="等线" w:cs="Arial"/>
        </w:rPr>
        <w:t>ed</w:t>
      </w:r>
      <w:r w:rsidRPr="00E26C09">
        <w:rPr>
          <w:rFonts w:eastAsia="等线" w:cs="Arial"/>
        </w:rPr>
        <w:t xml:space="preserve"> on two aspects, in terms of </w:t>
      </w:r>
      <w:r>
        <w:rPr>
          <w:rFonts w:eastAsia="等线" w:cs="Arial"/>
        </w:rPr>
        <w:t>(</w:t>
      </w:r>
      <w:proofErr w:type="spellStart"/>
      <w:r>
        <w:rPr>
          <w:rFonts w:eastAsia="等线" w:cs="Arial"/>
        </w:rPr>
        <w:t>i</w:t>
      </w:r>
      <w:proofErr w:type="spellEnd"/>
      <w:r>
        <w:rPr>
          <w:rFonts w:eastAsia="等线" w:cs="Arial"/>
        </w:rPr>
        <w:t xml:space="preserve">) </w:t>
      </w:r>
      <w:r w:rsidRPr="00E26C09">
        <w:rPr>
          <w:rFonts w:eastAsia="等线" w:cs="Arial"/>
        </w:rPr>
        <w:t>clarifying the types of stakeholders that can affect the survival of enterprises</w:t>
      </w:r>
      <w:r w:rsidR="00E1208C">
        <w:rPr>
          <w:rFonts w:eastAsia="等线" w:cs="Arial"/>
        </w:rPr>
        <w:t>,</w:t>
      </w:r>
      <w:r w:rsidRPr="00E26C09">
        <w:rPr>
          <w:rFonts w:eastAsia="等线" w:cs="Arial"/>
        </w:rPr>
        <w:t xml:space="preserve"> and</w:t>
      </w:r>
      <w:r>
        <w:rPr>
          <w:rFonts w:eastAsia="等线" w:cs="Arial"/>
        </w:rPr>
        <w:t xml:space="preserve"> (ii)</w:t>
      </w:r>
      <w:r w:rsidRPr="00E26C09">
        <w:rPr>
          <w:rFonts w:eastAsia="等线" w:cs="Arial"/>
        </w:rPr>
        <w:t xml:space="preserve"> evidencing the rationality of stakeholders’ engagement. For the former aspect, the interaction between stakeholders and firms </w:t>
      </w:r>
      <w:r>
        <w:rPr>
          <w:rFonts w:eastAsia="等线" w:cs="Arial"/>
        </w:rPr>
        <w:t>draw</w:t>
      </w:r>
      <w:r w:rsidR="00E1208C">
        <w:rPr>
          <w:rFonts w:eastAsia="等线" w:cs="Arial"/>
        </w:rPr>
        <w:t>s</w:t>
      </w:r>
      <w:r w:rsidRPr="00E26C09">
        <w:rPr>
          <w:rFonts w:eastAsia="等线" w:cs="Arial"/>
        </w:rPr>
        <w:t xml:space="preserve"> attention</w:t>
      </w:r>
      <w:r>
        <w:rPr>
          <w:rFonts w:eastAsia="等线" w:cs="Arial"/>
        </w:rPr>
        <w:t xml:space="preserve"> from researchers</w:t>
      </w:r>
      <w:r w:rsidRPr="00E26C09">
        <w:rPr>
          <w:rFonts w:eastAsia="等线" w:cs="Arial"/>
        </w:rPr>
        <w:t xml:space="preserve">. On this basis, the stakeholder’s types extend to the </w:t>
      </w:r>
      <w:r w:rsidRPr="00E26C09">
        <w:rPr>
          <w:rFonts w:eastAsia="等线" w:cs="Arial"/>
          <w:i/>
          <w:iCs/>
        </w:rPr>
        <w:t>“individuals or groups which depend on the company for the realization of their personal goals and on whom the company is dependent”</w:t>
      </w:r>
      <w:r w:rsidR="007D438A">
        <w:rPr>
          <w:rFonts w:eastAsia="等线" w:cs="Arial"/>
          <w:i/>
          <w:iCs/>
        </w:rPr>
        <w:t xml:space="preserve"> </w:t>
      </w:r>
      <w:r w:rsidR="007D438A">
        <w:rPr>
          <w:rFonts w:eastAsia="等线" w:cs="Arial"/>
          <w:noProof/>
        </w:rPr>
        <w:fldChar w:fldCharType="begin"/>
      </w:r>
      <w:r w:rsidR="00647E79">
        <w:rPr>
          <w:rFonts w:eastAsia="等线" w:cs="Arial"/>
          <w:noProof/>
        </w:rPr>
        <w:instrText xml:space="preserve"> ADDIN EN.CITE &lt;EndNote&gt;&lt;Cite&gt;&lt;Author&gt;Rhenman&lt;/Author&gt;&lt;Year&gt;1973&lt;/Year&gt;&lt;RecNum&gt;265&lt;/RecNum&gt;&lt;DisplayText&gt;(Rhenman, 1973)&lt;/DisplayText&gt;&lt;record&gt;&lt;rec-number&gt;265&lt;/rec-number&gt;&lt;foreign-keys&gt;&lt;key app="EN" db-id="pzt5ep52hsedfpeext2pdfes0w0aswaewef2" timestamp="1605187998"&gt;265&lt;/key&gt;&lt;/foreign-keys&gt;&lt;ref-type name="Book"&gt;6&lt;/ref-type&gt;&lt;contributors&gt;&lt;authors&gt;&lt;author&gt;Rhenman, Eric&lt;/author&gt;&lt;/authors&gt;&lt;/contributors&gt;&lt;titles&gt;&lt;title&gt;Organization theory for long-range planning&lt;/title&gt;&lt;/titles&gt;&lt;dates&gt;&lt;year&gt;1973&lt;/year&gt;&lt;/dates&gt;&lt;publisher&gt;John Wiley &amp;amp; Sons&lt;/publisher&gt;&lt;urls&gt;&lt;/urls&gt;&lt;/record&gt;&lt;/Cite&gt;&lt;/EndNote&gt;</w:instrText>
      </w:r>
      <w:r w:rsidR="007D438A">
        <w:rPr>
          <w:rFonts w:eastAsia="等线" w:cs="Arial"/>
          <w:noProof/>
        </w:rPr>
        <w:fldChar w:fldCharType="separate"/>
      </w:r>
      <w:r w:rsidR="007D438A">
        <w:rPr>
          <w:rFonts w:eastAsia="等线" w:cs="Arial"/>
          <w:noProof/>
        </w:rPr>
        <w:t>(Rhenman, 1973)</w:t>
      </w:r>
      <w:r w:rsidR="007D438A">
        <w:rPr>
          <w:rFonts w:eastAsia="等线" w:cs="Arial"/>
          <w:noProof/>
        </w:rPr>
        <w:fldChar w:fldCharType="end"/>
      </w:r>
      <w:r w:rsidRPr="00E26C09">
        <w:rPr>
          <w:rFonts w:eastAsia="等线" w:cs="Arial"/>
        </w:rPr>
        <w:t xml:space="preserve">. </w:t>
      </w:r>
      <w:r w:rsidRPr="00E26C09">
        <w:rPr>
          <w:rFonts w:eastAsia="等线" w:cs="Arial" w:hint="eastAsia"/>
        </w:rPr>
        <w:t>A</w:t>
      </w:r>
      <w:r w:rsidRPr="00E26C09">
        <w:rPr>
          <w:rFonts w:eastAsia="等线" w:cs="Arial"/>
        </w:rPr>
        <w:t xml:space="preserve">fter this, the categories of stakeholders are further expanded to </w:t>
      </w:r>
      <w:r w:rsidRPr="00E26C09">
        <w:rPr>
          <w:rFonts w:eastAsia="等线" w:cs="Arial"/>
          <w:i/>
          <w:iCs/>
        </w:rPr>
        <w:t xml:space="preserve">“anyone invested and involved in, or affected by, the company: employees, environmentalists near the company’s plants, vendors, governmental agencies, and more </w:t>
      </w:r>
      <w:r w:rsidR="007D438A">
        <w:rPr>
          <w:rFonts w:eastAsia="等线" w:cs="Arial"/>
          <w:i/>
          <w:iCs/>
          <w:noProof/>
        </w:rPr>
        <w:fldChar w:fldCharType="begin"/>
      </w:r>
      <w:r w:rsidR="00647E79">
        <w:rPr>
          <w:rFonts w:eastAsia="等线" w:cs="Arial"/>
          <w:i/>
          <w:iCs/>
          <w:noProof/>
        </w:rPr>
        <w:instrText xml:space="preserve"> ADDIN EN.CITE &lt;EndNote&gt;&lt;Cite&gt;&lt;Author&gt;Freeman&lt;/Author&gt;&lt;Year&gt;1984&lt;/Year&gt;&lt;RecNum&gt;266&lt;/RecNum&gt;&lt;DisplayText&gt;(Freeman, 1984)&lt;/DisplayText&gt;&lt;record&gt;&lt;rec-number&gt;266&lt;/rec-number&gt;&lt;foreign-keys&gt;&lt;key app="EN" db-id="pzt5ep52hsedfpeext2pdfes0w0aswaewef2" timestamp="1605187998"&gt;266&lt;/key&gt;&lt;/foreign-keys&gt;&lt;ref-type name="Book"&gt;6&lt;/ref-type&gt;&lt;contributors&gt;&lt;authors&gt;&lt;author&gt;Freeman, R Edward&lt;/author&gt;&lt;/authors&gt;&lt;/contributors&gt;&lt;titles&gt;&lt;title&gt;Strategic management: A stakeholder approach&lt;/title&gt;&lt;/titles&gt;&lt;dates&gt;&lt;year&gt;1984&lt;/year&gt;&lt;/dates&gt;&lt;publisher&gt;Cambridge university press&lt;/publisher&gt;&lt;isbn&gt;0521151740&lt;/isbn&gt;&lt;urls&gt;&lt;/urls&gt;&lt;/record&gt;&lt;/Cite&gt;&lt;/EndNote&gt;</w:instrText>
      </w:r>
      <w:r w:rsidR="007D438A">
        <w:rPr>
          <w:rFonts w:eastAsia="等线" w:cs="Arial"/>
          <w:i/>
          <w:iCs/>
          <w:noProof/>
        </w:rPr>
        <w:fldChar w:fldCharType="separate"/>
      </w:r>
      <w:r w:rsidR="007D438A">
        <w:rPr>
          <w:rFonts w:eastAsia="等线" w:cs="Arial"/>
          <w:i/>
          <w:iCs/>
          <w:noProof/>
        </w:rPr>
        <w:t>(Freeman, 1984)</w:t>
      </w:r>
      <w:r w:rsidR="007D438A">
        <w:rPr>
          <w:rFonts w:eastAsia="等线" w:cs="Arial"/>
          <w:i/>
          <w:iCs/>
          <w:noProof/>
        </w:rPr>
        <w:fldChar w:fldCharType="end"/>
      </w:r>
      <w:r w:rsidRPr="00E26C09">
        <w:rPr>
          <w:rFonts w:eastAsia="等线" w:cs="Arial"/>
          <w:i/>
          <w:iCs/>
        </w:rPr>
        <w:t xml:space="preserve">”. </w:t>
      </w:r>
      <w:r w:rsidRPr="00E26C09">
        <w:rPr>
          <w:rFonts w:eastAsia="等线" w:cs="Arial"/>
        </w:rPr>
        <w:t>T</w:t>
      </w:r>
      <w:r w:rsidRPr="00E26C09">
        <w:rPr>
          <w:rFonts w:eastAsia="等线" w:cs="Arial" w:hint="eastAsia"/>
        </w:rPr>
        <w:t>hese</w:t>
      </w:r>
      <w:r w:rsidRPr="00E26C09">
        <w:rPr>
          <w:rFonts w:eastAsia="等线" w:cs="Arial"/>
        </w:rPr>
        <w:t xml:space="preserve"> </w:t>
      </w:r>
      <w:r w:rsidRPr="00E26C09">
        <w:rPr>
          <w:rFonts w:eastAsia="等线" w:cs="Arial" w:hint="eastAsia"/>
        </w:rPr>
        <w:t>scholars</w:t>
      </w:r>
      <w:r w:rsidRPr="00E26C09">
        <w:rPr>
          <w:rFonts w:eastAsia="等线" w:cs="Arial"/>
        </w:rPr>
        <w:t xml:space="preserve"> indicate </w:t>
      </w:r>
      <w:r w:rsidR="000E1A06">
        <w:rPr>
          <w:rFonts w:eastAsia="等线" w:cs="Arial"/>
        </w:rPr>
        <w:t xml:space="preserve">that </w:t>
      </w:r>
      <w:r w:rsidRPr="00E26C09">
        <w:rPr>
          <w:rFonts w:eastAsia="等线" w:cs="Arial"/>
        </w:rPr>
        <w:t xml:space="preserve">the development of firms is </w:t>
      </w:r>
      <w:r w:rsidR="00573D5C">
        <w:rPr>
          <w:rFonts w:eastAsia="等线" w:cs="Arial"/>
        </w:rPr>
        <w:t>reliant</w:t>
      </w:r>
      <w:r w:rsidRPr="00E26C09">
        <w:rPr>
          <w:rFonts w:eastAsia="等线" w:cs="Arial"/>
        </w:rPr>
        <w:t xml:space="preserve"> on different groups of “stakeholders” rather than the shareholders. For the latter aspect, the </w:t>
      </w:r>
      <w:r w:rsidR="00EB3914">
        <w:rPr>
          <w:rFonts w:eastAsia="等线" w:cs="Arial"/>
        </w:rPr>
        <w:t>‘</w:t>
      </w:r>
      <w:r w:rsidRPr="00B41903">
        <w:rPr>
          <w:rFonts w:eastAsia="等线" w:cs="Arial"/>
          <w:i/>
          <w:iCs/>
        </w:rPr>
        <w:t>System Approach</w:t>
      </w:r>
      <w:r w:rsidR="00EB3914">
        <w:rPr>
          <w:rFonts w:eastAsia="等线" w:cs="Arial"/>
          <w:i/>
          <w:iCs/>
        </w:rPr>
        <w:t xml:space="preserve">’ </w:t>
      </w:r>
      <w:r>
        <w:rPr>
          <w:rFonts w:eastAsia="等线" w:cs="Arial"/>
        </w:rPr>
        <w:t xml:space="preserve"> </w:t>
      </w:r>
      <w:r w:rsidR="007D438A">
        <w:rPr>
          <w:rFonts w:eastAsia="等线" w:cs="Arial"/>
          <w:noProof/>
        </w:rPr>
        <w:fldChar w:fldCharType="begin"/>
      </w:r>
      <w:r w:rsidR="00647E79">
        <w:rPr>
          <w:rFonts w:eastAsia="等线" w:cs="Arial"/>
          <w:noProof/>
        </w:rPr>
        <w:instrText xml:space="preserve"> ADDIN EN.CITE &lt;EndNote&gt;&lt;Cite&gt;&lt;Author&gt;Churchman&lt;/Author&gt;&lt;Year&gt;1968&lt;/Year&gt;&lt;RecNum&gt;267&lt;/RecNum&gt;&lt;DisplayText&gt;(Churchman, 1968)&lt;/DisplayText&gt;&lt;record&gt;&lt;rec-number&gt;267&lt;/rec-number&gt;&lt;foreign-keys&gt;&lt;key app="EN" db-id="pzt5ep52hsedfpeext2pdfes0w0aswaewef2" timestamp="1605187998"&gt;267&lt;/key&gt;&lt;/foreign-keys&gt;&lt;ref-type name="Book"&gt;6&lt;/ref-type&gt;&lt;contributors&gt;&lt;authors&gt;&lt;author&gt;Churchman, Charles West&lt;/author&gt;&lt;/authors&gt;&lt;/contributors&gt;&lt;titles&gt;&lt;title&gt;The systems approach&lt;/title&gt;&lt;/titles&gt;&lt;dates&gt;&lt;year&gt;1968&lt;/year&gt;&lt;/dates&gt;&lt;publisher&gt;Delta&lt;/publisher&gt;&lt;urls&gt;&lt;/urls&gt;&lt;/record&gt;&lt;/Cite&gt;&lt;/EndNote&gt;</w:instrText>
      </w:r>
      <w:r w:rsidR="007D438A">
        <w:rPr>
          <w:rFonts w:eastAsia="等线" w:cs="Arial"/>
          <w:noProof/>
        </w:rPr>
        <w:fldChar w:fldCharType="separate"/>
      </w:r>
      <w:r w:rsidR="007D438A">
        <w:rPr>
          <w:rFonts w:eastAsia="等线" w:cs="Arial"/>
          <w:noProof/>
        </w:rPr>
        <w:t>(Churchman, 1968)</w:t>
      </w:r>
      <w:r w:rsidR="007D438A">
        <w:rPr>
          <w:rFonts w:eastAsia="等线" w:cs="Arial"/>
          <w:noProof/>
        </w:rPr>
        <w:fldChar w:fldCharType="end"/>
      </w:r>
      <w:r w:rsidRPr="00E26C09">
        <w:rPr>
          <w:rFonts w:eastAsia="等线" w:cs="Arial"/>
        </w:rPr>
        <w:t xml:space="preserve"> interpreted the necessity and rationality </w:t>
      </w:r>
      <w:r>
        <w:rPr>
          <w:rFonts w:eastAsia="等线" w:cs="Arial"/>
        </w:rPr>
        <w:t>for</w:t>
      </w:r>
      <w:r w:rsidRPr="00E26C09">
        <w:rPr>
          <w:rFonts w:eastAsia="等线" w:cs="Arial"/>
        </w:rPr>
        <w:t xml:space="preserve"> firms </w:t>
      </w:r>
      <w:r>
        <w:rPr>
          <w:rFonts w:eastAsia="等线" w:cs="Arial"/>
        </w:rPr>
        <w:t xml:space="preserve">to </w:t>
      </w:r>
      <w:r w:rsidRPr="00E26C09">
        <w:rPr>
          <w:rFonts w:eastAsia="等线" w:cs="Arial"/>
        </w:rPr>
        <w:t>cooperat</w:t>
      </w:r>
      <w:r>
        <w:rPr>
          <w:rFonts w:eastAsia="等线" w:cs="Arial"/>
        </w:rPr>
        <w:t>e</w:t>
      </w:r>
      <w:r w:rsidRPr="00E26C09">
        <w:rPr>
          <w:rFonts w:eastAsia="等线" w:cs="Arial"/>
        </w:rPr>
        <w:t xml:space="preserve"> with the stakeholders. It indicates that any organisation is not independent to its network but interrelated with all the elements outsides its boundary. In a network, </w:t>
      </w:r>
      <w:r w:rsidRPr="00E26C09">
        <w:rPr>
          <w:rFonts w:eastAsia="等线" w:cs="Arial" w:hint="eastAsia"/>
        </w:rPr>
        <w:t>firms</w:t>
      </w:r>
      <w:r w:rsidRPr="00E26C09">
        <w:rPr>
          <w:rFonts w:eastAsia="等线" w:cs="Arial"/>
        </w:rPr>
        <w:t xml:space="preserve"> can only </w:t>
      </w:r>
      <w:r w:rsidRPr="00E26C09">
        <w:rPr>
          <w:rFonts w:eastAsia="等线" w:cs="Arial" w:hint="eastAsia"/>
        </w:rPr>
        <w:t>achieve</w:t>
      </w:r>
      <w:r w:rsidRPr="00E26C09">
        <w:rPr>
          <w:rFonts w:eastAsia="等线" w:cs="Arial"/>
        </w:rPr>
        <w:t xml:space="preserve"> a suboptimal </w:t>
      </w:r>
      <w:r w:rsidRPr="00E26C09">
        <w:rPr>
          <w:rFonts w:eastAsia="等线" w:cs="Arial" w:hint="eastAsia"/>
        </w:rPr>
        <w:t>result</w:t>
      </w:r>
      <w:r w:rsidRPr="00E26C09">
        <w:rPr>
          <w:rFonts w:eastAsia="等线" w:cs="Arial"/>
        </w:rPr>
        <w:t xml:space="preserve"> if </w:t>
      </w:r>
      <w:proofErr w:type="spellStart"/>
      <w:r w:rsidR="00A42B1A">
        <w:rPr>
          <w:rFonts w:eastAsia="等线" w:cs="Arial"/>
        </w:rPr>
        <w:t>solely</w:t>
      </w:r>
      <w:r w:rsidRPr="00E26C09">
        <w:rPr>
          <w:rFonts w:eastAsia="等线" w:cs="Arial"/>
        </w:rPr>
        <w:t>focusing</w:t>
      </w:r>
      <w:proofErr w:type="spellEnd"/>
      <w:r w:rsidRPr="00E26C09">
        <w:rPr>
          <w:rFonts w:eastAsia="等线" w:cs="Arial"/>
        </w:rPr>
        <w:t xml:space="preserve"> on the enterprise's </w:t>
      </w:r>
      <w:r w:rsidRPr="006F05AE">
        <w:rPr>
          <w:rFonts w:eastAsia="等线" w:cs="Arial"/>
        </w:rPr>
        <w:t xml:space="preserve">own development. When enterprises commence to consider external factors, they can make the entire network optimal. Therefore, increasing the stakeholders’ benefits can also protect the self-interests of enterprises. Such </w:t>
      </w:r>
      <w:r w:rsidR="00046F1F">
        <w:rPr>
          <w:rFonts w:eastAsia="等线" w:cs="Arial"/>
        </w:rPr>
        <w:t xml:space="preserve">a </w:t>
      </w:r>
      <w:r w:rsidRPr="006F05AE">
        <w:rPr>
          <w:rFonts w:eastAsia="等线" w:cs="Arial"/>
        </w:rPr>
        <w:t xml:space="preserve">view is emphasised by </w:t>
      </w:r>
      <w:r w:rsidR="007D438A">
        <w:rPr>
          <w:rFonts w:eastAsia="等线" w:cs="Arial"/>
          <w:noProof/>
        </w:rPr>
        <w:fldChar w:fldCharType="begin"/>
      </w:r>
      <w:r w:rsidR="00647E79">
        <w:rPr>
          <w:rFonts w:eastAsia="等线" w:cs="Arial"/>
          <w:noProof/>
        </w:rPr>
        <w:instrText xml:space="preserve"> ADDIN EN.CITE &lt;EndNote&gt;&lt;Cite AuthorYear="1"&gt;&lt;Author&gt;Ahlstedt&lt;/Author&gt;&lt;Year&gt;1971&lt;/Year&gt;&lt;RecNum&gt;268&lt;/RecNum&gt;&lt;DisplayText&gt;Ahlstedt and Jahnukainen (1971)&lt;/DisplayText&gt;&lt;record&gt;&lt;rec-number&gt;268&lt;/rec-number&gt;&lt;foreign-keys&gt;&lt;key app="EN" db-id="pzt5ep52hsedfpeext2pdfes0w0aswaewef2" timestamp="1605187998"&gt;268&lt;/key&gt;&lt;/foreign-keys&gt;&lt;ref-type name="Journal Article"&gt;17&lt;/ref-type&gt;&lt;contributors&gt;&lt;authors&gt;&lt;author&gt;Ahlstedt, L&lt;/author&gt;&lt;author&gt;Jahnukainen, I&lt;/author&gt;&lt;/authors&gt;&lt;/contributors&gt;&lt;titles&gt;&lt;title&gt;A business organization as a management system&lt;/title&gt;&lt;secondary-title&gt;Tapiola: Weilin &amp;amp; Goos&lt;/secondary-title&gt;&lt;/titles&gt;&lt;periodical&gt;&lt;full-title&gt;Tapiola: Weilin &amp;amp; Goos&lt;/full-title&gt;&lt;/periodical&gt;&lt;dates&gt;&lt;year&gt;1971&lt;/year&gt;&lt;/dates&gt;&lt;urls&gt;&lt;/urls&gt;&lt;/record&gt;&lt;/Cite&gt;&lt;/EndNote&gt;</w:instrText>
      </w:r>
      <w:r w:rsidR="007D438A">
        <w:rPr>
          <w:rFonts w:eastAsia="等线" w:cs="Arial"/>
          <w:noProof/>
        </w:rPr>
        <w:fldChar w:fldCharType="separate"/>
      </w:r>
      <w:r w:rsidR="007D438A">
        <w:rPr>
          <w:rFonts w:eastAsia="等线" w:cs="Arial"/>
          <w:noProof/>
        </w:rPr>
        <w:t>Ahlstedt and Jahnukainen (1971)</w:t>
      </w:r>
      <w:r w:rsidR="007D438A">
        <w:rPr>
          <w:rFonts w:eastAsia="等线" w:cs="Arial"/>
          <w:noProof/>
        </w:rPr>
        <w:fldChar w:fldCharType="end"/>
      </w:r>
      <w:r w:rsidR="007D438A">
        <w:rPr>
          <w:rFonts w:eastAsia="等线" w:cs="Arial" w:hint="eastAsia"/>
        </w:rPr>
        <w:t>:</w:t>
      </w:r>
      <w:r w:rsidRPr="006F05AE">
        <w:rPr>
          <w:rFonts w:eastAsia="等线" w:cs="Arial"/>
          <w:i/>
          <w:iCs/>
        </w:rPr>
        <w:t xml:space="preserve">‘Mutually beneﬁcial stakeholder relationships can enhance the wealth-creating capacity of the corporation.’ </w:t>
      </w:r>
    </w:p>
    <w:p w14:paraId="49515522" w14:textId="3D892D6E" w:rsidR="00D56E3F" w:rsidRPr="006F05AE" w:rsidRDefault="00D56E3F" w:rsidP="00D56E3F">
      <w:pPr>
        <w:spacing w:after="240" w:line="360" w:lineRule="auto"/>
        <w:rPr>
          <w:rFonts w:eastAsia="等线" w:cs="Arial"/>
          <w:i/>
          <w:iCs/>
          <w:color w:val="FF0000"/>
        </w:rPr>
      </w:pPr>
      <w:r w:rsidRPr="000966BD">
        <w:rPr>
          <w:rFonts w:eastAsia="等线" w:cs="Arial"/>
        </w:rPr>
        <w:t xml:space="preserve">The </w:t>
      </w:r>
      <w:r>
        <w:rPr>
          <w:rFonts w:eastAsia="等线" w:cs="Arial"/>
        </w:rPr>
        <w:t>m</w:t>
      </w:r>
      <w:r w:rsidRPr="000966BD">
        <w:rPr>
          <w:rFonts w:eastAsia="等线" w:cs="Arial"/>
        </w:rPr>
        <w:t>utual benefits between stakeholders and firms</w:t>
      </w:r>
      <w:r w:rsidRPr="00E26C09">
        <w:rPr>
          <w:rFonts w:eastAsia="等线" w:cs="Arial"/>
        </w:rPr>
        <w:t xml:space="preserve"> are considered as the legitimacy </w:t>
      </w:r>
      <w:r>
        <w:rPr>
          <w:rFonts w:eastAsia="等线" w:cs="Arial"/>
        </w:rPr>
        <w:t>for</w:t>
      </w:r>
      <w:r w:rsidRPr="00E26C09">
        <w:rPr>
          <w:rFonts w:eastAsia="等线" w:cs="Arial"/>
        </w:rPr>
        <w:t xml:space="preserve"> the firms to </w:t>
      </w:r>
      <w:r>
        <w:rPr>
          <w:rFonts w:eastAsia="等线" w:cs="Arial"/>
        </w:rPr>
        <w:t>respect</w:t>
      </w:r>
      <w:r w:rsidRPr="00E26C09">
        <w:rPr>
          <w:rFonts w:eastAsia="等线" w:cs="Arial"/>
        </w:rPr>
        <w:t xml:space="preserve"> their stakeholders</w:t>
      </w:r>
      <w:r w:rsidR="0032529E">
        <w:rPr>
          <w:rFonts w:eastAsia="等线" w:cs="Arial"/>
        </w:rPr>
        <w:t>’</w:t>
      </w:r>
      <w:r w:rsidRPr="00E26C09">
        <w:rPr>
          <w:rFonts w:eastAsia="等线" w:cs="Arial"/>
        </w:rPr>
        <w:t xml:space="preserve"> interest. </w:t>
      </w:r>
      <w:r>
        <w:rPr>
          <w:rFonts w:eastAsia="等线" w:cs="Arial"/>
        </w:rPr>
        <w:t xml:space="preserve">Since this theory </w:t>
      </w:r>
      <w:r w:rsidR="0032529E">
        <w:rPr>
          <w:rFonts w:eastAsia="等线" w:cs="Arial"/>
        </w:rPr>
        <w:t>has been</w:t>
      </w:r>
      <w:r>
        <w:rPr>
          <w:rFonts w:eastAsia="等线" w:cs="Arial"/>
        </w:rPr>
        <w:t xml:space="preserve"> proposed, m</w:t>
      </w:r>
      <w:r w:rsidRPr="00E26C09">
        <w:rPr>
          <w:rFonts w:eastAsia="等线" w:cs="Arial"/>
        </w:rPr>
        <w:t xml:space="preserve">any </w:t>
      </w:r>
      <w:r>
        <w:rPr>
          <w:rFonts w:eastAsia="等线" w:cs="Arial"/>
        </w:rPr>
        <w:t>c</w:t>
      </w:r>
      <w:r w:rsidRPr="00E26C09">
        <w:rPr>
          <w:rFonts w:eastAsia="等线" w:cs="Arial"/>
        </w:rPr>
        <w:t xml:space="preserve">ompanies </w:t>
      </w:r>
      <w:r>
        <w:rPr>
          <w:rFonts w:eastAsia="等线" w:cs="Arial"/>
        </w:rPr>
        <w:t>recognise</w:t>
      </w:r>
      <w:r w:rsidRPr="00E26C09">
        <w:rPr>
          <w:rFonts w:eastAsia="等线" w:cs="Arial"/>
        </w:rPr>
        <w:t xml:space="preserve"> </w:t>
      </w:r>
      <w:r w:rsidR="0032529E">
        <w:rPr>
          <w:rFonts w:eastAsia="等线" w:cs="Arial"/>
        </w:rPr>
        <w:t>that</w:t>
      </w:r>
      <w:r w:rsidRPr="00E26C09">
        <w:rPr>
          <w:rFonts w:eastAsia="等线" w:cs="Arial"/>
        </w:rPr>
        <w:t xml:space="preserve"> stakeholder treatment can prevent the firm from </w:t>
      </w:r>
      <w:r>
        <w:rPr>
          <w:rFonts w:eastAsia="等线" w:cs="Arial"/>
        </w:rPr>
        <w:t>‘</w:t>
      </w:r>
      <w:r w:rsidRPr="00E26C09">
        <w:rPr>
          <w:rFonts w:eastAsia="等线" w:cs="Arial"/>
        </w:rPr>
        <w:t>value</w:t>
      </w:r>
      <w:r>
        <w:rPr>
          <w:rFonts w:eastAsia="等线" w:cs="Arial"/>
        </w:rPr>
        <w:t>-</w:t>
      </w:r>
      <w:r w:rsidRPr="00E26C09">
        <w:rPr>
          <w:rFonts w:eastAsia="等线" w:cs="Arial"/>
        </w:rPr>
        <w:t>destroying</w:t>
      </w:r>
      <w:r>
        <w:rPr>
          <w:rFonts w:eastAsia="等线" w:cs="Arial"/>
        </w:rPr>
        <w:t>’</w:t>
      </w:r>
      <w:r w:rsidRPr="00E26C09">
        <w:rPr>
          <w:rFonts w:eastAsia="等线" w:cs="Arial"/>
        </w:rPr>
        <w:t xml:space="preserve"> consequence</w:t>
      </w:r>
      <w:r>
        <w:rPr>
          <w:rFonts w:eastAsia="等线" w:cs="Arial"/>
        </w:rPr>
        <w:t>s</w:t>
      </w:r>
      <w:r w:rsidRPr="00E26C09">
        <w:rPr>
          <w:rFonts w:eastAsia="等线" w:cs="Arial"/>
        </w:rPr>
        <w:t xml:space="preserve"> generated by stakeholders’ negative reactions </w:t>
      </w:r>
      <w:r w:rsidR="007D438A">
        <w:rPr>
          <w:rFonts w:eastAsia="等线" w:cs="Arial"/>
          <w:noProof/>
        </w:rPr>
        <w:fldChar w:fldCharType="begin"/>
      </w:r>
      <w:r w:rsidR="00647E79">
        <w:rPr>
          <w:rFonts w:eastAsia="等线" w:cs="Arial"/>
          <w:noProof/>
        </w:rPr>
        <w:instrText xml:space="preserve"> ADDIN EN.CITE &lt;EndNote&gt;&lt;Cite&gt;&lt;Author&gt;Post&lt;/Author&gt;&lt;Year&gt;2002&lt;/Year&gt;&lt;RecNum&gt;269&lt;/RecNum&gt;&lt;DisplayText&gt;(Post et al., 2002)&lt;/DisplayText&gt;&lt;record&gt;&lt;rec-number&gt;269&lt;/rec-number&gt;&lt;foreign-keys&gt;&lt;key app="EN" db-id="pzt5ep52hsedfpeext2pdfes0w0aswaewef2" timestamp="1605187998"&gt;269&lt;/key&gt;&lt;/foreign-keys&gt;&lt;ref-type name="Book"&gt;6&lt;/ref-type&gt;&lt;contributors&gt;&lt;authors&gt;&lt;author&gt;Post, James E&lt;/author&gt;&lt;author&gt;Preston, Lee E&lt;/author&gt;&lt;author&gt;Sauter-Sachs, Sybille&lt;/author&gt;&lt;/authors&gt;&lt;/contributors&gt;&lt;titles&gt;&lt;title&gt;Redefining the corporation: Stakeholder management and organizational wealth&lt;/title&gt;&lt;/titles&gt;&lt;dates&gt;&lt;year&gt;2002&lt;/year&gt;&lt;/dates&gt;&lt;publisher&gt;Stanford University Press&lt;/publisher&gt;&lt;isbn&gt;080474310X&lt;/isbn&gt;&lt;urls&gt;&lt;/urls&gt;&lt;/record&gt;&lt;/Cite&gt;&lt;/EndNote&gt;</w:instrText>
      </w:r>
      <w:r w:rsidR="007D438A">
        <w:rPr>
          <w:rFonts w:eastAsia="等线" w:cs="Arial"/>
          <w:noProof/>
        </w:rPr>
        <w:fldChar w:fldCharType="separate"/>
      </w:r>
      <w:r w:rsidR="007D438A">
        <w:rPr>
          <w:rFonts w:eastAsia="等线" w:cs="Arial"/>
          <w:noProof/>
        </w:rPr>
        <w:t>(Post et al., 2002)</w:t>
      </w:r>
      <w:r w:rsidR="007D438A">
        <w:rPr>
          <w:rFonts w:eastAsia="等线" w:cs="Arial"/>
          <w:noProof/>
        </w:rPr>
        <w:fldChar w:fldCharType="end"/>
      </w:r>
      <w:r>
        <w:rPr>
          <w:rFonts w:eastAsia="等线" w:cs="Arial"/>
        </w:rPr>
        <w:t xml:space="preserve"> such as</w:t>
      </w:r>
      <w:r w:rsidRPr="00E26C09">
        <w:rPr>
          <w:rFonts w:eastAsia="等线" w:cs="Arial"/>
        </w:rPr>
        <w:t xml:space="preserve"> </w:t>
      </w:r>
      <w:r>
        <w:rPr>
          <w:rFonts w:eastAsia="等线" w:cs="Arial"/>
        </w:rPr>
        <w:t xml:space="preserve"> </w:t>
      </w:r>
      <w:r w:rsidRPr="00E26C09">
        <w:rPr>
          <w:rFonts w:eastAsia="等线" w:cs="Arial"/>
        </w:rPr>
        <w:t>legal suits, adverse regulation, consumer boycotts, strikes, walkouts, and bad press</w:t>
      </w:r>
      <w:r>
        <w:rPr>
          <w:rFonts w:eastAsia="等线" w:cs="Arial"/>
        </w:rPr>
        <w:t xml:space="preserve"> </w:t>
      </w:r>
      <w:r w:rsidRPr="00E26C09">
        <w:rPr>
          <w:rFonts w:eastAsia="等线" w:cs="Arial"/>
        </w:rPr>
        <w:t xml:space="preserve">(as summarised </w:t>
      </w:r>
      <w:r w:rsidRPr="00E26C09">
        <w:rPr>
          <w:rFonts w:eastAsia="等线" w:cs="Arial"/>
        </w:rPr>
        <w:lastRenderedPageBreak/>
        <w:t xml:space="preserve">by </w:t>
      </w:r>
      <w:r w:rsidR="007D438A">
        <w:rPr>
          <w:rFonts w:eastAsia="等线" w:cs="Arial"/>
          <w:noProof/>
        </w:rPr>
        <w:fldChar w:fldCharType="begin"/>
      </w:r>
      <w:r w:rsidR="00647E79">
        <w:rPr>
          <w:rFonts w:eastAsia="等线" w:cs="Arial"/>
          <w:noProof/>
        </w:rPr>
        <w:instrText xml:space="preserve"> ADDIN EN.CITE &lt;EndNote&gt;&lt;Cite AuthorYear="1"&gt;&lt;Author&gt;Freeman&lt;/Author&gt;&lt;Year&gt;2010&lt;/Year&gt;&lt;RecNum&gt;201&lt;/RecNum&gt;&lt;DisplayText&gt;Freeman et al. (2010)&lt;/DisplayText&gt;&lt;record&gt;&lt;rec-number&gt;201&lt;/rec-number&gt;&lt;foreign-keys&gt;&lt;key app="EN" db-id="pzt5ep52hsedfpeext2pdfes0w0aswaewef2" timestamp="1605187996"&gt;201&lt;/key&gt;&lt;/foreign-keys&gt;&lt;ref-type name="Book"&gt;6&lt;/ref-type&gt;&lt;contributors&gt;&lt;authors&gt;&lt;author&gt;Freeman, R Edward&lt;/author&gt;&lt;author&gt;Harrison, Jeffrey S&lt;/author&gt;&lt;author&gt;Wicks, Andrew C&lt;/author&gt;&lt;author&gt;Parmar, Bidhan L&lt;/author&gt;&lt;author&gt;De Colle, Simone&lt;/author&gt;&lt;/authors&gt;&lt;/contributors&gt;&lt;titles&gt;&lt;title&gt;Stakeholder theory: The state of the art&lt;/title&gt;&lt;/titles&gt;&lt;dates&gt;&lt;year&gt;2010&lt;/year&gt;&lt;/dates&gt;&lt;publisher&gt;Cambridge University Press&lt;/publisher&gt;&lt;isbn&gt;1139484117&lt;/isbn&gt;&lt;urls&gt;&lt;/urls&gt;&lt;/record&gt;&lt;/Cite&gt;&lt;/EndNote&gt;</w:instrText>
      </w:r>
      <w:r w:rsidR="007D438A">
        <w:rPr>
          <w:rFonts w:eastAsia="等线" w:cs="Arial"/>
          <w:noProof/>
        </w:rPr>
        <w:fldChar w:fldCharType="separate"/>
      </w:r>
      <w:r w:rsidR="007D438A">
        <w:rPr>
          <w:rFonts w:eastAsia="等线" w:cs="Arial"/>
          <w:noProof/>
        </w:rPr>
        <w:t>Freeman et al. (2010)</w:t>
      </w:r>
      <w:r w:rsidR="007D438A">
        <w:rPr>
          <w:rFonts w:eastAsia="等线" w:cs="Arial"/>
          <w:noProof/>
        </w:rPr>
        <w:fldChar w:fldCharType="end"/>
      </w:r>
      <w:r w:rsidRPr="00E26C09">
        <w:rPr>
          <w:rFonts w:eastAsia="等线" w:cs="Arial"/>
        </w:rPr>
        <w:t>).</w:t>
      </w:r>
      <w:r>
        <w:rPr>
          <w:rFonts w:eastAsia="等线" w:cs="Arial"/>
        </w:rPr>
        <w:t xml:space="preserve"> </w:t>
      </w:r>
      <w:r w:rsidRPr="00E26C09">
        <w:rPr>
          <w:rFonts w:eastAsia="等线" w:cs="Arial"/>
        </w:rPr>
        <w:t xml:space="preserve">Thus, </w:t>
      </w:r>
      <w:r w:rsidR="00E9327B">
        <w:rPr>
          <w:rFonts w:eastAsia="等线" w:cs="Arial"/>
        </w:rPr>
        <w:t>a</w:t>
      </w:r>
      <w:r>
        <w:rPr>
          <w:rFonts w:eastAsia="等线" w:cs="Arial"/>
        </w:rPr>
        <w:t xml:space="preserve"> firms operation</w:t>
      </w:r>
      <w:r w:rsidR="00E9327B">
        <w:rPr>
          <w:rFonts w:eastAsia="等线" w:cs="Arial"/>
        </w:rPr>
        <w:t>al</w:t>
      </w:r>
      <w:r>
        <w:rPr>
          <w:rFonts w:eastAsia="等线" w:cs="Arial"/>
        </w:rPr>
        <w:t xml:space="preserve"> cost</w:t>
      </w:r>
      <w:r w:rsidR="00E9327B">
        <w:rPr>
          <w:rFonts w:eastAsia="等线" w:cs="Arial"/>
        </w:rPr>
        <w:t>s</w:t>
      </w:r>
      <w:r>
        <w:rPr>
          <w:rFonts w:eastAsia="等线" w:cs="Arial"/>
        </w:rPr>
        <w:t xml:space="preserve"> and risk</w:t>
      </w:r>
      <w:r w:rsidR="00E9327B">
        <w:rPr>
          <w:rFonts w:eastAsia="等线" w:cs="Arial"/>
        </w:rPr>
        <w:t>s</w:t>
      </w:r>
      <w:r>
        <w:rPr>
          <w:rFonts w:eastAsia="等线" w:cs="Arial"/>
        </w:rPr>
        <w:t xml:space="preserve"> associated </w:t>
      </w:r>
      <w:r w:rsidR="00E9327B">
        <w:rPr>
          <w:rFonts w:eastAsia="等线" w:cs="Arial"/>
        </w:rPr>
        <w:t xml:space="preserve">with the </w:t>
      </w:r>
      <w:r>
        <w:rPr>
          <w:rFonts w:eastAsia="等线" w:cs="Arial"/>
        </w:rPr>
        <w:t xml:space="preserve">above events can be reduced </w:t>
      </w:r>
      <w:r w:rsidR="00E9327B">
        <w:rPr>
          <w:rFonts w:eastAsia="等线" w:cs="Arial"/>
        </w:rPr>
        <w:t>by</w:t>
      </w:r>
      <w:r>
        <w:rPr>
          <w:rFonts w:eastAsia="等线" w:cs="Arial"/>
        </w:rPr>
        <w:t xml:space="preserve"> well considering</w:t>
      </w:r>
      <w:r w:rsidRPr="00E26C09">
        <w:rPr>
          <w:rFonts w:eastAsia="等线" w:cs="Arial"/>
        </w:rPr>
        <w:t xml:space="preserve"> the stakeholders</w:t>
      </w:r>
      <w:r>
        <w:rPr>
          <w:rFonts w:eastAsia="等线" w:cs="Arial"/>
        </w:rPr>
        <w:t>’</w:t>
      </w:r>
      <w:r w:rsidRPr="00E26C09">
        <w:rPr>
          <w:rFonts w:eastAsia="等线" w:cs="Arial"/>
        </w:rPr>
        <w:t xml:space="preserve"> benefits</w:t>
      </w:r>
      <w:r>
        <w:rPr>
          <w:rFonts w:eastAsia="等线" w:cs="Arial"/>
        </w:rPr>
        <w:t>.</w:t>
      </w:r>
    </w:p>
    <w:p w14:paraId="503BE65F" w14:textId="087E24B4" w:rsidR="00D56E3F" w:rsidRPr="00E26C09" w:rsidRDefault="00D56E3F" w:rsidP="00D56E3F">
      <w:pPr>
        <w:spacing w:after="240" w:line="360" w:lineRule="auto"/>
        <w:rPr>
          <w:rFonts w:eastAsia="等线" w:cs="Arial"/>
        </w:rPr>
      </w:pPr>
      <w:r>
        <w:rPr>
          <w:rFonts w:eastAsia="等线" w:cs="Arial"/>
        </w:rPr>
        <w:t>At</w:t>
      </w:r>
      <w:r w:rsidRPr="00E26C09">
        <w:rPr>
          <w:rFonts w:eastAsia="等线" w:cs="Arial"/>
        </w:rPr>
        <w:t xml:space="preserve"> this stage, stakeholder theory acts as an instrumental tool which aims to improve the business performance of firms. To some extent, stakeholders’ interest</w:t>
      </w:r>
      <w:r w:rsidR="00140517">
        <w:rPr>
          <w:rFonts w:eastAsia="等线" w:cs="Arial"/>
        </w:rPr>
        <w:t>s</w:t>
      </w:r>
      <w:r w:rsidRPr="00E26C09">
        <w:rPr>
          <w:rFonts w:eastAsia="等线" w:cs="Arial"/>
        </w:rPr>
        <w:t xml:space="preserve"> (excluding the shareholders) </w:t>
      </w:r>
      <w:r w:rsidR="00140517">
        <w:rPr>
          <w:rFonts w:eastAsia="等线" w:cs="Arial"/>
        </w:rPr>
        <w:t>are</w:t>
      </w:r>
      <w:r w:rsidRPr="00E26C09">
        <w:rPr>
          <w:rFonts w:eastAsia="等线" w:cs="Arial"/>
        </w:rPr>
        <w:t xml:space="preserve"> </w:t>
      </w:r>
      <w:r>
        <w:rPr>
          <w:rFonts w:eastAsia="等线" w:cs="Arial"/>
        </w:rPr>
        <w:t xml:space="preserve">deemed </w:t>
      </w:r>
      <w:r w:rsidR="00140517">
        <w:rPr>
          <w:rFonts w:eastAsia="等线" w:cs="Arial"/>
        </w:rPr>
        <w:t>to be</w:t>
      </w:r>
      <w:r w:rsidRPr="00E26C09">
        <w:rPr>
          <w:rFonts w:eastAsia="等线" w:cs="Arial"/>
        </w:rPr>
        <w:t xml:space="preserve"> constraints on the self-interest of companies. This is because of dichotomy logic which indicate</w:t>
      </w:r>
      <w:r w:rsidR="00140517">
        <w:rPr>
          <w:rFonts w:eastAsia="等线" w:cs="Arial"/>
        </w:rPr>
        <w:t>s</w:t>
      </w:r>
      <w:r w:rsidRPr="00E26C09">
        <w:rPr>
          <w:rFonts w:eastAsia="等线" w:cs="Arial"/>
        </w:rPr>
        <w:t xml:space="preserve"> that the executives of the firm have fiduciary duty to its shareholders</w:t>
      </w:r>
      <w:r w:rsidR="00140517">
        <w:rPr>
          <w:rFonts w:eastAsia="等线" w:cs="Arial"/>
        </w:rPr>
        <w:t>’</w:t>
      </w:r>
      <w:r w:rsidRPr="00E26C09">
        <w:rPr>
          <w:rFonts w:eastAsia="等线" w:cs="Arial"/>
        </w:rPr>
        <w:t xml:space="preserve"> interest</w:t>
      </w:r>
      <w:r w:rsidR="00140517">
        <w:rPr>
          <w:rFonts w:eastAsia="等线" w:cs="Arial"/>
        </w:rPr>
        <w:t>s</w:t>
      </w:r>
      <w:r w:rsidRPr="00E26C09">
        <w:rPr>
          <w:rFonts w:eastAsia="等线" w:cs="Arial"/>
        </w:rPr>
        <w:t xml:space="preserve"> </w:t>
      </w:r>
      <w:r>
        <w:rPr>
          <w:rFonts w:eastAsia="等线" w:cs="Arial"/>
        </w:rPr>
        <w:t>and</w:t>
      </w:r>
      <w:r w:rsidRPr="00E26C09">
        <w:rPr>
          <w:rFonts w:eastAsia="等线" w:cs="Arial"/>
        </w:rPr>
        <w:t xml:space="preserve"> had nonfiduciary duty for the firm</w:t>
      </w:r>
      <w:r w:rsidR="00140517">
        <w:rPr>
          <w:rFonts w:eastAsia="等线" w:cs="Arial"/>
        </w:rPr>
        <w:t>’</w:t>
      </w:r>
      <w:r w:rsidRPr="00E26C09">
        <w:rPr>
          <w:rFonts w:eastAsia="等线" w:cs="Arial"/>
        </w:rPr>
        <w:t>s stakeholders.</w:t>
      </w:r>
      <w:r>
        <w:rPr>
          <w:rFonts w:eastAsia="等线" w:cs="Arial"/>
        </w:rPr>
        <w:t xml:space="preserve"> </w:t>
      </w:r>
      <w:r w:rsidRPr="006F05AE">
        <w:rPr>
          <w:rFonts w:eastAsia="等线" w:cs="Arial"/>
        </w:rPr>
        <w:t>Stakeholder theory just persuade</w:t>
      </w:r>
      <w:r w:rsidR="008C3569">
        <w:rPr>
          <w:rFonts w:eastAsia="等线" w:cs="Arial"/>
        </w:rPr>
        <w:t>d</w:t>
      </w:r>
      <w:r w:rsidRPr="006F05AE">
        <w:rPr>
          <w:rFonts w:eastAsia="等线" w:cs="Arial"/>
        </w:rPr>
        <w:t xml:space="preserve"> the executives to contemplate ethical values that associated to wider kinds of stakeholder interests when running a firm. In other word</w:t>
      </w:r>
      <w:r w:rsidR="008C3569">
        <w:rPr>
          <w:rFonts w:eastAsia="等线" w:cs="Arial"/>
        </w:rPr>
        <w:t>s</w:t>
      </w:r>
      <w:r w:rsidRPr="006F05AE">
        <w:rPr>
          <w:rFonts w:eastAsia="等线" w:cs="Arial"/>
        </w:rPr>
        <w:t xml:space="preserve">, stakeholder theory </w:t>
      </w:r>
      <w:r w:rsidR="008C3569">
        <w:rPr>
          <w:rFonts w:eastAsia="等线" w:cs="Arial"/>
        </w:rPr>
        <w:t>can exist</w:t>
      </w:r>
      <w:r w:rsidRPr="006F05AE">
        <w:rPr>
          <w:rFonts w:eastAsia="等线" w:cs="Arial"/>
        </w:rPr>
        <w:t xml:space="preserve"> with</w:t>
      </w:r>
      <w:r w:rsidR="008C3569">
        <w:rPr>
          <w:rFonts w:eastAsia="等线" w:cs="Arial"/>
        </w:rPr>
        <w:t>,</w:t>
      </w:r>
      <w:r w:rsidRPr="006F05AE">
        <w:rPr>
          <w:rFonts w:eastAsia="等线" w:cs="Arial"/>
        </w:rPr>
        <w:t xml:space="preserve"> but </w:t>
      </w:r>
      <w:r w:rsidR="008C3569">
        <w:rPr>
          <w:rFonts w:eastAsia="等线" w:cs="Arial"/>
        </w:rPr>
        <w:t xml:space="preserve">be </w:t>
      </w:r>
      <w:r w:rsidRPr="006F05AE">
        <w:rPr>
          <w:rFonts w:eastAsia="等线" w:cs="Arial"/>
        </w:rPr>
        <w:t>separate from</w:t>
      </w:r>
      <w:r w:rsidR="008C3569">
        <w:rPr>
          <w:rFonts w:eastAsia="等线" w:cs="Arial"/>
        </w:rPr>
        <w:t>,</w:t>
      </w:r>
      <w:r w:rsidRPr="006F05AE">
        <w:rPr>
          <w:rFonts w:eastAsia="等线" w:cs="Arial"/>
        </w:rPr>
        <w:t xml:space="preserve"> the management of the firms.</w:t>
      </w:r>
    </w:p>
    <w:p w14:paraId="2501AF5E" w14:textId="4D4572A0" w:rsidR="00D56E3F" w:rsidRPr="00E26C09" w:rsidRDefault="00D56E3F" w:rsidP="0039582D">
      <w:pPr>
        <w:pStyle w:val="Heading3"/>
      </w:pPr>
      <w:bookmarkStart w:id="509" w:name="_Toc46053434"/>
      <w:bookmarkStart w:id="510" w:name="_Toc46093348"/>
      <w:bookmarkStart w:id="511" w:name="_Toc46093631"/>
      <w:bookmarkStart w:id="512" w:name="_Toc66703206"/>
      <w:r w:rsidRPr="00E26C09">
        <w:t xml:space="preserve">Freeman’s </w:t>
      </w:r>
      <w:r w:rsidR="00335E50">
        <w:t>s</w:t>
      </w:r>
      <w:r w:rsidR="00335E50" w:rsidRPr="00E26C09">
        <w:t xml:space="preserve">takeholders </w:t>
      </w:r>
      <w:bookmarkEnd w:id="509"/>
      <w:bookmarkEnd w:id="510"/>
      <w:bookmarkEnd w:id="511"/>
      <w:r w:rsidR="00335E50">
        <w:t>t</w:t>
      </w:r>
      <w:r w:rsidR="00335E50" w:rsidRPr="00E26C09">
        <w:t>heory</w:t>
      </w:r>
      <w:bookmarkEnd w:id="512"/>
      <w:r w:rsidR="00335E50" w:rsidRPr="00E26C09">
        <w:t xml:space="preserve"> </w:t>
      </w:r>
    </w:p>
    <w:p w14:paraId="4CB16F5B" w14:textId="6FED7BF9" w:rsidR="00D56E3F" w:rsidRPr="00E26C09" w:rsidRDefault="00D56E3F" w:rsidP="00D56E3F">
      <w:pPr>
        <w:spacing w:after="240" w:line="360" w:lineRule="auto"/>
        <w:rPr>
          <w:rFonts w:eastAsia="等线" w:cs="Arial"/>
        </w:rPr>
      </w:pPr>
      <w:r w:rsidRPr="00E26C09">
        <w:rPr>
          <w:rFonts w:eastAsia="等线" w:cs="Arial"/>
        </w:rPr>
        <w:t>Prior to Freeman</w:t>
      </w:r>
      <w:r w:rsidR="002A42FF">
        <w:rPr>
          <w:rFonts w:eastAsia="等线" w:cs="Arial"/>
        </w:rPr>
        <w:t>’s</w:t>
      </w:r>
      <w:r w:rsidRPr="00E26C09">
        <w:rPr>
          <w:rFonts w:eastAsia="等线" w:cs="Arial"/>
        </w:rPr>
        <w:t xml:space="preserve"> (1984) book: </w:t>
      </w:r>
      <w:r w:rsidR="00E6403E">
        <w:rPr>
          <w:rFonts w:eastAsia="等线" w:cs="Arial"/>
        </w:rPr>
        <w:t>‘</w:t>
      </w:r>
      <w:r w:rsidRPr="00E26C09">
        <w:rPr>
          <w:rFonts w:eastAsia="等线" w:cs="Arial"/>
          <w:i/>
          <w:iCs/>
        </w:rPr>
        <w:t>Strategy Management: A Stakeholder Approach</w:t>
      </w:r>
      <w:r w:rsidR="00E6403E">
        <w:rPr>
          <w:rFonts w:eastAsia="等线" w:cs="Arial"/>
          <w:i/>
          <w:iCs/>
        </w:rPr>
        <w:t>’</w:t>
      </w:r>
      <w:r w:rsidRPr="00E26C09">
        <w:rPr>
          <w:rFonts w:eastAsia="等线" w:cs="Arial"/>
          <w:i/>
          <w:iCs/>
        </w:rPr>
        <w:t xml:space="preserve">, </w:t>
      </w:r>
      <w:r w:rsidRPr="00E26C09">
        <w:rPr>
          <w:rFonts w:eastAsia="等线" w:cs="Arial"/>
        </w:rPr>
        <w:t xml:space="preserve">stakeholders have received limited attention from the executives </w:t>
      </w:r>
      <w:r>
        <w:rPr>
          <w:rFonts w:eastAsia="等线" w:cs="Arial"/>
        </w:rPr>
        <w:t>in</w:t>
      </w:r>
      <w:r w:rsidRPr="00E26C09">
        <w:rPr>
          <w:rFonts w:eastAsia="等线" w:cs="Arial"/>
        </w:rPr>
        <w:t xml:space="preserve"> the strategy planning of the firms</w:t>
      </w:r>
      <w:r>
        <w:rPr>
          <w:rFonts w:eastAsia="等线" w:cs="Arial"/>
        </w:rPr>
        <w:t xml:space="preserve">, </w:t>
      </w:r>
      <w:r w:rsidRPr="004F7AE8">
        <w:rPr>
          <w:rFonts w:eastAsia="等线" w:cs="Arial"/>
        </w:rPr>
        <w:t>compar</w:t>
      </w:r>
      <w:r w:rsidR="002A42FF">
        <w:rPr>
          <w:rFonts w:eastAsia="等线" w:cs="Arial"/>
        </w:rPr>
        <w:t>ed to</w:t>
      </w:r>
      <w:r w:rsidRPr="004F7AE8">
        <w:rPr>
          <w:rFonts w:eastAsia="等线" w:cs="Arial"/>
        </w:rPr>
        <w:t xml:space="preserve"> other elements that are expected to generate significant profits for the firms</w:t>
      </w:r>
      <w:r>
        <w:rPr>
          <w:rFonts w:eastAsia="等线" w:cs="Arial"/>
        </w:rPr>
        <w:t xml:space="preserve">. </w:t>
      </w:r>
      <w:r w:rsidRPr="00E26C09">
        <w:rPr>
          <w:rFonts w:eastAsia="等线" w:cs="Arial"/>
        </w:rPr>
        <w:t>Conversely, Freeman highly emphasis</w:t>
      </w:r>
      <w:r w:rsidR="002A42FF">
        <w:rPr>
          <w:rFonts w:eastAsia="等线" w:cs="Arial"/>
        </w:rPr>
        <w:t>es</w:t>
      </w:r>
      <w:r w:rsidRPr="00E26C09">
        <w:rPr>
          <w:rFonts w:eastAsia="等线" w:cs="Arial"/>
        </w:rPr>
        <w:t xml:space="preserve"> on the influences of stakeholders on the firm. Freeman believes that the major objective of a firm is no longer just to maximise the profits (create value for shareholders), but to create value for all its stakeholders. </w:t>
      </w:r>
      <w:r w:rsidR="00355C76">
        <w:rPr>
          <w:rFonts w:eastAsia="等线" w:cs="Arial"/>
        </w:rPr>
        <w:t>H</w:t>
      </w:r>
      <w:r w:rsidRPr="00E26C09">
        <w:rPr>
          <w:rFonts w:eastAsia="等线" w:cs="Arial"/>
        </w:rPr>
        <w:t>e argues:</w:t>
      </w:r>
    </w:p>
    <w:p w14:paraId="4E09D777" w14:textId="77777777" w:rsidR="00D56E3F" w:rsidRPr="00E26C09" w:rsidRDefault="00D56E3F" w:rsidP="00D56E3F">
      <w:pPr>
        <w:spacing w:after="240" w:line="360" w:lineRule="auto"/>
        <w:ind w:left="720"/>
        <w:rPr>
          <w:rFonts w:eastAsia="等线" w:cs="Arial"/>
          <w:i/>
          <w:iCs/>
        </w:rPr>
      </w:pPr>
      <w:r w:rsidRPr="00E26C09">
        <w:rPr>
          <w:rFonts w:eastAsia="等线" w:cs="Arial"/>
          <w:i/>
          <w:iCs/>
        </w:rPr>
        <w:t>“The task of executives is to create as much value as possible for stakeholders without resorting to trade-offs. Great companies endure because they manage to get stakeholder interests aligned in the same direction.”</w:t>
      </w:r>
    </w:p>
    <w:p w14:paraId="6A9BCF2A" w14:textId="72B5B434" w:rsidR="00D56E3F" w:rsidRPr="00E26C09" w:rsidRDefault="00D56E3F" w:rsidP="00D56E3F">
      <w:pPr>
        <w:spacing w:after="240" w:line="360" w:lineRule="auto"/>
        <w:rPr>
          <w:rFonts w:eastAsia="等线" w:cs="Arial"/>
        </w:rPr>
      </w:pPr>
      <w:r w:rsidRPr="00E26C09">
        <w:rPr>
          <w:rFonts w:eastAsia="等线" w:cs="Arial"/>
        </w:rPr>
        <w:t xml:space="preserve">On this basis, Freeman defines the concept of stakeholders as </w:t>
      </w:r>
      <w:r w:rsidRPr="00E26C09">
        <w:rPr>
          <w:rFonts w:eastAsia="等线" w:cs="Arial"/>
          <w:i/>
          <w:iCs/>
        </w:rPr>
        <w:t>‘Any group or individual who can affect or is affected by the achievement of the organization's objectives</w:t>
      </w:r>
      <w:r w:rsidRPr="00E26C09">
        <w:rPr>
          <w:rFonts w:eastAsia="等线" w:cs="Arial"/>
          <w:i/>
          <w:iCs/>
          <w:lang w:val="en-US"/>
        </w:rPr>
        <w:t>’</w:t>
      </w:r>
      <w:r w:rsidRPr="00E26C09">
        <w:rPr>
          <w:rFonts w:eastAsia="等线" w:cs="Arial"/>
          <w:i/>
          <w:iCs/>
        </w:rPr>
        <w:t xml:space="preserve">. </w:t>
      </w:r>
      <w:r w:rsidRPr="00E26C09">
        <w:rPr>
          <w:rFonts w:eastAsia="等线" w:cs="Arial"/>
        </w:rPr>
        <w:t>Freeman indicates that</w:t>
      </w:r>
      <w:r>
        <w:rPr>
          <w:rFonts w:eastAsia="等线" w:cs="Arial"/>
        </w:rPr>
        <w:t xml:space="preserve"> the</w:t>
      </w:r>
      <w:r w:rsidRPr="00E26C09">
        <w:rPr>
          <w:rFonts w:eastAsia="等线" w:cs="Arial"/>
        </w:rPr>
        <w:t xml:space="preserve"> efficient business approach</w:t>
      </w:r>
      <w:r>
        <w:rPr>
          <w:rFonts w:eastAsia="等线" w:cs="Arial"/>
        </w:rPr>
        <w:t xml:space="preserve"> for firms </w:t>
      </w:r>
      <w:r w:rsidR="00355C76">
        <w:rPr>
          <w:rFonts w:eastAsia="等线" w:cs="Arial"/>
        </w:rPr>
        <w:t>is</w:t>
      </w:r>
      <w:r w:rsidRPr="00E26C09">
        <w:rPr>
          <w:rFonts w:eastAsia="等线" w:cs="Arial"/>
        </w:rPr>
        <w:t xml:space="preserve"> not</w:t>
      </w:r>
      <w:r>
        <w:rPr>
          <w:rFonts w:eastAsia="等线" w:cs="Arial"/>
        </w:rPr>
        <w:t xml:space="preserve"> </w:t>
      </w:r>
      <w:r w:rsidRPr="00E26C09">
        <w:rPr>
          <w:rFonts w:eastAsia="等线" w:cs="Arial"/>
        </w:rPr>
        <w:t>simply being for their self-interest</w:t>
      </w:r>
      <w:r>
        <w:rPr>
          <w:rFonts w:eastAsia="等线" w:cs="Arial"/>
        </w:rPr>
        <w:t xml:space="preserve"> but</w:t>
      </w:r>
      <w:r w:rsidRPr="00E26C09">
        <w:rPr>
          <w:rFonts w:eastAsia="等线" w:cs="Arial"/>
        </w:rPr>
        <w:t xml:space="preserve"> </w:t>
      </w:r>
      <w:r>
        <w:rPr>
          <w:rFonts w:eastAsia="等线" w:cs="Arial"/>
        </w:rPr>
        <w:t xml:space="preserve">working with </w:t>
      </w:r>
      <w:r w:rsidRPr="00E26C09">
        <w:rPr>
          <w:rFonts w:eastAsia="等线" w:cs="Arial"/>
        </w:rPr>
        <w:t xml:space="preserve">different organisations </w:t>
      </w:r>
      <w:r>
        <w:rPr>
          <w:rFonts w:eastAsia="等线" w:cs="Arial"/>
        </w:rPr>
        <w:t xml:space="preserve">to </w:t>
      </w:r>
      <w:r w:rsidRPr="00E26C09">
        <w:rPr>
          <w:rFonts w:eastAsia="等线" w:cs="Arial"/>
        </w:rPr>
        <w:t xml:space="preserve">create value together. </w:t>
      </w:r>
      <w:r w:rsidRPr="00776A3D">
        <w:rPr>
          <w:rFonts w:eastAsia="等线" w:cs="Arial"/>
        </w:rPr>
        <w:t>Therefore, organisations should get involved and think about the how their objectives will impact their stakeholders.</w:t>
      </w:r>
      <w:r w:rsidRPr="00776A3D">
        <w:rPr>
          <w:rFonts w:eastAsia="等线" w:cs="Arial"/>
          <w:color w:val="FF0000"/>
        </w:rPr>
        <w:t xml:space="preserve"> </w:t>
      </w:r>
    </w:p>
    <w:p w14:paraId="76675D6A" w14:textId="0DA5BB2A" w:rsidR="00D56E3F" w:rsidRPr="00E26C09" w:rsidRDefault="00D56E3F" w:rsidP="00D56E3F">
      <w:pPr>
        <w:spacing w:after="240" w:line="360" w:lineRule="auto"/>
        <w:rPr>
          <w:rFonts w:eastAsia="等线" w:cs="Arial"/>
        </w:rPr>
      </w:pPr>
      <w:r w:rsidRPr="00E26C09">
        <w:rPr>
          <w:rFonts w:eastAsia="等线" w:cs="Arial"/>
        </w:rPr>
        <w:t xml:space="preserve">According to Freeman’s theory (1984), many literatures classified the stakeholders into various groups according to stakeholders’ attributes. For example, </w:t>
      </w:r>
      <w:r w:rsidR="007D438A">
        <w:rPr>
          <w:rFonts w:eastAsia="等线" w:cs="Arial"/>
        </w:rPr>
        <w:fldChar w:fldCharType="begin"/>
      </w:r>
      <w:r w:rsidR="00647E79">
        <w:rPr>
          <w:rFonts w:eastAsia="等线" w:cs="Arial"/>
        </w:rPr>
        <w:instrText xml:space="preserve"> ADDIN EN.CITE &lt;EndNote&gt;&lt;Cite AuthorYear="1"&gt;&lt;Author&gt;Frederick&lt;/Author&gt;&lt;Year&gt;1988&lt;/Year&gt;&lt;RecNum&gt;270&lt;/RecNum&gt;&lt;DisplayText&gt;Frederick (1988)&lt;/DisplayText&gt;&lt;record&gt;&lt;rec-number&gt;270&lt;/rec-number&gt;&lt;foreign-keys&gt;&lt;key app="EN" db-id="pzt5ep52hsedfpeext2pdfes0w0aswaewef2" timestamp="1605187998"&gt;270&lt;/key&gt;&lt;/foreign-keys&gt;&lt;ref-type name="Book"&gt;6&lt;/ref-type&gt;&lt;contributors&gt;&lt;authors&gt;&lt;author&gt;Frederick, William Crittenden&lt;/author&gt;&lt;/authors&gt;&lt;/contributors&gt;&lt;titles&gt;&lt;title&gt;Business and society: Corporate strategy, public policy, ethics&lt;/title&gt;&lt;/titles&gt;&lt;dates&gt;&lt;year&gt;1988&lt;/year&gt;&lt;/dates&gt;&lt;publisher&gt;McGraw-Hill Companies&lt;/publisher&gt;&lt;isbn&gt;0070155615&lt;/isbn&gt;&lt;urls&gt;&lt;/urls&gt;&lt;/record&gt;&lt;/Cite&gt;&lt;/EndNote&gt;</w:instrText>
      </w:r>
      <w:r w:rsidR="007D438A">
        <w:rPr>
          <w:rFonts w:eastAsia="等线" w:cs="Arial"/>
        </w:rPr>
        <w:fldChar w:fldCharType="separate"/>
      </w:r>
      <w:r w:rsidR="007D438A">
        <w:rPr>
          <w:rFonts w:eastAsia="等线" w:cs="Arial"/>
          <w:noProof/>
        </w:rPr>
        <w:t>Frederick (1988)</w:t>
      </w:r>
      <w:r w:rsidR="007D438A">
        <w:rPr>
          <w:rFonts w:eastAsia="等线" w:cs="Arial"/>
        </w:rPr>
        <w:fldChar w:fldCharType="end"/>
      </w:r>
      <w:r w:rsidRPr="00E26C09">
        <w:rPr>
          <w:rFonts w:eastAsia="等线" w:cs="Arial"/>
        </w:rPr>
        <w:t xml:space="preserve"> classified the stakeholders into direct interest groups and indirect interest groups. Direct interest groups have direct relationship</w:t>
      </w:r>
      <w:r w:rsidR="00244FCD">
        <w:rPr>
          <w:rFonts w:eastAsia="等线" w:cs="Arial"/>
        </w:rPr>
        <w:t>s</w:t>
      </w:r>
      <w:r w:rsidRPr="00E26C09">
        <w:rPr>
          <w:rFonts w:eastAsia="等线" w:cs="Arial"/>
        </w:rPr>
        <w:t xml:space="preserve"> with the firms in the market (</w:t>
      </w:r>
      <w:proofErr w:type="gramStart"/>
      <w:r w:rsidRPr="00E26C09">
        <w:rPr>
          <w:rFonts w:eastAsia="等线" w:cs="Arial"/>
        </w:rPr>
        <w:t>e.g.</w:t>
      </w:r>
      <w:proofErr w:type="gramEnd"/>
      <w:r w:rsidRPr="00E26C09">
        <w:rPr>
          <w:rFonts w:eastAsia="等线" w:cs="Arial"/>
        </w:rPr>
        <w:t xml:space="preserve"> customers, employee, competitor), which can influence the business performance of the firm. </w:t>
      </w:r>
      <w:r>
        <w:rPr>
          <w:rFonts w:eastAsia="等线" w:cs="Arial"/>
        </w:rPr>
        <w:t>H</w:t>
      </w:r>
      <w:r w:rsidRPr="00E26C09">
        <w:rPr>
          <w:rFonts w:eastAsia="等线" w:cs="Arial"/>
        </w:rPr>
        <w:t>owever, indirect interest group</w:t>
      </w:r>
      <w:r>
        <w:rPr>
          <w:rFonts w:eastAsia="等线" w:cs="Arial"/>
        </w:rPr>
        <w:t xml:space="preserve">s </w:t>
      </w:r>
      <w:r w:rsidR="00C25A5D">
        <w:rPr>
          <w:rFonts w:eastAsia="等线" w:cs="Arial"/>
        </w:rPr>
        <w:t>do</w:t>
      </w:r>
      <w:r w:rsidRPr="00E26C09">
        <w:rPr>
          <w:rFonts w:eastAsia="等线" w:cs="Arial"/>
        </w:rPr>
        <w:t xml:space="preserve"> not </w:t>
      </w:r>
      <w:r w:rsidRPr="00E26C09">
        <w:rPr>
          <w:rFonts w:eastAsia="等线" w:cs="Arial"/>
        </w:rPr>
        <w:lastRenderedPageBreak/>
        <w:t>(</w:t>
      </w:r>
      <w:proofErr w:type="gramStart"/>
      <w:r w:rsidRPr="00E26C09">
        <w:rPr>
          <w:rFonts w:eastAsia="等线" w:cs="Arial"/>
        </w:rPr>
        <w:t>e.g.</w:t>
      </w:r>
      <w:proofErr w:type="gramEnd"/>
      <w:r w:rsidRPr="00E26C09">
        <w:rPr>
          <w:rFonts w:eastAsia="等线" w:cs="Arial"/>
        </w:rPr>
        <w:t xml:space="preserve"> government, media). As stakeholders are socially constructed </w:t>
      </w:r>
      <w:r w:rsidR="007D438A">
        <w:rPr>
          <w:rFonts w:eastAsia="等线" w:cs="Arial"/>
          <w:noProof/>
        </w:rPr>
        <w:fldChar w:fldCharType="begin"/>
      </w:r>
      <w:r w:rsidR="00647E79">
        <w:rPr>
          <w:rFonts w:eastAsia="等线" w:cs="Arial"/>
          <w:noProof/>
        </w:rPr>
        <w:instrText xml:space="preserve"> ADDIN EN.CITE &lt;EndNote&gt;&lt;Cite&gt;&lt;Author&gt;Fineman&lt;/Author&gt;&lt;Year&gt;1996&lt;/Year&gt;&lt;RecNum&gt;271&lt;/RecNum&gt;&lt;DisplayText&gt;(Fineman and Clarke, 1996)&lt;/DisplayText&gt;&lt;record&gt;&lt;rec-number&gt;271&lt;/rec-number&gt;&lt;foreign-keys&gt;&lt;key app="EN" db-id="pzt5ep52hsedfpeext2pdfes0w0aswaewef2" timestamp="1605187998"&gt;271&lt;/key&gt;&lt;/foreign-keys&gt;&lt;ref-type name="Journal Article"&gt;17&lt;/ref-type&gt;&lt;contributors&gt;&lt;authors&gt;&lt;author&gt;Fineman, Stephen&lt;/author&gt;&lt;author&gt;Clarke, Ken&lt;/author&gt;&lt;/authors&gt;&lt;/contributors&gt;&lt;titles&gt;&lt;title&gt;Green stakeholders: Industry interpretations and response&lt;/title&gt;&lt;secondary-title&gt;Journal of Management studies&lt;/secondary-title&gt;&lt;/titles&gt;&lt;periodical&gt;&lt;full-title&gt;Journal of Management studies&lt;/full-title&gt;&lt;/periodical&gt;&lt;pages&gt;715-730&lt;/pages&gt;&lt;volume&gt;33&lt;/volume&gt;&lt;number&gt;6&lt;/number&gt;&lt;dates&gt;&lt;year&gt;1996&lt;/year&gt;&lt;/dates&gt;&lt;isbn&gt;0022-2380&lt;/isbn&gt;&lt;urls&gt;&lt;/urls&gt;&lt;/record&gt;&lt;/Cite&gt;&lt;/EndNote&gt;</w:instrText>
      </w:r>
      <w:r w:rsidR="007D438A">
        <w:rPr>
          <w:rFonts w:eastAsia="等线" w:cs="Arial"/>
          <w:noProof/>
        </w:rPr>
        <w:fldChar w:fldCharType="separate"/>
      </w:r>
      <w:r w:rsidR="007D438A">
        <w:rPr>
          <w:rFonts w:eastAsia="等线" w:cs="Arial"/>
          <w:noProof/>
        </w:rPr>
        <w:t>(Fineman and Clarke, 1996)</w:t>
      </w:r>
      <w:r w:rsidR="007D438A">
        <w:rPr>
          <w:rFonts w:eastAsia="等线" w:cs="Arial"/>
          <w:noProof/>
        </w:rPr>
        <w:fldChar w:fldCharType="end"/>
      </w:r>
      <w:r w:rsidRPr="00E26C09">
        <w:rPr>
          <w:rFonts w:eastAsia="等线" w:cs="Arial"/>
        </w:rPr>
        <w:t xml:space="preserve">, </w:t>
      </w:r>
      <w:r w:rsidR="00BE538A">
        <w:rPr>
          <w:rFonts w:eastAsia="等线" w:cs="Arial"/>
        </w:rPr>
        <w:t>s</w:t>
      </w:r>
      <w:r w:rsidRPr="00E26C09">
        <w:rPr>
          <w:rFonts w:eastAsia="等线" w:cs="Arial"/>
        </w:rPr>
        <w:t>takeholder groups themselves cannot be assumed to be either homogeneous or stable because the individuals who constitute them belong to</w:t>
      </w:r>
      <w:r w:rsidR="00BE538A">
        <w:rPr>
          <w:rFonts w:eastAsia="等线" w:cs="Arial"/>
        </w:rPr>
        <w:t>,</w:t>
      </w:r>
      <w:r w:rsidRPr="00E26C09">
        <w:rPr>
          <w:rFonts w:eastAsia="等线" w:cs="Arial"/>
        </w:rPr>
        <w:t xml:space="preserve"> and interact with</w:t>
      </w:r>
      <w:r w:rsidR="00BE538A">
        <w:rPr>
          <w:rFonts w:eastAsia="等线" w:cs="Arial"/>
        </w:rPr>
        <w:t>,</w:t>
      </w:r>
      <w:r w:rsidRPr="00E26C09">
        <w:rPr>
          <w:rFonts w:eastAsia="等线" w:cs="Arial"/>
        </w:rPr>
        <w:t xml:space="preserve"> more than one group. All the scholars believe a ‘normative’ discipline that stakeholders are not equally important, although they have </w:t>
      </w:r>
      <w:r w:rsidR="008F6874">
        <w:rPr>
          <w:rFonts w:eastAsia="等线" w:cs="Arial"/>
        </w:rPr>
        <w:t>an</w:t>
      </w:r>
      <w:r w:rsidRPr="00E26C09">
        <w:rPr>
          <w:rFonts w:eastAsia="等线" w:cs="Arial"/>
        </w:rPr>
        <w:t xml:space="preserve"> equal right to express their opinions (Freeman et al., 2010). </w:t>
      </w:r>
      <w:r w:rsidR="007D438A">
        <w:rPr>
          <w:rFonts w:eastAsia="等线" w:cs="Arial"/>
        </w:rPr>
        <w:fldChar w:fldCharType="begin"/>
      </w:r>
      <w:r w:rsidR="00647E79">
        <w:rPr>
          <w:rFonts w:eastAsia="等线" w:cs="Arial"/>
        </w:rPr>
        <w:instrText xml:space="preserve"> ADDIN EN.CITE &lt;EndNote&gt;&lt;Cite AuthorYear="1"&gt;&lt;Author&gt;Mitchell&lt;/Author&gt;&lt;Year&gt;1997&lt;/Year&gt;&lt;RecNum&gt;272&lt;/RecNum&gt;&lt;DisplayText&gt;Mitchell et al. (1997)&lt;/DisplayText&gt;&lt;record&gt;&lt;rec-number&gt;272&lt;/rec-number&gt;&lt;foreign-keys&gt;&lt;key app="EN" db-id="pzt5ep52hsedfpeext2pdfes0w0aswaewef2" timestamp="1605187998"&gt;272&lt;/key&gt;&lt;/foreign-keys&gt;&lt;ref-type name="Journal Article"&gt;17&lt;/ref-type&gt;&lt;contributors&gt;&lt;authors&gt;&lt;author&gt;Mitchell, Ronald K.&lt;/author&gt;&lt;author&gt;Agle, Bradley R.&lt;/author&gt;&lt;author&gt;Wood, Donna J.&lt;/author&gt;&lt;/authors&gt;&lt;/contributors&gt;&lt;titles&gt;&lt;title&gt;Toward a Theory of Stakeholder Identification and Salience: Defining the Principle of Who and What Really Counts&lt;/title&gt;&lt;secondary-title&gt;The Academy of Management Review&lt;/secondary-title&gt;&lt;/titles&gt;&lt;periodical&gt;&lt;full-title&gt;The Academy of Management Review&lt;/full-title&gt;&lt;/periodical&gt;&lt;pages&gt;853-886&lt;/pages&gt;&lt;volume&gt;22&lt;/volume&gt;&lt;number&gt;4&lt;/number&gt;&lt;dates&gt;&lt;year&gt;1997&lt;/year&gt;&lt;/dates&gt;&lt;publisher&gt;Academy of Management&lt;/publisher&gt;&lt;isbn&gt;03637425&lt;/isbn&gt;&lt;urls&gt;&lt;related-urls&gt;&lt;url&gt;www.jstor.org/stable/259247&lt;/url&gt;&lt;/related-urls&gt;&lt;/urls&gt;&lt;custom1&gt;Full publication date: Oct., 1997&lt;/custom1&gt;&lt;electronic-resource-num&gt;10.2307/259247&lt;/electronic-resource-num&gt;&lt;remote-database-name&gt;JSTOR&lt;/remote-database-name&gt;&lt;/record&gt;&lt;/Cite&gt;&lt;/EndNote&gt;</w:instrText>
      </w:r>
      <w:r w:rsidR="007D438A">
        <w:rPr>
          <w:rFonts w:eastAsia="等线" w:cs="Arial"/>
        </w:rPr>
        <w:fldChar w:fldCharType="separate"/>
      </w:r>
      <w:r w:rsidR="007D438A">
        <w:rPr>
          <w:rFonts w:eastAsia="等线" w:cs="Arial"/>
          <w:noProof/>
        </w:rPr>
        <w:t>Mitchell et al. (1997)</w:t>
      </w:r>
      <w:r w:rsidR="007D438A">
        <w:rPr>
          <w:rFonts w:eastAsia="等线" w:cs="Arial"/>
        </w:rPr>
        <w:fldChar w:fldCharType="end"/>
      </w:r>
      <w:r w:rsidRPr="00E26C09">
        <w:rPr>
          <w:rFonts w:eastAsia="等线" w:cs="Arial"/>
        </w:rPr>
        <w:t xml:space="preserve"> propose the framework of </w:t>
      </w:r>
      <w:r>
        <w:rPr>
          <w:rFonts w:eastAsia="等线" w:cs="Arial"/>
        </w:rPr>
        <w:t>‘</w:t>
      </w:r>
      <w:r w:rsidRPr="00E26C09">
        <w:rPr>
          <w:rFonts w:eastAsia="等线" w:cs="Arial"/>
        </w:rPr>
        <w:t>stakeholders salience</w:t>
      </w:r>
      <w:r>
        <w:rPr>
          <w:rFonts w:eastAsia="等线" w:cs="Arial"/>
        </w:rPr>
        <w:t>’</w:t>
      </w:r>
      <w:r w:rsidRPr="00E26C09">
        <w:rPr>
          <w:rFonts w:eastAsia="等线" w:cs="Arial"/>
        </w:rPr>
        <w:t xml:space="preserve"> to measure the extent to which a stakeholder is important to a project. </w:t>
      </w:r>
      <w:r>
        <w:rPr>
          <w:rFonts w:eastAsia="等线" w:cs="Arial"/>
        </w:rPr>
        <w:t>T</w:t>
      </w:r>
      <w:r w:rsidRPr="00E26C09">
        <w:rPr>
          <w:rFonts w:eastAsia="等线" w:cs="Arial"/>
        </w:rPr>
        <w:t xml:space="preserve">he stakeholders salience is constituted by three elements, in terms of the ‘Power’, ‘Legitimacy’, and ‘Urgency’. Through a score-based approach, such </w:t>
      </w:r>
      <w:r w:rsidR="00884FA2">
        <w:rPr>
          <w:rFonts w:eastAsia="等线" w:cs="Arial"/>
        </w:rPr>
        <w:t xml:space="preserve">a </w:t>
      </w:r>
      <w:r w:rsidRPr="00E26C09">
        <w:rPr>
          <w:rFonts w:eastAsia="等线" w:cs="Arial"/>
        </w:rPr>
        <w:t>framework helps executives understand who a stakeholder in specific condition</w:t>
      </w:r>
      <w:r w:rsidR="008A3D70">
        <w:rPr>
          <w:rFonts w:eastAsia="等线" w:cs="Arial"/>
        </w:rPr>
        <w:t>s</w:t>
      </w:r>
      <w:r w:rsidRPr="00E26C09">
        <w:rPr>
          <w:rFonts w:eastAsia="等线" w:cs="Arial"/>
        </w:rPr>
        <w:t xml:space="preserve"> should be</w:t>
      </w:r>
      <w:r w:rsidR="008A3D70">
        <w:rPr>
          <w:rFonts w:eastAsia="等线" w:cs="Arial"/>
        </w:rPr>
        <w:t>,</w:t>
      </w:r>
      <w:r w:rsidRPr="00E26C09">
        <w:rPr>
          <w:rFonts w:eastAsia="等线" w:cs="Arial"/>
        </w:rPr>
        <w:t xml:space="preserve"> as well as which stakeholders’ opinions must be </w:t>
      </w:r>
      <w:proofErr w:type="gramStart"/>
      <w:r w:rsidRPr="00E26C09">
        <w:rPr>
          <w:rFonts w:eastAsia="等线" w:cs="Arial"/>
        </w:rPr>
        <w:t>considered</w:t>
      </w:r>
      <w:proofErr w:type="gramEnd"/>
      <w:r w:rsidRPr="00E26C09">
        <w:rPr>
          <w:rFonts w:eastAsia="等线" w:cs="Arial"/>
        </w:rPr>
        <w:t xml:space="preserve"> or even </w:t>
      </w:r>
      <w:r w:rsidR="00A2120C">
        <w:rPr>
          <w:rFonts w:eastAsia="等线" w:cs="Arial"/>
        </w:rPr>
        <w:t xml:space="preserve">which </w:t>
      </w:r>
      <w:r w:rsidRPr="00E26C09">
        <w:rPr>
          <w:rFonts w:eastAsia="等线" w:cs="Arial"/>
        </w:rPr>
        <w:t>resources</w:t>
      </w:r>
      <w:r>
        <w:rPr>
          <w:rFonts w:eastAsia="等线" w:cs="Arial"/>
        </w:rPr>
        <w:t xml:space="preserve"> are </w:t>
      </w:r>
      <w:r w:rsidRPr="00E26C09">
        <w:rPr>
          <w:rFonts w:eastAsia="等线" w:cs="Arial"/>
        </w:rPr>
        <w:t>allocate</w:t>
      </w:r>
      <w:r>
        <w:rPr>
          <w:rFonts w:eastAsia="等线" w:cs="Arial"/>
        </w:rPr>
        <w:t>d</w:t>
      </w:r>
      <w:r w:rsidRPr="00E26C09">
        <w:rPr>
          <w:rFonts w:eastAsia="等线" w:cs="Arial"/>
        </w:rPr>
        <w:t xml:space="preserve"> to satisfy their requirements. </w:t>
      </w:r>
    </w:p>
    <w:p w14:paraId="76779F92" w14:textId="2B582979" w:rsidR="00D56E3F" w:rsidRPr="00E26C09" w:rsidRDefault="00D56E3F" w:rsidP="00D56E3F">
      <w:pPr>
        <w:spacing w:after="240" w:line="360" w:lineRule="auto"/>
        <w:rPr>
          <w:rFonts w:eastAsia="等线" w:cs="Arial"/>
        </w:rPr>
      </w:pPr>
      <w:r w:rsidRPr="00E26C09">
        <w:rPr>
          <w:rFonts w:eastAsia="等线" w:cs="Arial"/>
        </w:rPr>
        <w:t>The feasibility of the “value creation for all stakeholders” is based on interest intersections among each pair of stakeholders, in terms of suppliers, employees, communities</w:t>
      </w:r>
      <w:r>
        <w:rPr>
          <w:rFonts w:eastAsia="等线" w:cs="Arial"/>
        </w:rPr>
        <w:t>,</w:t>
      </w:r>
      <w:r w:rsidRPr="00E26C09">
        <w:rPr>
          <w:rFonts w:eastAsia="等线" w:cs="Arial"/>
        </w:rPr>
        <w:t xml:space="preserve"> and shareholders. The core principle of the strategy planning for the firm is to make all the interests of the stakeholders </w:t>
      </w:r>
      <w:r w:rsidR="00996594">
        <w:rPr>
          <w:rFonts w:eastAsia="等线" w:cs="Arial"/>
        </w:rPr>
        <w:t xml:space="preserve">move </w:t>
      </w:r>
      <w:r w:rsidRPr="00E26C09">
        <w:rPr>
          <w:rFonts w:eastAsia="等线" w:cs="Arial"/>
        </w:rPr>
        <w:t xml:space="preserve">in the same direction. However, the challenge is that the </w:t>
      </w:r>
      <w:r>
        <w:rPr>
          <w:rFonts w:eastAsia="等线" w:cs="Arial"/>
        </w:rPr>
        <w:t xml:space="preserve">initial </w:t>
      </w:r>
      <w:r w:rsidRPr="00E26C09">
        <w:rPr>
          <w:rFonts w:eastAsia="等线" w:cs="Arial"/>
        </w:rPr>
        <w:t xml:space="preserve">interest of stakeholders can </w:t>
      </w:r>
      <w:r w:rsidR="00996594">
        <w:rPr>
          <w:rFonts w:eastAsia="等线" w:cs="Arial"/>
        </w:rPr>
        <w:t>result in</w:t>
      </w:r>
      <w:r w:rsidRPr="00E26C09">
        <w:rPr>
          <w:rFonts w:eastAsia="等线" w:cs="Arial"/>
        </w:rPr>
        <w:t xml:space="preserve"> conﬂict. Even in the same organisation, such inherent conflicts can emerge between different stakeholders owing to these stakeholders’ various expectations. Indeed, it is impossible to ask the executives/</w:t>
      </w:r>
      <w:r w:rsidR="00BF0187">
        <w:rPr>
          <w:rFonts w:eastAsia="等线" w:cs="Arial"/>
        </w:rPr>
        <w:t xml:space="preserve"> </w:t>
      </w:r>
      <w:r w:rsidRPr="00E26C09">
        <w:rPr>
          <w:rFonts w:eastAsia="等线" w:cs="Arial"/>
        </w:rPr>
        <w:t xml:space="preserve">firms to create as </w:t>
      </w:r>
      <w:r w:rsidR="00BF0187">
        <w:rPr>
          <w:rFonts w:eastAsia="等线" w:cs="Arial"/>
        </w:rPr>
        <w:t>many</w:t>
      </w:r>
      <w:r w:rsidRPr="00E26C09">
        <w:rPr>
          <w:rFonts w:eastAsia="等线" w:cs="Arial"/>
        </w:rPr>
        <w:t xml:space="preserve"> value</w:t>
      </w:r>
      <w:r>
        <w:rPr>
          <w:rFonts w:eastAsia="等线" w:cs="Arial"/>
        </w:rPr>
        <w:t>s</w:t>
      </w:r>
      <w:r w:rsidRPr="00E26C09">
        <w:rPr>
          <w:rFonts w:eastAsia="等线" w:cs="Arial"/>
        </w:rPr>
        <w:t xml:space="preserve"> as possible according to stakeholders’ various requirements. </w:t>
      </w:r>
      <w:r w:rsidR="007B3FA2">
        <w:rPr>
          <w:rFonts w:eastAsia="等线" w:cs="Arial"/>
        </w:rPr>
        <w:t>C</w:t>
      </w:r>
      <w:r>
        <w:rPr>
          <w:rFonts w:eastAsia="等线" w:cs="Arial"/>
        </w:rPr>
        <w:t>ompromised</w:t>
      </w:r>
      <w:r w:rsidRPr="00E26C09">
        <w:rPr>
          <w:rFonts w:eastAsia="等线" w:cs="Arial"/>
        </w:rPr>
        <w:t xml:space="preserve"> solutions should be formulated </w:t>
      </w:r>
      <w:proofErr w:type="gramStart"/>
      <w:r w:rsidRPr="00E26C09">
        <w:rPr>
          <w:rFonts w:eastAsia="等线" w:cs="Arial"/>
        </w:rPr>
        <w:t>in order to</w:t>
      </w:r>
      <w:proofErr w:type="gramEnd"/>
      <w:r w:rsidRPr="00E26C09">
        <w:rPr>
          <w:rFonts w:eastAsia="等线" w:cs="Arial"/>
        </w:rPr>
        <w:t xml:space="preserve"> make sure all stakeholders</w:t>
      </w:r>
      <w:r>
        <w:rPr>
          <w:rFonts w:eastAsia="等线" w:cs="Arial"/>
        </w:rPr>
        <w:t>’</w:t>
      </w:r>
      <w:r w:rsidRPr="00E26C09">
        <w:rPr>
          <w:rFonts w:eastAsia="等线" w:cs="Arial"/>
        </w:rPr>
        <w:t xml:space="preserve"> interest</w:t>
      </w:r>
      <w:r>
        <w:rPr>
          <w:rFonts w:eastAsia="等线" w:cs="Arial"/>
        </w:rPr>
        <w:t>s</w:t>
      </w:r>
      <w:r w:rsidRPr="00E26C09">
        <w:rPr>
          <w:rFonts w:eastAsia="等线" w:cs="Arial"/>
        </w:rPr>
        <w:t xml:space="preserve"> can </w:t>
      </w:r>
      <w:r>
        <w:rPr>
          <w:rFonts w:eastAsia="等线" w:cs="Arial"/>
        </w:rPr>
        <w:t xml:space="preserve">be </w:t>
      </w:r>
      <w:r w:rsidR="008B631E">
        <w:rPr>
          <w:rFonts w:eastAsia="等线" w:cs="Arial"/>
        </w:rPr>
        <w:t>converged</w:t>
      </w:r>
      <w:r>
        <w:rPr>
          <w:rFonts w:eastAsia="等线" w:cs="Arial"/>
        </w:rPr>
        <w:t xml:space="preserve"> </w:t>
      </w:r>
      <w:r w:rsidRPr="00E26C09">
        <w:rPr>
          <w:rFonts w:eastAsia="等线" w:cs="Arial"/>
          <w:noProof/>
        </w:rPr>
        <w:t>(Freeman et al., 2010)</w:t>
      </w:r>
      <w:r w:rsidRPr="00E26C09">
        <w:rPr>
          <w:rFonts w:eastAsia="等线" w:cs="Arial"/>
        </w:rPr>
        <w:t xml:space="preserve">. </w:t>
      </w:r>
    </w:p>
    <w:p w14:paraId="66318BD0" w14:textId="507B84FF" w:rsidR="00D56E3F" w:rsidRPr="00E26C09" w:rsidRDefault="00D56E3F" w:rsidP="00D56E3F">
      <w:pPr>
        <w:spacing w:after="240" w:line="360" w:lineRule="auto"/>
        <w:rPr>
          <w:rFonts w:eastAsia="等线" w:cs="Arial"/>
        </w:rPr>
      </w:pPr>
      <w:r w:rsidRPr="00E26C09">
        <w:rPr>
          <w:rFonts w:eastAsia="等线" w:cs="Arial"/>
          <w:noProof/>
        </w:rPr>
        <w:t>Freeman et al. (2010)</w:t>
      </w:r>
      <w:r w:rsidRPr="00E26C09">
        <w:rPr>
          <w:rFonts w:eastAsia="等线" w:cs="Arial"/>
        </w:rPr>
        <w:t xml:space="preserve"> highlight three mai</w:t>
      </w:r>
      <w:r>
        <w:rPr>
          <w:rFonts w:eastAsia="等线" w:cs="Arial"/>
        </w:rPr>
        <w:t>n principles</w:t>
      </w:r>
      <w:r w:rsidRPr="00E26C09">
        <w:rPr>
          <w:rFonts w:eastAsia="等线" w:cs="Arial"/>
        </w:rPr>
        <w:t xml:space="preserve"> that can address the stakeholders</w:t>
      </w:r>
      <w:r w:rsidR="008B631E">
        <w:rPr>
          <w:rFonts w:eastAsia="等线" w:cs="Arial"/>
        </w:rPr>
        <w:t>’</w:t>
      </w:r>
      <w:r w:rsidRPr="00E26C09">
        <w:rPr>
          <w:rFonts w:eastAsia="等线" w:cs="Arial"/>
        </w:rPr>
        <w:t xml:space="preserve"> conflict and promote the success of the stakeholders-based business strategy: 1) </w:t>
      </w:r>
      <w:r w:rsidR="008B631E">
        <w:rPr>
          <w:rFonts w:eastAsia="等线" w:cs="Arial"/>
        </w:rPr>
        <w:t>S</w:t>
      </w:r>
      <w:r w:rsidRPr="00E26C09">
        <w:rPr>
          <w:rFonts w:eastAsia="等线" w:cs="Arial"/>
        </w:rPr>
        <w:t>takeholders should be well engaged and be committed to</w:t>
      </w:r>
      <w:r w:rsidR="00015986">
        <w:rPr>
          <w:rFonts w:eastAsia="等线" w:cs="Arial"/>
        </w:rPr>
        <w:t xml:space="preserve"> </w:t>
      </w:r>
      <w:r w:rsidRPr="00E26C09">
        <w:rPr>
          <w:rFonts w:eastAsia="等线" w:cs="Arial"/>
        </w:rPr>
        <w:t>the common objectives of the business. Each stakeholder in a community should understand who they creat</w:t>
      </w:r>
      <w:r>
        <w:rPr>
          <w:rFonts w:eastAsia="等线" w:cs="Arial"/>
        </w:rPr>
        <w:t>e</w:t>
      </w:r>
      <w:r w:rsidRPr="00E26C09">
        <w:rPr>
          <w:rFonts w:eastAsia="等线" w:cs="Arial"/>
        </w:rPr>
        <w:t xml:space="preserve"> value for and what kind of values </w:t>
      </w:r>
      <w:r w:rsidR="008B631E">
        <w:rPr>
          <w:rFonts w:eastAsia="等线" w:cs="Arial"/>
        </w:rPr>
        <w:t xml:space="preserve">they </w:t>
      </w:r>
      <w:r w:rsidRPr="00E26C09">
        <w:rPr>
          <w:rFonts w:eastAsia="等线" w:cs="Arial"/>
        </w:rPr>
        <w:t>should create. 2) Executives should construct mechanism</w:t>
      </w:r>
      <w:r w:rsidR="008B631E">
        <w:rPr>
          <w:rFonts w:eastAsia="等线" w:cs="Arial"/>
        </w:rPr>
        <w:t>s</w:t>
      </w:r>
      <w:r w:rsidRPr="00E26C09">
        <w:rPr>
          <w:rFonts w:eastAsia="等线" w:cs="Arial"/>
        </w:rPr>
        <w:t xml:space="preserve"> to effectively organise and manage the relationship of different stakeholders.</w:t>
      </w:r>
      <w:r>
        <w:rPr>
          <w:rFonts w:eastAsia="等线" w:cs="Arial"/>
        </w:rPr>
        <w:t xml:space="preserve"> The </w:t>
      </w:r>
      <w:r w:rsidRPr="00E26C09">
        <w:rPr>
          <w:rFonts w:eastAsia="等线" w:cs="Arial"/>
        </w:rPr>
        <w:t>relationship</w:t>
      </w:r>
      <w:r>
        <w:rPr>
          <w:rFonts w:eastAsia="等线" w:cs="Arial"/>
        </w:rPr>
        <w:t>s among stakeholders</w:t>
      </w:r>
      <w:r w:rsidRPr="00E26C09">
        <w:rPr>
          <w:rFonts w:eastAsia="等线" w:cs="Arial"/>
        </w:rPr>
        <w:t xml:space="preserve"> should be well managed, which balance</w:t>
      </w:r>
      <w:r>
        <w:rPr>
          <w:rFonts w:eastAsia="等线" w:cs="Arial"/>
        </w:rPr>
        <w:t>s</w:t>
      </w:r>
      <w:r w:rsidRPr="00E26C09">
        <w:rPr>
          <w:rFonts w:eastAsia="等线" w:cs="Arial"/>
        </w:rPr>
        <w:t xml:space="preserve"> the interest</w:t>
      </w:r>
      <w:r>
        <w:rPr>
          <w:rFonts w:eastAsia="等线" w:cs="Arial"/>
        </w:rPr>
        <w:t>s</w:t>
      </w:r>
      <w:r w:rsidRPr="00E26C09">
        <w:rPr>
          <w:rFonts w:eastAsia="等线" w:cs="Arial"/>
        </w:rPr>
        <w:t xml:space="preserve"> of stakeholders to </w:t>
      </w:r>
      <w:r>
        <w:rPr>
          <w:rFonts w:eastAsia="等线" w:cs="Arial"/>
        </w:rPr>
        <w:t>ensure</w:t>
      </w:r>
      <w:r w:rsidRPr="00E26C09">
        <w:rPr>
          <w:rFonts w:eastAsia="等线" w:cs="Arial"/>
        </w:rPr>
        <w:t xml:space="preserve"> each one receives </w:t>
      </w:r>
      <w:r w:rsidR="008B631E">
        <w:rPr>
          <w:rFonts w:eastAsia="等线" w:cs="Arial"/>
        </w:rPr>
        <w:t xml:space="preserve">a </w:t>
      </w:r>
      <w:r>
        <w:rPr>
          <w:rFonts w:eastAsia="等线" w:cs="Arial"/>
        </w:rPr>
        <w:t>certain</w:t>
      </w:r>
      <w:r w:rsidRPr="00E26C09">
        <w:rPr>
          <w:rFonts w:eastAsia="等线" w:cs="Arial"/>
        </w:rPr>
        <w:t xml:space="preserve"> degree</w:t>
      </w:r>
      <w:r>
        <w:rPr>
          <w:rFonts w:eastAsia="等线" w:cs="Arial"/>
        </w:rPr>
        <w:t xml:space="preserve"> of</w:t>
      </w:r>
      <w:r w:rsidRPr="00E26C09">
        <w:rPr>
          <w:rFonts w:eastAsia="等线" w:cs="Arial"/>
        </w:rPr>
        <w:t xml:space="preserve"> satisfaction. 3), The “transaction cost” owing to involv</w:t>
      </w:r>
      <w:r w:rsidR="008B631E">
        <w:rPr>
          <w:rFonts w:eastAsia="等线" w:cs="Arial"/>
        </w:rPr>
        <w:t>ing</w:t>
      </w:r>
      <w:r w:rsidRPr="00E26C09">
        <w:rPr>
          <w:rFonts w:eastAsia="等线" w:cs="Arial"/>
        </w:rPr>
        <w:t xml:space="preserve"> multi-types of stakeholders should be emphasised. </w:t>
      </w:r>
      <w:r>
        <w:rPr>
          <w:rFonts w:eastAsia="等线" w:cs="Arial"/>
        </w:rPr>
        <w:t xml:space="preserve">Achieving </w:t>
      </w:r>
      <w:r w:rsidRPr="00E26C09">
        <w:rPr>
          <w:rFonts w:eastAsia="等线" w:cs="Arial"/>
        </w:rPr>
        <w:t xml:space="preserve">agreement of different stakeholders should </w:t>
      </w:r>
      <w:r>
        <w:rPr>
          <w:rFonts w:eastAsia="等线" w:cs="Arial"/>
        </w:rPr>
        <w:t>be c</w:t>
      </w:r>
      <w:r w:rsidRPr="00E26C09">
        <w:rPr>
          <w:rFonts w:eastAsia="等线" w:cs="Arial"/>
        </w:rPr>
        <w:t>onsider</w:t>
      </w:r>
      <w:r>
        <w:rPr>
          <w:rFonts w:eastAsia="等线" w:cs="Arial"/>
        </w:rPr>
        <w:t>ed</w:t>
      </w:r>
      <w:r w:rsidRPr="00E26C09">
        <w:rPr>
          <w:rFonts w:eastAsia="等线" w:cs="Arial"/>
        </w:rPr>
        <w:t xml:space="preserve"> as the approach to create value, rather than the outcome of the strategy planning. The strategy planners should reduce the transaction cost (profit loss) caused by the bargaining process between different stakeholders. However, </w:t>
      </w:r>
      <w:r>
        <w:rPr>
          <w:rFonts w:eastAsia="等线" w:cs="Arial"/>
        </w:rPr>
        <w:t xml:space="preserve">there is a common issue among </w:t>
      </w:r>
      <w:r w:rsidR="00C13CA3">
        <w:rPr>
          <w:rFonts w:eastAsia="等线" w:cs="Arial"/>
        </w:rPr>
        <w:t xml:space="preserve">the </w:t>
      </w:r>
      <w:r>
        <w:rPr>
          <w:rFonts w:eastAsia="等线" w:cs="Arial"/>
        </w:rPr>
        <w:t>above three</w:t>
      </w:r>
      <w:r w:rsidR="00E767E0">
        <w:rPr>
          <w:rFonts w:eastAsia="等线" w:cs="Arial"/>
        </w:rPr>
        <w:t xml:space="preserve"> </w:t>
      </w:r>
      <w:r>
        <w:rPr>
          <w:rFonts w:eastAsia="等线" w:cs="Arial"/>
        </w:rPr>
        <w:lastRenderedPageBreak/>
        <w:t>principles</w:t>
      </w:r>
      <w:r w:rsidR="00E767E0">
        <w:rPr>
          <w:rFonts w:eastAsia="等线" w:cs="Arial"/>
        </w:rPr>
        <w:t xml:space="preserve"> -</w:t>
      </w:r>
      <w:r>
        <w:rPr>
          <w:rFonts w:eastAsia="等线" w:cs="Arial"/>
        </w:rPr>
        <w:t xml:space="preserve"> that </w:t>
      </w:r>
      <w:r w:rsidRPr="00E26C09">
        <w:rPr>
          <w:rFonts w:eastAsia="等线" w:cs="Arial"/>
        </w:rPr>
        <w:t>no effective and normative method can</w:t>
      </w:r>
      <w:r>
        <w:rPr>
          <w:rFonts w:eastAsia="等线" w:cs="Arial"/>
        </w:rPr>
        <w:t xml:space="preserve"> be conducted to</w:t>
      </w:r>
      <w:r w:rsidRPr="00E26C09">
        <w:rPr>
          <w:rFonts w:eastAsia="等线" w:cs="Arial"/>
        </w:rPr>
        <w:t xml:space="preserve"> </w:t>
      </w:r>
      <w:r>
        <w:rPr>
          <w:rFonts w:eastAsia="等线" w:cs="Arial"/>
        </w:rPr>
        <w:t xml:space="preserve">balance </w:t>
      </w:r>
      <w:r w:rsidRPr="00E26C09">
        <w:rPr>
          <w:rFonts w:eastAsia="等线" w:cs="Arial"/>
        </w:rPr>
        <w:t xml:space="preserve">the interests of different stakeholders </w:t>
      </w:r>
      <w:r w:rsidR="00E767E0">
        <w:rPr>
          <w:rFonts w:eastAsia="等线" w:cs="Arial"/>
        </w:rPr>
        <w:t>at</w:t>
      </w:r>
      <w:r w:rsidRPr="00E26C09">
        <w:rPr>
          <w:rFonts w:eastAsia="等线" w:cs="Arial"/>
        </w:rPr>
        <w:t xml:space="preserve"> tactical level.</w:t>
      </w:r>
    </w:p>
    <w:p w14:paraId="15CD9A6F" w14:textId="701BC14D" w:rsidR="00D56E3F" w:rsidRPr="00E26C09" w:rsidRDefault="00D56E3F" w:rsidP="0039582D">
      <w:pPr>
        <w:pStyle w:val="Heading3"/>
      </w:pPr>
      <w:bookmarkStart w:id="513" w:name="_Toc46053435"/>
      <w:bookmarkStart w:id="514" w:name="_Toc46093349"/>
      <w:bookmarkStart w:id="515" w:name="_Toc46093632"/>
      <w:bookmarkStart w:id="516" w:name="_Toc66703207"/>
      <w:r w:rsidRPr="00E26C09">
        <w:t xml:space="preserve">Corporate </w:t>
      </w:r>
      <w:r w:rsidR="00335E50">
        <w:t>s</w:t>
      </w:r>
      <w:r w:rsidR="00335E50" w:rsidRPr="00E26C09">
        <w:t xml:space="preserve">ocial </w:t>
      </w:r>
      <w:r w:rsidR="00335E50">
        <w:t>r</w:t>
      </w:r>
      <w:r w:rsidR="00335E50" w:rsidRPr="00E26C09">
        <w:t xml:space="preserve">esponsibility </w:t>
      </w:r>
      <w:r w:rsidRPr="00E26C09">
        <w:t>(CSR)</w:t>
      </w:r>
      <w:bookmarkEnd w:id="513"/>
      <w:bookmarkEnd w:id="514"/>
      <w:bookmarkEnd w:id="515"/>
      <w:bookmarkEnd w:id="516"/>
    </w:p>
    <w:p w14:paraId="0BAA4F12" w14:textId="3A788F4B" w:rsidR="00D56E3F" w:rsidRPr="00E26C09" w:rsidRDefault="00D56E3F" w:rsidP="00D56E3F">
      <w:pPr>
        <w:spacing w:after="240" w:line="360" w:lineRule="auto"/>
        <w:rPr>
          <w:rFonts w:eastAsia="等线" w:cs="Arial"/>
          <w:i/>
          <w:iCs/>
        </w:rPr>
      </w:pPr>
      <w:r w:rsidRPr="00E26C09">
        <w:rPr>
          <w:rFonts w:eastAsia="等线" w:cs="Arial"/>
        </w:rPr>
        <w:t xml:space="preserve">In </w:t>
      </w:r>
      <w:r w:rsidR="00667F70">
        <w:rPr>
          <w:rFonts w:eastAsia="等线" w:cs="Arial"/>
        </w:rPr>
        <w:t>the</w:t>
      </w:r>
      <w:r w:rsidRPr="00E26C09">
        <w:rPr>
          <w:rFonts w:eastAsia="等线" w:cs="Arial"/>
        </w:rPr>
        <w:t>1960s, the concept of CSR arose at about the same time as the stakeholder theory. There is a large variety of definition</w:t>
      </w:r>
      <w:r>
        <w:rPr>
          <w:rFonts w:eastAsia="等线" w:cs="Arial"/>
        </w:rPr>
        <w:t>s</w:t>
      </w:r>
      <w:r w:rsidRPr="00E26C09">
        <w:rPr>
          <w:rFonts w:eastAsia="等线" w:cs="Arial"/>
        </w:rPr>
        <w:t xml:space="preserve"> of CSR </w:t>
      </w:r>
      <w:r>
        <w:rPr>
          <w:rFonts w:eastAsia="等线" w:cs="Arial"/>
        </w:rPr>
        <w:t>based on</w:t>
      </w:r>
      <w:r w:rsidRPr="00E26C09">
        <w:rPr>
          <w:rFonts w:eastAsia="等线" w:cs="Arial"/>
        </w:rPr>
        <w:t xml:space="preserve"> the standpoints. This research employs the CSR concept which </w:t>
      </w:r>
      <w:r w:rsidR="008B6377">
        <w:rPr>
          <w:rFonts w:eastAsia="等线" w:cs="Arial"/>
        </w:rPr>
        <w:t>is</w:t>
      </w:r>
      <w:r w:rsidRPr="00E26C09">
        <w:rPr>
          <w:rFonts w:eastAsia="等线" w:cs="Arial"/>
        </w:rPr>
        <w:t xml:space="preserve"> derived from the theory of ‘business ethics’, which requires the corporat</w:t>
      </w:r>
      <w:r w:rsidR="00BE63EC">
        <w:rPr>
          <w:rFonts w:eastAsia="等线" w:cs="Arial"/>
        </w:rPr>
        <w:t>ion</w:t>
      </w:r>
      <w:r w:rsidRPr="00E26C09">
        <w:rPr>
          <w:rFonts w:eastAsia="等线" w:cs="Arial"/>
        </w:rPr>
        <w:t xml:space="preserve"> to implement measures to undertake the responsibility for the society</w:t>
      </w:r>
      <w:r>
        <w:rPr>
          <w:rFonts w:eastAsia="等线" w:cs="Arial"/>
        </w:rPr>
        <w:t xml:space="preserve"> </w:t>
      </w:r>
      <w:r w:rsidRPr="00E26C09">
        <w:rPr>
          <w:rFonts w:eastAsia="等线" w:cs="Arial"/>
          <w:noProof/>
        </w:rPr>
        <w:t>(Freeman et al., 2010)</w:t>
      </w:r>
      <w:r w:rsidRPr="00E26C09">
        <w:rPr>
          <w:rFonts w:eastAsia="等线" w:cs="Arial"/>
        </w:rPr>
        <w:t xml:space="preserve">. </w:t>
      </w:r>
      <w:proofErr w:type="spellStart"/>
      <w:r w:rsidR="00B37F52">
        <w:rPr>
          <w:rFonts w:eastAsia="等线" w:cs="Arial"/>
        </w:rPr>
        <w:t>Specificically</w:t>
      </w:r>
      <w:proofErr w:type="spellEnd"/>
      <w:r w:rsidRPr="00E26C09">
        <w:rPr>
          <w:rFonts w:eastAsia="等线" w:cs="Arial"/>
        </w:rPr>
        <w:t>, investing additional resources to promote the development of society</w:t>
      </w:r>
      <w:r>
        <w:rPr>
          <w:rFonts w:eastAsia="等线" w:cs="Arial"/>
        </w:rPr>
        <w:t xml:space="preserve"> </w:t>
      </w:r>
      <w:r w:rsidRPr="00E26C09">
        <w:rPr>
          <w:rFonts w:eastAsia="等线" w:cs="Arial"/>
        </w:rPr>
        <w:t xml:space="preserve">regardless </w:t>
      </w:r>
      <w:r w:rsidR="00BE63EC">
        <w:rPr>
          <w:rFonts w:eastAsia="等线" w:cs="Arial"/>
        </w:rPr>
        <w:t xml:space="preserve">of </w:t>
      </w:r>
      <w:r w:rsidRPr="00E26C09">
        <w:rPr>
          <w:rFonts w:eastAsia="等线" w:cs="Arial"/>
        </w:rPr>
        <w:t xml:space="preserve">whether </w:t>
      </w:r>
      <w:r>
        <w:rPr>
          <w:rFonts w:eastAsia="等线" w:cs="Arial"/>
        </w:rPr>
        <w:t xml:space="preserve">it is </w:t>
      </w:r>
      <w:r w:rsidRPr="00E26C09">
        <w:rPr>
          <w:rFonts w:eastAsia="等线" w:cs="Arial"/>
        </w:rPr>
        <w:t>reward</w:t>
      </w:r>
      <w:r>
        <w:rPr>
          <w:rFonts w:eastAsia="等线" w:cs="Arial"/>
        </w:rPr>
        <w:t>ing</w:t>
      </w:r>
      <w:r w:rsidRPr="00E26C09">
        <w:rPr>
          <w:rFonts w:eastAsia="等线" w:cs="Arial"/>
        </w:rPr>
        <w:t xml:space="preserve"> for the company. On this basis, </w:t>
      </w:r>
      <w:r w:rsidR="00830976">
        <w:rPr>
          <w:rFonts w:eastAsia="等线" w:cs="Arial"/>
        </w:rPr>
        <w:t>this research</w:t>
      </w:r>
      <w:r w:rsidRPr="00E26C09">
        <w:rPr>
          <w:rFonts w:eastAsia="等线" w:cs="Arial"/>
        </w:rPr>
        <w:t xml:space="preserve"> accept</w:t>
      </w:r>
      <w:r w:rsidR="00830976">
        <w:rPr>
          <w:rFonts w:eastAsia="等线" w:cs="Arial"/>
        </w:rPr>
        <w:t>s</w:t>
      </w:r>
      <w:r w:rsidRPr="00E26C09">
        <w:rPr>
          <w:rFonts w:eastAsia="等线" w:cs="Arial"/>
        </w:rPr>
        <w:t xml:space="preserve"> the definition </w:t>
      </w:r>
      <w:r>
        <w:rPr>
          <w:rFonts w:eastAsia="等线" w:cs="Arial"/>
        </w:rPr>
        <w:t xml:space="preserve">from </w:t>
      </w:r>
      <w:r w:rsidR="007D438A">
        <w:rPr>
          <w:rFonts w:eastAsia="等线" w:cs="Arial"/>
          <w:noProof/>
        </w:rPr>
        <w:fldChar w:fldCharType="begin"/>
      </w:r>
      <w:r w:rsidR="00647E79">
        <w:rPr>
          <w:rFonts w:eastAsia="等线" w:cs="Arial"/>
          <w:noProof/>
        </w:rPr>
        <w:instrText xml:space="preserve"> ADDIN EN.CITE &lt;EndNote&gt;&lt;Cite AuthorYear="1"&gt;&lt;Author&gt;Sheehy&lt;/Author&gt;&lt;Year&gt;2015&lt;/Year&gt;&lt;RecNum&gt;273&lt;/RecNum&gt;&lt;DisplayText&gt;Sheehy (2015)&lt;/DisplayText&gt;&lt;record&gt;&lt;rec-number&gt;273&lt;/rec-number&gt;&lt;foreign-keys&gt;&lt;key app="EN" db-id="pzt5ep52hsedfpeext2pdfes0w0aswaewef2" timestamp="1605187998"&gt;273&lt;/key&gt;&lt;/foreign-keys&gt;&lt;ref-type name="Journal Article"&gt;17&lt;/ref-type&gt;&lt;contributors&gt;&lt;authors&gt;&lt;author&gt;Sheehy, Benedict&lt;/author&gt;&lt;/authors&gt;&lt;/contributors&gt;&lt;titles&gt;&lt;title&gt;Defining CSR: Problems and Solutions&lt;/title&gt;&lt;secondary-title&gt;Journal of Business Ethics&lt;/secondary-title&gt;&lt;/titles&gt;&lt;periodical&gt;&lt;full-title&gt;Journal of Business Ethics&lt;/full-title&gt;&lt;/periodical&gt;&lt;pages&gt;625-648&lt;/pages&gt;&lt;volume&gt;131&lt;/volume&gt;&lt;number&gt;3&lt;/number&gt;&lt;dates&gt;&lt;year&gt;2015&lt;/year&gt;&lt;pub-dates&gt;&lt;date&gt;2015/10/01&lt;/date&gt;&lt;/pub-dates&gt;&lt;/dates&gt;&lt;isbn&gt;1573-0697&lt;/isbn&gt;&lt;urls&gt;&lt;related-urls&gt;&lt;url&gt;https://doi.org/10.1007/s10551-014-2281-x&lt;/url&gt;&lt;/related-urls&gt;&lt;/urls&gt;&lt;electronic-resource-num&gt;10.1007/s10551-014-2281-x&lt;/electronic-resource-num&gt;&lt;/record&gt;&lt;/Cite&gt;&lt;/EndNote&gt;</w:instrText>
      </w:r>
      <w:r w:rsidR="007D438A">
        <w:rPr>
          <w:rFonts w:eastAsia="等线" w:cs="Arial"/>
          <w:noProof/>
        </w:rPr>
        <w:fldChar w:fldCharType="separate"/>
      </w:r>
      <w:r w:rsidR="007D438A">
        <w:rPr>
          <w:rFonts w:eastAsia="等线" w:cs="Arial"/>
          <w:noProof/>
        </w:rPr>
        <w:t>Sheehy (2015)</w:t>
      </w:r>
      <w:r w:rsidR="007D438A">
        <w:rPr>
          <w:rFonts w:eastAsia="等线" w:cs="Arial"/>
          <w:noProof/>
        </w:rPr>
        <w:fldChar w:fldCharType="end"/>
      </w:r>
      <w:r w:rsidRPr="00E26C09">
        <w:rPr>
          <w:rFonts w:eastAsia="等线" w:cs="Arial"/>
        </w:rPr>
        <w:t xml:space="preserve">: </w:t>
      </w:r>
      <w:r w:rsidRPr="00E26C09">
        <w:rPr>
          <w:rFonts w:eastAsia="等线" w:cs="Arial"/>
          <w:i/>
          <w:iCs/>
        </w:rPr>
        <w:t>CSR is</w:t>
      </w:r>
      <w:r w:rsidR="00BE63EC">
        <w:rPr>
          <w:rFonts w:eastAsia="等线" w:cs="Arial"/>
          <w:i/>
          <w:iCs/>
        </w:rPr>
        <w:t xml:space="preserve"> a</w:t>
      </w:r>
      <w:r w:rsidRPr="00E26C09">
        <w:rPr>
          <w:rFonts w:eastAsia="等线" w:cs="Arial"/>
          <w:i/>
          <w:iCs/>
        </w:rPr>
        <w:t> type of international private business self-regulation, that aims to contribute to societal goals of a philanthropic, activist, or charitable nature by engaging in or supporting volunteering or ethically-oriented practices.</w:t>
      </w:r>
    </w:p>
    <w:p w14:paraId="1FA8289A" w14:textId="58A8B541" w:rsidR="00D56E3F" w:rsidRPr="00E26C09" w:rsidRDefault="007D438A" w:rsidP="00D56E3F">
      <w:pPr>
        <w:spacing w:after="240" w:line="360" w:lineRule="auto"/>
        <w:rPr>
          <w:rFonts w:eastAsia="等线" w:cs="Arial"/>
        </w:rPr>
      </w:pPr>
      <w:r>
        <w:rPr>
          <w:rFonts w:eastAsia="等线" w:cs="Arial"/>
          <w:noProof/>
        </w:rPr>
        <w:fldChar w:fldCharType="begin"/>
      </w:r>
      <w:r w:rsidR="00647E79">
        <w:rPr>
          <w:rFonts w:eastAsia="等线" w:cs="Arial"/>
          <w:noProof/>
        </w:rPr>
        <w:instrText xml:space="preserve"> ADDIN EN.CITE &lt;EndNote&gt;&lt;Cite AuthorYear="1"&gt;&lt;Author&gt;Carroll&lt;/Author&gt;&lt;Year&gt;1979&lt;/Year&gt;&lt;RecNum&gt;274&lt;/RecNum&gt;&lt;DisplayText&gt;Carroll (1979)&lt;/DisplayText&gt;&lt;record&gt;&lt;rec-number&gt;274&lt;/rec-number&gt;&lt;foreign-keys&gt;&lt;key app="EN" db-id="pzt5ep52hsedfpeext2pdfes0w0aswaewef2" timestamp="1605187998"&gt;274&lt;/key&gt;&lt;/foreign-keys&gt;&lt;ref-type name="Journal Article"&gt;17&lt;/ref-type&gt;&lt;contributors&gt;&lt;authors&gt;&lt;author&gt;Carroll, Archie B&lt;/author&gt;&lt;/authors&gt;&lt;/contributors&gt;&lt;titles&gt;&lt;title&gt;A three-dimensional conceptual model of corporate performance&lt;/title&gt;&lt;secondary-title&gt;Academy of management review&lt;/secondary-title&gt;&lt;/titles&gt;&lt;periodical&gt;&lt;full-title&gt;Academy of management review&lt;/full-title&gt;&lt;/periodical&gt;&lt;pages&gt;497-505&lt;/pages&gt;&lt;volume&gt;4&lt;/volume&gt;&lt;number&gt;4&lt;/number&gt;&lt;dates&gt;&lt;year&gt;1979&lt;/year&gt;&lt;/dates&gt;&lt;isbn&gt;0363-7425&lt;/isbn&gt;&lt;urls&gt;&lt;/urls&gt;&lt;/record&gt;&lt;/Cite&gt;&lt;/EndNote&gt;</w:instrText>
      </w:r>
      <w:r>
        <w:rPr>
          <w:rFonts w:eastAsia="等线" w:cs="Arial"/>
          <w:noProof/>
        </w:rPr>
        <w:fldChar w:fldCharType="separate"/>
      </w:r>
      <w:r>
        <w:rPr>
          <w:rFonts w:eastAsia="等线" w:cs="Arial"/>
          <w:noProof/>
        </w:rPr>
        <w:t>Carroll (1979)</w:t>
      </w:r>
      <w:r>
        <w:rPr>
          <w:rFonts w:eastAsia="等线" w:cs="Arial"/>
          <w:noProof/>
        </w:rPr>
        <w:fldChar w:fldCharType="end"/>
      </w:r>
      <w:r w:rsidR="00D56E3F" w:rsidRPr="00E26C09">
        <w:rPr>
          <w:rFonts w:eastAsia="等线" w:cs="Arial"/>
        </w:rPr>
        <w:t xml:space="preserve"> indicates four categories of </w:t>
      </w:r>
      <w:r w:rsidR="003836BA">
        <w:rPr>
          <w:rFonts w:eastAsia="等线" w:cs="Arial"/>
        </w:rPr>
        <w:t>a</w:t>
      </w:r>
      <w:r w:rsidR="00D56E3F" w:rsidRPr="00E26C09">
        <w:rPr>
          <w:rFonts w:eastAsia="等线" w:cs="Arial"/>
        </w:rPr>
        <w:t xml:space="preserve"> firm</w:t>
      </w:r>
      <w:r w:rsidR="003836BA">
        <w:rPr>
          <w:rFonts w:eastAsia="等线" w:cs="Arial"/>
        </w:rPr>
        <w:t>’</w:t>
      </w:r>
      <w:r w:rsidR="00D56E3F" w:rsidRPr="00E26C09">
        <w:rPr>
          <w:rFonts w:eastAsia="等线" w:cs="Arial"/>
        </w:rPr>
        <w:t>s CSR</w:t>
      </w:r>
      <w:r w:rsidR="003836BA">
        <w:rPr>
          <w:rFonts w:eastAsia="等线" w:cs="Arial"/>
        </w:rPr>
        <w:t>,</w:t>
      </w:r>
      <w:r w:rsidR="00D56E3F" w:rsidRPr="00E26C09">
        <w:rPr>
          <w:rFonts w:eastAsia="等线" w:cs="Arial"/>
        </w:rPr>
        <w:t xml:space="preserve"> corresponding to various expectations from society</w:t>
      </w:r>
      <w:r w:rsidR="00D56E3F">
        <w:rPr>
          <w:rFonts w:eastAsia="等线" w:cs="Arial"/>
        </w:rPr>
        <w:t xml:space="preserve">, which </w:t>
      </w:r>
      <w:r w:rsidR="00D56E3F" w:rsidRPr="00E26C09">
        <w:rPr>
          <w:rFonts w:eastAsia="等线" w:cs="Arial"/>
        </w:rPr>
        <w:t>should include economic, legal, ethical, and discretionary aspects.</w:t>
      </w:r>
    </w:p>
    <w:tbl>
      <w:tblPr>
        <w:tblStyle w:val="TableGrid"/>
        <w:tblW w:w="0" w:type="auto"/>
        <w:tblLook w:val="04A0" w:firstRow="1" w:lastRow="0" w:firstColumn="1" w:lastColumn="0" w:noHBand="0" w:noVBand="1"/>
      </w:tblPr>
      <w:tblGrid>
        <w:gridCol w:w="1670"/>
        <w:gridCol w:w="7346"/>
      </w:tblGrid>
      <w:tr w:rsidR="00D56E3F" w:rsidRPr="00E26C09" w14:paraId="444E02DB" w14:textId="77777777" w:rsidTr="000A11CA">
        <w:tc>
          <w:tcPr>
            <w:tcW w:w="1670" w:type="dxa"/>
          </w:tcPr>
          <w:p w14:paraId="112A653A" w14:textId="77777777" w:rsidR="00D56E3F" w:rsidRPr="00E26C09" w:rsidRDefault="00D56E3F" w:rsidP="00351C14">
            <w:pPr>
              <w:spacing w:line="240" w:lineRule="auto"/>
              <w:jc w:val="center"/>
              <w:rPr>
                <w:rFonts w:eastAsia="等线" w:cs="Arial"/>
                <w:b/>
                <w:bCs/>
              </w:rPr>
            </w:pPr>
            <w:r w:rsidRPr="00E26C09">
              <w:rPr>
                <w:rFonts w:eastAsia="等线" w:cs="Arial"/>
                <w:b/>
                <w:bCs/>
              </w:rPr>
              <w:t>Categories</w:t>
            </w:r>
            <w:r>
              <w:rPr>
                <w:rFonts w:eastAsia="等线" w:cs="Arial"/>
                <w:b/>
                <w:bCs/>
              </w:rPr>
              <w:t xml:space="preserve"> </w:t>
            </w:r>
            <w:r>
              <w:rPr>
                <w:rFonts w:eastAsia="等线" w:cs="Arial" w:hint="eastAsia"/>
                <w:b/>
                <w:bCs/>
              </w:rPr>
              <w:t>o</w:t>
            </w:r>
            <w:r>
              <w:rPr>
                <w:rFonts w:eastAsia="等线" w:cs="Arial"/>
                <w:b/>
                <w:bCs/>
              </w:rPr>
              <w:t>f CSR</w:t>
            </w:r>
          </w:p>
        </w:tc>
        <w:tc>
          <w:tcPr>
            <w:tcW w:w="7346" w:type="dxa"/>
          </w:tcPr>
          <w:p w14:paraId="227A2E46" w14:textId="77777777" w:rsidR="00D56E3F" w:rsidRPr="00E26C09" w:rsidRDefault="00D56E3F" w:rsidP="00351C14">
            <w:pPr>
              <w:spacing w:line="240" w:lineRule="auto"/>
              <w:jc w:val="center"/>
              <w:rPr>
                <w:rFonts w:eastAsia="等线" w:cs="Arial"/>
                <w:b/>
                <w:bCs/>
              </w:rPr>
            </w:pPr>
            <w:r w:rsidRPr="00E26C09">
              <w:rPr>
                <w:rFonts w:eastAsia="等线" w:cs="Arial"/>
                <w:b/>
                <w:bCs/>
              </w:rPr>
              <w:t>Details</w:t>
            </w:r>
          </w:p>
        </w:tc>
      </w:tr>
      <w:tr w:rsidR="00D56E3F" w:rsidRPr="00E26C09" w14:paraId="0780D9EB" w14:textId="77777777" w:rsidTr="000A11CA">
        <w:tc>
          <w:tcPr>
            <w:tcW w:w="1670" w:type="dxa"/>
            <w:vAlign w:val="center"/>
          </w:tcPr>
          <w:p w14:paraId="7FD053B6" w14:textId="77777777" w:rsidR="00D56E3F" w:rsidRPr="00E26C09" w:rsidRDefault="00D56E3F" w:rsidP="00351C14">
            <w:pPr>
              <w:spacing w:line="240" w:lineRule="auto"/>
              <w:jc w:val="left"/>
              <w:rPr>
                <w:rFonts w:eastAsia="等线" w:cs="Arial"/>
              </w:rPr>
            </w:pPr>
            <w:r w:rsidRPr="00E26C09">
              <w:rPr>
                <w:rFonts w:eastAsia="等线" w:cs="Arial"/>
              </w:rPr>
              <w:t>economic responsibilities</w:t>
            </w:r>
          </w:p>
        </w:tc>
        <w:tc>
          <w:tcPr>
            <w:tcW w:w="7346" w:type="dxa"/>
          </w:tcPr>
          <w:p w14:paraId="76286A3F" w14:textId="77777777" w:rsidR="00D56E3F" w:rsidRPr="00E26C09" w:rsidRDefault="00D56E3F" w:rsidP="00351C14">
            <w:pPr>
              <w:spacing w:line="240" w:lineRule="auto"/>
              <w:jc w:val="left"/>
              <w:rPr>
                <w:rFonts w:eastAsia="等线" w:cs="Arial"/>
              </w:rPr>
            </w:pPr>
            <w:r w:rsidRPr="00E26C09">
              <w:rPr>
                <w:rFonts w:eastAsia="等线" w:cs="Arial"/>
              </w:rPr>
              <w:t>the basic obligations of business to produce goods and services that society wants and to sell them at a profit</w:t>
            </w:r>
          </w:p>
        </w:tc>
      </w:tr>
      <w:tr w:rsidR="00D56E3F" w:rsidRPr="00E26C09" w14:paraId="43AE18F6" w14:textId="77777777" w:rsidTr="000A11CA">
        <w:tc>
          <w:tcPr>
            <w:tcW w:w="1670" w:type="dxa"/>
            <w:vAlign w:val="center"/>
          </w:tcPr>
          <w:p w14:paraId="7534B68E" w14:textId="77777777" w:rsidR="00D56E3F" w:rsidRPr="00E26C09" w:rsidRDefault="00D56E3F" w:rsidP="00351C14">
            <w:pPr>
              <w:spacing w:line="240" w:lineRule="auto"/>
              <w:jc w:val="left"/>
              <w:rPr>
                <w:rFonts w:eastAsia="等线" w:cs="Arial"/>
              </w:rPr>
            </w:pPr>
            <w:r w:rsidRPr="00E26C09">
              <w:rPr>
                <w:rFonts w:eastAsia="等线" w:cs="Arial"/>
              </w:rPr>
              <w:t>legal responsibilities</w:t>
            </w:r>
          </w:p>
        </w:tc>
        <w:tc>
          <w:tcPr>
            <w:tcW w:w="7346" w:type="dxa"/>
          </w:tcPr>
          <w:p w14:paraId="024C498B" w14:textId="77777777" w:rsidR="00D56E3F" w:rsidRPr="00E26C09" w:rsidRDefault="00D56E3F" w:rsidP="00351C14">
            <w:pPr>
              <w:spacing w:line="240" w:lineRule="auto"/>
              <w:jc w:val="left"/>
              <w:rPr>
                <w:rFonts w:eastAsia="等线" w:cs="Arial"/>
              </w:rPr>
            </w:pPr>
            <w:r w:rsidRPr="00E26C09">
              <w:rPr>
                <w:rFonts w:eastAsia="等线" w:cs="Arial"/>
              </w:rPr>
              <w:t>the idea that corporations should respect – as part of the “social contract” between business and society – “the ground rules – the laws and regulations – under which business is expected to operate</w:t>
            </w:r>
          </w:p>
        </w:tc>
      </w:tr>
      <w:tr w:rsidR="00D56E3F" w:rsidRPr="00E26C09" w14:paraId="13159D35" w14:textId="77777777" w:rsidTr="000A11CA">
        <w:tc>
          <w:tcPr>
            <w:tcW w:w="1670" w:type="dxa"/>
            <w:vAlign w:val="center"/>
          </w:tcPr>
          <w:p w14:paraId="09006971" w14:textId="77777777" w:rsidR="00D56E3F" w:rsidRPr="00E26C09" w:rsidRDefault="00D56E3F" w:rsidP="00351C14">
            <w:pPr>
              <w:spacing w:line="240" w:lineRule="auto"/>
              <w:jc w:val="left"/>
              <w:rPr>
                <w:rFonts w:eastAsia="等线" w:cs="Arial"/>
              </w:rPr>
            </w:pPr>
            <w:r w:rsidRPr="00E26C09">
              <w:rPr>
                <w:rFonts w:eastAsia="等线" w:cs="Arial"/>
              </w:rPr>
              <w:t>ethical responsibilities</w:t>
            </w:r>
          </w:p>
        </w:tc>
        <w:tc>
          <w:tcPr>
            <w:tcW w:w="7346" w:type="dxa"/>
          </w:tcPr>
          <w:p w14:paraId="6FD9D6E2" w14:textId="77777777" w:rsidR="00D56E3F" w:rsidRPr="00E26C09" w:rsidRDefault="00D56E3F" w:rsidP="00351C14">
            <w:pPr>
              <w:spacing w:line="240" w:lineRule="auto"/>
              <w:jc w:val="left"/>
              <w:rPr>
                <w:rFonts w:eastAsia="等线" w:cs="Arial"/>
              </w:rPr>
            </w:pPr>
            <w:r w:rsidRPr="00E26C09">
              <w:rPr>
                <w:rFonts w:eastAsia="等线" w:cs="Arial"/>
              </w:rPr>
              <w:t xml:space="preserve">beyond economic and legal requirements, business should consider “additional </w:t>
            </w:r>
            <w:proofErr w:type="spellStart"/>
            <w:r w:rsidRPr="00E26C09">
              <w:rPr>
                <w:rFonts w:eastAsia="等线" w:cs="Arial"/>
              </w:rPr>
              <w:t>behaviour</w:t>
            </w:r>
            <w:proofErr w:type="spellEnd"/>
            <w:r w:rsidRPr="00E26C09">
              <w:rPr>
                <w:rFonts w:eastAsia="等线" w:cs="Arial"/>
              </w:rPr>
              <w:t xml:space="preserve"> and activities that are not necessarily codified into law but nevertheless are expected of business and society’s members</w:t>
            </w:r>
          </w:p>
        </w:tc>
      </w:tr>
      <w:tr w:rsidR="00D56E3F" w:rsidRPr="00E26C09" w14:paraId="29DA6573" w14:textId="77777777" w:rsidTr="000A11CA">
        <w:tc>
          <w:tcPr>
            <w:tcW w:w="1670" w:type="dxa"/>
            <w:vAlign w:val="center"/>
          </w:tcPr>
          <w:p w14:paraId="3F3CAC88" w14:textId="77777777" w:rsidR="00D56E3F" w:rsidRPr="00E26C09" w:rsidRDefault="00D56E3F" w:rsidP="00351C14">
            <w:pPr>
              <w:spacing w:line="240" w:lineRule="auto"/>
              <w:jc w:val="left"/>
              <w:rPr>
                <w:rFonts w:eastAsia="等线" w:cs="Arial"/>
              </w:rPr>
            </w:pPr>
            <w:r w:rsidRPr="00E26C09">
              <w:rPr>
                <w:rFonts w:eastAsia="等线" w:cs="Arial"/>
              </w:rPr>
              <w:t>discretionary responsibilities</w:t>
            </w:r>
          </w:p>
        </w:tc>
        <w:tc>
          <w:tcPr>
            <w:tcW w:w="7346" w:type="dxa"/>
          </w:tcPr>
          <w:p w14:paraId="15B3B2AD" w14:textId="77777777" w:rsidR="00D56E3F" w:rsidRPr="00E26C09" w:rsidRDefault="00D56E3F" w:rsidP="00351C14">
            <w:pPr>
              <w:spacing w:line="240" w:lineRule="auto"/>
              <w:jc w:val="left"/>
              <w:rPr>
                <w:rFonts w:eastAsia="等线" w:cs="Arial"/>
              </w:rPr>
            </w:pPr>
            <w:r w:rsidRPr="00E26C09">
              <w:rPr>
                <w:rFonts w:eastAsia="等线" w:cs="Arial"/>
              </w:rPr>
              <w:t>those responsibilities that are “at business discretion” – such as making a philanthropic contribution – since they do not respond to a clearly defined need or expectations by society (avoiding donating to a charity would not be considered a violation of an ethical norm), but still do respond to general societal expectations.</w:t>
            </w:r>
          </w:p>
        </w:tc>
      </w:tr>
    </w:tbl>
    <w:p w14:paraId="3A72B502" w14:textId="0E2A9020" w:rsidR="00D56E3F" w:rsidRPr="006D05E5" w:rsidRDefault="007B5959" w:rsidP="006D05E5">
      <w:pPr>
        <w:pStyle w:val="Caption"/>
        <w:spacing w:after="0" w:line="360" w:lineRule="auto"/>
        <w:rPr>
          <w:rFonts w:cs="Times New Roman"/>
        </w:rPr>
      </w:pPr>
      <w:bookmarkStart w:id="517" w:name="_Toc46053552"/>
      <w:bookmarkStart w:id="518" w:name="_Toc46093801"/>
      <w:bookmarkStart w:id="519" w:name="_Toc66698769"/>
      <w:r w:rsidRPr="006D05E5">
        <w:rPr>
          <w:rFonts w:cs="Times New Roman"/>
        </w:rPr>
        <w:t>Table</w:t>
      </w:r>
      <w:r w:rsidR="00D56E3F" w:rsidRPr="006D05E5">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3</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2</w:t>
      </w:r>
      <w:r w:rsidR="00FE10DA">
        <w:rPr>
          <w:rFonts w:cs="Times New Roman"/>
        </w:rPr>
        <w:fldChar w:fldCharType="end"/>
      </w:r>
      <w:r w:rsidR="00AF217C" w:rsidRPr="006D05E5">
        <w:rPr>
          <w:rFonts w:cs="Times New Roman"/>
        </w:rPr>
        <w:t xml:space="preserve">: </w:t>
      </w:r>
      <w:r w:rsidR="00D56E3F" w:rsidRPr="006D05E5">
        <w:rPr>
          <w:rFonts w:cs="Times New Roman"/>
        </w:rPr>
        <w:t>Types of CSR</w:t>
      </w:r>
      <w:bookmarkEnd w:id="517"/>
      <w:bookmarkEnd w:id="518"/>
      <w:bookmarkEnd w:id="519"/>
    </w:p>
    <w:p w14:paraId="5D96EB76" w14:textId="7E8254AC" w:rsidR="00D56E3F" w:rsidRPr="00E26C09" w:rsidRDefault="00D56E3F" w:rsidP="00D56E3F">
      <w:pPr>
        <w:spacing w:after="240" w:line="360" w:lineRule="auto"/>
        <w:rPr>
          <w:rFonts w:eastAsia="等线" w:cs="Arial"/>
        </w:rPr>
      </w:pPr>
      <w:r w:rsidRPr="00E26C09">
        <w:rPr>
          <w:rFonts w:eastAsia="等线" w:cs="Arial"/>
        </w:rPr>
        <w:t xml:space="preserve">According to the summarising </w:t>
      </w:r>
      <w:r>
        <w:rPr>
          <w:rFonts w:eastAsia="等线" w:cs="Arial"/>
        </w:rPr>
        <w:t xml:space="preserve">from </w:t>
      </w:r>
      <w:r w:rsidRPr="00E26C09">
        <w:rPr>
          <w:rFonts w:eastAsia="等线" w:cs="Arial"/>
        </w:rPr>
        <w:t xml:space="preserve">Freeman (2010), CSR </w:t>
      </w:r>
      <w:r>
        <w:rPr>
          <w:rFonts w:eastAsia="等线" w:cs="Arial"/>
        </w:rPr>
        <w:t xml:space="preserve">can be reflected </w:t>
      </w:r>
      <w:r w:rsidR="00BF51B4">
        <w:rPr>
          <w:rFonts w:eastAsia="等线" w:cs="Arial"/>
        </w:rPr>
        <w:t xml:space="preserve">on </w:t>
      </w:r>
      <w:r>
        <w:rPr>
          <w:rFonts w:eastAsia="等线" w:cs="Arial"/>
        </w:rPr>
        <w:t>as</w:t>
      </w:r>
      <w:r w:rsidRPr="00E26C09">
        <w:rPr>
          <w:rFonts w:eastAsia="等线" w:cs="Arial"/>
        </w:rPr>
        <w:t xml:space="preserve"> </w:t>
      </w:r>
      <w:r w:rsidRPr="00601661">
        <w:rPr>
          <w:rFonts w:eastAsia="等线" w:cs="Arial"/>
          <w:i/>
          <w:iCs/>
        </w:rPr>
        <w:t xml:space="preserve">applying the concept of stakeholder theory to non-traditional stakeholder groups which are usually </w:t>
      </w:r>
      <w:r w:rsidRPr="00601661">
        <w:rPr>
          <w:rFonts w:eastAsia="等线" w:cs="Arial" w:hint="eastAsia"/>
          <w:i/>
          <w:iCs/>
        </w:rPr>
        <w:t>deemed</w:t>
      </w:r>
      <w:r w:rsidR="00BF51B4">
        <w:rPr>
          <w:rFonts w:eastAsia="等线" w:cs="Arial"/>
          <w:i/>
          <w:iCs/>
        </w:rPr>
        <w:t xml:space="preserve"> as</w:t>
      </w:r>
      <w:r w:rsidRPr="00601661">
        <w:rPr>
          <w:rFonts w:eastAsia="等线" w:cs="Arial"/>
          <w:i/>
          <w:iCs/>
        </w:rPr>
        <w:t xml:space="preserve"> having an adversarial impact on the ﬁrm</w:t>
      </w:r>
      <w:r w:rsidRPr="00E26C09">
        <w:rPr>
          <w:rFonts w:eastAsia="等线" w:cs="Arial"/>
        </w:rPr>
        <w:t xml:space="preserve">. Implementing CSR in </w:t>
      </w:r>
      <w:r w:rsidR="00BF51B4">
        <w:rPr>
          <w:rFonts w:eastAsia="等线" w:cs="Arial"/>
        </w:rPr>
        <w:t>a</w:t>
      </w:r>
      <w:r w:rsidRPr="00E26C09">
        <w:rPr>
          <w:rFonts w:eastAsia="等线" w:cs="Arial"/>
        </w:rPr>
        <w:t xml:space="preserve"> firm requires executives to abandon the ‘maximising profit’ logic. Therefore, for a community with multiple stakeholders, the overall objectives of these stakeholders should also be extended from </w:t>
      </w:r>
      <w:r w:rsidR="00960D3A">
        <w:rPr>
          <w:rFonts w:eastAsia="等线" w:cs="Arial"/>
        </w:rPr>
        <w:t xml:space="preserve">just the </w:t>
      </w:r>
      <w:r w:rsidRPr="00E26C09">
        <w:rPr>
          <w:rFonts w:eastAsia="等线" w:cs="Arial"/>
        </w:rPr>
        <w:t xml:space="preserve">economic area so that </w:t>
      </w:r>
      <w:r>
        <w:rPr>
          <w:rFonts w:eastAsia="等线" w:cs="Arial"/>
        </w:rPr>
        <w:t>stakeholder</w:t>
      </w:r>
      <w:r w:rsidR="00960D3A">
        <w:rPr>
          <w:rFonts w:eastAsia="等线" w:cs="Arial"/>
        </w:rPr>
        <w:t>s</w:t>
      </w:r>
      <w:r>
        <w:rPr>
          <w:rFonts w:eastAsia="等线" w:cs="Arial"/>
        </w:rPr>
        <w:t xml:space="preserve"> should </w:t>
      </w:r>
      <w:r w:rsidRPr="00E26C09">
        <w:rPr>
          <w:rFonts w:eastAsia="等线" w:cs="Arial"/>
        </w:rPr>
        <w:t>hav</w:t>
      </w:r>
      <w:r>
        <w:rPr>
          <w:rFonts w:eastAsia="等线" w:cs="Arial"/>
        </w:rPr>
        <w:t>e</w:t>
      </w:r>
      <w:r w:rsidRPr="00E26C09">
        <w:rPr>
          <w:rFonts w:eastAsia="等线" w:cs="Arial"/>
        </w:rPr>
        <w:t xml:space="preserve"> an obligation for social development. In the </w:t>
      </w:r>
      <w:r w:rsidRPr="00E26C09">
        <w:rPr>
          <w:rFonts w:eastAsia="等线" w:cs="Arial"/>
        </w:rPr>
        <w:lastRenderedPageBreak/>
        <w:t>economic aspect, undertak</w:t>
      </w:r>
      <w:r>
        <w:rPr>
          <w:rFonts w:eastAsia="等线" w:cs="Arial"/>
        </w:rPr>
        <w:t>ing</w:t>
      </w:r>
      <w:r w:rsidRPr="00E26C09">
        <w:rPr>
          <w:rFonts w:eastAsia="等线" w:cs="Arial"/>
        </w:rPr>
        <w:t xml:space="preserve"> CSR could be consider</w:t>
      </w:r>
      <w:r>
        <w:rPr>
          <w:rFonts w:eastAsia="等线" w:cs="Arial"/>
        </w:rPr>
        <w:t>ed</w:t>
      </w:r>
      <w:r w:rsidRPr="00E26C09">
        <w:rPr>
          <w:rFonts w:eastAsia="等线" w:cs="Arial"/>
        </w:rPr>
        <w:t xml:space="preserve"> as a tool which enables the firm</w:t>
      </w:r>
      <w:r w:rsidRPr="00E26C09">
        <w:rPr>
          <w:rFonts w:eastAsia="等线" w:cs="Arial"/>
          <w:i/>
          <w:iCs/>
        </w:rPr>
        <w:t xml:space="preserve"> </w:t>
      </w:r>
      <w:r w:rsidR="00960D3A">
        <w:rPr>
          <w:rFonts w:eastAsia="等线" w:cs="Arial"/>
          <w:i/>
          <w:iCs/>
        </w:rPr>
        <w:t xml:space="preserve">to </w:t>
      </w:r>
      <w:r w:rsidRPr="00E26C09">
        <w:rPr>
          <w:rFonts w:eastAsia="等线" w:cs="Arial"/>
          <w:i/>
          <w:iCs/>
        </w:rPr>
        <w:t>respond successfully to an uncertain and continuously changing economic, social, and political environment.</w:t>
      </w:r>
      <w:r w:rsidRPr="00E26C09">
        <w:rPr>
          <w:rFonts w:eastAsia="等线" w:cs="Arial"/>
        </w:rPr>
        <w:t xml:space="preserve"> Based on this, the CSR could be an action to increase the firm’s reputation and market opportunities </w:t>
      </w:r>
      <w:r w:rsidR="007D438A">
        <w:rPr>
          <w:rFonts w:eastAsia="等线" w:cs="Arial"/>
          <w:noProof/>
        </w:rPr>
        <w:fldChar w:fldCharType="begin"/>
      </w:r>
      <w:r w:rsidR="00647E79">
        <w:rPr>
          <w:rFonts w:eastAsia="等线" w:cs="Arial"/>
          <w:noProof/>
        </w:rPr>
        <w:instrText xml:space="preserve"> ADDIN EN.CITE &lt;EndNote&gt;&lt;Cite&gt;&lt;Author&gt;Venkataraman&lt;/Author&gt;&lt;Year&gt;1997&lt;/Year&gt;&lt;RecNum&gt;275&lt;/RecNum&gt;&lt;DisplayText&gt;(Venkataraman, 1997)&lt;/DisplayText&gt;&lt;record&gt;&lt;rec-number&gt;275&lt;/rec-number&gt;&lt;foreign-keys&gt;&lt;key app="EN" db-id="pzt5ep52hsedfpeext2pdfes0w0aswaewef2" timestamp="1605187998"&gt;275&lt;/key&gt;&lt;/foreign-keys&gt;&lt;ref-type name="Journal Article"&gt;17&lt;/ref-type&gt;&lt;contributors&gt;&lt;authors&gt;&lt;author&gt;Venkataraman, Sankaran&lt;/author&gt;&lt;/authors&gt;&lt;/contributors&gt;&lt;titles&gt;&lt;title&gt;The distinctive domain of entrepreneurship research&lt;/title&gt;&lt;secondary-title&gt;Seminal ideas for the next twenty-five years of advances&lt;/secondary-title&gt;&lt;/titles&gt;&lt;periodical&gt;&lt;full-title&gt;Seminal ideas for the next twenty-five years of advances&lt;/full-title&gt;&lt;/periodical&gt;&lt;pages&gt;5-20&lt;/pages&gt;&lt;dates&gt;&lt;year&gt;1997&lt;/year&gt;&lt;/dates&gt;&lt;urls&gt;&lt;/urls&gt;&lt;/record&gt;&lt;/Cite&gt;&lt;/EndNote&gt;</w:instrText>
      </w:r>
      <w:r w:rsidR="007D438A">
        <w:rPr>
          <w:rFonts w:eastAsia="等线" w:cs="Arial"/>
          <w:noProof/>
        </w:rPr>
        <w:fldChar w:fldCharType="separate"/>
      </w:r>
      <w:r w:rsidR="007D438A">
        <w:rPr>
          <w:rFonts w:eastAsia="等线" w:cs="Arial"/>
          <w:noProof/>
        </w:rPr>
        <w:t>(Venkataraman, 1997)</w:t>
      </w:r>
      <w:r w:rsidR="007D438A">
        <w:rPr>
          <w:rFonts w:eastAsia="等线" w:cs="Arial"/>
          <w:noProof/>
        </w:rPr>
        <w:fldChar w:fldCharType="end"/>
      </w:r>
      <w:r w:rsidRPr="00E26C09">
        <w:rPr>
          <w:rFonts w:eastAsia="等线" w:cs="Arial"/>
        </w:rPr>
        <w:t xml:space="preserve">. </w:t>
      </w:r>
      <w:r w:rsidR="007D438A">
        <w:rPr>
          <w:rFonts w:eastAsia="等线" w:cs="Arial"/>
          <w:noProof/>
        </w:rPr>
        <w:fldChar w:fldCharType="begin"/>
      </w:r>
      <w:r w:rsidR="00647E79">
        <w:rPr>
          <w:rFonts w:eastAsia="等线" w:cs="Arial"/>
          <w:noProof/>
        </w:rPr>
        <w:instrText xml:space="preserve"> ADDIN EN.CITE &lt;EndNote&gt;&lt;Cite AuthorYear="1"&gt;&lt;Author&gt;Ackerman&lt;/Author&gt;&lt;Year&gt;1973&lt;/Year&gt;&lt;RecNum&gt;276&lt;/RecNum&gt;&lt;DisplayText&gt;Ackerman (1973)&lt;/DisplayText&gt;&lt;record&gt;&lt;rec-number&gt;276&lt;/rec-number&gt;&lt;foreign-keys&gt;&lt;key app="EN" db-id="pzt5ep52hsedfpeext2pdfes0w0aswaewef2" timestamp="1605187998"&gt;276&lt;/key&gt;&lt;/foreign-keys&gt;&lt;ref-type name="Journal Article"&gt;17&lt;/ref-type&gt;&lt;contributors&gt;&lt;authors&gt;&lt;author&gt;Ackerman, Robert W&lt;/author&gt;&lt;/authors&gt;&lt;/contributors&gt;&lt;titles&gt;&lt;title&gt;How companies respond to social demands&lt;/title&gt;&lt;secondary-title&gt;Harvard business review&lt;/secondary-title&gt;&lt;/titles&gt;&lt;periodical&gt;&lt;full-title&gt;Harvard business review&lt;/full-title&gt;&lt;/periodical&gt;&lt;pages&gt;88-98&lt;/pages&gt;&lt;volume&gt;51&lt;/volume&gt;&lt;number&gt;4&lt;/number&gt;&lt;dates&gt;&lt;year&gt;1973&lt;/year&gt;&lt;/dates&gt;&lt;isbn&gt;0017-8012&lt;/isbn&gt;&lt;urls&gt;&lt;/urls&gt;&lt;/record&gt;&lt;/Cite&gt;&lt;/EndNote&gt;</w:instrText>
      </w:r>
      <w:r w:rsidR="007D438A">
        <w:rPr>
          <w:rFonts w:eastAsia="等线" w:cs="Arial"/>
          <w:noProof/>
        </w:rPr>
        <w:fldChar w:fldCharType="separate"/>
      </w:r>
      <w:r w:rsidR="007D438A">
        <w:rPr>
          <w:rFonts w:eastAsia="等线" w:cs="Arial"/>
          <w:noProof/>
        </w:rPr>
        <w:t>Ackerman (1973)</w:t>
      </w:r>
      <w:r w:rsidR="007D438A">
        <w:rPr>
          <w:rFonts w:eastAsia="等线" w:cs="Arial"/>
          <w:noProof/>
        </w:rPr>
        <w:fldChar w:fldCharType="end"/>
      </w:r>
      <w:r w:rsidRPr="00E26C09">
        <w:rPr>
          <w:rFonts w:eastAsia="等线" w:cs="Arial"/>
        </w:rPr>
        <w:t xml:space="preserve"> </w:t>
      </w:r>
      <w:r w:rsidRPr="00E26C09">
        <w:rPr>
          <w:rFonts w:eastAsia="等线" w:cs="Arial" w:hint="eastAsia"/>
        </w:rPr>
        <w:t>indicates</w:t>
      </w:r>
      <w:r w:rsidRPr="00E26C09">
        <w:rPr>
          <w:rFonts w:eastAsia="等线" w:cs="Arial"/>
        </w:rPr>
        <w:t xml:space="preserve"> that the successful firms will be those that can achieve both social responsiveness and good economic performance in the future. </w:t>
      </w:r>
      <w:r w:rsidRPr="00E26C09">
        <w:rPr>
          <w:rFonts w:eastAsia="等线" w:cs="Arial" w:hint="eastAsia"/>
        </w:rPr>
        <w:t>M</w:t>
      </w:r>
      <w:r w:rsidRPr="00E26C09">
        <w:rPr>
          <w:rFonts w:eastAsia="等线" w:cs="Arial"/>
        </w:rPr>
        <w:t>any studies (summarised by Freeman (2010)) also demonstrate that there is a positive correlation (</w:t>
      </w:r>
      <w:r w:rsidRPr="00E26C09">
        <w:rPr>
          <w:rFonts w:eastAsia="等线" w:cs="Arial" w:hint="eastAsia"/>
        </w:rPr>
        <w:t>maybe</w:t>
      </w:r>
      <w:r w:rsidRPr="00E26C09">
        <w:rPr>
          <w:rFonts w:eastAsia="等线" w:cs="Arial"/>
        </w:rPr>
        <w:t xml:space="preserve"> </w:t>
      </w:r>
      <w:r w:rsidRPr="00E26C09">
        <w:rPr>
          <w:rFonts w:eastAsia="等线" w:cs="Arial" w:hint="eastAsia"/>
        </w:rPr>
        <w:t>very</w:t>
      </w:r>
      <w:r w:rsidRPr="00E26C09">
        <w:rPr>
          <w:rFonts w:eastAsia="等线" w:cs="Arial"/>
        </w:rPr>
        <w:t xml:space="preserve"> </w:t>
      </w:r>
      <w:r w:rsidRPr="00E26C09">
        <w:rPr>
          <w:rFonts w:eastAsia="等线" w:cs="Arial" w:hint="eastAsia"/>
        </w:rPr>
        <w:t>slight)</w:t>
      </w:r>
      <w:r w:rsidRPr="00E26C09">
        <w:rPr>
          <w:rFonts w:eastAsia="等线" w:cs="Arial"/>
        </w:rPr>
        <w:t xml:space="preserve"> between the ‘social’ and ‘economic’ dimensions of business. Therefore, </w:t>
      </w:r>
      <w:r w:rsidR="00F76067">
        <w:rPr>
          <w:rFonts w:eastAsia="等线" w:cs="Arial"/>
        </w:rPr>
        <w:t>i</w:t>
      </w:r>
      <w:r w:rsidRPr="00E26C09">
        <w:rPr>
          <w:rFonts w:eastAsia="等线" w:cs="Arial"/>
        </w:rPr>
        <w:t xml:space="preserve">nvesting </w:t>
      </w:r>
      <w:r w:rsidR="00F76067">
        <w:rPr>
          <w:rFonts w:eastAsia="等线" w:cs="Arial"/>
        </w:rPr>
        <w:t xml:space="preserve">in </w:t>
      </w:r>
      <w:r w:rsidRPr="00E26C09">
        <w:rPr>
          <w:rFonts w:eastAsia="等线" w:cs="Arial"/>
        </w:rPr>
        <w:t>the CSR could be consider</w:t>
      </w:r>
      <w:r>
        <w:rPr>
          <w:rFonts w:eastAsia="等线" w:cs="Arial"/>
        </w:rPr>
        <w:t>ed</w:t>
      </w:r>
      <w:r w:rsidRPr="00E26C09">
        <w:rPr>
          <w:rFonts w:eastAsia="等线" w:cs="Arial"/>
        </w:rPr>
        <w:t xml:space="preserve"> as pursuing the benefits from the future.</w:t>
      </w:r>
    </w:p>
    <w:p w14:paraId="01D3F0A0" w14:textId="5D60CA88" w:rsidR="00D56E3F" w:rsidRPr="00E26C09" w:rsidRDefault="007D438A" w:rsidP="00D56E3F">
      <w:pPr>
        <w:spacing w:after="240" w:line="360" w:lineRule="auto"/>
        <w:rPr>
          <w:rFonts w:eastAsia="等线" w:cs="Arial"/>
        </w:rPr>
      </w:pPr>
      <w:r>
        <w:rPr>
          <w:rFonts w:eastAsia="等线" w:cs="Arial"/>
          <w:noProof/>
        </w:rPr>
        <w:fldChar w:fldCharType="begin"/>
      </w:r>
      <w:r w:rsidR="00647E79">
        <w:rPr>
          <w:rFonts w:eastAsia="等线" w:cs="Arial"/>
          <w:noProof/>
        </w:rPr>
        <w:instrText xml:space="preserve"> ADDIN EN.CITE &lt;EndNote&gt;&lt;Cite AuthorYear="1"&gt;&lt;Author&gt;Munilla&lt;/Author&gt;&lt;Year&gt;2005&lt;/Year&gt;&lt;RecNum&gt;277&lt;/RecNum&gt;&lt;DisplayText&gt;Munilla and Miles (2005)&lt;/DisplayText&gt;&lt;record&gt;&lt;rec-number&gt;277&lt;/rec-number&gt;&lt;foreign-keys&gt;&lt;key app="EN" db-id="pzt5ep52hsedfpeext2pdfes0w0aswaewef2" timestamp="1605187998"&gt;277&lt;/key&gt;&lt;/foreign-keys&gt;&lt;ref-type name="Journal Article"&gt;17&lt;/ref-type&gt;&lt;contributors&gt;&lt;authors&gt;&lt;author&gt;Munilla, Linda S&lt;/author&gt;&lt;author&gt;Miles, Morgan P&lt;/author&gt;&lt;/authors&gt;&lt;/contributors&gt;&lt;titles&gt;&lt;title&gt;The corporate social responsibility continuum as a component of stakeholder theory&lt;/title&gt;&lt;secondary-title&gt;Business and society review&lt;/secondary-title&gt;&lt;/titles&gt;&lt;periodical&gt;&lt;full-title&gt;Business and society review&lt;/full-title&gt;&lt;/periodical&gt;&lt;pages&gt;371-387&lt;/pages&gt;&lt;volume&gt;110&lt;/volume&gt;&lt;number&gt;4&lt;/number&gt;&lt;dates&gt;&lt;year&gt;2005&lt;/year&gt;&lt;/dates&gt;&lt;isbn&gt;0045-3609&lt;/isbn&gt;&lt;urls&gt;&lt;/urls&gt;&lt;/record&gt;&lt;/Cite&gt;&lt;/EndNote&gt;</w:instrText>
      </w:r>
      <w:r>
        <w:rPr>
          <w:rFonts w:eastAsia="等线" w:cs="Arial"/>
          <w:noProof/>
        </w:rPr>
        <w:fldChar w:fldCharType="separate"/>
      </w:r>
      <w:r w:rsidR="00A46235">
        <w:rPr>
          <w:rFonts w:eastAsia="等线" w:cs="Arial"/>
          <w:noProof/>
        </w:rPr>
        <w:t>Munilla and Miles (2005)</w:t>
      </w:r>
      <w:r>
        <w:rPr>
          <w:rFonts w:eastAsia="等线" w:cs="Arial"/>
          <w:noProof/>
        </w:rPr>
        <w:fldChar w:fldCharType="end"/>
      </w:r>
      <w:r w:rsidR="00D56E3F" w:rsidRPr="00E26C09">
        <w:rPr>
          <w:rFonts w:eastAsia="等线" w:cs="Arial"/>
        </w:rPr>
        <w:t xml:space="preserve"> depict a CSR continuum that has three modes of engagement with stakeholders: </w:t>
      </w:r>
      <w:r w:rsidR="00D56E3F" w:rsidRPr="00E26C09">
        <w:rPr>
          <w:rFonts w:eastAsia="等线" w:cs="Arial"/>
          <w:i/>
          <w:iCs/>
        </w:rPr>
        <w:t>compliance</w:t>
      </w:r>
      <w:r w:rsidR="00D56E3F" w:rsidRPr="00E26C09">
        <w:rPr>
          <w:rFonts w:eastAsia="等线" w:cs="Arial"/>
        </w:rPr>
        <w:t xml:space="preserve">, where CSR investments are considered as the cost of normal business; </w:t>
      </w:r>
      <w:r w:rsidR="00D56E3F" w:rsidRPr="00E26C09">
        <w:rPr>
          <w:rFonts w:eastAsia="等线" w:cs="Arial"/>
          <w:i/>
          <w:iCs/>
        </w:rPr>
        <w:t>strategic</w:t>
      </w:r>
      <w:r w:rsidR="00D56E3F" w:rsidRPr="00E26C09">
        <w:rPr>
          <w:rFonts w:eastAsia="等线" w:cs="Arial"/>
        </w:rPr>
        <w:t xml:space="preserve">, where CSR is seen as an investment in the firm’s competencies; </w:t>
      </w:r>
      <w:proofErr w:type="gramStart"/>
      <w:r w:rsidR="00D56E3F" w:rsidRPr="00E26C09">
        <w:rPr>
          <w:rFonts w:eastAsia="等线" w:cs="Arial"/>
        </w:rPr>
        <w:t xml:space="preserve">and  </w:t>
      </w:r>
      <w:r w:rsidR="00D56E3F" w:rsidRPr="00E26C09">
        <w:rPr>
          <w:rFonts w:eastAsia="等线" w:cs="Arial"/>
          <w:i/>
          <w:iCs/>
        </w:rPr>
        <w:t>forced</w:t>
      </w:r>
      <w:proofErr w:type="gramEnd"/>
      <w:r w:rsidR="00D56E3F" w:rsidRPr="00E26C09">
        <w:rPr>
          <w:rFonts w:eastAsia="等线" w:cs="Arial"/>
        </w:rPr>
        <w:t>, where CSR is seen as a tax imposed by external stakeholders (</w:t>
      </w:r>
      <w:r w:rsidR="00B87E10">
        <w:rPr>
          <w:rFonts w:eastAsia="等线" w:cs="Arial"/>
        </w:rPr>
        <w:t xml:space="preserve">the </w:t>
      </w:r>
      <w:r w:rsidR="00D56E3F" w:rsidRPr="00E26C09">
        <w:rPr>
          <w:rFonts w:eastAsia="等线" w:cs="Arial"/>
        </w:rPr>
        <w:t xml:space="preserve">public or government). They argue that both </w:t>
      </w:r>
      <w:r w:rsidR="00D56E3F" w:rsidRPr="00E26C09">
        <w:rPr>
          <w:rFonts w:eastAsia="等线" w:cs="Arial"/>
          <w:i/>
          <w:iCs/>
        </w:rPr>
        <w:t>compliance</w:t>
      </w:r>
      <w:r w:rsidR="00D56E3F" w:rsidRPr="00E26C09">
        <w:rPr>
          <w:rFonts w:eastAsia="等线" w:cs="Arial"/>
        </w:rPr>
        <w:t xml:space="preserve"> and </w:t>
      </w:r>
      <w:r w:rsidR="00D56E3F" w:rsidRPr="00E26C09">
        <w:rPr>
          <w:rFonts w:eastAsia="等线" w:cs="Arial"/>
          <w:i/>
          <w:iCs/>
        </w:rPr>
        <w:t xml:space="preserve">forced </w:t>
      </w:r>
      <w:r w:rsidR="00D56E3F" w:rsidRPr="00E26C09">
        <w:rPr>
          <w:rFonts w:eastAsia="等线" w:cs="Arial"/>
        </w:rPr>
        <w:t xml:space="preserve">modes weaken the firm’s ability to create strategic advantage. Under </w:t>
      </w:r>
      <w:r w:rsidR="00B87E10">
        <w:rPr>
          <w:rFonts w:eastAsia="等线" w:cs="Arial"/>
        </w:rPr>
        <w:t xml:space="preserve">those </w:t>
      </w:r>
      <w:r w:rsidR="00D56E3F" w:rsidRPr="00E26C09">
        <w:rPr>
          <w:rFonts w:eastAsia="等线" w:cs="Arial"/>
        </w:rPr>
        <w:t>above two condition</w:t>
      </w:r>
      <w:r w:rsidR="00D56E3F">
        <w:rPr>
          <w:rFonts w:eastAsia="等线" w:cs="Arial"/>
        </w:rPr>
        <w:t>s</w:t>
      </w:r>
      <w:r w:rsidR="00D56E3F" w:rsidRPr="00E26C09">
        <w:rPr>
          <w:rFonts w:eastAsia="等线" w:cs="Arial"/>
        </w:rPr>
        <w:t xml:space="preserve">, </w:t>
      </w:r>
      <w:r w:rsidR="00B87E10">
        <w:rPr>
          <w:rFonts w:eastAsia="等线" w:cs="Arial"/>
        </w:rPr>
        <w:t xml:space="preserve">the </w:t>
      </w:r>
      <w:r w:rsidR="00D56E3F" w:rsidRPr="00E26C09">
        <w:rPr>
          <w:rFonts w:eastAsia="等线" w:cs="Arial"/>
        </w:rPr>
        <w:t>government play</w:t>
      </w:r>
      <w:r w:rsidR="00B87E10">
        <w:rPr>
          <w:rFonts w:eastAsia="等线" w:cs="Arial"/>
        </w:rPr>
        <w:t>s</w:t>
      </w:r>
      <w:r w:rsidR="00D56E3F" w:rsidRPr="00E26C09">
        <w:rPr>
          <w:rFonts w:eastAsia="等线" w:cs="Arial"/>
        </w:rPr>
        <w:t xml:space="preserve"> a significant role in promoting enterprises to assume social responsibility. Governmental intervention is an effective means to promote the stakeholders</w:t>
      </w:r>
      <w:r w:rsidR="00B87E10">
        <w:rPr>
          <w:rFonts w:eastAsia="等线" w:cs="Arial"/>
        </w:rPr>
        <w:t>’</w:t>
      </w:r>
      <w:r w:rsidR="00D56E3F" w:rsidRPr="00E26C09">
        <w:rPr>
          <w:rFonts w:eastAsia="等线" w:cs="Arial"/>
        </w:rPr>
        <w:t xml:space="preserve"> engag</w:t>
      </w:r>
      <w:r w:rsidR="00D56E3F">
        <w:rPr>
          <w:rFonts w:eastAsia="等线" w:cs="Arial"/>
        </w:rPr>
        <w:t xml:space="preserve">ement </w:t>
      </w:r>
      <w:r w:rsidR="00D56E3F" w:rsidRPr="00E26C09">
        <w:rPr>
          <w:rFonts w:eastAsia="等线" w:cs="Arial"/>
        </w:rPr>
        <w:t xml:space="preserve">and undertake the social responsibility. </w:t>
      </w:r>
      <w:bookmarkEnd w:id="508"/>
    </w:p>
    <w:p w14:paraId="3AC2ED09" w14:textId="27C8A6F2" w:rsidR="00D56E3F" w:rsidRPr="00E26C09" w:rsidRDefault="00B87E10" w:rsidP="00D56E3F">
      <w:pPr>
        <w:spacing w:after="240" w:line="360" w:lineRule="auto"/>
        <w:rPr>
          <w:rFonts w:eastAsia="等线" w:cs="Arial"/>
        </w:rPr>
      </w:pPr>
      <w:r>
        <w:rPr>
          <w:rFonts w:eastAsia="等线" w:cs="Arial"/>
        </w:rPr>
        <w:t>There is a</w:t>
      </w:r>
      <w:r w:rsidR="00D56E3F" w:rsidRPr="00E26C09">
        <w:rPr>
          <w:rFonts w:eastAsia="等线" w:cs="Arial"/>
        </w:rPr>
        <w:t xml:space="preserve"> distinctive research category in CSR</w:t>
      </w:r>
      <w:r w:rsidR="00D56E3F" w:rsidRPr="00E26C09">
        <w:rPr>
          <w:rFonts w:eastAsia="等线" w:cs="Arial" w:hint="eastAsia"/>
        </w:rPr>
        <w:t>,</w:t>
      </w:r>
      <w:r w:rsidR="00D56E3F" w:rsidRPr="00E26C09">
        <w:rPr>
          <w:rFonts w:eastAsia="等线" w:cs="Arial"/>
        </w:rPr>
        <w:t xml:space="preserve"> named “social and ethical accounting, auditing, and reporting (SEAAR),” which tries to develop </w:t>
      </w:r>
      <w:r w:rsidR="00D56E3F" w:rsidRPr="00E26C09">
        <w:rPr>
          <w:rFonts w:eastAsia="等线" w:cs="Arial"/>
          <w:i/>
          <w:iCs/>
        </w:rPr>
        <w:t>accepted, standardised approaches and methodologies for measuring and reporting the social, ethical, and environmental dimensions of corporate performance</w:t>
      </w:r>
      <w:r w:rsidR="00A1074D">
        <w:rPr>
          <w:rFonts w:eastAsia="等线" w:cs="Arial"/>
          <w:i/>
          <w:iCs/>
        </w:rPr>
        <w:t xml:space="preserve"> </w:t>
      </w:r>
      <w:r w:rsidR="007D438A">
        <w:rPr>
          <w:rFonts w:eastAsia="等线" w:cs="Arial"/>
          <w:i/>
          <w:iCs/>
          <w:noProof/>
        </w:rPr>
        <w:fldChar w:fldCharType="begin"/>
      </w:r>
      <w:r w:rsidR="00647E79">
        <w:rPr>
          <w:rFonts w:eastAsia="等线" w:cs="Arial"/>
          <w:i/>
          <w:iCs/>
          <w:noProof/>
        </w:rPr>
        <w:instrText xml:space="preserve"> ADDIN EN.CITE &lt;EndNote&gt;&lt;Cite&gt;&lt;Author&gt;Galant&lt;/Author&gt;&lt;Year&gt;2017&lt;/Year&gt;&lt;RecNum&gt;278&lt;/RecNum&gt;&lt;DisplayText&gt;(Galant and Cadez, 2017)&lt;/DisplayText&gt;&lt;record&gt;&lt;rec-number&gt;278&lt;/rec-number&gt;&lt;foreign-keys&gt;&lt;key app="EN" db-id="pzt5ep52hsedfpeext2pdfes0w0aswaewef2" timestamp="1605187998"&gt;278&lt;/key&gt;&lt;/foreign-keys&gt;&lt;ref-type name="Journal Article"&gt;17&lt;/ref-type&gt;&lt;contributors&gt;&lt;authors&gt;&lt;author&gt;Galant, Adriana&lt;/author&gt;&lt;author&gt;Cadez, Simon&lt;/author&gt;&lt;/authors&gt;&lt;/contributors&gt;&lt;titles&gt;&lt;title&gt;Corporate social responsibility and financial performance relationship: a review of measurement approaches&lt;/title&gt;&lt;secondary-title&gt;Economic Research-Ekonomska Istraživanja&lt;/secondary-title&gt;&lt;/titles&gt;&lt;periodical&gt;&lt;full-title&gt;Economic Research-Ekonomska Istraživanja&lt;/full-title&gt;&lt;/periodical&gt;&lt;pages&gt;676-693&lt;/pages&gt;&lt;volume&gt;30&lt;/volume&gt;&lt;number&gt;1&lt;/number&gt;&lt;dates&gt;&lt;year&gt;2017&lt;/year&gt;&lt;pub-dates&gt;&lt;date&gt;2017/01/01&lt;/date&gt;&lt;/pub-dates&gt;&lt;/dates&gt;&lt;publisher&gt;Routledge&lt;/publisher&gt;&lt;isbn&gt;1331-677X&lt;/isbn&gt;&lt;urls&gt;&lt;related-urls&gt;&lt;url&gt;https://doi.org/10.1080/1331677X.2017.1313122&lt;/url&gt;&lt;/related-urls&gt;&lt;/urls&gt;&lt;electronic-resource-num&gt;10.1080/1331677X.2017.1313122&lt;/electronic-resource-num&gt;&lt;/record&gt;&lt;/Cite&gt;&lt;/EndNote&gt;</w:instrText>
      </w:r>
      <w:r w:rsidR="007D438A">
        <w:rPr>
          <w:rFonts w:eastAsia="等线" w:cs="Arial"/>
          <w:i/>
          <w:iCs/>
          <w:noProof/>
        </w:rPr>
        <w:fldChar w:fldCharType="separate"/>
      </w:r>
      <w:r w:rsidR="007D438A">
        <w:rPr>
          <w:rFonts w:eastAsia="等线" w:cs="Arial"/>
          <w:i/>
          <w:iCs/>
          <w:noProof/>
        </w:rPr>
        <w:t>(Galant and Cadez, 2017)</w:t>
      </w:r>
      <w:r w:rsidR="007D438A">
        <w:rPr>
          <w:rFonts w:eastAsia="等线" w:cs="Arial"/>
          <w:i/>
          <w:iCs/>
          <w:noProof/>
        </w:rPr>
        <w:fldChar w:fldCharType="end"/>
      </w:r>
      <w:r w:rsidR="00D56E3F" w:rsidRPr="00E26C09">
        <w:rPr>
          <w:rFonts w:eastAsia="等线" w:cs="Arial"/>
          <w:i/>
          <w:iCs/>
        </w:rPr>
        <w:t>.</w:t>
      </w:r>
      <w:r w:rsidR="00D56E3F" w:rsidRPr="00E26C09">
        <w:rPr>
          <w:rFonts w:eastAsia="等线" w:cs="Arial"/>
        </w:rPr>
        <w:t xml:space="preserve"> The principle of SEAAR is to promote CSR in managerial practice through transiting the intangible ‘social and ethical responsibility’ into accountable measurement. Stakeholder theory contribute</w:t>
      </w:r>
      <w:r>
        <w:rPr>
          <w:rFonts w:eastAsia="等线" w:cs="Arial"/>
        </w:rPr>
        <w:t>s</w:t>
      </w:r>
      <w:r w:rsidR="00D56E3F" w:rsidRPr="00E26C09">
        <w:rPr>
          <w:rFonts w:eastAsia="等线" w:cs="Arial"/>
        </w:rPr>
        <w:t xml:space="preserve"> </w:t>
      </w:r>
      <w:r>
        <w:rPr>
          <w:rFonts w:eastAsia="等线" w:cs="Arial"/>
        </w:rPr>
        <w:t xml:space="preserve">to </w:t>
      </w:r>
      <w:r w:rsidR="00D56E3F" w:rsidRPr="00E26C09">
        <w:rPr>
          <w:rFonts w:eastAsia="等线" w:cs="Arial"/>
        </w:rPr>
        <w:t>the development of the SEAAR concept. It alters the focus from ‘</w:t>
      </w:r>
      <w:r w:rsidR="00D56E3F" w:rsidRPr="00E26C09">
        <w:rPr>
          <w:rFonts w:eastAsia="等线" w:cs="Arial"/>
          <w:i/>
          <w:iCs/>
        </w:rPr>
        <w:t>social responsibility</w:t>
      </w:r>
      <w:r w:rsidR="00D56E3F" w:rsidRPr="00E26C09">
        <w:rPr>
          <w:rFonts w:eastAsia="等线" w:cs="Arial"/>
        </w:rPr>
        <w:t>’ to ‘</w:t>
      </w:r>
      <w:r w:rsidR="00D56E3F" w:rsidRPr="00E26C09">
        <w:rPr>
          <w:rFonts w:eastAsia="等线" w:cs="Arial"/>
          <w:i/>
          <w:iCs/>
        </w:rPr>
        <w:t>organisational accountability</w:t>
      </w:r>
      <w:r w:rsidR="00D56E3F" w:rsidRPr="00E26C09">
        <w:rPr>
          <w:rFonts w:eastAsia="等线" w:cs="Arial"/>
        </w:rPr>
        <w:t xml:space="preserve">’. As </w:t>
      </w:r>
      <w:r w:rsidR="007D438A">
        <w:rPr>
          <w:rFonts w:eastAsia="等线" w:cs="Arial"/>
          <w:noProof/>
        </w:rPr>
        <w:fldChar w:fldCharType="begin"/>
      </w:r>
      <w:r w:rsidR="00647E79">
        <w:rPr>
          <w:rFonts w:eastAsia="等线" w:cs="Arial"/>
          <w:noProof/>
        </w:rPr>
        <w:instrText xml:space="preserve"> ADDIN EN.CITE &lt;EndNote&gt;&lt;Cite AuthorYear="1"&gt;&lt;Author&gt;Gray&lt;/Author&gt;&lt;Year&gt;1995&lt;/Year&gt;&lt;RecNum&gt;279&lt;/RecNum&gt;&lt;DisplayText&gt;Gray et al. (1995)&lt;/DisplayText&gt;&lt;record&gt;&lt;rec-number&gt;279&lt;/rec-number&gt;&lt;foreign-keys&gt;&lt;key app="EN" db-id="pzt5ep52hsedfpeext2pdfes0w0aswaewef2" timestamp="1605187998"&gt;279&lt;/key&gt;&lt;/foreign-keys&gt;&lt;ref-type name="Journal Article"&gt;17&lt;/ref-type&gt;&lt;contributors&gt;&lt;authors&gt;&lt;author&gt;Gray, Rob&lt;/author&gt;&lt;author&gt;Kouhy, Reza&lt;/author&gt;&lt;author&gt;Lavers, Simon&lt;/author&gt;&lt;/authors&gt;&lt;/contributors&gt;&lt;titles&gt;&lt;title&gt;Corporate social and environmental reporting: a review of the literature and a longitudinal study of UK disclosure&lt;/title&gt;&lt;secondary-title&gt;Accounting, Auditing &amp;amp; Accountability Journal&lt;/secondary-title&gt;&lt;/titles&gt;&lt;periodical&gt;&lt;full-title&gt;Accounting, Auditing &amp;amp; Accountability Journal&lt;/full-title&gt;&lt;/periodical&gt;&lt;pages&gt;47-77&lt;/pages&gt;&lt;volume&gt;8&lt;/volume&gt;&lt;number&gt;2&lt;/number&gt;&lt;dates&gt;&lt;year&gt;1995&lt;/year&gt;&lt;/dates&gt;&lt;publisher&gt;MCB UP Ltd&lt;/publisher&gt;&lt;isbn&gt;0951-3574&lt;/isbn&gt;&lt;urls&gt;&lt;related-urls&gt;&lt;url&gt;https://doi.org/10.1108/09513579510146996&lt;/url&gt;&lt;/related-urls&gt;&lt;/urls&gt;&lt;electronic-resource-num&gt;10.1108/09513579510146996&lt;/electronic-resource-num&gt;&lt;access-date&gt;2020/07/10&lt;/access-date&gt;&lt;/record&gt;&lt;/Cite&gt;&lt;/EndNote&gt;</w:instrText>
      </w:r>
      <w:r w:rsidR="007D438A">
        <w:rPr>
          <w:rFonts w:eastAsia="等线" w:cs="Arial"/>
          <w:noProof/>
        </w:rPr>
        <w:fldChar w:fldCharType="separate"/>
      </w:r>
      <w:r w:rsidR="00A46235">
        <w:rPr>
          <w:rFonts w:eastAsia="等线" w:cs="Arial"/>
          <w:noProof/>
        </w:rPr>
        <w:t>Gray et al. (1995)</w:t>
      </w:r>
      <w:r w:rsidR="007D438A">
        <w:rPr>
          <w:rFonts w:eastAsia="等线" w:cs="Arial"/>
          <w:noProof/>
        </w:rPr>
        <w:fldChar w:fldCharType="end"/>
      </w:r>
      <w:r w:rsidR="00D56E3F" w:rsidRPr="00E26C09">
        <w:rPr>
          <w:rFonts w:eastAsia="等线" w:cs="Arial"/>
        </w:rPr>
        <w:t xml:space="preserve"> summarised: the concept of the stakeholder (in particular, stakeholder engagement) is at the core of the SEAAR process, and stakeholder theory can be used to help define the </w:t>
      </w:r>
      <w:r w:rsidR="00D56E3F">
        <w:rPr>
          <w:rFonts w:eastAsia="等线" w:cs="Arial"/>
        </w:rPr>
        <w:t>‘</w:t>
      </w:r>
      <w:r w:rsidR="00D56E3F" w:rsidRPr="00E26C09">
        <w:rPr>
          <w:rFonts w:eastAsia="等线" w:cs="Arial"/>
        </w:rPr>
        <w:t>social account</w:t>
      </w:r>
      <w:r w:rsidR="00D56E3F">
        <w:rPr>
          <w:rFonts w:eastAsia="等线" w:cs="Arial"/>
        </w:rPr>
        <w:t>’</w:t>
      </w:r>
      <w:r w:rsidR="00D56E3F" w:rsidRPr="00E26C09">
        <w:rPr>
          <w:rFonts w:eastAsia="等线" w:cs="Arial"/>
        </w:rPr>
        <w:t xml:space="preserve"> and implies what items a firm</w:t>
      </w:r>
      <w:r>
        <w:rPr>
          <w:rFonts w:eastAsia="等线" w:cs="Arial"/>
        </w:rPr>
        <w:t xml:space="preserve"> should</w:t>
      </w:r>
      <w:r w:rsidR="00D56E3F" w:rsidRPr="00E26C09">
        <w:rPr>
          <w:rFonts w:eastAsia="等线" w:cs="Arial"/>
        </w:rPr>
        <w:t xml:space="preserve"> </w:t>
      </w:r>
      <w:r w:rsidR="00D56E3F">
        <w:rPr>
          <w:rFonts w:eastAsia="等线" w:cs="Arial"/>
        </w:rPr>
        <w:t>be</w:t>
      </w:r>
      <w:r w:rsidR="00D56E3F" w:rsidRPr="00E26C09">
        <w:rPr>
          <w:rFonts w:eastAsia="等线" w:cs="Arial"/>
        </w:rPr>
        <w:t xml:space="preserve"> responsible for.</w:t>
      </w:r>
    </w:p>
    <w:p w14:paraId="630C53FA" w14:textId="73D3A047" w:rsidR="00D56E3F" w:rsidRPr="00E26C09" w:rsidRDefault="00B133BB" w:rsidP="0039582D">
      <w:pPr>
        <w:pStyle w:val="Heading3"/>
      </w:pPr>
      <w:bookmarkStart w:id="520" w:name="_Toc66703208"/>
      <w:r>
        <w:lastRenderedPageBreak/>
        <w:t xml:space="preserve">Stakeholders </w:t>
      </w:r>
      <w:r w:rsidR="00335E50">
        <w:t>engagement</w:t>
      </w:r>
      <w:bookmarkEnd w:id="520"/>
    </w:p>
    <w:p w14:paraId="5E377659" w14:textId="305A3EBD" w:rsidR="005939B6" w:rsidRDefault="00D56E3F" w:rsidP="00B133BB">
      <w:pPr>
        <w:spacing w:after="240" w:line="360" w:lineRule="auto"/>
        <w:rPr>
          <w:rFonts w:eastAsia="等线" w:cs="Arial"/>
        </w:rPr>
      </w:pPr>
      <w:r w:rsidRPr="00E26C09">
        <w:rPr>
          <w:rFonts w:eastAsia="等线" w:cs="Arial"/>
        </w:rPr>
        <w:t xml:space="preserve">According to </w:t>
      </w:r>
      <w:r w:rsidR="000D6667">
        <w:rPr>
          <w:rFonts w:eastAsia="等线" w:cs="Arial"/>
        </w:rPr>
        <w:t xml:space="preserve">the </w:t>
      </w:r>
      <w:r w:rsidRPr="00E26C09">
        <w:rPr>
          <w:rFonts w:eastAsia="等线" w:cs="Arial"/>
        </w:rPr>
        <w:t xml:space="preserve">definition from </w:t>
      </w:r>
      <w:r w:rsidR="007D438A">
        <w:rPr>
          <w:rFonts w:eastAsia="等线" w:cs="Arial"/>
          <w:noProof/>
        </w:rPr>
        <w:fldChar w:fldCharType="begin"/>
      </w:r>
      <w:r w:rsidR="00647E79">
        <w:rPr>
          <w:rFonts w:eastAsia="等线" w:cs="Arial"/>
          <w:noProof/>
        </w:rPr>
        <w:instrText xml:space="preserve"> ADDIN EN.CITE &lt;EndNote&gt;&lt;Cite&gt;&lt;Author&gt;ISEA&lt;/Author&gt;&lt;Year&gt;1999&lt;/Year&gt;&lt;RecNum&gt;280&lt;/RecNum&gt;&lt;DisplayText&gt;(ISEA, 1999)&lt;/DisplayText&gt;&lt;record&gt;&lt;rec-number&gt;280&lt;/rec-number&gt;&lt;foreign-keys&gt;&lt;key app="EN" db-id="pzt5ep52hsedfpeext2pdfes0w0aswaewef2" timestamp="1605187998"&gt;280&lt;/key&gt;&lt;/foreign-keys&gt;&lt;ref-type name="Book"&gt;6&lt;/ref-type&gt;&lt;contributors&gt;&lt;authors&gt;&lt;author&gt;ISEA&lt;/author&gt;&lt;/authors&gt;&lt;/contributors&gt;&lt;titles&gt;&lt;title&gt;Accountability 1000 (AA1000) Framework: Standard, Guidelines and Professional Qualification: Exposure Draft&lt;/title&gt;&lt;/titles&gt;&lt;dates&gt;&lt;year&gt;1999&lt;/year&gt;&lt;/dates&gt;&lt;publisher&gt;Institute of Social and Ethical Accountability&lt;/publisher&gt;&lt;urls&gt;&lt;/urls&gt;&lt;/record&gt;&lt;/Cite&gt;&lt;/EndNote&gt;</w:instrText>
      </w:r>
      <w:r w:rsidR="007D438A">
        <w:rPr>
          <w:rFonts w:eastAsia="等线" w:cs="Arial"/>
          <w:noProof/>
        </w:rPr>
        <w:fldChar w:fldCharType="separate"/>
      </w:r>
      <w:r w:rsidR="007D438A">
        <w:rPr>
          <w:rFonts w:eastAsia="等线" w:cs="Arial"/>
          <w:noProof/>
        </w:rPr>
        <w:t>(ISEA, 1999)</w:t>
      </w:r>
      <w:r w:rsidR="007D438A">
        <w:rPr>
          <w:rFonts w:eastAsia="等线" w:cs="Arial"/>
          <w:noProof/>
        </w:rPr>
        <w:fldChar w:fldCharType="end"/>
      </w:r>
      <w:r w:rsidRPr="00E26C09">
        <w:rPr>
          <w:rFonts w:eastAsia="等线" w:cs="Arial"/>
        </w:rPr>
        <w:t xml:space="preserve">, stakeholder engagement is </w:t>
      </w:r>
      <w:r w:rsidRPr="00E26C09">
        <w:rPr>
          <w:rFonts w:eastAsia="等线" w:cs="Arial"/>
          <w:i/>
          <w:iCs/>
        </w:rPr>
        <w:t>‘the process of seeking stakeholder</w:t>
      </w:r>
      <w:r w:rsidR="000D6667">
        <w:rPr>
          <w:rFonts w:eastAsia="等线" w:cs="Arial"/>
          <w:i/>
          <w:iCs/>
        </w:rPr>
        <w:t>s’</w:t>
      </w:r>
      <w:r w:rsidRPr="00E26C09">
        <w:rPr>
          <w:rFonts w:eastAsia="等线" w:cs="Arial"/>
          <w:i/>
          <w:iCs/>
        </w:rPr>
        <w:t xml:space="preserve"> views on their relationship with an organisation in a way that may realistically be expected to elicit them’</w:t>
      </w:r>
      <w:r w:rsidRPr="00E26C09">
        <w:rPr>
          <w:rFonts w:eastAsia="等线" w:cs="Arial"/>
        </w:rPr>
        <w:t xml:space="preserve">. The typical </w:t>
      </w:r>
      <w:proofErr w:type="gramStart"/>
      <w:r w:rsidRPr="00E26C09">
        <w:rPr>
          <w:rFonts w:eastAsia="等线" w:cs="Arial" w:hint="eastAsia"/>
        </w:rPr>
        <w:t>stakeholders</w:t>
      </w:r>
      <w:proofErr w:type="gramEnd"/>
      <w:r w:rsidRPr="00E26C09">
        <w:rPr>
          <w:rFonts w:eastAsia="等线" w:cs="Arial"/>
        </w:rPr>
        <w:t xml:space="preserve"> </w:t>
      </w:r>
      <w:r w:rsidRPr="00E26C09">
        <w:rPr>
          <w:rFonts w:eastAsia="等线" w:cs="Arial" w:hint="eastAsia"/>
        </w:rPr>
        <w:t>engagement</w:t>
      </w:r>
      <w:r w:rsidRPr="00E26C09">
        <w:rPr>
          <w:rFonts w:eastAsia="等线" w:cs="Arial"/>
        </w:rPr>
        <w:t xml:space="preserve"> process includes stakeholders identifying, opinion exchanging and understanding, and </w:t>
      </w:r>
      <w:r w:rsidR="000D6667">
        <w:rPr>
          <w:rFonts w:eastAsia="等线" w:cs="Arial"/>
        </w:rPr>
        <w:t xml:space="preserve">also </w:t>
      </w:r>
      <w:r w:rsidRPr="00E26C09">
        <w:rPr>
          <w:rFonts w:eastAsia="等线" w:cs="Arial"/>
        </w:rPr>
        <w:t>concerns responding. Stakeholders engagement is a systematic, proactive integration of feedback from the stakeholders so that trust</w:t>
      </w:r>
      <w:r w:rsidR="000D6667">
        <w:rPr>
          <w:rFonts w:eastAsia="等线" w:cs="Arial"/>
        </w:rPr>
        <w:t xml:space="preserve"> is being built</w:t>
      </w:r>
      <w:r w:rsidRPr="00E26C09">
        <w:rPr>
          <w:rFonts w:eastAsia="等线" w:cs="Arial"/>
        </w:rPr>
        <w:t xml:space="preserve"> among these stakeholders. Stakeholder engagement is not about organisations abdicating part of their right </w:t>
      </w:r>
      <w:proofErr w:type="gramStart"/>
      <w:r w:rsidRPr="00E26C09">
        <w:rPr>
          <w:rFonts w:eastAsia="等线" w:cs="Arial"/>
        </w:rPr>
        <w:t>in order to</w:t>
      </w:r>
      <w:proofErr w:type="gramEnd"/>
      <w:r w:rsidRPr="00E26C09">
        <w:rPr>
          <w:rFonts w:eastAsia="等线" w:cs="Arial"/>
        </w:rPr>
        <w:t xml:space="preserve"> meet the requirements of others</w:t>
      </w:r>
      <w:r w:rsidR="000D6667">
        <w:rPr>
          <w:rFonts w:eastAsia="等线" w:cs="Arial"/>
        </w:rPr>
        <w:t>,</w:t>
      </w:r>
      <w:r>
        <w:rPr>
          <w:rFonts w:eastAsia="等线" w:cs="Arial"/>
        </w:rPr>
        <w:t xml:space="preserve"> b</w:t>
      </w:r>
      <w:r w:rsidRPr="00E26C09">
        <w:rPr>
          <w:rFonts w:eastAsia="等线" w:cs="Arial"/>
        </w:rPr>
        <w:t xml:space="preserve">ut </w:t>
      </w:r>
      <w:r>
        <w:rPr>
          <w:rFonts w:eastAsia="等线" w:cs="Arial"/>
        </w:rPr>
        <w:t xml:space="preserve">using </w:t>
      </w:r>
      <w:r w:rsidRPr="00E26C09">
        <w:rPr>
          <w:rFonts w:eastAsia="等线" w:cs="Arial"/>
        </w:rPr>
        <w:t xml:space="preserve">leadership to build </w:t>
      </w:r>
      <w:r>
        <w:rPr>
          <w:rFonts w:eastAsia="等线" w:cs="Arial"/>
        </w:rPr>
        <w:t>partnership</w:t>
      </w:r>
      <w:r w:rsidR="000D6667">
        <w:rPr>
          <w:rFonts w:eastAsia="等线" w:cs="Arial"/>
        </w:rPr>
        <w:t>s</w:t>
      </w:r>
      <w:r w:rsidRPr="00E26C09">
        <w:rPr>
          <w:rFonts w:eastAsia="等线" w:cs="Arial"/>
        </w:rPr>
        <w:t xml:space="preserve"> with stakeholders, hence improving their overall performance. Therefore, stakeholders engagement is consider</w:t>
      </w:r>
      <w:r>
        <w:rPr>
          <w:rFonts w:eastAsia="等线" w:cs="Arial"/>
        </w:rPr>
        <w:t xml:space="preserve">ed </w:t>
      </w:r>
      <w:r w:rsidRPr="00E26C09">
        <w:rPr>
          <w:rFonts w:eastAsia="等线" w:cs="Arial"/>
        </w:rPr>
        <w:t>as an effective tool that prevent</w:t>
      </w:r>
      <w:r w:rsidR="000D6667">
        <w:rPr>
          <w:rFonts w:eastAsia="等线" w:cs="Arial"/>
        </w:rPr>
        <w:t>s</w:t>
      </w:r>
      <w:r w:rsidRPr="00E26C09">
        <w:rPr>
          <w:rFonts w:eastAsia="等线" w:cs="Arial"/>
        </w:rPr>
        <w:t xml:space="preserve"> the conflicts between various stakeholders with different views during the project planning stage. </w:t>
      </w:r>
    </w:p>
    <w:p w14:paraId="4DFD196C" w14:textId="3FD335A2" w:rsidR="00D56E3F" w:rsidRPr="00E26C09" w:rsidRDefault="00D56E3F" w:rsidP="00D56E3F">
      <w:pPr>
        <w:spacing w:before="240" w:after="240" w:line="360" w:lineRule="auto"/>
        <w:rPr>
          <w:rFonts w:eastAsia="等线" w:cs="Arial"/>
        </w:rPr>
      </w:pPr>
      <w:r w:rsidRPr="00E26C09">
        <w:rPr>
          <w:rFonts w:eastAsia="等线" w:cs="Arial"/>
        </w:rPr>
        <w:t xml:space="preserve">According to </w:t>
      </w:r>
      <w:r w:rsidRPr="00E26C09">
        <w:rPr>
          <w:rFonts w:eastAsia="等线" w:cs="Arial"/>
          <w:noProof/>
        </w:rPr>
        <w:t>ISEA (1999)</w:t>
      </w:r>
      <w:r w:rsidRPr="00E26C09">
        <w:rPr>
          <w:rFonts w:eastAsia="等线" w:cs="Arial"/>
        </w:rPr>
        <w:t>, A meaningful stakeholders engagement should:</w:t>
      </w:r>
    </w:p>
    <w:p w14:paraId="01C51C47" w14:textId="77777777" w:rsidR="00D56E3F" w:rsidRPr="00E26C09" w:rsidRDefault="00D56E3F" w:rsidP="00A323CC">
      <w:pPr>
        <w:numPr>
          <w:ilvl w:val="0"/>
          <w:numId w:val="24"/>
        </w:numPr>
        <w:spacing w:before="240" w:after="240" w:line="240" w:lineRule="auto"/>
        <w:contextualSpacing/>
        <w:rPr>
          <w:rFonts w:eastAsia="等线" w:cs="Arial"/>
          <w:i/>
          <w:iCs/>
        </w:rPr>
      </w:pPr>
      <w:r w:rsidRPr="00E26C09">
        <w:rPr>
          <w:rFonts w:eastAsia="等线" w:cs="Arial"/>
          <w:i/>
          <w:iCs/>
        </w:rPr>
        <w:t>Allow stakeholders to assist in the identification of another stakeholder. Ensure that stakeholders trust the social and ethical accountant (internal or external) that is collecting and processing the findings of the engagement.</w:t>
      </w:r>
    </w:p>
    <w:p w14:paraId="01DA93AF" w14:textId="77777777" w:rsidR="00D56E3F" w:rsidRPr="00E26C09" w:rsidRDefault="00D56E3F" w:rsidP="00A323CC">
      <w:pPr>
        <w:numPr>
          <w:ilvl w:val="0"/>
          <w:numId w:val="24"/>
        </w:numPr>
        <w:spacing w:before="240" w:after="240" w:line="240" w:lineRule="auto"/>
        <w:contextualSpacing/>
        <w:rPr>
          <w:rFonts w:eastAsia="等线" w:cs="Arial"/>
          <w:i/>
          <w:iCs/>
        </w:rPr>
      </w:pPr>
      <w:r w:rsidRPr="00E26C09">
        <w:rPr>
          <w:rFonts w:eastAsia="等线" w:cs="Arial"/>
          <w:i/>
          <w:iCs/>
        </w:rPr>
        <w:t>Be a dialogue, not a one-way information feed.</w:t>
      </w:r>
    </w:p>
    <w:p w14:paraId="3960436B" w14:textId="77777777" w:rsidR="00D56E3F" w:rsidRPr="00E26C09" w:rsidRDefault="00D56E3F" w:rsidP="00A323CC">
      <w:pPr>
        <w:numPr>
          <w:ilvl w:val="0"/>
          <w:numId w:val="24"/>
        </w:numPr>
        <w:spacing w:before="240" w:after="240" w:line="240" w:lineRule="auto"/>
        <w:contextualSpacing/>
        <w:rPr>
          <w:rFonts w:eastAsia="等线" w:cs="Arial"/>
          <w:i/>
          <w:iCs/>
        </w:rPr>
      </w:pPr>
      <w:r w:rsidRPr="00E26C09">
        <w:rPr>
          <w:rFonts w:eastAsia="等线" w:cs="Arial"/>
          <w:i/>
          <w:iCs/>
        </w:rPr>
        <w:t>Be between parties with sufficient preparation and briefing to have well-informed opinions and decisions.</w:t>
      </w:r>
    </w:p>
    <w:p w14:paraId="3D073C1B" w14:textId="77777777" w:rsidR="00D56E3F" w:rsidRPr="00E26C09" w:rsidRDefault="00D56E3F" w:rsidP="00A323CC">
      <w:pPr>
        <w:numPr>
          <w:ilvl w:val="0"/>
          <w:numId w:val="24"/>
        </w:numPr>
        <w:spacing w:before="240" w:after="240" w:line="240" w:lineRule="auto"/>
        <w:contextualSpacing/>
        <w:rPr>
          <w:rFonts w:eastAsia="等线" w:cs="Arial"/>
          <w:i/>
          <w:iCs/>
        </w:rPr>
      </w:pPr>
      <w:r w:rsidRPr="00E26C09">
        <w:rPr>
          <w:rFonts w:eastAsia="等线" w:cs="Arial"/>
          <w:i/>
          <w:iCs/>
        </w:rPr>
        <w:t>Involve stakeholders in defining the terms of the engagement. The terms will include, but are not limited to the issues covered, the methods and techniques of engagement used, the questions asked, the means of analysing responses to questions and the stakeholder feedback process.</w:t>
      </w:r>
    </w:p>
    <w:p w14:paraId="59999AA5" w14:textId="77777777" w:rsidR="00D56E3F" w:rsidRPr="00E26C09" w:rsidRDefault="00D56E3F" w:rsidP="00A323CC">
      <w:pPr>
        <w:numPr>
          <w:ilvl w:val="0"/>
          <w:numId w:val="24"/>
        </w:numPr>
        <w:spacing w:before="240" w:after="240" w:line="240" w:lineRule="auto"/>
        <w:contextualSpacing/>
        <w:rPr>
          <w:rFonts w:eastAsia="等线" w:cs="Arial"/>
          <w:i/>
          <w:iCs/>
        </w:rPr>
      </w:pPr>
      <w:r w:rsidRPr="00E26C09">
        <w:rPr>
          <w:rFonts w:eastAsia="等线" w:cs="Arial"/>
          <w:i/>
          <w:iCs/>
        </w:rPr>
        <w:t>Allow stakeholders to voice their views without restriction and without fear of penalty or discipline. However, stakeholders must be aware that if their opinions are taken seriously and acted upon, this will have consequences upon them and other stakeholder groups.</w:t>
      </w:r>
    </w:p>
    <w:p w14:paraId="561E8D08" w14:textId="23CDAB96" w:rsidR="00AA59CC" w:rsidRPr="00AA59CC" w:rsidRDefault="00D56E3F" w:rsidP="00AA59CC">
      <w:pPr>
        <w:numPr>
          <w:ilvl w:val="0"/>
          <w:numId w:val="24"/>
        </w:numPr>
        <w:spacing w:before="240" w:after="240" w:line="240" w:lineRule="auto"/>
        <w:contextualSpacing/>
        <w:rPr>
          <w:rFonts w:eastAsia="等线" w:cs="Arial"/>
          <w:i/>
          <w:iCs/>
        </w:rPr>
      </w:pPr>
      <w:r w:rsidRPr="00E26C09">
        <w:rPr>
          <w:rFonts w:eastAsia="等线" w:cs="Arial"/>
          <w:i/>
          <w:iCs/>
        </w:rPr>
        <w:t>Include a public disclosure and feedback process that offers other stakeholders information that is valuable in assessing the engagement and allows them to comment upon it.</w:t>
      </w:r>
    </w:p>
    <w:p w14:paraId="554C851B" w14:textId="7D9EF4B4" w:rsidR="002A4187" w:rsidRDefault="002A4187" w:rsidP="004D5885">
      <w:pPr>
        <w:spacing w:before="240" w:after="240" w:line="360" w:lineRule="auto"/>
        <w:rPr>
          <w:rFonts w:eastAsia="等线" w:cs="Arial"/>
        </w:rPr>
      </w:pPr>
      <w:r>
        <w:rPr>
          <w:rFonts w:eastAsia="等线" w:cs="Arial"/>
        </w:rPr>
        <w:t>B</w:t>
      </w:r>
      <w:r w:rsidRPr="00E26C09">
        <w:rPr>
          <w:rFonts w:eastAsia="等线" w:cs="Arial"/>
        </w:rPr>
        <w:t>ased on above theoretical background</w:t>
      </w:r>
      <w:r>
        <w:rPr>
          <w:rFonts w:eastAsia="等线" w:cs="Arial"/>
        </w:rPr>
        <w:t>,</w:t>
      </w:r>
      <w:r w:rsidRPr="00E26C09">
        <w:rPr>
          <w:rFonts w:eastAsia="等线" w:cs="Arial"/>
        </w:rPr>
        <w:t xml:space="preserve"> </w:t>
      </w:r>
      <w:r w:rsidR="00830976">
        <w:rPr>
          <w:rFonts w:eastAsia="等线" w:cs="Arial"/>
        </w:rPr>
        <w:t>this research</w:t>
      </w:r>
      <w:r w:rsidR="00FD2FA0">
        <w:rPr>
          <w:rFonts w:eastAsia="等线" w:cs="Arial"/>
        </w:rPr>
        <w:t xml:space="preserve"> recognised that </w:t>
      </w:r>
      <w:r w:rsidR="00B1369D">
        <w:rPr>
          <w:rFonts w:eastAsia="等线" w:cs="Arial"/>
        </w:rPr>
        <w:t>a</w:t>
      </w:r>
      <w:r w:rsidR="00FD2FA0" w:rsidRPr="00E26C09">
        <w:rPr>
          <w:rFonts w:eastAsia="等线" w:cs="Arial"/>
        </w:rPr>
        <w:t xml:space="preserve"> fruitful stakeholders</w:t>
      </w:r>
      <w:r w:rsidR="004D5885">
        <w:rPr>
          <w:rFonts w:eastAsia="等线" w:cs="Arial"/>
        </w:rPr>
        <w:t xml:space="preserve"> </w:t>
      </w:r>
      <w:r w:rsidR="00FD2FA0" w:rsidRPr="00E26C09">
        <w:rPr>
          <w:rFonts w:eastAsia="等线" w:cs="Arial"/>
        </w:rPr>
        <w:t>engagement process could promote the long-term sustainability of</w:t>
      </w:r>
      <w:r w:rsidR="00B1369D">
        <w:rPr>
          <w:rFonts w:eastAsia="等线" w:cs="Arial"/>
        </w:rPr>
        <w:t xml:space="preserve"> a</w:t>
      </w:r>
      <w:r w:rsidR="00FD2FA0" w:rsidRPr="00E26C09">
        <w:rPr>
          <w:rFonts w:eastAsia="等线" w:cs="Arial"/>
        </w:rPr>
        <w:t xml:space="preserve"> UCC.</w:t>
      </w:r>
      <w:r w:rsidR="00FD2FA0">
        <w:rPr>
          <w:rFonts w:eastAsia="等线" w:cs="Arial"/>
        </w:rPr>
        <w:t xml:space="preserve"> Thereby, </w:t>
      </w:r>
      <w:r>
        <w:rPr>
          <w:rFonts w:eastAsia="等线" w:cs="Arial"/>
        </w:rPr>
        <w:t>t</w:t>
      </w:r>
      <w:r w:rsidRPr="00E26C09">
        <w:rPr>
          <w:rFonts w:eastAsia="等线" w:cs="Arial"/>
        </w:rPr>
        <w:t>his study first elaborates</w:t>
      </w:r>
      <w:r w:rsidR="00B1369D">
        <w:rPr>
          <w:rFonts w:eastAsia="等线" w:cs="Arial"/>
        </w:rPr>
        <w:t xml:space="preserve"> on</w:t>
      </w:r>
      <w:r w:rsidRPr="00E26C09">
        <w:rPr>
          <w:rFonts w:eastAsia="等线" w:cs="Arial"/>
        </w:rPr>
        <w:t xml:space="preserve"> the stakeholders engagement of the UCCs in both Sweden and China, in terms</w:t>
      </w:r>
      <w:r>
        <w:rPr>
          <w:rFonts w:eastAsia="等线" w:cs="Arial"/>
        </w:rPr>
        <w:t xml:space="preserve"> </w:t>
      </w:r>
      <w:r w:rsidRPr="00E26C09">
        <w:rPr>
          <w:rFonts w:eastAsia="等线" w:cs="Arial"/>
        </w:rPr>
        <w:t>of</w:t>
      </w:r>
      <w:r>
        <w:rPr>
          <w:rFonts w:eastAsia="等线" w:cs="Arial"/>
        </w:rPr>
        <w:t xml:space="preserve"> (</w:t>
      </w:r>
      <w:proofErr w:type="spellStart"/>
      <w:r>
        <w:rPr>
          <w:rFonts w:eastAsia="等线" w:cs="Arial"/>
        </w:rPr>
        <w:t>i</w:t>
      </w:r>
      <w:proofErr w:type="spellEnd"/>
      <w:r>
        <w:rPr>
          <w:rFonts w:eastAsia="等线" w:cs="Arial"/>
        </w:rPr>
        <w:t xml:space="preserve">) </w:t>
      </w:r>
      <w:r w:rsidRPr="00E26C09">
        <w:rPr>
          <w:rFonts w:eastAsia="等线" w:cs="Arial"/>
        </w:rPr>
        <w:t>stakeholders analysis,</w:t>
      </w:r>
      <w:r>
        <w:rPr>
          <w:rFonts w:eastAsia="等线" w:cs="Arial"/>
        </w:rPr>
        <w:t xml:space="preserve"> (ii)</w:t>
      </w:r>
      <w:r w:rsidRPr="00E26C09">
        <w:rPr>
          <w:rFonts w:eastAsia="等线" w:cs="Arial"/>
        </w:rPr>
        <w:t xml:space="preserve"> the motivations of different stakeholders to establish the UCC, </w:t>
      </w:r>
      <w:r>
        <w:rPr>
          <w:rFonts w:eastAsia="等线" w:cs="Arial"/>
        </w:rPr>
        <w:t xml:space="preserve">(iii) </w:t>
      </w:r>
      <w:r w:rsidRPr="00E26C09">
        <w:rPr>
          <w:rFonts w:eastAsia="等线" w:cs="Arial"/>
        </w:rPr>
        <w:t>the way to join their interest</w:t>
      </w:r>
      <w:r w:rsidR="00B1369D">
        <w:rPr>
          <w:rFonts w:eastAsia="等线" w:cs="Arial"/>
        </w:rPr>
        <w:t>s</w:t>
      </w:r>
      <w:r w:rsidRPr="00E26C09">
        <w:rPr>
          <w:rFonts w:eastAsia="等线" w:cs="Arial"/>
        </w:rPr>
        <w:t>, and</w:t>
      </w:r>
      <w:r>
        <w:rPr>
          <w:rFonts w:eastAsia="等线" w:cs="Arial"/>
        </w:rPr>
        <w:t xml:space="preserve"> (iv)</w:t>
      </w:r>
      <w:r w:rsidRPr="00E26C09">
        <w:rPr>
          <w:rFonts w:eastAsia="等线" w:cs="Arial"/>
        </w:rPr>
        <w:t xml:space="preserve"> the final stakeholders</w:t>
      </w:r>
      <w:r w:rsidR="00B1369D">
        <w:rPr>
          <w:rFonts w:eastAsia="等线" w:cs="Arial"/>
        </w:rPr>
        <w:t>’</w:t>
      </w:r>
      <w:r w:rsidRPr="00E26C09">
        <w:rPr>
          <w:rFonts w:eastAsia="等线" w:cs="Arial"/>
        </w:rPr>
        <w:t xml:space="preserve"> partnerships.</w:t>
      </w:r>
    </w:p>
    <w:p w14:paraId="0D4E9806" w14:textId="456DAA60" w:rsidR="002A4187" w:rsidRPr="00E26C09" w:rsidRDefault="007D438A" w:rsidP="00D56E3F">
      <w:pPr>
        <w:spacing w:before="240" w:after="240" w:line="360" w:lineRule="auto"/>
        <w:rPr>
          <w:rFonts w:eastAsia="等线" w:cs="Arial"/>
        </w:rPr>
      </w:pPr>
      <w:r>
        <w:rPr>
          <w:rFonts w:eastAsia="等线" w:cs="Arial"/>
          <w:noProof/>
        </w:rPr>
        <w:fldChar w:fldCharType="begin"/>
      </w:r>
      <w:r w:rsidR="00647E79">
        <w:rPr>
          <w:rFonts w:eastAsia="等线" w:cs="Arial"/>
          <w:noProof/>
        </w:rPr>
        <w:instrText xml:space="preserve"> ADDIN EN.CITE &lt;EndNote&gt;&lt;Cite AuthorYear="1"&gt;&lt;Author&gt;Seow&lt;/Author&gt;&lt;Year&gt;2006&lt;/Year&gt;&lt;RecNum&gt;281&lt;/RecNum&gt;&lt;DisplayText&gt;Seow et al. (2006)&lt;/DisplayText&gt;&lt;record&gt;&lt;rec-number&gt;281&lt;/rec-number&gt;&lt;foreign-keys&gt;&lt;key app="EN" db-id="pzt5ep52hsedfpeext2pdfes0w0aswaewef2" timestamp="1605187999"&gt;281&lt;/key&gt;&lt;/foreign-keys&gt;&lt;ref-type name="Journal Article"&gt;17&lt;/ref-type&gt;&lt;contributors&gt;&lt;authors&gt;&lt;author&gt;Seow, Christopher&lt;/author&gt;&lt;author&gt;Hillary, Ruth&lt;/author&gt;&lt;author&gt;Gao, Simon S&lt;/author&gt;&lt;author&gt;Zhang, Jane J&lt;/author&gt;&lt;/authors&gt;&lt;/contributors&gt;&lt;titles&gt;&lt;title&gt;Stakeholder engagement, social auditing and corporate sustainability&lt;/title&gt;&lt;secondary-title&gt;Business process management journal&lt;/secondary-title&gt;&lt;/titles&gt;&lt;periodical&gt;&lt;full-title&gt;Business process management journal&lt;/full-title&gt;&lt;/periodical&gt;&lt;dates&gt;&lt;year&gt;2006&lt;/year&gt;&lt;/dates&gt;&lt;isbn&gt;1463-7154&lt;/isbn&gt;&lt;urls&gt;&lt;/urls&gt;&lt;/record&gt;&lt;/Cite&gt;&lt;/EndNote&gt;</w:instrText>
      </w:r>
      <w:r>
        <w:rPr>
          <w:rFonts w:eastAsia="等线" w:cs="Arial"/>
          <w:noProof/>
        </w:rPr>
        <w:fldChar w:fldCharType="separate"/>
      </w:r>
      <w:r w:rsidR="00A46235">
        <w:rPr>
          <w:rFonts w:eastAsia="等线" w:cs="Arial"/>
          <w:noProof/>
        </w:rPr>
        <w:t>Seow et al. (2006)</w:t>
      </w:r>
      <w:r>
        <w:rPr>
          <w:rFonts w:eastAsia="等线" w:cs="Arial"/>
          <w:noProof/>
        </w:rPr>
        <w:fldChar w:fldCharType="end"/>
      </w:r>
      <w:r w:rsidR="00D56E3F">
        <w:rPr>
          <w:rFonts w:eastAsia="等线" w:cs="Arial"/>
        </w:rPr>
        <w:t xml:space="preserve"> indicate that </w:t>
      </w:r>
      <w:r w:rsidR="00D56E3F" w:rsidRPr="00E26C09">
        <w:rPr>
          <w:rFonts w:ascii="Times-Roman" w:eastAsia="等线" w:hAnsi="Times-Roman" w:cs="Arial"/>
          <w:color w:val="363638"/>
          <w:szCs w:val="24"/>
        </w:rPr>
        <w:t>the level of engaging stakeholders will depend on the resources (</w:t>
      </w:r>
      <w:proofErr w:type="gramStart"/>
      <w:r w:rsidR="00D56E3F" w:rsidRPr="00E26C09">
        <w:rPr>
          <w:rFonts w:ascii="Times-Roman" w:eastAsia="等线" w:hAnsi="Times-Roman" w:cs="Arial"/>
          <w:color w:val="363638"/>
          <w:szCs w:val="24"/>
        </w:rPr>
        <w:t>e.g.</w:t>
      </w:r>
      <w:proofErr w:type="gramEnd"/>
      <w:r w:rsidR="00D56E3F" w:rsidRPr="00E26C09">
        <w:rPr>
          <w:rFonts w:ascii="Times-Roman" w:eastAsia="等线" w:hAnsi="Times-Roman" w:cs="Arial"/>
          <w:color w:val="363638"/>
          <w:szCs w:val="24"/>
        </w:rPr>
        <w:t xml:space="preserve"> funding and time</w:t>
      </w:r>
      <w:r w:rsidR="00D56E3F" w:rsidRPr="00E26C09">
        <w:rPr>
          <w:rFonts w:ascii="Times-Roman" w:eastAsia="等线" w:hAnsi="Times-Roman" w:cs="Arial"/>
          <w:color w:val="363638"/>
        </w:rPr>
        <w:t xml:space="preserve">) </w:t>
      </w:r>
      <w:r w:rsidR="00D56E3F" w:rsidRPr="00E26C09">
        <w:rPr>
          <w:rFonts w:ascii="Times-Roman" w:eastAsia="等线" w:hAnsi="Times-Roman" w:cs="Arial"/>
          <w:color w:val="363638"/>
          <w:szCs w:val="24"/>
        </w:rPr>
        <w:t xml:space="preserve">invested </w:t>
      </w:r>
      <w:r w:rsidR="00B1369D">
        <w:rPr>
          <w:rFonts w:ascii="Times-Roman" w:eastAsia="等线" w:hAnsi="Times-Roman" w:cs="Arial"/>
          <w:color w:val="363638"/>
          <w:szCs w:val="24"/>
        </w:rPr>
        <w:t>in</w:t>
      </w:r>
      <w:r w:rsidR="00D56E3F" w:rsidRPr="00E26C09">
        <w:rPr>
          <w:rFonts w:ascii="Times-Roman" w:eastAsia="等线" w:hAnsi="Times-Roman" w:cs="Arial"/>
          <w:color w:val="363638"/>
          <w:szCs w:val="24"/>
        </w:rPr>
        <w:t xml:space="preserve"> this process</w:t>
      </w:r>
      <w:r w:rsidR="00B1369D">
        <w:rPr>
          <w:rFonts w:ascii="Times-Roman" w:eastAsia="等线" w:hAnsi="Times-Roman" w:cs="Arial"/>
          <w:color w:val="363638"/>
          <w:szCs w:val="24"/>
        </w:rPr>
        <w:t>,</w:t>
      </w:r>
      <w:r w:rsidR="00D56E3F" w:rsidRPr="00E26C09">
        <w:rPr>
          <w:rFonts w:ascii="Times-Roman" w:eastAsia="等线" w:hAnsi="Times-Roman" w:cs="Arial"/>
          <w:color w:val="363638"/>
          <w:szCs w:val="24"/>
        </w:rPr>
        <w:t xml:space="preserve"> as well as whether appropriate methods are </w:t>
      </w:r>
      <w:r w:rsidR="00D56E3F" w:rsidRPr="00E26C09">
        <w:rPr>
          <w:rFonts w:ascii="Times-Roman" w:eastAsia="等线" w:hAnsi="Times-Roman" w:cs="Arial"/>
          <w:color w:val="363638"/>
          <w:szCs w:val="24"/>
        </w:rPr>
        <w:lastRenderedPageBreak/>
        <w:t xml:space="preserve">used. </w:t>
      </w:r>
      <w:r w:rsidR="00D56E3F" w:rsidRPr="00E26C09">
        <w:rPr>
          <w:rFonts w:ascii="Times-Roman" w:eastAsia="等线" w:hAnsi="Times-Roman" w:cs="Arial" w:hint="eastAsia"/>
          <w:color w:val="363638"/>
          <w:szCs w:val="24"/>
        </w:rPr>
        <w:t>I</w:t>
      </w:r>
      <w:r w:rsidR="00D56E3F" w:rsidRPr="00E26C09">
        <w:rPr>
          <w:rFonts w:ascii="Times-Roman" w:eastAsia="等线" w:hAnsi="Times-Roman" w:cs="Arial"/>
          <w:color w:val="363638"/>
          <w:szCs w:val="24"/>
        </w:rPr>
        <w:t xml:space="preserve">n this context, the second step of this study aims to improve </w:t>
      </w:r>
      <w:r w:rsidR="00D56E3F" w:rsidRPr="00E26C09">
        <w:rPr>
          <w:rFonts w:eastAsia="等线" w:cs="Arial"/>
        </w:rPr>
        <w:t xml:space="preserve">the stakeholders engagement quality through adopting </w:t>
      </w:r>
      <w:r w:rsidR="009B4D71">
        <w:rPr>
          <w:rFonts w:eastAsia="等线" w:cs="Arial"/>
        </w:rPr>
        <w:t xml:space="preserve">the </w:t>
      </w:r>
      <w:r w:rsidR="00D56E3F" w:rsidRPr="00E26C09">
        <w:rPr>
          <w:rFonts w:eastAsia="等线" w:cs="Arial"/>
        </w:rPr>
        <w:t>relevant decision-making method which is convenient</w:t>
      </w:r>
      <w:r w:rsidR="00D56E3F">
        <w:rPr>
          <w:rFonts w:eastAsia="等线" w:cs="Arial"/>
        </w:rPr>
        <w:t>ly</w:t>
      </w:r>
      <w:r w:rsidR="00D56E3F" w:rsidRPr="00E26C09">
        <w:rPr>
          <w:rFonts w:eastAsia="等线" w:cs="Arial"/>
        </w:rPr>
        <w:t xml:space="preserve"> used by stakeholders to exchange their opinions and straightforwardly reflect their concerns. Consequently, the complexity of </w:t>
      </w:r>
      <w:r w:rsidR="00BA0FDD">
        <w:rPr>
          <w:rFonts w:eastAsia="等线" w:cs="Arial"/>
        </w:rPr>
        <w:t xml:space="preserve">the </w:t>
      </w:r>
      <w:r w:rsidR="00D56E3F" w:rsidRPr="00E26C09">
        <w:rPr>
          <w:rFonts w:eastAsia="等线" w:cs="Arial"/>
        </w:rPr>
        <w:t>stakeholders</w:t>
      </w:r>
      <w:r w:rsidR="00BA0FDD">
        <w:rPr>
          <w:rFonts w:eastAsia="等线" w:cs="Arial"/>
        </w:rPr>
        <w:t>’</w:t>
      </w:r>
      <w:r w:rsidR="00D56E3F" w:rsidRPr="00E26C09">
        <w:rPr>
          <w:rFonts w:eastAsia="等线" w:cs="Arial"/>
        </w:rPr>
        <w:t xml:space="preserve"> barg</w:t>
      </w:r>
      <w:r w:rsidR="00D56E3F">
        <w:rPr>
          <w:rFonts w:eastAsia="等线" w:cs="Arial"/>
        </w:rPr>
        <w:t>ai</w:t>
      </w:r>
      <w:r w:rsidR="00D56E3F" w:rsidRPr="00E26C09">
        <w:rPr>
          <w:rFonts w:eastAsia="等线" w:cs="Arial"/>
        </w:rPr>
        <w:t>ning process will be simplified.</w:t>
      </w:r>
      <w:r w:rsidR="00D56E3F" w:rsidRPr="001551BA">
        <w:rPr>
          <w:rFonts w:eastAsia="等线" w:cs="Arial"/>
        </w:rPr>
        <w:t xml:space="preserve"> </w:t>
      </w:r>
      <w:r w:rsidR="00BA0FDD">
        <w:rPr>
          <w:rFonts w:eastAsia="等线" w:cs="Arial"/>
        </w:rPr>
        <w:t>More</w:t>
      </w:r>
      <w:r w:rsidR="00D56E3F" w:rsidRPr="001551BA">
        <w:rPr>
          <w:rFonts w:eastAsia="等线" w:cs="Arial"/>
        </w:rPr>
        <w:t xml:space="preserve"> </w:t>
      </w:r>
      <w:proofErr w:type="spellStart"/>
      <w:r w:rsidR="004D25FE" w:rsidRPr="00E26C09">
        <w:rPr>
          <w:rFonts w:eastAsia="等线" w:cs="Arial"/>
        </w:rPr>
        <w:t>specific</w:t>
      </w:r>
      <w:r w:rsidR="004D25FE">
        <w:rPr>
          <w:rFonts w:eastAsia="等线" w:cs="Arial"/>
        </w:rPr>
        <w:t>ically</w:t>
      </w:r>
      <w:proofErr w:type="spellEnd"/>
      <w:r w:rsidR="00D56E3F" w:rsidRPr="00E26C09">
        <w:rPr>
          <w:rFonts w:eastAsia="等线" w:cs="Arial"/>
        </w:rPr>
        <w:t>,</w:t>
      </w:r>
      <w:r w:rsidR="00D56E3F" w:rsidRPr="001551BA">
        <w:rPr>
          <w:rFonts w:eastAsia="等线" w:cs="Arial"/>
        </w:rPr>
        <w:t xml:space="preserve"> </w:t>
      </w:r>
      <w:r w:rsidR="00D56E3F" w:rsidRPr="00E26C09">
        <w:rPr>
          <w:rFonts w:eastAsia="等线" w:cs="Arial"/>
        </w:rPr>
        <w:t xml:space="preserve">implementing this method is to evaluate the severity of the disagreement between stakeholders, identifying the types of stakeholders’ conflicts, and revealing the reasons that render such contradictions. </w:t>
      </w:r>
    </w:p>
    <w:p w14:paraId="684535BE" w14:textId="49930198" w:rsidR="00D56E3F" w:rsidRDefault="00D56E3F" w:rsidP="00D56E3F">
      <w:pPr>
        <w:spacing w:after="240" w:line="360" w:lineRule="auto"/>
        <w:rPr>
          <w:rFonts w:eastAsia="等线" w:cs="Arial"/>
        </w:rPr>
      </w:pPr>
      <w:r w:rsidRPr="00E26C09">
        <w:rPr>
          <w:rFonts w:eastAsia="等线" w:cs="Arial"/>
        </w:rPr>
        <w:t xml:space="preserve">The third step is defining the adequate approach to ask the different stakeholders to undertake their social responsibility together. Dealing with this problem is based on the outcome of the first and second steps - </w:t>
      </w:r>
      <w:r w:rsidR="00C108C0">
        <w:rPr>
          <w:rFonts w:eastAsia="等线" w:cs="Arial"/>
        </w:rPr>
        <w:t>a</w:t>
      </w:r>
      <w:r w:rsidRPr="00E26C09">
        <w:rPr>
          <w:rFonts w:eastAsia="等线" w:cs="Arial"/>
        </w:rPr>
        <w:t xml:space="preserve"> sound community that stakeholders build together without serious conflict</w:t>
      </w:r>
      <w:r w:rsidR="00F2005B">
        <w:rPr>
          <w:rFonts w:eastAsia="等线" w:cs="Arial"/>
        </w:rPr>
        <w:t>s</w:t>
      </w:r>
      <w:r w:rsidRPr="00E26C09">
        <w:rPr>
          <w:rFonts w:eastAsia="等线" w:cs="Arial"/>
        </w:rPr>
        <w:t xml:space="preserve"> between each other in the UCC networks. In such precondition</w:t>
      </w:r>
      <w:r w:rsidR="00F2005B">
        <w:rPr>
          <w:rFonts w:eastAsia="等线" w:cs="Arial"/>
        </w:rPr>
        <w:t>s</w:t>
      </w:r>
      <w:r w:rsidRPr="00E26C09">
        <w:rPr>
          <w:rFonts w:eastAsia="等线" w:cs="Arial" w:hint="eastAsia"/>
        </w:rPr>
        <w:t>,</w:t>
      </w:r>
      <w:r w:rsidRPr="00E26C09">
        <w:rPr>
          <w:rFonts w:eastAsia="等线" w:cs="Arial"/>
        </w:rPr>
        <w:t xml:space="preserve"> CSR</w:t>
      </w:r>
      <w:r w:rsidR="00C108C0">
        <w:rPr>
          <w:rFonts w:eastAsia="等线" w:cs="Arial"/>
        </w:rPr>
        <w:t>, acting as the outcome of stakeholders engagement,</w:t>
      </w:r>
      <w:r w:rsidRPr="00E26C09">
        <w:rPr>
          <w:rFonts w:eastAsia="等线" w:cs="Arial"/>
        </w:rPr>
        <w:t xml:space="preserve"> could be shared by different stakeholders. The logic of the cost allocation rules is coherent to the spirit of the “social auditing”, which details the </w:t>
      </w:r>
      <w:r>
        <w:rPr>
          <w:rFonts w:eastAsia="等线" w:cs="Arial"/>
        </w:rPr>
        <w:t>categories</w:t>
      </w:r>
      <w:r w:rsidRPr="00E26C09">
        <w:rPr>
          <w:rFonts w:eastAsia="等线" w:cs="Arial"/>
        </w:rPr>
        <w:t xml:space="preserve"> and values of the cost</w:t>
      </w:r>
      <w:r w:rsidR="00F753AF">
        <w:rPr>
          <w:rFonts w:eastAsia="等线" w:cs="Arial"/>
        </w:rPr>
        <w:t>s that</w:t>
      </w:r>
      <w:r w:rsidRPr="00E26C09">
        <w:rPr>
          <w:rFonts w:eastAsia="等线" w:cs="Arial"/>
        </w:rPr>
        <w:t xml:space="preserve"> should be shared with different stakeholders. Based on this proposition, this study proposes that stakeholders share the extra logistics costs associated with improving the urban environment. However, such cost </w:t>
      </w:r>
      <w:r w:rsidR="00F753AF">
        <w:rPr>
          <w:rFonts w:eastAsia="等线" w:cs="Arial"/>
        </w:rPr>
        <w:t xml:space="preserve">is </w:t>
      </w:r>
      <w:r w:rsidRPr="00E26C09">
        <w:rPr>
          <w:rFonts w:eastAsia="等线" w:cs="Arial"/>
        </w:rPr>
        <w:t>currently</w:t>
      </w:r>
      <w:r>
        <w:rPr>
          <w:rFonts w:eastAsia="等线" w:cs="Arial"/>
        </w:rPr>
        <w:t xml:space="preserve"> </w:t>
      </w:r>
      <w:r w:rsidRPr="00E26C09">
        <w:rPr>
          <w:rFonts w:eastAsia="等线" w:cs="Arial"/>
        </w:rPr>
        <w:t>undertaken by UCCs and local authorities. Our study in this section requires all stakeholders to create both economic and social values together.</w:t>
      </w:r>
      <w:r w:rsidR="005E23EF">
        <w:rPr>
          <w:rFonts w:eastAsia="等线" w:cs="Arial"/>
        </w:rPr>
        <w:t xml:space="preserve"> </w:t>
      </w:r>
      <w:r w:rsidR="00685048">
        <w:rPr>
          <w:rFonts w:eastAsia="等线" w:cs="Arial"/>
        </w:rPr>
        <w:fldChar w:fldCharType="begin"/>
      </w:r>
      <w:r w:rsidR="00685048">
        <w:rPr>
          <w:rFonts w:eastAsia="等线" w:cs="Arial"/>
        </w:rPr>
        <w:instrText xml:space="preserve"> REF _Ref44950179 \h </w:instrText>
      </w:r>
      <w:r w:rsidR="00685048">
        <w:rPr>
          <w:rFonts w:eastAsia="等线" w:cs="Arial"/>
        </w:rPr>
      </w:r>
      <w:r w:rsidR="00685048">
        <w:rPr>
          <w:rFonts w:eastAsia="等线" w:cs="Arial"/>
        </w:rPr>
        <w:fldChar w:fldCharType="separate"/>
      </w:r>
      <w:r w:rsidR="0005064B" w:rsidRPr="007F3DC0">
        <w:rPr>
          <w:rFonts w:cs="Times New Roman"/>
        </w:rPr>
        <w:t xml:space="preserve">Figure </w:t>
      </w:r>
      <w:r w:rsidR="0005064B">
        <w:rPr>
          <w:rFonts w:cs="Times New Roman"/>
          <w:noProof/>
        </w:rPr>
        <w:t>3</w:t>
      </w:r>
      <w:r w:rsidR="0005064B">
        <w:rPr>
          <w:rFonts w:cs="Times New Roman"/>
        </w:rPr>
        <w:noBreakHyphen/>
      </w:r>
      <w:r w:rsidR="0005064B">
        <w:rPr>
          <w:rFonts w:cs="Times New Roman"/>
          <w:noProof/>
        </w:rPr>
        <w:t>1</w:t>
      </w:r>
      <w:r w:rsidR="00685048">
        <w:rPr>
          <w:rFonts w:eastAsia="等线" w:cs="Arial"/>
        </w:rPr>
        <w:fldChar w:fldCharType="end"/>
      </w:r>
      <w:r w:rsidR="00796280">
        <w:rPr>
          <w:rFonts w:eastAsia="等线" w:cs="Arial"/>
        </w:rPr>
        <w:t xml:space="preserve"> sketches the</w:t>
      </w:r>
      <w:r w:rsidR="00855D5C">
        <w:rPr>
          <w:rFonts w:eastAsia="等线" w:cs="Arial"/>
        </w:rPr>
        <w:t xml:space="preserve"> theo</w:t>
      </w:r>
      <w:r w:rsidR="006817F5">
        <w:rPr>
          <w:rFonts w:eastAsia="等线" w:cs="Arial"/>
        </w:rPr>
        <w:t>retical</w:t>
      </w:r>
      <w:r w:rsidR="00796280">
        <w:rPr>
          <w:rFonts w:eastAsia="等线" w:cs="Arial"/>
        </w:rPr>
        <w:t xml:space="preserve"> framework of the thesis.</w:t>
      </w:r>
    </w:p>
    <w:p w14:paraId="4DF22D13" w14:textId="77777777" w:rsidR="008740CC" w:rsidRPr="00E26C09" w:rsidRDefault="008740CC" w:rsidP="008740CC">
      <w:pPr>
        <w:spacing w:line="360" w:lineRule="auto"/>
        <w:jc w:val="left"/>
        <w:rPr>
          <w:rFonts w:eastAsia="等线" w:cs="Arial"/>
        </w:rPr>
      </w:pPr>
      <w:r>
        <w:object w:dxaOrig="11025" w:dyaOrig="5220" w14:anchorId="6B80F98B">
          <v:shape id="_x0000_i1029" type="#_x0000_t75" style="width:450.9pt;height:214.55pt" o:ole="">
            <v:imagedata r:id="rId44" o:title=""/>
          </v:shape>
          <o:OLEObject Type="Embed" ProgID="Visio.Drawing.15" ShapeID="_x0000_i1029" DrawAspect="Content" ObjectID="_1681648036" r:id="rId45"/>
        </w:object>
      </w:r>
    </w:p>
    <w:p w14:paraId="4BDCAA60" w14:textId="7277D475" w:rsidR="008740CC" w:rsidRPr="008740CC" w:rsidRDefault="008740CC" w:rsidP="008740CC">
      <w:pPr>
        <w:pStyle w:val="Caption"/>
        <w:spacing w:after="0" w:line="360" w:lineRule="auto"/>
        <w:rPr>
          <w:rFonts w:cs="Times New Roman"/>
        </w:rPr>
      </w:pPr>
      <w:bookmarkStart w:id="521" w:name="_Ref44950179"/>
      <w:bookmarkStart w:id="522" w:name="_Toc46053673"/>
      <w:bookmarkStart w:id="523" w:name="_Toc66698704"/>
      <w:r w:rsidRPr="007F3DC0">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3</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1</w:t>
      </w:r>
      <w:r w:rsidR="00632993">
        <w:rPr>
          <w:rFonts w:cs="Times New Roman"/>
        </w:rPr>
        <w:fldChar w:fldCharType="end"/>
      </w:r>
      <w:bookmarkEnd w:id="521"/>
      <w:r w:rsidRPr="007F3DC0">
        <w:rPr>
          <w:rFonts w:cs="Times New Roman"/>
        </w:rPr>
        <w:t>: Theoretical framework of the thesis</w:t>
      </w:r>
      <w:bookmarkEnd w:id="522"/>
      <w:bookmarkEnd w:id="523"/>
    </w:p>
    <w:p w14:paraId="05A56C27" w14:textId="5921190D" w:rsidR="000462DF" w:rsidRPr="00D56E3F" w:rsidRDefault="00D56E3F" w:rsidP="00721CE9">
      <w:pPr>
        <w:spacing w:after="240" w:line="360" w:lineRule="auto"/>
        <w:rPr>
          <w:rFonts w:eastAsia="等线" w:cs="Arial"/>
        </w:rPr>
      </w:pPr>
      <w:r w:rsidRPr="00E26C09">
        <w:rPr>
          <w:rFonts w:eastAsia="等线" w:cs="Arial"/>
        </w:rPr>
        <w:t xml:space="preserve">The justification of our strategy is based on the extended producer responsibility (EPR) and the extended customer responsibility (ECR). These two principles can be considered as the </w:t>
      </w:r>
      <w:r w:rsidRPr="00E26C09">
        <w:rPr>
          <w:rFonts w:eastAsia="等线" w:cs="Arial"/>
        </w:rPr>
        <w:lastRenderedPageBreak/>
        <w:t xml:space="preserve">constituent branches of the CSR, which indicates the scope of CSR undertaken by </w:t>
      </w:r>
      <w:r>
        <w:rPr>
          <w:rFonts w:eastAsia="等线" w:cs="Arial"/>
        </w:rPr>
        <w:t xml:space="preserve">suppliers and </w:t>
      </w:r>
      <w:r w:rsidRPr="00E26C09">
        <w:rPr>
          <w:rFonts w:eastAsia="等线" w:cs="Arial"/>
        </w:rPr>
        <w:t>customer</w:t>
      </w:r>
      <w:r>
        <w:rPr>
          <w:rFonts w:eastAsia="等线" w:cs="Arial"/>
        </w:rPr>
        <w:t>s, respectively</w:t>
      </w:r>
      <w:r w:rsidRPr="00E26C09">
        <w:rPr>
          <w:rFonts w:eastAsia="等线" w:cs="Arial"/>
        </w:rPr>
        <w:t xml:space="preserve">. </w:t>
      </w:r>
      <w:proofErr w:type="spellStart"/>
      <w:r w:rsidR="00B57709">
        <w:rPr>
          <w:rFonts w:eastAsia="等线" w:cs="Arial"/>
        </w:rPr>
        <w:t>S</w:t>
      </w:r>
      <w:r w:rsidR="00B57709" w:rsidRPr="00E26C09">
        <w:rPr>
          <w:rFonts w:eastAsia="等线" w:cs="Arial"/>
        </w:rPr>
        <w:t>pecific</w:t>
      </w:r>
      <w:r w:rsidR="00B57709">
        <w:rPr>
          <w:rFonts w:eastAsia="等线" w:cs="Arial"/>
        </w:rPr>
        <w:t>ically</w:t>
      </w:r>
      <w:proofErr w:type="spellEnd"/>
      <w:r w:rsidRPr="00E26C09">
        <w:rPr>
          <w:rFonts w:eastAsia="等线" w:cs="Arial"/>
        </w:rPr>
        <w:t xml:space="preserve">, the former principle requires the producers to take responsibility </w:t>
      </w:r>
      <w:r w:rsidR="00B57709">
        <w:rPr>
          <w:rFonts w:eastAsia="等线" w:cs="Arial"/>
        </w:rPr>
        <w:t>for</w:t>
      </w:r>
      <w:r w:rsidRPr="00E26C09">
        <w:rPr>
          <w:rFonts w:eastAsia="等线" w:cs="Arial"/>
        </w:rPr>
        <w:t xml:space="preserve"> the negative environmental and social impact during the lifecycle of their products. Conversely, the latter indicates that customers need to take responsibility for the </w:t>
      </w:r>
      <w:r>
        <w:rPr>
          <w:rFonts w:eastAsia="等线" w:cs="Arial"/>
        </w:rPr>
        <w:t>social</w:t>
      </w:r>
      <w:r w:rsidRPr="00E26C09">
        <w:rPr>
          <w:rFonts w:eastAsia="等线" w:cs="Arial"/>
        </w:rPr>
        <w:t xml:space="preserve"> harm</w:t>
      </w:r>
      <w:r>
        <w:rPr>
          <w:rFonts w:eastAsia="等线" w:cs="Arial"/>
        </w:rPr>
        <w:t xml:space="preserve"> </w:t>
      </w:r>
      <w:r w:rsidRPr="00E26C09">
        <w:rPr>
          <w:rFonts w:eastAsia="等线" w:cs="Arial"/>
        </w:rPr>
        <w:t xml:space="preserve">caused by the commodities or services they want to obtain. </w:t>
      </w:r>
    </w:p>
    <w:p w14:paraId="0DA11909" w14:textId="18B8C6FF" w:rsidR="00136C59" w:rsidRPr="00C06968" w:rsidRDefault="00A70742" w:rsidP="000A4E8C">
      <w:pPr>
        <w:pStyle w:val="Heading2"/>
        <w:spacing w:after="120" w:line="360" w:lineRule="auto"/>
      </w:pPr>
      <w:bookmarkStart w:id="524" w:name="_Toc46053437"/>
      <w:bookmarkStart w:id="525" w:name="_Toc46093351"/>
      <w:bookmarkStart w:id="526" w:name="_Toc46093634"/>
      <w:bookmarkStart w:id="527" w:name="_Toc66703209"/>
      <w:r>
        <w:t xml:space="preserve">Research </w:t>
      </w:r>
      <w:bookmarkEnd w:id="524"/>
      <w:bookmarkEnd w:id="525"/>
      <w:bookmarkEnd w:id="526"/>
      <w:r w:rsidR="00335E50">
        <w:t>design</w:t>
      </w:r>
      <w:bookmarkEnd w:id="527"/>
    </w:p>
    <w:p w14:paraId="560047CF" w14:textId="263D0A55" w:rsidR="0071798B" w:rsidRPr="00802DC5" w:rsidRDefault="0071798B" w:rsidP="00A917D2">
      <w:pPr>
        <w:spacing w:after="240" w:line="360" w:lineRule="auto"/>
        <w:rPr>
          <w:rFonts w:cs="Times New Roman"/>
        </w:rPr>
      </w:pPr>
      <w:r w:rsidRPr="00802DC5">
        <w:rPr>
          <w:rFonts w:cs="Times New Roman"/>
        </w:rPr>
        <w:t xml:space="preserve">To answer the research questions presented in </w:t>
      </w:r>
      <w:r w:rsidR="00B57709">
        <w:rPr>
          <w:rFonts w:cs="Times New Roman"/>
        </w:rPr>
        <w:t>S</w:t>
      </w:r>
      <w:r w:rsidRPr="00802DC5">
        <w:rPr>
          <w:rFonts w:cs="Times New Roman"/>
        </w:rPr>
        <w:t xml:space="preserve">ection </w:t>
      </w:r>
      <w:r w:rsidRPr="00737239">
        <w:rPr>
          <w:rFonts w:cs="Times New Roman"/>
        </w:rPr>
        <w:fldChar w:fldCharType="begin"/>
      </w:r>
      <w:r w:rsidRPr="00A96AC5">
        <w:rPr>
          <w:rFonts w:cs="Times New Roman"/>
        </w:rPr>
        <w:instrText xml:space="preserve"> REF _Ref27561177 \r \h </w:instrText>
      </w:r>
      <w:r w:rsidR="008903D1">
        <w:rPr>
          <w:rFonts w:cs="Times New Roman"/>
        </w:rPr>
        <w:instrText xml:space="preserve"> \* MERGEFORMAT </w:instrText>
      </w:r>
      <w:r w:rsidRPr="00737239">
        <w:rPr>
          <w:rFonts w:cs="Times New Roman"/>
        </w:rPr>
      </w:r>
      <w:r w:rsidRPr="00737239">
        <w:rPr>
          <w:rFonts w:cs="Times New Roman"/>
        </w:rPr>
        <w:fldChar w:fldCharType="separate"/>
      </w:r>
      <w:r w:rsidR="0005064B">
        <w:rPr>
          <w:rFonts w:cs="Times New Roman"/>
        </w:rPr>
        <w:t>2.9</w:t>
      </w:r>
      <w:r w:rsidRPr="00737239">
        <w:rPr>
          <w:rFonts w:cs="Times New Roman"/>
        </w:rPr>
        <w:fldChar w:fldCharType="end"/>
      </w:r>
      <w:r w:rsidRPr="008903D1">
        <w:rPr>
          <w:rFonts w:cs="Times New Roman"/>
        </w:rPr>
        <w:t xml:space="preserve">, </w:t>
      </w:r>
      <w:r w:rsidRPr="00737239">
        <w:rPr>
          <w:rFonts w:cs="Times New Roman"/>
        </w:rPr>
        <w:t>a multiple-case study approach was chosen. Four types of methodology are utilised: ‘cooperative game theory’</w:t>
      </w:r>
      <w:r w:rsidR="00B57709">
        <w:rPr>
          <w:rFonts w:cs="Times New Roman"/>
        </w:rPr>
        <w:t>,</w:t>
      </w:r>
      <w:r w:rsidRPr="00737239">
        <w:rPr>
          <w:rFonts w:cs="Times New Roman"/>
        </w:rPr>
        <w:t xml:space="preserve"> ‘AHP’</w:t>
      </w:r>
      <w:r w:rsidRPr="00737239">
        <w:rPr>
          <w:rFonts w:eastAsia="Times New Roman" w:cs="Times New Roman"/>
          <w:i/>
        </w:rPr>
        <w:t>,</w:t>
      </w:r>
      <w:r w:rsidRPr="008903D1">
        <w:rPr>
          <w:rFonts w:eastAsia="Times New Roman" w:cs="Times New Roman"/>
          <w:szCs w:val="24"/>
        </w:rPr>
        <w:t xml:space="preserve"> ‘non-parametric test’,</w:t>
      </w:r>
      <w:r w:rsidR="00B57709">
        <w:rPr>
          <w:rFonts w:eastAsia="Times New Roman" w:cs="Times New Roman"/>
          <w:szCs w:val="24"/>
        </w:rPr>
        <w:t xml:space="preserve"> and</w:t>
      </w:r>
      <w:r w:rsidRPr="008903D1">
        <w:rPr>
          <w:rFonts w:eastAsia="Times New Roman" w:cs="Times New Roman"/>
          <w:szCs w:val="24"/>
        </w:rPr>
        <w:t xml:space="preserve"> ‘thematic analysis’</w:t>
      </w:r>
      <w:r w:rsidRPr="00737239">
        <w:rPr>
          <w:rFonts w:cs="Times New Roman"/>
        </w:rPr>
        <w:t xml:space="preserve">. </w:t>
      </w:r>
      <w:r w:rsidR="003F19BB">
        <w:rPr>
          <w:rFonts w:cs="Times New Roman"/>
        </w:rPr>
        <w:fldChar w:fldCharType="begin"/>
      </w:r>
      <w:r w:rsidR="003F19BB">
        <w:rPr>
          <w:rFonts w:cs="Times New Roman"/>
        </w:rPr>
        <w:instrText xml:space="preserve"> REF _Ref44530668 \h </w:instrText>
      </w:r>
      <w:r w:rsidR="003F19BB">
        <w:rPr>
          <w:rFonts w:cs="Times New Roman"/>
        </w:rPr>
      </w:r>
      <w:r w:rsidR="003F19BB">
        <w:rPr>
          <w:rFonts w:cs="Times New Roman"/>
        </w:rPr>
        <w:fldChar w:fldCharType="separate"/>
      </w:r>
      <w:r w:rsidR="0005064B" w:rsidRPr="00737239">
        <w:rPr>
          <w:rFonts w:cs="Times New Roman"/>
        </w:rPr>
        <w:t xml:space="preserve">Figure </w:t>
      </w:r>
      <w:r w:rsidR="0005064B">
        <w:rPr>
          <w:rFonts w:cs="Times New Roman"/>
          <w:noProof/>
        </w:rPr>
        <w:t>3</w:t>
      </w:r>
      <w:r w:rsidR="0005064B">
        <w:rPr>
          <w:rFonts w:cs="Times New Roman"/>
        </w:rPr>
        <w:noBreakHyphen/>
      </w:r>
      <w:r w:rsidR="0005064B">
        <w:rPr>
          <w:rFonts w:cs="Times New Roman"/>
          <w:noProof/>
        </w:rPr>
        <w:t>2</w:t>
      </w:r>
      <w:r w:rsidR="003F19BB">
        <w:rPr>
          <w:rFonts w:cs="Times New Roman"/>
        </w:rPr>
        <w:fldChar w:fldCharType="end"/>
      </w:r>
      <w:r w:rsidR="003F19BB">
        <w:rPr>
          <w:rFonts w:cs="Times New Roman"/>
        </w:rPr>
        <w:t xml:space="preserve"> </w:t>
      </w:r>
      <w:r w:rsidRPr="008903D1">
        <w:rPr>
          <w:rFonts w:cs="Times New Roman"/>
        </w:rPr>
        <w:t xml:space="preserve">shows the distribution of </w:t>
      </w:r>
      <w:r w:rsidRPr="00737239">
        <w:rPr>
          <w:rFonts w:cs="Times New Roman"/>
        </w:rPr>
        <w:t>the methodologies for the different sub-questions.</w:t>
      </w:r>
      <w:r w:rsidR="0005256C" w:rsidRPr="008903D1">
        <w:rPr>
          <w:rFonts w:cs="Times New Roman"/>
        </w:rPr>
        <w:t xml:space="preserve"> </w:t>
      </w:r>
      <w:r w:rsidR="0005256C" w:rsidRPr="00737239">
        <w:rPr>
          <w:rFonts w:cs="Times New Roman"/>
        </w:rPr>
        <w:t>The methodological notes present</w:t>
      </w:r>
      <w:r w:rsidR="00944F60">
        <w:rPr>
          <w:rFonts w:cs="Times New Roman"/>
        </w:rPr>
        <w:t>ed</w:t>
      </w:r>
      <w:r w:rsidR="0005256C" w:rsidRPr="00737239">
        <w:rPr>
          <w:rFonts w:cs="Times New Roman"/>
        </w:rPr>
        <w:t xml:space="preserve"> in this section are a brief sketch about the theoretical background; then, each chapter will detail the full method</w:t>
      </w:r>
      <w:r w:rsidR="00A1297A" w:rsidRPr="00802DC5">
        <w:rPr>
          <w:rFonts w:cs="Times New Roman"/>
        </w:rPr>
        <w:t>.</w:t>
      </w:r>
    </w:p>
    <w:p w14:paraId="465C9C8B" w14:textId="7731C768" w:rsidR="00A1297A" w:rsidRPr="008903D1" w:rsidRDefault="00953EC6" w:rsidP="000A4E8C">
      <w:pPr>
        <w:spacing w:line="360" w:lineRule="auto"/>
        <w:jc w:val="center"/>
        <w:rPr>
          <w:rFonts w:cs="Times New Roman"/>
        </w:rPr>
      </w:pPr>
      <w:r>
        <w:object w:dxaOrig="11205" w:dyaOrig="8055" w14:anchorId="5D200201">
          <v:shape id="_x0000_i1030" type="#_x0000_t75" style="width:448.75pt;height:323.8pt" o:ole="">
            <v:imagedata r:id="rId46" o:title=""/>
          </v:shape>
          <o:OLEObject Type="Embed" ProgID="Visio.Drawing.15" ShapeID="_x0000_i1030" DrawAspect="Content" ObjectID="_1681648037" r:id="rId47"/>
        </w:object>
      </w:r>
    </w:p>
    <w:p w14:paraId="40F66EF6" w14:textId="4A8D8187" w:rsidR="0071798B" w:rsidRPr="00A96AC5" w:rsidRDefault="00A1297A" w:rsidP="00A917D2">
      <w:pPr>
        <w:pStyle w:val="Caption"/>
        <w:spacing w:line="360" w:lineRule="auto"/>
        <w:rPr>
          <w:rFonts w:cs="Times New Roman"/>
        </w:rPr>
      </w:pPr>
      <w:bookmarkStart w:id="528" w:name="_Ref44530668"/>
      <w:bookmarkStart w:id="529" w:name="_Toc46053674"/>
      <w:bookmarkStart w:id="530" w:name="_Toc66698705"/>
      <w:r w:rsidRPr="00737239">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3</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2</w:t>
      </w:r>
      <w:r w:rsidR="00632993">
        <w:rPr>
          <w:rFonts w:cs="Times New Roman"/>
        </w:rPr>
        <w:fldChar w:fldCharType="end"/>
      </w:r>
      <w:bookmarkEnd w:id="528"/>
      <w:r w:rsidR="00FD1FFD">
        <w:rPr>
          <w:rFonts w:cs="Times New Roman"/>
        </w:rPr>
        <w:t>:</w:t>
      </w:r>
      <w:r w:rsidRPr="00737239">
        <w:rPr>
          <w:rFonts w:cs="Times New Roman"/>
        </w:rPr>
        <w:t xml:space="preserve"> Research structure</w:t>
      </w:r>
      <w:bookmarkEnd w:id="529"/>
      <w:bookmarkEnd w:id="530"/>
    </w:p>
    <w:p w14:paraId="484ED0A4" w14:textId="77777777" w:rsidR="0071798B" w:rsidRPr="001F5064" w:rsidRDefault="0071798B" w:rsidP="000A4E8C">
      <w:pPr>
        <w:pStyle w:val="Heading3"/>
        <w:spacing w:line="360" w:lineRule="auto"/>
      </w:pPr>
      <w:bookmarkStart w:id="531" w:name="_Toc34734515"/>
      <w:bookmarkStart w:id="532" w:name="_Toc46053438"/>
      <w:bookmarkStart w:id="533" w:name="_Toc46093352"/>
      <w:bookmarkStart w:id="534" w:name="_Toc46093635"/>
      <w:bookmarkStart w:id="535" w:name="_Toc66703210"/>
      <w:r w:rsidRPr="001F5064">
        <w:lastRenderedPageBreak/>
        <w:t>Case study strategy</w:t>
      </w:r>
      <w:bookmarkEnd w:id="531"/>
      <w:bookmarkEnd w:id="532"/>
      <w:bookmarkEnd w:id="533"/>
      <w:bookmarkEnd w:id="534"/>
      <w:bookmarkEnd w:id="535"/>
    </w:p>
    <w:p w14:paraId="71E9D0BB" w14:textId="4732F5B2" w:rsidR="0081274F" w:rsidRPr="00A46235" w:rsidRDefault="008475DC" w:rsidP="0081274F">
      <w:pPr>
        <w:spacing w:after="240" w:line="360" w:lineRule="auto"/>
      </w:pPr>
      <w:r>
        <w:rPr>
          <w:rFonts w:cs="Times New Roman"/>
        </w:rPr>
        <w:t>The c</w:t>
      </w:r>
      <w:r w:rsidR="0071798B" w:rsidRPr="00802DC5">
        <w:rPr>
          <w:rFonts w:cs="Times New Roman"/>
        </w:rPr>
        <w:t xml:space="preserve">ase study </w:t>
      </w:r>
      <w:r w:rsidR="0071798B" w:rsidRPr="00870658">
        <w:t xml:space="preserve">is a research strategy and form of empirical inquiry that investigates a phenomenon within its real-world context </w:t>
      </w:r>
      <w:r w:rsidR="00A46235">
        <w:fldChar w:fldCharType="begin"/>
      </w:r>
      <w:r w:rsidR="00647E79">
        <w:instrText xml:space="preserve"> ADDIN EN.CITE &lt;EndNote&gt;&lt;Cite&gt;&lt;Author&gt;Zainal&lt;/Author&gt;&lt;Year&gt;2007&lt;/Year&gt;&lt;RecNum&gt;282&lt;/RecNum&gt;&lt;DisplayText&gt;(Zainal, 2007, Yin, 2018)&lt;/DisplayText&gt;&lt;record&gt;&lt;rec-number&gt;282&lt;/rec-number&gt;&lt;foreign-keys&gt;&lt;key app="EN" db-id="pzt5ep52hsedfpeext2pdfes0w0aswaewef2" timestamp="1605187999"&gt;282&lt;/key&gt;&lt;/foreign-keys&gt;&lt;ref-type name="Journal Article"&gt;17&lt;/ref-type&gt;&lt;contributors&gt;&lt;authors&gt;&lt;author&gt;Zainal, Zaidah&lt;/author&gt;&lt;/authors&gt;&lt;/contributors&gt;&lt;titles&gt;&lt;title&gt;Case study as a research method&lt;/title&gt;&lt;secondary-title&gt;Jurnal Kemanusiaan&lt;/secondary-title&gt;&lt;/titles&gt;&lt;periodical&gt;&lt;full-title&gt;Jurnal Kemanusiaan&lt;/full-title&gt;&lt;/periodical&gt;&lt;volume&gt;5&lt;/volume&gt;&lt;number&gt;1&lt;/number&gt;&lt;dates&gt;&lt;year&gt;2007&lt;/year&gt;&lt;/dates&gt;&lt;isbn&gt;2600-755X&lt;/isbn&gt;&lt;urls&gt;&lt;/urls&gt;&lt;/record&gt;&lt;/Cite&gt;&lt;Cite&gt;&lt;Author&gt;Yin&lt;/Author&gt;&lt;Year&gt;2018&lt;/Year&gt;&lt;RecNum&gt;283&lt;/RecNum&gt;&lt;record&gt;&lt;rec-number&gt;283&lt;/rec-number&gt;&lt;foreign-keys&gt;&lt;key app="EN" db-id="pzt5ep52hsedfpeext2pdfes0w0aswaewef2" timestamp="1605187999"&gt;283&lt;/key&gt;&lt;/foreign-keys&gt;&lt;ref-type name="Book"&gt;6&lt;/ref-type&gt;&lt;contributors&gt;&lt;authors&gt;&lt;author&gt;Yin, Rober</w:instrText>
      </w:r>
      <w:r w:rsidR="00647E79">
        <w:rPr>
          <w:rFonts w:hint="eastAsia"/>
        </w:rPr>
        <w:instrText>t K&lt;/author&gt;&lt;/authors&gt;&lt;/contributors&gt;&lt;titles&gt;&lt;title&gt;&lt;style face="normal" font="default" size="100%"&gt;Case Study Research and Applications: Design and Methods &lt;/style&gt;&lt;style face="normal" font="default" charset="134" size="100%"&gt;</w:instrText>
      </w:r>
      <w:r w:rsidR="00647E79">
        <w:rPr>
          <w:rFonts w:hint="eastAsia"/>
        </w:rPr>
        <w:instrText>（</w:instrText>
      </w:r>
      <w:r w:rsidR="00647E79">
        <w:rPr>
          <w:rFonts w:hint="eastAsia"/>
        </w:rPr>
        <w:instrText>&lt;/style&gt;&lt;style face="normal</w:instrText>
      </w:r>
      <w:r w:rsidR="00647E79">
        <w:instrText>" font="default" size="100%"&gt;Sixth Edition)&lt;/style&gt;&lt;/title&gt;&lt;/titles&gt;&lt;dates&gt;&lt;year&gt;2018&lt;/year&gt;&lt;/dates&gt;&lt;publisher&gt;Sage publications&lt;/publisher&gt;&lt;isbn&gt;1506336159&lt;/isbn&gt;&lt;urls&gt;&lt;/urls&gt;&lt;/record&gt;&lt;/Cite&gt;&lt;/EndNote&gt;</w:instrText>
      </w:r>
      <w:r w:rsidR="00A46235">
        <w:fldChar w:fldCharType="separate"/>
      </w:r>
      <w:r w:rsidR="00A46235">
        <w:rPr>
          <w:noProof/>
        </w:rPr>
        <w:t>(Zainal, 2007, Yin, 2018)</w:t>
      </w:r>
      <w:r w:rsidR="00A46235">
        <w:fldChar w:fldCharType="end"/>
      </w:r>
      <w:r w:rsidR="0071798B" w:rsidRPr="00870658">
        <w:t xml:space="preserve">. The advantage of this strategy is that it provides a comprehensive understanding of the dynamic research topics in context and a holistic in-depth investigation process </w:t>
      </w:r>
      <w:r w:rsidR="00A46235">
        <w:fldChar w:fldCharType="begin"/>
      </w:r>
      <w:r w:rsidR="00647E79">
        <w:instrText xml:space="preserve"> ADDIN EN.CITE &lt;EndNote&gt;&lt;Cite&gt;&lt;Author&gt;Eisenhardt&lt;/Author&gt;&lt;Year&gt;2007&lt;/Year&gt;&lt;RecNum&gt;284&lt;/RecNum&gt;&lt;DisplayText&gt;(Eisenhardt and Graebner, 2007, Zainal, 2007)&lt;/DisplayText&gt;&lt;record&gt;&lt;rec-number&gt;284&lt;/rec-number&gt;&lt;foreign-keys&gt;&lt;key app="EN" db-id="pzt5ep52hsedfpeext2pdfes0w0aswaewef2" timestamp="1605187999"&gt;284&lt;/key&gt;&lt;/foreign-keys&gt;&lt;ref-type name="Journal Article"&gt;17&lt;/ref-type&gt;&lt;contributors&gt;&lt;authors&gt;&lt;author&gt;Eisenhardt, Kathleen M&lt;/author&gt;&lt;author&gt;Graebner, Melissa E&lt;/author&gt;&lt;/authors&gt;&lt;/contributors&gt;&lt;titles&gt;&lt;title&gt;Theory building from cases: Opportunities and challenges&lt;/title&gt;&lt;secondary-title&gt;Academy of management journal&lt;/secondary-title&gt;&lt;/titles&gt;&lt;periodical&gt;&lt;full-title&gt;Academy of management journal&lt;/full-title&gt;&lt;/periodical&gt;&lt;pages&gt;25-32&lt;/pages&gt;&lt;volume&gt;50&lt;/volume&gt;&lt;number&gt;1&lt;/number&gt;&lt;dates&gt;&lt;year&gt;2007&lt;/year&gt;&lt;/dates&gt;&lt;isbn&gt;0001-4273&lt;/isbn&gt;&lt;urls&gt;&lt;/urls&gt;&lt;/record&gt;&lt;/Cite&gt;&lt;Cite&gt;&lt;Author&gt;Zainal&lt;/Author&gt;&lt;Year&gt;2007&lt;/Year&gt;&lt;RecNum&gt;282&lt;/RecNum&gt;&lt;record&gt;&lt;rec-number&gt;282&lt;/rec-number&gt;&lt;foreign-keys&gt;&lt;key app="EN" db-id="pzt5ep52hsedfpeext2pdfes0w0aswaewef2" timestamp="1605187999"&gt;282&lt;/key&gt;&lt;/foreign-keys&gt;&lt;ref-type name="Journal Article"&gt;17&lt;/ref-type&gt;&lt;contributors&gt;&lt;authors&gt;&lt;author&gt;Zainal, Zaidah&lt;/author&gt;&lt;/authors&gt;&lt;/contributors&gt;&lt;titles&gt;&lt;title&gt;Case study as a research method&lt;/title&gt;&lt;secondary-title&gt;Jurnal Kemanusiaan&lt;/secondary-title&gt;&lt;/titles&gt;&lt;periodical&gt;&lt;full-title&gt;Jurnal Kemanusiaan&lt;/full-title&gt;&lt;/periodical&gt;&lt;volume&gt;5&lt;/volume&gt;&lt;number&gt;1&lt;/number&gt;&lt;dates&gt;&lt;year&gt;2007&lt;/year&gt;&lt;/dates&gt;&lt;isbn&gt;2600-755X&lt;/isbn&gt;&lt;urls&gt;&lt;/urls&gt;&lt;/record&gt;&lt;/Cite&gt;&lt;/EndNote&gt;</w:instrText>
      </w:r>
      <w:r w:rsidR="00A46235">
        <w:fldChar w:fldCharType="separate"/>
      </w:r>
      <w:r w:rsidR="00A46235">
        <w:rPr>
          <w:noProof/>
        </w:rPr>
        <w:t>(Eisenhardt and Graebner, 2007, Zainal, 2007)</w:t>
      </w:r>
      <w:r w:rsidR="00A46235">
        <w:fldChar w:fldCharType="end"/>
      </w:r>
      <w:r w:rsidR="0071798B" w:rsidRPr="00870658">
        <w:t xml:space="preserve">. The case study strategy in this study rests on the interpretivist philosophy. </w:t>
      </w:r>
      <w:r w:rsidR="0081274F" w:rsidRPr="00870658">
        <w:rPr>
          <w:rFonts w:hint="eastAsia"/>
        </w:rPr>
        <w:t>According</w:t>
      </w:r>
      <w:r w:rsidR="0081274F" w:rsidRPr="00870658">
        <w:t xml:space="preserve"> </w:t>
      </w:r>
      <w:r w:rsidR="0081274F" w:rsidRPr="00870658">
        <w:rPr>
          <w:rFonts w:hint="eastAsia"/>
        </w:rPr>
        <w:t>to</w:t>
      </w:r>
      <w:r w:rsidR="0081274F" w:rsidRPr="00870658">
        <w:t xml:space="preserve"> </w:t>
      </w:r>
      <w:r w:rsidR="00BE11A0" w:rsidRPr="00870658">
        <w:t>Yin (2018)</w:t>
      </w:r>
      <w:r w:rsidR="0081274F" w:rsidRPr="00870658">
        <w:t xml:space="preserve">, </w:t>
      </w:r>
      <w:r>
        <w:t>a c</w:t>
      </w:r>
      <w:r w:rsidR="0081274F" w:rsidRPr="00870658">
        <w:t>ase study is suitable for three kinds of research, in terms of exploratory, descriptive, and</w:t>
      </w:r>
      <w:r w:rsidR="0081274F" w:rsidRPr="00DE5BF6">
        <w:rPr>
          <w:rFonts w:cs="Times New Roman"/>
          <w:noProof/>
        </w:rPr>
        <w:t xml:space="preserve"> explanatory studies.</w:t>
      </w:r>
      <w:r w:rsidR="0081274F" w:rsidRPr="00E74AA6">
        <w:rPr>
          <w:rFonts w:ascii="Segoe UI" w:hAnsi="Segoe UI" w:cs="Segoe UI"/>
          <w:sz w:val="18"/>
          <w:szCs w:val="18"/>
        </w:rPr>
        <w:t xml:space="preserve"> </w:t>
      </w:r>
      <w:r w:rsidR="00A46235">
        <w:rPr>
          <w:rFonts w:cs="Times New Roman"/>
          <w:noProof/>
        </w:rPr>
        <w:fldChar w:fldCharType="begin"/>
      </w:r>
      <w:r w:rsidR="00647E79">
        <w:rPr>
          <w:rFonts w:cs="Times New Roman"/>
          <w:noProof/>
        </w:rPr>
        <w:instrText xml:space="preserve"> ADDIN EN.CITE &lt;EndNote&gt;&lt;Cite AuthorYear="1"&gt;&lt;Author&gt;Mills&lt;/Author&gt;&lt;Year&gt;2009&lt;/Year&gt;&lt;RecNum&gt;285&lt;/RecNum&gt;&lt;DisplayText&gt;Mills et al. (2009)&lt;/DisplayText&gt;&lt;record&gt;&lt;rec-number&gt;285&lt;/rec-number&gt;&lt;foreign-keys&gt;&lt;key app="EN" db-id="pzt5ep52hsedfpeext2pdfes0w0aswaewef2" timestamp="1605187999"&gt;285&lt;/key&gt;&lt;/foreign-keys&gt;&lt;ref-type name="Book"&gt;6&lt;/ref-type&gt;&lt;contributors&gt;&lt;authors&gt;&lt;author&gt;Mills, Albert J&lt;/author&gt;&lt;author&gt;Durepos, Gabrielle&lt;/author&gt;&lt;author&gt;Wiebe, Elden&lt;/author&gt;&lt;/authors&gt;&lt;/contributors&gt;&lt;titles&gt;&lt;title&gt;Encyclopedia of case study research&lt;/title&gt;&lt;/titles&gt;&lt;dates&gt;&lt;year&gt;2009&lt;/year&gt;&lt;/dates&gt;&lt;publisher&gt;Sage Publications&lt;/publisher&gt;&lt;isbn&gt;1452265720&lt;/isbn&gt;&lt;urls&gt;&lt;/urls&gt;&lt;/record&gt;&lt;/Cite&gt;&lt;/EndNote&gt;</w:instrText>
      </w:r>
      <w:r w:rsidR="00A46235">
        <w:rPr>
          <w:rFonts w:cs="Times New Roman"/>
          <w:noProof/>
        </w:rPr>
        <w:fldChar w:fldCharType="separate"/>
      </w:r>
      <w:r w:rsidR="00A46235">
        <w:rPr>
          <w:rFonts w:cs="Times New Roman"/>
          <w:noProof/>
        </w:rPr>
        <w:t>Mills et al. (2009)</w:t>
      </w:r>
      <w:r w:rsidR="00A46235">
        <w:rPr>
          <w:rFonts w:cs="Times New Roman"/>
          <w:noProof/>
        </w:rPr>
        <w:fldChar w:fldCharType="end"/>
      </w:r>
      <w:r w:rsidR="00B36969">
        <w:rPr>
          <w:rFonts w:cs="Times New Roman"/>
        </w:rPr>
        <w:t xml:space="preserve"> </w:t>
      </w:r>
      <w:r w:rsidR="0081274F">
        <w:rPr>
          <w:rFonts w:cs="Times New Roman"/>
        </w:rPr>
        <w:t xml:space="preserve">gives a </w:t>
      </w:r>
      <w:r w:rsidR="0040440B">
        <w:rPr>
          <w:rFonts w:cs="Times New Roman"/>
        </w:rPr>
        <w:t>definition</w:t>
      </w:r>
      <w:r w:rsidR="0081274F">
        <w:rPr>
          <w:rFonts w:cs="Times New Roman"/>
        </w:rPr>
        <w:t xml:space="preserve"> for these three types of </w:t>
      </w:r>
      <w:proofErr w:type="gramStart"/>
      <w:r w:rsidR="0081274F">
        <w:rPr>
          <w:rFonts w:cs="Times New Roman"/>
        </w:rPr>
        <w:t>researches</w:t>
      </w:r>
      <w:proofErr w:type="gramEnd"/>
      <w:r w:rsidR="0081274F">
        <w:rPr>
          <w:rFonts w:cs="Times New Roman"/>
        </w:rPr>
        <w:t xml:space="preserve"> b</w:t>
      </w:r>
      <w:r w:rsidR="00A46235">
        <w:rPr>
          <w:rFonts w:cs="Times New Roman"/>
        </w:rPr>
        <w:t>ased</w:t>
      </w:r>
      <w:r w:rsidR="0081274F">
        <w:rPr>
          <w:rFonts w:cs="Times New Roman"/>
        </w:rPr>
        <w:t xml:space="preserve"> on the case study strategy:</w:t>
      </w:r>
    </w:p>
    <w:p w14:paraId="400D549C" w14:textId="66F7BBCB" w:rsidR="0081274F" w:rsidRDefault="0081274F" w:rsidP="0081274F">
      <w:pPr>
        <w:shd w:val="clear" w:color="auto" w:fill="FFFFFF"/>
        <w:spacing w:line="360" w:lineRule="auto"/>
        <w:ind w:left="720"/>
        <w:rPr>
          <w:rFonts w:ascii="Arial" w:hAnsi="Arial" w:cs="Arial"/>
          <w:color w:val="333333"/>
          <w:sz w:val="21"/>
          <w:szCs w:val="21"/>
          <w:shd w:val="clear" w:color="auto" w:fill="FFFFFF"/>
        </w:rPr>
      </w:pPr>
      <w:r>
        <w:rPr>
          <w:rFonts w:cs="Times New Roman"/>
          <w:noProof/>
        </w:rPr>
        <w:t>Exploratory case study ‘</w:t>
      </w:r>
      <w:r w:rsidRPr="009C1C41">
        <w:rPr>
          <w:rFonts w:cs="Times New Roman"/>
          <w:i/>
          <w:iCs/>
        </w:rPr>
        <w:t>investigates distinct phenomena characteri</w:t>
      </w:r>
      <w:r w:rsidR="006D30AF">
        <w:rPr>
          <w:rFonts w:cs="Times New Roman"/>
          <w:i/>
          <w:iCs/>
        </w:rPr>
        <w:t>s</w:t>
      </w:r>
      <w:r w:rsidRPr="009C1C41">
        <w:rPr>
          <w:rFonts w:cs="Times New Roman"/>
          <w:i/>
          <w:iCs/>
        </w:rPr>
        <w:t>ed by a lack of detailed preliminary research, especially formulated hypotheses that can be tested, and/or by a specific research environment that limits the choice of methodology</w:t>
      </w:r>
      <w:r>
        <w:rPr>
          <w:rFonts w:cs="Times New Roman"/>
          <w:i/>
          <w:iCs/>
        </w:rPr>
        <w:t>’</w:t>
      </w:r>
      <w:r w:rsidRPr="009C1C41">
        <w:rPr>
          <w:rFonts w:cs="Times New Roman"/>
          <w:i/>
          <w:iCs/>
        </w:rPr>
        <w:t>.</w:t>
      </w:r>
      <w:r>
        <w:rPr>
          <w:rFonts w:ascii="Arial" w:hAnsi="Arial" w:cs="Arial"/>
          <w:color w:val="333333"/>
          <w:sz w:val="21"/>
          <w:szCs w:val="21"/>
          <w:shd w:val="clear" w:color="auto" w:fill="FFFFFF"/>
        </w:rPr>
        <w:t xml:space="preserve"> </w:t>
      </w:r>
    </w:p>
    <w:p w14:paraId="5A73BF69" w14:textId="77777777" w:rsidR="0081274F" w:rsidRDefault="0081274F" w:rsidP="0081274F">
      <w:pPr>
        <w:shd w:val="clear" w:color="auto" w:fill="FFFFFF"/>
        <w:spacing w:line="360" w:lineRule="auto"/>
        <w:ind w:left="720"/>
        <w:rPr>
          <w:rFonts w:ascii="Arial" w:hAnsi="Arial" w:cs="Arial"/>
          <w:i/>
          <w:iCs/>
          <w:color w:val="333333"/>
          <w:sz w:val="21"/>
          <w:szCs w:val="21"/>
          <w:shd w:val="clear" w:color="auto" w:fill="FFFFFF"/>
        </w:rPr>
      </w:pPr>
      <w:r>
        <w:rPr>
          <w:rFonts w:cs="Times New Roman"/>
          <w:noProof/>
        </w:rPr>
        <w:t>D</w:t>
      </w:r>
      <w:r w:rsidRPr="00DE5BF6">
        <w:rPr>
          <w:rFonts w:cs="Times New Roman"/>
          <w:noProof/>
        </w:rPr>
        <w:t>escriptive</w:t>
      </w:r>
      <w:r>
        <w:rPr>
          <w:rFonts w:cs="Times New Roman"/>
          <w:noProof/>
        </w:rPr>
        <w:t xml:space="preserve"> case study ‘</w:t>
      </w:r>
      <w:r w:rsidRPr="009C1C41">
        <w:rPr>
          <w:rFonts w:cs="Times New Roman"/>
          <w:i/>
          <w:iCs/>
        </w:rPr>
        <w:t>focused and detailed, in which propositions and questions about a phenomenon are carefully scrutini</w:t>
      </w:r>
      <w:r>
        <w:rPr>
          <w:rFonts w:cs="Times New Roman"/>
          <w:i/>
          <w:iCs/>
        </w:rPr>
        <w:t>s</w:t>
      </w:r>
      <w:r w:rsidRPr="009C1C41">
        <w:rPr>
          <w:rFonts w:cs="Times New Roman"/>
          <w:i/>
          <w:iCs/>
        </w:rPr>
        <w:t>ed and articulated at the outset</w:t>
      </w:r>
      <w:r>
        <w:rPr>
          <w:rFonts w:ascii="Arial" w:hAnsi="Arial" w:cs="Arial"/>
          <w:i/>
          <w:iCs/>
          <w:color w:val="333333"/>
          <w:sz w:val="21"/>
          <w:szCs w:val="21"/>
          <w:shd w:val="clear" w:color="auto" w:fill="FFFFFF"/>
        </w:rPr>
        <w:t xml:space="preserve">’. </w:t>
      </w:r>
    </w:p>
    <w:p w14:paraId="2582F7B6" w14:textId="0A1D2290" w:rsidR="0081274F" w:rsidRPr="009C1C41" w:rsidRDefault="0081274F" w:rsidP="0081274F">
      <w:pPr>
        <w:shd w:val="clear" w:color="auto" w:fill="FFFFFF"/>
        <w:spacing w:after="240" w:line="360" w:lineRule="auto"/>
        <w:ind w:left="720"/>
        <w:rPr>
          <w:rFonts w:cs="Times New Roman"/>
          <w:i/>
          <w:iCs/>
        </w:rPr>
      </w:pPr>
      <w:r>
        <w:rPr>
          <w:rFonts w:cs="Times New Roman"/>
          <w:noProof/>
        </w:rPr>
        <w:t>E</w:t>
      </w:r>
      <w:r w:rsidRPr="00DE5BF6">
        <w:rPr>
          <w:rFonts w:cs="Times New Roman"/>
          <w:noProof/>
        </w:rPr>
        <w:t>xplanatory</w:t>
      </w:r>
      <w:r>
        <w:rPr>
          <w:rFonts w:cs="Times New Roman"/>
          <w:noProof/>
        </w:rPr>
        <w:t xml:space="preserve"> case study</w:t>
      </w:r>
      <w:r>
        <w:rPr>
          <w:rFonts w:ascii="Arial" w:hAnsi="Arial" w:cs="Arial"/>
          <w:color w:val="333333"/>
          <w:sz w:val="21"/>
          <w:szCs w:val="21"/>
          <w:shd w:val="clear" w:color="auto" w:fill="FFFFFF"/>
        </w:rPr>
        <w:t xml:space="preserve"> ‘</w:t>
      </w:r>
      <w:r w:rsidR="006D30AF">
        <w:rPr>
          <w:rFonts w:cs="Times New Roman"/>
          <w:i/>
          <w:iCs/>
        </w:rPr>
        <w:t>u</w:t>
      </w:r>
      <w:r w:rsidRPr="009C1C41">
        <w:rPr>
          <w:rFonts w:cs="Times New Roman"/>
          <w:i/>
          <w:iCs/>
        </w:rPr>
        <w:t>sing both qualitative and quantitative research methods, explanatory case studies not only explore and describe phenomena but can also be used to explain causal relationships and to develop theory’.</w:t>
      </w:r>
    </w:p>
    <w:p w14:paraId="14333F2C" w14:textId="40DA8CDE" w:rsidR="00BF4C24" w:rsidRDefault="00795A0D" w:rsidP="00E57484">
      <w:pPr>
        <w:spacing w:after="240" w:line="360" w:lineRule="auto"/>
        <w:rPr>
          <w:rFonts w:cs="Times New Roman"/>
          <w:noProof/>
        </w:rPr>
      </w:pPr>
      <w:r>
        <w:rPr>
          <w:rFonts w:cs="Times New Roman"/>
          <w:lang w:val="en-US"/>
        </w:rPr>
        <w:t>According to</w:t>
      </w:r>
      <w:r w:rsidR="0081274F">
        <w:rPr>
          <w:rFonts w:cs="Times New Roman"/>
          <w:lang w:val="en-US"/>
        </w:rPr>
        <w:t xml:space="preserve"> </w:t>
      </w:r>
      <w:r w:rsidR="006D30AF">
        <w:rPr>
          <w:rFonts w:cs="Times New Roman"/>
          <w:lang w:val="en-US"/>
        </w:rPr>
        <w:t xml:space="preserve">the </w:t>
      </w:r>
      <w:r w:rsidR="0081274F">
        <w:rPr>
          <w:rFonts w:cs="Times New Roman"/>
          <w:lang w:val="en-US"/>
        </w:rPr>
        <w:t xml:space="preserve">above classification and the definition, our research can be considered as the combination of </w:t>
      </w:r>
      <w:r w:rsidR="0081274F">
        <w:rPr>
          <w:rFonts w:cs="Times New Roman"/>
          <w:noProof/>
        </w:rPr>
        <w:t>d</w:t>
      </w:r>
      <w:r w:rsidR="0081274F" w:rsidRPr="00DE5BF6">
        <w:rPr>
          <w:rFonts w:cs="Times New Roman"/>
          <w:noProof/>
        </w:rPr>
        <w:t>escriptive</w:t>
      </w:r>
      <w:r w:rsidR="0081274F">
        <w:rPr>
          <w:rFonts w:cs="Times New Roman"/>
          <w:noProof/>
        </w:rPr>
        <w:t xml:space="preserve"> and e</w:t>
      </w:r>
      <w:r w:rsidR="0081274F" w:rsidRPr="00DE5BF6">
        <w:rPr>
          <w:rFonts w:cs="Times New Roman"/>
          <w:noProof/>
        </w:rPr>
        <w:t>xplanatory</w:t>
      </w:r>
      <w:r w:rsidR="0081274F">
        <w:rPr>
          <w:rFonts w:cs="Times New Roman"/>
          <w:noProof/>
        </w:rPr>
        <w:t xml:space="preserve"> case study. </w:t>
      </w:r>
      <w:r w:rsidR="00AD250B" w:rsidRPr="00A96AC5">
        <w:rPr>
          <w:rFonts w:cs="Times New Roman"/>
        </w:rPr>
        <w:t>The purposes of the current case study are (1) to enable new and comprehensive understanding of stakeholder engagement in UCC projects in different countries, and (2) to understand the features and causes of stakeholder conflicts.</w:t>
      </w:r>
      <w:r w:rsidR="00AD250B">
        <w:rPr>
          <w:rFonts w:cs="Times New Roman"/>
          <w:noProof/>
        </w:rPr>
        <w:t xml:space="preserve"> </w:t>
      </w:r>
    </w:p>
    <w:p w14:paraId="4AFC4EDA" w14:textId="52F2433A" w:rsidR="00E57484" w:rsidRDefault="00851347" w:rsidP="00E57484">
      <w:pPr>
        <w:spacing w:after="240" w:line="360" w:lineRule="auto"/>
        <w:rPr>
          <w:rFonts w:cs="Times New Roman"/>
          <w:noProof/>
        </w:rPr>
      </w:pPr>
      <w:r>
        <w:rPr>
          <w:rFonts w:cs="Times New Roman"/>
          <w:noProof/>
        </w:rPr>
        <w:t>A</w:t>
      </w:r>
      <w:r w:rsidR="00DC1A78">
        <w:rPr>
          <w:rFonts w:cs="Times New Roman"/>
          <w:noProof/>
        </w:rPr>
        <w:t xml:space="preserve">s a </w:t>
      </w:r>
      <w:r>
        <w:rPr>
          <w:rFonts w:cs="Times New Roman"/>
          <w:noProof/>
        </w:rPr>
        <w:t>d</w:t>
      </w:r>
      <w:r w:rsidRPr="00DE5BF6">
        <w:rPr>
          <w:rFonts w:cs="Times New Roman"/>
          <w:noProof/>
        </w:rPr>
        <w:t>escriptive</w:t>
      </w:r>
      <w:r>
        <w:rPr>
          <w:rFonts w:cs="Times New Roman" w:hint="eastAsia"/>
          <w:noProof/>
        </w:rPr>
        <w:t xml:space="preserve"> </w:t>
      </w:r>
      <w:r>
        <w:rPr>
          <w:rFonts w:cs="Times New Roman"/>
          <w:noProof/>
        </w:rPr>
        <w:t>case study</w:t>
      </w:r>
      <w:r w:rsidR="0081274F">
        <w:rPr>
          <w:rFonts w:cs="Times New Roman"/>
          <w:noProof/>
        </w:rPr>
        <w:t xml:space="preserve"> </w:t>
      </w:r>
      <w:r w:rsidR="0081274F">
        <w:rPr>
          <w:rFonts w:cs="Times New Roman" w:hint="eastAsia"/>
          <w:noProof/>
        </w:rPr>
        <w:t>t</w:t>
      </w:r>
      <w:r w:rsidR="0081274F">
        <w:rPr>
          <w:rFonts w:cs="Times New Roman"/>
          <w:noProof/>
        </w:rPr>
        <w:t>o achieve the first objective</w:t>
      </w:r>
      <w:r>
        <w:rPr>
          <w:rFonts w:cs="Times New Roman"/>
          <w:noProof/>
        </w:rPr>
        <w:t xml:space="preserve">, </w:t>
      </w:r>
      <w:r w:rsidR="00A82717">
        <w:rPr>
          <w:rFonts w:cs="Times New Roman" w:hint="eastAsia"/>
          <w:noProof/>
        </w:rPr>
        <w:t>this</w:t>
      </w:r>
      <w:r w:rsidR="00A82717">
        <w:rPr>
          <w:rFonts w:cs="Times New Roman"/>
          <w:noProof/>
        </w:rPr>
        <w:t xml:space="preserve"> </w:t>
      </w:r>
      <w:r w:rsidR="00A82717">
        <w:rPr>
          <w:rFonts w:cs="Times New Roman" w:hint="eastAsia"/>
          <w:noProof/>
        </w:rPr>
        <w:t>study</w:t>
      </w:r>
      <w:r w:rsidR="00A82717">
        <w:rPr>
          <w:rFonts w:cs="Times New Roman"/>
          <w:noProof/>
        </w:rPr>
        <w:t xml:space="preserve"> </w:t>
      </w:r>
      <w:r w:rsidR="00A82717" w:rsidRPr="00A82717">
        <w:rPr>
          <w:rFonts w:cs="Times New Roman"/>
          <w:noProof/>
        </w:rPr>
        <w:t xml:space="preserve">will describe the process of stakeholder engagement in </w:t>
      </w:r>
      <w:r w:rsidR="003B4B2C">
        <w:rPr>
          <w:rFonts w:cs="Times New Roman"/>
          <w:noProof/>
        </w:rPr>
        <w:t xml:space="preserve">a </w:t>
      </w:r>
      <w:r w:rsidR="00A82717" w:rsidRPr="00A82717">
        <w:rPr>
          <w:rFonts w:cs="Times New Roman"/>
          <w:noProof/>
        </w:rPr>
        <w:t>UCC from an objective perspective</w:t>
      </w:r>
      <w:r w:rsidR="00166D92">
        <w:rPr>
          <w:rFonts w:cs="Times New Roman"/>
          <w:noProof/>
        </w:rPr>
        <w:t>.</w:t>
      </w:r>
      <w:r w:rsidR="00AD250B">
        <w:rPr>
          <w:rFonts w:cs="Times New Roman"/>
          <w:noProof/>
        </w:rPr>
        <w:t xml:space="preserve"> In this part,</w:t>
      </w:r>
      <w:r w:rsidR="00166D92">
        <w:rPr>
          <w:rFonts w:cs="Times New Roman"/>
          <w:noProof/>
        </w:rPr>
        <w:t xml:space="preserve"> </w:t>
      </w:r>
      <w:r w:rsidR="003B4B2C">
        <w:rPr>
          <w:rFonts w:cs="Times New Roman"/>
          <w:noProof/>
        </w:rPr>
        <w:t>i</w:t>
      </w:r>
      <w:r w:rsidR="00743A9F">
        <w:rPr>
          <w:rFonts w:cs="Times New Roman"/>
          <w:noProof/>
        </w:rPr>
        <w:t xml:space="preserve">t will also </w:t>
      </w:r>
      <w:r w:rsidR="00743A9F" w:rsidRPr="00743A9F">
        <w:rPr>
          <w:rFonts w:cs="Times New Roman"/>
          <w:noProof/>
        </w:rPr>
        <w:t>introduce</w:t>
      </w:r>
      <w:r w:rsidR="00743A9F">
        <w:rPr>
          <w:rFonts w:cs="Times New Roman"/>
          <w:noProof/>
        </w:rPr>
        <w:t xml:space="preserve"> </w:t>
      </w:r>
      <w:r w:rsidR="00743A9F" w:rsidRPr="00743A9F">
        <w:rPr>
          <w:rFonts w:cs="Times New Roman"/>
          <w:noProof/>
        </w:rPr>
        <w:t xml:space="preserve">the operation status of </w:t>
      </w:r>
      <w:r w:rsidR="00786297">
        <w:rPr>
          <w:rFonts w:cs="Times New Roman"/>
          <w:noProof/>
        </w:rPr>
        <w:t xml:space="preserve">a </w:t>
      </w:r>
      <w:r w:rsidR="00743A9F" w:rsidRPr="00743A9F">
        <w:rPr>
          <w:rFonts w:cs="Times New Roman"/>
          <w:noProof/>
        </w:rPr>
        <w:t>UCC, the goals achieved</w:t>
      </w:r>
      <w:r w:rsidR="00743A9F">
        <w:rPr>
          <w:rFonts w:cs="Times New Roman"/>
          <w:noProof/>
        </w:rPr>
        <w:t xml:space="preserve"> by</w:t>
      </w:r>
      <w:r w:rsidR="00786297">
        <w:rPr>
          <w:rFonts w:cs="Times New Roman"/>
          <w:noProof/>
        </w:rPr>
        <w:t xml:space="preserve"> a</w:t>
      </w:r>
      <w:r w:rsidR="00743A9F">
        <w:rPr>
          <w:rFonts w:cs="Times New Roman"/>
          <w:noProof/>
        </w:rPr>
        <w:t xml:space="preserve"> UCC</w:t>
      </w:r>
      <w:r w:rsidR="00743A9F" w:rsidRPr="00743A9F">
        <w:rPr>
          <w:rFonts w:cs="Times New Roman"/>
          <w:noProof/>
        </w:rPr>
        <w:t>, and the problems suffered by various stakeholders</w:t>
      </w:r>
      <w:r w:rsidR="00743A9F">
        <w:rPr>
          <w:rFonts w:cs="Times New Roman"/>
          <w:noProof/>
        </w:rPr>
        <w:t>.</w:t>
      </w:r>
      <w:r w:rsidR="00DC1A78">
        <w:rPr>
          <w:rFonts w:cs="Times New Roman"/>
          <w:noProof/>
        </w:rPr>
        <w:t xml:space="preserve"> </w:t>
      </w:r>
      <w:r>
        <w:rPr>
          <w:rFonts w:cs="Times New Roman"/>
          <w:noProof/>
        </w:rPr>
        <w:t>As a</w:t>
      </w:r>
      <w:r w:rsidR="00786297">
        <w:rPr>
          <w:rFonts w:cs="Times New Roman"/>
          <w:noProof/>
        </w:rPr>
        <w:t>n</w:t>
      </w:r>
      <w:r>
        <w:rPr>
          <w:rFonts w:cs="Times New Roman"/>
          <w:noProof/>
        </w:rPr>
        <w:t xml:space="preserve"> explanatory case study</w:t>
      </w:r>
      <w:r w:rsidR="0081274F">
        <w:rPr>
          <w:rFonts w:cs="Times New Roman"/>
          <w:noProof/>
        </w:rPr>
        <w:t xml:space="preserve"> to a</w:t>
      </w:r>
      <w:r w:rsidR="00786297">
        <w:rPr>
          <w:rFonts w:cs="Times New Roman"/>
          <w:noProof/>
        </w:rPr>
        <w:t>c</w:t>
      </w:r>
      <w:r w:rsidR="0081274F">
        <w:rPr>
          <w:rFonts w:cs="Times New Roman"/>
          <w:noProof/>
        </w:rPr>
        <w:t>hieve the second objective</w:t>
      </w:r>
      <w:r>
        <w:rPr>
          <w:rFonts w:cs="Times New Roman"/>
          <w:noProof/>
        </w:rPr>
        <w:t xml:space="preserve">, </w:t>
      </w:r>
      <w:r>
        <w:rPr>
          <w:rFonts w:cs="Times New Roman"/>
        </w:rPr>
        <w:t>a</w:t>
      </w:r>
      <w:r w:rsidR="0071798B" w:rsidRPr="00A96AC5">
        <w:rPr>
          <w:rFonts w:cs="Times New Roman"/>
        </w:rPr>
        <w:t xml:space="preserve"> comparative analysis is applied</w:t>
      </w:r>
      <w:r w:rsidR="00EA5337">
        <w:rPr>
          <w:rFonts w:cs="Times New Roman"/>
        </w:rPr>
        <w:t xml:space="preserve"> </w:t>
      </w:r>
      <w:r w:rsidR="00786297">
        <w:rPr>
          <w:rFonts w:cs="Times New Roman"/>
        </w:rPr>
        <w:t xml:space="preserve">across </w:t>
      </w:r>
      <w:r w:rsidR="0071798B" w:rsidRPr="00A96AC5">
        <w:rPr>
          <w:rFonts w:cs="Times New Roman"/>
        </w:rPr>
        <w:t xml:space="preserve">the multiple cases under consideration here. A systematic comparison in such a cross-case analysis reveals </w:t>
      </w:r>
      <w:r w:rsidR="00D8252F">
        <w:rPr>
          <w:rFonts w:cs="Times New Roman"/>
        </w:rPr>
        <w:t xml:space="preserve">both </w:t>
      </w:r>
      <w:r w:rsidR="0071798B" w:rsidRPr="00A96AC5">
        <w:rPr>
          <w:rFonts w:cs="Times New Roman"/>
        </w:rPr>
        <w:t xml:space="preserve">similarities and differences and shows how they affect findings. </w:t>
      </w:r>
      <w:r w:rsidR="0071798B" w:rsidRPr="00A96AC5">
        <w:rPr>
          <w:rFonts w:cs="Times New Roman"/>
          <w:iCs/>
        </w:rPr>
        <w:t>Each case is analysed as a single case on its own to compare the mechanisms identified, leading to theoretical conclusions.</w:t>
      </w:r>
      <w:r w:rsidR="0071798B" w:rsidRPr="00A96AC5">
        <w:rPr>
          <w:rFonts w:cs="Times New Roman"/>
        </w:rPr>
        <w:t xml:space="preserve"> </w:t>
      </w:r>
    </w:p>
    <w:p w14:paraId="402DEEDC" w14:textId="47AB5D5C" w:rsidR="00A05772" w:rsidRDefault="00A46235" w:rsidP="00D5363F">
      <w:pPr>
        <w:spacing w:after="240" w:line="360" w:lineRule="auto"/>
        <w:rPr>
          <w:rFonts w:eastAsia="Times New Roman" w:cs="Times New Roman"/>
          <w:color w:val="000000"/>
          <w:szCs w:val="24"/>
        </w:rPr>
      </w:pPr>
      <w:r>
        <w:rPr>
          <w:rFonts w:eastAsia="Times New Roman" w:cs="Times New Roman"/>
          <w:noProof/>
          <w:color w:val="000000"/>
          <w:szCs w:val="24"/>
        </w:rPr>
        <w:lastRenderedPageBreak/>
        <w:fldChar w:fldCharType="begin"/>
      </w:r>
      <w:r w:rsidR="00647E79">
        <w:rPr>
          <w:rFonts w:eastAsia="Times New Roman" w:cs="Times New Roman"/>
          <w:noProof/>
          <w:color w:val="000000"/>
          <w:szCs w:val="24"/>
        </w:rPr>
        <w:instrText xml:space="preserve"> ADDIN EN.CITE &lt;EndNote&gt;&lt;Cite AuthorYear="1"&gt;&lt;Author&gt;Eisenhardt&lt;/Author&gt;&lt;Year&gt;1989&lt;/Year&gt;&lt;RecNum&gt;286&lt;/RecNum&gt;&lt;DisplayText&gt;Eisenhardt (1989)&lt;/DisplayText&gt;&lt;record&gt;&lt;rec-number&gt;286&lt;/rec-number&gt;&lt;foreign-keys&gt;&lt;key app="EN" db-id="pzt5ep52hsedfpeext2pdfes0w0aswaewef2" timestamp="1605187999"&gt;286&lt;/key&gt;&lt;/foreign-keys&gt;&lt;ref-type name="Journal Article"&gt;17&lt;/ref-type&gt;&lt;contributors&gt;&lt;authors&gt;&lt;author&gt;Eisenhardt, Kathleen M.&lt;/author&gt;&lt;/authors&gt;&lt;/contributors&gt;&lt;titles&gt;&lt;title&gt;Building Theories from Case Study Research&lt;/title&gt;&lt;secondary-title&gt;Academy of Management Review&lt;/secondary-title&gt;&lt;/titles&gt;&lt;periodical&gt;&lt;full-title&gt;Academy of management review&lt;/full-title&gt;&lt;/periodical&gt;&lt;pages&gt;532-550&lt;/pages&gt;&lt;volume&gt;14&lt;/volume&gt;&lt;number&gt;4&lt;/number&gt;&lt;dates&gt;&lt;year&gt;1989&lt;/year&gt;&lt;pub-dates&gt;&lt;date&gt;1989/10/01&lt;/date&gt;&lt;/pub-dates&gt;&lt;/dates&gt;&lt;publisher&gt;Academy of Management&lt;/publisher&gt;&lt;isbn&gt;0363-7425&lt;/isbn&gt;&lt;urls&gt;&lt;related-urls&gt;&lt;url&gt;https://doi.org/10.5465/amr.1989.4308385&lt;/url&gt;&lt;/related-urls&gt;&lt;/urls&gt;&lt;electronic-resource-num&gt;10.5465/amr.1989.4308385&lt;/electronic-resource-num&gt;&lt;access-date&gt;2020/07/10&lt;/access-date&gt;&lt;/record&gt;&lt;/Cite&gt;&lt;/EndNote&gt;</w:instrText>
      </w:r>
      <w:r>
        <w:rPr>
          <w:rFonts w:eastAsia="Times New Roman" w:cs="Times New Roman"/>
          <w:noProof/>
          <w:color w:val="000000"/>
          <w:szCs w:val="24"/>
        </w:rPr>
        <w:fldChar w:fldCharType="separate"/>
      </w:r>
      <w:r>
        <w:rPr>
          <w:rFonts w:eastAsia="Times New Roman" w:cs="Times New Roman"/>
          <w:noProof/>
          <w:color w:val="000000"/>
          <w:szCs w:val="24"/>
        </w:rPr>
        <w:t>Eisenhardt (1989)</w:t>
      </w:r>
      <w:r>
        <w:rPr>
          <w:rFonts w:eastAsia="Times New Roman" w:cs="Times New Roman"/>
          <w:noProof/>
          <w:color w:val="000000"/>
          <w:szCs w:val="24"/>
        </w:rPr>
        <w:fldChar w:fldCharType="end"/>
      </w:r>
      <w:r w:rsidR="00363B33">
        <w:rPr>
          <w:rFonts w:eastAsia="Times New Roman" w:cs="Times New Roman"/>
          <w:color w:val="000000"/>
          <w:szCs w:val="24"/>
        </w:rPr>
        <w:t xml:space="preserve"> </w:t>
      </w:r>
      <w:r w:rsidR="00603AC7" w:rsidRPr="00603AC7">
        <w:rPr>
          <w:rFonts w:eastAsia="Times New Roman" w:cs="Times New Roman"/>
          <w:color w:val="000000"/>
          <w:szCs w:val="24"/>
        </w:rPr>
        <w:t xml:space="preserve">states that </w:t>
      </w:r>
      <w:r w:rsidR="00603AC7">
        <w:rPr>
          <w:rFonts w:eastAsia="Times New Roman" w:cs="Times New Roman"/>
          <w:color w:val="000000"/>
          <w:szCs w:val="24"/>
        </w:rPr>
        <w:t xml:space="preserve">although </w:t>
      </w:r>
      <w:r w:rsidR="00603AC7" w:rsidRPr="00603AC7">
        <w:rPr>
          <w:rFonts w:eastAsia="Times New Roman" w:cs="Times New Roman"/>
          <w:color w:val="000000"/>
          <w:szCs w:val="24"/>
        </w:rPr>
        <w:t xml:space="preserve">there is no </w:t>
      </w:r>
      <w:r w:rsidR="00B7364C" w:rsidRPr="00B7364C">
        <w:rPr>
          <w:rFonts w:eastAsia="Times New Roman" w:cs="Times New Roman"/>
          <w:color w:val="000000"/>
          <w:szCs w:val="24"/>
        </w:rPr>
        <w:t xml:space="preserve">optimal number of cases to choose from in </w:t>
      </w:r>
      <w:r w:rsidR="00D8252F">
        <w:rPr>
          <w:rFonts w:eastAsia="Times New Roman" w:cs="Times New Roman"/>
          <w:color w:val="000000"/>
          <w:szCs w:val="24"/>
        </w:rPr>
        <w:t xml:space="preserve">a </w:t>
      </w:r>
      <w:r w:rsidR="00B7364C" w:rsidRPr="00B7364C">
        <w:rPr>
          <w:rFonts w:eastAsia="Times New Roman" w:cs="Times New Roman"/>
          <w:color w:val="000000"/>
          <w:szCs w:val="24"/>
        </w:rPr>
        <w:t>multiple case stu</w:t>
      </w:r>
      <w:r w:rsidR="00B7364C">
        <w:rPr>
          <w:rFonts w:eastAsia="Times New Roman" w:cs="Times New Roman"/>
          <w:color w:val="000000"/>
          <w:szCs w:val="24"/>
        </w:rPr>
        <w:t xml:space="preserve">dy approach, </w:t>
      </w:r>
      <w:r w:rsidR="00603AC7" w:rsidRPr="00603AC7">
        <w:rPr>
          <w:rFonts w:eastAsia="Times New Roman" w:cs="Times New Roman"/>
          <w:color w:val="000000"/>
          <w:szCs w:val="24"/>
        </w:rPr>
        <w:t xml:space="preserve">she recommends that </w:t>
      </w:r>
      <w:proofErr w:type="gramStart"/>
      <w:r w:rsidR="00603AC7" w:rsidRPr="00603AC7">
        <w:rPr>
          <w:rFonts w:eastAsia="Times New Roman" w:cs="Times New Roman"/>
          <w:color w:val="000000"/>
          <w:szCs w:val="24"/>
        </w:rPr>
        <w:t>a number</w:t>
      </w:r>
      <w:r w:rsidR="00B7364C">
        <w:rPr>
          <w:rFonts w:eastAsia="Times New Roman" w:cs="Times New Roman"/>
          <w:color w:val="000000"/>
          <w:szCs w:val="24"/>
        </w:rPr>
        <w:t xml:space="preserve"> of</w:t>
      </w:r>
      <w:proofErr w:type="gramEnd"/>
      <w:r w:rsidR="00B7364C">
        <w:rPr>
          <w:rFonts w:eastAsia="Times New Roman" w:cs="Times New Roman"/>
          <w:color w:val="000000"/>
          <w:szCs w:val="24"/>
        </w:rPr>
        <w:t xml:space="preserve"> </w:t>
      </w:r>
      <w:r w:rsidR="002219A2">
        <w:rPr>
          <w:rFonts w:eastAsia="Times New Roman" w:cs="Times New Roman"/>
          <w:color w:val="000000"/>
          <w:szCs w:val="24"/>
        </w:rPr>
        <w:t>examples</w:t>
      </w:r>
      <w:r w:rsidR="00603AC7" w:rsidRPr="00603AC7">
        <w:rPr>
          <w:rFonts w:eastAsia="Times New Roman" w:cs="Times New Roman"/>
          <w:color w:val="000000"/>
          <w:szCs w:val="24"/>
        </w:rPr>
        <w:t xml:space="preserve"> between </w:t>
      </w:r>
      <w:r w:rsidR="002F1082">
        <w:rPr>
          <w:rFonts w:eastAsia="Times New Roman" w:cs="Times New Roman"/>
          <w:color w:val="000000"/>
          <w:szCs w:val="24"/>
        </w:rPr>
        <w:t>four</w:t>
      </w:r>
      <w:r w:rsidR="00603AC7" w:rsidRPr="00603AC7">
        <w:rPr>
          <w:rFonts w:eastAsia="Times New Roman" w:cs="Times New Roman"/>
          <w:color w:val="000000"/>
          <w:szCs w:val="24"/>
        </w:rPr>
        <w:t xml:space="preserve"> and </w:t>
      </w:r>
      <w:r w:rsidR="002F1082">
        <w:rPr>
          <w:rFonts w:eastAsia="Times New Roman" w:cs="Times New Roman"/>
          <w:color w:val="000000"/>
          <w:szCs w:val="24"/>
        </w:rPr>
        <w:t>ten</w:t>
      </w:r>
      <w:r w:rsidR="00603AC7" w:rsidRPr="00603AC7">
        <w:rPr>
          <w:rFonts w:eastAsia="Times New Roman" w:cs="Times New Roman"/>
          <w:color w:val="000000"/>
          <w:szCs w:val="24"/>
        </w:rPr>
        <w:t xml:space="preserve"> </w:t>
      </w:r>
      <w:r w:rsidR="002219A2">
        <w:rPr>
          <w:rFonts w:eastAsia="Times New Roman" w:cs="Times New Roman"/>
          <w:color w:val="000000"/>
          <w:szCs w:val="24"/>
        </w:rPr>
        <w:t>will be appropriate</w:t>
      </w:r>
      <w:r w:rsidR="00603AC7" w:rsidRPr="00603AC7">
        <w:rPr>
          <w:rFonts w:eastAsia="Times New Roman" w:cs="Times New Roman"/>
          <w:color w:val="000000"/>
          <w:szCs w:val="24"/>
        </w:rPr>
        <w:t xml:space="preserve">. While fewer than </w:t>
      </w:r>
      <w:r w:rsidR="002F1082">
        <w:rPr>
          <w:rFonts w:eastAsia="Times New Roman" w:cs="Times New Roman"/>
          <w:color w:val="000000"/>
          <w:szCs w:val="24"/>
        </w:rPr>
        <w:t>four</w:t>
      </w:r>
      <w:r w:rsidR="00603AC7" w:rsidRPr="00603AC7">
        <w:rPr>
          <w:rFonts w:eastAsia="Times New Roman" w:cs="Times New Roman"/>
          <w:color w:val="000000"/>
          <w:szCs w:val="24"/>
        </w:rPr>
        <w:t xml:space="preserve"> cases </w:t>
      </w:r>
      <w:proofErr w:type="gramStart"/>
      <w:r w:rsidR="002219A2">
        <w:rPr>
          <w:rFonts w:eastAsia="Times New Roman" w:cs="Times New Roman"/>
          <w:color w:val="000000"/>
          <w:szCs w:val="24"/>
        </w:rPr>
        <w:t>cause</w:t>
      </w:r>
      <w:r w:rsidR="00D8252F">
        <w:rPr>
          <w:rFonts w:eastAsia="Times New Roman" w:cs="Times New Roman"/>
          <w:color w:val="000000"/>
          <w:szCs w:val="24"/>
        </w:rPr>
        <w:t>s</w:t>
      </w:r>
      <w:proofErr w:type="gramEnd"/>
      <w:r w:rsidR="00603AC7" w:rsidRPr="00603AC7">
        <w:rPr>
          <w:rFonts w:eastAsia="Times New Roman" w:cs="Times New Roman"/>
          <w:color w:val="000000"/>
          <w:szCs w:val="24"/>
        </w:rPr>
        <w:t xml:space="preserve"> difficult</w:t>
      </w:r>
      <w:r w:rsidR="00D8252F">
        <w:rPr>
          <w:rFonts w:eastAsia="Times New Roman" w:cs="Times New Roman"/>
          <w:color w:val="000000"/>
          <w:szCs w:val="24"/>
        </w:rPr>
        <w:t>ies</w:t>
      </w:r>
      <w:r w:rsidR="00603AC7" w:rsidRPr="00603AC7">
        <w:rPr>
          <w:rFonts w:eastAsia="Times New Roman" w:cs="Times New Roman"/>
          <w:color w:val="000000"/>
          <w:szCs w:val="24"/>
        </w:rPr>
        <w:t xml:space="preserve"> generat</w:t>
      </w:r>
      <w:r w:rsidR="00D8252F">
        <w:rPr>
          <w:rFonts w:eastAsia="Times New Roman" w:cs="Times New Roman"/>
          <w:color w:val="000000"/>
          <w:szCs w:val="24"/>
        </w:rPr>
        <w:t>ing</w:t>
      </w:r>
      <w:r w:rsidR="00603AC7" w:rsidRPr="00603AC7">
        <w:rPr>
          <w:rFonts w:eastAsia="Times New Roman" w:cs="Times New Roman"/>
          <w:color w:val="000000"/>
          <w:szCs w:val="24"/>
        </w:rPr>
        <w:t xml:space="preserve"> theory of any complexity, and the empirical</w:t>
      </w:r>
      <w:r w:rsidR="0009473F">
        <w:rPr>
          <w:rFonts w:eastAsia="Times New Roman" w:cs="Times New Roman"/>
          <w:color w:val="000000"/>
          <w:szCs w:val="24"/>
        </w:rPr>
        <w:t xml:space="preserve"> </w:t>
      </w:r>
      <w:r w:rsidR="00603AC7" w:rsidRPr="00603AC7">
        <w:rPr>
          <w:rFonts w:eastAsia="Times New Roman" w:cs="Times New Roman"/>
          <w:color w:val="000000"/>
          <w:szCs w:val="24"/>
        </w:rPr>
        <w:t xml:space="preserve">grounding is likely to be unconvincing, with more than </w:t>
      </w:r>
      <w:r w:rsidR="002F1082">
        <w:rPr>
          <w:rFonts w:eastAsia="Times New Roman" w:cs="Times New Roman"/>
          <w:color w:val="000000"/>
          <w:szCs w:val="24"/>
        </w:rPr>
        <w:t>ten</w:t>
      </w:r>
      <w:r w:rsidR="00603AC7" w:rsidRPr="00603AC7">
        <w:rPr>
          <w:rFonts w:eastAsia="Times New Roman" w:cs="Times New Roman"/>
          <w:color w:val="000000"/>
          <w:szCs w:val="24"/>
        </w:rPr>
        <w:t xml:space="preserve"> cases, it quickly becomes difficult to </w:t>
      </w:r>
      <w:r w:rsidR="00ED467A">
        <w:rPr>
          <w:rFonts w:eastAsia="Times New Roman" w:cs="Times New Roman"/>
          <w:color w:val="000000"/>
          <w:szCs w:val="24"/>
        </w:rPr>
        <w:t>manage</w:t>
      </w:r>
      <w:r w:rsidR="00603AC7" w:rsidRPr="00603AC7">
        <w:rPr>
          <w:rFonts w:eastAsia="Times New Roman" w:cs="Times New Roman"/>
          <w:color w:val="000000"/>
          <w:szCs w:val="24"/>
        </w:rPr>
        <w:t xml:space="preserve"> the complex</w:t>
      </w:r>
      <w:r w:rsidR="00ED467A">
        <w:rPr>
          <w:rFonts w:eastAsia="Times New Roman" w:cs="Times New Roman"/>
          <w:color w:val="000000"/>
          <w:szCs w:val="24"/>
        </w:rPr>
        <w:t xml:space="preserve"> </w:t>
      </w:r>
      <w:r w:rsidR="00603AC7" w:rsidRPr="00603AC7">
        <w:rPr>
          <w:rFonts w:eastAsia="Times New Roman" w:cs="Times New Roman"/>
          <w:color w:val="000000"/>
          <w:szCs w:val="24"/>
        </w:rPr>
        <w:t xml:space="preserve">and </w:t>
      </w:r>
      <w:r w:rsidR="00ED467A">
        <w:rPr>
          <w:rFonts w:eastAsia="Times New Roman" w:cs="Times New Roman"/>
          <w:color w:val="000000"/>
          <w:szCs w:val="24"/>
        </w:rPr>
        <w:t xml:space="preserve">high </w:t>
      </w:r>
      <w:r w:rsidR="00603AC7" w:rsidRPr="00603AC7">
        <w:rPr>
          <w:rFonts w:eastAsia="Times New Roman" w:cs="Times New Roman"/>
          <w:color w:val="000000"/>
          <w:szCs w:val="24"/>
        </w:rPr>
        <w:t>volume</w:t>
      </w:r>
      <w:r w:rsidR="00E723C3" w:rsidRPr="00790B26">
        <w:rPr>
          <w:rFonts w:eastAsia="Times New Roman" w:cs="Times New Roman"/>
          <w:color w:val="000000"/>
          <w:szCs w:val="24"/>
        </w:rPr>
        <w:t xml:space="preserve"> </w:t>
      </w:r>
      <w:r w:rsidR="00603AC7" w:rsidRPr="00603AC7">
        <w:rPr>
          <w:rFonts w:eastAsia="Times New Roman" w:cs="Times New Roman"/>
          <w:color w:val="000000"/>
          <w:szCs w:val="24"/>
        </w:rPr>
        <w:t>of data</w:t>
      </w:r>
      <w:r w:rsidR="0009473F">
        <w:rPr>
          <w:rFonts w:eastAsia="Times New Roman" w:cs="Times New Roman"/>
          <w:color w:val="000000"/>
          <w:szCs w:val="24"/>
        </w:rPr>
        <w:t xml:space="preserve"> for the researcher</w:t>
      </w:r>
      <w:r w:rsidR="00603AC7" w:rsidRPr="00603AC7">
        <w:rPr>
          <w:rFonts w:eastAsia="Times New Roman" w:cs="Times New Roman"/>
          <w:color w:val="000000"/>
          <w:szCs w:val="24"/>
        </w:rPr>
        <w:t>.</w:t>
      </w:r>
      <w:r w:rsidR="00790B26">
        <w:rPr>
          <w:rFonts w:eastAsia="Times New Roman" w:cs="Times New Roman"/>
          <w:color w:val="000000"/>
          <w:szCs w:val="24"/>
        </w:rPr>
        <w:t xml:space="preserve"> </w:t>
      </w:r>
      <w:r w:rsidR="00790B26" w:rsidRPr="00790B26">
        <w:rPr>
          <w:rFonts w:eastAsia="Times New Roman" w:cs="Times New Roman" w:hint="eastAsia"/>
          <w:color w:val="000000"/>
          <w:szCs w:val="24"/>
        </w:rPr>
        <w:t>After</w:t>
      </w:r>
      <w:r w:rsidR="00790B26">
        <w:rPr>
          <w:rFonts w:eastAsia="Times New Roman" w:cs="Times New Roman"/>
          <w:color w:val="000000"/>
          <w:szCs w:val="24"/>
        </w:rPr>
        <w:t xml:space="preserve"> </w:t>
      </w:r>
      <w:r w:rsidR="00790B26" w:rsidRPr="00790B26">
        <w:rPr>
          <w:rFonts w:eastAsia="Times New Roman" w:cs="Times New Roman" w:hint="eastAsia"/>
          <w:color w:val="000000"/>
          <w:szCs w:val="24"/>
        </w:rPr>
        <w:t>that</w:t>
      </w:r>
      <w:r w:rsidR="00790B26">
        <w:rPr>
          <w:rFonts w:eastAsia="Times New Roman" w:cs="Times New Roman"/>
          <w:color w:val="000000"/>
          <w:szCs w:val="24"/>
        </w:rPr>
        <w:t>, Yin</w:t>
      </w:r>
      <w:r>
        <w:rPr>
          <w:rFonts w:eastAsia="Times New Roman" w:cs="Times New Roman"/>
          <w:color w:val="000000"/>
          <w:szCs w:val="24"/>
        </w:rPr>
        <w:t xml:space="preserve"> (2018)</w:t>
      </w:r>
      <w:r w:rsidR="00790B26">
        <w:rPr>
          <w:rFonts w:eastAsia="Times New Roman" w:cs="Times New Roman"/>
          <w:color w:val="000000"/>
          <w:szCs w:val="24"/>
        </w:rPr>
        <w:t xml:space="preserve"> g</w:t>
      </w:r>
      <w:r w:rsidR="008E529E">
        <w:rPr>
          <w:rFonts w:eastAsia="Times New Roman" w:cs="Times New Roman"/>
          <w:color w:val="000000"/>
          <w:szCs w:val="24"/>
        </w:rPr>
        <w:t xml:space="preserve">ave a </w:t>
      </w:r>
      <w:r w:rsidR="00B74138">
        <w:rPr>
          <w:rFonts w:eastAsia="Times New Roman" w:cs="Times New Roman"/>
          <w:color w:val="000000"/>
          <w:szCs w:val="24"/>
        </w:rPr>
        <w:t>suggestion of the sample size</w:t>
      </w:r>
      <w:r w:rsidR="008E529E">
        <w:rPr>
          <w:rFonts w:eastAsia="Times New Roman" w:cs="Times New Roman"/>
          <w:color w:val="000000"/>
          <w:szCs w:val="24"/>
        </w:rPr>
        <w:t xml:space="preserve"> in the case study</w:t>
      </w:r>
      <w:r w:rsidR="00B74138">
        <w:rPr>
          <w:rFonts w:eastAsia="Times New Roman" w:cs="Times New Roman"/>
          <w:color w:val="000000"/>
          <w:szCs w:val="24"/>
        </w:rPr>
        <w:t>:</w:t>
      </w:r>
    </w:p>
    <w:p w14:paraId="1E01F593" w14:textId="28670280" w:rsidR="00E723C3" w:rsidRPr="00B74138" w:rsidRDefault="007F68A8" w:rsidP="00B74138">
      <w:pPr>
        <w:spacing w:after="240" w:line="360" w:lineRule="auto"/>
        <w:ind w:left="720"/>
        <w:rPr>
          <w:rFonts w:eastAsia="Times New Roman" w:cs="Times New Roman"/>
          <w:i/>
          <w:iCs/>
          <w:color w:val="000000"/>
          <w:szCs w:val="24"/>
        </w:rPr>
      </w:pPr>
      <w:r>
        <w:rPr>
          <w:rFonts w:eastAsia="Times New Roman" w:cs="Times New Roman"/>
          <w:i/>
          <w:iCs/>
          <w:color w:val="000000"/>
          <w:szCs w:val="24"/>
        </w:rPr>
        <w:t>‘</w:t>
      </w:r>
      <w:r w:rsidR="00B74138" w:rsidRPr="00B74138">
        <w:rPr>
          <w:rFonts w:eastAsia="Times New Roman" w:cs="Times New Roman"/>
          <w:i/>
          <w:iCs/>
          <w:color w:val="000000"/>
          <w:szCs w:val="24"/>
        </w:rPr>
        <w:t>A few case studies (2 or 3) might aim at being literal replications, whereas a few other</w:t>
      </w:r>
      <w:r w:rsidR="00B74138">
        <w:rPr>
          <w:rFonts w:eastAsia="Times New Roman" w:cs="Times New Roman"/>
          <w:i/>
          <w:iCs/>
          <w:color w:val="000000"/>
          <w:szCs w:val="24"/>
        </w:rPr>
        <w:t xml:space="preserve"> </w:t>
      </w:r>
      <w:r w:rsidR="00B74138" w:rsidRPr="00B74138">
        <w:rPr>
          <w:rFonts w:eastAsia="Times New Roman" w:cs="Times New Roman"/>
          <w:i/>
          <w:iCs/>
          <w:color w:val="000000"/>
          <w:szCs w:val="24"/>
        </w:rPr>
        <w:t>case studies (4 to 6) might be designed to pursue two different patterns of theoretical replications</w:t>
      </w:r>
      <w:r>
        <w:rPr>
          <w:rFonts w:eastAsia="Times New Roman" w:cs="Times New Roman"/>
          <w:i/>
          <w:iCs/>
          <w:color w:val="000000"/>
          <w:szCs w:val="24"/>
        </w:rPr>
        <w:t>’</w:t>
      </w:r>
      <w:r w:rsidR="00B74138" w:rsidRPr="00B74138">
        <w:rPr>
          <w:rFonts w:eastAsia="Times New Roman" w:cs="Times New Roman"/>
          <w:i/>
          <w:iCs/>
          <w:color w:val="000000"/>
          <w:szCs w:val="24"/>
        </w:rPr>
        <w:t>.</w:t>
      </w:r>
      <w:r w:rsidR="00B74138">
        <w:rPr>
          <w:rFonts w:eastAsia="Times New Roman" w:cs="Times New Roman"/>
          <w:i/>
          <w:iCs/>
          <w:color w:val="000000"/>
          <w:szCs w:val="24"/>
        </w:rPr>
        <w:t xml:space="preserve"> </w:t>
      </w:r>
    </w:p>
    <w:p w14:paraId="089D5B27" w14:textId="2C8A02A4" w:rsidR="008F7565" w:rsidRDefault="002F1082" w:rsidP="002F1082">
      <w:pPr>
        <w:autoSpaceDE w:val="0"/>
        <w:autoSpaceDN w:val="0"/>
        <w:adjustRightInd w:val="0"/>
        <w:spacing w:after="240" w:line="360" w:lineRule="auto"/>
        <w:rPr>
          <w:rFonts w:cs="Times New Roman"/>
        </w:rPr>
      </w:pPr>
      <w:r>
        <w:rPr>
          <w:rFonts w:cs="Times New Roman"/>
        </w:rPr>
        <w:t>Based on such guideline</w:t>
      </w:r>
      <w:r w:rsidR="002D083C">
        <w:rPr>
          <w:rFonts w:cs="Times New Roman"/>
        </w:rPr>
        <w:t>s</w:t>
      </w:r>
      <w:r>
        <w:rPr>
          <w:rFonts w:cs="Times New Roman"/>
        </w:rPr>
        <w:t xml:space="preserve">, </w:t>
      </w:r>
      <w:r w:rsidR="0071798B" w:rsidRPr="00A96AC5">
        <w:rPr>
          <w:rFonts w:cs="Times New Roman"/>
        </w:rPr>
        <w:t xml:space="preserve">two Swedish UCCs and two Chinese UCCs are investigated to reveal the details of their respective stakeholder engagement processes. These cases cover all the UCC types classified by </w:t>
      </w:r>
      <w:r w:rsidR="0071798B" w:rsidRPr="00A96AC5">
        <w:rPr>
          <w:rFonts w:cs="Times New Roman"/>
          <w:noProof/>
        </w:rPr>
        <w:t>Browne et al. (2005)</w:t>
      </w:r>
      <w:r w:rsidR="0071798B" w:rsidRPr="00A96AC5">
        <w:rPr>
          <w:rFonts w:cs="Times New Roman"/>
        </w:rPr>
        <w:t>, namely the following: (</w:t>
      </w:r>
      <w:proofErr w:type="spellStart"/>
      <w:r w:rsidR="0071798B" w:rsidRPr="00A96AC5">
        <w:rPr>
          <w:rFonts w:cs="Times New Roman"/>
        </w:rPr>
        <w:t>i</w:t>
      </w:r>
      <w:proofErr w:type="spellEnd"/>
      <w:r w:rsidR="0071798B" w:rsidRPr="00A96AC5">
        <w:rPr>
          <w:rFonts w:cs="Times New Roman"/>
        </w:rPr>
        <w:t xml:space="preserve">) a special project UCC service for a signal site (Case 1), (ii) UCC services for dedicated industries (Case 2 and Case 3), and (iii) UCC services for cities (Case 3 and Case 4). The aim of this multiple case study is </w:t>
      </w:r>
      <w:r w:rsidR="0071798B" w:rsidRPr="00A96AC5">
        <w:rPr>
          <w:rFonts w:cs="Times New Roman"/>
          <w:iCs/>
        </w:rPr>
        <w:t>theoretical replication</w:t>
      </w:r>
      <w:r w:rsidR="0071798B" w:rsidRPr="00A96AC5">
        <w:rPr>
          <w:rFonts w:cs="Times New Roman"/>
        </w:rPr>
        <w:t xml:space="preserve">, with the different contextual factors of two groups of cases thus revealing different insights. Through this comparative case study, the current research offers </w:t>
      </w:r>
      <w:r w:rsidR="002F3DC5">
        <w:rPr>
          <w:rFonts w:cs="Times New Roman"/>
        </w:rPr>
        <w:t xml:space="preserve">an </w:t>
      </w:r>
      <w:r w:rsidR="0071798B" w:rsidRPr="00A96AC5">
        <w:rPr>
          <w:rFonts w:cs="Times New Roman"/>
        </w:rPr>
        <w:t xml:space="preserve">in-depth understanding of how stakeholder behaviours are affected by </w:t>
      </w:r>
      <w:r w:rsidR="008F7565">
        <w:rPr>
          <w:rFonts w:cs="Times New Roman"/>
        </w:rPr>
        <w:t>two different</w:t>
      </w:r>
      <w:r w:rsidR="0071798B" w:rsidRPr="00A96AC5">
        <w:rPr>
          <w:rFonts w:cs="Times New Roman"/>
        </w:rPr>
        <w:t xml:space="preserve"> logistics market conditions, service sizes, and population densities. Specifically, Sweden is a developed country and Stockholm is a medium-sized city</w:t>
      </w:r>
      <w:r w:rsidR="00A9177A">
        <w:rPr>
          <w:rFonts w:cs="Times New Roman"/>
        </w:rPr>
        <w:t>,</w:t>
      </w:r>
      <w:r w:rsidR="0071798B" w:rsidRPr="00A96AC5">
        <w:rPr>
          <w:rFonts w:cs="Times New Roman"/>
        </w:rPr>
        <w:t xml:space="preserve"> whilst China is a developing country undergoing rapid economic growth, and Wuhan is a metropolitan</w:t>
      </w:r>
      <w:r w:rsidR="00A9177A">
        <w:rPr>
          <w:rFonts w:cs="Times New Roman"/>
        </w:rPr>
        <w:t>-</w:t>
      </w:r>
      <w:r w:rsidR="0071798B" w:rsidRPr="00A96AC5">
        <w:rPr>
          <w:rFonts w:cs="Times New Roman"/>
        </w:rPr>
        <w:t>level city with</w:t>
      </w:r>
      <w:r w:rsidR="00A9177A">
        <w:rPr>
          <w:rFonts w:cs="Times New Roman"/>
        </w:rPr>
        <w:t xml:space="preserve"> a</w:t>
      </w:r>
      <w:r w:rsidR="0071798B" w:rsidRPr="00A96AC5">
        <w:rPr>
          <w:rFonts w:cs="Times New Roman"/>
        </w:rPr>
        <w:t xml:space="preserve"> fast-growing logistics market demand. In contrast, the logistics market in Stockholm is relatively small and fixed. </w:t>
      </w:r>
      <w:r w:rsidR="008F7565">
        <w:rPr>
          <w:rFonts w:cs="Times New Roman"/>
        </w:rPr>
        <w:t>In addition, the objective</w:t>
      </w:r>
      <w:r w:rsidR="00166503">
        <w:rPr>
          <w:rFonts w:cs="Times New Roman"/>
        </w:rPr>
        <w:t>s</w:t>
      </w:r>
      <w:r w:rsidR="008F7565">
        <w:rPr>
          <w:rFonts w:cs="Times New Roman"/>
        </w:rPr>
        <w:t xml:space="preserve"> of the</w:t>
      </w:r>
      <w:r w:rsidR="00166503">
        <w:rPr>
          <w:rFonts w:cs="Times New Roman"/>
        </w:rPr>
        <w:t xml:space="preserve"> Swedish cases </w:t>
      </w:r>
      <w:r w:rsidR="00331466">
        <w:rPr>
          <w:rFonts w:cs="Times New Roman"/>
        </w:rPr>
        <w:t>are</w:t>
      </w:r>
      <w:r w:rsidR="00166503">
        <w:rPr>
          <w:rFonts w:cs="Times New Roman"/>
        </w:rPr>
        <w:t xml:space="preserve"> to solve the environmental and social issues.</w:t>
      </w:r>
      <w:r w:rsidR="004D14E4">
        <w:rPr>
          <w:rFonts w:cs="Times New Roman"/>
        </w:rPr>
        <w:t xml:space="preserve"> Whilst</w:t>
      </w:r>
      <w:r w:rsidR="00331466">
        <w:rPr>
          <w:rFonts w:cs="Times New Roman"/>
        </w:rPr>
        <w:t xml:space="preserve"> </w:t>
      </w:r>
      <w:r w:rsidR="004D14E4">
        <w:rPr>
          <w:rFonts w:cs="Times New Roman"/>
        </w:rPr>
        <w:t>Chinese UCC</w:t>
      </w:r>
      <w:r w:rsidR="00743811">
        <w:rPr>
          <w:rFonts w:cs="Times New Roman"/>
        </w:rPr>
        <w:t>s</w:t>
      </w:r>
      <w:r w:rsidR="004D14E4">
        <w:rPr>
          <w:rFonts w:cs="Times New Roman"/>
        </w:rPr>
        <w:t xml:space="preserve"> </w:t>
      </w:r>
      <w:r w:rsidR="00A9177A">
        <w:rPr>
          <w:rFonts w:cs="Times New Roman"/>
        </w:rPr>
        <w:t>are</w:t>
      </w:r>
      <w:r w:rsidR="004D14E4">
        <w:rPr>
          <w:rFonts w:cs="Times New Roman"/>
        </w:rPr>
        <w:t xml:space="preserve"> established for commercial </w:t>
      </w:r>
      <w:r w:rsidR="009C2A28" w:rsidRPr="009C2A28">
        <w:rPr>
          <w:rFonts w:cs="Times New Roman"/>
        </w:rPr>
        <w:t>profits</w:t>
      </w:r>
      <w:r w:rsidR="00A9177A">
        <w:rPr>
          <w:rFonts w:cs="Times New Roman"/>
        </w:rPr>
        <w:t>, a</w:t>
      </w:r>
      <w:r w:rsidR="00B76D43">
        <w:rPr>
          <w:rFonts w:cs="Times New Roman"/>
        </w:rPr>
        <w:t xml:space="preserve">ll </w:t>
      </w:r>
      <w:r w:rsidR="00A9177A">
        <w:rPr>
          <w:rFonts w:cs="Times New Roman"/>
        </w:rPr>
        <w:t xml:space="preserve">the </w:t>
      </w:r>
      <w:r w:rsidR="00B76D43">
        <w:rPr>
          <w:rFonts w:cs="Times New Roman"/>
        </w:rPr>
        <w:t xml:space="preserve">above factors indicate that these Swedish and Chinese </w:t>
      </w:r>
      <w:r w:rsidR="00B76D43">
        <w:rPr>
          <w:rFonts w:cs="Times New Roman" w:hint="eastAsia"/>
        </w:rPr>
        <w:t>cases</w:t>
      </w:r>
      <w:r w:rsidR="00B76D43">
        <w:rPr>
          <w:rFonts w:cs="Times New Roman"/>
        </w:rPr>
        <w:t xml:space="preserve"> </w:t>
      </w:r>
      <w:r w:rsidR="00B76D43">
        <w:rPr>
          <w:rFonts w:cs="Times New Roman" w:hint="eastAsia"/>
        </w:rPr>
        <w:t>have</w:t>
      </w:r>
      <w:r w:rsidR="00B76D43">
        <w:rPr>
          <w:rFonts w:cs="Times New Roman"/>
        </w:rPr>
        <w:t xml:space="preserve"> </w:t>
      </w:r>
      <w:r w:rsidR="00B76D43">
        <w:rPr>
          <w:rFonts w:cs="Times New Roman" w:hint="eastAsia"/>
        </w:rPr>
        <w:t>contradictory</w:t>
      </w:r>
      <w:r w:rsidR="00B76D43">
        <w:rPr>
          <w:rFonts w:cs="Times New Roman"/>
        </w:rPr>
        <w:t xml:space="preserve"> </w:t>
      </w:r>
      <w:r w:rsidR="00B76D43">
        <w:rPr>
          <w:rFonts w:cs="Times New Roman" w:hint="eastAsia"/>
        </w:rPr>
        <w:t>features.</w:t>
      </w:r>
    </w:p>
    <w:p w14:paraId="1DF79345" w14:textId="45A3C955" w:rsidR="00B515BE" w:rsidRPr="00BF2553" w:rsidRDefault="0071798B" w:rsidP="002F1082">
      <w:pPr>
        <w:autoSpaceDE w:val="0"/>
        <w:autoSpaceDN w:val="0"/>
        <w:adjustRightInd w:val="0"/>
        <w:spacing w:after="240" w:line="360" w:lineRule="auto"/>
        <w:rPr>
          <w:rFonts w:cs="Times New Roman"/>
        </w:rPr>
      </w:pPr>
      <w:r w:rsidRPr="00A96AC5">
        <w:rPr>
          <w:rFonts w:cs="Times New Roman"/>
        </w:rPr>
        <w:t xml:space="preserve">The framework of this case study has a </w:t>
      </w:r>
      <w:r w:rsidRPr="00CE3171">
        <w:rPr>
          <w:rFonts w:cs="Times New Roman"/>
          <w:i/>
          <w:iCs/>
        </w:rPr>
        <w:t>‘sequential design’</w:t>
      </w:r>
      <w:r w:rsidRPr="0034409E">
        <w:rPr>
          <w:rFonts w:cs="Times New Roman"/>
        </w:rPr>
        <w:t>,</w:t>
      </w:r>
      <w:r w:rsidRPr="00A96AC5">
        <w:rPr>
          <w:rFonts w:cs="Times New Roman"/>
        </w:rPr>
        <w:t xml:space="preserve"> indicating that </w:t>
      </w:r>
      <w:r w:rsidR="007E2760">
        <w:rPr>
          <w:rFonts w:cs="Times New Roman"/>
        </w:rPr>
        <w:t>‘</w:t>
      </w:r>
      <w:r w:rsidR="00A4536D" w:rsidRPr="0034409E">
        <w:rPr>
          <w:rFonts w:cs="Times New Roman"/>
          <w:i/>
          <w:iCs/>
        </w:rPr>
        <w:t>longitudinal</w:t>
      </w:r>
      <w:r w:rsidR="002C4978">
        <w:rPr>
          <w:rFonts w:cs="Times New Roman"/>
          <w:i/>
          <w:iCs/>
          <w:lang w:val="en-US"/>
        </w:rPr>
        <w:t>’</w:t>
      </w:r>
      <w:r w:rsidR="00A4536D" w:rsidRPr="0034409E">
        <w:rPr>
          <w:rFonts w:cs="Times New Roman"/>
          <w:i/>
          <w:iCs/>
        </w:rPr>
        <w:t xml:space="preserve"> and </w:t>
      </w:r>
      <w:r w:rsidR="007E2760">
        <w:rPr>
          <w:rFonts w:cs="Times New Roman"/>
          <w:i/>
          <w:iCs/>
        </w:rPr>
        <w:t>‘</w:t>
      </w:r>
      <w:r w:rsidR="00A4536D" w:rsidRPr="0034409E">
        <w:rPr>
          <w:rFonts w:cs="Times New Roman"/>
          <w:i/>
          <w:iCs/>
        </w:rPr>
        <w:t>cross-sectiona</w:t>
      </w:r>
      <w:r w:rsidR="002C4978">
        <w:rPr>
          <w:rFonts w:cs="Times New Roman" w:hint="eastAsia"/>
          <w:i/>
          <w:iCs/>
        </w:rPr>
        <w:t>l</w:t>
      </w:r>
      <w:r w:rsidR="002C4978">
        <w:rPr>
          <w:rFonts w:cs="Times New Roman"/>
          <w:i/>
          <w:iCs/>
        </w:rPr>
        <w:t>’</w:t>
      </w:r>
      <w:r w:rsidR="00A4536D" w:rsidRPr="0034409E">
        <w:rPr>
          <w:rFonts w:cs="Times New Roman"/>
          <w:i/>
          <w:iCs/>
        </w:rPr>
        <w:t xml:space="preserve"> </w:t>
      </w:r>
      <w:r w:rsidR="00A4536D" w:rsidRPr="002C4978">
        <w:rPr>
          <w:rFonts w:cs="Times New Roman"/>
        </w:rPr>
        <w:t>comparisons</w:t>
      </w:r>
      <w:r w:rsidR="007E2760">
        <w:rPr>
          <w:rFonts w:cs="Times New Roman"/>
        </w:rPr>
        <w:t xml:space="preserve"> depending on different variables</w:t>
      </w:r>
      <w:r w:rsidR="00B13573">
        <w:rPr>
          <w:rFonts w:cs="Times New Roman"/>
        </w:rPr>
        <w:t xml:space="preserve"> </w:t>
      </w:r>
      <w:r w:rsidR="005738AA">
        <w:rPr>
          <w:rFonts w:cs="Times New Roman"/>
        </w:rPr>
        <w:t xml:space="preserve">except the </w:t>
      </w:r>
      <w:r w:rsidR="00ED27FE">
        <w:rPr>
          <w:rFonts w:cs="Times New Roman"/>
        </w:rPr>
        <w:t>impacts</w:t>
      </w:r>
      <w:r w:rsidR="005738AA">
        <w:rPr>
          <w:rFonts w:cs="Times New Roman"/>
        </w:rPr>
        <w:t xml:space="preserve"> from the </w:t>
      </w:r>
      <w:r w:rsidR="00ED27FE">
        <w:rPr>
          <w:rFonts w:cs="Times New Roman"/>
        </w:rPr>
        <w:t xml:space="preserve">participating </w:t>
      </w:r>
      <w:r w:rsidR="005738AA">
        <w:rPr>
          <w:rFonts w:cs="Times New Roman"/>
        </w:rPr>
        <w:t>time</w:t>
      </w:r>
      <w:r w:rsidR="00AF4A01">
        <w:rPr>
          <w:rFonts w:cs="Times New Roman"/>
          <w:i/>
          <w:iCs/>
        </w:rPr>
        <w:t>.</w:t>
      </w:r>
      <w:r w:rsidR="001B7554" w:rsidRPr="001B7554">
        <w:rPr>
          <w:rFonts w:cs="Times New Roman"/>
          <w:lang w:val="en-US"/>
        </w:rPr>
        <w:t xml:space="preserve"> </w:t>
      </w:r>
      <w:r w:rsidR="001B7554">
        <w:rPr>
          <w:rFonts w:cs="Times New Roman"/>
          <w:lang w:val="en-US"/>
        </w:rPr>
        <w:t xml:space="preserve">Details are given in </w:t>
      </w:r>
      <w:r w:rsidR="00D45843">
        <w:rPr>
          <w:rFonts w:cs="Times New Roman"/>
          <w:lang w:val="en-US"/>
        </w:rPr>
        <w:fldChar w:fldCharType="begin"/>
      </w:r>
      <w:r w:rsidR="00D45843">
        <w:rPr>
          <w:rFonts w:cs="Times New Roman"/>
          <w:lang w:val="en-US"/>
        </w:rPr>
        <w:instrText xml:space="preserve"> REF _Ref44950342 \h </w:instrText>
      </w:r>
      <w:r w:rsidR="00D45843">
        <w:rPr>
          <w:rFonts w:cs="Times New Roman"/>
          <w:lang w:val="en-US"/>
        </w:rPr>
      </w:r>
      <w:r w:rsidR="00D45843">
        <w:rPr>
          <w:rFonts w:cs="Times New Roman"/>
          <w:lang w:val="en-US"/>
        </w:rPr>
        <w:fldChar w:fldCharType="separate"/>
      </w:r>
      <w:r w:rsidR="0005064B">
        <w:t xml:space="preserve">Figure </w:t>
      </w:r>
      <w:r w:rsidR="0005064B">
        <w:rPr>
          <w:noProof/>
        </w:rPr>
        <w:t>3</w:t>
      </w:r>
      <w:r w:rsidR="0005064B">
        <w:noBreakHyphen/>
      </w:r>
      <w:r w:rsidR="0005064B">
        <w:rPr>
          <w:noProof/>
        </w:rPr>
        <w:t>3</w:t>
      </w:r>
      <w:r w:rsidR="00D45843">
        <w:rPr>
          <w:rFonts w:cs="Times New Roman"/>
          <w:lang w:val="en-US"/>
        </w:rPr>
        <w:fldChar w:fldCharType="end"/>
      </w:r>
      <w:r w:rsidR="001B7554">
        <w:rPr>
          <w:rFonts w:cs="Times New Roman"/>
          <w:lang w:val="en-US"/>
        </w:rPr>
        <w:t xml:space="preserve">. </w:t>
      </w:r>
      <w:r w:rsidR="004D05D3">
        <w:rPr>
          <w:rFonts w:cs="Times New Roman"/>
          <w:i/>
          <w:iCs/>
        </w:rPr>
        <w:t xml:space="preserve"> </w:t>
      </w:r>
      <w:r w:rsidR="008E64DF">
        <w:rPr>
          <w:rFonts w:cs="Times New Roman"/>
        </w:rPr>
        <w:t xml:space="preserve">Concerning </w:t>
      </w:r>
      <w:r w:rsidR="005D0093">
        <w:rPr>
          <w:rFonts w:cs="Times New Roman" w:hint="eastAsia"/>
        </w:rPr>
        <w:t>the</w:t>
      </w:r>
      <w:r w:rsidR="005D0093">
        <w:rPr>
          <w:rFonts w:cs="Times New Roman"/>
        </w:rPr>
        <w:t xml:space="preserve"> </w:t>
      </w:r>
      <w:r w:rsidR="005D0093" w:rsidRPr="005D0093">
        <w:rPr>
          <w:rFonts w:cs="Times New Roman"/>
        </w:rPr>
        <w:t>longitudinal</w:t>
      </w:r>
      <w:r w:rsidR="00B515BE">
        <w:rPr>
          <w:rFonts w:cs="Times New Roman"/>
        </w:rPr>
        <w:t xml:space="preserve"> comparison</w:t>
      </w:r>
      <w:r w:rsidR="005D0093">
        <w:rPr>
          <w:rFonts w:cs="Times New Roman"/>
        </w:rPr>
        <w:t>, the interviewed stakeholders are classified as UCC sponsor</w:t>
      </w:r>
      <w:r w:rsidR="00A9177A">
        <w:rPr>
          <w:rFonts w:cs="Times New Roman"/>
        </w:rPr>
        <w:t>s</w:t>
      </w:r>
      <w:r w:rsidR="005D0093">
        <w:rPr>
          <w:rFonts w:cs="Times New Roman"/>
        </w:rPr>
        <w:t>, UCC operator</w:t>
      </w:r>
      <w:r w:rsidR="00A9177A">
        <w:rPr>
          <w:rFonts w:cs="Times New Roman"/>
        </w:rPr>
        <w:t>s</w:t>
      </w:r>
      <w:r w:rsidR="005D0093">
        <w:rPr>
          <w:rFonts w:cs="Times New Roman"/>
        </w:rPr>
        <w:t xml:space="preserve"> and </w:t>
      </w:r>
      <w:r w:rsidR="00AF040D">
        <w:rPr>
          <w:rFonts w:cs="Times New Roman"/>
        </w:rPr>
        <w:t>i</w:t>
      </w:r>
      <w:r w:rsidR="005D0093">
        <w:rPr>
          <w:rFonts w:cs="Times New Roman"/>
        </w:rPr>
        <w:t xml:space="preserve">ndependent </w:t>
      </w:r>
      <w:r w:rsidR="00C3490E">
        <w:rPr>
          <w:rFonts w:cs="Times New Roman"/>
        </w:rPr>
        <w:t>s</w:t>
      </w:r>
      <w:r w:rsidR="005D0093">
        <w:rPr>
          <w:rFonts w:cs="Times New Roman"/>
        </w:rPr>
        <w:t xml:space="preserve">takeholders in </w:t>
      </w:r>
      <w:r w:rsidR="00F8716D">
        <w:rPr>
          <w:rFonts w:cs="Times New Roman" w:hint="eastAsia"/>
        </w:rPr>
        <w:t>associated</w:t>
      </w:r>
      <w:r w:rsidR="00F8716D">
        <w:rPr>
          <w:rFonts w:cs="Times New Roman"/>
        </w:rPr>
        <w:t xml:space="preserve"> </w:t>
      </w:r>
      <w:r w:rsidR="005D0093">
        <w:rPr>
          <w:rFonts w:cs="Times New Roman"/>
        </w:rPr>
        <w:t>UCC</w:t>
      </w:r>
      <w:r w:rsidR="00C3490E">
        <w:rPr>
          <w:rFonts w:cs="Times New Roman"/>
        </w:rPr>
        <w:t xml:space="preserve"> example</w:t>
      </w:r>
      <w:r w:rsidR="00551FD6">
        <w:rPr>
          <w:rFonts w:cs="Times New Roman" w:hint="eastAsia"/>
        </w:rPr>
        <w:t>s</w:t>
      </w:r>
      <w:r w:rsidR="00C3490E">
        <w:rPr>
          <w:rFonts w:cs="Times New Roman"/>
        </w:rPr>
        <w:t>.</w:t>
      </w:r>
      <w:r w:rsidR="00B515BE">
        <w:rPr>
          <w:rFonts w:cs="Times New Roman"/>
          <w:lang w:val="en-US"/>
        </w:rPr>
        <w:t xml:space="preserve"> </w:t>
      </w:r>
      <w:r w:rsidR="00B515BE">
        <w:rPr>
          <w:rFonts w:cs="Times New Roman"/>
        </w:rPr>
        <w:t>C</w:t>
      </w:r>
      <w:r w:rsidR="00B515BE" w:rsidRPr="00A96AC5">
        <w:rPr>
          <w:rFonts w:cs="Times New Roman"/>
        </w:rPr>
        <w:t>omparative analysis</w:t>
      </w:r>
      <w:r w:rsidR="00B515BE" w:rsidRPr="00A96AC5" w:rsidDel="00352CD6">
        <w:rPr>
          <w:rFonts w:cs="Times New Roman"/>
        </w:rPr>
        <w:t xml:space="preserve"> </w:t>
      </w:r>
      <w:r w:rsidR="00B515BE">
        <w:rPr>
          <w:rFonts w:cs="Times New Roman"/>
        </w:rPr>
        <w:t xml:space="preserve">is implemented </w:t>
      </w:r>
      <w:r w:rsidR="001B7554">
        <w:rPr>
          <w:rFonts w:cs="Times New Roman"/>
        </w:rPr>
        <w:t>inside</w:t>
      </w:r>
      <w:r w:rsidR="00B515BE">
        <w:rPr>
          <w:rFonts w:cs="Times New Roman"/>
        </w:rPr>
        <w:t xml:space="preserve"> </w:t>
      </w:r>
      <w:r w:rsidR="001B7554">
        <w:rPr>
          <w:rFonts w:cs="Times New Roman"/>
        </w:rPr>
        <w:t xml:space="preserve">each </w:t>
      </w:r>
      <w:r w:rsidR="00C3490E">
        <w:rPr>
          <w:rFonts w:cs="Times New Roman"/>
        </w:rPr>
        <w:t>case</w:t>
      </w:r>
      <w:r w:rsidR="00B515BE">
        <w:rPr>
          <w:rFonts w:cs="Times New Roman"/>
        </w:rPr>
        <w:t xml:space="preserve">, </w:t>
      </w:r>
      <w:r w:rsidR="00B515BE" w:rsidRPr="00A96AC5">
        <w:rPr>
          <w:rFonts w:cs="Times New Roman"/>
        </w:rPr>
        <w:t xml:space="preserve">to reveal </w:t>
      </w:r>
      <w:r w:rsidR="002E25C9">
        <w:rPr>
          <w:rFonts w:cs="Times New Roman"/>
        </w:rPr>
        <w:t xml:space="preserve">different </w:t>
      </w:r>
      <w:r w:rsidR="00B515BE" w:rsidRPr="00A96AC5">
        <w:rPr>
          <w:rFonts w:cs="Times New Roman"/>
        </w:rPr>
        <w:t>information on stakeholder motivation, partnerships, and categories of interest.</w:t>
      </w:r>
      <w:r w:rsidR="00BF2553" w:rsidRPr="00BF2553">
        <w:rPr>
          <w:rFonts w:cs="Times New Roman"/>
        </w:rPr>
        <w:t xml:space="preserve"> </w:t>
      </w:r>
      <w:r w:rsidR="00BF2553">
        <w:rPr>
          <w:rFonts w:cs="Times New Roman"/>
        </w:rPr>
        <w:t>The cross-sectional analysis includes two parts, the first part is the cross</w:t>
      </w:r>
      <w:r w:rsidR="00CE0355">
        <w:rPr>
          <w:rFonts w:cs="Times New Roman"/>
        </w:rPr>
        <w:t>-</w:t>
      </w:r>
      <w:r w:rsidR="00BF2553">
        <w:rPr>
          <w:rFonts w:cs="Times New Roman"/>
        </w:rPr>
        <w:t>stakeholders analysis</w:t>
      </w:r>
      <w:r w:rsidR="007E273F">
        <w:rPr>
          <w:rFonts w:cs="Times New Roman"/>
        </w:rPr>
        <w:t xml:space="preserve">, </w:t>
      </w:r>
      <w:r w:rsidR="00BF2553">
        <w:rPr>
          <w:rFonts w:cs="Times New Roman"/>
        </w:rPr>
        <w:t>which compare</w:t>
      </w:r>
      <w:r w:rsidR="007F206B">
        <w:rPr>
          <w:rFonts w:cs="Times New Roman"/>
        </w:rPr>
        <w:t>s</w:t>
      </w:r>
      <w:r w:rsidR="00BF2553">
        <w:rPr>
          <w:rFonts w:cs="Times New Roman"/>
        </w:rPr>
        <w:t xml:space="preserve"> the data from the stakeholders with the same attributes but in </w:t>
      </w:r>
      <w:r w:rsidR="00BF2553">
        <w:rPr>
          <w:rFonts w:cs="Times New Roman"/>
        </w:rPr>
        <w:lastRenderedPageBreak/>
        <w:t xml:space="preserve">different cases. The second part is the cross groups analysis between the two cohorts, so that </w:t>
      </w:r>
      <w:r w:rsidR="007F206B">
        <w:rPr>
          <w:rFonts w:cs="Times New Roman"/>
        </w:rPr>
        <w:t xml:space="preserve">the </w:t>
      </w:r>
      <w:r w:rsidR="00BF2553">
        <w:rPr>
          <w:rFonts w:cs="Times New Roman"/>
        </w:rPr>
        <w:t>unfolding difference</w:t>
      </w:r>
      <w:r w:rsidR="007F206B">
        <w:rPr>
          <w:rFonts w:cs="Times New Roman"/>
        </w:rPr>
        <w:t>s</w:t>
      </w:r>
      <w:r w:rsidR="007E273F">
        <w:rPr>
          <w:rFonts w:cs="Times New Roman"/>
        </w:rPr>
        <w:t xml:space="preserve"> of stakeholders</w:t>
      </w:r>
      <w:r w:rsidR="007F206B">
        <w:rPr>
          <w:rFonts w:cs="Times New Roman"/>
        </w:rPr>
        <w:t>’</w:t>
      </w:r>
      <w:r w:rsidR="007E273F">
        <w:rPr>
          <w:rFonts w:cs="Times New Roman"/>
        </w:rPr>
        <w:t xml:space="preserve"> opinions</w:t>
      </w:r>
      <w:r w:rsidR="00BF2553">
        <w:rPr>
          <w:rFonts w:cs="Times New Roman"/>
        </w:rPr>
        <w:t xml:space="preserve"> </w:t>
      </w:r>
      <w:r w:rsidR="007E273F">
        <w:rPr>
          <w:rFonts w:cs="Times New Roman"/>
        </w:rPr>
        <w:t>result</w:t>
      </w:r>
      <w:r w:rsidR="007F206B">
        <w:rPr>
          <w:rFonts w:cs="Times New Roman"/>
        </w:rPr>
        <w:t>ing</w:t>
      </w:r>
      <w:r w:rsidR="00BF2553">
        <w:rPr>
          <w:rFonts w:cs="Times New Roman"/>
        </w:rPr>
        <w:t xml:space="preserve"> from the various context</w:t>
      </w:r>
      <w:r w:rsidR="007F206B">
        <w:rPr>
          <w:rFonts w:cs="Times New Roman"/>
        </w:rPr>
        <w:t>s could be</w:t>
      </w:r>
      <w:r w:rsidR="00F431DC">
        <w:rPr>
          <w:rFonts w:cs="Times New Roman"/>
        </w:rPr>
        <w:t xml:space="preserve"> captured</w:t>
      </w:r>
      <w:r w:rsidR="00BF2553">
        <w:rPr>
          <w:rFonts w:cs="Times New Roman"/>
        </w:rPr>
        <w:t>.</w:t>
      </w:r>
      <w:r w:rsidR="00293325" w:rsidRPr="00293325">
        <w:t xml:space="preserve"> </w:t>
      </w:r>
      <w:r w:rsidR="007E273F">
        <w:t>T</w:t>
      </w:r>
      <w:r w:rsidR="00293325" w:rsidRPr="00BF2553">
        <w:t>he differences betwee</w:t>
      </w:r>
      <w:r w:rsidR="00293325">
        <w:rPr>
          <w:rFonts w:hint="eastAsia"/>
        </w:rPr>
        <w:t>n</w:t>
      </w:r>
      <w:r w:rsidR="00293325">
        <w:t xml:space="preserve"> </w:t>
      </w:r>
      <w:r w:rsidR="00293325">
        <w:rPr>
          <w:rFonts w:hint="eastAsia"/>
        </w:rPr>
        <w:t>their</w:t>
      </w:r>
      <w:r w:rsidR="00293325">
        <w:t xml:space="preserve"> </w:t>
      </w:r>
      <w:r w:rsidR="00293325">
        <w:rPr>
          <w:rFonts w:hint="eastAsia"/>
        </w:rPr>
        <w:t>opinions</w:t>
      </w:r>
      <w:r w:rsidR="00293325">
        <w:t xml:space="preserve"> </w:t>
      </w:r>
      <w:r w:rsidR="00293325">
        <w:rPr>
          <w:rFonts w:hint="eastAsia"/>
        </w:rPr>
        <w:t>and</w:t>
      </w:r>
      <w:r w:rsidR="00293325">
        <w:t xml:space="preserve"> </w:t>
      </w:r>
      <w:r w:rsidR="00293325">
        <w:rPr>
          <w:rFonts w:hint="eastAsia"/>
        </w:rPr>
        <w:t>preferences</w:t>
      </w:r>
      <w:r w:rsidR="00293325">
        <w:t xml:space="preserve"> are </w:t>
      </w:r>
      <w:r w:rsidR="00293325" w:rsidRPr="00BF2553">
        <w:t>depend</w:t>
      </w:r>
      <w:r w:rsidR="00F431DC">
        <w:t>ent</w:t>
      </w:r>
      <w:r w:rsidR="00293325" w:rsidRPr="00BF2553">
        <w:t xml:space="preserve"> on which variables</w:t>
      </w:r>
      <w:r w:rsidR="005E635D">
        <w:t xml:space="preserve"> (</w:t>
      </w:r>
      <w:r w:rsidR="00161FA0">
        <w:t>factor</w:t>
      </w:r>
      <w:r w:rsidR="005E635D">
        <w:t>s)</w:t>
      </w:r>
      <w:r w:rsidR="00293325" w:rsidRPr="00B24D61">
        <w:rPr>
          <w:rFonts w:cs="Times New Roman"/>
        </w:rPr>
        <w:t xml:space="preserve"> were focused </w:t>
      </w:r>
      <w:r w:rsidR="007E273F">
        <w:rPr>
          <w:rFonts w:cs="Times New Roman"/>
        </w:rPr>
        <w:t xml:space="preserve">on </w:t>
      </w:r>
      <w:r w:rsidR="00293325" w:rsidRPr="00B24D61">
        <w:rPr>
          <w:rFonts w:cs="Times New Roman"/>
        </w:rPr>
        <w:t>for data analysis.</w:t>
      </w:r>
      <w:r w:rsidR="00B24D61" w:rsidRPr="00B24D61">
        <w:rPr>
          <w:rFonts w:cs="Times New Roman"/>
        </w:rPr>
        <w:t xml:space="preserve"> Ideally, by comparing results from the types of analyses, the effects of</w:t>
      </w:r>
      <w:r w:rsidR="005E635D" w:rsidRPr="005E635D">
        <w:t xml:space="preserve"> </w:t>
      </w:r>
      <w:r w:rsidR="005E635D" w:rsidRPr="00BF2553">
        <w:t>variables</w:t>
      </w:r>
      <w:r w:rsidR="005E635D" w:rsidRPr="005E635D">
        <w:t xml:space="preserve"> </w:t>
      </w:r>
      <w:r w:rsidR="005E635D">
        <w:t>(</w:t>
      </w:r>
      <w:proofErr w:type="gramStart"/>
      <w:r w:rsidR="005E635D">
        <w:t>e.g.</w:t>
      </w:r>
      <w:proofErr w:type="gramEnd"/>
      <w:r w:rsidR="005E635D">
        <w:t xml:space="preserve"> stakeholders role, </w:t>
      </w:r>
      <w:r w:rsidR="005E635D">
        <w:rPr>
          <w:rFonts w:hint="eastAsia"/>
        </w:rPr>
        <w:t>objectives</w:t>
      </w:r>
      <w:r w:rsidR="005E635D">
        <w:t xml:space="preserve"> </w:t>
      </w:r>
      <w:r w:rsidR="005E635D">
        <w:rPr>
          <w:rFonts w:hint="eastAsia"/>
        </w:rPr>
        <w:t>of</w:t>
      </w:r>
      <w:r w:rsidR="005E635D">
        <w:t xml:space="preserve"> </w:t>
      </w:r>
      <w:r w:rsidR="005E635D" w:rsidRPr="00B24D61">
        <w:rPr>
          <w:rFonts w:cs="Times New Roman" w:hint="eastAsia"/>
        </w:rPr>
        <w:t>UCC,</w:t>
      </w:r>
      <w:r w:rsidR="005E635D" w:rsidRPr="00B24D61">
        <w:rPr>
          <w:rFonts w:cs="Times New Roman"/>
        </w:rPr>
        <w:t xml:space="preserve"> market conditions</w:t>
      </w:r>
      <w:r w:rsidR="005E635D">
        <w:rPr>
          <w:rFonts w:cs="Times New Roman"/>
        </w:rPr>
        <w:t>)</w:t>
      </w:r>
      <w:r w:rsidR="00B24D61" w:rsidRPr="00B24D61">
        <w:rPr>
          <w:rFonts w:cs="Times New Roman"/>
        </w:rPr>
        <w:t xml:space="preserve"> </w:t>
      </w:r>
      <w:r w:rsidR="0032551D">
        <w:rPr>
          <w:rFonts w:cs="Times New Roman"/>
        </w:rPr>
        <w:t xml:space="preserve">are </w:t>
      </w:r>
      <w:r w:rsidR="00B24D61" w:rsidRPr="00B24D61">
        <w:rPr>
          <w:rFonts w:cs="Times New Roman"/>
        </w:rPr>
        <w:t>separated out.</w:t>
      </w:r>
    </w:p>
    <w:p w14:paraId="1C491F95" w14:textId="60A7A241" w:rsidR="00817EF9" w:rsidRDefault="00BF6A29" w:rsidP="00B0524F">
      <w:pPr>
        <w:autoSpaceDE w:val="0"/>
        <w:autoSpaceDN w:val="0"/>
        <w:adjustRightInd w:val="0"/>
        <w:spacing w:after="240" w:line="360" w:lineRule="auto"/>
        <w:jc w:val="center"/>
      </w:pPr>
      <w:r>
        <w:object w:dxaOrig="10335" w:dyaOrig="6555" w14:anchorId="1B7C9A5D">
          <v:shape id="_x0000_i1031" type="#_x0000_t75" style="width:452.15pt;height:284.5pt" o:ole="">
            <v:imagedata r:id="rId48" o:title=""/>
          </v:shape>
          <o:OLEObject Type="Embed" ProgID="Visio.Drawing.15" ShapeID="_x0000_i1031" DrawAspect="Content" ObjectID="_1681648038" r:id="rId49"/>
        </w:object>
      </w:r>
    </w:p>
    <w:p w14:paraId="7C50ACAF" w14:textId="0C8B18B6" w:rsidR="00817EF9" w:rsidRDefault="00B0524F" w:rsidP="00466664">
      <w:pPr>
        <w:pStyle w:val="Caption"/>
        <w:spacing w:before="0" w:after="0"/>
      </w:pPr>
      <w:bookmarkStart w:id="536" w:name="_Ref44950342"/>
      <w:bookmarkStart w:id="537" w:name="_Toc46053675"/>
      <w:bookmarkStart w:id="538" w:name="_Toc66698706"/>
      <w:r>
        <w:t xml:space="preserve">Figure </w:t>
      </w:r>
      <w:r w:rsidR="000306D9">
        <w:fldChar w:fldCharType="begin"/>
      </w:r>
      <w:r w:rsidR="000306D9">
        <w:instrText xml:space="preserve"> STYLEREF 1 \s </w:instrText>
      </w:r>
      <w:r w:rsidR="000306D9">
        <w:fldChar w:fldCharType="separate"/>
      </w:r>
      <w:r w:rsidR="0005064B">
        <w:rPr>
          <w:noProof/>
        </w:rPr>
        <w:t>3</w:t>
      </w:r>
      <w:r w:rsidR="000306D9">
        <w:rPr>
          <w:noProof/>
        </w:rPr>
        <w:fldChar w:fldCharType="end"/>
      </w:r>
      <w:r w:rsidR="00632993">
        <w:noBreakHyphen/>
      </w:r>
      <w:r w:rsidR="000306D9">
        <w:fldChar w:fldCharType="begin"/>
      </w:r>
      <w:r w:rsidR="000306D9">
        <w:instrText xml:space="preserve"> SEQ Figure \* ARABIC \s 1 </w:instrText>
      </w:r>
      <w:r w:rsidR="000306D9">
        <w:fldChar w:fldCharType="separate"/>
      </w:r>
      <w:r w:rsidR="0005064B">
        <w:rPr>
          <w:noProof/>
        </w:rPr>
        <w:t>3</w:t>
      </w:r>
      <w:r w:rsidR="000306D9">
        <w:rPr>
          <w:noProof/>
        </w:rPr>
        <w:fldChar w:fldCharType="end"/>
      </w:r>
      <w:bookmarkEnd w:id="536"/>
      <w:r w:rsidR="00FD1FFD">
        <w:rPr>
          <w:noProof/>
        </w:rPr>
        <w:t>:</w:t>
      </w:r>
      <w:r w:rsidR="00A9507D" w:rsidRPr="00A9507D">
        <w:rPr>
          <w:rFonts w:cs="Times New Roman"/>
          <w:i w:val="0"/>
          <w:iCs w:val="0"/>
        </w:rPr>
        <w:t xml:space="preserve"> </w:t>
      </w:r>
      <w:r w:rsidR="00A9507D" w:rsidRPr="00A9507D">
        <w:rPr>
          <w:rFonts w:cs="Times New Roman"/>
        </w:rPr>
        <w:t xml:space="preserve">Sequential </w:t>
      </w:r>
      <w:r w:rsidR="00A9507D">
        <w:rPr>
          <w:rFonts w:cs="Times New Roman"/>
        </w:rPr>
        <w:t>d</w:t>
      </w:r>
      <w:r w:rsidR="00A9507D" w:rsidRPr="00A9507D">
        <w:rPr>
          <w:rFonts w:cs="Times New Roman"/>
        </w:rPr>
        <w:t xml:space="preserve">esign of </w:t>
      </w:r>
      <w:r w:rsidR="00A9507D">
        <w:rPr>
          <w:rFonts w:cs="Times New Roman"/>
        </w:rPr>
        <w:t>t</w:t>
      </w:r>
      <w:r w:rsidR="00A9507D" w:rsidRPr="00A9507D">
        <w:rPr>
          <w:rFonts w:cs="Times New Roman"/>
        </w:rPr>
        <w:t>hesis</w:t>
      </w:r>
      <w:bookmarkEnd w:id="537"/>
      <w:bookmarkEnd w:id="538"/>
    </w:p>
    <w:p w14:paraId="1D1CE77B" w14:textId="1D1D0387" w:rsidR="0071798B" w:rsidRDefault="0071798B" w:rsidP="00A9507D">
      <w:pPr>
        <w:spacing w:before="240" w:after="240" w:line="360" w:lineRule="auto"/>
        <w:rPr>
          <w:rFonts w:cs="Times New Roman"/>
        </w:rPr>
      </w:pPr>
      <w:r w:rsidRPr="00A96AC5">
        <w:rPr>
          <w:rFonts w:cs="Times New Roman"/>
        </w:rPr>
        <w:t>The case study method allows the researcher to combine qualitative and quantitative methods and collect information from various data resources, such as interviews and annual reports. ‘</w:t>
      </w:r>
      <w:r w:rsidRPr="00A96AC5">
        <w:rPr>
          <w:rFonts w:cs="Times New Roman"/>
          <w:iCs/>
        </w:rPr>
        <w:t>Triangulation</w:t>
      </w:r>
      <w:r w:rsidRPr="00A96AC5">
        <w:rPr>
          <w:rFonts w:cs="Times New Roman"/>
        </w:rPr>
        <w:t xml:space="preserve">’ is used to </w:t>
      </w:r>
      <w:r w:rsidRPr="00A96AC5">
        <w:rPr>
          <w:rFonts w:cs="Times New Roman"/>
          <w:szCs w:val="24"/>
        </w:rPr>
        <w:t>validate the findings arising from these hybrid methods. According to</w:t>
      </w:r>
      <w:r w:rsidR="00226177">
        <w:rPr>
          <w:rFonts w:cs="Times New Roman"/>
          <w:noProof/>
          <w:szCs w:val="24"/>
        </w:rPr>
        <w:t xml:space="preserve"> </w:t>
      </w:r>
      <w:r w:rsidR="00A46235">
        <w:rPr>
          <w:rFonts w:cs="Times New Roman"/>
          <w:noProof/>
          <w:szCs w:val="24"/>
        </w:rPr>
        <w:fldChar w:fldCharType="begin"/>
      </w:r>
      <w:r w:rsidR="00647E79">
        <w:rPr>
          <w:rFonts w:cs="Times New Roman"/>
          <w:noProof/>
          <w:szCs w:val="24"/>
        </w:rPr>
        <w:instrText xml:space="preserve"> ADDIN EN.CITE &lt;EndNote&gt;&lt;Cite AuthorYear="1"&gt;&lt;Author&gt;Guion&lt;/Author&gt;&lt;Year&gt;2002&lt;/Year&gt;&lt;RecNum&gt;287&lt;/RecNum&gt;&lt;DisplayText&gt;Guion (2002)&lt;/DisplayText&gt;&lt;record&gt;&lt;rec-number&gt;287&lt;/rec-number&gt;&lt;foreign-keys&gt;&lt;key app="EN" db-id="pzt5ep52hsedfpeext2pdfes0w0aswaewef2" timestamp="1605187999"&gt;287&lt;/key&gt;&lt;/foreign-keys&gt;&lt;ref-type name="Journal Article"&gt;17&lt;/ref-type&gt;&lt;contributors&gt;&lt;authors&gt;&lt;author&gt;Guion, Lisa &lt;/author&gt;&lt;/authors&gt;&lt;/contributors&gt;&lt;titles&gt;&lt;title&gt;Triangulation: Establishing the validity of qualitative studies&lt;/title&gt;&lt;/titles&gt;&lt;volume&gt;2002&lt;/volume&gt;&lt;number&gt;6&lt;/number&gt;&lt;dates&gt;&lt;year&gt;2002&lt;/year&gt;&lt;/dates&gt;&lt;isbn&gt;2576-0009&lt;/isbn&gt;&lt;urls&gt;&lt;/urls&gt;&lt;/record&gt;&lt;/Cite&gt;&lt;/EndNote&gt;</w:instrText>
      </w:r>
      <w:r w:rsidR="00A46235">
        <w:rPr>
          <w:rFonts w:cs="Times New Roman"/>
          <w:noProof/>
          <w:szCs w:val="24"/>
        </w:rPr>
        <w:fldChar w:fldCharType="separate"/>
      </w:r>
      <w:r w:rsidR="00A46235">
        <w:rPr>
          <w:rFonts w:cs="Times New Roman"/>
          <w:noProof/>
          <w:szCs w:val="24"/>
        </w:rPr>
        <w:t>Guion (2002)</w:t>
      </w:r>
      <w:r w:rsidR="00A46235">
        <w:rPr>
          <w:rFonts w:cs="Times New Roman"/>
          <w:noProof/>
          <w:szCs w:val="24"/>
        </w:rPr>
        <w:fldChar w:fldCharType="end"/>
      </w:r>
      <w:r w:rsidRPr="00A96AC5">
        <w:rPr>
          <w:rFonts w:cs="Times New Roman"/>
          <w:szCs w:val="24"/>
        </w:rPr>
        <w:t>, in this study, ‘</w:t>
      </w:r>
      <w:r w:rsidRPr="008903D1">
        <w:rPr>
          <w:rFonts w:cs="Times New Roman"/>
          <w:iCs/>
        </w:rPr>
        <w:t>data triangulation</w:t>
      </w:r>
      <w:r w:rsidRPr="00737239">
        <w:rPr>
          <w:rFonts w:cs="Times New Roman"/>
        </w:rPr>
        <w:t>’ is used to gather data from various data sources, ‘</w:t>
      </w:r>
      <w:r w:rsidRPr="00802DC5">
        <w:rPr>
          <w:rFonts w:cs="Times New Roman"/>
          <w:iCs/>
        </w:rPr>
        <w:t>methodological triangulation’</w:t>
      </w:r>
      <w:r w:rsidRPr="006C301D">
        <w:rPr>
          <w:rFonts w:cs="Times New Roman"/>
        </w:rPr>
        <w:t xml:space="preserve"> is for applying two or more m</w:t>
      </w:r>
      <w:r w:rsidRPr="00A96AC5">
        <w:rPr>
          <w:rFonts w:cs="Times New Roman"/>
        </w:rPr>
        <w:t>ethods to examine the results of a multi-case study, and ‘</w:t>
      </w:r>
      <w:r w:rsidRPr="00A96AC5">
        <w:rPr>
          <w:rFonts w:cs="Times New Roman"/>
          <w:iCs/>
        </w:rPr>
        <w:t>environmental triangulation</w:t>
      </w:r>
      <w:r w:rsidRPr="00A96AC5">
        <w:rPr>
          <w:rFonts w:cs="Times New Roman"/>
        </w:rPr>
        <w:t>’ involves a comparison of different case studies in different environmental factors. If the findings under different triangulation analyses are coherent, the finding</w:t>
      </w:r>
      <w:r w:rsidR="00E753E7">
        <w:rPr>
          <w:rFonts w:cs="Times New Roman"/>
        </w:rPr>
        <w:t>s</w:t>
      </w:r>
      <w:r w:rsidRPr="00A96AC5">
        <w:rPr>
          <w:rFonts w:cs="Times New Roman"/>
        </w:rPr>
        <w:t xml:space="preserve"> </w:t>
      </w:r>
      <w:proofErr w:type="gramStart"/>
      <w:r w:rsidR="00E753E7">
        <w:rPr>
          <w:rFonts w:cs="Times New Roman"/>
        </w:rPr>
        <w:t>are</w:t>
      </w:r>
      <w:r w:rsidRPr="00A96AC5">
        <w:rPr>
          <w:rFonts w:cs="Times New Roman"/>
        </w:rPr>
        <w:t xml:space="preserve"> considered to be</w:t>
      </w:r>
      <w:proofErr w:type="gramEnd"/>
      <w:r w:rsidRPr="00A96AC5">
        <w:rPr>
          <w:rFonts w:cs="Times New Roman"/>
        </w:rPr>
        <w:t xml:space="preserve"> validated.</w:t>
      </w:r>
    </w:p>
    <w:p w14:paraId="554BF755" w14:textId="12C7BA1C" w:rsidR="00803A41" w:rsidRPr="00A96AC5" w:rsidRDefault="00803A41" w:rsidP="00AF7A1F">
      <w:pPr>
        <w:autoSpaceDE w:val="0"/>
        <w:autoSpaceDN w:val="0"/>
        <w:adjustRightInd w:val="0"/>
        <w:spacing w:after="240" w:line="360" w:lineRule="auto"/>
        <w:rPr>
          <w:rFonts w:cs="Times New Roman"/>
        </w:rPr>
      </w:pPr>
      <w:r w:rsidRPr="00A96AC5">
        <w:rPr>
          <w:rFonts w:cs="Times New Roman"/>
        </w:rPr>
        <w:t>This information</w:t>
      </w:r>
      <w:r w:rsidR="00E753E7">
        <w:rPr>
          <w:rFonts w:cs="Times New Roman"/>
        </w:rPr>
        <w:t xml:space="preserve"> is</w:t>
      </w:r>
      <w:r w:rsidRPr="00A96AC5">
        <w:rPr>
          <w:rFonts w:cs="Times New Roman"/>
        </w:rPr>
        <w:t xml:space="preserve"> </w:t>
      </w:r>
      <w:r>
        <w:rPr>
          <w:rFonts w:cs="Times New Roman"/>
        </w:rPr>
        <w:t>for</w:t>
      </w:r>
      <w:r w:rsidRPr="00A96AC5">
        <w:rPr>
          <w:rFonts w:cs="Times New Roman"/>
        </w:rPr>
        <w:t xml:space="preserve"> </w:t>
      </w:r>
      <w:r>
        <w:rPr>
          <w:rFonts w:cs="Times New Roman"/>
        </w:rPr>
        <w:t xml:space="preserve">qualitative </w:t>
      </w:r>
      <w:r w:rsidRPr="00A96AC5">
        <w:rPr>
          <w:rFonts w:cs="Times New Roman"/>
        </w:rPr>
        <w:t>analysis and enables interpretation of the quantitative findings.</w:t>
      </w:r>
      <w:r>
        <w:rPr>
          <w:rFonts w:cs="Times New Roman"/>
        </w:rPr>
        <w:t xml:space="preserve"> </w:t>
      </w:r>
      <w:r w:rsidRPr="00A96AC5">
        <w:rPr>
          <w:rFonts w:cs="Times New Roman"/>
        </w:rPr>
        <w:t xml:space="preserve">The data utilisation has various </w:t>
      </w:r>
      <w:proofErr w:type="gramStart"/>
      <w:r w:rsidRPr="00A96AC5">
        <w:rPr>
          <w:rFonts w:cs="Times New Roman"/>
        </w:rPr>
        <w:t>priorities,</w:t>
      </w:r>
      <w:proofErr w:type="gramEnd"/>
      <w:r w:rsidRPr="00A96AC5">
        <w:rPr>
          <w:rFonts w:cs="Times New Roman"/>
        </w:rPr>
        <w:t xml:space="preserve"> thus each category (qualitative and quantitative) is implemented depending on the results of the other. Under this guideline, the </w:t>
      </w:r>
      <w:r w:rsidRPr="00A96AC5">
        <w:rPr>
          <w:rFonts w:cs="Times New Roman"/>
        </w:rPr>
        <w:lastRenderedPageBreak/>
        <w:t>qualitative method is used to illustrate the contextual information of the quantitative findings. Following the computing of the quantitative data, the qualitative data are used to reveal the deep-seated mechanisms that underl</w:t>
      </w:r>
      <w:r w:rsidR="00C92C98">
        <w:rPr>
          <w:rFonts w:cs="Times New Roman"/>
        </w:rPr>
        <w:t>ies</w:t>
      </w:r>
      <w:r w:rsidRPr="00A96AC5">
        <w:rPr>
          <w:rFonts w:cs="Times New Roman"/>
        </w:rPr>
        <w:t xml:space="preserve"> the quantitative results. Specifically, qualitative data undergo comparative analysis</w:t>
      </w:r>
      <w:r w:rsidRPr="00A96AC5" w:rsidDel="00352CD6">
        <w:rPr>
          <w:rFonts w:cs="Times New Roman"/>
        </w:rPr>
        <w:t xml:space="preserve"> </w:t>
      </w:r>
      <w:r w:rsidRPr="00A96AC5">
        <w:rPr>
          <w:rFonts w:cs="Times New Roman"/>
        </w:rPr>
        <w:t xml:space="preserve">to reveal information on stakeholder motivation, partnerships, and categories of interest. This information then provides contextual information for the sequential quantitative analysis and enables interpretation of the quantitative findings.  </w:t>
      </w:r>
    </w:p>
    <w:p w14:paraId="78E90F41" w14:textId="77777777" w:rsidR="0071798B" w:rsidRPr="00A96AC5" w:rsidRDefault="0071798B" w:rsidP="000A4E8C">
      <w:pPr>
        <w:pStyle w:val="Heading3"/>
        <w:spacing w:line="360" w:lineRule="auto"/>
        <w:rPr>
          <w:rFonts w:cs="Times New Roman"/>
        </w:rPr>
      </w:pPr>
      <w:bookmarkStart w:id="539" w:name="_Toc34734516"/>
      <w:bookmarkStart w:id="540" w:name="_Toc46053439"/>
      <w:bookmarkStart w:id="541" w:name="_Toc46093353"/>
      <w:bookmarkStart w:id="542" w:name="_Toc46093636"/>
      <w:bookmarkStart w:id="543" w:name="_Toc66703211"/>
      <w:r w:rsidRPr="00A96AC5">
        <w:rPr>
          <w:rFonts w:cs="Times New Roman"/>
        </w:rPr>
        <w:t>Analytic hierarchy process (AHP)</w:t>
      </w:r>
      <w:bookmarkEnd w:id="539"/>
      <w:bookmarkEnd w:id="540"/>
      <w:bookmarkEnd w:id="541"/>
      <w:bookmarkEnd w:id="542"/>
      <w:bookmarkEnd w:id="543"/>
    </w:p>
    <w:p w14:paraId="1FFB2BF3" w14:textId="77777777" w:rsidR="0071798B" w:rsidRPr="00A96AC5" w:rsidRDefault="0071798B" w:rsidP="000A4E8C">
      <w:pPr>
        <w:pStyle w:val="Heading4"/>
        <w:spacing w:after="0" w:line="360" w:lineRule="auto"/>
        <w:rPr>
          <w:rFonts w:cs="Times New Roman"/>
          <w:lang w:val="it-IT"/>
        </w:rPr>
      </w:pPr>
      <w:r w:rsidRPr="00A96AC5">
        <w:rPr>
          <w:rFonts w:cs="Times New Roman"/>
          <w:lang w:val="it-IT"/>
        </w:rPr>
        <w:t xml:space="preserve">Multi-criteria decision-making (MCDM) </w:t>
      </w:r>
    </w:p>
    <w:p w14:paraId="662C0AD1" w14:textId="4C3426FA" w:rsidR="0071798B" w:rsidRPr="00A96AC5" w:rsidRDefault="0071798B" w:rsidP="00101BA0">
      <w:pPr>
        <w:spacing w:after="240" w:line="360" w:lineRule="auto"/>
        <w:rPr>
          <w:rFonts w:cs="Times New Roman"/>
        </w:rPr>
      </w:pPr>
      <w:r w:rsidRPr="00A96AC5">
        <w:rPr>
          <w:rFonts w:cs="Times New Roman"/>
        </w:rPr>
        <w:t xml:space="preserve">Multi-criteria decision-making (MCDM) can be categorised as multi-objective decision making (MODM) or multi-attribute decision making (MADM) </w:t>
      </w:r>
      <w:r w:rsidR="00A46235">
        <w:fldChar w:fldCharType="begin"/>
      </w:r>
      <w:r w:rsidR="00647E79">
        <w:instrText xml:space="preserve"> ADDIN EN.CITE &lt;EndNote&gt;&lt;Cite&gt;&lt;Author&gt;Triantaphyllou&lt;/Author&gt;&lt;Year&gt;2013&lt;/Year&gt;&lt;RecNum&gt;288&lt;/RecNum&gt;&lt;DisplayText&gt;(Triantaphyllou, 2013)&lt;/DisplayText&gt;&lt;record&gt;&lt;rec-number&gt;288&lt;/rec-number&gt;&lt;foreign-keys&gt;&lt;key app="EN" db-id="pzt5ep52hsedfpeext2pdfes0w0aswaewef2" timestamp="1605187999"&gt;288&lt;/key&gt;&lt;/foreign-keys&gt;&lt;ref-type name="Book"&gt;6&lt;/ref-type&gt;&lt;contributors&gt;&lt;authors&gt;&lt;author&gt;Triantaphyllou, Evangelos&lt;/author&gt;&lt;/authors&gt;&lt;/contributors&gt;&lt;titles&gt;&lt;title&gt;Multi-criteria decision making methods: a comparative study&lt;/title&gt;&lt;/titles&gt;&lt;volume&gt;44&lt;/volume&gt;&lt;dates&gt;&lt;year&gt;2013&lt;/year&gt;&lt;/dates&gt;&lt;publisher&gt;Springer Science &amp;amp; Business Media&lt;/publisher&gt;&lt;isbn&gt;1475731574&lt;/isbn&gt;&lt;urls&gt;&lt;/urls&gt;&lt;/record&gt;&lt;/Cite&gt;&lt;/EndNote&gt;</w:instrText>
      </w:r>
      <w:r w:rsidR="00A46235">
        <w:fldChar w:fldCharType="separate"/>
      </w:r>
      <w:r w:rsidR="00A46235">
        <w:rPr>
          <w:noProof/>
        </w:rPr>
        <w:t>(Triantaphyllou, 2013)</w:t>
      </w:r>
      <w:r w:rsidR="00A46235">
        <w:fldChar w:fldCharType="end"/>
      </w:r>
      <w:r w:rsidRPr="00A96AC5">
        <w:rPr>
          <w:rFonts w:cs="Times New Roman"/>
        </w:rPr>
        <w:t xml:space="preserve">. The difference between the two is that the decision space of the MODM is continuous, while that of the MADM is discrete </w:t>
      </w:r>
      <w:r w:rsidR="00086038">
        <w:t>(</w:t>
      </w:r>
      <w:proofErr w:type="spellStart"/>
      <w:r w:rsidR="00086038">
        <w:t>Triantaphyllou</w:t>
      </w:r>
      <w:proofErr w:type="spellEnd"/>
      <w:r w:rsidR="00086038">
        <w:t>, 2013)</w:t>
      </w:r>
      <w:r w:rsidRPr="00A96AC5">
        <w:rPr>
          <w:rFonts w:cs="Times New Roman"/>
        </w:rPr>
        <w:t xml:space="preserve">. The continuous decision space problem can be modelled as mathematical programming that computes optimal solutions through multi-objective functions. In contrast, the discrete decision space problem has a predetermined set of decision alternatives </w:t>
      </w:r>
      <w:r w:rsidR="00BD00A5">
        <w:t>(</w:t>
      </w:r>
      <w:proofErr w:type="spellStart"/>
      <w:r w:rsidR="00BD00A5">
        <w:t>Triantaphyllou</w:t>
      </w:r>
      <w:proofErr w:type="spellEnd"/>
      <w:r w:rsidR="00BD00A5">
        <w:t>, 2013)</w:t>
      </w:r>
      <w:r w:rsidRPr="00A96AC5">
        <w:rPr>
          <w:rFonts w:cs="Times New Roman"/>
        </w:rPr>
        <w:t xml:space="preserve">. The problem of identifying different stakeholder preferences may can be classified as an MADM problem. </w:t>
      </w:r>
    </w:p>
    <w:p w14:paraId="3F6D48C0" w14:textId="5DF344CF" w:rsidR="0071798B" w:rsidRPr="00A96AC5" w:rsidRDefault="0071798B" w:rsidP="00101BA0">
      <w:pPr>
        <w:spacing w:after="240" w:line="360" w:lineRule="auto"/>
        <w:rPr>
          <w:rFonts w:cs="Times New Roman"/>
        </w:rPr>
      </w:pPr>
      <w:r w:rsidRPr="00A96AC5">
        <w:rPr>
          <w:rFonts w:cs="Times New Roman"/>
        </w:rPr>
        <w:t xml:space="preserve">A MCDM includes the following representative elements: alternatives, attributes, conflicts between criteria, and incommensurable units with different criteria and decision weights. The alternatives are a set of choices for the decision-makers. Each case is independent of the others, revealing the different stakeholders’ opinions of the UCC performance. Attributes are associated with the decision criteria, indicating the performance of different alternatives in different dimensions. Since different criteria represent different dimensions of the alternatives, conflict arises between them. The incommensurable units indicate that a common unit would measure different criteria. Most MCDM methods require that the criteria be assigned normalised weights of importance in some way. </w:t>
      </w:r>
    </w:p>
    <w:p w14:paraId="37EFC20D" w14:textId="66A78236" w:rsidR="00101BA0" w:rsidRPr="006C301D" w:rsidRDefault="0071798B" w:rsidP="00101BA0">
      <w:pPr>
        <w:spacing w:after="240" w:line="360" w:lineRule="auto"/>
        <w:rPr>
          <w:rFonts w:cs="Times New Roman"/>
        </w:rPr>
      </w:pPr>
      <w:r w:rsidRPr="00A96AC5">
        <w:rPr>
          <w:rFonts w:cs="Times New Roman"/>
        </w:rPr>
        <w:t xml:space="preserve">There are four sub-category problems of the MCDM </w:t>
      </w:r>
      <w:r w:rsidR="00A46235">
        <w:rPr>
          <w:rFonts w:cs="Times New Roman"/>
        </w:rPr>
        <w:fldChar w:fldCharType="begin"/>
      </w:r>
      <w:r w:rsidR="00647E79">
        <w:rPr>
          <w:rFonts w:cs="Times New Roman"/>
        </w:rPr>
        <w:instrText xml:space="preserve"> ADDIN EN.CITE &lt;EndNote&gt;&lt;Cite&gt;&lt;Author&gt;Roy&lt;/Author&gt;&lt;Year&gt;1981&lt;/Year&gt;&lt;RecNum&gt;289&lt;/RecNum&gt;&lt;DisplayText&gt;(Roy, 1981, Ishizaka and Nemery, 2013)&lt;/DisplayText&gt;&lt;record&gt;&lt;rec-number&gt;289&lt;/rec-number&gt;&lt;foreign-keys&gt;&lt;key app="EN" db-id="pzt5ep52hsedfpeext2pdfes0w0aswaewef2" timestamp="1605187999"&gt;289&lt;/key&gt;&lt;/foreign-keys&gt;&lt;ref-type name="Journal Article"&gt;17&lt;/ref-type&gt;&lt;contributors&gt;&lt;authors&gt;&lt;author&gt;Roy, Bernard&lt;/author&gt;&lt;/authors&gt;&lt;/contributors&gt;&lt;titles&gt;&lt;title&gt;The optimisation problem formulation: criticism and overstepping&lt;/title&gt;&lt;secondary-title&gt;Journal of the Operational Research Society&lt;/secondary-title&gt;&lt;/titles&gt;&lt;periodical&gt;&lt;full-title&gt;Journal of the Operational Research Society&lt;/full-title&gt;&lt;/periodical&gt;&lt;pages&gt;427-436&lt;/pages&gt;&lt;volume&gt;32&lt;/volume&gt;&lt;number&gt;6&lt;/number&gt;&lt;dates&gt;&lt;year&gt;1981&lt;/year&gt;&lt;/dates&gt;&lt;isbn&gt;0160-5682&lt;/isbn&gt;&lt;urls&gt;&lt;/urls&gt;&lt;/record&gt;&lt;/Cite&gt;&lt;Cite&gt;&lt;Author&gt;Ishizaka&lt;/Author&gt;&lt;Year&gt;2013&lt;/Year&gt;&lt;RecNum&gt;129&lt;/RecNum&gt;&lt;record&gt;&lt;rec-number&gt;129&lt;/rec-number&gt;&lt;foreign-keys&gt;&lt;key app="EN" db-id="pzt5ep52hsedfpeext2pdfes0w0aswaewef2" timestamp="1605187994"&gt;129&lt;/key&gt;&lt;/foreign-keys&gt;&lt;ref-type name="Book"&gt;6&lt;/ref-type&gt;&lt;contributors&gt;&lt;authors&gt;&lt;author&gt;Ishizaka, Alessio&lt;/author&gt;&lt;author&gt;Nemery, Philippe&lt;/author&gt;&lt;/authors&gt;&lt;/contributors&gt;&lt;titles&gt;&lt;title&gt;Multi-criteria decision analysis: methods and software&lt;/title&gt;&lt;/titles&gt;&lt;dates&gt;&lt;year&gt;2013&lt;/year&gt;&lt;/dates&gt;&lt;publisher&gt;John Wiley &amp;amp; Sons&lt;/publisher&gt;&lt;isbn&gt;1118644913&lt;/isbn&gt;&lt;urls&gt;&lt;/urls&gt;&lt;/record&gt;&lt;/Cite&gt;&lt;/EndNote&gt;</w:instrText>
      </w:r>
      <w:r w:rsidR="00A46235">
        <w:rPr>
          <w:rFonts w:cs="Times New Roman"/>
        </w:rPr>
        <w:fldChar w:fldCharType="separate"/>
      </w:r>
      <w:r w:rsidR="00A46235">
        <w:rPr>
          <w:rFonts w:cs="Times New Roman"/>
          <w:noProof/>
        </w:rPr>
        <w:t>(Roy, 1981, Ishizaka and Nemery, 2013)</w:t>
      </w:r>
      <w:r w:rsidR="00A46235">
        <w:rPr>
          <w:rFonts w:cs="Times New Roman"/>
        </w:rPr>
        <w:fldChar w:fldCharType="end"/>
      </w:r>
      <w:r w:rsidRPr="00A96AC5">
        <w:rPr>
          <w:rFonts w:cs="Times New Roman"/>
          <w:noProof/>
        </w:rPr>
        <w:t>:</w:t>
      </w:r>
      <w:r w:rsidRPr="00A96AC5">
        <w:rPr>
          <w:rFonts w:cs="Times New Roman"/>
        </w:rPr>
        <w:t xml:space="preserve"> (1) the choice problem, where the objective is to select the optimal solution or separate a subset of equal vantage solutions from a group of candidate solutions; (2) the sorting problem, where options with similar characteristics are sorted into predefined categories according to the preference of decision-makers; (3) the ranking problem, where</w:t>
      </w:r>
      <w:r w:rsidR="008973D2">
        <w:rPr>
          <w:rFonts w:cs="Times New Roman"/>
        </w:rPr>
        <w:t xml:space="preserve"> the</w:t>
      </w:r>
      <w:r w:rsidRPr="00A96AC5">
        <w:rPr>
          <w:rFonts w:cs="Times New Roman"/>
        </w:rPr>
        <w:t xml:space="preserve"> options are ordered from best to worst according to their scores; and (4) the description problem, where the goal is to describe the options and their consequences. There are also corresponding approaches to </w:t>
      </w:r>
      <w:r w:rsidRPr="00A96AC5">
        <w:rPr>
          <w:rFonts w:cs="Times New Roman"/>
        </w:rPr>
        <w:lastRenderedPageBreak/>
        <w:t xml:space="preserve">resolving these four types of problem </w:t>
      </w:r>
      <w:r w:rsidR="00F4625F">
        <w:rPr>
          <w:noProof/>
        </w:rPr>
        <w:t>(Ishizaka and Nemery, 2013)</w:t>
      </w:r>
      <w:r w:rsidRPr="00A96AC5">
        <w:rPr>
          <w:rFonts w:cs="Times New Roman"/>
        </w:rPr>
        <w:t xml:space="preserve">. </w:t>
      </w:r>
      <w:r w:rsidRPr="008903D1">
        <w:rPr>
          <w:rFonts w:cs="Times New Roman"/>
        </w:rPr>
        <w:fldChar w:fldCharType="begin"/>
      </w:r>
      <w:r w:rsidRPr="00A96AC5">
        <w:rPr>
          <w:rFonts w:cs="Times New Roman"/>
        </w:rPr>
        <w:instrText xml:space="preserve"> REF _Ref34398540 \h </w:instrText>
      </w:r>
      <w:r w:rsidR="008903D1">
        <w:rPr>
          <w:rFonts w:cs="Times New Roman"/>
        </w:rPr>
        <w:instrText xml:space="preserve"> \* MERGEFORMAT </w:instrText>
      </w:r>
      <w:r w:rsidRPr="008903D1">
        <w:rPr>
          <w:rFonts w:cs="Times New Roman"/>
        </w:rPr>
      </w:r>
      <w:r w:rsidRPr="008903D1">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3</w:t>
      </w:r>
      <w:r w:rsidR="0005064B">
        <w:rPr>
          <w:rFonts w:cs="Times New Roman"/>
          <w:noProof/>
        </w:rPr>
        <w:noBreakHyphen/>
        <w:t>3</w:t>
      </w:r>
      <w:r w:rsidRPr="008903D1">
        <w:rPr>
          <w:rFonts w:cs="Times New Roman"/>
        </w:rPr>
        <w:fldChar w:fldCharType="end"/>
      </w:r>
      <w:r w:rsidRPr="008903D1">
        <w:rPr>
          <w:rFonts w:cs="Times New Roman"/>
        </w:rPr>
        <w:t xml:space="preserve"> details </w:t>
      </w:r>
      <w:r w:rsidRPr="00737239">
        <w:rPr>
          <w:rFonts w:cs="Times New Roman"/>
        </w:rPr>
        <w:t>the programmes for resolving the MCDM problems</w:t>
      </w:r>
      <w:r w:rsidR="001E73C2">
        <w:rPr>
          <w:rFonts w:cs="Times New Roman"/>
        </w:rPr>
        <w:t>.</w:t>
      </w:r>
    </w:p>
    <w:tbl>
      <w:tblPr>
        <w:tblStyle w:val="TableGrid"/>
        <w:tblW w:w="5000" w:type="pct"/>
        <w:tblLook w:val="04A0" w:firstRow="1" w:lastRow="0" w:firstColumn="1" w:lastColumn="0" w:noHBand="0" w:noVBand="1"/>
      </w:tblPr>
      <w:tblGrid>
        <w:gridCol w:w="2829"/>
        <w:gridCol w:w="6187"/>
      </w:tblGrid>
      <w:tr w:rsidR="0071798B" w:rsidRPr="008903D1" w14:paraId="18095FB3" w14:textId="77777777" w:rsidTr="00F7598C">
        <w:tc>
          <w:tcPr>
            <w:tcW w:w="1569" w:type="pct"/>
          </w:tcPr>
          <w:p w14:paraId="3ACE741C" w14:textId="77777777" w:rsidR="0071798B" w:rsidRPr="00A96AC5" w:rsidRDefault="0071798B" w:rsidP="00532952">
            <w:pPr>
              <w:spacing w:line="240" w:lineRule="auto"/>
              <w:jc w:val="center"/>
              <w:rPr>
                <w:rFonts w:cs="Times New Roman"/>
                <w:b/>
                <w:bCs/>
                <w:color w:val="231F20"/>
                <w:sz w:val="22"/>
              </w:rPr>
            </w:pPr>
            <w:r w:rsidRPr="00A96AC5">
              <w:rPr>
                <w:rFonts w:cs="Times New Roman" w:hint="eastAsia"/>
                <w:b/>
                <w:bCs/>
                <w:color w:val="231F20"/>
                <w:sz w:val="22"/>
              </w:rPr>
              <w:t>Problem</w:t>
            </w:r>
          </w:p>
        </w:tc>
        <w:tc>
          <w:tcPr>
            <w:tcW w:w="3431" w:type="pct"/>
          </w:tcPr>
          <w:p w14:paraId="1D491723" w14:textId="77777777" w:rsidR="0071798B" w:rsidRPr="00A96AC5" w:rsidRDefault="0071798B" w:rsidP="00532952">
            <w:pPr>
              <w:spacing w:line="240" w:lineRule="auto"/>
              <w:jc w:val="center"/>
              <w:rPr>
                <w:rFonts w:cs="Times New Roman"/>
                <w:b/>
                <w:bCs/>
                <w:color w:val="231F20"/>
                <w:sz w:val="22"/>
              </w:rPr>
            </w:pPr>
            <w:r w:rsidRPr="00A96AC5">
              <w:rPr>
                <w:rFonts w:cs="Times New Roman" w:hint="eastAsia"/>
                <w:b/>
                <w:bCs/>
                <w:color w:val="231F20"/>
                <w:sz w:val="22"/>
              </w:rPr>
              <w:t>Multi-criteria decision-making (MCDM) methods</w:t>
            </w:r>
          </w:p>
        </w:tc>
      </w:tr>
      <w:tr w:rsidR="0071798B" w:rsidRPr="008903D1" w14:paraId="2CAE67A4" w14:textId="77777777" w:rsidTr="00F7598C">
        <w:tc>
          <w:tcPr>
            <w:tcW w:w="1569" w:type="pct"/>
          </w:tcPr>
          <w:p w14:paraId="3AA92288" w14:textId="77777777" w:rsidR="0071798B" w:rsidRPr="008903D1" w:rsidRDefault="0071798B" w:rsidP="00532952">
            <w:pPr>
              <w:spacing w:line="240" w:lineRule="auto"/>
              <w:rPr>
                <w:rFonts w:cs="Times New Roman"/>
                <w:sz w:val="22"/>
              </w:rPr>
            </w:pPr>
            <w:r w:rsidRPr="00A96AC5">
              <w:rPr>
                <w:rFonts w:cs="Times New Roman" w:hint="eastAsia"/>
                <w:color w:val="231F20"/>
                <w:sz w:val="22"/>
              </w:rPr>
              <w:t>Ranking, description, choice</w:t>
            </w:r>
          </w:p>
        </w:tc>
        <w:tc>
          <w:tcPr>
            <w:tcW w:w="3431" w:type="pct"/>
          </w:tcPr>
          <w:p w14:paraId="059E8058" w14:textId="77777777" w:rsidR="0071798B" w:rsidRPr="00A96AC5" w:rsidRDefault="0071798B" w:rsidP="00532952">
            <w:pPr>
              <w:spacing w:line="240" w:lineRule="auto"/>
              <w:rPr>
                <w:rFonts w:cs="Times New Roman"/>
                <w:color w:val="231F20"/>
                <w:sz w:val="22"/>
              </w:rPr>
            </w:pPr>
            <w:r w:rsidRPr="00A96AC5">
              <w:rPr>
                <w:rFonts w:cs="Times New Roman" w:hint="eastAsia"/>
                <w:color w:val="231F20"/>
                <w:sz w:val="22"/>
              </w:rPr>
              <w:t xml:space="preserve">PROMETHEE </w:t>
            </w:r>
            <w:r w:rsidRPr="00A96AC5">
              <w:rPr>
                <w:rFonts w:cs="Times New Roman" w:hint="eastAsia"/>
                <w:color w:val="231F20"/>
                <w:sz w:val="22"/>
              </w:rPr>
              <w:t>–</w:t>
            </w:r>
            <w:r w:rsidRPr="00A96AC5">
              <w:rPr>
                <w:rFonts w:cs="Times New Roman" w:hint="eastAsia"/>
                <w:color w:val="231F20"/>
                <w:sz w:val="22"/>
              </w:rPr>
              <w:t xml:space="preserve"> GAIA</w:t>
            </w:r>
          </w:p>
        </w:tc>
      </w:tr>
      <w:tr w:rsidR="0071798B" w:rsidRPr="008903D1" w14:paraId="7AEDC82E" w14:textId="77777777" w:rsidTr="00F7598C">
        <w:tc>
          <w:tcPr>
            <w:tcW w:w="1569" w:type="pct"/>
          </w:tcPr>
          <w:p w14:paraId="39CAD6D8" w14:textId="77777777" w:rsidR="0071798B" w:rsidRPr="008903D1" w:rsidRDefault="0071798B" w:rsidP="00532952">
            <w:pPr>
              <w:spacing w:line="240" w:lineRule="auto"/>
              <w:rPr>
                <w:rFonts w:cs="Times New Roman"/>
                <w:sz w:val="22"/>
              </w:rPr>
            </w:pPr>
            <w:r w:rsidRPr="00A96AC5">
              <w:rPr>
                <w:rFonts w:cs="Times New Roman" w:hint="eastAsia"/>
                <w:color w:val="231F20"/>
                <w:sz w:val="22"/>
              </w:rPr>
              <w:t>Ranking, choice</w:t>
            </w:r>
          </w:p>
        </w:tc>
        <w:tc>
          <w:tcPr>
            <w:tcW w:w="3431" w:type="pct"/>
          </w:tcPr>
          <w:p w14:paraId="35A0F542" w14:textId="77777777" w:rsidR="0071798B" w:rsidRPr="00A96AC5" w:rsidRDefault="0071798B" w:rsidP="00532952">
            <w:pPr>
              <w:spacing w:line="240" w:lineRule="auto"/>
              <w:rPr>
                <w:rFonts w:cs="Times New Roman"/>
                <w:color w:val="231F20"/>
                <w:sz w:val="22"/>
              </w:rPr>
            </w:pPr>
            <w:r w:rsidRPr="00A96AC5">
              <w:rPr>
                <w:rFonts w:cs="Times New Roman" w:hint="eastAsia"/>
                <w:color w:val="231F20"/>
                <w:sz w:val="22"/>
              </w:rPr>
              <w:t xml:space="preserve">PROMETHEE, </w:t>
            </w:r>
            <w:proofErr w:type="spellStart"/>
            <w:r w:rsidRPr="00A96AC5">
              <w:rPr>
                <w:rFonts w:cs="Times New Roman" w:hint="eastAsia"/>
                <w:color w:val="231F20"/>
                <w:sz w:val="22"/>
              </w:rPr>
              <w:t>Electre</w:t>
            </w:r>
            <w:proofErr w:type="spellEnd"/>
            <w:r w:rsidRPr="00A96AC5">
              <w:rPr>
                <w:rFonts w:cs="Times New Roman" w:hint="eastAsia"/>
                <w:color w:val="231F20"/>
                <w:sz w:val="22"/>
              </w:rPr>
              <w:t>, UTA, AHP, ANP, MACBETH, TOPSIS, DEA</w:t>
            </w:r>
          </w:p>
        </w:tc>
      </w:tr>
      <w:tr w:rsidR="0071798B" w:rsidRPr="008903D1" w14:paraId="286E46E7" w14:textId="77777777" w:rsidTr="00F7598C">
        <w:tc>
          <w:tcPr>
            <w:tcW w:w="1569" w:type="pct"/>
          </w:tcPr>
          <w:p w14:paraId="0F25796F" w14:textId="77777777" w:rsidR="0071798B" w:rsidRPr="008903D1" w:rsidRDefault="0071798B" w:rsidP="00532952">
            <w:pPr>
              <w:spacing w:line="240" w:lineRule="auto"/>
              <w:rPr>
                <w:rFonts w:cs="Times New Roman"/>
                <w:sz w:val="22"/>
              </w:rPr>
            </w:pPr>
            <w:r w:rsidRPr="00A96AC5">
              <w:rPr>
                <w:rFonts w:cs="Times New Roman" w:hint="eastAsia"/>
                <w:color w:val="231F20"/>
                <w:sz w:val="22"/>
              </w:rPr>
              <w:t>Choice,</w:t>
            </w:r>
          </w:p>
        </w:tc>
        <w:tc>
          <w:tcPr>
            <w:tcW w:w="3431" w:type="pct"/>
          </w:tcPr>
          <w:p w14:paraId="2BB06062" w14:textId="77777777" w:rsidR="0071798B" w:rsidRPr="00A96AC5" w:rsidRDefault="0071798B" w:rsidP="00532952">
            <w:pPr>
              <w:spacing w:line="240" w:lineRule="auto"/>
              <w:rPr>
                <w:rFonts w:cs="Times New Roman"/>
                <w:color w:val="231F20"/>
                <w:sz w:val="22"/>
              </w:rPr>
            </w:pPr>
            <w:r w:rsidRPr="00A96AC5">
              <w:rPr>
                <w:rFonts w:cs="Times New Roman" w:hint="eastAsia"/>
                <w:color w:val="231F20"/>
                <w:sz w:val="22"/>
              </w:rPr>
              <w:t>Goal programming</w:t>
            </w:r>
          </w:p>
        </w:tc>
      </w:tr>
      <w:tr w:rsidR="0071798B" w:rsidRPr="008903D1" w14:paraId="266C2555" w14:textId="77777777" w:rsidTr="00F7598C">
        <w:tc>
          <w:tcPr>
            <w:tcW w:w="1569" w:type="pct"/>
          </w:tcPr>
          <w:p w14:paraId="29A2C158" w14:textId="77777777" w:rsidR="0071798B" w:rsidRPr="008903D1" w:rsidRDefault="0071798B" w:rsidP="00532952">
            <w:pPr>
              <w:spacing w:line="240" w:lineRule="auto"/>
              <w:rPr>
                <w:rFonts w:cs="Times New Roman"/>
                <w:sz w:val="22"/>
              </w:rPr>
            </w:pPr>
            <w:r w:rsidRPr="00A96AC5">
              <w:rPr>
                <w:rFonts w:cs="Times New Roman" w:hint="eastAsia"/>
                <w:color w:val="231F20"/>
                <w:sz w:val="22"/>
              </w:rPr>
              <w:t>Sorting, description</w:t>
            </w:r>
          </w:p>
        </w:tc>
        <w:tc>
          <w:tcPr>
            <w:tcW w:w="3431" w:type="pct"/>
          </w:tcPr>
          <w:p w14:paraId="63E01400" w14:textId="77777777" w:rsidR="0071798B" w:rsidRPr="00A96AC5" w:rsidRDefault="0071798B" w:rsidP="00532952">
            <w:pPr>
              <w:spacing w:line="240" w:lineRule="auto"/>
              <w:rPr>
                <w:rFonts w:cs="Times New Roman"/>
                <w:color w:val="231F20"/>
                <w:sz w:val="22"/>
              </w:rPr>
            </w:pPr>
            <w:proofErr w:type="spellStart"/>
            <w:r w:rsidRPr="00A96AC5">
              <w:rPr>
                <w:rFonts w:cs="Times New Roman" w:hint="eastAsia"/>
                <w:color w:val="231F20"/>
                <w:sz w:val="22"/>
              </w:rPr>
              <w:t>FlowSort</w:t>
            </w:r>
            <w:proofErr w:type="spellEnd"/>
            <w:r w:rsidRPr="00A96AC5">
              <w:rPr>
                <w:rFonts w:cs="Times New Roman" w:hint="eastAsia"/>
                <w:color w:val="231F20"/>
                <w:sz w:val="22"/>
              </w:rPr>
              <w:t xml:space="preserve"> - FS-GAIA</w:t>
            </w:r>
          </w:p>
        </w:tc>
      </w:tr>
      <w:tr w:rsidR="0071798B" w:rsidRPr="008903D1" w14:paraId="039E1D14" w14:textId="77777777" w:rsidTr="00F7598C">
        <w:tc>
          <w:tcPr>
            <w:tcW w:w="1569" w:type="pct"/>
          </w:tcPr>
          <w:p w14:paraId="1DE105D9" w14:textId="77777777" w:rsidR="0071798B" w:rsidRPr="008903D1" w:rsidRDefault="0071798B" w:rsidP="00532952">
            <w:pPr>
              <w:spacing w:line="240" w:lineRule="auto"/>
              <w:rPr>
                <w:rFonts w:cs="Times New Roman"/>
                <w:sz w:val="22"/>
              </w:rPr>
            </w:pPr>
            <w:r w:rsidRPr="00A96AC5">
              <w:rPr>
                <w:rFonts w:cs="Times New Roman" w:hint="eastAsia"/>
                <w:color w:val="231F20"/>
                <w:sz w:val="22"/>
              </w:rPr>
              <w:t>Sorting</w:t>
            </w:r>
          </w:p>
        </w:tc>
        <w:tc>
          <w:tcPr>
            <w:tcW w:w="3431" w:type="pct"/>
          </w:tcPr>
          <w:p w14:paraId="5CAA12BF" w14:textId="77777777" w:rsidR="0071798B" w:rsidRPr="00A96AC5" w:rsidRDefault="0071798B" w:rsidP="00532952">
            <w:pPr>
              <w:spacing w:line="240" w:lineRule="auto"/>
              <w:rPr>
                <w:rFonts w:cs="Times New Roman"/>
                <w:color w:val="231F20"/>
                <w:sz w:val="22"/>
              </w:rPr>
            </w:pPr>
            <w:r w:rsidRPr="00A96AC5">
              <w:rPr>
                <w:rFonts w:cs="Times New Roman" w:hint="eastAsia"/>
                <w:color w:val="231F20"/>
                <w:sz w:val="22"/>
              </w:rPr>
              <w:t xml:space="preserve">ELECTRE-Tri, UTADIS, </w:t>
            </w:r>
            <w:proofErr w:type="spellStart"/>
            <w:r w:rsidRPr="00A96AC5">
              <w:rPr>
                <w:rFonts w:cs="Times New Roman" w:hint="eastAsia"/>
                <w:color w:val="231F20"/>
                <w:sz w:val="22"/>
              </w:rPr>
              <w:t>AHPSort</w:t>
            </w:r>
            <w:proofErr w:type="spellEnd"/>
          </w:p>
        </w:tc>
      </w:tr>
    </w:tbl>
    <w:p w14:paraId="63CE4D1F" w14:textId="4EAAF85C" w:rsidR="0071798B" w:rsidRPr="008903D1" w:rsidRDefault="007B5959" w:rsidP="000A4E8C">
      <w:pPr>
        <w:pStyle w:val="Caption"/>
        <w:spacing w:after="0" w:line="360" w:lineRule="auto"/>
        <w:rPr>
          <w:rFonts w:cs="Times New Roman"/>
        </w:rPr>
      </w:pPr>
      <w:bookmarkStart w:id="544" w:name="_Ref34398540"/>
      <w:bookmarkStart w:id="545" w:name="_Toc34674946"/>
      <w:bookmarkStart w:id="546" w:name="_Toc34734738"/>
      <w:bookmarkStart w:id="547" w:name="_Toc46053553"/>
      <w:bookmarkStart w:id="548" w:name="_Toc46093802"/>
      <w:bookmarkStart w:id="549" w:name="_Toc66698770"/>
      <w:r>
        <w:rPr>
          <w:rFonts w:cs="Times New Roman"/>
        </w:rPr>
        <w:t>Table</w:t>
      </w:r>
      <w:r w:rsidR="0071798B"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3</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3</w:t>
      </w:r>
      <w:r w:rsidR="00FE10DA">
        <w:rPr>
          <w:rFonts w:cs="Times New Roman"/>
        </w:rPr>
        <w:fldChar w:fldCharType="end"/>
      </w:r>
      <w:bookmarkEnd w:id="544"/>
      <w:r w:rsidR="00AF217C">
        <w:rPr>
          <w:rFonts w:cs="Times New Roman"/>
        </w:rPr>
        <w:t>:</w:t>
      </w:r>
      <w:r w:rsidR="0071798B" w:rsidRPr="008903D1">
        <w:rPr>
          <w:rFonts w:cs="Times New Roman"/>
        </w:rPr>
        <w:t xml:space="preserve"> Multi-criteria decision-making (MCDM) problems and corresponding methods</w:t>
      </w:r>
      <w:bookmarkEnd w:id="545"/>
      <w:bookmarkEnd w:id="546"/>
      <w:bookmarkEnd w:id="547"/>
      <w:bookmarkEnd w:id="548"/>
      <w:bookmarkEnd w:id="549"/>
    </w:p>
    <w:p w14:paraId="7C719BB0" w14:textId="77777777" w:rsidR="0071798B" w:rsidRPr="00737239" w:rsidRDefault="0071798B" w:rsidP="000A4E8C">
      <w:pPr>
        <w:pStyle w:val="Heading4"/>
        <w:spacing w:after="0" w:line="360" w:lineRule="auto"/>
        <w:rPr>
          <w:rFonts w:cs="Times New Roman"/>
        </w:rPr>
      </w:pPr>
      <w:r w:rsidRPr="00737239">
        <w:rPr>
          <w:rFonts w:cs="Times New Roman"/>
        </w:rPr>
        <w:t>Motivation for implementing the analytic hierarchy process (AHP)</w:t>
      </w:r>
    </w:p>
    <w:p w14:paraId="0AA3856E" w14:textId="7EF29902" w:rsidR="0071798B" w:rsidRPr="00A96AC5" w:rsidRDefault="00A46235" w:rsidP="00532952">
      <w:pPr>
        <w:spacing w:after="240" w:line="360" w:lineRule="auto"/>
        <w:rPr>
          <w:rFonts w:eastAsia="Times New Roman" w:cs="Times New Roman"/>
          <w:iCs/>
        </w:rPr>
      </w:pPr>
      <w:r>
        <w:rPr>
          <w:rFonts w:eastAsia="Times New Roman"/>
          <w:noProof/>
        </w:rPr>
        <w:fldChar w:fldCharType="begin"/>
      </w:r>
      <w:r w:rsidR="00647E79">
        <w:rPr>
          <w:rFonts w:eastAsia="Times New Roman"/>
          <w:noProof/>
        </w:rPr>
        <w:instrText xml:space="preserve"> ADDIN EN.CITE &lt;EndNote&gt;&lt;Cite AuthorYear="1"&gt;&lt;Author&gt;Saaty&lt;/Author&gt;&lt;Year&gt;2013&lt;/Year&gt;&lt;RecNum&gt;290&lt;/RecNum&gt;&lt;DisplayText&gt;Saaty (2013)&lt;/DisplayText&gt;&lt;record&gt;&lt;rec-number&gt;290&lt;/rec-number&gt;&lt;foreign-keys&gt;&lt;key app="EN" db-id="pzt5ep52hsedfpeext2pdfes0w0aswaewef2" timestamp="1605187999"&gt;290&lt;/key&gt;&lt;/foreign-keys&gt;&lt;ref-type name="Journal Article"&gt;17&lt;/ref-type&gt;&lt;contributors&gt;&lt;authors&gt;&lt;author&gt;Saaty, Thomas L&lt;/author&gt;&lt;/authors&gt;&lt;/contributors&gt;&lt;titles&gt;&lt;title&gt;The modern science of multicriteria decision making and its practical applications: The AHP/ANP approach&lt;/title&gt;&lt;secondary-title&gt;Operations Research&lt;/secondary-title&gt;&lt;/titles&gt;&lt;periodical&gt;&lt;full-title&gt;Operations Research&lt;/full-title&gt;&lt;/periodical&gt;&lt;pages&gt;1101-1118&lt;/pages&gt;&lt;volume&gt;61&lt;/volume&gt;&lt;number&gt;5&lt;/number&gt;&lt;dates&gt;&lt;year&gt;2013&lt;/year&gt;&lt;/dates&gt;&lt;isbn&gt;0030-364X&lt;/isbn&gt;&lt;urls&gt;&lt;/urls&gt;&lt;/record&gt;&lt;/Cite&gt;&lt;/EndNote&gt;</w:instrText>
      </w:r>
      <w:r>
        <w:rPr>
          <w:rFonts w:eastAsia="Times New Roman"/>
          <w:noProof/>
        </w:rPr>
        <w:fldChar w:fldCharType="separate"/>
      </w:r>
      <w:r>
        <w:rPr>
          <w:rFonts w:eastAsia="Times New Roman"/>
          <w:noProof/>
        </w:rPr>
        <w:t>Saaty (2013)</w:t>
      </w:r>
      <w:r>
        <w:rPr>
          <w:rFonts w:eastAsia="Times New Roman"/>
          <w:noProof/>
        </w:rPr>
        <w:fldChar w:fldCharType="end"/>
      </w:r>
      <w:r w:rsidR="00071293">
        <w:rPr>
          <w:rFonts w:eastAsia="Times New Roman"/>
        </w:rPr>
        <w:t xml:space="preserve"> </w:t>
      </w:r>
      <w:r w:rsidR="0071798B" w:rsidRPr="006C301D">
        <w:rPr>
          <w:rFonts w:eastAsia="Times New Roman" w:cs="Times New Roman"/>
        </w:rPr>
        <w:t>defines the AHP as ‘a theory of relative measurement with absolute scales of both tangible and intangi</w:t>
      </w:r>
      <w:r w:rsidR="0071798B" w:rsidRPr="00A96AC5">
        <w:rPr>
          <w:rFonts w:eastAsia="Times New Roman" w:cs="Times New Roman"/>
        </w:rPr>
        <w:t>ble criteria based on the judgment of knowledgeable and expert people’.</w:t>
      </w:r>
      <w:r w:rsidR="0071798B" w:rsidRPr="00A96AC5">
        <w:rPr>
          <w:rFonts w:eastAsia="Times New Roman" w:cs="Times New Roman"/>
          <w:i/>
        </w:rPr>
        <w:t xml:space="preserve"> </w:t>
      </w:r>
      <w:r w:rsidR="0071798B" w:rsidRPr="00A96AC5">
        <w:rPr>
          <w:rFonts w:eastAsia="Times New Roman" w:cs="Times New Roman"/>
          <w:iCs/>
        </w:rPr>
        <w:t>It enables decision-makers to express their subjective willing, represented by the different weights they assign to different criteria. The method thus reveals the various stakeholder preferences.</w:t>
      </w:r>
      <w:r w:rsidR="00AD5475">
        <w:rPr>
          <w:rFonts w:eastAsia="Times New Roman" w:cs="Times New Roman"/>
          <w:iCs/>
        </w:rPr>
        <w:t xml:space="preserve"> </w:t>
      </w:r>
      <w:r w:rsidR="00AD5475" w:rsidRPr="00737239">
        <w:rPr>
          <w:rFonts w:eastAsia="Times New Roman" w:cs="Times New Roman"/>
          <w:iCs/>
        </w:rPr>
        <w:t xml:space="preserve">The </w:t>
      </w:r>
      <w:r w:rsidR="00AD5475" w:rsidRPr="00802DC5">
        <w:rPr>
          <w:rFonts w:cs="Times New Roman"/>
          <w:iCs/>
        </w:rPr>
        <w:t xml:space="preserve">AHP breaks down the complex issues into smaller sub-sets by hierarchising the problem. This simplifies the process of addressing the decision-making problem. </w:t>
      </w:r>
      <w:r w:rsidR="00AD5475" w:rsidRPr="006C301D">
        <w:rPr>
          <w:rFonts w:eastAsia="Times New Roman" w:cs="Times New Roman"/>
          <w:iCs/>
        </w:rPr>
        <w:t xml:space="preserve">Furthermore, the </w:t>
      </w:r>
      <w:r w:rsidR="00AD5475" w:rsidRPr="008903D1">
        <w:rPr>
          <w:rFonts w:eastAsia="Times New Roman" w:cs="Times New Roman"/>
          <w:szCs w:val="24"/>
        </w:rPr>
        <w:t>AHP allows decision-makers (stakeholders) to rank their preferences for different conflict indicators.</w:t>
      </w:r>
      <w:r w:rsidR="00AD5475" w:rsidRPr="00737239">
        <w:rPr>
          <w:rFonts w:eastAsia="Times New Roman" w:cs="Times New Roman"/>
          <w:iCs/>
        </w:rPr>
        <w:t xml:space="preserve"> This makes it more convenient to compare </w:t>
      </w:r>
      <w:r w:rsidR="00AD5475" w:rsidRPr="00802DC5">
        <w:rPr>
          <w:rFonts w:eastAsia="Times New Roman" w:cs="Times New Roman"/>
          <w:iCs/>
        </w:rPr>
        <w:t>the differences in stakeholder preferences in the context of SUL</w:t>
      </w:r>
      <w:r w:rsidR="00AD5475" w:rsidRPr="008903D1">
        <w:rPr>
          <w:rFonts w:eastAsia="Times New Roman" w:cs="Times New Roman"/>
          <w:szCs w:val="24"/>
        </w:rPr>
        <w:t xml:space="preserve">. Ultimately, the calculation process for AHP is easier to implement and does not rely on professional tools. This enables us </w:t>
      </w:r>
      <w:r w:rsidR="00AD5475" w:rsidRPr="008903D1">
        <w:rPr>
          <w:rFonts w:cs="Times New Roman"/>
          <w:szCs w:val="24"/>
        </w:rPr>
        <w:t>to quickly reach a numerical result.</w:t>
      </w:r>
    </w:p>
    <w:p w14:paraId="1B3FD817" w14:textId="2442BE2E" w:rsidR="0071798B" w:rsidRPr="00A96AC5" w:rsidRDefault="0071798B" w:rsidP="00532952">
      <w:pPr>
        <w:spacing w:after="240" w:line="360" w:lineRule="auto"/>
        <w:rPr>
          <w:rFonts w:eastAsia="Times New Roman" w:cs="Times New Roman"/>
          <w:iCs/>
        </w:rPr>
      </w:pPr>
      <w:r w:rsidRPr="00A96AC5">
        <w:rPr>
          <w:rFonts w:eastAsia="Times New Roman" w:cs="Times New Roman"/>
          <w:iCs/>
        </w:rPr>
        <w:t xml:space="preserve">There are five primary process for implementing AHP: (1) </w:t>
      </w:r>
      <w:r w:rsidRPr="00A96AC5">
        <w:rPr>
          <w:rFonts w:eastAsia="Times New Roman" w:cs="Times New Roman"/>
        </w:rPr>
        <w:t>set</w:t>
      </w:r>
      <w:r w:rsidR="008973D2">
        <w:rPr>
          <w:rFonts w:eastAsia="Times New Roman" w:cs="Times New Roman"/>
        </w:rPr>
        <w:t xml:space="preserve"> </w:t>
      </w:r>
      <w:r w:rsidRPr="00A96AC5">
        <w:rPr>
          <w:rFonts w:eastAsia="Times New Roman" w:cs="Times New Roman"/>
        </w:rPr>
        <w:t>up a decision hierarchy</w:t>
      </w:r>
      <w:r w:rsidRPr="00A96AC5">
        <w:rPr>
          <w:rFonts w:eastAsia="Times New Roman" w:cs="Times New Roman"/>
          <w:iCs/>
        </w:rPr>
        <w:t xml:space="preserve">, (2) </w:t>
      </w:r>
      <w:r w:rsidRPr="00A96AC5">
        <w:rPr>
          <w:rFonts w:eastAsia="Times New Roman" w:cs="Times New Roman"/>
        </w:rPr>
        <w:t>make a pairwise comparison of the attributes,</w:t>
      </w:r>
      <w:r w:rsidRPr="00A96AC5">
        <w:rPr>
          <w:rFonts w:eastAsia="Times New Roman" w:cs="Times New Roman"/>
          <w:iCs/>
        </w:rPr>
        <w:t xml:space="preserve"> (3) </w:t>
      </w:r>
      <w:r w:rsidRPr="00A96AC5">
        <w:rPr>
          <w:rFonts w:eastAsia="Times New Roman" w:cs="Times New Roman"/>
        </w:rPr>
        <w:t xml:space="preserve">transform the comparisons into weights and check the decision-makers’ consistency, </w:t>
      </w:r>
      <w:r w:rsidRPr="00A96AC5">
        <w:rPr>
          <w:rFonts w:eastAsia="Times New Roman" w:cs="Times New Roman"/>
          <w:iCs/>
        </w:rPr>
        <w:t xml:space="preserve">(4) </w:t>
      </w:r>
      <w:r w:rsidRPr="00A96AC5">
        <w:rPr>
          <w:rFonts w:eastAsia="Times New Roman" w:cs="Times New Roman"/>
        </w:rPr>
        <w:t>use the weights to obtain scores for the different options and make a provision</w:t>
      </w:r>
      <w:r w:rsidR="008973D2">
        <w:rPr>
          <w:rFonts w:eastAsia="Times New Roman" w:cs="Times New Roman"/>
        </w:rPr>
        <w:t>al</w:t>
      </w:r>
      <w:r w:rsidRPr="00A96AC5">
        <w:rPr>
          <w:rFonts w:eastAsia="Times New Roman" w:cs="Times New Roman"/>
        </w:rPr>
        <w:t xml:space="preserve"> decision, and </w:t>
      </w:r>
      <w:r w:rsidRPr="00A96AC5">
        <w:rPr>
          <w:rFonts w:eastAsia="Times New Roman" w:cs="Times New Roman"/>
          <w:iCs/>
        </w:rPr>
        <w:t>(5)</w:t>
      </w:r>
      <w:r w:rsidRPr="00A96AC5">
        <w:rPr>
          <w:rFonts w:eastAsia="Times New Roman" w:cs="Times New Roman"/>
        </w:rPr>
        <w:t xml:space="preserve"> perform a sensitivity analysis.</w:t>
      </w:r>
      <w:r w:rsidRPr="00A96AC5">
        <w:rPr>
          <w:rFonts w:eastAsia="Times New Roman" w:cs="Times New Roman"/>
          <w:i/>
        </w:rPr>
        <w:t xml:space="preserve"> </w:t>
      </w:r>
      <w:r w:rsidRPr="00A96AC5">
        <w:rPr>
          <w:rFonts w:eastAsia="Times New Roman" w:cs="Times New Roman"/>
          <w:iCs/>
        </w:rPr>
        <w:t xml:space="preserve">When building the hierarchy, the three dimensions of SUL can be considered the major criteria and arranged in the upper level of the hierarchy. Their criteria are then arranged on the lower level, under each dimension. A pairwise comparison of the attributes determines the relative importance of the dimensions for SUL, as well as the relative weights of the criteria under each dimension. The </w:t>
      </w:r>
      <w:proofErr w:type="spellStart"/>
      <w:r w:rsidRPr="00A96AC5">
        <w:rPr>
          <w:rFonts w:eastAsia="Times New Roman" w:cs="Times New Roman"/>
          <w:iCs/>
        </w:rPr>
        <w:t>Saaty</w:t>
      </w:r>
      <w:proofErr w:type="spellEnd"/>
      <w:r w:rsidRPr="00A96AC5">
        <w:rPr>
          <w:rFonts w:eastAsia="Times New Roman" w:cs="Times New Roman"/>
          <w:iCs/>
        </w:rPr>
        <w:t xml:space="preserve"> scale </w:t>
      </w:r>
      <w:r w:rsidR="00A46235">
        <w:rPr>
          <w:rFonts w:eastAsia="Times New Roman"/>
          <w:iCs/>
          <w:noProof/>
        </w:rPr>
        <w:fldChar w:fldCharType="begin"/>
      </w:r>
      <w:r w:rsidR="00647E79">
        <w:rPr>
          <w:rFonts w:eastAsia="Times New Roman"/>
          <w:iCs/>
          <w:noProof/>
        </w:rPr>
        <w:instrText xml:space="preserve"> ADDIN EN.CITE &lt;EndNote&gt;&lt;Cite&gt;&lt;Author&gt;Saaty&lt;/Author&gt;&lt;Year&gt;1988&lt;/Year&gt;&lt;RecNum&gt;291&lt;/RecNum&gt;&lt;DisplayText&gt;(Saaty, 1988)&lt;/DisplayText&gt;&lt;record&gt;&lt;rec-number&gt;291&lt;/rec-number&gt;&lt;foreign-keys&gt;&lt;key app="EN" db-id="pzt5ep52hsedfpeext2pdfes0w0aswaewef2" timestamp="1605187999"&gt;291&lt;/key&gt;&lt;/foreign-keys&gt;&lt;ref-type name="Conference Proceedings"&gt;10&lt;/ref-type&gt;&lt;contributors&gt;&lt;authors&gt;&lt;author&gt;Saaty, Thomas L.&lt;/author&gt;&lt;/authors&gt;&lt;secondary-authors&gt;&lt;author&gt;Mitra, Gautam&lt;/author&gt;&lt;author&gt;Greenberg, Harvey J.&lt;/author&gt;&lt;author&gt;Lootsma, Freerk A.&lt;/author&gt;&lt;author&gt;Rijkaert, Marcel J.&lt;/author&gt;&lt;author&gt;Zimmermann, Hans J.&lt;/author&gt;&lt;/secondary-authors&gt;&lt;/contributors&gt;&lt;titles&gt;&lt;title&gt;What is the Analytic Hierarchy Process?&lt;/title&gt;&lt;secondary-title&gt;Mathematical Models for Decision Support&lt;/secondary-title&gt;&lt;/titles&gt;&lt;pages&gt;109-121&lt;/pages&gt;&lt;dates&gt;&lt;year&gt;1988&lt;/year&gt;&lt;pub-dates&gt;&lt;date&gt;1988//&lt;/date&gt;&lt;/pub-dates&gt;&lt;/dates&gt;&lt;pub-location&gt;Berlin, Heidelberg&lt;/pub-location&gt;&lt;publisher&gt;Springer Berlin Heidelberg&lt;/publisher&gt;&lt;isbn&gt;978-3-642-83555-1&lt;/isbn&gt;&lt;urls&gt;&lt;/urls&gt;&lt;/record&gt;&lt;/Cite&gt;&lt;/EndNote&gt;</w:instrText>
      </w:r>
      <w:r w:rsidR="00A46235">
        <w:rPr>
          <w:rFonts w:eastAsia="Times New Roman"/>
          <w:iCs/>
          <w:noProof/>
        </w:rPr>
        <w:fldChar w:fldCharType="separate"/>
      </w:r>
      <w:r w:rsidR="00A46235">
        <w:rPr>
          <w:rFonts w:eastAsia="Times New Roman"/>
          <w:iCs/>
          <w:noProof/>
        </w:rPr>
        <w:t>(Saaty, 1988)</w:t>
      </w:r>
      <w:r w:rsidR="00A46235">
        <w:rPr>
          <w:rFonts w:eastAsia="Times New Roman"/>
          <w:iCs/>
          <w:noProof/>
        </w:rPr>
        <w:fldChar w:fldCharType="end"/>
      </w:r>
      <w:r w:rsidRPr="00A96AC5">
        <w:rPr>
          <w:rFonts w:eastAsia="Times New Roman" w:cs="Times New Roman"/>
          <w:iCs/>
        </w:rPr>
        <w:t xml:space="preserve"> is used to transfer the linguistics information into the numerical comparative ranks of each pair of criteria. The pairwise comparison matrixes are then constructed based on this information. In the third step, the relative weight of each criterion is transformed according to the eigenvalues of each pairwise comparison matrix. </w:t>
      </w:r>
    </w:p>
    <w:p w14:paraId="08204386" w14:textId="1090B5EB" w:rsidR="0071798B" w:rsidRPr="00A96AC5" w:rsidRDefault="0071798B" w:rsidP="00532952">
      <w:pPr>
        <w:spacing w:after="240" w:line="360" w:lineRule="auto"/>
        <w:rPr>
          <w:rFonts w:eastAsia="Times New Roman" w:cs="Times New Roman"/>
          <w:iCs/>
        </w:rPr>
      </w:pPr>
      <w:r w:rsidRPr="00A96AC5">
        <w:rPr>
          <w:rFonts w:eastAsia="Times New Roman" w:cs="Times New Roman"/>
          <w:iCs/>
        </w:rPr>
        <w:lastRenderedPageBreak/>
        <w:t>The AHP also yield</w:t>
      </w:r>
      <w:r w:rsidR="008973D2">
        <w:rPr>
          <w:rFonts w:eastAsia="Times New Roman" w:cs="Times New Roman"/>
          <w:iCs/>
        </w:rPr>
        <w:t>s</w:t>
      </w:r>
      <w:r w:rsidRPr="00A96AC5">
        <w:rPr>
          <w:rFonts w:eastAsia="Times New Roman" w:cs="Times New Roman"/>
          <w:iCs/>
        </w:rPr>
        <w:t xml:space="preserve"> the consistency ratio</w:t>
      </w:r>
      <w:r w:rsidR="006D2831">
        <w:rPr>
          <w:rFonts w:eastAsia="Times New Roman" w:cs="Times New Roman"/>
          <w:iCs/>
        </w:rPr>
        <w:t xml:space="preserve"> </w:t>
      </w:r>
      <w:r w:rsidR="00A46235">
        <w:rPr>
          <w:rFonts w:eastAsia="Times New Roman" w:cs="Times New Roman"/>
          <w:iCs/>
        </w:rPr>
        <w:fldChar w:fldCharType="begin"/>
      </w:r>
      <w:r w:rsidR="00647E79">
        <w:rPr>
          <w:rFonts w:eastAsia="Times New Roman" w:cs="Times New Roman"/>
          <w:iCs/>
        </w:rPr>
        <w:instrText xml:space="preserve"> ADDIN EN.CITE &lt;EndNote&gt;&lt;Cite&gt;&lt;Author&gt;Saaty&lt;/Author&gt;&lt;Year&gt;1990&lt;/Year&gt;&lt;RecNum&gt;292&lt;/RecNum&gt;&lt;DisplayText&gt;(Saaty, 1990)&lt;/DisplayText&gt;&lt;record&gt;&lt;rec-number&gt;292&lt;/rec-number&gt;&lt;foreign-keys&gt;&lt;key app="EN" db-id="pzt5ep52hsedfpeext2pdfes0w0aswaewef2" timestamp="1605187999"&gt;292&lt;/key&gt;&lt;/foreign-keys&gt;&lt;ref-type name="Journal Article"&gt;17&lt;/ref-type&gt;&lt;contributors&gt;&lt;authors&gt;&lt;author&gt;Saaty, Thomas L.&lt;/author&gt;&lt;/authors&gt;&lt;/contributors&gt;&lt;titles&gt;&lt;title&gt;How to make a decision: The analytic hierarchy process&lt;/title&gt;&lt;secondary-title&gt;European Journal of Operational Research&lt;/secondary-title&gt;&lt;/titles&gt;&lt;periodical&gt;&lt;full-title&gt;European journal of operational research&lt;/full-title&gt;&lt;/periodical&gt;&lt;pages&gt;9-26&lt;/pages&gt;&lt;volume&gt;48&lt;/volume&gt;&lt;number&gt;1&lt;/number&gt;&lt;keywords&gt;&lt;keyword&gt;Decision&lt;/keyword&gt;&lt;keyword&gt;priority&lt;/keyword&gt;&lt;keyword&gt;rank&lt;/keyword&gt;&lt;keyword&gt;cost-benefit&lt;/keyword&gt;&lt;keyword&gt;scales&lt;/keyword&gt;&lt;keyword&gt;ratios&lt;/keyword&gt;&lt;/keywords&gt;&lt;dates&gt;&lt;year&gt;1990&lt;/year&gt;&lt;pub-dates&gt;&lt;date&gt;1990/09/05/&lt;/date&gt;&lt;/pub-dates&gt;&lt;/dates&gt;&lt;isbn&gt;0377-2217&lt;/isbn&gt;&lt;urls&gt;&lt;related-urls&gt;&lt;url&gt;http://www.sciencedirect.com/science/article/pii/037722179090057I&lt;/url&gt;&lt;/related-urls&gt;&lt;/urls&gt;&lt;electronic-resource-num&gt;https://doi.org/10.1016/0377-2217(90)90057-I&lt;/electronic-resource-num&gt;&lt;/record&gt;&lt;/Cite&gt;&lt;/EndNote&gt;</w:instrText>
      </w:r>
      <w:r w:rsidR="00A46235">
        <w:rPr>
          <w:rFonts w:eastAsia="Times New Roman" w:cs="Times New Roman"/>
          <w:iCs/>
        </w:rPr>
        <w:fldChar w:fldCharType="separate"/>
      </w:r>
      <w:r w:rsidR="00A46235">
        <w:rPr>
          <w:rFonts w:eastAsia="Times New Roman" w:cs="Times New Roman"/>
          <w:iCs/>
          <w:noProof/>
        </w:rPr>
        <w:t>(Saaty, 1990)</w:t>
      </w:r>
      <w:r w:rsidR="00A46235">
        <w:rPr>
          <w:rFonts w:eastAsia="Times New Roman" w:cs="Times New Roman"/>
          <w:iCs/>
        </w:rPr>
        <w:fldChar w:fldCharType="end"/>
      </w:r>
      <w:r w:rsidRPr="00A96AC5">
        <w:rPr>
          <w:rFonts w:eastAsia="Times New Roman" w:cs="Times New Roman"/>
          <w:iCs/>
        </w:rPr>
        <w:t xml:space="preserve">. This notifies the researcher of any inconsistency by the decision-maker, and such errors can then be removed. In the fourth step, the overall score for each sub-criterion is calculated by aggregating the weight and their major criteria in the higher levels of the hierarchies. As our research seeks to assess the preferences of the different stakeholders, this final step is not conducted in the current research. </w:t>
      </w:r>
    </w:p>
    <w:p w14:paraId="58CB2AFE" w14:textId="0F3F7A6D" w:rsidR="0071798B" w:rsidRPr="008903D1" w:rsidRDefault="0071798B" w:rsidP="00532952">
      <w:pPr>
        <w:spacing w:after="240" w:line="360" w:lineRule="auto"/>
        <w:rPr>
          <w:rFonts w:cs="Times New Roman"/>
          <w:szCs w:val="24"/>
        </w:rPr>
      </w:pPr>
      <w:r w:rsidRPr="00A96AC5">
        <w:rPr>
          <w:rFonts w:cs="Times New Roman"/>
        </w:rPr>
        <w:t xml:space="preserve">The property of the collected data is the first factor to influence the methodology selection </w:t>
      </w:r>
      <w:r w:rsidR="00A46235">
        <w:rPr>
          <w:noProof/>
        </w:rPr>
        <w:fldChar w:fldCharType="begin"/>
      </w:r>
      <w:r w:rsidR="00647E79">
        <w:rPr>
          <w:noProof/>
        </w:rPr>
        <w:instrText xml:space="preserve"> ADDIN EN.CITE &lt;EndNote&gt;&lt;Cite&gt;&lt;Author&gt;Chen&lt;/Author&gt;&lt;Year&gt;1992&lt;/Year&gt;&lt;RecNum&gt;293&lt;/RecNum&gt;&lt;DisplayText&gt;(Chen et al., 1992)&lt;/DisplayText&gt;&lt;record&gt;&lt;rec-number&gt;293&lt;/rec-number&gt;&lt;foreign-keys&gt;&lt;key app="EN" db-id="pzt5ep52hsedfpeext2pdfes0w0aswaewef2" timestamp="1605187999"&gt;293&lt;/key&gt;&lt;/foreign-keys&gt;&lt;ref-type name="Journal Article"&gt;17&lt;/ref-type&gt;&lt;contributors&gt;&lt;authors&gt;&lt;author&gt;Chen, Shu-Jen&lt;/author&gt;&lt;author&gt;Hwang, Ching-Lai&lt;/author&gt;&lt;author&gt;Hwang, Frank P&lt;/author&gt;&lt;/authors&gt;&lt;/contributors&gt;&lt;titles&gt;&lt;title&gt;Fuzzy multiple attribute decision making(methods and applications)&lt;/title&gt;&lt;secondary-title&gt;Lecture Notes in Economics and Mathematical Systems&lt;/secondary-title&gt;&lt;/titles&gt;&lt;periodical&gt;&lt;full-title&gt;Lecture Notes in Economics and Mathematical Systems&lt;/full-title&gt;&lt;/periodical&gt;&lt;dates&gt;&lt;year&gt;1992&lt;/year&gt;&lt;/dates&gt;&lt;isbn&gt;0075-8442&lt;/isbn&gt;&lt;urls&gt;&lt;/urls&gt;&lt;/record&gt;&lt;/Cite&gt;&lt;/EndNote&gt;</w:instrText>
      </w:r>
      <w:r w:rsidR="00A46235">
        <w:rPr>
          <w:noProof/>
        </w:rPr>
        <w:fldChar w:fldCharType="separate"/>
      </w:r>
      <w:r w:rsidR="00A46235">
        <w:rPr>
          <w:noProof/>
        </w:rPr>
        <w:t>(Chen et al., 1992)</w:t>
      </w:r>
      <w:r w:rsidR="00A46235">
        <w:rPr>
          <w:noProof/>
        </w:rPr>
        <w:fldChar w:fldCharType="end"/>
      </w:r>
      <w:r w:rsidRPr="00A96AC5">
        <w:rPr>
          <w:rFonts w:cs="Times New Roman"/>
        </w:rPr>
        <w:t xml:space="preserve">. As shown in the </w:t>
      </w:r>
      <w:r w:rsidRPr="008903D1">
        <w:rPr>
          <w:rFonts w:cs="Times New Roman"/>
        </w:rPr>
        <w:fldChar w:fldCharType="begin"/>
      </w:r>
      <w:r w:rsidRPr="00A96AC5">
        <w:rPr>
          <w:rFonts w:cs="Times New Roman"/>
        </w:rPr>
        <w:instrText xml:space="preserve"> REF _Ref32499327 \h </w:instrText>
      </w:r>
      <w:r w:rsidR="008903D1">
        <w:rPr>
          <w:rFonts w:cs="Times New Roman"/>
        </w:rPr>
        <w:instrText xml:space="preserve"> \* MERGEFORMAT </w:instrText>
      </w:r>
      <w:r w:rsidRPr="008903D1">
        <w:rPr>
          <w:rFonts w:cs="Times New Roman"/>
        </w:rPr>
      </w:r>
      <w:r w:rsidRPr="008903D1">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3</w:t>
      </w:r>
      <w:r w:rsidR="0005064B">
        <w:rPr>
          <w:rFonts w:cs="Times New Roman"/>
          <w:noProof/>
        </w:rPr>
        <w:noBreakHyphen/>
        <w:t>4</w:t>
      </w:r>
      <w:r w:rsidRPr="008903D1">
        <w:rPr>
          <w:rFonts w:cs="Times New Roman"/>
        </w:rPr>
        <w:fldChar w:fldCharType="end"/>
      </w:r>
      <w:r w:rsidRPr="008903D1">
        <w:rPr>
          <w:rFonts w:cs="Times New Roman"/>
        </w:rPr>
        <w:t xml:space="preserve">, the AHP method requires a </w:t>
      </w:r>
      <w:r w:rsidRPr="00737239">
        <w:rPr>
          <w:rFonts w:cs="Times New Roman"/>
        </w:rPr>
        <w:t>moderate level of inputted data and is thus convenient for use with interviewees who lack professional knowledge of decision-making. Conversely, methods that require</w:t>
      </w:r>
      <w:r w:rsidRPr="00802DC5">
        <w:rPr>
          <w:rFonts w:cs="Times New Roman"/>
        </w:rPr>
        <w:t xml:space="preserve"> high levels of data input are designed for collecting data from experienced researchers </w:t>
      </w:r>
      <w:r w:rsidR="00A46235">
        <w:rPr>
          <w:noProof/>
        </w:rPr>
        <w:fldChar w:fldCharType="begin"/>
      </w:r>
      <w:r w:rsidR="00647E79">
        <w:rPr>
          <w:noProof/>
        </w:rPr>
        <w:instrText xml:space="preserve"> ADDIN EN.CITE &lt;EndNote&gt;&lt;Cite&gt;&lt;Author&gt;Guitouni&lt;/Author&gt;&lt;Year&gt;1998&lt;/Year&gt;&lt;RecNum&gt;294&lt;/RecNum&gt;&lt;DisplayText&gt;(Guitouni et al., 1998)&lt;/DisplayText&gt;&lt;record&gt;&lt;rec-number&gt;294&lt;/rec-number&gt;&lt;foreign-keys&gt;&lt;key app="EN" db-id="pzt5ep52hsedfpeext2pdfes0w0aswaewef2" timestamp="1605187999"&gt;294&lt;/key&gt;&lt;/foreign-keys&gt;&lt;ref-type name="Journal Article"&gt;17&lt;/ref-type&gt;&lt;contributors&gt;&lt;authors&gt;&lt;author&gt;Guitouni, Adel&lt;/author&gt;&lt;author&gt;Martel, Jean-Marc&lt;/author&gt;&lt;author&gt;Vincke, Philippe&lt;/author&gt;&lt;author&gt;North, PB&lt;/author&gt;&lt;/authors&gt;&lt;/contributors&gt;&lt;titles&gt;&lt;title&gt;A framework to choose a discrete multicriterion aggregation procedure&lt;/title&gt;&lt;secondary-title&gt;Defence research establishment valcatier (DREV)&lt;/secondary-title&gt;&lt;/titles&gt;&lt;periodical&gt;&lt;full-title&gt;Defence research establishment valcatier (DREV)&lt;/full-title&gt;&lt;/periodical&gt;&lt;dates&gt;&lt;year&gt;1998&lt;/year&gt;&lt;/dates&gt;&lt;urls&gt;&lt;/urls&gt;&lt;/record&gt;&lt;/Cite&gt;&lt;/EndNote&gt;</w:instrText>
      </w:r>
      <w:r w:rsidR="00A46235">
        <w:rPr>
          <w:noProof/>
        </w:rPr>
        <w:fldChar w:fldCharType="separate"/>
      </w:r>
      <w:r w:rsidR="00A46235">
        <w:rPr>
          <w:noProof/>
        </w:rPr>
        <w:t>(Guitouni et al., 1998)</w:t>
      </w:r>
      <w:r w:rsidR="00A46235">
        <w:rPr>
          <w:noProof/>
        </w:rPr>
        <w:fldChar w:fldCharType="end"/>
      </w:r>
      <w:r w:rsidRPr="00A96AC5">
        <w:rPr>
          <w:rFonts w:cs="Times New Roman"/>
        </w:rPr>
        <w:t xml:space="preserve">. For example, when using AHP, the pairwise comparison matrix with a hierarchy structure of different criteria and sub-criteria can be easily explained to interviewees for the evaluation. If implementing the MCDM method, which requires low-effort input (such as DEA or TOPSIS), the decision is entirely reliant on objective data. In contrast, the AHP provides reliable results based on the subjective judgement of the rankers. As the </w:t>
      </w:r>
      <w:r w:rsidRPr="008903D1">
        <w:rPr>
          <w:rFonts w:cs="Times New Roman"/>
          <w:szCs w:val="24"/>
        </w:rPr>
        <w:t xml:space="preserve">AHP result is gathered from the people with expert knowledge in a specific industry, a large sample size of responders is unnecessary. For this reason, AHP is adequate for collecting data from primary stakeholders in a UCC project, as the categories and numbers of these stakeholders </w:t>
      </w:r>
      <w:r w:rsidR="008973D2">
        <w:rPr>
          <w:rFonts w:cs="Times New Roman"/>
          <w:szCs w:val="24"/>
        </w:rPr>
        <w:t>are</w:t>
      </w:r>
      <w:r w:rsidRPr="008903D1">
        <w:rPr>
          <w:rFonts w:cs="Times New Roman"/>
          <w:szCs w:val="24"/>
        </w:rPr>
        <w:t xml:space="preserve"> usually limited.</w:t>
      </w:r>
    </w:p>
    <w:tbl>
      <w:tblPr>
        <w:tblStyle w:val="TableGrid"/>
        <w:tblW w:w="5000" w:type="pct"/>
        <w:tblLook w:val="04A0" w:firstRow="1" w:lastRow="0" w:firstColumn="1" w:lastColumn="0" w:noHBand="0" w:noVBand="1"/>
      </w:tblPr>
      <w:tblGrid>
        <w:gridCol w:w="2123"/>
        <w:gridCol w:w="5148"/>
        <w:gridCol w:w="1745"/>
      </w:tblGrid>
      <w:tr w:rsidR="0071798B" w:rsidRPr="008903D1" w14:paraId="27F6C2A8" w14:textId="77777777" w:rsidTr="00F7598C">
        <w:trPr>
          <w:trHeight w:val="238"/>
        </w:trPr>
        <w:tc>
          <w:tcPr>
            <w:tcW w:w="1177" w:type="pct"/>
            <w:vAlign w:val="center"/>
          </w:tcPr>
          <w:p w14:paraId="053D3EC6" w14:textId="77777777" w:rsidR="0071798B" w:rsidRPr="008903D1" w:rsidRDefault="0071798B" w:rsidP="00D51C69">
            <w:pPr>
              <w:spacing w:line="240" w:lineRule="auto"/>
              <w:jc w:val="center"/>
              <w:rPr>
                <w:rFonts w:cs="Times New Roman"/>
                <w:b/>
                <w:bCs/>
                <w:color w:val="231F20"/>
                <w:sz w:val="22"/>
              </w:rPr>
            </w:pPr>
            <w:r w:rsidRPr="008903D1">
              <w:rPr>
                <w:rFonts w:cs="Times New Roman"/>
                <w:b/>
                <w:bCs/>
                <w:color w:val="231F20"/>
                <w:sz w:val="22"/>
              </w:rPr>
              <w:t>Methodology</w:t>
            </w:r>
          </w:p>
        </w:tc>
        <w:tc>
          <w:tcPr>
            <w:tcW w:w="2855" w:type="pct"/>
            <w:vAlign w:val="center"/>
          </w:tcPr>
          <w:p w14:paraId="199DE602" w14:textId="77777777" w:rsidR="0071798B" w:rsidRPr="008903D1" w:rsidRDefault="0071798B" w:rsidP="00D51C69">
            <w:pPr>
              <w:spacing w:line="240" w:lineRule="auto"/>
              <w:jc w:val="center"/>
              <w:rPr>
                <w:rFonts w:cs="Times New Roman"/>
                <w:b/>
                <w:bCs/>
                <w:color w:val="231F20"/>
                <w:sz w:val="22"/>
              </w:rPr>
            </w:pPr>
            <w:r w:rsidRPr="008903D1">
              <w:rPr>
                <w:rFonts w:cs="Times New Roman"/>
                <w:b/>
                <w:bCs/>
                <w:color w:val="231F20"/>
                <w:sz w:val="22"/>
              </w:rPr>
              <w:t>Types of data input</w:t>
            </w:r>
          </w:p>
        </w:tc>
        <w:tc>
          <w:tcPr>
            <w:tcW w:w="968" w:type="pct"/>
            <w:tcBorders>
              <w:bottom w:val="single" w:sz="4" w:space="0" w:color="auto"/>
            </w:tcBorders>
            <w:vAlign w:val="center"/>
          </w:tcPr>
          <w:p w14:paraId="598D976B" w14:textId="77777777" w:rsidR="0071798B" w:rsidRPr="008903D1" w:rsidRDefault="0071798B" w:rsidP="00D51C69">
            <w:pPr>
              <w:spacing w:line="240" w:lineRule="auto"/>
              <w:jc w:val="center"/>
              <w:rPr>
                <w:rFonts w:cs="Times New Roman"/>
                <w:b/>
                <w:bCs/>
                <w:color w:val="231F20"/>
                <w:sz w:val="22"/>
              </w:rPr>
            </w:pPr>
            <w:r w:rsidRPr="008903D1">
              <w:rPr>
                <w:rFonts w:cs="Times New Roman"/>
                <w:b/>
                <w:bCs/>
                <w:color w:val="231F20"/>
                <w:sz w:val="22"/>
              </w:rPr>
              <w:t>Effort input</w:t>
            </w:r>
          </w:p>
        </w:tc>
      </w:tr>
      <w:tr w:rsidR="0071798B" w:rsidRPr="008903D1" w14:paraId="5E50F0A3" w14:textId="77777777" w:rsidTr="00F7598C">
        <w:trPr>
          <w:trHeight w:val="238"/>
        </w:trPr>
        <w:tc>
          <w:tcPr>
            <w:tcW w:w="1177" w:type="pct"/>
            <w:vAlign w:val="center"/>
          </w:tcPr>
          <w:p w14:paraId="40967841" w14:textId="77777777" w:rsidR="0071798B" w:rsidRPr="008903D1" w:rsidRDefault="0071798B" w:rsidP="00D51C69">
            <w:pPr>
              <w:spacing w:line="240" w:lineRule="auto"/>
              <w:jc w:val="left"/>
              <w:rPr>
                <w:rFonts w:cs="Times New Roman"/>
                <w:color w:val="231F20"/>
                <w:sz w:val="22"/>
              </w:rPr>
            </w:pPr>
            <w:r w:rsidRPr="008903D1">
              <w:rPr>
                <w:rFonts w:cs="Times New Roman"/>
                <w:b/>
                <w:bCs/>
                <w:color w:val="231F20"/>
                <w:sz w:val="22"/>
              </w:rPr>
              <w:t>MAUT</w:t>
            </w:r>
          </w:p>
        </w:tc>
        <w:tc>
          <w:tcPr>
            <w:tcW w:w="2855" w:type="pct"/>
            <w:vAlign w:val="center"/>
          </w:tcPr>
          <w:p w14:paraId="67902B8E" w14:textId="77777777" w:rsidR="0071798B" w:rsidRPr="008903D1" w:rsidRDefault="0071798B" w:rsidP="00D51C69">
            <w:pPr>
              <w:spacing w:line="240" w:lineRule="auto"/>
              <w:jc w:val="left"/>
              <w:rPr>
                <w:rFonts w:cs="Times New Roman"/>
                <w:color w:val="231F20"/>
                <w:sz w:val="22"/>
              </w:rPr>
            </w:pPr>
            <w:r w:rsidRPr="008903D1">
              <w:rPr>
                <w:rFonts w:cs="Times New Roman"/>
                <w:color w:val="231F20"/>
                <w:sz w:val="22"/>
              </w:rPr>
              <w:t>utility function</w:t>
            </w:r>
          </w:p>
        </w:tc>
        <w:tc>
          <w:tcPr>
            <w:tcW w:w="968" w:type="pct"/>
            <w:tcBorders>
              <w:bottom w:val="nil"/>
            </w:tcBorders>
          </w:tcPr>
          <w:p w14:paraId="20E3CD8A" w14:textId="60DA47BF" w:rsidR="0071798B" w:rsidRPr="008903D1" w:rsidRDefault="0071798B" w:rsidP="00D51C69">
            <w:pPr>
              <w:spacing w:line="240" w:lineRule="auto"/>
              <w:jc w:val="center"/>
              <w:rPr>
                <w:rFonts w:cs="Times New Roman"/>
                <w:b/>
                <w:bCs/>
                <w:color w:val="231F20"/>
                <w:sz w:val="22"/>
              </w:rPr>
            </w:pPr>
            <w:r w:rsidRPr="008903D1">
              <w:rPr>
                <w:rFonts w:cs="Times New Roman"/>
                <w:color w:val="231F20"/>
                <w:sz w:val="22"/>
              </w:rPr>
              <w:t>Very high</w:t>
            </w:r>
          </w:p>
        </w:tc>
      </w:tr>
      <w:tr w:rsidR="0071798B" w:rsidRPr="008903D1" w14:paraId="0682E28C" w14:textId="77777777" w:rsidTr="00F7598C">
        <w:trPr>
          <w:trHeight w:val="238"/>
        </w:trPr>
        <w:tc>
          <w:tcPr>
            <w:tcW w:w="1177" w:type="pct"/>
            <w:vAlign w:val="center"/>
          </w:tcPr>
          <w:p w14:paraId="622C7E52" w14:textId="77777777" w:rsidR="0071798B" w:rsidRPr="008903D1" w:rsidRDefault="0071798B" w:rsidP="00D51C69">
            <w:pPr>
              <w:spacing w:line="240" w:lineRule="auto"/>
              <w:jc w:val="left"/>
              <w:rPr>
                <w:rFonts w:cs="Times New Roman"/>
                <w:color w:val="231F20"/>
                <w:sz w:val="22"/>
              </w:rPr>
            </w:pPr>
            <w:r w:rsidRPr="008903D1">
              <w:rPr>
                <w:rFonts w:cs="Times New Roman"/>
                <w:b/>
                <w:bCs/>
                <w:color w:val="231F20"/>
                <w:sz w:val="22"/>
              </w:rPr>
              <w:t>ANP</w:t>
            </w:r>
          </w:p>
        </w:tc>
        <w:tc>
          <w:tcPr>
            <w:tcW w:w="2855" w:type="pct"/>
            <w:vAlign w:val="center"/>
          </w:tcPr>
          <w:p w14:paraId="5FF6F936" w14:textId="77777777" w:rsidR="0071798B" w:rsidRPr="008903D1" w:rsidRDefault="0071798B" w:rsidP="00D51C69">
            <w:pPr>
              <w:spacing w:line="240" w:lineRule="auto"/>
              <w:jc w:val="left"/>
              <w:rPr>
                <w:rFonts w:cs="Times New Roman"/>
                <w:color w:val="231F20"/>
                <w:sz w:val="22"/>
              </w:rPr>
            </w:pPr>
            <w:r w:rsidRPr="008903D1">
              <w:rPr>
                <w:rFonts w:cs="Times New Roman"/>
                <w:color w:val="231F20"/>
                <w:sz w:val="22"/>
              </w:rPr>
              <w:t>pairwise comparisons on a ratio scale and interdependencies</w:t>
            </w:r>
          </w:p>
        </w:tc>
        <w:tc>
          <w:tcPr>
            <w:tcW w:w="968" w:type="pct"/>
            <w:tcBorders>
              <w:top w:val="nil"/>
              <w:bottom w:val="nil"/>
            </w:tcBorders>
          </w:tcPr>
          <w:p w14:paraId="20C37C43" w14:textId="4C4AF258" w:rsidR="0071798B" w:rsidRPr="00D51C69" w:rsidRDefault="00D51C69" w:rsidP="00D51C69">
            <w:pPr>
              <w:spacing w:line="240" w:lineRule="auto"/>
              <w:rPr>
                <w:rFonts w:cs="Times New Roman"/>
                <w:b/>
                <w:bCs/>
                <w:sz w:val="22"/>
              </w:rPr>
            </w:pPr>
            <w:r w:rsidRPr="00D51C69">
              <w:rPr>
                <w:rFonts w:cs="Times New Roman"/>
                <w:b/>
                <w:bCs/>
                <w:noProof/>
                <w:sz w:val="22"/>
                <w:lang w:eastAsia="en-GB"/>
              </w:rPr>
              <mc:AlternateContent>
                <mc:Choice Requires="wps">
                  <w:drawing>
                    <wp:anchor distT="0" distB="0" distL="114300" distR="114300" simplePos="0" relativeHeight="251658245" behindDoc="0" locked="0" layoutInCell="1" allowOverlap="1" wp14:anchorId="724000B1" wp14:editId="7811B81B">
                      <wp:simplePos x="0" y="0"/>
                      <wp:positionH relativeFrom="column">
                        <wp:posOffset>477714</wp:posOffset>
                      </wp:positionH>
                      <wp:positionV relativeFrom="paragraph">
                        <wp:posOffset>11762</wp:posOffset>
                      </wp:positionV>
                      <wp:extent cx="0" cy="1459161"/>
                      <wp:effectExtent l="76200" t="38100" r="57150" b="65405"/>
                      <wp:wrapNone/>
                      <wp:docPr id="61" name="Straight Arrow Connector 61"/>
                      <wp:cNvGraphicFramePr/>
                      <a:graphic xmlns:a="http://schemas.openxmlformats.org/drawingml/2006/main">
                        <a:graphicData uri="http://schemas.microsoft.com/office/word/2010/wordprocessingShape">
                          <wps:wsp>
                            <wps:cNvCnPr/>
                            <wps:spPr>
                              <a:xfrm>
                                <a:off x="0" y="0"/>
                                <a:ext cx="0" cy="1459161"/>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44293DF6" id="_x0000_t32" coordsize="21600,21600" o:spt="32" o:oned="t" path="m,l21600,21600e" filled="f">
                      <v:path arrowok="t" fillok="f" o:connecttype="none"/>
                      <o:lock v:ext="edit" shapetype="t"/>
                    </v:shapetype>
                    <v:shape id="Straight Arrow Connector 61" o:spid="_x0000_s1026" type="#_x0000_t32" style="position:absolute;margin-left:37.6pt;margin-top:.95pt;width:0;height:114.9pt;z-index:25165824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" strokecolor="black [3213]" strokeweight=".5pt">
                      <v:stroke startarrow="block" endarrow="block" joinstyle="miter"/>
                    </v:shape>
                  </w:pict>
                </mc:Fallback>
              </mc:AlternateContent>
            </w:r>
          </w:p>
        </w:tc>
      </w:tr>
      <w:tr w:rsidR="0071798B" w:rsidRPr="008903D1" w14:paraId="5643C918" w14:textId="77777777" w:rsidTr="00F7598C">
        <w:trPr>
          <w:trHeight w:val="238"/>
        </w:trPr>
        <w:tc>
          <w:tcPr>
            <w:tcW w:w="1177" w:type="pct"/>
            <w:vAlign w:val="center"/>
          </w:tcPr>
          <w:p w14:paraId="6639BDEB" w14:textId="77777777" w:rsidR="0071798B" w:rsidRPr="008903D1" w:rsidRDefault="0071798B" w:rsidP="00D51C69">
            <w:pPr>
              <w:spacing w:line="240" w:lineRule="auto"/>
              <w:jc w:val="left"/>
              <w:rPr>
                <w:rFonts w:cs="Times New Roman"/>
                <w:color w:val="231F20"/>
                <w:sz w:val="22"/>
              </w:rPr>
            </w:pPr>
            <w:r w:rsidRPr="008903D1">
              <w:rPr>
                <w:rFonts w:cs="Times New Roman"/>
                <w:b/>
                <w:bCs/>
                <w:color w:val="231F20"/>
                <w:sz w:val="22"/>
              </w:rPr>
              <w:t>MACBETH</w:t>
            </w:r>
          </w:p>
        </w:tc>
        <w:tc>
          <w:tcPr>
            <w:tcW w:w="2855" w:type="pct"/>
            <w:vAlign w:val="center"/>
          </w:tcPr>
          <w:p w14:paraId="5037CEE4" w14:textId="77777777" w:rsidR="0071798B" w:rsidRPr="008903D1" w:rsidRDefault="0071798B" w:rsidP="00D51C69">
            <w:pPr>
              <w:spacing w:line="240" w:lineRule="auto"/>
              <w:jc w:val="left"/>
              <w:rPr>
                <w:rFonts w:cs="Times New Roman"/>
                <w:color w:val="231F20"/>
                <w:sz w:val="22"/>
              </w:rPr>
            </w:pPr>
            <w:r w:rsidRPr="008903D1">
              <w:rPr>
                <w:rFonts w:cs="Times New Roman"/>
                <w:color w:val="231F20"/>
                <w:sz w:val="22"/>
              </w:rPr>
              <w:t>pairwise comparisons on an interval</w:t>
            </w:r>
            <w:r w:rsidRPr="008903D1">
              <w:rPr>
                <w:rFonts w:cs="Times New Roman"/>
                <w:color w:val="231F20"/>
                <w:sz w:val="22"/>
              </w:rPr>
              <w:br/>
              <w:t>scale</w:t>
            </w:r>
          </w:p>
        </w:tc>
        <w:tc>
          <w:tcPr>
            <w:tcW w:w="968" w:type="pct"/>
            <w:tcBorders>
              <w:top w:val="nil"/>
              <w:bottom w:val="nil"/>
            </w:tcBorders>
          </w:tcPr>
          <w:p w14:paraId="0808D799" w14:textId="77777777" w:rsidR="0071798B" w:rsidRPr="008903D1" w:rsidRDefault="0071798B" w:rsidP="00D51C69">
            <w:pPr>
              <w:spacing w:line="240" w:lineRule="auto"/>
              <w:rPr>
                <w:rFonts w:cs="Times New Roman"/>
                <w:b/>
                <w:bCs/>
                <w:color w:val="231F20"/>
                <w:sz w:val="22"/>
              </w:rPr>
            </w:pPr>
          </w:p>
        </w:tc>
      </w:tr>
      <w:tr w:rsidR="0071798B" w:rsidRPr="008903D1" w14:paraId="40FD4DA7" w14:textId="77777777" w:rsidTr="00F7598C">
        <w:trPr>
          <w:trHeight w:val="238"/>
        </w:trPr>
        <w:tc>
          <w:tcPr>
            <w:tcW w:w="1177" w:type="pct"/>
            <w:vAlign w:val="center"/>
          </w:tcPr>
          <w:p w14:paraId="0186869F" w14:textId="77777777" w:rsidR="0071798B" w:rsidRPr="008903D1" w:rsidRDefault="0071798B" w:rsidP="00D51C69">
            <w:pPr>
              <w:spacing w:line="240" w:lineRule="auto"/>
              <w:jc w:val="left"/>
              <w:rPr>
                <w:rFonts w:cs="Times New Roman"/>
                <w:color w:val="231F20"/>
                <w:sz w:val="22"/>
              </w:rPr>
            </w:pPr>
            <w:r w:rsidRPr="008903D1">
              <w:rPr>
                <w:rFonts w:cs="Times New Roman"/>
                <w:b/>
                <w:bCs/>
                <w:color w:val="231F20"/>
                <w:sz w:val="22"/>
              </w:rPr>
              <w:t>AHP</w:t>
            </w:r>
          </w:p>
        </w:tc>
        <w:tc>
          <w:tcPr>
            <w:tcW w:w="2855" w:type="pct"/>
            <w:vAlign w:val="center"/>
          </w:tcPr>
          <w:p w14:paraId="20E740A1" w14:textId="77777777" w:rsidR="0071798B" w:rsidRPr="008903D1" w:rsidRDefault="0071798B" w:rsidP="00D51C69">
            <w:pPr>
              <w:spacing w:line="240" w:lineRule="auto"/>
              <w:jc w:val="left"/>
              <w:rPr>
                <w:rFonts w:cs="Times New Roman"/>
                <w:color w:val="231F20"/>
                <w:sz w:val="22"/>
              </w:rPr>
            </w:pPr>
            <w:r w:rsidRPr="008903D1">
              <w:rPr>
                <w:rFonts w:cs="Times New Roman"/>
                <w:color w:val="231F20"/>
                <w:sz w:val="22"/>
              </w:rPr>
              <w:t>pairwise comparisons on a ratio scale</w:t>
            </w:r>
          </w:p>
        </w:tc>
        <w:tc>
          <w:tcPr>
            <w:tcW w:w="968" w:type="pct"/>
            <w:tcBorders>
              <w:top w:val="nil"/>
              <w:bottom w:val="nil"/>
            </w:tcBorders>
          </w:tcPr>
          <w:p w14:paraId="62A7232D" w14:textId="77777777" w:rsidR="0071798B" w:rsidRPr="008903D1" w:rsidRDefault="0071798B" w:rsidP="00D51C69">
            <w:pPr>
              <w:spacing w:line="240" w:lineRule="auto"/>
              <w:rPr>
                <w:rFonts w:cs="Times New Roman"/>
                <w:b/>
                <w:bCs/>
                <w:color w:val="231F20"/>
                <w:sz w:val="22"/>
              </w:rPr>
            </w:pPr>
          </w:p>
        </w:tc>
      </w:tr>
      <w:tr w:rsidR="0071798B" w:rsidRPr="008903D1" w14:paraId="51C32DEC" w14:textId="77777777" w:rsidTr="00F7598C">
        <w:trPr>
          <w:trHeight w:val="238"/>
        </w:trPr>
        <w:tc>
          <w:tcPr>
            <w:tcW w:w="1177" w:type="pct"/>
            <w:vAlign w:val="center"/>
          </w:tcPr>
          <w:p w14:paraId="5098C8CC" w14:textId="77777777" w:rsidR="0071798B" w:rsidRPr="008903D1" w:rsidRDefault="0071798B" w:rsidP="00D51C69">
            <w:pPr>
              <w:spacing w:line="240" w:lineRule="auto"/>
              <w:jc w:val="left"/>
              <w:rPr>
                <w:rFonts w:cs="Times New Roman"/>
                <w:color w:val="231F20"/>
                <w:sz w:val="22"/>
              </w:rPr>
            </w:pPr>
            <w:r w:rsidRPr="008903D1">
              <w:rPr>
                <w:rFonts w:cs="Times New Roman"/>
                <w:b/>
                <w:bCs/>
                <w:color w:val="231F20"/>
                <w:sz w:val="22"/>
              </w:rPr>
              <w:t>ELECTRE</w:t>
            </w:r>
          </w:p>
        </w:tc>
        <w:tc>
          <w:tcPr>
            <w:tcW w:w="2855" w:type="pct"/>
            <w:vAlign w:val="center"/>
          </w:tcPr>
          <w:p w14:paraId="105C1EBE" w14:textId="77777777" w:rsidR="0071798B" w:rsidRPr="008903D1" w:rsidRDefault="0071798B" w:rsidP="00D51C69">
            <w:pPr>
              <w:spacing w:line="240" w:lineRule="auto"/>
              <w:jc w:val="left"/>
              <w:rPr>
                <w:rFonts w:cs="Times New Roman"/>
                <w:color w:val="231F20"/>
                <w:sz w:val="22"/>
              </w:rPr>
            </w:pPr>
            <w:r w:rsidRPr="008903D1">
              <w:rPr>
                <w:rFonts w:cs="Times New Roman"/>
                <w:color w:val="231F20"/>
                <w:sz w:val="22"/>
              </w:rPr>
              <w:t>indifference, preference, and veto thresholds</w:t>
            </w:r>
          </w:p>
        </w:tc>
        <w:tc>
          <w:tcPr>
            <w:tcW w:w="968" w:type="pct"/>
            <w:tcBorders>
              <w:top w:val="nil"/>
              <w:bottom w:val="nil"/>
            </w:tcBorders>
          </w:tcPr>
          <w:p w14:paraId="39141054" w14:textId="77777777" w:rsidR="0071798B" w:rsidRPr="008903D1" w:rsidRDefault="0071798B" w:rsidP="00D51C69">
            <w:pPr>
              <w:spacing w:line="240" w:lineRule="auto"/>
              <w:rPr>
                <w:rFonts w:cs="Times New Roman"/>
                <w:b/>
                <w:bCs/>
                <w:color w:val="231F20"/>
                <w:sz w:val="22"/>
              </w:rPr>
            </w:pPr>
          </w:p>
        </w:tc>
      </w:tr>
      <w:tr w:rsidR="0071798B" w:rsidRPr="008903D1" w14:paraId="51F18138" w14:textId="77777777" w:rsidTr="00F7598C">
        <w:trPr>
          <w:trHeight w:val="238"/>
        </w:trPr>
        <w:tc>
          <w:tcPr>
            <w:tcW w:w="1177" w:type="pct"/>
            <w:vAlign w:val="center"/>
          </w:tcPr>
          <w:p w14:paraId="47C5948B" w14:textId="77777777" w:rsidR="0071798B" w:rsidRPr="008903D1" w:rsidRDefault="0071798B" w:rsidP="00D51C69">
            <w:pPr>
              <w:spacing w:line="240" w:lineRule="auto"/>
              <w:jc w:val="left"/>
              <w:rPr>
                <w:rFonts w:cs="Times New Roman"/>
                <w:color w:val="231F20"/>
                <w:sz w:val="22"/>
              </w:rPr>
            </w:pPr>
            <w:r w:rsidRPr="008903D1">
              <w:rPr>
                <w:rFonts w:cs="Times New Roman"/>
                <w:b/>
                <w:bCs/>
                <w:color w:val="231F20"/>
                <w:sz w:val="22"/>
              </w:rPr>
              <w:t>PROMETHEE</w:t>
            </w:r>
          </w:p>
        </w:tc>
        <w:tc>
          <w:tcPr>
            <w:tcW w:w="2855" w:type="pct"/>
            <w:vAlign w:val="center"/>
          </w:tcPr>
          <w:p w14:paraId="01E08239" w14:textId="77777777" w:rsidR="0071798B" w:rsidRPr="008903D1" w:rsidRDefault="0071798B" w:rsidP="00D51C69">
            <w:pPr>
              <w:spacing w:line="240" w:lineRule="auto"/>
              <w:jc w:val="left"/>
              <w:rPr>
                <w:rFonts w:cs="Times New Roman"/>
                <w:color w:val="231F20"/>
                <w:sz w:val="22"/>
              </w:rPr>
            </w:pPr>
            <w:r w:rsidRPr="008903D1">
              <w:rPr>
                <w:rFonts w:cs="Times New Roman"/>
                <w:color w:val="231F20"/>
                <w:sz w:val="22"/>
              </w:rPr>
              <w:t>indifference and preference thresholds</w:t>
            </w:r>
          </w:p>
        </w:tc>
        <w:tc>
          <w:tcPr>
            <w:tcW w:w="968" w:type="pct"/>
            <w:tcBorders>
              <w:top w:val="nil"/>
              <w:bottom w:val="nil"/>
            </w:tcBorders>
          </w:tcPr>
          <w:p w14:paraId="1CF08380" w14:textId="77777777" w:rsidR="0071798B" w:rsidRPr="008903D1" w:rsidRDefault="0071798B" w:rsidP="00D51C69">
            <w:pPr>
              <w:spacing w:line="240" w:lineRule="auto"/>
              <w:rPr>
                <w:rFonts w:cs="Times New Roman"/>
                <w:b/>
                <w:bCs/>
                <w:color w:val="231F20"/>
                <w:sz w:val="22"/>
              </w:rPr>
            </w:pPr>
          </w:p>
        </w:tc>
      </w:tr>
      <w:tr w:rsidR="0071798B" w:rsidRPr="008903D1" w14:paraId="080561B8" w14:textId="77777777" w:rsidTr="00F7598C">
        <w:trPr>
          <w:trHeight w:val="238"/>
        </w:trPr>
        <w:tc>
          <w:tcPr>
            <w:tcW w:w="1177" w:type="pct"/>
            <w:vAlign w:val="center"/>
          </w:tcPr>
          <w:p w14:paraId="38F72945" w14:textId="77777777" w:rsidR="0071798B" w:rsidRPr="008903D1" w:rsidRDefault="0071798B" w:rsidP="00D51C69">
            <w:pPr>
              <w:spacing w:line="240" w:lineRule="auto"/>
              <w:jc w:val="left"/>
              <w:rPr>
                <w:rFonts w:cs="Times New Roman"/>
                <w:color w:val="231F20"/>
                <w:sz w:val="22"/>
              </w:rPr>
            </w:pPr>
            <w:r w:rsidRPr="008903D1">
              <w:rPr>
                <w:rFonts w:cs="Times New Roman"/>
                <w:b/>
                <w:bCs/>
                <w:color w:val="231F20"/>
                <w:sz w:val="22"/>
              </w:rPr>
              <w:t>Goal programming</w:t>
            </w:r>
          </w:p>
        </w:tc>
        <w:tc>
          <w:tcPr>
            <w:tcW w:w="2855" w:type="pct"/>
            <w:vAlign w:val="center"/>
          </w:tcPr>
          <w:p w14:paraId="7CF7136E" w14:textId="77777777" w:rsidR="0071798B" w:rsidRPr="008903D1" w:rsidRDefault="0071798B" w:rsidP="00D51C69">
            <w:pPr>
              <w:spacing w:line="240" w:lineRule="auto"/>
              <w:jc w:val="left"/>
              <w:rPr>
                <w:rFonts w:cs="Times New Roman"/>
                <w:color w:val="231F20"/>
                <w:sz w:val="22"/>
              </w:rPr>
            </w:pPr>
            <w:r w:rsidRPr="008903D1">
              <w:rPr>
                <w:rFonts w:cs="Times New Roman"/>
                <w:color w:val="231F20"/>
                <w:sz w:val="22"/>
              </w:rPr>
              <w:t>ideal option and constraints</w:t>
            </w:r>
          </w:p>
        </w:tc>
        <w:tc>
          <w:tcPr>
            <w:tcW w:w="968" w:type="pct"/>
            <w:tcBorders>
              <w:top w:val="nil"/>
              <w:bottom w:val="nil"/>
            </w:tcBorders>
          </w:tcPr>
          <w:p w14:paraId="2DB15B39" w14:textId="77777777" w:rsidR="0071798B" w:rsidRPr="008903D1" w:rsidRDefault="0071798B" w:rsidP="00D51C69">
            <w:pPr>
              <w:spacing w:line="240" w:lineRule="auto"/>
              <w:rPr>
                <w:rFonts w:cs="Times New Roman"/>
                <w:b/>
                <w:bCs/>
                <w:color w:val="231F20"/>
                <w:sz w:val="22"/>
              </w:rPr>
            </w:pPr>
          </w:p>
        </w:tc>
      </w:tr>
      <w:tr w:rsidR="0071798B" w:rsidRPr="008903D1" w14:paraId="0C3CBE2D" w14:textId="77777777" w:rsidTr="00F7598C">
        <w:trPr>
          <w:trHeight w:val="238"/>
        </w:trPr>
        <w:tc>
          <w:tcPr>
            <w:tcW w:w="1177" w:type="pct"/>
            <w:vAlign w:val="center"/>
          </w:tcPr>
          <w:p w14:paraId="5182724F" w14:textId="77777777" w:rsidR="0071798B" w:rsidRPr="008903D1" w:rsidRDefault="0071798B" w:rsidP="00D51C69">
            <w:pPr>
              <w:spacing w:line="240" w:lineRule="auto"/>
              <w:jc w:val="left"/>
              <w:rPr>
                <w:rFonts w:cs="Times New Roman"/>
                <w:color w:val="231F20"/>
                <w:sz w:val="22"/>
              </w:rPr>
            </w:pPr>
            <w:r w:rsidRPr="008903D1">
              <w:rPr>
                <w:rFonts w:cs="Times New Roman"/>
                <w:b/>
                <w:bCs/>
                <w:color w:val="231F20"/>
                <w:sz w:val="22"/>
              </w:rPr>
              <w:t>TOPSIS</w:t>
            </w:r>
          </w:p>
        </w:tc>
        <w:tc>
          <w:tcPr>
            <w:tcW w:w="2855" w:type="pct"/>
            <w:vAlign w:val="center"/>
          </w:tcPr>
          <w:p w14:paraId="14682FD2" w14:textId="77777777" w:rsidR="0071798B" w:rsidRPr="008903D1" w:rsidRDefault="0071798B" w:rsidP="00D51C69">
            <w:pPr>
              <w:spacing w:line="240" w:lineRule="auto"/>
              <w:jc w:val="left"/>
              <w:rPr>
                <w:rFonts w:cs="Times New Roman"/>
                <w:color w:val="231F20"/>
                <w:sz w:val="22"/>
              </w:rPr>
            </w:pPr>
            <w:r w:rsidRPr="008903D1">
              <w:rPr>
                <w:rFonts w:cs="Times New Roman"/>
                <w:color w:val="231F20"/>
                <w:sz w:val="22"/>
              </w:rPr>
              <w:t>ideal and anti-ideal option</w:t>
            </w:r>
          </w:p>
        </w:tc>
        <w:tc>
          <w:tcPr>
            <w:tcW w:w="968" w:type="pct"/>
            <w:tcBorders>
              <w:top w:val="nil"/>
              <w:bottom w:val="nil"/>
            </w:tcBorders>
          </w:tcPr>
          <w:p w14:paraId="7BFF4D13" w14:textId="77777777" w:rsidR="0071798B" w:rsidRPr="008903D1" w:rsidRDefault="0071798B" w:rsidP="00D51C69">
            <w:pPr>
              <w:spacing w:line="240" w:lineRule="auto"/>
              <w:rPr>
                <w:rFonts w:cs="Times New Roman"/>
                <w:b/>
                <w:bCs/>
                <w:color w:val="231F20"/>
                <w:sz w:val="22"/>
              </w:rPr>
            </w:pPr>
          </w:p>
        </w:tc>
      </w:tr>
      <w:tr w:rsidR="0071798B" w:rsidRPr="008903D1" w14:paraId="0F913BCB" w14:textId="77777777" w:rsidTr="00F7598C">
        <w:trPr>
          <w:trHeight w:val="238"/>
        </w:trPr>
        <w:tc>
          <w:tcPr>
            <w:tcW w:w="1177" w:type="pct"/>
            <w:vAlign w:val="center"/>
          </w:tcPr>
          <w:p w14:paraId="115889F6" w14:textId="77777777" w:rsidR="0071798B" w:rsidRPr="008903D1" w:rsidRDefault="0071798B" w:rsidP="00D51C69">
            <w:pPr>
              <w:spacing w:line="240" w:lineRule="auto"/>
              <w:jc w:val="left"/>
              <w:rPr>
                <w:rFonts w:cs="Times New Roman"/>
                <w:color w:val="231F20"/>
                <w:sz w:val="22"/>
              </w:rPr>
            </w:pPr>
            <w:r w:rsidRPr="008903D1">
              <w:rPr>
                <w:rFonts w:cs="Times New Roman"/>
                <w:b/>
                <w:bCs/>
                <w:color w:val="231F20"/>
                <w:sz w:val="22"/>
              </w:rPr>
              <w:t>DEA</w:t>
            </w:r>
          </w:p>
        </w:tc>
        <w:tc>
          <w:tcPr>
            <w:tcW w:w="2855" w:type="pct"/>
            <w:vAlign w:val="center"/>
          </w:tcPr>
          <w:p w14:paraId="0CB14C08" w14:textId="77777777" w:rsidR="0071798B" w:rsidRPr="008903D1" w:rsidRDefault="0071798B" w:rsidP="00D51C69">
            <w:pPr>
              <w:spacing w:line="240" w:lineRule="auto"/>
              <w:jc w:val="left"/>
              <w:rPr>
                <w:rFonts w:cs="Times New Roman"/>
                <w:color w:val="231F20"/>
                <w:sz w:val="22"/>
              </w:rPr>
            </w:pPr>
            <w:r w:rsidRPr="008903D1">
              <w:rPr>
                <w:rFonts w:cs="Times New Roman"/>
                <w:color w:val="231F20"/>
                <w:sz w:val="22"/>
              </w:rPr>
              <w:t>no subjective inputs required</w:t>
            </w:r>
          </w:p>
        </w:tc>
        <w:tc>
          <w:tcPr>
            <w:tcW w:w="968" w:type="pct"/>
            <w:tcBorders>
              <w:top w:val="nil"/>
            </w:tcBorders>
          </w:tcPr>
          <w:p w14:paraId="08BE8216" w14:textId="77777777" w:rsidR="0071798B" w:rsidRPr="008903D1" w:rsidRDefault="0071798B" w:rsidP="00D51C69">
            <w:pPr>
              <w:spacing w:line="240" w:lineRule="auto"/>
              <w:jc w:val="center"/>
              <w:rPr>
                <w:rFonts w:cs="Times New Roman"/>
                <w:b/>
                <w:bCs/>
                <w:color w:val="231F20"/>
                <w:sz w:val="22"/>
              </w:rPr>
            </w:pPr>
            <w:r w:rsidRPr="008903D1">
              <w:rPr>
                <w:rFonts w:cs="Times New Roman"/>
                <w:color w:val="231F20"/>
                <w:sz w:val="22"/>
              </w:rPr>
              <w:t>Very low</w:t>
            </w:r>
          </w:p>
        </w:tc>
      </w:tr>
    </w:tbl>
    <w:p w14:paraId="51AF9E41" w14:textId="18E8E993" w:rsidR="0071798B" w:rsidRPr="008903D1" w:rsidRDefault="007B5959" w:rsidP="0092585F">
      <w:pPr>
        <w:pStyle w:val="Caption"/>
        <w:spacing w:line="360" w:lineRule="auto"/>
        <w:rPr>
          <w:rFonts w:cs="Times New Roman"/>
        </w:rPr>
      </w:pPr>
      <w:bookmarkStart w:id="550" w:name="_Ref32499327"/>
      <w:bookmarkStart w:id="551" w:name="_Toc34674947"/>
      <w:bookmarkStart w:id="552" w:name="_Toc34734739"/>
      <w:bookmarkStart w:id="553" w:name="_Toc46053554"/>
      <w:bookmarkStart w:id="554" w:name="_Toc46093803"/>
      <w:bookmarkStart w:id="555" w:name="_Toc66698771"/>
      <w:r>
        <w:rPr>
          <w:rFonts w:cs="Times New Roman"/>
        </w:rPr>
        <w:t>Table</w:t>
      </w:r>
      <w:r w:rsidR="0071798B"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3</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4</w:t>
      </w:r>
      <w:r w:rsidR="00FE10DA">
        <w:rPr>
          <w:rFonts w:cs="Times New Roman"/>
        </w:rPr>
        <w:fldChar w:fldCharType="end"/>
      </w:r>
      <w:bookmarkEnd w:id="550"/>
      <w:r w:rsidR="00AF217C">
        <w:rPr>
          <w:rFonts w:cs="Times New Roman"/>
        </w:rPr>
        <w:t>:</w:t>
      </w:r>
      <w:r w:rsidR="0071798B" w:rsidRPr="008903D1">
        <w:rPr>
          <w:rFonts w:cs="Times New Roman"/>
        </w:rPr>
        <w:t xml:space="preserve"> Required inputs for different multi-criteria decision-making (MCDM) </w:t>
      </w:r>
      <w:proofErr w:type="gramStart"/>
      <w:r w:rsidR="0071798B" w:rsidRPr="008903D1">
        <w:rPr>
          <w:rFonts w:cs="Times New Roman"/>
        </w:rPr>
        <w:t>methods</w:t>
      </w:r>
      <w:bookmarkEnd w:id="551"/>
      <w:bookmarkEnd w:id="552"/>
      <w:bookmarkEnd w:id="553"/>
      <w:bookmarkEnd w:id="554"/>
      <w:bookmarkEnd w:id="555"/>
      <w:proofErr w:type="gramEnd"/>
    </w:p>
    <w:p w14:paraId="3C7D961B" w14:textId="77777777" w:rsidR="0071798B" w:rsidRPr="00802DC5" w:rsidRDefault="0071798B" w:rsidP="000A4E8C">
      <w:pPr>
        <w:pStyle w:val="Heading3"/>
        <w:spacing w:line="360" w:lineRule="auto"/>
        <w:rPr>
          <w:rFonts w:cs="Times New Roman"/>
        </w:rPr>
      </w:pPr>
      <w:bookmarkStart w:id="556" w:name="_Toc34734517"/>
      <w:bookmarkStart w:id="557" w:name="_Toc46053440"/>
      <w:bookmarkStart w:id="558" w:name="_Toc46093354"/>
      <w:bookmarkStart w:id="559" w:name="_Toc46093637"/>
      <w:bookmarkStart w:id="560" w:name="_Toc66703212"/>
      <w:r w:rsidRPr="00802DC5">
        <w:rPr>
          <w:rFonts w:cs="Times New Roman"/>
        </w:rPr>
        <w:t>Nonparametric testing</w:t>
      </w:r>
      <w:bookmarkEnd w:id="556"/>
      <w:bookmarkEnd w:id="557"/>
      <w:bookmarkEnd w:id="558"/>
      <w:bookmarkEnd w:id="559"/>
      <w:bookmarkEnd w:id="560"/>
    </w:p>
    <w:p w14:paraId="1294297F" w14:textId="114867D0" w:rsidR="0071798B" w:rsidRPr="008903D1" w:rsidRDefault="0071798B" w:rsidP="00532952">
      <w:pPr>
        <w:spacing w:after="240" w:line="360" w:lineRule="auto"/>
        <w:rPr>
          <w:rFonts w:eastAsia="Times New Roman" w:cs="Times New Roman"/>
          <w:szCs w:val="24"/>
        </w:rPr>
      </w:pPr>
      <w:r w:rsidRPr="008903D1">
        <w:rPr>
          <w:rFonts w:eastAsia="Times New Roman" w:cs="Times New Roman"/>
          <w:szCs w:val="24"/>
        </w:rPr>
        <w:t xml:space="preserve">Nonparametric testing is a distribution-free method, normally used to investigate populations in a ranked order. This ranked order is usually not well interpreted; and non-parametric methods can reveal correlations in this data. Nonparametric tests do not rely on assumptions </w:t>
      </w:r>
      <w:r w:rsidRPr="008903D1">
        <w:rPr>
          <w:rFonts w:eastAsia="Times New Roman" w:cs="Times New Roman"/>
          <w:szCs w:val="24"/>
        </w:rPr>
        <w:lastRenderedPageBreak/>
        <w:t>that the data are drawn from a given parametric family of </w:t>
      </w:r>
      <w:hyperlink r:id="rId50" w:tooltip="Probability distributions" w:history="1">
        <w:r w:rsidRPr="008903D1">
          <w:rPr>
            <w:rFonts w:eastAsia="Times New Roman" w:cs="Times New Roman"/>
            <w:szCs w:val="24"/>
          </w:rPr>
          <w:t>probability distributions</w:t>
        </w:r>
      </w:hyperlink>
      <w:r w:rsidRPr="008903D1">
        <w:rPr>
          <w:rFonts w:eastAsia="Times New Roman" w:cs="Times New Roman"/>
          <w:szCs w:val="24"/>
        </w:rPr>
        <w:t xml:space="preserve">. Therefore, this method is convenient and can be implemented for testing small samples. </w:t>
      </w:r>
    </w:p>
    <w:p w14:paraId="3D6D9D08" w14:textId="41A80CE6" w:rsidR="0071798B" w:rsidRPr="00101BA0" w:rsidRDefault="0071798B" w:rsidP="00532952">
      <w:pPr>
        <w:spacing w:before="240" w:after="240" w:line="360" w:lineRule="auto"/>
        <w:rPr>
          <w:rFonts w:cs="Times New Roman"/>
        </w:rPr>
      </w:pPr>
      <w:r w:rsidRPr="008903D1">
        <w:rPr>
          <w:rFonts w:eastAsia="Times New Roman" w:cs="Times New Roman"/>
          <w:szCs w:val="24"/>
        </w:rPr>
        <w:t>The stakeholder rankings of different indicators can be considered correlated samples, and the investigation explores whether these rankings are consistent. Therefore, Kendall’s tau (Kendall</w:t>
      </w:r>
      <w:r w:rsidR="002011BC">
        <w:rPr>
          <w:rFonts w:eastAsia="Times New Roman" w:cs="Times New Roman"/>
          <w:szCs w:val="24"/>
        </w:rPr>
        <w:t>’s</w:t>
      </w:r>
      <w:r w:rsidRPr="008903D1">
        <w:rPr>
          <w:rFonts w:eastAsia="Times New Roman" w:cs="Times New Roman"/>
          <w:szCs w:val="24"/>
        </w:rPr>
        <w:t xml:space="preserve"> rank correlation coefficient) and Spearman’s rho (Spearman’s rank correlation coefficient) are implemented together to measure the statistical differences between stakeholder preferences.</w:t>
      </w:r>
      <w:r w:rsidRPr="00737239">
        <w:rPr>
          <w:rFonts w:cs="Times New Roman"/>
        </w:rPr>
        <w:t xml:space="preserve"> </w:t>
      </w:r>
    </w:p>
    <w:p w14:paraId="5005120F" w14:textId="32600C13" w:rsidR="0071798B" w:rsidRPr="008903D1" w:rsidRDefault="0071798B" w:rsidP="00532952">
      <w:pPr>
        <w:spacing w:before="240" w:after="240" w:line="360" w:lineRule="auto"/>
        <w:rPr>
          <w:rFonts w:eastAsia="Times New Roman" w:cs="Times New Roman"/>
          <w:szCs w:val="24"/>
        </w:rPr>
      </w:pPr>
      <w:r w:rsidRPr="008903D1">
        <w:rPr>
          <w:rFonts w:eastAsia="Times New Roman" w:cs="Times New Roman"/>
          <w:szCs w:val="24"/>
        </w:rPr>
        <w:t xml:space="preserve">Both Kendall’s tau and Spearman’s rho measure the monotonicity of relationships and each has their respective advantages. From the perspective of statistic reliability, </w:t>
      </w:r>
      <w:r w:rsidR="00A46235">
        <w:rPr>
          <w:rFonts w:eastAsia="Times New Roman" w:cs="Times New Roman"/>
          <w:noProof/>
          <w:szCs w:val="24"/>
          <w:lang w:val="en-US"/>
        </w:rPr>
        <w:fldChar w:fldCharType="begin"/>
      </w:r>
      <w:r w:rsidR="00647E79">
        <w:rPr>
          <w:rFonts w:eastAsia="Times New Roman" w:cs="Times New Roman"/>
          <w:noProof/>
          <w:szCs w:val="24"/>
          <w:lang w:val="en-US"/>
        </w:rPr>
        <w:instrText xml:space="preserve"> ADDIN EN.CITE &lt;EndNote&gt;&lt;Cite AuthorYear="1"&gt;&lt;Author&gt;Croux&lt;/Author&gt;&lt;Year&gt;2010&lt;/Year&gt;&lt;RecNum&gt;295&lt;/RecNum&gt;&lt;DisplayText&gt;Croux and Dehon (2010)&lt;/DisplayText&gt;&lt;record&gt;&lt;rec-number&gt;295&lt;/rec-number&gt;&lt;foreign-keys&gt;&lt;key app="EN" db-id="pzt5ep52hsedfpeext2pdfes0w0aswaewef2" timestamp="1605187999"&gt;295&lt;/key&gt;&lt;/foreign-keys&gt;&lt;ref-type name="Journal Article"&gt;17&lt;/ref-type&gt;&lt;contributors&gt;&lt;authors&gt;&lt;author&gt;Croux, Christophe&lt;/author&gt;&lt;author&gt;Dehon, Catherine&lt;/author&gt;&lt;/authors&gt;&lt;/contributors&gt;&lt;titles&gt;&lt;title&gt;Influence functions of the Spearman and Kendall correlation measures&lt;/title&gt;&lt;secondary-title&gt;Statistical Methods &amp;amp; Applications&lt;/secondary-title&gt;&lt;/titles&gt;&lt;periodical&gt;&lt;full-title&gt;Statistical Methods &amp;amp; Applications&lt;/full-title&gt;&lt;/periodical&gt;&lt;pages&gt;497-515&lt;/pages&gt;&lt;volume&gt;19&lt;/volume&gt;&lt;number&gt;4&lt;/number&gt;&lt;dates&gt;&lt;year&gt;2010&lt;/year&gt;&lt;pub-dates&gt;&lt;date&gt;2010/11/01&lt;/date&gt;&lt;/pub-dates&gt;&lt;/dates&gt;&lt;isbn&gt;1613-981X&lt;/isbn&gt;&lt;urls&gt;&lt;related-urls&gt;&lt;url&gt;https://doi.org/10.1007/s10260-010-0142-z&lt;/url&gt;&lt;/related-urls&gt;&lt;/urls&gt;&lt;electronic-resource-num&gt;10.1007/s10260-010-0142-z&lt;/electronic-resource-num&gt;&lt;/record&gt;&lt;/Cite&gt;&lt;/EndNote&gt;</w:instrText>
      </w:r>
      <w:r w:rsidR="00A46235">
        <w:rPr>
          <w:rFonts w:eastAsia="Times New Roman" w:cs="Times New Roman"/>
          <w:noProof/>
          <w:szCs w:val="24"/>
          <w:lang w:val="en-US"/>
        </w:rPr>
        <w:fldChar w:fldCharType="separate"/>
      </w:r>
      <w:r w:rsidR="0056310C">
        <w:rPr>
          <w:rFonts w:eastAsia="Times New Roman" w:cs="Times New Roman"/>
          <w:noProof/>
          <w:szCs w:val="24"/>
          <w:lang w:val="en-US"/>
        </w:rPr>
        <w:t>Croux and Dehon (2010)</w:t>
      </w:r>
      <w:r w:rsidR="00A46235">
        <w:rPr>
          <w:rFonts w:eastAsia="Times New Roman" w:cs="Times New Roman"/>
          <w:noProof/>
          <w:szCs w:val="24"/>
          <w:lang w:val="en-US"/>
        </w:rPr>
        <w:fldChar w:fldCharType="end"/>
      </w:r>
      <w:r w:rsidRPr="008903D1">
        <w:rPr>
          <w:rFonts w:eastAsia="Times New Roman" w:cs="Times New Roman"/>
          <w:szCs w:val="24"/>
        </w:rPr>
        <w:t xml:space="preserve"> illustrate that the Kendall tau is preferred to the Spearman correlation because of its smaller gross error sensitivity (GES) (greater robustness) and smaller asymptotic variance (AV) (greater efficiency). On the other hand, </w:t>
      </w:r>
      <w:r w:rsidR="00A46235">
        <w:rPr>
          <w:rFonts w:eastAsia="Times New Roman" w:cs="Times New Roman"/>
          <w:noProof/>
          <w:szCs w:val="24"/>
          <w:lang w:val="en-US"/>
        </w:rPr>
        <w:fldChar w:fldCharType="begin"/>
      </w:r>
      <w:r w:rsidR="00647E79">
        <w:rPr>
          <w:rFonts w:eastAsia="Times New Roman" w:cs="Times New Roman"/>
          <w:noProof/>
          <w:szCs w:val="24"/>
          <w:lang w:val="en-US"/>
        </w:rPr>
        <w:instrText xml:space="preserve"> ADDIN EN.CITE &lt;EndNote&gt;&lt;Cite AuthorYear="1"&gt;&lt;Author&gt;Puth&lt;/Author&gt;&lt;Year&gt;2015&lt;/Year&gt;&lt;RecNum&gt;296&lt;/RecNum&gt;&lt;DisplayText&gt;Puth et al. (2015)&lt;/DisplayText&gt;&lt;record&gt;&lt;rec-number&gt;296&lt;/rec-number&gt;&lt;foreign-keys&gt;&lt;key app="EN" db-id="pzt5ep52hsedfpeext2pdfes0w0aswaewef2" timestamp="1605187999"&gt;296&lt;/key&gt;&lt;/foreign-keys&gt;&lt;ref-type name="Journal Article"&gt;17&lt;/ref-type&gt;&lt;contributors&gt;&lt;authors&gt;&lt;author&gt;Puth, Marie-Therese&lt;/author&gt;&lt;author&gt;Neuhäuser, Markus&lt;/author&gt;&lt;author&gt;Ruxton, Graeme D.&lt;/author&gt;&lt;/authors&gt;&lt;/contributors&gt;&lt;titles&gt;&lt;title&gt;Effective use of Spearman&amp;apos;s and Kendall&amp;apos;s correlation coefficients for association between two measured traits&lt;/title&gt;&lt;secondary-title&gt;Animal Behaviour&lt;/secondary-title&gt;&lt;/titles&gt;&lt;periodical&gt;&lt;full-title&gt;Animal Behaviour&lt;/full-title&gt;&lt;/periodical&gt;&lt;pages&gt;77-84&lt;/pages&gt;&lt;volume&gt;102&lt;/volume&gt;&lt;keywords&gt;&lt;keyword&gt;confidence interval&lt;/keyword&gt;&lt;keyword&gt;null hypothesis testing&lt;/keyword&gt;&lt;keyword&gt;Pearson&amp;apos;s product–moment correlation coefficient&lt;/keyword&gt;&lt;keyword&gt;power&lt;/keyword&gt;&lt;keyword&gt;statistics&lt;/keyword&gt;&lt;keyword&gt;type 1 error&lt;/keyword&gt;&lt;/keywords&gt;&lt;dates&gt;&lt;year&gt;2015&lt;/year&gt;&lt;pub-dates&gt;&lt;date&gt;2015/04/01/&lt;/date&gt;&lt;/pub-dates&gt;&lt;/dates&gt;&lt;isbn&gt;0003-3472&lt;/isbn&gt;&lt;urls&gt;&lt;related-urls&gt;&lt;url&gt;http://www.sciencedirect.com/science/article/pii/S0003347215000196&lt;/url&gt;&lt;/related-urls&gt;&lt;/urls&gt;&lt;electronic-resource-num&gt;https://doi.org/10.1016/j.anbehav.2015.01.010&lt;/electronic-resource-num&gt;&lt;/record&gt;&lt;/Cite&gt;&lt;/EndNote&gt;</w:instrText>
      </w:r>
      <w:r w:rsidR="00A46235">
        <w:rPr>
          <w:rFonts w:eastAsia="Times New Roman" w:cs="Times New Roman"/>
          <w:noProof/>
          <w:szCs w:val="24"/>
          <w:lang w:val="en-US"/>
        </w:rPr>
        <w:fldChar w:fldCharType="separate"/>
      </w:r>
      <w:r w:rsidR="0056310C">
        <w:rPr>
          <w:rFonts w:eastAsia="Times New Roman" w:cs="Times New Roman"/>
          <w:noProof/>
          <w:szCs w:val="24"/>
          <w:lang w:val="en-US"/>
        </w:rPr>
        <w:t>Puth et al. (2015)</w:t>
      </w:r>
      <w:r w:rsidR="00A46235">
        <w:rPr>
          <w:rFonts w:eastAsia="Times New Roman" w:cs="Times New Roman"/>
          <w:noProof/>
          <w:szCs w:val="24"/>
          <w:lang w:val="en-US"/>
        </w:rPr>
        <w:fldChar w:fldCharType="end"/>
      </w:r>
      <w:r w:rsidRPr="008903D1">
        <w:rPr>
          <w:rFonts w:eastAsia="Times New Roman" w:cs="Times New Roman"/>
          <w:szCs w:val="24"/>
          <w:lang w:val="en-US"/>
        </w:rPr>
        <w:t xml:space="preserve"> </w:t>
      </w:r>
      <w:r w:rsidRPr="008903D1">
        <w:rPr>
          <w:rFonts w:eastAsia="Times New Roman" w:cs="Times New Roman"/>
          <w:szCs w:val="24"/>
        </w:rPr>
        <w:t xml:space="preserve">demonstrate that Spearman’s rho is more accurate than Kendall’s tau when there are ties in the data. Indeed, there are several </w:t>
      </w:r>
      <w:proofErr w:type="spellStart"/>
      <w:r w:rsidRPr="008903D1">
        <w:rPr>
          <w:rFonts w:eastAsia="Times New Roman" w:cs="Times New Roman"/>
          <w:szCs w:val="24"/>
        </w:rPr>
        <w:t>ties</w:t>
      </w:r>
      <w:proofErr w:type="spellEnd"/>
      <w:r w:rsidRPr="008903D1">
        <w:rPr>
          <w:rFonts w:eastAsia="Times New Roman" w:cs="Times New Roman"/>
          <w:szCs w:val="24"/>
        </w:rPr>
        <w:t xml:space="preserve"> in the different stakeholder rankings. Irrespective of the proportion of ties in the example, Spearman’s measure returns values closer to the desired coverage rates, whilst Kendall’s results differ – increasing from the desired level as the number of ties increases, especially for large correlation values. Therefore, combining the two methods can verify the reliability and accuracy of the statistical results.</w:t>
      </w:r>
    </w:p>
    <w:p w14:paraId="2D7DE055" w14:textId="34B1FABB" w:rsidR="0071798B" w:rsidRPr="008903D1" w:rsidRDefault="0071798B" w:rsidP="00532952">
      <w:pPr>
        <w:spacing w:before="240" w:after="240" w:line="360" w:lineRule="auto"/>
        <w:rPr>
          <w:rFonts w:eastAsia="Times New Roman" w:cs="Times New Roman"/>
          <w:szCs w:val="24"/>
        </w:rPr>
      </w:pPr>
      <w:r w:rsidRPr="008903D1">
        <w:rPr>
          <w:rFonts w:eastAsia="Times New Roman" w:cs="Times New Roman"/>
          <w:szCs w:val="24"/>
        </w:rPr>
        <w:t>If there is a significant positive correlation between ranking values, this suggests a strong consensus between stakeholders. Where there is no significant correlation, there is no common objectives between the stakeholders. A negative correlation between sets of ranking values suggests conflict between the various stakeholders’ preferences.</w:t>
      </w:r>
    </w:p>
    <w:p w14:paraId="6B8D4055" w14:textId="77777777" w:rsidR="005A7B32" w:rsidRPr="00737239" w:rsidRDefault="005A7B32" w:rsidP="005A7B32">
      <w:pPr>
        <w:pStyle w:val="Heading3"/>
        <w:spacing w:before="40" w:line="360" w:lineRule="auto"/>
        <w:jc w:val="left"/>
        <w:rPr>
          <w:rFonts w:cs="Times New Roman"/>
        </w:rPr>
      </w:pPr>
      <w:bookmarkStart w:id="561" w:name="_Toc34734518"/>
      <w:bookmarkStart w:id="562" w:name="_Toc46053441"/>
      <w:bookmarkStart w:id="563" w:name="_Toc46093355"/>
      <w:bookmarkStart w:id="564" w:name="_Toc46093638"/>
      <w:bookmarkStart w:id="565" w:name="_Toc66703213"/>
      <w:bookmarkStart w:id="566" w:name="_Toc46053442"/>
      <w:bookmarkStart w:id="567" w:name="_Toc46093356"/>
      <w:bookmarkStart w:id="568" w:name="_Toc46093639"/>
      <w:r w:rsidRPr="00737239">
        <w:rPr>
          <w:rFonts w:cs="Times New Roman"/>
        </w:rPr>
        <w:t>Thematic analysis</w:t>
      </w:r>
      <w:bookmarkEnd w:id="561"/>
      <w:bookmarkEnd w:id="562"/>
      <w:bookmarkEnd w:id="563"/>
      <w:bookmarkEnd w:id="564"/>
      <w:bookmarkEnd w:id="565"/>
    </w:p>
    <w:p w14:paraId="24E9EC73" w14:textId="77777777" w:rsidR="005A7B32" w:rsidRPr="008903D1" w:rsidRDefault="005A7B32" w:rsidP="005A7B32">
      <w:pPr>
        <w:spacing w:after="240" w:line="360" w:lineRule="auto"/>
        <w:rPr>
          <w:rFonts w:eastAsia="Times New Roman" w:cs="Times New Roman"/>
          <w:iCs/>
          <w:szCs w:val="24"/>
        </w:rPr>
      </w:pPr>
      <w:r>
        <w:rPr>
          <w:rFonts w:eastAsia="Times New Roman" w:cs="Times New Roman"/>
          <w:noProof/>
          <w:szCs w:val="24"/>
          <w:lang w:val="en-US"/>
        </w:rPr>
        <w:fldChar w:fldCharType="begin"/>
      </w:r>
      <w:r>
        <w:rPr>
          <w:rFonts w:eastAsia="Times New Roman" w:cs="Times New Roman"/>
          <w:noProof/>
          <w:szCs w:val="24"/>
          <w:lang w:val="en-US"/>
        </w:rPr>
        <w:instrText xml:space="preserve"> ADDIN EN.CITE &lt;EndNote&gt;&lt;Cite AuthorYear="1"&gt;&lt;Author&gt;Braun&lt;/Author&gt;&lt;Year&gt;2012&lt;/Year&gt;&lt;RecNum&gt;297&lt;/RecNum&gt;&lt;DisplayText&gt;Braun and Clarke (2012)&lt;/DisplayText&gt;&lt;record&gt;&lt;rec-number&gt;297&lt;/rec-number&gt;&lt;foreign-keys&gt;&lt;key app="EN" db-id="pzt5ep52hsedfpeext2pdfes0w0aswaewef2" timestamp="1605187999"&gt;297&lt;/key&gt;&lt;/foreign-keys&gt;&lt;ref-type name="Book Section"&gt;5&lt;/ref-type&gt;&lt;contributors&gt;&lt;authors&gt;&lt;author&gt;Braun, Virginia&lt;/author&gt;&lt;author&gt;Clarke, Victoria&lt;/author&gt;&lt;/authors&gt;&lt;/contributors&gt;&lt;titles&gt;&lt;title&gt;Thematic analysis&lt;/title&gt;&lt;secondary-title&gt;APA handbook of research methods in psychology, Vol 2: Research designs: Quantitative, qualitative, neuropsychological, and biological.&lt;/secondary-title&gt;&lt;tertiary-title&gt;APA handbooks in psychology®.&lt;/tertiary-title&gt;&lt;/titles&gt;&lt;pages&gt;57-71&lt;/pages&gt;&lt;keywords&gt;&lt;keyword&gt;Qualitative Methods&lt;/keyword&gt;&lt;/keywords&gt;&lt;dates&gt;&lt;year&gt;2012&lt;/year&gt;&lt;/dates&gt;&lt;pub-location&gt;Washington, DC, US&lt;/pub-location&gt;&lt;publisher&gt;American Psychological Association&lt;/publisher&gt;&lt;isbn&gt;1-4338-1005-0 (Hardcover); 978-1-43381-005-3 (Hardcover)&lt;/isbn&gt;&lt;urls&gt;&lt;/urls&gt;&lt;electronic-resource-num&gt;10.1037/13620-004&lt;/electronic-resource-num&gt;&lt;/record&gt;&lt;/Cite&gt;&lt;/EndNote&gt;</w:instrText>
      </w:r>
      <w:r>
        <w:rPr>
          <w:rFonts w:eastAsia="Times New Roman" w:cs="Times New Roman"/>
          <w:noProof/>
          <w:szCs w:val="24"/>
          <w:lang w:val="en-US"/>
        </w:rPr>
        <w:fldChar w:fldCharType="separate"/>
      </w:r>
      <w:r>
        <w:rPr>
          <w:rFonts w:eastAsia="Times New Roman" w:cs="Times New Roman"/>
          <w:noProof/>
          <w:szCs w:val="24"/>
          <w:lang w:val="en-US"/>
        </w:rPr>
        <w:t>Braun and Clarke (2012)</w:t>
      </w:r>
      <w:r>
        <w:rPr>
          <w:rFonts w:eastAsia="Times New Roman" w:cs="Times New Roman"/>
          <w:noProof/>
          <w:szCs w:val="24"/>
          <w:lang w:val="en-US"/>
        </w:rPr>
        <w:fldChar w:fldCharType="end"/>
      </w:r>
      <w:r w:rsidRPr="008903D1">
        <w:rPr>
          <w:rFonts w:eastAsia="Times New Roman" w:cs="Times New Roman"/>
          <w:szCs w:val="24"/>
          <w:lang w:val="en-US"/>
        </w:rPr>
        <w:t xml:space="preserve"> </w:t>
      </w:r>
      <w:r w:rsidRPr="008903D1">
        <w:rPr>
          <w:rFonts w:eastAsia="Times New Roman" w:cs="Times New Roman"/>
          <w:iCs/>
          <w:szCs w:val="24"/>
        </w:rPr>
        <w:t>define thematic analysis as follows:</w:t>
      </w:r>
    </w:p>
    <w:p w14:paraId="3D20BD16" w14:textId="77777777" w:rsidR="005A7B32" w:rsidRPr="008903D1" w:rsidRDefault="005A7B32" w:rsidP="005A7B32">
      <w:pPr>
        <w:spacing w:after="240" w:line="360" w:lineRule="auto"/>
        <w:ind w:left="851"/>
        <w:rPr>
          <w:rFonts w:eastAsia="Times New Roman" w:cs="Times New Roman"/>
          <w:i/>
          <w:iCs/>
          <w:szCs w:val="24"/>
        </w:rPr>
      </w:pPr>
      <w:r w:rsidRPr="008903D1">
        <w:rPr>
          <w:rFonts w:eastAsia="Times New Roman" w:cs="Times New Roman"/>
          <w:i/>
          <w:iCs/>
          <w:szCs w:val="24"/>
        </w:rPr>
        <w:t>Thematic analysis is a method for systematically identifying, organizing, and offering insight into patterns of meaning (themes) across a data set. Through focusing on meaning across a data set, thematic analysis allows the researcher to see and make sense of collective or shared meanings and experiences. It is a way of identifying what is common to the way a topic is talked or written about and of making sense of those commonalities</w:t>
      </w:r>
      <w:r w:rsidRPr="008903D1">
        <w:rPr>
          <w:rFonts w:eastAsia="Times New Roman" w:cs="Times New Roman"/>
          <w:i/>
          <w:iCs/>
          <w:noProof/>
          <w:szCs w:val="24"/>
        </w:rPr>
        <w:t>.</w:t>
      </w:r>
    </w:p>
    <w:p w14:paraId="2C02CF82" w14:textId="77777777" w:rsidR="005A7B32" w:rsidRPr="008903D1" w:rsidRDefault="005A7B32" w:rsidP="005A7B32">
      <w:pPr>
        <w:spacing w:after="240" w:line="360" w:lineRule="auto"/>
        <w:rPr>
          <w:rFonts w:eastAsia="Times New Roman" w:cs="Times New Roman"/>
          <w:i/>
          <w:iCs/>
          <w:szCs w:val="24"/>
        </w:rPr>
      </w:pPr>
    </w:p>
    <w:p w14:paraId="02DF71E4" w14:textId="77777777" w:rsidR="005A7B32" w:rsidRPr="008903D1" w:rsidRDefault="005A7B32" w:rsidP="005A7B32">
      <w:pPr>
        <w:spacing w:line="360" w:lineRule="auto"/>
        <w:jc w:val="center"/>
        <w:rPr>
          <w:rFonts w:cs="Times New Roman"/>
        </w:rPr>
      </w:pPr>
      <w:r>
        <w:rPr>
          <w:rFonts w:cs="Times New Roman"/>
          <w:noProof/>
          <w:lang w:eastAsia="en-GB"/>
        </w:rPr>
        <w:drawing>
          <wp:inline distT="0" distB="0" distL="0" distR="0" wp14:anchorId="7ED23B0C" wp14:editId="6230259B">
            <wp:extent cx="5184140" cy="2289810"/>
            <wp:effectExtent l="0" t="0" r="0" b="0"/>
            <wp:docPr id="1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84140" cy="2289810"/>
                    </a:xfrm>
                    <a:prstGeom prst="rect">
                      <a:avLst/>
                    </a:prstGeom>
                    <a:noFill/>
                    <a:ln>
                      <a:noFill/>
                    </a:ln>
                  </pic:spPr>
                </pic:pic>
              </a:graphicData>
            </a:graphic>
          </wp:inline>
        </w:drawing>
      </w:r>
    </w:p>
    <w:p w14:paraId="5120EC21" w14:textId="5689F75C" w:rsidR="005A7B32" w:rsidRPr="00737239" w:rsidRDefault="005A7B32" w:rsidP="005A7B32">
      <w:pPr>
        <w:pStyle w:val="Caption"/>
        <w:spacing w:line="360" w:lineRule="auto"/>
        <w:rPr>
          <w:rFonts w:cs="Times New Roman"/>
        </w:rPr>
      </w:pPr>
      <w:bookmarkStart w:id="569" w:name="_Ref530753684"/>
      <w:bookmarkStart w:id="570" w:name="_Toc34675019"/>
      <w:bookmarkStart w:id="571" w:name="_Toc34734811"/>
      <w:bookmarkStart w:id="572" w:name="_Toc46053676"/>
      <w:bookmarkStart w:id="573" w:name="_Toc66698707"/>
      <w:r w:rsidRPr="008903D1">
        <w:rPr>
          <w:rFonts w:cs="Times New Roman"/>
        </w:rPr>
        <w:t xml:space="preserve">Figure </w:t>
      </w:r>
      <w:r>
        <w:rPr>
          <w:rFonts w:cs="Times New Roman"/>
        </w:rPr>
        <w:fldChar w:fldCharType="begin"/>
      </w:r>
      <w:r>
        <w:rPr>
          <w:rFonts w:cs="Times New Roman"/>
        </w:rPr>
        <w:instrText xml:space="preserve"> STYLEREF 1 \s </w:instrText>
      </w:r>
      <w:r>
        <w:rPr>
          <w:rFonts w:cs="Times New Roman"/>
        </w:rPr>
        <w:fldChar w:fldCharType="separate"/>
      </w:r>
      <w:r w:rsidR="0005064B">
        <w:rPr>
          <w:rFonts w:cs="Times New Roman"/>
          <w:noProof/>
        </w:rPr>
        <w:t>3</w:t>
      </w:r>
      <w:r>
        <w:rPr>
          <w:rFonts w:cs="Times New Roman"/>
        </w:rPr>
        <w:fldChar w:fldCharType="end"/>
      </w:r>
      <w:r>
        <w:rPr>
          <w:rFonts w:cs="Times New Roman"/>
        </w:rPr>
        <w:noBreakHyphen/>
      </w:r>
      <w:r>
        <w:rPr>
          <w:rFonts w:cs="Times New Roman"/>
        </w:rPr>
        <w:fldChar w:fldCharType="begin"/>
      </w:r>
      <w:r>
        <w:rPr>
          <w:rFonts w:cs="Times New Roman"/>
        </w:rPr>
        <w:instrText xml:space="preserve"> SEQ Figure \* ARABIC \s 1 </w:instrText>
      </w:r>
      <w:r>
        <w:rPr>
          <w:rFonts w:cs="Times New Roman"/>
        </w:rPr>
        <w:fldChar w:fldCharType="separate"/>
      </w:r>
      <w:r w:rsidR="0005064B">
        <w:rPr>
          <w:rFonts w:cs="Times New Roman"/>
          <w:noProof/>
        </w:rPr>
        <w:t>4</w:t>
      </w:r>
      <w:r>
        <w:rPr>
          <w:rFonts w:cs="Times New Roman"/>
        </w:rPr>
        <w:fldChar w:fldCharType="end"/>
      </w:r>
      <w:bookmarkEnd w:id="569"/>
      <w:r>
        <w:rPr>
          <w:rFonts w:cs="Times New Roman"/>
        </w:rPr>
        <w:t>:</w:t>
      </w:r>
      <w:r w:rsidRPr="008903D1">
        <w:rPr>
          <w:rFonts w:cs="Times New Roman"/>
        </w:rPr>
        <w:t xml:space="preserve"> Braun and Clarke’s model of thematic analysis</w:t>
      </w:r>
      <w:bookmarkEnd w:id="570"/>
      <w:bookmarkEnd w:id="571"/>
      <w:bookmarkEnd w:id="572"/>
      <w:bookmarkEnd w:id="573"/>
    </w:p>
    <w:p w14:paraId="770F7F96" w14:textId="6FF92B70" w:rsidR="005A7B32" w:rsidRPr="008903D1" w:rsidRDefault="005A7B32" w:rsidP="005A7B32">
      <w:pPr>
        <w:spacing w:after="240" w:line="360" w:lineRule="auto"/>
        <w:rPr>
          <w:rFonts w:eastAsia="Times New Roman" w:cs="Times New Roman"/>
          <w:szCs w:val="24"/>
        </w:rPr>
      </w:pPr>
      <w:r>
        <w:rPr>
          <w:noProof/>
          <w:color w:val="242021"/>
        </w:rPr>
        <w:fldChar w:fldCharType="begin"/>
      </w:r>
      <w:r>
        <w:rPr>
          <w:noProof/>
          <w:color w:val="242021"/>
        </w:rPr>
        <w:instrText xml:space="preserve"> ADDIN EN.CITE &lt;EndNote&gt;&lt;Cite AuthorYear="1"&gt;&lt;Author&gt;Braun&lt;/Author&gt;&lt;Year&gt;2006&lt;/Year&gt;&lt;RecNum&gt;298&lt;/RecNum&gt;&lt;DisplayText&gt;Braun and Clarke (2006)&lt;/DisplayText&gt;&lt;record&gt;&lt;rec-number&gt;298&lt;/rec-number&gt;&lt;foreign-keys&gt;&lt;key app="EN" db-id="pzt5ep52hsedfpeext2pdfes0w0aswaewef2" timestamp="1605187999"&gt;298&lt;/key&gt;&lt;/foreign-keys&gt;&lt;ref-type name="Journal Article"&gt;17&lt;/ref-type&gt;&lt;contributors&gt;&lt;authors&gt;&lt;author&gt;Braun, Virginia&lt;/author&gt;&lt;author&gt;Clarke, Victoria&lt;/author&gt;&lt;/authors&gt;&lt;/contributors&gt;&lt;titles&gt;&lt;title&gt;Using thematic analysis in psychology&lt;/title&gt;&lt;secondary-title&gt;Qualitative research in psychology&lt;/secondary-title&gt;&lt;/titles&gt;&lt;periodical&gt;&lt;full-title&gt;Qualitative research in psychology&lt;/full-title&gt;&lt;/periodical&gt;&lt;pages&gt;77-101&lt;/pages&gt;&lt;volume&gt;3&lt;/volume&gt;&lt;number&gt;2&lt;/number&gt;&lt;dates&gt;&lt;year&gt;2006&lt;/year&gt;&lt;/dates&gt;&lt;isbn&gt;1478-0887&lt;/isbn&gt;&lt;urls&gt;&lt;/urls&gt;&lt;/record&gt;&lt;/Cite&gt;&lt;/EndNote&gt;</w:instrText>
      </w:r>
      <w:r>
        <w:rPr>
          <w:noProof/>
          <w:color w:val="242021"/>
        </w:rPr>
        <w:fldChar w:fldCharType="separate"/>
      </w:r>
      <w:r>
        <w:rPr>
          <w:noProof/>
          <w:color w:val="242021"/>
        </w:rPr>
        <w:t>Braun and Clarke (2006)</w:t>
      </w:r>
      <w:r>
        <w:rPr>
          <w:noProof/>
          <w:color w:val="242021"/>
        </w:rPr>
        <w:fldChar w:fldCharType="end"/>
      </w:r>
      <w:r w:rsidRPr="00802DC5">
        <w:rPr>
          <w:rFonts w:cs="Times New Roman"/>
          <w:color w:val="242021"/>
        </w:rPr>
        <w:t xml:space="preserve"> produced a sophisticated six-step thematic analysis for practical application in research (</w:t>
      </w:r>
      <w:r w:rsidRPr="008903D1">
        <w:rPr>
          <w:rFonts w:cs="Times New Roman"/>
          <w:color w:val="242021"/>
        </w:rPr>
        <w:fldChar w:fldCharType="begin"/>
      </w:r>
      <w:r w:rsidRPr="00A96AC5">
        <w:rPr>
          <w:rFonts w:cs="Times New Roman"/>
          <w:color w:val="242021"/>
        </w:rPr>
        <w:instrText xml:space="preserve"> REF _Ref530753684 \h </w:instrText>
      </w:r>
      <w:r>
        <w:rPr>
          <w:rFonts w:cs="Times New Roman"/>
          <w:color w:val="242021"/>
        </w:rPr>
        <w:instrText xml:space="preserve"> \* MERGEFORMAT </w:instrText>
      </w:r>
      <w:r w:rsidRPr="008903D1">
        <w:rPr>
          <w:rFonts w:cs="Times New Roman"/>
          <w:color w:val="242021"/>
        </w:rPr>
      </w:r>
      <w:r w:rsidRPr="008903D1">
        <w:rPr>
          <w:rFonts w:cs="Times New Roman"/>
          <w:color w:val="242021"/>
        </w:rPr>
        <w:fldChar w:fldCharType="separate"/>
      </w:r>
      <w:r w:rsidR="0005064B" w:rsidRPr="008903D1">
        <w:rPr>
          <w:rFonts w:cs="Times New Roman"/>
        </w:rPr>
        <w:t xml:space="preserve">Figure </w:t>
      </w:r>
      <w:r w:rsidR="0005064B">
        <w:rPr>
          <w:rFonts w:cs="Times New Roman"/>
          <w:noProof/>
        </w:rPr>
        <w:t>3</w:t>
      </w:r>
      <w:r w:rsidR="0005064B">
        <w:rPr>
          <w:rFonts w:cs="Times New Roman"/>
          <w:noProof/>
        </w:rPr>
        <w:noBreakHyphen/>
        <w:t>4</w:t>
      </w:r>
      <w:r w:rsidRPr="008903D1">
        <w:rPr>
          <w:rFonts w:cs="Times New Roman"/>
          <w:color w:val="242021"/>
        </w:rPr>
        <w:fldChar w:fldCharType="end"/>
      </w:r>
      <w:r w:rsidRPr="008903D1">
        <w:rPr>
          <w:rFonts w:cs="Times New Roman"/>
          <w:color w:val="242021"/>
        </w:rPr>
        <w:t xml:space="preserve">). Based on this process map, a comprehensive thematic analysis framework can be divided </w:t>
      </w:r>
      <w:r w:rsidRPr="00737239">
        <w:rPr>
          <w:rFonts w:cs="Times New Roman"/>
          <w:color w:val="242021"/>
        </w:rPr>
        <w:t xml:space="preserve">into three primary sections: first, the textual material is transcribed, with all qualitative data (voice recordings and notes of interview) put into text form; next, the transcribed data are categorised according to the context of the interviews; and finally, there is the coding process, in which the codes </w:t>
      </w:r>
      <w:r w:rsidRPr="00802DC5">
        <w:rPr>
          <w:rFonts w:cs="Times New Roman"/>
          <w:color w:val="242021"/>
        </w:rPr>
        <w:t xml:space="preserve">are </w:t>
      </w:r>
      <w:r w:rsidRPr="008903D1">
        <w:rPr>
          <w:rFonts w:eastAsia="Times New Roman" w:cs="Times New Roman"/>
          <w:szCs w:val="24"/>
        </w:rPr>
        <w:t>derived from the criteria selected in the AHP.</w:t>
      </w:r>
    </w:p>
    <w:p w14:paraId="289E86EB" w14:textId="77777777" w:rsidR="005A7B32" w:rsidRDefault="005A7B32" w:rsidP="005A7B32">
      <w:pPr>
        <w:spacing w:after="240" w:line="360" w:lineRule="auto"/>
        <w:rPr>
          <w:rFonts w:cs="Times New Roman"/>
          <w:color w:val="242021"/>
        </w:rPr>
      </w:pPr>
      <w:r w:rsidRPr="00737239">
        <w:rPr>
          <w:rFonts w:cs="Times New Roman"/>
          <w:color w:val="242021"/>
        </w:rPr>
        <w:t xml:space="preserve">All the themes (including the primary theme and sub-themes) are </w:t>
      </w:r>
      <w:r>
        <w:rPr>
          <w:rFonts w:cs="Times New Roman"/>
          <w:color w:val="242021"/>
        </w:rPr>
        <w:t>pre-designed</w:t>
      </w:r>
      <w:r w:rsidRPr="00737239">
        <w:rPr>
          <w:rFonts w:cs="Times New Roman"/>
          <w:color w:val="242021"/>
        </w:rPr>
        <w:t xml:space="preserve"> based on the research objectives. There are two categories of primary theme in this research: the first is associated with the st</w:t>
      </w:r>
      <w:r w:rsidRPr="00802DC5">
        <w:rPr>
          <w:rFonts w:cs="Times New Roman"/>
          <w:color w:val="242021"/>
        </w:rPr>
        <w:t xml:space="preserve">akeholder engagement process, and the second concerns the categories of stakeholder conflict. For the former, </w:t>
      </w:r>
      <w:r w:rsidRPr="008903D1">
        <w:rPr>
          <w:rFonts w:eastAsia="Times New Roman" w:cs="Times New Roman"/>
          <w:szCs w:val="24"/>
        </w:rPr>
        <w:t>the sub-themes concern information about stakeholders, such as their motivation, partnerships, benefits, issues, and so on. The latter incudes three sub-themes, each of which is</w:t>
      </w:r>
      <w:r w:rsidRPr="00737239">
        <w:rPr>
          <w:rFonts w:cs="Times New Roman"/>
          <w:color w:val="242021"/>
        </w:rPr>
        <w:t xml:space="preserve"> linked to the criteria selected in </w:t>
      </w:r>
      <w:r>
        <w:rPr>
          <w:rFonts w:cs="Times New Roman"/>
          <w:color w:val="242021"/>
        </w:rPr>
        <w:t xml:space="preserve">the </w:t>
      </w:r>
      <w:r w:rsidRPr="00737239">
        <w:rPr>
          <w:rFonts w:cs="Times New Roman"/>
          <w:color w:val="242021"/>
        </w:rPr>
        <w:t xml:space="preserve">AHP process: (1) the group of stakeholders suffering the </w:t>
      </w:r>
      <w:proofErr w:type="gramStart"/>
      <w:r w:rsidRPr="00737239">
        <w:rPr>
          <w:rFonts w:cs="Times New Roman"/>
          <w:color w:val="242021"/>
        </w:rPr>
        <w:t>particular conflict</w:t>
      </w:r>
      <w:proofErr w:type="gramEnd"/>
      <w:r w:rsidRPr="00737239">
        <w:rPr>
          <w:rFonts w:cs="Times New Roman"/>
          <w:color w:val="242021"/>
        </w:rPr>
        <w:t>, (2) the causes of this conflict, and (3) the measures taken to mitigate the issues.</w:t>
      </w:r>
    </w:p>
    <w:p w14:paraId="64AAAEB9" w14:textId="6F8D74E9" w:rsidR="005A7B32" w:rsidRPr="00737239" w:rsidRDefault="005A7B32" w:rsidP="005A7B32">
      <w:pPr>
        <w:spacing w:after="240" w:line="360" w:lineRule="auto"/>
        <w:rPr>
          <w:rFonts w:cs="Times New Roman"/>
        </w:rPr>
      </w:pPr>
      <w:r w:rsidRPr="00737239">
        <w:rPr>
          <w:rFonts w:cs="Times New Roman"/>
        </w:rPr>
        <w:t>Based on the results received from</w:t>
      </w:r>
      <w:r>
        <w:rPr>
          <w:rFonts w:cs="Times New Roman"/>
        </w:rPr>
        <w:t xml:space="preserve"> the</w:t>
      </w:r>
      <w:r w:rsidRPr="00737239">
        <w:rPr>
          <w:rFonts w:cs="Times New Roman"/>
        </w:rPr>
        <w:t xml:space="preserve"> quantitative and qualitative methods, a comparative analysis will be implemented to identify the conflicts between stakeholders. </w:t>
      </w:r>
      <w:r>
        <w:rPr>
          <w:rFonts w:cs="Times New Roman"/>
        </w:rPr>
        <w:t>F</w:t>
      </w:r>
      <w:r w:rsidRPr="00737239">
        <w:rPr>
          <w:rFonts w:cs="Times New Roman"/>
        </w:rPr>
        <w:t>irstly, in each case, two stakeholders will be pair</w:t>
      </w:r>
      <w:r>
        <w:rPr>
          <w:rFonts w:cs="Times New Roman"/>
        </w:rPr>
        <w:t>ed</w:t>
      </w:r>
      <w:r w:rsidRPr="00737239">
        <w:rPr>
          <w:rFonts w:cs="Times New Roman"/>
        </w:rPr>
        <w:t>. Then, under each theme, the differe</w:t>
      </w:r>
      <w:r w:rsidRPr="00802DC5">
        <w:rPr>
          <w:rFonts w:cs="Times New Roman"/>
        </w:rPr>
        <w:t xml:space="preserve">nce of their </w:t>
      </w:r>
      <w:r w:rsidRPr="006C301D">
        <w:rPr>
          <w:rFonts w:cs="Times New Roman"/>
        </w:rPr>
        <w:t>opinions about the sub-themes and their ranks on the indicators will be identified. Finally, stakeholder conflicts w</w:t>
      </w:r>
      <w:r w:rsidRPr="008903D1">
        <w:rPr>
          <w:rFonts w:cs="Times New Roman"/>
        </w:rPr>
        <w:t xml:space="preserve">ill be derived </w:t>
      </w:r>
      <w:r w:rsidRPr="00737239">
        <w:rPr>
          <w:rFonts w:cs="Times New Roman"/>
        </w:rPr>
        <w:t xml:space="preserve">from these differences. </w:t>
      </w:r>
      <w:r w:rsidRPr="00737239">
        <w:rPr>
          <w:rFonts w:cs="Times New Roman"/>
        </w:rPr>
        <w:fldChar w:fldCharType="begin"/>
      </w:r>
      <w:r w:rsidRPr="00A96AC5">
        <w:rPr>
          <w:rFonts w:cs="Times New Roman"/>
        </w:rPr>
        <w:instrText xml:space="preserve"> REF _Ref31030054 \h </w:instrText>
      </w:r>
      <w:r>
        <w:rPr>
          <w:rFonts w:cs="Times New Roman"/>
        </w:rPr>
        <w:instrText xml:space="preserve"> \* MERGEFORMAT </w:instrText>
      </w:r>
      <w:r w:rsidRPr="00737239">
        <w:rPr>
          <w:rFonts w:cs="Times New Roman"/>
        </w:rPr>
      </w:r>
      <w:r w:rsidRPr="00737239">
        <w:rPr>
          <w:rFonts w:cs="Times New Roman"/>
        </w:rPr>
        <w:fldChar w:fldCharType="separate"/>
      </w:r>
      <w:r w:rsidR="0005064B" w:rsidRPr="00737239">
        <w:rPr>
          <w:rFonts w:cs="Times New Roman"/>
        </w:rPr>
        <w:t xml:space="preserve">Figure </w:t>
      </w:r>
      <w:r w:rsidR="0005064B">
        <w:rPr>
          <w:rFonts w:cs="Times New Roman"/>
          <w:noProof/>
        </w:rPr>
        <w:t>3</w:t>
      </w:r>
      <w:r w:rsidR="0005064B">
        <w:rPr>
          <w:rFonts w:cs="Times New Roman"/>
          <w:noProof/>
        </w:rPr>
        <w:noBreakHyphen/>
        <w:t>5</w:t>
      </w:r>
      <w:r w:rsidRPr="00737239">
        <w:rPr>
          <w:rFonts w:cs="Times New Roman"/>
        </w:rPr>
        <w:fldChar w:fldCharType="end"/>
      </w:r>
      <w:r w:rsidRPr="008903D1">
        <w:rPr>
          <w:rFonts w:cs="Times New Roman"/>
        </w:rPr>
        <w:t xml:space="preserve"> schematises the comparative analysis approach in the diagram.</w:t>
      </w:r>
    </w:p>
    <w:p w14:paraId="02FDE8BF" w14:textId="77777777" w:rsidR="005A7B32" w:rsidRPr="008903D1" w:rsidRDefault="005A7B32" w:rsidP="005A7B32">
      <w:pPr>
        <w:spacing w:line="360" w:lineRule="auto"/>
        <w:rPr>
          <w:rFonts w:cs="Times New Roman"/>
        </w:rPr>
      </w:pPr>
      <w:r>
        <w:rPr>
          <w:rFonts w:cs="Times New Roman"/>
          <w:noProof/>
          <w:lang w:eastAsia="en-GB"/>
        </w:rPr>
        <w:lastRenderedPageBreak/>
        <w:drawing>
          <wp:inline distT="0" distB="0" distL="0" distR="0" wp14:anchorId="6C1F9B06" wp14:editId="138B2EB7">
            <wp:extent cx="5788660" cy="2822575"/>
            <wp:effectExtent l="0" t="0" r="2540" b="0"/>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88660" cy="2822575"/>
                    </a:xfrm>
                    <a:prstGeom prst="rect">
                      <a:avLst/>
                    </a:prstGeom>
                    <a:noFill/>
                    <a:ln>
                      <a:noFill/>
                    </a:ln>
                  </pic:spPr>
                </pic:pic>
              </a:graphicData>
            </a:graphic>
          </wp:inline>
        </w:drawing>
      </w:r>
    </w:p>
    <w:p w14:paraId="61D68C53" w14:textId="7B5C8E7E" w:rsidR="005A7B32" w:rsidRPr="00737239" w:rsidRDefault="005A7B32" w:rsidP="005A7B32">
      <w:pPr>
        <w:pStyle w:val="Caption"/>
        <w:spacing w:line="360" w:lineRule="auto"/>
        <w:rPr>
          <w:rFonts w:cs="Times New Roman"/>
        </w:rPr>
      </w:pPr>
      <w:bookmarkStart w:id="574" w:name="_Ref31030054"/>
      <w:bookmarkStart w:id="575" w:name="_Toc34675020"/>
      <w:bookmarkStart w:id="576" w:name="_Toc34734812"/>
      <w:bookmarkStart w:id="577" w:name="_Toc46053677"/>
      <w:bookmarkStart w:id="578" w:name="_Toc66698708"/>
      <w:r w:rsidRPr="00737239">
        <w:rPr>
          <w:rFonts w:cs="Times New Roman"/>
        </w:rPr>
        <w:t xml:space="preserve">Figure </w:t>
      </w:r>
      <w:r>
        <w:rPr>
          <w:rFonts w:cs="Times New Roman"/>
        </w:rPr>
        <w:fldChar w:fldCharType="begin"/>
      </w:r>
      <w:r>
        <w:rPr>
          <w:rFonts w:cs="Times New Roman"/>
        </w:rPr>
        <w:instrText xml:space="preserve"> STYLEREF 1 \s </w:instrText>
      </w:r>
      <w:r>
        <w:rPr>
          <w:rFonts w:cs="Times New Roman"/>
        </w:rPr>
        <w:fldChar w:fldCharType="separate"/>
      </w:r>
      <w:r w:rsidR="0005064B">
        <w:rPr>
          <w:rFonts w:cs="Times New Roman"/>
          <w:noProof/>
        </w:rPr>
        <w:t>3</w:t>
      </w:r>
      <w:r>
        <w:rPr>
          <w:rFonts w:cs="Times New Roman"/>
        </w:rPr>
        <w:fldChar w:fldCharType="end"/>
      </w:r>
      <w:r>
        <w:rPr>
          <w:rFonts w:cs="Times New Roman"/>
        </w:rPr>
        <w:noBreakHyphen/>
      </w:r>
      <w:r>
        <w:rPr>
          <w:rFonts w:cs="Times New Roman"/>
        </w:rPr>
        <w:fldChar w:fldCharType="begin"/>
      </w:r>
      <w:r>
        <w:rPr>
          <w:rFonts w:cs="Times New Roman"/>
        </w:rPr>
        <w:instrText xml:space="preserve"> SEQ Figure \* ARABIC \s 1 </w:instrText>
      </w:r>
      <w:r>
        <w:rPr>
          <w:rFonts w:cs="Times New Roman"/>
        </w:rPr>
        <w:fldChar w:fldCharType="separate"/>
      </w:r>
      <w:r w:rsidR="0005064B">
        <w:rPr>
          <w:rFonts w:cs="Times New Roman"/>
          <w:noProof/>
        </w:rPr>
        <w:t>5</w:t>
      </w:r>
      <w:r>
        <w:rPr>
          <w:rFonts w:cs="Times New Roman"/>
        </w:rPr>
        <w:fldChar w:fldCharType="end"/>
      </w:r>
      <w:bookmarkEnd w:id="574"/>
      <w:r>
        <w:rPr>
          <w:rFonts w:cs="Times New Roman"/>
        </w:rPr>
        <w:t xml:space="preserve">: </w:t>
      </w:r>
      <w:r w:rsidRPr="008903D1">
        <w:rPr>
          <w:rFonts w:cs="Times New Roman"/>
        </w:rPr>
        <w:t>Comparative Analysis Combing both Quantitative and Qualitative Data</w:t>
      </w:r>
      <w:bookmarkEnd w:id="575"/>
      <w:bookmarkEnd w:id="576"/>
      <w:bookmarkEnd w:id="577"/>
      <w:bookmarkEnd w:id="578"/>
    </w:p>
    <w:p w14:paraId="2D3FB8E8" w14:textId="1E242A72" w:rsidR="0071798B" w:rsidRDefault="00780A39" w:rsidP="000A4E8C">
      <w:pPr>
        <w:pStyle w:val="Heading3"/>
        <w:spacing w:line="360" w:lineRule="auto"/>
        <w:rPr>
          <w:rFonts w:cs="Times New Roman"/>
        </w:rPr>
      </w:pPr>
      <w:bookmarkStart w:id="579" w:name="_Toc66703214"/>
      <w:r>
        <w:rPr>
          <w:rFonts w:cs="Times New Roman"/>
        </w:rPr>
        <w:t xml:space="preserve">Cost </w:t>
      </w:r>
      <w:r w:rsidR="004E3255">
        <w:rPr>
          <w:rFonts w:cs="Times New Roman"/>
        </w:rPr>
        <w:t xml:space="preserve">sharing </w:t>
      </w:r>
      <w:bookmarkEnd w:id="566"/>
      <w:bookmarkEnd w:id="567"/>
      <w:bookmarkEnd w:id="568"/>
      <w:r w:rsidR="004E3255">
        <w:rPr>
          <w:rFonts w:cs="Times New Roman"/>
        </w:rPr>
        <w:t>principle</w:t>
      </w:r>
      <w:r w:rsidR="00315D64">
        <w:rPr>
          <w:rFonts w:cs="Times New Roman"/>
        </w:rPr>
        <w:t>s</w:t>
      </w:r>
      <w:bookmarkEnd w:id="579"/>
    </w:p>
    <w:p w14:paraId="2F20F0B9" w14:textId="6534FBA6" w:rsidR="009901D5" w:rsidRDefault="002573D6" w:rsidP="00674AEA">
      <w:pPr>
        <w:spacing w:after="240" w:line="360" w:lineRule="auto"/>
        <w:rPr>
          <w:rFonts w:cs="Times New Roman"/>
          <w:color w:val="FF0000"/>
        </w:rPr>
      </w:pPr>
      <w:r w:rsidRPr="002573D6">
        <w:rPr>
          <w:rFonts w:cs="Times New Roman"/>
          <w:color w:val="FF0000"/>
        </w:rPr>
        <w:t xml:space="preserve">This thesis adopts a game-theoretic approach of cost sharing principles, which seeks to involve more stakeholders in contributing to the total cost of the UCC facility, </w:t>
      </w:r>
      <w:proofErr w:type="gramStart"/>
      <w:r w:rsidRPr="002573D6">
        <w:rPr>
          <w:rFonts w:cs="Times New Roman"/>
          <w:color w:val="FF0000"/>
        </w:rPr>
        <w:t>in order to</w:t>
      </w:r>
      <w:proofErr w:type="gramEnd"/>
      <w:r w:rsidRPr="002573D6">
        <w:rPr>
          <w:rFonts w:cs="Times New Roman"/>
          <w:color w:val="FF0000"/>
        </w:rPr>
        <w:t xml:space="preserve"> improve the prospects of financial autonomy and viability of such facilities</w:t>
      </w:r>
      <w:r>
        <w:rPr>
          <w:rFonts w:cs="Times New Roman"/>
          <w:color w:val="FF0000"/>
        </w:rPr>
        <w:t>.</w:t>
      </w:r>
      <w:r w:rsidRPr="002573D6">
        <w:rPr>
          <w:rFonts w:cs="Times New Roman"/>
          <w:color w:val="FF0000"/>
        </w:rPr>
        <w:t xml:space="preserve"> </w:t>
      </w:r>
      <w:r w:rsidR="00674AEA" w:rsidRPr="00DE567D">
        <w:rPr>
          <w:rFonts w:cs="Times New Roman"/>
          <w:color w:val="FF0000"/>
        </w:rPr>
        <w:t xml:space="preserve">According to </w:t>
      </w:r>
      <w:r w:rsidR="00674AEA" w:rsidRPr="00DE567D">
        <w:rPr>
          <w:rFonts w:cs="Times New Roman" w:hint="eastAsia"/>
          <w:color w:val="FF0000"/>
        </w:rPr>
        <w:t>the</w:t>
      </w:r>
      <w:r w:rsidR="00674AEA" w:rsidRPr="00DE567D">
        <w:rPr>
          <w:rFonts w:cs="Times New Roman"/>
          <w:color w:val="FF0000"/>
        </w:rPr>
        <w:t xml:space="preserve"> literature review in section 2.7.1, A UCC system usually contains five different kind of stakeholders: suppliers, </w:t>
      </w:r>
      <w:r w:rsidR="00674AEA" w:rsidRPr="00DE567D">
        <w:rPr>
          <w:rFonts w:cs="Times New Roman" w:hint="eastAsia"/>
          <w:color w:val="FF0000"/>
        </w:rPr>
        <w:t>LSPs</w:t>
      </w:r>
      <w:r w:rsidR="00674AEA" w:rsidRPr="00DE567D">
        <w:rPr>
          <w:rFonts w:cs="Times New Roman"/>
          <w:color w:val="FF0000"/>
        </w:rPr>
        <w:t xml:space="preserve"> (LHCs and local carrier), UCC operators, receivers</w:t>
      </w:r>
      <w:r w:rsidR="005137E5" w:rsidRPr="00DE567D">
        <w:rPr>
          <w:rFonts w:cs="Times New Roman"/>
          <w:color w:val="FF0000"/>
        </w:rPr>
        <w:t xml:space="preserve"> (customers located in the urban area)</w:t>
      </w:r>
      <w:r w:rsidR="00674AEA" w:rsidRPr="00DE567D">
        <w:rPr>
          <w:rFonts w:cs="Times New Roman"/>
          <w:color w:val="FF0000"/>
        </w:rPr>
        <w:t xml:space="preserve">, and LAs. </w:t>
      </w:r>
      <w:r w:rsidR="00DE567D" w:rsidRPr="00DE567D">
        <w:rPr>
          <w:rFonts w:cs="Times New Roman"/>
          <w:color w:val="FF0000"/>
        </w:rPr>
        <w:t xml:space="preserve">As the section 2.7.5.1 reveals that the prevalent cost payment mechanism of UCC </w:t>
      </w:r>
      <w:r>
        <w:rPr>
          <w:rFonts w:cs="Times New Roman"/>
          <w:color w:val="FF0000"/>
        </w:rPr>
        <w:t xml:space="preserve">only </w:t>
      </w:r>
      <w:r w:rsidR="00DE567D" w:rsidRPr="00DE567D">
        <w:rPr>
          <w:rFonts w:cs="Times New Roman"/>
          <w:color w:val="FF0000"/>
        </w:rPr>
        <w:t xml:space="preserve">requires LAs to </w:t>
      </w:r>
      <w:r w:rsidR="00B5441F">
        <w:rPr>
          <w:rFonts w:cs="Times New Roman"/>
          <w:color w:val="FF0000"/>
        </w:rPr>
        <w:t>pay</w:t>
      </w:r>
      <w:r w:rsidR="00DE567D" w:rsidRPr="00DE567D">
        <w:rPr>
          <w:rFonts w:cs="Times New Roman"/>
          <w:color w:val="FF0000"/>
        </w:rPr>
        <w:t xml:space="preserve"> the</w:t>
      </w:r>
      <w:r w:rsidR="00B5441F">
        <w:rPr>
          <w:rFonts w:cs="Times New Roman"/>
          <w:color w:val="FF0000"/>
        </w:rPr>
        <w:t xml:space="preserve"> entire</w:t>
      </w:r>
      <w:r w:rsidR="00DE567D" w:rsidRPr="00DE567D">
        <w:rPr>
          <w:rFonts w:cs="Times New Roman"/>
          <w:color w:val="FF0000"/>
        </w:rPr>
        <w:t xml:space="preserve"> cost of UCC,</w:t>
      </w:r>
      <w:r w:rsidR="00B5441F">
        <w:rPr>
          <w:rFonts w:cs="Times New Roman"/>
          <w:color w:val="FF0000"/>
        </w:rPr>
        <w:t xml:space="preserve"> </w:t>
      </w:r>
      <w:r w:rsidR="00B5441F">
        <w:rPr>
          <w:rFonts w:cs="Times New Roman" w:hint="eastAsia"/>
          <w:color w:val="FF0000"/>
        </w:rPr>
        <w:t>h</w:t>
      </w:r>
      <w:r w:rsidR="00DE567D" w:rsidRPr="00DE567D">
        <w:rPr>
          <w:rFonts w:cs="Times New Roman"/>
          <w:color w:val="FF0000"/>
        </w:rPr>
        <w:t xml:space="preserve">owever, the other stakeholders do not undertake </w:t>
      </w:r>
      <w:r w:rsidR="00193462">
        <w:rPr>
          <w:rFonts w:cs="Times New Roman"/>
          <w:color w:val="FF0000"/>
        </w:rPr>
        <w:t>UCC’s</w:t>
      </w:r>
      <w:r w:rsidR="00DE567D" w:rsidRPr="00DE567D">
        <w:rPr>
          <w:rFonts w:cs="Times New Roman"/>
          <w:color w:val="FF0000"/>
        </w:rPr>
        <w:t xml:space="preserve"> financial responsibility. Consequently, </w:t>
      </w:r>
      <w:r w:rsidR="00B5441F">
        <w:rPr>
          <w:rFonts w:cs="Times New Roman" w:hint="eastAsia"/>
          <w:color w:val="FF0000"/>
        </w:rPr>
        <w:t>LAs</w:t>
      </w:r>
      <w:r w:rsidR="00B5441F">
        <w:rPr>
          <w:rFonts w:cs="Times New Roman"/>
          <w:color w:val="FF0000"/>
        </w:rPr>
        <w:t xml:space="preserve">’ </w:t>
      </w:r>
      <w:r w:rsidR="00B5441F" w:rsidRPr="00DE567D">
        <w:rPr>
          <w:rFonts w:cs="Times New Roman"/>
          <w:color w:val="FF0000"/>
        </w:rPr>
        <w:t xml:space="preserve">financial burdens </w:t>
      </w:r>
      <w:r w:rsidR="00B5441F">
        <w:rPr>
          <w:rFonts w:cs="Times New Roman"/>
          <w:color w:val="FF0000"/>
        </w:rPr>
        <w:t xml:space="preserve">will be increase </w:t>
      </w:r>
      <w:r>
        <w:rPr>
          <w:rFonts w:cs="Times New Roman"/>
          <w:color w:val="FF0000"/>
        </w:rPr>
        <w:t xml:space="preserve">because of </w:t>
      </w:r>
      <w:r>
        <w:rPr>
          <w:rFonts w:cs="Times New Roman" w:hint="eastAsia"/>
          <w:color w:val="FF0000"/>
        </w:rPr>
        <w:t>supporting</w:t>
      </w:r>
      <w:r w:rsidR="00B5441F">
        <w:rPr>
          <w:rFonts w:cs="Times New Roman"/>
          <w:color w:val="FF0000"/>
        </w:rPr>
        <w:t xml:space="preserve"> the UCC project</w:t>
      </w:r>
      <w:r>
        <w:rPr>
          <w:rFonts w:cs="Times New Roman" w:hint="eastAsia"/>
          <w:color w:val="FF0000"/>
        </w:rPr>
        <w:t>.</w:t>
      </w:r>
      <w:r w:rsidR="00B5441F">
        <w:rPr>
          <w:rFonts w:cs="Times New Roman"/>
          <w:color w:val="FF0000"/>
        </w:rPr>
        <w:t xml:space="preserve"> </w:t>
      </w:r>
      <w:r>
        <w:rPr>
          <w:rFonts w:cs="Times New Roman"/>
          <w:color w:val="FF0000"/>
        </w:rPr>
        <w:t>I</w:t>
      </w:r>
      <w:r w:rsidR="00DE567D" w:rsidRPr="00DE567D">
        <w:rPr>
          <w:rFonts w:cs="Times New Roman"/>
          <w:color w:val="FF0000"/>
        </w:rPr>
        <w:t xml:space="preserve">f the public funding is exhausted, the UCC project </w:t>
      </w:r>
      <w:proofErr w:type="gramStart"/>
      <w:r w:rsidR="00DE567D" w:rsidRPr="00DE567D">
        <w:rPr>
          <w:rFonts w:cs="Times New Roman"/>
          <w:color w:val="FF0000"/>
        </w:rPr>
        <w:t>have to</w:t>
      </w:r>
      <w:proofErr w:type="gramEnd"/>
      <w:r w:rsidR="00DE567D" w:rsidRPr="00DE567D">
        <w:rPr>
          <w:rFonts w:cs="Times New Roman"/>
          <w:color w:val="FF0000"/>
        </w:rPr>
        <w:t xml:space="preserve"> be terminated. </w:t>
      </w:r>
      <w:r w:rsidR="005137E5" w:rsidRPr="00DE567D">
        <w:rPr>
          <w:rFonts w:cs="Times New Roman"/>
          <w:color w:val="FF0000"/>
        </w:rPr>
        <w:t xml:space="preserve">In the new cost sharing mechanism of this thesis, </w:t>
      </w:r>
      <w:r w:rsidR="00B5441F">
        <w:rPr>
          <w:rFonts w:cs="Times New Roman"/>
          <w:color w:val="FF0000"/>
        </w:rPr>
        <w:t xml:space="preserve">all </w:t>
      </w:r>
      <w:r w:rsidR="005137E5" w:rsidRPr="00DE567D">
        <w:rPr>
          <w:rFonts w:cs="Times New Roman"/>
          <w:color w:val="FF0000"/>
        </w:rPr>
        <w:t xml:space="preserve">the above stakeholders are required to undertake the UCC cost together </w:t>
      </w:r>
      <w:r w:rsidR="00D67870" w:rsidRPr="00DE567D">
        <w:rPr>
          <w:rFonts w:cs="Times New Roman"/>
          <w:color w:val="FF0000"/>
        </w:rPr>
        <w:t>to</w:t>
      </w:r>
      <w:r w:rsidR="005137E5" w:rsidRPr="00DE567D">
        <w:rPr>
          <w:rFonts w:cs="Times New Roman"/>
          <w:color w:val="FF0000"/>
        </w:rPr>
        <w:t xml:space="preserve"> promote the financial sustainability of UCC. </w:t>
      </w:r>
      <w:r w:rsidR="00D84B18" w:rsidRPr="00DE567D">
        <w:rPr>
          <w:rFonts w:cs="Times New Roman"/>
          <w:color w:val="FF0000"/>
        </w:rPr>
        <w:t xml:space="preserve">Specifically, the additional involved stakeholders are suppliers, which originate the flows of goods through their manufacturing processes; LHCs, which take care of transporting such flows of goods; and </w:t>
      </w:r>
      <w:r w:rsidR="00C70604">
        <w:rPr>
          <w:rFonts w:cs="Times New Roman"/>
          <w:color w:val="FF0000"/>
        </w:rPr>
        <w:t>c</w:t>
      </w:r>
      <w:r w:rsidR="00D84B18" w:rsidRPr="00DE567D">
        <w:rPr>
          <w:rFonts w:cs="Times New Roman"/>
          <w:color w:val="FF0000"/>
        </w:rPr>
        <w:t>ustomers, whose demand for goods can be seen as the ultimate reason for the activation of such logistical flows.</w:t>
      </w:r>
      <w:r w:rsidR="00D84B18" w:rsidRPr="002573D6">
        <w:rPr>
          <w:rFonts w:cs="Times New Roman"/>
          <w:color w:val="FF0000"/>
        </w:rPr>
        <w:t xml:space="preserve"> </w:t>
      </w:r>
      <w:r w:rsidR="00DE567D" w:rsidRPr="002573D6">
        <w:rPr>
          <w:rFonts w:cs="Times New Roman"/>
          <w:color w:val="FF0000"/>
        </w:rPr>
        <w:t>For the purpose to successfully engage these stakeholders</w:t>
      </w:r>
      <w:r w:rsidR="00D67870">
        <w:rPr>
          <w:rFonts w:cs="Times New Roman"/>
          <w:color w:val="FF0000"/>
        </w:rPr>
        <w:t xml:space="preserve"> in the coalition</w:t>
      </w:r>
      <w:r w:rsidR="00DE567D" w:rsidRPr="002573D6">
        <w:rPr>
          <w:rFonts w:cs="Times New Roman"/>
          <w:color w:val="FF0000"/>
        </w:rPr>
        <w:t xml:space="preserve">, </w:t>
      </w:r>
      <w:r w:rsidR="009901D5" w:rsidRPr="00DE567D">
        <w:rPr>
          <w:rFonts w:cs="Times New Roman"/>
          <w:color w:val="FF0000"/>
        </w:rPr>
        <w:t xml:space="preserve">it is essential to justify that involving a wide set of stakeholders </w:t>
      </w:r>
      <w:r w:rsidR="00BB7D31">
        <w:rPr>
          <w:rFonts w:cs="Times New Roman"/>
          <w:color w:val="FF0000"/>
        </w:rPr>
        <w:t xml:space="preserve">for </w:t>
      </w:r>
      <w:r w:rsidR="009901D5" w:rsidRPr="00DE567D">
        <w:rPr>
          <w:rFonts w:cs="Times New Roman"/>
          <w:color w:val="FF0000"/>
        </w:rPr>
        <w:t>sharing the UCC’s cost together.</w:t>
      </w:r>
    </w:p>
    <w:p w14:paraId="71404BAD" w14:textId="3711EAC8" w:rsidR="005137E5" w:rsidRPr="002573D6" w:rsidRDefault="00357B8E" w:rsidP="002573D6">
      <w:pPr>
        <w:pStyle w:val="Heading4"/>
        <w:spacing w:after="0" w:line="360" w:lineRule="auto"/>
        <w:rPr>
          <w:rStyle w:val="fontstyle01"/>
          <w:rFonts w:ascii="Times New Roman" w:hAnsi="Times New Roman" w:cs="Times New Roman"/>
          <w:color w:val="auto"/>
        </w:rPr>
      </w:pPr>
      <w:r w:rsidRPr="002573D6">
        <w:rPr>
          <w:rStyle w:val="fontstyle01"/>
          <w:rFonts w:ascii="Times New Roman" w:hAnsi="Times New Roman" w:cs="Times New Roman" w:hint="eastAsia"/>
          <w:color w:val="auto"/>
        </w:rPr>
        <w:lastRenderedPageBreak/>
        <w:t>T</w:t>
      </w:r>
      <w:r w:rsidRPr="002573D6">
        <w:rPr>
          <w:rStyle w:val="fontstyle01"/>
          <w:rFonts w:ascii="Times New Roman" w:hAnsi="Times New Roman" w:cs="Times New Roman"/>
          <w:color w:val="auto"/>
        </w:rPr>
        <w:t>heoretical justification</w:t>
      </w:r>
    </w:p>
    <w:p w14:paraId="2026CE24" w14:textId="77777777" w:rsidR="00357B8E" w:rsidRPr="008C3456" w:rsidRDefault="00357B8E" w:rsidP="00357B8E">
      <w:pPr>
        <w:spacing w:after="240" w:line="360" w:lineRule="auto"/>
        <w:rPr>
          <w:rStyle w:val="fontstyle01"/>
          <w:rFonts w:ascii="Times New Roman" w:hAnsi="Times New Roman" w:cs="Times New Roman"/>
          <w:color w:val="FF0000"/>
        </w:rPr>
      </w:pPr>
      <w:r w:rsidRPr="008C3456">
        <w:rPr>
          <w:rStyle w:val="fontstyle01"/>
          <w:rFonts w:ascii="Times New Roman" w:hAnsi="Times New Roman" w:cs="Times New Roman"/>
          <w:color w:val="FF0000"/>
        </w:rPr>
        <w:t xml:space="preserve">From a theoretical standpoint, the legitimacy of involving suppliers into cost allocation mechanisms in UCC networks can be derived from an Extended Producer Responsibility (EPR) view. EPR requires producers’ responsibility to be extended to the life cycle of a product. Specifically, goods producers should take responsibility for all the environmental impacts and externalities associated with the product’s service life, also including end-of-life options </w:t>
      </w:r>
      <w:r w:rsidRPr="008C3456">
        <w:rPr>
          <w:rStyle w:val="fontstyle01"/>
          <w:rFonts w:ascii="Times New Roman" w:hAnsi="Times New Roman" w:cs="Times New Roman"/>
          <w:color w:val="FF0000"/>
        </w:rPr>
        <w:fldChar w:fldCharType="begin"/>
      </w:r>
      <w:r w:rsidRPr="008C3456">
        <w:rPr>
          <w:rStyle w:val="fontstyle01"/>
          <w:rFonts w:ascii="Times New Roman" w:hAnsi="Times New Roman" w:cs="Times New Roman"/>
          <w:color w:val="FF0000"/>
        </w:rPr>
        <w:instrText xml:space="preserve"> ADDIN EN.CITE &lt;EndNote&gt;&lt;Cite&gt;&lt;Author&gt;Lindhqvist&lt;/Author&gt;&lt;Year&gt;2003&lt;/Year&gt;&lt;RecNum&gt;235&lt;/RecNum&gt;&lt;DisplayText&gt;(Lindhqvist and Lifset, 2003)&lt;/DisplayText&gt;&lt;record&gt;&lt;rec-number&gt;235&lt;/rec-number&gt;&lt;foreign-keys&gt;&lt;key app="EN" db-id="x5etaz5aiszvz0edasvvpwvotttxepvd25t2" timestamp="1611177411"&gt;235&lt;/key&gt;&lt;/foreign-keys&gt;&lt;ref-type name="Journal Article"&gt;17&lt;/ref-type&gt;&lt;contributors&gt;&lt;authors&gt;&lt;author&gt;Lindhqvist, Thomas&lt;/author&gt;&lt;author&gt;Lifset, Reid&lt;/author&gt;&lt;/authors&gt;&lt;/contributors&gt;&lt;titles&gt;&lt;title&gt;Can we take the concept of individual producer responsibility from theory to practice?&lt;/title&gt;&lt;secondary-title&gt;Journal of industrial ecology&lt;/secondary-title&gt;&lt;/titles&gt;&lt;periodical&gt;&lt;full-title&gt;Journal of industrial ecology&lt;/full-title&gt;&lt;/periodical&gt;&lt;pages&gt;3-6&lt;/pages&gt;&lt;volume&gt;7&lt;/volume&gt;&lt;number&gt;2&lt;/number&gt;&lt;dates&gt;&lt;year&gt;2003&lt;/year&gt;&lt;/dates&gt;&lt;isbn&gt;1088-1980&lt;/isbn&gt;&lt;urls&gt;&lt;/urls&gt;&lt;/record&gt;&lt;/Cite&gt;&lt;/EndNote&gt;</w:instrText>
      </w:r>
      <w:r w:rsidRPr="008C3456">
        <w:rPr>
          <w:rStyle w:val="fontstyle01"/>
          <w:rFonts w:ascii="Times New Roman" w:hAnsi="Times New Roman" w:cs="Times New Roman"/>
          <w:color w:val="FF0000"/>
        </w:rPr>
        <w:fldChar w:fldCharType="separate"/>
      </w:r>
      <w:r w:rsidRPr="008C3456">
        <w:rPr>
          <w:rStyle w:val="fontstyle01"/>
          <w:rFonts w:ascii="Times New Roman" w:hAnsi="Times New Roman" w:cs="Times New Roman"/>
          <w:noProof/>
          <w:color w:val="FF0000"/>
        </w:rPr>
        <w:t>(Lindhqvist and Lifset, 2003)</w:t>
      </w:r>
      <w:r w:rsidRPr="008C3456">
        <w:rPr>
          <w:rStyle w:val="fontstyle01"/>
          <w:rFonts w:ascii="Times New Roman" w:hAnsi="Times New Roman" w:cs="Times New Roman"/>
          <w:color w:val="FF0000"/>
        </w:rPr>
        <w:fldChar w:fldCharType="end"/>
      </w:r>
      <w:r w:rsidRPr="008C3456">
        <w:rPr>
          <w:rStyle w:val="fontstyle01"/>
          <w:rFonts w:ascii="Times New Roman" w:hAnsi="Times New Roman" w:cs="Times New Roman"/>
          <w:color w:val="FF0000"/>
        </w:rPr>
        <w:t xml:space="preserve">; </w:t>
      </w:r>
      <w:r w:rsidRPr="008C3456">
        <w:rPr>
          <w:rStyle w:val="fontstyle01"/>
          <w:rFonts w:ascii="Times New Roman" w:hAnsi="Times New Roman" w:cs="Times New Roman"/>
          <w:noProof/>
          <w:color w:val="FF0000"/>
        </w:rPr>
        <w:t xml:space="preserve">the usage of </w:t>
      </w:r>
      <w:r w:rsidRPr="008C3456">
        <w:rPr>
          <w:rStyle w:val="fontstyle01"/>
          <w:rFonts w:ascii="Times New Roman" w:hAnsi="Times New Roman" w:cs="Times New Roman"/>
          <w:color w:val="FF0000"/>
        </w:rPr>
        <w:t xml:space="preserve">EPR schemes represents a policy which can mitigate the negative environmental and social impacts arising from production activities </w:t>
      </w:r>
      <w:r w:rsidRPr="008C3456">
        <w:rPr>
          <w:rStyle w:val="fontstyle01"/>
          <w:rFonts w:ascii="Times New Roman" w:hAnsi="Times New Roman" w:cs="Times New Roman"/>
          <w:color w:val="FF0000"/>
        </w:rPr>
        <w:fldChar w:fldCharType="begin"/>
      </w:r>
      <w:r w:rsidRPr="008C3456">
        <w:rPr>
          <w:rStyle w:val="fontstyle01"/>
          <w:rFonts w:ascii="Times New Roman" w:hAnsi="Times New Roman" w:cs="Times New Roman"/>
          <w:color w:val="FF0000"/>
        </w:rPr>
        <w:instrText xml:space="preserve"> ADDIN EN.CITE &lt;EndNote&gt;&lt;Cite&gt;&lt;Author&gt;Spicer&lt;/Author&gt;&lt;Year&gt;2004&lt;/Year&gt;&lt;RecNum&gt;236&lt;/RecNum&gt;&lt;DisplayText&gt;(Spicer and Johnson, 2004)&lt;/DisplayText&gt;&lt;record&gt;&lt;rec-number&gt;236&lt;/rec-number&gt;&lt;foreign-keys&gt;&lt;key app="EN" db-id="x5etaz5aiszvz0edasvvpwvotttxepvd25t2" timestamp="1611177411"&gt;236&lt;/key&gt;&lt;/foreign-keys&gt;&lt;ref-type name="Journal Article"&gt;17&lt;/ref-type&gt;&lt;contributors&gt;&lt;authors&gt;&lt;author&gt;Spicer, A. J.&lt;/author&gt;&lt;author&gt;Johnson, M. R.&lt;/author&gt;&lt;/authors&gt;&lt;/contributors&gt;&lt;titles&gt;&lt;title&gt;Third-party demanufacturing as a solution for extended producer responsibility&lt;/title&gt;&lt;secondary-title&gt;Journal of Cleaner Production&lt;/secondary-title&gt;&lt;/titles&gt;&lt;periodical&gt;&lt;full-title&gt;Journal of Cleaner Production&lt;/full-title&gt;&lt;/periodical&gt;&lt;pages&gt;37-45&lt;/pages&gt;&lt;volume&gt;12&lt;/volume&gt;&lt;number&gt;1&lt;/number&gt;&lt;keywords&gt;&lt;keyword&gt;Extended producer responsibility&lt;/keyword&gt;&lt;keyword&gt;Reverse logistics&lt;/keyword&gt;&lt;keyword&gt;Recycling&lt;/keyword&gt;&lt;keyword&gt;Demanufacturing&lt;/keyword&gt;&lt;keyword&gt;Internet&lt;/keyword&gt;&lt;/keywords&gt;&lt;dates&gt;&lt;year&gt;2004&lt;/year&gt;&lt;pub-dates&gt;&lt;date&gt;2004/02/01/&lt;/date&gt;&lt;/pub-dates&gt;&lt;/dates&gt;&lt;isbn&gt;0959-6526&lt;/isbn&gt;&lt;urls&gt;&lt;related-urls&gt;&lt;url&gt;http://www.sciencedirect.com/science/article/pii/S0959652602001828&lt;/url&gt;&lt;/related-urls&gt;&lt;/urls&gt;&lt;electronic-resource-num&gt;https://doi.org/10.1016/S0959-6526(02)00182-8&lt;/electronic-resource-num&gt;&lt;/record&gt;&lt;/Cite&gt;&lt;/EndNote&gt;</w:instrText>
      </w:r>
      <w:r w:rsidRPr="008C3456">
        <w:rPr>
          <w:rStyle w:val="fontstyle01"/>
          <w:rFonts w:ascii="Times New Roman" w:hAnsi="Times New Roman" w:cs="Times New Roman"/>
          <w:color w:val="FF0000"/>
        </w:rPr>
        <w:fldChar w:fldCharType="separate"/>
      </w:r>
      <w:r w:rsidRPr="008C3456">
        <w:rPr>
          <w:rStyle w:val="fontstyle01"/>
          <w:rFonts w:ascii="Times New Roman" w:hAnsi="Times New Roman" w:cs="Times New Roman"/>
          <w:noProof/>
          <w:color w:val="FF0000"/>
        </w:rPr>
        <w:t>(Spicer and Johnson, 2004)</w:t>
      </w:r>
      <w:r w:rsidRPr="008C3456">
        <w:rPr>
          <w:rStyle w:val="fontstyle01"/>
          <w:rFonts w:ascii="Times New Roman" w:hAnsi="Times New Roman" w:cs="Times New Roman"/>
          <w:color w:val="FF0000"/>
        </w:rPr>
        <w:fldChar w:fldCharType="end"/>
      </w:r>
      <w:r w:rsidRPr="008C3456">
        <w:rPr>
          <w:rStyle w:val="fontstyle01"/>
          <w:rFonts w:ascii="Times New Roman" w:hAnsi="Times New Roman" w:cs="Times New Roman"/>
          <w:color w:val="FF0000"/>
        </w:rPr>
        <w:t xml:space="preserve">. Based on the </w:t>
      </w:r>
      <w:r w:rsidRPr="008C3456">
        <w:rPr>
          <w:rStyle w:val="fontstyle01"/>
          <w:rFonts w:ascii="Times New Roman" w:hAnsi="Times New Roman" w:cs="Times New Roman"/>
          <w:noProof/>
          <w:color w:val="FF0000"/>
        </w:rPr>
        <w:t>above-mentioned principles, it is reasonable for producers to take responsibility for logistical activities related to the distribution of their products; logistical processes, indeed, represent a key segment in the life cycle of the products.</w:t>
      </w:r>
      <w:r w:rsidRPr="008C3456">
        <w:rPr>
          <w:rStyle w:val="fontstyle01"/>
          <w:rFonts w:ascii="Times New Roman" w:hAnsi="Times New Roman" w:cs="Times New Roman"/>
          <w:color w:val="FF0000"/>
        </w:rPr>
        <w:t xml:space="preserve"> Coherently, according to such view, suppliers can be required to mitigate the negative environmental and social effects caused by goods transportation; the participation to the functioning of UCC schemes can be seen </w:t>
      </w:r>
      <w:proofErr w:type="gramStart"/>
      <w:r w:rsidRPr="008C3456">
        <w:rPr>
          <w:rStyle w:val="fontstyle01"/>
          <w:rFonts w:ascii="Times New Roman" w:hAnsi="Times New Roman" w:cs="Times New Roman"/>
          <w:color w:val="FF0000"/>
        </w:rPr>
        <w:t>as a way to</w:t>
      </w:r>
      <w:proofErr w:type="gramEnd"/>
      <w:r w:rsidRPr="008C3456">
        <w:rPr>
          <w:rStyle w:val="fontstyle01"/>
          <w:rFonts w:ascii="Times New Roman" w:hAnsi="Times New Roman" w:cs="Times New Roman"/>
          <w:color w:val="FF0000"/>
        </w:rPr>
        <w:t xml:space="preserve"> implement such logic. </w:t>
      </w:r>
    </w:p>
    <w:p w14:paraId="0BBEF4C7" w14:textId="11C4E8AB" w:rsidR="00357B8E" w:rsidRPr="008C3456" w:rsidRDefault="00357B8E" w:rsidP="00357B8E">
      <w:pPr>
        <w:spacing w:after="240" w:line="360" w:lineRule="auto"/>
        <w:rPr>
          <w:rStyle w:val="fontstyle01"/>
          <w:rFonts w:ascii="Times New Roman" w:hAnsi="Times New Roman" w:cs="Times New Roman"/>
          <w:color w:val="FF0000"/>
        </w:rPr>
      </w:pPr>
      <w:r w:rsidRPr="008C3456">
        <w:rPr>
          <w:rStyle w:val="fontstyle01"/>
          <w:rFonts w:ascii="Times New Roman" w:hAnsi="Times New Roman" w:cs="Times New Roman"/>
          <w:color w:val="FF0000"/>
        </w:rPr>
        <w:t xml:space="preserve">A similar argument can be employed for the involvement of LHCs. Typically, LHCs contribute to UCC operations as such facilities merge goods from different carriers and deliver them to the final customers in the urban area. Again, this participation in costs of UCCs can be seen </w:t>
      </w:r>
      <w:proofErr w:type="gramStart"/>
      <w:r w:rsidRPr="008C3456">
        <w:rPr>
          <w:rStyle w:val="fontstyle01"/>
          <w:rFonts w:ascii="Times New Roman" w:hAnsi="Times New Roman" w:cs="Times New Roman"/>
          <w:color w:val="FF0000"/>
        </w:rPr>
        <w:t>as a way to</w:t>
      </w:r>
      <w:proofErr w:type="gramEnd"/>
      <w:r w:rsidRPr="008C3456">
        <w:rPr>
          <w:rStyle w:val="fontstyle01"/>
          <w:rFonts w:ascii="Times New Roman" w:hAnsi="Times New Roman" w:cs="Times New Roman"/>
          <w:color w:val="FF0000"/>
        </w:rPr>
        <w:t xml:space="preserve"> ask LHCs to be accountable for the detrimental effects (on the environmental dimension) of their activities. Also, participation in UCCs can be beneficial for intercity shippers, as delivery consolidation can lead to short travelling times and efficiency improvements through off-peak deliveries goods into UCCs; also, thanks to UCCs, LHCs can avoid dealing with the intricacies of last-mile deliveries (such as time-windows or traffic restrictions). On this basis, it seems reasonable to ask LHCs to participate in cost-sharing schemes for the functioning of UCCs.</w:t>
      </w:r>
    </w:p>
    <w:p w14:paraId="35667317" w14:textId="367E860A" w:rsidR="00357B8E" w:rsidRPr="00357B8E" w:rsidRDefault="00357B8E" w:rsidP="00357B8E">
      <w:pPr>
        <w:spacing w:after="240" w:line="360" w:lineRule="auto"/>
        <w:rPr>
          <w:rFonts w:cs="Times New Roman"/>
          <w:color w:val="FF0000"/>
          <w:szCs w:val="24"/>
        </w:rPr>
      </w:pPr>
      <w:r w:rsidRPr="008C3456">
        <w:rPr>
          <w:rStyle w:val="fontstyle01"/>
          <w:rFonts w:ascii="Times New Roman" w:hAnsi="Times New Roman" w:cs="Times New Roman"/>
          <w:color w:val="FF0000"/>
        </w:rPr>
        <w:t xml:space="preserve">From a theoretical standpoint, the legitimacy of involving customers into cost allocation mechanisms in UCC networks can be derived from an Extended Customer Responsibility (ECR) view </w:t>
      </w:r>
      <w:r w:rsidRPr="008C3456">
        <w:rPr>
          <w:rStyle w:val="fontstyle01"/>
          <w:rFonts w:ascii="Times New Roman" w:hAnsi="Times New Roman" w:cs="Times New Roman"/>
          <w:color w:val="FF0000"/>
        </w:rPr>
        <w:fldChar w:fldCharType="begin"/>
      </w:r>
      <w:r w:rsidRPr="008C3456">
        <w:rPr>
          <w:rStyle w:val="fontstyle01"/>
          <w:rFonts w:ascii="Times New Roman" w:hAnsi="Times New Roman" w:cs="Times New Roman"/>
          <w:color w:val="FF0000"/>
        </w:rPr>
        <w:instrText xml:space="preserve"> ADDIN EN.CITE &lt;EndNote&gt;&lt;Cite&gt;&lt;Author&gt;Sheu&lt;/Author&gt;&lt;Year&gt;2019&lt;/Year&gt;&lt;RecNum&gt;237&lt;/RecNum&gt;&lt;DisplayText&gt;(Sheu and Choi, 2019)&lt;/DisplayText&gt;&lt;record&gt;&lt;rec-number&gt;237&lt;/rec-number&gt;&lt;foreign-keys&gt;&lt;key app="EN" db-id="x5etaz5aiszvz0edasvvpwvotttxepvd25t2" timestamp="1611177411"&gt;237&lt;/key&gt;&lt;/foreign-keys&gt;&lt;ref-type name="Journal Article"&gt;17&lt;/ref-type&gt;&lt;contributors&gt;&lt;authors&gt;&lt;author&gt;Sheu, Jiuh-Biing&lt;/author&gt;&lt;author&gt;Choi, Tsan-Ming&lt;/author&gt;&lt;/authors&gt;&lt;/contributors&gt;&lt;titles&gt;&lt;title&gt;Extended consumer responsibility: Syncretic value-oriented pricing strategies for trade-in-for-upgrade programs&lt;/title&gt;&lt;secondary-title&gt;Transportation Research Part E: Logistics and Transportation Review&lt;/secondary-title&gt;&lt;/titles&gt;&lt;periodical&gt;&lt;full-title&gt;Transportation Research Part E: Logistics and Transportation Review&lt;/full-title&gt;&lt;abbr-1&gt;Transp. Res. Part E Logist. Transp. Rev.&lt;/abbr-1&gt;&lt;/periodical&gt;&lt;pages&gt;350-367&lt;/pages&gt;&lt;volume&gt;122&lt;/volume&gt;&lt;keywords&gt;&lt;keyword&gt;Multi-methodological research&lt;/keyword&gt;&lt;keyword&gt;Trade-in-for-upgrade programs&lt;/keyword&gt;&lt;keyword&gt;Syncretic value orientation&lt;/keyword&gt;&lt;keyword&gt;Market competition&lt;/keyword&gt;&lt;keyword&gt;Extended consumer responsibility&lt;/keyword&gt;&lt;/keywords&gt;&lt;dates&gt;&lt;year&gt;2019&lt;/year&gt;&lt;pub-dates&gt;&lt;date&gt;2019/02/01/&lt;/date&gt;&lt;/pub-dates&gt;&lt;/dates&gt;&lt;isbn&gt;1366-5545&lt;/isbn&gt;&lt;urls&gt;&lt;related-urls&gt;&lt;url&gt;http://www.sciencedirect.com/science/article/pii/S1366554518309918&lt;/url&gt;&lt;/related-urls&gt;&lt;/urls&gt;&lt;electronic-resource-num&gt;https://doi.org/10.1016/j.tre.2018.12.016&lt;/electronic-resource-num&gt;&lt;/record&gt;&lt;/Cite&gt;&lt;/EndNote&gt;</w:instrText>
      </w:r>
      <w:r w:rsidRPr="008C3456">
        <w:rPr>
          <w:rStyle w:val="fontstyle01"/>
          <w:rFonts w:ascii="Times New Roman" w:hAnsi="Times New Roman" w:cs="Times New Roman"/>
          <w:color w:val="FF0000"/>
        </w:rPr>
        <w:fldChar w:fldCharType="separate"/>
      </w:r>
      <w:r w:rsidRPr="008C3456">
        <w:rPr>
          <w:rStyle w:val="fontstyle01"/>
          <w:rFonts w:ascii="Times New Roman" w:hAnsi="Times New Roman" w:cs="Times New Roman"/>
          <w:noProof/>
          <w:color w:val="FF0000"/>
        </w:rPr>
        <w:t>(Sheu and Choi, 2019)</w:t>
      </w:r>
      <w:r w:rsidRPr="008C3456">
        <w:rPr>
          <w:rStyle w:val="fontstyle01"/>
          <w:rFonts w:ascii="Times New Roman" w:hAnsi="Times New Roman" w:cs="Times New Roman"/>
          <w:color w:val="FF0000"/>
        </w:rPr>
        <w:fldChar w:fldCharType="end"/>
      </w:r>
      <w:r w:rsidRPr="008C3456">
        <w:rPr>
          <w:rStyle w:val="fontstyle01"/>
          <w:rFonts w:ascii="Times New Roman" w:hAnsi="Times New Roman" w:cs="Times New Roman"/>
          <w:color w:val="FF0000"/>
        </w:rPr>
        <w:t xml:space="preserve">. The idea of ECR is novel and can be described as the need for customers to take responsibility for the “societal harm” caused by the commodities or services they want to obtain. When ECR principles are implemented in the field of SUL, it calls customers to be responsible for the adverse effects, which are caused by the delivery processes of goods, or services they purchase. Extending such an idea to a UCC network, customers can be seen as the receivers of the final goods; their purchasing behaviour generates demand for </w:t>
      </w:r>
      <w:r w:rsidRPr="008C3456">
        <w:rPr>
          <w:rStyle w:val="fontstyle01"/>
          <w:rFonts w:ascii="Times New Roman" w:hAnsi="Times New Roman" w:cs="Times New Roman"/>
          <w:color w:val="FF0000"/>
        </w:rPr>
        <w:lastRenderedPageBreak/>
        <w:t xml:space="preserve">logistical activities, which leads to environmental and social issues. However, customers have significant potential in improving overall environmental performances of a supply chain through purchasing aggregation and consolidation </w:t>
      </w:r>
      <w:r w:rsidRPr="008C3456">
        <w:rPr>
          <w:rStyle w:val="fontstyle01"/>
          <w:rFonts w:ascii="Times New Roman" w:hAnsi="Times New Roman" w:cs="Times New Roman"/>
          <w:color w:val="FF0000"/>
        </w:rPr>
        <w:fldChar w:fldCharType="begin"/>
      </w:r>
      <w:r w:rsidRPr="008C3456">
        <w:rPr>
          <w:rStyle w:val="fontstyle01"/>
          <w:rFonts w:ascii="Times New Roman" w:hAnsi="Times New Roman" w:cs="Times New Roman"/>
          <w:color w:val="FF0000"/>
        </w:rPr>
        <w:instrText xml:space="preserve"> ADDIN EN.CITE &lt;EndNote&gt;&lt;Cite&gt;&lt;Author&gt;Vachon&lt;/Author&gt;&lt;Year&gt;2006&lt;/Year&gt;&lt;RecNum&gt;238&lt;/RecNum&gt;&lt;DisplayText&gt;(Vachon, 2006)&lt;/DisplayText&gt;&lt;record&gt;&lt;rec-number&gt;238&lt;/rec-number&gt;&lt;foreign-keys&gt;&lt;key app="EN" db-id="x5etaz5aiszvz0edasvvpwvotttxepvd25t2" timestamp="1611177411"&gt;238&lt;/key&gt;&lt;/foreign-keys&gt;&lt;ref-type name="Journal Article"&gt;17&lt;/ref-type&gt;&lt;contributors&gt;&lt;authors&gt;&lt;author&gt;Vachon, Stephan&lt;/author&gt;&lt;/authors&gt;&lt;secondary-authors&gt;&lt;author&gt;Klassen Robert, D.&lt;/author&gt;&lt;/secondary-authors&gt;&lt;/contributors&gt;&lt;titles&gt;&lt;title&gt;Extending green practices across the supply chain&lt;/title&gt;&lt;secondary-title&gt;International Journal of Operations &amp;amp;amp; Production Management&lt;/secondary-title&gt;&lt;/titles&gt;&lt;periodical&gt;&lt;full-title&gt;International Journal of Operations &amp;amp;amp; Production Management&lt;/full-title&gt;&lt;/periodical&gt;&lt;pages&gt;795-821&lt;/pages&gt;&lt;volume&gt;26&lt;/volume&gt;&lt;number&gt;7&lt;/number&gt;&lt;dates&gt;&lt;year&gt;2006&lt;/year&gt;&lt;/dates&gt;&lt;publisher&gt;Emerald Group Publishing Limited&lt;/publisher&gt;&lt;isbn&gt;0144-3577&lt;/isbn&gt;&lt;urls&gt;&lt;related-urls&gt;&lt;url&gt;https://doi.org/10.1108/01443570610672248&lt;/url&gt;&lt;/related-urls&gt;&lt;/urls&gt;&lt;electronic-resource-num&gt;10.1108/01443570610672248&lt;/electronic-resource-num&gt;&lt;access-date&gt;2019/11/22&lt;/access-date&gt;&lt;/record&gt;&lt;/Cite&gt;&lt;/EndNote&gt;</w:instrText>
      </w:r>
      <w:r w:rsidRPr="008C3456">
        <w:rPr>
          <w:rStyle w:val="fontstyle01"/>
          <w:rFonts w:ascii="Times New Roman" w:hAnsi="Times New Roman" w:cs="Times New Roman"/>
          <w:color w:val="FF0000"/>
        </w:rPr>
        <w:fldChar w:fldCharType="separate"/>
      </w:r>
      <w:r w:rsidRPr="008C3456">
        <w:rPr>
          <w:rStyle w:val="fontstyle01"/>
          <w:rFonts w:ascii="Times New Roman" w:hAnsi="Times New Roman" w:cs="Times New Roman"/>
          <w:noProof/>
          <w:color w:val="FF0000"/>
        </w:rPr>
        <w:t>(Vachon, 2006)</w:t>
      </w:r>
      <w:r w:rsidRPr="008C3456">
        <w:rPr>
          <w:rStyle w:val="fontstyle01"/>
          <w:rFonts w:ascii="Times New Roman" w:hAnsi="Times New Roman" w:cs="Times New Roman"/>
          <w:color w:val="FF0000"/>
        </w:rPr>
        <w:fldChar w:fldCharType="end"/>
      </w:r>
      <w:r w:rsidRPr="008C3456">
        <w:rPr>
          <w:rStyle w:val="fontstyle01"/>
          <w:rFonts w:ascii="Times New Roman" w:hAnsi="Times New Roman" w:cs="Times New Roman"/>
          <w:color w:val="FF0000"/>
        </w:rPr>
        <w:t>. Within such logic, and coherently to an ECR scheme, it can appear reasonable to ask customers to contribute to the functioning costs of UCCs, to alleviate the environmental consequences of logistical activities generated by their demand.</w:t>
      </w:r>
    </w:p>
    <w:p w14:paraId="75DF8033" w14:textId="40E4950E" w:rsidR="00D218D7" w:rsidRPr="002E4AD8" w:rsidRDefault="00D218D7" w:rsidP="002E4AD8">
      <w:pPr>
        <w:pStyle w:val="Heading4"/>
        <w:spacing w:after="0" w:line="360" w:lineRule="auto"/>
      </w:pPr>
      <w:r w:rsidRPr="002E4AD8">
        <w:rPr>
          <w:rStyle w:val="fontstyle01"/>
          <w:rFonts w:ascii="Times New Roman" w:hAnsi="Times New Roman" w:cs="Times New Roman" w:hint="eastAsia"/>
          <w:color w:val="auto"/>
        </w:rPr>
        <w:t>Cost</w:t>
      </w:r>
      <w:r w:rsidR="002E4AD8">
        <w:rPr>
          <w:rStyle w:val="fontstyle01"/>
          <w:rFonts w:ascii="Times New Roman" w:hAnsi="Times New Roman" w:cs="Times New Roman"/>
          <w:color w:val="auto"/>
        </w:rPr>
        <w:t>-</w:t>
      </w:r>
      <w:r w:rsidRPr="002E4AD8">
        <w:rPr>
          <w:rStyle w:val="fontstyle01"/>
          <w:rFonts w:ascii="Times New Roman" w:hAnsi="Times New Roman" w:cs="Times New Roman" w:hint="eastAsia"/>
          <w:color w:val="auto"/>
        </w:rPr>
        <w:t>sharing</w:t>
      </w:r>
      <w:r w:rsidRPr="002E4AD8">
        <w:rPr>
          <w:rStyle w:val="fontstyle01"/>
          <w:rFonts w:ascii="Times New Roman" w:hAnsi="Times New Roman" w:cs="Times New Roman"/>
          <w:color w:val="auto"/>
        </w:rPr>
        <w:t xml:space="preserve"> </w:t>
      </w:r>
      <w:r w:rsidRPr="002E4AD8">
        <w:rPr>
          <w:rStyle w:val="fontstyle01"/>
          <w:rFonts w:ascii="Times New Roman" w:hAnsi="Times New Roman" w:cs="Times New Roman" w:hint="eastAsia"/>
          <w:color w:val="auto"/>
        </w:rPr>
        <w:t>rules</w:t>
      </w:r>
    </w:p>
    <w:p w14:paraId="501ABCDD" w14:textId="36AD2F13" w:rsidR="003941DC" w:rsidRPr="0094397B" w:rsidRDefault="005C1367" w:rsidP="007A57F4">
      <w:pPr>
        <w:spacing w:after="240" w:line="360" w:lineRule="auto"/>
        <w:rPr>
          <w:color w:val="000000" w:themeColor="text1"/>
        </w:rPr>
      </w:pPr>
      <w:r w:rsidRPr="0094397B">
        <w:rPr>
          <w:color w:val="000000" w:themeColor="text1"/>
        </w:rPr>
        <w:t xml:space="preserve">The cost sharing principle used </w:t>
      </w:r>
      <w:r w:rsidR="005411EF" w:rsidRPr="0094397B">
        <w:rPr>
          <w:color w:val="000000" w:themeColor="text1"/>
        </w:rPr>
        <w:t xml:space="preserve">to share the cost of UCC </w:t>
      </w:r>
      <w:r w:rsidR="00803278" w:rsidRPr="0094397B">
        <w:rPr>
          <w:color w:val="000000" w:themeColor="text1"/>
        </w:rPr>
        <w:t>is der</w:t>
      </w:r>
      <w:r w:rsidR="000C6AEC" w:rsidRPr="0094397B">
        <w:rPr>
          <w:color w:val="000000" w:themeColor="text1"/>
        </w:rPr>
        <w:t xml:space="preserve">ived from the </w:t>
      </w:r>
      <w:r w:rsidR="00B22AC9" w:rsidRPr="0094397B">
        <w:rPr>
          <w:color w:val="000000" w:themeColor="text1"/>
        </w:rPr>
        <w:t xml:space="preserve">theories </w:t>
      </w:r>
      <w:r w:rsidR="000C6AEC" w:rsidRPr="0094397B">
        <w:rPr>
          <w:color w:val="000000" w:themeColor="text1"/>
        </w:rPr>
        <w:t>of Absolute Territorial Sovereignty (ATS) and Unlimited Territorial Integrity (UTI).</w:t>
      </w:r>
      <w:r w:rsidR="00B256AF" w:rsidRPr="0094397B">
        <w:rPr>
          <w:color w:val="000000" w:themeColor="text1"/>
        </w:rPr>
        <w:t xml:space="preserve"> </w:t>
      </w:r>
      <w:r w:rsidR="00DE4694" w:rsidRPr="0094397B">
        <w:rPr>
          <w:color w:val="000000" w:themeColor="text1"/>
        </w:rPr>
        <w:t>ATS</w:t>
      </w:r>
      <w:r w:rsidR="00DE56D1" w:rsidRPr="0094397B">
        <w:rPr>
          <w:color w:val="000000" w:themeColor="text1"/>
        </w:rPr>
        <w:t xml:space="preserve"> </w:t>
      </w:r>
      <w:bookmarkStart w:id="580" w:name="_Hlk65748058"/>
      <w:r w:rsidR="00DE56D1" w:rsidRPr="0094397B">
        <w:rPr>
          <w:color w:val="000000" w:themeColor="text1"/>
        </w:rPr>
        <w:t>theory</w:t>
      </w:r>
      <w:bookmarkEnd w:id="580"/>
      <w:r w:rsidR="00DE4694" w:rsidRPr="0094397B">
        <w:rPr>
          <w:color w:val="000000" w:themeColor="text1"/>
        </w:rPr>
        <w:t xml:space="preserve"> </w:t>
      </w:r>
      <w:r w:rsidR="00DE56D1" w:rsidRPr="0094397B">
        <w:rPr>
          <w:color w:val="000000" w:themeColor="text1"/>
        </w:rPr>
        <w:t>deem</w:t>
      </w:r>
      <w:r w:rsidR="00CC49EF" w:rsidRPr="0094397B">
        <w:rPr>
          <w:color w:val="000000" w:themeColor="text1"/>
        </w:rPr>
        <w:t>s</w:t>
      </w:r>
      <w:r w:rsidR="00DE4694" w:rsidRPr="0094397B">
        <w:rPr>
          <w:color w:val="000000" w:themeColor="text1"/>
        </w:rPr>
        <w:t xml:space="preserve"> that </w:t>
      </w:r>
      <w:r w:rsidR="00356F4D" w:rsidRPr="0094397B">
        <w:rPr>
          <w:color w:val="000000" w:themeColor="text1"/>
        </w:rPr>
        <w:t xml:space="preserve">a county </w:t>
      </w:r>
      <w:r w:rsidR="00EF0897" w:rsidRPr="0094397B">
        <w:rPr>
          <w:color w:val="000000" w:themeColor="text1"/>
        </w:rPr>
        <w:t>has</w:t>
      </w:r>
      <w:r w:rsidR="00356F4D" w:rsidRPr="0094397B">
        <w:rPr>
          <w:color w:val="000000" w:themeColor="text1"/>
        </w:rPr>
        <w:t xml:space="preserve"> the absolute sovereignty </w:t>
      </w:r>
      <w:r w:rsidR="003822AE" w:rsidRPr="0094397B">
        <w:rPr>
          <w:color w:val="000000" w:themeColor="text1"/>
        </w:rPr>
        <w:t xml:space="preserve">on the nature resources on its </w:t>
      </w:r>
      <w:r w:rsidR="00AA45AE" w:rsidRPr="0094397B">
        <w:rPr>
          <w:color w:val="000000" w:themeColor="text1"/>
        </w:rPr>
        <w:t>territory.</w:t>
      </w:r>
      <w:r w:rsidR="00EF0897" w:rsidRPr="0094397B">
        <w:rPr>
          <w:color w:val="000000" w:themeColor="text1"/>
        </w:rPr>
        <w:t xml:space="preserve"> This country is free to decide how to use these resources, without considering the impact on neighbouring countries. </w:t>
      </w:r>
      <w:r w:rsidR="00996DF0" w:rsidRPr="0094397B">
        <w:rPr>
          <w:color w:val="000000" w:themeColor="text1"/>
        </w:rPr>
        <w:t xml:space="preserve">On the other hand, </w:t>
      </w:r>
      <w:r w:rsidR="00941B84" w:rsidRPr="0094397B">
        <w:rPr>
          <w:color w:val="000000" w:themeColor="text1"/>
        </w:rPr>
        <w:t>UTI theory state</w:t>
      </w:r>
      <w:r w:rsidR="00CC49EF" w:rsidRPr="0094397B">
        <w:rPr>
          <w:color w:val="000000" w:themeColor="text1"/>
        </w:rPr>
        <w:t>s</w:t>
      </w:r>
      <w:r w:rsidR="00941B84" w:rsidRPr="0094397B">
        <w:rPr>
          <w:color w:val="000000" w:themeColor="text1"/>
        </w:rPr>
        <w:t xml:space="preserve"> that </w:t>
      </w:r>
      <w:r w:rsidR="005E74B1" w:rsidRPr="0094397B">
        <w:rPr>
          <w:color w:val="000000" w:themeColor="text1"/>
        </w:rPr>
        <w:t>a country should not arbitrarily alter nature conditions in its territory</w:t>
      </w:r>
      <w:r w:rsidR="006A5F86" w:rsidRPr="0094397B">
        <w:rPr>
          <w:color w:val="000000" w:themeColor="text1"/>
        </w:rPr>
        <w:t xml:space="preserve"> if such changes</w:t>
      </w:r>
      <w:r w:rsidR="005E74B1" w:rsidRPr="0094397B">
        <w:rPr>
          <w:color w:val="000000" w:themeColor="text1"/>
        </w:rPr>
        <w:t xml:space="preserve"> harm its neighbourhood countries.</w:t>
      </w:r>
      <w:r w:rsidR="00AF4F6E" w:rsidRPr="0094397B">
        <w:rPr>
          <w:color w:val="000000" w:themeColor="text1"/>
        </w:rPr>
        <w:t xml:space="preserve"> </w:t>
      </w:r>
      <w:r w:rsidR="00B75E2A" w:rsidRPr="0094397B">
        <w:rPr>
          <w:color w:val="000000" w:themeColor="text1"/>
        </w:rPr>
        <w:t>These two theories</w:t>
      </w:r>
      <w:r w:rsidR="000F7A42" w:rsidRPr="0094397B">
        <w:rPr>
          <w:color w:val="000000" w:themeColor="text1"/>
        </w:rPr>
        <w:t xml:space="preserve"> have been </w:t>
      </w:r>
      <w:r w:rsidR="00917682" w:rsidRPr="0094397B">
        <w:rPr>
          <w:color w:val="000000" w:themeColor="text1"/>
        </w:rPr>
        <w:t xml:space="preserve">originally </w:t>
      </w:r>
      <w:r w:rsidR="000F7A42" w:rsidRPr="0094397B">
        <w:rPr>
          <w:color w:val="000000" w:themeColor="text1"/>
        </w:rPr>
        <w:t xml:space="preserve">used for </w:t>
      </w:r>
      <w:r w:rsidR="00CA0D51" w:rsidRPr="0094397B">
        <w:rPr>
          <w:color w:val="000000" w:themeColor="text1"/>
        </w:rPr>
        <w:t>addressing the problem of sharing river water</w:t>
      </w:r>
      <w:r w:rsidR="00D8095C" w:rsidRPr="0094397B">
        <w:rPr>
          <w:color w:val="000000" w:themeColor="text1"/>
        </w:rPr>
        <w:t xml:space="preserve"> by</w:t>
      </w:r>
      <w:r w:rsidR="00BE5CD4" w:rsidRPr="0094397B">
        <w:rPr>
          <w:color w:val="000000" w:themeColor="text1"/>
        </w:rPr>
        <w:t xml:space="preserve"> </w:t>
      </w:r>
      <w:r w:rsidR="00BE5CD4" w:rsidRPr="0094397B">
        <w:rPr>
          <w:color w:val="000000" w:themeColor="text1"/>
        </w:rPr>
        <w:fldChar w:fldCharType="begin"/>
      </w:r>
      <w:r w:rsidR="00D8095C" w:rsidRPr="0094397B">
        <w:rPr>
          <w:color w:val="000000" w:themeColor="text1"/>
        </w:rPr>
        <w:instrText xml:space="preserve"> ADDIN EN.CITE &lt;EndNote&gt;&lt;Cite AuthorYear="1"&gt;&lt;Author&gt;Ambec&lt;/Author&gt;&lt;Year&gt;2002&lt;/Year&gt;&lt;RecNum&gt;211&lt;/RecNum&gt;&lt;DisplayText&gt;Ambec and Sprumont (2002)&lt;/DisplayText&gt;&lt;record&gt;&lt;rec-number&gt;211&lt;/rec-number&gt;&lt;foreign-keys&gt;&lt;key app="EN" db-id="x5etaz5aiszvz0edasvvpwvotttxepvd25t2" timestamp="1611177410"&gt;211&lt;/key&gt;&lt;/foreign-keys&gt;&lt;ref-type name="Journal Article"&gt;17&lt;/ref-type&gt;&lt;contributors&gt;&lt;authors&gt;&lt;author&gt;Ambec, Stefan&lt;/author&gt;&lt;author&gt;Sprumont, Yves&lt;/author&gt;&lt;/authors&gt;&lt;/contributors&gt;&lt;titles&gt;&lt;title&gt;Sharing a River&lt;/title&gt;&lt;secondary-title&gt;Journal of Economic Theory&lt;/secondary-title&gt;&lt;/titles&gt;&lt;periodical&gt;&lt;full-title&gt;Journal of Economic Theory&lt;/full-title&gt;&lt;/periodical&gt;&lt;pages&gt;453-462&lt;/pages&gt;&lt;volume&gt;107&lt;/volume&gt;&lt;number&gt;2&lt;/number&gt;&lt;keywords&gt;&lt;keyword&gt;common property resources&lt;/keyword&gt;&lt;keyword&gt;fair allocation&lt;/keyword&gt;&lt;keyword&gt;core.&lt;/keyword&gt;&lt;/keywords&gt;&lt;dates&gt;&lt;year&gt;2002&lt;/year&gt;&lt;pub-dates&gt;&lt;date&gt;2002/12/01/&lt;/date&gt;&lt;/pub-dates&gt;&lt;/dates&gt;&lt;isbn&gt;0022-0531&lt;/isbn&gt;&lt;urls&gt;&lt;related-urls&gt;&lt;url&gt;http://www.sciencedirect.com/science/article/pii/S0022053101929497&lt;/url&gt;&lt;/related-urls&gt;&lt;/urls&gt;&lt;electronic-resource-num&gt;https://doi.org/10.1006/jeth.2001.2949&lt;/electronic-resource-num&gt;&lt;/record&gt;&lt;/Cite&gt;&lt;/EndNote&gt;</w:instrText>
      </w:r>
      <w:r w:rsidR="00BE5CD4" w:rsidRPr="0094397B">
        <w:rPr>
          <w:color w:val="000000" w:themeColor="text1"/>
        </w:rPr>
        <w:fldChar w:fldCharType="separate"/>
      </w:r>
      <w:r w:rsidR="00D8095C" w:rsidRPr="0094397B">
        <w:rPr>
          <w:color w:val="000000" w:themeColor="text1"/>
        </w:rPr>
        <w:t>Ambec and Sprumont (2002)</w:t>
      </w:r>
      <w:r w:rsidR="00BE5CD4" w:rsidRPr="0094397B">
        <w:rPr>
          <w:color w:val="000000" w:themeColor="text1"/>
        </w:rPr>
        <w:fldChar w:fldCharType="end"/>
      </w:r>
      <w:r w:rsidR="00CA0D51" w:rsidRPr="0094397B">
        <w:rPr>
          <w:color w:val="000000" w:themeColor="text1"/>
        </w:rPr>
        <w:t>.</w:t>
      </w:r>
      <w:r w:rsidR="006C5757" w:rsidRPr="0094397B">
        <w:rPr>
          <w:color w:val="000000" w:themeColor="text1"/>
        </w:rPr>
        <w:t xml:space="preserve"> </w:t>
      </w:r>
      <w:r w:rsidR="00466FB3" w:rsidRPr="0094397B">
        <w:rPr>
          <w:color w:val="000000" w:themeColor="text1"/>
        </w:rPr>
        <w:t xml:space="preserve">In </w:t>
      </w:r>
      <w:r w:rsidR="00B02EDF" w:rsidRPr="0094397B">
        <w:rPr>
          <w:color w:val="000000" w:themeColor="text1"/>
        </w:rPr>
        <w:t>this context,</w:t>
      </w:r>
      <w:r w:rsidR="00466FB3" w:rsidRPr="0094397B">
        <w:rPr>
          <w:color w:val="000000" w:themeColor="text1"/>
        </w:rPr>
        <w:t xml:space="preserve"> </w:t>
      </w:r>
      <w:r w:rsidR="00B02EDF" w:rsidRPr="0094397B">
        <w:rPr>
          <w:color w:val="000000" w:themeColor="text1"/>
        </w:rPr>
        <w:t>t</w:t>
      </w:r>
      <w:r w:rsidR="006C5757" w:rsidRPr="0094397B">
        <w:rPr>
          <w:color w:val="000000" w:themeColor="text1"/>
        </w:rPr>
        <w:t>he ATS</w:t>
      </w:r>
      <w:r w:rsidR="000415C0" w:rsidRPr="0094397B">
        <w:rPr>
          <w:color w:val="000000" w:themeColor="text1"/>
        </w:rPr>
        <w:t xml:space="preserve"> theory</w:t>
      </w:r>
      <w:r w:rsidR="006C5757" w:rsidRPr="0094397B">
        <w:rPr>
          <w:color w:val="000000" w:themeColor="text1"/>
        </w:rPr>
        <w:t xml:space="preserve"> states that a country only has absolute sovereignty on the area of any river basin on its territory. </w:t>
      </w:r>
      <w:r w:rsidR="009B1AE0" w:rsidRPr="0094397B">
        <w:rPr>
          <w:color w:val="000000" w:themeColor="text1"/>
        </w:rPr>
        <w:t>Oppositely</w:t>
      </w:r>
      <w:r w:rsidR="006C5757" w:rsidRPr="0094397B">
        <w:rPr>
          <w:color w:val="000000" w:themeColor="text1"/>
        </w:rPr>
        <w:t xml:space="preserve">, the UTI </w:t>
      </w:r>
      <w:r w:rsidR="000415C0" w:rsidRPr="0094397B">
        <w:rPr>
          <w:color w:val="000000" w:themeColor="text1"/>
        </w:rPr>
        <w:t xml:space="preserve">theory </w:t>
      </w:r>
      <w:r w:rsidR="006C5757" w:rsidRPr="0094397B">
        <w:rPr>
          <w:color w:val="000000" w:themeColor="text1"/>
        </w:rPr>
        <w:t>declares that a country could extend these rights to the full stream of water originating upstream.</w:t>
      </w:r>
      <w:r w:rsidR="00466FB3" w:rsidRPr="0094397B">
        <w:rPr>
          <w:color w:val="000000" w:themeColor="text1"/>
        </w:rPr>
        <w:t xml:space="preserve"> That means if a river is flowing through different countries, the benefits of the upstream rivers should be shared by all the countries </w:t>
      </w:r>
      <w:r w:rsidR="00466FB3" w:rsidRPr="0094397B">
        <w:rPr>
          <w:rFonts w:hint="eastAsia"/>
          <w:color w:val="000000" w:themeColor="text1"/>
        </w:rPr>
        <w:t>which</w:t>
      </w:r>
      <w:r w:rsidR="00466FB3" w:rsidRPr="0094397B">
        <w:rPr>
          <w:color w:val="000000" w:themeColor="text1"/>
        </w:rPr>
        <w:t xml:space="preserve"> </w:t>
      </w:r>
      <w:proofErr w:type="gramStart"/>
      <w:r w:rsidR="00466FB3" w:rsidRPr="0094397B">
        <w:rPr>
          <w:color w:val="000000" w:themeColor="text1"/>
        </w:rPr>
        <w:t>are located in</w:t>
      </w:r>
      <w:proofErr w:type="gramEnd"/>
      <w:r w:rsidR="00466FB3" w:rsidRPr="0094397B">
        <w:rPr>
          <w:color w:val="000000" w:themeColor="text1"/>
        </w:rPr>
        <w:t xml:space="preserve"> the downstream river basin.</w:t>
      </w:r>
      <w:r w:rsidR="0028042F" w:rsidRPr="0094397B">
        <w:rPr>
          <w:color w:val="000000" w:themeColor="text1"/>
        </w:rPr>
        <w:t xml:space="preserve"> Based on these theories, </w:t>
      </w:r>
      <w:r w:rsidR="0028042F" w:rsidRPr="0094397B">
        <w:rPr>
          <w:noProof/>
          <w:color w:val="000000" w:themeColor="text1"/>
        </w:rPr>
        <w:fldChar w:fldCharType="begin"/>
      </w:r>
      <w:r w:rsidR="0028042F" w:rsidRPr="0094397B">
        <w:rPr>
          <w:noProof/>
          <w:color w:val="000000" w:themeColor="text1"/>
        </w:rPr>
        <w:instrText xml:space="preserve"> ADDIN EN.CITE &lt;EndNote&gt;&lt;Cite AuthorYear="1"&gt;&lt;Author&gt;Ambec&lt;/Author&gt;&lt;Year&gt;2002&lt;/Year&gt;&lt;RecNum&gt;211&lt;/RecNum&gt;&lt;DisplayText&gt;Ambec and Sprumont (2002)&lt;/DisplayText&gt;&lt;record&gt;&lt;rec-number&gt;211&lt;/rec-number&gt;&lt;foreign-keys&gt;&lt;key app="EN" db-id="x5etaz5aiszvz0edasvvpwvotttxepvd25t2" timestamp="1611177410"&gt;211&lt;/key&gt;&lt;/foreign-keys&gt;&lt;ref-type name="Journal Article"&gt;17&lt;/ref-type&gt;&lt;contributors&gt;&lt;authors&gt;&lt;author&gt;Ambec, Stefan&lt;/author&gt;&lt;author&gt;Sprumont, Yves&lt;/author&gt;&lt;/authors&gt;&lt;/contributors&gt;&lt;titles&gt;&lt;title&gt;Sharing a River&lt;/title&gt;&lt;secondary-title&gt;Journal of Economic Theory&lt;/secondary-title&gt;&lt;/titles&gt;&lt;periodical&gt;&lt;full-title&gt;Journal of Economic Theory&lt;/full-title&gt;&lt;/periodical&gt;&lt;pages&gt;453-462&lt;/pages&gt;&lt;volume&gt;107&lt;/volume&gt;&lt;number&gt;2&lt;/number&gt;&lt;keywords&gt;&lt;keyword&gt;common property resources&lt;/keyword&gt;&lt;keyword&gt;fair allocation&lt;/keyword&gt;&lt;keyword&gt;core.&lt;/keyword&gt;&lt;/keywords&gt;&lt;dates&gt;&lt;year&gt;2002&lt;/year&gt;&lt;pub-dates&gt;&lt;date&gt;2002/12/01/&lt;/date&gt;&lt;/pub-dates&gt;&lt;/dates&gt;&lt;isbn&gt;0022-0531&lt;/isbn&gt;&lt;urls&gt;&lt;related-urls&gt;&lt;url&gt;http://www.sciencedirect.com/science/article/pii/S0022053101929497&lt;/url&gt;&lt;/related-urls&gt;&lt;/urls&gt;&lt;electronic-resource-num&gt;https://doi.org/10.1006/jeth.2001.2949&lt;/electronic-resource-num&gt;&lt;/record&gt;&lt;/Cite&gt;&lt;/EndNote&gt;</w:instrText>
      </w:r>
      <w:r w:rsidR="0028042F" w:rsidRPr="0094397B">
        <w:rPr>
          <w:noProof/>
          <w:color w:val="000000" w:themeColor="text1"/>
        </w:rPr>
        <w:fldChar w:fldCharType="separate"/>
      </w:r>
      <w:r w:rsidR="0028042F" w:rsidRPr="0094397B">
        <w:rPr>
          <w:noProof/>
          <w:color w:val="000000" w:themeColor="text1"/>
        </w:rPr>
        <w:t>Ambec and Sprumont (2002)</w:t>
      </w:r>
      <w:r w:rsidR="0028042F" w:rsidRPr="0094397B">
        <w:rPr>
          <w:noProof/>
          <w:color w:val="000000" w:themeColor="text1"/>
        </w:rPr>
        <w:fldChar w:fldCharType="end"/>
      </w:r>
      <w:r w:rsidR="0028042F" w:rsidRPr="0094397B">
        <w:rPr>
          <w:color w:val="000000" w:themeColor="text1"/>
        </w:rPr>
        <w:t xml:space="preserve"> developed a model to investigate how agents (e.g. countries, regions, or cities) living along a river share the water resources with their welfare interpretation of rights.</w:t>
      </w:r>
      <w:r w:rsidR="0050639B" w:rsidRPr="0094397B">
        <w:rPr>
          <w:color w:val="000000" w:themeColor="text1"/>
        </w:rPr>
        <w:t xml:space="preserve"> </w:t>
      </w:r>
      <w:r w:rsidR="00B032D3" w:rsidRPr="0094397B">
        <w:rPr>
          <w:color w:val="000000" w:themeColor="text1"/>
        </w:rPr>
        <w:t xml:space="preserve">This model is </w:t>
      </w:r>
      <w:r w:rsidR="008622DF" w:rsidRPr="0094397B">
        <w:rPr>
          <w:color w:val="000000" w:themeColor="text1"/>
        </w:rPr>
        <w:t xml:space="preserve">further </w:t>
      </w:r>
      <w:r w:rsidR="000C4B39" w:rsidRPr="0094397B">
        <w:rPr>
          <w:color w:val="000000" w:themeColor="text1"/>
        </w:rPr>
        <w:t>improved</w:t>
      </w:r>
      <w:r w:rsidR="00022E5E" w:rsidRPr="0094397B">
        <w:rPr>
          <w:color w:val="000000" w:themeColor="text1"/>
        </w:rPr>
        <w:t xml:space="preserve"> by</w:t>
      </w:r>
      <w:r w:rsidR="00B032D3" w:rsidRPr="0094397B">
        <w:rPr>
          <w:color w:val="000000" w:themeColor="text1"/>
        </w:rPr>
        <w:t xml:space="preserve"> </w:t>
      </w:r>
      <w:r w:rsidR="0050639B" w:rsidRPr="0094397B">
        <w:rPr>
          <w:color w:val="000000" w:themeColor="text1"/>
        </w:rPr>
        <w:fldChar w:fldCharType="begin"/>
      </w:r>
      <w:r w:rsidR="0050639B" w:rsidRPr="0094397B">
        <w:rPr>
          <w:color w:val="000000" w:themeColor="text1"/>
        </w:rPr>
        <w:instrText xml:space="preserve"> ADDIN EN.CITE &lt;EndNote&gt;&lt;Cite AuthorYear="1"&gt;&lt;Author&gt;Gudmundsson&lt;/Author&gt;&lt;Year&gt;2019&lt;/Year&gt;&lt;RecNum&gt;249&lt;/RecNum&gt;&lt;DisplayText&gt;Gudmundsson et al. (2019)&lt;/DisplayText&gt;&lt;record&gt;&lt;rec-number&gt;249&lt;/rec-number&gt;&lt;foreign-keys&gt;&lt;key app="EN" db-id="x5etaz5aiszvz0edasvvpwvotttxepvd25t2" timestamp="1611179407"&gt;249&lt;/key&gt;&lt;/foreign-keys&gt;&lt;ref-type name="Journal Article"&gt;17&lt;/ref-type&gt;&lt;contributors&gt;&lt;authors&gt;&lt;author&gt;Gudmundsson, Jens&lt;/author&gt;&lt;author&gt;Hougaard, Jens Leth&lt;/author&gt;&lt;author&gt;Ko, Chiu Yu&lt;/author&gt;&lt;/authors&gt;&lt;/contributors&gt;&lt;titles&gt;&lt;title&gt;Decentralized mechanisms for river sharing&lt;/title&gt;&lt;secondary-title&gt;Journal of Environmental Economics and Management&lt;/secondary-title&gt;&lt;/titles&gt;&lt;periodical&gt;&lt;full-title&gt;Journal of Environmental Economics and Management&lt;/full-title&gt;&lt;/periodical&gt;&lt;pages&gt;67-81&lt;/pages&gt;&lt;volume&gt;94&lt;/volume&gt;&lt;keywords&gt;&lt;keyword&gt;River sharing&lt;/keyword&gt;&lt;keyword&gt;Decentralized mechanism&lt;/keyword&gt;&lt;keyword&gt;Efficient allocation&lt;/keyword&gt;&lt;keyword&gt;Implementation&lt;/keyword&gt;&lt;keyword&gt;Bargaining&lt;/keyword&gt;&lt;keyword&gt;Consistency&lt;/keyword&gt;&lt;/keywords&gt;&lt;dates&gt;&lt;year&gt;2019&lt;/year&gt;&lt;pub-dates&gt;&lt;date&gt;2019/03/01/&lt;/date&gt;&lt;/pub-dates&gt;&lt;/dates&gt;&lt;isbn&gt;0095-0696&lt;/isbn&gt;&lt;urls&gt;&lt;related-urls&gt;&lt;url&gt;http://www.sciencedirect.com/science/article/pii/S0095069618302663&lt;/url&gt;&lt;/related-urls&gt;&lt;/urls&gt;&lt;electronic-resource-num&gt;https://doi.org/10.1016/j.jeem.2019.01.004&lt;/electronic-resource-num&gt;&lt;/record&gt;&lt;/Cite&gt;&lt;/EndNote&gt;</w:instrText>
      </w:r>
      <w:r w:rsidR="0050639B" w:rsidRPr="0094397B">
        <w:rPr>
          <w:color w:val="000000" w:themeColor="text1"/>
        </w:rPr>
        <w:fldChar w:fldCharType="separate"/>
      </w:r>
      <w:r w:rsidR="0050639B" w:rsidRPr="0094397B">
        <w:rPr>
          <w:color w:val="000000" w:themeColor="text1"/>
        </w:rPr>
        <w:t>Gudmundsson et al. (2019)</w:t>
      </w:r>
      <w:r w:rsidR="0050639B" w:rsidRPr="0094397B">
        <w:rPr>
          <w:color w:val="000000" w:themeColor="text1"/>
        </w:rPr>
        <w:fldChar w:fldCharType="end"/>
      </w:r>
      <w:r w:rsidR="00022E5E" w:rsidRPr="0094397B">
        <w:rPr>
          <w:color w:val="000000" w:themeColor="text1"/>
        </w:rPr>
        <w:t>, who</w:t>
      </w:r>
      <w:r w:rsidR="004306CF" w:rsidRPr="0094397B">
        <w:rPr>
          <w:color w:val="000000" w:themeColor="text1"/>
        </w:rPr>
        <w:t xml:space="preserve"> </w:t>
      </w:r>
      <w:r w:rsidR="00022E5E" w:rsidRPr="0094397B">
        <w:rPr>
          <w:color w:val="000000" w:themeColor="text1"/>
        </w:rPr>
        <w:t>propose</w:t>
      </w:r>
      <w:r w:rsidR="00B032D3" w:rsidRPr="0094397B">
        <w:rPr>
          <w:color w:val="000000" w:themeColor="text1"/>
        </w:rPr>
        <w:t xml:space="preserve"> </w:t>
      </w:r>
      <w:r w:rsidR="004306CF" w:rsidRPr="0094397B">
        <w:rPr>
          <w:color w:val="000000" w:themeColor="text1"/>
        </w:rPr>
        <w:t xml:space="preserve">a </w:t>
      </w:r>
      <w:r w:rsidR="00D63352" w:rsidRPr="0094397B">
        <w:rPr>
          <w:color w:val="000000" w:themeColor="text1"/>
        </w:rPr>
        <w:t xml:space="preserve">two-stage games in which </w:t>
      </w:r>
      <w:r w:rsidR="003E1237" w:rsidRPr="0094397B">
        <w:rPr>
          <w:color w:val="000000" w:themeColor="text1"/>
        </w:rPr>
        <w:t>player</w:t>
      </w:r>
      <w:r w:rsidR="00D63352" w:rsidRPr="0094397B">
        <w:rPr>
          <w:color w:val="000000" w:themeColor="text1"/>
        </w:rPr>
        <w:t xml:space="preserve"> assigned with different bargaining power</w:t>
      </w:r>
      <w:r w:rsidR="008D2C8A" w:rsidRPr="0094397B">
        <w:rPr>
          <w:color w:val="000000" w:themeColor="text1"/>
        </w:rPr>
        <w:t xml:space="preserve"> </w:t>
      </w:r>
      <w:r w:rsidR="000B3693" w:rsidRPr="0094397B">
        <w:rPr>
          <w:color w:val="000000" w:themeColor="text1"/>
        </w:rPr>
        <w:t>according to their locations</w:t>
      </w:r>
      <w:r w:rsidR="003E1237" w:rsidRPr="0094397B">
        <w:rPr>
          <w:color w:val="000000" w:themeColor="text1"/>
        </w:rPr>
        <w:t xml:space="preserve"> along with the rivers</w:t>
      </w:r>
      <w:r w:rsidR="000B3693" w:rsidRPr="0094397B">
        <w:rPr>
          <w:color w:val="000000" w:themeColor="text1"/>
        </w:rPr>
        <w:t xml:space="preserve">, </w:t>
      </w:r>
      <w:r w:rsidR="003E1237" w:rsidRPr="0094397B">
        <w:rPr>
          <w:color w:val="000000" w:themeColor="text1"/>
        </w:rPr>
        <w:t xml:space="preserve">water </w:t>
      </w:r>
      <w:r w:rsidR="00D862C9" w:rsidRPr="0094397B">
        <w:rPr>
          <w:color w:val="000000" w:themeColor="text1"/>
        </w:rPr>
        <w:t>in</w:t>
      </w:r>
      <w:r w:rsidR="000B3693" w:rsidRPr="0094397B">
        <w:rPr>
          <w:color w:val="000000" w:themeColor="text1"/>
        </w:rPr>
        <w:t xml:space="preserve">flows, and consumption decisions </w:t>
      </w:r>
      <w:r w:rsidR="00D862C9" w:rsidRPr="0094397B">
        <w:rPr>
          <w:color w:val="000000" w:themeColor="text1"/>
        </w:rPr>
        <w:t xml:space="preserve">of </w:t>
      </w:r>
      <w:r w:rsidR="00B032D3" w:rsidRPr="0094397B">
        <w:rPr>
          <w:color w:val="000000" w:themeColor="text1"/>
        </w:rPr>
        <w:t xml:space="preserve">the </w:t>
      </w:r>
      <w:r w:rsidR="003E1237" w:rsidRPr="0094397B">
        <w:rPr>
          <w:color w:val="000000" w:themeColor="text1"/>
        </w:rPr>
        <w:t>water</w:t>
      </w:r>
      <w:r w:rsidR="00B032D3" w:rsidRPr="0094397B">
        <w:rPr>
          <w:color w:val="000000" w:themeColor="text1"/>
        </w:rPr>
        <w:t>.</w:t>
      </w:r>
      <w:r w:rsidR="009A7084" w:rsidRPr="0094397B">
        <w:rPr>
          <w:color w:val="000000" w:themeColor="text1"/>
        </w:rPr>
        <w:t xml:space="preserve"> The</w:t>
      </w:r>
      <w:r w:rsidR="00AE4E7E" w:rsidRPr="0094397B">
        <w:rPr>
          <w:color w:val="000000" w:themeColor="text1"/>
        </w:rPr>
        <w:t>ir</w:t>
      </w:r>
      <w:r w:rsidR="009A7084" w:rsidRPr="0094397B">
        <w:rPr>
          <w:color w:val="000000" w:themeColor="text1"/>
        </w:rPr>
        <w:t xml:space="preserve"> research</w:t>
      </w:r>
      <w:r w:rsidR="00DB36AA" w:rsidRPr="0094397B">
        <w:rPr>
          <w:color w:val="000000" w:themeColor="text1"/>
        </w:rPr>
        <w:t xml:space="preserve"> </w:t>
      </w:r>
      <w:r w:rsidR="00DB36AA" w:rsidRPr="0094397B">
        <w:rPr>
          <w:color w:val="000000" w:themeColor="text1"/>
        </w:rPr>
        <w:fldChar w:fldCharType="begin"/>
      </w:r>
      <w:r w:rsidR="00DB36AA" w:rsidRPr="0094397B">
        <w:rPr>
          <w:color w:val="000000" w:themeColor="text1"/>
        </w:rPr>
        <w:instrText xml:space="preserve"> ADDIN EN.CITE &lt;EndNote&gt;&lt;Cite&gt;&lt;Author&gt;Gudmundsson&lt;/Author&gt;&lt;Year&gt;2019&lt;/Year&gt;&lt;RecNum&gt;249&lt;/RecNum&gt;&lt;DisplayText&gt;(Gudmundsson et al., 2019)&lt;/DisplayText&gt;&lt;record&gt;&lt;rec-number&gt;249&lt;/rec-number&gt;&lt;foreign-keys&gt;&lt;key app="EN" db-id="x5etaz5aiszvz0edasvvpwvotttxepvd25t2" timestamp="1611179407"&gt;249&lt;/key&gt;&lt;/foreign-keys&gt;&lt;ref-type name="Journal Article"&gt;17&lt;/ref-type&gt;&lt;contributors&gt;&lt;authors&gt;&lt;author&gt;Gudmundsson, Jens&lt;/author&gt;&lt;author&gt;Hougaard, Jens Leth&lt;/author&gt;&lt;author&gt;Ko, Chiu Yu&lt;/author&gt;&lt;/authors&gt;&lt;/contributors&gt;&lt;titles&gt;&lt;title&gt;Decentralized mechanisms for river sharing&lt;/title&gt;&lt;secondary-title&gt;Journal of Environmental Economics and Management&lt;/secondary-title&gt;&lt;/titles&gt;&lt;periodical&gt;&lt;full-title&gt;Journal of Environmental Economics and Management&lt;/full-title&gt;&lt;/periodical&gt;&lt;pages&gt;67-81&lt;/pages&gt;&lt;volume&gt;94&lt;/volume&gt;&lt;keywords&gt;&lt;keyword&gt;River sharing&lt;/keyword&gt;&lt;keyword&gt;Decentralized mechanism&lt;/keyword&gt;&lt;keyword&gt;Efficient allocation&lt;/keyword&gt;&lt;keyword&gt;Implementation&lt;/keyword&gt;&lt;keyword&gt;Bargaining&lt;/keyword&gt;&lt;keyword&gt;Consistency&lt;/keyword&gt;&lt;/keywords&gt;&lt;dates&gt;&lt;year&gt;2019&lt;/year&gt;&lt;pub-dates&gt;&lt;date&gt;2019/03/01/&lt;/date&gt;&lt;/pub-dates&gt;&lt;/dates&gt;&lt;isbn&gt;0095-0696&lt;/isbn&gt;&lt;urls&gt;&lt;related-urls&gt;&lt;url&gt;http://www.sciencedirect.com/science/article/pii/S0095069618302663&lt;/url&gt;&lt;/related-urls&gt;&lt;/urls&gt;&lt;electronic-resource-num&gt;https://doi.org/10.1016/j.jeem.2019.01.004&lt;/electronic-resource-num&gt;&lt;/record&gt;&lt;/Cite&gt;&lt;/EndNote&gt;</w:instrText>
      </w:r>
      <w:r w:rsidR="00DB36AA" w:rsidRPr="0094397B">
        <w:rPr>
          <w:color w:val="000000" w:themeColor="text1"/>
        </w:rPr>
        <w:fldChar w:fldCharType="separate"/>
      </w:r>
      <w:r w:rsidR="00DB36AA" w:rsidRPr="0094397B">
        <w:rPr>
          <w:color w:val="000000" w:themeColor="text1"/>
        </w:rPr>
        <w:t>(Gudmundsson et al., 2019)</w:t>
      </w:r>
      <w:r w:rsidR="00DB36AA" w:rsidRPr="0094397B">
        <w:rPr>
          <w:color w:val="000000" w:themeColor="text1"/>
        </w:rPr>
        <w:fldChar w:fldCharType="end"/>
      </w:r>
      <w:r w:rsidR="009A7084" w:rsidRPr="0094397B">
        <w:rPr>
          <w:color w:val="000000" w:themeColor="text1"/>
        </w:rPr>
        <w:t xml:space="preserve"> contribut</w:t>
      </w:r>
      <w:r w:rsidR="00DB36AA" w:rsidRPr="0094397B">
        <w:rPr>
          <w:color w:val="000000" w:themeColor="text1"/>
        </w:rPr>
        <w:t>es</w:t>
      </w:r>
      <w:r w:rsidR="009A7084" w:rsidRPr="0094397B">
        <w:rPr>
          <w:color w:val="000000" w:themeColor="text1"/>
        </w:rPr>
        <w:t xml:space="preserve"> a fair division of the</w:t>
      </w:r>
      <w:r w:rsidR="003941DC" w:rsidRPr="0094397B">
        <w:rPr>
          <w:color w:val="000000" w:themeColor="text1"/>
        </w:rPr>
        <w:t xml:space="preserve"> </w:t>
      </w:r>
      <w:r w:rsidR="009A7084" w:rsidRPr="0094397B">
        <w:rPr>
          <w:color w:val="000000" w:themeColor="text1"/>
        </w:rPr>
        <w:t>welfare gain obtained through</w:t>
      </w:r>
      <w:r w:rsidR="003941DC" w:rsidRPr="0094397B">
        <w:rPr>
          <w:color w:val="000000" w:themeColor="text1"/>
        </w:rPr>
        <w:t xml:space="preserve"> </w:t>
      </w:r>
      <w:r w:rsidR="00CB3394" w:rsidRPr="0094397B">
        <w:rPr>
          <w:color w:val="000000" w:themeColor="text1"/>
        </w:rPr>
        <w:t>a decentralized bargaining protocol</w:t>
      </w:r>
      <w:r w:rsidR="003941DC" w:rsidRPr="0094397B">
        <w:rPr>
          <w:color w:val="000000" w:themeColor="text1"/>
        </w:rPr>
        <w:t>.</w:t>
      </w:r>
    </w:p>
    <w:p w14:paraId="0B95433A" w14:textId="4CD67925" w:rsidR="0073357E" w:rsidRPr="0094397B" w:rsidRDefault="0073357E" w:rsidP="0073357E">
      <w:pPr>
        <w:spacing w:after="240" w:line="360" w:lineRule="auto"/>
        <w:rPr>
          <w:color w:val="000000" w:themeColor="text1"/>
        </w:rPr>
      </w:pPr>
      <w:r w:rsidRPr="0094397B">
        <w:rPr>
          <w:color w:val="000000" w:themeColor="text1"/>
        </w:rPr>
        <w:t xml:space="preserve">Inspired by the above spirits from the ATS and UTI, </w:t>
      </w:r>
      <w:r w:rsidRPr="0094397B">
        <w:rPr>
          <w:noProof/>
          <w:color w:val="000000" w:themeColor="text1"/>
        </w:rPr>
        <w:fldChar w:fldCharType="begin"/>
      </w:r>
      <w:r w:rsidRPr="0094397B">
        <w:rPr>
          <w:noProof/>
          <w:color w:val="000000" w:themeColor="text1"/>
        </w:rPr>
        <w:instrText xml:space="preserve"> ADDIN EN.CITE &lt;EndNote&gt;&lt;Cite AuthorYear="1"&gt;&lt;Author&gt;Ni&lt;/Author&gt;&lt;Year&gt;2007&lt;/Year&gt;&lt;RecNum&gt;214&lt;/RecNum&gt;&lt;DisplayText&gt;Ni and Wang (2007)&lt;/DisplayText&gt;&lt;record&gt;&lt;rec-number&gt;214&lt;/rec-number&gt;&lt;foreign-keys&gt;&lt;key app="EN" db-id="x5etaz5aiszvz0edasvvpwvotttxepvd25t2" timestamp="1611177410"&gt;214&lt;/key&gt;&lt;/foreign-keys&gt;&lt;ref-type name="Journal Article"&gt;17&lt;/ref-type&gt;&lt;contributors&gt;&lt;authors&gt;&lt;author&gt;Ni, Debing&lt;/author&gt;&lt;author&gt;Wang, Yuntong&lt;/author&gt;&lt;/authors&gt;&lt;/contributors&gt;&lt;titles&gt;&lt;title&gt;Sharing a polluted river&lt;/title&gt;&lt;secondary-title&gt;Games and Economic Behavior&lt;/secondary-title&gt;&lt;/titles&gt;&lt;periodical&gt;&lt;full-title&gt;Games and Economic Behavior&lt;/full-title&gt;&lt;/periodical&gt;&lt;pages&gt;176-186&lt;/pages&gt;&lt;volume&gt;60&lt;/volume&gt;&lt;number&gt;1&lt;/number&gt;&lt;keywords&gt;&lt;keyword&gt;Externality&lt;/keyword&gt;&lt;keyword&gt;Fair allocation of pollution costs&lt;/keyword&gt;&lt;keyword&gt;Shapley value&lt;/keyword&gt;&lt;/keywords&gt;&lt;dates&gt;&lt;year&gt;2007&lt;/year&gt;&lt;pub-dates&gt;&lt;date&gt;2007/07/01/&lt;/date&gt;&lt;/pub-dates&gt;&lt;/dates&gt;&lt;isbn&gt;0899-8256&lt;/isbn&gt;&lt;urls&gt;&lt;related-urls&gt;&lt;url&gt;http://www.sciencedirect.com/science/article/pii/S0899825606001412&lt;/url&gt;&lt;/related-urls&gt;&lt;/urls&gt;&lt;electronic-resource-num&gt;https://doi.org/10.1016/j.geb.2006.10.001&lt;/electronic-resource-num&gt;&lt;/record&gt;&lt;/Cite&gt;&lt;/EndNote&gt;</w:instrText>
      </w:r>
      <w:r w:rsidRPr="0094397B">
        <w:rPr>
          <w:noProof/>
          <w:color w:val="000000" w:themeColor="text1"/>
        </w:rPr>
        <w:fldChar w:fldCharType="separate"/>
      </w:r>
      <w:r w:rsidRPr="0094397B">
        <w:rPr>
          <w:noProof/>
          <w:color w:val="000000" w:themeColor="text1"/>
        </w:rPr>
        <w:t>Ni and Wang (2007)</w:t>
      </w:r>
      <w:r w:rsidRPr="0094397B">
        <w:rPr>
          <w:noProof/>
          <w:color w:val="000000" w:themeColor="text1"/>
        </w:rPr>
        <w:fldChar w:fldCharType="end"/>
      </w:r>
      <w:r w:rsidRPr="0094397B">
        <w:rPr>
          <w:color w:val="000000" w:themeColor="text1"/>
        </w:rPr>
        <w:t xml:space="preserve"> developed a model focussing on the contradictory sides of the welfare sharing of the river, namely, the pollutant cost allocation. Ning and Wang 2006 </w:t>
      </w:r>
      <w:r w:rsidRPr="0094397B">
        <w:rPr>
          <w:rFonts w:hint="eastAsia"/>
          <w:color w:val="000000" w:themeColor="text1"/>
        </w:rPr>
        <w:t>indicate</w:t>
      </w:r>
      <w:r w:rsidRPr="0094397B">
        <w:rPr>
          <w:color w:val="000000" w:themeColor="text1"/>
        </w:rPr>
        <w:t xml:space="preserve"> that there is a dual relationship between rights and responsibilitie</w:t>
      </w:r>
      <w:r w:rsidRPr="0094397B">
        <w:rPr>
          <w:rFonts w:hint="eastAsia"/>
          <w:color w:val="000000" w:themeColor="text1"/>
        </w:rPr>
        <w:t>s</w:t>
      </w:r>
      <w:r w:rsidRPr="0094397B">
        <w:rPr>
          <w:color w:val="000000" w:themeColor="text1"/>
        </w:rPr>
        <w:t>, which means the responsibilities are the counterpart of rights</w:t>
      </w:r>
      <w:r w:rsidRPr="0094397B">
        <w:rPr>
          <w:rFonts w:hint="eastAsia"/>
          <w:color w:val="000000" w:themeColor="text1"/>
        </w:rPr>
        <w:t>.</w:t>
      </w:r>
      <w:r w:rsidRPr="0094397B">
        <w:rPr>
          <w:color w:val="000000" w:themeColor="text1"/>
        </w:rPr>
        <w:t xml:space="preserve"> The ATS and the UTI </w:t>
      </w:r>
      <w:r w:rsidR="007F72F6" w:rsidRPr="0094397B">
        <w:rPr>
          <w:color w:val="000000" w:themeColor="text1"/>
        </w:rPr>
        <w:t>are</w:t>
      </w:r>
      <w:r w:rsidRPr="0094397B">
        <w:rPr>
          <w:color w:val="000000" w:themeColor="text1"/>
        </w:rPr>
        <w:t xml:space="preserve"> interpret as responsibilities in the pollution cost allocation problem. They propose a similar scenario to </w:t>
      </w:r>
      <w:proofErr w:type="spellStart"/>
      <w:r w:rsidRPr="0094397B">
        <w:rPr>
          <w:color w:val="000000" w:themeColor="text1"/>
        </w:rPr>
        <w:t>Ambec</w:t>
      </w:r>
      <w:proofErr w:type="spellEnd"/>
      <w:r w:rsidRPr="0094397B">
        <w:rPr>
          <w:color w:val="000000" w:themeColor="text1"/>
        </w:rPr>
        <w:t xml:space="preserve"> and </w:t>
      </w:r>
      <w:proofErr w:type="spellStart"/>
      <w:r w:rsidRPr="0094397B">
        <w:rPr>
          <w:color w:val="000000" w:themeColor="text1"/>
        </w:rPr>
        <w:t>Sprumont</w:t>
      </w:r>
      <w:proofErr w:type="spellEnd"/>
      <w:r w:rsidRPr="0094397B">
        <w:rPr>
          <w:color w:val="000000" w:themeColor="text1"/>
        </w:rPr>
        <w:t xml:space="preserve"> (2002)’s model</w:t>
      </w:r>
      <w:r w:rsidR="00155561" w:rsidRPr="0094397B">
        <w:rPr>
          <w:color w:val="000000" w:themeColor="text1"/>
        </w:rPr>
        <w:t xml:space="preserve"> in this </w:t>
      </w:r>
      <w:r w:rsidR="00155561" w:rsidRPr="0094397B">
        <w:rPr>
          <w:i/>
          <w:noProof/>
          <w:color w:val="000000" w:themeColor="text1"/>
        </w:rPr>
        <w:t xml:space="preserve">polluted river </w:t>
      </w:r>
      <w:r w:rsidR="00155561" w:rsidRPr="0094397B">
        <w:rPr>
          <w:i/>
          <w:noProof/>
          <w:color w:val="000000" w:themeColor="text1"/>
        </w:rPr>
        <w:lastRenderedPageBreak/>
        <w:t>problem</w:t>
      </w:r>
      <w:r w:rsidRPr="0094397B">
        <w:rPr>
          <w:color w:val="000000" w:themeColor="text1"/>
        </w:rPr>
        <w:t xml:space="preserve">: considering a </w:t>
      </w:r>
      <w:r w:rsidRPr="0094397B">
        <w:rPr>
          <w:rStyle w:val="fontstyle01"/>
          <w:rFonts w:ascii="Times New Roman" w:hAnsi="Times New Roman" w:cs="Times New Roman"/>
          <w:color w:val="000000" w:themeColor="text1"/>
        </w:rPr>
        <w:t>river is divided into n segments. In each segment, there is a factory generating some pollution into the river (</w:t>
      </w:r>
      <w:r w:rsidRPr="0094397B">
        <w:rPr>
          <w:rStyle w:val="fontstyle01"/>
          <w:rFonts w:ascii="Times New Roman" w:hAnsi="Times New Roman" w:cs="Times New Roman"/>
          <w:color w:val="000000" w:themeColor="text1"/>
        </w:rPr>
        <w:fldChar w:fldCharType="begin"/>
      </w:r>
      <w:r w:rsidRPr="0094397B">
        <w:rPr>
          <w:rStyle w:val="fontstyle01"/>
          <w:rFonts w:ascii="Times New Roman" w:hAnsi="Times New Roman" w:cs="Times New Roman"/>
          <w:color w:val="000000" w:themeColor="text1"/>
        </w:rPr>
        <w:instrText xml:space="preserve"> REF _Ref44950437 \h </w:instrText>
      </w:r>
      <w:r w:rsidR="0094018A" w:rsidRPr="0094397B">
        <w:rPr>
          <w:rStyle w:val="fontstyle01"/>
          <w:rFonts w:ascii="Times New Roman" w:hAnsi="Times New Roman" w:cs="Times New Roman"/>
          <w:color w:val="000000" w:themeColor="text1"/>
        </w:rPr>
        <w:instrText xml:space="preserve"> \* MERGEFORMAT </w:instrText>
      </w:r>
      <w:r w:rsidRPr="0094397B">
        <w:rPr>
          <w:rStyle w:val="fontstyle01"/>
          <w:rFonts w:ascii="Times New Roman" w:hAnsi="Times New Roman" w:cs="Times New Roman"/>
          <w:color w:val="000000" w:themeColor="text1"/>
        </w:rPr>
      </w:r>
      <w:r w:rsidRPr="0094397B">
        <w:rPr>
          <w:rStyle w:val="fontstyle01"/>
          <w:rFonts w:ascii="Times New Roman" w:hAnsi="Times New Roman" w:cs="Times New Roman"/>
          <w:color w:val="000000" w:themeColor="text1"/>
        </w:rPr>
        <w:fldChar w:fldCharType="separate"/>
      </w:r>
      <w:r w:rsidR="0005064B" w:rsidRPr="0094397B">
        <w:rPr>
          <w:rStyle w:val="fontstyle01"/>
          <w:rFonts w:ascii="Times New Roman" w:hAnsi="Times New Roman" w:cs="Times New Roman"/>
          <w:color w:val="000000" w:themeColor="text1"/>
        </w:rPr>
        <w:t>Figure 3</w:t>
      </w:r>
      <w:r w:rsidR="0005064B" w:rsidRPr="0094397B">
        <w:rPr>
          <w:rStyle w:val="fontstyle01"/>
          <w:rFonts w:ascii="Times New Roman" w:hAnsi="Times New Roman" w:cs="Times New Roman"/>
          <w:color w:val="000000" w:themeColor="text1"/>
        </w:rPr>
        <w:noBreakHyphen/>
        <w:t>6</w:t>
      </w:r>
      <w:r w:rsidRPr="0094397B">
        <w:rPr>
          <w:rStyle w:val="fontstyle01"/>
          <w:rFonts w:ascii="Times New Roman" w:hAnsi="Times New Roman" w:cs="Times New Roman"/>
          <w:color w:val="000000" w:themeColor="text1"/>
        </w:rPr>
        <w:fldChar w:fldCharType="end"/>
      </w:r>
      <w:r w:rsidRPr="0094397B">
        <w:rPr>
          <w:rStyle w:val="fontstyle01"/>
          <w:rFonts w:ascii="Times New Roman" w:hAnsi="Times New Roman" w:cs="Times New Roman"/>
          <w:color w:val="000000" w:themeColor="text1"/>
        </w:rPr>
        <w:t xml:space="preserve">-A). </w:t>
      </w:r>
      <w:proofErr w:type="gramStart"/>
      <w:r w:rsidRPr="0094397B">
        <w:rPr>
          <w:rStyle w:val="fontstyle01"/>
          <w:rFonts w:ascii="Times New Roman" w:hAnsi="Times New Roman" w:cs="Times New Roman"/>
          <w:color w:val="000000" w:themeColor="text1"/>
        </w:rPr>
        <w:t>For the purpose of</w:t>
      </w:r>
      <w:proofErr w:type="gramEnd"/>
      <w:r w:rsidRPr="0094397B">
        <w:rPr>
          <w:rStyle w:val="fontstyle01"/>
          <w:rFonts w:ascii="Times New Roman" w:hAnsi="Times New Roman" w:cs="Times New Roman"/>
          <w:color w:val="000000" w:themeColor="text1"/>
        </w:rPr>
        <w:t xml:space="preserve"> cleaning the river, some penalties must be charged to these factories. In such a scenario, the question is that how the total costs should be shared to different factory.</w:t>
      </w:r>
      <w:r w:rsidRPr="0094397B">
        <w:rPr>
          <w:color w:val="000000" w:themeColor="text1"/>
        </w:rPr>
        <w:t xml:space="preserve"> </w:t>
      </w:r>
    </w:p>
    <w:p w14:paraId="68256B35" w14:textId="0B57003D" w:rsidR="00627711" w:rsidRPr="009578F0" w:rsidRDefault="00646343" w:rsidP="009578F0">
      <w:pPr>
        <w:spacing w:after="240" w:line="360" w:lineRule="auto"/>
        <w:rPr>
          <w:iCs/>
          <w:lang w:val="en-US"/>
        </w:rPr>
      </w:pPr>
      <w:r w:rsidRPr="008838E7">
        <w:t xml:space="preserve">When </w:t>
      </w:r>
      <w:r w:rsidR="00FC64B9">
        <w:t xml:space="preserve">the </w:t>
      </w:r>
      <w:r w:rsidR="005A615E" w:rsidRPr="008838E7">
        <w:t xml:space="preserve">above two </w:t>
      </w:r>
      <w:r w:rsidR="007F72F6">
        <w:t>theories</w:t>
      </w:r>
      <w:r w:rsidR="005A615E" w:rsidRPr="008838E7">
        <w:t xml:space="preserve"> are applied in this cost allocation problem</w:t>
      </w:r>
      <w:r w:rsidR="00615376">
        <w:t xml:space="preserve"> of river cleaning</w:t>
      </w:r>
      <w:r w:rsidR="005A615E" w:rsidRPr="008838E7">
        <w:t xml:space="preserve">, </w:t>
      </w:r>
      <w:r w:rsidR="00881E56" w:rsidRPr="008838E7">
        <w:t xml:space="preserve">the ATS can </w:t>
      </w:r>
      <w:r w:rsidR="005A615E" w:rsidRPr="008838E7">
        <w:t>be interpre</w:t>
      </w:r>
      <w:r w:rsidR="00881E56" w:rsidRPr="008838E7">
        <w:t>t</w:t>
      </w:r>
      <w:r w:rsidR="00F72339" w:rsidRPr="008838E7">
        <w:t>ed as the</w:t>
      </w:r>
      <w:r w:rsidR="00881E56" w:rsidRPr="008838E7">
        <w:t xml:space="preserve"> </w:t>
      </w:r>
      <w:r w:rsidR="00F72339" w:rsidRPr="008838E7">
        <w:t>factory in</w:t>
      </w:r>
      <w:r w:rsidR="005A615E" w:rsidRPr="008838E7">
        <w:t xml:space="preserve"> </w:t>
      </w:r>
      <w:r w:rsidR="000F1023" w:rsidRPr="008838E7">
        <w:t xml:space="preserve">any </w:t>
      </w:r>
      <w:r w:rsidR="00881E56" w:rsidRPr="008838E7">
        <w:t>segment</w:t>
      </w:r>
      <w:r w:rsidR="005A615E" w:rsidRPr="008838E7">
        <w:t xml:space="preserve"> </w:t>
      </w:r>
      <w:r w:rsidR="00F72339" w:rsidRPr="008838E7">
        <w:t>only</w:t>
      </w:r>
      <w:r w:rsidR="000F1023" w:rsidRPr="008838E7">
        <w:t xml:space="preserve"> hav</w:t>
      </w:r>
      <w:r w:rsidR="00FC64B9">
        <w:t>ing</w:t>
      </w:r>
      <w:r w:rsidR="000F1023" w:rsidRPr="008838E7">
        <w:t xml:space="preserve"> the responsibility to pay the river-cleaning cost in this segment, which </w:t>
      </w:r>
      <w:r w:rsidR="00D57056" w:rsidRPr="008838E7">
        <w:t xml:space="preserve">strictly </w:t>
      </w:r>
      <w:r w:rsidR="00881E56" w:rsidRPr="008838E7">
        <w:t>assigned to the pollut</w:t>
      </w:r>
      <w:r w:rsidR="000F1023" w:rsidRPr="008838E7">
        <w:t>ant</w:t>
      </w:r>
      <w:r w:rsidR="00091856">
        <w:t>s</w:t>
      </w:r>
      <w:r w:rsidR="00881E56" w:rsidRPr="008838E7">
        <w:t xml:space="preserve"> </w:t>
      </w:r>
      <w:r w:rsidR="000F1023" w:rsidRPr="008838E7">
        <w:t>generate</w:t>
      </w:r>
      <w:r w:rsidR="00091856">
        <w:t>d</w:t>
      </w:r>
      <w:r w:rsidR="000F1023" w:rsidRPr="008838E7">
        <w:t xml:space="preserve"> by </w:t>
      </w:r>
      <w:r w:rsidR="00D57056" w:rsidRPr="008838E7">
        <w:t xml:space="preserve">the factory itself. Such </w:t>
      </w:r>
      <w:r w:rsidR="00091856">
        <w:t xml:space="preserve">a </w:t>
      </w:r>
      <w:r w:rsidR="00D57056" w:rsidRPr="008838E7">
        <w:t xml:space="preserve">cost allocation principle is </w:t>
      </w:r>
      <w:r w:rsidR="00091856">
        <w:t>described</w:t>
      </w:r>
      <w:r w:rsidR="00D57056" w:rsidRPr="008838E7">
        <w:t xml:space="preserve"> as local responsibility</w:t>
      </w:r>
      <w:r w:rsidR="00FD48DB" w:rsidRPr="008838E7">
        <w:t xml:space="preserve"> </w:t>
      </w:r>
      <w:r w:rsidR="00D57056" w:rsidRPr="008838E7">
        <w:t>(LR)</w:t>
      </w:r>
      <w:r w:rsidR="006A0ED2">
        <w:t xml:space="preserve"> (</w:t>
      </w:r>
      <w:r w:rsidR="00D45843">
        <w:fldChar w:fldCharType="begin"/>
      </w:r>
      <w:r w:rsidR="00D45843">
        <w:instrText xml:space="preserve"> REF _Ref44950437 \h </w:instrText>
      </w:r>
      <w:r w:rsidR="00D45843">
        <w:fldChar w:fldCharType="separate"/>
      </w:r>
      <w:r w:rsidR="0005064B">
        <w:t xml:space="preserve">Figure </w:t>
      </w:r>
      <w:r w:rsidR="0005064B">
        <w:rPr>
          <w:noProof/>
        </w:rPr>
        <w:t>3</w:t>
      </w:r>
      <w:r w:rsidR="0005064B">
        <w:noBreakHyphen/>
      </w:r>
      <w:r w:rsidR="0005064B">
        <w:rPr>
          <w:noProof/>
        </w:rPr>
        <w:t>6</w:t>
      </w:r>
      <w:r w:rsidR="00D45843">
        <w:fldChar w:fldCharType="end"/>
      </w:r>
      <w:r w:rsidR="00D45843">
        <w:t>-</w:t>
      </w:r>
      <w:r w:rsidR="006A0ED2">
        <w:t>B)</w:t>
      </w:r>
      <w:r w:rsidR="00881E56" w:rsidRPr="008838E7">
        <w:t>.</w:t>
      </w:r>
      <w:r w:rsidR="00D57056" w:rsidRPr="008838E7">
        <w:t xml:space="preserve"> </w:t>
      </w:r>
      <w:r w:rsidR="00881E56" w:rsidRPr="008838E7">
        <w:t>On the other</w:t>
      </w:r>
      <w:r w:rsidR="00D57056" w:rsidRPr="008838E7">
        <w:t xml:space="preserve"> </w:t>
      </w:r>
      <w:r w:rsidR="00881E56" w:rsidRPr="008838E7">
        <w:t xml:space="preserve">hand, the responsibility </w:t>
      </w:r>
      <w:r w:rsidR="00835BBE">
        <w:t>aspect</w:t>
      </w:r>
      <w:r w:rsidR="00881E56" w:rsidRPr="008838E7">
        <w:t xml:space="preserve"> </w:t>
      </w:r>
      <w:r w:rsidR="00D57056" w:rsidRPr="008838E7">
        <w:t xml:space="preserve">derived from </w:t>
      </w:r>
      <w:r w:rsidR="00084887">
        <w:t xml:space="preserve">the </w:t>
      </w:r>
      <w:r w:rsidR="00881E56" w:rsidRPr="008838E7">
        <w:t xml:space="preserve">UTI extends the scope of a </w:t>
      </w:r>
      <w:r w:rsidR="00D57056" w:rsidRPr="008838E7">
        <w:t xml:space="preserve">factory’s </w:t>
      </w:r>
      <w:r w:rsidR="00881E56" w:rsidRPr="008838E7">
        <w:t>responsibilities for</w:t>
      </w:r>
      <w:r w:rsidR="00D57056" w:rsidRPr="008838E7">
        <w:t xml:space="preserve"> river-cleaning</w:t>
      </w:r>
      <w:r w:rsidR="00881E56" w:rsidRPr="008838E7">
        <w:t xml:space="preserve">. It </w:t>
      </w:r>
      <w:r w:rsidR="00C66062">
        <w:t>indicates</w:t>
      </w:r>
      <w:r w:rsidR="00881E56" w:rsidRPr="008838E7">
        <w:t xml:space="preserve"> that </w:t>
      </w:r>
      <w:r w:rsidR="004E7E8E">
        <w:t xml:space="preserve">the </w:t>
      </w:r>
      <w:r w:rsidR="0029239C" w:rsidRPr="008838E7">
        <w:t xml:space="preserve">factory has </w:t>
      </w:r>
      <w:r w:rsidR="00FE0EC8" w:rsidRPr="008838E7">
        <w:t xml:space="preserve">the right to require </w:t>
      </w:r>
      <w:r w:rsidR="00884D24" w:rsidRPr="008838E7">
        <w:t xml:space="preserve">all its upstream </w:t>
      </w:r>
      <w:r w:rsidR="00FE0EC8" w:rsidRPr="008838E7">
        <w:t>factories</w:t>
      </w:r>
      <w:r w:rsidR="0029239C" w:rsidRPr="008838E7">
        <w:t xml:space="preserve"> </w:t>
      </w:r>
      <w:r w:rsidR="008574E6" w:rsidRPr="008838E7">
        <w:t xml:space="preserve">to share its penalty for the river clean. </w:t>
      </w:r>
      <w:r w:rsidR="00E71822" w:rsidRPr="008838E7">
        <w:t xml:space="preserve">This </w:t>
      </w:r>
      <w:r w:rsidR="00852961">
        <w:t xml:space="preserve">is the </w:t>
      </w:r>
      <w:r w:rsidR="008574E6" w:rsidRPr="008838E7">
        <w:t>principle of downstream responsibility</w:t>
      </w:r>
      <w:r w:rsidR="00E71822" w:rsidRPr="008838E7">
        <w:t xml:space="preserve"> </w:t>
      </w:r>
      <w:r w:rsidR="008574E6" w:rsidRPr="008838E7">
        <w:t>(DR)</w:t>
      </w:r>
      <w:r w:rsidR="006A0ED2">
        <w:t xml:space="preserve"> (</w:t>
      </w:r>
      <w:r w:rsidR="009F14D1">
        <w:fldChar w:fldCharType="begin"/>
      </w:r>
      <w:r w:rsidR="009F14D1">
        <w:instrText xml:space="preserve"> REF _Ref44950437 \h </w:instrText>
      </w:r>
      <w:r w:rsidR="009F14D1">
        <w:fldChar w:fldCharType="separate"/>
      </w:r>
      <w:r w:rsidR="0005064B">
        <w:t xml:space="preserve">Figure </w:t>
      </w:r>
      <w:r w:rsidR="0005064B">
        <w:rPr>
          <w:noProof/>
        </w:rPr>
        <w:t>3</w:t>
      </w:r>
      <w:r w:rsidR="0005064B">
        <w:noBreakHyphen/>
      </w:r>
      <w:r w:rsidR="0005064B">
        <w:rPr>
          <w:noProof/>
        </w:rPr>
        <w:t>6</w:t>
      </w:r>
      <w:r w:rsidR="009F14D1">
        <w:fldChar w:fldCharType="end"/>
      </w:r>
      <w:r w:rsidR="009F14D1">
        <w:t>-</w:t>
      </w:r>
      <w:r w:rsidR="006A0ED2">
        <w:t>C)</w:t>
      </w:r>
      <w:r w:rsidR="00E71822" w:rsidRPr="008838E7">
        <w:t>.</w:t>
      </w:r>
      <w:r w:rsidR="00FA60D8">
        <w:t xml:space="preserve"> </w:t>
      </w:r>
      <w:r w:rsidR="0056310C">
        <w:rPr>
          <w:noProof/>
        </w:rPr>
        <w:fldChar w:fldCharType="begin"/>
      </w:r>
      <w:r w:rsidR="00CA2D5D">
        <w:rPr>
          <w:noProof/>
        </w:rPr>
        <w:instrText xml:space="preserve"> ADDIN EN.CITE &lt;EndNote&gt;&lt;Cite AuthorYear="1"&gt;&lt;Author&gt;Dong&lt;/Author&gt;&lt;Year&gt;2012&lt;/Year&gt;&lt;RecNum&gt;215&lt;/RecNum&gt;&lt;DisplayText&gt;Dong et al. (2012)&lt;/DisplayText&gt;&lt;record&gt;&lt;rec-number&gt;215&lt;/rec-number&gt;&lt;foreign-keys&gt;&lt;key app="EN" db-id="x5etaz5aiszvz0edasvvpwvotttxepvd25t2" timestamp="1611177410"&gt;215&lt;/key&gt;&lt;/foreign-keys&gt;&lt;ref-type name="Journal Article"&gt;17&lt;/ref-type&gt;&lt;contributors&gt;&lt;authors&gt;&lt;author&gt;Dong, Baomin&lt;/author&gt;&lt;author&gt;Ni, Debing&lt;/author&gt;&lt;author&gt;Wang, Yuntong&lt;/author&gt;&lt;/authors&gt;&lt;/contributors&gt;&lt;titles&gt;&lt;title&gt;Sharing a Polluted River Network&lt;/title&gt;&lt;secondary-title&gt;Environmental and Resource Economics&lt;/secondary-title&gt;&lt;/titles&gt;&lt;periodical&gt;&lt;full-title&gt;Environmental and Resource Economics&lt;/full-title&gt;&lt;/periodical&gt;&lt;pages&gt;367-387&lt;/pages&gt;&lt;volume&gt;53&lt;/volume&gt;&lt;number&gt;3&lt;/number&gt;&lt;dates&gt;&lt;year&gt;2012&lt;/year&gt;&lt;pub-dates&gt;&lt;date&gt;2012/11/01&lt;/date&gt;&lt;/pub-dates&gt;&lt;/dates&gt;&lt;isbn&gt;1573-1502&lt;/isbn&gt;&lt;urls&gt;&lt;related-urls&gt;&lt;url&gt;https://doi.org/10.1007/s10640-012-9566-2&lt;/url&gt;&lt;/related-urls&gt;&lt;/urls&gt;&lt;electronic-resource-num&gt;10.1007/s10640-012-9566-2&lt;/electronic-resource-num&gt;&lt;/record&gt;&lt;/Cite&gt;&lt;/EndNote&gt;</w:instrText>
      </w:r>
      <w:r w:rsidR="0056310C">
        <w:rPr>
          <w:noProof/>
        </w:rPr>
        <w:fldChar w:fldCharType="separate"/>
      </w:r>
      <w:r w:rsidR="0056310C">
        <w:rPr>
          <w:noProof/>
        </w:rPr>
        <w:t>Dong et al. (2012)</w:t>
      </w:r>
      <w:r w:rsidR="0056310C">
        <w:rPr>
          <w:noProof/>
        </w:rPr>
        <w:fldChar w:fldCharType="end"/>
      </w:r>
      <w:r w:rsidR="003E4CC4">
        <w:rPr>
          <w:lang w:val="en-US"/>
        </w:rPr>
        <w:t xml:space="preserve"> provide </w:t>
      </w:r>
      <w:r w:rsidR="007D1B54">
        <w:rPr>
          <w:lang w:val="en-US"/>
        </w:rPr>
        <w:t>a</w:t>
      </w:r>
      <w:r w:rsidR="003E4CC4">
        <w:rPr>
          <w:lang w:val="en-US"/>
        </w:rPr>
        <w:t xml:space="preserve"> </w:t>
      </w:r>
      <w:r w:rsidR="007D1B54">
        <w:rPr>
          <w:lang w:val="en-US"/>
        </w:rPr>
        <w:t>complement</w:t>
      </w:r>
      <w:r w:rsidR="005104F1">
        <w:rPr>
          <w:lang w:val="en-US"/>
        </w:rPr>
        <w:t xml:space="preserve">ary </w:t>
      </w:r>
      <w:r w:rsidR="007D1B54">
        <w:rPr>
          <w:lang w:val="en-US"/>
        </w:rPr>
        <w:t>cost allocation principle</w:t>
      </w:r>
      <w:r w:rsidR="0080391E">
        <w:rPr>
          <w:lang w:val="en-US"/>
        </w:rPr>
        <w:t xml:space="preserve"> for the DR</w:t>
      </w:r>
      <w:r w:rsidR="004B3374">
        <w:rPr>
          <w:lang w:val="en-US"/>
        </w:rPr>
        <w:t xml:space="preserve">, </w:t>
      </w:r>
      <w:r w:rsidR="0083637D">
        <w:rPr>
          <w:lang w:val="en-US"/>
        </w:rPr>
        <w:t>namely upstream responsibility</w:t>
      </w:r>
      <w:r w:rsidR="007D1B54">
        <w:rPr>
          <w:lang w:val="en-US"/>
        </w:rPr>
        <w:t xml:space="preserve"> (UR)</w:t>
      </w:r>
      <w:r w:rsidR="006A0ED2">
        <w:rPr>
          <w:lang w:val="en-US"/>
        </w:rPr>
        <w:t xml:space="preserve"> (</w:t>
      </w:r>
      <w:r w:rsidR="009F14D1">
        <w:rPr>
          <w:lang w:val="en-US"/>
        </w:rPr>
        <w:fldChar w:fldCharType="begin"/>
      </w:r>
      <w:r w:rsidR="009F14D1">
        <w:rPr>
          <w:lang w:val="en-US"/>
        </w:rPr>
        <w:instrText xml:space="preserve"> REF _Ref44950437 \h </w:instrText>
      </w:r>
      <w:r w:rsidR="009F14D1">
        <w:rPr>
          <w:lang w:val="en-US"/>
        </w:rPr>
      </w:r>
      <w:r w:rsidR="009F14D1">
        <w:rPr>
          <w:lang w:val="en-US"/>
        </w:rPr>
        <w:fldChar w:fldCharType="separate"/>
      </w:r>
      <w:r w:rsidR="0005064B">
        <w:t xml:space="preserve">Figure </w:t>
      </w:r>
      <w:r w:rsidR="0005064B">
        <w:rPr>
          <w:noProof/>
        </w:rPr>
        <w:t>3</w:t>
      </w:r>
      <w:r w:rsidR="0005064B">
        <w:noBreakHyphen/>
      </w:r>
      <w:r w:rsidR="0005064B">
        <w:rPr>
          <w:noProof/>
        </w:rPr>
        <w:t>6</w:t>
      </w:r>
      <w:r w:rsidR="009F14D1">
        <w:rPr>
          <w:lang w:val="en-US"/>
        </w:rPr>
        <w:fldChar w:fldCharType="end"/>
      </w:r>
      <w:r w:rsidR="009F14D1">
        <w:rPr>
          <w:lang w:val="en-US"/>
        </w:rPr>
        <w:t>-</w:t>
      </w:r>
      <w:r w:rsidR="006A0ED2">
        <w:rPr>
          <w:lang w:val="en-US"/>
        </w:rPr>
        <w:t>D)</w:t>
      </w:r>
      <w:r w:rsidR="0083637D">
        <w:rPr>
          <w:lang w:val="en-US"/>
        </w:rPr>
        <w:t xml:space="preserve">. </w:t>
      </w:r>
      <w:r w:rsidR="006521E5">
        <w:rPr>
          <w:lang w:val="en-US"/>
        </w:rPr>
        <w:t xml:space="preserve">This principle can be interpreted </w:t>
      </w:r>
      <w:r w:rsidR="00A47760">
        <w:rPr>
          <w:lang w:val="en-US"/>
        </w:rPr>
        <w:t>as</w:t>
      </w:r>
      <w:r w:rsidR="00C822A0">
        <w:rPr>
          <w:lang w:val="en-US"/>
        </w:rPr>
        <w:t xml:space="preserve"> being that</w:t>
      </w:r>
      <w:r w:rsidR="00F225BD">
        <w:rPr>
          <w:lang w:val="en-US"/>
        </w:rPr>
        <w:t xml:space="preserve"> a</w:t>
      </w:r>
      <w:r w:rsidR="00A47760">
        <w:rPr>
          <w:lang w:val="en-US"/>
        </w:rPr>
        <w:t xml:space="preserve"> </w:t>
      </w:r>
      <w:r w:rsidR="00304070">
        <w:rPr>
          <w:lang w:val="en-US"/>
        </w:rPr>
        <w:t xml:space="preserve">factory </w:t>
      </w:r>
      <w:r w:rsidR="00F225BD">
        <w:rPr>
          <w:lang w:val="en-US"/>
        </w:rPr>
        <w:t xml:space="preserve">should </w:t>
      </w:r>
      <w:r w:rsidR="00304070">
        <w:rPr>
          <w:lang w:val="en-US"/>
        </w:rPr>
        <w:t>underta</w:t>
      </w:r>
      <w:r w:rsidR="00682383">
        <w:rPr>
          <w:lang w:val="en-US"/>
        </w:rPr>
        <w:t>ke</w:t>
      </w:r>
      <w:r w:rsidR="00F225BD">
        <w:rPr>
          <w:lang w:val="en-US"/>
        </w:rPr>
        <w:t xml:space="preserve"> the </w:t>
      </w:r>
      <w:r w:rsidR="00304070">
        <w:rPr>
          <w:lang w:val="en-US"/>
        </w:rPr>
        <w:t>penalt</w:t>
      </w:r>
      <w:r w:rsidR="00B14BEA">
        <w:rPr>
          <w:lang w:val="en-US"/>
        </w:rPr>
        <w:t>ies</w:t>
      </w:r>
      <w:r w:rsidR="00304070">
        <w:rPr>
          <w:lang w:val="en-US"/>
        </w:rPr>
        <w:t xml:space="preserve"> </w:t>
      </w:r>
      <w:r w:rsidR="00F225BD">
        <w:rPr>
          <w:lang w:val="en-US"/>
        </w:rPr>
        <w:t xml:space="preserve">for </w:t>
      </w:r>
      <w:r w:rsidR="00B14BEA">
        <w:rPr>
          <w:lang w:val="en-US"/>
        </w:rPr>
        <w:t>its</w:t>
      </w:r>
      <w:r w:rsidR="00F225BD">
        <w:rPr>
          <w:lang w:val="en-US"/>
        </w:rPr>
        <w:t xml:space="preserve"> upstream </w:t>
      </w:r>
      <w:r w:rsidR="00304070">
        <w:rPr>
          <w:lang w:val="en-US"/>
        </w:rPr>
        <w:t>factor</w:t>
      </w:r>
      <w:r w:rsidR="00682383">
        <w:rPr>
          <w:lang w:val="en-US"/>
        </w:rPr>
        <w:t>ies</w:t>
      </w:r>
      <w:r w:rsidR="00E647F0">
        <w:rPr>
          <w:lang w:val="en-US"/>
        </w:rPr>
        <w:t xml:space="preserve">. </w:t>
      </w:r>
      <w:r w:rsidR="00F76D28">
        <w:rPr>
          <w:rFonts w:hint="eastAsia"/>
          <w:lang w:val="en-US"/>
        </w:rPr>
        <w:t>Accordingly,</w:t>
      </w:r>
      <w:r w:rsidR="00F76D28">
        <w:rPr>
          <w:lang w:val="en-US"/>
        </w:rPr>
        <w:t xml:space="preserve"> three cost allocation</w:t>
      </w:r>
      <w:r w:rsidR="00B229C1">
        <w:rPr>
          <w:lang w:val="en-US"/>
        </w:rPr>
        <w:t xml:space="preserve"> </w:t>
      </w:r>
      <w:r w:rsidR="00B229C1">
        <w:rPr>
          <w:rFonts w:hint="eastAsia"/>
          <w:lang w:val="en-US"/>
        </w:rPr>
        <w:t>methods</w:t>
      </w:r>
      <w:r w:rsidR="008742D4">
        <w:rPr>
          <w:lang w:val="en-US"/>
        </w:rPr>
        <w:t xml:space="preserve">: </w:t>
      </w:r>
      <w:r w:rsidR="00154DAF">
        <w:rPr>
          <w:lang w:val="en-US"/>
        </w:rPr>
        <w:t>local responsibility sharing</w:t>
      </w:r>
      <w:r w:rsidR="00521E0A">
        <w:rPr>
          <w:lang w:val="en-US"/>
        </w:rPr>
        <w:t xml:space="preserve"> (LRS)</w:t>
      </w:r>
      <w:r w:rsidR="00B229C1">
        <w:rPr>
          <w:lang w:val="en-US"/>
        </w:rPr>
        <w:t xml:space="preserve"> </w:t>
      </w:r>
      <w:r w:rsidR="00B229C1">
        <w:rPr>
          <w:rFonts w:hint="eastAsia"/>
          <w:lang w:val="en-US"/>
        </w:rPr>
        <w:t>method</w:t>
      </w:r>
      <w:r w:rsidR="00154DAF">
        <w:rPr>
          <w:lang w:val="en-US"/>
        </w:rPr>
        <w:t xml:space="preserve">, </w:t>
      </w:r>
      <w:r w:rsidR="00521E0A">
        <w:rPr>
          <w:lang w:val="en-US"/>
        </w:rPr>
        <w:t xml:space="preserve">upstream responsibility (UES) </w:t>
      </w:r>
      <w:r w:rsidR="00B229C1">
        <w:rPr>
          <w:rFonts w:hint="eastAsia"/>
          <w:lang w:val="en-US"/>
        </w:rPr>
        <w:t>method</w:t>
      </w:r>
      <w:r w:rsidR="00B229C1">
        <w:rPr>
          <w:lang w:val="en-US"/>
        </w:rPr>
        <w:t xml:space="preserve"> </w:t>
      </w:r>
      <w:r w:rsidR="00521E0A">
        <w:rPr>
          <w:lang w:val="en-US"/>
        </w:rPr>
        <w:t xml:space="preserve">and downstream responsibility </w:t>
      </w:r>
      <w:r w:rsidR="00C759DE" w:rsidRPr="00A17DFB">
        <w:rPr>
          <w:rFonts w:hint="eastAsia"/>
        </w:rPr>
        <w:t>sharing</w:t>
      </w:r>
      <w:r w:rsidR="00C759DE" w:rsidRPr="00A17DFB">
        <w:t xml:space="preserve"> </w:t>
      </w:r>
      <w:r w:rsidR="00521E0A" w:rsidRPr="00A17DFB">
        <w:t>(DES)</w:t>
      </w:r>
      <w:r w:rsidR="00B229C1" w:rsidRPr="00A17DFB">
        <w:t xml:space="preserve"> </w:t>
      </w:r>
      <w:r w:rsidR="00B229C1" w:rsidRPr="00A17DFB">
        <w:rPr>
          <w:rFonts w:hint="eastAsia"/>
        </w:rPr>
        <w:t>method</w:t>
      </w:r>
      <w:r w:rsidR="00521E0A" w:rsidRPr="00A17DFB">
        <w:t xml:space="preserve"> are </w:t>
      </w:r>
      <w:r w:rsidR="0004249A" w:rsidRPr="00A17DFB">
        <w:t xml:space="preserve">assigned to the above </w:t>
      </w:r>
      <w:r w:rsidR="00F06E93" w:rsidRPr="00A17DFB">
        <w:t xml:space="preserve">LR, </w:t>
      </w:r>
      <w:r w:rsidR="00F06E93" w:rsidRPr="00A17DFB">
        <w:rPr>
          <w:rFonts w:hint="eastAsia"/>
        </w:rPr>
        <w:t>DR</w:t>
      </w:r>
      <w:r w:rsidR="00F06E93" w:rsidRPr="00A17DFB">
        <w:t xml:space="preserve"> </w:t>
      </w:r>
      <w:r w:rsidR="00F06E93" w:rsidRPr="00A17DFB">
        <w:rPr>
          <w:rFonts w:hint="eastAsia"/>
        </w:rPr>
        <w:t>and</w:t>
      </w:r>
      <w:r w:rsidR="00F06E93" w:rsidRPr="00A17DFB">
        <w:t xml:space="preserve"> </w:t>
      </w:r>
      <w:r w:rsidR="00F06E93" w:rsidRPr="00A17DFB">
        <w:rPr>
          <w:rFonts w:hint="eastAsia"/>
        </w:rPr>
        <w:t>UR</w:t>
      </w:r>
      <w:r w:rsidR="00F06E93" w:rsidRPr="00A17DFB">
        <w:t xml:space="preserve"> </w:t>
      </w:r>
      <w:r w:rsidR="009F14D1" w:rsidRPr="00A17DFB">
        <w:t>principles,</w:t>
      </w:r>
      <w:r w:rsidR="00B229C1" w:rsidRPr="00A17DFB">
        <w:t xml:space="preserve"> </w:t>
      </w:r>
      <w:r w:rsidR="00F06E93" w:rsidRPr="00A17DFB">
        <w:rPr>
          <w:rFonts w:hint="eastAsia"/>
        </w:rPr>
        <w:t>respectively</w:t>
      </w:r>
      <w:r w:rsidR="00F06E93" w:rsidRPr="00A17DFB">
        <w:t>.</w:t>
      </w:r>
      <w:r w:rsidR="00150B4E" w:rsidRPr="00A17DFB">
        <w:t xml:space="preserve"> </w:t>
      </w:r>
      <w:r w:rsidR="00D526AD" w:rsidRPr="00A17DFB">
        <w:t xml:space="preserve">Several extensions and variants to this problem have been introduced in the literature. For example, </w:t>
      </w:r>
      <w:r w:rsidR="00D526AD" w:rsidRPr="00A17DFB">
        <w:fldChar w:fldCharType="begin"/>
      </w:r>
      <w:r w:rsidR="00D526AD" w:rsidRPr="00A17DFB">
        <w:instrText xml:space="preserve"> ADDIN EN.CITE &lt;EndNote&gt;&lt;Cite AuthorYear="1"&gt;&lt;Author&gt;Alcalde-Unzu&lt;/Author&gt;&lt;Year&gt;2015&lt;/Year&gt;&lt;RecNum&gt;247&lt;/RecNum&gt;&lt;DisplayText&gt;Alcalde-Unzu et al. (2015)&lt;/DisplayText&gt;&lt;record&gt;&lt;rec-number&gt;247&lt;/rec-number&gt;&lt;foreign-keys&gt;&lt;key app="EN" db-id="x5etaz5aiszvz0edasvvpwvotttxepvd25t2" timestamp="1611179203"&gt;247&lt;/key&gt;&lt;/foreign-keys&gt;&lt;ref-type name="Journal Article"&gt;17&lt;/ref-type&gt;&lt;contributors&gt;&lt;authors&gt;&lt;author&gt;Alcalde-Unzu, Jorge&lt;/author&gt;&lt;author&gt;Gómez-Rúa, María&lt;/author&gt;&lt;author&gt;Molis, Elena&lt;/author&gt;&lt;/authors&gt;&lt;/contributors&gt;&lt;titles&gt;&lt;title&gt;Sharing the costs of cleaning a river: the Upstream Responsibility rule&lt;/title&gt;&lt;secondary-title&gt;Games and Economic Behavior&lt;/secondary-title&gt;&lt;/titles&gt;&lt;periodical&gt;&lt;full-title&gt;Games and Economic Behavior&lt;/full-title&gt;&lt;/periodical&gt;&lt;pages&gt;134-150&lt;/pages&gt;&lt;volume&gt;90&lt;/volume&gt;&lt;keywords&gt;&lt;keyword&gt;Cost allocation&lt;/keyword&gt;&lt;keyword&gt;Waste river&lt;/keyword&gt;&lt;keyword&gt;Responsibility&lt;/keyword&gt;&lt;keyword&gt;Characterization&lt;/keyword&gt;&lt;/keywords&gt;&lt;dates&gt;&lt;year&gt;2015&lt;/year&gt;&lt;pub-dates&gt;&lt;date&gt;2015/03/01/&lt;/date&gt;&lt;/pub-dates&gt;&lt;/dates&gt;&lt;isbn&gt;0899-8256&lt;/isbn&gt;&lt;urls&gt;&lt;related-urls&gt;&lt;url&gt;http://www.sciencedirect.com/science/article/pii/S0899825615000305&lt;/url&gt;&lt;/related-urls&gt;&lt;/urls&gt;&lt;electronic-resource-num&gt;https://doi.org/10.1016/j.geb.2015.02.008&lt;/electronic-resource-num&gt;&lt;/record&gt;&lt;/Cite&gt;&lt;/EndNote&gt;</w:instrText>
      </w:r>
      <w:r w:rsidR="00D526AD" w:rsidRPr="00A17DFB">
        <w:fldChar w:fldCharType="separate"/>
      </w:r>
      <w:r w:rsidR="00D526AD" w:rsidRPr="00A17DFB">
        <w:t>Alcalde-Unzu et al. (2015)</w:t>
      </w:r>
      <w:r w:rsidR="00D526AD" w:rsidRPr="00A17DFB">
        <w:fldChar w:fldCharType="end"/>
      </w:r>
      <w:r w:rsidR="00D526AD" w:rsidRPr="00A17DFB">
        <w:t xml:space="preserve"> use a upgraded UES rules which considering the pollutant transferring rate, to deal with the cost sharing problem of the river cleaning. Their rules provide an axiomatic characterization based on ideas concerning the various scopes of the responsibility in different regions. </w:t>
      </w:r>
      <w:r w:rsidR="00D526AD" w:rsidRPr="00A17DFB">
        <w:fldChar w:fldCharType="begin"/>
      </w:r>
      <w:r w:rsidR="00D526AD" w:rsidRPr="00A17DFB">
        <w:instrText xml:space="preserve"> ADDIN EN.CITE &lt;EndNote&gt;&lt;Cite AuthorYear="1"&gt;&lt;Author&gt;van den Brink&lt;/Author&gt;&lt;Year&gt;2018&lt;/Year&gt;&lt;RecNum&gt;248&lt;/RecNum&gt;&lt;DisplayText&gt;van den Brink et al. (2018)&lt;/DisplayText&gt;&lt;record&gt;&lt;rec-number&gt;248&lt;/rec-number&gt;&lt;foreign-keys&gt;&lt;key app="EN" db-id="x5etaz5aiszvz0edasvvpwvotttxepvd25t2" timestamp="1611179307"&gt;248&lt;/key&gt;&lt;/foreign-keys&gt;&lt;ref-type name="Journal Article"&gt;17&lt;/ref-type&gt;&lt;contributors&gt;&lt;authors&gt;&lt;author&gt;van den Brink, René&lt;/author&gt;&lt;author&gt;He, Simin&lt;/author&gt;&lt;author&gt;Huang, Jia-Ping&lt;/author&gt;&lt;/authors&gt;&lt;/contributors&gt;&lt;titles&gt;&lt;title&gt;Polluted river problems and games with a permission structure&lt;/title&gt;&lt;secondary-title&gt;Games and Economic Behavior&lt;/secondary-title&gt;&lt;/titles&gt;&lt;periodical&gt;&lt;full-title&gt;Games and Economic Behavior&lt;/full-title&gt;&lt;/periodical&gt;&lt;pages&gt;182-205&lt;/pages&gt;&lt;volume&gt;108&lt;/volume&gt;&lt;keywords&gt;&lt;keyword&gt;Polluted river&lt;/keyword&gt;&lt;keyword&gt;Cost sharing&lt;/keyword&gt;&lt;keyword&gt;Axiomatization&lt;/keyword&gt;&lt;keyword&gt;Permission values&lt;/keyword&gt;&lt;/keywords&gt;&lt;dates&gt;&lt;year&gt;2018&lt;/year&gt;&lt;pub-dates&gt;&lt;date&gt;2018/03/01/&lt;/date&gt;&lt;/pub-dates&gt;&lt;/dates&gt;&lt;isbn&gt;0899-8256&lt;/isbn&gt;&lt;urls&gt;&lt;related-urls&gt;&lt;url&gt;http://www.sciencedirect.com/science/article/pii/S089982561730177X&lt;/url&gt;&lt;/related-urls&gt;&lt;/urls&gt;&lt;electronic-resource-num&gt;https://doi.org/10.1016/j.geb.2017.10.005&lt;/electronic-resource-num&gt;&lt;/record&gt;&lt;/Cite&gt;&lt;/EndNote&gt;</w:instrText>
      </w:r>
      <w:r w:rsidR="00D526AD" w:rsidRPr="00A17DFB">
        <w:fldChar w:fldCharType="separate"/>
      </w:r>
      <w:r w:rsidR="00D526AD" w:rsidRPr="00A17DFB">
        <w:t>van den Brink et al. (2018)</w:t>
      </w:r>
      <w:r w:rsidR="00D526AD" w:rsidRPr="00A17DFB">
        <w:fldChar w:fldCharType="end"/>
      </w:r>
      <w:r w:rsidR="00D526AD" w:rsidRPr="00A17DFB">
        <w:t xml:space="preserve"> considered polluted river problems as games with a permission structure and showed how the UES and DES methods can be obtained by applying the conjunctive permission value to this game.</w:t>
      </w:r>
      <w:r w:rsidR="00D526AD" w:rsidRPr="00D526AD">
        <w:rPr>
          <w:color w:val="FF0000"/>
        </w:rPr>
        <w:t xml:space="preserve"> </w:t>
      </w:r>
    </w:p>
    <w:p w14:paraId="6981170B" w14:textId="77777777" w:rsidR="00D526AD" w:rsidRDefault="00D526AD" w:rsidP="009959FA">
      <w:pPr>
        <w:spacing w:after="240" w:line="360" w:lineRule="auto"/>
        <w:rPr>
          <w:lang w:val="en-US"/>
        </w:rPr>
      </w:pPr>
    </w:p>
    <w:p w14:paraId="0CA5E49B" w14:textId="465A67C2" w:rsidR="00137D38" w:rsidRDefault="00CE63CF" w:rsidP="009959FA">
      <w:pPr>
        <w:spacing w:after="240" w:line="360" w:lineRule="auto"/>
      </w:pPr>
      <w:r>
        <w:object w:dxaOrig="11565" w:dyaOrig="14056" w14:anchorId="6B4E0DE7">
          <v:shape id="_x0000_i1032" type="#_x0000_t75" style="width:451.05pt;height:548.2pt" o:ole="">
            <v:imagedata r:id="rId53" o:title=""/>
          </v:shape>
          <o:OLEObject Type="Embed" ProgID="Visio.Drawing.15" ShapeID="_x0000_i1032" DrawAspect="Content" ObjectID="_1681648039" r:id="rId54"/>
        </w:object>
      </w:r>
    </w:p>
    <w:p w14:paraId="14E02EA8" w14:textId="095E8E1B" w:rsidR="00682383" w:rsidRPr="003E4CC4" w:rsidRDefault="00682383" w:rsidP="00682383">
      <w:pPr>
        <w:pStyle w:val="Caption"/>
        <w:rPr>
          <w:lang w:val="en-US"/>
        </w:rPr>
      </w:pPr>
      <w:bookmarkStart w:id="581" w:name="_Ref44950437"/>
      <w:bookmarkStart w:id="582" w:name="_Toc46053678"/>
      <w:bookmarkStart w:id="583" w:name="_Toc66698709"/>
      <w:r>
        <w:t xml:space="preserve">Figure </w:t>
      </w:r>
      <w:r w:rsidR="000306D9">
        <w:fldChar w:fldCharType="begin"/>
      </w:r>
      <w:r w:rsidR="000306D9">
        <w:instrText xml:space="preserve"> STYLEREF 1 \s </w:instrText>
      </w:r>
      <w:r w:rsidR="000306D9">
        <w:fldChar w:fldCharType="separate"/>
      </w:r>
      <w:r w:rsidR="0005064B">
        <w:rPr>
          <w:noProof/>
        </w:rPr>
        <w:t>3</w:t>
      </w:r>
      <w:r w:rsidR="000306D9">
        <w:rPr>
          <w:noProof/>
        </w:rPr>
        <w:fldChar w:fldCharType="end"/>
      </w:r>
      <w:r w:rsidR="00632993">
        <w:noBreakHyphen/>
      </w:r>
      <w:r w:rsidR="000306D9">
        <w:fldChar w:fldCharType="begin"/>
      </w:r>
      <w:r w:rsidR="000306D9">
        <w:instrText xml:space="preserve"> SEQ Figure \* ARABIC \s 1 </w:instrText>
      </w:r>
      <w:r w:rsidR="000306D9">
        <w:fldChar w:fldCharType="separate"/>
      </w:r>
      <w:r w:rsidR="0005064B">
        <w:rPr>
          <w:noProof/>
        </w:rPr>
        <w:t>6</w:t>
      </w:r>
      <w:r w:rsidR="000306D9">
        <w:rPr>
          <w:noProof/>
        </w:rPr>
        <w:fldChar w:fldCharType="end"/>
      </w:r>
      <w:bookmarkEnd w:id="581"/>
      <w:r w:rsidR="00FD1FFD">
        <w:rPr>
          <w:noProof/>
        </w:rPr>
        <w:t>:</w:t>
      </w:r>
      <w:r w:rsidR="00256051">
        <w:rPr>
          <w:noProof/>
        </w:rPr>
        <w:t xml:space="preserve"> </w:t>
      </w:r>
      <w:r w:rsidR="00D45843">
        <w:rPr>
          <w:noProof/>
        </w:rPr>
        <w:t>Cost sharing principle</w:t>
      </w:r>
      <w:bookmarkEnd w:id="582"/>
      <w:r w:rsidR="00315D64">
        <w:rPr>
          <w:noProof/>
        </w:rPr>
        <w:t>s</w:t>
      </w:r>
      <w:bookmarkEnd w:id="583"/>
    </w:p>
    <w:p w14:paraId="5E06F94D" w14:textId="77777777" w:rsidR="0092585F" w:rsidRDefault="0092585F" w:rsidP="006F7658">
      <w:pPr>
        <w:spacing w:after="240" w:line="360" w:lineRule="auto"/>
        <w:rPr>
          <w:lang w:val="en-US"/>
        </w:rPr>
      </w:pPr>
    </w:p>
    <w:p w14:paraId="5607C731" w14:textId="77777777" w:rsidR="0092585F" w:rsidRDefault="0092585F" w:rsidP="006F7658">
      <w:pPr>
        <w:spacing w:after="240" w:line="360" w:lineRule="auto"/>
        <w:rPr>
          <w:lang w:val="en-US"/>
        </w:rPr>
      </w:pPr>
    </w:p>
    <w:p w14:paraId="38117FD9" w14:textId="77777777" w:rsidR="0092585F" w:rsidRDefault="0092585F" w:rsidP="006F7658">
      <w:pPr>
        <w:spacing w:after="240" w:line="360" w:lineRule="auto"/>
        <w:rPr>
          <w:lang w:val="en-US"/>
        </w:rPr>
      </w:pPr>
    </w:p>
    <w:p w14:paraId="6499A6C6" w14:textId="31450A5B" w:rsidR="006F7658" w:rsidRDefault="006F7658" w:rsidP="006F7658">
      <w:pPr>
        <w:spacing w:after="240" w:line="360" w:lineRule="auto"/>
        <w:rPr>
          <w:lang w:val="en-US"/>
        </w:rPr>
      </w:pPr>
      <w:r>
        <w:rPr>
          <w:lang w:val="en-US"/>
        </w:rPr>
        <w:lastRenderedPageBreak/>
        <w:t xml:space="preserve">As proved by </w:t>
      </w:r>
      <w:r w:rsidRPr="008838E7">
        <w:t xml:space="preserve">Ning and Wang </w:t>
      </w:r>
      <w:r w:rsidR="000D263E">
        <w:t>(</w:t>
      </w:r>
      <w:r w:rsidRPr="008838E7">
        <w:t>2006</w:t>
      </w:r>
      <w:r>
        <w:t xml:space="preserve">) and Dong </w:t>
      </w:r>
      <w:r>
        <w:rPr>
          <w:rFonts w:hint="eastAsia"/>
        </w:rPr>
        <w:t>et</w:t>
      </w:r>
      <w:r>
        <w:t xml:space="preserve"> </w:t>
      </w:r>
      <w:r>
        <w:rPr>
          <w:rFonts w:hint="eastAsia"/>
        </w:rPr>
        <w:t>al</w:t>
      </w:r>
      <w:r w:rsidR="003E1251">
        <w:t>.</w:t>
      </w:r>
      <w:r>
        <w:t xml:space="preserve"> </w:t>
      </w:r>
      <w:r>
        <w:rPr>
          <w:lang w:val="en-US"/>
        </w:rPr>
        <w:t xml:space="preserve">(2012), the </w:t>
      </w:r>
      <w:r>
        <w:rPr>
          <w:rFonts w:hint="eastAsia"/>
          <w:lang w:val="en-US"/>
        </w:rPr>
        <w:t>three</w:t>
      </w:r>
      <w:r>
        <w:rPr>
          <w:lang w:val="en-US"/>
        </w:rPr>
        <w:t xml:space="preserve"> </w:t>
      </w:r>
      <w:r>
        <w:rPr>
          <w:rFonts w:hint="eastAsia"/>
          <w:lang w:val="en-US"/>
        </w:rPr>
        <w:t>cost</w:t>
      </w:r>
      <w:r>
        <w:rPr>
          <w:lang w:val="en-US"/>
        </w:rPr>
        <w:t xml:space="preserve"> </w:t>
      </w:r>
      <w:r>
        <w:rPr>
          <w:rFonts w:hint="eastAsia"/>
          <w:lang w:val="en-US"/>
        </w:rPr>
        <w:t>sharing</w:t>
      </w:r>
      <w:r>
        <w:rPr>
          <w:lang w:val="en-US"/>
        </w:rPr>
        <w:t xml:space="preserve"> </w:t>
      </w:r>
      <w:r>
        <w:rPr>
          <w:rFonts w:hint="eastAsia"/>
          <w:lang w:val="en-US"/>
        </w:rPr>
        <w:t>methods</w:t>
      </w:r>
      <w:r>
        <w:rPr>
          <w:lang w:val="en-US"/>
        </w:rPr>
        <w:t xml:space="preserve"> </w:t>
      </w:r>
      <w:r>
        <w:rPr>
          <w:rFonts w:hint="eastAsia"/>
          <w:lang w:val="en-US"/>
        </w:rPr>
        <w:t>have</w:t>
      </w:r>
      <w:r>
        <w:rPr>
          <w:lang w:val="en-US"/>
        </w:rPr>
        <w:t xml:space="preserve"> </w:t>
      </w:r>
      <w:r w:rsidR="00277A0B">
        <w:rPr>
          <w:lang w:val="en-US"/>
        </w:rPr>
        <w:t xml:space="preserve">the </w:t>
      </w:r>
      <w:r>
        <w:rPr>
          <w:rFonts w:hint="eastAsia"/>
          <w:lang w:val="en-US"/>
        </w:rPr>
        <w:t>following</w:t>
      </w:r>
      <w:r>
        <w:rPr>
          <w:lang w:val="en-US"/>
        </w:rPr>
        <w:t xml:space="preserve"> </w:t>
      </w:r>
      <w:proofErr w:type="spellStart"/>
      <w:r>
        <w:rPr>
          <w:lang w:val="en-US"/>
        </w:rPr>
        <w:t>characteri</w:t>
      </w:r>
      <w:r w:rsidR="00277A0B">
        <w:rPr>
          <w:lang w:val="en-US"/>
        </w:rPr>
        <w:t>s</w:t>
      </w:r>
      <w:r>
        <w:rPr>
          <w:lang w:val="en-US"/>
        </w:rPr>
        <w:t>ation</w:t>
      </w:r>
      <w:proofErr w:type="spellEnd"/>
      <w:r w:rsidR="0039363E">
        <w:rPr>
          <w:lang w:val="en-US"/>
        </w:rPr>
        <w:t xml:space="preserve"> (</w:t>
      </w:r>
      <w:r w:rsidR="00922B67">
        <w:rPr>
          <w:lang w:val="en-US"/>
        </w:rPr>
        <w:fldChar w:fldCharType="begin"/>
      </w:r>
      <w:r w:rsidR="00922B67">
        <w:rPr>
          <w:lang w:val="en-US"/>
        </w:rPr>
        <w:instrText xml:space="preserve"> REF _Ref44950614 \h </w:instrText>
      </w:r>
      <w:r w:rsidR="00922B67">
        <w:rPr>
          <w:lang w:val="en-US"/>
        </w:rPr>
      </w:r>
      <w:r w:rsidR="00922B67">
        <w:rPr>
          <w:lang w:val="en-US"/>
        </w:rPr>
        <w:fldChar w:fldCharType="separate"/>
      </w:r>
      <w:r w:rsidR="0005064B">
        <w:t xml:space="preserve">Table </w:t>
      </w:r>
      <w:r w:rsidR="0005064B">
        <w:rPr>
          <w:noProof/>
        </w:rPr>
        <w:t>3</w:t>
      </w:r>
      <w:r w:rsidR="0005064B">
        <w:noBreakHyphen/>
      </w:r>
      <w:r w:rsidR="0005064B">
        <w:rPr>
          <w:noProof/>
        </w:rPr>
        <w:t>5</w:t>
      </w:r>
      <w:r w:rsidR="00922B67">
        <w:rPr>
          <w:lang w:val="en-US"/>
        </w:rPr>
        <w:fldChar w:fldCharType="end"/>
      </w:r>
      <w:r w:rsidR="0039363E">
        <w:rPr>
          <w:lang w:val="en-US"/>
        </w:rPr>
        <w:t>)</w:t>
      </w:r>
      <w:r>
        <w:rPr>
          <w:lang w:val="en-US"/>
        </w:rPr>
        <w:t>:</w:t>
      </w:r>
    </w:p>
    <w:tbl>
      <w:tblPr>
        <w:tblStyle w:val="TableGrid"/>
        <w:tblW w:w="9016" w:type="dxa"/>
        <w:tblLayout w:type="fixed"/>
        <w:tblLook w:val="04A0" w:firstRow="1" w:lastRow="0" w:firstColumn="1" w:lastColumn="0" w:noHBand="0" w:noVBand="1"/>
      </w:tblPr>
      <w:tblGrid>
        <w:gridCol w:w="1975"/>
        <w:gridCol w:w="708"/>
        <w:gridCol w:w="676"/>
        <w:gridCol w:w="644"/>
        <w:gridCol w:w="5013"/>
      </w:tblGrid>
      <w:tr w:rsidR="006F7658" w:rsidRPr="003D09BD" w14:paraId="08E851D8" w14:textId="77777777" w:rsidTr="003D09BD">
        <w:trPr>
          <w:trHeight w:val="98"/>
        </w:trPr>
        <w:tc>
          <w:tcPr>
            <w:tcW w:w="1975" w:type="dxa"/>
            <w:vMerge w:val="restart"/>
            <w:vAlign w:val="center"/>
          </w:tcPr>
          <w:p w14:paraId="759FE3CD" w14:textId="77777777" w:rsidR="006F7658" w:rsidRPr="003D09BD" w:rsidRDefault="006F7658" w:rsidP="00622AC7">
            <w:pPr>
              <w:spacing w:line="240" w:lineRule="auto"/>
              <w:jc w:val="center"/>
              <w:rPr>
                <w:rFonts w:cs="Times New Roman"/>
                <w:b/>
                <w:bCs/>
                <w:sz w:val="22"/>
              </w:rPr>
            </w:pPr>
            <w:r w:rsidRPr="003D09BD">
              <w:rPr>
                <w:rFonts w:cs="Times New Roman"/>
                <w:b/>
                <w:bCs/>
                <w:color w:val="000000"/>
                <w:sz w:val="22"/>
              </w:rPr>
              <w:t>Characterization</w:t>
            </w:r>
          </w:p>
        </w:tc>
        <w:tc>
          <w:tcPr>
            <w:tcW w:w="2028" w:type="dxa"/>
            <w:gridSpan w:val="3"/>
            <w:vAlign w:val="center"/>
          </w:tcPr>
          <w:p w14:paraId="11F32291" w14:textId="77777777" w:rsidR="006F7658" w:rsidRPr="003D09BD" w:rsidRDefault="006F7658" w:rsidP="00622AC7">
            <w:pPr>
              <w:spacing w:line="240" w:lineRule="auto"/>
              <w:jc w:val="center"/>
              <w:rPr>
                <w:rFonts w:cs="Times New Roman"/>
                <w:b/>
                <w:bCs/>
                <w:sz w:val="22"/>
              </w:rPr>
            </w:pPr>
            <w:r w:rsidRPr="003D09BD">
              <w:rPr>
                <w:rFonts w:cs="Times New Roman"/>
                <w:b/>
                <w:bCs/>
                <w:sz w:val="22"/>
              </w:rPr>
              <w:t>Cost Allocation Methods</w:t>
            </w:r>
          </w:p>
        </w:tc>
        <w:tc>
          <w:tcPr>
            <w:tcW w:w="5013" w:type="dxa"/>
            <w:vMerge w:val="restart"/>
            <w:vAlign w:val="center"/>
          </w:tcPr>
          <w:p w14:paraId="3781C827" w14:textId="77777777" w:rsidR="006F7658" w:rsidRPr="003D09BD" w:rsidRDefault="006F7658" w:rsidP="00622AC7">
            <w:pPr>
              <w:spacing w:line="240" w:lineRule="auto"/>
              <w:jc w:val="center"/>
              <w:rPr>
                <w:rFonts w:cs="Times New Roman"/>
                <w:b/>
                <w:bCs/>
                <w:sz w:val="22"/>
              </w:rPr>
            </w:pPr>
            <w:r w:rsidRPr="003D09BD">
              <w:rPr>
                <w:rFonts w:cs="Times New Roman"/>
                <w:b/>
                <w:bCs/>
                <w:sz w:val="22"/>
              </w:rPr>
              <w:t>Explanations</w:t>
            </w:r>
          </w:p>
        </w:tc>
      </w:tr>
      <w:tr w:rsidR="003D09BD" w:rsidRPr="003D09BD" w14:paraId="46D9A19B" w14:textId="77777777" w:rsidTr="003D09BD">
        <w:trPr>
          <w:trHeight w:val="125"/>
        </w:trPr>
        <w:tc>
          <w:tcPr>
            <w:tcW w:w="1975" w:type="dxa"/>
            <w:vMerge/>
            <w:vAlign w:val="center"/>
          </w:tcPr>
          <w:p w14:paraId="53987E7E" w14:textId="77777777" w:rsidR="006F7658" w:rsidRPr="003D09BD" w:rsidRDefault="006F7658" w:rsidP="00622AC7">
            <w:pPr>
              <w:spacing w:line="240" w:lineRule="auto"/>
              <w:jc w:val="left"/>
              <w:rPr>
                <w:rFonts w:cs="Times New Roman"/>
                <w:b/>
                <w:bCs/>
                <w:color w:val="000000"/>
                <w:sz w:val="22"/>
              </w:rPr>
            </w:pPr>
          </w:p>
        </w:tc>
        <w:tc>
          <w:tcPr>
            <w:tcW w:w="708" w:type="dxa"/>
            <w:vAlign w:val="center"/>
          </w:tcPr>
          <w:p w14:paraId="1C399C5D" w14:textId="77777777" w:rsidR="006F7658" w:rsidRPr="003D09BD" w:rsidRDefault="006F7658" w:rsidP="00622AC7">
            <w:pPr>
              <w:spacing w:line="240" w:lineRule="auto"/>
              <w:jc w:val="left"/>
              <w:rPr>
                <w:rFonts w:cs="Times New Roman"/>
                <w:b/>
                <w:bCs/>
                <w:sz w:val="22"/>
              </w:rPr>
            </w:pPr>
            <w:r w:rsidRPr="003D09BD">
              <w:rPr>
                <w:rFonts w:cs="Times New Roman"/>
                <w:b/>
                <w:bCs/>
                <w:sz w:val="22"/>
              </w:rPr>
              <w:t>LRS</w:t>
            </w:r>
          </w:p>
        </w:tc>
        <w:tc>
          <w:tcPr>
            <w:tcW w:w="676" w:type="dxa"/>
          </w:tcPr>
          <w:p w14:paraId="69306789" w14:textId="77777777" w:rsidR="006F7658" w:rsidRPr="003D09BD" w:rsidRDefault="006F7658" w:rsidP="00622AC7">
            <w:pPr>
              <w:spacing w:line="240" w:lineRule="auto"/>
              <w:jc w:val="center"/>
              <w:rPr>
                <w:rFonts w:cs="Times New Roman"/>
                <w:b/>
                <w:bCs/>
                <w:sz w:val="22"/>
              </w:rPr>
            </w:pPr>
            <w:r w:rsidRPr="003D09BD">
              <w:rPr>
                <w:rFonts w:cs="Times New Roman"/>
                <w:b/>
                <w:bCs/>
                <w:sz w:val="22"/>
              </w:rPr>
              <w:t>UES</w:t>
            </w:r>
          </w:p>
        </w:tc>
        <w:tc>
          <w:tcPr>
            <w:tcW w:w="644" w:type="dxa"/>
            <w:vAlign w:val="center"/>
          </w:tcPr>
          <w:p w14:paraId="0100E51D" w14:textId="77777777" w:rsidR="006F7658" w:rsidRPr="003D09BD" w:rsidRDefault="006F7658" w:rsidP="00622AC7">
            <w:pPr>
              <w:spacing w:line="240" w:lineRule="auto"/>
              <w:jc w:val="center"/>
              <w:rPr>
                <w:rFonts w:cs="Times New Roman"/>
                <w:b/>
                <w:bCs/>
                <w:sz w:val="22"/>
              </w:rPr>
            </w:pPr>
            <w:r w:rsidRPr="003D09BD">
              <w:rPr>
                <w:rFonts w:cs="Times New Roman"/>
                <w:b/>
                <w:bCs/>
                <w:sz w:val="22"/>
              </w:rPr>
              <w:t>DES</w:t>
            </w:r>
          </w:p>
        </w:tc>
        <w:tc>
          <w:tcPr>
            <w:tcW w:w="5013" w:type="dxa"/>
            <w:vMerge/>
            <w:vAlign w:val="center"/>
          </w:tcPr>
          <w:p w14:paraId="1A62440F" w14:textId="77777777" w:rsidR="006F7658" w:rsidRPr="003D09BD" w:rsidRDefault="006F7658" w:rsidP="00622AC7">
            <w:pPr>
              <w:spacing w:line="240" w:lineRule="auto"/>
              <w:jc w:val="center"/>
              <w:rPr>
                <w:rFonts w:cs="Times New Roman"/>
                <w:b/>
                <w:bCs/>
                <w:sz w:val="22"/>
              </w:rPr>
            </w:pPr>
          </w:p>
        </w:tc>
      </w:tr>
      <w:tr w:rsidR="006F7658" w:rsidRPr="003D09BD" w14:paraId="4DB6243F" w14:textId="77777777" w:rsidTr="00AE2DAD">
        <w:tc>
          <w:tcPr>
            <w:tcW w:w="1975" w:type="dxa"/>
            <w:vAlign w:val="center"/>
          </w:tcPr>
          <w:p w14:paraId="26199874" w14:textId="77777777" w:rsidR="006F7658" w:rsidRPr="003D09BD" w:rsidRDefault="006F7658" w:rsidP="00622AC7">
            <w:pPr>
              <w:spacing w:line="240" w:lineRule="auto"/>
              <w:jc w:val="center"/>
              <w:rPr>
                <w:rFonts w:cs="Times New Roman"/>
                <w:sz w:val="22"/>
              </w:rPr>
            </w:pPr>
            <w:r w:rsidRPr="003D09BD">
              <w:rPr>
                <w:rFonts w:cs="Times New Roman"/>
                <w:b/>
                <w:bCs/>
                <w:color w:val="000000"/>
                <w:sz w:val="22"/>
              </w:rPr>
              <w:t>Additivity</w:t>
            </w:r>
          </w:p>
        </w:tc>
        <w:tc>
          <w:tcPr>
            <w:tcW w:w="708" w:type="dxa"/>
            <w:vAlign w:val="center"/>
          </w:tcPr>
          <w:p w14:paraId="3EFA73E8" w14:textId="77777777" w:rsidR="006F7658" w:rsidRPr="003D09BD" w:rsidRDefault="006F7658" w:rsidP="00622AC7">
            <w:pPr>
              <w:spacing w:line="240" w:lineRule="auto"/>
              <w:jc w:val="center"/>
              <w:rPr>
                <w:rFonts w:cs="Times New Roman"/>
                <w:sz w:val="22"/>
              </w:rPr>
            </w:pPr>
            <w:r w:rsidRPr="003D09BD">
              <w:rPr>
                <w:rFonts w:cs="Times New Roman"/>
                <w:sz w:val="22"/>
              </w:rPr>
              <w:sym w:font="Wingdings" w:char="F0FC"/>
            </w:r>
          </w:p>
        </w:tc>
        <w:tc>
          <w:tcPr>
            <w:tcW w:w="676" w:type="dxa"/>
            <w:vAlign w:val="center"/>
          </w:tcPr>
          <w:p w14:paraId="293D55FD" w14:textId="77777777" w:rsidR="006F7658" w:rsidRPr="003D09BD" w:rsidRDefault="006F7658" w:rsidP="00622AC7">
            <w:pPr>
              <w:spacing w:line="240" w:lineRule="auto"/>
              <w:jc w:val="center"/>
              <w:rPr>
                <w:rFonts w:cs="Times New Roman"/>
                <w:sz w:val="22"/>
              </w:rPr>
            </w:pPr>
            <w:r w:rsidRPr="003D09BD">
              <w:rPr>
                <w:rFonts w:cs="Times New Roman"/>
                <w:sz w:val="22"/>
              </w:rPr>
              <w:sym w:font="Wingdings" w:char="F0FC"/>
            </w:r>
          </w:p>
        </w:tc>
        <w:tc>
          <w:tcPr>
            <w:tcW w:w="644" w:type="dxa"/>
            <w:vAlign w:val="center"/>
          </w:tcPr>
          <w:p w14:paraId="3118820F" w14:textId="77777777" w:rsidR="006F7658" w:rsidRPr="003D09BD" w:rsidRDefault="006F7658" w:rsidP="00AE2DAD">
            <w:pPr>
              <w:spacing w:line="240" w:lineRule="auto"/>
              <w:jc w:val="center"/>
              <w:rPr>
                <w:rFonts w:cs="Times New Roman"/>
                <w:sz w:val="22"/>
              </w:rPr>
            </w:pPr>
            <w:r w:rsidRPr="003D09BD">
              <w:rPr>
                <w:rFonts w:cs="Times New Roman"/>
                <w:sz w:val="22"/>
              </w:rPr>
              <w:sym w:font="Wingdings" w:char="F0FC"/>
            </w:r>
          </w:p>
        </w:tc>
        <w:tc>
          <w:tcPr>
            <w:tcW w:w="5013" w:type="dxa"/>
            <w:vAlign w:val="center"/>
          </w:tcPr>
          <w:p w14:paraId="1442474D" w14:textId="77777777" w:rsidR="006F7658" w:rsidRPr="003D09BD" w:rsidRDefault="006F7658" w:rsidP="00622AC7">
            <w:pPr>
              <w:spacing w:line="240" w:lineRule="auto"/>
              <w:jc w:val="left"/>
              <w:rPr>
                <w:rFonts w:cs="Times New Roman"/>
                <w:sz w:val="22"/>
              </w:rPr>
            </w:pPr>
            <w:r w:rsidRPr="003D09BD">
              <w:rPr>
                <w:rFonts w:cs="Times New Roman"/>
                <w:sz w:val="22"/>
              </w:rPr>
              <w:t>There is no difference whether the factories share the two costs separately or together.</w:t>
            </w:r>
          </w:p>
        </w:tc>
      </w:tr>
      <w:tr w:rsidR="006F7658" w:rsidRPr="003D09BD" w14:paraId="1048C4DC" w14:textId="77777777" w:rsidTr="003D09BD">
        <w:tc>
          <w:tcPr>
            <w:tcW w:w="1975" w:type="dxa"/>
            <w:vAlign w:val="center"/>
          </w:tcPr>
          <w:p w14:paraId="5F996578" w14:textId="77777777" w:rsidR="006F7658" w:rsidRPr="003D09BD" w:rsidRDefault="006F7658" w:rsidP="00622AC7">
            <w:pPr>
              <w:spacing w:line="240" w:lineRule="auto"/>
              <w:jc w:val="center"/>
              <w:rPr>
                <w:rFonts w:cs="Times New Roman"/>
                <w:sz w:val="22"/>
              </w:rPr>
            </w:pPr>
            <w:r w:rsidRPr="003D09BD">
              <w:rPr>
                <w:rFonts w:cs="Times New Roman"/>
                <w:b/>
                <w:bCs/>
                <w:color w:val="000000"/>
                <w:sz w:val="22"/>
              </w:rPr>
              <w:t>No Blind Cost</w:t>
            </w:r>
          </w:p>
        </w:tc>
        <w:tc>
          <w:tcPr>
            <w:tcW w:w="708" w:type="dxa"/>
            <w:vAlign w:val="center"/>
          </w:tcPr>
          <w:p w14:paraId="1AD68B9B" w14:textId="77777777" w:rsidR="006F7658" w:rsidRPr="003D09BD" w:rsidRDefault="006F7658" w:rsidP="00622AC7">
            <w:pPr>
              <w:spacing w:line="240" w:lineRule="auto"/>
              <w:jc w:val="center"/>
              <w:rPr>
                <w:rFonts w:cs="Times New Roman"/>
                <w:sz w:val="22"/>
              </w:rPr>
            </w:pPr>
            <w:r w:rsidRPr="003D09BD">
              <w:rPr>
                <w:rFonts w:cs="Times New Roman"/>
                <w:sz w:val="22"/>
              </w:rPr>
              <w:sym w:font="Wingdings" w:char="F0FC"/>
            </w:r>
          </w:p>
        </w:tc>
        <w:tc>
          <w:tcPr>
            <w:tcW w:w="676" w:type="dxa"/>
            <w:vAlign w:val="center"/>
          </w:tcPr>
          <w:p w14:paraId="33B67913" w14:textId="77777777" w:rsidR="006F7658" w:rsidRPr="003D09BD" w:rsidRDefault="006F7658" w:rsidP="00622AC7">
            <w:pPr>
              <w:spacing w:line="240" w:lineRule="auto"/>
              <w:jc w:val="center"/>
              <w:rPr>
                <w:rFonts w:cs="Times New Roman"/>
                <w:sz w:val="22"/>
              </w:rPr>
            </w:pPr>
          </w:p>
        </w:tc>
        <w:tc>
          <w:tcPr>
            <w:tcW w:w="644" w:type="dxa"/>
            <w:vAlign w:val="bottom"/>
          </w:tcPr>
          <w:p w14:paraId="7A4F977B" w14:textId="77777777" w:rsidR="006F7658" w:rsidRPr="003D09BD" w:rsidRDefault="006F7658" w:rsidP="00622AC7">
            <w:pPr>
              <w:spacing w:line="240" w:lineRule="auto"/>
              <w:jc w:val="center"/>
              <w:rPr>
                <w:rFonts w:cs="Times New Roman"/>
                <w:sz w:val="22"/>
              </w:rPr>
            </w:pPr>
          </w:p>
        </w:tc>
        <w:tc>
          <w:tcPr>
            <w:tcW w:w="5013" w:type="dxa"/>
            <w:vAlign w:val="center"/>
          </w:tcPr>
          <w:p w14:paraId="5A7331C2" w14:textId="33DFEE3B" w:rsidR="006F7658" w:rsidRPr="003D09BD" w:rsidRDefault="006F7658" w:rsidP="00622AC7">
            <w:pPr>
              <w:spacing w:line="240" w:lineRule="auto"/>
              <w:jc w:val="left"/>
              <w:rPr>
                <w:rFonts w:cs="Times New Roman"/>
                <w:sz w:val="22"/>
              </w:rPr>
            </w:pPr>
            <w:r w:rsidRPr="003D09BD">
              <w:rPr>
                <w:rFonts w:cs="Times New Roman"/>
                <w:sz w:val="22"/>
              </w:rPr>
              <w:t xml:space="preserve">If an agent incurs no pollution cost (e.g., the agent does not pollute at all) the factories </w:t>
            </w:r>
            <w:r w:rsidR="005D6D8E" w:rsidRPr="003D09BD">
              <w:rPr>
                <w:rFonts w:cs="Times New Roman"/>
                <w:sz w:val="22"/>
              </w:rPr>
              <w:t>should not</w:t>
            </w:r>
            <w:r w:rsidRPr="003D09BD">
              <w:rPr>
                <w:rFonts w:cs="Times New Roman"/>
                <w:sz w:val="22"/>
              </w:rPr>
              <w:t xml:space="preserve"> undertake any cost.</w:t>
            </w:r>
          </w:p>
        </w:tc>
      </w:tr>
      <w:tr w:rsidR="006F7658" w:rsidRPr="003D09BD" w14:paraId="139F3C99" w14:textId="77777777" w:rsidTr="003D09BD">
        <w:tc>
          <w:tcPr>
            <w:tcW w:w="1975" w:type="dxa"/>
            <w:vAlign w:val="center"/>
          </w:tcPr>
          <w:p w14:paraId="52B4D62E" w14:textId="77777777" w:rsidR="006F7658" w:rsidRPr="003D09BD" w:rsidRDefault="006F7658" w:rsidP="00622AC7">
            <w:pPr>
              <w:spacing w:line="240" w:lineRule="auto"/>
              <w:jc w:val="center"/>
              <w:rPr>
                <w:rFonts w:cs="Times New Roman"/>
                <w:sz w:val="22"/>
              </w:rPr>
            </w:pPr>
            <w:r w:rsidRPr="003D09BD">
              <w:rPr>
                <w:rFonts w:cs="Times New Roman"/>
                <w:b/>
                <w:bCs/>
                <w:color w:val="000000"/>
                <w:sz w:val="22"/>
              </w:rPr>
              <w:t>Efficiency</w:t>
            </w:r>
          </w:p>
        </w:tc>
        <w:tc>
          <w:tcPr>
            <w:tcW w:w="708" w:type="dxa"/>
            <w:vAlign w:val="center"/>
          </w:tcPr>
          <w:p w14:paraId="7E898DA1" w14:textId="77777777" w:rsidR="006F7658" w:rsidRPr="003D09BD" w:rsidRDefault="006F7658" w:rsidP="00622AC7">
            <w:pPr>
              <w:spacing w:line="240" w:lineRule="auto"/>
              <w:jc w:val="center"/>
              <w:rPr>
                <w:rFonts w:cs="Times New Roman"/>
                <w:sz w:val="22"/>
              </w:rPr>
            </w:pPr>
            <w:r w:rsidRPr="003D09BD">
              <w:rPr>
                <w:rFonts w:cs="Times New Roman"/>
                <w:sz w:val="22"/>
              </w:rPr>
              <w:sym w:font="Wingdings" w:char="F0FC"/>
            </w:r>
          </w:p>
        </w:tc>
        <w:tc>
          <w:tcPr>
            <w:tcW w:w="676" w:type="dxa"/>
            <w:vAlign w:val="center"/>
          </w:tcPr>
          <w:p w14:paraId="7E0B6168" w14:textId="77777777" w:rsidR="006F7658" w:rsidRPr="003D09BD" w:rsidRDefault="006F7658" w:rsidP="00622AC7">
            <w:pPr>
              <w:spacing w:line="240" w:lineRule="auto"/>
              <w:jc w:val="center"/>
              <w:rPr>
                <w:rFonts w:cs="Times New Roman"/>
                <w:sz w:val="22"/>
              </w:rPr>
            </w:pPr>
            <w:r w:rsidRPr="003D09BD">
              <w:rPr>
                <w:rFonts w:cs="Times New Roman"/>
                <w:sz w:val="22"/>
              </w:rPr>
              <w:sym w:font="Wingdings" w:char="F0FC"/>
            </w:r>
          </w:p>
        </w:tc>
        <w:tc>
          <w:tcPr>
            <w:tcW w:w="644" w:type="dxa"/>
            <w:vAlign w:val="center"/>
          </w:tcPr>
          <w:p w14:paraId="15A4BFCE" w14:textId="77777777" w:rsidR="006F7658" w:rsidRPr="003D09BD" w:rsidRDefault="006F7658" w:rsidP="00622AC7">
            <w:pPr>
              <w:spacing w:line="240" w:lineRule="auto"/>
              <w:jc w:val="center"/>
              <w:rPr>
                <w:rFonts w:cs="Times New Roman"/>
                <w:sz w:val="22"/>
              </w:rPr>
            </w:pPr>
            <w:r w:rsidRPr="003D09BD">
              <w:rPr>
                <w:rFonts w:cs="Times New Roman"/>
                <w:sz w:val="22"/>
              </w:rPr>
              <w:sym w:font="Wingdings" w:char="F0FC"/>
            </w:r>
          </w:p>
        </w:tc>
        <w:tc>
          <w:tcPr>
            <w:tcW w:w="5013" w:type="dxa"/>
            <w:vAlign w:val="center"/>
          </w:tcPr>
          <w:p w14:paraId="6C5F0066" w14:textId="5A3EAE76" w:rsidR="006F7658" w:rsidRPr="003D09BD" w:rsidRDefault="00277A0B" w:rsidP="00622AC7">
            <w:pPr>
              <w:spacing w:line="240" w:lineRule="auto"/>
              <w:jc w:val="left"/>
              <w:rPr>
                <w:rFonts w:cs="Times New Roman"/>
                <w:sz w:val="22"/>
              </w:rPr>
            </w:pPr>
            <w:r>
              <w:rPr>
                <w:rFonts w:cs="Times New Roman"/>
                <w:sz w:val="22"/>
              </w:rPr>
              <w:t>T</w:t>
            </w:r>
            <w:r w:rsidR="006F7658" w:rsidRPr="003D09BD">
              <w:rPr>
                <w:rFonts w:cs="Times New Roman"/>
                <w:sz w:val="22"/>
              </w:rPr>
              <w:t>he total cost sharing by all factories is equal to the total cost initially charged</w:t>
            </w:r>
          </w:p>
        </w:tc>
      </w:tr>
      <w:tr w:rsidR="006F7658" w:rsidRPr="003D09BD" w14:paraId="6790E54A" w14:textId="77777777" w:rsidTr="003D09BD">
        <w:tc>
          <w:tcPr>
            <w:tcW w:w="1975" w:type="dxa"/>
            <w:vAlign w:val="center"/>
          </w:tcPr>
          <w:p w14:paraId="5EE470A7" w14:textId="77777777" w:rsidR="006F7658" w:rsidRPr="003D09BD" w:rsidRDefault="006F7658" w:rsidP="00622AC7">
            <w:pPr>
              <w:spacing w:line="240" w:lineRule="auto"/>
              <w:jc w:val="center"/>
              <w:rPr>
                <w:rFonts w:cs="Times New Roman"/>
                <w:sz w:val="22"/>
              </w:rPr>
            </w:pPr>
            <w:r w:rsidRPr="003D09BD">
              <w:rPr>
                <w:rFonts w:cs="Times New Roman"/>
                <w:b/>
                <w:bCs/>
                <w:color w:val="000000"/>
                <w:sz w:val="22"/>
              </w:rPr>
              <w:t>Upstream Symmetry</w:t>
            </w:r>
          </w:p>
        </w:tc>
        <w:tc>
          <w:tcPr>
            <w:tcW w:w="708" w:type="dxa"/>
            <w:vAlign w:val="center"/>
          </w:tcPr>
          <w:p w14:paraId="7CC2A3E9" w14:textId="77777777" w:rsidR="006F7658" w:rsidRPr="003D09BD" w:rsidRDefault="006F7658" w:rsidP="00622AC7">
            <w:pPr>
              <w:spacing w:line="240" w:lineRule="auto"/>
              <w:jc w:val="center"/>
              <w:rPr>
                <w:rFonts w:cs="Times New Roman"/>
                <w:sz w:val="22"/>
              </w:rPr>
            </w:pPr>
          </w:p>
        </w:tc>
        <w:tc>
          <w:tcPr>
            <w:tcW w:w="676" w:type="dxa"/>
            <w:vAlign w:val="center"/>
          </w:tcPr>
          <w:p w14:paraId="52171B67" w14:textId="77777777" w:rsidR="006F7658" w:rsidRPr="003D09BD" w:rsidRDefault="006F7658" w:rsidP="00622AC7">
            <w:pPr>
              <w:spacing w:line="240" w:lineRule="auto"/>
              <w:jc w:val="center"/>
              <w:rPr>
                <w:rFonts w:cs="Times New Roman"/>
                <w:sz w:val="22"/>
              </w:rPr>
            </w:pPr>
            <w:r w:rsidRPr="003D09BD">
              <w:rPr>
                <w:rFonts w:cs="Times New Roman"/>
                <w:sz w:val="22"/>
              </w:rPr>
              <w:sym w:font="Wingdings" w:char="F0FC"/>
            </w:r>
          </w:p>
        </w:tc>
        <w:tc>
          <w:tcPr>
            <w:tcW w:w="644" w:type="dxa"/>
            <w:vAlign w:val="bottom"/>
          </w:tcPr>
          <w:p w14:paraId="5B831EB3" w14:textId="77777777" w:rsidR="006F7658" w:rsidRPr="003D09BD" w:rsidRDefault="006F7658" w:rsidP="00622AC7">
            <w:pPr>
              <w:spacing w:line="240" w:lineRule="auto"/>
              <w:jc w:val="center"/>
              <w:rPr>
                <w:rFonts w:cs="Times New Roman"/>
                <w:sz w:val="22"/>
              </w:rPr>
            </w:pPr>
          </w:p>
        </w:tc>
        <w:tc>
          <w:tcPr>
            <w:tcW w:w="5013" w:type="dxa"/>
            <w:vAlign w:val="center"/>
          </w:tcPr>
          <w:p w14:paraId="503DA287" w14:textId="77777777" w:rsidR="006F7658" w:rsidRPr="003D09BD" w:rsidRDefault="006F7658" w:rsidP="00622AC7">
            <w:pPr>
              <w:spacing w:line="240" w:lineRule="auto"/>
              <w:jc w:val="left"/>
              <w:rPr>
                <w:rFonts w:cs="Times New Roman"/>
                <w:sz w:val="22"/>
              </w:rPr>
            </w:pPr>
            <w:r w:rsidRPr="003D09BD">
              <w:rPr>
                <w:rFonts w:cs="Times New Roman"/>
                <w:sz w:val="22"/>
              </w:rPr>
              <w:t>All upstream factories have equal responsibilities for a given downstream pollution cost.</w:t>
            </w:r>
          </w:p>
        </w:tc>
      </w:tr>
      <w:tr w:rsidR="003D09BD" w:rsidRPr="003D09BD" w14:paraId="341EC86B" w14:textId="77777777" w:rsidTr="003D09BD">
        <w:trPr>
          <w:trHeight w:val="449"/>
        </w:trPr>
        <w:tc>
          <w:tcPr>
            <w:tcW w:w="1975" w:type="dxa"/>
            <w:vAlign w:val="center"/>
          </w:tcPr>
          <w:p w14:paraId="3CB93654" w14:textId="77777777" w:rsidR="006F7658" w:rsidRPr="003D09BD" w:rsidRDefault="006F7658" w:rsidP="00622AC7">
            <w:pPr>
              <w:spacing w:line="240" w:lineRule="auto"/>
              <w:jc w:val="center"/>
              <w:rPr>
                <w:rFonts w:cs="Times New Roman"/>
                <w:b/>
                <w:bCs/>
                <w:color w:val="000000"/>
                <w:sz w:val="22"/>
              </w:rPr>
            </w:pPr>
            <w:r w:rsidRPr="003D09BD">
              <w:rPr>
                <w:rFonts w:cs="Times New Roman"/>
                <w:b/>
                <w:bCs/>
                <w:color w:val="000000"/>
                <w:sz w:val="22"/>
              </w:rPr>
              <w:t>Independence of Upstream Costs</w:t>
            </w:r>
          </w:p>
        </w:tc>
        <w:tc>
          <w:tcPr>
            <w:tcW w:w="708" w:type="dxa"/>
            <w:vAlign w:val="center"/>
          </w:tcPr>
          <w:p w14:paraId="28660451" w14:textId="77777777" w:rsidR="006F7658" w:rsidRPr="003D09BD" w:rsidRDefault="006F7658" w:rsidP="00622AC7">
            <w:pPr>
              <w:spacing w:after="240" w:line="240" w:lineRule="auto"/>
              <w:jc w:val="center"/>
              <w:rPr>
                <w:rFonts w:cs="Times New Roman"/>
                <w:sz w:val="22"/>
              </w:rPr>
            </w:pPr>
          </w:p>
        </w:tc>
        <w:tc>
          <w:tcPr>
            <w:tcW w:w="676" w:type="dxa"/>
            <w:vAlign w:val="center"/>
          </w:tcPr>
          <w:p w14:paraId="6CC05C0F" w14:textId="77777777" w:rsidR="006F7658" w:rsidRPr="003D09BD" w:rsidRDefault="006F7658" w:rsidP="00622AC7">
            <w:pPr>
              <w:spacing w:after="240" w:line="240" w:lineRule="auto"/>
              <w:jc w:val="center"/>
              <w:rPr>
                <w:rFonts w:cs="Times New Roman"/>
                <w:sz w:val="22"/>
              </w:rPr>
            </w:pPr>
            <w:r w:rsidRPr="003D09BD">
              <w:rPr>
                <w:rFonts w:cs="Times New Roman"/>
                <w:sz w:val="22"/>
              </w:rPr>
              <w:sym w:font="Wingdings" w:char="F0FC"/>
            </w:r>
          </w:p>
        </w:tc>
        <w:tc>
          <w:tcPr>
            <w:tcW w:w="644" w:type="dxa"/>
            <w:vAlign w:val="bottom"/>
          </w:tcPr>
          <w:p w14:paraId="2A9893FA" w14:textId="77777777" w:rsidR="006F7658" w:rsidRPr="003D09BD" w:rsidRDefault="006F7658" w:rsidP="00622AC7">
            <w:pPr>
              <w:spacing w:after="240" w:line="240" w:lineRule="auto"/>
              <w:jc w:val="center"/>
              <w:rPr>
                <w:rFonts w:cs="Times New Roman"/>
                <w:sz w:val="22"/>
              </w:rPr>
            </w:pPr>
          </w:p>
        </w:tc>
        <w:tc>
          <w:tcPr>
            <w:tcW w:w="5013" w:type="dxa"/>
            <w:vAlign w:val="center"/>
          </w:tcPr>
          <w:p w14:paraId="3A71A048" w14:textId="77777777" w:rsidR="006F7658" w:rsidRPr="003D09BD" w:rsidRDefault="006F7658" w:rsidP="00622AC7">
            <w:pPr>
              <w:spacing w:line="240" w:lineRule="auto"/>
              <w:jc w:val="left"/>
              <w:rPr>
                <w:rFonts w:cs="Times New Roman"/>
                <w:sz w:val="22"/>
              </w:rPr>
            </w:pPr>
            <w:r w:rsidRPr="003D09BD">
              <w:rPr>
                <w:rFonts w:cs="Times New Roman"/>
                <w:sz w:val="22"/>
              </w:rPr>
              <w:t>A factory’s cost share only depends on its own pollution cost and all downstream costs, but not on upstream costs for which it has no responsibility.</w:t>
            </w:r>
          </w:p>
        </w:tc>
      </w:tr>
      <w:tr w:rsidR="003D09BD" w:rsidRPr="003D09BD" w14:paraId="2756A556" w14:textId="77777777" w:rsidTr="00AE2DAD">
        <w:trPr>
          <w:trHeight w:val="287"/>
        </w:trPr>
        <w:tc>
          <w:tcPr>
            <w:tcW w:w="1975" w:type="dxa"/>
            <w:vAlign w:val="center"/>
          </w:tcPr>
          <w:p w14:paraId="1BFB77AE" w14:textId="77777777" w:rsidR="006F7658" w:rsidRPr="003D09BD" w:rsidRDefault="006F7658" w:rsidP="00622AC7">
            <w:pPr>
              <w:spacing w:line="240" w:lineRule="auto"/>
              <w:jc w:val="center"/>
              <w:rPr>
                <w:rFonts w:cs="Times New Roman"/>
                <w:b/>
                <w:bCs/>
                <w:color w:val="000000"/>
                <w:sz w:val="22"/>
              </w:rPr>
            </w:pPr>
            <w:r w:rsidRPr="003D09BD">
              <w:rPr>
                <w:rFonts w:cs="Times New Roman"/>
                <w:b/>
                <w:bCs/>
                <w:color w:val="131413"/>
                <w:sz w:val="22"/>
              </w:rPr>
              <w:t>Downstream symmetry</w:t>
            </w:r>
          </w:p>
        </w:tc>
        <w:tc>
          <w:tcPr>
            <w:tcW w:w="708" w:type="dxa"/>
            <w:vAlign w:val="center"/>
          </w:tcPr>
          <w:p w14:paraId="192B1AA4" w14:textId="77777777" w:rsidR="006F7658" w:rsidRPr="003D09BD" w:rsidRDefault="006F7658" w:rsidP="00622AC7">
            <w:pPr>
              <w:spacing w:after="240" w:line="240" w:lineRule="auto"/>
              <w:jc w:val="center"/>
              <w:rPr>
                <w:rFonts w:cs="Times New Roman"/>
                <w:sz w:val="22"/>
              </w:rPr>
            </w:pPr>
          </w:p>
        </w:tc>
        <w:tc>
          <w:tcPr>
            <w:tcW w:w="676" w:type="dxa"/>
            <w:vAlign w:val="center"/>
          </w:tcPr>
          <w:p w14:paraId="25A9C38C" w14:textId="77777777" w:rsidR="006F7658" w:rsidRPr="003D09BD" w:rsidRDefault="006F7658" w:rsidP="00622AC7">
            <w:pPr>
              <w:spacing w:after="240" w:line="240" w:lineRule="auto"/>
              <w:jc w:val="center"/>
              <w:rPr>
                <w:rFonts w:cs="Times New Roman"/>
                <w:sz w:val="22"/>
              </w:rPr>
            </w:pPr>
          </w:p>
        </w:tc>
        <w:tc>
          <w:tcPr>
            <w:tcW w:w="644" w:type="dxa"/>
            <w:vAlign w:val="center"/>
          </w:tcPr>
          <w:p w14:paraId="7CBF8DA6" w14:textId="77777777" w:rsidR="006F7658" w:rsidRPr="003D09BD" w:rsidRDefault="006F7658" w:rsidP="00AE2DAD">
            <w:pPr>
              <w:spacing w:after="240" w:line="240" w:lineRule="auto"/>
              <w:jc w:val="center"/>
              <w:rPr>
                <w:rFonts w:cs="Times New Roman"/>
                <w:sz w:val="22"/>
              </w:rPr>
            </w:pPr>
            <w:r w:rsidRPr="003D09BD">
              <w:rPr>
                <w:rFonts w:cs="Times New Roman"/>
                <w:sz w:val="22"/>
              </w:rPr>
              <w:sym w:font="Wingdings" w:char="F0FC"/>
            </w:r>
          </w:p>
        </w:tc>
        <w:tc>
          <w:tcPr>
            <w:tcW w:w="5013" w:type="dxa"/>
            <w:vAlign w:val="center"/>
          </w:tcPr>
          <w:p w14:paraId="5BAA178F" w14:textId="77777777" w:rsidR="006F7658" w:rsidRPr="003D09BD" w:rsidRDefault="006F7658" w:rsidP="00622AC7">
            <w:pPr>
              <w:spacing w:line="240" w:lineRule="auto"/>
              <w:jc w:val="left"/>
              <w:rPr>
                <w:rFonts w:cs="Times New Roman"/>
                <w:sz w:val="22"/>
              </w:rPr>
            </w:pPr>
            <w:r w:rsidRPr="003D09BD">
              <w:rPr>
                <w:rFonts w:cs="Times New Roman"/>
                <w:sz w:val="22"/>
              </w:rPr>
              <w:t>All downstream factories have equal responsibilities for a given upstream pollution cost.</w:t>
            </w:r>
          </w:p>
        </w:tc>
      </w:tr>
      <w:tr w:rsidR="003D09BD" w:rsidRPr="003D09BD" w14:paraId="4B409339" w14:textId="77777777" w:rsidTr="003D09BD">
        <w:trPr>
          <w:trHeight w:val="512"/>
        </w:trPr>
        <w:tc>
          <w:tcPr>
            <w:tcW w:w="1975" w:type="dxa"/>
            <w:vAlign w:val="center"/>
          </w:tcPr>
          <w:p w14:paraId="4211ACA8" w14:textId="77777777" w:rsidR="006F7658" w:rsidRPr="003D09BD" w:rsidRDefault="006F7658" w:rsidP="00622AC7">
            <w:pPr>
              <w:spacing w:line="240" w:lineRule="auto"/>
              <w:jc w:val="center"/>
              <w:rPr>
                <w:rFonts w:cs="Times New Roman"/>
                <w:b/>
                <w:bCs/>
                <w:color w:val="000000"/>
                <w:sz w:val="22"/>
              </w:rPr>
            </w:pPr>
            <w:r w:rsidRPr="003D09BD">
              <w:rPr>
                <w:rFonts w:cs="Times New Roman"/>
                <w:b/>
                <w:bCs/>
                <w:color w:val="131413"/>
                <w:sz w:val="22"/>
              </w:rPr>
              <w:t>Independence of downstream costs</w:t>
            </w:r>
          </w:p>
        </w:tc>
        <w:tc>
          <w:tcPr>
            <w:tcW w:w="708" w:type="dxa"/>
            <w:vAlign w:val="center"/>
          </w:tcPr>
          <w:p w14:paraId="3B198FC2" w14:textId="77777777" w:rsidR="006F7658" w:rsidRPr="003D09BD" w:rsidRDefault="006F7658" w:rsidP="00622AC7">
            <w:pPr>
              <w:spacing w:after="240" w:line="240" w:lineRule="auto"/>
              <w:jc w:val="center"/>
              <w:rPr>
                <w:rFonts w:cs="Times New Roman"/>
                <w:sz w:val="22"/>
              </w:rPr>
            </w:pPr>
          </w:p>
        </w:tc>
        <w:tc>
          <w:tcPr>
            <w:tcW w:w="676" w:type="dxa"/>
            <w:vAlign w:val="center"/>
          </w:tcPr>
          <w:p w14:paraId="5EACE070" w14:textId="77777777" w:rsidR="006F7658" w:rsidRPr="003D09BD" w:rsidRDefault="006F7658" w:rsidP="00622AC7">
            <w:pPr>
              <w:spacing w:after="240" w:line="240" w:lineRule="auto"/>
              <w:jc w:val="center"/>
              <w:rPr>
                <w:rFonts w:cs="Times New Roman"/>
                <w:sz w:val="22"/>
              </w:rPr>
            </w:pPr>
          </w:p>
        </w:tc>
        <w:tc>
          <w:tcPr>
            <w:tcW w:w="644" w:type="dxa"/>
            <w:vAlign w:val="bottom"/>
          </w:tcPr>
          <w:p w14:paraId="292B1629" w14:textId="77777777" w:rsidR="006F7658" w:rsidRPr="003D09BD" w:rsidRDefault="006F7658" w:rsidP="00622AC7">
            <w:pPr>
              <w:spacing w:after="240" w:line="240" w:lineRule="auto"/>
              <w:jc w:val="center"/>
              <w:rPr>
                <w:rFonts w:cs="Times New Roman"/>
                <w:sz w:val="22"/>
              </w:rPr>
            </w:pPr>
            <w:r w:rsidRPr="003D09BD">
              <w:rPr>
                <w:rFonts w:cs="Times New Roman"/>
                <w:sz w:val="22"/>
              </w:rPr>
              <w:sym w:font="Wingdings" w:char="F0FC"/>
            </w:r>
          </w:p>
        </w:tc>
        <w:tc>
          <w:tcPr>
            <w:tcW w:w="5013" w:type="dxa"/>
            <w:vAlign w:val="center"/>
          </w:tcPr>
          <w:p w14:paraId="74FDE4D4" w14:textId="77777777" w:rsidR="006F7658" w:rsidRPr="003D09BD" w:rsidRDefault="006F7658" w:rsidP="00622AC7">
            <w:pPr>
              <w:spacing w:line="240" w:lineRule="auto"/>
              <w:jc w:val="left"/>
              <w:rPr>
                <w:rFonts w:cs="Times New Roman"/>
                <w:sz w:val="22"/>
              </w:rPr>
            </w:pPr>
            <w:r w:rsidRPr="003D09BD">
              <w:rPr>
                <w:rFonts w:cs="Times New Roman"/>
                <w:sz w:val="22"/>
              </w:rPr>
              <w:t>A factory’s cost share only depends on its own pollution cost and all upstream costs, but not on downstream costs for which it has no responsibility.</w:t>
            </w:r>
          </w:p>
        </w:tc>
      </w:tr>
    </w:tbl>
    <w:p w14:paraId="69A47140" w14:textId="07D3B98C" w:rsidR="006F7658" w:rsidRDefault="007B5959" w:rsidP="002854E1">
      <w:pPr>
        <w:pStyle w:val="Caption"/>
      </w:pPr>
      <w:bookmarkStart w:id="584" w:name="_Ref44950614"/>
      <w:bookmarkStart w:id="585" w:name="_Toc46053556"/>
      <w:bookmarkStart w:id="586" w:name="_Toc46093805"/>
      <w:bookmarkStart w:id="587" w:name="_Toc66698772"/>
      <w:r>
        <w:t>Table</w:t>
      </w:r>
      <w:r w:rsidR="00F425C8">
        <w:t xml:space="preserve"> </w:t>
      </w:r>
      <w:r w:rsidR="000306D9">
        <w:fldChar w:fldCharType="begin"/>
      </w:r>
      <w:r w:rsidR="000306D9">
        <w:instrText xml:space="preserve"> STYLEREF 1 \s </w:instrText>
      </w:r>
      <w:r w:rsidR="000306D9">
        <w:fldChar w:fldCharType="separate"/>
      </w:r>
      <w:r w:rsidR="0005064B">
        <w:rPr>
          <w:noProof/>
        </w:rPr>
        <w:t>3</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5</w:t>
      </w:r>
      <w:r w:rsidR="000306D9">
        <w:rPr>
          <w:noProof/>
        </w:rPr>
        <w:fldChar w:fldCharType="end"/>
      </w:r>
      <w:bookmarkEnd w:id="584"/>
      <w:r w:rsidR="00AF217C">
        <w:t xml:space="preserve">: </w:t>
      </w:r>
      <w:r w:rsidR="009F14D1">
        <w:t>Chara</w:t>
      </w:r>
      <w:r w:rsidR="0039363E">
        <w:t>cterisation of the cost allocation principles</w:t>
      </w:r>
      <w:bookmarkEnd w:id="585"/>
      <w:bookmarkEnd w:id="586"/>
      <w:bookmarkEnd w:id="587"/>
    </w:p>
    <w:p w14:paraId="760CB55A" w14:textId="50CE9BBC" w:rsidR="00A401E2" w:rsidRPr="003B5811" w:rsidRDefault="00913A28" w:rsidP="00913A28">
      <w:pPr>
        <w:spacing w:after="240" w:line="360" w:lineRule="auto"/>
        <w:rPr>
          <w:color w:val="FF0000"/>
          <w:lang w:val="en-US"/>
        </w:rPr>
      </w:pPr>
      <w:r w:rsidRPr="00913A28">
        <w:rPr>
          <w:lang w:val="en-US"/>
        </w:rPr>
        <w:t xml:space="preserve">If the two principles of DR and UR are accepted, the cost allocation results through the UES and DES methods </w:t>
      </w:r>
      <w:r w:rsidR="00386F4E" w:rsidRPr="00822F0B">
        <w:rPr>
          <w:lang w:val="en-US"/>
        </w:rPr>
        <w:t>for the above-mentioned river problem</w:t>
      </w:r>
      <w:r w:rsidR="0004030E" w:rsidRPr="00822F0B">
        <w:rPr>
          <w:lang w:val="en-US"/>
        </w:rPr>
        <w:t xml:space="preserve"> </w:t>
      </w:r>
      <w:r w:rsidR="00386F4E" w:rsidRPr="00822F0B">
        <w:rPr>
          <w:lang w:val="en-US"/>
        </w:rPr>
        <w:t xml:space="preserve">become the Shapley Value of specific games in characteristic form, </w:t>
      </w:r>
      <w:r w:rsidRPr="00913A28">
        <w:rPr>
          <w:lang w:val="en-US"/>
        </w:rPr>
        <w:t xml:space="preserve">which coincides with the </w:t>
      </w:r>
      <w:r w:rsidR="00EE2F1C">
        <w:rPr>
          <w:rFonts w:hint="eastAsia"/>
          <w:lang w:val="en-US"/>
        </w:rPr>
        <w:t>four</w:t>
      </w:r>
      <w:r w:rsidR="00EE2F1C">
        <w:rPr>
          <w:lang w:val="en-US"/>
        </w:rPr>
        <w:t xml:space="preserve"> </w:t>
      </w:r>
      <w:r w:rsidR="003B5811" w:rsidRPr="003A01BB">
        <w:rPr>
          <w:lang w:val="en-US"/>
        </w:rPr>
        <w:t>axiom</w:t>
      </w:r>
      <w:r w:rsidRPr="00913A28">
        <w:rPr>
          <w:lang w:val="en-US"/>
        </w:rPr>
        <w:t xml:space="preserve"> properties of the ‘Shapley value’. I</w:t>
      </w:r>
      <w:r w:rsidRPr="00913A28">
        <w:rPr>
          <w:rFonts w:hint="eastAsia"/>
          <w:lang w:val="en-US"/>
        </w:rPr>
        <w:t>n</w:t>
      </w:r>
      <w:r w:rsidRPr="00913A28">
        <w:rPr>
          <w:lang w:val="en-US"/>
        </w:rPr>
        <w:t xml:space="preserve"> this research, the Shapley value is a value re-assigning the total amount of the cost if everyone engages in defending the life of the UCC. The Shapley value reallocates costs according to a principle of fairness.</w:t>
      </w:r>
      <w:r w:rsidR="00C15CB6">
        <w:rPr>
          <w:lang w:val="en-US"/>
        </w:rPr>
        <w:t xml:space="preserve"> </w:t>
      </w:r>
      <w:r w:rsidR="00965BF9">
        <w:rPr>
          <w:rFonts w:hint="eastAsia"/>
          <w:color w:val="FF0000"/>
          <w:lang w:val="en-US"/>
        </w:rPr>
        <w:t>While</w:t>
      </w:r>
      <w:r w:rsidR="00954B14">
        <w:rPr>
          <w:color w:val="FF0000"/>
          <w:lang w:val="en-US"/>
        </w:rPr>
        <w:t xml:space="preserve"> </w:t>
      </w:r>
      <w:r w:rsidR="00954B14">
        <w:rPr>
          <w:rFonts w:hint="eastAsia"/>
          <w:color w:val="FF0000"/>
          <w:lang w:val="en-US"/>
        </w:rPr>
        <w:t>reviewing</w:t>
      </w:r>
      <w:r w:rsidR="00954B14">
        <w:rPr>
          <w:color w:val="FF0000"/>
          <w:lang w:val="en-US"/>
        </w:rPr>
        <w:t xml:space="preserve"> </w:t>
      </w:r>
      <w:r w:rsidR="00954B14">
        <w:rPr>
          <w:rFonts w:hint="eastAsia"/>
          <w:color w:val="FF0000"/>
          <w:lang w:val="en-US"/>
        </w:rPr>
        <w:t>these</w:t>
      </w:r>
      <w:r w:rsidR="0023631E" w:rsidRPr="00764F11">
        <w:rPr>
          <w:color w:val="FF0000"/>
          <w:lang w:val="en-US"/>
        </w:rPr>
        <w:t xml:space="preserve"> properties, </w:t>
      </w:r>
      <w:r w:rsidR="0023631E" w:rsidRPr="00764F11">
        <w:rPr>
          <w:color w:val="FF0000"/>
          <w:lang w:val="en-US"/>
        </w:rPr>
        <w:fldChar w:fldCharType="begin"/>
      </w:r>
      <w:r w:rsidR="0023631E" w:rsidRPr="00764F11">
        <w:rPr>
          <w:color w:val="FF0000"/>
          <w:lang w:val="en-US"/>
        </w:rPr>
        <w:instrText xml:space="preserve"> ADDIN EN.CITE &lt;EndNote&gt;&lt;Cite AuthorYear="1"&gt;&lt;Author&gt;Ciardiello&lt;/Author&gt;&lt;Year&gt;2020&lt;/Year&gt;&lt;RecNum&gt;115&lt;/RecNum&gt;&lt;DisplayText&gt;Ciardiello et al. (2020)&lt;/DisplayText&gt;&lt;record&gt;&lt;rec-number&gt;115&lt;/rec-number&gt;&lt;foreign-keys&gt;&lt;key app="EN" db-id="x5etaz5aiszvz0edasvvpwvotttxepvd25t2" timestamp="1605182854"&gt;115&lt;/key&gt;&lt;/foreign-keys&gt;&lt;ref-type name="Journal Article"&gt;17&lt;/ref-type&gt;&lt;contributors&gt;&lt;authors&gt;&lt;author&gt;Ciardiello, Francesco&lt;/author&gt;&lt;author&gt;Genovese, Andrea&lt;/author&gt;&lt;author&gt;Simpson, Andrew&lt;/author&gt;&lt;/authors&gt;&lt;/contributors&gt;&lt;titles&gt;&lt;title&gt;A unified cooperative model for environmental costs in supply chains: the Shapley value for the linear case&lt;/title&gt;&lt;secondary-title&gt;Annals of Operations Research&lt;/secondary-title&gt;&lt;/titles&gt;&lt;periodical&gt;&lt;full-title&gt;Annals of Operations Research&lt;/full-title&gt;&lt;/periodical&gt;&lt;pages&gt;421-437&lt;/pages&gt;&lt;volume&gt;290&lt;/volume&gt;&lt;number&gt;1&lt;/number&gt;&lt;dates&gt;&lt;year&gt;2020&lt;/year&gt;&lt;pub-dates&gt;&lt;date&gt;2020/07/01&lt;/date&gt;&lt;/pub-dates&gt;&lt;/dates&gt;&lt;isbn&gt;1572-9338&lt;/isbn&gt;&lt;urls&gt;&lt;related-urls&gt;&lt;url&gt;https://doi.org/10.1007/s10479-018-3028-3&lt;/url&gt;&lt;/related-urls&gt;&lt;/urls&gt;&lt;electronic-resource-num&gt;10.1007/s10479-018-3028-3&lt;/electronic-resource-num&gt;&lt;/record&gt;&lt;/Cite&gt;&lt;/EndNote&gt;</w:instrText>
      </w:r>
      <w:r w:rsidR="0023631E" w:rsidRPr="00764F11">
        <w:rPr>
          <w:color w:val="FF0000"/>
          <w:lang w:val="en-US"/>
        </w:rPr>
        <w:fldChar w:fldCharType="separate"/>
      </w:r>
      <w:r w:rsidR="0023631E" w:rsidRPr="00764F11">
        <w:rPr>
          <w:color w:val="FF0000"/>
          <w:lang w:val="en-US"/>
        </w:rPr>
        <w:t>Ciardiello et al. (2020)</w:t>
      </w:r>
      <w:r w:rsidR="0023631E" w:rsidRPr="00764F11">
        <w:rPr>
          <w:color w:val="FF0000"/>
          <w:lang w:val="en-US"/>
        </w:rPr>
        <w:fldChar w:fldCharType="end"/>
      </w:r>
      <w:r w:rsidR="0023631E" w:rsidRPr="00764F11">
        <w:rPr>
          <w:color w:val="FF0000"/>
          <w:lang w:val="en-US"/>
        </w:rPr>
        <w:t xml:space="preserve"> </w:t>
      </w:r>
      <w:r w:rsidR="0023631E" w:rsidRPr="00764F11">
        <w:rPr>
          <w:rFonts w:hint="eastAsia"/>
          <w:color w:val="FF0000"/>
          <w:lang w:val="en-US"/>
        </w:rPr>
        <w:t>build</w:t>
      </w:r>
      <w:r w:rsidR="0023631E" w:rsidRPr="00764F11">
        <w:rPr>
          <w:color w:val="FF0000"/>
          <w:lang w:val="en-US"/>
        </w:rPr>
        <w:t xml:space="preserve"> </w:t>
      </w:r>
      <w:r w:rsidR="0023631E" w:rsidRPr="00764F11">
        <w:rPr>
          <w:rFonts w:hint="eastAsia"/>
          <w:color w:val="FF0000"/>
          <w:lang w:val="en-US"/>
        </w:rPr>
        <w:t>connections</w:t>
      </w:r>
      <w:r w:rsidR="0023631E" w:rsidRPr="00764F11">
        <w:rPr>
          <w:color w:val="FF0000"/>
          <w:lang w:val="en-US"/>
        </w:rPr>
        <w:t xml:space="preserve"> between above ‘</w:t>
      </w:r>
      <w:r w:rsidR="0023631E" w:rsidRPr="00DF0D59">
        <w:rPr>
          <w:i/>
          <w:iCs/>
          <w:color w:val="FF0000"/>
          <w:lang w:val="en-US"/>
        </w:rPr>
        <w:t>polluted river problem’</w:t>
      </w:r>
      <w:r w:rsidR="0023631E" w:rsidRPr="00764F11">
        <w:rPr>
          <w:color w:val="FF0000"/>
          <w:lang w:val="en-US"/>
        </w:rPr>
        <w:t xml:space="preserve"> and the problem of pollution allocation in a multi-tier supply chain. Their study </w:t>
      </w:r>
      <w:r w:rsidR="0023631E" w:rsidRPr="00764F11">
        <w:rPr>
          <w:color w:val="FF0000"/>
          <w:lang w:val="en-US"/>
        </w:rPr>
        <w:fldChar w:fldCharType="begin"/>
      </w:r>
      <w:r w:rsidR="0023631E" w:rsidRPr="00764F11">
        <w:rPr>
          <w:color w:val="FF0000"/>
          <w:lang w:val="en-US"/>
        </w:rPr>
        <w:instrText xml:space="preserve"> ADDIN EN.CITE &lt;EndNote&gt;&lt;Cite&gt;&lt;Author&gt;Ciardiello&lt;/Author&gt;&lt;Year&gt;2020&lt;/Year&gt;&lt;RecNum&gt;115&lt;/RecNum&gt;&lt;DisplayText&gt;(Ciardiello et al., 2020)&lt;/DisplayText&gt;&lt;record&gt;&lt;rec-number&gt;115&lt;/rec-number&gt;&lt;foreign-keys&gt;&lt;key app="EN" db-id="x5etaz5aiszvz0edasvvpwvotttxepvd25t2" timestamp="1605182854"&gt;115&lt;/key&gt;&lt;/foreign-keys&gt;&lt;ref-type name="Journal Article"&gt;17&lt;/ref-type&gt;&lt;contributors&gt;&lt;authors&gt;&lt;author&gt;Ciardiello, Francesco&lt;/author&gt;&lt;author&gt;Genovese, Andrea&lt;/author&gt;&lt;author&gt;Simpson, Andrew&lt;/author&gt;&lt;/authors&gt;&lt;/contributors&gt;&lt;titles&gt;&lt;title&gt;A unified cooperative model for environmental costs in supply chains: the Shapley value for the linear case&lt;/title&gt;&lt;secondary-title&gt;Annals of Operations Research&lt;/secondary-title&gt;&lt;/titles&gt;&lt;periodical&gt;&lt;full-title&gt;Annals of Operations Research&lt;/full-title&gt;&lt;/periodical&gt;&lt;pages&gt;421-437&lt;/pages&gt;&lt;volume&gt;290&lt;/volume&gt;&lt;number&gt;1&lt;/number&gt;&lt;dates&gt;&lt;year&gt;2020&lt;/year&gt;&lt;pub-dates&gt;&lt;date&gt;2020/07/01&lt;/date&gt;&lt;/pub-dates&gt;&lt;/dates&gt;&lt;isbn&gt;1572-9338&lt;/isbn&gt;&lt;urls&gt;&lt;related-urls&gt;&lt;url&gt;https://doi.org/10.1007/s10479-018-3028-3&lt;/url&gt;&lt;/related-urls&gt;&lt;/urls&gt;&lt;electronic-resource-num&gt;10.1007/s10479-018-3028-3&lt;/electronic-resource-num&gt;&lt;/record&gt;&lt;/Cite&gt;&lt;/EndNote&gt;</w:instrText>
      </w:r>
      <w:r w:rsidR="0023631E" w:rsidRPr="00764F11">
        <w:rPr>
          <w:color w:val="FF0000"/>
          <w:lang w:val="en-US"/>
        </w:rPr>
        <w:fldChar w:fldCharType="separate"/>
      </w:r>
      <w:r w:rsidR="0023631E" w:rsidRPr="00764F11">
        <w:rPr>
          <w:color w:val="FF0000"/>
          <w:lang w:val="en-US"/>
        </w:rPr>
        <w:t>(Ciardiello et al., 2020)</w:t>
      </w:r>
      <w:r w:rsidR="0023631E" w:rsidRPr="00764F11">
        <w:rPr>
          <w:color w:val="FF0000"/>
          <w:lang w:val="en-US"/>
        </w:rPr>
        <w:fldChar w:fldCharType="end"/>
      </w:r>
      <w:r w:rsidR="0023631E" w:rsidRPr="00764F11">
        <w:rPr>
          <w:color w:val="FF0000"/>
          <w:lang w:val="en-US"/>
        </w:rPr>
        <w:t xml:space="preserve"> implements the above three cost sharing rules (LRS, UES and DES) to share the environmental responsibility among different members in an dairy products supply chain.</w:t>
      </w:r>
      <w:r w:rsidR="003A4590">
        <w:rPr>
          <w:color w:val="FF0000"/>
          <w:lang w:val="en-US"/>
        </w:rPr>
        <w:t xml:space="preserve"> This thesis appl</w:t>
      </w:r>
      <w:r w:rsidR="00FB5705">
        <w:rPr>
          <w:color w:val="FF0000"/>
          <w:lang w:val="en-US"/>
        </w:rPr>
        <w:t>ies</w:t>
      </w:r>
      <w:r w:rsidR="003A4590">
        <w:rPr>
          <w:color w:val="FF0000"/>
          <w:lang w:val="en-US"/>
        </w:rPr>
        <w:t xml:space="preserve"> the cost allocation framework proposed by </w:t>
      </w:r>
      <w:r w:rsidR="003A4590" w:rsidRPr="00764F11">
        <w:rPr>
          <w:color w:val="FF0000"/>
          <w:lang w:val="en-US"/>
        </w:rPr>
        <w:fldChar w:fldCharType="begin"/>
      </w:r>
      <w:r w:rsidR="003A4590" w:rsidRPr="00764F11">
        <w:rPr>
          <w:color w:val="FF0000"/>
          <w:lang w:val="en-US"/>
        </w:rPr>
        <w:instrText xml:space="preserve"> ADDIN EN.CITE &lt;EndNote&gt;&lt;Cite AuthorYear="1"&gt;&lt;Author&gt;Ciardiello&lt;/Author&gt;&lt;Year&gt;2020&lt;/Year&gt;&lt;RecNum&gt;115&lt;/RecNum&gt;&lt;DisplayText&gt;Ciardiello et al. (2020)&lt;/DisplayText&gt;&lt;record&gt;&lt;rec-number&gt;115&lt;/rec-number&gt;&lt;foreign-keys&gt;&lt;key app="EN" db-id="x5etaz5aiszvz0edasvvpwvotttxepvd25t2" timestamp="1605182854"&gt;115&lt;/key&gt;&lt;/foreign-keys&gt;&lt;ref-type name="Journal Article"&gt;17&lt;/ref-type&gt;&lt;contributors&gt;&lt;authors&gt;&lt;author&gt;Ciardiello, Francesco&lt;/author&gt;&lt;author&gt;Genovese, Andrea&lt;/author&gt;&lt;author&gt;Simpson, Andrew&lt;/author&gt;&lt;/authors&gt;&lt;/contributors&gt;&lt;titles&gt;&lt;title&gt;A unified cooperative model for environmental costs in supply chains: the Shapley value for the linear case&lt;/title&gt;&lt;secondary-title&gt;Annals of Operations Research&lt;/secondary-title&gt;&lt;/titles&gt;&lt;periodical&gt;&lt;full-title&gt;Annals of Operations Research&lt;/full-title&gt;&lt;/periodical&gt;&lt;pages&gt;421-437&lt;/pages&gt;&lt;volume&gt;290&lt;/volume&gt;&lt;number&gt;1&lt;/number&gt;&lt;dates&gt;&lt;year&gt;2020&lt;/year&gt;&lt;pub-dates&gt;&lt;date&gt;2020/07/01&lt;/date&gt;&lt;/pub-dates&gt;&lt;/dates&gt;&lt;isbn&gt;1572-9338&lt;/isbn&gt;&lt;urls&gt;&lt;related-urls&gt;&lt;url&gt;https://doi.org/10.1007/s10479-018-3028-3&lt;/url&gt;&lt;/related-urls&gt;&lt;/urls&gt;&lt;electronic-resource-num&gt;10.1007/s10479-018-3028-3&lt;/electronic-resource-num&gt;&lt;/record&gt;&lt;/Cite&gt;&lt;/EndNote&gt;</w:instrText>
      </w:r>
      <w:r w:rsidR="003A4590" w:rsidRPr="00764F11">
        <w:rPr>
          <w:color w:val="FF0000"/>
          <w:lang w:val="en-US"/>
        </w:rPr>
        <w:fldChar w:fldCharType="separate"/>
      </w:r>
      <w:r w:rsidR="003A4590" w:rsidRPr="00764F11">
        <w:rPr>
          <w:color w:val="FF0000"/>
          <w:lang w:val="en-US"/>
        </w:rPr>
        <w:t>Ciardiello et al. (2020)</w:t>
      </w:r>
      <w:r w:rsidR="003A4590" w:rsidRPr="00764F11">
        <w:rPr>
          <w:color w:val="FF0000"/>
          <w:lang w:val="en-US"/>
        </w:rPr>
        <w:fldChar w:fldCharType="end"/>
      </w:r>
      <w:r w:rsidR="00346481">
        <w:rPr>
          <w:color w:val="FF0000"/>
          <w:lang w:val="en-US"/>
        </w:rPr>
        <w:t xml:space="preserve"> in the UCC network, which</w:t>
      </w:r>
      <w:r w:rsidR="00AA3230">
        <w:rPr>
          <w:color w:val="FF0000"/>
          <w:lang w:val="en-US"/>
        </w:rPr>
        <w:t xml:space="preserve"> ask both upstream or downstream stakeholders to </w:t>
      </w:r>
      <w:proofErr w:type="spellStart"/>
      <w:r w:rsidR="00AA3230">
        <w:rPr>
          <w:color w:val="FF0000"/>
          <w:lang w:val="en-US"/>
        </w:rPr>
        <w:t>understake</w:t>
      </w:r>
      <w:proofErr w:type="spellEnd"/>
      <w:r w:rsidR="00AA3230">
        <w:rPr>
          <w:color w:val="FF0000"/>
          <w:lang w:val="en-US"/>
        </w:rPr>
        <w:t xml:space="preserve"> UCC cost together. </w:t>
      </w:r>
    </w:p>
    <w:p w14:paraId="43DBE22A" w14:textId="77777777" w:rsidR="0071798B" w:rsidRPr="00737239" w:rsidRDefault="0071798B" w:rsidP="000A4E8C">
      <w:pPr>
        <w:pStyle w:val="Heading2"/>
        <w:spacing w:before="40" w:afterLines="0" w:after="0" w:line="360" w:lineRule="auto"/>
        <w:jc w:val="left"/>
        <w:rPr>
          <w:rFonts w:cs="Times New Roman"/>
        </w:rPr>
      </w:pPr>
      <w:bookmarkStart w:id="588" w:name="_Toc34734520"/>
      <w:bookmarkStart w:id="589" w:name="_Toc46053443"/>
      <w:bookmarkStart w:id="590" w:name="_Toc46093357"/>
      <w:bookmarkStart w:id="591" w:name="_Toc46093640"/>
      <w:bookmarkStart w:id="592" w:name="_Toc66703215"/>
      <w:r w:rsidRPr="00737239">
        <w:rPr>
          <w:rFonts w:cs="Times New Roman"/>
        </w:rPr>
        <w:t>Data collection method</w:t>
      </w:r>
      <w:bookmarkEnd w:id="588"/>
      <w:bookmarkEnd w:id="589"/>
      <w:bookmarkEnd w:id="590"/>
      <w:bookmarkEnd w:id="591"/>
      <w:bookmarkEnd w:id="592"/>
    </w:p>
    <w:p w14:paraId="65804816" w14:textId="77777777" w:rsidR="0071798B" w:rsidRPr="006C301D" w:rsidRDefault="0071798B" w:rsidP="000A4E8C">
      <w:pPr>
        <w:pStyle w:val="Heading3"/>
        <w:spacing w:line="360" w:lineRule="auto"/>
        <w:rPr>
          <w:rFonts w:cs="Times New Roman"/>
        </w:rPr>
      </w:pPr>
      <w:bookmarkStart w:id="593" w:name="_Toc34734521"/>
      <w:bookmarkStart w:id="594" w:name="_Toc46053444"/>
      <w:bookmarkStart w:id="595" w:name="_Toc46093358"/>
      <w:bookmarkStart w:id="596" w:name="_Toc46093641"/>
      <w:bookmarkStart w:id="597" w:name="_Toc66703216"/>
      <w:r w:rsidRPr="00802DC5">
        <w:rPr>
          <w:rFonts w:cs="Times New Roman"/>
        </w:rPr>
        <w:t>Details of the interviewees</w:t>
      </w:r>
      <w:bookmarkEnd w:id="593"/>
      <w:bookmarkEnd w:id="594"/>
      <w:bookmarkEnd w:id="595"/>
      <w:bookmarkEnd w:id="596"/>
      <w:bookmarkEnd w:id="597"/>
    </w:p>
    <w:p w14:paraId="3F9FC609" w14:textId="07F75509" w:rsidR="00462B48" w:rsidRPr="00A96AC5" w:rsidRDefault="0071798B" w:rsidP="0092585F">
      <w:pPr>
        <w:spacing w:after="240" w:line="360" w:lineRule="auto"/>
        <w:rPr>
          <w:rStyle w:val="fontstyle01"/>
          <w:rFonts w:ascii="Times New Roman" w:hAnsi="Times New Roman" w:cs="Times New Roman"/>
        </w:rPr>
      </w:pPr>
      <w:r w:rsidRPr="00A96AC5">
        <w:rPr>
          <w:rStyle w:val="fontstyle01"/>
          <w:rFonts w:ascii="Times New Roman" w:hAnsi="Times New Roman" w:cs="Times New Roman" w:hint="eastAsia"/>
        </w:rPr>
        <w:t xml:space="preserve">Twelve interviews were conducted in Sweden and China with the various stakeholders. There were five interviews held in Stockholm </w:t>
      </w:r>
      <w:r w:rsidR="0049137D">
        <w:rPr>
          <w:rStyle w:val="fontstyle01"/>
          <w:rFonts w:ascii="Times New Roman" w:hAnsi="Times New Roman" w:cs="Times New Roman"/>
        </w:rPr>
        <w:t>C</w:t>
      </w:r>
      <w:r w:rsidRPr="00A96AC5">
        <w:rPr>
          <w:rStyle w:val="fontstyle01"/>
          <w:rFonts w:ascii="Times New Roman" w:hAnsi="Times New Roman" w:cs="Times New Roman" w:hint="eastAsia"/>
        </w:rPr>
        <w:t xml:space="preserve">ity </w:t>
      </w:r>
      <w:r w:rsidR="0049137D">
        <w:rPr>
          <w:rStyle w:val="fontstyle01"/>
          <w:rFonts w:ascii="Times New Roman" w:hAnsi="Times New Roman" w:cs="Times New Roman"/>
        </w:rPr>
        <w:t>C</w:t>
      </w:r>
      <w:r w:rsidRPr="00A96AC5">
        <w:rPr>
          <w:rStyle w:val="fontstyle01"/>
          <w:rFonts w:ascii="Times New Roman" w:hAnsi="Times New Roman" w:cs="Times New Roman" w:hint="eastAsia"/>
        </w:rPr>
        <w:t xml:space="preserve">entre, and two interviews in Royal Seaport. In </w:t>
      </w:r>
      <w:r w:rsidRPr="00A96AC5">
        <w:rPr>
          <w:rStyle w:val="fontstyle01"/>
          <w:rFonts w:ascii="Times New Roman" w:hAnsi="Times New Roman" w:cs="Times New Roman" w:hint="eastAsia"/>
        </w:rPr>
        <w:lastRenderedPageBreak/>
        <w:t xml:space="preserve">China, three interviews were conducted in the Pharmacy UCC and another three in the UCC engaged in the BDS experiment. </w:t>
      </w:r>
      <w:r w:rsidRPr="00A96AC5">
        <w:rPr>
          <w:rStyle w:val="fontstyle01"/>
          <w:rFonts w:ascii="Times New Roman" w:hAnsi="Times New Roman" w:cs="Times New Roman"/>
        </w:rPr>
        <w:fldChar w:fldCharType="begin"/>
      </w:r>
      <w:r w:rsidRPr="00A96AC5">
        <w:rPr>
          <w:rStyle w:val="fontstyle01"/>
          <w:rFonts w:ascii="Times New Roman" w:hAnsi="Times New Roman" w:cs="Times New Roman" w:hint="eastAsia"/>
        </w:rPr>
        <w:instrText xml:space="preserve"> REF _Ref530750434 \h </w:instrText>
      </w:r>
      <w:r w:rsidR="008903D1">
        <w:rPr>
          <w:rStyle w:val="fontstyle01"/>
          <w:rFonts w:ascii="Times New Roman" w:hAnsi="Times New Roman" w:cs="Times New Roman"/>
        </w:rPr>
        <w:instrText xml:space="preserve"> \* MERGEFORMAT </w:instrText>
      </w:r>
      <w:r w:rsidRPr="00A96AC5">
        <w:rPr>
          <w:rStyle w:val="fontstyle01"/>
          <w:rFonts w:ascii="Times New Roman" w:hAnsi="Times New Roman" w:cs="Times New Roman"/>
        </w:rPr>
      </w:r>
      <w:r w:rsidRPr="00A96AC5">
        <w:rPr>
          <w:rStyle w:val="fontstyle01"/>
          <w:rFonts w:ascii="Times New Roman" w:hAnsi="Times New Roman" w:cs="Times New Roman"/>
        </w:rPr>
        <w:fldChar w:fldCharType="separate"/>
      </w:r>
      <w:r w:rsidR="0005064B">
        <w:rPr>
          <w:rFonts w:cs="Times New Roman"/>
        </w:rPr>
        <w:t>Table</w:t>
      </w:r>
      <w:r w:rsidR="0005064B" w:rsidRPr="00A96AC5">
        <w:rPr>
          <w:rFonts w:cs="Times New Roman" w:hint="eastAsia"/>
        </w:rPr>
        <w:t xml:space="preserve"> </w:t>
      </w:r>
      <w:r w:rsidR="0005064B">
        <w:rPr>
          <w:rFonts w:cs="Times New Roman"/>
          <w:noProof/>
        </w:rPr>
        <w:t>3</w:t>
      </w:r>
      <w:r w:rsidR="0005064B">
        <w:rPr>
          <w:rFonts w:cs="Times New Roman"/>
          <w:noProof/>
        </w:rPr>
        <w:noBreakHyphen/>
        <w:t>6</w:t>
      </w:r>
      <w:r w:rsidRPr="00A96AC5">
        <w:rPr>
          <w:rStyle w:val="fontstyle01"/>
          <w:rFonts w:ascii="Times New Roman" w:hAnsi="Times New Roman" w:cs="Times New Roman"/>
        </w:rPr>
        <w:fldChar w:fldCharType="end"/>
      </w:r>
      <w:r w:rsidRPr="00A96AC5">
        <w:rPr>
          <w:rStyle w:val="fontstyle01"/>
          <w:rFonts w:ascii="Times New Roman" w:hAnsi="Times New Roman" w:cs="Times New Roman" w:hint="eastAsia"/>
        </w:rPr>
        <w:t xml:space="preserve"> provides the interviewees</w:t>
      </w:r>
      <w:r w:rsidRPr="00A96AC5">
        <w:rPr>
          <w:rStyle w:val="fontstyle01"/>
          <w:rFonts w:ascii="Times New Roman" w:hAnsi="Times New Roman" w:cs="Times New Roman" w:hint="eastAsia"/>
        </w:rPr>
        <w:t>’</w:t>
      </w:r>
      <w:r w:rsidRPr="00A96AC5">
        <w:rPr>
          <w:rStyle w:val="fontstyle01"/>
          <w:rFonts w:ascii="Times New Roman" w:hAnsi="Times New Roman" w:cs="Times New Roman" w:hint="eastAsia"/>
        </w:rPr>
        <w:t xml:space="preserve"> information.</w:t>
      </w:r>
    </w:p>
    <w:tbl>
      <w:tblPr>
        <w:tblStyle w:val="TableGrid"/>
        <w:tblW w:w="4988" w:type="pct"/>
        <w:tblLayout w:type="fixed"/>
        <w:tblLook w:val="04A0" w:firstRow="1" w:lastRow="0" w:firstColumn="1" w:lastColumn="0" w:noHBand="0" w:noVBand="1"/>
      </w:tblPr>
      <w:tblGrid>
        <w:gridCol w:w="995"/>
        <w:gridCol w:w="2061"/>
        <w:gridCol w:w="2160"/>
        <w:gridCol w:w="1585"/>
        <w:gridCol w:w="2193"/>
      </w:tblGrid>
      <w:tr w:rsidR="0071798B" w:rsidRPr="008903D1" w14:paraId="7DCCDFF8" w14:textId="77777777" w:rsidTr="005B5C6C">
        <w:trPr>
          <w:trHeight w:val="316"/>
        </w:trPr>
        <w:tc>
          <w:tcPr>
            <w:tcW w:w="553" w:type="pct"/>
            <w:tcMar>
              <w:left w:w="57" w:type="dxa"/>
              <w:right w:w="57" w:type="dxa"/>
            </w:tcMar>
            <w:vAlign w:val="center"/>
          </w:tcPr>
          <w:p w14:paraId="77C42F61" w14:textId="77777777" w:rsidR="0071798B" w:rsidRPr="00A96AC5" w:rsidRDefault="0071798B" w:rsidP="00E87ADE">
            <w:pPr>
              <w:spacing w:line="240" w:lineRule="auto"/>
              <w:jc w:val="center"/>
              <w:rPr>
                <w:rStyle w:val="fontstyle01"/>
                <w:rFonts w:ascii="Times New Roman" w:hAnsi="Times New Roman" w:cs="Times New Roman"/>
                <w:b/>
                <w:bCs/>
                <w:sz w:val="22"/>
              </w:rPr>
            </w:pPr>
            <w:r w:rsidRPr="00A96AC5">
              <w:rPr>
                <w:rStyle w:val="fontstyle01"/>
                <w:rFonts w:ascii="Times New Roman" w:hAnsi="Times New Roman" w:cs="Times New Roman" w:hint="eastAsia"/>
                <w:b/>
                <w:bCs/>
                <w:sz w:val="22"/>
              </w:rPr>
              <w:t>Country</w:t>
            </w:r>
          </w:p>
        </w:tc>
        <w:tc>
          <w:tcPr>
            <w:tcW w:w="1146" w:type="pct"/>
            <w:tcMar>
              <w:left w:w="57" w:type="dxa"/>
              <w:right w:w="57" w:type="dxa"/>
            </w:tcMar>
            <w:vAlign w:val="center"/>
          </w:tcPr>
          <w:p w14:paraId="3C5A976C" w14:textId="77777777" w:rsidR="0071798B" w:rsidRPr="00A96AC5" w:rsidRDefault="0071798B" w:rsidP="00E87ADE">
            <w:pPr>
              <w:spacing w:line="240" w:lineRule="auto"/>
              <w:jc w:val="center"/>
              <w:rPr>
                <w:rStyle w:val="fontstyle01"/>
                <w:rFonts w:ascii="Times New Roman" w:hAnsi="Times New Roman" w:cs="Times New Roman"/>
                <w:b/>
                <w:bCs/>
                <w:sz w:val="22"/>
              </w:rPr>
            </w:pPr>
            <w:r w:rsidRPr="00A96AC5">
              <w:rPr>
                <w:rStyle w:val="fontstyle01"/>
                <w:rFonts w:ascii="Times New Roman" w:hAnsi="Times New Roman" w:cs="Times New Roman" w:hint="eastAsia"/>
                <w:b/>
                <w:bCs/>
                <w:sz w:val="22"/>
              </w:rPr>
              <w:t xml:space="preserve">Urban consolidation </w:t>
            </w:r>
            <w:proofErr w:type="spellStart"/>
            <w:r w:rsidRPr="00A96AC5">
              <w:rPr>
                <w:rStyle w:val="fontstyle01"/>
                <w:rFonts w:ascii="Times New Roman" w:hAnsi="Times New Roman" w:cs="Times New Roman" w:hint="eastAsia"/>
                <w:b/>
                <w:bCs/>
                <w:sz w:val="22"/>
              </w:rPr>
              <w:t>centre</w:t>
            </w:r>
            <w:proofErr w:type="spellEnd"/>
            <w:r w:rsidRPr="00A96AC5">
              <w:rPr>
                <w:rStyle w:val="fontstyle01"/>
                <w:rFonts w:ascii="Times New Roman" w:hAnsi="Times New Roman" w:cs="Times New Roman" w:hint="eastAsia"/>
                <w:b/>
                <w:bCs/>
                <w:sz w:val="22"/>
              </w:rPr>
              <w:t xml:space="preserve"> (UCC) cases</w:t>
            </w:r>
          </w:p>
        </w:tc>
        <w:tc>
          <w:tcPr>
            <w:tcW w:w="1201" w:type="pct"/>
            <w:tcMar>
              <w:left w:w="57" w:type="dxa"/>
              <w:right w:w="57" w:type="dxa"/>
            </w:tcMar>
            <w:vAlign w:val="center"/>
          </w:tcPr>
          <w:p w14:paraId="7A6FD562" w14:textId="77777777" w:rsidR="0071798B" w:rsidRPr="00A96AC5" w:rsidRDefault="0071798B" w:rsidP="00E87ADE">
            <w:pPr>
              <w:spacing w:line="240" w:lineRule="auto"/>
              <w:jc w:val="center"/>
              <w:rPr>
                <w:rStyle w:val="fontstyle01"/>
                <w:rFonts w:ascii="Times New Roman" w:hAnsi="Times New Roman" w:cs="Times New Roman"/>
                <w:b/>
                <w:bCs/>
                <w:sz w:val="22"/>
              </w:rPr>
            </w:pPr>
            <w:r w:rsidRPr="00A96AC5">
              <w:rPr>
                <w:rStyle w:val="fontstyle01"/>
                <w:rFonts w:ascii="Times New Roman" w:hAnsi="Times New Roman" w:cs="Times New Roman" w:hint="eastAsia"/>
                <w:b/>
                <w:bCs/>
                <w:sz w:val="22"/>
              </w:rPr>
              <w:t>Job titles of the interviewees</w:t>
            </w:r>
          </w:p>
        </w:tc>
        <w:tc>
          <w:tcPr>
            <w:tcW w:w="881" w:type="pct"/>
            <w:tcMar>
              <w:left w:w="57" w:type="dxa"/>
              <w:right w:w="57" w:type="dxa"/>
            </w:tcMar>
            <w:vAlign w:val="center"/>
          </w:tcPr>
          <w:p w14:paraId="2F5A17EC" w14:textId="77777777" w:rsidR="0071798B" w:rsidRPr="00A96AC5" w:rsidRDefault="0071798B" w:rsidP="00E87ADE">
            <w:pPr>
              <w:spacing w:line="240" w:lineRule="auto"/>
              <w:jc w:val="center"/>
              <w:rPr>
                <w:rStyle w:val="fontstyle01"/>
                <w:rFonts w:ascii="Times New Roman" w:hAnsi="Times New Roman" w:cs="Times New Roman"/>
                <w:b/>
                <w:bCs/>
                <w:sz w:val="22"/>
              </w:rPr>
            </w:pPr>
            <w:proofErr w:type="spellStart"/>
            <w:r w:rsidRPr="00A96AC5">
              <w:rPr>
                <w:rStyle w:val="fontstyle01"/>
                <w:rFonts w:ascii="Times New Roman" w:hAnsi="Times New Roman" w:cs="Times New Roman" w:hint="eastAsia"/>
                <w:b/>
                <w:bCs/>
                <w:sz w:val="22"/>
              </w:rPr>
              <w:t>Organisations</w:t>
            </w:r>
            <w:proofErr w:type="spellEnd"/>
          </w:p>
        </w:tc>
        <w:tc>
          <w:tcPr>
            <w:tcW w:w="1220" w:type="pct"/>
            <w:tcMar>
              <w:left w:w="57" w:type="dxa"/>
              <w:right w:w="57" w:type="dxa"/>
            </w:tcMar>
            <w:vAlign w:val="center"/>
          </w:tcPr>
          <w:p w14:paraId="2E549460" w14:textId="77777777" w:rsidR="0071798B" w:rsidRPr="00A96AC5" w:rsidRDefault="0071798B" w:rsidP="00E87ADE">
            <w:pPr>
              <w:spacing w:line="240" w:lineRule="auto"/>
              <w:jc w:val="center"/>
              <w:rPr>
                <w:rStyle w:val="fontstyle01"/>
                <w:rFonts w:ascii="Times New Roman" w:hAnsi="Times New Roman" w:cs="Times New Roman"/>
                <w:b/>
                <w:bCs/>
                <w:sz w:val="22"/>
                <w:lang w:val="it-IT"/>
              </w:rPr>
            </w:pPr>
            <w:r w:rsidRPr="00A96AC5">
              <w:rPr>
                <w:rStyle w:val="fontstyle01"/>
                <w:rFonts w:ascii="Times New Roman" w:hAnsi="Times New Roman" w:cs="Times New Roman" w:hint="eastAsia"/>
                <w:b/>
                <w:bCs/>
                <w:sz w:val="22"/>
                <w:lang w:val="it-IT"/>
              </w:rPr>
              <w:t>Role in urban consolidation centre (UCC) system</w:t>
            </w:r>
          </w:p>
        </w:tc>
      </w:tr>
      <w:tr w:rsidR="0071798B" w:rsidRPr="008903D1" w14:paraId="2E6432D2" w14:textId="77777777" w:rsidTr="005B5C6C">
        <w:tc>
          <w:tcPr>
            <w:tcW w:w="553" w:type="pct"/>
            <w:vMerge w:val="restart"/>
            <w:tcMar>
              <w:left w:w="57" w:type="dxa"/>
              <w:right w:w="57" w:type="dxa"/>
            </w:tcMar>
            <w:vAlign w:val="center"/>
          </w:tcPr>
          <w:p w14:paraId="37B916AB"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Sweden</w:t>
            </w:r>
          </w:p>
        </w:tc>
        <w:tc>
          <w:tcPr>
            <w:tcW w:w="1146" w:type="pct"/>
            <w:vMerge w:val="restart"/>
            <w:tcMar>
              <w:left w:w="57" w:type="dxa"/>
              <w:right w:w="57" w:type="dxa"/>
            </w:tcMar>
            <w:vAlign w:val="center"/>
          </w:tcPr>
          <w:p w14:paraId="52A77569"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Stockholm</w:t>
            </w:r>
          </w:p>
          <w:p w14:paraId="7D502E6F" w14:textId="5EA54BC0" w:rsidR="0071798B" w:rsidRPr="00A96AC5" w:rsidRDefault="00207C11" w:rsidP="00E87ADE">
            <w:pPr>
              <w:spacing w:line="240" w:lineRule="auto"/>
              <w:jc w:val="center"/>
              <w:rPr>
                <w:rStyle w:val="fontstyle01"/>
                <w:rFonts w:ascii="Times New Roman" w:hAnsi="Times New Roman" w:cs="Times New Roman"/>
                <w:sz w:val="22"/>
              </w:rPr>
            </w:pPr>
            <w:r>
              <w:rPr>
                <w:rStyle w:val="fontstyle01"/>
                <w:rFonts w:ascii="Times New Roman" w:hAnsi="Times New Roman" w:cs="Times New Roman"/>
                <w:sz w:val="22"/>
              </w:rPr>
              <w:t>C</w:t>
            </w:r>
            <w:r w:rsidR="0071798B" w:rsidRPr="00A96AC5">
              <w:rPr>
                <w:rStyle w:val="fontstyle01"/>
                <w:rFonts w:ascii="Times New Roman" w:hAnsi="Times New Roman" w:cs="Times New Roman" w:hint="eastAsia"/>
                <w:sz w:val="22"/>
              </w:rPr>
              <w:t xml:space="preserve">ity </w:t>
            </w:r>
            <w:r>
              <w:rPr>
                <w:rStyle w:val="fontstyle01"/>
                <w:rFonts w:ascii="Times New Roman" w:hAnsi="Times New Roman" w:cs="Times New Roman"/>
                <w:sz w:val="22"/>
              </w:rPr>
              <w:t>C</w:t>
            </w:r>
            <w:r w:rsidR="0071798B" w:rsidRPr="00A96AC5">
              <w:rPr>
                <w:rStyle w:val="fontstyle01"/>
                <w:rFonts w:ascii="Times New Roman" w:hAnsi="Times New Roman" w:cs="Times New Roman" w:hint="eastAsia"/>
                <w:sz w:val="22"/>
              </w:rPr>
              <w:t>entre</w:t>
            </w:r>
          </w:p>
        </w:tc>
        <w:tc>
          <w:tcPr>
            <w:tcW w:w="1201" w:type="pct"/>
            <w:tcMar>
              <w:left w:w="57" w:type="dxa"/>
              <w:right w:w="57" w:type="dxa"/>
            </w:tcMar>
            <w:vAlign w:val="center"/>
          </w:tcPr>
          <w:p w14:paraId="08124ABE"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 xml:space="preserve">Freight transportation planner </w:t>
            </w:r>
            <w:r w:rsidRPr="00A96AC5">
              <w:rPr>
                <w:rStyle w:val="fontstyle01"/>
                <w:rFonts w:ascii="Times New Roman" w:hAnsi="Times New Roman" w:cs="Times New Roman" w:hint="eastAsia"/>
              </w:rPr>
              <w:t>(SS)</w:t>
            </w:r>
          </w:p>
        </w:tc>
        <w:tc>
          <w:tcPr>
            <w:tcW w:w="881" w:type="pct"/>
            <w:tcMar>
              <w:left w:w="57" w:type="dxa"/>
              <w:right w:w="57" w:type="dxa"/>
            </w:tcMar>
            <w:vAlign w:val="center"/>
          </w:tcPr>
          <w:p w14:paraId="40CA1C96"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Stockholm City Council</w:t>
            </w:r>
          </w:p>
        </w:tc>
        <w:tc>
          <w:tcPr>
            <w:tcW w:w="1220" w:type="pct"/>
            <w:tcMar>
              <w:left w:w="57" w:type="dxa"/>
              <w:right w:w="57" w:type="dxa"/>
            </w:tcMar>
            <w:vAlign w:val="center"/>
          </w:tcPr>
          <w:p w14:paraId="24B77DDC"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Government</w:t>
            </w:r>
          </w:p>
        </w:tc>
      </w:tr>
      <w:tr w:rsidR="0071798B" w:rsidRPr="008903D1" w14:paraId="1812A4EB" w14:textId="77777777" w:rsidTr="005B5C6C">
        <w:tc>
          <w:tcPr>
            <w:tcW w:w="553" w:type="pct"/>
            <w:vMerge/>
            <w:tcMar>
              <w:left w:w="57" w:type="dxa"/>
              <w:right w:w="57" w:type="dxa"/>
            </w:tcMar>
            <w:vAlign w:val="center"/>
          </w:tcPr>
          <w:p w14:paraId="54FE6A38" w14:textId="77777777" w:rsidR="0071798B" w:rsidRPr="00A96AC5" w:rsidRDefault="0071798B" w:rsidP="00E87ADE">
            <w:pPr>
              <w:spacing w:line="240" w:lineRule="auto"/>
              <w:jc w:val="center"/>
              <w:rPr>
                <w:rStyle w:val="fontstyle01"/>
                <w:rFonts w:ascii="Times New Roman" w:hAnsi="Times New Roman" w:cs="Times New Roman"/>
                <w:sz w:val="22"/>
              </w:rPr>
            </w:pPr>
          </w:p>
        </w:tc>
        <w:tc>
          <w:tcPr>
            <w:tcW w:w="1146" w:type="pct"/>
            <w:vMerge/>
            <w:tcMar>
              <w:left w:w="57" w:type="dxa"/>
              <w:right w:w="57" w:type="dxa"/>
            </w:tcMar>
            <w:vAlign w:val="center"/>
          </w:tcPr>
          <w:p w14:paraId="3F3DCE92" w14:textId="77777777" w:rsidR="0071798B" w:rsidRPr="00A96AC5" w:rsidRDefault="0071798B" w:rsidP="00E87ADE">
            <w:pPr>
              <w:spacing w:line="240" w:lineRule="auto"/>
              <w:jc w:val="center"/>
              <w:rPr>
                <w:rStyle w:val="fontstyle01"/>
                <w:rFonts w:ascii="Times New Roman" w:hAnsi="Times New Roman" w:cs="Times New Roman"/>
                <w:sz w:val="22"/>
              </w:rPr>
            </w:pPr>
          </w:p>
        </w:tc>
        <w:tc>
          <w:tcPr>
            <w:tcW w:w="1201" w:type="pct"/>
            <w:tcMar>
              <w:left w:w="57" w:type="dxa"/>
              <w:right w:w="57" w:type="dxa"/>
            </w:tcMar>
            <w:vAlign w:val="center"/>
          </w:tcPr>
          <w:p w14:paraId="412A83EA"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 xml:space="preserve">Market operators </w:t>
            </w:r>
            <w:r w:rsidRPr="00A96AC5">
              <w:rPr>
                <w:rStyle w:val="fontstyle01"/>
                <w:rFonts w:ascii="Times New Roman" w:hAnsi="Times New Roman" w:cs="Times New Roman" w:hint="eastAsia"/>
              </w:rPr>
              <w:t>(WCC)</w:t>
            </w:r>
          </w:p>
        </w:tc>
        <w:tc>
          <w:tcPr>
            <w:tcW w:w="881" w:type="pct"/>
            <w:tcMar>
              <w:left w:w="57" w:type="dxa"/>
              <w:right w:w="57" w:type="dxa"/>
            </w:tcMar>
            <w:vAlign w:val="center"/>
          </w:tcPr>
          <w:p w14:paraId="17138FC9"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Waste collection company</w:t>
            </w:r>
          </w:p>
        </w:tc>
        <w:tc>
          <w:tcPr>
            <w:tcW w:w="1220" w:type="pct"/>
            <w:tcMar>
              <w:left w:w="57" w:type="dxa"/>
              <w:right w:w="57" w:type="dxa"/>
            </w:tcMar>
            <w:vAlign w:val="center"/>
          </w:tcPr>
          <w:p w14:paraId="647FDB73"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 xml:space="preserve">Facility operator (investor) </w:t>
            </w:r>
          </w:p>
        </w:tc>
      </w:tr>
      <w:tr w:rsidR="0071798B" w:rsidRPr="008903D1" w14:paraId="05CE934D" w14:textId="77777777" w:rsidTr="005B5C6C">
        <w:tc>
          <w:tcPr>
            <w:tcW w:w="553" w:type="pct"/>
            <w:vMerge/>
            <w:tcMar>
              <w:left w:w="57" w:type="dxa"/>
              <w:right w:w="57" w:type="dxa"/>
            </w:tcMar>
            <w:vAlign w:val="center"/>
          </w:tcPr>
          <w:p w14:paraId="1E4D928E" w14:textId="77777777" w:rsidR="0071798B" w:rsidRPr="00A96AC5" w:rsidRDefault="0071798B" w:rsidP="00E87ADE">
            <w:pPr>
              <w:spacing w:line="240" w:lineRule="auto"/>
              <w:jc w:val="center"/>
              <w:rPr>
                <w:rStyle w:val="fontstyle01"/>
                <w:rFonts w:ascii="Times New Roman" w:hAnsi="Times New Roman" w:cs="Times New Roman"/>
                <w:sz w:val="22"/>
              </w:rPr>
            </w:pPr>
          </w:p>
        </w:tc>
        <w:tc>
          <w:tcPr>
            <w:tcW w:w="1146" w:type="pct"/>
            <w:vMerge/>
            <w:tcMar>
              <w:left w:w="57" w:type="dxa"/>
              <w:right w:w="57" w:type="dxa"/>
            </w:tcMar>
            <w:vAlign w:val="center"/>
          </w:tcPr>
          <w:p w14:paraId="20FC1A7E" w14:textId="77777777" w:rsidR="0071798B" w:rsidRPr="00A96AC5" w:rsidRDefault="0071798B" w:rsidP="00E87ADE">
            <w:pPr>
              <w:spacing w:line="240" w:lineRule="auto"/>
              <w:jc w:val="center"/>
              <w:rPr>
                <w:rStyle w:val="fontstyle01"/>
                <w:rFonts w:ascii="Times New Roman" w:hAnsi="Times New Roman" w:cs="Times New Roman"/>
                <w:sz w:val="22"/>
              </w:rPr>
            </w:pPr>
          </w:p>
        </w:tc>
        <w:tc>
          <w:tcPr>
            <w:tcW w:w="1201" w:type="pct"/>
            <w:tcMar>
              <w:left w:w="57" w:type="dxa"/>
              <w:right w:w="57" w:type="dxa"/>
            </w:tcMar>
            <w:vAlign w:val="center"/>
          </w:tcPr>
          <w:p w14:paraId="02912380"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 xml:space="preserve">Head of communicator </w:t>
            </w:r>
            <w:r w:rsidRPr="00A96AC5">
              <w:rPr>
                <w:rStyle w:val="fontstyle01"/>
                <w:rFonts w:ascii="Times New Roman" w:hAnsi="Times New Roman" w:cs="Times New Roman" w:hint="eastAsia"/>
              </w:rPr>
              <w:t>(LC)</w:t>
            </w:r>
          </w:p>
        </w:tc>
        <w:tc>
          <w:tcPr>
            <w:tcW w:w="881" w:type="pct"/>
            <w:tcMar>
              <w:left w:w="57" w:type="dxa"/>
              <w:right w:w="57" w:type="dxa"/>
            </w:tcMar>
            <w:vAlign w:val="center"/>
          </w:tcPr>
          <w:p w14:paraId="150BA32B"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Logistics company</w:t>
            </w:r>
          </w:p>
        </w:tc>
        <w:tc>
          <w:tcPr>
            <w:tcW w:w="1220" w:type="pct"/>
            <w:tcMar>
              <w:left w:w="57" w:type="dxa"/>
              <w:right w:w="57" w:type="dxa"/>
            </w:tcMar>
            <w:vAlign w:val="center"/>
          </w:tcPr>
          <w:p w14:paraId="7A7F6EE7"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Shipper (investor)</w:t>
            </w:r>
          </w:p>
        </w:tc>
      </w:tr>
      <w:tr w:rsidR="0071798B" w:rsidRPr="008903D1" w14:paraId="738F6D92" w14:textId="77777777" w:rsidTr="005B5C6C">
        <w:trPr>
          <w:trHeight w:val="317"/>
        </w:trPr>
        <w:tc>
          <w:tcPr>
            <w:tcW w:w="553" w:type="pct"/>
            <w:vMerge/>
            <w:tcMar>
              <w:left w:w="57" w:type="dxa"/>
              <w:right w:w="57" w:type="dxa"/>
            </w:tcMar>
            <w:vAlign w:val="center"/>
          </w:tcPr>
          <w:p w14:paraId="60F59C5B" w14:textId="77777777" w:rsidR="0071798B" w:rsidRPr="00A96AC5" w:rsidRDefault="0071798B" w:rsidP="00E87ADE">
            <w:pPr>
              <w:spacing w:line="240" w:lineRule="auto"/>
              <w:jc w:val="center"/>
              <w:rPr>
                <w:rStyle w:val="fontstyle01"/>
                <w:rFonts w:ascii="Times New Roman" w:hAnsi="Times New Roman" w:cs="Times New Roman"/>
                <w:sz w:val="22"/>
              </w:rPr>
            </w:pPr>
          </w:p>
        </w:tc>
        <w:tc>
          <w:tcPr>
            <w:tcW w:w="1146" w:type="pct"/>
            <w:vMerge/>
            <w:tcMar>
              <w:left w:w="57" w:type="dxa"/>
              <w:right w:w="57" w:type="dxa"/>
            </w:tcMar>
            <w:vAlign w:val="center"/>
          </w:tcPr>
          <w:p w14:paraId="497C2F6B" w14:textId="77777777" w:rsidR="0071798B" w:rsidRPr="00A96AC5" w:rsidRDefault="0071798B" w:rsidP="00E87ADE">
            <w:pPr>
              <w:spacing w:line="240" w:lineRule="auto"/>
              <w:jc w:val="center"/>
              <w:rPr>
                <w:rStyle w:val="fontstyle01"/>
                <w:rFonts w:ascii="Times New Roman" w:hAnsi="Times New Roman" w:cs="Times New Roman"/>
                <w:sz w:val="22"/>
              </w:rPr>
            </w:pPr>
          </w:p>
        </w:tc>
        <w:tc>
          <w:tcPr>
            <w:tcW w:w="1201" w:type="pct"/>
            <w:tcMar>
              <w:left w:w="57" w:type="dxa"/>
              <w:right w:w="57" w:type="dxa"/>
            </w:tcMar>
            <w:vAlign w:val="center"/>
          </w:tcPr>
          <w:p w14:paraId="3C33E5FA"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 xml:space="preserve">Post research </w:t>
            </w:r>
            <w:r w:rsidRPr="00A96AC5">
              <w:rPr>
                <w:rStyle w:val="fontstyle01"/>
                <w:rFonts w:ascii="Times New Roman" w:hAnsi="Times New Roman" w:cs="Times New Roman" w:hint="eastAsia"/>
              </w:rPr>
              <w:t>(KTH)</w:t>
            </w:r>
          </w:p>
        </w:tc>
        <w:tc>
          <w:tcPr>
            <w:tcW w:w="881" w:type="pct"/>
            <w:tcMar>
              <w:left w:w="57" w:type="dxa"/>
              <w:right w:w="57" w:type="dxa"/>
            </w:tcMar>
            <w:vAlign w:val="center"/>
          </w:tcPr>
          <w:p w14:paraId="2E0A73F3"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University</w:t>
            </w:r>
          </w:p>
        </w:tc>
        <w:tc>
          <w:tcPr>
            <w:tcW w:w="1220" w:type="pct"/>
            <w:tcMar>
              <w:left w:w="57" w:type="dxa"/>
              <w:right w:w="57" w:type="dxa"/>
            </w:tcMar>
            <w:vAlign w:val="center"/>
          </w:tcPr>
          <w:p w14:paraId="620EF9BB" w14:textId="2F1FCD61" w:rsidR="0071798B" w:rsidRPr="00A96AC5" w:rsidRDefault="005B5C6C" w:rsidP="00E87ADE">
            <w:pPr>
              <w:spacing w:line="240" w:lineRule="auto"/>
              <w:jc w:val="center"/>
              <w:rPr>
                <w:rStyle w:val="fontstyle01"/>
                <w:rFonts w:ascii="Times New Roman" w:hAnsi="Times New Roman" w:cs="Times New Roman"/>
                <w:sz w:val="22"/>
              </w:rPr>
            </w:pPr>
            <w:r>
              <w:rPr>
                <w:rStyle w:val="fontstyle01"/>
                <w:rFonts w:ascii="Times New Roman" w:hAnsi="Times New Roman" w:cs="Times New Roman"/>
                <w:sz w:val="22"/>
              </w:rPr>
              <w:t>E</w:t>
            </w:r>
            <w:r w:rsidRPr="005B5C6C">
              <w:rPr>
                <w:rStyle w:val="fontstyle01"/>
                <w:rFonts w:ascii="Times New Roman" w:hAnsi="Times New Roman" w:cs="Times New Roman"/>
                <w:sz w:val="22"/>
              </w:rPr>
              <w:t>quipment provider</w:t>
            </w:r>
          </w:p>
        </w:tc>
      </w:tr>
      <w:tr w:rsidR="0071798B" w:rsidRPr="008903D1" w14:paraId="6CCC7DFD" w14:textId="77777777" w:rsidTr="005B5C6C">
        <w:tc>
          <w:tcPr>
            <w:tcW w:w="553" w:type="pct"/>
            <w:vMerge/>
            <w:tcMar>
              <w:left w:w="57" w:type="dxa"/>
              <w:right w:w="57" w:type="dxa"/>
            </w:tcMar>
            <w:vAlign w:val="center"/>
          </w:tcPr>
          <w:p w14:paraId="606B76CB" w14:textId="77777777" w:rsidR="0071798B" w:rsidRPr="00A96AC5" w:rsidRDefault="0071798B" w:rsidP="00E87ADE">
            <w:pPr>
              <w:spacing w:line="240" w:lineRule="auto"/>
              <w:jc w:val="center"/>
              <w:rPr>
                <w:rStyle w:val="fontstyle01"/>
                <w:rFonts w:ascii="Times New Roman" w:hAnsi="Times New Roman" w:cs="Times New Roman"/>
                <w:sz w:val="22"/>
              </w:rPr>
            </w:pPr>
          </w:p>
        </w:tc>
        <w:tc>
          <w:tcPr>
            <w:tcW w:w="1146" w:type="pct"/>
            <w:vMerge w:val="restart"/>
            <w:tcMar>
              <w:left w:w="57" w:type="dxa"/>
              <w:right w:w="57" w:type="dxa"/>
            </w:tcMar>
            <w:vAlign w:val="center"/>
          </w:tcPr>
          <w:p w14:paraId="15B93439"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Royal</w:t>
            </w:r>
          </w:p>
          <w:p w14:paraId="7D152673"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Seaport</w:t>
            </w:r>
          </w:p>
        </w:tc>
        <w:tc>
          <w:tcPr>
            <w:tcW w:w="1201" w:type="pct"/>
            <w:tcMar>
              <w:left w:w="57" w:type="dxa"/>
              <w:right w:w="57" w:type="dxa"/>
            </w:tcMar>
            <w:vAlign w:val="center"/>
          </w:tcPr>
          <w:p w14:paraId="2F710F60"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 xml:space="preserve">Logistics </w:t>
            </w:r>
            <w:proofErr w:type="gramStart"/>
            <w:r w:rsidRPr="00A96AC5">
              <w:rPr>
                <w:rStyle w:val="fontstyle01"/>
                <w:rFonts w:ascii="Times New Roman" w:hAnsi="Times New Roman" w:cs="Times New Roman" w:hint="eastAsia"/>
                <w:sz w:val="22"/>
              </w:rPr>
              <w:t>operators</w:t>
            </w:r>
            <w:proofErr w:type="gramEnd"/>
            <w:r w:rsidRPr="00A96AC5">
              <w:rPr>
                <w:rStyle w:val="fontstyle01"/>
                <w:rFonts w:ascii="Times New Roman" w:hAnsi="Times New Roman" w:cs="Times New Roman" w:hint="eastAsia"/>
                <w:sz w:val="22"/>
              </w:rPr>
              <w:t xml:space="preserve"> manager </w:t>
            </w:r>
            <w:r w:rsidRPr="00A96AC5">
              <w:rPr>
                <w:rStyle w:val="fontstyle01"/>
                <w:rFonts w:ascii="Times New Roman" w:hAnsi="Times New Roman" w:cs="Times New Roman" w:hint="eastAsia"/>
              </w:rPr>
              <w:t>(UPM)</w:t>
            </w:r>
          </w:p>
        </w:tc>
        <w:tc>
          <w:tcPr>
            <w:tcW w:w="881" w:type="pct"/>
            <w:tcMar>
              <w:left w:w="57" w:type="dxa"/>
              <w:right w:w="57" w:type="dxa"/>
            </w:tcMar>
            <w:vAlign w:val="center"/>
          </w:tcPr>
          <w:p w14:paraId="1F67AA9F"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Consulting company</w:t>
            </w:r>
          </w:p>
        </w:tc>
        <w:tc>
          <w:tcPr>
            <w:tcW w:w="1220" w:type="pct"/>
            <w:tcMar>
              <w:left w:w="57" w:type="dxa"/>
              <w:right w:w="57" w:type="dxa"/>
            </w:tcMar>
            <w:vAlign w:val="center"/>
          </w:tcPr>
          <w:p w14:paraId="670959F2"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Government (investor)</w:t>
            </w:r>
          </w:p>
        </w:tc>
      </w:tr>
      <w:tr w:rsidR="0071798B" w:rsidRPr="008903D1" w14:paraId="74C0F476" w14:textId="77777777" w:rsidTr="005B5C6C">
        <w:tc>
          <w:tcPr>
            <w:tcW w:w="553" w:type="pct"/>
            <w:vMerge/>
            <w:tcMar>
              <w:left w:w="57" w:type="dxa"/>
              <w:right w:w="57" w:type="dxa"/>
            </w:tcMar>
            <w:vAlign w:val="center"/>
          </w:tcPr>
          <w:p w14:paraId="7C0A5462" w14:textId="77777777" w:rsidR="0071798B" w:rsidRPr="00A96AC5" w:rsidRDefault="0071798B" w:rsidP="00E87ADE">
            <w:pPr>
              <w:spacing w:line="240" w:lineRule="auto"/>
              <w:jc w:val="center"/>
              <w:rPr>
                <w:rStyle w:val="fontstyle01"/>
                <w:rFonts w:ascii="Times New Roman" w:hAnsi="Times New Roman" w:cs="Times New Roman"/>
                <w:sz w:val="22"/>
              </w:rPr>
            </w:pPr>
          </w:p>
        </w:tc>
        <w:tc>
          <w:tcPr>
            <w:tcW w:w="1146" w:type="pct"/>
            <w:vMerge/>
            <w:tcMar>
              <w:left w:w="57" w:type="dxa"/>
              <w:right w:w="57" w:type="dxa"/>
            </w:tcMar>
            <w:vAlign w:val="center"/>
          </w:tcPr>
          <w:p w14:paraId="33542F02" w14:textId="77777777" w:rsidR="0071798B" w:rsidRPr="00A96AC5" w:rsidRDefault="0071798B" w:rsidP="00E87ADE">
            <w:pPr>
              <w:spacing w:line="240" w:lineRule="auto"/>
              <w:jc w:val="center"/>
              <w:rPr>
                <w:rStyle w:val="fontstyle01"/>
                <w:rFonts w:ascii="Times New Roman" w:hAnsi="Times New Roman" w:cs="Times New Roman"/>
                <w:sz w:val="22"/>
              </w:rPr>
            </w:pPr>
          </w:p>
        </w:tc>
        <w:tc>
          <w:tcPr>
            <w:tcW w:w="1201" w:type="pct"/>
            <w:tcMar>
              <w:left w:w="57" w:type="dxa"/>
              <w:right w:w="57" w:type="dxa"/>
            </w:tcMar>
            <w:vAlign w:val="center"/>
          </w:tcPr>
          <w:p w14:paraId="3F9C3FDC"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 xml:space="preserve">Planners of the Royal Seaport office </w:t>
            </w:r>
            <w:r w:rsidRPr="00A96AC5">
              <w:rPr>
                <w:rStyle w:val="fontstyle01"/>
                <w:rFonts w:ascii="Times New Roman" w:hAnsi="Times New Roman" w:cs="Times New Roman" w:hint="eastAsia"/>
              </w:rPr>
              <w:t>(ORS)</w:t>
            </w:r>
          </w:p>
        </w:tc>
        <w:tc>
          <w:tcPr>
            <w:tcW w:w="881" w:type="pct"/>
            <w:tcMar>
              <w:left w:w="57" w:type="dxa"/>
              <w:right w:w="57" w:type="dxa"/>
            </w:tcMar>
            <w:vAlign w:val="center"/>
          </w:tcPr>
          <w:p w14:paraId="684AB67B"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Office of Royal Seaport Project</w:t>
            </w:r>
          </w:p>
        </w:tc>
        <w:tc>
          <w:tcPr>
            <w:tcW w:w="1220" w:type="pct"/>
            <w:tcMar>
              <w:left w:w="57" w:type="dxa"/>
              <w:right w:w="57" w:type="dxa"/>
            </w:tcMar>
            <w:vAlign w:val="center"/>
          </w:tcPr>
          <w:p w14:paraId="15478B8A"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Facility operator</w:t>
            </w:r>
          </w:p>
        </w:tc>
      </w:tr>
      <w:tr w:rsidR="0071798B" w:rsidRPr="008903D1" w14:paraId="394F77C8" w14:textId="77777777" w:rsidTr="005B5C6C">
        <w:tc>
          <w:tcPr>
            <w:tcW w:w="553" w:type="pct"/>
            <w:vMerge w:val="restart"/>
            <w:tcMar>
              <w:left w:w="57" w:type="dxa"/>
              <w:right w:w="57" w:type="dxa"/>
            </w:tcMar>
            <w:vAlign w:val="center"/>
          </w:tcPr>
          <w:p w14:paraId="296F5013"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China</w:t>
            </w:r>
          </w:p>
        </w:tc>
        <w:tc>
          <w:tcPr>
            <w:tcW w:w="1146" w:type="pct"/>
            <w:vMerge w:val="restart"/>
            <w:tcMar>
              <w:left w:w="57" w:type="dxa"/>
              <w:right w:w="57" w:type="dxa"/>
            </w:tcMar>
            <w:vAlign w:val="center"/>
          </w:tcPr>
          <w:p w14:paraId="2E5FB076"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Pharmacy UCC</w:t>
            </w:r>
          </w:p>
        </w:tc>
        <w:tc>
          <w:tcPr>
            <w:tcW w:w="1201" w:type="pct"/>
            <w:tcMar>
              <w:left w:w="57" w:type="dxa"/>
              <w:right w:w="57" w:type="dxa"/>
            </w:tcMar>
            <w:vAlign w:val="center"/>
          </w:tcPr>
          <w:p w14:paraId="28016441"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 xml:space="preserve">Urban consolidation </w:t>
            </w:r>
            <w:proofErr w:type="spellStart"/>
            <w:r w:rsidRPr="00A96AC5">
              <w:rPr>
                <w:rStyle w:val="fontstyle01"/>
                <w:rFonts w:ascii="Times New Roman" w:hAnsi="Times New Roman" w:cs="Times New Roman" w:hint="eastAsia"/>
                <w:sz w:val="22"/>
              </w:rPr>
              <w:t>centre</w:t>
            </w:r>
            <w:proofErr w:type="spellEnd"/>
            <w:r w:rsidRPr="00A96AC5">
              <w:rPr>
                <w:rStyle w:val="fontstyle01"/>
                <w:rFonts w:ascii="Times New Roman" w:hAnsi="Times New Roman" w:cs="Times New Roman" w:hint="eastAsia"/>
                <w:sz w:val="22"/>
              </w:rPr>
              <w:t xml:space="preserve"> (UCC) executive </w:t>
            </w:r>
            <w:r w:rsidRPr="00A96AC5">
              <w:rPr>
                <w:rStyle w:val="fontstyle01"/>
                <w:rFonts w:ascii="Times New Roman" w:hAnsi="Times New Roman" w:cs="Times New Roman" w:hint="eastAsia"/>
              </w:rPr>
              <w:t>(UE)</w:t>
            </w:r>
          </w:p>
        </w:tc>
        <w:tc>
          <w:tcPr>
            <w:tcW w:w="881" w:type="pct"/>
            <w:tcMar>
              <w:left w:w="57" w:type="dxa"/>
              <w:right w:w="57" w:type="dxa"/>
            </w:tcMar>
            <w:vAlign w:val="center"/>
          </w:tcPr>
          <w:p w14:paraId="586FCCBB"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Company A</w:t>
            </w:r>
          </w:p>
        </w:tc>
        <w:tc>
          <w:tcPr>
            <w:tcW w:w="1220" w:type="pct"/>
            <w:tcMar>
              <w:left w:w="57" w:type="dxa"/>
              <w:right w:w="57" w:type="dxa"/>
            </w:tcMar>
            <w:vAlign w:val="center"/>
          </w:tcPr>
          <w:p w14:paraId="540E07D6"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Company A (investor)</w:t>
            </w:r>
          </w:p>
        </w:tc>
      </w:tr>
      <w:tr w:rsidR="0071798B" w:rsidRPr="008903D1" w14:paraId="5DA68F23" w14:textId="77777777" w:rsidTr="005B5C6C">
        <w:tc>
          <w:tcPr>
            <w:tcW w:w="553" w:type="pct"/>
            <w:vMerge/>
            <w:tcMar>
              <w:left w:w="57" w:type="dxa"/>
              <w:right w:w="57" w:type="dxa"/>
            </w:tcMar>
            <w:vAlign w:val="center"/>
          </w:tcPr>
          <w:p w14:paraId="38B301BB" w14:textId="77777777" w:rsidR="0071798B" w:rsidRPr="00A96AC5" w:rsidRDefault="0071798B" w:rsidP="00E87ADE">
            <w:pPr>
              <w:spacing w:line="240" w:lineRule="auto"/>
              <w:jc w:val="center"/>
              <w:rPr>
                <w:rStyle w:val="fontstyle01"/>
                <w:rFonts w:ascii="Times New Roman" w:hAnsi="Times New Roman" w:cs="Times New Roman"/>
                <w:sz w:val="22"/>
              </w:rPr>
            </w:pPr>
          </w:p>
        </w:tc>
        <w:tc>
          <w:tcPr>
            <w:tcW w:w="1146" w:type="pct"/>
            <w:vMerge/>
            <w:tcMar>
              <w:left w:w="57" w:type="dxa"/>
              <w:right w:w="57" w:type="dxa"/>
            </w:tcMar>
            <w:vAlign w:val="center"/>
          </w:tcPr>
          <w:p w14:paraId="4656471D" w14:textId="77777777" w:rsidR="0071798B" w:rsidRPr="00A96AC5" w:rsidRDefault="0071798B" w:rsidP="00E87ADE">
            <w:pPr>
              <w:spacing w:line="240" w:lineRule="auto"/>
              <w:jc w:val="center"/>
              <w:rPr>
                <w:rStyle w:val="fontstyle01"/>
                <w:rFonts w:ascii="Times New Roman" w:hAnsi="Times New Roman" w:cs="Times New Roman"/>
                <w:sz w:val="22"/>
              </w:rPr>
            </w:pPr>
          </w:p>
        </w:tc>
        <w:tc>
          <w:tcPr>
            <w:tcW w:w="1201" w:type="pct"/>
            <w:tcMar>
              <w:left w:w="57" w:type="dxa"/>
              <w:right w:w="57" w:type="dxa"/>
            </w:tcMar>
            <w:vAlign w:val="center"/>
          </w:tcPr>
          <w:p w14:paraId="76F2F7C0"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 xml:space="preserve">Head of warehouse department </w:t>
            </w:r>
            <w:r w:rsidRPr="00A96AC5">
              <w:rPr>
                <w:rStyle w:val="fontstyle01"/>
                <w:rFonts w:ascii="Times New Roman" w:hAnsi="Times New Roman" w:cs="Times New Roman" w:hint="eastAsia"/>
              </w:rPr>
              <w:t>(HWD)</w:t>
            </w:r>
          </w:p>
        </w:tc>
        <w:tc>
          <w:tcPr>
            <w:tcW w:w="881" w:type="pct"/>
            <w:tcMar>
              <w:left w:w="57" w:type="dxa"/>
              <w:right w:w="57" w:type="dxa"/>
            </w:tcMar>
            <w:vAlign w:val="center"/>
          </w:tcPr>
          <w:p w14:paraId="6217873F"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 xml:space="preserve">Urban consolidation </w:t>
            </w:r>
            <w:proofErr w:type="spellStart"/>
            <w:r w:rsidRPr="00A96AC5">
              <w:rPr>
                <w:rStyle w:val="fontstyle01"/>
                <w:rFonts w:ascii="Times New Roman" w:hAnsi="Times New Roman" w:cs="Times New Roman" w:hint="eastAsia"/>
                <w:sz w:val="22"/>
              </w:rPr>
              <w:t>centre</w:t>
            </w:r>
            <w:proofErr w:type="spellEnd"/>
            <w:r w:rsidRPr="00A96AC5">
              <w:rPr>
                <w:rStyle w:val="fontstyle01"/>
                <w:rFonts w:ascii="Times New Roman" w:hAnsi="Times New Roman" w:cs="Times New Roman" w:hint="eastAsia"/>
                <w:sz w:val="22"/>
              </w:rPr>
              <w:t xml:space="preserve"> (UCC)</w:t>
            </w:r>
          </w:p>
        </w:tc>
        <w:tc>
          <w:tcPr>
            <w:tcW w:w="1220" w:type="pct"/>
            <w:tcMar>
              <w:left w:w="57" w:type="dxa"/>
              <w:right w:w="57" w:type="dxa"/>
            </w:tcMar>
            <w:vAlign w:val="center"/>
          </w:tcPr>
          <w:p w14:paraId="3BAC5786"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Warehouse operator</w:t>
            </w:r>
          </w:p>
        </w:tc>
      </w:tr>
      <w:tr w:rsidR="0071798B" w:rsidRPr="008903D1" w14:paraId="1DFFD1E5" w14:textId="77777777" w:rsidTr="005B5C6C">
        <w:tc>
          <w:tcPr>
            <w:tcW w:w="553" w:type="pct"/>
            <w:vMerge/>
            <w:tcMar>
              <w:left w:w="57" w:type="dxa"/>
              <w:right w:w="57" w:type="dxa"/>
            </w:tcMar>
            <w:vAlign w:val="center"/>
          </w:tcPr>
          <w:p w14:paraId="59CE1B4A" w14:textId="77777777" w:rsidR="0071798B" w:rsidRPr="00A96AC5" w:rsidRDefault="0071798B" w:rsidP="00E87ADE">
            <w:pPr>
              <w:spacing w:line="240" w:lineRule="auto"/>
              <w:jc w:val="center"/>
              <w:rPr>
                <w:rStyle w:val="fontstyle01"/>
                <w:rFonts w:ascii="Times New Roman" w:hAnsi="Times New Roman" w:cs="Times New Roman"/>
                <w:sz w:val="22"/>
              </w:rPr>
            </w:pPr>
          </w:p>
        </w:tc>
        <w:tc>
          <w:tcPr>
            <w:tcW w:w="1146" w:type="pct"/>
            <w:vMerge/>
            <w:tcMar>
              <w:left w:w="57" w:type="dxa"/>
              <w:right w:w="57" w:type="dxa"/>
            </w:tcMar>
            <w:vAlign w:val="center"/>
          </w:tcPr>
          <w:p w14:paraId="52F9BD19" w14:textId="77777777" w:rsidR="0071798B" w:rsidRPr="00A96AC5" w:rsidRDefault="0071798B" w:rsidP="00E87ADE">
            <w:pPr>
              <w:spacing w:line="240" w:lineRule="auto"/>
              <w:jc w:val="center"/>
              <w:rPr>
                <w:rStyle w:val="fontstyle01"/>
                <w:rFonts w:ascii="Times New Roman" w:hAnsi="Times New Roman" w:cs="Times New Roman"/>
                <w:sz w:val="22"/>
              </w:rPr>
            </w:pPr>
          </w:p>
        </w:tc>
        <w:tc>
          <w:tcPr>
            <w:tcW w:w="1201" w:type="pct"/>
            <w:tcMar>
              <w:left w:w="57" w:type="dxa"/>
              <w:right w:w="57" w:type="dxa"/>
            </w:tcMar>
            <w:vAlign w:val="center"/>
          </w:tcPr>
          <w:p w14:paraId="51D85268"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 xml:space="preserve">Head of distribution department </w:t>
            </w:r>
            <w:r w:rsidRPr="00A96AC5">
              <w:rPr>
                <w:rStyle w:val="fontstyle01"/>
                <w:rFonts w:ascii="Times New Roman" w:hAnsi="Times New Roman" w:cs="Times New Roman" w:hint="eastAsia"/>
              </w:rPr>
              <w:t>(HDD)</w:t>
            </w:r>
          </w:p>
        </w:tc>
        <w:tc>
          <w:tcPr>
            <w:tcW w:w="881" w:type="pct"/>
            <w:tcMar>
              <w:left w:w="57" w:type="dxa"/>
              <w:right w:w="57" w:type="dxa"/>
            </w:tcMar>
            <w:vAlign w:val="center"/>
          </w:tcPr>
          <w:p w14:paraId="72DE2FF4"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 xml:space="preserve">Urban consolidation </w:t>
            </w:r>
            <w:proofErr w:type="spellStart"/>
            <w:r w:rsidRPr="00A96AC5">
              <w:rPr>
                <w:rStyle w:val="fontstyle01"/>
                <w:rFonts w:ascii="Times New Roman" w:hAnsi="Times New Roman" w:cs="Times New Roman" w:hint="eastAsia"/>
                <w:sz w:val="22"/>
              </w:rPr>
              <w:t>centre</w:t>
            </w:r>
            <w:proofErr w:type="spellEnd"/>
            <w:r w:rsidRPr="00A96AC5">
              <w:rPr>
                <w:rStyle w:val="fontstyle01"/>
                <w:rFonts w:ascii="Times New Roman" w:hAnsi="Times New Roman" w:cs="Times New Roman" w:hint="eastAsia"/>
                <w:sz w:val="22"/>
              </w:rPr>
              <w:t xml:space="preserve"> (UCC)</w:t>
            </w:r>
          </w:p>
        </w:tc>
        <w:tc>
          <w:tcPr>
            <w:tcW w:w="1220" w:type="pct"/>
            <w:tcMar>
              <w:left w:w="57" w:type="dxa"/>
              <w:right w:w="57" w:type="dxa"/>
            </w:tcMar>
            <w:vAlign w:val="center"/>
          </w:tcPr>
          <w:p w14:paraId="50E28B1E"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Carrier</w:t>
            </w:r>
          </w:p>
        </w:tc>
      </w:tr>
      <w:tr w:rsidR="0071798B" w:rsidRPr="008903D1" w14:paraId="2D492D9A" w14:textId="77777777" w:rsidTr="005B5C6C">
        <w:trPr>
          <w:trHeight w:val="274"/>
        </w:trPr>
        <w:tc>
          <w:tcPr>
            <w:tcW w:w="553" w:type="pct"/>
            <w:vMerge/>
            <w:tcMar>
              <w:left w:w="57" w:type="dxa"/>
              <w:right w:w="57" w:type="dxa"/>
            </w:tcMar>
            <w:vAlign w:val="center"/>
          </w:tcPr>
          <w:p w14:paraId="7A24096B" w14:textId="77777777" w:rsidR="0071798B" w:rsidRPr="00A96AC5" w:rsidRDefault="0071798B" w:rsidP="00E87ADE">
            <w:pPr>
              <w:spacing w:line="240" w:lineRule="auto"/>
              <w:jc w:val="center"/>
              <w:rPr>
                <w:rStyle w:val="fontstyle01"/>
                <w:rFonts w:ascii="Times New Roman" w:hAnsi="Times New Roman" w:cs="Times New Roman"/>
                <w:sz w:val="22"/>
              </w:rPr>
            </w:pPr>
          </w:p>
        </w:tc>
        <w:tc>
          <w:tcPr>
            <w:tcW w:w="1146" w:type="pct"/>
            <w:vMerge w:val="restart"/>
            <w:tcMar>
              <w:left w:w="57" w:type="dxa"/>
              <w:right w:w="57" w:type="dxa"/>
            </w:tcMar>
            <w:vAlign w:val="center"/>
          </w:tcPr>
          <w:p w14:paraId="538A35CC" w14:textId="466E6028"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UCC</w:t>
            </w:r>
            <w:r w:rsidR="00207C11">
              <w:rPr>
                <w:rStyle w:val="fontstyle01"/>
                <w:rFonts w:ascii="Times New Roman" w:hAnsi="Times New Roman" w:cs="Times New Roman"/>
                <w:sz w:val="22"/>
              </w:rPr>
              <w:t xml:space="preserve"> for cold</w:t>
            </w:r>
            <w:r w:rsidR="005A3880">
              <w:rPr>
                <w:rStyle w:val="fontstyle01"/>
                <w:rFonts w:ascii="Times New Roman" w:hAnsi="Times New Roman" w:cs="Times New Roman"/>
                <w:sz w:val="22"/>
              </w:rPr>
              <w:t>-</w:t>
            </w:r>
            <w:r w:rsidR="00207C11">
              <w:rPr>
                <w:rStyle w:val="fontstyle01"/>
                <w:rFonts w:ascii="Times New Roman" w:hAnsi="Times New Roman" w:cs="Times New Roman"/>
                <w:sz w:val="22"/>
              </w:rPr>
              <w:t>chain product</w:t>
            </w:r>
          </w:p>
        </w:tc>
        <w:tc>
          <w:tcPr>
            <w:tcW w:w="1201" w:type="pct"/>
            <w:tcMar>
              <w:left w:w="57" w:type="dxa"/>
              <w:right w:w="57" w:type="dxa"/>
            </w:tcMar>
            <w:vAlign w:val="center"/>
          </w:tcPr>
          <w:p w14:paraId="783EAA8C"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Chair (</w:t>
            </w:r>
            <w:r w:rsidRPr="00A96AC5">
              <w:rPr>
                <w:rStyle w:val="fontstyle01"/>
                <w:rFonts w:ascii="Times New Roman" w:hAnsi="Times New Roman" w:cs="Times New Roman" w:hint="eastAsia"/>
              </w:rPr>
              <w:t>CR)</w:t>
            </w:r>
          </w:p>
        </w:tc>
        <w:tc>
          <w:tcPr>
            <w:tcW w:w="881" w:type="pct"/>
            <w:tcMar>
              <w:left w:w="57" w:type="dxa"/>
              <w:right w:w="57" w:type="dxa"/>
            </w:tcMar>
            <w:vAlign w:val="center"/>
          </w:tcPr>
          <w:p w14:paraId="1721BC17"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Company B</w:t>
            </w:r>
          </w:p>
        </w:tc>
        <w:tc>
          <w:tcPr>
            <w:tcW w:w="1220" w:type="pct"/>
            <w:tcMar>
              <w:left w:w="57" w:type="dxa"/>
              <w:right w:w="57" w:type="dxa"/>
            </w:tcMar>
            <w:vAlign w:val="center"/>
          </w:tcPr>
          <w:p w14:paraId="04398252"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Investor</w:t>
            </w:r>
          </w:p>
        </w:tc>
      </w:tr>
      <w:tr w:rsidR="0071798B" w:rsidRPr="008903D1" w14:paraId="640923B8" w14:textId="77777777" w:rsidTr="005B5C6C">
        <w:tc>
          <w:tcPr>
            <w:tcW w:w="553" w:type="pct"/>
            <w:vMerge/>
            <w:tcMar>
              <w:left w:w="57" w:type="dxa"/>
              <w:right w:w="57" w:type="dxa"/>
            </w:tcMar>
            <w:vAlign w:val="center"/>
          </w:tcPr>
          <w:p w14:paraId="6B672E0E" w14:textId="77777777" w:rsidR="0071798B" w:rsidRPr="00A96AC5" w:rsidRDefault="0071798B" w:rsidP="00E87ADE">
            <w:pPr>
              <w:spacing w:line="240" w:lineRule="auto"/>
              <w:jc w:val="center"/>
              <w:rPr>
                <w:rStyle w:val="fontstyle01"/>
                <w:rFonts w:ascii="Times New Roman" w:hAnsi="Times New Roman" w:cs="Times New Roman"/>
                <w:sz w:val="22"/>
              </w:rPr>
            </w:pPr>
          </w:p>
        </w:tc>
        <w:tc>
          <w:tcPr>
            <w:tcW w:w="1146" w:type="pct"/>
            <w:vMerge/>
            <w:tcMar>
              <w:left w:w="57" w:type="dxa"/>
              <w:right w:w="57" w:type="dxa"/>
            </w:tcMar>
            <w:vAlign w:val="center"/>
          </w:tcPr>
          <w:p w14:paraId="705EC95E" w14:textId="77777777" w:rsidR="0071798B" w:rsidRPr="00A96AC5" w:rsidRDefault="0071798B" w:rsidP="00E87ADE">
            <w:pPr>
              <w:spacing w:line="240" w:lineRule="auto"/>
              <w:jc w:val="center"/>
              <w:rPr>
                <w:rStyle w:val="fontstyle01"/>
                <w:rFonts w:ascii="Times New Roman" w:hAnsi="Times New Roman" w:cs="Times New Roman"/>
                <w:sz w:val="22"/>
              </w:rPr>
            </w:pPr>
          </w:p>
        </w:tc>
        <w:tc>
          <w:tcPr>
            <w:tcW w:w="1201" w:type="pct"/>
            <w:tcMar>
              <w:left w:w="57" w:type="dxa"/>
              <w:right w:w="57" w:type="dxa"/>
            </w:tcMar>
            <w:vAlign w:val="center"/>
          </w:tcPr>
          <w:p w14:paraId="7F6005C5"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 xml:space="preserve">Project manager </w:t>
            </w:r>
            <w:r w:rsidRPr="00A96AC5">
              <w:rPr>
                <w:rStyle w:val="fontstyle01"/>
                <w:rFonts w:ascii="Times New Roman" w:hAnsi="Times New Roman" w:cs="Times New Roman" w:hint="eastAsia"/>
              </w:rPr>
              <w:t>(PM)</w:t>
            </w:r>
          </w:p>
        </w:tc>
        <w:tc>
          <w:tcPr>
            <w:tcW w:w="881" w:type="pct"/>
            <w:tcMar>
              <w:left w:w="57" w:type="dxa"/>
              <w:right w:w="57" w:type="dxa"/>
            </w:tcMar>
            <w:vAlign w:val="center"/>
          </w:tcPr>
          <w:p w14:paraId="21CA42B1"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CBUCC</w:t>
            </w:r>
          </w:p>
        </w:tc>
        <w:tc>
          <w:tcPr>
            <w:tcW w:w="1220" w:type="pct"/>
            <w:tcMar>
              <w:left w:w="57" w:type="dxa"/>
              <w:right w:w="57" w:type="dxa"/>
            </w:tcMar>
            <w:vAlign w:val="center"/>
          </w:tcPr>
          <w:p w14:paraId="676D37F8"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Facility manager</w:t>
            </w:r>
          </w:p>
        </w:tc>
      </w:tr>
      <w:tr w:rsidR="0071798B" w:rsidRPr="008903D1" w14:paraId="36D3692B" w14:textId="77777777" w:rsidTr="005B5C6C">
        <w:trPr>
          <w:trHeight w:val="341"/>
        </w:trPr>
        <w:tc>
          <w:tcPr>
            <w:tcW w:w="553" w:type="pct"/>
            <w:vMerge/>
            <w:tcMar>
              <w:left w:w="57" w:type="dxa"/>
              <w:right w:w="57" w:type="dxa"/>
            </w:tcMar>
            <w:vAlign w:val="center"/>
          </w:tcPr>
          <w:p w14:paraId="4DAC48FF" w14:textId="77777777" w:rsidR="0071798B" w:rsidRPr="00A96AC5" w:rsidRDefault="0071798B" w:rsidP="00E87ADE">
            <w:pPr>
              <w:spacing w:line="240" w:lineRule="auto"/>
              <w:jc w:val="center"/>
              <w:rPr>
                <w:rStyle w:val="fontstyle01"/>
                <w:rFonts w:ascii="Times New Roman" w:hAnsi="Times New Roman" w:cs="Times New Roman"/>
                <w:sz w:val="22"/>
              </w:rPr>
            </w:pPr>
          </w:p>
        </w:tc>
        <w:tc>
          <w:tcPr>
            <w:tcW w:w="1146" w:type="pct"/>
            <w:vMerge/>
            <w:tcMar>
              <w:left w:w="57" w:type="dxa"/>
              <w:right w:w="57" w:type="dxa"/>
            </w:tcMar>
            <w:vAlign w:val="center"/>
          </w:tcPr>
          <w:p w14:paraId="657941D7" w14:textId="77777777" w:rsidR="0071798B" w:rsidRPr="00A96AC5" w:rsidRDefault="0071798B" w:rsidP="00E87ADE">
            <w:pPr>
              <w:spacing w:line="240" w:lineRule="auto"/>
              <w:jc w:val="center"/>
              <w:rPr>
                <w:rStyle w:val="fontstyle01"/>
                <w:rFonts w:ascii="Times New Roman" w:hAnsi="Times New Roman" w:cs="Times New Roman"/>
                <w:sz w:val="22"/>
              </w:rPr>
            </w:pPr>
          </w:p>
        </w:tc>
        <w:tc>
          <w:tcPr>
            <w:tcW w:w="1201" w:type="pct"/>
            <w:tcMar>
              <w:left w:w="57" w:type="dxa"/>
              <w:right w:w="57" w:type="dxa"/>
            </w:tcMar>
            <w:vAlign w:val="center"/>
          </w:tcPr>
          <w:p w14:paraId="77DFC1D3"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 xml:space="preserve">Professor </w:t>
            </w:r>
            <w:r w:rsidRPr="00A96AC5">
              <w:rPr>
                <w:rStyle w:val="fontstyle01"/>
                <w:rFonts w:ascii="Times New Roman" w:hAnsi="Times New Roman" w:cs="Times New Roman" w:hint="eastAsia"/>
              </w:rPr>
              <w:t>(WHUT)</w:t>
            </w:r>
          </w:p>
        </w:tc>
        <w:tc>
          <w:tcPr>
            <w:tcW w:w="881" w:type="pct"/>
            <w:tcMar>
              <w:left w:w="57" w:type="dxa"/>
              <w:right w:w="57" w:type="dxa"/>
            </w:tcMar>
            <w:vAlign w:val="center"/>
          </w:tcPr>
          <w:p w14:paraId="5E1BAAFF" w14:textId="77777777" w:rsidR="0071798B" w:rsidRPr="00A96AC5" w:rsidRDefault="0071798B" w:rsidP="00E87ADE">
            <w:pPr>
              <w:spacing w:line="240" w:lineRule="auto"/>
              <w:jc w:val="center"/>
              <w:rPr>
                <w:rStyle w:val="fontstyle01"/>
                <w:rFonts w:ascii="Times New Roman" w:hAnsi="Times New Roman" w:cs="Times New Roman"/>
                <w:sz w:val="22"/>
              </w:rPr>
            </w:pPr>
            <w:r w:rsidRPr="00A96AC5">
              <w:rPr>
                <w:rStyle w:val="fontstyle01"/>
                <w:rFonts w:ascii="Times New Roman" w:hAnsi="Times New Roman" w:cs="Times New Roman" w:hint="eastAsia"/>
                <w:sz w:val="22"/>
              </w:rPr>
              <w:t>University</w:t>
            </w:r>
          </w:p>
        </w:tc>
        <w:tc>
          <w:tcPr>
            <w:tcW w:w="1220" w:type="pct"/>
            <w:tcMar>
              <w:left w:w="57" w:type="dxa"/>
              <w:right w:w="57" w:type="dxa"/>
            </w:tcMar>
            <w:vAlign w:val="center"/>
          </w:tcPr>
          <w:p w14:paraId="667BCF7A" w14:textId="20CA0AF2" w:rsidR="0071798B" w:rsidRPr="00A96AC5" w:rsidRDefault="005B5C6C" w:rsidP="00E87ADE">
            <w:pPr>
              <w:spacing w:line="240" w:lineRule="auto"/>
              <w:jc w:val="center"/>
              <w:rPr>
                <w:rStyle w:val="fontstyle01"/>
                <w:rFonts w:ascii="Times New Roman" w:hAnsi="Times New Roman" w:cs="Times New Roman"/>
                <w:sz w:val="22"/>
              </w:rPr>
            </w:pPr>
            <w:r>
              <w:rPr>
                <w:rStyle w:val="fontstyle01"/>
                <w:rFonts w:ascii="Times New Roman" w:hAnsi="Times New Roman" w:cs="Times New Roman"/>
                <w:sz w:val="22"/>
              </w:rPr>
              <w:t>P</w:t>
            </w:r>
            <w:r w:rsidRPr="005B5C6C">
              <w:rPr>
                <w:rStyle w:val="fontstyle01"/>
                <w:rFonts w:ascii="Times New Roman" w:hAnsi="Times New Roman" w:cs="Times New Roman"/>
                <w:sz w:val="22"/>
              </w:rPr>
              <w:t>erformance evaluator</w:t>
            </w:r>
          </w:p>
        </w:tc>
      </w:tr>
    </w:tbl>
    <w:p w14:paraId="359F0F65" w14:textId="548FE718" w:rsidR="0092585F" w:rsidRPr="00D13806" w:rsidRDefault="007B5959" w:rsidP="00D13806">
      <w:pPr>
        <w:pStyle w:val="Caption"/>
        <w:spacing w:line="360" w:lineRule="auto"/>
        <w:rPr>
          <w:rFonts w:cs="Times New Roman"/>
        </w:rPr>
      </w:pPr>
      <w:bookmarkStart w:id="598" w:name="_Ref530750434"/>
      <w:bookmarkStart w:id="599" w:name="_Ref530750429"/>
      <w:bookmarkStart w:id="600" w:name="_Toc34674950"/>
      <w:bookmarkStart w:id="601" w:name="_Toc34734742"/>
      <w:bookmarkStart w:id="602" w:name="_Toc46053557"/>
      <w:bookmarkStart w:id="603" w:name="_Toc46093806"/>
      <w:bookmarkStart w:id="604" w:name="_Toc66698773"/>
      <w:r>
        <w:rPr>
          <w:rFonts w:cs="Times New Roman"/>
        </w:rPr>
        <w:t>Table</w:t>
      </w:r>
      <w:r w:rsidR="0071798B" w:rsidRPr="00A96AC5">
        <w:rPr>
          <w:rFonts w:cs="Times New Roman" w:hint="eastAsia"/>
        </w:rPr>
        <w:t xml:space="preserve"> </w:t>
      </w:r>
      <w:r w:rsidR="00FE10DA">
        <w:rPr>
          <w:rFonts w:cs="Times New Roman"/>
        </w:rPr>
        <w:fldChar w:fldCharType="begin"/>
      </w:r>
      <w:r w:rsidR="00FE10DA">
        <w:rPr>
          <w:rFonts w:cs="Times New Roman"/>
        </w:rPr>
        <w:instrText xml:space="preserve"> </w:instrText>
      </w:r>
      <w:r w:rsidR="00FE10DA">
        <w:rPr>
          <w:rFonts w:cs="Times New Roman" w:hint="eastAsia"/>
        </w:rPr>
        <w:instrText>STYLEREF 1 \s</w:instrText>
      </w:r>
      <w:r w:rsidR="00FE10DA">
        <w:rPr>
          <w:rFonts w:cs="Times New Roman"/>
        </w:rPr>
        <w:instrText xml:space="preserve"> </w:instrText>
      </w:r>
      <w:r w:rsidR="00FE10DA">
        <w:rPr>
          <w:rFonts w:cs="Times New Roman"/>
        </w:rPr>
        <w:fldChar w:fldCharType="separate"/>
      </w:r>
      <w:r w:rsidR="0005064B">
        <w:rPr>
          <w:rFonts w:cs="Times New Roman"/>
          <w:noProof/>
        </w:rPr>
        <w:t>3</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w:instrText>
      </w:r>
      <w:r w:rsidR="00FE10DA">
        <w:rPr>
          <w:rFonts w:cs="Times New Roman" w:hint="eastAsia"/>
        </w:rPr>
        <w:instrText>SEQ Table \* ARABIC \s 1</w:instrText>
      </w:r>
      <w:r w:rsidR="00FE10DA">
        <w:rPr>
          <w:rFonts w:cs="Times New Roman"/>
        </w:rPr>
        <w:instrText xml:space="preserve"> </w:instrText>
      </w:r>
      <w:r w:rsidR="00FE10DA">
        <w:rPr>
          <w:rFonts w:cs="Times New Roman"/>
        </w:rPr>
        <w:fldChar w:fldCharType="separate"/>
      </w:r>
      <w:r w:rsidR="0005064B">
        <w:rPr>
          <w:rFonts w:cs="Times New Roman"/>
          <w:noProof/>
        </w:rPr>
        <w:t>6</w:t>
      </w:r>
      <w:r w:rsidR="00FE10DA">
        <w:rPr>
          <w:rFonts w:cs="Times New Roman"/>
        </w:rPr>
        <w:fldChar w:fldCharType="end"/>
      </w:r>
      <w:bookmarkEnd w:id="598"/>
      <w:r w:rsidR="00AF217C">
        <w:rPr>
          <w:rFonts w:cs="Times New Roman"/>
        </w:rPr>
        <w:t>:</w:t>
      </w:r>
      <w:r w:rsidR="0071798B" w:rsidRPr="008903D1">
        <w:rPr>
          <w:rFonts w:cs="Times New Roman"/>
        </w:rPr>
        <w:t xml:space="preserve"> </w:t>
      </w:r>
      <w:r w:rsidR="0071798B" w:rsidRPr="00737239">
        <w:rPr>
          <w:rStyle w:val="fontstyle01"/>
          <w:rFonts w:ascii="Times New Roman" w:hAnsi="Times New Roman" w:cs="Times New Roman"/>
          <w:color w:val="44546A" w:themeColor="text2"/>
          <w:sz w:val="22"/>
          <w:szCs w:val="18"/>
        </w:rPr>
        <w:t>The interviewees in Sweden and China</w:t>
      </w:r>
      <w:bookmarkEnd w:id="599"/>
      <w:bookmarkEnd w:id="600"/>
      <w:bookmarkEnd w:id="601"/>
      <w:bookmarkEnd w:id="602"/>
      <w:bookmarkEnd w:id="603"/>
      <w:bookmarkEnd w:id="604"/>
    </w:p>
    <w:p w14:paraId="41A91FDF" w14:textId="77777777" w:rsidR="0071798B" w:rsidRPr="00802DC5" w:rsidRDefault="0071798B" w:rsidP="000A4E8C">
      <w:pPr>
        <w:pStyle w:val="Heading3"/>
        <w:spacing w:line="360" w:lineRule="auto"/>
        <w:rPr>
          <w:rStyle w:val="fontstyle01"/>
          <w:rFonts w:ascii="Times New Roman" w:hAnsi="Times New Roman" w:cs="Times New Roman"/>
          <w:color w:val="9CC2E5" w:themeColor="accent1" w:themeTint="99"/>
          <w:szCs w:val="22"/>
        </w:rPr>
      </w:pPr>
      <w:bookmarkStart w:id="605" w:name="_Toc34734522"/>
      <w:bookmarkStart w:id="606" w:name="_Toc46053445"/>
      <w:bookmarkStart w:id="607" w:name="_Toc46093359"/>
      <w:bookmarkStart w:id="608" w:name="_Toc46093642"/>
      <w:bookmarkStart w:id="609" w:name="_Toc66703217"/>
      <w:r w:rsidRPr="00737239">
        <w:rPr>
          <w:rStyle w:val="fontstyle01"/>
          <w:rFonts w:ascii="Times New Roman" w:hAnsi="Times New Roman" w:cs="Times New Roman"/>
          <w:color w:val="9CC2E5" w:themeColor="accent1" w:themeTint="99"/>
          <w:szCs w:val="22"/>
        </w:rPr>
        <w:t>Questionnaire setting</w:t>
      </w:r>
      <w:bookmarkEnd w:id="605"/>
      <w:bookmarkEnd w:id="606"/>
      <w:bookmarkEnd w:id="607"/>
      <w:bookmarkEnd w:id="608"/>
      <w:bookmarkEnd w:id="609"/>
    </w:p>
    <w:p w14:paraId="3CBCA115" w14:textId="7F41D630" w:rsidR="0092585F" w:rsidRPr="00A96AC5" w:rsidRDefault="0071798B" w:rsidP="0092585F">
      <w:pPr>
        <w:tabs>
          <w:tab w:val="left" w:pos="5990"/>
        </w:tabs>
        <w:spacing w:after="240" w:line="360" w:lineRule="auto"/>
        <w:rPr>
          <w:rStyle w:val="fontstyle01"/>
          <w:rFonts w:ascii="Times New Roman" w:hAnsi="Times New Roman" w:cs="Times New Roman"/>
        </w:rPr>
      </w:pPr>
      <w:r w:rsidRPr="00A96AC5">
        <w:rPr>
          <w:rStyle w:val="fontstyle01"/>
          <w:rFonts w:ascii="Times New Roman" w:hAnsi="Times New Roman" w:cs="Times New Roman" w:hint="eastAsia"/>
        </w:rPr>
        <w:t>Three categories of questions were developed for the interviews (</w:t>
      </w:r>
      <w:r w:rsidRPr="00A96AC5">
        <w:rPr>
          <w:rStyle w:val="fontstyle01"/>
          <w:rFonts w:ascii="Times New Roman" w:hAnsi="Times New Roman" w:cs="Times New Roman"/>
        </w:rPr>
        <w:fldChar w:fldCharType="begin"/>
      </w:r>
      <w:r w:rsidRPr="00A96AC5">
        <w:rPr>
          <w:rStyle w:val="fontstyle01"/>
          <w:rFonts w:ascii="Times New Roman" w:hAnsi="Times New Roman" w:cs="Times New Roman" w:hint="eastAsia"/>
        </w:rPr>
        <w:instrText xml:space="preserve"> REF _Ref530752915 \h </w:instrText>
      </w:r>
      <w:r w:rsidR="008903D1">
        <w:rPr>
          <w:rStyle w:val="fontstyle01"/>
          <w:rFonts w:ascii="Times New Roman" w:hAnsi="Times New Roman" w:cs="Times New Roman"/>
        </w:rPr>
        <w:instrText xml:space="preserve"> \* MERGEFORMAT </w:instrText>
      </w:r>
      <w:r w:rsidRPr="00A96AC5">
        <w:rPr>
          <w:rStyle w:val="fontstyle01"/>
          <w:rFonts w:ascii="Times New Roman" w:hAnsi="Times New Roman" w:cs="Times New Roman"/>
        </w:rPr>
      </w:r>
      <w:r w:rsidRPr="00A96AC5">
        <w:rPr>
          <w:rStyle w:val="fontstyle01"/>
          <w:rFonts w:ascii="Times New Roman" w:hAnsi="Times New Roman"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3</w:t>
      </w:r>
      <w:r w:rsidR="0005064B">
        <w:rPr>
          <w:rFonts w:cs="Times New Roman"/>
          <w:noProof/>
        </w:rPr>
        <w:noBreakHyphen/>
        <w:t>7</w:t>
      </w:r>
      <w:r w:rsidRPr="00A96AC5">
        <w:rPr>
          <w:rStyle w:val="fontstyle01"/>
          <w:rFonts w:ascii="Times New Roman" w:hAnsi="Times New Roman" w:cs="Times New Roman"/>
        </w:rPr>
        <w:fldChar w:fldCharType="end"/>
      </w:r>
      <w:r w:rsidRPr="00A96AC5">
        <w:rPr>
          <w:rStyle w:val="fontstyle01"/>
          <w:rFonts w:ascii="Times New Roman" w:hAnsi="Times New Roman" w:cs="Times New Roman" w:hint="eastAsia"/>
        </w:rPr>
        <w:t xml:space="preserve">). For the open questions, a list of themes and questions were designed for specific stakeholders, varying between the interviews. For the closed questions and the pairwise comparison matrix, </w:t>
      </w:r>
      <w:r w:rsidRPr="008903D1">
        <w:rPr>
          <w:rFonts w:cs="Times New Roman"/>
        </w:rPr>
        <w:t xml:space="preserve">each question </w:t>
      </w:r>
      <w:r w:rsidRPr="00737239">
        <w:rPr>
          <w:rFonts w:cs="Times New Roman"/>
        </w:rPr>
        <w:t>was asked sequentially, and the responses recorded on a standardised schedule.</w:t>
      </w:r>
      <w:r w:rsidRPr="00A96AC5">
        <w:rPr>
          <w:rStyle w:val="fontstyle01"/>
          <w:rFonts w:ascii="Times New Roman" w:hAnsi="Times New Roman" w:cs="Times New Roman" w:hint="eastAsia"/>
        </w:rPr>
        <w:t xml:space="preserve"> </w:t>
      </w:r>
      <w:proofErr w:type="spellStart"/>
      <w:r w:rsidR="00B85EB7">
        <w:rPr>
          <w:rStyle w:val="fontstyle01"/>
          <w:rFonts w:ascii="Times New Roman" w:hAnsi="Times New Roman" w:cs="Times New Roman"/>
        </w:rPr>
        <w:t>Deails</w:t>
      </w:r>
      <w:proofErr w:type="spellEnd"/>
      <w:r w:rsidR="00B85EB7">
        <w:rPr>
          <w:rStyle w:val="fontstyle01"/>
          <w:rFonts w:ascii="Times New Roman" w:hAnsi="Times New Roman" w:cs="Times New Roman"/>
        </w:rPr>
        <w:t xml:space="preserve"> are shown in Appendix IV and Appendix V</w:t>
      </w:r>
    </w:p>
    <w:tbl>
      <w:tblPr>
        <w:tblStyle w:val="TableGrid"/>
        <w:tblW w:w="9067" w:type="dxa"/>
        <w:tblLook w:val="04A0" w:firstRow="1" w:lastRow="0" w:firstColumn="1" w:lastColumn="0" w:noHBand="0" w:noVBand="1"/>
      </w:tblPr>
      <w:tblGrid>
        <w:gridCol w:w="5845"/>
        <w:gridCol w:w="3222"/>
      </w:tblGrid>
      <w:tr w:rsidR="0071798B" w:rsidRPr="008903D1" w14:paraId="0499127E" w14:textId="77777777" w:rsidTr="0094536E">
        <w:tc>
          <w:tcPr>
            <w:tcW w:w="5845" w:type="dxa"/>
          </w:tcPr>
          <w:p w14:paraId="6580F3B1" w14:textId="77777777" w:rsidR="0071798B" w:rsidRPr="00A96AC5" w:rsidRDefault="0071798B" w:rsidP="000A4E8C">
            <w:pPr>
              <w:tabs>
                <w:tab w:val="left" w:pos="5990"/>
              </w:tabs>
              <w:jc w:val="center"/>
              <w:rPr>
                <w:rStyle w:val="fontstyle01"/>
                <w:rFonts w:ascii="Times New Roman" w:hAnsi="Times New Roman" w:cs="Times New Roman"/>
                <w:b/>
                <w:sz w:val="22"/>
              </w:rPr>
            </w:pPr>
            <w:r w:rsidRPr="00A96AC5">
              <w:rPr>
                <w:rStyle w:val="fontstyle01"/>
                <w:rFonts w:ascii="Times New Roman" w:hAnsi="Times New Roman" w:cs="Times New Roman" w:hint="eastAsia"/>
                <w:b/>
                <w:sz w:val="22"/>
              </w:rPr>
              <w:t>Question categories</w:t>
            </w:r>
          </w:p>
        </w:tc>
        <w:tc>
          <w:tcPr>
            <w:tcW w:w="3222" w:type="dxa"/>
          </w:tcPr>
          <w:p w14:paraId="1F11AFFC" w14:textId="77777777" w:rsidR="0071798B" w:rsidRPr="00A96AC5" w:rsidRDefault="0071798B" w:rsidP="000A4E8C">
            <w:pPr>
              <w:tabs>
                <w:tab w:val="left" w:pos="5990"/>
              </w:tabs>
              <w:jc w:val="center"/>
              <w:rPr>
                <w:rStyle w:val="fontstyle01"/>
                <w:rFonts w:ascii="Times New Roman" w:hAnsi="Times New Roman" w:cs="Times New Roman"/>
                <w:b/>
                <w:sz w:val="22"/>
              </w:rPr>
            </w:pPr>
            <w:r w:rsidRPr="00A96AC5">
              <w:rPr>
                <w:rStyle w:val="fontstyle01"/>
                <w:rFonts w:ascii="Times New Roman" w:hAnsi="Times New Roman" w:cs="Times New Roman" w:hint="eastAsia"/>
                <w:b/>
                <w:sz w:val="22"/>
              </w:rPr>
              <w:t>Question setting</w:t>
            </w:r>
          </w:p>
        </w:tc>
      </w:tr>
      <w:tr w:rsidR="0071798B" w:rsidRPr="008903D1" w14:paraId="7CA084C7" w14:textId="77777777" w:rsidTr="0094536E">
        <w:tc>
          <w:tcPr>
            <w:tcW w:w="5845" w:type="dxa"/>
          </w:tcPr>
          <w:p w14:paraId="7F672B3C" w14:textId="77777777" w:rsidR="0071798B" w:rsidRPr="00A96AC5" w:rsidRDefault="0071798B" w:rsidP="000A4E8C">
            <w:pPr>
              <w:tabs>
                <w:tab w:val="left" w:pos="5990"/>
              </w:tabs>
              <w:rPr>
                <w:rStyle w:val="fontstyle01"/>
                <w:rFonts w:ascii="Times New Roman" w:hAnsi="Times New Roman" w:cs="Times New Roman"/>
                <w:sz w:val="22"/>
              </w:rPr>
            </w:pPr>
            <w:r w:rsidRPr="00A96AC5">
              <w:rPr>
                <w:rStyle w:val="fontstyle01"/>
                <w:rFonts w:ascii="Times New Roman" w:hAnsi="Times New Roman" w:cs="Times New Roman" w:hint="eastAsia"/>
                <w:sz w:val="22"/>
              </w:rPr>
              <w:t>Open questions</w:t>
            </w:r>
          </w:p>
        </w:tc>
        <w:tc>
          <w:tcPr>
            <w:tcW w:w="3222" w:type="dxa"/>
          </w:tcPr>
          <w:p w14:paraId="33F2973B" w14:textId="77777777" w:rsidR="0071798B" w:rsidRPr="00A96AC5" w:rsidRDefault="0071798B" w:rsidP="000A4E8C">
            <w:pPr>
              <w:rPr>
                <w:rStyle w:val="fontstyle01"/>
                <w:rFonts w:ascii="Times New Roman" w:eastAsia="Times New Roman" w:hAnsi="Times New Roman" w:cs="Times New Roman"/>
              </w:rPr>
            </w:pPr>
            <w:r w:rsidRPr="00A96AC5">
              <w:rPr>
                <w:rStyle w:val="fontstyle01"/>
                <w:rFonts w:ascii="Times New Roman" w:hAnsi="Times New Roman" w:cs="Times New Roman" w:hint="eastAsia"/>
                <w:sz w:val="22"/>
              </w:rPr>
              <w:t>Essay question</w:t>
            </w:r>
          </w:p>
        </w:tc>
      </w:tr>
      <w:tr w:rsidR="0071798B" w:rsidRPr="008903D1" w14:paraId="4ECF146E" w14:textId="77777777" w:rsidTr="0094536E">
        <w:tc>
          <w:tcPr>
            <w:tcW w:w="5845" w:type="dxa"/>
          </w:tcPr>
          <w:p w14:paraId="3512B809" w14:textId="77777777" w:rsidR="0071798B" w:rsidRPr="00A96AC5" w:rsidRDefault="0071798B" w:rsidP="000A4E8C">
            <w:pPr>
              <w:tabs>
                <w:tab w:val="left" w:pos="5990"/>
              </w:tabs>
              <w:rPr>
                <w:rStyle w:val="fontstyle01"/>
                <w:rFonts w:ascii="Times New Roman" w:hAnsi="Times New Roman" w:cs="Times New Roman"/>
                <w:sz w:val="22"/>
              </w:rPr>
            </w:pPr>
            <w:r w:rsidRPr="00A96AC5">
              <w:rPr>
                <w:rStyle w:val="fontstyle01"/>
                <w:rFonts w:ascii="Times New Roman" w:hAnsi="Times New Roman" w:cs="Times New Roman" w:hint="eastAsia"/>
                <w:sz w:val="22"/>
              </w:rPr>
              <w:t>Closed questions</w:t>
            </w:r>
          </w:p>
        </w:tc>
        <w:tc>
          <w:tcPr>
            <w:tcW w:w="3222" w:type="dxa"/>
          </w:tcPr>
          <w:p w14:paraId="2A2B00EC" w14:textId="77777777" w:rsidR="0071798B" w:rsidRPr="00A96AC5" w:rsidRDefault="0071798B" w:rsidP="000A4E8C">
            <w:pPr>
              <w:rPr>
                <w:rStyle w:val="fontstyle01"/>
                <w:rFonts w:ascii="Times New Roman" w:eastAsia="Times New Roman" w:hAnsi="Times New Roman" w:cs="Times New Roman"/>
              </w:rPr>
            </w:pPr>
            <w:r w:rsidRPr="00A96AC5">
              <w:rPr>
                <w:rStyle w:val="fontstyle01"/>
                <w:rFonts w:ascii="Times New Roman" w:hAnsi="Times New Roman" w:cs="Times New Roman" w:hint="eastAsia"/>
                <w:sz w:val="22"/>
              </w:rPr>
              <w:t>Multiple-choice, flow chart</w:t>
            </w:r>
          </w:p>
        </w:tc>
      </w:tr>
      <w:tr w:rsidR="0071798B" w:rsidRPr="008903D1" w14:paraId="6AFE3A5F" w14:textId="77777777" w:rsidTr="0094536E">
        <w:tc>
          <w:tcPr>
            <w:tcW w:w="5845" w:type="dxa"/>
          </w:tcPr>
          <w:p w14:paraId="794FB0BA" w14:textId="77777777" w:rsidR="0071798B" w:rsidRPr="00A96AC5" w:rsidRDefault="0071798B" w:rsidP="000A4E8C">
            <w:pPr>
              <w:tabs>
                <w:tab w:val="left" w:pos="5990"/>
              </w:tabs>
              <w:rPr>
                <w:rStyle w:val="fontstyle01"/>
                <w:rFonts w:ascii="Times New Roman" w:hAnsi="Times New Roman" w:cs="Times New Roman"/>
                <w:sz w:val="22"/>
              </w:rPr>
            </w:pPr>
            <w:r w:rsidRPr="00A96AC5">
              <w:rPr>
                <w:rStyle w:val="fontstyle01"/>
                <w:rFonts w:ascii="Times New Roman" w:hAnsi="Times New Roman" w:cs="Times New Roman" w:hint="eastAsia"/>
                <w:sz w:val="22"/>
              </w:rPr>
              <w:t>Pairwise comparison matrix</w:t>
            </w:r>
          </w:p>
        </w:tc>
        <w:tc>
          <w:tcPr>
            <w:tcW w:w="3222" w:type="dxa"/>
          </w:tcPr>
          <w:p w14:paraId="013BB793" w14:textId="77777777" w:rsidR="0071798B" w:rsidRPr="00A96AC5" w:rsidRDefault="0071798B" w:rsidP="000A4E8C">
            <w:pPr>
              <w:rPr>
                <w:rStyle w:val="fontstyle01"/>
                <w:rFonts w:ascii="Times New Roman" w:hAnsi="Times New Roman" w:cs="Times New Roman"/>
                <w:sz w:val="22"/>
              </w:rPr>
            </w:pPr>
            <w:r w:rsidRPr="00A96AC5">
              <w:rPr>
                <w:rStyle w:val="fontstyle01"/>
                <w:rFonts w:ascii="Times New Roman" w:hAnsi="Times New Roman" w:cs="Times New Roman" w:hint="eastAsia"/>
                <w:sz w:val="22"/>
              </w:rPr>
              <w:t>Fill-in-the-blank</w:t>
            </w:r>
          </w:p>
        </w:tc>
      </w:tr>
    </w:tbl>
    <w:p w14:paraId="361242A7" w14:textId="03ED1879" w:rsidR="0071798B" w:rsidRDefault="007B5959" w:rsidP="0092585F">
      <w:pPr>
        <w:pStyle w:val="Caption"/>
        <w:spacing w:line="360" w:lineRule="auto"/>
        <w:rPr>
          <w:rFonts w:cs="Times New Roman"/>
        </w:rPr>
      </w:pPr>
      <w:bookmarkStart w:id="610" w:name="_Ref530752915"/>
      <w:bookmarkStart w:id="611" w:name="_Toc34674951"/>
      <w:bookmarkStart w:id="612" w:name="_Toc34734743"/>
      <w:bookmarkStart w:id="613" w:name="_Toc46053558"/>
      <w:bookmarkStart w:id="614" w:name="_Toc46093807"/>
      <w:bookmarkStart w:id="615" w:name="_Toc66698774"/>
      <w:r>
        <w:rPr>
          <w:rFonts w:cs="Times New Roman"/>
        </w:rPr>
        <w:t>Table</w:t>
      </w:r>
      <w:r w:rsidR="0071798B"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3</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7</w:t>
      </w:r>
      <w:r w:rsidR="00FE10DA">
        <w:rPr>
          <w:rFonts w:cs="Times New Roman"/>
        </w:rPr>
        <w:fldChar w:fldCharType="end"/>
      </w:r>
      <w:bookmarkEnd w:id="610"/>
      <w:r w:rsidR="00AF217C">
        <w:rPr>
          <w:rFonts w:cs="Times New Roman"/>
        </w:rPr>
        <w:t xml:space="preserve">: </w:t>
      </w:r>
      <w:r w:rsidR="0071798B" w:rsidRPr="008903D1">
        <w:rPr>
          <w:rFonts w:cs="Times New Roman"/>
        </w:rPr>
        <w:t>Question categories and settings</w:t>
      </w:r>
      <w:bookmarkEnd w:id="611"/>
      <w:bookmarkEnd w:id="612"/>
      <w:bookmarkEnd w:id="613"/>
      <w:bookmarkEnd w:id="614"/>
      <w:bookmarkEnd w:id="615"/>
    </w:p>
    <w:p w14:paraId="7593D483" w14:textId="77777777" w:rsidR="0071798B" w:rsidRPr="00802DC5" w:rsidRDefault="0071798B" w:rsidP="000A4E8C">
      <w:pPr>
        <w:pStyle w:val="Heading3"/>
        <w:spacing w:line="360" w:lineRule="auto"/>
        <w:rPr>
          <w:rFonts w:cs="Times New Roman"/>
        </w:rPr>
      </w:pPr>
      <w:bookmarkStart w:id="616" w:name="_Toc34734523"/>
      <w:bookmarkStart w:id="617" w:name="_Toc46053446"/>
      <w:bookmarkStart w:id="618" w:name="_Toc46093360"/>
      <w:bookmarkStart w:id="619" w:name="_Toc46093643"/>
      <w:bookmarkStart w:id="620" w:name="_Toc66703218"/>
      <w:r w:rsidRPr="00802DC5">
        <w:rPr>
          <w:rFonts w:cs="Times New Roman"/>
        </w:rPr>
        <w:lastRenderedPageBreak/>
        <w:t>Data collection approach</w:t>
      </w:r>
      <w:bookmarkEnd w:id="616"/>
      <w:bookmarkEnd w:id="617"/>
      <w:bookmarkEnd w:id="618"/>
      <w:bookmarkEnd w:id="619"/>
      <w:bookmarkEnd w:id="620"/>
    </w:p>
    <w:p w14:paraId="434C893F" w14:textId="77777777" w:rsidR="0071798B" w:rsidRPr="008903D1" w:rsidRDefault="0071798B" w:rsidP="000A4E8C">
      <w:pPr>
        <w:pStyle w:val="Heading4"/>
        <w:spacing w:after="0" w:line="360" w:lineRule="auto"/>
        <w:rPr>
          <w:rFonts w:cs="Times New Roman"/>
        </w:rPr>
      </w:pPr>
      <w:r w:rsidRPr="006C301D">
        <w:rPr>
          <w:rFonts w:cs="Times New Roman"/>
        </w:rPr>
        <w:t xml:space="preserve">The interview </w:t>
      </w:r>
      <w:proofErr w:type="gramStart"/>
      <w:r w:rsidRPr="006C301D">
        <w:rPr>
          <w:rFonts w:cs="Times New Roman"/>
        </w:rPr>
        <w:t>processes</w:t>
      </w:r>
      <w:proofErr w:type="gramEnd"/>
    </w:p>
    <w:p w14:paraId="6A39FFD7" w14:textId="4A40394B" w:rsidR="0071798B" w:rsidRPr="00A96AC5" w:rsidRDefault="0071798B" w:rsidP="0092585F">
      <w:pPr>
        <w:pStyle w:val="Caption"/>
        <w:spacing w:line="360" w:lineRule="auto"/>
        <w:jc w:val="both"/>
        <w:rPr>
          <w:rFonts w:cs="Times New Roman"/>
          <w:b w:val="0"/>
          <w:i w:val="0"/>
          <w:iCs w:val="0"/>
          <w:color w:val="auto"/>
          <w:sz w:val="24"/>
          <w:szCs w:val="22"/>
        </w:rPr>
      </w:pPr>
      <w:bookmarkStart w:id="621" w:name="_Hlk27753223"/>
      <w:r w:rsidRPr="00737239">
        <w:rPr>
          <w:rFonts w:cs="Times New Roman"/>
          <w:b w:val="0"/>
          <w:i w:val="0"/>
          <w:iCs w:val="0"/>
          <w:color w:val="auto"/>
          <w:sz w:val="24"/>
          <w:szCs w:val="22"/>
        </w:rPr>
        <w:t xml:space="preserve">The first interviewees in the two Swedish cases were introduced by Stockholm </w:t>
      </w:r>
      <w:proofErr w:type="spellStart"/>
      <w:r w:rsidR="00AC1119">
        <w:rPr>
          <w:rFonts w:cs="Times New Roman"/>
          <w:b w:val="0"/>
          <w:i w:val="0"/>
          <w:iCs w:val="0"/>
          <w:color w:val="auto"/>
          <w:sz w:val="24"/>
          <w:szCs w:val="22"/>
        </w:rPr>
        <w:t>S</w:t>
      </w:r>
      <w:r w:rsidRPr="00737239">
        <w:rPr>
          <w:rFonts w:cs="Times New Roman"/>
          <w:b w:val="0"/>
          <w:i w:val="0"/>
          <w:iCs w:val="0"/>
          <w:color w:val="auto"/>
          <w:sz w:val="24"/>
          <w:szCs w:val="22"/>
        </w:rPr>
        <w:t>tad</w:t>
      </w:r>
      <w:proofErr w:type="spellEnd"/>
      <w:r w:rsidRPr="00737239">
        <w:rPr>
          <w:rFonts w:cs="Times New Roman"/>
          <w:b w:val="0"/>
          <w:i w:val="0"/>
          <w:iCs w:val="0"/>
          <w:color w:val="auto"/>
          <w:sz w:val="24"/>
          <w:szCs w:val="22"/>
        </w:rPr>
        <w:t>, who participate</w:t>
      </w:r>
      <w:r w:rsidR="00513C12">
        <w:rPr>
          <w:rFonts w:cs="Times New Roman"/>
          <w:b w:val="0"/>
          <w:i w:val="0"/>
          <w:iCs w:val="0"/>
          <w:color w:val="auto"/>
          <w:sz w:val="24"/>
          <w:szCs w:val="22"/>
        </w:rPr>
        <w:t>d</w:t>
      </w:r>
      <w:r w:rsidRPr="00737239">
        <w:rPr>
          <w:rFonts w:cs="Times New Roman"/>
          <w:b w:val="0"/>
          <w:i w:val="0"/>
          <w:iCs w:val="0"/>
          <w:color w:val="auto"/>
          <w:sz w:val="24"/>
          <w:szCs w:val="22"/>
        </w:rPr>
        <w:t xml:space="preserve"> in the </w:t>
      </w:r>
      <w:proofErr w:type="spellStart"/>
      <w:r w:rsidRPr="00737239">
        <w:rPr>
          <w:rFonts w:cs="Times New Roman"/>
          <w:b w:val="0"/>
          <w:i w:val="0"/>
          <w:iCs w:val="0"/>
          <w:color w:val="auto"/>
          <w:sz w:val="24"/>
          <w:szCs w:val="22"/>
        </w:rPr>
        <w:t>ProSFeT</w:t>
      </w:r>
      <w:proofErr w:type="spellEnd"/>
      <w:r w:rsidRPr="00737239">
        <w:rPr>
          <w:rFonts w:cs="Times New Roman"/>
          <w:b w:val="0"/>
          <w:i w:val="0"/>
          <w:iCs w:val="0"/>
          <w:color w:val="auto"/>
          <w:sz w:val="24"/>
          <w:szCs w:val="22"/>
        </w:rPr>
        <w:t xml:space="preserve"> projec</w:t>
      </w:r>
      <w:r w:rsidRPr="00802DC5">
        <w:rPr>
          <w:rFonts w:cs="Times New Roman"/>
          <w:b w:val="0"/>
          <w:i w:val="0"/>
          <w:iCs w:val="0"/>
          <w:color w:val="auto"/>
          <w:sz w:val="24"/>
          <w:szCs w:val="22"/>
        </w:rPr>
        <w:t xml:space="preserve">t. Similarly, </w:t>
      </w:r>
      <w:r w:rsidR="00290BB2">
        <w:rPr>
          <w:rFonts w:cs="Times New Roman"/>
          <w:b w:val="0"/>
          <w:i w:val="0"/>
          <w:iCs w:val="0"/>
          <w:color w:val="auto"/>
          <w:sz w:val="24"/>
          <w:szCs w:val="22"/>
        </w:rPr>
        <w:t xml:space="preserve">the </w:t>
      </w:r>
      <w:r w:rsidRPr="00802DC5">
        <w:rPr>
          <w:rFonts w:cs="Times New Roman"/>
          <w:b w:val="0"/>
          <w:i w:val="0"/>
          <w:iCs w:val="0"/>
          <w:color w:val="auto"/>
          <w:sz w:val="24"/>
          <w:szCs w:val="22"/>
        </w:rPr>
        <w:t xml:space="preserve">first interviewees in the two Chinese cases were introduced by the researchers </w:t>
      </w:r>
      <w:r w:rsidR="00E27CC1">
        <w:rPr>
          <w:rFonts w:cs="Times New Roman"/>
          <w:b w:val="0"/>
          <w:i w:val="0"/>
          <w:iCs w:val="0"/>
          <w:color w:val="auto"/>
          <w:sz w:val="24"/>
          <w:szCs w:val="22"/>
        </w:rPr>
        <w:t>from</w:t>
      </w:r>
      <w:r w:rsidR="0048459E">
        <w:rPr>
          <w:rFonts w:cs="Times New Roman"/>
          <w:b w:val="0"/>
          <w:i w:val="0"/>
          <w:iCs w:val="0"/>
          <w:color w:val="auto"/>
          <w:sz w:val="24"/>
          <w:szCs w:val="22"/>
        </w:rPr>
        <w:t xml:space="preserve"> the</w:t>
      </w:r>
      <w:r w:rsidRPr="00802DC5">
        <w:rPr>
          <w:rFonts w:cs="Times New Roman"/>
          <w:b w:val="0"/>
          <w:i w:val="0"/>
          <w:iCs w:val="0"/>
          <w:color w:val="auto"/>
          <w:sz w:val="24"/>
          <w:szCs w:val="22"/>
        </w:rPr>
        <w:t xml:space="preserve"> Wuhan University of Technology. After th</w:t>
      </w:r>
      <w:r w:rsidRPr="006C301D">
        <w:rPr>
          <w:rFonts w:cs="Times New Roman"/>
          <w:b w:val="0"/>
          <w:i w:val="0"/>
          <w:iCs w:val="0"/>
          <w:color w:val="auto"/>
          <w:sz w:val="24"/>
          <w:szCs w:val="22"/>
        </w:rPr>
        <w:t>e first interview, the interviewee introduced the following relevant stakeholders in the UCC project. The interview appointments were confirmed by email or telephone.</w:t>
      </w:r>
    </w:p>
    <w:p w14:paraId="27329F14" w14:textId="7379815D" w:rsidR="00AF0D2D" w:rsidRDefault="0071798B" w:rsidP="0092585F">
      <w:pPr>
        <w:spacing w:after="240" w:line="360" w:lineRule="auto"/>
        <w:rPr>
          <w:rFonts w:cs="Times New Roman"/>
        </w:rPr>
      </w:pPr>
      <w:r w:rsidRPr="00A96AC5">
        <w:rPr>
          <w:rFonts w:cs="Times New Roman"/>
        </w:rPr>
        <w:t>The interviews were conducted face-to-face, and the consent form was explained to the interviewees, informing them of their rights and requesting their permission to use the data. The interviews were recorded using a digital voice recorder and by handwritten notes.</w:t>
      </w:r>
    </w:p>
    <w:p w14:paraId="38B46F3F" w14:textId="77777777" w:rsidR="0071798B" w:rsidRPr="00A96AC5" w:rsidRDefault="0071798B" w:rsidP="000A4E8C">
      <w:pPr>
        <w:pStyle w:val="Heading4"/>
        <w:spacing w:after="0" w:line="360" w:lineRule="auto"/>
        <w:rPr>
          <w:rFonts w:cs="Times New Roman"/>
        </w:rPr>
      </w:pPr>
      <w:r w:rsidRPr="00A96AC5">
        <w:rPr>
          <w:rFonts w:cs="Times New Roman"/>
        </w:rPr>
        <w:t>Other data sources</w:t>
      </w:r>
    </w:p>
    <w:p w14:paraId="7D1CA152" w14:textId="78A82B72" w:rsidR="0071798B" w:rsidRPr="00802DC5" w:rsidRDefault="0071798B" w:rsidP="0092585F">
      <w:pPr>
        <w:spacing w:after="240" w:line="360" w:lineRule="auto"/>
        <w:rPr>
          <w:rFonts w:cs="Times New Roman"/>
        </w:rPr>
      </w:pPr>
      <w:r w:rsidRPr="00A96AC5">
        <w:rPr>
          <w:rFonts w:cs="Times New Roman"/>
        </w:rPr>
        <w:t xml:space="preserve">In addition, other data were shared by the stakeholders. </w:t>
      </w:r>
      <w:r w:rsidRPr="00737239">
        <w:rPr>
          <w:rFonts w:cs="Times New Roman"/>
        </w:rPr>
        <w:fldChar w:fldCharType="begin"/>
      </w:r>
      <w:r w:rsidRPr="00A96AC5">
        <w:rPr>
          <w:rFonts w:cs="Times New Roman"/>
        </w:rPr>
        <w:instrText xml:space="preserve"> REF _Ref31205906 \h </w:instrText>
      </w:r>
      <w:r w:rsidR="008903D1">
        <w:rPr>
          <w:rFonts w:cs="Times New Roman"/>
        </w:rPr>
        <w:instrText xml:space="preserve"> \* MERGEFORMAT </w:instrText>
      </w:r>
      <w:r w:rsidRPr="00737239">
        <w:rPr>
          <w:rFonts w:cs="Times New Roman"/>
        </w:rPr>
      </w:r>
      <w:r w:rsidRPr="00737239">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3</w:t>
      </w:r>
      <w:r w:rsidR="0005064B">
        <w:rPr>
          <w:rFonts w:cs="Times New Roman"/>
          <w:noProof/>
        </w:rPr>
        <w:noBreakHyphen/>
        <w:t>8</w:t>
      </w:r>
      <w:r w:rsidRPr="00737239">
        <w:rPr>
          <w:rFonts w:cs="Times New Roman"/>
        </w:rPr>
        <w:fldChar w:fldCharType="end"/>
      </w:r>
      <w:r w:rsidRPr="008903D1">
        <w:rPr>
          <w:rFonts w:cs="Times New Roman"/>
        </w:rPr>
        <w:t xml:space="preserve"> list</w:t>
      </w:r>
      <w:r w:rsidRPr="00737239">
        <w:rPr>
          <w:rFonts w:cs="Times New Roman"/>
        </w:rPr>
        <w:t>s these data sources.</w:t>
      </w:r>
    </w:p>
    <w:tbl>
      <w:tblPr>
        <w:tblStyle w:val="TableGrid"/>
        <w:tblW w:w="5000" w:type="pct"/>
        <w:tblLook w:val="04A0" w:firstRow="1" w:lastRow="0" w:firstColumn="1" w:lastColumn="0" w:noHBand="0" w:noVBand="1"/>
      </w:tblPr>
      <w:tblGrid>
        <w:gridCol w:w="1165"/>
        <w:gridCol w:w="4230"/>
        <w:gridCol w:w="3621"/>
      </w:tblGrid>
      <w:tr w:rsidR="0071798B" w:rsidRPr="008903D1" w14:paraId="671C1F0A" w14:textId="77777777" w:rsidTr="00243E02">
        <w:tc>
          <w:tcPr>
            <w:tcW w:w="646" w:type="pct"/>
            <w:vAlign w:val="center"/>
          </w:tcPr>
          <w:p w14:paraId="4E65B409" w14:textId="77777777" w:rsidR="0071798B" w:rsidRPr="00A96AC5" w:rsidRDefault="0071798B" w:rsidP="00243E02">
            <w:pPr>
              <w:spacing w:line="240" w:lineRule="auto"/>
              <w:jc w:val="center"/>
              <w:rPr>
                <w:rFonts w:cs="Times New Roman"/>
                <w:b/>
                <w:bCs/>
              </w:rPr>
            </w:pPr>
            <w:r w:rsidRPr="006C301D">
              <w:rPr>
                <w:rFonts w:cs="Times New Roman"/>
                <w:b/>
                <w:bCs/>
              </w:rPr>
              <w:t>Case numbers</w:t>
            </w:r>
          </w:p>
        </w:tc>
        <w:tc>
          <w:tcPr>
            <w:tcW w:w="2346" w:type="pct"/>
            <w:vAlign w:val="center"/>
          </w:tcPr>
          <w:p w14:paraId="2EB890D1" w14:textId="77777777" w:rsidR="0071798B" w:rsidRPr="00A96AC5" w:rsidRDefault="0071798B" w:rsidP="00243E02">
            <w:pPr>
              <w:spacing w:line="240" w:lineRule="auto"/>
              <w:jc w:val="center"/>
              <w:rPr>
                <w:rFonts w:cs="Times New Roman"/>
                <w:b/>
                <w:bCs/>
              </w:rPr>
            </w:pPr>
            <w:r w:rsidRPr="00A96AC5">
              <w:rPr>
                <w:rFonts w:cs="Times New Roman"/>
                <w:b/>
                <w:bCs/>
              </w:rPr>
              <w:t>Source</w:t>
            </w:r>
          </w:p>
        </w:tc>
        <w:tc>
          <w:tcPr>
            <w:tcW w:w="2008" w:type="pct"/>
            <w:vAlign w:val="center"/>
          </w:tcPr>
          <w:p w14:paraId="799869B4" w14:textId="77777777" w:rsidR="0071798B" w:rsidRPr="00A96AC5" w:rsidRDefault="0071798B" w:rsidP="00243E02">
            <w:pPr>
              <w:spacing w:line="240" w:lineRule="auto"/>
              <w:jc w:val="center"/>
              <w:rPr>
                <w:rFonts w:cs="Times New Roman"/>
                <w:b/>
                <w:bCs/>
              </w:rPr>
            </w:pPr>
            <w:r w:rsidRPr="00A96AC5">
              <w:rPr>
                <w:rFonts w:cs="Times New Roman"/>
                <w:b/>
                <w:bCs/>
              </w:rPr>
              <w:t>Provider</w:t>
            </w:r>
          </w:p>
        </w:tc>
      </w:tr>
      <w:tr w:rsidR="0071798B" w:rsidRPr="008903D1" w14:paraId="28A9CD49" w14:textId="77777777" w:rsidTr="00243E02">
        <w:tc>
          <w:tcPr>
            <w:tcW w:w="646" w:type="pct"/>
            <w:vMerge w:val="restart"/>
          </w:tcPr>
          <w:p w14:paraId="3CDFBE31" w14:textId="77777777" w:rsidR="0071798B" w:rsidRPr="00802DC5" w:rsidRDefault="0071798B" w:rsidP="00243E02">
            <w:pPr>
              <w:spacing w:line="240" w:lineRule="auto"/>
              <w:rPr>
                <w:rFonts w:cs="Times New Roman"/>
              </w:rPr>
            </w:pPr>
            <w:r w:rsidRPr="00737239">
              <w:rPr>
                <w:rFonts w:cs="Times New Roman"/>
              </w:rPr>
              <w:t>Case 1</w:t>
            </w:r>
          </w:p>
        </w:tc>
        <w:tc>
          <w:tcPr>
            <w:tcW w:w="2346" w:type="pct"/>
            <w:vAlign w:val="center"/>
          </w:tcPr>
          <w:p w14:paraId="6E90256E" w14:textId="77777777" w:rsidR="0071798B" w:rsidRPr="00DB493C" w:rsidRDefault="0071798B" w:rsidP="00243E02">
            <w:pPr>
              <w:spacing w:line="240" w:lineRule="auto"/>
              <w:jc w:val="left"/>
              <w:rPr>
                <w:rFonts w:cs="Times New Roman"/>
              </w:rPr>
            </w:pPr>
            <w:r w:rsidRPr="006C301D">
              <w:rPr>
                <w:rFonts w:cs="Times New Roman"/>
              </w:rPr>
              <w:t xml:space="preserve">Report of project introduction </w:t>
            </w:r>
          </w:p>
        </w:tc>
        <w:tc>
          <w:tcPr>
            <w:tcW w:w="2008" w:type="pct"/>
            <w:vAlign w:val="center"/>
          </w:tcPr>
          <w:p w14:paraId="2AF8DFAE" w14:textId="77777777" w:rsidR="0071798B" w:rsidRPr="00A96AC5" w:rsidRDefault="0071798B" w:rsidP="00243E02">
            <w:pPr>
              <w:spacing w:line="240" w:lineRule="auto"/>
              <w:jc w:val="left"/>
              <w:rPr>
                <w:rFonts w:cs="Times New Roman"/>
              </w:rPr>
            </w:pPr>
            <w:r w:rsidRPr="00A96AC5">
              <w:rPr>
                <w:rFonts w:cs="Times New Roman"/>
              </w:rPr>
              <w:t xml:space="preserve">Stockholm </w:t>
            </w:r>
            <w:proofErr w:type="spellStart"/>
            <w:r w:rsidRPr="00A96AC5">
              <w:rPr>
                <w:rFonts w:cs="Times New Roman"/>
              </w:rPr>
              <w:t>Stad</w:t>
            </w:r>
            <w:proofErr w:type="spellEnd"/>
          </w:p>
        </w:tc>
      </w:tr>
      <w:tr w:rsidR="0071798B" w:rsidRPr="008903D1" w14:paraId="6F402918" w14:textId="77777777" w:rsidTr="00243E02">
        <w:tc>
          <w:tcPr>
            <w:tcW w:w="646" w:type="pct"/>
            <w:vMerge/>
          </w:tcPr>
          <w:p w14:paraId="15353068" w14:textId="77777777" w:rsidR="0071798B" w:rsidRPr="00A96AC5" w:rsidRDefault="0071798B" w:rsidP="00243E02">
            <w:pPr>
              <w:spacing w:line="240" w:lineRule="auto"/>
              <w:rPr>
                <w:rFonts w:cs="Times New Roman"/>
              </w:rPr>
            </w:pPr>
          </w:p>
        </w:tc>
        <w:tc>
          <w:tcPr>
            <w:tcW w:w="2346" w:type="pct"/>
            <w:vAlign w:val="center"/>
          </w:tcPr>
          <w:p w14:paraId="348EB2D0" w14:textId="77777777" w:rsidR="0071798B" w:rsidRPr="00A96AC5" w:rsidRDefault="0071798B" w:rsidP="00243E02">
            <w:pPr>
              <w:spacing w:line="240" w:lineRule="auto"/>
              <w:jc w:val="left"/>
              <w:rPr>
                <w:rFonts w:cs="Times New Roman"/>
              </w:rPr>
            </w:pPr>
            <w:r w:rsidRPr="00A96AC5">
              <w:rPr>
                <w:rFonts w:cs="Times New Roman"/>
              </w:rPr>
              <w:t>An opportunity to observe the goods-handling and delivery process</w:t>
            </w:r>
          </w:p>
        </w:tc>
        <w:tc>
          <w:tcPr>
            <w:tcW w:w="2008" w:type="pct"/>
            <w:vAlign w:val="center"/>
          </w:tcPr>
          <w:p w14:paraId="616EB5C5" w14:textId="77777777" w:rsidR="0071798B" w:rsidRPr="00A96AC5" w:rsidRDefault="0071798B" w:rsidP="00243E02">
            <w:pPr>
              <w:spacing w:line="240" w:lineRule="auto"/>
              <w:jc w:val="left"/>
              <w:rPr>
                <w:rFonts w:cs="Times New Roman"/>
              </w:rPr>
            </w:pPr>
            <w:r w:rsidRPr="00A96AC5">
              <w:rPr>
                <w:rFonts w:cs="Times New Roman"/>
              </w:rPr>
              <w:t>Waste collection company</w:t>
            </w:r>
          </w:p>
        </w:tc>
      </w:tr>
      <w:tr w:rsidR="0071798B" w:rsidRPr="008903D1" w14:paraId="1F270631" w14:textId="77777777" w:rsidTr="00243E02">
        <w:tc>
          <w:tcPr>
            <w:tcW w:w="646" w:type="pct"/>
          </w:tcPr>
          <w:p w14:paraId="0B757874" w14:textId="77777777" w:rsidR="0071798B" w:rsidRPr="00802DC5" w:rsidRDefault="0071798B" w:rsidP="00243E02">
            <w:pPr>
              <w:spacing w:line="240" w:lineRule="auto"/>
              <w:rPr>
                <w:rFonts w:cs="Times New Roman"/>
              </w:rPr>
            </w:pPr>
            <w:r w:rsidRPr="00737239">
              <w:rPr>
                <w:rFonts w:cs="Times New Roman"/>
              </w:rPr>
              <w:t>Case 2</w:t>
            </w:r>
          </w:p>
        </w:tc>
        <w:tc>
          <w:tcPr>
            <w:tcW w:w="2346" w:type="pct"/>
            <w:vAlign w:val="center"/>
          </w:tcPr>
          <w:p w14:paraId="349AC1FF" w14:textId="77777777" w:rsidR="0071798B" w:rsidRPr="00DB493C" w:rsidRDefault="0071798B" w:rsidP="00243E02">
            <w:pPr>
              <w:spacing w:line="240" w:lineRule="auto"/>
              <w:jc w:val="left"/>
              <w:rPr>
                <w:rFonts w:cs="Times New Roman"/>
              </w:rPr>
            </w:pPr>
            <w:r w:rsidRPr="006C301D">
              <w:rPr>
                <w:rFonts w:cs="Times New Roman"/>
              </w:rPr>
              <w:t>Annual report</w:t>
            </w:r>
          </w:p>
        </w:tc>
        <w:tc>
          <w:tcPr>
            <w:tcW w:w="2008" w:type="pct"/>
            <w:vAlign w:val="center"/>
          </w:tcPr>
          <w:p w14:paraId="301134E5" w14:textId="77777777" w:rsidR="0071798B" w:rsidRPr="00A96AC5" w:rsidRDefault="0071798B" w:rsidP="00243E02">
            <w:pPr>
              <w:spacing w:line="240" w:lineRule="auto"/>
              <w:jc w:val="left"/>
              <w:rPr>
                <w:rFonts w:cs="Times New Roman"/>
              </w:rPr>
            </w:pPr>
            <w:r w:rsidRPr="00A96AC5">
              <w:rPr>
                <w:rFonts w:cs="Times New Roman"/>
              </w:rPr>
              <w:t>Office of Royal Seaport</w:t>
            </w:r>
          </w:p>
        </w:tc>
      </w:tr>
      <w:tr w:rsidR="0071798B" w:rsidRPr="008903D1" w14:paraId="5D2086B0" w14:textId="77777777" w:rsidTr="00243E02">
        <w:tc>
          <w:tcPr>
            <w:tcW w:w="646" w:type="pct"/>
            <w:vMerge w:val="restart"/>
          </w:tcPr>
          <w:p w14:paraId="372546D7" w14:textId="77777777" w:rsidR="0071798B" w:rsidRPr="00802DC5" w:rsidRDefault="0071798B" w:rsidP="00243E02">
            <w:pPr>
              <w:spacing w:line="240" w:lineRule="auto"/>
              <w:rPr>
                <w:rFonts w:cs="Times New Roman"/>
              </w:rPr>
            </w:pPr>
            <w:r w:rsidRPr="00737239">
              <w:rPr>
                <w:rFonts w:cs="Times New Roman"/>
              </w:rPr>
              <w:t>Case 3</w:t>
            </w:r>
          </w:p>
        </w:tc>
        <w:tc>
          <w:tcPr>
            <w:tcW w:w="2346" w:type="pct"/>
            <w:vAlign w:val="center"/>
          </w:tcPr>
          <w:p w14:paraId="2C1B730F" w14:textId="77777777" w:rsidR="0071798B" w:rsidRPr="00DB493C" w:rsidRDefault="0071798B" w:rsidP="00243E02">
            <w:pPr>
              <w:spacing w:line="240" w:lineRule="auto"/>
              <w:jc w:val="left"/>
              <w:rPr>
                <w:rFonts w:cs="Times New Roman"/>
              </w:rPr>
            </w:pPr>
            <w:r w:rsidRPr="006C301D">
              <w:rPr>
                <w:rFonts w:cs="Times New Roman"/>
              </w:rPr>
              <w:t>Annual report</w:t>
            </w:r>
          </w:p>
        </w:tc>
        <w:tc>
          <w:tcPr>
            <w:tcW w:w="2008" w:type="pct"/>
            <w:vAlign w:val="center"/>
          </w:tcPr>
          <w:p w14:paraId="3419CED5" w14:textId="77777777" w:rsidR="0071798B" w:rsidRPr="00A96AC5" w:rsidRDefault="0071798B" w:rsidP="00243E02">
            <w:pPr>
              <w:spacing w:line="240" w:lineRule="auto"/>
              <w:jc w:val="left"/>
              <w:rPr>
                <w:rFonts w:cs="Times New Roman"/>
              </w:rPr>
            </w:pPr>
            <w:r w:rsidRPr="00A96AC5">
              <w:rPr>
                <w:rFonts w:cs="Times New Roman"/>
              </w:rPr>
              <w:t>Company A</w:t>
            </w:r>
          </w:p>
        </w:tc>
      </w:tr>
      <w:tr w:rsidR="0071798B" w:rsidRPr="008903D1" w14:paraId="71400C4F" w14:textId="77777777" w:rsidTr="00243E02">
        <w:tc>
          <w:tcPr>
            <w:tcW w:w="646" w:type="pct"/>
            <w:vMerge/>
          </w:tcPr>
          <w:p w14:paraId="43DBE873" w14:textId="77777777" w:rsidR="0071798B" w:rsidRPr="00A96AC5" w:rsidRDefault="0071798B" w:rsidP="00243E02">
            <w:pPr>
              <w:spacing w:line="240" w:lineRule="auto"/>
              <w:rPr>
                <w:rFonts w:cs="Times New Roman"/>
              </w:rPr>
            </w:pPr>
          </w:p>
        </w:tc>
        <w:tc>
          <w:tcPr>
            <w:tcW w:w="2346" w:type="pct"/>
            <w:vAlign w:val="center"/>
          </w:tcPr>
          <w:p w14:paraId="66716DCD" w14:textId="77777777" w:rsidR="0071798B" w:rsidRPr="00A96AC5" w:rsidRDefault="0071798B" w:rsidP="00243E02">
            <w:pPr>
              <w:spacing w:line="240" w:lineRule="auto"/>
              <w:jc w:val="left"/>
              <w:rPr>
                <w:rFonts w:cs="Times New Roman"/>
              </w:rPr>
            </w:pPr>
            <w:r w:rsidRPr="00A96AC5">
              <w:rPr>
                <w:rFonts w:cs="Times New Roman"/>
              </w:rPr>
              <w:t>An opportunity to visit the warehouse</w:t>
            </w:r>
          </w:p>
        </w:tc>
        <w:tc>
          <w:tcPr>
            <w:tcW w:w="2008" w:type="pct"/>
            <w:vAlign w:val="center"/>
          </w:tcPr>
          <w:p w14:paraId="288E2C23" w14:textId="77777777" w:rsidR="0071798B" w:rsidRPr="00A96AC5" w:rsidRDefault="0071798B" w:rsidP="00243E02">
            <w:pPr>
              <w:spacing w:line="240" w:lineRule="auto"/>
              <w:jc w:val="left"/>
              <w:rPr>
                <w:rFonts w:cs="Times New Roman"/>
              </w:rPr>
            </w:pPr>
            <w:r w:rsidRPr="00A96AC5">
              <w:rPr>
                <w:rFonts w:cs="Times New Roman"/>
              </w:rPr>
              <w:t>Warehouse department</w:t>
            </w:r>
          </w:p>
        </w:tc>
      </w:tr>
      <w:tr w:rsidR="0071798B" w:rsidRPr="008903D1" w14:paraId="2D8DAE0A" w14:textId="77777777" w:rsidTr="00243E02">
        <w:tc>
          <w:tcPr>
            <w:tcW w:w="646" w:type="pct"/>
          </w:tcPr>
          <w:p w14:paraId="41252B7C" w14:textId="77777777" w:rsidR="0071798B" w:rsidRPr="00802DC5" w:rsidRDefault="0071798B" w:rsidP="00243E02">
            <w:pPr>
              <w:spacing w:line="240" w:lineRule="auto"/>
              <w:rPr>
                <w:rFonts w:cs="Times New Roman"/>
              </w:rPr>
            </w:pPr>
            <w:r w:rsidRPr="00737239">
              <w:rPr>
                <w:rFonts w:cs="Times New Roman"/>
              </w:rPr>
              <w:t>Case 4</w:t>
            </w:r>
          </w:p>
        </w:tc>
        <w:tc>
          <w:tcPr>
            <w:tcW w:w="2346" w:type="pct"/>
            <w:vAlign w:val="center"/>
          </w:tcPr>
          <w:p w14:paraId="4A020665" w14:textId="77777777" w:rsidR="0071798B" w:rsidRPr="00DB493C" w:rsidRDefault="0071798B" w:rsidP="00243E02">
            <w:pPr>
              <w:spacing w:line="240" w:lineRule="auto"/>
              <w:jc w:val="left"/>
              <w:rPr>
                <w:rFonts w:cs="Times New Roman"/>
              </w:rPr>
            </w:pPr>
            <w:r w:rsidRPr="006C301D">
              <w:rPr>
                <w:rFonts w:cs="Times New Roman"/>
              </w:rPr>
              <w:t>Research outline</w:t>
            </w:r>
          </w:p>
        </w:tc>
        <w:tc>
          <w:tcPr>
            <w:tcW w:w="2008" w:type="pct"/>
            <w:vAlign w:val="center"/>
          </w:tcPr>
          <w:p w14:paraId="4ABC1C12" w14:textId="77777777" w:rsidR="0071798B" w:rsidRPr="00A96AC5" w:rsidRDefault="0071798B" w:rsidP="00243E02">
            <w:pPr>
              <w:spacing w:line="240" w:lineRule="auto"/>
              <w:jc w:val="left"/>
              <w:rPr>
                <w:rFonts w:cs="Times New Roman"/>
              </w:rPr>
            </w:pPr>
            <w:r w:rsidRPr="00A96AC5">
              <w:rPr>
                <w:rFonts w:cs="Times New Roman"/>
              </w:rPr>
              <w:t>Wuhan University of Technology</w:t>
            </w:r>
          </w:p>
        </w:tc>
      </w:tr>
    </w:tbl>
    <w:p w14:paraId="2F5A84C2" w14:textId="7836E929" w:rsidR="0071798B" w:rsidRPr="00737239" w:rsidRDefault="007B5959" w:rsidP="0092585F">
      <w:pPr>
        <w:pStyle w:val="Caption"/>
        <w:spacing w:line="360" w:lineRule="auto"/>
        <w:rPr>
          <w:rFonts w:cs="Times New Roman"/>
        </w:rPr>
      </w:pPr>
      <w:bookmarkStart w:id="622" w:name="_Ref31205906"/>
      <w:bookmarkStart w:id="623" w:name="_Toc34674952"/>
      <w:bookmarkStart w:id="624" w:name="_Toc34734744"/>
      <w:bookmarkStart w:id="625" w:name="_Toc46053560"/>
      <w:bookmarkStart w:id="626" w:name="_Toc46093809"/>
      <w:bookmarkStart w:id="627" w:name="_Toc66698775"/>
      <w:r>
        <w:rPr>
          <w:rFonts w:cs="Times New Roman"/>
        </w:rPr>
        <w:t>Table</w:t>
      </w:r>
      <w:r w:rsidR="0071798B"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3</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8</w:t>
      </w:r>
      <w:r w:rsidR="00FE10DA">
        <w:rPr>
          <w:rFonts w:cs="Times New Roman"/>
        </w:rPr>
        <w:fldChar w:fldCharType="end"/>
      </w:r>
      <w:bookmarkEnd w:id="622"/>
      <w:r w:rsidR="00AF217C">
        <w:rPr>
          <w:rFonts w:cs="Times New Roman"/>
        </w:rPr>
        <w:t xml:space="preserve">: </w:t>
      </w:r>
      <w:r w:rsidR="0071798B" w:rsidRPr="008903D1">
        <w:rPr>
          <w:rFonts w:cs="Times New Roman"/>
        </w:rPr>
        <w:t xml:space="preserve">Other data sources provided by </w:t>
      </w:r>
      <w:proofErr w:type="gramStart"/>
      <w:r w:rsidR="0071798B" w:rsidRPr="008903D1">
        <w:rPr>
          <w:rFonts w:cs="Times New Roman"/>
        </w:rPr>
        <w:t>stakeholders</w:t>
      </w:r>
      <w:bookmarkEnd w:id="623"/>
      <w:bookmarkEnd w:id="624"/>
      <w:bookmarkEnd w:id="625"/>
      <w:bookmarkEnd w:id="626"/>
      <w:bookmarkEnd w:id="627"/>
      <w:proofErr w:type="gramEnd"/>
    </w:p>
    <w:p w14:paraId="3EA3D91F" w14:textId="19D5E1D9" w:rsidR="0071798B" w:rsidRPr="00802DC5" w:rsidRDefault="0071798B" w:rsidP="000A4E8C">
      <w:pPr>
        <w:pStyle w:val="Heading3"/>
        <w:spacing w:line="360" w:lineRule="auto"/>
        <w:rPr>
          <w:rFonts w:cs="Times New Roman"/>
        </w:rPr>
      </w:pPr>
      <w:bookmarkStart w:id="628" w:name="_Toc34734524"/>
      <w:bookmarkStart w:id="629" w:name="_Toc46053447"/>
      <w:bookmarkStart w:id="630" w:name="_Toc46093361"/>
      <w:bookmarkStart w:id="631" w:name="_Toc46093644"/>
      <w:bookmarkStart w:id="632" w:name="_Toc66703219"/>
      <w:r w:rsidRPr="00802DC5">
        <w:rPr>
          <w:rFonts w:cs="Times New Roman"/>
        </w:rPr>
        <w:t>Data transcription</w:t>
      </w:r>
      <w:bookmarkEnd w:id="628"/>
      <w:r w:rsidR="00666947">
        <w:rPr>
          <w:rFonts w:cs="Times New Roman"/>
        </w:rPr>
        <w:t xml:space="preserve"> </w:t>
      </w:r>
      <w:r w:rsidR="00666947">
        <w:rPr>
          <w:rFonts w:cs="Times New Roman" w:hint="eastAsia"/>
        </w:rPr>
        <w:t>&amp;</w:t>
      </w:r>
      <w:r w:rsidR="00666947">
        <w:rPr>
          <w:rFonts w:cs="Times New Roman"/>
        </w:rPr>
        <w:t xml:space="preserve"> </w:t>
      </w:r>
      <w:bookmarkEnd w:id="629"/>
      <w:bookmarkEnd w:id="630"/>
      <w:bookmarkEnd w:id="631"/>
      <w:r w:rsidR="003D6599">
        <w:rPr>
          <w:rFonts w:cs="Times New Roman"/>
        </w:rPr>
        <w:t>c</w:t>
      </w:r>
      <w:r w:rsidR="003D6599">
        <w:rPr>
          <w:rFonts w:cs="Times New Roman" w:hint="eastAsia"/>
        </w:rPr>
        <w:t>oding</w:t>
      </w:r>
      <w:bookmarkEnd w:id="632"/>
    </w:p>
    <w:p w14:paraId="5B131731" w14:textId="7DE5B97A" w:rsidR="00013E7D" w:rsidRPr="00A96AC5" w:rsidRDefault="0071798B" w:rsidP="000A4E8C">
      <w:pPr>
        <w:spacing w:line="360" w:lineRule="auto"/>
        <w:rPr>
          <w:rFonts w:cs="Times New Roman"/>
          <w:szCs w:val="24"/>
        </w:rPr>
      </w:pPr>
      <w:r w:rsidRPr="006C301D">
        <w:rPr>
          <w:rFonts w:cs="Times New Roman"/>
        </w:rPr>
        <w:t xml:space="preserve">The six Swedish interviews were conducted in English, whilst the rest were in Chinese. In the interests of international readers, the </w:t>
      </w:r>
      <w:r w:rsidRPr="00A96AC5">
        <w:rPr>
          <w:rFonts w:cs="Times New Roman"/>
        </w:rPr>
        <w:t>Chinese interview transcripts were then translated into English.</w:t>
      </w:r>
      <w:r w:rsidRPr="00A96AC5">
        <w:rPr>
          <w:rFonts w:cs="Times New Roman"/>
          <w:szCs w:val="24"/>
        </w:rPr>
        <w:t xml:space="preserve"> The voice recordings and notes were transcribed verbatim. Pauses and extraneous sounds (e.g., </w:t>
      </w:r>
      <w:r w:rsidRPr="00A96AC5">
        <w:rPr>
          <w:rFonts w:cs="Times New Roman"/>
          <w:iCs/>
          <w:szCs w:val="24"/>
        </w:rPr>
        <w:t xml:space="preserve">‘erm’ </w:t>
      </w:r>
      <w:r w:rsidRPr="00A96AC5">
        <w:rPr>
          <w:rFonts w:cs="Times New Roman"/>
          <w:szCs w:val="24"/>
        </w:rPr>
        <w:t xml:space="preserve">and </w:t>
      </w:r>
      <w:r w:rsidRPr="00A96AC5">
        <w:rPr>
          <w:rFonts w:cs="Times New Roman"/>
          <w:iCs/>
          <w:szCs w:val="24"/>
        </w:rPr>
        <w:t>‘ah’)</w:t>
      </w:r>
      <w:r w:rsidRPr="00A96AC5">
        <w:rPr>
          <w:rFonts w:cs="Times New Roman"/>
          <w:szCs w:val="24"/>
        </w:rPr>
        <w:t xml:space="preserve"> were deleted. The text information was then refined, with ‘gossip’ that deviated from the research topics being excluded. </w:t>
      </w:r>
      <w:r w:rsidR="00547DEB">
        <w:rPr>
          <w:rFonts w:cs="Times New Roman"/>
          <w:szCs w:val="24"/>
        </w:rPr>
        <w:t xml:space="preserve"> </w:t>
      </w:r>
      <w:r w:rsidRPr="00A96AC5">
        <w:rPr>
          <w:rFonts w:cs="Times New Roman"/>
          <w:szCs w:val="24"/>
        </w:rPr>
        <w:t>As required by the Chinese interviewees, the data from Chinese stakeholders was translated into the Chinese language to obtain permission for publication.</w:t>
      </w:r>
      <w:bookmarkEnd w:id="621"/>
    </w:p>
    <w:p w14:paraId="6AC38D84" w14:textId="7769E11E" w:rsidR="00B85EB7" w:rsidRPr="00737239" w:rsidRDefault="00887C06" w:rsidP="00B85EB7">
      <w:pPr>
        <w:spacing w:after="240" w:line="360" w:lineRule="auto"/>
        <w:rPr>
          <w:rFonts w:cs="Times New Roman"/>
        </w:rPr>
      </w:pPr>
      <w:r>
        <w:rPr>
          <w:rFonts w:cs="Times New Roman"/>
        </w:rPr>
        <w:t>As can be observed</w:t>
      </w:r>
      <w:r w:rsidR="00B85EB7">
        <w:rPr>
          <w:rFonts w:cs="Times New Roman"/>
        </w:rPr>
        <w:t xml:space="preserve">, </w:t>
      </w:r>
      <w:r w:rsidR="00B85EB7" w:rsidRPr="008903D1">
        <w:rPr>
          <w:rFonts w:cs="Times New Roman"/>
        </w:rPr>
        <w:t xml:space="preserve">the 15 indicators are set as the independent themes. After that five sub-themes are attached with these themes respectively in accordance with our research objectives. </w:t>
      </w:r>
      <w:r w:rsidR="009F5DB4">
        <w:rPr>
          <w:rFonts w:cs="Times New Roman"/>
        </w:rPr>
        <w:t>Additionally</w:t>
      </w:r>
      <w:r w:rsidR="00B85EB7" w:rsidRPr="008903D1">
        <w:rPr>
          <w:rFonts w:cs="Times New Roman"/>
        </w:rPr>
        <w:t xml:space="preserve">, all the sub-themes are defined </w:t>
      </w:r>
      <w:r w:rsidR="00B85EB7">
        <w:rPr>
          <w:rFonts w:cs="Times New Roman"/>
        </w:rPr>
        <w:t>based on t</w:t>
      </w:r>
      <w:r w:rsidR="00B85EB7" w:rsidRPr="008903D1">
        <w:rPr>
          <w:rFonts w:cs="Times New Roman"/>
        </w:rPr>
        <w:t xml:space="preserve">he code, </w:t>
      </w:r>
      <w:r w:rsidR="00B85EB7" w:rsidRPr="00737239">
        <w:rPr>
          <w:rFonts w:cs="Times New Roman"/>
        </w:rPr>
        <w:t xml:space="preserve">as shown in </w:t>
      </w:r>
      <w:r w:rsidR="00B85EB7" w:rsidRPr="008903D1">
        <w:rPr>
          <w:rFonts w:cs="Times New Roman"/>
        </w:rPr>
        <w:fldChar w:fldCharType="begin"/>
      </w:r>
      <w:r w:rsidR="00B85EB7" w:rsidRPr="00A96AC5">
        <w:rPr>
          <w:rFonts w:cs="Times New Roman"/>
        </w:rPr>
        <w:instrText xml:space="preserve"> REF _Ref31029011 \h </w:instrText>
      </w:r>
      <w:r w:rsidR="00B85EB7">
        <w:rPr>
          <w:rFonts w:cs="Times New Roman"/>
        </w:rPr>
        <w:instrText xml:space="preserve"> \* MERGEFORMAT </w:instrText>
      </w:r>
      <w:r w:rsidR="00B85EB7" w:rsidRPr="008903D1">
        <w:rPr>
          <w:rFonts w:cs="Times New Roman"/>
        </w:rPr>
      </w:r>
      <w:r w:rsidR="00B85EB7" w:rsidRPr="008903D1">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3</w:t>
      </w:r>
      <w:r w:rsidR="0005064B">
        <w:rPr>
          <w:rFonts w:cs="Times New Roman"/>
          <w:noProof/>
        </w:rPr>
        <w:noBreakHyphen/>
        <w:t>9</w:t>
      </w:r>
      <w:r w:rsidR="00B85EB7" w:rsidRPr="008903D1">
        <w:rPr>
          <w:rFonts w:cs="Times New Roman"/>
        </w:rPr>
        <w:fldChar w:fldCharType="end"/>
      </w:r>
      <w:r w:rsidR="00B85EB7" w:rsidRPr="008903D1">
        <w:rPr>
          <w:rFonts w:cs="Times New Roman"/>
        </w:rPr>
        <w:t xml:space="preserve">. The </w:t>
      </w:r>
      <w:r w:rsidR="00B85EB7" w:rsidRPr="008903D1">
        <w:rPr>
          <w:rFonts w:cs="Times New Roman"/>
        </w:rPr>
        <w:lastRenderedPageBreak/>
        <w:t>qualitative data from the interview will be distributed to the relevant codes/sub-themes respectively to straightforwardly demonstrate the stak</w:t>
      </w:r>
      <w:r w:rsidR="00B85EB7" w:rsidRPr="00737239">
        <w:rPr>
          <w:rFonts w:cs="Times New Roman"/>
        </w:rPr>
        <w:t xml:space="preserve">eholder’s opinions on the indicators. </w:t>
      </w:r>
    </w:p>
    <w:tbl>
      <w:tblPr>
        <w:tblStyle w:val="TableGrid7"/>
        <w:tblW w:w="4928" w:type="pct"/>
        <w:tblInd w:w="108" w:type="dxa"/>
        <w:tblLook w:val="04A0" w:firstRow="1" w:lastRow="0" w:firstColumn="1" w:lastColumn="0" w:noHBand="0" w:noVBand="1"/>
      </w:tblPr>
      <w:tblGrid>
        <w:gridCol w:w="5699"/>
        <w:gridCol w:w="3187"/>
      </w:tblGrid>
      <w:tr w:rsidR="00B85EB7" w:rsidRPr="008903D1" w14:paraId="1F902883" w14:textId="77777777" w:rsidTr="00E701F1">
        <w:trPr>
          <w:trHeight w:val="246"/>
        </w:trPr>
        <w:tc>
          <w:tcPr>
            <w:tcW w:w="3207" w:type="pct"/>
            <w:vAlign w:val="center"/>
          </w:tcPr>
          <w:p w14:paraId="6B18E235" w14:textId="77777777" w:rsidR="00B85EB7" w:rsidRPr="008903D1" w:rsidRDefault="00B85EB7" w:rsidP="00E701F1">
            <w:pPr>
              <w:jc w:val="center"/>
              <w:rPr>
                <w:rFonts w:eastAsia="等线" w:cs="Times New Roman"/>
                <w:b/>
                <w:bCs/>
                <w:sz w:val="22"/>
              </w:rPr>
            </w:pPr>
            <w:r w:rsidRPr="008903D1">
              <w:rPr>
                <w:rFonts w:eastAsia="等线" w:cs="Times New Roman"/>
                <w:b/>
                <w:bCs/>
                <w:sz w:val="22"/>
              </w:rPr>
              <w:t>Themes</w:t>
            </w:r>
          </w:p>
        </w:tc>
        <w:tc>
          <w:tcPr>
            <w:tcW w:w="1793" w:type="pct"/>
            <w:vAlign w:val="center"/>
          </w:tcPr>
          <w:p w14:paraId="34AB029E" w14:textId="77777777" w:rsidR="00B85EB7" w:rsidRPr="008903D1" w:rsidRDefault="00B85EB7" w:rsidP="00E701F1">
            <w:pPr>
              <w:jc w:val="center"/>
              <w:rPr>
                <w:rFonts w:eastAsia="等线" w:cs="Times New Roman"/>
                <w:b/>
                <w:bCs/>
                <w:sz w:val="22"/>
              </w:rPr>
            </w:pPr>
            <w:r w:rsidRPr="008903D1">
              <w:rPr>
                <w:rFonts w:eastAsia="等线" w:cs="Times New Roman"/>
                <w:b/>
                <w:bCs/>
                <w:sz w:val="22"/>
              </w:rPr>
              <w:t>Sub-Themes (Code)</w:t>
            </w:r>
          </w:p>
        </w:tc>
      </w:tr>
      <w:tr w:rsidR="00B85EB7" w:rsidRPr="008903D1" w14:paraId="506892BB" w14:textId="77777777" w:rsidTr="00E701F1">
        <w:trPr>
          <w:trHeight w:val="246"/>
        </w:trPr>
        <w:tc>
          <w:tcPr>
            <w:tcW w:w="3207" w:type="pct"/>
            <w:vAlign w:val="center"/>
          </w:tcPr>
          <w:p w14:paraId="786EFD82" w14:textId="77777777" w:rsidR="00B85EB7" w:rsidRPr="008903D1" w:rsidRDefault="00B85EB7" w:rsidP="00E701F1">
            <w:pPr>
              <w:rPr>
                <w:rFonts w:eastAsia="等线" w:cs="Times New Roman"/>
                <w:sz w:val="22"/>
              </w:rPr>
            </w:pPr>
            <w:r w:rsidRPr="002E74DA">
              <w:rPr>
                <w:color w:val="000000"/>
                <w:sz w:val="22"/>
              </w:rPr>
              <w:t>Annual operating cost (AOC)</w:t>
            </w:r>
          </w:p>
        </w:tc>
        <w:tc>
          <w:tcPr>
            <w:tcW w:w="1793" w:type="pct"/>
            <w:vMerge w:val="restart"/>
            <w:vAlign w:val="center"/>
          </w:tcPr>
          <w:p w14:paraId="55004ED9" w14:textId="77777777" w:rsidR="00B85EB7" w:rsidRPr="008903D1" w:rsidRDefault="00B85EB7" w:rsidP="00E701F1">
            <w:pPr>
              <w:rPr>
                <w:rFonts w:eastAsia="等线" w:cs="Times New Roman"/>
                <w:sz w:val="22"/>
              </w:rPr>
            </w:pPr>
          </w:p>
          <w:p w14:paraId="07DDC6F5" w14:textId="77777777" w:rsidR="00B85EB7" w:rsidRDefault="00B85EB7" w:rsidP="00A323CC">
            <w:pPr>
              <w:pStyle w:val="ListParagraph"/>
              <w:numPr>
                <w:ilvl w:val="0"/>
                <w:numId w:val="29"/>
              </w:numPr>
              <w:ind w:left="414" w:hanging="357"/>
              <w:rPr>
                <w:rFonts w:eastAsia="等线" w:cs="Times New Roman"/>
                <w:sz w:val="22"/>
              </w:rPr>
            </w:pPr>
            <w:r w:rsidRPr="003D41E0">
              <w:rPr>
                <w:rFonts w:eastAsia="等线" w:cs="Times New Roman"/>
                <w:sz w:val="22"/>
              </w:rPr>
              <w:t>UCC performance on this indicator (ST1).</w:t>
            </w:r>
          </w:p>
          <w:p w14:paraId="62265C99" w14:textId="77777777" w:rsidR="00B85EB7" w:rsidRDefault="00B85EB7" w:rsidP="00A323CC">
            <w:pPr>
              <w:pStyle w:val="ListParagraph"/>
              <w:numPr>
                <w:ilvl w:val="0"/>
                <w:numId w:val="29"/>
              </w:numPr>
              <w:ind w:left="414" w:hanging="357"/>
              <w:rPr>
                <w:rFonts w:eastAsia="等线" w:cs="Times New Roman"/>
                <w:sz w:val="22"/>
              </w:rPr>
            </w:pPr>
            <w:r w:rsidRPr="003D41E0">
              <w:rPr>
                <w:rFonts w:eastAsia="等线" w:cs="Times New Roman"/>
                <w:sz w:val="22"/>
              </w:rPr>
              <w:t>Issues encountered by specific stakeholders (ST2).</w:t>
            </w:r>
          </w:p>
          <w:p w14:paraId="74BB513D" w14:textId="77777777" w:rsidR="00B85EB7" w:rsidRDefault="00B85EB7" w:rsidP="00A323CC">
            <w:pPr>
              <w:pStyle w:val="ListParagraph"/>
              <w:numPr>
                <w:ilvl w:val="0"/>
                <w:numId w:val="29"/>
              </w:numPr>
              <w:ind w:left="414" w:hanging="357"/>
              <w:rPr>
                <w:rFonts w:eastAsia="等线" w:cs="Times New Roman"/>
                <w:sz w:val="22"/>
              </w:rPr>
            </w:pPr>
            <w:r w:rsidRPr="003D41E0">
              <w:rPr>
                <w:rFonts w:eastAsia="等线" w:cs="Times New Roman"/>
                <w:sz w:val="22"/>
              </w:rPr>
              <w:t>The reasons cause the issue (ST3).</w:t>
            </w:r>
          </w:p>
          <w:p w14:paraId="5128946F" w14:textId="77777777" w:rsidR="00B85EB7" w:rsidRDefault="00B85EB7" w:rsidP="00A323CC">
            <w:pPr>
              <w:pStyle w:val="ListParagraph"/>
              <w:numPr>
                <w:ilvl w:val="0"/>
                <w:numId w:val="29"/>
              </w:numPr>
              <w:ind w:left="414" w:hanging="357"/>
              <w:rPr>
                <w:rFonts w:eastAsia="等线" w:cs="Times New Roman"/>
                <w:sz w:val="22"/>
              </w:rPr>
            </w:pPr>
            <w:r w:rsidRPr="003D41E0">
              <w:rPr>
                <w:rFonts w:eastAsia="等线" w:cs="Times New Roman"/>
                <w:sz w:val="22"/>
              </w:rPr>
              <w:t>The degree of impact on specific stakeholder (ST3).</w:t>
            </w:r>
          </w:p>
          <w:p w14:paraId="1CD34928" w14:textId="77777777" w:rsidR="00B85EB7" w:rsidRPr="003D41E0" w:rsidRDefault="00B85EB7" w:rsidP="00A323CC">
            <w:pPr>
              <w:pStyle w:val="ListParagraph"/>
              <w:numPr>
                <w:ilvl w:val="0"/>
                <w:numId w:val="29"/>
              </w:numPr>
              <w:ind w:left="414" w:hanging="357"/>
              <w:rPr>
                <w:rFonts w:eastAsia="等线" w:cs="Times New Roman"/>
                <w:sz w:val="22"/>
              </w:rPr>
            </w:pPr>
            <w:r w:rsidRPr="003D41E0">
              <w:rPr>
                <w:rFonts w:eastAsia="等线" w:cs="Times New Roman"/>
                <w:sz w:val="22"/>
              </w:rPr>
              <w:t>The measures have been implemented to deal with the issues (ST5).</w:t>
            </w:r>
          </w:p>
          <w:p w14:paraId="70AA4D68" w14:textId="77777777" w:rsidR="00B85EB7" w:rsidRPr="008903D1" w:rsidRDefault="00B85EB7" w:rsidP="00E701F1">
            <w:pPr>
              <w:rPr>
                <w:rFonts w:eastAsia="等线" w:cs="Times New Roman"/>
                <w:sz w:val="22"/>
              </w:rPr>
            </w:pPr>
          </w:p>
        </w:tc>
      </w:tr>
      <w:tr w:rsidR="00B85EB7" w:rsidRPr="008903D1" w14:paraId="54CEFA8D" w14:textId="77777777" w:rsidTr="00E701F1">
        <w:tc>
          <w:tcPr>
            <w:tcW w:w="3207" w:type="pct"/>
            <w:vAlign w:val="center"/>
          </w:tcPr>
          <w:p w14:paraId="56D1E4D4" w14:textId="77777777" w:rsidR="00B85EB7" w:rsidRPr="008903D1" w:rsidRDefault="00B85EB7" w:rsidP="00E701F1">
            <w:pPr>
              <w:rPr>
                <w:rFonts w:eastAsia="等线" w:cs="Times New Roman"/>
                <w:sz w:val="22"/>
              </w:rPr>
            </w:pPr>
            <w:proofErr w:type="spellStart"/>
            <w:r w:rsidRPr="002E74DA">
              <w:rPr>
                <w:color w:val="000000"/>
                <w:sz w:val="22"/>
                <w:lang w:val="fr-FR" w:eastAsia="ko-KR"/>
              </w:rPr>
              <w:t>Typical</w:t>
            </w:r>
            <w:proofErr w:type="spellEnd"/>
            <w:r w:rsidRPr="002E74DA">
              <w:rPr>
                <w:color w:val="000000"/>
                <w:sz w:val="22"/>
                <w:lang w:val="fr-FR" w:eastAsia="ko-KR"/>
              </w:rPr>
              <w:t xml:space="preserve"> </w:t>
            </w:r>
            <w:proofErr w:type="spellStart"/>
            <w:r w:rsidRPr="002E74DA">
              <w:rPr>
                <w:color w:val="000000"/>
                <w:sz w:val="22"/>
                <w:lang w:val="fr-FR" w:eastAsia="ko-KR"/>
              </w:rPr>
              <w:t>delivery</w:t>
            </w:r>
            <w:proofErr w:type="spellEnd"/>
            <w:r w:rsidRPr="002E74DA">
              <w:rPr>
                <w:color w:val="000000"/>
                <w:sz w:val="22"/>
                <w:lang w:val="fr-FR" w:eastAsia="ko-KR"/>
              </w:rPr>
              <w:t xml:space="preserve"> </w:t>
            </w:r>
            <w:proofErr w:type="spellStart"/>
            <w:r w:rsidRPr="002E74DA">
              <w:rPr>
                <w:color w:val="000000"/>
                <w:sz w:val="22"/>
                <w:lang w:val="fr-FR" w:eastAsia="ko-KR"/>
              </w:rPr>
              <w:t>price</w:t>
            </w:r>
            <w:proofErr w:type="spellEnd"/>
            <w:r w:rsidRPr="002E74DA">
              <w:rPr>
                <w:color w:val="000000"/>
                <w:sz w:val="22"/>
                <w:lang w:val="fr-FR" w:eastAsia="ko-KR"/>
              </w:rPr>
              <w:t xml:space="preserve"> </w:t>
            </w:r>
            <w:r w:rsidRPr="002E74DA">
              <w:rPr>
                <w:color w:val="000000"/>
                <w:sz w:val="22"/>
                <w:lang w:val="fr-FR"/>
              </w:rPr>
              <w:t>(TDP)</w:t>
            </w:r>
          </w:p>
        </w:tc>
        <w:tc>
          <w:tcPr>
            <w:tcW w:w="1793" w:type="pct"/>
            <w:vMerge/>
          </w:tcPr>
          <w:p w14:paraId="4D446B23" w14:textId="77777777" w:rsidR="00B85EB7" w:rsidRPr="008903D1" w:rsidRDefault="00B85EB7" w:rsidP="00E701F1">
            <w:pPr>
              <w:rPr>
                <w:rFonts w:eastAsia="等线" w:cs="Times New Roman"/>
                <w:sz w:val="22"/>
              </w:rPr>
            </w:pPr>
          </w:p>
        </w:tc>
      </w:tr>
      <w:tr w:rsidR="00B85EB7" w:rsidRPr="008903D1" w14:paraId="6595897B" w14:textId="77777777" w:rsidTr="00E701F1">
        <w:tc>
          <w:tcPr>
            <w:tcW w:w="3207" w:type="pct"/>
            <w:vAlign w:val="center"/>
          </w:tcPr>
          <w:p w14:paraId="236ECF16" w14:textId="77777777" w:rsidR="00B85EB7" w:rsidRPr="008903D1" w:rsidRDefault="00B85EB7" w:rsidP="00E701F1">
            <w:pPr>
              <w:rPr>
                <w:rFonts w:eastAsia="等线" w:cs="Times New Roman"/>
                <w:sz w:val="22"/>
              </w:rPr>
            </w:pPr>
            <w:r w:rsidRPr="002E74DA">
              <w:rPr>
                <w:color w:val="000000"/>
                <w:sz w:val="22"/>
                <w:lang w:val="fr-FR"/>
              </w:rPr>
              <w:t>Infrastructure surface usage rate (ISUR)</w:t>
            </w:r>
          </w:p>
        </w:tc>
        <w:tc>
          <w:tcPr>
            <w:tcW w:w="1793" w:type="pct"/>
            <w:vMerge/>
          </w:tcPr>
          <w:p w14:paraId="6D0B4CFD" w14:textId="77777777" w:rsidR="00B85EB7" w:rsidRPr="008903D1" w:rsidRDefault="00B85EB7" w:rsidP="00E701F1">
            <w:pPr>
              <w:rPr>
                <w:rFonts w:eastAsia="等线" w:cs="Times New Roman"/>
                <w:sz w:val="22"/>
              </w:rPr>
            </w:pPr>
          </w:p>
        </w:tc>
      </w:tr>
      <w:tr w:rsidR="00B85EB7" w:rsidRPr="008903D1" w14:paraId="1D309B4B" w14:textId="77777777" w:rsidTr="00E701F1">
        <w:tc>
          <w:tcPr>
            <w:tcW w:w="3207" w:type="pct"/>
            <w:vAlign w:val="center"/>
          </w:tcPr>
          <w:p w14:paraId="34C83263" w14:textId="77777777" w:rsidR="00B85EB7" w:rsidRPr="008903D1" w:rsidRDefault="00B85EB7" w:rsidP="00E701F1">
            <w:pPr>
              <w:rPr>
                <w:rFonts w:eastAsia="等线" w:cs="Times New Roman"/>
                <w:sz w:val="22"/>
              </w:rPr>
            </w:pPr>
            <w:r w:rsidRPr="002E74DA">
              <w:rPr>
                <w:color w:val="000000"/>
                <w:sz w:val="22"/>
              </w:rPr>
              <w:t>Goods handled per full-time equivalent employee (GHEE)</w:t>
            </w:r>
          </w:p>
        </w:tc>
        <w:tc>
          <w:tcPr>
            <w:tcW w:w="1793" w:type="pct"/>
            <w:vMerge/>
          </w:tcPr>
          <w:p w14:paraId="7F41DFB8" w14:textId="77777777" w:rsidR="00B85EB7" w:rsidRPr="008903D1" w:rsidRDefault="00B85EB7" w:rsidP="00E701F1">
            <w:pPr>
              <w:rPr>
                <w:rFonts w:eastAsia="等线" w:cs="Times New Roman"/>
                <w:sz w:val="22"/>
              </w:rPr>
            </w:pPr>
          </w:p>
        </w:tc>
      </w:tr>
      <w:tr w:rsidR="00B85EB7" w:rsidRPr="008903D1" w14:paraId="6E61E1EB" w14:textId="77777777" w:rsidTr="00E701F1">
        <w:tc>
          <w:tcPr>
            <w:tcW w:w="3207" w:type="pct"/>
            <w:vAlign w:val="center"/>
          </w:tcPr>
          <w:p w14:paraId="6CC2530D" w14:textId="77777777" w:rsidR="00B85EB7" w:rsidRPr="008903D1" w:rsidRDefault="00B85EB7" w:rsidP="00E701F1">
            <w:pPr>
              <w:rPr>
                <w:rFonts w:eastAsia="等线" w:cs="Times New Roman"/>
                <w:sz w:val="22"/>
              </w:rPr>
            </w:pPr>
            <w:r w:rsidRPr="002E74DA">
              <w:rPr>
                <w:color w:val="000000"/>
                <w:sz w:val="22"/>
              </w:rPr>
              <w:t>Delivery accuracy rate (DAR)</w:t>
            </w:r>
          </w:p>
        </w:tc>
        <w:tc>
          <w:tcPr>
            <w:tcW w:w="1793" w:type="pct"/>
            <w:vMerge/>
          </w:tcPr>
          <w:p w14:paraId="75F90C83" w14:textId="77777777" w:rsidR="00B85EB7" w:rsidRPr="008903D1" w:rsidRDefault="00B85EB7" w:rsidP="00E701F1">
            <w:pPr>
              <w:rPr>
                <w:rFonts w:eastAsia="等线" w:cs="Times New Roman"/>
                <w:sz w:val="22"/>
              </w:rPr>
            </w:pPr>
          </w:p>
        </w:tc>
      </w:tr>
      <w:tr w:rsidR="00B85EB7" w:rsidRPr="008903D1" w14:paraId="621386E5" w14:textId="77777777" w:rsidTr="00E701F1">
        <w:tc>
          <w:tcPr>
            <w:tcW w:w="3207" w:type="pct"/>
            <w:vAlign w:val="center"/>
          </w:tcPr>
          <w:p w14:paraId="3C24D69A" w14:textId="77777777" w:rsidR="00B85EB7" w:rsidRPr="008903D1" w:rsidRDefault="00B85EB7" w:rsidP="00E701F1">
            <w:pPr>
              <w:rPr>
                <w:rFonts w:eastAsia="等线" w:cs="Times New Roman"/>
                <w:sz w:val="22"/>
              </w:rPr>
            </w:pPr>
            <w:r w:rsidRPr="002E74DA">
              <w:rPr>
                <w:color w:val="000000"/>
                <w:sz w:val="22"/>
              </w:rPr>
              <w:t>Lead time of delivery goods from UCC to its users (LTDU)</w:t>
            </w:r>
          </w:p>
        </w:tc>
        <w:tc>
          <w:tcPr>
            <w:tcW w:w="1793" w:type="pct"/>
            <w:vMerge/>
          </w:tcPr>
          <w:p w14:paraId="6C49B0E1" w14:textId="77777777" w:rsidR="00B85EB7" w:rsidRPr="008903D1" w:rsidRDefault="00B85EB7" w:rsidP="00E701F1">
            <w:pPr>
              <w:rPr>
                <w:rFonts w:eastAsia="等线" w:cs="Times New Roman"/>
                <w:sz w:val="22"/>
              </w:rPr>
            </w:pPr>
          </w:p>
        </w:tc>
      </w:tr>
      <w:tr w:rsidR="00B85EB7" w:rsidRPr="008903D1" w14:paraId="017D75AC" w14:textId="77777777" w:rsidTr="00E701F1">
        <w:tc>
          <w:tcPr>
            <w:tcW w:w="3207" w:type="pct"/>
            <w:vAlign w:val="center"/>
          </w:tcPr>
          <w:p w14:paraId="222AF368" w14:textId="77777777" w:rsidR="00B85EB7" w:rsidRPr="008903D1" w:rsidRDefault="00B85EB7" w:rsidP="00E701F1">
            <w:pPr>
              <w:rPr>
                <w:rFonts w:eastAsia="等线" w:cs="Times New Roman"/>
                <w:sz w:val="22"/>
              </w:rPr>
            </w:pPr>
            <w:r w:rsidRPr="002E74DA">
              <w:rPr>
                <w:sz w:val="22"/>
              </w:rPr>
              <w:t xml:space="preserve">Percentage of alternative vehicles </w:t>
            </w:r>
            <w:r w:rsidRPr="002E74DA">
              <w:rPr>
                <w:color w:val="000000"/>
                <w:sz w:val="22"/>
              </w:rPr>
              <w:t>(PAV)</w:t>
            </w:r>
          </w:p>
        </w:tc>
        <w:tc>
          <w:tcPr>
            <w:tcW w:w="1793" w:type="pct"/>
            <w:vMerge/>
          </w:tcPr>
          <w:p w14:paraId="64C8AC0E" w14:textId="77777777" w:rsidR="00B85EB7" w:rsidRPr="008903D1" w:rsidRDefault="00B85EB7" w:rsidP="00E701F1">
            <w:pPr>
              <w:rPr>
                <w:rFonts w:eastAsia="等线" w:cs="Times New Roman"/>
                <w:sz w:val="22"/>
              </w:rPr>
            </w:pPr>
          </w:p>
        </w:tc>
      </w:tr>
      <w:tr w:rsidR="00B85EB7" w:rsidRPr="008903D1" w14:paraId="0E74CBF2" w14:textId="77777777" w:rsidTr="00E701F1">
        <w:tc>
          <w:tcPr>
            <w:tcW w:w="3207" w:type="pct"/>
            <w:vAlign w:val="center"/>
          </w:tcPr>
          <w:p w14:paraId="45180021" w14:textId="77777777" w:rsidR="00B85EB7" w:rsidRPr="008903D1" w:rsidRDefault="00B85EB7" w:rsidP="00E701F1">
            <w:pPr>
              <w:rPr>
                <w:rFonts w:eastAsia="等线" w:cs="Times New Roman"/>
                <w:sz w:val="22"/>
              </w:rPr>
            </w:pPr>
            <w:r w:rsidRPr="002E74DA">
              <w:rPr>
                <w:color w:val="000000"/>
                <w:sz w:val="22"/>
              </w:rPr>
              <w:t>Truck loading rate (TLR)</w:t>
            </w:r>
          </w:p>
        </w:tc>
        <w:tc>
          <w:tcPr>
            <w:tcW w:w="1793" w:type="pct"/>
            <w:vMerge/>
          </w:tcPr>
          <w:p w14:paraId="44C9D81E" w14:textId="77777777" w:rsidR="00B85EB7" w:rsidRPr="008903D1" w:rsidRDefault="00B85EB7" w:rsidP="00E701F1">
            <w:pPr>
              <w:rPr>
                <w:rFonts w:eastAsia="等线" w:cs="Times New Roman"/>
                <w:sz w:val="22"/>
              </w:rPr>
            </w:pPr>
          </w:p>
        </w:tc>
      </w:tr>
      <w:tr w:rsidR="00B85EB7" w:rsidRPr="008903D1" w14:paraId="763BEA50" w14:textId="77777777" w:rsidTr="00E701F1">
        <w:tc>
          <w:tcPr>
            <w:tcW w:w="3207" w:type="pct"/>
            <w:vAlign w:val="center"/>
          </w:tcPr>
          <w:p w14:paraId="31C0BC9C" w14:textId="77777777" w:rsidR="00B85EB7" w:rsidRPr="008903D1" w:rsidRDefault="00B85EB7" w:rsidP="00E701F1">
            <w:pPr>
              <w:rPr>
                <w:rFonts w:eastAsia="等线" w:cs="Times New Roman"/>
                <w:sz w:val="22"/>
              </w:rPr>
            </w:pPr>
            <w:r w:rsidRPr="002E74DA">
              <w:rPr>
                <w:color w:val="000000"/>
                <w:sz w:val="22"/>
              </w:rPr>
              <w:t>Travel miles in urban areas (TMUA)</w:t>
            </w:r>
          </w:p>
        </w:tc>
        <w:tc>
          <w:tcPr>
            <w:tcW w:w="1793" w:type="pct"/>
            <w:vMerge/>
          </w:tcPr>
          <w:p w14:paraId="4A108144" w14:textId="77777777" w:rsidR="00B85EB7" w:rsidRPr="008903D1" w:rsidRDefault="00B85EB7" w:rsidP="00E701F1">
            <w:pPr>
              <w:rPr>
                <w:rFonts w:eastAsia="等线" w:cs="Times New Roman"/>
                <w:sz w:val="22"/>
              </w:rPr>
            </w:pPr>
          </w:p>
        </w:tc>
      </w:tr>
      <w:tr w:rsidR="00B85EB7" w:rsidRPr="008903D1" w14:paraId="47D8D0C3" w14:textId="77777777" w:rsidTr="00E701F1">
        <w:tc>
          <w:tcPr>
            <w:tcW w:w="3207" w:type="pct"/>
            <w:vAlign w:val="center"/>
          </w:tcPr>
          <w:p w14:paraId="7398EC61" w14:textId="77777777" w:rsidR="00B85EB7" w:rsidRPr="008903D1" w:rsidRDefault="00B85EB7" w:rsidP="00E701F1">
            <w:pPr>
              <w:rPr>
                <w:rFonts w:eastAsia="等线" w:cs="Times New Roman"/>
                <w:sz w:val="22"/>
              </w:rPr>
            </w:pPr>
            <w:r w:rsidRPr="002E74DA">
              <w:rPr>
                <w:color w:val="000000"/>
                <w:sz w:val="22"/>
              </w:rPr>
              <w:t>Number of delivery trips per day (NDT)</w:t>
            </w:r>
          </w:p>
        </w:tc>
        <w:tc>
          <w:tcPr>
            <w:tcW w:w="1793" w:type="pct"/>
            <w:vMerge/>
          </w:tcPr>
          <w:p w14:paraId="4CB1460A" w14:textId="77777777" w:rsidR="00B85EB7" w:rsidRPr="008903D1" w:rsidRDefault="00B85EB7" w:rsidP="00E701F1">
            <w:pPr>
              <w:rPr>
                <w:rFonts w:eastAsia="等线" w:cs="Times New Roman"/>
                <w:sz w:val="22"/>
              </w:rPr>
            </w:pPr>
          </w:p>
        </w:tc>
      </w:tr>
      <w:tr w:rsidR="00B85EB7" w:rsidRPr="008903D1" w14:paraId="46F1821B" w14:textId="77777777" w:rsidTr="00E701F1">
        <w:tc>
          <w:tcPr>
            <w:tcW w:w="3207" w:type="pct"/>
            <w:vAlign w:val="center"/>
          </w:tcPr>
          <w:p w14:paraId="63CDAE97" w14:textId="77777777" w:rsidR="00B85EB7" w:rsidRPr="008903D1" w:rsidRDefault="00B85EB7" w:rsidP="00E701F1">
            <w:pPr>
              <w:rPr>
                <w:rFonts w:eastAsia="等线" w:cs="Times New Roman"/>
                <w:sz w:val="22"/>
              </w:rPr>
            </w:pPr>
            <w:r w:rsidRPr="002E74DA">
              <w:rPr>
                <w:color w:val="000000"/>
                <w:sz w:val="22"/>
              </w:rPr>
              <w:t>Public financial investment (PFI)</w:t>
            </w:r>
          </w:p>
        </w:tc>
        <w:tc>
          <w:tcPr>
            <w:tcW w:w="1793" w:type="pct"/>
            <w:vMerge/>
          </w:tcPr>
          <w:p w14:paraId="64AFCA51" w14:textId="77777777" w:rsidR="00B85EB7" w:rsidRPr="008903D1" w:rsidRDefault="00B85EB7" w:rsidP="00E701F1">
            <w:pPr>
              <w:rPr>
                <w:rFonts w:eastAsia="等线" w:cs="Times New Roman"/>
                <w:sz w:val="22"/>
              </w:rPr>
            </w:pPr>
          </w:p>
        </w:tc>
      </w:tr>
      <w:tr w:rsidR="00B85EB7" w:rsidRPr="008903D1" w14:paraId="7DFAE636" w14:textId="77777777" w:rsidTr="00E701F1">
        <w:tc>
          <w:tcPr>
            <w:tcW w:w="3207" w:type="pct"/>
            <w:vAlign w:val="center"/>
          </w:tcPr>
          <w:p w14:paraId="3A19293D" w14:textId="77777777" w:rsidR="00B85EB7" w:rsidRPr="008903D1" w:rsidRDefault="00B85EB7" w:rsidP="00E701F1">
            <w:pPr>
              <w:rPr>
                <w:rFonts w:eastAsia="等线" w:cs="Times New Roman"/>
                <w:sz w:val="22"/>
              </w:rPr>
            </w:pPr>
            <w:r w:rsidRPr="002E74DA">
              <w:rPr>
                <w:color w:val="000000"/>
                <w:sz w:val="22"/>
              </w:rPr>
              <w:t>Average staff salary (ASS)</w:t>
            </w:r>
          </w:p>
        </w:tc>
        <w:tc>
          <w:tcPr>
            <w:tcW w:w="1793" w:type="pct"/>
            <w:vMerge/>
          </w:tcPr>
          <w:p w14:paraId="724FE46C" w14:textId="77777777" w:rsidR="00B85EB7" w:rsidRPr="008903D1" w:rsidRDefault="00B85EB7" w:rsidP="00E701F1">
            <w:pPr>
              <w:rPr>
                <w:rFonts w:eastAsia="等线" w:cs="Times New Roman"/>
                <w:sz w:val="22"/>
              </w:rPr>
            </w:pPr>
          </w:p>
        </w:tc>
      </w:tr>
      <w:tr w:rsidR="00B85EB7" w:rsidRPr="008903D1" w14:paraId="641AE778" w14:textId="77777777" w:rsidTr="00E701F1">
        <w:tc>
          <w:tcPr>
            <w:tcW w:w="3207" w:type="pct"/>
            <w:vAlign w:val="center"/>
          </w:tcPr>
          <w:p w14:paraId="1D5EA3E0" w14:textId="77777777" w:rsidR="00B85EB7" w:rsidRPr="008903D1" w:rsidRDefault="00B85EB7" w:rsidP="00E701F1">
            <w:pPr>
              <w:rPr>
                <w:rFonts w:eastAsia="等线" w:cs="Times New Roman"/>
                <w:sz w:val="22"/>
              </w:rPr>
            </w:pPr>
            <w:r w:rsidRPr="002E74DA">
              <w:rPr>
                <w:color w:val="000000"/>
                <w:sz w:val="22"/>
              </w:rPr>
              <w:t>Workers’ overtime utilisation (WOU)</w:t>
            </w:r>
          </w:p>
        </w:tc>
        <w:tc>
          <w:tcPr>
            <w:tcW w:w="1793" w:type="pct"/>
            <w:vMerge/>
          </w:tcPr>
          <w:p w14:paraId="52C17E66" w14:textId="77777777" w:rsidR="00B85EB7" w:rsidRPr="008903D1" w:rsidRDefault="00B85EB7" w:rsidP="00E701F1">
            <w:pPr>
              <w:rPr>
                <w:rFonts w:eastAsia="等线" w:cs="Times New Roman"/>
                <w:sz w:val="22"/>
              </w:rPr>
            </w:pPr>
          </w:p>
        </w:tc>
      </w:tr>
      <w:tr w:rsidR="00B85EB7" w:rsidRPr="008903D1" w14:paraId="42BBBC5F" w14:textId="77777777" w:rsidTr="00E701F1">
        <w:tc>
          <w:tcPr>
            <w:tcW w:w="3207" w:type="pct"/>
            <w:vAlign w:val="center"/>
          </w:tcPr>
          <w:p w14:paraId="772ECD51" w14:textId="77777777" w:rsidR="00B85EB7" w:rsidRPr="008903D1" w:rsidRDefault="00B85EB7" w:rsidP="00E701F1">
            <w:pPr>
              <w:rPr>
                <w:rFonts w:eastAsia="等线" w:cs="Times New Roman"/>
                <w:sz w:val="22"/>
              </w:rPr>
            </w:pPr>
            <w:r w:rsidRPr="002E74DA">
              <w:rPr>
                <w:color w:val="000000"/>
                <w:sz w:val="22"/>
              </w:rPr>
              <w:t>Total travel time in the city centre (TTT)</w:t>
            </w:r>
          </w:p>
        </w:tc>
        <w:tc>
          <w:tcPr>
            <w:tcW w:w="1793" w:type="pct"/>
            <w:vMerge/>
          </w:tcPr>
          <w:p w14:paraId="59879DC0" w14:textId="77777777" w:rsidR="00B85EB7" w:rsidRPr="008903D1" w:rsidRDefault="00B85EB7" w:rsidP="00E701F1">
            <w:pPr>
              <w:rPr>
                <w:rFonts w:eastAsia="等线" w:cs="Times New Roman"/>
                <w:sz w:val="22"/>
              </w:rPr>
            </w:pPr>
          </w:p>
        </w:tc>
      </w:tr>
      <w:tr w:rsidR="00B85EB7" w:rsidRPr="008903D1" w14:paraId="2EB53415" w14:textId="77777777" w:rsidTr="00E701F1">
        <w:tc>
          <w:tcPr>
            <w:tcW w:w="3207" w:type="pct"/>
            <w:vAlign w:val="center"/>
          </w:tcPr>
          <w:p w14:paraId="37365863" w14:textId="77777777" w:rsidR="00B85EB7" w:rsidRPr="008903D1" w:rsidRDefault="00B85EB7" w:rsidP="00E701F1">
            <w:pPr>
              <w:rPr>
                <w:rFonts w:eastAsia="等线" w:cs="Times New Roman"/>
                <w:sz w:val="22"/>
              </w:rPr>
            </w:pPr>
            <w:r w:rsidRPr="002E74DA">
              <w:rPr>
                <w:color w:val="000000"/>
                <w:sz w:val="22"/>
              </w:rPr>
              <w:t>Time for on-street parking (TOP)</w:t>
            </w:r>
          </w:p>
        </w:tc>
        <w:tc>
          <w:tcPr>
            <w:tcW w:w="1793" w:type="pct"/>
            <w:vMerge/>
          </w:tcPr>
          <w:p w14:paraId="3AE99991" w14:textId="77777777" w:rsidR="00B85EB7" w:rsidRPr="008903D1" w:rsidRDefault="00B85EB7" w:rsidP="00E701F1">
            <w:pPr>
              <w:rPr>
                <w:rFonts w:eastAsia="等线" w:cs="Times New Roman"/>
                <w:sz w:val="22"/>
              </w:rPr>
            </w:pPr>
          </w:p>
        </w:tc>
      </w:tr>
    </w:tbl>
    <w:p w14:paraId="789BCC63" w14:textId="6539D9F0" w:rsidR="00B85EB7" w:rsidRPr="00507AE8" w:rsidRDefault="00B85EB7" w:rsidP="00B85EB7">
      <w:pPr>
        <w:pStyle w:val="Caption"/>
        <w:spacing w:line="360" w:lineRule="auto"/>
        <w:rPr>
          <w:rFonts w:cs="Times New Roman"/>
        </w:rPr>
      </w:pPr>
      <w:bookmarkStart w:id="633" w:name="_Ref31029011"/>
      <w:bookmarkStart w:id="634" w:name="_Toc34674949"/>
      <w:bookmarkStart w:id="635" w:name="_Toc34734741"/>
      <w:bookmarkStart w:id="636" w:name="_Toc46053555"/>
      <w:bookmarkStart w:id="637" w:name="_Toc46093804"/>
      <w:bookmarkStart w:id="638" w:name="_Toc46924459"/>
      <w:bookmarkStart w:id="639" w:name="_Toc66698776"/>
      <w:r>
        <w:rPr>
          <w:rFonts w:cs="Times New Roman"/>
        </w:rPr>
        <w:t>Table</w:t>
      </w:r>
      <w:r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3</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9</w:t>
      </w:r>
      <w:r w:rsidR="00FE10DA">
        <w:rPr>
          <w:rFonts w:cs="Times New Roman"/>
        </w:rPr>
        <w:fldChar w:fldCharType="end"/>
      </w:r>
      <w:bookmarkEnd w:id="633"/>
      <w:r>
        <w:rPr>
          <w:rFonts w:cs="Times New Roman"/>
        </w:rPr>
        <w:t xml:space="preserve">: </w:t>
      </w:r>
      <w:r w:rsidRPr="008903D1">
        <w:rPr>
          <w:rFonts w:cs="Times New Roman"/>
        </w:rPr>
        <w:t>Cod</w:t>
      </w:r>
      <w:r>
        <w:rPr>
          <w:rFonts w:cs="Times New Roman"/>
        </w:rPr>
        <w:t>ing</w:t>
      </w:r>
      <w:r w:rsidRPr="008903D1">
        <w:rPr>
          <w:rFonts w:cs="Times New Roman"/>
        </w:rPr>
        <w:t xml:space="preserve"> Book</w:t>
      </w:r>
      <w:bookmarkEnd w:id="634"/>
      <w:bookmarkEnd w:id="635"/>
      <w:bookmarkEnd w:id="636"/>
      <w:bookmarkEnd w:id="637"/>
      <w:bookmarkEnd w:id="638"/>
      <w:bookmarkEnd w:id="639"/>
    </w:p>
    <w:p w14:paraId="3BA70998" w14:textId="77777777" w:rsidR="00A6684F" w:rsidRDefault="00FC4C6E" w:rsidP="00FC4C6E">
      <w:pPr>
        <w:pStyle w:val="Heading2"/>
        <w:spacing w:after="120"/>
      </w:pPr>
      <w:bookmarkStart w:id="640" w:name="_Toc66703220"/>
      <w:r>
        <w:t>Chapter summary</w:t>
      </w:r>
      <w:bookmarkEnd w:id="640"/>
    </w:p>
    <w:p w14:paraId="66799CA0" w14:textId="316F655C" w:rsidR="000514CD" w:rsidRPr="00BB75BB" w:rsidRDefault="000514CD" w:rsidP="00144AD8">
      <w:pPr>
        <w:snapToGrid w:val="0"/>
        <w:spacing w:before="100" w:beforeAutospacing="1" w:after="100" w:afterAutospacing="1" w:line="360" w:lineRule="auto"/>
        <w:rPr>
          <w:rFonts w:asciiTheme="majorBidi" w:hAnsiTheme="majorBidi" w:cstheme="majorBidi"/>
          <w:color w:val="FF0000"/>
          <w:szCs w:val="24"/>
        </w:rPr>
      </w:pPr>
      <w:r w:rsidRPr="00BB75BB">
        <w:rPr>
          <w:rFonts w:asciiTheme="majorBidi" w:hAnsiTheme="majorBidi" w:cstheme="majorBidi"/>
          <w:color w:val="FF0000"/>
          <w:szCs w:val="24"/>
        </w:rPr>
        <w:t xml:space="preserve">This chapter </w:t>
      </w:r>
      <w:r w:rsidR="00120BCB" w:rsidRPr="00BB75BB">
        <w:rPr>
          <w:rFonts w:asciiTheme="majorBidi" w:hAnsiTheme="majorBidi" w:cstheme="majorBidi"/>
          <w:color w:val="FF0000"/>
          <w:szCs w:val="24"/>
        </w:rPr>
        <w:t xml:space="preserve">has </w:t>
      </w:r>
      <w:r w:rsidRPr="00BB75BB">
        <w:rPr>
          <w:rFonts w:asciiTheme="majorBidi" w:hAnsiTheme="majorBidi" w:cstheme="majorBidi"/>
          <w:color w:val="FF0000"/>
          <w:szCs w:val="24"/>
        </w:rPr>
        <w:t>introduce</w:t>
      </w:r>
      <w:r w:rsidR="00120BCB" w:rsidRPr="00BB75BB">
        <w:rPr>
          <w:rFonts w:asciiTheme="majorBidi" w:hAnsiTheme="majorBidi" w:cstheme="majorBidi"/>
          <w:color w:val="FF0000"/>
          <w:szCs w:val="24"/>
        </w:rPr>
        <w:t>d</w:t>
      </w:r>
      <w:r w:rsidRPr="00BB75BB">
        <w:rPr>
          <w:rFonts w:asciiTheme="majorBidi" w:hAnsiTheme="majorBidi" w:cstheme="majorBidi"/>
          <w:color w:val="FF0000"/>
          <w:szCs w:val="24"/>
        </w:rPr>
        <w:t xml:space="preserve"> the research methodology adopted in this thesis. </w:t>
      </w:r>
      <w:r w:rsidRPr="00BB75BB">
        <w:rPr>
          <w:rFonts w:cs="Times New Roman" w:hint="eastAsia"/>
          <w:color w:val="FF0000"/>
        </w:rPr>
        <w:t>This</w:t>
      </w:r>
      <w:r w:rsidRPr="00BB75BB">
        <w:rPr>
          <w:rFonts w:cs="Times New Roman"/>
          <w:color w:val="FF0000"/>
        </w:rPr>
        <w:t xml:space="preserve"> </w:t>
      </w:r>
      <w:r w:rsidRPr="00BB75BB">
        <w:rPr>
          <w:rFonts w:cs="Times New Roman" w:hint="eastAsia"/>
          <w:color w:val="FF0000"/>
        </w:rPr>
        <w:t>research</w:t>
      </w:r>
      <w:r w:rsidRPr="00BB75BB">
        <w:rPr>
          <w:rFonts w:cs="Times New Roman"/>
          <w:color w:val="FF0000"/>
        </w:rPr>
        <w:t xml:space="preserve"> follows an </w:t>
      </w:r>
      <w:r w:rsidRPr="00BB75BB">
        <w:rPr>
          <w:rFonts w:cs="Times New Roman" w:hint="eastAsia"/>
          <w:color w:val="FF0000"/>
        </w:rPr>
        <w:t>operational</w:t>
      </w:r>
      <w:r w:rsidRPr="00BB75BB">
        <w:rPr>
          <w:rFonts w:cs="Times New Roman"/>
          <w:color w:val="FF0000"/>
        </w:rPr>
        <w:t xml:space="preserve"> </w:t>
      </w:r>
      <w:r w:rsidRPr="00BB75BB">
        <w:rPr>
          <w:rFonts w:cs="Times New Roman" w:hint="eastAsia"/>
          <w:color w:val="FF0000"/>
        </w:rPr>
        <w:t>research</w:t>
      </w:r>
      <w:r w:rsidRPr="00BB75BB">
        <w:rPr>
          <w:rFonts w:cs="Times New Roman"/>
          <w:color w:val="FF0000"/>
          <w:lang w:val="en-US"/>
        </w:rPr>
        <w:t xml:space="preserve"> (OR)</w:t>
      </w:r>
      <w:r w:rsidRPr="00BB75BB">
        <w:rPr>
          <w:rFonts w:cs="Times New Roman"/>
          <w:color w:val="FF0000"/>
        </w:rPr>
        <w:t xml:space="preserve"> </w:t>
      </w:r>
      <w:r w:rsidRPr="00BB75BB">
        <w:rPr>
          <w:rFonts w:cs="Times New Roman" w:hint="eastAsia"/>
          <w:color w:val="FF0000"/>
        </w:rPr>
        <w:t>paradigm</w:t>
      </w:r>
      <w:r w:rsidR="00120BCB" w:rsidRPr="00BB75BB">
        <w:rPr>
          <w:rFonts w:cs="Times New Roman"/>
          <w:color w:val="FF0000"/>
        </w:rPr>
        <w:t xml:space="preserve"> for</w:t>
      </w:r>
      <w:r w:rsidRPr="00BB75BB">
        <w:rPr>
          <w:rFonts w:cs="Times New Roman"/>
          <w:color w:val="FF0000"/>
        </w:rPr>
        <w:t xml:space="preserve"> deal</w:t>
      </w:r>
      <w:r w:rsidR="00120BCB" w:rsidRPr="00BB75BB">
        <w:rPr>
          <w:rFonts w:cs="Times New Roman"/>
          <w:color w:val="FF0000"/>
        </w:rPr>
        <w:t>ing</w:t>
      </w:r>
      <w:r w:rsidRPr="00BB75BB">
        <w:rPr>
          <w:rFonts w:cs="Times New Roman"/>
          <w:color w:val="FF0000"/>
        </w:rPr>
        <w:t xml:space="preserve"> with </w:t>
      </w:r>
      <w:r w:rsidR="00120BCB" w:rsidRPr="00BB75BB">
        <w:rPr>
          <w:rFonts w:cs="Times New Roman"/>
          <w:color w:val="FF0000"/>
        </w:rPr>
        <w:t xml:space="preserve">viability </w:t>
      </w:r>
      <w:r w:rsidRPr="00BB75BB">
        <w:rPr>
          <w:rFonts w:cs="Times New Roman"/>
          <w:color w:val="FF0000"/>
        </w:rPr>
        <w:t>issues of UCC project</w:t>
      </w:r>
      <w:r w:rsidR="00120BCB" w:rsidRPr="00BB75BB">
        <w:rPr>
          <w:rFonts w:cs="Times New Roman"/>
          <w:color w:val="FF0000"/>
        </w:rPr>
        <w:t>s</w:t>
      </w:r>
      <w:r w:rsidRPr="00BB75BB">
        <w:rPr>
          <w:rFonts w:asciiTheme="majorBidi" w:hAnsiTheme="majorBidi" w:cstheme="majorBidi"/>
          <w:color w:val="FF0000"/>
          <w:szCs w:val="24"/>
        </w:rPr>
        <w:t>.</w:t>
      </w:r>
      <w:r w:rsidR="00B66148" w:rsidRPr="00BB75BB">
        <w:rPr>
          <w:rFonts w:asciiTheme="majorBidi" w:hAnsiTheme="majorBidi" w:cstheme="majorBidi"/>
          <w:color w:val="FF0000"/>
          <w:szCs w:val="24"/>
        </w:rPr>
        <w:t xml:space="preserve"> </w:t>
      </w:r>
      <w:r w:rsidR="00D944F3" w:rsidRPr="00BB75BB">
        <w:rPr>
          <w:rFonts w:asciiTheme="majorBidi" w:hAnsiTheme="majorBidi" w:cstheme="majorBidi"/>
          <w:color w:val="FF0000"/>
          <w:szCs w:val="24"/>
        </w:rPr>
        <w:t>In the second section, t</w:t>
      </w:r>
      <w:r w:rsidR="00B66148" w:rsidRPr="00BB75BB">
        <w:rPr>
          <w:rFonts w:asciiTheme="majorBidi" w:hAnsiTheme="majorBidi" w:cstheme="majorBidi"/>
          <w:color w:val="FF0000"/>
          <w:szCs w:val="24"/>
        </w:rPr>
        <w:t xml:space="preserve">his chapter </w:t>
      </w:r>
      <w:r w:rsidR="00120BCB" w:rsidRPr="00BB75BB">
        <w:rPr>
          <w:rFonts w:asciiTheme="majorBidi" w:hAnsiTheme="majorBidi" w:cstheme="majorBidi"/>
          <w:color w:val="FF0000"/>
          <w:szCs w:val="24"/>
        </w:rPr>
        <w:t xml:space="preserve">has </w:t>
      </w:r>
      <w:r w:rsidR="00B66148" w:rsidRPr="00BB75BB">
        <w:rPr>
          <w:rFonts w:asciiTheme="majorBidi" w:hAnsiTheme="majorBidi" w:cstheme="majorBidi"/>
          <w:color w:val="FF0000"/>
          <w:szCs w:val="24"/>
        </w:rPr>
        <w:t>present</w:t>
      </w:r>
      <w:r w:rsidR="00120BCB" w:rsidRPr="00BB75BB">
        <w:rPr>
          <w:rFonts w:asciiTheme="majorBidi" w:hAnsiTheme="majorBidi" w:cstheme="majorBidi"/>
          <w:color w:val="FF0000"/>
          <w:szCs w:val="24"/>
        </w:rPr>
        <w:t>ed</w:t>
      </w:r>
      <w:r w:rsidR="00B66148" w:rsidRPr="00BB75BB">
        <w:rPr>
          <w:rFonts w:asciiTheme="majorBidi" w:hAnsiTheme="majorBidi" w:cstheme="majorBidi"/>
          <w:color w:val="FF0000"/>
          <w:szCs w:val="24"/>
        </w:rPr>
        <w:t xml:space="preserve"> the theoretical lens, which introduces Freeman’s stakeholders theory </w:t>
      </w:r>
      <w:r w:rsidR="00B66148" w:rsidRPr="00BB75BB">
        <w:rPr>
          <w:rFonts w:asciiTheme="majorBidi" w:hAnsiTheme="majorBidi" w:cstheme="majorBidi" w:hint="eastAsia"/>
          <w:color w:val="FF0000"/>
          <w:szCs w:val="24"/>
        </w:rPr>
        <w:t>a</w:t>
      </w:r>
      <w:r w:rsidR="00B66148" w:rsidRPr="00BB75BB">
        <w:rPr>
          <w:rFonts w:asciiTheme="majorBidi" w:hAnsiTheme="majorBidi" w:cstheme="majorBidi"/>
          <w:color w:val="FF0000"/>
          <w:szCs w:val="24"/>
        </w:rPr>
        <w:t xml:space="preserve">nd </w:t>
      </w:r>
      <w:r w:rsidR="00E03CC1" w:rsidRPr="00BB75BB">
        <w:rPr>
          <w:rFonts w:asciiTheme="majorBidi" w:hAnsiTheme="majorBidi" w:cstheme="majorBidi"/>
          <w:color w:val="FF0000"/>
          <w:szCs w:val="24"/>
        </w:rPr>
        <w:t xml:space="preserve">its </w:t>
      </w:r>
      <w:r w:rsidR="00C556E5" w:rsidRPr="00BB75BB">
        <w:rPr>
          <w:rFonts w:asciiTheme="majorBidi" w:hAnsiTheme="majorBidi" w:cstheme="majorBidi"/>
          <w:color w:val="FF0000"/>
          <w:szCs w:val="24"/>
        </w:rPr>
        <w:t>application</w:t>
      </w:r>
      <w:r w:rsidR="00E03CC1" w:rsidRPr="00BB75BB">
        <w:rPr>
          <w:rFonts w:asciiTheme="majorBidi" w:hAnsiTheme="majorBidi" w:cstheme="majorBidi"/>
          <w:color w:val="FF0000"/>
          <w:szCs w:val="24"/>
        </w:rPr>
        <w:t xml:space="preserve"> in the</w:t>
      </w:r>
      <w:r w:rsidR="00C556E5" w:rsidRPr="00BB75BB">
        <w:rPr>
          <w:rFonts w:asciiTheme="majorBidi" w:hAnsiTheme="majorBidi" w:cstheme="majorBidi"/>
          <w:color w:val="FF0000"/>
          <w:szCs w:val="24"/>
        </w:rPr>
        <w:t xml:space="preserve"> field of</w:t>
      </w:r>
      <w:r w:rsidR="00E03CC1" w:rsidRPr="00BB75BB">
        <w:rPr>
          <w:rFonts w:asciiTheme="majorBidi" w:hAnsiTheme="majorBidi" w:cstheme="majorBidi"/>
          <w:color w:val="FF0000"/>
          <w:szCs w:val="24"/>
        </w:rPr>
        <w:t xml:space="preserve"> CSR.</w:t>
      </w:r>
      <w:r w:rsidR="007427B5" w:rsidRPr="00BB75BB">
        <w:rPr>
          <w:rFonts w:asciiTheme="majorBidi" w:hAnsiTheme="majorBidi" w:cstheme="majorBidi"/>
          <w:color w:val="FF0000"/>
          <w:szCs w:val="24"/>
        </w:rPr>
        <w:t xml:space="preserve"> </w:t>
      </w:r>
      <w:r w:rsidR="00EC25F8" w:rsidRPr="00BB75BB">
        <w:rPr>
          <w:rFonts w:asciiTheme="majorBidi" w:hAnsiTheme="majorBidi" w:cstheme="majorBidi"/>
          <w:color w:val="FF0000"/>
          <w:szCs w:val="24"/>
        </w:rPr>
        <w:t>T</w:t>
      </w:r>
      <w:r w:rsidR="007427B5" w:rsidRPr="00BB75BB">
        <w:rPr>
          <w:rFonts w:asciiTheme="majorBidi" w:hAnsiTheme="majorBidi" w:cstheme="majorBidi"/>
          <w:color w:val="FF0000"/>
          <w:szCs w:val="24"/>
        </w:rPr>
        <w:t>his chapter</w:t>
      </w:r>
      <w:r w:rsidR="00EC25F8" w:rsidRPr="00BB75BB">
        <w:rPr>
          <w:rFonts w:asciiTheme="majorBidi" w:hAnsiTheme="majorBidi" w:cstheme="majorBidi"/>
          <w:color w:val="FF0000"/>
          <w:szCs w:val="24"/>
        </w:rPr>
        <w:t xml:space="preserve"> </w:t>
      </w:r>
      <w:r w:rsidR="00120BCB" w:rsidRPr="00BB75BB">
        <w:rPr>
          <w:rFonts w:asciiTheme="majorBidi" w:hAnsiTheme="majorBidi" w:cstheme="majorBidi"/>
          <w:color w:val="FF0000"/>
          <w:szCs w:val="24"/>
        </w:rPr>
        <w:t xml:space="preserve">has </w:t>
      </w:r>
      <w:r w:rsidR="00EC25F8" w:rsidRPr="00BB75BB">
        <w:rPr>
          <w:rFonts w:asciiTheme="majorBidi" w:hAnsiTheme="majorBidi" w:cstheme="majorBidi"/>
          <w:color w:val="FF0000"/>
          <w:szCs w:val="24"/>
        </w:rPr>
        <w:t>then</w:t>
      </w:r>
      <w:r w:rsidR="007427B5" w:rsidRPr="00BB75BB">
        <w:rPr>
          <w:rFonts w:asciiTheme="majorBidi" w:hAnsiTheme="majorBidi" w:cstheme="majorBidi"/>
          <w:color w:val="FF0000"/>
          <w:szCs w:val="24"/>
        </w:rPr>
        <w:t xml:space="preserve"> </w:t>
      </w:r>
      <w:r w:rsidRPr="00BB75BB">
        <w:rPr>
          <w:rFonts w:asciiTheme="majorBidi" w:hAnsiTheme="majorBidi" w:cstheme="majorBidi"/>
          <w:color w:val="FF0000"/>
          <w:szCs w:val="24"/>
        </w:rPr>
        <w:t>provide</w:t>
      </w:r>
      <w:r w:rsidR="00120BCB" w:rsidRPr="00BB75BB">
        <w:rPr>
          <w:rFonts w:asciiTheme="majorBidi" w:hAnsiTheme="majorBidi" w:cstheme="majorBidi"/>
          <w:color w:val="FF0000"/>
          <w:szCs w:val="24"/>
        </w:rPr>
        <w:t>d</w:t>
      </w:r>
      <w:r w:rsidRPr="00BB75BB">
        <w:rPr>
          <w:rFonts w:asciiTheme="majorBidi" w:hAnsiTheme="majorBidi" w:cstheme="majorBidi"/>
          <w:color w:val="FF0000"/>
          <w:szCs w:val="24"/>
        </w:rPr>
        <w:t xml:space="preserve"> a brief explanation of the research design. Following on from this, the chapter </w:t>
      </w:r>
      <w:r w:rsidR="00120BCB" w:rsidRPr="00BB75BB">
        <w:rPr>
          <w:rFonts w:asciiTheme="majorBidi" w:hAnsiTheme="majorBidi" w:cstheme="majorBidi"/>
          <w:color w:val="FF0000"/>
          <w:szCs w:val="24"/>
        </w:rPr>
        <w:t xml:space="preserve">has </w:t>
      </w:r>
      <w:r w:rsidRPr="00BB75BB">
        <w:rPr>
          <w:rFonts w:asciiTheme="majorBidi" w:hAnsiTheme="majorBidi" w:cstheme="majorBidi"/>
          <w:color w:val="FF0000"/>
          <w:szCs w:val="24"/>
        </w:rPr>
        <w:t>present</w:t>
      </w:r>
      <w:r w:rsidR="00120BCB" w:rsidRPr="00BB75BB">
        <w:rPr>
          <w:rFonts w:asciiTheme="majorBidi" w:hAnsiTheme="majorBidi" w:cstheme="majorBidi"/>
          <w:color w:val="FF0000"/>
          <w:szCs w:val="24"/>
        </w:rPr>
        <w:t>ed</w:t>
      </w:r>
      <w:r w:rsidRPr="00BB75BB">
        <w:rPr>
          <w:rFonts w:asciiTheme="majorBidi" w:hAnsiTheme="majorBidi" w:cstheme="majorBidi"/>
          <w:color w:val="FF0000"/>
          <w:szCs w:val="24"/>
        </w:rPr>
        <w:t xml:space="preserve"> both the quantitative and qualitative data analysis methods</w:t>
      </w:r>
      <w:r w:rsidR="00120BCB" w:rsidRPr="00BB75BB">
        <w:rPr>
          <w:rFonts w:asciiTheme="majorBidi" w:hAnsiTheme="majorBidi" w:cstheme="majorBidi"/>
          <w:color w:val="FF0000"/>
          <w:szCs w:val="24"/>
        </w:rPr>
        <w:t>; also, the</w:t>
      </w:r>
      <w:r w:rsidRPr="00BB75BB">
        <w:rPr>
          <w:rFonts w:asciiTheme="majorBidi" w:hAnsiTheme="majorBidi" w:cstheme="majorBidi"/>
          <w:color w:val="FF0000"/>
          <w:szCs w:val="24"/>
        </w:rPr>
        <w:t xml:space="preserve"> data collection approach of this thesis</w:t>
      </w:r>
      <w:r w:rsidR="007427B5" w:rsidRPr="00BB75BB">
        <w:rPr>
          <w:rFonts w:asciiTheme="majorBidi" w:hAnsiTheme="majorBidi" w:cstheme="majorBidi"/>
          <w:color w:val="FF0000"/>
          <w:szCs w:val="24"/>
        </w:rPr>
        <w:t xml:space="preserve"> </w:t>
      </w:r>
      <w:r w:rsidR="00120BCB" w:rsidRPr="00BB75BB">
        <w:rPr>
          <w:rFonts w:asciiTheme="majorBidi" w:hAnsiTheme="majorBidi" w:cstheme="majorBidi"/>
          <w:color w:val="FF0000"/>
          <w:szCs w:val="24"/>
        </w:rPr>
        <w:t>has been</w:t>
      </w:r>
      <w:r w:rsidR="006D3F66" w:rsidRPr="00BB75BB">
        <w:rPr>
          <w:rFonts w:asciiTheme="majorBidi" w:hAnsiTheme="majorBidi" w:cstheme="majorBidi"/>
          <w:color w:val="FF0000"/>
          <w:szCs w:val="24"/>
        </w:rPr>
        <w:t xml:space="preserve"> </w:t>
      </w:r>
      <w:r w:rsidR="00120BCB" w:rsidRPr="00BB75BB">
        <w:rPr>
          <w:rFonts w:asciiTheme="majorBidi" w:hAnsiTheme="majorBidi" w:cstheme="majorBidi"/>
          <w:color w:val="FF0000"/>
          <w:szCs w:val="24"/>
        </w:rPr>
        <w:t>clarified</w:t>
      </w:r>
      <w:r w:rsidRPr="00BB75BB">
        <w:rPr>
          <w:rFonts w:asciiTheme="majorBidi" w:hAnsiTheme="majorBidi" w:cstheme="majorBidi"/>
          <w:color w:val="FF0000"/>
          <w:szCs w:val="24"/>
        </w:rPr>
        <w:t xml:space="preserve">. </w:t>
      </w:r>
    </w:p>
    <w:p w14:paraId="647DFB4E" w14:textId="77777777" w:rsidR="00120BCB" w:rsidRPr="00BB75BB" w:rsidRDefault="000A562A" w:rsidP="000A562A">
      <w:pPr>
        <w:snapToGrid w:val="0"/>
        <w:spacing w:before="100" w:beforeAutospacing="1" w:after="100" w:afterAutospacing="1" w:line="360" w:lineRule="auto"/>
        <w:rPr>
          <w:rFonts w:asciiTheme="majorBidi" w:hAnsiTheme="majorBidi" w:cstheme="majorBidi"/>
          <w:color w:val="FF0000"/>
          <w:szCs w:val="24"/>
        </w:rPr>
      </w:pPr>
      <w:r w:rsidRPr="00BB75BB">
        <w:rPr>
          <w:rFonts w:asciiTheme="majorBidi" w:hAnsiTheme="majorBidi" w:cstheme="majorBidi"/>
          <w:color w:val="FF0000"/>
          <w:szCs w:val="24"/>
        </w:rPr>
        <w:t xml:space="preserve">The presented methodologies will be implemented in subsequent chapters. </w:t>
      </w:r>
      <w:proofErr w:type="gramStart"/>
      <w:r w:rsidRPr="00BB75BB">
        <w:rPr>
          <w:rFonts w:asciiTheme="majorBidi" w:hAnsiTheme="majorBidi" w:cstheme="majorBidi"/>
          <w:color w:val="FF0000"/>
          <w:szCs w:val="24"/>
        </w:rPr>
        <w:t>For the purpose of</w:t>
      </w:r>
      <w:proofErr w:type="gramEnd"/>
      <w:r w:rsidRPr="00BB75BB">
        <w:rPr>
          <w:rFonts w:asciiTheme="majorBidi" w:hAnsiTheme="majorBidi" w:cstheme="majorBidi"/>
          <w:color w:val="FF0000"/>
          <w:szCs w:val="24"/>
        </w:rPr>
        <w:t xml:space="preserve"> dealing with PRQ1, in Chapter 4 the cost structure of a UCC </w:t>
      </w:r>
      <w:r w:rsidR="00120BCB" w:rsidRPr="00BB75BB">
        <w:rPr>
          <w:rFonts w:asciiTheme="majorBidi" w:hAnsiTheme="majorBidi" w:cstheme="majorBidi"/>
          <w:color w:val="FF0000"/>
          <w:szCs w:val="24"/>
        </w:rPr>
        <w:t>will be</w:t>
      </w:r>
      <w:r w:rsidRPr="00BB75BB">
        <w:rPr>
          <w:rFonts w:asciiTheme="majorBidi" w:hAnsiTheme="majorBidi" w:cstheme="majorBidi"/>
          <w:color w:val="FF0000"/>
          <w:szCs w:val="24"/>
        </w:rPr>
        <w:t xml:space="preserve"> formulated based on past research, in which the types of fixed cost and variable cost are identified; formula</w:t>
      </w:r>
      <w:r w:rsidR="00120BCB" w:rsidRPr="00BB75BB">
        <w:rPr>
          <w:rFonts w:asciiTheme="majorBidi" w:hAnsiTheme="majorBidi" w:cstheme="majorBidi"/>
          <w:color w:val="FF0000"/>
          <w:szCs w:val="24"/>
        </w:rPr>
        <w:t>e</w:t>
      </w:r>
      <w:r w:rsidRPr="00BB75BB">
        <w:rPr>
          <w:rFonts w:asciiTheme="majorBidi" w:hAnsiTheme="majorBidi" w:cstheme="majorBidi"/>
          <w:color w:val="FF0000"/>
          <w:szCs w:val="24"/>
        </w:rPr>
        <w:t xml:space="preserve"> that are used to compute these costs are designed. This cost structure will be embedded into a software-based ‘</w:t>
      </w:r>
      <w:r w:rsidRPr="00BB75BB">
        <w:rPr>
          <w:color w:val="FF0000"/>
        </w:rPr>
        <w:t>Decision Support System’</w:t>
      </w:r>
      <w:r w:rsidRPr="00BB75BB">
        <w:rPr>
          <w:rFonts w:asciiTheme="majorBidi" w:hAnsiTheme="majorBidi" w:cstheme="majorBidi"/>
          <w:color w:val="FF0000"/>
          <w:szCs w:val="24"/>
        </w:rPr>
        <w:t xml:space="preserve">, the details of which will be revealed in Chapter 8. </w:t>
      </w:r>
    </w:p>
    <w:p w14:paraId="1C689270" w14:textId="77777777" w:rsidR="00120BCB" w:rsidRPr="00BB75BB" w:rsidRDefault="000A562A" w:rsidP="000A562A">
      <w:pPr>
        <w:snapToGrid w:val="0"/>
        <w:spacing w:before="100" w:beforeAutospacing="1" w:after="100" w:afterAutospacing="1" w:line="360" w:lineRule="auto"/>
        <w:rPr>
          <w:rFonts w:asciiTheme="majorBidi" w:hAnsiTheme="majorBidi" w:cstheme="majorBidi"/>
          <w:color w:val="FF0000"/>
          <w:szCs w:val="24"/>
        </w:rPr>
      </w:pPr>
      <w:proofErr w:type="gramStart"/>
      <w:r w:rsidRPr="00BB75BB">
        <w:rPr>
          <w:rFonts w:asciiTheme="majorBidi" w:hAnsiTheme="majorBidi" w:cstheme="majorBidi"/>
          <w:color w:val="FF0000"/>
          <w:szCs w:val="24"/>
        </w:rPr>
        <w:t>For the purpose of</w:t>
      </w:r>
      <w:proofErr w:type="gramEnd"/>
      <w:r w:rsidRPr="00BB75BB">
        <w:rPr>
          <w:rFonts w:asciiTheme="majorBidi" w:hAnsiTheme="majorBidi" w:cstheme="majorBidi"/>
          <w:color w:val="FF0000"/>
          <w:szCs w:val="24"/>
        </w:rPr>
        <w:t xml:space="preserve"> dealing with PRQ2, Freeman’s stakeholder theory is adopted to illustrate that a fruitful stakeholder engagement process could mitigate stakeholder conflicts in UCC project</w:t>
      </w:r>
      <w:r w:rsidR="00120BCB" w:rsidRPr="00BB75BB">
        <w:rPr>
          <w:rFonts w:asciiTheme="majorBidi" w:hAnsiTheme="majorBidi" w:cstheme="majorBidi"/>
          <w:color w:val="FF0000"/>
          <w:szCs w:val="24"/>
        </w:rPr>
        <w:t>s</w:t>
      </w:r>
      <w:r w:rsidRPr="00BB75BB">
        <w:rPr>
          <w:rFonts w:asciiTheme="majorBidi" w:hAnsiTheme="majorBidi" w:cstheme="majorBidi"/>
          <w:color w:val="FF0000"/>
          <w:szCs w:val="24"/>
        </w:rPr>
        <w:t xml:space="preserve">, thus promoting the long-term </w:t>
      </w:r>
      <w:r w:rsidR="00120BCB" w:rsidRPr="00BB75BB">
        <w:rPr>
          <w:rFonts w:asciiTheme="majorBidi" w:hAnsiTheme="majorBidi" w:cstheme="majorBidi"/>
          <w:color w:val="FF0000"/>
          <w:szCs w:val="24"/>
        </w:rPr>
        <w:t>viability o</w:t>
      </w:r>
      <w:r w:rsidRPr="00BB75BB">
        <w:rPr>
          <w:rFonts w:asciiTheme="majorBidi" w:hAnsiTheme="majorBidi" w:cstheme="majorBidi"/>
          <w:color w:val="FF0000"/>
          <w:szCs w:val="24"/>
        </w:rPr>
        <w:t xml:space="preserve">f a UCC. </w:t>
      </w:r>
    </w:p>
    <w:p w14:paraId="0D051A6F" w14:textId="77777777" w:rsidR="00120BCB" w:rsidRPr="00BB75BB" w:rsidRDefault="000A562A" w:rsidP="000A562A">
      <w:pPr>
        <w:snapToGrid w:val="0"/>
        <w:spacing w:before="100" w:beforeAutospacing="1" w:after="100" w:afterAutospacing="1" w:line="360" w:lineRule="auto"/>
        <w:rPr>
          <w:rFonts w:asciiTheme="majorBidi" w:hAnsiTheme="majorBidi" w:cstheme="majorBidi"/>
          <w:color w:val="FF0000"/>
          <w:szCs w:val="24"/>
        </w:rPr>
      </w:pPr>
      <w:r w:rsidRPr="00BB75BB">
        <w:rPr>
          <w:rFonts w:asciiTheme="majorBidi" w:hAnsiTheme="majorBidi" w:cstheme="majorBidi"/>
          <w:color w:val="FF0000"/>
          <w:szCs w:val="24"/>
        </w:rPr>
        <w:lastRenderedPageBreak/>
        <w:t>In Chapter 5, a multiple-case-study approach based on four UCCs in Sweden (Case 1 and 2) and China (Case 3 and 4) is conducted</w:t>
      </w:r>
      <w:r w:rsidR="00120BCB" w:rsidRPr="00BB75BB">
        <w:rPr>
          <w:rFonts w:asciiTheme="majorBidi" w:hAnsiTheme="majorBidi" w:cstheme="majorBidi"/>
          <w:color w:val="FF0000"/>
          <w:szCs w:val="24"/>
        </w:rPr>
        <w:t xml:space="preserve">, </w:t>
      </w:r>
      <w:proofErr w:type="gramStart"/>
      <w:r w:rsidR="00120BCB" w:rsidRPr="00BB75BB">
        <w:rPr>
          <w:rFonts w:asciiTheme="majorBidi" w:hAnsiTheme="majorBidi" w:cstheme="majorBidi"/>
          <w:color w:val="FF0000"/>
          <w:szCs w:val="24"/>
        </w:rPr>
        <w:t>in order</w:t>
      </w:r>
      <w:r w:rsidRPr="00BB75BB">
        <w:rPr>
          <w:rFonts w:asciiTheme="majorBidi" w:hAnsiTheme="majorBidi" w:cstheme="majorBidi"/>
          <w:color w:val="FF0000"/>
          <w:szCs w:val="24"/>
        </w:rPr>
        <w:t xml:space="preserve"> to</w:t>
      </w:r>
      <w:proofErr w:type="gramEnd"/>
      <w:r w:rsidRPr="00BB75BB">
        <w:rPr>
          <w:rFonts w:asciiTheme="majorBidi" w:hAnsiTheme="majorBidi" w:cstheme="majorBidi"/>
          <w:color w:val="FF0000"/>
          <w:szCs w:val="24"/>
        </w:rPr>
        <w:t xml:space="preserve"> illustrate the details of the stakeholder engagement process and the outcome of stakeholders’ partnerships in each UCC project. I</w:t>
      </w:r>
      <w:r w:rsidRPr="00BB75BB">
        <w:rPr>
          <w:rFonts w:asciiTheme="majorBidi" w:hAnsiTheme="majorBidi" w:cstheme="majorBidi" w:hint="eastAsia"/>
          <w:color w:val="FF0000"/>
          <w:szCs w:val="24"/>
        </w:rPr>
        <w:t>n</w:t>
      </w:r>
      <w:r w:rsidRPr="00BB75BB">
        <w:rPr>
          <w:rFonts w:asciiTheme="majorBidi" w:hAnsiTheme="majorBidi" w:cstheme="majorBidi"/>
          <w:color w:val="FF0000"/>
          <w:szCs w:val="24"/>
        </w:rPr>
        <w:t xml:space="preserve"> </w:t>
      </w:r>
      <w:r w:rsidRPr="00BB75BB">
        <w:rPr>
          <w:rFonts w:asciiTheme="majorBidi" w:hAnsiTheme="majorBidi" w:cstheme="majorBidi" w:hint="eastAsia"/>
          <w:color w:val="FF0000"/>
          <w:szCs w:val="24"/>
        </w:rPr>
        <w:t>o</w:t>
      </w:r>
      <w:r w:rsidRPr="00BB75BB">
        <w:rPr>
          <w:rFonts w:asciiTheme="majorBidi" w:hAnsiTheme="majorBidi" w:cstheme="majorBidi"/>
          <w:color w:val="FF0000"/>
          <w:szCs w:val="24"/>
        </w:rPr>
        <w:t xml:space="preserve">rder to promote stakeholder engagement, based on the data collected in these cases, </w:t>
      </w:r>
      <w:proofErr w:type="gramStart"/>
      <w:r w:rsidRPr="00BB75BB">
        <w:rPr>
          <w:rFonts w:asciiTheme="majorBidi" w:hAnsiTheme="majorBidi" w:cstheme="majorBidi"/>
          <w:color w:val="FF0000"/>
          <w:szCs w:val="24"/>
        </w:rPr>
        <w:t>C</w:t>
      </w:r>
      <w:r w:rsidRPr="00BB75BB">
        <w:rPr>
          <w:rFonts w:asciiTheme="majorBidi" w:hAnsiTheme="majorBidi" w:cstheme="majorBidi" w:hint="eastAsia"/>
          <w:color w:val="FF0000"/>
          <w:szCs w:val="24"/>
        </w:rPr>
        <w:t>hapter</w:t>
      </w:r>
      <w:proofErr w:type="gramEnd"/>
      <w:r w:rsidRPr="00BB75BB">
        <w:rPr>
          <w:rFonts w:asciiTheme="majorBidi" w:hAnsiTheme="majorBidi" w:cstheme="majorBidi"/>
          <w:color w:val="FF0000"/>
          <w:szCs w:val="24"/>
        </w:rPr>
        <w:t xml:space="preserve"> 6 implements an A</w:t>
      </w:r>
      <w:r w:rsidR="00120BCB" w:rsidRPr="00BB75BB">
        <w:rPr>
          <w:rFonts w:asciiTheme="majorBidi" w:hAnsiTheme="majorBidi" w:cstheme="majorBidi"/>
          <w:color w:val="FF0000"/>
          <w:szCs w:val="24"/>
        </w:rPr>
        <w:t xml:space="preserve">nalytic </w:t>
      </w:r>
      <w:r w:rsidRPr="00BB75BB">
        <w:rPr>
          <w:rFonts w:asciiTheme="majorBidi" w:hAnsiTheme="majorBidi" w:cstheme="majorBidi"/>
          <w:color w:val="FF0000"/>
          <w:szCs w:val="24"/>
        </w:rPr>
        <w:t>H</w:t>
      </w:r>
      <w:r w:rsidR="00120BCB" w:rsidRPr="00BB75BB">
        <w:rPr>
          <w:rFonts w:asciiTheme="majorBidi" w:hAnsiTheme="majorBidi" w:cstheme="majorBidi"/>
          <w:color w:val="FF0000"/>
          <w:szCs w:val="24"/>
        </w:rPr>
        <w:t xml:space="preserve">ierarchy </w:t>
      </w:r>
      <w:r w:rsidRPr="00BB75BB">
        <w:rPr>
          <w:rFonts w:asciiTheme="majorBidi" w:hAnsiTheme="majorBidi" w:cstheme="majorBidi"/>
          <w:color w:val="FF0000"/>
          <w:szCs w:val="24"/>
        </w:rPr>
        <w:t>P</w:t>
      </w:r>
      <w:r w:rsidR="00120BCB" w:rsidRPr="00BB75BB">
        <w:rPr>
          <w:rFonts w:asciiTheme="majorBidi" w:hAnsiTheme="majorBidi" w:cstheme="majorBidi"/>
          <w:color w:val="FF0000"/>
          <w:szCs w:val="24"/>
        </w:rPr>
        <w:t>rocess</w:t>
      </w:r>
      <w:r w:rsidRPr="00BB75BB">
        <w:rPr>
          <w:rFonts w:asciiTheme="majorBidi" w:hAnsiTheme="majorBidi" w:cstheme="majorBidi"/>
          <w:color w:val="FF0000"/>
          <w:szCs w:val="24"/>
        </w:rPr>
        <w:t xml:space="preserve"> </w:t>
      </w:r>
      <w:r w:rsidR="00120BCB" w:rsidRPr="00BB75BB">
        <w:rPr>
          <w:rFonts w:asciiTheme="majorBidi" w:hAnsiTheme="majorBidi" w:cstheme="majorBidi"/>
          <w:color w:val="FF0000"/>
          <w:szCs w:val="24"/>
        </w:rPr>
        <w:t>along with a</w:t>
      </w:r>
      <w:r w:rsidRPr="00BB75BB">
        <w:rPr>
          <w:rFonts w:asciiTheme="majorBidi" w:hAnsiTheme="majorBidi" w:cstheme="majorBidi"/>
          <w:color w:val="FF0000"/>
          <w:szCs w:val="24"/>
        </w:rPr>
        <w:t xml:space="preserve"> nonparametric correlation analysis to quantify the stakeholders’ preferences and measure the extent of heterogeneity in the stakeholders’ objectives. Then, thematic analysis is implemented to </w:t>
      </w:r>
      <w:r w:rsidRPr="00BB75BB">
        <w:rPr>
          <w:rFonts w:cs="Times New Roman"/>
          <w:color w:val="FF0000"/>
        </w:rPr>
        <w:t>investigate what kind of conflicting stakeholder interests may arise in the UCC, as well as the reasons behind any conflict and actions of one stakeholder towards another.</w:t>
      </w:r>
      <w:r w:rsidRPr="00BB75BB">
        <w:rPr>
          <w:rFonts w:asciiTheme="majorBidi" w:hAnsiTheme="majorBidi" w:cstheme="majorBidi"/>
          <w:color w:val="FF0000"/>
          <w:szCs w:val="24"/>
        </w:rPr>
        <w:t xml:space="preserve"> </w:t>
      </w:r>
    </w:p>
    <w:p w14:paraId="19450997" w14:textId="43C6F8D9" w:rsidR="000A562A" w:rsidRPr="00BB75BB" w:rsidRDefault="000A562A" w:rsidP="000A562A">
      <w:pPr>
        <w:snapToGrid w:val="0"/>
        <w:spacing w:before="100" w:beforeAutospacing="1" w:after="100" w:afterAutospacing="1" w:line="360" w:lineRule="auto"/>
        <w:rPr>
          <w:rFonts w:asciiTheme="majorBidi" w:hAnsiTheme="majorBidi" w:cstheme="majorBidi"/>
          <w:color w:val="FF0000"/>
          <w:szCs w:val="24"/>
        </w:rPr>
      </w:pPr>
      <w:r w:rsidRPr="00BB75BB">
        <w:rPr>
          <w:rFonts w:eastAsia="等线" w:cs="Arial"/>
          <w:color w:val="FF0000"/>
        </w:rPr>
        <w:t>For the purpose of resolving PRQ 3, Cha</w:t>
      </w:r>
      <w:r w:rsidR="00120BCB" w:rsidRPr="00BB75BB">
        <w:rPr>
          <w:rFonts w:eastAsia="等线" w:cs="Arial"/>
          <w:color w:val="FF0000"/>
        </w:rPr>
        <w:t xml:space="preserve">pter 7 firstly adopts both </w:t>
      </w:r>
      <w:proofErr w:type="gramStart"/>
      <w:r w:rsidR="00120BCB" w:rsidRPr="00BB75BB">
        <w:rPr>
          <w:rFonts w:eastAsia="等线" w:cs="Arial"/>
          <w:color w:val="FF0000"/>
        </w:rPr>
        <w:t>the an</w:t>
      </w:r>
      <w:proofErr w:type="gramEnd"/>
      <w:r w:rsidR="00120BCB" w:rsidRPr="00BB75BB">
        <w:rPr>
          <w:rFonts w:eastAsia="等线" w:cs="Arial"/>
          <w:color w:val="FF0000"/>
        </w:rPr>
        <w:t xml:space="preserve"> Extended </w:t>
      </w:r>
      <w:r w:rsidRPr="00BB75BB">
        <w:rPr>
          <w:rFonts w:eastAsia="等线" w:cs="Arial"/>
          <w:color w:val="FF0000"/>
        </w:rPr>
        <w:t>C</w:t>
      </w:r>
      <w:r w:rsidR="00120BCB" w:rsidRPr="00BB75BB">
        <w:rPr>
          <w:rFonts w:eastAsia="等线" w:cs="Arial"/>
          <w:color w:val="FF0000"/>
        </w:rPr>
        <w:t xml:space="preserve">onsumer </w:t>
      </w:r>
      <w:r w:rsidRPr="00BB75BB">
        <w:rPr>
          <w:rFonts w:eastAsia="等线" w:cs="Arial"/>
          <w:color w:val="FF0000"/>
        </w:rPr>
        <w:t>R</w:t>
      </w:r>
      <w:r w:rsidR="00120BCB" w:rsidRPr="00BB75BB">
        <w:rPr>
          <w:rFonts w:eastAsia="等线" w:cs="Arial"/>
          <w:color w:val="FF0000"/>
        </w:rPr>
        <w:t>esponsibility</w:t>
      </w:r>
      <w:r w:rsidRPr="00BB75BB">
        <w:rPr>
          <w:rFonts w:eastAsia="等线" w:cs="Arial"/>
          <w:color w:val="FF0000"/>
        </w:rPr>
        <w:t xml:space="preserve"> and </w:t>
      </w:r>
      <w:r w:rsidR="00120BCB" w:rsidRPr="00BB75BB">
        <w:rPr>
          <w:rFonts w:eastAsia="等线" w:cs="Arial"/>
          <w:color w:val="FF0000"/>
        </w:rPr>
        <w:t xml:space="preserve">an </w:t>
      </w:r>
      <w:r w:rsidRPr="00BB75BB">
        <w:rPr>
          <w:rFonts w:eastAsia="等线" w:cs="Arial"/>
          <w:color w:val="FF0000"/>
        </w:rPr>
        <w:t>E</w:t>
      </w:r>
      <w:r w:rsidR="00120BCB" w:rsidRPr="00BB75BB">
        <w:rPr>
          <w:rFonts w:eastAsia="等线" w:cs="Arial"/>
          <w:color w:val="FF0000"/>
        </w:rPr>
        <w:t xml:space="preserve">xtended </w:t>
      </w:r>
      <w:r w:rsidRPr="00BB75BB">
        <w:rPr>
          <w:rFonts w:eastAsia="等线" w:cs="Arial"/>
          <w:color w:val="FF0000"/>
        </w:rPr>
        <w:t>P</w:t>
      </w:r>
      <w:r w:rsidR="00120BCB" w:rsidRPr="00BB75BB">
        <w:rPr>
          <w:rFonts w:eastAsia="等线" w:cs="Arial"/>
          <w:color w:val="FF0000"/>
        </w:rPr>
        <w:t xml:space="preserve">roducer </w:t>
      </w:r>
      <w:proofErr w:type="spellStart"/>
      <w:r w:rsidRPr="00BB75BB">
        <w:rPr>
          <w:rFonts w:eastAsia="等线" w:cs="Arial"/>
          <w:color w:val="FF0000"/>
        </w:rPr>
        <w:t>R</w:t>
      </w:r>
      <w:r w:rsidR="00120BCB" w:rsidRPr="00BB75BB">
        <w:rPr>
          <w:rFonts w:eastAsia="等线" w:cs="Arial"/>
          <w:color w:val="FF0000"/>
        </w:rPr>
        <w:t>espondibility</w:t>
      </w:r>
      <w:proofErr w:type="spellEnd"/>
      <w:r w:rsidRPr="00BB75BB">
        <w:rPr>
          <w:rFonts w:eastAsia="等线" w:cs="Arial"/>
          <w:color w:val="FF0000"/>
        </w:rPr>
        <w:t xml:space="preserve"> </w:t>
      </w:r>
      <w:r w:rsidR="00120BCB" w:rsidRPr="00BB75BB">
        <w:rPr>
          <w:rFonts w:eastAsia="等线" w:cs="Arial"/>
          <w:color w:val="FF0000"/>
        </w:rPr>
        <w:t xml:space="preserve">in order </w:t>
      </w:r>
      <w:r w:rsidRPr="00BB75BB">
        <w:rPr>
          <w:rFonts w:eastAsia="等线" w:cs="Arial"/>
          <w:color w:val="FF0000"/>
        </w:rPr>
        <w:t xml:space="preserve">to justify </w:t>
      </w:r>
      <w:r w:rsidR="00120BCB" w:rsidRPr="00BB75BB">
        <w:rPr>
          <w:rFonts w:eastAsia="等线" w:cs="Arial"/>
          <w:color w:val="FF0000"/>
        </w:rPr>
        <w:t>the involvement</w:t>
      </w:r>
      <w:r w:rsidRPr="00BB75BB">
        <w:rPr>
          <w:rFonts w:eastAsia="等线" w:cs="Arial"/>
          <w:color w:val="FF0000"/>
        </w:rPr>
        <w:t xml:space="preserve"> </w:t>
      </w:r>
      <w:r w:rsidR="00120BCB" w:rsidRPr="00BB75BB">
        <w:rPr>
          <w:rFonts w:eastAsia="等线" w:cs="Arial"/>
          <w:color w:val="FF0000"/>
        </w:rPr>
        <w:t xml:space="preserve">of </w:t>
      </w:r>
      <w:r w:rsidRPr="00BB75BB">
        <w:rPr>
          <w:rFonts w:eastAsia="等线" w:cs="Arial"/>
          <w:color w:val="FF0000"/>
        </w:rPr>
        <w:t xml:space="preserve">additional stakeholders in cost sharing </w:t>
      </w:r>
      <w:r w:rsidR="00120BCB" w:rsidRPr="00BB75BB">
        <w:rPr>
          <w:rFonts w:eastAsia="等线" w:cs="Arial"/>
          <w:color w:val="FF0000"/>
        </w:rPr>
        <w:t>schemes</w:t>
      </w:r>
      <w:r w:rsidRPr="00BB75BB">
        <w:rPr>
          <w:rFonts w:eastAsia="等线" w:cs="Arial"/>
          <w:color w:val="FF0000"/>
        </w:rPr>
        <w:t>. Then, U</w:t>
      </w:r>
      <w:r w:rsidR="00120BCB" w:rsidRPr="00BB75BB">
        <w:rPr>
          <w:rFonts w:eastAsia="等线" w:cs="Arial"/>
          <w:color w:val="FF0000"/>
        </w:rPr>
        <w:t xml:space="preserve">pstream </w:t>
      </w:r>
      <w:r w:rsidRPr="00BB75BB">
        <w:rPr>
          <w:rFonts w:eastAsia="等线" w:cs="Arial"/>
          <w:color w:val="FF0000"/>
        </w:rPr>
        <w:t>E</w:t>
      </w:r>
      <w:r w:rsidR="00120BCB" w:rsidRPr="00BB75BB">
        <w:rPr>
          <w:rFonts w:eastAsia="等线" w:cs="Arial"/>
          <w:color w:val="FF0000"/>
        </w:rPr>
        <w:t xml:space="preserve">qual </w:t>
      </w:r>
      <w:r w:rsidRPr="00BB75BB">
        <w:rPr>
          <w:rFonts w:eastAsia="等线" w:cs="Arial"/>
          <w:color w:val="FF0000"/>
        </w:rPr>
        <w:t>S</w:t>
      </w:r>
      <w:r w:rsidR="00120BCB" w:rsidRPr="00BB75BB">
        <w:rPr>
          <w:rFonts w:eastAsia="等线" w:cs="Arial"/>
          <w:color w:val="FF0000"/>
        </w:rPr>
        <w:t>haring</w:t>
      </w:r>
      <w:r w:rsidRPr="00BB75BB">
        <w:rPr>
          <w:rFonts w:eastAsia="等线" w:cs="Arial"/>
          <w:color w:val="FF0000"/>
        </w:rPr>
        <w:t xml:space="preserve"> and D</w:t>
      </w:r>
      <w:r w:rsidR="00120BCB" w:rsidRPr="00BB75BB">
        <w:rPr>
          <w:rFonts w:eastAsia="等线" w:cs="Arial"/>
          <w:color w:val="FF0000"/>
        </w:rPr>
        <w:t xml:space="preserve">ownstream Equal </w:t>
      </w:r>
      <w:r w:rsidRPr="00BB75BB">
        <w:rPr>
          <w:rFonts w:eastAsia="等线" w:cs="Arial"/>
          <w:color w:val="FF0000"/>
        </w:rPr>
        <w:t>S</w:t>
      </w:r>
      <w:r w:rsidR="00120BCB" w:rsidRPr="00BB75BB">
        <w:rPr>
          <w:rFonts w:eastAsia="等线" w:cs="Arial"/>
          <w:color w:val="FF0000"/>
        </w:rPr>
        <w:t>haring</w:t>
      </w:r>
      <w:r w:rsidRPr="00BB75BB">
        <w:rPr>
          <w:rFonts w:eastAsia="等线" w:cs="Arial"/>
          <w:color w:val="FF0000"/>
        </w:rPr>
        <w:t xml:space="preserve"> methods are used to mitigate the stakeholders’ financial burdens through sharing the UCC cost in </w:t>
      </w:r>
      <w:r w:rsidR="00120BCB" w:rsidRPr="00BB75BB">
        <w:rPr>
          <w:rFonts w:eastAsia="等线" w:cs="Arial"/>
          <w:color w:val="FF0000"/>
        </w:rPr>
        <w:t>a</w:t>
      </w:r>
      <w:r w:rsidRPr="00BB75BB">
        <w:rPr>
          <w:rFonts w:eastAsia="等线" w:cs="Arial"/>
          <w:color w:val="FF0000"/>
        </w:rPr>
        <w:t xml:space="preserve"> multi-tier supply chain.</w:t>
      </w:r>
    </w:p>
    <w:p w14:paraId="56EC36F2" w14:textId="08608D01" w:rsidR="00F35DDA" w:rsidRPr="00A96AC5" w:rsidRDefault="00F35DDA" w:rsidP="00A6684F">
      <w:pPr>
        <w:snapToGrid w:val="0"/>
        <w:spacing w:before="100" w:beforeAutospacing="1" w:after="100" w:afterAutospacing="1" w:line="360" w:lineRule="auto"/>
      </w:pPr>
      <w:r w:rsidRPr="00A96AC5">
        <w:br w:type="page"/>
      </w:r>
    </w:p>
    <w:p w14:paraId="5B041F9E" w14:textId="5842704C" w:rsidR="007273C0" w:rsidRPr="00802DC5" w:rsidRDefault="00BF1E21" w:rsidP="0092585F">
      <w:pPr>
        <w:pStyle w:val="Heading1"/>
        <w:spacing w:after="240" w:afterAutospacing="0"/>
        <w:rPr>
          <w:rFonts w:cs="Times New Roman"/>
        </w:rPr>
      </w:pPr>
      <w:bookmarkStart w:id="641" w:name="_Toc66703221"/>
      <w:r>
        <w:lastRenderedPageBreak/>
        <w:t>Investigating the cost structures of urban consolidation centres</w:t>
      </w:r>
      <w:bookmarkEnd w:id="641"/>
    </w:p>
    <w:p w14:paraId="0921EE31" w14:textId="1EBCF48A" w:rsidR="007273C0" w:rsidRPr="00A96AC5" w:rsidRDefault="007273C0" w:rsidP="00954428">
      <w:pPr>
        <w:spacing w:after="240" w:line="360" w:lineRule="auto"/>
        <w:rPr>
          <w:rFonts w:cs="Times New Roman"/>
        </w:rPr>
      </w:pPr>
      <w:r w:rsidRPr="006C301D">
        <w:rPr>
          <w:rFonts w:cs="Times New Roman"/>
        </w:rPr>
        <w:t xml:space="preserve">Financial feasibility is a serious challenge that restricts the sustainability of the UCC. This issue arises due to a lack of users </w:t>
      </w:r>
      <w:r w:rsidR="005E7F12">
        <w:rPr>
          <w:noProof/>
        </w:rPr>
        <w:t>(Browne et al., 2005, Van Rooijen and Quak, 2010, Kin et al., 2016)</w:t>
      </w:r>
      <w:r w:rsidRPr="00A96AC5">
        <w:rPr>
          <w:rFonts w:cs="Times New Roman"/>
        </w:rPr>
        <w:t xml:space="preserve">, consumers being reluctant to pay additional costs </w:t>
      </w:r>
      <w:r w:rsidR="0017529D">
        <w:rPr>
          <w:noProof/>
        </w:rPr>
        <w:t>(Allen et al., 2014)</w:t>
      </w:r>
      <w:r w:rsidRPr="00A96AC5">
        <w:rPr>
          <w:rFonts w:cs="Times New Roman"/>
          <w:noProof/>
        </w:rPr>
        <w:t>,</w:t>
      </w:r>
      <w:r w:rsidRPr="00A96AC5">
        <w:rPr>
          <w:rFonts w:cs="Times New Roman"/>
        </w:rPr>
        <w:t xml:space="preserve"> and the high operational costs for last-mile distribution </w:t>
      </w:r>
      <w:r w:rsidR="007160F4">
        <w:rPr>
          <w:noProof/>
        </w:rPr>
        <w:fldChar w:fldCharType="begin"/>
      </w:r>
      <w:r w:rsidR="00647E79">
        <w:rPr>
          <w:noProof/>
        </w:rPr>
        <w:instrText xml:space="preserve"> ADDIN EN.CITE &lt;EndNote&gt;&lt;Cite&gt;&lt;Author&gt;Janjevic&lt;/Author&gt;&lt;Year&gt;2017&lt;/Year&gt;&lt;RecNum&gt;302&lt;/RecNum&gt;&lt;DisplayText&gt;(Janjevic and Ndiaye, 2017a)&lt;/DisplayText&gt;&lt;record&gt;&lt;rec-number&gt;302&lt;/rec-number&gt;&lt;foreign-keys&gt;&lt;key app="EN" db-id="pzt5ep52hsedfpeext2pdfes0w0aswaewef2" timestamp="1605187999"&gt;302&lt;/key&gt;&lt;/foreign-keys&gt;&lt;ref-type name="Journal Article"&gt;17&lt;/ref-type&gt;&lt;contributors&gt;&lt;authors&gt;&lt;author&gt;Janjevic, Milena&lt;/author&gt;&lt;author&gt;Ndiaye, Alassane&lt;/author&gt;&lt;/authors&gt;&lt;/contributors&gt;&lt;titles&gt;&lt;title&gt;Investigating the financial viability of urban consolidation centre projects&lt;/title&gt;&lt;secondary-title&gt;Research in Transportation Business &amp;amp; Management&lt;/secondary-title&gt;&lt;/titles&gt;&lt;periodical&gt;&lt;full-title&gt;Research in Transportation Business &amp;amp; Management&lt;/full-title&gt;&lt;/periodical&gt;&lt;pages&gt;101-113&lt;/pages&gt;&lt;volume&gt;24&lt;/volume&gt;&lt;keywords&gt;&lt;keyword&gt;Urban freight transport&lt;/keyword&gt;&lt;keyword&gt;City logistics&lt;/keyword&gt;&lt;keyword&gt;Urban consolidation centres&lt;/keyword&gt;&lt;/keywords&gt;&lt;dates&gt;&lt;year&gt;2017&lt;/year&gt;&lt;pub-dates&gt;&lt;date&gt;2017/09/01/&lt;/date&gt;&lt;/pub-dates&gt;&lt;/dates&gt;&lt;isbn&gt;2210-5395&lt;/isbn&gt;&lt;urls&gt;&lt;related-urls&gt;&lt;url&gt;http://www.sciencedirect.com/science/article/pii/S2210539516301018&lt;/url&gt;&lt;url&gt;https://ac.els-cdn.com/S2210539516301018/1-s2.0-S2210539516301018-main.pdf?_tid=153e5fe5-76b1-442f-bfbb-110d091fb4e9&amp;amp;acdnat=1538739322_698b10aeae226156244c93b8bf5ae4f4&lt;/url&gt;&lt;/related-urls&gt;&lt;/urls&gt;&lt;electronic-resource-num&gt;https://doi.org/10.1016/j.rtbm.2017.05.001&lt;/electronic-resource-num&gt;&lt;/record&gt;&lt;/Cite&gt;&lt;/EndNote&gt;</w:instrText>
      </w:r>
      <w:r w:rsidR="007160F4">
        <w:rPr>
          <w:noProof/>
        </w:rPr>
        <w:fldChar w:fldCharType="separate"/>
      </w:r>
      <w:r w:rsidR="00EA5CEB">
        <w:rPr>
          <w:noProof/>
        </w:rPr>
        <w:t>(Janjevic and Ndiaye, 2017a)</w:t>
      </w:r>
      <w:r w:rsidR="007160F4">
        <w:rPr>
          <w:noProof/>
        </w:rPr>
        <w:fldChar w:fldCharType="end"/>
      </w:r>
      <w:r w:rsidRPr="00A96AC5">
        <w:rPr>
          <w:rFonts w:cs="Times New Roman"/>
        </w:rPr>
        <w:t xml:space="preserve">. Thus, decision-makers need to understand the cost structure of a UCC project. </w:t>
      </w:r>
    </w:p>
    <w:p w14:paraId="75BB908F" w14:textId="614F0811" w:rsidR="007273C0" w:rsidRPr="00A96AC5" w:rsidRDefault="007160F4" w:rsidP="00954428">
      <w:pPr>
        <w:spacing w:after="240" w:line="360" w:lineRule="auto"/>
        <w:rPr>
          <w:rFonts w:cs="Times New Roman"/>
        </w:rPr>
      </w:pPr>
      <w:r>
        <w:rPr>
          <w:noProof/>
        </w:rPr>
        <w:fldChar w:fldCharType="begin"/>
      </w:r>
      <w:r w:rsidR="00647E79">
        <w:rPr>
          <w:noProof/>
        </w:rPr>
        <w:instrText xml:space="preserve"> ADDIN EN.CITE &lt;EndNote&gt;&lt;Cite AuthorYear="1"&gt;&lt;Author&gt;Faure&lt;/Author&gt;&lt;Year&gt;2016&lt;/Year&gt;&lt;RecNum&gt;242&lt;/RecNum&gt;&lt;DisplayText&gt;Faure et al. (2016)&lt;/DisplayText&gt;&lt;record&gt;&lt;rec-number&gt;242&lt;/rec-number&gt;&lt;foreign-keys&gt;&lt;key app="EN" db-id="pzt5ep52hsedfpeext2pdfes0w0aswaewef2" timestamp="1605187997"&gt;242&lt;/key&gt;&lt;/foreign-keys&gt;&lt;ref-type name="Journal Article"&gt;17&lt;/ref-type&gt;&lt;contributors&gt;&lt;authors&gt;&lt;author&gt;Faure, Lucile&lt;/author&gt;&lt;author&gt;Burlat, Patrick&lt;/author&gt;&lt;author&gt;Marquès, Guillaume&lt;/author&gt;&lt;/authors&gt;&lt;/contributors&gt;&lt;titles&gt;&lt;title&gt;Evaluate the Viability of Urban Consolidation Centre with Regards to Urban Morphology&lt;/title&gt;&lt;secondary-title&gt;Transportation Research Procedia&lt;/secondary-title&gt;&lt;/titles&gt;&lt;periodical&gt;&lt;full-title&gt;Transportation Research Procedia&lt;/full-title&gt;&lt;/periodical&gt;&lt;pages&gt;348-356&lt;/pages&gt;&lt;volume&gt;12&lt;/volume&gt;&lt;keywords&gt;&lt;keyword&gt;Urban Consolidation Centre&lt;/keyword&gt;&lt;keyword&gt;Profitability&lt;/keyword&gt;&lt;keyword&gt;City Logistics&lt;/keyword&gt;&lt;keyword&gt;Economic Assessment&lt;/keyword&gt;&lt;/keywords&gt;&lt;dates&gt;&lt;year&gt;2016&lt;/year&gt;&lt;pub-dates&gt;&lt;date&gt;2016/01/01/&lt;/date&gt;&lt;/pub-dates&gt;&lt;/dates&gt;&lt;isbn&gt;2352-1465&lt;/isbn&gt;&lt;urls&gt;&lt;related-urls&gt;&lt;url&gt;http://www.sciencedirect.com/science/article/pii/S2352146516000727&lt;/url&gt;&lt;/related-urls&gt;&lt;/urls&gt;&lt;electronic-resource-num&gt;https://doi.org/10.1016/j.trpro.2016.02.071&lt;/electronic-resource-num&gt;&lt;/record&gt;&lt;/Cite&gt;&lt;/EndNote&gt;</w:instrText>
      </w:r>
      <w:r>
        <w:rPr>
          <w:noProof/>
        </w:rPr>
        <w:fldChar w:fldCharType="separate"/>
      </w:r>
      <w:r>
        <w:rPr>
          <w:noProof/>
        </w:rPr>
        <w:t>Faure et al. (2016)</w:t>
      </w:r>
      <w:r>
        <w:rPr>
          <w:noProof/>
        </w:rPr>
        <w:fldChar w:fldCharType="end"/>
      </w:r>
      <w:r w:rsidR="007273C0" w:rsidRPr="00A96AC5">
        <w:rPr>
          <w:rFonts w:cs="Times New Roman"/>
        </w:rPr>
        <w:t xml:space="preserve"> sort the</w:t>
      </w:r>
      <w:r w:rsidR="007273C0" w:rsidRPr="00A96AC5">
        <w:rPr>
          <w:rFonts w:cs="Times New Roman"/>
          <w:color w:val="0D0D0D" w:themeColor="text1" w:themeTint="F2"/>
        </w:rPr>
        <w:t xml:space="preserve"> UCC’s cost by fixed cost and variable cost according to the definition of classical cost structures. The entire cost of a UCC can be calculated as follows: </w:t>
      </w:r>
    </w:p>
    <w:p w14:paraId="37A5B815" w14:textId="5DE1C345" w:rsidR="007273C0" w:rsidRPr="008903D1" w:rsidRDefault="007273C0" w:rsidP="0092585F">
      <w:pPr>
        <w:pStyle w:val="MTDisplayEquation"/>
        <w:snapToGrid w:val="0"/>
        <w:spacing w:after="240" w:line="360" w:lineRule="auto"/>
        <w:rPr>
          <w:lang w:val="en-GB"/>
        </w:rPr>
      </w:pPr>
      <w:r w:rsidRPr="008903D1">
        <w:rPr>
          <w:lang w:val="en-GB"/>
        </w:rPr>
        <w:tab/>
      </w:r>
      <w:r w:rsidR="006B2CFD">
        <w:rPr>
          <w:noProof/>
          <w:position w:val="-10"/>
          <w:lang w:val="en-GB" w:eastAsia="en-GB"/>
        </w:rPr>
        <w:drawing>
          <wp:inline distT="0" distB="0" distL="0" distR="0" wp14:anchorId="550550CE" wp14:editId="1830A1D4">
            <wp:extent cx="2937510" cy="194310"/>
            <wp:effectExtent l="0" t="0" r="0" b="0"/>
            <wp:docPr id="10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37510" cy="194310"/>
                    </a:xfrm>
                    <a:prstGeom prst="rect">
                      <a:avLst/>
                    </a:prstGeom>
                    <a:noFill/>
                    <a:ln>
                      <a:noFill/>
                    </a:ln>
                  </pic:spPr>
                </pic:pic>
              </a:graphicData>
            </a:graphic>
          </wp:inline>
        </w:drawing>
      </w:r>
      <w:r w:rsidRPr="008903D1">
        <w:rPr>
          <w:lang w:val="en-GB"/>
        </w:rPr>
        <w:t xml:space="preserve"> </w:t>
      </w:r>
      <w:r w:rsidRPr="008903D1">
        <w:rPr>
          <w:lang w:val="en-GB"/>
        </w:rPr>
        <w:tab/>
      </w:r>
      <w:r w:rsidRPr="00A96AC5">
        <w:rPr>
          <w:lang w:val="en-GB"/>
        </w:rPr>
        <w:fldChar w:fldCharType="begin"/>
      </w:r>
      <w:r w:rsidRPr="008903D1">
        <w:rPr>
          <w:lang w:val="en-GB"/>
        </w:rPr>
        <w:instrText xml:space="preserve"> MACROBUTTON MTPlaceRef \* MERGEFORMAT </w:instrText>
      </w:r>
      <w:r w:rsidRPr="00A96AC5">
        <w:rPr>
          <w:lang w:val="en-GB"/>
        </w:rPr>
        <w:fldChar w:fldCharType="begin"/>
      </w:r>
      <w:r w:rsidRPr="008903D1">
        <w:rPr>
          <w:lang w:val="en-GB"/>
        </w:rPr>
        <w:instrText xml:space="preserve"> SEQ MTEqn \h \* MERGEFORMAT </w:instrText>
      </w:r>
      <w:r w:rsidRPr="00A96AC5">
        <w:rPr>
          <w:lang w:val="en-GB"/>
        </w:rPr>
        <w:fldChar w:fldCharType="end"/>
      </w:r>
      <w:r w:rsidRPr="008903D1">
        <w:rPr>
          <w:lang w:val="en-GB"/>
        </w:rPr>
        <w:instrText>(</w:instrText>
      </w:r>
      <w:r w:rsidRPr="00802DC5">
        <w:rPr>
          <w:lang w:val="en-GB"/>
        </w:rPr>
        <w:fldChar w:fldCharType="begin"/>
      </w:r>
      <w:r w:rsidRPr="008903D1">
        <w:rPr>
          <w:lang w:val="en-GB"/>
        </w:rPr>
        <w:instrText xml:space="preserve"> SEQ MTEqn \c \* Arabic \* MERGEFORMAT </w:instrText>
      </w:r>
      <w:r w:rsidRPr="00802DC5">
        <w:rPr>
          <w:lang w:val="en-GB"/>
        </w:rPr>
        <w:fldChar w:fldCharType="separate"/>
      </w:r>
      <w:r w:rsidR="0005064B">
        <w:rPr>
          <w:noProof/>
          <w:lang w:val="en-GB"/>
        </w:rPr>
        <w:instrText>1</w:instrText>
      </w:r>
      <w:r w:rsidRPr="00802DC5">
        <w:rPr>
          <w:noProof/>
          <w:lang w:val="en-GB"/>
        </w:rPr>
        <w:fldChar w:fldCharType="end"/>
      </w:r>
      <w:r w:rsidRPr="008903D1">
        <w:rPr>
          <w:lang w:val="en-GB"/>
        </w:rPr>
        <w:instrText>)</w:instrText>
      </w:r>
      <w:r w:rsidRPr="00A96AC5">
        <w:rPr>
          <w:lang w:val="en-GB"/>
        </w:rPr>
        <w:fldChar w:fldCharType="end"/>
      </w:r>
    </w:p>
    <w:p w14:paraId="2230E318" w14:textId="21F9F12C" w:rsidR="007273C0" w:rsidRPr="000C40B0" w:rsidRDefault="007273C0" w:rsidP="00954428">
      <w:pPr>
        <w:spacing w:after="240" w:line="360" w:lineRule="auto"/>
        <w:rPr>
          <w:rFonts w:cs="Times New Roman"/>
          <w:szCs w:val="24"/>
        </w:rPr>
      </w:pPr>
      <w:r w:rsidRPr="00802DC5">
        <w:rPr>
          <w:rFonts w:cs="Times New Roman"/>
          <w:color w:val="0D0D0D" w:themeColor="text1" w:themeTint="F2"/>
        </w:rPr>
        <w:t>According to this definition, the fixed cost of a facility is the cost needed to establish it and keep it functioning. Fixed cost is rela</w:t>
      </w:r>
      <w:r w:rsidRPr="006C301D">
        <w:rPr>
          <w:rFonts w:cs="Times New Roman"/>
          <w:color w:val="0D0D0D" w:themeColor="text1" w:themeTint="F2"/>
        </w:rPr>
        <w:t xml:space="preserve">ted to elements such as vehicle purchase, facility rental, and human resources. It does not vary with changes in the volume of goods handled </w:t>
      </w:r>
      <w:r w:rsidRPr="00A96AC5">
        <w:rPr>
          <w:rFonts w:cs="Times New Roman"/>
          <w:noProof/>
        </w:rPr>
        <w:t>(Faure et al., 2016)</w:t>
      </w:r>
      <w:r w:rsidRPr="00A96AC5">
        <w:rPr>
          <w:rFonts w:cs="Times New Roman"/>
          <w:color w:val="0D0D0D" w:themeColor="text1" w:themeTint="F2"/>
        </w:rPr>
        <w:t xml:space="preserve">. </w:t>
      </w:r>
      <w:r w:rsidRPr="00A96AC5">
        <w:rPr>
          <w:rFonts w:cs="Times New Roman"/>
          <w:color w:val="0D0D0D" w:themeColor="text1" w:themeTint="F2"/>
          <w:shd w:val="clear" w:color="auto" w:fill="FFFFFF"/>
        </w:rPr>
        <w:t xml:space="preserve">The variable cost represents the expenditure that changes proportional to the amount of goods handled by the facility. </w:t>
      </w:r>
      <w:r w:rsidRPr="00A96AC5">
        <w:rPr>
          <w:rFonts w:cs="Times New Roman"/>
          <w:noProof/>
        </w:rPr>
        <w:t>Faure et al. (2016)</w:t>
      </w:r>
      <w:r w:rsidRPr="00A96AC5">
        <w:rPr>
          <w:rFonts w:cs="Times New Roman"/>
        </w:rPr>
        <w:t xml:space="preserve"> only consider the variable costs related to working </w:t>
      </w:r>
      <w:r w:rsidRPr="000C40B0">
        <w:rPr>
          <w:rFonts w:cs="Times New Roman"/>
          <w:szCs w:val="24"/>
        </w:rPr>
        <w:t>days and travel distance (also related to fuel utilisation). In addition to Faure</w:t>
      </w:r>
      <w:r w:rsidR="00872EB4" w:rsidRPr="000C40B0">
        <w:rPr>
          <w:rFonts w:cs="Times New Roman"/>
          <w:szCs w:val="24"/>
        </w:rPr>
        <w:t xml:space="preserve"> </w:t>
      </w:r>
      <w:r w:rsidR="00872EB4" w:rsidRPr="000C40B0">
        <w:rPr>
          <w:rFonts w:cs="Times New Roman"/>
          <w:szCs w:val="24"/>
          <w:lang w:val="en-US"/>
        </w:rPr>
        <w:t>(2016)</w:t>
      </w:r>
      <w:r w:rsidRPr="000C40B0">
        <w:rPr>
          <w:rFonts w:cs="Times New Roman"/>
          <w:szCs w:val="24"/>
        </w:rPr>
        <w:t>’s research, A number of other studies have also categorised the cost of UCC from different perspectives</w:t>
      </w:r>
      <w:r w:rsidR="00BB562B" w:rsidRPr="000C40B0">
        <w:rPr>
          <w:rFonts w:cs="Times New Roman"/>
          <w:szCs w:val="24"/>
        </w:rPr>
        <w:t xml:space="preserve">. One </w:t>
      </w:r>
      <w:r w:rsidR="00652ED3" w:rsidRPr="000C40B0">
        <w:rPr>
          <w:rFonts w:cs="Times New Roman"/>
          <w:szCs w:val="24"/>
        </w:rPr>
        <w:t xml:space="preserve">classic </w:t>
      </w:r>
      <w:r w:rsidR="00BB562B" w:rsidRPr="000C40B0">
        <w:rPr>
          <w:rFonts w:cs="Times New Roman"/>
          <w:szCs w:val="24"/>
        </w:rPr>
        <w:t>classification is</w:t>
      </w:r>
      <w:r w:rsidR="00F83238" w:rsidRPr="000C40B0">
        <w:rPr>
          <w:rFonts w:cs="Times New Roman"/>
          <w:szCs w:val="24"/>
        </w:rPr>
        <w:t xml:space="preserve"> according to the types of payment. </w:t>
      </w:r>
      <w:r w:rsidR="00950CDC" w:rsidRPr="000C40B0">
        <w:rPr>
          <w:rFonts w:cs="Times New Roman"/>
          <w:szCs w:val="24"/>
        </w:rPr>
        <w:t xml:space="preserve">For </w:t>
      </w:r>
      <w:r w:rsidR="000C40B0">
        <w:rPr>
          <w:rFonts w:cs="Times New Roman"/>
          <w:szCs w:val="24"/>
        </w:rPr>
        <w:t>instance</w:t>
      </w:r>
      <w:r w:rsidR="004F37F4" w:rsidRPr="000C40B0">
        <w:rPr>
          <w:rFonts w:cs="Times New Roman"/>
          <w:szCs w:val="24"/>
        </w:rPr>
        <w:t xml:space="preserve">, </w:t>
      </w:r>
      <w:r w:rsidR="00BF2168">
        <w:rPr>
          <w:noProof/>
        </w:rPr>
        <w:t>Duin et al. (2016)</w:t>
      </w:r>
      <w:r w:rsidR="00BF2168">
        <w:t xml:space="preserve"> </w:t>
      </w:r>
      <w:r w:rsidR="000C40B0">
        <w:rPr>
          <w:rFonts w:cs="Times New Roman"/>
          <w:szCs w:val="24"/>
        </w:rPr>
        <w:t xml:space="preserve">and </w:t>
      </w:r>
      <w:r w:rsidR="009F60B2">
        <w:rPr>
          <w:noProof/>
        </w:rPr>
        <w:t>Janjevic and Ndiaye (2017a)</w:t>
      </w:r>
      <w:r w:rsidR="000C40B0">
        <w:rPr>
          <w:rFonts w:cs="Times New Roman"/>
          <w:szCs w:val="24"/>
        </w:rPr>
        <w:t xml:space="preserve"> divided the UCC cost into vehicle cost, equipment cost, infrastructure cost, human resource cost and overhead cost (</w:t>
      </w:r>
      <w:r w:rsidR="000C40B0">
        <w:rPr>
          <w:rFonts w:cs="Times New Roman"/>
          <w:szCs w:val="24"/>
        </w:rPr>
        <w:fldChar w:fldCharType="begin"/>
      </w:r>
      <w:r w:rsidR="000C40B0">
        <w:rPr>
          <w:rFonts w:cs="Times New Roman"/>
          <w:szCs w:val="24"/>
        </w:rPr>
        <w:instrText xml:space="preserve"> REF _Ref44955008 \h </w:instrText>
      </w:r>
      <w:r w:rsidR="000C40B0">
        <w:rPr>
          <w:rFonts w:cs="Times New Roman"/>
          <w:szCs w:val="24"/>
        </w:rPr>
      </w:r>
      <w:r w:rsidR="000C40B0">
        <w:rPr>
          <w:rFonts w:cs="Times New Roman"/>
          <w:szCs w:val="24"/>
        </w:rPr>
        <w:fldChar w:fldCharType="separate"/>
      </w:r>
      <w:r w:rsidR="0005064B">
        <w:t xml:space="preserve">Figure </w:t>
      </w:r>
      <w:r w:rsidR="0005064B">
        <w:rPr>
          <w:noProof/>
        </w:rPr>
        <w:t>4</w:t>
      </w:r>
      <w:r w:rsidR="0005064B">
        <w:noBreakHyphen/>
      </w:r>
      <w:r w:rsidR="0005064B">
        <w:rPr>
          <w:noProof/>
        </w:rPr>
        <w:t>1</w:t>
      </w:r>
      <w:r w:rsidR="000C40B0">
        <w:rPr>
          <w:rFonts w:cs="Times New Roman"/>
          <w:szCs w:val="24"/>
        </w:rPr>
        <w:fldChar w:fldCharType="end"/>
      </w:r>
      <w:r w:rsidR="000C40B0">
        <w:rPr>
          <w:rFonts w:cs="Times New Roman"/>
          <w:szCs w:val="24"/>
        </w:rPr>
        <w:t>).</w:t>
      </w:r>
      <w:r w:rsidR="00F83238" w:rsidRPr="000C40B0">
        <w:rPr>
          <w:rFonts w:cs="Times New Roman"/>
          <w:szCs w:val="24"/>
        </w:rPr>
        <w:t xml:space="preserve"> </w:t>
      </w:r>
      <w:r w:rsidR="00950CDC" w:rsidRPr="000C40B0">
        <w:rPr>
          <w:rFonts w:cs="Times New Roman"/>
          <w:szCs w:val="24"/>
        </w:rPr>
        <w:t xml:space="preserve">However, these studies do not indicate the cost of the different logistics activities in the UCC. Specifically, </w:t>
      </w:r>
      <w:proofErr w:type="spellStart"/>
      <w:r w:rsidR="00950CDC" w:rsidRPr="000C40B0">
        <w:rPr>
          <w:rFonts w:cs="Times New Roman"/>
          <w:szCs w:val="24"/>
        </w:rPr>
        <w:t>Duin</w:t>
      </w:r>
      <w:proofErr w:type="spellEnd"/>
      <w:r w:rsidR="00950CDC" w:rsidRPr="000C40B0">
        <w:rPr>
          <w:rFonts w:cs="Times New Roman"/>
          <w:szCs w:val="24"/>
        </w:rPr>
        <w:t xml:space="preserve"> et al. (2016) and </w:t>
      </w:r>
      <w:proofErr w:type="spellStart"/>
      <w:r w:rsidR="00950CDC" w:rsidRPr="000C40B0">
        <w:rPr>
          <w:rFonts w:cs="Times New Roman"/>
          <w:szCs w:val="24"/>
        </w:rPr>
        <w:t>Janjevic</w:t>
      </w:r>
      <w:proofErr w:type="spellEnd"/>
      <w:r w:rsidR="00950CDC" w:rsidRPr="000C40B0">
        <w:rPr>
          <w:rFonts w:cs="Times New Roman"/>
          <w:szCs w:val="24"/>
        </w:rPr>
        <w:t xml:space="preserve"> and Ndiaye (2017</w:t>
      </w:r>
      <w:r w:rsidR="009F60B2">
        <w:rPr>
          <w:rFonts w:cs="Times New Roman"/>
          <w:szCs w:val="24"/>
        </w:rPr>
        <w:t>a</w:t>
      </w:r>
      <w:r w:rsidR="00950CDC" w:rsidRPr="000C40B0">
        <w:rPr>
          <w:rFonts w:cs="Times New Roman"/>
          <w:szCs w:val="24"/>
        </w:rPr>
        <w:t>) do not demonstrate the categories of cost generated in last-mile delivery.</w:t>
      </w:r>
      <w:r w:rsidR="004F37F4" w:rsidRPr="000C40B0">
        <w:rPr>
          <w:rFonts w:cs="Times New Roman"/>
          <w:szCs w:val="24"/>
        </w:rPr>
        <w:t xml:space="preserve"> Another types of </w:t>
      </w:r>
      <w:r w:rsidR="00C41E95" w:rsidRPr="000C40B0">
        <w:rPr>
          <w:rFonts w:cs="Times New Roman"/>
          <w:szCs w:val="24"/>
        </w:rPr>
        <w:t>cost classification is according to</w:t>
      </w:r>
      <w:r w:rsidR="00F4592C" w:rsidRPr="000C40B0">
        <w:rPr>
          <w:rFonts w:cs="Times New Roman"/>
          <w:szCs w:val="24"/>
        </w:rPr>
        <w:t xml:space="preserve"> the physical goods movement process, in terms of </w:t>
      </w:r>
      <w:r w:rsidR="00C41E95" w:rsidRPr="000C40B0">
        <w:rPr>
          <w:rFonts w:cs="Times New Roman"/>
          <w:szCs w:val="24"/>
        </w:rPr>
        <w:t xml:space="preserve">the cost related/unrelated to the </w:t>
      </w:r>
      <w:r w:rsidR="005B4D21" w:rsidRPr="000C40B0">
        <w:rPr>
          <w:rFonts w:cs="Times New Roman"/>
          <w:szCs w:val="24"/>
        </w:rPr>
        <w:t xml:space="preserve">shipment </w:t>
      </w:r>
      <w:r w:rsidR="00F4592C" w:rsidRPr="000C40B0">
        <w:rPr>
          <w:rFonts w:cs="Times New Roman"/>
          <w:szCs w:val="24"/>
        </w:rPr>
        <w:t>s</w:t>
      </w:r>
      <w:r w:rsidR="005B4D21" w:rsidRPr="000C40B0">
        <w:rPr>
          <w:rFonts w:cs="Times New Roman"/>
          <w:szCs w:val="24"/>
        </w:rPr>
        <w:t xml:space="preserve">uch as </w:t>
      </w:r>
      <w:r w:rsidR="00FA6E8A" w:rsidRPr="00286F18">
        <w:rPr>
          <w:rFonts w:cs="Times New Roman"/>
          <w:szCs w:val="24"/>
        </w:rPr>
        <w:t>Lin et al. (2016)</w:t>
      </w:r>
      <w:r w:rsidR="00BC2893">
        <w:rPr>
          <w:rFonts w:cs="Times New Roman" w:hint="eastAsia"/>
          <w:szCs w:val="24"/>
        </w:rPr>
        <w:t>,</w:t>
      </w:r>
      <w:r w:rsidR="00950CDC" w:rsidRPr="00286F18">
        <w:rPr>
          <w:rFonts w:cs="Times New Roman"/>
          <w:szCs w:val="24"/>
        </w:rPr>
        <w:t xml:space="preserve"> </w:t>
      </w:r>
      <w:r w:rsidR="003B22AC">
        <w:rPr>
          <w:rFonts w:cs="Times New Roman"/>
          <w:szCs w:val="24"/>
        </w:rPr>
        <w:fldChar w:fldCharType="begin"/>
      </w:r>
      <w:r w:rsidR="000756A1">
        <w:rPr>
          <w:rFonts w:cs="Times New Roman"/>
          <w:szCs w:val="24"/>
        </w:rPr>
        <w:instrText xml:space="preserve"> ADDIN EN.CITE &lt;EndNote&gt;&lt;Cite AuthorYear="1"&gt;&lt;Author&gt;van Heeswijk&lt;/Author&gt;&lt;Year&gt;2019&lt;/Year&gt;&lt;RecNum&gt;119&lt;/RecNum&gt;&lt;DisplayText&gt;van Heeswijk et al. (2019)&lt;/DisplayText&gt;&lt;record&gt;&lt;rec-number&gt;119&lt;/rec-number&gt;&lt;foreign-keys&gt;&lt;key app="EN" db-id="x5etaz5aiszvz0edasvvpwvotttxepvd25t2" timestamp="1605186233"&gt;119&lt;/key&gt;&lt;/foreign-keys&gt;&lt;ref-type name="Journal Article"&gt;17&lt;/ref-type&gt;&lt;contributors&gt;&lt;authors&gt;&lt;author&gt;van Heeswijk, Wouter&lt;/author&gt;&lt;author&gt;Larsen, Rune&lt;/author&gt;&lt;author&gt;Larsen, Allan&lt;/author&gt;&lt;/authors&gt;&lt;/contributors&gt;&lt;titles&gt;&lt;title&gt;An urban consolidation center in the city of Copenhagen: A simulation study&lt;/title&gt;&lt;secondary-title&gt;International Journal of Sustainable Transportation&lt;/secondary-title&gt;&lt;/titles&gt;&lt;periodical&gt;&lt;full-title&gt;International Journal of Sustainable Transportation&lt;/full-title&gt;&lt;abbr-1&gt;Intl. J. Sustainable Transp.&lt;/abbr-1&gt;&lt;/periodical&gt;&lt;pages&gt;675-691&lt;/pages&gt;&lt;volume&gt;13&lt;/volume&gt;&lt;number&gt;9&lt;/number&gt;&lt;dates&gt;&lt;year&gt;2019&lt;/year&gt;&lt;pub-dates&gt;&lt;date&gt;2019/10/21&lt;/date&gt;&lt;/pub-dates&gt;&lt;/dates&gt;&lt;publisher&gt;Taylor &amp;amp; Francis&lt;/publisher&gt;&lt;isbn&gt;1556-8318&lt;/isbn&gt;&lt;urls&gt;&lt;related-urls&gt;&lt;url&gt;https://doi.org/10.1080/15568318.2018.1503380&lt;/url&gt;&lt;/related-urls&gt;&lt;/urls&gt;&lt;electronic-resource-num&gt;10.1080/15568318.2018.1503380&lt;/electronic-resource-num&gt;&lt;/record&gt;&lt;/Cite&gt;&lt;/EndNote&gt;</w:instrText>
      </w:r>
      <w:r w:rsidR="003B22AC">
        <w:rPr>
          <w:rFonts w:cs="Times New Roman"/>
          <w:szCs w:val="24"/>
        </w:rPr>
        <w:fldChar w:fldCharType="separate"/>
      </w:r>
      <w:r w:rsidR="000756A1">
        <w:rPr>
          <w:rFonts w:cs="Times New Roman"/>
          <w:noProof/>
          <w:szCs w:val="24"/>
        </w:rPr>
        <w:t>van Heeswijk et al. (2019)</w:t>
      </w:r>
      <w:r w:rsidR="003B22AC">
        <w:rPr>
          <w:rFonts w:cs="Times New Roman"/>
          <w:szCs w:val="24"/>
        </w:rPr>
        <w:fldChar w:fldCharType="end"/>
      </w:r>
      <w:r w:rsidR="007C1492">
        <w:rPr>
          <w:rFonts w:cs="Times New Roman"/>
          <w:szCs w:val="24"/>
        </w:rPr>
        <w:t xml:space="preserve"> </w:t>
      </w:r>
      <w:r w:rsidR="000C40B0" w:rsidRPr="00286F18">
        <w:rPr>
          <w:rFonts w:cs="Times New Roman"/>
          <w:szCs w:val="24"/>
        </w:rPr>
        <w:t>(</w:t>
      </w:r>
      <w:r w:rsidR="000C40B0" w:rsidRPr="00286F18">
        <w:rPr>
          <w:rFonts w:cs="Times New Roman"/>
          <w:szCs w:val="24"/>
        </w:rPr>
        <w:fldChar w:fldCharType="begin"/>
      </w:r>
      <w:r w:rsidR="000C40B0" w:rsidRPr="00286F18">
        <w:rPr>
          <w:rFonts w:cs="Times New Roman"/>
          <w:szCs w:val="24"/>
        </w:rPr>
        <w:instrText xml:space="preserve"> REF _Ref44955035 \h </w:instrText>
      </w:r>
      <w:r w:rsidR="00286F18">
        <w:rPr>
          <w:rFonts w:cs="Times New Roman"/>
          <w:szCs w:val="24"/>
        </w:rPr>
        <w:instrText xml:space="preserve"> \* MERGEFORMAT </w:instrText>
      </w:r>
      <w:r w:rsidR="000C40B0" w:rsidRPr="00286F18">
        <w:rPr>
          <w:rFonts w:cs="Times New Roman"/>
          <w:szCs w:val="24"/>
        </w:rPr>
      </w:r>
      <w:r w:rsidR="000C40B0" w:rsidRPr="00286F18">
        <w:rPr>
          <w:rFonts w:cs="Times New Roman"/>
          <w:szCs w:val="24"/>
        </w:rPr>
        <w:fldChar w:fldCharType="separate"/>
      </w:r>
      <w:r w:rsidR="0005064B" w:rsidRPr="0005064B">
        <w:rPr>
          <w:rFonts w:cs="Times New Roman"/>
          <w:szCs w:val="24"/>
        </w:rPr>
        <w:t>Figure 4</w:t>
      </w:r>
      <w:r w:rsidR="0005064B" w:rsidRPr="0005064B">
        <w:rPr>
          <w:rFonts w:cs="Times New Roman"/>
          <w:szCs w:val="24"/>
        </w:rPr>
        <w:noBreakHyphen/>
        <w:t>2</w:t>
      </w:r>
      <w:r w:rsidR="000C40B0" w:rsidRPr="00286F18">
        <w:rPr>
          <w:rFonts w:cs="Times New Roman"/>
          <w:szCs w:val="24"/>
        </w:rPr>
        <w:fldChar w:fldCharType="end"/>
      </w:r>
      <w:r w:rsidR="000C40B0" w:rsidRPr="00286F18">
        <w:rPr>
          <w:rFonts w:cs="Times New Roman"/>
          <w:szCs w:val="24"/>
        </w:rPr>
        <w:t>).</w:t>
      </w:r>
      <w:r w:rsidR="005B4D21" w:rsidRPr="00286F18">
        <w:rPr>
          <w:rFonts w:cs="Times New Roman"/>
          <w:szCs w:val="24"/>
        </w:rPr>
        <w:t xml:space="preserve"> </w:t>
      </w:r>
      <w:r w:rsidR="005B4D21" w:rsidRPr="000C40B0">
        <w:rPr>
          <w:rFonts w:cs="Times New Roman"/>
          <w:szCs w:val="24"/>
        </w:rPr>
        <w:t xml:space="preserve">A more comprehensive cost structure is provided by Lin et al. (2016), illustrating the costs generated by each delivery activity in a two-echelon delivery network. The deficiency of this study, however, is that the properties of each category of cost are not well demonstrated. For example, </w:t>
      </w:r>
      <w:r w:rsidR="007160F4">
        <w:rPr>
          <w:rFonts w:cs="Times New Roman"/>
          <w:szCs w:val="24"/>
        </w:rPr>
        <w:fldChar w:fldCharType="begin"/>
      </w:r>
      <w:r w:rsidR="00647E79">
        <w:rPr>
          <w:rFonts w:cs="Times New Roman"/>
          <w:szCs w:val="24"/>
        </w:rPr>
        <w:instrText xml:space="preserve"> ADDIN EN.CITE &lt;EndNote&gt;&lt;Cite AuthorYear="1"&gt;&lt;Author&gt;Lin&lt;/Author&gt;&lt;Year&gt;2016&lt;/Year&gt;&lt;RecNum&gt;241&lt;/RecNum&gt;&lt;DisplayText&gt;Lin et al. (2016)&lt;/DisplayText&gt;&lt;record&gt;&lt;rec-number&gt;241&lt;/rec-number&gt;&lt;foreign-keys&gt;&lt;key app="EN" db-id="pzt5ep52hsedfpeext2pdfes0w0aswaewef2" timestamp="1605187997"&gt;241&lt;/key&gt;&lt;/foreign-keys&gt;&lt;ref-type name="Journal Article"&gt;17&lt;/ref-type&gt;&lt;contributors&gt;&lt;authors&gt;&lt;author&gt;Lin, Jane&lt;/author&gt;&lt;author&gt;Chen, Qin&lt;/author&gt;&lt;author&gt;Kawamura, Kazuya&lt;/author&gt;&lt;/authors&gt;&lt;/contributors&gt;&lt;titles&gt;&lt;title&gt;Sustainability SI: Logistics Cost and Environmental Impact Analyses of Urban Delivery Consolidation Strategies&lt;/title&gt;&lt;secondary-title&gt;Networks and Spatial Economics&lt;/secondary-title&gt;&lt;/titles&gt;&lt;periodical&gt;&lt;full-title&gt;Networks and Spatial Economics&lt;/full-title&gt;&lt;abbr-1&gt;Netw. Spat. Econ.&lt;/abbr-1&gt;&lt;/periodical&gt;&lt;pages&gt;227-253&lt;/pages&gt;&lt;volume&gt;16&lt;/volume&gt;&lt;number&gt;1&lt;/number&gt;&lt;dates&gt;&lt;year&gt;2016&lt;/year&gt;&lt;pub-dates&gt;&lt;date&gt;2016/03/01&lt;/date&gt;&lt;/pub-dates&gt;&lt;/dates&gt;&lt;isbn&gt;1572-9427&lt;/isbn&gt;&lt;urls&gt;&lt;related-urls&gt;&lt;url&gt;https://doi.org/10.1007/s11067-014-9235-9&lt;/url&gt;&lt;url&gt;https://link.springer.com/content/pdf/10.1007%2Fs11067-014-9235-9.pdf&lt;/url&gt;&lt;url&gt;https://link.springer.com/article/10.1007%2Fs11067-014-9235-9&lt;/url&gt;&lt;/related-urls&gt;&lt;/urls&gt;&lt;electronic-resource-num&gt;10.1007/s11067-014-9235-9&lt;/electronic-resource-num&gt;&lt;/record&gt;&lt;/Cite&gt;&lt;/EndNote&gt;</w:instrText>
      </w:r>
      <w:r w:rsidR="007160F4">
        <w:rPr>
          <w:rFonts w:cs="Times New Roman"/>
          <w:szCs w:val="24"/>
        </w:rPr>
        <w:fldChar w:fldCharType="separate"/>
      </w:r>
      <w:r w:rsidR="007160F4">
        <w:rPr>
          <w:rFonts w:cs="Times New Roman"/>
          <w:noProof/>
          <w:szCs w:val="24"/>
        </w:rPr>
        <w:t>Lin et al. (2016)</w:t>
      </w:r>
      <w:r w:rsidR="007160F4">
        <w:rPr>
          <w:rFonts w:cs="Times New Roman"/>
          <w:szCs w:val="24"/>
        </w:rPr>
        <w:fldChar w:fldCharType="end"/>
      </w:r>
      <w:r w:rsidR="00222745" w:rsidRPr="000C40B0">
        <w:rPr>
          <w:rFonts w:cs="Times New Roman"/>
          <w:szCs w:val="24"/>
        </w:rPr>
        <w:t xml:space="preserve"> </w:t>
      </w:r>
      <w:r w:rsidR="005B4D21" w:rsidRPr="000C40B0">
        <w:rPr>
          <w:rFonts w:cs="Times New Roman"/>
          <w:szCs w:val="24"/>
        </w:rPr>
        <w:t>do not illustrate which elements constitute the transportation cost.</w:t>
      </w:r>
    </w:p>
    <w:p w14:paraId="4EB1D9CD" w14:textId="0E8B3BC7" w:rsidR="00211FE9" w:rsidRPr="000C40B0" w:rsidRDefault="00211FE9" w:rsidP="000A4E8C">
      <w:pPr>
        <w:spacing w:line="360" w:lineRule="auto"/>
        <w:rPr>
          <w:rFonts w:cs="Times New Roman"/>
          <w:szCs w:val="24"/>
        </w:rPr>
      </w:pPr>
    </w:p>
    <w:p w14:paraId="0E810D59" w14:textId="06BA97E2" w:rsidR="00211FE9" w:rsidRDefault="00AA573E" w:rsidP="000A4E8C">
      <w:pPr>
        <w:spacing w:line="360" w:lineRule="auto"/>
      </w:pPr>
      <w:r>
        <w:object w:dxaOrig="8520" w:dyaOrig="5250" w14:anchorId="0DEC3EE1">
          <v:shape id="_x0000_i1033" type="#_x0000_t75" style="width:423.85pt;height:259.6pt" o:ole="">
            <v:imagedata r:id="rId56" o:title=""/>
          </v:shape>
          <o:OLEObject Type="Embed" ProgID="Visio.Drawing.15" ShapeID="_x0000_i1033" DrawAspect="Content" ObjectID="_1681648040" r:id="rId57"/>
        </w:object>
      </w:r>
    </w:p>
    <w:p w14:paraId="2FFCD8B0" w14:textId="15B6A8B4" w:rsidR="00211FE9" w:rsidRDefault="00222745" w:rsidP="007E7986">
      <w:pPr>
        <w:pStyle w:val="Caption"/>
        <w:rPr>
          <w:rFonts w:cs="Times New Roman"/>
        </w:rPr>
      </w:pPr>
      <w:bookmarkStart w:id="642" w:name="_Ref44955008"/>
      <w:bookmarkStart w:id="643" w:name="_Toc46053679"/>
      <w:bookmarkStart w:id="644" w:name="_Toc66698710"/>
      <w:r>
        <w:t xml:space="preserve">Figure </w:t>
      </w:r>
      <w:r w:rsidR="000306D9">
        <w:fldChar w:fldCharType="begin"/>
      </w:r>
      <w:r w:rsidR="000306D9">
        <w:instrText xml:space="preserve"> STYLEREF 1 \s </w:instrText>
      </w:r>
      <w:r w:rsidR="000306D9">
        <w:fldChar w:fldCharType="separate"/>
      </w:r>
      <w:r w:rsidR="0005064B">
        <w:rPr>
          <w:noProof/>
        </w:rPr>
        <w:t>4</w:t>
      </w:r>
      <w:r w:rsidR="000306D9">
        <w:rPr>
          <w:noProof/>
        </w:rPr>
        <w:fldChar w:fldCharType="end"/>
      </w:r>
      <w:r w:rsidR="00632993">
        <w:noBreakHyphen/>
      </w:r>
      <w:r w:rsidR="000306D9">
        <w:fldChar w:fldCharType="begin"/>
      </w:r>
      <w:r w:rsidR="000306D9">
        <w:instrText xml:space="preserve"> SEQ Figure \* ARABIC \s 1 </w:instrText>
      </w:r>
      <w:r w:rsidR="000306D9">
        <w:fldChar w:fldCharType="separate"/>
      </w:r>
      <w:r w:rsidR="0005064B">
        <w:rPr>
          <w:noProof/>
        </w:rPr>
        <w:t>1</w:t>
      </w:r>
      <w:r w:rsidR="000306D9">
        <w:rPr>
          <w:noProof/>
        </w:rPr>
        <w:fldChar w:fldCharType="end"/>
      </w:r>
      <w:bookmarkEnd w:id="642"/>
      <w:r w:rsidR="00FD1FFD">
        <w:rPr>
          <w:noProof/>
        </w:rPr>
        <w:t>:</w:t>
      </w:r>
      <w:r w:rsidR="00256051">
        <w:t xml:space="preserve"> </w:t>
      </w:r>
      <w:r w:rsidR="00652ED3">
        <w:t>Classical c</w:t>
      </w:r>
      <w:r w:rsidR="00A93AEE">
        <w:t>ost categories</w:t>
      </w:r>
      <w:r w:rsidR="00525892">
        <w:t xml:space="preserve"> of UCC</w:t>
      </w:r>
      <w:bookmarkEnd w:id="643"/>
      <w:bookmarkEnd w:id="644"/>
    </w:p>
    <w:p w14:paraId="4B4B578F" w14:textId="7A66C2EE" w:rsidR="00211FE9" w:rsidRDefault="005A5DA1" w:rsidP="000A4E8C">
      <w:pPr>
        <w:spacing w:line="360" w:lineRule="auto"/>
        <w:rPr>
          <w:rFonts w:cs="Times New Roman"/>
        </w:rPr>
      </w:pPr>
      <w:r>
        <w:object w:dxaOrig="8476" w:dyaOrig="3555" w14:anchorId="3279816B">
          <v:shape id="_x0000_i1034" type="#_x0000_t75" style="width:424.65pt;height:180.25pt" o:ole="">
            <v:imagedata r:id="rId58" o:title=""/>
          </v:shape>
          <o:OLEObject Type="Embed" ProgID="Visio.Drawing.15" ShapeID="_x0000_i1034" DrawAspect="Content" ObjectID="_1681648041" r:id="rId59"/>
        </w:object>
      </w:r>
    </w:p>
    <w:p w14:paraId="4574B0AA" w14:textId="421BF968" w:rsidR="00922B67" w:rsidRDefault="00F4592C" w:rsidP="00F4592C">
      <w:pPr>
        <w:pStyle w:val="Caption"/>
        <w:rPr>
          <w:rFonts w:cs="Times New Roman"/>
        </w:rPr>
      </w:pPr>
      <w:bookmarkStart w:id="645" w:name="_Ref44955035"/>
      <w:bookmarkStart w:id="646" w:name="_Toc46053680"/>
      <w:bookmarkStart w:id="647" w:name="_Toc66698711"/>
      <w:r>
        <w:t xml:space="preserve">Figure </w:t>
      </w:r>
      <w:r w:rsidR="000306D9">
        <w:fldChar w:fldCharType="begin"/>
      </w:r>
      <w:r w:rsidR="000306D9">
        <w:instrText xml:space="preserve"> STYLEREF 1 \s </w:instrText>
      </w:r>
      <w:r w:rsidR="000306D9">
        <w:fldChar w:fldCharType="separate"/>
      </w:r>
      <w:r w:rsidR="0005064B">
        <w:rPr>
          <w:noProof/>
        </w:rPr>
        <w:t>4</w:t>
      </w:r>
      <w:r w:rsidR="000306D9">
        <w:rPr>
          <w:noProof/>
        </w:rPr>
        <w:fldChar w:fldCharType="end"/>
      </w:r>
      <w:r w:rsidR="00632993">
        <w:noBreakHyphen/>
      </w:r>
      <w:r w:rsidR="000306D9">
        <w:fldChar w:fldCharType="begin"/>
      </w:r>
      <w:r w:rsidR="000306D9">
        <w:instrText xml:space="preserve"> SEQ Figure \* ARABIC \s 1 </w:instrText>
      </w:r>
      <w:r w:rsidR="000306D9">
        <w:fldChar w:fldCharType="separate"/>
      </w:r>
      <w:r w:rsidR="0005064B">
        <w:rPr>
          <w:noProof/>
        </w:rPr>
        <w:t>2</w:t>
      </w:r>
      <w:r w:rsidR="000306D9">
        <w:rPr>
          <w:noProof/>
        </w:rPr>
        <w:fldChar w:fldCharType="end"/>
      </w:r>
      <w:bookmarkEnd w:id="645"/>
      <w:r w:rsidR="00FD1FFD">
        <w:rPr>
          <w:noProof/>
        </w:rPr>
        <w:t>:</w:t>
      </w:r>
      <w:r w:rsidR="00256051">
        <w:t xml:space="preserve"> </w:t>
      </w:r>
      <w:r w:rsidR="00652ED3">
        <w:t xml:space="preserve">Cost categories </w:t>
      </w:r>
      <w:proofErr w:type="gramStart"/>
      <w:r w:rsidR="00652ED3">
        <w:t>according</w:t>
      </w:r>
      <w:proofErr w:type="gramEnd"/>
      <w:r w:rsidR="00652ED3">
        <w:t xml:space="preserve"> the goods shipments</w:t>
      </w:r>
      <w:bookmarkEnd w:id="646"/>
      <w:bookmarkEnd w:id="647"/>
    </w:p>
    <w:p w14:paraId="3E677534" w14:textId="2EBA5F3E" w:rsidR="007273C0" w:rsidRPr="00995023" w:rsidRDefault="007160F4" w:rsidP="0092585F">
      <w:pPr>
        <w:spacing w:after="240" w:line="360" w:lineRule="auto"/>
        <w:rPr>
          <w:rFonts w:cs="Times New Roman"/>
          <w:szCs w:val="24"/>
        </w:rPr>
      </w:pPr>
      <w:r>
        <w:rPr>
          <w:rFonts w:cs="Times New Roman"/>
          <w:noProof/>
        </w:rPr>
        <w:fldChar w:fldCharType="begin"/>
      </w:r>
      <w:r w:rsidR="00647E79">
        <w:rPr>
          <w:rFonts w:cs="Times New Roman"/>
          <w:noProof/>
        </w:rPr>
        <w:instrText xml:space="preserve"> ADDIN EN.CITE &lt;EndNote&gt;&lt;Cite AuthorYear="1"&gt;&lt;Author&gt;Elbert&lt;/Author&gt;&lt;Year&gt;2018&lt;/Year&gt;&lt;RecNum&gt;303&lt;/RecNum&gt;&lt;DisplayText&gt;Elbert and Friedrich (2018)&lt;/DisplayText&gt;&lt;record&gt;&lt;rec-number&gt;303&lt;/rec-number&gt;&lt;foreign-keys&gt;&lt;key app="EN" db-id="pzt5ep52hsedfpeext2pdfes0w0aswaewef2" timestamp="1605187999"&gt;303&lt;/key&gt;&lt;/foreign-keys&gt;&lt;ref-type name="Conference Proceedings"&gt;10&lt;/ref-type&gt;&lt;contributors&gt;&lt;authors&gt;&lt;author&gt;R. Elbert&lt;/author&gt;&lt;author&gt;C. Friedrich&lt;/author&gt;&lt;/authors&gt;&lt;/contributors&gt;&lt;titles&gt;&lt;title&gt;SIMULATION-BASED EVALUATION OF URBAN CONSOLIDATION CENTERS CONSIDERING URBAN ACCESS REGULATIONS&lt;/title&gt;&lt;secondary-title&gt;2018 Winter Simulation Conference (WSC)&lt;/secondary-title&gt;&lt;alt-title&gt;2018 Winter Simulation Conference (WSC)&lt;/alt-title&gt;&lt;/titles&gt;&lt;pages&gt;2827-2838&lt;/pages&gt;&lt;keywords&gt;&lt;keyword&gt;air quality&lt;/keyword&gt;&lt;keyword&gt;costing&lt;/keyword&gt;&lt;keyword&gt;freight handling&lt;/keyword&gt;&lt;keyword&gt;legislation&lt;/keyword&gt;&lt;keyword&gt;noise pollution&lt;/keyword&gt;&lt;keyword&gt;cost-attractiveness&lt;/keyword&gt;&lt;keyword&gt;urban consolidation centers&lt;/keyword&gt;&lt;keyword&gt;urban access regulations&lt;/keyword&gt;&lt;keyword&gt;urban freight transports&lt;/keyword&gt;&lt;keyword&gt;agent-based simulation&lt;/keyword&gt;&lt;keyword&gt;air quality problems&lt;/keyword&gt;&lt;keyword&gt;road congestion&lt;/keyword&gt;&lt;keyword&gt;noise emissions&lt;/keyword&gt;&lt;keyword&gt;Frankfurt Rhine-Main area&lt;/keyword&gt;&lt;keyword&gt;traffic volume&lt;/keyword&gt;&lt;keyword&gt;Urban areas&lt;/keyword&gt;&lt;keyword&gt;Receivers&lt;/keyword&gt;&lt;keyword&gt;Logistics&lt;/keyword&gt;&lt;keyword&gt;Analytical models&lt;/keyword&gt;&lt;keyword&gt;Sociology&lt;/keyword&gt;&lt;keyword&gt;Statistics&lt;/keyword&gt;&lt;keyword&gt;Government policies&lt;/keyword&gt;&lt;/keywords&gt;&lt;dates&gt;&lt;year&gt;2018&lt;/year&gt;&lt;pub-dates&gt;&lt;date&gt;9-12 Dec. 2018&lt;/date&gt;&lt;/pub-dates&gt;&lt;/dates&gt;&lt;isbn&gt;1558-4305&lt;/isbn&gt;&lt;urls&gt;&lt;/urls&gt;&lt;electronic-resource-num&gt;10.1109/WSC.2018.8632356&lt;/electronic-resource-num&gt;&lt;/record&gt;&lt;/Cite&gt;&lt;/EndNote&gt;</w:instrText>
      </w:r>
      <w:r>
        <w:rPr>
          <w:rFonts w:cs="Times New Roman"/>
          <w:noProof/>
        </w:rPr>
        <w:fldChar w:fldCharType="separate"/>
      </w:r>
      <w:r>
        <w:rPr>
          <w:rFonts w:cs="Times New Roman"/>
          <w:noProof/>
        </w:rPr>
        <w:t>Elbert and Friedrich (2018)</w:t>
      </w:r>
      <w:r>
        <w:rPr>
          <w:rFonts w:cs="Times New Roman"/>
          <w:noProof/>
        </w:rPr>
        <w:fldChar w:fldCharType="end"/>
      </w:r>
      <w:r w:rsidR="00F42717">
        <w:rPr>
          <w:rFonts w:cs="Times New Roman"/>
        </w:rPr>
        <w:t xml:space="preserve"> </w:t>
      </w:r>
      <w:r w:rsidR="007273C0" w:rsidRPr="00A96AC5">
        <w:rPr>
          <w:rFonts w:cs="Times New Roman"/>
        </w:rPr>
        <w:t>note that the related goods movement process can be divided into time-based costs (positively correlated with working time) and distance-based cost (positive correlated</w:t>
      </w:r>
      <w:r w:rsidR="007273C0" w:rsidRPr="00A96AC5" w:rsidDel="006C7B4C">
        <w:rPr>
          <w:rFonts w:cs="Times New Roman"/>
        </w:rPr>
        <w:t xml:space="preserve"> </w:t>
      </w:r>
      <w:r w:rsidR="007273C0" w:rsidRPr="00A96AC5">
        <w:rPr>
          <w:rFonts w:cs="Times New Roman"/>
        </w:rPr>
        <w:t>with vehicle travel miles). The conceptual formulae in their study</w:t>
      </w:r>
      <w:r w:rsidR="00F42717">
        <w:rPr>
          <w:rFonts w:cs="Times New Roman"/>
        </w:rPr>
        <w:t xml:space="preserve"> </w:t>
      </w:r>
      <w:r w:rsidR="00F42717">
        <w:rPr>
          <w:rFonts w:cs="Times New Roman"/>
          <w:noProof/>
        </w:rPr>
        <w:t>(Elbert and Friedrich, 2018)</w:t>
      </w:r>
      <w:r w:rsidR="007273C0" w:rsidRPr="00A96AC5">
        <w:rPr>
          <w:rFonts w:cs="Times New Roman"/>
        </w:rPr>
        <w:t xml:space="preserve"> are also used to calculate the costs associated with each type of transport activity in the current research. Combining the results of above literature, </w:t>
      </w:r>
      <w:r w:rsidR="00830976">
        <w:rPr>
          <w:rFonts w:cs="Times New Roman"/>
        </w:rPr>
        <w:t>this chapter</w:t>
      </w:r>
      <w:r w:rsidR="007273C0" w:rsidRPr="00A96AC5">
        <w:rPr>
          <w:rFonts w:cs="Times New Roman"/>
        </w:rPr>
        <w:t xml:space="preserve"> divided the costs into categories of ‘fixed’ and ‘variable’. Using this primary structure, two sub-categories of variable cost (in-facility and on-</w:t>
      </w:r>
      <w:r w:rsidR="007273C0" w:rsidRPr="00995023">
        <w:rPr>
          <w:rFonts w:cs="Times New Roman"/>
          <w:szCs w:val="24"/>
        </w:rPr>
        <w:t>road) are configured</w:t>
      </w:r>
      <w:r w:rsidR="0027434F" w:rsidRPr="00995023">
        <w:rPr>
          <w:rFonts w:cs="Times New Roman"/>
          <w:szCs w:val="24"/>
        </w:rPr>
        <w:t xml:space="preserve"> by ourselves</w:t>
      </w:r>
      <w:r w:rsidR="007273C0" w:rsidRPr="00995023">
        <w:rPr>
          <w:rFonts w:cs="Times New Roman"/>
          <w:szCs w:val="24"/>
        </w:rPr>
        <w:t xml:space="preserve">. </w:t>
      </w:r>
      <w:r w:rsidR="0027434F" w:rsidRPr="00995023">
        <w:rPr>
          <w:rFonts w:cs="Times New Roman"/>
          <w:szCs w:val="24"/>
        </w:rPr>
        <w:t>The sub-categories of fixed cost are</w:t>
      </w:r>
      <w:r w:rsidR="0027434F" w:rsidRPr="00995023">
        <w:rPr>
          <w:szCs w:val="24"/>
        </w:rPr>
        <w:t xml:space="preserve"> taken from </w:t>
      </w:r>
      <w:r w:rsidR="001D4238">
        <w:rPr>
          <w:noProof/>
        </w:rPr>
        <w:t>Janjevic and Ndiaye (2017a)</w:t>
      </w:r>
      <w:r w:rsidR="00995023" w:rsidRPr="00995023">
        <w:rPr>
          <w:szCs w:val="24"/>
        </w:rPr>
        <w:t xml:space="preserve">. On the other hand, the </w:t>
      </w:r>
      <w:r w:rsidR="00995023" w:rsidRPr="00995023">
        <w:rPr>
          <w:szCs w:val="24"/>
        </w:rPr>
        <w:lastRenderedPageBreak/>
        <w:t xml:space="preserve">sub-categories of variable cost </w:t>
      </w:r>
      <w:r w:rsidR="000C40B0" w:rsidRPr="00995023">
        <w:rPr>
          <w:szCs w:val="24"/>
        </w:rPr>
        <w:t>are</w:t>
      </w:r>
      <w:r w:rsidR="00995023" w:rsidRPr="00995023">
        <w:rPr>
          <w:szCs w:val="24"/>
        </w:rPr>
        <w:t xml:space="preserve"> combined the research results from</w:t>
      </w:r>
      <w:r w:rsidR="001D4238">
        <w:rPr>
          <w:szCs w:val="24"/>
        </w:rPr>
        <w:t xml:space="preserve"> </w:t>
      </w:r>
      <w:r w:rsidR="001D4238" w:rsidRPr="003E798F">
        <w:rPr>
          <w:szCs w:val="24"/>
        </w:rPr>
        <w:t xml:space="preserve">Lin et al. (2016), </w:t>
      </w:r>
      <w:r w:rsidR="009F60B2" w:rsidRPr="003E798F">
        <w:rPr>
          <w:szCs w:val="24"/>
        </w:rPr>
        <w:t>Elbert and Friedrich (2018),</w:t>
      </w:r>
      <w:r w:rsidR="001D4238" w:rsidRPr="003E798F">
        <w:rPr>
          <w:szCs w:val="24"/>
        </w:rPr>
        <w:t xml:space="preserve"> </w:t>
      </w:r>
      <w:r w:rsidR="003E5A11" w:rsidRPr="003E798F">
        <w:t xml:space="preserve">van </w:t>
      </w:r>
      <w:proofErr w:type="spellStart"/>
      <w:r w:rsidR="003E5A11" w:rsidRPr="003E798F">
        <w:t>Heeswijk</w:t>
      </w:r>
      <w:proofErr w:type="spellEnd"/>
      <w:r w:rsidR="003E5A11" w:rsidRPr="003E798F">
        <w:t xml:space="preserve"> et al. (2019)</w:t>
      </w:r>
      <w:r w:rsidR="00995023" w:rsidRPr="003E798F">
        <w:rPr>
          <w:szCs w:val="24"/>
        </w:rPr>
        <w:t xml:space="preserve">. </w:t>
      </w:r>
      <w:r w:rsidR="007273C0" w:rsidRPr="003E798F">
        <w:rPr>
          <w:szCs w:val="24"/>
        </w:rPr>
        <w:t>The following sections provide further details.</w:t>
      </w:r>
    </w:p>
    <w:p w14:paraId="2208334B" w14:textId="77777777" w:rsidR="007273C0" w:rsidRPr="00A96AC5" w:rsidRDefault="007273C0" w:rsidP="000A4E8C">
      <w:pPr>
        <w:pStyle w:val="Heading2"/>
        <w:spacing w:after="120" w:line="360" w:lineRule="auto"/>
        <w:rPr>
          <w:rFonts w:cs="Times New Roman"/>
        </w:rPr>
      </w:pPr>
      <w:bookmarkStart w:id="648" w:name="_Ref34734136"/>
      <w:bookmarkStart w:id="649" w:name="_Toc34734558"/>
      <w:bookmarkStart w:id="650" w:name="_Toc46053449"/>
      <w:bookmarkStart w:id="651" w:name="_Toc46093363"/>
      <w:bookmarkStart w:id="652" w:name="_Toc46093646"/>
      <w:bookmarkStart w:id="653" w:name="_Toc66703222"/>
      <w:r w:rsidRPr="00A96AC5">
        <w:rPr>
          <w:rFonts w:cs="Times New Roman"/>
        </w:rPr>
        <w:t>Fixed cost of the urban consolidation centre (UCC)</w:t>
      </w:r>
      <w:bookmarkEnd w:id="648"/>
      <w:bookmarkEnd w:id="649"/>
      <w:bookmarkEnd w:id="650"/>
      <w:bookmarkEnd w:id="651"/>
      <w:bookmarkEnd w:id="652"/>
      <w:bookmarkEnd w:id="653"/>
    </w:p>
    <w:p w14:paraId="2FA49133" w14:textId="61CEAF6C" w:rsidR="007273C0" w:rsidRPr="006C301D" w:rsidRDefault="007273C0" w:rsidP="0092585F">
      <w:pPr>
        <w:spacing w:after="240" w:line="360" w:lineRule="auto"/>
        <w:rPr>
          <w:rFonts w:cs="Times New Roman"/>
          <w:color w:val="0D0D0D" w:themeColor="text1" w:themeTint="F2"/>
        </w:rPr>
      </w:pPr>
      <w:r w:rsidRPr="00A96AC5">
        <w:rPr>
          <w:rFonts w:cs="Times New Roman"/>
        </w:rPr>
        <w:t xml:space="preserve">Four primary categories of fixed cost were classified: facility rental, materials (including equipment and vehicles), </w:t>
      </w:r>
      <w:r w:rsidR="00995023">
        <w:rPr>
          <w:rFonts w:cs="Times New Roman"/>
        </w:rPr>
        <w:t xml:space="preserve">facility administration </w:t>
      </w:r>
      <w:r w:rsidRPr="00A96AC5">
        <w:rPr>
          <w:rFonts w:cs="Times New Roman"/>
        </w:rPr>
        <w:t xml:space="preserve">(costs relevant to the management of the facility, </w:t>
      </w:r>
      <w:proofErr w:type="gramStart"/>
      <w:r w:rsidRPr="00A96AC5">
        <w:rPr>
          <w:rFonts w:cs="Times New Roman"/>
        </w:rPr>
        <w:t>e.g.</w:t>
      </w:r>
      <w:proofErr w:type="gramEnd"/>
      <w:r w:rsidRPr="00A96AC5">
        <w:rPr>
          <w:rFonts w:cs="Times New Roman"/>
        </w:rPr>
        <w:t xml:space="preserve"> the cost of hiring an administrator), and other overheads (this has a broad definition and includes costs generated by non-logistics activities). </w:t>
      </w:r>
      <w:r w:rsidR="00995023">
        <w:rPr>
          <w:rFonts w:cs="Times New Roman"/>
        </w:rPr>
        <w:fldChar w:fldCharType="begin"/>
      </w:r>
      <w:r w:rsidR="00995023">
        <w:rPr>
          <w:rFonts w:cs="Times New Roman"/>
        </w:rPr>
        <w:instrText xml:space="preserve"> REF _Ref44951701 \h </w:instrText>
      </w:r>
      <w:r w:rsidR="00995023">
        <w:rPr>
          <w:rFonts w:cs="Times New Roman"/>
        </w:rPr>
      </w:r>
      <w:r w:rsidR="00995023">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4</w:t>
      </w:r>
      <w:r w:rsidR="0005064B">
        <w:rPr>
          <w:rFonts w:cs="Times New Roman"/>
        </w:rPr>
        <w:noBreakHyphen/>
      </w:r>
      <w:r w:rsidR="0005064B">
        <w:rPr>
          <w:rFonts w:cs="Times New Roman"/>
          <w:noProof/>
        </w:rPr>
        <w:t>1</w:t>
      </w:r>
      <w:r w:rsidR="00995023">
        <w:rPr>
          <w:rFonts w:cs="Times New Roman"/>
        </w:rPr>
        <w:fldChar w:fldCharType="end"/>
      </w:r>
      <w:r w:rsidR="00995023">
        <w:rPr>
          <w:rFonts w:cs="Times New Roman"/>
        </w:rPr>
        <w:t xml:space="preserve"> </w:t>
      </w:r>
      <w:r w:rsidRPr="00737239">
        <w:rPr>
          <w:rFonts w:cs="Times New Roman"/>
          <w:color w:val="0D0D0D" w:themeColor="text1" w:themeTint="F2"/>
        </w:rPr>
        <w:t xml:space="preserve">provides details for each </w:t>
      </w:r>
      <w:r w:rsidRPr="00802DC5">
        <w:rPr>
          <w:rFonts w:cs="Times New Roman"/>
          <w:color w:val="0D0D0D" w:themeColor="text1" w:themeTint="F2"/>
        </w:rPr>
        <w:t>of these categories. The total fixed cost can be calculated by the formula below.</w:t>
      </w:r>
    </w:p>
    <w:tbl>
      <w:tblPr>
        <w:tblStyle w:val="TableGrid"/>
        <w:tblW w:w="5000" w:type="pct"/>
        <w:jc w:val="center"/>
        <w:tblLook w:val="04A0" w:firstRow="1" w:lastRow="0" w:firstColumn="1" w:lastColumn="0" w:noHBand="0" w:noVBand="1"/>
      </w:tblPr>
      <w:tblGrid>
        <w:gridCol w:w="1225"/>
        <w:gridCol w:w="2598"/>
        <w:gridCol w:w="1673"/>
        <w:gridCol w:w="3520"/>
      </w:tblGrid>
      <w:tr w:rsidR="007273C0" w:rsidRPr="008903D1" w14:paraId="4119838A" w14:textId="77777777" w:rsidTr="00F7598C">
        <w:trPr>
          <w:jc w:val="center"/>
        </w:trPr>
        <w:tc>
          <w:tcPr>
            <w:tcW w:w="679" w:type="pct"/>
            <w:tcBorders>
              <w:top w:val="single" w:sz="4" w:space="0" w:color="auto"/>
              <w:left w:val="single" w:sz="4" w:space="0" w:color="auto"/>
              <w:bottom w:val="single" w:sz="4" w:space="0" w:color="auto"/>
              <w:right w:val="single" w:sz="4" w:space="0" w:color="auto"/>
            </w:tcBorders>
          </w:tcPr>
          <w:p w14:paraId="576319E8" w14:textId="77777777" w:rsidR="007273C0" w:rsidRPr="00A96AC5" w:rsidRDefault="007273C0" w:rsidP="00B61235">
            <w:pPr>
              <w:snapToGrid w:val="0"/>
              <w:spacing w:line="240" w:lineRule="auto"/>
              <w:jc w:val="center"/>
              <w:rPr>
                <w:rFonts w:cs="Times New Roman"/>
                <w:b/>
                <w:color w:val="0D0D0D" w:themeColor="text1" w:themeTint="F2"/>
                <w:sz w:val="22"/>
              </w:rPr>
            </w:pPr>
            <w:r w:rsidRPr="00A96AC5">
              <w:rPr>
                <w:rFonts w:cs="Times New Roman"/>
                <w:b/>
                <w:color w:val="0D0D0D" w:themeColor="text1" w:themeTint="F2"/>
                <w:sz w:val="22"/>
              </w:rPr>
              <w:t>Property</w:t>
            </w:r>
          </w:p>
        </w:tc>
        <w:tc>
          <w:tcPr>
            <w:tcW w:w="1441" w:type="pct"/>
            <w:tcBorders>
              <w:top w:val="single" w:sz="4" w:space="0" w:color="auto"/>
              <w:left w:val="single" w:sz="4" w:space="0" w:color="auto"/>
              <w:bottom w:val="single" w:sz="4" w:space="0" w:color="auto"/>
              <w:right w:val="single" w:sz="4" w:space="0" w:color="auto"/>
            </w:tcBorders>
            <w:hideMark/>
          </w:tcPr>
          <w:p w14:paraId="0FE5C4F5" w14:textId="77777777" w:rsidR="007273C0" w:rsidRPr="00A96AC5" w:rsidRDefault="007273C0" w:rsidP="00B61235">
            <w:pPr>
              <w:snapToGrid w:val="0"/>
              <w:spacing w:line="240" w:lineRule="auto"/>
              <w:jc w:val="center"/>
              <w:rPr>
                <w:rFonts w:cs="Times New Roman"/>
                <w:b/>
                <w:color w:val="0D0D0D" w:themeColor="text1" w:themeTint="F2"/>
                <w:sz w:val="22"/>
              </w:rPr>
            </w:pPr>
            <w:r w:rsidRPr="00A96AC5">
              <w:rPr>
                <w:rFonts w:cs="Times New Roman"/>
                <w:b/>
                <w:color w:val="0D0D0D" w:themeColor="text1" w:themeTint="F2"/>
                <w:sz w:val="22"/>
              </w:rPr>
              <w:t>Types of Fixed Cost</w:t>
            </w:r>
          </w:p>
        </w:tc>
        <w:tc>
          <w:tcPr>
            <w:tcW w:w="928" w:type="pct"/>
            <w:tcBorders>
              <w:top w:val="single" w:sz="4" w:space="0" w:color="auto"/>
              <w:left w:val="single" w:sz="4" w:space="0" w:color="auto"/>
              <w:bottom w:val="single" w:sz="4" w:space="0" w:color="auto"/>
              <w:right w:val="single" w:sz="4" w:space="0" w:color="auto"/>
            </w:tcBorders>
            <w:hideMark/>
          </w:tcPr>
          <w:p w14:paraId="7CC19F27" w14:textId="77777777" w:rsidR="007273C0" w:rsidRPr="00A96AC5" w:rsidRDefault="007273C0" w:rsidP="00B61235">
            <w:pPr>
              <w:snapToGrid w:val="0"/>
              <w:spacing w:line="240" w:lineRule="auto"/>
              <w:jc w:val="center"/>
              <w:rPr>
                <w:rFonts w:cs="Times New Roman"/>
                <w:b/>
                <w:color w:val="0D0D0D" w:themeColor="text1" w:themeTint="F2"/>
                <w:sz w:val="22"/>
              </w:rPr>
            </w:pPr>
            <w:r w:rsidRPr="00A96AC5">
              <w:rPr>
                <w:rFonts w:cs="Times New Roman"/>
                <w:b/>
                <w:color w:val="0D0D0D" w:themeColor="text1" w:themeTint="F2"/>
                <w:sz w:val="22"/>
              </w:rPr>
              <w:t>Notation</w:t>
            </w:r>
          </w:p>
        </w:tc>
        <w:tc>
          <w:tcPr>
            <w:tcW w:w="1952" w:type="pct"/>
            <w:tcBorders>
              <w:top w:val="single" w:sz="4" w:space="0" w:color="auto"/>
              <w:left w:val="single" w:sz="4" w:space="0" w:color="auto"/>
              <w:bottom w:val="single" w:sz="4" w:space="0" w:color="auto"/>
              <w:right w:val="single" w:sz="4" w:space="0" w:color="auto"/>
            </w:tcBorders>
            <w:hideMark/>
          </w:tcPr>
          <w:p w14:paraId="2B038531" w14:textId="77777777" w:rsidR="007273C0" w:rsidRPr="00A96AC5" w:rsidRDefault="007273C0" w:rsidP="00B61235">
            <w:pPr>
              <w:snapToGrid w:val="0"/>
              <w:spacing w:line="240" w:lineRule="auto"/>
              <w:jc w:val="center"/>
              <w:rPr>
                <w:rFonts w:cs="Times New Roman"/>
                <w:b/>
                <w:color w:val="0D0D0D" w:themeColor="text1" w:themeTint="F2"/>
                <w:sz w:val="22"/>
              </w:rPr>
            </w:pPr>
            <w:r w:rsidRPr="00A96AC5">
              <w:rPr>
                <w:rFonts w:cs="Times New Roman"/>
                <w:b/>
                <w:color w:val="0D0D0D" w:themeColor="text1" w:themeTint="F2"/>
                <w:sz w:val="22"/>
              </w:rPr>
              <w:t>Details</w:t>
            </w:r>
          </w:p>
        </w:tc>
      </w:tr>
      <w:tr w:rsidR="007273C0" w:rsidRPr="008903D1" w14:paraId="322D79B6" w14:textId="77777777" w:rsidTr="00F7598C">
        <w:trPr>
          <w:jc w:val="center"/>
        </w:trPr>
        <w:tc>
          <w:tcPr>
            <w:tcW w:w="679" w:type="pct"/>
            <w:vMerge w:val="restart"/>
            <w:tcBorders>
              <w:top w:val="single" w:sz="4" w:space="0" w:color="auto"/>
              <w:left w:val="single" w:sz="4" w:space="0" w:color="auto"/>
              <w:right w:val="single" w:sz="4" w:space="0" w:color="auto"/>
            </w:tcBorders>
            <w:vAlign w:val="center"/>
          </w:tcPr>
          <w:p w14:paraId="0AD81DB4" w14:textId="77777777" w:rsidR="007273C0" w:rsidRPr="00802DC5" w:rsidRDefault="007273C0" w:rsidP="00B61235">
            <w:pPr>
              <w:snapToGrid w:val="0"/>
              <w:spacing w:line="240" w:lineRule="auto"/>
              <w:jc w:val="center"/>
              <w:rPr>
                <w:rFonts w:cs="Times New Roman"/>
                <w:color w:val="0D0D0D" w:themeColor="text1" w:themeTint="F2"/>
                <w:sz w:val="22"/>
              </w:rPr>
            </w:pPr>
            <w:r w:rsidRPr="00737239">
              <w:rPr>
                <w:rFonts w:cs="Times New Roman"/>
                <w:color w:val="0D0D0D" w:themeColor="text1" w:themeTint="F2"/>
                <w:sz w:val="22"/>
              </w:rPr>
              <w:t>Daily costs</w:t>
            </w:r>
          </w:p>
        </w:tc>
        <w:tc>
          <w:tcPr>
            <w:tcW w:w="1441" w:type="pct"/>
            <w:tcBorders>
              <w:top w:val="single" w:sz="4" w:space="0" w:color="auto"/>
              <w:left w:val="single" w:sz="4" w:space="0" w:color="auto"/>
              <w:bottom w:val="single" w:sz="4" w:space="0" w:color="auto"/>
              <w:right w:val="single" w:sz="4" w:space="0" w:color="auto"/>
            </w:tcBorders>
            <w:vAlign w:val="center"/>
            <w:hideMark/>
          </w:tcPr>
          <w:p w14:paraId="1FF82A54" w14:textId="77777777" w:rsidR="007273C0" w:rsidRPr="00DB493C" w:rsidRDefault="007273C0" w:rsidP="00B61235">
            <w:pPr>
              <w:snapToGrid w:val="0"/>
              <w:spacing w:line="240" w:lineRule="auto"/>
              <w:rPr>
                <w:rFonts w:cs="Times New Roman"/>
                <w:color w:val="0D0D0D" w:themeColor="text1" w:themeTint="F2"/>
                <w:sz w:val="22"/>
              </w:rPr>
            </w:pPr>
            <w:r w:rsidRPr="006C301D">
              <w:rPr>
                <w:rFonts w:cs="Times New Roman"/>
                <w:color w:val="0D0D0D" w:themeColor="text1" w:themeTint="F2"/>
                <w:sz w:val="22"/>
              </w:rPr>
              <w:t>Facility rental</w:t>
            </w:r>
          </w:p>
        </w:tc>
        <w:tc>
          <w:tcPr>
            <w:tcW w:w="928" w:type="pct"/>
            <w:tcBorders>
              <w:top w:val="single" w:sz="4" w:space="0" w:color="auto"/>
              <w:left w:val="single" w:sz="4" w:space="0" w:color="auto"/>
              <w:bottom w:val="single" w:sz="4" w:space="0" w:color="auto"/>
              <w:right w:val="single" w:sz="4" w:space="0" w:color="auto"/>
            </w:tcBorders>
            <w:vAlign w:val="center"/>
            <w:hideMark/>
          </w:tcPr>
          <w:p w14:paraId="0E7CAB3D" w14:textId="77777777" w:rsidR="007273C0" w:rsidRPr="00A96AC5" w:rsidRDefault="007273C0" w:rsidP="00B61235">
            <w:pPr>
              <w:snapToGrid w:val="0"/>
              <w:spacing w:line="240" w:lineRule="auto"/>
              <w:jc w:val="center"/>
              <w:rPr>
                <w:rFonts w:cs="Times New Roman"/>
                <w:color w:val="0D0D0D" w:themeColor="text1" w:themeTint="F2"/>
                <w:sz w:val="22"/>
              </w:rPr>
            </w:pPr>
            <w:proofErr w:type="spellStart"/>
            <w:r w:rsidRPr="00A96AC5">
              <w:rPr>
                <w:rFonts w:cs="Times New Roman"/>
                <w:i/>
                <w:iCs/>
                <w:color w:val="0D0D0D" w:themeColor="text1" w:themeTint="F2"/>
                <w:sz w:val="22"/>
              </w:rPr>
              <w:t>C</w:t>
            </w:r>
            <w:r w:rsidRPr="00A96AC5">
              <w:rPr>
                <w:rFonts w:cs="Times New Roman"/>
                <w:i/>
                <w:iCs/>
                <w:color w:val="0D0D0D" w:themeColor="text1" w:themeTint="F2"/>
                <w:sz w:val="22"/>
                <w:vertAlign w:val="superscript"/>
              </w:rPr>
              <w:t>fr</w:t>
            </w:r>
            <w:proofErr w:type="spellEnd"/>
          </w:p>
        </w:tc>
        <w:tc>
          <w:tcPr>
            <w:tcW w:w="1952" w:type="pct"/>
            <w:tcBorders>
              <w:top w:val="single" w:sz="4" w:space="0" w:color="auto"/>
              <w:left w:val="single" w:sz="4" w:space="0" w:color="auto"/>
              <w:bottom w:val="single" w:sz="4" w:space="0" w:color="auto"/>
              <w:right w:val="single" w:sz="4" w:space="0" w:color="auto"/>
            </w:tcBorders>
            <w:hideMark/>
          </w:tcPr>
          <w:p w14:paraId="5FC20B04" w14:textId="77777777" w:rsidR="007273C0" w:rsidRPr="00A96AC5" w:rsidRDefault="007273C0" w:rsidP="00B61235">
            <w:pPr>
              <w:snapToGrid w:val="0"/>
              <w:spacing w:line="240" w:lineRule="auto"/>
              <w:rPr>
                <w:rFonts w:cs="Times New Roman"/>
                <w:color w:val="0D0D0D" w:themeColor="text1" w:themeTint="F2"/>
                <w:sz w:val="22"/>
              </w:rPr>
            </w:pPr>
            <w:r w:rsidRPr="00A96AC5">
              <w:rPr>
                <w:rFonts w:cs="Times New Roman"/>
                <w:color w:val="0D0D0D" w:themeColor="text1" w:themeTint="F2"/>
                <w:sz w:val="22"/>
              </w:rPr>
              <w:t>e.g., infrastructure</w:t>
            </w:r>
          </w:p>
        </w:tc>
      </w:tr>
      <w:tr w:rsidR="007273C0" w:rsidRPr="008903D1" w14:paraId="6AE3B82C" w14:textId="77777777" w:rsidTr="00F7598C">
        <w:trPr>
          <w:jc w:val="center"/>
        </w:trPr>
        <w:tc>
          <w:tcPr>
            <w:tcW w:w="679" w:type="pct"/>
            <w:vMerge/>
            <w:tcBorders>
              <w:left w:val="single" w:sz="4" w:space="0" w:color="auto"/>
              <w:right w:val="single" w:sz="4" w:space="0" w:color="auto"/>
            </w:tcBorders>
          </w:tcPr>
          <w:p w14:paraId="15A30C1E" w14:textId="77777777" w:rsidR="007273C0" w:rsidRPr="00A96AC5" w:rsidRDefault="007273C0" w:rsidP="00B61235">
            <w:pPr>
              <w:snapToGrid w:val="0"/>
              <w:spacing w:line="240" w:lineRule="auto"/>
              <w:rPr>
                <w:rFonts w:cs="Times New Roman"/>
                <w:color w:val="0D0D0D" w:themeColor="text1" w:themeTint="F2"/>
                <w:sz w:val="22"/>
              </w:rPr>
            </w:pPr>
          </w:p>
        </w:tc>
        <w:tc>
          <w:tcPr>
            <w:tcW w:w="1441" w:type="pct"/>
            <w:vMerge w:val="restart"/>
            <w:tcBorders>
              <w:top w:val="single" w:sz="4" w:space="0" w:color="auto"/>
              <w:left w:val="single" w:sz="4" w:space="0" w:color="auto"/>
              <w:right w:val="single" w:sz="4" w:space="0" w:color="auto"/>
            </w:tcBorders>
            <w:vAlign w:val="center"/>
            <w:hideMark/>
          </w:tcPr>
          <w:p w14:paraId="2B149BF0" w14:textId="77777777" w:rsidR="007273C0" w:rsidRPr="00A96AC5" w:rsidRDefault="007273C0" w:rsidP="00B61235">
            <w:pPr>
              <w:snapToGrid w:val="0"/>
              <w:spacing w:line="240" w:lineRule="auto"/>
              <w:rPr>
                <w:rFonts w:cs="Times New Roman"/>
                <w:color w:val="0D0D0D" w:themeColor="text1" w:themeTint="F2"/>
                <w:sz w:val="22"/>
              </w:rPr>
            </w:pPr>
            <w:r w:rsidRPr="00A96AC5">
              <w:rPr>
                <w:rFonts w:cs="Times New Roman"/>
                <w:color w:val="0D0D0D" w:themeColor="text1" w:themeTint="F2"/>
                <w:sz w:val="22"/>
              </w:rPr>
              <w:t xml:space="preserve">Materials </w:t>
            </w:r>
          </w:p>
        </w:tc>
        <w:tc>
          <w:tcPr>
            <w:tcW w:w="928" w:type="pct"/>
            <w:vMerge w:val="restart"/>
            <w:tcBorders>
              <w:top w:val="single" w:sz="4" w:space="0" w:color="auto"/>
              <w:left w:val="single" w:sz="4" w:space="0" w:color="auto"/>
              <w:right w:val="single" w:sz="4" w:space="0" w:color="auto"/>
            </w:tcBorders>
            <w:vAlign w:val="center"/>
            <w:hideMark/>
          </w:tcPr>
          <w:p w14:paraId="50AF1323" w14:textId="77777777" w:rsidR="007273C0" w:rsidRPr="00A96AC5" w:rsidRDefault="007273C0" w:rsidP="00B61235">
            <w:pPr>
              <w:snapToGrid w:val="0"/>
              <w:spacing w:line="240" w:lineRule="auto"/>
              <w:jc w:val="center"/>
              <w:rPr>
                <w:rFonts w:cs="Times New Roman"/>
                <w:color w:val="0D0D0D" w:themeColor="text1" w:themeTint="F2"/>
                <w:sz w:val="22"/>
              </w:rPr>
            </w:pPr>
            <w:proofErr w:type="spellStart"/>
            <w:r w:rsidRPr="00A96AC5">
              <w:rPr>
                <w:rFonts w:cs="Times New Roman"/>
                <w:i/>
                <w:iCs/>
                <w:color w:val="0D0D0D" w:themeColor="text1" w:themeTint="F2"/>
                <w:sz w:val="22"/>
              </w:rPr>
              <w:t>C</w:t>
            </w:r>
            <w:r w:rsidRPr="00A96AC5">
              <w:rPr>
                <w:rFonts w:cs="Times New Roman"/>
                <w:i/>
                <w:iCs/>
                <w:color w:val="0D0D0D" w:themeColor="text1" w:themeTint="F2"/>
                <w:sz w:val="22"/>
                <w:vertAlign w:val="superscript"/>
              </w:rPr>
              <w:t>mu</w:t>
            </w:r>
            <w:proofErr w:type="spellEnd"/>
          </w:p>
        </w:tc>
        <w:tc>
          <w:tcPr>
            <w:tcW w:w="1952" w:type="pct"/>
            <w:tcBorders>
              <w:top w:val="single" w:sz="4" w:space="0" w:color="auto"/>
              <w:left w:val="single" w:sz="4" w:space="0" w:color="auto"/>
              <w:bottom w:val="single" w:sz="4" w:space="0" w:color="auto"/>
              <w:right w:val="single" w:sz="4" w:space="0" w:color="auto"/>
            </w:tcBorders>
            <w:hideMark/>
          </w:tcPr>
          <w:p w14:paraId="677E1475" w14:textId="77777777" w:rsidR="007273C0" w:rsidRPr="00A96AC5" w:rsidRDefault="007273C0" w:rsidP="00B61235">
            <w:pPr>
              <w:snapToGrid w:val="0"/>
              <w:spacing w:line="240" w:lineRule="auto"/>
              <w:rPr>
                <w:rFonts w:cs="Times New Roman"/>
                <w:color w:val="0D0D0D" w:themeColor="text1" w:themeTint="F2"/>
                <w:sz w:val="22"/>
              </w:rPr>
            </w:pPr>
            <w:r w:rsidRPr="00A96AC5">
              <w:rPr>
                <w:rFonts w:cs="Times New Roman"/>
                <w:color w:val="0D0D0D" w:themeColor="text1" w:themeTint="F2"/>
                <w:sz w:val="22"/>
              </w:rPr>
              <w:t xml:space="preserve">e.g., electricity </w:t>
            </w:r>
          </w:p>
        </w:tc>
      </w:tr>
      <w:tr w:rsidR="007273C0" w:rsidRPr="008903D1" w14:paraId="3727C835" w14:textId="77777777" w:rsidTr="00F7598C">
        <w:trPr>
          <w:jc w:val="center"/>
        </w:trPr>
        <w:tc>
          <w:tcPr>
            <w:tcW w:w="679" w:type="pct"/>
            <w:vMerge/>
            <w:tcBorders>
              <w:left w:val="single" w:sz="4" w:space="0" w:color="auto"/>
              <w:right w:val="single" w:sz="4" w:space="0" w:color="auto"/>
            </w:tcBorders>
          </w:tcPr>
          <w:p w14:paraId="3D1D70DD" w14:textId="77777777" w:rsidR="007273C0" w:rsidRPr="00A96AC5" w:rsidRDefault="007273C0" w:rsidP="00B61235">
            <w:pPr>
              <w:snapToGrid w:val="0"/>
              <w:spacing w:line="240" w:lineRule="auto"/>
              <w:rPr>
                <w:rFonts w:cs="Times New Roman"/>
                <w:color w:val="0D0D0D" w:themeColor="text1" w:themeTint="F2"/>
                <w:sz w:val="22"/>
              </w:rPr>
            </w:pPr>
          </w:p>
        </w:tc>
        <w:tc>
          <w:tcPr>
            <w:tcW w:w="1441" w:type="pct"/>
            <w:vMerge/>
            <w:tcBorders>
              <w:left w:val="single" w:sz="4" w:space="0" w:color="auto"/>
              <w:right w:val="single" w:sz="4" w:space="0" w:color="auto"/>
            </w:tcBorders>
            <w:vAlign w:val="center"/>
            <w:hideMark/>
          </w:tcPr>
          <w:p w14:paraId="2D7F91F2" w14:textId="77777777" w:rsidR="007273C0" w:rsidRPr="00A96AC5" w:rsidRDefault="007273C0" w:rsidP="00B61235">
            <w:pPr>
              <w:snapToGrid w:val="0"/>
              <w:spacing w:line="240" w:lineRule="auto"/>
              <w:rPr>
                <w:rFonts w:cs="Times New Roman"/>
                <w:color w:val="0D0D0D" w:themeColor="text1" w:themeTint="F2"/>
                <w:sz w:val="22"/>
              </w:rPr>
            </w:pPr>
          </w:p>
        </w:tc>
        <w:tc>
          <w:tcPr>
            <w:tcW w:w="928" w:type="pct"/>
            <w:vMerge/>
            <w:tcBorders>
              <w:left w:val="single" w:sz="4" w:space="0" w:color="auto"/>
              <w:right w:val="single" w:sz="4" w:space="0" w:color="auto"/>
            </w:tcBorders>
            <w:vAlign w:val="center"/>
            <w:hideMark/>
          </w:tcPr>
          <w:p w14:paraId="120ECB95" w14:textId="77777777" w:rsidR="007273C0" w:rsidRPr="00A96AC5" w:rsidRDefault="007273C0" w:rsidP="00B61235">
            <w:pPr>
              <w:snapToGrid w:val="0"/>
              <w:spacing w:line="240" w:lineRule="auto"/>
              <w:rPr>
                <w:rFonts w:cs="Times New Roman"/>
                <w:color w:val="0D0D0D" w:themeColor="text1" w:themeTint="F2"/>
                <w:sz w:val="22"/>
              </w:rPr>
            </w:pPr>
          </w:p>
        </w:tc>
        <w:tc>
          <w:tcPr>
            <w:tcW w:w="1952" w:type="pct"/>
            <w:tcBorders>
              <w:top w:val="single" w:sz="4" w:space="0" w:color="auto"/>
              <w:left w:val="single" w:sz="4" w:space="0" w:color="auto"/>
              <w:bottom w:val="single" w:sz="4" w:space="0" w:color="auto"/>
              <w:right w:val="single" w:sz="4" w:space="0" w:color="auto"/>
            </w:tcBorders>
            <w:hideMark/>
          </w:tcPr>
          <w:p w14:paraId="5CA4BE5C" w14:textId="77777777" w:rsidR="007273C0" w:rsidRPr="00A96AC5" w:rsidRDefault="007273C0" w:rsidP="00B61235">
            <w:pPr>
              <w:snapToGrid w:val="0"/>
              <w:spacing w:line="240" w:lineRule="auto"/>
              <w:rPr>
                <w:rFonts w:cs="Times New Roman"/>
                <w:color w:val="0D0D0D" w:themeColor="text1" w:themeTint="F2"/>
                <w:sz w:val="22"/>
              </w:rPr>
            </w:pPr>
            <w:r w:rsidRPr="00A96AC5">
              <w:rPr>
                <w:rFonts w:cs="Times New Roman"/>
                <w:color w:val="0D0D0D" w:themeColor="text1" w:themeTint="F2"/>
                <w:sz w:val="22"/>
              </w:rPr>
              <w:t xml:space="preserve">e.g., water </w:t>
            </w:r>
          </w:p>
        </w:tc>
      </w:tr>
      <w:tr w:rsidR="007273C0" w:rsidRPr="008903D1" w14:paraId="68E7AC43" w14:textId="77777777" w:rsidTr="00F7598C">
        <w:trPr>
          <w:jc w:val="center"/>
        </w:trPr>
        <w:tc>
          <w:tcPr>
            <w:tcW w:w="679" w:type="pct"/>
            <w:vMerge/>
            <w:tcBorders>
              <w:left w:val="single" w:sz="4" w:space="0" w:color="auto"/>
              <w:right w:val="single" w:sz="4" w:space="0" w:color="auto"/>
            </w:tcBorders>
          </w:tcPr>
          <w:p w14:paraId="0C386B9B" w14:textId="77777777" w:rsidR="007273C0" w:rsidRPr="00A96AC5" w:rsidRDefault="007273C0" w:rsidP="00B61235">
            <w:pPr>
              <w:snapToGrid w:val="0"/>
              <w:spacing w:line="240" w:lineRule="auto"/>
              <w:rPr>
                <w:rFonts w:cs="Times New Roman"/>
                <w:color w:val="0D0D0D" w:themeColor="text1" w:themeTint="F2"/>
                <w:sz w:val="22"/>
              </w:rPr>
            </w:pPr>
          </w:p>
        </w:tc>
        <w:tc>
          <w:tcPr>
            <w:tcW w:w="1441" w:type="pct"/>
            <w:vMerge/>
            <w:tcBorders>
              <w:left w:val="single" w:sz="4" w:space="0" w:color="auto"/>
              <w:right w:val="single" w:sz="4" w:space="0" w:color="auto"/>
            </w:tcBorders>
            <w:vAlign w:val="center"/>
            <w:hideMark/>
          </w:tcPr>
          <w:p w14:paraId="6B84BE52" w14:textId="77777777" w:rsidR="007273C0" w:rsidRPr="00A96AC5" w:rsidRDefault="007273C0" w:rsidP="00B61235">
            <w:pPr>
              <w:snapToGrid w:val="0"/>
              <w:spacing w:line="240" w:lineRule="auto"/>
              <w:rPr>
                <w:rFonts w:cs="Times New Roman"/>
                <w:color w:val="0D0D0D" w:themeColor="text1" w:themeTint="F2"/>
                <w:sz w:val="22"/>
              </w:rPr>
            </w:pPr>
          </w:p>
        </w:tc>
        <w:tc>
          <w:tcPr>
            <w:tcW w:w="928" w:type="pct"/>
            <w:vMerge/>
            <w:tcBorders>
              <w:left w:val="single" w:sz="4" w:space="0" w:color="auto"/>
              <w:right w:val="single" w:sz="4" w:space="0" w:color="auto"/>
            </w:tcBorders>
            <w:vAlign w:val="center"/>
            <w:hideMark/>
          </w:tcPr>
          <w:p w14:paraId="5E8645A6" w14:textId="77777777" w:rsidR="007273C0" w:rsidRPr="00A96AC5" w:rsidRDefault="007273C0" w:rsidP="00B61235">
            <w:pPr>
              <w:snapToGrid w:val="0"/>
              <w:spacing w:line="240" w:lineRule="auto"/>
              <w:rPr>
                <w:rFonts w:cs="Times New Roman"/>
                <w:color w:val="0D0D0D" w:themeColor="text1" w:themeTint="F2"/>
                <w:sz w:val="22"/>
              </w:rPr>
            </w:pPr>
          </w:p>
        </w:tc>
        <w:tc>
          <w:tcPr>
            <w:tcW w:w="1952" w:type="pct"/>
            <w:tcBorders>
              <w:top w:val="single" w:sz="4" w:space="0" w:color="auto"/>
              <w:left w:val="single" w:sz="4" w:space="0" w:color="auto"/>
              <w:bottom w:val="single" w:sz="4" w:space="0" w:color="auto"/>
              <w:right w:val="single" w:sz="4" w:space="0" w:color="auto"/>
            </w:tcBorders>
            <w:hideMark/>
          </w:tcPr>
          <w:p w14:paraId="602AE6DE" w14:textId="77777777" w:rsidR="007273C0" w:rsidRPr="00A96AC5" w:rsidRDefault="007273C0" w:rsidP="00B61235">
            <w:pPr>
              <w:snapToGrid w:val="0"/>
              <w:spacing w:line="240" w:lineRule="auto"/>
              <w:rPr>
                <w:rFonts w:cs="Times New Roman"/>
                <w:color w:val="0D0D0D" w:themeColor="text1" w:themeTint="F2"/>
                <w:sz w:val="22"/>
              </w:rPr>
            </w:pPr>
            <w:r w:rsidRPr="00A96AC5">
              <w:rPr>
                <w:rFonts w:cs="Times New Roman"/>
                <w:color w:val="0D0D0D" w:themeColor="text1" w:themeTint="F2"/>
                <w:sz w:val="22"/>
              </w:rPr>
              <w:t>e.g., pallets</w:t>
            </w:r>
          </w:p>
        </w:tc>
      </w:tr>
      <w:tr w:rsidR="007273C0" w:rsidRPr="008903D1" w14:paraId="3F45A802" w14:textId="77777777" w:rsidTr="00F7598C">
        <w:trPr>
          <w:jc w:val="center"/>
        </w:trPr>
        <w:tc>
          <w:tcPr>
            <w:tcW w:w="679" w:type="pct"/>
            <w:vMerge/>
            <w:tcBorders>
              <w:left w:val="single" w:sz="4" w:space="0" w:color="auto"/>
              <w:right w:val="single" w:sz="4" w:space="0" w:color="auto"/>
            </w:tcBorders>
          </w:tcPr>
          <w:p w14:paraId="1AC86979" w14:textId="77777777" w:rsidR="007273C0" w:rsidRPr="00A96AC5" w:rsidRDefault="007273C0" w:rsidP="00B61235">
            <w:pPr>
              <w:snapToGrid w:val="0"/>
              <w:spacing w:line="240" w:lineRule="auto"/>
              <w:rPr>
                <w:rFonts w:cs="Times New Roman"/>
                <w:color w:val="0D0D0D" w:themeColor="text1" w:themeTint="F2"/>
                <w:sz w:val="22"/>
              </w:rPr>
            </w:pPr>
          </w:p>
        </w:tc>
        <w:tc>
          <w:tcPr>
            <w:tcW w:w="1441" w:type="pct"/>
            <w:vMerge/>
            <w:tcBorders>
              <w:left w:val="single" w:sz="4" w:space="0" w:color="auto"/>
              <w:bottom w:val="single" w:sz="4" w:space="0" w:color="auto"/>
              <w:right w:val="single" w:sz="4" w:space="0" w:color="auto"/>
            </w:tcBorders>
            <w:vAlign w:val="center"/>
          </w:tcPr>
          <w:p w14:paraId="15830659" w14:textId="77777777" w:rsidR="007273C0" w:rsidRPr="00A96AC5" w:rsidRDefault="007273C0" w:rsidP="00B61235">
            <w:pPr>
              <w:snapToGrid w:val="0"/>
              <w:spacing w:line="240" w:lineRule="auto"/>
              <w:rPr>
                <w:rFonts w:cs="Times New Roman"/>
                <w:color w:val="0D0D0D" w:themeColor="text1" w:themeTint="F2"/>
                <w:sz w:val="22"/>
              </w:rPr>
            </w:pPr>
          </w:p>
        </w:tc>
        <w:tc>
          <w:tcPr>
            <w:tcW w:w="928" w:type="pct"/>
            <w:vMerge/>
            <w:tcBorders>
              <w:left w:val="single" w:sz="4" w:space="0" w:color="auto"/>
              <w:bottom w:val="single" w:sz="4" w:space="0" w:color="auto"/>
              <w:right w:val="single" w:sz="4" w:space="0" w:color="auto"/>
            </w:tcBorders>
            <w:vAlign w:val="center"/>
          </w:tcPr>
          <w:p w14:paraId="5E97516F" w14:textId="77777777" w:rsidR="007273C0" w:rsidRPr="00A96AC5" w:rsidRDefault="007273C0" w:rsidP="00B61235">
            <w:pPr>
              <w:snapToGrid w:val="0"/>
              <w:spacing w:line="240" w:lineRule="auto"/>
              <w:rPr>
                <w:rFonts w:cs="Times New Roman"/>
                <w:color w:val="0D0D0D" w:themeColor="text1" w:themeTint="F2"/>
                <w:sz w:val="22"/>
              </w:rPr>
            </w:pPr>
          </w:p>
        </w:tc>
        <w:tc>
          <w:tcPr>
            <w:tcW w:w="1952" w:type="pct"/>
            <w:tcBorders>
              <w:top w:val="single" w:sz="4" w:space="0" w:color="auto"/>
              <w:left w:val="single" w:sz="4" w:space="0" w:color="auto"/>
              <w:bottom w:val="single" w:sz="4" w:space="0" w:color="auto"/>
              <w:right w:val="single" w:sz="4" w:space="0" w:color="auto"/>
            </w:tcBorders>
          </w:tcPr>
          <w:p w14:paraId="6E1BE5A4" w14:textId="77777777" w:rsidR="007273C0" w:rsidRPr="00A96AC5" w:rsidRDefault="007273C0" w:rsidP="00B61235">
            <w:pPr>
              <w:snapToGrid w:val="0"/>
              <w:spacing w:line="240" w:lineRule="auto"/>
              <w:rPr>
                <w:rFonts w:cs="Times New Roman"/>
                <w:color w:val="0D0D0D" w:themeColor="text1" w:themeTint="F2"/>
                <w:sz w:val="22"/>
              </w:rPr>
            </w:pPr>
            <w:r w:rsidRPr="00A96AC5">
              <w:rPr>
                <w:rFonts w:cs="Times New Roman"/>
                <w:color w:val="0D0D0D" w:themeColor="text1" w:themeTint="F2"/>
                <w:sz w:val="22"/>
              </w:rPr>
              <w:t>e.g., vehicle purchase</w:t>
            </w:r>
          </w:p>
        </w:tc>
      </w:tr>
      <w:tr w:rsidR="007273C0" w:rsidRPr="008903D1" w14:paraId="7F2F513C" w14:textId="77777777" w:rsidTr="00F7598C">
        <w:trPr>
          <w:trHeight w:val="99"/>
          <w:jc w:val="center"/>
        </w:trPr>
        <w:tc>
          <w:tcPr>
            <w:tcW w:w="679" w:type="pct"/>
            <w:vMerge/>
            <w:tcBorders>
              <w:left w:val="single" w:sz="4" w:space="0" w:color="auto"/>
              <w:right w:val="single" w:sz="4" w:space="0" w:color="auto"/>
            </w:tcBorders>
          </w:tcPr>
          <w:p w14:paraId="6E4B3010" w14:textId="77777777" w:rsidR="007273C0" w:rsidRPr="00A96AC5" w:rsidRDefault="007273C0" w:rsidP="00B61235">
            <w:pPr>
              <w:snapToGrid w:val="0"/>
              <w:spacing w:line="240" w:lineRule="auto"/>
              <w:rPr>
                <w:rFonts w:cs="Times New Roman"/>
                <w:color w:val="0D0D0D" w:themeColor="text1" w:themeTint="F2"/>
                <w:sz w:val="22"/>
              </w:rPr>
            </w:pPr>
          </w:p>
        </w:tc>
        <w:tc>
          <w:tcPr>
            <w:tcW w:w="1441" w:type="pct"/>
            <w:vMerge w:val="restart"/>
            <w:tcBorders>
              <w:top w:val="single" w:sz="4" w:space="0" w:color="auto"/>
              <w:left w:val="single" w:sz="4" w:space="0" w:color="auto"/>
              <w:bottom w:val="single" w:sz="4" w:space="0" w:color="auto"/>
              <w:right w:val="single" w:sz="4" w:space="0" w:color="auto"/>
            </w:tcBorders>
            <w:vAlign w:val="center"/>
            <w:hideMark/>
          </w:tcPr>
          <w:p w14:paraId="557FBFC3" w14:textId="77777777" w:rsidR="007273C0" w:rsidRPr="00A96AC5" w:rsidRDefault="007273C0" w:rsidP="00B61235">
            <w:pPr>
              <w:snapToGrid w:val="0"/>
              <w:spacing w:line="240" w:lineRule="auto"/>
              <w:rPr>
                <w:rFonts w:cs="Times New Roman"/>
                <w:color w:val="0D0D0D" w:themeColor="text1" w:themeTint="F2"/>
                <w:sz w:val="22"/>
              </w:rPr>
            </w:pPr>
            <w:r w:rsidRPr="00A96AC5">
              <w:rPr>
                <w:rFonts w:cs="Times New Roman"/>
                <w:color w:val="0D0D0D" w:themeColor="text1" w:themeTint="F2"/>
                <w:sz w:val="22"/>
              </w:rPr>
              <w:t>Administrative costs</w:t>
            </w:r>
          </w:p>
        </w:tc>
        <w:tc>
          <w:tcPr>
            <w:tcW w:w="928" w:type="pct"/>
            <w:vMerge w:val="restart"/>
            <w:tcBorders>
              <w:top w:val="single" w:sz="4" w:space="0" w:color="auto"/>
              <w:left w:val="single" w:sz="4" w:space="0" w:color="auto"/>
              <w:bottom w:val="single" w:sz="4" w:space="0" w:color="auto"/>
              <w:right w:val="single" w:sz="4" w:space="0" w:color="auto"/>
            </w:tcBorders>
            <w:vAlign w:val="center"/>
            <w:hideMark/>
          </w:tcPr>
          <w:p w14:paraId="20EC6FB0" w14:textId="77777777" w:rsidR="007273C0" w:rsidRPr="00A96AC5" w:rsidRDefault="007273C0" w:rsidP="00B61235">
            <w:pPr>
              <w:snapToGrid w:val="0"/>
              <w:spacing w:line="240" w:lineRule="auto"/>
              <w:jc w:val="center"/>
              <w:rPr>
                <w:rFonts w:cs="Times New Roman"/>
                <w:color w:val="0D0D0D" w:themeColor="text1" w:themeTint="F2"/>
                <w:sz w:val="22"/>
              </w:rPr>
            </w:pPr>
            <w:proofErr w:type="spellStart"/>
            <w:r w:rsidRPr="00A96AC5">
              <w:rPr>
                <w:rFonts w:cs="Times New Roman"/>
                <w:color w:val="0D0D0D" w:themeColor="text1" w:themeTint="F2"/>
                <w:sz w:val="22"/>
              </w:rPr>
              <w:t>C</w:t>
            </w:r>
            <w:r w:rsidRPr="00A96AC5">
              <w:rPr>
                <w:rFonts w:cs="Times New Roman"/>
                <w:i/>
                <w:iCs/>
                <w:color w:val="0D0D0D" w:themeColor="text1" w:themeTint="F2"/>
                <w:sz w:val="22"/>
                <w:vertAlign w:val="superscript"/>
              </w:rPr>
              <w:t>oc</w:t>
            </w:r>
            <w:proofErr w:type="spellEnd"/>
          </w:p>
        </w:tc>
        <w:tc>
          <w:tcPr>
            <w:tcW w:w="1952" w:type="pct"/>
            <w:tcBorders>
              <w:top w:val="single" w:sz="4" w:space="0" w:color="auto"/>
              <w:left w:val="single" w:sz="4" w:space="0" w:color="auto"/>
              <w:right w:val="single" w:sz="4" w:space="0" w:color="auto"/>
            </w:tcBorders>
          </w:tcPr>
          <w:p w14:paraId="2985703B" w14:textId="77777777" w:rsidR="007273C0" w:rsidRPr="00A96AC5" w:rsidRDefault="007273C0" w:rsidP="00B61235">
            <w:pPr>
              <w:snapToGrid w:val="0"/>
              <w:spacing w:line="240" w:lineRule="auto"/>
              <w:rPr>
                <w:rFonts w:cs="Times New Roman"/>
                <w:color w:val="0D0D0D" w:themeColor="text1" w:themeTint="F2"/>
                <w:sz w:val="22"/>
              </w:rPr>
            </w:pPr>
            <w:r w:rsidRPr="00A96AC5">
              <w:rPr>
                <w:rFonts w:cs="Times New Roman"/>
                <w:color w:val="0D0D0D" w:themeColor="text1" w:themeTint="F2"/>
                <w:sz w:val="22"/>
              </w:rPr>
              <w:t xml:space="preserve">e.g., facility management </w:t>
            </w:r>
          </w:p>
        </w:tc>
      </w:tr>
      <w:tr w:rsidR="007273C0" w:rsidRPr="008903D1" w14:paraId="45C63C93" w14:textId="77777777" w:rsidTr="00F7598C">
        <w:trPr>
          <w:trHeight w:val="215"/>
          <w:jc w:val="center"/>
        </w:trPr>
        <w:tc>
          <w:tcPr>
            <w:tcW w:w="679" w:type="pct"/>
            <w:vMerge/>
            <w:tcBorders>
              <w:left w:val="single" w:sz="4" w:space="0" w:color="auto"/>
              <w:right w:val="single" w:sz="4" w:space="0" w:color="auto"/>
            </w:tcBorders>
          </w:tcPr>
          <w:p w14:paraId="554C67C7" w14:textId="77777777" w:rsidR="007273C0" w:rsidRPr="00A96AC5" w:rsidRDefault="007273C0" w:rsidP="00B61235">
            <w:pPr>
              <w:snapToGrid w:val="0"/>
              <w:spacing w:line="240" w:lineRule="auto"/>
              <w:rPr>
                <w:rFonts w:cs="Times New Roman"/>
                <w:color w:val="0D0D0D" w:themeColor="text1" w:themeTint="F2"/>
                <w:sz w:val="22"/>
              </w:rPr>
            </w:pPr>
          </w:p>
        </w:tc>
        <w:tc>
          <w:tcPr>
            <w:tcW w:w="1441" w:type="pct"/>
            <w:vMerge/>
            <w:tcBorders>
              <w:top w:val="single" w:sz="4" w:space="0" w:color="auto"/>
              <w:left w:val="single" w:sz="4" w:space="0" w:color="auto"/>
              <w:bottom w:val="single" w:sz="4" w:space="0" w:color="auto"/>
              <w:right w:val="single" w:sz="4" w:space="0" w:color="auto"/>
            </w:tcBorders>
            <w:vAlign w:val="center"/>
            <w:hideMark/>
          </w:tcPr>
          <w:p w14:paraId="6F36163B" w14:textId="77777777" w:rsidR="007273C0" w:rsidRPr="00A96AC5" w:rsidRDefault="007273C0" w:rsidP="00B61235">
            <w:pPr>
              <w:snapToGrid w:val="0"/>
              <w:spacing w:line="240" w:lineRule="auto"/>
              <w:rPr>
                <w:rFonts w:cs="Times New Roman"/>
                <w:color w:val="0D0D0D" w:themeColor="text1" w:themeTint="F2"/>
                <w:sz w:val="22"/>
              </w:rPr>
            </w:pPr>
          </w:p>
        </w:tc>
        <w:tc>
          <w:tcPr>
            <w:tcW w:w="928" w:type="pct"/>
            <w:vMerge/>
            <w:tcBorders>
              <w:top w:val="single" w:sz="4" w:space="0" w:color="auto"/>
              <w:left w:val="single" w:sz="4" w:space="0" w:color="auto"/>
              <w:bottom w:val="single" w:sz="4" w:space="0" w:color="auto"/>
              <w:right w:val="single" w:sz="4" w:space="0" w:color="auto"/>
            </w:tcBorders>
            <w:vAlign w:val="center"/>
            <w:hideMark/>
          </w:tcPr>
          <w:p w14:paraId="08FFC694" w14:textId="77777777" w:rsidR="007273C0" w:rsidRPr="00A96AC5" w:rsidRDefault="007273C0" w:rsidP="00B61235">
            <w:pPr>
              <w:snapToGrid w:val="0"/>
              <w:spacing w:line="240" w:lineRule="auto"/>
              <w:rPr>
                <w:rFonts w:cs="Times New Roman"/>
                <w:color w:val="0D0D0D" w:themeColor="text1" w:themeTint="F2"/>
                <w:sz w:val="22"/>
              </w:rPr>
            </w:pPr>
          </w:p>
        </w:tc>
        <w:tc>
          <w:tcPr>
            <w:tcW w:w="1952" w:type="pct"/>
            <w:tcBorders>
              <w:top w:val="single" w:sz="4" w:space="0" w:color="auto"/>
              <w:left w:val="single" w:sz="4" w:space="0" w:color="auto"/>
              <w:right w:val="single" w:sz="4" w:space="0" w:color="auto"/>
            </w:tcBorders>
            <w:hideMark/>
          </w:tcPr>
          <w:p w14:paraId="5771DA08" w14:textId="77777777" w:rsidR="007273C0" w:rsidRPr="00A96AC5" w:rsidRDefault="007273C0" w:rsidP="00B61235">
            <w:pPr>
              <w:snapToGrid w:val="0"/>
              <w:spacing w:line="240" w:lineRule="auto"/>
              <w:rPr>
                <w:rFonts w:cs="Times New Roman"/>
                <w:color w:val="0D0D0D" w:themeColor="text1" w:themeTint="F2"/>
                <w:sz w:val="22"/>
              </w:rPr>
            </w:pPr>
            <w:r w:rsidRPr="00A96AC5">
              <w:rPr>
                <w:rFonts w:cs="Times New Roman"/>
                <w:color w:val="0D0D0D" w:themeColor="text1" w:themeTint="F2"/>
                <w:sz w:val="22"/>
              </w:rPr>
              <w:t xml:space="preserve">e.g., facility operation </w:t>
            </w:r>
          </w:p>
        </w:tc>
      </w:tr>
      <w:tr w:rsidR="007273C0" w:rsidRPr="008903D1" w14:paraId="7D34BB8A" w14:textId="77777777" w:rsidTr="00F7598C">
        <w:trPr>
          <w:jc w:val="center"/>
        </w:trPr>
        <w:tc>
          <w:tcPr>
            <w:tcW w:w="679" w:type="pct"/>
            <w:vMerge/>
            <w:tcBorders>
              <w:left w:val="single" w:sz="4" w:space="0" w:color="auto"/>
              <w:right w:val="single" w:sz="4" w:space="0" w:color="auto"/>
            </w:tcBorders>
          </w:tcPr>
          <w:p w14:paraId="610E9ACF" w14:textId="77777777" w:rsidR="007273C0" w:rsidRPr="00A96AC5" w:rsidRDefault="007273C0" w:rsidP="00B61235">
            <w:pPr>
              <w:snapToGrid w:val="0"/>
              <w:spacing w:line="240" w:lineRule="auto"/>
              <w:rPr>
                <w:rFonts w:cs="Times New Roman"/>
                <w:color w:val="0D0D0D" w:themeColor="text1" w:themeTint="F2"/>
                <w:sz w:val="22"/>
              </w:rPr>
            </w:pPr>
          </w:p>
        </w:tc>
        <w:tc>
          <w:tcPr>
            <w:tcW w:w="1441" w:type="pct"/>
            <w:vMerge w:val="restart"/>
            <w:tcBorders>
              <w:top w:val="single" w:sz="4" w:space="0" w:color="auto"/>
              <w:left w:val="single" w:sz="4" w:space="0" w:color="auto"/>
              <w:right w:val="single" w:sz="4" w:space="0" w:color="auto"/>
            </w:tcBorders>
            <w:vAlign w:val="center"/>
            <w:hideMark/>
          </w:tcPr>
          <w:p w14:paraId="0855D503" w14:textId="77777777" w:rsidR="007273C0" w:rsidRPr="00A96AC5" w:rsidRDefault="007273C0" w:rsidP="00B61235">
            <w:pPr>
              <w:snapToGrid w:val="0"/>
              <w:spacing w:line="240" w:lineRule="auto"/>
              <w:rPr>
                <w:rFonts w:cs="Times New Roman"/>
                <w:color w:val="0D0D0D" w:themeColor="text1" w:themeTint="F2"/>
                <w:sz w:val="22"/>
              </w:rPr>
            </w:pPr>
            <w:r w:rsidRPr="00A96AC5">
              <w:rPr>
                <w:rFonts w:cs="Times New Roman"/>
                <w:color w:val="0D0D0D" w:themeColor="text1" w:themeTint="F2"/>
                <w:sz w:val="22"/>
              </w:rPr>
              <w:t>Overheads</w:t>
            </w:r>
          </w:p>
        </w:tc>
        <w:tc>
          <w:tcPr>
            <w:tcW w:w="928" w:type="pct"/>
            <w:vMerge w:val="restart"/>
            <w:tcBorders>
              <w:top w:val="single" w:sz="4" w:space="0" w:color="auto"/>
              <w:left w:val="single" w:sz="4" w:space="0" w:color="auto"/>
              <w:right w:val="single" w:sz="4" w:space="0" w:color="auto"/>
            </w:tcBorders>
            <w:vAlign w:val="center"/>
            <w:hideMark/>
          </w:tcPr>
          <w:p w14:paraId="5FD99773" w14:textId="77777777" w:rsidR="007273C0" w:rsidRPr="00A96AC5" w:rsidRDefault="007273C0" w:rsidP="00B61235">
            <w:pPr>
              <w:snapToGrid w:val="0"/>
              <w:spacing w:line="240" w:lineRule="auto"/>
              <w:jc w:val="center"/>
              <w:rPr>
                <w:rFonts w:cs="Times New Roman"/>
                <w:color w:val="0D0D0D" w:themeColor="text1" w:themeTint="F2"/>
                <w:sz w:val="22"/>
              </w:rPr>
            </w:pPr>
            <w:proofErr w:type="spellStart"/>
            <w:r w:rsidRPr="00A96AC5">
              <w:rPr>
                <w:rFonts w:cs="Times New Roman"/>
                <w:color w:val="0D0D0D" w:themeColor="text1" w:themeTint="F2"/>
                <w:sz w:val="22"/>
              </w:rPr>
              <w:t>C</w:t>
            </w:r>
            <w:r w:rsidRPr="00A96AC5">
              <w:rPr>
                <w:rFonts w:cs="Times New Roman"/>
                <w:i/>
                <w:iCs/>
                <w:color w:val="0D0D0D" w:themeColor="text1" w:themeTint="F2"/>
                <w:sz w:val="22"/>
                <w:vertAlign w:val="superscript"/>
              </w:rPr>
              <w:t>ov</w:t>
            </w:r>
            <w:proofErr w:type="spellEnd"/>
          </w:p>
        </w:tc>
        <w:tc>
          <w:tcPr>
            <w:tcW w:w="1952" w:type="pct"/>
            <w:tcBorders>
              <w:top w:val="single" w:sz="4" w:space="0" w:color="auto"/>
              <w:left w:val="single" w:sz="4" w:space="0" w:color="auto"/>
              <w:bottom w:val="single" w:sz="4" w:space="0" w:color="auto"/>
              <w:right w:val="single" w:sz="4" w:space="0" w:color="auto"/>
            </w:tcBorders>
            <w:hideMark/>
          </w:tcPr>
          <w:p w14:paraId="3993FBEE" w14:textId="77777777" w:rsidR="007273C0" w:rsidRPr="00A96AC5" w:rsidRDefault="007273C0" w:rsidP="00B61235">
            <w:pPr>
              <w:snapToGrid w:val="0"/>
              <w:spacing w:line="240" w:lineRule="auto"/>
              <w:rPr>
                <w:rFonts w:cs="Times New Roman"/>
                <w:color w:val="0D0D0D" w:themeColor="text1" w:themeTint="F2"/>
                <w:sz w:val="22"/>
              </w:rPr>
            </w:pPr>
            <w:r w:rsidRPr="00A96AC5">
              <w:rPr>
                <w:rFonts w:cs="Times New Roman"/>
                <w:color w:val="0D0D0D" w:themeColor="text1" w:themeTint="F2"/>
                <w:sz w:val="22"/>
              </w:rPr>
              <w:t>e.g., communication</w:t>
            </w:r>
          </w:p>
        </w:tc>
      </w:tr>
      <w:tr w:rsidR="007273C0" w:rsidRPr="008903D1" w14:paraId="705FA8E3" w14:textId="77777777" w:rsidTr="00F7598C">
        <w:trPr>
          <w:jc w:val="center"/>
        </w:trPr>
        <w:tc>
          <w:tcPr>
            <w:tcW w:w="679" w:type="pct"/>
            <w:vMerge/>
            <w:tcBorders>
              <w:left w:val="single" w:sz="4" w:space="0" w:color="auto"/>
              <w:right w:val="single" w:sz="4" w:space="0" w:color="auto"/>
            </w:tcBorders>
          </w:tcPr>
          <w:p w14:paraId="6B0B946B" w14:textId="77777777" w:rsidR="007273C0" w:rsidRPr="00A96AC5" w:rsidRDefault="007273C0" w:rsidP="00B61235">
            <w:pPr>
              <w:snapToGrid w:val="0"/>
              <w:spacing w:line="240" w:lineRule="auto"/>
              <w:rPr>
                <w:rFonts w:cs="Times New Roman"/>
                <w:color w:val="0D0D0D" w:themeColor="text1" w:themeTint="F2"/>
                <w:sz w:val="22"/>
              </w:rPr>
            </w:pPr>
          </w:p>
        </w:tc>
        <w:tc>
          <w:tcPr>
            <w:tcW w:w="1441" w:type="pct"/>
            <w:vMerge/>
            <w:tcBorders>
              <w:left w:val="single" w:sz="4" w:space="0" w:color="auto"/>
              <w:right w:val="single" w:sz="4" w:space="0" w:color="auto"/>
            </w:tcBorders>
            <w:vAlign w:val="center"/>
            <w:hideMark/>
          </w:tcPr>
          <w:p w14:paraId="3649AD4E" w14:textId="77777777" w:rsidR="007273C0" w:rsidRPr="00A96AC5" w:rsidRDefault="007273C0" w:rsidP="00B61235">
            <w:pPr>
              <w:snapToGrid w:val="0"/>
              <w:spacing w:line="240" w:lineRule="auto"/>
              <w:rPr>
                <w:rFonts w:cs="Times New Roman"/>
                <w:color w:val="0D0D0D" w:themeColor="text1" w:themeTint="F2"/>
                <w:sz w:val="22"/>
              </w:rPr>
            </w:pPr>
          </w:p>
        </w:tc>
        <w:tc>
          <w:tcPr>
            <w:tcW w:w="928" w:type="pct"/>
            <w:vMerge/>
            <w:tcBorders>
              <w:left w:val="single" w:sz="4" w:space="0" w:color="auto"/>
              <w:right w:val="single" w:sz="4" w:space="0" w:color="auto"/>
            </w:tcBorders>
            <w:vAlign w:val="center"/>
            <w:hideMark/>
          </w:tcPr>
          <w:p w14:paraId="438A5A7C" w14:textId="77777777" w:rsidR="007273C0" w:rsidRPr="00A96AC5" w:rsidRDefault="007273C0" w:rsidP="00B61235">
            <w:pPr>
              <w:snapToGrid w:val="0"/>
              <w:spacing w:line="240" w:lineRule="auto"/>
              <w:rPr>
                <w:rFonts w:cs="Times New Roman"/>
                <w:color w:val="0D0D0D" w:themeColor="text1" w:themeTint="F2"/>
                <w:sz w:val="22"/>
              </w:rPr>
            </w:pPr>
          </w:p>
        </w:tc>
        <w:tc>
          <w:tcPr>
            <w:tcW w:w="1952" w:type="pct"/>
            <w:tcBorders>
              <w:top w:val="single" w:sz="4" w:space="0" w:color="auto"/>
              <w:left w:val="single" w:sz="4" w:space="0" w:color="auto"/>
              <w:bottom w:val="single" w:sz="4" w:space="0" w:color="auto"/>
              <w:right w:val="single" w:sz="4" w:space="0" w:color="auto"/>
            </w:tcBorders>
            <w:hideMark/>
          </w:tcPr>
          <w:p w14:paraId="2DBE1606" w14:textId="77777777" w:rsidR="007273C0" w:rsidRPr="00A96AC5" w:rsidRDefault="007273C0" w:rsidP="00B61235">
            <w:pPr>
              <w:snapToGrid w:val="0"/>
              <w:spacing w:line="240" w:lineRule="auto"/>
              <w:rPr>
                <w:rFonts w:cs="Times New Roman"/>
                <w:color w:val="0D0D0D" w:themeColor="text1" w:themeTint="F2"/>
                <w:sz w:val="22"/>
              </w:rPr>
            </w:pPr>
            <w:r w:rsidRPr="00A96AC5">
              <w:rPr>
                <w:rFonts w:cs="Times New Roman"/>
                <w:color w:val="0D0D0D" w:themeColor="text1" w:themeTint="F2"/>
                <w:sz w:val="22"/>
              </w:rPr>
              <w:t>e.g., financial management</w:t>
            </w:r>
          </w:p>
        </w:tc>
      </w:tr>
      <w:tr w:rsidR="007273C0" w:rsidRPr="008903D1" w14:paraId="614AD804" w14:textId="77777777" w:rsidTr="00F7598C">
        <w:trPr>
          <w:jc w:val="center"/>
        </w:trPr>
        <w:tc>
          <w:tcPr>
            <w:tcW w:w="679" w:type="pct"/>
            <w:vMerge/>
            <w:tcBorders>
              <w:left w:val="single" w:sz="4" w:space="0" w:color="auto"/>
              <w:right w:val="single" w:sz="4" w:space="0" w:color="auto"/>
            </w:tcBorders>
          </w:tcPr>
          <w:p w14:paraId="20DEFBF6" w14:textId="77777777" w:rsidR="007273C0" w:rsidRPr="00A96AC5" w:rsidRDefault="007273C0" w:rsidP="00B61235">
            <w:pPr>
              <w:snapToGrid w:val="0"/>
              <w:spacing w:line="240" w:lineRule="auto"/>
              <w:rPr>
                <w:rFonts w:cs="Times New Roman"/>
                <w:color w:val="0D0D0D" w:themeColor="text1" w:themeTint="F2"/>
                <w:sz w:val="22"/>
              </w:rPr>
            </w:pPr>
          </w:p>
        </w:tc>
        <w:tc>
          <w:tcPr>
            <w:tcW w:w="1441" w:type="pct"/>
            <w:vMerge/>
            <w:tcBorders>
              <w:left w:val="single" w:sz="4" w:space="0" w:color="auto"/>
              <w:right w:val="single" w:sz="4" w:space="0" w:color="auto"/>
            </w:tcBorders>
            <w:vAlign w:val="center"/>
            <w:hideMark/>
          </w:tcPr>
          <w:p w14:paraId="2574CAA2" w14:textId="77777777" w:rsidR="007273C0" w:rsidRPr="00A96AC5" w:rsidRDefault="007273C0" w:rsidP="00B61235">
            <w:pPr>
              <w:snapToGrid w:val="0"/>
              <w:spacing w:line="240" w:lineRule="auto"/>
              <w:rPr>
                <w:rFonts w:cs="Times New Roman"/>
                <w:color w:val="0D0D0D" w:themeColor="text1" w:themeTint="F2"/>
                <w:sz w:val="22"/>
              </w:rPr>
            </w:pPr>
          </w:p>
        </w:tc>
        <w:tc>
          <w:tcPr>
            <w:tcW w:w="928" w:type="pct"/>
            <w:vMerge/>
            <w:tcBorders>
              <w:left w:val="single" w:sz="4" w:space="0" w:color="auto"/>
              <w:right w:val="single" w:sz="4" w:space="0" w:color="auto"/>
            </w:tcBorders>
            <w:vAlign w:val="center"/>
            <w:hideMark/>
          </w:tcPr>
          <w:p w14:paraId="0C8E8085" w14:textId="77777777" w:rsidR="007273C0" w:rsidRPr="00A96AC5" w:rsidRDefault="007273C0" w:rsidP="00B61235">
            <w:pPr>
              <w:snapToGrid w:val="0"/>
              <w:spacing w:line="240" w:lineRule="auto"/>
              <w:rPr>
                <w:rFonts w:cs="Times New Roman"/>
                <w:color w:val="0D0D0D" w:themeColor="text1" w:themeTint="F2"/>
                <w:sz w:val="22"/>
              </w:rPr>
            </w:pPr>
          </w:p>
        </w:tc>
        <w:tc>
          <w:tcPr>
            <w:tcW w:w="1952" w:type="pct"/>
            <w:tcBorders>
              <w:top w:val="single" w:sz="4" w:space="0" w:color="auto"/>
              <w:left w:val="single" w:sz="4" w:space="0" w:color="auto"/>
              <w:bottom w:val="single" w:sz="4" w:space="0" w:color="auto"/>
              <w:right w:val="single" w:sz="4" w:space="0" w:color="auto"/>
            </w:tcBorders>
            <w:hideMark/>
          </w:tcPr>
          <w:p w14:paraId="51E535B9" w14:textId="77777777" w:rsidR="007273C0" w:rsidRPr="00A96AC5" w:rsidRDefault="007273C0" w:rsidP="00B61235">
            <w:pPr>
              <w:snapToGrid w:val="0"/>
              <w:spacing w:line="240" w:lineRule="auto"/>
              <w:rPr>
                <w:rFonts w:cs="Times New Roman"/>
                <w:b/>
                <w:bCs/>
                <w:color w:val="0D0D0D" w:themeColor="text1" w:themeTint="F2"/>
                <w:sz w:val="22"/>
              </w:rPr>
            </w:pPr>
            <w:r w:rsidRPr="00A96AC5">
              <w:rPr>
                <w:rFonts w:cs="Times New Roman"/>
                <w:color w:val="0D0D0D" w:themeColor="text1" w:themeTint="F2"/>
                <w:sz w:val="22"/>
              </w:rPr>
              <w:t>e.g., cleaning</w:t>
            </w:r>
          </w:p>
        </w:tc>
      </w:tr>
      <w:tr w:rsidR="007273C0" w:rsidRPr="008903D1" w14:paraId="0CAEEE29" w14:textId="77777777" w:rsidTr="00F7598C">
        <w:trPr>
          <w:jc w:val="center"/>
        </w:trPr>
        <w:tc>
          <w:tcPr>
            <w:tcW w:w="679" w:type="pct"/>
            <w:vMerge/>
            <w:tcBorders>
              <w:left w:val="single" w:sz="4" w:space="0" w:color="auto"/>
              <w:right w:val="single" w:sz="4" w:space="0" w:color="auto"/>
            </w:tcBorders>
          </w:tcPr>
          <w:p w14:paraId="0F4DFB2E" w14:textId="77777777" w:rsidR="007273C0" w:rsidRPr="00A96AC5" w:rsidRDefault="007273C0" w:rsidP="00B61235">
            <w:pPr>
              <w:snapToGrid w:val="0"/>
              <w:spacing w:line="240" w:lineRule="auto"/>
              <w:rPr>
                <w:rFonts w:cs="Times New Roman"/>
                <w:color w:val="0D0D0D" w:themeColor="text1" w:themeTint="F2"/>
                <w:sz w:val="22"/>
              </w:rPr>
            </w:pPr>
          </w:p>
        </w:tc>
        <w:tc>
          <w:tcPr>
            <w:tcW w:w="1441" w:type="pct"/>
            <w:vMerge/>
            <w:tcBorders>
              <w:left w:val="single" w:sz="4" w:space="0" w:color="auto"/>
              <w:right w:val="single" w:sz="4" w:space="0" w:color="auto"/>
            </w:tcBorders>
            <w:vAlign w:val="center"/>
          </w:tcPr>
          <w:p w14:paraId="3DA9D280" w14:textId="77777777" w:rsidR="007273C0" w:rsidRPr="00A96AC5" w:rsidRDefault="007273C0" w:rsidP="00B61235">
            <w:pPr>
              <w:snapToGrid w:val="0"/>
              <w:spacing w:line="240" w:lineRule="auto"/>
              <w:rPr>
                <w:rFonts w:cs="Times New Roman"/>
                <w:color w:val="0D0D0D" w:themeColor="text1" w:themeTint="F2"/>
                <w:sz w:val="22"/>
              </w:rPr>
            </w:pPr>
          </w:p>
        </w:tc>
        <w:tc>
          <w:tcPr>
            <w:tcW w:w="928" w:type="pct"/>
            <w:vMerge/>
            <w:tcBorders>
              <w:left w:val="single" w:sz="4" w:space="0" w:color="auto"/>
              <w:right w:val="single" w:sz="4" w:space="0" w:color="auto"/>
            </w:tcBorders>
            <w:vAlign w:val="center"/>
          </w:tcPr>
          <w:p w14:paraId="36FD5A95" w14:textId="77777777" w:rsidR="007273C0" w:rsidRPr="00A96AC5" w:rsidRDefault="007273C0" w:rsidP="00B61235">
            <w:pPr>
              <w:snapToGrid w:val="0"/>
              <w:spacing w:line="240" w:lineRule="auto"/>
              <w:rPr>
                <w:rFonts w:cs="Times New Roman"/>
                <w:color w:val="0D0D0D" w:themeColor="text1" w:themeTint="F2"/>
                <w:sz w:val="22"/>
              </w:rPr>
            </w:pPr>
          </w:p>
        </w:tc>
        <w:tc>
          <w:tcPr>
            <w:tcW w:w="1952" w:type="pct"/>
            <w:tcBorders>
              <w:top w:val="single" w:sz="4" w:space="0" w:color="auto"/>
              <w:left w:val="single" w:sz="4" w:space="0" w:color="auto"/>
              <w:bottom w:val="single" w:sz="4" w:space="0" w:color="auto"/>
              <w:right w:val="single" w:sz="4" w:space="0" w:color="auto"/>
            </w:tcBorders>
          </w:tcPr>
          <w:p w14:paraId="3088D70D" w14:textId="77777777" w:rsidR="007273C0" w:rsidRPr="00A96AC5" w:rsidRDefault="007273C0" w:rsidP="00B61235">
            <w:pPr>
              <w:snapToGrid w:val="0"/>
              <w:spacing w:line="240" w:lineRule="auto"/>
              <w:rPr>
                <w:rFonts w:cs="Times New Roman"/>
                <w:color w:val="0D0D0D" w:themeColor="text1" w:themeTint="F2"/>
                <w:sz w:val="22"/>
              </w:rPr>
            </w:pPr>
            <w:r w:rsidRPr="00A96AC5">
              <w:rPr>
                <w:rFonts w:cs="Times New Roman"/>
                <w:color w:val="0D0D0D" w:themeColor="text1" w:themeTint="F2"/>
                <w:sz w:val="22"/>
              </w:rPr>
              <w:t>e.g., waste disposal</w:t>
            </w:r>
          </w:p>
        </w:tc>
      </w:tr>
      <w:tr w:rsidR="007273C0" w:rsidRPr="008903D1" w14:paraId="645D1528" w14:textId="77777777" w:rsidTr="00F7598C">
        <w:trPr>
          <w:trHeight w:val="54"/>
          <w:jc w:val="center"/>
        </w:trPr>
        <w:tc>
          <w:tcPr>
            <w:tcW w:w="679" w:type="pct"/>
            <w:vMerge/>
            <w:tcBorders>
              <w:left w:val="single" w:sz="4" w:space="0" w:color="auto"/>
              <w:bottom w:val="single" w:sz="4" w:space="0" w:color="auto"/>
              <w:right w:val="single" w:sz="4" w:space="0" w:color="auto"/>
            </w:tcBorders>
          </w:tcPr>
          <w:p w14:paraId="2DF3459B" w14:textId="77777777" w:rsidR="007273C0" w:rsidRPr="00A96AC5" w:rsidRDefault="007273C0" w:rsidP="00B61235">
            <w:pPr>
              <w:snapToGrid w:val="0"/>
              <w:spacing w:line="240" w:lineRule="auto"/>
              <w:rPr>
                <w:rFonts w:cs="Times New Roman"/>
                <w:color w:val="0D0D0D" w:themeColor="text1" w:themeTint="F2"/>
                <w:sz w:val="22"/>
              </w:rPr>
            </w:pPr>
          </w:p>
        </w:tc>
        <w:tc>
          <w:tcPr>
            <w:tcW w:w="1441" w:type="pct"/>
            <w:vMerge/>
            <w:tcBorders>
              <w:left w:val="single" w:sz="4" w:space="0" w:color="auto"/>
              <w:bottom w:val="single" w:sz="4" w:space="0" w:color="auto"/>
              <w:right w:val="single" w:sz="4" w:space="0" w:color="auto"/>
            </w:tcBorders>
            <w:vAlign w:val="center"/>
          </w:tcPr>
          <w:p w14:paraId="68C21350" w14:textId="77777777" w:rsidR="007273C0" w:rsidRPr="00A96AC5" w:rsidRDefault="007273C0" w:rsidP="00B61235">
            <w:pPr>
              <w:snapToGrid w:val="0"/>
              <w:spacing w:line="240" w:lineRule="auto"/>
              <w:rPr>
                <w:rFonts w:cs="Times New Roman"/>
                <w:color w:val="0D0D0D" w:themeColor="text1" w:themeTint="F2"/>
                <w:sz w:val="22"/>
              </w:rPr>
            </w:pPr>
          </w:p>
        </w:tc>
        <w:tc>
          <w:tcPr>
            <w:tcW w:w="928" w:type="pct"/>
            <w:vMerge/>
            <w:tcBorders>
              <w:left w:val="single" w:sz="4" w:space="0" w:color="auto"/>
              <w:bottom w:val="single" w:sz="4" w:space="0" w:color="auto"/>
              <w:right w:val="single" w:sz="4" w:space="0" w:color="auto"/>
            </w:tcBorders>
            <w:vAlign w:val="center"/>
          </w:tcPr>
          <w:p w14:paraId="786BD341" w14:textId="77777777" w:rsidR="007273C0" w:rsidRPr="00A96AC5" w:rsidRDefault="007273C0" w:rsidP="00B61235">
            <w:pPr>
              <w:snapToGrid w:val="0"/>
              <w:spacing w:line="240" w:lineRule="auto"/>
              <w:rPr>
                <w:rFonts w:cs="Times New Roman"/>
                <w:color w:val="0D0D0D" w:themeColor="text1" w:themeTint="F2"/>
                <w:sz w:val="22"/>
              </w:rPr>
            </w:pPr>
          </w:p>
        </w:tc>
        <w:tc>
          <w:tcPr>
            <w:tcW w:w="1952" w:type="pct"/>
            <w:tcBorders>
              <w:top w:val="single" w:sz="4" w:space="0" w:color="auto"/>
              <w:left w:val="single" w:sz="4" w:space="0" w:color="auto"/>
              <w:bottom w:val="single" w:sz="4" w:space="0" w:color="auto"/>
              <w:right w:val="single" w:sz="4" w:space="0" w:color="auto"/>
            </w:tcBorders>
          </w:tcPr>
          <w:p w14:paraId="5B9453BB" w14:textId="77777777" w:rsidR="007273C0" w:rsidRPr="00A96AC5" w:rsidRDefault="007273C0" w:rsidP="00B61235">
            <w:pPr>
              <w:snapToGrid w:val="0"/>
              <w:spacing w:line="240" w:lineRule="auto"/>
              <w:rPr>
                <w:rFonts w:cs="Times New Roman"/>
                <w:color w:val="0D0D0D" w:themeColor="text1" w:themeTint="F2"/>
                <w:sz w:val="22"/>
              </w:rPr>
            </w:pPr>
            <w:r w:rsidRPr="00A96AC5">
              <w:rPr>
                <w:rFonts w:cs="Times New Roman"/>
                <w:color w:val="0D0D0D" w:themeColor="text1" w:themeTint="F2"/>
                <w:sz w:val="22"/>
              </w:rPr>
              <w:t>e.g., facility safety</w:t>
            </w:r>
          </w:p>
        </w:tc>
      </w:tr>
    </w:tbl>
    <w:p w14:paraId="620192C5" w14:textId="3975C142" w:rsidR="007273C0" w:rsidRPr="00737239" w:rsidRDefault="007B5959" w:rsidP="00B61235">
      <w:pPr>
        <w:pStyle w:val="Caption"/>
        <w:spacing w:line="360" w:lineRule="auto"/>
        <w:rPr>
          <w:rFonts w:cs="Times New Roman"/>
        </w:rPr>
      </w:pPr>
      <w:bookmarkStart w:id="654" w:name="_Ref44951701"/>
      <w:bookmarkStart w:id="655" w:name="_Toc34674984"/>
      <w:bookmarkStart w:id="656" w:name="_Toc34734776"/>
      <w:bookmarkStart w:id="657" w:name="_Toc46053561"/>
      <w:bookmarkStart w:id="658" w:name="_Toc46093810"/>
      <w:bookmarkStart w:id="659" w:name="_Toc66698777"/>
      <w:r>
        <w:rPr>
          <w:rFonts w:cs="Times New Roman"/>
        </w:rPr>
        <w:t>Table</w:t>
      </w:r>
      <w:r w:rsidR="007273C0"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4</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1</w:t>
      </w:r>
      <w:r w:rsidR="00FE10DA">
        <w:rPr>
          <w:rFonts w:cs="Times New Roman"/>
        </w:rPr>
        <w:fldChar w:fldCharType="end"/>
      </w:r>
      <w:bookmarkEnd w:id="654"/>
      <w:r w:rsidR="00AF217C">
        <w:rPr>
          <w:rFonts w:cs="Times New Roman"/>
        </w:rPr>
        <w:t>:</w:t>
      </w:r>
      <w:r w:rsidR="007273C0" w:rsidRPr="008903D1">
        <w:rPr>
          <w:rFonts w:cs="Times New Roman"/>
        </w:rPr>
        <w:t xml:space="preserve"> Categories of fixed costs for the urban consolidation centre (UCC)</w:t>
      </w:r>
      <w:bookmarkEnd w:id="655"/>
      <w:bookmarkEnd w:id="656"/>
      <w:bookmarkEnd w:id="657"/>
      <w:bookmarkEnd w:id="658"/>
      <w:bookmarkEnd w:id="659"/>
    </w:p>
    <w:p w14:paraId="71687757" w14:textId="45A8DD3C" w:rsidR="007273C0" w:rsidRPr="008903D1" w:rsidRDefault="007273C0" w:rsidP="0092585F">
      <w:pPr>
        <w:pStyle w:val="MTDisplayEquation"/>
        <w:spacing w:before="240" w:after="240" w:line="360" w:lineRule="auto"/>
        <w:rPr>
          <w:lang w:val="en-GB"/>
        </w:rPr>
      </w:pPr>
      <w:r w:rsidRPr="008903D1">
        <w:rPr>
          <w:lang w:val="en-GB"/>
        </w:rPr>
        <w:tab/>
      </w:r>
      <w:r w:rsidR="006B2CFD">
        <w:rPr>
          <w:noProof/>
          <w:position w:val="-6"/>
          <w:lang w:val="en-GB" w:eastAsia="en-GB"/>
        </w:rPr>
        <w:drawing>
          <wp:inline distT="0" distB="0" distL="0" distR="0" wp14:anchorId="47F9C261" wp14:editId="26412536">
            <wp:extent cx="2469515" cy="194310"/>
            <wp:effectExtent l="0" t="0" r="0" b="0"/>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69515" cy="194310"/>
                    </a:xfrm>
                    <a:prstGeom prst="rect">
                      <a:avLst/>
                    </a:prstGeom>
                    <a:noFill/>
                    <a:ln>
                      <a:noFill/>
                    </a:ln>
                  </pic:spPr>
                </pic:pic>
              </a:graphicData>
            </a:graphic>
          </wp:inline>
        </w:drawing>
      </w:r>
      <w:r w:rsidRPr="008903D1">
        <w:rPr>
          <w:lang w:val="en-GB"/>
        </w:rPr>
        <w:tab/>
      </w:r>
      <w:r w:rsidRPr="00A96AC5">
        <w:rPr>
          <w:lang w:val="en-GB"/>
        </w:rPr>
        <w:fldChar w:fldCharType="begin"/>
      </w:r>
      <w:r w:rsidRPr="008903D1">
        <w:rPr>
          <w:lang w:val="en-GB"/>
        </w:rPr>
        <w:instrText xml:space="preserve"> MACROBUTTON MTPlaceRef \* MERGEFORMAT </w:instrText>
      </w:r>
      <w:r w:rsidRPr="00A96AC5">
        <w:rPr>
          <w:lang w:val="en-GB"/>
        </w:rPr>
        <w:fldChar w:fldCharType="begin"/>
      </w:r>
      <w:r w:rsidRPr="008903D1">
        <w:rPr>
          <w:lang w:val="en-GB"/>
        </w:rPr>
        <w:instrText xml:space="preserve"> SEQ MTEqn \h \* MERGEFORMAT </w:instrText>
      </w:r>
      <w:r w:rsidRPr="00A96AC5">
        <w:rPr>
          <w:lang w:val="en-GB"/>
        </w:rPr>
        <w:fldChar w:fldCharType="end"/>
      </w:r>
      <w:r w:rsidRPr="008903D1">
        <w:rPr>
          <w:lang w:val="en-GB"/>
        </w:rPr>
        <w:instrText>(</w:instrText>
      </w:r>
      <w:r w:rsidRPr="00802DC5">
        <w:rPr>
          <w:lang w:val="en-GB"/>
        </w:rPr>
        <w:fldChar w:fldCharType="begin"/>
      </w:r>
      <w:r w:rsidRPr="008903D1">
        <w:rPr>
          <w:lang w:val="en-GB"/>
        </w:rPr>
        <w:instrText xml:space="preserve"> SEQ MTEqn \c \* Arabic \* MERGEFORMAT </w:instrText>
      </w:r>
      <w:r w:rsidRPr="00802DC5">
        <w:rPr>
          <w:lang w:val="en-GB"/>
        </w:rPr>
        <w:fldChar w:fldCharType="separate"/>
      </w:r>
      <w:r w:rsidR="0005064B">
        <w:rPr>
          <w:noProof/>
          <w:lang w:val="en-GB"/>
        </w:rPr>
        <w:instrText>2</w:instrText>
      </w:r>
      <w:r w:rsidRPr="00802DC5">
        <w:rPr>
          <w:noProof/>
          <w:lang w:val="en-GB"/>
        </w:rPr>
        <w:fldChar w:fldCharType="end"/>
      </w:r>
      <w:r w:rsidRPr="008903D1">
        <w:rPr>
          <w:lang w:val="en-GB"/>
        </w:rPr>
        <w:instrText>)</w:instrText>
      </w:r>
      <w:r w:rsidRPr="00A96AC5">
        <w:rPr>
          <w:lang w:val="en-GB"/>
        </w:rPr>
        <w:fldChar w:fldCharType="end"/>
      </w:r>
      <w:r w:rsidRPr="008903D1">
        <w:rPr>
          <w:lang w:val="en-GB"/>
        </w:rPr>
        <w:tab/>
      </w:r>
    </w:p>
    <w:p w14:paraId="4FB73466" w14:textId="77777777" w:rsidR="007273C0" w:rsidRPr="00802DC5" w:rsidRDefault="007273C0" w:rsidP="000A4E8C">
      <w:pPr>
        <w:pStyle w:val="Heading2"/>
        <w:spacing w:after="120" w:line="360" w:lineRule="auto"/>
        <w:rPr>
          <w:rFonts w:cs="Times New Roman"/>
        </w:rPr>
      </w:pPr>
      <w:bookmarkStart w:id="660" w:name="_Ref34734144"/>
      <w:bookmarkStart w:id="661" w:name="_Toc34734559"/>
      <w:bookmarkStart w:id="662" w:name="_Toc46053450"/>
      <w:bookmarkStart w:id="663" w:name="_Toc46093364"/>
      <w:bookmarkStart w:id="664" w:name="_Toc46093647"/>
      <w:bookmarkStart w:id="665" w:name="_Toc66703223"/>
      <w:r w:rsidRPr="00737239">
        <w:rPr>
          <w:rFonts w:cs="Times New Roman"/>
        </w:rPr>
        <w:t>Variable cost of the urban consolidation centre (UCC)</w:t>
      </w:r>
      <w:bookmarkEnd w:id="660"/>
      <w:bookmarkEnd w:id="661"/>
      <w:bookmarkEnd w:id="662"/>
      <w:bookmarkEnd w:id="663"/>
      <w:bookmarkEnd w:id="664"/>
      <w:bookmarkEnd w:id="665"/>
    </w:p>
    <w:p w14:paraId="42620732" w14:textId="6C5B4FE2" w:rsidR="007273C0" w:rsidRPr="00737239" w:rsidRDefault="007273C0" w:rsidP="0092585F">
      <w:pPr>
        <w:spacing w:after="240" w:line="360" w:lineRule="auto"/>
        <w:rPr>
          <w:rFonts w:cs="Times New Roman"/>
        </w:rPr>
      </w:pPr>
      <w:r w:rsidRPr="006C301D">
        <w:rPr>
          <w:rFonts w:cs="Times New Roman"/>
          <w:color w:val="0D0D0D" w:themeColor="text1" w:themeTint="F2"/>
          <w:shd w:val="clear" w:color="auto" w:fill="FFFFFF"/>
        </w:rPr>
        <w:t>Variable costs are related to the goods movement process in the supply chain of the UCC facility.</w:t>
      </w:r>
      <w:r w:rsidRPr="00A96AC5">
        <w:rPr>
          <w:rFonts w:cs="Times New Roman"/>
        </w:rPr>
        <w:t xml:space="preserve"> A </w:t>
      </w:r>
      <w:r w:rsidRPr="00A96AC5">
        <w:rPr>
          <w:rFonts w:cs="Times New Roman"/>
          <w:color w:val="0D0D0D" w:themeColor="text1" w:themeTint="F2"/>
        </w:rPr>
        <w:t>typical path from the UCC (after the intercity carriers arrive at the facility) to the consignee can be defined as follows (</w:t>
      </w:r>
      <w:r w:rsidRPr="00737239">
        <w:rPr>
          <w:rFonts w:cs="Times New Roman"/>
          <w:color w:val="0D0D0D" w:themeColor="text1" w:themeTint="F2"/>
        </w:rPr>
        <w:fldChar w:fldCharType="begin"/>
      </w:r>
      <w:r w:rsidRPr="00A96AC5">
        <w:rPr>
          <w:rFonts w:cs="Times New Roman"/>
          <w:color w:val="0D0D0D" w:themeColor="text1" w:themeTint="F2"/>
        </w:rPr>
        <w:instrText xml:space="preserve"> REF _Ref34732332 \h </w:instrText>
      </w:r>
      <w:r w:rsidR="008903D1">
        <w:rPr>
          <w:rFonts w:cs="Times New Roman"/>
          <w:color w:val="0D0D0D" w:themeColor="text1" w:themeTint="F2"/>
        </w:rPr>
        <w:instrText xml:space="preserve"> \* MERGEFORMAT </w:instrText>
      </w:r>
      <w:r w:rsidRPr="00737239">
        <w:rPr>
          <w:rFonts w:cs="Times New Roman"/>
          <w:color w:val="0D0D0D" w:themeColor="text1" w:themeTint="F2"/>
        </w:rPr>
      </w:r>
      <w:r w:rsidRPr="00737239">
        <w:rPr>
          <w:rFonts w:cs="Times New Roman"/>
          <w:color w:val="0D0D0D" w:themeColor="text1" w:themeTint="F2"/>
        </w:rPr>
        <w:fldChar w:fldCharType="separate"/>
      </w:r>
      <w:r w:rsidR="0005064B" w:rsidRPr="00737239">
        <w:rPr>
          <w:rFonts w:cs="Times New Roman"/>
        </w:rPr>
        <w:t xml:space="preserve">Figure </w:t>
      </w:r>
      <w:r w:rsidR="0005064B">
        <w:rPr>
          <w:rFonts w:cs="Times New Roman"/>
        </w:rPr>
        <w:t>4</w:t>
      </w:r>
      <w:r w:rsidR="0005064B">
        <w:rPr>
          <w:rFonts w:cs="Times New Roman"/>
        </w:rPr>
        <w:noBreakHyphen/>
        <w:t>3</w:t>
      </w:r>
      <w:r w:rsidRPr="00737239">
        <w:rPr>
          <w:rFonts w:cs="Times New Roman"/>
          <w:color w:val="0D0D0D" w:themeColor="text1" w:themeTint="F2"/>
        </w:rPr>
        <w:fldChar w:fldCharType="end"/>
      </w:r>
      <w:r w:rsidRPr="008903D1">
        <w:rPr>
          <w:rFonts w:cs="Times New Roman"/>
          <w:color w:val="0D0D0D" w:themeColor="text1" w:themeTint="F2"/>
        </w:rPr>
        <w:t xml:space="preserve">): </w:t>
      </w:r>
    </w:p>
    <w:p w14:paraId="45BAD059" w14:textId="77777777" w:rsidR="007273C0" w:rsidRPr="00A96AC5" w:rsidRDefault="007273C0" w:rsidP="0092585F">
      <w:pPr>
        <w:pStyle w:val="ListParagraph"/>
        <w:widowControl w:val="0"/>
        <w:numPr>
          <w:ilvl w:val="0"/>
          <w:numId w:val="4"/>
        </w:numPr>
        <w:snapToGrid w:val="0"/>
        <w:spacing w:after="240" w:line="360" w:lineRule="auto"/>
        <w:rPr>
          <w:rFonts w:cs="Times New Roman"/>
          <w:color w:val="0D0D0D" w:themeColor="text1" w:themeTint="F2"/>
        </w:rPr>
      </w:pPr>
      <w:r w:rsidRPr="00802DC5">
        <w:rPr>
          <w:rFonts w:cs="Times New Roman"/>
          <w:color w:val="0D0D0D" w:themeColor="text1" w:themeTint="F2"/>
        </w:rPr>
        <w:t xml:space="preserve">In-facility process: this includes the following </w:t>
      </w:r>
      <w:r w:rsidRPr="006C301D">
        <w:rPr>
          <w:rFonts w:cs="Times New Roman"/>
          <w:color w:val="0D0D0D" w:themeColor="text1" w:themeTint="F2"/>
        </w:rPr>
        <w:t>sub-stages: (</w:t>
      </w:r>
      <w:proofErr w:type="spellStart"/>
      <w:r w:rsidRPr="006C301D">
        <w:rPr>
          <w:rFonts w:cs="Times New Roman"/>
          <w:color w:val="0D0D0D" w:themeColor="text1" w:themeTint="F2"/>
        </w:rPr>
        <w:t>i</w:t>
      </w:r>
      <w:proofErr w:type="spellEnd"/>
      <w:r w:rsidRPr="006C301D">
        <w:rPr>
          <w:rFonts w:cs="Times New Roman"/>
          <w:color w:val="0D0D0D" w:themeColor="text1" w:themeTint="F2"/>
        </w:rPr>
        <w:t xml:space="preserve">) goods are unloaded from line-haul transportation trucks; (ii) goods are sorted (consolidated); (iii) goods are reloaded onto the trucks for urban </w:t>
      </w:r>
      <w:proofErr w:type="gramStart"/>
      <w:r w:rsidRPr="006C301D">
        <w:rPr>
          <w:rFonts w:cs="Times New Roman"/>
          <w:color w:val="0D0D0D" w:themeColor="text1" w:themeTint="F2"/>
        </w:rPr>
        <w:t>delivery</w:t>
      </w:r>
      <w:proofErr w:type="gramEnd"/>
    </w:p>
    <w:p w14:paraId="2AD7AF3D" w14:textId="77777777" w:rsidR="007273C0" w:rsidRPr="00A96AC5" w:rsidRDefault="007273C0" w:rsidP="0092585F">
      <w:pPr>
        <w:pStyle w:val="ListParagraph"/>
        <w:widowControl w:val="0"/>
        <w:numPr>
          <w:ilvl w:val="0"/>
          <w:numId w:val="4"/>
        </w:numPr>
        <w:snapToGrid w:val="0"/>
        <w:spacing w:after="240" w:line="360" w:lineRule="auto"/>
        <w:rPr>
          <w:rFonts w:cs="Times New Roman"/>
          <w:color w:val="0D0D0D" w:themeColor="text1" w:themeTint="F2"/>
        </w:rPr>
      </w:pPr>
      <w:r w:rsidRPr="00A96AC5">
        <w:rPr>
          <w:rFonts w:cs="Times New Roman"/>
          <w:color w:val="0D0D0D" w:themeColor="text1" w:themeTint="F2"/>
        </w:rPr>
        <w:t>Last-mile distribution: this includes two sub-processes: (</w:t>
      </w:r>
      <w:proofErr w:type="spellStart"/>
      <w:r w:rsidRPr="00A96AC5">
        <w:rPr>
          <w:rFonts w:cs="Times New Roman"/>
          <w:color w:val="0D0D0D" w:themeColor="text1" w:themeTint="F2"/>
        </w:rPr>
        <w:t>i</w:t>
      </w:r>
      <w:proofErr w:type="spellEnd"/>
      <w:r w:rsidRPr="00A96AC5">
        <w:rPr>
          <w:rFonts w:cs="Times New Roman"/>
          <w:color w:val="0D0D0D" w:themeColor="text1" w:themeTint="F2"/>
        </w:rPr>
        <w:t xml:space="preserve">) urban delivery, where goods are shipped onto the road; and (ii) goods receipt by the </w:t>
      </w:r>
      <w:proofErr w:type="gramStart"/>
      <w:r w:rsidRPr="00A96AC5">
        <w:rPr>
          <w:rFonts w:cs="Times New Roman"/>
          <w:color w:val="0D0D0D" w:themeColor="text1" w:themeTint="F2"/>
        </w:rPr>
        <w:t>consignee</w:t>
      </w:r>
      <w:proofErr w:type="gramEnd"/>
    </w:p>
    <w:p w14:paraId="2F6A86E3" w14:textId="77777777" w:rsidR="007273C0" w:rsidRPr="008903D1" w:rsidRDefault="007273C0" w:rsidP="000A4E8C">
      <w:pPr>
        <w:snapToGrid w:val="0"/>
        <w:spacing w:line="360" w:lineRule="auto"/>
        <w:rPr>
          <w:rFonts w:cs="Times New Roman"/>
          <w:color w:val="0D0D0D" w:themeColor="text1" w:themeTint="F2"/>
        </w:rPr>
      </w:pPr>
      <w:r w:rsidRPr="008903D1">
        <w:rPr>
          <w:rFonts w:cs="Times New Roman"/>
          <w:noProof/>
          <w:color w:val="0D0D0D" w:themeColor="text1" w:themeTint="F2"/>
          <w:lang w:eastAsia="en-GB"/>
        </w:rPr>
        <w:lastRenderedPageBreak/>
        <w:drawing>
          <wp:inline distT="0" distB="0" distL="0" distR="0" wp14:anchorId="4701EDAF" wp14:editId="30081D6E">
            <wp:extent cx="5279953" cy="2069432"/>
            <wp:effectExtent l="0" t="0" r="0" b="7620"/>
            <wp:docPr id="9" name="图片 4" descr="aaaa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aaaa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24018" cy="2086703"/>
                    </a:xfrm>
                    <a:prstGeom prst="rect">
                      <a:avLst/>
                    </a:prstGeom>
                    <a:noFill/>
                    <a:ln>
                      <a:noFill/>
                    </a:ln>
                  </pic:spPr>
                </pic:pic>
              </a:graphicData>
            </a:graphic>
          </wp:inline>
        </w:drawing>
      </w:r>
    </w:p>
    <w:p w14:paraId="456B8EA2" w14:textId="7C67DFE2" w:rsidR="007273C0" w:rsidRPr="00802DC5" w:rsidRDefault="007273C0" w:rsidP="0092585F">
      <w:pPr>
        <w:pStyle w:val="Caption"/>
        <w:spacing w:line="360" w:lineRule="auto"/>
        <w:rPr>
          <w:rFonts w:cs="Times New Roman"/>
        </w:rPr>
      </w:pPr>
      <w:bookmarkStart w:id="666" w:name="_Ref34732332"/>
      <w:bookmarkStart w:id="667" w:name="_Toc34675034"/>
      <w:bookmarkStart w:id="668" w:name="_Toc34734826"/>
      <w:bookmarkStart w:id="669" w:name="_Toc46053681"/>
      <w:bookmarkStart w:id="670" w:name="_Toc66698712"/>
      <w:r w:rsidRPr="00737239">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4</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3</w:t>
      </w:r>
      <w:r w:rsidR="00632993">
        <w:rPr>
          <w:rFonts w:cs="Times New Roman"/>
        </w:rPr>
        <w:fldChar w:fldCharType="end"/>
      </w:r>
      <w:bookmarkEnd w:id="666"/>
      <w:r w:rsidR="00FD1FFD">
        <w:rPr>
          <w:rFonts w:cs="Times New Roman"/>
        </w:rPr>
        <w:t>:</w:t>
      </w:r>
      <w:r w:rsidRPr="008903D1">
        <w:rPr>
          <w:rFonts w:cs="Times New Roman"/>
        </w:rPr>
        <w:t xml:space="preserve"> Goods moving process of the urban consolidation centre (UCC)</w:t>
      </w:r>
      <w:bookmarkEnd w:id="667"/>
      <w:bookmarkEnd w:id="668"/>
      <w:bookmarkEnd w:id="669"/>
      <w:bookmarkEnd w:id="670"/>
    </w:p>
    <w:p w14:paraId="57DA1CE2" w14:textId="30F50637" w:rsidR="007273C0" w:rsidRPr="00B61235" w:rsidRDefault="007273C0" w:rsidP="00B61235">
      <w:pPr>
        <w:spacing w:before="240" w:after="240" w:line="360" w:lineRule="auto"/>
        <w:rPr>
          <w:rFonts w:cs="Times New Roman"/>
          <w:color w:val="0D0D0D" w:themeColor="text1" w:themeTint="F2"/>
          <w:szCs w:val="24"/>
        </w:rPr>
      </w:pPr>
      <w:r w:rsidRPr="006C301D">
        <w:rPr>
          <w:rFonts w:cs="Times New Roman"/>
          <w:szCs w:val="24"/>
        </w:rPr>
        <w:t xml:space="preserve">The variable cost is linked with the location of the goods in the moving path, thus </w:t>
      </w:r>
      <w:r w:rsidRPr="00DB493C">
        <w:rPr>
          <w:rFonts w:cs="Times New Roman"/>
          <w:szCs w:val="24"/>
        </w:rPr>
        <w:t xml:space="preserve">the </w:t>
      </w:r>
      <w:r w:rsidRPr="00A96AC5">
        <w:rPr>
          <w:rFonts w:cs="Times New Roman"/>
          <w:color w:val="0D0D0D" w:themeColor="text1" w:themeTint="F2"/>
          <w:szCs w:val="24"/>
        </w:rPr>
        <w:t>UCC’s variable costs consist of the following: (1) ‘in-facility costs’ (</w:t>
      </w:r>
      <w:r w:rsidR="006B2CFD">
        <w:rPr>
          <w:rFonts w:cs="Times New Roman"/>
          <w:noProof/>
          <w:color w:val="0D0D0D" w:themeColor="text1" w:themeTint="F2"/>
          <w:position w:val="-6"/>
          <w:szCs w:val="24"/>
          <w:lang w:eastAsia="en-GB"/>
        </w:rPr>
        <w:drawing>
          <wp:inline distT="0" distB="0" distL="0" distR="0" wp14:anchorId="53A2F162" wp14:editId="746C5F91">
            <wp:extent cx="273685" cy="194310"/>
            <wp:effectExtent l="0" t="0" r="0" b="0"/>
            <wp:docPr id="10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3685" cy="194310"/>
                    </a:xfrm>
                    <a:prstGeom prst="rect">
                      <a:avLst/>
                    </a:prstGeom>
                    <a:noFill/>
                    <a:ln>
                      <a:noFill/>
                    </a:ln>
                  </pic:spPr>
                </pic:pic>
              </a:graphicData>
            </a:graphic>
          </wp:inline>
        </w:drawing>
      </w:r>
      <w:r w:rsidRPr="008903D1">
        <w:rPr>
          <w:rFonts w:cs="Times New Roman"/>
          <w:color w:val="0D0D0D" w:themeColor="text1" w:themeTint="F2"/>
          <w:szCs w:val="24"/>
        </w:rPr>
        <w:t>) generated from the goods-handling process by unloading, sorting, and</w:t>
      </w:r>
      <w:r w:rsidRPr="00737239">
        <w:rPr>
          <w:rFonts w:cs="Times New Roman"/>
          <w:color w:val="0D0D0D" w:themeColor="text1" w:themeTint="F2"/>
          <w:szCs w:val="24"/>
        </w:rPr>
        <w:t xml:space="preserve"> reloading; and (2) ‘on-road costs’ (</w:t>
      </w:r>
      <w:r w:rsidR="006B2CFD">
        <w:rPr>
          <w:rFonts w:cs="Times New Roman"/>
          <w:noProof/>
          <w:color w:val="0D0D0D" w:themeColor="text1" w:themeTint="F2"/>
          <w:position w:val="-6"/>
          <w:szCs w:val="24"/>
          <w:lang w:eastAsia="en-GB"/>
        </w:rPr>
        <w:drawing>
          <wp:inline distT="0" distB="0" distL="0" distR="0" wp14:anchorId="2D1316E4" wp14:editId="241E93B4">
            <wp:extent cx="187325" cy="194310"/>
            <wp:effectExtent l="0" t="0" r="3175" b="0"/>
            <wp:docPr id="1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7325" cy="194310"/>
                    </a:xfrm>
                    <a:prstGeom prst="rect">
                      <a:avLst/>
                    </a:prstGeom>
                    <a:noFill/>
                    <a:ln>
                      <a:noFill/>
                    </a:ln>
                  </pic:spPr>
                </pic:pic>
              </a:graphicData>
            </a:graphic>
          </wp:inline>
        </w:drawing>
      </w:r>
      <w:r w:rsidRPr="008903D1">
        <w:rPr>
          <w:rFonts w:cs="Times New Roman"/>
          <w:color w:val="0D0D0D" w:themeColor="text1" w:themeTint="F2"/>
          <w:szCs w:val="24"/>
        </w:rPr>
        <w:t>), created during the last-mile distribution, including last-mile delivery and goods receipt. The cost of unloading (</w:t>
      </w:r>
      <w:proofErr w:type="spellStart"/>
      <w:r w:rsidRPr="00737239">
        <w:rPr>
          <w:rFonts w:cs="Times New Roman"/>
          <w:i/>
          <w:iCs/>
          <w:color w:val="0D0D0D" w:themeColor="text1" w:themeTint="F2"/>
          <w:szCs w:val="24"/>
        </w:rPr>
        <w:t>C</w:t>
      </w:r>
      <w:r w:rsidRPr="00802DC5">
        <w:rPr>
          <w:rFonts w:cs="Times New Roman"/>
          <w:i/>
          <w:iCs/>
          <w:color w:val="0D0D0D" w:themeColor="text1" w:themeTint="F2"/>
          <w:szCs w:val="24"/>
          <w:vertAlign w:val="superscript"/>
        </w:rPr>
        <w:t>gu</w:t>
      </w:r>
      <w:proofErr w:type="spellEnd"/>
      <w:r w:rsidRPr="006C301D">
        <w:rPr>
          <w:rFonts w:cs="Times New Roman"/>
          <w:color w:val="0D0D0D" w:themeColor="text1" w:themeTint="F2"/>
          <w:szCs w:val="24"/>
        </w:rPr>
        <w:t>), sorting (</w:t>
      </w:r>
      <w:proofErr w:type="spellStart"/>
      <w:r w:rsidRPr="00DB493C">
        <w:rPr>
          <w:rFonts w:cs="Times New Roman"/>
          <w:i/>
          <w:iCs/>
          <w:color w:val="0D0D0D" w:themeColor="text1" w:themeTint="F2"/>
          <w:szCs w:val="24"/>
        </w:rPr>
        <w:t>C</w:t>
      </w:r>
      <w:r w:rsidRPr="00A96AC5">
        <w:rPr>
          <w:rFonts w:cs="Times New Roman"/>
          <w:i/>
          <w:iCs/>
          <w:color w:val="0D0D0D" w:themeColor="text1" w:themeTint="F2"/>
          <w:szCs w:val="24"/>
          <w:vertAlign w:val="superscript"/>
        </w:rPr>
        <w:t>gc</w:t>
      </w:r>
      <w:proofErr w:type="spellEnd"/>
      <w:r w:rsidRPr="00A96AC5">
        <w:rPr>
          <w:rFonts w:cs="Times New Roman"/>
          <w:color w:val="0D0D0D" w:themeColor="text1" w:themeTint="F2"/>
          <w:szCs w:val="24"/>
        </w:rPr>
        <w:t>), and reloading (</w:t>
      </w:r>
      <w:proofErr w:type="spellStart"/>
      <w:r w:rsidRPr="00A96AC5">
        <w:rPr>
          <w:rFonts w:cs="Times New Roman"/>
          <w:i/>
          <w:iCs/>
          <w:color w:val="0D0D0D" w:themeColor="text1" w:themeTint="F2"/>
          <w:szCs w:val="24"/>
        </w:rPr>
        <w:t>C</w:t>
      </w:r>
      <w:r w:rsidRPr="00A96AC5">
        <w:rPr>
          <w:rFonts w:cs="Times New Roman"/>
          <w:i/>
          <w:iCs/>
          <w:color w:val="0D0D0D" w:themeColor="text1" w:themeTint="F2"/>
          <w:szCs w:val="24"/>
          <w:vertAlign w:val="superscript"/>
        </w:rPr>
        <w:t>gr</w:t>
      </w:r>
      <w:proofErr w:type="spellEnd"/>
      <w:r w:rsidRPr="00A96AC5">
        <w:rPr>
          <w:rFonts w:cs="Times New Roman"/>
          <w:color w:val="0D0D0D" w:themeColor="text1" w:themeTint="F2"/>
          <w:szCs w:val="24"/>
        </w:rPr>
        <w:t>) are associated with the variables of operator working hours and wages. Last-mile delivery costs (</w:t>
      </w:r>
      <w:proofErr w:type="spellStart"/>
      <w:r w:rsidRPr="00A96AC5">
        <w:rPr>
          <w:rFonts w:cs="Times New Roman"/>
          <w:i/>
          <w:iCs/>
          <w:color w:val="0D0D0D" w:themeColor="text1" w:themeTint="F2"/>
          <w:szCs w:val="24"/>
        </w:rPr>
        <w:t>C</w:t>
      </w:r>
      <w:r w:rsidRPr="00A96AC5">
        <w:rPr>
          <w:rFonts w:cs="Times New Roman"/>
          <w:i/>
          <w:iCs/>
          <w:color w:val="0D0D0D" w:themeColor="text1" w:themeTint="F2"/>
          <w:szCs w:val="24"/>
          <w:vertAlign w:val="superscript"/>
        </w:rPr>
        <w:t>ld</w:t>
      </w:r>
      <w:proofErr w:type="spellEnd"/>
      <w:r w:rsidRPr="00A96AC5">
        <w:rPr>
          <w:rFonts w:cs="Times New Roman"/>
          <w:color w:val="0D0D0D" w:themeColor="text1" w:themeTint="F2"/>
          <w:szCs w:val="24"/>
        </w:rPr>
        <w:t>) are determined by the three variables of driver working hours, driver wages, and volume of fuel consumption. The cost of goods receipt (</w:t>
      </w:r>
      <w:proofErr w:type="spellStart"/>
      <w:r w:rsidRPr="00A96AC5">
        <w:rPr>
          <w:rFonts w:cs="Times New Roman"/>
          <w:i/>
          <w:iCs/>
          <w:color w:val="0D0D0D" w:themeColor="text1" w:themeTint="F2"/>
          <w:szCs w:val="24"/>
        </w:rPr>
        <w:t>C</w:t>
      </w:r>
      <w:r w:rsidRPr="00A96AC5">
        <w:rPr>
          <w:rFonts w:cs="Times New Roman"/>
          <w:i/>
          <w:iCs/>
          <w:color w:val="0D0D0D" w:themeColor="text1" w:themeTint="F2"/>
          <w:szCs w:val="24"/>
          <w:vertAlign w:val="superscript"/>
        </w:rPr>
        <w:t>ge</w:t>
      </w:r>
      <w:proofErr w:type="spellEnd"/>
      <w:r w:rsidRPr="00A96AC5">
        <w:rPr>
          <w:rFonts w:cs="Times New Roman"/>
          <w:color w:val="0D0D0D" w:themeColor="text1" w:themeTint="F2"/>
          <w:szCs w:val="24"/>
        </w:rPr>
        <w:t>) is positively correlated with the variables of driver’s working hours and wages.</w:t>
      </w:r>
    </w:p>
    <w:p w14:paraId="6592E9A2" w14:textId="77777777" w:rsidR="007273C0" w:rsidRPr="00A96AC5" w:rsidRDefault="007273C0" w:rsidP="000A4E8C">
      <w:pPr>
        <w:pStyle w:val="Heading3"/>
        <w:spacing w:line="360" w:lineRule="auto"/>
        <w:rPr>
          <w:rFonts w:cs="Times New Roman"/>
        </w:rPr>
      </w:pPr>
      <w:bookmarkStart w:id="671" w:name="_Toc34734560"/>
      <w:bookmarkStart w:id="672" w:name="_Toc46053451"/>
      <w:bookmarkStart w:id="673" w:name="_Toc46093365"/>
      <w:bookmarkStart w:id="674" w:name="_Toc46093648"/>
      <w:bookmarkStart w:id="675" w:name="_Toc66703224"/>
      <w:r w:rsidRPr="00A96AC5">
        <w:rPr>
          <w:rFonts w:cs="Times New Roman"/>
        </w:rPr>
        <w:t>Details of in-facility costs</w:t>
      </w:r>
      <w:bookmarkEnd w:id="671"/>
      <w:bookmarkEnd w:id="672"/>
      <w:bookmarkEnd w:id="673"/>
      <w:bookmarkEnd w:id="674"/>
      <w:bookmarkEnd w:id="675"/>
    </w:p>
    <w:p w14:paraId="5019DC65" w14:textId="657E2A2D" w:rsidR="007273C0" w:rsidRPr="00802DC5" w:rsidRDefault="007273C0" w:rsidP="000A4E8C">
      <w:pPr>
        <w:pStyle w:val="Caption"/>
        <w:snapToGrid w:val="0"/>
        <w:spacing w:after="0" w:line="360" w:lineRule="auto"/>
        <w:jc w:val="both"/>
        <w:rPr>
          <w:rFonts w:cs="Times New Roman"/>
          <w:b w:val="0"/>
          <w:bCs/>
          <w:i w:val="0"/>
          <w:iCs w:val="0"/>
          <w:color w:val="auto"/>
          <w:sz w:val="24"/>
          <w:szCs w:val="24"/>
        </w:rPr>
      </w:pPr>
      <w:r w:rsidRPr="00A96AC5">
        <w:rPr>
          <w:rFonts w:cs="Times New Roman"/>
          <w:b w:val="0"/>
          <w:bCs/>
          <w:i w:val="0"/>
          <w:iCs w:val="0"/>
          <w:color w:val="auto"/>
          <w:sz w:val="24"/>
          <w:szCs w:val="24"/>
        </w:rPr>
        <w:t>As mentioned above, there are three in-facility goods handling processes: unloading, consolidating, and reloading. The ‘in-facility cost’ (</w:t>
      </w:r>
      <w:r w:rsidR="006B2CFD">
        <w:rPr>
          <w:rFonts w:cs="Times New Roman"/>
          <w:noProof/>
          <w:color w:val="0D0D0D" w:themeColor="text1" w:themeTint="F2"/>
          <w:position w:val="-6"/>
          <w:lang w:eastAsia="en-GB"/>
        </w:rPr>
        <w:drawing>
          <wp:inline distT="0" distB="0" distL="0" distR="0" wp14:anchorId="5061FDF2" wp14:editId="71B91C43">
            <wp:extent cx="273685" cy="194310"/>
            <wp:effectExtent l="0" t="0" r="0" b="0"/>
            <wp:docPr id="9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3685" cy="194310"/>
                    </a:xfrm>
                    <a:prstGeom prst="rect">
                      <a:avLst/>
                    </a:prstGeom>
                    <a:noFill/>
                    <a:ln>
                      <a:noFill/>
                    </a:ln>
                  </pic:spPr>
                </pic:pic>
              </a:graphicData>
            </a:graphic>
          </wp:inline>
        </w:drawing>
      </w:r>
      <w:r w:rsidRPr="008903D1">
        <w:rPr>
          <w:rFonts w:cs="Times New Roman"/>
          <w:b w:val="0"/>
          <w:bCs/>
          <w:i w:val="0"/>
          <w:iCs w:val="0"/>
          <w:color w:val="auto"/>
          <w:sz w:val="24"/>
          <w:szCs w:val="24"/>
        </w:rPr>
        <w:t>) is</w:t>
      </w:r>
      <w:r w:rsidRPr="00737239">
        <w:rPr>
          <w:rFonts w:cs="Times New Roman"/>
          <w:b w:val="0"/>
          <w:bCs/>
          <w:i w:val="0"/>
          <w:iCs w:val="0"/>
          <w:color w:val="auto"/>
          <w:sz w:val="24"/>
          <w:szCs w:val="24"/>
        </w:rPr>
        <w:t xml:space="preserve"> therefore as follows:</w:t>
      </w:r>
    </w:p>
    <w:p w14:paraId="0B28E1CA" w14:textId="77777777" w:rsidR="007273C0" w:rsidRPr="008903D1" w:rsidRDefault="007273C0" w:rsidP="000A4E8C">
      <w:pPr>
        <w:pStyle w:val="MTDisplayEquation"/>
        <w:snapToGrid w:val="0"/>
        <w:spacing w:line="360" w:lineRule="auto"/>
        <w:rPr>
          <w:lang w:val="en-GB"/>
        </w:rPr>
      </w:pPr>
    </w:p>
    <w:p w14:paraId="3A6AC6B8" w14:textId="189C8B4A" w:rsidR="007273C0" w:rsidRPr="008903D1" w:rsidRDefault="007273C0" w:rsidP="000A4E8C">
      <w:pPr>
        <w:pStyle w:val="MTDisplayEquation"/>
        <w:spacing w:line="360" w:lineRule="auto"/>
        <w:rPr>
          <w:lang w:val="en-GB"/>
        </w:rPr>
      </w:pPr>
      <w:r w:rsidRPr="008903D1">
        <w:rPr>
          <w:lang w:val="en-GB"/>
        </w:rPr>
        <w:tab/>
      </w:r>
      <w:r w:rsidR="006B2CFD">
        <w:rPr>
          <w:noProof/>
          <w:position w:val="-30"/>
          <w:lang w:val="en-GB" w:eastAsia="en-GB"/>
        </w:rPr>
        <w:drawing>
          <wp:inline distT="0" distB="0" distL="0" distR="0" wp14:anchorId="5A5813F0" wp14:editId="615E1421">
            <wp:extent cx="3117850" cy="374650"/>
            <wp:effectExtent l="0" t="0" r="6350" b="6350"/>
            <wp:docPr id="9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17850" cy="374650"/>
                    </a:xfrm>
                    <a:prstGeom prst="rect">
                      <a:avLst/>
                    </a:prstGeom>
                    <a:noFill/>
                    <a:ln>
                      <a:noFill/>
                    </a:ln>
                  </pic:spPr>
                </pic:pic>
              </a:graphicData>
            </a:graphic>
          </wp:inline>
        </w:drawing>
      </w:r>
      <w:r w:rsidRPr="008903D1">
        <w:rPr>
          <w:lang w:val="en-GB"/>
        </w:rPr>
        <w:tab/>
      </w:r>
      <w:r w:rsidRPr="00A96AC5">
        <w:rPr>
          <w:lang w:val="en-GB"/>
        </w:rPr>
        <w:fldChar w:fldCharType="begin"/>
      </w:r>
      <w:r w:rsidRPr="008903D1">
        <w:rPr>
          <w:lang w:val="en-GB"/>
        </w:rPr>
        <w:instrText xml:space="preserve"> MACROBUTTON MTPlaceRef \* MERGEFORMAT </w:instrText>
      </w:r>
      <w:r w:rsidRPr="00A96AC5">
        <w:rPr>
          <w:lang w:val="en-GB"/>
        </w:rPr>
        <w:fldChar w:fldCharType="begin"/>
      </w:r>
      <w:r w:rsidRPr="008903D1">
        <w:rPr>
          <w:lang w:val="en-GB"/>
        </w:rPr>
        <w:instrText xml:space="preserve"> SEQ MTEqn \h \* MERGEFORMAT </w:instrText>
      </w:r>
      <w:r w:rsidRPr="00A96AC5">
        <w:rPr>
          <w:lang w:val="en-GB"/>
        </w:rPr>
        <w:fldChar w:fldCharType="end"/>
      </w:r>
      <w:r w:rsidRPr="008903D1">
        <w:rPr>
          <w:lang w:val="en-GB"/>
        </w:rPr>
        <w:instrText>(</w:instrText>
      </w:r>
      <w:r w:rsidRPr="00802DC5">
        <w:rPr>
          <w:lang w:val="en-GB"/>
        </w:rPr>
        <w:fldChar w:fldCharType="begin"/>
      </w:r>
      <w:r w:rsidRPr="008903D1">
        <w:rPr>
          <w:lang w:val="en-GB"/>
        </w:rPr>
        <w:instrText xml:space="preserve"> SEQ MTEqn \c \* Arabic \* MERGEFORMAT </w:instrText>
      </w:r>
      <w:r w:rsidRPr="00802DC5">
        <w:rPr>
          <w:lang w:val="en-GB"/>
        </w:rPr>
        <w:fldChar w:fldCharType="separate"/>
      </w:r>
      <w:r w:rsidR="0005064B">
        <w:rPr>
          <w:noProof/>
          <w:lang w:val="en-GB"/>
        </w:rPr>
        <w:instrText>3</w:instrText>
      </w:r>
      <w:r w:rsidRPr="00802DC5">
        <w:rPr>
          <w:noProof/>
          <w:lang w:val="en-GB"/>
        </w:rPr>
        <w:fldChar w:fldCharType="end"/>
      </w:r>
      <w:r w:rsidRPr="008903D1">
        <w:rPr>
          <w:lang w:val="en-GB"/>
        </w:rPr>
        <w:instrText>)</w:instrText>
      </w:r>
      <w:r w:rsidRPr="00A96AC5">
        <w:rPr>
          <w:lang w:val="en-GB"/>
        </w:rPr>
        <w:fldChar w:fldCharType="end"/>
      </w:r>
      <w:r w:rsidRPr="008903D1">
        <w:rPr>
          <w:lang w:val="en-GB"/>
        </w:rPr>
        <w:tab/>
        <w:t xml:space="preserve"> </w:t>
      </w:r>
    </w:p>
    <w:p w14:paraId="2D564D7F" w14:textId="66EF9ACA" w:rsidR="007273C0" w:rsidRPr="00802DC5" w:rsidRDefault="006B2CFD" w:rsidP="000A4E8C">
      <w:pPr>
        <w:snapToGrid w:val="0"/>
        <w:spacing w:line="360" w:lineRule="auto"/>
        <w:rPr>
          <w:rFonts w:cs="Times New Roman"/>
        </w:rPr>
      </w:pPr>
      <w:r>
        <w:rPr>
          <w:rFonts w:cs="Times New Roman"/>
          <w:noProof/>
          <w:position w:val="-12"/>
          <w:lang w:eastAsia="en-GB"/>
        </w:rPr>
        <w:drawing>
          <wp:inline distT="0" distB="0" distL="0" distR="0" wp14:anchorId="0001D507" wp14:editId="21236BE9">
            <wp:extent cx="194310" cy="273685"/>
            <wp:effectExtent l="0" t="0" r="0" b="0"/>
            <wp:docPr id="9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4310" cy="273685"/>
                    </a:xfrm>
                    <a:prstGeom prst="rect">
                      <a:avLst/>
                    </a:prstGeom>
                    <a:noFill/>
                    <a:ln>
                      <a:noFill/>
                    </a:ln>
                  </pic:spPr>
                </pic:pic>
              </a:graphicData>
            </a:graphic>
          </wp:inline>
        </w:drawing>
      </w:r>
      <w:r w:rsidR="007273C0" w:rsidRPr="008903D1">
        <w:rPr>
          <w:rFonts w:cs="Times New Roman"/>
        </w:rPr>
        <w:t xml:space="preserve">= Number of </w:t>
      </w:r>
      <w:r w:rsidR="007273C0" w:rsidRPr="00737239">
        <w:rPr>
          <w:rFonts w:cs="Times New Roman"/>
        </w:rPr>
        <w:t>facility operatives</w:t>
      </w:r>
    </w:p>
    <w:p w14:paraId="62E7D401" w14:textId="6C7D2D2F" w:rsidR="007273C0" w:rsidRPr="00802DC5" w:rsidRDefault="006B2CFD" w:rsidP="000A4E8C">
      <w:pPr>
        <w:snapToGrid w:val="0"/>
        <w:spacing w:line="360" w:lineRule="auto"/>
        <w:rPr>
          <w:rFonts w:cs="Times New Roman"/>
        </w:rPr>
      </w:pPr>
      <w:r>
        <w:rPr>
          <w:rFonts w:cs="Times New Roman"/>
          <w:noProof/>
          <w:position w:val="-6"/>
          <w:lang w:eastAsia="en-GB"/>
        </w:rPr>
        <w:drawing>
          <wp:inline distT="0" distB="0" distL="0" distR="0" wp14:anchorId="6156242A" wp14:editId="6A30C833">
            <wp:extent cx="194310" cy="194310"/>
            <wp:effectExtent l="0" t="0" r="0" b="0"/>
            <wp:docPr id="9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4310" cy="194310"/>
                    </a:xfrm>
                    <a:prstGeom prst="rect">
                      <a:avLst/>
                    </a:prstGeom>
                    <a:noFill/>
                    <a:ln>
                      <a:noFill/>
                    </a:ln>
                  </pic:spPr>
                </pic:pic>
              </a:graphicData>
            </a:graphic>
          </wp:inline>
        </w:drawing>
      </w:r>
      <w:r w:rsidR="007273C0" w:rsidRPr="008903D1">
        <w:rPr>
          <w:rFonts w:cs="Times New Roman"/>
        </w:rPr>
        <w:t xml:space="preserve">= Working </w:t>
      </w:r>
      <w:r w:rsidR="007273C0" w:rsidRPr="00737239">
        <w:rPr>
          <w:rFonts w:cs="Times New Roman"/>
        </w:rPr>
        <w:t>hours of each operative per working day</w:t>
      </w:r>
    </w:p>
    <w:p w14:paraId="72BD2684" w14:textId="4CB08B44" w:rsidR="007273C0" w:rsidRPr="00802DC5" w:rsidRDefault="006B2CFD" w:rsidP="000A4E8C">
      <w:pPr>
        <w:snapToGrid w:val="0"/>
        <w:spacing w:line="360" w:lineRule="auto"/>
        <w:rPr>
          <w:rFonts w:cs="Times New Roman"/>
        </w:rPr>
      </w:pPr>
      <w:r>
        <w:rPr>
          <w:rFonts w:cs="Times New Roman"/>
          <w:noProof/>
          <w:position w:val="-12"/>
          <w:lang w:eastAsia="en-GB"/>
        </w:rPr>
        <w:drawing>
          <wp:inline distT="0" distB="0" distL="0" distR="0" wp14:anchorId="40B6490F" wp14:editId="385C6C39">
            <wp:extent cx="194310" cy="273685"/>
            <wp:effectExtent l="0" t="0" r="0" b="0"/>
            <wp:docPr id="9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4310" cy="273685"/>
                    </a:xfrm>
                    <a:prstGeom prst="rect">
                      <a:avLst/>
                    </a:prstGeom>
                    <a:noFill/>
                    <a:ln>
                      <a:noFill/>
                    </a:ln>
                  </pic:spPr>
                </pic:pic>
              </a:graphicData>
            </a:graphic>
          </wp:inline>
        </w:drawing>
      </w:r>
      <w:r w:rsidR="007273C0" w:rsidRPr="008903D1">
        <w:rPr>
          <w:rFonts w:cs="Times New Roman"/>
        </w:rPr>
        <w:t xml:space="preserve">= </w:t>
      </w:r>
      <w:r w:rsidR="007273C0" w:rsidRPr="00737239">
        <w:rPr>
          <w:rFonts w:cs="Times New Roman"/>
        </w:rPr>
        <w:t xml:space="preserve">Hourly wage of each operator </w:t>
      </w:r>
    </w:p>
    <w:p w14:paraId="5D7B9554" w14:textId="13C4E874" w:rsidR="007273C0" w:rsidRPr="00802DC5" w:rsidRDefault="006B2CFD" w:rsidP="000A4E8C">
      <w:pPr>
        <w:snapToGrid w:val="0"/>
        <w:spacing w:line="360" w:lineRule="auto"/>
        <w:rPr>
          <w:rFonts w:cs="Times New Roman"/>
        </w:rPr>
      </w:pPr>
      <w:r>
        <w:rPr>
          <w:rFonts w:cs="Times New Roman"/>
          <w:noProof/>
          <w:position w:val="-4"/>
          <w:lang w:eastAsia="en-GB"/>
        </w:rPr>
        <w:drawing>
          <wp:inline distT="0" distB="0" distL="0" distR="0" wp14:anchorId="2C1D9812" wp14:editId="20FFE36F">
            <wp:extent cx="194310" cy="194310"/>
            <wp:effectExtent l="0" t="0" r="0" b="0"/>
            <wp:docPr id="9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4310" cy="194310"/>
                    </a:xfrm>
                    <a:prstGeom prst="rect">
                      <a:avLst/>
                    </a:prstGeom>
                    <a:noFill/>
                    <a:ln>
                      <a:noFill/>
                    </a:ln>
                  </pic:spPr>
                </pic:pic>
              </a:graphicData>
            </a:graphic>
          </wp:inline>
        </w:drawing>
      </w:r>
      <w:r w:rsidR="007273C0" w:rsidRPr="008903D1">
        <w:rPr>
          <w:rFonts w:cs="Times New Roman"/>
        </w:rPr>
        <w:t xml:space="preserve"> = Working </w:t>
      </w:r>
      <w:r w:rsidR="007273C0" w:rsidRPr="00737239">
        <w:rPr>
          <w:rFonts w:cs="Times New Roman"/>
        </w:rPr>
        <w:t>days per month</w:t>
      </w:r>
    </w:p>
    <w:p w14:paraId="691CAFA0" w14:textId="344218C3" w:rsidR="007273C0" w:rsidRPr="00737239" w:rsidRDefault="007273C0" w:rsidP="000A4E8C">
      <w:pPr>
        <w:snapToGrid w:val="0"/>
        <w:spacing w:line="360" w:lineRule="auto"/>
        <w:rPr>
          <w:rFonts w:cs="Times New Roman"/>
        </w:rPr>
      </w:pPr>
      <w:r w:rsidRPr="006C301D">
        <w:rPr>
          <w:rFonts w:cs="Times New Roman"/>
        </w:rPr>
        <w:t xml:space="preserve">The </w:t>
      </w:r>
      <w:r w:rsidR="006B2CFD">
        <w:rPr>
          <w:rFonts w:cs="Times New Roman"/>
          <w:noProof/>
          <w:position w:val="-6"/>
          <w:lang w:eastAsia="en-GB"/>
        </w:rPr>
        <w:drawing>
          <wp:inline distT="0" distB="0" distL="0" distR="0" wp14:anchorId="065FB94B" wp14:editId="7C967CE3">
            <wp:extent cx="194310" cy="194310"/>
            <wp:effectExtent l="0" t="0" r="0" b="0"/>
            <wp:docPr id="9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4310" cy="194310"/>
                    </a:xfrm>
                    <a:prstGeom prst="rect">
                      <a:avLst/>
                    </a:prstGeom>
                    <a:noFill/>
                    <a:ln>
                      <a:noFill/>
                    </a:ln>
                  </pic:spPr>
                </pic:pic>
              </a:graphicData>
            </a:graphic>
          </wp:inline>
        </w:drawing>
      </w:r>
      <w:r w:rsidRPr="008903D1">
        <w:rPr>
          <w:rFonts w:cs="Times New Roman"/>
        </w:rPr>
        <w:t xml:space="preserve">includes the working time for </w:t>
      </w:r>
      <w:r w:rsidRPr="00737239">
        <w:rPr>
          <w:rFonts w:cs="Times New Roman"/>
        </w:rPr>
        <w:t>‘goods unloading (</w:t>
      </w:r>
      <w:r w:rsidR="006B2CFD">
        <w:rPr>
          <w:rFonts w:cs="Times New Roman"/>
          <w:noProof/>
          <w:position w:val="-6"/>
          <w:lang w:eastAsia="en-GB"/>
        </w:rPr>
        <w:drawing>
          <wp:inline distT="0" distB="0" distL="0" distR="0" wp14:anchorId="2154220D" wp14:editId="2148E116">
            <wp:extent cx="187325" cy="194310"/>
            <wp:effectExtent l="0" t="0" r="3175" b="0"/>
            <wp:docPr id="9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7325" cy="194310"/>
                    </a:xfrm>
                    <a:prstGeom prst="rect">
                      <a:avLst/>
                    </a:prstGeom>
                    <a:noFill/>
                    <a:ln>
                      <a:noFill/>
                    </a:ln>
                  </pic:spPr>
                </pic:pic>
              </a:graphicData>
            </a:graphic>
          </wp:inline>
        </w:drawing>
      </w:r>
      <w:r w:rsidRPr="008903D1">
        <w:rPr>
          <w:rFonts w:cs="Times New Roman"/>
        </w:rPr>
        <w:t>)’, ‘goods consolidating (</w:t>
      </w:r>
      <w:r w:rsidR="006B2CFD">
        <w:rPr>
          <w:rFonts w:cs="Times New Roman"/>
          <w:noProof/>
          <w:position w:val="-6"/>
          <w:lang w:eastAsia="en-GB"/>
        </w:rPr>
        <w:drawing>
          <wp:inline distT="0" distB="0" distL="0" distR="0" wp14:anchorId="33AB2238" wp14:editId="1855B946">
            <wp:extent cx="273685" cy="194310"/>
            <wp:effectExtent l="0" t="0" r="0" b="0"/>
            <wp:docPr id="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3685" cy="194310"/>
                    </a:xfrm>
                    <a:prstGeom prst="rect">
                      <a:avLst/>
                    </a:prstGeom>
                    <a:noFill/>
                    <a:ln>
                      <a:noFill/>
                    </a:ln>
                  </pic:spPr>
                </pic:pic>
              </a:graphicData>
            </a:graphic>
          </wp:inline>
        </w:drawing>
      </w:r>
      <w:r w:rsidRPr="008903D1">
        <w:rPr>
          <w:rFonts w:cs="Times New Roman"/>
        </w:rPr>
        <w:t>)’</w:t>
      </w:r>
      <w:r w:rsidRPr="00737239">
        <w:rPr>
          <w:rFonts w:cs="Times New Roman"/>
        </w:rPr>
        <w:t>, and ‘goods reloading (</w:t>
      </w:r>
      <w:r w:rsidR="006B2CFD">
        <w:rPr>
          <w:rFonts w:cs="Times New Roman"/>
          <w:noProof/>
          <w:position w:val="-6"/>
          <w:lang w:eastAsia="en-GB"/>
        </w:rPr>
        <w:drawing>
          <wp:inline distT="0" distB="0" distL="0" distR="0" wp14:anchorId="474C7B7C" wp14:editId="14C2A69A">
            <wp:extent cx="273685" cy="194310"/>
            <wp:effectExtent l="0" t="0" r="0" b="0"/>
            <wp:docPr id="9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3685" cy="194310"/>
                    </a:xfrm>
                    <a:prstGeom prst="rect">
                      <a:avLst/>
                    </a:prstGeom>
                    <a:noFill/>
                    <a:ln>
                      <a:noFill/>
                    </a:ln>
                  </pic:spPr>
                </pic:pic>
              </a:graphicData>
            </a:graphic>
          </wp:inline>
        </w:drawing>
      </w:r>
      <w:r w:rsidRPr="008903D1">
        <w:rPr>
          <w:rFonts w:cs="Times New Roman"/>
        </w:rPr>
        <w:t xml:space="preserve">)’. </w:t>
      </w:r>
    </w:p>
    <w:p w14:paraId="3596F827" w14:textId="5B75148D" w:rsidR="007273C0" w:rsidRPr="00223923" w:rsidRDefault="007273C0" w:rsidP="0092585F">
      <w:pPr>
        <w:pStyle w:val="MTDisplayEquation"/>
        <w:snapToGrid w:val="0"/>
        <w:spacing w:after="240" w:line="360" w:lineRule="auto"/>
        <w:rPr>
          <w:lang w:val="en-GB"/>
        </w:rPr>
      </w:pPr>
      <w:r w:rsidRPr="008903D1">
        <w:rPr>
          <w:lang w:val="en-GB"/>
        </w:rPr>
        <w:tab/>
      </w:r>
      <w:r w:rsidR="006B2CFD">
        <w:rPr>
          <w:noProof/>
          <w:position w:val="-6"/>
          <w:lang w:val="en-GB" w:eastAsia="en-GB"/>
        </w:rPr>
        <w:drawing>
          <wp:inline distT="0" distB="0" distL="0" distR="0" wp14:anchorId="5C2A2647" wp14:editId="05F9D715">
            <wp:extent cx="1188085" cy="194310"/>
            <wp:effectExtent l="0" t="0" r="0" b="0"/>
            <wp:docPr id="8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88085" cy="194310"/>
                    </a:xfrm>
                    <a:prstGeom prst="rect">
                      <a:avLst/>
                    </a:prstGeom>
                    <a:noFill/>
                    <a:ln>
                      <a:noFill/>
                    </a:ln>
                  </pic:spPr>
                </pic:pic>
              </a:graphicData>
            </a:graphic>
          </wp:inline>
        </w:drawing>
      </w:r>
      <w:r w:rsidRPr="008903D1">
        <w:rPr>
          <w:lang w:val="en-GB"/>
        </w:rPr>
        <w:t xml:space="preserve"> </w:t>
      </w:r>
      <w:r w:rsidRPr="008903D1">
        <w:rPr>
          <w:lang w:val="en-GB"/>
        </w:rPr>
        <w:tab/>
      </w:r>
      <w:r w:rsidRPr="00A96AC5">
        <w:rPr>
          <w:lang w:val="en-GB"/>
        </w:rPr>
        <w:fldChar w:fldCharType="begin"/>
      </w:r>
      <w:r w:rsidRPr="008903D1">
        <w:rPr>
          <w:lang w:val="en-GB"/>
        </w:rPr>
        <w:instrText xml:space="preserve"> MACROBUTTON MTPlaceRef \* MERGEFORMAT </w:instrText>
      </w:r>
      <w:r w:rsidRPr="00A96AC5">
        <w:rPr>
          <w:lang w:val="en-GB"/>
        </w:rPr>
        <w:fldChar w:fldCharType="begin"/>
      </w:r>
      <w:r w:rsidRPr="008903D1">
        <w:rPr>
          <w:lang w:val="en-GB"/>
        </w:rPr>
        <w:instrText xml:space="preserve"> SEQ MTEqn \h \* MERGEFORMAT </w:instrText>
      </w:r>
      <w:r w:rsidRPr="00A96AC5">
        <w:rPr>
          <w:lang w:val="en-GB"/>
        </w:rPr>
        <w:fldChar w:fldCharType="end"/>
      </w:r>
      <w:r w:rsidRPr="008903D1">
        <w:rPr>
          <w:lang w:val="en-GB"/>
        </w:rPr>
        <w:instrText>(</w:instrText>
      </w:r>
      <w:r w:rsidRPr="00802DC5">
        <w:rPr>
          <w:lang w:val="en-GB"/>
        </w:rPr>
        <w:fldChar w:fldCharType="begin"/>
      </w:r>
      <w:r w:rsidRPr="008903D1">
        <w:rPr>
          <w:lang w:val="en-GB"/>
        </w:rPr>
        <w:instrText xml:space="preserve"> SEQ MTEqn \c \* Arabic \* MERGEFORMAT </w:instrText>
      </w:r>
      <w:r w:rsidRPr="00802DC5">
        <w:rPr>
          <w:lang w:val="en-GB"/>
        </w:rPr>
        <w:fldChar w:fldCharType="separate"/>
      </w:r>
      <w:r w:rsidR="0005064B">
        <w:rPr>
          <w:noProof/>
          <w:lang w:val="en-GB"/>
        </w:rPr>
        <w:instrText>4</w:instrText>
      </w:r>
      <w:r w:rsidRPr="00802DC5">
        <w:rPr>
          <w:noProof/>
          <w:lang w:val="en-GB"/>
        </w:rPr>
        <w:fldChar w:fldCharType="end"/>
      </w:r>
      <w:r w:rsidRPr="008903D1">
        <w:rPr>
          <w:lang w:val="en-GB"/>
        </w:rPr>
        <w:instrText>)</w:instrText>
      </w:r>
      <w:r w:rsidRPr="00A96AC5">
        <w:rPr>
          <w:lang w:val="en-GB"/>
        </w:rPr>
        <w:fldChar w:fldCharType="end"/>
      </w:r>
    </w:p>
    <w:p w14:paraId="7BBABC4B" w14:textId="77777777" w:rsidR="007273C0" w:rsidRPr="006C301D" w:rsidRDefault="007273C0" w:rsidP="000A4E8C">
      <w:pPr>
        <w:pStyle w:val="Heading3"/>
        <w:spacing w:line="360" w:lineRule="auto"/>
        <w:rPr>
          <w:rFonts w:cs="Times New Roman"/>
        </w:rPr>
      </w:pPr>
      <w:bookmarkStart w:id="676" w:name="_Toc34734561"/>
      <w:bookmarkStart w:id="677" w:name="_Toc46053452"/>
      <w:bookmarkStart w:id="678" w:name="_Toc46093366"/>
      <w:bookmarkStart w:id="679" w:name="_Toc46093649"/>
      <w:bookmarkStart w:id="680" w:name="_Toc66703225"/>
      <w:r w:rsidRPr="00802DC5">
        <w:rPr>
          <w:rFonts w:cs="Times New Roman"/>
        </w:rPr>
        <w:lastRenderedPageBreak/>
        <w:t>On-road costs</w:t>
      </w:r>
      <w:bookmarkEnd w:id="676"/>
      <w:bookmarkEnd w:id="677"/>
      <w:bookmarkEnd w:id="678"/>
      <w:bookmarkEnd w:id="679"/>
      <w:bookmarkEnd w:id="680"/>
    </w:p>
    <w:p w14:paraId="45D67811" w14:textId="5F81B9D0" w:rsidR="007273C0" w:rsidRDefault="007273C0" w:rsidP="00B61235">
      <w:pPr>
        <w:spacing w:after="240" w:line="360" w:lineRule="auto"/>
        <w:rPr>
          <w:rFonts w:cs="Times New Roman"/>
        </w:rPr>
      </w:pPr>
      <w:r w:rsidRPr="00A96AC5">
        <w:rPr>
          <w:rFonts w:cs="Times New Roman"/>
        </w:rPr>
        <w:t>On-road transportation cost includes the costs of travel distance and truck operating (which are linked to the drivers’ salaries and driving times). Stop costs are generated by the goods receipt process, which is affected by the stopping time of each receiver.</w:t>
      </w:r>
    </w:p>
    <w:p w14:paraId="0EC2548E" w14:textId="35C41C17" w:rsidR="000C40B0" w:rsidRPr="00C52A4C" w:rsidRDefault="000C40B0" w:rsidP="000C40B0">
      <w:pPr>
        <w:snapToGrid w:val="0"/>
        <w:spacing w:after="240" w:line="360" w:lineRule="auto"/>
        <w:textAlignment w:val="center"/>
        <w:rPr>
          <w:rFonts w:cs="Times New Roman"/>
          <w:szCs w:val="24"/>
        </w:rPr>
      </w:pPr>
      <w:r w:rsidRPr="00C52A4C">
        <w:rPr>
          <w:rFonts w:cs="Times New Roman"/>
          <w:szCs w:val="24"/>
        </w:rPr>
        <w:t xml:space="preserve">Urban delivery can be regarded as a circular goods movement process in which the vehicle is travelling on the road </w:t>
      </w:r>
      <w:r w:rsidRPr="00C52A4C">
        <w:rPr>
          <w:rFonts w:eastAsia="宋体" w:cs="Times New Roman"/>
          <w:szCs w:val="24"/>
        </w:rPr>
        <w:t xml:space="preserve">and </w:t>
      </w:r>
      <w:r w:rsidRPr="00C52A4C">
        <w:rPr>
          <w:rFonts w:cs="Times New Roman"/>
          <w:szCs w:val="24"/>
        </w:rPr>
        <w:t>reaching a consignee (</w:t>
      </w:r>
      <w:r w:rsidRPr="00C52A4C">
        <w:rPr>
          <w:rFonts w:cs="Times New Roman"/>
          <w:szCs w:val="24"/>
        </w:rPr>
        <w:fldChar w:fldCharType="begin"/>
      </w:r>
      <w:r w:rsidRPr="00C52A4C">
        <w:rPr>
          <w:rFonts w:cs="Times New Roman"/>
          <w:szCs w:val="24"/>
        </w:rPr>
        <w:instrText xml:space="preserve"> REF _Ref34732362 \h  \* MERGEFORMAT </w:instrText>
      </w:r>
      <w:r w:rsidRPr="00C52A4C">
        <w:rPr>
          <w:rFonts w:cs="Times New Roman"/>
          <w:szCs w:val="24"/>
        </w:rPr>
      </w:r>
      <w:r w:rsidRPr="00C52A4C">
        <w:rPr>
          <w:rFonts w:cs="Times New Roman"/>
          <w:szCs w:val="24"/>
        </w:rPr>
        <w:fldChar w:fldCharType="separate"/>
      </w:r>
      <w:r w:rsidR="0005064B" w:rsidRPr="0005064B">
        <w:rPr>
          <w:rFonts w:cs="Times New Roman"/>
          <w:szCs w:val="24"/>
        </w:rPr>
        <w:t xml:space="preserve">Figure </w:t>
      </w:r>
      <w:r w:rsidR="0005064B" w:rsidRPr="0005064B">
        <w:rPr>
          <w:rFonts w:cs="Times New Roman"/>
          <w:noProof/>
          <w:szCs w:val="24"/>
        </w:rPr>
        <w:t>4</w:t>
      </w:r>
      <w:r w:rsidR="0005064B" w:rsidRPr="0005064B">
        <w:rPr>
          <w:rFonts w:cs="Times New Roman"/>
          <w:noProof/>
          <w:szCs w:val="24"/>
        </w:rPr>
        <w:noBreakHyphen/>
        <w:t>4</w:t>
      </w:r>
      <w:r w:rsidRPr="00C52A4C">
        <w:rPr>
          <w:rFonts w:cs="Times New Roman"/>
          <w:szCs w:val="24"/>
        </w:rPr>
        <w:fldChar w:fldCharType="end"/>
      </w:r>
      <w:r w:rsidRPr="00C52A4C">
        <w:rPr>
          <w:rFonts w:cs="Times New Roman"/>
          <w:szCs w:val="24"/>
        </w:rPr>
        <w:t xml:space="preserve">). Each vehicle delivers goods to </w:t>
      </w:r>
      <w:r w:rsidRPr="00C52A4C">
        <w:rPr>
          <w:rFonts w:cs="Times New Roman"/>
          <w:i/>
          <w:iCs/>
          <w:szCs w:val="24"/>
        </w:rPr>
        <w:t>m</w:t>
      </w:r>
      <w:r w:rsidRPr="00C52A4C">
        <w:rPr>
          <w:rFonts w:cs="Times New Roman"/>
          <w:szCs w:val="24"/>
        </w:rPr>
        <w:t xml:space="preserve"> consignees. Therefore, there are </w:t>
      </w:r>
      <w:r w:rsidRPr="00C52A4C">
        <w:rPr>
          <w:rFonts w:cs="Times New Roman"/>
          <w:i/>
          <w:iCs/>
          <w:szCs w:val="24"/>
        </w:rPr>
        <w:t>m</w:t>
      </w:r>
      <w:r w:rsidRPr="00C52A4C">
        <w:rPr>
          <w:rFonts w:cs="Times New Roman"/>
          <w:szCs w:val="24"/>
        </w:rPr>
        <w:t>+</w:t>
      </w:r>
      <w:r w:rsidRPr="00C52A4C">
        <w:rPr>
          <w:rFonts w:cs="Times New Roman"/>
          <w:i/>
          <w:iCs/>
          <w:szCs w:val="24"/>
        </w:rPr>
        <w:t>2</w:t>
      </w:r>
      <w:r w:rsidRPr="00C52A4C">
        <w:rPr>
          <w:rFonts w:cs="Times New Roman"/>
          <w:szCs w:val="24"/>
        </w:rPr>
        <w:t xml:space="preserve"> stops in each delivery trip (vehicle departure from the facility is stop 0, and the vehicle’s return from the last consignee </w:t>
      </w:r>
      <w:r w:rsidRPr="00C52A4C">
        <w:rPr>
          <w:rFonts w:cs="Times New Roman"/>
          <w:i/>
          <w:iCs/>
          <w:szCs w:val="24"/>
        </w:rPr>
        <w:t>m</w:t>
      </w:r>
      <w:r w:rsidRPr="00C52A4C">
        <w:rPr>
          <w:rFonts w:cs="Times New Roman"/>
          <w:szCs w:val="24"/>
        </w:rPr>
        <w:t xml:space="preserve"> to the UCC is stop </w:t>
      </w:r>
      <w:r w:rsidRPr="00C52A4C">
        <w:rPr>
          <w:rFonts w:cs="Times New Roman"/>
          <w:i/>
          <w:iCs/>
          <w:szCs w:val="24"/>
        </w:rPr>
        <w:t>m</w:t>
      </w:r>
      <w:r w:rsidRPr="00C52A4C">
        <w:rPr>
          <w:rFonts w:cs="Times New Roman"/>
          <w:szCs w:val="24"/>
        </w:rPr>
        <w:t xml:space="preserve">+1). Furthermore, the UCC is equipped with </w:t>
      </w:r>
      <w:r w:rsidRPr="00C52A4C">
        <w:rPr>
          <w:rFonts w:cs="Times New Roman"/>
          <w:noProof/>
          <w:position w:val="-4"/>
          <w:szCs w:val="24"/>
          <w:lang w:eastAsia="en-GB"/>
        </w:rPr>
        <w:drawing>
          <wp:inline distT="0" distB="0" distL="0" distR="0" wp14:anchorId="3D49CE96" wp14:editId="53872E60">
            <wp:extent cx="727075" cy="273685"/>
            <wp:effectExtent l="0" t="0" r="0" b="0"/>
            <wp:docPr id="8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27075" cy="273685"/>
                    </a:xfrm>
                    <a:prstGeom prst="rect">
                      <a:avLst/>
                    </a:prstGeom>
                    <a:noFill/>
                    <a:ln>
                      <a:noFill/>
                    </a:ln>
                  </pic:spPr>
                </pic:pic>
              </a:graphicData>
            </a:graphic>
          </wp:inline>
        </w:drawing>
      </w:r>
      <w:r w:rsidRPr="00C52A4C">
        <w:rPr>
          <w:rFonts w:cs="Times New Roman"/>
          <w:szCs w:val="24"/>
        </w:rPr>
        <w:t xml:space="preserve">number of trucks and </w:t>
      </w:r>
      <w:r w:rsidRPr="00C52A4C">
        <w:rPr>
          <w:rFonts w:cs="Times New Roman"/>
          <w:noProof/>
          <w:position w:val="-4"/>
          <w:szCs w:val="24"/>
          <w:lang w:eastAsia="en-GB"/>
        </w:rPr>
        <w:drawing>
          <wp:inline distT="0" distB="0" distL="0" distR="0" wp14:anchorId="040B0992" wp14:editId="367AE0B5">
            <wp:extent cx="720090" cy="273685"/>
            <wp:effectExtent l="0" t="0" r="3810" b="0"/>
            <wp:docPr id="2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20090" cy="273685"/>
                    </a:xfrm>
                    <a:prstGeom prst="rect">
                      <a:avLst/>
                    </a:prstGeom>
                    <a:noFill/>
                    <a:ln>
                      <a:noFill/>
                    </a:ln>
                  </pic:spPr>
                </pic:pic>
              </a:graphicData>
            </a:graphic>
          </wp:inline>
        </w:drawing>
      </w:r>
      <w:r w:rsidRPr="00C52A4C">
        <w:rPr>
          <w:rFonts w:cs="Times New Roman"/>
          <w:noProof/>
          <w:szCs w:val="24"/>
        </w:rPr>
        <w:t xml:space="preserve"> </w:t>
      </w:r>
      <w:r w:rsidRPr="00C52A4C">
        <w:rPr>
          <w:rFonts w:cs="Times New Roman"/>
          <w:szCs w:val="24"/>
        </w:rPr>
        <w:t>number of</w:t>
      </w:r>
      <w:r w:rsidRPr="00C52A4C">
        <w:rPr>
          <w:rFonts w:cs="Times New Roman"/>
          <w:noProof/>
          <w:szCs w:val="24"/>
        </w:rPr>
        <w:t xml:space="preserve"> drivers. Each vehicle is represented by </w:t>
      </w:r>
      <w:r w:rsidRPr="00C52A4C">
        <w:rPr>
          <w:rFonts w:cs="Times New Roman"/>
          <w:noProof/>
          <w:position w:val="-4"/>
          <w:szCs w:val="24"/>
          <w:lang w:eastAsia="en-GB"/>
        </w:rPr>
        <w:drawing>
          <wp:inline distT="0" distB="0" distL="0" distR="0" wp14:anchorId="230B6236" wp14:editId="06C37F06">
            <wp:extent cx="756285" cy="273685"/>
            <wp:effectExtent l="0" t="0" r="5715" b="0"/>
            <wp:docPr id="1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56285" cy="273685"/>
                    </a:xfrm>
                    <a:prstGeom prst="rect">
                      <a:avLst/>
                    </a:prstGeom>
                    <a:noFill/>
                    <a:ln>
                      <a:noFill/>
                    </a:ln>
                  </pic:spPr>
                </pic:pic>
              </a:graphicData>
            </a:graphic>
          </wp:inline>
        </w:drawing>
      </w:r>
      <w:r w:rsidRPr="00C52A4C">
        <w:rPr>
          <w:rFonts w:cs="Times New Roman"/>
          <w:noProof/>
          <w:szCs w:val="24"/>
        </w:rPr>
        <w:t xml:space="preserve"> and each driver is represented by </w:t>
      </w:r>
      <w:r w:rsidRPr="00C52A4C">
        <w:rPr>
          <w:rFonts w:cs="Times New Roman"/>
          <w:noProof/>
          <w:position w:val="-4"/>
          <w:szCs w:val="24"/>
          <w:lang w:eastAsia="en-GB"/>
        </w:rPr>
        <w:drawing>
          <wp:inline distT="0" distB="0" distL="0" distR="0" wp14:anchorId="14ECAEA6" wp14:editId="56F4C2E3">
            <wp:extent cx="727075" cy="273685"/>
            <wp:effectExtent l="0" t="0" r="0" b="0"/>
            <wp:docPr id="1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27075" cy="273685"/>
                    </a:xfrm>
                    <a:prstGeom prst="rect">
                      <a:avLst/>
                    </a:prstGeom>
                    <a:noFill/>
                    <a:ln>
                      <a:noFill/>
                    </a:ln>
                  </pic:spPr>
                </pic:pic>
              </a:graphicData>
            </a:graphic>
          </wp:inline>
        </w:drawing>
      </w:r>
      <w:r w:rsidRPr="00C52A4C">
        <w:rPr>
          <w:rFonts w:cs="Times New Roman"/>
          <w:noProof/>
          <w:szCs w:val="24"/>
        </w:rPr>
        <w:t xml:space="preserve"> There are </w:t>
      </w:r>
      <w:r w:rsidRPr="00C52A4C">
        <w:rPr>
          <w:rFonts w:cs="Times New Roman"/>
          <w:i/>
          <w:iCs/>
          <w:noProof/>
          <w:szCs w:val="24"/>
        </w:rPr>
        <w:t>D</w:t>
      </w:r>
      <w:r w:rsidRPr="00C52A4C">
        <w:rPr>
          <w:rFonts w:cs="Times New Roman"/>
          <w:noProof/>
          <w:szCs w:val="24"/>
        </w:rPr>
        <w:t xml:space="preserve"> </w:t>
      </w:r>
      <w:r w:rsidRPr="00C52A4C">
        <w:rPr>
          <w:rFonts w:cs="Times New Roman"/>
          <w:szCs w:val="24"/>
        </w:rPr>
        <w:t>working days in one month, and each working day is represented by</w:t>
      </w:r>
      <w:r w:rsidRPr="00C52A4C">
        <w:rPr>
          <w:rFonts w:cs="Times New Roman"/>
          <w:noProof/>
          <w:position w:val="-4"/>
          <w:szCs w:val="24"/>
          <w:lang w:eastAsia="en-GB"/>
        </w:rPr>
        <w:drawing>
          <wp:inline distT="0" distB="0" distL="0" distR="0" wp14:anchorId="06E55B3B" wp14:editId="27E994F7">
            <wp:extent cx="914400" cy="273685"/>
            <wp:effectExtent l="0" t="0" r="0" b="0"/>
            <wp:docPr id="1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14400" cy="273685"/>
                    </a:xfrm>
                    <a:prstGeom prst="rect">
                      <a:avLst/>
                    </a:prstGeom>
                    <a:noFill/>
                    <a:ln>
                      <a:noFill/>
                    </a:ln>
                  </pic:spPr>
                </pic:pic>
              </a:graphicData>
            </a:graphic>
          </wp:inline>
        </w:drawing>
      </w:r>
      <w:r w:rsidRPr="00C52A4C">
        <w:rPr>
          <w:rFonts w:cs="Times New Roman"/>
          <w:szCs w:val="24"/>
        </w:rPr>
        <w:t xml:space="preserve"> The total distance travelled by a vehicle in one working day is </w:t>
      </w:r>
      <w:r w:rsidRPr="00C52A4C">
        <w:rPr>
          <w:rFonts w:cs="Times New Roman"/>
          <w:noProof/>
          <w:position w:val="-4"/>
          <w:szCs w:val="24"/>
          <w:lang w:eastAsia="en-GB"/>
        </w:rPr>
        <w:drawing>
          <wp:inline distT="0" distB="0" distL="0" distR="0" wp14:anchorId="470499DA" wp14:editId="168F1D09">
            <wp:extent cx="1555115" cy="273685"/>
            <wp:effectExtent l="0" t="0" r="6985" b="0"/>
            <wp:docPr id="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55115" cy="273685"/>
                    </a:xfrm>
                    <a:prstGeom prst="rect">
                      <a:avLst/>
                    </a:prstGeom>
                    <a:noFill/>
                    <a:ln>
                      <a:noFill/>
                    </a:ln>
                  </pic:spPr>
                </pic:pic>
              </a:graphicData>
            </a:graphic>
          </wp:inline>
        </w:drawing>
      </w:r>
      <w:r w:rsidRPr="00C52A4C">
        <w:rPr>
          <w:rFonts w:cs="Times New Roman"/>
          <w:noProof/>
          <w:szCs w:val="24"/>
        </w:rPr>
        <w:t xml:space="preserve"> </w:t>
      </w:r>
      <w:r w:rsidRPr="00C52A4C">
        <w:rPr>
          <w:rFonts w:cs="Times New Roman"/>
          <w:szCs w:val="24"/>
        </w:rPr>
        <w:t>The total driving time for a driver on one working day is</w:t>
      </w:r>
      <w:r w:rsidRPr="00C52A4C">
        <w:rPr>
          <w:rFonts w:cs="Times New Roman"/>
          <w:noProof/>
          <w:position w:val="-4"/>
          <w:szCs w:val="24"/>
          <w:lang w:eastAsia="en-GB"/>
        </w:rPr>
        <w:drawing>
          <wp:inline distT="0" distB="0" distL="0" distR="0" wp14:anchorId="0B5997C6" wp14:editId="07202E92">
            <wp:extent cx="1569720" cy="27368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69720" cy="273685"/>
                    </a:xfrm>
                    <a:prstGeom prst="rect">
                      <a:avLst/>
                    </a:prstGeom>
                    <a:noFill/>
                    <a:ln>
                      <a:noFill/>
                    </a:ln>
                  </pic:spPr>
                </pic:pic>
              </a:graphicData>
            </a:graphic>
          </wp:inline>
        </w:drawing>
      </w:r>
      <w:r w:rsidRPr="00C52A4C">
        <w:rPr>
          <w:rFonts w:cs="Times New Roman"/>
          <w:szCs w:val="24"/>
        </w:rPr>
        <w:t xml:space="preserve"> The total stopping time for a driver from consignee 1 to consignee </w:t>
      </w:r>
      <w:r w:rsidRPr="00C52A4C">
        <w:rPr>
          <w:rFonts w:cs="Times New Roman"/>
          <w:i/>
          <w:iCs/>
          <w:szCs w:val="24"/>
        </w:rPr>
        <w:t xml:space="preserve">m </w:t>
      </w:r>
      <w:r w:rsidRPr="00C52A4C">
        <w:rPr>
          <w:rFonts w:cs="Times New Roman"/>
          <w:szCs w:val="24"/>
        </w:rPr>
        <w:t>in each working day</w:t>
      </w:r>
      <w:r w:rsidRPr="00C52A4C">
        <w:rPr>
          <w:rFonts w:cs="Times New Roman"/>
          <w:i/>
          <w:iCs/>
          <w:szCs w:val="24"/>
        </w:rPr>
        <w:t xml:space="preserve"> </w:t>
      </w:r>
      <w:r w:rsidRPr="00C52A4C">
        <w:rPr>
          <w:rFonts w:cs="Times New Roman"/>
          <w:szCs w:val="24"/>
        </w:rPr>
        <w:t xml:space="preserve">is </w:t>
      </w:r>
      <w:r w:rsidRPr="00C52A4C">
        <w:rPr>
          <w:rFonts w:cs="Times New Roman"/>
          <w:noProof/>
          <w:position w:val="-4"/>
          <w:szCs w:val="24"/>
          <w:lang w:eastAsia="en-GB"/>
        </w:rPr>
        <w:drawing>
          <wp:inline distT="0" distB="0" distL="0" distR="0" wp14:anchorId="78A74DE2" wp14:editId="4563D5CE">
            <wp:extent cx="1569720" cy="273685"/>
            <wp:effectExtent l="0" t="0" r="0" b="0"/>
            <wp:docPr id="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69720" cy="273685"/>
                    </a:xfrm>
                    <a:prstGeom prst="rect">
                      <a:avLst/>
                    </a:prstGeom>
                    <a:noFill/>
                    <a:ln>
                      <a:noFill/>
                    </a:ln>
                  </pic:spPr>
                </pic:pic>
              </a:graphicData>
            </a:graphic>
          </wp:inline>
        </w:drawing>
      </w:r>
    </w:p>
    <w:p w14:paraId="4FC8F087" w14:textId="77777777" w:rsidR="007273C0" w:rsidRPr="008903D1" w:rsidRDefault="007273C0" w:rsidP="000A4E8C">
      <w:pPr>
        <w:snapToGrid w:val="0"/>
        <w:spacing w:line="360" w:lineRule="auto"/>
        <w:jc w:val="center"/>
        <w:rPr>
          <w:rFonts w:cs="Times New Roman"/>
        </w:rPr>
      </w:pPr>
      <w:r w:rsidRPr="008903D1">
        <w:rPr>
          <w:rFonts w:cs="Times New Roman"/>
          <w:noProof/>
          <w:lang w:eastAsia="en-GB"/>
        </w:rPr>
        <w:drawing>
          <wp:inline distT="0" distB="0" distL="0" distR="0" wp14:anchorId="425DCA0C" wp14:editId="231CF3F8">
            <wp:extent cx="5270500" cy="1501775"/>
            <wp:effectExtent l="0" t="0" r="0" b="0"/>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0500" cy="1501775"/>
                    </a:xfrm>
                    <a:prstGeom prst="rect">
                      <a:avLst/>
                    </a:prstGeom>
                  </pic:spPr>
                </pic:pic>
              </a:graphicData>
            </a:graphic>
          </wp:inline>
        </w:drawing>
      </w:r>
    </w:p>
    <w:p w14:paraId="6AC04867" w14:textId="4D41908A" w:rsidR="007273C0" w:rsidRPr="00737239" w:rsidRDefault="007273C0" w:rsidP="00B61235">
      <w:pPr>
        <w:pStyle w:val="Caption"/>
        <w:spacing w:line="360" w:lineRule="auto"/>
        <w:rPr>
          <w:rFonts w:cs="Times New Roman"/>
        </w:rPr>
      </w:pPr>
      <w:bookmarkStart w:id="681" w:name="_Ref34732362"/>
      <w:bookmarkStart w:id="682" w:name="_Toc34675035"/>
      <w:bookmarkStart w:id="683" w:name="_Toc34734827"/>
      <w:bookmarkStart w:id="684" w:name="_Toc46053682"/>
      <w:bookmarkStart w:id="685" w:name="_Toc66698713"/>
      <w:r w:rsidRPr="00737239">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4</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4</w:t>
      </w:r>
      <w:r w:rsidR="00632993">
        <w:rPr>
          <w:rFonts w:cs="Times New Roman"/>
        </w:rPr>
        <w:fldChar w:fldCharType="end"/>
      </w:r>
      <w:bookmarkEnd w:id="681"/>
      <w:r w:rsidR="00FD1FFD">
        <w:rPr>
          <w:rFonts w:cs="Times New Roman"/>
        </w:rPr>
        <w:t>:</w:t>
      </w:r>
      <w:r w:rsidRPr="008903D1">
        <w:rPr>
          <w:rFonts w:cs="Times New Roman"/>
        </w:rPr>
        <w:t xml:space="preserve"> Urban delivery process</w:t>
      </w:r>
      <w:bookmarkEnd w:id="682"/>
      <w:bookmarkEnd w:id="683"/>
      <w:bookmarkEnd w:id="684"/>
      <w:bookmarkEnd w:id="685"/>
    </w:p>
    <w:p w14:paraId="1B07DD8C" w14:textId="453AC04C" w:rsidR="007273C0" w:rsidRPr="00802DC5" w:rsidRDefault="007273C0" w:rsidP="00B61235">
      <w:pPr>
        <w:snapToGrid w:val="0"/>
        <w:spacing w:after="240" w:line="360" w:lineRule="auto"/>
        <w:rPr>
          <w:rFonts w:cs="Times New Roman"/>
        </w:rPr>
      </w:pPr>
      <w:r w:rsidRPr="00802DC5">
        <w:rPr>
          <w:rFonts w:cs="Times New Roman"/>
        </w:rPr>
        <w:t>The cost of the last-mile delivery (</w:t>
      </w:r>
      <w:r w:rsidR="006B2CFD">
        <w:rPr>
          <w:rFonts w:cs="Times New Roman"/>
          <w:noProof/>
          <w:position w:val="-6"/>
          <w:lang w:eastAsia="en-GB"/>
        </w:rPr>
        <w:drawing>
          <wp:inline distT="0" distB="0" distL="0" distR="0" wp14:anchorId="1E9829C4" wp14:editId="3B9B05D0">
            <wp:extent cx="187325" cy="194310"/>
            <wp:effectExtent l="0" t="0" r="317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7325" cy="194310"/>
                    </a:xfrm>
                    <a:prstGeom prst="rect">
                      <a:avLst/>
                    </a:prstGeom>
                    <a:noFill/>
                    <a:ln>
                      <a:noFill/>
                    </a:ln>
                  </pic:spPr>
                </pic:pic>
              </a:graphicData>
            </a:graphic>
          </wp:inline>
        </w:drawing>
      </w:r>
      <w:r w:rsidRPr="008903D1">
        <w:rPr>
          <w:rFonts w:cs="Times New Roman"/>
        </w:rPr>
        <w:t>) is constituted by the ‘c</w:t>
      </w:r>
      <w:r w:rsidRPr="00737239">
        <w:rPr>
          <w:rFonts w:cs="Times New Roman"/>
        </w:rPr>
        <w:t>ost of fuel (gasoline) consumption (</w:t>
      </w:r>
      <w:r w:rsidR="006B2CFD">
        <w:rPr>
          <w:rFonts w:cs="Times New Roman"/>
          <w:noProof/>
          <w:position w:val="-6"/>
          <w:lang w:eastAsia="en-GB"/>
        </w:rPr>
        <w:drawing>
          <wp:inline distT="0" distB="0" distL="0" distR="0" wp14:anchorId="4E86F6C7" wp14:editId="453273FD">
            <wp:extent cx="187325" cy="194310"/>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7325" cy="194310"/>
                    </a:xfrm>
                    <a:prstGeom prst="rect">
                      <a:avLst/>
                    </a:prstGeom>
                    <a:noFill/>
                    <a:ln>
                      <a:noFill/>
                    </a:ln>
                  </pic:spPr>
                </pic:pic>
              </a:graphicData>
            </a:graphic>
          </wp:inline>
        </w:drawing>
      </w:r>
      <w:r w:rsidRPr="008903D1">
        <w:rPr>
          <w:rFonts w:cs="Times New Roman"/>
        </w:rPr>
        <w:t xml:space="preserve">)’ and the </w:t>
      </w:r>
      <w:r w:rsidRPr="00737239">
        <w:rPr>
          <w:rFonts w:cs="Times New Roman"/>
        </w:rPr>
        <w:t>‘cost of human resources by drivers (driving hours) (</w:t>
      </w:r>
      <w:r w:rsidR="006B2CFD">
        <w:rPr>
          <w:rFonts w:cs="Times New Roman"/>
          <w:noProof/>
          <w:position w:val="-6"/>
          <w:lang w:eastAsia="en-GB"/>
        </w:rPr>
        <w:drawing>
          <wp:inline distT="0" distB="0" distL="0" distR="0" wp14:anchorId="2AB62170" wp14:editId="5A38E293">
            <wp:extent cx="187325" cy="194310"/>
            <wp:effectExtent l="0" t="0" r="317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7325" cy="194310"/>
                    </a:xfrm>
                    <a:prstGeom prst="rect">
                      <a:avLst/>
                    </a:prstGeom>
                    <a:noFill/>
                    <a:ln>
                      <a:noFill/>
                    </a:ln>
                  </pic:spPr>
                </pic:pic>
              </a:graphicData>
            </a:graphic>
          </wp:inline>
        </w:drawing>
      </w:r>
      <w:r w:rsidRPr="008903D1">
        <w:rPr>
          <w:rFonts w:cs="Times New Roman"/>
        </w:rPr>
        <w:t>)’. H</w:t>
      </w:r>
      <w:r w:rsidRPr="00737239">
        <w:rPr>
          <w:rFonts w:cs="Times New Roman"/>
        </w:rPr>
        <w:t>ere, the cost of fuel (gasoline) consumption (</w:t>
      </w:r>
      <w:r w:rsidR="006B2CFD">
        <w:rPr>
          <w:rFonts w:cs="Times New Roman"/>
          <w:noProof/>
          <w:position w:val="-6"/>
          <w:lang w:eastAsia="en-GB"/>
        </w:rPr>
        <w:drawing>
          <wp:inline distT="0" distB="0" distL="0" distR="0" wp14:anchorId="282D83CE" wp14:editId="0A922F8B">
            <wp:extent cx="187325" cy="194310"/>
            <wp:effectExtent l="0" t="0" r="317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7325" cy="194310"/>
                    </a:xfrm>
                    <a:prstGeom prst="rect">
                      <a:avLst/>
                    </a:prstGeom>
                    <a:noFill/>
                    <a:ln>
                      <a:noFill/>
                    </a:ln>
                  </pic:spPr>
                </pic:pic>
              </a:graphicData>
            </a:graphic>
          </wp:inline>
        </w:drawing>
      </w:r>
      <w:r w:rsidRPr="008903D1">
        <w:rPr>
          <w:rFonts w:cs="Times New Roman"/>
        </w:rPr>
        <w:t>) can be calculated by</w:t>
      </w:r>
      <w:r w:rsidRPr="00737239">
        <w:rPr>
          <w:rFonts w:cs="Times New Roman"/>
        </w:rPr>
        <w:t>:</w:t>
      </w:r>
    </w:p>
    <w:p w14:paraId="17CB038D" w14:textId="2052F661" w:rsidR="007273C0" w:rsidRPr="008903D1" w:rsidRDefault="007273C0" w:rsidP="00C52A4C">
      <w:pPr>
        <w:pStyle w:val="MTDisplayEquation"/>
        <w:snapToGrid w:val="0"/>
        <w:spacing w:before="240" w:after="240" w:line="360" w:lineRule="auto"/>
        <w:rPr>
          <w:lang w:val="en-GB"/>
        </w:rPr>
      </w:pPr>
      <w:r w:rsidRPr="008903D1">
        <w:rPr>
          <w:lang w:val="en-GB"/>
        </w:rPr>
        <w:tab/>
      </w:r>
      <w:r w:rsidR="006B2CFD">
        <w:rPr>
          <w:noProof/>
          <w:position w:val="-32"/>
          <w:lang w:val="en-GB" w:eastAsia="en-GB"/>
        </w:rPr>
        <w:drawing>
          <wp:inline distT="0" distB="0" distL="0" distR="0" wp14:anchorId="75263F90" wp14:editId="7145DFBA">
            <wp:extent cx="2555875" cy="27368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55875" cy="273685"/>
                    </a:xfrm>
                    <a:prstGeom prst="rect">
                      <a:avLst/>
                    </a:prstGeom>
                    <a:noFill/>
                    <a:ln>
                      <a:noFill/>
                    </a:ln>
                  </pic:spPr>
                </pic:pic>
              </a:graphicData>
            </a:graphic>
          </wp:inline>
        </w:drawing>
      </w:r>
      <w:r w:rsidRPr="008903D1">
        <w:rPr>
          <w:lang w:val="en-GB"/>
        </w:rPr>
        <w:t xml:space="preserve"> </w:t>
      </w:r>
      <w:r w:rsidRPr="008903D1">
        <w:rPr>
          <w:lang w:val="en-GB"/>
        </w:rPr>
        <w:tab/>
      </w:r>
      <w:r w:rsidRPr="00A96AC5">
        <w:rPr>
          <w:lang w:val="en-GB"/>
        </w:rPr>
        <w:fldChar w:fldCharType="begin"/>
      </w:r>
      <w:r w:rsidRPr="008903D1">
        <w:rPr>
          <w:lang w:val="en-GB"/>
        </w:rPr>
        <w:instrText xml:space="preserve"> MACROBUTTON MTPlaceRef \* MERGEFORMAT </w:instrText>
      </w:r>
      <w:r w:rsidRPr="00A96AC5">
        <w:rPr>
          <w:lang w:val="en-GB"/>
        </w:rPr>
        <w:fldChar w:fldCharType="begin"/>
      </w:r>
      <w:r w:rsidRPr="008903D1">
        <w:rPr>
          <w:lang w:val="en-GB"/>
        </w:rPr>
        <w:instrText xml:space="preserve"> SEQ MTEqn \h \* MERGEFORMAT </w:instrText>
      </w:r>
      <w:r w:rsidRPr="00A96AC5">
        <w:rPr>
          <w:lang w:val="en-GB"/>
        </w:rPr>
        <w:fldChar w:fldCharType="end"/>
      </w:r>
      <w:r w:rsidRPr="008903D1">
        <w:rPr>
          <w:lang w:val="en-GB"/>
        </w:rPr>
        <w:instrText>(</w:instrText>
      </w:r>
      <w:r w:rsidRPr="00737239">
        <w:rPr>
          <w:lang w:val="en-GB"/>
        </w:rPr>
        <w:fldChar w:fldCharType="begin"/>
      </w:r>
      <w:r w:rsidRPr="008903D1">
        <w:rPr>
          <w:lang w:val="en-GB"/>
        </w:rPr>
        <w:instrText xml:space="preserve"> SEQ MTEqn \c \* Arabic \* MERGEFORMAT </w:instrText>
      </w:r>
      <w:r w:rsidRPr="00737239">
        <w:rPr>
          <w:lang w:val="en-GB"/>
        </w:rPr>
        <w:fldChar w:fldCharType="separate"/>
      </w:r>
      <w:r w:rsidR="0005064B">
        <w:rPr>
          <w:noProof/>
          <w:lang w:val="en-GB"/>
        </w:rPr>
        <w:instrText>5</w:instrText>
      </w:r>
      <w:r w:rsidRPr="00737239">
        <w:rPr>
          <w:noProof/>
          <w:lang w:val="en-GB"/>
        </w:rPr>
        <w:fldChar w:fldCharType="end"/>
      </w:r>
      <w:r w:rsidRPr="008903D1">
        <w:rPr>
          <w:lang w:val="en-GB"/>
        </w:rPr>
        <w:instrText>)</w:instrText>
      </w:r>
      <w:r w:rsidRPr="00A96AC5">
        <w:rPr>
          <w:lang w:val="en-GB"/>
        </w:rPr>
        <w:fldChar w:fldCharType="end"/>
      </w:r>
    </w:p>
    <w:p w14:paraId="6253FAD5" w14:textId="0FABA112" w:rsidR="007273C0" w:rsidRPr="00802DC5" w:rsidRDefault="006B2CFD" w:rsidP="000A4E8C">
      <w:pPr>
        <w:snapToGrid w:val="0"/>
        <w:spacing w:line="360" w:lineRule="auto"/>
        <w:rPr>
          <w:rFonts w:cs="Times New Roman"/>
        </w:rPr>
      </w:pPr>
      <w:r>
        <w:rPr>
          <w:rFonts w:cs="Times New Roman"/>
          <w:noProof/>
          <w:position w:val="-6"/>
          <w:lang w:eastAsia="en-GB"/>
        </w:rPr>
        <w:drawing>
          <wp:inline distT="0" distB="0" distL="0" distR="0" wp14:anchorId="57616D53" wp14:editId="23EE7FDA">
            <wp:extent cx="194310" cy="19431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4310" cy="194310"/>
                    </a:xfrm>
                    <a:prstGeom prst="rect">
                      <a:avLst/>
                    </a:prstGeom>
                    <a:noFill/>
                    <a:ln>
                      <a:noFill/>
                    </a:ln>
                  </pic:spPr>
                </pic:pic>
              </a:graphicData>
            </a:graphic>
          </wp:inline>
        </w:drawing>
      </w:r>
      <w:r w:rsidR="007273C0" w:rsidRPr="008903D1">
        <w:rPr>
          <w:rFonts w:cs="Times New Roman"/>
        </w:rPr>
        <w:t xml:space="preserve"> = Fuel e</w:t>
      </w:r>
      <w:r w:rsidR="007273C0" w:rsidRPr="00737239">
        <w:rPr>
          <w:rFonts w:cs="Times New Roman"/>
        </w:rPr>
        <w:t>fficiency of the vehicle</w:t>
      </w:r>
    </w:p>
    <w:p w14:paraId="4ACAA993" w14:textId="21C3FDCF" w:rsidR="007273C0" w:rsidRPr="008903D1" w:rsidRDefault="007273C0" w:rsidP="00223923">
      <w:pPr>
        <w:pStyle w:val="Caption"/>
        <w:snapToGrid w:val="0"/>
        <w:spacing w:line="360" w:lineRule="auto"/>
        <w:jc w:val="both"/>
        <w:rPr>
          <w:rFonts w:cs="Times New Roman"/>
          <w:b w:val="0"/>
          <w:bCs/>
          <w:i w:val="0"/>
          <w:iCs w:val="0"/>
          <w:color w:val="auto"/>
          <w:sz w:val="24"/>
          <w:szCs w:val="22"/>
        </w:rPr>
      </w:pPr>
      <w:r w:rsidRPr="006C301D">
        <w:rPr>
          <w:rFonts w:cs="Times New Roman"/>
          <w:b w:val="0"/>
          <w:bCs/>
          <w:i w:val="0"/>
          <w:iCs w:val="0"/>
          <w:color w:val="auto"/>
          <w:sz w:val="24"/>
          <w:szCs w:val="22"/>
        </w:rPr>
        <w:lastRenderedPageBreak/>
        <w:t xml:space="preserve">The statistics from the US Department of Transportation </w:t>
      </w:r>
      <w:r w:rsidR="007160F4">
        <w:rPr>
          <w:rFonts w:cs="Times New Roman"/>
          <w:b w:val="0"/>
          <w:bCs/>
          <w:i w:val="0"/>
          <w:iCs w:val="0"/>
          <w:noProof/>
          <w:color w:val="auto"/>
          <w:sz w:val="24"/>
          <w:szCs w:val="22"/>
        </w:rPr>
        <w:fldChar w:fldCharType="begin"/>
      </w:r>
      <w:r w:rsidR="00647E79">
        <w:rPr>
          <w:rFonts w:cs="Times New Roman"/>
          <w:b w:val="0"/>
          <w:bCs/>
          <w:i w:val="0"/>
          <w:iCs w:val="0"/>
          <w:noProof/>
          <w:color w:val="auto"/>
          <w:sz w:val="24"/>
          <w:szCs w:val="22"/>
        </w:rPr>
        <w:instrText xml:space="preserve"> ADDIN EN.CITE &lt;EndNote&gt;&lt;Cite&gt;&lt;Author&gt;BTS&lt;/Author&gt;&lt;Year&gt;2017&lt;/Year&gt;&lt;RecNum&gt;304&lt;/RecNum&gt;&lt;DisplayText&gt;(BTS, 2017)&lt;/DisplayText&gt;&lt;record&gt;&lt;rec-number&gt;304&lt;/rec-number&gt;&lt;foreign-keys&gt;&lt;key app="EN" db-id="pzt5ep52hsedfpeext2pdfes0w0aswaewef2" timestamp="1605187999"&gt;304&lt;/key&gt;&lt;/foreign-keys&gt;&lt;ref-type name="Online Database"&gt;45&lt;/ref-type&gt;&lt;contributors&gt;&lt;authors&gt;&lt;author&gt;BTS&lt;/author&gt;&lt;/authors&gt;&lt;/contributors&gt;&lt;titles&gt;&lt;title&gt;Average Fuel Efficiency of U.S. Light Duty Vehicles&lt;/title&gt;&lt;/titles&gt;&lt;dates&gt;&lt;year&gt;2017&lt;/year&gt;&lt;/dates&gt;&lt;pub-location&gt;&lt;style face="normal" font="default" size="100%"&gt;Bureau&lt;/style&gt;&lt;style face="normal" font="default" charset="134" size="100%"&gt; &lt;/style&gt;&lt;style face="normal" font="default" size="100%"&gt;of Transportation Statistics&lt;/style&gt;&lt;/pub-location&gt;&lt;urls&gt;&lt;related-urls&gt;&lt;url&gt;https://www.bts.gov/content/average-fuel-efficiency-us-light-duty-vehicles&lt;/url&gt;&lt;/related-urls&gt;&lt;/urls&gt;&lt;/record&gt;&lt;/Cite&gt;&lt;/EndNote&gt;</w:instrText>
      </w:r>
      <w:r w:rsidR="007160F4">
        <w:rPr>
          <w:rFonts w:cs="Times New Roman"/>
          <w:b w:val="0"/>
          <w:bCs/>
          <w:i w:val="0"/>
          <w:iCs w:val="0"/>
          <w:noProof/>
          <w:color w:val="auto"/>
          <w:sz w:val="24"/>
          <w:szCs w:val="22"/>
        </w:rPr>
        <w:fldChar w:fldCharType="separate"/>
      </w:r>
      <w:r w:rsidR="007160F4">
        <w:rPr>
          <w:rFonts w:cs="Times New Roman"/>
          <w:b w:val="0"/>
          <w:bCs/>
          <w:i w:val="0"/>
          <w:iCs w:val="0"/>
          <w:noProof/>
          <w:color w:val="auto"/>
          <w:sz w:val="24"/>
          <w:szCs w:val="22"/>
        </w:rPr>
        <w:t>(BTS, 2017)</w:t>
      </w:r>
      <w:r w:rsidR="007160F4">
        <w:rPr>
          <w:rFonts w:cs="Times New Roman"/>
          <w:b w:val="0"/>
          <w:bCs/>
          <w:i w:val="0"/>
          <w:iCs w:val="0"/>
          <w:noProof/>
          <w:color w:val="auto"/>
          <w:sz w:val="24"/>
          <w:szCs w:val="22"/>
        </w:rPr>
        <w:fldChar w:fldCharType="end"/>
      </w:r>
      <w:r w:rsidR="00067D71">
        <w:rPr>
          <w:rFonts w:cs="Times New Roman"/>
          <w:b w:val="0"/>
          <w:bCs/>
          <w:i w:val="0"/>
          <w:iCs w:val="0"/>
          <w:color w:val="auto"/>
          <w:sz w:val="24"/>
          <w:szCs w:val="22"/>
        </w:rPr>
        <w:t xml:space="preserve"> </w:t>
      </w:r>
      <w:r w:rsidRPr="006C301D">
        <w:rPr>
          <w:rFonts w:cs="Times New Roman"/>
          <w:b w:val="0"/>
          <w:bCs/>
          <w:i w:val="0"/>
          <w:iCs w:val="0"/>
          <w:color w:val="auto"/>
          <w:sz w:val="24"/>
          <w:szCs w:val="22"/>
        </w:rPr>
        <w:t xml:space="preserve">for the average fuel efficiency of a light truck (capacity &lt; 4,000kg), travelling 55% city and 45% highway miles, are shown in </w:t>
      </w:r>
      <w:r w:rsidRPr="008903D1">
        <w:rPr>
          <w:rFonts w:cs="Times New Roman"/>
          <w:b w:val="0"/>
          <w:bCs/>
          <w:i w:val="0"/>
          <w:iCs w:val="0"/>
          <w:color w:val="auto"/>
          <w:sz w:val="24"/>
          <w:szCs w:val="22"/>
        </w:rPr>
        <w:fldChar w:fldCharType="begin"/>
      </w:r>
      <w:r w:rsidRPr="00A96AC5">
        <w:rPr>
          <w:rFonts w:cs="Times New Roman"/>
          <w:b w:val="0"/>
          <w:bCs/>
          <w:i w:val="0"/>
          <w:iCs w:val="0"/>
          <w:color w:val="auto"/>
          <w:sz w:val="24"/>
          <w:szCs w:val="22"/>
        </w:rPr>
        <w:instrText xml:space="preserve"> REF _Ref34732423 \h  \* MERGEFORMAT </w:instrText>
      </w:r>
      <w:r w:rsidRPr="008903D1">
        <w:rPr>
          <w:rFonts w:cs="Times New Roman"/>
          <w:b w:val="0"/>
          <w:bCs/>
          <w:i w:val="0"/>
          <w:iCs w:val="0"/>
          <w:color w:val="auto"/>
          <w:sz w:val="24"/>
          <w:szCs w:val="22"/>
        </w:rPr>
      </w:r>
      <w:r w:rsidRPr="008903D1">
        <w:rPr>
          <w:rFonts w:cs="Times New Roman"/>
          <w:b w:val="0"/>
          <w:bCs/>
          <w:i w:val="0"/>
          <w:iCs w:val="0"/>
          <w:color w:val="auto"/>
          <w:sz w:val="24"/>
          <w:szCs w:val="22"/>
        </w:rPr>
        <w:fldChar w:fldCharType="separate"/>
      </w:r>
      <w:r w:rsidR="0005064B" w:rsidRPr="0005064B">
        <w:rPr>
          <w:rFonts w:cs="Times New Roman"/>
          <w:b w:val="0"/>
          <w:bCs/>
          <w:i w:val="0"/>
          <w:iCs w:val="0"/>
          <w:color w:val="auto"/>
          <w:sz w:val="24"/>
          <w:szCs w:val="22"/>
        </w:rPr>
        <w:t>Table 4</w:t>
      </w:r>
      <w:r w:rsidR="0005064B" w:rsidRPr="0005064B">
        <w:rPr>
          <w:rFonts w:cs="Times New Roman"/>
          <w:b w:val="0"/>
          <w:bCs/>
          <w:i w:val="0"/>
          <w:iCs w:val="0"/>
          <w:color w:val="auto"/>
          <w:sz w:val="24"/>
          <w:szCs w:val="22"/>
        </w:rPr>
        <w:noBreakHyphen/>
        <w:t>2</w:t>
      </w:r>
      <w:r w:rsidRPr="008903D1">
        <w:rPr>
          <w:rFonts w:cs="Times New Roman"/>
          <w:b w:val="0"/>
          <w:bCs/>
          <w:i w:val="0"/>
          <w:iCs w:val="0"/>
          <w:color w:val="auto"/>
          <w:sz w:val="24"/>
          <w:szCs w:val="22"/>
        </w:rPr>
        <w:fldChar w:fldCharType="end"/>
      </w:r>
      <w:r w:rsidRPr="008903D1">
        <w:rPr>
          <w:rFonts w:cs="Times New Roman"/>
          <w:b w:val="0"/>
          <w:bCs/>
          <w:i w:val="0"/>
          <w:iCs w:val="0"/>
          <w:color w:val="auto"/>
          <w:sz w:val="24"/>
          <w:szCs w:val="22"/>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2"/>
        <w:gridCol w:w="1365"/>
        <w:gridCol w:w="759"/>
        <w:gridCol w:w="759"/>
        <w:gridCol w:w="759"/>
        <w:gridCol w:w="759"/>
        <w:gridCol w:w="759"/>
        <w:gridCol w:w="759"/>
        <w:gridCol w:w="759"/>
        <w:gridCol w:w="756"/>
      </w:tblGrid>
      <w:tr w:rsidR="007273C0" w:rsidRPr="008903D1" w14:paraId="2CA9A750" w14:textId="77777777" w:rsidTr="00F7598C">
        <w:trPr>
          <w:trHeight w:val="357"/>
          <w:jc w:val="center"/>
        </w:trPr>
        <w:tc>
          <w:tcPr>
            <w:tcW w:w="1634" w:type="pct"/>
            <w:gridSpan w:val="2"/>
            <w:shd w:val="clear" w:color="000000" w:fill="FFFFFF"/>
            <w:noWrap/>
            <w:vAlign w:val="center"/>
            <w:hideMark/>
          </w:tcPr>
          <w:p w14:paraId="5BD85154" w14:textId="77777777" w:rsidR="007273C0" w:rsidRPr="00802DC5" w:rsidRDefault="007273C0" w:rsidP="00F70BBF">
            <w:pPr>
              <w:snapToGrid w:val="0"/>
              <w:spacing w:line="240" w:lineRule="auto"/>
              <w:jc w:val="center"/>
              <w:rPr>
                <w:rFonts w:cs="Times New Roman"/>
                <w:sz w:val="22"/>
              </w:rPr>
            </w:pPr>
            <w:r w:rsidRPr="00737239">
              <w:rPr>
                <w:rFonts w:cs="Times New Roman"/>
                <w:sz w:val="22"/>
              </w:rPr>
              <w:t>Year</w:t>
            </w:r>
          </w:p>
        </w:tc>
        <w:tc>
          <w:tcPr>
            <w:tcW w:w="421" w:type="pct"/>
            <w:shd w:val="clear" w:color="000000" w:fill="FFFFFF"/>
            <w:noWrap/>
            <w:vAlign w:val="center"/>
            <w:hideMark/>
          </w:tcPr>
          <w:p w14:paraId="14B4F70F" w14:textId="77777777" w:rsidR="007273C0" w:rsidRPr="00DB493C" w:rsidRDefault="007273C0" w:rsidP="00F70BBF">
            <w:pPr>
              <w:snapToGrid w:val="0"/>
              <w:spacing w:line="240" w:lineRule="auto"/>
              <w:jc w:val="center"/>
              <w:rPr>
                <w:rFonts w:cs="Times New Roman"/>
                <w:sz w:val="22"/>
              </w:rPr>
            </w:pPr>
            <w:r w:rsidRPr="006C301D">
              <w:rPr>
                <w:rFonts w:cs="Times New Roman"/>
                <w:sz w:val="22"/>
              </w:rPr>
              <w:t>2001</w:t>
            </w:r>
          </w:p>
        </w:tc>
        <w:tc>
          <w:tcPr>
            <w:tcW w:w="421" w:type="pct"/>
            <w:shd w:val="clear" w:color="000000" w:fill="FFFFFF"/>
            <w:noWrap/>
            <w:vAlign w:val="center"/>
            <w:hideMark/>
          </w:tcPr>
          <w:p w14:paraId="7D76B15E"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2002</w:t>
            </w:r>
          </w:p>
        </w:tc>
        <w:tc>
          <w:tcPr>
            <w:tcW w:w="421" w:type="pct"/>
            <w:shd w:val="clear" w:color="000000" w:fill="FFFFFF"/>
            <w:noWrap/>
            <w:vAlign w:val="center"/>
            <w:hideMark/>
          </w:tcPr>
          <w:p w14:paraId="4D7F68D2"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2003</w:t>
            </w:r>
          </w:p>
        </w:tc>
        <w:tc>
          <w:tcPr>
            <w:tcW w:w="421" w:type="pct"/>
            <w:shd w:val="clear" w:color="000000" w:fill="FFFFFF"/>
            <w:noWrap/>
            <w:vAlign w:val="center"/>
            <w:hideMark/>
          </w:tcPr>
          <w:p w14:paraId="2BE51BEE"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2004</w:t>
            </w:r>
          </w:p>
        </w:tc>
        <w:tc>
          <w:tcPr>
            <w:tcW w:w="421" w:type="pct"/>
            <w:shd w:val="clear" w:color="000000" w:fill="FFFFFF"/>
            <w:noWrap/>
            <w:vAlign w:val="center"/>
            <w:hideMark/>
          </w:tcPr>
          <w:p w14:paraId="0F6D328F"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2005</w:t>
            </w:r>
          </w:p>
        </w:tc>
        <w:tc>
          <w:tcPr>
            <w:tcW w:w="421" w:type="pct"/>
            <w:shd w:val="clear" w:color="000000" w:fill="FFFFFF"/>
            <w:noWrap/>
            <w:vAlign w:val="center"/>
            <w:hideMark/>
          </w:tcPr>
          <w:p w14:paraId="6B395B28"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2006</w:t>
            </w:r>
          </w:p>
        </w:tc>
        <w:tc>
          <w:tcPr>
            <w:tcW w:w="421" w:type="pct"/>
            <w:shd w:val="clear" w:color="000000" w:fill="FFFFFF"/>
            <w:noWrap/>
            <w:vAlign w:val="center"/>
            <w:hideMark/>
          </w:tcPr>
          <w:p w14:paraId="126B0B1D"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2007</w:t>
            </w:r>
          </w:p>
        </w:tc>
        <w:tc>
          <w:tcPr>
            <w:tcW w:w="420" w:type="pct"/>
            <w:shd w:val="clear" w:color="000000" w:fill="FFFFFF"/>
            <w:noWrap/>
            <w:vAlign w:val="center"/>
            <w:hideMark/>
          </w:tcPr>
          <w:p w14:paraId="2F961B7F"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2008</w:t>
            </w:r>
          </w:p>
        </w:tc>
      </w:tr>
      <w:tr w:rsidR="007273C0" w:rsidRPr="008903D1" w14:paraId="4F421B8E" w14:textId="77777777" w:rsidTr="00F7598C">
        <w:trPr>
          <w:trHeight w:val="330"/>
          <w:jc w:val="center"/>
        </w:trPr>
        <w:tc>
          <w:tcPr>
            <w:tcW w:w="877" w:type="pct"/>
            <w:vMerge w:val="restart"/>
            <w:shd w:val="clear" w:color="000000" w:fill="FFFFFF"/>
            <w:noWrap/>
            <w:vAlign w:val="center"/>
          </w:tcPr>
          <w:p w14:paraId="0384692E" w14:textId="77777777" w:rsidR="007273C0" w:rsidRPr="00802DC5" w:rsidRDefault="007273C0" w:rsidP="00F70BBF">
            <w:pPr>
              <w:snapToGrid w:val="0"/>
              <w:spacing w:line="240" w:lineRule="auto"/>
              <w:jc w:val="center"/>
              <w:rPr>
                <w:rFonts w:cs="Times New Roman"/>
                <w:sz w:val="22"/>
              </w:rPr>
            </w:pPr>
            <w:r w:rsidRPr="00737239">
              <w:rPr>
                <w:rFonts w:cs="Times New Roman"/>
                <w:sz w:val="22"/>
              </w:rPr>
              <w:t>Fuel efficiency</w:t>
            </w:r>
          </w:p>
        </w:tc>
        <w:tc>
          <w:tcPr>
            <w:tcW w:w="757" w:type="pct"/>
            <w:shd w:val="clear" w:color="000000" w:fill="FFFFFF"/>
            <w:vAlign w:val="center"/>
          </w:tcPr>
          <w:p w14:paraId="09C3B745" w14:textId="77777777" w:rsidR="007273C0" w:rsidRPr="00DB493C" w:rsidRDefault="007273C0" w:rsidP="00F70BBF">
            <w:pPr>
              <w:snapToGrid w:val="0"/>
              <w:spacing w:line="240" w:lineRule="auto"/>
              <w:jc w:val="center"/>
              <w:rPr>
                <w:rFonts w:cs="Times New Roman"/>
                <w:sz w:val="22"/>
              </w:rPr>
            </w:pPr>
            <w:proofErr w:type="spellStart"/>
            <w:r w:rsidRPr="006C301D">
              <w:rPr>
                <w:rFonts w:cs="Times New Roman"/>
                <w:sz w:val="22"/>
              </w:rPr>
              <w:t>Mgp</w:t>
            </w:r>
            <w:proofErr w:type="spellEnd"/>
            <w:r w:rsidRPr="006C301D">
              <w:rPr>
                <w:rFonts w:cs="Times New Roman"/>
                <w:sz w:val="22"/>
              </w:rPr>
              <w:t xml:space="preserve"> (US)</w:t>
            </w:r>
          </w:p>
        </w:tc>
        <w:tc>
          <w:tcPr>
            <w:tcW w:w="421" w:type="pct"/>
            <w:shd w:val="clear" w:color="000000" w:fill="FFFFFF"/>
            <w:noWrap/>
            <w:vAlign w:val="center"/>
          </w:tcPr>
          <w:p w14:paraId="345A9654"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20.9</w:t>
            </w:r>
          </w:p>
        </w:tc>
        <w:tc>
          <w:tcPr>
            <w:tcW w:w="421" w:type="pct"/>
            <w:shd w:val="clear" w:color="000000" w:fill="FFFFFF"/>
            <w:noWrap/>
            <w:vAlign w:val="center"/>
          </w:tcPr>
          <w:p w14:paraId="1245DA34"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21.4</w:t>
            </w:r>
          </w:p>
        </w:tc>
        <w:tc>
          <w:tcPr>
            <w:tcW w:w="421" w:type="pct"/>
            <w:shd w:val="clear" w:color="000000" w:fill="FFFFFF"/>
            <w:noWrap/>
            <w:vAlign w:val="center"/>
          </w:tcPr>
          <w:p w14:paraId="1CD0AD86"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21.8</w:t>
            </w:r>
          </w:p>
        </w:tc>
        <w:tc>
          <w:tcPr>
            <w:tcW w:w="421" w:type="pct"/>
            <w:shd w:val="clear" w:color="000000" w:fill="FFFFFF"/>
            <w:noWrap/>
            <w:vAlign w:val="center"/>
          </w:tcPr>
          <w:p w14:paraId="0C9D9CBD"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21.5</w:t>
            </w:r>
          </w:p>
        </w:tc>
        <w:tc>
          <w:tcPr>
            <w:tcW w:w="421" w:type="pct"/>
            <w:shd w:val="clear" w:color="000000" w:fill="FFFFFF"/>
            <w:noWrap/>
            <w:vAlign w:val="center"/>
          </w:tcPr>
          <w:p w14:paraId="1592B4D6"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22.1</w:t>
            </w:r>
          </w:p>
        </w:tc>
        <w:tc>
          <w:tcPr>
            <w:tcW w:w="421" w:type="pct"/>
            <w:shd w:val="clear" w:color="000000" w:fill="FFFFFF"/>
            <w:noWrap/>
            <w:vAlign w:val="center"/>
          </w:tcPr>
          <w:p w14:paraId="383035BB"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22.5</w:t>
            </w:r>
          </w:p>
        </w:tc>
        <w:tc>
          <w:tcPr>
            <w:tcW w:w="421" w:type="pct"/>
            <w:shd w:val="clear" w:color="000000" w:fill="FFFFFF"/>
            <w:noWrap/>
            <w:vAlign w:val="center"/>
          </w:tcPr>
          <w:p w14:paraId="2C8A256B"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23.1</w:t>
            </w:r>
          </w:p>
        </w:tc>
        <w:tc>
          <w:tcPr>
            <w:tcW w:w="420" w:type="pct"/>
            <w:shd w:val="clear" w:color="000000" w:fill="FFFFFF"/>
            <w:noWrap/>
            <w:vAlign w:val="center"/>
          </w:tcPr>
          <w:p w14:paraId="4ACA5595"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23.6</w:t>
            </w:r>
          </w:p>
        </w:tc>
      </w:tr>
      <w:tr w:rsidR="007273C0" w:rsidRPr="008903D1" w14:paraId="640B427E" w14:textId="77777777" w:rsidTr="00F7598C">
        <w:trPr>
          <w:trHeight w:val="330"/>
          <w:jc w:val="center"/>
        </w:trPr>
        <w:tc>
          <w:tcPr>
            <w:tcW w:w="877" w:type="pct"/>
            <w:vMerge/>
            <w:shd w:val="clear" w:color="000000" w:fill="FFFFFF"/>
            <w:noWrap/>
            <w:vAlign w:val="center"/>
          </w:tcPr>
          <w:p w14:paraId="3627FC0A" w14:textId="77777777" w:rsidR="007273C0" w:rsidRPr="00A96AC5" w:rsidRDefault="007273C0" w:rsidP="00F70BBF">
            <w:pPr>
              <w:snapToGrid w:val="0"/>
              <w:spacing w:line="240" w:lineRule="auto"/>
              <w:jc w:val="center"/>
              <w:rPr>
                <w:rFonts w:cs="Times New Roman"/>
                <w:sz w:val="22"/>
              </w:rPr>
            </w:pPr>
          </w:p>
        </w:tc>
        <w:tc>
          <w:tcPr>
            <w:tcW w:w="757" w:type="pct"/>
            <w:shd w:val="clear" w:color="000000" w:fill="FFFFFF"/>
            <w:vAlign w:val="center"/>
          </w:tcPr>
          <w:p w14:paraId="36FCE33A"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L/100KM (EU)</w:t>
            </w:r>
          </w:p>
        </w:tc>
        <w:tc>
          <w:tcPr>
            <w:tcW w:w="421" w:type="pct"/>
            <w:shd w:val="clear" w:color="000000" w:fill="FFFFFF"/>
            <w:noWrap/>
            <w:vAlign w:val="center"/>
          </w:tcPr>
          <w:p w14:paraId="1EA5E883"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11.3</w:t>
            </w:r>
          </w:p>
        </w:tc>
        <w:tc>
          <w:tcPr>
            <w:tcW w:w="421" w:type="pct"/>
            <w:shd w:val="clear" w:color="000000" w:fill="FFFFFF"/>
            <w:noWrap/>
            <w:vAlign w:val="center"/>
          </w:tcPr>
          <w:p w14:paraId="5DD5A528"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11.0</w:t>
            </w:r>
          </w:p>
        </w:tc>
        <w:tc>
          <w:tcPr>
            <w:tcW w:w="421" w:type="pct"/>
            <w:shd w:val="clear" w:color="000000" w:fill="FFFFFF"/>
            <w:noWrap/>
            <w:vAlign w:val="center"/>
          </w:tcPr>
          <w:p w14:paraId="682DD8E1"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10.8</w:t>
            </w:r>
          </w:p>
        </w:tc>
        <w:tc>
          <w:tcPr>
            <w:tcW w:w="421" w:type="pct"/>
            <w:shd w:val="clear" w:color="000000" w:fill="FFFFFF"/>
            <w:noWrap/>
            <w:vAlign w:val="center"/>
          </w:tcPr>
          <w:p w14:paraId="41E6186A"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10.9</w:t>
            </w:r>
          </w:p>
        </w:tc>
        <w:tc>
          <w:tcPr>
            <w:tcW w:w="421" w:type="pct"/>
            <w:shd w:val="clear" w:color="000000" w:fill="FFFFFF"/>
            <w:noWrap/>
            <w:vAlign w:val="center"/>
          </w:tcPr>
          <w:p w14:paraId="33436AD5"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10.6</w:t>
            </w:r>
          </w:p>
        </w:tc>
        <w:tc>
          <w:tcPr>
            <w:tcW w:w="421" w:type="pct"/>
            <w:shd w:val="clear" w:color="000000" w:fill="FFFFFF"/>
            <w:noWrap/>
            <w:vAlign w:val="center"/>
          </w:tcPr>
          <w:p w14:paraId="3C663C6E"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10.5</w:t>
            </w:r>
          </w:p>
        </w:tc>
        <w:tc>
          <w:tcPr>
            <w:tcW w:w="421" w:type="pct"/>
            <w:shd w:val="clear" w:color="000000" w:fill="FFFFFF"/>
            <w:noWrap/>
            <w:vAlign w:val="center"/>
          </w:tcPr>
          <w:p w14:paraId="392913A4"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10.2</w:t>
            </w:r>
          </w:p>
        </w:tc>
        <w:tc>
          <w:tcPr>
            <w:tcW w:w="420" w:type="pct"/>
            <w:shd w:val="clear" w:color="000000" w:fill="FFFFFF"/>
            <w:noWrap/>
            <w:vAlign w:val="center"/>
          </w:tcPr>
          <w:p w14:paraId="77E33F96"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10.0</w:t>
            </w:r>
          </w:p>
        </w:tc>
      </w:tr>
      <w:tr w:rsidR="007273C0" w:rsidRPr="008903D1" w14:paraId="791D799D" w14:textId="77777777" w:rsidTr="00F7598C">
        <w:trPr>
          <w:trHeight w:val="331"/>
          <w:jc w:val="center"/>
        </w:trPr>
        <w:tc>
          <w:tcPr>
            <w:tcW w:w="1634" w:type="pct"/>
            <w:gridSpan w:val="2"/>
            <w:shd w:val="clear" w:color="000000" w:fill="FFFFFF"/>
            <w:noWrap/>
            <w:vAlign w:val="center"/>
          </w:tcPr>
          <w:p w14:paraId="1F02D649" w14:textId="77777777" w:rsidR="007273C0" w:rsidRPr="00802DC5" w:rsidRDefault="007273C0" w:rsidP="00F70BBF">
            <w:pPr>
              <w:snapToGrid w:val="0"/>
              <w:spacing w:line="240" w:lineRule="auto"/>
              <w:jc w:val="center"/>
              <w:rPr>
                <w:rFonts w:cs="Times New Roman"/>
                <w:sz w:val="22"/>
              </w:rPr>
            </w:pPr>
            <w:r w:rsidRPr="00737239">
              <w:rPr>
                <w:rFonts w:cs="Times New Roman"/>
                <w:sz w:val="22"/>
              </w:rPr>
              <w:t>Year</w:t>
            </w:r>
          </w:p>
        </w:tc>
        <w:tc>
          <w:tcPr>
            <w:tcW w:w="421" w:type="pct"/>
            <w:shd w:val="clear" w:color="000000" w:fill="FFFFFF"/>
            <w:noWrap/>
            <w:vAlign w:val="center"/>
          </w:tcPr>
          <w:p w14:paraId="4AE36152" w14:textId="77777777" w:rsidR="007273C0" w:rsidRPr="00DB493C" w:rsidRDefault="007273C0" w:rsidP="00F70BBF">
            <w:pPr>
              <w:snapToGrid w:val="0"/>
              <w:spacing w:line="240" w:lineRule="auto"/>
              <w:jc w:val="center"/>
              <w:rPr>
                <w:rFonts w:cs="Times New Roman"/>
                <w:sz w:val="22"/>
              </w:rPr>
            </w:pPr>
            <w:r w:rsidRPr="006C301D">
              <w:rPr>
                <w:rFonts w:cs="Times New Roman"/>
                <w:sz w:val="22"/>
              </w:rPr>
              <w:t>2009</w:t>
            </w:r>
          </w:p>
        </w:tc>
        <w:tc>
          <w:tcPr>
            <w:tcW w:w="421" w:type="pct"/>
            <w:shd w:val="clear" w:color="000000" w:fill="FFFFFF"/>
            <w:noWrap/>
            <w:vAlign w:val="center"/>
          </w:tcPr>
          <w:p w14:paraId="1019667A"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2010</w:t>
            </w:r>
          </w:p>
        </w:tc>
        <w:tc>
          <w:tcPr>
            <w:tcW w:w="421" w:type="pct"/>
            <w:shd w:val="clear" w:color="000000" w:fill="FFFFFF"/>
            <w:noWrap/>
            <w:vAlign w:val="center"/>
          </w:tcPr>
          <w:p w14:paraId="397D0813"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2011</w:t>
            </w:r>
          </w:p>
        </w:tc>
        <w:tc>
          <w:tcPr>
            <w:tcW w:w="421" w:type="pct"/>
            <w:shd w:val="clear" w:color="000000" w:fill="FFFFFF"/>
            <w:noWrap/>
            <w:vAlign w:val="center"/>
          </w:tcPr>
          <w:p w14:paraId="0CAB8BC2"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2012</w:t>
            </w:r>
          </w:p>
        </w:tc>
        <w:tc>
          <w:tcPr>
            <w:tcW w:w="421" w:type="pct"/>
            <w:shd w:val="clear" w:color="000000" w:fill="FFFFFF"/>
            <w:noWrap/>
            <w:vAlign w:val="center"/>
          </w:tcPr>
          <w:p w14:paraId="2C1D5690"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2013</w:t>
            </w:r>
          </w:p>
        </w:tc>
        <w:tc>
          <w:tcPr>
            <w:tcW w:w="421" w:type="pct"/>
            <w:shd w:val="clear" w:color="000000" w:fill="FFFFFF"/>
            <w:noWrap/>
            <w:vAlign w:val="center"/>
          </w:tcPr>
          <w:p w14:paraId="7C8E97EB"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2014</w:t>
            </w:r>
          </w:p>
        </w:tc>
        <w:tc>
          <w:tcPr>
            <w:tcW w:w="421" w:type="pct"/>
            <w:shd w:val="clear" w:color="000000" w:fill="FFFFFF"/>
            <w:noWrap/>
            <w:vAlign w:val="center"/>
          </w:tcPr>
          <w:p w14:paraId="056708C3"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2015</w:t>
            </w:r>
          </w:p>
        </w:tc>
        <w:tc>
          <w:tcPr>
            <w:tcW w:w="420" w:type="pct"/>
            <w:shd w:val="clear" w:color="000000" w:fill="FFFFFF"/>
            <w:noWrap/>
            <w:vAlign w:val="center"/>
          </w:tcPr>
          <w:p w14:paraId="5CC7D404"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2016</w:t>
            </w:r>
          </w:p>
        </w:tc>
      </w:tr>
      <w:tr w:rsidR="007273C0" w:rsidRPr="008903D1" w14:paraId="32D1D516" w14:textId="77777777" w:rsidTr="00F7598C">
        <w:trPr>
          <w:trHeight w:val="330"/>
          <w:jc w:val="center"/>
        </w:trPr>
        <w:tc>
          <w:tcPr>
            <w:tcW w:w="877" w:type="pct"/>
            <w:vMerge w:val="restart"/>
            <w:shd w:val="clear" w:color="000000" w:fill="FFFFFF"/>
            <w:noWrap/>
            <w:vAlign w:val="center"/>
          </w:tcPr>
          <w:p w14:paraId="7ACF65E8" w14:textId="77777777" w:rsidR="007273C0" w:rsidRPr="00802DC5" w:rsidRDefault="007273C0" w:rsidP="00F70BBF">
            <w:pPr>
              <w:snapToGrid w:val="0"/>
              <w:spacing w:line="240" w:lineRule="auto"/>
              <w:jc w:val="center"/>
              <w:rPr>
                <w:rFonts w:cs="Times New Roman"/>
                <w:sz w:val="22"/>
              </w:rPr>
            </w:pPr>
            <w:r w:rsidRPr="00737239">
              <w:rPr>
                <w:rFonts w:cs="Times New Roman"/>
                <w:sz w:val="22"/>
              </w:rPr>
              <w:t>Fuel efficiency</w:t>
            </w:r>
          </w:p>
        </w:tc>
        <w:tc>
          <w:tcPr>
            <w:tcW w:w="757" w:type="pct"/>
            <w:shd w:val="clear" w:color="000000" w:fill="FFFFFF"/>
            <w:vAlign w:val="center"/>
          </w:tcPr>
          <w:p w14:paraId="01856873" w14:textId="77777777" w:rsidR="007273C0" w:rsidRPr="00DB493C" w:rsidRDefault="007273C0" w:rsidP="00F70BBF">
            <w:pPr>
              <w:snapToGrid w:val="0"/>
              <w:spacing w:line="240" w:lineRule="auto"/>
              <w:jc w:val="center"/>
              <w:rPr>
                <w:rFonts w:cs="Times New Roman"/>
                <w:sz w:val="22"/>
              </w:rPr>
            </w:pPr>
            <w:proofErr w:type="spellStart"/>
            <w:r w:rsidRPr="006C301D">
              <w:rPr>
                <w:rFonts w:cs="Times New Roman"/>
                <w:sz w:val="22"/>
              </w:rPr>
              <w:t>Mgp</w:t>
            </w:r>
            <w:proofErr w:type="spellEnd"/>
            <w:r w:rsidRPr="006C301D">
              <w:rPr>
                <w:rFonts w:cs="Times New Roman"/>
                <w:sz w:val="22"/>
              </w:rPr>
              <w:t xml:space="preserve"> (US)</w:t>
            </w:r>
          </w:p>
        </w:tc>
        <w:tc>
          <w:tcPr>
            <w:tcW w:w="421" w:type="pct"/>
            <w:shd w:val="clear" w:color="000000" w:fill="FFFFFF"/>
            <w:noWrap/>
            <w:vAlign w:val="center"/>
          </w:tcPr>
          <w:p w14:paraId="7604BE4B"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24.8</w:t>
            </w:r>
          </w:p>
        </w:tc>
        <w:tc>
          <w:tcPr>
            <w:tcW w:w="421" w:type="pct"/>
            <w:shd w:val="clear" w:color="000000" w:fill="FFFFFF"/>
            <w:noWrap/>
            <w:vAlign w:val="center"/>
          </w:tcPr>
          <w:p w14:paraId="2F053E22"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25.2</w:t>
            </w:r>
          </w:p>
        </w:tc>
        <w:tc>
          <w:tcPr>
            <w:tcW w:w="421" w:type="pct"/>
            <w:shd w:val="clear" w:color="000000" w:fill="FFFFFF"/>
            <w:noWrap/>
            <w:vAlign w:val="center"/>
          </w:tcPr>
          <w:p w14:paraId="772D592B"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24.7</w:t>
            </w:r>
          </w:p>
        </w:tc>
        <w:tc>
          <w:tcPr>
            <w:tcW w:w="421" w:type="pct"/>
            <w:shd w:val="clear" w:color="000000" w:fill="FFFFFF"/>
            <w:noWrap/>
            <w:vAlign w:val="center"/>
          </w:tcPr>
          <w:p w14:paraId="21C2B704"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25.0</w:t>
            </w:r>
          </w:p>
        </w:tc>
        <w:tc>
          <w:tcPr>
            <w:tcW w:w="421" w:type="pct"/>
            <w:shd w:val="clear" w:color="000000" w:fill="FFFFFF"/>
            <w:noWrap/>
            <w:vAlign w:val="center"/>
          </w:tcPr>
          <w:p w14:paraId="45F3D99D"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25.7</w:t>
            </w:r>
          </w:p>
        </w:tc>
        <w:tc>
          <w:tcPr>
            <w:tcW w:w="421" w:type="pct"/>
            <w:shd w:val="clear" w:color="000000" w:fill="FFFFFF"/>
            <w:noWrap/>
            <w:vAlign w:val="center"/>
          </w:tcPr>
          <w:p w14:paraId="36F0289D"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26.5</w:t>
            </w:r>
          </w:p>
        </w:tc>
        <w:tc>
          <w:tcPr>
            <w:tcW w:w="421" w:type="pct"/>
            <w:shd w:val="clear" w:color="000000" w:fill="FFFFFF"/>
            <w:noWrap/>
            <w:vAlign w:val="center"/>
          </w:tcPr>
          <w:p w14:paraId="3652DAF0"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27.3</w:t>
            </w:r>
          </w:p>
        </w:tc>
        <w:tc>
          <w:tcPr>
            <w:tcW w:w="420" w:type="pct"/>
            <w:shd w:val="clear" w:color="000000" w:fill="FFFFFF"/>
            <w:noWrap/>
            <w:vAlign w:val="center"/>
          </w:tcPr>
          <w:p w14:paraId="23A6031A"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27.4</w:t>
            </w:r>
          </w:p>
        </w:tc>
      </w:tr>
      <w:tr w:rsidR="007273C0" w:rsidRPr="008903D1" w14:paraId="0280FBB8" w14:textId="77777777" w:rsidTr="00F7598C">
        <w:trPr>
          <w:trHeight w:val="330"/>
          <w:jc w:val="center"/>
        </w:trPr>
        <w:tc>
          <w:tcPr>
            <w:tcW w:w="877" w:type="pct"/>
            <w:vMerge/>
            <w:shd w:val="clear" w:color="000000" w:fill="FFFFFF"/>
            <w:noWrap/>
            <w:vAlign w:val="center"/>
          </w:tcPr>
          <w:p w14:paraId="36E88243" w14:textId="77777777" w:rsidR="007273C0" w:rsidRPr="00A96AC5" w:rsidRDefault="007273C0" w:rsidP="00F70BBF">
            <w:pPr>
              <w:snapToGrid w:val="0"/>
              <w:spacing w:line="240" w:lineRule="auto"/>
              <w:jc w:val="center"/>
              <w:rPr>
                <w:rFonts w:cs="Times New Roman"/>
                <w:sz w:val="22"/>
              </w:rPr>
            </w:pPr>
          </w:p>
        </w:tc>
        <w:tc>
          <w:tcPr>
            <w:tcW w:w="757" w:type="pct"/>
            <w:shd w:val="clear" w:color="000000" w:fill="FFFFFF"/>
            <w:vAlign w:val="center"/>
          </w:tcPr>
          <w:p w14:paraId="10DA12F1"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L/100KM (EU)</w:t>
            </w:r>
          </w:p>
        </w:tc>
        <w:tc>
          <w:tcPr>
            <w:tcW w:w="421" w:type="pct"/>
            <w:shd w:val="clear" w:color="000000" w:fill="FFFFFF"/>
            <w:noWrap/>
            <w:vAlign w:val="center"/>
          </w:tcPr>
          <w:p w14:paraId="19156FC9"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9.5</w:t>
            </w:r>
          </w:p>
        </w:tc>
        <w:tc>
          <w:tcPr>
            <w:tcW w:w="421" w:type="pct"/>
            <w:shd w:val="clear" w:color="000000" w:fill="FFFFFF"/>
            <w:noWrap/>
            <w:vAlign w:val="center"/>
          </w:tcPr>
          <w:p w14:paraId="666E2964"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9.3</w:t>
            </w:r>
          </w:p>
        </w:tc>
        <w:tc>
          <w:tcPr>
            <w:tcW w:w="421" w:type="pct"/>
            <w:shd w:val="clear" w:color="000000" w:fill="FFFFFF"/>
            <w:noWrap/>
            <w:vAlign w:val="center"/>
          </w:tcPr>
          <w:p w14:paraId="2B36C416"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9.5</w:t>
            </w:r>
          </w:p>
        </w:tc>
        <w:tc>
          <w:tcPr>
            <w:tcW w:w="421" w:type="pct"/>
            <w:shd w:val="clear" w:color="000000" w:fill="FFFFFF"/>
            <w:noWrap/>
            <w:vAlign w:val="center"/>
          </w:tcPr>
          <w:p w14:paraId="6F0D42E7"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9.4</w:t>
            </w:r>
          </w:p>
        </w:tc>
        <w:tc>
          <w:tcPr>
            <w:tcW w:w="421" w:type="pct"/>
            <w:shd w:val="clear" w:color="000000" w:fill="FFFFFF"/>
            <w:noWrap/>
            <w:vAlign w:val="center"/>
          </w:tcPr>
          <w:p w14:paraId="6ACC799F"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9.2</w:t>
            </w:r>
          </w:p>
        </w:tc>
        <w:tc>
          <w:tcPr>
            <w:tcW w:w="421" w:type="pct"/>
            <w:shd w:val="clear" w:color="000000" w:fill="FFFFFF"/>
            <w:noWrap/>
            <w:vAlign w:val="center"/>
          </w:tcPr>
          <w:p w14:paraId="4162C392"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8.9</w:t>
            </w:r>
          </w:p>
        </w:tc>
        <w:tc>
          <w:tcPr>
            <w:tcW w:w="421" w:type="pct"/>
            <w:shd w:val="clear" w:color="000000" w:fill="FFFFFF"/>
            <w:noWrap/>
            <w:vAlign w:val="center"/>
          </w:tcPr>
          <w:p w14:paraId="04F586CB"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8.6</w:t>
            </w:r>
          </w:p>
        </w:tc>
        <w:tc>
          <w:tcPr>
            <w:tcW w:w="420" w:type="pct"/>
            <w:shd w:val="clear" w:color="000000" w:fill="FFFFFF"/>
            <w:noWrap/>
            <w:vAlign w:val="center"/>
          </w:tcPr>
          <w:p w14:paraId="5A40C98D" w14:textId="77777777" w:rsidR="007273C0" w:rsidRPr="00A96AC5" w:rsidRDefault="007273C0" w:rsidP="00F70BBF">
            <w:pPr>
              <w:snapToGrid w:val="0"/>
              <w:spacing w:line="240" w:lineRule="auto"/>
              <w:jc w:val="center"/>
              <w:rPr>
                <w:rFonts w:cs="Times New Roman"/>
                <w:sz w:val="22"/>
              </w:rPr>
            </w:pPr>
            <w:r w:rsidRPr="00A96AC5">
              <w:rPr>
                <w:rFonts w:cs="Times New Roman"/>
                <w:sz w:val="22"/>
              </w:rPr>
              <w:t>8.6</w:t>
            </w:r>
          </w:p>
        </w:tc>
      </w:tr>
    </w:tbl>
    <w:p w14:paraId="29457EFD" w14:textId="7987C2D3" w:rsidR="007273C0" w:rsidRPr="008903D1" w:rsidRDefault="007B5959" w:rsidP="00223923">
      <w:pPr>
        <w:pStyle w:val="Caption"/>
        <w:spacing w:line="360" w:lineRule="auto"/>
        <w:rPr>
          <w:rFonts w:cs="Times New Roman"/>
        </w:rPr>
      </w:pPr>
      <w:bookmarkStart w:id="686" w:name="_Ref34732423"/>
      <w:bookmarkStart w:id="687" w:name="_Toc34674985"/>
      <w:bookmarkStart w:id="688" w:name="_Toc34734777"/>
      <w:bookmarkStart w:id="689" w:name="_Toc46053562"/>
      <w:bookmarkStart w:id="690" w:name="_Toc46093811"/>
      <w:bookmarkStart w:id="691" w:name="_Toc66698778"/>
      <w:r>
        <w:rPr>
          <w:rFonts w:cs="Times New Roman"/>
        </w:rPr>
        <w:t>Table</w:t>
      </w:r>
      <w:r w:rsidR="007273C0"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4</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2</w:t>
      </w:r>
      <w:r w:rsidR="00FE10DA">
        <w:rPr>
          <w:rFonts w:cs="Times New Roman"/>
        </w:rPr>
        <w:fldChar w:fldCharType="end"/>
      </w:r>
      <w:bookmarkEnd w:id="686"/>
      <w:r w:rsidR="00AF217C">
        <w:rPr>
          <w:rFonts w:cs="Times New Roman"/>
        </w:rPr>
        <w:t>:</w:t>
      </w:r>
      <w:r w:rsidR="007273C0" w:rsidRPr="008903D1">
        <w:rPr>
          <w:rFonts w:cs="Times New Roman"/>
        </w:rPr>
        <w:t xml:space="preserve"> Average fuel efficiency for light trucks, US Department of Transportation data</w:t>
      </w:r>
      <w:bookmarkEnd w:id="687"/>
      <w:bookmarkEnd w:id="688"/>
      <w:bookmarkEnd w:id="689"/>
      <w:bookmarkEnd w:id="690"/>
      <w:bookmarkEnd w:id="691"/>
    </w:p>
    <w:p w14:paraId="6A256BC7" w14:textId="32B4580E" w:rsidR="007273C0" w:rsidRPr="00737239" w:rsidRDefault="006B2CFD" w:rsidP="000A4E8C">
      <w:pPr>
        <w:snapToGrid w:val="0"/>
        <w:spacing w:line="360" w:lineRule="auto"/>
        <w:rPr>
          <w:rFonts w:cs="Times New Roman"/>
        </w:rPr>
      </w:pPr>
      <w:r>
        <w:rPr>
          <w:rFonts w:cs="Times New Roman"/>
          <w:noProof/>
          <w:position w:val="-6"/>
          <w:lang w:eastAsia="en-GB"/>
        </w:rPr>
        <w:drawing>
          <wp:inline distT="0" distB="0" distL="0" distR="0" wp14:anchorId="4FABE64A" wp14:editId="42362849">
            <wp:extent cx="194310" cy="19431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4310" cy="194310"/>
                    </a:xfrm>
                    <a:prstGeom prst="rect">
                      <a:avLst/>
                    </a:prstGeom>
                    <a:noFill/>
                    <a:ln>
                      <a:noFill/>
                    </a:ln>
                  </pic:spPr>
                </pic:pic>
              </a:graphicData>
            </a:graphic>
          </wp:inline>
        </w:drawing>
      </w:r>
      <w:r w:rsidR="007273C0" w:rsidRPr="008903D1">
        <w:rPr>
          <w:rFonts w:cs="Times New Roman"/>
        </w:rPr>
        <w:t>= Gasoline price per litre</w:t>
      </w:r>
    </w:p>
    <w:p w14:paraId="38A4A728" w14:textId="77777777" w:rsidR="007273C0" w:rsidRPr="00802DC5" w:rsidRDefault="007273C0" w:rsidP="000A4E8C">
      <w:pPr>
        <w:snapToGrid w:val="0"/>
        <w:spacing w:line="360" w:lineRule="auto"/>
        <w:rPr>
          <w:rFonts w:cs="Times New Roman"/>
        </w:rPr>
      </w:pPr>
      <w:r w:rsidRPr="00802DC5">
        <w:rPr>
          <w:rFonts w:cs="Times New Roman"/>
        </w:rPr>
        <w:t>The regional prices of petrol and diesel is daily fluctuating and</w:t>
      </w:r>
      <w:r w:rsidRPr="008903D1">
        <w:rPr>
          <w:rFonts w:cs="Times New Roman"/>
        </w:rPr>
        <w:t xml:space="preserve"> fuel price</w:t>
      </w:r>
      <w:r w:rsidRPr="00737239">
        <w:rPr>
          <w:rFonts w:cs="Times New Roman"/>
        </w:rPr>
        <w:t xml:space="preserve"> also varies between countries. </w:t>
      </w:r>
    </w:p>
    <w:p w14:paraId="1FAD78A8" w14:textId="33D94C9A" w:rsidR="007273C0" w:rsidRPr="00802DC5" w:rsidRDefault="006B2CFD" w:rsidP="000A4E8C">
      <w:pPr>
        <w:snapToGrid w:val="0"/>
        <w:spacing w:line="360" w:lineRule="auto"/>
        <w:rPr>
          <w:rFonts w:cs="Times New Roman"/>
        </w:rPr>
      </w:pPr>
      <w:r>
        <w:rPr>
          <w:rFonts w:cs="Times New Roman"/>
          <w:noProof/>
          <w:position w:val="-12"/>
          <w:lang w:eastAsia="en-GB"/>
        </w:rPr>
        <w:drawing>
          <wp:inline distT="0" distB="0" distL="0" distR="0" wp14:anchorId="10AE7642" wp14:editId="2460E260">
            <wp:extent cx="194310" cy="27368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4310" cy="273685"/>
                    </a:xfrm>
                    <a:prstGeom prst="rect">
                      <a:avLst/>
                    </a:prstGeom>
                    <a:noFill/>
                    <a:ln>
                      <a:noFill/>
                    </a:ln>
                  </pic:spPr>
                </pic:pic>
              </a:graphicData>
            </a:graphic>
          </wp:inline>
        </w:drawing>
      </w:r>
      <w:r w:rsidR="007273C0" w:rsidRPr="008903D1">
        <w:rPr>
          <w:rFonts w:cs="Times New Roman"/>
        </w:rPr>
        <w:t>= Number of v</w:t>
      </w:r>
      <w:r w:rsidR="007273C0" w:rsidRPr="00737239">
        <w:rPr>
          <w:rFonts w:cs="Times New Roman"/>
        </w:rPr>
        <w:t>ehicles used per day</w:t>
      </w:r>
    </w:p>
    <w:p w14:paraId="5CFA97AD" w14:textId="5C543328" w:rsidR="007273C0" w:rsidRPr="008903D1" w:rsidRDefault="007273C0" w:rsidP="00B61235">
      <w:pPr>
        <w:snapToGrid w:val="0"/>
        <w:spacing w:after="240" w:line="360" w:lineRule="auto"/>
        <w:rPr>
          <w:rFonts w:cs="Times New Roman"/>
          <w:sz w:val="28"/>
        </w:rPr>
      </w:pPr>
      <w:r w:rsidRPr="006C301D">
        <w:rPr>
          <w:rFonts w:cs="Times New Roman"/>
        </w:rPr>
        <w:t>Cost of human resources, by drivers (</w:t>
      </w:r>
      <w:r w:rsidR="006B2CFD">
        <w:rPr>
          <w:rFonts w:cs="Times New Roman"/>
          <w:noProof/>
          <w:position w:val="-6"/>
          <w:lang w:eastAsia="en-GB"/>
        </w:rPr>
        <w:drawing>
          <wp:inline distT="0" distB="0" distL="0" distR="0" wp14:anchorId="0FFB7F7F" wp14:editId="63DACF6B">
            <wp:extent cx="187325" cy="194310"/>
            <wp:effectExtent l="0" t="0" r="317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7325" cy="194310"/>
                    </a:xfrm>
                    <a:prstGeom prst="rect">
                      <a:avLst/>
                    </a:prstGeom>
                    <a:noFill/>
                    <a:ln>
                      <a:noFill/>
                    </a:ln>
                  </pic:spPr>
                </pic:pic>
              </a:graphicData>
            </a:graphic>
          </wp:inline>
        </w:drawing>
      </w:r>
      <w:r w:rsidRPr="008903D1">
        <w:rPr>
          <w:rFonts w:cs="Times New Roman"/>
        </w:rPr>
        <w:t>):</w:t>
      </w:r>
    </w:p>
    <w:p w14:paraId="1499AF1A" w14:textId="21A24C7D" w:rsidR="007273C0" w:rsidRPr="008903D1" w:rsidRDefault="007273C0" w:rsidP="000A4E8C">
      <w:pPr>
        <w:pStyle w:val="MTDisplayEquation"/>
        <w:snapToGrid w:val="0"/>
        <w:spacing w:line="360" w:lineRule="auto"/>
        <w:rPr>
          <w:lang w:val="en-GB"/>
        </w:rPr>
      </w:pPr>
      <w:r w:rsidRPr="008903D1">
        <w:rPr>
          <w:lang w:val="en-GB"/>
        </w:rPr>
        <w:tab/>
      </w:r>
      <w:r w:rsidR="006B2CFD">
        <w:rPr>
          <w:noProof/>
          <w:position w:val="-46"/>
          <w:lang w:val="en-GB" w:eastAsia="en-GB"/>
        </w:rPr>
        <w:drawing>
          <wp:inline distT="0" distB="0" distL="0" distR="0" wp14:anchorId="3E56E37C" wp14:editId="460B04D8">
            <wp:extent cx="2102485" cy="46101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02485" cy="461010"/>
                    </a:xfrm>
                    <a:prstGeom prst="rect">
                      <a:avLst/>
                    </a:prstGeom>
                    <a:noFill/>
                    <a:ln>
                      <a:noFill/>
                    </a:ln>
                  </pic:spPr>
                </pic:pic>
              </a:graphicData>
            </a:graphic>
          </wp:inline>
        </w:drawing>
      </w:r>
      <w:r w:rsidRPr="008903D1">
        <w:rPr>
          <w:lang w:val="en-GB"/>
        </w:rPr>
        <w:t xml:space="preserve"> </w:t>
      </w:r>
      <w:r w:rsidRPr="008903D1">
        <w:rPr>
          <w:lang w:val="en-GB"/>
        </w:rPr>
        <w:tab/>
      </w:r>
      <w:r w:rsidRPr="00A96AC5">
        <w:rPr>
          <w:lang w:val="en-GB"/>
        </w:rPr>
        <w:fldChar w:fldCharType="begin"/>
      </w:r>
      <w:r w:rsidRPr="008903D1">
        <w:rPr>
          <w:lang w:val="en-GB"/>
        </w:rPr>
        <w:instrText xml:space="preserve"> MACROBUTTON MTPlaceRef \* MERGEFORMAT </w:instrText>
      </w:r>
      <w:r w:rsidRPr="00A96AC5">
        <w:rPr>
          <w:lang w:val="en-GB"/>
        </w:rPr>
        <w:fldChar w:fldCharType="begin"/>
      </w:r>
      <w:r w:rsidRPr="008903D1">
        <w:rPr>
          <w:lang w:val="en-GB"/>
        </w:rPr>
        <w:instrText xml:space="preserve"> SEQ MTEqn \h \* MERGEFORMAT </w:instrText>
      </w:r>
      <w:r w:rsidRPr="00A96AC5">
        <w:rPr>
          <w:lang w:val="en-GB"/>
        </w:rPr>
        <w:fldChar w:fldCharType="end"/>
      </w:r>
      <w:r w:rsidRPr="008903D1">
        <w:rPr>
          <w:lang w:val="en-GB"/>
        </w:rPr>
        <w:instrText>(</w:instrText>
      </w:r>
      <w:r w:rsidRPr="00737239">
        <w:rPr>
          <w:lang w:val="en-GB"/>
        </w:rPr>
        <w:fldChar w:fldCharType="begin"/>
      </w:r>
      <w:r w:rsidRPr="008903D1">
        <w:rPr>
          <w:lang w:val="en-GB"/>
        </w:rPr>
        <w:instrText xml:space="preserve"> SEQ MTEqn \c \* Arabic \* MERGEFORMAT </w:instrText>
      </w:r>
      <w:r w:rsidRPr="00737239">
        <w:rPr>
          <w:lang w:val="en-GB"/>
        </w:rPr>
        <w:fldChar w:fldCharType="separate"/>
      </w:r>
      <w:r w:rsidR="0005064B">
        <w:rPr>
          <w:noProof/>
          <w:lang w:val="en-GB"/>
        </w:rPr>
        <w:instrText>6</w:instrText>
      </w:r>
      <w:r w:rsidRPr="00737239">
        <w:rPr>
          <w:noProof/>
          <w:lang w:val="en-GB"/>
        </w:rPr>
        <w:fldChar w:fldCharType="end"/>
      </w:r>
      <w:r w:rsidRPr="008903D1">
        <w:rPr>
          <w:lang w:val="en-GB"/>
        </w:rPr>
        <w:instrText>)</w:instrText>
      </w:r>
      <w:r w:rsidRPr="00A96AC5">
        <w:rPr>
          <w:lang w:val="en-GB"/>
        </w:rPr>
        <w:fldChar w:fldCharType="end"/>
      </w:r>
    </w:p>
    <w:p w14:paraId="66DF3775" w14:textId="43A391FC" w:rsidR="007273C0" w:rsidRPr="00802DC5" w:rsidRDefault="006B2CFD" w:rsidP="000A4E8C">
      <w:pPr>
        <w:snapToGrid w:val="0"/>
        <w:spacing w:line="360" w:lineRule="auto"/>
        <w:rPr>
          <w:rFonts w:cs="Times New Roman"/>
        </w:rPr>
      </w:pPr>
      <w:r>
        <w:rPr>
          <w:rFonts w:cs="Times New Roman"/>
          <w:noProof/>
          <w:position w:val="-12"/>
          <w:lang w:eastAsia="en-GB"/>
        </w:rPr>
        <w:drawing>
          <wp:inline distT="0" distB="0" distL="0" distR="0" wp14:anchorId="2661D64D" wp14:editId="7C758606">
            <wp:extent cx="194310" cy="2736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4310" cy="273685"/>
                    </a:xfrm>
                    <a:prstGeom prst="rect">
                      <a:avLst/>
                    </a:prstGeom>
                    <a:noFill/>
                    <a:ln>
                      <a:noFill/>
                    </a:ln>
                  </pic:spPr>
                </pic:pic>
              </a:graphicData>
            </a:graphic>
          </wp:inline>
        </w:drawing>
      </w:r>
      <w:r w:rsidR="007273C0" w:rsidRPr="008903D1">
        <w:rPr>
          <w:rFonts w:cs="Times New Roman"/>
        </w:rPr>
        <w:t>= Hourly w</w:t>
      </w:r>
      <w:r w:rsidR="007273C0" w:rsidRPr="00737239">
        <w:rPr>
          <w:rFonts w:cs="Times New Roman"/>
        </w:rPr>
        <w:t xml:space="preserve">age of driver </w:t>
      </w:r>
    </w:p>
    <w:p w14:paraId="1C5F7A7E" w14:textId="0B26272F" w:rsidR="007273C0" w:rsidRPr="00802DC5" w:rsidRDefault="006B2CFD" w:rsidP="000A4E8C">
      <w:pPr>
        <w:snapToGrid w:val="0"/>
        <w:spacing w:line="360" w:lineRule="auto"/>
        <w:rPr>
          <w:rFonts w:cs="Times New Roman"/>
        </w:rPr>
      </w:pPr>
      <w:r>
        <w:rPr>
          <w:rFonts w:cs="Times New Roman"/>
          <w:noProof/>
          <w:position w:val="-12"/>
          <w:lang w:eastAsia="en-GB"/>
        </w:rPr>
        <w:drawing>
          <wp:inline distT="0" distB="0" distL="0" distR="0" wp14:anchorId="1267220A" wp14:editId="4451A4A5">
            <wp:extent cx="187325" cy="273685"/>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7325" cy="273685"/>
                    </a:xfrm>
                    <a:prstGeom prst="rect">
                      <a:avLst/>
                    </a:prstGeom>
                    <a:noFill/>
                    <a:ln>
                      <a:noFill/>
                    </a:ln>
                  </pic:spPr>
                </pic:pic>
              </a:graphicData>
            </a:graphic>
          </wp:inline>
        </w:drawing>
      </w:r>
      <w:r w:rsidR="007273C0" w:rsidRPr="008903D1">
        <w:rPr>
          <w:rFonts w:cs="Times New Roman"/>
        </w:rPr>
        <w:t>= Number of d</w:t>
      </w:r>
      <w:r w:rsidR="007273C0" w:rsidRPr="00737239">
        <w:rPr>
          <w:rFonts w:cs="Times New Roman"/>
        </w:rPr>
        <w:t>rivers</w:t>
      </w:r>
    </w:p>
    <w:p w14:paraId="15EAF856" w14:textId="045EAAE4" w:rsidR="007273C0" w:rsidRPr="00802DC5" w:rsidRDefault="007273C0" w:rsidP="000A4E8C">
      <w:pPr>
        <w:spacing w:line="360" w:lineRule="auto"/>
        <w:rPr>
          <w:rFonts w:cs="Times New Roman"/>
        </w:rPr>
      </w:pPr>
      <w:r w:rsidRPr="006C301D">
        <w:rPr>
          <w:rFonts w:cs="Times New Roman"/>
        </w:rPr>
        <w:t xml:space="preserve">Therefore, the cost of last-mile </w:t>
      </w:r>
      <w:r w:rsidRPr="00DB493C">
        <w:rPr>
          <w:rFonts w:cs="Times New Roman"/>
        </w:rPr>
        <w:t>delivery (</w:t>
      </w:r>
      <w:r w:rsidR="006B2CFD">
        <w:rPr>
          <w:rFonts w:cs="Times New Roman"/>
          <w:noProof/>
          <w:position w:val="-6"/>
          <w:lang w:eastAsia="en-GB"/>
        </w:rPr>
        <w:drawing>
          <wp:inline distT="0" distB="0" distL="0" distR="0" wp14:anchorId="199199D9" wp14:editId="742D2E85">
            <wp:extent cx="187325" cy="194310"/>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7325" cy="194310"/>
                    </a:xfrm>
                    <a:prstGeom prst="rect">
                      <a:avLst/>
                    </a:prstGeom>
                    <a:noFill/>
                    <a:ln>
                      <a:noFill/>
                    </a:ln>
                  </pic:spPr>
                </pic:pic>
              </a:graphicData>
            </a:graphic>
          </wp:inline>
        </w:drawing>
      </w:r>
      <w:r w:rsidRPr="008903D1">
        <w:rPr>
          <w:rFonts w:cs="Times New Roman"/>
        </w:rPr>
        <w:t>) is as follows</w:t>
      </w:r>
      <w:r w:rsidRPr="00737239">
        <w:rPr>
          <w:rFonts w:cs="Times New Roman"/>
        </w:rPr>
        <w:t xml:space="preserve">: </w:t>
      </w:r>
    </w:p>
    <w:p w14:paraId="7774AD31" w14:textId="77B95BE6" w:rsidR="007273C0" w:rsidRPr="00B61235" w:rsidRDefault="007273C0" w:rsidP="00B61235">
      <w:pPr>
        <w:pStyle w:val="MTDisplayEquation"/>
        <w:snapToGrid w:val="0"/>
        <w:spacing w:line="360" w:lineRule="auto"/>
        <w:rPr>
          <w:lang w:val="en-GB"/>
        </w:rPr>
      </w:pPr>
      <w:r w:rsidRPr="008903D1">
        <w:rPr>
          <w:lang w:val="en-GB"/>
        </w:rPr>
        <w:tab/>
      </w:r>
      <w:r w:rsidR="006B2CFD">
        <w:rPr>
          <w:noProof/>
          <w:position w:val="-46"/>
          <w:lang w:val="en-GB" w:eastAsia="en-GB"/>
        </w:rPr>
        <w:drawing>
          <wp:inline distT="0" distB="0" distL="0" distR="0" wp14:anchorId="01C7E6DD" wp14:editId="0975F576">
            <wp:extent cx="4384675" cy="46101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384675" cy="461010"/>
                    </a:xfrm>
                    <a:prstGeom prst="rect">
                      <a:avLst/>
                    </a:prstGeom>
                    <a:noFill/>
                    <a:ln>
                      <a:noFill/>
                    </a:ln>
                  </pic:spPr>
                </pic:pic>
              </a:graphicData>
            </a:graphic>
          </wp:inline>
        </w:drawing>
      </w:r>
      <w:r w:rsidRPr="008903D1">
        <w:rPr>
          <w:lang w:val="en-GB"/>
        </w:rPr>
        <w:t xml:space="preserve"> </w:t>
      </w:r>
      <w:r w:rsidRPr="008903D1">
        <w:rPr>
          <w:lang w:val="en-GB"/>
        </w:rPr>
        <w:tab/>
      </w:r>
      <w:r w:rsidRPr="00A96AC5">
        <w:rPr>
          <w:lang w:val="en-GB"/>
        </w:rPr>
        <w:fldChar w:fldCharType="begin"/>
      </w:r>
      <w:r w:rsidRPr="008903D1">
        <w:rPr>
          <w:lang w:val="en-GB"/>
        </w:rPr>
        <w:instrText xml:space="preserve"> MACROBUTTON MTPlaceRef \* MERGEFORMAT </w:instrText>
      </w:r>
      <w:r w:rsidRPr="00A96AC5">
        <w:rPr>
          <w:lang w:val="en-GB"/>
        </w:rPr>
        <w:fldChar w:fldCharType="begin"/>
      </w:r>
      <w:r w:rsidRPr="008903D1">
        <w:rPr>
          <w:lang w:val="en-GB"/>
        </w:rPr>
        <w:instrText xml:space="preserve"> SEQ MTEqn \h \* MERGEFORMAT </w:instrText>
      </w:r>
      <w:r w:rsidRPr="00A96AC5">
        <w:rPr>
          <w:lang w:val="en-GB"/>
        </w:rPr>
        <w:fldChar w:fldCharType="end"/>
      </w:r>
      <w:r w:rsidRPr="008903D1">
        <w:rPr>
          <w:lang w:val="en-GB"/>
        </w:rPr>
        <w:instrText>(</w:instrText>
      </w:r>
      <w:r w:rsidRPr="00737239">
        <w:rPr>
          <w:lang w:val="en-GB"/>
        </w:rPr>
        <w:fldChar w:fldCharType="begin"/>
      </w:r>
      <w:r w:rsidRPr="008903D1">
        <w:rPr>
          <w:lang w:val="en-GB"/>
        </w:rPr>
        <w:instrText xml:space="preserve"> SEQ MTEqn \c \* Arabic \* MERGEFORMAT </w:instrText>
      </w:r>
      <w:r w:rsidRPr="00737239">
        <w:rPr>
          <w:lang w:val="en-GB"/>
        </w:rPr>
        <w:fldChar w:fldCharType="separate"/>
      </w:r>
      <w:r w:rsidR="0005064B">
        <w:rPr>
          <w:noProof/>
          <w:lang w:val="en-GB"/>
        </w:rPr>
        <w:instrText>7</w:instrText>
      </w:r>
      <w:r w:rsidRPr="00737239">
        <w:rPr>
          <w:noProof/>
          <w:lang w:val="en-GB"/>
        </w:rPr>
        <w:fldChar w:fldCharType="end"/>
      </w:r>
      <w:r w:rsidRPr="008903D1">
        <w:rPr>
          <w:lang w:val="en-GB"/>
        </w:rPr>
        <w:instrText>)</w:instrText>
      </w:r>
      <w:r w:rsidRPr="00A96AC5">
        <w:rPr>
          <w:lang w:val="en-GB"/>
        </w:rPr>
        <w:fldChar w:fldCharType="end"/>
      </w:r>
    </w:p>
    <w:p w14:paraId="52252E28" w14:textId="77777777" w:rsidR="007273C0" w:rsidRPr="006C301D" w:rsidRDefault="007273C0" w:rsidP="00B61235">
      <w:pPr>
        <w:spacing w:before="240" w:after="240" w:line="360" w:lineRule="auto"/>
        <w:rPr>
          <w:rFonts w:cs="Times New Roman"/>
        </w:rPr>
      </w:pPr>
      <w:r w:rsidRPr="00737239">
        <w:rPr>
          <w:rFonts w:cs="Times New Roman"/>
        </w:rPr>
        <w:t xml:space="preserve">Cost of goods receipt is generated by the </w:t>
      </w:r>
      <w:r w:rsidRPr="00802DC5">
        <w:rPr>
          <w:rFonts w:cs="Times New Roman"/>
        </w:rPr>
        <w:t>stopping hours of the drivers:</w:t>
      </w:r>
    </w:p>
    <w:p w14:paraId="0083EBB0" w14:textId="1C873CF8" w:rsidR="007273C0" w:rsidRPr="00223923" w:rsidRDefault="007273C0" w:rsidP="00223923">
      <w:pPr>
        <w:pStyle w:val="MTDisplayEquation"/>
        <w:snapToGrid w:val="0"/>
        <w:spacing w:line="360" w:lineRule="auto"/>
        <w:rPr>
          <w:lang w:val="en-GB"/>
        </w:rPr>
      </w:pPr>
      <w:r w:rsidRPr="008903D1">
        <w:rPr>
          <w:lang w:val="en-GB"/>
        </w:rPr>
        <w:tab/>
      </w:r>
      <w:r w:rsidR="006B2CFD">
        <w:rPr>
          <w:noProof/>
          <w:position w:val="-46"/>
          <w:lang w:val="en-GB" w:eastAsia="en-GB"/>
        </w:rPr>
        <w:drawing>
          <wp:inline distT="0" distB="0" distL="0" distR="0" wp14:anchorId="6CF05545" wp14:editId="2BE145F7">
            <wp:extent cx="2102485" cy="46101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02485" cy="461010"/>
                    </a:xfrm>
                    <a:prstGeom prst="rect">
                      <a:avLst/>
                    </a:prstGeom>
                    <a:noFill/>
                    <a:ln>
                      <a:noFill/>
                    </a:ln>
                  </pic:spPr>
                </pic:pic>
              </a:graphicData>
            </a:graphic>
          </wp:inline>
        </w:drawing>
      </w:r>
      <w:r w:rsidRPr="008903D1">
        <w:rPr>
          <w:lang w:val="en-GB"/>
        </w:rPr>
        <w:t xml:space="preserve"> </w:t>
      </w:r>
      <w:r w:rsidRPr="008903D1">
        <w:rPr>
          <w:lang w:val="en-GB"/>
        </w:rPr>
        <w:tab/>
      </w:r>
      <w:r w:rsidRPr="00A96AC5">
        <w:rPr>
          <w:lang w:val="en-GB"/>
        </w:rPr>
        <w:fldChar w:fldCharType="begin"/>
      </w:r>
      <w:r w:rsidRPr="008903D1">
        <w:rPr>
          <w:lang w:val="en-GB"/>
        </w:rPr>
        <w:instrText xml:space="preserve"> MACROBUTTON MTPlaceRef \* MERGEFORMAT </w:instrText>
      </w:r>
      <w:r w:rsidRPr="00A96AC5">
        <w:rPr>
          <w:lang w:val="en-GB"/>
        </w:rPr>
        <w:fldChar w:fldCharType="begin"/>
      </w:r>
      <w:r w:rsidRPr="008903D1">
        <w:rPr>
          <w:lang w:val="en-GB"/>
        </w:rPr>
        <w:instrText xml:space="preserve"> SEQ MTEqn \h \* MERGEFORMAT </w:instrText>
      </w:r>
      <w:r w:rsidRPr="00A96AC5">
        <w:rPr>
          <w:lang w:val="en-GB"/>
        </w:rPr>
        <w:fldChar w:fldCharType="end"/>
      </w:r>
      <w:r w:rsidRPr="008903D1">
        <w:rPr>
          <w:lang w:val="en-GB"/>
        </w:rPr>
        <w:instrText>(</w:instrText>
      </w:r>
      <w:r w:rsidRPr="00737239">
        <w:rPr>
          <w:lang w:val="en-GB"/>
        </w:rPr>
        <w:fldChar w:fldCharType="begin"/>
      </w:r>
      <w:r w:rsidRPr="008903D1">
        <w:rPr>
          <w:lang w:val="en-GB"/>
        </w:rPr>
        <w:instrText xml:space="preserve"> SEQ MTEqn \c \* Arabic \* MERGEFORMAT </w:instrText>
      </w:r>
      <w:r w:rsidRPr="00737239">
        <w:rPr>
          <w:lang w:val="en-GB"/>
        </w:rPr>
        <w:fldChar w:fldCharType="separate"/>
      </w:r>
      <w:r w:rsidR="0005064B">
        <w:rPr>
          <w:noProof/>
          <w:lang w:val="en-GB"/>
        </w:rPr>
        <w:instrText>8</w:instrText>
      </w:r>
      <w:r w:rsidRPr="00737239">
        <w:rPr>
          <w:noProof/>
          <w:lang w:val="en-GB"/>
        </w:rPr>
        <w:fldChar w:fldCharType="end"/>
      </w:r>
      <w:r w:rsidRPr="008903D1">
        <w:rPr>
          <w:lang w:val="en-GB"/>
        </w:rPr>
        <w:instrText>)</w:instrText>
      </w:r>
      <w:r w:rsidRPr="00A96AC5">
        <w:rPr>
          <w:lang w:val="en-GB"/>
        </w:rPr>
        <w:fldChar w:fldCharType="end"/>
      </w:r>
    </w:p>
    <w:p w14:paraId="5FF57ACE" w14:textId="39CB2D30" w:rsidR="007273C0" w:rsidRDefault="007273C0" w:rsidP="00B61235">
      <w:pPr>
        <w:spacing w:before="240" w:after="240" w:line="360" w:lineRule="auto"/>
        <w:rPr>
          <w:rFonts w:cs="Times New Roman"/>
        </w:rPr>
      </w:pPr>
      <w:r w:rsidRPr="00802DC5">
        <w:rPr>
          <w:rFonts w:cs="Times New Roman"/>
        </w:rPr>
        <w:t>The cost structure above can be use</w:t>
      </w:r>
      <w:r w:rsidRPr="006C301D">
        <w:rPr>
          <w:rFonts w:cs="Times New Roman"/>
        </w:rPr>
        <w:t xml:space="preserve">d for analysis at the planning stage, providing the decision-maker a general view of the total expenditure and the proportions of the various sub-category expenditures. Although the formulae can estimate the cost generated by different logistics </w:t>
      </w:r>
      <w:r w:rsidRPr="006C301D">
        <w:rPr>
          <w:rFonts w:cs="Times New Roman"/>
        </w:rPr>
        <w:lastRenderedPageBreak/>
        <w:t>activities</w:t>
      </w:r>
      <w:r w:rsidRPr="00A96AC5">
        <w:rPr>
          <w:rFonts w:cs="Times New Roman"/>
        </w:rPr>
        <w:t xml:space="preserve">, they do not consider external factors (e.g., real-time traffic conditions, delivery risk), which may impact the cost in practice. Therefore, the numerical output of the framework is a rough estimate. </w:t>
      </w:r>
    </w:p>
    <w:p w14:paraId="5DACD5E1" w14:textId="3D45F7B5" w:rsidR="00E950CD" w:rsidRDefault="00E950CD" w:rsidP="000A4E8C">
      <w:pPr>
        <w:pStyle w:val="Heading2"/>
        <w:spacing w:after="120" w:line="360" w:lineRule="auto"/>
        <w:rPr>
          <w:rFonts w:cs="Times New Roman"/>
        </w:rPr>
      </w:pPr>
      <w:bookmarkStart w:id="692" w:name="_Toc46053453"/>
      <w:bookmarkStart w:id="693" w:name="_Toc46093367"/>
      <w:bookmarkStart w:id="694" w:name="_Toc46093650"/>
      <w:bookmarkStart w:id="695" w:name="_Toc66703226"/>
      <w:r w:rsidRPr="00737239">
        <w:rPr>
          <w:rFonts w:cs="Times New Roman"/>
        </w:rPr>
        <w:t>Numerical</w:t>
      </w:r>
      <w:r w:rsidRPr="008903D1">
        <w:rPr>
          <w:rFonts w:cs="Times New Roman"/>
        </w:rPr>
        <w:t xml:space="preserve"> </w:t>
      </w:r>
      <w:bookmarkEnd w:id="692"/>
      <w:bookmarkEnd w:id="693"/>
      <w:bookmarkEnd w:id="694"/>
      <w:r w:rsidR="00DA4498">
        <w:rPr>
          <w:rFonts w:cs="Times New Roman"/>
        </w:rPr>
        <w:t>e</w:t>
      </w:r>
      <w:r w:rsidR="00DA4498" w:rsidRPr="00737239">
        <w:rPr>
          <w:rFonts w:cs="Times New Roman"/>
        </w:rPr>
        <w:t>xperiment</w:t>
      </w:r>
      <w:bookmarkEnd w:id="695"/>
    </w:p>
    <w:p w14:paraId="6A63F164" w14:textId="42CC26F6" w:rsidR="00103F2B" w:rsidRPr="00103F2B" w:rsidRDefault="00103F2B" w:rsidP="00103F2B">
      <w:r>
        <w:t>The experiment process is based on the “E-mile” software.</w:t>
      </w:r>
      <w:r w:rsidR="000F153C">
        <w:t xml:space="preserve"> Details are given in </w:t>
      </w:r>
      <w:r w:rsidR="00F06558">
        <w:t>Appendix VII</w:t>
      </w:r>
      <w:r w:rsidR="007D1AE2">
        <w:rPr>
          <w:rFonts w:hint="eastAsia"/>
        </w:rPr>
        <w:t>I</w:t>
      </w:r>
      <w:r w:rsidR="00F06558">
        <w:t>.</w:t>
      </w:r>
    </w:p>
    <w:p w14:paraId="4A95FE1E" w14:textId="719BB766" w:rsidR="00E950CD" w:rsidRPr="00802DC5" w:rsidRDefault="00E950CD" w:rsidP="000A4E8C">
      <w:pPr>
        <w:pStyle w:val="Heading3"/>
        <w:spacing w:line="360" w:lineRule="auto"/>
        <w:rPr>
          <w:rFonts w:cs="Times New Roman"/>
        </w:rPr>
      </w:pPr>
      <w:bookmarkStart w:id="696" w:name="_Toc46053454"/>
      <w:bookmarkStart w:id="697" w:name="_Toc46093368"/>
      <w:bookmarkStart w:id="698" w:name="_Toc46093651"/>
      <w:bookmarkStart w:id="699" w:name="_Toc66703227"/>
      <w:r w:rsidRPr="00737239">
        <w:rPr>
          <w:rFonts w:cs="Times New Roman"/>
        </w:rPr>
        <w:t xml:space="preserve">Resource of </w:t>
      </w:r>
      <w:r w:rsidR="00DA4498">
        <w:rPr>
          <w:rFonts w:cs="Times New Roman"/>
        </w:rPr>
        <w:t>d</w:t>
      </w:r>
      <w:r w:rsidR="00DA4498" w:rsidRPr="00737239">
        <w:rPr>
          <w:rFonts w:cs="Times New Roman"/>
        </w:rPr>
        <w:t xml:space="preserve">ata </w:t>
      </w:r>
      <w:bookmarkEnd w:id="696"/>
      <w:bookmarkEnd w:id="697"/>
      <w:bookmarkEnd w:id="698"/>
      <w:r w:rsidR="004E3255">
        <w:rPr>
          <w:rFonts w:cs="Times New Roman"/>
        </w:rPr>
        <w:t>i</w:t>
      </w:r>
      <w:r w:rsidR="004E3255" w:rsidRPr="00737239">
        <w:rPr>
          <w:rFonts w:cs="Times New Roman"/>
        </w:rPr>
        <w:t>nput</w:t>
      </w:r>
      <w:bookmarkEnd w:id="699"/>
    </w:p>
    <w:p w14:paraId="77429585" w14:textId="06A108D6" w:rsidR="00E950CD" w:rsidRDefault="00E950CD" w:rsidP="00D92114">
      <w:pPr>
        <w:snapToGrid w:val="0"/>
        <w:spacing w:after="240" w:line="360" w:lineRule="auto"/>
        <w:rPr>
          <w:rFonts w:eastAsia="Calibri" w:cs="Times New Roman"/>
          <w:szCs w:val="24"/>
        </w:rPr>
      </w:pPr>
      <w:r w:rsidRPr="008903D1">
        <w:rPr>
          <w:rFonts w:eastAsia="Calibri" w:cs="Times New Roman"/>
          <w:szCs w:val="24"/>
        </w:rPr>
        <w:t>The data source in this experiment of the simulation are from three domains, in terms of (1) secondary data from website and the previous report</w:t>
      </w:r>
      <w:r w:rsidR="000C40B0">
        <w:rPr>
          <w:rFonts w:eastAsia="Calibri" w:cs="Times New Roman"/>
          <w:szCs w:val="24"/>
        </w:rPr>
        <w:t xml:space="preserve"> (</w:t>
      </w:r>
      <w:r w:rsidR="000C40B0">
        <w:rPr>
          <w:rFonts w:eastAsia="Calibri" w:cs="Times New Roman"/>
          <w:szCs w:val="24"/>
        </w:rPr>
        <w:fldChar w:fldCharType="begin"/>
      </w:r>
      <w:r w:rsidR="000C40B0">
        <w:rPr>
          <w:rFonts w:eastAsia="Calibri" w:cs="Times New Roman"/>
          <w:szCs w:val="24"/>
        </w:rPr>
        <w:instrText xml:space="preserve"> REF _Ref44955190 \h </w:instrText>
      </w:r>
      <w:r w:rsidR="000C40B0">
        <w:rPr>
          <w:rFonts w:eastAsia="Calibri" w:cs="Times New Roman"/>
          <w:szCs w:val="24"/>
        </w:rPr>
      </w:r>
      <w:r w:rsidR="000C40B0">
        <w:rPr>
          <w:rFonts w:eastAsia="Calibri" w:cs="Times New Roman"/>
          <w:szCs w:val="24"/>
        </w:rPr>
        <w:fldChar w:fldCharType="separate"/>
      </w:r>
      <w:r w:rsidR="0005064B">
        <w:rPr>
          <w:rFonts w:cs="Times New Roman"/>
        </w:rPr>
        <w:t>Table</w:t>
      </w:r>
      <w:r w:rsidR="0005064B" w:rsidRPr="00737239">
        <w:rPr>
          <w:rFonts w:cs="Times New Roman"/>
        </w:rPr>
        <w:t xml:space="preserve"> </w:t>
      </w:r>
      <w:r w:rsidR="0005064B">
        <w:rPr>
          <w:rFonts w:cs="Times New Roman"/>
          <w:noProof/>
        </w:rPr>
        <w:t>4</w:t>
      </w:r>
      <w:r w:rsidR="0005064B">
        <w:rPr>
          <w:rFonts w:cs="Times New Roman"/>
        </w:rPr>
        <w:noBreakHyphen/>
      </w:r>
      <w:r w:rsidR="0005064B">
        <w:rPr>
          <w:rFonts w:cs="Times New Roman"/>
          <w:noProof/>
        </w:rPr>
        <w:t>3</w:t>
      </w:r>
      <w:r w:rsidR="000C40B0">
        <w:rPr>
          <w:rFonts w:eastAsia="Calibri" w:cs="Times New Roman"/>
          <w:szCs w:val="24"/>
        </w:rPr>
        <w:fldChar w:fldCharType="end"/>
      </w:r>
      <w:r w:rsidR="000C40B0">
        <w:rPr>
          <w:rFonts w:eastAsia="Calibri" w:cs="Times New Roman"/>
          <w:szCs w:val="24"/>
        </w:rPr>
        <w:t>)</w:t>
      </w:r>
      <w:r w:rsidRPr="008903D1">
        <w:rPr>
          <w:rFonts w:eastAsia="Calibri" w:cs="Times New Roman"/>
          <w:szCs w:val="24"/>
        </w:rPr>
        <w:t xml:space="preserve"> ; (2) the primary data from planning result </w:t>
      </w:r>
      <w:r w:rsidR="000C40B0">
        <w:rPr>
          <w:rFonts w:eastAsia="Calibri" w:cs="Times New Roman"/>
          <w:szCs w:val="24"/>
        </w:rPr>
        <w:t>(</w:t>
      </w:r>
      <w:r w:rsidR="000C40B0">
        <w:rPr>
          <w:rFonts w:eastAsia="Calibri" w:cs="Times New Roman"/>
          <w:szCs w:val="24"/>
        </w:rPr>
        <w:fldChar w:fldCharType="begin"/>
      </w:r>
      <w:r w:rsidR="000C40B0">
        <w:rPr>
          <w:rFonts w:eastAsia="Calibri" w:cs="Times New Roman"/>
          <w:szCs w:val="24"/>
        </w:rPr>
        <w:instrText xml:space="preserve"> REF _Ref44955212 \h </w:instrText>
      </w:r>
      <w:r w:rsidR="000C40B0">
        <w:rPr>
          <w:rFonts w:eastAsia="Calibri" w:cs="Times New Roman"/>
          <w:szCs w:val="24"/>
        </w:rPr>
      </w:r>
      <w:r w:rsidR="000C40B0">
        <w:rPr>
          <w:rFonts w:eastAsia="Calibri" w:cs="Times New Roman"/>
          <w:szCs w:val="24"/>
        </w:rPr>
        <w:fldChar w:fldCharType="separate"/>
      </w:r>
      <w:r w:rsidR="0005064B">
        <w:rPr>
          <w:rFonts w:cs="Times New Roman"/>
        </w:rPr>
        <w:t>Table</w:t>
      </w:r>
      <w:r w:rsidR="0005064B" w:rsidRPr="00737239">
        <w:rPr>
          <w:rFonts w:cs="Times New Roman"/>
        </w:rPr>
        <w:t xml:space="preserve"> </w:t>
      </w:r>
      <w:r w:rsidR="0005064B">
        <w:rPr>
          <w:rFonts w:cs="Times New Roman"/>
          <w:noProof/>
        </w:rPr>
        <w:t>4</w:t>
      </w:r>
      <w:r w:rsidR="0005064B">
        <w:rPr>
          <w:rFonts w:cs="Times New Roman"/>
        </w:rPr>
        <w:noBreakHyphen/>
      </w:r>
      <w:r w:rsidR="0005064B">
        <w:rPr>
          <w:rFonts w:cs="Times New Roman"/>
          <w:noProof/>
        </w:rPr>
        <w:t>4</w:t>
      </w:r>
      <w:r w:rsidR="000C40B0">
        <w:rPr>
          <w:rFonts w:eastAsia="Calibri" w:cs="Times New Roman"/>
          <w:szCs w:val="24"/>
        </w:rPr>
        <w:fldChar w:fldCharType="end"/>
      </w:r>
      <w:r w:rsidR="000C40B0">
        <w:rPr>
          <w:rFonts w:eastAsia="Calibri" w:cs="Times New Roman"/>
          <w:szCs w:val="24"/>
        </w:rPr>
        <w:t>)</w:t>
      </w:r>
      <w:r w:rsidRPr="008903D1">
        <w:rPr>
          <w:rFonts w:eastAsia="Calibri" w:cs="Times New Roman"/>
          <w:szCs w:val="24"/>
        </w:rPr>
        <w:t>; (3) the assumed data from subjective estimation (</w:t>
      </w:r>
      <w:r w:rsidR="0072616A">
        <w:rPr>
          <w:rFonts w:eastAsia="Calibri" w:cs="Times New Roman"/>
          <w:szCs w:val="24"/>
        </w:rPr>
        <w:fldChar w:fldCharType="begin"/>
      </w:r>
      <w:r w:rsidR="0072616A">
        <w:rPr>
          <w:rFonts w:eastAsia="Calibri" w:cs="Times New Roman"/>
          <w:szCs w:val="24"/>
        </w:rPr>
        <w:instrText xml:space="preserve"> REF _Ref44955230 \h </w:instrText>
      </w:r>
      <w:r w:rsidR="0072616A">
        <w:rPr>
          <w:rFonts w:eastAsia="Calibri" w:cs="Times New Roman"/>
          <w:szCs w:val="24"/>
        </w:rPr>
      </w:r>
      <w:r w:rsidR="0072616A">
        <w:rPr>
          <w:rFonts w:eastAsia="Calibri" w:cs="Times New Roman"/>
          <w:szCs w:val="24"/>
        </w:rPr>
        <w:fldChar w:fldCharType="separate"/>
      </w:r>
      <w:r w:rsidR="0005064B">
        <w:rPr>
          <w:rFonts w:cs="Times New Roman"/>
        </w:rPr>
        <w:t>Table</w:t>
      </w:r>
      <w:r w:rsidR="0005064B" w:rsidRPr="00737239">
        <w:rPr>
          <w:rFonts w:cs="Times New Roman"/>
        </w:rPr>
        <w:t xml:space="preserve"> </w:t>
      </w:r>
      <w:r w:rsidR="0005064B">
        <w:rPr>
          <w:rFonts w:cs="Times New Roman"/>
          <w:noProof/>
        </w:rPr>
        <w:t>4</w:t>
      </w:r>
      <w:r w:rsidR="0005064B">
        <w:rPr>
          <w:rFonts w:cs="Times New Roman"/>
        </w:rPr>
        <w:noBreakHyphen/>
      </w:r>
      <w:r w:rsidR="0005064B">
        <w:rPr>
          <w:rFonts w:cs="Times New Roman"/>
          <w:noProof/>
        </w:rPr>
        <w:t>5</w:t>
      </w:r>
      <w:r w:rsidR="0072616A">
        <w:rPr>
          <w:rFonts w:eastAsia="Calibri" w:cs="Times New Roman"/>
          <w:szCs w:val="24"/>
        </w:rPr>
        <w:fldChar w:fldCharType="end"/>
      </w:r>
      <w:r w:rsidRPr="008903D1">
        <w:rPr>
          <w:rFonts w:eastAsia="Calibri" w:cs="Times New Roman"/>
          <w:szCs w:val="24"/>
        </w:rPr>
        <w:t xml:space="preserve">). </w:t>
      </w:r>
    </w:p>
    <w:p w14:paraId="12067FF7" w14:textId="1E67ED2A" w:rsidR="00C13D65" w:rsidRPr="008903D1" w:rsidRDefault="00C13D65" w:rsidP="00D92114">
      <w:pPr>
        <w:snapToGrid w:val="0"/>
        <w:spacing w:after="240" w:line="360" w:lineRule="auto"/>
        <w:rPr>
          <w:rFonts w:eastAsia="Calibri" w:cs="Times New Roman"/>
          <w:szCs w:val="24"/>
        </w:rPr>
      </w:pPr>
      <w:r w:rsidRPr="00802DC5">
        <w:rPr>
          <w:rFonts w:cs="Times New Roman"/>
        </w:rPr>
        <w:t>Secondary data is mainly about the index of equipment and human resources. Planners</w:t>
      </w:r>
      <w:r w:rsidRPr="008903D1">
        <w:rPr>
          <w:rFonts w:cs="Times New Roman"/>
        </w:rPr>
        <w:t xml:space="preserve"> input </w:t>
      </w:r>
      <w:r w:rsidRPr="00737239">
        <w:rPr>
          <w:rFonts w:cs="Times New Roman"/>
        </w:rPr>
        <w:t>suc</w:t>
      </w:r>
      <w:r w:rsidRPr="008903D1">
        <w:rPr>
          <w:rFonts w:cs="Times New Roman"/>
        </w:rPr>
        <w:t xml:space="preserve">h kind data can refer to the reality values of </w:t>
      </w:r>
      <w:r w:rsidRPr="00737239">
        <w:rPr>
          <w:rFonts w:cs="Times New Roman"/>
        </w:rPr>
        <w:t>their actual situation, such as the actual parameters of equipment configuration and the salary of local logistics marketing. S</w:t>
      </w:r>
      <w:r w:rsidRPr="008903D1">
        <w:rPr>
          <w:rFonts w:cs="Times New Roman"/>
        </w:rPr>
        <w:t xml:space="preserve">uch design can </w:t>
      </w:r>
      <w:r w:rsidRPr="00737239">
        <w:rPr>
          <w:rFonts w:cs="Times New Roman"/>
        </w:rPr>
        <w:t>ensure that the cost analysis tool can be applied to any planned UCC case.</w:t>
      </w:r>
    </w:p>
    <w:tbl>
      <w:tblPr>
        <w:tblStyle w:val="TableGrid"/>
        <w:tblW w:w="9085" w:type="dxa"/>
        <w:tblLook w:val="04A0" w:firstRow="1" w:lastRow="0" w:firstColumn="1" w:lastColumn="0" w:noHBand="0" w:noVBand="1"/>
      </w:tblPr>
      <w:tblGrid>
        <w:gridCol w:w="3235"/>
        <w:gridCol w:w="1155"/>
        <w:gridCol w:w="2268"/>
        <w:gridCol w:w="2427"/>
      </w:tblGrid>
      <w:tr w:rsidR="00E950CD" w:rsidRPr="0072616A" w14:paraId="4E3BE0B0" w14:textId="77777777" w:rsidTr="00666BBE">
        <w:tc>
          <w:tcPr>
            <w:tcW w:w="3235" w:type="dxa"/>
          </w:tcPr>
          <w:p w14:paraId="506EFA3D" w14:textId="77777777" w:rsidR="00E950CD" w:rsidRPr="0072616A" w:rsidRDefault="00E950CD" w:rsidP="00666BBE">
            <w:pPr>
              <w:snapToGrid w:val="0"/>
              <w:spacing w:line="240" w:lineRule="auto"/>
              <w:jc w:val="center"/>
              <w:rPr>
                <w:rFonts w:cs="Times New Roman"/>
                <w:b/>
                <w:bCs/>
                <w:sz w:val="22"/>
              </w:rPr>
            </w:pPr>
            <w:r w:rsidRPr="0072616A">
              <w:rPr>
                <w:rFonts w:cs="Times New Roman"/>
                <w:b/>
                <w:bCs/>
                <w:sz w:val="22"/>
              </w:rPr>
              <w:t>Data Categories</w:t>
            </w:r>
          </w:p>
        </w:tc>
        <w:tc>
          <w:tcPr>
            <w:tcW w:w="1155" w:type="dxa"/>
          </w:tcPr>
          <w:p w14:paraId="4C82D7CB" w14:textId="77777777" w:rsidR="00E950CD" w:rsidRPr="0072616A" w:rsidRDefault="00E950CD" w:rsidP="00666BBE">
            <w:pPr>
              <w:snapToGrid w:val="0"/>
              <w:spacing w:line="240" w:lineRule="auto"/>
              <w:jc w:val="center"/>
              <w:rPr>
                <w:rFonts w:cs="Times New Roman"/>
                <w:b/>
                <w:bCs/>
                <w:sz w:val="22"/>
              </w:rPr>
            </w:pPr>
            <w:r w:rsidRPr="0072616A">
              <w:rPr>
                <w:rFonts w:cs="Times New Roman"/>
                <w:b/>
                <w:bCs/>
                <w:sz w:val="22"/>
              </w:rPr>
              <w:t>Notation</w:t>
            </w:r>
          </w:p>
        </w:tc>
        <w:tc>
          <w:tcPr>
            <w:tcW w:w="2268" w:type="dxa"/>
          </w:tcPr>
          <w:p w14:paraId="529D5439" w14:textId="77777777" w:rsidR="00E950CD" w:rsidRPr="0072616A" w:rsidRDefault="00E950CD" w:rsidP="00666BBE">
            <w:pPr>
              <w:snapToGrid w:val="0"/>
              <w:spacing w:line="240" w:lineRule="auto"/>
              <w:jc w:val="center"/>
              <w:rPr>
                <w:rFonts w:cs="Times New Roman"/>
                <w:b/>
                <w:bCs/>
                <w:sz w:val="22"/>
              </w:rPr>
            </w:pPr>
            <w:r w:rsidRPr="0072616A">
              <w:rPr>
                <w:rFonts w:cs="Times New Roman"/>
                <w:b/>
                <w:bCs/>
                <w:sz w:val="22"/>
              </w:rPr>
              <w:t>Values</w:t>
            </w:r>
          </w:p>
        </w:tc>
        <w:tc>
          <w:tcPr>
            <w:tcW w:w="2427" w:type="dxa"/>
          </w:tcPr>
          <w:p w14:paraId="78B4E180" w14:textId="77777777" w:rsidR="00E950CD" w:rsidRPr="0072616A" w:rsidRDefault="00E950CD" w:rsidP="00666BBE">
            <w:pPr>
              <w:snapToGrid w:val="0"/>
              <w:spacing w:line="240" w:lineRule="auto"/>
              <w:jc w:val="center"/>
              <w:rPr>
                <w:rFonts w:cs="Times New Roman"/>
                <w:b/>
                <w:bCs/>
                <w:sz w:val="22"/>
              </w:rPr>
            </w:pPr>
            <w:r w:rsidRPr="0072616A">
              <w:rPr>
                <w:rFonts w:cs="Times New Roman"/>
                <w:b/>
                <w:bCs/>
                <w:sz w:val="22"/>
              </w:rPr>
              <w:t>Source</w:t>
            </w:r>
          </w:p>
        </w:tc>
      </w:tr>
      <w:tr w:rsidR="00E950CD" w:rsidRPr="0072616A" w14:paraId="218CEF67" w14:textId="77777777" w:rsidTr="00666BBE">
        <w:tc>
          <w:tcPr>
            <w:tcW w:w="3235" w:type="dxa"/>
          </w:tcPr>
          <w:p w14:paraId="6A279D12" w14:textId="77777777" w:rsidR="00E950CD" w:rsidRPr="0072616A" w:rsidRDefault="00E950CD" w:rsidP="00666BBE">
            <w:pPr>
              <w:snapToGrid w:val="0"/>
              <w:spacing w:line="240" w:lineRule="auto"/>
              <w:rPr>
                <w:rFonts w:cs="Times New Roman"/>
                <w:sz w:val="22"/>
              </w:rPr>
            </w:pPr>
            <w:r w:rsidRPr="0072616A">
              <w:rPr>
                <w:rFonts w:cs="Times New Roman"/>
                <w:sz w:val="22"/>
              </w:rPr>
              <w:t>Wages of UCC Operator</w:t>
            </w:r>
          </w:p>
        </w:tc>
        <w:tc>
          <w:tcPr>
            <w:tcW w:w="1155" w:type="dxa"/>
          </w:tcPr>
          <w:p w14:paraId="0CC1B347" w14:textId="77777777" w:rsidR="00E950CD" w:rsidRPr="0072616A" w:rsidRDefault="00E950CD" w:rsidP="0072616A">
            <w:pPr>
              <w:snapToGrid w:val="0"/>
              <w:spacing w:line="240" w:lineRule="auto"/>
              <w:jc w:val="center"/>
              <w:rPr>
                <w:rFonts w:cs="Times New Roman"/>
                <w:sz w:val="22"/>
              </w:rPr>
            </w:pPr>
            <w:r w:rsidRPr="0072616A">
              <w:rPr>
                <w:rFonts w:cs="Times New Roman"/>
                <w:noProof/>
                <w:position w:val="-12"/>
                <w:sz w:val="22"/>
                <w:lang w:eastAsia="en-GB"/>
              </w:rPr>
              <w:drawing>
                <wp:inline distT="0" distB="0" distL="0" distR="0" wp14:anchorId="4EADC757" wp14:editId="7BC528F9">
                  <wp:extent cx="194310" cy="27368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4310" cy="273685"/>
                          </a:xfrm>
                          <a:prstGeom prst="rect">
                            <a:avLst/>
                          </a:prstGeom>
                          <a:noFill/>
                          <a:ln>
                            <a:noFill/>
                          </a:ln>
                        </pic:spPr>
                      </pic:pic>
                    </a:graphicData>
                  </a:graphic>
                </wp:inline>
              </w:drawing>
            </w:r>
          </w:p>
        </w:tc>
        <w:tc>
          <w:tcPr>
            <w:tcW w:w="2268" w:type="dxa"/>
          </w:tcPr>
          <w:p w14:paraId="7E07684E" w14:textId="77777777" w:rsidR="00E950CD" w:rsidRPr="0072616A" w:rsidRDefault="00E950CD" w:rsidP="0072616A">
            <w:pPr>
              <w:snapToGrid w:val="0"/>
              <w:spacing w:line="240" w:lineRule="auto"/>
              <w:jc w:val="center"/>
              <w:rPr>
                <w:rFonts w:cs="Times New Roman"/>
                <w:sz w:val="22"/>
              </w:rPr>
            </w:pPr>
            <w:r w:rsidRPr="0072616A">
              <w:rPr>
                <w:rFonts w:cs="Times New Roman"/>
                <w:sz w:val="22"/>
              </w:rPr>
              <w:t>£ 7.91 per hour</w:t>
            </w:r>
          </w:p>
        </w:tc>
        <w:tc>
          <w:tcPr>
            <w:tcW w:w="2427" w:type="dxa"/>
          </w:tcPr>
          <w:p w14:paraId="7D397D68" w14:textId="77777777" w:rsidR="00E950CD" w:rsidRPr="0072616A" w:rsidRDefault="00E950CD" w:rsidP="0072616A">
            <w:pPr>
              <w:snapToGrid w:val="0"/>
              <w:spacing w:line="240" w:lineRule="auto"/>
              <w:jc w:val="right"/>
              <w:rPr>
                <w:rFonts w:cs="Times New Roman"/>
                <w:sz w:val="22"/>
              </w:rPr>
            </w:pPr>
            <w:r w:rsidRPr="0072616A">
              <w:rPr>
                <w:rFonts w:cs="Times New Roman"/>
                <w:sz w:val="22"/>
              </w:rPr>
              <w:t>Payscale.com</w:t>
            </w:r>
          </w:p>
        </w:tc>
      </w:tr>
      <w:tr w:rsidR="00E950CD" w:rsidRPr="0072616A" w14:paraId="76F78F21" w14:textId="77777777" w:rsidTr="00666BBE">
        <w:tc>
          <w:tcPr>
            <w:tcW w:w="3235" w:type="dxa"/>
          </w:tcPr>
          <w:p w14:paraId="36C8F632" w14:textId="77777777" w:rsidR="00E950CD" w:rsidRPr="0072616A" w:rsidRDefault="00E950CD" w:rsidP="00666BBE">
            <w:pPr>
              <w:snapToGrid w:val="0"/>
              <w:spacing w:line="240" w:lineRule="auto"/>
              <w:rPr>
                <w:rFonts w:cs="Times New Roman"/>
                <w:sz w:val="22"/>
              </w:rPr>
            </w:pPr>
            <w:r w:rsidRPr="0072616A">
              <w:rPr>
                <w:rFonts w:cs="Times New Roman"/>
                <w:sz w:val="22"/>
              </w:rPr>
              <w:t>Wages of drivers per Hours</w:t>
            </w:r>
          </w:p>
        </w:tc>
        <w:tc>
          <w:tcPr>
            <w:tcW w:w="1155" w:type="dxa"/>
          </w:tcPr>
          <w:p w14:paraId="5699A358" w14:textId="77777777" w:rsidR="00E950CD" w:rsidRPr="0072616A" w:rsidRDefault="00E950CD" w:rsidP="0072616A">
            <w:pPr>
              <w:snapToGrid w:val="0"/>
              <w:spacing w:line="240" w:lineRule="auto"/>
              <w:jc w:val="center"/>
              <w:rPr>
                <w:rFonts w:cs="Times New Roman"/>
                <w:sz w:val="22"/>
              </w:rPr>
            </w:pPr>
            <w:r w:rsidRPr="0072616A">
              <w:rPr>
                <w:rFonts w:cs="Times New Roman"/>
                <w:noProof/>
                <w:position w:val="-12"/>
                <w:sz w:val="22"/>
                <w:lang w:eastAsia="en-GB"/>
              </w:rPr>
              <w:drawing>
                <wp:inline distT="0" distB="0" distL="0" distR="0" wp14:anchorId="55C1C687" wp14:editId="05E9FC71">
                  <wp:extent cx="194310" cy="27368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4310" cy="273685"/>
                          </a:xfrm>
                          <a:prstGeom prst="rect">
                            <a:avLst/>
                          </a:prstGeom>
                          <a:noFill/>
                          <a:ln>
                            <a:noFill/>
                          </a:ln>
                        </pic:spPr>
                      </pic:pic>
                    </a:graphicData>
                  </a:graphic>
                </wp:inline>
              </w:drawing>
            </w:r>
          </w:p>
        </w:tc>
        <w:tc>
          <w:tcPr>
            <w:tcW w:w="2268" w:type="dxa"/>
          </w:tcPr>
          <w:p w14:paraId="5F1C563C" w14:textId="77777777" w:rsidR="00E950CD" w:rsidRPr="0072616A" w:rsidRDefault="00E950CD" w:rsidP="0072616A">
            <w:pPr>
              <w:snapToGrid w:val="0"/>
              <w:spacing w:line="240" w:lineRule="auto"/>
              <w:jc w:val="center"/>
              <w:rPr>
                <w:rFonts w:cs="Times New Roman"/>
                <w:sz w:val="22"/>
              </w:rPr>
            </w:pPr>
            <w:r w:rsidRPr="0072616A">
              <w:rPr>
                <w:rFonts w:cs="Times New Roman"/>
                <w:sz w:val="22"/>
              </w:rPr>
              <w:t>£ 8.09 per hour</w:t>
            </w:r>
          </w:p>
        </w:tc>
        <w:tc>
          <w:tcPr>
            <w:tcW w:w="2427" w:type="dxa"/>
          </w:tcPr>
          <w:p w14:paraId="5D2531E2" w14:textId="77777777" w:rsidR="00E950CD" w:rsidRPr="0072616A" w:rsidRDefault="00E950CD" w:rsidP="0072616A">
            <w:pPr>
              <w:snapToGrid w:val="0"/>
              <w:spacing w:line="240" w:lineRule="auto"/>
              <w:jc w:val="right"/>
              <w:rPr>
                <w:rFonts w:cs="Times New Roman"/>
                <w:sz w:val="22"/>
              </w:rPr>
            </w:pPr>
            <w:r w:rsidRPr="0072616A">
              <w:rPr>
                <w:rFonts w:cs="Times New Roman"/>
                <w:sz w:val="22"/>
              </w:rPr>
              <w:t>Payscale.com</w:t>
            </w:r>
          </w:p>
        </w:tc>
      </w:tr>
      <w:tr w:rsidR="00E950CD" w:rsidRPr="0072616A" w14:paraId="4FE2EF8A" w14:textId="77777777" w:rsidTr="00666BBE">
        <w:trPr>
          <w:trHeight w:val="179"/>
        </w:trPr>
        <w:tc>
          <w:tcPr>
            <w:tcW w:w="3235" w:type="dxa"/>
          </w:tcPr>
          <w:p w14:paraId="123AD1A3" w14:textId="77777777" w:rsidR="00E950CD" w:rsidRPr="0072616A" w:rsidRDefault="00E950CD" w:rsidP="00666BBE">
            <w:pPr>
              <w:snapToGrid w:val="0"/>
              <w:spacing w:line="240" w:lineRule="auto"/>
              <w:rPr>
                <w:rFonts w:cs="Times New Roman"/>
                <w:sz w:val="22"/>
              </w:rPr>
            </w:pPr>
            <w:r w:rsidRPr="0072616A">
              <w:rPr>
                <w:rFonts w:cs="Times New Roman"/>
                <w:sz w:val="22"/>
              </w:rPr>
              <w:t xml:space="preserve">Petro Cost per </w:t>
            </w:r>
            <w:proofErr w:type="spellStart"/>
            <w:r w:rsidRPr="0072616A">
              <w:rPr>
                <w:rFonts w:cs="Times New Roman"/>
                <w:sz w:val="22"/>
              </w:rPr>
              <w:t>Litre</w:t>
            </w:r>
            <w:proofErr w:type="spellEnd"/>
          </w:p>
        </w:tc>
        <w:tc>
          <w:tcPr>
            <w:tcW w:w="1155" w:type="dxa"/>
          </w:tcPr>
          <w:p w14:paraId="75891C60" w14:textId="77777777" w:rsidR="00E950CD" w:rsidRPr="0072616A" w:rsidRDefault="00E950CD" w:rsidP="0072616A">
            <w:pPr>
              <w:snapToGrid w:val="0"/>
              <w:spacing w:line="240" w:lineRule="auto"/>
              <w:jc w:val="center"/>
              <w:rPr>
                <w:rFonts w:cs="Times New Roman"/>
                <w:sz w:val="22"/>
              </w:rPr>
            </w:pPr>
            <w:r w:rsidRPr="0072616A">
              <w:rPr>
                <w:rFonts w:cs="Times New Roman"/>
                <w:noProof/>
                <w:position w:val="-12"/>
                <w:sz w:val="22"/>
                <w:lang w:eastAsia="en-GB"/>
              </w:rPr>
              <w:drawing>
                <wp:inline distT="0" distB="0" distL="0" distR="0" wp14:anchorId="7C8634E4" wp14:editId="43A817B9">
                  <wp:extent cx="194310" cy="27368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4310" cy="273685"/>
                          </a:xfrm>
                          <a:prstGeom prst="rect">
                            <a:avLst/>
                          </a:prstGeom>
                          <a:noFill/>
                          <a:ln>
                            <a:noFill/>
                          </a:ln>
                        </pic:spPr>
                      </pic:pic>
                    </a:graphicData>
                  </a:graphic>
                </wp:inline>
              </w:drawing>
            </w:r>
          </w:p>
        </w:tc>
        <w:tc>
          <w:tcPr>
            <w:tcW w:w="2268" w:type="dxa"/>
          </w:tcPr>
          <w:p w14:paraId="281277A0" w14:textId="77777777" w:rsidR="00E950CD" w:rsidRPr="0072616A" w:rsidRDefault="00E950CD" w:rsidP="0072616A">
            <w:pPr>
              <w:snapToGrid w:val="0"/>
              <w:spacing w:line="240" w:lineRule="auto"/>
              <w:jc w:val="center"/>
              <w:rPr>
                <w:rFonts w:cs="Times New Roman"/>
                <w:sz w:val="22"/>
              </w:rPr>
            </w:pPr>
            <w:r w:rsidRPr="0072616A">
              <w:rPr>
                <w:rFonts w:cs="Times New Roman"/>
                <w:sz w:val="22"/>
              </w:rPr>
              <w:t>128 pence per L</w:t>
            </w:r>
          </w:p>
        </w:tc>
        <w:tc>
          <w:tcPr>
            <w:tcW w:w="2427" w:type="dxa"/>
          </w:tcPr>
          <w:p w14:paraId="67840C90" w14:textId="77777777" w:rsidR="00E950CD" w:rsidRPr="0072616A" w:rsidRDefault="00E950CD" w:rsidP="0072616A">
            <w:pPr>
              <w:snapToGrid w:val="0"/>
              <w:spacing w:line="240" w:lineRule="auto"/>
              <w:jc w:val="right"/>
              <w:rPr>
                <w:rFonts w:cs="Times New Roman"/>
                <w:sz w:val="22"/>
              </w:rPr>
            </w:pPr>
            <w:r w:rsidRPr="0072616A">
              <w:rPr>
                <w:rFonts w:cs="Times New Roman"/>
                <w:sz w:val="22"/>
              </w:rPr>
              <w:t>Confused.com</w:t>
            </w:r>
          </w:p>
        </w:tc>
      </w:tr>
      <w:tr w:rsidR="00E950CD" w:rsidRPr="0072616A" w14:paraId="4B9C2993" w14:textId="77777777" w:rsidTr="00666BBE">
        <w:trPr>
          <w:trHeight w:val="312"/>
        </w:trPr>
        <w:tc>
          <w:tcPr>
            <w:tcW w:w="3235" w:type="dxa"/>
            <w:vAlign w:val="center"/>
          </w:tcPr>
          <w:p w14:paraId="500C6B4E" w14:textId="77777777" w:rsidR="00E950CD" w:rsidRPr="0072616A" w:rsidRDefault="00E950CD" w:rsidP="00666BBE">
            <w:pPr>
              <w:snapToGrid w:val="0"/>
              <w:spacing w:line="240" w:lineRule="auto"/>
              <w:rPr>
                <w:rFonts w:cs="Times New Roman"/>
                <w:sz w:val="22"/>
              </w:rPr>
            </w:pPr>
            <w:r w:rsidRPr="0072616A">
              <w:rPr>
                <w:rFonts w:cs="Times New Roman"/>
                <w:sz w:val="22"/>
              </w:rPr>
              <w:t>Fuel efficiency of the Vehicle</w:t>
            </w:r>
          </w:p>
        </w:tc>
        <w:tc>
          <w:tcPr>
            <w:tcW w:w="1155" w:type="dxa"/>
            <w:vAlign w:val="center"/>
          </w:tcPr>
          <w:p w14:paraId="077D77F1" w14:textId="77777777" w:rsidR="00E950CD" w:rsidRPr="0072616A" w:rsidRDefault="00E950CD" w:rsidP="0072616A">
            <w:pPr>
              <w:snapToGrid w:val="0"/>
              <w:spacing w:line="240" w:lineRule="auto"/>
              <w:jc w:val="center"/>
              <w:rPr>
                <w:rFonts w:cs="Times New Roman"/>
                <w:sz w:val="22"/>
              </w:rPr>
            </w:pPr>
            <w:r w:rsidRPr="0072616A">
              <w:rPr>
                <w:rFonts w:cs="Times New Roman"/>
                <w:noProof/>
                <w:position w:val="-6"/>
                <w:sz w:val="22"/>
                <w:lang w:eastAsia="en-GB"/>
              </w:rPr>
              <w:drawing>
                <wp:inline distT="0" distB="0" distL="0" distR="0" wp14:anchorId="22A2E8A7" wp14:editId="5EC41D57">
                  <wp:extent cx="194310" cy="19431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4310" cy="194310"/>
                          </a:xfrm>
                          <a:prstGeom prst="rect">
                            <a:avLst/>
                          </a:prstGeom>
                          <a:noFill/>
                          <a:ln>
                            <a:noFill/>
                          </a:ln>
                        </pic:spPr>
                      </pic:pic>
                    </a:graphicData>
                  </a:graphic>
                </wp:inline>
              </w:drawing>
            </w:r>
          </w:p>
        </w:tc>
        <w:tc>
          <w:tcPr>
            <w:tcW w:w="2268" w:type="dxa"/>
            <w:vAlign w:val="center"/>
          </w:tcPr>
          <w:p w14:paraId="736EFB8A" w14:textId="77777777" w:rsidR="00E950CD" w:rsidRPr="0072616A" w:rsidRDefault="00E950CD" w:rsidP="0072616A">
            <w:pPr>
              <w:snapToGrid w:val="0"/>
              <w:spacing w:line="240" w:lineRule="auto"/>
              <w:jc w:val="center"/>
              <w:rPr>
                <w:rFonts w:cs="Times New Roman"/>
                <w:sz w:val="22"/>
              </w:rPr>
            </w:pPr>
            <w:r w:rsidRPr="0072616A">
              <w:rPr>
                <w:rFonts w:cs="Times New Roman"/>
                <w:sz w:val="22"/>
              </w:rPr>
              <w:t>9.4 L per 100 KM</w:t>
            </w:r>
          </w:p>
        </w:tc>
        <w:tc>
          <w:tcPr>
            <w:tcW w:w="2427" w:type="dxa"/>
            <w:vAlign w:val="center"/>
          </w:tcPr>
          <w:p w14:paraId="03B4D6AC" w14:textId="77777777" w:rsidR="00E950CD" w:rsidRPr="0072616A" w:rsidRDefault="00E950CD" w:rsidP="0072616A">
            <w:pPr>
              <w:snapToGrid w:val="0"/>
              <w:spacing w:line="240" w:lineRule="auto"/>
              <w:jc w:val="right"/>
              <w:rPr>
                <w:rFonts w:cs="Times New Roman"/>
                <w:sz w:val="22"/>
              </w:rPr>
            </w:pPr>
            <w:r w:rsidRPr="0072616A">
              <w:rPr>
                <w:rFonts w:cs="Times New Roman"/>
                <w:sz w:val="22"/>
              </w:rPr>
              <w:t>(BTS, 2017)</w:t>
            </w:r>
          </w:p>
        </w:tc>
      </w:tr>
    </w:tbl>
    <w:p w14:paraId="40F3C2DF" w14:textId="3D9AC02E" w:rsidR="00E950CD" w:rsidRPr="00737239" w:rsidRDefault="007B5959" w:rsidP="000A4E8C">
      <w:pPr>
        <w:pStyle w:val="Caption"/>
        <w:spacing w:after="0" w:line="360" w:lineRule="auto"/>
        <w:rPr>
          <w:rFonts w:cs="Times New Roman"/>
        </w:rPr>
      </w:pPr>
      <w:bookmarkStart w:id="700" w:name="_Ref44955190"/>
      <w:bookmarkStart w:id="701" w:name="_Toc46053563"/>
      <w:bookmarkStart w:id="702" w:name="_Toc46093812"/>
      <w:bookmarkStart w:id="703" w:name="_Toc66698779"/>
      <w:r>
        <w:rPr>
          <w:rFonts w:cs="Times New Roman"/>
        </w:rPr>
        <w:t>Table</w:t>
      </w:r>
      <w:r w:rsidR="00E950CD"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4</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3</w:t>
      </w:r>
      <w:r w:rsidR="00FE10DA">
        <w:rPr>
          <w:rFonts w:cs="Times New Roman"/>
        </w:rPr>
        <w:fldChar w:fldCharType="end"/>
      </w:r>
      <w:bookmarkEnd w:id="700"/>
      <w:r w:rsidR="00AF217C">
        <w:rPr>
          <w:rFonts w:cs="Times New Roman"/>
        </w:rPr>
        <w:t xml:space="preserve">: </w:t>
      </w:r>
      <w:r w:rsidR="00E950CD" w:rsidRPr="008903D1">
        <w:rPr>
          <w:rFonts w:cs="Times New Roman"/>
        </w:rPr>
        <w:t>Secondary data</w:t>
      </w:r>
      <w:bookmarkEnd w:id="701"/>
      <w:bookmarkEnd w:id="702"/>
      <w:bookmarkEnd w:id="703"/>
    </w:p>
    <w:p w14:paraId="79CCDE7D" w14:textId="2438D904" w:rsidR="00B61235" w:rsidRPr="00802DC5" w:rsidRDefault="00C13D65" w:rsidP="00D92114">
      <w:pPr>
        <w:spacing w:before="240" w:after="240" w:line="360" w:lineRule="auto"/>
        <w:rPr>
          <w:rFonts w:cs="Times New Roman"/>
        </w:rPr>
      </w:pPr>
      <w:r>
        <w:rPr>
          <w:rFonts w:cs="Times New Roman"/>
        </w:rPr>
        <w:t xml:space="preserve">The value of </w:t>
      </w:r>
      <w:r w:rsidRPr="00737239">
        <w:rPr>
          <w:rFonts w:cs="Times New Roman"/>
        </w:rPr>
        <w:t>“Data from planning result”</w:t>
      </w:r>
      <w:r>
        <w:rPr>
          <w:rFonts w:cs="Times New Roman"/>
        </w:rPr>
        <w:t xml:space="preserve"> can be generated through potential routing planning tools (Such as </w:t>
      </w:r>
      <w:r w:rsidR="00064890">
        <w:rPr>
          <w:rFonts w:cs="Times New Roman" w:hint="eastAsia"/>
        </w:rPr>
        <w:t>industrial</w:t>
      </w:r>
      <w:r w:rsidR="00064890">
        <w:rPr>
          <w:rFonts w:cs="Times New Roman"/>
        </w:rPr>
        <w:t xml:space="preserve"> </w:t>
      </w:r>
      <w:r>
        <w:rPr>
          <w:rFonts w:cs="Times New Roman"/>
        </w:rPr>
        <w:t>software)</w:t>
      </w:r>
      <w:r w:rsidR="00722D78">
        <w:rPr>
          <w:rFonts w:cs="Times New Roman"/>
        </w:rPr>
        <w:t>. Planners may input the data into this tool such as</w:t>
      </w:r>
      <w:r w:rsidR="00064890">
        <w:rPr>
          <w:rFonts w:cs="Times New Roman"/>
        </w:rPr>
        <w:t xml:space="preserve">: </w:t>
      </w:r>
      <w:r w:rsidRPr="008903D1">
        <w:rPr>
          <w:rFonts w:cs="Times New Roman"/>
        </w:rPr>
        <w:t>GIS information of the city, location/numbers of UCC</w:t>
      </w:r>
      <w:r w:rsidR="00A9062C">
        <w:rPr>
          <w:rFonts w:cs="Times New Roman"/>
        </w:rPr>
        <w:t>, t</w:t>
      </w:r>
      <w:r w:rsidR="00A9062C" w:rsidRPr="00A9062C">
        <w:rPr>
          <w:rFonts w:cs="Times New Roman"/>
        </w:rPr>
        <w:t xml:space="preserve">otal </w:t>
      </w:r>
      <w:r w:rsidR="00A9062C">
        <w:rPr>
          <w:rFonts w:cs="Times New Roman"/>
        </w:rPr>
        <w:t>g</w:t>
      </w:r>
      <w:r w:rsidR="00A9062C" w:rsidRPr="00A9062C">
        <w:rPr>
          <w:rFonts w:cs="Times New Roman"/>
        </w:rPr>
        <w:t xml:space="preserve">oods </w:t>
      </w:r>
      <w:r w:rsidR="00A9062C">
        <w:rPr>
          <w:rFonts w:cs="Times New Roman"/>
        </w:rPr>
        <w:t>w</w:t>
      </w:r>
      <w:r w:rsidR="00A9062C" w:rsidRPr="00A9062C">
        <w:rPr>
          <w:rFonts w:cs="Times New Roman"/>
        </w:rPr>
        <w:t>eight</w:t>
      </w:r>
      <w:r w:rsidR="00A9062C">
        <w:rPr>
          <w:rFonts w:cs="Times New Roman"/>
        </w:rPr>
        <w:t xml:space="preserve"> to be delivered,</w:t>
      </w:r>
      <w:r w:rsidRPr="008903D1">
        <w:rPr>
          <w:rFonts w:cs="Times New Roman"/>
        </w:rPr>
        <w:t xml:space="preserve"> and location/numbers of demand points</w:t>
      </w:r>
      <w:r>
        <w:rPr>
          <w:rFonts w:cs="Times New Roman"/>
        </w:rPr>
        <w:t>.</w:t>
      </w:r>
      <w:r w:rsidR="00722D78">
        <w:rPr>
          <w:rFonts w:cs="Times New Roman"/>
        </w:rPr>
        <w:t xml:space="preserve"> Then </w:t>
      </w:r>
      <w:r w:rsidR="000965D2">
        <w:rPr>
          <w:rFonts w:cs="Times New Roman"/>
        </w:rPr>
        <w:t xml:space="preserve">such tool can calculate the </w:t>
      </w:r>
      <w:r w:rsidR="00FD579A">
        <w:rPr>
          <w:rFonts w:cs="Times New Roman"/>
        </w:rPr>
        <w:t>value of output data such as t</w:t>
      </w:r>
      <w:r w:rsidR="00FD579A" w:rsidRPr="00FD579A">
        <w:rPr>
          <w:rFonts w:cs="Times New Roman"/>
        </w:rPr>
        <w:t xml:space="preserve">otal </w:t>
      </w:r>
      <w:r w:rsidR="00FD579A">
        <w:rPr>
          <w:rFonts w:cs="Times New Roman"/>
        </w:rPr>
        <w:t>t</w:t>
      </w:r>
      <w:r w:rsidR="00FD579A" w:rsidRPr="00FD579A">
        <w:rPr>
          <w:rFonts w:cs="Times New Roman"/>
        </w:rPr>
        <w:t xml:space="preserve">ravel </w:t>
      </w:r>
      <w:r w:rsidR="00FD579A">
        <w:rPr>
          <w:rFonts w:cs="Times New Roman"/>
        </w:rPr>
        <w:t>m</w:t>
      </w:r>
      <w:r w:rsidR="00FD579A" w:rsidRPr="00FD579A">
        <w:rPr>
          <w:rFonts w:cs="Times New Roman"/>
        </w:rPr>
        <w:t xml:space="preserve">iles, </w:t>
      </w:r>
      <w:r w:rsidR="00FD579A">
        <w:rPr>
          <w:rFonts w:cs="Times New Roman"/>
        </w:rPr>
        <w:t>t</w:t>
      </w:r>
      <w:r w:rsidR="00FD579A" w:rsidRPr="00FD579A">
        <w:rPr>
          <w:rFonts w:cs="Times New Roman"/>
        </w:rPr>
        <w:t xml:space="preserve">he total goods handling </w:t>
      </w:r>
      <w:r w:rsidR="00032AD2">
        <w:rPr>
          <w:rFonts w:cs="Times New Roman"/>
        </w:rPr>
        <w:t>t</w:t>
      </w:r>
      <w:r w:rsidR="00FD579A" w:rsidRPr="00FD579A">
        <w:rPr>
          <w:rFonts w:cs="Times New Roman"/>
        </w:rPr>
        <w:t xml:space="preserve">ime, </w:t>
      </w:r>
      <w:r w:rsidR="003A7A3D" w:rsidRPr="00FD579A">
        <w:rPr>
          <w:rFonts w:cs="Times New Roman"/>
        </w:rPr>
        <w:t>the</w:t>
      </w:r>
      <w:r w:rsidR="00FD579A" w:rsidRPr="00FD579A">
        <w:rPr>
          <w:rFonts w:cs="Times New Roman"/>
        </w:rPr>
        <w:t xml:space="preserve"> total driving time, </w:t>
      </w:r>
      <w:r w:rsidR="00FD579A">
        <w:rPr>
          <w:rFonts w:cs="Times New Roman"/>
        </w:rPr>
        <w:t>and t</w:t>
      </w:r>
      <w:r w:rsidR="00FD579A" w:rsidRPr="00FD579A">
        <w:rPr>
          <w:rFonts w:cs="Times New Roman"/>
        </w:rPr>
        <w:t xml:space="preserve">otal </w:t>
      </w:r>
      <w:r w:rsidR="00FD579A">
        <w:rPr>
          <w:rFonts w:cs="Times New Roman"/>
        </w:rPr>
        <w:t xml:space="preserve">vehicle </w:t>
      </w:r>
      <w:r w:rsidR="00FD579A" w:rsidRPr="00FD579A">
        <w:rPr>
          <w:rFonts w:cs="Times New Roman"/>
        </w:rPr>
        <w:t>stopping time</w:t>
      </w:r>
      <w:r w:rsidR="00FD579A">
        <w:rPr>
          <w:rFonts w:cs="Times New Roman"/>
        </w:rPr>
        <w:t>.</w:t>
      </w:r>
    </w:p>
    <w:tbl>
      <w:tblPr>
        <w:tblStyle w:val="TableGrid"/>
        <w:tblW w:w="5000" w:type="pct"/>
        <w:jc w:val="center"/>
        <w:tblLook w:val="04A0" w:firstRow="1" w:lastRow="0" w:firstColumn="1" w:lastColumn="0" w:noHBand="0" w:noVBand="1"/>
      </w:tblPr>
      <w:tblGrid>
        <w:gridCol w:w="5857"/>
        <w:gridCol w:w="1673"/>
        <w:gridCol w:w="1486"/>
      </w:tblGrid>
      <w:tr w:rsidR="00E950CD" w:rsidRPr="0072616A" w14:paraId="46CA419D" w14:textId="77777777" w:rsidTr="000D0417">
        <w:trPr>
          <w:jc w:val="center"/>
        </w:trPr>
        <w:tc>
          <w:tcPr>
            <w:tcW w:w="3248" w:type="pct"/>
          </w:tcPr>
          <w:p w14:paraId="0A785C7A" w14:textId="77777777" w:rsidR="00E950CD" w:rsidRPr="0072616A" w:rsidRDefault="00E950CD" w:rsidP="00D92114">
            <w:pPr>
              <w:snapToGrid w:val="0"/>
              <w:spacing w:line="240" w:lineRule="auto"/>
              <w:jc w:val="center"/>
              <w:rPr>
                <w:rFonts w:cs="Times New Roman"/>
                <w:b/>
                <w:bCs/>
                <w:sz w:val="22"/>
              </w:rPr>
            </w:pPr>
            <w:r w:rsidRPr="0072616A">
              <w:rPr>
                <w:rFonts w:cs="Times New Roman"/>
                <w:b/>
                <w:bCs/>
                <w:sz w:val="22"/>
              </w:rPr>
              <w:t>Data Categories</w:t>
            </w:r>
          </w:p>
        </w:tc>
        <w:tc>
          <w:tcPr>
            <w:tcW w:w="928" w:type="pct"/>
          </w:tcPr>
          <w:p w14:paraId="468071B0" w14:textId="77777777" w:rsidR="00E950CD" w:rsidRPr="0072616A" w:rsidRDefault="00E950CD" w:rsidP="00D92114">
            <w:pPr>
              <w:snapToGrid w:val="0"/>
              <w:spacing w:line="240" w:lineRule="auto"/>
              <w:jc w:val="center"/>
              <w:rPr>
                <w:rFonts w:cs="Times New Roman"/>
                <w:b/>
                <w:bCs/>
                <w:sz w:val="22"/>
              </w:rPr>
            </w:pPr>
            <w:r w:rsidRPr="0072616A">
              <w:rPr>
                <w:rFonts w:cs="Times New Roman"/>
                <w:b/>
                <w:bCs/>
                <w:sz w:val="22"/>
              </w:rPr>
              <w:t>Notation</w:t>
            </w:r>
          </w:p>
        </w:tc>
        <w:tc>
          <w:tcPr>
            <w:tcW w:w="824" w:type="pct"/>
          </w:tcPr>
          <w:p w14:paraId="48963DB6" w14:textId="77777777" w:rsidR="00E950CD" w:rsidRPr="0072616A" w:rsidRDefault="00E950CD" w:rsidP="00D92114">
            <w:pPr>
              <w:snapToGrid w:val="0"/>
              <w:spacing w:line="240" w:lineRule="auto"/>
              <w:jc w:val="center"/>
              <w:rPr>
                <w:rFonts w:cs="Times New Roman"/>
                <w:b/>
                <w:bCs/>
                <w:sz w:val="22"/>
              </w:rPr>
            </w:pPr>
            <w:r w:rsidRPr="0072616A">
              <w:rPr>
                <w:rFonts w:cs="Times New Roman"/>
                <w:b/>
                <w:bCs/>
                <w:sz w:val="22"/>
              </w:rPr>
              <w:t>Values</w:t>
            </w:r>
          </w:p>
        </w:tc>
      </w:tr>
      <w:tr w:rsidR="00E950CD" w:rsidRPr="0072616A" w14:paraId="5661FF8E" w14:textId="77777777" w:rsidTr="000D0417">
        <w:trPr>
          <w:trHeight w:val="390"/>
          <w:jc w:val="center"/>
        </w:trPr>
        <w:tc>
          <w:tcPr>
            <w:tcW w:w="3248" w:type="pct"/>
          </w:tcPr>
          <w:p w14:paraId="5843FD59" w14:textId="77777777" w:rsidR="00E950CD" w:rsidRPr="0072616A" w:rsidRDefault="00E950CD" w:rsidP="00D92114">
            <w:pPr>
              <w:snapToGrid w:val="0"/>
              <w:spacing w:line="240" w:lineRule="auto"/>
              <w:rPr>
                <w:rFonts w:cs="Times New Roman"/>
                <w:sz w:val="22"/>
              </w:rPr>
            </w:pPr>
            <w:r w:rsidRPr="0072616A">
              <w:rPr>
                <w:rFonts w:cs="Times New Roman"/>
                <w:sz w:val="22"/>
              </w:rPr>
              <w:t>Numbers of Consumers</w:t>
            </w:r>
          </w:p>
        </w:tc>
        <w:tc>
          <w:tcPr>
            <w:tcW w:w="928" w:type="pct"/>
          </w:tcPr>
          <w:p w14:paraId="435B2CF4" w14:textId="77777777" w:rsidR="00E950CD" w:rsidRPr="0072616A" w:rsidRDefault="00E950CD" w:rsidP="0072616A">
            <w:pPr>
              <w:snapToGrid w:val="0"/>
              <w:spacing w:line="240" w:lineRule="auto"/>
              <w:jc w:val="center"/>
              <w:rPr>
                <w:rFonts w:cs="Times New Roman"/>
                <w:sz w:val="22"/>
              </w:rPr>
            </w:pPr>
            <w:r w:rsidRPr="0072616A">
              <w:rPr>
                <w:rFonts w:cs="Times New Roman"/>
                <w:sz w:val="22"/>
              </w:rPr>
              <w:t>m</w:t>
            </w:r>
          </w:p>
        </w:tc>
        <w:tc>
          <w:tcPr>
            <w:tcW w:w="824" w:type="pct"/>
          </w:tcPr>
          <w:p w14:paraId="1BD85C84" w14:textId="77777777" w:rsidR="00E950CD" w:rsidRPr="0072616A" w:rsidRDefault="00E950CD" w:rsidP="0072616A">
            <w:pPr>
              <w:snapToGrid w:val="0"/>
              <w:spacing w:line="240" w:lineRule="auto"/>
              <w:jc w:val="center"/>
              <w:rPr>
                <w:rFonts w:cs="Times New Roman"/>
                <w:sz w:val="22"/>
              </w:rPr>
            </w:pPr>
            <w:r w:rsidRPr="0072616A">
              <w:rPr>
                <w:rFonts w:cs="Times New Roman"/>
                <w:sz w:val="22"/>
              </w:rPr>
              <w:t>43</w:t>
            </w:r>
          </w:p>
        </w:tc>
      </w:tr>
      <w:tr w:rsidR="00E950CD" w:rsidRPr="0072616A" w14:paraId="556E6678" w14:textId="77777777" w:rsidTr="000D0417">
        <w:trPr>
          <w:jc w:val="center"/>
        </w:trPr>
        <w:tc>
          <w:tcPr>
            <w:tcW w:w="3248" w:type="pct"/>
          </w:tcPr>
          <w:p w14:paraId="0895CEFE" w14:textId="77777777" w:rsidR="00E950CD" w:rsidRPr="0072616A" w:rsidRDefault="00E950CD" w:rsidP="00D92114">
            <w:pPr>
              <w:snapToGrid w:val="0"/>
              <w:spacing w:line="240" w:lineRule="auto"/>
              <w:rPr>
                <w:rFonts w:cs="Times New Roman"/>
                <w:sz w:val="22"/>
              </w:rPr>
            </w:pPr>
            <w:r w:rsidRPr="0072616A">
              <w:rPr>
                <w:rFonts w:cs="Times New Roman"/>
                <w:sz w:val="22"/>
              </w:rPr>
              <w:t>Total Goods Weight</w:t>
            </w:r>
          </w:p>
        </w:tc>
        <w:tc>
          <w:tcPr>
            <w:tcW w:w="928" w:type="pct"/>
          </w:tcPr>
          <w:p w14:paraId="7632A908" w14:textId="77777777" w:rsidR="00E950CD" w:rsidRPr="0072616A" w:rsidRDefault="00E950CD" w:rsidP="0072616A">
            <w:pPr>
              <w:snapToGrid w:val="0"/>
              <w:spacing w:line="240" w:lineRule="auto"/>
              <w:jc w:val="center"/>
              <w:rPr>
                <w:rFonts w:cs="Times New Roman"/>
                <w:sz w:val="22"/>
              </w:rPr>
            </w:pPr>
            <w:r w:rsidRPr="0072616A">
              <w:rPr>
                <w:rFonts w:cs="Times New Roman"/>
                <w:noProof/>
                <w:sz w:val="22"/>
                <w:lang w:eastAsia="en-GB"/>
              </w:rPr>
              <w:drawing>
                <wp:inline distT="0" distB="0" distL="0" distR="0" wp14:anchorId="24A6882C" wp14:editId="23C2B33D">
                  <wp:extent cx="194310" cy="27368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94310" cy="273685"/>
                          </a:xfrm>
                          <a:prstGeom prst="rect">
                            <a:avLst/>
                          </a:prstGeom>
                          <a:noFill/>
                          <a:ln>
                            <a:noFill/>
                          </a:ln>
                        </pic:spPr>
                      </pic:pic>
                    </a:graphicData>
                  </a:graphic>
                </wp:inline>
              </w:drawing>
            </w:r>
          </w:p>
        </w:tc>
        <w:tc>
          <w:tcPr>
            <w:tcW w:w="824" w:type="pct"/>
          </w:tcPr>
          <w:p w14:paraId="108B920B" w14:textId="77777777" w:rsidR="00E950CD" w:rsidRPr="0072616A" w:rsidRDefault="00E950CD" w:rsidP="0072616A">
            <w:pPr>
              <w:snapToGrid w:val="0"/>
              <w:spacing w:line="240" w:lineRule="auto"/>
              <w:jc w:val="center"/>
              <w:rPr>
                <w:rFonts w:cs="Times New Roman"/>
                <w:sz w:val="22"/>
              </w:rPr>
            </w:pPr>
            <w:r w:rsidRPr="0072616A">
              <w:rPr>
                <w:rFonts w:cs="Times New Roman"/>
                <w:sz w:val="22"/>
              </w:rPr>
              <w:t>2664 KG</w:t>
            </w:r>
          </w:p>
        </w:tc>
      </w:tr>
      <w:tr w:rsidR="00E950CD" w:rsidRPr="0072616A" w14:paraId="563ADA3E" w14:textId="77777777" w:rsidTr="000D0417">
        <w:trPr>
          <w:trHeight w:val="399"/>
          <w:jc w:val="center"/>
        </w:trPr>
        <w:tc>
          <w:tcPr>
            <w:tcW w:w="3248" w:type="pct"/>
          </w:tcPr>
          <w:p w14:paraId="075DE576" w14:textId="77777777" w:rsidR="00E950CD" w:rsidRPr="0072616A" w:rsidRDefault="00E950CD" w:rsidP="00D92114">
            <w:pPr>
              <w:snapToGrid w:val="0"/>
              <w:spacing w:line="240" w:lineRule="auto"/>
              <w:rPr>
                <w:rFonts w:cs="Times New Roman"/>
                <w:sz w:val="22"/>
              </w:rPr>
            </w:pPr>
            <w:r w:rsidRPr="0072616A">
              <w:rPr>
                <w:rFonts w:cs="Times New Roman"/>
                <w:sz w:val="22"/>
              </w:rPr>
              <w:t>Total Travel Miles</w:t>
            </w:r>
          </w:p>
        </w:tc>
        <w:tc>
          <w:tcPr>
            <w:tcW w:w="928" w:type="pct"/>
          </w:tcPr>
          <w:p w14:paraId="38388781" w14:textId="77777777" w:rsidR="00E950CD" w:rsidRPr="0072616A" w:rsidRDefault="00E950CD" w:rsidP="0072616A">
            <w:pPr>
              <w:snapToGrid w:val="0"/>
              <w:spacing w:line="240" w:lineRule="auto"/>
              <w:jc w:val="center"/>
              <w:rPr>
                <w:rFonts w:cs="Times New Roman"/>
                <w:sz w:val="22"/>
              </w:rPr>
            </w:pPr>
            <w:proofErr w:type="spellStart"/>
            <w:r w:rsidRPr="0072616A">
              <w:rPr>
                <w:rFonts w:cs="Times New Roman"/>
                <w:i/>
                <w:iCs/>
                <w:sz w:val="22"/>
              </w:rPr>
              <w:t>l</w:t>
            </w:r>
            <w:r w:rsidRPr="0072616A">
              <w:rPr>
                <w:rFonts w:cs="Times New Roman"/>
                <w:i/>
                <w:iCs/>
                <w:sz w:val="22"/>
                <w:vertAlign w:val="subscript"/>
              </w:rPr>
              <w:t>j</w:t>
            </w:r>
            <w:proofErr w:type="spellEnd"/>
            <w:r w:rsidRPr="0072616A">
              <w:rPr>
                <w:rFonts w:cs="Times New Roman"/>
                <w:sz w:val="22"/>
              </w:rPr>
              <w:t>.</w:t>
            </w:r>
          </w:p>
        </w:tc>
        <w:tc>
          <w:tcPr>
            <w:tcW w:w="824" w:type="pct"/>
          </w:tcPr>
          <w:p w14:paraId="6BB33D12" w14:textId="77777777" w:rsidR="00E950CD" w:rsidRPr="0072616A" w:rsidRDefault="00E950CD" w:rsidP="0072616A">
            <w:pPr>
              <w:snapToGrid w:val="0"/>
              <w:spacing w:line="240" w:lineRule="auto"/>
              <w:jc w:val="center"/>
              <w:rPr>
                <w:rFonts w:cs="Times New Roman"/>
                <w:sz w:val="22"/>
              </w:rPr>
            </w:pPr>
            <w:r w:rsidRPr="0072616A">
              <w:rPr>
                <w:rFonts w:cs="Times New Roman"/>
                <w:sz w:val="22"/>
              </w:rPr>
              <w:t>43416 m</w:t>
            </w:r>
          </w:p>
        </w:tc>
      </w:tr>
      <w:tr w:rsidR="00E950CD" w:rsidRPr="0072616A" w14:paraId="5A46A3A3" w14:textId="77777777" w:rsidTr="000D0417">
        <w:trPr>
          <w:jc w:val="center"/>
        </w:trPr>
        <w:tc>
          <w:tcPr>
            <w:tcW w:w="3248" w:type="pct"/>
          </w:tcPr>
          <w:p w14:paraId="2AD35C5C" w14:textId="77777777" w:rsidR="00E950CD" w:rsidRPr="0072616A" w:rsidRDefault="00E950CD" w:rsidP="00D92114">
            <w:pPr>
              <w:snapToGrid w:val="0"/>
              <w:spacing w:line="240" w:lineRule="auto"/>
              <w:rPr>
                <w:rFonts w:cs="Times New Roman"/>
                <w:sz w:val="22"/>
              </w:rPr>
            </w:pPr>
            <w:r w:rsidRPr="0072616A">
              <w:rPr>
                <w:rFonts w:cs="Times New Roman"/>
                <w:sz w:val="22"/>
              </w:rPr>
              <w:lastRenderedPageBreak/>
              <w:t>The total goods handling Time</w:t>
            </w:r>
          </w:p>
        </w:tc>
        <w:tc>
          <w:tcPr>
            <w:tcW w:w="928" w:type="pct"/>
          </w:tcPr>
          <w:p w14:paraId="098AF51D" w14:textId="77777777" w:rsidR="00E950CD" w:rsidRPr="0072616A" w:rsidRDefault="00E950CD" w:rsidP="0072616A">
            <w:pPr>
              <w:snapToGrid w:val="0"/>
              <w:spacing w:line="240" w:lineRule="auto"/>
              <w:jc w:val="center"/>
              <w:rPr>
                <w:rFonts w:cs="Times New Roman"/>
                <w:sz w:val="22"/>
              </w:rPr>
            </w:pPr>
            <w:r w:rsidRPr="0072616A">
              <w:rPr>
                <w:rFonts w:cs="Times New Roman"/>
                <w:noProof/>
                <w:sz w:val="22"/>
                <w:lang w:eastAsia="en-GB"/>
              </w:rPr>
              <w:drawing>
                <wp:inline distT="0" distB="0" distL="0" distR="0" wp14:anchorId="7F62E7EC" wp14:editId="106854DB">
                  <wp:extent cx="187325" cy="273685"/>
                  <wp:effectExtent l="0" t="0" r="317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7325" cy="273685"/>
                          </a:xfrm>
                          <a:prstGeom prst="rect">
                            <a:avLst/>
                          </a:prstGeom>
                          <a:noFill/>
                          <a:ln>
                            <a:noFill/>
                          </a:ln>
                        </pic:spPr>
                      </pic:pic>
                    </a:graphicData>
                  </a:graphic>
                </wp:inline>
              </w:drawing>
            </w:r>
          </w:p>
        </w:tc>
        <w:tc>
          <w:tcPr>
            <w:tcW w:w="824" w:type="pct"/>
          </w:tcPr>
          <w:p w14:paraId="32EA1C26" w14:textId="77777777" w:rsidR="00E950CD" w:rsidRPr="0072616A" w:rsidRDefault="00E950CD" w:rsidP="0072616A">
            <w:pPr>
              <w:snapToGrid w:val="0"/>
              <w:spacing w:line="240" w:lineRule="auto"/>
              <w:jc w:val="center"/>
              <w:rPr>
                <w:rFonts w:cs="Times New Roman"/>
                <w:sz w:val="22"/>
              </w:rPr>
            </w:pPr>
            <w:r w:rsidRPr="0072616A">
              <w:rPr>
                <w:rFonts w:cs="Times New Roman"/>
                <w:sz w:val="22"/>
              </w:rPr>
              <w:t>0.37hours</w:t>
            </w:r>
          </w:p>
        </w:tc>
      </w:tr>
      <w:tr w:rsidR="00E950CD" w:rsidRPr="0072616A" w14:paraId="1D52FFE3" w14:textId="77777777" w:rsidTr="000D0417">
        <w:trPr>
          <w:jc w:val="center"/>
        </w:trPr>
        <w:tc>
          <w:tcPr>
            <w:tcW w:w="3248" w:type="pct"/>
          </w:tcPr>
          <w:p w14:paraId="63008924" w14:textId="77777777" w:rsidR="00E950CD" w:rsidRPr="0072616A" w:rsidRDefault="00E950CD" w:rsidP="00D92114">
            <w:pPr>
              <w:snapToGrid w:val="0"/>
              <w:spacing w:line="240" w:lineRule="auto"/>
              <w:rPr>
                <w:rFonts w:cs="Times New Roman"/>
                <w:sz w:val="22"/>
              </w:rPr>
            </w:pPr>
            <w:r w:rsidRPr="0072616A">
              <w:rPr>
                <w:rFonts w:cs="Times New Roman"/>
                <w:sz w:val="22"/>
              </w:rPr>
              <w:t xml:space="preserve">The total driving time </w:t>
            </w:r>
          </w:p>
        </w:tc>
        <w:tc>
          <w:tcPr>
            <w:tcW w:w="928" w:type="pct"/>
          </w:tcPr>
          <w:p w14:paraId="269A1D9F" w14:textId="77777777" w:rsidR="00E950CD" w:rsidRPr="0072616A" w:rsidRDefault="00E950CD" w:rsidP="0072616A">
            <w:pPr>
              <w:snapToGrid w:val="0"/>
              <w:spacing w:line="240" w:lineRule="auto"/>
              <w:jc w:val="center"/>
              <w:rPr>
                <w:rFonts w:cs="Times New Roman"/>
                <w:sz w:val="22"/>
              </w:rPr>
            </w:pPr>
            <w:r w:rsidRPr="0072616A">
              <w:rPr>
                <w:rFonts w:cs="Times New Roman"/>
                <w:noProof/>
                <w:sz w:val="22"/>
                <w:lang w:eastAsia="en-GB"/>
              </w:rPr>
              <w:drawing>
                <wp:inline distT="0" distB="0" distL="0" distR="0" wp14:anchorId="0D8BFC73" wp14:editId="4E6085AB">
                  <wp:extent cx="187325" cy="273685"/>
                  <wp:effectExtent l="0" t="0" r="317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7325" cy="273685"/>
                          </a:xfrm>
                          <a:prstGeom prst="rect">
                            <a:avLst/>
                          </a:prstGeom>
                          <a:noFill/>
                          <a:ln>
                            <a:noFill/>
                          </a:ln>
                        </pic:spPr>
                      </pic:pic>
                    </a:graphicData>
                  </a:graphic>
                </wp:inline>
              </w:drawing>
            </w:r>
          </w:p>
        </w:tc>
        <w:tc>
          <w:tcPr>
            <w:tcW w:w="824" w:type="pct"/>
          </w:tcPr>
          <w:p w14:paraId="016F13B0" w14:textId="77777777" w:rsidR="00E950CD" w:rsidRPr="0072616A" w:rsidRDefault="00E950CD" w:rsidP="0072616A">
            <w:pPr>
              <w:snapToGrid w:val="0"/>
              <w:spacing w:line="240" w:lineRule="auto"/>
              <w:jc w:val="center"/>
              <w:rPr>
                <w:rFonts w:cs="Times New Roman"/>
                <w:sz w:val="22"/>
              </w:rPr>
            </w:pPr>
            <w:r w:rsidRPr="0072616A">
              <w:rPr>
                <w:rFonts w:cs="Times New Roman"/>
                <w:sz w:val="22"/>
              </w:rPr>
              <w:t>0.5hours</w:t>
            </w:r>
          </w:p>
        </w:tc>
      </w:tr>
      <w:tr w:rsidR="00E950CD" w:rsidRPr="0072616A" w14:paraId="69294D80" w14:textId="77777777" w:rsidTr="000D0417">
        <w:trPr>
          <w:trHeight w:val="387"/>
          <w:jc w:val="center"/>
        </w:trPr>
        <w:tc>
          <w:tcPr>
            <w:tcW w:w="3248" w:type="pct"/>
          </w:tcPr>
          <w:p w14:paraId="142F5CBE" w14:textId="77777777" w:rsidR="00E950CD" w:rsidRPr="0072616A" w:rsidRDefault="00E950CD" w:rsidP="00D92114">
            <w:pPr>
              <w:snapToGrid w:val="0"/>
              <w:spacing w:line="240" w:lineRule="auto"/>
              <w:rPr>
                <w:rFonts w:cs="Times New Roman"/>
                <w:sz w:val="22"/>
              </w:rPr>
            </w:pPr>
            <w:r w:rsidRPr="0072616A">
              <w:rPr>
                <w:rFonts w:cs="Times New Roman"/>
                <w:sz w:val="22"/>
              </w:rPr>
              <w:t>Total stopping time</w:t>
            </w:r>
          </w:p>
        </w:tc>
        <w:tc>
          <w:tcPr>
            <w:tcW w:w="928" w:type="pct"/>
          </w:tcPr>
          <w:p w14:paraId="7805A99E" w14:textId="77777777" w:rsidR="00E950CD" w:rsidRPr="0072616A" w:rsidRDefault="00E950CD" w:rsidP="0072616A">
            <w:pPr>
              <w:snapToGrid w:val="0"/>
              <w:spacing w:line="240" w:lineRule="auto"/>
              <w:jc w:val="center"/>
              <w:rPr>
                <w:rFonts w:cs="Times New Roman"/>
                <w:sz w:val="22"/>
              </w:rPr>
            </w:pPr>
            <w:r w:rsidRPr="0072616A">
              <w:rPr>
                <w:rFonts w:cs="Times New Roman"/>
                <w:noProof/>
                <w:sz w:val="22"/>
                <w:lang w:eastAsia="en-GB"/>
              </w:rPr>
              <w:drawing>
                <wp:inline distT="0" distB="0" distL="0" distR="0" wp14:anchorId="67F4CC4F" wp14:editId="354ECEB6">
                  <wp:extent cx="273685" cy="27368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3685" cy="273685"/>
                          </a:xfrm>
                          <a:prstGeom prst="rect">
                            <a:avLst/>
                          </a:prstGeom>
                          <a:noFill/>
                          <a:ln>
                            <a:noFill/>
                          </a:ln>
                        </pic:spPr>
                      </pic:pic>
                    </a:graphicData>
                  </a:graphic>
                </wp:inline>
              </w:drawing>
            </w:r>
          </w:p>
        </w:tc>
        <w:tc>
          <w:tcPr>
            <w:tcW w:w="824" w:type="pct"/>
          </w:tcPr>
          <w:p w14:paraId="0C490AA0" w14:textId="77777777" w:rsidR="00E950CD" w:rsidRPr="0072616A" w:rsidRDefault="00E950CD" w:rsidP="0072616A">
            <w:pPr>
              <w:snapToGrid w:val="0"/>
              <w:spacing w:line="240" w:lineRule="auto"/>
              <w:jc w:val="center"/>
              <w:rPr>
                <w:rFonts w:cs="Times New Roman"/>
                <w:sz w:val="22"/>
              </w:rPr>
            </w:pPr>
            <w:r w:rsidRPr="0072616A">
              <w:rPr>
                <w:rFonts w:cs="Times New Roman"/>
                <w:sz w:val="22"/>
              </w:rPr>
              <w:t>1.07hours</w:t>
            </w:r>
          </w:p>
        </w:tc>
      </w:tr>
    </w:tbl>
    <w:p w14:paraId="708F1C3C" w14:textId="656F59A1" w:rsidR="00E950CD" w:rsidRPr="00737239" w:rsidRDefault="007B5959" w:rsidP="000A4E8C">
      <w:pPr>
        <w:pStyle w:val="Caption"/>
        <w:spacing w:after="0" w:line="360" w:lineRule="auto"/>
        <w:rPr>
          <w:rFonts w:cs="Times New Roman"/>
        </w:rPr>
      </w:pPr>
      <w:bookmarkStart w:id="704" w:name="_Ref44955212"/>
      <w:bookmarkStart w:id="705" w:name="_Toc46053564"/>
      <w:bookmarkStart w:id="706" w:name="_Toc46093813"/>
      <w:bookmarkStart w:id="707" w:name="_Toc66698780"/>
      <w:r>
        <w:rPr>
          <w:rFonts w:cs="Times New Roman"/>
        </w:rPr>
        <w:t>Table</w:t>
      </w:r>
      <w:r w:rsidR="00E950CD"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4</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4</w:t>
      </w:r>
      <w:r w:rsidR="00FE10DA">
        <w:rPr>
          <w:rFonts w:cs="Times New Roman"/>
        </w:rPr>
        <w:fldChar w:fldCharType="end"/>
      </w:r>
      <w:bookmarkEnd w:id="704"/>
      <w:r w:rsidR="00AF217C">
        <w:rPr>
          <w:rFonts w:cs="Times New Roman"/>
        </w:rPr>
        <w:t xml:space="preserve">: </w:t>
      </w:r>
      <w:r w:rsidR="00E950CD" w:rsidRPr="008903D1">
        <w:rPr>
          <w:rFonts w:cs="Times New Roman"/>
        </w:rPr>
        <w:t>Data from Planning Result</w:t>
      </w:r>
      <w:bookmarkEnd w:id="705"/>
      <w:bookmarkEnd w:id="706"/>
      <w:bookmarkEnd w:id="707"/>
    </w:p>
    <w:p w14:paraId="46D2D716" w14:textId="3D5EEC3A" w:rsidR="00E950CD" w:rsidRPr="00A96AC5" w:rsidRDefault="002610DE" w:rsidP="00D92114">
      <w:pPr>
        <w:spacing w:before="240" w:after="240" w:line="360" w:lineRule="auto"/>
        <w:rPr>
          <w:rFonts w:cs="Times New Roman"/>
        </w:rPr>
      </w:pPr>
      <w:r>
        <w:rPr>
          <w:rFonts w:cs="Times New Roman"/>
        </w:rPr>
        <w:t>This chapter</w:t>
      </w:r>
      <w:r w:rsidR="00E950CD" w:rsidRPr="00A96AC5">
        <w:rPr>
          <w:rFonts w:cs="Times New Roman"/>
        </w:rPr>
        <w:t xml:space="preserve"> define the assumed data into the ‘</w:t>
      </w:r>
      <w:r w:rsidR="0029786A">
        <w:rPr>
          <w:rFonts w:cs="Times New Roman"/>
        </w:rPr>
        <w:t>data associated with UCC configuration</w:t>
      </w:r>
      <w:r w:rsidR="00E950CD" w:rsidRPr="00A96AC5">
        <w:rPr>
          <w:rFonts w:cs="Times New Roman"/>
        </w:rPr>
        <w:t>’ and ‘</w:t>
      </w:r>
      <w:r w:rsidR="0029786A">
        <w:rPr>
          <w:rFonts w:cs="Times New Roman"/>
        </w:rPr>
        <w:t xml:space="preserve">data </w:t>
      </w:r>
      <w:r w:rsidR="002E1077">
        <w:rPr>
          <w:rFonts w:cs="Times New Roman"/>
        </w:rPr>
        <w:t>associated</w:t>
      </w:r>
      <w:r w:rsidR="0029786A">
        <w:rPr>
          <w:rFonts w:cs="Times New Roman"/>
        </w:rPr>
        <w:t xml:space="preserve"> to types of expenditure</w:t>
      </w:r>
      <w:r w:rsidR="00E950CD" w:rsidRPr="00A96AC5">
        <w:rPr>
          <w:rFonts w:cs="Times New Roman"/>
        </w:rPr>
        <w:t xml:space="preserve">’. The </w:t>
      </w:r>
      <w:r w:rsidR="0029786A" w:rsidRPr="00A96AC5">
        <w:rPr>
          <w:rFonts w:cs="Times New Roman"/>
        </w:rPr>
        <w:t>‘</w:t>
      </w:r>
      <w:r w:rsidR="0029786A">
        <w:rPr>
          <w:rFonts w:cs="Times New Roman"/>
        </w:rPr>
        <w:t>data associated with UCC configuration</w:t>
      </w:r>
      <w:r w:rsidR="0029786A" w:rsidRPr="00A96AC5">
        <w:rPr>
          <w:rFonts w:cs="Times New Roman"/>
        </w:rPr>
        <w:t>’</w:t>
      </w:r>
      <w:r w:rsidR="00E950CD" w:rsidRPr="00A96AC5">
        <w:rPr>
          <w:rFonts w:cs="Times New Roman"/>
        </w:rPr>
        <w:t xml:space="preserve"> </w:t>
      </w:r>
      <w:r w:rsidR="0029786A">
        <w:rPr>
          <w:rFonts w:cs="Times New Roman"/>
        </w:rPr>
        <w:t xml:space="preserve">includes </w:t>
      </w:r>
      <w:r w:rsidR="002E1077">
        <w:rPr>
          <w:rFonts w:cs="Times New Roman"/>
        </w:rPr>
        <w:t xml:space="preserve">UCC </w:t>
      </w:r>
      <w:r w:rsidR="00E950CD" w:rsidRPr="00A96AC5">
        <w:rPr>
          <w:rFonts w:cs="Times New Roman"/>
        </w:rPr>
        <w:t xml:space="preserve">working days and </w:t>
      </w:r>
      <w:r w:rsidR="00C20D31">
        <w:rPr>
          <w:rFonts w:cs="Times New Roman"/>
        </w:rPr>
        <w:t>n</w:t>
      </w:r>
      <w:r w:rsidR="002E1077">
        <w:rPr>
          <w:rFonts w:cs="Times New Roman"/>
        </w:rPr>
        <w:t xml:space="preserve">umbers of </w:t>
      </w:r>
      <w:r w:rsidR="00E950CD" w:rsidRPr="00A96AC5">
        <w:rPr>
          <w:rFonts w:cs="Times New Roman"/>
        </w:rPr>
        <w:t xml:space="preserve">workforce related to the goods sorting and distribution. The </w:t>
      </w:r>
      <w:r w:rsidR="0029786A" w:rsidRPr="00A96AC5">
        <w:rPr>
          <w:rFonts w:cs="Times New Roman"/>
        </w:rPr>
        <w:t>‘</w:t>
      </w:r>
      <w:r w:rsidR="0029786A">
        <w:rPr>
          <w:rFonts w:cs="Times New Roman"/>
        </w:rPr>
        <w:t xml:space="preserve">data </w:t>
      </w:r>
      <w:r w:rsidR="002E1077">
        <w:rPr>
          <w:rFonts w:cs="Times New Roman"/>
        </w:rPr>
        <w:t>associated</w:t>
      </w:r>
      <w:r w:rsidR="0029786A">
        <w:rPr>
          <w:rFonts w:cs="Times New Roman"/>
        </w:rPr>
        <w:t xml:space="preserve"> to types of expenditure</w:t>
      </w:r>
      <w:r w:rsidR="0029786A" w:rsidRPr="00A96AC5">
        <w:rPr>
          <w:rFonts w:cs="Times New Roman"/>
        </w:rPr>
        <w:t>’</w:t>
      </w:r>
      <w:r w:rsidR="0029786A">
        <w:rPr>
          <w:rFonts w:cs="Times New Roman"/>
        </w:rPr>
        <w:t xml:space="preserve"> </w:t>
      </w:r>
      <w:r w:rsidR="002E1077">
        <w:rPr>
          <w:rFonts w:cs="Times New Roman"/>
        </w:rPr>
        <w:t>contains the</w:t>
      </w:r>
      <w:r w:rsidR="00E950CD" w:rsidRPr="00A96AC5">
        <w:rPr>
          <w:rFonts w:cs="Times New Roman"/>
        </w:rPr>
        <w:t xml:space="preserve"> value of </w:t>
      </w:r>
      <w:r w:rsidR="0029786A">
        <w:rPr>
          <w:rFonts w:cs="Times New Roman"/>
        </w:rPr>
        <w:t xml:space="preserve">pre-set </w:t>
      </w:r>
      <w:r w:rsidR="00E950CD" w:rsidRPr="00A96AC5">
        <w:rPr>
          <w:rFonts w:cs="Times New Roman"/>
        </w:rPr>
        <w:t>fixed cost</w:t>
      </w:r>
      <w:r w:rsidR="001E2DB9">
        <w:rPr>
          <w:rFonts w:cs="Times New Roman"/>
        </w:rPr>
        <w:t xml:space="preserve"> in </w:t>
      </w:r>
      <w:r w:rsidR="001E2DB9">
        <w:rPr>
          <w:rFonts w:cs="Times New Roman"/>
        </w:rPr>
        <w:fldChar w:fldCharType="begin"/>
      </w:r>
      <w:r w:rsidR="001E2DB9">
        <w:rPr>
          <w:rFonts w:cs="Times New Roman"/>
        </w:rPr>
        <w:instrText xml:space="preserve"> REF _Ref44951701 \h </w:instrText>
      </w:r>
      <w:r w:rsidR="001E2DB9">
        <w:rPr>
          <w:rFonts w:cs="Times New Roman"/>
        </w:rPr>
      </w:r>
      <w:r w:rsidR="001E2DB9">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4</w:t>
      </w:r>
      <w:r w:rsidR="0005064B">
        <w:rPr>
          <w:rFonts w:cs="Times New Roman"/>
        </w:rPr>
        <w:noBreakHyphen/>
      </w:r>
      <w:r w:rsidR="0005064B">
        <w:rPr>
          <w:rFonts w:cs="Times New Roman"/>
          <w:noProof/>
        </w:rPr>
        <w:t>1</w:t>
      </w:r>
      <w:r w:rsidR="001E2DB9">
        <w:rPr>
          <w:rFonts w:cs="Times New Roman"/>
        </w:rPr>
        <w:fldChar w:fldCharType="end"/>
      </w:r>
      <w:r w:rsidR="00E950CD" w:rsidRPr="00A96AC5">
        <w:rPr>
          <w:rFonts w:cs="Times New Roman"/>
        </w:rPr>
        <w:t xml:space="preserve">. </w:t>
      </w:r>
      <w:r w:rsidR="006C4A17" w:rsidRPr="00802DC5">
        <w:rPr>
          <w:rFonts w:cs="Times New Roman"/>
        </w:rPr>
        <w:t>Planners</w:t>
      </w:r>
      <w:r w:rsidR="006C4A17">
        <w:rPr>
          <w:rFonts w:cs="Times New Roman"/>
        </w:rPr>
        <w:t xml:space="preserve"> can</w:t>
      </w:r>
      <w:r w:rsidR="006C4A17" w:rsidRPr="008903D1">
        <w:rPr>
          <w:rFonts w:cs="Times New Roman"/>
        </w:rPr>
        <w:t xml:space="preserve"> input </w:t>
      </w:r>
      <w:r w:rsidR="006C4A17" w:rsidRPr="00737239">
        <w:rPr>
          <w:rFonts w:cs="Times New Roman"/>
        </w:rPr>
        <w:t>suc</w:t>
      </w:r>
      <w:r w:rsidR="006C4A17" w:rsidRPr="008903D1">
        <w:rPr>
          <w:rFonts w:cs="Times New Roman"/>
        </w:rPr>
        <w:t xml:space="preserve">h kind </w:t>
      </w:r>
      <w:r w:rsidR="006C4A17">
        <w:rPr>
          <w:rFonts w:cs="Times New Roman"/>
        </w:rPr>
        <w:t xml:space="preserve">of </w:t>
      </w:r>
      <w:r w:rsidR="006C4A17" w:rsidRPr="008903D1">
        <w:rPr>
          <w:rFonts w:cs="Times New Roman"/>
        </w:rPr>
        <w:t xml:space="preserve">data </w:t>
      </w:r>
      <w:r w:rsidR="006C4A17">
        <w:rPr>
          <w:rFonts w:cs="Times New Roman"/>
        </w:rPr>
        <w:t xml:space="preserve">according to the </w:t>
      </w:r>
      <w:r w:rsidR="008928D6">
        <w:rPr>
          <w:rFonts w:cs="Times New Roman"/>
        </w:rPr>
        <w:t xml:space="preserve">different </w:t>
      </w:r>
      <w:proofErr w:type="gramStart"/>
      <w:r w:rsidR="008928D6">
        <w:rPr>
          <w:rFonts w:cs="Times New Roman"/>
        </w:rPr>
        <w:t>configurations</w:t>
      </w:r>
      <w:proofErr w:type="gramEnd"/>
      <w:r w:rsidR="008928D6">
        <w:rPr>
          <w:rFonts w:cs="Times New Roman"/>
        </w:rPr>
        <w:t xml:space="preserve"> </w:t>
      </w:r>
    </w:p>
    <w:tbl>
      <w:tblPr>
        <w:tblStyle w:val="TableGrid"/>
        <w:tblW w:w="0" w:type="auto"/>
        <w:tblLook w:val="04A0" w:firstRow="1" w:lastRow="0" w:firstColumn="1" w:lastColumn="0" w:noHBand="0" w:noVBand="1"/>
      </w:tblPr>
      <w:tblGrid>
        <w:gridCol w:w="1838"/>
        <w:gridCol w:w="3191"/>
        <w:gridCol w:w="1824"/>
        <w:gridCol w:w="2142"/>
      </w:tblGrid>
      <w:tr w:rsidR="00E950CD" w:rsidRPr="0072616A" w14:paraId="100626C2" w14:textId="77777777" w:rsidTr="001E2DB9">
        <w:tc>
          <w:tcPr>
            <w:tcW w:w="1838" w:type="dxa"/>
          </w:tcPr>
          <w:p w14:paraId="21923A2A" w14:textId="77777777" w:rsidR="00E950CD" w:rsidRPr="0072616A" w:rsidRDefault="00E950CD" w:rsidP="0072616A">
            <w:pPr>
              <w:snapToGrid w:val="0"/>
              <w:spacing w:line="240" w:lineRule="auto"/>
              <w:jc w:val="center"/>
              <w:rPr>
                <w:rFonts w:cs="Times New Roman"/>
                <w:b/>
                <w:bCs/>
                <w:sz w:val="22"/>
              </w:rPr>
            </w:pPr>
            <w:r w:rsidRPr="0072616A">
              <w:rPr>
                <w:rFonts w:cs="Times New Roman"/>
                <w:b/>
                <w:bCs/>
                <w:sz w:val="22"/>
              </w:rPr>
              <w:t>Types of Data</w:t>
            </w:r>
          </w:p>
        </w:tc>
        <w:tc>
          <w:tcPr>
            <w:tcW w:w="3191" w:type="dxa"/>
          </w:tcPr>
          <w:p w14:paraId="01CE2891" w14:textId="77777777" w:rsidR="00E950CD" w:rsidRPr="0072616A" w:rsidRDefault="00E950CD" w:rsidP="0072616A">
            <w:pPr>
              <w:snapToGrid w:val="0"/>
              <w:spacing w:line="240" w:lineRule="auto"/>
              <w:jc w:val="center"/>
              <w:rPr>
                <w:rFonts w:cs="Times New Roman"/>
                <w:b/>
                <w:bCs/>
                <w:sz w:val="22"/>
              </w:rPr>
            </w:pPr>
            <w:r w:rsidRPr="0072616A">
              <w:rPr>
                <w:rFonts w:cs="Times New Roman"/>
                <w:b/>
                <w:bCs/>
                <w:sz w:val="22"/>
              </w:rPr>
              <w:t>Data Categories</w:t>
            </w:r>
          </w:p>
        </w:tc>
        <w:tc>
          <w:tcPr>
            <w:tcW w:w="1824" w:type="dxa"/>
          </w:tcPr>
          <w:p w14:paraId="5CF6E4D7" w14:textId="77777777" w:rsidR="00E950CD" w:rsidRPr="0072616A" w:rsidRDefault="00E950CD" w:rsidP="0072616A">
            <w:pPr>
              <w:snapToGrid w:val="0"/>
              <w:spacing w:line="240" w:lineRule="auto"/>
              <w:jc w:val="center"/>
              <w:rPr>
                <w:rFonts w:cs="Times New Roman"/>
                <w:b/>
                <w:bCs/>
                <w:sz w:val="22"/>
              </w:rPr>
            </w:pPr>
            <w:r w:rsidRPr="0072616A">
              <w:rPr>
                <w:rFonts w:cs="Times New Roman"/>
                <w:b/>
                <w:bCs/>
                <w:sz w:val="22"/>
              </w:rPr>
              <w:t>Notation</w:t>
            </w:r>
          </w:p>
        </w:tc>
        <w:tc>
          <w:tcPr>
            <w:tcW w:w="2142" w:type="dxa"/>
          </w:tcPr>
          <w:p w14:paraId="06B605B8" w14:textId="77777777" w:rsidR="00E950CD" w:rsidRPr="0072616A" w:rsidRDefault="00E950CD" w:rsidP="0072616A">
            <w:pPr>
              <w:snapToGrid w:val="0"/>
              <w:spacing w:line="240" w:lineRule="auto"/>
              <w:jc w:val="center"/>
              <w:rPr>
                <w:rFonts w:cs="Times New Roman"/>
                <w:b/>
                <w:bCs/>
                <w:sz w:val="22"/>
              </w:rPr>
            </w:pPr>
            <w:r w:rsidRPr="0072616A">
              <w:rPr>
                <w:rFonts w:cs="Times New Roman"/>
                <w:b/>
                <w:bCs/>
                <w:sz w:val="22"/>
              </w:rPr>
              <w:t>Values</w:t>
            </w:r>
          </w:p>
        </w:tc>
      </w:tr>
      <w:tr w:rsidR="00E950CD" w:rsidRPr="0072616A" w14:paraId="1A259AA6" w14:textId="77777777" w:rsidTr="001E2DB9">
        <w:tc>
          <w:tcPr>
            <w:tcW w:w="1838" w:type="dxa"/>
            <w:vMerge w:val="restart"/>
            <w:vAlign w:val="center"/>
          </w:tcPr>
          <w:p w14:paraId="57099BD2" w14:textId="77777777" w:rsidR="00E950CD" w:rsidRPr="0072616A" w:rsidRDefault="00E950CD" w:rsidP="0072616A">
            <w:pPr>
              <w:snapToGrid w:val="0"/>
              <w:spacing w:line="240" w:lineRule="auto"/>
              <w:rPr>
                <w:rFonts w:cs="Times New Roman"/>
                <w:sz w:val="22"/>
              </w:rPr>
            </w:pPr>
            <w:r w:rsidRPr="0072616A">
              <w:rPr>
                <w:rFonts w:cs="Times New Roman"/>
                <w:sz w:val="22"/>
              </w:rPr>
              <w:t>Inputted values of ‘parameter’</w:t>
            </w:r>
          </w:p>
        </w:tc>
        <w:tc>
          <w:tcPr>
            <w:tcW w:w="3191" w:type="dxa"/>
          </w:tcPr>
          <w:p w14:paraId="26AB9BBC" w14:textId="77777777" w:rsidR="00E950CD" w:rsidRPr="0072616A" w:rsidRDefault="00E950CD" w:rsidP="0072616A">
            <w:pPr>
              <w:snapToGrid w:val="0"/>
              <w:spacing w:line="240" w:lineRule="auto"/>
              <w:rPr>
                <w:rFonts w:cs="Times New Roman"/>
                <w:sz w:val="22"/>
              </w:rPr>
            </w:pPr>
            <w:r w:rsidRPr="0072616A">
              <w:rPr>
                <w:rFonts w:cs="Times New Roman"/>
                <w:sz w:val="22"/>
              </w:rPr>
              <w:t>Numbers of UCC Operator</w:t>
            </w:r>
          </w:p>
        </w:tc>
        <w:tc>
          <w:tcPr>
            <w:tcW w:w="1824" w:type="dxa"/>
          </w:tcPr>
          <w:p w14:paraId="208249F9" w14:textId="77777777" w:rsidR="00E950CD" w:rsidRPr="0072616A" w:rsidRDefault="00E950CD" w:rsidP="0072616A">
            <w:pPr>
              <w:snapToGrid w:val="0"/>
              <w:spacing w:line="240" w:lineRule="auto"/>
              <w:jc w:val="center"/>
              <w:rPr>
                <w:rFonts w:cs="Times New Roman"/>
                <w:sz w:val="22"/>
              </w:rPr>
            </w:pPr>
            <w:r w:rsidRPr="0072616A">
              <w:rPr>
                <w:rFonts w:cs="Times New Roman"/>
                <w:noProof/>
                <w:position w:val="-12"/>
                <w:sz w:val="22"/>
                <w:lang w:eastAsia="en-GB"/>
              </w:rPr>
              <w:drawing>
                <wp:inline distT="0" distB="0" distL="0" distR="0" wp14:anchorId="2B5CF80E" wp14:editId="28A5060E">
                  <wp:extent cx="194310" cy="27368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4310" cy="273685"/>
                          </a:xfrm>
                          <a:prstGeom prst="rect">
                            <a:avLst/>
                          </a:prstGeom>
                          <a:noFill/>
                          <a:ln>
                            <a:noFill/>
                          </a:ln>
                        </pic:spPr>
                      </pic:pic>
                    </a:graphicData>
                  </a:graphic>
                </wp:inline>
              </w:drawing>
            </w:r>
          </w:p>
        </w:tc>
        <w:tc>
          <w:tcPr>
            <w:tcW w:w="2142" w:type="dxa"/>
          </w:tcPr>
          <w:p w14:paraId="415CA4A8" w14:textId="77777777" w:rsidR="00E950CD" w:rsidRPr="0072616A" w:rsidRDefault="00E950CD" w:rsidP="0072616A">
            <w:pPr>
              <w:snapToGrid w:val="0"/>
              <w:spacing w:line="240" w:lineRule="auto"/>
              <w:jc w:val="center"/>
              <w:rPr>
                <w:rFonts w:cs="Times New Roman"/>
                <w:sz w:val="22"/>
              </w:rPr>
            </w:pPr>
            <w:r w:rsidRPr="0072616A">
              <w:rPr>
                <w:rFonts w:cs="Times New Roman"/>
                <w:sz w:val="22"/>
              </w:rPr>
              <w:t>1</w:t>
            </w:r>
          </w:p>
        </w:tc>
      </w:tr>
      <w:tr w:rsidR="00E950CD" w:rsidRPr="0072616A" w14:paraId="394750BC" w14:textId="77777777" w:rsidTr="001E2DB9">
        <w:tc>
          <w:tcPr>
            <w:tcW w:w="1838" w:type="dxa"/>
            <w:vMerge/>
            <w:vAlign w:val="center"/>
          </w:tcPr>
          <w:p w14:paraId="2FAA8F13" w14:textId="77777777" w:rsidR="00E950CD" w:rsidRPr="0072616A" w:rsidRDefault="00E950CD" w:rsidP="0072616A">
            <w:pPr>
              <w:snapToGrid w:val="0"/>
              <w:spacing w:line="240" w:lineRule="auto"/>
              <w:rPr>
                <w:rFonts w:cs="Times New Roman"/>
                <w:sz w:val="22"/>
              </w:rPr>
            </w:pPr>
          </w:p>
        </w:tc>
        <w:tc>
          <w:tcPr>
            <w:tcW w:w="3191" w:type="dxa"/>
          </w:tcPr>
          <w:p w14:paraId="3D3F8B4B" w14:textId="77777777" w:rsidR="00E950CD" w:rsidRPr="0072616A" w:rsidRDefault="00E950CD" w:rsidP="0072616A">
            <w:pPr>
              <w:snapToGrid w:val="0"/>
              <w:spacing w:line="240" w:lineRule="auto"/>
              <w:rPr>
                <w:rFonts w:cs="Times New Roman"/>
                <w:sz w:val="22"/>
              </w:rPr>
            </w:pPr>
            <w:r w:rsidRPr="0072616A">
              <w:rPr>
                <w:rFonts w:cs="Times New Roman"/>
                <w:sz w:val="22"/>
              </w:rPr>
              <w:t>Working Days</w:t>
            </w:r>
          </w:p>
        </w:tc>
        <w:tc>
          <w:tcPr>
            <w:tcW w:w="1824" w:type="dxa"/>
          </w:tcPr>
          <w:p w14:paraId="49CF8959" w14:textId="77777777" w:rsidR="00E950CD" w:rsidRPr="0072616A" w:rsidRDefault="00E950CD" w:rsidP="0072616A">
            <w:pPr>
              <w:snapToGrid w:val="0"/>
              <w:spacing w:line="240" w:lineRule="auto"/>
              <w:jc w:val="center"/>
              <w:rPr>
                <w:rFonts w:cs="Times New Roman"/>
                <w:sz w:val="22"/>
              </w:rPr>
            </w:pPr>
            <w:r w:rsidRPr="0072616A">
              <w:rPr>
                <w:rFonts w:cs="Times New Roman"/>
                <w:noProof/>
                <w:position w:val="-4"/>
                <w:sz w:val="22"/>
                <w:lang w:eastAsia="en-GB"/>
              </w:rPr>
              <w:drawing>
                <wp:inline distT="0" distB="0" distL="0" distR="0" wp14:anchorId="5DE6202D" wp14:editId="606D3710">
                  <wp:extent cx="194310" cy="19431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4310" cy="194310"/>
                          </a:xfrm>
                          <a:prstGeom prst="rect">
                            <a:avLst/>
                          </a:prstGeom>
                          <a:noFill/>
                          <a:ln>
                            <a:noFill/>
                          </a:ln>
                        </pic:spPr>
                      </pic:pic>
                    </a:graphicData>
                  </a:graphic>
                </wp:inline>
              </w:drawing>
            </w:r>
          </w:p>
        </w:tc>
        <w:tc>
          <w:tcPr>
            <w:tcW w:w="2142" w:type="dxa"/>
          </w:tcPr>
          <w:p w14:paraId="39D4F1A6" w14:textId="77777777" w:rsidR="00E950CD" w:rsidRPr="0072616A" w:rsidRDefault="00E950CD" w:rsidP="0072616A">
            <w:pPr>
              <w:snapToGrid w:val="0"/>
              <w:spacing w:line="240" w:lineRule="auto"/>
              <w:jc w:val="center"/>
              <w:rPr>
                <w:rFonts w:cs="Times New Roman"/>
                <w:sz w:val="22"/>
              </w:rPr>
            </w:pPr>
            <w:r w:rsidRPr="0072616A">
              <w:rPr>
                <w:rFonts w:cs="Times New Roman"/>
                <w:sz w:val="22"/>
              </w:rPr>
              <w:t>1</w:t>
            </w:r>
          </w:p>
        </w:tc>
      </w:tr>
      <w:tr w:rsidR="00E950CD" w:rsidRPr="0072616A" w14:paraId="1E25DC2D" w14:textId="77777777" w:rsidTr="001E2DB9">
        <w:tc>
          <w:tcPr>
            <w:tcW w:w="1838" w:type="dxa"/>
            <w:vMerge/>
            <w:vAlign w:val="center"/>
          </w:tcPr>
          <w:p w14:paraId="7FF1178E" w14:textId="77777777" w:rsidR="00E950CD" w:rsidRPr="0072616A" w:rsidRDefault="00E950CD" w:rsidP="0072616A">
            <w:pPr>
              <w:snapToGrid w:val="0"/>
              <w:spacing w:line="240" w:lineRule="auto"/>
              <w:rPr>
                <w:rFonts w:cs="Times New Roman"/>
                <w:sz w:val="22"/>
              </w:rPr>
            </w:pPr>
          </w:p>
        </w:tc>
        <w:tc>
          <w:tcPr>
            <w:tcW w:w="3191" w:type="dxa"/>
          </w:tcPr>
          <w:p w14:paraId="5F21ABEE" w14:textId="77777777" w:rsidR="00E950CD" w:rsidRPr="0072616A" w:rsidRDefault="00E950CD" w:rsidP="0072616A">
            <w:pPr>
              <w:snapToGrid w:val="0"/>
              <w:spacing w:line="240" w:lineRule="auto"/>
              <w:rPr>
                <w:rFonts w:cs="Times New Roman"/>
                <w:sz w:val="22"/>
              </w:rPr>
            </w:pPr>
            <w:r w:rsidRPr="0072616A">
              <w:rPr>
                <w:rFonts w:cs="Times New Roman"/>
                <w:sz w:val="22"/>
              </w:rPr>
              <w:t>Numbers of Vehicles used per day</w:t>
            </w:r>
          </w:p>
        </w:tc>
        <w:tc>
          <w:tcPr>
            <w:tcW w:w="1824" w:type="dxa"/>
          </w:tcPr>
          <w:p w14:paraId="29CDA15A" w14:textId="77777777" w:rsidR="00E950CD" w:rsidRPr="0072616A" w:rsidRDefault="00E950CD" w:rsidP="0072616A">
            <w:pPr>
              <w:snapToGrid w:val="0"/>
              <w:spacing w:line="240" w:lineRule="auto"/>
              <w:jc w:val="center"/>
              <w:rPr>
                <w:rFonts w:cs="Times New Roman"/>
                <w:sz w:val="22"/>
              </w:rPr>
            </w:pPr>
            <w:r w:rsidRPr="0072616A">
              <w:rPr>
                <w:rFonts w:cs="Times New Roman"/>
                <w:noProof/>
                <w:position w:val="-12"/>
                <w:sz w:val="22"/>
                <w:lang w:eastAsia="en-GB"/>
              </w:rPr>
              <w:drawing>
                <wp:inline distT="0" distB="0" distL="0" distR="0" wp14:anchorId="58E63D0C" wp14:editId="13C0E634">
                  <wp:extent cx="194310" cy="27368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4310" cy="273685"/>
                          </a:xfrm>
                          <a:prstGeom prst="rect">
                            <a:avLst/>
                          </a:prstGeom>
                          <a:noFill/>
                          <a:ln>
                            <a:noFill/>
                          </a:ln>
                        </pic:spPr>
                      </pic:pic>
                    </a:graphicData>
                  </a:graphic>
                </wp:inline>
              </w:drawing>
            </w:r>
          </w:p>
        </w:tc>
        <w:tc>
          <w:tcPr>
            <w:tcW w:w="2142" w:type="dxa"/>
          </w:tcPr>
          <w:p w14:paraId="50B3D602" w14:textId="77777777" w:rsidR="00E950CD" w:rsidRPr="0072616A" w:rsidRDefault="00E950CD" w:rsidP="0072616A">
            <w:pPr>
              <w:snapToGrid w:val="0"/>
              <w:spacing w:line="240" w:lineRule="auto"/>
              <w:jc w:val="center"/>
              <w:rPr>
                <w:rFonts w:cs="Times New Roman"/>
                <w:sz w:val="22"/>
              </w:rPr>
            </w:pPr>
            <w:r w:rsidRPr="0072616A">
              <w:rPr>
                <w:rFonts w:cs="Times New Roman"/>
                <w:sz w:val="22"/>
              </w:rPr>
              <w:t>1</w:t>
            </w:r>
          </w:p>
        </w:tc>
      </w:tr>
      <w:tr w:rsidR="00E950CD" w:rsidRPr="0072616A" w14:paraId="191BC5B9" w14:textId="77777777" w:rsidTr="001E2DB9">
        <w:tc>
          <w:tcPr>
            <w:tcW w:w="1838" w:type="dxa"/>
            <w:vMerge/>
            <w:vAlign w:val="center"/>
          </w:tcPr>
          <w:p w14:paraId="2D7C6ED5" w14:textId="77777777" w:rsidR="00E950CD" w:rsidRPr="0072616A" w:rsidRDefault="00E950CD" w:rsidP="0072616A">
            <w:pPr>
              <w:snapToGrid w:val="0"/>
              <w:spacing w:line="240" w:lineRule="auto"/>
              <w:rPr>
                <w:rFonts w:cs="Times New Roman"/>
                <w:sz w:val="22"/>
              </w:rPr>
            </w:pPr>
          </w:p>
        </w:tc>
        <w:tc>
          <w:tcPr>
            <w:tcW w:w="3191" w:type="dxa"/>
          </w:tcPr>
          <w:p w14:paraId="19B4BBF8" w14:textId="77777777" w:rsidR="00E950CD" w:rsidRPr="0072616A" w:rsidRDefault="00E950CD" w:rsidP="0072616A">
            <w:pPr>
              <w:snapToGrid w:val="0"/>
              <w:spacing w:line="240" w:lineRule="auto"/>
              <w:rPr>
                <w:rFonts w:cs="Times New Roman"/>
                <w:sz w:val="22"/>
              </w:rPr>
            </w:pPr>
            <w:r w:rsidRPr="0072616A">
              <w:rPr>
                <w:rFonts w:cs="Times New Roman"/>
                <w:sz w:val="22"/>
              </w:rPr>
              <w:t>Numbers of drivers</w:t>
            </w:r>
          </w:p>
        </w:tc>
        <w:tc>
          <w:tcPr>
            <w:tcW w:w="1824" w:type="dxa"/>
          </w:tcPr>
          <w:p w14:paraId="459BE3B9" w14:textId="77777777" w:rsidR="00E950CD" w:rsidRPr="0072616A" w:rsidRDefault="00E950CD" w:rsidP="0072616A">
            <w:pPr>
              <w:snapToGrid w:val="0"/>
              <w:spacing w:line="240" w:lineRule="auto"/>
              <w:jc w:val="center"/>
              <w:rPr>
                <w:rFonts w:cs="Times New Roman"/>
                <w:sz w:val="22"/>
              </w:rPr>
            </w:pPr>
            <w:r w:rsidRPr="0072616A">
              <w:rPr>
                <w:rFonts w:cs="Times New Roman"/>
                <w:noProof/>
                <w:position w:val="-12"/>
                <w:sz w:val="22"/>
                <w:lang w:eastAsia="en-GB"/>
              </w:rPr>
              <w:drawing>
                <wp:inline distT="0" distB="0" distL="0" distR="0" wp14:anchorId="6A4C217E" wp14:editId="05ADDF5B">
                  <wp:extent cx="187325" cy="273685"/>
                  <wp:effectExtent l="0" t="0" r="317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7325" cy="273685"/>
                          </a:xfrm>
                          <a:prstGeom prst="rect">
                            <a:avLst/>
                          </a:prstGeom>
                          <a:noFill/>
                          <a:ln>
                            <a:noFill/>
                          </a:ln>
                        </pic:spPr>
                      </pic:pic>
                    </a:graphicData>
                  </a:graphic>
                </wp:inline>
              </w:drawing>
            </w:r>
          </w:p>
        </w:tc>
        <w:tc>
          <w:tcPr>
            <w:tcW w:w="2142" w:type="dxa"/>
          </w:tcPr>
          <w:p w14:paraId="087C06C1" w14:textId="77777777" w:rsidR="00E950CD" w:rsidRPr="0072616A" w:rsidRDefault="00E950CD" w:rsidP="0072616A">
            <w:pPr>
              <w:snapToGrid w:val="0"/>
              <w:spacing w:line="240" w:lineRule="auto"/>
              <w:jc w:val="center"/>
              <w:rPr>
                <w:rFonts w:cs="Times New Roman"/>
                <w:sz w:val="22"/>
              </w:rPr>
            </w:pPr>
            <w:r w:rsidRPr="0072616A">
              <w:rPr>
                <w:rFonts w:cs="Times New Roman"/>
                <w:sz w:val="22"/>
              </w:rPr>
              <w:t>2</w:t>
            </w:r>
          </w:p>
        </w:tc>
      </w:tr>
      <w:tr w:rsidR="00E950CD" w:rsidRPr="0072616A" w14:paraId="68C4BC9F" w14:textId="77777777" w:rsidTr="001E2DB9">
        <w:tc>
          <w:tcPr>
            <w:tcW w:w="1838" w:type="dxa"/>
            <w:vMerge w:val="restart"/>
            <w:vAlign w:val="center"/>
          </w:tcPr>
          <w:p w14:paraId="597D191B" w14:textId="77777777" w:rsidR="00E950CD" w:rsidRPr="0072616A" w:rsidRDefault="00E950CD" w:rsidP="0072616A">
            <w:pPr>
              <w:snapToGrid w:val="0"/>
              <w:spacing w:line="240" w:lineRule="auto"/>
              <w:rPr>
                <w:rFonts w:cs="Times New Roman"/>
                <w:sz w:val="22"/>
              </w:rPr>
            </w:pPr>
            <w:r w:rsidRPr="0072616A">
              <w:rPr>
                <w:rFonts w:cs="Times New Roman"/>
                <w:sz w:val="22"/>
              </w:rPr>
              <w:t>Inputted values of ‘cost’</w:t>
            </w:r>
          </w:p>
        </w:tc>
        <w:tc>
          <w:tcPr>
            <w:tcW w:w="3191" w:type="dxa"/>
          </w:tcPr>
          <w:p w14:paraId="2F3904EA" w14:textId="77777777" w:rsidR="00E950CD" w:rsidRPr="0072616A" w:rsidRDefault="00E950CD" w:rsidP="0072616A">
            <w:pPr>
              <w:snapToGrid w:val="0"/>
              <w:spacing w:line="240" w:lineRule="auto"/>
              <w:rPr>
                <w:rFonts w:cs="Times New Roman"/>
                <w:sz w:val="22"/>
              </w:rPr>
            </w:pPr>
            <w:r w:rsidRPr="0072616A">
              <w:rPr>
                <w:rFonts w:cs="Times New Roman"/>
                <w:sz w:val="22"/>
              </w:rPr>
              <w:t>Facility Renting Cost</w:t>
            </w:r>
          </w:p>
        </w:tc>
        <w:tc>
          <w:tcPr>
            <w:tcW w:w="1824" w:type="dxa"/>
          </w:tcPr>
          <w:p w14:paraId="397E5242" w14:textId="77777777" w:rsidR="00E950CD" w:rsidRPr="0072616A" w:rsidRDefault="00E950CD" w:rsidP="0072616A">
            <w:pPr>
              <w:snapToGrid w:val="0"/>
              <w:spacing w:line="240" w:lineRule="auto"/>
              <w:jc w:val="center"/>
              <w:rPr>
                <w:rFonts w:cs="Times New Roman"/>
                <w:sz w:val="22"/>
              </w:rPr>
            </w:pPr>
            <w:proofErr w:type="spellStart"/>
            <w:r w:rsidRPr="0072616A">
              <w:rPr>
                <w:rFonts w:cs="Times New Roman"/>
                <w:i/>
                <w:iCs/>
                <w:sz w:val="22"/>
              </w:rPr>
              <w:t>C</w:t>
            </w:r>
            <w:r w:rsidRPr="0072616A">
              <w:rPr>
                <w:rFonts w:cs="Times New Roman"/>
                <w:i/>
                <w:iCs/>
                <w:sz w:val="22"/>
                <w:vertAlign w:val="superscript"/>
              </w:rPr>
              <w:t>fr</w:t>
            </w:r>
            <w:proofErr w:type="spellEnd"/>
          </w:p>
        </w:tc>
        <w:tc>
          <w:tcPr>
            <w:tcW w:w="2142" w:type="dxa"/>
          </w:tcPr>
          <w:p w14:paraId="3E26923B" w14:textId="77777777" w:rsidR="00E950CD" w:rsidRPr="0072616A" w:rsidRDefault="00E950CD" w:rsidP="0072616A">
            <w:pPr>
              <w:snapToGrid w:val="0"/>
              <w:spacing w:line="240" w:lineRule="auto"/>
              <w:jc w:val="center"/>
              <w:rPr>
                <w:rFonts w:cs="Times New Roman"/>
                <w:sz w:val="22"/>
              </w:rPr>
            </w:pPr>
            <w:r w:rsidRPr="0072616A">
              <w:rPr>
                <w:rFonts w:cs="Times New Roman"/>
                <w:sz w:val="22"/>
              </w:rPr>
              <w:t>£200/day</w:t>
            </w:r>
          </w:p>
        </w:tc>
      </w:tr>
      <w:tr w:rsidR="00E950CD" w:rsidRPr="0072616A" w14:paraId="7BC97132" w14:textId="77777777" w:rsidTr="001E2DB9">
        <w:tc>
          <w:tcPr>
            <w:tcW w:w="1838" w:type="dxa"/>
            <w:vMerge/>
          </w:tcPr>
          <w:p w14:paraId="5E84FBC6" w14:textId="77777777" w:rsidR="00E950CD" w:rsidRPr="0072616A" w:rsidRDefault="00E950CD" w:rsidP="0072616A">
            <w:pPr>
              <w:snapToGrid w:val="0"/>
              <w:spacing w:line="240" w:lineRule="auto"/>
              <w:rPr>
                <w:rFonts w:cs="Times New Roman"/>
                <w:sz w:val="22"/>
              </w:rPr>
            </w:pPr>
          </w:p>
        </w:tc>
        <w:tc>
          <w:tcPr>
            <w:tcW w:w="3191" w:type="dxa"/>
          </w:tcPr>
          <w:p w14:paraId="2EBBB6DE" w14:textId="77777777" w:rsidR="00E950CD" w:rsidRPr="0072616A" w:rsidRDefault="00E950CD" w:rsidP="0072616A">
            <w:pPr>
              <w:snapToGrid w:val="0"/>
              <w:spacing w:line="240" w:lineRule="auto"/>
              <w:rPr>
                <w:rFonts w:cs="Times New Roman"/>
                <w:sz w:val="22"/>
              </w:rPr>
            </w:pPr>
            <w:r w:rsidRPr="0072616A">
              <w:rPr>
                <w:rFonts w:cs="Times New Roman"/>
                <w:sz w:val="22"/>
              </w:rPr>
              <w:t>Materials Using Cost</w:t>
            </w:r>
          </w:p>
        </w:tc>
        <w:tc>
          <w:tcPr>
            <w:tcW w:w="1824" w:type="dxa"/>
          </w:tcPr>
          <w:p w14:paraId="7263379D" w14:textId="77777777" w:rsidR="00E950CD" w:rsidRPr="0072616A" w:rsidRDefault="00E950CD" w:rsidP="0072616A">
            <w:pPr>
              <w:snapToGrid w:val="0"/>
              <w:spacing w:line="240" w:lineRule="auto"/>
              <w:jc w:val="center"/>
              <w:rPr>
                <w:rFonts w:cs="Times New Roman"/>
                <w:sz w:val="22"/>
              </w:rPr>
            </w:pPr>
            <w:proofErr w:type="spellStart"/>
            <w:r w:rsidRPr="0072616A">
              <w:rPr>
                <w:rFonts w:cs="Times New Roman"/>
                <w:i/>
                <w:iCs/>
                <w:sz w:val="22"/>
              </w:rPr>
              <w:t>C</w:t>
            </w:r>
            <w:r w:rsidRPr="0072616A">
              <w:rPr>
                <w:rFonts w:cs="Times New Roman"/>
                <w:i/>
                <w:iCs/>
                <w:sz w:val="22"/>
                <w:vertAlign w:val="superscript"/>
              </w:rPr>
              <w:t>mu</w:t>
            </w:r>
            <w:proofErr w:type="spellEnd"/>
          </w:p>
        </w:tc>
        <w:tc>
          <w:tcPr>
            <w:tcW w:w="2142" w:type="dxa"/>
          </w:tcPr>
          <w:p w14:paraId="6359817D" w14:textId="77777777" w:rsidR="00E950CD" w:rsidRPr="0072616A" w:rsidRDefault="00E950CD" w:rsidP="0072616A">
            <w:pPr>
              <w:snapToGrid w:val="0"/>
              <w:spacing w:line="240" w:lineRule="auto"/>
              <w:jc w:val="center"/>
              <w:rPr>
                <w:rFonts w:cs="Times New Roman"/>
                <w:sz w:val="22"/>
              </w:rPr>
            </w:pPr>
            <w:r w:rsidRPr="0072616A">
              <w:rPr>
                <w:rFonts w:cs="Times New Roman"/>
                <w:sz w:val="22"/>
              </w:rPr>
              <w:t>£20/day</w:t>
            </w:r>
          </w:p>
        </w:tc>
      </w:tr>
      <w:tr w:rsidR="00E950CD" w:rsidRPr="0072616A" w14:paraId="46F07B74" w14:textId="77777777" w:rsidTr="001E2DB9">
        <w:trPr>
          <w:trHeight w:val="55"/>
        </w:trPr>
        <w:tc>
          <w:tcPr>
            <w:tcW w:w="1838" w:type="dxa"/>
            <w:vMerge/>
          </w:tcPr>
          <w:p w14:paraId="7A0894BB" w14:textId="77777777" w:rsidR="00E950CD" w:rsidRPr="0072616A" w:rsidRDefault="00E950CD" w:rsidP="0072616A">
            <w:pPr>
              <w:snapToGrid w:val="0"/>
              <w:spacing w:line="240" w:lineRule="auto"/>
              <w:rPr>
                <w:rFonts w:cs="Times New Roman"/>
                <w:sz w:val="22"/>
              </w:rPr>
            </w:pPr>
          </w:p>
        </w:tc>
        <w:tc>
          <w:tcPr>
            <w:tcW w:w="3191" w:type="dxa"/>
          </w:tcPr>
          <w:p w14:paraId="363EB6A8" w14:textId="77777777" w:rsidR="00E950CD" w:rsidRPr="0072616A" w:rsidRDefault="00E950CD" w:rsidP="0072616A">
            <w:pPr>
              <w:snapToGrid w:val="0"/>
              <w:spacing w:line="240" w:lineRule="auto"/>
              <w:rPr>
                <w:rFonts w:cs="Times New Roman"/>
                <w:sz w:val="22"/>
              </w:rPr>
            </w:pPr>
            <w:r w:rsidRPr="0072616A">
              <w:rPr>
                <w:rFonts w:cs="Times New Roman"/>
                <w:sz w:val="22"/>
              </w:rPr>
              <w:t>UCC Operating Cost</w:t>
            </w:r>
          </w:p>
        </w:tc>
        <w:tc>
          <w:tcPr>
            <w:tcW w:w="1824" w:type="dxa"/>
          </w:tcPr>
          <w:p w14:paraId="1EF21417" w14:textId="77777777" w:rsidR="00E950CD" w:rsidRPr="0072616A" w:rsidRDefault="00E950CD" w:rsidP="0072616A">
            <w:pPr>
              <w:snapToGrid w:val="0"/>
              <w:spacing w:line="240" w:lineRule="auto"/>
              <w:jc w:val="center"/>
              <w:rPr>
                <w:rFonts w:cs="Times New Roman"/>
                <w:sz w:val="22"/>
              </w:rPr>
            </w:pPr>
            <w:proofErr w:type="spellStart"/>
            <w:r w:rsidRPr="0072616A">
              <w:rPr>
                <w:rFonts w:cs="Times New Roman"/>
                <w:sz w:val="22"/>
              </w:rPr>
              <w:t>C</w:t>
            </w:r>
            <w:r w:rsidRPr="0072616A">
              <w:rPr>
                <w:rFonts w:cs="Times New Roman"/>
                <w:i/>
                <w:iCs/>
                <w:sz w:val="22"/>
                <w:vertAlign w:val="superscript"/>
              </w:rPr>
              <w:t>oc</w:t>
            </w:r>
            <w:proofErr w:type="spellEnd"/>
          </w:p>
        </w:tc>
        <w:tc>
          <w:tcPr>
            <w:tcW w:w="2142" w:type="dxa"/>
          </w:tcPr>
          <w:p w14:paraId="47F96DA7" w14:textId="77777777" w:rsidR="00E950CD" w:rsidRPr="0072616A" w:rsidRDefault="00E950CD" w:rsidP="0072616A">
            <w:pPr>
              <w:snapToGrid w:val="0"/>
              <w:spacing w:line="240" w:lineRule="auto"/>
              <w:jc w:val="center"/>
              <w:rPr>
                <w:rFonts w:cs="Times New Roman"/>
                <w:sz w:val="22"/>
              </w:rPr>
            </w:pPr>
            <w:r w:rsidRPr="0072616A">
              <w:rPr>
                <w:rFonts w:cs="Times New Roman"/>
                <w:sz w:val="22"/>
              </w:rPr>
              <w:t>£150/day</w:t>
            </w:r>
          </w:p>
        </w:tc>
      </w:tr>
      <w:tr w:rsidR="00E950CD" w:rsidRPr="0072616A" w14:paraId="15FC75AB" w14:textId="77777777" w:rsidTr="001E2DB9">
        <w:trPr>
          <w:trHeight w:val="55"/>
        </w:trPr>
        <w:tc>
          <w:tcPr>
            <w:tcW w:w="1838" w:type="dxa"/>
            <w:vMerge/>
          </w:tcPr>
          <w:p w14:paraId="12BCFE8A" w14:textId="77777777" w:rsidR="00E950CD" w:rsidRPr="0072616A" w:rsidRDefault="00E950CD" w:rsidP="0072616A">
            <w:pPr>
              <w:snapToGrid w:val="0"/>
              <w:spacing w:line="240" w:lineRule="auto"/>
              <w:rPr>
                <w:rFonts w:cs="Times New Roman"/>
                <w:sz w:val="22"/>
              </w:rPr>
            </w:pPr>
          </w:p>
        </w:tc>
        <w:tc>
          <w:tcPr>
            <w:tcW w:w="3191" w:type="dxa"/>
          </w:tcPr>
          <w:p w14:paraId="777DAF19" w14:textId="77777777" w:rsidR="00E950CD" w:rsidRPr="0072616A" w:rsidRDefault="00E950CD" w:rsidP="0072616A">
            <w:pPr>
              <w:snapToGrid w:val="0"/>
              <w:spacing w:line="240" w:lineRule="auto"/>
              <w:rPr>
                <w:rFonts w:cs="Times New Roman"/>
                <w:sz w:val="22"/>
              </w:rPr>
            </w:pPr>
            <w:r w:rsidRPr="0072616A">
              <w:rPr>
                <w:rFonts w:cs="Times New Roman"/>
                <w:sz w:val="22"/>
              </w:rPr>
              <w:t>Other Overhead Cost</w:t>
            </w:r>
          </w:p>
        </w:tc>
        <w:tc>
          <w:tcPr>
            <w:tcW w:w="1824" w:type="dxa"/>
          </w:tcPr>
          <w:p w14:paraId="2BB3506A" w14:textId="77777777" w:rsidR="00E950CD" w:rsidRPr="0072616A" w:rsidRDefault="00E950CD" w:rsidP="0072616A">
            <w:pPr>
              <w:snapToGrid w:val="0"/>
              <w:spacing w:line="240" w:lineRule="auto"/>
              <w:jc w:val="center"/>
              <w:rPr>
                <w:rFonts w:cs="Times New Roman"/>
                <w:sz w:val="22"/>
              </w:rPr>
            </w:pPr>
            <w:proofErr w:type="spellStart"/>
            <w:r w:rsidRPr="0072616A">
              <w:rPr>
                <w:rFonts w:cs="Times New Roman"/>
                <w:sz w:val="22"/>
              </w:rPr>
              <w:t>C</w:t>
            </w:r>
            <w:r w:rsidRPr="0072616A">
              <w:rPr>
                <w:rFonts w:cs="Times New Roman"/>
                <w:i/>
                <w:iCs/>
                <w:sz w:val="22"/>
                <w:vertAlign w:val="superscript"/>
              </w:rPr>
              <w:t>ov</w:t>
            </w:r>
            <w:proofErr w:type="spellEnd"/>
          </w:p>
        </w:tc>
        <w:tc>
          <w:tcPr>
            <w:tcW w:w="2142" w:type="dxa"/>
          </w:tcPr>
          <w:p w14:paraId="1920AF94" w14:textId="77777777" w:rsidR="00E950CD" w:rsidRPr="0072616A" w:rsidRDefault="00E950CD" w:rsidP="0072616A">
            <w:pPr>
              <w:snapToGrid w:val="0"/>
              <w:spacing w:line="240" w:lineRule="auto"/>
              <w:jc w:val="center"/>
              <w:rPr>
                <w:rFonts w:cs="Times New Roman"/>
                <w:sz w:val="22"/>
              </w:rPr>
            </w:pPr>
            <w:r w:rsidRPr="0072616A">
              <w:rPr>
                <w:rFonts w:cs="Times New Roman"/>
                <w:sz w:val="22"/>
              </w:rPr>
              <w:t>£10/day</w:t>
            </w:r>
          </w:p>
        </w:tc>
      </w:tr>
      <w:tr w:rsidR="00E950CD" w:rsidRPr="0072616A" w14:paraId="3D2C11C7" w14:textId="77777777" w:rsidTr="001E2DB9">
        <w:trPr>
          <w:trHeight w:val="55"/>
        </w:trPr>
        <w:tc>
          <w:tcPr>
            <w:tcW w:w="1838" w:type="dxa"/>
          </w:tcPr>
          <w:p w14:paraId="113ADDBE" w14:textId="77777777" w:rsidR="00E950CD" w:rsidRPr="0072616A" w:rsidRDefault="00E950CD" w:rsidP="0072616A">
            <w:pPr>
              <w:snapToGrid w:val="0"/>
              <w:spacing w:line="240" w:lineRule="auto"/>
              <w:rPr>
                <w:rFonts w:cs="Times New Roman"/>
                <w:sz w:val="22"/>
              </w:rPr>
            </w:pPr>
            <w:r w:rsidRPr="0072616A">
              <w:rPr>
                <w:rFonts w:cs="Times New Roman"/>
                <w:sz w:val="22"/>
              </w:rPr>
              <w:t>Price Charging</w:t>
            </w:r>
          </w:p>
        </w:tc>
        <w:tc>
          <w:tcPr>
            <w:tcW w:w="3191" w:type="dxa"/>
          </w:tcPr>
          <w:p w14:paraId="1A59737B" w14:textId="77777777" w:rsidR="00E950CD" w:rsidRPr="0072616A" w:rsidRDefault="00E950CD" w:rsidP="0072616A">
            <w:pPr>
              <w:snapToGrid w:val="0"/>
              <w:spacing w:line="240" w:lineRule="auto"/>
              <w:rPr>
                <w:rFonts w:cs="Times New Roman"/>
                <w:sz w:val="22"/>
              </w:rPr>
            </w:pPr>
            <w:r w:rsidRPr="0072616A">
              <w:rPr>
                <w:rFonts w:cs="Times New Roman"/>
                <w:sz w:val="22"/>
              </w:rPr>
              <w:t>------------------</w:t>
            </w:r>
          </w:p>
        </w:tc>
        <w:tc>
          <w:tcPr>
            <w:tcW w:w="1824" w:type="dxa"/>
          </w:tcPr>
          <w:p w14:paraId="74AFE4A9" w14:textId="77777777" w:rsidR="00E950CD" w:rsidRPr="0072616A" w:rsidRDefault="00E950CD" w:rsidP="0072616A">
            <w:pPr>
              <w:snapToGrid w:val="0"/>
              <w:spacing w:line="240" w:lineRule="auto"/>
              <w:jc w:val="center"/>
              <w:rPr>
                <w:rFonts w:cs="Times New Roman"/>
                <w:i/>
                <w:iCs/>
                <w:sz w:val="22"/>
              </w:rPr>
            </w:pPr>
            <w:proofErr w:type="spellStart"/>
            <w:r w:rsidRPr="0072616A">
              <w:rPr>
                <w:rFonts w:cs="Times New Roman"/>
                <w:i/>
                <w:iCs/>
                <w:sz w:val="22"/>
              </w:rPr>
              <w:t>Pr</w:t>
            </w:r>
            <w:proofErr w:type="spellEnd"/>
          </w:p>
        </w:tc>
        <w:tc>
          <w:tcPr>
            <w:tcW w:w="2142" w:type="dxa"/>
          </w:tcPr>
          <w:p w14:paraId="1AE42354" w14:textId="77777777" w:rsidR="00E950CD" w:rsidRPr="0072616A" w:rsidRDefault="00E950CD" w:rsidP="0072616A">
            <w:pPr>
              <w:snapToGrid w:val="0"/>
              <w:spacing w:line="240" w:lineRule="auto"/>
              <w:jc w:val="center"/>
              <w:rPr>
                <w:rFonts w:cs="Times New Roman"/>
                <w:sz w:val="22"/>
              </w:rPr>
            </w:pPr>
            <w:r w:rsidRPr="0072616A">
              <w:rPr>
                <w:rFonts w:cs="Times New Roman"/>
                <w:sz w:val="22"/>
              </w:rPr>
              <w:t>£0.03/KG</w:t>
            </w:r>
          </w:p>
        </w:tc>
      </w:tr>
    </w:tbl>
    <w:p w14:paraId="5EB2C4FA" w14:textId="3F1E6EBA" w:rsidR="00E950CD" w:rsidRPr="00737239" w:rsidRDefault="007B5959" w:rsidP="000A4E8C">
      <w:pPr>
        <w:pStyle w:val="Caption"/>
        <w:spacing w:after="0" w:line="360" w:lineRule="auto"/>
        <w:rPr>
          <w:rFonts w:cs="Times New Roman"/>
        </w:rPr>
      </w:pPr>
      <w:bookmarkStart w:id="708" w:name="_Ref44955230"/>
      <w:bookmarkStart w:id="709" w:name="_Toc46053565"/>
      <w:bookmarkStart w:id="710" w:name="_Toc46093814"/>
      <w:bookmarkStart w:id="711" w:name="_Toc66698781"/>
      <w:r>
        <w:rPr>
          <w:rFonts w:cs="Times New Roman"/>
        </w:rPr>
        <w:t>Table</w:t>
      </w:r>
      <w:r w:rsidR="00E950CD"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4</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5</w:t>
      </w:r>
      <w:r w:rsidR="00FE10DA">
        <w:rPr>
          <w:rFonts w:cs="Times New Roman"/>
        </w:rPr>
        <w:fldChar w:fldCharType="end"/>
      </w:r>
      <w:bookmarkEnd w:id="708"/>
      <w:r w:rsidR="00AF217C">
        <w:rPr>
          <w:rFonts w:cs="Times New Roman"/>
        </w:rPr>
        <w:t xml:space="preserve">: </w:t>
      </w:r>
      <w:r w:rsidR="00E950CD" w:rsidRPr="008903D1">
        <w:rPr>
          <w:rFonts w:cs="Times New Roman"/>
        </w:rPr>
        <w:t xml:space="preserve">Assumed </w:t>
      </w:r>
      <w:proofErr w:type="gramStart"/>
      <w:r w:rsidR="00E950CD" w:rsidRPr="008903D1">
        <w:rPr>
          <w:rFonts w:cs="Times New Roman"/>
        </w:rPr>
        <w:t>Data</w:t>
      </w:r>
      <w:bookmarkEnd w:id="709"/>
      <w:bookmarkEnd w:id="710"/>
      <w:bookmarkEnd w:id="711"/>
      <w:proofErr w:type="gramEnd"/>
    </w:p>
    <w:p w14:paraId="0B3B81D1" w14:textId="7DD7C4A1" w:rsidR="00E950CD" w:rsidRPr="008903D1" w:rsidRDefault="00E950CD" w:rsidP="000A4E8C">
      <w:pPr>
        <w:pStyle w:val="Heading3"/>
        <w:spacing w:line="360" w:lineRule="auto"/>
        <w:rPr>
          <w:rFonts w:cs="Times New Roman"/>
        </w:rPr>
      </w:pPr>
      <w:bookmarkStart w:id="712" w:name="_Toc46053455"/>
      <w:bookmarkStart w:id="713" w:name="_Toc46093369"/>
      <w:bookmarkStart w:id="714" w:name="_Toc46093652"/>
      <w:bookmarkStart w:id="715" w:name="_Toc66703228"/>
      <w:r w:rsidRPr="008903D1">
        <w:rPr>
          <w:rFonts w:cs="Times New Roman"/>
        </w:rPr>
        <w:t xml:space="preserve">Data </w:t>
      </w:r>
      <w:bookmarkEnd w:id="712"/>
      <w:bookmarkEnd w:id="713"/>
      <w:bookmarkEnd w:id="714"/>
      <w:r w:rsidR="00DA4498">
        <w:rPr>
          <w:rFonts w:cs="Times New Roman"/>
        </w:rPr>
        <w:t>o</w:t>
      </w:r>
      <w:r w:rsidR="00DA4498" w:rsidRPr="008903D1">
        <w:rPr>
          <w:rFonts w:cs="Times New Roman"/>
        </w:rPr>
        <w:t>utput</w:t>
      </w:r>
      <w:bookmarkEnd w:id="715"/>
    </w:p>
    <w:p w14:paraId="21514749" w14:textId="65F9B1F2" w:rsidR="00666BBE" w:rsidRPr="00D92114" w:rsidRDefault="006C6588" w:rsidP="00AD7DBC">
      <w:pPr>
        <w:spacing w:before="240" w:after="240" w:line="360" w:lineRule="auto"/>
        <w:rPr>
          <w:rFonts w:cs="Times New Roman"/>
          <w:szCs w:val="24"/>
        </w:rPr>
      </w:pPr>
      <w:r>
        <w:rPr>
          <w:rFonts w:cs="Times New Roman"/>
          <w:szCs w:val="24"/>
        </w:rPr>
        <w:fldChar w:fldCharType="begin"/>
      </w:r>
      <w:r>
        <w:rPr>
          <w:rFonts w:cs="Times New Roman"/>
          <w:szCs w:val="24"/>
        </w:rPr>
        <w:instrText xml:space="preserve"> REF _Ref44955694 \h </w:instrText>
      </w:r>
      <w:r>
        <w:rPr>
          <w:rFonts w:cs="Times New Roman"/>
          <w:szCs w:val="24"/>
        </w:rPr>
      </w:r>
      <w:r>
        <w:rPr>
          <w:rFonts w:cs="Times New Roman"/>
          <w:szCs w:val="24"/>
        </w:rPr>
        <w:fldChar w:fldCharType="separate"/>
      </w:r>
      <w:r w:rsidR="0005064B">
        <w:rPr>
          <w:rFonts w:cs="Times New Roman"/>
        </w:rPr>
        <w:t>Table</w:t>
      </w:r>
      <w:r w:rsidR="0005064B" w:rsidRPr="00737239">
        <w:rPr>
          <w:rFonts w:cs="Times New Roman"/>
        </w:rPr>
        <w:t xml:space="preserve"> </w:t>
      </w:r>
      <w:r w:rsidR="0005064B">
        <w:rPr>
          <w:rFonts w:cs="Times New Roman"/>
          <w:noProof/>
        </w:rPr>
        <w:t>4</w:t>
      </w:r>
      <w:r w:rsidR="0005064B">
        <w:rPr>
          <w:rFonts w:cs="Times New Roman"/>
        </w:rPr>
        <w:noBreakHyphen/>
      </w:r>
      <w:r w:rsidR="0005064B">
        <w:rPr>
          <w:rFonts w:cs="Times New Roman"/>
          <w:noProof/>
        </w:rPr>
        <w:t>6</w:t>
      </w:r>
      <w:r>
        <w:rPr>
          <w:rFonts w:cs="Times New Roman"/>
          <w:szCs w:val="24"/>
        </w:rPr>
        <w:fldChar w:fldCharType="end"/>
      </w:r>
      <w:r w:rsidR="00BB1FA5">
        <w:rPr>
          <w:rFonts w:cs="Times New Roman"/>
          <w:szCs w:val="24"/>
        </w:rPr>
        <w:t xml:space="preserve"> </w:t>
      </w:r>
      <w:r w:rsidR="00E950CD" w:rsidRPr="008903D1">
        <w:rPr>
          <w:rFonts w:cs="Times New Roman"/>
          <w:szCs w:val="24"/>
        </w:rPr>
        <w:t>illustrates the output of the</w:t>
      </w:r>
      <w:r w:rsidR="0029786A">
        <w:rPr>
          <w:rFonts w:cs="Times New Roman"/>
          <w:szCs w:val="24"/>
        </w:rPr>
        <w:t xml:space="preserve"> experiment</w:t>
      </w:r>
      <w:r w:rsidR="00E950CD" w:rsidRPr="008903D1">
        <w:rPr>
          <w:rFonts w:cs="Times New Roman"/>
          <w:szCs w:val="24"/>
        </w:rPr>
        <w:t>. Based on these data</w:t>
      </w:r>
      <w:r w:rsidR="002E1077">
        <w:rPr>
          <w:rFonts w:cs="Times New Roman"/>
          <w:szCs w:val="24"/>
        </w:rPr>
        <w:t xml:space="preserve"> of the UCC’s cost</w:t>
      </w:r>
      <w:r w:rsidR="00E950CD" w:rsidRPr="008903D1">
        <w:rPr>
          <w:rFonts w:cs="Times New Roman"/>
          <w:szCs w:val="24"/>
        </w:rPr>
        <w:t>, a final report of the financial status of UCC will be produced to the planners.</w:t>
      </w:r>
      <w:r w:rsidR="00AD7DBC" w:rsidRPr="00AD7DBC">
        <w:rPr>
          <w:rFonts w:cs="Times New Roman"/>
        </w:rPr>
        <w:t xml:space="preserve"> </w:t>
      </w:r>
      <w:r w:rsidR="00AD7DBC">
        <w:rPr>
          <w:rFonts w:cs="Times New Roman" w:hint="eastAsia"/>
          <w:szCs w:val="24"/>
        </w:rPr>
        <w:t>P</w:t>
      </w:r>
      <w:r w:rsidR="00AD7DBC" w:rsidRPr="008903D1">
        <w:rPr>
          <w:rFonts w:cs="Times New Roman"/>
          <w:szCs w:val="24"/>
        </w:rPr>
        <w:t xml:space="preserve">lanners can understand the UCC cannot generate profits as the fixed cost is high. </w:t>
      </w:r>
      <w:r w:rsidR="00AD7DBC">
        <w:rPr>
          <w:rFonts w:cs="Times New Roman"/>
          <w:szCs w:val="24"/>
        </w:rPr>
        <w:t>F</w:t>
      </w:r>
      <w:r w:rsidR="00AD7DBC">
        <w:rPr>
          <w:rFonts w:cs="Times New Roman" w:hint="eastAsia"/>
          <w:szCs w:val="24"/>
        </w:rPr>
        <w:t>urthermore</w:t>
      </w:r>
      <w:r w:rsidR="00AD7DBC" w:rsidRPr="008903D1">
        <w:rPr>
          <w:rFonts w:cs="Times New Roman"/>
          <w:szCs w:val="24"/>
        </w:rPr>
        <w:t xml:space="preserve">, planners can also notice that the income is more than the variable cost, </w:t>
      </w:r>
      <w:proofErr w:type="gramStart"/>
      <w:r w:rsidR="00AD7DBC" w:rsidRPr="008903D1">
        <w:rPr>
          <w:rFonts w:cs="Times New Roman"/>
          <w:szCs w:val="24"/>
        </w:rPr>
        <w:t>in order to</w:t>
      </w:r>
      <w:proofErr w:type="gramEnd"/>
      <w:r w:rsidR="00AD7DBC" w:rsidRPr="008903D1">
        <w:rPr>
          <w:rFonts w:cs="Times New Roman"/>
          <w:szCs w:val="24"/>
        </w:rPr>
        <w:t xml:space="preserve"> achieve the break-even, UCC should attracted more numbers of users.</w:t>
      </w:r>
    </w:p>
    <w:tbl>
      <w:tblPr>
        <w:tblStyle w:val="TableGrid"/>
        <w:tblW w:w="0" w:type="auto"/>
        <w:tblLook w:val="04A0" w:firstRow="1" w:lastRow="0" w:firstColumn="1" w:lastColumn="0" w:noHBand="0" w:noVBand="1"/>
      </w:tblPr>
      <w:tblGrid>
        <w:gridCol w:w="2155"/>
        <w:gridCol w:w="2250"/>
        <w:gridCol w:w="2430"/>
        <w:gridCol w:w="2070"/>
      </w:tblGrid>
      <w:tr w:rsidR="00E950CD" w:rsidRPr="00AD7DBC" w14:paraId="4D91FE7B" w14:textId="77777777" w:rsidTr="00D92114">
        <w:tc>
          <w:tcPr>
            <w:tcW w:w="2155" w:type="dxa"/>
            <w:vAlign w:val="center"/>
          </w:tcPr>
          <w:p w14:paraId="0123C2B9" w14:textId="77777777" w:rsidR="00E950CD" w:rsidRPr="00AD7DBC" w:rsidRDefault="00E950CD" w:rsidP="00D92114">
            <w:pPr>
              <w:snapToGrid w:val="0"/>
              <w:spacing w:line="240" w:lineRule="auto"/>
              <w:jc w:val="center"/>
              <w:rPr>
                <w:rFonts w:cs="Times New Roman"/>
                <w:b/>
                <w:bCs/>
                <w:sz w:val="22"/>
              </w:rPr>
            </w:pPr>
            <w:r w:rsidRPr="00AD7DBC">
              <w:rPr>
                <w:rFonts w:cs="Times New Roman"/>
                <w:b/>
                <w:bCs/>
                <w:sz w:val="22"/>
              </w:rPr>
              <w:t>Types of the Cost</w:t>
            </w:r>
          </w:p>
        </w:tc>
        <w:tc>
          <w:tcPr>
            <w:tcW w:w="4680" w:type="dxa"/>
            <w:gridSpan w:val="2"/>
          </w:tcPr>
          <w:p w14:paraId="53F1F332" w14:textId="77777777" w:rsidR="00E950CD" w:rsidRPr="00AD7DBC" w:rsidRDefault="00E950CD" w:rsidP="00D92114">
            <w:pPr>
              <w:snapToGrid w:val="0"/>
              <w:spacing w:line="240" w:lineRule="auto"/>
              <w:jc w:val="center"/>
              <w:rPr>
                <w:rFonts w:cs="Times New Roman"/>
                <w:b/>
                <w:bCs/>
                <w:sz w:val="22"/>
              </w:rPr>
            </w:pPr>
            <w:r w:rsidRPr="00AD7DBC">
              <w:rPr>
                <w:rFonts w:cs="Times New Roman"/>
                <w:b/>
                <w:bCs/>
                <w:sz w:val="22"/>
              </w:rPr>
              <w:t>Goods Movement Stage</w:t>
            </w:r>
          </w:p>
        </w:tc>
        <w:tc>
          <w:tcPr>
            <w:tcW w:w="2070" w:type="dxa"/>
          </w:tcPr>
          <w:p w14:paraId="040BA3A7" w14:textId="77777777" w:rsidR="00E950CD" w:rsidRPr="00AD7DBC" w:rsidRDefault="00E950CD" w:rsidP="00D92114">
            <w:pPr>
              <w:snapToGrid w:val="0"/>
              <w:spacing w:line="240" w:lineRule="auto"/>
              <w:jc w:val="center"/>
              <w:rPr>
                <w:rFonts w:cs="Times New Roman"/>
                <w:b/>
                <w:bCs/>
                <w:sz w:val="22"/>
              </w:rPr>
            </w:pPr>
            <w:r w:rsidRPr="00AD7DBC">
              <w:rPr>
                <w:rFonts w:cs="Times New Roman"/>
                <w:b/>
                <w:bCs/>
                <w:sz w:val="22"/>
              </w:rPr>
              <w:t>Value</w:t>
            </w:r>
          </w:p>
        </w:tc>
      </w:tr>
      <w:tr w:rsidR="00E950CD" w:rsidRPr="00AD7DBC" w14:paraId="7778B074" w14:textId="77777777" w:rsidTr="00D92114">
        <w:tc>
          <w:tcPr>
            <w:tcW w:w="2155" w:type="dxa"/>
            <w:vAlign w:val="center"/>
          </w:tcPr>
          <w:p w14:paraId="74DC9317" w14:textId="77777777" w:rsidR="00E950CD" w:rsidRPr="00AD7DBC" w:rsidRDefault="00E950CD" w:rsidP="00BC01E5">
            <w:pPr>
              <w:snapToGrid w:val="0"/>
              <w:spacing w:line="240" w:lineRule="auto"/>
              <w:rPr>
                <w:rFonts w:cs="Times New Roman"/>
                <w:sz w:val="22"/>
              </w:rPr>
            </w:pPr>
            <w:r w:rsidRPr="00AD7DBC">
              <w:rPr>
                <w:rFonts w:cs="Times New Roman"/>
                <w:sz w:val="22"/>
              </w:rPr>
              <w:t>Fixed cost</w:t>
            </w:r>
          </w:p>
        </w:tc>
        <w:tc>
          <w:tcPr>
            <w:tcW w:w="4680" w:type="dxa"/>
            <w:gridSpan w:val="2"/>
          </w:tcPr>
          <w:p w14:paraId="4D03D476" w14:textId="77777777" w:rsidR="00E950CD" w:rsidRPr="00AD7DBC" w:rsidRDefault="00E950CD" w:rsidP="00BC01E5">
            <w:pPr>
              <w:snapToGrid w:val="0"/>
              <w:spacing w:line="240" w:lineRule="auto"/>
              <w:jc w:val="center"/>
              <w:rPr>
                <w:rFonts w:cs="Times New Roman"/>
                <w:sz w:val="22"/>
              </w:rPr>
            </w:pPr>
            <w:r w:rsidRPr="00AD7DBC">
              <w:rPr>
                <w:rFonts w:cs="Times New Roman"/>
                <w:sz w:val="22"/>
              </w:rPr>
              <w:t>------------------</w:t>
            </w:r>
          </w:p>
        </w:tc>
        <w:tc>
          <w:tcPr>
            <w:tcW w:w="2070" w:type="dxa"/>
          </w:tcPr>
          <w:p w14:paraId="26FA9D7E" w14:textId="77777777" w:rsidR="00E950CD" w:rsidRPr="00AD7DBC" w:rsidRDefault="00E950CD" w:rsidP="00A23580">
            <w:pPr>
              <w:snapToGrid w:val="0"/>
              <w:spacing w:line="240" w:lineRule="auto"/>
              <w:jc w:val="right"/>
              <w:rPr>
                <w:rFonts w:cs="Times New Roman"/>
                <w:sz w:val="22"/>
              </w:rPr>
            </w:pPr>
            <w:r w:rsidRPr="00AD7DBC">
              <w:rPr>
                <w:rFonts w:cs="Times New Roman"/>
                <w:sz w:val="22"/>
              </w:rPr>
              <w:t>£380</w:t>
            </w:r>
          </w:p>
        </w:tc>
      </w:tr>
      <w:tr w:rsidR="00E950CD" w:rsidRPr="00AD7DBC" w14:paraId="526EF960" w14:textId="77777777" w:rsidTr="00B02837">
        <w:trPr>
          <w:trHeight w:val="80"/>
        </w:trPr>
        <w:tc>
          <w:tcPr>
            <w:tcW w:w="2155" w:type="dxa"/>
            <w:vMerge w:val="restart"/>
            <w:vAlign w:val="center"/>
          </w:tcPr>
          <w:p w14:paraId="6C164F7E" w14:textId="77777777" w:rsidR="00E950CD" w:rsidRPr="00AD7DBC" w:rsidRDefault="00E950CD" w:rsidP="00BC01E5">
            <w:pPr>
              <w:snapToGrid w:val="0"/>
              <w:spacing w:line="240" w:lineRule="auto"/>
              <w:rPr>
                <w:rFonts w:cs="Times New Roman"/>
                <w:sz w:val="22"/>
              </w:rPr>
            </w:pPr>
            <w:r w:rsidRPr="00AD7DBC">
              <w:rPr>
                <w:rFonts w:cs="Times New Roman"/>
                <w:sz w:val="22"/>
              </w:rPr>
              <w:t>Variable Cost</w:t>
            </w:r>
          </w:p>
        </w:tc>
        <w:tc>
          <w:tcPr>
            <w:tcW w:w="4680" w:type="dxa"/>
            <w:gridSpan w:val="2"/>
          </w:tcPr>
          <w:p w14:paraId="2EF490A2" w14:textId="77777777" w:rsidR="00E950CD" w:rsidRPr="00AD7DBC" w:rsidRDefault="00E950CD" w:rsidP="00BC01E5">
            <w:pPr>
              <w:snapToGrid w:val="0"/>
              <w:spacing w:line="240" w:lineRule="auto"/>
              <w:rPr>
                <w:rFonts w:cs="Times New Roman"/>
                <w:sz w:val="22"/>
              </w:rPr>
            </w:pPr>
            <w:r w:rsidRPr="00AD7DBC">
              <w:rPr>
                <w:rFonts w:cs="Times New Roman"/>
                <w:sz w:val="22"/>
              </w:rPr>
              <w:t>In-facility Cost</w:t>
            </w:r>
          </w:p>
        </w:tc>
        <w:tc>
          <w:tcPr>
            <w:tcW w:w="2070" w:type="dxa"/>
          </w:tcPr>
          <w:p w14:paraId="775D5411" w14:textId="77777777" w:rsidR="00E950CD" w:rsidRPr="00AD7DBC" w:rsidRDefault="00E950CD" w:rsidP="00A23580">
            <w:pPr>
              <w:snapToGrid w:val="0"/>
              <w:spacing w:line="240" w:lineRule="auto"/>
              <w:jc w:val="right"/>
              <w:rPr>
                <w:rFonts w:cs="Times New Roman"/>
                <w:sz w:val="22"/>
              </w:rPr>
            </w:pPr>
            <w:r w:rsidRPr="00AD7DBC">
              <w:rPr>
                <w:rFonts w:cs="Times New Roman"/>
                <w:sz w:val="22"/>
              </w:rPr>
              <w:t>£2.9</w:t>
            </w:r>
          </w:p>
        </w:tc>
      </w:tr>
      <w:tr w:rsidR="00E950CD" w:rsidRPr="00AD7DBC" w14:paraId="2E83FE66" w14:textId="77777777" w:rsidTr="00AD7DBC">
        <w:tc>
          <w:tcPr>
            <w:tcW w:w="2155" w:type="dxa"/>
            <w:vMerge/>
          </w:tcPr>
          <w:p w14:paraId="0661B29E" w14:textId="77777777" w:rsidR="00E950CD" w:rsidRPr="00AD7DBC" w:rsidRDefault="00E950CD" w:rsidP="00BC01E5">
            <w:pPr>
              <w:snapToGrid w:val="0"/>
              <w:spacing w:line="240" w:lineRule="auto"/>
              <w:rPr>
                <w:rFonts w:cs="Times New Roman"/>
                <w:sz w:val="22"/>
              </w:rPr>
            </w:pPr>
          </w:p>
        </w:tc>
        <w:tc>
          <w:tcPr>
            <w:tcW w:w="2250" w:type="dxa"/>
            <w:vMerge w:val="restart"/>
            <w:vAlign w:val="center"/>
          </w:tcPr>
          <w:p w14:paraId="6D0E0999" w14:textId="77777777" w:rsidR="00E950CD" w:rsidRPr="00AD7DBC" w:rsidRDefault="00E950CD" w:rsidP="00BC01E5">
            <w:pPr>
              <w:snapToGrid w:val="0"/>
              <w:spacing w:line="240" w:lineRule="auto"/>
              <w:rPr>
                <w:rFonts w:cs="Times New Roman"/>
                <w:sz w:val="22"/>
              </w:rPr>
            </w:pPr>
            <w:r w:rsidRPr="00AD7DBC">
              <w:rPr>
                <w:rFonts w:cs="Times New Roman"/>
                <w:sz w:val="22"/>
              </w:rPr>
              <w:t>On-road Cost</w:t>
            </w:r>
          </w:p>
        </w:tc>
        <w:tc>
          <w:tcPr>
            <w:tcW w:w="2430" w:type="dxa"/>
          </w:tcPr>
          <w:p w14:paraId="4E93273F" w14:textId="77777777" w:rsidR="00E950CD" w:rsidRPr="00AD7DBC" w:rsidRDefault="00E950CD" w:rsidP="00BC01E5">
            <w:pPr>
              <w:snapToGrid w:val="0"/>
              <w:spacing w:line="240" w:lineRule="auto"/>
              <w:rPr>
                <w:rFonts w:cs="Times New Roman"/>
                <w:sz w:val="22"/>
              </w:rPr>
            </w:pPr>
            <w:r w:rsidRPr="00AD7DBC">
              <w:rPr>
                <w:rFonts w:cs="Times New Roman"/>
                <w:sz w:val="22"/>
              </w:rPr>
              <w:t>Last-mile Delivery</w:t>
            </w:r>
          </w:p>
        </w:tc>
        <w:tc>
          <w:tcPr>
            <w:tcW w:w="2070" w:type="dxa"/>
          </w:tcPr>
          <w:p w14:paraId="7E556EAE" w14:textId="77777777" w:rsidR="00E950CD" w:rsidRPr="00AD7DBC" w:rsidRDefault="00E950CD" w:rsidP="00A23580">
            <w:pPr>
              <w:snapToGrid w:val="0"/>
              <w:spacing w:line="240" w:lineRule="auto"/>
              <w:jc w:val="right"/>
              <w:rPr>
                <w:rFonts w:cs="Times New Roman"/>
                <w:sz w:val="22"/>
              </w:rPr>
            </w:pPr>
            <w:r w:rsidRPr="00AD7DBC">
              <w:rPr>
                <w:rFonts w:cs="Times New Roman"/>
                <w:sz w:val="22"/>
              </w:rPr>
              <w:t>£18.6</w:t>
            </w:r>
          </w:p>
        </w:tc>
      </w:tr>
      <w:tr w:rsidR="00E950CD" w:rsidRPr="00AD7DBC" w14:paraId="21D618E5" w14:textId="77777777" w:rsidTr="00AD7DBC">
        <w:tc>
          <w:tcPr>
            <w:tcW w:w="2155" w:type="dxa"/>
            <w:vMerge/>
          </w:tcPr>
          <w:p w14:paraId="18C36C31" w14:textId="77777777" w:rsidR="00E950CD" w:rsidRPr="00AD7DBC" w:rsidRDefault="00E950CD" w:rsidP="00BC01E5">
            <w:pPr>
              <w:snapToGrid w:val="0"/>
              <w:spacing w:line="240" w:lineRule="auto"/>
              <w:rPr>
                <w:rFonts w:cs="Times New Roman"/>
                <w:sz w:val="22"/>
              </w:rPr>
            </w:pPr>
          </w:p>
        </w:tc>
        <w:tc>
          <w:tcPr>
            <w:tcW w:w="2250" w:type="dxa"/>
            <w:vMerge/>
          </w:tcPr>
          <w:p w14:paraId="1C1A652D" w14:textId="77777777" w:rsidR="00E950CD" w:rsidRPr="00AD7DBC" w:rsidRDefault="00E950CD" w:rsidP="00BC01E5">
            <w:pPr>
              <w:snapToGrid w:val="0"/>
              <w:spacing w:line="240" w:lineRule="auto"/>
              <w:rPr>
                <w:rFonts w:cs="Times New Roman"/>
                <w:sz w:val="22"/>
              </w:rPr>
            </w:pPr>
          </w:p>
        </w:tc>
        <w:tc>
          <w:tcPr>
            <w:tcW w:w="2430" w:type="dxa"/>
          </w:tcPr>
          <w:p w14:paraId="3BA82CDD" w14:textId="77777777" w:rsidR="00E950CD" w:rsidRPr="00AD7DBC" w:rsidRDefault="00E950CD" w:rsidP="00BC01E5">
            <w:pPr>
              <w:snapToGrid w:val="0"/>
              <w:spacing w:line="240" w:lineRule="auto"/>
              <w:rPr>
                <w:rFonts w:cs="Times New Roman"/>
                <w:sz w:val="22"/>
              </w:rPr>
            </w:pPr>
            <w:r w:rsidRPr="00AD7DBC">
              <w:rPr>
                <w:rFonts w:cs="Times New Roman"/>
                <w:sz w:val="22"/>
              </w:rPr>
              <w:t>Goods Receipt</w:t>
            </w:r>
          </w:p>
        </w:tc>
        <w:tc>
          <w:tcPr>
            <w:tcW w:w="2070" w:type="dxa"/>
          </w:tcPr>
          <w:p w14:paraId="3DCDF8FF" w14:textId="77777777" w:rsidR="00E950CD" w:rsidRPr="00AD7DBC" w:rsidRDefault="00E950CD" w:rsidP="00A23580">
            <w:pPr>
              <w:snapToGrid w:val="0"/>
              <w:spacing w:line="240" w:lineRule="auto"/>
              <w:jc w:val="right"/>
              <w:rPr>
                <w:rFonts w:cs="Times New Roman"/>
                <w:sz w:val="22"/>
              </w:rPr>
            </w:pPr>
            <w:r w:rsidRPr="00AD7DBC">
              <w:rPr>
                <w:rFonts w:cs="Times New Roman"/>
                <w:sz w:val="22"/>
              </w:rPr>
              <w:t>£17.3</w:t>
            </w:r>
          </w:p>
        </w:tc>
      </w:tr>
      <w:tr w:rsidR="00E950CD" w:rsidRPr="00AD7DBC" w14:paraId="4405738C" w14:textId="77777777" w:rsidTr="00D92114">
        <w:tc>
          <w:tcPr>
            <w:tcW w:w="2155" w:type="dxa"/>
            <w:vMerge/>
          </w:tcPr>
          <w:p w14:paraId="2D85BCE5" w14:textId="77777777" w:rsidR="00E950CD" w:rsidRPr="00AD7DBC" w:rsidRDefault="00E950CD" w:rsidP="00BC01E5">
            <w:pPr>
              <w:snapToGrid w:val="0"/>
              <w:spacing w:line="240" w:lineRule="auto"/>
              <w:rPr>
                <w:rFonts w:cs="Times New Roman"/>
                <w:sz w:val="22"/>
              </w:rPr>
            </w:pPr>
          </w:p>
        </w:tc>
        <w:tc>
          <w:tcPr>
            <w:tcW w:w="4680" w:type="dxa"/>
            <w:gridSpan w:val="2"/>
          </w:tcPr>
          <w:p w14:paraId="7EAC5D67" w14:textId="77777777" w:rsidR="00E950CD" w:rsidRPr="00AD7DBC" w:rsidRDefault="00E950CD" w:rsidP="00BC01E5">
            <w:pPr>
              <w:snapToGrid w:val="0"/>
              <w:spacing w:line="240" w:lineRule="auto"/>
              <w:rPr>
                <w:rFonts w:cs="Times New Roman"/>
                <w:sz w:val="22"/>
              </w:rPr>
            </w:pPr>
            <w:r w:rsidRPr="00AD7DBC">
              <w:rPr>
                <w:rFonts w:cs="Times New Roman"/>
                <w:sz w:val="22"/>
              </w:rPr>
              <w:t>Total Variable Cost</w:t>
            </w:r>
          </w:p>
        </w:tc>
        <w:tc>
          <w:tcPr>
            <w:tcW w:w="2070" w:type="dxa"/>
          </w:tcPr>
          <w:p w14:paraId="35882BCF" w14:textId="77777777" w:rsidR="00E950CD" w:rsidRPr="00AD7DBC" w:rsidRDefault="00E950CD" w:rsidP="00A23580">
            <w:pPr>
              <w:snapToGrid w:val="0"/>
              <w:spacing w:line="240" w:lineRule="auto"/>
              <w:jc w:val="right"/>
              <w:rPr>
                <w:rFonts w:cs="Times New Roman"/>
                <w:sz w:val="22"/>
              </w:rPr>
            </w:pPr>
            <w:r w:rsidRPr="00AD7DBC">
              <w:rPr>
                <w:rFonts w:cs="Times New Roman"/>
                <w:sz w:val="22"/>
              </w:rPr>
              <w:t>£39.8</w:t>
            </w:r>
          </w:p>
        </w:tc>
      </w:tr>
      <w:tr w:rsidR="00E950CD" w:rsidRPr="00AD7DBC" w14:paraId="74D07333" w14:textId="77777777" w:rsidTr="00D92114">
        <w:tc>
          <w:tcPr>
            <w:tcW w:w="2155" w:type="dxa"/>
          </w:tcPr>
          <w:p w14:paraId="202EA96A" w14:textId="77777777" w:rsidR="00E950CD" w:rsidRPr="00AD7DBC" w:rsidRDefault="00E950CD" w:rsidP="00BC01E5">
            <w:pPr>
              <w:snapToGrid w:val="0"/>
              <w:spacing w:line="240" w:lineRule="auto"/>
              <w:rPr>
                <w:rFonts w:cs="Times New Roman"/>
                <w:sz w:val="22"/>
              </w:rPr>
            </w:pPr>
            <w:r w:rsidRPr="00AD7DBC">
              <w:rPr>
                <w:rFonts w:cs="Times New Roman"/>
                <w:sz w:val="22"/>
              </w:rPr>
              <w:t>Income</w:t>
            </w:r>
          </w:p>
        </w:tc>
        <w:tc>
          <w:tcPr>
            <w:tcW w:w="4680" w:type="dxa"/>
            <w:gridSpan w:val="2"/>
          </w:tcPr>
          <w:p w14:paraId="3925FC09" w14:textId="77777777" w:rsidR="00E950CD" w:rsidRPr="00AD7DBC" w:rsidRDefault="00E950CD" w:rsidP="00BC01E5">
            <w:pPr>
              <w:snapToGrid w:val="0"/>
              <w:spacing w:line="240" w:lineRule="auto"/>
              <w:jc w:val="center"/>
              <w:rPr>
                <w:rFonts w:cs="Times New Roman"/>
                <w:sz w:val="22"/>
              </w:rPr>
            </w:pPr>
            <w:r w:rsidRPr="00AD7DBC">
              <w:rPr>
                <w:rFonts w:cs="Times New Roman"/>
                <w:sz w:val="22"/>
              </w:rPr>
              <w:t>------------------</w:t>
            </w:r>
          </w:p>
        </w:tc>
        <w:tc>
          <w:tcPr>
            <w:tcW w:w="2070" w:type="dxa"/>
          </w:tcPr>
          <w:p w14:paraId="0142A56A" w14:textId="77777777" w:rsidR="00E950CD" w:rsidRPr="00AD7DBC" w:rsidRDefault="00E950CD" w:rsidP="00A23580">
            <w:pPr>
              <w:snapToGrid w:val="0"/>
              <w:spacing w:line="240" w:lineRule="auto"/>
              <w:jc w:val="right"/>
              <w:rPr>
                <w:rFonts w:cs="Times New Roman"/>
                <w:sz w:val="22"/>
              </w:rPr>
            </w:pPr>
            <w:r w:rsidRPr="00AD7DBC">
              <w:rPr>
                <w:rFonts w:cs="Times New Roman"/>
                <w:sz w:val="22"/>
              </w:rPr>
              <w:t>£79.9</w:t>
            </w:r>
          </w:p>
        </w:tc>
      </w:tr>
      <w:tr w:rsidR="00E950CD" w:rsidRPr="00AD7DBC" w14:paraId="62E2600C" w14:textId="77777777" w:rsidTr="00D92114">
        <w:tc>
          <w:tcPr>
            <w:tcW w:w="2155" w:type="dxa"/>
          </w:tcPr>
          <w:p w14:paraId="7BE0655C" w14:textId="77777777" w:rsidR="00E950CD" w:rsidRPr="00AD7DBC" w:rsidRDefault="00E950CD" w:rsidP="00BC01E5">
            <w:pPr>
              <w:snapToGrid w:val="0"/>
              <w:spacing w:line="240" w:lineRule="auto"/>
              <w:rPr>
                <w:rFonts w:cs="Times New Roman"/>
                <w:sz w:val="22"/>
              </w:rPr>
            </w:pPr>
            <w:r w:rsidRPr="00AD7DBC">
              <w:rPr>
                <w:rFonts w:cs="Times New Roman"/>
                <w:sz w:val="22"/>
              </w:rPr>
              <w:t>Gross Profit</w:t>
            </w:r>
          </w:p>
        </w:tc>
        <w:tc>
          <w:tcPr>
            <w:tcW w:w="4680" w:type="dxa"/>
            <w:gridSpan w:val="2"/>
          </w:tcPr>
          <w:p w14:paraId="6A9D6D23" w14:textId="77777777" w:rsidR="00E950CD" w:rsidRPr="00AD7DBC" w:rsidRDefault="00E950CD" w:rsidP="00BC01E5">
            <w:pPr>
              <w:snapToGrid w:val="0"/>
              <w:spacing w:line="240" w:lineRule="auto"/>
              <w:jc w:val="center"/>
              <w:rPr>
                <w:rFonts w:cs="Times New Roman"/>
                <w:sz w:val="22"/>
              </w:rPr>
            </w:pPr>
            <w:r w:rsidRPr="00AD7DBC">
              <w:rPr>
                <w:rFonts w:cs="Times New Roman"/>
                <w:sz w:val="22"/>
              </w:rPr>
              <w:t>------------------</w:t>
            </w:r>
          </w:p>
        </w:tc>
        <w:tc>
          <w:tcPr>
            <w:tcW w:w="2070" w:type="dxa"/>
          </w:tcPr>
          <w:p w14:paraId="3470B527" w14:textId="77777777" w:rsidR="00E950CD" w:rsidRPr="00AD7DBC" w:rsidRDefault="00E950CD" w:rsidP="00A23580">
            <w:pPr>
              <w:snapToGrid w:val="0"/>
              <w:spacing w:line="240" w:lineRule="auto"/>
              <w:jc w:val="right"/>
              <w:rPr>
                <w:rFonts w:cs="Times New Roman"/>
                <w:sz w:val="22"/>
              </w:rPr>
            </w:pPr>
            <w:r w:rsidRPr="00AD7DBC">
              <w:rPr>
                <w:rFonts w:cs="Times New Roman"/>
                <w:sz w:val="22"/>
              </w:rPr>
              <w:t>-£339.9</w:t>
            </w:r>
          </w:p>
        </w:tc>
      </w:tr>
    </w:tbl>
    <w:p w14:paraId="218BA61F" w14:textId="42147887" w:rsidR="00E950CD" w:rsidRPr="00737239" w:rsidRDefault="007B5959" w:rsidP="000A4E8C">
      <w:pPr>
        <w:pStyle w:val="Caption"/>
        <w:spacing w:after="0" w:line="360" w:lineRule="auto"/>
        <w:rPr>
          <w:rFonts w:cs="Times New Roman"/>
        </w:rPr>
      </w:pPr>
      <w:bookmarkStart w:id="716" w:name="_Ref44955694"/>
      <w:bookmarkStart w:id="717" w:name="_Ref44955689"/>
      <w:bookmarkStart w:id="718" w:name="_Toc46053566"/>
      <w:bookmarkStart w:id="719" w:name="_Toc46093815"/>
      <w:bookmarkStart w:id="720" w:name="_Toc66698782"/>
      <w:r>
        <w:rPr>
          <w:rFonts w:cs="Times New Roman"/>
        </w:rPr>
        <w:t>Table</w:t>
      </w:r>
      <w:r w:rsidR="00E950CD"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4</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6</w:t>
      </w:r>
      <w:r w:rsidR="00FE10DA">
        <w:rPr>
          <w:rFonts w:cs="Times New Roman"/>
        </w:rPr>
        <w:fldChar w:fldCharType="end"/>
      </w:r>
      <w:bookmarkEnd w:id="716"/>
      <w:r w:rsidR="00AF217C">
        <w:rPr>
          <w:rFonts w:cs="Times New Roman"/>
        </w:rPr>
        <w:t xml:space="preserve">: </w:t>
      </w:r>
      <w:r w:rsidR="00E950CD" w:rsidRPr="008903D1">
        <w:rPr>
          <w:rFonts w:cs="Times New Roman"/>
        </w:rPr>
        <w:t>Output of the Fixed and Variable Cost of UCC</w:t>
      </w:r>
      <w:bookmarkEnd w:id="717"/>
      <w:bookmarkEnd w:id="718"/>
      <w:bookmarkEnd w:id="719"/>
      <w:bookmarkEnd w:id="720"/>
    </w:p>
    <w:p w14:paraId="67750FB2" w14:textId="27A984BA" w:rsidR="007273C0" w:rsidRPr="00A96AC5" w:rsidRDefault="00A6684F" w:rsidP="000A4E8C">
      <w:pPr>
        <w:pStyle w:val="Heading2"/>
        <w:spacing w:after="120" w:line="360" w:lineRule="auto"/>
        <w:rPr>
          <w:rFonts w:cs="Times New Roman"/>
        </w:rPr>
      </w:pPr>
      <w:bookmarkStart w:id="721" w:name="_Toc34734562"/>
      <w:bookmarkStart w:id="722" w:name="_Toc46053456"/>
      <w:bookmarkStart w:id="723" w:name="_Toc46093370"/>
      <w:bookmarkStart w:id="724" w:name="_Toc46093653"/>
      <w:bookmarkStart w:id="725" w:name="_Toc66703229"/>
      <w:r>
        <w:rPr>
          <w:rFonts w:cs="Times New Roman"/>
        </w:rPr>
        <w:lastRenderedPageBreak/>
        <w:t xml:space="preserve">Chapter </w:t>
      </w:r>
      <w:r w:rsidR="007273C0" w:rsidRPr="00A96AC5">
        <w:rPr>
          <w:rFonts w:cs="Times New Roman"/>
        </w:rPr>
        <w:t>Summary</w:t>
      </w:r>
      <w:bookmarkEnd w:id="721"/>
      <w:bookmarkEnd w:id="722"/>
      <w:bookmarkEnd w:id="723"/>
      <w:bookmarkEnd w:id="724"/>
      <w:bookmarkEnd w:id="725"/>
    </w:p>
    <w:p w14:paraId="3E93731B" w14:textId="77777777" w:rsidR="001E06CC" w:rsidRDefault="007273C0" w:rsidP="00D92114">
      <w:pPr>
        <w:spacing w:after="240" w:line="360" w:lineRule="auto"/>
        <w:rPr>
          <w:rFonts w:cs="Times New Roman"/>
        </w:rPr>
      </w:pPr>
      <w:r w:rsidRPr="00A96AC5">
        <w:rPr>
          <w:rFonts w:cs="Times New Roman"/>
        </w:rPr>
        <w:t xml:space="preserve">The design of the UCC cost structure is based on fixed and variable costs. This chapter classifies the variable costs according to logistics activities (the status of goods movement), which includes the ‘in-facility’ and ‘on-road’ costs. Following </w:t>
      </w:r>
      <w:proofErr w:type="gramStart"/>
      <w:r w:rsidRPr="00A96AC5">
        <w:rPr>
          <w:rFonts w:cs="Times New Roman"/>
        </w:rPr>
        <w:t>the such</w:t>
      </w:r>
      <w:proofErr w:type="gramEnd"/>
      <w:r w:rsidRPr="00A96AC5">
        <w:rPr>
          <w:rFonts w:cs="Times New Roman"/>
        </w:rPr>
        <w:t xml:space="preserve"> framework, the formulae for calculating </w:t>
      </w:r>
      <w:r w:rsidR="00D10E33" w:rsidRPr="00A96AC5">
        <w:rPr>
          <w:rFonts w:cs="Times New Roman"/>
        </w:rPr>
        <w:t>these costs</w:t>
      </w:r>
      <w:r w:rsidRPr="00A96AC5">
        <w:rPr>
          <w:rFonts w:cs="Times New Roman"/>
        </w:rPr>
        <w:t xml:space="preserve"> are provided. The variables in the formula are related to logistics activities. Planners can easily obtain the values of these variables in the local context (e.g., the number of employees, salaries, expected working hours). A reliable cost estimation enables planners to avoid financial risk during the UCC planning phase. A cost estimation tool based on the real urban environment (</w:t>
      </w:r>
      <w:r w:rsidRPr="00A96AC5">
        <w:rPr>
          <w:rFonts w:cs="Times New Roman"/>
          <w:szCs w:val="24"/>
        </w:rPr>
        <w:t xml:space="preserve">urban morphology, expected consumer numbers, consumer locations) </w:t>
      </w:r>
      <w:r w:rsidRPr="00A96AC5">
        <w:rPr>
          <w:rFonts w:cs="Times New Roman"/>
        </w:rPr>
        <w:t xml:space="preserve">could improve the accuracy of the cost estimation. Such decision-making software is introduced in Chapter </w:t>
      </w:r>
      <w:r w:rsidR="009A701C">
        <w:rPr>
          <w:rFonts w:cs="Times New Roman"/>
        </w:rPr>
        <w:t>8</w:t>
      </w:r>
      <w:r w:rsidRPr="00A96AC5">
        <w:rPr>
          <w:rFonts w:cs="Times New Roman"/>
        </w:rPr>
        <w:t>.</w:t>
      </w:r>
      <w:r w:rsidR="00A73312">
        <w:rPr>
          <w:rFonts w:cs="Times New Roman"/>
        </w:rPr>
        <w:t xml:space="preserve"> </w:t>
      </w:r>
    </w:p>
    <w:p w14:paraId="141732FF" w14:textId="2C2C6528" w:rsidR="009A701C" w:rsidRPr="00A96AC5" w:rsidRDefault="009A701C" w:rsidP="00D92114">
      <w:pPr>
        <w:spacing w:after="240" w:line="360" w:lineRule="auto"/>
        <w:rPr>
          <w:rFonts w:cs="Times New Roman"/>
        </w:rPr>
      </w:pPr>
      <w:r>
        <w:rPr>
          <w:rFonts w:cs="Times New Roman"/>
        </w:rPr>
        <w:t xml:space="preserve">In the next </w:t>
      </w:r>
      <w:r w:rsidR="00A73312">
        <w:rPr>
          <w:rFonts w:cs="Times New Roman"/>
        </w:rPr>
        <w:t xml:space="preserve">chapter, </w:t>
      </w:r>
      <w:r w:rsidR="00830976">
        <w:rPr>
          <w:rFonts w:cs="Times New Roman"/>
        </w:rPr>
        <w:t>this research</w:t>
      </w:r>
      <w:r>
        <w:rPr>
          <w:rFonts w:cs="Times New Roman"/>
        </w:rPr>
        <w:t xml:space="preserve"> will introduce the stakeholders engagement </w:t>
      </w:r>
      <w:r w:rsidR="00F72BAB">
        <w:rPr>
          <w:rFonts w:cs="Times New Roman"/>
        </w:rPr>
        <w:t>outcome</w:t>
      </w:r>
      <w:r>
        <w:rPr>
          <w:rFonts w:cs="Times New Roman"/>
        </w:rPr>
        <w:t xml:space="preserve"> of </w:t>
      </w:r>
      <w:r w:rsidR="00F852CF">
        <w:rPr>
          <w:rFonts w:cs="Times New Roman"/>
        </w:rPr>
        <w:t xml:space="preserve">four UCCs, such </w:t>
      </w:r>
      <w:r w:rsidR="00B445E4">
        <w:rPr>
          <w:rFonts w:cs="Times New Roman"/>
        </w:rPr>
        <w:t xml:space="preserve">procedures can be as the next step of the cost estimations </w:t>
      </w:r>
      <w:r w:rsidR="00A73312">
        <w:rPr>
          <w:rFonts w:cs="Times New Roman"/>
        </w:rPr>
        <w:t>during the UCC planning stage.</w:t>
      </w:r>
      <w:r w:rsidR="001E06CC">
        <w:rPr>
          <w:rFonts w:cs="Times New Roman"/>
        </w:rPr>
        <w:t xml:space="preserve"> </w:t>
      </w:r>
    </w:p>
    <w:p w14:paraId="08355D3A" w14:textId="77777777" w:rsidR="00D10E33" w:rsidRDefault="00D10E33">
      <w:pPr>
        <w:rPr>
          <w:rFonts w:eastAsiaTheme="majorEastAsia" w:cs="Times New Roman"/>
          <w:b/>
          <w:bCs/>
          <w:color w:val="1F4E79" w:themeColor="accent1" w:themeShade="80"/>
          <w:kern w:val="44"/>
          <w:sz w:val="44"/>
          <w:szCs w:val="32"/>
        </w:rPr>
      </w:pPr>
      <w:bookmarkStart w:id="726" w:name="_Toc34734576"/>
      <w:r>
        <w:rPr>
          <w:rFonts w:cs="Times New Roman"/>
        </w:rPr>
        <w:br w:type="page"/>
      </w:r>
    </w:p>
    <w:p w14:paraId="24E079A2" w14:textId="658224AF" w:rsidR="00656367" w:rsidRPr="006C301D" w:rsidRDefault="00656367" w:rsidP="00656367">
      <w:pPr>
        <w:pStyle w:val="Heading1"/>
        <w:spacing w:after="0" w:afterAutospacing="0" w:line="360" w:lineRule="auto"/>
        <w:rPr>
          <w:rFonts w:cs="Times New Roman"/>
        </w:rPr>
      </w:pPr>
      <w:bookmarkStart w:id="727" w:name="_Toc46053457"/>
      <w:bookmarkStart w:id="728" w:name="_Toc46093371"/>
      <w:bookmarkStart w:id="729" w:name="_Toc46093654"/>
      <w:bookmarkStart w:id="730" w:name="_Toc66703230"/>
      <w:r w:rsidRPr="00802DC5">
        <w:rPr>
          <w:rFonts w:cs="Times New Roman"/>
        </w:rPr>
        <w:lastRenderedPageBreak/>
        <w:t>Stakeholder</w:t>
      </w:r>
      <w:r w:rsidR="00CC2162">
        <w:rPr>
          <w:rFonts w:cs="Times New Roman"/>
        </w:rPr>
        <w:t xml:space="preserve"> </w:t>
      </w:r>
      <w:r w:rsidRPr="00802DC5">
        <w:rPr>
          <w:rFonts w:cs="Times New Roman"/>
        </w:rPr>
        <w:t xml:space="preserve">engagement in the </w:t>
      </w:r>
      <w:r w:rsidR="00CC2162">
        <w:rPr>
          <w:rFonts w:cs="Times New Roman"/>
        </w:rPr>
        <w:t>urban consolidation centre</w:t>
      </w:r>
      <w:r>
        <w:rPr>
          <w:rFonts w:cs="Times New Roman"/>
        </w:rPr>
        <w:t xml:space="preserve"> </w:t>
      </w:r>
      <w:r w:rsidR="00CC2162">
        <w:rPr>
          <w:rFonts w:cs="Times New Roman"/>
        </w:rPr>
        <w:t>n</w:t>
      </w:r>
      <w:r>
        <w:rPr>
          <w:rFonts w:cs="Times New Roman"/>
        </w:rPr>
        <w:t>etworks</w:t>
      </w:r>
      <w:bookmarkEnd w:id="727"/>
      <w:bookmarkEnd w:id="728"/>
      <w:bookmarkEnd w:id="729"/>
      <w:bookmarkEnd w:id="730"/>
    </w:p>
    <w:p w14:paraId="52A70069" w14:textId="05D5FE7F" w:rsidR="00656367" w:rsidRPr="00A96AC5" w:rsidRDefault="00656367" w:rsidP="007F6877">
      <w:pPr>
        <w:spacing w:after="240" w:line="360" w:lineRule="auto"/>
        <w:rPr>
          <w:rFonts w:cs="Times New Roman"/>
        </w:rPr>
      </w:pPr>
      <w:r w:rsidRPr="00A96AC5">
        <w:rPr>
          <w:rFonts w:cs="Times New Roman"/>
        </w:rPr>
        <w:t xml:space="preserve">Although a UCC is a complex system with various stakeholders and a range of objectives, few studies have investigated the stakeholder engagement process. Specifically, </w:t>
      </w:r>
      <w:r w:rsidR="00C8270D">
        <w:rPr>
          <w:rFonts w:cs="Times New Roman"/>
        </w:rPr>
        <w:t>many studies of</w:t>
      </w:r>
      <w:r w:rsidRPr="00A96AC5">
        <w:rPr>
          <w:rFonts w:cs="Times New Roman"/>
        </w:rPr>
        <w:t xml:space="preserve"> stakeholders’ partnership</w:t>
      </w:r>
      <w:r w:rsidR="00994068">
        <w:rPr>
          <w:rFonts w:cs="Times New Roman"/>
        </w:rPr>
        <w:t>s</w:t>
      </w:r>
      <w:r w:rsidRPr="00A96AC5">
        <w:rPr>
          <w:rFonts w:cs="Times New Roman"/>
        </w:rPr>
        <w:t xml:space="preserve"> </w:t>
      </w:r>
      <w:r w:rsidR="00C8270D">
        <w:rPr>
          <w:rFonts w:cs="Times New Roman"/>
        </w:rPr>
        <w:t>are</w:t>
      </w:r>
      <w:r w:rsidRPr="00A96AC5">
        <w:rPr>
          <w:rFonts w:cs="Times New Roman"/>
        </w:rPr>
        <w:t xml:space="preserve"> </w:t>
      </w:r>
      <w:r w:rsidR="00F07A46">
        <w:rPr>
          <w:rFonts w:cs="Times New Roman"/>
        </w:rPr>
        <w:t>superficial</w:t>
      </w:r>
      <w:r w:rsidRPr="00A96AC5">
        <w:rPr>
          <w:rFonts w:cs="Times New Roman"/>
        </w:rPr>
        <w:t xml:space="preserve">, </w:t>
      </w:r>
      <w:r w:rsidR="005C36D0">
        <w:rPr>
          <w:rFonts w:cs="Times New Roman"/>
        </w:rPr>
        <w:t xml:space="preserve">and </w:t>
      </w:r>
      <w:r w:rsidRPr="00A96AC5">
        <w:rPr>
          <w:rFonts w:cs="Times New Roman"/>
        </w:rPr>
        <w:t xml:space="preserve">lack </w:t>
      </w:r>
      <w:r w:rsidR="002D7EC8">
        <w:rPr>
          <w:rFonts w:cs="Times New Roman"/>
        </w:rPr>
        <w:t>any</w:t>
      </w:r>
      <w:r w:rsidRPr="00A96AC5">
        <w:rPr>
          <w:rFonts w:cs="Times New Roman"/>
        </w:rPr>
        <w:t xml:space="preserve"> in-depth investigation that reveals the process of stakeholders</w:t>
      </w:r>
      <w:r w:rsidR="00EB292D">
        <w:rPr>
          <w:rFonts w:cs="Times New Roman"/>
        </w:rPr>
        <w:t>’</w:t>
      </w:r>
      <w:r w:rsidRPr="00A96AC5">
        <w:rPr>
          <w:rFonts w:cs="Times New Roman"/>
        </w:rPr>
        <w:t xml:space="preserve"> engagement in an UCC. Furthermore, many case studies are </w:t>
      </w:r>
      <w:r w:rsidR="00AC14AB">
        <w:rPr>
          <w:rFonts w:cs="Times New Roman"/>
        </w:rPr>
        <w:t>just</w:t>
      </w:r>
      <w:r w:rsidRPr="00A96AC5">
        <w:rPr>
          <w:rFonts w:cs="Times New Roman"/>
        </w:rPr>
        <w:t xml:space="preserve"> based on secondary </w:t>
      </w:r>
      <w:r w:rsidR="00F55AA6" w:rsidRPr="00A96AC5">
        <w:rPr>
          <w:rFonts w:cs="Times New Roman"/>
        </w:rPr>
        <w:t>data,</w:t>
      </w:r>
      <w:r w:rsidRPr="00A96AC5">
        <w:rPr>
          <w:rFonts w:cs="Times New Roman"/>
        </w:rPr>
        <w:t xml:space="preserve"> such as those conducted in </w:t>
      </w:r>
      <w:r w:rsidR="00D2717B">
        <w:rPr>
          <w:rFonts w:cs="Times New Roman"/>
        </w:rPr>
        <w:t>Parma</w:t>
      </w:r>
      <w:r w:rsidRPr="00A96AC5">
        <w:rPr>
          <w:rFonts w:cs="Times New Roman"/>
        </w:rPr>
        <w:t xml:space="preserve">, </w:t>
      </w:r>
      <w:r w:rsidR="00AC14AB">
        <w:rPr>
          <w:rFonts w:cs="Times New Roman"/>
        </w:rPr>
        <w:t>Br</w:t>
      </w:r>
      <w:r w:rsidR="00600D08">
        <w:rPr>
          <w:rFonts w:cs="Times New Roman"/>
        </w:rPr>
        <w:t>istol-Bath</w:t>
      </w:r>
      <w:r w:rsidRPr="00A96AC5">
        <w:rPr>
          <w:rFonts w:cs="Times New Roman"/>
        </w:rPr>
        <w:t xml:space="preserve">, </w:t>
      </w:r>
      <w:r w:rsidR="00BF03DC">
        <w:rPr>
          <w:rFonts w:cs="Times New Roman"/>
        </w:rPr>
        <w:t>Brussels</w:t>
      </w:r>
      <w:r w:rsidRPr="00A96AC5">
        <w:rPr>
          <w:rFonts w:cs="Times New Roman"/>
        </w:rPr>
        <w:t xml:space="preserve">, and the </w:t>
      </w:r>
      <w:r w:rsidR="00BF03DC" w:rsidRPr="00BF03DC">
        <w:rPr>
          <w:rFonts w:cs="Times New Roman"/>
        </w:rPr>
        <w:t>Nijmegen</w:t>
      </w:r>
      <w:r w:rsidRPr="00A96AC5">
        <w:rPr>
          <w:rFonts w:cs="Times New Roman"/>
        </w:rPr>
        <w:t>. In other words, new projects are rarely investigated. It is also noted that UCC cases outside Europe have seldom been examined. As a result, many of the findings on UCC stakeholder collaborations are similar, and it is difficult to obtain novel findings on stakeholder partnerships in different cultural and economic environments. To deal with these issues, this chapter conducts a comparative analysis of stakeholder engagement in UCCs in Sweden and China.</w:t>
      </w:r>
    </w:p>
    <w:p w14:paraId="63F9C8E5" w14:textId="77AE5C9E" w:rsidR="00656367" w:rsidRPr="00802DC5" w:rsidRDefault="00656367" w:rsidP="00F30887">
      <w:pPr>
        <w:spacing w:after="240" w:line="360" w:lineRule="auto"/>
        <w:rPr>
          <w:rFonts w:cs="Times New Roman"/>
        </w:rPr>
      </w:pPr>
      <w:r w:rsidRPr="00A96AC5">
        <w:rPr>
          <w:rFonts w:cs="Times New Roman"/>
        </w:rPr>
        <w:t>In this research, the analysis of stakeholder</w:t>
      </w:r>
      <w:r w:rsidR="00CF49E8">
        <w:rPr>
          <w:rFonts w:cs="Times New Roman" w:hint="eastAsia"/>
        </w:rPr>
        <w:t>s</w:t>
      </w:r>
      <w:r w:rsidRPr="00A96AC5">
        <w:rPr>
          <w:rFonts w:cs="Times New Roman"/>
        </w:rPr>
        <w:t xml:space="preserve"> </w:t>
      </w:r>
      <w:r w:rsidR="00CF49E8">
        <w:rPr>
          <w:rFonts w:cs="Times New Roman"/>
        </w:rPr>
        <w:t>engagement</w:t>
      </w:r>
      <w:r w:rsidRPr="00A96AC5">
        <w:rPr>
          <w:rFonts w:cs="Times New Roman"/>
        </w:rPr>
        <w:t xml:space="preserve"> employs the approach proposed by </w:t>
      </w:r>
      <w:r w:rsidR="00A22B02">
        <w:rPr>
          <w:rFonts w:cs="Times New Roman"/>
          <w:noProof/>
        </w:rPr>
        <w:fldChar w:fldCharType="begin"/>
      </w:r>
      <w:r w:rsidR="00647E79">
        <w:rPr>
          <w:rFonts w:cs="Times New Roman"/>
          <w:noProof/>
        </w:rPr>
        <w:instrText xml:space="preserve"> ADDIN EN.CITE &lt;EndNote&gt;&lt;Cite&gt;&lt;Author&gt;van den Bossche&lt;/Author&gt;&lt;Year&gt;2017&lt;/Year&gt;&lt;RecNum&gt;305&lt;/RecNum&gt;&lt;DisplayText&gt;(van den Bossche et al., 2017)&lt;/DisplayText&gt;&lt;record&gt;&lt;rec-number&gt;305&lt;/rec-number&gt;&lt;foreign-keys&gt;&lt;key app="EN" db-id="pzt5ep52hsedfpeext2pdfes0w0aswaewef2" timestamp="1605187999"&gt;305&lt;/key&gt;&lt;/foreign-keys&gt;&lt;ref-type name="Journal Article"&gt;17&lt;/ref-type&gt;&lt;contributors&gt;&lt;authors&gt;&lt;author&gt;van den Bossche, M&lt;/author&gt;&lt;author&gt;Vanelslander, T&lt;/author&gt;&lt;author&gt;Macário, R&lt;/author&gt;&lt;author&gt;Reis, V&lt;/author&gt;&lt;author&gt;Dablanc, L&lt;/author&gt;&lt;/authors&gt;&lt;/contributors&gt;&lt;titles&gt;&lt;title&gt;Engagement of stakeholders when implementing urban freight logistics policies&lt;/title&gt;&lt;/titles&gt;&lt;dates&gt;&lt;year&gt;2017&lt;/year&gt;&lt;/dates&gt;&lt;urls&gt;&lt;/urls&gt;&lt;/record&gt;&lt;/Cite&gt;&lt;/EndNote&gt;</w:instrText>
      </w:r>
      <w:r w:rsidR="00A22B02">
        <w:rPr>
          <w:rFonts w:cs="Times New Roman"/>
          <w:noProof/>
        </w:rPr>
        <w:fldChar w:fldCharType="separate"/>
      </w:r>
      <w:r w:rsidR="00A22B02">
        <w:rPr>
          <w:rFonts w:cs="Times New Roman"/>
          <w:noProof/>
        </w:rPr>
        <w:t>(van den Bossche et al., 2017)</w:t>
      </w:r>
      <w:r w:rsidR="00A22B02">
        <w:rPr>
          <w:rFonts w:cs="Times New Roman"/>
          <w:noProof/>
        </w:rPr>
        <w:fldChar w:fldCharType="end"/>
      </w:r>
      <w:r w:rsidRPr="00A96AC5">
        <w:rPr>
          <w:rFonts w:cs="Times New Roman"/>
          <w:noProof/>
        </w:rPr>
        <w:t xml:space="preserve"> </w:t>
      </w:r>
      <w:r w:rsidRPr="00A96AC5">
        <w:rPr>
          <w:rFonts w:cs="Times New Roman"/>
        </w:rPr>
        <w:t>(shown in</w:t>
      </w:r>
      <w:r w:rsidR="00E834DD">
        <w:rPr>
          <w:rFonts w:cs="Times New Roman"/>
        </w:rPr>
        <w:t xml:space="preserve"> </w:t>
      </w:r>
      <w:r w:rsidR="00E834DD">
        <w:rPr>
          <w:rFonts w:cs="Times New Roman"/>
        </w:rPr>
        <w:fldChar w:fldCharType="begin"/>
      </w:r>
      <w:r w:rsidR="00E834DD">
        <w:rPr>
          <w:rFonts w:cs="Times New Roman"/>
        </w:rPr>
        <w:instrText xml:space="preserve"> REF _Ref44970621 \h </w:instrText>
      </w:r>
      <w:r w:rsidR="00E834DD">
        <w:rPr>
          <w:rFonts w:cs="Times New Roman"/>
        </w:rPr>
      </w:r>
      <w:r w:rsidR="00E834DD">
        <w:rPr>
          <w:rFonts w:cs="Times New Roman"/>
        </w:rPr>
        <w:fldChar w:fldCharType="separate"/>
      </w:r>
      <w:r w:rsidR="0005064B" w:rsidRPr="00737239">
        <w:rPr>
          <w:rFonts w:cs="Times New Roman"/>
        </w:rPr>
        <w:t xml:space="preserve">Figure </w:t>
      </w:r>
      <w:r w:rsidR="0005064B">
        <w:rPr>
          <w:rFonts w:cs="Times New Roman"/>
          <w:noProof/>
        </w:rPr>
        <w:t>5</w:t>
      </w:r>
      <w:r w:rsidR="0005064B">
        <w:rPr>
          <w:rFonts w:cs="Times New Roman"/>
        </w:rPr>
        <w:noBreakHyphen/>
      </w:r>
      <w:r w:rsidR="0005064B">
        <w:rPr>
          <w:rFonts w:cs="Times New Roman"/>
          <w:noProof/>
        </w:rPr>
        <w:t>1</w:t>
      </w:r>
      <w:r w:rsidR="00E834DD">
        <w:rPr>
          <w:rFonts w:cs="Times New Roman"/>
        </w:rPr>
        <w:fldChar w:fldCharType="end"/>
      </w:r>
      <w:r w:rsidR="007C43DB" w:rsidRPr="008903D1">
        <w:rPr>
          <w:rFonts w:cs="Times New Roman"/>
        </w:rPr>
        <w:t>).</w:t>
      </w:r>
      <w:r w:rsidR="007C43DB">
        <w:rPr>
          <w:rFonts w:cs="Times New Roman"/>
        </w:rPr>
        <w:t xml:space="preserve"> Since</w:t>
      </w:r>
      <w:r w:rsidR="00EA3A1C">
        <w:rPr>
          <w:rFonts w:cs="Times New Roman"/>
        </w:rPr>
        <w:t xml:space="preserve"> the four UCC</w:t>
      </w:r>
      <w:r w:rsidR="00563415">
        <w:rPr>
          <w:rFonts w:cs="Times New Roman"/>
        </w:rPr>
        <w:t>s</w:t>
      </w:r>
      <w:r w:rsidR="00EA3A1C">
        <w:rPr>
          <w:rFonts w:cs="Times New Roman"/>
        </w:rPr>
        <w:t xml:space="preserve"> are already in operation, </w:t>
      </w:r>
      <w:r w:rsidR="00830976">
        <w:rPr>
          <w:rFonts w:cs="Times New Roman"/>
        </w:rPr>
        <w:t>this chapter</w:t>
      </w:r>
      <w:r w:rsidR="00374C88">
        <w:rPr>
          <w:rFonts w:cs="Times New Roman"/>
        </w:rPr>
        <w:t xml:space="preserve"> did not monitor their stakeholders engagement process.</w:t>
      </w:r>
      <w:r w:rsidR="002A62A8">
        <w:rPr>
          <w:rFonts w:cs="Times New Roman"/>
        </w:rPr>
        <w:t xml:space="preserve"> </w:t>
      </w:r>
      <w:r w:rsidR="00662550">
        <w:rPr>
          <w:rFonts w:cs="Times New Roman"/>
        </w:rPr>
        <w:t>C</w:t>
      </w:r>
      <w:r w:rsidR="00FE0498">
        <w:rPr>
          <w:rFonts w:cs="Times New Roman"/>
        </w:rPr>
        <w:t>onsequent</w:t>
      </w:r>
      <w:r w:rsidR="00662550">
        <w:rPr>
          <w:rFonts w:cs="Times New Roman"/>
        </w:rPr>
        <w:t>ly, t</w:t>
      </w:r>
      <w:r w:rsidR="001F610A">
        <w:rPr>
          <w:rFonts w:cs="Times New Roman"/>
        </w:rPr>
        <w:t xml:space="preserve">his study </w:t>
      </w:r>
      <w:r w:rsidR="00662550">
        <w:rPr>
          <w:rFonts w:cs="Times New Roman"/>
        </w:rPr>
        <w:t xml:space="preserve">only </w:t>
      </w:r>
      <w:r w:rsidR="007C43DB">
        <w:rPr>
          <w:rFonts w:cs="Times New Roman"/>
        </w:rPr>
        <w:t>focusses</w:t>
      </w:r>
      <w:r w:rsidR="001F610A">
        <w:rPr>
          <w:rFonts w:cs="Times New Roman"/>
        </w:rPr>
        <w:t xml:space="preserve"> on the result</w:t>
      </w:r>
      <w:r w:rsidR="006D52B3">
        <w:rPr>
          <w:rFonts w:cs="Times New Roman"/>
        </w:rPr>
        <w:t>s</w:t>
      </w:r>
      <w:r w:rsidR="001F610A">
        <w:rPr>
          <w:rFonts w:cs="Times New Roman"/>
        </w:rPr>
        <w:t xml:space="preserve"> of the stakeholders engagement</w:t>
      </w:r>
      <w:r w:rsidR="00AB1DDE">
        <w:rPr>
          <w:rFonts w:cs="Times New Roman"/>
        </w:rPr>
        <w:t xml:space="preserve"> rather than describ</w:t>
      </w:r>
      <w:r w:rsidR="00023C2C">
        <w:rPr>
          <w:rFonts w:cs="Times New Roman"/>
        </w:rPr>
        <w:t>ing</w:t>
      </w:r>
      <w:r w:rsidR="00AB1DDE">
        <w:rPr>
          <w:rFonts w:cs="Times New Roman"/>
        </w:rPr>
        <w:t xml:space="preserve"> the details of the meeting process. For instance, </w:t>
      </w:r>
      <w:r w:rsidR="00845D1B">
        <w:rPr>
          <w:rFonts w:cs="Times New Roman"/>
        </w:rPr>
        <w:t xml:space="preserve">this study will not describe </w:t>
      </w:r>
      <w:r w:rsidR="00AB1DDE">
        <w:rPr>
          <w:rFonts w:cs="Times New Roman"/>
        </w:rPr>
        <w:t>how different stakeholders are organised to exchange their opinions</w:t>
      </w:r>
      <w:r w:rsidR="00591319">
        <w:rPr>
          <w:rFonts w:cs="Times New Roman"/>
        </w:rPr>
        <w:t xml:space="preserve"> </w:t>
      </w:r>
      <w:r w:rsidR="004B1EB0">
        <w:rPr>
          <w:rFonts w:cs="Times New Roman"/>
        </w:rPr>
        <w:t>n</w:t>
      </w:r>
      <w:r w:rsidR="00591319">
        <w:rPr>
          <w:rFonts w:cs="Times New Roman"/>
        </w:rPr>
        <w:t>or</w:t>
      </w:r>
      <w:r w:rsidR="00AB1DDE">
        <w:rPr>
          <w:rFonts w:cs="Times New Roman"/>
        </w:rPr>
        <w:t xml:space="preserve"> the numbers of meeting</w:t>
      </w:r>
      <w:r w:rsidR="00D2460A">
        <w:rPr>
          <w:rFonts w:cs="Times New Roman"/>
        </w:rPr>
        <w:t>s that</w:t>
      </w:r>
      <w:r w:rsidR="00AB1DDE">
        <w:rPr>
          <w:rFonts w:cs="Times New Roman"/>
        </w:rPr>
        <w:t xml:space="preserve"> </w:t>
      </w:r>
      <w:r w:rsidR="00845D1B">
        <w:rPr>
          <w:rFonts w:cs="Times New Roman"/>
        </w:rPr>
        <w:t xml:space="preserve">have been conducted. </w:t>
      </w:r>
    </w:p>
    <w:p w14:paraId="009CF68D" w14:textId="77777777" w:rsidR="00656367" w:rsidRPr="008903D1" w:rsidRDefault="00656367" w:rsidP="00656367">
      <w:pPr>
        <w:spacing w:line="360" w:lineRule="auto"/>
        <w:jc w:val="center"/>
        <w:rPr>
          <w:rFonts w:cs="Times New Roman"/>
        </w:rPr>
      </w:pPr>
      <w:r>
        <w:rPr>
          <w:rFonts w:cs="Times New Roman"/>
          <w:noProof/>
          <w:lang w:eastAsia="en-GB"/>
        </w:rPr>
        <w:drawing>
          <wp:inline distT="0" distB="0" distL="0" distR="0" wp14:anchorId="330AF91A" wp14:editId="47032141">
            <wp:extent cx="5018405" cy="246951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018405" cy="2469515"/>
                    </a:xfrm>
                    <a:prstGeom prst="rect">
                      <a:avLst/>
                    </a:prstGeom>
                    <a:noFill/>
                    <a:ln>
                      <a:noFill/>
                    </a:ln>
                  </pic:spPr>
                </pic:pic>
              </a:graphicData>
            </a:graphic>
          </wp:inline>
        </w:drawing>
      </w:r>
    </w:p>
    <w:p w14:paraId="20AB2E48" w14:textId="476E217A" w:rsidR="00656367" w:rsidRPr="00737239" w:rsidRDefault="00656367" w:rsidP="007F6877">
      <w:pPr>
        <w:pStyle w:val="Caption"/>
        <w:spacing w:line="360" w:lineRule="auto"/>
        <w:rPr>
          <w:rFonts w:cs="Times New Roman"/>
        </w:rPr>
      </w:pPr>
      <w:bookmarkStart w:id="731" w:name="_Ref44970621"/>
      <w:bookmarkStart w:id="732" w:name="_Toc46053683"/>
      <w:bookmarkStart w:id="733" w:name="_Toc66698714"/>
      <w:r w:rsidRPr="00737239">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5</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1</w:t>
      </w:r>
      <w:r w:rsidR="00632993">
        <w:rPr>
          <w:rFonts w:cs="Times New Roman"/>
        </w:rPr>
        <w:fldChar w:fldCharType="end"/>
      </w:r>
      <w:bookmarkEnd w:id="731"/>
      <w:r w:rsidR="00FD1FFD">
        <w:rPr>
          <w:rFonts w:cs="Times New Roman"/>
        </w:rPr>
        <w:t>:</w:t>
      </w:r>
      <w:r w:rsidRPr="00737239">
        <w:rPr>
          <w:rFonts w:cs="Times New Roman"/>
        </w:rPr>
        <w:t xml:space="preserve"> Approach to analysis of urban consolidation centre (UCC) stakeholder engagement</w:t>
      </w:r>
      <w:bookmarkEnd w:id="732"/>
      <w:bookmarkEnd w:id="733"/>
      <w:r w:rsidRPr="00737239">
        <w:rPr>
          <w:rFonts w:cs="Times New Roman"/>
        </w:rPr>
        <w:t xml:space="preserve"> </w:t>
      </w:r>
    </w:p>
    <w:p w14:paraId="7EEEBC48" w14:textId="1D21EC85" w:rsidR="00522166" w:rsidRPr="00CC2162" w:rsidRDefault="00EA3A1C" w:rsidP="00CC2162">
      <w:pPr>
        <w:spacing w:after="240" w:line="360" w:lineRule="auto"/>
        <w:rPr>
          <w:rFonts w:cs="Times New Roman"/>
        </w:rPr>
      </w:pPr>
      <w:r>
        <w:rPr>
          <w:rFonts w:cs="Times New Roman"/>
        </w:rPr>
        <w:lastRenderedPageBreak/>
        <w:t>Following this structure</w:t>
      </w:r>
      <w:r>
        <w:rPr>
          <w:rFonts w:cs="Times New Roman" w:hint="eastAsia"/>
        </w:rPr>
        <w:t>,</w:t>
      </w:r>
      <w:r>
        <w:rPr>
          <w:rFonts w:cs="Times New Roman"/>
        </w:rPr>
        <w:t xml:space="preserve"> </w:t>
      </w:r>
      <w:r w:rsidR="00591319" w:rsidRPr="00802DC5">
        <w:rPr>
          <w:rFonts w:cs="Times New Roman"/>
        </w:rPr>
        <w:t>the</w:t>
      </w:r>
      <w:r w:rsidR="00656367" w:rsidRPr="00802DC5">
        <w:rPr>
          <w:rFonts w:cs="Times New Roman"/>
        </w:rPr>
        <w:t xml:space="preserve"> first section of this chapter discusses the LPs of the four UCCs, based on the variables in the three dimensions of agent needs, features of the service area, and product property</w:t>
      </w:r>
      <w:r w:rsidR="00D853AE">
        <w:rPr>
          <w:rFonts w:cs="Times New Roman"/>
        </w:rPr>
        <w:t xml:space="preserve"> </w:t>
      </w:r>
      <w:r w:rsidR="00A22B02">
        <w:rPr>
          <w:rFonts w:cs="Times New Roman"/>
          <w:noProof/>
        </w:rPr>
        <w:fldChar w:fldCharType="begin"/>
      </w:r>
      <w:r w:rsidR="00647E79">
        <w:rPr>
          <w:rFonts w:cs="Times New Roman"/>
          <w:noProof/>
        </w:rPr>
        <w:instrText xml:space="preserve"> ADDIN EN.CITE &lt;EndNote&gt;&lt;Cite&gt;&lt;Author&gt;Macário&lt;/Author&gt;&lt;Year&gt;2011&lt;/Year&gt;&lt;RecNum&gt;306&lt;/RecNum&gt;&lt;DisplayText&gt;(Macário et al., 2011)&lt;/DisplayText&gt;&lt;record&gt;&lt;rec-number&gt;306&lt;/rec-number&gt;&lt;foreign-keys&gt;&lt;key app="EN" db-id="pzt5ep52hsedfpeext2pdfes0w0aswaewef2" timestamp="1605187999"&gt;306&lt;/key&gt;&lt;/foreign-keys&gt;&lt;ref-type name="Journal Article"&gt;17&lt;/ref-type&gt;&lt;contributors&gt;&lt;authors&gt;&lt;author&gt;Macário, R&lt;/author&gt;&lt;author&gt;Rodrigues, M&lt;/author&gt;&lt;author&gt;Gama, A&lt;/author&gt;&lt;author&gt;Timms, P&lt;/author&gt;&lt;author&gt;Lama, C&lt;/author&gt;&lt;author&gt;Amaral, M&lt;/author&gt;&lt;author&gt;Schoemaker, J&lt;/author&gt;&lt;author&gt;Tromp, N&lt;/author&gt;&lt;author&gt;Quinn Derek, Abranches G %J TIS. pt–Transportes, Inovação e Sistemas, SA, Lisbon&lt;/author&gt;&lt;/authors&gt;&lt;/contributors&gt;&lt;titles&gt;&lt;title&gt;Handbook on urban logistics-Turblog_ww: transferability of urban logistics concepts and practices from a worldwide perspective&lt;/title&gt;&lt;/titles&gt;&lt;dates&gt;&lt;year&gt;2011&lt;/year&gt;&lt;/dates&gt;&lt;urls&gt;&lt;/urls&gt;&lt;/record&gt;&lt;/Cite&gt;&lt;/EndNote&gt;</w:instrText>
      </w:r>
      <w:r w:rsidR="00A22B02">
        <w:rPr>
          <w:rFonts w:cs="Times New Roman"/>
          <w:noProof/>
        </w:rPr>
        <w:fldChar w:fldCharType="separate"/>
      </w:r>
      <w:r w:rsidR="00A22B02">
        <w:rPr>
          <w:rFonts w:cs="Times New Roman"/>
          <w:noProof/>
        </w:rPr>
        <w:t>(Macário et al., 2011)</w:t>
      </w:r>
      <w:r w:rsidR="00A22B02">
        <w:rPr>
          <w:rFonts w:cs="Times New Roman"/>
          <w:noProof/>
        </w:rPr>
        <w:fldChar w:fldCharType="end"/>
      </w:r>
      <w:r w:rsidR="00656367" w:rsidRPr="00A96AC5">
        <w:rPr>
          <w:rFonts w:cs="Times New Roman"/>
        </w:rPr>
        <w:t>. The second section compares the stakeholder collaborations from the following perspectives: (1) identification of the relevant stakeholders, (2) analysis of the motivations for establishing the UCC, (3) methods of gathering UCC users, and (4) integration of different stakeholder interests. In the final section, there is a map of the stakeholder relationships in each UCC, and the features of the different partnerships are discussed.</w:t>
      </w:r>
    </w:p>
    <w:p w14:paraId="25CCD13F" w14:textId="77777777" w:rsidR="00656367" w:rsidRPr="009D3BB5" w:rsidRDefault="00656367" w:rsidP="00656367">
      <w:pPr>
        <w:pStyle w:val="Heading2"/>
        <w:spacing w:after="120" w:line="360" w:lineRule="auto"/>
        <w:rPr>
          <w:rFonts w:cs="Times New Roman"/>
        </w:rPr>
      </w:pPr>
      <w:bookmarkStart w:id="734" w:name="_Toc46053458"/>
      <w:bookmarkStart w:id="735" w:name="_Toc46093372"/>
      <w:bookmarkStart w:id="736" w:name="_Toc46093655"/>
      <w:bookmarkStart w:id="737" w:name="_Toc66703231"/>
      <w:r w:rsidRPr="00A96AC5">
        <w:rPr>
          <w:rFonts w:cs="Times New Roman"/>
        </w:rPr>
        <w:t>Logistics profiles (LPs) of the urban consolidation centres (UCCs)</w:t>
      </w:r>
      <w:bookmarkEnd w:id="734"/>
      <w:bookmarkEnd w:id="735"/>
      <w:bookmarkEnd w:id="736"/>
      <w:bookmarkEnd w:id="737"/>
    </w:p>
    <w:p w14:paraId="114CCF6C" w14:textId="255284E7" w:rsidR="00656367" w:rsidRPr="00C83247" w:rsidRDefault="00656367" w:rsidP="007F6877">
      <w:pPr>
        <w:spacing w:after="240" w:line="360" w:lineRule="auto"/>
        <w:rPr>
          <w:rFonts w:cs="Times New Roman"/>
        </w:rPr>
      </w:pPr>
      <w:r w:rsidRPr="00802DC5">
        <w:rPr>
          <w:rFonts w:cs="Times New Roman"/>
        </w:rPr>
        <w:t>The variables in the three dimensions of LPs (agent needs, features of service area, and product property) are listed in</w:t>
      </w:r>
      <w:r w:rsidR="00C83247">
        <w:rPr>
          <w:rFonts w:cs="Times New Roman"/>
        </w:rPr>
        <w:t xml:space="preserve"> </w:t>
      </w:r>
      <w:r w:rsidR="000D7DB3">
        <w:rPr>
          <w:rFonts w:cs="Times New Roman"/>
        </w:rPr>
        <w:fldChar w:fldCharType="begin"/>
      </w:r>
      <w:r w:rsidR="000D7DB3">
        <w:rPr>
          <w:rFonts w:cs="Times New Roman"/>
        </w:rPr>
        <w:instrText xml:space="preserve"> REF _Ref44970835 \h </w:instrText>
      </w:r>
      <w:r w:rsidR="000D7DB3">
        <w:rPr>
          <w:rFonts w:cs="Times New Roman"/>
        </w:rPr>
      </w:r>
      <w:r w:rsidR="000D7DB3">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5</w:t>
      </w:r>
      <w:r w:rsidR="0005064B">
        <w:rPr>
          <w:rFonts w:cs="Times New Roman"/>
        </w:rPr>
        <w:noBreakHyphen/>
      </w:r>
      <w:r w:rsidR="0005064B">
        <w:rPr>
          <w:rFonts w:cs="Times New Roman"/>
          <w:noProof/>
        </w:rPr>
        <w:t>1</w:t>
      </w:r>
      <w:r w:rsidR="000D7DB3">
        <w:rPr>
          <w:rFonts w:cs="Times New Roman"/>
        </w:rPr>
        <w:fldChar w:fldCharType="end"/>
      </w:r>
      <w:r w:rsidRPr="008903D1">
        <w:rPr>
          <w:rFonts w:cs="Times New Roman"/>
        </w:rPr>
        <w:t>,</w:t>
      </w:r>
      <w:r w:rsidRPr="00737239">
        <w:rPr>
          <w:rFonts w:cs="Times New Roman"/>
        </w:rPr>
        <w:t xml:space="preserve"> according to the definition provided by </w:t>
      </w:r>
      <w:r w:rsidRPr="00737239">
        <w:rPr>
          <w:rFonts w:cs="Times New Roman"/>
          <w:noProof/>
        </w:rPr>
        <w:t>Macário et al. (2011)</w:t>
      </w:r>
      <w:r w:rsidRPr="00737239">
        <w:rPr>
          <w:rFonts w:cs="Times New Roman"/>
        </w:rPr>
        <w:t>.</w:t>
      </w:r>
    </w:p>
    <w:tbl>
      <w:tblPr>
        <w:tblStyle w:val="TableGrid"/>
        <w:tblW w:w="0" w:type="auto"/>
        <w:tblLook w:val="04A0" w:firstRow="1" w:lastRow="0" w:firstColumn="1" w:lastColumn="0" w:noHBand="0" w:noVBand="1"/>
      </w:tblPr>
      <w:tblGrid>
        <w:gridCol w:w="1304"/>
        <w:gridCol w:w="1414"/>
        <w:gridCol w:w="2261"/>
        <w:gridCol w:w="2200"/>
        <w:gridCol w:w="1837"/>
      </w:tblGrid>
      <w:tr w:rsidR="00656367" w:rsidRPr="00F343ED" w14:paraId="17750DBA" w14:textId="77777777" w:rsidTr="0082012B">
        <w:tc>
          <w:tcPr>
            <w:tcW w:w="1269" w:type="dxa"/>
            <w:vAlign w:val="center"/>
          </w:tcPr>
          <w:p w14:paraId="4ABE1DA7" w14:textId="77777777" w:rsidR="00656367" w:rsidRPr="0082012B" w:rsidRDefault="00656367" w:rsidP="0082012B">
            <w:pPr>
              <w:spacing w:line="240" w:lineRule="auto"/>
              <w:jc w:val="center"/>
              <w:rPr>
                <w:rFonts w:cs="Times New Roman"/>
                <w:b/>
                <w:bCs/>
                <w:sz w:val="22"/>
              </w:rPr>
            </w:pPr>
            <w:r w:rsidRPr="0082012B">
              <w:rPr>
                <w:rFonts w:cs="Times New Roman"/>
                <w:b/>
                <w:bCs/>
                <w:sz w:val="22"/>
              </w:rPr>
              <w:t>Dimensions</w:t>
            </w:r>
          </w:p>
        </w:tc>
        <w:tc>
          <w:tcPr>
            <w:tcW w:w="1414" w:type="dxa"/>
            <w:vAlign w:val="center"/>
          </w:tcPr>
          <w:p w14:paraId="7A846B14" w14:textId="77777777" w:rsidR="00656367" w:rsidRPr="0082012B" w:rsidRDefault="00656367" w:rsidP="0082012B">
            <w:pPr>
              <w:spacing w:line="240" w:lineRule="auto"/>
              <w:jc w:val="center"/>
              <w:rPr>
                <w:rFonts w:cs="Times New Roman"/>
                <w:b/>
                <w:bCs/>
                <w:sz w:val="22"/>
              </w:rPr>
            </w:pPr>
            <w:r w:rsidRPr="0082012B">
              <w:rPr>
                <w:rFonts w:cs="Times New Roman"/>
                <w:b/>
                <w:bCs/>
                <w:sz w:val="22"/>
              </w:rPr>
              <w:t>Types of variable</w:t>
            </w:r>
          </w:p>
        </w:tc>
        <w:tc>
          <w:tcPr>
            <w:tcW w:w="6333" w:type="dxa"/>
            <w:gridSpan w:val="3"/>
            <w:vAlign w:val="center"/>
          </w:tcPr>
          <w:p w14:paraId="450CCF2F" w14:textId="77777777" w:rsidR="00656367" w:rsidRPr="0082012B" w:rsidRDefault="00656367" w:rsidP="0082012B">
            <w:pPr>
              <w:spacing w:line="240" w:lineRule="auto"/>
              <w:jc w:val="center"/>
              <w:rPr>
                <w:rFonts w:cs="Times New Roman"/>
                <w:b/>
                <w:bCs/>
                <w:sz w:val="22"/>
              </w:rPr>
            </w:pPr>
            <w:r w:rsidRPr="0082012B">
              <w:rPr>
                <w:rFonts w:cs="Times New Roman"/>
                <w:b/>
                <w:bCs/>
                <w:sz w:val="22"/>
              </w:rPr>
              <w:t>Features</w:t>
            </w:r>
          </w:p>
        </w:tc>
      </w:tr>
      <w:tr w:rsidR="00656367" w:rsidRPr="00F343ED" w14:paraId="40599C0E" w14:textId="77777777" w:rsidTr="00622AC7">
        <w:tc>
          <w:tcPr>
            <w:tcW w:w="1269" w:type="dxa"/>
            <w:vMerge w:val="restart"/>
            <w:vAlign w:val="center"/>
          </w:tcPr>
          <w:p w14:paraId="009C4F46" w14:textId="77777777" w:rsidR="00656367" w:rsidRPr="00F343ED" w:rsidRDefault="00656367" w:rsidP="00622AC7">
            <w:pPr>
              <w:spacing w:line="240" w:lineRule="auto"/>
              <w:jc w:val="center"/>
              <w:rPr>
                <w:rFonts w:cs="Times New Roman"/>
                <w:sz w:val="22"/>
              </w:rPr>
            </w:pPr>
            <w:r w:rsidRPr="00F343ED">
              <w:rPr>
                <w:rFonts w:cs="Times New Roman"/>
                <w:sz w:val="22"/>
              </w:rPr>
              <w:t>Agent needs</w:t>
            </w:r>
          </w:p>
        </w:tc>
        <w:tc>
          <w:tcPr>
            <w:tcW w:w="1414" w:type="dxa"/>
            <w:vMerge w:val="restart"/>
            <w:vAlign w:val="center"/>
          </w:tcPr>
          <w:p w14:paraId="0799D479" w14:textId="77777777" w:rsidR="00656367" w:rsidRPr="00F343ED" w:rsidRDefault="00656367" w:rsidP="00622AC7">
            <w:pPr>
              <w:spacing w:line="240" w:lineRule="auto"/>
              <w:jc w:val="center"/>
              <w:rPr>
                <w:rFonts w:cs="Times New Roman"/>
                <w:sz w:val="22"/>
              </w:rPr>
            </w:pPr>
            <w:r w:rsidRPr="00F343ED">
              <w:rPr>
                <w:rFonts w:cs="Times New Roman"/>
                <w:sz w:val="22"/>
              </w:rPr>
              <w:t>Urgency of deliveries</w:t>
            </w:r>
          </w:p>
        </w:tc>
        <w:tc>
          <w:tcPr>
            <w:tcW w:w="6333" w:type="dxa"/>
            <w:gridSpan w:val="3"/>
          </w:tcPr>
          <w:p w14:paraId="3378E799" w14:textId="77777777" w:rsidR="00656367" w:rsidRPr="00F343ED" w:rsidRDefault="00656367" w:rsidP="00622AC7">
            <w:pPr>
              <w:spacing w:line="240" w:lineRule="auto"/>
              <w:jc w:val="center"/>
              <w:rPr>
                <w:rFonts w:cs="Times New Roman"/>
                <w:sz w:val="22"/>
              </w:rPr>
            </w:pPr>
            <w:r w:rsidRPr="00F343ED">
              <w:rPr>
                <w:rFonts w:cs="Times New Roman"/>
                <w:sz w:val="22"/>
              </w:rPr>
              <w:t>Time request of delivery</w:t>
            </w:r>
          </w:p>
        </w:tc>
      </w:tr>
      <w:tr w:rsidR="00656367" w:rsidRPr="00F343ED" w14:paraId="7179213D" w14:textId="77777777" w:rsidTr="00622AC7">
        <w:trPr>
          <w:trHeight w:val="200"/>
        </w:trPr>
        <w:tc>
          <w:tcPr>
            <w:tcW w:w="1269" w:type="dxa"/>
            <w:vMerge/>
            <w:vAlign w:val="center"/>
          </w:tcPr>
          <w:p w14:paraId="48C4A183" w14:textId="77777777" w:rsidR="00656367" w:rsidRPr="00F343ED" w:rsidRDefault="00656367" w:rsidP="00622AC7">
            <w:pPr>
              <w:spacing w:line="240" w:lineRule="auto"/>
              <w:jc w:val="center"/>
              <w:rPr>
                <w:rFonts w:cs="Times New Roman"/>
                <w:sz w:val="22"/>
              </w:rPr>
            </w:pPr>
          </w:p>
        </w:tc>
        <w:tc>
          <w:tcPr>
            <w:tcW w:w="1414" w:type="dxa"/>
            <w:vMerge/>
            <w:vAlign w:val="center"/>
          </w:tcPr>
          <w:p w14:paraId="3A74E745" w14:textId="77777777" w:rsidR="00656367" w:rsidRPr="00F343ED" w:rsidRDefault="00656367" w:rsidP="00622AC7">
            <w:pPr>
              <w:spacing w:line="240" w:lineRule="auto"/>
              <w:jc w:val="center"/>
              <w:rPr>
                <w:rFonts w:cs="Times New Roman"/>
                <w:sz w:val="22"/>
              </w:rPr>
            </w:pPr>
          </w:p>
        </w:tc>
        <w:tc>
          <w:tcPr>
            <w:tcW w:w="2274" w:type="dxa"/>
          </w:tcPr>
          <w:p w14:paraId="31D92340" w14:textId="77777777" w:rsidR="00656367" w:rsidRPr="00F343ED" w:rsidRDefault="00656367" w:rsidP="00622AC7">
            <w:pPr>
              <w:spacing w:line="240" w:lineRule="auto"/>
              <w:jc w:val="center"/>
              <w:rPr>
                <w:rFonts w:cs="Times New Roman"/>
                <w:b/>
                <w:bCs/>
                <w:sz w:val="22"/>
              </w:rPr>
            </w:pPr>
            <w:r w:rsidRPr="00F343ED">
              <w:rPr>
                <w:rFonts w:cs="Times New Roman"/>
                <w:b/>
                <w:bCs/>
                <w:sz w:val="22"/>
              </w:rPr>
              <w:t>Irrelevant</w:t>
            </w:r>
          </w:p>
          <w:p w14:paraId="722A1847" w14:textId="77777777" w:rsidR="00656367" w:rsidRPr="00F343ED" w:rsidRDefault="00656367" w:rsidP="00622AC7">
            <w:pPr>
              <w:spacing w:line="240" w:lineRule="auto"/>
              <w:rPr>
                <w:rFonts w:cs="Times New Roman"/>
                <w:sz w:val="22"/>
              </w:rPr>
            </w:pPr>
            <w:r w:rsidRPr="00F343ED">
              <w:rPr>
                <w:rFonts w:cs="Times New Roman"/>
                <w:sz w:val="22"/>
              </w:rPr>
              <w:t xml:space="preserve">Urgent delivery never happens </w:t>
            </w:r>
          </w:p>
        </w:tc>
        <w:tc>
          <w:tcPr>
            <w:tcW w:w="2211" w:type="dxa"/>
          </w:tcPr>
          <w:p w14:paraId="53F24750" w14:textId="77777777" w:rsidR="00656367" w:rsidRPr="00F343ED" w:rsidRDefault="00656367" w:rsidP="00622AC7">
            <w:pPr>
              <w:spacing w:line="240" w:lineRule="auto"/>
              <w:jc w:val="center"/>
              <w:rPr>
                <w:rFonts w:cs="Times New Roman"/>
                <w:b/>
                <w:bCs/>
                <w:sz w:val="22"/>
              </w:rPr>
            </w:pPr>
            <w:r w:rsidRPr="00F343ED">
              <w:rPr>
                <w:rFonts w:cs="Times New Roman"/>
                <w:b/>
                <w:bCs/>
                <w:sz w:val="22"/>
              </w:rPr>
              <w:t>Relevant</w:t>
            </w:r>
          </w:p>
          <w:p w14:paraId="10A6BB15" w14:textId="77777777" w:rsidR="00656367" w:rsidRPr="00F343ED" w:rsidRDefault="00656367" w:rsidP="00622AC7">
            <w:pPr>
              <w:spacing w:line="240" w:lineRule="auto"/>
              <w:rPr>
                <w:rFonts w:cs="Times New Roman"/>
                <w:sz w:val="22"/>
              </w:rPr>
            </w:pPr>
            <w:r w:rsidRPr="00F343ED">
              <w:rPr>
                <w:rFonts w:cs="Times New Roman"/>
                <w:sz w:val="22"/>
              </w:rPr>
              <w:t>Urgent delivery sometimes happens</w:t>
            </w:r>
          </w:p>
        </w:tc>
        <w:tc>
          <w:tcPr>
            <w:tcW w:w="1848" w:type="dxa"/>
          </w:tcPr>
          <w:p w14:paraId="6763C122" w14:textId="77777777" w:rsidR="00656367" w:rsidRPr="00F343ED" w:rsidRDefault="00656367" w:rsidP="00622AC7">
            <w:pPr>
              <w:spacing w:line="240" w:lineRule="auto"/>
              <w:jc w:val="center"/>
              <w:rPr>
                <w:rFonts w:cs="Times New Roman"/>
                <w:b/>
                <w:bCs/>
                <w:sz w:val="22"/>
              </w:rPr>
            </w:pPr>
            <w:r w:rsidRPr="00F343ED">
              <w:rPr>
                <w:rFonts w:cs="Times New Roman"/>
                <w:b/>
                <w:bCs/>
                <w:sz w:val="22"/>
              </w:rPr>
              <w:t>Urgent</w:t>
            </w:r>
          </w:p>
          <w:p w14:paraId="78F53181" w14:textId="77777777" w:rsidR="00656367" w:rsidRPr="00F343ED" w:rsidRDefault="00656367" w:rsidP="00622AC7">
            <w:pPr>
              <w:spacing w:line="240" w:lineRule="auto"/>
              <w:rPr>
                <w:rFonts w:cs="Times New Roman"/>
                <w:sz w:val="22"/>
              </w:rPr>
            </w:pPr>
            <w:r w:rsidRPr="00F343ED">
              <w:rPr>
                <w:rFonts w:cs="Times New Roman"/>
                <w:sz w:val="22"/>
              </w:rPr>
              <w:t xml:space="preserve">Urgent delivery normally happens </w:t>
            </w:r>
          </w:p>
        </w:tc>
      </w:tr>
      <w:tr w:rsidR="00656367" w:rsidRPr="00F343ED" w14:paraId="08EB1E6A" w14:textId="77777777" w:rsidTr="00622AC7">
        <w:tc>
          <w:tcPr>
            <w:tcW w:w="1269" w:type="dxa"/>
            <w:vMerge/>
            <w:vAlign w:val="center"/>
          </w:tcPr>
          <w:p w14:paraId="4EFD1945" w14:textId="77777777" w:rsidR="00656367" w:rsidRPr="00F343ED" w:rsidRDefault="00656367" w:rsidP="00622AC7">
            <w:pPr>
              <w:spacing w:line="240" w:lineRule="auto"/>
              <w:jc w:val="center"/>
              <w:rPr>
                <w:rFonts w:cs="Times New Roman"/>
                <w:sz w:val="22"/>
              </w:rPr>
            </w:pPr>
          </w:p>
        </w:tc>
        <w:tc>
          <w:tcPr>
            <w:tcW w:w="1414" w:type="dxa"/>
            <w:vMerge w:val="restart"/>
            <w:vAlign w:val="center"/>
          </w:tcPr>
          <w:p w14:paraId="5EBF4C7F" w14:textId="77777777" w:rsidR="00656367" w:rsidRPr="00F343ED" w:rsidRDefault="00656367" w:rsidP="00622AC7">
            <w:pPr>
              <w:spacing w:line="240" w:lineRule="auto"/>
              <w:jc w:val="center"/>
              <w:rPr>
                <w:rFonts w:cs="Times New Roman"/>
                <w:sz w:val="22"/>
              </w:rPr>
            </w:pPr>
            <w:r w:rsidRPr="00F343ED">
              <w:rPr>
                <w:rFonts w:cs="Times New Roman"/>
                <w:sz w:val="22"/>
              </w:rPr>
              <w:t>Frequency of deliveries</w:t>
            </w:r>
          </w:p>
        </w:tc>
        <w:tc>
          <w:tcPr>
            <w:tcW w:w="6333" w:type="dxa"/>
            <w:gridSpan w:val="3"/>
          </w:tcPr>
          <w:p w14:paraId="6BE69B92" w14:textId="77777777" w:rsidR="00656367" w:rsidRPr="00F343ED" w:rsidRDefault="00656367" w:rsidP="00622AC7">
            <w:pPr>
              <w:spacing w:line="240" w:lineRule="auto"/>
              <w:jc w:val="center"/>
              <w:rPr>
                <w:rFonts w:cs="Times New Roman"/>
                <w:sz w:val="22"/>
              </w:rPr>
            </w:pPr>
            <w:r w:rsidRPr="00F343ED">
              <w:rPr>
                <w:rFonts w:cs="Times New Roman"/>
                <w:sz w:val="22"/>
              </w:rPr>
              <w:t>Volume of orders</w:t>
            </w:r>
          </w:p>
        </w:tc>
      </w:tr>
      <w:tr w:rsidR="00656367" w:rsidRPr="00F343ED" w14:paraId="7ECB5F77" w14:textId="77777777" w:rsidTr="00622AC7">
        <w:tc>
          <w:tcPr>
            <w:tcW w:w="1269" w:type="dxa"/>
            <w:vMerge/>
            <w:vAlign w:val="center"/>
          </w:tcPr>
          <w:p w14:paraId="3EFA6B0D" w14:textId="77777777" w:rsidR="00656367" w:rsidRPr="00F343ED" w:rsidRDefault="00656367" w:rsidP="00622AC7">
            <w:pPr>
              <w:spacing w:line="240" w:lineRule="auto"/>
              <w:jc w:val="center"/>
              <w:rPr>
                <w:rFonts w:cs="Times New Roman"/>
                <w:sz w:val="22"/>
              </w:rPr>
            </w:pPr>
          </w:p>
        </w:tc>
        <w:tc>
          <w:tcPr>
            <w:tcW w:w="1414" w:type="dxa"/>
            <w:vMerge/>
            <w:vAlign w:val="center"/>
          </w:tcPr>
          <w:p w14:paraId="27E9A173" w14:textId="77777777" w:rsidR="00656367" w:rsidRPr="00F343ED" w:rsidRDefault="00656367" w:rsidP="00622AC7">
            <w:pPr>
              <w:spacing w:line="240" w:lineRule="auto"/>
              <w:jc w:val="center"/>
              <w:rPr>
                <w:rFonts w:cs="Times New Roman"/>
                <w:sz w:val="22"/>
              </w:rPr>
            </w:pPr>
          </w:p>
        </w:tc>
        <w:tc>
          <w:tcPr>
            <w:tcW w:w="2274" w:type="dxa"/>
          </w:tcPr>
          <w:p w14:paraId="48E37671" w14:textId="77777777" w:rsidR="00656367" w:rsidRPr="00F343ED" w:rsidRDefault="00656367" w:rsidP="00622AC7">
            <w:pPr>
              <w:spacing w:line="240" w:lineRule="auto"/>
              <w:jc w:val="center"/>
              <w:rPr>
                <w:rFonts w:cs="Times New Roman"/>
                <w:b/>
                <w:bCs/>
                <w:sz w:val="22"/>
              </w:rPr>
            </w:pPr>
            <w:r w:rsidRPr="00F343ED">
              <w:rPr>
                <w:rFonts w:cs="Times New Roman"/>
                <w:b/>
                <w:bCs/>
                <w:sz w:val="22"/>
              </w:rPr>
              <w:t>Low</w:t>
            </w:r>
          </w:p>
          <w:p w14:paraId="5943B9B2" w14:textId="77777777" w:rsidR="00656367" w:rsidRPr="00F343ED" w:rsidRDefault="00656367" w:rsidP="00622AC7">
            <w:pPr>
              <w:spacing w:line="240" w:lineRule="auto"/>
              <w:jc w:val="center"/>
              <w:rPr>
                <w:rFonts w:cs="Times New Roman"/>
                <w:sz w:val="22"/>
              </w:rPr>
            </w:pPr>
            <w:r w:rsidRPr="00F343ED">
              <w:rPr>
                <w:rFonts w:cs="Times New Roman"/>
                <w:sz w:val="22"/>
              </w:rPr>
              <w:t>Several days per week</w:t>
            </w:r>
          </w:p>
        </w:tc>
        <w:tc>
          <w:tcPr>
            <w:tcW w:w="2211" w:type="dxa"/>
          </w:tcPr>
          <w:p w14:paraId="1637CA0B" w14:textId="77777777" w:rsidR="00656367" w:rsidRPr="00F343ED" w:rsidRDefault="00656367" w:rsidP="00622AC7">
            <w:pPr>
              <w:spacing w:line="240" w:lineRule="auto"/>
              <w:jc w:val="center"/>
              <w:rPr>
                <w:rFonts w:cs="Times New Roman"/>
                <w:b/>
                <w:bCs/>
                <w:sz w:val="22"/>
              </w:rPr>
            </w:pPr>
            <w:r w:rsidRPr="00F343ED">
              <w:rPr>
                <w:rFonts w:cs="Times New Roman"/>
                <w:b/>
                <w:bCs/>
                <w:sz w:val="22"/>
              </w:rPr>
              <w:t>Medium</w:t>
            </w:r>
          </w:p>
          <w:p w14:paraId="754EBC71" w14:textId="77777777" w:rsidR="00656367" w:rsidRPr="00F343ED" w:rsidRDefault="00656367" w:rsidP="00622AC7">
            <w:pPr>
              <w:spacing w:line="240" w:lineRule="auto"/>
              <w:jc w:val="center"/>
              <w:rPr>
                <w:rFonts w:cs="Times New Roman"/>
                <w:sz w:val="22"/>
              </w:rPr>
            </w:pPr>
            <w:r w:rsidRPr="00F343ED">
              <w:rPr>
                <w:rFonts w:cs="Times New Roman"/>
                <w:sz w:val="22"/>
              </w:rPr>
              <w:t>Daily</w:t>
            </w:r>
          </w:p>
        </w:tc>
        <w:tc>
          <w:tcPr>
            <w:tcW w:w="1848" w:type="dxa"/>
          </w:tcPr>
          <w:p w14:paraId="68A040F2" w14:textId="77777777" w:rsidR="00656367" w:rsidRPr="00F343ED" w:rsidRDefault="00656367" w:rsidP="00622AC7">
            <w:pPr>
              <w:spacing w:line="240" w:lineRule="auto"/>
              <w:jc w:val="center"/>
              <w:rPr>
                <w:rFonts w:cs="Times New Roman"/>
                <w:b/>
                <w:bCs/>
                <w:sz w:val="22"/>
              </w:rPr>
            </w:pPr>
            <w:r w:rsidRPr="00F343ED">
              <w:rPr>
                <w:rFonts w:cs="Times New Roman"/>
                <w:b/>
                <w:bCs/>
                <w:sz w:val="22"/>
              </w:rPr>
              <w:t>High</w:t>
            </w:r>
          </w:p>
          <w:p w14:paraId="66E87487" w14:textId="77777777" w:rsidR="00656367" w:rsidRPr="00F343ED" w:rsidRDefault="00656367" w:rsidP="00622AC7">
            <w:pPr>
              <w:spacing w:line="240" w:lineRule="auto"/>
              <w:jc w:val="center"/>
              <w:rPr>
                <w:rFonts w:cs="Times New Roman"/>
                <w:sz w:val="22"/>
              </w:rPr>
            </w:pPr>
            <w:r w:rsidRPr="00F343ED">
              <w:rPr>
                <w:rFonts w:cs="Times New Roman"/>
                <w:sz w:val="22"/>
              </w:rPr>
              <w:t>Hourly</w:t>
            </w:r>
          </w:p>
        </w:tc>
      </w:tr>
      <w:tr w:rsidR="00656367" w:rsidRPr="00F343ED" w14:paraId="72AC9D3A" w14:textId="77777777" w:rsidTr="00622AC7">
        <w:tc>
          <w:tcPr>
            <w:tcW w:w="1269" w:type="dxa"/>
            <w:vMerge/>
            <w:vAlign w:val="center"/>
          </w:tcPr>
          <w:p w14:paraId="5B1A652B" w14:textId="77777777" w:rsidR="00656367" w:rsidRPr="00F343ED" w:rsidRDefault="00656367" w:rsidP="00622AC7">
            <w:pPr>
              <w:spacing w:line="240" w:lineRule="auto"/>
              <w:jc w:val="center"/>
              <w:rPr>
                <w:rFonts w:cs="Times New Roman"/>
                <w:sz w:val="22"/>
              </w:rPr>
            </w:pPr>
          </w:p>
        </w:tc>
        <w:tc>
          <w:tcPr>
            <w:tcW w:w="1414" w:type="dxa"/>
            <w:vAlign w:val="center"/>
          </w:tcPr>
          <w:p w14:paraId="1EA81617" w14:textId="77777777" w:rsidR="00656367" w:rsidRPr="00F343ED" w:rsidRDefault="00656367" w:rsidP="00622AC7">
            <w:pPr>
              <w:spacing w:line="240" w:lineRule="auto"/>
              <w:jc w:val="center"/>
              <w:rPr>
                <w:rFonts w:cs="Times New Roman"/>
                <w:sz w:val="22"/>
              </w:rPr>
            </w:pPr>
            <w:r w:rsidRPr="00F343ED">
              <w:rPr>
                <w:rFonts w:cs="Times New Roman"/>
                <w:sz w:val="22"/>
              </w:rPr>
              <w:t>Numbers of customers to be delivered</w:t>
            </w:r>
          </w:p>
        </w:tc>
        <w:tc>
          <w:tcPr>
            <w:tcW w:w="2274" w:type="dxa"/>
            <w:vAlign w:val="center"/>
          </w:tcPr>
          <w:p w14:paraId="31642050" w14:textId="77777777" w:rsidR="00656367" w:rsidRPr="00F343ED" w:rsidRDefault="00656367" w:rsidP="00622AC7">
            <w:pPr>
              <w:spacing w:line="240" w:lineRule="auto"/>
              <w:jc w:val="center"/>
              <w:rPr>
                <w:rFonts w:cs="Times New Roman"/>
                <w:b/>
                <w:bCs/>
                <w:sz w:val="22"/>
              </w:rPr>
            </w:pPr>
            <w:r w:rsidRPr="00F343ED">
              <w:rPr>
                <w:rFonts w:cs="Times New Roman"/>
                <w:b/>
                <w:bCs/>
                <w:sz w:val="22"/>
              </w:rPr>
              <w:t>Few</w:t>
            </w:r>
          </w:p>
        </w:tc>
        <w:tc>
          <w:tcPr>
            <w:tcW w:w="2211" w:type="dxa"/>
            <w:vAlign w:val="center"/>
          </w:tcPr>
          <w:p w14:paraId="69385A20" w14:textId="77777777" w:rsidR="00656367" w:rsidRPr="00F343ED" w:rsidRDefault="00656367" w:rsidP="00622AC7">
            <w:pPr>
              <w:spacing w:line="240" w:lineRule="auto"/>
              <w:jc w:val="center"/>
              <w:rPr>
                <w:rFonts w:cs="Times New Roman"/>
                <w:b/>
                <w:bCs/>
                <w:sz w:val="22"/>
              </w:rPr>
            </w:pPr>
            <w:r w:rsidRPr="00F343ED">
              <w:rPr>
                <w:rFonts w:cs="Times New Roman"/>
                <w:b/>
                <w:bCs/>
                <w:sz w:val="22"/>
              </w:rPr>
              <w:t>Several</w:t>
            </w:r>
          </w:p>
        </w:tc>
        <w:tc>
          <w:tcPr>
            <w:tcW w:w="1848" w:type="dxa"/>
            <w:vAlign w:val="center"/>
          </w:tcPr>
          <w:p w14:paraId="31E67F41" w14:textId="77777777" w:rsidR="00656367" w:rsidRPr="00F343ED" w:rsidRDefault="00656367" w:rsidP="00622AC7">
            <w:pPr>
              <w:spacing w:line="240" w:lineRule="auto"/>
              <w:jc w:val="center"/>
              <w:rPr>
                <w:rFonts w:cs="Times New Roman"/>
                <w:b/>
                <w:bCs/>
                <w:sz w:val="22"/>
              </w:rPr>
            </w:pPr>
            <w:r w:rsidRPr="00F343ED">
              <w:rPr>
                <w:rFonts w:cs="Times New Roman"/>
                <w:b/>
                <w:bCs/>
                <w:sz w:val="22"/>
              </w:rPr>
              <w:t>Many</w:t>
            </w:r>
          </w:p>
        </w:tc>
      </w:tr>
      <w:tr w:rsidR="00656367" w:rsidRPr="00F343ED" w14:paraId="02D6C157" w14:textId="77777777" w:rsidTr="00622AC7">
        <w:tc>
          <w:tcPr>
            <w:tcW w:w="1269" w:type="dxa"/>
            <w:vMerge/>
            <w:vAlign w:val="center"/>
          </w:tcPr>
          <w:p w14:paraId="6318B83F" w14:textId="77777777" w:rsidR="00656367" w:rsidRPr="00F343ED" w:rsidRDefault="00656367" w:rsidP="00622AC7">
            <w:pPr>
              <w:spacing w:line="240" w:lineRule="auto"/>
              <w:jc w:val="center"/>
              <w:rPr>
                <w:rFonts w:cs="Times New Roman"/>
                <w:sz w:val="22"/>
              </w:rPr>
            </w:pPr>
          </w:p>
        </w:tc>
        <w:tc>
          <w:tcPr>
            <w:tcW w:w="1414" w:type="dxa"/>
            <w:vAlign w:val="center"/>
          </w:tcPr>
          <w:p w14:paraId="46614498" w14:textId="77777777" w:rsidR="00656367" w:rsidRPr="00F343ED" w:rsidRDefault="00656367" w:rsidP="00622AC7">
            <w:pPr>
              <w:spacing w:line="240" w:lineRule="auto"/>
              <w:jc w:val="center"/>
              <w:rPr>
                <w:rFonts w:cs="Times New Roman"/>
                <w:sz w:val="22"/>
              </w:rPr>
            </w:pPr>
            <w:r w:rsidRPr="00F343ED">
              <w:rPr>
                <w:rFonts w:cs="Times New Roman"/>
                <w:sz w:val="22"/>
              </w:rPr>
              <w:t>Vehicle used</w:t>
            </w:r>
          </w:p>
        </w:tc>
        <w:tc>
          <w:tcPr>
            <w:tcW w:w="2274" w:type="dxa"/>
            <w:vAlign w:val="center"/>
          </w:tcPr>
          <w:p w14:paraId="1C9150CA" w14:textId="77777777" w:rsidR="00656367" w:rsidRPr="00F343ED" w:rsidRDefault="00656367" w:rsidP="00622AC7">
            <w:pPr>
              <w:spacing w:line="240" w:lineRule="auto"/>
              <w:jc w:val="center"/>
              <w:rPr>
                <w:rFonts w:cs="Times New Roman"/>
                <w:b/>
                <w:bCs/>
                <w:sz w:val="22"/>
              </w:rPr>
            </w:pPr>
            <w:r w:rsidRPr="00F343ED">
              <w:rPr>
                <w:rFonts w:cs="Times New Roman"/>
                <w:b/>
                <w:bCs/>
                <w:sz w:val="22"/>
              </w:rPr>
              <w:t>Light vehicles</w:t>
            </w:r>
          </w:p>
        </w:tc>
        <w:tc>
          <w:tcPr>
            <w:tcW w:w="2211" w:type="dxa"/>
            <w:vAlign w:val="center"/>
          </w:tcPr>
          <w:p w14:paraId="0DD5197F" w14:textId="77777777" w:rsidR="00656367" w:rsidRPr="00F343ED" w:rsidRDefault="00656367" w:rsidP="00622AC7">
            <w:pPr>
              <w:spacing w:line="240" w:lineRule="auto"/>
              <w:jc w:val="center"/>
              <w:rPr>
                <w:rFonts w:cs="Times New Roman"/>
                <w:b/>
                <w:bCs/>
                <w:sz w:val="22"/>
              </w:rPr>
            </w:pPr>
            <w:r w:rsidRPr="00F343ED">
              <w:rPr>
                <w:rFonts w:cs="Times New Roman"/>
                <w:b/>
                <w:bCs/>
                <w:sz w:val="22"/>
              </w:rPr>
              <w:t>Medium truck</w:t>
            </w:r>
          </w:p>
        </w:tc>
        <w:tc>
          <w:tcPr>
            <w:tcW w:w="1848" w:type="dxa"/>
            <w:vAlign w:val="center"/>
          </w:tcPr>
          <w:p w14:paraId="433FD4E2" w14:textId="77777777" w:rsidR="00656367" w:rsidRPr="00F343ED" w:rsidRDefault="00656367" w:rsidP="00622AC7">
            <w:pPr>
              <w:spacing w:line="240" w:lineRule="auto"/>
              <w:jc w:val="center"/>
              <w:rPr>
                <w:rFonts w:cs="Times New Roman"/>
                <w:b/>
                <w:bCs/>
                <w:sz w:val="22"/>
              </w:rPr>
            </w:pPr>
            <w:r w:rsidRPr="00F343ED">
              <w:rPr>
                <w:rFonts w:cs="Times New Roman"/>
                <w:b/>
                <w:bCs/>
                <w:sz w:val="22"/>
              </w:rPr>
              <w:t>Heavy goods vehicles</w:t>
            </w:r>
          </w:p>
        </w:tc>
      </w:tr>
      <w:tr w:rsidR="00656367" w:rsidRPr="00F343ED" w14:paraId="5DA53E1C" w14:textId="77777777" w:rsidTr="00622AC7">
        <w:tc>
          <w:tcPr>
            <w:tcW w:w="1269" w:type="dxa"/>
            <w:vMerge/>
            <w:vAlign w:val="center"/>
          </w:tcPr>
          <w:p w14:paraId="03C3D4EA" w14:textId="77777777" w:rsidR="00656367" w:rsidRPr="00F343ED" w:rsidRDefault="00656367" w:rsidP="00622AC7">
            <w:pPr>
              <w:spacing w:line="240" w:lineRule="auto"/>
              <w:jc w:val="center"/>
              <w:rPr>
                <w:rFonts w:cs="Times New Roman"/>
                <w:sz w:val="22"/>
              </w:rPr>
            </w:pPr>
          </w:p>
        </w:tc>
        <w:tc>
          <w:tcPr>
            <w:tcW w:w="1414" w:type="dxa"/>
            <w:vAlign w:val="center"/>
          </w:tcPr>
          <w:p w14:paraId="0ACBD23B" w14:textId="77777777" w:rsidR="00656367" w:rsidRPr="00F343ED" w:rsidRDefault="00656367" w:rsidP="00622AC7">
            <w:pPr>
              <w:spacing w:line="240" w:lineRule="auto"/>
              <w:jc w:val="center"/>
              <w:rPr>
                <w:rFonts w:cs="Times New Roman"/>
                <w:sz w:val="22"/>
              </w:rPr>
            </w:pPr>
            <w:r w:rsidRPr="00F343ED">
              <w:rPr>
                <w:rFonts w:cs="Times New Roman"/>
                <w:sz w:val="22"/>
              </w:rPr>
              <w:t>Planned deliveries</w:t>
            </w:r>
          </w:p>
        </w:tc>
        <w:tc>
          <w:tcPr>
            <w:tcW w:w="2274" w:type="dxa"/>
            <w:vAlign w:val="center"/>
          </w:tcPr>
          <w:p w14:paraId="484CD4E6" w14:textId="77777777" w:rsidR="00656367" w:rsidRPr="00F343ED" w:rsidRDefault="00656367" w:rsidP="00622AC7">
            <w:pPr>
              <w:spacing w:line="240" w:lineRule="auto"/>
              <w:jc w:val="center"/>
              <w:rPr>
                <w:rFonts w:cs="Times New Roman"/>
                <w:b/>
                <w:bCs/>
                <w:sz w:val="22"/>
              </w:rPr>
            </w:pPr>
            <w:r w:rsidRPr="00F343ED">
              <w:rPr>
                <w:rFonts w:cs="Times New Roman"/>
                <w:b/>
                <w:bCs/>
                <w:sz w:val="22"/>
              </w:rPr>
              <w:t>No defined routine</w:t>
            </w:r>
          </w:p>
        </w:tc>
        <w:tc>
          <w:tcPr>
            <w:tcW w:w="2211" w:type="dxa"/>
            <w:vAlign w:val="center"/>
          </w:tcPr>
          <w:p w14:paraId="46906455" w14:textId="77777777" w:rsidR="00656367" w:rsidRPr="00F343ED" w:rsidRDefault="00656367" w:rsidP="00622AC7">
            <w:pPr>
              <w:spacing w:line="240" w:lineRule="auto"/>
              <w:jc w:val="center"/>
              <w:rPr>
                <w:rFonts w:cs="Times New Roman"/>
                <w:b/>
                <w:bCs/>
                <w:sz w:val="22"/>
              </w:rPr>
            </w:pPr>
            <w:r w:rsidRPr="00F343ED">
              <w:rPr>
                <w:rFonts w:cs="Times New Roman"/>
                <w:b/>
                <w:bCs/>
                <w:sz w:val="22"/>
              </w:rPr>
              <w:t>Defined routine</w:t>
            </w:r>
          </w:p>
        </w:tc>
        <w:tc>
          <w:tcPr>
            <w:tcW w:w="1848" w:type="dxa"/>
            <w:vAlign w:val="center"/>
          </w:tcPr>
          <w:p w14:paraId="2C65EF97" w14:textId="77777777" w:rsidR="00656367" w:rsidRPr="00F343ED" w:rsidRDefault="00656367" w:rsidP="00622AC7">
            <w:pPr>
              <w:spacing w:line="240" w:lineRule="auto"/>
              <w:jc w:val="center"/>
              <w:rPr>
                <w:rFonts w:cs="Times New Roman"/>
                <w:sz w:val="22"/>
              </w:rPr>
            </w:pPr>
            <w:r w:rsidRPr="00F343ED">
              <w:rPr>
                <w:rFonts w:cs="Times New Roman"/>
                <w:sz w:val="22"/>
              </w:rPr>
              <w:t>_____</w:t>
            </w:r>
          </w:p>
        </w:tc>
      </w:tr>
      <w:tr w:rsidR="00656367" w:rsidRPr="00F343ED" w14:paraId="731C5E44" w14:textId="77777777" w:rsidTr="00622AC7">
        <w:tc>
          <w:tcPr>
            <w:tcW w:w="1269" w:type="dxa"/>
            <w:vMerge w:val="restart"/>
            <w:vAlign w:val="center"/>
          </w:tcPr>
          <w:p w14:paraId="274C923D" w14:textId="77777777" w:rsidR="00656367" w:rsidRPr="00F343ED" w:rsidRDefault="00656367" w:rsidP="00622AC7">
            <w:pPr>
              <w:spacing w:line="240" w:lineRule="auto"/>
              <w:jc w:val="center"/>
              <w:rPr>
                <w:rFonts w:cs="Times New Roman"/>
                <w:sz w:val="22"/>
              </w:rPr>
            </w:pPr>
            <w:r w:rsidRPr="00F343ED">
              <w:rPr>
                <w:rFonts w:cs="Times New Roman"/>
                <w:sz w:val="22"/>
              </w:rPr>
              <w:t>Features of service area</w:t>
            </w:r>
          </w:p>
        </w:tc>
        <w:tc>
          <w:tcPr>
            <w:tcW w:w="1414" w:type="dxa"/>
            <w:vMerge w:val="restart"/>
            <w:vAlign w:val="center"/>
          </w:tcPr>
          <w:p w14:paraId="3F92EE60" w14:textId="77777777" w:rsidR="00656367" w:rsidRPr="00F343ED" w:rsidRDefault="00656367" w:rsidP="00622AC7">
            <w:pPr>
              <w:spacing w:line="240" w:lineRule="auto"/>
              <w:jc w:val="center"/>
              <w:rPr>
                <w:rFonts w:cs="Times New Roman"/>
                <w:sz w:val="22"/>
              </w:rPr>
            </w:pPr>
            <w:r w:rsidRPr="00F343ED">
              <w:rPr>
                <w:rFonts w:cs="Times New Roman"/>
                <w:sz w:val="22"/>
              </w:rPr>
              <w:t>Commercial density</w:t>
            </w:r>
          </w:p>
        </w:tc>
        <w:tc>
          <w:tcPr>
            <w:tcW w:w="6333" w:type="dxa"/>
            <w:gridSpan w:val="3"/>
          </w:tcPr>
          <w:p w14:paraId="02CFA5E8" w14:textId="77777777" w:rsidR="00656367" w:rsidRPr="00F343ED" w:rsidRDefault="00656367" w:rsidP="00622AC7">
            <w:pPr>
              <w:spacing w:line="240" w:lineRule="auto"/>
              <w:jc w:val="center"/>
              <w:rPr>
                <w:rFonts w:cs="Times New Roman"/>
                <w:sz w:val="22"/>
              </w:rPr>
            </w:pPr>
            <w:r w:rsidRPr="00F343ED">
              <w:rPr>
                <w:rFonts w:cs="Times New Roman"/>
                <w:sz w:val="22"/>
              </w:rPr>
              <w:t>Percentage of commercial delivery faced by UCC</w:t>
            </w:r>
          </w:p>
        </w:tc>
      </w:tr>
      <w:tr w:rsidR="00656367" w:rsidRPr="00F343ED" w14:paraId="3E4FBC88" w14:textId="77777777" w:rsidTr="00622AC7">
        <w:trPr>
          <w:trHeight w:val="39"/>
        </w:trPr>
        <w:tc>
          <w:tcPr>
            <w:tcW w:w="1269" w:type="dxa"/>
            <w:vMerge/>
            <w:vAlign w:val="center"/>
          </w:tcPr>
          <w:p w14:paraId="22593E42" w14:textId="77777777" w:rsidR="00656367" w:rsidRPr="00F343ED" w:rsidRDefault="00656367" w:rsidP="00622AC7">
            <w:pPr>
              <w:spacing w:line="240" w:lineRule="auto"/>
              <w:jc w:val="center"/>
              <w:rPr>
                <w:rFonts w:cs="Times New Roman"/>
                <w:sz w:val="22"/>
              </w:rPr>
            </w:pPr>
          </w:p>
        </w:tc>
        <w:tc>
          <w:tcPr>
            <w:tcW w:w="1414" w:type="dxa"/>
            <w:vMerge/>
            <w:vAlign w:val="center"/>
          </w:tcPr>
          <w:p w14:paraId="54B63594" w14:textId="77777777" w:rsidR="00656367" w:rsidRPr="00F343ED" w:rsidRDefault="00656367" w:rsidP="00622AC7">
            <w:pPr>
              <w:spacing w:line="240" w:lineRule="auto"/>
              <w:jc w:val="center"/>
              <w:rPr>
                <w:rFonts w:cs="Times New Roman"/>
                <w:sz w:val="22"/>
              </w:rPr>
            </w:pPr>
          </w:p>
        </w:tc>
        <w:tc>
          <w:tcPr>
            <w:tcW w:w="2274" w:type="dxa"/>
          </w:tcPr>
          <w:p w14:paraId="6D32532B" w14:textId="77777777" w:rsidR="00656367" w:rsidRPr="00F343ED" w:rsidRDefault="00656367" w:rsidP="00622AC7">
            <w:pPr>
              <w:spacing w:line="240" w:lineRule="auto"/>
              <w:jc w:val="center"/>
              <w:rPr>
                <w:rFonts w:cs="Times New Roman"/>
                <w:b/>
                <w:bCs/>
                <w:sz w:val="22"/>
              </w:rPr>
            </w:pPr>
            <w:r w:rsidRPr="00F343ED">
              <w:rPr>
                <w:rFonts w:cs="Times New Roman"/>
                <w:b/>
                <w:bCs/>
                <w:sz w:val="22"/>
              </w:rPr>
              <w:t>Low</w:t>
            </w:r>
          </w:p>
          <w:p w14:paraId="3EAD81BF" w14:textId="77777777" w:rsidR="00656367" w:rsidRPr="00F343ED" w:rsidRDefault="00656367" w:rsidP="00622AC7">
            <w:pPr>
              <w:spacing w:line="240" w:lineRule="auto"/>
              <w:jc w:val="center"/>
              <w:rPr>
                <w:rFonts w:cs="Times New Roman"/>
                <w:sz w:val="22"/>
              </w:rPr>
            </w:pPr>
            <w:r w:rsidRPr="00F343ED">
              <w:rPr>
                <w:rFonts w:cs="Times New Roman"/>
                <w:sz w:val="22"/>
              </w:rPr>
              <w:t>(&lt;30%)</w:t>
            </w:r>
          </w:p>
        </w:tc>
        <w:tc>
          <w:tcPr>
            <w:tcW w:w="2211" w:type="dxa"/>
          </w:tcPr>
          <w:p w14:paraId="2157503C" w14:textId="77777777" w:rsidR="00656367" w:rsidRPr="00F343ED" w:rsidRDefault="00656367" w:rsidP="00622AC7">
            <w:pPr>
              <w:spacing w:line="240" w:lineRule="auto"/>
              <w:jc w:val="center"/>
              <w:rPr>
                <w:rFonts w:cs="Times New Roman"/>
                <w:b/>
                <w:bCs/>
                <w:sz w:val="22"/>
              </w:rPr>
            </w:pPr>
            <w:r w:rsidRPr="00F343ED">
              <w:rPr>
                <w:rFonts w:cs="Times New Roman"/>
                <w:b/>
                <w:bCs/>
                <w:sz w:val="22"/>
              </w:rPr>
              <w:t>Medium</w:t>
            </w:r>
          </w:p>
          <w:p w14:paraId="2DADCB17" w14:textId="77777777" w:rsidR="00656367" w:rsidRPr="00F343ED" w:rsidRDefault="00656367" w:rsidP="00622AC7">
            <w:pPr>
              <w:spacing w:line="240" w:lineRule="auto"/>
              <w:jc w:val="center"/>
              <w:rPr>
                <w:rFonts w:cs="Times New Roman"/>
                <w:sz w:val="22"/>
              </w:rPr>
            </w:pPr>
            <w:r w:rsidRPr="00F343ED">
              <w:rPr>
                <w:rFonts w:cs="Times New Roman"/>
                <w:sz w:val="22"/>
              </w:rPr>
              <w:t>(30% to 70%)</w:t>
            </w:r>
          </w:p>
        </w:tc>
        <w:tc>
          <w:tcPr>
            <w:tcW w:w="1848" w:type="dxa"/>
          </w:tcPr>
          <w:p w14:paraId="7F54FB28" w14:textId="77777777" w:rsidR="00656367" w:rsidRPr="00F343ED" w:rsidRDefault="00656367" w:rsidP="00622AC7">
            <w:pPr>
              <w:spacing w:line="240" w:lineRule="auto"/>
              <w:jc w:val="center"/>
              <w:rPr>
                <w:rFonts w:cs="Times New Roman"/>
                <w:b/>
                <w:bCs/>
                <w:sz w:val="22"/>
              </w:rPr>
            </w:pPr>
            <w:r w:rsidRPr="00F343ED">
              <w:rPr>
                <w:rFonts w:cs="Times New Roman"/>
                <w:b/>
                <w:bCs/>
                <w:sz w:val="22"/>
              </w:rPr>
              <w:t>High</w:t>
            </w:r>
          </w:p>
          <w:p w14:paraId="7A342A82" w14:textId="77777777" w:rsidR="00656367" w:rsidRPr="00F343ED" w:rsidRDefault="00656367" w:rsidP="00622AC7">
            <w:pPr>
              <w:spacing w:line="240" w:lineRule="auto"/>
              <w:jc w:val="center"/>
              <w:rPr>
                <w:rFonts w:cs="Times New Roman"/>
                <w:sz w:val="22"/>
              </w:rPr>
            </w:pPr>
            <w:r w:rsidRPr="00F343ED">
              <w:rPr>
                <w:rFonts w:cs="Times New Roman"/>
                <w:sz w:val="22"/>
              </w:rPr>
              <w:t>(&gt;30%)</w:t>
            </w:r>
          </w:p>
        </w:tc>
      </w:tr>
      <w:tr w:rsidR="00656367" w:rsidRPr="00F343ED" w14:paraId="7D276F59" w14:textId="77777777" w:rsidTr="00622AC7">
        <w:tc>
          <w:tcPr>
            <w:tcW w:w="1269" w:type="dxa"/>
            <w:vMerge/>
            <w:vAlign w:val="center"/>
          </w:tcPr>
          <w:p w14:paraId="14007843" w14:textId="77777777" w:rsidR="00656367" w:rsidRPr="00F343ED" w:rsidRDefault="00656367" w:rsidP="00622AC7">
            <w:pPr>
              <w:spacing w:line="240" w:lineRule="auto"/>
              <w:jc w:val="center"/>
              <w:rPr>
                <w:rFonts w:cs="Times New Roman"/>
                <w:sz w:val="22"/>
              </w:rPr>
            </w:pPr>
          </w:p>
        </w:tc>
        <w:tc>
          <w:tcPr>
            <w:tcW w:w="1414" w:type="dxa"/>
            <w:vMerge w:val="restart"/>
            <w:vAlign w:val="center"/>
          </w:tcPr>
          <w:p w14:paraId="7112676C" w14:textId="77777777" w:rsidR="00656367" w:rsidRPr="00F343ED" w:rsidRDefault="00656367" w:rsidP="00622AC7">
            <w:pPr>
              <w:spacing w:line="240" w:lineRule="auto"/>
              <w:jc w:val="center"/>
              <w:rPr>
                <w:rFonts w:cs="Times New Roman"/>
                <w:sz w:val="22"/>
              </w:rPr>
            </w:pPr>
            <w:r w:rsidRPr="00F343ED">
              <w:rPr>
                <w:rFonts w:cs="Times New Roman"/>
                <w:sz w:val="22"/>
              </w:rPr>
              <w:t>Homogeneity</w:t>
            </w:r>
          </w:p>
        </w:tc>
        <w:tc>
          <w:tcPr>
            <w:tcW w:w="6333" w:type="dxa"/>
            <w:gridSpan w:val="3"/>
          </w:tcPr>
          <w:p w14:paraId="6A168634" w14:textId="77777777" w:rsidR="00656367" w:rsidRPr="00F343ED" w:rsidRDefault="00656367" w:rsidP="00622AC7">
            <w:pPr>
              <w:spacing w:line="240" w:lineRule="auto"/>
              <w:jc w:val="center"/>
              <w:rPr>
                <w:rFonts w:cs="Times New Roman"/>
                <w:sz w:val="22"/>
              </w:rPr>
            </w:pPr>
            <w:r w:rsidRPr="00F343ED">
              <w:rPr>
                <w:rFonts w:cs="Times New Roman"/>
                <w:sz w:val="22"/>
              </w:rPr>
              <w:t>Types of services and products</w:t>
            </w:r>
          </w:p>
        </w:tc>
      </w:tr>
      <w:tr w:rsidR="00656367" w:rsidRPr="00F343ED" w14:paraId="5DC9B6BF" w14:textId="77777777" w:rsidTr="00622AC7">
        <w:tc>
          <w:tcPr>
            <w:tcW w:w="1269" w:type="dxa"/>
            <w:vMerge/>
            <w:vAlign w:val="center"/>
          </w:tcPr>
          <w:p w14:paraId="6CE7B033" w14:textId="77777777" w:rsidR="00656367" w:rsidRPr="00F343ED" w:rsidRDefault="00656367" w:rsidP="00622AC7">
            <w:pPr>
              <w:spacing w:line="240" w:lineRule="auto"/>
              <w:jc w:val="center"/>
              <w:rPr>
                <w:rFonts w:cs="Times New Roman"/>
                <w:sz w:val="22"/>
              </w:rPr>
            </w:pPr>
          </w:p>
        </w:tc>
        <w:tc>
          <w:tcPr>
            <w:tcW w:w="1414" w:type="dxa"/>
            <w:vMerge/>
            <w:vAlign w:val="center"/>
          </w:tcPr>
          <w:p w14:paraId="0F5F92EF" w14:textId="77777777" w:rsidR="00656367" w:rsidRPr="00F343ED" w:rsidRDefault="00656367" w:rsidP="00622AC7">
            <w:pPr>
              <w:spacing w:line="240" w:lineRule="auto"/>
              <w:jc w:val="center"/>
              <w:rPr>
                <w:rFonts w:cs="Times New Roman"/>
                <w:sz w:val="22"/>
              </w:rPr>
            </w:pPr>
          </w:p>
        </w:tc>
        <w:tc>
          <w:tcPr>
            <w:tcW w:w="2274" w:type="dxa"/>
          </w:tcPr>
          <w:p w14:paraId="60949EC8" w14:textId="77777777" w:rsidR="00656367" w:rsidRPr="00F343ED" w:rsidRDefault="00656367" w:rsidP="00622AC7">
            <w:pPr>
              <w:spacing w:line="240" w:lineRule="auto"/>
              <w:jc w:val="center"/>
              <w:rPr>
                <w:rFonts w:cs="Times New Roman"/>
                <w:b/>
                <w:bCs/>
                <w:sz w:val="22"/>
              </w:rPr>
            </w:pPr>
            <w:r w:rsidRPr="00F343ED">
              <w:rPr>
                <w:rFonts w:cs="Times New Roman"/>
                <w:b/>
                <w:bCs/>
                <w:sz w:val="22"/>
              </w:rPr>
              <w:t>Low</w:t>
            </w:r>
          </w:p>
          <w:p w14:paraId="409C5531" w14:textId="77777777" w:rsidR="00656367" w:rsidRPr="00F343ED" w:rsidRDefault="00656367" w:rsidP="00622AC7">
            <w:pPr>
              <w:spacing w:line="240" w:lineRule="auto"/>
              <w:rPr>
                <w:rFonts w:cs="Times New Roman"/>
                <w:sz w:val="22"/>
              </w:rPr>
            </w:pPr>
            <w:r w:rsidRPr="00F343ED">
              <w:rPr>
                <w:rFonts w:cs="Times New Roman"/>
                <w:sz w:val="22"/>
              </w:rPr>
              <w:t>Various types of services and products</w:t>
            </w:r>
          </w:p>
        </w:tc>
        <w:tc>
          <w:tcPr>
            <w:tcW w:w="2211" w:type="dxa"/>
          </w:tcPr>
          <w:p w14:paraId="487D2047" w14:textId="77777777" w:rsidR="00656367" w:rsidRPr="00F343ED" w:rsidRDefault="00656367" w:rsidP="00622AC7">
            <w:pPr>
              <w:spacing w:line="240" w:lineRule="auto"/>
              <w:jc w:val="center"/>
              <w:rPr>
                <w:rFonts w:cs="Times New Roman"/>
                <w:b/>
                <w:bCs/>
                <w:sz w:val="22"/>
              </w:rPr>
            </w:pPr>
            <w:r w:rsidRPr="00F343ED">
              <w:rPr>
                <w:rFonts w:cs="Times New Roman"/>
                <w:b/>
                <w:bCs/>
                <w:sz w:val="22"/>
              </w:rPr>
              <w:t>Medium</w:t>
            </w:r>
          </w:p>
          <w:p w14:paraId="034C17B7" w14:textId="77777777" w:rsidR="00656367" w:rsidRPr="00F343ED" w:rsidRDefault="00656367" w:rsidP="00622AC7">
            <w:pPr>
              <w:spacing w:line="240" w:lineRule="auto"/>
              <w:rPr>
                <w:rFonts w:cs="Times New Roman"/>
                <w:sz w:val="22"/>
              </w:rPr>
            </w:pPr>
            <w:r w:rsidRPr="00F343ED">
              <w:rPr>
                <w:rFonts w:cs="Times New Roman"/>
                <w:sz w:val="22"/>
              </w:rPr>
              <w:t>Several types of services and products</w:t>
            </w:r>
          </w:p>
        </w:tc>
        <w:tc>
          <w:tcPr>
            <w:tcW w:w="1848" w:type="dxa"/>
          </w:tcPr>
          <w:p w14:paraId="19368BBE" w14:textId="77777777" w:rsidR="00656367" w:rsidRPr="00F343ED" w:rsidRDefault="00656367" w:rsidP="00622AC7">
            <w:pPr>
              <w:spacing w:line="240" w:lineRule="auto"/>
              <w:jc w:val="center"/>
              <w:rPr>
                <w:rFonts w:cs="Times New Roman"/>
                <w:b/>
                <w:bCs/>
                <w:sz w:val="22"/>
              </w:rPr>
            </w:pPr>
            <w:r w:rsidRPr="00F343ED">
              <w:rPr>
                <w:rFonts w:cs="Times New Roman"/>
                <w:b/>
                <w:bCs/>
                <w:sz w:val="22"/>
              </w:rPr>
              <w:t>High</w:t>
            </w:r>
          </w:p>
          <w:p w14:paraId="5C9BBDB5" w14:textId="77777777" w:rsidR="00656367" w:rsidRPr="00F343ED" w:rsidRDefault="00656367" w:rsidP="00622AC7">
            <w:pPr>
              <w:spacing w:line="240" w:lineRule="auto"/>
              <w:rPr>
                <w:rFonts w:cs="Times New Roman"/>
                <w:sz w:val="22"/>
              </w:rPr>
            </w:pPr>
            <w:r w:rsidRPr="00F343ED">
              <w:rPr>
                <w:rFonts w:cs="Times New Roman"/>
                <w:sz w:val="22"/>
              </w:rPr>
              <w:t>Cluster of one type of service or similar products</w:t>
            </w:r>
          </w:p>
        </w:tc>
      </w:tr>
      <w:tr w:rsidR="00656367" w:rsidRPr="00F343ED" w14:paraId="285F8321" w14:textId="77777777" w:rsidTr="00622AC7">
        <w:tc>
          <w:tcPr>
            <w:tcW w:w="1269" w:type="dxa"/>
            <w:vMerge/>
            <w:vAlign w:val="center"/>
          </w:tcPr>
          <w:p w14:paraId="1E74B01B" w14:textId="77777777" w:rsidR="00656367" w:rsidRPr="00F343ED" w:rsidRDefault="00656367" w:rsidP="00622AC7">
            <w:pPr>
              <w:spacing w:line="240" w:lineRule="auto"/>
              <w:jc w:val="center"/>
              <w:rPr>
                <w:rFonts w:cs="Times New Roman"/>
                <w:sz w:val="22"/>
              </w:rPr>
            </w:pPr>
          </w:p>
        </w:tc>
        <w:tc>
          <w:tcPr>
            <w:tcW w:w="1414" w:type="dxa"/>
            <w:vMerge w:val="restart"/>
            <w:vAlign w:val="center"/>
          </w:tcPr>
          <w:p w14:paraId="7D94B2CD" w14:textId="77777777" w:rsidR="00656367" w:rsidRPr="00F343ED" w:rsidRDefault="00656367" w:rsidP="00622AC7">
            <w:pPr>
              <w:spacing w:line="240" w:lineRule="auto"/>
              <w:jc w:val="center"/>
              <w:rPr>
                <w:rFonts w:cs="Times New Roman"/>
                <w:sz w:val="22"/>
              </w:rPr>
            </w:pPr>
            <w:r w:rsidRPr="00F343ED">
              <w:rPr>
                <w:rFonts w:cs="Times New Roman"/>
                <w:sz w:val="22"/>
              </w:rPr>
              <w:t>Logistic accessibility</w:t>
            </w:r>
          </w:p>
        </w:tc>
        <w:tc>
          <w:tcPr>
            <w:tcW w:w="6333" w:type="dxa"/>
            <w:gridSpan w:val="3"/>
          </w:tcPr>
          <w:p w14:paraId="4C9C6F1D" w14:textId="77777777" w:rsidR="00656367" w:rsidRPr="00F343ED" w:rsidRDefault="00656367" w:rsidP="00622AC7">
            <w:pPr>
              <w:spacing w:line="240" w:lineRule="auto"/>
              <w:jc w:val="center"/>
              <w:rPr>
                <w:rFonts w:cs="Times New Roman"/>
                <w:sz w:val="22"/>
              </w:rPr>
            </w:pPr>
            <w:r w:rsidRPr="00F343ED">
              <w:rPr>
                <w:rFonts w:cs="Times New Roman"/>
                <w:sz w:val="22"/>
              </w:rPr>
              <w:t>Level of access to the destination</w:t>
            </w:r>
          </w:p>
        </w:tc>
      </w:tr>
      <w:tr w:rsidR="00656367" w:rsidRPr="00F343ED" w14:paraId="06663E99" w14:textId="77777777" w:rsidTr="00622AC7">
        <w:trPr>
          <w:trHeight w:val="1381"/>
        </w:trPr>
        <w:tc>
          <w:tcPr>
            <w:tcW w:w="1269" w:type="dxa"/>
            <w:vMerge/>
            <w:vAlign w:val="center"/>
          </w:tcPr>
          <w:p w14:paraId="7336496C" w14:textId="77777777" w:rsidR="00656367" w:rsidRPr="00F343ED" w:rsidRDefault="00656367" w:rsidP="00622AC7">
            <w:pPr>
              <w:spacing w:line="240" w:lineRule="auto"/>
              <w:jc w:val="center"/>
              <w:rPr>
                <w:rFonts w:cs="Times New Roman"/>
                <w:sz w:val="22"/>
              </w:rPr>
            </w:pPr>
          </w:p>
        </w:tc>
        <w:tc>
          <w:tcPr>
            <w:tcW w:w="1414" w:type="dxa"/>
            <w:vMerge/>
            <w:vAlign w:val="center"/>
          </w:tcPr>
          <w:p w14:paraId="04ABBC88" w14:textId="77777777" w:rsidR="00656367" w:rsidRPr="00F343ED" w:rsidRDefault="00656367" w:rsidP="00622AC7">
            <w:pPr>
              <w:spacing w:line="240" w:lineRule="auto"/>
              <w:jc w:val="center"/>
              <w:rPr>
                <w:rFonts w:cs="Times New Roman"/>
                <w:sz w:val="22"/>
              </w:rPr>
            </w:pPr>
          </w:p>
        </w:tc>
        <w:tc>
          <w:tcPr>
            <w:tcW w:w="2274" w:type="dxa"/>
          </w:tcPr>
          <w:p w14:paraId="4B6C7077" w14:textId="77777777" w:rsidR="00656367" w:rsidRPr="00F343ED" w:rsidRDefault="00656367" w:rsidP="00622AC7">
            <w:pPr>
              <w:spacing w:line="240" w:lineRule="auto"/>
              <w:jc w:val="center"/>
              <w:rPr>
                <w:rFonts w:cs="Times New Roman"/>
                <w:b/>
                <w:bCs/>
                <w:sz w:val="22"/>
              </w:rPr>
            </w:pPr>
            <w:r w:rsidRPr="00F343ED">
              <w:rPr>
                <w:rFonts w:cs="Times New Roman"/>
                <w:b/>
                <w:bCs/>
                <w:sz w:val="22"/>
              </w:rPr>
              <w:t>Bad</w:t>
            </w:r>
          </w:p>
          <w:p w14:paraId="1A2374E0" w14:textId="77777777" w:rsidR="00656367" w:rsidRPr="00F343ED" w:rsidRDefault="00656367" w:rsidP="00622AC7">
            <w:pPr>
              <w:spacing w:line="240" w:lineRule="auto"/>
              <w:rPr>
                <w:rFonts w:cs="Times New Roman"/>
                <w:sz w:val="22"/>
              </w:rPr>
            </w:pPr>
            <w:r w:rsidRPr="00F343ED">
              <w:rPr>
                <w:rFonts w:cs="Times New Roman"/>
                <w:sz w:val="22"/>
              </w:rPr>
              <w:t>Poor access between the shop and the parking (e.g., no loading bays)</w:t>
            </w:r>
          </w:p>
        </w:tc>
        <w:tc>
          <w:tcPr>
            <w:tcW w:w="2211" w:type="dxa"/>
          </w:tcPr>
          <w:p w14:paraId="5D478193" w14:textId="77777777" w:rsidR="00656367" w:rsidRPr="00F343ED" w:rsidRDefault="00656367" w:rsidP="00622AC7">
            <w:pPr>
              <w:spacing w:line="240" w:lineRule="auto"/>
              <w:jc w:val="center"/>
              <w:rPr>
                <w:rFonts w:cs="Times New Roman"/>
                <w:b/>
                <w:bCs/>
                <w:sz w:val="22"/>
              </w:rPr>
            </w:pPr>
            <w:r w:rsidRPr="00F343ED">
              <w:rPr>
                <w:rFonts w:cs="Times New Roman"/>
                <w:b/>
                <w:bCs/>
                <w:sz w:val="22"/>
              </w:rPr>
              <w:t>Reasonable</w:t>
            </w:r>
          </w:p>
          <w:p w14:paraId="1B42DA31" w14:textId="77777777" w:rsidR="00656367" w:rsidRPr="00F343ED" w:rsidRDefault="00656367" w:rsidP="00622AC7">
            <w:pPr>
              <w:spacing w:line="240" w:lineRule="auto"/>
              <w:rPr>
                <w:rFonts w:cs="Times New Roman"/>
                <w:sz w:val="22"/>
              </w:rPr>
            </w:pPr>
            <w:r w:rsidRPr="00F343ED">
              <w:rPr>
                <w:rFonts w:cs="Times New Roman"/>
                <w:sz w:val="22"/>
              </w:rPr>
              <w:t>Some specific measures to consider logistics needs (e.g., non-exclusive loading bays)</w:t>
            </w:r>
          </w:p>
        </w:tc>
        <w:tc>
          <w:tcPr>
            <w:tcW w:w="1848" w:type="dxa"/>
          </w:tcPr>
          <w:p w14:paraId="6EB951F4" w14:textId="77777777" w:rsidR="00656367" w:rsidRPr="00F343ED" w:rsidRDefault="00656367" w:rsidP="00622AC7">
            <w:pPr>
              <w:spacing w:line="240" w:lineRule="auto"/>
              <w:jc w:val="center"/>
              <w:rPr>
                <w:rFonts w:cs="Times New Roman"/>
                <w:b/>
                <w:bCs/>
                <w:sz w:val="22"/>
              </w:rPr>
            </w:pPr>
            <w:r w:rsidRPr="00F343ED">
              <w:rPr>
                <w:rFonts w:cs="Times New Roman"/>
                <w:b/>
                <w:bCs/>
                <w:sz w:val="22"/>
              </w:rPr>
              <w:t>Good</w:t>
            </w:r>
          </w:p>
          <w:p w14:paraId="5689FAC5" w14:textId="77777777" w:rsidR="00656367" w:rsidRPr="00F343ED" w:rsidRDefault="00656367" w:rsidP="00622AC7">
            <w:pPr>
              <w:spacing w:line="240" w:lineRule="auto"/>
              <w:rPr>
                <w:rFonts w:cs="Times New Roman"/>
                <w:sz w:val="22"/>
              </w:rPr>
            </w:pPr>
            <w:r w:rsidRPr="00F343ED">
              <w:rPr>
                <w:rFonts w:cs="Times New Roman"/>
                <w:sz w:val="22"/>
              </w:rPr>
              <w:t>Transport network suited to logistics needs (e.g., exclusive</w:t>
            </w:r>
            <w:r w:rsidRPr="00F343ED">
              <w:rPr>
                <w:rFonts w:cs="Times New Roman"/>
                <w:sz w:val="22"/>
              </w:rPr>
              <w:br/>
              <w:t>loading bays)</w:t>
            </w:r>
          </w:p>
        </w:tc>
      </w:tr>
      <w:tr w:rsidR="00656367" w:rsidRPr="00F343ED" w14:paraId="7D3E7695" w14:textId="77777777" w:rsidTr="00622AC7">
        <w:tc>
          <w:tcPr>
            <w:tcW w:w="1269" w:type="dxa"/>
            <w:vMerge/>
            <w:vAlign w:val="center"/>
          </w:tcPr>
          <w:p w14:paraId="1B7C1DB2" w14:textId="77777777" w:rsidR="00656367" w:rsidRPr="00F343ED" w:rsidRDefault="00656367" w:rsidP="00622AC7">
            <w:pPr>
              <w:spacing w:line="240" w:lineRule="auto"/>
              <w:jc w:val="center"/>
              <w:rPr>
                <w:rFonts w:cs="Times New Roman"/>
                <w:sz w:val="22"/>
              </w:rPr>
            </w:pPr>
          </w:p>
        </w:tc>
        <w:tc>
          <w:tcPr>
            <w:tcW w:w="1414" w:type="dxa"/>
            <w:vAlign w:val="center"/>
          </w:tcPr>
          <w:p w14:paraId="038BEC4A" w14:textId="77777777" w:rsidR="00656367" w:rsidRPr="00F343ED" w:rsidRDefault="00656367" w:rsidP="00622AC7">
            <w:pPr>
              <w:spacing w:line="240" w:lineRule="auto"/>
              <w:jc w:val="center"/>
              <w:rPr>
                <w:rFonts w:cs="Times New Roman"/>
                <w:sz w:val="22"/>
              </w:rPr>
            </w:pPr>
            <w:r w:rsidRPr="00F343ED">
              <w:rPr>
                <w:rFonts w:cs="Times New Roman"/>
                <w:sz w:val="22"/>
              </w:rPr>
              <w:t>Restriction applied</w:t>
            </w:r>
          </w:p>
        </w:tc>
        <w:tc>
          <w:tcPr>
            <w:tcW w:w="2274" w:type="dxa"/>
            <w:vAlign w:val="center"/>
          </w:tcPr>
          <w:p w14:paraId="29F49652" w14:textId="77777777" w:rsidR="00656367" w:rsidRPr="00F343ED" w:rsidRDefault="00656367" w:rsidP="00622AC7">
            <w:pPr>
              <w:spacing w:line="240" w:lineRule="auto"/>
              <w:jc w:val="center"/>
              <w:rPr>
                <w:rFonts w:cs="Times New Roman"/>
                <w:b/>
                <w:bCs/>
                <w:sz w:val="22"/>
              </w:rPr>
            </w:pPr>
            <w:r w:rsidRPr="00F343ED">
              <w:rPr>
                <w:rFonts w:cs="Times New Roman"/>
                <w:b/>
                <w:bCs/>
                <w:sz w:val="22"/>
              </w:rPr>
              <w:t>Yes</w:t>
            </w:r>
          </w:p>
        </w:tc>
        <w:tc>
          <w:tcPr>
            <w:tcW w:w="2211" w:type="dxa"/>
            <w:vAlign w:val="center"/>
          </w:tcPr>
          <w:p w14:paraId="27378D8D" w14:textId="77777777" w:rsidR="00656367" w:rsidRPr="00F343ED" w:rsidRDefault="00656367" w:rsidP="00622AC7">
            <w:pPr>
              <w:spacing w:line="240" w:lineRule="auto"/>
              <w:jc w:val="center"/>
              <w:rPr>
                <w:rFonts w:cs="Times New Roman"/>
                <w:b/>
                <w:bCs/>
                <w:sz w:val="22"/>
              </w:rPr>
            </w:pPr>
            <w:r w:rsidRPr="00F343ED">
              <w:rPr>
                <w:rFonts w:cs="Times New Roman"/>
                <w:b/>
                <w:bCs/>
                <w:sz w:val="22"/>
              </w:rPr>
              <w:t>No</w:t>
            </w:r>
          </w:p>
        </w:tc>
        <w:tc>
          <w:tcPr>
            <w:tcW w:w="1848" w:type="dxa"/>
          </w:tcPr>
          <w:p w14:paraId="193E11D2" w14:textId="77777777" w:rsidR="00656367" w:rsidRPr="00F343ED" w:rsidRDefault="00656367" w:rsidP="00622AC7">
            <w:pPr>
              <w:spacing w:line="240" w:lineRule="auto"/>
              <w:rPr>
                <w:rFonts w:cs="Times New Roman"/>
                <w:sz w:val="22"/>
              </w:rPr>
            </w:pPr>
          </w:p>
        </w:tc>
      </w:tr>
      <w:tr w:rsidR="00656367" w:rsidRPr="00F343ED" w14:paraId="1E807793" w14:textId="77777777" w:rsidTr="00622AC7">
        <w:tc>
          <w:tcPr>
            <w:tcW w:w="1269" w:type="dxa"/>
            <w:vMerge w:val="restart"/>
            <w:vAlign w:val="center"/>
          </w:tcPr>
          <w:p w14:paraId="60583567" w14:textId="77777777" w:rsidR="00656367" w:rsidRPr="00F343ED" w:rsidRDefault="00656367" w:rsidP="00622AC7">
            <w:pPr>
              <w:spacing w:line="240" w:lineRule="auto"/>
              <w:jc w:val="center"/>
              <w:rPr>
                <w:rFonts w:cs="Times New Roman"/>
                <w:sz w:val="22"/>
              </w:rPr>
            </w:pPr>
            <w:r w:rsidRPr="00F343ED">
              <w:rPr>
                <w:rFonts w:cs="Times New Roman"/>
                <w:sz w:val="22"/>
              </w:rPr>
              <w:t>Product properties</w:t>
            </w:r>
          </w:p>
        </w:tc>
        <w:tc>
          <w:tcPr>
            <w:tcW w:w="1414" w:type="dxa"/>
            <w:vMerge w:val="restart"/>
            <w:vAlign w:val="center"/>
          </w:tcPr>
          <w:p w14:paraId="33059340" w14:textId="77777777" w:rsidR="00656367" w:rsidRPr="00F343ED" w:rsidRDefault="00656367" w:rsidP="00622AC7">
            <w:pPr>
              <w:spacing w:line="240" w:lineRule="auto"/>
              <w:jc w:val="center"/>
              <w:rPr>
                <w:rFonts w:cs="Times New Roman"/>
                <w:sz w:val="22"/>
              </w:rPr>
            </w:pPr>
            <w:r w:rsidRPr="00F343ED">
              <w:rPr>
                <w:rFonts w:cs="Times New Roman"/>
                <w:sz w:val="22"/>
              </w:rPr>
              <w:t>Ease of goods handling</w:t>
            </w:r>
          </w:p>
        </w:tc>
        <w:tc>
          <w:tcPr>
            <w:tcW w:w="6333" w:type="dxa"/>
            <w:gridSpan w:val="3"/>
          </w:tcPr>
          <w:p w14:paraId="77EEC820" w14:textId="77777777" w:rsidR="00656367" w:rsidRPr="00F343ED" w:rsidRDefault="00656367" w:rsidP="00622AC7">
            <w:pPr>
              <w:spacing w:line="240" w:lineRule="auto"/>
              <w:jc w:val="center"/>
              <w:rPr>
                <w:rFonts w:cs="Times New Roman"/>
                <w:sz w:val="22"/>
              </w:rPr>
            </w:pPr>
            <w:r w:rsidRPr="00F343ED">
              <w:rPr>
                <w:rFonts w:cs="Times New Roman"/>
                <w:sz w:val="22"/>
              </w:rPr>
              <w:t>Complexity of goods handling</w:t>
            </w:r>
          </w:p>
        </w:tc>
      </w:tr>
      <w:tr w:rsidR="00656367" w:rsidRPr="00F343ED" w14:paraId="594EAFD9" w14:textId="77777777" w:rsidTr="00622AC7">
        <w:trPr>
          <w:trHeight w:val="669"/>
        </w:trPr>
        <w:tc>
          <w:tcPr>
            <w:tcW w:w="1269" w:type="dxa"/>
            <w:vMerge/>
          </w:tcPr>
          <w:p w14:paraId="4178174C" w14:textId="77777777" w:rsidR="00656367" w:rsidRPr="00F343ED" w:rsidRDefault="00656367" w:rsidP="00622AC7">
            <w:pPr>
              <w:spacing w:line="240" w:lineRule="auto"/>
              <w:jc w:val="center"/>
              <w:rPr>
                <w:rFonts w:cs="Times New Roman"/>
                <w:sz w:val="22"/>
              </w:rPr>
            </w:pPr>
          </w:p>
        </w:tc>
        <w:tc>
          <w:tcPr>
            <w:tcW w:w="1414" w:type="dxa"/>
            <w:vMerge/>
            <w:vAlign w:val="center"/>
          </w:tcPr>
          <w:p w14:paraId="372290BB" w14:textId="77777777" w:rsidR="00656367" w:rsidRPr="00F343ED" w:rsidRDefault="00656367" w:rsidP="00622AC7">
            <w:pPr>
              <w:spacing w:line="240" w:lineRule="auto"/>
              <w:jc w:val="center"/>
              <w:rPr>
                <w:rFonts w:cs="Times New Roman"/>
                <w:sz w:val="22"/>
              </w:rPr>
            </w:pPr>
          </w:p>
        </w:tc>
        <w:tc>
          <w:tcPr>
            <w:tcW w:w="2274" w:type="dxa"/>
          </w:tcPr>
          <w:p w14:paraId="441732C5" w14:textId="77777777" w:rsidR="00656367" w:rsidRPr="00F343ED" w:rsidRDefault="00656367" w:rsidP="00622AC7">
            <w:pPr>
              <w:spacing w:line="240" w:lineRule="auto"/>
              <w:jc w:val="center"/>
              <w:rPr>
                <w:rFonts w:cs="Times New Roman"/>
                <w:b/>
                <w:bCs/>
                <w:sz w:val="22"/>
              </w:rPr>
            </w:pPr>
            <w:r w:rsidRPr="00F343ED">
              <w:rPr>
                <w:rFonts w:cs="Times New Roman"/>
                <w:b/>
                <w:bCs/>
                <w:sz w:val="22"/>
              </w:rPr>
              <w:t>Difficult</w:t>
            </w:r>
          </w:p>
          <w:p w14:paraId="49038B6E" w14:textId="77777777" w:rsidR="00656367" w:rsidRPr="00F343ED" w:rsidRDefault="00656367" w:rsidP="00622AC7">
            <w:pPr>
              <w:spacing w:line="240" w:lineRule="auto"/>
              <w:jc w:val="center"/>
              <w:rPr>
                <w:rFonts w:cs="Times New Roman"/>
                <w:sz w:val="22"/>
              </w:rPr>
            </w:pPr>
            <w:r w:rsidRPr="00F343ED">
              <w:rPr>
                <w:rFonts w:cs="Times New Roman"/>
                <w:sz w:val="22"/>
              </w:rPr>
              <w:t>Goods handled by</w:t>
            </w:r>
          </w:p>
          <w:p w14:paraId="2808C8F7" w14:textId="77777777" w:rsidR="00656367" w:rsidRPr="00F343ED" w:rsidRDefault="00656367" w:rsidP="00622AC7">
            <w:pPr>
              <w:spacing w:line="240" w:lineRule="auto"/>
              <w:jc w:val="center"/>
              <w:rPr>
                <w:rFonts w:cs="Times New Roman"/>
                <w:sz w:val="22"/>
              </w:rPr>
            </w:pPr>
            <w:r w:rsidRPr="00F343ED">
              <w:rPr>
                <w:rFonts w:cs="Times New Roman"/>
                <w:sz w:val="22"/>
              </w:rPr>
              <w:t>wheelbarrow or crane</w:t>
            </w:r>
          </w:p>
        </w:tc>
        <w:tc>
          <w:tcPr>
            <w:tcW w:w="2211" w:type="dxa"/>
          </w:tcPr>
          <w:p w14:paraId="74126293" w14:textId="77777777" w:rsidR="00656367" w:rsidRPr="00F343ED" w:rsidRDefault="00656367" w:rsidP="00622AC7">
            <w:pPr>
              <w:spacing w:line="240" w:lineRule="auto"/>
              <w:jc w:val="center"/>
              <w:rPr>
                <w:rFonts w:cs="Times New Roman"/>
                <w:b/>
                <w:bCs/>
                <w:sz w:val="22"/>
              </w:rPr>
            </w:pPr>
            <w:r w:rsidRPr="00F343ED">
              <w:rPr>
                <w:rFonts w:cs="Times New Roman"/>
                <w:b/>
                <w:bCs/>
                <w:sz w:val="22"/>
              </w:rPr>
              <w:t>Reasonable</w:t>
            </w:r>
          </w:p>
          <w:p w14:paraId="005CA01C" w14:textId="77777777" w:rsidR="00656367" w:rsidRPr="00F343ED" w:rsidRDefault="00656367" w:rsidP="00622AC7">
            <w:pPr>
              <w:spacing w:line="240" w:lineRule="auto"/>
              <w:jc w:val="center"/>
              <w:rPr>
                <w:rFonts w:cs="Times New Roman"/>
                <w:sz w:val="22"/>
              </w:rPr>
            </w:pPr>
            <w:r w:rsidRPr="00F343ED">
              <w:rPr>
                <w:rFonts w:cs="Times New Roman"/>
                <w:sz w:val="22"/>
              </w:rPr>
              <w:t>Goods handled manually (&gt; 1 person to carry one unit)</w:t>
            </w:r>
          </w:p>
        </w:tc>
        <w:tc>
          <w:tcPr>
            <w:tcW w:w="1848" w:type="dxa"/>
          </w:tcPr>
          <w:p w14:paraId="7C770BA3" w14:textId="77777777" w:rsidR="00656367" w:rsidRPr="00F343ED" w:rsidRDefault="00656367" w:rsidP="00622AC7">
            <w:pPr>
              <w:spacing w:line="240" w:lineRule="auto"/>
              <w:jc w:val="center"/>
              <w:rPr>
                <w:rFonts w:cs="Times New Roman"/>
                <w:b/>
                <w:bCs/>
                <w:sz w:val="22"/>
              </w:rPr>
            </w:pPr>
            <w:r w:rsidRPr="00F343ED">
              <w:rPr>
                <w:rFonts w:cs="Times New Roman"/>
                <w:b/>
                <w:bCs/>
                <w:sz w:val="22"/>
              </w:rPr>
              <w:t>Easy</w:t>
            </w:r>
          </w:p>
          <w:p w14:paraId="7E0678A1" w14:textId="77777777" w:rsidR="00656367" w:rsidRPr="00F343ED" w:rsidRDefault="00656367" w:rsidP="00622AC7">
            <w:pPr>
              <w:spacing w:line="240" w:lineRule="auto"/>
              <w:rPr>
                <w:rFonts w:cs="Times New Roman"/>
                <w:sz w:val="22"/>
              </w:rPr>
            </w:pPr>
            <w:r w:rsidRPr="00F343ED">
              <w:rPr>
                <w:rFonts w:cs="Times New Roman"/>
                <w:sz w:val="22"/>
              </w:rPr>
              <w:t>Goods handled manually (&lt;1 person to carry one unit)</w:t>
            </w:r>
          </w:p>
        </w:tc>
      </w:tr>
      <w:tr w:rsidR="00656367" w:rsidRPr="00F343ED" w14:paraId="31B158F0" w14:textId="77777777" w:rsidTr="00622AC7">
        <w:tc>
          <w:tcPr>
            <w:tcW w:w="1269" w:type="dxa"/>
            <w:vMerge/>
          </w:tcPr>
          <w:p w14:paraId="3ABCFF4F" w14:textId="77777777" w:rsidR="00656367" w:rsidRPr="00F343ED" w:rsidRDefault="00656367" w:rsidP="00622AC7">
            <w:pPr>
              <w:spacing w:line="240" w:lineRule="auto"/>
              <w:jc w:val="center"/>
              <w:rPr>
                <w:rFonts w:cs="Times New Roman"/>
                <w:sz w:val="22"/>
              </w:rPr>
            </w:pPr>
          </w:p>
        </w:tc>
        <w:tc>
          <w:tcPr>
            <w:tcW w:w="1414" w:type="dxa"/>
            <w:vMerge w:val="restart"/>
            <w:vAlign w:val="center"/>
          </w:tcPr>
          <w:p w14:paraId="7F9B4D9E" w14:textId="77777777" w:rsidR="00656367" w:rsidRPr="00F343ED" w:rsidRDefault="00656367" w:rsidP="00622AC7">
            <w:pPr>
              <w:spacing w:line="240" w:lineRule="auto"/>
              <w:jc w:val="center"/>
              <w:rPr>
                <w:rFonts w:cs="Times New Roman"/>
                <w:sz w:val="22"/>
              </w:rPr>
            </w:pPr>
            <w:r w:rsidRPr="00F343ED">
              <w:rPr>
                <w:rFonts w:cs="Times New Roman"/>
                <w:sz w:val="22"/>
              </w:rPr>
              <w:t>Special conditions</w:t>
            </w:r>
          </w:p>
        </w:tc>
        <w:tc>
          <w:tcPr>
            <w:tcW w:w="6333" w:type="dxa"/>
            <w:gridSpan w:val="3"/>
          </w:tcPr>
          <w:p w14:paraId="03FD9107" w14:textId="77777777" w:rsidR="00656367" w:rsidRPr="00F343ED" w:rsidRDefault="00656367" w:rsidP="00622AC7">
            <w:pPr>
              <w:spacing w:line="240" w:lineRule="auto"/>
              <w:jc w:val="center"/>
              <w:rPr>
                <w:rFonts w:cs="Times New Roman"/>
                <w:sz w:val="22"/>
              </w:rPr>
            </w:pPr>
            <w:r w:rsidRPr="00F343ED">
              <w:rPr>
                <w:rFonts w:cs="Times New Roman"/>
                <w:sz w:val="22"/>
              </w:rPr>
              <w:t>Product attributes</w:t>
            </w:r>
          </w:p>
        </w:tc>
      </w:tr>
      <w:tr w:rsidR="00656367" w:rsidRPr="00F343ED" w14:paraId="4B7018CF" w14:textId="77777777" w:rsidTr="00622AC7">
        <w:tc>
          <w:tcPr>
            <w:tcW w:w="1269" w:type="dxa"/>
            <w:vMerge/>
          </w:tcPr>
          <w:p w14:paraId="7BADCD25" w14:textId="77777777" w:rsidR="00656367" w:rsidRPr="00F343ED" w:rsidRDefault="00656367" w:rsidP="00622AC7">
            <w:pPr>
              <w:spacing w:line="240" w:lineRule="auto"/>
              <w:jc w:val="center"/>
              <w:rPr>
                <w:rFonts w:cs="Times New Roman"/>
                <w:sz w:val="22"/>
              </w:rPr>
            </w:pPr>
          </w:p>
        </w:tc>
        <w:tc>
          <w:tcPr>
            <w:tcW w:w="1414" w:type="dxa"/>
            <w:vMerge/>
            <w:vAlign w:val="center"/>
          </w:tcPr>
          <w:p w14:paraId="55A3FC1A" w14:textId="77777777" w:rsidR="00656367" w:rsidRPr="00F343ED" w:rsidRDefault="00656367" w:rsidP="00622AC7">
            <w:pPr>
              <w:spacing w:line="240" w:lineRule="auto"/>
              <w:jc w:val="center"/>
              <w:rPr>
                <w:rFonts w:cs="Times New Roman"/>
                <w:sz w:val="22"/>
              </w:rPr>
            </w:pPr>
          </w:p>
        </w:tc>
        <w:tc>
          <w:tcPr>
            <w:tcW w:w="2274" w:type="dxa"/>
          </w:tcPr>
          <w:p w14:paraId="0F0B4E6F" w14:textId="77777777" w:rsidR="00656367" w:rsidRPr="00F343ED" w:rsidRDefault="00656367" w:rsidP="00622AC7">
            <w:pPr>
              <w:spacing w:line="240" w:lineRule="auto"/>
              <w:jc w:val="center"/>
              <w:rPr>
                <w:rFonts w:cs="Times New Roman"/>
                <w:b/>
                <w:bCs/>
                <w:sz w:val="22"/>
              </w:rPr>
            </w:pPr>
            <w:r w:rsidRPr="00F343ED">
              <w:rPr>
                <w:rFonts w:cs="Times New Roman"/>
                <w:b/>
                <w:bCs/>
                <w:sz w:val="22"/>
              </w:rPr>
              <w:t>Special needs</w:t>
            </w:r>
          </w:p>
          <w:p w14:paraId="3FCCBBC3" w14:textId="37C072C6" w:rsidR="00656367" w:rsidRPr="00F343ED" w:rsidRDefault="00656367" w:rsidP="00622AC7">
            <w:pPr>
              <w:spacing w:line="240" w:lineRule="auto"/>
              <w:jc w:val="left"/>
              <w:rPr>
                <w:rFonts w:cs="Times New Roman"/>
                <w:sz w:val="22"/>
              </w:rPr>
            </w:pPr>
            <w:r w:rsidRPr="00F343ED">
              <w:rPr>
                <w:rFonts w:cs="Times New Roman"/>
                <w:sz w:val="22"/>
              </w:rPr>
              <w:t xml:space="preserve">Fragile, perishable </w:t>
            </w:r>
            <w:r w:rsidR="00EB2134" w:rsidRPr="00F343ED">
              <w:rPr>
                <w:rFonts w:cs="Times New Roman"/>
                <w:sz w:val="22"/>
              </w:rPr>
              <w:t>products,</w:t>
            </w:r>
            <w:r w:rsidRPr="00F343ED">
              <w:rPr>
                <w:rFonts w:cs="Times New Roman"/>
                <w:sz w:val="22"/>
              </w:rPr>
              <w:t xml:space="preserve"> e.g., valuable products, frozen products, etc.</w:t>
            </w:r>
          </w:p>
        </w:tc>
        <w:tc>
          <w:tcPr>
            <w:tcW w:w="2211" w:type="dxa"/>
          </w:tcPr>
          <w:p w14:paraId="2C4BED9A" w14:textId="77777777" w:rsidR="00656367" w:rsidRPr="00F343ED" w:rsidRDefault="00656367" w:rsidP="00622AC7">
            <w:pPr>
              <w:spacing w:line="240" w:lineRule="auto"/>
              <w:jc w:val="center"/>
              <w:rPr>
                <w:rFonts w:cs="Times New Roman"/>
                <w:b/>
                <w:bCs/>
                <w:sz w:val="22"/>
              </w:rPr>
            </w:pPr>
            <w:r w:rsidRPr="00F343ED">
              <w:rPr>
                <w:rFonts w:cs="Times New Roman"/>
                <w:b/>
                <w:bCs/>
                <w:sz w:val="22"/>
              </w:rPr>
              <w:t>Moderate special needs</w:t>
            </w:r>
          </w:p>
          <w:p w14:paraId="77E6E48A" w14:textId="77777777" w:rsidR="00656367" w:rsidRPr="00F343ED" w:rsidRDefault="00656367" w:rsidP="00622AC7">
            <w:pPr>
              <w:spacing w:line="240" w:lineRule="auto"/>
              <w:jc w:val="left"/>
              <w:rPr>
                <w:rFonts w:cs="Times New Roman"/>
                <w:sz w:val="22"/>
              </w:rPr>
            </w:pPr>
            <w:r w:rsidRPr="00F343ED">
              <w:rPr>
                <w:rFonts w:cs="Times New Roman"/>
                <w:sz w:val="22"/>
              </w:rPr>
              <w:t xml:space="preserve">e.g., open packages, food might have special needs (temperature, etc.) </w:t>
            </w:r>
          </w:p>
        </w:tc>
        <w:tc>
          <w:tcPr>
            <w:tcW w:w="1848" w:type="dxa"/>
          </w:tcPr>
          <w:p w14:paraId="6FDA79CA" w14:textId="77777777" w:rsidR="00656367" w:rsidRPr="00F343ED" w:rsidRDefault="00656367" w:rsidP="00622AC7">
            <w:pPr>
              <w:spacing w:line="240" w:lineRule="auto"/>
              <w:jc w:val="center"/>
              <w:rPr>
                <w:rFonts w:cs="Times New Roman"/>
                <w:b/>
                <w:bCs/>
                <w:sz w:val="22"/>
              </w:rPr>
            </w:pPr>
            <w:r w:rsidRPr="00F343ED">
              <w:rPr>
                <w:rFonts w:cs="Times New Roman"/>
                <w:b/>
                <w:bCs/>
                <w:sz w:val="22"/>
              </w:rPr>
              <w:t>No special needs</w:t>
            </w:r>
          </w:p>
          <w:p w14:paraId="2B7F3DBC" w14:textId="77777777" w:rsidR="00656367" w:rsidRPr="00F343ED" w:rsidRDefault="00656367" w:rsidP="00622AC7">
            <w:pPr>
              <w:spacing w:line="240" w:lineRule="auto"/>
              <w:rPr>
                <w:rFonts w:cs="Times New Roman"/>
                <w:sz w:val="22"/>
              </w:rPr>
            </w:pPr>
            <w:r w:rsidRPr="00F343ED">
              <w:rPr>
                <w:rFonts w:cs="Times New Roman"/>
                <w:sz w:val="22"/>
              </w:rPr>
              <w:t>Normal product</w:t>
            </w:r>
          </w:p>
        </w:tc>
      </w:tr>
    </w:tbl>
    <w:p w14:paraId="267489ED" w14:textId="5FE704EF" w:rsidR="00656367" w:rsidRPr="00737239" w:rsidRDefault="007B5959" w:rsidP="007F6877">
      <w:pPr>
        <w:pStyle w:val="Caption"/>
        <w:spacing w:line="360" w:lineRule="auto"/>
        <w:rPr>
          <w:rFonts w:cs="Times New Roman"/>
        </w:rPr>
      </w:pPr>
      <w:bookmarkStart w:id="738" w:name="_Ref44970835"/>
      <w:bookmarkStart w:id="739" w:name="_Toc46053567"/>
      <w:bookmarkStart w:id="740" w:name="_Toc46093816"/>
      <w:bookmarkStart w:id="741" w:name="_Toc66698783"/>
      <w:r>
        <w:rPr>
          <w:rFonts w:cs="Times New Roman"/>
        </w:rPr>
        <w:t>Table</w:t>
      </w:r>
      <w:r w:rsidR="00656367"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5</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1</w:t>
      </w:r>
      <w:r w:rsidR="00FE10DA">
        <w:rPr>
          <w:rFonts w:cs="Times New Roman"/>
        </w:rPr>
        <w:fldChar w:fldCharType="end"/>
      </w:r>
      <w:bookmarkEnd w:id="738"/>
      <w:r w:rsidR="00AF217C">
        <w:rPr>
          <w:rFonts w:cs="Times New Roman"/>
        </w:rPr>
        <w:t>:</w:t>
      </w:r>
      <w:r w:rsidR="00656367" w:rsidRPr="00737239">
        <w:rPr>
          <w:rFonts w:cs="Times New Roman"/>
        </w:rPr>
        <w:t xml:space="preserve"> Variables in the three dimensions of logistics profiles (LPs) (</w:t>
      </w:r>
      <w:proofErr w:type="spellStart"/>
      <w:r w:rsidR="00656367" w:rsidRPr="00737239">
        <w:rPr>
          <w:rFonts w:cs="Times New Roman"/>
        </w:rPr>
        <w:t>Macário</w:t>
      </w:r>
      <w:proofErr w:type="spellEnd"/>
      <w:r w:rsidR="00656367" w:rsidRPr="00737239">
        <w:rPr>
          <w:rFonts w:cs="Times New Roman"/>
        </w:rPr>
        <w:t xml:space="preserve"> et al., 2011)</w:t>
      </w:r>
      <w:bookmarkEnd w:id="739"/>
      <w:bookmarkEnd w:id="740"/>
      <w:bookmarkEnd w:id="741"/>
    </w:p>
    <w:p w14:paraId="5FDC22EF" w14:textId="77777777" w:rsidR="00656367" w:rsidRPr="00A96AC5" w:rsidRDefault="00656367" w:rsidP="007F6877">
      <w:pPr>
        <w:spacing w:after="240" w:line="360" w:lineRule="auto"/>
        <w:rPr>
          <w:rFonts w:cs="Times New Roman"/>
          <w:szCs w:val="24"/>
        </w:rPr>
      </w:pPr>
      <w:r w:rsidRPr="00802DC5">
        <w:rPr>
          <w:rFonts w:cs="Times New Roman"/>
          <w:szCs w:val="24"/>
        </w:rPr>
        <w:t>Factors of ‘agent needs’ can influence the resource configuration of UCCs. Identifying the ‘features of service area’ – such as policy restrictions, urban morphology, and street conditions – can enable stakeholders to predict the characteristics of forthcoming delivery tasks. Finally, the elements of ‘product property’ are relevant to the business model and value-adding activities of the UCC project.</w:t>
      </w:r>
    </w:p>
    <w:tbl>
      <w:tblPr>
        <w:tblStyle w:val="TableGrid"/>
        <w:tblW w:w="5000" w:type="pct"/>
        <w:tblLook w:val="04A0" w:firstRow="1" w:lastRow="0" w:firstColumn="1" w:lastColumn="0" w:noHBand="0" w:noVBand="1"/>
      </w:tblPr>
      <w:tblGrid>
        <w:gridCol w:w="1372"/>
        <w:gridCol w:w="1742"/>
        <w:gridCol w:w="1475"/>
        <w:gridCol w:w="1477"/>
        <w:gridCol w:w="1475"/>
        <w:gridCol w:w="1475"/>
      </w:tblGrid>
      <w:tr w:rsidR="00656367" w:rsidRPr="008903D1" w14:paraId="4B1B64A3" w14:textId="77777777" w:rsidTr="00622AC7">
        <w:tc>
          <w:tcPr>
            <w:tcW w:w="761" w:type="pct"/>
            <w:vMerge w:val="restart"/>
            <w:vAlign w:val="center"/>
          </w:tcPr>
          <w:p w14:paraId="1B3522DD" w14:textId="77777777" w:rsidR="00656367" w:rsidRPr="00A96AC5" w:rsidRDefault="00656367" w:rsidP="00622AC7">
            <w:pPr>
              <w:spacing w:line="240" w:lineRule="auto"/>
              <w:jc w:val="center"/>
              <w:rPr>
                <w:rFonts w:cs="Times New Roman"/>
                <w:b/>
                <w:bCs/>
                <w:sz w:val="22"/>
              </w:rPr>
            </w:pPr>
            <w:r w:rsidRPr="00A96AC5">
              <w:rPr>
                <w:rFonts w:cs="Times New Roman"/>
                <w:b/>
                <w:bCs/>
                <w:sz w:val="22"/>
              </w:rPr>
              <w:t>Dimensions</w:t>
            </w:r>
          </w:p>
        </w:tc>
        <w:tc>
          <w:tcPr>
            <w:tcW w:w="966" w:type="pct"/>
            <w:vMerge w:val="restart"/>
            <w:vAlign w:val="center"/>
          </w:tcPr>
          <w:p w14:paraId="60872B4F" w14:textId="77777777" w:rsidR="00656367" w:rsidRPr="00A96AC5" w:rsidRDefault="00656367" w:rsidP="00622AC7">
            <w:pPr>
              <w:spacing w:line="240" w:lineRule="auto"/>
              <w:jc w:val="center"/>
              <w:rPr>
                <w:rFonts w:cs="Times New Roman"/>
                <w:b/>
                <w:bCs/>
                <w:sz w:val="22"/>
              </w:rPr>
            </w:pPr>
            <w:r w:rsidRPr="00A96AC5">
              <w:rPr>
                <w:rFonts w:cs="Times New Roman"/>
                <w:b/>
                <w:bCs/>
                <w:sz w:val="22"/>
              </w:rPr>
              <w:t>Types of variable</w:t>
            </w:r>
          </w:p>
        </w:tc>
        <w:tc>
          <w:tcPr>
            <w:tcW w:w="3273" w:type="pct"/>
            <w:gridSpan w:val="4"/>
            <w:vAlign w:val="center"/>
          </w:tcPr>
          <w:p w14:paraId="3C956A4A" w14:textId="77777777" w:rsidR="00656367" w:rsidRPr="00A96AC5" w:rsidRDefault="00656367" w:rsidP="00622AC7">
            <w:pPr>
              <w:spacing w:line="240" w:lineRule="auto"/>
              <w:jc w:val="center"/>
              <w:rPr>
                <w:rFonts w:cs="Times New Roman"/>
                <w:b/>
                <w:bCs/>
                <w:sz w:val="22"/>
              </w:rPr>
            </w:pPr>
            <w:r w:rsidRPr="00A96AC5">
              <w:rPr>
                <w:rFonts w:cs="Times New Roman"/>
                <w:b/>
                <w:bCs/>
                <w:sz w:val="22"/>
              </w:rPr>
              <w:t>UCC Cases</w:t>
            </w:r>
          </w:p>
        </w:tc>
      </w:tr>
      <w:tr w:rsidR="00656367" w:rsidRPr="008903D1" w14:paraId="60358768" w14:textId="77777777" w:rsidTr="00622AC7">
        <w:tc>
          <w:tcPr>
            <w:tcW w:w="761" w:type="pct"/>
            <w:vMerge/>
          </w:tcPr>
          <w:p w14:paraId="74F08D30" w14:textId="77777777" w:rsidR="00656367" w:rsidRPr="00A96AC5" w:rsidRDefault="00656367" w:rsidP="00622AC7">
            <w:pPr>
              <w:spacing w:line="240" w:lineRule="auto"/>
              <w:jc w:val="center"/>
              <w:rPr>
                <w:rFonts w:cs="Times New Roman"/>
                <w:sz w:val="22"/>
              </w:rPr>
            </w:pPr>
          </w:p>
        </w:tc>
        <w:tc>
          <w:tcPr>
            <w:tcW w:w="966" w:type="pct"/>
            <w:vMerge/>
          </w:tcPr>
          <w:p w14:paraId="4B6571AF" w14:textId="77777777" w:rsidR="00656367" w:rsidRPr="00A96AC5" w:rsidRDefault="00656367" w:rsidP="00622AC7">
            <w:pPr>
              <w:spacing w:line="240" w:lineRule="auto"/>
              <w:jc w:val="center"/>
              <w:rPr>
                <w:rFonts w:cs="Times New Roman"/>
                <w:sz w:val="22"/>
              </w:rPr>
            </w:pPr>
          </w:p>
        </w:tc>
        <w:tc>
          <w:tcPr>
            <w:tcW w:w="818" w:type="pct"/>
          </w:tcPr>
          <w:p w14:paraId="0DC71B2C" w14:textId="77777777" w:rsidR="00656367" w:rsidRPr="00A96AC5" w:rsidRDefault="00656367" w:rsidP="00622AC7">
            <w:pPr>
              <w:spacing w:line="240" w:lineRule="auto"/>
              <w:jc w:val="center"/>
              <w:rPr>
                <w:rFonts w:cs="Times New Roman"/>
                <w:sz w:val="22"/>
              </w:rPr>
            </w:pPr>
            <w:r w:rsidRPr="00A96AC5">
              <w:rPr>
                <w:rFonts w:cs="Times New Roman"/>
                <w:sz w:val="22"/>
              </w:rPr>
              <w:t>Case 1</w:t>
            </w:r>
          </w:p>
        </w:tc>
        <w:tc>
          <w:tcPr>
            <w:tcW w:w="819" w:type="pct"/>
          </w:tcPr>
          <w:p w14:paraId="2A6A1D3C" w14:textId="77777777" w:rsidR="00656367" w:rsidRPr="00A96AC5" w:rsidRDefault="00656367" w:rsidP="00622AC7">
            <w:pPr>
              <w:spacing w:line="240" w:lineRule="auto"/>
              <w:jc w:val="center"/>
              <w:rPr>
                <w:rFonts w:cs="Times New Roman"/>
                <w:sz w:val="22"/>
              </w:rPr>
            </w:pPr>
            <w:r w:rsidRPr="00A96AC5">
              <w:rPr>
                <w:rFonts w:cs="Times New Roman"/>
                <w:sz w:val="22"/>
              </w:rPr>
              <w:t>Case 2</w:t>
            </w:r>
          </w:p>
        </w:tc>
        <w:tc>
          <w:tcPr>
            <w:tcW w:w="818" w:type="pct"/>
          </w:tcPr>
          <w:p w14:paraId="43F04DC1" w14:textId="77777777" w:rsidR="00656367" w:rsidRPr="00A96AC5" w:rsidRDefault="00656367" w:rsidP="00622AC7">
            <w:pPr>
              <w:spacing w:line="240" w:lineRule="auto"/>
              <w:jc w:val="center"/>
              <w:rPr>
                <w:rFonts w:cs="Times New Roman"/>
                <w:sz w:val="22"/>
              </w:rPr>
            </w:pPr>
            <w:r w:rsidRPr="00A96AC5">
              <w:rPr>
                <w:rFonts w:cs="Times New Roman"/>
                <w:sz w:val="22"/>
              </w:rPr>
              <w:t>Case 3</w:t>
            </w:r>
          </w:p>
        </w:tc>
        <w:tc>
          <w:tcPr>
            <w:tcW w:w="819" w:type="pct"/>
          </w:tcPr>
          <w:p w14:paraId="74E3BF79" w14:textId="77777777" w:rsidR="00656367" w:rsidRPr="00A96AC5" w:rsidRDefault="00656367" w:rsidP="00622AC7">
            <w:pPr>
              <w:spacing w:line="240" w:lineRule="auto"/>
              <w:jc w:val="center"/>
              <w:rPr>
                <w:rFonts w:cs="Times New Roman"/>
                <w:sz w:val="22"/>
              </w:rPr>
            </w:pPr>
            <w:r w:rsidRPr="00A96AC5">
              <w:rPr>
                <w:rFonts w:cs="Times New Roman"/>
                <w:sz w:val="22"/>
              </w:rPr>
              <w:t>Case 4</w:t>
            </w:r>
          </w:p>
        </w:tc>
      </w:tr>
      <w:tr w:rsidR="00656367" w:rsidRPr="008903D1" w14:paraId="2E0B540C" w14:textId="77777777" w:rsidTr="00622AC7">
        <w:trPr>
          <w:trHeight w:val="516"/>
        </w:trPr>
        <w:tc>
          <w:tcPr>
            <w:tcW w:w="761" w:type="pct"/>
            <w:vMerge w:val="restart"/>
            <w:vAlign w:val="center"/>
          </w:tcPr>
          <w:p w14:paraId="009883C4" w14:textId="77777777" w:rsidR="00656367" w:rsidRPr="008903D1" w:rsidRDefault="00656367" w:rsidP="00622AC7">
            <w:pPr>
              <w:spacing w:line="240" w:lineRule="auto"/>
              <w:jc w:val="center"/>
              <w:rPr>
                <w:rFonts w:cs="Times New Roman"/>
                <w:sz w:val="22"/>
              </w:rPr>
            </w:pPr>
            <w:r w:rsidRPr="00737239">
              <w:rPr>
                <w:rFonts w:cs="Times New Roman"/>
              </w:rPr>
              <w:t>Agent needs</w:t>
            </w:r>
          </w:p>
        </w:tc>
        <w:tc>
          <w:tcPr>
            <w:tcW w:w="966" w:type="pct"/>
            <w:vAlign w:val="center"/>
          </w:tcPr>
          <w:p w14:paraId="7603A7A7" w14:textId="77777777" w:rsidR="00656367" w:rsidRPr="008903D1" w:rsidRDefault="00656367" w:rsidP="00622AC7">
            <w:pPr>
              <w:spacing w:line="240" w:lineRule="auto"/>
              <w:jc w:val="center"/>
              <w:rPr>
                <w:rFonts w:cs="Times New Roman"/>
                <w:sz w:val="22"/>
              </w:rPr>
            </w:pPr>
            <w:r w:rsidRPr="008903D1">
              <w:rPr>
                <w:rFonts w:cs="Times New Roman"/>
                <w:sz w:val="22"/>
              </w:rPr>
              <w:t>Urgency of deliveries</w:t>
            </w:r>
          </w:p>
        </w:tc>
        <w:tc>
          <w:tcPr>
            <w:tcW w:w="818" w:type="pct"/>
            <w:vAlign w:val="center"/>
          </w:tcPr>
          <w:p w14:paraId="0543AD61" w14:textId="77777777" w:rsidR="00656367" w:rsidRPr="008903D1" w:rsidRDefault="00656367" w:rsidP="00622AC7">
            <w:pPr>
              <w:spacing w:line="240" w:lineRule="auto"/>
              <w:jc w:val="center"/>
              <w:rPr>
                <w:rFonts w:cs="Times New Roman"/>
                <w:sz w:val="22"/>
              </w:rPr>
            </w:pPr>
            <w:r w:rsidRPr="008903D1">
              <w:rPr>
                <w:rFonts w:cs="Times New Roman"/>
                <w:sz w:val="22"/>
              </w:rPr>
              <w:t>Irrelevant</w:t>
            </w:r>
          </w:p>
        </w:tc>
        <w:tc>
          <w:tcPr>
            <w:tcW w:w="819" w:type="pct"/>
            <w:vAlign w:val="center"/>
          </w:tcPr>
          <w:p w14:paraId="105F1D0F" w14:textId="77777777" w:rsidR="00656367" w:rsidRPr="008903D1" w:rsidRDefault="00656367" w:rsidP="00622AC7">
            <w:pPr>
              <w:spacing w:line="240" w:lineRule="auto"/>
              <w:jc w:val="center"/>
              <w:rPr>
                <w:rFonts w:cs="Times New Roman"/>
                <w:sz w:val="22"/>
              </w:rPr>
            </w:pPr>
            <w:r w:rsidRPr="008903D1">
              <w:rPr>
                <w:rFonts w:cs="Times New Roman"/>
                <w:sz w:val="22"/>
              </w:rPr>
              <w:t>Irrelevant</w:t>
            </w:r>
          </w:p>
        </w:tc>
        <w:tc>
          <w:tcPr>
            <w:tcW w:w="818" w:type="pct"/>
            <w:vAlign w:val="center"/>
          </w:tcPr>
          <w:p w14:paraId="2BEA927B" w14:textId="77777777" w:rsidR="00656367" w:rsidRPr="008903D1" w:rsidRDefault="00656367" w:rsidP="00622AC7">
            <w:pPr>
              <w:spacing w:line="240" w:lineRule="auto"/>
              <w:jc w:val="center"/>
              <w:rPr>
                <w:rFonts w:cs="Times New Roman"/>
                <w:sz w:val="22"/>
              </w:rPr>
            </w:pPr>
            <w:r w:rsidRPr="008903D1">
              <w:rPr>
                <w:rFonts w:cs="Times New Roman"/>
                <w:sz w:val="22"/>
              </w:rPr>
              <w:t>Urgent</w:t>
            </w:r>
          </w:p>
        </w:tc>
        <w:tc>
          <w:tcPr>
            <w:tcW w:w="819" w:type="pct"/>
            <w:vAlign w:val="center"/>
          </w:tcPr>
          <w:p w14:paraId="61023DD7" w14:textId="77777777" w:rsidR="00656367" w:rsidRPr="008903D1" w:rsidRDefault="00656367" w:rsidP="00622AC7">
            <w:pPr>
              <w:spacing w:line="240" w:lineRule="auto"/>
              <w:jc w:val="center"/>
              <w:rPr>
                <w:rFonts w:cs="Times New Roman"/>
                <w:sz w:val="22"/>
              </w:rPr>
            </w:pPr>
            <w:r w:rsidRPr="008903D1">
              <w:rPr>
                <w:rFonts w:cs="Times New Roman"/>
                <w:sz w:val="22"/>
              </w:rPr>
              <w:t>Relevant</w:t>
            </w:r>
          </w:p>
        </w:tc>
      </w:tr>
      <w:tr w:rsidR="00656367" w:rsidRPr="008903D1" w14:paraId="0C92DA72" w14:textId="77777777" w:rsidTr="00622AC7">
        <w:trPr>
          <w:trHeight w:val="516"/>
        </w:trPr>
        <w:tc>
          <w:tcPr>
            <w:tcW w:w="761" w:type="pct"/>
            <w:vMerge/>
            <w:vAlign w:val="center"/>
          </w:tcPr>
          <w:p w14:paraId="03A41C44" w14:textId="77777777" w:rsidR="00656367" w:rsidRPr="008903D1" w:rsidRDefault="00656367" w:rsidP="00622AC7">
            <w:pPr>
              <w:spacing w:line="240" w:lineRule="auto"/>
              <w:jc w:val="center"/>
              <w:rPr>
                <w:rFonts w:cs="Times New Roman"/>
                <w:sz w:val="22"/>
              </w:rPr>
            </w:pPr>
          </w:p>
        </w:tc>
        <w:tc>
          <w:tcPr>
            <w:tcW w:w="966" w:type="pct"/>
            <w:vAlign w:val="center"/>
          </w:tcPr>
          <w:p w14:paraId="49DD1041" w14:textId="77777777" w:rsidR="00656367" w:rsidRPr="008903D1" w:rsidRDefault="00656367" w:rsidP="00622AC7">
            <w:pPr>
              <w:spacing w:line="240" w:lineRule="auto"/>
              <w:jc w:val="center"/>
              <w:rPr>
                <w:rFonts w:cs="Times New Roman"/>
                <w:sz w:val="22"/>
              </w:rPr>
            </w:pPr>
            <w:r w:rsidRPr="008903D1">
              <w:rPr>
                <w:rFonts w:cs="Times New Roman"/>
                <w:sz w:val="22"/>
              </w:rPr>
              <w:t>Frequency of deliveries</w:t>
            </w:r>
          </w:p>
        </w:tc>
        <w:tc>
          <w:tcPr>
            <w:tcW w:w="818" w:type="pct"/>
            <w:vAlign w:val="center"/>
          </w:tcPr>
          <w:p w14:paraId="40C56641" w14:textId="77777777" w:rsidR="00656367" w:rsidRPr="008903D1" w:rsidRDefault="00656367" w:rsidP="00622AC7">
            <w:pPr>
              <w:spacing w:line="240" w:lineRule="auto"/>
              <w:jc w:val="center"/>
              <w:rPr>
                <w:rFonts w:cs="Times New Roman"/>
                <w:sz w:val="22"/>
              </w:rPr>
            </w:pPr>
            <w:r w:rsidRPr="008903D1">
              <w:rPr>
                <w:rFonts w:cs="Times New Roman"/>
                <w:sz w:val="22"/>
              </w:rPr>
              <w:t>Medium</w:t>
            </w:r>
          </w:p>
        </w:tc>
        <w:tc>
          <w:tcPr>
            <w:tcW w:w="819" w:type="pct"/>
            <w:vAlign w:val="center"/>
          </w:tcPr>
          <w:p w14:paraId="6FF0A0E1" w14:textId="77777777" w:rsidR="00656367" w:rsidRPr="008903D1" w:rsidRDefault="00656367" w:rsidP="00622AC7">
            <w:pPr>
              <w:spacing w:line="240" w:lineRule="auto"/>
              <w:jc w:val="center"/>
              <w:rPr>
                <w:rFonts w:cs="Times New Roman"/>
                <w:sz w:val="22"/>
              </w:rPr>
            </w:pPr>
            <w:r w:rsidRPr="008903D1">
              <w:rPr>
                <w:rFonts w:cs="Times New Roman"/>
                <w:sz w:val="22"/>
              </w:rPr>
              <w:t>Medium</w:t>
            </w:r>
          </w:p>
        </w:tc>
        <w:tc>
          <w:tcPr>
            <w:tcW w:w="818" w:type="pct"/>
            <w:vAlign w:val="center"/>
          </w:tcPr>
          <w:p w14:paraId="7D58CCB3" w14:textId="77777777" w:rsidR="00656367" w:rsidRPr="008903D1" w:rsidRDefault="00656367" w:rsidP="00622AC7">
            <w:pPr>
              <w:spacing w:line="240" w:lineRule="auto"/>
              <w:jc w:val="center"/>
              <w:rPr>
                <w:rFonts w:cs="Times New Roman"/>
                <w:sz w:val="22"/>
              </w:rPr>
            </w:pPr>
            <w:r w:rsidRPr="008903D1">
              <w:rPr>
                <w:rFonts w:cs="Times New Roman"/>
                <w:sz w:val="22"/>
              </w:rPr>
              <w:t>High</w:t>
            </w:r>
          </w:p>
        </w:tc>
        <w:tc>
          <w:tcPr>
            <w:tcW w:w="819" w:type="pct"/>
            <w:vAlign w:val="center"/>
          </w:tcPr>
          <w:p w14:paraId="52B1DDB2" w14:textId="77777777" w:rsidR="00656367" w:rsidRPr="008903D1" w:rsidRDefault="00656367" w:rsidP="00622AC7">
            <w:pPr>
              <w:spacing w:line="240" w:lineRule="auto"/>
              <w:jc w:val="center"/>
              <w:rPr>
                <w:rFonts w:cs="Times New Roman"/>
                <w:sz w:val="22"/>
              </w:rPr>
            </w:pPr>
            <w:r w:rsidRPr="008903D1">
              <w:rPr>
                <w:rFonts w:cs="Times New Roman"/>
                <w:sz w:val="22"/>
              </w:rPr>
              <w:t>High</w:t>
            </w:r>
          </w:p>
        </w:tc>
      </w:tr>
      <w:tr w:rsidR="00656367" w:rsidRPr="008903D1" w14:paraId="6F157821" w14:textId="77777777" w:rsidTr="00622AC7">
        <w:tc>
          <w:tcPr>
            <w:tcW w:w="761" w:type="pct"/>
            <w:vMerge/>
            <w:vAlign w:val="center"/>
          </w:tcPr>
          <w:p w14:paraId="78D306A7" w14:textId="77777777" w:rsidR="00656367" w:rsidRPr="008903D1" w:rsidRDefault="00656367" w:rsidP="00622AC7">
            <w:pPr>
              <w:spacing w:line="240" w:lineRule="auto"/>
              <w:jc w:val="center"/>
              <w:rPr>
                <w:rFonts w:cs="Times New Roman"/>
                <w:sz w:val="22"/>
              </w:rPr>
            </w:pPr>
          </w:p>
        </w:tc>
        <w:tc>
          <w:tcPr>
            <w:tcW w:w="966" w:type="pct"/>
            <w:vAlign w:val="center"/>
          </w:tcPr>
          <w:p w14:paraId="52B31A32" w14:textId="77777777" w:rsidR="00656367" w:rsidRPr="008903D1" w:rsidRDefault="00656367" w:rsidP="00622AC7">
            <w:pPr>
              <w:spacing w:line="240" w:lineRule="auto"/>
              <w:jc w:val="center"/>
              <w:rPr>
                <w:rFonts w:cs="Times New Roman"/>
                <w:sz w:val="22"/>
              </w:rPr>
            </w:pPr>
            <w:r w:rsidRPr="008903D1">
              <w:rPr>
                <w:rFonts w:cs="Times New Roman"/>
                <w:sz w:val="22"/>
              </w:rPr>
              <w:t>Numbers of customers to be delivered</w:t>
            </w:r>
          </w:p>
        </w:tc>
        <w:tc>
          <w:tcPr>
            <w:tcW w:w="818" w:type="pct"/>
            <w:vAlign w:val="center"/>
          </w:tcPr>
          <w:p w14:paraId="3C00CECD" w14:textId="77777777" w:rsidR="00656367" w:rsidRPr="008903D1" w:rsidRDefault="00656367" w:rsidP="00622AC7">
            <w:pPr>
              <w:spacing w:line="240" w:lineRule="auto"/>
              <w:jc w:val="center"/>
              <w:rPr>
                <w:rFonts w:cs="Times New Roman"/>
                <w:sz w:val="22"/>
              </w:rPr>
            </w:pPr>
            <w:r w:rsidRPr="008903D1">
              <w:rPr>
                <w:rFonts w:cs="Times New Roman"/>
                <w:sz w:val="22"/>
              </w:rPr>
              <w:t>Several</w:t>
            </w:r>
          </w:p>
        </w:tc>
        <w:tc>
          <w:tcPr>
            <w:tcW w:w="819" w:type="pct"/>
            <w:vAlign w:val="center"/>
          </w:tcPr>
          <w:p w14:paraId="060A51C3" w14:textId="77777777" w:rsidR="00656367" w:rsidRPr="008903D1" w:rsidRDefault="00656367" w:rsidP="00622AC7">
            <w:pPr>
              <w:spacing w:line="240" w:lineRule="auto"/>
              <w:jc w:val="center"/>
              <w:rPr>
                <w:rFonts w:cs="Times New Roman"/>
                <w:sz w:val="22"/>
              </w:rPr>
            </w:pPr>
            <w:r w:rsidRPr="008903D1">
              <w:rPr>
                <w:rFonts w:cs="Times New Roman"/>
                <w:sz w:val="22"/>
              </w:rPr>
              <w:t>Few</w:t>
            </w:r>
          </w:p>
        </w:tc>
        <w:tc>
          <w:tcPr>
            <w:tcW w:w="818" w:type="pct"/>
            <w:vAlign w:val="center"/>
          </w:tcPr>
          <w:p w14:paraId="54EF5DA9" w14:textId="77777777" w:rsidR="00656367" w:rsidRPr="008903D1" w:rsidRDefault="00656367" w:rsidP="00622AC7">
            <w:pPr>
              <w:spacing w:line="240" w:lineRule="auto"/>
              <w:jc w:val="center"/>
              <w:rPr>
                <w:rFonts w:cs="Times New Roman"/>
                <w:sz w:val="22"/>
              </w:rPr>
            </w:pPr>
            <w:r w:rsidRPr="008903D1">
              <w:rPr>
                <w:rFonts w:cs="Times New Roman"/>
                <w:sz w:val="22"/>
              </w:rPr>
              <w:t>Few</w:t>
            </w:r>
          </w:p>
        </w:tc>
        <w:tc>
          <w:tcPr>
            <w:tcW w:w="819" w:type="pct"/>
            <w:vAlign w:val="center"/>
          </w:tcPr>
          <w:p w14:paraId="7DE90298" w14:textId="77777777" w:rsidR="00656367" w:rsidRPr="008903D1" w:rsidRDefault="00656367" w:rsidP="00622AC7">
            <w:pPr>
              <w:spacing w:line="240" w:lineRule="auto"/>
              <w:jc w:val="center"/>
              <w:rPr>
                <w:rFonts w:cs="Times New Roman"/>
                <w:sz w:val="22"/>
              </w:rPr>
            </w:pPr>
            <w:r w:rsidRPr="008903D1">
              <w:rPr>
                <w:rFonts w:cs="Times New Roman"/>
                <w:sz w:val="22"/>
              </w:rPr>
              <w:t>Many</w:t>
            </w:r>
          </w:p>
        </w:tc>
      </w:tr>
      <w:tr w:rsidR="00656367" w:rsidRPr="008903D1" w14:paraId="03875FDE" w14:textId="77777777" w:rsidTr="00622AC7">
        <w:trPr>
          <w:trHeight w:val="370"/>
        </w:trPr>
        <w:tc>
          <w:tcPr>
            <w:tcW w:w="761" w:type="pct"/>
            <w:vMerge/>
            <w:vAlign w:val="center"/>
          </w:tcPr>
          <w:p w14:paraId="25AE6E05" w14:textId="77777777" w:rsidR="00656367" w:rsidRPr="008903D1" w:rsidRDefault="00656367" w:rsidP="00622AC7">
            <w:pPr>
              <w:spacing w:line="240" w:lineRule="auto"/>
              <w:jc w:val="center"/>
              <w:rPr>
                <w:rFonts w:cs="Times New Roman"/>
                <w:sz w:val="22"/>
              </w:rPr>
            </w:pPr>
          </w:p>
        </w:tc>
        <w:tc>
          <w:tcPr>
            <w:tcW w:w="966" w:type="pct"/>
            <w:vAlign w:val="center"/>
          </w:tcPr>
          <w:p w14:paraId="2FBF7C2D" w14:textId="77777777" w:rsidR="00656367" w:rsidRPr="008903D1" w:rsidRDefault="00656367" w:rsidP="00622AC7">
            <w:pPr>
              <w:spacing w:line="240" w:lineRule="auto"/>
              <w:jc w:val="center"/>
              <w:rPr>
                <w:rFonts w:cs="Times New Roman"/>
                <w:sz w:val="22"/>
              </w:rPr>
            </w:pPr>
            <w:r w:rsidRPr="008903D1">
              <w:rPr>
                <w:rFonts w:cs="Times New Roman"/>
                <w:sz w:val="22"/>
              </w:rPr>
              <w:t>Vehicle used</w:t>
            </w:r>
          </w:p>
        </w:tc>
        <w:tc>
          <w:tcPr>
            <w:tcW w:w="818" w:type="pct"/>
            <w:vAlign w:val="center"/>
          </w:tcPr>
          <w:p w14:paraId="600B9354" w14:textId="77777777" w:rsidR="00656367" w:rsidRPr="008903D1" w:rsidRDefault="00656367" w:rsidP="00622AC7">
            <w:pPr>
              <w:spacing w:line="240" w:lineRule="auto"/>
              <w:jc w:val="center"/>
              <w:rPr>
                <w:rFonts w:cs="Times New Roman"/>
                <w:sz w:val="22"/>
              </w:rPr>
            </w:pPr>
            <w:r w:rsidRPr="008903D1">
              <w:rPr>
                <w:rFonts w:cs="Times New Roman"/>
                <w:sz w:val="22"/>
              </w:rPr>
              <w:t>Light goods vehicles</w:t>
            </w:r>
          </w:p>
        </w:tc>
        <w:tc>
          <w:tcPr>
            <w:tcW w:w="819" w:type="pct"/>
            <w:vAlign w:val="center"/>
          </w:tcPr>
          <w:p w14:paraId="371FD435" w14:textId="77777777" w:rsidR="00656367" w:rsidRPr="008903D1" w:rsidRDefault="00656367" w:rsidP="00622AC7">
            <w:pPr>
              <w:spacing w:line="240" w:lineRule="auto"/>
              <w:jc w:val="center"/>
              <w:rPr>
                <w:rFonts w:cs="Times New Roman"/>
                <w:sz w:val="22"/>
              </w:rPr>
            </w:pPr>
            <w:r w:rsidRPr="008903D1">
              <w:rPr>
                <w:rFonts w:cs="Times New Roman"/>
                <w:sz w:val="22"/>
              </w:rPr>
              <w:t>Medium truck</w:t>
            </w:r>
          </w:p>
        </w:tc>
        <w:tc>
          <w:tcPr>
            <w:tcW w:w="818" w:type="pct"/>
            <w:vAlign w:val="center"/>
          </w:tcPr>
          <w:p w14:paraId="5B1CD529" w14:textId="77777777" w:rsidR="00656367" w:rsidRPr="008903D1" w:rsidRDefault="00656367" w:rsidP="00622AC7">
            <w:pPr>
              <w:spacing w:line="240" w:lineRule="auto"/>
              <w:jc w:val="center"/>
              <w:rPr>
                <w:rFonts w:cs="Times New Roman"/>
                <w:sz w:val="22"/>
              </w:rPr>
            </w:pPr>
            <w:r w:rsidRPr="008903D1">
              <w:rPr>
                <w:rFonts w:cs="Times New Roman"/>
                <w:sz w:val="22"/>
              </w:rPr>
              <w:t>Medium truck</w:t>
            </w:r>
          </w:p>
        </w:tc>
        <w:tc>
          <w:tcPr>
            <w:tcW w:w="819" w:type="pct"/>
            <w:vAlign w:val="center"/>
          </w:tcPr>
          <w:p w14:paraId="7C2A72E9" w14:textId="77777777" w:rsidR="00656367" w:rsidRPr="008903D1" w:rsidRDefault="00656367" w:rsidP="00622AC7">
            <w:pPr>
              <w:spacing w:line="240" w:lineRule="auto"/>
              <w:jc w:val="center"/>
              <w:rPr>
                <w:rFonts w:cs="Times New Roman"/>
                <w:sz w:val="22"/>
              </w:rPr>
            </w:pPr>
            <w:r w:rsidRPr="008903D1">
              <w:rPr>
                <w:rFonts w:cs="Times New Roman"/>
                <w:sz w:val="22"/>
              </w:rPr>
              <w:t>Heavy goods vehicles</w:t>
            </w:r>
          </w:p>
        </w:tc>
      </w:tr>
      <w:tr w:rsidR="00656367" w:rsidRPr="008903D1" w14:paraId="0EB168BC" w14:textId="77777777" w:rsidTr="00622AC7">
        <w:tc>
          <w:tcPr>
            <w:tcW w:w="761" w:type="pct"/>
            <w:vMerge/>
            <w:vAlign w:val="center"/>
          </w:tcPr>
          <w:p w14:paraId="7B7567A4" w14:textId="77777777" w:rsidR="00656367" w:rsidRPr="008903D1" w:rsidRDefault="00656367" w:rsidP="00622AC7">
            <w:pPr>
              <w:spacing w:line="240" w:lineRule="auto"/>
              <w:jc w:val="center"/>
              <w:rPr>
                <w:rFonts w:cs="Times New Roman"/>
                <w:sz w:val="22"/>
              </w:rPr>
            </w:pPr>
          </w:p>
        </w:tc>
        <w:tc>
          <w:tcPr>
            <w:tcW w:w="966" w:type="pct"/>
            <w:vAlign w:val="center"/>
          </w:tcPr>
          <w:p w14:paraId="6215EDEB" w14:textId="77777777" w:rsidR="00656367" w:rsidRPr="008903D1" w:rsidRDefault="00656367" w:rsidP="00622AC7">
            <w:pPr>
              <w:spacing w:line="240" w:lineRule="auto"/>
              <w:jc w:val="center"/>
              <w:rPr>
                <w:rFonts w:cs="Times New Roman"/>
                <w:sz w:val="22"/>
              </w:rPr>
            </w:pPr>
            <w:r w:rsidRPr="008903D1">
              <w:rPr>
                <w:rFonts w:cs="Times New Roman"/>
                <w:sz w:val="22"/>
              </w:rPr>
              <w:t>Planned deliveries</w:t>
            </w:r>
          </w:p>
        </w:tc>
        <w:tc>
          <w:tcPr>
            <w:tcW w:w="818" w:type="pct"/>
            <w:vAlign w:val="center"/>
          </w:tcPr>
          <w:p w14:paraId="7E554D93" w14:textId="77777777" w:rsidR="00656367" w:rsidRPr="008903D1" w:rsidRDefault="00656367" w:rsidP="00622AC7">
            <w:pPr>
              <w:spacing w:line="240" w:lineRule="auto"/>
              <w:jc w:val="center"/>
              <w:rPr>
                <w:rFonts w:cs="Times New Roman"/>
                <w:sz w:val="22"/>
              </w:rPr>
            </w:pPr>
            <w:r w:rsidRPr="008903D1">
              <w:rPr>
                <w:rFonts w:cs="Times New Roman"/>
                <w:sz w:val="22"/>
              </w:rPr>
              <w:t>No defined routine</w:t>
            </w:r>
          </w:p>
        </w:tc>
        <w:tc>
          <w:tcPr>
            <w:tcW w:w="819" w:type="pct"/>
            <w:vAlign w:val="center"/>
          </w:tcPr>
          <w:p w14:paraId="298DEE40" w14:textId="77777777" w:rsidR="00656367" w:rsidRPr="008903D1" w:rsidRDefault="00656367" w:rsidP="00622AC7">
            <w:pPr>
              <w:spacing w:line="240" w:lineRule="auto"/>
              <w:jc w:val="center"/>
              <w:rPr>
                <w:rFonts w:cs="Times New Roman"/>
                <w:sz w:val="22"/>
              </w:rPr>
            </w:pPr>
            <w:r w:rsidRPr="008903D1">
              <w:rPr>
                <w:rFonts w:cs="Times New Roman"/>
                <w:sz w:val="22"/>
              </w:rPr>
              <w:t>No defined routine</w:t>
            </w:r>
          </w:p>
        </w:tc>
        <w:tc>
          <w:tcPr>
            <w:tcW w:w="818" w:type="pct"/>
            <w:vAlign w:val="center"/>
          </w:tcPr>
          <w:p w14:paraId="44F9CBD1" w14:textId="77777777" w:rsidR="00656367" w:rsidRPr="008903D1" w:rsidRDefault="00656367" w:rsidP="00622AC7">
            <w:pPr>
              <w:spacing w:line="240" w:lineRule="auto"/>
              <w:jc w:val="center"/>
              <w:rPr>
                <w:rFonts w:cs="Times New Roman"/>
                <w:sz w:val="22"/>
              </w:rPr>
            </w:pPr>
            <w:r w:rsidRPr="008903D1">
              <w:rPr>
                <w:rFonts w:cs="Times New Roman"/>
                <w:sz w:val="22"/>
              </w:rPr>
              <w:t>Defined routine</w:t>
            </w:r>
          </w:p>
        </w:tc>
        <w:tc>
          <w:tcPr>
            <w:tcW w:w="819" w:type="pct"/>
            <w:vAlign w:val="center"/>
          </w:tcPr>
          <w:p w14:paraId="3E0CDE1A" w14:textId="77777777" w:rsidR="00656367" w:rsidRPr="008903D1" w:rsidRDefault="00656367" w:rsidP="00622AC7">
            <w:pPr>
              <w:spacing w:line="240" w:lineRule="auto"/>
              <w:jc w:val="center"/>
              <w:rPr>
                <w:rFonts w:cs="Times New Roman"/>
                <w:sz w:val="22"/>
              </w:rPr>
            </w:pPr>
            <w:r w:rsidRPr="008903D1">
              <w:rPr>
                <w:rFonts w:cs="Times New Roman"/>
                <w:sz w:val="22"/>
              </w:rPr>
              <w:t>Defined routine</w:t>
            </w:r>
          </w:p>
        </w:tc>
      </w:tr>
      <w:tr w:rsidR="00656367" w:rsidRPr="008903D1" w14:paraId="1F1015DC" w14:textId="77777777" w:rsidTr="00622AC7">
        <w:trPr>
          <w:trHeight w:val="516"/>
        </w:trPr>
        <w:tc>
          <w:tcPr>
            <w:tcW w:w="761" w:type="pct"/>
            <w:vMerge w:val="restart"/>
            <w:vAlign w:val="center"/>
          </w:tcPr>
          <w:p w14:paraId="470BAD3E" w14:textId="77777777" w:rsidR="00656367" w:rsidRPr="00802DC5" w:rsidRDefault="00656367" w:rsidP="00622AC7">
            <w:pPr>
              <w:spacing w:line="240" w:lineRule="auto"/>
              <w:jc w:val="center"/>
              <w:rPr>
                <w:rFonts w:cs="Times New Roman"/>
                <w:sz w:val="22"/>
              </w:rPr>
            </w:pPr>
            <w:r w:rsidRPr="00737239">
              <w:rPr>
                <w:rFonts w:cs="Times New Roman"/>
              </w:rPr>
              <w:t>Features of service area</w:t>
            </w:r>
          </w:p>
        </w:tc>
        <w:tc>
          <w:tcPr>
            <w:tcW w:w="966" w:type="pct"/>
            <w:vAlign w:val="center"/>
          </w:tcPr>
          <w:p w14:paraId="2601FF2A" w14:textId="77777777" w:rsidR="00656367" w:rsidRPr="00DB493C" w:rsidRDefault="00656367" w:rsidP="00622AC7">
            <w:pPr>
              <w:spacing w:line="240" w:lineRule="auto"/>
              <w:jc w:val="center"/>
              <w:rPr>
                <w:rFonts w:cs="Times New Roman"/>
                <w:sz w:val="22"/>
              </w:rPr>
            </w:pPr>
            <w:r w:rsidRPr="00802DC5">
              <w:rPr>
                <w:rFonts w:cs="Times New Roman"/>
                <w:sz w:val="22"/>
              </w:rPr>
              <w:t>Commercial density</w:t>
            </w:r>
          </w:p>
        </w:tc>
        <w:tc>
          <w:tcPr>
            <w:tcW w:w="818" w:type="pct"/>
            <w:vAlign w:val="center"/>
          </w:tcPr>
          <w:p w14:paraId="35A6A75B" w14:textId="77777777" w:rsidR="00656367" w:rsidRPr="008903D1" w:rsidRDefault="00656367" w:rsidP="00622AC7">
            <w:pPr>
              <w:spacing w:line="240" w:lineRule="auto"/>
              <w:jc w:val="center"/>
              <w:rPr>
                <w:rFonts w:cs="Times New Roman"/>
                <w:sz w:val="22"/>
              </w:rPr>
            </w:pPr>
            <w:r w:rsidRPr="008903D1">
              <w:rPr>
                <w:rFonts w:cs="Times New Roman"/>
                <w:sz w:val="22"/>
              </w:rPr>
              <w:t>High</w:t>
            </w:r>
          </w:p>
        </w:tc>
        <w:tc>
          <w:tcPr>
            <w:tcW w:w="819" w:type="pct"/>
            <w:vAlign w:val="center"/>
          </w:tcPr>
          <w:p w14:paraId="556F1145" w14:textId="77777777" w:rsidR="00656367" w:rsidRPr="008903D1" w:rsidRDefault="00656367" w:rsidP="00622AC7">
            <w:pPr>
              <w:spacing w:line="240" w:lineRule="auto"/>
              <w:jc w:val="center"/>
              <w:rPr>
                <w:rFonts w:cs="Times New Roman"/>
                <w:sz w:val="22"/>
              </w:rPr>
            </w:pPr>
            <w:r w:rsidRPr="008903D1">
              <w:rPr>
                <w:rFonts w:cs="Times New Roman"/>
                <w:sz w:val="22"/>
              </w:rPr>
              <w:t>Low</w:t>
            </w:r>
          </w:p>
        </w:tc>
        <w:tc>
          <w:tcPr>
            <w:tcW w:w="818" w:type="pct"/>
            <w:vAlign w:val="center"/>
          </w:tcPr>
          <w:p w14:paraId="20F65B49" w14:textId="77777777" w:rsidR="00656367" w:rsidRPr="008903D1" w:rsidRDefault="00656367" w:rsidP="00622AC7">
            <w:pPr>
              <w:spacing w:line="240" w:lineRule="auto"/>
              <w:jc w:val="center"/>
              <w:rPr>
                <w:rFonts w:cs="Times New Roman"/>
                <w:sz w:val="22"/>
              </w:rPr>
            </w:pPr>
            <w:r w:rsidRPr="008903D1">
              <w:rPr>
                <w:rFonts w:cs="Times New Roman"/>
                <w:sz w:val="22"/>
              </w:rPr>
              <w:t>Low</w:t>
            </w:r>
          </w:p>
        </w:tc>
        <w:tc>
          <w:tcPr>
            <w:tcW w:w="819" w:type="pct"/>
            <w:vAlign w:val="center"/>
          </w:tcPr>
          <w:p w14:paraId="2618C37B" w14:textId="77777777" w:rsidR="00656367" w:rsidRPr="008903D1" w:rsidRDefault="00656367" w:rsidP="00622AC7">
            <w:pPr>
              <w:spacing w:line="240" w:lineRule="auto"/>
              <w:jc w:val="center"/>
              <w:rPr>
                <w:rFonts w:cs="Times New Roman"/>
                <w:sz w:val="22"/>
              </w:rPr>
            </w:pPr>
            <w:r w:rsidRPr="008903D1">
              <w:rPr>
                <w:rFonts w:cs="Times New Roman"/>
                <w:sz w:val="22"/>
              </w:rPr>
              <w:t>High</w:t>
            </w:r>
          </w:p>
        </w:tc>
      </w:tr>
      <w:tr w:rsidR="00656367" w:rsidRPr="008903D1" w14:paraId="4616FA51" w14:textId="77777777" w:rsidTr="00622AC7">
        <w:trPr>
          <w:trHeight w:val="516"/>
        </w:trPr>
        <w:tc>
          <w:tcPr>
            <w:tcW w:w="761" w:type="pct"/>
            <w:vMerge/>
            <w:vAlign w:val="center"/>
          </w:tcPr>
          <w:p w14:paraId="47235A09" w14:textId="77777777" w:rsidR="00656367" w:rsidRPr="00A96AC5" w:rsidRDefault="00656367" w:rsidP="00622AC7">
            <w:pPr>
              <w:spacing w:line="240" w:lineRule="auto"/>
              <w:jc w:val="center"/>
              <w:rPr>
                <w:rFonts w:cs="Times New Roman"/>
                <w:sz w:val="22"/>
              </w:rPr>
            </w:pPr>
          </w:p>
        </w:tc>
        <w:tc>
          <w:tcPr>
            <w:tcW w:w="966" w:type="pct"/>
            <w:vAlign w:val="center"/>
          </w:tcPr>
          <w:p w14:paraId="3241DF31" w14:textId="77777777" w:rsidR="00656367" w:rsidRPr="00A96AC5" w:rsidRDefault="00656367" w:rsidP="00622AC7">
            <w:pPr>
              <w:spacing w:line="240" w:lineRule="auto"/>
              <w:jc w:val="center"/>
              <w:rPr>
                <w:rFonts w:cs="Times New Roman"/>
                <w:sz w:val="22"/>
              </w:rPr>
            </w:pPr>
            <w:r w:rsidRPr="00A96AC5">
              <w:rPr>
                <w:rFonts w:cs="Times New Roman"/>
                <w:sz w:val="22"/>
              </w:rPr>
              <w:t>Homogeneity</w:t>
            </w:r>
          </w:p>
        </w:tc>
        <w:tc>
          <w:tcPr>
            <w:tcW w:w="818" w:type="pct"/>
            <w:vAlign w:val="center"/>
          </w:tcPr>
          <w:p w14:paraId="241C1F10" w14:textId="77777777" w:rsidR="00656367" w:rsidRPr="008903D1" w:rsidRDefault="00656367" w:rsidP="00622AC7">
            <w:pPr>
              <w:spacing w:line="240" w:lineRule="auto"/>
              <w:jc w:val="center"/>
              <w:rPr>
                <w:rFonts w:cs="Times New Roman"/>
                <w:sz w:val="22"/>
              </w:rPr>
            </w:pPr>
            <w:r w:rsidRPr="008903D1">
              <w:rPr>
                <w:rFonts w:cs="Times New Roman"/>
                <w:sz w:val="22"/>
              </w:rPr>
              <w:t>High</w:t>
            </w:r>
          </w:p>
        </w:tc>
        <w:tc>
          <w:tcPr>
            <w:tcW w:w="819" w:type="pct"/>
            <w:vAlign w:val="center"/>
          </w:tcPr>
          <w:p w14:paraId="65E06E7E" w14:textId="77777777" w:rsidR="00656367" w:rsidRPr="008903D1" w:rsidRDefault="00656367" w:rsidP="00622AC7">
            <w:pPr>
              <w:spacing w:line="240" w:lineRule="auto"/>
              <w:jc w:val="center"/>
              <w:rPr>
                <w:rFonts w:cs="Times New Roman"/>
                <w:sz w:val="22"/>
              </w:rPr>
            </w:pPr>
            <w:r w:rsidRPr="008903D1">
              <w:rPr>
                <w:rFonts w:cs="Times New Roman"/>
                <w:sz w:val="22"/>
              </w:rPr>
              <w:t>Low</w:t>
            </w:r>
          </w:p>
        </w:tc>
        <w:tc>
          <w:tcPr>
            <w:tcW w:w="818" w:type="pct"/>
            <w:vAlign w:val="center"/>
          </w:tcPr>
          <w:p w14:paraId="6DFBD520" w14:textId="77777777" w:rsidR="00656367" w:rsidRPr="008903D1" w:rsidRDefault="00656367" w:rsidP="00622AC7">
            <w:pPr>
              <w:spacing w:line="240" w:lineRule="auto"/>
              <w:jc w:val="center"/>
              <w:rPr>
                <w:rFonts w:cs="Times New Roman"/>
                <w:sz w:val="22"/>
              </w:rPr>
            </w:pPr>
            <w:r w:rsidRPr="008903D1">
              <w:rPr>
                <w:rFonts w:cs="Times New Roman"/>
                <w:sz w:val="22"/>
              </w:rPr>
              <w:t>Medium</w:t>
            </w:r>
          </w:p>
        </w:tc>
        <w:tc>
          <w:tcPr>
            <w:tcW w:w="819" w:type="pct"/>
            <w:vAlign w:val="center"/>
          </w:tcPr>
          <w:p w14:paraId="712C2867" w14:textId="77777777" w:rsidR="00656367" w:rsidRPr="008903D1" w:rsidRDefault="00656367" w:rsidP="00622AC7">
            <w:pPr>
              <w:spacing w:line="240" w:lineRule="auto"/>
              <w:jc w:val="center"/>
              <w:rPr>
                <w:rFonts w:cs="Times New Roman"/>
                <w:sz w:val="22"/>
              </w:rPr>
            </w:pPr>
            <w:r w:rsidRPr="008903D1">
              <w:rPr>
                <w:rFonts w:cs="Times New Roman"/>
                <w:sz w:val="22"/>
              </w:rPr>
              <w:t>High</w:t>
            </w:r>
          </w:p>
        </w:tc>
      </w:tr>
      <w:tr w:rsidR="00656367" w:rsidRPr="008903D1" w14:paraId="0D474E94" w14:textId="77777777" w:rsidTr="00622AC7">
        <w:trPr>
          <w:trHeight w:val="525"/>
        </w:trPr>
        <w:tc>
          <w:tcPr>
            <w:tcW w:w="761" w:type="pct"/>
            <w:vMerge/>
            <w:vAlign w:val="center"/>
          </w:tcPr>
          <w:p w14:paraId="7A8DDBD9" w14:textId="77777777" w:rsidR="00656367" w:rsidRPr="00A96AC5" w:rsidRDefault="00656367" w:rsidP="00622AC7">
            <w:pPr>
              <w:spacing w:line="240" w:lineRule="auto"/>
              <w:jc w:val="center"/>
              <w:rPr>
                <w:rFonts w:cs="Times New Roman"/>
                <w:sz w:val="22"/>
              </w:rPr>
            </w:pPr>
          </w:p>
        </w:tc>
        <w:tc>
          <w:tcPr>
            <w:tcW w:w="966" w:type="pct"/>
            <w:vAlign w:val="center"/>
          </w:tcPr>
          <w:p w14:paraId="2F381FA6" w14:textId="77777777" w:rsidR="00656367" w:rsidRPr="00A96AC5" w:rsidRDefault="00656367" w:rsidP="00622AC7">
            <w:pPr>
              <w:spacing w:line="240" w:lineRule="auto"/>
              <w:jc w:val="center"/>
              <w:rPr>
                <w:rFonts w:cs="Times New Roman"/>
                <w:sz w:val="22"/>
              </w:rPr>
            </w:pPr>
            <w:r w:rsidRPr="00A96AC5">
              <w:rPr>
                <w:rFonts w:cs="Times New Roman"/>
                <w:sz w:val="22"/>
              </w:rPr>
              <w:t>Logistic accessibility</w:t>
            </w:r>
          </w:p>
        </w:tc>
        <w:tc>
          <w:tcPr>
            <w:tcW w:w="818" w:type="pct"/>
            <w:vAlign w:val="center"/>
          </w:tcPr>
          <w:p w14:paraId="1722FB0C" w14:textId="77777777" w:rsidR="00656367" w:rsidRPr="008903D1" w:rsidRDefault="00656367" w:rsidP="00622AC7">
            <w:pPr>
              <w:spacing w:line="240" w:lineRule="auto"/>
              <w:jc w:val="center"/>
              <w:rPr>
                <w:rFonts w:cs="Times New Roman"/>
                <w:sz w:val="22"/>
              </w:rPr>
            </w:pPr>
            <w:r w:rsidRPr="008903D1">
              <w:rPr>
                <w:rFonts w:cs="Times New Roman"/>
                <w:sz w:val="22"/>
              </w:rPr>
              <w:t>Reasonable</w:t>
            </w:r>
          </w:p>
        </w:tc>
        <w:tc>
          <w:tcPr>
            <w:tcW w:w="819" w:type="pct"/>
            <w:vAlign w:val="center"/>
          </w:tcPr>
          <w:p w14:paraId="3405C9BC" w14:textId="77777777" w:rsidR="00656367" w:rsidRPr="008903D1" w:rsidRDefault="00656367" w:rsidP="00622AC7">
            <w:pPr>
              <w:spacing w:line="240" w:lineRule="auto"/>
              <w:jc w:val="center"/>
              <w:rPr>
                <w:rFonts w:cs="Times New Roman"/>
                <w:sz w:val="22"/>
              </w:rPr>
            </w:pPr>
            <w:r w:rsidRPr="008903D1">
              <w:rPr>
                <w:rFonts w:cs="Times New Roman"/>
                <w:sz w:val="22"/>
              </w:rPr>
              <w:t>Good</w:t>
            </w:r>
          </w:p>
        </w:tc>
        <w:tc>
          <w:tcPr>
            <w:tcW w:w="818" w:type="pct"/>
            <w:vAlign w:val="center"/>
          </w:tcPr>
          <w:p w14:paraId="5D190AFC" w14:textId="77777777" w:rsidR="00656367" w:rsidRPr="008903D1" w:rsidRDefault="00656367" w:rsidP="00622AC7">
            <w:pPr>
              <w:spacing w:line="240" w:lineRule="auto"/>
              <w:jc w:val="center"/>
              <w:rPr>
                <w:rFonts w:cs="Times New Roman"/>
                <w:sz w:val="22"/>
              </w:rPr>
            </w:pPr>
            <w:r w:rsidRPr="008903D1">
              <w:rPr>
                <w:rFonts w:cs="Times New Roman"/>
                <w:sz w:val="22"/>
              </w:rPr>
              <w:t>Reasonable</w:t>
            </w:r>
          </w:p>
        </w:tc>
        <w:tc>
          <w:tcPr>
            <w:tcW w:w="819" w:type="pct"/>
            <w:vAlign w:val="center"/>
          </w:tcPr>
          <w:p w14:paraId="24C74FA6" w14:textId="77777777" w:rsidR="00656367" w:rsidRPr="008903D1" w:rsidRDefault="00656367" w:rsidP="00622AC7">
            <w:pPr>
              <w:spacing w:line="240" w:lineRule="auto"/>
              <w:jc w:val="center"/>
              <w:rPr>
                <w:rFonts w:cs="Times New Roman"/>
                <w:sz w:val="22"/>
              </w:rPr>
            </w:pPr>
            <w:r w:rsidRPr="008903D1">
              <w:rPr>
                <w:rFonts w:cs="Times New Roman"/>
                <w:sz w:val="22"/>
              </w:rPr>
              <w:t>Good</w:t>
            </w:r>
          </w:p>
        </w:tc>
      </w:tr>
      <w:tr w:rsidR="00656367" w:rsidRPr="008903D1" w14:paraId="59FEF3D0" w14:textId="77777777" w:rsidTr="00622AC7">
        <w:tc>
          <w:tcPr>
            <w:tcW w:w="761" w:type="pct"/>
            <w:vMerge/>
            <w:vAlign w:val="center"/>
          </w:tcPr>
          <w:p w14:paraId="039E2AE2" w14:textId="77777777" w:rsidR="00656367" w:rsidRPr="00A96AC5" w:rsidRDefault="00656367" w:rsidP="00622AC7">
            <w:pPr>
              <w:spacing w:line="240" w:lineRule="auto"/>
              <w:jc w:val="center"/>
              <w:rPr>
                <w:rFonts w:cs="Times New Roman"/>
                <w:sz w:val="22"/>
              </w:rPr>
            </w:pPr>
          </w:p>
        </w:tc>
        <w:tc>
          <w:tcPr>
            <w:tcW w:w="966" w:type="pct"/>
            <w:vAlign w:val="center"/>
          </w:tcPr>
          <w:p w14:paraId="65DFCC88" w14:textId="77777777" w:rsidR="00656367" w:rsidRPr="00A96AC5" w:rsidRDefault="00656367" w:rsidP="00622AC7">
            <w:pPr>
              <w:spacing w:line="240" w:lineRule="auto"/>
              <w:jc w:val="center"/>
              <w:rPr>
                <w:rFonts w:cs="Times New Roman"/>
                <w:sz w:val="22"/>
              </w:rPr>
            </w:pPr>
            <w:r w:rsidRPr="00A96AC5">
              <w:rPr>
                <w:rFonts w:cs="Times New Roman"/>
                <w:sz w:val="22"/>
              </w:rPr>
              <w:t>Restriction applied</w:t>
            </w:r>
          </w:p>
        </w:tc>
        <w:tc>
          <w:tcPr>
            <w:tcW w:w="818" w:type="pct"/>
            <w:vAlign w:val="center"/>
          </w:tcPr>
          <w:p w14:paraId="55B67298" w14:textId="77777777" w:rsidR="00656367" w:rsidRPr="00A96AC5" w:rsidRDefault="00656367" w:rsidP="00622AC7">
            <w:pPr>
              <w:spacing w:line="240" w:lineRule="auto"/>
              <w:jc w:val="center"/>
              <w:rPr>
                <w:rFonts w:cs="Times New Roman"/>
                <w:sz w:val="22"/>
              </w:rPr>
            </w:pPr>
            <w:r w:rsidRPr="00A96AC5">
              <w:rPr>
                <w:rFonts w:cs="Times New Roman"/>
                <w:sz w:val="22"/>
              </w:rPr>
              <w:t>No</w:t>
            </w:r>
          </w:p>
        </w:tc>
        <w:tc>
          <w:tcPr>
            <w:tcW w:w="819" w:type="pct"/>
            <w:vAlign w:val="center"/>
          </w:tcPr>
          <w:p w14:paraId="53570E5B" w14:textId="77777777" w:rsidR="00656367" w:rsidRPr="00A96AC5" w:rsidRDefault="00656367" w:rsidP="00622AC7">
            <w:pPr>
              <w:spacing w:line="240" w:lineRule="auto"/>
              <w:jc w:val="center"/>
              <w:rPr>
                <w:rFonts w:cs="Times New Roman"/>
                <w:sz w:val="22"/>
              </w:rPr>
            </w:pPr>
            <w:r w:rsidRPr="00A96AC5">
              <w:rPr>
                <w:rFonts w:cs="Times New Roman"/>
                <w:sz w:val="22"/>
              </w:rPr>
              <w:t>Yes</w:t>
            </w:r>
          </w:p>
        </w:tc>
        <w:tc>
          <w:tcPr>
            <w:tcW w:w="818" w:type="pct"/>
            <w:vAlign w:val="center"/>
          </w:tcPr>
          <w:p w14:paraId="4DCE8A6E" w14:textId="77777777" w:rsidR="00656367" w:rsidRPr="00A96AC5" w:rsidRDefault="00656367" w:rsidP="00622AC7">
            <w:pPr>
              <w:spacing w:line="240" w:lineRule="auto"/>
              <w:jc w:val="center"/>
              <w:rPr>
                <w:rFonts w:cs="Times New Roman"/>
                <w:sz w:val="22"/>
              </w:rPr>
            </w:pPr>
            <w:r w:rsidRPr="00A96AC5">
              <w:rPr>
                <w:rFonts w:cs="Times New Roman"/>
                <w:sz w:val="22"/>
              </w:rPr>
              <w:t>No</w:t>
            </w:r>
          </w:p>
        </w:tc>
        <w:tc>
          <w:tcPr>
            <w:tcW w:w="819" w:type="pct"/>
            <w:vAlign w:val="center"/>
          </w:tcPr>
          <w:p w14:paraId="07A181D8" w14:textId="77777777" w:rsidR="00656367" w:rsidRPr="00A96AC5" w:rsidRDefault="00656367" w:rsidP="00622AC7">
            <w:pPr>
              <w:spacing w:line="240" w:lineRule="auto"/>
              <w:jc w:val="center"/>
              <w:rPr>
                <w:rFonts w:cs="Times New Roman"/>
                <w:sz w:val="22"/>
              </w:rPr>
            </w:pPr>
            <w:r w:rsidRPr="00A96AC5">
              <w:rPr>
                <w:rFonts w:cs="Times New Roman"/>
                <w:sz w:val="22"/>
              </w:rPr>
              <w:t>Yes</w:t>
            </w:r>
          </w:p>
        </w:tc>
      </w:tr>
      <w:tr w:rsidR="00656367" w:rsidRPr="008903D1" w14:paraId="31915D43" w14:textId="77777777" w:rsidTr="00622AC7">
        <w:trPr>
          <w:trHeight w:val="610"/>
        </w:trPr>
        <w:tc>
          <w:tcPr>
            <w:tcW w:w="761" w:type="pct"/>
            <w:vMerge w:val="restart"/>
            <w:vAlign w:val="center"/>
          </w:tcPr>
          <w:p w14:paraId="24DC632F" w14:textId="77777777" w:rsidR="00656367" w:rsidRPr="008903D1" w:rsidRDefault="00656367" w:rsidP="00622AC7">
            <w:pPr>
              <w:spacing w:line="240" w:lineRule="auto"/>
              <w:jc w:val="center"/>
              <w:rPr>
                <w:rFonts w:cs="Times New Roman"/>
                <w:sz w:val="22"/>
              </w:rPr>
            </w:pPr>
            <w:r w:rsidRPr="00737239">
              <w:rPr>
                <w:rFonts w:cs="Times New Roman"/>
              </w:rPr>
              <w:t>Product property</w:t>
            </w:r>
          </w:p>
        </w:tc>
        <w:tc>
          <w:tcPr>
            <w:tcW w:w="966" w:type="pct"/>
            <w:vAlign w:val="center"/>
          </w:tcPr>
          <w:p w14:paraId="35D5B5C7" w14:textId="77777777" w:rsidR="00656367" w:rsidRPr="008903D1" w:rsidRDefault="00656367" w:rsidP="00622AC7">
            <w:pPr>
              <w:spacing w:line="240" w:lineRule="auto"/>
              <w:jc w:val="center"/>
              <w:rPr>
                <w:rFonts w:cs="Times New Roman"/>
                <w:sz w:val="22"/>
              </w:rPr>
            </w:pPr>
            <w:r w:rsidRPr="008903D1">
              <w:rPr>
                <w:rFonts w:cs="Times New Roman"/>
                <w:sz w:val="22"/>
              </w:rPr>
              <w:t>Ease of goods handling</w:t>
            </w:r>
          </w:p>
        </w:tc>
        <w:tc>
          <w:tcPr>
            <w:tcW w:w="818" w:type="pct"/>
            <w:vAlign w:val="center"/>
          </w:tcPr>
          <w:p w14:paraId="62AB5381" w14:textId="77777777" w:rsidR="00656367" w:rsidRPr="00737239" w:rsidRDefault="00656367" w:rsidP="00622AC7">
            <w:pPr>
              <w:spacing w:line="240" w:lineRule="auto"/>
              <w:jc w:val="center"/>
              <w:rPr>
                <w:rFonts w:cs="Times New Roman"/>
                <w:sz w:val="22"/>
              </w:rPr>
            </w:pPr>
            <w:r w:rsidRPr="00737239">
              <w:rPr>
                <w:rFonts w:cs="Times New Roman"/>
                <w:sz w:val="22"/>
              </w:rPr>
              <w:t>Easy</w:t>
            </w:r>
          </w:p>
        </w:tc>
        <w:tc>
          <w:tcPr>
            <w:tcW w:w="819" w:type="pct"/>
            <w:vAlign w:val="center"/>
          </w:tcPr>
          <w:p w14:paraId="61AF6F40" w14:textId="77777777" w:rsidR="00656367" w:rsidRPr="00802DC5" w:rsidRDefault="00656367" w:rsidP="00622AC7">
            <w:pPr>
              <w:spacing w:line="240" w:lineRule="auto"/>
              <w:jc w:val="center"/>
              <w:rPr>
                <w:rFonts w:cs="Times New Roman"/>
                <w:sz w:val="22"/>
              </w:rPr>
            </w:pPr>
            <w:r w:rsidRPr="00802DC5">
              <w:rPr>
                <w:rFonts w:cs="Times New Roman"/>
                <w:sz w:val="22"/>
              </w:rPr>
              <w:t>Difficult</w:t>
            </w:r>
          </w:p>
        </w:tc>
        <w:tc>
          <w:tcPr>
            <w:tcW w:w="818" w:type="pct"/>
            <w:vAlign w:val="center"/>
          </w:tcPr>
          <w:p w14:paraId="224BDFF7" w14:textId="77777777" w:rsidR="00656367" w:rsidRPr="00802DC5" w:rsidRDefault="00656367" w:rsidP="00622AC7">
            <w:pPr>
              <w:spacing w:line="240" w:lineRule="auto"/>
              <w:jc w:val="center"/>
              <w:rPr>
                <w:rFonts w:cs="Times New Roman"/>
                <w:sz w:val="22"/>
              </w:rPr>
            </w:pPr>
            <w:r w:rsidRPr="00802DC5">
              <w:rPr>
                <w:rFonts w:cs="Times New Roman"/>
                <w:sz w:val="22"/>
              </w:rPr>
              <w:t>Easy</w:t>
            </w:r>
          </w:p>
        </w:tc>
        <w:tc>
          <w:tcPr>
            <w:tcW w:w="819" w:type="pct"/>
            <w:vAlign w:val="center"/>
          </w:tcPr>
          <w:p w14:paraId="53DBC7EB" w14:textId="77777777" w:rsidR="00656367" w:rsidRPr="00DB493C" w:rsidRDefault="00656367" w:rsidP="00622AC7">
            <w:pPr>
              <w:spacing w:line="240" w:lineRule="auto"/>
              <w:jc w:val="center"/>
              <w:rPr>
                <w:rFonts w:cs="Times New Roman"/>
                <w:sz w:val="22"/>
              </w:rPr>
            </w:pPr>
            <w:r w:rsidRPr="00DB493C">
              <w:rPr>
                <w:rFonts w:cs="Times New Roman"/>
                <w:sz w:val="22"/>
              </w:rPr>
              <w:t>Easy</w:t>
            </w:r>
          </w:p>
        </w:tc>
      </w:tr>
      <w:tr w:rsidR="00656367" w:rsidRPr="008903D1" w14:paraId="28C57D2B" w14:textId="77777777" w:rsidTr="00622AC7">
        <w:trPr>
          <w:trHeight w:val="516"/>
        </w:trPr>
        <w:tc>
          <w:tcPr>
            <w:tcW w:w="761" w:type="pct"/>
            <w:vMerge/>
          </w:tcPr>
          <w:p w14:paraId="30B3937B" w14:textId="77777777" w:rsidR="00656367" w:rsidRPr="008903D1" w:rsidRDefault="00656367" w:rsidP="00622AC7">
            <w:pPr>
              <w:spacing w:line="240" w:lineRule="auto"/>
              <w:jc w:val="center"/>
              <w:rPr>
                <w:rFonts w:cs="Times New Roman"/>
                <w:sz w:val="22"/>
              </w:rPr>
            </w:pPr>
          </w:p>
        </w:tc>
        <w:tc>
          <w:tcPr>
            <w:tcW w:w="966" w:type="pct"/>
            <w:vAlign w:val="center"/>
          </w:tcPr>
          <w:p w14:paraId="742D9BBD" w14:textId="77777777" w:rsidR="00656367" w:rsidRPr="008903D1" w:rsidRDefault="00656367" w:rsidP="00622AC7">
            <w:pPr>
              <w:spacing w:line="240" w:lineRule="auto"/>
              <w:jc w:val="center"/>
              <w:rPr>
                <w:rFonts w:cs="Times New Roman"/>
                <w:sz w:val="22"/>
              </w:rPr>
            </w:pPr>
            <w:r w:rsidRPr="008903D1">
              <w:rPr>
                <w:rFonts w:cs="Times New Roman"/>
                <w:sz w:val="22"/>
              </w:rPr>
              <w:t>Special conditions</w:t>
            </w:r>
          </w:p>
        </w:tc>
        <w:tc>
          <w:tcPr>
            <w:tcW w:w="818" w:type="pct"/>
            <w:vAlign w:val="center"/>
          </w:tcPr>
          <w:p w14:paraId="14BC9B7F" w14:textId="77777777" w:rsidR="00656367" w:rsidRPr="008903D1" w:rsidRDefault="00656367" w:rsidP="00622AC7">
            <w:pPr>
              <w:spacing w:line="240" w:lineRule="auto"/>
              <w:jc w:val="center"/>
              <w:rPr>
                <w:rFonts w:cs="Times New Roman"/>
                <w:sz w:val="22"/>
              </w:rPr>
            </w:pPr>
            <w:r w:rsidRPr="008903D1">
              <w:rPr>
                <w:rFonts w:cs="Times New Roman"/>
                <w:sz w:val="22"/>
              </w:rPr>
              <w:t>No special needs</w:t>
            </w:r>
          </w:p>
        </w:tc>
        <w:tc>
          <w:tcPr>
            <w:tcW w:w="819" w:type="pct"/>
            <w:vAlign w:val="center"/>
          </w:tcPr>
          <w:p w14:paraId="22A6181A" w14:textId="77777777" w:rsidR="00656367" w:rsidRPr="008903D1" w:rsidRDefault="00656367" w:rsidP="00622AC7">
            <w:pPr>
              <w:spacing w:line="240" w:lineRule="auto"/>
              <w:jc w:val="center"/>
              <w:rPr>
                <w:rFonts w:cs="Times New Roman"/>
                <w:sz w:val="22"/>
              </w:rPr>
            </w:pPr>
            <w:r w:rsidRPr="008903D1">
              <w:rPr>
                <w:rFonts w:cs="Times New Roman"/>
                <w:sz w:val="22"/>
              </w:rPr>
              <w:t>Moderate special needs</w:t>
            </w:r>
          </w:p>
        </w:tc>
        <w:tc>
          <w:tcPr>
            <w:tcW w:w="818" w:type="pct"/>
            <w:vAlign w:val="center"/>
          </w:tcPr>
          <w:p w14:paraId="58F7636D" w14:textId="77777777" w:rsidR="00656367" w:rsidRPr="008903D1" w:rsidRDefault="00656367" w:rsidP="00622AC7">
            <w:pPr>
              <w:spacing w:line="240" w:lineRule="auto"/>
              <w:jc w:val="center"/>
              <w:rPr>
                <w:rFonts w:cs="Times New Roman"/>
                <w:sz w:val="22"/>
              </w:rPr>
            </w:pPr>
            <w:r w:rsidRPr="008903D1">
              <w:rPr>
                <w:rFonts w:cs="Times New Roman"/>
                <w:sz w:val="22"/>
              </w:rPr>
              <w:t>Special needs</w:t>
            </w:r>
          </w:p>
        </w:tc>
        <w:tc>
          <w:tcPr>
            <w:tcW w:w="819" w:type="pct"/>
            <w:vAlign w:val="center"/>
          </w:tcPr>
          <w:p w14:paraId="25AE3F77" w14:textId="77777777" w:rsidR="00656367" w:rsidRPr="008903D1" w:rsidRDefault="00656367" w:rsidP="00622AC7">
            <w:pPr>
              <w:spacing w:line="240" w:lineRule="auto"/>
              <w:jc w:val="center"/>
              <w:rPr>
                <w:rFonts w:cs="Times New Roman"/>
                <w:sz w:val="22"/>
              </w:rPr>
            </w:pPr>
            <w:r w:rsidRPr="008903D1">
              <w:rPr>
                <w:rFonts w:cs="Times New Roman"/>
                <w:sz w:val="22"/>
              </w:rPr>
              <w:t>Special needs</w:t>
            </w:r>
          </w:p>
        </w:tc>
      </w:tr>
    </w:tbl>
    <w:p w14:paraId="3B5F924B" w14:textId="10ADBC85" w:rsidR="00656367" w:rsidRPr="00737239" w:rsidRDefault="007B5959" w:rsidP="007F6877">
      <w:pPr>
        <w:pStyle w:val="Caption"/>
        <w:spacing w:line="360" w:lineRule="auto"/>
        <w:rPr>
          <w:rFonts w:cs="Times New Roman"/>
          <w:lang w:val="fr-FR"/>
        </w:rPr>
      </w:pPr>
      <w:bookmarkStart w:id="742" w:name="_Ref44970886"/>
      <w:bookmarkStart w:id="743" w:name="_Toc46053568"/>
      <w:bookmarkStart w:id="744" w:name="_Toc46093817"/>
      <w:bookmarkStart w:id="745" w:name="_Toc66698784"/>
      <w:r>
        <w:rPr>
          <w:rFonts w:cs="Times New Roman"/>
          <w:lang w:val="fr-FR"/>
        </w:rPr>
        <w:t>Table</w:t>
      </w:r>
      <w:r w:rsidR="00656367" w:rsidRPr="00737239">
        <w:rPr>
          <w:rFonts w:cs="Times New Roman"/>
          <w:lang w:val="fr-FR"/>
        </w:rPr>
        <w:t xml:space="preserve"> </w:t>
      </w:r>
      <w:r w:rsidR="00FE10DA">
        <w:rPr>
          <w:rFonts w:cs="Times New Roman"/>
          <w:lang w:val="fr-FR"/>
        </w:rPr>
        <w:fldChar w:fldCharType="begin"/>
      </w:r>
      <w:r w:rsidR="00FE10DA">
        <w:rPr>
          <w:rFonts w:cs="Times New Roman"/>
          <w:lang w:val="fr-FR"/>
        </w:rPr>
        <w:instrText xml:space="preserve"> STYLEREF 1 \s </w:instrText>
      </w:r>
      <w:r w:rsidR="00FE10DA">
        <w:rPr>
          <w:rFonts w:cs="Times New Roman"/>
          <w:lang w:val="fr-FR"/>
        </w:rPr>
        <w:fldChar w:fldCharType="separate"/>
      </w:r>
      <w:r w:rsidR="0005064B">
        <w:rPr>
          <w:rFonts w:cs="Times New Roman"/>
          <w:noProof/>
          <w:lang w:val="fr-FR"/>
        </w:rPr>
        <w:t>5</w:t>
      </w:r>
      <w:r w:rsidR="00FE10DA">
        <w:rPr>
          <w:rFonts w:cs="Times New Roman"/>
          <w:lang w:val="fr-FR"/>
        </w:rPr>
        <w:fldChar w:fldCharType="end"/>
      </w:r>
      <w:r w:rsidR="00FE10DA">
        <w:rPr>
          <w:rFonts w:cs="Times New Roman"/>
          <w:lang w:val="fr-FR"/>
        </w:rPr>
        <w:noBreakHyphen/>
      </w:r>
      <w:r w:rsidR="00FE10DA">
        <w:rPr>
          <w:rFonts w:cs="Times New Roman"/>
          <w:lang w:val="fr-FR"/>
        </w:rPr>
        <w:fldChar w:fldCharType="begin"/>
      </w:r>
      <w:r w:rsidR="00FE10DA">
        <w:rPr>
          <w:rFonts w:cs="Times New Roman"/>
          <w:lang w:val="fr-FR"/>
        </w:rPr>
        <w:instrText xml:space="preserve"> SEQ Table \* ARABIC \s 1 </w:instrText>
      </w:r>
      <w:r w:rsidR="00FE10DA">
        <w:rPr>
          <w:rFonts w:cs="Times New Roman"/>
          <w:lang w:val="fr-FR"/>
        </w:rPr>
        <w:fldChar w:fldCharType="separate"/>
      </w:r>
      <w:r w:rsidR="0005064B">
        <w:rPr>
          <w:rFonts w:cs="Times New Roman"/>
          <w:noProof/>
          <w:lang w:val="fr-FR"/>
        </w:rPr>
        <w:t>2</w:t>
      </w:r>
      <w:r w:rsidR="00FE10DA">
        <w:rPr>
          <w:rFonts w:cs="Times New Roman"/>
          <w:lang w:val="fr-FR"/>
        </w:rPr>
        <w:fldChar w:fldCharType="end"/>
      </w:r>
      <w:bookmarkEnd w:id="742"/>
      <w:r w:rsidR="00AF217C">
        <w:rPr>
          <w:rFonts w:cs="Times New Roman"/>
          <w:lang w:val="fr-FR"/>
        </w:rPr>
        <w:t>:</w:t>
      </w:r>
      <w:r w:rsidR="00656367" w:rsidRPr="00737239">
        <w:rPr>
          <w:rFonts w:cs="Times New Roman"/>
          <w:lang w:val="fr-FR"/>
        </w:rPr>
        <w:t xml:space="preserve"> </w:t>
      </w:r>
      <w:proofErr w:type="spellStart"/>
      <w:r w:rsidR="00656367" w:rsidRPr="00737239">
        <w:rPr>
          <w:rFonts w:cs="Times New Roman"/>
          <w:lang w:val="fr-FR"/>
        </w:rPr>
        <w:t>Logistic</w:t>
      </w:r>
      <w:proofErr w:type="spellEnd"/>
      <w:r w:rsidR="00656367" w:rsidRPr="00737239">
        <w:rPr>
          <w:rFonts w:cs="Times New Roman"/>
          <w:lang w:val="fr-FR"/>
        </w:rPr>
        <w:t xml:space="preserve"> profiles (</w:t>
      </w:r>
      <w:proofErr w:type="spellStart"/>
      <w:r w:rsidR="00656367" w:rsidRPr="00737239">
        <w:rPr>
          <w:rFonts w:cs="Times New Roman"/>
          <w:lang w:val="fr-FR"/>
        </w:rPr>
        <w:t>LPs</w:t>
      </w:r>
      <w:proofErr w:type="spellEnd"/>
      <w:r w:rsidR="00656367" w:rsidRPr="00737239">
        <w:rPr>
          <w:rFonts w:cs="Times New Roman"/>
          <w:lang w:val="fr-FR"/>
        </w:rPr>
        <w:t xml:space="preserve">) in </w:t>
      </w:r>
      <w:proofErr w:type="spellStart"/>
      <w:r w:rsidR="00656367" w:rsidRPr="00737239">
        <w:rPr>
          <w:rFonts w:cs="Times New Roman"/>
          <w:lang w:val="fr-FR"/>
        </w:rPr>
        <w:t>urban</w:t>
      </w:r>
      <w:proofErr w:type="spellEnd"/>
      <w:r w:rsidR="00656367" w:rsidRPr="00737239">
        <w:rPr>
          <w:rFonts w:cs="Times New Roman"/>
          <w:lang w:val="fr-FR"/>
        </w:rPr>
        <w:t xml:space="preserve"> consolidation centres (</w:t>
      </w:r>
      <w:proofErr w:type="spellStart"/>
      <w:r w:rsidR="00656367" w:rsidRPr="00737239">
        <w:rPr>
          <w:rFonts w:cs="Times New Roman"/>
          <w:lang w:val="fr-FR"/>
        </w:rPr>
        <w:t>UCCs</w:t>
      </w:r>
      <w:proofErr w:type="spellEnd"/>
      <w:r w:rsidR="00656367" w:rsidRPr="00737239">
        <w:rPr>
          <w:rFonts w:cs="Times New Roman"/>
          <w:lang w:val="fr-FR"/>
        </w:rPr>
        <w:t>)</w:t>
      </w:r>
      <w:bookmarkEnd w:id="743"/>
      <w:bookmarkEnd w:id="744"/>
      <w:bookmarkEnd w:id="745"/>
    </w:p>
    <w:p w14:paraId="20D1BD62" w14:textId="669C3B4B" w:rsidR="00656367" w:rsidRDefault="00656367" w:rsidP="007F6877">
      <w:pPr>
        <w:spacing w:after="240" w:line="360" w:lineRule="auto"/>
        <w:rPr>
          <w:rFonts w:cs="Times New Roman"/>
        </w:rPr>
      </w:pPr>
      <w:r w:rsidRPr="00737239">
        <w:rPr>
          <w:rFonts w:cs="Times New Roman"/>
        </w:rPr>
        <w:lastRenderedPageBreak/>
        <w:t>The LPs of the investigated UCCs are presented in</w:t>
      </w:r>
      <w:r w:rsidR="000D7DB3">
        <w:rPr>
          <w:rFonts w:cs="Times New Roman"/>
        </w:rPr>
        <w:t xml:space="preserve"> </w:t>
      </w:r>
      <w:r w:rsidR="000D7DB3">
        <w:rPr>
          <w:rFonts w:cs="Times New Roman"/>
        </w:rPr>
        <w:fldChar w:fldCharType="begin"/>
      </w:r>
      <w:r w:rsidR="000D7DB3">
        <w:rPr>
          <w:rFonts w:cs="Times New Roman"/>
        </w:rPr>
        <w:instrText xml:space="preserve"> REF _Ref44970886 \h </w:instrText>
      </w:r>
      <w:r w:rsidR="000D7DB3">
        <w:rPr>
          <w:rFonts w:cs="Times New Roman"/>
        </w:rPr>
      </w:r>
      <w:r w:rsidR="000D7DB3">
        <w:rPr>
          <w:rFonts w:cs="Times New Roman"/>
        </w:rPr>
        <w:fldChar w:fldCharType="separate"/>
      </w:r>
      <w:r w:rsidR="0005064B">
        <w:rPr>
          <w:rFonts w:cs="Times New Roman"/>
          <w:lang w:val="fr-FR"/>
        </w:rPr>
        <w:t>Table</w:t>
      </w:r>
      <w:r w:rsidR="0005064B" w:rsidRPr="00737239">
        <w:rPr>
          <w:rFonts w:cs="Times New Roman"/>
          <w:lang w:val="fr-FR"/>
        </w:rPr>
        <w:t xml:space="preserve"> </w:t>
      </w:r>
      <w:r w:rsidR="0005064B">
        <w:rPr>
          <w:rFonts w:cs="Times New Roman"/>
          <w:noProof/>
          <w:lang w:val="fr-FR"/>
        </w:rPr>
        <w:t>5</w:t>
      </w:r>
      <w:r w:rsidR="0005064B">
        <w:rPr>
          <w:rFonts w:cs="Times New Roman"/>
          <w:lang w:val="fr-FR"/>
        </w:rPr>
        <w:noBreakHyphen/>
      </w:r>
      <w:r w:rsidR="0005064B">
        <w:rPr>
          <w:rFonts w:cs="Times New Roman"/>
          <w:noProof/>
          <w:lang w:val="fr-FR"/>
        </w:rPr>
        <w:t>2</w:t>
      </w:r>
      <w:r w:rsidR="000D7DB3">
        <w:rPr>
          <w:rFonts w:cs="Times New Roman"/>
        </w:rPr>
        <w:fldChar w:fldCharType="end"/>
      </w:r>
      <w:r w:rsidRPr="008903D1">
        <w:rPr>
          <w:rFonts w:cs="Times New Roman"/>
        </w:rPr>
        <w:t xml:space="preserve">. The LP of Case 1 </w:t>
      </w:r>
      <w:r w:rsidRPr="00737239">
        <w:rPr>
          <w:rFonts w:cs="Times New Roman"/>
        </w:rPr>
        <w:t>reveals that the UCC services a cluster of consumers with specific types of goods in a small commercial zone. This facility implements daily delivery tasks. The schedules are pre-planned, and customers do not have urgent requirements for delivery. The accessibility of</w:t>
      </w:r>
      <w:r w:rsidRPr="00802DC5">
        <w:rPr>
          <w:rFonts w:cs="Times New Roman"/>
        </w:rPr>
        <w:t xml:space="preserve"> the UCC distribution area is moderate, as not all destinations have feasible parking spaces. The types of goods delivered are packages which do not require special processing. Therefore, the level of value-adding services is low. The LP of Case 2 indicates a facility with a cluster of users, with different types of goods, on a specific site. The users provide available parking spaces for delivery, thus the accessibility of this UCC is good. There are daily delivery </w:t>
      </w:r>
      <w:proofErr w:type="gramStart"/>
      <w:r w:rsidRPr="00802DC5">
        <w:rPr>
          <w:rFonts w:cs="Times New Roman"/>
        </w:rPr>
        <w:t>services</w:t>
      </w:r>
      <w:proofErr w:type="gramEnd"/>
      <w:r w:rsidRPr="00802DC5">
        <w:rPr>
          <w:rFonts w:cs="Times New Roman"/>
        </w:rPr>
        <w:t xml:space="preserve"> and the schedules are pre-planned. The t</w:t>
      </w:r>
      <w:r w:rsidRPr="00DB493C">
        <w:rPr>
          <w:rFonts w:cs="Times New Roman"/>
        </w:rPr>
        <w:t>ypes of goods delivered are construction materials</w:t>
      </w:r>
      <w:r w:rsidR="003B7492">
        <w:rPr>
          <w:rFonts w:cs="Times New Roman"/>
        </w:rPr>
        <w:t>,</w:t>
      </w:r>
      <w:r w:rsidRPr="00DB493C">
        <w:rPr>
          <w:rFonts w:cs="Times New Roman"/>
        </w:rPr>
        <w:t xml:space="preserve"> and the partial goods are fragile and perishable, requiring special care. Thus, there are moderated value-adding services. This </w:t>
      </w:r>
      <w:r>
        <w:rPr>
          <w:rFonts w:cs="Times New Roman"/>
        </w:rPr>
        <w:t xml:space="preserve">fact </w:t>
      </w:r>
      <w:r w:rsidRPr="00DB493C">
        <w:rPr>
          <w:rFonts w:cs="Times New Roman"/>
        </w:rPr>
        <w:t>enables the UCC to formulate pricing according to the types of material hand</w:t>
      </w:r>
      <w:r w:rsidRPr="00A96AC5">
        <w:rPr>
          <w:rFonts w:cs="Times New Roman"/>
        </w:rPr>
        <w:t xml:space="preserve">led by the facility. The LP of Case 3 indicates a UCC with various types of consumers and specific goods types, serving the entire city. The UCC conducts hourly delivery services. Most of the delivery schedules are pre-planned, but the facility also processes urgent orders. Partial customers provide parking </w:t>
      </w:r>
      <w:proofErr w:type="gramStart"/>
      <w:r w:rsidR="00314363" w:rsidRPr="00A96AC5">
        <w:rPr>
          <w:rFonts w:cs="Times New Roman"/>
        </w:rPr>
        <w:t>spaces</w:t>
      </w:r>
      <w:r w:rsidR="00003499">
        <w:rPr>
          <w:rFonts w:cs="Times New Roman"/>
        </w:rPr>
        <w:t>,</w:t>
      </w:r>
      <w:proofErr w:type="gramEnd"/>
      <w:r w:rsidRPr="00A96AC5">
        <w:rPr>
          <w:rFonts w:cs="Times New Roman"/>
        </w:rPr>
        <w:t xml:space="preserve"> thus the accessibility of the distribution area is moderate. The types of goods delivered are medical products and equipment, most of which requires a thermostatic environment. Thus, the level of value-adding services is high. The LP of Case 4 describes a UCC service with various types of consumers and multiple types of goods, serving the entire city. The facility conducts hourly delivery services. Most deliveries are of random orders, thus urgent orders are frequently processed. Half of the orders are for cold chain products that require low-temperature environments. As a result, the level of value-adding services is high. Only the construction materials in Case 2 are handled by equipment (i.e., a crane)</w:t>
      </w:r>
      <w:r w:rsidR="003215FA">
        <w:rPr>
          <w:rFonts w:cs="Times New Roman"/>
        </w:rPr>
        <w:t>,</w:t>
      </w:r>
      <w:r w:rsidRPr="00A96AC5">
        <w:rPr>
          <w:rFonts w:cs="Times New Roman"/>
        </w:rPr>
        <w:t xml:space="preserve"> and in all other cases, the goods are </w:t>
      </w:r>
      <w:r w:rsidR="00AF0778">
        <w:rPr>
          <w:rFonts w:cs="Times New Roman"/>
        </w:rPr>
        <w:t>un</w:t>
      </w:r>
      <w:r w:rsidRPr="00A96AC5">
        <w:rPr>
          <w:rFonts w:cs="Times New Roman"/>
        </w:rPr>
        <w:t xml:space="preserve">loaded and reloaded manually. </w:t>
      </w:r>
    </w:p>
    <w:p w14:paraId="248F70B1" w14:textId="615CA32C" w:rsidR="009A7F0F" w:rsidRPr="00A96AC5" w:rsidRDefault="009A7F0F" w:rsidP="007F6877">
      <w:pPr>
        <w:spacing w:after="240" w:line="360" w:lineRule="auto"/>
        <w:rPr>
          <w:rFonts w:cs="Times New Roman"/>
        </w:rPr>
      </w:pPr>
      <w:r w:rsidRPr="00802DC5">
        <w:rPr>
          <w:rFonts w:cs="Times New Roman"/>
        </w:rPr>
        <w:t xml:space="preserve">Having analysed the LP of each UCC, it is essential to understand the kind of SUL challenges that emerge prior to the implementation of the UCC. </w:t>
      </w:r>
      <w:r>
        <w:rPr>
          <w:rFonts w:cs="Times New Roman"/>
        </w:rPr>
        <w:fldChar w:fldCharType="begin"/>
      </w:r>
      <w:r>
        <w:rPr>
          <w:rFonts w:cs="Times New Roman"/>
        </w:rPr>
        <w:instrText xml:space="preserve"> REF _Ref44970939 \h </w:instrText>
      </w:r>
      <w:r>
        <w:rPr>
          <w:rFonts w:cs="Times New Roman"/>
        </w:rPr>
      </w:r>
      <w:r>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5</w:t>
      </w:r>
      <w:r w:rsidR="0005064B">
        <w:rPr>
          <w:rFonts w:cs="Times New Roman"/>
        </w:rPr>
        <w:noBreakHyphen/>
      </w:r>
      <w:r w:rsidR="0005064B">
        <w:rPr>
          <w:rFonts w:cs="Times New Roman"/>
          <w:noProof/>
        </w:rPr>
        <w:t>3</w:t>
      </w:r>
      <w:r>
        <w:rPr>
          <w:rFonts w:cs="Times New Roman"/>
        </w:rPr>
        <w:fldChar w:fldCharType="end"/>
      </w:r>
      <w:r>
        <w:rPr>
          <w:rFonts w:cs="Times New Roman"/>
        </w:rPr>
        <w:t xml:space="preserve"> </w:t>
      </w:r>
      <w:r w:rsidRPr="008903D1">
        <w:rPr>
          <w:rFonts w:cs="Times New Roman"/>
        </w:rPr>
        <w:t xml:space="preserve">shows </w:t>
      </w:r>
      <w:r w:rsidRPr="00737239">
        <w:rPr>
          <w:rFonts w:cs="Times New Roman"/>
        </w:rPr>
        <w:t xml:space="preserve">that these issues are waiting </w:t>
      </w:r>
      <w:r w:rsidR="007F761C">
        <w:rPr>
          <w:rFonts w:cs="Times New Roman"/>
        </w:rPr>
        <w:t>to be</w:t>
      </w:r>
      <w:r w:rsidRPr="00737239">
        <w:rPr>
          <w:rFonts w:cs="Times New Roman"/>
        </w:rPr>
        <w:t xml:space="preserve"> address</w:t>
      </w:r>
      <w:r w:rsidR="007F761C">
        <w:rPr>
          <w:rFonts w:cs="Times New Roman"/>
        </w:rPr>
        <w:t>ed</w:t>
      </w:r>
      <w:r w:rsidRPr="00737239">
        <w:rPr>
          <w:rFonts w:cs="Times New Roman"/>
        </w:rPr>
        <w:t>. The primary target of the Swedish cases is the environmental issues, whilst the Chinese cases concern economic issues. In these four cases, it appears that the public authorities tend to prioritise environmenta</w:t>
      </w:r>
      <w:r w:rsidRPr="00802DC5">
        <w:rPr>
          <w:rFonts w:cs="Times New Roman"/>
        </w:rPr>
        <w:t xml:space="preserve">l issues, whilst private enterprises focus on logistics efficiency. </w:t>
      </w:r>
    </w:p>
    <w:tbl>
      <w:tblPr>
        <w:tblStyle w:val="TableGrid"/>
        <w:tblW w:w="0" w:type="auto"/>
        <w:tblLook w:val="04A0" w:firstRow="1" w:lastRow="0" w:firstColumn="1" w:lastColumn="0" w:noHBand="0" w:noVBand="1"/>
      </w:tblPr>
      <w:tblGrid>
        <w:gridCol w:w="1555"/>
        <w:gridCol w:w="6237"/>
        <w:gridCol w:w="1224"/>
      </w:tblGrid>
      <w:tr w:rsidR="00656367" w:rsidRPr="008903D1" w14:paraId="47234156" w14:textId="77777777" w:rsidTr="00622AC7">
        <w:tc>
          <w:tcPr>
            <w:tcW w:w="1555" w:type="dxa"/>
            <w:vAlign w:val="center"/>
          </w:tcPr>
          <w:p w14:paraId="295B1572" w14:textId="77777777" w:rsidR="00656367" w:rsidRPr="00A96AC5" w:rsidRDefault="00656367" w:rsidP="00622AC7">
            <w:pPr>
              <w:spacing w:line="240" w:lineRule="auto"/>
              <w:jc w:val="center"/>
              <w:rPr>
                <w:rFonts w:cs="Times New Roman"/>
                <w:b/>
                <w:bCs/>
                <w:sz w:val="22"/>
              </w:rPr>
            </w:pPr>
            <w:r w:rsidRPr="00A96AC5">
              <w:rPr>
                <w:rFonts w:cs="Times New Roman"/>
                <w:b/>
                <w:bCs/>
                <w:sz w:val="22"/>
              </w:rPr>
              <w:t>Case study</w:t>
            </w:r>
          </w:p>
        </w:tc>
        <w:tc>
          <w:tcPr>
            <w:tcW w:w="6237" w:type="dxa"/>
            <w:vAlign w:val="center"/>
          </w:tcPr>
          <w:p w14:paraId="26527CC6" w14:textId="77777777" w:rsidR="00656367" w:rsidRPr="00A96AC5" w:rsidRDefault="00656367" w:rsidP="00622AC7">
            <w:pPr>
              <w:spacing w:line="240" w:lineRule="auto"/>
              <w:jc w:val="center"/>
              <w:rPr>
                <w:rFonts w:cs="Times New Roman"/>
                <w:b/>
                <w:bCs/>
                <w:sz w:val="22"/>
              </w:rPr>
            </w:pPr>
            <w:r w:rsidRPr="00A96AC5">
              <w:rPr>
                <w:rFonts w:cs="Times New Roman"/>
                <w:b/>
                <w:bCs/>
                <w:noProof/>
                <w:sz w:val="22"/>
              </w:rPr>
              <w:t>Challenges</w:t>
            </w:r>
            <w:r w:rsidRPr="00A96AC5">
              <w:rPr>
                <w:rFonts w:cs="Times New Roman"/>
                <w:b/>
                <w:bCs/>
                <w:sz w:val="22"/>
              </w:rPr>
              <w:t xml:space="preserve"> for sustainability</w:t>
            </w:r>
          </w:p>
        </w:tc>
        <w:tc>
          <w:tcPr>
            <w:tcW w:w="1224" w:type="dxa"/>
            <w:vAlign w:val="center"/>
          </w:tcPr>
          <w:p w14:paraId="458980E9" w14:textId="77777777" w:rsidR="00656367" w:rsidRPr="00A96AC5" w:rsidRDefault="00656367" w:rsidP="00622AC7">
            <w:pPr>
              <w:spacing w:line="240" w:lineRule="auto"/>
              <w:jc w:val="center"/>
              <w:rPr>
                <w:rFonts w:cs="Times New Roman"/>
                <w:b/>
                <w:bCs/>
                <w:sz w:val="22"/>
              </w:rPr>
            </w:pPr>
            <w:r w:rsidRPr="00A96AC5">
              <w:rPr>
                <w:rFonts w:cs="Times New Roman"/>
                <w:b/>
                <w:bCs/>
                <w:sz w:val="22"/>
              </w:rPr>
              <w:t>Problem finders</w:t>
            </w:r>
          </w:p>
        </w:tc>
      </w:tr>
      <w:tr w:rsidR="00656367" w:rsidRPr="008903D1" w14:paraId="442C132D" w14:textId="77777777" w:rsidTr="00622AC7">
        <w:tc>
          <w:tcPr>
            <w:tcW w:w="1555" w:type="dxa"/>
            <w:vAlign w:val="center"/>
          </w:tcPr>
          <w:p w14:paraId="2E8E6027" w14:textId="77777777" w:rsidR="00656367" w:rsidRPr="00737239" w:rsidRDefault="00656367" w:rsidP="00622AC7">
            <w:pPr>
              <w:spacing w:line="240" w:lineRule="auto"/>
              <w:jc w:val="left"/>
              <w:rPr>
                <w:rFonts w:cs="Times New Roman"/>
                <w:sz w:val="22"/>
              </w:rPr>
            </w:pPr>
            <w:r w:rsidRPr="00737239">
              <w:rPr>
                <w:rFonts w:cs="Times New Roman"/>
                <w:sz w:val="22"/>
              </w:rPr>
              <w:t>Case 1</w:t>
            </w:r>
          </w:p>
        </w:tc>
        <w:tc>
          <w:tcPr>
            <w:tcW w:w="6237" w:type="dxa"/>
          </w:tcPr>
          <w:p w14:paraId="270B7ED4" w14:textId="77777777" w:rsidR="00656367" w:rsidRPr="00DB493C" w:rsidRDefault="00656367" w:rsidP="00A323CC">
            <w:pPr>
              <w:pStyle w:val="ListParagraph"/>
              <w:numPr>
                <w:ilvl w:val="0"/>
                <w:numId w:val="13"/>
              </w:numPr>
              <w:spacing w:line="240" w:lineRule="auto"/>
              <w:rPr>
                <w:rFonts w:cs="Times New Roman"/>
                <w:i/>
                <w:iCs/>
                <w:sz w:val="22"/>
              </w:rPr>
            </w:pPr>
            <w:r w:rsidRPr="00802DC5">
              <w:rPr>
                <w:rFonts w:cs="Times New Roman"/>
                <w:iCs/>
                <w:sz w:val="22"/>
              </w:rPr>
              <w:t>Emissions of CO</w:t>
            </w:r>
            <w:r w:rsidRPr="00802DC5">
              <w:rPr>
                <w:rFonts w:cs="Times New Roman"/>
                <w:iCs/>
                <w:sz w:val="22"/>
                <w:vertAlign w:val="subscript"/>
              </w:rPr>
              <w:t>2</w:t>
            </w:r>
            <w:r w:rsidRPr="00802DC5">
              <w:rPr>
                <w:rFonts w:cs="Times New Roman"/>
                <w:iCs/>
                <w:sz w:val="22"/>
              </w:rPr>
              <w:t>, NO</w:t>
            </w:r>
            <w:r w:rsidRPr="00802DC5">
              <w:rPr>
                <w:rFonts w:cs="Times New Roman"/>
                <w:iCs/>
                <w:sz w:val="22"/>
                <w:vertAlign w:val="subscript"/>
              </w:rPr>
              <w:t>x</w:t>
            </w:r>
          </w:p>
          <w:p w14:paraId="7F0D4981" w14:textId="77777777" w:rsidR="00656367" w:rsidRPr="00A96AC5" w:rsidRDefault="00656367" w:rsidP="00A323CC">
            <w:pPr>
              <w:pStyle w:val="ListParagraph"/>
              <w:numPr>
                <w:ilvl w:val="0"/>
                <w:numId w:val="13"/>
              </w:numPr>
              <w:spacing w:line="240" w:lineRule="auto"/>
              <w:rPr>
                <w:rFonts w:cs="Times New Roman"/>
                <w:i/>
                <w:iCs/>
                <w:sz w:val="22"/>
              </w:rPr>
            </w:pPr>
            <w:proofErr w:type="gramStart"/>
            <w:r w:rsidRPr="00A96AC5">
              <w:rPr>
                <w:rFonts w:cs="Times New Roman"/>
                <w:iCs/>
                <w:noProof/>
                <w:sz w:val="22"/>
              </w:rPr>
              <w:t>A large number</w:t>
            </w:r>
            <w:r w:rsidRPr="00A96AC5">
              <w:rPr>
                <w:rFonts w:cs="Times New Roman"/>
                <w:iCs/>
                <w:sz w:val="22"/>
              </w:rPr>
              <w:t xml:space="preserve"> of</w:t>
            </w:r>
            <w:proofErr w:type="gramEnd"/>
            <w:r w:rsidRPr="00A96AC5">
              <w:rPr>
                <w:rFonts w:cs="Times New Roman"/>
                <w:iCs/>
                <w:sz w:val="22"/>
              </w:rPr>
              <w:t xml:space="preserve"> freight vehicles in the area</w:t>
            </w:r>
          </w:p>
          <w:p w14:paraId="3BC9C66F" w14:textId="598FD4EE" w:rsidR="00656367" w:rsidRPr="00A96AC5" w:rsidRDefault="00656367" w:rsidP="00A323CC">
            <w:pPr>
              <w:pStyle w:val="ListParagraph"/>
              <w:numPr>
                <w:ilvl w:val="0"/>
                <w:numId w:val="13"/>
              </w:numPr>
              <w:spacing w:line="240" w:lineRule="auto"/>
              <w:rPr>
                <w:rFonts w:cs="Times New Roman"/>
                <w:i/>
                <w:iCs/>
                <w:sz w:val="22"/>
              </w:rPr>
            </w:pPr>
            <w:r w:rsidRPr="00A96AC5">
              <w:rPr>
                <w:rFonts w:cs="Times New Roman"/>
                <w:iCs/>
                <w:sz w:val="22"/>
              </w:rPr>
              <w:lastRenderedPageBreak/>
              <w:t>High fossil fuel consumption</w:t>
            </w:r>
            <w:r w:rsidR="00805E43">
              <w:rPr>
                <w:rFonts w:cs="Times New Roman"/>
                <w:iCs/>
                <w:sz w:val="22"/>
              </w:rPr>
              <w:t xml:space="preserve"> by traditional vehicles</w:t>
            </w:r>
          </w:p>
          <w:p w14:paraId="46CE71CE" w14:textId="77777777" w:rsidR="00656367" w:rsidRPr="00A96AC5" w:rsidRDefault="00656367" w:rsidP="00A323CC">
            <w:pPr>
              <w:pStyle w:val="ListParagraph"/>
              <w:numPr>
                <w:ilvl w:val="0"/>
                <w:numId w:val="13"/>
              </w:numPr>
              <w:spacing w:line="240" w:lineRule="auto"/>
              <w:rPr>
                <w:rFonts w:cs="Times New Roman"/>
                <w:i/>
                <w:iCs/>
                <w:sz w:val="22"/>
              </w:rPr>
            </w:pPr>
            <w:r w:rsidRPr="00A96AC5">
              <w:rPr>
                <w:rFonts w:cs="Times New Roman"/>
                <w:iCs/>
                <w:sz w:val="22"/>
              </w:rPr>
              <w:t>Road safety issues in the city</w:t>
            </w:r>
          </w:p>
          <w:p w14:paraId="78F0D1BC" w14:textId="77777777" w:rsidR="00656367" w:rsidRPr="00A96AC5" w:rsidRDefault="00656367" w:rsidP="00A323CC">
            <w:pPr>
              <w:pStyle w:val="ListParagraph"/>
              <w:numPr>
                <w:ilvl w:val="0"/>
                <w:numId w:val="13"/>
              </w:numPr>
              <w:spacing w:line="240" w:lineRule="auto"/>
              <w:rPr>
                <w:rFonts w:cs="Times New Roman"/>
                <w:sz w:val="22"/>
              </w:rPr>
            </w:pPr>
            <w:r w:rsidRPr="00A96AC5">
              <w:rPr>
                <w:rFonts w:cs="Times New Roman"/>
                <w:iCs/>
                <w:sz w:val="22"/>
              </w:rPr>
              <w:t>Noise in the city</w:t>
            </w:r>
          </w:p>
        </w:tc>
        <w:tc>
          <w:tcPr>
            <w:tcW w:w="1224" w:type="dxa"/>
            <w:vAlign w:val="center"/>
          </w:tcPr>
          <w:p w14:paraId="49AB1AB3" w14:textId="77777777" w:rsidR="00656367" w:rsidRPr="00A96AC5" w:rsidRDefault="00656367" w:rsidP="00622AC7">
            <w:pPr>
              <w:spacing w:line="240" w:lineRule="auto"/>
              <w:jc w:val="center"/>
              <w:rPr>
                <w:rFonts w:cs="Times New Roman"/>
                <w:sz w:val="22"/>
              </w:rPr>
            </w:pPr>
            <w:r w:rsidRPr="00A96AC5">
              <w:rPr>
                <w:rFonts w:cs="Times New Roman"/>
                <w:sz w:val="22"/>
              </w:rPr>
              <w:lastRenderedPageBreak/>
              <w:t>Public authority</w:t>
            </w:r>
          </w:p>
        </w:tc>
      </w:tr>
      <w:tr w:rsidR="00656367" w:rsidRPr="008903D1" w14:paraId="3CCE4181" w14:textId="77777777" w:rsidTr="00622AC7">
        <w:tc>
          <w:tcPr>
            <w:tcW w:w="1555" w:type="dxa"/>
            <w:vAlign w:val="center"/>
          </w:tcPr>
          <w:p w14:paraId="69E8907E" w14:textId="77777777" w:rsidR="00656367" w:rsidRPr="00737239" w:rsidRDefault="00656367" w:rsidP="00622AC7">
            <w:pPr>
              <w:spacing w:line="240" w:lineRule="auto"/>
              <w:jc w:val="left"/>
              <w:rPr>
                <w:rFonts w:cs="Times New Roman"/>
                <w:sz w:val="22"/>
              </w:rPr>
            </w:pPr>
            <w:r w:rsidRPr="00737239">
              <w:rPr>
                <w:rFonts w:cs="Times New Roman"/>
                <w:sz w:val="22"/>
              </w:rPr>
              <w:t>Case 2</w:t>
            </w:r>
          </w:p>
        </w:tc>
        <w:tc>
          <w:tcPr>
            <w:tcW w:w="6237" w:type="dxa"/>
          </w:tcPr>
          <w:p w14:paraId="19FC283D" w14:textId="77777777" w:rsidR="00656367" w:rsidRPr="00802DC5" w:rsidRDefault="00656367" w:rsidP="00A323CC">
            <w:pPr>
              <w:pStyle w:val="ListParagraph"/>
              <w:numPr>
                <w:ilvl w:val="0"/>
                <w:numId w:val="14"/>
              </w:numPr>
              <w:spacing w:line="240" w:lineRule="auto"/>
              <w:rPr>
                <w:rFonts w:cs="Times New Roman"/>
                <w:i/>
                <w:iCs/>
                <w:sz w:val="22"/>
              </w:rPr>
            </w:pPr>
            <w:r w:rsidRPr="00802DC5">
              <w:rPr>
                <w:rFonts w:cs="Times New Roman"/>
                <w:iCs/>
                <w:sz w:val="22"/>
              </w:rPr>
              <w:t>Noise in the city</w:t>
            </w:r>
          </w:p>
          <w:p w14:paraId="79A0664D" w14:textId="69F8A160" w:rsidR="00656367" w:rsidRPr="00802DC5" w:rsidRDefault="00805E43" w:rsidP="00A323CC">
            <w:pPr>
              <w:pStyle w:val="ListParagraph"/>
              <w:numPr>
                <w:ilvl w:val="0"/>
                <w:numId w:val="14"/>
              </w:numPr>
              <w:spacing w:line="240" w:lineRule="auto"/>
              <w:rPr>
                <w:rFonts w:cs="Times New Roman"/>
                <w:i/>
                <w:iCs/>
                <w:sz w:val="22"/>
              </w:rPr>
            </w:pPr>
            <w:r>
              <w:rPr>
                <w:rFonts w:cs="Times New Roman"/>
                <w:iCs/>
                <w:sz w:val="22"/>
              </w:rPr>
              <w:t>construction w</w:t>
            </w:r>
            <w:r w:rsidR="00656367" w:rsidRPr="00802DC5">
              <w:rPr>
                <w:rFonts w:cs="Times New Roman"/>
                <w:iCs/>
                <w:sz w:val="22"/>
              </w:rPr>
              <w:t>aste on the road</w:t>
            </w:r>
          </w:p>
          <w:p w14:paraId="19819661" w14:textId="29DC95BC" w:rsidR="00656367" w:rsidRPr="00DB493C" w:rsidRDefault="00656367" w:rsidP="00A323CC">
            <w:pPr>
              <w:pStyle w:val="ListParagraph"/>
              <w:numPr>
                <w:ilvl w:val="0"/>
                <w:numId w:val="14"/>
              </w:numPr>
              <w:spacing w:line="240" w:lineRule="auto"/>
              <w:rPr>
                <w:rFonts w:cs="Times New Roman"/>
                <w:i/>
                <w:iCs/>
                <w:sz w:val="22"/>
              </w:rPr>
            </w:pPr>
            <w:r w:rsidRPr="00DB493C">
              <w:rPr>
                <w:rFonts w:cs="Times New Roman"/>
                <w:iCs/>
                <w:sz w:val="22"/>
              </w:rPr>
              <w:t>Road safety</w:t>
            </w:r>
            <w:r w:rsidR="00805E43">
              <w:rPr>
                <w:rFonts w:cs="Times New Roman"/>
                <w:iCs/>
                <w:sz w:val="22"/>
              </w:rPr>
              <w:t xml:space="preserve"> issues caused by </w:t>
            </w:r>
            <w:proofErr w:type="gramStart"/>
            <w:r w:rsidR="00A22535">
              <w:rPr>
                <w:rFonts w:cs="Times New Roman"/>
                <w:iCs/>
                <w:sz w:val="22"/>
              </w:rPr>
              <w:t>lorries</w:t>
            </w:r>
            <w:proofErr w:type="gramEnd"/>
          </w:p>
          <w:p w14:paraId="1B72CB33" w14:textId="2CFE2783" w:rsidR="00656367" w:rsidRPr="00A96AC5" w:rsidRDefault="00656367" w:rsidP="00A323CC">
            <w:pPr>
              <w:pStyle w:val="ListParagraph"/>
              <w:numPr>
                <w:ilvl w:val="0"/>
                <w:numId w:val="14"/>
              </w:numPr>
              <w:spacing w:line="240" w:lineRule="auto"/>
              <w:rPr>
                <w:rFonts w:cs="Times New Roman"/>
                <w:i/>
                <w:iCs/>
                <w:sz w:val="22"/>
              </w:rPr>
            </w:pPr>
            <w:r w:rsidRPr="00A96AC5">
              <w:rPr>
                <w:rFonts w:cs="Times New Roman"/>
                <w:iCs/>
                <w:sz w:val="22"/>
              </w:rPr>
              <w:t>Emissions of CO</w:t>
            </w:r>
            <w:r w:rsidRPr="00A96AC5">
              <w:rPr>
                <w:rFonts w:cs="Times New Roman"/>
                <w:iCs/>
                <w:sz w:val="22"/>
                <w:vertAlign w:val="subscript"/>
              </w:rPr>
              <w:t>2</w:t>
            </w:r>
            <w:r w:rsidRPr="00A96AC5">
              <w:rPr>
                <w:rFonts w:cs="Times New Roman"/>
                <w:iCs/>
                <w:sz w:val="22"/>
              </w:rPr>
              <w:t>, NO</w:t>
            </w:r>
            <w:r w:rsidRPr="00A96AC5">
              <w:rPr>
                <w:rFonts w:cs="Times New Roman"/>
                <w:iCs/>
                <w:sz w:val="22"/>
                <w:vertAlign w:val="subscript"/>
              </w:rPr>
              <w:t>x</w:t>
            </w:r>
            <w:r w:rsidR="00A22535">
              <w:rPr>
                <w:rFonts w:cs="Times New Roman"/>
                <w:iCs/>
                <w:sz w:val="22"/>
                <w:vertAlign w:val="subscript"/>
              </w:rPr>
              <w:t xml:space="preserve"> </w:t>
            </w:r>
            <w:r w:rsidR="00A22535">
              <w:rPr>
                <w:rFonts w:cs="Times New Roman" w:hint="eastAsia"/>
                <w:iCs/>
                <w:sz w:val="22"/>
              </w:rPr>
              <w:t>generated</w:t>
            </w:r>
            <w:r w:rsidR="00A22535">
              <w:rPr>
                <w:rFonts w:cs="Times New Roman"/>
                <w:iCs/>
                <w:sz w:val="22"/>
              </w:rPr>
              <w:t xml:space="preserve"> </w:t>
            </w:r>
            <w:r w:rsidR="00A22535">
              <w:rPr>
                <w:rFonts w:cs="Times New Roman" w:hint="eastAsia"/>
                <w:iCs/>
                <w:sz w:val="22"/>
              </w:rPr>
              <w:t>by</w:t>
            </w:r>
            <w:r w:rsidR="00A22535">
              <w:rPr>
                <w:rFonts w:cs="Times New Roman"/>
                <w:iCs/>
                <w:sz w:val="22"/>
              </w:rPr>
              <w:t xml:space="preserve"> traditional vehicles</w:t>
            </w:r>
          </w:p>
        </w:tc>
        <w:tc>
          <w:tcPr>
            <w:tcW w:w="1224" w:type="dxa"/>
            <w:vAlign w:val="center"/>
          </w:tcPr>
          <w:p w14:paraId="1DEA33B4" w14:textId="77777777" w:rsidR="00656367" w:rsidRPr="00A96AC5" w:rsidRDefault="00656367" w:rsidP="00622AC7">
            <w:pPr>
              <w:spacing w:line="240" w:lineRule="auto"/>
              <w:jc w:val="center"/>
              <w:rPr>
                <w:rFonts w:cs="Times New Roman"/>
                <w:sz w:val="22"/>
              </w:rPr>
            </w:pPr>
            <w:r w:rsidRPr="00A96AC5">
              <w:rPr>
                <w:rFonts w:cs="Times New Roman"/>
                <w:sz w:val="22"/>
              </w:rPr>
              <w:t>Public authority</w:t>
            </w:r>
          </w:p>
        </w:tc>
      </w:tr>
      <w:tr w:rsidR="00656367" w:rsidRPr="008903D1" w14:paraId="5300E09F" w14:textId="77777777" w:rsidTr="00622AC7">
        <w:tc>
          <w:tcPr>
            <w:tcW w:w="1555" w:type="dxa"/>
            <w:vAlign w:val="center"/>
          </w:tcPr>
          <w:p w14:paraId="4FB3C5C8" w14:textId="77777777" w:rsidR="00656367" w:rsidRPr="00737239" w:rsidRDefault="00656367" w:rsidP="00622AC7">
            <w:pPr>
              <w:spacing w:line="240" w:lineRule="auto"/>
              <w:jc w:val="left"/>
              <w:rPr>
                <w:rFonts w:cs="Times New Roman"/>
                <w:sz w:val="22"/>
              </w:rPr>
            </w:pPr>
            <w:r w:rsidRPr="00737239">
              <w:rPr>
                <w:rFonts w:cs="Times New Roman"/>
                <w:sz w:val="22"/>
              </w:rPr>
              <w:t>Case 3</w:t>
            </w:r>
          </w:p>
        </w:tc>
        <w:tc>
          <w:tcPr>
            <w:tcW w:w="6237" w:type="dxa"/>
          </w:tcPr>
          <w:p w14:paraId="3EB77448" w14:textId="3966A714" w:rsidR="00656367" w:rsidRPr="00802DC5" w:rsidRDefault="00656367" w:rsidP="00A323CC">
            <w:pPr>
              <w:pStyle w:val="ListParagraph"/>
              <w:numPr>
                <w:ilvl w:val="0"/>
                <w:numId w:val="15"/>
              </w:numPr>
              <w:spacing w:line="240" w:lineRule="auto"/>
              <w:rPr>
                <w:rFonts w:cs="Times New Roman"/>
                <w:i/>
                <w:iCs/>
                <w:sz w:val="22"/>
              </w:rPr>
            </w:pPr>
            <w:r w:rsidRPr="00802DC5">
              <w:rPr>
                <w:rFonts w:cs="Times New Roman"/>
                <w:iCs/>
                <w:sz w:val="22"/>
              </w:rPr>
              <w:t xml:space="preserve">Large quantities of goods </w:t>
            </w:r>
            <w:r w:rsidR="00C5771C">
              <w:rPr>
                <w:rFonts w:cs="Times New Roman" w:hint="eastAsia"/>
                <w:iCs/>
                <w:sz w:val="22"/>
              </w:rPr>
              <w:t>are</w:t>
            </w:r>
            <w:r w:rsidR="00C5771C">
              <w:rPr>
                <w:rFonts w:cs="Times New Roman"/>
                <w:iCs/>
                <w:sz w:val="22"/>
              </w:rPr>
              <w:t xml:space="preserve"> </w:t>
            </w:r>
            <w:r w:rsidR="00C5771C">
              <w:rPr>
                <w:rFonts w:cs="Times New Roman" w:hint="eastAsia"/>
                <w:iCs/>
                <w:sz w:val="22"/>
              </w:rPr>
              <w:t>waiting</w:t>
            </w:r>
            <w:r w:rsidR="00C5771C">
              <w:rPr>
                <w:rFonts w:cs="Times New Roman"/>
                <w:iCs/>
                <w:sz w:val="22"/>
              </w:rPr>
              <w:t xml:space="preserve"> </w:t>
            </w:r>
            <w:r w:rsidRPr="00802DC5">
              <w:rPr>
                <w:rFonts w:cs="Times New Roman"/>
                <w:iCs/>
                <w:sz w:val="22"/>
              </w:rPr>
              <w:t xml:space="preserve">for </w:t>
            </w:r>
            <w:proofErr w:type="gramStart"/>
            <w:r w:rsidRPr="00802DC5">
              <w:rPr>
                <w:rFonts w:cs="Times New Roman"/>
                <w:iCs/>
                <w:sz w:val="22"/>
              </w:rPr>
              <w:t>delivery</w:t>
            </w:r>
            <w:proofErr w:type="gramEnd"/>
          </w:p>
          <w:p w14:paraId="1EF4B3D8" w14:textId="77777777" w:rsidR="00656367" w:rsidRPr="00802DC5" w:rsidRDefault="00656367" w:rsidP="00A323CC">
            <w:pPr>
              <w:pStyle w:val="ListParagraph"/>
              <w:numPr>
                <w:ilvl w:val="0"/>
                <w:numId w:val="15"/>
              </w:numPr>
              <w:spacing w:line="240" w:lineRule="auto"/>
              <w:rPr>
                <w:rFonts w:cs="Times New Roman"/>
                <w:i/>
                <w:iCs/>
                <w:sz w:val="22"/>
              </w:rPr>
            </w:pPr>
            <w:r w:rsidRPr="00802DC5">
              <w:rPr>
                <w:rFonts w:cs="Times New Roman"/>
                <w:iCs/>
                <w:sz w:val="22"/>
              </w:rPr>
              <w:t>Specific requirements for goods storage</w:t>
            </w:r>
          </w:p>
          <w:p w14:paraId="2CA41619" w14:textId="77777777" w:rsidR="00656367" w:rsidRPr="00D956A6" w:rsidRDefault="00656367" w:rsidP="00A323CC">
            <w:pPr>
              <w:pStyle w:val="ListParagraph"/>
              <w:numPr>
                <w:ilvl w:val="0"/>
                <w:numId w:val="15"/>
              </w:numPr>
              <w:spacing w:line="240" w:lineRule="auto"/>
              <w:rPr>
                <w:rFonts w:cs="Times New Roman"/>
                <w:i/>
                <w:iCs/>
                <w:sz w:val="22"/>
              </w:rPr>
            </w:pPr>
            <w:r w:rsidRPr="00DB493C">
              <w:rPr>
                <w:rFonts w:cs="Times New Roman"/>
                <w:iCs/>
                <w:noProof/>
                <w:sz w:val="22"/>
              </w:rPr>
              <w:t>Low logistics efficiency in goods distribution</w:t>
            </w:r>
          </w:p>
          <w:p w14:paraId="2DF09280" w14:textId="77777777" w:rsidR="00656367" w:rsidRPr="00A96AC5" w:rsidRDefault="00656367" w:rsidP="00A323CC">
            <w:pPr>
              <w:pStyle w:val="ListParagraph"/>
              <w:numPr>
                <w:ilvl w:val="0"/>
                <w:numId w:val="15"/>
              </w:numPr>
              <w:spacing w:line="240" w:lineRule="auto"/>
              <w:rPr>
                <w:rFonts w:cs="Times New Roman"/>
                <w:i/>
                <w:iCs/>
                <w:sz w:val="22"/>
              </w:rPr>
            </w:pPr>
            <w:r w:rsidRPr="00A96AC5">
              <w:rPr>
                <w:rFonts w:cs="Times New Roman"/>
                <w:iCs/>
                <w:sz w:val="22"/>
              </w:rPr>
              <w:t>Poor service quality for medical logistics in the industry</w:t>
            </w:r>
          </w:p>
        </w:tc>
        <w:tc>
          <w:tcPr>
            <w:tcW w:w="1224" w:type="dxa"/>
            <w:vAlign w:val="center"/>
          </w:tcPr>
          <w:p w14:paraId="0131150A" w14:textId="77777777" w:rsidR="00656367" w:rsidRPr="00A96AC5" w:rsidRDefault="00656367" w:rsidP="00622AC7">
            <w:pPr>
              <w:spacing w:line="240" w:lineRule="auto"/>
              <w:jc w:val="center"/>
              <w:rPr>
                <w:rFonts w:cs="Times New Roman"/>
                <w:sz w:val="22"/>
              </w:rPr>
            </w:pPr>
            <w:r w:rsidRPr="00A96AC5">
              <w:rPr>
                <w:rFonts w:cs="Times New Roman"/>
                <w:sz w:val="22"/>
              </w:rPr>
              <w:t>Medical supplier</w:t>
            </w:r>
          </w:p>
        </w:tc>
      </w:tr>
      <w:tr w:rsidR="00656367" w:rsidRPr="008903D1" w14:paraId="3674903B" w14:textId="77777777" w:rsidTr="00622AC7">
        <w:tc>
          <w:tcPr>
            <w:tcW w:w="1555" w:type="dxa"/>
            <w:vAlign w:val="center"/>
          </w:tcPr>
          <w:p w14:paraId="63B6123F" w14:textId="77777777" w:rsidR="00656367" w:rsidRPr="00737239" w:rsidRDefault="00656367" w:rsidP="00622AC7">
            <w:pPr>
              <w:spacing w:line="240" w:lineRule="auto"/>
              <w:jc w:val="left"/>
              <w:rPr>
                <w:rFonts w:cs="Times New Roman"/>
                <w:sz w:val="22"/>
              </w:rPr>
            </w:pPr>
            <w:r w:rsidRPr="00737239">
              <w:rPr>
                <w:rFonts w:cs="Times New Roman"/>
                <w:sz w:val="22"/>
              </w:rPr>
              <w:t>Case 4</w:t>
            </w:r>
          </w:p>
        </w:tc>
        <w:tc>
          <w:tcPr>
            <w:tcW w:w="6237" w:type="dxa"/>
          </w:tcPr>
          <w:p w14:paraId="5AE6E210" w14:textId="0C81D22D" w:rsidR="00656367" w:rsidRPr="00802DC5" w:rsidRDefault="00656367" w:rsidP="00A323CC">
            <w:pPr>
              <w:pStyle w:val="ListParagraph"/>
              <w:numPr>
                <w:ilvl w:val="0"/>
                <w:numId w:val="16"/>
              </w:numPr>
              <w:spacing w:line="240" w:lineRule="auto"/>
              <w:rPr>
                <w:rFonts w:cs="Times New Roman"/>
                <w:i/>
                <w:iCs/>
                <w:sz w:val="22"/>
              </w:rPr>
            </w:pPr>
            <w:r w:rsidRPr="00802DC5">
              <w:rPr>
                <w:rFonts w:cs="Times New Roman"/>
                <w:iCs/>
                <w:sz w:val="22"/>
              </w:rPr>
              <w:t xml:space="preserve">Large quantities of goods </w:t>
            </w:r>
            <w:r w:rsidR="00C5771C">
              <w:rPr>
                <w:rFonts w:cs="Times New Roman" w:hint="eastAsia"/>
                <w:iCs/>
                <w:sz w:val="22"/>
              </w:rPr>
              <w:t>are</w:t>
            </w:r>
            <w:r w:rsidR="00C5771C">
              <w:rPr>
                <w:rFonts w:cs="Times New Roman"/>
                <w:iCs/>
                <w:sz w:val="22"/>
              </w:rPr>
              <w:t xml:space="preserve"> </w:t>
            </w:r>
            <w:r w:rsidR="00C5771C">
              <w:rPr>
                <w:rFonts w:cs="Times New Roman" w:hint="eastAsia"/>
                <w:iCs/>
                <w:sz w:val="22"/>
              </w:rPr>
              <w:t>waiting</w:t>
            </w:r>
            <w:r w:rsidR="00C5771C">
              <w:rPr>
                <w:rFonts w:cs="Times New Roman"/>
                <w:iCs/>
                <w:sz w:val="22"/>
              </w:rPr>
              <w:t xml:space="preserve"> </w:t>
            </w:r>
            <w:r w:rsidR="00C5771C" w:rsidRPr="00802DC5">
              <w:rPr>
                <w:rFonts w:cs="Times New Roman"/>
                <w:iCs/>
                <w:sz w:val="22"/>
              </w:rPr>
              <w:t xml:space="preserve">for </w:t>
            </w:r>
            <w:proofErr w:type="gramStart"/>
            <w:r w:rsidR="00C5771C" w:rsidRPr="00802DC5">
              <w:rPr>
                <w:rFonts w:cs="Times New Roman"/>
                <w:iCs/>
                <w:sz w:val="22"/>
              </w:rPr>
              <w:t>delivery</w:t>
            </w:r>
            <w:proofErr w:type="gramEnd"/>
          </w:p>
          <w:p w14:paraId="667B5E38" w14:textId="77777777" w:rsidR="00656367" w:rsidRPr="00DB493C" w:rsidRDefault="00656367" w:rsidP="00A323CC">
            <w:pPr>
              <w:pStyle w:val="ListParagraph"/>
              <w:numPr>
                <w:ilvl w:val="0"/>
                <w:numId w:val="16"/>
              </w:numPr>
              <w:spacing w:line="240" w:lineRule="auto"/>
              <w:rPr>
                <w:rFonts w:cs="Times New Roman"/>
                <w:i/>
                <w:iCs/>
                <w:sz w:val="22"/>
              </w:rPr>
            </w:pPr>
            <w:r w:rsidRPr="00802DC5">
              <w:rPr>
                <w:rFonts w:cs="Times New Roman"/>
                <w:iCs/>
                <w:sz w:val="22"/>
              </w:rPr>
              <w:t>Negative impact on logistics efficiency by the time-windows regulation</w:t>
            </w:r>
          </w:p>
          <w:p w14:paraId="25DA8574" w14:textId="77777777" w:rsidR="00656367" w:rsidRPr="00A96AC5" w:rsidRDefault="00656367" w:rsidP="00A323CC">
            <w:pPr>
              <w:pStyle w:val="ListParagraph"/>
              <w:numPr>
                <w:ilvl w:val="0"/>
                <w:numId w:val="16"/>
              </w:numPr>
              <w:spacing w:line="240" w:lineRule="auto"/>
              <w:rPr>
                <w:rFonts w:cs="Times New Roman"/>
                <w:i/>
                <w:iCs/>
                <w:sz w:val="22"/>
              </w:rPr>
            </w:pPr>
            <w:r w:rsidRPr="00A96AC5">
              <w:rPr>
                <w:rFonts w:cs="Times New Roman"/>
                <w:iCs/>
                <w:sz w:val="22"/>
              </w:rPr>
              <w:t>Poor service quality in cold-chain logistics</w:t>
            </w:r>
          </w:p>
        </w:tc>
        <w:tc>
          <w:tcPr>
            <w:tcW w:w="1224" w:type="dxa"/>
            <w:vAlign w:val="center"/>
          </w:tcPr>
          <w:p w14:paraId="4B3E7753" w14:textId="77777777" w:rsidR="00656367" w:rsidRPr="00A96AC5" w:rsidRDefault="00656367" w:rsidP="00622AC7">
            <w:pPr>
              <w:spacing w:line="240" w:lineRule="auto"/>
              <w:jc w:val="center"/>
              <w:rPr>
                <w:rFonts w:cs="Times New Roman"/>
                <w:sz w:val="22"/>
              </w:rPr>
            </w:pPr>
            <w:r w:rsidRPr="00A96AC5">
              <w:rPr>
                <w:rFonts w:cs="Times New Roman"/>
                <w:sz w:val="22"/>
              </w:rPr>
              <w:t>Inter-city shippers</w:t>
            </w:r>
          </w:p>
        </w:tc>
      </w:tr>
    </w:tbl>
    <w:p w14:paraId="30CE028C" w14:textId="2022CBAD" w:rsidR="00656367" w:rsidRPr="00737239" w:rsidRDefault="007B5959" w:rsidP="007F6877">
      <w:pPr>
        <w:pStyle w:val="Caption"/>
        <w:spacing w:line="360" w:lineRule="auto"/>
        <w:rPr>
          <w:rFonts w:cs="Times New Roman"/>
        </w:rPr>
      </w:pPr>
      <w:bookmarkStart w:id="746" w:name="_Ref44970939"/>
      <w:bookmarkStart w:id="747" w:name="_Toc46053569"/>
      <w:bookmarkStart w:id="748" w:name="_Toc46093818"/>
      <w:bookmarkStart w:id="749" w:name="_Toc66698785"/>
      <w:r>
        <w:rPr>
          <w:rFonts w:cs="Times New Roman"/>
        </w:rPr>
        <w:t>Table</w:t>
      </w:r>
      <w:r w:rsidR="00656367"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5</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3</w:t>
      </w:r>
      <w:r w:rsidR="00FE10DA">
        <w:rPr>
          <w:rFonts w:cs="Times New Roman"/>
        </w:rPr>
        <w:fldChar w:fldCharType="end"/>
      </w:r>
      <w:bookmarkEnd w:id="746"/>
      <w:r w:rsidR="00AF217C">
        <w:rPr>
          <w:rFonts w:cs="Times New Roman"/>
        </w:rPr>
        <w:t>:</w:t>
      </w:r>
      <w:r w:rsidR="00656367" w:rsidRPr="00737239">
        <w:rPr>
          <w:rFonts w:cs="Times New Roman"/>
        </w:rPr>
        <w:t xml:space="preserve"> Challenges for sustainability in each case study</w:t>
      </w:r>
      <w:bookmarkEnd w:id="747"/>
      <w:bookmarkEnd w:id="748"/>
      <w:bookmarkEnd w:id="749"/>
    </w:p>
    <w:p w14:paraId="626B42F9" w14:textId="77777777" w:rsidR="00656367" w:rsidRPr="00DB493C" w:rsidRDefault="00656367" w:rsidP="00656367">
      <w:pPr>
        <w:pStyle w:val="Heading2"/>
        <w:spacing w:after="120" w:line="360" w:lineRule="auto"/>
        <w:rPr>
          <w:rFonts w:cs="Times New Roman"/>
        </w:rPr>
      </w:pPr>
      <w:bookmarkStart w:id="750" w:name="_Toc46053459"/>
      <w:bookmarkStart w:id="751" w:name="_Toc46093373"/>
      <w:bookmarkStart w:id="752" w:name="_Toc46093656"/>
      <w:bookmarkStart w:id="753" w:name="_Toc66703232"/>
      <w:r w:rsidRPr="00DB493C">
        <w:rPr>
          <w:rFonts w:cs="Times New Roman"/>
        </w:rPr>
        <w:t>Stakeholder analysis</w:t>
      </w:r>
      <w:bookmarkEnd w:id="750"/>
      <w:bookmarkEnd w:id="751"/>
      <w:bookmarkEnd w:id="752"/>
      <w:bookmarkEnd w:id="753"/>
    </w:p>
    <w:p w14:paraId="47F5456A" w14:textId="77777777" w:rsidR="00656367" w:rsidRPr="00A96AC5" w:rsidRDefault="00656367" w:rsidP="00656367">
      <w:pPr>
        <w:pStyle w:val="Heading3"/>
        <w:spacing w:line="360" w:lineRule="auto"/>
        <w:rPr>
          <w:rFonts w:cs="Times New Roman"/>
        </w:rPr>
      </w:pPr>
      <w:bookmarkStart w:id="754" w:name="_Toc46053460"/>
      <w:bookmarkStart w:id="755" w:name="_Toc46093374"/>
      <w:bookmarkStart w:id="756" w:name="_Toc46093657"/>
      <w:bookmarkStart w:id="757" w:name="_Toc66703233"/>
      <w:r w:rsidRPr="00A96AC5">
        <w:rPr>
          <w:rFonts w:cs="Times New Roman"/>
        </w:rPr>
        <w:t>Identifying relevant stakeholders</w:t>
      </w:r>
      <w:bookmarkEnd w:id="754"/>
      <w:bookmarkEnd w:id="755"/>
      <w:bookmarkEnd w:id="756"/>
      <w:bookmarkEnd w:id="757"/>
    </w:p>
    <w:p w14:paraId="4760FC38" w14:textId="3590AECE" w:rsidR="00656367" w:rsidRPr="00737239" w:rsidRDefault="00656367" w:rsidP="007F6877">
      <w:pPr>
        <w:spacing w:after="240" w:line="360" w:lineRule="auto"/>
        <w:rPr>
          <w:rFonts w:cs="Times New Roman"/>
          <w:szCs w:val="24"/>
        </w:rPr>
      </w:pPr>
      <w:r w:rsidRPr="00A96AC5">
        <w:rPr>
          <w:rFonts w:cs="Times New Roman"/>
          <w:szCs w:val="24"/>
        </w:rPr>
        <w:t xml:space="preserve">The Freeman </w:t>
      </w:r>
      <w:r w:rsidRPr="00A96AC5">
        <w:rPr>
          <w:rFonts w:cs="Times New Roman"/>
          <w:noProof/>
          <w:szCs w:val="24"/>
        </w:rPr>
        <w:t>(2010)</w:t>
      </w:r>
      <w:r w:rsidRPr="00A96AC5">
        <w:rPr>
          <w:rFonts w:cs="Times New Roman"/>
          <w:szCs w:val="24"/>
        </w:rPr>
        <w:t xml:space="preserve"> stakeholder theory illustrates the relationships between primary stakeholders and secondary stakeholders, using a </w:t>
      </w:r>
      <w:r w:rsidRPr="00A96AC5">
        <w:rPr>
          <w:rFonts w:cs="Times New Roman"/>
          <w:noProof/>
          <w:szCs w:val="24"/>
        </w:rPr>
        <w:t>two-layer</w:t>
      </w:r>
      <w:r w:rsidRPr="00A96AC5">
        <w:rPr>
          <w:rFonts w:cs="Times New Roman"/>
          <w:szCs w:val="24"/>
        </w:rPr>
        <w:t xml:space="preserve"> wheel map. The primary stakeholders </w:t>
      </w:r>
      <w:proofErr w:type="gramStart"/>
      <w:r w:rsidRPr="00A96AC5">
        <w:rPr>
          <w:rFonts w:cs="Times New Roman"/>
          <w:szCs w:val="24"/>
        </w:rPr>
        <w:t>are located in</w:t>
      </w:r>
      <w:proofErr w:type="gramEnd"/>
      <w:r w:rsidRPr="00A96AC5">
        <w:rPr>
          <w:rFonts w:cs="Times New Roman"/>
          <w:szCs w:val="24"/>
        </w:rPr>
        <w:t xml:space="preserve"> the inner layer of the wheel, where they create value and support the business of the UCC project. The secondary stakeholders </w:t>
      </w:r>
      <w:proofErr w:type="gramStart"/>
      <w:r w:rsidRPr="00A96AC5">
        <w:rPr>
          <w:rFonts w:cs="Times New Roman"/>
          <w:szCs w:val="24"/>
        </w:rPr>
        <w:t>are located in</w:t>
      </w:r>
      <w:proofErr w:type="gramEnd"/>
      <w:r w:rsidRPr="00A96AC5">
        <w:rPr>
          <w:rFonts w:cs="Times New Roman"/>
          <w:szCs w:val="24"/>
        </w:rPr>
        <w:t xml:space="preserve"> the outer layer of the project, and their behaviour can affect the UCC</w:t>
      </w:r>
      <w:r w:rsidR="003A3206">
        <w:rPr>
          <w:rFonts w:cs="Times New Roman"/>
          <w:szCs w:val="24"/>
        </w:rPr>
        <w:t>’s</w:t>
      </w:r>
      <w:r w:rsidRPr="00A96AC5">
        <w:rPr>
          <w:rFonts w:cs="Times New Roman"/>
          <w:szCs w:val="24"/>
        </w:rPr>
        <w:t xml:space="preserve"> business and operations. There are distinct boundaries between the stakeholder groups. A basic stakeholder map </w:t>
      </w:r>
      <w:r w:rsidRPr="00A96AC5">
        <w:rPr>
          <w:rFonts w:cs="Times New Roman"/>
          <w:noProof/>
          <w:szCs w:val="24"/>
        </w:rPr>
        <w:t xml:space="preserve">is presented </w:t>
      </w:r>
      <w:r w:rsidRPr="00A96AC5">
        <w:rPr>
          <w:rFonts w:cs="Times New Roman"/>
          <w:szCs w:val="24"/>
        </w:rPr>
        <w:t xml:space="preserve">in </w:t>
      </w:r>
      <w:r w:rsidRPr="00737239">
        <w:rPr>
          <w:rFonts w:cs="Times New Roman"/>
          <w:szCs w:val="24"/>
        </w:rPr>
        <w:fldChar w:fldCharType="begin"/>
      </w:r>
      <w:r w:rsidRPr="00A96AC5">
        <w:rPr>
          <w:rFonts w:cs="Times New Roman"/>
          <w:szCs w:val="24"/>
        </w:rPr>
        <w:instrText xml:space="preserve"> REF _Ref528238825 \h </w:instrText>
      </w:r>
      <w:r>
        <w:rPr>
          <w:rFonts w:cs="Times New Roman"/>
          <w:szCs w:val="24"/>
        </w:rPr>
        <w:instrText xml:space="preserve"> \* MERGEFORMAT </w:instrText>
      </w:r>
      <w:r w:rsidRPr="00737239">
        <w:rPr>
          <w:rFonts w:cs="Times New Roman"/>
          <w:szCs w:val="24"/>
        </w:rPr>
      </w:r>
      <w:r w:rsidRPr="00737239">
        <w:rPr>
          <w:rFonts w:cs="Times New Roman"/>
          <w:szCs w:val="24"/>
        </w:rPr>
        <w:fldChar w:fldCharType="separate"/>
      </w:r>
      <w:r w:rsidR="0005064B" w:rsidRPr="008903D1">
        <w:rPr>
          <w:rFonts w:cs="Times New Roman"/>
        </w:rPr>
        <w:t xml:space="preserve">Figure </w:t>
      </w:r>
      <w:r w:rsidR="0005064B">
        <w:rPr>
          <w:rFonts w:cs="Times New Roman"/>
        </w:rPr>
        <w:t>2</w:t>
      </w:r>
      <w:r w:rsidR="0005064B">
        <w:rPr>
          <w:rFonts w:cs="Times New Roman"/>
        </w:rPr>
        <w:noBreakHyphen/>
        <w:t>8</w:t>
      </w:r>
      <w:r w:rsidRPr="00737239">
        <w:rPr>
          <w:rFonts w:cs="Times New Roman"/>
          <w:szCs w:val="24"/>
        </w:rPr>
        <w:fldChar w:fldCharType="end"/>
      </w:r>
      <w:r w:rsidRPr="008903D1">
        <w:rPr>
          <w:rFonts w:cs="Times New Roman"/>
          <w:szCs w:val="24"/>
        </w:rPr>
        <w:t xml:space="preserve">. </w:t>
      </w:r>
    </w:p>
    <w:p w14:paraId="6EB8CAB4" w14:textId="77777777" w:rsidR="00656367" w:rsidRPr="008903D1" w:rsidRDefault="00656367" w:rsidP="00656367">
      <w:pPr>
        <w:spacing w:line="360" w:lineRule="auto"/>
        <w:jc w:val="center"/>
        <w:rPr>
          <w:rFonts w:cs="Times New Roman"/>
        </w:rPr>
      </w:pPr>
      <w:r w:rsidRPr="008903D1">
        <w:rPr>
          <w:rFonts w:cs="Times New Roman"/>
          <w:noProof/>
          <w:lang w:eastAsia="en-GB"/>
        </w:rPr>
        <w:drawing>
          <wp:inline distT="0" distB="0" distL="0" distR="0" wp14:anchorId="5E1F870A" wp14:editId="7A8C6EF5">
            <wp:extent cx="5010150" cy="3324225"/>
            <wp:effectExtent l="0" t="0" r="0" b="9525"/>
            <wp:docPr id="24" name="Picture 24" descr="Untitled-2--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Untitled-2--222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10150" cy="3324225"/>
                    </a:xfrm>
                    <a:prstGeom prst="rect">
                      <a:avLst/>
                    </a:prstGeom>
                    <a:noFill/>
                    <a:ln>
                      <a:noFill/>
                    </a:ln>
                  </pic:spPr>
                </pic:pic>
              </a:graphicData>
            </a:graphic>
          </wp:inline>
        </w:drawing>
      </w:r>
    </w:p>
    <w:p w14:paraId="42455DD7" w14:textId="028A66BD" w:rsidR="00656367" w:rsidRPr="00737239" w:rsidRDefault="00656367" w:rsidP="007F6877">
      <w:pPr>
        <w:pStyle w:val="Caption"/>
        <w:spacing w:line="360" w:lineRule="auto"/>
        <w:rPr>
          <w:rFonts w:cs="Times New Roman"/>
          <w:noProof/>
        </w:rPr>
      </w:pPr>
      <w:bookmarkStart w:id="758" w:name="_Ref44970983"/>
      <w:bookmarkStart w:id="759" w:name="_Toc46053684"/>
      <w:bookmarkStart w:id="760" w:name="_Toc66698715"/>
      <w:r w:rsidRPr="00737239">
        <w:rPr>
          <w:rFonts w:cs="Times New Roman"/>
        </w:rPr>
        <w:lastRenderedPageBreak/>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5</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2</w:t>
      </w:r>
      <w:r w:rsidR="00632993">
        <w:rPr>
          <w:rFonts w:cs="Times New Roman"/>
        </w:rPr>
        <w:fldChar w:fldCharType="end"/>
      </w:r>
      <w:bookmarkEnd w:id="758"/>
      <w:r w:rsidR="00FD1FFD">
        <w:rPr>
          <w:rFonts w:cs="Times New Roman"/>
          <w:noProof/>
        </w:rPr>
        <w:t>:</w:t>
      </w:r>
      <w:r w:rsidRPr="00737239">
        <w:rPr>
          <w:rFonts w:cs="Times New Roman"/>
          <w:noProof/>
        </w:rPr>
        <w:t xml:space="preserve"> Modified map of urban conslidation centre (UCC) stakeholder relationships</w:t>
      </w:r>
      <w:bookmarkEnd w:id="759"/>
      <w:bookmarkEnd w:id="760"/>
    </w:p>
    <w:p w14:paraId="7A2DE415" w14:textId="3A76642B" w:rsidR="00656367" w:rsidRPr="00737239" w:rsidRDefault="00656367" w:rsidP="007F6877">
      <w:pPr>
        <w:spacing w:after="240" w:line="360" w:lineRule="auto"/>
        <w:rPr>
          <w:rFonts w:cs="Times New Roman"/>
        </w:rPr>
      </w:pPr>
      <w:r w:rsidRPr="00802DC5">
        <w:rPr>
          <w:rFonts w:cs="Times New Roman"/>
        </w:rPr>
        <w:t xml:space="preserve">However, the characteristics of the relationships between the four UCCs differ from those shown in </w:t>
      </w:r>
      <w:r w:rsidRPr="00802DC5">
        <w:rPr>
          <w:rFonts w:cs="Times New Roman"/>
          <w:noProof/>
        </w:rPr>
        <w:t>Freeman’s</w:t>
      </w:r>
      <w:r w:rsidRPr="00802DC5">
        <w:rPr>
          <w:rFonts w:cs="Times New Roman"/>
        </w:rPr>
        <w:t xml:space="preserve"> map. In the Chinese cases, the different primary stakeholders can be merged, as there is no stakeholder</w:t>
      </w:r>
      <w:r>
        <w:rPr>
          <w:rFonts w:cs="Times New Roman"/>
        </w:rPr>
        <w:t xml:space="preserve"> with</w:t>
      </w:r>
      <w:r w:rsidR="00D95A1B">
        <w:rPr>
          <w:rFonts w:cs="Times New Roman"/>
        </w:rPr>
        <w:t xml:space="preserve"> purely one</w:t>
      </w:r>
      <w:r>
        <w:rPr>
          <w:rFonts w:cs="Times New Roman"/>
        </w:rPr>
        <w:t xml:space="preserve"> sole function</w:t>
      </w:r>
      <w:r w:rsidRPr="00802DC5">
        <w:rPr>
          <w:rFonts w:cs="Times New Roman"/>
        </w:rPr>
        <w:t>. In the Company A urban consolidation centre (</w:t>
      </w:r>
      <w:r w:rsidRPr="00DB493C">
        <w:rPr>
          <w:rFonts w:cs="Times New Roman"/>
        </w:rPr>
        <w:t>CAUCC)</w:t>
      </w:r>
      <w:r w:rsidRPr="008903D1">
        <w:rPr>
          <w:rStyle w:val="CommentReference"/>
          <w:rFonts w:eastAsia="Times New Roman" w:cs="Times New Roman"/>
          <w:kern w:val="2"/>
          <w:lang w:val="en-US"/>
        </w:rPr>
        <w:t xml:space="preserve">, </w:t>
      </w:r>
      <w:r w:rsidRPr="00737239">
        <w:rPr>
          <w:rFonts w:cs="Times New Roman"/>
        </w:rPr>
        <w:t xml:space="preserve">suppliers, UCC operators, and </w:t>
      </w:r>
      <w:r>
        <w:rPr>
          <w:rFonts w:cs="Times New Roman"/>
        </w:rPr>
        <w:t xml:space="preserve">local </w:t>
      </w:r>
      <w:r w:rsidRPr="00737239">
        <w:rPr>
          <w:rFonts w:cs="Times New Roman"/>
        </w:rPr>
        <w:t xml:space="preserve">carriers come from the same organisation. </w:t>
      </w:r>
      <w:r w:rsidR="00E17CDB">
        <w:rPr>
          <w:rFonts w:cs="Times New Roman"/>
        </w:rPr>
        <w:t>The c</w:t>
      </w:r>
      <w:r w:rsidRPr="00737239">
        <w:rPr>
          <w:rFonts w:cs="Times New Roman"/>
        </w:rPr>
        <w:t xml:space="preserve">ompany B urban consolidation centre (CBUCC) shows </w:t>
      </w:r>
      <w:r w:rsidRPr="00737239">
        <w:rPr>
          <w:rFonts w:cs="Times New Roman"/>
          <w:noProof/>
        </w:rPr>
        <w:t>that</w:t>
      </w:r>
      <w:r w:rsidRPr="00737239">
        <w:rPr>
          <w:rFonts w:cs="Times New Roman"/>
        </w:rPr>
        <w:t xml:space="preserve"> the UCC facility is the subsidiary of ‘Company B’ (UCC investor). The adjusted stakeholder map is introduced above (</w:t>
      </w:r>
      <w:r w:rsidR="003205B3">
        <w:rPr>
          <w:rFonts w:cs="Times New Roman"/>
        </w:rPr>
        <w:fldChar w:fldCharType="begin"/>
      </w:r>
      <w:r w:rsidR="003205B3">
        <w:rPr>
          <w:rFonts w:cs="Times New Roman"/>
        </w:rPr>
        <w:instrText xml:space="preserve"> REF _Ref44970983 \h </w:instrText>
      </w:r>
      <w:r w:rsidR="003205B3">
        <w:rPr>
          <w:rFonts w:cs="Times New Roman"/>
        </w:rPr>
      </w:r>
      <w:r w:rsidR="003205B3">
        <w:rPr>
          <w:rFonts w:cs="Times New Roman"/>
        </w:rPr>
        <w:fldChar w:fldCharType="separate"/>
      </w:r>
      <w:r w:rsidR="0005064B" w:rsidRPr="00737239">
        <w:rPr>
          <w:rFonts w:cs="Times New Roman"/>
        </w:rPr>
        <w:t xml:space="preserve">Figure </w:t>
      </w:r>
      <w:r w:rsidR="0005064B">
        <w:rPr>
          <w:rFonts w:cs="Times New Roman"/>
          <w:noProof/>
        </w:rPr>
        <w:t>5</w:t>
      </w:r>
      <w:r w:rsidR="0005064B">
        <w:rPr>
          <w:rFonts w:cs="Times New Roman"/>
        </w:rPr>
        <w:noBreakHyphen/>
      </w:r>
      <w:r w:rsidR="0005064B">
        <w:rPr>
          <w:rFonts w:cs="Times New Roman"/>
          <w:noProof/>
        </w:rPr>
        <w:t>2</w:t>
      </w:r>
      <w:r w:rsidR="003205B3">
        <w:rPr>
          <w:rFonts w:cs="Times New Roman"/>
        </w:rPr>
        <w:fldChar w:fldCharType="end"/>
      </w:r>
      <w:r w:rsidRPr="008903D1">
        <w:rPr>
          <w:rFonts w:cs="Times New Roman"/>
        </w:rPr>
        <w:t xml:space="preserve">) to describe the new model of </w:t>
      </w:r>
      <w:r w:rsidRPr="00737239">
        <w:rPr>
          <w:rFonts w:cs="Times New Roman"/>
        </w:rPr>
        <w:t xml:space="preserve">the various stakeholders in the UCC. In this map, there is no distinctive boundary between each primary stakeholder, and the functions of each category are interchangeable. </w:t>
      </w:r>
      <w:r w:rsidR="00D23947">
        <w:rPr>
          <w:rFonts w:cs="Times New Roman"/>
        </w:rPr>
        <w:fldChar w:fldCharType="begin"/>
      </w:r>
      <w:r w:rsidR="00D23947">
        <w:rPr>
          <w:rFonts w:cs="Times New Roman"/>
        </w:rPr>
        <w:instrText xml:space="preserve"> REF _Ref45895395 \h </w:instrText>
      </w:r>
      <w:r w:rsidR="00D23947">
        <w:rPr>
          <w:rFonts w:cs="Times New Roman"/>
        </w:rPr>
      </w:r>
      <w:r w:rsidR="00D23947">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5</w:t>
      </w:r>
      <w:r w:rsidR="0005064B">
        <w:rPr>
          <w:rFonts w:cs="Times New Roman"/>
        </w:rPr>
        <w:noBreakHyphen/>
      </w:r>
      <w:r w:rsidR="0005064B">
        <w:rPr>
          <w:rFonts w:cs="Times New Roman"/>
          <w:noProof/>
        </w:rPr>
        <w:t>4</w:t>
      </w:r>
      <w:r w:rsidR="00D23947">
        <w:rPr>
          <w:rFonts w:cs="Times New Roman"/>
        </w:rPr>
        <w:fldChar w:fldCharType="end"/>
      </w:r>
      <w:r w:rsidR="00D23947">
        <w:rPr>
          <w:rFonts w:cs="Times New Roman"/>
        </w:rPr>
        <w:t xml:space="preserve"> </w:t>
      </w:r>
      <w:r w:rsidRPr="00737239">
        <w:rPr>
          <w:rFonts w:cs="Times New Roman"/>
        </w:rPr>
        <w:t>and</w:t>
      </w:r>
      <w:r w:rsidR="004C339B">
        <w:rPr>
          <w:rFonts w:cs="Times New Roman"/>
        </w:rPr>
        <w:t xml:space="preserve"> </w:t>
      </w:r>
      <w:r w:rsidR="004C339B">
        <w:rPr>
          <w:rFonts w:cs="Times New Roman"/>
        </w:rPr>
        <w:fldChar w:fldCharType="begin"/>
      </w:r>
      <w:r w:rsidR="004C339B">
        <w:rPr>
          <w:rFonts w:cs="Times New Roman"/>
        </w:rPr>
        <w:instrText xml:space="preserve"> REF _Ref44971040 \h </w:instrText>
      </w:r>
      <w:r w:rsidR="004C339B">
        <w:rPr>
          <w:rFonts w:cs="Times New Roman"/>
        </w:rPr>
      </w:r>
      <w:r w:rsidR="004C339B">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5</w:t>
      </w:r>
      <w:r w:rsidR="0005064B">
        <w:rPr>
          <w:rFonts w:cs="Times New Roman"/>
        </w:rPr>
        <w:noBreakHyphen/>
      </w:r>
      <w:r w:rsidR="0005064B">
        <w:rPr>
          <w:rFonts w:cs="Times New Roman"/>
          <w:noProof/>
        </w:rPr>
        <w:t>5</w:t>
      </w:r>
      <w:r w:rsidR="004C339B">
        <w:rPr>
          <w:rFonts w:cs="Times New Roman"/>
        </w:rPr>
        <w:fldChar w:fldCharType="end"/>
      </w:r>
      <w:r w:rsidRPr="00737239">
        <w:rPr>
          <w:rFonts w:cs="Times New Roman"/>
        </w:rPr>
        <w:t xml:space="preserve"> </w:t>
      </w:r>
      <w:r w:rsidRPr="008903D1">
        <w:rPr>
          <w:rFonts w:cs="Times New Roman"/>
        </w:rPr>
        <w:t xml:space="preserve">display the primary and secondary stakeholders in </w:t>
      </w:r>
      <w:r w:rsidRPr="00737239">
        <w:rPr>
          <w:rFonts w:cs="Times New Roman"/>
        </w:rPr>
        <w:t>each of the four UCC cases, respectively.</w:t>
      </w:r>
      <w:r w:rsidRPr="00737239">
        <w:rPr>
          <w:rFonts w:cs="Times New Roman"/>
          <w:highlight w:val="yellow"/>
        </w:rPr>
        <w:t xml:space="preserve"> </w:t>
      </w:r>
    </w:p>
    <w:tbl>
      <w:tblPr>
        <w:tblStyle w:val="TableGrid1"/>
        <w:tblW w:w="5000" w:type="pct"/>
        <w:tblLook w:val="04A0" w:firstRow="1" w:lastRow="0" w:firstColumn="1" w:lastColumn="0" w:noHBand="0" w:noVBand="1"/>
      </w:tblPr>
      <w:tblGrid>
        <w:gridCol w:w="1084"/>
        <w:gridCol w:w="948"/>
        <w:gridCol w:w="1590"/>
        <w:gridCol w:w="1705"/>
        <w:gridCol w:w="3689"/>
      </w:tblGrid>
      <w:tr w:rsidR="00656367" w:rsidRPr="008903D1" w14:paraId="7502BAC4" w14:textId="77777777" w:rsidTr="00622AC7">
        <w:tc>
          <w:tcPr>
            <w:tcW w:w="609" w:type="pct"/>
            <w:vAlign w:val="center"/>
          </w:tcPr>
          <w:p w14:paraId="4D93F7CF" w14:textId="77777777" w:rsidR="00656367" w:rsidRPr="008903D1" w:rsidRDefault="00656367" w:rsidP="00622AC7">
            <w:pPr>
              <w:spacing w:line="240" w:lineRule="auto"/>
              <w:jc w:val="center"/>
              <w:rPr>
                <w:rFonts w:cs="Times New Roman"/>
                <w:b/>
                <w:bCs/>
                <w:color w:val="000000"/>
              </w:rPr>
            </w:pPr>
            <w:r w:rsidRPr="008903D1">
              <w:rPr>
                <w:rFonts w:cs="Times New Roman"/>
                <w:b/>
                <w:bCs/>
                <w:color w:val="000000"/>
              </w:rPr>
              <w:t>Country</w:t>
            </w:r>
          </w:p>
        </w:tc>
        <w:tc>
          <w:tcPr>
            <w:tcW w:w="533" w:type="pct"/>
            <w:vAlign w:val="center"/>
          </w:tcPr>
          <w:p w14:paraId="4096958B" w14:textId="77777777" w:rsidR="00656367" w:rsidRPr="008903D1" w:rsidRDefault="00656367" w:rsidP="00622AC7">
            <w:pPr>
              <w:spacing w:line="240" w:lineRule="auto"/>
              <w:jc w:val="center"/>
              <w:rPr>
                <w:rFonts w:cs="Times New Roman"/>
                <w:b/>
                <w:bCs/>
                <w:color w:val="000000"/>
              </w:rPr>
            </w:pPr>
            <w:r w:rsidRPr="008903D1">
              <w:rPr>
                <w:rFonts w:cs="Times New Roman"/>
                <w:b/>
                <w:bCs/>
                <w:color w:val="000000"/>
              </w:rPr>
              <w:t xml:space="preserve"> UCC cases</w:t>
            </w:r>
          </w:p>
        </w:tc>
        <w:tc>
          <w:tcPr>
            <w:tcW w:w="851" w:type="pct"/>
            <w:vAlign w:val="center"/>
          </w:tcPr>
          <w:p w14:paraId="6BF3CB10" w14:textId="77777777" w:rsidR="00656367" w:rsidRPr="008903D1" w:rsidRDefault="00656367" w:rsidP="00622AC7">
            <w:pPr>
              <w:spacing w:line="240" w:lineRule="auto"/>
              <w:jc w:val="center"/>
              <w:rPr>
                <w:rFonts w:cs="Times New Roman"/>
                <w:b/>
                <w:bCs/>
                <w:color w:val="000000"/>
              </w:rPr>
            </w:pPr>
            <w:r w:rsidRPr="008903D1">
              <w:rPr>
                <w:rFonts w:cs="Times New Roman"/>
                <w:b/>
                <w:bCs/>
                <w:color w:val="000000"/>
              </w:rPr>
              <w:t>Stakeholder organisations</w:t>
            </w:r>
          </w:p>
        </w:tc>
        <w:tc>
          <w:tcPr>
            <w:tcW w:w="953" w:type="pct"/>
            <w:vAlign w:val="center"/>
          </w:tcPr>
          <w:p w14:paraId="02C20F4A" w14:textId="77777777" w:rsidR="00656367" w:rsidRPr="008903D1" w:rsidRDefault="00656367" w:rsidP="00622AC7">
            <w:pPr>
              <w:spacing w:line="240" w:lineRule="auto"/>
              <w:jc w:val="center"/>
              <w:rPr>
                <w:rFonts w:cs="Times New Roman"/>
                <w:b/>
                <w:bCs/>
                <w:color w:val="000000"/>
                <w:lang w:val="it-IT"/>
              </w:rPr>
            </w:pPr>
            <w:r w:rsidRPr="008903D1">
              <w:rPr>
                <w:rFonts w:cs="Times New Roman"/>
                <w:b/>
                <w:bCs/>
                <w:color w:val="000000"/>
                <w:lang w:val="it-IT"/>
              </w:rPr>
              <w:t>Role in urban consolidation centre (UCC) system</w:t>
            </w:r>
          </w:p>
        </w:tc>
        <w:tc>
          <w:tcPr>
            <w:tcW w:w="2053" w:type="pct"/>
          </w:tcPr>
          <w:p w14:paraId="69D141B4" w14:textId="77777777" w:rsidR="00656367" w:rsidRPr="008903D1" w:rsidRDefault="00656367" w:rsidP="00622AC7">
            <w:pPr>
              <w:spacing w:line="240" w:lineRule="auto"/>
              <w:ind w:left="360"/>
              <w:rPr>
                <w:rFonts w:cs="Times New Roman"/>
                <w:b/>
                <w:bCs/>
                <w:color w:val="000000"/>
                <w:lang w:val="it-IT"/>
              </w:rPr>
            </w:pPr>
          </w:p>
          <w:p w14:paraId="1BD27C99" w14:textId="77777777" w:rsidR="00656367" w:rsidRPr="008903D1" w:rsidRDefault="00656367" w:rsidP="00622AC7">
            <w:pPr>
              <w:spacing w:line="240" w:lineRule="auto"/>
              <w:ind w:left="360"/>
              <w:rPr>
                <w:rFonts w:cs="Times New Roman"/>
                <w:b/>
                <w:bCs/>
                <w:color w:val="000000"/>
              </w:rPr>
            </w:pPr>
            <w:r w:rsidRPr="008903D1">
              <w:rPr>
                <w:rFonts w:cs="Times New Roman"/>
                <w:b/>
                <w:bCs/>
                <w:color w:val="000000"/>
              </w:rPr>
              <w:t>Stakeholder objectives</w:t>
            </w:r>
          </w:p>
        </w:tc>
      </w:tr>
      <w:tr w:rsidR="00656367" w:rsidRPr="008903D1" w14:paraId="565E36F1" w14:textId="77777777" w:rsidTr="00622AC7">
        <w:tc>
          <w:tcPr>
            <w:tcW w:w="609" w:type="pct"/>
            <w:vMerge w:val="restart"/>
            <w:vAlign w:val="center"/>
          </w:tcPr>
          <w:p w14:paraId="04C3F275" w14:textId="77777777" w:rsidR="00656367" w:rsidRPr="008903D1" w:rsidRDefault="00656367" w:rsidP="00622AC7">
            <w:pPr>
              <w:spacing w:line="240" w:lineRule="auto"/>
              <w:jc w:val="center"/>
              <w:rPr>
                <w:rFonts w:cs="Times New Roman"/>
                <w:color w:val="000000"/>
              </w:rPr>
            </w:pPr>
            <w:r w:rsidRPr="008903D1">
              <w:rPr>
                <w:rFonts w:cs="Times New Roman"/>
                <w:color w:val="000000"/>
              </w:rPr>
              <w:t>Sweden</w:t>
            </w:r>
          </w:p>
        </w:tc>
        <w:tc>
          <w:tcPr>
            <w:tcW w:w="533" w:type="pct"/>
            <w:vMerge w:val="restart"/>
            <w:vAlign w:val="center"/>
          </w:tcPr>
          <w:p w14:paraId="6C3932B7" w14:textId="77777777" w:rsidR="00656367" w:rsidRPr="008903D1" w:rsidRDefault="00656367" w:rsidP="00622AC7">
            <w:pPr>
              <w:spacing w:line="240" w:lineRule="auto"/>
              <w:jc w:val="center"/>
              <w:rPr>
                <w:rFonts w:cs="Times New Roman"/>
                <w:color w:val="000000"/>
              </w:rPr>
            </w:pPr>
            <w:r w:rsidRPr="008903D1">
              <w:rPr>
                <w:rFonts w:cs="Times New Roman"/>
                <w:color w:val="000000"/>
              </w:rPr>
              <w:t>Case 1</w:t>
            </w:r>
          </w:p>
        </w:tc>
        <w:tc>
          <w:tcPr>
            <w:tcW w:w="851" w:type="pct"/>
            <w:vAlign w:val="center"/>
          </w:tcPr>
          <w:p w14:paraId="695B89DE" w14:textId="77777777" w:rsidR="00656367" w:rsidRPr="008903D1" w:rsidRDefault="00656367" w:rsidP="00622AC7">
            <w:pPr>
              <w:spacing w:line="240" w:lineRule="auto"/>
              <w:rPr>
                <w:rFonts w:cs="Times New Roman"/>
                <w:color w:val="000000"/>
              </w:rPr>
            </w:pPr>
            <w:r w:rsidRPr="008903D1">
              <w:rPr>
                <w:rFonts w:cs="Times New Roman"/>
                <w:color w:val="000000"/>
              </w:rPr>
              <w:t xml:space="preserve">Stockholm </w:t>
            </w:r>
            <w:proofErr w:type="spellStart"/>
            <w:r w:rsidRPr="008903D1">
              <w:rPr>
                <w:rFonts w:cs="Times New Roman"/>
                <w:color w:val="000000"/>
              </w:rPr>
              <w:t>Stad</w:t>
            </w:r>
            <w:proofErr w:type="spellEnd"/>
            <w:r w:rsidRPr="008903D1">
              <w:rPr>
                <w:rFonts w:cs="Times New Roman"/>
                <w:color w:val="000000"/>
              </w:rPr>
              <w:t xml:space="preserve"> (SS)</w:t>
            </w:r>
          </w:p>
        </w:tc>
        <w:tc>
          <w:tcPr>
            <w:tcW w:w="953" w:type="pct"/>
            <w:vAlign w:val="center"/>
          </w:tcPr>
          <w:p w14:paraId="77C4FF5C" w14:textId="77777777" w:rsidR="00656367" w:rsidRPr="008903D1" w:rsidRDefault="00656367" w:rsidP="00622AC7">
            <w:pPr>
              <w:spacing w:line="240" w:lineRule="auto"/>
              <w:rPr>
                <w:rFonts w:cs="Times New Roman"/>
                <w:color w:val="000000"/>
              </w:rPr>
            </w:pPr>
            <w:r w:rsidRPr="008903D1">
              <w:rPr>
                <w:rFonts w:cs="Times New Roman"/>
                <w:color w:val="000000"/>
              </w:rPr>
              <w:t>Project initiator</w:t>
            </w:r>
          </w:p>
        </w:tc>
        <w:tc>
          <w:tcPr>
            <w:tcW w:w="2053" w:type="pct"/>
          </w:tcPr>
          <w:p w14:paraId="5B8553F9"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Travel mile reduction</w:t>
            </w:r>
          </w:p>
          <w:p w14:paraId="24F3527F"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 xml:space="preserve">Reduce numbers of delivery trips in urban </w:t>
            </w:r>
            <w:proofErr w:type="gramStart"/>
            <w:r w:rsidRPr="008903D1">
              <w:rPr>
                <w:rFonts w:cs="Times New Roman"/>
                <w:color w:val="000000"/>
              </w:rPr>
              <w:t>area</w:t>
            </w:r>
            <w:proofErr w:type="gramEnd"/>
          </w:p>
          <w:p w14:paraId="25B0A037"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 xml:space="preserve">Reduce time for road </w:t>
            </w:r>
            <w:proofErr w:type="gramStart"/>
            <w:r w:rsidRPr="008903D1">
              <w:rPr>
                <w:rFonts w:cs="Times New Roman"/>
                <w:color w:val="000000"/>
              </w:rPr>
              <w:t>occupancy</w:t>
            </w:r>
            <w:proofErr w:type="gramEnd"/>
          </w:p>
          <w:p w14:paraId="03FF1BCD"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 xml:space="preserve">Reduce fossil-fuel </w:t>
            </w:r>
            <w:proofErr w:type="gramStart"/>
            <w:r w:rsidRPr="008903D1">
              <w:rPr>
                <w:rFonts w:cs="Times New Roman"/>
                <w:color w:val="000000"/>
              </w:rPr>
              <w:t>consumption</w:t>
            </w:r>
            <w:proofErr w:type="gramEnd"/>
          </w:p>
          <w:p w14:paraId="6CDA3554"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 xml:space="preserve">Reduce gas </w:t>
            </w:r>
            <w:proofErr w:type="gramStart"/>
            <w:r w:rsidRPr="008903D1">
              <w:rPr>
                <w:rFonts w:cs="Times New Roman"/>
                <w:color w:val="000000"/>
              </w:rPr>
              <w:t>emission</w:t>
            </w:r>
            <w:proofErr w:type="gramEnd"/>
            <w:r w:rsidRPr="008903D1">
              <w:rPr>
                <w:rFonts w:cs="Times New Roman"/>
                <w:color w:val="000000"/>
              </w:rPr>
              <w:t xml:space="preserve"> </w:t>
            </w:r>
          </w:p>
          <w:p w14:paraId="0A3CB7A7"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Improve road safety</w:t>
            </w:r>
          </w:p>
        </w:tc>
      </w:tr>
      <w:tr w:rsidR="00656367" w:rsidRPr="008903D1" w14:paraId="2E913B16" w14:textId="77777777" w:rsidTr="000F309D">
        <w:trPr>
          <w:trHeight w:val="890"/>
        </w:trPr>
        <w:tc>
          <w:tcPr>
            <w:tcW w:w="609" w:type="pct"/>
            <w:vMerge/>
            <w:vAlign w:val="center"/>
          </w:tcPr>
          <w:p w14:paraId="776E9B02" w14:textId="77777777" w:rsidR="00656367" w:rsidRPr="008903D1" w:rsidRDefault="00656367" w:rsidP="00622AC7">
            <w:pPr>
              <w:spacing w:line="240" w:lineRule="auto"/>
              <w:jc w:val="center"/>
              <w:rPr>
                <w:rFonts w:cs="Times New Roman"/>
                <w:color w:val="000000"/>
              </w:rPr>
            </w:pPr>
          </w:p>
        </w:tc>
        <w:tc>
          <w:tcPr>
            <w:tcW w:w="533" w:type="pct"/>
            <w:vMerge/>
            <w:vAlign w:val="center"/>
          </w:tcPr>
          <w:p w14:paraId="693D854C" w14:textId="77777777" w:rsidR="00656367" w:rsidRPr="008903D1" w:rsidRDefault="00656367" w:rsidP="00622AC7">
            <w:pPr>
              <w:spacing w:line="240" w:lineRule="auto"/>
              <w:jc w:val="center"/>
              <w:rPr>
                <w:rFonts w:cs="Times New Roman"/>
                <w:color w:val="000000"/>
              </w:rPr>
            </w:pPr>
          </w:p>
        </w:tc>
        <w:tc>
          <w:tcPr>
            <w:tcW w:w="851" w:type="pct"/>
            <w:vAlign w:val="center"/>
          </w:tcPr>
          <w:p w14:paraId="782FB243" w14:textId="77777777" w:rsidR="00656367" w:rsidRPr="008903D1" w:rsidRDefault="00656367" w:rsidP="00622AC7">
            <w:pPr>
              <w:spacing w:line="240" w:lineRule="auto"/>
              <w:rPr>
                <w:rFonts w:cs="Times New Roman"/>
                <w:color w:val="000000"/>
              </w:rPr>
            </w:pPr>
            <w:r w:rsidRPr="008903D1">
              <w:rPr>
                <w:rFonts w:cs="Times New Roman"/>
                <w:color w:val="000000"/>
              </w:rPr>
              <w:t>Waste collection company (WCC)</w:t>
            </w:r>
          </w:p>
        </w:tc>
        <w:tc>
          <w:tcPr>
            <w:tcW w:w="953" w:type="pct"/>
            <w:vAlign w:val="center"/>
          </w:tcPr>
          <w:p w14:paraId="58D6A5A1" w14:textId="77777777" w:rsidR="00656367" w:rsidRPr="008903D1" w:rsidRDefault="00656367" w:rsidP="00622AC7">
            <w:pPr>
              <w:spacing w:line="240" w:lineRule="auto"/>
              <w:rPr>
                <w:rFonts w:cs="Times New Roman"/>
                <w:color w:val="000000"/>
              </w:rPr>
            </w:pPr>
            <w:r w:rsidRPr="008903D1">
              <w:rPr>
                <w:rFonts w:cs="Times New Roman"/>
                <w:color w:val="000000"/>
              </w:rPr>
              <w:t>Parcel sorting,</w:t>
            </w:r>
          </w:p>
          <w:p w14:paraId="3D9D03E7" w14:textId="77777777" w:rsidR="00656367" w:rsidRPr="008903D1" w:rsidRDefault="00656367" w:rsidP="00622AC7">
            <w:pPr>
              <w:spacing w:line="240" w:lineRule="auto"/>
              <w:rPr>
                <w:rFonts w:cs="Times New Roman"/>
                <w:color w:val="000000"/>
              </w:rPr>
            </w:pPr>
            <w:r w:rsidRPr="008903D1">
              <w:rPr>
                <w:rFonts w:cs="Times New Roman"/>
                <w:color w:val="000000"/>
              </w:rPr>
              <w:t>parcel delivery</w:t>
            </w:r>
          </w:p>
        </w:tc>
        <w:tc>
          <w:tcPr>
            <w:tcW w:w="2053" w:type="pct"/>
          </w:tcPr>
          <w:p w14:paraId="4BAB9CC5"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Attracting more consumers</w:t>
            </w:r>
          </w:p>
          <w:p w14:paraId="11AA01F8"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Promoting vehicle efficiency</w:t>
            </w:r>
          </w:p>
          <w:p w14:paraId="02B32B50" w14:textId="54C169CD" w:rsidR="00656367" w:rsidRPr="000F309D" w:rsidRDefault="00656367" w:rsidP="00A323CC">
            <w:pPr>
              <w:numPr>
                <w:ilvl w:val="0"/>
                <w:numId w:val="27"/>
              </w:numPr>
              <w:spacing w:line="240" w:lineRule="auto"/>
              <w:ind w:left="360"/>
              <w:jc w:val="left"/>
              <w:rPr>
                <w:rFonts w:cs="Times New Roman"/>
                <w:color w:val="000000"/>
              </w:rPr>
            </w:pPr>
            <w:r w:rsidRPr="008903D1">
              <w:rPr>
                <w:rFonts w:cs="Times New Roman"/>
                <w:color w:val="000000"/>
              </w:rPr>
              <w:t>Reducing operating costs</w:t>
            </w:r>
          </w:p>
        </w:tc>
      </w:tr>
      <w:tr w:rsidR="00656367" w:rsidRPr="008903D1" w14:paraId="45216CAA" w14:textId="77777777" w:rsidTr="00622AC7">
        <w:trPr>
          <w:trHeight w:val="281"/>
        </w:trPr>
        <w:tc>
          <w:tcPr>
            <w:tcW w:w="609" w:type="pct"/>
            <w:vMerge/>
            <w:vAlign w:val="center"/>
          </w:tcPr>
          <w:p w14:paraId="1494761E" w14:textId="77777777" w:rsidR="00656367" w:rsidRPr="008903D1" w:rsidRDefault="00656367" w:rsidP="00622AC7">
            <w:pPr>
              <w:spacing w:line="240" w:lineRule="auto"/>
              <w:jc w:val="center"/>
              <w:rPr>
                <w:rFonts w:cs="Times New Roman"/>
                <w:color w:val="000000"/>
              </w:rPr>
            </w:pPr>
          </w:p>
        </w:tc>
        <w:tc>
          <w:tcPr>
            <w:tcW w:w="533" w:type="pct"/>
            <w:vMerge/>
            <w:vAlign w:val="center"/>
          </w:tcPr>
          <w:p w14:paraId="1E840D14" w14:textId="77777777" w:rsidR="00656367" w:rsidRPr="008903D1" w:rsidRDefault="00656367" w:rsidP="00622AC7">
            <w:pPr>
              <w:spacing w:line="240" w:lineRule="auto"/>
              <w:jc w:val="center"/>
              <w:rPr>
                <w:rFonts w:cs="Times New Roman"/>
                <w:color w:val="000000"/>
              </w:rPr>
            </w:pPr>
          </w:p>
        </w:tc>
        <w:tc>
          <w:tcPr>
            <w:tcW w:w="851" w:type="pct"/>
            <w:vAlign w:val="center"/>
          </w:tcPr>
          <w:p w14:paraId="4AF68A3D" w14:textId="77777777" w:rsidR="00656367" w:rsidRPr="008903D1" w:rsidRDefault="00656367" w:rsidP="00622AC7">
            <w:pPr>
              <w:spacing w:line="240" w:lineRule="auto"/>
              <w:rPr>
                <w:rFonts w:cs="Times New Roman"/>
                <w:color w:val="000000"/>
              </w:rPr>
            </w:pPr>
            <w:r w:rsidRPr="008903D1">
              <w:rPr>
                <w:rFonts w:cs="Times New Roman"/>
                <w:color w:val="000000"/>
              </w:rPr>
              <w:t>Logistics company (LC)</w:t>
            </w:r>
          </w:p>
        </w:tc>
        <w:tc>
          <w:tcPr>
            <w:tcW w:w="953" w:type="pct"/>
            <w:vAlign w:val="center"/>
          </w:tcPr>
          <w:p w14:paraId="6F22150F" w14:textId="77777777" w:rsidR="00656367" w:rsidRPr="008903D1" w:rsidRDefault="00656367" w:rsidP="00622AC7">
            <w:pPr>
              <w:spacing w:line="240" w:lineRule="auto"/>
              <w:rPr>
                <w:rFonts w:cs="Times New Roman"/>
                <w:color w:val="000000"/>
              </w:rPr>
            </w:pPr>
            <w:r w:rsidRPr="008903D1">
              <w:rPr>
                <w:rFonts w:cs="Times New Roman"/>
                <w:color w:val="000000"/>
              </w:rPr>
              <w:t>Parcel provider,</w:t>
            </w:r>
          </w:p>
          <w:p w14:paraId="098EC48F" w14:textId="77777777" w:rsidR="00656367" w:rsidRPr="008903D1" w:rsidRDefault="00656367" w:rsidP="00622AC7">
            <w:pPr>
              <w:spacing w:line="240" w:lineRule="auto"/>
              <w:rPr>
                <w:rFonts w:cs="Times New Roman"/>
                <w:color w:val="000000"/>
              </w:rPr>
            </w:pPr>
            <w:r w:rsidRPr="008903D1">
              <w:rPr>
                <w:rFonts w:cs="Times New Roman"/>
                <w:color w:val="000000"/>
              </w:rPr>
              <w:t>funding provider</w:t>
            </w:r>
          </w:p>
        </w:tc>
        <w:tc>
          <w:tcPr>
            <w:tcW w:w="2053" w:type="pct"/>
          </w:tcPr>
          <w:p w14:paraId="451748D6"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No negative influence on profit</w:t>
            </w:r>
          </w:p>
          <w:p w14:paraId="29521DFF"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Attracting more consumers</w:t>
            </w:r>
          </w:p>
          <w:p w14:paraId="2322199A" w14:textId="77777777" w:rsidR="00656367" w:rsidRDefault="00656367" w:rsidP="00A323CC">
            <w:pPr>
              <w:numPr>
                <w:ilvl w:val="0"/>
                <w:numId w:val="27"/>
              </w:numPr>
              <w:spacing w:line="240" w:lineRule="auto"/>
              <w:ind w:left="360"/>
              <w:jc w:val="left"/>
              <w:rPr>
                <w:rFonts w:cs="Times New Roman"/>
                <w:color w:val="000000"/>
              </w:rPr>
            </w:pPr>
            <w:r w:rsidRPr="008903D1">
              <w:rPr>
                <w:rFonts w:cs="Times New Roman"/>
                <w:color w:val="000000"/>
              </w:rPr>
              <w:t xml:space="preserve">Developing cooperation with other potential companies </w:t>
            </w:r>
          </w:p>
          <w:p w14:paraId="4E559AD3" w14:textId="270B8157" w:rsidR="00574D8E" w:rsidRPr="008903D1" w:rsidRDefault="00574D8E" w:rsidP="00A323CC">
            <w:pPr>
              <w:numPr>
                <w:ilvl w:val="0"/>
                <w:numId w:val="27"/>
              </w:numPr>
              <w:spacing w:line="240" w:lineRule="auto"/>
              <w:ind w:left="360"/>
              <w:jc w:val="left"/>
              <w:rPr>
                <w:rFonts w:cs="Times New Roman"/>
                <w:color w:val="000000"/>
              </w:rPr>
            </w:pPr>
            <w:r>
              <w:rPr>
                <w:rFonts w:cs="Times New Roman"/>
                <w:color w:val="000000"/>
              </w:rPr>
              <w:t>I</w:t>
            </w:r>
            <w:r>
              <w:rPr>
                <w:rFonts w:cs="Times New Roman" w:hint="eastAsia"/>
                <w:color w:val="000000"/>
              </w:rPr>
              <w:t>mproving</w:t>
            </w:r>
            <w:r>
              <w:rPr>
                <w:rFonts w:cs="Times New Roman"/>
                <w:color w:val="000000"/>
              </w:rPr>
              <w:t xml:space="preserve"> </w:t>
            </w:r>
            <w:r>
              <w:rPr>
                <w:rFonts w:cs="Times New Roman" w:hint="eastAsia"/>
                <w:color w:val="000000"/>
              </w:rPr>
              <w:t>the</w:t>
            </w:r>
            <w:r>
              <w:rPr>
                <w:rFonts w:cs="Times New Roman"/>
                <w:color w:val="000000"/>
              </w:rPr>
              <w:t xml:space="preserve"> </w:t>
            </w:r>
            <w:r>
              <w:rPr>
                <w:rFonts w:cs="Times New Roman" w:hint="eastAsia"/>
                <w:color w:val="000000"/>
              </w:rPr>
              <w:t>efficiency</w:t>
            </w:r>
            <w:r>
              <w:rPr>
                <w:rFonts w:cs="Times New Roman"/>
                <w:color w:val="000000"/>
              </w:rPr>
              <w:t xml:space="preserve"> </w:t>
            </w:r>
            <w:r>
              <w:rPr>
                <w:rFonts w:cs="Times New Roman" w:hint="eastAsia"/>
                <w:color w:val="000000"/>
              </w:rPr>
              <w:t>of</w:t>
            </w:r>
            <w:r>
              <w:rPr>
                <w:rFonts w:cs="Times New Roman"/>
                <w:color w:val="000000"/>
              </w:rPr>
              <w:t xml:space="preserve"> </w:t>
            </w:r>
            <w:r>
              <w:rPr>
                <w:rFonts w:cs="Times New Roman" w:hint="eastAsia"/>
                <w:color w:val="000000"/>
              </w:rPr>
              <w:t>last-mile</w:t>
            </w:r>
            <w:r>
              <w:rPr>
                <w:rFonts w:cs="Times New Roman"/>
                <w:color w:val="000000"/>
              </w:rPr>
              <w:t xml:space="preserve"> </w:t>
            </w:r>
            <w:r>
              <w:rPr>
                <w:rFonts w:cs="Times New Roman" w:hint="eastAsia"/>
                <w:color w:val="000000"/>
              </w:rPr>
              <w:t>distribution</w:t>
            </w:r>
          </w:p>
        </w:tc>
      </w:tr>
      <w:tr w:rsidR="00656367" w:rsidRPr="008903D1" w14:paraId="33A7481A" w14:textId="77777777" w:rsidTr="00622AC7">
        <w:trPr>
          <w:trHeight w:val="322"/>
        </w:trPr>
        <w:tc>
          <w:tcPr>
            <w:tcW w:w="609" w:type="pct"/>
            <w:vMerge/>
            <w:vAlign w:val="center"/>
          </w:tcPr>
          <w:p w14:paraId="2E5291B2" w14:textId="77777777" w:rsidR="00656367" w:rsidRPr="008903D1" w:rsidRDefault="00656367" w:rsidP="00622AC7">
            <w:pPr>
              <w:spacing w:line="240" w:lineRule="auto"/>
              <w:jc w:val="center"/>
              <w:rPr>
                <w:rFonts w:cs="Times New Roman"/>
                <w:color w:val="000000"/>
              </w:rPr>
            </w:pPr>
          </w:p>
        </w:tc>
        <w:tc>
          <w:tcPr>
            <w:tcW w:w="533" w:type="pct"/>
            <w:vMerge/>
            <w:vAlign w:val="center"/>
          </w:tcPr>
          <w:p w14:paraId="30AC2EA2" w14:textId="77777777" w:rsidR="00656367" w:rsidRPr="008903D1" w:rsidRDefault="00656367" w:rsidP="00622AC7">
            <w:pPr>
              <w:spacing w:line="240" w:lineRule="auto"/>
              <w:jc w:val="center"/>
              <w:rPr>
                <w:rFonts w:cs="Times New Roman"/>
                <w:color w:val="000000"/>
              </w:rPr>
            </w:pPr>
          </w:p>
        </w:tc>
        <w:tc>
          <w:tcPr>
            <w:tcW w:w="851" w:type="pct"/>
            <w:vAlign w:val="center"/>
          </w:tcPr>
          <w:p w14:paraId="5885D5F1" w14:textId="77777777" w:rsidR="00656367" w:rsidRPr="008903D1" w:rsidRDefault="00656367" w:rsidP="00622AC7">
            <w:pPr>
              <w:spacing w:line="240" w:lineRule="auto"/>
              <w:rPr>
                <w:rFonts w:cs="Times New Roman"/>
                <w:color w:val="000000"/>
              </w:rPr>
            </w:pPr>
            <w:r w:rsidRPr="008903D1">
              <w:rPr>
                <w:rFonts w:cs="Times New Roman"/>
                <w:color w:val="000000"/>
              </w:rPr>
              <w:t>University (KTH)</w:t>
            </w:r>
          </w:p>
        </w:tc>
        <w:tc>
          <w:tcPr>
            <w:tcW w:w="953" w:type="pct"/>
            <w:vAlign w:val="center"/>
          </w:tcPr>
          <w:p w14:paraId="216D5745" w14:textId="77777777" w:rsidR="00656367" w:rsidRPr="008903D1" w:rsidRDefault="00656367" w:rsidP="00622AC7">
            <w:pPr>
              <w:spacing w:line="240" w:lineRule="auto"/>
              <w:rPr>
                <w:rFonts w:cs="Times New Roman"/>
                <w:color w:val="000000"/>
              </w:rPr>
            </w:pPr>
            <w:r w:rsidRPr="008903D1">
              <w:rPr>
                <w:rFonts w:cs="Times New Roman"/>
                <w:color w:val="000000"/>
              </w:rPr>
              <w:t>Vehicle provider</w:t>
            </w:r>
          </w:p>
        </w:tc>
        <w:tc>
          <w:tcPr>
            <w:tcW w:w="2053" w:type="pct"/>
          </w:tcPr>
          <w:p w14:paraId="7AB9A7F0"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 xml:space="preserve">Applying for more research funding </w:t>
            </w:r>
          </w:p>
          <w:p w14:paraId="3F6C9308"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Developing affordable new technology</w:t>
            </w:r>
          </w:p>
          <w:p w14:paraId="435162A9"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Promoting the utilisation of environmentally friendly vehicles</w:t>
            </w:r>
          </w:p>
          <w:p w14:paraId="2442D58C"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Improving the efficiency of the electric vehicles (EVs)</w:t>
            </w:r>
          </w:p>
          <w:p w14:paraId="330721C5"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lastRenderedPageBreak/>
              <w:t>Improving the reliability of electric vehicles (EVs)</w:t>
            </w:r>
          </w:p>
        </w:tc>
      </w:tr>
      <w:tr w:rsidR="00656367" w:rsidRPr="008903D1" w14:paraId="2296CBC7" w14:textId="77777777" w:rsidTr="00622AC7">
        <w:tc>
          <w:tcPr>
            <w:tcW w:w="609" w:type="pct"/>
            <w:vMerge/>
            <w:vAlign w:val="center"/>
          </w:tcPr>
          <w:p w14:paraId="3385D680" w14:textId="77777777" w:rsidR="00656367" w:rsidRPr="008903D1" w:rsidRDefault="00656367" w:rsidP="00622AC7">
            <w:pPr>
              <w:spacing w:line="240" w:lineRule="auto"/>
              <w:jc w:val="center"/>
              <w:rPr>
                <w:rFonts w:cs="Times New Roman"/>
                <w:color w:val="000000"/>
              </w:rPr>
            </w:pPr>
          </w:p>
        </w:tc>
        <w:tc>
          <w:tcPr>
            <w:tcW w:w="533" w:type="pct"/>
            <w:vMerge w:val="restart"/>
            <w:vAlign w:val="center"/>
          </w:tcPr>
          <w:p w14:paraId="3082CA29" w14:textId="77777777" w:rsidR="00656367" w:rsidRPr="008903D1" w:rsidRDefault="00656367" w:rsidP="00622AC7">
            <w:pPr>
              <w:spacing w:line="240" w:lineRule="auto"/>
              <w:jc w:val="center"/>
              <w:rPr>
                <w:rFonts w:cs="Times New Roman"/>
                <w:color w:val="000000"/>
              </w:rPr>
            </w:pPr>
            <w:r w:rsidRPr="008903D1">
              <w:rPr>
                <w:rFonts w:cs="Times New Roman"/>
                <w:color w:val="000000"/>
              </w:rPr>
              <w:t>Case 2</w:t>
            </w:r>
          </w:p>
        </w:tc>
        <w:tc>
          <w:tcPr>
            <w:tcW w:w="851" w:type="pct"/>
            <w:vAlign w:val="center"/>
          </w:tcPr>
          <w:p w14:paraId="249262AF" w14:textId="77777777" w:rsidR="00656367" w:rsidRPr="008903D1" w:rsidRDefault="00656367" w:rsidP="00622AC7">
            <w:pPr>
              <w:spacing w:line="240" w:lineRule="auto"/>
              <w:rPr>
                <w:rFonts w:cs="Times New Roman"/>
                <w:color w:val="000000"/>
              </w:rPr>
            </w:pPr>
            <w:r w:rsidRPr="008903D1">
              <w:rPr>
                <w:rFonts w:cs="Times New Roman"/>
                <w:color w:val="000000"/>
              </w:rPr>
              <w:t>Project manager (UPM)</w:t>
            </w:r>
          </w:p>
        </w:tc>
        <w:tc>
          <w:tcPr>
            <w:tcW w:w="953" w:type="pct"/>
            <w:vAlign w:val="center"/>
          </w:tcPr>
          <w:p w14:paraId="1EE09A9C" w14:textId="77777777" w:rsidR="00656367" w:rsidRPr="008903D1" w:rsidRDefault="00656367" w:rsidP="00622AC7">
            <w:pPr>
              <w:spacing w:line="240" w:lineRule="auto"/>
              <w:rPr>
                <w:rFonts w:cs="Times New Roman"/>
                <w:color w:val="000000"/>
              </w:rPr>
            </w:pPr>
            <w:r w:rsidRPr="008903D1">
              <w:rPr>
                <w:rFonts w:cs="Times New Roman"/>
                <w:color w:val="000000"/>
              </w:rPr>
              <w:t>Project manager</w:t>
            </w:r>
          </w:p>
        </w:tc>
        <w:tc>
          <w:tcPr>
            <w:tcW w:w="2053" w:type="pct"/>
          </w:tcPr>
          <w:p w14:paraId="29980DA4"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Business promotion</w:t>
            </w:r>
          </w:p>
          <w:p w14:paraId="4950248B"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Enhancing social reputation</w:t>
            </w:r>
          </w:p>
        </w:tc>
      </w:tr>
      <w:tr w:rsidR="00656367" w:rsidRPr="008903D1" w14:paraId="557F2E28" w14:textId="77777777" w:rsidTr="00622AC7">
        <w:tc>
          <w:tcPr>
            <w:tcW w:w="609" w:type="pct"/>
            <w:vMerge/>
            <w:vAlign w:val="center"/>
          </w:tcPr>
          <w:p w14:paraId="0E145E9F" w14:textId="77777777" w:rsidR="00656367" w:rsidRPr="008903D1" w:rsidRDefault="00656367" w:rsidP="00622AC7">
            <w:pPr>
              <w:spacing w:line="240" w:lineRule="auto"/>
              <w:jc w:val="center"/>
              <w:rPr>
                <w:rFonts w:cs="Times New Roman"/>
                <w:color w:val="000000"/>
              </w:rPr>
            </w:pPr>
          </w:p>
        </w:tc>
        <w:tc>
          <w:tcPr>
            <w:tcW w:w="533" w:type="pct"/>
            <w:vMerge/>
            <w:vAlign w:val="center"/>
          </w:tcPr>
          <w:p w14:paraId="3E7EBE9F" w14:textId="77777777" w:rsidR="00656367" w:rsidRPr="008903D1" w:rsidRDefault="00656367" w:rsidP="00622AC7">
            <w:pPr>
              <w:spacing w:line="240" w:lineRule="auto"/>
              <w:jc w:val="center"/>
              <w:rPr>
                <w:rFonts w:cs="Times New Roman"/>
                <w:color w:val="000000"/>
              </w:rPr>
            </w:pPr>
          </w:p>
        </w:tc>
        <w:tc>
          <w:tcPr>
            <w:tcW w:w="851" w:type="pct"/>
            <w:vAlign w:val="center"/>
          </w:tcPr>
          <w:p w14:paraId="1F63B0D5" w14:textId="77777777" w:rsidR="00656367" w:rsidRPr="008903D1" w:rsidRDefault="00656367" w:rsidP="00622AC7">
            <w:pPr>
              <w:spacing w:line="240" w:lineRule="auto"/>
              <w:rPr>
                <w:rFonts w:cs="Times New Roman"/>
                <w:color w:val="000000"/>
              </w:rPr>
            </w:pPr>
            <w:r w:rsidRPr="008903D1">
              <w:rPr>
                <w:rFonts w:cs="Times New Roman"/>
                <w:color w:val="000000"/>
              </w:rPr>
              <w:t>Office of Royal Seaport Project (ORS)</w:t>
            </w:r>
          </w:p>
        </w:tc>
        <w:tc>
          <w:tcPr>
            <w:tcW w:w="953" w:type="pct"/>
            <w:vAlign w:val="center"/>
          </w:tcPr>
          <w:p w14:paraId="4E839167" w14:textId="77777777" w:rsidR="00656367" w:rsidRPr="008903D1" w:rsidRDefault="00656367" w:rsidP="00622AC7">
            <w:pPr>
              <w:spacing w:line="240" w:lineRule="auto"/>
              <w:jc w:val="center"/>
              <w:rPr>
                <w:rFonts w:cs="Times New Roman"/>
                <w:color w:val="000000"/>
              </w:rPr>
            </w:pPr>
            <w:r w:rsidRPr="008903D1">
              <w:rPr>
                <w:rFonts w:cs="Times New Roman"/>
                <w:color w:val="000000"/>
              </w:rPr>
              <w:t>Funding provider,</w:t>
            </w:r>
          </w:p>
          <w:p w14:paraId="286DF4D6" w14:textId="77777777" w:rsidR="00656367" w:rsidRPr="008903D1" w:rsidRDefault="00656367" w:rsidP="00622AC7">
            <w:pPr>
              <w:spacing w:line="240" w:lineRule="auto"/>
              <w:jc w:val="center"/>
              <w:rPr>
                <w:rFonts w:cs="Times New Roman"/>
                <w:color w:val="000000"/>
              </w:rPr>
            </w:pPr>
            <w:r w:rsidRPr="008903D1">
              <w:rPr>
                <w:rFonts w:cs="Times New Roman"/>
                <w:color w:val="000000"/>
              </w:rPr>
              <w:t>strategic planning,</w:t>
            </w:r>
          </w:p>
          <w:p w14:paraId="1D56761C" w14:textId="77777777" w:rsidR="00656367" w:rsidRPr="008903D1" w:rsidRDefault="00656367" w:rsidP="00622AC7">
            <w:pPr>
              <w:spacing w:line="240" w:lineRule="auto"/>
              <w:jc w:val="center"/>
              <w:rPr>
                <w:rFonts w:cs="Times New Roman"/>
                <w:color w:val="000000"/>
              </w:rPr>
            </w:pPr>
            <w:r w:rsidRPr="008903D1">
              <w:rPr>
                <w:rFonts w:cs="Times New Roman"/>
                <w:color w:val="000000"/>
              </w:rPr>
              <w:t>policymaker,</w:t>
            </w:r>
          </w:p>
          <w:p w14:paraId="18FDC4C6" w14:textId="77777777" w:rsidR="00656367" w:rsidRPr="008903D1" w:rsidRDefault="00656367" w:rsidP="00622AC7">
            <w:pPr>
              <w:spacing w:line="240" w:lineRule="auto"/>
              <w:jc w:val="center"/>
              <w:rPr>
                <w:rFonts w:cs="Times New Roman"/>
                <w:color w:val="000000"/>
              </w:rPr>
            </w:pPr>
            <w:r w:rsidRPr="008903D1">
              <w:rPr>
                <w:rFonts w:cs="Times New Roman"/>
                <w:color w:val="000000"/>
              </w:rPr>
              <w:t>facility inspection</w:t>
            </w:r>
          </w:p>
        </w:tc>
        <w:tc>
          <w:tcPr>
            <w:tcW w:w="2053" w:type="pct"/>
          </w:tcPr>
          <w:p w14:paraId="5A72A709"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Lower emissions</w:t>
            </w:r>
          </w:p>
          <w:p w14:paraId="7B7EEC91" w14:textId="51D353F2" w:rsidR="00656367" w:rsidRDefault="00656367" w:rsidP="00A323CC">
            <w:pPr>
              <w:numPr>
                <w:ilvl w:val="0"/>
                <w:numId w:val="27"/>
              </w:numPr>
              <w:spacing w:line="240" w:lineRule="auto"/>
              <w:ind w:left="360"/>
              <w:jc w:val="left"/>
              <w:rPr>
                <w:rFonts w:cs="Times New Roman"/>
                <w:color w:val="000000"/>
              </w:rPr>
            </w:pPr>
            <w:r w:rsidRPr="008903D1">
              <w:rPr>
                <w:rFonts w:cs="Times New Roman"/>
                <w:color w:val="000000"/>
              </w:rPr>
              <w:t>Fewer vehicles</w:t>
            </w:r>
          </w:p>
          <w:p w14:paraId="33484DEF" w14:textId="1699C14D" w:rsidR="009B03DB" w:rsidRPr="008903D1" w:rsidRDefault="009B03DB" w:rsidP="00A323CC">
            <w:pPr>
              <w:numPr>
                <w:ilvl w:val="0"/>
                <w:numId w:val="27"/>
              </w:numPr>
              <w:spacing w:line="240" w:lineRule="auto"/>
              <w:ind w:left="360"/>
              <w:jc w:val="left"/>
              <w:rPr>
                <w:rFonts w:cs="Times New Roman"/>
                <w:color w:val="000000"/>
              </w:rPr>
            </w:pPr>
            <w:r>
              <w:rPr>
                <w:rFonts w:cs="Times New Roman" w:hint="eastAsia"/>
                <w:color w:val="000000"/>
              </w:rPr>
              <w:t>High</w:t>
            </w:r>
            <w:r>
              <w:rPr>
                <w:rFonts w:cs="Times New Roman"/>
                <w:color w:val="000000"/>
              </w:rPr>
              <w:t xml:space="preserve"> </w:t>
            </w:r>
            <w:r w:rsidRPr="009B03DB">
              <w:rPr>
                <w:rFonts w:cs="Times New Roman"/>
                <w:color w:val="000000"/>
              </w:rPr>
              <w:t>quality</w:t>
            </w:r>
            <w:r>
              <w:rPr>
                <w:rFonts w:cs="Times New Roman"/>
                <w:color w:val="000000"/>
              </w:rPr>
              <w:t xml:space="preserve"> </w:t>
            </w:r>
            <w:r>
              <w:rPr>
                <w:rFonts w:cs="Times New Roman" w:hint="eastAsia"/>
                <w:color w:val="000000"/>
              </w:rPr>
              <w:t>of</w:t>
            </w:r>
            <w:r>
              <w:rPr>
                <w:rFonts w:cs="Times New Roman"/>
                <w:color w:val="000000"/>
              </w:rPr>
              <w:t xml:space="preserve"> the </w:t>
            </w:r>
            <w:r>
              <w:rPr>
                <w:rFonts w:cs="Times New Roman" w:hint="eastAsia"/>
                <w:color w:val="000000"/>
              </w:rPr>
              <w:t>logistics</w:t>
            </w:r>
            <w:r>
              <w:rPr>
                <w:rFonts w:cs="Times New Roman"/>
                <w:color w:val="000000"/>
              </w:rPr>
              <w:t xml:space="preserve"> </w:t>
            </w:r>
            <w:r>
              <w:rPr>
                <w:rFonts w:cs="Times New Roman" w:hint="eastAsia"/>
                <w:color w:val="000000"/>
              </w:rPr>
              <w:t>service</w:t>
            </w:r>
          </w:p>
          <w:p w14:paraId="4F4670E2"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Cost reduction for the Royal Seaport project</w:t>
            </w:r>
          </w:p>
          <w:p w14:paraId="5C6571D4"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Improving road safety</w:t>
            </w:r>
          </w:p>
          <w:p w14:paraId="3ACCC927"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Improving service choice</w:t>
            </w:r>
          </w:p>
          <w:p w14:paraId="5D4DAFAA"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Promoting public awareness</w:t>
            </w:r>
          </w:p>
          <w:p w14:paraId="0858E613"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Promoting education and training of sustainability</w:t>
            </w:r>
          </w:p>
        </w:tc>
      </w:tr>
      <w:tr w:rsidR="00656367" w:rsidRPr="008903D1" w14:paraId="0437F447" w14:textId="77777777" w:rsidTr="00622AC7">
        <w:tc>
          <w:tcPr>
            <w:tcW w:w="609" w:type="pct"/>
            <w:vMerge w:val="restart"/>
            <w:vAlign w:val="center"/>
          </w:tcPr>
          <w:p w14:paraId="0B1AAAC6" w14:textId="77777777" w:rsidR="00656367" w:rsidRPr="008903D1" w:rsidRDefault="00656367" w:rsidP="00622AC7">
            <w:pPr>
              <w:spacing w:line="240" w:lineRule="auto"/>
              <w:jc w:val="center"/>
              <w:rPr>
                <w:rFonts w:cs="Times New Roman"/>
                <w:color w:val="000000"/>
              </w:rPr>
            </w:pPr>
            <w:r w:rsidRPr="008903D1">
              <w:rPr>
                <w:rFonts w:cs="Times New Roman"/>
                <w:color w:val="000000"/>
              </w:rPr>
              <w:t>China</w:t>
            </w:r>
          </w:p>
        </w:tc>
        <w:tc>
          <w:tcPr>
            <w:tcW w:w="533" w:type="pct"/>
            <w:vMerge w:val="restart"/>
            <w:vAlign w:val="center"/>
          </w:tcPr>
          <w:p w14:paraId="1916132C" w14:textId="77777777" w:rsidR="00656367" w:rsidRPr="008903D1" w:rsidRDefault="00656367" w:rsidP="00622AC7">
            <w:pPr>
              <w:spacing w:line="240" w:lineRule="auto"/>
              <w:jc w:val="center"/>
              <w:rPr>
                <w:rFonts w:cs="Times New Roman"/>
                <w:color w:val="000000"/>
              </w:rPr>
            </w:pPr>
            <w:r w:rsidRPr="008903D1">
              <w:rPr>
                <w:rFonts w:cs="Times New Roman"/>
                <w:color w:val="000000"/>
              </w:rPr>
              <w:t>Case 3</w:t>
            </w:r>
          </w:p>
        </w:tc>
        <w:tc>
          <w:tcPr>
            <w:tcW w:w="851" w:type="pct"/>
            <w:vAlign w:val="center"/>
          </w:tcPr>
          <w:p w14:paraId="7EEA3D06" w14:textId="77777777" w:rsidR="00656367" w:rsidRPr="008903D1" w:rsidRDefault="00656367" w:rsidP="00622AC7">
            <w:pPr>
              <w:spacing w:line="240" w:lineRule="auto"/>
              <w:rPr>
                <w:rFonts w:cs="Times New Roman"/>
                <w:color w:val="000000"/>
              </w:rPr>
            </w:pPr>
            <w:r w:rsidRPr="008903D1">
              <w:rPr>
                <w:rFonts w:cs="Times New Roman"/>
                <w:color w:val="000000"/>
              </w:rPr>
              <w:t>Medical (UE)</w:t>
            </w:r>
          </w:p>
        </w:tc>
        <w:tc>
          <w:tcPr>
            <w:tcW w:w="953" w:type="pct"/>
            <w:vAlign w:val="center"/>
          </w:tcPr>
          <w:p w14:paraId="7B33F84D" w14:textId="77777777" w:rsidR="00656367" w:rsidRPr="008903D1" w:rsidRDefault="00656367" w:rsidP="00622AC7">
            <w:pPr>
              <w:spacing w:line="240" w:lineRule="auto"/>
              <w:rPr>
                <w:rFonts w:cs="Times New Roman"/>
                <w:color w:val="000000"/>
              </w:rPr>
            </w:pPr>
            <w:r w:rsidRPr="008903D1">
              <w:rPr>
                <w:rFonts w:cs="Times New Roman"/>
                <w:color w:val="000000"/>
              </w:rPr>
              <w:t>Funding provider,</w:t>
            </w:r>
          </w:p>
          <w:p w14:paraId="13C99C2F" w14:textId="77777777" w:rsidR="00656367" w:rsidRPr="008903D1" w:rsidRDefault="00656367" w:rsidP="00622AC7">
            <w:pPr>
              <w:spacing w:line="240" w:lineRule="auto"/>
              <w:rPr>
                <w:rFonts w:cs="Times New Roman"/>
                <w:color w:val="000000"/>
              </w:rPr>
            </w:pPr>
            <w:r w:rsidRPr="008903D1">
              <w:rPr>
                <w:rFonts w:cs="Times New Roman"/>
                <w:color w:val="000000"/>
              </w:rPr>
              <w:t>project manager,</w:t>
            </w:r>
          </w:p>
          <w:p w14:paraId="38797471" w14:textId="77777777" w:rsidR="00656367" w:rsidRPr="008903D1" w:rsidRDefault="00656367" w:rsidP="00622AC7">
            <w:pPr>
              <w:spacing w:line="240" w:lineRule="auto"/>
              <w:rPr>
                <w:rFonts w:cs="Times New Roman"/>
                <w:color w:val="000000"/>
              </w:rPr>
            </w:pPr>
            <w:r w:rsidRPr="008903D1">
              <w:rPr>
                <w:rFonts w:cs="Times New Roman"/>
                <w:color w:val="000000"/>
              </w:rPr>
              <w:t>facility inspection</w:t>
            </w:r>
          </w:p>
        </w:tc>
        <w:tc>
          <w:tcPr>
            <w:tcW w:w="2053" w:type="pct"/>
          </w:tcPr>
          <w:p w14:paraId="2674E3D3"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Improving operating efficiency of the facility</w:t>
            </w:r>
          </w:p>
          <w:p w14:paraId="6D54E825"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Keeping costs at an acceptable level</w:t>
            </w:r>
          </w:p>
          <w:p w14:paraId="6D5AD31E"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 xml:space="preserve">Maintaining customer satisfaction </w:t>
            </w:r>
          </w:p>
          <w:p w14:paraId="50621385"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Preventing emergencies in the facility</w:t>
            </w:r>
          </w:p>
          <w:p w14:paraId="5D93A543"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Staff training</w:t>
            </w:r>
          </w:p>
        </w:tc>
      </w:tr>
      <w:tr w:rsidR="00656367" w:rsidRPr="008903D1" w14:paraId="5C36BFAA" w14:textId="77777777" w:rsidTr="00622AC7">
        <w:tc>
          <w:tcPr>
            <w:tcW w:w="609" w:type="pct"/>
            <w:vMerge/>
            <w:vAlign w:val="center"/>
          </w:tcPr>
          <w:p w14:paraId="71A301B6" w14:textId="77777777" w:rsidR="00656367" w:rsidRPr="008903D1" w:rsidRDefault="00656367" w:rsidP="00622AC7">
            <w:pPr>
              <w:spacing w:line="240" w:lineRule="auto"/>
              <w:jc w:val="center"/>
              <w:rPr>
                <w:rFonts w:cs="Times New Roman"/>
                <w:color w:val="000000"/>
              </w:rPr>
            </w:pPr>
          </w:p>
        </w:tc>
        <w:tc>
          <w:tcPr>
            <w:tcW w:w="533" w:type="pct"/>
            <w:vMerge/>
            <w:vAlign w:val="center"/>
          </w:tcPr>
          <w:p w14:paraId="15858C9E" w14:textId="77777777" w:rsidR="00656367" w:rsidRPr="008903D1" w:rsidRDefault="00656367" w:rsidP="00622AC7">
            <w:pPr>
              <w:spacing w:line="240" w:lineRule="auto"/>
              <w:jc w:val="center"/>
              <w:rPr>
                <w:rFonts w:cs="Times New Roman"/>
                <w:color w:val="000000"/>
              </w:rPr>
            </w:pPr>
          </w:p>
        </w:tc>
        <w:tc>
          <w:tcPr>
            <w:tcW w:w="851" w:type="pct"/>
            <w:vAlign w:val="center"/>
          </w:tcPr>
          <w:p w14:paraId="3F7059A6" w14:textId="77777777" w:rsidR="00656367" w:rsidRPr="008903D1" w:rsidRDefault="00656367" w:rsidP="00622AC7">
            <w:pPr>
              <w:spacing w:line="240" w:lineRule="auto"/>
              <w:rPr>
                <w:rFonts w:cs="Times New Roman"/>
                <w:color w:val="000000"/>
              </w:rPr>
            </w:pPr>
            <w:r w:rsidRPr="008903D1">
              <w:rPr>
                <w:rFonts w:cs="Times New Roman"/>
                <w:color w:val="000000"/>
              </w:rPr>
              <w:t>Medical (HWD)</w:t>
            </w:r>
          </w:p>
        </w:tc>
        <w:tc>
          <w:tcPr>
            <w:tcW w:w="953" w:type="pct"/>
            <w:vAlign w:val="center"/>
          </w:tcPr>
          <w:p w14:paraId="542BFD63" w14:textId="77777777" w:rsidR="00656367" w:rsidRPr="008903D1" w:rsidRDefault="00656367" w:rsidP="00622AC7">
            <w:pPr>
              <w:spacing w:line="240" w:lineRule="auto"/>
              <w:rPr>
                <w:rFonts w:cs="Times New Roman"/>
                <w:color w:val="000000"/>
              </w:rPr>
            </w:pPr>
            <w:r w:rsidRPr="008903D1">
              <w:rPr>
                <w:rFonts w:cs="Times New Roman"/>
                <w:color w:val="000000"/>
              </w:rPr>
              <w:t>Inventory manager,</w:t>
            </w:r>
          </w:p>
          <w:p w14:paraId="36A48EC4" w14:textId="77777777" w:rsidR="00656367" w:rsidRPr="008903D1" w:rsidRDefault="00656367" w:rsidP="00622AC7">
            <w:pPr>
              <w:spacing w:line="240" w:lineRule="auto"/>
              <w:rPr>
                <w:rFonts w:cs="Times New Roman"/>
                <w:color w:val="000000"/>
              </w:rPr>
            </w:pPr>
            <w:r w:rsidRPr="008903D1">
              <w:rPr>
                <w:rFonts w:cs="Times New Roman"/>
                <w:color w:val="000000"/>
              </w:rPr>
              <w:t>warehouse operator</w:t>
            </w:r>
          </w:p>
        </w:tc>
        <w:tc>
          <w:tcPr>
            <w:tcW w:w="2053" w:type="pct"/>
          </w:tcPr>
          <w:p w14:paraId="6205B9D6"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Maintaining good relationships with customers</w:t>
            </w:r>
          </w:p>
          <w:p w14:paraId="10B72F45"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Keeping warehouses efficient</w:t>
            </w:r>
          </w:p>
          <w:p w14:paraId="5E9D2C74"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Improving communication channels with customers</w:t>
            </w:r>
          </w:p>
          <w:p w14:paraId="4EBF356E"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Solving software issues without delay</w:t>
            </w:r>
          </w:p>
          <w:p w14:paraId="1871AE41"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 xml:space="preserve">Lowering rates of goods damage </w:t>
            </w:r>
          </w:p>
        </w:tc>
      </w:tr>
      <w:tr w:rsidR="00656367" w:rsidRPr="008903D1" w14:paraId="786CA940" w14:textId="77777777" w:rsidTr="00622AC7">
        <w:tc>
          <w:tcPr>
            <w:tcW w:w="609" w:type="pct"/>
            <w:vMerge/>
            <w:vAlign w:val="center"/>
          </w:tcPr>
          <w:p w14:paraId="3B63C49C" w14:textId="77777777" w:rsidR="00656367" w:rsidRPr="008903D1" w:rsidRDefault="00656367" w:rsidP="00622AC7">
            <w:pPr>
              <w:spacing w:line="240" w:lineRule="auto"/>
              <w:jc w:val="center"/>
              <w:rPr>
                <w:rFonts w:cs="Times New Roman"/>
                <w:color w:val="000000"/>
              </w:rPr>
            </w:pPr>
          </w:p>
        </w:tc>
        <w:tc>
          <w:tcPr>
            <w:tcW w:w="533" w:type="pct"/>
            <w:vMerge/>
            <w:vAlign w:val="center"/>
          </w:tcPr>
          <w:p w14:paraId="7D7A6511" w14:textId="77777777" w:rsidR="00656367" w:rsidRPr="008903D1" w:rsidRDefault="00656367" w:rsidP="00622AC7">
            <w:pPr>
              <w:spacing w:line="240" w:lineRule="auto"/>
              <w:jc w:val="center"/>
              <w:rPr>
                <w:rFonts w:cs="Times New Roman"/>
                <w:color w:val="000000"/>
              </w:rPr>
            </w:pPr>
          </w:p>
        </w:tc>
        <w:tc>
          <w:tcPr>
            <w:tcW w:w="851" w:type="pct"/>
            <w:vAlign w:val="center"/>
          </w:tcPr>
          <w:p w14:paraId="5B84398E" w14:textId="77777777" w:rsidR="00656367" w:rsidRPr="008903D1" w:rsidRDefault="00656367" w:rsidP="00622AC7">
            <w:pPr>
              <w:spacing w:line="240" w:lineRule="auto"/>
              <w:rPr>
                <w:rFonts w:cs="Times New Roman"/>
                <w:color w:val="000000"/>
              </w:rPr>
            </w:pPr>
            <w:r w:rsidRPr="008903D1">
              <w:rPr>
                <w:rFonts w:cs="Times New Roman"/>
                <w:color w:val="000000"/>
              </w:rPr>
              <w:t>Medical (HDD)</w:t>
            </w:r>
          </w:p>
        </w:tc>
        <w:tc>
          <w:tcPr>
            <w:tcW w:w="953" w:type="pct"/>
            <w:vAlign w:val="center"/>
          </w:tcPr>
          <w:p w14:paraId="7AA0EA81" w14:textId="77777777" w:rsidR="00656367" w:rsidRPr="008903D1" w:rsidRDefault="00656367" w:rsidP="00622AC7">
            <w:pPr>
              <w:spacing w:line="240" w:lineRule="auto"/>
              <w:rPr>
                <w:rFonts w:cs="Times New Roman"/>
                <w:color w:val="000000"/>
              </w:rPr>
            </w:pPr>
            <w:r w:rsidRPr="008903D1">
              <w:rPr>
                <w:rFonts w:cs="Times New Roman"/>
                <w:color w:val="000000"/>
              </w:rPr>
              <w:t>City delivery,</w:t>
            </w:r>
          </w:p>
          <w:p w14:paraId="0A51429D" w14:textId="77777777" w:rsidR="00656367" w:rsidRPr="008903D1" w:rsidRDefault="00656367" w:rsidP="00622AC7">
            <w:pPr>
              <w:spacing w:line="240" w:lineRule="auto"/>
              <w:rPr>
                <w:rFonts w:cs="Times New Roman"/>
                <w:color w:val="000000"/>
              </w:rPr>
            </w:pPr>
            <w:r w:rsidRPr="008903D1">
              <w:rPr>
                <w:rFonts w:cs="Times New Roman"/>
                <w:color w:val="000000"/>
              </w:rPr>
              <w:t>3PL &amp; outsourcing manager</w:t>
            </w:r>
          </w:p>
        </w:tc>
        <w:tc>
          <w:tcPr>
            <w:tcW w:w="2053" w:type="pct"/>
          </w:tcPr>
          <w:p w14:paraId="6A753C4D"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Improving goods loading efficiency</w:t>
            </w:r>
          </w:p>
          <w:p w14:paraId="2E9749D0"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Solving workers’ overtime utilisation</w:t>
            </w:r>
          </w:p>
          <w:p w14:paraId="7CF7835B"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 xml:space="preserve">Guaranteeing 100% on-time delivery </w:t>
            </w:r>
          </w:p>
          <w:p w14:paraId="3E772F3F"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Reducing cash payments for outsourcing</w:t>
            </w:r>
          </w:p>
          <w:p w14:paraId="7D5C6105"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 xml:space="preserve">Lowering rates of goods damage </w:t>
            </w:r>
          </w:p>
          <w:p w14:paraId="5C02F48D"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 xml:space="preserve">Maintaining customer satisfaction </w:t>
            </w:r>
          </w:p>
        </w:tc>
      </w:tr>
      <w:tr w:rsidR="00656367" w:rsidRPr="008903D1" w14:paraId="245AF578" w14:textId="77777777" w:rsidTr="00622AC7">
        <w:tc>
          <w:tcPr>
            <w:tcW w:w="609" w:type="pct"/>
            <w:vMerge/>
            <w:vAlign w:val="center"/>
          </w:tcPr>
          <w:p w14:paraId="7BA5E8E5" w14:textId="77777777" w:rsidR="00656367" w:rsidRPr="008903D1" w:rsidRDefault="00656367" w:rsidP="00622AC7">
            <w:pPr>
              <w:spacing w:line="240" w:lineRule="auto"/>
              <w:jc w:val="center"/>
              <w:rPr>
                <w:rFonts w:cs="Times New Roman"/>
                <w:color w:val="000000"/>
              </w:rPr>
            </w:pPr>
          </w:p>
        </w:tc>
        <w:tc>
          <w:tcPr>
            <w:tcW w:w="533" w:type="pct"/>
            <w:vMerge w:val="restart"/>
            <w:vAlign w:val="center"/>
          </w:tcPr>
          <w:p w14:paraId="26E481B8" w14:textId="77777777" w:rsidR="00656367" w:rsidRPr="008903D1" w:rsidRDefault="00656367" w:rsidP="00622AC7">
            <w:pPr>
              <w:spacing w:line="240" w:lineRule="auto"/>
              <w:jc w:val="center"/>
              <w:rPr>
                <w:rFonts w:cs="Times New Roman"/>
                <w:color w:val="000000"/>
              </w:rPr>
            </w:pPr>
            <w:r w:rsidRPr="008903D1">
              <w:rPr>
                <w:rFonts w:cs="Times New Roman"/>
                <w:color w:val="000000"/>
              </w:rPr>
              <w:t>Case 4</w:t>
            </w:r>
          </w:p>
        </w:tc>
        <w:tc>
          <w:tcPr>
            <w:tcW w:w="851" w:type="pct"/>
            <w:vAlign w:val="center"/>
          </w:tcPr>
          <w:p w14:paraId="2751324F" w14:textId="77777777" w:rsidR="00656367" w:rsidRPr="008903D1" w:rsidRDefault="00656367" w:rsidP="00622AC7">
            <w:pPr>
              <w:spacing w:line="240" w:lineRule="auto"/>
              <w:rPr>
                <w:rFonts w:cs="Times New Roman"/>
                <w:color w:val="000000"/>
              </w:rPr>
            </w:pPr>
            <w:r w:rsidRPr="008903D1">
              <w:rPr>
                <w:rFonts w:cs="Times New Roman"/>
                <w:color w:val="000000"/>
              </w:rPr>
              <w:t>City freight company (CR)</w:t>
            </w:r>
          </w:p>
        </w:tc>
        <w:tc>
          <w:tcPr>
            <w:tcW w:w="953" w:type="pct"/>
            <w:vAlign w:val="center"/>
          </w:tcPr>
          <w:p w14:paraId="7103B898" w14:textId="77777777" w:rsidR="00656367" w:rsidRPr="008903D1" w:rsidRDefault="00656367" w:rsidP="00622AC7">
            <w:pPr>
              <w:spacing w:line="240" w:lineRule="auto"/>
              <w:rPr>
                <w:rFonts w:cs="Times New Roman"/>
                <w:color w:val="000000"/>
              </w:rPr>
            </w:pPr>
            <w:r w:rsidRPr="008903D1">
              <w:rPr>
                <w:rFonts w:cs="Times New Roman"/>
                <w:color w:val="000000"/>
              </w:rPr>
              <w:t>Funding provider,</w:t>
            </w:r>
          </w:p>
          <w:p w14:paraId="36CD8C64" w14:textId="77777777" w:rsidR="00656367" w:rsidRPr="008903D1" w:rsidRDefault="00656367" w:rsidP="00622AC7">
            <w:pPr>
              <w:spacing w:line="240" w:lineRule="auto"/>
              <w:rPr>
                <w:rFonts w:cs="Times New Roman"/>
                <w:color w:val="000000"/>
              </w:rPr>
            </w:pPr>
            <w:r w:rsidRPr="008903D1">
              <w:rPr>
                <w:rFonts w:cs="Times New Roman"/>
                <w:color w:val="000000"/>
              </w:rPr>
              <w:t>strategic planning,</w:t>
            </w:r>
          </w:p>
          <w:p w14:paraId="068FA4D5" w14:textId="77777777" w:rsidR="00656367" w:rsidRPr="008903D1" w:rsidRDefault="00656367" w:rsidP="00622AC7">
            <w:pPr>
              <w:spacing w:line="240" w:lineRule="auto"/>
              <w:rPr>
                <w:rFonts w:cs="Times New Roman"/>
                <w:color w:val="000000"/>
              </w:rPr>
            </w:pPr>
            <w:r w:rsidRPr="008903D1">
              <w:rPr>
                <w:rFonts w:cs="Times New Roman"/>
                <w:color w:val="000000"/>
              </w:rPr>
              <w:lastRenderedPageBreak/>
              <w:t>inspection</w:t>
            </w:r>
          </w:p>
        </w:tc>
        <w:tc>
          <w:tcPr>
            <w:tcW w:w="2053" w:type="pct"/>
          </w:tcPr>
          <w:p w14:paraId="4FB34450"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lastRenderedPageBreak/>
              <w:t>Increasing annual profits</w:t>
            </w:r>
          </w:p>
          <w:p w14:paraId="2B508F19"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Reducing expenses</w:t>
            </w:r>
          </w:p>
          <w:p w14:paraId="4C8E8A59"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Promoting the company’s social reputation</w:t>
            </w:r>
          </w:p>
          <w:p w14:paraId="135E5120"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lastRenderedPageBreak/>
              <w:t>Promoting the company’s development</w:t>
            </w:r>
          </w:p>
        </w:tc>
      </w:tr>
      <w:tr w:rsidR="00656367" w:rsidRPr="008903D1" w14:paraId="1A779AE4" w14:textId="77777777" w:rsidTr="00622AC7">
        <w:tc>
          <w:tcPr>
            <w:tcW w:w="609" w:type="pct"/>
            <w:vMerge/>
            <w:vAlign w:val="center"/>
          </w:tcPr>
          <w:p w14:paraId="5087C2F3" w14:textId="77777777" w:rsidR="00656367" w:rsidRPr="008903D1" w:rsidRDefault="00656367" w:rsidP="00622AC7">
            <w:pPr>
              <w:spacing w:line="240" w:lineRule="auto"/>
              <w:jc w:val="center"/>
              <w:rPr>
                <w:rFonts w:cs="Times New Roman"/>
                <w:color w:val="000000"/>
              </w:rPr>
            </w:pPr>
          </w:p>
        </w:tc>
        <w:tc>
          <w:tcPr>
            <w:tcW w:w="533" w:type="pct"/>
            <w:vMerge/>
            <w:vAlign w:val="center"/>
          </w:tcPr>
          <w:p w14:paraId="034ED3A0" w14:textId="77777777" w:rsidR="00656367" w:rsidRPr="008903D1" w:rsidRDefault="00656367" w:rsidP="00622AC7">
            <w:pPr>
              <w:spacing w:line="240" w:lineRule="auto"/>
              <w:jc w:val="center"/>
              <w:rPr>
                <w:rFonts w:cs="Times New Roman"/>
                <w:color w:val="000000"/>
              </w:rPr>
            </w:pPr>
          </w:p>
        </w:tc>
        <w:tc>
          <w:tcPr>
            <w:tcW w:w="851" w:type="pct"/>
            <w:vAlign w:val="center"/>
          </w:tcPr>
          <w:p w14:paraId="02195175" w14:textId="77777777" w:rsidR="00656367" w:rsidRPr="008903D1" w:rsidRDefault="00656367" w:rsidP="00622AC7">
            <w:pPr>
              <w:spacing w:line="240" w:lineRule="auto"/>
              <w:rPr>
                <w:rFonts w:cs="Times New Roman"/>
                <w:color w:val="000000"/>
              </w:rPr>
            </w:pPr>
            <w:r w:rsidRPr="008903D1">
              <w:rPr>
                <w:rFonts w:cs="Times New Roman"/>
                <w:color w:val="000000"/>
              </w:rPr>
              <w:t>CASE 4 (PM)</w:t>
            </w:r>
          </w:p>
        </w:tc>
        <w:tc>
          <w:tcPr>
            <w:tcW w:w="953" w:type="pct"/>
            <w:vAlign w:val="center"/>
          </w:tcPr>
          <w:p w14:paraId="2056AF0E" w14:textId="77777777" w:rsidR="00656367" w:rsidRPr="008903D1" w:rsidRDefault="00656367" w:rsidP="00622AC7">
            <w:pPr>
              <w:spacing w:line="240" w:lineRule="auto"/>
              <w:rPr>
                <w:rFonts w:cs="Times New Roman"/>
                <w:color w:val="000000"/>
              </w:rPr>
            </w:pPr>
            <w:r w:rsidRPr="008903D1">
              <w:rPr>
                <w:rFonts w:cs="Times New Roman"/>
                <w:color w:val="000000"/>
              </w:rPr>
              <w:t>Project manager</w:t>
            </w:r>
          </w:p>
        </w:tc>
        <w:tc>
          <w:tcPr>
            <w:tcW w:w="2053" w:type="pct"/>
          </w:tcPr>
          <w:p w14:paraId="38866361"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Guaranteeing facility operation efficiency</w:t>
            </w:r>
          </w:p>
          <w:p w14:paraId="169F5463"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Preventing operations risks (e.g., safety, goods damage)</w:t>
            </w:r>
          </w:p>
          <w:p w14:paraId="79750CC3"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Ensuring research development</w:t>
            </w:r>
          </w:p>
        </w:tc>
      </w:tr>
      <w:tr w:rsidR="00656367" w:rsidRPr="008903D1" w14:paraId="774C5BA4" w14:textId="77777777" w:rsidTr="00622AC7">
        <w:trPr>
          <w:trHeight w:val="369"/>
        </w:trPr>
        <w:tc>
          <w:tcPr>
            <w:tcW w:w="609" w:type="pct"/>
            <w:vMerge/>
            <w:vAlign w:val="center"/>
          </w:tcPr>
          <w:p w14:paraId="797DCEA7" w14:textId="77777777" w:rsidR="00656367" w:rsidRPr="008903D1" w:rsidRDefault="00656367" w:rsidP="00622AC7">
            <w:pPr>
              <w:spacing w:line="240" w:lineRule="auto"/>
              <w:jc w:val="center"/>
              <w:rPr>
                <w:rFonts w:cs="Times New Roman"/>
                <w:color w:val="000000"/>
              </w:rPr>
            </w:pPr>
          </w:p>
        </w:tc>
        <w:tc>
          <w:tcPr>
            <w:tcW w:w="533" w:type="pct"/>
            <w:vMerge/>
            <w:vAlign w:val="center"/>
          </w:tcPr>
          <w:p w14:paraId="6A6DD4DA" w14:textId="77777777" w:rsidR="00656367" w:rsidRPr="008903D1" w:rsidRDefault="00656367" w:rsidP="00622AC7">
            <w:pPr>
              <w:spacing w:line="240" w:lineRule="auto"/>
              <w:jc w:val="center"/>
              <w:rPr>
                <w:rFonts w:cs="Times New Roman"/>
                <w:color w:val="000000"/>
              </w:rPr>
            </w:pPr>
          </w:p>
        </w:tc>
        <w:tc>
          <w:tcPr>
            <w:tcW w:w="851" w:type="pct"/>
            <w:vAlign w:val="center"/>
          </w:tcPr>
          <w:p w14:paraId="128B9686" w14:textId="77777777" w:rsidR="00656367" w:rsidRPr="008903D1" w:rsidRDefault="00656367" w:rsidP="00622AC7">
            <w:pPr>
              <w:spacing w:line="240" w:lineRule="auto"/>
              <w:rPr>
                <w:rFonts w:cs="Times New Roman"/>
                <w:color w:val="000000"/>
              </w:rPr>
            </w:pPr>
            <w:r w:rsidRPr="008903D1">
              <w:rPr>
                <w:rFonts w:cs="Times New Roman"/>
                <w:color w:val="000000"/>
              </w:rPr>
              <w:t>University (WHUT)</w:t>
            </w:r>
          </w:p>
        </w:tc>
        <w:tc>
          <w:tcPr>
            <w:tcW w:w="953" w:type="pct"/>
            <w:vAlign w:val="center"/>
          </w:tcPr>
          <w:p w14:paraId="101A58AA" w14:textId="77777777" w:rsidR="00656367" w:rsidRPr="008903D1" w:rsidRDefault="00656367" w:rsidP="00622AC7">
            <w:pPr>
              <w:spacing w:line="240" w:lineRule="auto"/>
              <w:rPr>
                <w:rFonts w:cs="Times New Roman"/>
                <w:color w:val="000000"/>
              </w:rPr>
            </w:pPr>
            <w:r w:rsidRPr="008903D1">
              <w:rPr>
                <w:rFonts w:cs="Times New Roman"/>
                <w:color w:val="000000"/>
              </w:rPr>
              <w:t>Project upgrading,</w:t>
            </w:r>
          </w:p>
          <w:p w14:paraId="5DC83E42" w14:textId="77777777" w:rsidR="00656367" w:rsidRPr="008903D1" w:rsidRDefault="00656367" w:rsidP="00622AC7">
            <w:pPr>
              <w:spacing w:line="240" w:lineRule="auto"/>
              <w:rPr>
                <w:rFonts w:cs="Times New Roman"/>
                <w:color w:val="000000"/>
              </w:rPr>
            </w:pPr>
            <w:r w:rsidRPr="008903D1">
              <w:rPr>
                <w:rFonts w:cs="Times New Roman"/>
                <w:color w:val="000000"/>
              </w:rPr>
              <w:t>research development</w:t>
            </w:r>
          </w:p>
        </w:tc>
        <w:tc>
          <w:tcPr>
            <w:tcW w:w="2053" w:type="pct"/>
          </w:tcPr>
          <w:p w14:paraId="66095546"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Travel mile reduction</w:t>
            </w:r>
          </w:p>
          <w:p w14:paraId="0F193C78"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Reducing travel time</w:t>
            </w:r>
          </w:p>
          <w:p w14:paraId="5631797F"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Reducing fossil-fuel consumption</w:t>
            </w:r>
          </w:p>
          <w:p w14:paraId="430ED5ED"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Alleviating traffic congestion</w:t>
            </w:r>
          </w:p>
          <w:p w14:paraId="2B31C84E"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Creating innovative technology</w:t>
            </w:r>
          </w:p>
          <w:p w14:paraId="2FDE1EB2" w14:textId="77777777" w:rsidR="00656367" w:rsidRPr="008903D1" w:rsidRDefault="00656367" w:rsidP="00A323CC">
            <w:pPr>
              <w:numPr>
                <w:ilvl w:val="0"/>
                <w:numId w:val="27"/>
              </w:numPr>
              <w:spacing w:line="240" w:lineRule="auto"/>
              <w:ind w:left="360"/>
              <w:jc w:val="left"/>
              <w:rPr>
                <w:rFonts w:cs="Times New Roman"/>
                <w:color w:val="000000"/>
              </w:rPr>
            </w:pPr>
            <w:r w:rsidRPr="008903D1">
              <w:rPr>
                <w:rFonts w:cs="Times New Roman"/>
                <w:color w:val="000000"/>
              </w:rPr>
              <w:t>Evaluating performance of the equipment</w:t>
            </w:r>
          </w:p>
        </w:tc>
      </w:tr>
    </w:tbl>
    <w:p w14:paraId="7A4CE9D5" w14:textId="6290C46C" w:rsidR="00656367" w:rsidRPr="007F6877" w:rsidRDefault="007B5959" w:rsidP="007F6877">
      <w:pPr>
        <w:pStyle w:val="Caption"/>
        <w:spacing w:line="360" w:lineRule="auto"/>
        <w:rPr>
          <w:rFonts w:cs="Times New Roman"/>
        </w:rPr>
      </w:pPr>
      <w:bookmarkStart w:id="761" w:name="_Ref45895395"/>
      <w:bookmarkStart w:id="762" w:name="_Toc46053570"/>
      <w:bookmarkStart w:id="763" w:name="_Toc46093819"/>
      <w:bookmarkStart w:id="764" w:name="_Toc66698786"/>
      <w:r>
        <w:rPr>
          <w:rFonts w:cs="Times New Roman"/>
        </w:rPr>
        <w:t>Table</w:t>
      </w:r>
      <w:r w:rsidR="00656367"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5</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4</w:t>
      </w:r>
      <w:r w:rsidR="00FE10DA">
        <w:rPr>
          <w:rFonts w:cs="Times New Roman"/>
        </w:rPr>
        <w:fldChar w:fldCharType="end"/>
      </w:r>
      <w:bookmarkEnd w:id="761"/>
      <w:r w:rsidR="00AF217C">
        <w:rPr>
          <w:rFonts w:cs="Times New Roman"/>
          <w:noProof/>
        </w:rPr>
        <w:t>:</w:t>
      </w:r>
      <w:r w:rsidR="00656367" w:rsidRPr="00737239">
        <w:rPr>
          <w:rFonts w:cs="Times New Roman"/>
        </w:rPr>
        <w:t xml:space="preserve"> Primary stakeholders based on Browne’s classification of the urban consolidation centre (UCC)</w:t>
      </w:r>
      <w:bookmarkEnd w:id="762"/>
      <w:bookmarkEnd w:id="763"/>
      <w:bookmarkEnd w:id="764"/>
    </w:p>
    <w:tbl>
      <w:tblPr>
        <w:tblStyle w:val="TableGrid1"/>
        <w:tblW w:w="5000" w:type="pct"/>
        <w:jc w:val="center"/>
        <w:tblLook w:val="04A0" w:firstRow="1" w:lastRow="0" w:firstColumn="1" w:lastColumn="0" w:noHBand="0" w:noVBand="1"/>
      </w:tblPr>
      <w:tblGrid>
        <w:gridCol w:w="1615"/>
        <w:gridCol w:w="3484"/>
        <w:gridCol w:w="3917"/>
      </w:tblGrid>
      <w:tr w:rsidR="00656367" w:rsidRPr="008903D1" w14:paraId="6EDE4554" w14:textId="77777777" w:rsidTr="00622AC7">
        <w:trPr>
          <w:trHeight w:val="285"/>
          <w:jc w:val="center"/>
        </w:trPr>
        <w:tc>
          <w:tcPr>
            <w:tcW w:w="896" w:type="pct"/>
            <w:noWrap/>
            <w:hideMark/>
          </w:tcPr>
          <w:p w14:paraId="73B3845D" w14:textId="77777777" w:rsidR="00656367" w:rsidRPr="008903D1" w:rsidRDefault="00656367" w:rsidP="00622AC7">
            <w:pPr>
              <w:spacing w:line="240" w:lineRule="auto"/>
              <w:jc w:val="center"/>
              <w:rPr>
                <w:rFonts w:eastAsia="等线" w:cs="Times New Roman"/>
                <w:b/>
                <w:color w:val="000000"/>
                <w:sz w:val="22"/>
              </w:rPr>
            </w:pPr>
            <w:r w:rsidRPr="008903D1">
              <w:rPr>
                <w:rFonts w:eastAsia="等线" w:cs="Times New Roman"/>
                <w:b/>
                <w:color w:val="000000"/>
                <w:sz w:val="22"/>
              </w:rPr>
              <w:t>UCC cases</w:t>
            </w:r>
          </w:p>
        </w:tc>
        <w:tc>
          <w:tcPr>
            <w:tcW w:w="1932" w:type="pct"/>
            <w:noWrap/>
            <w:hideMark/>
          </w:tcPr>
          <w:p w14:paraId="48E9EAE1" w14:textId="77777777" w:rsidR="00656367" w:rsidRPr="008903D1" w:rsidRDefault="00656367" w:rsidP="00622AC7">
            <w:pPr>
              <w:spacing w:line="240" w:lineRule="auto"/>
              <w:jc w:val="center"/>
              <w:rPr>
                <w:rFonts w:eastAsia="等线" w:cs="Times New Roman"/>
                <w:b/>
                <w:color w:val="000000"/>
                <w:sz w:val="22"/>
              </w:rPr>
            </w:pPr>
            <w:r w:rsidRPr="008903D1">
              <w:rPr>
                <w:rFonts w:eastAsia="等线" w:cs="Times New Roman"/>
                <w:b/>
                <w:color w:val="000000"/>
                <w:sz w:val="22"/>
              </w:rPr>
              <w:t>Secondary stakeholders</w:t>
            </w:r>
          </w:p>
        </w:tc>
        <w:tc>
          <w:tcPr>
            <w:tcW w:w="2173" w:type="pct"/>
            <w:noWrap/>
            <w:hideMark/>
          </w:tcPr>
          <w:p w14:paraId="50E4A6C2" w14:textId="77777777" w:rsidR="00656367" w:rsidRPr="008903D1" w:rsidRDefault="00656367" w:rsidP="00622AC7">
            <w:pPr>
              <w:spacing w:line="240" w:lineRule="auto"/>
              <w:jc w:val="center"/>
              <w:rPr>
                <w:rFonts w:eastAsia="等线" w:cs="Times New Roman"/>
                <w:b/>
                <w:color w:val="000000"/>
                <w:sz w:val="22"/>
              </w:rPr>
            </w:pPr>
            <w:r w:rsidRPr="008903D1">
              <w:rPr>
                <w:rFonts w:eastAsia="等线" w:cs="Times New Roman"/>
                <w:b/>
                <w:color w:val="000000"/>
                <w:sz w:val="22"/>
              </w:rPr>
              <w:t>Details of members</w:t>
            </w:r>
          </w:p>
        </w:tc>
      </w:tr>
      <w:tr w:rsidR="00656367" w:rsidRPr="008903D1" w14:paraId="547A96F5" w14:textId="77777777" w:rsidTr="00622AC7">
        <w:trPr>
          <w:trHeight w:val="285"/>
          <w:jc w:val="center"/>
        </w:trPr>
        <w:tc>
          <w:tcPr>
            <w:tcW w:w="896" w:type="pct"/>
            <w:vAlign w:val="center"/>
          </w:tcPr>
          <w:p w14:paraId="60169416"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Case 1</w:t>
            </w:r>
          </w:p>
        </w:tc>
        <w:tc>
          <w:tcPr>
            <w:tcW w:w="1932" w:type="pct"/>
            <w:noWrap/>
            <w:vAlign w:val="center"/>
          </w:tcPr>
          <w:p w14:paraId="5D3BF179"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Real estate</w:t>
            </w:r>
          </w:p>
        </w:tc>
        <w:tc>
          <w:tcPr>
            <w:tcW w:w="2173" w:type="pct"/>
          </w:tcPr>
          <w:p w14:paraId="5FAB94DC"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Facility providers</w:t>
            </w:r>
          </w:p>
        </w:tc>
      </w:tr>
      <w:tr w:rsidR="00656367" w:rsidRPr="008903D1" w14:paraId="369A5DAC" w14:textId="77777777" w:rsidTr="00622AC7">
        <w:trPr>
          <w:trHeight w:val="285"/>
          <w:jc w:val="center"/>
        </w:trPr>
        <w:tc>
          <w:tcPr>
            <w:tcW w:w="896" w:type="pct"/>
            <w:noWrap/>
            <w:vAlign w:val="center"/>
            <w:hideMark/>
          </w:tcPr>
          <w:p w14:paraId="7DFE2970"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Case 2</w:t>
            </w:r>
          </w:p>
        </w:tc>
        <w:tc>
          <w:tcPr>
            <w:tcW w:w="1932" w:type="pct"/>
            <w:noWrap/>
            <w:vAlign w:val="center"/>
            <w:hideMark/>
          </w:tcPr>
          <w:p w14:paraId="1A88B83C"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Construction company</w:t>
            </w:r>
          </w:p>
        </w:tc>
        <w:tc>
          <w:tcPr>
            <w:tcW w:w="2173" w:type="pct"/>
          </w:tcPr>
          <w:p w14:paraId="0A1083BB"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Facility users</w:t>
            </w:r>
          </w:p>
        </w:tc>
      </w:tr>
      <w:tr w:rsidR="00656367" w:rsidRPr="008903D1" w14:paraId="797F1BCE" w14:textId="77777777" w:rsidTr="00622AC7">
        <w:trPr>
          <w:trHeight w:val="285"/>
          <w:jc w:val="center"/>
        </w:trPr>
        <w:tc>
          <w:tcPr>
            <w:tcW w:w="896" w:type="pct"/>
            <w:vMerge w:val="restart"/>
            <w:noWrap/>
            <w:vAlign w:val="center"/>
            <w:hideMark/>
          </w:tcPr>
          <w:p w14:paraId="5B0866ED"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Case 3</w:t>
            </w:r>
          </w:p>
        </w:tc>
        <w:tc>
          <w:tcPr>
            <w:tcW w:w="1932" w:type="pct"/>
            <w:noWrap/>
            <w:vAlign w:val="center"/>
            <w:hideMark/>
          </w:tcPr>
          <w:p w14:paraId="6C616AF6"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Government</w:t>
            </w:r>
          </w:p>
        </w:tc>
        <w:tc>
          <w:tcPr>
            <w:tcW w:w="2173" w:type="pct"/>
          </w:tcPr>
          <w:p w14:paraId="7051498A"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Freight transportation inspector</w:t>
            </w:r>
          </w:p>
        </w:tc>
      </w:tr>
      <w:tr w:rsidR="00656367" w:rsidRPr="008903D1" w14:paraId="74DF6222" w14:textId="77777777" w:rsidTr="00622AC7">
        <w:trPr>
          <w:trHeight w:val="285"/>
          <w:jc w:val="center"/>
        </w:trPr>
        <w:tc>
          <w:tcPr>
            <w:tcW w:w="896" w:type="pct"/>
            <w:vMerge/>
            <w:vAlign w:val="center"/>
            <w:hideMark/>
          </w:tcPr>
          <w:p w14:paraId="1C5AA49A" w14:textId="77777777" w:rsidR="00656367" w:rsidRPr="008903D1" w:rsidRDefault="00656367" w:rsidP="00622AC7">
            <w:pPr>
              <w:spacing w:line="240" w:lineRule="auto"/>
              <w:rPr>
                <w:rFonts w:eastAsia="等线" w:cs="Times New Roman"/>
                <w:color w:val="000000"/>
                <w:sz w:val="22"/>
              </w:rPr>
            </w:pPr>
          </w:p>
        </w:tc>
        <w:tc>
          <w:tcPr>
            <w:tcW w:w="1932" w:type="pct"/>
            <w:noWrap/>
            <w:vAlign w:val="center"/>
            <w:hideMark/>
          </w:tcPr>
          <w:p w14:paraId="5C6957AC"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Suppliers</w:t>
            </w:r>
          </w:p>
        </w:tc>
        <w:tc>
          <w:tcPr>
            <w:tcW w:w="2173" w:type="pct"/>
            <w:noWrap/>
          </w:tcPr>
          <w:p w14:paraId="5055565F"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Facility users</w:t>
            </w:r>
          </w:p>
        </w:tc>
      </w:tr>
      <w:tr w:rsidR="00656367" w:rsidRPr="008903D1" w14:paraId="2E000201" w14:textId="77777777" w:rsidTr="00622AC7">
        <w:trPr>
          <w:trHeight w:val="285"/>
          <w:jc w:val="center"/>
        </w:trPr>
        <w:tc>
          <w:tcPr>
            <w:tcW w:w="896" w:type="pct"/>
            <w:noWrap/>
            <w:vAlign w:val="center"/>
            <w:hideMark/>
          </w:tcPr>
          <w:p w14:paraId="38C4BA92"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Case 4</w:t>
            </w:r>
          </w:p>
        </w:tc>
        <w:tc>
          <w:tcPr>
            <w:tcW w:w="1932" w:type="pct"/>
            <w:noWrap/>
            <w:vAlign w:val="center"/>
            <w:hideMark/>
          </w:tcPr>
          <w:p w14:paraId="6E365591" w14:textId="4BCD92CA" w:rsidR="00656367" w:rsidRPr="008903D1" w:rsidRDefault="004976CF" w:rsidP="00622AC7">
            <w:pPr>
              <w:spacing w:line="240" w:lineRule="auto"/>
              <w:rPr>
                <w:rFonts w:eastAsia="等线" w:cs="Times New Roman"/>
                <w:color w:val="000000"/>
                <w:sz w:val="22"/>
              </w:rPr>
            </w:pPr>
            <w:r>
              <w:rPr>
                <w:rFonts w:eastAsia="等线" w:cs="Times New Roman"/>
                <w:color w:val="000000"/>
                <w:sz w:val="22"/>
              </w:rPr>
              <w:t>Inter-city carriers</w:t>
            </w:r>
          </w:p>
        </w:tc>
        <w:tc>
          <w:tcPr>
            <w:tcW w:w="2173" w:type="pct"/>
            <w:noWrap/>
          </w:tcPr>
          <w:p w14:paraId="357D9669"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Facility users</w:t>
            </w:r>
          </w:p>
        </w:tc>
      </w:tr>
    </w:tbl>
    <w:p w14:paraId="7D791ED1" w14:textId="16BCD80B" w:rsidR="004C339B" w:rsidRPr="00EC75F2" w:rsidRDefault="007B5959" w:rsidP="00EC75F2">
      <w:pPr>
        <w:pStyle w:val="Caption"/>
        <w:spacing w:line="360" w:lineRule="auto"/>
        <w:rPr>
          <w:rFonts w:cs="Times New Roman"/>
        </w:rPr>
      </w:pPr>
      <w:bookmarkStart w:id="765" w:name="_Ref44971040"/>
      <w:bookmarkStart w:id="766" w:name="_Toc46053571"/>
      <w:bookmarkStart w:id="767" w:name="_Toc46093820"/>
      <w:bookmarkStart w:id="768" w:name="_Toc66698787"/>
      <w:r>
        <w:rPr>
          <w:rFonts w:cs="Times New Roman"/>
        </w:rPr>
        <w:t>Table</w:t>
      </w:r>
      <w:r w:rsidR="00656367"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5</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5</w:t>
      </w:r>
      <w:r w:rsidR="00FE10DA">
        <w:rPr>
          <w:rFonts w:cs="Times New Roman"/>
        </w:rPr>
        <w:fldChar w:fldCharType="end"/>
      </w:r>
      <w:bookmarkEnd w:id="765"/>
      <w:r w:rsidR="00AF217C">
        <w:rPr>
          <w:rFonts w:cs="Times New Roman"/>
        </w:rPr>
        <w:t>:</w:t>
      </w:r>
      <w:r w:rsidR="00656367" w:rsidRPr="00737239">
        <w:rPr>
          <w:rFonts w:cs="Times New Roman"/>
        </w:rPr>
        <w:t xml:space="preserve"> Secondary stakeholders based on Browne’s classification of the urban consolidation centre (UCC)</w:t>
      </w:r>
      <w:bookmarkEnd w:id="766"/>
      <w:bookmarkEnd w:id="767"/>
      <w:bookmarkEnd w:id="768"/>
    </w:p>
    <w:p w14:paraId="7CF34EDB" w14:textId="35FB1C4A" w:rsidR="00656367" w:rsidRDefault="00656367" w:rsidP="00656367">
      <w:pPr>
        <w:pStyle w:val="Heading3"/>
        <w:spacing w:line="360" w:lineRule="auto"/>
        <w:rPr>
          <w:rFonts w:cs="Times New Roman"/>
        </w:rPr>
      </w:pPr>
      <w:r w:rsidRPr="00802DC5">
        <w:rPr>
          <w:rFonts w:cs="Times New Roman"/>
        </w:rPr>
        <w:t xml:space="preserve"> </w:t>
      </w:r>
      <w:bookmarkStart w:id="769" w:name="_Toc46053461"/>
      <w:bookmarkStart w:id="770" w:name="_Toc46093375"/>
      <w:bookmarkStart w:id="771" w:name="_Toc46093658"/>
      <w:bookmarkStart w:id="772" w:name="_Toc66703234"/>
      <w:r w:rsidRPr="00802DC5">
        <w:rPr>
          <w:rFonts w:cs="Times New Roman"/>
        </w:rPr>
        <w:t>Motivation for project establishment</w:t>
      </w:r>
      <w:bookmarkEnd w:id="769"/>
      <w:bookmarkEnd w:id="770"/>
      <w:bookmarkEnd w:id="771"/>
      <w:bookmarkEnd w:id="772"/>
      <w:r w:rsidRPr="00802DC5">
        <w:rPr>
          <w:rFonts w:cs="Times New Roman"/>
        </w:rPr>
        <w:t xml:space="preserve"> </w:t>
      </w:r>
    </w:p>
    <w:p w14:paraId="1D251AE0" w14:textId="5F5FAAE3" w:rsidR="00656367" w:rsidRPr="00BF36DF" w:rsidRDefault="00656367" w:rsidP="007F6877">
      <w:pPr>
        <w:spacing w:after="240" w:line="360" w:lineRule="auto"/>
        <w:rPr>
          <w:rFonts w:cs="Times New Roman"/>
        </w:rPr>
      </w:pPr>
      <w:r w:rsidRPr="00BF36DF">
        <w:rPr>
          <w:rFonts w:cs="Times New Roman"/>
        </w:rPr>
        <w:t xml:space="preserve">Previous studies have illustrated that the primary function of the UCC is to mitigate environmental and social problems in the city. In line with this, the Swedish cases were set up for environmental purposes. On the other hand, the Chinese UCCs show that UCCs can also be built to capture economic benefits. </w:t>
      </w:r>
    </w:p>
    <w:p w14:paraId="3384CBD5" w14:textId="4F45BA2A" w:rsidR="00656367" w:rsidRPr="00BF36DF" w:rsidRDefault="00FC2B0B" w:rsidP="000F71C3">
      <w:pPr>
        <w:spacing w:after="240" w:line="360" w:lineRule="auto"/>
        <w:rPr>
          <w:rFonts w:cs="Times New Roman"/>
        </w:rPr>
      </w:pPr>
      <w:r w:rsidRPr="00BF36DF">
        <w:rPr>
          <w:rFonts w:cs="Times New Roman"/>
        </w:rPr>
        <w:t xml:space="preserve">The </w:t>
      </w:r>
      <w:r w:rsidR="008F633A" w:rsidRPr="00BF36DF">
        <w:rPr>
          <w:rFonts w:cs="Times New Roman"/>
        </w:rPr>
        <w:t>Stockholm City urban consolidation centre (SCUCC) is a ‘government-promoted’ project intended to resolve various environmental and social problems (</w:t>
      </w:r>
      <w:r w:rsidR="008F633A" w:rsidRPr="00BF36DF">
        <w:rPr>
          <w:rFonts w:cs="Times New Roman"/>
        </w:rPr>
        <w:fldChar w:fldCharType="begin"/>
      </w:r>
      <w:r w:rsidR="008F633A" w:rsidRPr="00BF36DF">
        <w:rPr>
          <w:rFonts w:cs="Times New Roman"/>
        </w:rPr>
        <w:instrText xml:space="preserve"> REF _Ref45015715 \h </w:instrText>
      </w:r>
      <w:r w:rsidR="008F633A" w:rsidRPr="00BF36DF">
        <w:rPr>
          <w:rFonts w:cs="Times New Roman"/>
        </w:rPr>
      </w:r>
      <w:r w:rsidR="008F633A" w:rsidRPr="00BF36DF">
        <w:rPr>
          <w:rFonts w:cs="Times New Roman"/>
        </w:rPr>
        <w:fldChar w:fldCharType="separate"/>
      </w:r>
      <w:r w:rsidR="0005064B" w:rsidRPr="00BF36DF">
        <w:rPr>
          <w:rFonts w:cs="Times New Roman"/>
        </w:rPr>
        <w:t xml:space="preserve">Figure </w:t>
      </w:r>
      <w:r w:rsidR="0005064B">
        <w:rPr>
          <w:rFonts w:cs="Times New Roman"/>
          <w:noProof/>
        </w:rPr>
        <w:t>5</w:t>
      </w:r>
      <w:r w:rsidR="0005064B">
        <w:rPr>
          <w:rFonts w:cs="Times New Roman"/>
        </w:rPr>
        <w:noBreakHyphen/>
      </w:r>
      <w:r w:rsidR="0005064B">
        <w:rPr>
          <w:rFonts w:cs="Times New Roman"/>
          <w:noProof/>
        </w:rPr>
        <w:t>3</w:t>
      </w:r>
      <w:r w:rsidR="008F633A" w:rsidRPr="00BF36DF">
        <w:rPr>
          <w:rFonts w:cs="Times New Roman"/>
        </w:rPr>
        <w:fldChar w:fldCharType="end"/>
      </w:r>
      <w:r w:rsidR="008F633A" w:rsidRPr="00BF36DF">
        <w:rPr>
          <w:rFonts w:cs="Times New Roman"/>
        </w:rPr>
        <w:t xml:space="preserve">-A). In this model, the government encourages private companies to organise a UCC project to alleviate </w:t>
      </w:r>
      <w:r w:rsidR="00E43620" w:rsidRPr="00BF36DF">
        <w:rPr>
          <w:rFonts w:cs="Times New Roman"/>
        </w:rPr>
        <w:t xml:space="preserve">the </w:t>
      </w:r>
      <w:r w:rsidR="008F633A" w:rsidRPr="00BF36DF">
        <w:rPr>
          <w:rFonts w:cs="Times New Roman"/>
        </w:rPr>
        <w:t xml:space="preserve">external challenges of city freight transportation. The government does not implement any restrictive policy to force companies to participate in the project, nor is it involved in daily operations. The primary reason for joining the project is that the participant agrees with the urgency of the environmental and social issues raised by the government and believes that logistics companies have a responsibility to resolve them in the context of the SUL. The </w:t>
      </w:r>
      <w:r w:rsidR="008F633A" w:rsidRPr="00BF36DF">
        <w:rPr>
          <w:rFonts w:cs="Times New Roman"/>
        </w:rPr>
        <w:lastRenderedPageBreak/>
        <w:t xml:space="preserve">government provides a communication channel for private companies during the planning stage, enabling the companies to reach agreements about the business model. </w:t>
      </w:r>
    </w:p>
    <w:p w14:paraId="088C76A9" w14:textId="77777777" w:rsidR="00656367" w:rsidRPr="00BF36DF" w:rsidRDefault="00656367" w:rsidP="00656367">
      <w:pPr>
        <w:pStyle w:val="Caption"/>
        <w:spacing w:after="0" w:line="360" w:lineRule="auto"/>
        <w:rPr>
          <w:rFonts w:cs="Times New Roman"/>
          <w:color w:val="auto"/>
        </w:rPr>
      </w:pPr>
      <w:r w:rsidRPr="00BF36DF">
        <w:rPr>
          <w:rFonts w:cs="Times New Roman"/>
          <w:noProof/>
          <w:color w:val="auto"/>
          <w:lang w:eastAsia="en-GB"/>
        </w:rPr>
        <w:drawing>
          <wp:inline distT="0" distB="0" distL="0" distR="0" wp14:anchorId="7889B585" wp14:editId="5605ADB8">
            <wp:extent cx="5760085" cy="3383915"/>
            <wp:effectExtent l="0" t="0" r="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60085" cy="3383915"/>
                    </a:xfrm>
                    <a:prstGeom prst="rect">
                      <a:avLst/>
                    </a:prstGeom>
                    <a:noFill/>
                    <a:ln>
                      <a:noFill/>
                    </a:ln>
                  </pic:spPr>
                </pic:pic>
              </a:graphicData>
            </a:graphic>
          </wp:inline>
        </w:drawing>
      </w:r>
    </w:p>
    <w:p w14:paraId="0D6ADBFF" w14:textId="119E806B" w:rsidR="00656367" w:rsidRPr="00BF36DF" w:rsidRDefault="00656367" w:rsidP="00357B2F">
      <w:pPr>
        <w:pStyle w:val="Caption"/>
        <w:spacing w:line="360" w:lineRule="auto"/>
        <w:rPr>
          <w:rFonts w:cs="Times New Roman"/>
          <w:color w:val="auto"/>
        </w:rPr>
      </w:pPr>
      <w:bookmarkStart w:id="773" w:name="_Ref45015715"/>
      <w:bookmarkStart w:id="774" w:name="_Toc46053685"/>
      <w:bookmarkStart w:id="775" w:name="_Toc66698716"/>
      <w:r w:rsidRPr="00BF36DF">
        <w:rPr>
          <w:rFonts w:cs="Times New Roman"/>
          <w:color w:val="auto"/>
        </w:rPr>
        <w:t xml:space="preserve">Figure </w:t>
      </w:r>
      <w:r w:rsidR="00632993">
        <w:rPr>
          <w:rFonts w:cs="Times New Roman"/>
          <w:color w:val="auto"/>
        </w:rPr>
        <w:fldChar w:fldCharType="begin"/>
      </w:r>
      <w:r w:rsidR="00632993">
        <w:rPr>
          <w:rFonts w:cs="Times New Roman"/>
          <w:color w:val="auto"/>
        </w:rPr>
        <w:instrText xml:space="preserve"> STYLEREF 1 \s </w:instrText>
      </w:r>
      <w:r w:rsidR="00632993">
        <w:rPr>
          <w:rFonts w:cs="Times New Roman"/>
          <w:color w:val="auto"/>
        </w:rPr>
        <w:fldChar w:fldCharType="separate"/>
      </w:r>
      <w:r w:rsidR="0005064B">
        <w:rPr>
          <w:rFonts w:cs="Times New Roman"/>
          <w:noProof/>
          <w:color w:val="auto"/>
        </w:rPr>
        <w:t>5</w:t>
      </w:r>
      <w:r w:rsidR="00632993">
        <w:rPr>
          <w:rFonts w:cs="Times New Roman"/>
          <w:color w:val="auto"/>
        </w:rPr>
        <w:fldChar w:fldCharType="end"/>
      </w:r>
      <w:r w:rsidR="00632993">
        <w:rPr>
          <w:rFonts w:cs="Times New Roman"/>
          <w:color w:val="auto"/>
        </w:rPr>
        <w:noBreakHyphen/>
      </w:r>
      <w:r w:rsidR="00632993">
        <w:rPr>
          <w:rFonts w:cs="Times New Roman"/>
          <w:color w:val="auto"/>
        </w:rPr>
        <w:fldChar w:fldCharType="begin"/>
      </w:r>
      <w:r w:rsidR="00632993">
        <w:rPr>
          <w:rFonts w:cs="Times New Roman"/>
          <w:color w:val="auto"/>
        </w:rPr>
        <w:instrText xml:space="preserve"> SEQ Figure \* ARABIC \s 1 </w:instrText>
      </w:r>
      <w:r w:rsidR="00632993">
        <w:rPr>
          <w:rFonts w:cs="Times New Roman"/>
          <w:color w:val="auto"/>
        </w:rPr>
        <w:fldChar w:fldCharType="separate"/>
      </w:r>
      <w:r w:rsidR="0005064B">
        <w:rPr>
          <w:rFonts w:cs="Times New Roman"/>
          <w:noProof/>
          <w:color w:val="auto"/>
        </w:rPr>
        <w:t>3</w:t>
      </w:r>
      <w:r w:rsidR="00632993">
        <w:rPr>
          <w:rFonts w:cs="Times New Roman"/>
          <w:color w:val="auto"/>
        </w:rPr>
        <w:fldChar w:fldCharType="end"/>
      </w:r>
      <w:bookmarkEnd w:id="773"/>
      <w:r w:rsidR="00FD1FFD" w:rsidRPr="00BF36DF">
        <w:rPr>
          <w:rFonts w:cs="Times New Roman"/>
          <w:color w:val="auto"/>
        </w:rPr>
        <w:t>:</w:t>
      </w:r>
      <w:r w:rsidRPr="00BF36DF">
        <w:rPr>
          <w:rFonts w:cs="Times New Roman"/>
          <w:color w:val="auto"/>
        </w:rPr>
        <w:t xml:space="preserve"> Process of urban consolidation centre (UCC) establishment</w:t>
      </w:r>
      <w:bookmarkEnd w:id="774"/>
      <w:bookmarkEnd w:id="775"/>
    </w:p>
    <w:p w14:paraId="5E4E2EC8" w14:textId="14708E6E" w:rsidR="00656367" w:rsidRPr="00BF36DF" w:rsidRDefault="00656367" w:rsidP="007F6877">
      <w:pPr>
        <w:spacing w:after="240" w:line="360" w:lineRule="auto"/>
        <w:rPr>
          <w:rFonts w:cs="Times New Roman"/>
        </w:rPr>
      </w:pPr>
      <w:r w:rsidRPr="00BF36DF">
        <w:rPr>
          <w:rFonts w:cs="Times New Roman"/>
        </w:rPr>
        <w:t>The UCC in Royal Seaport (RS) is a ‘government-led’ initiative to resolve issues caused by the construction work in Royal Seaport (</w:t>
      </w:r>
      <w:r w:rsidR="008F633A" w:rsidRPr="00BF36DF">
        <w:rPr>
          <w:rFonts w:cs="Times New Roman"/>
        </w:rPr>
        <w:fldChar w:fldCharType="begin"/>
      </w:r>
      <w:r w:rsidR="008F633A" w:rsidRPr="00BF36DF">
        <w:rPr>
          <w:rFonts w:cs="Times New Roman"/>
        </w:rPr>
        <w:instrText xml:space="preserve"> REF _Ref45015715 \h </w:instrText>
      </w:r>
      <w:r w:rsidR="008F633A" w:rsidRPr="00BF36DF">
        <w:rPr>
          <w:rFonts w:cs="Times New Roman"/>
        </w:rPr>
      </w:r>
      <w:r w:rsidR="008F633A" w:rsidRPr="00BF36DF">
        <w:rPr>
          <w:rFonts w:cs="Times New Roman"/>
        </w:rPr>
        <w:fldChar w:fldCharType="separate"/>
      </w:r>
      <w:r w:rsidR="0005064B" w:rsidRPr="00BF36DF">
        <w:rPr>
          <w:rFonts w:cs="Times New Roman"/>
        </w:rPr>
        <w:t xml:space="preserve">Figure </w:t>
      </w:r>
      <w:r w:rsidR="0005064B">
        <w:rPr>
          <w:rFonts w:cs="Times New Roman"/>
          <w:noProof/>
        </w:rPr>
        <w:t>5</w:t>
      </w:r>
      <w:r w:rsidR="0005064B">
        <w:rPr>
          <w:rFonts w:cs="Times New Roman"/>
        </w:rPr>
        <w:noBreakHyphen/>
      </w:r>
      <w:r w:rsidR="0005064B">
        <w:rPr>
          <w:rFonts w:cs="Times New Roman"/>
          <w:noProof/>
        </w:rPr>
        <w:t>3</w:t>
      </w:r>
      <w:r w:rsidR="008F633A" w:rsidRPr="00BF36DF">
        <w:rPr>
          <w:rFonts w:cs="Times New Roman"/>
        </w:rPr>
        <w:fldChar w:fldCharType="end"/>
      </w:r>
      <w:r w:rsidRPr="00BF36DF">
        <w:rPr>
          <w:rFonts w:cs="Times New Roman"/>
        </w:rPr>
        <w:t xml:space="preserve">-B). The government has imposed restrictive policies to force construction companies to use UCC services. The project is publicly funded, with the funds used to recruit employees, build facilities, and purchase equipment. Although run by private companies, it is entirely controlled by the government. Specifically, the government can change the organisational structure, replace participants, alter the operational models, and design the service pricing according to its environmental and social goals. </w:t>
      </w:r>
    </w:p>
    <w:p w14:paraId="6C2F0AEA" w14:textId="3D5DB7BE" w:rsidR="00656367" w:rsidRPr="00BF36DF" w:rsidRDefault="00700A15" w:rsidP="007F6877">
      <w:pPr>
        <w:spacing w:after="240" w:line="360" w:lineRule="auto"/>
        <w:rPr>
          <w:rFonts w:cs="Times New Roman"/>
        </w:rPr>
      </w:pPr>
      <w:r w:rsidRPr="00BF36DF">
        <w:rPr>
          <w:rFonts w:cs="Times New Roman"/>
        </w:rPr>
        <w:t xml:space="preserve">The </w:t>
      </w:r>
      <w:r w:rsidR="00656367" w:rsidRPr="00BF36DF">
        <w:rPr>
          <w:rFonts w:cs="Times New Roman"/>
        </w:rPr>
        <w:t xml:space="preserve">CAUCC is a ‘market-led’ project to promote the efficiency of urban delivery of </w:t>
      </w:r>
      <w:r w:rsidR="003244C2" w:rsidRPr="00BF36DF">
        <w:rPr>
          <w:rFonts w:cs="Times New Roman"/>
        </w:rPr>
        <w:t>pharmaceutical</w:t>
      </w:r>
      <w:r w:rsidR="00656367" w:rsidRPr="00BF36DF">
        <w:rPr>
          <w:rFonts w:cs="Times New Roman"/>
        </w:rPr>
        <w:t xml:space="preserve"> goods (</w:t>
      </w:r>
      <w:r w:rsidR="008F633A" w:rsidRPr="00BF36DF">
        <w:rPr>
          <w:rFonts w:cs="Times New Roman"/>
        </w:rPr>
        <w:fldChar w:fldCharType="begin"/>
      </w:r>
      <w:r w:rsidR="008F633A" w:rsidRPr="00BF36DF">
        <w:rPr>
          <w:rFonts w:cs="Times New Roman"/>
        </w:rPr>
        <w:instrText xml:space="preserve"> REF _Ref45015715 \h </w:instrText>
      </w:r>
      <w:r w:rsidR="008F633A" w:rsidRPr="00BF36DF">
        <w:rPr>
          <w:rFonts w:cs="Times New Roman"/>
        </w:rPr>
      </w:r>
      <w:r w:rsidR="008F633A" w:rsidRPr="00BF36DF">
        <w:rPr>
          <w:rFonts w:cs="Times New Roman"/>
        </w:rPr>
        <w:fldChar w:fldCharType="separate"/>
      </w:r>
      <w:r w:rsidR="0005064B" w:rsidRPr="00BF36DF">
        <w:rPr>
          <w:rFonts w:cs="Times New Roman"/>
        </w:rPr>
        <w:t xml:space="preserve">Figure </w:t>
      </w:r>
      <w:r w:rsidR="0005064B">
        <w:rPr>
          <w:rFonts w:cs="Times New Roman"/>
          <w:noProof/>
        </w:rPr>
        <w:t>5</w:t>
      </w:r>
      <w:r w:rsidR="0005064B">
        <w:rPr>
          <w:rFonts w:cs="Times New Roman"/>
        </w:rPr>
        <w:noBreakHyphen/>
      </w:r>
      <w:r w:rsidR="0005064B">
        <w:rPr>
          <w:rFonts w:cs="Times New Roman"/>
          <w:noProof/>
        </w:rPr>
        <w:t>3</w:t>
      </w:r>
      <w:r w:rsidR="008F633A" w:rsidRPr="00BF36DF">
        <w:rPr>
          <w:rFonts w:cs="Times New Roman"/>
        </w:rPr>
        <w:fldChar w:fldCharType="end"/>
      </w:r>
      <w:r w:rsidR="00656367" w:rsidRPr="00BF36DF">
        <w:rPr>
          <w:rFonts w:cs="Times New Roman"/>
        </w:rPr>
        <w:t xml:space="preserve">-C), which are set up by a medical wholesaler. This UCC </w:t>
      </w:r>
      <w:r w:rsidR="00505313" w:rsidRPr="00BF36DF">
        <w:rPr>
          <w:rFonts w:cs="Times New Roman"/>
        </w:rPr>
        <w:t>is</w:t>
      </w:r>
      <w:r w:rsidR="00656367" w:rsidRPr="00BF36DF">
        <w:rPr>
          <w:rFonts w:cs="Times New Roman"/>
        </w:rPr>
        <w:t xml:space="preserve"> purely for business purpose</w:t>
      </w:r>
      <w:r w:rsidR="004A0624" w:rsidRPr="00BF36DF">
        <w:rPr>
          <w:rFonts w:cs="Times New Roman"/>
        </w:rPr>
        <w:t>s</w:t>
      </w:r>
      <w:r w:rsidR="00656367" w:rsidRPr="00BF36DF">
        <w:rPr>
          <w:rFonts w:cs="Times New Roman"/>
        </w:rPr>
        <w:t>, only private stakeholders participat</w:t>
      </w:r>
      <w:r w:rsidR="00A6322B" w:rsidRPr="00BF36DF">
        <w:rPr>
          <w:rFonts w:cs="Times New Roman"/>
        </w:rPr>
        <w:t>e</w:t>
      </w:r>
      <w:r w:rsidR="006439E7" w:rsidRPr="00BF36DF">
        <w:rPr>
          <w:rFonts w:cs="Times New Roman"/>
        </w:rPr>
        <w:t xml:space="preserve"> in</w:t>
      </w:r>
      <w:r w:rsidR="00656367" w:rsidRPr="00BF36DF">
        <w:rPr>
          <w:rFonts w:cs="Times New Roman"/>
        </w:rPr>
        <w:t xml:space="preserve"> the project and no public interventions are applied. This investor wholly owns the UCC and pay</w:t>
      </w:r>
      <w:r w:rsidR="004B153F" w:rsidRPr="00BF36DF">
        <w:rPr>
          <w:rFonts w:cs="Times New Roman"/>
        </w:rPr>
        <w:t>s</w:t>
      </w:r>
      <w:r w:rsidR="00656367" w:rsidRPr="00BF36DF">
        <w:rPr>
          <w:rFonts w:cs="Times New Roman"/>
        </w:rPr>
        <w:t xml:space="preserve"> all </w:t>
      </w:r>
      <w:r w:rsidR="00043BCE" w:rsidRPr="00BF36DF">
        <w:rPr>
          <w:rFonts w:cs="Times New Roman"/>
        </w:rPr>
        <w:t xml:space="preserve">the </w:t>
      </w:r>
      <w:r w:rsidR="00656367" w:rsidRPr="00BF36DF">
        <w:rPr>
          <w:rFonts w:cs="Times New Roman"/>
        </w:rPr>
        <w:t>expenses of this facility. Meanwhile, this UCC is directly operated by this company. Other wholesalers also participate</w:t>
      </w:r>
      <w:r w:rsidR="00634F25" w:rsidRPr="00BF36DF">
        <w:rPr>
          <w:rFonts w:cs="Times New Roman"/>
        </w:rPr>
        <w:t xml:space="preserve"> in this project</w:t>
      </w:r>
      <w:r w:rsidR="00434C77" w:rsidRPr="00BF36DF">
        <w:rPr>
          <w:rFonts w:cs="Times New Roman"/>
        </w:rPr>
        <w:t xml:space="preserve"> </w:t>
      </w:r>
      <w:r w:rsidR="00434C77" w:rsidRPr="00BF36DF">
        <w:rPr>
          <w:rFonts w:cs="Times New Roman" w:hint="eastAsia"/>
        </w:rPr>
        <w:t>after</w:t>
      </w:r>
      <w:r w:rsidR="00434C77" w:rsidRPr="00BF36DF">
        <w:rPr>
          <w:rFonts w:cs="Times New Roman"/>
        </w:rPr>
        <w:t xml:space="preserve"> </w:t>
      </w:r>
      <w:r w:rsidR="00185AD4" w:rsidRPr="00BF36DF">
        <w:rPr>
          <w:rFonts w:cs="Times New Roman"/>
        </w:rPr>
        <w:t>this UCC establishment</w:t>
      </w:r>
      <w:r w:rsidR="00656367" w:rsidRPr="00BF36DF">
        <w:rPr>
          <w:rFonts w:cs="Times New Roman"/>
        </w:rPr>
        <w:t xml:space="preserve">, as this facility reduces their logistics and inventory costs, and the quantities of goods handled are increased as a result. These scale economies thus improve the UL efficiency of the facility. As all the participants are enjoying </w:t>
      </w:r>
      <w:r w:rsidR="00656367" w:rsidRPr="00BF36DF">
        <w:rPr>
          <w:rFonts w:cs="Times New Roman"/>
        </w:rPr>
        <w:lastRenderedPageBreak/>
        <w:t xml:space="preserve">these economic benefits, common interests promote the long-term sustainability of this private project. </w:t>
      </w:r>
    </w:p>
    <w:p w14:paraId="06691312" w14:textId="44C78919" w:rsidR="005C7CD6" w:rsidRPr="00E717EC" w:rsidRDefault="0006343B" w:rsidP="007F6877">
      <w:pPr>
        <w:spacing w:after="240" w:line="360" w:lineRule="auto"/>
        <w:rPr>
          <w:rFonts w:cs="Times New Roman"/>
        </w:rPr>
      </w:pPr>
      <w:r w:rsidRPr="00BF36DF">
        <w:rPr>
          <w:rFonts w:cs="Times New Roman"/>
        </w:rPr>
        <w:t xml:space="preserve">The </w:t>
      </w:r>
      <w:r w:rsidR="00656367" w:rsidRPr="00BF36DF">
        <w:rPr>
          <w:rFonts w:cs="Times New Roman"/>
        </w:rPr>
        <w:t>CBUCC is a ‘policy-led’ project (</w:t>
      </w:r>
      <w:r w:rsidR="008F633A" w:rsidRPr="00BF36DF">
        <w:rPr>
          <w:rFonts w:cs="Times New Roman"/>
        </w:rPr>
        <w:fldChar w:fldCharType="begin"/>
      </w:r>
      <w:r w:rsidR="008F633A" w:rsidRPr="00BF36DF">
        <w:rPr>
          <w:rFonts w:cs="Times New Roman"/>
        </w:rPr>
        <w:instrText xml:space="preserve"> REF _Ref45015715 \h </w:instrText>
      </w:r>
      <w:r w:rsidR="008F633A" w:rsidRPr="00BF36DF">
        <w:rPr>
          <w:rFonts w:cs="Times New Roman"/>
        </w:rPr>
      </w:r>
      <w:r w:rsidR="008F633A" w:rsidRPr="00BF36DF">
        <w:rPr>
          <w:rFonts w:cs="Times New Roman"/>
        </w:rPr>
        <w:fldChar w:fldCharType="separate"/>
      </w:r>
      <w:r w:rsidR="0005064B" w:rsidRPr="00BF36DF">
        <w:rPr>
          <w:rFonts w:cs="Times New Roman"/>
        </w:rPr>
        <w:t xml:space="preserve">Figure </w:t>
      </w:r>
      <w:r w:rsidR="0005064B">
        <w:rPr>
          <w:rFonts w:cs="Times New Roman"/>
          <w:noProof/>
        </w:rPr>
        <w:t>5</w:t>
      </w:r>
      <w:r w:rsidR="0005064B">
        <w:rPr>
          <w:rFonts w:cs="Times New Roman"/>
        </w:rPr>
        <w:noBreakHyphen/>
      </w:r>
      <w:r w:rsidR="0005064B">
        <w:rPr>
          <w:rFonts w:cs="Times New Roman"/>
          <w:noProof/>
        </w:rPr>
        <w:t>3</w:t>
      </w:r>
      <w:r w:rsidR="008F633A" w:rsidRPr="00BF36DF">
        <w:rPr>
          <w:rFonts w:cs="Times New Roman"/>
        </w:rPr>
        <w:fldChar w:fldCharType="end"/>
      </w:r>
      <w:r w:rsidR="00656367" w:rsidRPr="00BF36DF">
        <w:rPr>
          <w:rFonts w:cs="Times New Roman"/>
        </w:rPr>
        <w:t xml:space="preserve">-D), set up in response to the restrictive government policies on urban freight transportation that had a negative effect on conventional intercity delivery. To mitigate this issue, intercity companies use UCC for the transfer of goods in urban areas. ‘Company B’ launched the UCC project to earn profit: as transhipment services resolve the problems created by the policy, intercity carriers thus obtain economic benefits through the project. Serious issues arise due to the competitors in the local logistics market, with many companies investing in UCC projects (and self-employed drivers also operating consolidation transhipment in local markets). This is leading to a loss of market share for </w:t>
      </w:r>
      <w:r w:rsidR="006B34EA" w:rsidRPr="00BF36DF">
        <w:rPr>
          <w:rFonts w:cs="Times New Roman"/>
        </w:rPr>
        <w:t xml:space="preserve">the </w:t>
      </w:r>
      <w:r w:rsidR="00656367" w:rsidRPr="00BF36DF">
        <w:rPr>
          <w:rFonts w:cs="Times New Roman"/>
        </w:rPr>
        <w:t>CBUCC.</w:t>
      </w:r>
    </w:p>
    <w:p w14:paraId="00020976" w14:textId="77777777" w:rsidR="00656367" w:rsidRPr="00BF36DF" w:rsidRDefault="00656367" w:rsidP="00656367">
      <w:pPr>
        <w:pStyle w:val="Heading3"/>
        <w:spacing w:line="360" w:lineRule="auto"/>
        <w:rPr>
          <w:rFonts w:cs="Times New Roman"/>
          <w:color w:val="auto"/>
        </w:rPr>
      </w:pPr>
      <w:bookmarkStart w:id="776" w:name="_Ref45021986"/>
      <w:bookmarkStart w:id="777" w:name="_Toc46053462"/>
      <w:bookmarkStart w:id="778" w:name="_Toc46093376"/>
      <w:bookmarkStart w:id="779" w:name="_Toc46093659"/>
      <w:bookmarkStart w:id="780" w:name="_Toc66703235"/>
      <w:r w:rsidRPr="00BF36DF">
        <w:rPr>
          <w:rFonts w:cs="Times New Roman"/>
          <w:color w:val="auto"/>
        </w:rPr>
        <w:t>Urban consolidation centre (UCC) users</w:t>
      </w:r>
      <w:bookmarkEnd w:id="776"/>
      <w:bookmarkEnd w:id="777"/>
      <w:bookmarkEnd w:id="778"/>
      <w:bookmarkEnd w:id="779"/>
      <w:bookmarkEnd w:id="780"/>
    </w:p>
    <w:p w14:paraId="2DE58F90" w14:textId="05A8C940" w:rsidR="00656367" w:rsidRPr="00BF36DF" w:rsidRDefault="004848F1" w:rsidP="00102D71">
      <w:pPr>
        <w:spacing w:after="240" w:line="360" w:lineRule="auto"/>
        <w:rPr>
          <w:rFonts w:cs="Times New Roman"/>
        </w:rPr>
      </w:pPr>
      <w:r w:rsidRPr="00BF36DF">
        <w:rPr>
          <w:rFonts w:cs="Times New Roman"/>
        </w:rPr>
        <w:fldChar w:fldCharType="begin"/>
      </w:r>
      <w:r w:rsidRPr="00BF36DF">
        <w:rPr>
          <w:rFonts w:cs="Times New Roman"/>
        </w:rPr>
        <w:instrText xml:space="preserve"> REF _Ref44972900 \h </w:instrText>
      </w:r>
      <w:r w:rsidRPr="00BF36DF">
        <w:rPr>
          <w:rFonts w:cs="Times New Roman"/>
        </w:rPr>
      </w:r>
      <w:r w:rsidRPr="00BF36DF">
        <w:rPr>
          <w:rFonts w:cs="Times New Roman"/>
        </w:rPr>
        <w:fldChar w:fldCharType="separate"/>
      </w:r>
      <w:r w:rsidR="0005064B" w:rsidRPr="00BF36DF">
        <w:rPr>
          <w:rFonts w:cs="Times New Roman"/>
        </w:rPr>
        <w:t xml:space="preserve">Table </w:t>
      </w:r>
      <w:r w:rsidR="0005064B">
        <w:rPr>
          <w:rFonts w:cs="Times New Roman"/>
          <w:noProof/>
        </w:rPr>
        <w:t>5</w:t>
      </w:r>
      <w:r w:rsidR="0005064B" w:rsidRPr="00BF36DF">
        <w:rPr>
          <w:rFonts w:cs="Times New Roman"/>
        </w:rPr>
        <w:noBreakHyphen/>
      </w:r>
      <w:r w:rsidR="0005064B">
        <w:rPr>
          <w:rFonts w:cs="Times New Roman"/>
          <w:noProof/>
        </w:rPr>
        <w:t>6</w:t>
      </w:r>
      <w:r w:rsidRPr="00BF36DF">
        <w:rPr>
          <w:rFonts w:cs="Times New Roman"/>
        </w:rPr>
        <w:fldChar w:fldCharType="end"/>
      </w:r>
      <w:r w:rsidRPr="00BF36DF">
        <w:rPr>
          <w:rFonts w:cs="Times New Roman"/>
        </w:rPr>
        <w:t xml:space="preserve"> </w:t>
      </w:r>
      <w:r w:rsidR="00656367" w:rsidRPr="00BF36DF">
        <w:rPr>
          <w:rFonts w:cs="Times New Roman"/>
        </w:rPr>
        <w:t xml:space="preserve">shows the users’ details. In the SCUCC, the users are the forward and </w:t>
      </w:r>
      <w:r w:rsidR="00656367" w:rsidRPr="00BF36DF">
        <w:rPr>
          <w:rFonts w:cs="Times New Roman"/>
          <w:noProof/>
        </w:rPr>
        <w:t>reverse</w:t>
      </w:r>
      <w:r w:rsidR="00656367" w:rsidRPr="00BF36DF">
        <w:rPr>
          <w:rFonts w:cs="Times New Roman"/>
        </w:rPr>
        <w:t xml:space="preserve"> logistics companies (Bring and Ranger-Sells), and the facility obtains its consumers through cooperation between these companies. The consumers have no feelings about the changes caused by the introduction of UCC services. In </w:t>
      </w:r>
      <w:r w:rsidR="007A0A99" w:rsidRPr="00BF36DF">
        <w:rPr>
          <w:rFonts w:cs="Times New Roman"/>
        </w:rPr>
        <w:t xml:space="preserve">the </w:t>
      </w:r>
      <w:r w:rsidR="00656367" w:rsidRPr="00BF36DF">
        <w:rPr>
          <w:rFonts w:cs="Times New Roman"/>
        </w:rPr>
        <w:t xml:space="preserve">Royal Seaport urban consolidation centre (RSUCC), the users are construction companies. They accept the service </w:t>
      </w:r>
      <w:r w:rsidR="00656367" w:rsidRPr="00BF36DF">
        <w:rPr>
          <w:rFonts w:cs="Times New Roman"/>
          <w:noProof/>
        </w:rPr>
        <w:t>because of the compulsory government policy</w:t>
      </w:r>
      <w:r w:rsidR="00656367" w:rsidRPr="00BF36DF">
        <w:rPr>
          <w:rFonts w:cs="Times New Roman"/>
        </w:rPr>
        <w:t xml:space="preserve">. In the CAUCC, various medical industry wholesalers are the users of the UCC. These wholesalers </w:t>
      </w:r>
      <w:r w:rsidR="00656367" w:rsidRPr="00BF36DF">
        <w:rPr>
          <w:rFonts w:cs="Times New Roman"/>
          <w:noProof/>
        </w:rPr>
        <w:t>benefit</w:t>
      </w:r>
      <w:r w:rsidR="00656367" w:rsidRPr="00BF36DF">
        <w:rPr>
          <w:rFonts w:cs="Times New Roman"/>
        </w:rPr>
        <w:t xml:space="preserve"> from the project </w:t>
      </w:r>
      <w:r w:rsidR="00656367" w:rsidRPr="00BF36DF">
        <w:rPr>
          <w:rFonts w:cs="Times New Roman"/>
          <w:noProof/>
        </w:rPr>
        <w:t>in terms of</w:t>
      </w:r>
      <w:r w:rsidR="00656367" w:rsidRPr="00BF36DF">
        <w:rPr>
          <w:rFonts w:cs="Times New Roman"/>
        </w:rPr>
        <w:t xml:space="preserve"> reductions in cost and lead-time and enhanced logistics efficiency. The facility also benefits consumers (e.g., the hospitals and supermarkets), as total transit times are reduced. The users of </w:t>
      </w:r>
      <w:r w:rsidR="00E711E7" w:rsidRPr="00BF36DF">
        <w:rPr>
          <w:rFonts w:cs="Times New Roman"/>
        </w:rPr>
        <w:t xml:space="preserve">the </w:t>
      </w:r>
      <w:r w:rsidR="00656367" w:rsidRPr="00BF36DF">
        <w:rPr>
          <w:rFonts w:cs="Times New Roman"/>
        </w:rPr>
        <w:t>CBUCC are intercity carriers. The service mitigates the impact of the time-window policy on these users, ensuring consumers in the city centre receive their goods on</w:t>
      </w:r>
      <w:r w:rsidR="006B6938" w:rsidRPr="00BF36DF">
        <w:rPr>
          <w:rFonts w:cs="Times New Roman"/>
        </w:rPr>
        <w:t xml:space="preserve"> </w:t>
      </w:r>
      <w:r w:rsidR="00656367" w:rsidRPr="00BF36DF">
        <w:rPr>
          <w:rFonts w:cs="Times New Roman"/>
        </w:rPr>
        <w:t>time.</w:t>
      </w:r>
    </w:p>
    <w:tbl>
      <w:tblPr>
        <w:tblStyle w:val="TableGrid"/>
        <w:tblW w:w="4988" w:type="pct"/>
        <w:tblLayout w:type="fixed"/>
        <w:tblLook w:val="04A0" w:firstRow="1" w:lastRow="0" w:firstColumn="1" w:lastColumn="0" w:noHBand="0" w:noVBand="1"/>
      </w:tblPr>
      <w:tblGrid>
        <w:gridCol w:w="977"/>
        <w:gridCol w:w="977"/>
        <w:gridCol w:w="1196"/>
        <w:gridCol w:w="1435"/>
        <w:gridCol w:w="1441"/>
        <w:gridCol w:w="2968"/>
      </w:tblGrid>
      <w:tr w:rsidR="00E717EC" w:rsidRPr="00BF36DF" w14:paraId="39050814" w14:textId="77777777" w:rsidTr="005C7CD6">
        <w:tc>
          <w:tcPr>
            <w:tcW w:w="543" w:type="pct"/>
            <w:vMerge w:val="restart"/>
            <w:vAlign w:val="center"/>
          </w:tcPr>
          <w:p w14:paraId="5AC14859" w14:textId="77777777" w:rsidR="005C7CD6" w:rsidRPr="00BF36DF" w:rsidRDefault="005C7CD6" w:rsidP="00622AC7">
            <w:pPr>
              <w:spacing w:line="240" w:lineRule="auto"/>
              <w:jc w:val="center"/>
              <w:rPr>
                <w:rFonts w:cs="Times New Roman"/>
                <w:b/>
                <w:bCs/>
                <w:sz w:val="22"/>
              </w:rPr>
            </w:pPr>
            <w:r w:rsidRPr="00BF36DF">
              <w:rPr>
                <w:rFonts w:cs="Times New Roman"/>
                <w:b/>
                <w:bCs/>
                <w:sz w:val="22"/>
              </w:rPr>
              <w:t>UCC cases</w:t>
            </w:r>
          </w:p>
        </w:tc>
        <w:tc>
          <w:tcPr>
            <w:tcW w:w="1208" w:type="pct"/>
            <w:gridSpan w:val="2"/>
            <w:vAlign w:val="center"/>
          </w:tcPr>
          <w:p w14:paraId="440171A6" w14:textId="77777777" w:rsidR="005C7CD6" w:rsidRPr="00BF36DF" w:rsidRDefault="005C7CD6" w:rsidP="00622AC7">
            <w:pPr>
              <w:spacing w:line="240" w:lineRule="auto"/>
              <w:jc w:val="center"/>
              <w:rPr>
                <w:rFonts w:cs="Times New Roman"/>
                <w:b/>
                <w:bCs/>
                <w:sz w:val="22"/>
              </w:rPr>
            </w:pPr>
            <w:r w:rsidRPr="00BF36DF">
              <w:rPr>
                <w:rFonts w:cs="Times New Roman"/>
                <w:b/>
                <w:bCs/>
                <w:sz w:val="22"/>
              </w:rPr>
              <w:t xml:space="preserve">Types of users </w:t>
            </w:r>
          </w:p>
        </w:tc>
        <w:tc>
          <w:tcPr>
            <w:tcW w:w="1599" w:type="pct"/>
            <w:gridSpan w:val="2"/>
            <w:vAlign w:val="center"/>
          </w:tcPr>
          <w:p w14:paraId="0671B5B0" w14:textId="77777777" w:rsidR="005C7CD6" w:rsidRPr="00BF36DF" w:rsidRDefault="005C7CD6" w:rsidP="00622AC7">
            <w:pPr>
              <w:spacing w:line="240" w:lineRule="auto"/>
              <w:jc w:val="center"/>
              <w:rPr>
                <w:rFonts w:cs="Times New Roman"/>
                <w:b/>
                <w:bCs/>
                <w:sz w:val="22"/>
              </w:rPr>
            </w:pPr>
            <w:r w:rsidRPr="00BF36DF">
              <w:rPr>
                <w:rFonts w:cs="Times New Roman"/>
                <w:b/>
                <w:bCs/>
                <w:sz w:val="22"/>
              </w:rPr>
              <w:t>Location of users in the supply chain</w:t>
            </w:r>
          </w:p>
        </w:tc>
        <w:tc>
          <w:tcPr>
            <w:tcW w:w="1650" w:type="pct"/>
            <w:vMerge w:val="restart"/>
            <w:vAlign w:val="center"/>
          </w:tcPr>
          <w:p w14:paraId="5353E63F" w14:textId="77777777" w:rsidR="005C7CD6" w:rsidRPr="00BF36DF" w:rsidRDefault="005C7CD6" w:rsidP="00622AC7">
            <w:pPr>
              <w:spacing w:line="240" w:lineRule="auto"/>
              <w:jc w:val="center"/>
              <w:rPr>
                <w:rFonts w:cs="Times New Roman"/>
                <w:b/>
                <w:bCs/>
                <w:sz w:val="22"/>
              </w:rPr>
            </w:pPr>
            <w:r w:rsidRPr="00BF36DF">
              <w:rPr>
                <w:rFonts w:cs="Times New Roman"/>
                <w:b/>
                <w:bCs/>
                <w:sz w:val="22"/>
              </w:rPr>
              <w:t xml:space="preserve">Details of the users </w:t>
            </w:r>
          </w:p>
        </w:tc>
      </w:tr>
      <w:tr w:rsidR="00E717EC" w:rsidRPr="00BF36DF" w14:paraId="7352C7C6" w14:textId="77777777" w:rsidTr="005C7CD6">
        <w:trPr>
          <w:trHeight w:val="344"/>
        </w:trPr>
        <w:tc>
          <w:tcPr>
            <w:tcW w:w="543" w:type="pct"/>
            <w:vMerge/>
          </w:tcPr>
          <w:p w14:paraId="1113C1EF" w14:textId="77777777" w:rsidR="005C7CD6" w:rsidRPr="00BF36DF" w:rsidRDefault="005C7CD6" w:rsidP="00622AC7">
            <w:pPr>
              <w:spacing w:line="240" w:lineRule="auto"/>
              <w:rPr>
                <w:rFonts w:cs="Times New Roman"/>
                <w:sz w:val="22"/>
              </w:rPr>
            </w:pPr>
          </w:p>
        </w:tc>
        <w:tc>
          <w:tcPr>
            <w:tcW w:w="543" w:type="pct"/>
            <w:vAlign w:val="center"/>
          </w:tcPr>
          <w:p w14:paraId="3E03990F" w14:textId="77777777" w:rsidR="005C7CD6" w:rsidRPr="00BF36DF" w:rsidRDefault="005C7CD6" w:rsidP="00622AC7">
            <w:pPr>
              <w:spacing w:line="240" w:lineRule="auto"/>
              <w:jc w:val="center"/>
              <w:rPr>
                <w:rFonts w:cs="Times New Roman"/>
                <w:sz w:val="22"/>
              </w:rPr>
            </w:pPr>
            <w:r w:rsidRPr="00BF36DF">
              <w:rPr>
                <w:rFonts w:cs="Times New Roman"/>
                <w:sz w:val="22"/>
              </w:rPr>
              <w:t>Single category of user</w:t>
            </w:r>
          </w:p>
        </w:tc>
        <w:tc>
          <w:tcPr>
            <w:tcW w:w="665" w:type="pct"/>
            <w:vAlign w:val="center"/>
          </w:tcPr>
          <w:p w14:paraId="2B13A6DF" w14:textId="7A301051" w:rsidR="005C7CD6" w:rsidRPr="00BF36DF" w:rsidRDefault="005C7CD6" w:rsidP="00622AC7">
            <w:pPr>
              <w:spacing w:line="240" w:lineRule="auto"/>
              <w:jc w:val="center"/>
              <w:rPr>
                <w:rFonts w:cs="Times New Roman"/>
                <w:sz w:val="22"/>
              </w:rPr>
            </w:pPr>
            <w:r w:rsidRPr="00BF36DF">
              <w:rPr>
                <w:rFonts w:cs="Times New Roman"/>
                <w:sz w:val="22"/>
              </w:rPr>
              <w:t>Multiple categories of user</w:t>
            </w:r>
          </w:p>
        </w:tc>
        <w:tc>
          <w:tcPr>
            <w:tcW w:w="798" w:type="pct"/>
            <w:vAlign w:val="center"/>
          </w:tcPr>
          <w:p w14:paraId="2BF58B5C" w14:textId="77777777" w:rsidR="005C7CD6" w:rsidRPr="00BF36DF" w:rsidRDefault="005C7CD6" w:rsidP="00622AC7">
            <w:pPr>
              <w:spacing w:line="240" w:lineRule="auto"/>
              <w:jc w:val="center"/>
              <w:rPr>
                <w:rFonts w:cs="Times New Roman"/>
                <w:sz w:val="22"/>
              </w:rPr>
            </w:pPr>
            <w:r w:rsidRPr="00BF36DF">
              <w:rPr>
                <w:rFonts w:cs="Times New Roman"/>
                <w:sz w:val="22"/>
              </w:rPr>
              <w:t xml:space="preserve">Upstream of the facility </w:t>
            </w:r>
          </w:p>
        </w:tc>
        <w:tc>
          <w:tcPr>
            <w:tcW w:w="801" w:type="pct"/>
            <w:vAlign w:val="center"/>
          </w:tcPr>
          <w:p w14:paraId="05F013CE" w14:textId="77777777" w:rsidR="005C7CD6" w:rsidRPr="00BF36DF" w:rsidRDefault="005C7CD6" w:rsidP="00622AC7">
            <w:pPr>
              <w:spacing w:line="240" w:lineRule="auto"/>
              <w:jc w:val="center"/>
              <w:rPr>
                <w:rFonts w:cs="Times New Roman"/>
                <w:sz w:val="22"/>
              </w:rPr>
            </w:pPr>
            <w:r w:rsidRPr="00BF36DF">
              <w:rPr>
                <w:rFonts w:cs="Times New Roman"/>
                <w:sz w:val="22"/>
              </w:rPr>
              <w:t>Downstream of the facility</w:t>
            </w:r>
          </w:p>
        </w:tc>
        <w:tc>
          <w:tcPr>
            <w:tcW w:w="1650" w:type="pct"/>
            <w:vMerge/>
          </w:tcPr>
          <w:p w14:paraId="66346EF8" w14:textId="77777777" w:rsidR="005C7CD6" w:rsidRPr="00BF36DF" w:rsidRDefault="005C7CD6" w:rsidP="00622AC7">
            <w:pPr>
              <w:spacing w:line="240" w:lineRule="auto"/>
              <w:rPr>
                <w:rFonts w:cs="Times New Roman"/>
                <w:sz w:val="22"/>
              </w:rPr>
            </w:pPr>
          </w:p>
        </w:tc>
      </w:tr>
      <w:tr w:rsidR="00E717EC" w:rsidRPr="00BF36DF" w14:paraId="309010B8" w14:textId="77777777" w:rsidTr="005C7CD6">
        <w:tc>
          <w:tcPr>
            <w:tcW w:w="543" w:type="pct"/>
            <w:vAlign w:val="center"/>
          </w:tcPr>
          <w:p w14:paraId="49C6DE2E" w14:textId="77777777" w:rsidR="005C7CD6" w:rsidRPr="00BF36DF" w:rsidRDefault="005C7CD6" w:rsidP="00622AC7">
            <w:pPr>
              <w:spacing w:line="240" w:lineRule="auto"/>
              <w:jc w:val="left"/>
              <w:rPr>
                <w:rFonts w:cs="Times New Roman"/>
                <w:sz w:val="22"/>
              </w:rPr>
            </w:pPr>
            <w:r w:rsidRPr="00BF36DF">
              <w:rPr>
                <w:rFonts w:cs="Times New Roman"/>
                <w:sz w:val="22"/>
              </w:rPr>
              <w:t>SCUCC</w:t>
            </w:r>
          </w:p>
        </w:tc>
        <w:tc>
          <w:tcPr>
            <w:tcW w:w="543" w:type="pct"/>
            <w:vAlign w:val="center"/>
          </w:tcPr>
          <w:p w14:paraId="6D46703D" w14:textId="77777777" w:rsidR="005C7CD6" w:rsidRPr="00BF36DF" w:rsidRDefault="005C7CD6" w:rsidP="00622AC7">
            <w:pPr>
              <w:spacing w:line="240" w:lineRule="auto"/>
              <w:jc w:val="center"/>
              <w:rPr>
                <w:rFonts w:cs="Times New Roman"/>
                <w:sz w:val="22"/>
              </w:rPr>
            </w:pPr>
            <w:r w:rsidRPr="00BF36DF">
              <w:rPr>
                <w:rFonts w:ascii="Segoe UI Symbol" w:hAnsi="Segoe UI Symbol" w:cs="Segoe UI Symbol" w:hint="eastAsia"/>
                <w:sz w:val="22"/>
              </w:rPr>
              <w:sym w:font="Wingdings" w:char="F0FC"/>
            </w:r>
          </w:p>
        </w:tc>
        <w:tc>
          <w:tcPr>
            <w:tcW w:w="665" w:type="pct"/>
            <w:vAlign w:val="center"/>
          </w:tcPr>
          <w:p w14:paraId="424CB2B8" w14:textId="77777777" w:rsidR="005C7CD6" w:rsidRPr="00BF36DF" w:rsidRDefault="005C7CD6" w:rsidP="00622AC7">
            <w:pPr>
              <w:spacing w:line="240" w:lineRule="auto"/>
              <w:jc w:val="center"/>
              <w:rPr>
                <w:rFonts w:cs="Times New Roman"/>
                <w:sz w:val="22"/>
              </w:rPr>
            </w:pPr>
          </w:p>
        </w:tc>
        <w:tc>
          <w:tcPr>
            <w:tcW w:w="798" w:type="pct"/>
            <w:vAlign w:val="center"/>
          </w:tcPr>
          <w:p w14:paraId="13711FAD" w14:textId="77777777" w:rsidR="005C7CD6" w:rsidRPr="00BF36DF" w:rsidRDefault="005C7CD6" w:rsidP="00622AC7">
            <w:pPr>
              <w:spacing w:line="240" w:lineRule="auto"/>
              <w:jc w:val="center"/>
              <w:rPr>
                <w:rFonts w:cs="Times New Roman"/>
                <w:sz w:val="22"/>
              </w:rPr>
            </w:pPr>
            <w:r w:rsidRPr="00BF36DF">
              <w:rPr>
                <w:rFonts w:ascii="Segoe UI Symbol" w:hAnsi="Segoe UI Symbol" w:cs="Segoe UI Symbol" w:hint="eastAsia"/>
                <w:sz w:val="22"/>
              </w:rPr>
              <w:sym w:font="Wingdings" w:char="F0FC"/>
            </w:r>
          </w:p>
        </w:tc>
        <w:tc>
          <w:tcPr>
            <w:tcW w:w="801" w:type="pct"/>
            <w:vAlign w:val="center"/>
          </w:tcPr>
          <w:p w14:paraId="75D8F9B9" w14:textId="77777777" w:rsidR="005C7CD6" w:rsidRPr="00BF36DF" w:rsidRDefault="005C7CD6" w:rsidP="00622AC7">
            <w:pPr>
              <w:spacing w:line="240" w:lineRule="auto"/>
              <w:jc w:val="center"/>
              <w:rPr>
                <w:rFonts w:cs="Times New Roman"/>
                <w:sz w:val="22"/>
              </w:rPr>
            </w:pPr>
          </w:p>
        </w:tc>
        <w:tc>
          <w:tcPr>
            <w:tcW w:w="1650" w:type="pct"/>
          </w:tcPr>
          <w:p w14:paraId="1FF13228" w14:textId="77777777" w:rsidR="005C7CD6" w:rsidRPr="00BF36DF" w:rsidRDefault="005C7CD6" w:rsidP="00622AC7">
            <w:pPr>
              <w:spacing w:line="240" w:lineRule="auto"/>
              <w:rPr>
                <w:rFonts w:cs="Times New Roman"/>
                <w:sz w:val="22"/>
              </w:rPr>
            </w:pPr>
            <w:r w:rsidRPr="00BF36DF">
              <w:rPr>
                <w:rFonts w:cs="Times New Roman"/>
                <w:sz w:val="22"/>
              </w:rPr>
              <w:t>Forward and reverse logistics company</w:t>
            </w:r>
          </w:p>
        </w:tc>
      </w:tr>
      <w:tr w:rsidR="00E717EC" w:rsidRPr="00BF36DF" w14:paraId="6C06ED4E" w14:textId="77777777" w:rsidTr="005C7CD6">
        <w:tc>
          <w:tcPr>
            <w:tcW w:w="543" w:type="pct"/>
            <w:vAlign w:val="center"/>
          </w:tcPr>
          <w:p w14:paraId="21DE3FAF" w14:textId="77777777" w:rsidR="005C7CD6" w:rsidRPr="00BF36DF" w:rsidRDefault="005C7CD6" w:rsidP="00622AC7">
            <w:pPr>
              <w:spacing w:line="240" w:lineRule="auto"/>
              <w:jc w:val="left"/>
              <w:rPr>
                <w:rFonts w:cs="Times New Roman"/>
                <w:sz w:val="22"/>
              </w:rPr>
            </w:pPr>
            <w:r w:rsidRPr="00BF36DF">
              <w:rPr>
                <w:rFonts w:cs="Times New Roman"/>
                <w:sz w:val="22"/>
              </w:rPr>
              <w:t>RSUCC</w:t>
            </w:r>
          </w:p>
        </w:tc>
        <w:tc>
          <w:tcPr>
            <w:tcW w:w="543" w:type="pct"/>
            <w:vAlign w:val="center"/>
          </w:tcPr>
          <w:p w14:paraId="663DE913" w14:textId="77777777" w:rsidR="005C7CD6" w:rsidRPr="00BF36DF" w:rsidRDefault="005C7CD6" w:rsidP="00622AC7">
            <w:pPr>
              <w:spacing w:line="240" w:lineRule="auto"/>
              <w:jc w:val="center"/>
              <w:rPr>
                <w:rFonts w:cs="Times New Roman"/>
                <w:sz w:val="22"/>
              </w:rPr>
            </w:pPr>
            <w:r w:rsidRPr="00BF36DF">
              <w:rPr>
                <w:rFonts w:ascii="Segoe UI Symbol" w:hAnsi="Segoe UI Symbol" w:cs="Segoe UI Symbol" w:hint="eastAsia"/>
                <w:sz w:val="22"/>
              </w:rPr>
              <w:sym w:font="Wingdings" w:char="F0FC"/>
            </w:r>
          </w:p>
        </w:tc>
        <w:tc>
          <w:tcPr>
            <w:tcW w:w="665" w:type="pct"/>
            <w:vAlign w:val="center"/>
          </w:tcPr>
          <w:p w14:paraId="70236932" w14:textId="77777777" w:rsidR="005C7CD6" w:rsidRPr="00BF36DF" w:rsidRDefault="005C7CD6" w:rsidP="00622AC7">
            <w:pPr>
              <w:spacing w:line="240" w:lineRule="auto"/>
              <w:jc w:val="center"/>
              <w:rPr>
                <w:rFonts w:cs="Times New Roman"/>
                <w:sz w:val="22"/>
              </w:rPr>
            </w:pPr>
          </w:p>
        </w:tc>
        <w:tc>
          <w:tcPr>
            <w:tcW w:w="798" w:type="pct"/>
            <w:vAlign w:val="center"/>
          </w:tcPr>
          <w:p w14:paraId="1987A791" w14:textId="77777777" w:rsidR="005C7CD6" w:rsidRPr="00BF36DF" w:rsidRDefault="005C7CD6" w:rsidP="00622AC7">
            <w:pPr>
              <w:spacing w:line="240" w:lineRule="auto"/>
              <w:jc w:val="center"/>
              <w:rPr>
                <w:rFonts w:cs="Times New Roman"/>
                <w:sz w:val="22"/>
              </w:rPr>
            </w:pPr>
          </w:p>
        </w:tc>
        <w:tc>
          <w:tcPr>
            <w:tcW w:w="801" w:type="pct"/>
            <w:vAlign w:val="center"/>
          </w:tcPr>
          <w:p w14:paraId="043417A8" w14:textId="77777777" w:rsidR="005C7CD6" w:rsidRPr="00BF36DF" w:rsidRDefault="005C7CD6" w:rsidP="00622AC7">
            <w:pPr>
              <w:spacing w:line="240" w:lineRule="auto"/>
              <w:jc w:val="center"/>
              <w:rPr>
                <w:rFonts w:cs="Times New Roman"/>
                <w:sz w:val="22"/>
              </w:rPr>
            </w:pPr>
            <w:r w:rsidRPr="00BF36DF">
              <w:rPr>
                <w:rFonts w:ascii="Segoe UI Symbol" w:hAnsi="Segoe UI Symbol" w:cs="Segoe UI Symbol" w:hint="eastAsia"/>
                <w:sz w:val="22"/>
              </w:rPr>
              <w:sym w:font="Wingdings" w:char="F0FC"/>
            </w:r>
          </w:p>
        </w:tc>
        <w:tc>
          <w:tcPr>
            <w:tcW w:w="1650" w:type="pct"/>
          </w:tcPr>
          <w:p w14:paraId="5D7C416D" w14:textId="77777777" w:rsidR="005C7CD6" w:rsidRPr="00BF36DF" w:rsidRDefault="005C7CD6" w:rsidP="00622AC7">
            <w:pPr>
              <w:spacing w:line="240" w:lineRule="auto"/>
              <w:rPr>
                <w:rFonts w:cs="Times New Roman"/>
                <w:sz w:val="22"/>
              </w:rPr>
            </w:pPr>
            <w:r w:rsidRPr="00BF36DF">
              <w:rPr>
                <w:rFonts w:cs="Times New Roman"/>
                <w:sz w:val="22"/>
              </w:rPr>
              <w:t>Construction companies</w:t>
            </w:r>
          </w:p>
        </w:tc>
      </w:tr>
      <w:tr w:rsidR="00E717EC" w:rsidRPr="00BF36DF" w14:paraId="0891BA4F" w14:textId="77777777" w:rsidTr="005C7CD6">
        <w:trPr>
          <w:trHeight w:val="199"/>
        </w:trPr>
        <w:tc>
          <w:tcPr>
            <w:tcW w:w="543" w:type="pct"/>
            <w:vAlign w:val="center"/>
          </w:tcPr>
          <w:p w14:paraId="60CAB529" w14:textId="77777777" w:rsidR="005C7CD6" w:rsidRPr="00BF36DF" w:rsidRDefault="005C7CD6" w:rsidP="00622AC7">
            <w:pPr>
              <w:spacing w:line="240" w:lineRule="auto"/>
              <w:jc w:val="left"/>
              <w:rPr>
                <w:rFonts w:cs="Times New Roman"/>
                <w:sz w:val="22"/>
              </w:rPr>
            </w:pPr>
            <w:r w:rsidRPr="00BF36DF">
              <w:rPr>
                <w:rFonts w:cs="Times New Roman"/>
                <w:sz w:val="22"/>
              </w:rPr>
              <w:t>CAUCC</w:t>
            </w:r>
          </w:p>
        </w:tc>
        <w:tc>
          <w:tcPr>
            <w:tcW w:w="543" w:type="pct"/>
            <w:vAlign w:val="center"/>
          </w:tcPr>
          <w:p w14:paraId="5B94BEFC" w14:textId="77777777" w:rsidR="005C7CD6" w:rsidRPr="00BF36DF" w:rsidRDefault="005C7CD6" w:rsidP="00622AC7">
            <w:pPr>
              <w:spacing w:line="240" w:lineRule="auto"/>
              <w:jc w:val="center"/>
              <w:rPr>
                <w:rFonts w:cs="Times New Roman"/>
                <w:sz w:val="22"/>
              </w:rPr>
            </w:pPr>
          </w:p>
        </w:tc>
        <w:tc>
          <w:tcPr>
            <w:tcW w:w="665" w:type="pct"/>
            <w:vAlign w:val="center"/>
          </w:tcPr>
          <w:p w14:paraId="746FA242" w14:textId="77777777" w:rsidR="005C7CD6" w:rsidRPr="00BF36DF" w:rsidRDefault="005C7CD6" w:rsidP="00622AC7">
            <w:pPr>
              <w:spacing w:line="240" w:lineRule="auto"/>
              <w:jc w:val="center"/>
              <w:rPr>
                <w:rFonts w:cs="Times New Roman"/>
                <w:sz w:val="22"/>
              </w:rPr>
            </w:pPr>
            <w:r w:rsidRPr="00BF36DF">
              <w:rPr>
                <w:rFonts w:ascii="Segoe UI Symbol" w:hAnsi="Segoe UI Symbol" w:cs="Segoe UI Symbol" w:hint="eastAsia"/>
                <w:sz w:val="22"/>
              </w:rPr>
              <w:sym w:font="Wingdings" w:char="F0FC"/>
            </w:r>
          </w:p>
        </w:tc>
        <w:tc>
          <w:tcPr>
            <w:tcW w:w="798" w:type="pct"/>
            <w:vAlign w:val="center"/>
          </w:tcPr>
          <w:p w14:paraId="79B0C093" w14:textId="77777777" w:rsidR="005C7CD6" w:rsidRPr="00BF36DF" w:rsidRDefault="005C7CD6" w:rsidP="00622AC7">
            <w:pPr>
              <w:spacing w:line="240" w:lineRule="auto"/>
              <w:jc w:val="center"/>
              <w:rPr>
                <w:rFonts w:cs="Times New Roman"/>
                <w:sz w:val="22"/>
              </w:rPr>
            </w:pPr>
            <w:r w:rsidRPr="00BF36DF">
              <w:rPr>
                <w:rFonts w:ascii="Segoe UI Symbol" w:hAnsi="Segoe UI Symbol" w:cs="Segoe UI Symbol" w:hint="eastAsia"/>
                <w:sz w:val="22"/>
              </w:rPr>
              <w:sym w:font="Wingdings" w:char="F0FC"/>
            </w:r>
          </w:p>
        </w:tc>
        <w:tc>
          <w:tcPr>
            <w:tcW w:w="801" w:type="pct"/>
            <w:vAlign w:val="center"/>
          </w:tcPr>
          <w:p w14:paraId="0CD8B853" w14:textId="77777777" w:rsidR="005C7CD6" w:rsidRPr="00BF36DF" w:rsidRDefault="005C7CD6" w:rsidP="00622AC7">
            <w:pPr>
              <w:spacing w:line="240" w:lineRule="auto"/>
              <w:jc w:val="center"/>
              <w:rPr>
                <w:rFonts w:cs="Times New Roman"/>
                <w:sz w:val="22"/>
              </w:rPr>
            </w:pPr>
          </w:p>
        </w:tc>
        <w:tc>
          <w:tcPr>
            <w:tcW w:w="1650" w:type="pct"/>
          </w:tcPr>
          <w:p w14:paraId="7123F16F" w14:textId="77777777" w:rsidR="005C7CD6" w:rsidRPr="00BF36DF" w:rsidRDefault="005C7CD6" w:rsidP="00622AC7">
            <w:pPr>
              <w:spacing w:line="240" w:lineRule="auto"/>
              <w:rPr>
                <w:rFonts w:cs="Times New Roman"/>
                <w:sz w:val="22"/>
              </w:rPr>
            </w:pPr>
            <w:r w:rsidRPr="00BF36DF">
              <w:rPr>
                <w:rFonts w:cs="Times New Roman"/>
                <w:sz w:val="22"/>
              </w:rPr>
              <w:t>Medical wholesales</w:t>
            </w:r>
          </w:p>
        </w:tc>
      </w:tr>
      <w:tr w:rsidR="00E717EC" w:rsidRPr="00BF36DF" w14:paraId="678253E2" w14:textId="77777777" w:rsidTr="005C7CD6">
        <w:tc>
          <w:tcPr>
            <w:tcW w:w="543" w:type="pct"/>
            <w:vAlign w:val="center"/>
          </w:tcPr>
          <w:p w14:paraId="59A511E9" w14:textId="77777777" w:rsidR="005C7CD6" w:rsidRPr="00BF36DF" w:rsidRDefault="005C7CD6" w:rsidP="00622AC7">
            <w:pPr>
              <w:spacing w:line="240" w:lineRule="auto"/>
              <w:jc w:val="left"/>
              <w:rPr>
                <w:rFonts w:cs="Times New Roman"/>
                <w:sz w:val="22"/>
              </w:rPr>
            </w:pPr>
            <w:r w:rsidRPr="00BF36DF">
              <w:rPr>
                <w:rFonts w:cs="Times New Roman"/>
                <w:sz w:val="22"/>
              </w:rPr>
              <w:t>CBUCC</w:t>
            </w:r>
          </w:p>
        </w:tc>
        <w:tc>
          <w:tcPr>
            <w:tcW w:w="543" w:type="pct"/>
            <w:vAlign w:val="center"/>
          </w:tcPr>
          <w:p w14:paraId="2CACEDBD" w14:textId="77777777" w:rsidR="005C7CD6" w:rsidRPr="00BF36DF" w:rsidRDefault="005C7CD6" w:rsidP="00622AC7">
            <w:pPr>
              <w:spacing w:line="240" w:lineRule="auto"/>
              <w:jc w:val="center"/>
              <w:rPr>
                <w:rFonts w:cs="Times New Roman"/>
                <w:sz w:val="22"/>
              </w:rPr>
            </w:pPr>
          </w:p>
        </w:tc>
        <w:tc>
          <w:tcPr>
            <w:tcW w:w="665" w:type="pct"/>
            <w:vAlign w:val="center"/>
          </w:tcPr>
          <w:p w14:paraId="01293A30" w14:textId="77777777" w:rsidR="005C7CD6" w:rsidRPr="00BF36DF" w:rsidRDefault="005C7CD6" w:rsidP="00622AC7">
            <w:pPr>
              <w:spacing w:line="240" w:lineRule="auto"/>
              <w:jc w:val="center"/>
              <w:rPr>
                <w:rFonts w:cs="Times New Roman"/>
                <w:sz w:val="22"/>
              </w:rPr>
            </w:pPr>
            <w:r w:rsidRPr="00BF36DF">
              <w:rPr>
                <w:rFonts w:ascii="Segoe UI Symbol" w:hAnsi="Segoe UI Symbol" w:cs="Segoe UI Symbol" w:hint="eastAsia"/>
                <w:sz w:val="22"/>
              </w:rPr>
              <w:sym w:font="Wingdings" w:char="F0FC"/>
            </w:r>
          </w:p>
        </w:tc>
        <w:tc>
          <w:tcPr>
            <w:tcW w:w="798" w:type="pct"/>
            <w:vAlign w:val="center"/>
          </w:tcPr>
          <w:p w14:paraId="25AA04B4" w14:textId="77777777" w:rsidR="005C7CD6" w:rsidRPr="00BF36DF" w:rsidRDefault="005C7CD6" w:rsidP="00622AC7">
            <w:pPr>
              <w:spacing w:line="240" w:lineRule="auto"/>
              <w:jc w:val="center"/>
              <w:rPr>
                <w:rFonts w:cs="Times New Roman"/>
                <w:sz w:val="22"/>
              </w:rPr>
            </w:pPr>
            <w:r w:rsidRPr="00BF36DF">
              <w:rPr>
                <w:rFonts w:ascii="Segoe UI Symbol" w:hAnsi="Segoe UI Symbol" w:cs="Segoe UI Symbol" w:hint="eastAsia"/>
                <w:sz w:val="22"/>
              </w:rPr>
              <w:sym w:font="Wingdings" w:char="F0FC"/>
            </w:r>
          </w:p>
        </w:tc>
        <w:tc>
          <w:tcPr>
            <w:tcW w:w="801" w:type="pct"/>
            <w:vAlign w:val="center"/>
          </w:tcPr>
          <w:p w14:paraId="068328E4" w14:textId="77777777" w:rsidR="005C7CD6" w:rsidRPr="00BF36DF" w:rsidRDefault="005C7CD6" w:rsidP="00622AC7">
            <w:pPr>
              <w:spacing w:line="240" w:lineRule="auto"/>
              <w:jc w:val="center"/>
              <w:rPr>
                <w:rFonts w:cs="Times New Roman"/>
                <w:sz w:val="22"/>
              </w:rPr>
            </w:pPr>
          </w:p>
        </w:tc>
        <w:tc>
          <w:tcPr>
            <w:tcW w:w="1650" w:type="pct"/>
          </w:tcPr>
          <w:p w14:paraId="70C453FB" w14:textId="77777777" w:rsidR="005C7CD6" w:rsidRPr="00BF36DF" w:rsidRDefault="005C7CD6" w:rsidP="00622AC7">
            <w:pPr>
              <w:spacing w:line="240" w:lineRule="auto"/>
              <w:rPr>
                <w:rFonts w:cs="Times New Roman"/>
                <w:sz w:val="22"/>
              </w:rPr>
            </w:pPr>
            <w:r w:rsidRPr="00BF36DF">
              <w:rPr>
                <w:rFonts w:cs="Times New Roman"/>
                <w:sz w:val="22"/>
              </w:rPr>
              <w:t>Intercity transportation companies</w:t>
            </w:r>
          </w:p>
        </w:tc>
      </w:tr>
    </w:tbl>
    <w:p w14:paraId="0DD9017C" w14:textId="4A4CA72F" w:rsidR="00656367" w:rsidRPr="00BF36DF" w:rsidRDefault="007B5959" w:rsidP="00102D71">
      <w:pPr>
        <w:pStyle w:val="Caption"/>
        <w:spacing w:line="360" w:lineRule="auto"/>
        <w:rPr>
          <w:rFonts w:cs="Times New Roman"/>
          <w:color w:val="auto"/>
        </w:rPr>
      </w:pPr>
      <w:bookmarkStart w:id="781" w:name="_Ref44972900"/>
      <w:bookmarkStart w:id="782" w:name="_Toc46053572"/>
      <w:bookmarkStart w:id="783" w:name="_Toc46093821"/>
      <w:bookmarkStart w:id="784" w:name="_Toc66698788"/>
      <w:r w:rsidRPr="00BF36DF">
        <w:rPr>
          <w:rFonts w:cs="Times New Roman"/>
          <w:color w:val="auto"/>
        </w:rPr>
        <w:t>Table</w:t>
      </w:r>
      <w:r w:rsidR="00656367" w:rsidRPr="00BF36DF">
        <w:rPr>
          <w:rFonts w:cs="Times New Roman"/>
          <w:color w:val="auto"/>
        </w:rPr>
        <w:t xml:space="preserve"> </w:t>
      </w:r>
      <w:r w:rsidR="00FE10DA" w:rsidRPr="00BF36DF">
        <w:rPr>
          <w:rFonts w:cs="Times New Roman"/>
          <w:color w:val="auto"/>
        </w:rPr>
        <w:fldChar w:fldCharType="begin"/>
      </w:r>
      <w:r w:rsidR="00FE10DA" w:rsidRPr="00BF36DF">
        <w:rPr>
          <w:rFonts w:cs="Times New Roman"/>
          <w:color w:val="auto"/>
        </w:rPr>
        <w:instrText xml:space="preserve"> STYLEREF 1 \s </w:instrText>
      </w:r>
      <w:r w:rsidR="00FE10DA" w:rsidRPr="00BF36DF">
        <w:rPr>
          <w:rFonts w:cs="Times New Roman"/>
          <w:color w:val="auto"/>
        </w:rPr>
        <w:fldChar w:fldCharType="separate"/>
      </w:r>
      <w:r w:rsidR="0005064B">
        <w:rPr>
          <w:rFonts w:cs="Times New Roman"/>
          <w:noProof/>
          <w:color w:val="auto"/>
        </w:rPr>
        <w:t>5</w:t>
      </w:r>
      <w:r w:rsidR="00FE10DA" w:rsidRPr="00BF36DF">
        <w:rPr>
          <w:rFonts w:cs="Times New Roman"/>
          <w:color w:val="auto"/>
        </w:rPr>
        <w:fldChar w:fldCharType="end"/>
      </w:r>
      <w:r w:rsidR="00FE10DA" w:rsidRPr="00BF36DF">
        <w:rPr>
          <w:rFonts w:cs="Times New Roman"/>
          <w:color w:val="auto"/>
        </w:rPr>
        <w:noBreakHyphen/>
      </w:r>
      <w:r w:rsidR="00FE10DA" w:rsidRPr="00BF36DF">
        <w:rPr>
          <w:rFonts w:cs="Times New Roman"/>
          <w:color w:val="auto"/>
        </w:rPr>
        <w:fldChar w:fldCharType="begin"/>
      </w:r>
      <w:r w:rsidR="00FE10DA" w:rsidRPr="00BF36DF">
        <w:rPr>
          <w:rFonts w:cs="Times New Roman"/>
          <w:color w:val="auto"/>
        </w:rPr>
        <w:instrText xml:space="preserve"> SEQ Table \* ARABIC \s 1 </w:instrText>
      </w:r>
      <w:r w:rsidR="00FE10DA" w:rsidRPr="00BF36DF">
        <w:rPr>
          <w:rFonts w:cs="Times New Roman"/>
          <w:color w:val="auto"/>
        </w:rPr>
        <w:fldChar w:fldCharType="separate"/>
      </w:r>
      <w:r w:rsidR="0005064B">
        <w:rPr>
          <w:rFonts w:cs="Times New Roman"/>
          <w:noProof/>
          <w:color w:val="auto"/>
        </w:rPr>
        <w:t>6</w:t>
      </w:r>
      <w:r w:rsidR="00FE10DA" w:rsidRPr="00BF36DF">
        <w:rPr>
          <w:rFonts w:cs="Times New Roman"/>
          <w:color w:val="auto"/>
        </w:rPr>
        <w:fldChar w:fldCharType="end"/>
      </w:r>
      <w:bookmarkEnd w:id="781"/>
      <w:r w:rsidR="00AF217C" w:rsidRPr="00BF36DF">
        <w:rPr>
          <w:rFonts w:cs="Times New Roman"/>
          <w:color w:val="auto"/>
        </w:rPr>
        <w:t>:</w:t>
      </w:r>
      <w:r w:rsidR="00656367" w:rsidRPr="00BF36DF">
        <w:rPr>
          <w:rFonts w:cs="Times New Roman"/>
          <w:color w:val="auto"/>
        </w:rPr>
        <w:t xml:space="preserve"> Users’ locations in the transport chain of the urban consolidation centre (UCC)</w:t>
      </w:r>
      <w:bookmarkEnd w:id="782"/>
      <w:bookmarkEnd w:id="783"/>
      <w:bookmarkEnd w:id="784"/>
    </w:p>
    <w:p w14:paraId="591AB99A" w14:textId="634D29C7" w:rsidR="00656367" w:rsidRPr="00BF36DF" w:rsidRDefault="00656367" w:rsidP="00656367">
      <w:pPr>
        <w:spacing w:line="360" w:lineRule="auto"/>
        <w:rPr>
          <w:rFonts w:cs="Times New Roman"/>
        </w:rPr>
      </w:pPr>
      <w:r w:rsidRPr="00BF36DF">
        <w:rPr>
          <w:rFonts w:cs="Times New Roman"/>
        </w:rPr>
        <w:lastRenderedPageBreak/>
        <w:t>The success of these four UCCs is due to their users, who provide sufficient volumes of goods. In the Swedish cases, the stakeholders built the UCC projects, which then attracted the users (</w:t>
      </w:r>
      <w:r w:rsidR="00622AC7" w:rsidRPr="00BF36DF">
        <w:rPr>
          <w:rFonts w:cs="Times New Roman"/>
        </w:rPr>
        <w:fldChar w:fldCharType="begin"/>
      </w:r>
      <w:r w:rsidR="00622AC7" w:rsidRPr="00BF36DF">
        <w:rPr>
          <w:rFonts w:cs="Times New Roman"/>
        </w:rPr>
        <w:instrText xml:space="preserve"> REF _Ref44973121 \h </w:instrText>
      </w:r>
      <w:r w:rsidR="00622AC7" w:rsidRPr="00BF36DF">
        <w:rPr>
          <w:rFonts w:cs="Times New Roman"/>
        </w:rPr>
      </w:r>
      <w:r w:rsidR="00622AC7" w:rsidRPr="00BF36DF">
        <w:rPr>
          <w:rFonts w:cs="Times New Roman"/>
        </w:rPr>
        <w:fldChar w:fldCharType="separate"/>
      </w:r>
      <w:r w:rsidR="0005064B" w:rsidRPr="00BF36DF">
        <w:rPr>
          <w:rFonts w:cs="Times New Roman"/>
        </w:rPr>
        <w:t xml:space="preserve">Figure </w:t>
      </w:r>
      <w:r w:rsidR="0005064B">
        <w:rPr>
          <w:rFonts w:cs="Times New Roman"/>
          <w:noProof/>
        </w:rPr>
        <w:t>5</w:t>
      </w:r>
      <w:r w:rsidR="0005064B">
        <w:rPr>
          <w:rFonts w:cs="Times New Roman"/>
        </w:rPr>
        <w:noBreakHyphen/>
      </w:r>
      <w:r w:rsidR="0005064B">
        <w:rPr>
          <w:rFonts w:cs="Times New Roman"/>
          <w:noProof/>
        </w:rPr>
        <w:t>4</w:t>
      </w:r>
      <w:r w:rsidR="00622AC7" w:rsidRPr="00BF36DF">
        <w:rPr>
          <w:rFonts w:cs="Times New Roman"/>
        </w:rPr>
        <w:fldChar w:fldCharType="end"/>
      </w:r>
      <w:r w:rsidRPr="00BF36DF">
        <w:rPr>
          <w:rFonts w:cs="Times New Roman"/>
        </w:rPr>
        <w:t xml:space="preserve">-A). In the Chinese </w:t>
      </w:r>
      <w:r w:rsidR="00A662E0" w:rsidRPr="00BF36DF">
        <w:rPr>
          <w:rFonts w:cs="Times New Roman"/>
        </w:rPr>
        <w:t>examples</w:t>
      </w:r>
      <w:r w:rsidRPr="00BF36DF">
        <w:rPr>
          <w:rFonts w:cs="Times New Roman"/>
        </w:rPr>
        <w:t>, the establishment of the facility was in response to demand from users (</w:t>
      </w:r>
      <w:r w:rsidR="00622AC7" w:rsidRPr="00BF36DF">
        <w:rPr>
          <w:rFonts w:cs="Times New Roman"/>
        </w:rPr>
        <w:fldChar w:fldCharType="begin"/>
      </w:r>
      <w:r w:rsidR="00622AC7" w:rsidRPr="00BF36DF">
        <w:rPr>
          <w:rFonts w:cs="Times New Roman"/>
        </w:rPr>
        <w:instrText xml:space="preserve"> REF _Ref44973121 \h </w:instrText>
      </w:r>
      <w:r w:rsidR="00622AC7" w:rsidRPr="00BF36DF">
        <w:rPr>
          <w:rFonts w:cs="Times New Roman"/>
        </w:rPr>
      </w:r>
      <w:r w:rsidR="00622AC7" w:rsidRPr="00BF36DF">
        <w:rPr>
          <w:rFonts w:cs="Times New Roman"/>
        </w:rPr>
        <w:fldChar w:fldCharType="separate"/>
      </w:r>
      <w:r w:rsidR="0005064B" w:rsidRPr="00BF36DF">
        <w:rPr>
          <w:rFonts w:cs="Times New Roman"/>
        </w:rPr>
        <w:t xml:space="preserve">Figure </w:t>
      </w:r>
      <w:r w:rsidR="0005064B">
        <w:rPr>
          <w:rFonts w:cs="Times New Roman"/>
          <w:noProof/>
        </w:rPr>
        <w:t>5</w:t>
      </w:r>
      <w:r w:rsidR="0005064B">
        <w:rPr>
          <w:rFonts w:cs="Times New Roman"/>
        </w:rPr>
        <w:noBreakHyphen/>
      </w:r>
      <w:r w:rsidR="0005064B">
        <w:rPr>
          <w:rFonts w:cs="Times New Roman"/>
          <w:noProof/>
        </w:rPr>
        <w:t>4</w:t>
      </w:r>
      <w:r w:rsidR="00622AC7" w:rsidRPr="00BF36DF">
        <w:rPr>
          <w:rFonts w:cs="Times New Roman"/>
        </w:rPr>
        <w:fldChar w:fldCharType="end"/>
      </w:r>
      <w:r w:rsidRPr="00BF36DF">
        <w:rPr>
          <w:rFonts w:cs="Times New Roman"/>
        </w:rPr>
        <w:t xml:space="preserve">-B). Users are thus willing to ‘buy’ the services and, consequently, the facility normally </w:t>
      </w:r>
      <w:r w:rsidR="00E666F1" w:rsidRPr="00BF36DF">
        <w:rPr>
          <w:rFonts w:cs="Times New Roman"/>
        </w:rPr>
        <w:t>can</w:t>
      </w:r>
      <w:r w:rsidRPr="00BF36DF">
        <w:rPr>
          <w:rFonts w:cs="Times New Roman"/>
        </w:rPr>
        <w:t xml:space="preserve"> achieve financial sustainability. </w:t>
      </w:r>
    </w:p>
    <w:p w14:paraId="714F34B1" w14:textId="77777777" w:rsidR="00656367" w:rsidRPr="00BF36DF" w:rsidRDefault="00656367" w:rsidP="00656367">
      <w:pPr>
        <w:pStyle w:val="Caption"/>
        <w:spacing w:after="0" w:line="360" w:lineRule="auto"/>
        <w:rPr>
          <w:rFonts w:cs="Times New Roman"/>
          <w:color w:val="auto"/>
        </w:rPr>
      </w:pPr>
      <w:r w:rsidRPr="00BF36DF">
        <w:rPr>
          <w:rFonts w:cs="Times New Roman"/>
          <w:noProof/>
          <w:color w:val="auto"/>
          <w:lang w:eastAsia="en-GB"/>
        </w:rPr>
        <w:drawing>
          <wp:inline distT="0" distB="0" distL="0" distR="0" wp14:anchorId="32E6562B" wp14:editId="49847FCB">
            <wp:extent cx="5760085" cy="303149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60085" cy="3031490"/>
                    </a:xfrm>
                    <a:prstGeom prst="rect">
                      <a:avLst/>
                    </a:prstGeom>
                    <a:noFill/>
                    <a:ln>
                      <a:noFill/>
                    </a:ln>
                  </pic:spPr>
                </pic:pic>
              </a:graphicData>
            </a:graphic>
          </wp:inline>
        </w:drawing>
      </w:r>
    </w:p>
    <w:p w14:paraId="0E591DA3" w14:textId="30D12A63" w:rsidR="00656367" w:rsidRPr="00BF36DF" w:rsidRDefault="00656367" w:rsidP="00622AC7">
      <w:pPr>
        <w:pStyle w:val="Caption"/>
        <w:spacing w:line="360" w:lineRule="auto"/>
        <w:rPr>
          <w:rFonts w:cs="Times New Roman"/>
          <w:color w:val="auto"/>
        </w:rPr>
      </w:pPr>
      <w:bookmarkStart w:id="785" w:name="_Ref44973121"/>
      <w:bookmarkStart w:id="786" w:name="_Toc46053686"/>
      <w:bookmarkStart w:id="787" w:name="_Toc66698717"/>
      <w:r w:rsidRPr="00BF36DF">
        <w:rPr>
          <w:rFonts w:cs="Times New Roman"/>
          <w:color w:val="auto"/>
        </w:rPr>
        <w:t xml:space="preserve">Figure </w:t>
      </w:r>
      <w:r w:rsidR="00632993">
        <w:rPr>
          <w:rFonts w:cs="Times New Roman"/>
          <w:color w:val="auto"/>
        </w:rPr>
        <w:fldChar w:fldCharType="begin"/>
      </w:r>
      <w:r w:rsidR="00632993">
        <w:rPr>
          <w:rFonts w:cs="Times New Roman"/>
          <w:color w:val="auto"/>
        </w:rPr>
        <w:instrText xml:space="preserve"> STYLEREF 1 \s </w:instrText>
      </w:r>
      <w:r w:rsidR="00632993">
        <w:rPr>
          <w:rFonts w:cs="Times New Roman"/>
          <w:color w:val="auto"/>
        </w:rPr>
        <w:fldChar w:fldCharType="separate"/>
      </w:r>
      <w:r w:rsidR="0005064B">
        <w:rPr>
          <w:rFonts w:cs="Times New Roman"/>
          <w:noProof/>
          <w:color w:val="auto"/>
        </w:rPr>
        <w:t>5</w:t>
      </w:r>
      <w:r w:rsidR="00632993">
        <w:rPr>
          <w:rFonts w:cs="Times New Roman"/>
          <w:color w:val="auto"/>
        </w:rPr>
        <w:fldChar w:fldCharType="end"/>
      </w:r>
      <w:r w:rsidR="00632993">
        <w:rPr>
          <w:rFonts w:cs="Times New Roman"/>
          <w:color w:val="auto"/>
        </w:rPr>
        <w:noBreakHyphen/>
      </w:r>
      <w:r w:rsidR="00632993">
        <w:rPr>
          <w:rFonts w:cs="Times New Roman"/>
          <w:color w:val="auto"/>
        </w:rPr>
        <w:fldChar w:fldCharType="begin"/>
      </w:r>
      <w:r w:rsidR="00632993">
        <w:rPr>
          <w:rFonts w:cs="Times New Roman"/>
          <w:color w:val="auto"/>
        </w:rPr>
        <w:instrText xml:space="preserve"> SEQ Figure \* ARABIC \s 1 </w:instrText>
      </w:r>
      <w:r w:rsidR="00632993">
        <w:rPr>
          <w:rFonts w:cs="Times New Roman"/>
          <w:color w:val="auto"/>
        </w:rPr>
        <w:fldChar w:fldCharType="separate"/>
      </w:r>
      <w:r w:rsidR="0005064B">
        <w:rPr>
          <w:rFonts w:cs="Times New Roman"/>
          <w:noProof/>
          <w:color w:val="auto"/>
        </w:rPr>
        <w:t>4</w:t>
      </w:r>
      <w:r w:rsidR="00632993">
        <w:rPr>
          <w:rFonts w:cs="Times New Roman"/>
          <w:color w:val="auto"/>
        </w:rPr>
        <w:fldChar w:fldCharType="end"/>
      </w:r>
      <w:bookmarkEnd w:id="785"/>
      <w:r w:rsidR="00FD1FFD" w:rsidRPr="00BF36DF">
        <w:rPr>
          <w:rFonts w:cs="Times New Roman"/>
          <w:color w:val="auto"/>
        </w:rPr>
        <w:t>:</w:t>
      </w:r>
      <w:r w:rsidRPr="00BF36DF">
        <w:rPr>
          <w:rFonts w:cs="Times New Roman"/>
          <w:color w:val="auto"/>
        </w:rPr>
        <w:t xml:space="preserve"> Relationships in the urban consolidation centre (UCC) project and the users</w:t>
      </w:r>
      <w:bookmarkEnd w:id="786"/>
      <w:bookmarkEnd w:id="787"/>
    </w:p>
    <w:p w14:paraId="0BF2AF89" w14:textId="23E86104" w:rsidR="00A950BF" w:rsidRPr="00901F96" w:rsidRDefault="00656367" w:rsidP="007F6877">
      <w:pPr>
        <w:spacing w:after="240" w:line="360" w:lineRule="auto"/>
        <w:rPr>
          <w:rFonts w:cs="Times New Roman"/>
          <w:color w:val="FF0000"/>
        </w:rPr>
      </w:pPr>
      <w:r w:rsidRPr="00BF36DF">
        <w:rPr>
          <w:rFonts w:cs="Times New Roman"/>
        </w:rPr>
        <w:t xml:space="preserve">All primary stakeholders in the four projects report that it is </w:t>
      </w:r>
      <w:r w:rsidR="003C5559" w:rsidRPr="00BF36DF">
        <w:rPr>
          <w:rFonts w:cs="Times New Roman"/>
        </w:rPr>
        <w:t>challenging</w:t>
      </w:r>
      <w:r w:rsidRPr="00BF36DF">
        <w:rPr>
          <w:rFonts w:cs="Times New Roman"/>
        </w:rPr>
        <w:t xml:space="preserve"> to enable the </w:t>
      </w:r>
      <w:r w:rsidR="00120941" w:rsidRPr="00BF36DF">
        <w:rPr>
          <w:rFonts w:cs="Times New Roman" w:hint="eastAsia"/>
        </w:rPr>
        <w:t>receivers</w:t>
      </w:r>
      <w:r w:rsidRPr="00BF36DF">
        <w:rPr>
          <w:rFonts w:cs="Times New Roman"/>
        </w:rPr>
        <w:t xml:space="preserve"> or the urban residents to understand the environmental and social contributions of the UCC project. In other word</w:t>
      </w:r>
      <w:r w:rsidR="00954B7F" w:rsidRPr="00BF36DF">
        <w:rPr>
          <w:rFonts w:cs="Times New Roman"/>
        </w:rPr>
        <w:t>s</w:t>
      </w:r>
      <w:r w:rsidRPr="00BF36DF">
        <w:rPr>
          <w:rFonts w:cs="Times New Roman"/>
        </w:rPr>
        <w:t xml:space="preserve">, no </w:t>
      </w:r>
      <w:r w:rsidR="00120941" w:rsidRPr="00BF36DF">
        <w:rPr>
          <w:rFonts w:cs="Times New Roman" w:hint="eastAsia"/>
        </w:rPr>
        <w:t>receiver</w:t>
      </w:r>
      <w:r w:rsidRPr="00BF36DF">
        <w:rPr>
          <w:rFonts w:cs="Times New Roman"/>
        </w:rPr>
        <w:t xml:space="preserve"> actively </w:t>
      </w:r>
      <w:r w:rsidR="00DE43C5" w:rsidRPr="00BF36DF">
        <w:rPr>
          <w:rFonts w:cs="Times New Roman"/>
        </w:rPr>
        <w:t>subscribes</w:t>
      </w:r>
      <w:r w:rsidR="00BC0C17" w:rsidRPr="00BF36DF">
        <w:rPr>
          <w:rFonts w:cs="Times New Roman"/>
        </w:rPr>
        <w:t xml:space="preserve"> to</w:t>
      </w:r>
      <w:r w:rsidRPr="00BF36DF">
        <w:rPr>
          <w:rFonts w:cs="Times New Roman"/>
        </w:rPr>
        <w:t xml:space="preserve"> the UCC</w:t>
      </w:r>
      <w:r w:rsidR="00BC0C17" w:rsidRPr="00BF36DF">
        <w:rPr>
          <w:rFonts w:cs="Times New Roman"/>
        </w:rPr>
        <w:t>’s</w:t>
      </w:r>
      <w:r w:rsidRPr="00BF36DF">
        <w:rPr>
          <w:rFonts w:cs="Times New Roman"/>
        </w:rPr>
        <w:t xml:space="preserve"> service for the purpose </w:t>
      </w:r>
      <w:r w:rsidR="00BC0C17" w:rsidRPr="00BF36DF">
        <w:rPr>
          <w:rFonts w:cs="Times New Roman"/>
        </w:rPr>
        <w:t>s</w:t>
      </w:r>
      <w:r w:rsidR="00BB1E82" w:rsidRPr="00BF36DF">
        <w:rPr>
          <w:rFonts w:cs="Times New Roman"/>
        </w:rPr>
        <w:t xml:space="preserve"> of</w:t>
      </w:r>
      <w:r w:rsidRPr="00BF36DF">
        <w:rPr>
          <w:rFonts w:cs="Times New Roman"/>
        </w:rPr>
        <w:t xml:space="preserve"> mitigat</w:t>
      </w:r>
      <w:r w:rsidR="00BB1E82" w:rsidRPr="00BF36DF">
        <w:rPr>
          <w:rFonts w:cs="Times New Roman"/>
        </w:rPr>
        <w:t>ing</w:t>
      </w:r>
      <w:r w:rsidRPr="00BF36DF">
        <w:rPr>
          <w:rFonts w:cs="Times New Roman"/>
        </w:rPr>
        <w:t xml:space="preserve"> environmental and social issues in the city.</w:t>
      </w:r>
      <w:r w:rsidR="00C11A3F" w:rsidRPr="00BF36DF">
        <w:rPr>
          <w:rFonts w:cs="Times New Roman"/>
        </w:rPr>
        <w:t xml:space="preserve"> Such finding</w:t>
      </w:r>
      <w:r w:rsidR="00E07568" w:rsidRPr="00BF36DF">
        <w:rPr>
          <w:rFonts w:cs="Times New Roman"/>
        </w:rPr>
        <w:t>s</w:t>
      </w:r>
      <w:r w:rsidR="00C11A3F" w:rsidRPr="00BF36DF">
        <w:rPr>
          <w:rFonts w:cs="Times New Roman"/>
        </w:rPr>
        <w:t xml:space="preserve"> </w:t>
      </w:r>
      <w:r w:rsidR="00E07568" w:rsidRPr="00BF36DF">
        <w:rPr>
          <w:rFonts w:cs="Times New Roman"/>
        </w:rPr>
        <w:t>are</w:t>
      </w:r>
      <w:r w:rsidR="00C11A3F" w:rsidRPr="00BF36DF">
        <w:rPr>
          <w:rFonts w:cs="Times New Roman"/>
        </w:rPr>
        <w:t xml:space="preserve"> </w:t>
      </w:r>
      <w:r w:rsidR="004E0F6F" w:rsidRPr="00BF36DF">
        <w:rPr>
          <w:rFonts w:cs="Times New Roman"/>
        </w:rPr>
        <w:t>consistent with</w:t>
      </w:r>
      <w:r w:rsidR="00C11A3F" w:rsidRPr="00BF36DF">
        <w:rPr>
          <w:rFonts w:cs="Times New Roman"/>
        </w:rPr>
        <w:t xml:space="preserve"> the </w:t>
      </w:r>
      <w:r w:rsidR="00A22B02" w:rsidRPr="00BF36DF">
        <w:rPr>
          <w:rFonts w:cs="Times New Roman"/>
        </w:rPr>
        <w:fldChar w:fldCharType="begin"/>
      </w:r>
      <w:r w:rsidR="00647E79" w:rsidRPr="00BF36DF">
        <w:rPr>
          <w:rFonts w:cs="Times New Roman"/>
        </w:rPr>
        <w:instrText xml:space="preserve"> ADDIN EN.CITE &lt;EndNote&gt;&lt;Cite AuthorYear="1"&gt;&lt;Author&gt;Akgün&lt;/Author&gt;&lt;Year&gt;2019&lt;/Year&gt;&lt;RecNum&gt;253&lt;/RecNum&gt;&lt;DisplayText&gt;Akgün et al. (2019a)&lt;/DisplayText&gt;&lt;record&gt;&lt;rec-number&gt;253&lt;/rec-number&gt;&lt;foreign-keys&gt;&lt;key app="EN" db-id="pzt5ep52hsedfpeext2pdfes0w0aswaewef2" timestamp="1605187998"&gt;253&lt;/key&gt;&lt;/foreign-keys&gt;&lt;ref-type name="Journal Article"&gt;17&lt;/ref-type&gt;&lt;contributors&gt;&lt;authors&gt;&lt;author&gt;Akgün, Emine Zehra&lt;/author&gt;&lt;author&gt;Monios, Jason&lt;/author&gt;&lt;author&gt;Fonzone, Achille&lt;/author&gt;&lt;/authors&gt;&lt;/contributors&gt;&lt;titles&gt;&lt;title&gt;Supporting urban consolidation centres with urban freight transport policies: a comparative study of Scotland and Sweden&lt;/title&gt;&lt;secondary-title&gt;International Journal of Logistics Research and Applications&lt;/secondary-title&gt;&lt;/titles&gt;&lt;periodical&gt;&lt;full-title&gt;International Journal of Logistics Research and Applications&lt;/full-title&gt;&lt;/periodical&gt;&lt;pages&gt;291-310&lt;/pages&gt;&lt;volume&gt;23&lt;/volume&gt;&lt;number&gt;3&lt;/number&gt;&lt;dates&gt;&lt;year&gt;2019&lt;/year&gt;&lt;pub-dates&gt;&lt;date&gt;2020/05/03&lt;/date&gt;&lt;/pub-dates&gt;&lt;/dates&gt;&lt;publisher&gt;Taylor &amp;amp; Francis&lt;/publisher&gt;&lt;isbn&gt;1367-5567&lt;/isbn&gt;&lt;urls&gt;&lt;related-urls&gt;&lt;url&gt;https://doi.org/10.1080/13675567.2019.1679743&lt;/url&gt;&lt;/related-urls&gt;&lt;/urls&gt;&lt;electronic-resource-num&gt;10.1080/13675567.2019.1679743&lt;/electronic-resource-num&gt;&lt;/record&gt;&lt;/Cite&gt;&lt;/EndNote&gt;</w:instrText>
      </w:r>
      <w:r w:rsidR="00A22B02" w:rsidRPr="00BF36DF">
        <w:rPr>
          <w:rFonts w:cs="Times New Roman"/>
        </w:rPr>
        <w:fldChar w:fldCharType="separate"/>
      </w:r>
      <w:r w:rsidR="004E0F6F" w:rsidRPr="00BF36DF">
        <w:rPr>
          <w:rFonts w:cs="Times New Roman"/>
          <w:noProof/>
        </w:rPr>
        <w:t>Akgün et al. (2019a)</w:t>
      </w:r>
      <w:r w:rsidR="00A22B02" w:rsidRPr="00BF36DF">
        <w:rPr>
          <w:rFonts w:cs="Times New Roman"/>
        </w:rPr>
        <w:fldChar w:fldCharType="end"/>
      </w:r>
      <w:r w:rsidR="004C2B6D" w:rsidRPr="00BF36DF">
        <w:rPr>
          <w:rFonts w:cs="Times New Roman"/>
        </w:rPr>
        <w:t xml:space="preserve">: </w:t>
      </w:r>
      <w:r w:rsidR="00E70F65" w:rsidRPr="00BF36DF">
        <w:rPr>
          <w:rFonts w:cs="Times New Roman"/>
        </w:rPr>
        <w:t xml:space="preserve">the </w:t>
      </w:r>
      <w:r w:rsidR="00FA6A87" w:rsidRPr="00BF36DF">
        <w:rPr>
          <w:rFonts w:cs="Times New Roman"/>
        </w:rPr>
        <w:t>final customer</w:t>
      </w:r>
      <w:r w:rsidR="004C2B6D" w:rsidRPr="00BF36DF">
        <w:rPr>
          <w:rFonts w:cs="Times New Roman"/>
        </w:rPr>
        <w:t xml:space="preserve"> </w:t>
      </w:r>
      <w:r w:rsidR="00AF335D" w:rsidRPr="00BF36DF">
        <w:rPr>
          <w:rFonts w:cs="Times New Roman"/>
        </w:rPr>
        <w:t>has</w:t>
      </w:r>
      <w:r w:rsidR="004C2B6D" w:rsidRPr="00BF36DF">
        <w:rPr>
          <w:rFonts w:cs="Times New Roman"/>
        </w:rPr>
        <w:t xml:space="preserve"> </w:t>
      </w:r>
      <w:r w:rsidR="00FA6A87" w:rsidRPr="00BF36DF">
        <w:rPr>
          <w:rFonts w:cs="Times New Roman"/>
        </w:rPr>
        <w:t>little concern about using UCCs as there is little discernible impact</w:t>
      </w:r>
      <w:r w:rsidR="004C2B6D" w:rsidRPr="00BF36DF">
        <w:rPr>
          <w:rFonts w:cs="Times New Roman"/>
        </w:rPr>
        <w:t xml:space="preserve"> on the city environment from UCCs. </w:t>
      </w:r>
      <w:r w:rsidRPr="00BF36DF">
        <w:rPr>
          <w:rFonts w:cs="Times New Roman"/>
        </w:rPr>
        <w:t xml:space="preserve">In the Swedish cases, all stakeholders agree that the service size is </w:t>
      </w:r>
      <w:r w:rsidR="00860035" w:rsidRPr="00BF36DF">
        <w:rPr>
          <w:rFonts w:cs="Times New Roman"/>
        </w:rPr>
        <w:t>small,</w:t>
      </w:r>
      <w:r w:rsidRPr="00BF36DF">
        <w:rPr>
          <w:rFonts w:cs="Times New Roman"/>
        </w:rPr>
        <w:t xml:space="preserve"> and it is difficult to gather validat</w:t>
      </w:r>
      <w:r w:rsidR="00C65365" w:rsidRPr="00BF36DF">
        <w:rPr>
          <w:rFonts w:cs="Times New Roman"/>
        </w:rPr>
        <w:t>ing</w:t>
      </w:r>
      <w:r w:rsidRPr="00BF36DF">
        <w:rPr>
          <w:rFonts w:cs="Times New Roman"/>
        </w:rPr>
        <w:t xml:space="preserve"> data with which to compare outcomes with and without the UCC facility. In addition, achievements are intangible, thus consumers in the city do not perceive the changes </w:t>
      </w:r>
      <w:r w:rsidR="003B1388" w:rsidRPr="00BF36DF">
        <w:rPr>
          <w:rFonts w:cs="Times New Roman"/>
        </w:rPr>
        <w:t xml:space="preserve">delivered </w:t>
      </w:r>
      <w:r w:rsidRPr="00BF36DF">
        <w:rPr>
          <w:rFonts w:cs="Times New Roman"/>
        </w:rPr>
        <w:t>by the project. Given the scale of the goods flow in and out</w:t>
      </w:r>
      <w:r w:rsidR="003B1388" w:rsidRPr="00BF36DF">
        <w:rPr>
          <w:rFonts w:cs="Times New Roman"/>
        </w:rPr>
        <w:t xml:space="preserve"> of</w:t>
      </w:r>
      <w:r w:rsidRPr="00BF36DF">
        <w:rPr>
          <w:rFonts w:cs="Times New Roman"/>
        </w:rPr>
        <w:t xml:space="preserve"> the city, Chinese stakeholders tend to view the quantity of goods distributed from the UCC as negligible. Even if these projects generate environmental and social improvements, such progress does not affect the logistics performance of the entire city.</w:t>
      </w:r>
      <w:r w:rsidR="007F6877" w:rsidRPr="00BF36DF">
        <w:rPr>
          <w:rFonts w:cs="Times New Roman"/>
        </w:rPr>
        <w:t xml:space="preserve"> </w:t>
      </w:r>
      <w:r w:rsidRPr="00BF36DF">
        <w:rPr>
          <w:rFonts w:cs="Times New Roman"/>
        </w:rPr>
        <w:t xml:space="preserve">On the other hand, the local authority launched RSUCC as a publicity platform from which to promote public awareness of green logistics through a display of various green logistics </w:t>
      </w:r>
      <w:r w:rsidRPr="00BF36DF">
        <w:rPr>
          <w:rFonts w:cs="Times New Roman"/>
        </w:rPr>
        <w:lastRenderedPageBreak/>
        <w:t>activities. This approach is more effective than a comparison of document data from before and after</w:t>
      </w:r>
      <w:r w:rsidR="00BE4816" w:rsidRPr="00BF36DF">
        <w:rPr>
          <w:rFonts w:cs="Times New Roman"/>
        </w:rPr>
        <w:t xml:space="preserve"> the</w:t>
      </w:r>
      <w:r w:rsidRPr="00BF36DF">
        <w:rPr>
          <w:rFonts w:cs="Times New Roman"/>
        </w:rPr>
        <w:t xml:space="preserve"> implementation of the project.</w:t>
      </w:r>
    </w:p>
    <w:p w14:paraId="08341157" w14:textId="166C31E1" w:rsidR="00266EB4" w:rsidRDefault="00524CBF" w:rsidP="00266EB4">
      <w:pPr>
        <w:pStyle w:val="Heading4"/>
        <w:spacing w:after="0" w:line="360" w:lineRule="auto"/>
        <w:rPr>
          <w:rFonts w:cs="Times New Roman"/>
        </w:rPr>
      </w:pPr>
      <w:r>
        <w:rPr>
          <w:rFonts w:cs="Times New Roman" w:hint="eastAsia"/>
        </w:rPr>
        <w:t>Categories</w:t>
      </w:r>
      <w:r>
        <w:rPr>
          <w:rFonts w:cs="Times New Roman"/>
        </w:rPr>
        <w:t xml:space="preserve"> </w:t>
      </w:r>
      <w:r>
        <w:rPr>
          <w:rFonts w:cs="Times New Roman" w:hint="eastAsia"/>
        </w:rPr>
        <w:t>of</w:t>
      </w:r>
      <w:r>
        <w:rPr>
          <w:rFonts w:cs="Times New Roman"/>
        </w:rPr>
        <w:t xml:space="preserve"> </w:t>
      </w:r>
      <w:r>
        <w:rPr>
          <w:rFonts w:cs="Times New Roman" w:hint="eastAsia"/>
        </w:rPr>
        <w:t>provided</w:t>
      </w:r>
      <w:r>
        <w:rPr>
          <w:rFonts w:cs="Times New Roman"/>
        </w:rPr>
        <w:t xml:space="preserve"> </w:t>
      </w:r>
      <w:proofErr w:type="gramStart"/>
      <w:r w:rsidRPr="00A96AC5">
        <w:rPr>
          <w:rFonts w:cs="Times New Roman"/>
        </w:rPr>
        <w:t>service</w:t>
      </w:r>
      <w:proofErr w:type="gramEnd"/>
    </w:p>
    <w:p w14:paraId="3EB85E4F" w14:textId="5CFDDD13" w:rsidR="00E86555" w:rsidRDefault="008C2F13" w:rsidP="00C64234">
      <w:pPr>
        <w:spacing w:after="240" w:line="360" w:lineRule="auto"/>
        <w:rPr>
          <w:rFonts w:eastAsia="Times New Roman" w:cs="Times New Roman"/>
          <w:szCs w:val="24"/>
        </w:rPr>
      </w:pPr>
      <w:r w:rsidRPr="00140123">
        <w:rPr>
          <w:rFonts w:cs="Times New Roman"/>
        </w:rPr>
        <w:t xml:space="preserve">The service of </w:t>
      </w:r>
      <w:r w:rsidR="00D37E95">
        <w:rPr>
          <w:rFonts w:cs="Times New Roman"/>
        </w:rPr>
        <w:t xml:space="preserve">a </w:t>
      </w:r>
      <w:r w:rsidRPr="00140123">
        <w:rPr>
          <w:rFonts w:cs="Times New Roman"/>
        </w:rPr>
        <w:t xml:space="preserve">UCC should be well </w:t>
      </w:r>
      <w:r w:rsidR="00A516E2" w:rsidRPr="00140123">
        <w:rPr>
          <w:rFonts w:cs="Times New Roman"/>
        </w:rPr>
        <w:t xml:space="preserve">tailored </w:t>
      </w:r>
      <w:r w:rsidR="002E573B" w:rsidRPr="00140123">
        <w:rPr>
          <w:rFonts w:cs="Times New Roman" w:hint="eastAsia"/>
        </w:rPr>
        <w:t>to</w:t>
      </w:r>
      <w:r w:rsidR="00645A49" w:rsidRPr="00140123">
        <w:rPr>
          <w:rFonts w:cs="Times New Roman"/>
        </w:rPr>
        <w:t xml:space="preserve"> the</w:t>
      </w:r>
      <w:r w:rsidR="002E573B" w:rsidRPr="00140123">
        <w:rPr>
          <w:rFonts w:cs="Times New Roman"/>
        </w:rPr>
        <w:t xml:space="preserve"> </w:t>
      </w:r>
      <w:r w:rsidR="00645A49" w:rsidRPr="00140123">
        <w:rPr>
          <w:rFonts w:cs="Times New Roman"/>
        </w:rPr>
        <w:t>users’</w:t>
      </w:r>
      <w:r w:rsidR="00E933BB" w:rsidRPr="00140123">
        <w:rPr>
          <w:rFonts w:cs="Times New Roman"/>
        </w:rPr>
        <w:t xml:space="preserve"> </w:t>
      </w:r>
      <w:r w:rsidR="00E933BB" w:rsidRPr="00140123">
        <w:rPr>
          <w:rFonts w:cs="Times New Roman" w:hint="eastAsia"/>
        </w:rPr>
        <w:t>requirement</w:t>
      </w:r>
      <w:r w:rsidR="00645A49" w:rsidRPr="00140123">
        <w:rPr>
          <w:rFonts w:cs="Times New Roman"/>
        </w:rPr>
        <w:t>s</w:t>
      </w:r>
      <w:r w:rsidR="00E933BB" w:rsidRPr="00140123">
        <w:rPr>
          <w:rFonts w:cs="Times New Roman"/>
        </w:rPr>
        <w:t>.</w:t>
      </w:r>
      <w:r w:rsidR="00905AB7" w:rsidRPr="00140123">
        <w:rPr>
          <w:rFonts w:cs="Times New Roman"/>
        </w:rPr>
        <w:t xml:space="preserve"> </w:t>
      </w:r>
      <w:r w:rsidR="0024095B" w:rsidRPr="00140123">
        <w:rPr>
          <w:rFonts w:cs="Times New Roman"/>
        </w:rPr>
        <w:t xml:space="preserve">Therefore, before </w:t>
      </w:r>
      <w:r w:rsidR="00140123" w:rsidRPr="00140123">
        <w:rPr>
          <w:rFonts w:cs="Times New Roman"/>
        </w:rPr>
        <w:t>setting</w:t>
      </w:r>
      <w:r w:rsidR="0024095B" w:rsidRPr="00140123">
        <w:rPr>
          <w:rFonts w:cs="Times New Roman"/>
        </w:rPr>
        <w:t xml:space="preserve"> up </w:t>
      </w:r>
      <w:r w:rsidR="009950CE">
        <w:rPr>
          <w:rFonts w:cs="Times New Roman"/>
        </w:rPr>
        <w:t xml:space="preserve">the </w:t>
      </w:r>
      <w:r w:rsidR="0024095B" w:rsidRPr="00140123">
        <w:rPr>
          <w:rFonts w:cs="Times New Roman"/>
        </w:rPr>
        <w:t xml:space="preserve">UCC project, it is important to </w:t>
      </w:r>
      <w:r w:rsidR="00A11535" w:rsidRPr="00140123">
        <w:rPr>
          <w:rFonts w:cs="Times New Roman"/>
        </w:rPr>
        <w:t>identify what</w:t>
      </w:r>
      <w:r w:rsidR="00DF3FFF">
        <w:rPr>
          <w:rFonts w:cs="Times New Roman"/>
        </w:rPr>
        <w:t xml:space="preserve"> are</w:t>
      </w:r>
      <w:r w:rsidR="00A11535" w:rsidRPr="00140123">
        <w:rPr>
          <w:rFonts w:cs="Times New Roman"/>
        </w:rPr>
        <w:t xml:space="preserve"> the customers</w:t>
      </w:r>
      <w:r w:rsidR="00DF3FFF">
        <w:rPr>
          <w:rFonts w:cs="Times New Roman"/>
        </w:rPr>
        <w:t>’</w:t>
      </w:r>
      <w:r w:rsidR="00A11535" w:rsidRPr="00140123">
        <w:rPr>
          <w:rFonts w:cs="Times New Roman"/>
        </w:rPr>
        <w:t>/ (potential customers</w:t>
      </w:r>
      <w:r w:rsidR="00DF3FFF">
        <w:rPr>
          <w:rFonts w:cs="Times New Roman"/>
        </w:rPr>
        <w:t>’</w:t>
      </w:r>
      <w:r w:rsidR="00A11535" w:rsidRPr="00140123">
        <w:rPr>
          <w:rFonts w:cs="Times New Roman"/>
        </w:rPr>
        <w:t xml:space="preserve">) </w:t>
      </w:r>
      <w:r w:rsidR="00140123" w:rsidRPr="00140123">
        <w:rPr>
          <w:rFonts w:cs="Times New Roman"/>
        </w:rPr>
        <w:t>need</w:t>
      </w:r>
      <w:r w:rsidR="00140123">
        <w:rPr>
          <w:rFonts w:cs="Times New Roman"/>
        </w:rPr>
        <w:t xml:space="preserve"> in </w:t>
      </w:r>
      <w:r w:rsidR="00140123" w:rsidRPr="00140123">
        <w:rPr>
          <w:rFonts w:cs="Times New Roman"/>
        </w:rPr>
        <w:t>stakeholders engagement</w:t>
      </w:r>
      <w:r w:rsidR="00A11535" w:rsidRPr="00140123">
        <w:rPr>
          <w:rFonts w:cs="Times New Roman"/>
        </w:rPr>
        <w:t xml:space="preserve">. Meanwhile, </w:t>
      </w:r>
      <w:r w:rsidR="002216BE">
        <w:rPr>
          <w:rFonts w:cs="Times New Roman"/>
        </w:rPr>
        <w:t xml:space="preserve">as the result of stakeholders engagement, </w:t>
      </w:r>
      <w:r w:rsidR="00140123">
        <w:rPr>
          <w:rFonts w:cs="Times New Roman"/>
        </w:rPr>
        <w:t>UCC operator</w:t>
      </w:r>
      <w:r w:rsidR="001F1811">
        <w:rPr>
          <w:rFonts w:cs="Times New Roman"/>
        </w:rPr>
        <w:t>s</w:t>
      </w:r>
      <w:r w:rsidR="00140123">
        <w:rPr>
          <w:rFonts w:cs="Times New Roman"/>
        </w:rPr>
        <w:t xml:space="preserve"> </w:t>
      </w:r>
      <w:r w:rsidR="00A11535" w:rsidRPr="00140123">
        <w:rPr>
          <w:rFonts w:cs="Times New Roman"/>
        </w:rPr>
        <w:t xml:space="preserve">should </w:t>
      </w:r>
      <w:r w:rsidR="00140123" w:rsidRPr="00140123">
        <w:rPr>
          <w:rFonts w:cs="Times New Roman"/>
        </w:rPr>
        <w:t>confirm</w:t>
      </w:r>
      <w:r w:rsidR="00905AB7" w:rsidRPr="00140123">
        <w:rPr>
          <w:rFonts w:cs="Times New Roman"/>
        </w:rPr>
        <w:t xml:space="preserve"> what benefits UCCs can</w:t>
      </w:r>
      <w:r w:rsidR="00140123">
        <w:rPr>
          <w:rFonts w:cs="Times New Roman"/>
        </w:rPr>
        <w:t xml:space="preserve"> </w:t>
      </w:r>
      <w:r w:rsidR="00905AB7" w:rsidRPr="00140123">
        <w:rPr>
          <w:rFonts w:cs="Times New Roman"/>
        </w:rPr>
        <w:t>provide for its customers</w:t>
      </w:r>
      <w:r w:rsidR="002216BE">
        <w:rPr>
          <w:rFonts w:cs="Times New Roman"/>
        </w:rPr>
        <w:t>.</w:t>
      </w:r>
      <w:r w:rsidR="002314DF">
        <w:rPr>
          <w:rFonts w:cs="Times New Roman"/>
        </w:rPr>
        <w:t xml:space="preserve"> The UCC could create</w:t>
      </w:r>
      <w:r w:rsidR="002A3E04">
        <w:rPr>
          <w:rFonts w:cs="Times New Roman"/>
        </w:rPr>
        <w:t xml:space="preserve"> </w:t>
      </w:r>
      <w:r w:rsidR="002314DF">
        <w:rPr>
          <w:rFonts w:cs="Times New Roman"/>
        </w:rPr>
        <w:t>a</w:t>
      </w:r>
      <w:r w:rsidR="0069579D">
        <w:rPr>
          <w:rFonts w:cs="Times New Roman"/>
        </w:rPr>
        <w:t xml:space="preserve"> sound value </w:t>
      </w:r>
      <w:r w:rsidR="0069579D" w:rsidRPr="0069579D">
        <w:rPr>
          <w:rFonts w:cs="Times New Roman"/>
        </w:rPr>
        <w:t>proposition</w:t>
      </w:r>
      <w:r w:rsidR="002314DF">
        <w:rPr>
          <w:rFonts w:cs="Times New Roman"/>
        </w:rPr>
        <w:t xml:space="preserve"> </w:t>
      </w:r>
      <w:r w:rsidR="00B81AB0">
        <w:rPr>
          <w:rFonts w:cs="Times New Roman"/>
        </w:rPr>
        <w:t xml:space="preserve">if </w:t>
      </w:r>
      <w:r w:rsidR="0069579D">
        <w:rPr>
          <w:rFonts w:cs="Times New Roman"/>
        </w:rPr>
        <w:t xml:space="preserve">the benefits of </w:t>
      </w:r>
      <w:r w:rsidR="00A916D4">
        <w:rPr>
          <w:rFonts w:cs="Times New Roman"/>
        </w:rPr>
        <w:t xml:space="preserve">a </w:t>
      </w:r>
      <w:r w:rsidR="0069579D">
        <w:rPr>
          <w:rFonts w:cs="Times New Roman"/>
        </w:rPr>
        <w:t>UCC meet the requirements of its users</w:t>
      </w:r>
      <w:r w:rsidR="00F52F64">
        <w:rPr>
          <w:rFonts w:cs="Times New Roman"/>
        </w:rPr>
        <w:t xml:space="preserve">. That means such </w:t>
      </w:r>
      <w:r w:rsidR="00A71C29">
        <w:rPr>
          <w:rFonts w:cs="Times New Roman"/>
        </w:rPr>
        <w:t xml:space="preserve">a </w:t>
      </w:r>
      <w:r w:rsidR="00F52F64">
        <w:rPr>
          <w:rFonts w:cs="Times New Roman"/>
        </w:rPr>
        <w:t xml:space="preserve">UCC project </w:t>
      </w:r>
      <w:r w:rsidR="00FE12B7" w:rsidRPr="00FE12B7">
        <w:rPr>
          <w:rFonts w:cs="Times New Roman"/>
        </w:rPr>
        <w:t xml:space="preserve">ought to </w:t>
      </w:r>
      <w:r w:rsidR="00FE12B7" w:rsidRPr="00FE12B7">
        <w:rPr>
          <w:rFonts w:cs="Times New Roman" w:hint="eastAsia"/>
        </w:rPr>
        <w:t>b</w:t>
      </w:r>
      <w:r w:rsidR="00FE12B7" w:rsidRPr="00FE12B7">
        <w:rPr>
          <w:rFonts w:cs="Times New Roman"/>
        </w:rPr>
        <w:t>e established</w:t>
      </w:r>
      <w:r w:rsidR="00C64234">
        <w:rPr>
          <w:rFonts w:cs="Times New Roman" w:hint="eastAsia"/>
        </w:rPr>
        <w:t>.</w:t>
      </w:r>
      <w:r w:rsidR="00C64234">
        <w:rPr>
          <w:rFonts w:cs="Times New Roman"/>
        </w:rPr>
        <w:t xml:space="preserve"> </w:t>
      </w:r>
      <w:r w:rsidR="00C96E7A">
        <w:rPr>
          <w:rFonts w:eastAsia="Times New Roman" w:cs="Times New Roman"/>
          <w:szCs w:val="24"/>
        </w:rPr>
        <w:t xml:space="preserve">According to the interview, </w:t>
      </w:r>
      <w:r w:rsidR="00830976">
        <w:rPr>
          <w:rFonts w:eastAsia="Times New Roman" w:cs="Times New Roman"/>
          <w:szCs w:val="24"/>
        </w:rPr>
        <w:t>this chapter</w:t>
      </w:r>
      <w:r w:rsidR="00C96E7A">
        <w:rPr>
          <w:rFonts w:eastAsia="Times New Roman" w:cs="Times New Roman"/>
          <w:szCs w:val="24"/>
        </w:rPr>
        <w:t xml:space="preserve"> </w:t>
      </w:r>
      <w:r w:rsidR="001304B4">
        <w:rPr>
          <w:rFonts w:eastAsia="Times New Roman" w:cs="Times New Roman"/>
          <w:szCs w:val="24"/>
        </w:rPr>
        <w:t>sketch the value proposition of the four UCCs cases.</w:t>
      </w:r>
      <w:r w:rsidR="00E42AE0">
        <w:rPr>
          <w:rFonts w:eastAsia="Times New Roman" w:cs="Times New Roman"/>
          <w:szCs w:val="24"/>
        </w:rPr>
        <w:t xml:space="preserve"> </w:t>
      </w:r>
      <w:r w:rsidR="009E6281">
        <w:rPr>
          <w:rFonts w:eastAsia="Times New Roman" w:cs="Times New Roman"/>
          <w:szCs w:val="24"/>
        </w:rPr>
        <w:t>D</w:t>
      </w:r>
      <w:r w:rsidR="00E42AE0">
        <w:rPr>
          <w:rFonts w:eastAsia="Times New Roman" w:cs="Times New Roman"/>
          <w:szCs w:val="24"/>
        </w:rPr>
        <w:t xml:space="preserve">etails in </w:t>
      </w:r>
      <w:r w:rsidR="009E6281">
        <w:rPr>
          <w:rFonts w:eastAsia="Times New Roman" w:cs="Times New Roman"/>
          <w:szCs w:val="24"/>
        </w:rPr>
        <w:fldChar w:fldCharType="begin"/>
      </w:r>
      <w:r w:rsidR="009E6281">
        <w:rPr>
          <w:rFonts w:eastAsia="Times New Roman" w:cs="Times New Roman"/>
          <w:szCs w:val="24"/>
        </w:rPr>
        <w:instrText xml:space="preserve"> REF _Ref46056082 \h </w:instrText>
      </w:r>
      <w:r w:rsidR="009E6281">
        <w:rPr>
          <w:rFonts w:eastAsia="Times New Roman" w:cs="Times New Roman"/>
          <w:szCs w:val="24"/>
        </w:rPr>
      </w:r>
      <w:r w:rsidR="009E6281">
        <w:rPr>
          <w:rFonts w:eastAsia="Times New Roman" w:cs="Times New Roman"/>
          <w:szCs w:val="24"/>
        </w:rPr>
        <w:fldChar w:fldCharType="separate"/>
      </w:r>
      <w:r w:rsidR="0005064B">
        <w:t xml:space="preserve">Figure </w:t>
      </w:r>
      <w:r w:rsidR="0005064B">
        <w:rPr>
          <w:noProof/>
        </w:rPr>
        <w:t>5</w:t>
      </w:r>
      <w:r w:rsidR="0005064B">
        <w:noBreakHyphen/>
      </w:r>
      <w:r w:rsidR="0005064B">
        <w:rPr>
          <w:noProof/>
        </w:rPr>
        <w:t>5</w:t>
      </w:r>
      <w:r w:rsidR="009E6281">
        <w:rPr>
          <w:rFonts w:eastAsia="Times New Roman" w:cs="Times New Roman"/>
          <w:szCs w:val="24"/>
        </w:rPr>
        <w:fldChar w:fldCharType="end"/>
      </w:r>
      <w:r w:rsidR="009E6281">
        <w:rPr>
          <w:rFonts w:eastAsia="Times New Roman" w:cs="Times New Roman"/>
          <w:szCs w:val="24"/>
        </w:rPr>
        <w:t xml:space="preserve"> (SCUCC),</w:t>
      </w:r>
      <w:r w:rsidR="009E6281">
        <w:rPr>
          <w:rFonts w:eastAsia="Times New Roman" w:cs="Times New Roman"/>
          <w:szCs w:val="24"/>
        </w:rPr>
        <w:fldChar w:fldCharType="begin"/>
      </w:r>
      <w:r w:rsidR="009E6281">
        <w:rPr>
          <w:rFonts w:eastAsia="Times New Roman" w:cs="Times New Roman"/>
          <w:szCs w:val="24"/>
        </w:rPr>
        <w:instrText xml:space="preserve"> REF _Ref46056084 \h </w:instrText>
      </w:r>
      <w:r w:rsidR="009E6281">
        <w:rPr>
          <w:rFonts w:eastAsia="Times New Roman" w:cs="Times New Roman"/>
          <w:szCs w:val="24"/>
        </w:rPr>
      </w:r>
      <w:r w:rsidR="009E6281">
        <w:rPr>
          <w:rFonts w:eastAsia="Times New Roman" w:cs="Times New Roman"/>
          <w:szCs w:val="24"/>
        </w:rPr>
        <w:fldChar w:fldCharType="separate"/>
      </w:r>
      <w:r w:rsidR="0005064B">
        <w:t xml:space="preserve">Figure </w:t>
      </w:r>
      <w:r w:rsidR="0005064B">
        <w:rPr>
          <w:noProof/>
        </w:rPr>
        <w:t>5</w:t>
      </w:r>
      <w:r w:rsidR="0005064B">
        <w:noBreakHyphen/>
      </w:r>
      <w:r w:rsidR="0005064B">
        <w:rPr>
          <w:noProof/>
        </w:rPr>
        <w:t>6</w:t>
      </w:r>
      <w:r w:rsidR="009E6281">
        <w:rPr>
          <w:rFonts w:eastAsia="Times New Roman" w:cs="Times New Roman"/>
          <w:szCs w:val="24"/>
        </w:rPr>
        <w:fldChar w:fldCharType="end"/>
      </w:r>
      <w:r w:rsidR="009E6281">
        <w:rPr>
          <w:rFonts w:eastAsia="Times New Roman" w:cs="Times New Roman"/>
          <w:szCs w:val="24"/>
        </w:rPr>
        <w:t xml:space="preserve"> (RSUCC), </w:t>
      </w:r>
      <w:r w:rsidR="009E6281">
        <w:rPr>
          <w:rFonts w:eastAsia="Times New Roman" w:cs="Times New Roman"/>
          <w:szCs w:val="24"/>
        </w:rPr>
        <w:fldChar w:fldCharType="begin"/>
      </w:r>
      <w:r w:rsidR="009E6281">
        <w:rPr>
          <w:rFonts w:eastAsia="Times New Roman" w:cs="Times New Roman"/>
          <w:szCs w:val="24"/>
        </w:rPr>
        <w:instrText xml:space="preserve"> REF _Ref46056086 \h </w:instrText>
      </w:r>
      <w:r w:rsidR="009E6281">
        <w:rPr>
          <w:rFonts w:eastAsia="Times New Roman" w:cs="Times New Roman"/>
          <w:szCs w:val="24"/>
        </w:rPr>
      </w:r>
      <w:r w:rsidR="009E6281">
        <w:rPr>
          <w:rFonts w:eastAsia="Times New Roman" w:cs="Times New Roman"/>
          <w:szCs w:val="24"/>
        </w:rPr>
        <w:fldChar w:fldCharType="separate"/>
      </w:r>
      <w:r w:rsidR="0005064B">
        <w:t xml:space="preserve">Figure </w:t>
      </w:r>
      <w:r w:rsidR="0005064B">
        <w:rPr>
          <w:noProof/>
        </w:rPr>
        <w:t>5</w:t>
      </w:r>
      <w:r w:rsidR="0005064B">
        <w:noBreakHyphen/>
      </w:r>
      <w:r w:rsidR="0005064B">
        <w:rPr>
          <w:noProof/>
        </w:rPr>
        <w:t>7</w:t>
      </w:r>
      <w:r w:rsidR="009E6281">
        <w:rPr>
          <w:rFonts w:eastAsia="Times New Roman" w:cs="Times New Roman"/>
          <w:szCs w:val="24"/>
        </w:rPr>
        <w:fldChar w:fldCharType="end"/>
      </w:r>
      <w:r w:rsidR="009E6281">
        <w:rPr>
          <w:rFonts w:eastAsia="Times New Roman" w:cs="Times New Roman"/>
          <w:szCs w:val="24"/>
        </w:rPr>
        <w:t xml:space="preserve"> (CAUCC), and </w:t>
      </w:r>
      <w:r w:rsidR="009E6281">
        <w:rPr>
          <w:rFonts w:eastAsia="Times New Roman" w:cs="Times New Roman"/>
          <w:szCs w:val="24"/>
        </w:rPr>
        <w:fldChar w:fldCharType="begin"/>
      </w:r>
      <w:r w:rsidR="009E6281">
        <w:rPr>
          <w:rFonts w:eastAsia="Times New Roman" w:cs="Times New Roman"/>
          <w:szCs w:val="24"/>
        </w:rPr>
        <w:instrText xml:space="preserve"> REF _Ref46056087 \h </w:instrText>
      </w:r>
      <w:r w:rsidR="009E6281">
        <w:rPr>
          <w:rFonts w:eastAsia="Times New Roman" w:cs="Times New Roman"/>
          <w:szCs w:val="24"/>
        </w:rPr>
      </w:r>
      <w:r w:rsidR="009E6281">
        <w:rPr>
          <w:rFonts w:eastAsia="Times New Roman" w:cs="Times New Roman"/>
          <w:szCs w:val="24"/>
        </w:rPr>
        <w:fldChar w:fldCharType="separate"/>
      </w:r>
      <w:r w:rsidR="0005064B">
        <w:t xml:space="preserve">Figure </w:t>
      </w:r>
      <w:r w:rsidR="0005064B">
        <w:rPr>
          <w:noProof/>
        </w:rPr>
        <w:t>5</w:t>
      </w:r>
      <w:r w:rsidR="0005064B">
        <w:noBreakHyphen/>
      </w:r>
      <w:r w:rsidR="0005064B">
        <w:rPr>
          <w:noProof/>
        </w:rPr>
        <w:t>8</w:t>
      </w:r>
      <w:r w:rsidR="009E6281">
        <w:rPr>
          <w:rFonts w:eastAsia="Times New Roman" w:cs="Times New Roman"/>
          <w:szCs w:val="24"/>
        </w:rPr>
        <w:fldChar w:fldCharType="end"/>
      </w:r>
      <w:r w:rsidR="009E6281">
        <w:rPr>
          <w:rFonts w:eastAsia="Times New Roman" w:cs="Times New Roman"/>
          <w:szCs w:val="24"/>
        </w:rPr>
        <w:t xml:space="preserve"> (CBUCC).</w:t>
      </w:r>
    </w:p>
    <w:p w14:paraId="72082852" w14:textId="1712C45A" w:rsidR="009E6281" w:rsidRPr="00C64234" w:rsidRDefault="00C94413" w:rsidP="00C64234">
      <w:pPr>
        <w:spacing w:after="240" w:line="360" w:lineRule="auto"/>
        <w:rPr>
          <w:rFonts w:cs="Times New Roman"/>
        </w:rPr>
      </w:pPr>
      <w:r>
        <w:rPr>
          <w:rFonts w:eastAsia="Times New Roman" w:cs="Times New Roman"/>
          <w:szCs w:val="24"/>
        </w:rPr>
        <w:t xml:space="preserve">As shown in </w:t>
      </w:r>
      <w:r>
        <w:rPr>
          <w:rFonts w:eastAsia="Times New Roman" w:cs="Times New Roman"/>
          <w:szCs w:val="24"/>
        </w:rPr>
        <w:fldChar w:fldCharType="begin"/>
      </w:r>
      <w:r>
        <w:rPr>
          <w:rFonts w:eastAsia="Times New Roman" w:cs="Times New Roman"/>
          <w:szCs w:val="24"/>
        </w:rPr>
        <w:instrText xml:space="preserve"> REF _Ref46056082 \h </w:instrText>
      </w:r>
      <w:r>
        <w:rPr>
          <w:rFonts w:eastAsia="Times New Roman" w:cs="Times New Roman"/>
          <w:szCs w:val="24"/>
        </w:rPr>
      </w:r>
      <w:r>
        <w:rPr>
          <w:rFonts w:eastAsia="Times New Roman" w:cs="Times New Roman"/>
          <w:szCs w:val="24"/>
        </w:rPr>
        <w:fldChar w:fldCharType="separate"/>
      </w:r>
      <w:r w:rsidR="0005064B">
        <w:t xml:space="preserve">Figure </w:t>
      </w:r>
      <w:r w:rsidR="0005064B">
        <w:rPr>
          <w:noProof/>
        </w:rPr>
        <w:t>5</w:t>
      </w:r>
      <w:r w:rsidR="0005064B">
        <w:noBreakHyphen/>
      </w:r>
      <w:r w:rsidR="0005064B">
        <w:rPr>
          <w:noProof/>
        </w:rPr>
        <w:t>5</w:t>
      </w:r>
      <w:r>
        <w:rPr>
          <w:rFonts w:eastAsia="Times New Roman" w:cs="Times New Roman"/>
          <w:szCs w:val="24"/>
        </w:rPr>
        <w:fldChar w:fldCharType="end"/>
      </w:r>
      <w:r>
        <w:rPr>
          <w:rFonts w:eastAsia="Times New Roman" w:cs="Times New Roman"/>
          <w:szCs w:val="24"/>
        </w:rPr>
        <w:t>, SCUCC provide</w:t>
      </w:r>
      <w:r w:rsidR="00346434">
        <w:rPr>
          <w:rFonts w:eastAsia="Times New Roman" w:cs="Times New Roman"/>
          <w:szCs w:val="24"/>
        </w:rPr>
        <w:t>s</w:t>
      </w:r>
      <w:r>
        <w:rPr>
          <w:rFonts w:eastAsia="Times New Roman" w:cs="Times New Roman"/>
          <w:szCs w:val="24"/>
        </w:rPr>
        <w:t xml:space="preserve"> the last-mile distribution and reverse logistics service. Its service can perfectly meet the requirement </w:t>
      </w:r>
      <w:r w:rsidR="00EF50FE">
        <w:rPr>
          <w:rFonts w:eastAsia="Times New Roman" w:cs="Times New Roman"/>
          <w:szCs w:val="24"/>
        </w:rPr>
        <w:t xml:space="preserve">of </w:t>
      </w:r>
      <w:r w:rsidR="003D4776">
        <w:rPr>
          <w:rFonts w:eastAsia="Times New Roman" w:cs="Times New Roman"/>
          <w:szCs w:val="24"/>
        </w:rPr>
        <w:t>the LA</w:t>
      </w:r>
      <w:r w:rsidR="00E85BD0">
        <w:rPr>
          <w:rFonts w:eastAsia="Times New Roman" w:cs="Times New Roman"/>
          <w:szCs w:val="24"/>
        </w:rPr>
        <w:t>,</w:t>
      </w:r>
      <w:r w:rsidR="00EF50FE">
        <w:rPr>
          <w:rFonts w:eastAsia="Times New Roman" w:cs="Times New Roman"/>
          <w:szCs w:val="24"/>
        </w:rPr>
        <w:t xml:space="preserve"> which contribute to the environment</w:t>
      </w:r>
      <w:r w:rsidR="00973EFB">
        <w:rPr>
          <w:rFonts w:eastAsia="Times New Roman" w:cs="Times New Roman"/>
          <w:szCs w:val="24"/>
        </w:rPr>
        <w:t xml:space="preserve"> and society</w:t>
      </w:r>
      <w:r w:rsidR="0016138B">
        <w:rPr>
          <w:rFonts w:eastAsia="Times New Roman" w:cs="Times New Roman"/>
          <w:szCs w:val="24"/>
        </w:rPr>
        <w:t>. T</w:t>
      </w:r>
      <w:r w:rsidR="00F77BE4">
        <w:rPr>
          <w:rFonts w:eastAsia="Times New Roman" w:cs="Times New Roman"/>
          <w:szCs w:val="24"/>
        </w:rPr>
        <w:t xml:space="preserve">he last-mile </w:t>
      </w:r>
      <w:r w:rsidR="00DA45C0">
        <w:rPr>
          <w:rFonts w:eastAsia="Times New Roman" w:cs="Times New Roman"/>
          <w:szCs w:val="24"/>
        </w:rPr>
        <w:t xml:space="preserve">distribution service </w:t>
      </w:r>
      <w:r w:rsidR="007D6760">
        <w:rPr>
          <w:rFonts w:eastAsia="Times New Roman" w:cs="Times New Roman"/>
          <w:szCs w:val="24"/>
        </w:rPr>
        <w:t>improves</w:t>
      </w:r>
      <w:r w:rsidR="0016138B">
        <w:rPr>
          <w:rFonts w:eastAsia="Times New Roman" w:cs="Times New Roman"/>
          <w:szCs w:val="24"/>
        </w:rPr>
        <w:t xml:space="preserve"> the efficiency of</w:t>
      </w:r>
      <w:r w:rsidR="00C9500F">
        <w:rPr>
          <w:rFonts w:eastAsia="Times New Roman" w:cs="Times New Roman"/>
          <w:szCs w:val="24"/>
        </w:rPr>
        <w:t xml:space="preserve"> the</w:t>
      </w:r>
      <w:r w:rsidR="00857342">
        <w:rPr>
          <w:rFonts w:eastAsia="Times New Roman" w:cs="Times New Roman"/>
          <w:szCs w:val="24"/>
        </w:rPr>
        <w:t xml:space="preserve"> </w:t>
      </w:r>
      <w:r w:rsidR="00DA45C0">
        <w:rPr>
          <w:rFonts w:eastAsia="Times New Roman" w:cs="Times New Roman"/>
          <w:szCs w:val="24"/>
        </w:rPr>
        <w:t>LSP</w:t>
      </w:r>
      <w:r w:rsidR="0016138B">
        <w:rPr>
          <w:rFonts w:eastAsia="Times New Roman" w:cs="Times New Roman"/>
          <w:szCs w:val="24"/>
        </w:rPr>
        <w:t>’s</w:t>
      </w:r>
      <w:r w:rsidR="00DA45C0">
        <w:rPr>
          <w:rFonts w:eastAsia="Times New Roman" w:cs="Times New Roman"/>
          <w:szCs w:val="24"/>
        </w:rPr>
        <w:t xml:space="preserve"> </w:t>
      </w:r>
      <w:r w:rsidR="0016138B">
        <w:rPr>
          <w:rFonts w:eastAsia="Times New Roman" w:cs="Times New Roman"/>
          <w:szCs w:val="24"/>
        </w:rPr>
        <w:t xml:space="preserve">last-mile distribution. </w:t>
      </w:r>
      <w:r w:rsidR="00831771">
        <w:rPr>
          <w:rFonts w:eastAsia="Times New Roman" w:cs="Times New Roman"/>
          <w:szCs w:val="24"/>
        </w:rPr>
        <w:t xml:space="preserve">On the other hand, </w:t>
      </w:r>
      <w:r w:rsidR="007D6760">
        <w:rPr>
          <w:rFonts w:eastAsia="Times New Roman" w:cs="Times New Roman"/>
          <w:szCs w:val="24"/>
        </w:rPr>
        <w:t>UCC</w:t>
      </w:r>
      <w:r w:rsidR="00200938">
        <w:rPr>
          <w:rFonts w:eastAsia="Times New Roman" w:cs="Times New Roman"/>
          <w:szCs w:val="24"/>
        </w:rPr>
        <w:t>s</w:t>
      </w:r>
      <w:r w:rsidR="007D6760">
        <w:rPr>
          <w:rFonts w:eastAsia="Times New Roman" w:cs="Times New Roman"/>
          <w:szCs w:val="24"/>
        </w:rPr>
        <w:t xml:space="preserve"> generate</w:t>
      </w:r>
      <w:r w:rsidR="00831771">
        <w:rPr>
          <w:rFonts w:eastAsia="Times New Roman" w:cs="Times New Roman"/>
          <w:szCs w:val="24"/>
        </w:rPr>
        <w:t>s</w:t>
      </w:r>
      <w:r w:rsidR="007D6760">
        <w:rPr>
          <w:rFonts w:eastAsia="Times New Roman" w:cs="Times New Roman"/>
          <w:szCs w:val="24"/>
        </w:rPr>
        <w:t xml:space="preserve"> additional revenues for the UCC operator</w:t>
      </w:r>
      <w:r w:rsidR="00831771">
        <w:rPr>
          <w:rFonts w:eastAsia="Times New Roman" w:cs="Times New Roman"/>
          <w:szCs w:val="24"/>
        </w:rPr>
        <w:t xml:space="preserve">, as they can combine the </w:t>
      </w:r>
      <w:r w:rsidR="00AE3F1F">
        <w:rPr>
          <w:rFonts w:eastAsia="Times New Roman" w:cs="Times New Roman"/>
          <w:szCs w:val="24"/>
        </w:rPr>
        <w:t>forward and reverse logistics in each delivery.</w:t>
      </w:r>
    </w:p>
    <w:p w14:paraId="310E66F9" w14:textId="696CE6CB" w:rsidR="00E86555" w:rsidRPr="00E86555" w:rsidRDefault="00E86555" w:rsidP="00E86555">
      <w:pPr>
        <w:jc w:val="left"/>
        <w:rPr>
          <w:rFonts w:eastAsia="Times New Roman" w:cs="Times New Roman"/>
          <w:szCs w:val="24"/>
        </w:rPr>
      </w:pPr>
    </w:p>
    <w:p w14:paraId="43717998" w14:textId="6A274C94" w:rsidR="00BF2BB7" w:rsidRPr="00BF2BB7" w:rsidRDefault="00BF2BB7" w:rsidP="00BF2BB7">
      <w:pPr>
        <w:jc w:val="left"/>
        <w:rPr>
          <w:rFonts w:eastAsia="Times New Roman" w:cs="Times New Roman"/>
          <w:szCs w:val="24"/>
        </w:rPr>
      </w:pPr>
    </w:p>
    <w:p w14:paraId="077CCE93" w14:textId="215DBCBB" w:rsidR="00BF2BB7" w:rsidRPr="00BF2BB7" w:rsidRDefault="00BF2BB7" w:rsidP="00BF2BB7">
      <w:pPr>
        <w:rPr>
          <w:rFonts w:eastAsia="Times New Roman" w:cs="Times New Roman"/>
          <w:szCs w:val="24"/>
        </w:rPr>
      </w:pPr>
    </w:p>
    <w:p w14:paraId="49A9EBE7" w14:textId="20C5C798" w:rsidR="00524CBF" w:rsidRDefault="00DA45C0" w:rsidP="007F6877">
      <w:pPr>
        <w:spacing w:after="240" w:line="360" w:lineRule="auto"/>
      </w:pPr>
      <w:r>
        <w:object w:dxaOrig="11700" w:dyaOrig="6585" w14:anchorId="079D85A9">
          <v:shape id="_x0000_i1035" type="#_x0000_t75" style="width:446.35pt;height:259.1pt" o:ole="">
            <v:imagedata r:id="rId113" o:title=""/>
          </v:shape>
          <o:OLEObject Type="Embed" ProgID="Visio.Drawing.15" ShapeID="_x0000_i1035" DrawAspect="Content" ObjectID="_1681648042" r:id="rId114"/>
        </w:object>
      </w:r>
    </w:p>
    <w:p w14:paraId="7FDFF796" w14:textId="0B37823F" w:rsidR="00E43F50" w:rsidRDefault="009E5195" w:rsidP="00062700">
      <w:pPr>
        <w:pStyle w:val="Caption"/>
      </w:pPr>
      <w:bookmarkStart w:id="788" w:name="_Ref46056082"/>
      <w:bookmarkStart w:id="789" w:name="_Toc46053687"/>
      <w:bookmarkStart w:id="790" w:name="_Toc66698718"/>
      <w:r>
        <w:t xml:space="preserve">Figure </w:t>
      </w:r>
      <w:r w:rsidR="000306D9">
        <w:fldChar w:fldCharType="begin"/>
      </w:r>
      <w:r w:rsidR="000306D9">
        <w:instrText xml:space="preserve"> STYLEREF 1 \s </w:instrText>
      </w:r>
      <w:r w:rsidR="000306D9">
        <w:fldChar w:fldCharType="separate"/>
      </w:r>
      <w:r w:rsidR="0005064B">
        <w:rPr>
          <w:noProof/>
        </w:rPr>
        <w:t>5</w:t>
      </w:r>
      <w:r w:rsidR="000306D9">
        <w:rPr>
          <w:noProof/>
        </w:rPr>
        <w:fldChar w:fldCharType="end"/>
      </w:r>
      <w:r w:rsidR="00632993">
        <w:noBreakHyphen/>
      </w:r>
      <w:r w:rsidR="000306D9">
        <w:fldChar w:fldCharType="begin"/>
      </w:r>
      <w:r w:rsidR="000306D9">
        <w:instrText xml:space="preserve"> SEQ Figure \* ARABIC \s 1 </w:instrText>
      </w:r>
      <w:r w:rsidR="000306D9">
        <w:fldChar w:fldCharType="separate"/>
      </w:r>
      <w:r w:rsidR="0005064B">
        <w:rPr>
          <w:noProof/>
        </w:rPr>
        <w:t>5</w:t>
      </w:r>
      <w:r w:rsidR="000306D9">
        <w:rPr>
          <w:noProof/>
        </w:rPr>
        <w:fldChar w:fldCharType="end"/>
      </w:r>
      <w:bookmarkEnd w:id="788"/>
      <w:r w:rsidR="00F53F72">
        <w:rPr>
          <w:noProof/>
        </w:rPr>
        <w:t xml:space="preserve">: </w:t>
      </w:r>
      <w:r>
        <w:t>Value proposition of SCUCC</w:t>
      </w:r>
      <w:bookmarkEnd w:id="789"/>
      <w:bookmarkEnd w:id="790"/>
    </w:p>
    <w:p w14:paraId="5AC20844" w14:textId="5DB8EDF1" w:rsidR="00AE3F1F" w:rsidRDefault="00AE3F1F" w:rsidP="00572629">
      <w:pPr>
        <w:spacing w:after="240" w:line="360" w:lineRule="auto"/>
        <w:rPr>
          <w:rFonts w:eastAsia="Times New Roman" w:cs="Times New Roman"/>
          <w:szCs w:val="24"/>
        </w:rPr>
      </w:pPr>
      <w:r>
        <w:rPr>
          <w:rFonts w:eastAsia="Times New Roman" w:cs="Times New Roman"/>
          <w:szCs w:val="24"/>
        </w:rPr>
        <w:t>As shown in</w:t>
      </w:r>
      <w:r w:rsidR="007A6573">
        <w:rPr>
          <w:rFonts w:eastAsia="Times New Roman" w:cs="Times New Roman"/>
          <w:szCs w:val="24"/>
        </w:rPr>
        <w:t xml:space="preserve"> </w:t>
      </w:r>
      <w:r w:rsidR="007A6573">
        <w:rPr>
          <w:rFonts w:eastAsia="Times New Roman" w:cs="Times New Roman"/>
          <w:szCs w:val="24"/>
        </w:rPr>
        <w:fldChar w:fldCharType="begin"/>
      </w:r>
      <w:r w:rsidR="007A6573">
        <w:rPr>
          <w:rFonts w:eastAsia="Times New Roman" w:cs="Times New Roman"/>
          <w:szCs w:val="24"/>
        </w:rPr>
        <w:instrText xml:space="preserve"> REF _Ref46056084 \h </w:instrText>
      </w:r>
      <w:r w:rsidR="002E7C8E">
        <w:rPr>
          <w:rFonts w:eastAsia="Times New Roman" w:cs="Times New Roman"/>
          <w:szCs w:val="24"/>
        </w:rPr>
        <w:instrText xml:space="preserve"> \* MERGEFORMAT </w:instrText>
      </w:r>
      <w:r w:rsidR="007A6573">
        <w:rPr>
          <w:rFonts w:eastAsia="Times New Roman" w:cs="Times New Roman"/>
          <w:szCs w:val="24"/>
        </w:rPr>
      </w:r>
      <w:r w:rsidR="007A6573">
        <w:rPr>
          <w:rFonts w:eastAsia="Times New Roman" w:cs="Times New Roman"/>
          <w:szCs w:val="24"/>
        </w:rPr>
        <w:fldChar w:fldCharType="separate"/>
      </w:r>
      <w:r w:rsidR="0005064B">
        <w:t xml:space="preserve">Figure </w:t>
      </w:r>
      <w:r w:rsidR="0005064B">
        <w:rPr>
          <w:noProof/>
        </w:rPr>
        <w:t>5</w:t>
      </w:r>
      <w:r w:rsidR="0005064B">
        <w:rPr>
          <w:noProof/>
        </w:rPr>
        <w:noBreakHyphen/>
        <w:t>6</w:t>
      </w:r>
      <w:r w:rsidR="007A6573">
        <w:rPr>
          <w:rFonts w:eastAsia="Times New Roman" w:cs="Times New Roman"/>
          <w:szCs w:val="24"/>
        </w:rPr>
        <w:fldChar w:fldCharType="end"/>
      </w:r>
      <w:r w:rsidR="007A6573">
        <w:rPr>
          <w:rFonts w:eastAsia="Times New Roman" w:cs="Times New Roman"/>
          <w:szCs w:val="24"/>
        </w:rPr>
        <w:t xml:space="preserve">, </w:t>
      </w:r>
      <w:r w:rsidR="00200938">
        <w:rPr>
          <w:rFonts w:eastAsia="Times New Roman" w:cs="Times New Roman"/>
          <w:szCs w:val="24"/>
        </w:rPr>
        <w:t xml:space="preserve">this </w:t>
      </w:r>
      <w:r w:rsidR="00B1633E">
        <w:rPr>
          <w:rFonts w:eastAsia="Times New Roman" w:cs="Times New Roman"/>
          <w:szCs w:val="24"/>
        </w:rPr>
        <w:t>UCC provide</w:t>
      </w:r>
      <w:r w:rsidR="00857342">
        <w:rPr>
          <w:rFonts w:eastAsia="Times New Roman" w:cs="Times New Roman"/>
          <w:szCs w:val="24"/>
        </w:rPr>
        <w:t>s</w:t>
      </w:r>
      <w:r w:rsidR="00B1633E">
        <w:rPr>
          <w:rFonts w:eastAsia="Times New Roman" w:cs="Times New Roman"/>
          <w:szCs w:val="24"/>
        </w:rPr>
        <w:t xml:space="preserve"> last-mile distribution service</w:t>
      </w:r>
      <w:r w:rsidR="00200938">
        <w:rPr>
          <w:rFonts w:eastAsia="Times New Roman" w:cs="Times New Roman"/>
          <w:szCs w:val="24"/>
        </w:rPr>
        <w:t>s</w:t>
      </w:r>
      <w:r w:rsidR="00B1633E">
        <w:rPr>
          <w:rFonts w:eastAsia="Times New Roman" w:cs="Times New Roman"/>
          <w:szCs w:val="24"/>
        </w:rPr>
        <w:t>, reverse logistics service</w:t>
      </w:r>
      <w:r w:rsidR="00200938">
        <w:rPr>
          <w:rFonts w:eastAsia="Times New Roman" w:cs="Times New Roman"/>
          <w:szCs w:val="24"/>
        </w:rPr>
        <w:t>s</w:t>
      </w:r>
      <w:r w:rsidR="00B1633E">
        <w:rPr>
          <w:rFonts w:eastAsia="Times New Roman" w:cs="Times New Roman"/>
          <w:szCs w:val="24"/>
        </w:rPr>
        <w:t>, and warehouse service</w:t>
      </w:r>
      <w:r w:rsidR="00200938">
        <w:rPr>
          <w:rFonts w:eastAsia="Times New Roman" w:cs="Times New Roman"/>
          <w:szCs w:val="24"/>
        </w:rPr>
        <w:t>s</w:t>
      </w:r>
      <w:r w:rsidR="00B1633E">
        <w:rPr>
          <w:rFonts w:eastAsia="Times New Roman" w:cs="Times New Roman"/>
          <w:szCs w:val="24"/>
        </w:rPr>
        <w:t xml:space="preserve">. </w:t>
      </w:r>
      <w:r w:rsidR="00200938">
        <w:rPr>
          <w:rFonts w:eastAsia="Times New Roman" w:cs="Times New Roman"/>
          <w:szCs w:val="24"/>
        </w:rPr>
        <w:t xml:space="preserve">The </w:t>
      </w:r>
      <w:r w:rsidR="00B1633E">
        <w:rPr>
          <w:rFonts w:eastAsia="Times New Roman" w:cs="Times New Roman"/>
          <w:szCs w:val="24"/>
        </w:rPr>
        <w:t>UCC also meet</w:t>
      </w:r>
      <w:r w:rsidR="00F17430">
        <w:rPr>
          <w:rFonts w:eastAsia="Times New Roman" w:cs="Times New Roman"/>
          <w:szCs w:val="24"/>
        </w:rPr>
        <w:t>s</w:t>
      </w:r>
      <w:r w:rsidR="00B1633E">
        <w:rPr>
          <w:rFonts w:eastAsia="Times New Roman" w:cs="Times New Roman"/>
          <w:szCs w:val="24"/>
        </w:rPr>
        <w:t xml:space="preserve"> the requirements of LAs in environmental and social aspects. Due to join this project, </w:t>
      </w:r>
      <w:r w:rsidR="00FA5930">
        <w:rPr>
          <w:rFonts w:eastAsia="Times New Roman" w:cs="Times New Roman"/>
          <w:szCs w:val="24"/>
        </w:rPr>
        <w:t>UCC operator generate</w:t>
      </w:r>
      <w:r w:rsidR="002E7C8E">
        <w:rPr>
          <w:rFonts w:eastAsia="Times New Roman" w:cs="Times New Roman"/>
          <w:szCs w:val="24"/>
        </w:rPr>
        <w:t>s</w:t>
      </w:r>
      <w:r w:rsidR="00FA5930">
        <w:rPr>
          <w:rFonts w:eastAsia="Times New Roman" w:cs="Times New Roman"/>
          <w:szCs w:val="24"/>
        </w:rPr>
        <w:t xml:space="preserve"> revenues and </w:t>
      </w:r>
      <w:r w:rsidR="002E7C8E">
        <w:rPr>
          <w:rFonts w:eastAsia="Times New Roman" w:cs="Times New Roman"/>
          <w:szCs w:val="24"/>
        </w:rPr>
        <w:t>expands its</w:t>
      </w:r>
      <w:r w:rsidR="00FA5930">
        <w:rPr>
          <w:rFonts w:eastAsia="Times New Roman" w:cs="Times New Roman"/>
          <w:szCs w:val="24"/>
        </w:rPr>
        <w:t xml:space="preserve"> business opportunities</w:t>
      </w:r>
      <w:r w:rsidR="002E7C8E">
        <w:rPr>
          <w:rFonts w:eastAsia="Times New Roman" w:cs="Times New Roman"/>
          <w:szCs w:val="24"/>
        </w:rPr>
        <w:t xml:space="preserve"> in </w:t>
      </w:r>
      <w:r w:rsidR="00A916FA">
        <w:rPr>
          <w:rFonts w:eastAsia="Times New Roman" w:cs="Times New Roman"/>
          <w:szCs w:val="24"/>
        </w:rPr>
        <w:t xml:space="preserve">the </w:t>
      </w:r>
      <w:r w:rsidR="002E7C8E">
        <w:rPr>
          <w:rFonts w:eastAsia="Times New Roman" w:cs="Times New Roman"/>
          <w:szCs w:val="24"/>
        </w:rPr>
        <w:t>logistics industr</w:t>
      </w:r>
      <w:r w:rsidR="000E4F3D">
        <w:rPr>
          <w:rFonts w:eastAsia="Times New Roman" w:cs="Times New Roman"/>
          <w:szCs w:val="24"/>
        </w:rPr>
        <w:t xml:space="preserve">y, as this company </w:t>
      </w:r>
      <w:r w:rsidR="00572629">
        <w:rPr>
          <w:rFonts w:eastAsia="Times New Roman" w:cs="Times New Roman"/>
          <w:szCs w:val="24"/>
        </w:rPr>
        <w:t>get</w:t>
      </w:r>
      <w:r w:rsidR="0011431C">
        <w:rPr>
          <w:rFonts w:eastAsia="Times New Roman" w:cs="Times New Roman"/>
          <w:szCs w:val="24"/>
        </w:rPr>
        <w:t>s</w:t>
      </w:r>
      <w:r w:rsidR="000E4F3D">
        <w:rPr>
          <w:rFonts w:eastAsia="Times New Roman" w:cs="Times New Roman"/>
          <w:szCs w:val="24"/>
        </w:rPr>
        <w:t xml:space="preserve"> the experience</w:t>
      </w:r>
      <w:r w:rsidR="00572629">
        <w:rPr>
          <w:rFonts w:eastAsia="Times New Roman" w:cs="Times New Roman"/>
          <w:szCs w:val="24"/>
        </w:rPr>
        <w:t xml:space="preserve"> from managing goods distribution and warehous</w:t>
      </w:r>
      <w:r w:rsidR="0011431C">
        <w:rPr>
          <w:rFonts w:eastAsia="Times New Roman" w:cs="Times New Roman"/>
          <w:szCs w:val="24"/>
        </w:rPr>
        <w:t>ing</w:t>
      </w:r>
      <w:r w:rsidR="00572629">
        <w:rPr>
          <w:rFonts w:eastAsia="Times New Roman" w:cs="Times New Roman"/>
          <w:szCs w:val="24"/>
        </w:rPr>
        <w:t>.</w:t>
      </w:r>
      <w:r w:rsidR="00D61BEF">
        <w:rPr>
          <w:rFonts w:eastAsia="Times New Roman" w:cs="Times New Roman"/>
          <w:szCs w:val="24"/>
        </w:rPr>
        <w:t xml:space="preserve"> However,</w:t>
      </w:r>
      <w:r w:rsidR="00A916FA">
        <w:rPr>
          <w:rFonts w:eastAsia="Times New Roman" w:cs="Times New Roman"/>
          <w:szCs w:val="24"/>
        </w:rPr>
        <w:t xml:space="preserve"> the</w:t>
      </w:r>
      <w:r w:rsidR="00D61BEF">
        <w:rPr>
          <w:rFonts w:eastAsia="Times New Roman" w:cs="Times New Roman"/>
          <w:szCs w:val="24"/>
        </w:rPr>
        <w:t xml:space="preserve"> </w:t>
      </w:r>
      <w:r w:rsidR="001D665B">
        <w:rPr>
          <w:rFonts w:eastAsia="Times New Roman" w:cs="Times New Roman"/>
          <w:szCs w:val="24"/>
        </w:rPr>
        <w:t xml:space="preserve">UCC </w:t>
      </w:r>
      <w:r w:rsidR="00D61BEF">
        <w:rPr>
          <w:rFonts w:eastAsia="Times New Roman" w:cs="Times New Roman"/>
          <w:szCs w:val="24"/>
        </w:rPr>
        <w:t>di</w:t>
      </w:r>
      <w:r w:rsidR="00382F33">
        <w:rPr>
          <w:rFonts w:eastAsia="Times New Roman" w:cs="Times New Roman"/>
          <w:szCs w:val="24"/>
        </w:rPr>
        <w:t>d not generate benefits as the receivers expect</w:t>
      </w:r>
      <w:r w:rsidR="00CC1F88">
        <w:rPr>
          <w:rFonts w:eastAsia="Times New Roman" w:cs="Times New Roman"/>
          <w:szCs w:val="24"/>
        </w:rPr>
        <w:t xml:space="preserve"> and even causes</w:t>
      </w:r>
      <w:r w:rsidR="00A916FA">
        <w:rPr>
          <w:rFonts w:eastAsia="Times New Roman" w:cs="Times New Roman"/>
          <w:szCs w:val="24"/>
        </w:rPr>
        <w:t xml:space="preserve"> </w:t>
      </w:r>
      <w:r w:rsidR="00CC1F88">
        <w:rPr>
          <w:rFonts w:eastAsia="Times New Roman" w:cs="Times New Roman"/>
          <w:szCs w:val="24"/>
        </w:rPr>
        <w:t xml:space="preserve">negative impacts on </w:t>
      </w:r>
      <w:r w:rsidR="00C95D76">
        <w:rPr>
          <w:rFonts w:eastAsia="Times New Roman" w:cs="Times New Roman"/>
          <w:szCs w:val="24"/>
        </w:rPr>
        <w:t>receivers’</w:t>
      </w:r>
      <w:r w:rsidR="00CC1F88">
        <w:rPr>
          <w:rFonts w:eastAsia="Times New Roman" w:cs="Times New Roman"/>
          <w:szCs w:val="24"/>
        </w:rPr>
        <w:t xml:space="preserve"> business. Such as increased cost</w:t>
      </w:r>
      <w:r w:rsidR="00D2764B">
        <w:rPr>
          <w:rFonts w:eastAsia="Times New Roman" w:cs="Times New Roman"/>
          <w:szCs w:val="24"/>
        </w:rPr>
        <w:t>s</w:t>
      </w:r>
      <w:r w:rsidR="00CC1F88">
        <w:rPr>
          <w:rFonts w:eastAsia="Times New Roman" w:cs="Times New Roman"/>
          <w:szCs w:val="24"/>
        </w:rPr>
        <w:t xml:space="preserve">, longer </w:t>
      </w:r>
      <w:r w:rsidR="0039057B">
        <w:rPr>
          <w:rFonts w:eastAsia="Times New Roman" w:cs="Times New Roman"/>
          <w:szCs w:val="24"/>
        </w:rPr>
        <w:t xml:space="preserve">shipping time, and high goods damage rate. </w:t>
      </w:r>
      <w:r w:rsidR="00C13C67">
        <w:rPr>
          <w:rFonts w:eastAsia="Times New Roman" w:cs="Times New Roman"/>
          <w:szCs w:val="24"/>
        </w:rPr>
        <w:t>These issues</w:t>
      </w:r>
      <w:r w:rsidR="0039057B">
        <w:rPr>
          <w:rFonts w:eastAsia="Times New Roman" w:cs="Times New Roman"/>
          <w:szCs w:val="24"/>
        </w:rPr>
        <w:t xml:space="preserve"> are caused by the last-mile distribution and the goods storage in </w:t>
      </w:r>
      <w:r w:rsidR="00AF17AE">
        <w:rPr>
          <w:rFonts w:eastAsia="Times New Roman" w:cs="Times New Roman"/>
          <w:szCs w:val="24"/>
        </w:rPr>
        <w:t xml:space="preserve">the </w:t>
      </w:r>
      <w:r w:rsidR="0039057B">
        <w:rPr>
          <w:rFonts w:eastAsia="Times New Roman" w:cs="Times New Roman"/>
          <w:szCs w:val="24"/>
        </w:rPr>
        <w:t>warehouse.</w:t>
      </w:r>
    </w:p>
    <w:p w14:paraId="37B06CD1" w14:textId="3D7D3415" w:rsidR="00572629" w:rsidRDefault="00572629" w:rsidP="00572629">
      <w:pPr>
        <w:spacing w:after="240" w:line="360" w:lineRule="auto"/>
        <w:rPr>
          <w:rFonts w:eastAsia="Times New Roman" w:cs="Times New Roman"/>
          <w:szCs w:val="24"/>
        </w:rPr>
      </w:pPr>
      <w:r>
        <w:rPr>
          <w:rFonts w:eastAsia="Times New Roman" w:cs="Times New Roman"/>
          <w:szCs w:val="24"/>
        </w:rPr>
        <w:t xml:space="preserve">As shown in </w:t>
      </w:r>
      <w:r>
        <w:rPr>
          <w:rFonts w:eastAsia="Times New Roman" w:cs="Times New Roman"/>
          <w:szCs w:val="24"/>
        </w:rPr>
        <w:fldChar w:fldCharType="begin"/>
      </w:r>
      <w:r>
        <w:rPr>
          <w:rFonts w:eastAsia="Times New Roman" w:cs="Times New Roman"/>
          <w:szCs w:val="24"/>
        </w:rPr>
        <w:instrText xml:space="preserve"> REF _Ref46056086 \h </w:instrText>
      </w:r>
      <w:r>
        <w:rPr>
          <w:rFonts w:eastAsia="Times New Roman" w:cs="Times New Roman"/>
          <w:szCs w:val="24"/>
        </w:rPr>
      </w:r>
      <w:r>
        <w:rPr>
          <w:rFonts w:eastAsia="Times New Roman" w:cs="Times New Roman"/>
          <w:szCs w:val="24"/>
        </w:rPr>
        <w:fldChar w:fldCharType="separate"/>
      </w:r>
      <w:r w:rsidR="0005064B">
        <w:t xml:space="preserve">Figure </w:t>
      </w:r>
      <w:r w:rsidR="0005064B">
        <w:rPr>
          <w:noProof/>
        </w:rPr>
        <w:t>5</w:t>
      </w:r>
      <w:r w:rsidR="0005064B">
        <w:noBreakHyphen/>
      </w:r>
      <w:r w:rsidR="0005064B">
        <w:rPr>
          <w:noProof/>
        </w:rPr>
        <w:t>7</w:t>
      </w:r>
      <w:r>
        <w:rPr>
          <w:rFonts w:eastAsia="Times New Roman" w:cs="Times New Roman"/>
          <w:szCs w:val="24"/>
        </w:rPr>
        <w:fldChar w:fldCharType="end"/>
      </w:r>
      <w:r>
        <w:rPr>
          <w:rFonts w:eastAsia="Times New Roman" w:cs="Times New Roman"/>
          <w:szCs w:val="24"/>
        </w:rPr>
        <w:t xml:space="preserve">, </w:t>
      </w:r>
      <w:r w:rsidR="00D670C1">
        <w:rPr>
          <w:rFonts w:eastAsia="Times New Roman" w:cs="Times New Roman"/>
          <w:szCs w:val="24"/>
        </w:rPr>
        <w:t xml:space="preserve">the </w:t>
      </w:r>
      <w:r w:rsidR="0039057B">
        <w:rPr>
          <w:rFonts w:eastAsia="Times New Roman" w:cs="Times New Roman"/>
          <w:szCs w:val="24"/>
        </w:rPr>
        <w:t>CA</w:t>
      </w:r>
      <w:r w:rsidR="006D6C00">
        <w:rPr>
          <w:rFonts w:eastAsia="Times New Roman" w:cs="Times New Roman"/>
          <w:szCs w:val="24"/>
        </w:rPr>
        <w:t>UCC provides</w:t>
      </w:r>
      <w:r w:rsidR="00D61BEF">
        <w:rPr>
          <w:rFonts w:eastAsia="Times New Roman" w:cs="Times New Roman"/>
          <w:szCs w:val="24"/>
        </w:rPr>
        <w:t xml:space="preserve"> three categories</w:t>
      </w:r>
      <w:r w:rsidR="00AF17AE">
        <w:rPr>
          <w:rFonts w:eastAsia="Times New Roman" w:cs="Times New Roman"/>
          <w:szCs w:val="24"/>
        </w:rPr>
        <w:t xml:space="preserve"> of</w:t>
      </w:r>
      <w:r w:rsidR="00D61BEF">
        <w:rPr>
          <w:rFonts w:eastAsia="Times New Roman" w:cs="Times New Roman"/>
          <w:szCs w:val="24"/>
        </w:rPr>
        <w:t xml:space="preserve"> services in terms of </w:t>
      </w:r>
      <w:r w:rsidR="006D6C00">
        <w:rPr>
          <w:rFonts w:eastAsia="Times New Roman" w:cs="Times New Roman"/>
          <w:szCs w:val="24"/>
        </w:rPr>
        <w:t>last-mile distribution, warehouse service</w:t>
      </w:r>
      <w:r w:rsidR="00D61BEF">
        <w:rPr>
          <w:rFonts w:eastAsia="Times New Roman" w:cs="Times New Roman"/>
          <w:szCs w:val="24"/>
        </w:rPr>
        <w:t>, and inventory management.</w:t>
      </w:r>
      <w:r w:rsidR="00D45AAF">
        <w:rPr>
          <w:rFonts w:eastAsia="Times New Roman" w:cs="Times New Roman"/>
          <w:szCs w:val="24"/>
        </w:rPr>
        <w:t xml:space="preserve"> These kinds of service </w:t>
      </w:r>
      <w:r w:rsidR="00756834">
        <w:rPr>
          <w:rFonts w:eastAsia="Times New Roman" w:cs="Times New Roman"/>
          <w:szCs w:val="24"/>
        </w:rPr>
        <w:t>perfectly meet the commercial requirements of suppliers and receivers.</w:t>
      </w:r>
    </w:p>
    <w:p w14:paraId="0D9C3F49" w14:textId="02ECC953" w:rsidR="008F79DB" w:rsidRPr="00E31E3F" w:rsidRDefault="008F79DB" w:rsidP="00572629">
      <w:pPr>
        <w:spacing w:after="240" w:line="360" w:lineRule="auto"/>
        <w:rPr>
          <w:rFonts w:eastAsia="Times New Roman" w:cs="Times New Roman"/>
          <w:szCs w:val="24"/>
        </w:rPr>
      </w:pPr>
      <w:r>
        <w:rPr>
          <w:rFonts w:eastAsia="Times New Roman" w:cs="Times New Roman"/>
          <w:szCs w:val="24"/>
        </w:rPr>
        <w:t xml:space="preserve">As shown in </w:t>
      </w:r>
      <w:r>
        <w:rPr>
          <w:rFonts w:eastAsia="Times New Roman" w:cs="Times New Roman"/>
          <w:szCs w:val="24"/>
        </w:rPr>
        <w:fldChar w:fldCharType="begin"/>
      </w:r>
      <w:r>
        <w:rPr>
          <w:rFonts w:eastAsia="Times New Roman" w:cs="Times New Roman"/>
          <w:szCs w:val="24"/>
        </w:rPr>
        <w:instrText xml:space="preserve"> REF _Ref46056087 \h </w:instrText>
      </w:r>
      <w:r>
        <w:rPr>
          <w:rFonts w:eastAsia="Times New Roman" w:cs="Times New Roman"/>
          <w:szCs w:val="24"/>
        </w:rPr>
      </w:r>
      <w:r>
        <w:rPr>
          <w:rFonts w:eastAsia="Times New Roman" w:cs="Times New Roman"/>
          <w:szCs w:val="24"/>
        </w:rPr>
        <w:fldChar w:fldCharType="separate"/>
      </w:r>
      <w:r w:rsidR="0005064B">
        <w:t xml:space="preserve">Figure </w:t>
      </w:r>
      <w:r w:rsidR="0005064B">
        <w:rPr>
          <w:noProof/>
        </w:rPr>
        <w:t>5</w:t>
      </w:r>
      <w:r w:rsidR="0005064B">
        <w:noBreakHyphen/>
      </w:r>
      <w:r w:rsidR="0005064B">
        <w:rPr>
          <w:noProof/>
        </w:rPr>
        <w:t>8</w:t>
      </w:r>
      <w:r>
        <w:rPr>
          <w:rFonts w:eastAsia="Times New Roman" w:cs="Times New Roman"/>
          <w:szCs w:val="24"/>
        </w:rPr>
        <w:fldChar w:fldCharType="end"/>
      </w:r>
      <w:r>
        <w:rPr>
          <w:rFonts w:eastAsia="Times New Roman" w:cs="Times New Roman"/>
          <w:szCs w:val="24"/>
        </w:rPr>
        <w:t xml:space="preserve">, </w:t>
      </w:r>
      <w:r w:rsidR="00E90409">
        <w:rPr>
          <w:rFonts w:eastAsia="Times New Roman" w:cs="Times New Roman"/>
          <w:szCs w:val="24"/>
        </w:rPr>
        <w:t xml:space="preserve">the </w:t>
      </w:r>
      <w:r>
        <w:rPr>
          <w:rFonts w:eastAsia="Times New Roman" w:cs="Times New Roman"/>
          <w:szCs w:val="24"/>
        </w:rPr>
        <w:t>CBUCC</w:t>
      </w:r>
      <w:r w:rsidR="00331526">
        <w:rPr>
          <w:rFonts w:eastAsia="Times New Roman" w:cs="Times New Roman"/>
          <w:szCs w:val="24"/>
        </w:rPr>
        <w:t xml:space="preserve"> provides</w:t>
      </w:r>
      <w:r>
        <w:rPr>
          <w:rFonts w:eastAsia="Times New Roman" w:cs="Times New Roman"/>
          <w:szCs w:val="24"/>
        </w:rPr>
        <w:t xml:space="preserve"> services in terms of last-mile delivery and warehouse service</w:t>
      </w:r>
      <w:r w:rsidR="00D670C1">
        <w:rPr>
          <w:rFonts w:eastAsia="Times New Roman" w:cs="Times New Roman"/>
          <w:szCs w:val="24"/>
        </w:rPr>
        <w:t>s</w:t>
      </w:r>
      <w:r>
        <w:rPr>
          <w:rFonts w:eastAsia="Times New Roman" w:cs="Times New Roman"/>
          <w:szCs w:val="24"/>
        </w:rPr>
        <w:t xml:space="preserve">. </w:t>
      </w:r>
      <w:r w:rsidR="00E90409">
        <w:rPr>
          <w:rFonts w:eastAsia="Times New Roman" w:cs="Times New Roman"/>
          <w:szCs w:val="24"/>
        </w:rPr>
        <w:t xml:space="preserve">The </w:t>
      </w:r>
      <w:r>
        <w:rPr>
          <w:rFonts w:eastAsia="Times New Roman" w:cs="Times New Roman"/>
          <w:szCs w:val="24"/>
        </w:rPr>
        <w:t xml:space="preserve">CBUCC is </w:t>
      </w:r>
      <w:r w:rsidR="00947662">
        <w:rPr>
          <w:rFonts w:eastAsia="Times New Roman" w:cs="Times New Roman"/>
          <w:szCs w:val="24"/>
        </w:rPr>
        <w:t>a commercial UCC initially</w:t>
      </w:r>
      <w:r w:rsidR="00B76C90">
        <w:rPr>
          <w:rFonts w:eastAsia="Times New Roman" w:cs="Times New Roman"/>
          <w:szCs w:val="24"/>
        </w:rPr>
        <w:t>. It services the intercity carriers</w:t>
      </w:r>
      <w:r w:rsidR="00D41E89">
        <w:rPr>
          <w:rFonts w:eastAsia="Times New Roman" w:cs="Times New Roman"/>
          <w:szCs w:val="24"/>
        </w:rPr>
        <w:t xml:space="preserve"> thus earn</w:t>
      </w:r>
      <w:r w:rsidR="00E90409">
        <w:rPr>
          <w:rFonts w:eastAsia="Times New Roman" w:cs="Times New Roman"/>
          <w:szCs w:val="24"/>
        </w:rPr>
        <w:t>ing</w:t>
      </w:r>
      <w:r w:rsidR="00D41E89">
        <w:rPr>
          <w:rFonts w:eastAsia="Times New Roman" w:cs="Times New Roman"/>
          <w:szCs w:val="24"/>
        </w:rPr>
        <w:t xml:space="preserve"> profits. T</w:t>
      </w:r>
      <w:r w:rsidR="00B83790">
        <w:rPr>
          <w:rFonts w:eastAsia="Times New Roman" w:cs="Times New Roman"/>
          <w:szCs w:val="24"/>
        </w:rPr>
        <w:t>hereby</w:t>
      </w:r>
      <w:r w:rsidR="00E90409">
        <w:rPr>
          <w:rFonts w:eastAsia="Times New Roman" w:cs="Times New Roman"/>
          <w:szCs w:val="24"/>
        </w:rPr>
        <w:t>,</w:t>
      </w:r>
      <w:r w:rsidR="00B83790">
        <w:rPr>
          <w:rFonts w:eastAsia="Times New Roman" w:cs="Times New Roman"/>
          <w:szCs w:val="24"/>
        </w:rPr>
        <w:t xml:space="preserve"> its service could provide benefits for </w:t>
      </w:r>
      <w:r w:rsidR="00E31E3F">
        <w:rPr>
          <w:rFonts w:eastAsia="Times New Roman" w:cs="Times New Roman"/>
          <w:szCs w:val="24"/>
        </w:rPr>
        <w:t xml:space="preserve">all </w:t>
      </w:r>
      <w:r w:rsidR="00B83790">
        <w:rPr>
          <w:rFonts w:eastAsia="Times New Roman" w:cs="Times New Roman"/>
          <w:szCs w:val="24"/>
        </w:rPr>
        <w:t>its users</w:t>
      </w:r>
      <w:r w:rsidR="00B76C90">
        <w:rPr>
          <w:rFonts w:eastAsia="Times New Roman" w:cs="Times New Roman"/>
          <w:szCs w:val="24"/>
        </w:rPr>
        <w:t xml:space="preserve"> according to their requirement</w:t>
      </w:r>
      <w:r w:rsidR="00E31E3F">
        <w:rPr>
          <w:rFonts w:eastAsia="Times New Roman" w:cs="Times New Roman"/>
          <w:szCs w:val="24"/>
        </w:rPr>
        <w:t xml:space="preserve">. </w:t>
      </w:r>
      <w:r w:rsidR="00EE5B0B">
        <w:rPr>
          <w:rFonts w:eastAsia="Times New Roman" w:cs="Times New Roman"/>
          <w:szCs w:val="24"/>
        </w:rPr>
        <w:t>The g</w:t>
      </w:r>
      <w:r w:rsidR="00092DC1">
        <w:rPr>
          <w:rFonts w:eastAsia="Times New Roman" w:cs="Times New Roman"/>
          <w:szCs w:val="24"/>
        </w:rPr>
        <w:t xml:space="preserve">overnment </w:t>
      </w:r>
      <w:r w:rsidR="00232ED4">
        <w:rPr>
          <w:rFonts w:eastAsia="Times New Roman" w:cs="Times New Roman"/>
          <w:szCs w:val="24"/>
        </w:rPr>
        <w:t xml:space="preserve">cooperates with </w:t>
      </w:r>
      <w:r w:rsidR="00092DC1">
        <w:rPr>
          <w:rFonts w:eastAsia="Times New Roman" w:cs="Times New Roman"/>
          <w:szCs w:val="24"/>
        </w:rPr>
        <w:t xml:space="preserve">this UCC </w:t>
      </w:r>
      <w:r w:rsidR="00232ED4">
        <w:rPr>
          <w:rFonts w:eastAsia="Times New Roman" w:cs="Times New Roman"/>
          <w:szCs w:val="24"/>
        </w:rPr>
        <w:t>to</w:t>
      </w:r>
      <w:r w:rsidR="00092DC1">
        <w:rPr>
          <w:rFonts w:eastAsia="Times New Roman" w:cs="Times New Roman"/>
          <w:szCs w:val="24"/>
        </w:rPr>
        <w:t xml:space="preserve"> </w:t>
      </w:r>
      <w:r w:rsidR="006E0103">
        <w:rPr>
          <w:rFonts w:eastAsia="Times New Roman" w:cs="Times New Roman"/>
          <w:szCs w:val="24"/>
        </w:rPr>
        <w:t xml:space="preserve">evaluate the </w:t>
      </w:r>
      <w:r w:rsidR="001D61D2">
        <w:rPr>
          <w:rFonts w:eastAsia="Times New Roman" w:cs="Times New Roman"/>
          <w:szCs w:val="24"/>
        </w:rPr>
        <w:t xml:space="preserve">performance of </w:t>
      </w:r>
      <w:r w:rsidR="00EE5B0B">
        <w:rPr>
          <w:rFonts w:eastAsia="Times New Roman" w:cs="Times New Roman"/>
          <w:szCs w:val="24"/>
        </w:rPr>
        <w:t xml:space="preserve">a </w:t>
      </w:r>
      <w:r w:rsidR="00092DC1">
        <w:rPr>
          <w:rFonts w:eastAsia="Times New Roman" w:cs="Times New Roman"/>
          <w:szCs w:val="24"/>
        </w:rPr>
        <w:t>ne</w:t>
      </w:r>
      <w:r w:rsidR="00B931D7">
        <w:rPr>
          <w:rFonts w:eastAsia="Times New Roman" w:cs="Times New Roman"/>
          <w:szCs w:val="24"/>
        </w:rPr>
        <w:t xml:space="preserve">w navigation system in </w:t>
      </w:r>
      <w:r w:rsidR="00ED7BB6">
        <w:rPr>
          <w:rFonts w:eastAsia="Times New Roman" w:cs="Times New Roman"/>
          <w:szCs w:val="24"/>
        </w:rPr>
        <w:t xml:space="preserve">mitigating </w:t>
      </w:r>
      <w:r w:rsidR="00EE5B0B">
        <w:rPr>
          <w:rFonts w:eastAsia="Times New Roman" w:cs="Times New Roman"/>
          <w:szCs w:val="24"/>
        </w:rPr>
        <w:t xml:space="preserve">the </w:t>
      </w:r>
      <w:r w:rsidR="00ED7BB6">
        <w:rPr>
          <w:rFonts w:eastAsia="Times New Roman" w:cs="Times New Roman"/>
          <w:szCs w:val="24"/>
        </w:rPr>
        <w:t xml:space="preserve">negative impact of urban logistics, such as </w:t>
      </w:r>
      <w:r w:rsidR="00C6352C">
        <w:rPr>
          <w:rFonts w:eastAsia="Times New Roman" w:cs="Times New Roman"/>
          <w:szCs w:val="24"/>
        </w:rPr>
        <w:t>reducing the travel miles and travel times of vehicles</w:t>
      </w:r>
      <w:r w:rsidR="00ED7BB6">
        <w:rPr>
          <w:rFonts w:eastAsia="Times New Roman" w:cs="Times New Roman"/>
          <w:szCs w:val="24"/>
        </w:rPr>
        <w:t xml:space="preserve">, </w:t>
      </w:r>
      <w:r w:rsidR="00477DB1">
        <w:rPr>
          <w:rFonts w:eastAsia="Times New Roman" w:cs="Times New Roman"/>
          <w:szCs w:val="24"/>
        </w:rPr>
        <w:t xml:space="preserve">and </w:t>
      </w:r>
      <w:r w:rsidR="006A2791">
        <w:rPr>
          <w:rFonts w:eastAsia="Times New Roman" w:cs="Times New Roman"/>
          <w:szCs w:val="24"/>
        </w:rPr>
        <w:t>alleviat</w:t>
      </w:r>
      <w:r w:rsidR="00477DB1">
        <w:rPr>
          <w:rFonts w:eastAsia="Times New Roman" w:cs="Times New Roman"/>
          <w:szCs w:val="24"/>
        </w:rPr>
        <w:t>ing</w:t>
      </w:r>
      <w:r w:rsidR="006A2791">
        <w:rPr>
          <w:rFonts w:eastAsia="Times New Roman" w:cs="Times New Roman"/>
          <w:szCs w:val="24"/>
        </w:rPr>
        <w:t xml:space="preserve"> traffic congestion</w:t>
      </w:r>
      <w:r w:rsidR="00B931D7">
        <w:rPr>
          <w:rFonts w:eastAsia="Times New Roman" w:cs="Times New Roman"/>
          <w:szCs w:val="24"/>
        </w:rPr>
        <w:t xml:space="preserve">. </w:t>
      </w:r>
      <w:r w:rsidR="00232ED4">
        <w:rPr>
          <w:rFonts w:eastAsia="Times New Roman" w:cs="Times New Roman"/>
          <w:szCs w:val="24"/>
        </w:rPr>
        <w:t xml:space="preserve">Therefore, public funding </w:t>
      </w:r>
      <w:r w:rsidR="00A00E46">
        <w:rPr>
          <w:rFonts w:eastAsia="Times New Roman" w:cs="Times New Roman"/>
          <w:szCs w:val="24"/>
        </w:rPr>
        <w:t>is</w:t>
      </w:r>
      <w:r w:rsidR="00232ED4">
        <w:rPr>
          <w:rFonts w:eastAsia="Times New Roman" w:cs="Times New Roman"/>
          <w:szCs w:val="24"/>
        </w:rPr>
        <w:t xml:space="preserve"> invested in this project</w:t>
      </w:r>
      <w:r w:rsidR="00C6352C">
        <w:rPr>
          <w:rFonts w:eastAsia="Times New Roman" w:cs="Times New Roman"/>
          <w:szCs w:val="24"/>
        </w:rPr>
        <w:t>.</w:t>
      </w:r>
      <w:r w:rsidR="000C78E7">
        <w:rPr>
          <w:rFonts w:eastAsia="Times New Roman" w:cs="Times New Roman"/>
          <w:szCs w:val="24"/>
        </w:rPr>
        <w:t xml:space="preserve"> </w:t>
      </w:r>
      <w:r w:rsidR="00901E3D">
        <w:rPr>
          <w:rFonts w:eastAsia="Times New Roman" w:cs="Times New Roman"/>
          <w:szCs w:val="24"/>
        </w:rPr>
        <w:t>A</w:t>
      </w:r>
      <w:r w:rsidR="000C78E7">
        <w:rPr>
          <w:rFonts w:eastAsia="Times New Roman" w:cs="Times New Roman"/>
          <w:szCs w:val="24"/>
        </w:rPr>
        <w:t xml:space="preserve">ccording to the </w:t>
      </w:r>
      <w:r w:rsidR="00901E3D">
        <w:rPr>
          <w:rFonts w:eastAsia="Times New Roman" w:cs="Times New Roman"/>
          <w:szCs w:val="24"/>
        </w:rPr>
        <w:t xml:space="preserve">experiment </w:t>
      </w:r>
      <w:r w:rsidR="000C78E7">
        <w:rPr>
          <w:rFonts w:eastAsia="Times New Roman" w:cs="Times New Roman"/>
          <w:szCs w:val="24"/>
        </w:rPr>
        <w:t>result</w:t>
      </w:r>
      <w:r w:rsidR="00477DB1">
        <w:rPr>
          <w:rFonts w:eastAsia="Times New Roman" w:cs="Times New Roman"/>
          <w:szCs w:val="24"/>
        </w:rPr>
        <w:t>s</w:t>
      </w:r>
      <w:r w:rsidR="000C78E7">
        <w:rPr>
          <w:rFonts w:eastAsia="Times New Roman" w:cs="Times New Roman"/>
          <w:szCs w:val="24"/>
        </w:rPr>
        <w:t>, the</w:t>
      </w:r>
      <w:r w:rsidR="00C60504">
        <w:rPr>
          <w:rFonts w:eastAsia="Times New Roman" w:cs="Times New Roman"/>
          <w:szCs w:val="24"/>
        </w:rPr>
        <w:t xml:space="preserve"> </w:t>
      </w:r>
      <w:r w:rsidR="00D42BF4">
        <w:rPr>
          <w:rFonts w:eastAsia="Times New Roman" w:cs="Times New Roman"/>
          <w:szCs w:val="24"/>
        </w:rPr>
        <w:lastRenderedPageBreak/>
        <w:t>equipping</w:t>
      </w:r>
      <w:r w:rsidR="0035607F">
        <w:rPr>
          <w:rFonts w:eastAsia="Times New Roman" w:cs="Times New Roman"/>
          <w:szCs w:val="24"/>
        </w:rPr>
        <w:t xml:space="preserve"> </w:t>
      </w:r>
      <w:r w:rsidR="00BC11B8">
        <w:rPr>
          <w:rFonts w:eastAsia="Times New Roman" w:cs="Times New Roman"/>
          <w:szCs w:val="24"/>
        </w:rPr>
        <w:t xml:space="preserve">of vehicles with </w:t>
      </w:r>
      <w:r w:rsidR="0035607F">
        <w:rPr>
          <w:rFonts w:eastAsia="Times New Roman" w:cs="Times New Roman"/>
          <w:szCs w:val="24"/>
        </w:rPr>
        <w:t xml:space="preserve">new navigation system </w:t>
      </w:r>
      <w:r w:rsidR="00C60504">
        <w:rPr>
          <w:rFonts w:eastAsia="Times New Roman" w:cs="Times New Roman"/>
          <w:szCs w:val="24"/>
        </w:rPr>
        <w:t xml:space="preserve">can meet the </w:t>
      </w:r>
      <w:r w:rsidR="00901E3D">
        <w:rPr>
          <w:rFonts w:eastAsia="Times New Roman" w:cs="Times New Roman"/>
          <w:szCs w:val="24"/>
        </w:rPr>
        <w:t>government’s requirement in environmental and social aspects.</w:t>
      </w:r>
    </w:p>
    <w:p w14:paraId="42721565" w14:textId="428E6FD7" w:rsidR="00E43F50" w:rsidRDefault="00CD604C" w:rsidP="007F6877">
      <w:pPr>
        <w:spacing w:after="240" w:line="360" w:lineRule="auto"/>
      </w:pPr>
      <w:r>
        <w:object w:dxaOrig="11700" w:dyaOrig="7590" w14:anchorId="39FA78F1">
          <v:shape id="_x0000_i1036" type="#_x0000_t75" style="width:446.35pt;height:295.25pt" o:ole="">
            <v:imagedata r:id="rId115" o:title=""/>
          </v:shape>
          <o:OLEObject Type="Embed" ProgID="Visio.Drawing.15" ShapeID="_x0000_i1036" DrawAspect="Content" ObjectID="_1681648043" r:id="rId116"/>
        </w:object>
      </w:r>
    </w:p>
    <w:p w14:paraId="1D9F604C" w14:textId="38C98F98" w:rsidR="009E5195" w:rsidRDefault="009E5195" w:rsidP="009E5195">
      <w:pPr>
        <w:pStyle w:val="Caption"/>
      </w:pPr>
      <w:bookmarkStart w:id="791" w:name="_Ref46056084"/>
      <w:bookmarkStart w:id="792" w:name="_Toc46053688"/>
      <w:bookmarkStart w:id="793" w:name="_Ref46057253"/>
      <w:bookmarkStart w:id="794" w:name="_Toc66698719"/>
      <w:r>
        <w:t xml:space="preserve">Figure </w:t>
      </w:r>
      <w:r w:rsidR="000306D9">
        <w:fldChar w:fldCharType="begin"/>
      </w:r>
      <w:r w:rsidR="000306D9">
        <w:instrText xml:space="preserve"> STYLEREF 1 \s </w:instrText>
      </w:r>
      <w:r w:rsidR="000306D9">
        <w:fldChar w:fldCharType="separate"/>
      </w:r>
      <w:r w:rsidR="0005064B">
        <w:rPr>
          <w:noProof/>
        </w:rPr>
        <w:t>5</w:t>
      </w:r>
      <w:r w:rsidR="000306D9">
        <w:rPr>
          <w:noProof/>
        </w:rPr>
        <w:fldChar w:fldCharType="end"/>
      </w:r>
      <w:r w:rsidR="00632993">
        <w:noBreakHyphen/>
      </w:r>
      <w:r w:rsidR="000306D9">
        <w:fldChar w:fldCharType="begin"/>
      </w:r>
      <w:r w:rsidR="000306D9">
        <w:instrText xml:space="preserve"> SEQ Figure \* ARABIC \s 1 </w:instrText>
      </w:r>
      <w:r w:rsidR="000306D9">
        <w:fldChar w:fldCharType="separate"/>
      </w:r>
      <w:r w:rsidR="0005064B">
        <w:rPr>
          <w:noProof/>
        </w:rPr>
        <w:t>6</w:t>
      </w:r>
      <w:r w:rsidR="000306D9">
        <w:rPr>
          <w:noProof/>
        </w:rPr>
        <w:fldChar w:fldCharType="end"/>
      </w:r>
      <w:bookmarkEnd w:id="791"/>
      <w:r w:rsidR="00F53F72">
        <w:rPr>
          <w:noProof/>
        </w:rPr>
        <w:t>:</w:t>
      </w:r>
      <w:r w:rsidRPr="009E5195">
        <w:t xml:space="preserve"> </w:t>
      </w:r>
      <w:r>
        <w:t>Value proposition of RSUCC</w:t>
      </w:r>
      <w:bookmarkEnd w:id="792"/>
      <w:bookmarkEnd w:id="793"/>
      <w:bookmarkEnd w:id="794"/>
    </w:p>
    <w:p w14:paraId="4B3BFA04" w14:textId="25D98BB0" w:rsidR="00266EB4" w:rsidRDefault="006C66D2" w:rsidP="007F6877">
      <w:pPr>
        <w:spacing w:after="240" w:line="360" w:lineRule="auto"/>
      </w:pPr>
      <w:r>
        <w:object w:dxaOrig="11700" w:dyaOrig="6990" w14:anchorId="441B78ED">
          <v:shape id="_x0000_i1037" type="#_x0000_t75" style="width:446.35pt;height:266.3pt" o:ole="">
            <v:imagedata r:id="rId117" o:title=""/>
          </v:shape>
          <o:OLEObject Type="Embed" ProgID="Visio.Drawing.15" ShapeID="_x0000_i1037" DrawAspect="Content" ObjectID="_1681648044" r:id="rId118"/>
        </w:object>
      </w:r>
    </w:p>
    <w:p w14:paraId="79315542" w14:textId="4A0E01D0" w:rsidR="009E5195" w:rsidRDefault="009E5195" w:rsidP="009E5195">
      <w:pPr>
        <w:pStyle w:val="Caption"/>
      </w:pPr>
      <w:bookmarkStart w:id="795" w:name="_Ref46056086"/>
      <w:bookmarkStart w:id="796" w:name="_Toc46053689"/>
      <w:bookmarkStart w:id="797" w:name="_Toc66698720"/>
      <w:r>
        <w:t xml:space="preserve">Figure </w:t>
      </w:r>
      <w:r w:rsidR="000306D9">
        <w:fldChar w:fldCharType="begin"/>
      </w:r>
      <w:r w:rsidR="000306D9">
        <w:instrText xml:space="preserve"> STYLEREF 1 \s </w:instrText>
      </w:r>
      <w:r w:rsidR="000306D9">
        <w:fldChar w:fldCharType="separate"/>
      </w:r>
      <w:r w:rsidR="0005064B">
        <w:rPr>
          <w:noProof/>
        </w:rPr>
        <w:t>5</w:t>
      </w:r>
      <w:r w:rsidR="000306D9">
        <w:rPr>
          <w:noProof/>
        </w:rPr>
        <w:fldChar w:fldCharType="end"/>
      </w:r>
      <w:r w:rsidR="00632993">
        <w:noBreakHyphen/>
      </w:r>
      <w:r w:rsidR="000306D9">
        <w:fldChar w:fldCharType="begin"/>
      </w:r>
      <w:r w:rsidR="000306D9">
        <w:instrText xml:space="preserve"> SEQ Figure \* ARABIC \s 1 </w:instrText>
      </w:r>
      <w:r w:rsidR="000306D9">
        <w:fldChar w:fldCharType="separate"/>
      </w:r>
      <w:r w:rsidR="0005064B">
        <w:rPr>
          <w:noProof/>
        </w:rPr>
        <w:t>7</w:t>
      </w:r>
      <w:r w:rsidR="000306D9">
        <w:rPr>
          <w:noProof/>
        </w:rPr>
        <w:fldChar w:fldCharType="end"/>
      </w:r>
      <w:bookmarkEnd w:id="795"/>
      <w:r w:rsidR="00F53F72">
        <w:rPr>
          <w:noProof/>
        </w:rPr>
        <w:t>:</w:t>
      </w:r>
      <w:r w:rsidRPr="009E5195">
        <w:t xml:space="preserve"> </w:t>
      </w:r>
      <w:r>
        <w:t>Value proposition of CAUCC</w:t>
      </w:r>
      <w:bookmarkEnd w:id="796"/>
      <w:bookmarkEnd w:id="797"/>
    </w:p>
    <w:p w14:paraId="5D92CC11" w14:textId="603F8C03" w:rsidR="00E43F50" w:rsidRDefault="006C66D2" w:rsidP="007F6877">
      <w:pPr>
        <w:spacing w:after="240" w:line="360" w:lineRule="auto"/>
      </w:pPr>
      <w:r>
        <w:object w:dxaOrig="11700" w:dyaOrig="6435" w14:anchorId="14F28A4C">
          <v:shape id="_x0000_i1038" type="#_x0000_t75" style="width:446.35pt;height:244.85pt" o:ole="">
            <v:imagedata r:id="rId119" o:title=""/>
          </v:shape>
          <o:OLEObject Type="Embed" ProgID="Visio.Drawing.15" ShapeID="_x0000_i1038" DrawAspect="Content" ObjectID="_1681648045" r:id="rId120"/>
        </w:object>
      </w:r>
    </w:p>
    <w:p w14:paraId="7AADD968" w14:textId="25829C1A" w:rsidR="009E5195" w:rsidRDefault="009E5195" w:rsidP="009E5195">
      <w:pPr>
        <w:pStyle w:val="Caption"/>
        <w:rPr>
          <w:rFonts w:cs="Times New Roman"/>
        </w:rPr>
      </w:pPr>
      <w:bookmarkStart w:id="798" w:name="_Ref46056087"/>
      <w:bookmarkStart w:id="799" w:name="_Toc46053690"/>
      <w:bookmarkStart w:id="800" w:name="_Toc66698721"/>
      <w:r>
        <w:t xml:space="preserve">Figure </w:t>
      </w:r>
      <w:r w:rsidR="000306D9">
        <w:fldChar w:fldCharType="begin"/>
      </w:r>
      <w:r w:rsidR="000306D9">
        <w:instrText xml:space="preserve"> STYLEREF 1 \s </w:instrText>
      </w:r>
      <w:r w:rsidR="000306D9">
        <w:fldChar w:fldCharType="separate"/>
      </w:r>
      <w:r w:rsidR="0005064B">
        <w:rPr>
          <w:noProof/>
        </w:rPr>
        <w:t>5</w:t>
      </w:r>
      <w:r w:rsidR="000306D9">
        <w:rPr>
          <w:noProof/>
        </w:rPr>
        <w:fldChar w:fldCharType="end"/>
      </w:r>
      <w:r w:rsidR="00632993">
        <w:noBreakHyphen/>
      </w:r>
      <w:r w:rsidR="000306D9">
        <w:fldChar w:fldCharType="begin"/>
      </w:r>
      <w:r w:rsidR="000306D9">
        <w:instrText xml:space="preserve"> SEQ Figure \* ARABIC \s 1 </w:instrText>
      </w:r>
      <w:r w:rsidR="000306D9">
        <w:fldChar w:fldCharType="separate"/>
      </w:r>
      <w:r w:rsidR="0005064B">
        <w:rPr>
          <w:noProof/>
        </w:rPr>
        <w:t>8</w:t>
      </w:r>
      <w:r w:rsidR="000306D9">
        <w:rPr>
          <w:noProof/>
        </w:rPr>
        <w:fldChar w:fldCharType="end"/>
      </w:r>
      <w:bookmarkEnd w:id="798"/>
      <w:r w:rsidR="00F53F72">
        <w:rPr>
          <w:noProof/>
        </w:rPr>
        <w:t>:</w:t>
      </w:r>
      <w:r w:rsidRPr="009E5195">
        <w:t xml:space="preserve"> </w:t>
      </w:r>
      <w:r>
        <w:t>Value proposition of CBUCC</w:t>
      </w:r>
      <w:bookmarkEnd w:id="799"/>
      <w:bookmarkEnd w:id="800"/>
    </w:p>
    <w:p w14:paraId="228D9B1F" w14:textId="7EC48FC4" w:rsidR="00BD15C8" w:rsidRPr="00A96AC5" w:rsidRDefault="00BD15C8" w:rsidP="00BD15C8">
      <w:pPr>
        <w:pStyle w:val="Heading4"/>
        <w:spacing w:after="0" w:line="360" w:lineRule="auto"/>
        <w:rPr>
          <w:rFonts w:cs="Times New Roman"/>
        </w:rPr>
      </w:pPr>
      <w:r w:rsidRPr="00A96AC5">
        <w:rPr>
          <w:rFonts w:cs="Times New Roman"/>
        </w:rPr>
        <w:t>Value-adding service</w:t>
      </w:r>
      <w:r w:rsidR="002427EC">
        <w:rPr>
          <w:rFonts w:cs="Times New Roman"/>
        </w:rPr>
        <w:t>s</w:t>
      </w:r>
    </w:p>
    <w:p w14:paraId="2D84AF4F" w14:textId="0EFE980D" w:rsidR="00BD15C8" w:rsidRPr="00737239" w:rsidRDefault="00BD15C8" w:rsidP="00BD15C8">
      <w:pPr>
        <w:spacing w:after="240" w:line="360" w:lineRule="auto"/>
        <w:rPr>
          <w:rFonts w:cs="Times New Roman"/>
        </w:rPr>
      </w:pPr>
      <w:r w:rsidRPr="00A96AC5">
        <w:rPr>
          <w:rFonts w:cs="Times New Roman"/>
        </w:rPr>
        <w:t>Value-adding services are required to expand service categories</w:t>
      </w:r>
      <w:r w:rsidR="007160F4">
        <w:rPr>
          <w:rFonts w:cs="Times New Roman"/>
        </w:rPr>
        <w:t xml:space="preserve"> </w:t>
      </w:r>
      <w:r w:rsidR="00A22B02">
        <w:rPr>
          <w:rFonts w:cs="Times New Roman"/>
        </w:rPr>
        <w:fldChar w:fldCharType="begin">
          <w:fldData xml:space="preserve">PEVuZE5vdGU+PENpdGU+PEF1dGhvcj5Ccm93bmU8L0F1dGhvcj48WWVhcj4yMDExPC9ZZWFyPjxS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</w:fldData>
        </w:fldChar>
      </w:r>
      <w:r w:rsidR="00D40D7C">
        <w:rPr>
          <w:rFonts w:cs="Times New Roman"/>
        </w:rPr>
        <w:instrText xml:space="preserve"> ADDIN EN.CITE </w:instrText>
      </w:r>
      <w:r w:rsidR="00D40D7C">
        <w:rPr>
          <w:rFonts w:cs="Times New Roman"/>
        </w:rPr>
        <w:fldChar w:fldCharType="begin">
          <w:fldData xml:space="preserve">PEVuZE5vdGU+PENpdGU+PEF1dGhvcj5Ccm93bmU8L0F1dGhvcj48WWVhcj4yMDExPC9ZZWFyPjxS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</w:fldData>
        </w:fldChar>
      </w:r>
      <w:r w:rsidR="00D40D7C">
        <w:rPr>
          <w:rFonts w:cs="Times New Roman"/>
        </w:rPr>
        <w:instrText xml:space="preserve"> ADDIN EN.CITE.DATA </w:instrText>
      </w:r>
      <w:r w:rsidR="00D40D7C">
        <w:rPr>
          <w:rFonts w:cs="Times New Roman"/>
        </w:rPr>
      </w:r>
      <w:r w:rsidR="00D40D7C">
        <w:rPr>
          <w:rFonts w:cs="Times New Roman"/>
        </w:rPr>
        <w:fldChar w:fldCharType="end"/>
      </w:r>
      <w:r w:rsidR="00A22B02">
        <w:rPr>
          <w:rFonts w:cs="Times New Roman"/>
        </w:rPr>
      </w:r>
      <w:r w:rsidR="00A22B02">
        <w:rPr>
          <w:rFonts w:cs="Times New Roman"/>
        </w:rPr>
        <w:fldChar w:fldCharType="separate"/>
      </w:r>
      <w:r w:rsidR="00A22B02">
        <w:rPr>
          <w:rFonts w:cs="Times New Roman"/>
          <w:noProof/>
        </w:rPr>
        <w:t>(Browne et al., 2011, Triantafyllou et al., 2014, Paddeu, 2017)</w:t>
      </w:r>
      <w:r w:rsidR="00A22B02">
        <w:rPr>
          <w:rFonts w:cs="Times New Roman"/>
        </w:rPr>
        <w:fldChar w:fldCharType="end"/>
      </w:r>
      <w:r w:rsidR="007160F4">
        <w:rPr>
          <w:rFonts w:cs="Times New Roman"/>
        </w:rPr>
        <w:t xml:space="preserve">. </w:t>
      </w:r>
      <w:r w:rsidRPr="00A96AC5">
        <w:rPr>
          <w:rFonts w:cs="Times New Roman"/>
        </w:rPr>
        <w:t>All four UCCs investigated provide different kinds of value-adding services, in addition to goods transhipment (</w:t>
      </w:r>
      <w:r>
        <w:rPr>
          <w:rFonts w:cs="Times New Roman"/>
        </w:rPr>
        <w:fldChar w:fldCharType="begin"/>
      </w:r>
      <w:r>
        <w:rPr>
          <w:rFonts w:cs="Times New Roman"/>
        </w:rPr>
        <w:instrText xml:space="preserve"> REF _Ref45021934 \h </w:instrText>
      </w:r>
      <w:r w:rsidR="0040469A">
        <w:rPr>
          <w:rFonts w:cs="Times New Roman"/>
        </w:rPr>
        <w:instrText xml:space="preserve"> \* MERGEFORMAT </w:instrText>
      </w:r>
      <w:r>
        <w:rPr>
          <w:rFonts w:cs="Times New Roman"/>
        </w:rPr>
      </w:r>
      <w:r>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rPr>
        <w:t>5</w:t>
      </w:r>
      <w:r w:rsidR="0005064B">
        <w:rPr>
          <w:rFonts w:cs="Times New Roman"/>
        </w:rPr>
        <w:noBreakHyphen/>
        <w:t>7</w:t>
      </w:r>
      <w:r>
        <w:rPr>
          <w:rFonts w:cs="Times New Roman"/>
        </w:rPr>
        <w:fldChar w:fldCharType="end"/>
      </w:r>
      <w:r w:rsidRPr="008903D1">
        <w:rPr>
          <w:rFonts w:cs="Times New Roman"/>
        </w:rPr>
        <w:t xml:space="preserve">). </w:t>
      </w:r>
    </w:p>
    <w:tbl>
      <w:tblPr>
        <w:tblStyle w:val="TableGrid"/>
        <w:tblW w:w="0" w:type="auto"/>
        <w:tblLook w:val="04A0" w:firstRow="1" w:lastRow="0" w:firstColumn="1" w:lastColumn="0" w:noHBand="0" w:noVBand="1"/>
      </w:tblPr>
      <w:tblGrid>
        <w:gridCol w:w="1463"/>
        <w:gridCol w:w="2443"/>
        <w:gridCol w:w="5110"/>
      </w:tblGrid>
      <w:tr w:rsidR="00BD15C8" w:rsidRPr="008903D1" w14:paraId="54B34344" w14:textId="77777777" w:rsidTr="009E3B97">
        <w:tc>
          <w:tcPr>
            <w:tcW w:w="1463" w:type="dxa"/>
            <w:vAlign w:val="center"/>
          </w:tcPr>
          <w:p w14:paraId="56462245" w14:textId="77777777" w:rsidR="00BD15C8" w:rsidRPr="008903D1" w:rsidRDefault="00BD15C8" w:rsidP="00457960">
            <w:pPr>
              <w:spacing w:line="240" w:lineRule="auto"/>
              <w:jc w:val="center"/>
              <w:rPr>
                <w:rFonts w:cs="Times New Roman"/>
                <w:b/>
                <w:bCs/>
                <w:color w:val="000000"/>
                <w:sz w:val="22"/>
              </w:rPr>
            </w:pPr>
            <w:r w:rsidRPr="008903D1">
              <w:rPr>
                <w:rFonts w:cs="Times New Roman"/>
                <w:b/>
                <w:bCs/>
                <w:sz w:val="22"/>
              </w:rPr>
              <w:t xml:space="preserve">Urban consolidation </w:t>
            </w:r>
            <w:proofErr w:type="spellStart"/>
            <w:r w:rsidRPr="008903D1">
              <w:rPr>
                <w:rFonts w:cs="Times New Roman"/>
                <w:b/>
                <w:bCs/>
                <w:sz w:val="22"/>
              </w:rPr>
              <w:t>centre</w:t>
            </w:r>
            <w:proofErr w:type="spellEnd"/>
            <w:r w:rsidRPr="008903D1">
              <w:rPr>
                <w:rFonts w:cs="Times New Roman"/>
                <w:b/>
                <w:bCs/>
                <w:sz w:val="22"/>
              </w:rPr>
              <w:t xml:space="preserve"> (UCC) Cases</w:t>
            </w:r>
          </w:p>
        </w:tc>
        <w:tc>
          <w:tcPr>
            <w:tcW w:w="2443" w:type="dxa"/>
            <w:vAlign w:val="center"/>
          </w:tcPr>
          <w:p w14:paraId="5B9D9039" w14:textId="77777777" w:rsidR="00BD15C8" w:rsidRPr="008903D1" w:rsidRDefault="00BD15C8" w:rsidP="00457960">
            <w:pPr>
              <w:spacing w:line="240" w:lineRule="auto"/>
              <w:jc w:val="center"/>
              <w:rPr>
                <w:rFonts w:cs="Times New Roman"/>
                <w:b/>
                <w:bCs/>
                <w:color w:val="000000"/>
                <w:sz w:val="22"/>
              </w:rPr>
            </w:pPr>
            <w:r w:rsidRPr="008903D1">
              <w:rPr>
                <w:rFonts w:cs="Times New Roman"/>
                <w:b/>
                <w:bCs/>
                <w:sz w:val="22"/>
              </w:rPr>
              <w:t>Details of value-adding services</w:t>
            </w:r>
          </w:p>
        </w:tc>
        <w:tc>
          <w:tcPr>
            <w:tcW w:w="5110" w:type="dxa"/>
            <w:vAlign w:val="center"/>
          </w:tcPr>
          <w:p w14:paraId="46B2CEC5" w14:textId="3B598892" w:rsidR="00BD15C8" w:rsidRPr="008903D1" w:rsidRDefault="00BD15C8" w:rsidP="00457960">
            <w:pPr>
              <w:spacing w:line="240" w:lineRule="auto"/>
              <w:jc w:val="center"/>
              <w:rPr>
                <w:rFonts w:cs="Times New Roman"/>
                <w:b/>
                <w:bCs/>
                <w:color w:val="000000"/>
                <w:sz w:val="22"/>
              </w:rPr>
            </w:pPr>
            <w:r w:rsidRPr="008903D1">
              <w:rPr>
                <w:rFonts w:cs="Times New Roman"/>
                <w:b/>
                <w:bCs/>
                <w:sz w:val="22"/>
              </w:rPr>
              <w:t xml:space="preserve">Profit sources of the </w:t>
            </w:r>
            <w:r w:rsidR="002427EC">
              <w:rPr>
                <w:rFonts w:cs="Times New Roman"/>
                <w:b/>
                <w:bCs/>
                <w:sz w:val="22"/>
              </w:rPr>
              <w:t>value-adding services</w:t>
            </w:r>
          </w:p>
        </w:tc>
      </w:tr>
      <w:tr w:rsidR="00BD15C8" w:rsidRPr="008903D1" w14:paraId="4C61239C" w14:textId="77777777" w:rsidTr="009E3B97">
        <w:tc>
          <w:tcPr>
            <w:tcW w:w="1463" w:type="dxa"/>
          </w:tcPr>
          <w:p w14:paraId="7C287086" w14:textId="77777777" w:rsidR="00BD15C8" w:rsidRPr="008903D1" w:rsidRDefault="00BD15C8" w:rsidP="00457960">
            <w:pPr>
              <w:spacing w:line="240" w:lineRule="auto"/>
              <w:rPr>
                <w:rFonts w:cs="Times New Roman"/>
                <w:color w:val="000000"/>
                <w:sz w:val="22"/>
              </w:rPr>
            </w:pPr>
            <w:r w:rsidRPr="008903D1">
              <w:rPr>
                <w:rFonts w:cs="Times New Roman"/>
                <w:sz w:val="22"/>
              </w:rPr>
              <w:t>SCUCC</w:t>
            </w:r>
          </w:p>
        </w:tc>
        <w:tc>
          <w:tcPr>
            <w:tcW w:w="2443" w:type="dxa"/>
            <w:vAlign w:val="center"/>
          </w:tcPr>
          <w:p w14:paraId="3671C94E" w14:textId="77777777" w:rsidR="00BD15C8" w:rsidRPr="008903D1" w:rsidRDefault="00BD15C8" w:rsidP="00457960">
            <w:pPr>
              <w:spacing w:line="240" w:lineRule="auto"/>
              <w:jc w:val="left"/>
              <w:rPr>
                <w:rFonts w:cs="Times New Roman"/>
                <w:color w:val="000000"/>
                <w:sz w:val="22"/>
              </w:rPr>
            </w:pPr>
            <w:r w:rsidRPr="008903D1">
              <w:rPr>
                <w:rFonts w:cs="Times New Roman"/>
                <w:sz w:val="22"/>
              </w:rPr>
              <w:t xml:space="preserve">Reverse logistics </w:t>
            </w:r>
          </w:p>
        </w:tc>
        <w:tc>
          <w:tcPr>
            <w:tcW w:w="5110" w:type="dxa"/>
            <w:vAlign w:val="center"/>
          </w:tcPr>
          <w:p w14:paraId="46447C4B" w14:textId="77777777" w:rsidR="00BD15C8" w:rsidRPr="008903D1" w:rsidRDefault="00BD15C8" w:rsidP="00457960">
            <w:pPr>
              <w:spacing w:line="240" w:lineRule="auto"/>
              <w:jc w:val="left"/>
              <w:rPr>
                <w:rFonts w:cs="Times New Roman"/>
                <w:color w:val="000000"/>
                <w:sz w:val="22"/>
              </w:rPr>
            </w:pPr>
            <w:r w:rsidRPr="008903D1">
              <w:rPr>
                <w:rFonts w:cs="Times New Roman"/>
                <w:color w:val="000000"/>
                <w:sz w:val="22"/>
              </w:rPr>
              <w:t>Consumers of the reverse logistics company</w:t>
            </w:r>
          </w:p>
        </w:tc>
      </w:tr>
      <w:tr w:rsidR="00BD15C8" w:rsidRPr="008903D1" w14:paraId="3CE5B13E" w14:textId="77777777" w:rsidTr="009E3B97">
        <w:tc>
          <w:tcPr>
            <w:tcW w:w="1463" w:type="dxa"/>
            <w:vMerge w:val="restart"/>
          </w:tcPr>
          <w:p w14:paraId="459FF3C2" w14:textId="77777777" w:rsidR="00BD15C8" w:rsidRPr="008903D1" w:rsidRDefault="00BD15C8" w:rsidP="00457960">
            <w:pPr>
              <w:spacing w:line="240" w:lineRule="auto"/>
              <w:rPr>
                <w:rFonts w:cs="Times New Roman"/>
                <w:color w:val="000000"/>
                <w:sz w:val="22"/>
              </w:rPr>
            </w:pPr>
            <w:r w:rsidRPr="008903D1">
              <w:rPr>
                <w:rFonts w:cs="Times New Roman"/>
                <w:color w:val="000000"/>
                <w:sz w:val="22"/>
              </w:rPr>
              <w:t>RSUCC</w:t>
            </w:r>
          </w:p>
        </w:tc>
        <w:tc>
          <w:tcPr>
            <w:tcW w:w="2443" w:type="dxa"/>
            <w:vAlign w:val="center"/>
          </w:tcPr>
          <w:p w14:paraId="24573C62" w14:textId="77777777" w:rsidR="00BD15C8" w:rsidRPr="008903D1" w:rsidRDefault="00BD15C8" w:rsidP="00457960">
            <w:pPr>
              <w:spacing w:line="240" w:lineRule="auto"/>
              <w:jc w:val="left"/>
              <w:rPr>
                <w:rFonts w:cs="Times New Roman"/>
                <w:sz w:val="22"/>
              </w:rPr>
            </w:pPr>
            <w:r w:rsidRPr="008903D1">
              <w:rPr>
                <w:rFonts w:cs="Times New Roman"/>
                <w:sz w:val="22"/>
              </w:rPr>
              <w:t xml:space="preserve">Reverse logistics </w:t>
            </w:r>
          </w:p>
        </w:tc>
        <w:tc>
          <w:tcPr>
            <w:tcW w:w="5110" w:type="dxa"/>
            <w:vAlign w:val="center"/>
          </w:tcPr>
          <w:p w14:paraId="41B44C73" w14:textId="77777777" w:rsidR="00BD15C8" w:rsidRPr="008903D1" w:rsidRDefault="00BD15C8" w:rsidP="00457960">
            <w:pPr>
              <w:spacing w:line="240" w:lineRule="auto"/>
              <w:jc w:val="left"/>
              <w:rPr>
                <w:rFonts w:cs="Times New Roman"/>
                <w:color w:val="000000"/>
                <w:sz w:val="22"/>
              </w:rPr>
            </w:pPr>
            <w:r w:rsidRPr="008903D1">
              <w:rPr>
                <w:rFonts w:cs="Times New Roman"/>
                <w:color w:val="000000"/>
                <w:sz w:val="22"/>
              </w:rPr>
              <w:t>Construction company</w:t>
            </w:r>
          </w:p>
        </w:tc>
      </w:tr>
      <w:tr w:rsidR="00BD15C8" w:rsidRPr="008903D1" w14:paraId="73ECADD8" w14:textId="77777777" w:rsidTr="009E3B97">
        <w:tc>
          <w:tcPr>
            <w:tcW w:w="1463" w:type="dxa"/>
            <w:vMerge/>
          </w:tcPr>
          <w:p w14:paraId="52CD6CB7" w14:textId="77777777" w:rsidR="00BD15C8" w:rsidRPr="008903D1" w:rsidRDefault="00BD15C8" w:rsidP="00457960">
            <w:pPr>
              <w:spacing w:line="240" w:lineRule="auto"/>
              <w:rPr>
                <w:rFonts w:cs="Times New Roman"/>
                <w:color w:val="000000"/>
                <w:sz w:val="22"/>
              </w:rPr>
            </w:pPr>
          </w:p>
        </w:tc>
        <w:tc>
          <w:tcPr>
            <w:tcW w:w="2443" w:type="dxa"/>
            <w:vAlign w:val="center"/>
          </w:tcPr>
          <w:p w14:paraId="2DD0967A" w14:textId="77777777" w:rsidR="00BD15C8" w:rsidRPr="008903D1" w:rsidRDefault="00BD15C8" w:rsidP="00457960">
            <w:pPr>
              <w:spacing w:line="240" w:lineRule="auto"/>
              <w:jc w:val="left"/>
              <w:rPr>
                <w:rFonts w:cs="Times New Roman"/>
                <w:sz w:val="22"/>
              </w:rPr>
            </w:pPr>
            <w:r w:rsidRPr="008903D1">
              <w:rPr>
                <w:rFonts w:cs="Times New Roman"/>
                <w:sz w:val="22"/>
              </w:rPr>
              <w:t xml:space="preserve">Warehouse </w:t>
            </w:r>
          </w:p>
        </w:tc>
        <w:tc>
          <w:tcPr>
            <w:tcW w:w="5110" w:type="dxa"/>
            <w:vAlign w:val="center"/>
          </w:tcPr>
          <w:p w14:paraId="362992AC" w14:textId="77777777" w:rsidR="00BD15C8" w:rsidRPr="008903D1" w:rsidRDefault="00BD15C8" w:rsidP="00457960">
            <w:pPr>
              <w:spacing w:line="240" w:lineRule="auto"/>
              <w:jc w:val="left"/>
              <w:rPr>
                <w:rFonts w:cs="Times New Roman"/>
                <w:color w:val="000000"/>
                <w:sz w:val="22"/>
              </w:rPr>
            </w:pPr>
            <w:r w:rsidRPr="008903D1">
              <w:rPr>
                <w:rFonts w:cs="Times New Roman"/>
                <w:color w:val="000000"/>
                <w:sz w:val="22"/>
              </w:rPr>
              <w:t>Construction company</w:t>
            </w:r>
          </w:p>
        </w:tc>
      </w:tr>
      <w:tr w:rsidR="00BD15C8" w:rsidRPr="008903D1" w14:paraId="5EC0B5B1" w14:textId="77777777" w:rsidTr="009E3B97">
        <w:trPr>
          <w:trHeight w:val="42"/>
        </w:trPr>
        <w:tc>
          <w:tcPr>
            <w:tcW w:w="1463" w:type="dxa"/>
            <w:vMerge/>
          </w:tcPr>
          <w:p w14:paraId="59D61DBF" w14:textId="77777777" w:rsidR="00BD15C8" w:rsidRPr="008903D1" w:rsidRDefault="00BD15C8" w:rsidP="00457960">
            <w:pPr>
              <w:spacing w:line="240" w:lineRule="auto"/>
              <w:rPr>
                <w:rFonts w:cs="Times New Roman"/>
                <w:color w:val="000000"/>
                <w:sz w:val="22"/>
              </w:rPr>
            </w:pPr>
          </w:p>
        </w:tc>
        <w:tc>
          <w:tcPr>
            <w:tcW w:w="2443" w:type="dxa"/>
            <w:vAlign w:val="center"/>
          </w:tcPr>
          <w:p w14:paraId="063FFFFB" w14:textId="77777777" w:rsidR="00BD15C8" w:rsidRPr="008903D1" w:rsidRDefault="00BD15C8" w:rsidP="00457960">
            <w:pPr>
              <w:spacing w:line="240" w:lineRule="auto"/>
              <w:jc w:val="left"/>
              <w:rPr>
                <w:rFonts w:cs="Times New Roman"/>
                <w:sz w:val="22"/>
              </w:rPr>
            </w:pPr>
            <w:r w:rsidRPr="008903D1">
              <w:rPr>
                <w:rFonts w:cs="Times New Roman"/>
                <w:sz w:val="22"/>
              </w:rPr>
              <w:t xml:space="preserve">Road maintaining </w:t>
            </w:r>
          </w:p>
        </w:tc>
        <w:tc>
          <w:tcPr>
            <w:tcW w:w="5110" w:type="dxa"/>
            <w:vAlign w:val="center"/>
          </w:tcPr>
          <w:p w14:paraId="604C009F" w14:textId="77777777" w:rsidR="00BD15C8" w:rsidRPr="008903D1" w:rsidRDefault="00BD15C8" w:rsidP="00457960">
            <w:pPr>
              <w:spacing w:line="240" w:lineRule="auto"/>
              <w:jc w:val="left"/>
              <w:rPr>
                <w:rFonts w:cs="Times New Roman"/>
                <w:color w:val="000000"/>
                <w:sz w:val="22"/>
              </w:rPr>
            </w:pPr>
            <w:r w:rsidRPr="008903D1">
              <w:rPr>
                <w:rFonts w:cs="Times New Roman"/>
                <w:color w:val="000000"/>
                <w:sz w:val="22"/>
              </w:rPr>
              <w:t>Government budget</w:t>
            </w:r>
          </w:p>
        </w:tc>
      </w:tr>
      <w:tr w:rsidR="00BD15C8" w:rsidRPr="008903D1" w14:paraId="3D95DB47" w14:textId="77777777" w:rsidTr="009E3B97">
        <w:tc>
          <w:tcPr>
            <w:tcW w:w="1463" w:type="dxa"/>
            <w:vMerge/>
          </w:tcPr>
          <w:p w14:paraId="220730A7" w14:textId="77777777" w:rsidR="00BD15C8" w:rsidRPr="008903D1" w:rsidRDefault="00BD15C8" w:rsidP="00457960">
            <w:pPr>
              <w:spacing w:line="240" w:lineRule="auto"/>
              <w:rPr>
                <w:rFonts w:cs="Times New Roman"/>
                <w:color w:val="000000"/>
                <w:sz w:val="22"/>
              </w:rPr>
            </w:pPr>
          </w:p>
        </w:tc>
        <w:tc>
          <w:tcPr>
            <w:tcW w:w="2443" w:type="dxa"/>
            <w:vAlign w:val="center"/>
          </w:tcPr>
          <w:p w14:paraId="08E238FC" w14:textId="7B6DC88B" w:rsidR="00BD15C8" w:rsidRPr="008903D1" w:rsidRDefault="00BD15C8" w:rsidP="00457960">
            <w:pPr>
              <w:spacing w:line="240" w:lineRule="auto"/>
              <w:jc w:val="left"/>
              <w:rPr>
                <w:rFonts w:cs="Times New Roman"/>
                <w:color w:val="000000"/>
                <w:sz w:val="22"/>
              </w:rPr>
            </w:pPr>
            <w:r w:rsidRPr="008903D1">
              <w:rPr>
                <w:rFonts w:cs="Times New Roman"/>
                <w:sz w:val="22"/>
              </w:rPr>
              <w:t xml:space="preserve">Security </w:t>
            </w:r>
            <w:r w:rsidR="00457960">
              <w:rPr>
                <w:rFonts w:cs="Times New Roman"/>
                <w:sz w:val="22"/>
              </w:rPr>
              <w:t>of the construction area</w:t>
            </w:r>
          </w:p>
        </w:tc>
        <w:tc>
          <w:tcPr>
            <w:tcW w:w="5110" w:type="dxa"/>
            <w:vAlign w:val="center"/>
          </w:tcPr>
          <w:p w14:paraId="69B0C581" w14:textId="77777777" w:rsidR="00BD15C8" w:rsidRPr="008903D1" w:rsidRDefault="00BD15C8" w:rsidP="00457960">
            <w:pPr>
              <w:spacing w:line="240" w:lineRule="auto"/>
              <w:jc w:val="left"/>
              <w:rPr>
                <w:rFonts w:cs="Times New Roman"/>
                <w:color w:val="000000"/>
                <w:sz w:val="22"/>
              </w:rPr>
            </w:pPr>
            <w:r w:rsidRPr="008903D1">
              <w:rPr>
                <w:rFonts w:cs="Times New Roman"/>
                <w:color w:val="000000"/>
                <w:sz w:val="22"/>
              </w:rPr>
              <w:t>Government budget</w:t>
            </w:r>
          </w:p>
        </w:tc>
      </w:tr>
      <w:tr w:rsidR="00BD15C8" w:rsidRPr="008903D1" w14:paraId="6D1ECC37" w14:textId="77777777" w:rsidTr="009E3B97">
        <w:tc>
          <w:tcPr>
            <w:tcW w:w="1463" w:type="dxa"/>
            <w:vMerge w:val="restart"/>
          </w:tcPr>
          <w:p w14:paraId="3909FE79" w14:textId="77777777" w:rsidR="00BD15C8" w:rsidRPr="008903D1" w:rsidRDefault="00BD15C8" w:rsidP="00457960">
            <w:pPr>
              <w:spacing w:line="240" w:lineRule="auto"/>
              <w:rPr>
                <w:rFonts w:cs="Times New Roman"/>
                <w:color w:val="000000"/>
                <w:sz w:val="22"/>
              </w:rPr>
            </w:pPr>
            <w:r w:rsidRPr="008903D1">
              <w:rPr>
                <w:rFonts w:cs="Times New Roman"/>
                <w:color w:val="000000"/>
                <w:sz w:val="22"/>
              </w:rPr>
              <w:t>CAUCC</w:t>
            </w:r>
          </w:p>
        </w:tc>
        <w:tc>
          <w:tcPr>
            <w:tcW w:w="2443" w:type="dxa"/>
            <w:vAlign w:val="center"/>
          </w:tcPr>
          <w:p w14:paraId="4F742CF7" w14:textId="39F5505C" w:rsidR="00BD15C8" w:rsidRPr="008903D1" w:rsidRDefault="00BD15C8" w:rsidP="00457960">
            <w:pPr>
              <w:spacing w:line="240" w:lineRule="auto"/>
              <w:jc w:val="left"/>
              <w:rPr>
                <w:rFonts w:cs="Times New Roman"/>
                <w:sz w:val="22"/>
              </w:rPr>
            </w:pPr>
            <w:r w:rsidRPr="008903D1">
              <w:rPr>
                <w:rFonts w:cs="Times New Roman"/>
                <w:sz w:val="22"/>
              </w:rPr>
              <w:t xml:space="preserve">Warehouse </w:t>
            </w:r>
            <w:r w:rsidR="009E3B97">
              <w:rPr>
                <w:rFonts w:cs="Times New Roman"/>
                <w:sz w:val="22"/>
              </w:rPr>
              <w:t>service</w:t>
            </w:r>
          </w:p>
        </w:tc>
        <w:tc>
          <w:tcPr>
            <w:tcW w:w="5110" w:type="dxa"/>
            <w:vAlign w:val="center"/>
          </w:tcPr>
          <w:p w14:paraId="36EDE4BC" w14:textId="77777777" w:rsidR="00BD15C8" w:rsidRPr="008903D1" w:rsidRDefault="00BD15C8" w:rsidP="00457960">
            <w:pPr>
              <w:spacing w:line="240" w:lineRule="auto"/>
              <w:jc w:val="left"/>
              <w:rPr>
                <w:rFonts w:cs="Times New Roman"/>
                <w:color w:val="000000"/>
                <w:sz w:val="22"/>
              </w:rPr>
            </w:pPr>
            <w:r w:rsidRPr="008903D1">
              <w:rPr>
                <w:rFonts w:cs="Times New Roman"/>
                <w:color w:val="000000"/>
                <w:sz w:val="22"/>
              </w:rPr>
              <w:t>Other logistics companies</w:t>
            </w:r>
          </w:p>
          <w:p w14:paraId="63681E48" w14:textId="77777777" w:rsidR="00BD15C8" w:rsidRDefault="00BD15C8" w:rsidP="00457960">
            <w:pPr>
              <w:spacing w:line="240" w:lineRule="auto"/>
              <w:jc w:val="left"/>
              <w:rPr>
                <w:rFonts w:cs="Times New Roman"/>
                <w:color w:val="000000"/>
                <w:sz w:val="22"/>
              </w:rPr>
            </w:pPr>
            <w:r w:rsidRPr="008903D1">
              <w:rPr>
                <w:rFonts w:cs="Times New Roman"/>
                <w:color w:val="000000"/>
                <w:sz w:val="22"/>
              </w:rPr>
              <w:t>Other business groups which need constant temperature warehouse</w:t>
            </w:r>
          </w:p>
          <w:p w14:paraId="5F6CD471" w14:textId="7F1A9D72" w:rsidR="009E3B97" w:rsidRPr="008903D1" w:rsidRDefault="009E3B97" w:rsidP="00457960">
            <w:pPr>
              <w:spacing w:line="240" w:lineRule="auto"/>
              <w:jc w:val="left"/>
              <w:rPr>
                <w:rFonts w:cs="Times New Roman"/>
                <w:color w:val="000000"/>
                <w:sz w:val="22"/>
              </w:rPr>
            </w:pPr>
            <w:r w:rsidRPr="008903D1">
              <w:rPr>
                <w:rFonts w:cs="Times New Roman"/>
                <w:color w:val="000000"/>
                <w:sz w:val="22"/>
              </w:rPr>
              <w:t>Other logistics companies</w:t>
            </w:r>
            <w:r>
              <w:rPr>
                <w:rFonts w:cs="Times New Roman"/>
                <w:color w:val="000000"/>
                <w:sz w:val="22"/>
              </w:rPr>
              <w:t xml:space="preserve"> which require warehouse service</w:t>
            </w:r>
          </w:p>
        </w:tc>
      </w:tr>
      <w:tr w:rsidR="00BD15C8" w:rsidRPr="008903D1" w14:paraId="3C082869" w14:textId="77777777" w:rsidTr="009E3B97">
        <w:tc>
          <w:tcPr>
            <w:tcW w:w="1463" w:type="dxa"/>
            <w:vMerge/>
          </w:tcPr>
          <w:p w14:paraId="518D39AA" w14:textId="77777777" w:rsidR="00BD15C8" w:rsidRPr="008903D1" w:rsidRDefault="00BD15C8" w:rsidP="00457960">
            <w:pPr>
              <w:spacing w:line="240" w:lineRule="auto"/>
              <w:rPr>
                <w:rFonts w:cs="Times New Roman"/>
                <w:color w:val="000000"/>
                <w:sz w:val="22"/>
              </w:rPr>
            </w:pPr>
          </w:p>
        </w:tc>
        <w:tc>
          <w:tcPr>
            <w:tcW w:w="2443" w:type="dxa"/>
            <w:vAlign w:val="center"/>
          </w:tcPr>
          <w:p w14:paraId="31EA06F3" w14:textId="77777777" w:rsidR="00BD15C8" w:rsidRPr="008903D1" w:rsidRDefault="00BD15C8" w:rsidP="00457960">
            <w:pPr>
              <w:spacing w:line="240" w:lineRule="auto"/>
              <w:jc w:val="left"/>
              <w:rPr>
                <w:rFonts w:cs="Times New Roman"/>
                <w:sz w:val="22"/>
              </w:rPr>
            </w:pPr>
            <w:r w:rsidRPr="008903D1">
              <w:rPr>
                <w:rFonts w:cs="Times New Roman"/>
                <w:sz w:val="22"/>
              </w:rPr>
              <w:t>Inventory management</w:t>
            </w:r>
          </w:p>
        </w:tc>
        <w:tc>
          <w:tcPr>
            <w:tcW w:w="5110" w:type="dxa"/>
            <w:vAlign w:val="center"/>
          </w:tcPr>
          <w:p w14:paraId="7A196A19" w14:textId="77777777" w:rsidR="00BD15C8" w:rsidRPr="008903D1" w:rsidRDefault="00BD15C8" w:rsidP="00457960">
            <w:pPr>
              <w:spacing w:line="240" w:lineRule="auto"/>
              <w:jc w:val="left"/>
              <w:rPr>
                <w:rFonts w:cs="Times New Roman"/>
                <w:color w:val="000000"/>
                <w:sz w:val="22"/>
              </w:rPr>
            </w:pPr>
            <w:r w:rsidRPr="008903D1">
              <w:rPr>
                <w:rFonts w:cs="Times New Roman"/>
                <w:color w:val="000000"/>
                <w:sz w:val="22"/>
              </w:rPr>
              <w:t>Wholesalers of medical product and equipment</w:t>
            </w:r>
          </w:p>
        </w:tc>
      </w:tr>
      <w:tr w:rsidR="00BD15C8" w:rsidRPr="008903D1" w14:paraId="62481374" w14:textId="77777777" w:rsidTr="009E3B97">
        <w:tc>
          <w:tcPr>
            <w:tcW w:w="1463" w:type="dxa"/>
            <w:vMerge w:val="restart"/>
          </w:tcPr>
          <w:p w14:paraId="0B921405" w14:textId="77777777" w:rsidR="00BD15C8" w:rsidRPr="008903D1" w:rsidRDefault="00BD15C8" w:rsidP="00457960">
            <w:pPr>
              <w:spacing w:line="240" w:lineRule="auto"/>
              <w:rPr>
                <w:rFonts w:cs="Times New Roman"/>
                <w:color w:val="000000"/>
                <w:sz w:val="22"/>
              </w:rPr>
            </w:pPr>
            <w:r w:rsidRPr="008903D1">
              <w:rPr>
                <w:rFonts w:cs="Times New Roman"/>
                <w:color w:val="000000"/>
                <w:sz w:val="22"/>
              </w:rPr>
              <w:t>CBUCC</w:t>
            </w:r>
          </w:p>
        </w:tc>
        <w:tc>
          <w:tcPr>
            <w:tcW w:w="2443" w:type="dxa"/>
            <w:vAlign w:val="center"/>
          </w:tcPr>
          <w:p w14:paraId="7E16C7FF" w14:textId="4376E112" w:rsidR="00BD15C8" w:rsidRPr="008903D1" w:rsidRDefault="00BD15C8" w:rsidP="00457960">
            <w:pPr>
              <w:spacing w:line="240" w:lineRule="auto"/>
              <w:jc w:val="left"/>
              <w:rPr>
                <w:rFonts w:cs="Times New Roman"/>
                <w:sz w:val="22"/>
              </w:rPr>
            </w:pPr>
            <w:r w:rsidRPr="008903D1">
              <w:rPr>
                <w:rFonts w:cs="Times New Roman"/>
                <w:sz w:val="22"/>
              </w:rPr>
              <w:t xml:space="preserve">Warehouse </w:t>
            </w:r>
            <w:r w:rsidR="009E3B97">
              <w:rPr>
                <w:rFonts w:cs="Times New Roman"/>
                <w:sz w:val="22"/>
              </w:rPr>
              <w:t>service</w:t>
            </w:r>
          </w:p>
        </w:tc>
        <w:tc>
          <w:tcPr>
            <w:tcW w:w="5110" w:type="dxa"/>
            <w:vAlign w:val="center"/>
          </w:tcPr>
          <w:p w14:paraId="4B038D14" w14:textId="77777777" w:rsidR="00BD15C8" w:rsidRPr="008903D1" w:rsidRDefault="00BD15C8" w:rsidP="00457960">
            <w:pPr>
              <w:spacing w:line="240" w:lineRule="auto"/>
              <w:jc w:val="left"/>
              <w:rPr>
                <w:rFonts w:cs="Times New Roman"/>
                <w:color w:val="000000"/>
                <w:sz w:val="22"/>
              </w:rPr>
            </w:pPr>
            <w:r w:rsidRPr="008903D1">
              <w:rPr>
                <w:rFonts w:cs="Times New Roman"/>
                <w:color w:val="000000"/>
                <w:sz w:val="22"/>
              </w:rPr>
              <w:t>Retailers in the city</w:t>
            </w:r>
          </w:p>
        </w:tc>
      </w:tr>
      <w:tr w:rsidR="00BD15C8" w:rsidRPr="008903D1" w14:paraId="0B609890" w14:textId="77777777" w:rsidTr="009E3B97">
        <w:tc>
          <w:tcPr>
            <w:tcW w:w="1463" w:type="dxa"/>
            <w:vMerge/>
          </w:tcPr>
          <w:p w14:paraId="021F2528" w14:textId="77777777" w:rsidR="00BD15C8" w:rsidRPr="008903D1" w:rsidRDefault="00BD15C8" w:rsidP="00457960">
            <w:pPr>
              <w:spacing w:line="240" w:lineRule="auto"/>
              <w:rPr>
                <w:rFonts w:cs="Times New Roman"/>
                <w:color w:val="000000"/>
                <w:sz w:val="22"/>
              </w:rPr>
            </w:pPr>
          </w:p>
        </w:tc>
        <w:tc>
          <w:tcPr>
            <w:tcW w:w="2443" w:type="dxa"/>
            <w:vAlign w:val="center"/>
          </w:tcPr>
          <w:p w14:paraId="7FE1251A" w14:textId="4848BBD3" w:rsidR="00BD15C8" w:rsidRPr="008903D1" w:rsidRDefault="00BD15C8" w:rsidP="00457960">
            <w:pPr>
              <w:spacing w:line="240" w:lineRule="auto"/>
              <w:jc w:val="left"/>
              <w:rPr>
                <w:rFonts w:cs="Times New Roman"/>
                <w:sz w:val="22"/>
              </w:rPr>
            </w:pPr>
            <w:r w:rsidRPr="008903D1">
              <w:rPr>
                <w:rFonts w:cs="Times New Roman"/>
                <w:sz w:val="22"/>
              </w:rPr>
              <w:t>Agen</w:t>
            </w:r>
            <w:r w:rsidR="002F35A5">
              <w:rPr>
                <w:rFonts w:cs="Times New Roman"/>
                <w:sz w:val="22"/>
              </w:rPr>
              <w:t>t</w:t>
            </w:r>
            <w:r w:rsidRPr="008903D1">
              <w:rPr>
                <w:rFonts w:cs="Times New Roman"/>
                <w:sz w:val="22"/>
              </w:rPr>
              <w:t xml:space="preserve"> service of logistics information</w:t>
            </w:r>
          </w:p>
        </w:tc>
        <w:tc>
          <w:tcPr>
            <w:tcW w:w="5110" w:type="dxa"/>
            <w:vAlign w:val="center"/>
          </w:tcPr>
          <w:p w14:paraId="7B5951C7" w14:textId="77777777" w:rsidR="00BD15C8" w:rsidRPr="008903D1" w:rsidRDefault="00BD15C8" w:rsidP="00457960">
            <w:pPr>
              <w:spacing w:line="240" w:lineRule="auto"/>
              <w:jc w:val="left"/>
              <w:rPr>
                <w:rFonts w:cs="Times New Roman"/>
                <w:color w:val="000000"/>
                <w:sz w:val="22"/>
              </w:rPr>
            </w:pPr>
            <w:r w:rsidRPr="008903D1">
              <w:rPr>
                <w:rFonts w:cs="Times New Roman"/>
                <w:color w:val="000000"/>
                <w:sz w:val="22"/>
              </w:rPr>
              <w:t>Other local carriers</w:t>
            </w:r>
          </w:p>
          <w:p w14:paraId="2CA32F76" w14:textId="77777777" w:rsidR="00BD15C8" w:rsidRPr="008903D1" w:rsidRDefault="00BD15C8" w:rsidP="00457960">
            <w:pPr>
              <w:spacing w:line="240" w:lineRule="auto"/>
              <w:jc w:val="left"/>
              <w:rPr>
                <w:rFonts w:cs="Times New Roman"/>
                <w:color w:val="000000"/>
                <w:sz w:val="22"/>
              </w:rPr>
            </w:pPr>
            <w:r w:rsidRPr="008903D1">
              <w:rPr>
                <w:rFonts w:cs="Times New Roman"/>
                <w:color w:val="000000"/>
                <w:sz w:val="22"/>
              </w:rPr>
              <w:t>Government</w:t>
            </w:r>
          </w:p>
        </w:tc>
      </w:tr>
    </w:tbl>
    <w:p w14:paraId="13C985DC" w14:textId="090DEB38" w:rsidR="00BD15C8" w:rsidRPr="00802DC5" w:rsidRDefault="007B5959" w:rsidP="00BD15C8">
      <w:pPr>
        <w:pStyle w:val="Caption"/>
        <w:spacing w:line="360" w:lineRule="auto"/>
        <w:rPr>
          <w:rFonts w:cs="Times New Roman"/>
        </w:rPr>
      </w:pPr>
      <w:bookmarkStart w:id="801" w:name="_Ref45021934"/>
      <w:bookmarkStart w:id="802" w:name="_Toc46053573"/>
      <w:bookmarkStart w:id="803" w:name="_Toc46093822"/>
      <w:bookmarkStart w:id="804" w:name="_Toc66698789"/>
      <w:r>
        <w:rPr>
          <w:rFonts w:cs="Times New Roman"/>
        </w:rPr>
        <w:t>Table</w:t>
      </w:r>
      <w:r w:rsidR="00BD15C8"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5</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7</w:t>
      </w:r>
      <w:r w:rsidR="00FE10DA">
        <w:rPr>
          <w:rFonts w:cs="Times New Roman"/>
        </w:rPr>
        <w:fldChar w:fldCharType="end"/>
      </w:r>
      <w:bookmarkEnd w:id="801"/>
      <w:r w:rsidR="00AF217C">
        <w:rPr>
          <w:rFonts w:cs="Times New Roman"/>
          <w:noProof/>
        </w:rPr>
        <w:t>:</w:t>
      </w:r>
      <w:r w:rsidR="00BD15C8" w:rsidRPr="00737239">
        <w:rPr>
          <w:rFonts w:cs="Times New Roman"/>
        </w:rPr>
        <w:t xml:space="preserve"> Value-adding services of the urban consolidation centres (UCCs)</w:t>
      </w:r>
      <w:bookmarkEnd w:id="802"/>
      <w:bookmarkEnd w:id="803"/>
      <w:bookmarkEnd w:id="804"/>
    </w:p>
    <w:p w14:paraId="11E1E7FD" w14:textId="4158377D" w:rsidR="00BD15C8" w:rsidRPr="00802DC5" w:rsidRDefault="00BD15C8" w:rsidP="007F6877">
      <w:pPr>
        <w:spacing w:after="240" w:line="360" w:lineRule="auto"/>
        <w:rPr>
          <w:rFonts w:cs="Times New Roman"/>
        </w:rPr>
      </w:pPr>
      <w:r w:rsidRPr="00802DC5">
        <w:rPr>
          <w:rFonts w:cs="Times New Roman"/>
        </w:rPr>
        <w:lastRenderedPageBreak/>
        <w:t>The economic benefits generated by</w:t>
      </w:r>
      <w:r w:rsidR="004D438B">
        <w:rPr>
          <w:rFonts w:cs="Times New Roman"/>
        </w:rPr>
        <w:t xml:space="preserve"> the</w:t>
      </w:r>
      <w:r w:rsidRPr="00802DC5">
        <w:rPr>
          <w:rFonts w:cs="Times New Roman"/>
        </w:rPr>
        <w:t xml:space="preserve"> SCUCC are primarily from its reverse logistics services, as the integrated forward and reverse logistics of the goods delivery trips can reduce the cost of urban distribution. Construction companies are mandat</w:t>
      </w:r>
      <w:r w:rsidR="008F7EAC">
        <w:rPr>
          <w:rFonts w:cs="Times New Roman"/>
        </w:rPr>
        <w:t>ed</w:t>
      </w:r>
      <w:r w:rsidRPr="00802DC5">
        <w:rPr>
          <w:rFonts w:cs="Times New Roman"/>
        </w:rPr>
        <w:t xml:space="preserve"> to utilise the additional service</w:t>
      </w:r>
      <w:r w:rsidR="008F7EAC">
        <w:rPr>
          <w:rFonts w:cs="Times New Roman"/>
        </w:rPr>
        <w:t>s</w:t>
      </w:r>
      <w:r w:rsidRPr="00802DC5">
        <w:rPr>
          <w:rFonts w:cs="Times New Roman"/>
        </w:rPr>
        <w:t xml:space="preserve"> of </w:t>
      </w:r>
      <w:r w:rsidR="002E73B4">
        <w:rPr>
          <w:rFonts w:cs="Times New Roman"/>
        </w:rPr>
        <w:t xml:space="preserve">the </w:t>
      </w:r>
      <w:r w:rsidRPr="00802DC5">
        <w:rPr>
          <w:rFonts w:cs="Times New Roman"/>
        </w:rPr>
        <w:t>RSUCC in terms of reverse logistics and warehouse service. These two serv</w:t>
      </w:r>
      <w:r w:rsidRPr="00DB493C">
        <w:rPr>
          <w:rFonts w:cs="Times New Roman"/>
        </w:rPr>
        <w:t xml:space="preserve">ices are </w:t>
      </w:r>
      <w:r w:rsidR="00575501">
        <w:rPr>
          <w:rFonts w:cs="Times New Roman"/>
        </w:rPr>
        <w:t>essential</w:t>
      </w:r>
      <w:r w:rsidRPr="00DB493C">
        <w:rPr>
          <w:rFonts w:cs="Times New Roman"/>
        </w:rPr>
        <w:t xml:space="preserve"> sources of profit. In</w:t>
      </w:r>
      <w:r w:rsidR="002E73B4">
        <w:rPr>
          <w:rFonts w:cs="Times New Roman"/>
        </w:rPr>
        <w:t xml:space="preserve"> the</w:t>
      </w:r>
      <w:r w:rsidRPr="00DB493C">
        <w:rPr>
          <w:rFonts w:cs="Times New Roman"/>
        </w:rPr>
        <w:t xml:space="preserve"> RSUCC, partial funding is dedicated for public services in the service area, which means that government spending is not required here. </w:t>
      </w:r>
      <w:r w:rsidR="00FA169F">
        <w:rPr>
          <w:rFonts w:cs="Times New Roman"/>
        </w:rPr>
        <w:t xml:space="preserve">The </w:t>
      </w:r>
      <w:r w:rsidRPr="00DB493C">
        <w:rPr>
          <w:rFonts w:cs="Times New Roman"/>
        </w:rPr>
        <w:t>CAUCC provides value-adding services to different consumers through its surplus</w:t>
      </w:r>
      <w:r w:rsidRPr="00A96AC5">
        <w:rPr>
          <w:rFonts w:cs="Times New Roman"/>
        </w:rPr>
        <w:t xml:space="preserve"> goods process capabilities. These services alleviate the financial burden on its investors by increasing the UCC’s revenue. The significant innovation is that </w:t>
      </w:r>
      <w:r w:rsidR="0079395A">
        <w:rPr>
          <w:rFonts w:cs="Times New Roman"/>
        </w:rPr>
        <w:t xml:space="preserve">the </w:t>
      </w:r>
      <w:r w:rsidRPr="00A96AC5">
        <w:rPr>
          <w:rFonts w:cs="Times New Roman"/>
        </w:rPr>
        <w:t>CAUCC provides an inventory management business by cooperating with upstream wholesalers, thereby improving the efficiency of goods distribution in the city as well as reduc</w:t>
      </w:r>
      <w:r w:rsidR="0079395A">
        <w:rPr>
          <w:rFonts w:cs="Times New Roman"/>
        </w:rPr>
        <w:t>ing</w:t>
      </w:r>
      <w:r w:rsidRPr="00A96AC5">
        <w:rPr>
          <w:rFonts w:cs="Times New Roman"/>
        </w:rPr>
        <w:t xml:space="preserve"> the cost of inventory holding and goods delivery. Furthermore, the other stakeholders also obtain economic benefits, as no additional investment in logistics facilities is required to reduce the cost of inventory management and delivery times. The financial sustainability of </w:t>
      </w:r>
      <w:r w:rsidR="00235725">
        <w:rPr>
          <w:rFonts w:cs="Times New Roman"/>
        </w:rPr>
        <w:t xml:space="preserve">the </w:t>
      </w:r>
      <w:r w:rsidRPr="00A96AC5">
        <w:rPr>
          <w:rFonts w:cs="Times New Roman"/>
        </w:rPr>
        <w:t>CBUCC is highly dependent on its warehouse service</w:t>
      </w:r>
      <w:r w:rsidR="003219B4">
        <w:rPr>
          <w:rFonts w:cs="Times New Roman"/>
        </w:rPr>
        <w:t xml:space="preserve"> for cold-chain products</w:t>
      </w:r>
      <w:r w:rsidR="003271F4">
        <w:rPr>
          <w:rFonts w:cs="Times New Roman"/>
        </w:rPr>
        <w:t>,</w:t>
      </w:r>
      <w:r w:rsidR="00054582">
        <w:rPr>
          <w:rFonts w:cs="Times New Roman"/>
        </w:rPr>
        <w:t xml:space="preserve"> </w:t>
      </w:r>
      <w:r w:rsidR="003271F4">
        <w:rPr>
          <w:rFonts w:cs="Times New Roman"/>
        </w:rPr>
        <w:t>b</w:t>
      </w:r>
      <w:r w:rsidR="00054582">
        <w:rPr>
          <w:rFonts w:cs="Times New Roman"/>
        </w:rPr>
        <w:t xml:space="preserve">ecause </w:t>
      </w:r>
      <w:proofErr w:type="gramStart"/>
      <w:r w:rsidR="00054582">
        <w:rPr>
          <w:rFonts w:cs="Times New Roman"/>
        </w:rPr>
        <w:t>a</w:t>
      </w:r>
      <w:r w:rsidRPr="00A96AC5">
        <w:rPr>
          <w:rFonts w:cs="Times New Roman"/>
        </w:rPr>
        <w:t xml:space="preserve"> large number of</w:t>
      </w:r>
      <w:proofErr w:type="gramEnd"/>
      <w:r w:rsidRPr="00A96AC5">
        <w:rPr>
          <w:rFonts w:cs="Times New Roman"/>
        </w:rPr>
        <w:t xml:space="preserve"> competitors in the normal cargo transhipment business</w:t>
      </w:r>
      <w:r w:rsidR="00054582">
        <w:rPr>
          <w:rFonts w:cs="Times New Roman"/>
        </w:rPr>
        <w:t xml:space="preserve"> lead</w:t>
      </w:r>
      <w:r w:rsidR="00665954">
        <w:rPr>
          <w:rFonts w:cs="Times New Roman"/>
        </w:rPr>
        <w:t>s</w:t>
      </w:r>
      <w:r w:rsidR="00054582">
        <w:rPr>
          <w:rFonts w:cs="Times New Roman"/>
        </w:rPr>
        <w:t xml:space="preserve"> to low profit margin</w:t>
      </w:r>
      <w:r w:rsidR="00A06142">
        <w:rPr>
          <w:rFonts w:cs="Times New Roman"/>
        </w:rPr>
        <w:t>s</w:t>
      </w:r>
      <w:r w:rsidR="00054582">
        <w:rPr>
          <w:rFonts w:cs="Times New Roman"/>
        </w:rPr>
        <w:t xml:space="preserve"> of </w:t>
      </w:r>
      <w:proofErr w:type="spellStart"/>
      <w:r w:rsidR="003A10D2">
        <w:rPr>
          <w:rFonts w:cs="Times New Roman"/>
        </w:rPr>
        <w:t>transhiping</w:t>
      </w:r>
      <w:proofErr w:type="spellEnd"/>
      <w:r w:rsidR="003A10D2">
        <w:rPr>
          <w:rFonts w:cs="Times New Roman"/>
        </w:rPr>
        <w:t xml:space="preserve"> normal goods. </w:t>
      </w:r>
      <w:r w:rsidR="00B51ABF">
        <w:rPr>
          <w:rFonts w:cs="Times New Roman"/>
        </w:rPr>
        <w:t>F</w:t>
      </w:r>
      <w:r w:rsidR="00B51ABF">
        <w:rPr>
          <w:rFonts w:cs="Times New Roman" w:hint="eastAsia"/>
        </w:rPr>
        <w:t>urthermore</w:t>
      </w:r>
      <w:r w:rsidR="00B51ABF">
        <w:rPr>
          <w:rFonts w:cs="Times New Roman"/>
        </w:rPr>
        <w:t xml:space="preserve">, </w:t>
      </w:r>
      <w:r w:rsidR="00A06142">
        <w:rPr>
          <w:rFonts w:cs="Times New Roman"/>
        </w:rPr>
        <w:t>t</w:t>
      </w:r>
      <w:r w:rsidRPr="00A96AC5">
        <w:rPr>
          <w:rFonts w:cs="Times New Roman"/>
        </w:rPr>
        <w:t xml:space="preserve">he low-price competition strategies of these competitors </w:t>
      </w:r>
      <w:r w:rsidR="0069119C">
        <w:rPr>
          <w:rFonts w:cs="Times New Roman"/>
        </w:rPr>
        <w:t xml:space="preserve">may even </w:t>
      </w:r>
      <w:r w:rsidRPr="00A96AC5">
        <w:rPr>
          <w:rFonts w:cs="Times New Roman"/>
        </w:rPr>
        <w:t>lead to major losses in the</w:t>
      </w:r>
      <w:r w:rsidR="0069119C">
        <w:rPr>
          <w:rFonts w:cs="Times New Roman"/>
        </w:rPr>
        <w:t xml:space="preserve"> normal</w:t>
      </w:r>
      <w:r w:rsidRPr="00A96AC5">
        <w:rPr>
          <w:rFonts w:cs="Times New Roman"/>
        </w:rPr>
        <w:t xml:space="preserve"> goods transhipment business.</w:t>
      </w:r>
      <w:r w:rsidR="00D71A51">
        <w:rPr>
          <w:rFonts w:cs="Times New Roman"/>
        </w:rPr>
        <w:t xml:space="preserve"> Under such circumstance</w:t>
      </w:r>
      <w:r w:rsidR="00A06142">
        <w:rPr>
          <w:rFonts w:cs="Times New Roman"/>
        </w:rPr>
        <w:t>s</w:t>
      </w:r>
      <w:r w:rsidR="00D71A51">
        <w:rPr>
          <w:rFonts w:cs="Times New Roman"/>
        </w:rPr>
        <w:t>,</w:t>
      </w:r>
      <w:r w:rsidRPr="00A96AC5">
        <w:rPr>
          <w:rFonts w:cs="Times New Roman"/>
        </w:rPr>
        <w:t xml:space="preserve"> </w:t>
      </w:r>
      <w:r w:rsidR="00D71A51">
        <w:rPr>
          <w:rFonts w:cs="Times New Roman"/>
        </w:rPr>
        <w:t>p</w:t>
      </w:r>
      <w:r w:rsidRPr="00A96AC5">
        <w:rPr>
          <w:rFonts w:cs="Times New Roman"/>
        </w:rPr>
        <w:t xml:space="preserve">rofits from warehouse services are an important factor for the turnaround. The agency service is a forward-looking plan for the development of the facility, preparing for a strategic transformation of the future logistics market. </w:t>
      </w:r>
      <w:r w:rsidR="00AC33F1">
        <w:rPr>
          <w:rFonts w:cs="Times New Roman"/>
        </w:rPr>
        <w:t>H</w:t>
      </w:r>
      <w:r w:rsidR="00FD3109">
        <w:rPr>
          <w:rFonts w:cs="Times New Roman"/>
        </w:rPr>
        <w:t xml:space="preserve">owever, such business currently generates limited profits for the UCC. </w:t>
      </w:r>
    </w:p>
    <w:p w14:paraId="02B2C26D" w14:textId="77777777" w:rsidR="00656367" w:rsidRDefault="00656367" w:rsidP="00656367">
      <w:pPr>
        <w:pStyle w:val="Heading3"/>
        <w:spacing w:line="360" w:lineRule="auto"/>
        <w:rPr>
          <w:rFonts w:cs="Times New Roman"/>
        </w:rPr>
      </w:pPr>
      <w:bookmarkStart w:id="805" w:name="_Ref45018342"/>
      <w:bookmarkStart w:id="806" w:name="_Toc46053463"/>
      <w:bookmarkStart w:id="807" w:name="_Toc46093377"/>
      <w:bookmarkStart w:id="808" w:name="_Toc46093660"/>
      <w:bookmarkStart w:id="809" w:name="_Toc66703236"/>
      <w:r w:rsidRPr="00802DC5">
        <w:rPr>
          <w:rFonts w:cs="Times New Roman"/>
        </w:rPr>
        <w:t xml:space="preserve">Integration </w:t>
      </w:r>
      <w:r w:rsidRPr="00DB493C">
        <w:rPr>
          <w:rFonts w:cs="Times New Roman"/>
        </w:rPr>
        <w:t>of stakeholder interests</w:t>
      </w:r>
      <w:bookmarkEnd w:id="805"/>
      <w:bookmarkEnd w:id="806"/>
      <w:bookmarkEnd w:id="807"/>
      <w:bookmarkEnd w:id="808"/>
      <w:bookmarkEnd w:id="809"/>
    </w:p>
    <w:p w14:paraId="1A103B5F" w14:textId="77516FD8" w:rsidR="00656367" w:rsidRPr="00622AC7" w:rsidRDefault="00656367" w:rsidP="007F6877">
      <w:pPr>
        <w:spacing w:after="240" w:line="360" w:lineRule="auto"/>
        <w:rPr>
          <w:rFonts w:cs="Times New Roman"/>
        </w:rPr>
      </w:pPr>
      <w:r w:rsidRPr="00737239">
        <w:rPr>
          <w:rFonts w:cs="Times New Roman"/>
        </w:rPr>
        <w:t xml:space="preserve">All primary stakeholders benefit from the UCC project. </w:t>
      </w:r>
      <w:r w:rsidR="00622AC7">
        <w:rPr>
          <w:rFonts w:cs="Times New Roman"/>
        </w:rPr>
        <w:fldChar w:fldCharType="begin"/>
      </w:r>
      <w:r w:rsidR="00622AC7">
        <w:rPr>
          <w:rFonts w:cs="Times New Roman"/>
        </w:rPr>
        <w:instrText xml:space="preserve"> REF _Ref44973191 \h </w:instrText>
      </w:r>
      <w:r w:rsidR="00622AC7">
        <w:rPr>
          <w:rFonts w:cs="Times New Roman"/>
        </w:rPr>
      </w:r>
      <w:r w:rsidR="00622AC7">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5</w:t>
      </w:r>
      <w:r w:rsidR="0005064B">
        <w:rPr>
          <w:rFonts w:cs="Times New Roman"/>
        </w:rPr>
        <w:noBreakHyphen/>
      </w:r>
      <w:r w:rsidR="0005064B">
        <w:rPr>
          <w:rFonts w:cs="Times New Roman"/>
          <w:noProof/>
        </w:rPr>
        <w:t>8</w:t>
      </w:r>
      <w:r w:rsidR="00622AC7">
        <w:rPr>
          <w:rFonts w:cs="Times New Roman"/>
        </w:rPr>
        <w:fldChar w:fldCharType="end"/>
      </w:r>
      <w:r w:rsidR="00622AC7">
        <w:rPr>
          <w:rFonts w:cs="Times New Roman"/>
        </w:rPr>
        <w:t xml:space="preserve"> </w:t>
      </w:r>
      <w:r w:rsidRPr="00737239">
        <w:rPr>
          <w:rFonts w:cs="Times New Roman"/>
        </w:rPr>
        <w:t>lists the key benefits. In the CAUCC, stakeholders found that their interests overlap, p</w:t>
      </w:r>
      <w:r w:rsidRPr="00802DC5">
        <w:rPr>
          <w:rFonts w:cs="Times New Roman"/>
        </w:rPr>
        <w:t xml:space="preserve">rimarily because logistics activities are not the core business of these wholesalers. Although Company A competes with other wholesalers in its marketing, </w:t>
      </w:r>
      <w:r w:rsidR="006B5564">
        <w:rPr>
          <w:rFonts w:cs="Times New Roman"/>
        </w:rPr>
        <w:t xml:space="preserve">its </w:t>
      </w:r>
      <w:r w:rsidRPr="00802DC5">
        <w:rPr>
          <w:rFonts w:cs="Times New Roman"/>
        </w:rPr>
        <w:t xml:space="preserve">cooperation in the region of logistics – such as ‘shared inventory’ – benefits all stakeholders without harming individual interests. On the other hand, even if Company A has service priority, the high distribution capability of </w:t>
      </w:r>
      <w:r w:rsidR="006B5564">
        <w:rPr>
          <w:rFonts w:cs="Times New Roman"/>
        </w:rPr>
        <w:t xml:space="preserve">the </w:t>
      </w:r>
      <w:r w:rsidRPr="00802DC5">
        <w:rPr>
          <w:rFonts w:cs="Times New Roman"/>
        </w:rPr>
        <w:t xml:space="preserve">CAUCC improves </w:t>
      </w:r>
      <w:r w:rsidR="006B5564">
        <w:rPr>
          <w:rFonts w:cs="Times New Roman"/>
        </w:rPr>
        <w:t xml:space="preserve">the </w:t>
      </w:r>
      <w:r w:rsidRPr="00802DC5">
        <w:rPr>
          <w:rFonts w:cs="Times New Roman"/>
        </w:rPr>
        <w:t>delivery efficiency of other wholesalers. Finally, Company A occupies the largest share of the local me</w:t>
      </w:r>
      <w:r w:rsidRPr="00DB493C">
        <w:rPr>
          <w:rFonts w:cs="Times New Roman"/>
        </w:rPr>
        <w:t>dical market, thus it economically beneficial to invest in UCC projects. In contrast, the remaining wholesalers’ smaller market shares mean that they do not enjoy the same cost savings. In addition, no other local logistics companies can provide high</w:t>
      </w:r>
      <w:r w:rsidRPr="00A96AC5">
        <w:rPr>
          <w:rFonts w:cs="Times New Roman"/>
        </w:rPr>
        <w:t xml:space="preserve"> quality </w:t>
      </w:r>
      <w:r w:rsidRPr="00A96AC5">
        <w:rPr>
          <w:rFonts w:cs="Times New Roman"/>
        </w:rPr>
        <w:lastRenderedPageBreak/>
        <w:t xml:space="preserve">medical storage and distribution services in Wuhan </w:t>
      </w:r>
      <w:r w:rsidR="00C85E13">
        <w:rPr>
          <w:rFonts w:cs="Times New Roman"/>
        </w:rPr>
        <w:t>c</w:t>
      </w:r>
      <w:r w:rsidRPr="00A96AC5">
        <w:rPr>
          <w:rFonts w:cs="Times New Roman"/>
        </w:rPr>
        <w:t xml:space="preserve">ity. The success of </w:t>
      </w:r>
      <w:r w:rsidR="006B5564">
        <w:rPr>
          <w:rFonts w:cs="Times New Roman"/>
        </w:rPr>
        <w:t xml:space="preserve">the </w:t>
      </w:r>
      <w:r w:rsidRPr="00A96AC5">
        <w:rPr>
          <w:rFonts w:cs="Times New Roman"/>
        </w:rPr>
        <w:t>CAUCC may thus be used to promote cooperation between competing members in supply chain networks.</w:t>
      </w:r>
    </w:p>
    <w:tbl>
      <w:tblPr>
        <w:tblStyle w:val="TableGrid"/>
        <w:tblW w:w="0" w:type="auto"/>
        <w:tblLook w:val="04A0" w:firstRow="1" w:lastRow="0" w:firstColumn="1" w:lastColumn="0" w:noHBand="0" w:noVBand="1"/>
      </w:tblPr>
      <w:tblGrid>
        <w:gridCol w:w="988"/>
        <w:gridCol w:w="4961"/>
        <w:gridCol w:w="3067"/>
      </w:tblGrid>
      <w:tr w:rsidR="00656367" w:rsidRPr="008903D1" w14:paraId="1A99DB4D" w14:textId="77777777" w:rsidTr="00622AC7">
        <w:tc>
          <w:tcPr>
            <w:tcW w:w="988" w:type="dxa"/>
          </w:tcPr>
          <w:p w14:paraId="7BC26F8B" w14:textId="77777777" w:rsidR="00656367" w:rsidRPr="00A96AC5" w:rsidRDefault="00656367" w:rsidP="00622AC7">
            <w:pPr>
              <w:spacing w:line="240" w:lineRule="auto"/>
              <w:jc w:val="center"/>
              <w:rPr>
                <w:rFonts w:cs="Times New Roman"/>
                <w:b/>
                <w:bCs/>
                <w:sz w:val="22"/>
              </w:rPr>
            </w:pPr>
            <w:r w:rsidRPr="00A96AC5">
              <w:rPr>
                <w:rFonts w:cs="Times New Roman"/>
                <w:b/>
                <w:bCs/>
                <w:sz w:val="22"/>
              </w:rPr>
              <w:t>Cases</w:t>
            </w:r>
          </w:p>
        </w:tc>
        <w:tc>
          <w:tcPr>
            <w:tcW w:w="4961" w:type="dxa"/>
          </w:tcPr>
          <w:p w14:paraId="6D3E2500" w14:textId="77777777" w:rsidR="00656367" w:rsidRPr="00A96AC5" w:rsidRDefault="00656367" w:rsidP="00622AC7">
            <w:pPr>
              <w:spacing w:line="240" w:lineRule="auto"/>
              <w:jc w:val="center"/>
              <w:rPr>
                <w:rFonts w:cs="Times New Roman"/>
                <w:b/>
                <w:bCs/>
                <w:sz w:val="22"/>
              </w:rPr>
            </w:pPr>
            <w:r w:rsidRPr="00A96AC5">
              <w:rPr>
                <w:rFonts w:cs="Times New Roman"/>
                <w:b/>
                <w:bCs/>
                <w:sz w:val="22"/>
              </w:rPr>
              <w:t>Project Benefits</w:t>
            </w:r>
          </w:p>
        </w:tc>
        <w:tc>
          <w:tcPr>
            <w:tcW w:w="3067" w:type="dxa"/>
          </w:tcPr>
          <w:p w14:paraId="041E546F" w14:textId="77777777" w:rsidR="00656367" w:rsidRPr="00A96AC5" w:rsidRDefault="00656367" w:rsidP="00622AC7">
            <w:pPr>
              <w:spacing w:line="240" w:lineRule="auto"/>
              <w:jc w:val="center"/>
              <w:rPr>
                <w:rFonts w:cs="Times New Roman"/>
                <w:b/>
                <w:bCs/>
                <w:sz w:val="22"/>
              </w:rPr>
            </w:pPr>
            <w:r w:rsidRPr="00A96AC5">
              <w:rPr>
                <w:rFonts w:cs="Times New Roman"/>
                <w:b/>
                <w:bCs/>
                <w:sz w:val="22"/>
              </w:rPr>
              <w:t>Beneficiaries</w:t>
            </w:r>
          </w:p>
        </w:tc>
      </w:tr>
      <w:tr w:rsidR="00656367" w:rsidRPr="008903D1" w14:paraId="1B416D72" w14:textId="77777777" w:rsidTr="00622AC7">
        <w:tc>
          <w:tcPr>
            <w:tcW w:w="988" w:type="dxa"/>
            <w:vMerge w:val="restart"/>
            <w:vAlign w:val="center"/>
          </w:tcPr>
          <w:p w14:paraId="1B7EDC8F" w14:textId="77777777" w:rsidR="00656367" w:rsidRPr="00737239" w:rsidRDefault="00656367" w:rsidP="00622AC7">
            <w:pPr>
              <w:spacing w:line="240" w:lineRule="auto"/>
              <w:jc w:val="left"/>
              <w:rPr>
                <w:rFonts w:cs="Times New Roman"/>
                <w:sz w:val="22"/>
              </w:rPr>
            </w:pPr>
            <w:r w:rsidRPr="00737239">
              <w:rPr>
                <w:rFonts w:cs="Times New Roman"/>
                <w:sz w:val="22"/>
              </w:rPr>
              <w:t>SCUCC</w:t>
            </w:r>
          </w:p>
        </w:tc>
        <w:tc>
          <w:tcPr>
            <w:tcW w:w="4961" w:type="dxa"/>
          </w:tcPr>
          <w:p w14:paraId="6CE02DA4"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Simplify the urban distribution process</w:t>
            </w:r>
          </w:p>
        </w:tc>
        <w:tc>
          <w:tcPr>
            <w:tcW w:w="3067" w:type="dxa"/>
            <w:vMerge w:val="restart"/>
            <w:vAlign w:val="center"/>
          </w:tcPr>
          <w:p w14:paraId="6F43E8A8" w14:textId="77777777" w:rsidR="00656367" w:rsidRPr="00737239" w:rsidRDefault="00656367" w:rsidP="00622AC7">
            <w:pPr>
              <w:spacing w:line="240" w:lineRule="auto"/>
              <w:jc w:val="left"/>
              <w:rPr>
                <w:rFonts w:cs="Times New Roman"/>
                <w:sz w:val="22"/>
              </w:rPr>
            </w:pPr>
            <w:r w:rsidRPr="00737239">
              <w:rPr>
                <w:rFonts w:cs="Times New Roman"/>
                <w:sz w:val="22"/>
              </w:rPr>
              <w:t>The logistics company</w:t>
            </w:r>
          </w:p>
        </w:tc>
      </w:tr>
      <w:tr w:rsidR="00656367" w:rsidRPr="008903D1" w14:paraId="6E64FA82" w14:textId="77777777" w:rsidTr="00622AC7">
        <w:tc>
          <w:tcPr>
            <w:tcW w:w="988" w:type="dxa"/>
            <w:vMerge/>
            <w:vAlign w:val="center"/>
          </w:tcPr>
          <w:p w14:paraId="38105DFF" w14:textId="77777777" w:rsidR="00656367" w:rsidRPr="00A96AC5" w:rsidRDefault="00656367" w:rsidP="00622AC7">
            <w:pPr>
              <w:spacing w:line="240" w:lineRule="auto"/>
              <w:jc w:val="left"/>
              <w:rPr>
                <w:rFonts w:cs="Times New Roman"/>
                <w:sz w:val="22"/>
              </w:rPr>
            </w:pPr>
          </w:p>
        </w:tc>
        <w:tc>
          <w:tcPr>
            <w:tcW w:w="4961" w:type="dxa"/>
          </w:tcPr>
          <w:p w14:paraId="66F2C039"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No extra payment</w:t>
            </w:r>
          </w:p>
        </w:tc>
        <w:tc>
          <w:tcPr>
            <w:tcW w:w="3067" w:type="dxa"/>
            <w:vMerge/>
            <w:vAlign w:val="center"/>
          </w:tcPr>
          <w:p w14:paraId="09C53A94" w14:textId="77777777" w:rsidR="00656367" w:rsidRPr="00A96AC5" w:rsidRDefault="00656367" w:rsidP="00622AC7">
            <w:pPr>
              <w:spacing w:line="240" w:lineRule="auto"/>
              <w:jc w:val="left"/>
              <w:rPr>
                <w:rFonts w:cs="Times New Roman"/>
                <w:sz w:val="22"/>
              </w:rPr>
            </w:pPr>
          </w:p>
        </w:tc>
      </w:tr>
      <w:tr w:rsidR="00656367" w:rsidRPr="008903D1" w14:paraId="2694DB00" w14:textId="77777777" w:rsidTr="00622AC7">
        <w:tc>
          <w:tcPr>
            <w:tcW w:w="988" w:type="dxa"/>
            <w:vMerge/>
            <w:vAlign w:val="center"/>
          </w:tcPr>
          <w:p w14:paraId="32EB36A7" w14:textId="77777777" w:rsidR="00656367" w:rsidRPr="00A96AC5" w:rsidRDefault="00656367" w:rsidP="00622AC7">
            <w:pPr>
              <w:spacing w:line="240" w:lineRule="auto"/>
              <w:jc w:val="left"/>
              <w:rPr>
                <w:rFonts w:cs="Times New Roman"/>
                <w:sz w:val="22"/>
              </w:rPr>
            </w:pPr>
          </w:p>
        </w:tc>
        <w:tc>
          <w:tcPr>
            <w:tcW w:w="4961" w:type="dxa"/>
          </w:tcPr>
          <w:p w14:paraId="049C6E07" w14:textId="77777777" w:rsidR="00656367" w:rsidRPr="00737239" w:rsidRDefault="00656367" w:rsidP="00622AC7">
            <w:pPr>
              <w:spacing w:line="240" w:lineRule="auto"/>
              <w:rPr>
                <w:rFonts w:cs="Times New Roman"/>
                <w:sz w:val="22"/>
              </w:rPr>
            </w:pPr>
            <w:r w:rsidRPr="008903D1">
              <w:rPr>
                <w:rFonts w:eastAsia="等线" w:cs="Times New Roman"/>
                <w:color w:val="000000"/>
                <w:sz w:val="22"/>
              </w:rPr>
              <w:t>Cost reduction of reverse logistics</w:t>
            </w:r>
          </w:p>
        </w:tc>
        <w:tc>
          <w:tcPr>
            <w:tcW w:w="3067" w:type="dxa"/>
            <w:vAlign w:val="center"/>
          </w:tcPr>
          <w:p w14:paraId="0035AF5B" w14:textId="77777777" w:rsidR="00656367" w:rsidRPr="00802DC5" w:rsidRDefault="00656367" w:rsidP="00622AC7">
            <w:pPr>
              <w:spacing w:line="240" w:lineRule="auto"/>
              <w:jc w:val="left"/>
              <w:rPr>
                <w:rFonts w:cs="Times New Roman"/>
                <w:sz w:val="22"/>
              </w:rPr>
            </w:pPr>
            <w:r w:rsidRPr="00802DC5">
              <w:rPr>
                <w:rFonts w:cs="Times New Roman"/>
                <w:sz w:val="22"/>
              </w:rPr>
              <w:t>Waste collection company</w:t>
            </w:r>
          </w:p>
        </w:tc>
      </w:tr>
      <w:tr w:rsidR="00656367" w:rsidRPr="008903D1" w14:paraId="06694BF9" w14:textId="77777777" w:rsidTr="00622AC7">
        <w:tc>
          <w:tcPr>
            <w:tcW w:w="988" w:type="dxa"/>
            <w:vMerge/>
            <w:vAlign w:val="center"/>
          </w:tcPr>
          <w:p w14:paraId="37A25788" w14:textId="77777777" w:rsidR="00656367" w:rsidRPr="00A96AC5" w:rsidRDefault="00656367" w:rsidP="00622AC7">
            <w:pPr>
              <w:spacing w:line="240" w:lineRule="auto"/>
              <w:jc w:val="left"/>
              <w:rPr>
                <w:rFonts w:cs="Times New Roman"/>
                <w:sz w:val="22"/>
              </w:rPr>
            </w:pPr>
          </w:p>
        </w:tc>
        <w:tc>
          <w:tcPr>
            <w:tcW w:w="4961" w:type="dxa"/>
          </w:tcPr>
          <w:p w14:paraId="6A04DE09" w14:textId="77777777" w:rsidR="00656367" w:rsidRPr="00737239" w:rsidRDefault="00656367" w:rsidP="00622AC7">
            <w:pPr>
              <w:spacing w:line="240" w:lineRule="auto"/>
              <w:rPr>
                <w:rFonts w:cs="Times New Roman"/>
                <w:sz w:val="22"/>
              </w:rPr>
            </w:pPr>
            <w:r w:rsidRPr="008903D1">
              <w:rPr>
                <w:rFonts w:eastAsia="等线" w:cs="Times New Roman"/>
                <w:color w:val="000000"/>
                <w:sz w:val="22"/>
              </w:rPr>
              <w:t>Less traffic volume</w:t>
            </w:r>
          </w:p>
        </w:tc>
        <w:tc>
          <w:tcPr>
            <w:tcW w:w="3067" w:type="dxa"/>
            <w:vMerge w:val="restart"/>
            <w:vAlign w:val="center"/>
          </w:tcPr>
          <w:p w14:paraId="57C6F31C" w14:textId="77777777" w:rsidR="00656367" w:rsidRPr="00802DC5" w:rsidRDefault="00656367" w:rsidP="00622AC7">
            <w:pPr>
              <w:spacing w:line="240" w:lineRule="auto"/>
              <w:jc w:val="left"/>
              <w:rPr>
                <w:rFonts w:cs="Times New Roman"/>
                <w:sz w:val="22"/>
              </w:rPr>
            </w:pPr>
            <w:r w:rsidRPr="00802DC5">
              <w:rPr>
                <w:rFonts w:cs="Times New Roman"/>
                <w:sz w:val="22"/>
              </w:rPr>
              <w:t>Government</w:t>
            </w:r>
          </w:p>
        </w:tc>
      </w:tr>
      <w:tr w:rsidR="00656367" w:rsidRPr="008903D1" w14:paraId="77883475" w14:textId="77777777" w:rsidTr="00622AC7">
        <w:tc>
          <w:tcPr>
            <w:tcW w:w="988" w:type="dxa"/>
            <w:vMerge/>
            <w:vAlign w:val="center"/>
          </w:tcPr>
          <w:p w14:paraId="109437EC" w14:textId="77777777" w:rsidR="00656367" w:rsidRPr="00A96AC5" w:rsidRDefault="00656367" w:rsidP="00622AC7">
            <w:pPr>
              <w:spacing w:line="240" w:lineRule="auto"/>
              <w:jc w:val="left"/>
              <w:rPr>
                <w:rFonts w:cs="Times New Roman"/>
                <w:sz w:val="22"/>
              </w:rPr>
            </w:pPr>
          </w:p>
        </w:tc>
        <w:tc>
          <w:tcPr>
            <w:tcW w:w="4961" w:type="dxa"/>
          </w:tcPr>
          <w:p w14:paraId="21320F82" w14:textId="77777777" w:rsidR="00656367" w:rsidRPr="00737239" w:rsidRDefault="00656367" w:rsidP="00622AC7">
            <w:pPr>
              <w:spacing w:line="240" w:lineRule="auto"/>
              <w:rPr>
                <w:rFonts w:cs="Times New Roman"/>
                <w:sz w:val="22"/>
              </w:rPr>
            </w:pPr>
            <w:r w:rsidRPr="008903D1">
              <w:rPr>
                <w:rFonts w:eastAsia="等线" w:cs="Times New Roman"/>
                <w:color w:val="000000"/>
                <w:sz w:val="22"/>
              </w:rPr>
              <w:t>Less road congestion</w:t>
            </w:r>
          </w:p>
        </w:tc>
        <w:tc>
          <w:tcPr>
            <w:tcW w:w="3067" w:type="dxa"/>
            <w:vMerge/>
            <w:vAlign w:val="center"/>
          </w:tcPr>
          <w:p w14:paraId="1889BF9A" w14:textId="77777777" w:rsidR="00656367" w:rsidRPr="00A96AC5" w:rsidRDefault="00656367" w:rsidP="00622AC7">
            <w:pPr>
              <w:spacing w:line="240" w:lineRule="auto"/>
              <w:jc w:val="left"/>
              <w:rPr>
                <w:rFonts w:cs="Times New Roman"/>
                <w:sz w:val="22"/>
              </w:rPr>
            </w:pPr>
          </w:p>
        </w:tc>
      </w:tr>
      <w:tr w:rsidR="00656367" w:rsidRPr="008903D1" w14:paraId="1B412051" w14:textId="77777777" w:rsidTr="00622AC7">
        <w:tc>
          <w:tcPr>
            <w:tcW w:w="988" w:type="dxa"/>
            <w:vMerge/>
            <w:vAlign w:val="center"/>
          </w:tcPr>
          <w:p w14:paraId="3F517194" w14:textId="77777777" w:rsidR="00656367" w:rsidRPr="00A96AC5" w:rsidRDefault="00656367" w:rsidP="00622AC7">
            <w:pPr>
              <w:spacing w:line="240" w:lineRule="auto"/>
              <w:jc w:val="left"/>
              <w:rPr>
                <w:rFonts w:cs="Times New Roman"/>
                <w:sz w:val="22"/>
              </w:rPr>
            </w:pPr>
          </w:p>
        </w:tc>
        <w:tc>
          <w:tcPr>
            <w:tcW w:w="4961" w:type="dxa"/>
          </w:tcPr>
          <w:p w14:paraId="327F0505" w14:textId="77777777" w:rsidR="00656367" w:rsidRPr="00737239" w:rsidRDefault="00656367" w:rsidP="00622AC7">
            <w:pPr>
              <w:spacing w:line="240" w:lineRule="auto"/>
              <w:rPr>
                <w:rFonts w:cs="Times New Roman"/>
                <w:sz w:val="22"/>
              </w:rPr>
            </w:pPr>
            <w:r w:rsidRPr="008903D1">
              <w:rPr>
                <w:rFonts w:eastAsia="等线" w:cs="Times New Roman"/>
                <w:color w:val="000000"/>
                <w:sz w:val="22"/>
              </w:rPr>
              <w:t>Less noise</w:t>
            </w:r>
          </w:p>
        </w:tc>
        <w:tc>
          <w:tcPr>
            <w:tcW w:w="3067" w:type="dxa"/>
            <w:vMerge/>
            <w:vAlign w:val="center"/>
          </w:tcPr>
          <w:p w14:paraId="4DF06AE1" w14:textId="77777777" w:rsidR="00656367" w:rsidRPr="00A96AC5" w:rsidRDefault="00656367" w:rsidP="00622AC7">
            <w:pPr>
              <w:spacing w:line="240" w:lineRule="auto"/>
              <w:jc w:val="left"/>
              <w:rPr>
                <w:rFonts w:cs="Times New Roman"/>
                <w:sz w:val="22"/>
              </w:rPr>
            </w:pPr>
          </w:p>
        </w:tc>
      </w:tr>
      <w:tr w:rsidR="00656367" w:rsidRPr="008903D1" w14:paraId="12A4DB42" w14:textId="77777777" w:rsidTr="00622AC7">
        <w:tc>
          <w:tcPr>
            <w:tcW w:w="988" w:type="dxa"/>
            <w:vMerge/>
            <w:vAlign w:val="center"/>
          </w:tcPr>
          <w:p w14:paraId="2C819074" w14:textId="77777777" w:rsidR="00656367" w:rsidRPr="00A96AC5" w:rsidRDefault="00656367" w:rsidP="00622AC7">
            <w:pPr>
              <w:spacing w:line="240" w:lineRule="auto"/>
              <w:jc w:val="left"/>
              <w:rPr>
                <w:rFonts w:cs="Times New Roman"/>
                <w:sz w:val="22"/>
              </w:rPr>
            </w:pPr>
          </w:p>
        </w:tc>
        <w:tc>
          <w:tcPr>
            <w:tcW w:w="4961" w:type="dxa"/>
          </w:tcPr>
          <w:p w14:paraId="018F817E"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Lower emissions</w:t>
            </w:r>
          </w:p>
        </w:tc>
        <w:tc>
          <w:tcPr>
            <w:tcW w:w="3067" w:type="dxa"/>
            <w:vMerge/>
            <w:vAlign w:val="center"/>
          </w:tcPr>
          <w:p w14:paraId="79677FF5" w14:textId="77777777" w:rsidR="00656367" w:rsidRPr="00A96AC5" w:rsidRDefault="00656367" w:rsidP="00622AC7">
            <w:pPr>
              <w:spacing w:line="240" w:lineRule="auto"/>
              <w:jc w:val="left"/>
              <w:rPr>
                <w:rFonts w:cs="Times New Roman"/>
                <w:sz w:val="22"/>
              </w:rPr>
            </w:pPr>
          </w:p>
        </w:tc>
      </w:tr>
      <w:tr w:rsidR="00656367" w:rsidRPr="008903D1" w14:paraId="61D61D8F" w14:textId="77777777" w:rsidTr="00622AC7">
        <w:tc>
          <w:tcPr>
            <w:tcW w:w="988" w:type="dxa"/>
            <w:vMerge/>
            <w:vAlign w:val="center"/>
          </w:tcPr>
          <w:p w14:paraId="597C3EBA" w14:textId="77777777" w:rsidR="00656367" w:rsidRPr="00A96AC5" w:rsidRDefault="00656367" w:rsidP="00622AC7">
            <w:pPr>
              <w:spacing w:line="240" w:lineRule="auto"/>
              <w:jc w:val="left"/>
              <w:rPr>
                <w:rFonts w:cs="Times New Roman"/>
                <w:sz w:val="22"/>
              </w:rPr>
            </w:pPr>
          </w:p>
        </w:tc>
        <w:tc>
          <w:tcPr>
            <w:tcW w:w="4961" w:type="dxa"/>
          </w:tcPr>
          <w:p w14:paraId="0E7F57EA"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 xml:space="preserve">Testing the innovative technology </w:t>
            </w:r>
          </w:p>
        </w:tc>
        <w:tc>
          <w:tcPr>
            <w:tcW w:w="3067" w:type="dxa"/>
            <w:vMerge w:val="restart"/>
            <w:vAlign w:val="center"/>
          </w:tcPr>
          <w:p w14:paraId="465C6687" w14:textId="77777777" w:rsidR="00656367" w:rsidRPr="00737239" w:rsidRDefault="00656367" w:rsidP="00622AC7">
            <w:pPr>
              <w:spacing w:line="240" w:lineRule="auto"/>
              <w:jc w:val="left"/>
              <w:rPr>
                <w:rFonts w:cs="Times New Roman"/>
                <w:sz w:val="22"/>
              </w:rPr>
            </w:pPr>
            <w:r w:rsidRPr="00737239">
              <w:rPr>
                <w:rFonts w:cs="Times New Roman"/>
                <w:sz w:val="22"/>
              </w:rPr>
              <w:t>Research group</w:t>
            </w:r>
          </w:p>
        </w:tc>
      </w:tr>
      <w:tr w:rsidR="00656367" w:rsidRPr="008903D1" w14:paraId="4ED9BBBF" w14:textId="77777777" w:rsidTr="00622AC7">
        <w:tc>
          <w:tcPr>
            <w:tcW w:w="988" w:type="dxa"/>
            <w:vMerge/>
            <w:vAlign w:val="center"/>
          </w:tcPr>
          <w:p w14:paraId="6E38F2F4" w14:textId="77777777" w:rsidR="00656367" w:rsidRPr="00A96AC5" w:rsidRDefault="00656367" w:rsidP="00622AC7">
            <w:pPr>
              <w:spacing w:line="240" w:lineRule="auto"/>
              <w:jc w:val="left"/>
              <w:rPr>
                <w:rFonts w:cs="Times New Roman"/>
                <w:sz w:val="22"/>
              </w:rPr>
            </w:pPr>
          </w:p>
        </w:tc>
        <w:tc>
          <w:tcPr>
            <w:tcW w:w="4961" w:type="dxa"/>
          </w:tcPr>
          <w:p w14:paraId="19CD6C16"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Research funding</w:t>
            </w:r>
          </w:p>
        </w:tc>
        <w:tc>
          <w:tcPr>
            <w:tcW w:w="3067" w:type="dxa"/>
            <w:vMerge/>
            <w:vAlign w:val="center"/>
          </w:tcPr>
          <w:p w14:paraId="78B83BC4" w14:textId="77777777" w:rsidR="00656367" w:rsidRPr="00A96AC5" w:rsidRDefault="00656367" w:rsidP="00622AC7">
            <w:pPr>
              <w:spacing w:line="240" w:lineRule="auto"/>
              <w:jc w:val="left"/>
              <w:rPr>
                <w:rFonts w:cs="Times New Roman"/>
                <w:sz w:val="22"/>
              </w:rPr>
            </w:pPr>
          </w:p>
        </w:tc>
      </w:tr>
      <w:tr w:rsidR="00656367" w:rsidRPr="008903D1" w14:paraId="7758CF20" w14:textId="77777777" w:rsidTr="00622AC7">
        <w:tc>
          <w:tcPr>
            <w:tcW w:w="988" w:type="dxa"/>
            <w:vMerge w:val="restart"/>
            <w:vAlign w:val="center"/>
          </w:tcPr>
          <w:p w14:paraId="12047DCF" w14:textId="77777777" w:rsidR="00656367" w:rsidRPr="00737239" w:rsidRDefault="00656367" w:rsidP="00622AC7">
            <w:pPr>
              <w:spacing w:line="240" w:lineRule="auto"/>
              <w:jc w:val="left"/>
              <w:rPr>
                <w:rFonts w:cs="Times New Roman"/>
                <w:sz w:val="22"/>
              </w:rPr>
            </w:pPr>
            <w:r w:rsidRPr="00737239">
              <w:rPr>
                <w:rFonts w:cs="Times New Roman"/>
                <w:sz w:val="22"/>
              </w:rPr>
              <w:t>RSUCC</w:t>
            </w:r>
          </w:p>
        </w:tc>
        <w:tc>
          <w:tcPr>
            <w:tcW w:w="4961" w:type="dxa"/>
          </w:tcPr>
          <w:p w14:paraId="515B257F"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Cost reduction for the Royal Seaport developing zone</w:t>
            </w:r>
          </w:p>
        </w:tc>
        <w:tc>
          <w:tcPr>
            <w:tcW w:w="3067" w:type="dxa"/>
            <w:vMerge w:val="restart"/>
            <w:vAlign w:val="center"/>
          </w:tcPr>
          <w:p w14:paraId="30BA54ED" w14:textId="77777777" w:rsidR="00656367" w:rsidRPr="00737239" w:rsidRDefault="00656367" w:rsidP="00622AC7">
            <w:pPr>
              <w:spacing w:line="240" w:lineRule="auto"/>
              <w:jc w:val="left"/>
              <w:rPr>
                <w:rFonts w:cs="Times New Roman"/>
                <w:sz w:val="22"/>
              </w:rPr>
            </w:pPr>
            <w:r w:rsidRPr="00737239">
              <w:rPr>
                <w:rFonts w:cs="Times New Roman"/>
                <w:sz w:val="22"/>
              </w:rPr>
              <w:t>Office of Royal Seaport</w:t>
            </w:r>
          </w:p>
        </w:tc>
      </w:tr>
      <w:tr w:rsidR="00656367" w:rsidRPr="008903D1" w14:paraId="775F93E8" w14:textId="77777777" w:rsidTr="00622AC7">
        <w:tc>
          <w:tcPr>
            <w:tcW w:w="988" w:type="dxa"/>
            <w:vMerge/>
            <w:vAlign w:val="center"/>
          </w:tcPr>
          <w:p w14:paraId="250F0652" w14:textId="77777777" w:rsidR="00656367" w:rsidRPr="00A96AC5" w:rsidRDefault="00656367" w:rsidP="00622AC7">
            <w:pPr>
              <w:spacing w:line="240" w:lineRule="auto"/>
              <w:jc w:val="left"/>
              <w:rPr>
                <w:rFonts w:cs="Times New Roman"/>
                <w:sz w:val="22"/>
              </w:rPr>
            </w:pPr>
          </w:p>
        </w:tc>
        <w:tc>
          <w:tcPr>
            <w:tcW w:w="4961" w:type="dxa"/>
          </w:tcPr>
          <w:p w14:paraId="4C724FD4"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Lower emissions</w:t>
            </w:r>
          </w:p>
        </w:tc>
        <w:tc>
          <w:tcPr>
            <w:tcW w:w="3067" w:type="dxa"/>
            <w:vMerge/>
            <w:vAlign w:val="center"/>
          </w:tcPr>
          <w:p w14:paraId="586D6243" w14:textId="77777777" w:rsidR="00656367" w:rsidRPr="00A96AC5" w:rsidRDefault="00656367" w:rsidP="00622AC7">
            <w:pPr>
              <w:spacing w:line="240" w:lineRule="auto"/>
              <w:jc w:val="left"/>
              <w:rPr>
                <w:rFonts w:cs="Times New Roman"/>
                <w:sz w:val="22"/>
              </w:rPr>
            </w:pPr>
          </w:p>
        </w:tc>
      </w:tr>
      <w:tr w:rsidR="00656367" w:rsidRPr="008903D1" w14:paraId="3002CD43" w14:textId="77777777" w:rsidTr="00622AC7">
        <w:tc>
          <w:tcPr>
            <w:tcW w:w="988" w:type="dxa"/>
            <w:vMerge/>
            <w:vAlign w:val="center"/>
          </w:tcPr>
          <w:p w14:paraId="28BA16E1" w14:textId="77777777" w:rsidR="00656367" w:rsidRPr="00A96AC5" w:rsidRDefault="00656367" w:rsidP="00622AC7">
            <w:pPr>
              <w:spacing w:line="240" w:lineRule="auto"/>
              <w:jc w:val="left"/>
              <w:rPr>
                <w:rFonts w:cs="Times New Roman"/>
                <w:sz w:val="22"/>
              </w:rPr>
            </w:pPr>
          </w:p>
        </w:tc>
        <w:tc>
          <w:tcPr>
            <w:tcW w:w="4961" w:type="dxa"/>
          </w:tcPr>
          <w:p w14:paraId="060C894A"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Less traffic volume</w:t>
            </w:r>
          </w:p>
        </w:tc>
        <w:tc>
          <w:tcPr>
            <w:tcW w:w="3067" w:type="dxa"/>
            <w:vMerge/>
            <w:vAlign w:val="center"/>
          </w:tcPr>
          <w:p w14:paraId="29FB7D4D" w14:textId="77777777" w:rsidR="00656367" w:rsidRPr="00A96AC5" w:rsidRDefault="00656367" w:rsidP="00622AC7">
            <w:pPr>
              <w:spacing w:line="240" w:lineRule="auto"/>
              <w:jc w:val="left"/>
              <w:rPr>
                <w:rFonts w:cs="Times New Roman"/>
                <w:sz w:val="22"/>
              </w:rPr>
            </w:pPr>
          </w:p>
        </w:tc>
      </w:tr>
      <w:tr w:rsidR="00656367" w:rsidRPr="008903D1" w14:paraId="1CCD2099" w14:textId="77777777" w:rsidTr="00622AC7">
        <w:tc>
          <w:tcPr>
            <w:tcW w:w="988" w:type="dxa"/>
            <w:vMerge/>
            <w:vAlign w:val="center"/>
          </w:tcPr>
          <w:p w14:paraId="76895875" w14:textId="77777777" w:rsidR="00656367" w:rsidRPr="00A96AC5" w:rsidRDefault="00656367" w:rsidP="00622AC7">
            <w:pPr>
              <w:spacing w:line="240" w:lineRule="auto"/>
              <w:jc w:val="left"/>
              <w:rPr>
                <w:rFonts w:cs="Times New Roman"/>
                <w:sz w:val="22"/>
              </w:rPr>
            </w:pPr>
          </w:p>
        </w:tc>
        <w:tc>
          <w:tcPr>
            <w:tcW w:w="4961" w:type="dxa"/>
          </w:tcPr>
          <w:p w14:paraId="0E136789"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Improve road safety</w:t>
            </w:r>
          </w:p>
        </w:tc>
        <w:tc>
          <w:tcPr>
            <w:tcW w:w="3067" w:type="dxa"/>
            <w:vMerge/>
            <w:vAlign w:val="center"/>
          </w:tcPr>
          <w:p w14:paraId="19779CF5" w14:textId="77777777" w:rsidR="00656367" w:rsidRPr="00A96AC5" w:rsidRDefault="00656367" w:rsidP="00622AC7">
            <w:pPr>
              <w:spacing w:line="240" w:lineRule="auto"/>
              <w:jc w:val="left"/>
              <w:rPr>
                <w:rFonts w:cs="Times New Roman"/>
                <w:sz w:val="22"/>
              </w:rPr>
            </w:pPr>
          </w:p>
        </w:tc>
      </w:tr>
      <w:tr w:rsidR="00656367" w:rsidRPr="008903D1" w14:paraId="3B80B8EE" w14:textId="77777777" w:rsidTr="00622AC7">
        <w:tc>
          <w:tcPr>
            <w:tcW w:w="988" w:type="dxa"/>
            <w:vMerge/>
            <w:vAlign w:val="center"/>
          </w:tcPr>
          <w:p w14:paraId="04684CE7" w14:textId="77777777" w:rsidR="00656367" w:rsidRPr="00A96AC5" w:rsidRDefault="00656367" w:rsidP="00622AC7">
            <w:pPr>
              <w:spacing w:line="240" w:lineRule="auto"/>
              <w:jc w:val="left"/>
              <w:rPr>
                <w:rFonts w:cs="Times New Roman"/>
                <w:sz w:val="22"/>
              </w:rPr>
            </w:pPr>
          </w:p>
        </w:tc>
        <w:tc>
          <w:tcPr>
            <w:tcW w:w="4961" w:type="dxa"/>
          </w:tcPr>
          <w:p w14:paraId="305AD9B0"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Increase company profits</w:t>
            </w:r>
          </w:p>
        </w:tc>
        <w:tc>
          <w:tcPr>
            <w:tcW w:w="3067" w:type="dxa"/>
            <w:vMerge w:val="restart"/>
            <w:vAlign w:val="center"/>
          </w:tcPr>
          <w:p w14:paraId="285E0F61" w14:textId="77777777" w:rsidR="00656367" w:rsidRPr="00737239" w:rsidRDefault="00656367" w:rsidP="00622AC7">
            <w:pPr>
              <w:spacing w:line="240" w:lineRule="auto"/>
              <w:jc w:val="left"/>
              <w:rPr>
                <w:rFonts w:cs="Times New Roman"/>
                <w:sz w:val="22"/>
              </w:rPr>
            </w:pPr>
            <w:r w:rsidRPr="00737239">
              <w:rPr>
                <w:rFonts w:cs="Times New Roman"/>
                <w:sz w:val="22"/>
              </w:rPr>
              <w:t>Facility operator</w:t>
            </w:r>
          </w:p>
        </w:tc>
      </w:tr>
      <w:tr w:rsidR="00656367" w:rsidRPr="008903D1" w14:paraId="24BDDE7D" w14:textId="77777777" w:rsidTr="00622AC7">
        <w:tc>
          <w:tcPr>
            <w:tcW w:w="988" w:type="dxa"/>
            <w:vMerge/>
            <w:vAlign w:val="center"/>
          </w:tcPr>
          <w:p w14:paraId="5443613F" w14:textId="77777777" w:rsidR="00656367" w:rsidRPr="00A96AC5" w:rsidRDefault="00656367" w:rsidP="00622AC7">
            <w:pPr>
              <w:spacing w:line="240" w:lineRule="auto"/>
              <w:jc w:val="left"/>
              <w:rPr>
                <w:rFonts w:cs="Times New Roman"/>
                <w:sz w:val="22"/>
              </w:rPr>
            </w:pPr>
          </w:p>
        </w:tc>
        <w:tc>
          <w:tcPr>
            <w:tcW w:w="4961" w:type="dxa"/>
          </w:tcPr>
          <w:p w14:paraId="37F67F1C"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 xml:space="preserve">Improve reputation </w:t>
            </w:r>
          </w:p>
        </w:tc>
        <w:tc>
          <w:tcPr>
            <w:tcW w:w="3067" w:type="dxa"/>
            <w:vMerge/>
            <w:vAlign w:val="center"/>
          </w:tcPr>
          <w:p w14:paraId="06772B1E" w14:textId="77777777" w:rsidR="00656367" w:rsidRPr="00A96AC5" w:rsidRDefault="00656367" w:rsidP="00622AC7">
            <w:pPr>
              <w:spacing w:line="240" w:lineRule="auto"/>
              <w:jc w:val="left"/>
              <w:rPr>
                <w:rFonts w:cs="Times New Roman"/>
                <w:sz w:val="22"/>
              </w:rPr>
            </w:pPr>
          </w:p>
        </w:tc>
      </w:tr>
      <w:tr w:rsidR="00656367" w:rsidRPr="008903D1" w14:paraId="627D17A5" w14:textId="77777777" w:rsidTr="00622AC7">
        <w:tc>
          <w:tcPr>
            <w:tcW w:w="988" w:type="dxa"/>
            <w:vMerge w:val="restart"/>
            <w:vAlign w:val="center"/>
          </w:tcPr>
          <w:p w14:paraId="230D2AEB" w14:textId="77777777" w:rsidR="00656367" w:rsidRPr="00737239" w:rsidRDefault="00656367" w:rsidP="00622AC7">
            <w:pPr>
              <w:spacing w:line="240" w:lineRule="auto"/>
              <w:jc w:val="left"/>
              <w:rPr>
                <w:rFonts w:cs="Times New Roman"/>
                <w:sz w:val="22"/>
              </w:rPr>
            </w:pPr>
            <w:r w:rsidRPr="00737239">
              <w:rPr>
                <w:rFonts w:cs="Times New Roman"/>
                <w:sz w:val="22"/>
              </w:rPr>
              <w:t>CAUCC</w:t>
            </w:r>
          </w:p>
        </w:tc>
        <w:tc>
          <w:tcPr>
            <w:tcW w:w="4961" w:type="dxa"/>
          </w:tcPr>
          <w:p w14:paraId="4B34341D"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 xml:space="preserve">Significantly improve </w:t>
            </w:r>
            <w:r w:rsidRPr="008903D1">
              <w:rPr>
                <w:rFonts w:eastAsia="等线" w:cs="Times New Roman"/>
                <w:noProof/>
                <w:color w:val="000000"/>
                <w:sz w:val="22"/>
              </w:rPr>
              <w:t>delivery</w:t>
            </w:r>
            <w:r w:rsidRPr="008903D1">
              <w:rPr>
                <w:rFonts w:eastAsia="等线" w:cs="Times New Roman"/>
                <w:color w:val="000000"/>
                <w:sz w:val="22"/>
              </w:rPr>
              <w:t xml:space="preserve"> efficiency</w:t>
            </w:r>
          </w:p>
        </w:tc>
        <w:tc>
          <w:tcPr>
            <w:tcW w:w="3067" w:type="dxa"/>
            <w:vMerge w:val="restart"/>
            <w:vAlign w:val="center"/>
          </w:tcPr>
          <w:p w14:paraId="2CC025F6" w14:textId="77777777" w:rsidR="00656367" w:rsidRPr="00802DC5" w:rsidRDefault="00656367" w:rsidP="00622AC7">
            <w:pPr>
              <w:spacing w:line="240" w:lineRule="auto"/>
              <w:jc w:val="left"/>
              <w:rPr>
                <w:rFonts w:cs="Times New Roman"/>
                <w:sz w:val="22"/>
              </w:rPr>
            </w:pPr>
            <w:r w:rsidRPr="00737239">
              <w:rPr>
                <w:rFonts w:cs="Times New Roman"/>
                <w:sz w:val="22"/>
              </w:rPr>
              <w:t>‘Company A’ and other wholesalers</w:t>
            </w:r>
          </w:p>
        </w:tc>
      </w:tr>
      <w:tr w:rsidR="00656367" w:rsidRPr="008903D1" w14:paraId="43F5886B" w14:textId="77777777" w:rsidTr="00622AC7">
        <w:tc>
          <w:tcPr>
            <w:tcW w:w="988" w:type="dxa"/>
            <w:vMerge/>
            <w:vAlign w:val="center"/>
          </w:tcPr>
          <w:p w14:paraId="74010781" w14:textId="77777777" w:rsidR="00656367" w:rsidRPr="00A96AC5" w:rsidRDefault="00656367" w:rsidP="00622AC7">
            <w:pPr>
              <w:spacing w:line="240" w:lineRule="auto"/>
              <w:jc w:val="left"/>
              <w:rPr>
                <w:rFonts w:cs="Times New Roman"/>
                <w:sz w:val="22"/>
              </w:rPr>
            </w:pPr>
          </w:p>
        </w:tc>
        <w:tc>
          <w:tcPr>
            <w:tcW w:w="4961" w:type="dxa"/>
          </w:tcPr>
          <w:p w14:paraId="6689D5A6"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Reduce the logistics cost for facility users</w:t>
            </w:r>
          </w:p>
        </w:tc>
        <w:tc>
          <w:tcPr>
            <w:tcW w:w="3067" w:type="dxa"/>
            <w:vMerge/>
            <w:vAlign w:val="center"/>
          </w:tcPr>
          <w:p w14:paraId="50D62FD3" w14:textId="77777777" w:rsidR="00656367" w:rsidRPr="00A96AC5" w:rsidRDefault="00656367" w:rsidP="00622AC7">
            <w:pPr>
              <w:spacing w:line="240" w:lineRule="auto"/>
              <w:jc w:val="left"/>
              <w:rPr>
                <w:rFonts w:cs="Times New Roman"/>
                <w:sz w:val="22"/>
              </w:rPr>
            </w:pPr>
          </w:p>
        </w:tc>
      </w:tr>
      <w:tr w:rsidR="00656367" w:rsidRPr="008903D1" w14:paraId="55E8646F" w14:textId="77777777" w:rsidTr="00622AC7">
        <w:tc>
          <w:tcPr>
            <w:tcW w:w="988" w:type="dxa"/>
            <w:vMerge/>
            <w:vAlign w:val="center"/>
          </w:tcPr>
          <w:p w14:paraId="3D7F57C0" w14:textId="77777777" w:rsidR="00656367" w:rsidRPr="00A96AC5" w:rsidRDefault="00656367" w:rsidP="00622AC7">
            <w:pPr>
              <w:spacing w:line="240" w:lineRule="auto"/>
              <w:jc w:val="left"/>
              <w:rPr>
                <w:rFonts w:cs="Times New Roman"/>
                <w:sz w:val="22"/>
              </w:rPr>
            </w:pPr>
          </w:p>
        </w:tc>
        <w:tc>
          <w:tcPr>
            <w:tcW w:w="4961" w:type="dxa"/>
          </w:tcPr>
          <w:p w14:paraId="59562349"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Reduce inventory costs for medical wholesalers</w:t>
            </w:r>
          </w:p>
        </w:tc>
        <w:tc>
          <w:tcPr>
            <w:tcW w:w="3067" w:type="dxa"/>
            <w:vMerge/>
            <w:vAlign w:val="center"/>
          </w:tcPr>
          <w:p w14:paraId="58948CBF" w14:textId="77777777" w:rsidR="00656367" w:rsidRPr="00A96AC5" w:rsidRDefault="00656367" w:rsidP="00622AC7">
            <w:pPr>
              <w:spacing w:line="240" w:lineRule="auto"/>
              <w:jc w:val="left"/>
              <w:rPr>
                <w:rFonts w:cs="Times New Roman"/>
                <w:sz w:val="22"/>
              </w:rPr>
            </w:pPr>
          </w:p>
        </w:tc>
      </w:tr>
      <w:tr w:rsidR="00656367" w:rsidRPr="008903D1" w14:paraId="33170108" w14:textId="77777777" w:rsidTr="00622AC7">
        <w:tc>
          <w:tcPr>
            <w:tcW w:w="988" w:type="dxa"/>
            <w:vMerge/>
            <w:vAlign w:val="center"/>
          </w:tcPr>
          <w:p w14:paraId="4F61E97D" w14:textId="77777777" w:rsidR="00656367" w:rsidRPr="00A96AC5" w:rsidRDefault="00656367" w:rsidP="00622AC7">
            <w:pPr>
              <w:spacing w:line="240" w:lineRule="auto"/>
              <w:jc w:val="left"/>
              <w:rPr>
                <w:rFonts w:cs="Times New Roman"/>
                <w:sz w:val="22"/>
              </w:rPr>
            </w:pPr>
          </w:p>
        </w:tc>
        <w:tc>
          <w:tcPr>
            <w:tcW w:w="4961" w:type="dxa"/>
          </w:tcPr>
          <w:p w14:paraId="7A474137"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noProof/>
                <w:color w:val="000000"/>
                <w:sz w:val="22"/>
              </w:rPr>
              <w:t>Minimise</w:t>
            </w:r>
            <w:r w:rsidRPr="008903D1">
              <w:rPr>
                <w:rFonts w:eastAsia="等线" w:cs="Times New Roman"/>
                <w:color w:val="000000"/>
                <w:sz w:val="22"/>
              </w:rPr>
              <w:t xml:space="preserve"> travel miles</w:t>
            </w:r>
          </w:p>
        </w:tc>
        <w:tc>
          <w:tcPr>
            <w:tcW w:w="3067" w:type="dxa"/>
            <w:vAlign w:val="center"/>
          </w:tcPr>
          <w:p w14:paraId="1A9DCEE6" w14:textId="77777777" w:rsidR="00656367" w:rsidRPr="00737239" w:rsidRDefault="00656367" w:rsidP="00622AC7">
            <w:pPr>
              <w:spacing w:line="240" w:lineRule="auto"/>
              <w:jc w:val="left"/>
              <w:rPr>
                <w:rFonts w:cs="Times New Roman"/>
                <w:sz w:val="22"/>
              </w:rPr>
            </w:pPr>
            <w:r w:rsidRPr="00737239">
              <w:rPr>
                <w:rFonts w:cs="Times New Roman"/>
                <w:sz w:val="22"/>
              </w:rPr>
              <w:t>‘Company A’</w:t>
            </w:r>
          </w:p>
        </w:tc>
      </w:tr>
      <w:tr w:rsidR="00656367" w:rsidRPr="008903D1" w14:paraId="7C865E3A" w14:textId="77777777" w:rsidTr="00622AC7">
        <w:tc>
          <w:tcPr>
            <w:tcW w:w="988" w:type="dxa"/>
            <w:vMerge w:val="restart"/>
            <w:vAlign w:val="center"/>
          </w:tcPr>
          <w:p w14:paraId="148F6195" w14:textId="77777777" w:rsidR="00656367" w:rsidRPr="00737239" w:rsidRDefault="00656367" w:rsidP="00622AC7">
            <w:pPr>
              <w:spacing w:line="240" w:lineRule="auto"/>
              <w:jc w:val="left"/>
              <w:rPr>
                <w:rFonts w:cs="Times New Roman"/>
                <w:sz w:val="22"/>
              </w:rPr>
            </w:pPr>
            <w:r w:rsidRPr="00737239">
              <w:rPr>
                <w:rFonts w:cs="Times New Roman"/>
                <w:sz w:val="22"/>
              </w:rPr>
              <w:t>CBUCC</w:t>
            </w:r>
          </w:p>
        </w:tc>
        <w:tc>
          <w:tcPr>
            <w:tcW w:w="4961" w:type="dxa"/>
          </w:tcPr>
          <w:p w14:paraId="5B9F4427" w14:textId="77777777" w:rsidR="00656367" w:rsidRPr="008903D1" w:rsidRDefault="00656367" w:rsidP="00622AC7">
            <w:pPr>
              <w:spacing w:line="240" w:lineRule="auto"/>
              <w:rPr>
                <w:rFonts w:eastAsia="等线" w:cs="Times New Roman"/>
                <w:noProof/>
                <w:color w:val="000000"/>
                <w:sz w:val="22"/>
              </w:rPr>
            </w:pPr>
            <w:r w:rsidRPr="008903D1">
              <w:rPr>
                <w:rFonts w:eastAsia="等线" w:cs="Times New Roman"/>
                <w:color w:val="000000"/>
                <w:sz w:val="22"/>
              </w:rPr>
              <w:t>Reduce waiting time</w:t>
            </w:r>
          </w:p>
        </w:tc>
        <w:tc>
          <w:tcPr>
            <w:tcW w:w="3067" w:type="dxa"/>
            <w:vAlign w:val="center"/>
          </w:tcPr>
          <w:p w14:paraId="080680C3" w14:textId="77777777" w:rsidR="00656367" w:rsidRPr="00737239" w:rsidRDefault="00656367" w:rsidP="00622AC7">
            <w:pPr>
              <w:spacing w:line="240" w:lineRule="auto"/>
              <w:jc w:val="left"/>
              <w:rPr>
                <w:rFonts w:cs="Times New Roman"/>
                <w:sz w:val="22"/>
              </w:rPr>
            </w:pPr>
            <w:r w:rsidRPr="00737239">
              <w:rPr>
                <w:rFonts w:cs="Times New Roman"/>
                <w:sz w:val="22"/>
              </w:rPr>
              <w:t>Intercity carrier</w:t>
            </w:r>
          </w:p>
        </w:tc>
      </w:tr>
      <w:tr w:rsidR="00656367" w:rsidRPr="008903D1" w14:paraId="28B5FE3D" w14:textId="77777777" w:rsidTr="00622AC7">
        <w:tc>
          <w:tcPr>
            <w:tcW w:w="988" w:type="dxa"/>
            <w:vMerge/>
          </w:tcPr>
          <w:p w14:paraId="49D9C969" w14:textId="77777777" w:rsidR="00656367" w:rsidRPr="00A96AC5" w:rsidRDefault="00656367" w:rsidP="00622AC7">
            <w:pPr>
              <w:spacing w:line="240" w:lineRule="auto"/>
              <w:rPr>
                <w:rFonts w:cs="Times New Roman"/>
                <w:sz w:val="22"/>
              </w:rPr>
            </w:pPr>
          </w:p>
        </w:tc>
        <w:tc>
          <w:tcPr>
            <w:tcW w:w="4961" w:type="dxa"/>
          </w:tcPr>
          <w:p w14:paraId="4310A22D" w14:textId="77777777" w:rsidR="00656367" w:rsidRPr="008903D1" w:rsidRDefault="00656367" w:rsidP="00622AC7">
            <w:pPr>
              <w:spacing w:line="240" w:lineRule="auto"/>
              <w:rPr>
                <w:rFonts w:eastAsia="等线" w:cs="Times New Roman"/>
                <w:noProof/>
                <w:color w:val="000000"/>
                <w:sz w:val="22"/>
              </w:rPr>
            </w:pPr>
            <w:r w:rsidRPr="008903D1">
              <w:rPr>
                <w:rFonts w:eastAsia="等线" w:cs="Times New Roman"/>
                <w:noProof/>
                <w:color w:val="000000"/>
                <w:sz w:val="22"/>
              </w:rPr>
              <w:t>Increase profits</w:t>
            </w:r>
          </w:p>
        </w:tc>
        <w:tc>
          <w:tcPr>
            <w:tcW w:w="3067" w:type="dxa"/>
            <w:vMerge w:val="restart"/>
            <w:vAlign w:val="center"/>
          </w:tcPr>
          <w:p w14:paraId="702A7ACD" w14:textId="77777777" w:rsidR="00656367" w:rsidRPr="00737239" w:rsidRDefault="00656367" w:rsidP="00622AC7">
            <w:pPr>
              <w:spacing w:line="240" w:lineRule="auto"/>
              <w:jc w:val="left"/>
              <w:rPr>
                <w:rFonts w:cs="Times New Roman"/>
                <w:sz w:val="22"/>
              </w:rPr>
            </w:pPr>
            <w:r w:rsidRPr="00737239">
              <w:rPr>
                <w:rFonts w:cs="Times New Roman"/>
                <w:sz w:val="22"/>
              </w:rPr>
              <w:t>‘Company B’</w:t>
            </w:r>
          </w:p>
        </w:tc>
      </w:tr>
      <w:tr w:rsidR="00656367" w:rsidRPr="008903D1" w14:paraId="365F49E3" w14:textId="77777777" w:rsidTr="00622AC7">
        <w:tc>
          <w:tcPr>
            <w:tcW w:w="988" w:type="dxa"/>
            <w:vMerge/>
          </w:tcPr>
          <w:p w14:paraId="68E7360F" w14:textId="77777777" w:rsidR="00656367" w:rsidRPr="00A96AC5" w:rsidRDefault="00656367" w:rsidP="00622AC7">
            <w:pPr>
              <w:spacing w:line="240" w:lineRule="auto"/>
              <w:rPr>
                <w:rFonts w:cs="Times New Roman"/>
                <w:sz w:val="22"/>
              </w:rPr>
            </w:pPr>
          </w:p>
        </w:tc>
        <w:tc>
          <w:tcPr>
            <w:tcW w:w="4961" w:type="dxa"/>
          </w:tcPr>
          <w:p w14:paraId="0911DDBB" w14:textId="77777777" w:rsidR="00656367" w:rsidRPr="008903D1" w:rsidRDefault="00656367" w:rsidP="00622AC7">
            <w:pPr>
              <w:spacing w:line="240" w:lineRule="auto"/>
              <w:rPr>
                <w:rFonts w:eastAsia="等线" w:cs="Times New Roman"/>
                <w:noProof/>
                <w:color w:val="000000"/>
                <w:sz w:val="22"/>
              </w:rPr>
            </w:pPr>
            <w:r w:rsidRPr="008903D1">
              <w:rPr>
                <w:rFonts w:eastAsia="等线" w:cs="Times New Roman"/>
                <w:noProof/>
                <w:color w:val="000000"/>
                <w:sz w:val="22"/>
              </w:rPr>
              <w:t>Improve brand reputation</w:t>
            </w:r>
          </w:p>
        </w:tc>
        <w:tc>
          <w:tcPr>
            <w:tcW w:w="3067" w:type="dxa"/>
            <w:vMerge/>
            <w:vAlign w:val="center"/>
          </w:tcPr>
          <w:p w14:paraId="0D740137" w14:textId="77777777" w:rsidR="00656367" w:rsidRPr="00A96AC5" w:rsidRDefault="00656367" w:rsidP="00622AC7">
            <w:pPr>
              <w:spacing w:line="240" w:lineRule="auto"/>
              <w:jc w:val="left"/>
              <w:rPr>
                <w:rFonts w:cs="Times New Roman"/>
                <w:sz w:val="22"/>
              </w:rPr>
            </w:pPr>
          </w:p>
        </w:tc>
      </w:tr>
      <w:tr w:rsidR="00656367" w:rsidRPr="008903D1" w14:paraId="49812952" w14:textId="77777777" w:rsidTr="00622AC7">
        <w:tc>
          <w:tcPr>
            <w:tcW w:w="988" w:type="dxa"/>
            <w:vMerge/>
          </w:tcPr>
          <w:p w14:paraId="00A25812" w14:textId="77777777" w:rsidR="00656367" w:rsidRPr="00A96AC5" w:rsidRDefault="00656367" w:rsidP="00622AC7">
            <w:pPr>
              <w:spacing w:line="240" w:lineRule="auto"/>
              <w:rPr>
                <w:rFonts w:cs="Times New Roman"/>
                <w:sz w:val="22"/>
              </w:rPr>
            </w:pPr>
          </w:p>
        </w:tc>
        <w:tc>
          <w:tcPr>
            <w:tcW w:w="4961" w:type="dxa"/>
          </w:tcPr>
          <w:p w14:paraId="6F194C67" w14:textId="77777777" w:rsidR="00656367" w:rsidRPr="008903D1" w:rsidRDefault="00656367" w:rsidP="00622AC7">
            <w:pPr>
              <w:spacing w:line="240" w:lineRule="auto"/>
              <w:rPr>
                <w:rFonts w:eastAsia="等线" w:cs="Times New Roman"/>
                <w:noProof/>
                <w:color w:val="000000"/>
                <w:sz w:val="22"/>
              </w:rPr>
            </w:pPr>
            <w:r w:rsidRPr="008903D1">
              <w:rPr>
                <w:rFonts w:eastAsia="等线" w:cs="Times New Roman"/>
                <w:color w:val="000000"/>
                <w:sz w:val="22"/>
              </w:rPr>
              <w:t>Eliminate the empty return</w:t>
            </w:r>
          </w:p>
        </w:tc>
        <w:tc>
          <w:tcPr>
            <w:tcW w:w="3067" w:type="dxa"/>
            <w:vMerge w:val="restart"/>
            <w:vAlign w:val="center"/>
          </w:tcPr>
          <w:p w14:paraId="38950F85" w14:textId="77777777" w:rsidR="00656367" w:rsidRPr="00737239" w:rsidRDefault="00656367" w:rsidP="00622AC7">
            <w:pPr>
              <w:spacing w:line="240" w:lineRule="auto"/>
              <w:jc w:val="left"/>
              <w:rPr>
                <w:rFonts w:cs="Times New Roman"/>
                <w:sz w:val="22"/>
              </w:rPr>
            </w:pPr>
            <w:r w:rsidRPr="00737239">
              <w:rPr>
                <w:rFonts w:cs="Times New Roman"/>
                <w:sz w:val="22"/>
              </w:rPr>
              <w:t>Facility operator</w:t>
            </w:r>
          </w:p>
        </w:tc>
      </w:tr>
      <w:tr w:rsidR="00656367" w:rsidRPr="008903D1" w14:paraId="311D5868" w14:textId="77777777" w:rsidTr="00622AC7">
        <w:tc>
          <w:tcPr>
            <w:tcW w:w="988" w:type="dxa"/>
            <w:vMerge/>
          </w:tcPr>
          <w:p w14:paraId="7B1B1DFB" w14:textId="77777777" w:rsidR="00656367" w:rsidRPr="00A96AC5" w:rsidRDefault="00656367" w:rsidP="00622AC7">
            <w:pPr>
              <w:spacing w:line="240" w:lineRule="auto"/>
              <w:rPr>
                <w:rFonts w:cs="Times New Roman"/>
                <w:sz w:val="22"/>
              </w:rPr>
            </w:pPr>
          </w:p>
        </w:tc>
        <w:tc>
          <w:tcPr>
            <w:tcW w:w="4961" w:type="dxa"/>
          </w:tcPr>
          <w:p w14:paraId="5A5A154D" w14:textId="77777777" w:rsidR="00656367" w:rsidRPr="008903D1" w:rsidRDefault="00656367" w:rsidP="00622AC7">
            <w:pPr>
              <w:spacing w:line="240" w:lineRule="auto"/>
              <w:rPr>
                <w:rFonts w:eastAsia="等线" w:cs="Times New Roman"/>
                <w:noProof/>
                <w:color w:val="000000"/>
                <w:sz w:val="22"/>
              </w:rPr>
            </w:pPr>
            <w:r w:rsidRPr="008903D1">
              <w:rPr>
                <w:rFonts w:eastAsia="等线" w:cs="Times New Roman"/>
                <w:noProof/>
                <w:color w:val="000000"/>
                <w:sz w:val="22"/>
              </w:rPr>
              <w:t>Minimise</w:t>
            </w:r>
            <w:r w:rsidRPr="008903D1">
              <w:rPr>
                <w:rFonts w:eastAsia="等线" w:cs="Times New Roman"/>
                <w:color w:val="000000"/>
                <w:sz w:val="22"/>
              </w:rPr>
              <w:t xml:space="preserve"> travel miles</w:t>
            </w:r>
          </w:p>
        </w:tc>
        <w:tc>
          <w:tcPr>
            <w:tcW w:w="3067" w:type="dxa"/>
            <w:vMerge/>
            <w:vAlign w:val="center"/>
          </w:tcPr>
          <w:p w14:paraId="4CF01333" w14:textId="77777777" w:rsidR="00656367" w:rsidRPr="00A96AC5" w:rsidRDefault="00656367" w:rsidP="00622AC7">
            <w:pPr>
              <w:spacing w:line="240" w:lineRule="auto"/>
              <w:jc w:val="left"/>
              <w:rPr>
                <w:rFonts w:cs="Times New Roman"/>
                <w:sz w:val="22"/>
              </w:rPr>
            </w:pPr>
          </w:p>
        </w:tc>
      </w:tr>
      <w:tr w:rsidR="00656367" w:rsidRPr="008903D1" w14:paraId="3D2B579B" w14:textId="77777777" w:rsidTr="00622AC7">
        <w:tc>
          <w:tcPr>
            <w:tcW w:w="988" w:type="dxa"/>
            <w:vMerge/>
          </w:tcPr>
          <w:p w14:paraId="4DD54F31" w14:textId="77777777" w:rsidR="00656367" w:rsidRPr="00A96AC5" w:rsidRDefault="00656367" w:rsidP="00622AC7">
            <w:pPr>
              <w:spacing w:line="240" w:lineRule="auto"/>
              <w:rPr>
                <w:rFonts w:cs="Times New Roman"/>
                <w:sz w:val="22"/>
              </w:rPr>
            </w:pPr>
          </w:p>
        </w:tc>
        <w:tc>
          <w:tcPr>
            <w:tcW w:w="4961" w:type="dxa"/>
          </w:tcPr>
          <w:p w14:paraId="0B4BFA99" w14:textId="77777777" w:rsidR="00656367" w:rsidRPr="008903D1" w:rsidRDefault="00656367" w:rsidP="00622AC7">
            <w:pPr>
              <w:spacing w:line="240" w:lineRule="auto"/>
              <w:rPr>
                <w:rFonts w:eastAsia="等线" w:cs="Times New Roman"/>
                <w:noProof/>
                <w:color w:val="000000"/>
                <w:sz w:val="22"/>
              </w:rPr>
            </w:pPr>
            <w:r w:rsidRPr="008903D1">
              <w:rPr>
                <w:rFonts w:eastAsia="等线" w:cs="Times New Roman"/>
                <w:noProof/>
                <w:color w:val="000000"/>
                <w:sz w:val="22"/>
              </w:rPr>
              <w:t>Decrease travel time</w:t>
            </w:r>
          </w:p>
        </w:tc>
        <w:tc>
          <w:tcPr>
            <w:tcW w:w="3067" w:type="dxa"/>
            <w:vMerge/>
            <w:vAlign w:val="center"/>
          </w:tcPr>
          <w:p w14:paraId="7CD9735B" w14:textId="77777777" w:rsidR="00656367" w:rsidRPr="00A96AC5" w:rsidRDefault="00656367" w:rsidP="00622AC7">
            <w:pPr>
              <w:spacing w:line="240" w:lineRule="auto"/>
              <w:jc w:val="left"/>
              <w:rPr>
                <w:rFonts w:cs="Times New Roman"/>
                <w:sz w:val="22"/>
              </w:rPr>
            </w:pPr>
          </w:p>
        </w:tc>
      </w:tr>
      <w:tr w:rsidR="00656367" w:rsidRPr="008903D1" w14:paraId="4E8E29EC" w14:textId="77777777" w:rsidTr="00622AC7">
        <w:tc>
          <w:tcPr>
            <w:tcW w:w="988" w:type="dxa"/>
            <w:vMerge/>
          </w:tcPr>
          <w:p w14:paraId="42CC9E5D" w14:textId="77777777" w:rsidR="00656367" w:rsidRPr="00A96AC5" w:rsidRDefault="00656367" w:rsidP="00622AC7">
            <w:pPr>
              <w:spacing w:line="240" w:lineRule="auto"/>
              <w:rPr>
                <w:rFonts w:cs="Times New Roman"/>
                <w:sz w:val="22"/>
              </w:rPr>
            </w:pPr>
          </w:p>
        </w:tc>
        <w:tc>
          <w:tcPr>
            <w:tcW w:w="4961" w:type="dxa"/>
          </w:tcPr>
          <w:p w14:paraId="3EE43372" w14:textId="77777777" w:rsidR="00656367" w:rsidRPr="008903D1" w:rsidRDefault="00656367" w:rsidP="00622AC7">
            <w:pPr>
              <w:spacing w:line="240" w:lineRule="auto"/>
              <w:rPr>
                <w:rFonts w:eastAsia="等线" w:cs="Times New Roman"/>
                <w:noProof/>
                <w:color w:val="000000"/>
                <w:sz w:val="22"/>
              </w:rPr>
            </w:pPr>
            <w:r w:rsidRPr="008903D1">
              <w:rPr>
                <w:rFonts w:eastAsia="等线" w:cs="Times New Roman"/>
                <w:color w:val="000000"/>
                <w:sz w:val="22"/>
              </w:rPr>
              <w:t>Alleviate traffic congestion</w:t>
            </w:r>
          </w:p>
        </w:tc>
        <w:tc>
          <w:tcPr>
            <w:tcW w:w="3067" w:type="dxa"/>
            <w:vMerge w:val="restart"/>
            <w:vAlign w:val="center"/>
          </w:tcPr>
          <w:p w14:paraId="53967833" w14:textId="77777777" w:rsidR="00656367" w:rsidRPr="00737239" w:rsidRDefault="00656367" w:rsidP="00622AC7">
            <w:pPr>
              <w:spacing w:line="240" w:lineRule="auto"/>
              <w:jc w:val="left"/>
              <w:rPr>
                <w:rFonts w:cs="Times New Roman"/>
                <w:sz w:val="22"/>
              </w:rPr>
            </w:pPr>
            <w:r w:rsidRPr="00737239">
              <w:rPr>
                <w:rFonts w:cs="Times New Roman"/>
                <w:sz w:val="22"/>
              </w:rPr>
              <w:t>Research group</w:t>
            </w:r>
          </w:p>
        </w:tc>
      </w:tr>
      <w:tr w:rsidR="00656367" w:rsidRPr="008903D1" w14:paraId="7A0FF6BF" w14:textId="77777777" w:rsidTr="00622AC7">
        <w:tc>
          <w:tcPr>
            <w:tcW w:w="988" w:type="dxa"/>
            <w:vMerge/>
          </w:tcPr>
          <w:p w14:paraId="3EEB2411" w14:textId="77777777" w:rsidR="00656367" w:rsidRPr="00A96AC5" w:rsidRDefault="00656367" w:rsidP="00622AC7">
            <w:pPr>
              <w:spacing w:line="240" w:lineRule="auto"/>
              <w:rPr>
                <w:rFonts w:cs="Times New Roman"/>
                <w:sz w:val="22"/>
              </w:rPr>
            </w:pPr>
          </w:p>
        </w:tc>
        <w:tc>
          <w:tcPr>
            <w:tcW w:w="4961" w:type="dxa"/>
          </w:tcPr>
          <w:p w14:paraId="5DD37824"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Test innovative technology</w:t>
            </w:r>
          </w:p>
        </w:tc>
        <w:tc>
          <w:tcPr>
            <w:tcW w:w="3067" w:type="dxa"/>
            <w:vMerge/>
            <w:vAlign w:val="center"/>
          </w:tcPr>
          <w:p w14:paraId="14B4E05C" w14:textId="77777777" w:rsidR="00656367" w:rsidRPr="00A96AC5" w:rsidRDefault="00656367" w:rsidP="00622AC7">
            <w:pPr>
              <w:spacing w:line="240" w:lineRule="auto"/>
              <w:jc w:val="left"/>
              <w:rPr>
                <w:rFonts w:cs="Times New Roman"/>
                <w:sz w:val="22"/>
              </w:rPr>
            </w:pPr>
          </w:p>
        </w:tc>
      </w:tr>
      <w:tr w:rsidR="00656367" w:rsidRPr="008903D1" w14:paraId="25F0D8AB" w14:textId="77777777" w:rsidTr="00622AC7">
        <w:tc>
          <w:tcPr>
            <w:tcW w:w="988" w:type="dxa"/>
            <w:vMerge/>
          </w:tcPr>
          <w:p w14:paraId="5179E89C" w14:textId="77777777" w:rsidR="00656367" w:rsidRPr="00A96AC5" w:rsidRDefault="00656367" w:rsidP="00622AC7">
            <w:pPr>
              <w:spacing w:line="240" w:lineRule="auto"/>
              <w:rPr>
                <w:rFonts w:cs="Times New Roman"/>
                <w:sz w:val="22"/>
              </w:rPr>
            </w:pPr>
          </w:p>
        </w:tc>
        <w:tc>
          <w:tcPr>
            <w:tcW w:w="4961" w:type="dxa"/>
          </w:tcPr>
          <w:p w14:paraId="4CDD7FD0" w14:textId="77777777" w:rsidR="00656367" w:rsidRPr="008903D1" w:rsidRDefault="00656367" w:rsidP="00622AC7">
            <w:pPr>
              <w:spacing w:line="240" w:lineRule="auto"/>
              <w:rPr>
                <w:rFonts w:eastAsia="等线" w:cs="Times New Roman"/>
                <w:color w:val="000000"/>
                <w:sz w:val="22"/>
              </w:rPr>
            </w:pPr>
            <w:r w:rsidRPr="008903D1">
              <w:rPr>
                <w:rFonts w:eastAsia="等线" w:cs="Times New Roman"/>
                <w:color w:val="000000"/>
                <w:sz w:val="22"/>
              </w:rPr>
              <w:t>Research funding</w:t>
            </w:r>
          </w:p>
        </w:tc>
        <w:tc>
          <w:tcPr>
            <w:tcW w:w="3067" w:type="dxa"/>
            <w:vMerge/>
            <w:vAlign w:val="center"/>
          </w:tcPr>
          <w:p w14:paraId="687D31EA" w14:textId="77777777" w:rsidR="00656367" w:rsidRPr="00A96AC5" w:rsidRDefault="00656367" w:rsidP="00622AC7">
            <w:pPr>
              <w:spacing w:line="240" w:lineRule="auto"/>
              <w:jc w:val="left"/>
              <w:rPr>
                <w:rFonts w:cs="Times New Roman"/>
                <w:sz w:val="22"/>
              </w:rPr>
            </w:pPr>
          </w:p>
        </w:tc>
      </w:tr>
    </w:tbl>
    <w:p w14:paraId="6BF0475C" w14:textId="59E3B20A" w:rsidR="00656367" w:rsidRPr="00A96AC5" w:rsidRDefault="007B5959" w:rsidP="007F6877">
      <w:pPr>
        <w:pStyle w:val="Caption"/>
        <w:spacing w:line="360" w:lineRule="auto"/>
        <w:rPr>
          <w:rFonts w:cs="Times New Roman"/>
        </w:rPr>
      </w:pPr>
      <w:bookmarkStart w:id="810" w:name="_Ref44973191"/>
      <w:bookmarkStart w:id="811" w:name="_Ref44973184"/>
      <w:bookmarkStart w:id="812" w:name="_Toc46053574"/>
      <w:bookmarkStart w:id="813" w:name="_Toc46093823"/>
      <w:bookmarkStart w:id="814" w:name="_Toc66698790"/>
      <w:r>
        <w:rPr>
          <w:rFonts w:cs="Times New Roman"/>
        </w:rPr>
        <w:t>Table</w:t>
      </w:r>
      <w:r w:rsidR="00656367"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5</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8</w:t>
      </w:r>
      <w:r w:rsidR="00FE10DA">
        <w:rPr>
          <w:rFonts w:cs="Times New Roman"/>
        </w:rPr>
        <w:fldChar w:fldCharType="end"/>
      </w:r>
      <w:bookmarkEnd w:id="810"/>
      <w:r w:rsidR="00AF217C">
        <w:rPr>
          <w:rFonts w:cs="Times New Roman"/>
          <w:noProof/>
        </w:rPr>
        <w:t>:</w:t>
      </w:r>
      <w:r w:rsidR="00656367" w:rsidRPr="00737239">
        <w:rPr>
          <w:rFonts w:cs="Times New Roman"/>
          <w:noProof/>
        </w:rPr>
        <w:t xml:space="preserve"> The benefits of the urban consolidation centre (UCC) projects</w:t>
      </w:r>
      <w:bookmarkEnd w:id="811"/>
      <w:bookmarkEnd w:id="812"/>
      <w:bookmarkEnd w:id="813"/>
      <w:bookmarkEnd w:id="814"/>
    </w:p>
    <w:p w14:paraId="0AA331A2" w14:textId="6A37BF38" w:rsidR="00656367" w:rsidRDefault="00656367" w:rsidP="007F6877">
      <w:pPr>
        <w:spacing w:after="240" w:line="360" w:lineRule="auto"/>
        <w:rPr>
          <w:rFonts w:cs="Times New Roman"/>
        </w:rPr>
      </w:pPr>
      <w:r w:rsidRPr="00A96AC5">
        <w:rPr>
          <w:rFonts w:cs="Times New Roman"/>
        </w:rPr>
        <w:t xml:space="preserve">Stakeholders in the other three cases enjoy </w:t>
      </w:r>
      <w:r w:rsidR="00C85E13">
        <w:rPr>
          <w:rFonts w:cs="Times New Roman"/>
        </w:rPr>
        <w:t xml:space="preserve">the </w:t>
      </w:r>
      <w:r w:rsidRPr="00A96AC5">
        <w:rPr>
          <w:rFonts w:cs="Times New Roman"/>
        </w:rPr>
        <w:t xml:space="preserve">mutual benefits of their cooperation. Such a collaborative model is akin to people taking what they like at a dinner: </w:t>
      </w:r>
      <w:r w:rsidR="00C85E13">
        <w:rPr>
          <w:rFonts w:cs="Times New Roman"/>
        </w:rPr>
        <w:t xml:space="preserve">the </w:t>
      </w:r>
      <w:r w:rsidRPr="00A96AC5">
        <w:rPr>
          <w:rFonts w:cs="Times New Roman"/>
        </w:rPr>
        <w:t>SCUCC may be regarded as a new distribution mode</w:t>
      </w:r>
      <w:r w:rsidR="00336A05">
        <w:rPr>
          <w:rFonts w:cs="Times New Roman"/>
        </w:rPr>
        <w:t>l</w:t>
      </w:r>
      <w:r w:rsidRPr="00A96AC5">
        <w:rPr>
          <w:rFonts w:cs="Times New Roman"/>
        </w:rPr>
        <w:t xml:space="preserve"> of integrated distribution and recycling. As the initiators, the government gains</w:t>
      </w:r>
      <w:r w:rsidR="00C85E13">
        <w:rPr>
          <w:rFonts w:cs="Times New Roman"/>
        </w:rPr>
        <w:t xml:space="preserve"> </w:t>
      </w:r>
      <w:r w:rsidRPr="00A96AC5">
        <w:rPr>
          <w:rFonts w:cs="Times New Roman"/>
        </w:rPr>
        <w:t xml:space="preserve">environmental and social benefits; the logistics companies simplify their logistics processes without investing in additional costs; and the recycling company reduces the costs generated by waste collection trips. In the RSUCC, this may be </w:t>
      </w:r>
      <w:r w:rsidRPr="00A96AC5">
        <w:rPr>
          <w:rStyle w:val="apple-converted-space"/>
          <w:rFonts w:cs="Times New Roman"/>
        </w:rPr>
        <w:t xml:space="preserve">considered a public project by which private companies benefit from </w:t>
      </w:r>
      <w:r w:rsidR="00BE4561">
        <w:rPr>
          <w:rStyle w:val="apple-converted-space"/>
          <w:rFonts w:cs="Times New Roman"/>
        </w:rPr>
        <w:t xml:space="preserve">the </w:t>
      </w:r>
      <w:r w:rsidRPr="00A96AC5">
        <w:rPr>
          <w:rStyle w:val="apple-converted-space"/>
          <w:rFonts w:cs="Times New Roman"/>
        </w:rPr>
        <w:t>governmental investment.</w:t>
      </w:r>
      <w:r w:rsidRPr="00A96AC5">
        <w:rPr>
          <w:rFonts w:cs="Times New Roman"/>
        </w:rPr>
        <w:t xml:space="preserve"> </w:t>
      </w:r>
      <w:r w:rsidR="00C85E13">
        <w:rPr>
          <w:rFonts w:cs="Times New Roman"/>
        </w:rPr>
        <w:t xml:space="preserve">The </w:t>
      </w:r>
      <w:r w:rsidRPr="00A96AC5">
        <w:rPr>
          <w:rFonts w:cs="Times New Roman"/>
        </w:rPr>
        <w:t xml:space="preserve">CBUCC, in contrast, is a private project upgraded by the government: the government tests the new technology, while Company B expands its business scope. </w:t>
      </w:r>
    </w:p>
    <w:p w14:paraId="31B3BDBD" w14:textId="0FB87E85" w:rsidR="00656367" w:rsidRDefault="00656367" w:rsidP="007F6877">
      <w:pPr>
        <w:spacing w:after="240" w:line="360" w:lineRule="auto"/>
        <w:rPr>
          <w:rFonts w:cs="Times New Roman"/>
        </w:rPr>
      </w:pPr>
      <w:r w:rsidRPr="008903D1">
        <w:rPr>
          <w:rFonts w:cs="Times New Roman"/>
        </w:rPr>
        <w:lastRenderedPageBreak/>
        <w:t xml:space="preserve">In addition to </w:t>
      </w:r>
      <w:r w:rsidRPr="00737239">
        <w:rPr>
          <w:rFonts w:cs="Times New Roman"/>
        </w:rPr>
        <w:t xml:space="preserve">understanding the benefits generated by </w:t>
      </w:r>
      <w:r w:rsidR="00BE4561">
        <w:rPr>
          <w:rFonts w:cs="Times New Roman"/>
        </w:rPr>
        <w:t xml:space="preserve">the </w:t>
      </w:r>
      <w:r w:rsidRPr="00737239">
        <w:rPr>
          <w:rFonts w:cs="Times New Roman"/>
        </w:rPr>
        <w:t xml:space="preserve">UCC model, it is essential to consider issues in the cooperative environment. As shown in </w:t>
      </w:r>
      <w:r w:rsidR="008F633A">
        <w:rPr>
          <w:rFonts w:cs="Times New Roman"/>
        </w:rPr>
        <w:fldChar w:fldCharType="begin"/>
      </w:r>
      <w:r w:rsidR="008F633A">
        <w:rPr>
          <w:rFonts w:cs="Times New Roman"/>
        </w:rPr>
        <w:instrText xml:space="preserve"> REF _Ref45015848 \h </w:instrText>
      </w:r>
      <w:r w:rsidR="008F633A">
        <w:rPr>
          <w:rFonts w:cs="Times New Roman"/>
        </w:rPr>
      </w:r>
      <w:r w:rsidR="008F633A">
        <w:rPr>
          <w:rFonts w:cs="Times New Roman"/>
        </w:rPr>
        <w:fldChar w:fldCharType="separate"/>
      </w:r>
      <w:r w:rsidR="0005064B">
        <w:rPr>
          <w:rFonts w:cs="Times New Roman"/>
        </w:rPr>
        <w:t>Table</w:t>
      </w:r>
      <w:r w:rsidR="0005064B" w:rsidRPr="00737239">
        <w:rPr>
          <w:rFonts w:cs="Times New Roman"/>
        </w:rPr>
        <w:t xml:space="preserve"> </w:t>
      </w:r>
      <w:r w:rsidR="0005064B">
        <w:rPr>
          <w:rFonts w:cs="Times New Roman"/>
          <w:noProof/>
        </w:rPr>
        <w:t>5</w:t>
      </w:r>
      <w:r w:rsidR="0005064B">
        <w:rPr>
          <w:rFonts w:cs="Times New Roman"/>
        </w:rPr>
        <w:noBreakHyphen/>
      </w:r>
      <w:r w:rsidR="0005064B">
        <w:rPr>
          <w:rFonts w:cs="Times New Roman"/>
          <w:noProof/>
        </w:rPr>
        <w:t>9</w:t>
      </w:r>
      <w:r w:rsidR="008F633A">
        <w:rPr>
          <w:rFonts w:cs="Times New Roman"/>
        </w:rPr>
        <w:fldChar w:fldCharType="end"/>
      </w:r>
      <w:r w:rsidR="008F633A">
        <w:rPr>
          <w:rFonts w:cs="Times New Roman"/>
        </w:rPr>
        <w:t xml:space="preserve">, </w:t>
      </w:r>
      <w:r w:rsidRPr="00737239">
        <w:rPr>
          <w:rFonts w:cs="Times New Roman"/>
        </w:rPr>
        <w:t xml:space="preserve">there are twice as many economic issues as environmental and social considerations. </w:t>
      </w:r>
      <w:r w:rsidR="00132256">
        <w:rPr>
          <w:rFonts w:cs="Times New Roman"/>
        </w:rPr>
        <w:t xml:space="preserve">The </w:t>
      </w:r>
      <w:r w:rsidR="002F1C6B">
        <w:rPr>
          <w:rFonts w:cs="Times New Roman"/>
        </w:rPr>
        <w:t>issues such</w:t>
      </w:r>
      <w:r w:rsidR="00204F49">
        <w:rPr>
          <w:rFonts w:cs="Times New Roman"/>
        </w:rPr>
        <w:t xml:space="preserve"> </w:t>
      </w:r>
      <w:r w:rsidR="00204F49">
        <w:rPr>
          <w:rFonts w:cs="Times New Roman" w:hint="eastAsia"/>
        </w:rPr>
        <w:t>as</w:t>
      </w:r>
      <w:r w:rsidR="002F1C6B">
        <w:rPr>
          <w:rFonts w:cs="Times New Roman"/>
        </w:rPr>
        <w:t xml:space="preserve"> </w:t>
      </w:r>
      <w:r w:rsidR="002F1C6B">
        <w:rPr>
          <w:rFonts w:cs="Times New Roman" w:hint="eastAsia"/>
        </w:rPr>
        <w:t>goods</w:t>
      </w:r>
      <w:r w:rsidR="002F1C6B">
        <w:rPr>
          <w:rFonts w:cs="Times New Roman"/>
        </w:rPr>
        <w:t xml:space="preserve"> </w:t>
      </w:r>
      <w:r w:rsidR="002F1C6B">
        <w:rPr>
          <w:rFonts w:cs="Times New Roman" w:hint="eastAsia"/>
        </w:rPr>
        <w:t>damage</w:t>
      </w:r>
      <w:r w:rsidR="002F1C6B">
        <w:rPr>
          <w:rFonts w:cs="Times New Roman"/>
        </w:rPr>
        <w:t xml:space="preserve"> </w:t>
      </w:r>
      <w:r w:rsidR="002F1C6B">
        <w:rPr>
          <w:rFonts w:cs="Times New Roman" w:hint="eastAsia"/>
        </w:rPr>
        <w:t>rate</w:t>
      </w:r>
      <w:r w:rsidR="00204F49">
        <w:rPr>
          <w:rFonts w:cs="Times New Roman"/>
        </w:rPr>
        <w:t xml:space="preserve">, cost increasing, information sharing, normally </w:t>
      </w:r>
      <w:r w:rsidR="00132256">
        <w:rPr>
          <w:rFonts w:cs="Times New Roman"/>
        </w:rPr>
        <w:t>bothers the UCC operators.</w:t>
      </w:r>
      <w:r w:rsidR="00756CE9">
        <w:rPr>
          <w:rFonts w:cs="Times New Roman"/>
        </w:rPr>
        <w:t xml:space="preserve"> However, operational issues receive</w:t>
      </w:r>
      <w:r w:rsidR="001E2A89">
        <w:rPr>
          <w:rFonts w:cs="Times New Roman"/>
        </w:rPr>
        <w:t xml:space="preserve"> limited </w:t>
      </w:r>
      <w:r w:rsidR="00756CE9">
        <w:rPr>
          <w:rFonts w:cs="Times New Roman"/>
        </w:rPr>
        <w:t xml:space="preserve">attention from existing studies. </w:t>
      </w:r>
      <w:r w:rsidRPr="00737239">
        <w:rPr>
          <w:rFonts w:cs="Times New Roman"/>
        </w:rPr>
        <w:t>In the SCUCC, CAUCC, and CBUCC, the operator or investor is responsible for all operational issues independently because the projects generate economic benefits. Therefore, when the maj</w:t>
      </w:r>
      <w:r w:rsidRPr="00802DC5">
        <w:rPr>
          <w:rFonts w:cs="Times New Roman"/>
        </w:rPr>
        <w:t>or economic beneficiaries are responsible for the main challenges of the project or distribute liability or loss in proportion to their economic gain, this promotes symbiosis between the stakeholders.</w:t>
      </w:r>
    </w:p>
    <w:p w14:paraId="48F4235C" w14:textId="79E3CB87" w:rsidR="00ED1AF1" w:rsidRDefault="00ED1AF1" w:rsidP="00ED1AF1">
      <w:pPr>
        <w:spacing w:after="240" w:line="360" w:lineRule="auto"/>
        <w:rPr>
          <w:rFonts w:cs="Times New Roman"/>
        </w:rPr>
      </w:pPr>
      <w:r w:rsidRPr="00A96AC5">
        <w:rPr>
          <w:rFonts w:cs="Times New Roman"/>
        </w:rPr>
        <w:t xml:space="preserve">The </w:t>
      </w:r>
      <w:r>
        <w:rPr>
          <w:rFonts w:cs="Times New Roman"/>
        </w:rPr>
        <w:t>LA</w:t>
      </w:r>
      <w:r w:rsidRPr="00A96AC5">
        <w:rPr>
          <w:rFonts w:cs="Times New Roman"/>
        </w:rPr>
        <w:t xml:space="preserve"> is usually responsible for environmental and social issues, and the local authority is a direct beneficiary of environmental and social progress. </w:t>
      </w:r>
      <w:r>
        <w:rPr>
          <w:rFonts w:cs="Times New Roman"/>
        </w:rPr>
        <w:t>In this case, the issue</w:t>
      </w:r>
      <w:r w:rsidR="00ED76C9">
        <w:rPr>
          <w:rFonts w:cs="Times New Roman"/>
        </w:rPr>
        <w:t xml:space="preserve"> is</w:t>
      </w:r>
      <w:r>
        <w:rPr>
          <w:rFonts w:cs="Times New Roman"/>
        </w:rPr>
        <w:t xml:space="preserve"> that </w:t>
      </w:r>
      <w:r w:rsidR="00A71AB7">
        <w:rPr>
          <w:rFonts w:cs="Times New Roman"/>
        </w:rPr>
        <w:t xml:space="preserve">the </w:t>
      </w:r>
      <w:r>
        <w:rPr>
          <w:rFonts w:cs="Times New Roman"/>
        </w:rPr>
        <w:t>government initiated UCC</w:t>
      </w:r>
      <w:r w:rsidR="0020797C">
        <w:rPr>
          <w:rFonts w:cs="Times New Roman"/>
        </w:rPr>
        <w:t xml:space="preserve"> finds it</w:t>
      </w:r>
      <w:r>
        <w:rPr>
          <w:rFonts w:cs="Times New Roman"/>
        </w:rPr>
        <w:t xml:space="preserve"> is difficult to </w:t>
      </w:r>
      <w:r w:rsidRPr="005C358F">
        <w:rPr>
          <w:rFonts w:cs="Times New Roman"/>
        </w:rPr>
        <w:t xml:space="preserve">attract </w:t>
      </w:r>
      <w:r>
        <w:rPr>
          <w:rFonts w:cs="Times New Roman"/>
        </w:rPr>
        <w:t xml:space="preserve">users, which obstructs the sustainability of </w:t>
      </w:r>
      <w:r w:rsidR="0020797C">
        <w:rPr>
          <w:rFonts w:cs="Times New Roman"/>
        </w:rPr>
        <w:t xml:space="preserve">the </w:t>
      </w:r>
      <w:r>
        <w:rPr>
          <w:rFonts w:cs="Times New Roman"/>
        </w:rPr>
        <w:t>UCC. The primary reason is that private stakeholders (</w:t>
      </w:r>
      <w:proofErr w:type="gramStart"/>
      <w:r>
        <w:rPr>
          <w:rFonts w:cs="Times New Roman"/>
        </w:rPr>
        <w:t>e.g.</w:t>
      </w:r>
      <w:proofErr w:type="gramEnd"/>
      <w:r>
        <w:rPr>
          <w:rFonts w:cs="Times New Roman"/>
        </w:rPr>
        <w:t xml:space="preserve"> LSPs and receivers) have no intention to change their business model to pursue environmental and social benefits.  Besides this, private stakeholders do not consider themselves beneficiaries of the environmental and social improvement</w:t>
      </w:r>
      <w:r w:rsidR="0020797C">
        <w:rPr>
          <w:rFonts w:cs="Times New Roman"/>
        </w:rPr>
        <w:t>s</w:t>
      </w:r>
      <w:r>
        <w:rPr>
          <w:rFonts w:cs="Times New Roman"/>
        </w:rPr>
        <w:t>. On the other hand, since the UCC normally service</w:t>
      </w:r>
      <w:r w:rsidR="00E54B82">
        <w:rPr>
          <w:rFonts w:cs="Times New Roman"/>
        </w:rPr>
        <w:t>s</w:t>
      </w:r>
      <w:r>
        <w:rPr>
          <w:rFonts w:cs="Times New Roman"/>
        </w:rPr>
        <w:t xml:space="preserve"> a small area and deal</w:t>
      </w:r>
      <w:r w:rsidR="00E54B82">
        <w:rPr>
          <w:rFonts w:cs="Times New Roman"/>
        </w:rPr>
        <w:t>s</w:t>
      </w:r>
      <w:r>
        <w:rPr>
          <w:rFonts w:cs="Times New Roman"/>
        </w:rPr>
        <w:t xml:space="preserve"> with a small number of goods in the early stage</w:t>
      </w:r>
      <w:r w:rsidR="00E54B82">
        <w:rPr>
          <w:rFonts w:cs="Times New Roman"/>
        </w:rPr>
        <w:t>s</w:t>
      </w:r>
      <w:r>
        <w:rPr>
          <w:rFonts w:cs="Times New Roman"/>
        </w:rPr>
        <w:t>, the environment</w:t>
      </w:r>
      <w:r w:rsidR="00E54B82">
        <w:rPr>
          <w:rFonts w:cs="Times New Roman"/>
        </w:rPr>
        <w:t>al</w:t>
      </w:r>
      <w:r>
        <w:rPr>
          <w:rFonts w:cs="Times New Roman"/>
        </w:rPr>
        <w:t xml:space="preserve"> and social progress is negligible. This factor </w:t>
      </w:r>
      <w:r w:rsidR="006501AC">
        <w:rPr>
          <w:rFonts w:cs="Times New Roman"/>
        </w:rPr>
        <w:t>prohibits</w:t>
      </w:r>
      <w:r w:rsidR="004D79DB">
        <w:rPr>
          <w:rFonts w:cs="Times New Roman"/>
        </w:rPr>
        <w:t xml:space="preserve"> </w:t>
      </w:r>
      <w:r>
        <w:rPr>
          <w:rFonts w:cs="Times New Roman"/>
        </w:rPr>
        <w:t xml:space="preserve">new candidate users </w:t>
      </w:r>
      <w:r w:rsidR="00E54B82">
        <w:rPr>
          <w:rFonts w:cs="Times New Roman"/>
        </w:rPr>
        <w:t>in</w:t>
      </w:r>
      <w:r>
        <w:rPr>
          <w:rFonts w:cs="Times New Roman"/>
        </w:rPr>
        <w:t xml:space="preserve"> obtain</w:t>
      </w:r>
      <w:r w:rsidR="00E54B82">
        <w:rPr>
          <w:rFonts w:cs="Times New Roman"/>
        </w:rPr>
        <w:t>ing</w:t>
      </w:r>
      <w:r>
        <w:rPr>
          <w:rFonts w:cs="Times New Roman"/>
        </w:rPr>
        <w:t xml:space="preserve"> </w:t>
      </w:r>
      <w:proofErr w:type="gramStart"/>
      <w:r>
        <w:rPr>
          <w:rFonts w:cs="Times New Roman"/>
        </w:rPr>
        <w:t>the</w:t>
      </w:r>
      <w:r w:rsidR="00C26263">
        <w:rPr>
          <w:rFonts w:cs="Times New Roman"/>
        </w:rPr>
        <w:t>se</w:t>
      </w:r>
      <w:r>
        <w:rPr>
          <w:rFonts w:cs="Times New Roman"/>
        </w:rPr>
        <w:t xml:space="preserve"> service</w:t>
      </w:r>
      <w:proofErr w:type="gramEnd"/>
      <w:r>
        <w:rPr>
          <w:rFonts w:cs="Times New Roman"/>
        </w:rPr>
        <w:t xml:space="preserve"> from the UCC project, which is the cause</w:t>
      </w:r>
      <w:r w:rsidR="00337A70">
        <w:rPr>
          <w:rFonts w:cs="Times New Roman"/>
        </w:rPr>
        <w:t xml:space="preserve"> of</w:t>
      </w:r>
      <w:r>
        <w:rPr>
          <w:rFonts w:cs="Times New Roman"/>
        </w:rPr>
        <w:t xml:space="preserve"> the vicious circle of UCC sustainability.</w:t>
      </w:r>
    </w:p>
    <w:p w14:paraId="58FD6486" w14:textId="36BB2829" w:rsidR="00ED1AF1" w:rsidRDefault="00ED1AF1" w:rsidP="00ED1AF1">
      <w:pPr>
        <w:spacing w:after="240" w:line="360" w:lineRule="auto"/>
        <w:rPr>
          <w:rFonts w:cs="Times New Roman"/>
        </w:rPr>
      </w:pPr>
      <w:r>
        <w:rPr>
          <w:rFonts w:cs="Times New Roman"/>
        </w:rPr>
        <w:t>The government can force private stakeholders to sacrifice part of their commercial interest to protect the environmental and social interest</w:t>
      </w:r>
      <w:r w:rsidR="00C26263">
        <w:rPr>
          <w:rFonts w:cs="Times New Roman"/>
        </w:rPr>
        <w:t>s</w:t>
      </w:r>
      <w:r>
        <w:rPr>
          <w:rFonts w:cs="Times New Roman"/>
        </w:rPr>
        <w:t xml:space="preserve"> of the city. </w:t>
      </w:r>
      <w:r w:rsidRPr="00A96AC5">
        <w:rPr>
          <w:rFonts w:cs="Times New Roman"/>
        </w:rPr>
        <w:t xml:space="preserve">Of those under study, </w:t>
      </w:r>
      <w:r w:rsidR="00C26263">
        <w:rPr>
          <w:rFonts w:cs="Times New Roman"/>
        </w:rPr>
        <w:t xml:space="preserve">the </w:t>
      </w:r>
      <w:r w:rsidRPr="00A96AC5">
        <w:rPr>
          <w:rFonts w:cs="Times New Roman"/>
        </w:rPr>
        <w:t>RSUCC is the only project to suffer issues of poor service quality. The government has applied mandatory policies that shift these problems to UCC users. There is no stakeholder responsible for this in the RSUCC. The experience</w:t>
      </w:r>
      <w:r w:rsidR="00337A70">
        <w:rPr>
          <w:rFonts w:cs="Times New Roman"/>
        </w:rPr>
        <w:t>,</w:t>
      </w:r>
      <w:r w:rsidRPr="00A96AC5">
        <w:rPr>
          <w:rFonts w:cs="Times New Roman"/>
        </w:rPr>
        <w:t xml:space="preserve"> in this case</w:t>
      </w:r>
      <w:r w:rsidR="00337A70">
        <w:rPr>
          <w:rFonts w:cs="Times New Roman"/>
        </w:rPr>
        <w:t>,</w:t>
      </w:r>
      <w:r w:rsidRPr="00A96AC5">
        <w:rPr>
          <w:rFonts w:cs="Times New Roman"/>
        </w:rPr>
        <w:t xml:space="preserve"> shows that, if the local authorities have substantial power over the project, regulation can be used to enable secondary stakeholders to undertake the issues of the project.</w:t>
      </w:r>
      <w:r>
        <w:rPr>
          <w:rFonts w:cs="Times New Roman"/>
        </w:rPr>
        <w:t xml:space="preserve"> </w:t>
      </w:r>
    </w:p>
    <w:p w14:paraId="2249DDC6" w14:textId="77777777" w:rsidR="00ED1AF1" w:rsidRPr="00802DC5" w:rsidRDefault="00ED1AF1" w:rsidP="007F6877">
      <w:pPr>
        <w:spacing w:after="240" w:line="360" w:lineRule="auto"/>
        <w:rPr>
          <w:rFonts w:cs="Times New Roman"/>
        </w:rPr>
      </w:pPr>
    </w:p>
    <w:p w14:paraId="5782C3BD" w14:textId="77777777" w:rsidR="00656367" w:rsidRPr="00A96AC5" w:rsidRDefault="00656367" w:rsidP="00656367">
      <w:pPr>
        <w:spacing w:line="360" w:lineRule="auto"/>
        <w:rPr>
          <w:rFonts w:cs="Times New Roman"/>
        </w:rPr>
      </w:pPr>
    </w:p>
    <w:p w14:paraId="567DA649" w14:textId="77777777" w:rsidR="00656367" w:rsidRPr="00A96AC5" w:rsidRDefault="00656367" w:rsidP="00656367">
      <w:pPr>
        <w:spacing w:line="360" w:lineRule="auto"/>
        <w:rPr>
          <w:rFonts w:cs="Times New Roman"/>
        </w:rPr>
        <w:sectPr w:rsidR="00656367" w:rsidRPr="00A96AC5" w:rsidSect="00147F54">
          <w:type w:val="continuous"/>
          <w:pgSz w:w="11906" w:h="16838"/>
          <w:pgMar w:top="1440" w:right="1440" w:bottom="1440" w:left="1440" w:header="708" w:footer="288" w:gutter="0"/>
          <w:pgNumType w:start="1"/>
          <w:cols w:space="708"/>
          <w:docGrid w:linePitch="360"/>
        </w:sectPr>
      </w:pPr>
    </w:p>
    <w:tbl>
      <w:tblPr>
        <w:tblW w:w="14300" w:type="dxa"/>
        <w:tblLook w:val="04A0" w:firstRow="1" w:lastRow="0" w:firstColumn="1" w:lastColumn="0" w:noHBand="0" w:noVBand="1"/>
      </w:tblPr>
      <w:tblGrid>
        <w:gridCol w:w="1463"/>
        <w:gridCol w:w="1365"/>
        <w:gridCol w:w="5447"/>
        <w:gridCol w:w="2970"/>
        <w:gridCol w:w="3055"/>
      </w:tblGrid>
      <w:tr w:rsidR="00656367" w:rsidRPr="008903D1" w14:paraId="2A0B3120" w14:textId="77777777" w:rsidTr="00622AC7">
        <w:trPr>
          <w:trHeight w:val="300"/>
        </w:trPr>
        <w:tc>
          <w:tcPr>
            <w:tcW w:w="146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23B9C0" w14:textId="77777777" w:rsidR="00656367" w:rsidRPr="008903D1" w:rsidRDefault="00656367" w:rsidP="00622AC7">
            <w:pPr>
              <w:spacing w:line="240" w:lineRule="auto"/>
              <w:jc w:val="center"/>
              <w:rPr>
                <w:rFonts w:eastAsia="Times New Roman" w:cs="Times New Roman"/>
                <w:b/>
                <w:bCs/>
                <w:color w:val="000000"/>
                <w:sz w:val="22"/>
              </w:rPr>
            </w:pPr>
            <w:r w:rsidRPr="008903D1">
              <w:rPr>
                <w:rFonts w:eastAsia="Times New Roman" w:cs="Times New Roman"/>
                <w:b/>
                <w:bCs/>
                <w:color w:val="000000"/>
                <w:sz w:val="22"/>
              </w:rPr>
              <w:lastRenderedPageBreak/>
              <w:t>Urban consolidation centre (UCC) cases</w:t>
            </w:r>
          </w:p>
        </w:tc>
        <w:tc>
          <w:tcPr>
            <w:tcW w:w="13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99ABAF" w14:textId="77777777" w:rsidR="00656367" w:rsidRPr="008903D1" w:rsidRDefault="00656367" w:rsidP="00622AC7">
            <w:pPr>
              <w:spacing w:line="240" w:lineRule="auto"/>
              <w:jc w:val="center"/>
              <w:rPr>
                <w:rFonts w:eastAsia="Times New Roman" w:cs="Times New Roman"/>
                <w:b/>
                <w:bCs/>
                <w:color w:val="000000"/>
                <w:sz w:val="22"/>
              </w:rPr>
            </w:pPr>
            <w:r w:rsidRPr="008903D1">
              <w:rPr>
                <w:rFonts w:eastAsia="Times New Roman" w:cs="Times New Roman"/>
                <w:b/>
                <w:bCs/>
                <w:color w:val="000000"/>
                <w:sz w:val="22"/>
              </w:rPr>
              <w:t>Participants</w:t>
            </w:r>
          </w:p>
        </w:tc>
        <w:tc>
          <w:tcPr>
            <w:tcW w:w="11472" w:type="dxa"/>
            <w:gridSpan w:val="3"/>
            <w:tcBorders>
              <w:top w:val="single" w:sz="4" w:space="0" w:color="auto"/>
              <w:left w:val="nil"/>
              <w:bottom w:val="single" w:sz="4" w:space="0" w:color="auto"/>
              <w:right w:val="single" w:sz="4" w:space="0" w:color="auto"/>
            </w:tcBorders>
            <w:shd w:val="clear" w:color="auto" w:fill="auto"/>
            <w:vAlign w:val="bottom"/>
            <w:hideMark/>
          </w:tcPr>
          <w:p w14:paraId="7E5BFD23" w14:textId="77777777" w:rsidR="00656367" w:rsidRPr="008903D1" w:rsidRDefault="00656367" w:rsidP="00622AC7">
            <w:pPr>
              <w:spacing w:line="240" w:lineRule="auto"/>
              <w:jc w:val="center"/>
              <w:rPr>
                <w:rFonts w:eastAsia="Times New Roman" w:cs="Times New Roman"/>
                <w:b/>
                <w:bCs/>
                <w:color w:val="000000"/>
                <w:sz w:val="22"/>
              </w:rPr>
            </w:pPr>
            <w:r w:rsidRPr="008903D1">
              <w:rPr>
                <w:rFonts w:eastAsia="Times New Roman" w:cs="Times New Roman"/>
                <w:b/>
                <w:bCs/>
                <w:color w:val="000000"/>
                <w:sz w:val="22"/>
              </w:rPr>
              <w:t>Participants’ issues in the urban consolidation centre (UCC) projects</w:t>
            </w:r>
          </w:p>
        </w:tc>
      </w:tr>
      <w:tr w:rsidR="00656367" w:rsidRPr="008903D1" w14:paraId="41ABC5E6" w14:textId="77777777" w:rsidTr="00424128">
        <w:trPr>
          <w:trHeight w:val="530"/>
        </w:trPr>
        <w:tc>
          <w:tcPr>
            <w:tcW w:w="1463" w:type="dxa"/>
            <w:vMerge/>
            <w:tcBorders>
              <w:top w:val="single" w:sz="4" w:space="0" w:color="auto"/>
              <w:left w:val="single" w:sz="4" w:space="0" w:color="auto"/>
              <w:bottom w:val="single" w:sz="4" w:space="0" w:color="auto"/>
              <w:right w:val="single" w:sz="4" w:space="0" w:color="auto"/>
            </w:tcBorders>
            <w:vAlign w:val="center"/>
            <w:hideMark/>
          </w:tcPr>
          <w:p w14:paraId="0A686847" w14:textId="77777777" w:rsidR="00656367" w:rsidRPr="008903D1" w:rsidRDefault="00656367" w:rsidP="00622AC7">
            <w:pPr>
              <w:spacing w:line="240" w:lineRule="auto"/>
              <w:rPr>
                <w:rFonts w:eastAsia="Times New Roman" w:cs="Times New Roman"/>
                <w:b/>
                <w:bCs/>
                <w:color w:val="000000"/>
                <w:sz w:val="22"/>
              </w:rPr>
            </w:pPr>
          </w:p>
        </w:tc>
        <w:tc>
          <w:tcPr>
            <w:tcW w:w="1365" w:type="dxa"/>
            <w:vMerge/>
            <w:tcBorders>
              <w:top w:val="single" w:sz="4" w:space="0" w:color="auto"/>
              <w:left w:val="single" w:sz="4" w:space="0" w:color="auto"/>
              <w:bottom w:val="single" w:sz="4" w:space="0" w:color="auto"/>
              <w:right w:val="single" w:sz="4" w:space="0" w:color="auto"/>
            </w:tcBorders>
            <w:vAlign w:val="center"/>
            <w:hideMark/>
          </w:tcPr>
          <w:p w14:paraId="6275227D" w14:textId="77777777" w:rsidR="00656367" w:rsidRPr="008903D1" w:rsidRDefault="00656367" w:rsidP="00622AC7">
            <w:pPr>
              <w:spacing w:line="240" w:lineRule="auto"/>
              <w:rPr>
                <w:rFonts w:eastAsia="Times New Roman" w:cs="Times New Roman"/>
                <w:b/>
                <w:bCs/>
                <w:color w:val="000000"/>
                <w:sz w:val="22"/>
              </w:rPr>
            </w:pPr>
          </w:p>
        </w:tc>
        <w:tc>
          <w:tcPr>
            <w:tcW w:w="5447" w:type="dxa"/>
            <w:tcBorders>
              <w:top w:val="nil"/>
              <w:left w:val="nil"/>
              <w:bottom w:val="single" w:sz="4" w:space="0" w:color="auto"/>
              <w:right w:val="single" w:sz="4" w:space="0" w:color="auto"/>
            </w:tcBorders>
            <w:shd w:val="clear" w:color="auto" w:fill="auto"/>
            <w:vAlign w:val="center"/>
            <w:hideMark/>
          </w:tcPr>
          <w:p w14:paraId="42B9062D" w14:textId="77777777" w:rsidR="00656367" w:rsidRPr="008903D1" w:rsidRDefault="00656367" w:rsidP="00622AC7">
            <w:pPr>
              <w:spacing w:line="240" w:lineRule="auto"/>
              <w:jc w:val="center"/>
              <w:rPr>
                <w:rFonts w:eastAsia="Times New Roman" w:cs="Times New Roman"/>
                <w:b/>
                <w:bCs/>
                <w:color w:val="000000"/>
                <w:sz w:val="22"/>
              </w:rPr>
            </w:pPr>
            <w:r w:rsidRPr="008903D1">
              <w:rPr>
                <w:rFonts w:eastAsia="Times New Roman" w:cs="Times New Roman"/>
                <w:b/>
                <w:bCs/>
                <w:color w:val="000000"/>
                <w:sz w:val="22"/>
              </w:rPr>
              <w:t>Details of economic issues</w:t>
            </w:r>
          </w:p>
        </w:tc>
        <w:tc>
          <w:tcPr>
            <w:tcW w:w="2970" w:type="dxa"/>
            <w:tcBorders>
              <w:top w:val="nil"/>
              <w:left w:val="nil"/>
              <w:bottom w:val="single" w:sz="4" w:space="0" w:color="auto"/>
              <w:right w:val="single" w:sz="4" w:space="0" w:color="auto"/>
            </w:tcBorders>
            <w:shd w:val="clear" w:color="auto" w:fill="auto"/>
            <w:vAlign w:val="center"/>
            <w:hideMark/>
          </w:tcPr>
          <w:p w14:paraId="4F2ED459" w14:textId="77777777" w:rsidR="00656367" w:rsidRPr="008903D1" w:rsidRDefault="00656367" w:rsidP="00622AC7">
            <w:pPr>
              <w:spacing w:line="240" w:lineRule="auto"/>
              <w:jc w:val="center"/>
              <w:rPr>
                <w:rFonts w:eastAsia="Times New Roman" w:cs="Times New Roman"/>
                <w:b/>
                <w:bCs/>
                <w:color w:val="000000"/>
                <w:sz w:val="22"/>
              </w:rPr>
            </w:pPr>
            <w:r w:rsidRPr="008903D1">
              <w:rPr>
                <w:rFonts w:eastAsia="Times New Roman" w:cs="Times New Roman"/>
                <w:b/>
                <w:bCs/>
                <w:color w:val="000000"/>
                <w:sz w:val="22"/>
              </w:rPr>
              <w:t>Details of environmental issues</w:t>
            </w:r>
          </w:p>
        </w:tc>
        <w:tc>
          <w:tcPr>
            <w:tcW w:w="3055" w:type="dxa"/>
            <w:tcBorders>
              <w:top w:val="nil"/>
              <w:left w:val="nil"/>
              <w:bottom w:val="single" w:sz="4" w:space="0" w:color="auto"/>
              <w:right w:val="single" w:sz="4" w:space="0" w:color="auto"/>
            </w:tcBorders>
            <w:shd w:val="clear" w:color="auto" w:fill="auto"/>
            <w:vAlign w:val="center"/>
            <w:hideMark/>
          </w:tcPr>
          <w:p w14:paraId="529538AA" w14:textId="77777777" w:rsidR="00656367" w:rsidRPr="008903D1" w:rsidRDefault="00656367" w:rsidP="00622AC7">
            <w:pPr>
              <w:spacing w:line="240" w:lineRule="auto"/>
              <w:jc w:val="center"/>
              <w:rPr>
                <w:rFonts w:eastAsia="Times New Roman" w:cs="Times New Roman"/>
                <w:b/>
                <w:bCs/>
                <w:color w:val="000000"/>
                <w:sz w:val="22"/>
              </w:rPr>
            </w:pPr>
            <w:r w:rsidRPr="008903D1">
              <w:rPr>
                <w:rFonts w:eastAsia="Times New Roman" w:cs="Times New Roman"/>
                <w:b/>
                <w:bCs/>
                <w:color w:val="000000"/>
                <w:sz w:val="22"/>
              </w:rPr>
              <w:t>Details of social issues</w:t>
            </w:r>
          </w:p>
        </w:tc>
      </w:tr>
      <w:tr w:rsidR="00656367" w:rsidRPr="008903D1" w14:paraId="6980C440" w14:textId="77777777" w:rsidTr="00424128">
        <w:trPr>
          <w:trHeight w:val="1076"/>
        </w:trPr>
        <w:tc>
          <w:tcPr>
            <w:tcW w:w="1463" w:type="dxa"/>
            <w:vMerge w:val="restart"/>
            <w:tcBorders>
              <w:top w:val="nil"/>
              <w:left w:val="single" w:sz="4" w:space="0" w:color="auto"/>
              <w:bottom w:val="single" w:sz="4" w:space="0" w:color="auto"/>
              <w:right w:val="single" w:sz="4" w:space="0" w:color="auto"/>
            </w:tcBorders>
            <w:shd w:val="clear" w:color="auto" w:fill="auto"/>
            <w:vAlign w:val="center"/>
            <w:hideMark/>
          </w:tcPr>
          <w:p w14:paraId="75D3D0DC" w14:textId="77777777" w:rsidR="00656367" w:rsidRPr="008903D1" w:rsidRDefault="00656367" w:rsidP="00622AC7">
            <w:pPr>
              <w:spacing w:line="240" w:lineRule="auto"/>
              <w:rPr>
                <w:rFonts w:eastAsia="Times New Roman" w:cs="Times New Roman"/>
                <w:color w:val="000000"/>
                <w:sz w:val="22"/>
              </w:rPr>
            </w:pPr>
            <w:r w:rsidRPr="008903D1">
              <w:rPr>
                <w:rFonts w:eastAsia="Times New Roman" w:cs="Times New Roman"/>
                <w:color w:val="000000"/>
                <w:sz w:val="22"/>
              </w:rPr>
              <w:t>SCUCC</w:t>
            </w:r>
          </w:p>
        </w:tc>
        <w:tc>
          <w:tcPr>
            <w:tcW w:w="1365" w:type="dxa"/>
            <w:tcBorders>
              <w:top w:val="nil"/>
              <w:left w:val="nil"/>
              <w:bottom w:val="single" w:sz="4" w:space="0" w:color="auto"/>
              <w:right w:val="single" w:sz="4" w:space="0" w:color="auto"/>
            </w:tcBorders>
            <w:shd w:val="clear" w:color="auto" w:fill="auto"/>
            <w:vAlign w:val="center"/>
            <w:hideMark/>
          </w:tcPr>
          <w:p w14:paraId="5A006CA0" w14:textId="77777777" w:rsidR="00656367" w:rsidRPr="008903D1" w:rsidRDefault="00656367" w:rsidP="00622AC7">
            <w:pPr>
              <w:spacing w:line="240" w:lineRule="auto"/>
              <w:jc w:val="left"/>
              <w:rPr>
                <w:rFonts w:eastAsia="Times New Roman" w:cs="Times New Roman"/>
                <w:color w:val="000000"/>
                <w:sz w:val="22"/>
              </w:rPr>
            </w:pPr>
            <w:r w:rsidRPr="008903D1">
              <w:rPr>
                <w:rFonts w:eastAsia="Times New Roman" w:cs="Times New Roman"/>
                <w:color w:val="000000"/>
                <w:sz w:val="22"/>
              </w:rPr>
              <w:t>Carrier</w:t>
            </w:r>
          </w:p>
        </w:tc>
        <w:tc>
          <w:tcPr>
            <w:tcW w:w="5447" w:type="dxa"/>
            <w:tcBorders>
              <w:top w:val="nil"/>
              <w:left w:val="nil"/>
              <w:bottom w:val="single" w:sz="4" w:space="0" w:color="auto"/>
              <w:right w:val="single" w:sz="4" w:space="0" w:color="auto"/>
            </w:tcBorders>
            <w:shd w:val="clear" w:color="auto" w:fill="auto"/>
            <w:vAlign w:val="center"/>
            <w:hideMark/>
          </w:tcPr>
          <w:p w14:paraId="5D5414C2" w14:textId="6F4F8E9D"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Difficult to improve the business</w:t>
            </w:r>
            <w:r w:rsidR="00AA53D7">
              <w:rPr>
                <w:rFonts w:eastAsia="Times New Roman" w:cs="Times New Roman"/>
                <w:color w:val="000000"/>
                <w:sz w:val="22"/>
              </w:rPr>
              <w:t xml:space="preserve"> </w:t>
            </w:r>
            <w:proofErr w:type="gramStart"/>
            <w:r w:rsidR="00AA53D7">
              <w:rPr>
                <w:rFonts w:eastAsia="Times New Roman" w:cs="Times New Roman"/>
                <w:color w:val="000000"/>
                <w:sz w:val="22"/>
              </w:rPr>
              <w:t>scope</w:t>
            </w:r>
            <w:proofErr w:type="gramEnd"/>
          </w:p>
          <w:p w14:paraId="7DAD401F" w14:textId="7736479F"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Limitations on capacity of the</w:t>
            </w:r>
            <w:r w:rsidR="008A4DDA">
              <w:rPr>
                <w:rFonts w:eastAsia="Times New Roman" w:cs="Times New Roman"/>
                <w:color w:val="000000"/>
                <w:sz w:val="22"/>
              </w:rPr>
              <w:t xml:space="preserve"> </w:t>
            </w:r>
            <w:r w:rsidR="008A4DDA">
              <w:rPr>
                <w:rFonts w:eastAsia="Times New Roman" w:cs="Times New Roman"/>
                <w:color w:val="000000"/>
                <w:sz w:val="22"/>
                <w:lang w:val="en-US"/>
              </w:rPr>
              <w:t>goods storage area</w:t>
            </w:r>
          </w:p>
          <w:p w14:paraId="7A81E9CE" w14:textId="123FB631" w:rsidR="00656367" w:rsidRPr="008903D1" w:rsidRDefault="008A4DDA" w:rsidP="00A323CC">
            <w:pPr>
              <w:pStyle w:val="ListParagraph"/>
              <w:numPr>
                <w:ilvl w:val="0"/>
                <w:numId w:val="23"/>
              </w:numPr>
              <w:spacing w:line="240" w:lineRule="auto"/>
              <w:ind w:left="360"/>
              <w:jc w:val="left"/>
              <w:rPr>
                <w:rFonts w:eastAsia="Times New Roman" w:cs="Times New Roman"/>
                <w:color w:val="000000"/>
                <w:sz w:val="22"/>
              </w:rPr>
            </w:pPr>
            <w:r>
              <w:rPr>
                <w:rFonts w:eastAsia="Times New Roman" w:cs="Times New Roman"/>
                <w:color w:val="000000"/>
                <w:sz w:val="22"/>
              </w:rPr>
              <w:t>Low r</w:t>
            </w:r>
            <w:r w:rsidR="00656367" w:rsidRPr="008903D1">
              <w:rPr>
                <w:rFonts w:eastAsia="Times New Roman" w:cs="Times New Roman"/>
                <w:color w:val="000000"/>
                <w:sz w:val="22"/>
              </w:rPr>
              <w:t>eliability of electric vehicles (EVs)</w:t>
            </w:r>
          </w:p>
          <w:p w14:paraId="64F39079" w14:textId="1809452B"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Lack of information sharing</w:t>
            </w:r>
            <w:r w:rsidR="008A4DDA">
              <w:rPr>
                <w:rFonts w:eastAsia="Times New Roman" w:cs="Times New Roman"/>
                <w:color w:val="000000"/>
                <w:sz w:val="22"/>
              </w:rPr>
              <w:t xml:space="preserve"> between </w:t>
            </w:r>
            <w:r w:rsidR="00404EA2">
              <w:rPr>
                <w:rFonts w:eastAsia="Times New Roman" w:cs="Times New Roman"/>
                <w:color w:val="000000"/>
                <w:sz w:val="22"/>
              </w:rPr>
              <w:t xml:space="preserve">intercity carrier and </w:t>
            </w:r>
            <w:proofErr w:type="gramStart"/>
            <w:r w:rsidR="00404EA2">
              <w:rPr>
                <w:rFonts w:eastAsia="Times New Roman" w:cs="Times New Roman"/>
                <w:color w:val="000000"/>
                <w:sz w:val="22"/>
              </w:rPr>
              <w:t>UCC</w:t>
            </w:r>
            <w:proofErr w:type="gramEnd"/>
          </w:p>
          <w:p w14:paraId="6EFA6FE9" w14:textId="52D61BE4"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 xml:space="preserve">Lack of goods pre-processing </w:t>
            </w:r>
            <w:r w:rsidR="00404EA2">
              <w:rPr>
                <w:rFonts w:eastAsia="Times New Roman" w:cs="Times New Roman"/>
                <w:color w:val="000000"/>
                <w:sz w:val="22"/>
              </w:rPr>
              <w:t>before the goods</w:t>
            </w:r>
            <w:r w:rsidRPr="008903D1">
              <w:rPr>
                <w:rFonts w:eastAsia="Times New Roman" w:cs="Times New Roman"/>
                <w:color w:val="000000"/>
                <w:sz w:val="22"/>
              </w:rPr>
              <w:t xml:space="preserve"> the facility</w:t>
            </w:r>
          </w:p>
        </w:tc>
        <w:tc>
          <w:tcPr>
            <w:tcW w:w="2970" w:type="dxa"/>
            <w:tcBorders>
              <w:top w:val="nil"/>
              <w:left w:val="nil"/>
              <w:bottom w:val="single" w:sz="4" w:space="0" w:color="auto"/>
              <w:right w:val="single" w:sz="4" w:space="0" w:color="auto"/>
            </w:tcBorders>
            <w:shd w:val="clear" w:color="auto" w:fill="auto"/>
            <w:vAlign w:val="center"/>
            <w:hideMark/>
          </w:tcPr>
          <w:p w14:paraId="18A42473"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Environmental progress is insignificant</w:t>
            </w:r>
          </w:p>
        </w:tc>
        <w:tc>
          <w:tcPr>
            <w:tcW w:w="3055" w:type="dxa"/>
            <w:tcBorders>
              <w:top w:val="nil"/>
              <w:left w:val="nil"/>
              <w:bottom w:val="single" w:sz="4" w:space="0" w:color="auto"/>
              <w:right w:val="single" w:sz="4" w:space="0" w:color="auto"/>
            </w:tcBorders>
            <w:shd w:val="clear" w:color="auto" w:fill="auto"/>
            <w:vAlign w:val="center"/>
            <w:hideMark/>
          </w:tcPr>
          <w:p w14:paraId="6C170B58"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No public awareness of the work</w:t>
            </w:r>
          </w:p>
          <w:p w14:paraId="4B1B1851"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Lack of policy support for the dedicated parking area</w:t>
            </w:r>
          </w:p>
        </w:tc>
      </w:tr>
      <w:tr w:rsidR="00656367" w:rsidRPr="008903D1" w14:paraId="11361AC8" w14:textId="77777777" w:rsidTr="00424128">
        <w:trPr>
          <w:trHeight w:val="300"/>
        </w:trPr>
        <w:tc>
          <w:tcPr>
            <w:tcW w:w="1463" w:type="dxa"/>
            <w:vMerge/>
            <w:tcBorders>
              <w:top w:val="nil"/>
              <w:left w:val="single" w:sz="4" w:space="0" w:color="auto"/>
              <w:bottom w:val="single" w:sz="4" w:space="0" w:color="auto"/>
              <w:right w:val="single" w:sz="4" w:space="0" w:color="auto"/>
            </w:tcBorders>
            <w:vAlign w:val="center"/>
            <w:hideMark/>
          </w:tcPr>
          <w:p w14:paraId="0BF5A983" w14:textId="77777777" w:rsidR="00656367" w:rsidRPr="008903D1" w:rsidRDefault="00656367" w:rsidP="00622AC7">
            <w:pPr>
              <w:spacing w:line="240" w:lineRule="auto"/>
              <w:rPr>
                <w:rFonts w:eastAsia="Times New Roman" w:cs="Times New Roman"/>
                <w:color w:val="000000"/>
                <w:sz w:val="22"/>
              </w:rPr>
            </w:pPr>
          </w:p>
        </w:tc>
        <w:tc>
          <w:tcPr>
            <w:tcW w:w="1365" w:type="dxa"/>
            <w:tcBorders>
              <w:top w:val="nil"/>
              <w:left w:val="nil"/>
              <w:bottom w:val="single" w:sz="4" w:space="0" w:color="auto"/>
              <w:right w:val="single" w:sz="4" w:space="0" w:color="auto"/>
            </w:tcBorders>
            <w:shd w:val="clear" w:color="auto" w:fill="auto"/>
            <w:vAlign w:val="center"/>
            <w:hideMark/>
          </w:tcPr>
          <w:p w14:paraId="6A74CD65" w14:textId="77777777" w:rsidR="00656367" w:rsidRPr="008903D1" w:rsidRDefault="00656367" w:rsidP="00622AC7">
            <w:pPr>
              <w:spacing w:line="240" w:lineRule="auto"/>
              <w:jc w:val="left"/>
              <w:rPr>
                <w:rFonts w:eastAsia="Times New Roman" w:cs="Times New Roman"/>
                <w:color w:val="000000"/>
                <w:sz w:val="22"/>
              </w:rPr>
            </w:pPr>
            <w:r w:rsidRPr="008903D1">
              <w:rPr>
                <w:rFonts w:eastAsia="Times New Roman" w:cs="Times New Roman"/>
                <w:color w:val="000000"/>
                <w:sz w:val="22"/>
              </w:rPr>
              <w:t>Shipper</w:t>
            </w:r>
          </w:p>
        </w:tc>
        <w:tc>
          <w:tcPr>
            <w:tcW w:w="5447" w:type="dxa"/>
            <w:tcBorders>
              <w:top w:val="nil"/>
              <w:left w:val="nil"/>
              <w:bottom w:val="single" w:sz="4" w:space="0" w:color="auto"/>
              <w:right w:val="single" w:sz="4" w:space="0" w:color="auto"/>
            </w:tcBorders>
            <w:shd w:val="clear" w:color="auto" w:fill="auto"/>
            <w:vAlign w:val="center"/>
            <w:hideMark/>
          </w:tcPr>
          <w:p w14:paraId="1DF88E7C" w14:textId="62E46F94"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Difficult to improve the business</w:t>
            </w:r>
            <w:r w:rsidR="006B632E">
              <w:rPr>
                <w:rFonts w:eastAsia="Times New Roman" w:cs="Times New Roman"/>
                <w:color w:val="000000"/>
                <w:sz w:val="22"/>
              </w:rPr>
              <w:t xml:space="preserve"> scope</w:t>
            </w:r>
          </w:p>
        </w:tc>
        <w:tc>
          <w:tcPr>
            <w:tcW w:w="2970" w:type="dxa"/>
            <w:tcBorders>
              <w:top w:val="single" w:sz="4" w:space="0" w:color="auto"/>
              <w:left w:val="nil"/>
              <w:bottom w:val="single" w:sz="4" w:space="0" w:color="auto"/>
              <w:right w:val="single" w:sz="4" w:space="0" w:color="auto"/>
              <w:tl2br w:val="single" w:sz="4" w:space="0" w:color="auto"/>
            </w:tcBorders>
            <w:shd w:val="clear" w:color="auto" w:fill="auto"/>
            <w:vAlign w:val="center"/>
            <w:hideMark/>
          </w:tcPr>
          <w:p w14:paraId="637EE903"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 </w:t>
            </w:r>
          </w:p>
        </w:tc>
        <w:tc>
          <w:tcPr>
            <w:tcW w:w="3055" w:type="dxa"/>
            <w:tcBorders>
              <w:top w:val="nil"/>
              <w:left w:val="nil"/>
              <w:bottom w:val="single" w:sz="4" w:space="0" w:color="auto"/>
              <w:right w:val="single" w:sz="4" w:space="0" w:color="auto"/>
            </w:tcBorders>
            <w:shd w:val="clear" w:color="auto" w:fill="auto"/>
            <w:vAlign w:val="center"/>
            <w:hideMark/>
          </w:tcPr>
          <w:p w14:paraId="16BDFA40"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Limited private participants</w:t>
            </w:r>
          </w:p>
        </w:tc>
      </w:tr>
      <w:tr w:rsidR="00656367" w:rsidRPr="008903D1" w14:paraId="31012AE9" w14:textId="77777777" w:rsidTr="00424128">
        <w:trPr>
          <w:trHeight w:val="550"/>
        </w:trPr>
        <w:tc>
          <w:tcPr>
            <w:tcW w:w="1463" w:type="dxa"/>
            <w:vMerge/>
            <w:tcBorders>
              <w:top w:val="nil"/>
              <w:left w:val="single" w:sz="4" w:space="0" w:color="auto"/>
              <w:bottom w:val="single" w:sz="4" w:space="0" w:color="auto"/>
              <w:right w:val="single" w:sz="4" w:space="0" w:color="auto"/>
            </w:tcBorders>
            <w:vAlign w:val="center"/>
            <w:hideMark/>
          </w:tcPr>
          <w:p w14:paraId="63AE209A" w14:textId="77777777" w:rsidR="00656367" w:rsidRPr="008903D1" w:rsidRDefault="00656367" w:rsidP="00622AC7">
            <w:pPr>
              <w:spacing w:line="240" w:lineRule="auto"/>
              <w:rPr>
                <w:rFonts w:eastAsia="Times New Roman" w:cs="Times New Roman"/>
                <w:color w:val="000000"/>
                <w:sz w:val="22"/>
              </w:rPr>
            </w:pPr>
          </w:p>
        </w:tc>
        <w:tc>
          <w:tcPr>
            <w:tcW w:w="1365" w:type="dxa"/>
            <w:tcBorders>
              <w:top w:val="nil"/>
              <w:left w:val="nil"/>
              <w:bottom w:val="single" w:sz="4" w:space="0" w:color="auto"/>
              <w:right w:val="single" w:sz="4" w:space="0" w:color="auto"/>
            </w:tcBorders>
            <w:shd w:val="clear" w:color="auto" w:fill="auto"/>
            <w:vAlign w:val="center"/>
            <w:hideMark/>
          </w:tcPr>
          <w:p w14:paraId="2A25ABC2" w14:textId="77777777" w:rsidR="00656367" w:rsidRPr="008903D1" w:rsidRDefault="00656367" w:rsidP="00622AC7">
            <w:pPr>
              <w:spacing w:line="240" w:lineRule="auto"/>
              <w:jc w:val="left"/>
              <w:rPr>
                <w:rFonts w:eastAsia="Times New Roman" w:cs="Times New Roman"/>
                <w:color w:val="000000"/>
                <w:sz w:val="22"/>
              </w:rPr>
            </w:pPr>
            <w:r w:rsidRPr="008903D1">
              <w:rPr>
                <w:rFonts w:eastAsia="Times New Roman" w:cs="Times New Roman"/>
                <w:color w:val="000000"/>
                <w:sz w:val="22"/>
              </w:rPr>
              <w:t>Government</w:t>
            </w:r>
          </w:p>
        </w:tc>
        <w:tc>
          <w:tcPr>
            <w:tcW w:w="5447" w:type="dxa"/>
            <w:tcBorders>
              <w:top w:val="single" w:sz="4" w:space="0" w:color="auto"/>
              <w:left w:val="nil"/>
              <w:bottom w:val="single" w:sz="4" w:space="0" w:color="auto"/>
              <w:right w:val="single" w:sz="4" w:space="0" w:color="auto"/>
              <w:tl2br w:val="single" w:sz="4" w:space="0" w:color="auto"/>
            </w:tcBorders>
            <w:shd w:val="clear" w:color="auto" w:fill="auto"/>
            <w:vAlign w:val="center"/>
            <w:hideMark/>
          </w:tcPr>
          <w:p w14:paraId="023AF5F7" w14:textId="77777777" w:rsidR="00656367" w:rsidRPr="00544099" w:rsidRDefault="00656367" w:rsidP="00544099">
            <w:pPr>
              <w:spacing w:line="240" w:lineRule="auto"/>
              <w:jc w:val="left"/>
              <w:rPr>
                <w:rFonts w:eastAsia="Times New Roman" w:cs="Times New Roman"/>
                <w:color w:val="000000"/>
                <w:sz w:val="22"/>
              </w:rPr>
            </w:pPr>
            <w:r w:rsidRPr="00544099">
              <w:rPr>
                <w:rFonts w:eastAsia="Times New Roman" w:cs="Times New Roman"/>
                <w:color w:val="000000"/>
                <w:sz w:val="22"/>
              </w:rPr>
              <w:t> </w:t>
            </w:r>
          </w:p>
        </w:tc>
        <w:tc>
          <w:tcPr>
            <w:tcW w:w="2970" w:type="dxa"/>
            <w:tcBorders>
              <w:top w:val="nil"/>
              <w:left w:val="nil"/>
              <w:bottom w:val="single" w:sz="4" w:space="0" w:color="auto"/>
              <w:right w:val="single" w:sz="4" w:space="0" w:color="auto"/>
            </w:tcBorders>
            <w:shd w:val="clear" w:color="auto" w:fill="auto"/>
            <w:vAlign w:val="center"/>
            <w:hideMark/>
          </w:tcPr>
          <w:p w14:paraId="2AFAB8F5"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 xml:space="preserve">Environmental progress is </w:t>
            </w:r>
            <w:proofErr w:type="gramStart"/>
            <w:r w:rsidRPr="008903D1">
              <w:rPr>
                <w:rFonts w:eastAsia="Times New Roman" w:cs="Times New Roman"/>
                <w:color w:val="000000"/>
                <w:sz w:val="22"/>
              </w:rPr>
              <w:t>insignificant</w:t>
            </w:r>
            <w:proofErr w:type="gramEnd"/>
          </w:p>
          <w:p w14:paraId="6F9659A2"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Service area of project is very small</w:t>
            </w:r>
          </w:p>
        </w:tc>
        <w:tc>
          <w:tcPr>
            <w:tcW w:w="3055" w:type="dxa"/>
            <w:tcBorders>
              <w:top w:val="nil"/>
              <w:left w:val="nil"/>
              <w:bottom w:val="single" w:sz="4" w:space="0" w:color="auto"/>
              <w:right w:val="single" w:sz="4" w:space="0" w:color="auto"/>
            </w:tcBorders>
            <w:shd w:val="clear" w:color="auto" w:fill="auto"/>
            <w:vAlign w:val="center"/>
            <w:hideMark/>
          </w:tcPr>
          <w:p w14:paraId="75F98965"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No public awareness</w:t>
            </w:r>
          </w:p>
          <w:p w14:paraId="0118D71D"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Limited private participants</w:t>
            </w:r>
          </w:p>
        </w:tc>
      </w:tr>
      <w:tr w:rsidR="00656367" w:rsidRPr="008903D1" w14:paraId="62394ED2" w14:textId="77777777" w:rsidTr="00424128">
        <w:trPr>
          <w:trHeight w:val="840"/>
        </w:trPr>
        <w:tc>
          <w:tcPr>
            <w:tcW w:w="1463" w:type="dxa"/>
            <w:vMerge/>
            <w:tcBorders>
              <w:top w:val="nil"/>
              <w:left w:val="single" w:sz="4" w:space="0" w:color="auto"/>
              <w:bottom w:val="single" w:sz="4" w:space="0" w:color="auto"/>
              <w:right w:val="single" w:sz="4" w:space="0" w:color="auto"/>
            </w:tcBorders>
            <w:vAlign w:val="center"/>
            <w:hideMark/>
          </w:tcPr>
          <w:p w14:paraId="14D7E90A" w14:textId="77777777" w:rsidR="00656367" w:rsidRPr="008903D1" w:rsidRDefault="00656367" w:rsidP="00622AC7">
            <w:pPr>
              <w:spacing w:line="240" w:lineRule="auto"/>
              <w:rPr>
                <w:rFonts w:eastAsia="Times New Roman" w:cs="Times New Roman"/>
                <w:color w:val="000000"/>
                <w:sz w:val="22"/>
              </w:rPr>
            </w:pPr>
          </w:p>
        </w:tc>
        <w:tc>
          <w:tcPr>
            <w:tcW w:w="1365" w:type="dxa"/>
            <w:tcBorders>
              <w:top w:val="nil"/>
              <w:left w:val="nil"/>
              <w:bottom w:val="single" w:sz="4" w:space="0" w:color="auto"/>
              <w:right w:val="single" w:sz="4" w:space="0" w:color="auto"/>
            </w:tcBorders>
            <w:shd w:val="clear" w:color="auto" w:fill="auto"/>
            <w:vAlign w:val="center"/>
            <w:hideMark/>
          </w:tcPr>
          <w:p w14:paraId="3A13F30C" w14:textId="77777777" w:rsidR="00656367" w:rsidRPr="008903D1" w:rsidRDefault="00656367" w:rsidP="00622AC7">
            <w:pPr>
              <w:spacing w:line="240" w:lineRule="auto"/>
              <w:jc w:val="left"/>
              <w:rPr>
                <w:rFonts w:eastAsia="Times New Roman" w:cs="Times New Roman"/>
                <w:color w:val="000000"/>
                <w:sz w:val="22"/>
              </w:rPr>
            </w:pPr>
            <w:r w:rsidRPr="008903D1">
              <w:rPr>
                <w:rFonts w:eastAsia="Times New Roman" w:cs="Times New Roman"/>
                <w:color w:val="000000"/>
                <w:sz w:val="22"/>
              </w:rPr>
              <w:t>Researcher</w:t>
            </w:r>
          </w:p>
        </w:tc>
        <w:tc>
          <w:tcPr>
            <w:tcW w:w="5447" w:type="dxa"/>
            <w:tcBorders>
              <w:top w:val="nil"/>
              <w:left w:val="nil"/>
              <w:bottom w:val="single" w:sz="4" w:space="0" w:color="auto"/>
              <w:right w:val="single" w:sz="4" w:space="0" w:color="auto"/>
            </w:tcBorders>
            <w:shd w:val="clear" w:color="auto" w:fill="auto"/>
            <w:vAlign w:val="center"/>
            <w:hideMark/>
          </w:tcPr>
          <w:p w14:paraId="2A5FDD5A" w14:textId="69BB1608" w:rsidR="00656367" w:rsidRPr="008903D1" w:rsidRDefault="004D0436" w:rsidP="00A323CC">
            <w:pPr>
              <w:pStyle w:val="ListParagraph"/>
              <w:numPr>
                <w:ilvl w:val="0"/>
                <w:numId w:val="23"/>
              </w:numPr>
              <w:spacing w:line="240" w:lineRule="auto"/>
              <w:ind w:left="360"/>
              <w:jc w:val="left"/>
              <w:rPr>
                <w:rFonts w:eastAsia="Times New Roman" w:cs="Times New Roman"/>
                <w:color w:val="000000"/>
                <w:sz w:val="22"/>
              </w:rPr>
            </w:pPr>
            <w:r>
              <w:rPr>
                <w:rFonts w:eastAsia="Times New Roman" w:cs="Times New Roman"/>
                <w:color w:val="000000"/>
                <w:sz w:val="22"/>
              </w:rPr>
              <w:t>I</w:t>
            </w:r>
            <w:r w:rsidR="00656367" w:rsidRPr="008903D1">
              <w:rPr>
                <w:rFonts w:eastAsia="Times New Roman" w:cs="Times New Roman"/>
                <w:color w:val="000000"/>
                <w:sz w:val="22"/>
              </w:rPr>
              <w:t>ssues of electric vehicles (EVs)</w:t>
            </w:r>
            <w:r>
              <w:rPr>
                <w:rFonts w:eastAsia="Times New Roman" w:cs="Times New Roman"/>
                <w:color w:val="000000"/>
                <w:sz w:val="22"/>
              </w:rPr>
              <w:t xml:space="preserve"> due to the </w:t>
            </w:r>
            <w:r w:rsidR="001823C2">
              <w:rPr>
                <w:rFonts w:eastAsia="Times New Roman" w:cs="Times New Roman"/>
                <w:color w:val="000000"/>
                <w:sz w:val="22"/>
              </w:rPr>
              <w:t xml:space="preserve">mistake of </w:t>
            </w:r>
            <w:r>
              <w:rPr>
                <w:rFonts w:eastAsia="Times New Roman" w:cs="Times New Roman"/>
                <w:color w:val="000000"/>
                <w:sz w:val="22"/>
              </w:rPr>
              <w:t xml:space="preserve">vehicle </w:t>
            </w:r>
            <w:proofErr w:type="gramStart"/>
            <w:r>
              <w:rPr>
                <w:rFonts w:eastAsia="Times New Roman" w:cs="Times New Roman"/>
                <w:color w:val="000000"/>
                <w:sz w:val="22"/>
              </w:rPr>
              <w:t>designing</w:t>
            </w:r>
            <w:proofErr w:type="gramEnd"/>
          </w:p>
          <w:p w14:paraId="3ABB9A84" w14:textId="6B52E5BE"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 xml:space="preserve">Difficult to propose an optimisation scheme for delivery </w:t>
            </w:r>
            <w:proofErr w:type="gramStart"/>
            <w:r w:rsidRPr="008903D1">
              <w:rPr>
                <w:rFonts w:eastAsia="Times New Roman" w:cs="Times New Roman"/>
                <w:color w:val="000000"/>
                <w:sz w:val="22"/>
              </w:rPr>
              <w:t>process</w:t>
            </w:r>
            <w:proofErr w:type="gramEnd"/>
          </w:p>
          <w:p w14:paraId="4A23851B"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Insufficient financial support for the research</w:t>
            </w:r>
          </w:p>
        </w:tc>
        <w:tc>
          <w:tcPr>
            <w:tcW w:w="2970" w:type="dxa"/>
            <w:tcBorders>
              <w:top w:val="nil"/>
              <w:left w:val="nil"/>
              <w:bottom w:val="single" w:sz="4" w:space="0" w:color="auto"/>
              <w:right w:val="single" w:sz="4" w:space="0" w:color="auto"/>
            </w:tcBorders>
            <w:shd w:val="clear" w:color="auto" w:fill="auto"/>
            <w:vAlign w:val="center"/>
            <w:hideMark/>
          </w:tcPr>
          <w:p w14:paraId="4FB63DC4" w14:textId="5B4D098C"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 xml:space="preserve">Limited </w:t>
            </w:r>
            <w:r w:rsidR="000B2FD1">
              <w:rPr>
                <w:rFonts w:eastAsia="Times New Roman" w:cs="Times New Roman"/>
                <w:color w:val="000000"/>
                <w:sz w:val="22"/>
              </w:rPr>
              <w:t xml:space="preserve">delivery volume </w:t>
            </w:r>
            <w:proofErr w:type="gramStart"/>
            <w:r w:rsidR="000B2FD1">
              <w:rPr>
                <w:rFonts w:eastAsia="Times New Roman" w:cs="Times New Roman"/>
                <w:color w:val="000000"/>
                <w:sz w:val="22"/>
              </w:rPr>
              <w:t>lead</w:t>
            </w:r>
            <w:proofErr w:type="gramEnd"/>
            <w:r w:rsidRPr="008903D1">
              <w:rPr>
                <w:rFonts w:eastAsia="Times New Roman" w:cs="Times New Roman"/>
                <w:color w:val="000000"/>
                <w:sz w:val="22"/>
              </w:rPr>
              <w:t xml:space="preserve"> to insufficient statistics on performance of electric vehicles (EVs)</w:t>
            </w:r>
          </w:p>
        </w:tc>
        <w:tc>
          <w:tcPr>
            <w:tcW w:w="3055" w:type="dxa"/>
            <w:tcBorders>
              <w:top w:val="nil"/>
              <w:left w:val="nil"/>
              <w:bottom w:val="single" w:sz="4" w:space="0" w:color="auto"/>
              <w:right w:val="single" w:sz="4" w:space="0" w:color="auto"/>
            </w:tcBorders>
            <w:shd w:val="clear" w:color="auto" w:fill="auto"/>
            <w:vAlign w:val="center"/>
            <w:hideMark/>
          </w:tcPr>
          <w:p w14:paraId="1D6C63B1" w14:textId="60148400"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No policy support for</w:t>
            </w:r>
            <w:r w:rsidR="00CE67A4">
              <w:rPr>
                <w:rFonts w:eastAsia="Times New Roman" w:cs="Times New Roman"/>
                <w:color w:val="000000"/>
                <w:sz w:val="22"/>
              </w:rPr>
              <w:t xml:space="preserve"> the utilisation</w:t>
            </w:r>
            <w:r w:rsidRPr="008903D1">
              <w:rPr>
                <w:rFonts w:eastAsia="Times New Roman" w:cs="Times New Roman"/>
                <w:color w:val="000000"/>
                <w:sz w:val="22"/>
              </w:rPr>
              <w:t xml:space="preserve"> electric vehicles (EVs) </w:t>
            </w:r>
          </w:p>
        </w:tc>
      </w:tr>
      <w:tr w:rsidR="00656367" w:rsidRPr="008903D1" w14:paraId="71EE799D" w14:textId="77777777" w:rsidTr="00424128">
        <w:trPr>
          <w:trHeight w:val="300"/>
        </w:trPr>
        <w:tc>
          <w:tcPr>
            <w:tcW w:w="1463" w:type="dxa"/>
            <w:vMerge/>
            <w:tcBorders>
              <w:top w:val="nil"/>
              <w:left w:val="single" w:sz="4" w:space="0" w:color="auto"/>
              <w:bottom w:val="single" w:sz="4" w:space="0" w:color="auto"/>
              <w:right w:val="single" w:sz="4" w:space="0" w:color="auto"/>
            </w:tcBorders>
            <w:vAlign w:val="center"/>
            <w:hideMark/>
          </w:tcPr>
          <w:p w14:paraId="4B91C01B" w14:textId="77777777" w:rsidR="00656367" w:rsidRPr="008903D1" w:rsidRDefault="00656367" w:rsidP="00622AC7">
            <w:pPr>
              <w:spacing w:line="240" w:lineRule="auto"/>
              <w:rPr>
                <w:rFonts w:eastAsia="Times New Roman" w:cs="Times New Roman"/>
                <w:color w:val="000000"/>
                <w:sz w:val="22"/>
              </w:rPr>
            </w:pPr>
          </w:p>
        </w:tc>
        <w:tc>
          <w:tcPr>
            <w:tcW w:w="1365" w:type="dxa"/>
            <w:tcBorders>
              <w:top w:val="nil"/>
              <w:left w:val="nil"/>
              <w:bottom w:val="single" w:sz="4" w:space="0" w:color="auto"/>
              <w:right w:val="single" w:sz="4" w:space="0" w:color="auto"/>
            </w:tcBorders>
            <w:shd w:val="clear" w:color="auto" w:fill="auto"/>
            <w:vAlign w:val="center"/>
            <w:hideMark/>
          </w:tcPr>
          <w:p w14:paraId="3183A247" w14:textId="77777777" w:rsidR="00656367" w:rsidRPr="008903D1" w:rsidRDefault="00656367" w:rsidP="00622AC7">
            <w:pPr>
              <w:spacing w:line="240" w:lineRule="auto"/>
              <w:jc w:val="left"/>
              <w:rPr>
                <w:rFonts w:eastAsia="Times New Roman" w:cs="Times New Roman"/>
                <w:color w:val="000000"/>
                <w:sz w:val="22"/>
              </w:rPr>
            </w:pPr>
            <w:r w:rsidRPr="008903D1">
              <w:rPr>
                <w:rFonts w:eastAsia="Times New Roman" w:cs="Times New Roman"/>
                <w:color w:val="000000"/>
                <w:sz w:val="22"/>
              </w:rPr>
              <w:t>Real estate</w:t>
            </w:r>
          </w:p>
        </w:tc>
        <w:tc>
          <w:tcPr>
            <w:tcW w:w="5447" w:type="dxa"/>
            <w:tcBorders>
              <w:top w:val="single" w:sz="4" w:space="0" w:color="auto"/>
              <w:left w:val="nil"/>
              <w:bottom w:val="single" w:sz="4" w:space="0" w:color="auto"/>
              <w:right w:val="single" w:sz="4" w:space="0" w:color="auto"/>
              <w:tl2br w:val="single" w:sz="4" w:space="0" w:color="auto"/>
            </w:tcBorders>
            <w:shd w:val="clear" w:color="auto" w:fill="auto"/>
            <w:vAlign w:val="center"/>
            <w:hideMark/>
          </w:tcPr>
          <w:p w14:paraId="21F548CC" w14:textId="77777777" w:rsidR="00656367" w:rsidRPr="00544099" w:rsidRDefault="00656367" w:rsidP="00544099">
            <w:pPr>
              <w:spacing w:line="240" w:lineRule="auto"/>
              <w:jc w:val="left"/>
              <w:rPr>
                <w:rFonts w:eastAsia="Times New Roman" w:cs="Times New Roman"/>
                <w:color w:val="000000"/>
                <w:sz w:val="22"/>
              </w:rPr>
            </w:pPr>
            <w:r w:rsidRPr="00544099">
              <w:rPr>
                <w:rFonts w:eastAsia="Times New Roman" w:cs="Times New Roman"/>
                <w:color w:val="000000"/>
                <w:sz w:val="22"/>
              </w:rPr>
              <w:t> </w:t>
            </w:r>
          </w:p>
        </w:tc>
        <w:tc>
          <w:tcPr>
            <w:tcW w:w="2970" w:type="dxa"/>
            <w:tcBorders>
              <w:top w:val="nil"/>
              <w:left w:val="nil"/>
              <w:bottom w:val="single" w:sz="4" w:space="0" w:color="auto"/>
              <w:right w:val="single" w:sz="4" w:space="0" w:color="auto"/>
            </w:tcBorders>
            <w:shd w:val="clear" w:color="auto" w:fill="auto"/>
            <w:vAlign w:val="center"/>
            <w:hideMark/>
          </w:tcPr>
          <w:p w14:paraId="59F68D21"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Environmental progress is insignificant</w:t>
            </w:r>
          </w:p>
        </w:tc>
        <w:tc>
          <w:tcPr>
            <w:tcW w:w="3055" w:type="dxa"/>
            <w:tcBorders>
              <w:top w:val="single" w:sz="4" w:space="0" w:color="auto"/>
              <w:left w:val="nil"/>
              <w:bottom w:val="single" w:sz="4" w:space="0" w:color="auto"/>
              <w:right w:val="single" w:sz="4" w:space="0" w:color="auto"/>
              <w:tl2br w:val="single" w:sz="4" w:space="0" w:color="auto"/>
            </w:tcBorders>
            <w:shd w:val="clear" w:color="auto" w:fill="auto"/>
            <w:vAlign w:val="center"/>
            <w:hideMark/>
          </w:tcPr>
          <w:p w14:paraId="62910EB7"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 </w:t>
            </w:r>
          </w:p>
        </w:tc>
      </w:tr>
      <w:tr w:rsidR="00656367" w:rsidRPr="008903D1" w14:paraId="4CC76447" w14:textId="77777777" w:rsidTr="00424128">
        <w:trPr>
          <w:trHeight w:val="1260"/>
        </w:trPr>
        <w:tc>
          <w:tcPr>
            <w:tcW w:w="1463" w:type="dxa"/>
            <w:vMerge w:val="restart"/>
            <w:tcBorders>
              <w:top w:val="nil"/>
              <w:left w:val="single" w:sz="4" w:space="0" w:color="auto"/>
              <w:bottom w:val="single" w:sz="4" w:space="0" w:color="auto"/>
              <w:right w:val="single" w:sz="4" w:space="0" w:color="auto"/>
            </w:tcBorders>
            <w:shd w:val="clear" w:color="auto" w:fill="auto"/>
            <w:vAlign w:val="center"/>
            <w:hideMark/>
          </w:tcPr>
          <w:p w14:paraId="64BC74E5" w14:textId="77777777" w:rsidR="00656367" w:rsidRPr="008903D1" w:rsidRDefault="00656367" w:rsidP="00622AC7">
            <w:pPr>
              <w:spacing w:line="240" w:lineRule="auto"/>
              <w:rPr>
                <w:rFonts w:eastAsia="Times New Roman" w:cs="Times New Roman"/>
                <w:color w:val="000000"/>
                <w:sz w:val="22"/>
              </w:rPr>
            </w:pPr>
            <w:r w:rsidRPr="008903D1">
              <w:rPr>
                <w:rFonts w:eastAsia="Times New Roman" w:cs="Times New Roman"/>
                <w:color w:val="000000"/>
                <w:sz w:val="22"/>
              </w:rPr>
              <w:t>RSUCC</w:t>
            </w:r>
          </w:p>
        </w:tc>
        <w:tc>
          <w:tcPr>
            <w:tcW w:w="1365" w:type="dxa"/>
            <w:tcBorders>
              <w:top w:val="nil"/>
              <w:left w:val="nil"/>
              <w:bottom w:val="single" w:sz="4" w:space="0" w:color="auto"/>
              <w:right w:val="single" w:sz="4" w:space="0" w:color="auto"/>
            </w:tcBorders>
            <w:shd w:val="clear" w:color="auto" w:fill="auto"/>
            <w:vAlign w:val="center"/>
            <w:hideMark/>
          </w:tcPr>
          <w:p w14:paraId="2CDD4E95" w14:textId="77777777" w:rsidR="00656367" w:rsidRPr="008903D1" w:rsidRDefault="00656367" w:rsidP="00622AC7">
            <w:pPr>
              <w:spacing w:line="240" w:lineRule="auto"/>
              <w:jc w:val="left"/>
              <w:rPr>
                <w:rFonts w:eastAsia="Times New Roman" w:cs="Times New Roman"/>
                <w:color w:val="000000"/>
                <w:sz w:val="22"/>
              </w:rPr>
            </w:pPr>
            <w:r w:rsidRPr="008903D1">
              <w:rPr>
                <w:rFonts w:eastAsia="Times New Roman" w:cs="Times New Roman"/>
                <w:color w:val="000000"/>
                <w:sz w:val="22"/>
              </w:rPr>
              <w:t>Office of Royal Seaport</w:t>
            </w:r>
          </w:p>
        </w:tc>
        <w:tc>
          <w:tcPr>
            <w:tcW w:w="5447" w:type="dxa"/>
            <w:tcBorders>
              <w:top w:val="nil"/>
              <w:left w:val="nil"/>
              <w:bottom w:val="single" w:sz="4" w:space="0" w:color="auto"/>
              <w:right w:val="single" w:sz="4" w:space="0" w:color="auto"/>
            </w:tcBorders>
            <w:shd w:val="clear" w:color="auto" w:fill="auto"/>
            <w:vAlign w:val="center"/>
            <w:hideMark/>
          </w:tcPr>
          <w:p w14:paraId="411C785B"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Cost increases</w:t>
            </w:r>
          </w:p>
          <w:p w14:paraId="7C4206CF" w14:textId="1CC9E335" w:rsidR="00656367" w:rsidRPr="008903D1" w:rsidRDefault="0090774A" w:rsidP="00A323CC">
            <w:pPr>
              <w:pStyle w:val="ListParagraph"/>
              <w:numPr>
                <w:ilvl w:val="0"/>
                <w:numId w:val="23"/>
              </w:numPr>
              <w:spacing w:line="240" w:lineRule="auto"/>
              <w:ind w:left="360"/>
              <w:jc w:val="left"/>
              <w:rPr>
                <w:rFonts w:eastAsia="Times New Roman" w:cs="Times New Roman"/>
                <w:color w:val="000000"/>
                <w:sz w:val="22"/>
              </w:rPr>
            </w:pPr>
            <w:r>
              <w:rPr>
                <w:rFonts w:eastAsia="Times New Roman" w:cs="Times New Roman"/>
                <w:color w:val="000000"/>
                <w:sz w:val="22"/>
              </w:rPr>
              <w:t xml:space="preserve">UCC only could </w:t>
            </w:r>
            <w:r w:rsidR="000D7102">
              <w:rPr>
                <w:rFonts w:eastAsia="Times New Roman" w:cs="Times New Roman"/>
                <w:color w:val="000000"/>
                <w:sz w:val="22"/>
              </w:rPr>
              <w:t>provide s</w:t>
            </w:r>
            <w:r w:rsidR="00656367" w:rsidRPr="008903D1">
              <w:rPr>
                <w:rFonts w:eastAsia="Times New Roman" w:cs="Times New Roman"/>
                <w:color w:val="000000"/>
                <w:sz w:val="22"/>
              </w:rPr>
              <w:t xml:space="preserve">ervices for limited types of </w:t>
            </w:r>
            <w:proofErr w:type="gramStart"/>
            <w:r w:rsidR="00656367" w:rsidRPr="008903D1">
              <w:rPr>
                <w:rFonts w:eastAsia="Times New Roman" w:cs="Times New Roman"/>
                <w:color w:val="000000"/>
                <w:sz w:val="22"/>
              </w:rPr>
              <w:t>product</w:t>
            </w:r>
            <w:proofErr w:type="gramEnd"/>
          </w:p>
          <w:p w14:paraId="0C0C258B"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 xml:space="preserve">High rates of goods damage </w:t>
            </w:r>
          </w:p>
          <w:p w14:paraId="4909002A" w14:textId="49DDAEFD" w:rsidR="00656367" w:rsidRPr="008903D1" w:rsidRDefault="00593D30" w:rsidP="00A323CC">
            <w:pPr>
              <w:pStyle w:val="ListParagraph"/>
              <w:numPr>
                <w:ilvl w:val="0"/>
                <w:numId w:val="23"/>
              </w:numPr>
              <w:spacing w:line="240" w:lineRule="auto"/>
              <w:ind w:left="360"/>
              <w:jc w:val="left"/>
              <w:rPr>
                <w:rFonts w:eastAsia="Times New Roman" w:cs="Times New Roman"/>
                <w:color w:val="000000"/>
                <w:sz w:val="22"/>
              </w:rPr>
            </w:pPr>
            <w:r>
              <w:rPr>
                <w:rFonts w:eastAsia="Times New Roman" w:cs="Times New Roman"/>
                <w:color w:val="000000"/>
                <w:sz w:val="22"/>
              </w:rPr>
              <w:t>Additional</w:t>
            </w:r>
            <w:r w:rsidR="00656367" w:rsidRPr="008903D1">
              <w:rPr>
                <w:rFonts w:eastAsia="Times New Roman" w:cs="Times New Roman"/>
                <w:color w:val="000000"/>
                <w:sz w:val="22"/>
              </w:rPr>
              <w:t xml:space="preserve"> time </w:t>
            </w:r>
            <w:r>
              <w:rPr>
                <w:rFonts w:eastAsia="Times New Roman" w:cs="Times New Roman"/>
                <w:color w:val="000000"/>
                <w:sz w:val="22"/>
              </w:rPr>
              <w:t xml:space="preserve">generated by goods handling </w:t>
            </w:r>
            <w:proofErr w:type="gramStart"/>
            <w:r>
              <w:rPr>
                <w:rFonts w:eastAsia="Times New Roman" w:cs="Times New Roman"/>
                <w:color w:val="000000"/>
                <w:sz w:val="22"/>
              </w:rPr>
              <w:t>process</w:t>
            </w:r>
            <w:proofErr w:type="gramEnd"/>
          </w:p>
          <w:p w14:paraId="79582DB6"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Additional staff training required</w:t>
            </w:r>
          </w:p>
        </w:tc>
        <w:tc>
          <w:tcPr>
            <w:tcW w:w="2970" w:type="dxa"/>
            <w:tcBorders>
              <w:top w:val="single" w:sz="4" w:space="0" w:color="auto"/>
              <w:left w:val="nil"/>
              <w:bottom w:val="single" w:sz="4" w:space="0" w:color="auto"/>
              <w:right w:val="single" w:sz="4" w:space="0" w:color="auto"/>
              <w:tl2br w:val="single" w:sz="4" w:space="0" w:color="auto"/>
            </w:tcBorders>
            <w:shd w:val="clear" w:color="auto" w:fill="auto"/>
            <w:vAlign w:val="center"/>
            <w:hideMark/>
          </w:tcPr>
          <w:p w14:paraId="46DE92E2" w14:textId="77777777" w:rsidR="00656367" w:rsidRPr="00544099" w:rsidRDefault="00656367" w:rsidP="00544099">
            <w:pPr>
              <w:spacing w:line="240" w:lineRule="auto"/>
              <w:jc w:val="left"/>
              <w:rPr>
                <w:rFonts w:eastAsia="Times New Roman" w:cs="Times New Roman"/>
                <w:color w:val="000000"/>
                <w:sz w:val="22"/>
              </w:rPr>
            </w:pPr>
            <w:r w:rsidRPr="00544099">
              <w:rPr>
                <w:rFonts w:eastAsia="Times New Roman" w:cs="Times New Roman"/>
                <w:color w:val="000000"/>
                <w:sz w:val="22"/>
              </w:rPr>
              <w:t> </w:t>
            </w:r>
          </w:p>
        </w:tc>
        <w:tc>
          <w:tcPr>
            <w:tcW w:w="3055" w:type="dxa"/>
            <w:tcBorders>
              <w:top w:val="nil"/>
              <w:left w:val="nil"/>
              <w:bottom w:val="single" w:sz="4" w:space="0" w:color="auto"/>
              <w:right w:val="single" w:sz="4" w:space="0" w:color="auto"/>
            </w:tcBorders>
            <w:shd w:val="clear" w:color="auto" w:fill="auto"/>
            <w:vAlign w:val="center"/>
            <w:hideMark/>
          </w:tcPr>
          <w:p w14:paraId="63B5B401" w14:textId="61FFCEEB"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 xml:space="preserve">Strong </w:t>
            </w:r>
            <w:r w:rsidR="00C06887">
              <w:rPr>
                <w:rFonts w:eastAsia="Times New Roman" w:cs="Times New Roman"/>
                <w:color w:val="000000"/>
                <w:sz w:val="22"/>
              </w:rPr>
              <w:t>p</w:t>
            </w:r>
            <w:r w:rsidR="00E33EF8">
              <w:rPr>
                <w:rFonts w:eastAsia="Times New Roman" w:cs="Times New Roman"/>
                <w:color w:val="000000"/>
                <w:sz w:val="22"/>
              </w:rPr>
              <w:t>olitical intervention</w:t>
            </w:r>
            <w:r w:rsidR="0073170B">
              <w:rPr>
                <w:rFonts w:eastAsia="Times New Roman" w:cs="Times New Roman"/>
                <w:color w:val="000000"/>
                <w:sz w:val="22"/>
              </w:rPr>
              <w:t xml:space="preserve"> causes the justification issues. </w:t>
            </w:r>
          </w:p>
        </w:tc>
      </w:tr>
      <w:tr w:rsidR="00656367" w:rsidRPr="008903D1" w14:paraId="67471EBE" w14:textId="77777777" w:rsidTr="00424128">
        <w:trPr>
          <w:trHeight w:val="600"/>
        </w:trPr>
        <w:tc>
          <w:tcPr>
            <w:tcW w:w="1463" w:type="dxa"/>
            <w:vMerge/>
            <w:tcBorders>
              <w:top w:val="nil"/>
              <w:left w:val="single" w:sz="4" w:space="0" w:color="auto"/>
              <w:bottom w:val="single" w:sz="4" w:space="0" w:color="auto"/>
              <w:right w:val="single" w:sz="4" w:space="0" w:color="auto"/>
            </w:tcBorders>
            <w:vAlign w:val="center"/>
            <w:hideMark/>
          </w:tcPr>
          <w:p w14:paraId="185ED070" w14:textId="77777777" w:rsidR="00656367" w:rsidRPr="008903D1" w:rsidRDefault="00656367" w:rsidP="00622AC7">
            <w:pPr>
              <w:spacing w:line="240" w:lineRule="auto"/>
              <w:rPr>
                <w:rFonts w:eastAsia="Times New Roman" w:cs="Times New Roman"/>
                <w:color w:val="000000"/>
                <w:sz w:val="22"/>
              </w:rPr>
            </w:pPr>
          </w:p>
        </w:tc>
        <w:tc>
          <w:tcPr>
            <w:tcW w:w="1365" w:type="dxa"/>
            <w:tcBorders>
              <w:top w:val="nil"/>
              <w:left w:val="nil"/>
              <w:bottom w:val="single" w:sz="4" w:space="0" w:color="auto"/>
              <w:right w:val="single" w:sz="4" w:space="0" w:color="auto"/>
            </w:tcBorders>
            <w:shd w:val="clear" w:color="auto" w:fill="auto"/>
            <w:vAlign w:val="center"/>
            <w:hideMark/>
          </w:tcPr>
          <w:p w14:paraId="086F0799" w14:textId="77777777" w:rsidR="00656367" w:rsidRPr="008903D1" w:rsidRDefault="00656367" w:rsidP="00622AC7">
            <w:pPr>
              <w:spacing w:line="240" w:lineRule="auto"/>
              <w:jc w:val="left"/>
              <w:rPr>
                <w:rFonts w:eastAsia="Times New Roman" w:cs="Times New Roman"/>
                <w:color w:val="000000"/>
                <w:sz w:val="22"/>
              </w:rPr>
            </w:pPr>
            <w:r w:rsidRPr="008903D1">
              <w:rPr>
                <w:rFonts w:eastAsia="Times New Roman" w:cs="Times New Roman"/>
                <w:color w:val="000000"/>
                <w:sz w:val="22"/>
              </w:rPr>
              <w:t>Facility operator</w:t>
            </w:r>
          </w:p>
        </w:tc>
        <w:tc>
          <w:tcPr>
            <w:tcW w:w="5447" w:type="dxa"/>
            <w:tcBorders>
              <w:top w:val="nil"/>
              <w:left w:val="nil"/>
              <w:bottom w:val="single" w:sz="4" w:space="0" w:color="auto"/>
              <w:right w:val="single" w:sz="4" w:space="0" w:color="auto"/>
            </w:tcBorders>
            <w:shd w:val="clear" w:color="auto" w:fill="auto"/>
            <w:vAlign w:val="center"/>
            <w:hideMark/>
          </w:tcPr>
          <w:p w14:paraId="0F8EE086" w14:textId="60597DD7" w:rsidR="00656367" w:rsidRPr="005B7F1B"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Issues for the management of relationships between different companies</w:t>
            </w:r>
          </w:p>
        </w:tc>
        <w:tc>
          <w:tcPr>
            <w:tcW w:w="2970" w:type="dxa"/>
            <w:tcBorders>
              <w:top w:val="single" w:sz="4" w:space="0" w:color="auto"/>
              <w:left w:val="nil"/>
              <w:bottom w:val="single" w:sz="4" w:space="0" w:color="auto"/>
              <w:right w:val="single" w:sz="4" w:space="0" w:color="auto"/>
              <w:tl2br w:val="single" w:sz="4" w:space="0" w:color="auto"/>
            </w:tcBorders>
            <w:shd w:val="clear" w:color="auto" w:fill="auto"/>
            <w:vAlign w:val="center"/>
            <w:hideMark/>
          </w:tcPr>
          <w:p w14:paraId="77482C0C" w14:textId="77777777" w:rsidR="00656367" w:rsidRPr="00544099" w:rsidRDefault="00656367" w:rsidP="00544099">
            <w:pPr>
              <w:spacing w:line="240" w:lineRule="auto"/>
              <w:jc w:val="left"/>
              <w:rPr>
                <w:rFonts w:eastAsia="Times New Roman" w:cs="Times New Roman"/>
                <w:color w:val="000000"/>
                <w:sz w:val="22"/>
              </w:rPr>
            </w:pPr>
            <w:r w:rsidRPr="00544099">
              <w:rPr>
                <w:rFonts w:eastAsia="Times New Roman" w:cs="Times New Roman"/>
                <w:color w:val="000000"/>
                <w:sz w:val="22"/>
              </w:rPr>
              <w:t> </w:t>
            </w:r>
          </w:p>
        </w:tc>
        <w:tc>
          <w:tcPr>
            <w:tcW w:w="3055" w:type="dxa"/>
            <w:tcBorders>
              <w:top w:val="single" w:sz="4" w:space="0" w:color="auto"/>
              <w:left w:val="nil"/>
              <w:bottom w:val="single" w:sz="4" w:space="0" w:color="auto"/>
              <w:right w:val="single" w:sz="4" w:space="0" w:color="auto"/>
            </w:tcBorders>
            <w:shd w:val="clear" w:color="auto" w:fill="auto"/>
            <w:vAlign w:val="center"/>
            <w:hideMark/>
          </w:tcPr>
          <w:p w14:paraId="26CED17B" w14:textId="2AC9CC3A" w:rsidR="00656367" w:rsidRPr="005B7F1B" w:rsidRDefault="005B7F1B" w:rsidP="00A323CC">
            <w:pPr>
              <w:pStyle w:val="ListParagraph"/>
              <w:numPr>
                <w:ilvl w:val="0"/>
                <w:numId w:val="23"/>
              </w:numPr>
              <w:spacing w:line="240" w:lineRule="auto"/>
              <w:ind w:left="360"/>
              <w:jc w:val="left"/>
              <w:rPr>
                <w:rFonts w:eastAsia="Times New Roman" w:cs="Times New Roman"/>
                <w:color w:val="000000"/>
                <w:sz w:val="22"/>
              </w:rPr>
            </w:pPr>
            <w:r w:rsidRPr="005B7F1B">
              <w:rPr>
                <w:rFonts w:eastAsia="Times New Roman" w:cs="Times New Roman"/>
                <w:color w:val="000000"/>
                <w:sz w:val="22"/>
              </w:rPr>
              <w:t>Insufficient human resources during vacation period</w:t>
            </w:r>
          </w:p>
        </w:tc>
      </w:tr>
      <w:tr w:rsidR="00656367" w:rsidRPr="008903D1" w14:paraId="618DEB5C" w14:textId="77777777" w:rsidTr="00424128">
        <w:trPr>
          <w:trHeight w:val="612"/>
        </w:trPr>
        <w:tc>
          <w:tcPr>
            <w:tcW w:w="1463" w:type="dxa"/>
            <w:vMerge/>
            <w:tcBorders>
              <w:top w:val="nil"/>
              <w:left w:val="single" w:sz="4" w:space="0" w:color="auto"/>
              <w:bottom w:val="single" w:sz="4" w:space="0" w:color="auto"/>
              <w:right w:val="single" w:sz="4" w:space="0" w:color="auto"/>
            </w:tcBorders>
            <w:vAlign w:val="center"/>
            <w:hideMark/>
          </w:tcPr>
          <w:p w14:paraId="2E734EAB" w14:textId="77777777" w:rsidR="00656367" w:rsidRPr="008903D1" w:rsidRDefault="00656367" w:rsidP="00622AC7">
            <w:pPr>
              <w:spacing w:line="240" w:lineRule="auto"/>
              <w:rPr>
                <w:rFonts w:eastAsia="Times New Roman" w:cs="Times New Roman"/>
                <w:color w:val="000000"/>
                <w:sz w:val="22"/>
              </w:rPr>
            </w:pPr>
          </w:p>
        </w:tc>
        <w:tc>
          <w:tcPr>
            <w:tcW w:w="1365" w:type="dxa"/>
            <w:tcBorders>
              <w:top w:val="nil"/>
              <w:left w:val="nil"/>
              <w:bottom w:val="single" w:sz="4" w:space="0" w:color="auto"/>
              <w:right w:val="single" w:sz="4" w:space="0" w:color="auto"/>
            </w:tcBorders>
            <w:shd w:val="clear" w:color="auto" w:fill="auto"/>
            <w:vAlign w:val="center"/>
            <w:hideMark/>
          </w:tcPr>
          <w:p w14:paraId="189DC253" w14:textId="77777777" w:rsidR="00656367" w:rsidRPr="008903D1" w:rsidRDefault="00656367" w:rsidP="00622AC7">
            <w:pPr>
              <w:spacing w:line="240" w:lineRule="auto"/>
              <w:jc w:val="left"/>
              <w:rPr>
                <w:rFonts w:eastAsia="Times New Roman" w:cs="Times New Roman"/>
                <w:color w:val="000000"/>
                <w:sz w:val="22"/>
              </w:rPr>
            </w:pPr>
            <w:r w:rsidRPr="008903D1">
              <w:rPr>
                <w:rFonts w:eastAsia="Times New Roman" w:cs="Times New Roman"/>
                <w:color w:val="000000"/>
                <w:sz w:val="22"/>
              </w:rPr>
              <w:t>Customers</w:t>
            </w:r>
          </w:p>
        </w:tc>
        <w:tc>
          <w:tcPr>
            <w:tcW w:w="5447" w:type="dxa"/>
            <w:tcBorders>
              <w:top w:val="nil"/>
              <w:left w:val="nil"/>
              <w:bottom w:val="single" w:sz="4" w:space="0" w:color="auto"/>
              <w:right w:val="single" w:sz="4" w:space="0" w:color="auto"/>
            </w:tcBorders>
            <w:shd w:val="clear" w:color="auto" w:fill="auto"/>
            <w:vAlign w:val="center"/>
            <w:hideMark/>
          </w:tcPr>
          <w:p w14:paraId="7734B993"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Extra costs for delivery</w:t>
            </w:r>
          </w:p>
          <w:p w14:paraId="3CC02AEC"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 xml:space="preserve">High rates of goods damage </w:t>
            </w:r>
          </w:p>
          <w:p w14:paraId="333B7694" w14:textId="4BD1E4F4" w:rsidR="00656367" w:rsidRPr="00C43985" w:rsidRDefault="00C43985" w:rsidP="00A323CC">
            <w:pPr>
              <w:pStyle w:val="ListParagraph"/>
              <w:numPr>
                <w:ilvl w:val="0"/>
                <w:numId w:val="23"/>
              </w:numPr>
              <w:spacing w:line="240" w:lineRule="auto"/>
              <w:ind w:left="360"/>
              <w:jc w:val="left"/>
              <w:rPr>
                <w:rFonts w:eastAsia="Times New Roman" w:cs="Times New Roman"/>
                <w:color w:val="000000"/>
                <w:sz w:val="22"/>
              </w:rPr>
            </w:pPr>
            <w:r>
              <w:rPr>
                <w:rFonts w:eastAsia="Times New Roman" w:cs="Times New Roman"/>
                <w:color w:val="000000"/>
                <w:sz w:val="22"/>
              </w:rPr>
              <w:lastRenderedPageBreak/>
              <w:t>Additional</w:t>
            </w:r>
            <w:r w:rsidRPr="008903D1">
              <w:rPr>
                <w:rFonts w:eastAsia="Times New Roman" w:cs="Times New Roman"/>
                <w:color w:val="000000"/>
                <w:sz w:val="22"/>
              </w:rPr>
              <w:t xml:space="preserve"> time </w:t>
            </w:r>
            <w:r>
              <w:rPr>
                <w:rFonts w:eastAsia="Times New Roman" w:cs="Times New Roman"/>
                <w:color w:val="000000"/>
                <w:sz w:val="22"/>
              </w:rPr>
              <w:t>generated by goods handling process</w:t>
            </w:r>
          </w:p>
        </w:tc>
        <w:tc>
          <w:tcPr>
            <w:tcW w:w="2970" w:type="dxa"/>
            <w:tcBorders>
              <w:top w:val="single" w:sz="4" w:space="0" w:color="auto"/>
              <w:left w:val="nil"/>
              <w:bottom w:val="single" w:sz="4" w:space="0" w:color="auto"/>
              <w:right w:val="single" w:sz="4" w:space="0" w:color="auto"/>
              <w:tl2br w:val="single" w:sz="4" w:space="0" w:color="auto"/>
            </w:tcBorders>
            <w:shd w:val="clear" w:color="auto" w:fill="auto"/>
            <w:vAlign w:val="center"/>
            <w:hideMark/>
          </w:tcPr>
          <w:p w14:paraId="0B40D340" w14:textId="7F8B9555" w:rsidR="00656367" w:rsidRPr="008903D1" w:rsidRDefault="00656367" w:rsidP="00544099">
            <w:pPr>
              <w:pStyle w:val="ListParagraph"/>
              <w:spacing w:line="240" w:lineRule="auto"/>
              <w:ind w:left="360"/>
              <w:jc w:val="left"/>
              <w:rPr>
                <w:rFonts w:eastAsia="Times New Roman" w:cs="Times New Roman"/>
                <w:color w:val="000000"/>
                <w:sz w:val="22"/>
              </w:rPr>
            </w:pPr>
          </w:p>
        </w:tc>
        <w:tc>
          <w:tcPr>
            <w:tcW w:w="3055" w:type="dxa"/>
            <w:tcBorders>
              <w:top w:val="single" w:sz="4" w:space="0" w:color="auto"/>
              <w:left w:val="nil"/>
              <w:bottom w:val="single" w:sz="4" w:space="0" w:color="auto"/>
              <w:right w:val="single" w:sz="4" w:space="0" w:color="auto"/>
              <w:tl2br w:val="single" w:sz="4" w:space="0" w:color="auto"/>
            </w:tcBorders>
            <w:shd w:val="clear" w:color="auto" w:fill="auto"/>
            <w:vAlign w:val="center"/>
            <w:hideMark/>
          </w:tcPr>
          <w:p w14:paraId="50F4FCAA" w14:textId="77777777" w:rsidR="00656367" w:rsidRPr="00544099" w:rsidRDefault="00656367" w:rsidP="00544099">
            <w:pPr>
              <w:spacing w:line="240" w:lineRule="auto"/>
              <w:jc w:val="left"/>
              <w:rPr>
                <w:rFonts w:eastAsia="Times New Roman" w:cs="Times New Roman"/>
                <w:color w:val="000000"/>
                <w:sz w:val="22"/>
              </w:rPr>
            </w:pPr>
            <w:r w:rsidRPr="00544099">
              <w:rPr>
                <w:rFonts w:eastAsia="Times New Roman" w:cs="Times New Roman"/>
                <w:color w:val="000000"/>
                <w:sz w:val="22"/>
              </w:rPr>
              <w:t> </w:t>
            </w:r>
          </w:p>
        </w:tc>
      </w:tr>
      <w:tr w:rsidR="00656367" w:rsidRPr="008903D1" w14:paraId="3489E234" w14:textId="77777777" w:rsidTr="00424128">
        <w:trPr>
          <w:trHeight w:val="40"/>
        </w:trPr>
        <w:tc>
          <w:tcPr>
            <w:tcW w:w="1463" w:type="dxa"/>
            <w:vMerge w:val="restart"/>
            <w:tcBorders>
              <w:top w:val="nil"/>
              <w:left w:val="single" w:sz="4" w:space="0" w:color="auto"/>
              <w:bottom w:val="single" w:sz="4" w:space="0" w:color="auto"/>
              <w:right w:val="single" w:sz="4" w:space="0" w:color="auto"/>
            </w:tcBorders>
            <w:shd w:val="clear" w:color="auto" w:fill="auto"/>
            <w:vAlign w:val="center"/>
            <w:hideMark/>
          </w:tcPr>
          <w:p w14:paraId="1C8B0DF4" w14:textId="77777777" w:rsidR="00656367" w:rsidRPr="008903D1" w:rsidRDefault="00656367" w:rsidP="00622AC7">
            <w:pPr>
              <w:spacing w:line="240" w:lineRule="auto"/>
              <w:rPr>
                <w:rFonts w:eastAsia="Times New Roman" w:cs="Times New Roman"/>
                <w:color w:val="000000"/>
                <w:sz w:val="22"/>
              </w:rPr>
            </w:pPr>
            <w:r w:rsidRPr="008903D1">
              <w:rPr>
                <w:rFonts w:eastAsia="Times New Roman" w:cs="Times New Roman"/>
                <w:color w:val="000000"/>
                <w:sz w:val="22"/>
              </w:rPr>
              <w:t>CAUCC</w:t>
            </w:r>
          </w:p>
        </w:tc>
        <w:tc>
          <w:tcPr>
            <w:tcW w:w="1365" w:type="dxa"/>
            <w:tcBorders>
              <w:top w:val="nil"/>
              <w:left w:val="nil"/>
              <w:bottom w:val="single" w:sz="4" w:space="0" w:color="auto"/>
              <w:right w:val="single" w:sz="4" w:space="0" w:color="auto"/>
            </w:tcBorders>
            <w:shd w:val="clear" w:color="auto" w:fill="auto"/>
            <w:vAlign w:val="center"/>
            <w:hideMark/>
          </w:tcPr>
          <w:p w14:paraId="1DA301D7" w14:textId="77777777" w:rsidR="00656367" w:rsidRPr="008903D1" w:rsidRDefault="00656367" w:rsidP="00622AC7">
            <w:pPr>
              <w:spacing w:line="240" w:lineRule="auto"/>
              <w:jc w:val="left"/>
              <w:rPr>
                <w:rFonts w:eastAsia="Times New Roman" w:cs="Times New Roman"/>
                <w:color w:val="000000"/>
                <w:sz w:val="22"/>
              </w:rPr>
            </w:pPr>
            <w:r w:rsidRPr="008903D1">
              <w:rPr>
                <w:rFonts w:eastAsia="Times New Roman" w:cs="Times New Roman"/>
                <w:color w:val="000000"/>
                <w:sz w:val="22"/>
              </w:rPr>
              <w:t>Company A</w:t>
            </w:r>
          </w:p>
        </w:tc>
        <w:tc>
          <w:tcPr>
            <w:tcW w:w="5447" w:type="dxa"/>
            <w:tcBorders>
              <w:top w:val="nil"/>
              <w:left w:val="nil"/>
              <w:bottom w:val="single" w:sz="4" w:space="0" w:color="auto"/>
              <w:right w:val="single" w:sz="4" w:space="0" w:color="auto"/>
            </w:tcBorders>
            <w:shd w:val="clear" w:color="auto" w:fill="auto"/>
            <w:vAlign w:val="center"/>
            <w:hideMark/>
          </w:tcPr>
          <w:p w14:paraId="118A516D" w14:textId="5825B3DA"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 xml:space="preserve">Changes </w:t>
            </w:r>
            <w:r w:rsidR="000D7102">
              <w:rPr>
                <w:rFonts w:eastAsia="Times New Roman" w:cs="Times New Roman"/>
                <w:color w:val="000000"/>
                <w:sz w:val="22"/>
              </w:rPr>
              <w:t>of</w:t>
            </w:r>
            <w:r w:rsidRPr="008903D1">
              <w:rPr>
                <w:rFonts w:eastAsia="Times New Roman" w:cs="Times New Roman"/>
                <w:color w:val="000000"/>
                <w:sz w:val="22"/>
              </w:rPr>
              <w:t xml:space="preserve"> business strategy</w:t>
            </w:r>
            <w:r w:rsidR="000D7102">
              <w:rPr>
                <w:rFonts w:eastAsia="Times New Roman" w:cs="Times New Roman"/>
                <w:color w:val="000000"/>
                <w:sz w:val="22"/>
              </w:rPr>
              <w:t xml:space="preserve"> by Company A may cause the break the cooperation between seven eight medical </w:t>
            </w:r>
            <w:proofErr w:type="gramStart"/>
            <w:r w:rsidR="000D7102">
              <w:rPr>
                <w:rFonts w:eastAsia="Times New Roman" w:cs="Times New Roman"/>
                <w:color w:val="000000"/>
                <w:sz w:val="22"/>
              </w:rPr>
              <w:t>suppliers</w:t>
            </w:r>
            <w:proofErr w:type="gramEnd"/>
            <w:r w:rsidR="000D7102">
              <w:rPr>
                <w:rFonts w:eastAsia="Times New Roman" w:cs="Times New Roman"/>
                <w:color w:val="000000"/>
                <w:sz w:val="22"/>
              </w:rPr>
              <w:t xml:space="preserve"> </w:t>
            </w:r>
          </w:p>
          <w:p w14:paraId="02627E8B" w14:textId="0DCA8DFA"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Unable to control increasing rate of expenditure</w:t>
            </w:r>
            <w:r w:rsidR="000178C7">
              <w:rPr>
                <w:rFonts w:eastAsia="Times New Roman" w:cs="Times New Roman"/>
                <w:color w:val="000000"/>
                <w:sz w:val="22"/>
              </w:rPr>
              <w:t xml:space="preserve"> for goods handling</w:t>
            </w:r>
            <w:r w:rsidR="000D7102">
              <w:rPr>
                <w:rFonts w:eastAsia="Times New Roman" w:cs="Times New Roman"/>
                <w:color w:val="000000"/>
                <w:sz w:val="22"/>
              </w:rPr>
              <w:t>.</w:t>
            </w:r>
          </w:p>
          <w:p w14:paraId="179D59F7" w14:textId="02A7303D" w:rsidR="00656367" w:rsidRPr="008903D1" w:rsidRDefault="00553C33" w:rsidP="00A323CC">
            <w:pPr>
              <w:pStyle w:val="ListParagraph"/>
              <w:numPr>
                <w:ilvl w:val="0"/>
                <w:numId w:val="23"/>
              </w:numPr>
              <w:spacing w:line="240" w:lineRule="auto"/>
              <w:ind w:left="360"/>
              <w:jc w:val="left"/>
              <w:rPr>
                <w:rFonts w:eastAsia="Times New Roman" w:cs="Times New Roman"/>
                <w:color w:val="000000"/>
                <w:sz w:val="22"/>
              </w:rPr>
            </w:pPr>
            <w:r>
              <w:rPr>
                <w:rFonts w:eastAsia="Times New Roman" w:cs="Times New Roman"/>
                <w:color w:val="000000"/>
                <w:sz w:val="22"/>
              </w:rPr>
              <w:t>Pre-configured</w:t>
            </w:r>
            <w:r w:rsidR="000178C7">
              <w:rPr>
                <w:rFonts w:eastAsia="Times New Roman" w:cs="Times New Roman"/>
                <w:color w:val="000000"/>
                <w:sz w:val="22"/>
              </w:rPr>
              <w:t xml:space="preserve"> goods handling </w:t>
            </w:r>
            <w:r>
              <w:rPr>
                <w:rFonts w:eastAsia="Times New Roman" w:cs="Times New Roman"/>
                <w:color w:val="000000"/>
                <w:sz w:val="22"/>
              </w:rPr>
              <w:t>ability cannot meet the d</w:t>
            </w:r>
            <w:r w:rsidR="00656367" w:rsidRPr="008903D1">
              <w:rPr>
                <w:rFonts w:eastAsia="Times New Roman" w:cs="Times New Roman"/>
                <w:color w:val="000000"/>
                <w:sz w:val="22"/>
              </w:rPr>
              <w:t xml:space="preserve">emand increased </w:t>
            </w:r>
            <w:r w:rsidRPr="008903D1">
              <w:rPr>
                <w:rFonts w:eastAsia="Times New Roman" w:cs="Times New Roman"/>
                <w:color w:val="000000"/>
                <w:sz w:val="22"/>
              </w:rPr>
              <w:t>significantly</w:t>
            </w:r>
          </w:p>
        </w:tc>
        <w:tc>
          <w:tcPr>
            <w:tcW w:w="2970" w:type="dxa"/>
            <w:tcBorders>
              <w:top w:val="single" w:sz="4" w:space="0" w:color="auto"/>
              <w:left w:val="nil"/>
              <w:bottom w:val="single" w:sz="4" w:space="0" w:color="auto"/>
              <w:right w:val="single" w:sz="4" w:space="0" w:color="auto"/>
              <w:tl2br w:val="single" w:sz="4" w:space="0" w:color="auto"/>
            </w:tcBorders>
            <w:shd w:val="clear" w:color="auto" w:fill="auto"/>
            <w:vAlign w:val="center"/>
            <w:hideMark/>
          </w:tcPr>
          <w:p w14:paraId="0A910671" w14:textId="77777777" w:rsidR="00656367" w:rsidRPr="008903D1" w:rsidRDefault="00656367" w:rsidP="008C15BA">
            <w:pPr>
              <w:pStyle w:val="ListParagraph"/>
              <w:spacing w:line="240" w:lineRule="auto"/>
              <w:ind w:left="360"/>
              <w:jc w:val="left"/>
              <w:rPr>
                <w:rFonts w:eastAsia="Times New Roman" w:cs="Times New Roman"/>
                <w:color w:val="000000"/>
                <w:sz w:val="22"/>
              </w:rPr>
            </w:pPr>
            <w:r w:rsidRPr="008903D1">
              <w:rPr>
                <w:rFonts w:eastAsia="Times New Roman" w:cs="Times New Roman"/>
                <w:color w:val="000000"/>
                <w:sz w:val="22"/>
              </w:rPr>
              <w:t> </w:t>
            </w:r>
          </w:p>
        </w:tc>
        <w:tc>
          <w:tcPr>
            <w:tcW w:w="3055" w:type="dxa"/>
            <w:tcBorders>
              <w:top w:val="single" w:sz="4" w:space="0" w:color="auto"/>
              <w:left w:val="nil"/>
              <w:bottom w:val="single" w:sz="4" w:space="0" w:color="auto"/>
              <w:right w:val="single" w:sz="4" w:space="0" w:color="auto"/>
              <w:tl2br w:val="single" w:sz="4" w:space="0" w:color="auto"/>
            </w:tcBorders>
            <w:shd w:val="clear" w:color="auto" w:fill="auto"/>
            <w:vAlign w:val="center"/>
          </w:tcPr>
          <w:p w14:paraId="78B0DFE2" w14:textId="77777777" w:rsidR="00656367" w:rsidRPr="008903D1" w:rsidRDefault="00656367" w:rsidP="008C15BA">
            <w:pPr>
              <w:pStyle w:val="ListParagraph"/>
              <w:spacing w:line="240" w:lineRule="auto"/>
              <w:ind w:left="360"/>
              <w:jc w:val="left"/>
              <w:rPr>
                <w:rFonts w:eastAsia="Times New Roman" w:cs="Times New Roman"/>
                <w:color w:val="000000"/>
                <w:sz w:val="22"/>
              </w:rPr>
            </w:pPr>
          </w:p>
        </w:tc>
      </w:tr>
      <w:tr w:rsidR="00656367" w:rsidRPr="008903D1" w14:paraId="5A9A75E8" w14:textId="77777777" w:rsidTr="00424128">
        <w:trPr>
          <w:trHeight w:val="841"/>
        </w:trPr>
        <w:tc>
          <w:tcPr>
            <w:tcW w:w="1463" w:type="dxa"/>
            <w:vMerge/>
            <w:tcBorders>
              <w:top w:val="nil"/>
              <w:left w:val="single" w:sz="4" w:space="0" w:color="auto"/>
              <w:bottom w:val="single" w:sz="4" w:space="0" w:color="auto"/>
              <w:right w:val="single" w:sz="4" w:space="0" w:color="auto"/>
            </w:tcBorders>
            <w:shd w:val="clear" w:color="auto" w:fill="auto"/>
            <w:vAlign w:val="center"/>
          </w:tcPr>
          <w:p w14:paraId="28B7BD88" w14:textId="77777777" w:rsidR="00656367" w:rsidRPr="008903D1" w:rsidRDefault="00656367" w:rsidP="00622AC7">
            <w:pPr>
              <w:spacing w:line="240" w:lineRule="auto"/>
              <w:rPr>
                <w:rFonts w:eastAsia="Times New Roman" w:cs="Times New Roman"/>
                <w:color w:val="000000"/>
                <w:sz w:val="22"/>
              </w:rPr>
            </w:pPr>
          </w:p>
        </w:tc>
        <w:tc>
          <w:tcPr>
            <w:tcW w:w="1365" w:type="dxa"/>
            <w:tcBorders>
              <w:top w:val="nil"/>
              <w:left w:val="nil"/>
              <w:bottom w:val="single" w:sz="4" w:space="0" w:color="auto"/>
              <w:right w:val="single" w:sz="4" w:space="0" w:color="auto"/>
            </w:tcBorders>
            <w:shd w:val="clear" w:color="auto" w:fill="auto"/>
            <w:vAlign w:val="center"/>
          </w:tcPr>
          <w:p w14:paraId="2BEEDFAD" w14:textId="77777777" w:rsidR="00656367" w:rsidRPr="008903D1" w:rsidRDefault="00656367" w:rsidP="00622AC7">
            <w:pPr>
              <w:spacing w:line="240" w:lineRule="auto"/>
              <w:jc w:val="left"/>
              <w:rPr>
                <w:rFonts w:eastAsia="Times New Roman" w:cs="Times New Roman"/>
                <w:color w:val="000000"/>
                <w:sz w:val="22"/>
              </w:rPr>
            </w:pPr>
            <w:r w:rsidRPr="008903D1">
              <w:rPr>
                <w:rFonts w:eastAsia="Times New Roman" w:cs="Times New Roman"/>
                <w:color w:val="000000"/>
                <w:sz w:val="22"/>
              </w:rPr>
              <w:t>Warehouse department</w:t>
            </w:r>
          </w:p>
        </w:tc>
        <w:tc>
          <w:tcPr>
            <w:tcW w:w="5447" w:type="dxa"/>
            <w:tcBorders>
              <w:top w:val="nil"/>
              <w:left w:val="nil"/>
              <w:bottom w:val="single" w:sz="4" w:space="0" w:color="auto"/>
              <w:right w:val="single" w:sz="4" w:space="0" w:color="auto"/>
            </w:tcBorders>
            <w:shd w:val="clear" w:color="auto" w:fill="auto"/>
            <w:vAlign w:val="center"/>
          </w:tcPr>
          <w:p w14:paraId="0607BE74" w14:textId="4DB0DAEA"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 xml:space="preserve">High risk of goods damage </w:t>
            </w:r>
            <w:r w:rsidR="009958AC">
              <w:rPr>
                <w:rFonts w:eastAsia="Times New Roman" w:cs="Times New Roman"/>
                <w:color w:val="000000"/>
                <w:sz w:val="22"/>
              </w:rPr>
              <w:t>rate during goods handling</w:t>
            </w:r>
          </w:p>
          <w:p w14:paraId="72220A01"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Unreasonable resource deployment between warehouse and distribution department</w:t>
            </w:r>
          </w:p>
        </w:tc>
        <w:tc>
          <w:tcPr>
            <w:tcW w:w="2970" w:type="dxa"/>
            <w:tcBorders>
              <w:top w:val="nil"/>
              <w:left w:val="nil"/>
              <w:bottom w:val="single" w:sz="4" w:space="0" w:color="auto"/>
              <w:right w:val="single" w:sz="4" w:space="0" w:color="auto"/>
            </w:tcBorders>
            <w:shd w:val="clear" w:color="auto" w:fill="auto"/>
            <w:vAlign w:val="center"/>
          </w:tcPr>
          <w:p w14:paraId="1EE6CC77" w14:textId="2B4ED3B8"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Lack of long-term measure</w:t>
            </w:r>
            <w:r w:rsidR="00A701EB">
              <w:rPr>
                <w:rFonts w:eastAsia="Times New Roman" w:cs="Times New Roman"/>
                <w:color w:val="000000"/>
                <w:sz w:val="22"/>
              </w:rPr>
              <w:t xml:space="preserve">s </w:t>
            </w:r>
            <w:r w:rsidRPr="008903D1">
              <w:rPr>
                <w:rFonts w:eastAsia="Times New Roman" w:cs="Times New Roman"/>
                <w:color w:val="000000"/>
                <w:sz w:val="22"/>
              </w:rPr>
              <w:t xml:space="preserve">to </w:t>
            </w:r>
            <w:r w:rsidR="00CE67A4">
              <w:rPr>
                <w:rFonts w:eastAsia="Times New Roman" w:cs="Times New Roman"/>
                <w:color w:val="000000"/>
                <w:sz w:val="22"/>
              </w:rPr>
              <w:t>reduce the waste generation</w:t>
            </w:r>
          </w:p>
        </w:tc>
        <w:tc>
          <w:tcPr>
            <w:tcW w:w="3055" w:type="dxa"/>
            <w:tcBorders>
              <w:top w:val="single" w:sz="4" w:space="0" w:color="auto"/>
              <w:left w:val="nil"/>
              <w:bottom w:val="single" w:sz="4" w:space="0" w:color="auto"/>
              <w:right w:val="single" w:sz="4" w:space="0" w:color="auto"/>
              <w:tl2br w:val="single" w:sz="4" w:space="0" w:color="auto"/>
            </w:tcBorders>
            <w:shd w:val="clear" w:color="auto" w:fill="auto"/>
            <w:vAlign w:val="center"/>
          </w:tcPr>
          <w:p w14:paraId="173EADB3" w14:textId="77777777" w:rsidR="00656367" w:rsidRPr="008903D1" w:rsidRDefault="00656367" w:rsidP="008C15BA">
            <w:pPr>
              <w:pStyle w:val="ListParagraph"/>
              <w:spacing w:line="240" w:lineRule="auto"/>
              <w:ind w:left="360"/>
              <w:jc w:val="left"/>
              <w:rPr>
                <w:rFonts w:eastAsia="Times New Roman" w:cs="Times New Roman"/>
                <w:color w:val="000000"/>
                <w:sz w:val="22"/>
              </w:rPr>
            </w:pPr>
          </w:p>
        </w:tc>
      </w:tr>
      <w:tr w:rsidR="00656367" w:rsidRPr="008903D1" w14:paraId="2D2169D0" w14:textId="77777777" w:rsidTr="00424128">
        <w:trPr>
          <w:trHeight w:val="1288"/>
        </w:trPr>
        <w:tc>
          <w:tcPr>
            <w:tcW w:w="1463" w:type="dxa"/>
            <w:vMerge/>
            <w:tcBorders>
              <w:top w:val="nil"/>
              <w:left w:val="single" w:sz="4" w:space="0" w:color="auto"/>
              <w:bottom w:val="single" w:sz="4" w:space="0" w:color="auto"/>
              <w:right w:val="single" w:sz="4" w:space="0" w:color="auto"/>
            </w:tcBorders>
            <w:shd w:val="clear" w:color="auto" w:fill="auto"/>
            <w:vAlign w:val="center"/>
          </w:tcPr>
          <w:p w14:paraId="72AA22DD" w14:textId="77777777" w:rsidR="00656367" w:rsidRPr="008903D1" w:rsidRDefault="00656367" w:rsidP="00622AC7">
            <w:pPr>
              <w:spacing w:line="240" w:lineRule="auto"/>
              <w:rPr>
                <w:rFonts w:eastAsia="Times New Roman" w:cs="Times New Roman"/>
                <w:color w:val="000000"/>
                <w:sz w:val="22"/>
              </w:rPr>
            </w:pPr>
          </w:p>
        </w:tc>
        <w:tc>
          <w:tcPr>
            <w:tcW w:w="1365" w:type="dxa"/>
            <w:tcBorders>
              <w:top w:val="nil"/>
              <w:left w:val="nil"/>
              <w:bottom w:val="single" w:sz="4" w:space="0" w:color="auto"/>
              <w:right w:val="single" w:sz="4" w:space="0" w:color="auto"/>
            </w:tcBorders>
            <w:shd w:val="clear" w:color="auto" w:fill="auto"/>
            <w:vAlign w:val="center"/>
          </w:tcPr>
          <w:p w14:paraId="04087379" w14:textId="77777777" w:rsidR="00656367" w:rsidRPr="008903D1" w:rsidRDefault="00656367" w:rsidP="00622AC7">
            <w:pPr>
              <w:spacing w:line="240" w:lineRule="auto"/>
              <w:jc w:val="left"/>
              <w:rPr>
                <w:rFonts w:eastAsia="Times New Roman" w:cs="Times New Roman"/>
                <w:color w:val="000000"/>
                <w:sz w:val="22"/>
              </w:rPr>
            </w:pPr>
            <w:r w:rsidRPr="008903D1">
              <w:rPr>
                <w:rFonts w:eastAsia="Times New Roman" w:cs="Times New Roman"/>
                <w:color w:val="000000"/>
                <w:sz w:val="22"/>
              </w:rPr>
              <w:t>Distribution department</w:t>
            </w:r>
          </w:p>
        </w:tc>
        <w:tc>
          <w:tcPr>
            <w:tcW w:w="5447" w:type="dxa"/>
            <w:tcBorders>
              <w:top w:val="nil"/>
              <w:left w:val="nil"/>
              <w:bottom w:val="single" w:sz="4" w:space="0" w:color="auto"/>
              <w:right w:val="single" w:sz="4" w:space="0" w:color="auto"/>
            </w:tcBorders>
            <w:shd w:val="clear" w:color="auto" w:fill="auto"/>
            <w:vAlign w:val="center"/>
          </w:tcPr>
          <w:p w14:paraId="3B44B958" w14:textId="44B21992"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Poor service from the hired 3PL companies</w:t>
            </w:r>
            <w:r w:rsidR="00F477E2">
              <w:rPr>
                <w:rFonts w:eastAsia="Times New Roman" w:cs="Times New Roman"/>
                <w:color w:val="000000"/>
                <w:sz w:val="22"/>
              </w:rPr>
              <w:t xml:space="preserve"> </w:t>
            </w:r>
            <w:r w:rsidR="00265390">
              <w:rPr>
                <w:rFonts w:eastAsia="Times New Roman" w:cs="Times New Roman"/>
                <w:color w:val="000000"/>
                <w:sz w:val="22"/>
              </w:rPr>
              <w:t xml:space="preserve">for medical delivery </w:t>
            </w:r>
            <w:r w:rsidR="00F477E2">
              <w:rPr>
                <w:rFonts w:eastAsia="Times New Roman" w:cs="Times New Roman"/>
                <w:color w:val="000000"/>
                <w:sz w:val="22"/>
              </w:rPr>
              <w:t xml:space="preserve">in urban </w:t>
            </w:r>
            <w:r w:rsidR="00265390">
              <w:rPr>
                <w:rFonts w:eastAsia="Times New Roman" w:cs="Times New Roman"/>
                <w:color w:val="000000"/>
                <w:sz w:val="22"/>
              </w:rPr>
              <w:t>area</w:t>
            </w:r>
          </w:p>
          <w:p w14:paraId="56874075" w14:textId="1968DDB6"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 xml:space="preserve">Limited delivery capability </w:t>
            </w:r>
            <w:r w:rsidR="00265390">
              <w:rPr>
                <w:rFonts w:eastAsia="Times New Roman" w:cs="Times New Roman"/>
                <w:color w:val="000000"/>
                <w:sz w:val="22"/>
              </w:rPr>
              <w:t xml:space="preserve">can be provided by </w:t>
            </w:r>
            <w:proofErr w:type="gramStart"/>
            <w:r w:rsidR="00265390">
              <w:rPr>
                <w:rFonts w:eastAsia="Times New Roman" w:cs="Times New Roman"/>
                <w:color w:val="000000"/>
                <w:sz w:val="22"/>
              </w:rPr>
              <w:t>UCC</w:t>
            </w:r>
            <w:proofErr w:type="gramEnd"/>
          </w:p>
          <w:p w14:paraId="1DC09A07" w14:textId="42A76DF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Government regulation leads to inefficiency of city delivery</w:t>
            </w:r>
            <w:r w:rsidR="000F071E">
              <w:rPr>
                <w:rFonts w:eastAsia="Times New Roman" w:cs="Times New Roman"/>
                <w:color w:val="000000"/>
                <w:sz w:val="22"/>
              </w:rPr>
              <w:t xml:space="preserve"> process</w:t>
            </w:r>
          </w:p>
        </w:tc>
        <w:tc>
          <w:tcPr>
            <w:tcW w:w="2970" w:type="dxa"/>
            <w:tcBorders>
              <w:top w:val="single" w:sz="4" w:space="0" w:color="auto"/>
              <w:left w:val="nil"/>
              <w:bottom w:val="single" w:sz="4" w:space="0" w:color="auto"/>
              <w:right w:val="single" w:sz="4" w:space="0" w:color="auto"/>
              <w:tl2br w:val="single" w:sz="4" w:space="0" w:color="auto"/>
            </w:tcBorders>
            <w:shd w:val="clear" w:color="auto" w:fill="auto"/>
            <w:vAlign w:val="center"/>
          </w:tcPr>
          <w:p w14:paraId="00E1CA00" w14:textId="77777777" w:rsidR="00656367" w:rsidRPr="00544099" w:rsidRDefault="00656367" w:rsidP="00544099">
            <w:pPr>
              <w:spacing w:line="240" w:lineRule="auto"/>
              <w:jc w:val="left"/>
              <w:rPr>
                <w:rFonts w:eastAsia="Times New Roman" w:cs="Times New Roman"/>
                <w:color w:val="000000"/>
                <w:sz w:val="22"/>
              </w:rPr>
            </w:pPr>
          </w:p>
        </w:tc>
        <w:tc>
          <w:tcPr>
            <w:tcW w:w="3055" w:type="dxa"/>
            <w:tcBorders>
              <w:top w:val="nil"/>
              <w:left w:val="nil"/>
              <w:bottom w:val="single" w:sz="4" w:space="0" w:color="auto"/>
              <w:right w:val="single" w:sz="4" w:space="0" w:color="auto"/>
            </w:tcBorders>
            <w:shd w:val="clear" w:color="auto" w:fill="auto"/>
            <w:vAlign w:val="center"/>
          </w:tcPr>
          <w:p w14:paraId="710F121A" w14:textId="59A5B91F"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 xml:space="preserve">Illegal </w:t>
            </w:r>
            <w:r w:rsidR="001E7927">
              <w:rPr>
                <w:rFonts w:eastAsia="Times New Roman" w:cs="Times New Roman"/>
                <w:color w:val="000000"/>
                <w:sz w:val="22"/>
              </w:rPr>
              <w:t>v</w:t>
            </w:r>
            <w:r w:rsidR="00876329">
              <w:rPr>
                <w:rFonts w:eastAsia="Times New Roman" w:cs="Times New Roman"/>
                <w:color w:val="000000"/>
                <w:sz w:val="22"/>
              </w:rPr>
              <w:t>ehicle parking behaviour</w:t>
            </w:r>
            <w:r w:rsidR="00CE67A4">
              <w:rPr>
                <w:rFonts w:eastAsia="Times New Roman" w:cs="Times New Roman"/>
                <w:color w:val="000000"/>
                <w:sz w:val="22"/>
              </w:rPr>
              <w:t xml:space="preserve"> in urban delivery</w:t>
            </w:r>
          </w:p>
          <w:p w14:paraId="6A3660D0"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Workers’ overtime utilisation</w:t>
            </w:r>
            <w:r w:rsidRPr="008903D1">
              <w:rPr>
                <w:rFonts w:eastAsia="Times New Roman" w:cs="Times New Roman"/>
                <w:color w:val="000000"/>
                <w:sz w:val="22"/>
              </w:rPr>
              <w:br w:type="page"/>
            </w:r>
          </w:p>
          <w:p w14:paraId="432CEA32"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Offences in traffic regulation</w:t>
            </w:r>
            <w:r w:rsidRPr="008903D1">
              <w:rPr>
                <w:rFonts w:eastAsia="Times New Roman" w:cs="Times New Roman"/>
                <w:color w:val="000000"/>
                <w:sz w:val="22"/>
              </w:rPr>
              <w:br w:type="page"/>
            </w:r>
          </w:p>
        </w:tc>
      </w:tr>
      <w:tr w:rsidR="00656367" w:rsidRPr="008903D1" w14:paraId="1C1B6CD4" w14:textId="77777777" w:rsidTr="00424128">
        <w:trPr>
          <w:trHeight w:val="300"/>
        </w:trPr>
        <w:tc>
          <w:tcPr>
            <w:tcW w:w="1463" w:type="dxa"/>
            <w:vMerge/>
            <w:tcBorders>
              <w:top w:val="nil"/>
              <w:left w:val="single" w:sz="4" w:space="0" w:color="auto"/>
              <w:bottom w:val="single" w:sz="4" w:space="0" w:color="auto"/>
              <w:right w:val="single" w:sz="4" w:space="0" w:color="auto"/>
            </w:tcBorders>
            <w:vAlign w:val="center"/>
            <w:hideMark/>
          </w:tcPr>
          <w:p w14:paraId="75E52EBF" w14:textId="77777777" w:rsidR="00656367" w:rsidRPr="008903D1" w:rsidRDefault="00656367" w:rsidP="00622AC7">
            <w:pPr>
              <w:spacing w:line="240" w:lineRule="auto"/>
              <w:rPr>
                <w:rFonts w:eastAsia="Times New Roman" w:cs="Times New Roman"/>
                <w:color w:val="000000"/>
                <w:sz w:val="22"/>
              </w:rPr>
            </w:pPr>
          </w:p>
        </w:tc>
        <w:tc>
          <w:tcPr>
            <w:tcW w:w="1365" w:type="dxa"/>
            <w:tcBorders>
              <w:top w:val="nil"/>
              <w:left w:val="nil"/>
              <w:bottom w:val="single" w:sz="4" w:space="0" w:color="auto"/>
              <w:right w:val="single" w:sz="4" w:space="0" w:color="auto"/>
            </w:tcBorders>
            <w:shd w:val="clear" w:color="auto" w:fill="auto"/>
            <w:vAlign w:val="center"/>
            <w:hideMark/>
          </w:tcPr>
          <w:p w14:paraId="743F3B96" w14:textId="77777777" w:rsidR="00656367" w:rsidRPr="008903D1" w:rsidRDefault="00656367" w:rsidP="00622AC7">
            <w:pPr>
              <w:spacing w:line="240" w:lineRule="auto"/>
              <w:jc w:val="left"/>
              <w:rPr>
                <w:rFonts w:eastAsia="Times New Roman" w:cs="Times New Roman"/>
                <w:color w:val="000000"/>
                <w:sz w:val="22"/>
              </w:rPr>
            </w:pPr>
            <w:r w:rsidRPr="008903D1">
              <w:rPr>
                <w:rFonts w:eastAsia="Times New Roman" w:cs="Times New Roman"/>
                <w:color w:val="000000"/>
                <w:sz w:val="22"/>
              </w:rPr>
              <w:t>Government</w:t>
            </w:r>
          </w:p>
        </w:tc>
        <w:tc>
          <w:tcPr>
            <w:tcW w:w="5447" w:type="dxa"/>
            <w:tcBorders>
              <w:top w:val="single" w:sz="4" w:space="0" w:color="auto"/>
              <w:left w:val="nil"/>
              <w:bottom w:val="single" w:sz="4" w:space="0" w:color="auto"/>
              <w:right w:val="single" w:sz="4" w:space="0" w:color="auto"/>
              <w:tl2br w:val="single" w:sz="4" w:space="0" w:color="auto"/>
            </w:tcBorders>
            <w:shd w:val="clear" w:color="auto" w:fill="auto"/>
            <w:vAlign w:val="center"/>
            <w:hideMark/>
          </w:tcPr>
          <w:p w14:paraId="38DDE067" w14:textId="77777777" w:rsidR="00656367" w:rsidRPr="00F477E2" w:rsidRDefault="00656367" w:rsidP="00F477E2">
            <w:pPr>
              <w:spacing w:line="240" w:lineRule="auto"/>
              <w:jc w:val="left"/>
              <w:rPr>
                <w:rFonts w:eastAsia="Times New Roman" w:cs="Times New Roman"/>
                <w:color w:val="000000"/>
                <w:sz w:val="22"/>
              </w:rPr>
            </w:pPr>
          </w:p>
        </w:tc>
        <w:tc>
          <w:tcPr>
            <w:tcW w:w="2970" w:type="dxa"/>
            <w:tcBorders>
              <w:top w:val="single" w:sz="4" w:space="0" w:color="auto"/>
              <w:left w:val="nil"/>
              <w:bottom w:val="single" w:sz="4" w:space="0" w:color="auto"/>
              <w:right w:val="single" w:sz="4" w:space="0" w:color="auto"/>
              <w:tl2br w:val="single" w:sz="4" w:space="0" w:color="auto"/>
            </w:tcBorders>
            <w:shd w:val="clear" w:color="auto" w:fill="auto"/>
            <w:vAlign w:val="center"/>
            <w:hideMark/>
          </w:tcPr>
          <w:p w14:paraId="32F6B373" w14:textId="77777777" w:rsidR="00656367" w:rsidRPr="00544099" w:rsidRDefault="00656367" w:rsidP="00544099">
            <w:pPr>
              <w:spacing w:line="240" w:lineRule="auto"/>
              <w:jc w:val="left"/>
              <w:rPr>
                <w:rFonts w:eastAsia="Times New Roman" w:cs="Times New Roman"/>
                <w:color w:val="000000"/>
                <w:sz w:val="22"/>
              </w:rPr>
            </w:pPr>
            <w:r w:rsidRPr="00544099">
              <w:rPr>
                <w:rFonts w:eastAsia="Times New Roman" w:cs="Times New Roman"/>
                <w:color w:val="000000"/>
                <w:sz w:val="22"/>
              </w:rPr>
              <w:t> </w:t>
            </w:r>
          </w:p>
        </w:tc>
        <w:tc>
          <w:tcPr>
            <w:tcW w:w="3055" w:type="dxa"/>
            <w:tcBorders>
              <w:top w:val="nil"/>
              <w:left w:val="nil"/>
              <w:bottom w:val="single" w:sz="4" w:space="0" w:color="auto"/>
              <w:right w:val="single" w:sz="4" w:space="0" w:color="auto"/>
            </w:tcBorders>
            <w:shd w:val="clear" w:color="auto" w:fill="auto"/>
            <w:vAlign w:val="center"/>
            <w:hideMark/>
          </w:tcPr>
          <w:p w14:paraId="3D4F0910" w14:textId="77777777" w:rsidR="00656367" w:rsidRPr="008C15BA" w:rsidRDefault="00656367" w:rsidP="00A323CC">
            <w:pPr>
              <w:pStyle w:val="ListParagraph"/>
              <w:numPr>
                <w:ilvl w:val="0"/>
                <w:numId w:val="23"/>
              </w:numPr>
              <w:spacing w:line="240" w:lineRule="auto"/>
              <w:ind w:left="360"/>
              <w:jc w:val="left"/>
              <w:rPr>
                <w:rFonts w:eastAsia="Times New Roman" w:cs="Times New Roman"/>
                <w:color w:val="000000"/>
                <w:sz w:val="22"/>
              </w:rPr>
            </w:pPr>
            <w:r w:rsidRPr="008C15BA">
              <w:rPr>
                <w:rFonts w:eastAsia="Times New Roman" w:cs="Times New Roman"/>
                <w:color w:val="000000"/>
                <w:sz w:val="22"/>
              </w:rPr>
              <w:t>Insufficient inspection</w:t>
            </w:r>
          </w:p>
        </w:tc>
      </w:tr>
      <w:tr w:rsidR="00656367" w:rsidRPr="008903D1" w14:paraId="65C40E92" w14:textId="77777777" w:rsidTr="00424128">
        <w:trPr>
          <w:trHeight w:val="558"/>
        </w:trPr>
        <w:tc>
          <w:tcPr>
            <w:tcW w:w="1463" w:type="dxa"/>
            <w:vMerge w:val="restart"/>
            <w:tcBorders>
              <w:top w:val="nil"/>
              <w:left w:val="single" w:sz="4" w:space="0" w:color="auto"/>
              <w:bottom w:val="single" w:sz="4" w:space="0" w:color="auto"/>
              <w:right w:val="single" w:sz="4" w:space="0" w:color="auto"/>
            </w:tcBorders>
            <w:shd w:val="clear" w:color="auto" w:fill="auto"/>
            <w:vAlign w:val="center"/>
            <w:hideMark/>
          </w:tcPr>
          <w:p w14:paraId="632AB577" w14:textId="77777777" w:rsidR="00656367" w:rsidRPr="008903D1" w:rsidRDefault="00656367" w:rsidP="00622AC7">
            <w:pPr>
              <w:spacing w:line="240" w:lineRule="auto"/>
              <w:rPr>
                <w:rFonts w:eastAsia="Times New Roman" w:cs="Times New Roman"/>
                <w:color w:val="000000"/>
                <w:sz w:val="22"/>
              </w:rPr>
            </w:pPr>
            <w:r w:rsidRPr="008903D1">
              <w:rPr>
                <w:rFonts w:eastAsia="Times New Roman" w:cs="Times New Roman"/>
                <w:color w:val="000000"/>
                <w:sz w:val="22"/>
              </w:rPr>
              <w:t>CBUCC</w:t>
            </w:r>
          </w:p>
        </w:tc>
        <w:tc>
          <w:tcPr>
            <w:tcW w:w="1365" w:type="dxa"/>
            <w:tcBorders>
              <w:top w:val="nil"/>
              <w:left w:val="nil"/>
              <w:bottom w:val="single" w:sz="4" w:space="0" w:color="auto"/>
              <w:right w:val="single" w:sz="4" w:space="0" w:color="auto"/>
            </w:tcBorders>
            <w:shd w:val="clear" w:color="auto" w:fill="auto"/>
            <w:vAlign w:val="center"/>
            <w:hideMark/>
          </w:tcPr>
          <w:p w14:paraId="788075C3" w14:textId="77777777" w:rsidR="00656367" w:rsidRPr="008903D1" w:rsidRDefault="00656367" w:rsidP="00622AC7">
            <w:pPr>
              <w:spacing w:line="240" w:lineRule="auto"/>
              <w:jc w:val="left"/>
              <w:rPr>
                <w:rFonts w:eastAsia="Times New Roman" w:cs="Times New Roman"/>
                <w:color w:val="000000"/>
                <w:sz w:val="22"/>
              </w:rPr>
            </w:pPr>
            <w:r w:rsidRPr="008903D1">
              <w:rPr>
                <w:rFonts w:eastAsia="Times New Roman" w:cs="Times New Roman"/>
                <w:color w:val="000000"/>
                <w:sz w:val="22"/>
              </w:rPr>
              <w:t>Company B</w:t>
            </w:r>
          </w:p>
        </w:tc>
        <w:tc>
          <w:tcPr>
            <w:tcW w:w="5447" w:type="dxa"/>
            <w:tcBorders>
              <w:top w:val="nil"/>
              <w:left w:val="nil"/>
              <w:bottom w:val="single" w:sz="4" w:space="0" w:color="auto"/>
              <w:right w:val="single" w:sz="4" w:space="0" w:color="auto"/>
            </w:tcBorders>
            <w:shd w:val="clear" w:color="auto" w:fill="auto"/>
            <w:vAlign w:val="center"/>
            <w:hideMark/>
          </w:tcPr>
          <w:p w14:paraId="7332AA61" w14:textId="58B63886" w:rsidR="00656367" w:rsidRPr="008903D1" w:rsidRDefault="00F477E2" w:rsidP="00A323CC">
            <w:pPr>
              <w:pStyle w:val="ListParagraph"/>
              <w:numPr>
                <w:ilvl w:val="0"/>
                <w:numId w:val="23"/>
              </w:numPr>
              <w:spacing w:line="240" w:lineRule="auto"/>
              <w:ind w:left="360"/>
              <w:jc w:val="left"/>
              <w:rPr>
                <w:rFonts w:eastAsia="Times New Roman" w:cs="Times New Roman"/>
                <w:color w:val="000000"/>
                <w:sz w:val="22"/>
              </w:rPr>
            </w:pPr>
            <w:r>
              <w:rPr>
                <w:rFonts w:eastAsia="Times New Roman" w:cs="Times New Roman"/>
                <w:color w:val="000000"/>
                <w:sz w:val="22"/>
              </w:rPr>
              <w:t xml:space="preserve">It is difficult to build long-term cooperation between UCC and the intercity </w:t>
            </w:r>
            <w:proofErr w:type="gramStart"/>
            <w:r>
              <w:rPr>
                <w:rFonts w:eastAsia="Times New Roman" w:cs="Times New Roman"/>
                <w:color w:val="000000"/>
                <w:sz w:val="22"/>
              </w:rPr>
              <w:t>carrier</w:t>
            </w:r>
            <w:proofErr w:type="gramEnd"/>
          </w:p>
          <w:p w14:paraId="79BF44D8" w14:textId="74A9020D"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Strong vicious competition</w:t>
            </w:r>
            <w:r w:rsidR="00F477E2">
              <w:rPr>
                <w:rFonts w:eastAsia="Times New Roman" w:cs="Times New Roman"/>
                <w:color w:val="000000"/>
                <w:sz w:val="22"/>
              </w:rPr>
              <w:t xml:space="preserve"> from local companies</w:t>
            </w:r>
          </w:p>
          <w:p w14:paraId="39C10B2E"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Low profit margin for normal goods</w:t>
            </w:r>
          </w:p>
        </w:tc>
        <w:tc>
          <w:tcPr>
            <w:tcW w:w="2970" w:type="dxa"/>
            <w:tcBorders>
              <w:top w:val="nil"/>
              <w:left w:val="nil"/>
              <w:bottom w:val="single" w:sz="4" w:space="0" w:color="auto"/>
              <w:right w:val="single" w:sz="4" w:space="0" w:color="auto"/>
            </w:tcBorders>
            <w:shd w:val="clear" w:color="auto" w:fill="auto"/>
            <w:vAlign w:val="center"/>
            <w:hideMark/>
          </w:tcPr>
          <w:p w14:paraId="3DD6AF2A" w14:textId="559B685C" w:rsidR="00656367" w:rsidRPr="008903D1" w:rsidRDefault="000B2FD1" w:rsidP="00A323CC">
            <w:pPr>
              <w:pStyle w:val="ListParagraph"/>
              <w:numPr>
                <w:ilvl w:val="0"/>
                <w:numId w:val="23"/>
              </w:numPr>
              <w:spacing w:line="240" w:lineRule="auto"/>
              <w:ind w:left="360"/>
              <w:jc w:val="left"/>
              <w:rPr>
                <w:rFonts w:eastAsia="Times New Roman" w:cs="Times New Roman"/>
                <w:color w:val="000000"/>
                <w:sz w:val="22"/>
              </w:rPr>
            </w:pPr>
            <w:r>
              <w:rPr>
                <w:rFonts w:eastAsia="Times New Roman" w:cs="Times New Roman"/>
                <w:color w:val="000000"/>
                <w:sz w:val="22"/>
              </w:rPr>
              <w:t>A</w:t>
            </w:r>
            <w:r w:rsidR="00656367" w:rsidRPr="008903D1">
              <w:rPr>
                <w:rFonts w:eastAsia="Times New Roman" w:cs="Times New Roman"/>
                <w:color w:val="000000"/>
                <w:sz w:val="22"/>
              </w:rPr>
              <w:t>chievement</w:t>
            </w:r>
            <w:r>
              <w:rPr>
                <w:rFonts w:eastAsia="Times New Roman" w:cs="Times New Roman"/>
                <w:color w:val="000000"/>
                <w:sz w:val="22"/>
              </w:rPr>
              <w:t xml:space="preserve"> from the experiment</w:t>
            </w:r>
            <w:r w:rsidR="00656367" w:rsidRPr="008903D1">
              <w:rPr>
                <w:rFonts w:eastAsia="Times New Roman" w:cs="Times New Roman"/>
                <w:color w:val="000000"/>
                <w:sz w:val="22"/>
              </w:rPr>
              <w:t xml:space="preserve"> </w:t>
            </w:r>
            <w:r>
              <w:rPr>
                <w:rFonts w:eastAsia="Times New Roman" w:cs="Times New Roman"/>
                <w:color w:val="000000"/>
                <w:sz w:val="22"/>
              </w:rPr>
              <w:t>is</w:t>
            </w:r>
            <w:r w:rsidR="00CE67A4">
              <w:rPr>
                <w:rFonts w:eastAsia="Times New Roman" w:cs="Times New Roman"/>
                <w:color w:val="000000"/>
                <w:sz w:val="22"/>
              </w:rPr>
              <w:t xml:space="preserve"> intangible</w:t>
            </w:r>
          </w:p>
        </w:tc>
        <w:tc>
          <w:tcPr>
            <w:tcW w:w="3055" w:type="dxa"/>
            <w:tcBorders>
              <w:top w:val="single" w:sz="4" w:space="0" w:color="auto"/>
              <w:left w:val="nil"/>
              <w:bottom w:val="single" w:sz="4" w:space="0" w:color="auto"/>
              <w:right w:val="single" w:sz="4" w:space="0" w:color="auto"/>
              <w:tl2br w:val="single" w:sz="4" w:space="0" w:color="auto"/>
            </w:tcBorders>
            <w:shd w:val="clear" w:color="auto" w:fill="auto"/>
            <w:vAlign w:val="center"/>
          </w:tcPr>
          <w:p w14:paraId="700AB4B9" w14:textId="77777777" w:rsidR="00656367" w:rsidRPr="00544099" w:rsidRDefault="00656367" w:rsidP="00544099">
            <w:pPr>
              <w:spacing w:line="240" w:lineRule="auto"/>
              <w:jc w:val="left"/>
              <w:rPr>
                <w:rFonts w:eastAsia="Times New Roman" w:cs="Times New Roman"/>
                <w:color w:val="000000"/>
                <w:sz w:val="22"/>
              </w:rPr>
            </w:pPr>
          </w:p>
        </w:tc>
      </w:tr>
      <w:tr w:rsidR="00656367" w:rsidRPr="008903D1" w14:paraId="2A8EFF67" w14:textId="77777777" w:rsidTr="00424128">
        <w:trPr>
          <w:trHeight w:val="357"/>
        </w:trPr>
        <w:tc>
          <w:tcPr>
            <w:tcW w:w="1463" w:type="dxa"/>
            <w:vMerge/>
            <w:tcBorders>
              <w:top w:val="nil"/>
              <w:left w:val="single" w:sz="4" w:space="0" w:color="auto"/>
              <w:bottom w:val="single" w:sz="4" w:space="0" w:color="auto"/>
              <w:right w:val="single" w:sz="4" w:space="0" w:color="auto"/>
            </w:tcBorders>
            <w:vAlign w:val="center"/>
            <w:hideMark/>
          </w:tcPr>
          <w:p w14:paraId="2D6FF080" w14:textId="77777777" w:rsidR="00656367" w:rsidRPr="008903D1" w:rsidRDefault="00656367" w:rsidP="00622AC7">
            <w:pPr>
              <w:spacing w:line="240" w:lineRule="auto"/>
              <w:rPr>
                <w:rFonts w:eastAsia="Times New Roman" w:cs="Times New Roman"/>
                <w:color w:val="000000"/>
                <w:sz w:val="22"/>
              </w:rPr>
            </w:pPr>
          </w:p>
        </w:tc>
        <w:tc>
          <w:tcPr>
            <w:tcW w:w="1365" w:type="dxa"/>
            <w:tcBorders>
              <w:top w:val="nil"/>
              <w:left w:val="nil"/>
              <w:bottom w:val="single" w:sz="4" w:space="0" w:color="auto"/>
              <w:right w:val="single" w:sz="4" w:space="0" w:color="auto"/>
            </w:tcBorders>
            <w:shd w:val="clear" w:color="auto" w:fill="auto"/>
            <w:vAlign w:val="center"/>
            <w:hideMark/>
          </w:tcPr>
          <w:p w14:paraId="3A6A22D6" w14:textId="77777777" w:rsidR="00656367" w:rsidRPr="008903D1" w:rsidRDefault="00656367" w:rsidP="00622AC7">
            <w:pPr>
              <w:spacing w:line="240" w:lineRule="auto"/>
              <w:jc w:val="left"/>
              <w:rPr>
                <w:rFonts w:eastAsia="Times New Roman" w:cs="Times New Roman"/>
                <w:color w:val="000000"/>
                <w:sz w:val="22"/>
              </w:rPr>
            </w:pPr>
            <w:r w:rsidRPr="008903D1">
              <w:rPr>
                <w:rFonts w:eastAsia="Times New Roman" w:cs="Times New Roman"/>
                <w:color w:val="000000"/>
                <w:sz w:val="22"/>
              </w:rPr>
              <w:t>Facility operator</w:t>
            </w:r>
          </w:p>
        </w:tc>
        <w:tc>
          <w:tcPr>
            <w:tcW w:w="5447" w:type="dxa"/>
            <w:tcBorders>
              <w:top w:val="single" w:sz="4" w:space="0" w:color="auto"/>
              <w:left w:val="nil"/>
              <w:bottom w:val="single" w:sz="4" w:space="0" w:color="auto"/>
              <w:right w:val="single" w:sz="4" w:space="0" w:color="auto"/>
              <w:tl2br w:val="single" w:sz="4" w:space="0" w:color="auto"/>
            </w:tcBorders>
            <w:shd w:val="clear" w:color="auto" w:fill="auto"/>
            <w:vAlign w:val="center"/>
            <w:hideMark/>
          </w:tcPr>
          <w:p w14:paraId="14C73866"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p>
        </w:tc>
        <w:tc>
          <w:tcPr>
            <w:tcW w:w="2970" w:type="dxa"/>
            <w:tcBorders>
              <w:top w:val="single" w:sz="4" w:space="0" w:color="auto"/>
              <w:left w:val="nil"/>
              <w:bottom w:val="single" w:sz="4" w:space="0" w:color="auto"/>
              <w:right w:val="single" w:sz="4" w:space="0" w:color="auto"/>
              <w:tl2br w:val="single" w:sz="4" w:space="0" w:color="auto"/>
            </w:tcBorders>
            <w:shd w:val="clear" w:color="auto" w:fill="auto"/>
            <w:vAlign w:val="center"/>
            <w:hideMark/>
          </w:tcPr>
          <w:p w14:paraId="39CB4D90" w14:textId="77777777" w:rsidR="00656367" w:rsidRPr="00544099" w:rsidRDefault="00656367" w:rsidP="00544099">
            <w:pPr>
              <w:spacing w:line="240" w:lineRule="auto"/>
              <w:jc w:val="left"/>
              <w:rPr>
                <w:rFonts w:eastAsia="Times New Roman" w:cs="Times New Roman"/>
                <w:color w:val="000000"/>
                <w:sz w:val="22"/>
              </w:rPr>
            </w:pPr>
            <w:r w:rsidRPr="00544099">
              <w:rPr>
                <w:rFonts w:eastAsia="Times New Roman" w:cs="Times New Roman"/>
                <w:color w:val="000000"/>
                <w:sz w:val="22"/>
              </w:rPr>
              <w:t> </w:t>
            </w:r>
          </w:p>
        </w:tc>
        <w:tc>
          <w:tcPr>
            <w:tcW w:w="3055" w:type="dxa"/>
            <w:tcBorders>
              <w:top w:val="nil"/>
              <w:left w:val="nil"/>
              <w:bottom w:val="single" w:sz="4" w:space="0" w:color="auto"/>
              <w:right w:val="single" w:sz="4" w:space="0" w:color="auto"/>
            </w:tcBorders>
            <w:shd w:val="clear" w:color="auto" w:fill="auto"/>
            <w:vAlign w:val="center"/>
            <w:hideMark/>
          </w:tcPr>
          <w:p w14:paraId="476B631B" w14:textId="11DC87B3"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 xml:space="preserve">Illegal </w:t>
            </w:r>
            <w:r w:rsidR="00876329">
              <w:rPr>
                <w:rFonts w:eastAsia="Times New Roman" w:cs="Times New Roman"/>
                <w:color w:val="000000"/>
                <w:sz w:val="22"/>
              </w:rPr>
              <w:t>goods-loading behaviour (over-loading)</w:t>
            </w:r>
          </w:p>
          <w:p w14:paraId="7DC5DBD2"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Workers’ overtime utilisation</w:t>
            </w:r>
          </w:p>
        </w:tc>
      </w:tr>
      <w:tr w:rsidR="00656367" w:rsidRPr="008903D1" w14:paraId="38737934" w14:textId="77777777" w:rsidTr="00424128">
        <w:trPr>
          <w:trHeight w:val="832"/>
        </w:trPr>
        <w:tc>
          <w:tcPr>
            <w:tcW w:w="1463" w:type="dxa"/>
            <w:vMerge/>
            <w:tcBorders>
              <w:top w:val="nil"/>
              <w:left w:val="single" w:sz="4" w:space="0" w:color="auto"/>
              <w:bottom w:val="single" w:sz="4" w:space="0" w:color="auto"/>
              <w:right w:val="single" w:sz="4" w:space="0" w:color="auto"/>
            </w:tcBorders>
            <w:vAlign w:val="center"/>
            <w:hideMark/>
          </w:tcPr>
          <w:p w14:paraId="4AE8CC7D" w14:textId="77777777" w:rsidR="00656367" w:rsidRPr="008903D1" w:rsidRDefault="00656367" w:rsidP="00622AC7">
            <w:pPr>
              <w:spacing w:line="240" w:lineRule="auto"/>
              <w:rPr>
                <w:rFonts w:eastAsia="Times New Roman" w:cs="Times New Roman"/>
                <w:color w:val="000000"/>
                <w:sz w:val="22"/>
              </w:rPr>
            </w:pPr>
          </w:p>
        </w:tc>
        <w:tc>
          <w:tcPr>
            <w:tcW w:w="1365" w:type="dxa"/>
            <w:tcBorders>
              <w:top w:val="nil"/>
              <w:left w:val="nil"/>
              <w:bottom w:val="single" w:sz="4" w:space="0" w:color="auto"/>
              <w:right w:val="single" w:sz="4" w:space="0" w:color="auto"/>
            </w:tcBorders>
            <w:shd w:val="clear" w:color="auto" w:fill="auto"/>
            <w:vAlign w:val="center"/>
            <w:hideMark/>
          </w:tcPr>
          <w:p w14:paraId="5FF9A87B" w14:textId="77777777" w:rsidR="00656367" w:rsidRPr="008903D1" w:rsidRDefault="00656367" w:rsidP="00622AC7">
            <w:pPr>
              <w:spacing w:line="240" w:lineRule="auto"/>
              <w:jc w:val="left"/>
              <w:rPr>
                <w:rFonts w:eastAsia="Times New Roman" w:cs="Times New Roman"/>
                <w:color w:val="000000"/>
                <w:sz w:val="22"/>
              </w:rPr>
            </w:pPr>
            <w:r w:rsidRPr="008903D1">
              <w:rPr>
                <w:rFonts w:eastAsia="Times New Roman" w:cs="Times New Roman"/>
                <w:color w:val="000000"/>
                <w:sz w:val="22"/>
              </w:rPr>
              <w:t>Researcher</w:t>
            </w:r>
          </w:p>
        </w:tc>
        <w:tc>
          <w:tcPr>
            <w:tcW w:w="5447" w:type="dxa"/>
            <w:tcBorders>
              <w:top w:val="nil"/>
              <w:left w:val="nil"/>
              <w:bottom w:val="single" w:sz="4" w:space="0" w:color="auto"/>
              <w:right w:val="single" w:sz="4" w:space="0" w:color="auto"/>
            </w:tcBorders>
            <w:shd w:val="clear" w:color="auto" w:fill="auto"/>
            <w:vAlign w:val="center"/>
            <w:hideMark/>
          </w:tcPr>
          <w:p w14:paraId="07C1650F" w14:textId="324241F9" w:rsidR="00656367" w:rsidRPr="008903D1" w:rsidRDefault="00BC0E9E" w:rsidP="00A323CC">
            <w:pPr>
              <w:pStyle w:val="ListParagraph"/>
              <w:numPr>
                <w:ilvl w:val="0"/>
                <w:numId w:val="23"/>
              </w:numPr>
              <w:spacing w:line="240" w:lineRule="auto"/>
              <w:ind w:left="360"/>
              <w:jc w:val="left"/>
              <w:rPr>
                <w:rFonts w:eastAsia="Times New Roman" w:cs="Times New Roman"/>
                <w:color w:val="000000"/>
                <w:sz w:val="22"/>
              </w:rPr>
            </w:pPr>
            <w:r>
              <w:rPr>
                <w:rFonts w:eastAsia="Times New Roman" w:cs="Times New Roman"/>
                <w:color w:val="000000"/>
                <w:sz w:val="22"/>
              </w:rPr>
              <w:t>R</w:t>
            </w:r>
            <w:r w:rsidR="00F477E2">
              <w:rPr>
                <w:rFonts w:eastAsia="Times New Roman" w:cs="Times New Roman"/>
                <w:color w:val="000000"/>
                <w:sz w:val="22"/>
              </w:rPr>
              <w:t>esearch</w:t>
            </w:r>
            <w:r w:rsidR="00BB2459">
              <w:rPr>
                <w:rFonts w:eastAsia="Times New Roman" w:cs="Times New Roman"/>
                <w:color w:val="000000"/>
                <w:sz w:val="22"/>
              </w:rPr>
              <w:t xml:space="preserve"> </w:t>
            </w:r>
            <w:r w:rsidR="00F477E2">
              <w:rPr>
                <w:rFonts w:eastAsia="Times New Roman" w:cs="Times New Roman"/>
                <w:color w:val="000000"/>
                <w:sz w:val="22"/>
              </w:rPr>
              <w:t>results</w:t>
            </w:r>
            <w:r w:rsidR="00656367" w:rsidRPr="008903D1">
              <w:rPr>
                <w:rFonts w:eastAsia="Times New Roman" w:cs="Times New Roman"/>
                <w:color w:val="000000"/>
                <w:sz w:val="22"/>
              </w:rPr>
              <w:t xml:space="preserve"> cannot be implemented in </w:t>
            </w:r>
            <w:proofErr w:type="gramStart"/>
            <w:r w:rsidR="005877DC">
              <w:rPr>
                <w:rFonts w:eastAsia="Times New Roman" w:cs="Times New Roman"/>
                <w:color w:val="000000"/>
                <w:sz w:val="22"/>
              </w:rPr>
              <w:t>practice</w:t>
            </w:r>
            <w:proofErr w:type="gramEnd"/>
            <w:r w:rsidR="00F477E2">
              <w:rPr>
                <w:rFonts w:eastAsia="Times New Roman" w:cs="Times New Roman"/>
                <w:color w:val="000000"/>
                <w:sz w:val="22"/>
              </w:rPr>
              <w:t xml:space="preserve"> </w:t>
            </w:r>
          </w:p>
          <w:p w14:paraId="214E92EB" w14:textId="1718F486"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 xml:space="preserve">Technological innovation cannot bring economic benefits </w:t>
            </w:r>
            <w:r w:rsidR="00BC0E9E">
              <w:rPr>
                <w:rFonts w:eastAsia="Times New Roman" w:cs="Times New Roman"/>
                <w:color w:val="000000"/>
                <w:sz w:val="22"/>
              </w:rPr>
              <w:t>as</w:t>
            </w:r>
            <w:r w:rsidR="00A90F90">
              <w:rPr>
                <w:rFonts w:eastAsia="Times New Roman" w:cs="Times New Roman"/>
                <w:color w:val="000000"/>
                <w:sz w:val="22"/>
              </w:rPr>
              <w:t xml:space="preserve"> </w:t>
            </w:r>
            <w:r w:rsidR="00A90F90" w:rsidRPr="008903D1">
              <w:rPr>
                <w:rFonts w:eastAsia="Times New Roman" w:cs="Times New Roman"/>
                <w:color w:val="000000"/>
                <w:sz w:val="22"/>
              </w:rPr>
              <w:t>Company B</w:t>
            </w:r>
            <w:r w:rsidR="00A90F90">
              <w:rPr>
                <w:rFonts w:eastAsia="Times New Roman" w:cs="Times New Roman"/>
                <w:color w:val="000000"/>
                <w:sz w:val="22"/>
              </w:rPr>
              <w:t xml:space="preserve"> required</w:t>
            </w:r>
          </w:p>
        </w:tc>
        <w:tc>
          <w:tcPr>
            <w:tcW w:w="2970" w:type="dxa"/>
            <w:tcBorders>
              <w:top w:val="nil"/>
              <w:left w:val="nil"/>
              <w:bottom w:val="single" w:sz="4" w:space="0" w:color="auto"/>
              <w:right w:val="single" w:sz="4" w:space="0" w:color="auto"/>
            </w:tcBorders>
            <w:shd w:val="clear" w:color="auto" w:fill="auto"/>
            <w:vAlign w:val="center"/>
            <w:hideMark/>
          </w:tcPr>
          <w:p w14:paraId="5E670A20" w14:textId="77777777" w:rsidR="00656367" w:rsidRPr="008903D1" w:rsidRDefault="00656367" w:rsidP="00A323CC">
            <w:pPr>
              <w:pStyle w:val="ListParagraph"/>
              <w:numPr>
                <w:ilvl w:val="0"/>
                <w:numId w:val="23"/>
              </w:numPr>
              <w:spacing w:line="240" w:lineRule="auto"/>
              <w:ind w:left="360"/>
              <w:jc w:val="left"/>
              <w:rPr>
                <w:rFonts w:eastAsia="Times New Roman" w:cs="Times New Roman"/>
                <w:color w:val="000000"/>
                <w:sz w:val="22"/>
              </w:rPr>
            </w:pPr>
            <w:r w:rsidRPr="008903D1">
              <w:rPr>
                <w:rFonts w:eastAsia="Times New Roman" w:cs="Times New Roman"/>
                <w:color w:val="000000"/>
                <w:sz w:val="22"/>
              </w:rPr>
              <w:t>Consolidating delivery model cannot promote environmental benefits under extremely large business volume</w:t>
            </w:r>
          </w:p>
        </w:tc>
        <w:tc>
          <w:tcPr>
            <w:tcW w:w="3055" w:type="dxa"/>
            <w:tcBorders>
              <w:top w:val="single" w:sz="4" w:space="0" w:color="auto"/>
              <w:left w:val="nil"/>
              <w:bottom w:val="single" w:sz="4" w:space="0" w:color="auto"/>
              <w:right w:val="single" w:sz="4" w:space="0" w:color="auto"/>
              <w:tl2br w:val="single" w:sz="4" w:space="0" w:color="auto"/>
            </w:tcBorders>
            <w:shd w:val="clear" w:color="auto" w:fill="auto"/>
            <w:vAlign w:val="center"/>
            <w:hideMark/>
          </w:tcPr>
          <w:p w14:paraId="31FC55C7" w14:textId="77777777" w:rsidR="00656367" w:rsidRPr="008903D1" w:rsidRDefault="00656367" w:rsidP="00622AC7">
            <w:pPr>
              <w:spacing w:line="240" w:lineRule="auto"/>
              <w:jc w:val="left"/>
              <w:rPr>
                <w:rFonts w:eastAsia="Times New Roman" w:cs="Times New Roman"/>
                <w:color w:val="000000"/>
                <w:sz w:val="22"/>
              </w:rPr>
            </w:pPr>
            <w:r w:rsidRPr="008903D1">
              <w:rPr>
                <w:rFonts w:eastAsia="Times New Roman" w:cs="Times New Roman"/>
                <w:color w:val="000000"/>
                <w:sz w:val="22"/>
              </w:rPr>
              <w:t> </w:t>
            </w:r>
          </w:p>
        </w:tc>
      </w:tr>
    </w:tbl>
    <w:p w14:paraId="40FD856D" w14:textId="0AD518F6" w:rsidR="00656367" w:rsidRPr="00737239" w:rsidRDefault="007B5959" w:rsidP="00656367">
      <w:pPr>
        <w:pStyle w:val="Caption"/>
        <w:spacing w:after="0" w:line="360" w:lineRule="auto"/>
        <w:rPr>
          <w:rFonts w:cs="Times New Roman"/>
        </w:rPr>
        <w:sectPr w:rsidR="00656367" w:rsidRPr="00737239" w:rsidSect="00D10D94">
          <w:pgSz w:w="16838" w:h="11906" w:orient="landscape"/>
          <w:pgMar w:top="1440" w:right="1440" w:bottom="1440" w:left="1440" w:header="708" w:footer="708" w:gutter="0"/>
          <w:cols w:space="708"/>
          <w:docGrid w:linePitch="360"/>
        </w:sectPr>
      </w:pPr>
      <w:bookmarkStart w:id="815" w:name="_Ref45015848"/>
      <w:bookmarkStart w:id="816" w:name="_Toc46053575"/>
      <w:bookmarkStart w:id="817" w:name="_Toc46093824"/>
      <w:bookmarkStart w:id="818" w:name="_Toc66698791"/>
      <w:r>
        <w:rPr>
          <w:rFonts w:cs="Times New Roman"/>
        </w:rPr>
        <w:t>Table</w:t>
      </w:r>
      <w:r w:rsidR="00656367"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5</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9</w:t>
      </w:r>
      <w:r w:rsidR="00FE10DA">
        <w:rPr>
          <w:rFonts w:cs="Times New Roman"/>
        </w:rPr>
        <w:fldChar w:fldCharType="end"/>
      </w:r>
      <w:bookmarkEnd w:id="815"/>
      <w:r w:rsidR="00AF217C">
        <w:rPr>
          <w:rFonts w:cs="Times New Roman"/>
          <w:noProof/>
        </w:rPr>
        <w:t>:</w:t>
      </w:r>
      <w:r w:rsidR="00656367" w:rsidRPr="00737239">
        <w:rPr>
          <w:rFonts w:cs="Times New Roman"/>
        </w:rPr>
        <w:t xml:space="preserve"> Participants’ issues in urban consolidation centre (UCC) project</w:t>
      </w:r>
      <w:bookmarkEnd w:id="816"/>
      <w:bookmarkEnd w:id="817"/>
      <w:bookmarkEnd w:id="818"/>
    </w:p>
    <w:p w14:paraId="4C167096" w14:textId="77777777" w:rsidR="00656367" w:rsidRPr="00DB493C" w:rsidRDefault="00656367" w:rsidP="00656367">
      <w:pPr>
        <w:pStyle w:val="Heading2"/>
        <w:spacing w:after="120" w:line="360" w:lineRule="auto"/>
        <w:rPr>
          <w:rFonts w:cs="Times New Roman"/>
        </w:rPr>
      </w:pPr>
      <w:bookmarkStart w:id="819" w:name="_Toc46053464"/>
      <w:bookmarkStart w:id="820" w:name="_Toc46093378"/>
      <w:bookmarkStart w:id="821" w:name="_Toc46093661"/>
      <w:bookmarkStart w:id="822" w:name="_Toc66703237"/>
      <w:r w:rsidRPr="00802DC5">
        <w:rPr>
          <w:rFonts w:cs="Times New Roman"/>
        </w:rPr>
        <w:lastRenderedPageBreak/>
        <w:t>Mapping stakeholder partnerships</w:t>
      </w:r>
      <w:bookmarkEnd w:id="819"/>
      <w:bookmarkEnd w:id="820"/>
      <w:bookmarkEnd w:id="821"/>
      <w:bookmarkEnd w:id="822"/>
    </w:p>
    <w:p w14:paraId="11D4F827" w14:textId="3FCDBE3C" w:rsidR="00656367" w:rsidRDefault="00656367" w:rsidP="00014014">
      <w:pPr>
        <w:spacing w:after="240" w:line="360" w:lineRule="auto"/>
        <w:rPr>
          <w:rFonts w:cs="Times New Roman"/>
        </w:rPr>
      </w:pPr>
      <w:r w:rsidRPr="00A96AC5">
        <w:rPr>
          <w:rFonts w:cs="Times New Roman"/>
        </w:rPr>
        <w:t xml:space="preserve">The four cases represent four types of stakeholder partnership, defined as follows: independent partnership (SCUCC), asymmetric partnership (RSUCC), </w:t>
      </w:r>
      <w:r w:rsidR="003E1B32">
        <w:rPr>
          <w:rFonts w:cs="Times New Roman"/>
        </w:rPr>
        <w:t>a</w:t>
      </w:r>
      <w:r w:rsidR="003E1B32" w:rsidRPr="00591B36">
        <w:rPr>
          <w:rFonts w:cs="Times New Roman"/>
        </w:rPr>
        <w:t>ffiliated</w:t>
      </w:r>
      <w:r w:rsidRPr="00A96AC5">
        <w:rPr>
          <w:rFonts w:cs="Times New Roman"/>
        </w:rPr>
        <w:t xml:space="preserve"> relationship (CAUCC), and PPPs (CBUCC). </w:t>
      </w:r>
    </w:p>
    <w:p w14:paraId="74686765" w14:textId="6EADCD6C" w:rsidR="00656367" w:rsidRPr="00A96AC5" w:rsidRDefault="00656367" w:rsidP="00014014">
      <w:pPr>
        <w:spacing w:after="240" w:line="360" w:lineRule="auto"/>
        <w:rPr>
          <w:rFonts w:cs="Times New Roman"/>
        </w:rPr>
      </w:pPr>
      <w:r w:rsidRPr="00802DC5">
        <w:rPr>
          <w:rFonts w:cs="Times New Roman"/>
        </w:rPr>
        <w:t>In the SCUCC, all stakeholders are independent of one another and have individual responsibility for the project. There is no intervention between the different stakeholders. The logistics company is only concerned that its budgets are not overspent and that its goods are safely delivered in a timely manner.</w:t>
      </w:r>
      <w:r w:rsidR="007C4A96">
        <w:rPr>
          <w:rFonts w:cs="Times New Roman"/>
        </w:rPr>
        <w:t xml:space="preserve"> </w:t>
      </w:r>
      <w:r w:rsidRPr="00802DC5">
        <w:rPr>
          <w:rFonts w:cs="Times New Roman"/>
        </w:rPr>
        <w:t>The logistics companies do not know the operational details (e.g., goods distribution, materials deployment, a</w:t>
      </w:r>
      <w:r w:rsidRPr="00DB493C">
        <w:rPr>
          <w:rFonts w:cs="Times New Roman"/>
        </w:rPr>
        <w:t xml:space="preserve">nd equipment configuration), as these are the responsibility of the UCC operator. The local authority does not set targets for the environmental and social performance of the facility. Research institutions provide equipment, such as EVs, but they have no </w:t>
      </w:r>
      <w:r w:rsidRPr="00A96AC5">
        <w:rPr>
          <w:rFonts w:cs="Times New Roman"/>
        </w:rPr>
        <w:t>sense of how the operator utilises them (</w:t>
      </w:r>
      <w:r w:rsidR="00CE67A4">
        <w:rPr>
          <w:rFonts w:cs="Times New Roman"/>
        </w:rPr>
        <w:fldChar w:fldCharType="begin"/>
      </w:r>
      <w:r w:rsidR="00CE67A4">
        <w:rPr>
          <w:rFonts w:cs="Times New Roman"/>
        </w:rPr>
        <w:instrText xml:space="preserve"> REF _Ref45017308 \h </w:instrText>
      </w:r>
      <w:r w:rsidR="00CE67A4">
        <w:rPr>
          <w:rFonts w:cs="Times New Roman"/>
        </w:rPr>
      </w:r>
      <w:r w:rsidR="00CE67A4">
        <w:rPr>
          <w:rFonts w:cs="Times New Roman"/>
        </w:rPr>
        <w:fldChar w:fldCharType="separate"/>
      </w:r>
      <w:r w:rsidR="0005064B" w:rsidRPr="008903D1">
        <w:rPr>
          <w:rFonts w:cs="Times New Roman"/>
        </w:rPr>
        <w:t xml:space="preserve">Figure </w:t>
      </w:r>
      <w:r w:rsidR="0005064B">
        <w:rPr>
          <w:rFonts w:cs="Times New Roman"/>
          <w:noProof/>
        </w:rPr>
        <w:t>5</w:t>
      </w:r>
      <w:r w:rsidR="0005064B">
        <w:rPr>
          <w:rFonts w:cs="Times New Roman"/>
        </w:rPr>
        <w:noBreakHyphen/>
      </w:r>
      <w:r w:rsidR="0005064B">
        <w:rPr>
          <w:rFonts w:cs="Times New Roman"/>
          <w:noProof/>
        </w:rPr>
        <w:t>9</w:t>
      </w:r>
      <w:r w:rsidR="00CE67A4">
        <w:rPr>
          <w:rFonts w:cs="Times New Roman"/>
        </w:rPr>
        <w:fldChar w:fldCharType="end"/>
      </w:r>
      <w:r w:rsidRPr="008903D1">
        <w:rPr>
          <w:rFonts w:cs="Times New Roman"/>
        </w:rPr>
        <w:t xml:space="preserve">). The partnership is constructed based on the provisions in the contract, thus </w:t>
      </w:r>
      <w:r w:rsidRPr="00737239">
        <w:rPr>
          <w:rFonts w:cs="Times New Roman"/>
        </w:rPr>
        <w:t>the relationship between the agents is loose. In this framework, the cooperative stakeholders primarily solve problems through consultation.</w:t>
      </w:r>
    </w:p>
    <w:p w14:paraId="64538C78" w14:textId="77777777" w:rsidR="00656367" w:rsidRPr="008903D1" w:rsidRDefault="00656367" w:rsidP="00656367">
      <w:pPr>
        <w:spacing w:line="360" w:lineRule="auto"/>
        <w:jc w:val="center"/>
        <w:rPr>
          <w:rFonts w:cs="Times New Roman"/>
        </w:rPr>
      </w:pPr>
      <w:r>
        <w:rPr>
          <w:noProof/>
          <w:lang w:eastAsia="en-GB"/>
        </w:rPr>
        <w:drawing>
          <wp:inline distT="0" distB="0" distL="0" distR="0" wp14:anchorId="7B277638" wp14:editId="33EF3CA1">
            <wp:extent cx="5745480" cy="2073910"/>
            <wp:effectExtent l="0" t="0" r="7620" b="2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45480" cy="2073910"/>
                    </a:xfrm>
                    <a:prstGeom prst="rect">
                      <a:avLst/>
                    </a:prstGeom>
                    <a:noFill/>
                    <a:ln>
                      <a:noFill/>
                    </a:ln>
                  </pic:spPr>
                </pic:pic>
              </a:graphicData>
            </a:graphic>
          </wp:inline>
        </w:drawing>
      </w:r>
    </w:p>
    <w:p w14:paraId="7440BE51" w14:textId="7BA1EDE2" w:rsidR="00656367" w:rsidRDefault="00656367" w:rsidP="00014014">
      <w:pPr>
        <w:pStyle w:val="Caption"/>
        <w:spacing w:line="360" w:lineRule="auto"/>
        <w:rPr>
          <w:rFonts w:cs="Times New Roman"/>
        </w:rPr>
      </w:pPr>
      <w:bookmarkStart w:id="823" w:name="_Ref45017308"/>
      <w:bookmarkStart w:id="824" w:name="_Toc46053691"/>
      <w:bookmarkStart w:id="825" w:name="_Toc66698722"/>
      <w:r w:rsidRPr="008903D1">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5</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9</w:t>
      </w:r>
      <w:r w:rsidR="00632993">
        <w:rPr>
          <w:rFonts w:cs="Times New Roman"/>
        </w:rPr>
        <w:fldChar w:fldCharType="end"/>
      </w:r>
      <w:bookmarkEnd w:id="823"/>
      <w:r w:rsidR="00F53F72">
        <w:rPr>
          <w:rFonts w:cs="Times New Roman"/>
          <w:noProof/>
        </w:rPr>
        <w:t>:</w:t>
      </w:r>
      <w:r w:rsidRPr="00737239">
        <w:rPr>
          <w:rFonts w:cs="Times New Roman"/>
          <w:b w:val="0"/>
        </w:rPr>
        <w:t xml:space="preserve"> </w:t>
      </w:r>
      <w:r w:rsidRPr="00737239">
        <w:rPr>
          <w:rFonts w:cs="Times New Roman"/>
        </w:rPr>
        <w:t>Independent stakeholder partnerships in SCUCC</w:t>
      </w:r>
      <w:bookmarkEnd w:id="824"/>
      <w:bookmarkEnd w:id="825"/>
    </w:p>
    <w:p w14:paraId="72D22AC0" w14:textId="07AC0C3C" w:rsidR="00656367" w:rsidRPr="00BD713C" w:rsidRDefault="00656367" w:rsidP="00014014">
      <w:pPr>
        <w:spacing w:after="240" w:line="360" w:lineRule="auto"/>
        <w:rPr>
          <w:rFonts w:cs="Times New Roman"/>
        </w:rPr>
      </w:pPr>
      <w:r w:rsidRPr="00802DC5">
        <w:rPr>
          <w:rFonts w:cs="Times New Roman"/>
        </w:rPr>
        <w:t xml:space="preserve">The RSUCC provides an example of an asymmetric partnership between stakeholders. </w:t>
      </w:r>
      <w:r w:rsidR="003B6522">
        <w:rPr>
          <w:rFonts w:cs="Times New Roman"/>
        </w:rPr>
        <w:t xml:space="preserve">The </w:t>
      </w:r>
      <w:r w:rsidR="00E20B58" w:rsidRPr="00A96AC5">
        <w:rPr>
          <w:rFonts w:cs="Times New Roman"/>
        </w:rPr>
        <w:t xml:space="preserve">RSUCC has an outstanding performance on interoperability </w:t>
      </w:r>
      <w:r w:rsidR="00A22B02">
        <w:rPr>
          <w:rFonts w:cs="Times New Roman"/>
          <w:noProof/>
        </w:rPr>
        <w:fldChar w:fldCharType="begin"/>
      </w:r>
      <w:r w:rsidR="00647E79">
        <w:rPr>
          <w:rFonts w:cs="Times New Roman"/>
          <w:noProof/>
        </w:rPr>
        <w:instrText xml:space="preserve"> ADDIN EN.CITE &lt;EndNote&gt;&lt;Cite&gt;&lt;Author&gt;Malhene&lt;/Author&gt;&lt;Year&gt;2012&lt;/Year&gt;&lt;RecNum&gt;196&lt;/RecNum&gt;&lt;DisplayText&gt;(Malhene et al., 2012)&lt;/DisplayText&gt;&lt;record&gt;&lt;rec-number&gt;196&lt;/rec-number&gt;&lt;foreign-keys&gt;&lt;key app="EN" db-id="pzt5ep52hsedfpeext2pdfes0w0aswaewef2" timestamp="1605187996"&gt;196&lt;/key&gt;&lt;/foreign-keys&gt;&lt;ref-type name="Journal Article"&gt;17&lt;/ref-type&gt;&lt;contributors&gt;&lt;authors&gt;&lt;author&gt;Malhene, N.&lt;/author&gt;&lt;author&gt;Trentini, A.&lt;/author&gt;&lt;author&gt;Marques, G.&lt;/author&gt;&lt;author&gt;Burlat, P.&lt;/author&gt;&lt;/authors&gt;&lt;/contributors&gt;&lt;titles&gt;&lt;title&gt;Freight consolidation centers for urban logistics solutions: The key role of interoperability&lt;/title&gt;&lt;secondary-title&gt;IEEE International Conference on Digital Ecosystems and Technologies&lt;/secondary-title&gt;&lt;/titles&gt;&lt;periodical&gt;&lt;full-title&gt;IEEE International Conference on Digital Ecosystems and Technologies&lt;/full-title&gt;&lt;/periodical&gt;&lt;dates&gt;&lt;year&gt;2012&lt;/year&gt;&lt;/dates&gt;&lt;urls&gt;&lt;related-urls&gt;&lt;url&gt;https://ieeexplore.ieee.org/ielx5/6222390/6227884/06227939.pdf?tp=&amp;amp;arnumber=6227939&amp;amp;isnumber=6227884&lt;/url&gt;&lt;url&gt;https://ieeexplore.ieee.org/document/6227939/&lt;/url&gt;&lt;/related-urls&gt;&lt;/urls&gt;&lt;custom7&gt;6227939&lt;/custom7&gt;&lt;electronic-resource-num&gt;10.1109/DEST.2012.6227939&lt;/electronic-resource-num&gt;&lt;/record&gt;&lt;/Cite&gt;&lt;/EndNote&gt;</w:instrText>
      </w:r>
      <w:r w:rsidR="00A22B02">
        <w:rPr>
          <w:rFonts w:cs="Times New Roman"/>
          <w:noProof/>
        </w:rPr>
        <w:fldChar w:fldCharType="separate"/>
      </w:r>
      <w:r w:rsidR="00A22B02">
        <w:rPr>
          <w:rFonts w:cs="Times New Roman"/>
          <w:noProof/>
        </w:rPr>
        <w:t>(Malhene et al., 2012)</w:t>
      </w:r>
      <w:r w:rsidR="00A22B02">
        <w:rPr>
          <w:rFonts w:cs="Times New Roman"/>
          <w:noProof/>
        </w:rPr>
        <w:fldChar w:fldCharType="end"/>
      </w:r>
      <w:r w:rsidR="00E20B58" w:rsidRPr="00A96AC5">
        <w:rPr>
          <w:rFonts w:cs="Times New Roman"/>
        </w:rPr>
        <w:t xml:space="preserve">, as it has a </w:t>
      </w:r>
      <w:r w:rsidR="00694276">
        <w:rPr>
          <w:rFonts w:cs="Times New Roman"/>
        </w:rPr>
        <w:t>broad</w:t>
      </w:r>
      <w:r w:rsidR="00E20B58" w:rsidRPr="00A96AC5">
        <w:rPr>
          <w:rFonts w:cs="Times New Roman"/>
        </w:rPr>
        <w:t xml:space="preserve"> service scope and diverse operating modes. </w:t>
      </w:r>
      <w:r w:rsidRPr="00802DC5">
        <w:rPr>
          <w:rFonts w:cs="Times New Roman"/>
        </w:rPr>
        <w:t>This project has a hierarchical organisational structure (</w:t>
      </w:r>
      <w:r w:rsidR="00CE67A4">
        <w:rPr>
          <w:rFonts w:cs="Times New Roman"/>
        </w:rPr>
        <w:fldChar w:fldCharType="begin"/>
      </w:r>
      <w:r w:rsidR="00CE67A4">
        <w:rPr>
          <w:rFonts w:cs="Times New Roman"/>
        </w:rPr>
        <w:instrText xml:space="preserve"> REF _Ref45017320 \h </w:instrText>
      </w:r>
      <w:r w:rsidR="00CE67A4">
        <w:rPr>
          <w:rFonts w:cs="Times New Roman"/>
        </w:rPr>
      </w:r>
      <w:r w:rsidR="00CE67A4">
        <w:rPr>
          <w:rFonts w:cs="Times New Roman"/>
        </w:rPr>
        <w:fldChar w:fldCharType="separate"/>
      </w:r>
      <w:r w:rsidR="0005064B" w:rsidRPr="008903D1">
        <w:rPr>
          <w:rFonts w:cs="Times New Roman"/>
        </w:rPr>
        <w:t xml:space="preserve">Figure </w:t>
      </w:r>
      <w:r w:rsidR="0005064B">
        <w:rPr>
          <w:rFonts w:cs="Times New Roman"/>
          <w:noProof/>
        </w:rPr>
        <w:t>5</w:t>
      </w:r>
      <w:r w:rsidR="0005064B">
        <w:rPr>
          <w:rFonts w:cs="Times New Roman"/>
        </w:rPr>
        <w:noBreakHyphen/>
      </w:r>
      <w:r w:rsidR="0005064B">
        <w:rPr>
          <w:rFonts w:cs="Times New Roman"/>
          <w:noProof/>
        </w:rPr>
        <w:t>10</w:t>
      </w:r>
      <w:r w:rsidR="00CE67A4">
        <w:rPr>
          <w:rFonts w:cs="Times New Roman"/>
        </w:rPr>
        <w:fldChar w:fldCharType="end"/>
      </w:r>
      <w:r w:rsidRPr="008903D1">
        <w:rPr>
          <w:rFonts w:cs="Times New Roman"/>
        </w:rPr>
        <w:t xml:space="preserve">). In such a </w:t>
      </w:r>
      <w:r w:rsidRPr="00737239">
        <w:rPr>
          <w:rFonts w:cs="Times New Roman"/>
        </w:rPr>
        <w:t xml:space="preserve">system, stakeholders on the upper level manage those on the lower levels. </w:t>
      </w:r>
      <w:r w:rsidRPr="00802DC5">
        <w:rPr>
          <w:rFonts w:cs="Times New Roman"/>
        </w:rPr>
        <w:t xml:space="preserve">As this is a state-owned project, the local authority is located on the first level. It provides all enterprise resources – financial, material, human, and technical – for its partners. </w:t>
      </w:r>
      <w:r w:rsidRPr="00802DC5">
        <w:rPr>
          <w:rFonts w:cs="Times New Roman"/>
        </w:rPr>
        <w:lastRenderedPageBreak/>
        <w:t>Therefore, the local authority has a dominant role in the collaborative network, formulating strategy and making decisions without considering the opinions of its partners. The</w:t>
      </w:r>
      <w:r w:rsidRPr="00DB493C">
        <w:rPr>
          <w:rFonts w:cs="Times New Roman"/>
        </w:rPr>
        <w:t xml:space="preserve"> stakeholders in the second and third hierarchy must abide by the decisions of the local authorities.</w:t>
      </w:r>
    </w:p>
    <w:p w14:paraId="03BEF560" w14:textId="77777777" w:rsidR="00656367" w:rsidRPr="00A96AC5" w:rsidRDefault="00656367" w:rsidP="00656367">
      <w:pPr>
        <w:pStyle w:val="Caption"/>
        <w:spacing w:after="0" w:line="360" w:lineRule="auto"/>
        <w:rPr>
          <w:rStyle w:val="fontstyle01"/>
          <w:rFonts w:ascii="Times New Roman" w:hAnsi="Times New Roman" w:cs="Times New Roman"/>
        </w:rPr>
      </w:pPr>
      <w:r w:rsidRPr="008903D1">
        <w:rPr>
          <w:rFonts w:cs="Times New Roman"/>
          <w:noProof/>
          <w:color w:val="000000"/>
          <w:sz w:val="24"/>
          <w:szCs w:val="24"/>
          <w:lang w:eastAsia="en-GB"/>
        </w:rPr>
        <w:drawing>
          <wp:inline distT="0" distB="0" distL="0" distR="0" wp14:anchorId="7BF5B0BF" wp14:editId="744B8BF8">
            <wp:extent cx="5680800" cy="1670685"/>
            <wp:effectExtent l="0" t="0" r="72390" b="0"/>
            <wp:docPr id="65" name="Diagram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2" r:lo="rId123" r:qs="rId124" r:cs="rId125"/>
              </a:graphicData>
            </a:graphic>
          </wp:inline>
        </w:drawing>
      </w:r>
    </w:p>
    <w:p w14:paraId="4FD80D76" w14:textId="76695390" w:rsidR="00656367" w:rsidRPr="00737239" w:rsidRDefault="00656367" w:rsidP="00014014">
      <w:pPr>
        <w:pStyle w:val="Caption"/>
        <w:spacing w:line="360" w:lineRule="auto"/>
        <w:rPr>
          <w:rFonts w:cs="Times New Roman"/>
        </w:rPr>
      </w:pPr>
      <w:bookmarkStart w:id="826" w:name="_Ref45017320"/>
      <w:bookmarkStart w:id="827" w:name="_Toc46053692"/>
      <w:bookmarkStart w:id="828" w:name="_Toc66698723"/>
      <w:r w:rsidRPr="008903D1">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5</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10</w:t>
      </w:r>
      <w:r w:rsidR="00632993">
        <w:rPr>
          <w:rFonts w:cs="Times New Roman"/>
        </w:rPr>
        <w:fldChar w:fldCharType="end"/>
      </w:r>
      <w:bookmarkEnd w:id="826"/>
      <w:r w:rsidR="002547EF">
        <w:rPr>
          <w:rFonts w:cs="Times New Roman"/>
          <w:noProof/>
        </w:rPr>
        <w:t>:</w:t>
      </w:r>
      <w:r w:rsidRPr="00737239">
        <w:rPr>
          <w:rFonts w:cs="Times New Roman"/>
          <w:b w:val="0"/>
        </w:rPr>
        <w:t xml:space="preserve"> </w:t>
      </w:r>
      <w:r w:rsidRPr="00737239">
        <w:rPr>
          <w:rFonts w:cs="Times New Roman"/>
        </w:rPr>
        <w:t>Asymmetrical stakeholder partnerships in RSUCC</w:t>
      </w:r>
      <w:bookmarkEnd w:id="827"/>
      <w:bookmarkEnd w:id="828"/>
    </w:p>
    <w:p w14:paraId="6193BAF8" w14:textId="35EC01ED" w:rsidR="00656367" w:rsidRDefault="00656367" w:rsidP="00014014">
      <w:pPr>
        <w:spacing w:after="240" w:line="360" w:lineRule="auto"/>
        <w:rPr>
          <w:rFonts w:cs="Times New Roman"/>
        </w:rPr>
      </w:pPr>
      <w:r w:rsidRPr="00A96AC5">
        <w:rPr>
          <w:rFonts w:cs="Times New Roman"/>
        </w:rPr>
        <w:t xml:space="preserve">There is no intervention between the pairs of stakeholders in the operational process, though they have close links with others. </w:t>
      </w:r>
      <w:proofErr w:type="gramStart"/>
      <w:r w:rsidRPr="00A96AC5">
        <w:rPr>
          <w:rFonts w:cs="Times New Roman"/>
        </w:rPr>
        <w:t>In particular, upper-level</w:t>
      </w:r>
      <w:proofErr w:type="gramEnd"/>
      <w:r w:rsidRPr="00A96AC5">
        <w:rPr>
          <w:rFonts w:cs="Times New Roman"/>
        </w:rPr>
        <w:t xml:space="preserve"> stakeholders can set performance targets for lower-level stakeholders, while those on the upper level must take responsibility for deficiencies created by those on the lower level. If targets cannot be achieved, high-level stakeholders have the right to remove low-level stakeholders who perform poorly in the UCC project. </w:t>
      </w:r>
    </w:p>
    <w:p w14:paraId="5E758877" w14:textId="0560355A" w:rsidR="00656367" w:rsidRDefault="00656367" w:rsidP="009814A6">
      <w:pPr>
        <w:spacing w:after="240" w:line="360" w:lineRule="auto"/>
        <w:rPr>
          <w:rFonts w:cs="Times New Roman"/>
        </w:rPr>
      </w:pPr>
      <w:r w:rsidRPr="00802DC5">
        <w:rPr>
          <w:rFonts w:cs="Times New Roman"/>
        </w:rPr>
        <w:t xml:space="preserve">CAUCC provides an example of a </w:t>
      </w:r>
      <w:r w:rsidR="00591B36">
        <w:rPr>
          <w:rFonts w:cs="Times New Roman"/>
        </w:rPr>
        <w:t>UCC which is a</w:t>
      </w:r>
      <w:r w:rsidR="00591B36" w:rsidRPr="00591B36">
        <w:rPr>
          <w:rFonts w:cs="Times New Roman"/>
        </w:rPr>
        <w:t>ffiliated</w:t>
      </w:r>
      <w:r w:rsidRPr="00802DC5">
        <w:rPr>
          <w:rFonts w:cs="Times New Roman"/>
        </w:rPr>
        <w:t xml:space="preserve"> </w:t>
      </w:r>
      <w:r w:rsidR="00591B36">
        <w:rPr>
          <w:rFonts w:cs="Times New Roman"/>
        </w:rPr>
        <w:t>to ‘</w:t>
      </w:r>
      <w:r w:rsidR="00591B36" w:rsidRPr="00802DC5">
        <w:rPr>
          <w:rFonts w:cs="Times New Roman"/>
        </w:rPr>
        <w:t>Company A</w:t>
      </w:r>
      <w:r w:rsidR="00591B36">
        <w:rPr>
          <w:rFonts w:cs="Times New Roman"/>
        </w:rPr>
        <w:t>’</w:t>
      </w:r>
      <w:r w:rsidR="00591B36" w:rsidRPr="00802DC5">
        <w:rPr>
          <w:rFonts w:cs="Times New Roman"/>
        </w:rPr>
        <w:t xml:space="preserve"> </w:t>
      </w:r>
      <w:r w:rsidRPr="00802DC5">
        <w:rPr>
          <w:rFonts w:cs="Times New Roman"/>
        </w:rPr>
        <w:t>(</w:t>
      </w:r>
      <w:r w:rsidR="002A7385">
        <w:rPr>
          <w:rFonts w:cs="Times New Roman"/>
        </w:rPr>
        <w:fldChar w:fldCharType="begin"/>
      </w:r>
      <w:r w:rsidR="002A7385">
        <w:rPr>
          <w:rFonts w:cs="Times New Roman"/>
        </w:rPr>
        <w:instrText xml:space="preserve"> REF _Ref45017355 \h </w:instrText>
      </w:r>
      <w:r w:rsidR="002A7385">
        <w:rPr>
          <w:rFonts w:cs="Times New Roman"/>
        </w:rPr>
      </w:r>
      <w:r w:rsidR="002A7385">
        <w:rPr>
          <w:rFonts w:cs="Times New Roman"/>
        </w:rPr>
        <w:fldChar w:fldCharType="separate"/>
      </w:r>
      <w:r w:rsidR="0005064B" w:rsidRPr="008903D1">
        <w:rPr>
          <w:rFonts w:cs="Times New Roman"/>
        </w:rPr>
        <w:t xml:space="preserve">Figure </w:t>
      </w:r>
      <w:r w:rsidR="0005064B">
        <w:rPr>
          <w:rFonts w:cs="Times New Roman"/>
          <w:noProof/>
        </w:rPr>
        <w:t>5</w:t>
      </w:r>
      <w:r w:rsidR="0005064B">
        <w:rPr>
          <w:rFonts w:cs="Times New Roman"/>
        </w:rPr>
        <w:noBreakHyphen/>
      </w:r>
      <w:r w:rsidR="0005064B">
        <w:rPr>
          <w:rFonts w:cs="Times New Roman"/>
          <w:noProof/>
        </w:rPr>
        <w:t>11</w:t>
      </w:r>
      <w:r w:rsidR="002A7385">
        <w:rPr>
          <w:rFonts w:cs="Times New Roman"/>
        </w:rPr>
        <w:fldChar w:fldCharType="end"/>
      </w:r>
      <w:r w:rsidRPr="008903D1">
        <w:rPr>
          <w:rFonts w:cs="Times New Roman"/>
        </w:rPr>
        <w:t>)</w:t>
      </w:r>
      <w:r w:rsidRPr="00737239">
        <w:rPr>
          <w:rFonts w:cs="Times New Roman"/>
        </w:rPr>
        <w:t>. Company A is the sole investor and operator of CAUCC, with responsibility for improving logistics efficiency, dealing with operational issues, and covering expenses. The warehouse department and distribution department s</w:t>
      </w:r>
      <w:r w:rsidRPr="00802DC5">
        <w:rPr>
          <w:rFonts w:cs="Times New Roman"/>
        </w:rPr>
        <w:t xml:space="preserve">erve to maximise Company A’s economic benefits. </w:t>
      </w:r>
    </w:p>
    <w:p w14:paraId="5E012BC0" w14:textId="77777777" w:rsidR="00656367" w:rsidRPr="00A96AC5" w:rsidRDefault="00656367" w:rsidP="006563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sz w:val="22"/>
        </w:rPr>
      </w:pPr>
      <w:r>
        <w:object w:dxaOrig="8985" w:dyaOrig="3030" w14:anchorId="513978EA">
          <v:shape id="_x0000_i1039" type="#_x0000_t75" style="width:446.1pt;height:150.9pt" o:ole="">
            <v:imagedata r:id="rId127" o:title=""/>
          </v:shape>
          <o:OLEObject Type="Embed" ProgID="Visio.Drawing.15" ShapeID="_x0000_i1039" DrawAspect="Content" ObjectID="_1681648046" r:id="rId128"/>
        </w:object>
      </w:r>
    </w:p>
    <w:p w14:paraId="6DF83B84" w14:textId="3CDCF64D" w:rsidR="00656367" w:rsidRDefault="00656367" w:rsidP="00014014">
      <w:pPr>
        <w:pStyle w:val="Caption"/>
        <w:spacing w:line="360" w:lineRule="auto"/>
        <w:rPr>
          <w:rFonts w:cs="Times New Roman"/>
        </w:rPr>
      </w:pPr>
      <w:bookmarkStart w:id="829" w:name="_Ref45017355"/>
      <w:bookmarkStart w:id="830" w:name="_Toc46053693"/>
      <w:bookmarkStart w:id="831" w:name="_Toc66698724"/>
      <w:r w:rsidRPr="008903D1">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5</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11</w:t>
      </w:r>
      <w:r w:rsidR="00632993">
        <w:rPr>
          <w:rFonts w:cs="Times New Roman"/>
        </w:rPr>
        <w:fldChar w:fldCharType="end"/>
      </w:r>
      <w:bookmarkEnd w:id="829"/>
      <w:r w:rsidR="002547EF">
        <w:rPr>
          <w:rFonts w:cs="Times New Roman"/>
        </w:rPr>
        <w:t>:</w:t>
      </w:r>
      <w:r w:rsidRPr="00737239">
        <w:rPr>
          <w:rFonts w:cs="Times New Roman"/>
        </w:rPr>
        <w:t xml:space="preserve"> </w:t>
      </w:r>
      <w:r w:rsidR="008229EC">
        <w:rPr>
          <w:rFonts w:cs="Times New Roman"/>
        </w:rPr>
        <w:t xml:space="preserve">UCC </w:t>
      </w:r>
      <w:r w:rsidR="009814A6">
        <w:rPr>
          <w:rFonts w:cs="Times New Roman"/>
        </w:rPr>
        <w:t>a</w:t>
      </w:r>
      <w:r w:rsidR="009814A6" w:rsidRPr="00591B36">
        <w:rPr>
          <w:rFonts w:cs="Times New Roman"/>
        </w:rPr>
        <w:t>ffiliated</w:t>
      </w:r>
      <w:r w:rsidR="009814A6" w:rsidRPr="00737239">
        <w:rPr>
          <w:rFonts w:cs="Times New Roman"/>
        </w:rPr>
        <w:t xml:space="preserve"> to</w:t>
      </w:r>
      <w:r w:rsidR="008229EC">
        <w:rPr>
          <w:rFonts w:cs="Times New Roman"/>
        </w:rPr>
        <w:t xml:space="preserve"> the Company A</w:t>
      </w:r>
      <w:bookmarkEnd w:id="830"/>
      <w:bookmarkEnd w:id="831"/>
    </w:p>
    <w:p w14:paraId="705536FD" w14:textId="10A3C08A" w:rsidR="00656367" w:rsidRPr="00171CCE" w:rsidRDefault="00656367" w:rsidP="00014014">
      <w:pPr>
        <w:spacing w:after="240" w:line="360" w:lineRule="auto"/>
        <w:rPr>
          <w:rFonts w:cs="Times New Roman"/>
        </w:rPr>
      </w:pPr>
      <w:r w:rsidRPr="00A96AC5">
        <w:rPr>
          <w:rFonts w:cs="Times New Roman"/>
        </w:rPr>
        <w:lastRenderedPageBreak/>
        <w:t>The partnership between Company A and the secondary stakeholders (including other medical wholesalers, third-party logistics companies</w:t>
      </w:r>
      <w:r w:rsidRPr="008903D1">
        <w:rPr>
          <w:rFonts w:cs="Times New Roman"/>
        </w:rPr>
        <w:t xml:space="preserve"> and non-medical users) can be described as </w:t>
      </w:r>
      <w:r w:rsidRPr="00737239">
        <w:rPr>
          <w:rFonts w:cs="Times New Roman"/>
        </w:rPr>
        <w:t>‘core and periphery’. Compan</w:t>
      </w:r>
      <w:r w:rsidRPr="00802DC5">
        <w:rPr>
          <w:rFonts w:cs="Times New Roman"/>
        </w:rPr>
        <w:t xml:space="preserve">y A is the ‘core’ in this collaborative system and its interests have priority over those of others. </w:t>
      </w:r>
      <w:r w:rsidR="00C730B7">
        <w:rPr>
          <w:rFonts w:cs="Times New Roman"/>
        </w:rPr>
        <w:t>C</w:t>
      </w:r>
      <w:r w:rsidRPr="00802DC5">
        <w:rPr>
          <w:rFonts w:cs="Times New Roman"/>
        </w:rPr>
        <w:t>ompany</w:t>
      </w:r>
      <w:r w:rsidR="00C730B7">
        <w:rPr>
          <w:rFonts w:cs="Times New Roman"/>
        </w:rPr>
        <w:t xml:space="preserve"> A</w:t>
      </w:r>
      <w:r w:rsidRPr="00802DC5">
        <w:rPr>
          <w:rFonts w:cs="Times New Roman"/>
        </w:rPr>
        <w:t xml:space="preserve"> can independently determine the form of cooperation with the secondary stakeholders, as well as the duration of that cooperation. The other stakeholders are located at the periphery in this collaborative system: they cannot influence the operation of CAUCC. Alt</w:t>
      </w:r>
      <w:r w:rsidRPr="00DB493C">
        <w:rPr>
          <w:rFonts w:cs="Times New Roman"/>
        </w:rPr>
        <w:t>hough their interests are low priority, the UCC guarantees them economic benefits higher than those associated with individual processing of goods transportation.</w:t>
      </w:r>
    </w:p>
    <w:p w14:paraId="6E1214BC" w14:textId="5FF35760" w:rsidR="00656367" w:rsidRPr="00DB493C" w:rsidRDefault="00A87D3D" w:rsidP="00582DE8">
      <w:pPr>
        <w:spacing w:after="240" w:line="360" w:lineRule="auto"/>
        <w:rPr>
          <w:rFonts w:cs="Times New Roman"/>
        </w:rPr>
      </w:pPr>
      <w:r>
        <w:rPr>
          <w:rFonts w:cs="Times New Roman"/>
        </w:rPr>
        <w:t xml:space="preserve">The </w:t>
      </w:r>
      <w:r w:rsidR="00656367" w:rsidRPr="00802DC5">
        <w:rPr>
          <w:rFonts w:cs="Times New Roman"/>
        </w:rPr>
        <w:t xml:space="preserve">CBUCC is a PPP project in which Company B, the local authority, and researchers cooperate to develop an innovative UL system. The cooperation between the public sector and private enterprise is based on </w:t>
      </w:r>
      <w:r w:rsidR="00A00097">
        <w:rPr>
          <w:rFonts w:cs="Times New Roman"/>
        </w:rPr>
        <w:t xml:space="preserve">a </w:t>
      </w:r>
      <w:r w:rsidR="00656367" w:rsidRPr="00802DC5">
        <w:rPr>
          <w:rFonts w:cs="Times New Roman"/>
        </w:rPr>
        <w:t xml:space="preserve">concessionary agreement. Both </w:t>
      </w:r>
      <w:r w:rsidR="001050DA">
        <w:rPr>
          <w:rFonts w:cs="Times New Roman"/>
        </w:rPr>
        <w:t>parties</w:t>
      </w:r>
      <w:r w:rsidR="00656367" w:rsidRPr="00802DC5">
        <w:rPr>
          <w:rFonts w:cs="Times New Roman"/>
        </w:rPr>
        <w:t xml:space="preserve"> are responsible for the project. The government and </w:t>
      </w:r>
      <w:r w:rsidR="000B7F84">
        <w:rPr>
          <w:rFonts w:cs="Times New Roman"/>
        </w:rPr>
        <w:t>‘</w:t>
      </w:r>
      <w:r w:rsidR="00656367" w:rsidRPr="00802DC5">
        <w:rPr>
          <w:rFonts w:cs="Times New Roman"/>
        </w:rPr>
        <w:t>Company B</w:t>
      </w:r>
      <w:r w:rsidR="000B7F84">
        <w:rPr>
          <w:rFonts w:cs="Times New Roman"/>
        </w:rPr>
        <w:t>’</w:t>
      </w:r>
      <w:r w:rsidR="00656367" w:rsidRPr="00802DC5">
        <w:rPr>
          <w:rFonts w:cs="Times New Roman"/>
        </w:rPr>
        <w:t xml:space="preserve"> each provide a portion of the resources (</w:t>
      </w:r>
      <w:r w:rsidR="000B7F84">
        <w:rPr>
          <w:rFonts w:cs="Times New Roman"/>
        </w:rPr>
        <w:fldChar w:fldCharType="begin"/>
      </w:r>
      <w:r w:rsidR="000B7F84">
        <w:rPr>
          <w:rFonts w:cs="Times New Roman"/>
        </w:rPr>
        <w:instrText xml:space="preserve"> REF _Ref45017421 \h </w:instrText>
      </w:r>
      <w:r w:rsidR="000B7F84">
        <w:rPr>
          <w:rFonts w:cs="Times New Roman"/>
        </w:rPr>
      </w:r>
      <w:r w:rsidR="000B7F84">
        <w:rPr>
          <w:rFonts w:cs="Times New Roman"/>
        </w:rPr>
        <w:fldChar w:fldCharType="separate"/>
      </w:r>
      <w:r w:rsidR="0005064B" w:rsidRPr="00737239">
        <w:rPr>
          <w:rFonts w:cs="Times New Roman"/>
        </w:rPr>
        <w:t xml:space="preserve">Figure </w:t>
      </w:r>
      <w:r w:rsidR="0005064B">
        <w:rPr>
          <w:rFonts w:cs="Times New Roman"/>
          <w:noProof/>
        </w:rPr>
        <w:t>5</w:t>
      </w:r>
      <w:r w:rsidR="0005064B">
        <w:rPr>
          <w:rFonts w:cs="Times New Roman"/>
        </w:rPr>
        <w:noBreakHyphen/>
      </w:r>
      <w:r w:rsidR="0005064B">
        <w:rPr>
          <w:rFonts w:cs="Times New Roman"/>
          <w:noProof/>
        </w:rPr>
        <w:t>12</w:t>
      </w:r>
      <w:r w:rsidR="000B7F84">
        <w:rPr>
          <w:rFonts w:cs="Times New Roman"/>
        </w:rPr>
        <w:fldChar w:fldCharType="end"/>
      </w:r>
      <w:r w:rsidR="00656367" w:rsidRPr="008903D1">
        <w:rPr>
          <w:rFonts w:cs="Times New Roman"/>
        </w:rPr>
        <w:t>)</w:t>
      </w:r>
      <w:r w:rsidR="00656367" w:rsidRPr="00737239">
        <w:rPr>
          <w:rFonts w:cs="Times New Roman"/>
        </w:rPr>
        <w:t>: the government supplies the funding and infrastructure, and Company B provides the equipment, human resources, and business model (</w:t>
      </w:r>
      <w:r w:rsidR="00656367">
        <w:rPr>
          <w:rFonts w:cs="Times New Roman" w:hint="eastAsia"/>
        </w:rPr>
        <w:t>a</w:t>
      </w:r>
      <w:r w:rsidR="00656367">
        <w:rPr>
          <w:rFonts w:cs="Times New Roman"/>
        </w:rPr>
        <w:t xml:space="preserve">s </w:t>
      </w:r>
      <w:r w:rsidR="00656367" w:rsidRPr="00737239">
        <w:rPr>
          <w:rFonts w:cs="Times New Roman"/>
        </w:rPr>
        <w:t>the experimental sample). In this alliance, the operator is the sub</w:t>
      </w:r>
      <w:r w:rsidR="00656367" w:rsidRPr="00802DC5">
        <w:rPr>
          <w:rFonts w:cs="Times New Roman"/>
        </w:rPr>
        <w:t xml:space="preserve">sidiary of Company B. The government is not involved in running the project. Instead, research groups take on the project planning and feasibility evaluation, and the research institution monitors the operational status and performance of new equipment utilisation. </w:t>
      </w:r>
    </w:p>
    <w:p w14:paraId="46B263D6" w14:textId="77777777" w:rsidR="00656367" w:rsidRPr="005C0311" w:rsidRDefault="00656367" w:rsidP="00656367">
      <w:pPr>
        <w:spacing w:line="360" w:lineRule="auto"/>
        <w:jc w:val="center"/>
        <w:rPr>
          <w:rFonts w:cs="Times New Roman"/>
          <w:lang w:val="en-US"/>
        </w:rPr>
      </w:pPr>
      <w:r w:rsidRPr="008903D1">
        <w:rPr>
          <w:rFonts w:cs="Times New Roman"/>
          <w:noProof/>
          <w:lang w:eastAsia="en-GB"/>
        </w:rPr>
        <w:drawing>
          <wp:inline distT="0" distB="0" distL="0" distR="0" wp14:anchorId="2AAE2878" wp14:editId="76534095">
            <wp:extent cx="4480569" cy="3096774"/>
            <wp:effectExtent l="0" t="0" r="0" b="8890"/>
            <wp:docPr id="6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akeholder BDS1231231231231.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480569" cy="3096774"/>
                    </a:xfrm>
                    <a:prstGeom prst="rect">
                      <a:avLst/>
                    </a:prstGeom>
                  </pic:spPr>
                </pic:pic>
              </a:graphicData>
            </a:graphic>
          </wp:inline>
        </w:drawing>
      </w:r>
    </w:p>
    <w:p w14:paraId="38073998" w14:textId="23DE5EBC" w:rsidR="00656367" w:rsidRPr="00014014" w:rsidRDefault="00656367" w:rsidP="00014014">
      <w:pPr>
        <w:pStyle w:val="Caption"/>
        <w:spacing w:line="360" w:lineRule="auto"/>
        <w:rPr>
          <w:rFonts w:cs="Times New Roman"/>
        </w:rPr>
      </w:pPr>
      <w:bookmarkStart w:id="832" w:name="_Ref45017421"/>
      <w:bookmarkStart w:id="833" w:name="_Toc46053694"/>
      <w:bookmarkStart w:id="834" w:name="_Toc66698725"/>
      <w:r w:rsidRPr="00737239">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5</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12</w:t>
      </w:r>
      <w:r w:rsidR="00632993">
        <w:rPr>
          <w:rFonts w:cs="Times New Roman"/>
        </w:rPr>
        <w:fldChar w:fldCharType="end"/>
      </w:r>
      <w:bookmarkEnd w:id="832"/>
      <w:r w:rsidR="002547EF">
        <w:rPr>
          <w:rFonts w:cs="Times New Roman"/>
        </w:rPr>
        <w:t>:</w:t>
      </w:r>
      <w:r w:rsidRPr="00737239">
        <w:rPr>
          <w:rFonts w:cs="Times New Roman"/>
        </w:rPr>
        <w:t xml:space="preserve"> </w:t>
      </w:r>
      <w:r w:rsidR="002A7385">
        <w:rPr>
          <w:rFonts w:cs="Times New Roman"/>
        </w:rPr>
        <w:t xml:space="preserve">Public and </w:t>
      </w:r>
      <w:r w:rsidR="000B7F84">
        <w:rPr>
          <w:rFonts w:cs="Times New Roman"/>
        </w:rPr>
        <w:t>private</w:t>
      </w:r>
      <w:r w:rsidR="000B7F84">
        <w:rPr>
          <w:rFonts w:cs="Times New Roman" w:hint="eastAsia"/>
        </w:rPr>
        <w:t xml:space="preserve"> </w:t>
      </w:r>
      <w:r w:rsidR="000B7F84">
        <w:rPr>
          <w:rFonts w:cs="Times New Roman"/>
        </w:rPr>
        <w:t>partnership</w:t>
      </w:r>
      <w:bookmarkEnd w:id="833"/>
      <w:bookmarkEnd w:id="834"/>
    </w:p>
    <w:p w14:paraId="08394F9E" w14:textId="77777777" w:rsidR="00656367" w:rsidRPr="00A96AC5" w:rsidRDefault="00656367" w:rsidP="00656367">
      <w:pPr>
        <w:pStyle w:val="Heading2"/>
        <w:spacing w:after="120" w:line="360" w:lineRule="auto"/>
        <w:rPr>
          <w:rFonts w:cs="Times New Roman"/>
        </w:rPr>
      </w:pPr>
      <w:bookmarkStart w:id="835" w:name="_Toc46053465"/>
      <w:bookmarkStart w:id="836" w:name="_Toc46093379"/>
      <w:bookmarkStart w:id="837" w:name="_Toc46093662"/>
      <w:bookmarkStart w:id="838" w:name="_Toc66703238"/>
      <w:r w:rsidRPr="00A96AC5">
        <w:rPr>
          <w:rFonts w:cs="Times New Roman"/>
        </w:rPr>
        <w:lastRenderedPageBreak/>
        <w:t>Discussion</w:t>
      </w:r>
      <w:bookmarkEnd w:id="835"/>
      <w:bookmarkEnd w:id="836"/>
      <w:bookmarkEnd w:id="837"/>
      <w:bookmarkEnd w:id="838"/>
    </w:p>
    <w:p w14:paraId="19B01A3F" w14:textId="77777777" w:rsidR="00656367" w:rsidRPr="00A96AC5" w:rsidRDefault="00656367" w:rsidP="00656367">
      <w:pPr>
        <w:pStyle w:val="Heading3"/>
        <w:spacing w:line="360" w:lineRule="auto"/>
        <w:rPr>
          <w:rFonts w:cs="Times New Roman"/>
        </w:rPr>
      </w:pPr>
      <w:bookmarkStart w:id="839" w:name="_Toc46053466"/>
      <w:bookmarkStart w:id="840" w:name="_Toc46093380"/>
      <w:bookmarkStart w:id="841" w:name="_Toc46093663"/>
      <w:bookmarkStart w:id="842" w:name="_Toc66703239"/>
      <w:r w:rsidRPr="00A96AC5">
        <w:rPr>
          <w:rFonts w:cs="Times New Roman"/>
        </w:rPr>
        <w:t>Advantages and disadvantages of different partnerships</w:t>
      </w:r>
      <w:bookmarkEnd w:id="839"/>
      <w:bookmarkEnd w:id="840"/>
      <w:bookmarkEnd w:id="841"/>
      <w:bookmarkEnd w:id="842"/>
    </w:p>
    <w:p w14:paraId="14959ADA" w14:textId="2C9E90E1" w:rsidR="00014014" w:rsidRDefault="00656367" w:rsidP="00014014">
      <w:pPr>
        <w:spacing w:after="240" w:line="360" w:lineRule="auto"/>
        <w:rPr>
          <w:rFonts w:cs="Times New Roman"/>
        </w:rPr>
      </w:pPr>
      <w:r w:rsidRPr="00A96AC5">
        <w:rPr>
          <w:rFonts w:cs="Times New Roman"/>
        </w:rPr>
        <w:t xml:space="preserve">The advantages of independent partnerships for stakeholders (as reflected by </w:t>
      </w:r>
      <w:r w:rsidR="00E95EC8">
        <w:rPr>
          <w:rFonts w:cs="Times New Roman"/>
        </w:rPr>
        <w:t xml:space="preserve">the </w:t>
      </w:r>
      <w:r w:rsidRPr="00A96AC5">
        <w:rPr>
          <w:rFonts w:cs="Times New Roman"/>
        </w:rPr>
        <w:t>SCUCC) are as follows: (1) no significant additional investment is required during the project establishment; (2) the responsibility scope of the stakeholders is clear, which mitigates disputes caused by blurred boundaries</w:t>
      </w:r>
      <w:r w:rsidR="00E95EC8">
        <w:rPr>
          <w:rFonts w:cs="Times New Roman"/>
        </w:rPr>
        <w:t>;</w:t>
      </w:r>
      <w:r w:rsidRPr="00A96AC5">
        <w:rPr>
          <w:rFonts w:cs="Times New Roman"/>
        </w:rPr>
        <w:t xml:space="preserve"> and (3) limited public funding is invested, as the project is independently managed by private companies and the local authority does not take responsibility for losses and development. However, there are also disadvantages. First, the process of stakeholder engagement is complex</w:t>
      </w:r>
      <w:r w:rsidR="00E95EC8">
        <w:rPr>
          <w:rFonts w:cs="Times New Roman"/>
        </w:rPr>
        <w:t>,</w:t>
      </w:r>
      <w:r w:rsidRPr="00A96AC5">
        <w:rPr>
          <w:rFonts w:cs="Times New Roman"/>
        </w:rPr>
        <w:t xml:space="preserve"> and mutual benefits must be identified, which requires in-depth understanding and communication. Second, a project inspired by moral sensibilities is difficult to expand because not every company believes it has an obligation to mitigate the environmental and social issues that affect its city.</w:t>
      </w:r>
    </w:p>
    <w:p w14:paraId="365FE018" w14:textId="00FEBE22" w:rsidR="000F499F" w:rsidRPr="00014014" w:rsidRDefault="00656367" w:rsidP="00014014">
      <w:pPr>
        <w:spacing w:after="240" w:line="360" w:lineRule="auto"/>
        <w:rPr>
          <w:rFonts w:cs="Times New Roman"/>
        </w:rPr>
      </w:pPr>
      <w:r w:rsidRPr="00A96AC5">
        <w:rPr>
          <w:rFonts w:cs="Times New Roman"/>
        </w:rPr>
        <w:t>The primary advantage of an asymmetric partnership is that it can achieve significant environmental and social effects in short periods, owing to regulatory support. Furthermore, there is a strong executive force to achieve the business targets, as upper-level stakeholders can manage those on the lower leve</w:t>
      </w:r>
      <w:r w:rsidR="00072E1B">
        <w:rPr>
          <w:rFonts w:cs="Times New Roman"/>
        </w:rPr>
        <w:t>l</w:t>
      </w:r>
      <w:r w:rsidRPr="00A96AC5">
        <w:rPr>
          <w:rFonts w:cs="Times New Roman"/>
        </w:rPr>
        <w:t xml:space="preserve"> in the hierarchical organisational structure. With the private stakeholders having various strengths, parties can utilise the resources to maximise their advantages in specific regions (e.g., experience in management, technical advantages), thus leading to a more effective operation. However, no economic benefits can be allocated to users, which increases user expenditure. In fact, government intervention generates extra costs for the users in terms of money, time, and efficiency. Furthermore, without strong policy support, clients easily abandon such projects. Finally, as </w:t>
      </w:r>
      <w:r w:rsidR="00EB54AF" w:rsidRPr="00A96AC5">
        <w:rPr>
          <w:rFonts w:cs="Times New Roman"/>
        </w:rPr>
        <w:t xml:space="preserve">this </w:t>
      </w:r>
      <w:proofErr w:type="gramStart"/>
      <w:r w:rsidR="00EB54AF" w:rsidRPr="00A96AC5">
        <w:rPr>
          <w:rFonts w:cs="Times New Roman"/>
        </w:rPr>
        <w:t>particular UCC</w:t>
      </w:r>
      <w:proofErr w:type="gramEnd"/>
      <w:r w:rsidR="00EB54AF" w:rsidRPr="00A96AC5">
        <w:rPr>
          <w:rFonts w:cs="Times New Roman"/>
        </w:rPr>
        <w:t xml:space="preserve"> serv</w:t>
      </w:r>
      <w:r w:rsidR="00190298">
        <w:rPr>
          <w:rFonts w:cs="Times New Roman"/>
        </w:rPr>
        <w:t>es</w:t>
      </w:r>
      <w:r w:rsidRPr="00A96AC5">
        <w:rPr>
          <w:rFonts w:cs="Times New Roman"/>
        </w:rPr>
        <w:t xml:space="preserve"> the construction industry, it stands to be terminated when all building tasks are complete. The long-term sustainability of the project thus requires transformation to include services for other industries.</w:t>
      </w:r>
      <w:r w:rsidR="000F499F">
        <w:rPr>
          <w:rFonts w:cs="Times New Roman"/>
        </w:rPr>
        <w:t xml:space="preserve"> </w:t>
      </w:r>
      <w:r w:rsidR="000F499F" w:rsidRPr="00A96AC5">
        <w:rPr>
          <w:rFonts w:cs="Times New Roman"/>
        </w:rPr>
        <w:t>This problem is commonly discussed in</w:t>
      </w:r>
      <w:r w:rsidR="00190298">
        <w:rPr>
          <w:rFonts w:cs="Times New Roman"/>
        </w:rPr>
        <w:t xml:space="preserve"> previous</w:t>
      </w:r>
      <w:r w:rsidR="000F499F" w:rsidRPr="00A96AC5">
        <w:rPr>
          <w:rFonts w:cs="Times New Roman"/>
        </w:rPr>
        <w:t xml:space="preserve"> research, as many logistics initiatives have closed following completion of their phased tasks.</w:t>
      </w:r>
    </w:p>
    <w:p w14:paraId="6F6EC63F" w14:textId="01116300" w:rsidR="00656367" w:rsidRPr="00A96AC5" w:rsidRDefault="00656367" w:rsidP="00014014">
      <w:pPr>
        <w:spacing w:after="240" w:line="360" w:lineRule="auto"/>
        <w:rPr>
          <w:rFonts w:cs="Times New Roman"/>
        </w:rPr>
      </w:pPr>
      <w:r w:rsidRPr="00A96AC5">
        <w:rPr>
          <w:rFonts w:cs="Times New Roman"/>
        </w:rPr>
        <w:t>As</w:t>
      </w:r>
      <w:r w:rsidR="0000167A">
        <w:rPr>
          <w:rFonts w:cs="Times New Roman"/>
        </w:rPr>
        <w:t xml:space="preserve"> the</w:t>
      </w:r>
      <w:r w:rsidRPr="00A96AC5">
        <w:rPr>
          <w:rFonts w:cs="Times New Roman"/>
        </w:rPr>
        <w:t xml:space="preserve"> CAUCC is directly managed by Company A, it is highly efficient in transhipping the cargo owned by Company A. In addition, the common economic interest of the different stakeholders could promote long-term sustainability. The facility coordinates various stakeholders with heterogeneous attributes, with parties including suppliers, consumers, LSP</w:t>
      </w:r>
      <w:r w:rsidR="004A613D">
        <w:rPr>
          <w:rFonts w:cs="Times New Roman"/>
        </w:rPr>
        <w:t>s</w:t>
      </w:r>
      <w:r w:rsidRPr="00A96AC5">
        <w:rPr>
          <w:rFonts w:cs="Times New Roman"/>
        </w:rPr>
        <w:t xml:space="preserve">, and </w:t>
      </w:r>
      <w:r w:rsidR="00432E96" w:rsidRPr="00A96AC5">
        <w:rPr>
          <w:rFonts w:cs="Times New Roman"/>
        </w:rPr>
        <w:t>third-party</w:t>
      </w:r>
      <w:r w:rsidRPr="00A96AC5">
        <w:rPr>
          <w:rFonts w:cs="Times New Roman"/>
        </w:rPr>
        <w:t xml:space="preserve"> logistics (3PL) companies. However, this model can only operate in metropolitan areas, as a pre-condition for stakeholder benefits is a high level of logistics </w:t>
      </w:r>
      <w:r w:rsidRPr="00A96AC5">
        <w:rPr>
          <w:rFonts w:cs="Times New Roman"/>
        </w:rPr>
        <w:lastRenderedPageBreak/>
        <w:t xml:space="preserve">demand in the city. In addition, there is potential instability in the cooperation, as members can leave at any time and without giving a reason. </w:t>
      </w:r>
      <w:r w:rsidR="00846711">
        <w:rPr>
          <w:rFonts w:cs="Times New Roman"/>
        </w:rPr>
        <w:t>Consequently</w:t>
      </w:r>
      <w:r w:rsidRPr="00A96AC5">
        <w:rPr>
          <w:rFonts w:cs="Times New Roman"/>
        </w:rPr>
        <w:t xml:space="preserve">, it would be difficult to transfer such a project to another region, as it requires overlapping interests among all stakeholders. </w:t>
      </w:r>
    </w:p>
    <w:p w14:paraId="07B85940" w14:textId="3DF2BF38" w:rsidR="00656367" w:rsidRPr="00A96AC5" w:rsidRDefault="00656367" w:rsidP="00014014">
      <w:pPr>
        <w:spacing w:after="240" w:line="360" w:lineRule="auto"/>
        <w:rPr>
          <w:rFonts w:cs="Times New Roman"/>
          <w:lang w:val="en-US"/>
        </w:rPr>
      </w:pPr>
      <w:r w:rsidRPr="00A96AC5">
        <w:rPr>
          <w:rFonts w:cs="Times New Roman"/>
        </w:rPr>
        <w:t xml:space="preserve">In </w:t>
      </w:r>
      <w:r w:rsidR="0000167A">
        <w:rPr>
          <w:rFonts w:cs="Times New Roman"/>
        </w:rPr>
        <w:t xml:space="preserve">the </w:t>
      </w:r>
      <w:r w:rsidRPr="00A96AC5">
        <w:rPr>
          <w:rFonts w:cs="Times New Roman"/>
        </w:rPr>
        <w:t xml:space="preserve">CBUCC, the advantage of the government upgrading an existing project, rather than investing in a new one, is the improvement in efficiency and reduction in investment risk. In addition, the PPP can guarantee the ‘profitability’ of Company B through public subsidies for project building and economic rewards for the completed project. The PPP model enables the government and private enterprise to make full use of their respective resources: combining the social responsibility, public resources, and coordination ability of the government with the operational efficiency of the logistics companies. The issues of the UCC </w:t>
      </w:r>
      <w:r w:rsidR="006C6250">
        <w:rPr>
          <w:rFonts w:cs="Times New Roman"/>
        </w:rPr>
        <w:t>are</w:t>
      </w:r>
      <w:r w:rsidRPr="00A96AC5">
        <w:rPr>
          <w:rFonts w:cs="Times New Roman"/>
        </w:rPr>
        <w:t xml:space="preserve"> generated by the local competitors (</w:t>
      </w:r>
      <w:proofErr w:type="gramStart"/>
      <w:r w:rsidRPr="00A96AC5">
        <w:rPr>
          <w:rFonts w:cs="Times New Roman"/>
        </w:rPr>
        <w:t>e.g.</w:t>
      </w:r>
      <w:proofErr w:type="gramEnd"/>
      <w:r w:rsidRPr="00A96AC5">
        <w:rPr>
          <w:rFonts w:cs="Times New Roman"/>
        </w:rPr>
        <w:t xml:space="preserve"> self-employed drivers or other transhipment companies) who will split the market share through a low service price strategy.</w:t>
      </w:r>
    </w:p>
    <w:p w14:paraId="46449131" w14:textId="77777777" w:rsidR="00656367" w:rsidRPr="00A96AC5" w:rsidRDefault="00656367" w:rsidP="00656367">
      <w:pPr>
        <w:pStyle w:val="Heading3"/>
        <w:spacing w:line="360" w:lineRule="auto"/>
        <w:rPr>
          <w:rFonts w:cs="Times New Roman"/>
        </w:rPr>
      </w:pPr>
      <w:bookmarkStart w:id="843" w:name="_Toc46053467"/>
      <w:bookmarkStart w:id="844" w:name="_Toc46093381"/>
      <w:bookmarkStart w:id="845" w:name="_Toc46093664"/>
      <w:bookmarkStart w:id="846" w:name="_Toc66703240"/>
      <w:r w:rsidRPr="00A96AC5">
        <w:rPr>
          <w:rFonts w:cs="Times New Roman"/>
        </w:rPr>
        <w:t>Function of local authorities</w:t>
      </w:r>
      <w:bookmarkEnd w:id="843"/>
      <w:bookmarkEnd w:id="844"/>
      <w:bookmarkEnd w:id="845"/>
      <w:bookmarkEnd w:id="846"/>
    </w:p>
    <w:p w14:paraId="680C091F" w14:textId="3C830829" w:rsidR="00656367" w:rsidRPr="00802DC5" w:rsidRDefault="00656367" w:rsidP="00014014">
      <w:pPr>
        <w:spacing w:after="240" w:line="360" w:lineRule="auto"/>
        <w:rPr>
          <w:rFonts w:cs="Times New Roman"/>
        </w:rPr>
      </w:pPr>
      <w:r w:rsidRPr="00A96AC5">
        <w:rPr>
          <w:rFonts w:cs="Times New Roman"/>
          <w:noProof/>
        </w:rPr>
        <w:t xml:space="preserve">Following a review of the literature, </w:t>
      </w:r>
      <w:r w:rsidR="00A22B02">
        <w:rPr>
          <w:noProof/>
        </w:rPr>
        <w:fldChar w:fldCharType="begin"/>
      </w:r>
      <w:r w:rsidR="00455970">
        <w:rPr>
          <w:noProof/>
        </w:rPr>
        <w:instrText xml:space="preserve"> ADDIN EN.CITE &lt;EndNote&gt;&lt;Cite&gt;&lt;Author&gt;Lebeau&lt;/Author&gt;&lt;Year&gt;2017&lt;/Year&gt;&lt;RecNum&gt;63&lt;/RecNum&gt;&lt;DisplayText&gt;(Lebeau et al., 2017)&lt;/DisplayText&gt;&lt;record&gt;&lt;rec-number&gt;63&lt;/rec-number&gt;&lt;foreign-keys&gt;&lt;key app="EN" db-id="x5etaz5aiszvz0edasvvpwvotttxepvd25t2" timestamp="1603802000"&gt;63&lt;/key&gt;&lt;/foreign-keys&gt;&lt;ref-type name="Journal Article"&gt;17&lt;/ref-type&gt;&lt;contributors&gt;&lt;authors&gt;&lt;author&gt;Lebeau, P.&lt;/author&gt;&lt;author&gt;Verlinde, S.&lt;/author&gt;&lt;author&gt;Macharis, C.&lt;/author&gt;&lt;author&gt;Van Mierlo, J.&lt;/author&gt;&lt;/authors&gt;&lt;/contributors&gt;&lt;auth-address&gt;MOBI Research Group, BUTO Department, Vrije Universiteit Brussel, Brussels, Belgium&lt;/auth-address&gt;&lt;titles&gt;&lt;title&gt;How can authorities support urban consolidation centres? A review of the accompanying measures&lt;/title&gt;&lt;secondary-title&gt;Journal of Urbanism&lt;/secondary-title&gt;&lt;alt-title&gt;J. Urban.&lt;/alt-title&gt;&lt;/titles&gt;&lt;periodical&gt;&lt;full-title&gt;Journal of Urbanism&lt;/full-title&gt;&lt;abbr-1&gt;J. Urban.&lt;/abbr-1&gt;&lt;/periodical&gt;&lt;alt-periodical&gt;&lt;full-title&gt;Journal of Urbanism&lt;/full-title&gt;&lt;abbr-1&gt;J. Urban.&lt;/abbr-1&gt;&lt;/alt-periodical&gt;&lt;pages&gt;468-486&lt;/pages&gt;&lt;volume&gt;10&lt;/volume&gt;&lt;number&gt;4&lt;/number&gt;&lt;keywords&gt;&lt;keyword&gt;City logistics&lt;/keyword&gt;&lt;keyword&gt;Literature review&lt;/keyword&gt;&lt;keyword&gt;Policy support&lt;/keyword&gt;&lt;keyword&gt;Urban consolidation centres&lt;/keyword&gt;&lt;/keywords&gt;&lt;dates&gt;&lt;year&gt;2017&lt;/year&gt;&lt;/dates&gt;&lt;publisher&gt;Routledge&lt;/publisher&gt;&lt;isbn&gt;17549175 (ISSN)&lt;/isbn&gt;&lt;work-type&gt;Review&lt;/work-type&gt;&lt;urls&gt;&lt;related-urls&gt;&lt;url&gt;https://www.scopus.com/inward/record.uri?eid=2-s2.0-85017279837&amp;amp;doi=10.1080%2f17549175.2017.1310747&amp;amp;partnerID=40&amp;amp;md5=31fd24aeea4d488a89e01854f9406725&lt;/url&gt;&lt;url&gt;https://www.tandfonline.com/doi/pdf/10.1080/17549175.2017.1310747?needAccess=true&lt;/url&gt;&lt;/related-urls&gt;&lt;/urls&gt;&lt;electronic-resource-num&gt;10.1080/17549175.2017.1310747&lt;/electronic-resource-num&gt;&lt;remote-database-name&gt;Scopus&lt;/remote-database-name&gt;&lt;language&gt;English&lt;/language&gt;&lt;/record&gt;&lt;/Cite&gt;&lt;/EndNote&gt;</w:instrText>
      </w:r>
      <w:r w:rsidR="00A22B02">
        <w:rPr>
          <w:noProof/>
        </w:rPr>
        <w:fldChar w:fldCharType="separate"/>
      </w:r>
      <w:r w:rsidR="00A22B02">
        <w:rPr>
          <w:noProof/>
        </w:rPr>
        <w:t>(Lebeau et al., 2017)</w:t>
      </w:r>
      <w:r w:rsidR="00A22B02">
        <w:rPr>
          <w:noProof/>
        </w:rPr>
        <w:fldChar w:fldCharType="end"/>
      </w:r>
      <w:r w:rsidRPr="00A96AC5">
        <w:rPr>
          <w:rFonts w:cs="Times New Roman"/>
        </w:rPr>
        <w:t xml:space="preserve"> </w:t>
      </w:r>
      <w:r w:rsidR="006C6250">
        <w:rPr>
          <w:rFonts w:cs="Times New Roman"/>
        </w:rPr>
        <w:t xml:space="preserve">the </w:t>
      </w:r>
      <w:r w:rsidRPr="00A96AC5">
        <w:rPr>
          <w:rFonts w:cs="Times New Roman"/>
        </w:rPr>
        <w:t>categorised acts of public support as either financial or regulatory. Based on their definitions, the different types of public intervention in the four cases are illustrated in</w:t>
      </w:r>
      <w:r w:rsidR="001C02EB">
        <w:rPr>
          <w:rFonts w:cs="Times New Roman"/>
        </w:rPr>
        <w:t xml:space="preserve"> </w:t>
      </w:r>
      <w:r w:rsidR="001C02EB">
        <w:rPr>
          <w:rFonts w:cs="Times New Roman"/>
        </w:rPr>
        <w:fldChar w:fldCharType="begin"/>
      </w:r>
      <w:r w:rsidR="001C02EB">
        <w:rPr>
          <w:rFonts w:cs="Times New Roman"/>
        </w:rPr>
        <w:instrText xml:space="preserve"> REF _Ref45017816 \h </w:instrText>
      </w:r>
      <w:r w:rsidR="001C02EB">
        <w:rPr>
          <w:rFonts w:cs="Times New Roman"/>
        </w:rPr>
      </w:r>
      <w:r w:rsidR="001C02EB">
        <w:rPr>
          <w:rFonts w:cs="Times New Roman"/>
        </w:rPr>
        <w:fldChar w:fldCharType="separate"/>
      </w:r>
      <w:r w:rsidR="0005064B" w:rsidRPr="00737239">
        <w:rPr>
          <w:rFonts w:cs="Times New Roman"/>
        </w:rPr>
        <w:t xml:space="preserve">Figure </w:t>
      </w:r>
      <w:r w:rsidR="0005064B">
        <w:rPr>
          <w:rFonts w:cs="Times New Roman"/>
          <w:noProof/>
        </w:rPr>
        <w:t>5</w:t>
      </w:r>
      <w:r w:rsidR="0005064B">
        <w:rPr>
          <w:rFonts w:cs="Times New Roman"/>
        </w:rPr>
        <w:noBreakHyphen/>
      </w:r>
      <w:r w:rsidR="0005064B">
        <w:rPr>
          <w:rFonts w:cs="Times New Roman"/>
          <w:noProof/>
        </w:rPr>
        <w:t>13</w:t>
      </w:r>
      <w:r w:rsidR="001C02EB">
        <w:rPr>
          <w:rFonts w:cs="Times New Roman"/>
        </w:rPr>
        <w:fldChar w:fldCharType="end"/>
      </w:r>
      <w:r w:rsidRPr="008903D1">
        <w:rPr>
          <w:rFonts w:cs="Times New Roman"/>
        </w:rPr>
        <w:t>.</w:t>
      </w:r>
    </w:p>
    <w:p w14:paraId="30C6E2E6" w14:textId="77777777" w:rsidR="00656367" w:rsidRPr="008903D1" w:rsidRDefault="00656367" w:rsidP="00656367">
      <w:pPr>
        <w:spacing w:line="360" w:lineRule="auto"/>
        <w:jc w:val="center"/>
        <w:rPr>
          <w:rFonts w:cs="Times New Roman"/>
        </w:rPr>
      </w:pPr>
      <w:r>
        <w:rPr>
          <w:rFonts w:cs="Times New Roman"/>
          <w:noProof/>
          <w:lang w:eastAsia="en-GB"/>
        </w:rPr>
        <w:drawing>
          <wp:inline distT="0" distB="0" distL="0" distR="0" wp14:anchorId="72E18EC9" wp14:editId="522F9C32">
            <wp:extent cx="5695315" cy="103695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95315" cy="1036955"/>
                    </a:xfrm>
                    <a:prstGeom prst="rect">
                      <a:avLst/>
                    </a:prstGeom>
                    <a:noFill/>
                    <a:ln>
                      <a:noFill/>
                    </a:ln>
                  </pic:spPr>
                </pic:pic>
              </a:graphicData>
            </a:graphic>
          </wp:inline>
        </w:drawing>
      </w:r>
    </w:p>
    <w:p w14:paraId="58FB55F7" w14:textId="64BD1E69" w:rsidR="00656367" w:rsidRPr="00737239" w:rsidRDefault="00656367" w:rsidP="00014014">
      <w:pPr>
        <w:pStyle w:val="Caption"/>
        <w:spacing w:line="360" w:lineRule="auto"/>
        <w:rPr>
          <w:rFonts w:cs="Times New Roman"/>
        </w:rPr>
      </w:pPr>
      <w:bookmarkStart w:id="847" w:name="_Ref45017816"/>
      <w:bookmarkStart w:id="848" w:name="_Toc46053695"/>
      <w:bookmarkStart w:id="849" w:name="_Toc66698726"/>
      <w:r w:rsidRPr="00737239">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5</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13</w:t>
      </w:r>
      <w:r w:rsidR="00632993">
        <w:rPr>
          <w:rFonts w:cs="Times New Roman"/>
        </w:rPr>
        <w:fldChar w:fldCharType="end"/>
      </w:r>
      <w:bookmarkEnd w:id="847"/>
      <w:r w:rsidR="002547EF">
        <w:rPr>
          <w:rFonts w:cs="Times New Roman"/>
        </w:rPr>
        <w:t>:</w:t>
      </w:r>
      <w:r w:rsidRPr="00737239">
        <w:rPr>
          <w:rFonts w:cs="Times New Roman"/>
        </w:rPr>
        <w:t xml:space="preserve"> Strength of government intervention in urban consolidation centre (UCC) projects</w:t>
      </w:r>
      <w:bookmarkEnd w:id="848"/>
      <w:bookmarkEnd w:id="849"/>
    </w:p>
    <w:p w14:paraId="38362372" w14:textId="1D073AE8" w:rsidR="00656367" w:rsidRPr="00A96AC5" w:rsidRDefault="00E62241" w:rsidP="00014014">
      <w:pPr>
        <w:spacing w:after="240" w:line="360" w:lineRule="auto"/>
        <w:rPr>
          <w:rFonts w:cs="Times New Roman"/>
        </w:rPr>
      </w:pPr>
      <w:r>
        <w:rPr>
          <w:rFonts w:cs="Times New Roman"/>
        </w:rPr>
        <w:t xml:space="preserve">The </w:t>
      </w:r>
      <w:r w:rsidR="00656367" w:rsidRPr="00802DC5">
        <w:rPr>
          <w:rFonts w:cs="Times New Roman"/>
        </w:rPr>
        <w:t>CAUCC does not receive any public support, whilst the government was the initiator of the SCUCC</w:t>
      </w:r>
      <w:r w:rsidR="00656367" w:rsidRPr="00802DC5" w:rsidDel="00F51DE6">
        <w:rPr>
          <w:rFonts w:cs="Times New Roman"/>
        </w:rPr>
        <w:t xml:space="preserve"> </w:t>
      </w:r>
      <w:r w:rsidR="00656367" w:rsidRPr="00DB493C">
        <w:rPr>
          <w:rFonts w:cs="Times New Roman"/>
        </w:rPr>
        <w:t>project. It provided a communication channel for stakeholders during the establishment stage and helpe</w:t>
      </w:r>
      <w:r w:rsidR="00656367" w:rsidRPr="00A96AC5">
        <w:rPr>
          <w:rFonts w:cs="Times New Roman"/>
        </w:rPr>
        <w:t xml:space="preserve">d the two builders (the logistics company and the waste collection company) to identify the mutual benefits of integrating their respective operations. However, the government has not given any support to the project during operations. </w:t>
      </w:r>
      <w:r>
        <w:rPr>
          <w:rFonts w:cs="Times New Roman"/>
        </w:rPr>
        <w:t xml:space="preserve">The </w:t>
      </w:r>
      <w:r w:rsidR="00656367" w:rsidRPr="00A96AC5">
        <w:rPr>
          <w:rFonts w:cs="Times New Roman"/>
        </w:rPr>
        <w:t xml:space="preserve">CBUCC is a PPP project, thus the government and Company B are investing together. The government provides capital, public infrastructure, and IT. It also franchised Company B to operate a public platform of ‘local logistics information sharing’ to promote the efficiency of </w:t>
      </w:r>
      <w:r>
        <w:rPr>
          <w:rFonts w:cs="Times New Roman"/>
        </w:rPr>
        <w:t xml:space="preserve">the </w:t>
      </w:r>
      <w:r w:rsidR="00656367" w:rsidRPr="00A96AC5">
        <w:rPr>
          <w:rFonts w:cs="Times New Roman"/>
        </w:rPr>
        <w:t xml:space="preserve">CBUCC. In contrast, the government is the sole investor in </w:t>
      </w:r>
      <w:r>
        <w:rPr>
          <w:rFonts w:cs="Times New Roman"/>
        </w:rPr>
        <w:t xml:space="preserve">the </w:t>
      </w:r>
      <w:r w:rsidR="00656367" w:rsidRPr="00A96AC5">
        <w:rPr>
          <w:rFonts w:cs="Times New Roman"/>
        </w:rPr>
        <w:t xml:space="preserve">RSUCC, and it can inspect and control the </w:t>
      </w:r>
      <w:r w:rsidR="00656367" w:rsidRPr="00A96AC5">
        <w:rPr>
          <w:rFonts w:cs="Times New Roman"/>
        </w:rPr>
        <w:lastRenderedPageBreak/>
        <w:t>operation. Public support includes compulsory policymaking, which requires consumers to use the UCC and mandates punishment for any individual deliveries.</w:t>
      </w:r>
    </w:p>
    <w:p w14:paraId="0FFAA296" w14:textId="77777777" w:rsidR="00656367" w:rsidRPr="00A96AC5" w:rsidRDefault="00656367" w:rsidP="00656367">
      <w:pPr>
        <w:pStyle w:val="Heading4"/>
        <w:spacing w:after="0" w:line="360" w:lineRule="auto"/>
        <w:rPr>
          <w:rFonts w:cs="Times New Roman"/>
        </w:rPr>
      </w:pPr>
      <w:r w:rsidRPr="00A96AC5">
        <w:rPr>
          <w:rFonts w:cs="Times New Roman"/>
        </w:rPr>
        <w:t>Financial support</w:t>
      </w:r>
    </w:p>
    <w:p w14:paraId="387E3C93" w14:textId="77777777" w:rsidR="00F86570" w:rsidRPr="00A96AC5" w:rsidRDefault="00F86570" w:rsidP="00F86570">
      <w:pPr>
        <w:pStyle w:val="Heading5"/>
        <w:spacing w:line="360" w:lineRule="auto"/>
        <w:rPr>
          <w:rFonts w:cs="Times New Roman"/>
        </w:rPr>
      </w:pPr>
      <w:r w:rsidRPr="00A96AC5">
        <w:rPr>
          <w:rFonts w:cs="Times New Roman"/>
        </w:rPr>
        <w:t>With or without financial support</w:t>
      </w:r>
    </w:p>
    <w:p w14:paraId="5DE6B256" w14:textId="3828CF8E" w:rsidR="00F86570" w:rsidRPr="00A96AC5" w:rsidRDefault="00F86570" w:rsidP="00F86570">
      <w:pPr>
        <w:spacing w:after="240" w:line="360" w:lineRule="auto"/>
        <w:rPr>
          <w:rFonts w:cs="Times New Roman"/>
        </w:rPr>
      </w:pPr>
      <w:r w:rsidRPr="00A96AC5">
        <w:rPr>
          <w:rFonts w:cs="Times New Roman"/>
        </w:rPr>
        <w:t xml:space="preserve">Subsidies are an essential incentive for promoting UCC development </w:t>
      </w:r>
      <w:r w:rsidR="00436A75">
        <w:rPr>
          <w:rFonts w:cs="Times New Roman"/>
        </w:rPr>
        <w:fldChar w:fldCharType="begin">
          <w:fldData xml:space="preserve">PEVuZE5vdGU+PENpdGU+PEF1dGhvcj5EdWluPC9BdXRob3I+PFllYXI+MjAxNjwvWWVhcj48UmVj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</w:fldData>
        </w:fldChar>
      </w:r>
      <w:r w:rsidR="000756A1">
        <w:rPr>
          <w:rFonts w:cs="Times New Roman"/>
        </w:rPr>
        <w:instrText xml:space="preserve"> ADDIN EN.CITE </w:instrText>
      </w:r>
      <w:r w:rsidR="000756A1">
        <w:rPr>
          <w:rFonts w:cs="Times New Roman"/>
        </w:rPr>
        <w:fldChar w:fldCharType="begin">
          <w:fldData xml:space="preserve">PEVuZE5vdGU+PENpdGU+PEF1dGhvcj5EdWluPC9BdXRob3I+PFllYXI+MjAxNjwvWWVhcj48UmVj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</w:fldData>
        </w:fldChar>
      </w:r>
      <w:r w:rsidR="000756A1">
        <w:rPr>
          <w:rFonts w:cs="Times New Roman"/>
        </w:rPr>
        <w:instrText xml:space="preserve"> ADDIN EN.CITE.DATA </w:instrText>
      </w:r>
      <w:r w:rsidR="000756A1">
        <w:rPr>
          <w:rFonts w:cs="Times New Roman"/>
        </w:rPr>
      </w:r>
      <w:r w:rsidR="000756A1">
        <w:rPr>
          <w:rFonts w:cs="Times New Roman"/>
        </w:rPr>
        <w:fldChar w:fldCharType="end"/>
      </w:r>
      <w:r w:rsidR="00436A75">
        <w:rPr>
          <w:rFonts w:cs="Times New Roman"/>
        </w:rPr>
      </w:r>
      <w:r w:rsidR="00436A75">
        <w:rPr>
          <w:rFonts w:cs="Times New Roman"/>
        </w:rPr>
        <w:fldChar w:fldCharType="separate"/>
      </w:r>
      <w:r w:rsidR="000756A1">
        <w:rPr>
          <w:rFonts w:cs="Times New Roman"/>
          <w:noProof/>
        </w:rPr>
        <w:t>(Duin et al., 2016, Kin et al., 2016, van Heeswijk et al., 2019)</w:t>
      </w:r>
      <w:r w:rsidR="00436A75">
        <w:rPr>
          <w:rFonts w:cs="Times New Roman"/>
        </w:rPr>
        <w:fldChar w:fldCharType="end"/>
      </w:r>
      <w:r w:rsidRPr="00A96AC5">
        <w:rPr>
          <w:rFonts w:cs="Times New Roman"/>
        </w:rPr>
        <w:t xml:space="preserve">. In the start-up phase, subsidies attract users, which covers </w:t>
      </w:r>
      <w:r w:rsidR="004A483E">
        <w:rPr>
          <w:rFonts w:cs="Times New Roman"/>
        </w:rPr>
        <w:t xml:space="preserve">the </w:t>
      </w:r>
      <w:r w:rsidRPr="00A96AC5">
        <w:rPr>
          <w:rFonts w:cs="Times New Roman"/>
        </w:rPr>
        <w:t xml:space="preserve">additional cost of </w:t>
      </w:r>
      <w:r w:rsidR="00E62241">
        <w:rPr>
          <w:rFonts w:cs="Times New Roman"/>
        </w:rPr>
        <w:t xml:space="preserve">the </w:t>
      </w:r>
      <w:r w:rsidRPr="00A96AC5">
        <w:rPr>
          <w:rFonts w:cs="Times New Roman"/>
        </w:rPr>
        <w:t xml:space="preserve">UCC </w:t>
      </w:r>
      <w:r w:rsidR="00E62241">
        <w:rPr>
          <w:rFonts w:cs="Times New Roman"/>
        </w:rPr>
        <w:t>which</w:t>
      </w:r>
      <w:r w:rsidRPr="00A96AC5">
        <w:rPr>
          <w:rFonts w:cs="Times New Roman"/>
        </w:rPr>
        <w:t xml:space="preserve"> keep</w:t>
      </w:r>
      <w:r w:rsidR="00E62241">
        <w:rPr>
          <w:rFonts w:cs="Times New Roman"/>
        </w:rPr>
        <w:t>s</w:t>
      </w:r>
      <w:r w:rsidRPr="00A96AC5">
        <w:rPr>
          <w:rFonts w:cs="Times New Roman"/>
        </w:rPr>
        <w:t xml:space="preserve"> the service charge of </w:t>
      </w:r>
      <w:r w:rsidR="00E62241">
        <w:rPr>
          <w:rFonts w:cs="Times New Roman"/>
        </w:rPr>
        <w:t xml:space="preserve">the </w:t>
      </w:r>
      <w:r w:rsidRPr="00A96AC5">
        <w:rPr>
          <w:rFonts w:cs="Times New Roman"/>
        </w:rPr>
        <w:t xml:space="preserve">UCC </w:t>
      </w:r>
      <w:r w:rsidR="00175B9C">
        <w:rPr>
          <w:rFonts w:cs="Times New Roman"/>
        </w:rPr>
        <w:t>at</w:t>
      </w:r>
      <w:r w:rsidRPr="00A96AC5">
        <w:rPr>
          <w:rFonts w:cs="Times New Roman"/>
        </w:rPr>
        <w:t xml:space="preserve"> a lower level </w:t>
      </w:r>
      <w:r>
        <w:rPr>
          <w:noProof/>
        </w:rPr>
        <w:t>(Akgün et al., 2019a)</w:t>
      </w:r>
      <w:r w:rsidRPr="00A96AC5">
        <w:rPr>
          <w:rFonts w:cs="Times New Roman"/>
        </w:rPr>
        <w:t xml:space="preserve">. For </w:t>
      </w:r>
      <w:r w:rsidR="00E62241">
        <w:rPr>
          <w:rFonts w:cs="Times New Roman"/>
        </w:rPr>
        <w:t xml:space="preserve">the </w:t>
      </w:r>
      <w:r w:rsidRPr="00A96AC5">
        <w:rPr>
          <w:rFonts w:cs="Times New Roman"/>
        </w:rPr>
        <w:t xml:space="preserve">SCUCC and </w:t>
      </w:r>
      <w:r w:rsidR="00E62241">
        <w:rPr>
          <w:rFonts w:cs="Times New Roman"/>
        </w:rPr>
        <w:t xml:space="preserve">the </w:t>
      </w:r>
      <w:r w:rsidRPr="00A96AC5">
        <w:rPr>
          <w:rFonts w:cs="Times New Roman"/>
        </w:rPr>
        <w:t>CAUCC, subsidies are not necessary to ensure financial feasibility.</w:t>
      </w:r>
    </w:p>
    <w:p w14:paraId="76546C66" w14:textId="3C626859" w:rsidR="00F86570" w:rsidRPr="00A96AC5" w:rsidRDefault="00F86570" w:rsidP="00F86570">
      <w:pPr>
        <w:spacing w:after="240" w:line="360" w:lineRule="auto"/>
        <w:rPr>
          <w:rFonts w:cs="Times New Roman"/>
        </w:rPr>
      </w:pPr>
      <w:r w:rsidRPr="00A96AC5">
        <w:rPr>
          <w:rFonts w:cs="Times New Roman"/>
        </w:rPr>
        <w:t xml:space="preserve">The experience of </w:t>
      </w:r>
      <w:r w:rsidR="00E62241">
        <w:rPr>
          <w:rFonts w:cs="Times New Roman"/>
        </w:rPr>
        <w:t xml:space="preserve">the </w:t>
      </w:r>
      <w:r w:rsidRPr="00A96AC5">
        <w:rPr>
          <w:rFonts w:cs="Times New Roman"/>
        </w:rPr>
        <w:t>SCUCC illustrates that a successful UCC that does not rely on subsidies should employ an innovative business model that does not cause the ‘paying</w:t>
      </w:r>
      <w:r>
        <w:rPr>
          <w:rFonts w:cs="Times New Roman"/>
        </w:rPr>
        <w:t xml:space="preserve"> users</w:t>
      </w:r>
      <w:r w:rsidRPr="00A96AC5">
        <w:rPr>
          <w:rFonts w:cs="Times New Roman"/>
        </w:rPr>
        <w:t>’ to</w:t>
      </w:r>
      <w:r w:rsidR="00E62241">
        <w:rPr>
          <w:rFonts w:cs="Times New Roman"/>
        </w:rPr>
        <w:t xml:space="preserve"> take on</w:t>
      </w:r>
      <w:r w:rsidRPr="00A96AC5">
        <w:rPr>
          <w:rFonts w:cs="Times New Roman"/>
        </w:rPr>
        <w:t xml:space="preserve"> the additional goods handling process. </w:t>
      </w:r>
      <w:r w:rsidR="0037752B">
        <w:rPr>
          <w:rFonts w:cs="Times New Roman"/>
        </w:rPr>
        <w:t xml:space="preserve">This finding </w:t>
      </w:r>
      <w:r w:rsidR="00376D36">
        <w:rPr>
          <w:rFonts w:cs="Times New Roman"/>
        </w:rPr>
        <w:t>is</w:t>
      </w:r>
      <w:r w:rsidR="0037752B">
        <w:rPr>
          <w:rFonts w:cs="Times New Roman"/>
        </w:rPr>
        <w:t xml:space="preserve"> different from the argument in previous studies which insist that a self-sustaining UCC should only depend on enough customers </w:t>
      </w:r>
      <w:r w:rsidR="0037752B" w:rsidRPr="00B54F5B">
        <w:rPr>
          <w:rFonts w:cs="Times New Roman"/>
        </w:rPr>
        <w:t>(</w:t>
      </w:r>
      <w:proofErr w:type="gramStart"/>
      <w:r w:rsidR="0037752B" w:rsidRPr="00B54F5B">
        <w:rPr>
          <w:rFonts w:cs="Times New Roman"/>
        </w:rPr>
        <w:t>e.g.</w:t>
      </w:r>
      <w:proofErr w:type="gramEnd"/>
      <w:r w:rsidR="0037752B" w:rsidRPr="00B54F5B">
        <w:rPr>
          <w:rFonts w:cs="Times New Roman"/>
        </w:rPr>
        <w:t xml:space="preserve"> Browne et al. 2005; </w:t>
      </w:r>
      <w:proofErr w:type="spellStart"/>
      <w:r w:rsidR="0037752B" w:rsidRPr="00B54F5B">
        <w:rPr>
          <w:rFonts w:cs="Times New Roman"/>
        </w:rPr>
        <w:t>Quak</w:t>
      </w:r>
      <w:proofErr w:type="spellEnd"/>
      <w:r w:rsidR="0037752B" w:rsidRPr="00B54F5B">
        <w:rPr>
          <w:rFonts w:cs="Times New Roman"/>
        </w:rPr>
        <w:t xml:space="preserve">, et al. 2014; Kin et al. 2016; Björklund </w:t>
      </w:r>
      <w:r w:rsidR="0037752B">
        <w:rPr>
          <w:rFonts w:cs="Times New Roman"/>
        </w:rPr>
        <w:t xml:space="preserve">et al. </w:t>
      </w:r>
      <w:r w:rsidR="0037752B" w:rsidRPr="00B54F5B">
        <w:rPr>
          <w:rFonts w:cs="Times New Roman"/>
        </w:rPr>
        <w:t>2017)</w:t>
      </w:r>
      <w:r w:rsidR="0037752B">
        <w:rPr>
          <w:rFonts w:cs="Times New Roman"/>
        </w:rPr>
        <w:t xml:space="preserve">. </w:t>
      </w:r>
      <w:r w:rsidRPr="00A96AC5">
        <w:rPr>
          <w:rFonts w:cs="Times New Roman"/>
        </w:rPr>
        <w:t xml:space="preserve">In other words, the total expenditure </w:t>
      </w:r>
      <w:r w:rsidR="0057094E">
        <w:rPr>
          <w:rFonts w:cs="Times New Roman"/>
        </w:rPr>
        <w:t xml:space="preserve">of </w:t>
      </w:r>
      <w:r w:rsidR="00175B9C">
        <w:rPr>
          <w:rFonts w:cs="Times New Roman"/>
        </w:rPr>
        <w:t xml:space="preserve">the </w:t>
      </w:r>
      <w:r w:rsidRPr="00A96AC5">
        <w:rPr>
          <w:rFonts w:cs="Times New Roman"/>
        </w:rPr>
        <w:t xml:space="preserve">entire supply chain should not be increased by the additional cargo-handling process. The ideal financial source is the financial redistribution of the LSPs in a UCC network. In </w:t>
      </w:r>
      <w:r w:rsidR="00E62241">
        <w:rPr>
          <w:rFonts w:cs="Times New Roman"/>
        </w:rPr>
        <w:t xml:space="preserve">the </w:t>
      </w:r>
      <w:r w:rsidRPr="00A96AC5">
        <w:rPr>
          <w:rFonts w:cs="Times New Roman"/>
        </w:rPr>
        <w:t>SCUCC, the income comes from the extra financial benefits of the upstream stakeholders.</w:t>
      </w:r>
      <w:r w:rsidR="0031466A">
        <w:rPr>
          <w:rFonts w:cs="Times New Roman"/>
        </w:rPr>
        <w:t xml:space="preserve"> </w:t>
      </w:r>
      <w:r w:rsidRPr="00A96AC5">
        <w:rPr>
          <w:rFonts w:cs="Times New Roman"/>
        </w:rPr>
        <w:t xml:space="preserve">The fundamental factor in the success of this model is the deep mutual trust between internal stakeholders, as well as </w:t>
      </w:r>
      <w:r w:rsidR="00E62241">
        <w:rPr>
          <w:rFonts w:cs="Times New Roman"/>
        </w:rPr>
        <w:t>the</w:t>
      </w:r>
      <w:r w:rsidRPr="00A96AC5">
        <w:rPr>
          <w:rFonts w:cs="Times New Roman"/>
        </w:rPr>
        <w:t xml:space="preserve"> mechanism for accurately estimating the additional benefit.</w:t>
      </w:r>
      <w:r w:rsidR="00BC35D6">
        <w:rPr>
          <w:rFonts w:cs="Times New Roman"/>
        </w:rPr>
        <w:t xml:space="preserve"> </w:t>
      </w:r>
      <w:r w:rsidR="00B42EED">
        <w:rPr>
          <w:rFonts w:cs="Times New Roman"/>
        </w:rPr>
        <w:t>On the other hand</w:t>
      </w:r>
      <w:r>
        <w:rPr>
          <w:rFonts w:cs="Times New Roman"/>
        </w:rPr>
        <w:t xml:space="preserve">, </w:t>
      </w:r>
      <w:r w:rsidR="00BB00E3">
        <w:rPr>
          <w:rFonts w:cs="Times New Roman"/>
        </w:rPr>
        <w:t xml:space="preserve">the </w:t>
      </w:r>
      <w:r w:rsidR="005E4EF5">
        <w:rPr>
          <w:rFonts w:cs="Times New Roman"/>
        </w:rPr>
        <w:t xml:space="preserve">low initial investment can </w:t>
      </w:r>
      <w:r w:rsidR="004070BB">
        <w:rPr>
          <w:rFonts w:cs="Times New Roman"/>
        </w:rPr>
        <w:t>reduce the extra cost generation of the entire supply chain. S</w:t>
      </w:r>
      <w:r>
        <w:rPr>
          <w:rFonts w:cs="Times New Roman"/>
        </w:rPr>
        <w:t xml:space="preserve">ince the facilities and resources of </w:t>
      </w:r>
      <w:r w:rsidR="008B048C">
        <w:rPr>
          <w:rFonts w:cs="Times New Roman"/>
        </w:rPr>
        <w:t xml:space="preserve">this </w:t>
      </w:r>
      <w:r>
        <w:rPr>
          <w:rFonts w:cs="Times New Roman"/>
        </w:rPr>
        <w:t xml:space="preserve">UCC are based on an existing </w:t>
      </w:r>
      <w:proofErr w:type="gramStart"/>
      <w:r>
        <w:rPr>
          <w:rFonts w:cs="Times New Roman"/>
        </w:rPr>
        <w:t>mini-hub</w:t>
      </w:r>
      <w:proofErr w:type="gramEnd"/>
      <w:r>
        <w:rPr>
          <w:rFonts w:cs="Times New Roman"/>
        </w:rPr>
        <w:t xml:space="preserve"> of logistics companies in the city centre, </w:t>
      </w:r>
      <w:r w:rsidR="003425DB">
        <w:rPr>
          <w:rFonts w:cs="Times New Roman"/>
        </w:rPr>
        <w:t>limited</w:t>
      </w:r>
      <w:r>
        <w:rPr>
          <w:rFonts w:cs="Times New Roman"/>
        </w:rPr>
        <w:t xml:space="preserve"> initial investment is required for </w:t>
      </w:r>
      <w:r w:rsidR="004C1288">
        <w:rPr>
          <w:rFonts w:cs="Times New Roman"/>
        </w:rPr>
        <w:t>stakeholder</w:t>
      </w:r>
      <w:r w:rsidR="00BB00E3">
        <w:rPr>
          <w:rFonts w:cs="Times New Roman"/>
        </w:rPr>
        <w:t>s</w:t>
      </w:r>
      <w:r>
        <w:rPr>
          <w:rFonts w:cs="Times New Roman"/>
        </w:rPr>
        <w:t xml:space="preserve"> to build a new project. </w:t>
      </w:r>
      <w:r w:rsidR="00EF06F0">
        <w:rPr>
          <w:rFonts w:cs="Times New Roman"/>
        </w:rPr>
        <w:t>Based on such configuration</w:t>
      </w:r>
      <w:r w:rsidR="0057094E">
        <w:rPr>
          <w:rFonts w:cs="Times New Roman"/>
        </w:rPr>
        <w:t>,</w:t>
      </w:r>
      <w:r w:rsidR="00C6450D">
        <w:rPr>
          <w:rFonts w:cs="Times New Roman"/>
        </w:rPr>
        <w:t xml:space="preserve"> there is no need to involve </w:t>
      </w:r>
      <w:r w:rsidR="008C75D1">
        <w:rPr>
          <w:rFonts w:cs="Times New Roman"/>
        </w:rPr>
        <w:t>many</w:t>
      </w:r>
      <w:r w:rsidR="00366763">
        <w:rPr>
          <w:rFonts w:cs="Times New Roman"/>
        </w:rPr>
        <w:t xml:space="preserve"> users</w:t>
      </w:r>
      <w:r w:rsidR="00B42EED" w:rsidRPr="00B42EED">
        <w:rPr>
          <w:rFonts w:cs="Times New Roman"/>
        </w:rPr>
        <w:t xml:space="preserve"> to</w:t>
      </w:r>
      <w:r w:rsidR="00C6450D">
        <w:rPr>
          <w:rFonts w:cs="Times New Roman"/>
        </w:rPr>
        <w:t xml:space="preserve"> reach the</w:t>
      </w:r>
      <w:r w:rsidR="00B42EED" w:rsidRPr="00B42EED">
        <w:rPr>
          <w:rFonts w:cs="Times New Roman"/>
        </w:rPr>
        <w:t xml:space="preserve"> break</w:t>
      </w:r>
      <w:r w:rsidR="00BB00E3">
        <w:rPr>
          <w:rFonts w:cs="Times New Roman"/>
        </w:rPr>
        <w:t>-</w:t>
      </w:r>
      <w:r w:rsidR="00B42EED" w:rsidRPr="00B42EED">
        <w:rPr>
          <w:rFonts w:cs="Times New Roman"/>
        </w:rPr>
        <w:t>even</w:t>
      </w:r>
      <w:r w:rsidR="00C6450D">
        <w:rPr>
          <w:rFonts w:cs="Times New Roman"/>
        </w:rPr>
        <w:t>.</w:t>
      </w:r>
    </w:p>
    <w:p w14:paraId="1FCF791F" w14:textId="315D9539" w:rsidR="00F86570" w:rsidRDefault="008B048C" w:rsidP="00F86570">
      <w:pPr>
        <w:spacing w:after="240" w:line="360" w:lineRule="auto"/>
        <w:rPr>
          <w:rFonts w:cs="Times New Roman"/>
        </w:rPr>
      </w:pPr>
      <w:r>
        <w:rPr>
          <w:rFonts w:cs="Times New Roman"/>
        </w:rPr>
        <w:t xml:space="preserve">The </w:t>
      </w:r>
      <w:r w:rsidR="00F86570" w:rsidRPr="00A96AC5">
        <w:rPr>
          <w:rFonts w:cs="Times New Roman"/>
        </w:rPr>
        <w:t>CAUCC has a hea</w:t>
      </w:r>
      <w:r w:rsidR="00832A91">
        <w:rPr>
          <w:rFonts w:cs="Times New Roman"/>
        </w:rPr>
        <w:t>l</w:t>
      </w:r>
      <w:r w:rsidR="00F86570" w:rsidRPr="00A96AC5">
        <w:rPr>
          <w:rFonts w:cs="Times New Roman"/>
        </w:rPr>
        <w:t>thy financial status and does not rely on funding support from the local authority. This is because (1) there is sufficient demand for medical logistics in the local market</w:t>
      </w:r>
      <w:r w:rsidR="00CB2CB0">
        <w:rPr>
          <w:rFonts w:cs="Times New Roman"/>
        </w:rPr>
        <w:t xml:space="preserve"> -</w:t>
      </w:r>
      <w:r w:rsidR="00F86570">
        <w:rPr>
          <w:rFonts w:cs="Times New Roman"/>
        </w:rPr>
        <w:t xml:space="preserve"> </w:t>
      </w:r>
      <w:r w:rsidR="00F86570">
        <w:rPr>
          <w:rFonts w:cs="Times New Roman" w:hint="eastAsia"/>
        </w:rPr>
        <w:t>this</w:t>
      </w:r>
      <w:r w:rsidR="00F86570">
        <w:rPr>
          <w:rFonts w:cs="Times New Roman"/>
        </w:rPr>
        <w:t xml:space="preserve"> factor </w:t>
      </w:r>
      <w:r w:rsidR="00CD25A9">
        <w:rPr>
          <w:rFonts w:cs="Times New Roman"/>
        </w:rPr>
        <w:t>confirms</w:t>
      </w:r>
      <w:r w:rsidR="00F86570">
        <w:rPr>
          <w:rFonts w:cs="Times New Roman"/>
        </w:rPr>
        <w:t xml:space="preserve"> the argument from previous studies </w:t>
      </w:r>
      <w:r w:rsidR="00F86570" w:rsidRPr="00B54F5B">
        <w:rPr>
          <w:rFonts w:cs="Times New Roman"/>
        </w:rPr>
        <w:t>(</w:t>
      </w:r>
      <w:proofErr w:type="gramStart"/>
      <w:r w:rsidR="00F86570" w:rsidRPr="00B54F5B">
        <w:rPr>
          <w:rFonts w:cs="Times New Roman"/>
        </w:rPr>
        <w:t>e.g.</w:t>
      </w:r>
      <w:proofErr w:type="gramEnd"/>
      <w:r w:rsidR="00F86570" w:rsidRPr="00B54F5B">
        <w:rPr>
          <w:rFonts w:cs="Times New Roman"/>
        </w:rPr>
        <w:t xml:space="preserve"> Browne et al. 2005; </w:t>
      </w:r>
      <w:proofErr w:type="spellStart"/>
      <w:r w:rsidR="00F86570" w:rsidRPr="00B54F5B">
        <w:rPr>
          <w:rFonts w:cs="Times New Roman"/>
        </w:rPr>
        <w:t>Qua</w:t>
      </w:r>
      <w:r w:rsidR="00EF1903">
        <w:rPr>
          <w:rFonts w:cs="Times New Roman"/>
        </w:rPr>
        <w:t>k</w:t>
      </w:r>
      <w:proofErr w:type="spellEnd"/>
      <w:r w:rsidR="00F86570" w:rsidRPr="00B54F5B">
        <w:rPr>
          <w:rFonts w:cs="Times New Roman"/>
        </w:rPr>
        <w:t xml:space="preserve">. 2014; Kin et al. 2016; Björklund </w:t>
      </w:r>
      <w:r w:rsidR="00F86570">
        <w:rPr>
          <w:rFonts w:cs="Times New Roman"/>
        </w:rPr>
        <w:t xml:space="preserve">et al. </w:t>
      </w:r>
      <w:r w:rsidR="00F86570" w:rsidRPr="00B54F5B">
        <w:rPr>
          <w:rFonts w:cs="Times New Roman"/>
        </w:rPr>
        <w:t>2017)</w:t>
      </w:r>
      <w:r w:rsidR="00F86570" w:rsidRPr="00A96AC5">
        <w:rPr>
          <w:rFonts w:cs="Times New Roman"/>
        </w:rPr>
        <w:t xml:space="preserve">; (2) there is a lack of qualified medical LSPs in the local market; and (3) the facility is profitable for investors. It was these factors that originally encouraged Company A to independently establish the UCC project. In addition, a large investment is required to establish a qualified distribution centre dedicated to medical logistics. This generates a barrier to entry for investors in this market, thus preventing potential </w:t>
      </w:r>
      <w:r w:rsidR="00F86570" w:rsidRPr="00A96AC5">
        <w:rPr>
          <w:rFonts w:cs="Times New Roman"/>
        </w:rPr>
        <w:lastRenderedPageBreak/>
        <w:t xml:space="preserve">competitors for </w:t>
      </w:r>
      <w:r w:rsidR="006F6628">
        <w:rPr>
          <w:rFonts w:cs="Times New Roman"/>
        </w:rPr>
        <w:t xml:space="preserve">the </w:t>
      </w:r>
      <w:r w:rsidR="00F86570" w:rsidRPr="00A96AC5">
        <w:rPr>
          <w:rFonts w:cs="Times New Roman"/>
        </w:rPr>
        <w:t>CAUCC. Together, these reasons have led to a stable UCC in the market that do</w:t>
      </w:r>
      <w:r w:rsidR="006F6628">
        <w:rPr>
          <w:rFonts w:cs="Times New Roman"/>
        </w:rPr>
        <w:t>es</w:t>
      </w:r>
      <w:r w:rsidR="00F86570" w:rsidRPr="00A96AC5">
        <w:rPr>
          <w:rFonts w:cs="Times New Roman"/>
        </w:rPr>
        <w:t xml:space="preserve"> not rely on interventions from the local authority.</w:t>
      </w:r>
    </w:p>
    <w:p w14:paraId="75665BAC" w14:textId="75ACE8D7" w:rsidR="00F86570" w:rsidRPr="00A96AC5" w:rsidRDefault="00F86570" w:rsidP="00F86570">
      <w:pPr>
        <w:spacing w:after="240" w:line="360" w:lineRule="auto"/>
        <w:rPr>
          <w:rFonts w:cs="Times New Roman"/>
        </w:rPr>
      </w:pPr>
      <w:r>
        <w:rPr>
          <w:rFonts w:cs="Times New Roman"/>
        </w:rPr>
        <w:t xml:space="preserve">Both </w:t>
      </w:r>
      <w:r w:rsidR="007F3650">
        <w:rPr>
          <w:rFonts w:cs="Times New Roman"/>
        </w:rPr>
        <w:t xml:space="preserve">the </w:t>
      </w:r>
      <w:r>
        <w:rPr>
          <w:rFonts w:cs="Times New Roman"/>
        </w:rPr>
        <w:t xml:space="preserve">SCUCC and </w:t>
      </w:r>
      <w:r w:rsidR="007F3650">
        <w:rPr>
          <w:rFonts w:cs="Times New Roman"/>
        </w:rPr>
        <w:t xml:space="preserve">the </w:t>
      </w:r>
      <w:r>
        <w:rPr>
          <w:rFonts w:cs="Times New Roman"/>
        </w:rPr>
        <w:t>CAUCC conduct a ‘</w:t>
      </w:r>
      <w:r w:rsidR="00F13B29" w:rsidRPr="00F13B29">
        <w:rPr>
          <w:rFonts w:cs="Times New Roman"/>
        </w:rPr>
        <w:t>stepwise</w:t>
      </w:r>
      <w:r>
        <w:rPr>
          <w:rFonts w:cs="Times New Roman"/>
        </w:rPr>
        <w:t xml:space="preserve"> business expanding’ strategy</w:t>
      </w:r>
      <w:r w:rsidR="00DC1E27">
        <w:rPr>
          <w:rFonts w:cs="Times New Roman"/>
        </w:rPr>
        <w:t>,</w:t>
      </w:r>
      <w:r>
        <w:rPr>
          <w:rFonts w:cs="Times New Roman"/>
        </w:rPr>
        <w:t xml:space="preserve"> which just serve</w:t>
      </w:r>
      <w:r w:rsidR="00DC1E27">
        <w:rPr>
          <w:rFonts w:cs="Times New Roman"/>
        </w:rPr>
        <w:t>s</w:t>
      </w:r>
      <w:r>
        <w:rPr>
          <w:rFonts w:cs="Times New Roman"/>
        </w:rPr>
        <w:t xml:space="preserve"> one user (</w:t>
      </w:r>
      <w:r w:rsidR="007F3650">
        <w:rPr>
          <w:rFonts w:cs="Times New Roman"/>
        </w:rPr>
        <w:t xml:space="preserve">the </w:t>
      </w:r>
      <w:r>
        <w:rPr>
          <w:rFonts w:cs="Times New Roman"/>
        </w:rPr>
        <w:t xml:space="preserve">SCUCC serves the intercity logistics company and the CAUCC serves ‘Company A’ alone) at the initial stage. When a stable partnership with this user is </w:t>
      </w:r>
      <w:r w:rsidRPr="00D77081">
        <w:rPr>
          <w:rFonts w:cs="Times New Roman"/>
        </w:rPr>
        <w:t>generated</w:t>
      </w:r>
      <w:r>
        <w:rPr>
          <w:rFonts w:cs="Times New Roman"/>
        </w:rPr>
        <w:t xml:space="preserve">, the UCC will involve more users to build new partnerships. After a period of development, the high service quality and low service price of </w:t>
      </w:r>
      <w:r w:rsidR="009A22B6">
        <w:rPr>
          <w:rFonts w:cs="Times New Roman"/>
        </w:rPr>
        <w:t xml:space="preserve">the </w:t>
      </w:r>
      <w:r>
        <w:rPr>
          <w:rFonts w:cs="Times New Roman"/>
        </w:rPr>
        <w:t>CAUCC successfully attract</w:t>
      </w:r>
      <w:r w:rsidR="00EA0379">
        <w:rPr>
          <w:rFonts w:cs="Times New Roman"/>
        </w:rPr>
        <w:t>s</w:t>
      </w:r>
      <w:r>
        <w:rPr>
          <w:rFonts w:cs="Times New Roman"/>
        </w:rPr>
        <w:t xml:space="preserve"> more users. The cargo handling volume increased </w:t>
      </w:r>
      <w:r w:rsidR="00EA0379">
        <w:rPr>
          <w:rFonts w:cs="Times New Roman"/>
        </w:rPr>
        <w:t>along with</w:t>
      </w:r>
      <w:r>
        <w:rPr>
          <w:rFonts w:cs="Times New Roman"/>
        </w:rPr>
        <w:t xml:space="preserve"> involvement</w:t>
      </w:r>
      <w:r w:rsidR="00EA0379">
        <w:rPr>
          <w:rFonts w:cs="Times New Roman"/>
        </w:rPr>
        <w:t xml:space="preserve"> of more users</w:t>
      </w:r>
      <w:r>
        <w:rPr>
          <w:rFonts w:cs="Times New Roman"/>
        </w:rPr>
        <w:t xml:space="preserve">, thus </w:t>
      </w:r>
      <w:r w:rsidR="00EA0379">
        <w:rPr>
          <w:rFonts w:cs="Times New Roman"/>
        </w:rPr>
        <w:t xml:space="preserve">the </w:t>
      </w:r>
      <w:r>
        <w:rPr>
          <w:rFonts w:cs="Times New Roman"/>
        </w:rPr>
        <w:t>CAUCC could enjoy the scale of economy. On the other hand, an inventory sharing mechanism constructed by these users improve</w:t>
      </w:r>
      <w:r w:rsidR="00EA0379">
        <w:rPr>
          <w:rFonts w:cs="Times New Roman"/>
        </w:rPr>
        <w:t>d</w:t>
      </w:r>
      <w:r>
        <w:rPr>
          <w:rFonts w:cs="Times New Roman"/>
        </w:rPr>
        <w:t xml:space="preserve"> the </w:t>
      </w:r>
      <w:r w:rsidR="00182E19">
        <w:rPr>
          <w:rFonts w:cs="Times New Roman"/>
        </w:rPr>
        <w:t>logistics efficiency</w:t>
      </w:r>
      <w:r>
        <w:rPr>
          <w:rFonts w:cs="Times New Roman"/>
        </w:rPr>
        <w:t xml:space="preserve"> (</w:t>
      </w:r>
      <w:proofErr w:type="gramStart"/>
      <w:r>
        <w:rPr>
          <w:rFonts w:cs="Times New Roman"/>
        </w:rPr>
        <w:t>e.g.</w:t>
      </w:r>
      <w:proofErr w:type="gramEnd"/>
      <w:r>
        <w:rPr>
          <w:rFonts w:cs="Times New Roman"/>
        </w:rPr>
        <w:t xml:space="preserve"> reduce</w:t>
      </w:r>
      <w:r w:rsidR="00294022">
        <w:rPr>
          <w:rFonts w:cs="Times New Roman"/>
        </w:rPr>
        <w:t>d</w:t>
      </w:r>
      <w:r>
        <w:rPr>
          <w:rFonts w:cs="Times New Roman"/>
        </w:rPr>
        <w:t xml:space="preserve"> the lead-time of the ordering) as well as reduc</w:t>
      </w:r>
      <w:r w:rsidR="00294022">
        <w:rPr>
          <w:rFonts w:cs="Times New Roman"/>
        </w:rPr>
        <w:t>ing</w:t>
      </w:r>
      <w:r>
        <w:rPr>
          <w:rFonts w:cs="Times New Roman"/>
        </w:rPr>
        <w:t xml:space="preserve"> the inventory-holding cost for all users. However, SCUCC is difficult to involve new participants in the UCC facility. O</w:t>
      </w:r>
      <w:r>
        <w:rPr>
          <w:rFonts w:cs="Times New Roman" w:hint="eastAsia"/>
        </w:rPr>
        <w:t>ne</w:t>
      </w:r>
      <w:r>
        <w:rPr>
          <w:rFonts w:cs="Times New Roman"/>
        </w:rPr>
        <w:t xml:space="preserve"> </w:t>
      </w:r>
      <w:r>
        <w:rPr>
          <w:rFonts w:cs="Times New Roman" w:hint="eastAsia"/>
        </w:rPr>
        <w:t>reason</w:t>
      </w:r>
      <w:r>
        <w:rPr>
          <w:rFonts w:cs="Times New Roman"/>
        </w:rPr>
        <w:t xml:space="preserve"> </w:t>
      </w:r>
      <w:r>
        <w:rPr>
          <w:rFonts w:cs="Times New Roman" w:hint="eastAsia"/>
        </w:rPr>
        <w:t>is</w:t>
      </w:r>
      <w:r>
        <w:rPr>
          <w:rFonts w:cs="Times New Roman"/>
        </w:rPr>
        <w:t xml:space="preserve"> </w:t>
      </w:r>
      <w:r>
        <w:rPr>
          <w:rFonts w:cs="Times New Roman" w:hint="eastAsia"/>
        </w:rPr>
        <w:t>that</w:t>
      </w:r>
      <w:r>
        <w:rPr>
          <w:rFonts w:cs="Times New Roman"/>
        </w:rPr>
        <w:t xml:space="preserve"> </w:t>
      </w:r>
      <w:r>
        <w:rPr>
          <w:rFonts w:cs="Times New Roman" w:hint="eastAsia"/>
        </w:rPr>
        <w:t>the</w:t>
      </w:r>
      <w:r>
        <w:rPr>
          <w:rFonts w:cs="Times New Roman"/>
        </w:rPr>
        <w:t xml:space="preserve"> </w:t>
      </w:r>
      <w:r>
        <w:rPr>
          <w:rFonts w:cs="Times New Roman" w:hint="eastAsia"/>
        </w:rPr>
        <w:t>service</w:t>
      </w:r>
      <w:r>
        <w:rPr>
          <w:rFonts w:cs="Times New Roman"/>
        </w:rPr>
        <w:t xml:space="preserve"> </w:t>
      </w:r>
      <w:r>
        <w:rPr>
          <w:rFonts w:cs="Times New Roman" w:hint="eastAsia"/>
        </w:rPr>
        <w:t>of</w:t>
      </w:r>
      <w:r>
        <w:rPr>
          <w:rFonts w:cs="Times New Roman"/>
        </w:rPr>
        <w:t xml:space="preserve"> </w:t>
      </w:r>
      <w:r w:rsidR="00294022">
        <w:rPr>
          <w:rFonts w:cs="Times New Roman"/>
        </w:rPr>
        <w:t xml:space="preserve">the </w:t>
      </w:r>
      <w:r>
        <w:rPr>
          <w:rFonts w:cs="Times New Roman" w:hint="eastAsia"/>
        </w:rPr>
        <w:t>SCUCC</w:t>
      </w:r>
      <w:r>
        <w:rPr>
          <w:rFonts w:cs="Times New Roman"/>
        </w:rPr>
        <w:t xml:space="preserve"> </w:t>
      </w:r>
      <w:r>
        <w:rPr>
          <w:rFonts w:cs="Times New Roman" w:hint="eastAsia"/>
        </w:rPr>
        <w:t>is</w:t>
      </w:r>
      <w:r>
        <w:rPr>
          <w:rFonts w:cs="Times New Roman"/>
        </w:rPr>
        <w:t xml:space="preserve"> </w:t>
      </w:r>
      <w:r>
        <w:rPr>
          <w:rFonts w:cs="Times New Roman" w:hint="eastAsia"/>
        </w:rPr>
        <w:t>not</w:t>
      </w:r>
      <w:r>
        <w:rPr>
          <w:rFonts w:cs="Times New Roman"/>
        </w:rPr>
        <w:t xml:space="preserve"> irreplaceable, as the types of goods are normal parcels, which do not need any special treatment. Therefore, purely r</w:t>
      </w:r>
      <w:r w:rsidRPr="00E64BDB">
        <w:rPr>
          <w:rFonts w:cs="Times New Roman"/>
        </w:rPr>
        <w:t>elying on market</w:t>
      </w:r>
      <w:r w:rsidR="000C555F">
        <w:rPr>
          <w:rFonts w:cs="Times New Roman"/>
        </w:rPr>
        <w:t xml:space="preserve"> factor</w:t>
      </w:r>
      <w:r w:rsidR="00017A32">
        <w:rPr>
          <w:rFonts w:cs="Times New Roman"/>
        </w:rPr>
        <w:t>s</w:t>
      </w:r>
      <w:r>
        <w:rPr>
          <w:rFonts w:cs="Times New Roman"/>
        </w:rPr>
        <w:t xml:space="preserve"> is </w:t>
      </w:r>
      <w:r w:rsidRPr="00E64BDB">
        <w:rPr>
          <w:rFonts w:cs="Times New Roman"/>
        </w:rPr>
        <w:t xml:space="preserve">difficult for </w:t>
      </w:r>
      <w:r w:rsidR="00AC56CD">
        <w:rPr>
          <w:rFonts w:cs="Times New Roman"/>
        </w:rPr>
        <w:t xml:space="preserve">the </w:t>
      </w:r>
      <w:r w:rsidR="00017A32">
        <w:rPr>
          <w:rFonts w:cs="Times New Roman"/>
        </w:rPr>
        <w:t>SC</w:t>
      </w:r>
      <w:r w:rsidRPr="00E64BDB">
        <w:rPr>
          <w:rFonts w:cs="Times New Roman"/>
        </w:rPr>
        <w:t>UCC to attract new partners</w:t>
      </w:r>
      <w:r>
        <w:rPr>
          <w:rFonts w:cs="Times New Roman"/>
        </w:rPr>
        <w:t xml:space="preserve">. </w:t>
      </w:r>
      <w:r w:rsidR="00017A32">
        <w:rPr>
          <w:rFonts w:cs="Times New Roman"/>
        </w:rPr>
        <w:t>The g</w:t>
      </w:r>
      <w:r>
        <w:rPr>
          <w:rFonts w:cs="Times New Roman"/>
        </w:rPr>
        <w:t xml:space="preserve">overnment should organise more stakeholders engagement </w:t>
      </w:r>
      <w:r w:rsidR="00AC56CD">
        <w:rPr>
          <w:rFonts w:cs="Times New Roman"/>
        </w:rPr>
        <w:t>events</w:t>
      </w:r>
      <w:r>
        <w:rPr>
          <w:rFonts w:cs="Times New Roman"/>
        </w:rPr>
        <w:t xml:space="preserve"> for the potential users of UCC to illustrate the potential economic benefits of </w:t>
      </w:r>
      <w:r w:rsidR="000C2962">
        <w:rPr>
          <w:rFonts w:cs="Times New Roman"/>
        </w:rPr>
        <w:t>the SC</w:t>
      </w:r>
      <w:r>
        <w:rPr>
          <w:rFonts w:cs="Times New Roman"/>
        </w:rPr>
        <w:t>UCC that can generate to these companies. If more numbers of users subscribe</w:t>
      </w:r>
      <w:r w:rsidR="000C2962">
        <w:rPr>
          <w:rFonts w:cs="Times New Roman"/>
        </w:rPr>
        <w:t xml:space="preserve"> to</w:t>
      </w:r>
      <w:r>
        <w:rPr>
          <w:rFonts w:cs="Times New Roman"/>
        </w:rPr>
        <w:t xml:space="preserve"> </w:t>
      </w:r>
      <w:r w:rsidR="000C2962">
        <w:rPr>
          <w:rFonts w:cs="Times New Roman"/>
        </w:rPr>
        <w:t>the SC</w:t>
      </w:r>
      <w:r>
        <w:rPr>
          <w:rFonts w:cs="Times New Roman"/>
        </w:rPr>
        <w:t>UCC, the economic scale can be achieved to reduce the last-mile delivery cost.</w:t>
      </w:r>
    </w:p>
    <w:p w14:paraId="6581BD37" w14:textId="1163E024" w:rsidR="0067720F" w:rsidRPr="00A96AC5" w:rsidRDefault="00A258A7" w:rsidP="0067720F">
      <w:pPr>
        <w:pStyle w:val="Heading5"/>
        <w:spacing w:after="240" w:line="360" w:lineRule="auto"/>
        <w:rPr>
          <w:rFonts w:cs="Times New Roman"/>
        </w:rPr>
      </w:pPr>
      <w:r>
        <w:rPr>
          <w:rFonts w:cs="Times New Roman"/>
        </w:rPr>
        <w:t>U</w:t>
      </w:r>
      <w:r w:rsidR="0067720F" w:rsidRPr="00A96AC5">
        <w:rPr>
          <w:rFonts w:cs="Times New Roman"/>
        </w:rPr>
        <w:t>tilisation of public funding</w:t>
      </w:r>
    </w:p>
    <w:p w14:paraId="3D44DC9E" w14:textId="3DC2C3D4" w:rsidR="0067720F" w:rsidRPr="00A96AC5" w:rsidRDefault="0067720F" w:rsidP="0067720F">
      <w:pPr>
        <w:spacing w:after="240" w:line="360" w:lineRule="auto"/>
        <w:rPr>
          <w:rFonts w:cs="Times New Roman"/>
        </w:rPr>
      </w:pPr>
      <w:r w:rsidRPr="00A96AC5">
        <w:rPr>
          <w:rFonts w:cs="Times New Roman"/>
        </w:rPr>
        <w:t xml:space="preserve">Both </w:t>
      </w:r>
      <w:r w:rsidR="000C2962">
        <w:rPr>
          <w:rFonts w:cs="Times New Roman"/>
        </w:rPr>
        <w:t xml:space="preserve">the </w:t>
      </w:r>
      <w:r w:rsidR="00975429">
        <w:rPr>
          <w:rFonts w:cs="Times New Roman"/>
        </w:rPr>
        <w:t>RS</w:t>
      </w:r>
      <w:r w:rsidRPr="00A96AC5">
        <w:rPr>
          <w:rFonts w:cs="Times New Roman"/>
        </w:rPr>
        <w:t xml:space="preserve">UCC and </w:t>
      </w:r>
      <w:r w:rsidR="000C2962">
        <w:rPr>
          <w:rFonts w:cs="Times New Roman"/>
        </w:rPr>
        <w:t xml:space="preserve">the </w:t>
      </w:r>
      <w:r w:rsidRPr="00A96AC5">
        <w:rPr>
          <w:rFonts w:cs="Times New Roman"/>
        </w:rPr>
        <w:t xml:space="preserve">CBUCC </w:t>
      </w:r>
      <w:r w:rsidR="00A258A7">
        <w:rPr>
          <w:rFonts w:cs="Times New Roman"/>
        </w:rPr>
        <w:t xml:space="preserve">receive </w:t>
      </w:r>
      <w:r w:rsidRPr="00A96AC5">
        <w:rPr>
          <w:rFonts w:cs="Times New Roman"/>
        </w:rPr>
        <w:t xml:space="preserve">public capital. The primary factor in their success has been strong governmental power </w:t>
      </w:r>
      <w:proofErr w:type="gramStart"/>
      <w:r w:rsidRPr="00A96AC5">
        <w:rPr>
          <w:rFonts w:cs="Times New Roman"/>
        </w:rPr>
        <w:t>in the area of</w:t>
      </w:r>
      <w:proofErr w:type="gramEnd"/>
      <w:r w:rsidRPr="00A96AC5">
        <w:rPr>
          <w:rFonts w:cs="Times New Roman"/>
        </w:rPr>
        <w:t xml:space="preserve"> public governance. The Swedish and Chinese governments can independently use large budgets to improve local traffic conditions, whilst this is impossible in countries with less governmental power. </w:t>
      </w:r>
    </w:p>
    <w:p w14:paraId="15D079FC" w14:textId="0CC9FB59" w:rsidR="0067720F" w:rsidRPr="00A96AC5" w:rsidRDefault="000C2962" w:rsidP="0067720F">
      <w:pPr>
        <w:spacing w:after="240" w:line="360" w:lineRule="auto"/>
        <w:rPr>
          <w:rFonts w:cs="Times New Roman"/>
        </w:rPr>
      </w:pPr>
      <w:r>
        <w:rPr>
          <w:rFonts w:cs="Times New Roman"/>
        </w:rPr>
        <w:t xml:space="preserve">The </w:t>
      </w:r>
      <w:r w:rsidR="0067720F" w:rsidRPr="00A96AC5">
        <w:rPr>
          <w:rFonts w:cs="Times New Roman"/>
        </w:rPr>
        <w:t xml:space="preserve">RSUCC engages in the traditional utilisation of public funding: the government provides the start-up capital to rent the facility, purchase the equipment, and employ an operator and manager for the project </w:t>
      </w:r>
      <w:r w:rsidR="0067720F">
        <w:rPr>
          <w:noProof/>
        </w:rPr>
        <w:t>(Lebeau et al., 2017, Akgün et al., 2019a)</w:t>
      </w:r>
      <w:r w:rsidR="0067720F">
        <w:rPr>
          <w:rFonts w:hint="eastAsia"/>
        </w:rPr>
        <w:t>.</w:t>
      </w:r>
      <w:r w:rsidR="0067720F">
        <w:t xml:space="preserve"> </w:t>
      </w:r>
      <w:r w:rsidR="0067720F" w:rsidRPr="00A96AC5">
        <w:rPr>
          <w:rFonts w:cs="Times New Roman"/>
        </w:rPr>
        <w:t>As the service is compulsory for users, the investment</w:t>
      </w:r>
      <w:r w:rsidR="0067720F">
        <w:rPr>
          <w:rFonts w:cs="Times New Roman"/>
        </w:rPr>
        <w:t xml:space="preserve"> cost</w:t>
      </w:r>
      <w:r w:rsidR="0067720F" w:rsidRPr="00A96AC5">
        <w:rPr>
          <w:rFonts w:cs="Times New Roman"/>
        </w:rPr>
        <w:t xml:space="preserve"> is easily retrieved. </w:t>
      </w:r>
    </w:p>
    <w:p w14:paraId="79E47131" w14:textId="1BFC01E4" w:rsidR="0067720F" w:rsidRPr="000317FE" w:rsidRDefault="0067720F" w:rsidP="0067720F">
      <w:pPr>
        <w:spacing w:after="240" w:line="360" w:lineRule="auto"/>
        <w:rPr>
          <w:rFonts w:cs="Times New Roman"/>
          <w:lang w:val="en-US"/>
        </w:rPr>
      </w:pPr>
      <w:r w:rsidRPr="00A96AC5">
        <w:rPr>
          <w:rFonts w:cs="Times New Roman"/>
        </w:rPr>
        <w:t xml:space="preserve">The example of </w:t>
      </w:r>
      <w:r w:rsidR="000C2962">
        <w:rPr>
          <w:rFonts w:cs="Times New Roman"/>
        </w:rPr>
        <w:t xml:space="preserve">the </w:t>
      </w:r>
      <w:r w:rsidRPr="00A96AC5">
        <w:rPr>
          <w:rFonts w:cs="Times New Roman"/>
        </w:rPr>
        <w:t xml:space="preserve">CBUCC shows that upgrading a UCC project with public investment is preferable to investing in a new project with this type of funding. The development of a PPP project can be regarded as optimal for the utilisation of public funds. First, upgrading existing projects requires less investment. For example, there is no need to invest in equipment or </w:t>
      </w:r>
      <w:r w:rsidRPr="00A96AC5">
        <w:rPr>
          <w:rFonts w:cs="Times New Roman"/>
        </w:rPr>
        <w:lastRenderedPageBreak/>
        <w:t xml:space="preserve">human resources, as these are supplied by the private company. Such benefits reduce the financial burden on the local authorities. Second, the government is not a service provider, which prevents direct government intervention in the market. Third, there is </w:t>
      </w:r>
      <w:r w:rsidR="00124CAA">
        <w:rPr>
          <w:rFonts w:cs="Times New Roman"/>
        </w:rPr>
        <w:t xml:space="preserve">a </w:t>
      </w:r>
      <w:r w:rsidRPr="00A96AC5">
        <w:rPr>
          <w:rFonts w:cs="Times New Roman"/>
        </w:rPr>
        <w:t xml:space="preserve">light operational risk for both the government and the private company. As a commercial project already has </w:t>
      </w:r>
      <w:proofErr w:type="spellStart"/>
      <w:proofErr w:type="gramStart"/>
      <w:r w:rsidRPr="00A96AC5">
        <w:rPr>
          <w:rFonts w:cs="Times New Roman"/>
        </w:rPr>
        <w:t>a</w:t>
      </w:r>
      <w:proofErr w:type="spellEnd"/>
      <w:proofErr w:type="gramEnd"/>
      <w:r w:rsidRPr="00A96AC5">
        <w:rPr>
          <w:rFonts w:cs="Times New Roman"/>
        </w:rPr>
        <w:t xml:space="preserve"> </w:t>
      </w:r>
      <w:r w:rsidR="000B0B30">
        <w:rPr>
          <w:rFonts w:cs="Times New Roman"/>
        </w:rPr>
        <w:t>effective</w:t>
      </w:r>
      <w:r w:rsidRPr="00A96AC5">
        <w:rPr>
          <w:rFonts w:cs="Times New Roman"/>
        </w:rPr>
        <w:t xml:space="preserve"> operational system, many potential operational issues are</w:t>
      </w:r>
      <w:r w:rsidR="00A73983">
        <w:rPr>
          <w:rFonts w:cs="Times New Roman"/>
        </w:rPr>
        <w:t xml:space="preserve"> already</w:t>
      </w:r>
      <w:r w:rsidRPr="00A96AC5">
        <w:rPr>
          <w:rFonts w:cs="Times New Roman"/>
        </w:rPr>
        <w:t xml:space="preserve"> avoided</w:t>
      </w:r>
      <w:r w:rsidR="00F20698">
        <w:rPr>
          <w:rFonts w:cs="Times New Roman"/>
        </w:rPr>
        <w:t xml:space="preserve"> or addressed before government participat</w:t>
      </w:r>
      <w:r w:rsidR="00754CFD">
        <w:rPr>
          <w:rFonts w:cs="Times New Roman"/>
        </w:rPr>
        <w:t>ion</w:t>
      </w:r>
      <w:r w:rsidRPr="00A96AC5">
        <w:rPr>
          <w:rFonts w:cs="Times New Roman"/>
        </w:rPr>
        <w:t xml:space="preserve">, thereby protecting the government from operational risks. In addition, private companies can use the public investment to promote their business, without bearing the capital risks associated with independent business upgrading or transformation. </w:t>
      </w:r>
    </w:p>
    <w:p w14:paraId="00D22937" w14:textId="77777777" w:rsidR="00656367" w:rsidRPr="00A96AC5" w:rsidRDefault="00656367" w:rsidP="00656367">
      <w:pPr>
        <w:pStyle w:val="Heading4"/>
        <w:spacing w:after="0" w:line="360" w:lineRule="auto"/>
        <w:rPr>
          <w:rFonts w:cs="Times New Roman"/>
        </w:rPr>
      </w:pPr>
      <w:r w:rsidRPr="00A96AC5">
        <w:rPr>
          <w:rFonts w:cs="Times New Roman"/>
        </w:rPr>
        <w:t>Regulatory support</w:t>
      </w:r>
    </w:p>
    <w:p w14:paraId="72BC626C" w14:textId="0023096F" w:rsidR="00F86542" w:rsidRDefault="00656367" w:rsidP="00014014">
      <w:pPr>
        <w:spacing w:after="240" w:line="360" w:lineRule="auto"/>
        <w:rPr>
          <w:rFonts w:cs="Times New Roman"/>
        </w:rPr>
      </w:pPr>
      <w:r w:rsidRPr="00A96AC5">
        <w:rPr>
          <w:rFonts w:cs="Times New Roman"/>
        </w:rPr>
        <w:t>In</w:t>
      </w:r>
      <w:r w:rsidR="005F3970">
        <w:rPr>
          <w:rFonts w:cs="Times New Roman"/>
        </w:rPr>
        <w:t xml:space="preserve"> the</w:t>
      </w:r>
      <w:r w:rsidRPr="00A96AC5">
        <w:rPr>
          <w:rFonts w:cs="Times New Roman"/>
        </w:rPr>
        <w:t xml:space="preserve"> CBUCC, a restrictive policy was implemented to regulate all the traffic</w:t>
      </w:r>
      <w:r w:rsidR="0039666A">
        <w:rPr>
          <w:rFonts w:cs="Times New Roman"/>
        </w:rPr>
        <w:t>,</w:t>
      </w:r>
      <w:r w:rsidRPr="00A96AC5">
        <w:rPr>
          <w:rFonts w:cs="Times New Roman"/>
        </w:rPr>
        <w:t xml:space="preserve"> which moves into the urban area rather than to support the UCC project. As reported by </w:t>
      </w:r>
      <w:r w:rsidR="00367F0F">
        <w:rPr>
          <w:noProof/>
        </w:rPr>
        <w:t>(Janjevic and Ndiaye, 2017a)</w:t>
      </w:r>
      <w:r w:rsidRPr="00A96AC5">
        <w:rPr>
          <w:rFonts w:cs="Times New Roman"/>
          <w:noProof/>
        </w:rPr>
        <w:t>,</w:t>
      </w:r>
      <w:r w:rsidRPr="00A96AC5">
        <w:rPr>
          <w:rFonts w:cs="Times New Roman"/>
        </w:rPr>
        <w:t xml:space="preserve"> this policy can indirectly support the UCC project, as it can generate extra costs or lead to deficiencies in the urban distribution for the LSPs, which thus leads to LSPs outsourcing their urban delivery services to the UCC. In the case of </w:t>
      </w:r>
      <w:r w:rsidR="005F3970">
        <w:rPr>
          <w:rFonts w:cs="Times New Roman"/>
        </w:rPr>
        <w:t xml:space="preserve">the </w:t>
      </w:r>
      <w:r w:rsidRPr="00A96AC5">
        <w:rPr>
          <w:rFonts w:cs="Times New Roman"/>
        </w:rPr>
        <w:t xml:space="preserve">CBUCC, the time-windows policy moved the intercity deliveries from non-local trucks from 10 pm to 7 am. This policy has increased the expenditure of the intercity carriers due to the extra dwelling time, thus creating a new logistics demand for goods transhipment. </w:t>
      </w:r>
      <w:r w:rsidR="004C47E7">
        <w:rPr>
          <w:rFonts w:cs="Times New Roman"/>
        </w:rPr>
        <w:t xml:space="preserve">Since the restrictive policy </w:t>
      </w:r>
      <w:r w:rsidR="00913295">
        <w:rPr>
          <w:rFonts w:cs="Times New Roman"/>
        </w:rPr>
        <w:t>does</w:t>
      </w:r>
      <w:r w:rsidR="004C47E7">
        <w:rPr>
          <w:rFonts w:cs="Times New Roman"/>
        </w:rPr>
        <w:t xml:space="preserve"> not aim to support the UCC</w:t>
      </w:r>
      <w:r w:rsidR="00735C50">
        <w:rPr>
          <w:rFonts w:cs="Times New Roman"/>
        </w:rPr>
        <w:t xml:space="preserve"> </w:t>
      </w:r>
      <w:r w:rsidR="000F5216">
        <w:rPr>
          <w:rFonts w:cs="Times New Roman"/>
        </w:rPr>
        <w:t>but</w:t>
      </w:r>
      <w:r w:rsidR="005F3970">
        <w:rPr>
          <w:rFonts w:cs="Times New Roman"/>
        </w:rPr>
        <w:t xml:space="preserve"> seeks</w:t>
      </w:r>
      <w:r w:rsidR="000F5216">
        <w:rPr>
          <w:rFonts w:cs="Times New Roman"/>
        </w:rPr>
        <w:t xml:space="preserve"> to regulate the entire freight transportation</w:t>
      </w:r>
      <w:r w:rsidR="00735C50">
        <w:rPr>
          <w:rFonts w:cs="Times New Roman"/>
        </w:rPr>
        <w:t xml:space="preserve"> in the urban area,</w:t>
      </w:r>
      <w:r w:rsidR="004C47E7">
        <w:rPr>
          <w:rFonts w:cs="Times New Roman"/>
        </w:rPr>
        <w:t xml:space="preserve"> there is no </w:t>
      </w:r>
      <w:r w:rsidR="000F5216">
        <w:rPr>
          <w:rFonts w:cs="Times New Roman"/>
        </w:rPr>
        <w:t xml:space="preserve">legal </w:t>
      </w:r>
      <w:r w:rsidR="004C47E7">
        <w:rPr>
          <w:rFonts w:cs="Times New Roman"/>
        </w:rPr>
        <w:t>battle</w:t>
      </w:r>
      <w:r w:rsidR="000F5216">
        <w:rPr>
          <w:rFonts w:cs="Times New Roman"/>
        </w:rPr>
        <w:t xml:space="preserve"> between</w:t>
      </w:r>
      <w:r w:rsidR="004C47E7">
        <w:rPr>
          <w:rFonts w:cs="Times New Roman"/>
        </w:rPr>
        <w:t xml:space="preserve"> </w:t>
      </w:r>
      <w:r w:rsidR="007B24AC">
        <w:rPr>
          <w:rFonts w:cs="Times New Roman"/>
        </w:rPr>
        <w:t xml:space="preserve">the </w:t>
      </w:r>
      <w:r w:rsidR="004C47E7">
        <w:rPr>
          <w:rFonts w:cs="Times New Roman"/>
        </w:rPr>
        <w:t xml:space="preserve">intercity </w:t>
      </w:r>
      <w:r w:rsidR="000F5216">
        <w:rPr>
          <w:rFonts w:cs="Times New Roman"/>
        </w:rPr>
        <w:t>carrier</w:t>
      </w:r>
      <w:r w:rsidR="007B24AC">
        <w:rPr>
          <w:rFonts w:cs="Times New Roman"/>
        </w:rPr>
        <w:t>s</w:t>
      </w:r>
      <w:r w:rsidR="000F5216">
        <w:rPr>
          <w:rFonts w:cs="Times New Roman"/>
        </w:rPr>
        <w:t xml:space="preserve"> and local authorities.</w:t>
      </w:r>
      <w:r w:rsidR="004C47E7">
        <w:rPr>
          <w:rFonts w:cs="Times New Roman"/>
        </w:rPr>
        <w:t xml:space="preserve"> </w:t>
      </w:r>
    </w:p>
    <w:p w14:paraId="709F057F" w14:textId="2BC7DA70" w:rsidR="00656367" w:rsidRPr="00737239" w:rsidRDefault="00260AB2" w:rsidP="00014014">
      <w:pPr>
        <w:spacing w:after="240" w:line="360" w:lineRule="auto"/>
        <w:rPr>
          <w:rFonts w:cs="Times New Roman"/>
        </w:rPr>
      </w:pPr>
      <w:r>
        <w:rPr>
          <w:rFonts w:cs="Times New Roman"/>
        </w:rPr>
        <w:t xml:space="preserve">The </w:t>
      </w:r>
      <w:r w:rsidR="00656367" w:rsidRPr="00A96AC5">
        <w:rPr>
          <w:rFonts w:cs="Times New Roman"/>
        </w:rPr>
        <w:t xml:space="preserve">RSUCC benefits from the compulsory policy that forbids the LSPs from accessing a region of </w:t>
      </w:r>
      <w:r w:rsidR="00DC7EF7">
        <w:rPr>
          <w:rFonts w:cs="Times New Roman"/>
        </w:rPr>
        <w:t xml:space="preserve">the </w:t>
      </w:r>
      <w:r w:rsidR="00656367" w:rsidRPr="00A96AC5">
        <w:rPr>
          <w:rFonts w:cs="Times New Roman"/>
        </w:rPr>
        <w:t xml:space="preserve">city. Such a strict restrictive policy resolves the challenge of consumers being ‘reluctant to pay for the additional cost of UCCs’ </w:t>
      </w:r>
      <w:r w:rsidR="00367F0F" w:rsidRPr="00367F0F">
        <w:rPr>
          <w:rFonts w:cs="Times New Roman"/>
          <w:noProof/>
        </w:rPr>
        <w:t>(Allen et al., 2014)</w:t>
      </w:r>
      <w:r w:rsidR="00656367" w:rsidRPr="00A96AC5">
        <w:rPr>
          <w:rFonts w:cs="Times New Roman"/>
        </w:rPr>
        <w:t xml:space="preserve">. The experience of </w:t>
      </w:r>
      <w:r w:rsidR="005C7135">
        <w:rPr>
          <w:rFonts w:cs="Times New Roman"/>
        </w:rPr>
        <w:t xml:space="preserve">the </w:t>
      </w:r>
      <w:r w:rsidR="00656367" w:rsidRPr="00A96AC5">
        <w:rPr>
          <w:rFonts w:cs="Times New Roman"/>
        </w:rPr>
        <w:t xml:space="preserve">RSUCC is consistent with the results of previous studies, indicating that the compulsory UCC is difficult to act as the only entrance of the delivery vehicles, at the scale of the entire city. Therefore, </w:t>
      </w:r>
      <w:r w:rsidR="00656367" w:rsidRPr="00AF1DF5">
        <w:rPr>
          <w:rFonts w:cs="Times New Roman"/>
          <w:i/>
          <w:iCs/>
        </w:rPr>
        <w:t>‘</w:t>
      </w:r>
      <w:r w:rsidR="005C7135" w:rsidRPr="00AF1DF5">
        <w:rPr>
          <w:rFonts w:cs="Times New Roman"/>
          <w:i/>
          <w:iCs/>
        </w:rPr>
        <w:t>s</w:t>
      </w:r>
      <w:r w:rsidR="00656367" w:rsidRPr="00AF1DF5">
        <w:rPr>
          <w:rFonts w:cs="Times New Roman"/>
          <w:i/>
          <w:iCs/>
        </w:rPr>
        <w:t xml:space="preserve">uch </w:t>
      </w:r>
      <w:r w:rsidR="005C7135" w:rsidRPr="00AF1DF5">
        <w:rPr>
          <w:rFonts w:cs="Times New Roman"/>
          <w:i/>
          <w:iCs/>
        </w:rPr>
        <w:t xml:space="preserve">a </w:t>
      </w:r>
      <w:r w:rsidR="00656367" w:rsidRPr="00AF1DF5">
        <w:rPr>
          <w:rFonts w:cs="Times New Roman"/>
          <w:i/>
          <w:iCs/>
        </w:rPr>
        <w:t>compulsory framework seems to be more suited to</w:t>
      </w:r>
      <w:r w:rsidR="007D7E6A">
        <w:rPr>
          <w:rFonts w:cs="Times New Roman"/>
          <w:i/>
          <w:iCs/>
        </w:rPr>
        <w:t xml:space="preserve"> a</w:t>
      </w:r>
      <w:r w:rsidR="00656367" w:rsidRPr="00AF1DF5">
        <w:rPr>
          <w:rFonts w:cs="Times New Roman"/>
          <w:i/>
          <w:iCs/>
        </w:rPr>
        <w:t xml:space="preserve"> UCC servicing a specific site’</w:t>
      </w:r>
      <w:r w:rsidR="00656367" w:rsidRPr="00A96AC5">
        <w:rPr>
          <w:rFonts w:cs="Times New Roman"/>
        </w:rPr>
        <w:t xml:space="preserve"> </w:t>
      </w:r>
      <w:r w:rsidR="00656367" w:rsidRPr="00A96AC5">
        <w:rPr>
          <w:rFonts w:cs="Times New Roman"/>
          <w:noProof/>
        </w:rPr>
        <w:t>(Lebeau et al., 2017)</w:t>
      </w:r>
      <w:r w:rsidR="00656367" w:rsidRPr="00A96AC5">
        <w:rPr>
          <w:rFonts w:cs="Times New Roman"/>
        </w:rPr>
        <w:t>.</w:t>
      </w:r>
      <w:r w:rsidR="00F86542">
        <w:rPr>
          <w:rFonts w:cs="Times New Roman"/>
        </w:rPr>
        <w:t xml:space="preserve"> T</w:t>
      </w:r>
      <w:r w:rsidR="00F86542">
        <w:rPr>
          <w:rFonts w:cs="Times New Roman" w:hint="eastAsia"/>
        </w:rPr>
        <w:t>h</w:t>
      </w:r>
      <w:r w:rsidR="00F86542">
        <w:rPr>
          <w:rFonts w:cs="Times New Roman"/>
        </w:rPr>
        <w:t xml:space="preserve">e </w:t>
      </w:r>
      <w:r w:rsidR="00F86542">
        <w:rPr>
          <w:rFonts w:cs="Times New Roman" w:hint="eastAsia"/>
        </w:rPr>
        <w:t>finding</w:t>
      </w:r>
      <w:r w:rsidR="00C77337">
        <w:rPr>
          <w:rFonts w:cs="Times New Roman"/>
        </w:rPr>
        <w:t>,</w:t>
      </w:r>
      <w:r w:rsidR="00F86542">
        <w:rPr>
          <w:rFonts w:cs="Times New Roman"/>
        </w:rPr>
        <w:t xml:space="preserve"> in this case</w:t>
      </w:r>
      <w:r w:rsidR="00C77337">
        <w:rPr>
          <w:rFonts w:cs="Times New Roman"/>
        </w:rPr>
        <w:t>,</w:t>
      </w:r>
      <w:r w:rsidR="00F86542">
        <w:rPr>
          <w:rFonts w:cs="Times New Roman"/>
        </w:rPr>
        <w:t xml:space="preserve"> </w:t>
      </w:r>
      <w:r w:rsidR="00F86542">
        <w:rPr>
          <w:rFonts w:cs="Times New Roman" w:hint="eastAsia"/>
        </w:rPr>
        <w:t>extend</w:t>
      </w:r>
      <w:r w:rsidR="00F86542">
        <w:rPr>
          <w:rFonts w:cs="Times New Roman"/>
        </w:rPr>
        <w:t xml:space="preserve">s </w:t>
      </w:r>
      <w:r w:rsidR="00F86542">
        <w:rPr>
          <w:rFonts w:cs="Times New Roman" w:hint="eastAsia"/>
        </w:rPr>
        <w:t>the</w:t>
      </w:r>
      <w:r w:rsidR="00F86542">
        <w:rPr>
          <w:rFonts w:cs="Times New Roman"/>
        </w:rPr>
        <w:t xml:space="preserve"> </w:t>
      </w:r>
      <w:r w:rsidR="00F86542">
        <w:rPr>
          <w:rFonts w:cs="Times New Roman" w:hint="eastAsia"/>
        </w:rPr>
        <w:t>opinions</w:t>
      </w:r>
      <w:r w:rsidR="00F86542">
        <w:rPr>
          <w:rFonts w:cs="Times New Roman"/>
        </w:rPr>
        <w:t xml:space="preserve"> </w:t>
      </w:r>
      <w:r w:rsidR="00F86542">
        <w:rPr>
          <w:rFonts w:cs="Times New Roman" w:hint="eastAsia"/>
        </w:rPr>
        <w:t>from</w:t>
      </w:r>
      <w:r w:rsidR="00F86542">
        <w:rPr>
          <w:rFonts w:cs="Times New Roman"/>
        </w:rPr>
        <w:t xml:space="preserve"> previous studies: </w:t>
      </w:r>
      <w:r w:rsidR="007D7E6A">
        <w:rPr>
          <w:rFonts w:cs="Times New Roman"/>
        </w:rPr>
        <w:t>i</w:t>
      </w:r>
      <w:r w:rsidR="00F86542">
        <w:rPr>
          <w:rFonts w:cs="Times New Roman"/>
        </w:rPr>
        <w:t>f government have enough power,</w:t>
      </w:r>
      <w:r w:rsidR="00171347">
        <w:rPr>
          <w:rFonts w:cs="Times New Roman"/>
        </w:rPr>
        <w:t xml:space="preserve"> </w:t>
      </w:r>
      <w:r w:rsidR="00083812">
        <w:rPr>
          <w:rFonts w:cs="Times New Roman"/>
        </w:rPr>
        <w:t>strong</w:t>
      </w:r>
      <w:r w:rsidR="00171347">
        <w:rPr>
          <w:rFonts w:cs="Times New Roman"/>
        </w:rPr>
        <w:t xml:space="preserve"> policy </w:t>
      </w:r>
      <w:r w:rsidR="000F3432">
        <w:rPr>
          <w:rFonts w:cs="Times New Roman"/>
        </w:rPr>
        <w:t xml:space="preserve">could </w:t>
      </w:r>
      <w:r w:rsidR="00171347">
        <w:rPr>
          <w:rFonts w:cs="Times New Roman"/>
        </w:rPr>
        <w:t>not only</w:t>
      </w:r>
      <w:r w:rsidR="000F3432">
        <w:rPr>
          <w:rFonts w:cs="Times New Roman"/>
        </w:rPr>
        <w:t xml:space="preserve"> </w:t>
      </w:r>
      <w:r w:rsidR="00FE102C">
        <w:rPr>
          <w:rFonts w:cs="Times New Roman"/>
        </w:rPr>
        <w:t>cause</w:t>
      </w:r>
      <w:r w:rsidR="00171347">
        <w:rPr>
          <w:rFonts w:cs="Times New Roman"/>
        </w:rPr>
        <w:t xml:space="preserve"> </w:t>
      </w:r>
      <w:r w:rsidR="00FE102C">
        <w:rPr>
          <w:rFonts w:cs="Times New Roman"/>
        </w:rPr>
        <w:t>stakeholders</w:t>
      </w:r>
      <w:r w:rsidR="00C9404C">
        <w:rPr>
          <w:rFonts w:cs="Times New Roman"/>
        </w:rPr>
        <w:t xml:space="preserve"> </w:t>
      </w:r>
      <w:r w:rsidR="00B33C0D">
        <w:rPr>
          <w:rFonts w:cs="Times New Roman"/>
        </w:rPr>
        <w:t>who</w:t>
      </w:r>
      <w:r w:rsidR="00E75362">
        <w:rPr>
          <w:rFonts w:cs="Times New Roman"/>
        </w:rPr>
        <w:t xml:space="preserve"> ar</w:t>
      </w:r>
      <w:r w:rsidR="00E75362" w:rsidRPr="00E75362">
        <w:rPr>
          <w:rFonts w:cs="Times New Roman"/>
        </w:rPr>
        <w:t>e reluctant to participate in the project</w:t>
      </w:r>
      <w:r w:rsidR="00240D85">
        <w:rPr>
          <w:rFonts w:cs="Times New Roman"/>
        </w:rPr>
        <w:t xml:space="preserve"> </w:t>
      </w:r>
      <w:r w:rsidR="00F50F44">
        <w:rPr>
          <w:rFonts w:cs="Times New Roman"/>
        </w:rPr>
        <w:t>becoming the</w:t>
      </w:r>
      <w:r w:rsidR="00FE102C">
        <w:rPr>
          <w:rFonts w:cs="Times New Roman"/>
        </w:rPr>
        <w:t xml:space="preserve"> customers</w:t>
      </w:r>
      <w:r w:rsidR="00511262">
        <w:rPr>
          <w:rFonts w:cs="Times New Roman"/>
        </w:rPr>
        <w:t>,</w:t>
      </w:r>
      <w:r w:rsidR="00FE102C">
        <w:rPr>
          <w:rFonts w:cs="Times New Roman"/>
        </w:rPr>
        <w:t xml:space="preserve"> </w:t>
      </w:r>
      <w:r w:rsidR="007E5EA9">
        <w:rPr>
          <w:rFonts w:cs="Times New Roman"/>
        </w:rPr>
        <w:t xml:space="preserve">but </w:t>
      </w:r>
      <w:r w:rsidR="00511262">
        <w:rPr>
          <w:rFonts w:cs="Times New Roman"/>
        </w:rPr>
        <w:t>could also</w:t>
      </w:r>
      <w:r w:rsidR="007E5EA9">
        <w:rPr>
          <w:rFonts w:cs="Times New Roman"/>
        </w:rPr>
        <w:t xml:space="preserve"> </w:t>
      </w:r>
      <w:r w:rsidR="006718B3">
        <w:rPr>
          <w:rFonts w:cs="Times New Roman"/>
        </w:rPr>
        <w:t>forc</w:t>
      </w:r>
      <w:r w:rsidR="00511262">
        <w:rPr>
          <w:rFonts w:cs="Times New Roman"/>
        </w:rPr>
        <w:t>e</w:t>
      </w:r>
      <w:r w:rsidR="006718B3">
        <w:rPr>
          <w:rFonts w:cs="Times New Roman"/>
        </w:rPr>
        <w:t xml:space="preserve"> them </w:t>
      </w:r>
      <w:r w:rsidR="005A4C1D">
        <w:rPr>
          <w:rFonts w:cs="Times New Roman"/>
        </w:rPr>
        <w:t xml:space="preserve">to </w:t>
      </w:r>
      <w:r w:rsidR="006718B3">
        <w:rPr>
          <w:rFonts w:cs="Times New Roman"/>
        </w:rPr>
        <w:t>undertake the operational risk of the UCC project.</w:t>
      </w:r>
    </w:p>
    <w:p w14:paraId="7EBE2996" w14:textId="18ED2C64" w:rsidR="00984A3F" w:rsidRPr="00A96AC5" w:rsidRDefault="00656367" w:rsidP="00014014">
      <w:pPr>
        <w:spacing w:after="240" w:line="360" w:lineRule="auto"/>
        <w:rPr>
          <w:rFonts w:cs="Times New Roman"/>
        </w:rPr>
      </w:pPr>
      <w:r w:rsidRPr="00802DC5">
        <w:rPr>
          <w:rFonts w:cs="Times New Roman"/>
        </w:rPr>
        <w:t xml:space="preserve">It seems that previous studies have not explored the provision of public support for </w:t>
      </w:r>
      <w:r w:rsidR="000853D7">
        <w:rPr>
          <w:rFonts w:cs="Times New Roman"/>
        </w:rPr>
        <w:t xml:space="preserve">the </w:t>
      </w:r>
      <w:r w:rsidRPr="00802DC5">
        <w:rPr>
          <w:rFonts w:cs="Times New Roman"/>
        </w:rPr>
        <w:t xml:space="preserve">SCUCC. ‘Public support’ is defined in </w:t>
      </w:r>
      <w:r w:rsidR="00BE258E">
        <w:rPr>
          <w:rFonts w:cs="Times New Roman"/>
        </w:rPr>
        <w:t xml:space="preserve">the </w:t>
      </w:r>
      <w:r w:rsidRPr="00802DC5">
        <w:rPr>
          <w:rFonts w:cs="Times New Roman"/>
        </w:rPr>
        <w:t xml:space="preserve">SCUCC as </w:t>
      </w:r>
      <w:r w:rsidRPr="00802DC5">
        <w:rPr>
          <w:rFonts w:cs="Times New Roman"/>
          <w:iCs/>
        </w:rPr>
        <w:t>business support</w:t>
      </w:r>
      <w:r w:rsidRPr="00DB493C">
        <w:rPr>
          <w:rFonts w:cs="Times New Roman"/>
        </w:rPr>
        <w:t xml:space="preserve">. This differs from the financial </w:t>
      </w:r>
      <w:r w:rsidRPr="00DB493C">
        <w:rPr>
          <w:rFonts w:cs="Times New Roman"/>
        </w:rPr>
        <w:lastRenderedPageBreak/>
        <w:t xml:space="preserve">and </w:t>
      </w:r>
      <w:r w:rsidR="002841F0" w:rsidRPr="00DB493C">
        <w:rPr>
          <w:rFonts w:cs="Times New Roman"/>
        </w:rPr>
        <w:t>political</w:t>
      </w:r>
      <w:r w:rsidRPr="00DB493C">
        <w:rPr>
          <w:rFonts w:cs="Times New Roman"/>
        </w:rPr>
        <w:t xml:space="preserve"> support mentioned</w:t>
      </w:r>
      <w:r w:rsidRPr="00A96AC5">
        <w:rPr>
          <w:rFonts w:cs="Times New Roman"/>
        </w:rPr>
        <w:t xml:space="preserve"> in previous studies. Here, the governmental role provides a platform on which to integrate different stakeholders and develop innovative business models. </w:t>
      </w:r>
      <w:r w:rsidR="00652AB3">
        <w:rPr>
          <w:rFonts w:cs="Times New Roman"/>
        </w:rPr>
        <w:t xml:space="preserve">The </w:t>
      </w:r>
      <w:r w:rsidRPr="00A96AC5">
        <w:rPr>
          <w:rFonts w:cs="Times New Roman"/>
        </w:rPr>
        <w:t xml:space="preserve">SCUCC exemplifies the benefits of this model: first, it does not require substantial public investment or restrictive policies that would disrupt the market. Second, it does not harm the interests of any stakeholders in the UCC network. Finally, private partnerships ensure operational efficiency and financial sustainability of UCC projects. However, as reported by the local authority, business integration is ad-hoc in different scenarios, with successful approaches difficult to replicate in other partnerships. </w:t>
      </w:r>
      <w:r w:rsidR="00225622">
        <w:rPr>
          <w:rFonts w:cs="Times New Roman"/>
        </w:rPr>
        <w:t>The s</w:t>
      </w:r>
      <w:r w:rsidRPr="00A96AC5">
        <w:rPr>
          <w:rFonts w:cs="Times New Roman"/>
        </w:rPr>
        <w:t>ubsequent business expansion thus requires the investment of additional government resources.</w:t>
      </w:r>
    </w:p>
    <w:p w14:paraId="41BFCB30" w14:textId="77777777" w:rsidR="00656367" w:rsidRPr="00A96AC5" w:rsidRDefault="00656367" w:rsidP="00656367">
      <w:pPr>
        <w:pStyle w:val="Heading3"/>
        <w:spacing w:line="360" w:lineRule="auto"/>
        <w:rPr>
          <w:rFonts w:cs="Times New Roman"/>
        </w:rPr>
      </w:pPr>
      <w:bookmarkStart w:id="850" w:name="_Toc46053468"/>
      <w:bookmarkStart w:id="851" w:name="_Toc46093382"/>
      <w:bookmarkStart w:id="852" w:name="_Toc46093665"/>
      <w:bookmarkStart w:id="853" w:name="_Toc66703241"/>
      <w:r w:rsidRPr="00A96AC5">
        <w:rPr>
          <w:rFonts w:cs="Times New Roman"/>
        </w:rPr>
        <w:t>Mitigating stakeholder conflicts</w:t>
      </w:r>
      <w:bookmarkEnd w:id="850"/>
      <w:bookmarkEnd w:id="851"/>
      <w:bookmarkEnd w:id="852"/>
      <w:bookmarkEnd w:id="853"/>
    </w:p>
    <w:p w14:paraId="75E2BE5C" w14:textId="77777777" w:rsidR="00656367" w:rsidRPr="00A96AC5" w:rsidRDefault="00656367" w:rsidP="00656367">
      <w:pPr>
        <w:pStyle w:val="Heading4"/>
        <w:spacing w:after="0" w:line="360" w:lineRule="auto"/>
        <w:rPr>
          <w:rFonts w:cs="Times New Roman"/>
        </w:rPr>
      </w:pPr>
      <w:r w:rsidRPr="00A96AC5">
        <w:rPr>
          <w:rFonts w:cs="Times New Roman"/>
        </w:rPr>
        <w:t xml:space="preserve">Enhanced overall </w:t>
      </w:r>
      <w:proofErr w:type="gramStart"/>
      <w:r w:rsidRPr="00A96AC5">
        <w:rPr>
          <w:rFonts w:cs="Times New Roman"/>
        </w:rPr>
        <w:t>strategy</w:t>
      </w:r>
      <w:proofErr w:type="gramEnd"/>
      <w:r w:rsidRPr="00A96AC5">
        <w:rPr>
          <w:rFonts w:cs="Times New Roman"/>
        </w:rPr>
        <w:t xml:space="preserve"> </w:t>
      </w:r>
    </w:p>
    <w:p w14:paraId="16ADCC08" w14:textId="77777777" w:rsidR="00656367" w:rsidRPr="00A96AC5" w:rsidRDefault="00656367" w:rsidP="00656367">
      <w:pPr>
        <w:spacing w:line="360" w:lineRule="auto"/>
        <w:rPr>
          <w:rFonts w:cs="Times New Roman"/>
        </w:rPr>
      </w:pPr>
    </w:p>
    <w:p w14:paraId="24790515" w14:textId="77777777" w:rsidR="00656367" w:rsidRPr="008903D1" w:rsidRDefault="00656367" w:rsidP="00656367">
      <w:pPr>
        <w:spacing w:line="360" w:lineRule="auto"/>
        <w:rPr>
          <w:rFonts w:cs="Times New Roman"/>
        </w:rPr>
      </w:pPr>
      <w:r w:rsidRPr="008903D1">
        <w:rPr>
          <w:rStyle w:val="apple-converted-space"/>
          <w:rFonts w:cs="Times New Roman"/>
          <w:noProof/>
          <w:lang w:eastAsia="en-GB"/>
        </w:rPr>
        <w:drawing>
          <wp:inline distT="0" distB="0" distL="0" distR="0" wp14:anchorId="078808A7" wp14:editId="08C0A405">
            <wp:extent cx="5297424" cy="1521850"/>
            <wp:effectExtent l="0" t="0" r="0" b="254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titled-132323233323231245125125.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319067" cy="1528068"/>
                    </a:xfrm>
                    <a:prstGeom prst="rect">
                      <a:avLst/>
                    </a:prstGeom>
                  </pic:spPr>
                </pic:pic>
              </a:graphicData>
            </a:graphic>
          </wp:inline>
        </w:drawing>
      </w:r>
    </w:p>
    <w:p w14:paraId="51C4B69E" w14:textId="08E4E2D7" w:rsidR="00656367" w:rsidRPr="00802DC5" w:rsidRDefault="00656367" w:rsidP="00014014">
      <w:pPr>
        <w:pStyle w:val="Caption"/>
        <w:spacing w:line="360" w:lineRule="auto"/>
        <w:rPr>
          <w:rFonts w:cs="Times New Roman"/>
        </w:rPr>
      </w:pPr>
      <w:bookmarkStart w:id="854" w:name="_Ref45017833"/>
      <w:bookmarkStart w:id="855" w:name="_Toc46053696"/>
      <w:bookmarkStart w:id="856" w:name="_Toc66698727"/>
      <w:r w:rsidRPr="008903D1">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5</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14</w:t>
      </w:r>
      <w:r w:rsidR="00632993">
        <w:rPr>
          <w:rFonts w:cs="Times New Roman"/>
        </w:rPr>
        <w:fldChar w:fldCharType="end"/>
      </w:r>
      <w:bookmarkEnd w:id="854"/>
      <w:r w:rsidR="002547EF">
        <w:rPr>
          <w:rFonts w:cs="Times New Roman"/>
        </w:rPr>
        <w:t>:</w:t>
      </w:r>
      <w:r w:rsidRPr="008903D1">
        <w:rPr>
          <w:rFonts w:cs="Times New Roman"/>
        </w:rPr>
        <w:t xml:space="preserve"> Different </w:t>
      </w:r>
      <w:r w:rsidRPr="00737239">
        <w:rPr>
          <w:rFonts w:cs="Times New Roman"/>
        </w:rPr>
        <w:t>models of the three dimensions in sustainable urban logistics (SUL)</w:t>
      </w:r>
      <w:bookmarkEnd w:id="855"/>
      <w:bookmarkEnd w:id="856"/>
      <w:r w:rsidRPr="00737239">
        <w:rPr>
          <w:rFonts w:cs="Times New Roman"/>
        </w:rPr>
        <w:t xml:space="preserve"> </w:t>
      </w:r>
    </w:p>
    <w:p w14:paraId="77FE7976" w14:textId="7D2E1BA5" w:rsidR="00CE0F52" w:rsidRDefault="00656367" w:rsidP="00014014">
      <w:pPr>
        <w:spacing w:after="240" w:line="360" w:lineRule="auto"/>
        <w:rPr>
          <w:rFonts w:cs="Times New Roman"/>
        </w:rPr>
      </w:pPr>
      <w:r w:rsidRPr="00802DC5">
        <w:rPr>
          <w:rFonts w:cs="Times New Roman"/>
        </w:rPr>
        <w:t>The dimensions of economy, environment, and society form the ‘triple bottom</w:t>
      </w:r>
      <w:r w:rsidRPr="00DB493C">
        <w:rPr>
          <w:rFonts w:cs="Times New Roman"/>
        </w:rPr>
        <w:t xml:space="preserve"> line’ of SUL. Previous research has suggested that these three dimensions should serve as the pillars of the sustainable development of UL (</w:t>
      </w:r>
      <w:r w:rsidR="001C02EB">
        <w:rPr>
          <w:rFonts w:cs="Times New Roman"/>
        </w:rPr>
        <w:fldChar w:fldCharType="begin"/>
      </w:r>
      <w:r w:rsidR="001C02EB">
        <w:rPr>
          <w:rFonts w:cs="Times New Roman"/>
        </w:rPr>
        <w:instrText xml:space="preserve"> REF _Ref45017833 \h </w:instrText>
      </w:r>
      <w:r w:rsidR="001C02EB">
        <w:rPr>
          <w:rFonts w:cs="Times New Roman"/>
        </w:rPr>
      </w:r>
      <w:r w:rsidR="001C02EB">
        <w:rPr>
          <w:rFonts w:cs="Times New Roman"/>
        </w:rPr>
        <w:fldChar w:fldCharType="separate"/>
      </w:r>
      <w:r w:rsidR="0005064B" w:rsidRPr="008903D1">
        <w:rPr>
          <w:rFonts w:cs="Times New Roman"/>
        </w:rPr>
        <w:t xml:space="preserve">Figure </w:t>
      </w:r>
      <w:r w:rsidR="0005064B">
        <w:rPr>
          <w:rFonts w:cs="Times New Roman"/>
          <w:noProof/>
        </w:rPr>
        <w:t>5</w:t>
      </w:r>
      <w:r w:rsidR="0005064B">
        <w:rPr>
          <w:rFonts w:cs="Times New Roman"/>
        </w:rPr>
        <w:noBreakHyphen/>
      </w:r>
      <w:r w:rsidR="0005064B">
        <w:rPr>
          <w:rFonts w:cs="Times New Roman"/>
          <w:noProof/>
        </w:rPr>
        <w:t>14</w:t>
      </w:r>
      <w:r w:rsidR="001C02EB">
        <w:rPr>
          <w:rFonts w:cs="Times New Roman"/>
        </w:rPr>
        <w:fldChar w:fldCharType="end"/>
      </w:r>
      <w:r w:rsidRPr="008903D1">
        <w:rPr>
          <w:rFonts w:cs="Times New Roman"/>
        </w:rPr>
        <w:t xml:space="preserve">-A). Under this definition, </w:t>
      </w:r>
      <w:r w:rsidRPr="00737239">
        <w:rPr>
          <w:rFonts w:cs="Times New Roman"/>
        </w:rPr>
        <w:t>all three dimensions should develop synchronously. For example, if one UCC is highly profitable but generates extremely high levels of pollution and</w:t>
      </w:r>
      <w:r w:rsidRPr="00802DC5">
        <w:rPr>
          <w:rFonts w:cs="Times New Roman"/>
        </w:rPr>
        <w:t xml:space="preserve"> waste, whilst another facility produces zero pollution but suffers severe financial losses, neither project would be considered sustainable. Therefore, the overall strategy should be distinguished significantly between the development of the three dimensions. However, such an ideal situation would be difficult to achieve in practice, a</w:t>
      </w:r>
      <w:r w:rsidRPr="00DB493C">
        <w:rPr>
          <w:rFonts w:cs="Times New Roman"/>
        </w:rPr>
        <w:t xml:space="preserve">s the interests of different stakeholders (e.g., </w:t>
      </w:r>
      <w:proofErr w:type="gramStart"/>
      <w:r w:rsidRPr="00DB493C">
        <w:rPr>
          <w:rFonts w:cs="Times New Roman"/>
        </w:rPr>
        <w:t>private</w:t>
      </w:r>
      <w:proofErr w:type="gramEnd"/>
      <w:r w:rsidRPr="00DB493C">
        <w:rPr>
          <w:rFonts w:cs="Times New Roman"/>
        </w:rPr>
        <w:t xml:space="preserve"> and public stakeholders) must be balanced.</w:t>
      </w:r>
    </w:p>
    <w:p w14:paraId="6DDE263D" w14:textId="40799793" w:rsidR="00482E4D" w:rsidRPr="009B4A1D" w:rsidRDefault="00656367" w:rsidP="009B4A1D">
      <w:pPr>
        <w:spacing w:after="240" w:line="360" w:lineRule="auto"/>
        <w:rPr>
          <w:rFonts w:cs="Times New Roman"/>
        </w:rPr>
      </w:pPr>
      <w:r w:rsidRPr="003B337F">
        <w:rPr>
          <w:rFonts w:cs="Times New Roman"/>
        </w:rPr>
        <w:t xml:space="preserve">In this situation, </w:t>
      </w:r>
      <w:r w:rsidR="00B729BA" w:rsidRPr="003B337F">
        <w:rPr>
          <w:rFonts w:cs="Times New Roman"/>
        </w:rPr>
        <w:t>definitive</w:t>
      </w:r>
      <w:r w:rsidRPr="003B337F">
        <w:rPr>
          <w:rFonts w:cs="Times New Roman"/>
        </w:rPr>
        <w:t xml:space="preserve"> stakeholders</w:t>
      </w:r>
      <w:r w:rsidR="003B337F" w:rsidRPr="003B337F">
        <w:rPr>
          <w:rFonts w:cs="Times New Roman"/>
        </w:rPr>
        <w:t xml:space="preserve"> (</w:t>
      </w:r>
      <w:r w:rsidR="004242D2">
        <w:rPr>
          <w:rFonts w:cs="Times New Roman"/>
        </w:rPr>
        <w:t>d</w:t>
      </w:r>
      <w:r w:rsidR="003B337F" w:rsidRPr="003B337F">
        <w:rPr>
          <w:rFonts w:cs="Times New Roman"/>
        </w:rPr>
        <w:t>efinitive</w:t>
      </w:r>
      <w:r w:rsidR="003B337F">
        <w:rPr>
          <w:rFonts w:cs="Times New Roman"/>
        </w:rPr>
        <w:t xml:space="preserve"> stakeholders have </w:t>
      </w:r>
      <w:r w:rsidR="003B337F" w:rsidRPr="00482E4D">
        <w:rPr>
          <w:rFonts w:cs="Times New Roman"/>
        </w:rPr>
        <w:t>high salience</w:t>
      </w:r>
      <w:r w:rsidR="003B337F">
        <w:rPr>
          <w:rFonts w:cs="Times New Roman"/>
        </w:rPr>
        <w:t>,</w:t>
      </w:r>
      <w:r w:rsidR="003B337F" w:rsidRPr="00482E4D">
        <w:rPr>
          <w:rFonts w:cs="Times New Roman"/>
        </w:rPr>
        <w:t xml:space="preserve"> </w:t>
      </w:r>
      <w:r w:rsidR="009B4A1D">
        <w:rPr>
          <w:rFonts w:cs="Times New Roman"/>
        </w:rPr>
        <w:t xml:space="preserve">these stakeholders have </w:t>
      </w:r>
      <w:r w:rsidR="003B337F" w:rsidRPr="00482E4D">
        <w:rPr>
          <w:rFonts w:cs="Times New Roman"/>
        </w:rPr>
        <w:t xml:space="preserve">priority </w:t>
      </w:r>
      <w:r w:rsidR="004413E6">
        <w:rPr>
          <w:rFonts w:cs="Times New Roman"/>
        </w:rPr>
        <w:t>over</w:t>
      </w:r>
      <w:r w:rsidR="003B337F" w:rsidRPr="00482E4D">
        <w:rPr>
          <w:rFonts w:cs="Times New Roman"/>
        </w:rPr>
        <w:t xml:space="preserve"> </w:t>
      </w:r>
      <w:r w:rsidR="009B4A1D">
        <w:rPr>
          <w:rFonts w:cs="Times New Roman"/>
        </w:rPr>
        <w:t>others</w:t>
      </w:r>
      <w:r w:rsidR="003B337F" w:rsidRPr="00482E4D">
        <w:rPr>
          <w:rFonts w:cs="Times New Roman"/>
        </w:rPr>
        <w:t>.</w:t>
      </w:r>
      <w:r w:rsidR="003B337F">
        <w:rPr>
          <w:rFonts w:cs="Times New Roman"/>
        </w:rPr>
        <w:t xml:space="preserve"> </w:t>
      </w:r>
      <w:r w:rsidR="00E859B8">
        <w:rPr>
          <w:rFonts w:cs="Times New Roman"/>
        </w:rPr>
        <w:t xml:space="preserve">More </w:t>
      </w:r>
      <w:proofErr w:type="spellStart"/>
      <w:r w:rsidR="00E859B8">
        <w:rPr>
          <w:rFonts w:cs="Times New Roman"/>
        </w:rPr>
        <w:t>specificically</w:t>
      </w:r>
      <w:proofErr w:type="spellEnd"/>
      <w:r w:rsidR="009B4A1D">
        <w:rPr>
          <w:rFonts w:cs="Times New Roman"/>
        </w:rPr>
        <w:t>, d</w:t>
      </w:r>
      <w:r w:rsidR="003B337F" w:rsidRPr="004C00C7">
        <w:rPr>
          <w:rFonts w:cs="Times New Roman"/>
        </w:rPr>
        <w:t>efinitive</w:t>
      </w:r>
      <w:r w:rsidR="003B337F">
        <w:rPr>
          <w:rFonts w:cs="Times New Roman"/>
        </w:rPr>
        <w:t xml:space="preserve"> stakeholders have </w:t>
      </w:r>
      <w:r w:rsidR="00FD02F9">
        <w:rPr>
          <w:rFonts w:cs="Times New Roman"/>
        </w:rPr>
        <w:t xml:space="preserve">the </w:t>
      </w:r>
      <w:r w:rsidR="003B337F">
        <w:rPr>
          <w:rFonts w:cs="Times New Roman"/>
        </w:rPr>
        <w:t>p</w:t>
      </w:r>
      <w:r w:rsidR="003B337F" w:rsidRPr="004C00C7">
        <w:rPr>
          <w:rFonts w:cs="Times New Roman"/>
        </w:rPr>
        <w:t>ower to influence the firm</w:t>
      </w:r>
      <w:r w:rsidR="003B337F">
        <w:rPr>
          <w:rFonts w:cs="Times New Roman"/>
        </w:rPr>
        <w:t>, have</w:t>
      </w:r>
      <w:r w:rsidR="003B337F" w:rsidRPr="004C00C7">
        <w:rPr>
          <w:rFonts w:cs="Times New Roman"/>
        </w:rPr>
        <w:t xml:space="preserve"> </w:t>
      </w:r>
      <w:r w:rsidR="003B337F">
        <w:rPr>
          <w:rFonts w:cs="Times New Roman"/>
        </w:rPr>
        <w:t>l</w:t>
      </w:r>
      <w:r w:rsidR="003B337F" w:rsidRPr="004C00C7">
        <w:rPr>
          <w:rFonts w:cs="Times New Roman"/>
        </w:rPr>
        <w:t>egitimacy of the</w:t>
      </w:r>
      <w:r w:rsidR="003B337F">
        <w:rPr>
          <w:rFonts w:cs="Times New Roman"/>
        </w:rPr>
        <w:t xml:space="preserve"> </w:t>
      </w:r>
      <w:r w:rsidR="003B337F" w:rsidRPr="004C00C7">
        <w:rPr>
          <w:rFonts w:cs="Times New Roman"/>
        </w:rPr>
        <w:t>stakeholders’ relationships with the firm</w:t>
      </w:r>
      <w:r w:rsidR="003B337F">
        <w:rPr>
          <w:rFonts w:cs="Times New Roman"/>
        </w:rPr>
        <w:t xml:space="preserve"> </w:t>
      </w:r>
      <w:r w:rsidR="003B337F">
        <w:rPr>
          <w:rFonts w:cs="Times New Roman"/>
        </w:rPr>
        <w:lastRenderedPageBreak/>
        <w:t>and have</w:t>
      </w:r>
      <w:r w:rsidR="003B337F" w:rsidRPr="004C00C7">
        <w:rPr>
          <w:rFonts w:cs="Times New Roman"/>
        </w:rPr>
        <w:t xml:space="preserve"> </w:t>
      </w:r>
      <w:r w:rsidR="003B337F">
        <w:rPr>
          <w:rFonts w:cs="Times New Roman"/>
        </w:rPr>
        <w:t>t</w:t>
      </w:r>
      <w:r w:rsidR="003B337F" w:rsidRPr="004C00C7">
        <w:rPr>
          <w:rFonts w:cs="Times New Roman"/>
        </w:rPr>
        <w:t>he urgency of the stakeholders</w:t>
      </w:r>
      <w:r w:rsidR="003B337F">
        <w:rPr>
          <w:rFonts w:cs="Times New Roman"/>
        </w:rPr>
        <w:t xml:space="preserve"> </w:t>
      </w:r>
      <w:r w:rsidR="003B337F" w:rsidRPr="004C00C7">
        <w:rPr>
          <w:rFonts w:cs="Times New Roman"/>
        </w:rPr>
        <w:t>claim on</w:t>
      </w:r>
      <w:r w:rsidR="003B337F">
        <w:rPr>
          <w:rFonts w:cs="Times New Roman"/>
        </w:rPr>
        <w:t xml:space="preserve"> </w:t>
      </w:r>
      <w:r w:rsidR="003B337F" w:rsidRPr="004C00C7">
        <w:rPr>
          <w:rFonts w:cs="Times New Roman"/>
        </w:rPr>
        <w:t>the firm</w:t>
      </w:r>
      <w:r w:rsidR="007C1554">
        <w:rPr>
          <w:rFonts w:cs="Times New Roman"/>
        </w:rPr>
        <w:t>.</w:t>
      </w:r>
      <w:r w:rsidR="003B337F">
        <w:rPr>
          <w:rFonts w:cs="Times New Roman"/>
        </w:rPr>
        <w:t xml:space="preserve"> </w:t>
      </w:r>
      <w:r w:rsidR="007C1554">
        <w:rPr>
          <w:rFonts w:cs="Times New Roman"/>
        </w:rPr>
        <w:t>A</w:t>
      </w:r>
      <w:r w:rsidR="00482E4D" w:rsidRPr="003B337F">
        <w:rPr>
          <w:rFonts w:cs="Times New Roman"/>
        </w:rPr>
        <w:t xml:space="preserve">ccording to the definition from </w:t>
      </w:r>
      <w:r w:rsidR="009675E0" w:rsidRPr="003B337F">
        <w:rPr>
          <w:rFonts w:cs="Times New Roman"/>
        </w:rPr>
        <w:t>Mitchell et al. (1997</w:t>
      </w:r>
      <w:proofErr w:type="gramStart"/>
      <w:r w:rsidR="009675E0" w:rsidRPr="003B337F">
        <w:rPr>
          <w:rFonts w:cs="Times New Roman"/>
        </w:rPr>
        <w:t>)</w:t>
      </w:r>
      <w:r w:rsidRPr="003B337F">
        <w:rPr>
          <w:rFonts w:cs="Times New Roman"/>
        </w:rPr>
        <w:t xml:space="preserve"> </w:t>
      </w:r>
      <w:r w:rsidR="009675E0" w:rsidRPr="003B337F">
        <w:rPr>
          <w:rFonts w:cs="Times New Roman"/>
        </w:rPr>
        <w:t>)</w:t>
      </w:r>
      <w:proofErr w:type="gramEnd"/>
      <w:r w:rsidR="00186F26">
        <w:rPr>
          <w:rFonts w:cs="Times New Roman"/>
        </w:rPr>
        <w:t xml:space="preserve"> </w:t>
      </w:r>
      <w:r w:rsidRPr="003B337F">
        <w:rPr>
          <w:rFonts w:cs="Times New Roman"/>
        </w:rPr>
        <w:t>can influence the decision-making process during strategy formulation</w:t>
      </w:r>
      <w:r w:rsidR="00A5450C" w:rsidRPr="003B337F">
        <w:rPr>
          <w:rFonts w:cs="Times New Roman"/>
        </w:rPr>
        <w:t xml:space="preserve"> (</w:t>
      </w:r>
      <w:r w:rsidR="00A5450C" w:rsidRPr="003B337F">
        <w:rPr>
          <w:rFonts w:cs="Times New Roman"/>
        </w:rPr>
        <w:fldChar w:fldCharType="begin"/>
      </w:r>
      <w:r w:rsidR="00A5450C" w:rsidRPr="003B337F">
        <w:rPr>
          <w:rFonts w:cs="Times New Roman"/>
        </w:rPr>
        <w:instrText xml:space="preserve"> REF _Ref45018199 \h </w:instrText>
      </w:r>
      <w:r w:rsidR="003B337F">
        <w:rPr>
          <w:rFonts w:cs="Times New Roman"/>
        </w:rPr>
        <w:instrText xml:space="preserve"> \* MERGEFORMAT </w:instrText>
      </w:r>
      <w:r w:rsidR="00A5450C" w:rsidRPr="003B337F">
        <w:rPr>
          <w:rFonts w:cs="Times New Roman"/>
        </w:rPr>
      </w:r>
      <w:r w:rsidR="00A5450C" w:rsidRPr="003B337F">
        <w:rPr>
          <w:rFonts w:cs="Times New Roman"/>
        </w:rPr>
        <w:fldChar w:fldCharType="separate"/>
      </w:r>
      <w:r w:rsidR="0005064B">
        <w:rPr>
          <w:rFonts w:cs="Times New Roman"/>
        </w:rPr>
        <w:t>Table</w:t>
      </w:r>
      <w:r w:rsidR="0005064B" w:rsidRPr="008A469F">
        <w:rPr>
          <w:rFonts w:cs="Times New Roman"/>
        </w:rPr>
        <w:t xml:space="preserve"> </w:t>
      </w:r>
      <w:r w:rsidR="0005064B">
        <w:rPr>
          <w:rFonts w:cs="Times New Roman"/>
        </w:rPr>
        <w:t>5</w:t>
      </w:r>
      <w:r w:rsidR="0005064B">
        <w:rPr>
          <w:rFonts w:cs="Times New Roman"/>
        </w:rPr>
        <w:noBreakHyphen/>
        <w:t>10</w:t>
      </w:r>
      <w:r w:rsidR="00A5450C" w:rsidRPr="003B337F">
        <w:rPr>
          <w:rFonts w:cs="Times New Roman"/>
        </w:rPr>
        <w:fldChar w:fldCharType="end"/>
      </w:r>
      <w:r w:rsidR="00A5450C" w:rsidRPr="003B337F">
        <w:rPr>
          <w:rFonts w:cs="Times New Roman"/>
        </w:rPr>
        <w:t>)</w:t>
      </w:r>
      <w:r w:rsidRPr="003B337F">
        <w:rPr>
          <w:rFonts w:cs="Times New Roman"/>
        </w:rPr>
        <w:t xml:space="preserve">. The leadership of </w:t>
      </w:r>
      <w:r w:rsidR="000F5911" w:rsidRPr="003B337F">
        <w:rPr>
          <w:rFonts w:cs="Times New Roman"/>
        </w:rPr>
        <w:t>definitive</w:t>
      </w:r>
      <w:r w:rsidRPr="003B337F">
        <w:rPr>
          <w:rFonts w:cs="Times New Roman"/>
        </w:rPr>
        <w:t xml:space="preserve"> stakeholders could make the sustainable development model of </w:t>
      </w:r>
      <w:r w:rsidR="008D33C4">
        <w:rPr>
          <w:rFonts w:cs="Times New Roman"/>
        </w:rPr>
        <w:t xml:space="preserve">a </w:t>
      </w:r>
      <w:r w:rsidRPr="003B337F">
        <w:rPr>
          <w:rFonts w:cs="Times New Roman"/>
        </w:rPr>
        <w:t xml:space="preserve">UCC match their request and interest; thereby, the UCC can enjoy long-term sustainability with their support. </w:t>
      </w:r>
    </w:p>
    <w:tbl>
      <w:tblPr>
        <w:tblStyle w:val="TableGrid"/>
        <w:tblW w:w="5000" w:type="pct"/>
        <w:tblLook w:val="04A0" w:firstRow="1" w:lastRow="0" w:firstColumn="1" w:lastColumn="0" w:noHBand="0" w:noVBand="1"/>
      </w:tblPr>
      <w:tblGrid>
        <w:gridCol w:w="1476"/>
        <w:gridCol w:w="3380"/>
        <w:gridCol w:w="2793"/>
        <w:gridCol w:w="1367"/>
      </w:tblGrid>
      <w:tr w:rsidR="008A469F" w:rsidRPr="008A469F" w14:paraId="0BCE7308" w14:textId="77777777" w:rsidTr="009B4A1D">
        <w:tc>
          <w:tcPr>
            <w:tcW w:w="818" w:type="pct"/>
          </w:tcPr>
          <w:p w14:paraId="32F2F7FE" w14:textId="77777777" w:rsidR="00656367" w:rsidRPr="008A469F" w:rsidRDefault="00656367" w:rsidP="00953CEC">
            <w:pPr>
              <w:spacing w:line="240" w:lineRule="auto"/>
              <w:jc w:val="center"/>
              <w:rPr>
                <w:rFonts w:cs="Times New Roman"/>
                <w:b/>
                <w:bCs/>
              </w:rPr>
            </w:pPr>
            <w:r w:rsidRPr="008A469F">
              <w:rPr>
                <w:rFonts w:cs="Times New Roman"/>
                <w:b/>
                <w:bCs/>
              </w:rPr>
              <w:t>Project</w:t>
            </w:r>
          </w:p>
        </w:tc>
        <w:tc>
          <w:tcPr>
            <w:tcW w:w="1874" w:type="pct"/>
          </w:tcPr>
          <w:p w14:paraId="2E20A15E" w14:textId="2331FAB1" w:rsidR="00656367" w:rsidRPr="008A469F" w:rsidRDefault="009B4A1D" w:rsidP="00953CEC">
            <w:pPr>
              <w:spacing w:line="240" w:lineRule="auto"/>
              <w:jc w:val="center"/>
              <w:rPr>
                <w:rFonts w:cs="Times New Roman"/>
                <w:b/>
                <w:bCs/>
              </w:rPr>
            </w:pPr>
            <w:r w:rsidRPr="008A469F">
              <w:rPr>
                <w:rFonts w:cs="Times New Roman"/>
                <w:b/>
                <w:bCs/>
              </w:rPr>
              <w:t>Definitive</w:t>
            </w:r>
            <w:r w:rsidR="00656367" w:rsidRPr="008A469F">
              <w:rPr>
                <w:rFonts w:cs="Times New Roman"/>
                <w:b/>
                <w:bCs/>
              </w:rPr>
              <w:t xml:space="preserve"> stakeholders</w:t>
            </w:r>
          </w:p>
        </w:tc>
        <w:tc>
          <w:tcPr>
            <w:tcW w:w="1549" w:type="pct"/>
          </w:tcPr>
          <w:p w14:paraId="34DB61AD" w14:textId="77777777" w:rsidR="00656367" w:rsidRPr="008A469F" w:rsidRDefault="00656367" w:rsidP="00953CEC">
            <w:pPr>
              <w:spacing w:line="240" w:lineRule="auto"/>
              <w:jc w:val="center"/>
              <w:rPr>
                <w:rFonts w:cs="Times New Roman"/>
                <w:b/>
                <w:bCs/>
              </w:rPr>
            </w:pPr>
            <w:r w:rsidRPr="008A469F">
              <w:rPr>
                <w:rFonts w:cs="Times New Roman"/>
                <w:b/>
                <w:bCs/>
              </w:rPr>
              <w:t>Role in the network</w:t>
            </w:r>
          </w:p>
        </w:tc>
        <w:tc>
          <w:tcPr>
            <w:tcW w:w="758" w:type="pct"/>
          </w:tcPr>
          <w:p w14:paraId="5F3EEB1C" w14:textId="77777777" w:rsidR="00656367" w:rsidRPr="008A469F" w:rsidRDefault="00656367" w:rsidP="00953CEC">
            <w:pPr>
              <w:spacing w:line="240" w:lineRule="auto"/>
              <w:jc w:val="center"/>
              <w:rPr>
                <w:rFonts w:cs="Times New Roman"/>
                <w:b/>
                <w:bCs/>
              </w:rPr>
            </w:pPr>
            <w:r w:rsidRPr="008A469F">
              <w:rPr>
                <w:rFonts w:cs="Times New Roman"/>
                <w:b/>
                <w:bCs/>
              </w:rPr>
              <w:t>Property</w:t>
            </w:r>
          </w:p>
        </w:tc>
      </w:tr>
      <w:tr w:rsidR="008A469F" w:rsidRPr="008A469F" w14:paraId="23D611A5" w14:textId="77777777" w:rsidTr="00953CEC">
        <w:trPr>
          <w:trHeight w:val="325"/>
        </w:trPr>
        <w:tc>
          <w:tcPr>
            <w:tcW w:w="818" w:type="pct"/>
            <w:vMerge w:val="restart"/>
            <w:vAlign w:val="center"/>
          </w:tcPr>
          <w:p w14:paraId="0A1FB5ED" w14:textId="77777777" w:rsidR="00656367" w:rsidRPr="008A469F" w:rsidRDefault="00656367" w:rsidP="00953CEC">
            <w:pPr>
              <w:spacing w:line="240" w:lineRule="auto"/>
              <w:jc w:val="left"/>
              <w:rPr>
                <w:rFonts w:cs="Times New Roman"/>
              </w:rPr>
            </w:pPr>
            <w:r w:rsidRPr="008A469F">
              <w:rPr>
                <w:rFonts w:cs="Times New Roman"/>
              </w:rPr>
              <w:t>SCUCC</w:t>
            </w:r>
          </w:p>
        </w:tc>
        <w:tc>
          <w:tcPr>
            <w:tcW w:w="1874" w:type="pct"/>
            <w:vAlign w:val="center"/>
          </w:tcPr>
          <w:p w14:paraId="7D930B87" w14:textId="77777777" w:rsidR="00656367" w:rsidRPr="008A469F" w:rsidRDefault="00656367" w:rsidP="00953CEC">
            <w:pPr>
              <w:spacing w:line="240" w:lineRule="auto"/>
              <w:jc w:val="center"/>
              <w:rPr>
                <w:rFonts w:cs="Times New Roman"/>
              </w:rPr>
            </w:pPr>
            <w:r w:rsidRPr="008A469F">
              <w:rPr>
                <w:rFonts w:cs="Times New Roman"/>
              </w:rPr>
              <w:t>Logistics company</w:t>
            </w:r>
          </w:p>
        </w:tc>
        <w:tc>
          <w:tcPr>
            <w:tcW w:w="1549" w:type="pct"/>
            <w:vAlign w:val="center"/>
          </w:tcPr>
          <w:p w14:paraId="0D2E305C" w14:textId="77777777" w:rsidR="00656367" w:rsidRPr="008A469F" w:rsidRDefault="00656367" w:rsidP="00953CEC">
            <w:pPr>
              <w:spacing w:line="240" w:lineRule="auto"/>
              <w:jc w:val="center"/>
              <w:rPr>
                <w:rFonts w:cs="Times New Roman"/>
              </w:rPr>
            </w:pPr>
            <w:r w:rsidRPr="008A469F">
              <w:rPr>
                <w:rFonts w:cs="Times New Roman"/>
              </w:rPr>
              <w:t>Intercity carrier</w:t>
            </w:r>
          </w:p>
        </w:tc>
        <w:tc>
          <w:tcPr>
            <w:tcW w:w="758" w:type="pct"/>
            <w:vMerge w:val="restart"/>
            <w:vAlign w:val="center"/>
          </w:tcPr>
          <w:p w14:paraId="4001E5B4" w14:textId="77777777" w:rsidR="00656367" w:rsidRPr="008A469F" w:rsidRDefault="00656367" w:rsidP="00953CEC">
            <w:pPr>
              <w:spacing w:line="240" w:lineRule="auto"/>
              <w:jc w:val="center"/>
              <w:rPr>
                <w:rFonts w:cs="Times New Roman"/>
              </w:rPr>
            </w:pPr>
            <w:r w:rsidRPr="008A469F">
              <w:rPr>
                <w:rFonts w:cs="Times New Roman"/>
              </w:rPr>
              <w:t>Private</w:t>
            </w:r>
          </w:p>
        </w:tc>
      </w:tr>
      <w:tr w:rsidR="008A469F" w:rsidRPr="008A469F" w14:paraId="3033FBE1" w14:textId="77777777" w:rsidTr="00953CEC">
        <w:trPr>
          <w:trHeight w:val="259"/>
        </w:trPr>
        <w:tc>
          <w:tcPr>
            <w:tcW w:w="818" w:type="pct"/>
            <w:vMerge/>
            <w:vAlign w:val="center"/>
          </w:tcPr>
          <w:p w14:paraId="666FA5F4" w14:textId="77777777" w:rsidR="00656367" w:rsidRPr="008A469F" w:rsidRDefault="00656367" w:rsidP="00953CEC">
            <w:pPr>
              <w:spacing w:line="240" w:lineRule="auto"/>
              <w:jc w:val="left"/>
              <w:rPr>
                <w:rFonts w:cs="Times New Roman"/>
              </w:rPr>
            </w:pPr>
          </w:p>
        </w:tc>
        <w:tc>
          <w:tcPr>
            <w:tcW w:w="1874" w:type="pct"/>
            <w:vAlign w:val="center"/>
          </w:tcPr>
          <w:p w14:paraId="643E78A0" w14:textId="77777777" w:rsidR="00656367" w:rsidRPr="008A469F" w:rsidRDefault="00656367" w:rsidP="00953CEC">
            <w:pPr>
              <w:spacing w:line="240" w:lineRule="auto"/>
              <w:jc w:val="center"/>
              <w:rPr>
                <w:rFonts w:cs="Times New Roman"/>
              </w:rPr>
            </w:pPr>
            <w:r w:rsidRPr="008A469F">
              <w:rPr>
                <w:rFonts w:cs="Times New Roman"/>
              </w:rPr>
              <w:t>Waste collection company</w:t>
            </w:r>
          </w:p>
        </w:tc>
        <w:tc>
          <w:tcPr>
            <w:tcW w:w="1549" w:type="pct"/>
            <w:vAlign w:val="center"/>
          </w:tcPr>
          <w:p w14:paraId="4BA67D0C" w14:textId="77777777" w:rsidR="00656367" w:rsidRPr="008A469F" w:rsidRDefault="00656367" w:rsidP="00953CEC">
            <w:pPr>
              <w:spacing w:line="240" w:lineRule="auto"/>
              <w:jc w:val="center"/>
              <w:rPr>
                <w:rFonts w:cs="Times New Roman"/>
              </w:rPr>
            </w:pPr>
            <w:r w:rsidRPr="008A469F">
              <w:rPr>
                <w:rFonts w:cs="Times New Roman"/>
              </w:rPr>
              <w:t>Facility operator</w:t>
            </w:r>
          </w:p>
        </w:tc>
        <w:tc>
          <w:tcPr>
            <w:tcW w:w="758" w:type="pct"/>
            <w:vMerge/>
            <w:vAlign w:val="center"/>
          </w:tcPr>
          <w:p w14:paraId="4D1816EA" w14:textId="77777777" w:rsidR="00656367" w:rsidRPr="008A469F" w:rsidRDefault="00656367" w:rsidP="00953CEC">
            <w:pPr>
              <w:spacing w:line="240" w:lineRule="auto"/>
              <w:jc w:val="center"/>
              <w:rPr>
                <w:rFonts w:cs="Times New Roman"/>
              </w:rPr>
            </w:pPr>
          </w:p>
        </w:tc>
      </w:tr>
      <w:tr w:rsidR="008A469F" w:rsidRPr="008A469F" w14:paraId="4E5E4422" w14:textId="77777777" w:rsidTr="00953CEC">
        <w:trPr>
          <w:trHeight w:val="363"/>
        </w:trPr>
        <w:tc>
          <w:tcPr>
            <w:tcW w:w="818" w:type="pct"/>
            <w:vAlign w:val="center"/>
          </w:tcPr>
          <w:p w14:paraId="5552BDA7" w14:textId="77777777" w:rsidR="00656367" w:rsidRPr="008A469F" w:rsidRDefault="00656367" w:rsidP="00953CEC">
            <w:pPr>
              <w:spacing w:line="240" w:lineRule="auto"/>
              <w:jc w:val="left"/>
              <w:rPr>
                <w:rFonts w:cs="Times New Roman"/>
              </w:rPr>
            </w:pPr>
            <w:r w:rsidRPr="008A469F">
              <w:rPr>
                <w:rFonts w:cs="Times New Roman"/>
              </w:rPr>
              <w:t>RSUCC</w:t>
            </w:r>
          </w:p>
        </w:tc>
        <w:tc>
          <w:tcPr>
            <w:tcW w:w="1874" w:type="pct"/>
            <w:vAlign w:val="center"/>
          </w:tcPr>
          <w:p w14:paraId="6242A47B" w14:textId="77777777" w:rsidR="00656367" w:rsidRPr="008A469F" w:rsidRDefault="00656367" w:rsidP="00953CEC">
            <w:pPr>
              <w:spacing w:line="240" w:lineRule="auto"/>
              <w:jc w:val="center"/>
              <w:rPr>
                <w:rFonts w:cs="Times New Roman"/>
              </w:rPr>
            </w:pPr>
            <w:r w:rsidRPr="008A469F">
              <w:rPr>
                <w:rFonts w:cs="Times New Roman"/>
              </w:rPr>
              <w:t>Office of Royal Seaport</w:t>
            </w:r>
          </w:p>
        </w:tc>
        <w:tc>
          <w:tcPr>
            <w:tcW w:w="1549" w:type="pct"/>
            <w:vAlign w:val="center"/>
          </w:tcPr>
          <w:p w14:paraId="31ACE358" w14:textId="77777777" w:rsidR="00656367" w:rsidRPr="008A469F" w:rsidRDefault="00656367" w:rsidP="00953CEC">
            <w:pPr>
              <w:spacing w:line="240" w:lineRule="auto"/>
              <w:jc w:val="center"/>
              <w:rPr>
                <w:rFonts w:cs="Times New Roman"/>
              </w:rPr>
            </w:pPr>
            <w:r w:rsidRPr="008A469F">
              <w:rPr>
                <w:rFonts w:cs="Times New Roman"/>
              </w:rPr>
              <w:t>Government</w:t>
            </w:r>
          </w:p>
        </w:tc>
        <w:tc>
          <w:tcPr>
            <w:tcW w:w="758" w:type="pct"/>
            <w:vAlign w:val="center"/>
          </w:tcPr>
          <w:p w14:paraId="509A6695" w14:textId="77777777" w:rsidR="00656367" w:rsidRPr="008A469F" w:rsidRDefault="00656367" w:rsidP="00953CEC">
            <w:pPr>
              <w:spacing w:line="240" w:lineRule="auto"/>
              <w:jc w:val="center"/>
              <w:rPr>
                <w:rFonts w:cs="Times New Roman"/>
              </w:rPr>
            </w:pPr>
            <w:r w:rsidRPr="008A469F">
              <w:rPr>
                <w:rFonts w:cs="Times New Roman"/>
              </w:rPr>
              <w:t>Public</w:t>
            </w:r>
          </w:p>
        </w:tc>
      </w:tr>
      <w:tr w:rsidR="008A469F" w:rsidRPr="008A469F" w14:paraId="2CC0F659" w14:textId="77777777" w:rsidTr="00953CEC">
        <w:tc>
          <w:tcPr>
            <w:tcW w:w="818" w:type="pct"/>
            <w:vAlign w:val="center"/>
          </w:tcPr>
          <w:p w14:paraId="1168BCAC" w14:textId="77777777" w:rsidR="00656367" w:rsidRPr="008A469F" w:rsidRDefault="00656367" w:rsidP="00953CEC">
            <w:pPr>
              <w:spacing w:line="240" w:lineRule="auto"/>
              <w:jc w:val="left"/>
              <w:rPr>
                <w:rFonts w:cs="Times New Roman"/>
              </w:rPr>
            </w:pPr>
            <w:r w:rsidRPr="008A469F">
              <w:rPr>
                <w:rFonts w:cs="Times New Roman"/>
              </w:rPr>
              <w:t>CAUCC</w:t>
            </w:r>
          </w:p>
        </w:tc>
        <w:tc>
          <w:tcPr>
            <w:tcW w:w="1874" w:type="pct"/>
            <w:vAlign w:val="center"/>
          </w:tcPr>
          <w:p w14:paraId="7A1AD0AC" w14:textId="77777777" w:rsidR="00656367" w:rsidRPr="008A469F" w:rsidRDefault="00656367" w:rsidP="00953CEC">
            <w:pPr>
              <w:spacing w:line="240" w:lineRule="auto"/>
              <w:jc w:val="center"/>
              <w:rPr>
                <w:rFonts w:cs="Times New Roman"/>
              </w:rPr>
            </w:pPr>
            <w:r w:rsidRPr="008A469F">
              <w:rPr>
                <w:rFonts w:cs="Times New Roman"/>
              </w:rPr>
              <w:t>Pharmacy company</w:t>
            </w:r>
          </w:p>
        </w:tc>
        <w:tc>
          <w:tcPr>
            <w:tcW w:w="1549" w:type="pct"/>
            <w:vAlign w:val="center"/>
          </w:tcPr>
          <w:p w14:paraId="71C44D8B" w14:textId="77777777" w:rsidR="00656367" w:rsidRPr="008A469F" w:rsidRDefault="00656367" w:rsidP="00953CEC">
            <w:pPr>
              <w:spacing w:line="240" w:lineRule="auto"/>
              <w:jc w:val="center"/>
              <w:rPr>
                <w:rFonts w:cs="Times New Roman"/>
              </w:rPr>
            </w:pPr>
            <w:r w:rsidRPr="008A469F">
              <w:rPr>
                <w:rFonts w:cs="Times New Roman"/>
              </w:rPr>
              <w:t>Supplier</w:t>
            </w:r>
          </w:p>
        </w:tc>
        <w:tc>
          <w:tcPr>
            <w:tcW w:w="758" w:type="pct"/>
            <w:vAlign w:val="center"/>
          </w:tcPr>
          <w:p w14:paraId="12DFBF77" w14:textId="77777777" w:rsidR="00656367" w:rsidRPr="008A469F" w:rsidRDefault="00656367" w:rsidP="00953CEC">
            <w:pPr>
              <w:spacing w:line="240" w:lineRule="auto"/>
              <w:jc w:val="center"/>
              <w:rPr>
                <w:rFonts w:cs="Times New Roman"/>
              </w:rPr>
            </w:pPr>
            <w:r w:rsidRPr="008A469F">
              <w:rPr>
                <w:rFonts w:cs="Times New Roman"/>
              </w:rPr>
              <w:t>Private</w:t>
            </w:r>
          </w:p>
        </w:tc>
      </w:tr>
      <w:tr w:rsidR="008A469F" w:rsidRPr="008A469F" w14:paraId="4F438C74" w14:textId="77777777" w:rsidTr="00953CEC">
        <w:tc>
          <w:tcPr>
            <w:tcW w:w="818" w:type="pct"/>
            <w:vAlign w:val="center"/>
          </w:tcPr>
          <w:p w14:paraId="01B77E11" w14:textId="77777777" w:rsidR="00656367" w:rsidRPr="008A469F" w:rsidRDefault="00656367" w:rsidP="00953CEC">
            <w:pPr>
              <w:spacing w:line="240" w:lineRule="auto"/>
              <w:jc w:val="left"/>
              <w:rPr>
                <w:rFonts w:cs="Times New Roman"/>
              </w:rPr>
            </w:pPr>
            <w:r w:rsidRPr="008A469F">
              <w:rPr>
                <w:rFonts w:cs="Times New Roman"/>
              </w:rPr>
              <w:t>CBUCC</w:t>
            </w:r>
          </w:p>
        </w:tc>
        <w:tc>
          <w:tcPr>
            <w:tcW w:w="1874" w:type="pct"/>
            <w:vAlign w:val="center"/>
          </w:tcPr>
          <w:p w14:paraId="776BFB75" w14:textId="77777777" w:rsidR="00656367" w:rsidRPr="008A469F" w:rsidRDefault="00656367" w:rsidP="00953CEC">
            <w:pPr>
              <w:spacing w:line="240" w:lineRule="auto"/>
              <w:jc w:val="center"/>
              <w:rPr>
                <w:rFonts w:cs="Times New Roman"/>
              </w:rPr>
            </w:pPr>
            <w:r w:rsidRPr="008A469F">
              <w:rPr>
                <w:rFonts w:cs="Times New Roman"/>
              </w:rPr>
              <w:t>Logistics company</w:t>
            </w:r>
          </w:p>
        </w:tc>
        <w:tc>
          <w:tcPr>
            <w:tcW w:w="1549" w:type="pct"/>
            <w:vAlign w:val="center"/>
          </w:tcPr>
          <w:p w14:paraId="049ABAEF" w14:textId="77777777" w:rsidR="00656367" w:rsidRPr="008A469F" w:rsidRDefault="00656367" w:rsidP="00953CEC">
            <w:pPr>
              <w:spacing w:line="240" w:lineRule="auto"/>
              <w:jc w:val="center"/>
              <w:rPr>
                <w:rFonts w:cs="Times New Roman"/>
              </w:rPr>
            </w:pPr>
            <w:r w:rsidRPr="008A469F">
              <w:rPr>
                <w:rFonts w:cs="Times New Roman"/>
              </w:rPr>
              <w:t>UCC investor</w:t>
            </w:r>
          </w:p>
        </w:tc>
        <w:tc>
          <w:tcPr>
            <w:tcW w:w="758" w:type="pct"/>
            <w:vAlign w:val="center"/>
          </w:tcPr>
          <w:p w14:paraId="3F021DF1" w14:textId="77777777" w:rsidR="00656367" w:rsidRPr="008A469F" w:rsidRDefault="00656367" w:rsidP="00953CEC">
            <w:pPr>
              <w:spacing w:line="240" w:lineRule="auto"/>
              <w:jc w:val="center"/>
              <w:rPr>
                <w:rFonts w:cs="Times New Roman"/>
              </w:rPr>
            </w:pPr>
            <w:r w:rsidRPr="008A469F">
              <w:rPr>
                <w:rFonts w:cs="Times New Roman"/>
              </w:rPr>
              <w:t>Private</w:t>
            </w:r>
          </w:p>
        </w:tc>
      </w:tr>
    </w:tbl>
    <w:p w14:paraId="6D70192D" w14:textId="78CCDC80" w:rsidR="00656367" w:rsidRPr="008A469F" w:rsidRDefault="007B5959" w:rsidP="00014014">
      <w:pPr>
        <w:pStyle w:val="Caption"/>
        <w:spacing w:line="360" w:lineRule="auto"/>
        <w:rPr>
          <w:rFonts w:cs="Times New Roman"/>
          <w:color w:val="auto"/>
        </w:rPr>
      </w:pPr>
      <w:bookmarkStart w:id="857" w:name="_Ref45018199"/>
      <w:bookmarkStart w:id="858" w:name="_Toc46053576"/>
      <w:bookmarkStart w:id="859" w:name="_Toc46093825"/>
      <w:bookmarkStart w:id="860" w:name="_Toc66698792"/>
      <w:r>
        <w:rPr>
          <w:rFonts w:cs="Times New Roman"/>
          <w:color w:val="auto"/>
        </w:rPr>
        <w:t>Table</w:t>
      </w:r>
      <w:r w:rsidR="00656367" w:rsidRPr="008A469F">
        <w:rPr>
          <w:rFonts w:cs="Times New Roman"/>
          <w:color w:val="auto"/>
        </w:rPr>
        <w:t xml:space="preserve"> </w:t>
      </w:r>
      <w:r w:rsidR="00FE10DA">
        <w:rPr>
          <w:rFonts w:cs="Times New Roman"/>
          <w:color w:val="auto"/>
        </w:rPr>
        <w:fldChar w:fldCharType="begin"/>
      </w:r>
      <w:r w:rsidR="00FE10DA">
        <w:rPr>
          <w:rFonts w:cs="Times New Roman"/>
          <w:color w:val="auto"/>
        </w:rPr>
        <w:instrText xml:space="preserve"> STYLEREF 1 \s </w:instrText>
      </w:r>
      <w:r w:rsidR="00FE10DA">
        <w:rPr>
          <w:rFonts w:cs="Times New Roman"/>
          <w:color w:val="auto"/>
        </w:rPr>
        <w:fldChar w:fldCharType="separate"/>
      </w:r>
      <w:r w:rsidR="0005064B">
        <w:rPr>
          <w:rFonts w:cs="Times New Roman"/>
          <w:noProof/>
          <w:color w:val="auto"/>
        </w:rPr>
        <w:t>5</w:t>
      </w:r>
      <w:r w:rsidR="00FE10DA">
        <w:rPr>
          <w:rFonts w:cs="Times New Roman"/>
          <w:color w:val="auto"/>
        </w:rPr>
        <w:fldChar w:fldCharType="end"/>
      </w:r>
      <w:r w:rsidR="00FE10DA">
        <w:rPr>
          <w:rFonts w:cs="Times New Roman"/>
          <w:color w:val="auto"/>
        </w:rPr>
        <w:noBreakHyphen/>
      </w:r>
      <w:r w:rsidR="00FE10DA">
        <w:rPr>
          <w:rFonts w:cs="Times New Roman"/>
          <w:color w:val="auto"/>
        </w:rPr>
        <w:fldChar w:fldCharType="begin"/>
      </w:r>
      <w:r w:rsidR="00FE10DA">
        <w:rPr>
          <w:rFonts w:cs="Times New Roman"/>
          <w:color w:val="auto"/>
        </w:rPr>
        <w:instrText xml:space="preserve"> SEQ Table \* ARABIC \s 1 </w:instrText>
      </w:r>
      <w:r w:rsidR="00FE10DA">
        <w:rPr>
          <w:rFonts w:cs="Times New Roman"/>
          <w:color w:val="auto"/>
        </w:rPr>
        <w:fldChar w:fldCharType="separate"/>
      </w:r>
      <w:r w:rsidR="0005064B">
        <w:rPr>
          <w:rFonts w:cs="Times New Roman"/>
          <w:noProof/>
          <w:color w:val="auto"/>
        </w:rPr>
        <w:t>10</w:t>
      </w:r>
      <w:r w:rsidR="00FE10DA">
        <w:rPr>
          <w:rFonts w:cs="Times New Roman"/>
          <w:color w:val="auto"/>
        </w:rPr>
        <w:fldChar w:fldCharType="end"/>
      </w:r>
      <w:bookmarkEnd w:id="857"/>
      <w:r w:rsidR="006F4589">
        <w:rPr>
          <w:rFonts w:cs="Times New Roman"/>
          <w:color w:val="auto"/>
        </w:rPr>
        <w:t>:</w:t>
      </w:r>
      <w:r w:rsidR="00656367" w:rsidRPr="008A469F">
        <w:rPr>
          <w:rFonts w:cs="Times New Roman"/>
          <w:color w:val="auto"/>
        </w:rPr>
        <w:t xml:space="preserve"> Business benefits and issues in urban consolidation centres (UCCs)</w:t>
      </w:r>
      <w:bookmarkEnd w:id="858"/>
      <w:bookmarkEnd w:id="859"/>
      <w:bookmarkEnd w:id="860"/>
    </w:p>
    <w:p w14:paraId="34374E59" w14:textId="27A1C709" w:rsidR="00656367" w:rsidRPr="00802DC5" w:rsidRDefault="00656367" w:rsidP="00014014">
      <w:pPr>
        <w:spacing w:after="240" w:line="360" w:lineRule="auto"/>
        <w:rPr>
          <w:rFonts w:cs="Times New Roman"/>
        </w:rPr>
      </w:pPr>
      <w:r w:rsidRPr="00802DC5">
        <w:rPr>
          <w:rFonts w:cs="Times New Roman"/>
        </w:rPr>
        <w:t xml:space="preserve">The local authority is the </w:t>
      </w:r>
      <w:r w:rsidR="008A469F" w:rsidRPr="003B337F">
        <w:rPr>
          <w:rFonts w:cs="Times New Roman"/>
        </w:rPr>
        <w:t>definitive</w:t>
      </w:r>
      <w:r w:rsidRPr="00802DC5">
        <w:rPr>
          <w:rFonts w:cs="Times New Roman"/>
        </w:rPr>
        <w:t xml:space="preserve"> stakeholder in the RSUCC </w:t>
      </w:r>
      <w:r w:rsidR="00A5450C" w:rsidRPr="00802DC5">
        <w:rPr>
          <w:rFonts w:cs="Times New Roman"/>
        </w:rPr>
        <w:t>project,</w:t>
      </w:r>
      <w:r w:rsidRPr="00802DC5">
        <w:rPr>
          <w:rFonts w:cs="Times New Roman"/>
        </w:rPr>
        <w:t xml:space="preserve"> and it supplies all resources to the project. The local authority expects the facility to improve the environment in the service area, thus the environmental benefits are prioritised over the benefits of other dimensions (</w:t>
      </w:r>
      <w:r w:rsidR="001C02EB">
        <w:rPr>
          <w:rFonts w:cs="Times New Roman"/>
        </w:rPr>
        <w:fldChar w:fldCharType="begin"/>
      </w:r>
      <w:r w:rsidR="001C02EB">
        <w:rPr>
          <w:rFonts w:cs="Times New Roman"/>
        </w:rPr>
        <w:instrText xml:space="preserve"> REF _Ref45017833 \h </w:instrText>
      </w:r>
      <w:r w:rsidR="001C02EB">
        <w:rPr>
          <w:rFonts w:cs="Times New Roman"/>
        </w:rPr>
      </w:r>
      <w:r w:rsidR="001C02EB">
        <w:rPr>
          <w:rFonts w:cs="Times New Roman"/>
        </w:rPr>
        <w:fldChar w:fldCharType="separate"/>
      </w:r>
      <w:r w:rsidR="0005064B" w:rsidRPr="008903D1">
        <w:rPr>
          <w:rFonts w:cs="Times New Roman"/>
        </w:rPr>
        <w:t xml:space="preserve">Figure </w:t>
      </w:r>
      <w:r w:rsidR="0005064B">
        <w:rPr>
          <w:rFonts w:cs="Times New Roman"/>
          <w:noProof/>
        </w:rPr>
        <w:t>5</w:t>
      </w:r>
      <w:r w:rsidR="0005064B">
        <w:rPr>
          <w:rFonts w:cs="Times New Roman"/>
        </w:rPr>
        <w:noBreakHyphen/>
      </w:r>
      <w:r w:rsidR="0005064B">
        <w:rPr>
          <w:rFonts w:cs="Times New Roman"/>
          <w:noProof/>
        </w:rPr>
        <w:t>14</w:t>
      </w:r>
      <w:r w:rsidR="001C02EB">
        <w:rPr>
          <w:rFonts w:cs="Times New Roman"/>
        </w:rPr>
        <w:fldChar w:fldCharType="end"/>
      </w:r>
      <w:r w:rsidRPr="008903D1">
        <w:rPr>
          <w:rFonts w:cs="Times New Roman"/>
        </w:rPr>
        <w:t xml:space="preserve">-B). However, planners have </w:t>
      </w:r>
      <w:r w:rsidRPr="00737239">
        <w:rPr>
          <w:rFonts w:cs="Times New Roman"/>
        </w:rPr>
        <w:t>sacrificed</w:t>
      </w:r>
      <w:r w:rsidR="000323E1">
        <w:rPr>
          <w:rFonts w:cs="Times New Roman"/>
        </w:rPr>
        <w:t xml:space="preserve"> their</w:t>
      </w:r>
      <w:r w:rsidRPr="00737239">
        <w:rPr>
          <w:rFonts w:cs="Times New Roman"/>
        </w:rPr>
        <w:t xml:space="preserve"> profitability. The local authority believes that the best financial situation for the facility is </w:t>
      </w:r>
      <w:proofErr w:type="gramStart"/>
      <w:r w:rsidRPr="00737239">
        <w:rPr>
          <w:rFonts w:cs="Times New Roman"/>
        </w:rPr>
        <w:t>to</w:t>
      </w:r>
      <w:proofErr w:type="gramEnd"/>
      <w:r w:rsidRPr="00737239">
        <w:rPr>
          <w:rFonts w:cs="Times New Roman"/>
        </w:rPr>
        <w:t xml:space="preserve"> break-even. A profitable UCC can lead to high service fees, signific</w:t>
      </w:r>
      <w:r w:rsidRPr="00802DC5">
        <w:rPr>
          <w:rFonts w:cs="Times New Roman"/>
        </w:rPr>
        <w:t>antly increasing users’ expenditure. The local authority also believes that a low service charge could attract more users to the project. For these reasons, public authority receives no financial rewards. However, due to public support, all other participants (as shown in</w:t>
      </w:r>
      <w:r w:rsidR="001C02EB">
        <w:rPr>
          <w:rFonts w:cs="Times New Roman"/>
        </w:rPr>
        <w:t xml:space="preserve"> </w:t>
      </w:r>
      <w:r w:rsidR="001C02EB">
        <w:rPr>
          <w:rFonts w:cs="Times New Roman"/>
        </w:rPr>
        <w:fldChar w:fldCharType="begin"/>
      </w:r>
      <w:r w:rsidR="001C02EB">
        <w:rPr>
          <w:rFonts w:cs="Times New Roman"/>
        </w:rPr>
        <w:instrText xml:space="preserve"> REF _Ref45017833 \h </w:instrText>
      </w:r>
      <w:r w:rsidR="001C02EB">
        <w:rPr>
          <w:rFonts w:cs="Times New Roman"/>
        </w:rPr>
      </w:r>
      <w:r w:rsidR="001C02EB">
        <w:rPr>
          <w:rFonts w:cs="Times New Roman"/>
        </w:rPr>
        <w:fldChar w:fldCharType="separate"/>
      </w:r>
      <w:r w:rsidR="0005064B" w:rsidRPr="008903D1">
        <w:rPr>
          <w:rFonts w:cs="Times New Roman"/>
        </w:rPr>
        <w:t xml:space="preserve">Figure </w:t>
      </w:r>
      <w:r w:rsidR="0005064B">
        <w:rPr>
          <w:rFonts w:cs="Times New Roman"/>
          <w:noProof/>
        </w:rPr>
        <w:t>5</w:t>
      </w:r>
      <w:r w:rsidR="0005064B">
        <w:rPr>
          <w:rFonts w:cs="Times New Roman"/>
        </w:rPr>
        <w:noBreakHyphen/>
      </w:r>
      <w:r w:rsidR="0005064B">
        <w:rPr>
          <w:rFonts w:cs="Times New Roman"/>
          <w:noProof/>
        </w:rPr>
        <w:t>14</w:t>
      </w:r>
      <w:r w:rsidR="001C02EB">
        <w:rPr>
          <w:rFonts w:cs="Times New Roman"/>
        </w:rPr>
        <w:fldChar w:fldCharType="end"/>
      </w:r>
      <w:r w:rsidRPr="008903D1">
        <w:rPr>
          <w:rFonts w:cs="Times New Roman"/>
        </w:rPr>
        <w:t xml:space="preserve">) obtain </w:t>
      </w:r>
      <w:r w:rsidRPr="00737239">
        <w:rPr>
          <w:rFonts w:cs="Times New Roman"/>
        </w:rPr>
        <w:t>economic benefits from the project.</w:t>
      </w:r>
    </w:p>
    <w:p w14:paraId="5DF834CD" w14:textId="63E3D250" w:rsidR="00656367" w:rsidRPr="00A96AC5" w:rsidRDefault="00D85195" w:rsidP="00014014">
      <w:pPr>
        <w:spacing w:after="240" w:line="360" w:lineRule="auto"/>
        <w:rPr>
          <w:rFonts w:cs="Times New Roman"/>
        </w:rPr>
      </w:pPr>
      <w:r>
        <w:rPr>
          <w:rFonts w:cs="Times New Roman"/>
        </w:rPr>
        <w:t xml:space="preserve">The </w:t>
      </w:r>
      <w:r w:rsidR="00656367" w:rsidRPr="00802DC5">
        <w:rPr>
          <w:rFonts w:cs="Times New Roman"/>
        </w:rPr>
        <w:t xml:space="preserve">SCUCC, CAUCC, and CBUCC represent another kind of SUL model. </w:t>
      </w:r>
      <w:r w:rsidR="00656367" w:rsidRPr="00DB493C">
        <w:rPr>
          <w:rFonts w:cs="Times New Roman"/>
          <w:noProof/>
        </w:rPr>
        <w:t xml:space="preserve">The </w:t>
      </w:r>
      <w:r w:rsidR="008A469F" w:rsidRPr="003B337F">
        <w:rPr>
          <w:rFonts w:cs="Times New Roman"/>
        </w:rPr>
        <w:t>definitive</w:t>
      </w:r>
      <w:r w:rsidR="00656367" w:rsidRPr="00DB493C">
        <w:rPr>
          <w:rFonts w:cs="Times New Roman"/>
          <w:noProof/>
        </w:rPr>
        <w:t xml:space="preserve"> stakeholders</w:t>
      </w:r>
      <w:r w:rsidR="00656367" w:rsidRPr="00A96AC5">
        <w:rPr>
          <w:rFonts w:cs="Times New Roman"/>
        </w:rPr>
        <w:t xml:space="preserve"> are private companies, which regard economic benefits as the cornerstone of the SUL (</w:t>
      </w:r>
      <w:r w:rsidR="00E76582">
        <w:rPr>
          <w:rFonts w:cs="Times New Roman"/>
        </w:rPr>
        <w:fldChar w:fldCharType="begin"/>
      </w:r>
      <w:r w:rsidR="00E76582">
        <w:rPr>
          <w:rFonts w:cs="Times New Roman"/>
        </w:rPr>
        <w:instrText xml:space="preserve"> REF _Ref45017833 \h </w:instrText>
      </w:r>
      <w:r w:rsidR="00E76582">
        <w:rPr>
          <w:rFonts w:cs="Times New Roman"/>
        </w:rPr>
      </w:r>
      <w:r w:rsidR="00E76582">
        <w:rPr>
          <w:rFonts w:cs="Times New Roman"/>
        </w:rPr>
        <w:fldChar w:fldCharType="separate"/>
      </w:r>
      <w:r w:rsidR="0005064B" w:rsidRPr="008903D1">
        <w:rPr>
          <w:rFonts w:cs="Times New Roman"/>
        </w:rPr>
        <w:t xml:space="preserve">Figure </w:t>
      </w:r>
      <w:r w:rsidR="0005064B">
        <w:rPr>
          <w:rFonts w:cs="Times New Roman"/>
          <w:noProof/>
        </w:rPr>
        <w:t>5</w:t>
      </w:r>
      <w:r w:rsidR="0005064B">
        <w:rPr>
          <w:rFonts w:cs="Times New Roman"/>
        </w:rPr>
        <w:noBreakHyphen/>
      </w:r>
      <w:r w:rsidR="0005064B">
        <w:rPr>
          <w:rFonts w:cs="Times New Roman"/>
          <w:noProof/>
        </w:rPr>
        <w:t>14</w:t>
      </w:r>
      <w:r w:rsidR="00E76582">
        <w:rPr>
          <w:rFonts w:cs="Times New Roman"/>
        </w:rPr>
        <w:fldChar w:fldCharType="end"/>
      </w:r>
      <w:r w:rsidR="00656367" w:rsidRPr="008903D1">
        <w:rPr>
          <w:rFonts w:cs="Times New Roman"/>
        </w:rPr>
        <w:t xml:space="preserve">-C). These are taken as </w:t>
      </w:r>
      <w:r w:rsidR="00656367" w:rsidRPr="00737239">
        <w:rPr>
          <w:rFonts w:cs="Times New Roman"/>
        </w:rPr>
        <w:t>the basic goal during the planning stage, when there is no mandatory policy in place. It is thought that only if a UCC can achieve a healthy financial status can it independently operate in the long-ter</w:t>
      </w:r>
      <w:r w:rsidR="00656367" w:rsidRPr="00802DC5">
        <w:rPr>
          <w:rFonts w:cs="Times New Roman"/>
        </w:rPr>
        <w:t>m. Specifically, neither the intercity carrier nor the waste collection company allow</w:t>
      </w:r>
      <w:r w:rsidR="003F3921">
        <w:rPr>
          <w:rFonts w:cs="Times New Roman"/>
        </w:rPr>
        <w:t>s</w:t>
      </w:r>
      <w:r w:rsidR="00656367" w:rsidRPr="00802DC5">
        <w:rPr>
          <w:rFonts w:cs="Times New Roman"/>
        </w:rPr>
        <w:t xml:space="preserve"> their expenditure to increase whilst cooperating in the SUCC project. The ‘medical supplier’ focuses on </w:t>
      </w:r>
      <w:r w:rsidR="00DA6449">
        <w:rPr>
          <w:rFonts w:cs="Times New Roman"/>
        </w:rPr>
        <w:t xml:space="preserve">the </w:t>
      </w:r>
      <w:r w:rsidR="00656367" w:rsidRPr="00802DC5">
        <w:rPr>
          <w:rFonts w:cs="Times New Roman"/>
        </w:rPr>
        <w:t xml:space="preserve">logistics efficiency of </w:t>
      </w:r>
      <w:r w:rsidR="00DA6449">
        <w:rPr>
          <w:rFonts w:cs="Times New Roman"/>
        </w:rPr>
        <w:t xml:space="preserve">the </w:t>
      </w:r>
      <w:r w:rsidR="00656367" w:rsidRPr="00802DC5">
        <w:rPr>
          <w:rFonts w:cs="Times New Roman"/>
        </w:rPr>
        <w:t xml:space="preserve">CAUCC, with profitability a prerequisite for Company B. </w:t>
      </w:r>
    </w:p>
    <w:p w14:paraId="713AE2E0" w14:textId="36082672" w:rsidR="00A5450C" w:rsidRPr="00A96AC5" w:rsidRDefault="00656367" w:rsidP="008A469F">
      <w:pPr>
        <w:spacing w:after="240" w:line="360" w:lineRule="auto"/>
        <w:rPr>
          <w:rFonts w:cs="Times New Roman"/>
        </w:rPr>
      </w:pPr>
      <w:r w:rsidRPr="00A96AC5">
        <w:rPr>
          <w:rFonts w:cs="Times New Roman"/>
        </w:rPr>
        <w:t>There are some drawbacks to Models B and C. To emphasise environmental progress</w:t>
      </w:r>
      <w:r w:rsidR="00F74F58">
        <w:rPr>
          <w:rFonts w:cs="Times New Roman"/>
        </w:rPr>
        <w:t xml:space="preserve"> </w:t>
      </w:r>
      <w:r w:rsidR="00F74F58">
        <w:rPr>
          <w:rFonts w:cs="Times New Roman" w:hint="eastAsia"/>
        </w:rPr>
        <w:t>in</w:t>
      </w:r>
      <w:r w:rsidR="00F74F58">
        <w:rPr>
          <w:rFonts w:cs="Times New Roman"/>
        </w:rPr>
        <w:t xml:space="preserve"> Model B</w:t>
      </w:r>
      <w:r w:rsidRPr="008903D1">
        <w:rPr>
          <w:rFonts w:cs="Times New Roman"/>
        </w:rPr>
        <w:t xml:space="preserve">, strict </w:t>
      </w:r>
      <w:hyperlink r:id="rId132" w:anchor="keyfrom=E2Ctranslation" w:history="1">
        <w:r w:rsidRPr="008903D1">
          <w:rPr>
            <w:rFonts w:cs="Times New Roman"/>
          </w:rPr>
          <w:t>administrative intervention</w:t>
        </w:r>
      </w:hyperlink>
      <w:r w:rsidRPr="008903D1">
        <w:rPr>
          <w:rFonts w:cs="Times New Roman"/>
        </w:rPr>
        <w:t>s are required</w:t>
      </w:r>
      <w:r w:rsidR="00766B5F">
        <w:rPr>
          <w:rFonts w:cs="Times New Roman"/>
        </w:rPr>
        <w:t>,</w:t>
      </w:r>
      <w:r w:rsidRPr="008903D1">
        <w:rPr>
          <w:rFonts w:cs="Times New Roman"/>
        </w:rPr>
        <w:t xml:space="preserve"> but</w:t>
      </w:r>
      <w:r w:rsidRPr="00737239">
        <w:rPr>
          <w:rFonts w:cs="Times New Roman"/>
        </w:rPr>
        <w:t xml:space="preserve"> political intervention disturbs the efficiency of the original logistic activities and increases the expenditure of the UCC users. This leads</w:t>
      </w:r>
      <w:r w:rsidRPr="00802DC5">
        <w:rPr>
          <w:rFonts w:cs="Times New Roman"/>
        </w:rPr>
        <w:t xml:space="preserve"> to opposition from potential interest groups during the policymaking process. In </w:t>
      </w:r>
      <w:r w:rsidRPr="00802DC5">
        <w:rPr>
          <w:rFonts w:cs="Times New Roman"/>
        </w:rPr>
        <w:lastRenderedPageBreak/>
        <w:t xml:space="preserve">addition, the initiator (the </w:t>
      </w:r>
      <w:r w:rsidR="000F5911" w:rsidRPr="003B337F">
        <w:rPr>
          <w:rFonts w:cs="Times New Roman"/>
        </w:rPr>
        <w:t>definitive</w:t>
      </w:r>
      <w:r w:rsidRPr="00802DC5">
        <w:rPr>
          <w:rFonts w:cs="Times New Roman"/>
        </w:rPr>
        <w:t xml:space="preserve"> stakeholder) must invest sufficient resources to feed other stakeholders, as the project will not generate economic benefits for its participants. Thus, a successful UCC project that relies on mandatory policies and huge investment can only be succes</w:t>
      </w:r>
      <w:r w:rsidRPr="00DB493C">
        <w:rPr>
          <w:rFonts w:cs="Times New Roman"/>
        </w:rPr>
        <w:t>sful if the local authority has strong regional influence and power. When adopting Model C, it is difficult to transfer the economic gains to the other two dimensions. There are three reasons for this: first, the experience of</w:t>
      </w:r>
      <w:r w:rsidR="00135FDA">
        <w:rPr>
          <w:rFonts w:cs="Times New Roman"/>
        </w:rPr>
        <w:t xml:space="preserve"> the</w:t>
      </w:r>
      <w:r w:rsidRPr="00DB493C">
        <w:rPr>
          <w:rFonts w:cs="Times New Roman"/>
        </w:rPr>
        <w:t xml:space="preserve"> SCUCC shows that</w:t>
      </w:r>
      <w:r w:rsidR="00135FDA">
        <w:rPr>
          <w:rFonts w:cs="Times New Roman"/>
        </w:rPr>
        <w:t>,</w:t>
      </w:r>
      <w:r w:rsidRPr="00DB493C">
        <w:rPr>
          <w:rFonts w:cs="Times New Roman"/>
        </w:rPr>
        <w:t xml:space="preserve"> despite suc</w:t>
      </w:r>
      <w:r w:rsidRPr="00A96AC5">
        <w:rPr>
          <w:rFonts w:cs="Times New Roman"/>
        </w:rPr>
        <w:t>cess in a small service area, environmental and social benefits may be insignificant; second, it is difficult to expand the consolidation delivery model to a larger scale, as not all service areas of the companies overlap; and finally, the example of</w:t>
      </w:r>
      <w:r w:rsidR="00F21570">
        <w:rPr>
          <w:rFonts w:cs="Times New Roman"/>
        </w:rPr>
        <w:t xml:space="preserve"> the</w:t>
      </w:r>
      <w:r w:rsidRPr="00A96AC5">
        <w:rPr>
          <w:rFonts w:cs="Times New Roman"/>
        </w:rPr>
        <w:t xml:space="preserve"> CAUCC illustrates that</w:t>
      </w:r>
      <w:r w:rsidR="008E5376">
        <w:rPr>
          <w:rFonts w:cs="Times New Roman"/>
        </w:rPr>
        <w:t xml:space="preserve"> </w:t>
      </w:r>
      <w:r w:rsidR="005A07CD">
        <w:rPr>
          <w:rFonts w:cs="Times New Roman"/>
        </w:rPr>
        <w:t>commercial UCC</w:t>
      </w:r>
      <w:r w:rsidR="00787208">
        <w:rPr>
          <w:rFonts w:cs="Times New Roman"/>
        </w:rPr>
        <w:t>s</w:t>
      </w:r>
      <w:r w:rsidR="005A07CD">
        <w:rPr>
          <w:rFonts w:cs="Times New Roman"/>
        </w:rPr>
        <w:t xml:space="preserve"> will not </w:t>
      </w:r>
      <w:r w:rsidR="000E080C">
        <w:rPr>
          <w:rFonts w:cs="Times New Roman"/>
        </w:rPr>
        <w:t xml:space="preserve">actively </w:t>
      </w:r>
      <w:r w:rsidR="008E6CF8">
        <w:rPr>
          <w:rFonts w:cs="Times New Roman"/>
        </w:rPr>
        <w:t xml:space="preserve">make additional </w:t>
      </w:r>
      <w:r w:rsidR="00C75B40">
        <w:rPr>
          <w:rFonts w:cs="Times New Roman"/>
        </w:rPr>
        <w:t>expenditures</w:t>
      </w:r>
      <w:r w:rsidR="008E6CF8">
        <w:rPr>
          <w:rFonts w:cs="Times New Roman"/>
        </w:rPr>
        <w:t xml:space="preserve"> on environmental improvement</w:t>
      </w:r>
      <w:r w:rsidR="006C2082">
        <w:rPr>
          <w:rFonts w:cs="Times New Roman"/>
        </w:rPr>
        <w:t>s</w:t>
      </w:r>
      <w:r w:rsidR="002C1987">
        <w:rPr>
          <w:rFonts w:cs="Times New Roman"/>
        </w:rPr>
        <w:t xml:space="preserve"> if there are no </w:t>
      </w:r>
      <w:r w:rsidR="008E5376" w:rsidRPr="00A96AC5">
        <w:rPr>
          <w:rFonts w:cs="Times New Roman"/>
        </w:rPr>
        <w:t>external incentives</w:t>
      </w:r>
      <w:r w:rsidR="00A90225">
        <w:rPr>
          <w:rFonts w:cs="Times New Roman"/>
        </w:rPr>
        <w:t xml:space="preserve"> (such as </w:t>
      </w:r>
      <w:r w:rsidR="00ED11D3">
        <w:rPr>
          <w:rFonts w:cs="Times New Roman"/>
        </w:rPr>
        <w:t>regulations</w:t>
      </w:r>
      <w:r w:rsidR="007D48F9">
        <w:rPr>
          <w:rFonts w:cs="Times New Roman"/>
        </w:rPr>
        <w:t>, special funding,</w:t>
      </w:r>
      <w:r w:rsidR="00ED11D3">
        <w:rPr>
          <w:rFonts w:cs="Times New Roman"/>
        </w:rPr>
        <w:t xml:space="preserve"> new policy</w:t>
      </w:r>
      <w:r w:rsidR="007D48F9">
        <w:rPr>
          <w:rFonts w:cs="Times New Roman"/>
        </w:rPr>
        <w:t>, etc.</w:t>
      </w:r>
      <w:r w:rsidR="00ED11D3">
        <w:rPr>
          <w:rFonts w:cs="Times New Roman"/>
        </w:rPr>
        <w:t>)</w:t>
      </w:r>
      <w:r w:rsidR="003C07B3">
        <w:rPr>
          <w:rFonts w:cs="Times New Roman"/>
        </w:rPr>
        <w:t xml:space="preserve"> from govern</w:t>
      </w:r>
      <w:r w:rsidR="007D48F9">
        <w:rPr>
          <w:rFonts w:cs="Times New Roman"/>
        </w:rPr>
        <w:t>ment</w:t>
      </w:r>
      <w:r w:rsidR="003C07B3">
        <w:rPr>
          <w:rFonts w:cs="Times New Roman"/>
        </w:rPr>
        <w:t>.</w:t>
      </w:r>
    </w:p>
    <w:p w14:paraId="4F353AA6" w14:textId="77777777" w:rsidR="00656367" w:rsidRPr="00A96AC5" w:rsidRDefault="00656367" w:rsidP="00656367">
      <w:pPr>
        <w:pStyle w:val="Heading4"/>
        <w:spacing w:after="0" w:line="360" w:lineRule="auto"/>
        <w:rPr>
          <w:rFonts w:cs="Times New Roman"/>
        </w:rPr>
      </w:pPr>
      <w:r w:rsidRPr="00A96AC5">
        <w:rPr>
          <w:rFonts w:cs="Times New Roman"/>
        </w:rPr>
        <w:t>Stakeholder consensus</w:t>
      </w:r>
    </w:p>
    <w:p w14:paraId="185F4B18" w14:textId="32348928" w:rsidR="00656367" w:rsidRPr="00DB493C" w:rsidRDefault="00656367" w:rsidP="00014014">
      <w:pPr>
        <w:spacing w:after="240" w:line="360" w:lineRule="auto"/>
        <w:rPr>
          <w:rFonts w:cs="Times New Roman"/>
        </w:rPr>
      </w:pPr>
      <w:r w:rsidRPr="00802DC5">
        <w:rPr>
          <w:rFonts w:cs="Times New Roman"/>
        </w:rPr>
        <w:t>As reported in section</w:t>
      </w:r>
      <w:r w:rsidR="00431B36">
        <w:rPr>
          <w:rFonts w:cs="Times New Roman"/>
        </w:rPr>
        <w:t xml:space="preserve"> </w:t>
      </w:r>
      <w:r w:rsidR="00431B36">
        <w:rPr>
          <w:rFonts w:cs="Times New Roman"/>
        </w:rPr>
        <w:fldChar w:fldCharType="begin"/>
      </w:r>
      <w:r w:rsidR="00431B36">
        <w:rPr>
          <w:rFonts w:cs="Times New Roman"/>
        </w:rPr>
        <w:instrText xml:space="preserve"> REF _Ref45018342 \r \h </w:instrText>
      </w:r>
      <w:r w:rsidR="00431B36">
        <w:rPr>
          <w:rFonts w:cs="Times New Roman"/>
        </w:rPr>
      </w:r>
      <w:r w:rsidR="00431B36">
        <w:rPr>
          <w:rFonts w:cs="Times New Roman"/>
        </w:rPr>
        <w:fldChar w:fldCharType="separate"/>
      </w:r>
      <w:r w:rsidR="0005064B">
        <w:rPr>
          <w:rFonts w:cs="Times New Roman"/>
        </w:rPr>
        <w:t>5.2.4</w:t>
      </w:r>
      <w:r w:rsidR="00431B36">
        <w:rPr>
          <w:rFonts w:cs="Times New Roman"/>
        </w:rPr>
        <w:fldChar w:fldCharType="end"/>
      </w:r>
      <w:r w:rsidRPr="008903D1">
        <w:rPr>
          <w:rFonts w:cs="Times New Roman"/>
        </w:rPr>
        <w:t xml:space="preserve">, the different roles of the </w:t>
      </w:r>
      <w:r w:rsidRPr="00737239">
        <w:rPr>
          <w:rFonts w:cs="Times New Roman"/>
        </w:rPr>
        <w:t xml:space="preserve">stakeholders lead to a diverse range of challenges. The primary approach to dealing with these operational issues is to form a consensus between the stakeholders on the issues’ seriousness. There are three methods of building stakeholder consensus: a complete communication channel, the influence of </w:t>
      </w:r>
      <w:r w:rsidR="000F5911" w:rsidRPr="003B337F">
        <w:rPr>
          <w:rFonts w:cs="Times New Roman"/>
        </w:rPr>
        <w:t>definitive</w:t>
      </w:r>
      <w:r w:rsidRPr="00802DC5">
        <w:rPr>
          <w:rFonts w:cs="Times New Roman"/>
        </w:rPr>
        <w:t xml:space="preserve"> stakeholders, and the expert knowledge of the managers. Each of these is demonstrated in the four cases.</w:t>
      </w:r>
    </w:p>
    <w:p w14:paraId="4FAC357D" w14:textId="0508225F" w:rsidR="00656367" w:rsidRPr="00A96AC5" w:rsidRDefault="00656367" w:rsidP="00014014">
      <w:pPr>
        <w:spacing w:after="240" w:line="360" w:lineRule="auto"/>
        <w:rPr>
          <w:rFonts w:cs="Times New Roman"/>
        </w:rPr>
      </w:pPr>
      <w:r w:rsidRPr="00A96AC5">
        <w:rPr>
          <w:rFonts w:cs="Times New Roman"/>
        </w:rPr>
        <w:t xml:space="preserve">A strong communication channel is useful for stakeholders with independent partnerships or PPP to exchange opinions and share their experiences. Individual stakeholders can raise issues through regular meetings or workshops during the operation, with problems discussed and evaluated by all stakeholders. In this way, problems that may have a negative impact on the project or on other parties can be identified. For example, In the SCUCC, a ‘lack of logistic information sharing’ is highlighted by the UCC operator, the logistics company could recognise that this may cause delays owing to longer time requirements for the goods transhipment process. Therefore, these stakeholders may agree to upgrade their information systems to </w:t>
      </w:r>
      <w:r w:rsidR="00B3777C" w:rsidRPr="00A96AC5">
        <w:rPr>
          <w:rFonts w:cs="Times New Roman"/>
        </w:rPr>
        <w:t>share information more efficiently</w:t>
      </w:r>
      <w:r w:rsidRPr="00A96AC5">
        <w:rPr>
          <w:rFonts w:cs="Times New Roman"/>
        </w:rPr>
        <w:t xml:space="preserve">. In </w:t>
      </w:r>
      <w:r w:rsidR="00B03F55">
        <w:rPr>
          <w:rFonts w:cs="Times New Roman"/>
        </w:rPr>
        <w:t xml:space="preserve">the </w:t>
      </w:r>
      <w:r w:rsidRPr="00A96AC5">
        <w:rPr>
          <w:rFonts w:cs="Times New Roman"/>
        </w:rPr>
        <w:t>RSUCC, this measure is extended to secondary stakeholders (e.g., consumers) to collect their opinions on project improvements.</w:t>
      </w:r>
    </w:p>
    <w:p w14:paraId="61A26B51" w14:textId="0A1E2010" w:rsidR="00656367" w:rsidRPr="00A96AC5" w:rsidRDefault="00656367" w:rsidP="00014014">
      <w:pPr>
        <w:spacing w:after="240" w:line="360" w:lineRule="auto"/>
        <w:rPr>
          <w:rFonts w:cs="Times New Roman"/>
        </w:rPr>
      </w:pPr>
      <w:r w:rsidRPr="00A96AC5">
        <w:rPr>
          <w:rFonts w:cs="Times New Roman"/>
        </w:rPr>
        <w:t xml:space="preserve">The </w:t>
      </w:r>
      <w:r w:rsidR="000F5911" w:rsidRPr="003B337F">
        <w:rPr>
          <w:rFonts w:cs="Times New Roman"/>
        </w:rPr>
        <w:t>definitive</w:t>
      </w:r>
      <w:r w:rsidRPr="00A96AC5">
        <w:rPr>
          <w:rFonts w:cs="Times New Roman"/>
        </w:rPr>
        <w:t xml:space="preserve"> stakeholders require the other stakeholders to be aware of the significance of their raised issues in the UCC. The local authority is a </w:t>
      </w:r>
      <w:r w:rsidR="000F5911" w:rsidRPr="003B337F">
        <w:rPr>
          <w:rFonts w:cs="Times New Roman"/>
        </w:rPr>
        <w:t>definitive</w:t>
      </w:r>
      <w:r w:rsidRPr="00A96AC5">
        <w:rPr>
          <w:rFonts w:cs="Times New Roman"/>
        </w:rPr>
        <w:t xml:space="preserve"> stakeholder, providing resources to the other parties in </w:t>
      </w:r>
      <w:r w:rsidR="0070077B">
        <w:rPr>
          <w:rFonts w:cs="Times New Roman"/>
        </w:rPr>
        <w:t xml:space="preserve">the </w:t>
      </w:r>
      <w:r w:rsidRPr="00A96AC5">
        <w:rPr>
          <w:rFonts w:cs="Times New Roman"/>
        </w:rPr>
        <w:t xml:space="preserve">RSUCC. This asymmetric partnership may force the other stakeholders to address the most serious issues identified by the local authorities. For example, </w:t>
      </w:r>
      <w:r w:rsidRPr="00A96AC5">
        <w:rPr>
          <w:rFonts w:cs="Times New Roman"/>
        </w:rPr>
        <w:lastRenderedPageBreak/>
        <w:t xml:space="preserve">to resolve the issue of ‘poor service quality’ reported by users, the local authority replaced the former operator with an experienced consulting company </w:t>
      </w:r>
      <w:proofErr w:type="gramStart"/>
      <w:r w:rsidRPr="00A96AC5">
        <w:rPr>
          <w:rFonts w:cs="Times New Roman"/>
        </w:rPr>
        <w:t>in the area of</w:t>
      </w:r>
      <w:proofErr w:type="gramEnd"/>
      <w:r w:rsidRPr="00A96AC5">
        <w:rPr>
          <w:rFonts w:cs="Times New Roman"/>
        </w:rPr>
        <w:t xml:space="preserve"> construction logistics. As an investor, Company B can independently alter the business to cold-chain products to avoid the issue of ‘narrow profit margins in general goods delivery’, caused by large numbers of competitors.</w:t>
      </w:r>
    </w:p>
    <w:p w14:paraId="48C24521" w14:textId="773B497E" w:rsidR="00656367" w:rsidRDefault="00656367" w:rsidP="001D7FCC">
      <w:pPr>
        <w:spacing w:after="240" w:line="360" w:lineRule="auto"/>
        <w:rPr>
          <w:rFonts w:cs="Times New Roman"/>
        </w:rPr>
      </w:pPr>
      <w:r w:rsidRPr="00A96AC5">
        <w:rPr>
          <w:rFonts w:cs="Times New Roman"/>
        </w:rPr>
        <w:t xml:space="preserve">The expert knowledge of managers can support other stakeholders to better understand the issues arising. This is partly because matters raised by experts are more easily accepted by other stakeholders. In addition, experts can more precisely rank the importance of the various considerations, ensuring that the project is reasonably deploying resources to resolve high-priority problems. The managers in Company A, the distribution department of </w:t>
      </w:r>
      <w:r w:rsidR="00C916AF">
        <w:rPr>
          <w:rFonts w:cs="Times New Roman"/>
        </w:rPr>
        <w:t xml:space="preserve">the </w:t>
      </w:r>
      <w:r w:rsidRPr="00A96AC5">
        <w:rPr>
          <w:rFonts w:cs="Times New Roman"/>
        </w:rPr>
        <w:t xml:space="preserve">CAUCC, Company B, and </w:t>
      </w:r>
      <w:r w:rsidR="00C916AF">
        <w:rPr>
          <w:rFonts w:cs="Times New Roman"/>
        </w:rPr>
        <w:t xml:space="preserve">the </w:t>
      </w:r>
      <w:r w:rsidRPr="00A96AC5">
        <w:rPr>
          <w:rFonts w:cs="Times New Roman"/>
        </w:rPr>
        <w:t xml:space="preserve">CBUCC each have more than 10 years’ working experience. Many issues in </w:t>
      </w:r>
      <w:r w:rsidR="00DF6B3C">
        <w:rPr>
          <w:rFonts w:cs="Times New Roman"/>
        </w:rPr>
        <w:t xml:space="preserve">the </w:t>
      </w:r>
      <w:r w:rsidRPr="00A96AC5">
        <w:rPr>
          <w:rFonts w:cs="Times New Roman"/>
        </w:rPr>
        <w:t>CAUCC and CBUCC have been raised by these stakeholders.</w:t>
      </w:r>
    </w:p>
    <w:p w14:paraId="52F4FE51" w14:textId="0C7A63C4" w:rsidR="00D1010A" w:rsidRDefault="00D1010A" w:rsidP="00B37DAD">
      <w:pPr>
        <w:pStyle w:val="Heading4"/>
        <w:spacing w:line="240" w:lineRule="auto"/>
      </w:pPr>
      <w:r>
        <w:t xml:space="preserve">Economic </w:t>
      </w:r>
      <w:r w:rsidR="00735463">
        <w:t>effects</w:t>
      </w:r>
    </w:p>
    <w:p w14:paraId="777A76C3" w14:textId="08D3E73C" w:rsidR="00811EC9" w:rsidRPr="00A82586" w:rsidRDefault="00735463" w:rsidP="00970370">
      <w:pPr>
        <w:spacing w:after="240" w:line="360" w:lineRule="auto"/>
        <w:rPr>
          <w:rFonts w:cs="Times New Roman"/>
        </w:rPr>
      </w:pPr>
      <w:r>
        <w:rPr>
          <w:rFonts w:cs="Times New Roman"/>
        </w:rPr>
        <w:t xml:space="preserve">The business status of the users </w:t>
      </w:r>
      <w:r w:rsidR="00CF1F3E">
        <w:rPr>
          <w:rFonts w:cs="Times New Roman"/>
        </w:rPr>
        <w:t>is</w:t>
      </w:r>
      <w:r>
        <w:rPr>
          <w:rFonts w:cs="Times New Roman"/>
        </w:rPr>
        <w:t xml:space="preserve"> altered after they </w:t>
      </w:r>
      <w:r w:rsidR="00B37DAD">
        <w:rPr>
          <w:rFonts w:cs="Times New Roman"/>
        </w:rPr>
        <w:t>participate</w:t>
      </w:r>
      <w:r w:rsidR="0075060E">
        <w:rPr>
          <w:rFonts w:cs="Times New Roman"/>
        </w:rPr>
        <w:t xml:space="preserve"> in</w:t>
      </w:r>
      <w:r>
        <w:rPr>
          <w:rFonts w:cs="Times New Roman"/>
        </w:rPr>
        <w:t xml:space="preserve"> the</w:t>
      </w:r>
      <w:r w:rsidR="00A62103">
        <w:rPr>
          <w:rFonts w:cs="Times New Roman"/>
        </w:rPr>
        <w:t xml:space="preserve"> UCC</w:t>
      </w:r>
      <w:r>
        <w:rPr>
          <w:rFonts w:cs="Times New Roman"/>
        </w:rPr>
        <w:t xml:space="preserve"> project. </w:t>
      </w:r>
      <w:r w:rsidR="00B37DAD">
        <w:rPr>
          <w:rFonts w:cs="Times New Roman"/>
        </w:rPr>
        <w:t>E</w:t>
      </w:r>
      <w:r>
        <w:rPr>
          <w:rFonts w:cs="Times New Roman" w:hint="eastAsia"/>
        </w:rPr>
        <w:t>xcept</w:t>
      </w:r>
      <w:r w:rsidR="00AE5105">
        <w:rPr>
          <w:rFonts w:cs="Times New Roman"/>
        </w:rPr>
        <w:t xml:space="preserve"> for</w:t>
      </w:r>
      <w:r>
        <w:rPr>
          <w:rFonts w:cs="Times New Roman"/>
        </w:rPr>
        <w:t xml:space="preserve"> the RSUCC, the users in the other UCCs receive</w:t>
      </w:r>
      <w:r w:rsidR="00E0444A">
        <w:rPr>
          <w:rFonts w:cs="Times New Roman"/>
        </w:rPr>
        <w:t xml:space="preserve"> at least</w:t>
      </w:r>
      <w:r>
        <w:rPr>
          <w:rFonts w:cs="Times New Roman"/>
        </w:rPr>
        <w:t xml:space="preserve"> one kind of benefits on their business </w:t>
      </w:r>
      <w:r w:rsidR="00915AB1">
        <w:rPr>
          <w:rFonts w:cs="Times New Roman"/>
        </w:rPr>
        <w:t xml:space="preserve">According to Table 53, </w:t>
      </w:r>
      <w:r w:rsidR="00607B6D">
        <w:rPr>
          <w:rFonts w:cs="Times New Roman"/>
        </w:rPr>
        <w:t xml:space="preserve">the </w:t>
      </w:r>
      <w:r w:rsidR="00915AB1">
        <w:rPr>
          <w:rFonts w:cs="Times New Roman"/>
        </w:rPr>
        <w:t>SCUCC and CAUCC can be regarded as the optimal model of UCC cases which produce positive economic effects on their users. Furthermore, it can be noticed that ‘cost’ is not</w:t>
      </w:r>
      <w:r w:rsidR="00AE5105">
        <w:rPr>
          <w:rFonts w:cs="Times New Roman"/>
        </w:rPr>
        <w:t xml:space="preserve"> the</w:t>
      </w:r>
      <w:r w:rsidR="00915AB1">
        <w:rPr>
          <w:rFonts w:cs="Times New Roman"/>
        </w:rPr>
        <w:t xml:space="preserve"> only variable that determines whether users</w:t>
      </w:r>
      <w:r w:rsidR="00FE0E2E">
        <w:rPr>
          <w:rFonts w:cs="Times New Roman"/>
        </w:rPr>
        <w:t xml:space="preserve"> (potential users)</w:t>
      </w:r>
      <w:r w:rsidR="00915AB1">
        <w:rPr>
          <w:rFonts w:cs="Times New Roman"/>
        </w:rPr>
        <w:t xml:space="preserve"> obtain the UCC’s services. </w:t>
      </w:r>
      <w:r w:rsidR="00D42843">
        <w:rPr>
          <w:rFonts w:cs="Times New Roman"/>
        </w:rPr>
        <w:t xml:space="preserve">The key element </w:t>
      </w:r>
      <w:r w:rsidR="0016291E">
        <w:rPr>
          <w:rFonts w:cs="Times New Roman"/>
        </w:rPr>
        <w:t>in</w:t>
      </w:r>
      <w:r w:rsidR="00D42843">
        <w:rPr>
          <w:rFonts w:cs="Times New Roman"/>
        </w:rPr>
        <w:t xml:space="preserve"> promot</w:t>
      </w:r>
      <w:r w:rsidR="0016291E">
        <w:rPr>
          <w:rFonts w:cs="Times New Roman"/>
        </w:rPr>
        <w:t>ing</w:t>
      </w:r>
      <w:r w:rsidR="00D42843">
        <w:rPr>
          <w:rFonts w:cs="Times New Roman"/>
        </w:rPr>
        <w:t xml:space="preserve"> the sustainability of UCC</w:t>
      </w:r>
      <w:r w:rsidR="008B27FA">
        <w:rPr>
          <w:rFonts w:cs="Times New Roman"/>
        </w:rPr>
        <w:t>s</w:t>
      </w:r>
      <w:r w:rsidR="00D42843">
        <w:rPr>
          <w:rFonts w:cs="Times New Roman"/>
        </w:rPr>
        <w:t xml:space="preserve"> is to enable LSPs</w:t>
      </w:r>
      <w:r w:rsidR="0034571D">
        <w:rPr>
          <w:rFonts w:cs="Times New Roman"/>
        </w:rPr>
        <w:t>/suppliers</w:t>
      </w:r>
      <w:r w:rsidR="00F92B5A">
        <w:rPr>
          <w:rFonts w:cs="Times New Roman"/>
        </w:rPr>
        <w:t xml:space="preserve"> so </w:t>
      </w:r>
      <w:r w:rsidR="00D42843">
        <w:rPr>
          <w:rFonts w:cs="Times New Roman"/>
        </w:rPr>
        <w:t xml:space="preserve">that they can </w:t>
      </w:r>
      <w:r w:rsidR="00796768">
        <w:rPr>
          <w:rFonts w:cs="Times New Roman"/>
        </w:rPr>
        <w:t>acquire operational benefits by</w:t>
      </w:r>
      <w:r w:rsidR="00D254E5">
        <w:rPr>
          <w:rFonts w:cs="Times New Roman"/>
        </w:rPr>
        <w:t xml:space="preserve"> </w:t>
      </w:r>
      <w:r w:rsidR="00D254E5" w:rsidRPr="009B2D5E">
        <w:rPr>
          <w:rFonts w:cs="Times New Roman"/>
        </w:rPr>
        <w:t xml:space="preserve">designating UCC </w:t>
      </w:r>
      <w:r w:rsidR="009B2D5E" w:rsidRPr="009B2D5E">
        <w:rPr>
          <w:rFonts w:cs="Times New Roman"/>
        </w:rPr>
        <w:t xml:space="preserve">for </w:t>
      </w:r>
      <w:r w:rsidR="009B2D5E" w:rsidRPr="009B2D5E">
        <w:rPr>
          <w:rFonts w:cs="Times New Roman" w:hint="eastAsia"/>
        </w:rPr>
        <w:t>urban</w:t>
      </w:r>
      <w:r w:rsidR="009B2D5E" w:rsidRPr="009B2D5E">
        <w:rPr>
          <w:rFonts w:cs="Times New Roman"/>
        </w:rPr>
        <w:t xml:space="preserve"> </w:t>
      </w:r>
      <w:r w:rsidR="009B2D5E" w:rsidRPr="009B2D5E">
        <w:rPr>
          <w:rFonts w:cs="Times New Roman" w:hint="eastAsia"/>
        </w:rPr>
        <w:t>distribution</w:t>
      </w:r>
      <w:r w:rsidR="006C6957">
        <w:rPr>
          <w:rFonts w:cs="Times New Roman"/>
        </w:rPr>
        <w:t xml:space="preserve"> </w:t>
      </w:r>
      <w:r w:rsidR="006C6957">
        <w:rPr>
          <w:noProof/>
        </w:rPr>
        <w:t>(Quak</w:t>
      </w:r>
      <w:r w:rsidR="00C931C3">
        <w:rPr>
          <w:noProof/>
        </w:rPr>
        <w:t xml:space="preserve"> et al.</w:t>
      </w:r>
      <w:r w:rsidR="006C6957">
        <w:rPr>
          <w:noProof/>
        </w:rPr>
        <w:t>, 2014)</w:t>
      </w:r>
      <w:r w:rsidR="009B2D5E" w:rsidRPr="009B2D5E">
        <w:rPr>
          <w:rFonts w:cs="Times New Roman" w:hint="eastAsia"/>
        </w:rPr>
        <w:t>.</w:t>
      </w:r>
      <w:r w:rsidR="00C931C3">
        <w:rPr>
          <w:rFonts w:cs="Times New Roman"/>
        </w:rPr>
        <w:t xml:space="preserve"> </w:t>
      </w:r>
      <w:r w:rsidR="008C289B">
        <w:rPr>
          <w:rFonts w:cs="Times New Roman"/>
        </w:rPr>
        <w:t xml:space="preserve">For instance, </w:t>
      </w:r>
      <w:r w:rsidR="00F92B5A">
        <w:rPr>
          <w:rFonts w:cs="Times New Roman"/>
        </w:rPr>
        <w:t>the</w:t>
      </w:r>
      <w:r w:rsidR="00915AB1">
        <w:rPr>
          <w:rFonts w:cs="Times New Roman"/>
        </w:rPr>
        <w:t xml:space="preserve"> CBUCC shows that</w:t>
      </w:r>
      <w:r w:rsidR="00C47BFB">
        <w:rPr>
          <w:rFonts w:cs="Times New Roman"/>
        </w:rPr>
        <w:t xml:space="preserve"> this</w:t>
      </w:r>
      <w:r w:rsidR="00915AB1">
        <w:rPr>
          <w:rFonts w:cs="Times New Roman"/>
        </w:rPr>
        <w:t xml:space="preserve"> </w:t>
      </w:r>
      <w:r w:rsidR="00C47BFB">
        <w:rPr>
          <w:rFonts w:cs="Times New Roman"/>
        </w:rPr>
        <w:t>facility</w:t>
      </w:r>
      <w:r w:rsidR="00915AB1">
        <w:rPr>
          <w:rFonts w:cs="Times New Roman"/>
        </w:rPr>
        <w:t xml:space="preserve"> produces additional cost for the intercity carriers</w:t>
      </w:r>
      <w:r w:rsidR="007D1BC8">
        <w:rPr>
          <w:rFonts w:cs="Times New Roman"/>
        </w:rPr>
        <w:t>.</w:t>
      </w:r>
      <w:r w:rsidR="00915AB1">
        <w:rPr>
          <w:rFonts w:cs="Times New Roman"/>
        </w:rPr>
        <w:t xml:space="preserve"> </w:t>
      </w:r>
      <w:r w:rsidR="007D1BC8">
        <w:rPr>
          <w:rFonts w:cs="Times New Roman"/>
        </w:rPr>
        <w:t>On the other hand</w:t>
      </w:r>
      <w:r w:rsidR="00915AB1">
        <w:rPr>
          <w:rFonts w:cs="Times New Roman"/>
        </w:rPr>
        <w:t xml:space="preserve">, </w:t>
      </w:r>
      <w:r w:rsidR="00C47BFB">
        <w:rPr>
          <w:rFonts w:cs="Times New Roman"/>
        </w:rPr>
        <w:t xml:space="preserve">this </w:t>
      </w:r>
      <w:r w:rsidR="00915AB1">
        <w:rPr>
          <w:rFonts w:cs="Times New Roman"/>
        </w:rPr>
        <w:t>UCC also improve logistics efficiency and service quality for its users. Obtaining services from</w:t>
      </w:r>
      <w:r w:rsidR="006109BD">
        <w:rPr>
          <w:rFonts w:cs="Times New Roman"/>
        </w:rPr>
        <w:t xml:space="preserve"> the</w:t>
      </w:r>
      <w:r w:rsidR="00915AB1">
        <w:rPr>
          <w:rFonts w:cs="Times New Roman"/>
        </w:rPr>
        <w:t xml:space="preserve"> CBUCC can be regarded as </w:t>
      </w:r>
      <w:r w:rsidR="00915AB1" w:rsidRPr="00567E33">
        <w:rPr>
          <w:rFonts w:cs="Times New Roman"/>
        </w:rPr>
        <w:t>users invest</w:t>
      </w:r>
      <w:r w:rsidR="006109BD">
        <w:rPr>
          <w:rFonts w:cs="Times New Roman"/>
        </w:rPr>
        <w:t>ing</w:t>
      </w:r>
      <w:r w:rsidR="00915AB1" w:rsidRPr="00567E33">
        <w:rPr>
          <w:rFonts w:cs="Times New Roman"/>
        </w:rPr>
        <w:t xml:space="preserve"> money for </w:t>
      </w:r>
      <w:r w:rsidR="006109BD">
        <w:rPr>
          <w:rFonts w:cs="Times New Roman"/>
        </w:rPr>
        <w:t xml:space="preserve">a </w:t>
      </w:r>
      <w:r w:rsidR="00915AB1" w:rsidRPr="00567E33">
        <w:rPr>
          <w:rFonts w:cs="Times New Roman"/>
        </w:rPr>
        <w:t>better service</w:t>
      </w:r>
      <w:r w:rsidR="00915AB1">
        <w:rPr>
          <w:rFonts w:cs="Times New Roman"/>
        </w:rPr>
        <w:t>.</w:t>
      </w:r>
      <w:r w:rsidR="003133B5">
        <w:rPr>
          <w:rFonts w:cs="Times New Roman"/>
        </w:rPr>
        <w:t xml:space="preserve"> </w:t>
      </w:r>
      <w:r w:rsidR="00915AB1">
        <w:rPr>
          <w:rFonts w:cs="Times New Roman"/>
        </w:rPr>
        <w:t xml:space="preserve">This model </w:t>
      </w:r>
      <w:r w:rsidR="00915AB1" w:rsidRPr="00567E33">
        <w:rPr>
          <w:rFonts w:cs="Times New Roman"/>
        </w:rPr>
        <w:t xml:space="preserve">is a </w:t>
      </w:r>
      <w:r w:rsidR="00915AB1">
        <w:rPr>
          <w:rFonts w:cs="Times New Roman"/>
        </w:rPr>
        <w:t>sound</w:t>
      </w:r>
      <w:r w:rsidR="00915AB1" w:rsidRPr="00567E33">
        <w:rPr>
          <w:rFonts w:cs="Times New Roman"/>
        </w:rPr>
        <w:t xml:space="preserve"> compromise </w:t>
      </w:r>
      <w:r w:rsidR="00915AB1">
        <w:rPr>
          <w:rFonts w:cs="Times New Roman"/>
        </w:rPr>
        <w:t>solution that balances all interests of the stakeholders.</w:t>
      </w:r>
    </w:p>
    <w:tbl>
      <w:tblPr>
        <w:tblStyle w:val="TableGrid"/>
        <w:tblW w:w="0" w:type="auto"/>
        <w:tblLook w:val="04A0" w:firstRow="1" w:lastRow="0" w:firstColumn="1" w:lastColumn="0" w:noHBand="0" w:noVBand="1"/>
      </w:tblPr>
      <w:tblGrid>
        <w:gridCol w:w="1173"/>
        <w:gridCol w:w="2692"/>
        <w:gridCol w:w="2160"/>
        <w:gridCol w:w="2991"/>
      </w:tblGrid>
      <w:tr w:rsidR="00735463" w:rsidRPr="005C7CD6" w14:paraId="6E806C4D" w14:textId="77777777" w:rsidTr="00140A7A">
        <w:trPr>
          <w:trHeight w:val="530"/>
        </w:trPr>
        <w:tc>
          <w:tcPr>
            <w:tcW w:w="1173" w:type="dxa"/>
            <w:vAlign w:val="center"/>
          </w:tcPr>
          <w:p w14:paraId="7C1D97CE" w14:textId="77777777" w:rsidR="00735463" w:rsidRPr="00C861EB" w:rsidRDefault="00735463" w:rsidP="000A1977">
            <w:pPr>
              <w:spacing w:line="240" w:lineRule="auto"/>
              <w:jc w:val="center"/>
              <w:rPr>
                <w:rFonts w:cs="Times New Roman"/>
                <w:b/>
                <w:bCs/>
                <w:sz w:val="22"/>
              </w:rPr>
            </w:pPr>
            <w:r w:rsidRPr="00C861EB">
              <w:rPr>
                <w:rFonts w:cs="Times New Roman" w:hint="eastAsia"/>
                <w:b/>
                <w:bCs/>
                <w:sz w:val="22"/>
              </w:rPr>
              <w:t>UCC</w:t>
            </w:r>
            <w:r w:rsidRPr="00C861EB">
              <w:rPr>
                <w:rFonts w:cs="Times New Roman"/>
                <w:b/>
                <w:bCs/>
                <w:sz w:val="22"/>
              </w:rPr>
              <w:t xml:space="preserve"> Cases</w:t>
            </w:r>
          </w:p>
        </w:tc>
        <w:tc>
          <w:tcPr>
            <w:tcW w:w="2692" w:type="dxa"/>
            <w:vAlign w:val="center"/>
          </w:tcPr>
          <w:p w14:paraId="1655B386" w14:textId="77777777" w:rsidR="00735463" w:rsidRPr="00C861EB" w:rsidRDefault="00735463" w:rsidP="000A1977">
            <w:pPr>
              <w:spacing w:line="240" w:lineRule="auto"/>
              <w:jc w:val="center"/>
              <w:rPr>
                <w:rFonts w:cs="Times New Roman"/>
                <w:b/>
                <w:bCs/>
                <w:sz w:val="22"/>
              </w:rPr>
            </w:pPr>
            <w:r w:rsidRPr="00C861EB">
              <w:rPr>
                <w:rFonts w:cs="Times New Roman" w:hint="eastAsia"/>
                <w:b/>
                <w:bCs/>
                <w:sz w:val="22"/>
              </w:rPr>
              <w:t>Cost</w:t>
            </w:r>
            <w:r w:rsidRPr="00C861EB">
              <w:rPr>
                <w:rFonts w:cs="Times New Roman"/>
                <w:b/>
                <w:bCs/>
                <w:sz w:val="22"/>
              </w:rPr>
              <w:t xml:space="preserve"> </w:t>
            </w:r>
            <w:r w:rsidRPr="00C861EB">
              <w:rPr>
                <w:rFonts w:cs="Times New Roman" w:hint="eastAsia"/>
                <w:b/>
                <w:bCs/>
                <w:sz w:val="22"/>
              </w:rPr>
              <w:t>changes</w:t>
            </w:r>
            <w:r w:rsidRPr="00C861EB">
              <w:rPr>
                <w:rFonts w:cs="Times New Roman"/>
                <w:b/>
                <w:bCs/>
                <w:sz w:val="22"/>
              </w:rPr>
              <w:t xml:space="preserve"> </w:t>
            </w:r>
            <w:r w:rsidRPr="00C861EB">
              <w:rPr>
                <w:rFonts w:cs="Times New Roman" w:hint="eastAsia"/>
                <w:b/>
                <w:bCs/>
                <w:sz w:val="22"/>
              </w:rPr>
              <w:t>of</w:t>
            </w:r>
            <w:r w:rsidRPr="00C861EB">
              <w:rPr>
                <w:rFonts w:cs="Times New Roman"/>
                <w:b/>
                <w:bCs/>
                <w:sz w:val="22"/>
              </w:rPr>
              <w:t xml:space="preserve"> </w:t>
            </w:r>
            <w:r w:rsidRPr="00C861EB">
              <w:rPr>
                <w:rFonts w:cs="Times New Roman" w:hint="eastAsia"/>
                <w:b/>
                <w:bCs/>
                <w:sz w:val="22"/>
              </w:rPr>
              <w:t>users</w:t>
            </w:r>
          </w:p>
        </w:tc>
        <w:tc>
          <w:tcPr>
            <w:tcW w:w="2160" w:type="dxa"/>
            <w:vAlign w:val="center"/>
          </w:tcPr>
          <w:p w14:paraId="70D4CE8E" w14:textId="77777777" w:rsidR="00735463" w:rsidRPr="00C861EB" w:rsidRDefault="00735463" w:rsidP="000A1977">
            <w:pPr>
              <w:spacing w:line="240" w:lineRule="auto"/>
              <w:jc w:val="center"/>
              <w:rPr>
                <w:rFonts w:cs="Times New Roman"/>
                <w:b/>
                <w:bCs/>
                <w:sz w:val="22"/>
              </w:rPr>
            </w:pPr>
            <w:r w:rsidRPr="00C861EB">
              <w:rPr>
                <w:rFonts w:cs="Times New Roman"/>
                <w:b/>
                <w:bCs/>
                <w:sz w:val="22"/>
              </w:rPr>
              <w:t>C</w:t>
            </w:r>
            <w:r w:rsidRPr="00C861EB">
              <w:rPr>
                <w:rFonts w:cs="Times New Roman" w:hint="eastAsia"/>
                <w:b/>
                <w:bCs/>
                <w:sz w:val="22"/>
              </w:rPr>
              <w:t>hanges</w:t>
            </w:r>
            <w:r w:rsidRPr="00C861EB">
              <w:rPr>
                <w:rFonts w:cs="Times New Roman"/>
                <w:b/>
                <w:bCs/>
                <w:sz w:val="22"/>
              </w:rPr>
              <w:t xml:space="preserve"> on logistics efficiency</w:t>
            </w:r>
            <w:r>
              <w:rPr>
                <w:rFonts w:cs="Times New Roman"/>
                <w:b/>
                <w:bCs/>
                <w:sz w:val="22"/>
              </w:rPr>
              <w:t xml:space="preserve"> </w:t>
            </w:r>
            <w:r w:rsidRPr="00C861EB">
              <w:rPr>
                <w:rFonts w:cs="Times New Roman" w:hint="eastAsia"/>
                <w:b/>
                <w:bCs/>
                <w:sz w:val="22"/>
              </w:rPr>
              <w:t>of</w:t>
            </w:r>
            <w:r w:rsidRPr="00C861EB">
              <w:rPr>
                <w:rFonts w:cs="Times New Roman"/>
                <w:b/>
                <w:bCs/>
                <w:sz w:val="22"/>
              </w:rPr>
              <w:t xml:space="preserve"> </w:t>
            </w:r>
            <w:r w:rsidRPr="00C861EB">
              <w:rPr>
                <w:rFonts w:cs="Times New Roman" w:hint="eastAsia"/>
                <w:b/>
                <w:bCs/>
                <w:sz w:val="22"/>
              </w:rPr>
              <w:t>users</w:t>
            </w:r>
          </w:p>
        </w:tc>
        <w:tc>
          <w:tcPr>
            <w:tcW w:w="2991" w:type="dxa"/>
            <w:vAlign w:val="center"/>
          </w:tcPr>
          <w:p w14:paraId="2F05043D" w14:textId="77777777" w:rsidR="00735463" w:rsidRPr="00C861EB" w:rsidRDefault="00735463" w:rsidP="000A1977">
            <w:pPr>
              <w:spacing w:line="240" w:lineRule="auto"/>
              <w:jc w:val="center"/>
              <w:rPr>
                <w:rFonts w:cs="Times New Roman"/>
                <w:b/>
                <w:bCs/>
                <w:sz w:val="22"/>
              </w:rPr>
            </w:pPr>
            <w:r w:rsidRPr="00C861EB">
              <w:rPr>
                <w:rFonts w:cs="Times New Roman"/>
                <w:b/>
                <w:bCs/>
                <w:sz w:val="22"/>
              </w:rPr>
              <w:t>C</w:t>
            </w:r>
            <w:r w:rsidRPr="00C861EB">
              <w:rPr>
                <w:rFonts w:cs="Times New Roman" w:hint="eastAsia"/>
                <w:b/>
                <w:bCs/>
                <w:sz w:val="22"/>
              </w:rPr>
              <w:t>hanges</w:t>
            </w:r>
            <w:r w:rsidRPr="00C861EB">
              <w:rPr>
                <w:rFonts w:cs="Times New Roman"/>
                <w:b/>
                <w:bCs/>
                <w:sz w:val="22"/>
              </w:rPr>
              <w:t xml:space="preserve"> on service quality</w:t>
            </w:r>
            <w:r>
              <w:rPr>
                <w:rFonts w:cs="Times New Roman"/>
                <w:b/>
                <w:bCs/>
                <w:sz w:val="22"/>
              </w:rPr>
              <w:t xml:space="preserve"> </w:t>
            </w:r>
            <w:r w:rsidRPr="00C861EB">
              <w:rPr>
                <w:rFonts w:cs="Times New Roman" w:hint="eastAsia"/>
                <w:b/>
                <w:bCs/>
                <w:sz w:val="22"/>
              </w:rPr>
              <w:t>of</w:t>
            </w:r>
            <w:r w:rsidRPr="00C861EB">
              <w:rPr>
                <w:rFonts w:cs="Times New Roman"/>
                <w:b/>
                <w:bCs/>
                <w:sz w:val="22"/>
              </w:rPr>
              <w:t xml:space="preserve"> </w:t>
            </w:r>
            <w:r w:rsidRPr="00C861EB">
              <w:rPr>
                <w:rFonts w:cs="Times New Roman" w:hint="eastAsia"/>
                <w:b/>
                <w:bCs/>
                <w:sz w:val="22"/>
              </w:rPr>
              <w:t>users</w:t>
            </w:r>
          </w:p>
        </w:tc>
      </w:tr>
      <w:tr w:rsidR="00735463" w:rsidRPr="005C7CD6" w14:paraId="023A4286" w14:textId="77777777" w:rsidTr="00561405">
        <w:trPr>
          <w:trHeight w:val="170"/>
        </w:trPr>
        <w:tc>
          <w:tcPr>
            <w:tcW w:w="1173" w:type="dxa"/>
          </w:tcPr>
          <w:p w14:paraId="4FC7C580" w14:textId="77777777" w:rsidR="00735463" w:rsidRPr="005C7CD6" w:rsidRDefault="00735463" w:rsidP="000A1977">
            <w:pPr>
              <w:spacing w:line="240" w:lineRule="auto"/>
              <w:rPr>
                <w:rFonts w:cs="Times New Roman"/>
                <w:sz w:val="22"/>
              </w:rPr>
            </w:pPr>
            <w:r>
              <w:rPr>
                <w:rFonts w:cs="Times New Roman" w:hint="eastAsia"/>
                <w:sz w:val="22"/>
              </w:rPr>
              <w:t>SCUCC</w:t>
            </w:r>
          </w:p>
        </w:tc>
        <w:tc>
          <w:tcPr>
            <w:tcW w:w="2692" w:type="dxa"/>
            <w:vAlign w:val="center"/>
          </w:tcPr>
          <w:p w14:paraId="3DF09F55" w14:textId="77777777" w:rsidR="00735463" w:rsidRPr="005C7CD6" w:rsidRDefault="00735463" w:rsidP="00561405">
            <w:pPr>
              <w:spacing w:line="240" w:lineRule="auto"/>
              <w:jc w:val="center"/>
              <w:rPr>
                <w:rFonts w:cs="Times New Roman"/>
                <w:sz w:val="22"/>
              </w:rPr>
            </w:pPr>
            <w:r>
              <w:rPr>
                <w:rFonts w:cs="Times New Roman"/>
                <w:sz w:val="22"/>
              </w:rPr>
              <w:sym w:font="Wingdings" w:char="F0F3"/>
            </w:r>
          </w:p>
        </w:tc>
        <w:tc>
          <w:tcPr>
            <w:tcW w:w="2160" w:type="dxa"/>
            <w:vAlign w:val="center"/>
          </w:tcPr>
          <w:p w14:paraId="531D65EE" w14:textId="77777777" w:rsidR="00735463" w:rsidRPr="005C7CD6" w:rsidRDefault="00735463" w:rsidP="00561405">
            <w:pPr>
              <w:spacing w:line="240" w:lineRule="auto"/>
              <w:jc w:val="center"/>
              <w:rPr>
                <w:rFonts w:cs="Times New Roman"/>
                <w:sz w:val="22"/>
              </w:rPr>
            </w:pPr>
            <w:r>
              <w:rPr>
                <w:rFonts w:cs="Times New Roman"/>
                <w:sz w:val="22"/>
              </w:rPr>
              <w:sym w:font="Wingdings" w:char="F0F1"/>
            </w:r>
          </w:p>
        </w:tc>
        <w:tc>
          <w:tcPr>
            <w:tcW w:w="2991" w:type="dxa"/>
            <w:vAlign w:val="center"/>
          </w:tcPr>
          <w:p w14:paraId="29DC4470" w14:textId="77777777" w:rsidR="00735463" w:rsidRPr="005C7CD6" w:rsidRDefault="00735463" w:rsidP="00561405">
            <w:pPr>
              <w:spacing w:line="240" w:lineRule="auto"/>
              <w:jc w:val="center"/>
              <w:rPr>
                <w:rFonts w:cs="Times New Roman"/>
                <w:sz w:val="22"/>
              </w:rPr>
            </w:pPr>
            <w:r>
              <w:rPr>
                <w:rFonts w:cs="Times New Roman"/>
                <w:sz w:val="22"/>
              </w:rPr>
              <w:sym w:font="Wingdings" w:char="F0F3"/>
            </w:r>
          </w:p>
        </w:tc>
      </w:tr>
      <w:tr w:rsidR="00735463" w:rsidRPr="005C7CD6" w14:paraId="17746867" w14:textId="77777777" w:rsidTr="00561405">
        <w:tc>
          <w:tcPr>
            <w:tcW w:w="1173" w:type="dxa"/>
          </w:tcPr>
          <w:p w14:paraId="1016CD40" w14:textId="77777777" w:rsidR="00735463" w:rsidRPr="005C7CD6" w:rsidRDefault="00735463" w:rsidP="000A1977">
            <w:pPr>
              <w:spacing w:line="240" w:lineRule="auto"/>
              <w:rPr>
                <w:rFonts w:cs="Times New Roman"/>
                <w:sz w:val="22"/>
              </w:rPr>
            </w:pPr>
            <w:r>
              <w:rPr>
                <w:rFonts w:cs="Times New Roman" w:hint="eastAsia"/>
                <w:sz w:val="22"/>
              </w:rPr>
              <w:t>RSUCC</w:t>
            </w:r>
          </w:p>
        </w:tc>
        <w:tc>
          <w:tcPr>
            <w:tcW w:w="2692" w:type="dxa"/>
            <w:vAlign w:val="center"/>
          </w:tcPr>
          <w:p w14:paraId="55CCB710" w14:textId="77777777" w:rsidR="00735463" w:rsidRPr="005C7CD6" w:rsidRDefault="00735463" w:rsidP="00561405">
            <w:pPr>
              <w:spacing w:line="240" w:lineRule="auto"/>
              <w:jc w:val="center"/>
              <w:rPr>
                <w:rFonts w:cs="Times New Roman"/>
                <w:sz w:val="22"/>
              </w:rPr>
            </w:pPr>
            <w:r>
              <w:rPr>
                <w:rFonts w:cs="Times New Roman"/>
                <w:sz w:val="22"/>
              </w:rPr>
              <w:sym w:font="Wingdings" w:char="F0F1"/>
            </w:r>
          </w:p>
        </w:tc>
        <w:tc>
          <w:tcPr>
            <w:tcW w:w="2160" w:type="dxa"/>
            <w:vAlign w:val="center"/>
          </w:tcPr>
          <w:p w14:paraId="2997D51A" w14:textId="77777777" w:rsidR="00735463" w:rsidRPr="005C7CD6" w:rsidRDefault="00735463" w:rsidP="00561405">
            <w:pPr>
              <w:spacing w:line="240" w:lineRule="auto"/>
              <w:jc w:val="center"/>
              <w:rPr>
                <w:rFonts w:cs="Times New Roman"/>
                <w:sz w:val="22"/>
              </w:rPr>
            </w:pPr>
            <w:r>
              <w:rPr>
                <w:rFonts w:cs="Times New Roman"/>
                <w:sz w:val="22"/>
              </w:rPr>
              <w:sym w:font="Wingdings" w:char="F0F2"/>
            </w:r>
          </w:p>
        </w:tc>
        <w:tc>
          <w:tcPr>
            <w:tcW w:w="2991" w:type="dxa"/>
            <w:vAlign w:val="center"/>
          </w:tcPr>
          <w:p w14:paraId="40D71CB0" w14:textId="77777777" w:rsidR="00735463" w:rsidRPr="005C7CD6" w:rsidRDefault="00735463" w:rsidP="00561405">
            <w:pPr>
              <w:spacing w:line="240" w:lineRule="auto"/>
              <w:jc w:val="center"/>
              <w:rPr>
                <w:rFonts w:cs="Times New Roman"/>
                <w:sz w:val="22"/>
              </w:rPr>
            </w:pPr>
            <w:r>
              <w:rPr>
                <w:rFonts w:cs="Times New Roman"/>
                <w:sz w:val="22"/>
              </w:rPr>
              <w:sym w:font="Wingdings" w:char="F0F2"/>
            </w:r>
          </w:p>
        </w:tc>
      </w:tr>
      <w:tr w:rsidR="00735463" w:rsidRPr="005C7CD6" w14:paraId="291977F6" w14:textId="77777777" w:rsidTr="00561405">
        <w:tc>
          <w:tcPr>
            <w:tcW w:w="1173" w:type="dxa"/>
          </w:tcPr>
          <w:p w14:paraId="67D5F070" w14:textId="77777777" w:rsidR="00735463" w:rsidRPr="005C7CD6" w:rsidRDefault="00735463" w:rsidP="000A1977">
            <w:pPr>
              <w:spacing w:line="240" w:lineRule="auto"/>
              <w:rPr>
                <w:rFonts w:cs="Times New Roman"/>
                <w:sz w:val="22"/>
              </w:rPr>
            </w:pPr>
            <w:r>
              <w:rPr>
                <w:rFonts w:cs="Times New Roman" w:hint="eastAsia"/>
                <w:sz w:val="22"/>
              </w:rPr>
              <w:t>CAUCC</w:t>
            </w:r>
          </w:p>
        </w:tc>
        <w:tc>
          <w:tcPr>
            <w:tcW w:w="2692" w:type="dxa"/>
            <w:vAlign w:val="center"/>
          </w:tcPr>
          <w:p w14:paraId="1575DB4C" w14:textId="77777777" w:rsidR="00735463" w:rsidRPr="005C7CD6" w:rsidRDefault="00735463" w:rsidP="00561405">
            <w:pPr>
              <w:spacing w:line="240" w:lineRule="auto"/>
              <w:jc w:val="center"/>
              <w:rPr>
                <w:rFonts w:cs="Times New Roman"/>
                <w:sz w:val="22"/>
              </w:rPr>
            </w:pPr>
            <w:r>
              <w:rPr>
                <w:rFonts w:cs="Times New Roman"/>
                <w:sz w:val="22"/>
              </w:rPr>
              <w:sym w:font="Wingdings" w:char="F0F2"/>
            </w:r>
          </w:p>
        </w:tc>
        <w:tc>
          <w:tcPr>
            <w:tcW w:w="2160" w:type="dxa"/>
            <w:vAlign w:val="center"/>
          </w:tcPr>
          <w:p w14:paraId="656AA795" w14:textId="77777777" w:rsidR="00735463" w:rsidRPr="005C7CD6" w:rsidRDefault="00735463" w:rsidP="00561405">
            <w:pPr>
              <w:spacing w:line="240" w:lineRule="auto"/>
              <w:jc w:val="center"/>
              <w:rPr>
                <w:rFonts w:cs="Times New Roman"/>
                <w:sz w:val="22"/>
              </w:rPr>
            </w:pPr>
            <w:r>
              <w:rPr>
                <w:rFonts w:cs="Times New Roman"/>
                <w:sz w:val="22"/>
              </w:rPr>
              <w:sym w:font="Wingdings" w:char="F0F1"/>
            </w:r>
          </w:p>
        </w:tc>
        <w:tc>
          <w:tcPr>
            <w:tcW w:w="2991" w:type="dxa"/>
            <w:vAlign w:val="center"/>
          </w:tcPr>
          <w:p w14:paraId="47ABE914" w14:textId="77777777" w:rsidR="00735463" w:rsidRPr="005C7CD6" w:rsidRDefault="00735463" w:rsidP="00561405">
            <w:pPr>
              <w:spacing w:line="240" w:lineRule="auto"/>
              <w:jc w:val="center"/>
              <w:rPr>
                <w:rFonts w:cs="Times New Roman"/>
                <w:sz w:val="22"/>
              </w:rPr>
            </w:pPr>
            <w:r>
              <w:rPr>
                <w:rFonts w:cs="Times New Roman"/>
                <w:sz w:val="22"/>
              </w:rPr>
              <w:sym w:font="Wingdings" w:char="F0F1"/>
            </w:r>
          </w:p>
        </w:tc>
      </w:tr>
      <w:tr w:rsidR="005C5E14" w:rsidRPr="005C7CD6" w14:paraId="032A19AD" w14:textId="77777777" w:rsidTr="00561405">
        <w:tc>
          <w:tcPr>
            <w:tcW w:w="1173" w:type="dxa"/>
            <w:tcBorders>
              <w:bottom w:val="single" w:sz="4" w:space="0" w:color="auto"/>
            </w:tcBorders>
          </w:tcPr>
          <w:p w14:paraId="511BEE16" w14:textId="77777777" w:rsidR="00735463" w:rsidRPr="005C7CD6" w:rsidRDefault="00735463" w:rsidP="000A1977">
            <w:pPr>
              <w:spacing w:line="240" w:lineRule="auto"/>
              <w:rPr>
                <w:rFonts w:cs="Times New Roman"/>
                <w:sz w:val="22"/>
              </w:rPr>
            </w:pPr>
            <w:r>
              <w:rPr>
                <w:rFonts w:cs="Times New Roman" w:hint="eastAsia"/>
                <w:sz w:val="22"/>
              </w:rPr>
              <w:t>CBUCC</w:t>
            </w:r>
          </w:p>
        </w:tc>
        <w:tc>
          <w:tcPr>
            <w:tcW w:w="2692" w:type="dxa"/>
            <w:tcBorders>
              <w:bottom w:val="single" w:sz="4" w:space="0" w:color="auto"/>
            </w:tcBorders>
            <w:vAlign w:val="center"/>
          </w:tcPr>
          <w:p w14:paraId="3789940A" w14:textId="77777777" w:rsidR="00735463" w:rsidRPr="005C7CD6" w:rsidRDefault="00735463" w:rsidP="00561405">
            <w:pPr>
              <w:spacing w:line="240" w:lineRule="auto"/>
              <w:jc w:val="center"/>
              <w:rPr>
                <w:rFonts w:cs="Times New Roman"/>
                <w:sz w:val="22"/>
              </w:rPr>
            </w:pPr>
            <w:r>
              <w:rPr>
                <w:rFonts w:cs="Times New Roman"/>
                <w:sz w:val="22"/>
              </w:rPr>
              <w:sym w:font="Wingdings" w:char="F0F1"/>
            </w:r>
          </w:p>
        </w:tc>
        <w:tc>
          <w:tcPr>
            <w:tcW w:w="2160" w:type="dxa"/>
            <w:tcBorders>
              <w:bottom w:val="single" w:sz="4" w:space="0" w:color="auto"/>
            </w:tcBorders>
            <w:vAlign w:val="center"/>
          </w:tcPr>
          <w:p w14:paraId="34011980" w14:textId="77777777" w:rsidR="00735463" w:rsidRPr="005C7CD6" w:rsidRDefault="00735463" w:rsidP="00561405">
            <w:pPr>
              <w:spacing w:line="240" w:lineRule="auto"/>
              <w:jc w:val="center"/>
              <w:rPr>
                <w:rFonts w:cs="Times New Roman"/>
                <w:sz w:val="22"/>
              </w:rPr>
            </w:pPr>
            <w:r>
              <w:rPr>
                <w:rFonts w:cs="Times New Roman"/>
                <w:sz w:val="22"/>
              </w:rPr>
              <w:sym w:font="Wingdings" w:char="F0F1"/>
            </w:r>
          </w:p>
        </w:tc>
        <w:tc>
          <w:tcPr>
            <w:tcW w:w="2991" w:type="dxa"/>
            <w:tcBorders>
              <w:bottom w:val="single" w:sz="4" w:space="0" w:color="auto"/>
            </w:tcBorders>
            <w:vAlign w:val="center"/>
          </w:tcPr>
          <w:p w14:paraId="293C237C" w14:textId="77777777" w:rsidR="00735463" w:rsidRPr="005C7CD6" w:rsidRDefault="00735463" w:rsidP="00561405">
            <w:pPr>
              <w:spacing w:line="240" w:lineRule="auto"/>
              <w:jc w:val="center"/>
              <w:rPr>
                <w:rFonts w:cs="Times New Roman"/>
                <w:sz w:val="22"/>
              </w:rPr>
            </w:pPr>
            <w:r>
              <w:rPr>
                <w:rFonts w:cs="Times New Roman"/>
                <w:sz w:val="22"/>
              </w:rPr>
              <w:sym w:font="Wingdings" w:char="F0F1"/>
            </w:r>
          </w:p>
        </w:tc>
      </w:tr>
      <w:tr w:rsidR="00735463" w:rsidRPr="005C7CD6" w14:paraId="6C6C76ED" w14:textId="77777777" w:rsidTr="00B37DAD">
        <w:trPr>
          <w:trHeight w:val="287"/>
        </w:trPr>
        <w:tc>
          <w:tcPr>
            <w:tcW w:w="9016" w:type="dxa"/>
            <w:gridSpan w:val="4"/>
            <w:tcBorders>
              <w:left w:val="nil"/>
              <w:bottom w:val="nil"/>
              <w:right w:val="nil"/>
            </w:tcBorders>
            <w:vAlign w:val="center"/>
          </w:tcPr>
          <w:p w14:paraId="0127BC39" w14:textId="77777777" w:rsidR="00735463" w:rsidRDefault="00735463" w:rsidP="000A1977">
            <w:pPr>
              <w:spacing w:line="240" w:lineRule="auto"/>
              <w:jc w:val="right"/>
              <w:rPr>
                <w:rFonts w:cs="Times New Roman"/>
                <w:sz w:val="22"/>
              </w:rPr>
            </w:pPr>
            <w:r>
              <w:rPr>
                <w:rFonts w:cs="Times New Roman"/>
                <w:sz w:val="22"/>
              </w:rPr>
              <w:sym w:font="Wingdings" w:char="F0F1"/>
            </w:r>
            <w:r>
              <w:rPr>
                <w:rFonts w:cs="Times New Roman" w:hint="eastAsia"/>
                <w:sz w:val="22"/>
              </w:rPr>
              <w:t>:</w:t>
            </w:r>
            <w:r>
              <w:rPr>
                <w:rFonts w:cs="Times New Roman"/>
                <w:sz w:val="22"/>
              </w:rPr>
              <w:t xml:space="preserve"> increased/improved  </w:t>
            </w:r>
            <w:r>
              <w:rPr>
                <w:rFonts w:cs="Times New Roman"/>
                <w:sz w:val="22"/>
              </w:rPr>
              <w:sym w:font="Wingdings" w:char="F0F3"/>
            </w:r>
            <w:r>
              <w:rPr>
                <w:rFonts w:cs="Times New Roman"/>
                <w:sz w:val="22"/>
              </w:rPr>
              <w:t xml:space="preserve">: no change  </w:t>
            </w:r>
            <w:r>
              <w:rPr>
                <w:rFonts w:cs="Times New Roman"/>
                <w:sz w:val="22"/>
              </w:rPr>
              <w:sym w:font="Wingdings" w:char="F0F2"/>
            </w:r>
            <w:r>
              <w:rPr>
                <w:rFonts w:cs="Times New Roman"/>
                <w:sz w:val="22"/>
              </w:rPr>
              <w:t>: reduced/</w:t>
            </w:r>
            <w:r w:rsidRPr="00F72E26">
              <w:rPr>
                <w:rFonts w:cs="Times New Roman"/>
                <w:sz w:val="22"/>
              </w:rPr>
              <w:t>deteriorate</w:t>
            </w:r>
            <w:r>
              <w:rPr>
                <w:rFonts w:cs="Times New Roman"/>
                <w:sz w:val="22"/>
              </w:rPr>
              <w:t>d</w:t>
            </w:r>
          </w:p>
        </w:tc>
      </w:tr>
    </w:tbl>
    <w:p w14:paraId="181B56FC" w14:textId="017A0DA7" w:rsidR="00735463" w:rsidRDefault="007B5959" w:rsidP="00735463">
      <w:pPr>
        <w:pStyle w:val="Caption"/>
        <w:rPr>
          <w:rFonts w:cs="Times New Roman"/>
        </w:rPr>
      </w:pPr>
      <w:bookmarkStart w:id="861" w:name="_Ref45740823"/>
      <w:bookmarkStart w:id="862" w:name="_Toc46053578"/>
      <w:bookmarkStart w:id="863" w:name="_Toc46093827"/>
      <w:bookmarkStart w:id="864" w:name="_Toc66698793"/>
      <w:r>
        <w:t>Table</w:t>
      </w:r>
      <w:r w:rsidR="00735463">
        <w:t xml:space="preserve"> </w:t>
      </w:r>
      <w:r w:rsidR="000306D9">
        <w:fldChar w:fldCharType="begin"/>
      </w:r>
      <w:r w:rsidR="000306D9">
        <w:instrText xml:space="preserve"> STYLEREF 1 \s </w:instrText>
      </w:r>
      <w:r w:rsidR="000306D9">
        <w:fldChar w:fldCharType="separate"/>
      </w:r>
      <w:r w:rsidR="0005064B">
        <w:rPr>
          <w:noProof/>
        </w:rPr>
        <w:t>5</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11</w:t>
      </w:r>
      <w:r w:rsidR="000306D9">
        <w:rPr>
          <w:noProof/>
        </w:rPr>
        <w:fldChar w:fldCharType="end"/>
      </w:r>
      <w:bookmarkEnd w:id="861"/>
      <w:r w:rsidR="006F4589">
        <w:t xml:space="preserve">: </w:t>
      </w:r>
      <w:r w:rsidR="00735463">
        <w:t>Economic impact of UCCs on their users</w:t>
      </w:r>
      <w:bookmarkEnd w:id="862"/>
      <w:bookmarkEnd w:id="863"/>
      <w:bookmarkEnd w:id="864"/>
    </w:p>
    <w:p w14:paraId="4E52125F" w14:textId="26162D35" w:rsidR="00735463" w:rsidRPr="00CF722A" w:rsidRDefault="00CF722A" w:rsidP="002E6FB9">
      <w:pPr>
        <w:spacing w:after="240" w:line="360" w:lineRule="auto"/>
      </w:pPr>
      <w:r>
        <w:rPr>
          <w:noProof/>
        </w:rPr>
        <w:lastRenderedPageBreak/>
        <w:t>van Heeswijk et al. (2019)</w:t>
      </w:r>
      <w:r w:rsidRPr="0050480E">
        <w:t xml:space="preserve"> identify two different types of UCC business models according to the categories of the UCC subscribers. In the first model, </w:t>
      </w:r>
      <w:r>
        <w:t xml:space="preserve">intercity carriers (or suppliers who also organise shipment themselves) </w:t>
      </w:r>
      <w:r w:rsidRPr="0050480E">
        <w:t xml:space="preserve">outsource their last-mile delivery business to a UCC which consolidates goods from </w:t>
      </w:r>
      <w:r>
        <w:t xml:space="preserve">these stakeholders </w:t>
      </w:r>
      <w:r w:rsidRPr="0050480E">
        <w:t>and deliver them to the customers in the urban area. In the second category of UCCs, downstream customers (</w:t>
      </w:r>
      <w:proofErr w:type="gramStart"/>
      <w:r w:rsidRPr="0050480E">
        <w:t>e.g.</w:t>
      </w:r>
      <w:proofErr w:type="gramEnd"/>
      <w:r w:rsidRPr="0050480E">
        <w:t xml:space="preserve"> retailers, restaurant) designate the UCC facility as a consolidation point in order to activate collaborative delivery mechanisms in </w:t>
      </w:r>
      <w:r w:rsidR="006109BD">
        <w:t>an</w:t>
      </w:r>
      <w:r w:rsidRPr="0050480E">
        <w:t xml:space="preserve"> urban area.</w:t>
      </w:r>
      <w:r>
        <w:t xml:space="preserve"> </w:t>
      </w:r>
      <w:r w:rsidR="006C26C8">
        <w:rPr>
          <w:rFonts w:cs="Times New Roman"/>
        </w:rPr>
        <w:t xml:space="preserve">The experience of </w:t>
      </w:r>
      <w:r w:rsidR="006109BD">
        <w:rPr>
          <w:rFonts w:cs="Times New Roman"/>
        </w:rPr>
        <w:t xml:space="preserve">the </w:t>
      </w:r>
      <w:r w:rsidR="006C26C8">
        <w:rPr>
          <w:rFonts w:cs="Times New Roman"/>
        </w:rPr>
        <w:t>RSUCC indicates that</w:t>
      </w:r>
      <w:r w:rsidR="00B7354A">
        <w:rPr>
          <w:rFonts w:cs="Times New Roman"/>
        </w:rPr>
        <w:t>, w</w:t>
      </w:r>
      <w:r w:rsidR="00B7354A" w:rsidRPr="00B7354A">
        <w:rPr>
          <w:rFonts w:cs="Times New Roman"/>
        </w:rPr>
        <w:t xml:space="preserve">ithout the provision of </w:t>
      </w:r>
      <w:r w:rsidR="00B7354A">
        <w:rPr>
          <w:rFonts w:cs="Times New Roman"/>
        </w:rPr>
        <w:t>other value-adding</w:t>
      </w:r>
      <w:r w:rsidR="00B7354A" w:rsidRPr="00B7354A">
        <w:rPr>
          <w:rFonts w:cs="Times New Roman"/>
        </w:rPr>
        <w:t xml:space="preserve"> services</w:t>
      </w:r>
      <w:r w:rsidR="00B7354A">
        <w:rPr>
          <w:rFonts w:cs="Times New Roman"/>
        </w:rPr>
        <w:t>,</w:t>
      </w:r>
      <w:r w:rsidR="006C26C8">
        <w:rPr>
          <w:rFonts w:cs="Times New Roman"/>
        </w:rPr>
        <w:t xml:space="preserve"> </w:t>
      </w:r>
      <w:r w:rsidR="00EE3302">
        <w:rPr>
          <w:rFonts w:cs="Times New Roman"/>
        </w:rPr>
        <w:t xml:space="preserve">negative </w:t>
      </w:r>
      <w:r w:rsidR="006C26C8">
        <w:rPr>
          <w:rFonts w:cs="Times New Roman"/>
        </w:rPr>
        <w:t>economic effects</w:t>
      </w:r>
      <w:r w:rsidR="00EE3302">
        <w:rPr>
          <w:rFonts w:cs="Times New Roman"/>
        </w:rPr>
        <w:t xml:space="preserve"> can be generated </w:t>
      </w:r>
      <w:r>
        <w:rPr>
          <w:rFonts w:cs="Times New Roman"/>
        </w:rPr>
        <w:t>in the second types of UCC models</w:t>
      </w:r>
      <w:r w:rsidR="004D62CB">
        <w:rPr>
          <w:rFonts w:cs="Times New Roman"/>
        </w:rPr>
        <w:t xml:space="preserve">. </w:t>
      </w:r>
      <w:r w:rsidR="00DA71A7">
        <w:rPr>
          <w:rFonts w:cs="Times New Roman"/>
        </w:rPr>
        <w:t xml:space="preserve">Firstly, </w:t>
      </w:r>
      <w:r w:rsidR="00403898">
        <w:rPr>
          <w:rFonts w:cs="Times New Roman"/>
        </w:rPr>
        <w:t>since</w:t>
      </w:r>
      <w:r w:rsidR="00837BF4">
        <w:rPr>
          <w:rFonts w:cs="Times New Roman"/>
        </w:rPr>
        <w:t xml:space="preserve"> receivers already paid the logistics fees for </w:t>
      </w:r>
      <w:r w:rsidR="00534802">
        <w:rPr>
          <w:rFonts w:cs="Times New Roman"/>
        </w:rPr>
        <w:t>their ordering</w:t>
      </w:r>
      <w:r w:rsidR="00837BF4">
        <w:rPr>
          <w:rFonts w:cs="Times New Roman"/>
        </w:rPr>
        <w:t xml:space="preserve">, </w:t>
      </w:r>
      <w:r w:rsidR="00DA71A7">
        <w:rPr>
          <w:rFonts w:cs="Times New Roman"/>
        </w:rPr>
        <w:t xml:space="preserve">requiring the receiver to obtain the </w:t>
      </w:r>
      <w:r w:rsidR="00837BF4">
        <w:rPr>
          <w:rFonts w:cs="Times New Roman" w:hint="eastAsia"/>
        </w:rPr>
        <w:t>UCC</w:t>
      </w:r>
      <w:r w:rsidR="00837BF4">
        <w:rPr>
          <w:rFonts w:cs="Times New Roman"/>
        </w:rPr>
        <w:t>’</w:t>
      </w:r>
      <w:r w:rsidR="00837BF4">
        <w:rPr>
          <w:rFonts w:cs="Times New Roman" w:hint="eastAsia"/>
        </w:rPr>
        <w:t>s</w:t>
      </w:r>
      <w:r w:rsidR="00837BF4">
        <w:rPr>
          <w:rFonts w:cs="Times New Roman"/>
        </w:rPr>
        <w:t xml:space="preserve"> </w:t>
      </w:r>
      <w:r w:rsidR="00837BF4">
        <w:rPr>
          <w:rFonts w:cs="Times New Roman" w:hint="eastAsia"/>
        </w:rPr>
        <w:t>service</w:t>
      </w:r>
      <w:r w:rsidR="00837BF4">
        <w:rPr>
          <w:rFonts w:cs="Times New Roman"/>
        </w:rPr>
        <w:t xml:space="preserve"> </w:t>
      </w:r>
      <w:r w:rsidR="00837BF4">
        <w:rPr>
          <w:rFonts w:cs="Times New Roman" w:hint="eastAsia"/>
        </w:rPr>
        <w:t>can</w:t>
      </w:r>
      <w:r w:rsidR="00837BF4">
        <w:rPr>
          <w:rFonts w:cs="Times New Roman"/>
        </w:rPr>
        <w:t xml:space="preserve"> </w:t>
      </w:r>
      <w:r w:rsidR="00837BF4">
        <w:rPr>
          <w:rFonts w:cs="Times New Roman" w:hint="eastAsia"/>
        </w:rPr>
        <w:t>lead</w:t>
      </w:r>
      <w:r w:rsidR="00837BF4">
        <w:rPr>
          <w:rFonts w:cs="Times New Roman"/>
        </w:rPr>
        <w:t xml:space="preserve"> </w:t>
      </w:r>
      <w:r w:rsidR="00837BF4">
        <w:rPr>
          <w:rFonts w:cs="Times New Roman" w:hint="eastAsia"/>
        </w:rPr>
        <w:t>to</w:t>
      </w:r>
      <w:r w:rsidR="00837BF4">
        <w:rPr>
          <w:rFonts w:cs="Times New Roman"/>
        </w:rPr>
        <w:t xml:space="preserve"> </w:t>
      </w:r>
      <w:r w:rsidR="00837BF4">
        <w:rPr>
          <w:rFonts w:cs="Times New Roman" w:hint="eastAsia"/>
        </w:rPr>
        <w:t>r</w:t>
      </w:r>
      <w:r w:rsidR="00837BF4">
        <w:rPr>
          <w:rFonts w:cs="Times New Roman"/>
        </w:rPr>
        <w:t>epeated payment of the user</w:t>
      </w:r>
      <w:r w:rsidR="00403898">
        <w:rPr>
          <w:rFonts w:cs="Times New Roman"/>
        </w:rPr>
        <w:t xml:space="preserve"> in logistics. </w:t>
      </w:r>
      <w:r w:rsidR="00156022">
        <w:rPr>
          <w:rFonts w:cs="Times New Roman"/>
        </w:rPr>
        <w:t xml:space="preserve">Such </w:t>
      </w:r>
      <w:r w:rsidR="00EB7020">
        <w:rPr>
          <w:rFonts w:cs="Times New Roman"/>
        </w:rPr>
        <w:t xml:space="preserve">a </w:t>
      </w:r>
      <w:r w:rsidR="00156022">
        <w:rPr>
          <w:rFonts w:cs="Times New Roman"/>
        </w:rPr>
        <w:t xml:space="preserve">finding is </w:t>
      </w:r>
      <w:r w:rsidR="00EB7020">
        <w:rPr>
          <w:rFonts w:cs="Times New Roman"/>
        </w:rPr>
        <w:t>consistent with</w:t>
      </w:r>
      <w:r w:rsidR="00156022">
        <w:rPr>
          <w:rFonts w:cs="Times New Roman"/>
        </w:rPr>
        <w:t xml:space="preserve"> the conclusion from </w:t>
      </w:r>
      <w:proofErr w:type="spellStart"/>
      <w:r w:rsidR="00156022" w:rsidRPr="00156022">
        <w:rPr>
          <w:rFonts w:cs="Times New Roman"/>
        </w:rPr>
        <w:t>Akgün</w:t>
      </w:r>
      <w:proofErr w:type="spellEnd"/>
      <w:r w:rsidR="00156022" w:rsidRPr="00156022">
        <w:rPr>
          <w:rFonts w:cs="Times New Roman"/>
        </w:rPr>
        <w:t xml:space="preserve"> et al. </w:t>
      </w:r>
      <w:r w:rsidR="00156022">
        <w:rPr>
          <w:rFonts w:cs="Times New Roman"/>
        </w:rPr>
        <w:t>(</w:t>
      </w:r>
      <w:r w:rsidR="00156022" w:rsidRPr="00156022">
        <w:rPr>
          <w:rFonts w:cs="Times New Roman"/>
        </w:rPr>
        <w:t>2019</w:t>
      </w:r>
      <w:r w:rsidR="00156022">
        <w:rPr>
          <w:rFonts w:cs="Times New Roman"/>
        </w:rPr>
        <w:t>a</w:t>
      </w:r>
      <w:r w:rsidR="00156022" w:rsidRPr="00156022">
        <w:rPr>
          <w:rFonts w:cs="Times New Roman"/>
        </w:rPr>
        <w:t>)</w:t>
      </w:r>
      <w:r w:rsidR="00156022">
        <w:rPr>
          <w:rFonts w:cs="Times New Roman"/>
        </w:rPr>
        <w:t>.</w:t>
      </w:r>
      <w:r w:rsidR="00156022" w:rsidRPr="00156022">
        <w:rPr>
          <w:rFonts w:cs="Times New Roman"/>
        </w:rPr>
        <w:t xml:space="preserve"> </w:t>
      </w:r>
      <w:r w:rsidR="008007EB">
        <w:rPr>
          <w:rFonts w:cs="Times New Roman"/>
        </w:rPr>
        <w:t xml:space="preserve">On the other hand, </w:t>
      </w:r>
      <w:r w:rsidR="00004FEF">
        <w:rPr>
          <w:rFonts w:cs="Times New Roman"/>
        </w:rPr>
        <w:t xml:space="preserve">for the goods receivers, </w:t>
      </w:r>
      <w:r w:rsidR="008007EB">
        <w:rPr>
          <w:rFonts w:cs="Times New Roman"/>
        </w:rPr>
        <w:t xml:space="preserve">additional goods </w:t>
      </w:r>
      <w:r w:rsidR="00E5487F">
        <w:rPr>
          <w:rFonts w:cs="Times New Roman"/>
        </w:rPr>
        <w:t>handling</w:t>
      </w:r>
      <w:r w:rsidR="008007EB">
        <w:rPr>
          <w:rFonts w:cs="Times New Roman"/>
        </w:rPr>
        <w:t xml:space="preserve"> in</w:t>
      </w:r>
      <w:r w:rsidR="00EB7020">
        <w:rPr>
          <w:rFonts w:cs="Times New Roman"/>
        </w:rPr>
        <w:t xml:space="preserve"> the</w:t>
      </w:r>
      <w:r w:rsidR="002E2F84">
        <w:rPr>
          <w:rFonts w:cs="Times New Roman"/>
        </w:rPr>
        <w:t xml:space="preserve"> </w:t>
      </w:r>
      <w:r w:rsidR="008007EB">
        <w:rPr>
          <w:rFonts w:cs="Times New Roman"/>
        </w:rPr>
        <w:t>UCC</w:t>
      </w:r>
      <w:r w:rsidR="00E5487F">
        <w:rPr>
          <w:rFonts w:cs="Times New Roman"/>
        </w:rPr>
        <w:t xml:space="preserve"> will generate </w:t>
      </w:r>
      <w:r w:rsidR="00004FEF">
        <w:rPr>
          <w:rFonts w:cs="Times New Roman"/>
        </w:rPr>
        <w:t xml:space="preserve">lead-time and operational risk, which </w:t>
      </w:r>
      <w:r w:rsidR="00004FEF" w:rsidRPr="00156022">
        <w:rPr>
          <w:rFonts w:cs="Times New Roman"/>
        </w:rPr>
        <w:t>deteriorate</w:t>
      </w:r>
      <w:r w:rsidR="00004FEF">
        <w:rPr>
          <w:rFonts w:cs="Times New Roman"/>
        </w:rPr>
        <w:t xml:space="preserve"> the service quality and </w:t>
      </w:r>
      <w:r w:rsidR="00140A7A">
        <w:rPr>
          <w:rFonts w:cs="Times New Roman"/>
        </w:rPr>
        <w:t>efficiency of shipment</w:t>
      </w:r>
      <w:r w:rsidR="00B7354A">
        <w:rPr>
          <w:rFonts w:cs="Times New Roman"/>
        </w:rPr>
        <w:t>.</w:t>
      </w:r>
      <w:r w:rsidR="003173EA">
        <w:rPr>
          <w:rFonts w:cs="Times New Roman"/>
        </w:rPr>
        <w:t xml:space="preserve"> </w:t>
      </w:r>
    </w:p>
    <w:p w14:paraId="5FE2EAB0" w14:textId="77777777" w:rsidR="00656367" w:rsidRPr="00A96AC5" w:rsidRDefault="00656367" w:rsidP="00656367">
      <w:pPr>
        <w:pStyle w:val="Heading2"/>
        <w:spacing w:after="120" w:line="360" w:lineRule="auto"/>
        <w:rPr>
          <w:rFonts w:cs="Times New Roman"/>
        </w:rPr>
      </w:pPr>
      <w:bookmarkStart w:id="865" w:name="_Toc46053469"/>
      <w:bookmarkStart w:id="866" w:name="_Toc46093383"/>
      <w:bookmarkStart w:id="867" w:name="_Toc46093666"/>
      <w:bookmarkStart w:id="868" w:name="_Toc66703242"/>
      <w:r w:rsidRPr="00A96AC5">
        <w:rPr>
          <w:rFonts w:cs="Times New Roman"/>
        </w:rPr>
        <w:t>Chapter summary</w:t>
      </w:r>
      <w:bookmarkEnd w:id="865"/>
      <w:bookmarkEnd w:id="866"/>
      <w:bookmarkEnd w:id="867"/>
      <w:bookmarkEnd w:id="868"/>
    </w:p>
    <w:p w14:paraId="60B5DA28" w14:textId="5803B8B2" w:rsidR="00C31882" w:rsidRDefault="00656367" w:rsidP="00C25146">
      <w:pPr>
        <w:spacing w:after="240" w:line="360" w:lineRule="auto"/>
        <w:rPr>
          <w:rFonts w:cs="Times New Roman"/>
        </w:rPr>
      </w:pPr>
      <w:r w:rsidRPr="00A96AC5">
        <w:rPr>
          <w:rFonts w:cs="Times New Roman"/>
        </w:rPr>
        <w:t>This chapter compared the features of stakeholder engagement in the four UCCs.</w:t>
      </w:r>
      <w:r w:rsidR="00560564">
        <w:rPr>
          <w:rFonts w:cs="Times New Roman"/>
        </w:rPr>
        <w:t xml:space="preserve"> </w:t>
      </w:r>
      <w:r w:rsidRPr="00A96AC5">
        <w:rPr>
          <w:rFonts w:cs="Times New Roman"/>
        </w:rPr>
        <w:t xml:space="preserve"> </w:t>
      </w:r>
      <w:r w:rsidR="00626818" w:rsidRPr="00A96AC5">
        <w:rPr>
          <w:rFonts w:cs="Times New Roman"/>
        </w:rPr>
        <w:t xml:space="preserve">The issues arising from the different LPs in four UCCs </w:t>
      </w:r>
      <w:r w:rsidR="000D0057">
        <w:rPr>
          <w:rFonts w:cs="Times New Roman"/>
        </w:rPr>
        <w:t xml:space="preserve">were </w:t>
      </w:r>
      <w:r w:rsidR="00626818" w:rsidRPr="00A96AC5">
        <w:rPr>
          <w:rFonts w:cs="Times New Roman"/>
        </w:rPr>
        <w:t>analysed</w:t>
      </w:r>
      <w:r w:rsidR="000D0057">
        <w:rPr>
          <w:rFonts w:cs="Times New Roman"/>
        </w:rPr>
        <w:t>;</w:t>
      </w:r>
      <w:r w:rsidR="00626818" w:rsidRPr="00A96AC5">
        <w:rPr>
          <w:rFonts w:cs="Times New Roman"/>
        </w:rPr>
        <w:t xml:space="preserve"> the relevant categories of stakeholder were identified</w:t>
      </w:r>
      <w:r w:rsidR="000D0057">
        <w:rPr>
          <w:rFonts w:cs="Times New Roman"/>
        </w:rPr>
        <w:t>;</w:t>
      </w:r>
      <w:r w:rsidR="00626818" w:rsidRPr="00A96AC5">
        <w:rPr>
          <w:rFonts w:cs="Times New Roman"/>
        </w:rPr>
        <w:t xml:space="preserve"> </w:t>
      </w:r>
      <w:r w:rsidR="000D0057">
        <w:rPr>
          <w:rFonts w:cs="Times New Roman"/>
        </w:rPr>
        <w:t>t</w:t>
      </w:r>
      <w:r w:rsidR="00626818" w:rsidRPr="00A96AC5">
        <w:rPr>
          <w:rFonts w:cs="Times New Roman"/>
        </w:rPr>
        <w:t xml:space="preserve">he motivations of the stakeholders for participation </w:t>
      </w:r>
      <w:r w:rsidR="000D0057">
        <w:rPr>
          <w:rFonts w:cs="Times New Roman"/>
        </w:rPr>
        <w:t>were</w:t>
      </w:r>
      <w:r w:rsidR="00626818" w:rsidRPr="00A96AC5">
        <w:rPr>
          <w:rFonts w:cs="Times New Roman"/>
        </w:rPr>
        <w:t xml:space="preserve"> interpreted</w:t>
      </w:r>
      <w:r w:rsidR="000D0057">
        <w:rPr>
          <w:rFonts w:cs="Times New Roman"/>
        </w:rPr>
        <w:t xml:space="preserve">; </w:t>
      </w:r>
      <w:r w:rsidR="002E2F84">
        <w:rPr>
          <w:rFonts w:cs="Times New Roman"/>
        </w:rPr>
        <w:t xml:space="preserve">and </w:t>
      </w:r>
      <w:r w:rsidR="00626818">
        <w:rPr>
          <w:rFonts w:cs="Times New Roman"/>
        </w:rPr>
        <w:t>details</w:t>
      </w:r>
      <w:r w:rsidR="00626818" w:rsidRPr="00A96AC5">
        <w:rPr>
          <w:rFonts w:cs="Times New Roman"/>
        </w:rPr>
        <w:t xml:space="preserve"> of stakeholder partnerships </w:t>
      </w:r>
      <w:r w:rsidR="00626818">
        <w:rPr>
          <w:rFonts w:cs="Times New Roman"/>
        </w:rPr>
        <w:t xml:space="preserve">are </w:t>
      </w:r>
      <w:r w:rsidR="00626818" w:rsidRPr="00A96AC5">
        <w:rPr>
          <w:rFonts w:cs="Times New Roman"/>
        </w:rPr>
        <w:t>introduced</w:t>
      </w:r>
      <w:r w:rsidR="00626818">
        <w:rPr>
          <w:rFonts w:cs="Times New Roman"/>
        </w:rPr>
        <w:t xml:space="preserve">. </w:t>
      </w:r>
      <w:r w:rsidR="00142D40">
        <w:rPr>
          <w:rFonts w:cs="Times New Roman"/>
        </w:rPr>
        <w:t>The result reveals</w:t>
      </w:r>
      <w:r w:rsidR="00C31882">
        <w:rPr>
          <w:rFonts w:cs="Times New Roman"/>
        </w:rPr>
        <w:t xml:space="preserve"> that</w:t>
      </w:r>
      <w:r w:rsidR="00430399">
        <w:rPr>
          <w:rFonts w:cs="Times New Roman"/>
        </w:rPr>
        <w:t xml:space="preserve"> a</w:t>
      </w:r>
      <w:r w:rsidR="00C31882">
        <w:rPr>
          <w:rFonts w:cs="Times New Roman"/>
        </w:rPr>
        <w:t xml:space="preserve"> UCC can generate </w:t>
      </w:r>
      <w:r w:rsidR="004C7B21">
        <w:rPr>
          <w:rFonts w:cs="Times New Roman"/>
        </w:rPr>
        <w:t>economic benefits for all participating stakeholders.</w:t>
      </w:r>
      <w:r w:rsidR="00055845">
        <w:rPr>
          <w:rFonts w:cs="Times New Roman"/>
        </w:rPr>
        <w:t xml:space="preserve"> In this way, it is possible for private stakeholders to support UCC</w:t>
      </w:r>
      <w:r w:rsidR="00B8542A">
        <w:rPr>
          <w:rFonts w:cs="Times New Roman"/>
        </w:rPr>
        <w:t xml:space="preserve"> together</w:t>
      </w:r>
      <w:r w:rsidR="00055845">
        <w:rPr>
          <w:rFonts w:cs="Times New Roman"/>
        </w:rPr>
        <w:t>.</w:t>
      </w:r>
      <w:r w:rsidR="009E342F">
        <w:rPr>
          <w:rFonts w:cs="Times New Roman"/>
        </w:rPr>
        <w:t xml:space="preserve"> The </w:t>
      </w:r>
      <w:r w:rsidR="008D13D7">
        <w:rPr>
          <w:rFonts w:cs="Times New Roman"/>
        </w:rPr>
        <w:t>real matter</w:t>
      </w:r>
      <w:r w:rsidR="000F55CA">
        <w:rPr>
          <w:rFonts w:cs="Times New Roman"/>
        </w:rPr>
        <w:t>s</w:t>
      </w:r>
      <w:r w:rsidR="008D13D7">
        <w:rPr>
          <w:rFonts w:cs="Times New Roman"/>
        </w:rPr>
        <w:t xml:space="preserve"> </w:t>
      </w:r>
      <w:r w:rsidR="000F55CA">
        <w:rPr>
          <w:rFonts w:cs="Times New Roman"/>
        </w:rPr>
        <w:t>are</w:t>
      </w:r>
      <w:r w:rsidR="008D13D7">
        <w:rPr>
          <w:rFonts w:cs="Times New Roman"/>
        </w:rPr>
        <w:t xml:space="preserve"> to identify the intersections of the stakeholders’ interests</w:t>
      </w:r>
      <w:r w:rsidR="000F55CA">
        <w:rPr>
          <w:rFonts w:cs="Times New Roman"/>
        </w:rPr>
        <w:t xml:space="preserve"> and to mitigate the conflicts between them. </w:t>
      </w:r>
      <w:proofErr w:type="gramStart"/>
      <w:r w:rsidR="00560564">
        <w:rPr>
          <w:rFonts w:cs="Times New Roman"/>
        </w:rPr>
        <w:t>As long as</w:t>
      </w:r>
      <w:proofErr w:type="gramEnd"/>
      <w:r w:rsidR="00560564">
        <w:rPr>
          <w:rFonts w:cs="Times New Roman"/>
        </w:rPr>
        <w:t xml:space="preserve"> </w:t>
      </w:r>
      <w:r w:rsidR="000F55CA">
        <w:rPr>
          <w:rFonts w:cs="Times New Roman"/>
        </w:rPr>
        <w:t xml:space="preserve">these two </w:t>
      </w:r>
      <w:r w:rsidR="007E78B5">
        <w:rPr>
          <w:rFonts w:cs="Times New Roman"/>
        </w:rPr>
        <w:t>difficulties</w:t>
      </w:r>
      <w:r w:rsidR="000F55CA">
        <w:rPr>
          <w:rFonts w:cs="Times New Roman"/>
        </w:rPr>
        <w:t xml:space="preserve"> are </w:t>
      </w:r>
      <w:r w:rsidR="002D6B74">
        <w:rPr>
          <w:rFonts w:cs="Times New Roman"/>
        </w:rPr>
        <w:t>overcome,</w:t>
      </w:r>
      <w:r w:rsidR="00651AC0">
        <w:rPr>
          <w:rFonts w:cs="Times New Roman"/>
        </w:rPr>
        <w:t xml:space="preserve"> </w:t>
      </w:r>
      <w:r w:rsidR="00633F03">
        <w:rPr>
          <w:rFonts w:cs="Times New Roman"/>
        </w:rPr>
        <w:t>both private and public stakeholders</w:t>
      </w:r>
      <w:r w:rsidR="00651AC0">
        <w:rPr>
          <w:rFonts w:cs="Times New Roman"/>
        </w:rPr>
        <w:t xml:space="preserve"> </w:t>
      </w:r>
      <w:r w:rsidR="007E78B5">
        <w:rPr>
          <w:rFonts w:cs="Times New Roman"/>
        </w:rPr>
        <w:t>could formulate the common objectives</w:t>
      </w:r>
      <w:r w:rsidR="00C25146">
        <w:rPr>
          <w:rFonts w:cs="Times New Roman"/>
        </w:rPr>
        <w:t xml:space="preserve">, which </w:t>
      </w:r>
      <w:r w:rsidR="00430399">
        <w:rPr>
          <w:rFonts w:cs="Times New Roman"/>
        </w:rPr>
        <w:t xml:space="preserve">would </w:t>
      </w:r>
      <w:r w:rsidR="00C25146">
        <w:rPr>
          <w:rFonts w:cs="Times New Roman"/>
        </w:rPr>
        <w:t xml:space="preserve">allow the </w:t>
      </w:r>
      <w:r w:rsidR="00626818">
        <w:rPr>
          <w:rFonts w:cs="Times New Roman"/>
        </w:rPr>
        <w:t>interest</w:t>
      </w:r>
      <w:r w:rsidR="00430399">
        <w:rPr>
          <w:rFonts w:cs="Times New Roman"/>
        </w:rPr>
        <w:t>s</w:t>
      </w:r>
      <w:r w:rsidR="00626818">
        <w:rPr>
          <w:rFonts w:cs="Times New Roman"/>
        </w:rPr>
        <w:t xml:space="preserve"> of different stakeholders</w:t>
      </w:r>
      <w:r w:rsidR="00C25146">
        <w:rPr>
          <w:rFonts w:cs="Times New Roman"/>
        </w:rPr>
        <w:t xml:space="preserve"> to be </w:t>
      </w:r>
      <w:r w:rsidR="00430399">
        <w:rPr>
          <w:rFonts w:cs="Times New Roman"/>
        </w:rPr>
        <w:t>merged</w:t>
      </w:r>
      <w:r w:rsidR="00626818">
        <w:rPr>
          <w:rFonts w:cs="Times New Roman"/>
        </w:rPr>
        <w:t>.</w:t>
      </w:r>
      <w:r w:rsidR="000D0057">
        <w:rPr>
          <w:rFonts w:cs="Times New Roman"/>
        </w:rPr>
        <w:t xml:space="preserve"> </w:t>
      </w:r>
      <w:r w:rsidR="00C25146">
        <w:rPr>
          <w:rFonts w:cs="Times New Roman"/>
        </w:rPr>
        <w:t>There</w:t>
      </w:r>
      <w:r w:rsidR="00430399">
        <w:rPr>
          <w:rFonts w:cs="Times New Roman"/>
        </w:rPr>
        <w:t>fore,</w:t>
      </w:r>
      <w:r w:rsidR="00C25146">
        <w:rPr>
          <w:rFonts w:cs="Times New Roman"/>
        </w:rPr>
        <w:t xml:space="preserve"> o</w:t>
      </w:r>
      <w:r w:rsidR="000D0057">
        <w:rPr>
          <w:rFonts w:cs="Times New Roman"/>
        </w:rPr>
        <w:t xml:space="preserve">rganising </w:t>
      </w:r>
      <w:r w:rsidR="00381332">
        <w:rPr>
          <w:rFonts w:cs="Times New Roman"/>
        </w:rPr>
        <w:t xml:space="preserve">appropriate stakeholders engagement </w:t>
      </w:r>
      <w:r w:rsidR="00C25146">
        <w:rPr>
          <w:rFonts w:cs="Times New Roman"/>
        </w:rPr>
        <w:t xml:space="preserve">could </w:t>
      </w:r>
      <w:r w:rsidR="00430399">
        <w:rPr>
          <w:rFonts w:cs="Times New Roman"/>
        </w:rPr>
        <w:t xml:space="preserve">help </w:t>
      </w:r>
      <w:r w:rsidR="00C25146">
        <w:rPr>
          <w:rFonts w:cs="Times New Roman"/>
        </w:rPr>
        <w:t>achieve these targets.</w:t>
      </w:r>
    </w:p>
    <w:p w14:paraId="02458D87" w14:textId="44AD8C1A" w:rsidR="009C5622" w:rsidRDefault="00531359" w:rsidP="00C25146">
      <w:pPr>
        <w:spacing w:after="240" w:line="360" w:lineRule="auto"/>
        <w:rPr>
          <w:rFonts w:cs="Times New Roman"/>
        </w:rPr>
      </w:pPr>
      <w:r w:rsidRPr="00531359">
        <w:rPr>
          <w:rFonts w:cs="Times New Roman"/>
        </w:rPr>
        <w:t xml:space="preserve">There is no denying that </w:t>
      </w:r>
      <w:r>
        <w:rPr>
          <w:rFonts w:cs="Times New Roman"/>
        </w:rPr>
        <w:t xml:space="preserve">there </w:t>
      </w:r>
      <w:r w:rsidR="00430399">
        <w:rPr>
          <w:rFonts w:cs="Times New Roman"/>
        </w:rPr>
        <w:t>are</w:t>
      </w:r>
      <w:r>
        <w:rPr>
          <w:rFonts w:cs="Times New Roman"/>
        </w:rPr>
        <w:t xml:space="preserve"> conflicts during UCC construction and operation.</w:t>
      </w:r>
      <w:r w:rsidR="00A5035B">
        <w:rPr>
          <w:rFonts w:cs="Times New Roman"/>
        </w:rPr>
        <w:t xml:space="preserve"> </w:t>
      </w:r>
      <w:r w:rsidR="009C5622">
        <w:rPr>
          <w:rFonts w:cs="Times New Roman"/>
        </w:rPr>
        <w:t xml:space="preserve">For the purpose </w:t>
      </w:r>
      <w:r w:rsidR="0020288D">
        <w:rPr>
          <w:rFonts w:cs="Times New Roman"/>
        </w:rPr>
        <w:t>of solving these issue</w:t>
      </w:r>
      <w:r w:rsidR="00F85F40">
        <w:rPr>
          <w:rFonts w:cs="Times New Roman"/>
        </w:rPr>
        <w:t>s</w:t>
      </w:r>
      <w:r w:rsidR="001A059A">
        <w:rPr>
          <w:rFonts w:cs="Times New Roman"/>
        </w:rPr>
        <w:t xml:space="preserve"> during the </w:t>
      </w:r>
      <w:proofErr w:type="gramStart"/>
      <w:r w:rsidR="00152A3A">
        <w:rPr>
          <w:rFonts w:cs="Times New Roman"/>
        </w:rPr>
        <w:t>stakeholders</w:t>
      </w:r>
      <w:proofErr w:type="gramEnd"/>
      <w:r w:rsidR="00152A3A">
        <w:rPr>
          <w:rFonts w:cs="Times New Roman"/>
        </w:rPr>
        <w:t xml:space="preserve"> engagement, appropriate tools should be utilised. In </w:t>
      </w:r>
      <w:r w:rsidR="0089616C">
        <w:rPr>
          <w:rFonts w:cs="Times New Roman"/>
        </w:rPr>
        <w:t>t</w:t>
      </w:r>
      <w:r w:rsidR="00152A3A">
        <w:rPr>
          <w:rFonts w:cs="Times New Roman"/>
        </w:rPr>
        <w:t xml:space="preserve">he next section, </w:t>
      </w:r>
      <w:r w:rsidR="00830976">
        <w:rPr>
          <w:rFonts w:cs="Times New Roman"/>
        </w:rPr>
        <w:t>this research</w:t>
      </w:r>
      <w:r w:rsidR="00152A3A">
        <w:rPr>
          <w:rFonts w:cs="Times New Roman"/>
        </w:rPr>
        <w:t xml:space="preserve"> will discuss how </w:t>
      </w:r>
      <w:r w:rsidR="00F85F40">
        <w:rPr>
          <w:rFonts w:cs="Times New Roman"/>
        </w:rPr>
        <w:t xml:space="preserve">the </w:t>
      </w:r>
      <w:r w:rsidR="00152A3A">
        <w:rPr>
          <w:rFonts w:cs="Times New Roman"/>
        </w:rPr>
        <w:t xml:space="preserve">MCDM method can be </w:t>
      </w:r>
      <w:r w:rsidR="00CA60D4">
        <w:rPr>
          <w:rFonts w:cs="Times New Roman"/>
        </w:rPr>
        <w:t>implemented in</w:t>
      </w:r>
      <w:r w:rsidR="00F85F40">
        <w:rPr>
          <w:rFonts w:cs="Times New Roman"/>
        </w:rPr>
        <w:t xml:space="preserve"> order</w:t>
      </w:r>
      <w:r w:rsidR="00CA60D4">
        <w:rPr>
          <w:rFonts w:cs="Times New Roman"/>
        </w:rPr>
        <w:t xml:space="preserve"> to promote the </w:t>
      </w:r>
      <w:proofErr w:type="gramStart"/>
      <w:r w:rsidR="00CA60D4">
        <w:rPr>
          <w:rFonts w:cs="Times New Roman"/>
        </w:rPr>
        <w:t>stakeholders</w:t>
      </w:r>
      <w:proofErr w:type="gramEnd"/>
      <w:r w:rsidR="00CA60D4">
        <w:rPr>
          <w:rFonts w:cs="Times New Roman"/>
        </w:rPr>
        <w:t xml:space="preserve"> engagement.</w:t>
      </w:r>
    </w:p>
    <w:p w14:paraId="5EAB507C" w14:textId="77777777" w:rsidR="00B25D89" w:rsidRDefault="00B25D89">
      <w:pPr>
        <w:rPr>
          <w:rFonts w:eastAsiaTheme="majorEastAsia"/>
          <w:b/>
          <w:bCs/>
          <w:color w:val="1F4E79" w:themeColor="accent1" w:themeShade="80"/>
          <w:kern w:val="44"/>
          <w:sz w:val="44"/>
          <w:szCs w:val="32"/>
        </w:rPr>
      </w:pPr>
      <w:r>
        <w:br w:type="page"/>
      </w:r>
    </w:p>
    <w:p w14:paraId="18AEC56C" w14:textId="51C6F1DF" w:rsidR="00DC0CB1" w:rsidRPr="00270DAE" w:rsidRDefault="00BF1E21" w:rsidP="00DC0CB1">
      <w:pPr>
        <w:pStyle w:val="Heading1"/>
        <w:spacing w:before="0" w:line="360" w:lineRule="auto"/>
        <w:rPr>
          <w:rFonts w:ascii="Garamond" w:hAnsi="Garamond"/>
          <w:b w:val="0"/>
          <w:color w:val="000000" w:themeColor="text1"/>
          <w:sz w:val="24"/>
          <w:szCs w:val="24"/>
        </w:rPr>
      </w:pPr>
      <w:bookmarkStart w:id="869" w:name="_Toc66703243"/>
      <w:r>
        <w:lastRenderedPageBreak/>
        <w:t>Assessing stakeholders’ preferences in UCC contexts</w:t>
      </w:r>
      <w:bookmarkEnd w:id="869"/>
    </w:p>
    <w:p w14:paraId="235CAD36" w14:textId="168C88A0" w:rsidR="00270DAE" w:rsidRPr="00E3145A" w:rsidRDefault="00270DAE" w:rsidP="00D53214">
      <w:pPr>
        <w:spacing w:after="240" w:line="360" w:lineRule="auto"/>
      </w:pPr>
      <w:r w:rsidRPr="00E3145A">
        <w:t xml:space="preserve">Logistical activities contribute 10-30% of the total volume of traffic in urban areas </w:t>
      </w:r>
      <w:r w:rsidR="00436A75">
        <w:fldChar w:fldCharType="begin"/>
      </w:r>
      <w:r w:rsidR="00647E79">
        <w:instrText xml:space="preserve"> ADDIN EN.CITE &lt;EndNote&gt;&lt;Cite&gt;&lt;Author&gt;Agrebi&lt;/Author&gt;&lt;Year&gt;2015&lt;/Year&gt;&lt;RecNum&gt;308&lt;/RecNum&gt;&lt;DisplayText&gt;(Agrebi et al., 2015)&lt;/DisplayText&gt;&lt;record&gt;&lt;rec-number&gt;308&lt;/rec-number&gt;&lt;foreign-keys&gt;&lt;key app="EN" db-id="pzt5ep52hsedfpeext2pdfes0w0aswaewef2" timestamp="1605187999"&gt;308&lt;/key&gt;&lt;/foreign-keys&gt;&lt;ref-type name="Conference Proceedings"&gt;10&lt;/ref-type&gt;&lt;contributors&gt;&lt;authors&gt;&lt;author&gt;M. Agrebi&lt;/author&gt;&lt;author&gt;M. Abed&lt;/author&gt;&lt;author&gt;M. N. Omri&lt;/author&gt;&lt;/authors&gt;&lt;/contributors&gt;&lt;titles&gt;&lt;title&gt;Urban distribution centers&amp;apos; location selection&amp;apos;s problem: A survey&lt;/title&gt;&lt;secondary-title&gt;2015 4th International Conference on Advanced Logistics and Transport (ICALT)&lt;/secondary-title&gt;&lt;alt-title&gt;2015 4th International Conference on Advanced Logistics and Transport (ICALT)&lt;/alt-title&gt;&lt;/titles&gt;&lt;pages&gt;246-251&lt;/pages&gt;&lt;keywords&gt;&lt;keyword&gt;facility location&lt;/keyword&gt;&lt;keyword&gt;freight handling&lt;/keyword&gt;&lt;keyword&gt;urban distribution center location selection problem&lt;/keyword&gt;&lt;keyword&gt;certain environment problem&lt;/keyword&gt;&lt;keyword&gt;uncertain environment problem&lt;/keyword&gt;&lt;keyword&gt;Mars&lt;/keyword&gt;&lt;keyword&gt;Analytical models&lt;/keyword&gt;&lt;keyword&gt;Security&lt;/keyword&gt;&lt;keyword&gt;Uncertainty&lt;/keyword&gt;&lt;keyword&gt;location selection&lt;/keyword&gt;&lt;keyword&gt;urban distribution center&lt;/keyword&gt;&lt;keyword&gt;optimization of freight transport&lt;/keyword&gt;&lt;keyword&gt;urban logistic&lt;/keyword&gt;&lt;keyword&gt;city logistics&lt;/keyword&gt;&lt;keyword&gt;certain environment&lt;/keyword&gt;&lt;keyword&gt;uncertain environment&lt;/keyword&gt;&lt;/keywords&gt;&lt;dates&gt;&lt;year&gt;2015&lt;/year&gt;&lt;pub-dates&gt;&lt;date&gt;20-22 May 2015&lt;/date&gt;&lt;/pub-dates&gt;&lt;/dates&gt;&lt;urls&gt;&lt;/urls&gt;&lt;electronic-resource-num&gt;10.1109/ICAdLT.2015.7136635&lt;/electronic-resource-num&gt;&lt;/record&gt;&lt;/Cite&gt;&lt;/EndNote&gt;</w:instrText>
      </w:r>
      <w:r w:rsidR="00436A75">
        <w:fldChar w:fldCharType="separate"/>
      </w:r>
      <w:r w:rsidR="00436A75">
        <w:rPr>
          <w:noProof/>
        </w:rPr>
        <w:t>(Agrebi et al., 2015)</w:t>
      </w:r>
      <w:r w:rsidR="00436A75">
        <w:fldChar w:fldCharType="end"/>
      </w:r>
      <w:r w:rsidRPr="00E3145A">
        <w:t>; and such freight activities generate approximately 25% of CO</w:t>
      </w:r>
      <w:r w:rsidRPr="00E3145A">
        <w:rPr>
          <w:vertAlign w:val="subscript"/>
        </w:rPr>
        <w:t>2</w:t>
      </w:r>
      <w:r w:rsidRPr="00E3145A">
        <w:t>, 30% of NO</w:t>
      </w:r>
      <w:r w:rsidRPr="00E3145A">
        <w:rPr>
          <w:vertAlign w:val="subscript"/>
        </w:rPr>
        <w:t>x</w:t>
      </w:r>
      <w:r w:rsidRPr="00E3145A">
        <w:t xml:space="preserve">, and 50% associated with on-road issues (e.g., noise and traffic accidents) </w:t>
      </w:r>
      <w:r w:rsidR="00436A75">
        <w:fldChar w:fldCharType="begin"/>
      </w:r>
      <w:r w:rsidR="00647E79">
        <w:instrText xml:space="preserve"> ADDIN EN.CITE &lt;EndNote&gt;&lt;Cite&gt;&lt;Author&gt;Dablanc&lt;/Author&gt;&lt;Year&gt;2011&lt;/Year&gt;&lt;RecNum&gt;309&lt;/RecNum&gt;&lt;DisplayText&gt;(Dablanc, 2011)&lt;/DisplayText&gt;&lt;record&gt;&lt;rec-number&gt;309&lt;/rec-number&gt;&lt;foreign-keys&gt;&lt;key app="EN" db-id="pzt5ep52hsedfpeext2pdfes0w0aswaewef2" timestamp="1605187999"&gt;309&lt;/key&gt;&lt;/foreign-keys&gt;&lt;ref-type name="Journal Article"&gt;17&lt;/ref-type&gt;&lt;contributors&gt;&lt;authors&gt;&lt;author&gt;Dablanc, L.&lt;/author&gt;&lt;/authors&gt;&lt;/contributors&gt;&lt;titles&gt;&lt;title&gt;City distribution, a key element of the urban economy: Guidelines for practitioners&lt;/title&gt;&lt;secondary-title&gt;City Distribution and Urban Freight Transport: Multiple Perspectives&lt;/secondary-title&gt;&lt;/titles&gt;&lt;periodical&gt;&lt;full-title&gt;City Distribution and Urban Freight Transport: Multiple Perspectives&lt;/full-title&gt;&lt;/periodical&gt;&lt;pages&gt;13-36&lt;/pages&gt;&lt;dates&gt;&lt;year&gt;2011&lt;/year&gt;&lt;pub-dates&gt;&lt;date&gt;01/01&lt;/date&gt;&lt;/pub-dates&gt;&lt;/dates&gt;&lt;urls&gt;&lt;/urls&gt;&lt;electronic-resource-num&gt;10.4337/9780857932754.00007&lt;/electronic-resource-num&gt;&lt;/record&gt;&lt;/Cite&gt;&lt;/EndNote&gt;</w:instrText>
      </w:r>
      <w:r w:rsidR="00436A75">
        <w:fldChar w:fldCharType="separate"/>
      </w:r>
      <w:r w:rsidR="00436A75">
        <w:rPr>
          <w:noProof/>
        </w:rPr>
        <w:t>(Dablanc, 2011)</w:t>
      </w:r>
      <w:r w:rsidR="00436A75">
        <w:fldChar w:fldCharType="end"/>
      </w:r>
      <w:r w:rsidRPr="00E3145A">
        <w:t xml:space="preserve">. Research has shown that, in addition to environmental and social nuisance, urban distribution also generates approximately 28% of the total goods movement cost in the supply chain </w:t>
      </w:r>
      <w:r w:rsidR="00436A75">
        <w:fldChar w:fldCharType="begin"/>
      </w:r>
      <w:r w:rsidR="00647E79">
        <w:instrText xml:space="preserve"> ADDIN EN.CITE &lt;EndNote&gt;&lt;Cite&gt;&lt;Author&gt;Butrina&lt;/Author&gt;&lt;Year&gt;2017&lt;/Year&gt;&lt;RecNum&gt;310&lt;/RecNum&gt;&lt;DisplayText&gt;(Butrina et al., 2017)&lt;/DisplayText&gt;&lt;record&gt;&lt;rec-number&gt;310&lt;/rec-number&gt;&lt;foreign-keys&gt;&lt;key app="EN" db-id="pzt5ep52hsedfpeext2pdfes0w0aswaewef2" timestamp="1605187999"&gt;310&lt;/key&gt;&lt;/foreign-keys&gt;&lt;ref-type name="Journal Article"&gt;17&lt;/ref-type&gt;&lt;contributors&gt;&lt;authors&gt;&lt;author&gt;Butrina, Polina&lt;/author&gt;&lt;author&gt;Del Carmen Girón-Valderrama, Gabriela&lt;/author&gt;&lt;author&gt;Machado-León, José Luis&lt;/author&gt;&lt;author&gt;Goodchild, Anne&lt;/author&gt;&lt;author&gt;Ayyalasomayajula, Pramod C.&lt;/author&gt;&lt;/authors&gt;&lt;/contributors&gt;&lt;titles&gt;&lt;title&gt;From the Last Mile to the Last 800 ft:Key Factors in Urban Pickup and Delivery of Goods&lt;/title&gt;&lt;secondary-title&gt;Transportation Research Record&lt;/secondary-title&gt;&lt;/titles&gt;&lt;periodical&gt;&lt;full-title&gt;Transportation Research Record&lt;/full-title&gt;&lt;/periodical&gt;&lt;pages&gt;85-92&lt;/pages&gt;&lt;volume&gt;2609&lt;/volume&gt;&lt;number&gt;1&lt;/number&gt;&lt;dates&gt;&lt;year&gt;2017&lt;/year&gt;&lt;/dates&gt;&lt;urls&gt;&lt;related-urls&gt;&lt;url&gt;https://journals.sagepub.com/doi/abs/10.3141/2609-10&lt;/url&gt;&lt;/related-urls&gt;&lt;/urls&gt;&lt;electronic-resource-num&gt;10.3141/2609-10&lt;/electronic-resource-num&gt;&lt;/record&gt;&lt;/Cite&gt;&lt;/EndNote&gt;</w:instrText>
      </w:r>
      <w:r w:rsidR="00436A75">
        <w:fldChar w:fldCharType="separate"/>
      </w:r>
      <w:r w:rsidR="00436A75">
        <w:rPr>
          <w:noProof/>
        </w:rPr>
        <w:t>(Butrina et al., 2017)</w:t>
      </w:r>
      <w:r w:rsidR="00436A75">
        <w:fldChar w:fldCharType="end"/>
      </w:r>
      <w:r w:rsidRPr="00E3145A">
        <w:t xml:space="preserve">. To mitigate the negative impacts of urban logistics, the European Commission in 2004 proposed to build a sustainable urban transportation system, aiming at enhancing outcomes for the </w:t>
      </w:r>
      <w:r w:rsidRPr="00E3145A">
        <w:rPr>
          <w:iCs/>
        </w:rPr>
        <w:t xml:space="preserve">economy, the environment, and society as a whole </w:t>
      </w:r>
      <w:r w:rsidR="00436A75">
        <w:rPr>
          <w:iCs/>
        </w:rPr>
        <w:fldChar w:fldCharType="begin"/>
      </w:r>
      <w:r w:rsidR="00647E79">
        <w:rPr>
          <w:iCs/>
        </w:rPr>
        <w:instrText xml:space="preserve"> ADDIN EN.CITE &lt;EndNote&gt;&lt;Cite&gt;&lt;Author&gt;Behrends&lt;/Author&gt;&lt;Year&gt;2008&lt;/Year&gt;&lt;RecNum&gt;311&lt;/RecNum&gt;&lt;DisplayText&gt;(Behrends et al., 2008)&lt;/DisplayText&gt;&lt;record&gt;&lt;rec-number&gt;311&lt;/rec-number&gt;&lt;foreign-keys&gt;&lt;key app="EN" db-id="pzt5ep52hsedfpeext2pdfes0w0aswaewef2" timestamp="1605187999"&gt;311&lt;/key&gt;&lt;/foreign-keys&gt;&lt;ref-type name="Journal Article"&gt;17&lt;/ref-type&gt;&lt;contributors&gt;&lt;authors&gt;&lt;author&gt;Behrends, Sönke&lt;/author&gt;&lt;author&gt;Lindholm, Maria&lt;/author&gt;&lt;author&gt;Woxenius, Johan&lt;/author&gt;&lt;/authors&gt;&lt;/contributors&gt;&lt;titles&gt;&lt;title&gt;The impact of urban freight transport: A definition of sustainability from an actor&amp;apos;s perspective&lt;/title&gt;&lt;secondary-title&gt;Transportation planning and technology&lt;/secondary-title&gt;&lt;/titles&gt;&lt;periodical&gt;&lt;full-title&gt;Transportation Planning and Technology&lt;/full-title&gt;&lt;abbr-1&gt;Transp. Plann. Technol.&lt;/abbr-1&gt;&lt;/periodical&gt;&lt;pages&gt;693-713&lt;/pages&gt;&lt;volume&gt;31&lt;/volume&gt;&lt;number&gt;6&lt;/number&gt;&lt;dates&gt;&lt;year&gt;2008&lt;/year&gt;&lt;/dates&gt;&lt;isbn&gt;0308-1060&lt;/isbn&gt;&lt;urls&gt;&lt;related-urls&gt;&lt;url&gt;http://www.tandfonline.com/doi/abs/10.1080/03081060802493247&lt;/url&gt;&lt;/related-urls&gt;&lt;/urls&gt;&lt;research-notes&gt;24&lt;/research-notes&gt;&lt;/record&gt;&lt;/Cite&gt;&lt;/EndNote&gt;</w:instrText>
      </w:r>
      <w:r w:rsidR="00436A75">
        <w:rPr>
          <w:iCs/>
        </w:rPr>
        <w:fldChar w:fldCharType="separate"/>
      </w:r>
      <w:r w:rsidR="00436A75">
        <w:rPr>
          <w:iCs/>
          <w:noProof/>
        </w:rPr>
        <w:t>(Behrends et al., 2008)</w:t>
      </w:r>
      <w:r w:rsidR="00436A75">
        <w:rPr>
          <w:iCs/>
        </w:rPr>
        <w:fldChar w:fldCharType="end"/>
      </w:r>
      <w:r w:rsidRPr="00E3145A">
        <w:rPr>
          <w:iCs/>
        </w:rPr>
        <w:t xml:space="preserve">. As part of this strategy, sustainable urban logistics (SUL) should ‘meet economic, environmental and social needs efficiently and equitably, while minimising avoidable or unnecessary adverse impacts and their associated costs, over relevant space and timescales’ </w:t>
      </w:r>
      <w:r w:rsidR="00436A75">
        <w:rPr>
          <w:iCs/>
        </w:rPr>
        <w:fldChar w:fldCharType="begin"/>
      </w:r>
      <w:r w:rsidR="00647E79">
        <w:rPr>
          <w:iCs/>
        </w:rPr>
        <w:instrText xml:space="preserve"> ADDIN EN.CITE &lt;EndNote&gt;&lt;Cite&gt;&lt;Author&gt;Anderson&lt;/Author&gt;&lt;Year&gt;2005&lt;/Year&gt;&lt;RecNum&gt;9&lt;/RecNum&gt;&lt;DisplayText&gt;(Anderson et al., 2005)&lt;/DisplayText&gt;&lt;record&gt;&lt;rec-number&gt;9&lt;/rec-number&gt;&lt;foreign-keys&gt;&lt;key app="EN" db-id="pzt5ep52hsedfpeext2pdfes0w0aswaewef2" timestamp="1605187992"&gt;9&lt;/key&gt;&lt;/foreign-keys&gt;&lt;ref-type name="Journal Article"&gt;17&lt;/ref-type&gt;&lt;contributors&gt;&lt;authors&gt;&lt;author&gt;Anderson, Stephen&lt;/author&gt;&lt;author&gt;Allen, Julian&lt;/author&gt;&lt;author&gt;Browne, Michael&lt;/author&gt;&lt;/authors&gt;&lt;/contributors&gt;&lt;titles&gt;&lt;title&gt;Urban logistics––how can it meet policy makers’ sustainability objectives?&lt;/title&gt;&lt;secondary-title&gt;Journal of transport geography&lt;/secondary-title&gt;&lt;/titles&gt;&lt;periodical&gt;&lt;full-title&gt;Journal of transport geography&lt;/full-title&gt;&lt;/periodical&gt;&lt;pages&gt;71-81&lt;/pages&gt;&lt;volume&gt;13&lt;/volume&gt;&lt;number&gt;1&lt;/number&gt;&lt;dates&gt;&lt;year&gt;2005&lt;/year&gt;&lt;/dates&gt;&lt;isbn&gt;0966-6923&lt;/isbn&gt;&lt;urls&gt;&lt;/urls&gt;&lt;research-notes&gt;10&lt;/research-notes&gt;&lt;/record&gt;&lt;/Cite&gt;&lt;/EndNote&gt;</w:instrText>
      </w:r>
      <w:r w:rsidR="00436A75">
        <w:rPr>
          <w:iCs/>
        </w:rPr>
        <w:fldChar w:fldCharType="separate"/>
      </w:r>
      <w:r w:rsidR="00436A75">
        <w:rPr>
          <w:iCs/>
          <w:noProof/>
        </w:rPr>
        <w:t>(Anderson et al., 2005)</w:t>
      </w:r>
      <w:r w:rsidR="00436A75">
        <w:rPr>
          <w:iCs/>
        </w:rPr>
        <w:fldChar w:fldCharType="end"/>
      </w:r>
      <w:r w:rsidRPr="00E3145A">
        <w:rPr>
          <w:iCs/>
        </w:rPr>
        <w:t>.</w:t>
      </w:r>
    </w:p>
    <w:p w14:paraId="356DC536" w14:textId="4680D892" w:rsidR="00270DAE" w:rsidRPr="00E3145A" w:rsidRDefault="00270DAE" w:rsidP="00D53214">
      <w:pPr>
        <w:spacing w:after="240" w:line="360" w:lineRule="auto"/>
      </w:pPr>
      <w:r w:rsidRPr="00E3145A">
        <w:t xml:space="preserve">Within this context, pooling solutions have proven to be an efficient method of alleviating environmental and congestion problems in urban areas. The most significant feature of this method is the promotion and implementation of consolidation approaches within city areas. This involves different organisations (e.g., shippers, carriers, customers) collaborating in the common use of logistics resources, such as materials, equipment, and human resources </w:t>
      </w:r>
      <w:r w:rsidR="00436A75">
        <w:fldChar w:fldCharType="begin"/>
      </w:r>
      <w:r w:rsidR="00647E79">
        <w:instrText xml:space="preserve"> ADDIN EN.CITE &lt;EndNote&gt;&lt;Cite&gt;&lt;Author&gt;Morana&lt;/Author&gt;&lt;Year&gt;2014&lt;/Year&gt;&lt;RecNum&gt;312&lt;/RecNum&gt;&lt;DisplayText&gt;(Morana et al., 2014)&lt;/DisplayText&gt;&lt;record&gt;&lt;rec-number&gt;312&lt;/rec-number&gt;&lt;foreign-keys&gt;&lt;key app="EN" db-id="pzt5ep52hsedfpeext2pdfes0w0aswaewef2" timestamp="1605187999"&gt;312&lt;/key&gt;&lt;/foreign-keys&gt;&lt;ref-type name="Book Section"&gt;5&lt;/ref-type&gt;&lt;contributors&gt;&lt;authors&gt;&lt;author&gt;Morana, Joëlle&lt;/author&gt;&lt;author&gt;Gonzalez-Feliu, Jesus&lt;/author&gt;&lt;author&gt;Semet, Frédéric&lt;/author&gt;&lt;/authors&gt;&lt;secondary-authors&gt;&lt;author&gt;Gonzalez-Feliu, Jesus&lt;/author&gt;&lt;author&gt;Semet, Frédéric&lt;/author&gt;&lt;author&gt;Routhier, Jean-Louis&lt;/author&gt;&lt;/secondary-authors&gt;&lt;/contributors&gt;&lt;titles&gt;&lt;title&gt;Urban Consolidation and Logistics Pooling&lt;/title&gt;&lt;secondary-title&gt;Sustainable Urban Logistics: Concepts, Methods and Information Systems&lt;/secondary-title&gt;&lt;/titles&gt;&lt;pages&gt;187-210&lt;/pages&gt;&lt;dates&gt;&lt;year&gt;2014&lt;/year&gt;&lt;pub-dates&gt;&lt;date&gt;2014//&lt;/date&gt;&lt;/pub-dates&gt;&lt;/dates&gt;&lt;pub-location&gt;Berlin, Heidelberg&lt;/pub-location&gt;&lt;publisher&gt;Springer Berlin Heidelberg&lt;/publisher&gt;&lt;isbn&gt;978-3-642-31788-0&lt;/isbn&gt;&lt;urls&gt;&lt;related-urls&gt;&lt;url&gt;https://doi.org/10.1007/978-3-642-31788-0_10&lt;/url&gt;&lt;/related-urls&gt;&lt;/urls&gt;&lt;electronic-resource-num&gt;10.1007/978-3-642-31788-0_10&lt;/electronic-resource-num&gt;&lt;/record&gt;&lt;/Cite&gt;&lt;/EndNote&gt;</w:instrText>
      </w:r>
      <w:r w:rsidR="00436A75">
        <w:fldChar w:fldCharType="separate"/>
      </w:r>
      <w:r w:rsidR="00436A75">
        <w:rPr>
          <w:noProof/>
        </w:rPr>
        <w:t>(Morana et al., 2014)</w:t>
      </w:r>
      <w:r w:rsidR="00436A75">
        <w:fldChar w:fldCharType="end"/>
      </w:r>
      <w:r w:rsidRPr="00E3145A">
        <w:t>. As a pivotal type of facility within such models, urban consolidation centres (UCCs) have attracted increasing interest from both the academic community and practitioners. A UCC is</w:t>
      </w:r>
      <w:r w:rsidRPr="00E3145A">
        <w:rPr>
          <w:i/>
        </w:rPr>
        <w:t xml:space="preserve"> </w:t>
      </w:r>
      <w:r w:rsidRPr="00E3145A">
        <w:rPr>
          <w:iCs/>
        </w:rPr>
        <w:t xml:space="preserve">‘a facility involving the trans-shipment of goods directed to urban areas, aiming to consolidate deliveries, and thus provide greater efficiency (and effectiveness) in the distribution process by increasing the truckload factor and decreasing the number of trucks used, which can help mitigate urban congestion and air pollution </w:t>
      </w:r>
      <w:r w:rsidR="00436A75">
        <w:rPr>
          <w:noProof/>
        </w:rPr>
        <w:fldChar w:fldCharType="begin"/>
      </w:r>
      <w:r w:rsidR="00647E79">
        <w:rPr>
          <w:noProof/>
        </w:rPr>
        <w:instrText xml:space="preserve"> ADDIN EN.CITE &lt;EndNote&gt;&lt;Cite&gt;&lt;Author&gt;Tario&lt;/Author&gt;&lt;Year&gt;2011&lt;/Year&gt;&lt;RecNum&gt;30&lt;/RecNum&gt;&lt;DisplayText&gt;(Tario et al., 2011)&lt;/DisplayText&gt;&lt;record&gt;&lt;rec-number&gt;30&lt;/rec-number&gt;&lt;foreign-keys&gt;&lt;key app="EN" db-id="pzt5ep52hsedfpeext2pdfes0w0aswaewef2" timestamp="1605187992"&gt;30&lt;/key&gt;&lt;/foreign-keys&gt;&lt;ref-type name="Journal Article"&gt;17&lt;/ref-type&gt;&lt;contributors&gt;&lt;authors&gt;&lt;author&gt;Tario, JD&lt;/author&gt;&lt;author&gt;Ancar, R&lt;/author&gt;&lt;author&gt;Panero, M&lt;/author&gt;&lt;author&gt;Hyeon-Shic, S&lt;/author&gt;&lt;author&gt;Lopez, DP&lt;/author&gt;&lt;/authors&gt;&lt;/contributors&gt;&lt;titles&gt;&lt;title&gt;Urban distribution centers: a means to reducing freight vehicle miles travelled&lt;/title&gt;&lt;secondary-title&gt;Final Report. Prepared for the New York State Energy Research and Development Authority. Albany, NY&lt;/secondary-title&gt;&lt;/titles&gt;&lt;periodical&gt;&lt;full-title&gt;Final Report. Prepared for the New York State Energy Research and Development Authority. Albany, NY&lt;/full-title&gt;&lt;/periodical&gt;&lt;dates&gt;&lt;year&gt;2011&lt;/year&gt;&lt;/dates&gt;&lt;urls&gt;&lt;/urls&gt;&lt;/record&gt;&lt;/Cite&gt;&lt;/EndNote&gt;</w:instrText>
      </w:r>
      <w:r w:rsidR="00436A75">
        <w:rPr>
          <w:noProof/>
        </w:rPr>
        <w:fldChar w:fldCharType="separate"/>
      </w:r>
      <w:r w:rsidR="00436A75">
        <w:rPr>
          <w:noProof/>
        </w:rPr>
        <w:t>(Tario et al., 2011)</w:t>
      </w:r>
      <w:r w:rsidR="00436A75">
        <w:rPr>
          <w:noProof/>
        </w:rPr>
        <w:fldChar w:fldCharType="end"/>
      </w:r>
      <w:r w:rsidRPr="00E3145A">
        <w:rPr>
          <w:iCs/>
          <w:noProof/>
        </w:rPr>
        <w:t>’</w:t>
      </w:r>
      <w:r w:rsidRPr="00E3145A">
        <w:rPr>
          <w:i/>
        </w:rPr>
        <w:t xml:space="preserve">. </w:t>
      </w:r>
      <w:r w:rsidRPr="00E3145A">
        <w:rPr>
          <w:iCs/>
        </w:rPr>
        <w:t>In UCC networks</w:t>
      </w:r>
      <w:r w:rsidRPr="00E3145A">
        <w:rPr>
          <w:i/>
        </w:rPr>
        <w:t xml:space="preserve">, </w:t>
      </w:r>
      <w:r w:rsidRPr="00E3145A">
        <w:t>goods coming from different origins should be gathered physically at a consolidation facility before they are moved into urban areas. Following this intermediate step, goods can be sorted according to their destination and due date. Deliveries in urban areas generally happen by employing smaller and greener vehicles (Allen et al., 2012).</w:t>
      </w:r>
    </w:p>
    <w:p w14:paraId="4F33853A" w14:textId="7D8E073A" w:rsidR="00270DAE" w:rsidRPr="00E3145A" w:rsidRDefault="00270DAE" w:rsidP="00D53214">
      <w:pPr>
        <w:spacing w:after="240" w:line="360" w:lineRule="auto"/>
      </w:pPr>
      <w:r w:rsidRPr="00E3145A">
        <w:lastRenderedPageBreak/>
        <w:t xml:space="preserve">A UCC delivery network is normally composed of various stakeholders, such as facility operator, shippers, carriers, UCC administrators, and receivers </w:t>
      </w:r>
      <w:r w:rsidRPr="00E3145A">
        <w:rPr>
          <w:noProof/>
        </w:rPr>
        <w:t>(Browne et al., 2005)</w:t>
      </w:r>
      <w:r w:rsidRPr="00E3145A">
        <w:t xml:space="preserve">. As </w:t>
      </w:r>
      <w:proofErr w:type="gramStart"/>
      <w:r w:rsidRPr="00E3145A">
        <w:t>a</w:t>
      </w:r>
      <w:r w:rsidRPr="00E3145A">
        <w:rPr>
          <w:rFonts w:eastAsia="宋体"/>
          <w:bCs/>
        </w:rPr>
        <w:t xml:space="preserve"> large number of</w:t>
      </w:r>
      <w:proofErr w:type="gramEnd"/>
      <w:r w:rsidRPr="00E3145A">
        <w:rPr>
          <w:rFonts w:eastAsia="宋体"/>
          <w:bCs/>
        </w:rPr>
        <w:t xml:space="preserve"> stakeholders are involved,</w:t>
      </w:r>
      <w:r w:rsidRPr="00E3145A">
        <w:t xml:space="preserve"> conflicts might arise. Indeed, as the attributes of these stakeholders are heterogeneous, their objectives are equally different </w:t>
      </w:r>
      <w:r w:rsidRPr="00E3145A">
        <w:rPr>
          <w:noProof/>
        </w:rPr>
        <w:t>(Anand et al., 2014)</w:t>
      </w:r>
      <w:r w:rsidRPr="00E3145A">
        <w:t>. Also, it is difficult to fair</w:t>
      </w:r>
      <w:r w:rsidRPr="00E3145A">
        <w:rPr>
          <w:rFonts w:hint="eastAsia"/>
        </w:rPr>
        <w:t>ly</w:t>
      </w:r>
      <w:r w:rsidRPr="00E3145A">
        <w:t xml:space="preserve"> and efficient</w:t>
      </w:r>
      <w:r w:rsidRPr="00E3145A">
        <w:rPr>
          <w:rFonts w:hint="eastAsia"/>
        </w:rPr>
        <w:t>ly</w:t>
      </w:r>
      <w:r w:rsidRPr="00E3145A">
        <w:t xml:space="preserve"> allocate overall benefits and costs to different stakeholders in a </w:t>
      </w:r>
      <w:r w:rsidRPr="00E3145A">
        <w:rPr>
          <w:rFonts w:hint="eastAsia"/>
        </w:rPr>
        <w:t>UCC</w:t>
      </w:r>
      <w:r w:rsidRPr="00E3145A">
        <w:t xml:space="preserve"> network </w:t>
      </w:r>
      <w:r w:rsidR="00436A75">
        <w:fldChar w:fldCharType="begin">
          <w:fldData xml:space="preserve">PEVuZE5vdGU+PENpdGU+PEF1dGhvcj5Ccm93bmU8L0F1dGhvcj48WWVhcj4yMDA3PC9ZZWFyPjxS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==
</w:fldData>
        </w:fldChar>
      </w:r>
      <w:r w:rsidR="00CA2D5D">
        <w:instrText xml:space="preserve"> ADDIN EN.CITE </w:instrText>
      </w:r>
      <w:r w:rsidR="00CA2D5D">
        <w:fldChar w:fldCharType="begin">
          <w:fldData xml:space="preserve">PEVuZE5vdGU+PENpdGU+PEF1dGhvcj5Ccm93bmU8L0F1dGhvcj48WWVhcj4yMDA3PC9ZZWFyPjxS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==
</w:fldData>
        </w:fldChar>
      </w:r>
      <w:r w:rsidR="00CA2D5D">
        <w:instrText xml:space="preserve"> ADDIN EN.CITE.DATA </w:instrText>
      </w:r>
      <w:r w:rsidR="00CA2D5D">
        <w:fldChar w:fldCharType="end"/>
      </w:r>
      <w:r w:rsidR="00436A75">
        <w:fldChar w:fldCharType="separate"/>
      </w:r>
      <w:r w:rsidR="00436A75">
        <w:rPr>
          <w:noProof/>
        </w:rPr>
        <w:t>(Browne et al., 2007, Tsiulin et al., 2017)</w:t>
      </w:r>
      <w:r w:rsidR="00436A75">
        <w:fldChar w:fldCharType="end"/>
      </w:r>
      <w:r w:rsidRPr="00E3145A">
        <w:t xml:space="preserve">. Such conflicts might undermine the success chances of UCC projects. </w:t>
      </w:r>
    </w:p>
    <w:p w14:paraId="068AEF65" w14:textId="6E5F4595" w:rsidR="00270DAE" w:rsidRPr="00E3145A" w:rsidRDefault="00270DAE" w:rsidP="00D53214">
      <w:pPr>
        <w:spacing w:after="240" w:line="360" w:lineRule="auto"/>
      </w:pPr>
      <w:r w:rsidRPr="00E3145A">
        <w:t>A</w:t>
      </w:r>
      <w:r w:rsidRPr="00E3145A">
        <w:rPr>
          <w:rFonts w:eastAsia="宋体"/>
          <w:bCs/>
        </w:rPr>
        <w:t xml:space="preserve">s such, a successful implementation requires comprehensive consultations between stakeholders to exchange their opinions </w:t>
      </w:r>
      <w:r w:rsidR="00436A75">
        <w:rPr>
          <w:rFonts w:eastAsia="宋体"/>
          <w:bCs/>
          <w:noProof/>
        </w:rPr>
        <w:fldChar w:fldCharType="begin">
          <w:fldData xml:space="preserve">PEVuZE5vdGU+PENpdGU+PEF1dGhvcj5NYWNoYXJpczwvQXV0aG9yPjxZZWFyPjIwMTc8L1llYXI+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</w:fldData>
        </w:fldChar>
      </w:r>
      <w:r w:rsidR="00BC1122">
        <w:rPr>
          <w:rFonts w:eastAsia="宋体"/>
          <w:bCs/>
          <w:noProof/>
        </w:rPr>
        <w:instrText xml:space="preserve"> ADDIN EN.CITE </w:instrText>
      </w:r>
      <w:r w:rsidR="00BC1122">
        <w:rPr>
          <w:rFonts w:eastAsia="宋体"/>
          <w:bCs/>
          <w:noProof/>
        </w:rPr>
        <w:fldChar w:fldCharType="begin">
          <w:fldData xml:space="preserve">PEVuZE5vdGU+PENpdGU+PEF1dGhvcj5NYWNoYXJpczwvQXV0aG9yPjxZZWFyPjIwMTc8L1llYXI+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</w:fldData>
        </w:fldChar>
      </w:r>
      <w:r w:rsidR="00BC1122">
        <w:rPr>
          <w:rFonts w:eastAsia="宋体"/>
          <w:bCs/>
          <w:noProof/>
        </w:rPr>
        <w:instrText xml:space="preserve"> ADDIN EN.CITE.DATA </w:instrText>
      </w:r>
      <w:r w:rsidR="00BC1122">
        <w:rPr>
          <w:rFonts w:eastAsia="宋体"/>
          <w:bCs/>
          <w:noProof/>
        </w:rPr>
      </w:r>
      <w:r w:rsidR="00BC1122">
        <w:rPr>
          <w:rFonts w:eastAsia="宋体"/>
          <w:bCs/>
          <w:noProof/>
        </w:rPr>
        <w:fldChar w:fldCharType="end"/>
      </w:r>
      <w:r w:rsidR="00436A75">
        <w:rPr>
          <w:rFonts w:eastAsia="宋体"/>
          <w:bCs/>
          <w:noProof/>
        </w:rPr>
      </w:r>
      <w:r w:rsidR="00436A75">
        <w:rPr>
          <w:rFonts w:eastAsia="宋体"/>
          <w:bCs/>
          <w:noProof/>
        </w:rPr>
        <w:fldChar w:fldCharType="separate"/>
      </w:r>
      <w:r w:rsidR="00436A75">
        <w:rPr>
          <w:rFonts w:eastAsia="宋体"/>
          <w:bCs/>
          <w:noProof/>
        </w:rPr>
        <w:t>(Macharis and Kin, 2017)</w:t>
      </w:r>
      <w:r w:rsidR="00436A75">
        <w:rPr>
          <w:rFonts w:eastAsia="宋体"/>
          <w:bCs/>
          <w:noProof/>
        </w:rPr>
        <w:fldChar w:fldCharType="end"/>
      </w:r>
      <w:r w:rsidRPr="00E3145A">
        <w:rPr>
          <w:rFonts w:eastAsia="宋体"/>
          <w:bCs/>
        </w:rPr>
        <w:t xml:space="preserve">. In this way, an appropriated UCC configuration could be developed to balance the interest of different parties, starting from the planning stage. </w:t>
      </w:r>
      <w:r w:rsidRPr="00E3145A">
        <w:t xml:space="preserve">For this reason, UCC planners should seek insights into different stakeholders’ objectives to identify their interests. Some studies have highlighted the preferences of specific primary stakeholders – such as users </w:t>
      </w:r>
      <w:r w:rsidR="00436A75">
        <w:rPr>
          <w:noProof/>
        </w:rPr>
        <w:fldChar w:fldCharType="begin"/>
      </w:r>
      <w:r w:rsidR="002A18B9">
        <w:rPr>
          <w:noProof/>
        </w:rPr>
        <w:instrText xml:space="preserve"> ADDIN EN.CITE &lt;EndNote&gt;&lt;Cite&gt;&lt;Author&gt;Paddeu&lt;/Author&gt;&lt;Year&gt;2017&lt;/Year&gt;&lt;RecNum&gt;57&lt;/RecNum&gt;&lt;DisplayText&gt;(Paddeu, 2017)&lt;/DisplayText&gt;&lt;record&gt;&lt;rec-number&gt;57&lt;/rec-number&gt;&lt;foreign-keys&gt;&lt;key app="EN" db-id="x5etaz5aiszvz0edasvvpwvotttxepvd25t2" timestamp="1603802000"&gt;57&lt;/key&gt;&lt;/foreign-keys&gt;&lt;ref-type name="Journal Article"&gt;17&lt;/ref-type&gt;&lt;contributors&gt;&lt;authors&gt;&lt;author&gt;Paddeu, D.&lt;/author&gt;&lt;/authors&gt;&lt;/contributors&gt;&lt;auth-address&gt;D.I.C.A.A.R., University of Cagliari, Via Marengo 2, Cagliari, 09124, Italy&lt;/auth-address&gt;&lt;titles&gt;&lt;title&gt;The Bristol-Bath Urban freight Consolidation Centre from the perspective of its users&lt;/title&gt;&lt;secondary-title&gt;Case Studies on Transport Policy&lt;/secondary-title&gt;&lt;alt-title&gt;Case Stud. Transp. Policy&lt;/alt-title&gt;&lt;/titles&gt;&lt;periodical&gt;&lt;full-title&gt;Case Studies on Transport Policy&lt;/full-title&gt;&lt;abbr-1&gt;Case Stud. Transp. Policy&lt;/abbr-1&gt;&lt;/periodical&gt;&lt;alt-periodical&gt;&lt;full-title&gt;Case Studies on Transport Policy&lt;/full-title&gt;&lt;abbr-1&gt;Case Stud. Transp. Policy&lt;/abbr-1&gt;&lt;/alt-periodical&gt;&lt;pages&gt;483-491&lt;/pages&gt;&lt;volume&gt;5&lt;/volume&gt;&lt;number&gt;3&lt;/number&gt;&lt;keywords&gt;&lt;keyword&gt;Case study&lt;/keyword&gt;&lt;keyword&gt;City logistics&lt;/keyword&gt;&lt;keyword&gt;Stakeholders perception&lt;/keyword&gt;&lt;/keywords&gt;&lt;dates&gt;&lt;year&gt;2017&lt;/year&gt;&lt;/dates&gt;&lt;publisher&gt;Elsevier Ltd&lt;/publisher&gt;&lt;isbn&gt;2213624X (ISSN)&lt;/isbn&gt;&lt;work-type&gt;Article&lt;/work-type&gt;&lt;urls&gt;&lt;related-urls&gt;&lt;url&gt;https://www.scopus.com/inward/record.uri?eid=2-s2.0-85021226794&amp;amp;doi=10.1016%2fj.cstp.2017.06.001&amp;amp;partnerID=40&amp;amp;md5=2ba31683c718b31a6331ad1ea15834cd&lt;/url&gt;&lt;/related-urls&gt;&lt;/urls&gt;&lt;electronic-resource-num&gt;10.1016/j.cstp.2017.06.001&lt;/electronic-resource-num&gt;&lt;remote-database-name&gt;Scopus&lt;/remote-database-name&gt;&lt;language&gt;English&lt;/language&gt;&lt;/record&gt;&lt;/Cite&gt;&lt;/EndNote&gt;</w:instrText>
      </w:r>
      <w:r w:rsidR="00436A75">
        <w:rPr>
          <w:noProof/>
        </w:rPr>
        <w:fldChar w:fldCharType="separate"/>
      </w:r>
      <w:r w:rsidR="00436A75">
        <w:rPr>
          <w:noProof/>
        </w:rPr>
        <w:t>(Paddeu, 2017)</w:t>
      </w:r>
      <w:r w:rsidR="00436A75">
        <w:rPr>
          <w:noProof/>
        </w:rPr>
        <w:fldChar w:fldCharType="end"/>
      </w:r>
      <w:r w:rsidRPr="00E3145A">
        <w:t xml:space="preserve"> and carriers </w:t>
      </w:r>
      <w:r w:rsidR="00436A75">
        <w:rPr>
          <w:noProof/>
        </w:rPr>
        <w:fldChar w:fldCharType="begin">
          <w:fldData xml:space="preserve">PEVuZE5vdGU+PENpdGU+PEF1dGhvcj5Fc3RyYWRhPC9BdXRob3I+PFllYXI+MjAxNzwvWWVhcj48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</w:fldData>
        </w:fldChar>
      </w:r>
      <w:r w:rsidR="002A18B9">
        <w:rPr>
          <w:noProof/>
        </w:rPr>
        <w:instrText xml:space="preserve"> ADDIN EN.CITE </w:instrText>
      </w:r>
      <w:r w:rsidR="002A18B9">
        <w:rPr>
          <w:noProof/>
        </w:rPr>
        <w:fldChar w:fldCharType="begin">
          <w:fldData xml:space="preserve">PEVuZE5vdGU+PENpdGU+PEF1dGhvcj5Fc3RyYWRhPC9BdXRob3I+PFllYXI+MjAxNzwvWWVhcj48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</w:fldData>
        </w:fldChar>
      </w:r>
      <w:r w:rsidR="002A18B9">
        <w:rPr>
          <w:noProof/>
        </w:rPr>
        <w:instrText xml:space="preserve"> ADDIN EN.CITE.DATA </w:instrText>
      </w:r>
      <w:r w:rsidR="002A18B9">
        <w:rPr>
          <w:noProof/>
        </w:rPr>
      </w:r>
      <w:r w:rsidR="002A18B9">
        <w:rPr>
          <w:noProof/>
        </w:rPr>
        <w:fldChar w:fldCharType="end"/>
      </w:r>
      <w:r w:rsidR="00436A75">
        <w:rPr>
          <w:noProof/>
        </w:rPr>
      </w:r>
      <w:r w:rsidR="00436A75">
        <w:rPr>
          <w:noProof/>
        </w:rPr>
        <w:fldChar w:fldCharType="separate"/>
      </w:r>
      <w:r w:rsidR="00436A75">
        <w:rPr>
          <w:noProof/>
        </w:rPr>
        <w:t>(Estrada and Roca-Riu, 2017)</w:t>
      </w:r>
      <w:r w:rsidR="00436A75">
        <w:rPr>
          <w:noProof/>
        </w:rPr>
        <w:fldChar w:fldCharType="end"/>
      </w:r>
      <w:r w:rsidRPr="00E3145A">
        <w:t xml:space="preserve"> – and drawn attention on how these influence the business of the UCC. </w:t>
      </w:r>
    </w:p>
    <w:p w14:paraId="1B0EA9B2" w14:textId="174186F1" w:rsidR="00270DAE" w:rsidRPr="00E3145A" w:rsidRDefault="00270DAE" w:rsidP="00D53214">
      <w:pPr>
        <w:spacing w:after="240" w:line="360" w:lineRule="auto"/>
      </w:pPr>
      <w:r w:rsidRPr="00E3145A">
        <w:t xml:space="preserve">The importance of including key stakeholders’ in the development of UCCs has also been recognised </w:t>
      </w:r>
      <w:r w:rsidR="00436A75">
        <w:rPr>
          <w:noProof/>
        </w:rPr>
        <w:fldChar w:fldCharType="begin"/>
      </w:r>
      <w:r w:rsidR="00647E79">
        <w:rPr>
          <w:noProof/>
        </w:rPr>
        <w:instrText xml:space="preserve"> ADDIN EN.CITE &lt;EndNote&gt;&lt;Cite&gt;&lt;Author&gt;Van Duin&lt;/Author&gt;&lt;Year&gt;2018&lt;/Year&gt;&lt;RecNum&gt;36&lt;/RecNum&gt;&lt;DisplayText&gt;(Van Duin et al., 2018)&lt;/DisplayText&gt;&lt;record&gt;&lt;rec-number&gt;36&lt;/rec-number&gt;&lt;foreign-keys&gt;&lt;key app="EN" db-id="pzt5ep52hsedfpeext2pdfes0w0aswaewef2" timestamp="1605187992"&gt;36&lt;/key&gt;&lt;/foreign-keys&gt;&lt;ref-type name="Journal Article"&gt;17&lt;/ref-type&gt;&lt;contributors&gt;&lt;authors&gt;&lt;author&gt;Van Duin, Ron&lt;/author&gt;&lt;author&gt;Slabbekoorn, Marijn&lt;/author&gt;&lt;author&gt;Tavasszy, Lori&lt;/author&gt;&lt;author&gt;Quak, Hans&lt;/author&gt;&lt;/authors&gt;&lt;/contributors&gt;&lt;titles&gt;&lt;title&gt;Identifying dominant stakeholder perspectives on urban freight policies: a Q-analysis on urban consolidation centres in the Netherlands&lt;/title&gt;&lt;secondary-title&gt;Transport&lt;/secondary-title&gt;&lt;/titles&gt;&lt;periodical&gt;&lt;full-title&gt;Transport&lt;/full-title&gt;&lt;/periodical&gt;&lt;pages&gt;867-880&lt;/pages&gt;&lt;volume&gt;33&lt;/volume&gt;&lt;number&gt;4&lt;/number&gt;&lt;dates&gt;&lt;year&gt;2018&lt;/year&gt;&lt;/dates&gt;&lt;isbn&gt;1648-3480&lt;/isbn&gt;&lt;urls&gt;&lt;/urls&gt;&lt;/record&gt;&lt;/Cite&gt;&lt;/EndNote&gt;</w:instrText>
      </w:r>
      <w:r w:rsidR="00436A75">
        <w:rPr>
          <w:noProof/>
        </w:rPr>
        <w:fldChar w:fldCharType="separate"/>
      </w:r>
      <w:r w:rsidR="00436A75">
        <w:rPr>
          <w:noProof/>
        </w:rPr>
        <w:t>(Van Duin et al., 2018)</w:t>
      </w:r>
      <w:r w:rsidR="00436A75">
        <w:rPr>
          <w:noProof/>
        </w:rPr>
        <w:fldChar w:fldCharType="end"/>
      </w:r>
      <w:r w:rsidRPr="00E3145A">
        <w:t xml:space="preserve">. However, there have been insufficient discussions on the heterogeneity of the various key stakeholders’ preferences and on rigorous way to capture these. Specifically, although many studies indicate that </w:t>
      </w:r>
      <w:r w:rsidRPr="00E3145A">
        <w:rPr>
          <w:rFonts w:eastAsia="Garamond"/>
        </w:rPr>
        <w:t xml:space="preserve">conflicting views of stakeholders create conflicts during the project operation, few of them have </w:t>
      </w:r>
      <w:r w:rsidRPr="00E3145A">
        <w:t xml:space="preserve">assessed the extent of the divergence between stakeholders’ objectives in UCC networks, and the reasons behind </w:t>
      </w:r>
      <w:proofErr w:type="gramStart"/>
      <w:r w:rsidRPr="00E3145A">
        <w:t>these</w:t>
      </w:r>
      <w:proofErr w:type="gramEnd"/>
    </w:p>
    <w:p w14:paraId="1C90C764" w14:textId="77777777" w:rsidR="00270DAE" w:rsidRPr="00E3145A" w:rsidRDefault="00270DAE" w:rsidP="00D53214">
      <w:pPr>
        <w:spacing w:after="240" w:line="360" w:lineRule="auto"/>
      </w:pPr>
      <w:r w:rsidRPr="00E3145A">
        <w:t xml:space="preserve">This study aims to fill these gaps and promote the long-term sustainability of UCCs. Its objective is to enhance key stakeholder engagement by exploring various parties’ preferences for UCC performance. A </w:t>
      </w:r>
      <w:r w:rsidRPr="00E3145A">
        <w:rPr>
          <w:rFonts w:hint="eastAsia"/>
        </w:rPr>
        <w:t>multiple-</w:t>
      </w:r>
      <w:r w:rsidRPr="00E3145A">
        <w:t xml:space="preserve">case study approach was employed, using two real-world UCCs in Sweden (Case 1 and Case 2) and two in China (Case 3 and Case 4). The Swedish UCCs were initiated by local authorities (LAs) to alleviate the environmental and social issues associated with urban logistics; the Chinese cases are concerned with privately operated facilities. </w:t>
      </w:r>
    </w:p>
    <w:p w14:paraId="793E03DE" w14:textId="2C554429" w:rsidR="00270DAE" w:rsidRPr="00E3145A" w:rsidRDefault="00270DAE" w:rsidP="00D53214">
      <w:pPr>
        <w:spacing w:after="240" w:line="360" w:lineRule="auto"/>
      </w:pPr>
      <w:r w:rsidRPr="00E3145A">
        <w:t>A mixed-method approach (combing quantitative and qualitative methods) was used to identify the divergence between UCC-stakeholder preferences and the reasons for such variety. An analytic hierarchy process method</w:t>
      </w:r>
      <w:r w:rsidRPr="00E3145A">
        <w:rPr>
          <w:rFonts w:hint="eastAsia"/>
        </w:rPr>
        <w:t xml:space="preserve"> </w:t>
      </w:r>
      <w:r w:rsidRPr="00E3145A">
        <w:t xml:space="preserve">(AHP) </w:t>
      </w:r>
      <w:r w:rsidR="00436A75">
        <w:rPr>
          <w:noProof/>
        </w:rPr>
        <w:fldChar w:fldCharType="begin"/>
      </w:r>
      <w:r w:rsidR="00647E79">
        <w:rPr>
          <w:noProof/>
        </w:rPr>
        <w:instrText xml:space="preserve"> ADDIN EN.CITE &lt;EndNote&gt;&lt;Cite&gt;&lt;Author&gt;Saaty&lt;/Author&gt;&lt;Year&gt;1990&lt;/Year&gt;&lt;RecNum&gt;292&lt;/RecNum&gt;&lt;DisplayText&gt;(Saaty, 1990)&lt;/DisplayText&gt;&lt;record&gt;&lt;rec-number&gt;292&lt;/rec-number&gt;&lt;foreign-keys&gt;&lt;key app="EN" db-id="pzt5ep52hsedfpeext2pdfes0w0aswaewef2" timestamp="1605187999"&gt;292&lt;/key&gt;&lt;/foreign-keys&gt;&lt;ref-type name="Journal Article"&gt;17&lt;/ref-type&gt;&lt;contributors&gt;&lt;authors&gt;&lt;author&gt;Saaty, Thomas L.&lt;/author&gt;&lt;/authors&gt;&lt;/contributors&gt;&lt;titles&gt;&lt;title&gt;How to make a decision: The analytic hierarchy process&lt;/title&gt;&lt;secondary-title&gt;European Journal of Operational Research&lt;/secondary-title&gt;&lt;/titles&gt;&lt;periodical&gt;&lt;full-title&gt;European journal of operational research&lt;/full-title&gt;&lt;/periodical&gt;&lt;pages&gt;9-26&lt;/pages&gt;&lt;volume&gt;48&lt;/volume&gt;&lt;number&gt;1&lt;/number&gt;&lt;keywords&gt;&lt;keyword&gt;Decision&lt;/keyword&gt;&lt;keyword&gt;priority&lt;/keyword&gt;&lt;keyword&gt;rank&lt;/keyword&gt;&lt;keyword&gt;cost-benefit&lt;/keyword&gt;&lt;keyword&gt;scales&lt;/keyword&gt;&lt;keyword&gt;ratios&lt;/keyword&gt;&lt;/keywords&gt;&lt;dates&gt;&lt;year&gt;1990&lt;/year&gt;&lt;pub-dates&gt;&lt;date&gt;1990/09/05/&lt;/date&gt;&lt;/pub-dates&gt;&lt;/dates&gt;&lt;isbn&gt;0377-2217&lt;/isbn&gt;&lt;urls&gt;&lt;related-urls&gt;&lt;url&gt;http://www.sciencedirect.com/science/article/pii/037722179090057I&lt;/url&gt;&lt;/related-urls&gt;&lt;/urls&gt;&lt;electronic-resource-num&gt;https://doi.org/10.1016/0377-2217(90)90057-I&lt;/electronic-resource-num&gt;&lt;/record&gt;&lt;/Cite&gt;&lt;/EndNote&gt;</w:instrText>
      </w:r>
      <w:r w:rsidR="00436A75">
        <w:rPr>
          <w:noProof/>
        </w:rPr>
        <w:fldChar w:fldCharType="separate"/>
      </w:r>
      <w:r w:rsidR="00436A75">
        <w:rPr>
          <w:noProof/>
        </w:rPr>
        <w:t>(Saaty, 1990)</w:t>
      </w:r>
      <w:r w:rsidR="00436A75">
        <w:rPr>
          <w:noProof/>
        </w:rPr>
        <w:fldChar w:fldCharType="end"/>
      </w:r>
      <w:r w:rsidRPr="00E3145A">
        <w:t xml:space="preserve"> was employed to quantify the </w:t>
      </w:r>
      <w:r w:rsidRPr="00E3145A">
        <w:lastRenderedPageBreak/>
        <w:t xml:space="preserve">stakeholders’ preferences. Fifteen objective criteria and associated indicators from the three dimensions of SUL (economic, </w:t>
      </w:r>
      <w:proofErr w:type="gramStart"/>
      <w:r w:rsidRPr="00E3145A">
        <w:t>environmental</w:t>
      </w:r>
      <w:proofErr w:type="gramEnd"/>
      <w:r w:rsidRPr="00E3145A">
        <w:t xml:space="preserve"> and social) were selected to represent sustainability performance. This was used to assign numerical values to stakeholders’ preferences for the selected criteria, which were then ranked. To explore the variety in stakeholder preference in the investigated cases, the correlation of the rankings of the indicators was assessed using the Kendall’s tau and Spearman’s rho coefficients. Finally, the quantitative results are presented here to reveal the extent of the conflict between the different stakeholder perspectives. The qualitative research findings provide a complement to the quantitative analysis. Interviews were conducted with the key stakeholders in the four UCCs, and a thematic analysis of the findings was conducted to uncover the types of issue causing stakeholder conflicts. These results illustrate the reasons for the uncorrelated or negatively correlated quantitative results in above statistics test. </w:t>
      </w:r>
    </w:p>
    <w:p w14:paraId="5B2752DC" w14:textId="77777777" w:rsidR="00270DAE" w:rsidRPr="00E3145A" w:rsidRDefault="00270DAE" w:rsidP="00D53214">
      <w:pPr>
        <w:spacing w:after="240" w:line="360" w:lineRule="auto"/>
      </w:pPr>
      <w:r w:rsidRPr="00E3145A">
        <w:t>This research comprises six sections. Following this introduction, a literature review analyses the stakeholder preferences in the urban logistics and UCC domains. Chapter 3 details the selected samples in the case study and the data analytical approaches methods. Chapter 4 displays the results of the quantitative and qualitative research. Chapter 5 then discusses how this approach could support UCC planners. The final chapter presents the conclusion.</w:t>
      </w:r>
    </w:p>
    <w:p w14:paraId="7935551D" w14:textId="161CB552" w:rsidR="00DC0CB1" w:rsidRDefault="00DC0CB1" w:rsidP="00DC0CB1">
      <w:pPr>
        <w:pStyle w:val="Heading2"/>
        <w:spacing w:after="120"/>
      </w:pPr>
      <w:bookmarkStart w:id="870" w:name="_Toc46053471"/>
      <w:bookmarkStart w:id="871" w:name="_Toc46093385"/>
      <w:bookmarkStart w:id="872" w:name="_Toc46093668"/>
      <w:bookmarkStart w:id="873" w:name="_Toc66703244"/>
      <w:r>
        <w:t xml:space="preserve">Literature </w:t>
      </w:r>
      <w:bookmarkEnd w:id="870"/>
      <w:bookmarkEnd w:id="871"/>
      <w:bookmarkEnd w:id="872"/>
      <w:r w:rsidR="00DA4498">
        <w:t>review</w:t>
      </w:r>
      <w:bookmarkEnd w:id="873"/>
    </w:p>
    <w:p w14:paraId="2CE3286B" w14:textId="64FA810A" w:rsidR="00270DAE" w:rsidRPr="00EB7CE3" w:rsidRDefault="00270DAE" w:rsidP="00811EC9">
      <w:pPr>
        <w:spacing w:line="360" w:lineRule="auto"/>
        <w:rPr>
          <w:szCs w:val="24"/>
        </w:rPr>
      </w:pPr>
      <w:r w:rsidRPr="00EB7CE3">
        <w:rPr>
          <w:szCs w:val="24"/>
        </w:rPr>
        <w:t xml:space="preserve">The following two sub-sections review the literature on stakeholder conflicts in the fields of urban logistics and UCC projects, respectively. Sub-section 2.3 reviews articles that employ multi-criteria decision-making (MCDM) methods to </w:t>
      </w:r>
      <w:r w:rsidRPr="00EB7CE3">
        <w:rPr>
          <w:rFonts w:hint="eastAsia"/>
          <w:szCs w:val="24"/>
        </w:rPr>
        <w:t>select</w:t>
      </w:r>
      <w:r w:rsidRPr="00EB7CE3">
        <w:rPr>
          <w:szCs w:val="24"/>
        </w:rPr>
        <w:t xml:space="preserve"> appropriate UCC configurations, based on the preferences of different stakeholders; this sub-section then introduces frameworks which have been proposed for evaluating UCC performance. These criteria can also be used to interpret the objectives of the different stakeholders in the decision-making process.</w:t>
      </w:r>
    </w:p>
    <w:p w14:paraId="21925D9A" w14:textId="068EBE23" w:rsidR="00270DAE" w:rsidRPr="00E3145A" w:rsidRDefault="00270DAE" w:rsidP="00E3145A">
      <w:pPr>
        <w:pStyle w:val="Heading3"/>
        <w:rPr>
          <w:rStyle w:val="EndNoteBibliographyTitle0"/>
          <w:rFonts w:eastAsiaTheme="minorEastAsia" w:cstheme="minorBidi"/>
          <w:noProof w:val="0"/>
          <w:color w:val="9CC2E5" w:themeColor="accent1" w:themeTint="99"/>
          <w:kern w:val="0"/>
          <w:sz w:val="28"/>
          <w:szCs w:val="22"/>
        </w:rPr>
      </w:pPr>
      <w:bookmarkStart w:id="874" w:name="_Toc46053472"/>
      <w:bookmarkStart w:id="875" w:name="_Toc46093386"/>
      <w:bookmarkStart w:id="876" w:name="_Toc46093669"/>
      <w:bookmarkStart w:id="877" w:name="_Toc66703245"/>
      <w:r w:rsidRPr="00E3145A">
        <w:rPr>
          <w:rStyle w:val="EndNoteBibliographyTitle0"/>
          <w:rFonts w:eastAsiaTheme="minorEastAsia" w:cstheme="minorBidi"/>
          <w:noProof w:val="0"/>
          <w:color w:val="9CC2E5" w:themeColor="accent1" w:themeTint="99"/>
          <w:kern w:val="0"/>
          <w:sz w:val="28"/>
          <w:szCs w:val="22"/>
        </w:rPr>
        <w:t>Stakeholder tensions in u</w:t>
      </w:r>
      <w:r w:rsidRPr="00E3145A">
        <w:rPr>
          <w:rStyle w:val="EndNoteBibliographyTitle0"/>
          <w:rFonts w:eastAsiaTheme="minorEastAsia" w:cstheme="minorBidi" w:hint="eastAsia"/>
          <w:noProof w:val="0"/>
          <w:color w:val="9CC2E5" w:themeColor="accent1" w:themeTint="99"/>
          <w:kern w:val="0"/>
          <w:sz w:val="28"/>
          <w:szCs w:val="22"/>
        </w:rPr>
        <w:t>rban</w:t>
      </w:r>
      <w:r w:rsidRPr="00E3145A">
        <w:rPr>
          <w:rStyle w:val="EndNoteBibliographyTitle0"/>
          <w:rFonts w:eastAsiaTheme="minorEastAsia" w:cstheme="minorBidi"/>
          <w:noProof w:val="0"/>
          <w:color w:val="9CC2E5" w:themeColor="accent1" w:themeTint="99"/>
          <w:kern w:val="0"/>
          <w:sz w:val="28"/>
          <w:szCs w:val="22"/>
        </w:rPr>
        <w:t xml:space="preserve"> logistics</w:t>
      </w:r>
      <w:bookmarkEnd w:id="874"/>
      <w:bookmarkEnd w:id="875"/>
      <w:bookmarkEnd w:id="876"/>
      <w:bookmarkEnd w:id="877"/>
    </w:p>
    <w:p w14:paraId="07E64D6F" w14:textId="77777777" w:rsidR="00D56CC9" w:rsidRDefault="00270DAE" w:rsidP="001B1530">
      <w:pPr>
        <w:spacing w:after="240" w:line="360" w:lineRule="auto"/>
        <w:rPr>
          <w:szCs w:val="24"/>
        </w:rPr>
      </w:pPr>
      <w:r w:rsidRPr="00E3145A">
        <w:rPr>
          <w:noProof/>
          <w:szCs w:val="24"/>
        </w:rPr>
        <w:t>Freeman (1984)</w:t>
      </w:r>
      <w:r w:rsidRPr="00E3145A">
        <w:rPr>
          <w:szCs w:val="24"/>
        </w:rPr>
        <w:t xml:space="preserve"> defines stakeholders as ‘</w:t>
      </w:r>
      <w:r w:rsidRPr="00E3145A">
        <w:rPr>
          <w:iCs/>
          <w:szCs w:val="24"/>
        </w:rPr>
        <w:t>any group or individual who can affect or is affected by the achievement of the organization's objectives’</w:t>
      </w:r>
      <w:r w:rsidRPr="00E3145A">
        <w:rPr>
          <w:szCs w:val="24"/>
        </w:rPr>
        <w:t>. The existing literature variously focuses on numerous types of stakeholder in urban logistics. The key stakeholders are represented by LAs (acting as administrator of urban transportatio</w:t>
      </w:r>
      <w:r w:rsidRPr="00E3145A">
        <w:rPr>
          <w:rFonts w:hint="eastAsia"/>
          <w:szCs w:val="24"/>
        </w:rPr>
        <w:t>n</w:t>
      </w:r>
      <w:r w:rsidRPr="00E3145A">
        <w:rPr>
          <w:szCs w:val="24"/>
        </w:rPr>
        <w:t xml:space="preserve"> that can affect urban logistics via various policies and regulations), carriers (shipping the goods into and out of the urban areas), and receivers (the generator of urban logistics, such as shopping malls, retailers, restaurants, hotels) </w:t>
      </w:r>
    </w:p>
    <w:p w14:paraId="071D906D" w14:textId="17725AA0" w:rsidR="00270DAE" w:rsidRPr="00E3145A" w:rsidRDefault="0083259C" w:rsidP="001B1530">
      <w:pPr>
        <w:spacing w:after="240" w:line="360" w:lineRule="auto"/>
        <w:rPr>
          <w:szCs w:val="24"/>
        </w:rPr>
      </w:pPr>
      <w:r>
        <w:rPr>
          <w:szCs w:val="24"/>
        </w:rPr>
        <w:lastRenderedPageBreak/>
        <w:fldChar w:fldCharType="begin">
          <w:fldData xml:space="preserve">PEVuZE5vdGU+PENpdGU+PEF1dGhvcj5SdXNzbzwvQXV0aG9yPjxZZWFyPjIwMTA8L1llYXI+PFJl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=
</w:fldData>
        </w:fldChar>
      </w:r>
      <w:r w:rsidR="00647E79">
        <w:rPr>
          <w:szCs w:val="24"/>
        </w:rPr>
        <w:instrText xml:space="preserve"> ADDIN EN.CITE </w:instrText>
      </w:r>
      <w:r w:rsidR="00647E79">
        <w:rPr>
          <w:szCs w:val="24"/>
        </w:rPr>
        <w:fldChar w:fldCharType="begin">
          <w:fldData xml:space="preserve">PEVuZE5vdGU+PENpdGU+PEF1dGhvcj5SdXNzbzwvQXV0aG9yPjxZZWFyPjIwMTA8L1llYXI+PFJl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=
</w:fldData>
        </w:fldChar>
      </w:r>
      <w:r w:rsidR="00647E79">
        <w:rPr>
          <w:szCs w:val="24"/>
        </w:rPr>
        <w:instrText xml:space="preserve"> ADDIN EN.CITE.DATA </w:instrText>
      </w:r>
      <w:r w:rsidR="00647E79">
        <w:rPr>
          <w:szCs w:val="24"/>
        </w:rPr>
      </w:r>
      <w:r w:rsidR="00647E79">
        <w:rPr>
          <w:szCs w:val="24"/>
        </w:rPr>
        <w:fldChar w:fldCharType="end"/>
      </w:r>
      <w:r>
        <w:rPr>
          <w:szCs w:val="24"/>
        </w:rPr>
      </w:r>
      <w:r>
        <w:rPr>
          <w:szCs w:val="24"/>
        </w:rPr>
        <w:fldChar w:fldCharType="separate"/>
      </w:r>
      <w:r>
        <w:rPr>
          <w:noProof/>
          <w:szCs w:val="24"/>
        </w:rPr>
        <w:t>(Russo and Comi, 2010, Lindholm, 2012, Stathopoulos et al., 2012)</w:t>
      </w:r>
      <w:r>
        <w:rPr>
          <w:szCs w:val="24"/>
        </w:rPr>
        <w:fldChar w:fldCharType="end"/>
      </w:r>
      <w:r w:rsidR="00270DAE" w:rsidRPr="00E3145A">
        <w:rPr>
          <w:szCs w:val="24"/>
        </w:rPr>
        <w:t xml:space="preserve">. In addition to the above </w:t>
      </w:r>
      <w:r w:rsidR="00270DAE" w:rsidRPr="00E3145A">
        <w:rPr>
          <w:rFonts w:hint="eastAsia"/>
          <w:szCs w:val="24"/>
        </w:rPr>
        <w:t>classification</w:t>
      </w:r>
      <w:r w:rsidR="00270DAE" w:rsidRPr="00E3145A">
        <w:rPr>
          <w:szCs w:val="24"/>
        </w:rPr>
        <w:t xml:space="preserve">, </w:t>
      </w:r>
      <w:r>
        <w:rPr>
          <w:szCs w:val="24"/>
        </w:rPr>
        <w:fldChar w:fldCharType="begin"/>
      </w:r>
      <w:r w:rsidR="00647E79">
        <w:rPr>
          <w:szCs w:val="24"/>
        </w:rPr>
        <w:instrText xml:space="preserve"> ADDIN EN.CITE &lt;EndNote&gt;&lt;Cite AuthorYear="1"&gt;&lt;Author&gt;Anand&lt;/Author&gt;&lt;Year&gt;2015&lt;/Year&gt;&lt;RecNum&gt;34&lt;/RecNum&gt;&lt;DisplayText&gt;Anand et al. (2015)&lt;/DisplayText&gt;&lt;record&gt;&lt;rec-number&gt;34&lt;/rec-number&gt;&lt;foreign-keys&gt;&lt;key app="EN" db-id="pzt5ep52hsedfpeext2pdfes0w0aswaewef2" timestamp="1605187992"&gt;34&lt;/key&gt;&lt;/foreign-keys&gt;&lt;ref-type name="Journal Article"&gt;17&lt;/ref-type&gt;&lt;contributors&gt;&lt;authors&gt;&lt;author&gt;Anand, Nilesh&lt;/author&gt;&lt;author&gt;van Duin, Ron&lt;/author&gt;&lt;author&gt;Quak, Hans&lt;/author&gt;&lt;author&gt;Tavasszy, Lori&lt;/author&gt;&lt;/authors&gt;&lt;/contributors&gt;&lt;titles&gt;&lt;title&gt;Relevance of City Logistics Modelling Efforts: A Review&lt;/title&gt;&lt;secondary-title&gt;Transport Reviews&lt;/secondary-title&gt;&lt;/titles&gt;&lt;periodical&gt;&lt;full-title&gt;Transport Reviews&lt;/full-title&gt;&lt;/periodical&gt;&lt;pages&gt;701-719&lt;/pages&gt;&lt;volume&gt;35&lt;/volume&gt;&lt;number&gt;6&lt;/number&gt;&lt;dates&gt;&lt;year&gt;2015&lt;/year&gt;&lt;pub-dates&gt;&lt;date&gt;2015/11/02&lt;/date&gt;&lt;/pub-dates&gt;&lt;/dates&gt;&lt;publisher&gt;Routledge&lt;/publisher&gt;&lt;isbn&gt;0144-1647&lt;/isbn&gt;&lt;urls&gt;&lt;related-urls&gt;&lt;url&gt;https://doi.org/10.1080/01441647.2015.1052112&lt;/url&gt;&lt;/related-urls&gt;&lt;/urls&gt;&lt;electronic-resource-num&gt;10.1080/01441647.2015.1052112&lt;/electronic-resource-num&gt;&lt;/record&gt;&lt;/Cite&gt;&lt;/EndNote&gt;</w:instrText>
      </w:r>
      <w:r>
        <w:rPr>
          <w:szCs w:val="24"/>
        </w:rPr>
        <w:fldChar w:fldCharType="separate"/>
      </w:r>
      <w:r>
        <w:rPr>
          <w:noProof/>
          <w:szCs w:val="24"/>
        </w:rPr>
        <w:t>Anand et al. (2015)</w:t>
      </w:r>
      <w:r>
        <w:rPr>
          <w:szCs w:val="24"/>
        </w:rPr>
        <w:fldChar w:fldCharType="end"/>
      </w:r>
      <w:r w:rsidR="00270DAE" w:rsidRPr="00E3145A">
        <w:rPr>
          <w:szCs w:val="24"/>
        </w:rPr>
        <w:t xml:space="preserve">, also building on the previous research from </w:t>
      </w:r>
      <w:r>
        <w:rPr>
          <w:szCs w:val="24"/>
        </w:rPr>
        <w:fldChar w:fldCharType="begin"/>
      </w:r>
      <w:r w:rsidR="00CA2D5D">
        <w:rPr>
          <w:szCs w:val="24"/>
        </w:rPr>
        <w:instrText xml:space="preserve"> ADDIN EN.CITE &lt;EndNote&gt;&lt;Cite AuthorYear="1"&gt;&lt;Author&gt;Taniguchi&lt;/Author&gt;&lt;Year&gt;2005&lt;/Year&gt;&lt;RecNum&gt;199&lt;/RecNum&gt;&lt;DisplayText&gt;Taniguchi and Tamagawa (2005)&lt;/DisplayText&gt;&lt;record&gt;&lt;rec-number&gt;199&lt;/rec-number&gt;&lt;foreign-keys&gt;&lt;key app="EN" db-id="x5etaz5aiszvz0edasvvpwvotttxepvd25t2" timestamp="1611177410"&gt;199&lt;/key&gt;&lt;/foreign-keys&gt;&lt;ref-type name="Journal Article"&gt;17&lt;/ref-type&gt;&lt;contributors&gt;&lt;authors&gt;&lt;author&gt;Taniguchi, Eiichi&lt;/author&gt;&lt;author&gt;Tamagawa, Dai&lt;/author&gt;&lt;/authors&gt;&lt;/contributors&gt;&lt;titles&gt;&lt;title&gt;Evaluating city logistics measures considering the behavior of several stakeholders&lt;/title&gt;&lt;secondary-title&gt;Journal of the Eastern Asia Society for Transportation Studies&lt;/secondary-title&gt;&lt;/titles&gt;&lt;periodical&gt;&lt;full-title&gt;Journal of the Eastern Asia Society for Transportation Studies&lt;/full-title&gt;&lt;/periodical&gt;&lt;pages&gt;3062-3076&lt;/pages&gt;&lt;volume&gt;6&lt;/volume&gt;&lt;dates&gt;&lt;year&gt;2005&lt;/year&gt;&lt;/dates&gt;&lt;urls&gt;&lt;/urls&gt;&lt;electronic-resource-num&gt;10.11175/easts.6.3062&lt;/electronic-resource-num&gt;&lt;/record&gt;&lt;/Cite&gt;&lt;/EndNote&gt;</w:instrText>
      </w:r>
      <w:r>
        <w:rPr>
          <w:szCs w:val="24"/>
        </w:rPr>
        <w:fldChar w:fldCharType="separate"/>
      </w:r>
      <w:r>
        <w:rPr>
          <w:noProof/>
          <w:szCs w:val="24"/>
        </w:rPr>
        <w:t>Taniguchi and Tamagawa (2005)</w:t>
      </w:r>
      <w:r>
        <w:rPr>
          <w:szCs w:val="24"/>
        </w:rPr>
        <w:fldChar w:fldCharType="end"/>
      </w:r>
      <w:r w:rsidR="00270DAE" w:rsidRPr="00E3145A">
        <w:rPr>
          <w:szCs w:val="24"/>
        </w:rPr>
        <w:t xml:space="preserve">, conclude that suppliers (supplying goods to receivers) should be considered another key stakeholder in city logistics. </w:t>
      </w:r>
      <w:r>
        <w:rPr>
          <w:noProof/>
          <w:szCs w:val="24"/>
        </w:rPr>
        <w:fldChar w:fldCharType="begin">
          <w:fldData xml:space="preserve">PEVuZE5vdGU+PENpdGUgQXV0aG9yWWVhcj0iMSI+PEF1dGhvcj5Gb3NzaGVpbTwvQXV0aG9yPjxZ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</w:fldData>
        </w:fldChar>
      </w:r>
      <w:r w:rsidR="00647E79">
        <w:rPr>
          <w:noProof/>
          <w:szCs w:val="24"/>
        </w:rPr>
        <w:instrText xml:space="preserve"> ADDIN EN.CITE </w:instrText>
      </w:r>
      <w:r w:rsidR="00647E79">
        <w:rPr>
          <w:noProof/>
          <w:szCs w:val="24"/>
        </w:rPr>
        <w:fldChar w:fldCharType="begin">
          <w:fldData xml:space="preserve">PEVuZE5vdGU+PENpdGUgQXV0aG9yWWVhcj0iMSI+PEF1dGhvcj5Gb3NzaGVpbTwvQXV0aG9yPjxZ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</w:fldData>
        </w:fldChar>
      </w:r>
      <w:r w:rsidR="00647E79">
        <w:rPr>
          <w:noProof/>
          <w:szCs w:val="24"/>
        </w:rPr>
        <w:instrText xml:space="preserve"> ADDIN EN.CITE.DATA </w:instrText>
      </w:r>
      <w:r w:rsidR="00647E79">
        <w:rPr>
          <w:noProof/>
          <w:szCs w:val="24"/>
        </w:rPr>
      </w:r>
      <w:r w:rsidR="00647E79">
        <w:rPr>
          <w:noProof/>
          <w:szCs w:val="24"/>
        </w:rPr>
        <w:fldChar w:fldCharType="end"/>
      </w:r>
      <w:r>
        <w:rPr>
          <w:noProof/>
          <w:szCs w:val="24"/>
        </w:rPr>
      </w:r>
      <w:r>
        <w:rPr>
          <w:noProof/>
          <w:szCs w:val="24"/>
        </w:rPr>
        <w:fldChar w:fldCharType="separate"/>
      </w:r>
      <w:r>
        <w:rPr>
          <w:noProof/>
          <w:szCs w:val="24"/>
        </w:rPr>
        <w:t>Fossheim and Andersen (2017)</w:t>
      </w:r>
      <w:r>
        <w:rPr>
          <w:noProof/>
          <w:szCs w:val="24"/>
        </w:rPr>
        <w:fldChar w:fldCharType="end"/>
      </w:r>
      <w:r w:rsidR="00270DAE" w:rsidRPr="00E3145A">
        <w:rPr>
          <w:szCs w:val="24"/>
        </w:rPr>
        <w:t xml:space="preserve"> believe that research institutions and NGOs whose views influence urban logistics planning are another essential type of stakeholder.</w:t>
      </w:r>
    </w:p>
    <w:p w14:paraId="143A50E9" w14:textId="68AE1BC1" w:rsidR="00270DAE" w:rsidRPr="00E3145A" w:rsidRDefault="00270DAE" w:rsidP="001B1530">
      <w:pPr>
        <w:spacing w:after="240" w:line="360" w:lineRule="auto"/>
        <w:rPr>
          <w:szCs w:val="24"/>
        </w:rPr>
      </w:pPr>
      <w:r w:rsidRPr="00E3145A">
        <w:rPr>
          <w:szCs w:val="24"/>
        </w:rPr>
        <w:t xml:space="preserve">These stakeholders may be actively or passively engaged in the provision of logistics solutions (e.g., congestion charge, off-peak deliveries, UCC operations), which are set up to mitigate </w:t>
      </w:r>
      <w:r w:rsidRPr="00E3145A">
        <w:rPr>
          <w:rFonts w:hint="eastAsia"/>
          <w:szCs w:val="24"/>
        </w:rPr>
        <w:t>t</w:t>
      </w:r>
      <w:r w:rsidRPr="00E3145A">
        <w:rPr>
          <w:szCs w:val="24"/>
        </w:rPr>
        <w:t xml:space="preserve">he negative results of urban logistics and to promote sustainability. Collaboration between stakeholders during the project planning and decision-making processes can promote the success of these logistics initiatives </w:t>
      </w:r>
      <w:r w:rsidR="0083259C">
        <w:rPr>
          <w:szCs w:val="24"/>
        </w:rPr>
        <w:fldChar w:fldCharType="begin">
          <w:fldData xml:space="preserve">PEVuZE5vdGU+PENpdGU+PEF1dGhvcj5CYWxsYW50eW5lPC9BdXRob3I+PFllYXI+MjAxMzwvWWVh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</w:fldData>
        </w:fldChar>
      </w:r>
      <w:r w:rsidR="007F30D5">
        <w:rPr>
          <w:szCs w:val="24"/>
        </w:rPr>
        <w:instrText xml:space="preserve"> ADDIN EN.CITE </w:instrText>
      </w:r>
      <w:r w:rsidR="007F30D5">
        <w:rPr>
          <w:szCs w:val="24"/>
        </w:rPr>
        <w:fldChar w:fldCharType="begin">
          <w:fldData xml:space="preserve">PEVuZE5vdGU+PENpdGU+PEF1dGhvcj5CYWxsYW50eW5lPC9BdXRob3I+PFllYXI+MjAxMzwvWWVh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</w:fldData>
        </w:fldChar>
      </w:r>
      <w:r w:rsidR="007F30D5">
        <w:rPr>
          <w:szCs w:val="24"/>
        </w:rPr>
        <w:instrText xml:space="preserve"> ADDIN EN.CITE.DATA </w:instrText>
      </w:r>
      <w:r w:rsidR="007F30D5">
        <w:rPr>
          <w:szCs w:val="24"/>
        </w:rPr>
      </w:r>
      <w:r w:rsidR="007F30D5">
        <w:rPr>
          <w:szCs w:val="24"/>
        </w:rPr>
        <w:fldChar w:fldCharType="end"/>
      </w:r>
      <w:r w:rsidR="0083259C">
        <w:rPr>
          <w:szCs w:val="24"/>
        </w:rPr>
      </w:r>
      <w:r w:rsidR="0083259C">
        <w:rPr>
          <w:szCs w:val="24"/>
        </w:rPr>
        <w:fldChar w:fldCharType="separate"/>
      </w:r>
      <w:r w:rsidR="0083259C">
        <w:rPr>
          <w:noProof/>
          <w:szCs w:val="24"/>
        </w:rPr>
        <w:t>(Ballantyne et al., 2013, Marcucci et al., 2017b, Oliveira et al., 2018)</w:t>
      </w:r>
      <w:r w:rsidR="0083259C">
        <w:rPr>
          <w:szCs w:val="24"/>
        </w:rPr>
        <w:fldChar w:fldCharType="end"/>
      </w:r>
      <w:r w:rsidRPr="00E3145A">
        <w:rPr>
          <w:szCs w:val="24"/>
        </w:rPr>
        <w:t xml:space="preserve">. </w:t>
      </w:r>
      <w:r w:rsidRPr="00E3145A">
        <w:rPr>
          <w:rFonts w:hint="eastAsia"/>
          <w:szCs w:val="24"/>
        </w:rPr>
        <w:t>However,</w:t>
      </w:r>
      <w:r w:rsidRPr="00E3145A">
        <w:rPr>
          <w:szCs w:val="24"/>
        </w:rPr>
        <w:t xml:space="preserve"> it is difficult to reach agreements in a multi-stakeholder environment </w:t>
      </w:r>
      <w:r w:rsidR="0083259C">
        <w:rPr>
          <w:szCs w:val="24"/>
        </w:rPr>
        <w:fldChar w:fldCharType="begin">
          <w:fldData xml:space="preserve">PEVuZE5vdGU+PENpdGU+PEF1dGhvcj5NYWNoYXJpczwvQXV0aG9yPjxZZWFyPjIwMTI8L1llYXI+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</w:fldData>
        </w:fldChar>
      </w:r>
      <w:r w:rsidR="00647E79">
        <w:rPr>
          <w:szCs w:val="24"/>
        </w:rPr>
        <w:instrText xml:space="preserve"> ADDIN EN.CITE </w:instrText>
      </w:r>
      <w:r w:rsidR="00647E79">
        <w:rPr>
          <w:szCs w:val="24"/>
        </w:rPr>
        <w:fldChar w:fldCharType="begin">
          <w:fldData xml:space="preserve">PEVuZE5vdGU+PENpdGU+PEF1dGhvcj5NYWNoYXJpczwvQXV0aG9yPjxZZWFyPjIwMTI8L1llYXI+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</w:fldData>
        </w:fldChar>
      </w:r>
      <w:r w:rsidR="00647E79">
        <w:rPr>
          <w:szCs w:val="24"/>
        </w:rPr>
        <w:instrText xml:space="preserve"> ADDIN EN.CITE.DATA </w:instrText>
      </w:r>
      <w:r w:rsidR="00647E79">
        <w:rPr>
          <w:szCs w:val="24"/>
        </w:rPr>
      </w:r>
      <w:r w:rsidR="00647E79">
        <w:rPr>
          <w:szCs w:val="24"/>
        </w:rPr>
        <w:fldChar w:fldCharType="end"/>
      </w:r>
      <w:r w:rsidR="0083259C">
        <w:rPr>
          <w:szCs w:val="24"/>
        </w:rPr>
      </w:r>
      <w:r w:rsidR="0083259C">
        <w:rPr>
          <w:szCs w:val="24"/>
        </w:rPr>
        <w:fldChar w:fldCharType="separate"/>
      </w:r>
      <w:r w:rsidR="0083259C">
        <w:rPr>
          <w:noProof/>
          <w:szCs w:val="24"/>
        </w:rPr>
        <w:t>(Macharis et al., 2012, Lindawati et al., 2014)</w:t>
      </w:r>
      <w:r w:rsidR="0083259C">
        <w:rPr>
          <w:szCs w:val="24"/>
        </w:rPr>
        <w:fldChar w:fldCharType="end"/>
      </w:r>
      <w:r w:rsidRPr="00E3145A">
        <w:rPr>
          <w:szCs w:val="24"/>
        </w:rPr>
        <w:t xml:space="preserve">. In terms of stakeholder theory, this conflict is due to the multifaceted stake of the individual actors </w:t>
      </w:r>
      <w:r w:rsidR="0083259C">
        <w:rPr>
          <w:noProof/>
          <w:szCs w:val="24"/>
        </w:rPr>
        <w:fldChar w:fldCharType="begin"/>
      </w:r>
      <w:r w:rsidR="00647E79">
        <w:rPr>
          <w:noProof/>
          <w:szCs w:val="24"/>
        </w:rPr>
        <w:instrText xml:space="preserve"> ADDIN EN.CITE &lt;EndNote&gt;&lt;Cite&gt;&lt;Author&gt;Freeman&lt;/Author&gt;&lt;Year&gt;2010&lt;/Year&gt;&lt;RecNum&gt;201&lt;/RecNum&gt;&lt;DisplayText&gt;(Freeman et al., 2010)&lt;/DisplayText&gt;&lt;record&gt;&lt;rec-number&gt;201&lt;/rec-number&gt;&lt;foreign-keys&gt;&lt;key app="EN" db-id="pzt5ep52hsedfpeext2pdfes0w0aswaewef2" timestamp="1605187996"&gt;201&lt;/key&gt;&lt;/foreign-keys&gt;&lt;ref-type name="Book"&gt;6&lt;/ref-type&gt;&lt;contributors&gt;&lt;authors&gt;&lt;author&gt;Freeman, R Edward&lt;/author&gt;&lt;author&gt;Harrison, Jeffrey S&lt;/author&gt;&lt;author&gt;Wicks, Andrew C&lt;/author&gt;&lt;author&gt;Parmar, Bidhan L&lt;/author&gt;&lt;author&gt;De Colle, Simone&lt;/author&gt;&lt;/authors&gt;&lt;/contributors&gt;&lt;titles&gt;&lt;title&gt;Stakeholder theory: The state of the art&lt;/title&gt;&lt;/titles&gt;&lt;dates&gt;&lt;year&gt;2010&lt;/year&gt;&lt;/dates&gt;&lt;publisher&gt;Cambridge University Press&lt;/publisher&gt;&lt;isbn&gt;1139484117&lt;/isbn&gt;&lt;urls&gt;&lt;/urls&gt;&lt;/record&gt;&lt;/Cite&gt;&lt;/EndNote&gt;</w:instrText>
      </w:r>
      <w:r w:rsidR="0083259C">
        <w:rPr>
          <w:noProof/>
          <w:szCs w:val="24"/>
        </w:rPr>
        <w:fldChar w:fldCharType="separate"/>
      </w:r>
      <w:r w:rsidR="0083259C">
        <w:rPr>
          <w:noProof/>
          <w:szCs w:val="24"/>
        </w:rPr>
        <w:t>(Freeman et al., 2010)</w:t>
      </w:r>
      <w:r w:rsidR="0083259C">
        <w:rPr>
          <w:noProof/>
          <w:szCs w:val="24"/>
        </w:rPr>
        <w:fldChar w:fldCharType="end"/>
      </w:r>
      <w:r w:rsidRPr="00E3145A">
        <w:rPr>
          <w:szCs w:val="24"/>
        </w:rPr>
        <w:t xml:space="preserve">. In terms of urban logistics, conflict arises because such initiatives generate both positive and negative outcomes in the context of SUL </w:t>
      </w:r>
      <w:r w:rsidR="0083259C">
        <w:rPr>
          <w:szCs w:val="24"/>
        </w:rPr>
        <w:fldChar w:fldCharType="begin">
          <w:fldData xml:space="preserve">PEVuZE5vdGU+PENpdGU+PEF1dGhvcj5UYW5pZ3VjaGk8L0F1dGhvcj48WWVhcj4yMDE0PC9ZZWFy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</w:fldData>
        </w:fldChar>
      </w:r>
      <w:r w:rsidR="00647E79">
        <w:rPr>
          <w:szCs w:val="24"/>
        </w:rPr>
        <w:instrText xml:space="preserve"> ADDIN EN.CITE </w:instrText>
      </w:r>
      <w:r w:rsidR="00647E79">
        <w:rPr>
          <w:szCs w:val="24"/>
        </w:rPr>
        <w:fldChar w:fldCharType="begin">
          <w:fldData xml:space="preserve">PEVuZE5vdGU+PENpdGU+PEF1dGhvcj5UYW5pZ3VjaGk8L0F1dGhvcj48WWVhcj4yMDE0PC9ZZWFy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</w:fldData>
        </w:fldChar>
      </w:r>
      <w:r w:rsidR="00647E79">
        <w:rPr>
          <w:szCs w:val="24"/>
        </w:rPr>
        <w:instrText xml:space="preserve"> ADDIN EN.CITE.DATA </w:instrText>
      </w:r>
      <w:r w:rsidR="00647E79">
        <w:rPr>
          <w:szCs w:val="24"/>
        </w:rPr>
      </w:r>
      <w:r w:rsidR="00647E79">
        <w:rPr>
          <w:szCs w:val="24"/>
        </w:rPr>
        <w:fldChar w:fldCharType="end"/>
      </w:r>
      <w:r w:rsidR="0083259C">
        <w:rPr>
          <w:szCs w:val="24"/>
        </w:rPr>
      </w:r>
      <w:r w:rsidR="0083259C">
        <w:rPr>
          <w:szCs w:val="24"/>
        </w:rPr>
        <w:fldChar w:fldCharType="separate"/>
      </w:r>
      <w:r w:rsidR="0083259C">
        <w:rPr>
          <w:noProof/>
          <w:szCs w:val="24"/>
        </w:rPr>
        <w:t>(Taniguchi et al., 2014, Österle et al., 2015, Amaya et al., 2020)</w:t>
      </w:r>
      <w:r w:rsidR="0083259C">
        <w:rPr>
          <w:szCs w:val="24"/>
        </w:rPr>
        <w:fldChar w:fldCharType="end"/>
      </w:r>
      <w:r w:rsidR="00D56CC9">
        <w:rPr>
          <w:szCs w:val="24"/>
        </w:rPr>
        <w:t xml:space="preserve"> </w:t>
      </w:r>
      <w:r w:rsidRPr="00E3145A">
        <w:rPr>
          <w:szCs w:val="24"/>
        </w:rPr>
        <w:t xml:space="preserve">and the objectives and interests of different stakeholders are heterogeneous </w:t>
      </w:r>
      <w:r w:rsidR="0083259C">
        <w:rPr>
          <w:szCs w:val="24"/>
        </w:rPr>
        <w:fldChar w:fldCharType="begin">
          <w:fldData xml:space="preserve">PEVuZE5vdGU+PENpdGU+PEF1dGhvcj5UYW5pZ3VjaGk8L0F1dGhvcj48WWVhcj4yMDAxPC9ZZWFy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</w:fldData>
        </w:fldChar>
      </w:r>
      <w:r w:rsidR="00BE0D58">
        <w:rPr>
          <w:szCs w:val="24"/>
        </w:rPr>
        <w:instrText xml:space="preserve"> ADDIN EN.CITE </w:instrText>
      </w:r>
      <w:r w:rsidR="00BE0D58">
        <w:rPr>
          <w:szCs w:val="24"/>
        </w:rPr>
        <w:fldChar w:fldCharType="begin">
          <w:fldData xml:space="preserve">PEVuZE5vdGU+PENpdGU+PEF1dGhvcj5UYW5pZ3VjaGk8L0F1dGhvcj48WWVhcj4yMDAxPC9ZZWFy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</w:fldData>
        </w:fldChar>
      </w:r>
      <w:r w:rsidR="00BE0D58">
        <w:rPr>
          <w:szCs w:val="24"/>
        </w:rPr>
        <w:instrText xml:space="preserve"> ADDIN EN.CITE.DATA </w:instrText>
      </w:r>
      <w:r w:rsidR="00BE0D58">
        <w:rPr>
          <w:szCs w:val="24"/>
        </w:rPr>
      </w:r>
      <w:r w:rsidR="00BE0D58">
        <w:rPr>
          <w:szCs w:val="24"/>
        </w:rPr>
        <w:fldChar w:fldCharType="end"/>
      </w:r>
      <w:r w:rsidR="0083259C">
        <w:rPr>
          <w:szCs w:val="24"/>
        </w:rPr>
      </w:r>
      <w:r w:rsidR="0083259C">
        <w:rPr>
          <w:szCs w:val="24"/>
        </w:rPr>
        <w:fldChar w:fldCharType="separate"/>
      </w:r>
      <w:r w:rsidR="0083259C">
        <w:rPr>
          <w:noProof/>
          <w:szCs w:val="24"/>
        </w:rPr>
        <w:t>(Taniguchi et al., 2001, Anand et al., 2012, Katsela and Browne, 2019)</w:t>
      </w:r>
      <w:r w:rsidR="0083259C">
        <w:rPr>
          <w:szCs w:val="24"/>
        </w:rPr>
        <w:fldChar w:fldCharType="end"/>
      </w:r>
      <w:r w:rsidRPr="00E3145A">
        <w:rPr>
          <w:szCs w:val="24"/>
        </w:rPr>
        <w:t xml:space="preserve">. For example, public stakeholders wish to minimise environmental and social issues while maintaining economic growth and increasing employment in the city, while private stakeholders value delivery service quality, security, and cost effectiveness </w:t>
      </w:r>
      <w:r w:rsidR="0083259C">
        <w:rPr>
          <w:szCs w:val="24"/>
        </w:rPr>
        <w:fldChar w:fldCharType="begin"/>
      </w:r>
      <w:r w:rsidR="00544B34">
        <w:rPr>
          <w:szCs w:val="24"/>
        </w:rPr>
        <w:instrText xml:space="preserve"> ADDIN EN.CITE &lt;EndNote&gt;&lt;Cite&gt;&lt;Author&gt;Janjevic&lt;/Author&gt;&lt;Year&gt;2019&lt;/Year&gt;&lt;RecNum&gt;141&lt;/RecNum&gt;&lt;DisplayText&gt;(Janjevic et al., 2019)&lt;/DisplayText&gt;&lt;record&gt;&lt;rec-number&gt;141&lt;/rec-number&gt;&lt;foreign-keys&gt;&lt;key app="EN" db-id="x5etaz5aiszvz0edasvvpwvotttxepvd25t2" timestamp="1609264002"&gt;141&lt;/key&gt;&lt;/foreign-keys&gt;&lt;ref-type name="Journal Article"&gt;17&lt;/ref-type&gt;&lt;contributors&gt;&lt;authors&gt;&lt;author&gt;Janjevic, M.&lt;/author&gt;&lt;author&gt;Knoppen, D.&lt;/author&gt;&lt;author&gt;Winkenbach, M.&lt;/author&gt;&lt;/authors&gt;&lt;/contributors&gt;&lt;auth-address&gt;Massachusetts Institute of Technology, Cambridge, MA, United States&amp;#xD;Eada Business School, Barcelona, Spain&lt;/auth-address&gt;&lt;titles&gt;&lt;title&gt;Integrated decision-making framework for urban freight logistics policy-making&lt;/title&gt;&lt;secondary-title&gt;Transportation Research Part D: Transport and Environment&lt;/secondary-title&gt;&lt;alt-title&gt;Transp. Res. Part D Transp. Environ.&lt;/alt-title&gt;&lt;/titles&gt;&lt;periodical&gt;&lt;full-title&gt;Transportation Research Part D: Transport and Environment&lt;/full-title&gt;&lt;abbr-1&gt;Transp. Res. Part D Transp. Environ.&lt;/abbr-1&gt;&lt;/periodical&gt;&lt;alt-periodical&gt;&lt;full-title&gt;Transportation Research Part D: Transport and Environment&lt;/full-title&gt;&lt;abbr-1&gt;Transp. Res. Part D Transp. Environ.&lt;/abbr-1&gt;&lt;/alt-periodical&gt;&lt;pages&gt;333-357&lt;/pages&gt;&lt;volume&gt;72&lt;/volume&gt;&lt;keywords&gt;&lt;keyword&gt;decision making&lt;/keyword&gt;&lt;keyword&gt;freight transport&lt;/keyword&gt;&lt;keyword&gt;logistics&lt;/keyword&gt;&lt;keyword&gt;policy making&lt;/keyword&gt;&lt;keyword&gt;urban transport&lt;/keyword&gt;&lt;/keywords&gt;&lt;dates&gt;&lt;year&gt;2019&lt;/year&gt;&lt;/dates&gt;&lt;publisher&gt;Elsevier Ltd&lt;/publisher&gt;&lt;isbn&gt;13619209 (ISSN)&lt;/isbn&gt;&lt;work-type&gt;Article&lt;/work-type&gt;&lt;urls&gt;&lt;related-urls&gt;&lt;url&gt;https://www.scopus.com/inward/record.uri?eid=2-s2.0-85066250271&amp;amp;doi=10.1016%2fj.trd.2019.05.006&amp;amp;partnerID=40&amp;amp;md5=6492d26abbc167ee22ebd4bd5162ec13&lt;/url&gt;&lt;/related-urls&gt;&lt;/urls&gt;&lt;electronic-resource-num&gt;10.1016/j.trd.2019.05.006&lt;/electronic-resource-num&gt;&lt;remote-database-name&gt;Scopus&lt;/remote-database-name&gt;&lt;language&gt;English&lt;/language&gt;&lt;/record&gt;&lt;/Cite&gt;&lt;/EndNote&gt;</w:instrText>
      </w:r>
      <w:r w:rsidR="0083259C">
        <w:rPr>
          <w:szCs w:val="24"/>
        </w:rPr>
        <w:fldChar w:fldCharType="separate"/>
      </w:r>
      <w:r w:rsidR="0083259C">
        <w:rPr>
          <w:noProof/>
          <w:szCs w:val="24"/>
        </w:rPr>
        <w:t>(Janjevic et al., 2019)</w:t>
      </w:r>
      <w:r w:rsidR="0083259C">
        <w:rPr>
          <w:szCs w:val="24"/>
        </w:rPr>
        <w:fldChar w:fldCharType="end"/>
      </w:r>
      <w:r w:rsidRPr="00E3145A">
        <w:rPr>
          <w:szCs w:val="24"/>
        </w:rPr>
        <w:t xml:space="preserve">. </w:t>
      </w:r>
    </w:p>
    <w:p w14:paraId="1C3EADAC" w14:textId="7A040A59" w:rsidR="00270DAE" w:rsidRPr="00E3145A" w:rsidRDefault="00270DAE" w:rsidP="001B1530">
      <w:pPr>
        <w:spacing w:after="240" w:line="360" w:lineRule="auto"/>
        <w:rPr>
          <w:szCs w:val="24"/>
        </w:rPr>
      </w:pPr>
      <w:r w:rsidRPr="00E3145A">
        <w:rPr>
          <w:szCs w:val="24"/>
        </w:rPr>
        <w:t>With logistics initiatives involving both public and private stakeholders, it is difficult for LAs establishing effective cooperation systems</w:t>
      </w:r>
      <w:r w:rsidRPr="00E3145A">
        <w:rPr>
          <w:rFonts w:hint="eastAsia"/>
          <w:szCs w:val="24"/>
        </w:rPr>
        <w:t>.</w:t>
      </w:r>
      <w:r w:rsidRPr="00E3145A">
        <w:rPr>
          <w:szCs w:val="24"/>
        </w:rPr>
        <w:t xml:space="preserve"> LAs consider delivery processes conducted by logistics service providers (LSPs) as a source of environmental and social issues, even if they acknowledge their economic contribution </w:t>
      </w:r>
      <w:r w:rsidR="0083259C">
        <w:rPr>
          <w:noProof/>
          <w:szCs w:val="24"/>
        </w:rPr>
        <w:fldChar w:fldCharType="begin"/>
      </w:r>
      <w:r w:rsidR="00647E79">
        <w:rPr>
          <w:noProof/>
          <w:szCs w:val="24"/>
        </w:rPr>
        <w:instrText xml:space="preserve"> ADDIN EN.CITE &lt;EndNote&gt;&lt;Cite&gt;&lt;Author&gt;Stathopoulos&lt;/Author&gt;&lt;Year&gt;2012&lt;/Year&gt;&lt;RecNum&gt;160&lt;/RecNum&gt;&lt;DisplayText&gt;(Stathopoulos et al., 2012)&lt;/DisplayText&gt;&lt;record&gt;&lt;rec-number&gt;160&lt;/rec-number&gt;&lt;foreign-keys&gt;&lt;key app="EN" db-id="pzt5ep52hsedfpeext2pdfes0w0aswaewef2" timestamp="1605187995"&gt;160&lt;/key&gt;&lt;/foreign-keys&gt;&lt;ref-type name="Journal Article"&gt;17&lt;/ref-type&gt;&lt;contributors&gt;&lt;authors&gt;&lt;author&gt;Stathopoulos, Amanda&lt;/author&gt;&lt;author&gt;Valeri, Eva&lt;/author&gt;&lt;author&gt;Marcucci, Edoardo&lt;/author&gt;&lt;/authors&gt;&lt;/contributors&gt;&lt;titles&gt;&lt;title&gt;Stakeholder reactions to urban freight policy innovation&lt;/title&gt;&lt;secondary-title&gt;Journal of Transport Geography&lt;/secondary-title&gt;&lt;/titles&gt;&lt;periodical&gt;&lt;full-title&gt;Journal of transport geography&lt;/full-title&gt;&lt;/periodical&gt;&lt;pages&gt;34-45&lt;/pages&gt;&lt;volume&gt;22&lt;/volume&gt;&lt;dates&gt;&lt;year&gt;2012&lt;/year&gt;&lt;/dates&gt;&lt;isbn&gt;0966-6923&lt;/isbn&gt;&lt;urls&gt;&lt;related-urls&gt;&lt;url&gt;http://www.sciencedirect.com/science/article/pii/S0966692311002195&lt;/url&gt;&lt;/related-urls&gt;&lt;/urls&gt;&lt;research-notes&gt;17&lt;/research-notes&gt;&lt;/record&gt;&lt;/Cite&gt;&lt;/EndNote&gt;</w:instrText>
      </w:r>
      <w:r w:rsidR="0083259C">
        <w:rPr>
          <w:noProof/>
          <w:szCs w:val="24"/>
        </w:rPr>
        <w:fldChar w:fldCharType="separate"/>
      </w:r>
      <w:r w:rsidR="0083259C">
        <w:rPr>
          <w:noProof/>
          <w:szCs w:val="24"/>
        </w:rPr>
        <w:t>(Stathopoulos et al., 2012)</w:t>
      </w:r>
      <w:r w:rsidR="0083259C">
        <w:rPr>
          <w:noProof/>
          <w:szCs w:val="24"/>
        </w:rPr>
        <w:fldChar w:fldCharType="end"/>
      </w:r>
      <w:r w:rsidRPr="00E3145A">
        <w:rPr>
          <w:szCs w:val="24"/>
        </w:rPr>
        <w:t xml:space="preserve">. In this context, many sustainable solutions (e.g., restrictive regulations) focus on environmental and social achievements, potentially damaging the interests of private stakeholders </w:t>
      </w:r>
      <w:r w:rsidR="0083259C">
        <w:rPr>
          <w:szCs w:val="24"/>
        </w:rPr>
        <w:fldChar w:fldCharType="begin"/>
      </w:r>
      <w:r w:rsidR="00647E79">
        <w:rPr>
          <w:szCs w:val="24"/>
        </w:rPr>
        <w:instrText xml:space="preserve"> ADDIN EN.CITE &lt;EndNote&gt;&lt;Cite&gt;&lt;Author&gt;Teo&lt;/Author&gt;&lt;Year&gt;2014&lt;/Year&gt;&lt;RecNum&gt;157&lt;/RecNum&gt;&lt;DisplayText&gt;(Teo et al., 2014, Gonzalez-Feliu, 2018)&lt;/DisplayText&gt;&lt;record&gt;&lt;rec-number&gt;157&lt;/rec-number&gt;&lt;foreign-keys&gt;&lt;key app="EN" db-id="pzt5ep52hsedfpeext2pdfes0w0aswaewef2" timestamp="1605187995"&gt;157&lt;/key&gt;&lt;/foreign-keys&gt;&lt;ref-type name="Journal Article"&gt;17&lt;/ref-type&gt;&lt;contributors&gt;&lt;authors&gt;&lt;author&gt;Teo, JSE&lt;/author&gt;&lt;author&gt;Taniguchi, E&lt;/author&gt;&lt;author&gt;Qureshi, AG&lt;/author&gt;&lt;/authors&gt;&lt;/contributors&gt;&lt;titles&gt;&lt;title&gt;Multi-agent systems modelling approach to evaluate urban motorways for city logistics&lt;/title&gt;&lt;secondary-title&gt;International Journal of Urban Sciences&lt;/secondary-title&gt;&lt;/titles&gt;&lt;periodical&gt;&lt;full-title&gt;International Journal of Urban Sciences&lt;/full-title&gt;&lt;/periodical&gt;&lt;pages&gt;154-165&lt;/pages&gt;&lt;volume&gt;18&lt;/volume&gt;&lt;number&gt;2&lt;/number&gt;&lt;dates&gt;&lt;year&gt;2014&lt;/year&gt;&lt;/dates&gt;&lt;isbn&gt;1226-5934&lt;/isbn&gt;&lt;urls&gt;&lt;related-urls&gt;&lt;url&gt;http://www.tandfonline.com/doi/abs/10.1080/12265934.2014.929020&lt;/url&gt;&lt;/related-urls&gt;&lt;/urls&gt;&lt;research-notes&gt;92&lt;/research-notes&gt;&lt;/record&gt;&lt;/Cite&gt;&lt;Cite&gt;&lt;Author&gt;Gonzalez-Feliu&lt;/Author&gt;&lt;Year&gt;2018&lt;/Year&gt;&lt;RecNum&gt;326&lt;/RecNum&gt;&lt;record&gt;&lt;rec-number&gt;326&lt;/rec-number&gt;&lt;foreign-keys&gt;&lt;key app="EN" db-id="pzt5ep52hsedfpeext2pdfes0w0aswaewef2" timestamp="1605188000"&gt;326&lt;/key&gt;&lt;/foreign-keys&gt;&lt;ref-type name="Book"&gt;6&lt;/ref-type&gt;&lt;contributors&gt;&lt;authors&gt;&lt;author&gt;Gonzalez-Feliu, Jesus&lt;/author&gt;&lt;/authors&gt;&lt;/contributors&gt;&lt;titles&gt;&lt;title&gt;Sustainable Urban Logistics: Planning and Evaluation&lt;/title&gt;&lt;/titles&gt;&lt;dates&gt;&lt;year&gt;2018&lt;/year&gt;&lt;/dates&gt;&lt;publisher&gt;John Wiley &amp;amp; Sons&lt;/publisher&gt;&lt;isbn&gt;1119510589&lt;/isbn&gt;&lt;urls&gt;&lt;/urls&gt;&lt;/record&gt;&lt;/Cite&gt;&lt;/EndNote&gt;</w:instrText>
      </w:r>
      <w:r w:rsidR="0083259C">
        <w:rPr>
          <w:szCs w:val="24"/>
        </w:rPr>
        <w:fldChar w:fldCharType="separate"/>
      </w:r>
      <w:r w:rsidR="0083259C">
        <w:rPr>
          <w:noProof/>
          <w:szCs w:val="24"/>
        </w:rPr>
        <w:t>(Teo et al., 2014, Gonzalez-Feliu, 2018)</w:t>
      </w:r>
      <w:r w:rsidR="0083259C">
        <w:rPr>
          <w:szCs w:val="24"/>
        </w:rPr>
        <w:fldChar w:fldCharType="end"/>
      </w:r>
      <w:r w:rsidR="0083259C">
        <w:rPr>
          <w:szCs w:val="24"/>
        </w:rPr>
        <w:t xml:space="preserve">. </w:t>
      </w:r>
      <w:r w:rsidRPr="00E3145A">
        <w:rPr>
          <w:szCs w:val="24"/>
        </w:rPr>
        <w:t xml:space="preserve">As a result, conflicts arise between public and private stakeholders. In addition, LAs not always openly engage private stakeholders during the decision-making process </w:t>
      </w:r>
      <w:r w:rsidR="0083259C">
        <w:rPr>
          <w:szCs w:val="24"/>
        </w:rPr>
        <w:fldChar w:fldCharType="begin"/>
      </w:r>
      <w:r w:rsidR="00647E79">
        <w:rPr>
          <w:szCs w:val="24"/>
        </w:rPr>
        <w:instrText xml:space="preserve"> ADDIN EN.CITE &lt;EndNote&gt;&lt;Cite&gt;&lt;Author&gt;Taniguchi&lt;/Author&gt;&lt;Year&gt;2014&lt;/Year&gt;&lt;RecNum&gt;321&lt;/RecNum&gt;&lt;DisplayText&gt;(Taniguchi et al., 2014)&lt;/DisplayText&gt;&lt;record&gt;&lt;rec-number&gt;321&lt;/rec-number&gt;&lt;foreign-keys&gt;&lt;key app="EN" db-id="pzt5ep52hsedfpeext2pdfes0w0aswaewef2" timestamp="1605188000"&gt;321&lt;/key&gt;&lt;/foreign-keys&gt;&lt;ref-type name="Journal Article"&gt;17&lt;/ref-type&gt;&lt;contributors&gt;&lt;authors&gt;&lt;author&gt;Taniguchi, Eiichi&lt;/author&gt;&lt;author&gt;Imanishi, Yoshikazu&lt;/author&gt;&lt;author&gt;Barber, Rick&lt;/author&gt;&lt;author&gt;James, Jonathan&lt;/author&gt;&lt;author&gt;Debauche, Wanda&lt;/author&gt;&lt;/authors&gt;&lt;/contributors&gt;&lt;titles&gt;&lt;title&gt;Public Sector Governance to Implement Freight Vehicle Transport Management&lt;/title&gt;&lt;secondary-title&gt;Procedia - Social and Behavioral Sciences&lt;/secondary-title&gt;&lt;/titles&gt;&lt;periodical&gt;&lt;full-title&gt;Procedia - Social and Behavioral Sciences&lt;/full-title&gt;&lt;/periodical&gt;&lt;pages&gt;345-357&lt;/pages&gt;&lt;volume&gt;125&lt;/volume&gt;&lt;keywords&gt;&lt;keyword&gt;Guidance&lt;/keyword&gt;&lt;keyword&gt;manual&lt;/keyword&gt;&lt;keyword&gt;urban freight&lt;/keyword&gt;&lt;keyword&gt;road freight transport management&lt;/keyword&gt;&lt;keyword&gt;public-private partnerships (PPP)&lt;/keyword&gt;&lt;keyword&gt;identifying problems&lt;/keyword&gt;&lt;keyword&gt;methodology to implement policy measures&lt;/keyword&gt;&lt;keyword&gt;evaluation methods&lt;/keyword&gt;&lt;keyword&gt;approaches and solutions&lt;/keyword&gt;&lt;/keywords&gt;&lt;dates&gt;&lt;year&gt;2014&lt;/year&gt;&lt;pub-dates&gt;&lt;date&gt;2014/03/20/&lt;/date&gt;&lt;/pub-dates&gt;&lt;/dates&gt;&lt;isbn&gt;1877-0428&lt;/isbn&gt;&lt;urls&gt;&lt;related-urls&gt;&lt;url&gt;http://www.sciencedirect.com/science/article/pii/S1877042814015171&lt;/url&gt;&lt;/related-urls&gt;&lt;/urls&gt;&lt;electronic-resource-num&gt;https://doi.org/10.1016/j.sbspro.2014.01.1479&lt;/electronic-resource-num&gt;&lt;/record&gt;&lt;/Cite&gt;&lt;/EndNote&gt;</w:instrText>
      </w:r>
      <w:r w:rsidR="0083259C">
        <w:rPr>
          <w:szCs w:val="24"/>
        </w:rPr>
        <w:fldChar w:fldCharType="separate"/>
      </w:r>
      <w:r w:rsidR="0083259C">
        <w:rPr>
          <w:noProof/>
          <w:szCs w:val="24"/>
        </w:rPr>
        <w:t>(Taniguchi et al., 2014)</w:t>
      </w:r>
      <w:r w:rsidR="0083259C">
        <w:rPr>
          <w:szCs w:val="24"/>
        </w:rPr>
        <w:fldChar w:fldCharType="end"/>
      </w:r>
      <w:r w:rsidRPr="00E3145A">
        <w:rPr>
          <w:szCs w:val="24"/>
        </w:rPr>
        <w:t xml:space="preserve">. This is also due to the fact that, due to the current climate of prolonged austerity and funding cuts, many LAs have insufficient resources (both in terms of personnel and decision support systems) in order to choose between appropriate SUL measures </w:t>
      </w:r>
      <w:r w:rsidRPr="00E3145A">
        <w:rPr>
          <w:szCs w:val="24"/>
        </w:rPr>
        <w:lastRenderedPageBreak/>
        <w:t xml:space="preserve">that could balance the heterogeneous interests of the various stakeholders </w:t>
      </w:r>
      <w:r w:rsidR="0083259C">
        <w:rPr>
          <w:noProof/>
          <w:szCs w:val="24"/>
        </w:rPr>
        <w:fldChar w:fldCharType="begin">
          <w:fldData xml:space="preserve">PEVuZE5vdGU+PENpdGU+PEF1dGhvcj5MaW5kaG9sbTwvQXV0aG9yPjxZZWFyPjIwMTI8L1llYXI+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</w:fldData>
        </w:fldChar>
      </w:r>
      <w:r w:rsidR="00647E79">
        <w:rPr>
          <w:noProof/>
          <w:szCs w:val="24"/>
        </w:rPr>
        <w:instrText xml:space="preserve"> ADDIN EN.CITE </w:instrText>
      </w:r>
      <w:r w:rsidR="00647E79">
        <w:rPr>
          <w:noProof/>
          <w:szCs w:val="24"/>
        </w:rPr>
        <w:fldChar w:fldCharType="begin">
          <w:fldData xml:space="preserve">PEVuZE5vdGU+PENpdGU+PEF1dGhvcj5MaW5kaG9sbTwvQXV0aG9yPjxZZWFyPjIwMTI8L1llYXI+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</w:fldData>
        </w:fldChar>
      </w:r>
      <w:r w:rsidR="00647E79">
        <w:rPr>
          <w:noProof/>
          <w:szCs w:val="24"/>
        </w:rPr>
        <w:instrText xml:space="preserve"> ADDIN EN.CITE.DATA </w:instrText>
      </w:r>
      <w:r w:rsidR="00647E79">
        <w:rPr>
          <w:noProof/>
          <w:szCs w:val="24"/>
        </w:rPr>
      </w:r>
      <w:r w:rsidR="00647E79">
        <w:rPr>
          <w:noProof/>
          <w:szCs w:val="24"/>
        </w:rPr>
        <w:fldChar w:fldCharType="end"/>
      </w:r>
      <w:r w:rsidR="0083259C">
        <w:rPr>
          <w:noProof/>
          <w:szCs w:val="24"/>
        </w:rPr>
      </w:r>
      <w:r w:rsidR="0083259C">
        <w:rPr>
          <w:noProof/>
          <w:szCs w:val="24"/>
        </w:rPr>
        <w:fldChar w:fldCharType="separate"/>
      </w:r>
      <w:r w:rsidR="0083259C">
        <w:rPr>
          <w:noProof/>
          <w:szCs w:val="24"/>
        </w:rPr>
        <w:t>(Lindholm and Behrends, 2012)</w:t>
      </w:r>
      <w:r w:rsidR="0083259C">
        <w:rPr>
          <w:noProof/>
          <w:szCs w:val="24"/>
        </w:rPr>
        <w:fldChar w:fldCharType="end"/>
      </w:r>
      <w:r w:rsidRPr="00E3145A">
        <w:rPr>
          <w:szCs w:val="24"/>
        </w:rPr>
        <w:t xml:space="preserve">. Finally, there is a notable lack of guidelines on preventing conflict in multi-stakeholder collaborations </w:t>
      </w:r>
      <w:r w:rsidR="0083259C">
        <w:rPr>
          <w:noProof/>
          <w:szCs w:val="24"/>
        </w:rPr>
        <w:fldChar w:fldCharType="begin">
          <w:fldData xml:space="preserve">PEVuZE5vdGU+PENpdGU+PEF1dGhvcj5CasO2cmtsdW5kPC9BdXRob3I+PFllYXI+MjAxNTwvWWVh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</w:fldData>
        </w:fldChar>
      </w:r>
      <w:r w:rsidR="00647E79">
        <w:rPr>
          <w:noProof/>
          <w:szCs w:val="24"/>
        </w:rPr>
        <w:instrText xml:space="preserve"> ADDIN EN.CITE </w:instrText>
      </w:r>
      <w:r w:rsidR="00647E79">
        <w:rPr>
          <w:noProof/>
          <w:szCs w:val="24"/>
        </w:rPr>
        <w:fldChar w:fldCharType="begin">
          <w:fldData xml:space="preserve">PEVuZE5vdGU+PENpdGU+PEF1dGhvcj5CasO2cmtsdW5kPC9BdXRob3I+PFllYXI+MjAxNTwvWWVh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</w:fldData>
        </w:fldChar>
      </w:r>
      <w:r w:rsidR="00647E79">
        <w:rPr>
          <w:noProof/>
          <w:szCs w:val="24"/>
        </w:rPr>
        <w:instrText xml:space="preserve"> ADDIN EN.CITE.DATA </w:instrText>
      </w:r>
      <w:r w:rsidR="00647E79">
        <w:rPr>
          <w:noProof/>
          <w:szCs w:val="24"/>
        </w:rPr>
      </w:r>
      <w:r w:rsidR="00647E79">
        <w:rPr>
          <w:noProof/>
          <w:szCs w:val="24"/>
        </w:rPr>
        <w:fldChar w:fldCharType="end"/>
      </w:r>
      <w:r w:rsidR="0083259C">
        <w:rPr>
          <w:noProof/>
          <w:szCs w:val="24"/>
        </w:rPr>
      </w:r>
      <w:r w:rsidR="0083259C">
        <w:rPr>
          <w:noProof/>
          <w:szCs w:val="24"/>
        </w:rPr>
        <w:fldChar w:fldCharType="separate"/>
      </w:r>
      <w:r w:rsidR="0083259C">
        <w:rPr>
          <w:noProof/>
          <w:szCs w:val="24"/>
        </w:rPr>
        <w:t>(Björklund and Gustafsson, 2015)</w:t>
      </w:r>
      <w:r w:rsidR="0083259C">
        <w:rPr>
          <w:noProof/>
          <w:szCs w:val="24"/>
        </w:rPr>
        <w:fldChar w:fldCharType="end"/>
      </w:r>
      <w:r w:rsidRPr="00E3145A">
        <w:rPr>
          <w:szCs w:val="24"/>
        </w:rPr>
        <w:t xml:space="preserve">. </w:t>
      </w:r>
    </w:p>
    <w:p w14:paraId="2B996DB6" w14:textId="4BC16CB4" w:rsidR="00270DAE" w:rsidRPr="00EB7CE3" w:rsidRDefault="00270DAE" w:rsidP="00AB35C1">
      <w:pPr>
        <w:pStyle w:val="Heading3"/>
      </w:pPr>
      <w:bookmarkStart w:id="878" w:name="_Toc46053473"/>
      <w:bookmarkStart w:id="879" w:name="_Toc46093387"/>
      <w:bookmarkStart w:id="880" w:name="_Toc46093670"/>
      <w:bookmarkStart w:id="881" w:name="_Toc66703246"/>
      <w:r w:rsidRPr="00EB7CE3">
        <w:rPr>
          <w:rFonts w:hint="eastAsia"/>
        </w:rPr>
        <w:t>S</w:t>
      </w:r>
      <w:r w:rsidRPr="00EB7CE3">
        <w:t>takeholder tensions in urban consolidation centre networks</w:t>
      </w:r>
      <w:bookmarkEnd w:id="878"/>
      <w:bookmarkEnd w:id="879"/>
      <w:bookmarkEnd w:id="880"/>
      <w:bookmarkEnd w:id="881"/>
      <w:r w:rsidRPr="00EB7CE3" w:rsidDel="00A12B10">
        <w:t xml:space="preserve"> </w:t>
      </w:r>
    </w:p>
    <w:p w14:paraId="3F31F8FD" w14:textId="173A66F0" w:rsidR="00270DAE" w:rsidRPr="00EB7CE3" w:rsidRDefault="00270DAE" w:rsidP="001B1530">
      <w:pPr>
        <w:spacing w:after="240" w:line="360" w:lineRule="auto"/>
        <w:rPr>
          <w:szCs w:val="24"/>
        </w:rPr>
      </w:pPr>
      <w:r w:rsidRPr="00EB7CE3">
        <w:rPr>
          <w:szCs w:val="24"/>
        </w:rPr>
        <w:t xml:space="preserve">There are potentially five types of stakeholder in a UCC project: LAs, receivers, LSPs (including intercity carriers and local carriers), suppliers, and operators </w:t>
      </w:r>
      <w:r w:rsidR="004C694E">
        <w:rPr>
          <w:szCs w:val="24"/>
        </w:rPr>
        <w:fldChar w:fldCharType="begin">
          <w:fldData xml:space="preserve">PEVuZE5vdGU+PENpdGU+PEF1dGhvcj5BbGxlbjwvQXV0aG9yPjxZZWFyPjIwMTI8L1llYXI+PFJl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</w:fldData>
        </w:fldChar>
      </w:r>
      <w:r w:rsidR="00544B34">
        <w:rPr>
          <w:szCs w:val="24"/>
        </w:rPr>
        <w:instrText xml:space="preserve"> ADDIN EN.CITE </w:instrText>
      </w:r>
      <w:r w:rsidR="00544B34">
        <w:rPr>
          <w:szCs w:val="24"/>
        </w:rPr>
        <w:fldChar w:fldCharType="begin">
          <w:fldData xml:space="preserve">PEVuZE5vdGU+PENpdGU+PEF1dGhvcj5BbGxlbjwvQXV0aG9yPjxZZWFyPjIwMTI8L1llYXI+PFJl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</w:fldData>
        </w:fldChar>
      </w:r>
      <w:r w:rsidR="00544B34">
        <w:rPr>
          <w:szCs w:val="24"/>
        </w:rPr>
        <w:instrText xml:space="preserve"> ADDIN EN.CITE.DATA </w:instrText>
      </w:r>
      <w:r w:rsidR="00544B34">
        <w:rPr>
          <w:szCs w:val="24"/>
        </w:rPr>
      </w:r>
      <w:r w:rsidR="00544B34">
        <w:rPr>
          <w:szCs w:val="24"/>
        </w:rPr>
        <w:fldChar w:fldCharType="end"/>
      </w:r>
      <w:r w:rsidR="004C694E">
        <w:rPr>
          <w:szCs w:val="24"/>
        </w:rPr>
      </w:r>
      <w:r w:rsidR="004C694E">
        <w:rPr>
          <w:szCs w:val="24"/>
        </w:rPr>
        <w:fldChar w:fldCharType="separate"/>
      </w:r>
      <w:r w:rsidR="004C694E">
        <w:rPr>
          <w:noProof/>
          <w:szCs w:val="24"/>
        </w:rPr>
        <w:t>(Allen et al., 2012, Björklund and Johansson, 2018)</w:t>
      </w:r>
      <w:r w:rsidR="004C694E">
        <w:rPr>
          <w:szCs w:val="24"/>
        </w:rPr>
        <w:fldChar w:fldCharType="end"/>
      </w:r>
      <w:r w:rsidRPr="00EB7CE3">
        <w:rPr>
          <w:szCs w:val="24"/>
        </w:rPr>
        <w:t xml:space="preserve">. Many studies have demonstrated the importance of stakeholder collaboration for the success of UCC projects </w:t>
      </w:r>
      <w:r w:rsidR="002D7CD8">
        <w:rPr>
          <w:noProof/>
          <w:szCs w:val="24"/>
        </w:rPr>
        <w:t>(Gonzalez-Feliu et al., 2014a, Österle et al., 2015, Gonzalez-Feliu et al., 2018)</w:t>
      </w:r>
      <w:r w:rsidRPr="00EB7CE3">
        <w:rPr>
          <w:szCs w:val="24"/>
        </w:rPr>
        <w:t xml:space="preserve">. However, as mentioned above, the objectives of these parties are heterogeneous </w:t>
      </w:r>
      <w:r w:rsidR="004C694E">
        <w:rPr>
          <w:szCs w:val="24"/>
        </w:rPr>
        <w:fldChar w:fldCharType="begin">
          <w:fldData xml:space="preserve">PEVuZE5vdGU+PENpdGU+PEF1dGhvcj5BbGpvaGFuaTwvQXV0aG9yPjxZZWFyPjIwMTg8L1llYXI+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</w:fldData>
        </w:fldChar>
      </w:r>
      <w:r w:rsidR="00E94277">
        <w:rPr>
          <w:szCs w:val="24"/>
        </w:rPr>
        <w:instrText xml:space="preserve"> ADDIN EN.CITE </w:instrText>
      </w:r>
      <w:r w:rsidR="00E94277">
        <w:rPr>
          <w:szCs w:val="24"/>
        </w:rPr>
        <w:fldChar w:fldCharType="begin">
          <w:fldData xml:space="preserve">PEVuZE5vdGU+PENpdGU+PEF1dGhvcj5BbGpvaGFuaTwvQXV0aG9yPjxZZWFyPjIwMTg8L1llYXI+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</w:fldData>
        </w:fldChar>
      </w:r>
      <w:r w:rsidR="00E94277">
        <w:rPr>
          <w:szCs w:val="24"/>
        </w:rPr>
        <w:instrText xml:space="preserve"> ADDIN EN.CITE.DATA </w:instrText>
      </w:r>
      <w:r w:rsidR="00E94277">
        <w:rPr>
          <w:szCs w:val="24"/>
        </w:rPr>
      </w:r>
      <w:r w:rsidR="00E94277">
        <w:rPr>
          <w:szCs w:val="24"/>
        </w:rPr>
        <w:fldChar w:fldCharType="end"/>
      </w:r>
      <w:r w:rsidR="004C694E">
        <w:rPr>
          <w:szCs w:val="24"/>
        </w:rPr>
      </w:r>
      <w:r w:rsidR="004C694E">
        <w:rPr>
          <w:szCs w:val="24"/>
        </w:rPr>
        <w:fldChar w:fldCharType="separate"/>
      </w:r>
      <w:r w:rsidR="00FA6BB7">
        <w:rPr>
          <w:noProof/>
          <w:szCs w:val="24"/>
        </w:rPr>
        <w:t>(Aljohani and Thompson, 2018, Akgün et al., 2019a)</w:t>
      </w:r>
      <w:r w:rsidR="004C694E">
        <w:rPr>
          <w:szCs w:val="24"/>
        </w:rPr>
        <w:fldChar w:fldCharType="end"/>
      </w:r>
      <w:r w:rsidRPr="00EB7CE3">
        <w:rPr>
          <w:noProof/>
          <w:szCs w:val="24"/>
        </w:rPr>
        <w:t>,</w:t>
      </w:r>
      <w:r w:rsidRPr="00EB7CE3">
        <w:rPr>
          <w:szCs w:val="24"/>
        </w:rPr>
        <w:t xml:space="preserve"> and there is no feasible business model to satisfy all parties’ needs </w:t>
      </w:r>
      <w:r w:rsidR="008711E0">
        <w:rPr>
          <w:szCs w:val="24"/>
        </w:rPr>
        <w:t>(</w:t>
      </w:r>
      <w:r w:rsidR="008711E0" w:rsidRPr="00B54F5B">
        <w:rPr>
          <w:rFonts w:cs="Times New Roman"/>
        </w:rPr>
        <w:t xml:space="preserve">Björklund </w:t>
      </w:r>
      <w:r w:rsidR="008711E0">
        <w:rPr>
          <w:rFonts w:cs="Times New Roman"/>
        </w:rPr>
        <w:t xml:space="preserve">et al. </w:t>
      </w:r>
      <w:r w:rsidR="008711E0" w:rsidRPr="00B54F5B">
        <w:rPr>
          <w:rFonts w:cs="Times New Roman"/>
        </w:rPr>
        <w:t>2017)</w:t>
      </w:r>
      <w:r w:rsidRPr="00EB7CE3">
        <w:rPr>
          <w:szCs w:val="24"/>
        </w:rPr>
        <w:t xml:space="preserve">. As reported by </w:t>
      </w:r>
      <w:r w:rsidR="004C694E">
        <w:rPr>
          <w:noProof/>
          <w:szCs w:val="24"/>
        </w:rPr>
        <w:fldChar w:fldCharType="begin"/>
      </w:r>
      <w:r w:rsidR="00CA2D5D">
        <w:rPr>
          <w:noProof/>
          <w:szCs w:val="24"/>
        </w:rPr>
        <w:instrText xml:space="preserve"> ADDIN EN.CITE &lt;EndNote&gt;&lt;Cite&gt;&lt;Author&gt;Marcucci&lt;/Author&gt;&lt;Year&gt;2008&lt;/Year&gt;&lt;RecNum&gt;227&lt;/RecNum&gt;&lt;DisplayText&gt;(Marcucci and Danielis, 2008)&lt;/DisplayText&gt;&lt;record&gt;&lt;rec-number&gt;227&lt;/rec-number&gt;&lt;foreign-keys&gt;&lt;key app="EN" db-id="x5etaz5aiszvz0edasvvpwvotttxepvd25t2" timestamp="1611177411"&gt;227&lt;/key&gt;&lt;/foreign-keys&gt;&lt;ref-type name="Journal Article"&gt;17&lt;/ref-type&gt;&lt;contributors&gt;&lt;authors&gt;&lt;author&gt;Marcucci, Edoardo&lt;/author&gt;&lt;author&gt;Danielis, Romeo&lt;/author&gt;&lt;/authors&gt;&lt;/contributors&gt;&lt;titles&gt;&lt;title&gt;The potential demand for a urban freight consolidation centre&lt;/title&gt;&lt;secondary-title&gt;Transportation&lt;/secondary-title&gt;&lt;/titles&gt;&lt;periodical&gt;&lt;full-title&gt;Transportation&lt;/full-title&gt;&lt;abbr-1&gt;Transportation&lt;/abbr-1&gt;&lt;/periodical&gt;&lt;pages&gt;269-284&lt;/pages&gt;&lt;volume&gt;35&lt;/volume&gt;&lt;number&gt;2&lt;/number&gt;&lt;dates&gt;&lt;year&gt;2008&lt;/year&gt;&lt;/dates&gt;&lt;isbn&gt;0049-4488&lt;/isbn&gt;&lt;urls&gt;&lt;related-urls&gt;&lt;url&gt;https://link.springer.com/article/10.1007%2Fs11116-007-9147-3?LI=true&lt;/url&gt;&lt;/related-urls&gt;&lt;/urls&gt;&lt;research-notes&gt;26&lt;/research-notes&gt;&lt;/record&gt;&lt;/Cite&gt;&lt;/EndNote&gt;</w:instrText>
      </w:r>
      <w:r w:rsidR="004C694E">
        <w:rPr>
          <w:noProof/>
          <w:szCs w:val="24"/>
        </w:rPr>
        <w:fldChar w:fldCharType="separate"/>
      </w:r>
      <w:r w:rsidR="004C694E">
        <w:rPr>
          <w:noProof/>
          <w:szCs w:val="24"/>
        </w:rPr>
        <w:t>(Marcucci and Danielis, 2008)</w:t>
      </w:r>
      <w:r w:rsidR="004C694E">
        <w:rPr>
          <w:noProof/>
          <w:szCs w:val="24"/>
        </w:rPr>
        <w:fldChar w:fldCharType="end"/>
      </w:r>
      <w:r w:rsidRPr="00EB7CE3">
        <w:rPr>
          <w:szCs w:val="24"/>
        </w:rPr>
        <w:t xml:space="preserve">, it is only if upstream LSPs’ cost savings are sufficient to pay for the service fees of the UCC that a healthy relationship can be achieved between the LSPs and UCC. However, UCCs usually generate extra costs in the supply chain, due to additional goods handling processes </w:t>
      </w:r>
      <w:r w:rsidR="004C694E">
        <w:rPr>
          <w:noProof/>
          <w:szCs w:val="24"/>
        </w:rPr>
        <w:fldChar w:fldCharType="begin">
          <w:fldData xml:space="preserve">PEVuZE5vdGU+PENpdGU+PEF1dGhvcj5WZXJsaW5kZTwvQXV0aG9yPjxZZWFyPjIwMTI8L1llYXI+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</w:fldData>
        </w:fldChar>
      </w:r>
      <w:r w:rsidR="00647E79">
        <w:rPr>
          <w:noProof/>
          <w:szCs w:val="24"/>
        </w:rPr>
        <w:instrText xml:space="preserve"> ADDIN EN.CITE </w:instrText>
      </w:r>
      <w:r w:rsidR="00647E79">
        <w:rPr>
          <w:noProof/>
          <w:szCs w:val="24"/>
        </w:rPr>
        <w:fldChar w:fldCharType="begin">
          <w:fldData xml:space="preserve">PEVuZE5vdGU+PENpdGU+PEF1dGhvcj5WZXJsaW5kZTwvQXV0aG9yPjxZZWFyPjIwMTI8L1llYXI+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</w:fldData>
        </w:fldChar>
      </w:r>
      <w:r w:rsidR="00647E79">
        <w:rPr>
          <w:noProof/>
          <w:szCs w:val="24"/>
        </w:rPr>
        <w:instrText xml:space="preserve"> ADDIN EN.CITE.DATA </w:instrText>
      </w:r>
      <w:r w:rsidR="00647E79">
        <w:rPr>
          <w:noProof/>
          <w:szCs w:val="24"/>
        </w:rPr>
      </w:r>
      <w:r w:rsidR="00647E79">
        <w:rPr>
          <w:noProof/>
          <w:szCs w:val="24"/>
        </w:rPr>
        <w:fldChar w:fldCharType="end"/>
      </w:r>
      <w:r w:rsidR="004C694E">
        <w:rPr>
          <w:noProof/>
          <w:szCs w:val="24"/>
        </w:rPr>
      </w:r>
      <w:r w:rsidR="004C694E">
        <w:rPr>
          <w:noProof/>
          <w:szCs w:val="24"/>
        </w:rPr>
        <w:fldChar w:fldCharType="separate"/>
      </w:r>
      <w:r w:rsidR="004C694E">
        <w:rPr>
          <w:noProof/>
          <w:szCs w:val="24"/>
        </w:rPr>
        <w:t>(Verlinde et al., 2012)</w:t>
      </w:r>
      <w:r w:rsidR="004C694E">
        <w:rPr>
          <w:noProof/>
          <w:szCs w:val="24"/>
        </w:rPr>
        <w:fldChar w:fldCharType="end"/>
      </w:r>
      <w:r w:rsidRPr="00EB7CE3">
        <w:rPr>
          <w:szCs w:val="24"/>
        </w:rPr>
        <w:t xml:space="preserve">. As a result, the service cost is usually higher than the cost of direct deliveries conducted by the LSP itself. LSPs are thus less willing to participate in UCC projects. </w:t>
      </w:r>
    </w:p>
    <w:p w14:paraId="7B29E2CA" w14:textId="3EDA64E0" w:rsidR="00270DAE" w:rsidRPr="00EB7CE3" w:rsidRDefault="00270DAE" w:rsidP="001B1530">
      <w:pPr>
        <w:spacing w:after="240" w:line="360" w:lineRule="auto"/>
        <w:rPr>
          <w:szCs w:val="24"/>
        </w:rPr>
      </w:pPr>
      <w:r w:rsidRPr="00EB7CE3">
        <w:rPr>
          <w:szCs w:val="24"/>
        </w:rPr>
        <w:t xml:space="preserve">Besides such financial issues, LSPs are concerned with operational risk. For example, some LSPs worry about </w:t>
      </w:r>
      <w:r w:rsidRPr="00EB7CE3">
        <w:rPr>
          <w:rFonts w:hint="eastAsia"/>
          <w:szCs w:val="24"/>
        </w:rPr>
        <w:t>losing</w:t>
      </w:r>
      <w:r w:rsidRPr="00EB7CE3">
        <w:rPr>
          <w:szCs w:val="24"/>
        </w:rPr>
        <w:t xml:space="preserve"> </w:t>
      </w:r>
      <w:r w:rsidRPr="00EB7CE3">
        <w:rPr>
          <w:rFonts w:hint="eastAsia"/>
          <w:szCs w:val="24"/>
        </w:rPr>
        <w:t>control</w:t>
      </w:r>
      <w:r w:rsidRPr="00EB7CE3">
        <w:rPr>
          <w:szCs w:val="24"/>
        </w:rPr>
        <w:t xml:space="preserve"> </w:t>
      </w:r>
      <w:r w:rsidRPr="00EB7CE3">
        <w:rPr>
          <w:rFonts w:hint="eastAsia"/>
          <w:szCs w:val="24"/>
        </w:rPr>
        <w:t>of</w:t>
      </w:r>
      <w:r w:rsidRPr="00EB7CE3">
        <w:rPr>
          <w:szCs w:val="24"/>
        </w:rPr>
        <w:t xml:space="preserve"> their shipments in terms of service quality, if the UCC replaces </w:t>
      </w:r>
      <w:r w:rsidRPr="00EB7CE3">
        <w:rPr>
          <w:rFonts w:hint="eastAsia"/>
          <w:szCs w:val="24"/>
        </w:rPr>
        <w:t>them</w:t>
      </w:r>
      <w:r w:rsidRPr="00EB7CE3">
        <w:rPr>
          <w:szCs w:val="24"/>
        </w:rPr>
        <w:t xml:space="preserve"> to deliver goods </w:t>
      </w:r>
      <w:r w:rsidRPr="00EB7CE3">
        <w:rPr>
          <w:rFonts w:hint="eastAsia"/>
          <w:szCs w:val="24"/>
        </w:rPr>
        <w:t>in</w:t>
      </w:r>
      <w:r w:rsidRPr="00EB7CE3">
        <w:rPr>
          <w:szCs w:val="24"/>
        </w:rPr>
        <w:t xml:space="preserve"> </w:t>
      </w:r>
      <w:r w:rsidRPr="00EB7CE3">
        <w:rPr>
          <w:rFonts w:hint="eastAsia"/>
          <w:szCs w:val="24"/>
        </w:rPr>
        <w:t>the</w:t>
      </w:r>
      <w:r w:rsidRPr="00EB7CE3">
        <w:rPr>
          <w:szCs w:val="24"/>
        </w:rPr>
        <w:t xml:space="preserve"> </w:t>
      </w:r>
      <w:r w:rsidRPr="00EB7CE3">
        <w:rPr>
          <w:rFonts w:hint="eastAsia"/>
          <w:szCs w:val="24"/>
        </w:rPr>
        <w:t>city</w:t>
      </w:r>
      <w:r w:rsidRPr="00EB7CE3">
        <w:rPr>
          <w:szCs w:val="24"/>
        </w:rPr>
        <w:t xml:space="preserve"> </w:t>
      </w:r>
      <w:r w:rsidR="004C694E">
        <w:rPr>
          <w:szCs w:val="24"/>
        </w:rPr>
        <w:fldChar w:fldCharType="begin">
          <w:fldData xml:space="preserve">PEVuZE5vdGU+PENpdGU+PEF1dGhvcj5WaWxsZTwvQXV0aG9yPjxZZWFyPjIwMTM8L1llYXI+PFJl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=
</w:fldData>
        </w:fldChar>
      </w:r>
      <w:r w:rsidR="00DD4C65">
        <w:rPr>
          <w:szCs w:val="24"/>
        </w:rPr>
        <w:instrText xml:space="preserve"> ADDIN EN.CITE </w:instrText>
      </w:r>
      <w:r w:rsidR="00DD4C65">
        <w:rPr>
          <w:szCs w:val="24"/>
        </w:rPr>
        <w:fldChar w:fldCharType="begin">
          <w:fldData xml:space="preserve">PEVuZE5vdGU+PENpdGU+PEF1dGhvcj5WaWxsZTwvQXV0aG9yPjxZZWFyPjIwMTM8L1llYXI+PFJl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=
</w:fldData>
        </w:fldChar>
      </w:r>
      <w:r w:rsidR="00DD4C65">
        <w:rPr>
          <w:szCs w:val="24"/>
        </w:rPr>
        <w:instrText xml:space="preserve"> ADDIN EN.CITE.DATA </w:instrText>
      </w:r>
      <w:r w:rsidR="00DD4C65">
        <w:rPr>
          <w:szCs w:val="24"/>
        </w:rPr>
      </w:r>
      <w:r w:rsidR="00DD4C65">
        <w:rPr>
          <w:szCs w:val="24"/>
        </w:rPr>
        <w:fldChar w:fldCharType="end"/>
      </w:r>
      <w:r w:rsidR="004C694E">
        <w:rPr>
          <w:szCs w:val="24"/>
        </w:rPr>
      </w:r>
      <w:r w:rsidR="004C694E">
        <w:rPr>
          <w:szCs w:val="24"/>
        </w:rPr>
        <w:fldChar w:fldCharType="separate"/>
      </w:r>
      <w:r w:rsidR="00DD4C65">
        <w:rPr>
          <w:noProof/>
          <w:szCs w:val="24"/>
        </w:rPr>
        <w:t>(Ville et al., 2013, Allen et al., 2014)</w:t>
      </w:r>
      <w:r w:rsidR="004C694E">
        <w:rPr>
          <w:szCs w:val="24"/>
        </w:rPr>
        <w:fldChar w:fldCharType="end"/>
      </w:r>
      <w:r w:rsidRPr="00EB7CE3">
        <w:rPr>
          <w:szCs w:val="24"/>
        </w:rPr>
        <w:t xml:space="preserve">. Conflicts between local carriers can prevent them participating in the UCC. For example, they would hesitate to cooperate with other carriers considered competitors in the local market </w:t>
      </w:r>
      <w:r w:rsidR="004C694E">
        <w:rPr>
          <w:noProof/>
          <w:szCs w:val="24"/>
        </w:rPr>
        <w:fldChar w:fldCharType="begin">
          <w:fldData xml:space="preserve">PEVuZE5vdGU+PENpdGU+PEF1dGhvcj5PbHNzb248L0F1dGhvcj48WWVhcj4yMDE0PC9ZZWFyPjxS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</w:fldData>
        </w:fldChar>
      </w:r>
      <w:r w:rsidR="00CA2D5D">
        <w:rPr>
          <w:noProof/>
          <w:szCs w:val="24"/>
        </w:rPr>
        <w:instrText xml:space="preserve"> ADDIN EN.CITE </w:instrText>
      </w:r>
      <w:r w:rsidR="00CA2D5D">
        <w:rPr>
          <w:noProof/>
          <w:szCs w:val="24"/>
        </w:rPr>
        <w:fldChar w:fldCharType="begin">
          <w:fldData xml:space="preserve">PEVuZE5vdGU+PENpdGU+PEF1dGhvcj5PbHNzb248L0F1dGhvcj48WWVhcj4yMDE0PC9ZZWFyPjxS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</w:fldData>
        </w:fldChar>
      </w:r>
      <w:r w:rsidR="00CA2D5D">
        <w:rPr>
          <w:noProof/>
          <w:szCs w:val="24"/>
        </w:rPr>
        <w:instrText xml:space="preserve"> ADDIN EN.CITE.DATA </w:instrText>
      </w:r>
      <w:r w:rsidR="00CA2D5D">
        <w:rPr>
          <w:noProof/>
          <w:szCs w:val="24"/>
        </w:rPr>
      </w:r>
      <w:r w:rsidR="00CA2D5D">
        <w:rPr>
          <w:noProof/>
          <w:szCs w:val="24"/>
        </w:rPr>
        <w:fldChar w:fldCharType="end"/>
      </w:r>
      <w:r w:rsidR="004C694E">
        <w:rPr>
          <w:noProof/>
          <w:szCs w:val="24"/>
        </w:rPr>
      </w:r>
      <w:r w:rsidR="004C694E">
        <w:rPr>
          <w:noProof/>
          <w:szCs w:val="24"/>
        </w:rPr>
        <w:fldChar w:fldCharType="separate"/>
      </w:r>
      <w:r w:rsidR="004C694E">
        <w:rPr>
          <w:noProof/>
          <w:szCs w:val="24"/>
        </w:rPr>
        <w:t>(Olsson and Woxenius, 2014)</w:t>
      </w:r>
      <w:r w:rsidR="004C694E">
        <w:rPr>
          <w:noProof/>
          <w:szCs w:val="24"/>
        </w:rPr>
        <w:fldChar w:fldCharType="end"/>
      </w:r>
      <w:r w:rsidRPr="00EB7CE3">
        <w:rPr>
          <w:szCs w:val="24"/>
        </w:rPr>
        <w:t xml:space="preserve">. Besides this, local carriers could even treat the UCC as a competitor in the urban logistics market </w:t>
      </w:r>
      <w:r w:rsidRPr="00EB7CE3">
        <w:rPr>
          <w:noProof/>
          <w:szCs w:val="24"/>
        </w:rPr>
        <w:t>(Duin et al., 2016)</w:t>
      </w:r>
      <w:r w:rsidRPr="00EB7CE3">
        <w:rPr>
          <w:szCs w:val="24"/>
        </w:rPr>
        <w:t xml:space="preserve">. </w:t>
      </w:r>
    </w:p>
    <w:p w14:paraId="10EE5A45" w14:textId="3E40925E" w:rsidR="00270DAE" w:rsidRPr="00EB7CE3" w:rsidRDefault="00270DAE" w:rsidP="001B1530">
      <w:pPr>
        <w:spacing w:after="240" w:line="360" w:lineRule="auto"/>
        <w:rPr>
          <w:szCs w:val="24"/>
        </w:rPr>
      </w:pPr>
      <w:r w:rsidRPr="00EB7CE3">
        <w:rPr>
          <w:szCs w:val="24"/>
        </w:rPr>
        <w:t xml:space="preserve">For the potential clients located in urban area (such as stores </w:t>
      </w:r>
      <w:r w:rsidRPr="00EB7CE3">
        <w:rPr>
          <w:rFonts w:hint="eastAsia"/>
          <w:szCs w:val="24"/>
        </w:rPr>
        <w:t>a</w:t>
      </w:r>
      <w:r w:rsidRPr="00EB7CE3">
        <w:rPr>
          <w:szCs w:val="24"/>
        </w:rPr>
        <w:t xml:space="preserve">nd restaurants), the </w:t>
      </w:r>
      <w:r w:rsidRPr="00EB7CE3">
        <w:rPr>
          <w:rFonts w:hint="eastAsia"/>
          <w:szCs w:val="24"/>
        </w:rPr>
        <w:t>environment</w:t>
      </w:r>
      <w:r w:rsidRPr="00EB7CE3">
        <w:rPr>
          <w:szCs w:val="24"/>
        </w:rPr>
        <w:t xml:space="preserve"> </w:t>
      </w:r>
      <w:r w:rsidRPr="00EB7CE3">
        <w:rPr>
          <w:rFonts w:hint="eastAsia"/>
          <w:szCs w:val="24"/>
        </w:rPr>
        <w:t>and</w:t>
      </w:r>
      <w:r w:rsidRPr="00EB7CE3">
        <w:rPr>
          <w:szCs w:val="24"/>
        </w:rPr>
        <w:t xml:space="preserve"> </w:t>
      </w:r>
      <w:r w:rsidRPr="00EB7CE3">
        <w:rPr>
          <w:rFonts w:hint="eastAsia"/>
          <w:szCs w:val="24"/>
        </w:rPr>
        <w:t>social</w:t>
      </w:r>
      <w:r w:rsidRPr="00EB7CE3">
        <w:rPr>
          <w:szCs w:val="24"/>
        </w:rPr>
        <w:t xml:space="preserve"> </w:t>
      </w:r>
      <w:r w:rsidRPr="00EB7CE3">
        <w:rPr>
          <w:rFonts w:hint="eastAsia"/>
          <w:szCs w:val="24"/>
        </w:rPr>
        <w:t>progress</w:t>
      </w:r>
      <w:r w:rsidRPr="00EB7CE3">
        <w:rPr>
          <w:szCs w:val="24"/>
        </w:rPr>
        <w:t xml:space="preserve"> </w:t>
      </w:r>
      <w:r w:rsidRPr="00EB7CE3">
        <w:rPr>
          <w:rFonts w:hint="eastAsia"/>
          <w:szCs w:val="24"/>
        </w:rPr>
        <w:t>of</w:t>
      </w:r>
      <w:r w:rsidRPr="00EB7CE3">
        <w:rPr>
          <w:szCs w:val="24"/>
        </w:rPr>
        <w:t xml:space="preserve"> UCC may not attract them </w:t>
      </w:r>
      <w:r w:rsidRPr="00EB7CE3">
        <w:rPr>
          <w:rFonts w:hint="eastAsia"/>
          <w:szCs w:val="24"/>
        </w:rPr>
        <w:t>to</w:t>
      </w:r>
      <w:r w:rsidRPr="00EB7CE3">
        <w:rPr>
          <w:szCs w:val="24"/>
        </w:rPr>
        <w:t xml:space="preserve"> </w:t>
      </w:r>
      <w:r w:rsidRPr="00EB7CE3">
        <w:rPr>
          <w:rFonts w:hint="eastAsia"/>
          <w:szCs w:val="24"/>
        </w:rPr>
        <w:t>obtain</w:t>
      </w:r>
      <w:r w:rsidRPr="00EB7CE3">
        <w:rPr>
          <w:szCs w:val="24"/>
        </w:rPr>
        <w:t xml:space="preserve"> UCC’s service. This </w:t>
      </w:r>
      <w:r w:rsidRPr="00EB7CE3">
        <w:rPr>
          <w:rFonts w:hint="eastAsia"/>
          <w:szCs w:val="24"/>
        </w:rPr>
        <w:t>is</w:t>
      </w:r>
      <w:r w:rsidRPr="00EB7CE3">
        <w:rPr>
          <w:szCs w:val="24"/>
        </w:rPr>
        <w:t xml:space="preserve"> due linked the perceived lack of tangible environmental and social benefits for these stakeholders in the urban area, as the progress achieved (e.g., reductions of noise and emissions) might be negligible in comparison to the total effects of entire urban transportation </w:t>
      </w:r>
      <w:r w:rsidR="004C694E">
        <w:rPr>
          <w:noProof/>
          <w:szCs w:val="24"/>
        </w:rPr>
        <w:fldChar w:fldCharType="begin"/>
      </w:r>
      <w:r w:rsidR="002A2FE1">
        <w:rPr>
          <w:noProof/>
          <w:szCs w:val="24"/>
        </w:rPr>
        <w:instrText xml:space="preserve"> ADDIN EN.CITE &lt;EndNote&gt;&lt;Cite&gt;&lt;Author&gt;Van Rooijen&lt;/Author&gt;&lt;Year&gt;2010&lt;/Year&gt;&lt;RecNum&gt;103&lt;/RecNum&gt;&lt;DisplayText&gt;(Van Rooijen and Quak, 2010)&lt;/DisplayText&gt;&lt;record&gt;&lt;rec-number&gt;103&lt;/rec-number&gt;&lt;foreign-keys&gt;&lt;key app="EN" db-id="x5etaz5aiszvz0edasvvpwvotttxepvd25t2" timestamp="1603802000"&gt;103&lt;/key&gt;&lt;/foreign-keys&gt;&lt;ref-type name="Conference Proceedings"&gt;10&lt;/ref-type&gt;&lt;contributors&gt;&lt;authors&gt;&lt;author&gt;Van Rooijen, T.&lt;/author&gt;&lt;author&gt;Quak, H.&lt;/author&gt;&lt;/authors&gt;&lt;/contributors&gt;&lt;auth-address&gt;TNO Mobility and Logistics, Van Mourik Broekmanweg 6, 2628 XE Delft, Netherlands&lt;/auth-address&gt;&lt;titles&gt;&lt;title&gt;Local impacts of a new urban consolidation centre - The case of Binnenstadservice.nl&lt;/title&gt;&lt;secondary-title&gt;Procedia - Social and Behavioral Sciences&lt;/secondary-title&gt;&lt;alt-title&gt;Procedia Soc. Behav. Sci.&lt;/alt-title&gt;&lt;/titles&gt;&lt;periodical&gt;&lt;full-title&gt;Procedia - Social and Behavioral Sciences&lt;/full-title&gt;&lt;/periodical&gt;&lt;pages&gt;5967-5979&lt;/pages&gt;&lt;volume&gt;2&lt;/volume&gt;&lt;edition&gt;3&lt;/edition&gt;&lt;keywords&gt;&lt;keyword&gt;City logistics&lt;/keyword&gt;&lt;keyword&gt;Local impact&lt;/keyword&gt;&lt;keyword&gt;Sustainability&lt;/keyword&gt;&lt;keyword&gt;Urban consolidation centre&lt;/keyword&gt;&lt;keyword&gt;Urban freight transport&lt;/keyword&gt;&lt;/keywords&gt;&lt;dates&gt;&lt;year&gt;2010&lt;/year&gt;&lt;/dates&gt;&lt;publisher&gt;Elsevier Ltd&lt;/publisher&gt;&lt;isbn&gt;18770428 (ISSN)&lt;/isbn&gt;&lt;work-type&gt;Conference Paper&lt;/work-type&gt;&lt;urls&gt;&lt;related-urls&gt;&lt;url&gt;https://www.scopus.com/inward/record.uri?eid=2-s2.0-77956638111&amp;amp;doi=10.1016%2fj.sbspro.2010.04.011&amp;amp;partnerID=40&amp;amp;md5=cd5918733874976af2e61fa15799d3e9&lt;/url&gt;&lt;/related-urls&gt;&lt;/urls&gt;&lt;electronic-resource-num&gt;10.1016/j.sbspro.2010.04.011&lt;/electronic-resource-num&gt;&lt;remote-database-name&gt;Scopus&lt;/remote-database-name&gt;&lt;language&gt;English&lt;/language&gt;&lt;/record&gt;&lt;/Cite&gt;&lt;/EndNote&gt;</w:instrText>
      </w:r>
      <w:r w:rsidR="004C694E">
        <w:rPr>
          <w:noProof/>
          <w:szCs w:val="24"/>
        </w:rPr>
        <w:fldChar w:fldCharType="separate"/>
      </w:r>
      <w:r w:rsidR="004C694E">
        <w:rPr>
          <w:noProof/>
          <w:szCs w:val="24"/>
        </w:rPr>
        <w:t>(Van Rooijen and Quak, 2010)</w:t>
      </w:r>
      <w:r w:rsidR="004C694E">
        <w:rPr>
          <w:noProof/>
          <w:szCs w:val="24"/>
        </w:rPr>
        <w:fldChar w:fldCharType="end"/>
      </w:r>
      <w:r w:rsidRPr="00EB7CE3">
        <w:rPr>
          <w:szCs w:val="24"/>
        </w:rPr>
        <w:t xml:space="preserve">. In addition, rather than the environmental and social benefits, goods receivers concentrate on performance in terms of expenditure savings and distribution efficiency. </w:t>
      </w:r>
      <w:r w:rsidRPr="00EB7CE3">
        <w:rPr>
          <w:szCs w:val="24"/>
        </w:rPr>
        <w:lastRenderedPageBreak/>
        <w:t xml:space="preserve">However, significant improvements may not be made in these areas </w:t>
      </w:r>
      <w:r w:rsidR="004C694E">
        <w:rPr>
          <w:szCs w:val="24"/>
        </w:rPr>
        <w:fldChar w:fldCharType="begin">
          <w:fldData xml:space="preserve">PEVuZE5vdGU+PENpdGU+PEF1dGhvcj5NYXJjdWNjaTwvQXV0aG9yPjxZZWFyPjIwMTc8L1llYXI+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</w:fldData>
        </w:fldChar>
      </w:r>
      <w:r w:rsidR="00647E79">
        <w:rPr>
          <w:szCs w:val="24"/>
        </w:rPr>
        <w:instrText xml:space="preserve"> ADDIN EN.CITE </w:instrText>
      </w:r>
      <w:r w:rsidR="00647E79">
        <w:rPr>
          <w:szCs w:val="24"/>
        </w:rPr>
        <w:fldChar w:fldCharType="begin">
          <w:fldData xml:space="preserve">PEVuZE5vdGU+PENpdGU+PEF1dGhvcj5NYXJjdWNjaTwvQXV0aG9yPjxZZWFyPjIwMTc8L1llYXI+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</w:fldData>
        </w:fldChar>
      </w:r>
      <w:r w:rsidR="00647E79">
        <w:rPr>
          <w:szCs w:val="24"/>
        </w:rPr>
        <w:instrText xml:space="preserve"> ADDIN EN.CITE.DATA </w:instrText>
      </w:r>
      <w:r w:rsidR="00647E79">
        <w:rPr>
          <w:szCs w:val="24"/>
        </w:rPr>
      </w:r>
      <w:r w:rsidR="00647E79">
        <w:rPr>
          <w:szCs w:val="24"/>
        </w:rPr>
        <w:fldChar w:fldCharType="end"/>
      </w:r>
      <w:r w:rsidR="004C694E">
        <w:rPr>
          <w:szCs w:val="24"/>
        </w:rPr>
      </w:r>
      <w:r w:rsidR="004C694E">
        <w:rPr>
          <w:szCs w:val="24"/>
        </w:rPr>
        <w:fldChar w:fldCharType="separate"/>
      </w:r>
      <w:r w:rsidR="004C694E">
        <w:rPr>
          <w:noProof/>
          <w:szCs w:val="24"/>
        </w:rPr>
        <w:t>(Marcucci et al., 2017b, Van Duin et al., 2018)</w:t>
      </w:r>
      <w:r w:rsidR="004C694E">
        <w:rPr>
          <w:szCs w:val="24"/>
        </w:rPr>
        <w:fldChar w:fldCharType="end"/>
      </w:r>
      <w:r w:rsidRPr="00EB7CE3">
        <w:rPr>
          <w:szCs w:val="24"/>
        </w:rPr>
        <w:t xml:space="preserve">. The receivers who already organised delivery themselves (or received the direct delivery from the suppliers) tend to be unwilling to change their business behaviour to obtain </w:t>
      </w:r>
      <w:r w:rsidRPr="00EB7CE3">
        <w:rPr>
          <w:rFonts w:hint="eastAsia"/>
          <w:szCs w:val="24"/>
        </w:rPr>
        <w:t>the</w:t>
      </w:r>
      <w:r w:rsidRPr="00EB7CE3">
        <w:rPr>
          <w:szCs w:val="24"/>
        </w:rPr>
        <w:t xml:space="preserve"> </w:t>
      </w:r>
      <w:r w:rsidRPr="00EB7CE3">
        <w:rPr>
          <w:rFonts w:hint="eastAsia"/>
          <w:szCs w:val="24"/>
        </w:rPr>
        <w:t>service</w:t>
      </w:r>
      <w:r w:rsidRPr="00EB7CE3">
        <w:rPr>
          <w:szCs w:val="24"/>
        </w:rPr>
        <w:t xml:space="preserve"> provided by the UCC </w:t>
      </w:r>
      <w:r w:rsidR="004C694E">
        <w:rPr>
          <w:noProof/>
          <w:szCs w:val="24"/>
        </w:rPr>
        <w:fldChar w:fldCharType="begin"/>
      </w:r>
      <w:r w:rsidR="00CA2D5D">
        <w:rPr>
          <w:noProof/>
          <w:szCs w:val="24"/>
        </w:rPr>
        <w:instrText xml:space="preserve"> ADDIN EN.CITE &lt;EndNote&gt;&lt;Cite&gt;&lt;Author&gt;Morganti&lt;/Author&gt;&lt;Year&gt;2015&lt;/Year&gt;&lt;RecNum&gt;222&lt;/RecNum&gt;&lt;DisplayText&gt;(Morganti and Gonzalez-Feliu, 2015)&lt;/DisplayText&gt;&lt;record&gt;&lt;rec-number&gt;222&lt;/rec-number&gt;&lt;foreign-keys&gt;&lt;key app="EN" db-id="x5etaz5aiszvz0edasvvpwvotttxepvd25t2" timestamp="1611177411"&gt;222&lt;/key&gt;&lt;/foreign-keys&gt;&lt;ref-type name="Journal Article"&gt;17&lt;/ref-type&gt;&lt;contributors&gt;&lt;authors&gt;&lt;author&gt;Morganti, Eleonora&lt;/author&gt;&lt;author&gt;Gonzalez-Feliu, Jesus&lt;/author&gt;&lt;/authors&gt;&lt;/contributors&gt;&lt;titles&gt;&lt;title&gt;City logistics for perishable products. The case of the Parma&amp;apos;s Food Hub&lt;/title&gt;&lt;secondary-title&gt;Case Studies on Transport Policy&lt;/secondary-title&gt;&lt;/titles&gt;&lt;periodical&gt;&lt;full-title&gt;Case Studies on Transport Policy&lt;/full-title&gt;&lt;abbr-1&gt;Case Stud. Transp. Policy&lt;/abbr-1&gt;&lt;/periodical&gt;&lt;pages&gt;120-128&lt;/pages&gt;&lt;volume&gt;3&lt;/volume&gt;&lt;number&gt;2&lt;/number&gt;&lt;keywords&gt;&lt;keyword&gt;City logistics&lt;/keyword&gt;&lt;keyword&gt;Food delivery&lt;/keyword&gt;&lt;keyword&gt;Food hub&lt;/keyword&gt;&lt;/keywords&gt;&lt;dates&gt;&lt;year&gt;2015&lt;/year&gt;&lt;pub-dates&gt;&lt;date&gt;2015/06/01/&lt;/date&gt;&lt;/pub-dates&gt;&lt;/dates&gt;&lt;isbn&gt;2213-624X&lt;/isbn&gt;&lt;urls&gt;&lt;related-urls&gt;&lt;url&gt;http://www.sciencedirect.com/science/article/pii/S2213624X14000479&lt;/url&gt;&lt;/related-urls&gt;&lt;/urls&gt;&lt;electronic-resource-num&gt;https://doi.org/10.1016/j.cstp.2014.08.003&lt;/electronic-resource-num&gt;&lt;/record&gt;&lt;/Cite&gt;&lt;/EndNote&gt;</w:instrText>
      </w:r>
      <w:r w:rsidR="004C694E">
        <w:rPr>
          <w:noProof/>
          <w:szCs w:val="24"/>
        </w:rPr>
        <w:fldChar w:fldCharType="separate"/>
      </w:r>
      <w:r w:rsidR="004C694E">
        <w:rPr>
          <w:noProof/>
          <w:szCs w:val="24"/>
        </w:rPr>
        <w:t>(Morganti and Gonzalez-Feliu, 2015)</w:t>
      </w:r>
      <w:r w:rsidR="004C694E">
        <w:rPr>
          <w:noProof/>
          <w:szCs w:val="24"/>
        </w:rPr>
        <w:fldChar w:fldCharType="end"/>
      </w:r>
      <w:r w:rsidRPr="00EB7CE3">
        <w:rPr>
          <w:szCs w:val="24"/>
        </w:rPr>
        <w:t xml:space="preserve">. In addition, both suppliers and receivers are concerned about operational issues that may be generated by UCC, such as the risk of delays and poor efficiency in goods handling </w:t>
      </w:r>
      <w:r w:rsidR="004C694E">
        <w:rPr>
          <w:szCs w:val="24"/>
        </w:rPr>
        <w:fldChar w:fldCharType="begin">
          <w:fldData xml:space="preserve">PEVuZE5vdGU+PENpdGU+PEF1dGhvcj5Ob3JkdMO4bW1lPC9BdXRob3I+PFllYXI+MjAxNTwvWWVh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=
</w:fldData>
        </w:fldChar>
      </w:r>
      <w:r w:rsidR="00CA2D5D">
        <w:rPr>
          <w:szCs w:val="24"/>
        </w:rPr>
        <w:instrText xml:space="preserve"> ADDIN EN.CITE </w:instrText>
      </w:r>
      <w:r w:rsidR="00CA2D5D">
        <w:rPr>
          <w:szCs w:val="24"/>
        </w:rPr>
        <w:fldChar w:fldCharType="begin">
          <w:fldData xml:space="preserve">PEVuZE5vdGU+PENpdGU+PEF1dGhvcj5Ob3JkdMO4bW1lPC9BdXRob3I+PFllYXI+MjAxNTwvWWVh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=
</w:fldData>
        </w:fldChar>
      </w:r>
      <w:r w:rsidR="00CA2D5D">
        <w:rPr>
          <w:szCs w:val="24"/>
        </w:rPr>
        <w:instrText xml:space="preserve"> ADDIN EN.CITE.DATA </w:instrText>
      </w:r>
      <w:r w:rsidR="00CA2D5D">
        <w:rPr>
          <w:szCs w:val="24"/>
        </w:rPr>
      </w:r>
      <w:r w:rsidR="00CA2D5D">
        <w:rPr>
          <w:szCs w:val="24"/>
        </w:rPr>
        <w:fldChar w:fldCharType="end"/>
      </w:r>
      <w:r w:rsidR="004C694E">
        <w:rPr>
          <w:szCs w:val="24"/>
        </w:rPr>
      </w:r>
      <w:r w:rsidR="004C694E">
        <w:rPr>
          <w:szCs w:val="24"/>
        </w:rPr>
        <w:fldChar w:fldCharType="separate"/>
      </w:r>
      <w:r w:rsidR="004C694E">
        <w:rPr>
          <w:noProof/>
          <w:szCs w:val="24"/>
        </w:rPr>
        <w:t>(Nordtømme et al., 2015b, Paddeu, 2018)</w:t>
      </w:r>
      <w:r w:rsidR="004C694E">
        <w:rPr>
          <w:szCs w:val="24"/>
        </w:rPr>
        <w:fldChar w:fldCharType="end"/>
      </w:r>
      <w:r w:rsidRPr="00EB7CE3">
        <w:rPr>
          <w:szCs w:val="24"/>
        </w:rPr>
        <w:t>.</w:t>
      </w:r>
    </w:p>
    <w:p w14:paraId="7D3F362E" w14:textId="2777EEEE" w:rsidR="00F76447" w:rsidRDefault="00F76447" w:rsidP="00F76447">
      <w:pPr>
        <w:spacing w:after="240" w:line="360" w:lineRule="auto"/>
      </w:pPr>
      <w:r w:rsidRPr="00050D7E">
        <w:rPr>
          <w:rFonts w:hint="eastAsia"/>
        </w:rPr>
        <w:t>To</w:t>
      </w:r>
      <w:r w:rsidRPr="00050D7E">
        <w:t xml:space="preserve"> promote the adoption of UCCs among LSPs, LAs could work to attract political support </w:t>
      </w:r>
      <w:r w:rsidR="004C694E">
        <w:rPr>
          <w:noProof/>
        </w:rPr>
        <w:fldChar w:fldCharType="begin"/>
      </w:r>
      <w:r w:rsidR="002A2FE1">
        <w:rPr>
          <w:noProof/>
        </w:rPr>
        <w:instrText xml:space="preserve"> ADDIN EN.CITE &lt;EndNote&gt;&lt;Cite&gt;&lt;Author&gt;Lebeau&lt;/Author&gt;&lt;Year&gt;2017&lt;/Year&gt;&lt;RecNum&gt;63&lt;/RecNum&gt;&lt;DisplayText&gt;(Lebeau et al., 2017)&lt;/DisplayText&gt;&lt;record&gt;&lt;rec-number&gt;63&lt;/rec-number&gt;&lt;foreign-keys&gt;&lt;key app="EN" db-id="x5etaz5aiszvz0edasvvpwvotttxepvd25t2" timestamp="1603802000"&gt;63&lt;/key&gt;&lt;/foreign-keys&gt;&lt;ref-type name="Journal Article"&gt;17&lt;/ref-type&gt;&lt;contributors&gt;&lt;authors&gt;&lt;author&gt;Lebeau, P.&lt;/author&gt;&lt;author&gt;Verlinde, S.&lt;/author&gt;&lt;author&gt;Macharis, C.&lt;/author&gt;&lt;author&gt;Van Mierlo, J.&lt;/author&gt;&lt;/authors&gt;&lt;/contributors&gt;&lt;auth-address&gt;MOBI Research Group, BUTO Department, Vrije Universiteit Brussel, Brussels, Belgium&lt;/auth-address&gt;&lt;titles&gt;&lt;title&gt;How can authorities support urban consolidation centres? A review of the accompanying measures&lt;/title&gt;&lt;secondary-title&gt;Journal of Urbanism&lt;/secondary-title&gt;&lt;alt-title&gt;J. Urban.&lt;/alt-title&gt;&lt;/titles&gt;&lt;periodical&gt;&lt;full-title&gt;Journal of Urbanism&lt;/full-title&gt;&lt;abbr-1&gt;J. Urban.&lt;/abbr-1&gt;&lt;/periodical&gt;&lt;alt-periodical&gt;&lt;full-title&gt;Journal of Urbanism&lt;/full-title&gt;&lt;abbr-1&gt;J. Urban.&lt;/abbr-1&gt;&lt;/alt-periodical&gt;&lt;pages&gt;468-486&lt;/pages&gt;&lt;volume&gt;10&lt;/volume&gt;&lt;number&gt;4&lt;/number&gt;&lt;keywords&gt;&lt;keyword&gt;City logistics&lt;/keyword&gt;&lt;keyword&gt;Literature review&lt;/keyword&gt;&lt;keyword&gt;Policy support&lt;/keyword&gt;&lt;keyword&gt;Urban consolidation centres&lt;/keyword&gt;&lt;/keywords&gt;&lt;dates&gt;&lt;year&gt;2017&lt;/year&gt;&lt;/dates&gt;&lt;publisher&gt;Routledge&lt;/publisher&gt;&lt;isbn&gt;17549175 (ISSN)&lt;/isbn&gt;&lt;work-type&gt;Review&lt;/work-type&gt;&lt;urls&gt;&lt;related-urls&gt;&lt;url&gt;https://www.scopus.com/inward/record.uri?eid=2-s2.0-85017279837&amp;amp;doi=10.1080%2f17549175.2017.1310747&amp;amp;partnerID=40&amp;amp;md5=31fd24aeea4d488a89e01854f9406725&lt;/url&gt;&lt;url&gt;https://www.tandfonline.com/doi/pdf/10.1080/17549175.2017.1310747?needAccess=true&lt;/url&gt;&lt;/related-urls&gt;&lt;/urls&gt;&lt;electronic-resource-num&gt;10.1080/17549175.2017.1310747&lt;/electronic-resource-num&gt;&lt;remote-database-name&gt;Scopus&lt;/remote-database-name&gt;&lt;language&gt;English&lt;/language&gt;&lt;/record&gt;&lt;/Cite&gt;&lt;/EndNote&gt;</w:instrText>
      </w:r>
      <w:r w:rsidR="004C694E">
        <w:rPr>
          <w:noProof/>
        </w:rPr>
        <w:fldChar w:fldCharType="separate"/>
      </w:r>
      <w:r w:rsidR="004C694E">
        <w:rPr>
          <w:noProof/>
        </w:rPr>
        <w:t>(Lebeau et al., 2017)</w:t>
      </w:r>
      <w:r w:rsidR="004C694E">
        <w:rPr>
          <w:noProof/>
        </w:rPr>
        <w:fldChar w:fldCharType="end"/>
      </w:r>
      <w:r w:rsidRPr="00050D7E">
        <w:t xml:space="preserve">. For example, negative incentives (e.g., time-windows and weight restrictive policies) could </w:t>
      </w:r>
      <w:r>
        <w:t>influence</w:t>
      </w:r>
      <w:r w:rsidRPr="00050D7E">
        <w:t xml:space="preserve"> </w:t>
      </w:r>
      <w:r>
        <w:t xml:space="preserve">the </w:t>
      </w:r>
      <w:r w:rsidRPr="00050D7E">
        <w:t xml:space="preserve">last-mile </w:t>
      </w:r>
      <w:r>
        <w:t xml:space="preserve">distribution efficiency of LSP, which </w:t>
      </w:r>
      <w:r w:rsidRPr="004938AD">
        <w:rPr>
          <w:rFonts w:ascii="Garamond" w:hAnsi="Garamond" w:cs="Times New Roman"/>
          <w:szCs w:val="24"/>
        </w:rPr>
        <w:t>incentivise</w:t>
      </w:r>
      <w:r>
        <w:t xml:space="preserve">s LSPs to obtain the service from UCC </w:t>
      </w:r>
      <w:r w:rsidR="004C694E">
        <w:rPr>
          <w:noProof/>
        </w:rPr>
        <w:fldChar w:fldCharType="begin">
          <w:fldData xml:space="preserve">PEVuZE5vdGU+PENpdGU+PEF1dGhvcj5WZXJsaW5kZTwvQXV0aG9yPjxZZWFyPjIwMTI8L1llYXI+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</w:fldData>
        </w:fldChar>
      </w:r>
      <w:r w:rsidR="00647E79">
        <w:rPr>
          <w:noProof/>
        </w:rPr>
        <w:instrText xml:space="preserve"> ADDIN EN.CITE </w:instrText>
      </w:r>
      <w:r w:rsidR="00647E79">
        <w:rPr>
          <w:noProof/>
        </w:rPr>
        <w:fldChar w:fldCharType="begin">
          <w:fldData xml:space="preserve">PEVuZE5vdGU+PENpdGU+PEF1dGhvcj5WZXJsaW5kZTwvQXV0aG9yPjxZZWFyPjIwMTI8L1llYXI+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</w:fldData>
        </w:fldChar>
      </w:r>
      <w:r w:rsidR="00647E79">
        <w:rPr>
          <w:noProof/>
        </w:rPr>
        <w:instrText xml:space="preserve"> ADDIN EN.CITE.DATA </w:instrText>
      </w:r>
      <w:r w:rsidR="00647E79">
        <w:rPr>
          <w:noProof/>
        </w:rPr>
      </w:r>
      <w:r w:rsidR="00647E79">
        <w:rPr>
          <w:noProof/>
        </w:rPr>
        <w:fldChar w:fldCharType="end"/>
      </w:r>
      <w:r w:rsidR="004C694E">
        <w:rPr>
          <w:noProof/>
        </w:rPr>
      </w:r>
      <w:r w:rsidR="004C694E">
        <w:rPr>
          <w:noProof/>
        </w:rPr>
        <w:fldChar w:fldCharType="separate"/>
      </w:r>
      <w:r w:rsidR="004C694E">
        <w:rPr>
          <w:noProof/>
        </w:rPr>
        <w:t>(Verlinde et al., 2012)</w:t>
      </w:r>
      <w:r w:rsidR="004C694E">
        <w:rPr>
          <w:noProof/>
        </w:rPr>
        <w:fldChar w:fldCharType="end"/>
      </w:r>
      <w:r w:rsidRPr="00050D7E">
        <w:t xml:space="preserve">. Compulsory policies (e.g., a UCC in Heathrow airport) could force </w:t>
      </w:r>
      <w:r>
        <w:t>goods receivers or LSPs</w:t>
      </w:r>
      <w:r w:rsidRPr="00050D7E">
        <w:t xml:space="preserve"> to accept the service </w:t>
      </w:r>
      <w:r w:rsidRPr="00050D7E">
        <w:rPr>
          <w:noProof/>
        </w:rPr>
        <w:t>(Lebeau et al., 2017)</w:t>
      </w:r>
      <w:r w:rsidRPr="00050D7E">
        <w:t>. However, such policies will increase private stakeholders’ dissatisfaction with the government if the logistics costs of LSPs and goods receivers were</w:t>
      </w:r>
      <w:r>
        <w:t xml:space="preserve"> </w:t>
      </w:r>
      <w:r w:rsidRPr="00050D7E">
        <w:t xml:space="preserve">increased due to these restrictive policies </w:t>
      </w:r>
      <w:r w:rsidR="004C694E">
        <w:rPr>
          <w:noProof/>
        </w:rPr>
        <w:fldChar w:fldCharType="begin"/>
      </w:r>
      <w:r w:rsidR="00647E79">
        <w:rPr>
          <w:noProof/>
        </w:rPr>
        <w:instrText xml:space="preserve"> ADDIN EN.CITE &lt;EndNote&gt;&lt;Cite&gt;&lt;Author&gt;Anand&lt;/Author&gt;&lt;Year&gt;2012&lt;/Year&gt;&lt;RecNum&gt;324&lt;/RecNum&gt;&lt;DisplayText&gt;(Anand et al., 2012)&lt;/DisplayText&gt;&lt;record&gt;&lt;rec-number&gt;324&lt;/rec-number&gt;&lt;foreign-keys&gt;&lt;key app="EN" db-id="pzt5ep52hsedfpeext2pdfes0w0aswaewef2" timestamp="1605188000"&gt;324&lt;/key&gt;&lt;/foreign-keys&gt;&lt;ref-type name="Journal Article"&gt;17&lt;/ref-type&gt;&lt;contributors&gt;&lt;authors&gt;&lt;author&gt;Anand, Nilesh&lt;/author&gt;&lt;author&gt;Yang, Mengchang&lt;/author&gt;&lt;author&gt;van Duin, J. H. R.&lt;/author&gt;&lt;author&gt;Tavasszy, Lori&lt;/author&gt;&lt;/authors&gt;&lt;/contributors&gt;&lt;titles&gt;&lt;title&gt;GenCLOn: An ontology for city logistics&lt;/title&gt;&lt;secondary-title&gt;Expert Systems with Applications&lt;/secondary-title&gt;&lt;/titles&gt;&lt;periodical&gt;&lt;full-title&gt;Expert Systems with Applications&lt;/full-title&gt;&lt;/periodical&gt;&lt;pages&gt;11944-11960&lt;/pages&gt;&lt;volume&gt;39&lt;/volume&gt;&lt;number&gt;15&lt;/number&gt;&lt;keywords&gt;&lt;keyword&gt;City logistics&lt;/keyword&gt;&lt;keyword&gt;Ontology&lt;/keyword&gt;&lt;keyword&gt;Agent-based modeling&lt;/keyword&gt;&lt;/keywords&gt;&lt;dates&gt;&lt;year&gt;2012&lt;/year&gt;&lt;pub-dates&gt;&lt;date&gt;2012/11/01/&lt;/date&gt;&lt;/pub-dates&gt;&lt;/dates&gt;&lt;isbn&gt;0957-4174&lt;/isbn&gt;&lt;urls&gt;&lt;related-urls&gt;&lt;url&gt;http://www.sciencedirect.com/science/article/pii/S095741741200591X&lt;/url&gt;&lt;/related-urls&gt;&lt;/urls&gt;&lt;electronic-resource-num&gt;https://doi.org/10.1016/j.eswa.2012.03.068&lt;/electronic-resource-num&gt;&lt;/record&gt;&lt;/Cite&gt;&lt;/EndNote&gt;</w:instrText>
      </w:r>
      <w:r w:rsidR="004C694E">
        <w:rPr>
          <w:noProof/>
        </w:rPr>
        <w:fldChar w:fldCharType="separate"/>
      </w:r>
      <w:r w:rsidR="004C694E">
        <w:rPr>
          <w:noProof/>
        </w:rPr>
        <w:t>(Anand et al., 2012)</w:t>
      </w:r>
      <w:r w:rsidR="004C694E">
        <w:rPr>
          <w:noProof/>
        </w:rPr>
        <w:fldChar w:fldCharType="end"/>
      </w:r>
      <w:r w:rsidRPr="00050D7E">
        <w:t>.</w:t>
      </w:r>
    </w:p>
    <w:p w14:paraId="46F1F969" w14:textId="79483E92" w:rsidR="00270DAE" w:rsidRPr="00EB7CE3" w:rsidRDefault="00270DAE" w:rsidP="00D53214">
      <w:pPr>
        <w:pStyle w:val="Heading3"/>
        <w:spacing w:after="240" w:line="240" w:lineRule="auto"/>
      </w:pPr>
      <w:r w:rsidRPr="00EB7CE3">
        <w:t xml:space="preserve"> </w:t>
      </w:r>
      <w:bookmarkStart w:id="882" w:name="_Toc46053474"/>
      <w:bookmarkStart w:id="883" w:name="_Toc46093388"/>
      <w:bookmarkStart w:id="884" w:name="_Toc46093671"/>
      <w:bookmarkStart w:id="885" w:name="_Toc66703247"/>
      <w:r w:rsidRPr="00EB7CE3">
        <w:t>Eliciting stakeholder preferences via multi-criteria decision-making methods</w:t>
      </w:r>
      <w:bookmarkEnd w:id="882"/>
      <w:bookmarkEnd w:id="883"/>
      <w:bookmarkEnd w:id="884"/>
      <w:bookmarkEnd w:id="885"/>
    </w:p>
    <w:p w14:paraId="4BFA0B22" w14:textId="411FF67C" w:rsidR="00270DAE" w:rsidRPr="004D7CBB" w:rsidRDefault="00270DAE" w:rsidP="001B1530">
      <w:pPr>
        <w:spacing w:after="240" w:line="360" w:lineRule="auto"/>
        <w:rPr>
          <w:szCs w:val="24"/>
        </w:rPr>
      </w:pPr>
      <w:r w:rsidRPr="00EB7CE3">
        <w:rPr>
          <w:szCs w:val="24"/>
        </w:rPr>
        <w:t xml:space="preserve">Multi-criteria decision-making methods (MCDM) are widely used in research to identify the preferences of different stakeholders, using groups of evaluation criteria. In the freight transportation planning decision-making process, MCDM enables the identification of compromised logistics solutions from a group of candidate scenarios, based on stakeholder preferences </w:t>
      </w:r>
      <w:r w:rsidR="00C060D8">
        <w:rPr>
          <w:noProof/>
          <w:szCs w:val="24"/>
        </w:rPr>
        <w:fldChar w:fldCharType="begin"/>
      </w:r>
      <w:r w:rsidR="002A2FE1">
        <w:rPr>
          <w:noProof/>
          <w:szCs w:val="24"/>
        </w:rPr>
        <w:instrText xml:space="preserve"> ADDIN EN.CITE &lt;EndNote&gt;&lt;Cite&gt;&lt;Author&gt;Gatta&lt;/Author&gt;&lt;Year&gt;2019&lt;/Year&gt;&lt;RecNum&gt;30&lt;/RecNum&gt;&lt;DisplayText&gt;(Gatta et al., 2019a)&lt;/DisplayText&gt;&lt;record&gt;&lt;rec-number&gt;30&lt;/rec-number&gt;&lt;foreign-keys&gt;&lt;key app="EN" db-id="x5etaz5aiszvz0edasvvpwvotttxepvd25t2" timestamp="1603802000"&gt;30&lt;/key&gt;&lt;/foreign-keys&gt;&lt;ref-type name="Journal Article"&gt;17&lt;/ref-type&gt;&lt;contributors&gt;&lt;authors&gt;&lt;author&gt;Gatta, V.&lt;/author&gt;&lt;author&gt;Marcucci, E.&lt;/author&gt;&lt;author&gt;Delle Site, P.&lt;/author&gt;&lt;author&gt;Le Pira, M.&lt;/author&gt;&lt;author&gt;Carrocci, C. S.&lt;/author&gt;&lt;/authors&gt;&lt;/contributors&gt;&lt;auth-address&gt;University of Roma Tre, Italy&amp;#xD;Molde University College, Norway&amp;#xD;University Niccolò Cusano, Italy&amp;#xD;University of Catania, Italy&lt;/auth-address&gt;&lt;titles&gt;&lt;title&gt;Planning with stakeholders: Analysing alternative off-hour delivery solutions via an interactive multi-criteria approach&lt;/title&gt;&lt;secondary-title&gt;Research in Transportation Economics&lt;/secondary-title&gt;&lt;alt-title&gt;Res. Transp. Econ.&lt;/alt-title&gt;&lt;/titles&gt;&lt;alt-periodical&gt;&lt;full-title&gt;Research in Transportation Economics&lt;/full-title&gt;&lt;abbr-1&gt;Res. Transp. Econ.&lt;/abbr-1&gt;&lt;/alt-periodical&gt;&lt;pages&gt;53-62&lt;/pages&gt;&lt;volume&gt;73&lt;/volume&gt;&lt;keywords&gt;&lt;keyword&gt;Behaviour change&lt;/keyword&gt;&lt;keyword&gt;City logistics&lt;/keyword&gt;&lt;keyword&gt;In-depth interviews&lt;/keyword&gt;&lt;keyword&gt;Multicriteria decision-making&lt;/keyword&gt;&lt;keyword&gt;Off-peak deliveries&lt;/keyword&gt;&lt;keyword&gt;Stakeholder involvement&lt;/keyword&gt;&lt;keyword&gt;Urban freight transport&lt;/keyword&gt;&lt;/keywords&gt;&lt;dates&gt;&lt;year&gt;2019&lt;/year&gt;&lt;/dates&gt;&lt;publisher&gt;JAI Press&lt;/publisher&gt;&lt;isbn&gt;07398859 (ISSN)&lt;/isbn&gt;&lt;work-type&gt;Article&lt;/work-type&gt;&lt;urls&gt;&lt;related-urls&gt;&lt;url&gt;https://www.scopus.com/inward/record.uri?eid=2-s2.0-85061600596&amp;amp;doi=10.1016%2fj.retrec.2018.12.004&amp;amp;partnerID=40&amp;amp;md5=c443c9ccc750c2ed2ec607fc83952e60&lt;/url&gt;&lt;/related-urls&gt;&lt;/urls&gt;&lt;electronic-resource-num&gt;10.1016/j.retrec.2018.12.004&lt;/electronic-resource-num&gt;&lt;remote-database-name&gt;Scopus&lt;/remote-database-name&gt;&lt;language&gt;English&lt;/language&gt;&lt;/record&gt;&lt;/Cite&gt;&lt;/EndNote&gt;</w:instrText>
      </w:r>
      <w:r w:rsidR="00C060D8">
        <w:rPr>
          <w:noProof/>
          <w:szCs w:val="24"/>
        </w:rPr>
        <w:fldChar w:fldCharType="separate"/>
      </w:r>
      <w:r w:rsidR="00C060D8">
        <w:rPr>
          <w:noProof/>
          <w:szCs w:val="24"/>
        </w:rPr>
        <w:t>(Gatta et al., 2019a)</w:t>
      </w:r>
      <w:r w:rsidR="00C060D8">
        <w:rPr>
          <w:noProof/>
          <w:szCs w:val="24"/>
        </w:rPr>
        <w:fldChar w:fldCharType="end"/>
      </w:r>
      <w:r w:rsidRPr="00EB7CE3">
        <w:rPr>
          <w:szCs w:val="24"/>
        </w:rPr>
        <w:t>. One typical method is the m</w:t>
      </w:r>
      <w:r w:rsidRPr="00EB7CE3">
        <w:rPr>
          <w:rFonts w:hint="eastAsia"/>
          <w:szCs w:val="24"/>
        </w:rPr>
        <w:t>ulti-</w:t>
      </w:r>
      <w:r w:rsidRPr="00EB7CE3">
        <w:rPr>
          <w:szCs w:val="24"/>
        </w:rPr>
        <w:t>a</w:t>
      </w:r>
      <w:r w:rsidRPr="00EB7CE3">
        <w:rPr>
          <w:rFonts w:hint="eastAsia"/>
          <w:szCs w:val="24"/>
        </w:rPr>
        <w:t>ctor</w:t>
      </w:r>
      <w:r w:rsidRPr="00EB7CE3">
        <w:rPr>
          <w:szCs w:val="24"/>
        </w:rPr>
        <w:t xml:space="preserve"> m</w:t>
      </w:r>
      <w:r w:rsidRPr="00EB7CE3">
        <w:rPr>
          <w:rFonts w:hint="eastAsia"/>
          <w:szCs w:val="24"/>
        </w:rPr>
        <w:t>ulti</w:t>
      </w:r>
      <w:r w:rsidRPr="00EB7CE3">
        <w:rPr>
          <w:szCs w:val="24"/>
        </w:rPr>
        <w:t>-c</w:t>
      </w:r>
      <w:r w:rsidRPr="00EB7CE3">
        <w:rPr>
          <w:rFonts w:hint="eastAsia"/>
          <w:szCs w:val="24"/>
        </w:rPr>
        <w:t xml:space="preserve">riteria </w:t>
      </w:r>
      <w:r w:rsidRPr="00EB7CE3">
        <w:rPr>
          <w:szCs w:val="24"/>
        </w:rPr>
        <w:t>a</w:t>
      </w:r>
      <w:r w:rsidRPr="00EB7CE3">
        <w:rPr>
          <w:rFonts w:hint="eastAsia"/>
          <w:szCs w:val="24"/>
        </w:rPr>
        <w:t>nalysis (</w:t>
      </w:r>
      <w:r w:rsidRPr="00EB7CE3">
        <w:rPr>
          <w:szCs w:val="24"/>
        </w:rPr>
        <w:t>MA</w:t>
      </w:r>
      <w:r w:rsidRPr="00EB7CE3">
        <w:rPr>
          <w:rFonts w:hint="eastAsia"/>
          <w:szCs w:val="24"/>
        </w:rPr>
        <w:t>MCA)</w:t>
      </w:r>
      <w:r w:rsidRPr="00EB7CE3">
        <w:rPr>
          <w:szCs w:val="24"/>
        </w:rPr>
        <w:t xml:space="preserve">, first proposed by </w:t>
      </w:r>
      <w:r w:rsidR="00C060D8">
        <w:rPr>
          <w:szCs w:val="24"/>
        </w:rPr>
        <w:fldChar w:fldCharType="begin">
          <w:fldData xml:space="preserve">PEVuZE5vdGU+PENpdGUgQXV0aG9yWWVhcj0iMSI+PEF1dGhvcj5NYWNoYXJpczwvQXV0aG9yPjxZ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</w:fldData>
        </w:fldChar>
      </w:r>
      <w:r w:rsidR="00647E79">
        <w:rPr>
          <w:szCs w:val="24"/>
        </w:rPr>
        <w:instrText xml:space="preserve"> ADDIN EN.CITE </w:instrText>
      </w:r>
      <w:r w:rsidR="00647E79">
        <w:rPr>
          <w:szCs w:val="24"/>
        </w:rPr>
        <w:fldChar w:fldCharType="begin">
          <w:fldData xml:space="preserve">PEVuZE5vdGU+PENpdGUgQXV0aG9yWWVhcj0iMSI+PEF1dGhvcj5NYWNoYXJpczwvQXV0aG9yPjxZ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</w:fldData>
        </w:fldChar>
      </w:r>
      <w:r w:rsidR="00647E79">
        <w:rPr>
          <w:szCs w:val="24"/>
        </w:rPr>
        <w:instrText xml:space="preserve"> ADDIN EN.CITE.DATA </w:instrText>
      </w:r>
      <w:r w:rsidR="00647E79">
        <w:rPr>
          <w:szCs w:val="24"/>
        </w:rPr>
      </w:r>
      <w:r w:rsidR="00647E79">
        <w:rPr>
          <w:szCs w:val="24"/>
        </w:rPr>
        <w:fldChar w:fldCharType="end"/>
      </w:r>
      <w:r w:rsidR="00C060D8">
        <w:rPr>
          <w:szCs w:val="24"/>
        </w:rPr>
      </w:r>
      <w:r w:rsidR="00C060D8">
        <w:rPr>
          <w:szCs w:val="24"/>
        </w:rPr>
        <w:fldChar w:fldCharType="separate"/>
      </w:r>
      <w:r w:rsidR="00C060D8">
        <w:rPr>
          <w:noProof/>
          <w:szCs w:val="24"/>
        </w:rPr>
        <w:t>Macharis et al. (2007)</w:t>
      </w:r>
      <w:r w:rsidR="00C060D8">
        <w:rPr>
          <w:szCs w:val="24"/>
        </w:rPr>
        <w:fldChar w:fldCharType="end"/>
      </w:r>
      <w:r w:rsidR="004D7CBB">
        <w:rPr>
          <w:szCs w:val="24"/>
        </w:rPr>
        <w:t xml:space="preserve"> </w:t>
      </w:r>
      <w:r w:rsidRPr="00EB7CE3">
        <w:rPr>
          <w:rFonts w:hint="eastAsia"/>
          <w:szCs w:val="24"/>
        </w:rPr>
        <w:t>to enhance the decision-making process</w:t>
      </w:r>
      <w:r w:rsidRPr="00EB7CE3">
        <w:rPr>
          <w:szCs w:val="24"/>
        </w:rPr>
        <w:t>es</w:t>
      </w:r>
      <w:r w:rsidRPr="00EB7CE3">
        <w:rPr>
          <w:rFonts w:hint="eastAsia"/>
          <w:szCs w:val="24"/>
        </w:rPr>
        <w:t xml:space="preserve"> </w:t>
      </w:r>
      <w:r w:rsidRPr="00EB7CE3">
        <w:rPr>
          <w:szCs w:val="24"/>
        </w:rPr>
        <w:t xml:space="preserve">in </w:t>
      </w:r>
      <w:r w:rsidRPr="00EB7CE3">
        <w:rPr>
          <w:rFonts w:hint="eastAsia"/>
          <w:szCs w:val="24"/>
        </w:rPr>
        <w:t xml:space="preserve">logistics planning. This method </w:t>
      </w:r>
      <w:r w:rsidRPr="00EB7CE3">
        <w:rPr>
          <w:szCs w:val="24"/>
        </w:rPr>
        <w:t xml:space="preserve">provides </w:t>
      </w:r>
      <w:r w:rsidRPr="00EB7CE3">
        <w:rPr>
          <w:rFonts w:hint="eastAsia"/>
          <w:szCs w:val="24"/>
        </w:rPr>
        <w:t>insights in</w:t>
      </w:r>
      <w:r w:rsidRPr="00EB7CE3">
        <w:rPr>
          <w:szCs w:val="24"/>
        </w:rPr>
        <w:t>to</w:t>
      </w:r>
      <w:r w:rsidRPr="00EB7CE3">
        <w:rPr>
          <w:rFonts w:hint="eastAsia"/>
          <w:szCs w:val="24"/>
        </w:rPr>
        <w:t xml:space="preserve"> the difference</w:t>
      </w:r>
      <w:r w:rsidRPr="00EB7CE3">
        <w:rPr>
          <w:szCs w:val="24"/>
        </w:rPr>
        <w:t>s</w:t>
      </w:r>
      <w:r w:rsidRPr="00EB7CE3">
        <w:rPr>
          <w:rFonts w:hint="eastAsia"/>
          <w:szCs w:val="24"/>
        </w:rPr>
        <w:t xml:space="preserve"> </w:t>
      </w:r>
      <w:r w:rsidRPr="00EB7CE3">
        <w:rPr>
          <w:szCs w:val="24"/>
        </w:rPr>
        <w:t xml:space="preserve">between </w:t>
      </w:r>
      <w:r w:rsidRPr="00EB7CE3">
        <w:rPr>
          <w:rFonts w:hint="eastAsia"/>
          <w:szCs w:val="24"/>
        </w:rPr>
        <w:t xml:space="preserve">stakeholder objectives and </w:t>
      </w:r>
      <w:r w:rsidRPr="00EB7CE3">
        <w:rPr>
          <w:szCs w:val="24"/>
        </w:rPr>
        <w:t xml:space="preserve">highlights </w:t>
      </w:r>
      <w:r w:rsidRPr="00EB7CE3">
        <w:rPr>
          <w:rFonts w:hint="eastAsia"/>
          <w:szCs w:val="24"/>
        </w:rPr>
        <w:t>how different candidate project</w:t>
      </w:r>
      <w:r w:rsidRPr="00EB7CE3">
        <w:rPr>
          <w:szCs w:val="24"/>
        </w:rPr>
        <w:t>s</w:t>
      </w:r>
      <w:r w:rsidRPr="00EB7CE3">
        <w:rPr>
          <w:rFonts w:hint="eastAsia"/>
          <w:szCs w:val="24"/>
        </w:rPr>
        <w:t xml:space="preserve"> or policies could </w:t>
      </w:r>
      <w:r w:rsidRPr="00EB7CE3">
        <w:rPr>
          <w:szCs w:val="24"/>
        </w:rPr>
        <w:t>pursue</w:t>
      </w:r>
      <w:r w:rsidRPr="00EB7CE3" w:rsidDel="00AD429A">
        <w:rPr>
          <w:szCs w:val="24"/>
        </w:rPr>
        <w:t xml:space="preserve"> </w:t>
      </w:r>
      <w:r w:rsidRPr="00EB7CE3">
        <w:rPr>
          <w:rFonts w:hint="eastAsia"/>
          <w:szCs w:val="24"/>
        </w:rPr>
        <w:t>these objectives.</w:t>
      </w:r>
      <w:r w:rsidRPr="00EB7CE3">
        <w:rPr>
          <w:szCs w:val="24"/>
        </w:rPr>
        <w:t xml:space="preserve"> According to the literature review provided by </w:t>
      </w:r>
      <w:r w:rsidR="002D7CD8">
        <w:rPr>
          <w:noProof/>
          <w:szCs w:val="24"/>
        </w:rPr>
        <w:t>Gatta et al. (2019a)</w:t>
      </w:r>
      <w:r w:rsidRPr="00EB7CE3">
        <w:rPr>
          <w:szCs w:val="24"/>
        </w:rPr>
        <w:t xml:space="preserve">, </w:t>
      </w:r>
      <w:r w:rsidRPr="00EB7CE3">
        <w:rPr>
          <w:rFonts w:hint="eastAsia"/>
          <w:szCs w:val="24"/>
        </w:rPr>
        <w:t>MAMCA has been implemented in several studies of urban logistics</w:t>
      </w:r>
      <w:r w:rsidRPr="00EB7CE3">
        <w:rPr>
          <w:szCs w:val="24"/>
        </w:rPr>
        <w:t xml:space="preserve"> </w:t>
      </w:r>
      <w:r w:rsidR="00567F72" w:rsidRPr="00050D7E">
        <w:t xml:space="preserve">(e.g., </w:t>
      </w:r>
      <w:r w:rsidR="00C060D8">
        <w:rPr>
          <w:noProof/>
        </w:rPr>
        <w:fldChar w:fldCharType="begin"/>
      </w:r>
      <w:r w:rsidR="00647E79">
        <w:rPr>
          <w:noProof/>
        </w:rPr>
        <w:instrText xml:space="preserve"> ADDIN EN.CITE &lt;EndNote&gt;&lt;Cite AuthorYear="1"&gt;&lt;Author&gt;Macharis&lt;/Author&gt;&lt;Year&gt;2014&lt;/Year&gt;&lt;RecNum&gt;329&lt;/RecNum&gt;&lt;DisplayText&gt;Macharis et al. (2014)&lt;/DisplayText&gt;&lt;record&gt;&lt;rec-number&gt;329&lt;/rec-number&gt;&lt;foreign-keys&gt;&lt;key app="EN" db-id="pzt5ep52hsedfpeext2pdfes0w0aswaewef2" timestamp="1605188000"&gt;329&lt;/key&gt;&lt;/foreign-keys&gt;&lt;ref-type name="Journal Article"&gt;17&lt;/ref-type&gt;&lt;contributors&gt;&lt;authors&gt;&lt;author&gt;Macharis, Cathy&lt;/author&gt;&lt;author&gt;Milan, Lauriane&lt;/author&gt;&lt;author&gt;Verlinde, Sara&lt;/author&gt;&lt;/authors&gt;&lt;/contributors&gt;&lt;titles&gt;&lt;title&gt;A stakeholder-based multicriteria evaluation framework for city distribution&lt;/title&gt;&lt;secondary-title&gt;Research in Transportation Business &amp;amp; Management&lt;/secondary-title&gt;&lt;/titles&gt;&lt;periodical&gt;&lt;full-title&gt;Research in Transportation Business &amp;amp; Management&lt;/full-title&gt;&lt;/periodical&gt;&lt;pages&gt;75-84&lt;/pages&gt;&lt;volume&gt;11&lt;/volume&gt;&lt;keywords&gt;&lt;keyword&gt;Stakeholder&lt;/keyword&gt;&lt;keyword&gt;Evaluation framework&lt;/keyword&gt;&lt;keyword&gt;Freight transport&lt;/keyword&gt;&lt;keyword&gt;MAMCA&lt;/keyword&gt;&lt;/keywords&gt;&lt;dates&gt;&lt;year&gt;2014&lt;/year&gt;&lt;pub-dates&gt;&lt;date&gt;2014/07/01/&lt;/date&gt;&lt;/pub-dates&gt;&lt;/dates&gt;&lt;isbn&gt;2210-5395&lt;/isbn&gt;&lt;urls&gt;&lt;related-urls&gt;&lt;url&gt;http://www.sciencedirect.com/science/article/pii/S2210539514000297&lt;/url&gt;&lt;/related-urls&gt;&lt;/urls&gt;&lt;electronic-resource-num&gt;https://doi.org/10.1016/j.rtbm.2014.06.004&lt;/electronic-resource-num&gt;&lt;/record&gt;&lt;/Cite&gt;&lt;/EndNote&gt;</w:instrText>
      </w:r>
      <w:r w:rsidR="00C060D8">
        <w:rPr>
          <w:noProof/>
        </w:rPr>
        <w:fldChar w:fldCharType="separate"/>
      </w:r>
      <w:r w:rsidR="00C060D8">
        <w:rPr>
          <w:noProof/>
        </w:rPr>
        <w:t>Macharis et al. (2014)</w:t>
      </w:r>
      <w:r w:rsidR="00C060D8">
        <w:rPr>
          <w:noProof/>
        </w:rPr>
        <w:fldChar w:fldCharType="end"/>
      </w:r>
      <w:r w:rsidR="00567F72">
        <w:rPr>
          <w:rFonts w:hint="eastAsia"/>
        </w:rPr>
        <w:t>,</w:t>
      </w:r>
      <w:r w:rsidR="00567F72">
        <w:t xml:space="preserve"> </w:t>
      </w:r>
      <w:r w:rsidR="00C060D8">
        <w:rPr>
          <w:noProof/>
        </w:rPr>
        <w:fldChar w:fldCharType="begin"/>
      </w:r>
      <w:r w:rsidR="00647E79">
        <w:rPr>
          <w:noProof/>
        </w:rPr>
        <w:instrText xml:space="preserve"> ADDIN EN.CITE &lt;EndNote&gt;&lt;Cite AuthorYear="1"&gt;&lt;Author&gt;Kin&lt;/Author&gt;&lt;Year&gt;2017&lt;/Year&gt;&lt;RecNum&gt;330&lt;/RecNum&gt;&lt;DisplayText&gt;Kin et al. (2017)&lt;/DisplayText&gt;&lt;record&gt;&lt;rec-number&gt;330&lt;/rec-number&gt;&lt;foreign-keys&gt;&lt;key app="EN" db-id="pzt5ep52hsedfpeext2pdfes0w0aswaewef2" timestamp="1605188000"&gt;330&lt;/key&gt;&lt;/foreign-keys&gt;&lt;ref-type name="Journal Article"&gt;17&lt;/ref-type&gt;&lt;contributors&gt;&lt;authors&gt;&lt;author&gt;Kin, Bram&lt;/author&gt;&lt;author&gt;Verlinde, Sara&lt;/author&gt;&lt;author&gt;Mommens, Koen&lt;/author&gt;&lt;author&gt;Macharis, Cathy&lt;/author&gt;&lt;/authors&gt;&lt;/contributors&gt;&lt;titles&gt;&lt;title&gt;A stakeholder-based methodology to enhance the success of urban freight transport measures in a multi-level governance context&lt;/title&gt;&lt;secondary-title&gt;Research in Transportation Economics&lt;/secondary-title&gt;&lt;/titles&gt;&lt;periodical&gt;&lt;full-title&gt;Research in Transportation Economics&lt;/full-title&gt;&lt;/periodical&gt;&lt;pages&gt;10-23&lt;/pages&gt;&lt;volume&gt;65&lt;/volume&gt;&lt;keywords&gt;&lt;keyword&gt;Urban freight transport&lt;/keyword&gt;&lt;keyword&gt;Sustainability&lt;/keyword&gt;&lt;keyword&gt;Policy&lt;/keyword&gt;&lt;keyword&gt;Stakeholder involvement&lt;/keyword&gt;&lt;keyword&gt;MAMCA&lt;/keyword&gt;&lt;/keywords&gt;&lt;dates&gt;&lt;year&gt;2017&lt;/year&gt;&lt;pub-dates&gt;&lt;date&gt;2017/10/01/&lt;/date&gt;&lt;/pub-dates&gt;&lt;/dates&gt;&lt;isbn&gt;0739-8859&lt;/isbn&gt;&lt;urls&gt;&lt;related-urls&gt;&lt;url&gt;http://www.sciencedirect.com/science/article/pii/S073988591730166X&lt;/url&gt;&lt;/related-urls&gt;&lt;/urls&gt;&lt;electronic-resource-num&gt;https://doi.org/10.1016/j.retrec.2017.08.003&lt;/electronic-resource-num&gt;&lt;/record&gt;&lt;/Cite&gt;&lt;/EndNote&gt;</w:instrText>
      </w:r>
      <w:r w:rsidR="00C060D8">
        <w:rPr>
          <w:noProof/>
        </w:rPr>
        <w:fldChar w:fldCharType="separate"/>
      </w:r>
      <w:r w:rsidR="00C060D8">
        <w:rPr>
          <w:noProof/>
        </w:rPr>
        <w:t>Kin et al. (2017)</w:t>
      </w:r>
      <w:r w:rsidR="00C060D8">
        <w:rPr>
          <w:noProof/>
        </w:rPr>
        <w:fldChar w:fldCharType="end"/>
      </w:r>
      <w:r w:rsidR="00567F72">
        <w:rPr>
          <w:noProof/>
        </w:rPr>
        <w:t xml:space="preserve">, and </w:t>
      </w:r>
      <w:r w:rsidR="00C060D8">
        <w:rPr>
          <w:noProof/>
        </w:rPr>
        <w:fldChar w:fldCharType="begin"/>
      </w:r>
      <w:r w:rsidR="00647E79">
        <w:rPr>
          <w:noProof/>
        </w:rPr>
        <w:instrText xml:space="preserve"> ADDIN EN.CITE &lt;EndNote&gt;&lt;Cite AuthorYear="1"&gt;&lt;Author&gt;Le Pira&lt;/Author&gt;&lt;Year&gt;2018&lt;/Year&gt;&lt;RecNum&gt;331&lt;/RecNum&gt;&lt;DisplayText&gt;Le Pira et al. (2018)&lt;/DisplayText&gt;&lt;record&gt;&lt;rec-number&gt;331&lt;/rec-number&gt;&lt;foreign-keys&gt;&lt;key app="EN" db-id="pzt5ep52hsedfpeext2pdfes0w0aswaewef2" timestamp="1605188000"&gt;331&lt;/key&gt;&lt;/foreign-keys&gt;&lt;ref-type name="Conference Proceedings"&gt;10&lt;/ref-type&gt;&lt;contributors&gt;&lt;authors&gt;&lt;author&gt;Le Pira, Michela&lt;/author&gt;&lt;author&gt;Inturri, Giuseppe&lt;/author&gt;&lt;author&gt;Ignaccolo, Matteo&lt;/author&gt;&lt;author&gt;Pluchino, Alessandro&lt;/author&gt;&lt;/authors&gt;&lt;secondary-authors&gt;&lt;author&gt;Żak, Jacek&lt;/author&gt;&lt;author&gt;Hadas, Yuval&lt;/author&gt;&lt;author&gt;Rossi, Riccardo&lt;/author&gt;&lt;/secondary-authors&gt;&lt;/contributors&gt;&lt;titles&gt;&lt;title&gt;Dealing with the Complexity of Stakeholder Interaction in Participatory Transport Planning&lt;/title&gt;&lt;secondary-title&gt;Advanced Concepts, Methodologies and Technologies for Transportation and Logistics&lt;/secondary-title&gt;&lt;/titles&gt;&lt;pages&gt;54-72&lt;/pages&gt;&lt;dates&gt;&lt;year&gt;2018&lt;/year&gt;&lt;pub-dates&gt;&lt;date&gt;2018//&lt;/date&gt;&lt;/pub-dates&gt;&lt;/dates&gt;&lt;pub-location&gt;Cham&lt;/pub-location&gt;&lt;publisher&gt;Springer International Publishing&lt;/publisher&gt;&lt;isbn&gt;978-3-319-57105-8&lt;/isbn&gt;&lt;urls&gt;&lt;/urls&gt;&lt;/record&gt;&lt;/Cite&gt;&lt;/EndNote&gt;</w:instrText>
      </w:r>
      <w:r w:rsidR="00C060D8">
        <w:rPr>
          <w:noProof/>
        </w:rPr>
        <w:fldChar w:fldCharType="separate"/>
      </w:r>
      <w:r w:rsidR="00C060D8">
        <w:rPr>
          <w:noProof/>
        </w:rPr>
        <w:t>Le Pira et al. (2018)</w:t>
      </w:r>
      <w:r w:rsidR="00C060D8">
        <w:rPr>
          <w:noProof/>
        </w:rPr>
        <w:fldChar w:fldCharType="end"/>
      </w:r>
      <w:r w:rsidR="00567F72" w:rsidRPr="00050D7E">
        <w:t>)</w:t>
      </w:r>
      <w:r w:rsidRPr="00EB7CE3">
        <w:rPr>
          <w:szCs w:val="24"/>
        </w:rPr>
        <w:t>.</w:t>
      </w:r>
      <w:r w:rsidRPr="00EB7CE3">
        <w:rPr>
          <w:rFonts w:hint="eastAsia"/>
          <w:szCs w:val="24"/>
        </w:rPr>
        <w:t xml:space="preserve"> </w:t>
      </w:r>
      <w:r w:rsidRPr="00EB7CE3">
        <w:rPr>
          <w:szCs w:val="24"/>
        </w:rPr>
        <w:t xml:space="preserve">It has also been applied in the UCC domain. For instance, </w:t>
      </w:r>
      <w:r w:rsidR="00B238CE">
        <w:rPr>
          <w:noProof/>
          <w:szCs w:val="24"/>
        </w:rPr>
        <w:t>Aljohani and Thompson (2018)</w:t>
      </w:r>
      <w:r w:rsidR="00B238CE">
        <w:rPr>
          <w:szCs w:val="24"/>
        </w:rPr>
        <w:t xml:space="preserve"> </w:t>
      </w:r>
      <w:r w:rsidRPr="00EB7CE3">
        <w:rPr>
          <w:szCs w:val="24"/>
        </w:rPr>
        <w:t>combined the preference-ranking organization method for enrichment evaluation (PROMETHEE) with</w:t>
      </w:r>
      <w:r w:rsidRPr="00EB7CE3" w:rsidDel="00D267E0">
        <w:rPr>
          <w:szCs w:val="24"/>
        </w:rPr>
        <w:t xml:space="preserve"> </w:t>
      </w:r>
      <w:r w:rsidRPr="00EB7CE3">
        <w:rPr>
          <w:szCs w:val="24"/>
        </w:rPr>
        <w:t>the fuzzy analytic hierarchy process (F-AHP) to evaluate different configurations of consolidation delivery approaches and balance</w:t>
      </w:r>
      <w:r w:rsidRPr="00EB7CE3">
        <w:rPr>
          <w:rFonts w:hint="eastAsia"/>
          <w:szCs w:val="24"/>
        </w:rPr>
        <w:t xml:space="preserve"> the requirements of all stakeholders. </w:t>
      </w:r>
      <w:r w:rsidR="00C060D8">
        <w:rPr>
          <w:noProof/>
          <w:szCs w:val="24"/>
        </w:rPr>
        <w:fldChar w:fldCharType="begin"/>
      </w:r>
      <w:r w:rsidR="00647E79">
        <w:rPr>
          <w:noProof/>
          <w:szCs w:val="24"/>
        </w:rPr>
        <w:instrText xml:space="preserve"> ADDIN EN.CITE &lt;EndNote&gt;&lt;Cite AuthorYear="1"&gt;&lt;Author&gt;Lebeau&lt;/Author&gt;&lt;Year&gt;2018&lt;/Year&gt;&lt;RecNum&gt;171&lt;/RecNum&gt;&lt;DisplayText&gt;Lebeau et al. (2018)&lt;/DisplayText&gt;&lt;record&gt;&lt;rec-number&gt;171&lt;/rec-number&gt;&lt;foreign-keys&gt;&lt;key app="EN" db-id="pzt5ep52hsedfpeext2pdfes0w0aswaewef2" timestamp="1605187995"&gt;171&lt;/key&gt;&lt;/foreign-keys&gt;&lt;ref-type name="Journal Article"&gt;17&lt;/ref-type&gt;&lt;contributors&gt;&lt;authors&gt;&lt;author&gt;Lebeau, P.&lt;/author&gt;&lt;author&gt;Macharis, C.&lt;/author&gt;&lt;author&gt;Van Mierlo, J.&lt;/author&gt;&lt;author&gt;Janjevic, M.&lt;/author&gt;&lt;/authors&gt;&lt;/contributors&gt;&lt;auth-address&gt;Vrije Universiteit Brussel, Belgium&amp;#xD;Univeristé Libre de Bruxelles, Belgium&lt;/auth-address&gt;&lt;titles&gt;&lt;title&gt;Improving policy support in city logistics: The contributions of a multi-actor multi-criteria analysis&lt;/title&gt;&lt;secondary-title&gt;Case Studies on Transport Policy&lt;/secondary-title&gt;&lt;alt-title&gt;Case Stud. Transp. Policy&lt;/alt-title&gt;&lt;/titles&gt;&lt;periodical&gt;&lt;full-title&gt;Case Studies on Transport Policy&lt;/full-title&gt;&lt;abbr-1&gt;Case Stud. Transp. Policy&lt;/abbr-1&gt;&lt;/periodical&gt;&lt;alt-periodical&gt;&lt;full-title&gt;Case Studies on Transport Policy&lt;/full-title&gt;&lt;abbr-1&gt;Case Stud. Transp. Policy&lt;/abbr-1&gt;&lt;/alt-periodical&gt;&lt;pages&gt;554-563&lt;/pages&gt;&lt;volume&gt;6&lt;/volume&gt;&lt;number&gt;4&lt;/number&gt;&lt;keywords&gt;&lt;keyword&gt;Battery electric vehicles&lt;/keyword&gt;&lt;keyword&gt;City logistics&lt;/keyword&gt;&lt;keyword&gt;Multi-actor multi-criteria analysis&lt;/keyword&gt;&lt;keyword&gt;Stakeholder analysis&lt;/keyword&gt;&lt;keyword&gt;Urban consolidation centres&lt;/keyword&gt;&lt;/keywords&gt;&lt;dates&gt;&lt;year&gt;2018&lt;/year&gt;&lt;/dates&gt;&lt;publisher&gt;Elsevier Ltd&lt;/publisher&gt;&lt;isbn&gt;2213624X (ISSN)&lt;/isbn&gt;&lt;work-type&gt;Article&lt;/work-type&gt;&lt;urls&gt;&lt;related-urls&gt;&lt;url&gt;https://www.scopus.com/inward/record.uri?eid=2-s2.0-85054091881&amp;amp;doi=10.1016%2fj.cstp.2018.07.003&amp;amp;partnerID=40&amp;amp;md5=ac009d605a0ec41693363aeb76f6b0be&lt;/url&gt;&lt;/related-urls&gt;&lt;/urls&gt;&lt;electronic-resource-num&gt;10.1016/j.cstp.2018.07.003&lt;/electronic-resource-num&gt;&lt;remote-database-name&gt;Scopus&lt;/remote-database-name&gt;&lt;language&gt;English&lt;/language&gt;&lt;/record&gt;&lt;/Cite&gt;&lt;/EndNote&gt;</w:instrText>
      </w:r>
      <w:r w:rsidR="00C060D8">
        <w:rPr>
          <w:noProof/>
          <w:szCs w:val="24"/>
        </w:rPr>
        <w:fldChar w:fldCharType="separate"/>
      </w:r>
      <w:r w:rsidR="00C060D8">
        <w:rPr>
          <w:noProof/>
          <w:szCs w:val="24"/>
        </w:rPr>
        <w:t>Lebeau et al. (2018)</w:t>
      </w:r>
      <w:r w:rsidR="00C060D8">
        <w:rPr>
          <w:noProof/>
          <w:szCs w:val="24"/>
        </w:rPr>
        <w:fldChar w:fldCharType="end"/>
      </w:r>
      <w:r w:rsidRPr="00EB7CE3">
        <w:rPr>
          <w:szCs w:val="24"/>
        </w:rPr>
        <w:t xml:space="preserve"> employed </w:t>
      </w:r>
      <w:r w:rsidRPr="00EB7CE3">
        <w:rPr>
          <w:rFonts w:hint="eastAsia"/>
          <w:szCs w:val="24"/>
        </w:rPr>
        <w:t>the</w:t>
      </w:r>
      <w:r w:rsidRPr="00EB7CE3">
        <w:rPr>
          <w:szCs w:val="24"/>
        </w:rPr>
        <w:t xml:space="preserve"> </w:t>
      </w:r>
      <w:r w:rsidR="000B6A80">
        <w:rPr>
          <w:szCs w:val="24"/>
        </w:rPr>
        <w:fldChar w:fldCharType="begin"/>
      </w:r>
      <w:r w:rsidR="000B6A80">
        <w:rPr>
          <w:szCs w:val="24"/>
        </w:rPr>
        <w:instrText xml:space="preserve"> ADDIN EN.CITE &lt;EndNote&gt;&lt;Cite&gt;&lt;Author&gt;Macharis&lt;/Author&gt;&lt;Year&gt;2005&lt;/Year&gt;&lt;RecNum&gt;372&lt;/RecNum&gt;&lt;DisplayText&gt;(Macharis, 2005)&lt;/DisplayText&gt;&lt;record&gt;&lt;rec-number&gt;372&lt;/rec-number&gt;&lt;foreign-keys&gt;&lt;key app="EN" db-id="pzt5ep52hsedfpeext2pdfes0w0aswaewef2" timestamp="1605189098"&gt;372&lt;/key&gt;&lt;/foreign-keys&gt;&lt;ref-type name="Journal Article"&gt;17&lt;/ref-type&gt;&lt;contributors&gt;&lt;authors&gt;&lt;author&gt;Macharis, Cathy&lt;/author&gt;&lt;/authors&gt;&lt;/contributors&gt;&lt;titles&gt;&lt;title&gt;The importance of stakeholder analysis in freight transport&lt;/title&gt;&lt;secondary-title&gt;European Transport\Trasporti Europei&lt;/secondary-title&gt;&lt;/titles&gt;&lt;periodical&gt;&lt;full-title&gt;European Transport\Trasporti Europei&lt;/full-title&gt;&lt;/periodical&gt;&lt;pages&gt;114-126&lt;/pages&gt;&lt;number&gt;25-26&lt;/number&gt;&lt;dates&gt;&lt;year&gt;2005&lt;/year&gt;&lt;/dates&gt;&lt;urls&gt;&lt;/urls&gt;&lt;/record&gt;&lt;/Cite&gt;&lt;/EndNote&gt;</w:instrText>
      </w:r>
      <w:r w:rsidR="000B6A80">
        <w:rPr>
          <w:szCs w:val="24"/>
        </w:rPr>
        <w:fldChar w:fldCharType="separate"/>
      </w:r>
      <w:r w:rsidR="000B6A80">
        <w:rPr>
          <w:noProof/>
          <w:szCs w:val="24"/>
        </w:rPr>
        <w:t>(Macharis, 2005)</w:t>
      </w:r>
      <w:r w:rsidR="000B6A80">
        <w:rPr>
          <w:szCs w:val="24"/>
        </w:rPr>
        <w:fldChar w:fldCharType="end"/>
      </w:r>
      <w:r w:rsidRPr="00EB7CE3">
        <w:rPr>
          <w:rFonts w:hint="eastAsia"/>
          <w:szCs w:val="24"/>
        </w:rPr>
        <w:t>MAMCA</w:t>
      </w:r>
      <w:r w:rsidRPr="00EB7CE3">
        <w:rPr>
          <w:szCs w:val="24"/>
        </w:rPr>
        <w:t xml:space="preserve"> </w:t>
      </w:r>
      <w:r w:rsidRPr="00EB7CE3">
        <w:rPr>
          <w:szCs w:val="24"/>
        </w:rPr>
        <w:lastRenderedPageBreak/>
        <w:t>framework to quantify the stakeholder preferences in terms of numbers of UCC facilities, delivery methods, and UCC locations</w:t>
      </w:r>
      <w:r w:rsidRPr="00EB7CE3">
        <w:rPr>
          <w:rFonts w:hint="eastAsia"/>
          <w:szCs w:val="24"/>
        </w:rPr>
        <w:t>.</w:t>
      </w:r>
    </w:p>
    <w:p w14:paraId="5289F6F6" w14:textId="6E8D4F9C" w:rsidR="00270DAE" w:rsidRPr="00EB7CE3" w:rsidRDefault="00270DAE" w:rsidP="001B1530">
      <w:pPr>
        <w:spacing w:after="240" w:line="360" w:lineRule="auto"/>
        <w:rPr>
          <w:szCs w:val="24"/>
        </w:rPr>
      </w:pPr>
      <w:r w:rsidRPr="00EB7CE3">
        <w:rPr>
          <w:szCs w:val="24"/>
        </w:rPr>
        <w:t xml:space="preserve">An essential step in the MCDM approach is to identify the appropriate criteria to evaluate UCC’s performance in different aspect. Previous scholars have classified relevant criteria or indicators into different dimensions for the purpose of demonstrating the global results of the project. For example, </w:t>
      </w:r>
      <w:r w:rsidR="00C060D8">
        <w:rPr>
          <w:noProof/>
          <w:szCs w:val="24"/>
        </w:rPr>
        <w:fldChar w:fldCharType="begin"/>
      </w:r>
      <w:r w:rsidR="00CA2D5D">
        <w:rPr>
          <w:noProof/>
          <w:szCs w:val="24"/>
        </w:rPr>
        <w:instrText xml:space="preserve"> ADDIN EN.CITE &lt;EndNote&gt;&lt;Cite AuthorYear="1"&gt;&lt;Author&gt;Browne&lt;/Author&gt;&lt;Year&gt;2007&lt;/Year&gt;&lt;RecNum&gt;200&lt;/RecNum&gt;&lt;DisplayText&gt;Browne et al. (2007)&lt;/DisplayText&gt;&lt;record&gt;&lt;rec-number&gt;200&lt;/rec-number&gt;&lt;foreign-keys&gt;&lt;key app="EN" db-id="x5etaz5aiszvz0edasvvpwvotttxepvd25t2" timestamp="1611177410"&gt;200&lt;/key&gt;&lt;/foreign-keys&gt;&lt;ref-type name="Journal Article"&gt;17&lt;/ref-type&gt;&lt;contributors&gt;&lt;authors&gt;&lt;author&gt;Browne, M.&lt;/author&gt;&lt;author&gt;Woodburn, A.&lt;/author&gt;&lt;author&gt;Allen, J.&lt;/author&gt;&lt;/authors&gt;&lt;/contributors&gt;&lt;titles&gt;&lt;title&gt;Evaluating the potential for urban consolidation centres&lt;/title&gt;&lt;secondary-title&gt;European Transport&lt;/secondary-title&gt;&lt;/titles&gt;&lt;periodical&gt;&lt;full-title&gt;European Transport&lt;/full-title&gt;&lt;/periodical&gt;&lt;pages&gt;46-63&lt;/pages&gt;&lt;volume&gt;35&lt;/volume&gt;&lt;dates&gt;&lt;year&gt;2007&lt;/year&gt;&lt;/dates&gt;&lt;urls&gt;&lt;/urls&gt;&lt;/record&gt;&lt;/Cite&gt;&lt;/EndNote&gt;</w:instrText>
      </w:r>
      <w:r w:rsidR="00C060D8">
        <w:rPr>
          <w:noProof/>
          <w:szCs w:val="24"/>
        </w:rPr>
        <w:fldChar w:fldCharType="separate"/>
      </w:r>
      <w:r w:rsidR="00C060D8">
        <w:rPr>
          <w:noProof/>
          <w:szCs w:val="24"/>
        </w:rPr>
        <w:t>Browne et al. (2007)</w:t>
      </w:r>
      <w:r w:rsidR="00C060D8">
        <w:rPr>
          <w:noProof/>
          <w:szCs w:val="24"/>
        </w:rPr>
        <w:fldChar w:fldCharType="end"/>
      </w:r>
      <w:r w:rsidRPr="00EB7CE3">
        <w:rPr>
          <w:szCs w:val="24"/>
        </w:rPr>
        <w:t xml:space="preserve">, based on ten criteria, proposed a two-dimension framework to evaluate the UCC in terms of “impact on the supply chain (Economic factor)” and “changes in localised geographical area (environmental/social factors)”. </w:t>
      </w:r>
      <w:r w:rsidR="00C060D8">
        <w:rPr>
          <w:szCs w:val="24"/>
        </w:rPr>
        <w:fldChar w:fldCharType="begin"/>
      </w:r>
      <w:r w:rsidR="00647E79">
        <w:rPr>
          <w:szCs w:val="24"/>
        </w:rPr>
        <w:instrText xml:space="preserve"> ADDIN EN.CITE &lt;EndNote&gt;&lt;Cite AuthorYear="1"&gt;&lt;Author&gt;Patier&lt;/Author&gt;&lt;Year&gt;2010&lt;/Year&gt;&lt;RecNum&gt;96&lt;/RecNum&gt;&lt;DisplayText&gt;Patier and Browne (2010)&lt;/DisplayText&gt;&lt;record&gt;&lt;rec-number&gt;96&lt;/rec-number&gt;&lt;foreign-keys&gt;&lt;key app="EN" db-id="pzt5ep52hsedfpeext2pdfes0w0aswaewef2" timestamp="1605187993"&gt;96&lt;/key&gt;&lt;/foreign-keys&gt;&lt;ref-type name="Journal Article"&gt;17&lt;/ref-type&gt;&lt;contributors&gt;&lt;authors&gt;&lt;author&gt;Patier, Danièle&lt;/author&gt;&lt;author&gt;Browne, Michael&lt;/author&gt;&lt;/authors&gt;&lt;/contributors&gt;&lt;titles&gt;&lt;title&gt;A methodology for the evaluation of urban logistics innovations&lt;/title&gt;&lt;secondary-title&gt;Procedia - Social and Behavioral Sciences&lt;/secondary-title&gt;&lt;/titles&gt;&lt;periodical&gt;&lt;full-title&gt;Procedia - Social and Behavioral Sciences&lt;/full-title&gt;&lt;/periodical&gt;&lt;pages&gt;6229-6241&lt;/pages&gt;&lt;volume&gt;2&lt;/volume&gt;&lt;number&gt;3&lt;/number&gt;&lt;keywords&gt;&lt;keyword&gt;Evaluation&lt;/keyword&gt;&lt;keyword&gt;projects&lt;/keyword&gt;&lt;keyword&gt;innovations&lt;/keyword&gt;&lt;keyword&gt;urban goods&lt;/keyword&gt;&lt;/keywords&gt;&lt;dates&gt;&lt;year&gt;2010&lt;/year&gt;&lt;pub-dates&gt;&lt;date&gt;2010/01/01/&lt;/date&gt;&lt;/pub-dates&gt;&lt;/dates&gt;&lt;isbn&gt;1877-0428&lt;/isbn&gt;&lt;urls&gt;&lt;related-urls&gt;&lt;url&gt;http://www.sciencedirect.com/science/article/pii/S1877042810010864&lt;/url&gt;&lt;/related-urls&gt;&lt;/urls&gt;&lt;electronic-resource-num&gt;https://doi.org/10.1016/j.sbspro.2010.04.033&lt;/electronic-resource-num&gt;&lt;/record&gt;&lt;/Cite&gt;&lt;/EndNote&gt;</w:instrText>
      </w:r>
      <w:r w:rsidR="00C060D8">
        <w:rPr>
          <w:szCs w:val="24"/>
        </w:rPr>
        <w:fldChar w:fldCharType="separate"/>
      </w:r>
      <w:r w:rsidR="00C060D8">
        <w:rPr>
          <w:noProof/>
          <w:szCs w:val="24"/>
        </w:rPr>
        <w:t>Patier and Browne (2010)</w:t>
      </w:r>
      <w:r w:rsidR="00C060D8">
        <w:rPr>
          <w:szCs w:val="24"/>
        </w:rPr>
        <w:fldChar w:fldCharType="end"/>
      </w:r>
      <w:r w:rsidRPr="00EB7CE3">
        <w:rPr>
          <w:szCs w:val="24"/>
        </w:rPr>
        <w:t xml:space="preserve">  used 60 variables to compare economic, </w:t>
      </w:r>
      <w:proofErr w:type="gramStart"/>
      <w:r w:rsidRPr="00EB7CE3">
        <w:rPr>
          <w:szCs w:val="24"/>
        </w:rPr>
        <w:t>environmental</w:t>
      </w:r>
      <w:proofErr w:type="gramEnd"/>
      <w:r w:rsidRPr="00EB7CE3">
        <w:rPr>
          <w:szCs w:val="24"/>
        </w:rPr>
        <w:t xml:space="preserve"> and social dimensions</w:t>
      </w:r>
      <w:r w:rsidRPr="00EB7CE3" w:rsidDel="00147D68">
        <w:rPr>
          <w:szCs w:val="24"/>
        </w:rPr>
        <w:t xml:space="preserve"> </w:t>
      </w:r>
      <w:r w:rsidRPr="00EB7CE3">
        <w:rPr>
          <w:szCs w:val="24"/>
        </w:rPr>
        <w:t xml:space="preserve">– before and after the implementation of an UCC facility. According to their classification, </w:t>
      </w:r>
      <w:proofErr w:type="spellStart"/>
      <w:r w:rsidRPr="00EB7CE3">
        <w:rPr>
          <w:szCs w:val="24"/>
        </w:rPr>
        <w:t>Patier</w:t>
      </w:r>
      <w:proofErr w:type="spellEnd"/>
      <w:r w:rsidRPr="00EB7CE3">
        <w:rPr>
          <w:szCs w:val="24"/>
        </w:rPr>
        <w:t xml:space="preserve"> and Browne (2010) state that each dimension overlaps with the others in the context of SUL, and many variables can be distributed into two or three categories. Conversely, </w:t>
      </w:r>
      <w:r w:rsidR="00C060D8">
        <w:rPr>
          <w:noProof/>
          <w:szCs w:val="24"/>
        </w:rPr>
        <w:fldChar w:fldCharType="begin"/>
      </w:r>
      <w:r w:rsidR="00647E79">
        <w:rPr>
          <w:noProof/>
          <w:szCs w:val="24"/>
        </w:rPr>
        <w:instrText xml:space="preserve"> ADDIN EN.CITE &lt;EndNote&gt;&lt;Cite AuthorYear="1"&gt;&lt;Author&gt;Gonzalez-Feliu&lt;/Author&gt;&lt;Year&gt;2014&lt;/Year&gt;&lt;RecNum&gt;23&lt;/RecNum&gt;&lt;DisplayText&gt;Gonzalez-Feliu et al. (2014b)&lt;/DisplayText&gt;&lt;record&gt;&lt;rec-number&gt;23&lt;/rec-number&gt;&lt;foreign-keys&gt;&lt;key app="EN" db-id="pzt5ep52hsedfpeext2pdfes0w0aswaewef2" timestamp="1605187992"&gt;23&lt;/key&gt;&lt;/foreign-keys&gt;&lt;ref-type name="Book"&gt;6&lt;/ref-type&gt;&lt;contributors&gt;&lt;authors&gt;&lt;author&gt;Gonzalez-Feliu, Jesus&lt;/author&gt;&lt;author&gt;Semet, Frédéric&lt;/author&gt;&lt;author&gt;Routhier, Jean-Louis&lt;/author&gt;&lt;/authors&gt;&lt;/contributors&gt;&lt;titles&gt;&lt;title&gt;Sustainable urban logistics: Concepts, methods and information systems&lt;/title&gt;&lt;/titles&gt;&lt;dates&gt;&lt;year&gt;2014&lt;/year&gt;&lt;/dates&gt;&lt;publisher&gt;Springer&lt;/publisher&gt;&lt;isbn&gt;3642317871&lt;/isbn&gt;&lt;urls&gt;&lt;/urls&gt;&lt;/record&gt;&lt;/Cite&gt;&lt;/EndNote&gt;</w:instrText>
      </w:r>
      <w:r w:rsidR="00C060D8">
        <w:rPr>
          <w:noProof/>
          <w:szCs w:val="24"/>
        </w:rPr>
        <w:fldChar w:fldCharType="separate"/>
      </w:r>
      <w:r w:rsidR="00C060D8">
        <w:rPr>
          <w:noProof/>
          <w:szCs w:val="24"/>
        </w:rPr>
        <w:t>Gonzalez-Feliu et al. (2014b)</w:t>
      </w:r>
      <w:r w:rsidR="00C060D8">
        <w:rPr>
          <w:noProof/>
          <w:szCs w:val="24"/>
        </w:rPr>
        <w:fldChar w:fldCharType="end"/>
      </w:r>
      <w:r w:rsidRPr="00EB7CE3">
        <w:rPr>
          <w:szCs w:val="24"/>
        </w:rPr>
        <w:t xml:space="preserve"> conclude that the three dimensions of SUL </w:t>
      </w:r>
      <w:r w:rsidRPr="00EB7CE3">
        <w:rPr>
          <w:rFonts w:hint="eastAsia"/>
          <w:szCs w:val="24"/>
        </w:rPr>
        <w:t>have</w:t>
      </w:r>
      <w:r w:rsidRPr="00EB7CE3">
        <w:rPr>
          <w:szCs w:val="24"/>
        </w:rPr>
        <w:t xml:space="preserve"> </w:t>
      </w:r>
      <w:r w:rsidRPr="00EB7CE3">
        <w:rPr>
          <w:rFonts w:hint="eastAsia"/>
          <w:szCs w:val="24"/>
        </w:rPr>
        <w:t>distinctive</w:t>
      </w:r>
      <w:r w:rsidRPr="00EB7CE3">
        <w:rPr>
          <w:szCs w:val="24"/>
        </w:rPr>
        <w:t xml:space="preserve"> boundaries. They provide a hierarchical dashboard that comprises seven main indicators (criteria) and 14 secondary indicators to reflect the relationship between the three dimensions of SUL and their associated indicators. More detailed classifications of such criteria are derived from the research of </w:t>
      </w:r>
      <w:r w:rsidR="00C060D8">
        <w:rPr>
          <w:noProof/>
          <w:szCs w:val="24"/>
        </w:rPr>
        <w:fldChar w:fldCharType="begin"/>
      </w:r>
      <w:r w:rsidR="00647E79">
        <w:rPr>
          <w:noProof/>
          <w:szCs w:val="24"/>
        </w:rPr>
        <w:instrText xml:space="preserve"> ADDIN EN.CITE &lt;EndNote&gt;&lt;Cite AuthorYear="1"&gt;&lt;Author&gt;Gogas&lt;/Author&gt;&lt;Year&gt;2017&lt;/Year&gt;&lt;RecNum&gt;226&lt;/RecNum&gt;&lt;DisplayText&gt;Gogas and Nathanail (2017)&lt;/DisplayText&gt;&lt;record&gt;&lt;rec-number&gt;226&lt;/rec-number&gt;&lt;foreign-keys&gt;&lt;key app="EN" db-id="pzt5ep52hsedfpeext2pdfes0w0aswaewef2" timestamp="1605187997"&gt;226&lt;/key&gt;&lt;/foreign-keys&gt;&lt;ref-type name="Journal Article"&gt;17&lt;/ref-type&gt;&lt;contributors&gt;&lt;authors&gt;&lt;author&gt;Gogas, Michael A&lt;/author&gt;&lt;author&gt;Nathanail, Eftihia&lt;/author&gt;&lt;/authors&gt;&lt;/contributors&gt;&lt;titles&gt;&lt;title&gt;Evaluation of Urban Consolidation Centers: A Methodological Framework&lt;/title&gt;&lt;secondary-title&gt;Procedia Engineering&lt;/secondary-title&gt;&lt;/titles&gt;&lt;periodical&gt;&lt;full-title&gt;Procedia Engineering&lt;/full-title&gt;&lt;/periodical&gt;&lt;pages&gt;461-471&lt;/pages&gt;&lt;volume&gt;178&lt;/volume&gt;&lt;dates&gt;&lt;year&gt;2017&lt;/year&gt;&lt;/dates&gt;&lt;isbn&gt;1877-7058&lt;/isbn&gt;&lt;urls&gt;&lt;/urls&gt;&lt;/record&gt;&lt;/Cite&gt;&lt;/EndNote&gt;</w:instrText>
      </w:r>
      <w:r w:rsidR="00C060D8">
        <w:rPr>
          <w:noProof/>
          <w:szCs w:val="24"/>
        </w:rPr>
        <w:fldChar w:fldCharType="separate"/>
      </w:r>
      <w:r w:rsidR="00C060D8">
        <w:rPr>
          <w:noProof/>
          <w:szCs w:val="24"/>
        </w:rPr>
        <w:t>Gogas and Nathanail (2017)</w:t>
      </w:r>
      <w:r w:rsidR="00C060D8">
        <w:rPr>
          <w:noProof/>
          <w:szCs w:val="24"/>
        </w:rPr>
        <w:fldChar w:fldCharType="end"/>
      </w:r>
      <w:r w:rsidRPr="00EB7CE3">
        <w:rPr>
          <w:szCs w:val="24"/>
        </w:rPr>
        <w:t xml:space="preserve">, who subdivided these three dimensions into 13 groups, covering the five aspects of economic, business, environmental, road safety, and traffic impact. </w:t>
      </w:r>
    </w:p>
    <w:p w14:paraId="1094A329" w14:textId="017B15DA" w:rsidR="00BB2459" w:rsidRPr="00EB7CE3" w:rsidRDefault="00270DAE" w:rsidP="001B1530">
      <w:pPr>
        <w:spacing w:after="240" w:line="360" w:lineRule="auto"/>
        <w:rPr>
          <w:szCs w:val="24"/>
        </w:rPr>
      </w:pPr>
      <w:r w:rsidRPr="00EB7CE3">
        <w:rPr>
          <w:szCs w:val="24"/>
        </w:rPr>
        <w:t xml:space="preserve">This study adopts relevant criteria from the research cited above, for the purpose to present the performance of UCCs in the economic, environmental, and social dimensions of SUL. </w:t>
      </w:r>
      <w:r w:rsidR="00D10E5F">
        <w:rPr>
          <w:szCs w:val="24"/>
        </w:rPr>
        <w:t xml:space="preserve"> </w:t>
      </w:r>
      <w:r w:rsidR="00D10E5F">
        <w:rPr>
          <w:szCs w:val="24"/>
        </w:rPr>
        <w:fldChar w:fldCharType="begin"/>
      </w:r>
      <w:r w:rsidR="00D10E5F">
        <w:rPr>
          <w:szCs w:val="24"/>
        </w:rPr>
        <w:instrText xml:space="preserve"> REF _Ref45022034 \h </w:instrText>
      </w:r>
      <w:r w:rsidR="00D10E5F">
        <w:rPr>
          <w:szCs w:val="24"/>
        </w:rPr>
      </w:r>
      <w:r w:rsidR="00D10E5F">
        <w:rPr>
          <w:szCs w:val="24"/>
        </w:rPr>
        <w:fldChar w:fldCharType="separate"/>
      </w:r>
      <w:r w:rsidR="0005064B">
        <w:t xml:space="preserve">Table </w:t>
      </w:r>
      <w:r w:rsidR="0005064B">
        <w:rPr>
          <w:noProof/>
        </w:rPr>
        <w:t>6</w:t>
      </w:r>
      <w:r w:rsidR="0005064B">
        <w:noBreakHyphen/>
      </w:r>
      <w:r w:rsidR="0005064B">
        <w:rPr>
          <w:noProof/>
        </w:rPr>
        <w:t>1</w:t>
      </w:r>
      <w:r w:rsidR="00D10E5F">
        <w:rPr>
          <w:szCs w:val="24"/>
        </w:rPr>
        <w:fldChar w:fldCharType="end"/>
      </w:r>
      <w:r w:rsidR="00D10E5F">
        <w:rPr>
          <w:szCs w:val="24"/>
        </w:rPr>
        <w:t xml:space="preserve"> </w:t>
      </w:r>
      <w:r w:rsidRPr="00EB7CE3">
        <w:rPr>
          <w:szCs w:val="24"/>
        </w:rPr>
        <w:t>lists the selected criteria.  After that, one indicator is constructed for each criterion. Then a two-layer AHP hierarchy will be designed based on these indicators and three dimensions of SUL for the purpose to calculate the weight of each indicator (Section</w:t>
      </w:r>
      <w:r w:rsidR="00AB35C1">
        <w:rPr>
          <w:szCs w:val="24"/>
        </w:rPr>
        <w:t xml:space="preserve"> </w:t>
      </w:r>
      <w:r w:rsidR="00AB35C1">
        <w:rPr>
          <w:szCs w:val="24"/>
        </w:rPr>
        <w:fldChar w:fldCharType="begin"/>
      </w:r>
      <w:r w:rsidR="00AB35C1">
        <w:rPr>
          <w:szCs w:val="24"/>
        </w:rPr>
        <w:instrText xml:space="preserve"> REF _Ref45569266 \r \h </w:instrText>
      </w:r>
      <w:r w:rsidR="00AB35C1">
        <w:rPr>
          <w:szCs w:val="24"/>
        </w:rPr>
      </w:r>
      <w:r w:rsidR="00AB35C1">
        <w:rPr>
          <w:szCs w:val="24"/>
        </w:rPr>
        <w:fldChar w:fldCharType="separate"/>
      </w:r>
      <w:r w:rsidR="0005064B">
        <w:rPr>
          <w:szCs w:val="24"/>
        </w:rPr>
        <w:t>6.2.3</w:t>
      </w:r>
      <w:r w:rsidR="00AB35C1">
        <w:rPr>
          <w:szCs w:val="24"/>
        </w:rPr>
        <w:fldChar w:fldCharType="end"/>
      </w:r>
      <w:r w:rsidR="00AB35C1">
        <w:rPr>
          <w:szCs w:val="24"/>
        </w:rPr>
        <w:t xml:space="preserve"> </w:t>
      </w:r>
      <w:r w:rsidRPr="00EB7CE3">
        <w:rPr>
          <w:szCs w:val="24"/>
        </w:rPr>
        <w:t>shows the details).</w:t>
      </w:r>
    </w:p>
    <w:tbl>
      <w:tblPr>
        <w:tblStyle w:val="TableGrid2"/>
        <w:tblW w:w="9067" w:type="dxa"/>
        <w:tblLook w:val="04A0" w:firstRow="1" w:lastRow="0" w:firstColumn="1" w:lastColumn="0" w:noHBand="0" w:noVBand="1"/>
      </w:tblPr>
      <w:tblGrid>
        <w:gridCol w:w="2547"/>
        <w:gridCol w:w="6520"/>
      </w:tblGrid>
      <w:tr w:rsidR="00BB2459" w:rsidRPr="005D0BCB" w14:paraId="3624258E" w14:textId="77777777" w:rsidTr="00622AC7">
        <w:trPr>
          <w:trHeight w:val="184"/>
        </w:trPr>
        <w:tc>
          <w:tcPr>
            <w:tcW w:w="2547" w:type="dxa"/>
            <w:noWrap/>
          </w:tcPr>
          <w:p w14:paraId="314409D4" w14:textId="77777777" w:rsidR="00BB2459" w:rsidRPr="00093086" w:rsidRDefault="00BB2459" w:rsidP="00622AC7">
            <w:pPr>
              <w:jc w:val="center"/>
              <w:rPr>
                <w:b/>
              </w:rPr>
            </w:pPr>
            <w:r w:rsidRPr="00093086">
              <w:rPr>
                <w:b/>
              </w:rPr>
              <w:t>Criterion</w:t>
            </w:r>
          </w:p>
        </w:tc>
        <w:tc>
          <w:tcPr>
            <w:tcW w:w="6520" w:type="dxa"/>
          </w:tcPr>
          <w:p w14:paraId="1A39CAC2" w14:textId="77777777" w:rsidR="00BB2459" w:rsidRPr="00093086" w:rsidRDefault="00BB2459" w:rsidP="00622AC7">
            <w:pPr>
              <w:jc w:val="center"/>
              <w:rPr>
                <w:b/>
              </w:rPr>
            </w:pPr>
            <w:r w:rsidRPr="00093086">
              <w:rPr>
                <w:b/>
              </w:rPr>
              <w:t>Reference</w:t>
            </w:r>
          </w:p>
        </w:tc>
      </w:tr>
      <w:tr w:rsidR="00BB2459" w:rsidRPr="005D0BCB" w14:paraId="18AA9CE1" w14:textId="77777777" w:rsidTr="00622AC7">
        <w:trPr>
          <w:trHeight w:val="94"/>
        </w:trPr>
        <w:tc>
          <w:tcPr>
            <w:tcW w:w="2547" w:type="dxa"/>
            <w:noWrap/>
            <w:vAlign w:val="center"/>
          </w:tcPr>
          <w:p w14:paraId="23C19174" w14:textId="77777777" w:rsidR="00BB2459" w:rsidRPr="00093086" w:rsidRDefault="00BB2459" w:rsidP="00622AC7">
            <w:r w:rsidRPr="00093086">
              <w:t xml:space="preserve">Operating </w:t>
            </w:r>
            <w:r>
              <w:t>c</w:t>
            </w:r>
            <w:r w:rsidRPr="00093086">
              <w:t>ost</w:t>
            </w:r>
          </w:p>
        </w:tc>
        <w:tc>
          <w:tcPr>
            <w:tcW w:w="6520" w:type="dxa"/>
            <w:vAlign w:val="center"/>
          </w:tcPr>
          <w:p w14:paraId="53F5D2F3" w14:textId="77777777" w:rsidR="00BB2459" w:rsidRPr="00093086" w:rsidRDefault="00BB2459" w:rsidP="00622AC7">
            <w:pPr>
              <w:tabs>
                <w:tab w:val="left" w:pos="996"/>
              </w:tabs>
              <w:rPr>
                <w:bCs/>
              </w:rPr>
            </w:pPr>
            <w:r w:rsidRPr="00093086">
              <w:rPr>
                <w:bCs/>
              </w:rPr>
              <w:t>Browne et al. (2007)</w:t>
            </w:r>
            <w:r w:rsidRPr="00093086">
              <w:rPr>
                <w:bCs/>
                <w:lang w:eastAsia="en-US"/>
              </w:rPr>
              <w:t xml:space="preserve">; </w:t>
            </w:r>
            <w:proofErr w:type="spellStart"/>
            <w:r w:rsidRPr="00093086">
              <w:rPr>
                <w:bCs/>
                <w:lang w:eastAsia="en-US"/>
              </w:rPr>
              <w:t>Patier</w:t>
            </w:r>
            <w:proofErr w:type="spellEnd"/>
            <w:r w:rsidRPr="00093086">
              <w:rPr>
                <w:bCs/>
                <w:lang w:eastAsia="en-US"/>
              </w:rPr>
              <w:t xml:space="preserve"> and Browne (2010)</w:t>
            </w:r>
            <w:r w:rsidRPr="00093086">
              <w:rPr>
                <w:bCs/>
              </w:rPr>
              <w:t xml:space="preserve">; </w:t>
            </w:r>
            <w:r>
              <w:rPr>
                <w:bCs/>
                <w:noProof/>
              </w:rPr>
              <w:t>Gonzalez-Feliu et al. (2014b)</w:t>
            </w:r>
            <w:r w:rsidRPr="00093086">
              <w:rPr>
                <w:bCs/>
              </w:rPr>
              <w:t xml:space="preserve">; </w:t>
            </w:r>
            <w:proofErr w:type="spellStart"/>
            <w:r w:rsidRPr="00093086">
              <w:rPr>
                <w:bCs/>
                <w:lang w:eastAsia="en-US"/>
              </w:rPr>
              <w:t>Gogas</w:t>
            </w:r>
            <w:proofErr w:type="spellEnd"/>
            <w:r w:rsidRPr="00093086">
              <w:rPr>
                <w:bCs/>
                <w:lang w:eastAsia="en-US"/>
              </w:rPr>
              <w:t xml:space="preserve"> and </w:t>
            </w:r>
            <w:proofErr w:type="spellStart"/>
            <w:r w:rsidRPr="00093086">
              <w:rPr>
                <w:bCs/>
                <w:lang w:eastAsia="en-US"/>
              </w:rPr>
              <w:t>Nathanail</w:t>
            </w:r>
            <w:proofErr w:type="spellEnd"/>
            <w:r w:rsidRPr="00093086">
              <w:rPr>
                <w:bCs/>
                <w:lang w:eastAsia="en-US"/>
              </w:rPr>
              <w:t xml:space="preserve"> (2017)</w:t>
            </w:r>
          </w:p>
        </w:tc>
      </w:tr>
      <w:tr w:rsidR="00BB2459" w:rsidRPr="005D0BCB" w14:paraId="24FD2A22" w14:textId="77777777" w:rsidTr="00622AC7">
        <w:trPr>
          <w:trHeight w:val="58"/>
        </w:trPr>
        <w:tc>
          <w:tcPr>
            <w:tcW w:w="2547" w:type="dxa"/>
            <w:noWrap/>
            <w:vAlign w:val="center"/>
          </w:tcPr>
          <w:p w14:paraId="64512D17" w14:textId="77777777" w:rsidR="00BB2459" w:rsidRPr="00093086" w:rsidRDefault="00BB2459" w:rsidP="00622AC7">
            <w:pPr>
              <w:rPr>
                <w:lang w:val="fr-FR" w:eastAsia="ko-KR"/>
              </w:rPr>
            </w:pPr>
            <w:r w:rsidRPr="00093086">
              <w:rPr>
                <w:lang w:val="fr-FR" w:eastAsia="ko-KR"/>
              </w:rPr>
              <w:t xml:space="preserve">Pricing </w:t>
            </w:r>
            <w:proofErr w:type="spellStart"/>
            <w:r>
              <w:rPr>
                <w:lang w:val="fr-FR" w:eastAsia="ko-KR"/>
              </w:rPr>
              <w:t>p</w:t>
            </w:r>
            <w:r w:rsidRPr="00093086">
              <w:rPr>
                <w:lang w:val="fr-FR" w:eastAsia="ko-KR"/>
              </w:rPr>
              <w:t>olicy</w:t>
            </w:r>
            <w:proofErr w:type="spellEnd"/>
          </w:p>
        </w:tc>
        <w:tc>
          <w:tcPr>
            <w:tcW w:w="6520" w:type="dxa"/>
            <w:vAlign w:val="center"/>
          </w:tcPr>
          <w:p w14:paraId="193BC4E4" w14:textId="77777777" w:rsidR="00BB2459" w:rsidRPr="00093086" w:rsidRDefault="00BB2459" w:rsidP="00622AC7">
            <w:pPr>
              <w:rPr>
                <w:bCs/>
              </w:rPr>
            </w:pPr>
            <w:r w:rsidRPr="00093086">
              <w:rPr>
                <w:bCs/>
                <w:lang w:val="fr-FR"/>
              </w:rPr>
              <w:t>Browne et al. (2007</w:t>
            </w:r>
            <w:proofErr w:type="gramStart"/>
            <w:r w:rsidRPr="00093086">
              <w:rPr>
                <w:bCs/>
                <w:lang w:val="fr-FR"/>
              </w:rPr>
              <w:t>)</w:t>
            </w:r>
            <w:r w:rsidRPr="00093086">
              <w:rPr>
                <w:bCs/>
                <w:lang w:val="fr-FR" w:eastAsia="en-US"/>
              </w:rPr>
              <w:t>;</w:t>
            </w:r>
            <w:proofErr w:type="gramEnd"/>
            <w:r>
              <w:rPr>
                <w:bCs/>
                <w:lang w:val="fr-FR" w:eastAsia="en-US"/>
              </w:rPr>
              <w:t xml:space="preserve"> </w:t>
            </w:r>
            <w:proofErr w:type="spellStart"/>
            <w:r w:rsidRPr="00093086">
              <w:rPr>
                <w:bCs/>
                <w:lang w:eastAsia="en-US"/>
              </w:rPr>
              <w:t>Patier</w:t>
            </w:r>
            <w:proofErr w:type="spellEnd"/>
            <w:r w:rsidRPr="00093086">
              <w:rPr>
                <w:bCs/>
                <w:lang w:eastAsia="en-US"/>
              </w:rPr>
              <w:t xml:space="preserve"> and Browne (2010)</w:t>
            </w:r>
            <w:r w:rsidRPr="00093086">
              <w:rPr>
                <w:bCs/>
              </w:rPr>
              <w:t xml:space="preserve">; </w:t>
            </w:r>
            <w:r>
              <w:rPr>
                <w:bCs/>
                <w:noProof/>
              </w:rPr>
              <w:t>Gonzalez-Feliu et al. (2014b)</w:t>
            </w:r>
            <w:r w:rsidRPr="00093086">
              <w:rPr>
                <w:bCs/>
              </w:rPr>
              <w:t xml:space="preserve">; </w:t>
            </w:r>
            <w:proofErr w:type="spellStart"/>
            <w:r w:rsidRPr="00093086">
              <w:rPr>
                <w:bCs/>
                <w:lang w:eastAsia="en-US"/>
              </w:rPr>
              <w:t>Gogas</w:t>
            </w:r>
            <w:proofErr w:type="spellEnd"/>
            <w:r w:rsidRPr="00093086">
              <w:rPr>
                <w:bCs/>
                <w:lang w:eastAsia="en-US"/>
              </w:rPr>
              <w:t xml:space="preserve"> and </w:t>
            </w:r>
            <w:proofErr w:type="spellStart"/>
            <w:r w:rsidRPr="00093086">
              <w:rPr>
                <w:bCs/>
                <w:lang w:eastAsia="en-US"/>
              </w:rPr>
              <w:t>Nathanail</w:t>
            </w:r>
            <w:proofErr w:type="spellEnd"/>
            <w:r w:rsidRPr="00093086">
              <w:rPr>
                <w:bCs/>
                <w:lang w:eastAsia="en-US"/>
              </w:rPr>
              <w:t xml:space="preserve"> (2017)</w:t>
            </w:r>
          </w:p>
        </w:tc>
      </w:tr>
      <w:tr w:rsidR="00BB2459" w:rsidRPr="005D0BCB" w14:paraId="1C81279B" w14:textId="77777777" w:rsidTr="00622AC7">
        <w:trPr>
          <w:trHeight w:val="287"/>
        </w:trPr>
        <w:tc>
          <w:tcPr>
            <w:tcW w:w="2547" w:type="dxa"/>
            <w:noWrap/>
            <w:vAlign w:val="center"/>
          </w:tcPr>
          <w:p w14:paraId="1F4622E2" w14:textId="77777777" w:rsidR="00BB2459" w:rsidRPr="00093086" w:rsidRDefault="00BB2459" w:rsidP="00622AC7">
            <w:r w:rsidRPr="00093086">
              <w:t xml:space="preserve">Infrastructure </w:t>
            </w:r>
            <w:r>
              <w:t>u</w:t>
            </w:r>
            <w:r w:rsidRPr="00093086">
              <w:t xml:space="preserve">sage </w:t>
            </w:r>
            <w:r>
              <w:t>e</w:t>
            </w:r>
            <w:r w:rsidRPr="00093086">
              <w:t>fficiency</w:t>
            </w:r>
          </w:p>
        </w:tc>
        <w:tc>
          <w:tcPr>
            <w:tcW w:w="6520" w:type="dxa"/>
            <w:vAlign w:val="center"/>
          </w:tcPr>
          <w:p w14:paraId="60B50B58" w14:textId="77777777" w:rsidR="00BB2459" w:rsidRPr="00093086" w:rsidRDefault="00BB2459" w:rsidP="00622AC7">
            <w:pPr>
              <w:rPr>
                <w:bCs/>
              </w:rPr>
            </w:pPr>
            <w:proofErr w:type="spellStart"/>
            <w:r w:rsidRPr="00093086">
              <w:rPr>
                <w:bCs/>
                <w:lang w:eastAsia="en-US"/>
              </w:rPr>
              <w:t>Patier</w:t>
            </w:r>
            <w:proofErr w:type="spellEnd"/>
            <w:r w:rsidRPr="00093086">
              <w:rPr>
                <w:bCs/>
                <w:lang w:eastAsia="en-US"/>
              </w:rPr>
              <w:t xml:space="preserve"> and Browne (2010)</w:t>
            </w:r>
            <w:r w:rsidRPr="00093086">
              <w:rPr>
                <w:bCs/>
              </w:rPr>
              <w:t xml:space="preserve">; </w:t>
            </w:r>
            <w:proofErr w:type="spellStart"/>
            <w:r w:rsidRPr="00093086">
              <w:rPr>
                <w:bCs/>
                <w:lang w:eastAsia="en-US"/>
              </w:rPr>
              <w:t>Gogas</w:t>
            </w:r>
            <w:proofErr w:type="spellEnd"/>
            <w:r w:rsidRPr="00093086">
              <w:rPr>
                <w:bCs/>
                <w:lang w:eastAsia="en-US"/>
              </w:rPr>
              <w:t xml:space="preserve"> and </w:t>
            </w:r>
            <w:proofErr w:type="spellStart"/>
            <w:r w:rsidRPr="00093086">
              <w:rPr>
                <w:bCs/>
                <w:lang w:eastAsia="en-US"/>
              </w:rPr>
              <w:t>Nathanail</w:t>
            </w:r>
            <w:proofErr w:type="spellEnd"/>
            <w:r w:rsidRPr="00093086">
              <w:rPr>
                <w:bCs/>
                <w:lang w:eastAsia="en-US"/>
              </w:rPr>
              <w:t xml:space="preserve"> (2017)</w:t>
            </w:r>
          </w:p>
        </w:tc>
      </w:tr>
      <w:tr w:rsidR="00BB2459" w:rsidRPr="005D0BCB" w14:paraId="75B5E2FA" w14:textId="77777777" w:rsidTr="00622AC7">
        <w:trPr>
          <w:trHeight w:val="209"/>
        </w:trPr>
        <w:tc>
          <w:tcPr>
            <w:tcW w:w="2547" w:type="dxa"/>
            <w:noWrap/>
            <w:vAlign w:val="center"/>
          </w:tcPr>
          <w:p w14:paraId="21D929B8" w14:textId="77777777" w:rsidR="00BB2459" w:rsidRPr="00093086" w:rsidRDefault="00BB2459" w:rsidP="00622AC7">
            <w:r w:rsidRPr="00093086">
              <w:t>Goods</w:t>
            </w:r>
            <w:r>
              <w:t>-h</w:t>
            </w:r>
            <w:r w:rsidRPr="00093086">
              <w:t xml:space="preserve">andling </w:t>
            </w:r>
            <w:r>
              <w:t>e</w:t>
            </w:r>
            <w:r w:rsidRPr="00093086">
              <w:t>fficiency</w:t>
            </w:r>
          </w:p>
        </w:tc>
        <w:tc>
          <w:tcPr>
            <w:tcW w:w="6520" w:type="dxa"/>
            <w:vAlign w:val="center"/>
          </w:tcPr>
          <w:p w14:paraId="23224B77" w14:textId="77777777" w:rsidR="00BB2459" w:rsidRPr="00093086" w:rsidRDefault="00BB2459" w:rsidP="00622AC7">
            <w:pPr>
              <w:rPr>
                <w:bCs/>
                <w:lang w:eastAsia="en-US"/>
              </w:rPr>
            </w:pPr>
            <w:proofErr w:type="spellStart"/>
            <w:r w:rsidRPr="00093086">
              <w:rPr>
                <w:bCs/>
                <w:lang w:eastAsia="en-US"/>
              </w:rPr>
              <w:t>Patier</w:t>
            </w:r>
            <w:proofErr w:type="spellEnd"/>
            <w:r w:rsidRPr="00093086">
              <w:rPr>
                <w:bCs/>
                <w:lang w:eastAsia="en-US"/>
              </w:rPr>
              <w:t xml:space="preserve"> and Browne (2010)</w:t>
            </w:r>
            <w:r w:rsidRPr="00093086">
              <w:rPr>
                <w:bCs/>
              </w:rPr>
              <w:t xml:space="preserve">; </w:t>
            </w:r>
            <w:r>
              <w:rPr>
                <w:bCs/>
                <w:noProof/>
              </w:rPr>
              <w:t>Gonzalez-Feliu et al. (2014b)</w:t>
            </w:r>
            <w:r w:rsidRPr="00093086">
              <w:rPr>
                <w:bCs/>
              </w:rPr>
              <w:t xml:space="preserve">; </w:t>
            </w:r>
            <w:proofErr w:type="spellStart"/>
            <w:r w:rsidRPr="00093086">
              <w:rPr>
                <w:bCs/>
                <w:lang w:eastAsia="en-US"/>
              </w:rPr>
              <w:t>Gogas</w:t>
            </w:r>
            <w:proofErr w:type="spellEnd"/>
            <w:r w:rsidRPr="00093086">
              <w:rPr>
                <w:bCs/>
                <w:lang w:eastAsia="en-US"/>
              </w:rPr>
              <w:t xml:space="preserve"> and </w:t>
            </w:r>
            <w:proofErr w:type="spellStart"/>
            <w:r w:rsidRPr="00093086">
              <w:rPr>
                <w:bCs/>
                <w:lang w:eastAsia="en-US"/>
              </w:rPr>
              <w:t>Nathanail</w:t>
            </w:r>
            <w:proofErr w:type="spellEnd"/>
            <w:r w:rsidRPr="00093086">
              <w:rPr>
                <w:bCs/>
                <w:lang w:eastAsia="en-US"/>
              </w:rPr>
              <w:t xml:space="preserve"> (2017)</w:t>
            </w:r>
          </w:p>
        </w:tc>
      </w:tr>
      <w:tr w:rsidR="00BB2459" w:rsidRPr="005D0BCB" w14:paraId="6D7653AE" w14:textId="77777777" w:rsidTr="00622AC7">
        <w:trPr>
          <w:trHeight w:val="58"/>
        </w:trPr>
        <w:tc>
          <w:tcPr>
            <w:tcW w:w="2547" w:type="dxa"/>
            <w:noWrap/>
            <w:vAlign w:val="center"/>
          </w:tcPr>
          <w:p w14:paraId="5DD18D5A" w14:textId="77777777" w:rsidR="00BB2459" w:rsidRPr="00093086" w:rsidRDefault="00BB2459" w:rsidP="00622AC7">
            <w:r w:rsidRPr="00093086">
              <w:t xml:space="preserve">Delivery </w:t>
            </w:r>
            <w:r>
              <w:t>e</w:t>
            </w:r>
            <w:r w:rsidRPr="00093086">
              <w:t>fficiency</w:t>
            </w:r>
          </w:p>
        </w:tc>
        <w:tc>
          <w:tcPr>
            <w:tcW w:w="6520" w:type="dxa"/>
            <w:vAlign w:val="center"/>
          </w:tcPr>
          <w:p w14:paraId="4B288B57" w14:textId="77777777" w:rsidR="00BB2459" w:rsidRPr="00093086" w:rsidRDefault="00BB2459" w:rsidP="00622AC7">
            <w:pPr>
              <w:rPr>
                <w:bCs/>
              </w:rPr>
            </w:pPr>
            <w:r w:rsidRPr="00093086">
              <w:rPr>
                <w:bCs/>
              </w:rPr>
              <w:t>Browne et al. (2007)</w:t>
            </w:r>
            <w:r w:rsidRPr="00093086">
              <w:rPr>
                <w:bCs/>
                <w:lang w:eastAsia="en-US"/>
              </w:rPr>
              <w:t>;</w:t>
            </w:r>
            <w:r w:rsidRPr="00093086">
              <w:t xml:space="preserve"> </w:t>
            </w:r>
            <w:proofErr w:type="spellStart"/>
            <w:r w:rsidRPr="00093086">
              <w:rPr>
                <w:bCs/>
                <w:lang w:eastAsia="en-US"/>
              </w:rPr>
              <w:t>Patier</w:t>
            </w:r>
            <w:proofErr w:type="spellEnd"/>
            <w:r w:rsidRPr="00093086">
              <w:rPr>
                <w:bCs/>
                <w:lang w:eastAsia="en-US"/>
              </w:rPr>
              <w:t xml:space="preserve"> and Browne (2010)</w:t>
            </w:r>
            <w:r w:rsidRPr="00093086">
              <w:rPr>
                <w:bCs/>
              </w:rPr>
              <w:t xml:space="preserve">; </w:t>
            </w:r>
            <w:r>
              <w:rPr>
                <w:bCs/>
                <w:noProof/>
              </w:rPr>
              <w:t>Gonzalez-Feliu et al. (2014b)</w:t>
            </w:r>
            <w:r w:rsidRPr="00093086">
              <w:rPr>
                <w:bCs/>
              </w:rPr>
              <w:t xml:space="preserve">; </w:t>
            </w:r>
            <w:proofErr w:type="spellStart"/>
            <w:r w:rsidRPr="00093086">
              <w:rPr>
                <w:bCs/>
                <w:lang w:eastAsia="en-US"/>
              </w:rPr>
              <w:t>Gogas</w:t>
            </w:r>
            <w:proofErr w:type="spellEnd"/>
            <w:r w:rsidRPr="00093086">
              <w:rPr>
                <w:bCs/>
                <w:lang w:eastAsia="en-US"/>
              </w:rPr>
              <w:t xml:space="preserve"> and </w:t>
            </w:r>
            <w:proofErr w:type="spellStart"/>
            <w:r w:rsidRPr="00093086">
              <w:rPr>
                <w:bCs/>
                <w:lang w:eastAsia="en-US"/>
              </w:rPr>
              <w:t>Nathanail</w:t>
            </w:r>
            <w:proofErr w:type="spellEnd"/>
            <w:r w:rsidRPr="00093086">
              <w:rPr>
                <w:bCs/>
                <w:lang w:eastAsia="en-US"/>
              </w:rPr>
              <w:t xml:space="preserve"> (2017)</w:t>
            </w:r>
          </w:p>
        </w:tc>
      </w:tr>
      <w:tr w:rsidR="00BB2459" w:rsidRPr="005D0BCB" w14:paraId="68A55FD3" w14:textId="77777777" w:rsidTr="00622AC7">
        <w:trPr>
          <w:trHeight w:val="71"/>
        </w:trPr>
        <w:tc>
          <w:tcPr>
            <w:tcW w:w="2547" w:type="dxa"/>
            <w:noWrap/>
            <w:vAlign w:val="center"/>
          </w:tcPr>
          <w:p w14:paraId="6F753A8F" w14:textId="77777777" w:rsidR="00BB2459" w:rsidRPr="00093086" w:rsidRDefault="00BB2459" w:rsidP="00622AC7">
            <w:r w:rsidRPr="00093086">
              <w:t xml:space="preserve">Service </w:t>
            </w:r>
            <w:r>
              <w:t>l</w:t>
            </w:r>
            <w:r w:rsidRPr="00093086">
              <w:t>evel</w:t>
            </w:r>
          </w:p>
        </w:tc>
        <w:tc>
          <w:tcPr>
            <w:tcW w:w="6520" w:type="dxa"/>
            <w:vAlign w:val="center"/>
          </w:tcPr>
          <w:p w14:paraId="7F5485FE" w14:textId="77777777" w:rsidR="00BB2459" w:rsidRPr="00093086" w:rsidRDefault="00BB2459" w:rsidP="00622AC7">
            <w:pPr>
              <w:rPr>
                <w:bCs/>
                <w:lang w:val="fr-FR"/>
              </w:rPr>
            </w:pPr>
            <w:r w:rsidRPr="00093086">
              <w:rPr>
                <w:bCs/>
                <w:lang w:val="fr-FR"/>
              </w:rPr>
              <w:t>Browne et al. (2007</w:t>
            </w:r>
            <w:proofErr w:type="gramStart"/>
            <w:r w:rsidRPr="00093086">
              <w:rPr>
                <w:bCs/>
                <w:lang w:val="fr-FR"/>
              </w:rPr>
              <w:t>)</w:t>
            </w:r>
            <w:r w:rsidRPr="00093086">
              <w:rPr>
                <w:bCs/>
                <w:lang w:val="fr-FR" w:eastAsia="en-US"/>
              </w:rPr>
              <w:t>;</w:t>
            </w:r>
            <w:proofErr w:type="gramEnd"/>
            <w:r w:rsidRPr="00093086">
              <w:rPr>
                <w:bCs/>
                <w:lang w:val="fr-FR" w:eastAsia="en-US"/>
              </w:rPr>
              <w:t xml:space="preserve"> </w:t>
            </w:r>
            <w:proofErr w:type="spellStart"/>
            <w:r w:rsidRPr="00093086">
              <w:rPr>
                <w:bCs/>
                <w:lang w:eastAsia="en-US"/>
              </w:rPr>
              <w:t>Patier</w:t>
            </w:r>
            <w:proofErr w:type="spellEnd"/>
            <w:r w:rsidRPr="00093086">
              <w:rPr>
                <w:bCs/>
                <w:lang w:eastAsia="en-US"/>
              </w:rPr>
              <w:t xml:space="preserve"> and Browne (2010)</w:t>
            </w:r>
            <w:r w:rsidRPr="00093086">
              <w:rPr>
                <w:bCs/>
              </w:rPr>
              <w:t xml:space="preserve">; </w:t>
            </w:r>
            <w:r>
              <w:rPr>
                <w:bCs/>
                <w:noProof/>
              </w:rPr>
              <w:t>Gonzalez-Feliu et al. (2014b)</w:t>
            </w:r>
            <w:r w:rsidRPr="00093086">
              <w:rPr>
                <w:bCs/>
              </w:rPr>
              <w:t xml:space="preserve">; </w:t>
            </w:r>
            <w:proofErr w:type="spellStart"/>
            <w:r w:rsidRPr="00093086">
              <w:rPr>
                <w:bCs/>
                <w:lang w:eastAsia="en-US"/>
              </w:rPr>
              <w:t>Gogas</w:t>
            </w:r>
            <w:proofErr w:type="spellEnd"/>
            <w:r w:rsidRPr="00093086">
              <w:rPr>
                <w:bCs/>
                <w:lang w:eastAsia="en-US"/>
              </w:rPr>
              <w:t xml:space="preserve"> and </w:t>
            </w:r>
            <w:proofErr w:type="spellStart"/>
            <w:r w:rsidRPr="00093086">
              <w:rPr>
                <w:bCs/>
                <w:lang w:eastAsia="en-US"/>
              </w:rPr>
              <w:t>Nathanail</w:t>
            </w:r>
            <w:proofErr w:type="spellEnd"/>
            <w:r w:rsidRPr="00093086">
              <w:rPr>
                <w:bCs/>
                <w:lang w:eastAsia="en-US"/>
              </w:rPr>
              <w:t xml:space="preserve"> (2017)</w:t>
            </w:r>
          </w:p>
        </w:tc>
      </w:tr>
      <w:tr w:rsidR="00BB2459" w:rsidRPr="005D0BCB" w14:paraId="4AD4F86A" w14:textId="77777777" w:rsidTr="00622AC7">
        <w:trPr>
          <w:trHeight w:val="58"/>
        </w:trPr>
        <w:tc>
          <w:tcPr>
            <w:tcW w:w="2547" w:type="dxa"/>
            <w:noWrap/>
            <w:vAlign w:val="center"/>
          </w:tcPr>
          <w:p w14:paraId="2B5A19EA" w14:textId="77777777" w:rsidR="00BB2459" w:rsidRPr="00093086" w:rsidRDefault="00BB2459" w:rsidP="00622AC7">
            <w:r w:rsidRPr="00093086">
              <w:lastRenderedPageBreak/>
              <w:t xml:space="preserve">Green </w:t>
            </w:r>
            <w:r>
              <w:t>v</w:t>
            </w:r>
            <w:r w:rsidRPr="00093086">
              <w:t xml:space="preserve">ehicle </w:t>
            </w:r>
            <w:r>
              <w:t>e</w:t>
            </w:r>
            <w:r w:rsidRPr="00093086">
              <w:t>quipment</w:t>
            </w:r>
          </w:p>
        </w:tc>
        <w:tc>
          <w:tcPr>
            <w:tcW w:w="6520" w:type="dxa"/>
            <w:vAlign w:val="center"/>
          </w:tcPr>
          <w:p w14:paraId="3AA0EDF1" w14:textId="77777777" w:rsidR="00BB2459" w:rsidRPr="00093086" w:rsidRDefault="00BB2459" w:rsidP="00622AC7">
            <w:pPr>
              <w:rPr>
                <w:bCs/>
              </w:rPr>
            </w:pPr>
            <w:r w:rsidRPr="00093086">
              <w:rPr>
                <w:bCs/>
              </w:rPr>
              <w:t>Browne et al. (2007)</w:t>
            </w:r>
            <w:r w:rsidRPr="00093086">
              <w:rPr>
                <w:bCs/>
                <w:lang w:eastAsia="en-US"/>
              </w:rPr>
              <w:t xml:space="preserve">; </w:t>
            </w:r>
            <w:proofErr w:type="spellStart"/>
            <w:r w:rsidRPr="00093086">
              <w:rPr>
                <w:bCs/>
                <w:lang w:eastAsia="en-US"/>
              </w:rPr>
              <w:t>Patier</w:t>
            </w:r>
            <w:proofErr w:type="spellEnd"/>
            <w:r w:rsidRPr="00093086">
              <w:rPr>
                <w:bCs/>
                <w:lang w:eastAsia="en-US"/>
              </w:rPr>
              <w:t xml:space="preserve"> and Browne (2010)</w:t>
            </w:r>
            <w:r w:rsidRPr="00093086">
              <w:rPr>
                <w:bCs/>
              </w:rPr>
              <w:t xml:space="preserve">; </w:t>
            </w:r>
            <w:r>
              <w:rPr>
                <w:bCs/>
                <w:noProof/>
              </w:rPr>
              <w:t>Gonzalez-Feliu et al. (2014b)</w:t>
            </w:r>
            <w:r w:rsidRPr="00093086">
              <w:rPr>
                <w:bCs/>
              </w:rPr>
              <w:t xml:space="preserve">; </w:t>
            </w:r>
            <w:proofErr w:type="spellStart"/>
            <w:r w:rsidRPr="00093086">
              <w:rPr>
                <w:bCs/>
                <w:lang w:eastAsia="en-US"/>
              </w:rPr>
              <w:t>Gogas</w:t>
            </w:r>
            <w:proofErr w:type="spellEnd"/>
            <w:r w:rsidRPr="00093086">
              <w:rPr>
                <w:bCs/>
                <w:lang w:eastAsia="en-US"/>
              </w:rPr>
              <w:t xml:space="preserve"> and </w:t>
            </w:r>
            <w:proofErr w:type="spellStart"/>
            <w:r w:rsidRPr="00093086">
              <w:rPr>
                <w:bCs/>
                <w:lang w:eastAsia="en-US"/>
              </w:rPr>
              <w:t>Nathanail</w:t>
            </w:r>
            <w:proofErr w:type="spellEnd"/>
            <w:r w:rsidRPr="00093086">
              <w:rPr>
                <w:bCs/>
                <w:lang w:eastAsia="en-US"/>
              </w:rPr>
              <w:t xml:space="preserve"> (2017)</w:t>
            </w:r>
          </w:p>
        </w:tc>
      </w:tr>
      <w:tr w:rsidR="00BB2459" w:rsidRPr="005D0BCB" w14:paraId="542C6CAB" w14:textId="77777777" w:rsidTr="00622AC7">
        <w:trPr>
          <w:trHeight w:val="163"/>
        </w:trPr>
        <w:tc>
          <w:tcPr>
            <w:tcW w:w="2547" w:type="dxa"/>
            <w:noWrap/>
            <w:vAlign w:val="center"/>
          </w:tcPr>
          <w:p w14:paraId="674AC762" w14:textId="77777777" w:rsidR="00BB2459" w:rsidRPr="00093086" w:rsidRDefault="00BB2459" w:rsidP="00622AC7">
            <w:r w:rsidRPr="00093086">
              <w:t xml:space="preserve">Rational </w:t>
            </w:r>
            <w:r>
              <w:t>v</w:t>
            </w:r>
            <w:r w:rsidRPr="00093086">
              <w:t xml:space="preserve">ehicle </w:t>
            </w:r>
            <w:r>
              <w:t>u</w:t>
            </w:r>
            <w:r w:rsidRPr="00093086">
              <w:t>tilisation</w:t>
            </w:r>
          </w:p>
        </w:tc>
        <w:tc>
          <w:tcPr>
            <w:tcW w:w="6520" w:type="dxa"/>
            <w:vAlign w:val="center"/>
          </w:tcPr>
          <w:p w14:paraId="3ACFE261" w14:textId="77777777" w:rsidR="00BB2459" w:rsidRPr="00093086" w:rsidRDefault="00BB2459" w:rsidP="00622AC7">
            <w:pPr>
              <w:rPr>
                <w:bCs/>
              </w:rPr>
            </w:pPr>
            <w:r w:rsidRPr="00093086">
              <w:rPr>
                <w:bCs/>
              </w:rPr>
              <w:t>Browne et al. (2007)</w:t>
            </w:r>
            <w:r w:rsidRPr="00093086">
              <w:rPr>
                <w:bCs/>
                <w:lang w:eastAsia="en-US"/>
              </w:rPr>
              <w:t xml:space="preserve">; </w:t>
            </w:r>
            <w:proofErr w:type="spellStart"/>
            <w:r w:rsidRPr="00093086">
              <w:rPr>
                <w:bCs/>
                <w:lang w:eastAsia="en-US"/>
              </w:rPr>
              <w:t>Patier</w:t>
            </w:r>
            <w:proofErr w:type="spellEnd"/>
            <w:r w:rsidRPr="00093086">
              <w:rPr>
                <w:bCs/>
                <w:lang w:eastAsia="en-US"/>
              </w:rPr>
              <w:t xml:space="preserve"> and Browne (2010)</w:t>
            </w:r>
            <w:r w:rsidRPr="00093086">
              <w:rPr>
                <w:bCs/>
              </w:rPr>
              <w:t xml:space="preserve">; </w:t>
            </w:r>
            <w:r>
              <w:rPr>
                <w:bCs/>
                <w:noProof/>
              </w:rPr>
              <w:t>Gonzalez-Feliu et al. (2014b)</w:t>
            </w:r>
            <w:r w:rsidRPr="00093086">
              <w:rPr>
                <w:bCs/>
              </w:rPr>
              <w:t>;</w:t>
            </w:r>
          </w:p>
        </w:tc>
      </w:tr>
      <w:tr w:rsidR="00BB2459" w:rsidRPr="005D0BCB" w14:paraId="71F6B095" w14:textId="77777777" w:rsidTr="00622AC7">
        <w:trPr>
          <w:trHeight w:val="67"/>
        </w:trPr>
        <w:tc>
          <w:tcPr>
            <w:tcW w:w="2547" w:type="dxa"/>
            <w:noWrap/>
            <w:vAlign w:val="center"/>
          </w:tcPr>
          <w:p w14:paraId="4751B642" w14:textId="77777777" w:rsidR="00BB2459" w:rsidRPr="00093086" w:rsidRDefault="00BB2459" w:rsidP="00622AC7">
            <w:r w:rsidRPr="00093086">
              <w:t xml:space="preserve">Emission </w:t>
            </w:r>
            <w:r>
              <w:t>g</w:t>
            </w:r>
            <w:r w:rsidRPr="00093086">
              <w:t>eneration</w:t>
            </w:r>
          </w:p>
        </w:tc>
        <w:tc>
          <w:tcPr>
            <w:tcW w:w="6520" w:type="dxa"/>
            <w:vAlign w:val="center"/>
          </w:tcPr>
          <w:p w14:paraId="24C9EF86" w14:textId="77777777" w:rsidR="00BB2459" w:rsidRPr="00093086" w:rsidRDefault="00BB2459" w:rsidP="00622AC7">
            <w:pPr>
              <w:rPr>
                <w:bCs/>
              </w:rPr>
            </w:pPr>
            <w:r w:rsidRPr="00093086">
              <w:rPr>
                <w:bCs/>
              </w:rPr>
              <w:t>Browne et al. (2007)</w:t>
            </w:r>
            <w:r w:rsidRPr="00093086">
              <w:rPr>
                <w:bCs/>
                <w:lang w:eastAsia="en-US"/>
              </w:rPr>
              <w:t xml:space="preserve">; </w:t>
            </w:r>
            <w:proofErr w:type="spellStart"/>
            <w:r w:rsidRPr="00093086">
              <w:rPr>
                <w:bCs/>
                <w:lang w:eastAsia="en-US"/>
              </w:rPr>
              <w:t>Patier</w:t>
            </w:r>
            <w:proofErr w:type="spellEnd"/>
            <w:r w:rsidRPr="00093086">
              <w:rPr>
                <w:bCs/>
                <w:lang w:eastAsia="en-US"/>
              </w:rPr>
              <w:t xml:space="preserve"> and Browne (2010)</w:t>
            </w:r>
            <w:r w:rsidRPr="00093086">
              <w:rPr>
                <w:bCs/>
              </w:rPr>
              <w:t xml:space="preserve">; </w:t>
            </w:r>
            <w:r>
              <w:rPr>
                <w:bCs/>
                <w:noProof/>
              </w:rPr>
              <w:t>Gonzalez-Feliu et al. (2014b)</w:t>
            </w:r>
            <w:r w:rsidRPr="00093086">
              <w:rPr>
                <w:bCs/>
              </w:rPr>
              <w:t xml:space="preserve">; </w:t>
            </w:r>
            <w:proofErr w:type="spellStart"/>
            <w:r w:rsidRPr="00093086">
              <w:rPr>
                <w:bCs/>
                <w:lang w:eastAsia="en-US"/>
              </w:rPr>
              <w:t>Gogas</w:t>
            </w:r>
            <w:proofErr w:type="spellEnd"/>
            <w:r w:rsidRPr="00093086">
              <w:rPr>
                <w:bCs/>
                <w:lang w:eastAsia="en-US"/>
              </w:rPr>
              <w:t xml:space="preserve"> and </w:t>
            </w:r>
            <w:proofErr w:type="spellStart"/>
            <w:r w:rsidRPr="00093086">
              <w:rPr>
                <w:bCs/>
                <w:lang w:eastAsia="en-US"/>
              </w:rPr>
              <w:t>Nathanail</w:t>
            </w:r>
            <w:proofErr w:type="spellEnd"/>
            <w:r w:rsidRPr="00093086">
              <w:rPr>
                <w:bCs/>
                <w:lang w:eastAsia="en-US"/>
              </w:rPr>
              <w:t xml:space="preserve"> (2017)</w:t>
            </w:r>
          </w:p>
        </w:tc>
      </w:tr>
      <w:tr w:rsidR="00BB2459" w:rsidRPr="005D0BCB" w14:paraId="2A6F1D60" w14:textId="77777777" w:rsidTr="00622AC7">
        <w:trPr>
          <w:trHeight w:val="113"/>
        </w:trPr>
        <w:tc>
          <w:tcPr>
            <w:tcW w:w="2547" w:type="dxa"/>
            <w:noWrap/>
            <w:vAlign w:val="center"/>
          </w:tcPr>
          <w:p w14:paraId="1FE13A38" w14:textId="77777777" w:rsidR="00BB2459" w:rsidRPr="00093086" w:rsidRDefault="00BB2459" w:rsidP="00622AC7">
            <w:r w:rsidRPr="00093086">
              <w:t xml:space="preserve">Delivery </w:t>
            </w:r>
            <w:r>
              <w:t>t</w:t>
            </w:r>
            <w:r w:rsidRPr="00093086">
              <w:t>rips</w:t>
            </w:r>
          </w:p>
        </w:tc>
        <w:tc>
          <w:tcPr>
            <w:tcW w:w="6520" w:type="dxa"/>
            <w:vAlign w:val="center"/>
          </w:tcPr>
          <w:p w14:paraId="1E833403" w14:textId="77777777" w:rsidR="00BB2459" w:rsidRPr="00093086" w:rsidRDefault="00BB2459" w:rsidP="00622AC7">
            <w:pPr>
              <w:rPr>
                <w:bCs/>
              </w:rPr>
            </w:pPr>
            <w:r w:rsidRPr="00093086">
              <w:rPr>
                <w:bCs/>
              </w:rPr>
              <w:t>Browne et al. (2007)</w:t>
            </w:r>
            <w:r w:rsidRPr="00093086">
              <w:rPr>
                <w:bCs/>
                <w:lang w:eastAsia="en-US"/>
              </w:rPr>
              <w:t xml:space="preserve">; </w:t>
            </w:r>
            <w:proofErr w:type="spellStart"/>
            <w:r w:rsidRPr="00093086">
              <w:rPr>
                <w:bCs/>
                <w:lang w:eastAsia="en-US"/>
              </w:rPr>
              <w:t>Patier</w:t>
            </w:r>
            <w:proofErr w:type="spellEnd"/>
            <w:r w:rsidRPr="00093086">
              <w:rPr>
                <w:bCs/>
                <w:lang w:eastAsia="en-US"/>
              </w:rPr>
              <w:t xml:space="preserve"> and Browne (2010)</w:t>
            </w:r>
            <w:r w:rsidRPr="00093086">
              <w:rPr>
                <w:bCs/>
              </w:rPr>
              <w:t xml:space="preserve">; </w:t>
            </w:r>
            <w:r>
              <w:rPr>
                <w:bCs/>
                <w:noProof/>
              </w:rPr>
              <w:t>Gonzalez-Feliu et al. (2014b)</w:t>
            </w:r>
            <w:r w:rsidRPr="00093086">
              <w:rPr>
                <w:bCs/>
              </w:rPr>
              <w:t xml:space="preserve">; </w:t>
            </w:r>
            <w:proofErr w:type="spellStart"/>
            <w:r w:rsidRPr="00093086">
              <w:rPr>
                <w:bCs/>
                <w:lang w:eastAsia="en-US"/>
              </w:rPr>
              <w:t>Gogas</w:t>
            </w:r>
            <w:proofErr w:type="spellEnd"/>
            <w:r w:rsidRPr="00093086">
              <w:rPr>
                <w:bCs/>
                <w:lang w:eastAsia="en-US"/>
              </w:rPr>
              <w:t xml:space="preserve"> and </w:t>
            </w:r>
            <w:proofErr w:type="spellStart"/>
            <w:r w:rsidRPr="00093086">
              <w:rPr>
                <w:bCs/>
                <w:lang w:eastAsia="en-US"/>
              </w:rPr>
              <w:t>Nathanail</w:t>
            </w:r>
            <w:proofErr w:type="spellEnd"/>
            <w:r w:rsidRPr="00093086">
              <w:rPr>
                <w:bCs/>
                <w:lang w:eastAsia="en-US"/>
              </w:rPr>
              <w:t xml:space="preserve"> (2017)</w:t>
            </w:r>
          </w:p>
        </w:tc>
      </w:tr>
      <w:tr w:rsidR="00BB2459" w:rsidRPr="005D0BCB" w14:paraId="27EF5B54" w14:textId="77777777" w:rsidTr="00622AC7">
        <w:trPr>
          <w:trHeight w:val="283"/>
        </w:trPr>
        <w:tc>
          <w:tcPr>
            <w:tcW w:w="2547" w:type="dxa"/>
            <w:noWrap/>
            <w:vAlign w:val="center"/>
          </w:tcPr>
          <w:p w14:paraId="03C6ADE4" w14:textId="77777777" w:rsidR="00BB2459" w:rsidRPr="00093086" w:rsidRDefault="00BB2459" w:rsidP="00622AC7">
            <w:r w:rsidRPr="00093086">
              <w:t xml:space="preserve">Public </w:t>
            </w:r>
            <w:r>
              <w:t>s</w:t>
            </w:r>
            <w:r w:rsidRPr="00093086">
              <w:t>upport</w:t>
            </w:r>
          </w:p>
        </w:tc>
        <w:tc>
          <w:tcPr>
            <w:tcW w:w="6520" w:type="dxa"/>
            <w:vAlign w:val="center"/>
          </w:tcPr>
          <w:p w14:paraId="7809B846" w14:textId="77777777" w:rsidR="00BB2459" w:rsidRPr="00093086" w:rsidRDefault="00BB2459" w:rsidP="00622AC7">
            <w:pPr>
              <w:rPr>
                <w:bCs/>
              </w:rPr>
            </w:pPr>
            <w:proofErr w:type="spellStart"/>
            <w:r w:rsidRPr="00093086">
              <w:rPr>
                <w:bCs/>
                <w:lang w:eastAsia="en-US"/>
              </w:rPr>
              <w:t>Patier</w:t>
            </w:r>
            <w:proofErr w:type="spellEnd"/>
            <w:r w:rsidRPr="00093086">
              <w:rPr>
                <w:bCs/>
                <w:lang w:eastAsia="en-US"/>
              </w:rPr>
              <w:t xml:space="preserve"> and Browne (2010)</w:t>
            </w:r>
            <w:r w:rsidRPr="00093086">
              <w:rPr>
                <w:bCs/>
              </w:rPr>
              <w:t xml:space="preserve">; </w:t>
            </w:r>
            <w:proofErr w:type="spellStart"/>
            <w:r w:rsidRPr="00093086">
              <w:rPr>
                <w:bCs/>
                <w:lang w:eastAsia="en-US"/>
              </w:rPr>
              <w:t>Gogas</w:t>
            </w:r>
            <w:proofErr w:type="spellEnd"/>
            <w:r w:rsidRPr="00093086">
              <w:rPr>
                <w:bCs/>
                <w:lang w:eastAsia="en-US"/>
              </w:rPr>
              <w:t xml:space="preserve"> and </w:t>
            </w:r>
            <w:proofErr w:type="spellStart"/>
            <w:r w:rsidRPr="00093086">
              <w:rPr>
                <w:bCs/>
                <w:lang w:eastAsia="en-US"/>
              </w:rPr>
              <w:t>Nathanail</w:t>
            </w:r>
            <w:proofErr w:type="spellEnd"/>
            <w:r w:rsidRPr="00093086">
              <w:rPr>
                <w:bCs/>
                <w:lang w:eastAsia="en-US"/>
              </w:rPr>
              <w:t xml:space="preserve"> (2017)</w:t>
            </w:r>
          </w:p>
        </w:tc>
      </w:tr>
      <w:tr w:rsidR="00BB2459" w:rsidRPr="005D0BCB" w14:paraId="2E34B111" w14:textId="77777777" w:rsidTr="00622AC7">
        <w:trPr>
          <w:trHeight w:val="222"/>
        </w:trPr>
        <w:tc>
          <w:tcPr>
            <w:tcW w:w="2547" w:type="dxa"/>
            <w:noWrap/>
            <w:vAlign w:val="center"/>
          </w:tcPr>
          <w:p w14:paraId="248F6FC6" w14:textId="77777777" w:rsidR="00BB2459" w:rsidRPr="00093086" w:rsidRDefault="00BB2459" w:rsidP="00622AC7">
            <w:r w:rsidRPr="00093086">
              <w:t>Workers’ salary</w:t>
            </w:r>
          </w:p>
        </w:tc>
        <w:tc>
          <w:tcPr>
            <w:tcW w:w="6520" w:type="dxa"/>
            <w:vAlign w:val="center"/>
          </w:tcPr>
          <w:p w14:paraId="2DBFB2A2" w14:textId="77777777" w:rsidR="00BB2459" w:rsidRPr="00093086" w:rsidRDefault="00BB2459" w:rsidP="00622AC7">
            <w:pPr>
              <w:rPr>
                <w:bCs/>
              </w:rPr>
            </w:pPr>
            <w:proofErr w:type="spellStart"/>
            <w:r w:rsidRPr="00093086">
              <w:rPr>
                <w:bCs/>
                <w:lang w:eastAsia="en-US"/>
              </w:rPr>
              <w:t>Patier</w:t>
            </w:r>
            <w:proofErr w:type="spellEnd"/>
            <w:r w:rsidRPr="00093086">
              <w:rPr>
                <w:bCs/>
                <w:lang w:eastAsia="en-US"/>
              </w:rPr>
              <w:t xml:space="preserve"> and Browne (2010)</w:t>
            </w:r>
          </w:p>
        </w:tc>
      </w:tr>
      <w:tr w:rsidR="00BB2459" w:rsidRPr="005D0BCB" w14:paraId="6F7F53B5" w14:textId="77777777" w:rsidTr="00622AC7">
        <w:trPr>
          <w:trHeight w:val="95"/>
        </w:trPr>
        <w:tc>
          <w:tcPr>
            <w:tcW w:w="2547" w:type="dxa"/>
            <w:noWrap/>
            <w:vAlign w:val="center"/>
          </w:tcPr>
          <w:p w14:paraId="3679A634" w14:textId="77777777" w:rsidR="00BB2459" w:rsidRPr="00093086" w:rsidRDefault="00BB2459" w:rsidP="00622AC7">
            <w:r w:rsidRPr="00093086">
              <w:t xml:space="preserve">Fair </w:t>
            </w:r>
            <w:r>
              <w:t>l</w:t>
            </w:r>
            <w:r w:rsidRPr="00093086">
              <w:t>abour</w:t>
            </w:r>
          </w:p>
        </w:tc>
        <w:tc>
          <w:tcPr>
            <w:tcW w:w="6520" w:type="dxa"/>
            <w:vAlign w:val="center"/>
          </w:tcPr>
          <w:p w14:paraId="73E9E83D" w14:textId="77777777" w:rsidR="00BB2459" w:rsidRPr="00093086" w:rsidRDefault="00BB2459" w:rsidP="00622AC7">
            <w:pPr>
              <w:rPr>
                <w:bCs/>
              </w:rPr>
            </w:pPr>
            <w:proofErr w:type="spellStart"/>
            <w:r w:rsidRPr="00093086">
              <w:rPr>
                <w:bCs/>
                <w:lang w:eastAsia="en-US"/>
              </w:rPr>
              <w:t>Patier</w:t>
            </w:r>
            <w:proofErr w:type="spellEnd"/>
            <w:r w:rsidRPr="00093086">
              <w:rPr>
                <w:bCs/>
                <w:lang w:eastAsia="en-US"/>
              </w:rPr>
              <w:t xml:space="preserve"> and Browne (2010)</w:t>
            </w:r>
            <w:r>
              <w:rPr>
                <w:bCs/>
                <w:lang w:eastAsia="en-US"/>
              </w:rPr>
              <w:t>;</w:t>
            </w:r>
            <w:r w:rsidRPr="00093086">
              <w:rPr>
                <w:bCs/>
              </w:rPr>
              <w:t xml:space="preserve"> </w:t>
            </w:r>
            <w:r>
              <w:rPr>
                <w:bCs/>
                <w:noProof/>
              </w:rPr>
              <w:t>Gonzalez-Feliu et al. (2014b)</w:t>
            </w:r>
          </w:p>
        </w:tc>
      </w:tr>
      <w:tr w:rsidR="00BB2459" w:rsidRPr="005D0BCB" w14:paraId="5C76A25C" w14:textId="77777777" w:rsidTr="00622AC7">
        <w:trPr>
          <w:trHeight w:val="58"/>
        </w:trPr>
        <w:tc>
          <w:tcPr>
            <w:tcW w:w="2547" w:type="dxa"/>
            <w:noWrap/>
            <w:vAlign w:val="center"/>
          </w:tcPr>
          <w:p w14:paraId="02BB4829" w14:textId="77777777" w:rsidR="00BB2459" w:rsidRPr="00093086" w:rsidRDefault="00BB2459" w:rsidP="00622AC7">
            <w:r w:rsidRPr="00093086">
              <w:t xml:space="preserve">Traffic </w:t>
            </w:r>
            <w:r>
              <w:t>v</w:t>
            </w:r>
            <w:r w:rsidRPr="00093086">
              <w:t xml:space="preserve">olume </w:t>
            </w:r>
            <w:r>
              <w:t>g</w:t>
            </w:r>
            <w:r w:rsidRPr="00093086">
              <w:t>eneration</w:t>
            </w:r>
          </w:p>
        </w:tc>
        <w:tc>
          <w:tcPr>
            <w:tcW w:w="6520" w:type="dxa"/>
            <w:vAlign w:val="center"/>
          </w:tcPr>
          <w:p w14:paraId="65CBF4AE" w14:textId="77777777" w:rsidR="00BB2459" w:rsidRPr="00093086" w:rsidRDefault="00BB2459" w:rsidP="00622AC7">
            <w:pPr>
              <w:rPr>
                <w:bCs/>
              </w:rPr>
            </w:pPr>
            <w:r w:rsidRPr="00093086">
              <w:rPr>
                <w:bCs/>
              </w:rPr>
              <w:t>Browne et al. (2007)</w:t>
            </w:r>
            <w:r w:rsidRPr="00093086">
              <w:rPr>
                <w:bCs/>
                <w:lang w:eastAsia="en-US"/>
              </w:rPr>
              <w:t xml:space="preserve">; </w:t>
            </w:r>
            <w:proofErr w:type="spellStart"/>
            <w:r w:rsidRPr="00093086">
              <w:rPr>
                <w:bCs/>
                <w:lang w:eastAsia="en-US"/>
              </w:rPr>
              <w:t>Patier</w:t>
            </w:r>
            <w:proofErr w:type="spellEnd"/>
            <w:r w:rsidRPr="00093086">
              <w:rPr>
                <w:bCs/>
                <w:lang w:eastAsia="en-US"/>
              </w:rPr>
              <w:t xml:space="preserve"> and Browne (2010)</w:t>
            </w:r>
            <w:r>
              <w:rPr>
                <w:bCs/>
                <w:lang w:eastAsia="en-US"/>
              </w:rPr>
              <w:t>;</w:t>
            </w:r>
            <w:r w:rsidRPr="00093086">
              <w:rPr>
                <w:bCs/>
              </w:rPr>
              <w:t xml:space="preserve"> </w:t>
            </w:r>
            <w:r>
              <w:rPr>
                <w:bCs/>
                <w:noProof/>
              </w:rPr>
              <w:t>Gonzalez-Feliu et al. (2014b)</w:t>
            </w:r>
          </w:p>
        </w:tc>
      </w:tr>
      <w:tr w:rsidR="00BB2459" w:rsidRPr="005D0BCB" w14:paraId="27D49421" w14:textId="77777777" w:rsidTr="00622AC7">
        <w:trPr>
          <w:trHeight w:val="70"/>
        </w:trPr>
        <w:tc>
          <w:tcPr>
            <w:tcW w:w="2547" w:type="dxa"/>
            <w:noWrap/>
            <w:vAlign w:val="center"/>
          </w:tcPr>
          <w:p w14:paraId="4E3F8A86" w14:textId="77777777" w:rsidR="00BB2459" w:rsidRPr="00093086" w:rsidRDefault="00BB2459" w:rsidP="00622AC7">
            <w:r w:rsidRPr="00093086">
              <w:t xml:space="preserve">Congestion </w:t>
            </w:r>
            <w:r>
              <w:t>g</w:t>
            </w:r>
            <w:r w:rsidRPr="00093086">
              <w:t>eneration</w:t>
            </w:r>
          </w:p>
        </w:tc>
        <w:tc>
          <w:tcPr>
            <w:tcW w:w="6520" w:type="dxa"/>
            <w:vAlign w:val="center"/>
          </w:tcPr>
          <w:p w14:paraId="76B20E1E" w14:textId="77777777" w:rsidR="00BB2459" w:rsidRPr="00093086" w:rsidRDefault="00BB2459" w:rsidP="00622AC7">
            <w:pPr>
              <w:rPr>
                <w:bCs/>
              </w:rPr>
            </w:pPr>
            <w:r w:rsidRPr="00093086">
              <w:rPr>
                <w:bCs/>
              </w:rPr>
              <w:t>Browne et al. (2007)</w:t>
            </w:r>
            <w:r w:rsidRPr="00093086">
              <w:rPr>
                <w:bCs/>
                <w:lang w:eastAsia="en-US"/>
              </w:rPr>
              <w:t xml:space="preserve">; </w:t>
            </w:r>
            <w:proofErr w:type="spellStart"/>
            <w:r w:rsidRPr="00093086">
              <w:rPr>
                <w:bCs/>
                <w:lang w:eastAsia="en-US"/>
              </w:rPr>
              <w:t>Patier</w:t>
            </w:r>
            <w:proofErr w:type="spellEnd"/>
            <w:r w:rsidRPr="00093086">
              <w:rPr>
                <w:bCs/>
                <w:lang w:eastAsia="en-US"/>
              </w:rPr>
              <w:t xml:space="preserve"> and Browne (2010)</w:t>
            </w:r>
          </w:p>
        </w:tc>
      </w:tr>
    </w:tbl>
    <w:p w14:paraId="214379F3" w14:textId="30E61E02" w:rsidR="00BB2459" w:rsidRDefault="007B5959" w:rsidP="00622AC7">
      <w:pPr>
        <w:pStyle w:val="Caption"/>
      </w:pPr>
      <w:bookmarkStart w:id="886" w:name="_Ref45022034"/>
      <w:bookmarkStart w:id="887" w:name="_Toc46053579"/>
      <w:bookmarkStart w:id="888" w:name="_Toc46093828"/>
      <w:bookmarkStart w:id="889" w:name="_Toc66698794"/>
      <w:r>
        <w:t>Table</w:t>
      </w:r>
      <w:r w:rsidR="00622AC7">
        <w:t xml:space="preserve"> </w:t>
      </w:r>
      <w:r w:rsidR="000306D9">
        <w:fldChar w:fldCharType="begin"/>
      </w:r>
      <w:r w:rsidR="000306D9">
        <w:instrText xml:space="preserve"> STYLEREF 1 \s </w:instrText>
      </w:r>
      <w:r w:rsidR="000306D9">
        <w:fldChar w:fldCharType="separate"/>
      </w:r>
      <w:r w:rsidR="0005064B">
        <w:rPr>
          <w:noProof/>
        </w:rPr>
        <w:t>6</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1</w:t>
      </w:r>
      <w:r w:rsidR="000306D9">
        <w:rPr>
          <w:noProof/>
        </w:rPr>
        <w:fldChar w:fldCharType="end"/>
      </w:r>
      <w:bookmarkEnd w:id="886"/>
      <w:r w:rsidR="00FB0694">
        <w:t>:</w:t>
      </w:r>
      <w:r w:rsidR="00622AC7">
        <w:t xml:space="preserve"> </w:t>
      </w:r>
      <w:r w:rsidR="00622AC7" w:rsidRPr="00D11F39">
        <w:rPr>
          <w:rFonts w:eastAsia="Times New Roman"/>
          <w:bCs/>
          <w:kern w:val="2"/>
          <w:szCs w:val="22"/>
          <w:lang w:val="en-US"/>
        </w:rPr>
        <w:t>The Selected Criteria</w:t>
      </w:r>
      <w:bookmarkEnd w:id="887"/>
      <w:bookmarkEnd w:id="888"/>
      <w:bookmarkEnd w:id="889"/>
    </w:p>
    <w:p w14:paraId="34AA2F74" w14:textId="3A3633FE" w:rsidR="00BB2459" w:rsidRPr="00261EF9" w:rsidRDefault="00BB2459" w:rsidP="00BA0B57">
      <w:pPr>
        <w:pStyle w:val="Heading2"/>
        <w:spacing w:after="120"/>
      </w:pPr>
      <w:bookmarkStart w:id="890" w:name="_Toc46053475"/>
      <w:bookmarkStart w:id="891" w:name="_Toc46093389"/>
      <w:bookmarkStart w:id="892" w:name="_Toc46093672"/>
      <w:bookmarkStart w:id="893" w:name="_Toc66703248"/>
      <w:r w:rsidRPr="00261EF9">
        <w:t>Methodology</w:t>
      </w:r>
      <w:bookmarkEnd w:id="890"/>
      <w:bookmarkEnd w:id="891"/>
      <w:bookmarkEnd w:id="892"/>
      <w:bookmarkEnd w:id="893"/>
    </w:p>
    <w:p w14:paraId="7FEB3640" w14:textId="233D554F" w:rsidR="00BB2459" w:rsidRPr="005A6B66" w:rsidRDefault="00145550" w:rsidP="00EC2BE5">
      <w:pPr>
        <w:spacing w:after="240" w:line="360" w:lineRule="auto"/>
      </w:pPr>
      <w:r w:rsidRPr="005A6B66">
        <w:rPr>
          <w:rFonts w:hint="eastAsia"/>
        </w:rPr>
        <w:t xml:space="preserve">This research </w:t>
      </w:r>
      <w:r>
        <w:t>employs</w:t>
      </w:r>
      <w:r w:rsidRPr="005A6B66">
        <w:rPr>
          <w:rFonts w:hint="eastAsia"/>
        </w:rPr>
        <w:t xml:space="preserve"> </w:t>
      </w:r>
      <w:r>
        <w:t>a multiple-</w:t>
      </w:r>
      <w:r w:rsidRPr="005A6B66">
        <w:rPr>
          <w:rFonts w:hint="eastAsia"/>
        </w:rPr>
        <w:t>case study</w:t>
      </w:r>
      <w:r>
        <w:t xml:space="preserve"> method</w:t>
      </w:r>
      <w:r w:rsidRPr="005A6B66">
        <w:rPr>
          <w:rFonts w:hint="eastAsia"/>
        </w:rPr>
        <w:t xml:space="preserve">, </w:t>
      </w:r>
      <w:r w:rsidRPr="00415C0E">
        <w:t xml:space="preserve">combining the </w:t>
      </w:r>
      <w:r w:rsidRPr="005A6B66">
        <w:rPr>
          <w:rFonts w:hint="eastAsia"/>
        </w:rPr>
        <w:t xml:space="preserve">qualitative and quantitative </w:t>
      </w:r>
      <w:r w:rsidRPr="00415C0E">
        <w:t>data collection methods of archival searches, interviews, questionnaires, and observation</w:t>
      </w:r>
      <w:r>
        <w:t xml:space="preserve"> </w:t>
      </w:r>
      <w:r w:rsidR="00111BBE">
        <w:fldChar w:fldCharType="begin"/>
      </w:r>
      <w:r w:rsidR="00647E79">
        <w:instrText xml:space="preserve"> ADDIN EN.CITE &lt;EndNote&gt;&lt;Cite&gt;&lt;Author&gt;Eisenhardt&lt;/Author&gt;&lt;Year&gt;1989&lt;/Year&gt;&lt;RecNum&gt;286&lt;/RecNum&gt;&lt;DisplayText&gt;(Eisenhardt, 1989)&lt;/DisplayText&gt;&lt;record&gt;&lt;rec-number&gt;286&lt;/rec-number&gt;&lt;foreign-keys&gt;&lt;key app="EN" db-id="pzt5ep52hsedfpeext2pdfes0w0aswaewef2" timestamp="1605187999"&gt;286&lt;/key&gt;&lt;/foreign-keys&gt;&lt;ref-type name="Journal Article"&gt;17&lt;/ref-type&gt;&lt;contributors&gt;&lt;authors&gt;&lt;author&gt;Eisenhardt, Kathleen M.&lt;/author&gt;&lt;/authors&gt;&lt;/contributors&gt;&lt;titles&gt;&lt;title&gt;Building Theories from Case Study Research&lt;/title&gt;&lt;secondary-title&gt;Academy of Management Review&lt;/secondary-title&gt;&lt;/titles&gt;&lt;periodical&gt;&lt;full-title&gt;Academy of management review&lt;/full-title&gt;&lt;/periodical&gt;&lt;pages&gt;532-550&lt;/pages&gt;&lt;volume&gt;14&lt;/volume&gt;&lt;number&gt;4&lt;/number&gt;&lt;dates&gt;&lt;year&gt;1989&lt;/year&gt;&lt;pub-dates&gt;&lt;date&gt;1989/10/01&lt;/date&gt;&lt;/pub-dates&gt;&lt;/dates&gt;&lt;publisher&gt;Academy of Management&lt;/publisher&gt;&lt;isbn&gt;0363-7425&lt;/isbn&gt;&lt;urls&gt;&lt;related-urls&gt;&lt;url&gt;https://doi.org/10.5465/amr.1989.4308385&lt;/url&gt;&lt;/related-urls&gt;&lt;/urls&gt;&lt;electronic-resource-num&gt;10.5465/amr.1989.4308385&lt;/electronic-resource-num&gt;&lt;access-date&gt;2020/07/10&lt;/access-date&gt;&lt;/record&gt;&lt;/Cite&gt;&lt;/EndNote&gt;</w:instrText>
      </w:r>
      <w:r w:rsidR="00111BBE">
        <w:fldChar w:fldCharType="separate"/>
      </w:r>
      <w:r w:rsidR="00111BBE">
        <w:rPr>
          <w:noProof/>
        </w:rPr>
        <w:t>(Eisenhardt, 1989)</w:t>
      </w:r>
      <w:r w:rsidR="00111BBE">
        <w:fldChar w:fldCharType="end"/>
      </w:r>
      <w:r w:rsidRPr="005A6B66">
        <w:rPr>
          <w:rFonts w:hint="eastAsia"/>
        </w:rPr>
        <w:t>.</w:t>
      </w:r>
      <w:r w:rsidRPr="005A6B66">
        <w:t xml:space="preserve"> Face</w:t>
      </w:r>
      <w:r>
        <w:t>-</w:t>
      </w:r>
      <w:r w:rsidRPr="005A6B66">
        <w:t>to</w:t>
      </w:r>
      <w:r>
        <w:t>-</w:t>
      </w:r>
      <w:r w:rsidRPr="005A6B66">
        <w:t xml:space="preserve">face interviews with three kinds of primary UCC stakeholder were </w:t>
      </w:r>
      <w:r>
        <w:t xml:space="preserve">conducted for </w:t>
      </w:r>
      <w:r w:rsidRPr="005A6B66">
        <w:t>the four UCC case studies. A mixed</w:t>
      </w:r>
      <w:r>
        <w:t>-</w:t>
      </w:r>
      <w:r w:rsidRPr="005A6B66">
        <w:t xml:space="preserve">method approach </w:t>
      </w:r>
      <w:r>
        <w:t xml:space="preserve">was employed for the analysis of the </w:t>
      </w:r>
      <w:r w:rsidRPr="00436CB0">
        <w:t>quantitative</w:t>
      </w:r>
      <w:r w:rsidRPr="005A6B66">
        <w:t xml:space="preserve"> and qualitative data </w:t>
      </w:r>
      <w:r>
        <w:t xml:space="preserve">gathered </w:t>
      </w:r>
      <w:r w:rsidRPr="005A6B66">
        <w:t xml:space="preserve">from </w:t>
      </w:r>
      <w:r>
        <w:t xml:space="preserve">the </w:t>
      </w:r>
      <w:r w:rsidRPr="00436CB0">
        <w:t>interviews</w:t>
      </w:r>
      <w:r w:rsidRPr="005A6B66">
        <w:t xml:space="preserve">. In </w:t>
      </w:r>
      <w:r>
        <w:t xml:space="preserve">the </w:t>
      </w:r>
      <w:r w:rsidRPr="005A6B66">
        <w:t xml:space="preserve">quantitative process, AHP </w:t>
      </w:r>
      <w:r>
        <w:t xml:space="preserve">was </w:t>
      </w:r>
      <w:r w:rsidRPr="005A6B66">
        <w:t>adopted to quantify the stakeholders’ preference</w:t>
      </w:r>
      <w:r>
        <w:t>s</w:t>
      </w:r>
      <w:r w:rsidRPr="005A6B66">
        <w:t xml:space="preserve"> </w:t>
      </w:r>
      <w:r>
        <w:t xml:space="preserve">by </w:t>
      </w:r>
      <w:r w:rsidRPr="005A6B66">
        <w:t xml:space="preserve">ranking </w:t>
      </w:r>
      <w:r>
        <w:t xml:space="preserve">them </w:t>
      </w:r>
      <w:r w:rsidRPr="005A6B66">
        <w:t xml:space="preserve">on different indicators. </w:t>
      </w:r>
      <w:r>
        <w:t xml:space="preserve">The </w:t>
      </w:r>
      <w:r w:rsidRPr="005A6B66">
        <w:t>divergenc</w:t>
      </w:r>
      <w:r>
        <w:t>e</w:t>
      </w:r>
      <w:r w:rsidRPr="005A6B66">
        <w:t xml:space="preserve"> of </w:t>
      </w:r>
      <w:r>
        <w:t xml:space="preserve">these </w:t>
      </w:r>
      <w:r w:rsidRPr="005A6B66">
        <w:t>ranking</w:t>
      </w:r>
      <w:r>
        <w:t>s</w:t>
      </w:r>
      <w:r w:rsidRPr="005A6B66">
        <w:t xml:space="preserve"> </w:t>
      </w:r>
      <w:r>
        <w:t xml:space="preserve">was then </w:t>
      </w:r>
      <w:r w:rsidRPr="005A6B66">
        <w:t xml:space="preserve">tested </w:t>
      </w:r>
      <w:r>
        <w:t xml:space="preserve">using </w:t>
      </w:r>
      <w:r w:rsidRPr="005A6B66">
        <w:t xml:space="preserve">correlation analysis. </w:t>
      </w:r>
      <w:r>
        <w:t xml:space="preserve">For the </w:t>
      </w:r>
      <w:r w:rsidRPr="005A6B66">
        <w:t xml:space="preserve">qualitative </w:t>
      </w:r>
      <w:r>
        <w:t>work</w:t>
      </w:r>
      <w:r w:rsidRPr="005A6B66">
        <w:t xml:space="preserve">, </w:t>
      </w:r>
      <w:r>
        <w:t xml:space="preserve">a </w:t>
      </w:r>
      <w:r w:rsidRPr="005A6B66">
        <w:t xml:space="preserve">thematic analysis </w:t>
      </w:r>
      <w:r>
        <w:t xml:space="preserve">of the data was conducted </w:t>
      </w:r>
      <w:r w:rsidRPr="005A6B66">
        <w:t xml:space="preserve">to shed light on </w:t>
      </w:r>
      <w:r>
        <w:t xml:space="preserve">the </w:t>
      </w:r>
      <w:r w:rsidRPr="005A6B66">
        <w:t xml:space="preserve">tensions </w:t>
      </w:r>
      <w:r>
        <w:t xml:space="preserve">between </w:t>
      </w:r>
      <w:r w:rsidRPr="005A6B66">
        <w:t xml:space="preserve">stakeholders </w:t>
      </w:r>
      <w:r w:rsidRPr="00436CB0">
        <w:t xml:space="preserve">and </w:t>
      </w:r>
      <w:r>
        <w:t xml:space="preserve">to </w:t>
      </w:r>
      <w:r w:rsidRPr="00436CB0">
        <w:t xml:space="preserve">identify the causes </w:t>
      </w:r>
      <w:r>
        <w:t xml:space="preserve">of </w:t>
      </w:r>
      <w:r w:rsidRPr="00436CB0">
        <w:t xml:space="preserve">the </w:t>
      </w:r>
      <w:r w:rsidRPr="005A6B66">
        <w:t xml:space="preserve">disagreement. </w:t>
      </w:r>
      <w:r w:rsidR="00532578">
        <w:fldChar w:fldCharType="begin"/>
      </w:r>
      <w:r w:rsidR="00532578">
        <w:instrText xml:space="preserve"> REF _Ref45022058 \h </w:instrText>
      </w:r>
      <w:r w:rsidR="00532578">
        <w:fldChar w:fldCharType="separate"/>
      </w:r>
      <w:r w:rsidR="0005064B">
        <w:t xml:space="preserve">Figure </w:t>
      </w:r>
      <w:r w:rsidR="0005064B">
        <w:rPr>
          <w:noProof/>
        </w:rPr>
        <w:t>6</w:t>
      </w:r>
      <w:r w:rsidR="0005064B">
        <w:noBreakHyphen/>
      </w:r>
      <w:r w:rsidR="0005064B">
        <w:rPr>
          <w:noProof/>
        </w:rPr>
        <w:t>1</w:t>
      </w:r>
      <w:r w:rsidR="00532578">
        <w:fldChar w:fldCharType="end"/>
      </w:r>
      <w:r w:rsidR="00532578">
        <w:t xml:space="preserve"> </w:t>
      </w:r>
      <w:r w:rsidR="00BB2459" w:rsidRPr="005A6B66">
        <w:t xml:space="preserve">displays the research approach of this </w:t>
      </w:r>
      <w:r w:rsidR="00BB2459">
        <w:t>study</w:t>
      </w:r>
      <w:r w:rsidR="00BB2459" w:rsidRPr="00436CB0">
        <w:t xml:space="preserve">. </w:t>
      </w:r>
    </w:p>
    <w:p w14:paraId="7D8D2F88" w14:textId="77777777" w:rsidR="00BB2459" w:rsidRDefault="00BB2459" w:rsidP="00BB2459">
      <w:r>
        <w:rPr>
          <w:noProof/>
        </w:rPr>
        <w:object w:dxaOrig="11056" w:dyaOrig="3075" w14:anchorId="6558AEFD">
          <v:shape id="_x0000_i1040" type="#_x0000_t75" style="width:453.85pt;height:122.4pt" o:ole="">
            <v:imagedata r:id="rId133" o:title=""/>
          </v:shape>
          <o:OLEObject Type="Embed" ProgID="Visio.Drawing.15" ShapeID="_x0000_i1040" DrawAspect="Content" ObjectID="_1681648047" r:id="rId134"/>
        </w:object>
      </w:r>
      <w:r w:rsidDel="008458C9">
        <w:t xml:space="preserve"> </w:t>
      </w:r>
    </w:p>
    <w:p w14:paraId="2C655F08" w14:textId="2492153C" w:rsidR="00BB2459" w:rsidRPr="005C3B0E" w:rsidRDefault="00622AC7" w:rsidP="00622AC7">
      <w:pPr>
        <w:pStyle w:val="Caption"/>
        <w:rPr>
          <w:lang w:val="en-US"/>
        </w:rPr>
      </w:pPr>
      <w:bookmarkStart w:id="894" w:name="_Ref45022058"/>
      <w:bookmarkStart w:id="895" w:name="_Toc46053697"/>
      <w:bookmarkStart w:id="896" w:name="_Toc66698728"/>
      <w:r>
        <w:t xml:space="preserve">Figure </w:t>
      </w:r>
      <w:r w:rsidR="000306D9">
        <w:fldChar w:fldCharType="begin"/>
      </w:r>
      <w:r w:rsidR="000306D9">
        <w:instrText xml:space="preserve"> STYLEREF 1 \s </w:instrText>
      </w:r>
      <w:r w:rsidR="000306D9">
        <w:fldChar w:fldCharType="separate"/>
      </w:r>
      <w:r w:rsidR="0005064B">
        <w:rPr>
          <w:noProof/>
        </w:rPr>
        <w:t>6</w:t>
      </w:r>
      <w:r w:rsidR="000306D9">
        <w:rPr>
          <w:noProof/>
        </w:rPr>
        <w:fldChar w:fldCharType="end"/>
      </w:r>
      <w:r w:rsidR="00632993">
        <w:noBreakHyphen/>
      </w:r>
      <w:r w:rsidR="000306D9">
        <w:fldChar w:fldCharType="begin"/>
      </w:r>
      <w:r w:rsidR="000306D9">
        <w:instrText xml:space="preserve"> SEQ Figure \* ARABIC \s 1 </w:instrText>
      </w:r>
      <w:r w:rsidR="000306D9">
        <w:fldChar w:fldCharType="separate"/>
      </w:r>
      <w:r w:rsidR="0005064B">
        <w:rPr>
          <w:noProof/>
        </w:rPr>
        <w:t>1</w:t>
      </w:r>
      <w:r w:rsidR="000306D9">
        <w:rPr>
          <w:noProof/>
        </w:rPr>
        <w:fldChar w:fldCharType="end"/>
      </w:r>
      <w:bookmarkEnd w:id="894"/>
      <w:r w:rsidR="002547EF">
        <w:t>:</w:t>
      </w:r>
      <w:r w:rsidR="00913D9C">
        <w:t xml:space="preserve"> </w:t>
      </w:r>
      <w:r w:rsidR="00BB2459">
        <w:t>Research approach</w:t>
      </w:r>
      <w:bookmarkEnd w:id="895"/>
      <w:bookmarkEnd w:id="896"/>
    </w:p>
    <w:p w14:paraId="47FB7BAA" w14:textId="1492B3B9" w:rsidR="00BB2459" w:rsidRDefault="00BB2459" w:rsidP="00BB2459">
      <w:pPr>
        <w:pStyle w:val="Heading3"/>
        <w:rPr>
          <w:rFonts w:eastAsia="等线 Light"/>
        </w:rPr>
      </w:pPr>
      <w:r w:rsidRPr="002C60C1">
        <w:rPr>
          <w:rFonts w:eastAsia="等线 Light"/>
        </w:rPr>
        <w:lastRenderedPageBreak/>
        <w:t xml:space="preserve"> </w:t>
      </w:r>
      <w:bookmarkStart w:id="897" w:name="_Toc46053476"/>
      <w:bookmarkStart w:id="898" w:name="_Toc46093390"/>
      <w:bookmarkStart w:id="899" w:name="_Toc46093673"/>
      <w:bookmarkStart w:id="900" w:name="_Toc66703249"/>
      <w:r>
        <w:rPr>
          <w:rFonts w:eastAsia="等线 Light"/>
        </w:rPr>
        <w:t>Multiple c</w:t>
      </w:r>
      <w:r w:rsidRPr="002C60C1">
        <w:rPr>
          <w:rFonts w:eastAsia="等线 Light"/>
        </w:rPr>
        <w:t xml:space="preserve">ase </w:t>
      </w:r>
      <w:r>
        <w:rPr>
          <w:rFonts w:eastAsia="等线 Light"/>
        </w:rPr>
        <w:t>s</w:t>
      </w:r>
      <w:r w:rsidRPr="002C60C1">
        <w:rPr>
          <w:rFonts w:eastAsia="等线 Light"/>
        </w:rPr>
        <w:t>tudy</w:t>
      </w:r>
      <w:r>
        <w:rPr>
          <w:rFonts w:eastAsia="等线 Light"/>
        </w:rPr>
        <w:t xml:space="preserve"> method</w:t>
      </w:r>
      <w:bookmarkEnd w:id="897"/>
      <w:bookmarkEnd w:id="898"/>
      <w:bookmarkEnd w:id="899"/>
      <w:bookmarkEnd w:id="900"/>
    </w:p>
    <w:p w14:paraId="0E8F0081" w14:textId="071B68C9" w:rsidR="006667FC" w:rsidRPr="00050D7E" w:rsidRDefault="006667FC" w:rsidP="006667FC">
      <w:pPr>
        <w:spacing w:after="240" w:line="360" w:lineRule="auto"/>
      </w:pPr>
      <w:r w:rsidRPr="00050D7E">
        <w:t xml:space="preserve">The aim of this multiple case study is theoretical replication </w:t>
      </w:r>
      <w:r w:rsidR="00111BBE">
        <w:rPr>
          <w:noProof/>
        </w:rPr>
        <w:fldChar w:fldCharType="begin"/>
      </w:r>
      <w:r w:rsidR="00647E79">
        <w:rPr>
          <w:noProof/>
        </w:rPr>
        <w:instrText xml:space="preserve"> ADDIN EN.CITE &lt;EndNote&gt;&lt;Cite&gt;&lt;Author&gt;Yin&lt;/Author&gt;&lt;Year&gt;2018&lt;/Year&gt;&lt;RecNum&gt;283&lt;/RecNum&gt;&lt;DisplayText&gt;(Yin, 2018)&lt;/DisplayText&gt;&lt;record&gt;&lt;rec-number&gt;283&lt;/rec-number&gt;&lt;foreign-keys&gt;&lt;key app="EN" db-id="pzt5ep52hsedfpeext2pdfes0w0aswaewef2" timestamp="1605187999"&gt;283&lt;/key&gt;&lt;/foreign-keys&gt;&lt;ref-type name="Book"&gt;6&lt;/ref-type&gt;&lt;contributors&gt;&lt;authors&gt;&lt;author&gt;Yin, Robert K&lt;/author&gt;&lt;/authors&gt;&lt;/contributors&gt;&lt;titles&gt;&lt;title&gt;&lt;style face="normal" font="default" size="100%"&gt;Case Study Research and Applications: Design and Metho</w:instrText>
      </w:r>
      <w:r w:rsidR="00647E79">
        <w:rPr>
          <w:rFonts w:hint="eastAsia"/>
          <w:noProof/>
        </w:rPr>
        <w:instrText>ds &lt;/style&gt;&lt;style face="normal" font="default" charset="134" size="100%"&gt;</w:instrText>
      </w:r>
      <w:r w:rsidR="00647E79">
        <w:rPr>
          <w:rFonts w:hint="eastAsia"/>
          <w:noProof/>
        </w:rPr>
        <w:instrText>（</w:instrText>
      </w:r>
      <w:r w:rsidR="00647E79">
        <w:rPr>
          <w:rFonts w:hint="eastAsia"/>
          <w:noProof/>
        </w:rPr>
        <w:instrText>&lt;/style&gt;&lt;style face="normal" font="default" size="100%"&gt;Sixth Edition)&lt;/style&gt;&lt;/title&gt;&lt;/titles&gt;&lt;dates&gt;&lt;year&gt;2018&lt;/year&gt;&lt;/dates&gt;&lt;publisher&gt;Sage publications&lt;/publisher&gt;&lt;isbn&gt;15063361</w:instrText>
      </w:r>
      <w:r w:rsidR="00647E79">
        <w:rPr>
          <w:noProof/>
        </w:rPr>
        <w:instrText>59&lt;/isbn&gt;&lt;urls&gt;&lt;/urls&gt;&lt;/record&gt;&lt;/Cite&gt;&lt;/EndNote&gt;</w:instrText>
      </w:r>
      <w:r w:rsidR="00111BBE">
        <w:rPr>
          <w:noProof/>
        </w:rPr>
        <w:fldChar w:fldCharType="separate"/>
      </w:r>
      <w:r w:rsidR="00111BBE">
        <w:rPr>
          <w:noProof/>
        </w:rPr>
        <w:t>(Yin, 2018)</w:t>
      </w:r>
      <w:r w:rsidR="00111BBE">
        <w:rPr>
          <w:noProof/>
        </w:rPr>
        <w:fldChar w:fldCharType="end"/>
      </w:r>
      <w:r w:rsidRPr="00050D7E">
        <w:t xml:space="preserve">, with the comparative analysis about different contextual factors (various logistics market conditions, UCC service sizes, business types and organisational structure) of cases thus revealing different insights of stakeholders’ preferences and their conflicts. The case selection for this </w:t>
      </w:r>
      <w:r w:rsidR="00C24F65">
        <w:t>research</w:t>
      </w:r>
      <w:r w:rsidRPr="00050D7E">
        <w:t xml:space="preserve"> covers all the UCC types classified by </w:t>
      </w:r>
      <w:r w:rsidRPr="00050D7E">
        <w:rPr>
          <w:noProof/>
        </w:rPr>
        <w:t>Allen et al. (2012)</w:t>
      </w:r>
      <w:r w:rsidRPr="00050D7E">
        <w:t>; namely, the following: (</w:t>
      </w:r>
      <w:proofErr w:type="spellStart"/>
      <w:r w:rsidRPr="00050D7E">
        <w:t>i</w:t>
      </w:r>
      <w:proofErr w:type="spellEnd"/>
      <w:r w:rsidRPr="00050D7E">
        <w:t>) a special project UCC service for a single site (Case 1 and Case 2); (ii) UCC services for dedicated industries (Case 2 and Case 3); and (iii) UCC services for an entire city (Case 3 and Case 4)</w:t>
      </w:r>
      <w:r w:rsidRPr="00050D7E">
        <w:rPr>
          <w:rFonts w:hint="eastAsia"/>
        </w:rPr>
        <w:t>.</w:t>
      </w:r>
      <w:r w:rsidRPr="00050D7E">
        <w:t xml:space="preserve"> This comparative analysis is therefore well placed to reveal differences between stakeholder conflicts emerging between different types of UCC. In addition, </w:t>
      </w:r>
      <w:r w:rsidRPr="00050D7E">
        <w:rPr>
          <w:noProof/>
        </w:rPr>
        <w:t>Yin (2018)</w:t>
      </w:r>
      <w:r w:rsidRPr="00050D7E">
        <w:rPr>
          <w:lang w:val="en-US"/>
        </w:rPr>
        <w:t xml:space="preserve"> proposes that 4-6 examples in a multiple case study </w:t>
      </w:r>
      <w:r w:rsidRPr="00050D7E">
        <w:t xml:space="preserve">are adequate for the pursuit of </w:t>
      </w:r>
      <w:r w:rsidRPr="00050D7E">
        <w:rPr>
          <w:iCs/>
        </w:rPr>
        <w:t>two different patterns of theoretical replications</w:t>
      </w:r>
      <w:r w:rsidRPr="00050D7E">
        <w:rPr>
          <w:rFonts w:hint="eastAsia"/>
        </w:rPr>
        <w:t>.</w:t>
      </w:r>
      <w:r w:rsidRPr="00050D7E">
        <w:t xml:space="preserve"> The selected examples in the current paper have multivariate attributes that can be placed into two groups: Swedish UCCs initiated by LAs, with environmental and social objectives, serving medium-sized cities, and dealing with small or medium volumes of goods; and Chinese UCCs, supported by private investment for a commercial purpose, serving a </w:t>
      </w:r>
      <w:proofErr w:type="gramStart"/>
      <w:r w:rsidRPr="00050D7E">
        <w:t>metropolitan-level cities</w:t>
      </w:r>
      <w:proofErr w:type="gramEnd"/>
      <w:r w:rsidRPr="00050D7E">
        <w:t xml:space="preserve">, and processing large volumes of goods. </w:t>
      </w:r>
    </w:p>
    <w:p w14:paraId="40ED4BFD" w14:textId="6515392B" w:rsidR="00BB2459" w:rsidRPr="00622AC7" w:rsidRDefault="006667FC" w:rsidP="006667FC">
      <w:pPr>
        <w:spacing w:after="240" w:line="360" w:lineRule="auto"/>
      </w:pPr>
      <w:r w:rsidRPr="00050D7E">
        <w:t xml:space="preserve">Most UCCs investigated by scholars are in the EU or the UK and they are intended to mitigate environmental and social issues. Therefore, this investigation of these Chinese UCCs may disclose novel findings on stakeholder tensions in commercialised UCCs. Furthermore, for both Swedish and Chinese case groups, there </w:t>
      </w:r>
      <w:r w:rsidRPr="00050D7E">
        <w:rPr>
          <w:rFonts w:hint="eastAsia"/>
        </w:rPr>
        <w:t>is</w:t>
      </w:r>
      <w:r w:rsidRPr="00050D7E">
        <w:t xml:space="preserve"> a UCC (Case 1 and Case 4) in which the research institution is participating. As the impact of researchers to other UCC stakeholders are seldom investigated in previous studies, this research could generate new knowledge about the relationships between researchers and other participants in the UCC.</w:t>
      </w:r>
      <w:r w:rsidR="00BB2459">
        <w:fldChar w:fldCharType="begin"/>
      </w:r>
      <w:r w:rsidR="00BB2459">
        <w:instrText xml:space="preserve"> REF _Ref38905877 \h  \* MERGEFORMAT </w:instrText>
      </w:r>
      <w:r w:rsidR="00BB2459">
        <w:fldChar w:fldCharType="separate"/>
      </w:r>
      <w:r w:rsidR="0005064B" w:rsidRPr="00622AC7">
        <w:t xml:space="preserve"> </w:t>
      </w:r>
      <w:r w:rsidR="0005064B">
        <w:t xml:space="preserve">Table </w:t>
      </w:r>
      <w:r w:rsidR="0005064B">
        <w:rPr>
          <w:noProof/>
        </w:rPr>
        <w:t>6</w:t>
      </w:r>
      <w:r w:rsidR="0005064B">
        <w:rPr>
          <w:noProof/>
        </w:rPr>
        <w:noBreakHyphen/>
        <w:t>2</w:t>
      </w:r>
      <w:r w:rsidR="00BB2459">
        <w:fldChar w:fldCharType="end"/>
      </w:r>
      <w:r w:rsidR="00BB2459">
        <w:t xml:space="preserve"> reports information about the considered UCCs.</w:t>
      </w:r>
    </w:p>
    <w:tbl>
      <w:tblPr>
        <w:tblStyle w:val="TableGrid"/>
        <w:tblW w:w="5000" w:type="pct"/>
        <w:jc w:val="center"/>
        <w:tblLayout w:type="fixed"/>
        <w:tblLook w:val="04A0" w:firstRow="1" w:lastRow="0" w:firstColumn="1" w:lastColumn="0" w:noHBand="0" w:noVBand="1"/>
      </w:tblPr>
      <w:tblGrid>
        <w:gridCol w:w="805"/>
        <w:gridCol w:w="1710"/>
        <w:gridCol w:w="2790"/>
        <w:gridCol w:w="1529"/>
        <w:gridCol w:w="2182"/>
      </w:tblGrid>
      <w:tr w:rsidR="00BB2459" w:rsidRPr="00E61E2C" w14:paraId="2AA7DD87" w14:textId="77777777" w:rsidTr="00622AC7">
        <w:trPr>
          <w:jc w:val="center"/>
        </w:trPr>
        <w:tc>
          <w:tcPr>
            <w:tcW w:w="446" w:type="pct"/>
            <w:vAlign w:val="center"/>
          </w:tcPr>
          <w:p w14:paraId="6A890BBD" w14:textId="77777777" w:rsidR="00BB2459" w:rsidRPr="00E61E2C" w:rsidRDefault="00BB2459" w:rsidP="00532578">
            <w:pPr>
              <w:spacing w:line="240" w:lineRule="auto"/>
              <w:jc w:val="center"/>
              <w:rPr>
                <w:b/>
                <w:bCs/>
              </w:rPr>
            </w:pPr>
            <w:r>
              <w:rPr>
                <w:b/>
                <w:bCs/>
              </w:rPr>
              <w:t>C</w:t>
            </w:r>
            <w:r w:rsidRPr="00E61E2C">
              <w:rPr>
                <w:b/>
                <w:bCs/>
              </w:rPr>
              <w:t>ase</w:t>
            </w:r>
          </w:p>
        </w:tc>
        <w:tc>
          <w:tcPr>
            <w:tcW w:w="948" w:type="pct"/>
            <w:vAlign w:val="center"/>
          </w:tcPr>
          <w:p w14:paraId="269441E8" w14:textId="77777777" w:rsidR="00BB2459" w:rsidRPr="00E61E2C" w:rsidRDefault="00BB2459" w:rsidP="00532578">
            <w:pPr>
              <w:spacing w:line="240" w:lineRule="auto"/>
              <w:jc w:val="center"/>
              <w:rPr>
                <w:b/>
                <w:bCs/>
              </w:rPr>
            </w:pPr>
            <w:r w:rsidRPr="00E61E2C">
              <w:rPr>
                <w:b/>
                <w:bCs/>
              </w:rPr>
              <w:t xml:space="preserve">Size    </w:t>
            </w:r>
            <w:r w:rsidRPr="00E61E2C">
              <w:rPr>
                <w:b/>
                <w:bCs/>
              </w:rPr>
              <w:br/>
              <w:t xml:space="preserve">of </w:t>
            </w:r>
            <w:r>
              <w:rPr>
                <w:b/>
                <w:bCs/>
              </w:rPr>
              <w:t>s</w:t>
            </w:r>
            <w:r w:rsidRPr="00E61E2C">
              <w:rPr>
                <w:b/>
                <w:bCs/>
              </w:rPr>
              <w:t xml:space="preserve">ervice </w:t>
            </w:r>
            <w:r>
              <w:rPr>
                <w:b/>
                <w:bCs/>
              </w:rPr>
              <w:t>a</w:t>
            </w:r>
            <w:r w:rsidRPr="00E61E2C">
              <w:rPr>
                <w:b/>
                <w:bCs/>
              </w:rPr>
              <w:t>rea</w:t>
            </w:r>
          </w:p>
        </w:tc>
        <w:tc>
          <w:tcPr>
            <w:tcW w:w="1547" w:type="pct"/>
            <w:vAlign w:val="center"/>
          </w:tcPr>
          <w:p w14:paraId="20B11881" w14:textId="77777777" w:rsidR="00BB2459" w:rsidRPr="00E61E2C" w:rsidRDefault="00BB2459" w:rsidP="00532578">
            <w:pPr>
              <w:spacing w:line="240" w:lineRule="auto"/>
              <w:jc w:val="center"/>
              <w:rPr>
                <w:b/>
                <w:bCs/>
              </w:rPr>
            </w:pPr>
            <w:r w:rsidRPr="00E61E2C">
              <w:rPr>
                <w:b/>
                <w:bCs/>
              </w:rPr>
              <w:t xml:space="preserve">Types </w:t>
            </w:r>
            <w:r w:rsidRPr="00E61E2C">
              <w:rPr>
                <w:b/>
                <w:bCs/>
              </w:rPr>
              <w:br/>
              <w:t xml:space="preserve">of </w:t>
            </w:r>
            <w:r>
              <w:rPr>
                <w:b/>
                <w:bCs/>
              </w:rPr>
              <w:t>b</w:t>
            </w:r>
            <w:r w:rsidRPr="00E61E2C">
              <w:rPr>
                <w:b/>
                <w:bCs/>
              </w:rPr>
              <w:t>usiness</w:t>
            </w:r>
          </w:p>
        </w:tc>
        <w:tc>
          <w:tcPr>
            <w:tcW w:w="848" w:type="pct"/>
            <w:vAlign w:val="center"/>
          </w:tcPr>
          <w:p w14:paraId="4505E1AF" w14:textId="77777777" w:rsidR="00BB2459" w:rsidRPr="00E61E2C" w:rsidRDefault="00BB2459" w:rsidP="00532578">
            <w:pPr>
              <w:spacing w:line="240" w:lineRule="auto"/>
              <w:jc w:val="center"/>
              <w:rPr>
                <w:b/>
                <w:bCs/>
              </w:rPr>
            </w:pPr>
            <w:r w:rsidRPr="00E61E2C">
              <w:rPr>
                <w:b/>
                <w:bCs/>
              </w:rPr>
              <w:t>Ownership</w:t>
            </w:r>
          </w:p>
        </w:tc>
        <w:tc>
          <w:tcPr>
            <w:tcW w:w="1210" w:type="pct"/>
            <w:vAlign w:val="center"/>
          </w:tcPr>
          <w:p w14:paraId="0DAFC1BB" w14:textId="77777777" w:rsidR="00BB2459" w:rsidRPr="00E61E2C" w:rsidRDefault="00BB2459" w:rsidP="00532578">
            <w:pPr>
              <w:spacing w:line="240" w:lineRule="auto"/>
              <w:jc w:val="center"/>
              <w:rPr>
                <w:b/>
                <w:bCs/>
              </w:rPr>
            </w:pPr>
            <w:r w:rsidRPr="00E61E2C">
              <w:rPr>
                <w:b/>
                <w:bCs/>
              </w:rPr>
              <w:t>Objective</w:t>
            </w:r>
          </w:p>
        </w:tc>
      </w:tr>
      <w:tr w:rsidR="00BB2459" w:rsidRPr="00E61E2C" w14:paraId="71AC972C" w14:textId="77777777" w:rsidTr="00622AC7">
        <w:trPr>
          <w:jc w:val="center"/>
        </w:trPr>
        <w:tc>
          <w:tcPr>
            <w:tcW w:w="446" w:type="pct"/>
            <w:vAlign w:val="center"/>
          </w:tcPr>
          <w:p w14:paraId="04EA5F89" w14:textId="77777777" w:rsidR="00BB2459" w:rsidRPr="00E61E2C" w:rsidRDefault="00BB2459" w:rsidP="00532578">
            <w:pPr>
              <w:spacing w:line="240" w:lineRule="auto"/>
            </w:pPr>
            <w:r w:rsidRPr="00E61E2C">
              <w:t>Case 1</w:t>
            </w:r>
          </w:p>
        </w:tc>
        <w:tc>
          <w:tcPr>
            <w:tcW w:w="948" w:type="pct"/>
            <w:vAlign w:val="center"/>
          </w:tcPr>
          <w:p w14:paraId="2E5FB5EE" w14:textId="77777777" w:rsidR="00BB2459" w:rsidRPr="00E61E2C" w:rsidRDefault="00BB2459" w:rsidP="00532578">
            <w:pPr>
              <w:spacing w:line="240" w:lineRule="auto"/>
              <w:jc w:val="center"/>
            </w:pPr>
            <w:r w:rsidRPr="00E61E2C">
              <w:t>1</w:t>
            </w:r>
            <w:r>
              <w:t xml:space="preserve"> km</w:t>
            </w:r>
            <w:r w:rsidRPr="00E61E2C">
              <w:rPr>
                <w:vertAlign w:val="superscript"/>
              </w:rPr>
              <w:t>2</w:t>
            </w:r>
          </w:p>
        </w:tc>
        <w:tc>
          <w:tcPr>
            <w:tcW w:w="1547" w:type="pct"/>
            <w:vAlign w:val="center"/>
          </w:tcPr>
          <w:p w14:paraId="28D336EA" w14:textId="77777777" w:rsidR="00BB2459" w:rsidRPr="00E61E2C" w:rsidRDefault="00BB2459" w:rsidP="00532578">
            <w:pPr>
              <w:spacing w:line="240" w:lineRule="auto"/>
            </w:pPr>
            <w:r w:rsidRPr="00E61E2C">
              <w:t>Parcel delivery</w:t>
            </w:r>
            <w:r>
              <w:t>; w</w:t>
            </w:r>
            <w:r w:rsidRPr="00E61E2C">
              <w:t>aste collection</w:t>
            </w:r>
          </w:p>
        </w:tc>
        <w:tc>
          <w:tcPr>
            <w:tcW w:w="848" w:type="pct"/>
            <w:vAlign w:val="center"/>
          </w:tcPr>
          <w:p w14:paraId="49EE857A" w14:textId="77777777" w:rsidR="00BB2459" w:rsidRPr="00E61E2C" w:rsidRDefault="00BB2459" w:rsidP="00532578">
            <w:pPr>
              <w:spacing w:line="240" w:lineRule="auto"/>
            </w:pPr>
            <w:r w:rsidRPr="00E61E2C">
              <w:t xml:space="preserve">Joint </w:t>
            </w:r>
            <w:r>
              <w:t>v</w:t>
            </w:r>
            <w:r w:rsidRPr="00E61E2C">
              <w:t>enture</w:t>
            </w:r>
          </w:p>
        </w:tc>
        <w:tc>
          <w:tcPr>
            <w:tcW w:w="1210" w:type="pct"/>
            <w:vAlign w:val="center"/>
          </w:tcPr>
          <w:p w14:paraId="5E836452" w14:textId="77777777" w:rsidR="00BB2459" w:rsidRPr="00E61E2C" w:rsidRDefault="00BB2459" w:rsidP="00532578">
            <w:pPr>
              <w:spacing w:line="240" w:lineRule="auto"/>
            </w:pPr>
            <w:r w:rsidRPr="00E61E2C">
              <w:t>Environmental and social purpose</w:t>
            </w:r>
          </w:p>
        </w:tc>
      </w:tr>
      <w:tr w:rsidR="00BB2459" w:rsidRPr="00E61E2C" w14:paraId="49435F5D" w14:textId="77777777" w:rsidTr="00622AC7">
        <w:trPr>
          <w:jc w:val="center"/>
        </w:trPr>
        <w:tc>
          <w:tcPr>
            <w:tcW w:w="446" w:type="pct"/>
            <w:vAlign w:val="center"/>
          </w:tcPr>
          <w:p w14:paraId="053056B8" w14:textId="77777777" w:rsidR="00BB2459" w:rsidRPr="00E61E2C" w:rsidRDefault="00BB2459" w:rsidP="00532578">
            <w:pPr>
              <w:spacing w:line="240" w:lineRule="auto"/>
            </w:pPr>
            <w:r w:rsidRPr="00E61E2C">
              <w:t>Case 2</w:t>
            </w:r>
          </w:p>
        </w:tc>
        <w:tc>
          <w:tcPr>
            <w:tcW w:w="948" w:type="pct"/>
            <w:vAlign w:val="center"/>
          </w:tcPr>
          <w:p w14:paraId="2A7B7B54" w14:textId="77777777" w:rsidR="00BB2459" w:rsidRPr="00E61E2C" w:rsidRDefault="00BB2459" w:rsidP="00532578">
            <w:pPr>
              <w:spacing w:line="240" w:lineRule="auto"/>
              <w:jc w:val="center"/>
            </w:pPr>
            <w:r w:rsidRPr="00E61E2C">
              <w:t>5</w:t>
            </w:r>
            <w:r>
              <w:t xml:space="preserve"> km</w:t>
            </w:r>
            <w:r w:rsidRPr="00E61E2C">
              <w:rPr>
                <w:vertAlign w:val="superscript"/>
              </w:rPr>
              <w:t>2</w:t>
            </w:r>
          </w:p>
        </w:tc>
        <w:tc>
          <w:tcPr>
            <w:tcW w:w="1547" w:type="pct"/>
            <w:vAlign w:val="center"/>
          </w:tcPr>
          <w:p w14:paraId="5E371EFA" w14:textId="77777777" w:rsidR="00BB2459" w:rsidRPr="00E61E2C" w:rsidRDefault="00BB2459" w:rsidP="00532578">
            <w:pPr>
              <w:spacing w:line="240" w:lineRule="auto"/>
            </w:pPr>
            <w:r w:rsidRPr="00E61E2C">
              <w:t>Construction goods delivery</w:t>
            </w:r>
            <w:r>
              <w:t>; w</w:t>
            </w:r>
            <w:r w:rsidRPr="00E61E2C">
              <w:t>aste collection</w:t>
            </w:r>
            <w:r>
              <w:t>; r</w:t>
            </w:r>
            <w:r w:rsidRPr="00E61E2C">
              <w:t>oad maintena</w:t>
            </w:r>
            <w:r>
              <w:t>nce</w:t>
            </w:r>
          </w:p>
        </w:tc>
        <w:tc>
          <w:tcPr>
            <w:tcW w:w="848" w:type="pct"/>
            <w:vAlign w:val="center"/>
          </w:tcPr>
          <w:p w14:paraId="03AC5862" w14:textId="77777777" w:rsidR="00BB2459" w:rsidRPr="00E61E2C" w:rsidRDefault="00BB2459" w:rsidP="00532578">
            <w:pPr>
              <w:spacing w:line="240" w:lineRule="auto"/>
            </w:pPr>
            <w:r w:rsidRPr="00E61E2C">
              <w:t xml:space="preserve">Public </w:t>
            </w:r>
            <w:r>
              <w:t>o</w:t>
            </w:r>
            <w:r w:rsidRPr="00E61E2C">
              <w:t>wner</w:t>
            </w:r>
          </w:p>
        </w:tc>
        <w:tc>
          <w:tcPr>
            <w:tcW w:w="1210" w:type="pct"/>
            <w:vAlign w:val="center"/>
          </w:tcPr>
          <w:p w14:paraId="05C748E0" w14:textId="77777777" w:rsidR="00BB2459" w:rsidRPr="00E61E2C" w:rsidRDefault="00BB2459" w:rsidP="00532578">
            <w:pPr>
              <w:spacing w:line="240" w:lineRule="auto"/>
            </w:pPr>
            <w:r w:rsidRPr="00E61E2C">
              <w:t>Environmental and social purpose</w:t>
            </w:r>
          </w:p>
        </w:tc>
      </w:tr>
      <w:tr w:rsidR="00BB2459" w:rsidRPr="00E61E2C" w14:paraId="5684ADBB" w14:textId="77777777" w:rsidTr="00622AC7">
        <w:trPr>
          <w:jc w:val="center"/>
        </w:trPr>
        <w:tc>
          <w:tcPr>
            <w:tcW w:w="446" w:type="pct"/>
            <w:vAlign w:val="center"/>
          </w:tcPr>
          <w:p w14:paraId="38AE5026" w14:textId="77777777" w:rsidR="00BB2459" w:rsidRPr="00E61E2C" w:rsidRDefault="00BB2459" w:rsidP="00532578">
            <w:pPr>
              <w:spacing w:line="240" w:lineRule="auto"/>
            </w:pPr>
            <w:r>
              <w:t>Case 3</w:t>
            </w:r>
          </w:p>
        </w:tc>
        <w:tc>
          <w:tcPr>
            <w:tcW w:w="948" w:type="pct"/>
            <w:vAlign w:val="center"/>
          </w:tcPr>
          <w:p w14:paraId="124581B9" w14:textId="77777777" w:rsidR="00BB2459" w:rsidRPr="00E61E2C" w:rsidRDefault="00BB2459" w:rsidP="00532578">
            <w:pPr>
              <w:spacing w:line="240" w:lineRule="auto"/>
              <w:jc w:val="center"/>
            </w:pPr>
            <w:r w:rsidRPr="00E16F0F">
              <w:t>900</w:t>
            </w:r>
            <w:r>
              <w:t xml:space="preserve"> km</w:t>
            </w:r>
            <w:r w:rsidRPr="00E16F0F">
              <w:rPr>
                <w:vertAlign w:val="superscript"/>
              </w:rPr>
              <w:t>2</w:t>
            </w:r>
          </w:p>
        </w:tc>
        <w:tc>
          <w:tcPr>
            <w:tcW w:w="1547" w:type="pct"/>
            <w:vAlign w:val="center"/>
          </w:tcPr>
          <w:p w14:paraId="0F8E475D" w14:textId="77777777" w:rsidR="00BB2459" w:rsidRPr="00E61E2C" w:rsidRDefault="00BB2459" w:rsidP="00532578">
            <w:pPr>
              <w:spacing w:line="240" w:lineRule="auto"/>
            </w:pPr>
            <w:r w:rsidRPr="00E16F0F">
              <w:t xml:space="preserve">Pharmaceutical </w:t>
            </w:r>
            <w:r>
              <w:t>g</w:t>
            </w:r>
            <w:r w:rsidRPr="00E16F0F">
              <w:t>oods delivery</w:t>
            </w:r>
            <w:r>
              <w:t>; w</w:t>
            </w:r>
            <w:r w:rsidRPr="00E16F0F">
              <w:t>arehouse service</w:t>
            </w:r>
            <w:r>
              <w:t>; s</w:t>
            </w:r>
            <w:r w:rsidRPr="00E16F0F">
              <w:t>tock management</w:t>
            </w:r>
          </w:p>
        </w:tc>
        <w:tc>
          <w:tcPr>
            <w:tcW w:w="848" w:type="pct"/>
            <w:vAlign w:val="center"/>
          </w:tcPr>
          <w:p w14:paraId="60547441" w14:textId="77777777" w:rsidR="00BB2459" w:rsidRPr="00E61E2C" w:rsidRDefault="00BB2459" w:rsidP="00532578">
            <w:pPr>
              <w:spacing w:line="240" w:lineRule="auto"/>
            </w:pPr>
            <w:r w:rsidRPr="00E16F0F">
              <w:t>Solo-</w:t>
            </w:r>
            <w:r>
              <w:t>p</w:t>
            </w:r>
            <w:r w:rsidRPr="00E16F0F">
              <w:t xml:space="preserve">rivate </w:t>
            </w:r>
            <w:r>
              <w:t>o</w:t>
            </w:r>
            <w:r w:rsidRPr="00E16F0F">
              <w:t>wner</w:t>
            </w:r>
          </w:p>
        </w:tc>
        <w:tc>
          <w:tcPr>
            <w:tcW w:w="1210" w:type="pct"/>
            <w:vAlign w:val="center"/>
          </w:tcPr>
          <w:p w14:paraId="22FCC7AB" w14:textId="77777777" w:rsidR="00BB2459" w:rsidRPr="00E61E2C" w:rsidRDefault="00BB2459" w:rsidP="00532578">
            <w:pPr>
              <w:spacing w:line="240" w:lineRule="auto"/>
            </w:pPr>
            <w:r w:rsidRPr="00E16F0F">
              <w:t>Commercial purpose</w:t>
            </w:r>
          </w:p>
        </w:tc>
      </w:tr>
      <w:tr w:rsidR="00BB2459" w:rsidRPr="00E61E2C" w14:paraId="52F1ECAF" w14:textId="77777777" w:rsidTr="00622AC7">
        <w:trPr>
          <w:jc w:val="center"/>
        </w:trPr>
        <w:tc>
          <w:tcPr>
            <w:tcW w:w="446" w:type="pct"/>
            <w:vAlign w:val="center"/>
          </w:tcPr>
          <w:p w14:paraId="3B09CB21" w14:textId="77777777" w:rsidR="00BB2459" w:rsidRPr="00E61E2C" w:rsidRDefault="00BB2459" w:rsidP="00532578">
            <w:pPr>
              <w:spacing w:line="240" w:lineRule="auto"/>
            </w:pPr>
            <w:r>
              <w:rPr>
                <w:rFonts w:hint="eastAsia"/>
              </w:rPr>
              <w:lastRenderedPageBreak/>
              <w:t>C</w:t>
            </w:r>
            <w:r>
              <w:t>ase 4</w:t>
            </w:r>
          </w:p>
        </w:tc>
        <w:tc>
          <w:tcPr>
            <w:tcW w:w="948" w:type="pct"/>
            <w:vAlign w:val="center"/>
          </w:tcPr>
          <w:p w14:paraId="01C295EC" w14:textId="77777777" w:rsidR="00BB2459" w:rsidRPr="00E61E2C" w:rsidRDefault="00BB2459" w:rsidP="00532578">
            <w:pPr>
              <w:spacing w:line="240" w:lineRule="auto"/>
              <w:jc w:val="center"/>
            </w:pPr>
            <w:r w:rsidRPr="00E16F0F">
              <w:t>450</w:t>
            </w:r>
            <w:r>
              <w:t xml:space="preserve"> km</w:t>
            </w:r>
            <w:r w:rsidRPr="00E16F0F">
              <w:rPr>
                <w:vertAlign w:val="superscript"/>
              </w:rPr>
              <w:t>2</w:t>
            </w:r>
          </w:p>
        </w:tc>
        <w:tc>
          <w:tcPr>
            <w:tcW w:w="1547" w:type="pct"/>
            <w:vAlign w:val="center"/>
          </w:tcPr>
          <w:p w14:paraId="20FE258D" w14:textId="77777777" w:rsidR="00BB2459" w:rsidRPr="00E61E2C" w:rsidRDefault="00BB2459" w:rsidP="00532578">
            <w:pPr>
              <w:spacing w:line="240" w:lineRule="auto"/>
            </w:pPr>
            <w:r>
              <w:t>Normal g</w:t>
            </w:r>
            <w:r w:rsidRPr="00E16F0F">
              <w:t xml:space="preserve">oods </w:t>
            </w:r>
            <w:r>
              <w:t>delivery; c</w:t>
            </w:r>
            <w:r w:rsidRPr="00E16F0F">
              <w:t>old chain logistics</w:t>
            </w:r>
          </w:p>
        </w:tc>
        <w:tc>
          <w:tcPr>
            <w:tcW w:w="848" w:type="pct"/>
            <w:vAlign w:val="center"/>
          </w:tcPr>
          <w:p w14:paraId="50F34926" w14:textId="77777777" w:rsidR="00BB2459" w:rsidRPr="00E61E2C" w:rsidRDefault="00BB2459" w:rsidP="00532578">
            <w:pPr>
              <w:spacing w:line="240" w:lineRule="auto"/>
            </w:pPr>
            <w:r w:rsidRPr="00E16F0F">
              <w:t>Private-</w:t>
            </w:r>
            <w:r>
              <w:t>p</w:t>
            </w:r>
            <w:r w:rsidRPr="00E16F0F">
              <w:t xml:space="preserve">ublic </w:t>
            </w:r>
            <w:r>
              <w:t>p</w:t>
            </w:r>
            <w:r w:rsidRPr="00E16F0F">
              <w:t>roject</w:t>
            </w:r>
          </w:p>
        </w:tc>
        <w:tc>
          <w:tcPr>
            <w:tcW w:w="1210" w:type="pct"/>
            <w:vAlign w:val="center"/>
          </w:tcPr>
          <w:p w14:paraId="204A06C1" w14:textId="77777777" w:rsidR="00BB2459" w:rsidRPr="00E61E2C" w:rsidRDefault="00BB2459" w:rsidP="00532578">
            <w:pPr>
              <w:spacing w:line="240" w:lineRule="auto"/>
            </w:pPr>
            <w:r w:rsidRPr="00E16F0F">
              <w:t>Commercial purpose</w:t>
            </w:r>
          </w:p>
        </w:tc>
      </w:tr>
    </w:tbl>
    <w:p w14:paraId="2611D5DC" w14:textId="7697B99F" w:rsidR="00BB2459" w:rsidRPr="00E051A0" w:rsidRDefault="00622AC7" w:rsidP="00EC2BE5">
      <w:pPr>
        <w:pStyle w:val="Caption"/>
        <w:rPr>
          <w:rFonts w:eastAsia="等线 Light"/>
          <w:lang w:val="en-US"/>
        </w:rPr>
      </w:pPr>
      <w:bookmarkStart w:id="901" w:name="_Ref38905877"/>
      <w:r w:rsidRPr="00622AC7">
        <w:t xml:space="preserve"> </w:t>
      </w:r>
      <w:bookmarkStart w:id="902" w:name="_Toc46053580"/>
      <w:bookmarkStart w:id="903" w:name="_Toc46093829"/>
      <w:bookmarkStart w:id="904" w:name="_Toc66698795"/>
      <w:r w:rsidR="007B5959">
        <w:t>Table</w:t>
      </w:r>
      <w:r>
        <w:t xml:space="preserve"> </w:t>
      </w:r>
      <w:r w:rsidR="000306D9">
        <w:fldChar w:fldCharType="begin"/>
      </w:r>
      <w:r w:rsidR="000306D9">
        <w:instrText xml:space="preserve"> STYLEREF 1 \s </w:instrText>
      </w:r>
      <w:r w:rsidR="000306D9">
        <w:fldChar w:fldCharType="separate"/>
      </w:r>
      <w:r w:rsidR="0005064B">
        <w:rPr>
          <w:noProof/>
        </w:rPr>
        <w:t>6</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2</w:t>
      </w:r>
      <w:r w:rsidR="000306D9">
        <w:rPr>
          <w:noProof/>
        </w:rPr>
        <w:fldChar w:fldCharType="end"/>
      </w:r>
      <w:bookmarkEnd w:id="901"/>
      <w:r w:rsidR="00FB0694">
        <w:rPr>
          <w:lang w:val="en-US"/>
        </w:rPr>
        <w:t>:</w:t>
      </w:r>
      <w:r>
        <w:rPr>
          <w:lang w:val="en-US"/>
        </w:rPr>
        <w:t xml:space="preserve"> </w:t>
      </w:r>
      <w:r w:rsidRPr="002C60C1">
        <w:rPr>
          <w:lang w:val="en-US"/>
        </w:rPr>
        <w:t xml:space="preserve">Basic </w:t>
      </w:r>
      <w:r>
        <w:rPr>
          <w:lang w:val="en-US"/>
        </w:rPr>
        <w:t>i</w:t>
      </w:r>
      <w:r w:rsidRPr="002C60C1">
        <w:rPr>
          <w:lang w:val="en-US"/>
        </w:rPr>
        <w:t xml:space="preserve">nformation </w:t>
      </w:r>
      <w:r>
        <w:rPr>
          <w:lang w:val="en-US"/>
        </w:rPr>
        <w:t xml:space="preserve">on </w:t>
      </w:r>
      <w:r w:rsidRPr="002C60C1">
        <w:rPr>
          <w:lang w:val="en-US"/>
        </w:rPr>
        <w:t xml:space="preserve">the </w:t>
      </w:r>
      <w:r>
        <w:rPr>
          <w:lang w:val="en-US"/>
        </w:rPr>
        <w:t>i</w:t>
      </w:r>
      <w:r w:rsidRPr="002C60C1">
        <w:rPr>
          <w:lang w:val="en-US"/>
        </w:rPr>
        <w:t xml:space="preserve">nvestigated </w:t>
      </w:r>
      <w:r>
        <w:rPr>
          <w:lang w:val="en-US"/>
        </w:rPr>
        <w:t xml:space="preserve">urban consolidation </w:t>
      </w:r>
      <w:proofErr w:type="spellStart"/>
      <w:r>
        <w:rPr>
          <w:lang w:val="en-US"/>
        </w:rPr>
        <w:t>centres</w:t>
      </w:r>
      <w:proofErr w:type="spellEnd"/>
      <w:r>
        <w:rPr>
          <w:lang w:val="en-US"/>
        </w:rPr>
        <w:t xml:space="preserve"> (</w:t>
      </w:r>
      <w:r w:rsidRPr="002C60C1">
        <w:rPr>
          <w:lang w:val="en-US"/>
        </w:rPr>
        <w:t>UCCs</w:t>
      </w:r>
      <w:r>
        <w:rPr>
          <w:lang w:val="en-US"/>
        </w:rPr>
        <w:t>)</w:t>
      </w:r>
      <w:bookmarkEnd w:id="902"/>
      <w:bookmarkEnd w:id="903"/>
      <w:bookmarkEnd w:id="904"/>
    </w:p>
    <w:p w14:paraId="15461C10" w14:textId="04C72987" w:rsidR="00BB2459" w:rsidRPr="00D00A82" w:rsidRDefault="00BB2459" w:rsidP="00AB2955">
      <w:pPr>
        <w:pStyle w:val="Heading4"/>
        <w:spacing w:after="0"/>
      </w:pPr>
      <w:r w:rsidRPr="00D00A82">
        <w:rPr>
          <w:rFonts w:eastAsia="等线 Light"/>
        </w:rPr>
        <w:t xml:space="preserve">Case 1 </w:t>
      </w:r>
    </w:p>
    <w:p w14:paraId="6CCA18C8" w14:textId="77777777" w:rsidR="00B04AD9" w:rsidRDefault="00B04AD9" w:rsidP="00B04AD9">
      <w:pPr>
        <w:spacing w:line="360" w:lineRule="auto"/>
        <w:rPr>
          <w:rFonts w:eastAsia="等线"/>
          <w:color w:val="333333"/>
        </w:rPr>
      </w:pPr>
      <w:r w:rsidRPr="009903E5">
        <w:rPr>
          <w:rFonts w:eastAsia="等线"/>
          <w:color w:val="333333"/>
        </w:rPr>
        <w:t xml:space="preserve">The UCC in Stockholm city centre (Case 1) began </w:t>
      </w:r>
      <w:r>
        <w:rPr>
          <w:rFonts w:eastAsia="等线"/>
          <w:color w:val="333333"/>
        </w:rPr>
        <w:t xml:space="preserve">its operations as part of a </w:t>
      </w:r>
      <w:r w:rsidRPr="009903E5">
        <w:rPr>
          <w:rFonts w:eastAsia="等线"/>
          <w:color w:val="333333"/>
        </w:rPr>
        <w:t xml:space="preserve">sustainable logistics strategy (the </w:t>
      </w:r>
      <w:proofErr w:type="spellStart"/>
      <w:r w:rsidRPr="009903E5">
        <w:rPr>
          <w:rFonts w:eastAsia="等线"/>
          <w:color w:val="333333"/>
        </w:rPr>
        <w:t>Intercitylog</w:t>
      </w:r>
      <w:proofErr w:type="spellEnd"/>
      <w:r w:rsidRPr="009903E5">
        <w:rPr>
          <w:rFonts w:eastAsia="等线"/>
          <w:color w:val="333333"/>
        </w:rPr>
        <w:t xml:space="preserve"> project)</w:t>
      </w:r>
      <w:r>
        <w:rPr>
          <w:rFonts w:eastAsia="等线"/>
          <w:color w:val="333333"/>
        </w:rPr>
        <w:t>,</w:t>
      </w:r>
      <w:r w:rsidRPr="009903E5">
        <w:rPr>
          <w:rFonts w:eastAsia="等线"/>
          <w:color w:val="333333"/>
        </w:rPr>
        <w:t xml:space="preserve"> established </w:t>
      </w:r>
      <w:r>
        <w:rPr>
          <w:rFonts w:eastAsia="等线"/>
          <w:color w:val="333333"/>
        </w:rPr>
        <w:t>by</w:t>
      </w:r>
      <w:r w:rsidRPr="009903E5">
        <w:rPr>
          <w:rFonts w:eastAsia="等线"/>
          <w:color w:val="333333"/>
        </w:rPr>
        <w:t xml:space="preserve"> Stockholm City Council (Stockholm</w:t>
      </w:r>
      <w:r>
        <w:rPr>
          <w:rFonts w:eastAsia="等线"/>
          <w:color w:val="333333"/>
        </w:rPr>
        <w:t xml:space="preserve"> </w:t>
      </w:r>
      <w:proofErr w:type="spellStart"/>
      <w:r>
        <w:rPr>
          <w:rFonts w:eastAsia="等线"/>
          <w:color w:val="333333"/>
        </w:rPr>
        <w:t>Stad</w:t>
      </w:r>
      <w:proofErr w:type="spellEnd"/>
      <w:r w:rsidRPr="009903E5">
        <w:rPr>
          <w:rFonts w:eastAsia="等线"/>
          <w:color w:val="333333"/>
        </w:rPr>
        <w:t xml:space="preserve">). </w:t>
      </w:r>
      <w:r>
        <w:rPr>
          <w:rFonts w:eastAsia="等线"/>
          <w:color w:val="333333"/>
        </w:rPr>
        <w:t xml:space="preserve">The </w:t>
      </w:r>
      <w:r w:rsidRPr="009903E5">
        <w:rPr>
          <w:rFonts w:eastAsia="等线"/>
          <w:color w:val="333333"/>
        </w:rPr>
        <w:t xml:space="preserve">UCC is the result of the cooperation </w:t>
      </w:r>
      <w:r>
        <w:rPr>
          <w:rFonts w:eastAsia="等线"/>
          <w:color w:val="333333"/>
        </w:rPr>
        <w:t xml:space="preserve">between </w:t>
      </w:r>
      <w:r w:rsidRPr="009903E5">
        <w:rPr>
          <w:rFonts w:eastAsia="等线"/>
          <w:color w:val="333333"/>
        </w:rPr>
        <w:t>different stakeholders within the urban environme</w:t>
      </w:r>
      <w:r>
        <w:rPr>
          <w:rFonts w:eastAsia="等线"/>
          <w:color w:val="333333"/>
        </w:rPr>
        <w:t>nt:</w:t>
      </w:r>
    </w:p>
    <w:p w14:paraId="20259882" w14:textId="77777777" w:rsidR="00B04AD9" w:rsidRDefault="00B04AD9" w:rsidP="00A323CC">
      <w:pPr>
        <w:pStyle w:val="ListParagraph"/>
        <w:numPr>
          <w:ilvl w:val="0"/>
          <w:numId w:val="11"/>
        </w:numPr>
        <w:spacing w:line="360" w:lineRule="auto"/>
        <w:rPr>
          <w:rFonts w:eastAsia="等线"/>
          <w:color w:val="333333"/>
        </w:rPr>
      </w:pPr>
      <w:r w:rsidRPr="00DE758A">
        <w:rPr>
          <w:rFonts w:eastAsia="等线"/>
          <w:color w:val="333333"/>
        </w:rPr>
        <w:t xml:space="preserve">Stockholm </w:t>
      </w:r>
      <w:r>
        <w:rPr>
          <w:rFonts w:eastAsia="等线"/>
          <w:color w:val="333333"/>
        </w:rPr>
        <w:t>C</w:t>
      </w:r>
      <w:r w:rsidRPr="00DE758A">
        <w:rPr>
          <w:rFonts w:eastAsia="等线"/>
          <w:color w:val="333333"/>
        </w:rPr>
        <w:t xml:space="preserve">ity </w:t>
      </w:r>
      <w:r>
        <w:rPr>
          <w:rFonts w:eastAsia="等线"/>
          <w:color w:val="333333"/>
        </w:rPr>
        <w:t>C</w:t>
      </w:r>
      <w:r w:rsidRPr="00DE758A">
        <w:rPr>
          <w:rFonts w:eastAsia="等线"/>
          <w:color w:val="333333"/>
        </w:rPr>
        <w:t xml:space="preserve">ouncil, </w:t>
      </w:r>
      <w:r>
        <w:rPr>
          <w:rFonts w:eastAsia="等线"/>
          <w:color w:val="333333"/>
        </w:rPr>
        <w:t xml:space="preserve">which proposed </w:t>
      </w:r>
      <w:r w:rsidRPr="00DE758A">
        <w:rPr>
          <w:rFonts w:eastAsia="等线"/>
          <w:color w:val="333333"/>
        </w:rPr>
        <w:t>this project and buil</w:t>
      </w:r>
      <w:r>
        <w:rPr>
          <w:rFonts w:eastAsia="等线"/>
          <w:color w:val="333333"/>
        </w:rPr>
        <w:t>t</w:t>
      </w:r>
      <w:r w:rsidRPr="00DE758A">
        <w:rPr>
          <w:rFonts w:eastAsia="等线"/>
          <w:color w:val="333333"/>
        </w:rPr>
        <w:t xml:space="preserve"> the communicati</w:t>
      </w:r>
      <w:r>
        <w:rPr>
          <w:rFonts w:eastAsia="等线"/>
          <w:color w:val="333333"/>
        </w:rPr>
        <w:t>on</w:t>
      </w:r>
      <w:r w:rsidRPr="00DE758A">
        <w:rPr>
          <w:rFonts w:eastAsia="等线"/>
          <w:color w:val="333333"/>
        </w:rPr>
        <w:t xml:space="preserve"> </w:t>
      </w:r>
      <w:r>
        <w:rPr>
          <w:rFonts w:eastAsia="等线"/>
          <w:color w:val="333333"/>
        </w:rPr>
        <w:t xml:space="preserve">and engagement platform, along with the legal framework, </w:t>
      </w:r>
      <w:r w:rsidRPr="00DE758A">
        <w:rPr>
          <w:rFonts w:eastAsia="等线"/>
          <w:color w:val="333333"/>
        </w:rPr>
        <w:t xml:space="preserve">for private stakeholders to set up </w:t>
      </w:r>
      <w:r>
        <w:rPr>
          <w:rFonts w:eastAsia="等线"/>
          <w:color w:val="333333"/>
        </w:rPr>
        <w:t xml:space="preserve">the </w:t>
      </w:r>
      <w:proofErr w:type="gramStart"/>
      <w:r w:rsidRPr="00DE758A">
        <w:rPr>
          <w:rFonts w:eastAsia="等线"/>
          <w:color w:val="333333"/>
        </w:rPr>
        <w:t>UCC</w:t>
      </w:r>
      <w:proofErr w:type="gramEnd"/>
    </w:p>
    <w:p w14:paraId="5D5883C6" w14:textId="77777777" w:rsidR="00B04AD9" w:rsidRDefault="00B04AD9" w:rsidP="00A323CC">
      <w:pPr>
        <w:pStyle w:val="ListParagraph"/>
        <w:numPr>
          <w:ilvl w:val="0"/>
          <w:numId w:val="11"/>
        </w:numPr>
        <w:spacing w:line="360" w:lineRule="auto"/>
        <w:rPr>
          <w:rFonts w:eastAsia="等线"/>
          <w:color w:val="333333"/>
        </w:rPr>
      </w:pPr>
      <w:r>
        <w:rPr>
          <w:rFonts w:eastAsia="等线"/>
          <w:color w:val="333333"/>
        </w:rPr>
        <w:t>a</w:t>
      </w:r>
      <w:r w:rsidRPr="00DE758A">
        <w:rPr>
          <w:rFonts w:eastAsia="等线"/>
          <w:color w:val="333333"/>
        </w:rPr>
        <w:t xml:space="preserve"> waste </w:t>
      </w:r>
      <w:r>
        <w:rPr>
          <w:rFonts w:eastAsia="等线"/>
          <w:color w:val="333333"/>
        </w:rPr>
        <w:t>collection company (WCC)</w:t>
      </w:r>
    </w:p>
    <w:p w14:paraId="27C426E3" w14:textId="77777777" w:rsidR="00B04AD9" w:rsidRDefault="00B04AD9" w:rsidP="00A323CC">
      <w:pPr>
        <w:pStyle w:val="ListParagraph"/>
        <w:numPr>
          <w:ilvl w:val="0"/>
          <w:numId w:val="11"/>
        </w:numPr>
        <w:spacing w:line="360" w:lineRule="auto"/>
        <w:rPr>
          <w:rFonts w:eastAsia="等线"/>
          <w:color w:val="333333"/>
        </w:rPr>
      </w:pPr>
      <w:r>
        <w:rPr>
          <w:rFonts w:eastAsia="等线"/>
          <w:color w:val="333333"/>
        </w:rPr>
        <w:t>a logistics company (LC)</w:t>
      </w:r>
    </w:p>
    <w:p w14:paraId="2B1491C8" w14:textId="77777777" w:rsidR="00B04AD9" w:rsidRDefault="00B04AD9" w:rsidP="00A323CC">
      <w:pPr>
        <w:pStyle w:val="ListParagraph"/>
        <w:numPr>
          <w:ilvl w:val="0"/>
          <w:numId w:val="11"/>
        </w:numPr>
        <w:spacing w:line="360" w:lineRule="auto"/>
        <w:rPr>
          <w:rFonts w:eastAsia="等线"/>
          <w:color w:val="333333"/>
        </w:rPr>
      </w:pPr>
      <w:r>
        <w:rPr>
          <w:rFonts w:eastAsia="等线"/>
          <w:color w:val="333333"/>
        </w:rPr>
        <w:t>the Royal University of Technology (KTH)</w:t>
      </w:r>
    </w:p>
    <w:p w14:paraId="4F296BCA" w14:textId="77777777" w:rsidR="00B04AD9" w:rsidRPr="000104CC" w:rsidRDefault="00B04AD9" w:rsidP="00B04AD9">
      <w:pPr>
        <w:spacing w:after="240" w:line="360" w:lineRule="auto"/>
        <w:rPr>
          <w:rFonts w:eastAsia="等线"/>
          <w:color w:val="333333"/>
        </w:rPr>
      </w:pPr>
      <w:r>
        <w:rPr>
          <w:rFonts w:eastAsia="等线"/>
          <w:color w:val="333333"/>
        </w:rPr>
        <w:t xml:space="preserve">A typical delivery process begins with the LC receiving </w:t>
      </w:r>
      <w:r w:rsidRPr="00DE758A">
        <w:rPr>
          <w:rFonts w:eastAsia="等线"/>
          <w:color w:val="333333"/>
        </w:rPr>
        <w:t xml:space="preserve">goods from the </w:t>
      </w:r>
      <w:r>
        <w:rPr>
          <w:rFonts w:eastAsia="等线"/>
          <w:color w:val="333333"/>
        </w:rPr>
        <w:t>supplier. The</w:t>
      </w:r>
      <w:r w:rsidRPr="00DE758A">
        <w:rPr>
          <w:rFonts w:eastAsia="等线"/>
          <w:color w:val="333333"/>
        </w:rPr>
        <w:t xml:space="preserve"> </w:t>
      </w:r>
      <w:r>
        <w:rPr>
          <w:rFonts w:eastAsia="等线"/>
          <w:color w:val="333333"/>
        </w:rPr>
        <w:t>goods are then transported to the UCC via</w:t>
      </w:r>
      <w:r w:rsidRPr="00DE758A">
        <w:rPr>
          <w:rFonts w:eastAsia="等线"/>
          <w:color w:val="333333"/>
        </w:rPr>
        <w:t xml:space="preserve"> heavy trucks.</w:t>
      </w:r>
      <w:r>
        <w:rPr>
          <w:rFonts w:eastAsia="等线"/>
          <w:color w:val="333333"/>
        </w:rPr>
        <w:t xml:space="preserve"> The UCC is operated by the WCC, which </w:t>
      </w:r>
      <w:r w:rsidRPr="00DE758A">
        <w:rPr>
          <w:rFonts w:eastAsia="等线"/>
          <w:color w:val="333333"/>
        </w:rPr>
        <w:t>unload</w:t>
      </w:r>
      <w:r>
        <w:rPr>
          <w:rFonts w:eastAsia="等线"/>
          <w:color w:val="333333"/>
        </w:rPr>
        <w:t>s</w:t>
      </w:r>
      <w:r w:rsidRPr="00DE758A">
        <w:rPr>
          <w:rFonts w:eastAsia="等线"/>
          <w:color w:val="333333"/>
        </w:rPr>
        <w:t xml:space="preserve"> and </w:t>
      </w:r>
      <w:proofErr w:type="gramStart"/>
      <w:r w:rsidRPr="00DE758A">
        <w:rPr>
          <w:rFonts w:eastAsia="等线"/>
          <w:color w:val="333333"/>
        </w:rPr>
        <w:t>sort</w:t>
      </w:r>
      <w:r>
        <w:rPr>
          <w:rFonts w:eastAsia="等线"/>
          <w:color w:val="333333"/>
        </w:rPr>
        <w:t>s</w:t>
      </w:r>
      <w:proofErr w:type="gramEnd"/>
      <w:r>
        <w:rPr>
          <w:rFonts w:eastAsia="等线"/>
          <w:color w:val="333333"/>
        </w:rPr>
        <w:t xml:space="preserve"> parcels and is </w:t>
      </w:r>
      <w:r w:rsidRPr="00DE758A">
        <w:rPr>
          <w:rFonts w:eastAsia="等线"/>
          <w:color w:val="333333"/>
        </w:rPr>
        <w:t xml:space="preserve">responsible for last-mile logistics in the city centre. </w:t>
      </w:r>
      <w:r>
        <w:rPr>
          <w:rFonts w:eastAsia="等线"/>
          <w:color w:val="333333"/>
        </w:rPr>
        <w:t xml:space="preserve">One interesting aspect here is the integration of </w:t>
      </w:r>
      <w:r w:rsidRPr="00DE758A">
        <w:rPr>
          <w:rFonts w:eastAsia="等线"/>
          <w:color w:val="333333"/>
        </w:rPr>
        <w:t>goods distribution</w:t>
      </w:r>
      <w:r>
        <w:rPr>
          <w:rFonts w:eastAsia="等线"/>
          <w:color w:val="333333"/>
        </w:rPr>
        <w:t xml:space="preserve"> and waste collection</w:t>
      </w:r>
      <w:r w:rsidRPr="00DE758A">
        <w:rPr>
          <w:rFonts w:eastAsia="等线"/>
          <w:color w:val="333333"/>
        </w:rPr>
        <w:t xml:space="preserve">. </w:t>
      </w:r>
      <w:r>
        <w:rPr>
          <w:rFonts w:eastAsia="等线"/>
          <w:color w:val="333333"/>
        </w:rPr>
        <w:t xml:space="preserve">Contributing to the functioning of the UCC, KTH </w:t>
      </w:r>
      <w:r w:rsidRPr="00DE758A">
        <w:rPr>
          <w:rFonts w:eastAsia="等线"/>
          <w:color w:val="333333"/>
        </w:rPr>
        <w:t>design</w:t>
      </w:r>
      <w:r>
        <w:rPr>
          <w:rFonts w:eastAsia="等线"/>
          <w:color w:val="333333"/>
        </w:rPr>
        <w:t>ed</w:t>
      </w:r>
      <w:r w:rsidRPr="00DE758A">
        <w:rPr>
          <w:rFonts w:eastAsia="等线"/>
          <w:color w:val="333333"/>
        </w:rPr>
        <w:t xml:space="preserve"> electric vehicle</w:t>
      </w:r>
      <w:r>
        <w:rPr>
          <w:rFonts w:eastAsia="等线"/>
          <w:color w:val="333333"/>
        </w:rPr>
        <w:t>s</w:t>
      </w:r>
      <w:r w:rsidRPr="00DE758A">
        <w:rPr>
          <w:rFonts w:eastAsia="等线"/>
          <w:color w:val="333333"/>
        </w:rPr>
        <w:t xml:space="preserve"> for </w:t>
      </w:r>
      <w:r>
        <w:rPr>
          <w:rFonts w:eastAsia="等线"/>
          <w:color w:val="333333"/>
        </w:rPr>
        <w:t xml:space="preserve">integrated </w:t>
      </w:r>
      <w:r w:rsidRPr="00DE758A">
        <w:rPr>
          <w:rFonts w:eastAsia="等线"/>
          <w:color w:val="333333"/>
        </w:rPr>
        <w:t xml:space="preserve">package delivery and dry waste collection. </w:t>
      </w:r>
    </w:p>
    <w:p w14:paraId="074ED8DB" w14:textId="259AC5D6" w:rsidR="00BB2459" w:rsidRPr="00D00A82" w:rsidRDefault="00BB2459" w:rsidP="00AB2955">
      <w:pPr>
        <w:pStyle w:val="Heading4"/>
        <w:spacing w:after="0"/>
        <w:rPr>
          <w:rFonts w:eastAsia="等线"/>
          <w:color w:val="333333"/>
          <w14:textFill>
            <w14:solidFill>
              <w14:srgbClr w14:val="333333">
                <w14:lumMod w14:val="75000"/>
              </w14:srgbClr>
            </w14:solidFill>
          </w14:textFill>
        </w:rPr>
      </w:pPr>
      <w:r w:rsidRPr="00D00A82">
        <w:rPr>
          <w:rFonts w:eastAsia="等线 Light"/>
        </w:rPr>
        <w:t xml:space="preserve">Case 2 </w:t>
      </w:r>
    </w:p>
    <w:p w14:paraId="3053ABFB" w14:textId="77777777" w:rsidR="0060020F" w:rsidRDefault="0060020F" w:rsidP="0060020F">
      <w:pPr>
        <w:spacing w:line="360" w:lineRule="auto"/>
        <w:rPr>
          <w:rFonts w:eastAsia="等线"/>
          <w:color w:val="000000"/>
        </w:rPr>
      </w:pPr>
      <w:r w:rsidRPr="009903E5">
        <w:rPr>
          <w:rFonts w:eastAsia="等线"/>
          <w:color w:val="000000"/>
        </w:rPr>
        <w:t xml:space="preserve">The Royal Seaport is the largest ongoing construction project in Stockholm. </w:t>
      </w:r>
      <w:r>
        <w:rPr>
          <w:rFonts w:eastAsia="等线"/>
          <w:color w:val="000000"/>
        </w:rPr>
        <w:t>There are c</w:t>
      </w:r>
      <w:r w:rsidRPr="009903E5">
        <w:rPr>
          <w:rFonts w:eastAsia="等线"/>
          <w:color w:val="000000"/>
        </w:rPr>
        <w:t>urrently ten construct</w:t>
      </w:r>
      <w:r>
        <w:rPr>
          <w:rFonts w:eastAsia="等线"/>
          <w:color w:val="000000"/>
        </w:rPr>
        <w:t xml:space="preserve">ion sites. The </w:t>
      </w:r>
      <w:r w:rsidRPr="009903E5">
        <w:rPr>
          <w:rFonts w:eastAsia="等线"/>
          <w:color w:val="000000"/>
        </w:rPr>
        <w:t>Royal Seaport</w:t>
      </w:r>
      <w:r>
        <w:rPr>
          <w:rFonts w:eastAsia="等线"/>
          <w:color w:val="000000"/>
        </w:rPr>
        <w:t xml:space="preserve"> UCC (Case 2)</w:t>
      </w:r>
      <w:r w:rsidRPr="009903E5">
        <w:rPr>
          <w:rFonts w:eastAsia="等线"/>
          <w:color w:val="000000"/>
        </w:rPr>
        <w:t xml:space="preserve"> </w:t>
      </w:r>
      <w:r>
        <w:rPr>
          <w:rFonts w:eastAsia="等线"/>
          <w:color w:val="000000"/>
        </w:rPr>
        <w:t xml:space="preserve">is owned </w:t>
      </w:r>
      <w:r w:rsidRPr="009903E5">
        <w:rPr>
          <w:rFonts w:eastAsia="等线"/>
          <w:color w:val="000000"/>
        </w:rPr>
        <w:t xml:space="preserve">by the </w:t>
      </w:r>
      <w:bookmarkStart w:id="905" w:name="OLE_LINK1"/>
      <w:bookmarkStart w:id="906" w:name="OLE_LINK2"/>
      <w:r>
        <w:rPr>
          <w:rFonts w:eastAsia="等线" w:hint="eastAsia"/>
          <w:color w:val="000000"/>
        </w:rPr>
        <w:t>Department</w:t>
      </w:r>
      <w:r w:rsidRPr="009903E5">
        <w:rPr>
          <w:rFonts w:eastAsia="等线"/>
          <w:color w:val="000000"/>
        </w:rPr>
        <w:t xml:space="preserve"> </w:t>
      </w:r>
      <w:r>
        <w:rPr>
          <w:rFonts w:eastAsia="等线"/>
          <w:color w:val="000000"/>
        </w:rPr>
        <w:t>for</w:t>
      </w:r>
      <w:r w:rsidRPr="009903E5">
        <w:rPr>
          <w:rFonts w:eastAsia="等线"/>
          <w:color w:val="000000"/>
        </w:rPr>
        <w:t xml:space="preserve"> the Royal Seaport</w:t>
      </w:r>
      <w:bookmarkEnd w:id="905"/>
      <w:bookmarkEnd w:id="906"/>
      <w:r w:rsidRPr="009903E5">
        <w:rPr>
          <w:rFonts w:eastAsia="等线"/>
          <w:color w:val="000000"/>
        </w:rPr>
        <w:t xml:space="preserve"> (</w:t>
      </w:r>
      <w:r>
        <w:rPr>
          <w:rFonts w:eastAsia="等线" w:hint="eastAsia"/>
          <w:color w:val="000000"/>
        </w:rPr>
        <w:t>D</w:t>
      </w:r>
      <w:r w:rsidRPr="009903E5">
        <w:rPr>
          <w:rFonts w:eastAsia="等线"/>
          <w:color w:val="000000"/>
        </w:rPr>
        <w:t>RS)</w:t>
      </w:r>
      <w:r>
        <w:rPr>
          <w:rFonts w:eastAsia="等线"/>
          <w:color w:val="000000"/>
        </w:rPr>
        <w:t xml:space="preserve"> and was built</w:t>
      </w:r>
      <w:r w:rsidRPr="009903E5">
        <w:rPr>
          <w:rFonts w:eastAsia="等线"/>
          <w:color w:val="000000"/>
        </w:rPr>
        <w:t xml:space="preserve"> to deliver construction materials in the </w:t>
      </w:r>
      <w:r>
        <w:rPr>
          <w:rFonts w:eastAsia="等线"/>
          <w:color w:val="000000"/>
        </w:rPr>
        <w:t>area</w:t>
      </w:r>
      <w:r w:rsidRPr="009903E5">
        <w:rPr>
          <w:rFonts w:eastAsia="等线"/>
          <w:color w:val="000000"/>
        </w:rPr>
        <w:t>. The objectives of this UCC are</w:t>
      </w:r>
      <w:r>
        <w:rPr>
          <w:rFonts w:eastAsia="等线"/>
          <w:color w:val="000000"/>
        </w:rPr>
        <w:t xml:space="preserve"> as follows</w:t>
      </w:r>
      <w:r w:rsidRPr="009903E5">
        <w:rPr>
          <w:rFonts w:eastAsia="等线"/>
          <w:color w:val="000000"/>
        </w:rPr>
        <w:t xml:space="preserve">: </w:t>
      </w:r>
    </w:p>
    <w:p w14:paraId="14F980AC" w14:textId="77777777" w:rsidR="0060020F" w:rsidRPr="003E55B1" w:rsidRDefault="0060020F" w:rsidP="00A323CC">
      <w:pPr>
        <w:pStyle w:val="ListParagraph"/>
        <w:numPr>
          <w:ilvl w:val="0"/>
          <w:numId w:val="11"/>
        </w:numPr>
        <w:spacing w:line="360" w:lineRule="auto"/>
        <w:rPr>
          <w:rFonts w:eastAsia="等线"/>
          <w:color w:val="333333"/>
        </w:rPr>
      </w:pPr>
      <w:r>
        <w:rPr>
          <w:rFonts w:eastAsia="等线"/>
          <w:color w:val="000000"/>
        </w:rPr>
        <w:t>m</w:t>
      </w:r>
      <w:r w:rsidRPr="003E55B1">
        <w:rPr>
          <w:rFonts w:eastAsia="等线"/>
          <w:color w:val="000000"/>
        </w:rPr>
        <w:t xml:space="preserve">inimising freight transport volume in the </w:t>
      </w:r>
      <w:r>
        <w:rPr>
          <w:rFonts w:eastAsia="等线"/>
          <w:color w:val="000000"/>
        </w:rPr>
        <w:t>Royal Seaport</w:t>
      </w:r>
      <w:r w:rsidRPr="00147D68">
        <w:rPr>
          <w:rFonts w:eastAsia="等线"/>
          <w:color w:val="000000"/>
        </w:rPr>
        <w:t xml:space="preserve"> </w:t>
      </w:r>
      <w:r w:rsidRPr="003E55B1">
        <w:rPr>
          <w:rFonts w:eastAsia="等线"/>
          <w:color w:val="000000"/>
        </w:rPr>
        <w:t>area</w:t>
      </w:r>
    </w:p>
    <w:p w14:paraId="42C9FAB6" w14:textId="77777777" w:rsidR="0060020F" w:rsidRPr="003E55B1" w:rsidRDefault="0060020F" w:rsidP="00A323CC">
      <w:pPr>
        <w:pStyle w:val="ListParagraph"/>
        <w:numPr>
          <w:ilvl w:val="0"/>
          <w:numId w:val="11"/>
        </w:numPr>
        <w:spacing w:line="360" w:lineRule="auto"/>
        <w:rPr>
          <w:rFonts w:eastAsia="等线"/>
          <w:color w:val="333333"/>
        </w:rPr>
      </w:pPr>
      <w:r>
        <w:rPr>
          <w:rFonts w:eastAsia="等线"/>
          <w:color w:val="000000"/>
        </w:rPr>
        <w:t>r</w:t>
      </w:r>
      <w:r w:rsidRPr="003E55B1">
        <w:rPr>
          <w:rFonts w:eastAsia="等线"/>
          <w:color w:val="000000"/>
        </w:rPr>
        <w:t>educing emissions through the utilisation of the green vehicles</w:t>
      </w:r>
    </w:p>
    <w:p w14:paraId="59A3E2BF" w14:textId="77777777" w:rsidR="0060020F" w:rsidRPr="003E55B1" w:rsidRDefault="0060020F" w:rsidP="00A323CC">
      <w:pPr>
        <w:pStyle w:val="ListParagraph"/>
        <w:numPr>
          <w:ilvl w:val="0"/>
          <w:numId w:val="11"/>
        </w:numPr>
        <w:spacing w:line="360" w:lineRule="auto"/>
        <w:rPr>
          <w:rFonts w:eastAsia="等线"/>
          <w:color w:val="333333"/>
        </w:rPr>
      </w:pPr>
      <w:r>
        <w:rPr>
          <w:rFonts w:eastAsia="等线"/>
          <w:color w:val="000000"/>
        </w:rPr>
        <w:t>p</w:t>
      </w:r>
      <w:r w:rsidRPr="003E55B1">
        <w:rPr>
          <w:rFonts w:eastAsia="等线"/>
          <w:color w:val="000000"/>
        </w:rPr>
        <w:t>roviding effective construction logistics service</w:t>
      </w:r>
      <w:r>
        <w:rPr>
          <w:rFonts w:eastAsia="等线"/>
          <w:color w:val="000000"/>
        </w:rPr>
        <w:t>s</w:t>
      </w:r>
    </w:p>
    <w:p w14:paraId="7F3E8FED" w14:textId="77777777" w:rsidR="0060020F" w:rsidRPr="003E55B1" w:rsidRDefault="0060020F" w:rsidP="00A323CC">
      <w:pPr>
        <w:pStyle w:val="ListParagraph"/>
        <w:numPr>
          <w:ilvl w:val="0"/>
          <w:numId w:val="11"/>
        </w:numPr>
        <w:spacing w:line="360" w:lineRule="auto"/>
        <w:rPr>
          <w:rFonts w:eastAsia="等线"/>
          <w:color w:val="333333"/>
        </w:rPr>
      </w:pPr>
      <w:r>
        <w:rPr>
          <w:rFonts w:eastAsia="等线"/>
          <w:color w:val="000000"/>
        </w:rPr>
        <w:t>t</w:t>
      </w:r>
      <w:r w:rsidRPr="003E55B1">
        <w:rPr>
          <w:rFonts w:eastAsia="等线"/>
          <w:color w:val="000000"/>
        </w:rPr>
        <w:t>esting the feasibility of the consolidation delivery method</w:t>
      </w:r>
    </w:p>
    <w:p w14:paraId="1E246F6F" w14:textId="77777777" w:rsidR="0060020F" w:rsidRPr="003E55B1" w:rsidRDefault="0060020F" w:rsidP="00A323CC">
      <w:pPr>
        <w:pStyle w:val="ListParagraph"/>
        <w:numPr>
          <w:ilvl w:val="0"/>
          <w:numId w:val="11"/>
        </w:numPr>
        <w:spacing w:line="360" w:lineRule="auto"/>
        <w:rPr>
          <w:rFonts w:eastAsia="等线"/>
          <w:color w:val="333333"/>
        </w:rPr>
      </w:pPr>
      <w:r>
        <w:rPr>
          <w:rFonts w:eastAsia="等线"/>
          <w:color w:val="000000"/>
        </w:rPr>
        <w:t xml:space="preserve">publicising </w:t>
      </w:r>
      <w:r w:rsidRPr="003E55B1">
        <w:rPr>
          <w:rFonts w:eastAsia="等线"/>
          <w:color w:val="000000"/>
        </w:rPr>
        <w:t>the sustainable logistics method to residents</w:t>
      </w:r>
    </w:p>
    <w:p w14:paraId="76D3C45F" w14:textId="77777777" w:rsidR="0060020F" w:rsidRDefault="0060020F" w:rsidP="0060020F">
      <w:pPr>
        <w:spacing w:line="360" w:lineRule="auto"/>
        <w:rPr>
          <w:rFonts w:eastAsia="等线"/>
          <w:color w:val="000000"/>
        </w:rPr>
      </w:pPr>
      <w:r>
        <w:rPr>
          <w:rFonts w:eastAsia="等线"/>
          <w:color w:val="000000"/>
        </w:rPr>
        <w:t>Through a procurement</w:t>
      </w:r>
      <w:r w:rsidRPr="003E55B1">
        <w:rPr>
          <w:rFonts w:eastAsia="等线"/>
          <w:color w:val="000000"/>
        </w:rPr>
        <w:t xml:space="preserve"> process,</w:t>
      </w:r>
      <w:r>
        <w:rPr>
          <w:rFonts w:eastAsia="等线"/>
          <w:color w:val="000000"/>
        </w:rPr>
        <w:t xml:space="preserve"> several companies were chosen to take part in the service delivery. The </w:t>
      </w:r>
      <w:r w:rsidRPr="003E55B1">
        <w:rPr>
          <w:rFonts w:eastAsia="等线"/>
          <w:color w:val="000000"/>
        </w:rPr>
        <w:t xml:space="preserve">key stakeholders </w:t>
      </w:r>
      <w:r>
        <w:rPr>
          <w:rFonts w:eastAsia="等线"/>
          <w:color w:val="000000"/>
        </w:rPr>
        <w:t xml:space="preserve">are as follows: </w:t>
      </w:r>
    </w:p>
    <w:p w14:paraId="3521628E" w14:textId="77777777" w:rsidR="0060020F" w:rsidRDefault="0060020F" w:rsidP="00A323CC">
      <w:pPr>
        <w:pStyle w:val="ListParagraph"/>
        <w:numPr>
          <w:ilvl w:val="0"/>
          <w:numId w:val="12"/>
        </w:numPr>
        <w:spacing w:line="360" w:lineRule="auto"/>
        <w:rPr>
          <w:rFonts w:eastAsia="等线"/>
          <w:color w:val="000000"/>
        </w:rPr>
      </w:pPr>
      <w:r>
        <w:rPr>
          <w:rFonts w:eastAsia="等线"/>
          <w:color w:val="000000"/>
        </w:rPr>
        <w:lastRenderedPageBreak/>
        <w:t>a</w:t>
      </w:r>
      <w:r w:rsidRPr="00AB5EE0">
        <w:rPr>
          <w:rFonts w:eastAsia="等线"/>
          <w:color w:val="000000"/>
        </w:rPr>
        <w:t xml:space="preserve"> </w:t>
      </w:r>
      <w:r>
        <w:rPr>
          <w:rFonts w:eastAsia="等线"/>
          <w:color w:val="000000"/>
        </w:rPr>
        <w:t xml:space="preserve">LC </w:t>
      </w:r>
      <w:r w:rsidRPr="00AB5EE0">
        <w:rPr>
          <w:rFonts w:eastAsia="等线"/>
          <w:color w:val="000000"/>
        </w:rPr>
        <w:t>responsible for the warehouse operation and goods delivery</w:t>
      </w:r>
    </w:p>
    <w:p w14:paraId="5CCEA6BE" w14:textId="77777777" w:rsidR="0060020F" w:rsidRDefault="0060020F" w:rsidP="00A323CC">
      <w:pPr>
        <w:pStyle w:val="ListParagraph"/>
        <w:numPr>
          <w:ilvl w:val="0"/>
          <w:numId w:val="12"/>
        </w:numPr>
        <w:spacing w:line="360" w:lineRule="auto"/>
        <w:rPr>
          <w:rFonts w:eastAsia="等线"/>
          <w:color w:val="000000"/>
        </w:rPr>
      </w:pPr>
      <w:r>
        <w:rPr>
          <w:rFonts w:eastAsia="等线"/>
          <w:color w:val="000000"/>
        </w:rPr>
        <w:t>a consulting company, responsible for the management of the site</w:t>
      </w:r>
    </w:p>
    <w:p w14:paraId="7EDFB9F6" w14:textId="77777777" w:rsidR="0060020F" w:rsidRDefault="0060020F" w:rsidP="0060020F">
      <w:pPr>
        <w:spacing w:after="240" w:line="360" w:lineRule="auto"/>
        <w:rPr>
          <w:rFonts w:eastAsia="等线"/>
          <w:color w:val="000000"/>
        </w:rPr>
      </w:pPr>
      <w:r w:rsidRPr="00AB5EE0">
        <w:rPr>
          <w:rFonts w:eastAsia="等线"/>
          <w:color w:val="000000"/>
        </w:rPr>
        <w:t>The policy requires all construction companies</w:t>
      </w:r>
      <w:r>
        <w:rPr>
          <w:rFonts w:eastAsia="等线"/>
          <w:color w:val="000000"/>
        </w:rPr>
        <w:t xml:space="preserve"> </w:t>
      </w:r>
      <w:r w:rsidRPr="00AB5EE0">
        <w:rPr>
          <w:rFonts w:eastAsia="等线"/>
          <w:color w:val="000000"/>
        </w:rPr>
        <w:t xml:space="preserve">to </w:t>
      </w:r>
      <w:r>
        <w:rPr>
          <w:rFonts w:eastAsia="等线"/>
          <w:color w:val="000000"/>
        </w:rPr>
        <w:t xml:space="preserve">either </w:t>
      </w:r>
      <w:r w:rsidRPr="00AB5EE0">
        <w:rPr>
          <w:rFonts w:eastAsia="等线"/>
          <w:color w:val="000000"/>
        </w:rPr>
        <w:t>u</w:t>
      </w:r>
      <w:r>
        <w:rPr>
          <w:rFonts w:eastAsia="等线"/>
          <w:color w:val="000000"/>
        </w:rPr>
        <w:t>tilise</w:t>
      </w:r>
      <w:r w:rsidRPr="00AB5EE0">
        <w:rPr>
          <w:rFonts w:eastAsia="等线"/>
          <w:color w:val="000000"/>
        </w:rPr>
        <w:t xml:space="preserve"> </w:t>
      </w:r>
      <w:r>
        <w:rPr>
          <w:rFonts w:eastAsia="等线"/>
          <w:color w:val="000000"/>
        </w:rPr>
        <w:t xml:space="preserve">the </w:t>
      </w:r>
      <w:r w:rsidRPr="00AB5EE0">
        <w:rPr>
          <w:rFonts w:eastAsia="等线"/>
          <w:color w:val="000000"/>
        </w:rPr>
        <w:t>UCC for goods delivery and warehouse service</w:t>
      </w:r>
      <w:r>
        <w:rPr>
          <w:rFonts w:eastAsia="等线"/>
          <w:color w:val="000000"/>
        </w:rPr>
        <w:t>s</w:t>
      </w:r>
      <w:r w:rsidRPr="00AB5EE0">
        <w:rPr>
          <w:rFonts w:eastAsia="等线"/>
          <w:color w:val="000000"/>
        </w:rPr>
        <w:t xml:space="preserve">, </w:t>
      </w:r>
      <w:r>
        <w:rPr>
          <w:rFonts w:eastAsia="等线"/>
          <w:color w:val="000000"/>
        </w:rPr>
        <w:t>or to pay an entry fee. The</w:t>
      </w:r>
      <w:r w:rsidRPr="00AB5EE0">
        <w:rPr>
          <w:rFonts w:eastAsia="等线"/>
          <w:color w:val="000000"/>
        </w:rPr>
        <w:t xml:space="preserve"> UCC also provides value-adding service</w:t>
      </w:r>
      <w:r>
        <w:rPr>
          <w:rFonts w:eastAsia="等线"/>
          <w:color w:val="000000"/>
        </w:rPr>
        <w:t>s</w:t>
      </w:r>
      <w:r w:rsidRPr="00147D68">
        <w:rPr>
          <w:rFonts w:eastAsia="等线"/>
          <w:color w:val="000000"/>
        </w:rPr>
        <w:t xml:space="preserve"> </w:t>
      </w:r>
      <w:r w:rsidRPr="00AB5EE0">
        <w:rPr>
          <w:rFonts w:eastAsia="等线"/>
          <w:color w:val="000000"/>
        </w:rPr>
        <w:t xml:space="preserve">in the </w:t>
      </w:r>
      <w:r>
        <w:rPr>
          <w:rFonts w:eastAsia="等线"/>
          <w:color w:val="000000"/>
        </w:rPr>
        <w:t>Royal Seaport</w:t>
      </w:r>
      <w:r w:rsidRPr="00AB5EE0" w:rsidDel="00147D68">
        <w:rPr>
          <w:rFonts w:eastAsia="等线"/>
          <w:color w:val="000000"/>
        </w:rPr>
        <w:t xml:space="preserve"> </w:t>
      </w:r>
      <w:r>
        <w:rPr>
          <w:rFonts w:eastAsia="等线"/>
          <w:color w:val="000000"/>
        </w:rPr>
        <w:t>area,</w:t>
      </w:r>
      <w:r w:rsidRPr="00AB5EE0">
        <w:rPr>
          <w:rFonts w:eastAsia="等线"/>
          <w:color w:val="000000"/>
        </w:rPr>
        <w:t xml:space="preserve"> </w:t>
      </w:r>
      <w:r>
        <w:rPr>
          <w:rFonts w:eastAsia="等线"/>
          <w:color w:val="000000"/>
        </w:rPr>
        <w:t>including waste collection and r</w:t>
      </w:r>
      <w:r w:rsidRPr="00AB5EE0">
        <w:rPr>
          <w:rFonts w:eastAsia="等线"/>
          <w:color w:val="000000"/>
        </w:rPr>
        <w:t>oad</w:t>
      </w:r>
      <w:r>
        <w:rPr>
          <w:rFonts w:eastAsia="等线"/>
          <w:color w:val="000000"/>
        </w:rPr>
        <w:t xml:space="preserve"> </w:t>
      </w:r>
      <w:r w:rsidRPr="00AB5EE0">
        <w:rPr>
          <w:rFonts w:eastAsia="等线"/>
          <w:color w:val="000000"/>
        </w:rPr>
        <w:t>maint</w:t>
      </w:r>
      <w:r>
        <w:rPr>
          <w:rFonts w:eastAsia="等线"/>
          <w:color w:val="000000"/>
        </w:rPr>
        <w:t>enance</w:t>
      </w:r>
      <w:r w:rsidRPr="00AB5EE0">
        <w:rPr>
          <w:rFonts w:eastAsia="等线"/>
          <w:color w:val="000000"/>
        </w:rPr>
        <w:t>.</w:t>
      </w:r>
    </w:p>
    <w:p w14:paraId="6CE94F72" w14:textId="6636F41A" w:rsidR="00BB2459" w:rsidRDefault="00BB2459" w:rsidP="00AB421E">
      <w:pPr>
        <w:pStyle w:val="Heading4"/>
        <w:spacing w:after="0"/>
        <w:rPr>
          <w:rFonts w:eastAsia="等线 Light"/>
        </w:rPr>
      </w:pPr>
      <w:r>
        <w:rPr>
          <w:rFonts w:eastAsia="等线 Light"/>
        </w:rPr>
        <w:t>Case 3</w:t>
      </w:r>
    </w:p>
    <w:p w14:paraId="2FF1BC5C" w14:textId="77777777" w:rsidR="00AB421E" w:rsidRPr="008D2EB7" w:rsidRDefault="00AB421E" w:rsidP="00AB42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eastAsia="等线"/>
          <w:color w:val="000000"/>
        </w:rPr>
      </w:pPr>
      <w:r>
        <w:rPr>
          <w:rFonts w:eastAsia="等线"/>
          <w:color w:val="000000"/>
        </w:rPr>
        <w:t>‘</w:t>
      </w:r>
      <w:r w:rsidRPr="000E3ECE">
        <w:rPr>
          <w:rFonts w:eastAsia="等线"/>
          <w:color w:val="000000"/>
        </w:rPr>
        <w:t>Company A</w:t>
      </w:r>
      <w:r>
        <w:rPr>
          <w:rFonts w:eastAsia="等线"/>
          <w:color w:val="000000"/>
        </w:rPr>
        <w:t>’</w:t>
      </w:r>
      <w:r w:rsidRPr="000E3ECE">
        <w:rPr>
          <w:rFonts w:eastAsia="等线"/>
          <w:color w:val="000000"/>
        </w:rPr>
        <w:t xml:space="preserve"> is one of the largest wholesale</w:t>
      </w:r>
      <w:r>
        <w:rPr>
          <w:rFonts w:eastAsia="等线"/>
          <w:color w:val="000000"/>
        </w:rPr>
        <w:t>r</w:t>
      </w:r>
      <w:r w:rsidRPr="000E3ECE">
        <w:rPr>
          <w:rFonts w:eastAsia="等线"/>
          <w:color w:val="000000"/>
        </w:rPr>
        <w:t xml:space="preserve">s </w:t>
      </w:r>
      <w:r>
        <w:rPr>
          <w:rFonts w:eastAsia="等线"/>
          <w:color w:val="000000"/>
        </w:rPr>
        <w:t xml:space="preserve">of </w:t>
      </w:r>
      <w:r w:rsidRPr="000E3ECE">
        <w:rPr>
          <w:rFonts w:eastAsia="等线"/>
          <w:color w:val="000000"/>
        </w:rPr>
        <w:t xml:space="preserve">medicine and medical equipment in China. </w:t>
      </w:r>
      <w:r>
        <w:rPr>
          <w:rFonts w:eastAsia="等线"/>
          <w:color w:val="000000"/>
        </w:rPr>
        <w:t xml:space="preserve">The </w:t>
      </w:r>
      <w:r w:rsidRPr="000E3ECE">
        <w:rPr>
          <w:rFonts w:eastAsia="等线"/>
          <w:color w:val="000000"/>
        </w:rPr>
        <w:t>Company built a medical UCC in Wuhan</w:t>
      </w:r>
      <w:r w:rsidRPr="00634FDC">
        <w:rPr>
          <w:rFonts w:eastAsia="等线"/>
          <w:color w:val="000000"/>
        </w:rPr>
        <w:t xml:space="preserve"> (</w:t>
      </w:r>
      <w:r w:rsidRPr="005E1C8E">
        <w:rPr>
          <w:rFonts w:eastAsia="等线"/>
          <w:color w:val="000000"/>
        </w:rPr>
        <w:t>Case 3)</w:t>
      </w:r>
      <w:r>
        <w:rPr>
          <w:rFonts w:eastAsia="等线"/>
          <w:color w:val="000000"/>
        </w:rPr>
        <w:t xml:space="preserve"> that </w:t>
      </w:r>
      <w:r w:rsidRPr="000E3ECE">
        <w:rPr>
          <w:rFonts w:eastAsia="等线"/>
          <w:color w:val="000000"/>
        </w:rPr>
        <w:t xml:space="preserve">is responsible for medical distribution in the city. In addition to Company A, seven other medical wholesales </w:t>
      </w:r>
      <w:r>
        <w:rPr>
          <w:rFonts w:eastAsia="等线"/>
          <w:color w:val="000000"/>
        </w:rPr>
        <w:t xml:space="preserve">use </w:t>
      </w:r>
      <w:r w:rsidRPr="000E3ECE">
        <w:rPr>
          <w:rFonts w:eastAsia="等线"/>
          <w:color w:val="000000"/>
        </w:rPr>
        <w:t>this UCC for city distribution and warehouse service</w:t>
      </w:r>
      <w:r>
        <w:rPr>
          <w:rFonts w:eastAsia="等线"/>
          <w:color w:val="000000"/>
        </w:rPr>
        <w:t>s</w:t>
      </w:r>
      <w:r w:rsidRPr="000E3ECE">
        <w:rPr>
          <w:rFonts w:eastAsia="等线"/>
          <w:color w:val="000000"/>
        </w:rPr>
        <w:t xml:space="preserve">. </w:t>
      </w:r>
      <w:r>
        <w:rPr>
          <w:rFonts w:eastAsia="等线"/>
          <w:color w:val="000000"/>
        </w:rPr>
        <w:t>Together</w:t>
      </w:r>
      <w:r w:rsidRPr="000E3ECE">
        <w:rPr>
          <w:rFonts w:eastAsia="等线"/>
          <w:color w:val="000000"/>
        </w:rPr>
        <w:t xml:space="preserve">, these eight companies </w:t>
      </w:r>
      <w:r>
        <w:rPr>
          <w:rFonts w:eastAsia="等线"/>
          <w:color w:val="000000"/>
        </w:rPr>
        <w:t xml:space="preserve">have built </w:t>
      </w:r>
      <w:r w:rsidRPr="000E3ECE">
        <w:rPr>
          <w:rFonts w:eastAsia="等线"/>
          <w:color w:val="000000"/>
        </w:rPr>
        <w:t>an inventory</w:t>
      </w:r>
      <w:r>
        <w:rPr>
          <w:rFonts w:eastAsia="等线"/>
          <w:color w:val="000000"/>
        </w:rPr>
        <w:t>-</w:t>
      </w:r>
      <w:r w:rsidRPr="000E3ECE">
        <w:rPr>
          <w:rFonts w:eastAsia="等线"/>
          <w:color w:val="000000"/>
        </w:rPr>
        <w:t>sharing partnership</w:t>
      </w:r>
      <w:r>
        <w:rPr>
          <w:rFonts w:eastAsia="等线"/>
          <w:color w:val="000000"/>
        </w:rPr>
        <w:t xml:space="preserve"> that enables</w:t>
      </w:r>
      <w:r w:rsidRPr="005C3B0E">
        <w:rPr>
          <w:rFonts w:eastAsia="等线" w:hint="eastAsia"/>
          <w:color w:val="000000"/>
        </w:rPr>
        <w:t xml:space="preserve"> goods shipments from the UCC directly to consumers, </w:t>
      </w:r>
      <w:r>
        <w:rPr>
          <w:rFonts w:eastAsia="等线"/>
          <w:color w:val="000000"/>
        </w:rPr>
        <w:t xml:space="preserve">thereby </w:t>
      </w:r>
      <w:r w:rsidRPr="005C3B0E">
        <w:rPr>
          <w:rFonts w:eastAsia="等线" w:hint="eastAsia"/>
          <w:color w:val="000000"/>
        </w:rPr>
        <w:t xml:space="preserve">reducing total transit time (including goods sorting and final delivery) from 36 hours to 6 hours for </w:t>
      </w:r>
      <w:r>
        <w:rPr>
          <w:rFonts w:eastAsia="等线"/>
          <w:color w:val="000000"/>
        </w:rPr>
        <w:t xml:space="preserve">goods purchased by </w:t>
      </w:r>
      <w:r w:rsidRPr="005C3B0E">
        <w:rPr>
          <w:rFonts w:eastAsia="等线" w:hint="eastAsia"/>
          <w:color w:val="000000"/>
        </w:rPr>
        <w:t>consumers in Wuhan.</w:t>
      </w:r>
      <w:r>
        <w:rPr>
          <w:rFonts w:eastAsia="等线"/>
          <w:color w:val="000000"/>
        </w:rPr>
        <w:t xml:space="preserve"> This </w:t>
      </w:r>
      <w:r w:rsidRPr="000E3ECE">
        <w:rPr>
          <w:rFonts w:eastAsia="等线"/>
          <w:color w:val="000000"/>
        </w:rPr>
        <w:t>inventory sharing mechanism</w:t>
      </w:r>
      <w:r>
        <w:rPr>
          <w:rFonts w:eastAsia="等线"/>
          <w:color w:val="000000"/>
        </w:rPr>
        <w:t xml:space="preserve"> enables </w:t>
      </w:r>
      <w:r w:rsidRPr="008D2EB7">
        <w:rPr>
          <w:rFonts w:eastAsia="等线"/>
          <w:color w:val="000000"/>
        </w:rPr>
        <w:t>economies of scale</w:t>
      </w:r>
      <w:r w:rsidRPr="000E3ECE">
        <w:rPr>
          <w:rFonts w:eastAsia="等线"/>
          <w:color w:val="000000"/>
        </w:rPr>
        <w:t xml:space="preserve">, </w:t>
      </w:r>
      <w:r>
        <w:rPr>
          <w:rFonts w:eastAsia="等线" w:hint="eastAsia"/>
          <w:color w:val="000000"/>
        </w:rPr>
        <w:t>which</w:t>
      </w:r>
      <w:r w:rsidRPr="000E3ECE">
        <w:rPr>
          <w:rFonts w:eastAsia="等线"/>
          <w:color w:val="000000"/>
        </w:rPr>
        <w:t xml:space="preserve"> reduce the logistics cost</w:t>
      </w:r>
      <w:r>
        <w:rPr>
          <w:rFonts w:eastAsia="等线"/>
          <w:color w:val="000000"/>
        </w:rPr>
        <w:t>s</w:t>
      </w:r>
      <w:r w:rsidRPr="000E3ECE">
        <w:rPr>
          <w:rFonts w:eastAsia="等线"/>
          <w:color w:val="000000"/>
        </w:rPr>
        <w:t xml:space="preserve"> for all the participating companies. </w:t>
      </w:r>
    </w:p>
    <w:p w14:paraId="67D3E4BB" w14:textId="77777777" w:rsidR="00AB421E" w:rsidRPr="000E3ECE" w:rsidRDefault="00AB421E" w:rsidP="00AB421E">
      <w:pPr>
        <w:spacing w:line="360" w:lineRule="auto"/>
        <w:rPr>
          <w:rFonts w:eastAsia="等线"/>
          <w:color w:val="000000"/>
        </w:rPr>
      </w:pPr>
      <w:r w:rsidRPr="000E3ECE">
        <w:rPr>
          <w:rFonts w:eastAsia="等线"/>
          <w:color w:val="000000"/>
        </w:rPr>
        <w:t xml:space="preserve">This UCC </w:t>
      </w:r>
      <w:r>
        <w:rPr>
          <w:rFonts w:eastAsia="等线"/>
          <w:color w:val="000000"/>
        </w:rPr>
        <w:t xml:space="preserve">has </w:t>
      </w:r>
      <w:r w:rsidRPr="000E3ECE">
        <w:rPr>
          <w:rFonts w:eastAsia="等线"/>
          <w:color w:val="000000"/>
        </w:rPr>
        <w:t>three key stakeholders:</w:t>
      </w:r>
    </w:p>
    <w:p w14:paraId="46FAD12F" w14:textId="77777777" w:rsidR="00AB421E" w:rsidRPr="000E3ECE" w:rsidRDefault="00AB421E" w:rsidP="00A323CC">
      <w:pPr>
        <w:pStyle w:val="ListParagraph"/>
        <w:numPr>
          <w:ilvl w:val="0"/>
          <w:numId w:val="12"/>
        </w:numPr>
        <w:spacing w:after="160" w:line="360" w:lineRule="auto"/>
        <w:jc w:val="left"/>
        <w:rPr>
          <w:rFonts w:eastAsia="等线"/>
          <w:color w:val="000000"/>
        </w:rPr>
      </w:pPr>
      <w:r>
        <w:rPr>
          <w:rFonts w:eastAsia="等线"/>
          <w:color w:val="000000"/>
        </w:rPr>
        <w:t>‘C</w:t>
      </w:r>
      <w:r w:rsidRPr="000E3ECE">
        <w:rPr>
          <w:rFonts w:eastAsia="等线"/>
          <w:color w:val="000000"/>
        </w:rPr>
        <w:t>ompany A</w:t>
      </w:r>
      <w:r>
        <w:rPr>
          <w:rFonts w:eastAsia="等线"/>
          <w:color w:val="000000"/>
        </w:rPr>
        <w:t xml:space="preserve">’, which </w:t>
      </w:r>
      <w:r w:rsidRPr="000E3ECE">
        <w:rPr>
          <w:rFonts w:eastAsia="等线"/>
          <w:color w:val="000000"/>
        </w:rPr>
        <w:t>invest</w:t>
      </w:r>
      <w:r>
        <w:rPr>
          <w:rFonts w:eastAsia="等线"/>
          <w:color w:val="000000"/>
        </w:rPr>
        <w:t>s</w:t>
      </w:r>
      <w:r w:rsidRPr="000E3ECE">
        <w:rPr>
          <w:rFonts w:eastAsia="等线"/>
          <w:color w:val="000000"/>
        </w:rPr>
        <w:t xml:space="preserve"> </w:t>
      </w:r>
      <w:r>
        <w:rPr>
          <w:rFonts w:eastAsia="等线"/>
          <w:color w:val="000000"/>
        </w:rPr>
        <w:t xml:space="preserve">in the UCC </w:t>
      </w:r>
      <w:r w:rsidRPr="000E3ECE">
        <w:rPr>
          <w:rFonts w:eastAsia="等线"/>
          <w:color w:val="000000"/>
        </w:rPr>
        <w:t xml:space="preserve">and </w:t>
      </w:r>
      <w:r>
        <w:rPr>
          <w:rFonts w:eastAsia="等线"/>
          <w:color w:val="000000"/>
        </w:rPr>
        <w:t>covers all</w:t>
      </w:r>
      <w:r w:rsidRPr="000E3ECE">
        <w:rPr>
          <w:rFonts w:eastAsia="等线"/>
          <w:color w:val="000000"/>
        </w:rPr>
        <w:t xml:space="preserve"> expenditure </w:t>
      </w:r>
      <w:r>
        <w:rPr>
          <w:rFonts w:eastAsia="等线"/>
          <w:color w:val="000000"/>
        </w:rPr>
        <w:t xml:space="preserve">for its </w:t>
      </w:r>
      <w:proofErr w:type="gramStart"/>
      <w:r>
        <w:rPr>
          <w:rFonts w:eastAsia="等线"/>
          <w:color w:val="000000"/>
        </w:rPr>
        <w:t>operation</w:t>
      </w:r>
      <w:proofErr w:type="gramEnd"/>
    </w:p>
    <w:p w14:paraId="1F37C1CE" w14:textId="77777777" w:rsidR="00AB421E" w:rsidRPr="005E1C8E" w:rsidRDefault="00AB421E" w:rsidP="00A323CC">
      <w:pPr>
        <w:pStyle w:val="ListParagraph"/>
        <w:numPr>
          <w:ilvl w:val="0"/>
          <w:numId w:val="12"/>
        </w:numPr>
        <w:spacing w:line="360" w:lineRule="auto"/>
        <w:jc w:val="left"/>
        <w:rPr>
          <w:rFonts w:eastAsia="等线"/>
          <w:color w:val="000000"/>
        </w:rPr>
      </w:pPr>
      <w:r>
        <w:rPr>
          <w:rFonts w:eastAsia="等线"/>
          <w:color w:val="000000"/>
        </w:rPr>
        <w:t xml:space="preserve">the </w:t>
      </w:r>
      <w:r w:rsidRPr="000E3ECE">
        <w:rPr>
          <w:rFonts w:eastAsia="等线"/>
          <w:color w:val="000000"/>
        </w:rPr>
        <w:t>warehouse department</w:t>
      </w:r>
      <w:r>
        <w:rPr>
          <w:rFonts w:eastAsia="等线"/>
          <w:color w:val="000000"/>
        </w:rPr>
        <w:t xml:space="preserve"> of the UCC,</w:t>
      </w:r>
      <w:r w:rsidRPr="000E3ECE">
        <w:rPr>
          <w:rFonts w:eastAsia="等线"/>
          <w:color w:val="000000"/>
        </w:rPr>
        <w:t xml:space="preserve"> which </w:t>
      </w:r>
      <w:r>
        <w:rPr>
          <w:rFonts w:eastAsia="等线"/>
          <w:color w:val="000000"/>
        </w:rPr>
        <w:t xml:space="preserve">is </w:t>
      </w:r>
      <w:r w:rsidRPr="000E3ECE">
        <w:rPr>
          <w:rFonts w:eastAsia="等线"/>
          <w:color w:val="000000"/>
        </w:rPr>
        <w:t xml:space="preserve">responsible </w:t>
      </w:r>
      <w:r>
        <w:rPr>
          <w:rFonts w:eastAsia="等线"/>
          <w:color w:val="000000"/>
        </w:rPr>
        <w:t xml:space="preserve">for </w:t>
      </w:r>
      <w:r w:rsidRPr="000E3ECE">
        <w:rPr>
          <w:rFonts w:eastAsia="等线"/>
          <w:color w:val="000000"/>
        </w:rPr>
        <w:t xml:space="preserve">order processing, </w:t>
      </w:r>
      <w:r>
        <w:rPr>
          <w:rFonts w:eastAsia="等线" w:hint="eastAsia"/>
          <w:color w:val="000000"/>
        </w:rPr>
        <w:t>inventory</w:t>
      </w:r>
      <w:r w:rsidRPr="000E3ECE">
        <w:rPr>
          <w:rFonts w:eastAsia="等线"/>
          <w:color w:val="000000"/>
        </w:rPr>
        <w:t xml:space="preserve"> replenishment, goods sorting</w:t>
      </w:r>
      <w:r>
        <w:rPr>
          <w:rFonts w:eastAsia="等线"/>
          <w:color w:val="000000"/>
        </w:rPr>
        <w:t>,</w:t>
      </w:r>
      <w:r w:rsidRPr="000E3ECE">
        <w:rPr>
          <w:rFonts w:eastAsia="等线"/>
          <w:color w:val="000000"/>
        </w:rPr>
        <w:t xml:space="preserve"> and inventory </w:t>
      </w:r>
      <w:proofErr w:type="gramStart"/>
      <w:r w:rsidRPr="000E3ECE">
        <w:rPr>
          <w:rFonts w:eastAsia="等线"/>
          <w:color w:val="000000"/>
        </w:rPr>
        <w:t>management</w:t>
      </w:r>
      <w:proofErr w:type="gramEnd"/>
    </w:p>
    <w:p w14:paraId="3912CB7C" w14:textId="77777777" w:rsidR="00AB421E" w:rsidRPr="000E3ECE" w:rsidRDefault="00AB421E" w:rsidP="00A323CC">
      <w:pPr>
        <w:pStyle w:val="ListParagraph"/>
        <w:numPr>
          <w:ilvl w:val="0"/>
          <w:numId w:val="12"/>
        </w:numPr>
        <w:spacing w:after="160" w:line="360" w:lineRule="auto"/>
        <w:rPr>
          <w:rFonts w:eastAsia="等线"/>
          <w:color w:val="000000"/>
        </w:rPr>
      </w:pPr>
      <w:r>
        <w:rPr>
          <w:rFonts w:eastAsia="等线"/>
          <w:color w:val="000000"/>
        </w:rPr>
        <w:t xml:space="preserve">the </w:t>
      </w:r>
      <w:r w:rsidRPr="000E3ECE">
        <w:rPr>
          <w:rFonts w:eastAsia="等线"/>
          <w:color w:val="000000"/>
        </w:rPr>
        <w:t>distribution department</w:t>
      </w:r>
      <w:r>
        <w:rPr>
          <w:rFonts w:eastAsia="等线"/>
          <w:color w:val="000000"/>
        </w:rPr>
        <w:t xml:space="preserve"> of the UCC,</w:t>
      </w:r>
      <w:r w:rsidRPr="000E3ECE">
        <w:rPr>
          <w:rFonts w:eastAsia="等线"/>
          <w:color w:val="000000"/>
        </w:rPr>
        <w:t xml:space="preserve"> which deals with daily </w:t>
      </w:r>
      <w:proofErr w:type="gramStart"/>
      <w:r w:rsidRPr="000E3ECE">
        <w:rPr>
          <w:rFonts w:eastAsia="等线"/>
          <w:color w:val="000000"/>
        </w:rPr>
        <w:t>deliver</w:t>
      </w:r>
      <w:r>
        <w:rPr>
          <w:rFonts w:eastAsia="等线"/>
          <w:color w:val="000000"/>
        </w:rPr>
        <w:t>ies</w:t>
      </w:r>
      <w:proofErr w:type="gramEnd"/>
    </w:p>
    <w:p w14:paraId="68E9C902" w14:textId="3EA7599D" w:rsidR="00BB2459" w:rsidRPr="000E3ECE" w:rsidRDefault="00BB2459" w:rsidP="0021135D">
      <w:pPr>
        <w:pStyle w:val="Heading4"/>
        <w:spacing w:after="0"/>
        <w:rPr>
          <w:rFonts w:eastAsia="等线 Light"/>
        </w:rPr>
      </w:pPr>
      <w:r w:rsidRPr="000E3ECE">
        <w:rPr>
          <w:rFonts w:eastAsia="等线 Light"/>
        </w:rPr>
        <w:t>Case 4</w:t>
      </w:r>
    </w:p>
    <w:p w14:paraId="1A183B24" w14:textId="77777777" w:rsidR="0021135D" w:rsidRDefault="0021135D" w:rsidP="0021135D">
      <w:pPr>
        <w:spacing w:line="360" w:lineRule="auto"/>
        <w:rPr>
          <w:rFonts w:eastAsia="等线"/>
          <w:color w:val="000000"/>
        </w:rPr>
      </w:pPr>
      <w:bookmarkStart w:id="907" w:name="_Toc46053477"/>
      <w:bookmarkStart w:id="908" w:name="_Toc46093391"/>
      <w:bookmarkStart w:id="909" w:name="_Toc46093674"/>
      <w:r>
        <w:rPr>
          <w:rFonts w:eastAsia="等线"/>
          <w:color w:val="000000"/>
        </w:rPr>
        <w:t>‘</w:t>
      </w:r>
      <w:r w:rsidRPr="000E3ECE">
        <w:rPr>
          <w:rFonts w:eastAsia="等线"/>
          <w:color w:val="000000"/>
        </w:rPr>
        <w:t>Company B</w:t>
      </w:r>
      <w:r>
        <w:rPr>
          <w:rFonts w:eastAsia="等线"/>
          <w:color w:val="000000"/>
        </w:rPr>
        <w:t>’</w:t>
      </w:r>
      <w:r w:rsidRPr="000E3ECE">
        <w:rPr>
          <w:rFonts w:eastAsia="等线"/>
          <w:color w:val="000000"/>
        </w:rPr>
        <w:t xml:space="preserve"> is a private </w:t>
      </w:r>
      <w:r>
        <w:rPr>
          <w:rFonts w:eastAsia="等线"/>
          <w:color w:val="000000"/>
        </w:rPr>
        <w:t>LC</w:t>
      </w:r>
      <w:r w:rsidRPr="000E3ECE">
        <w:rPr>
          <w:rFonts w:eastAsia="等线"/>
          <w:color w:val="000000"/>
        </w:rPr>
        <w:t xml:space="preserve"> in Wuhan</w:t>
      </w:r>
      <w:r>
        <w:rPr>
          <w:rFonts w:eastAsia="等线"/>
          <w:color w:val="000000"/>
        </w:rPr>
        <w:t xml:space="preserve"> that invests</w:t>
      </w:r>
      <w:r w:rsidRPr="000E3ECE">
        <w:rPr>
          <w:rFonts w:eastAsia="等线"/>
          <w:color w:val="000000"/>
        </w:rPr>
        <w:t xml:space="preserve"> </w:t>
      </w:r>
      <w:r>
        <w:rPr>
          <w:rFonts w:eastAsia="等线"/>
          <w:color w:val="000000"/>
        </w:rPr>
        <w:t xml:space="preserve">in </w:t>
      </w:r>
      <w:r>
        <w:rPr>
          <w:rFonts w:eastAsia="等线" w:hint="eastAsia"/>
          <w:color w:val="000000"/>
        </w:rPr>
        <w:t>a</w:t>
      </w:r>
      <w:r>
        <w:rPr>
          <w:rFonts w:eastAsia="等线"/>
          <w:color w:val="000000"/>
        </w:rPr>
        <w:t xml:space="preserve"> </w:t>
      </w:r>
      <w:r w:rsidRPr="000E3ECE">
        <w:rPr>
          <w:rFonts w:eastAsia="等线"/>
          <w:color w:val="000000"/>
        </w:rPr>
        <w:t>UCC</w:t>
      </w:r>
      <w:r>
        <w:rPr>
          <w:rFonts w:eastAsia="等线"/>
          <w:color w:val="000000"/>
        </w:rPr>
        <w:t xml:space="preserve"> (Case 4)</w:t>
      </w:r>
      <w:r w:rsidRPr="000E3ECE">
        <w:rPr>
          <w:rFonts w:eastAsia="等线"/>
          <w:color w:val="000000"/>
        </w:rPr>
        <w:t xml:space="preserve"> to trans</w:t>
      </w:r>
      <w:r>
        <w:rPr>
          <w:rFonts w:eastAsia="等线"/>
          <w:color w:val="000000"/>
        </w:rPr>
        <w:t>hip</w:t>
      </w:r>
      <w:r w:rsidRPr="000E3ECE">
        <w:rPr>
          <w:rFonts w:eastAsia="等线"/>
          <w:color w:val="000000"/>
        </w:rPr>
        <w:t xml:space="preserve"> goods (</w:t>
      </w:r>
      <w:r>
        <w:rPr>
          <w:rFonts w:eastAsia="等线"/>
          <w:color w:val="000000"/>
        </w:rPr>
        <w:t xml:space="preserve">primarily </w:t>
      </w:r>
      <w:r w:rsidRPr="000E3ECE">
        <w:rPr>
          <w:rFonts w:eastAsia="等线"/>
          <w:color w:val="000000"/>
        </w:rPr>
        <w:t>cold</w:t>
      </w:r>
      <w:r>
        <w:rPr>
          <w:rFonts w:eastAsia="等线"/>
          <w:color w:val="000000"/>
        </w:rPr>
        <w:t>-</w:t>
      </w:r>
      <w:r w:rsidRPr="000E3ECE">
        <w:rPr>
          <w:rFonts w:eastAsia="等线"/>
          <w:color w:val="000000"/>
        </w:rPr>
        <w:t>chain products) for inter</w:t>
      </w:r>
      <w:r>
        <w:rPr>
          <w:rFonts w:eastAsia="等线"/>
          <w:color w:val="000000"/>
        </w:rPr>
        <w:t>-</w:t>
      </w:r>
      <w:r w:rsidRPr="000E3ECE">
        <w:rPr>
          <w:rFonts w:eastAsia="等线"/>
          <w:color w:val="000000"/>
        </w:rPr>
        <w:t>cit</w:t>
      </w:r>
      <w:r>
        <w:rPr>
          <w:rFonts w:eastAsia="等线"/>
          <w:color w:val="000000"/>
        </w:rPr>
        <w:t>y carriers</w:t>
      </w:r>
      <w:r w:rsidRPr="000E3ECE">
        <w:rPr>
          <w:rFonts w:eastAsia="等线"/>
          <w:color w:val="000000"/>
        </w:rPr>
        <w:t>.</w:t>
      </w:r>
      <w:r>
        <w:rPr>
          <w:rFonts w:eastAsia="等线" w:hint="eastAsia"/>
          <w:color w:val="000000"/>
        </w:rPr>
        <w:t xml:space="preserve"> </w:t>
      </w:r>
      <w:r>
        <w:rPr>
          <w:rFonts w:eastAsia="等线"/>
          <w:color w:val="000000"/>
        </w:rPr>
        <w:t>It is the result of the municipal’</w:t>
      </w:r>
      <w:r w:rsidRPr="000E3ECE">
        <w:rPr>
          <w:rFonts w:eastAsia="等线"/>
          <w:color w:val="000000"/>
        </w:rPr>
        <w:t>s time-windows policy</w:t>
      </w:r>
      <w:r>
        <w:rPr>
          <w:rFonts w:eastAsia="等线"/>
          <w:color w:val="000000"/>
        </w:rPr>
        <w:t xml:space="preserve"> that</w:t>
      </w:r>
      <w:r w:rsidRPr="000E3ECE">
        <w:rPr>
          <w:rFonts w:eastAsia="等线"/>
          <w:color w:val="000000"/>
        </w:rPr>
        <w:t xml:space="preserve"> prohibits non-local registered freight vehicles from moving into the city centre </w:t>
      </w:r>
      <w:r>
        <w:rPr>
          <w:rFonts w:eastAsia="等线"/>
          <w:color w:val="000000"/>
        </w:rPr>
        <w:t xml:space="preserve">during </w:t>
      </w:r>
      <w:r w:rsidRPr="000E3ECE">
        <w:rPr>
          <w:rFonts w:eastAsia="等线"/>
          <w:color w:val="000000"/>
        </w:rPr>
        <w:t xml:space="preserve">the daytime. </w:t>
      </w:r>
      <w:r>
        <w:rPr>
          <w:rFonts w:eastAsia="等线"/>
          <w:color w:val="000000"/>
        </w:rPr>
        <w:t xml:space="preserve">To avoid waiting for these time windows to access the urban area, the </w:t>
      </w:r>
      <w:r w:rsidRPr="000E3ECE">
        <w:rPr>
          <w:rFonts w:eastAsia="等线"/>
          <w:color w:val="000000"/>
        </w:rPr>
        <w:t xml:space="preserve">non-local registered freight vehicles </w:t>
      </w:r>
      <w:r>
        <w:rPr>
          <w:rFonts w:eastAsia="等线"/>
          <w:color w:val="000000"/>
        </w:rPr>
        <w:t xml:space="preserve">simply </w:t>
      </w:r>
      <w:r w:rsidRPr="000E3ECE">
        <w:rPr>
          <w:rFonts w:eastAsia="等线"/>
          <w:color w:val="000000"/>
        </w:rPr>
        <w:t xml:space="preserve">hand over the goods to the UCC for city distribution. </w:t>
      </w:r>
    </w:p>
    <w:p w14:paraId="2EA184EF" w14:textId="77777777" w:rsidR="0021135D" w:rsidRPr="000E3ECE" w:rsidRDefault="0021135D" w:rsidP="0021135D">
      <w:pPr>
        <w:spacing w:line="360" w:lineRule="auto"/>
        <w:rPr>
          <w:rFonts w:eastAsia="等线"/>
          <w:color w:val="000000"/>
        </w:rPr>
      </w:pPr>
      <w:r>
        <w:rPr>
          <w:rFonts w:eastAsia="等线"/>
          <w:color w:val="000000"/>
        </w:rPr>
        <w:t xml:space="preserve">Company B </w:t>
      </w:r>
      <w:r>
        <w:rPr>
          <w:rFonts w:eastAsia="等线" w:hint="eastAsia"/>
          <w:color w:val="000000"/>
        </w:rPr>
        <w:t>and</w:t>
      </w:r>
      <w:r>
        <w:rPr>
          <w:rFonts w:eastAsia="等线"/>
          <w:color w:val="000000"/>
        </w:rPr>
        <w:t xml:space="preserve"> government cooperate </w:t>
      </w:r>
      <w:r>
        <w:rPr>
          <w:rFonts w:eastAsia="等线" w:hint="eastAsia"/>
          <w:color w:val="000000"/>
        </w:rPr>
        <w:t>to</w:t>
      </w:r>
      <w:r>
        <w:rPr>
          <w:rFonts w:eastAsia="等线"/>
          <w:color w:val="000000"/>
        </w:rPr>
        <w:t xml:space="preserve"> </w:t>
      </w:r>
      <w:r>
        <w:rPr>
          <w:rFonts w:eastAsia="等线" w:hint="eastAsia"/>
          <w:color w:val="000000"/>
        </w:rPr>
        <w:t>establish</w:t>
      </w:r>
      <w:r>
        <w:rPr>
          <w:rFonts w:eastAsia="等线"/>
          <w:color w:val="000000"/>
        </w:rPr>
        <w:t xml:space="preserve"> a p</w:t>
      </w:r>
      <w:r w:rsidRPr="009570CF">
        <w:rPr>
          <w:rFonts w:eastAsia="等线"/>
          <w:color w:val="000000"/>
        </w:rPr>
        <w:t>ublic-private partnership</w:t>
      </w:r>
      <w:r>
        <w:rPr>
          <w:rFonts w:eastAsia="等线"/>
          <w:color w:val="000000"/>
        </w:rPr>
        <w:t xml:space="preserve"> project to commercialise a new navigation system. In </w:t>
      </w:r>
      <w:r>
        <w:rPr>
          <w:rFonts w:eastAsia="等线" w:hint="eastAsia"/>
          <w:color w:val="000000"/>
        </w:rPr>
        <w:t>the</w:t>
      </w:r>
      <w:r>
        <w:rPr>
          <w:rFonts w:eastAsia="等线"/>
          <w:color w:val="000000"/>
        </w:rPr>
        <w:t xml:space="preserve"> project, the UCC is an experimental platform used to verify the feasibility of new technology. For this reason, the UCC receives public investment. The </w:t>
      </w:r>
      <w:r w:rsidRPr="004F0A29">
        <w:rPr>
          <w:rFonts w:eastAsia="等线"/>
          <w:color w:val="000000"/>
        </w:rPr>
        <w:t xml:space="preserve">UCC </w:t>
      </w:r>
      <w:r>
        <w:rPr>
          <w:rFonts w:eastAsia="等线"/>
          <w:color w:val="000000"/>
        </w:rPr>
        <w:t xml:space="preserve">has </w:t>
      </w:r>
      <w:r w:rsidRPr="004F0A29">
        <w:rPr>
          <w:rFonts w:eastAsia="等线"/>
          <w:color w:val="000000"/>
        </w:rPr>
        <w:t>three key stakeholders:</w:t>
      </w:r>
    </w:p>
    <w:p w14:paraId="057588CA" w14:textId="77777777" w:rsidR="0021135D" w:rsidRDefault="0021135D" w:rsidP="00A323CC">
      <w:pPr>
        <w:pStyle w:val="ListParagraph"/>
        <w:numPr>
          <w:ilvl w:val="0"/>
          <w:numId w:val="12"/>
        </w:numPr>
        <w:spacing w:line="360" w:lineRule="auto"/>
        <w:rPr>
          <w:rFonts w:eastAsia="等线"/>
          <w:color w:val="000000"/>
        </w:rPr>
      </w:pPr>
      <w:r>
        <w:rPr>
          <w:rFonts w:eastAsia="等线"/>
          <w:color w:val="000000"/>
        </w:rPr>
        <w:t>‘</w:t>
      </w:r>
      <w:r w:rsidRPr="00BE1407">
        <w:rPr>
          <w:rFonts w:eastAsia="等线"/>
          <w:color w:val="000000"/>
        </w:rPr>
        <w:t>Company B</w:t>
      </w:r>
      <w:r>
        <w:rPr>
          <w:rFonts w:eastAsia="等线"/>
          <w:color w:val="000000"/>
        </w:rPr>
        <w:t>’, which</w:t>
      </w:r>
      <w:r w:rsidRPr="000E3ECE">
        <w:rPr>
          <w:rFonts w:eastAsia="等线"/>
          <w:color w:val="000000"/>
        </w:rPr>
        <w:t xml:space="preserve"> invest</w:t>
      </w:r>
      <w:r>
        <w:rPr>
          <w:rFonts w:eastAsia="等线"/>
          <w:color w:val="000000"/>
        </w:rPr>
        <w:t>s in the</w:t>
      </w:r>
      <w:r w:rsidRPr="000E3ECE">
        <w:rPr>
          <w:rFonts w:eastAsia="等线"/>
          <w:color w:val="000000"/>
        </w:rPr>
        <w:t xml:space="preserve"> </w:t>
      </w:r>
      <w:r>
        <w:rPr>
          <w:rFonts w:eastAsia="等线"/>
          <w:color w:val="000000"/>
        </w:rPr>
        <w:t xml:space="preserve">facility </w:t>
      </w:r>
      <w:r w:rsidRPr="000E3ECE">
        <w:rPr>
          <w:rFonts w:eastAsia="等线"/>
          <w:color w:val="000000"/>
        </w:rPr>
        <w:t xml:space="preserve">and </w:t>
      </w:r>
      <w:r>
        <w:rPr>
          <w:rFonts w:eastAsia="等线"/>
          <w:color w:val="000000"/>
        </w:rPr>
        <w:t xml:space="preserve">covers the operation </w:t>
      </w:r>
      <w:proofErr w:type="gramStart"/>
      <w:r w:rsidRPr="000E3ECE">
        <w:rPr>
          <w:rFonts w:eastAsia="等线"/>
          <w:color w:val="000000"/>
        </w:rPr>
        <w:t>expenditure</w:t>
      </w:r>
      <w:proofErr w:type="gramEnd"/>
      <w:r w:rsidRPr="000E3ECE">
        <w:rPr>
          <w:rFonts w:eastAsia="等线"/>
          <w:color w:val="000000"/>
        </w:rPr>
        <w:t xml:space="preserve"> </w:t>
      </w:r>
    </w:p>
    <w:p w14:paraId="090D5732" w14:textId="77777777" w:rsidR="0021135D" w:rsidRDefault="0021135D" w:rsidP="00A323CC">
      <w:pPr>
        <w:pStyle w:val="ListParagraph"/>
        <w:numPr>
          <w:ilvl w:val="0"/>
          <w:numId w:val="12"/>
        </w:numPr>
        <w:spacing w:after="160" w:line="360" w:lineRule="auto"/>
        <w:jc w:val="left"/>
        <w:rPr>
          <w:rFonts w:eastAsia="等线"/>
          <w:color w:val="000000"/>
        </w:rPr>
      </w:pPr>
      <w:r>
        <w:rPr>
          <w:rFonts w:eastAsia="等线"/>
          <w:color w:val="000000"/>
        </w:rPr>
        <w:lastRenderedPageBreak/>
        <w:t xml:space="preserve">the </w:t>
      </w:r>
      <w:r w:rsidRPr="00BE1407">
        <w:rPr>
          <w:rFonts w:eastAsia="等线" w:hint="eastAsia"/>
          <w:color w:val="000000"/>
        </w:rPr>
        <w:t>U</w:t>
      </w:r>
      <w:r w:rsidRPr="00BE1407">
        <w:rPr>
          <w:rFonts w:eastAsia="等线"/>
          <w:color w:val="000000"/>
        </w:rPr>
        <w:t xml:space="preserve">CC </w:t>
      </w:r>
      <w:r>
        <w:rPr>
          <w:rFonts w:eastAsia="等线"/>
          <w:color w:val="000000"/>
        </w:rPr>
        <w:t>o</w:t>
      </w:r>
      <w:r w:rsidRPr="00BE1407">
        <w:rPr>
          <w:rFonts w:eastAsia="等线" w:hint="eastAsia"/>
          <w:color w:val="000000"/>
        </w:rPr>
        <w:t>perator</w:t>
      </w:r>
      <w:r w:rsidRPr="00BE1407">
        <w:rPr>
          <w:rFonts w:eastAsia="等线"/>
          <w:color w:val="000000"/>
        </w:rPr>
        <w:t xml:space="preserve"> </w:t>
      </w:r>
      <w:r>
        <w:rPr>
          <w:rFonts w:eastAsia="等线"/>
          <w:color w:val="000000"/>
        </w:rPr>
        <w:t>hired</w:t>
      </w:r>
      <w:r w:rsidRPr="00BE1407">
        <w:rPr>
          <w:rFonts w:eastAsia="等线"/>
          <w:color w:val="000000"/>
        </w:rPr>
        <w:t xml:space="preserve"> </w:t>
      </w:r>
      <w:r>
        <w:rPr>
          <w:rFonts w:eastAsia="等线" w:hint="eastAsia"/>
          <w:color w:val="000000"/>
        </w:rPr>
        <w:t>b</w:t>
      </w:r>
      <w:r>
        <w:rPr>
          <w:rFonts w:eastAsia="等线"/>
          <w:color w:val="000000"/>
        </w:rPr>
        <w:t>y ‘</w:t>
      </w:r>
      <w:r w:rsidRPr="00BE1407">
        <w:rPr>
          <w:rFonts w:eastAsia="等线"/>
          <w:color w:val="000000"/>
        </w:rPr>
        <w:t>Company B</w:t>
      </w:r>
      <w:r>
        <w:rPr>
          <w:rFonts w:eastAsia="等线"/>
          <w:color w:val="000000"/>
        </w:rPr>
        <w:t>’ and responsible for operations (goods sorting and transfer, urban distribution)</w:t>
      </w:r>
    </w:p>
    <w:p w14:paraId="5FD6DA46" w14:textId="77777777" w:rsidR="0021135D" w:rsidRDefault="0021135D" w:rsidP="00A323CC">
      <w:pPr>
        <w:pStyle w:val="ListParagraph"/>
        <w:numPr>
          <w:ilvl w:val="0"/>
          <w:numId w:val="12"/>
        </w:numPr>
        <w:spacing w:after="160" w:line="360" w:lineRule="auto"/>
        <w:rPr>
          <w:rFonts w:eastAsia="等线"/>
          <w:color w:val="000000"/>
        </w:rPr>
      </w:pPr>
      <w:r>
        <w:rPr>
          <w:rFonts w:eastAsia="等线"/>
          <w:color w:val="000000"/>
        </w:rPr>
        <w:t>the u</w:t>
      </w:r>
      <w:r w:rsidRPr="001B238E">
        <w:rPr>
          <w:rFonts w:eastAsia="等线"/>
          <w:color w:val="000000"/>
        </w:rPr>
        <w:t xml:space="preserve">niversity of </w:t>
      </w:r>
      <w:r>
        <w:rPr>
          <w:rFonts w:eastAsia="等线"/>
          <w:color w:val="000000"/>
        </w:rPr>
        <w:t>Wuhan u</w:t>
      </w:r>
      <w:r>
        <w:rPr>
          <w:rFonts w:eastAsia="等线" w:hint="eastAsia"/>
          <w:color w:val="000000"/>
        </w:rPr>
        <w:t>niversity</w:t>
      </w:r>
      <w:r>
        <w:rPr>
          <w:rFonts w:eastAsia="等线"/>
          <w:color w:val="000000"/>
        </w:rPr>
        <w:t xml:space="preserve"> </w:t>
      </w:r>
      <w:r>
        <w:rPr>
          <w:rFonts w:eastAsia="等线" w:hint="eastAsia"/>
          <w:color w:val="000000"/>
        </w:rPr>
        <w:t>of</w:t>
      </w:r>
      <w:r>
        <w:rPr>
          <w:rFonts w:eastAsia="等线"/>
          <w:color w:val="000000"/>
        </w:rPr>
        <w:t xml:space="preserve"> t</w:t>
      </w:r>
      <w:r>
        <w:rPr>
          <w:rFonts w:eastAsia="等线" w:hint="eastAsia"/>
          <w:color w:val="000000"/>
        </w:rPr>
        <w:t>echnology</w:t>
      </w:r>
      <w:r>
        <w:rPr>
          <w:rFonts w:eastAsia="等线"/>
          <w:color w:val="000000"/>
        </w:rPr>
        <w:t xml:space="preserve"> (</w:t>
      </w:r>
      <w:r w:rsidRPr="001B238E">
        <w:rPr>
          <w:rFonts w:eastAsia="等线"/>
          <w:color w:val="000000"/>
        </w:rPr>
        <w:t>WHUT</w:t>
      </w:r>
      <w:r>
        <w:rPr>
          <w:rFonts w:eastAsia="等线"/>
          <w:color w:val="000000"/>
        </w:rPr>
        <w:t>)</w:t>
      </w:r>
      <w:r w:rsidRPr="001B238E">
        <w:rPr>
          <w:rFonts w:eastAsia="等线"/>
          <w:color w:val="000000"/>
        </w:rPr>
        <w:t xml:space="preserve">, </w:t>
      </w:r>
      <w:r>
        <w:rPr>
          <w:rFonts w:eastAsia="等线"/>
          <w:color w:val="000000"/>
        </w:rPr>
        <w:t>which</w:t>
      </w:r>
      <w:r w:rsidRPr="001B238E">
        <w:rPr>
          <w:rFonts w:eastAsia="等线"/>
          <w:color w:val="000000"/>
        </w:rPr>
        <w:t xml:space="preserve"> cooperate</w:t>
      </w:r>
      <w:r>
        <w:rPr>
          <w:rFonts w:eastAsia="等线"/>
          <w:color w:val="000000"/>
        </w:rPr>
        <w:t>s</w:t>
      </w:r>
      <w:r w:rsidRPr="001B238E">
        <w:rPr>
          <w:rFonts w:eastAsia="等线"/>
          <w:color w:val="000000"/>
        </w:rPr>
        <w:t xml:space="preserve"> with </w:t>
      </w:r>
      <w:r>
        <w:rPr>
          <w:rFonts w:eastAsia="等线"/>
          <w:color w:val="000000"/>
        </w:rPr>
        <w:t xml:space="preserve">the </w:t>
      </w:r>
      <w:r w:rsidRPr="001B238E">
        <w:rPr>
          <w:rFonts w:eastAsia="等线"/>
          <w:color w:val="000000"/>
        </w:rPr>
        <w:t xml:space="preserve">UCC </w:t>
      </w:r>
      <w:r>
        <w:rPr>
          <w:rFonts w:eastAsia="等线"/>
          <w:color w:val="000000"/>
        </w:rPr>
        <w:t xml:space="preserve">in </w:t>
      </w:r>
      <w:r w:rsidRPr="001B238E">
        <w:rPr>
          <w:rFonts w:eastAsia="等线"/>
          <w:color w:val="000000"/>
        </w:rPr>
        <w:t xml:space="preserve">the urban distribution process to evaluate the performance of </w:t>
      </w:r>
      <w:r>
        <w:rPr>
          <w:rFonts w:eastAsia="等线"/>
          <w:color w:val="000000"/>
        </w:rPr>
        <w:t xml:space="preserve">the </w:t>
      </w:r>
      <w:r w:rsidRPr="001B238E">
        <w:rPr>
          <w:rFonts w:eastAsia="等线"/>
          <w:color w:val="000000"/>
        </w:rPr>
        <w:t xml:space="preserve">new navigation </w:t>
      </w:r>
      <w:proofErr w:type="gramStart"/>
      <w:r w:rsidRPr="001B238E">
        <w:rPr>
          <w:rFonts w:eastAsia="等线"/>
          <w:color w:val="000000"/>
        </w:rPr>
        <w:t>system</w:t>
      </w:r>
      <w:proofErr w:type="gramEnd"/>
    </w:p>
    <w:p w14:paraId="758FBBD1" w14:textId="1653444F" w:rsidR="00BB2459" w:rsidRPr="009903E5" w:rsidRDefault="00BB2459" w:rsidP="00BB2459">
      <w:pPr>
        <w:pStyle w:val="Heading3"/>
        <w:rPr>
          <w:rFonts w:eastAsia="等线 Light"/>
        </w:rPr>
      </w:pPr>
      <w:bookmarkStart w:id="910" w:name="_Toc66703250"/>
      <w:r w:rsidRPr="009903E5">
        <w:rPr>
          <w:rFonts w:eastAsia="等线 Light"/>
        </w:rPr>
        <w:t xml:space="preserve">Stakeholder </w:t>
      </w:r>
      <w:r>
        <w:rPr>
          <w:rFonts w:eastAsia="等线 Light"/>
        </w:rPr>
        <w:t>a</w:t>
      </w:r>
      <w:r w:rsidRPr="009903E5">
        <w:rPr>
          <w:rFonts w:eastAsia="等线 Light"/>
        </w:rPr>
        <w:t>nalysis</w:t>
      </w:r>
      <w:bookmarkEnd w:id="907"/>
      <w:bookmarkEnd w:id="908"/>
      <w:bookmarkEnd w:id="909"/>
      <w:bookmarkEnd w:id="910"/>
    </w:p>
    <w:p w14:paraId="6F87DBE1" w14:textId="77777777" w:rsidR="00077749" w:rsidRDefault="00077749" w:rsidP="00077749">
      <w:pPr>
        <w:spacing w:after="200" w:line="360" w:lineRule="auto"/>
        <w:rPr>
          <w:rFonts w:eastAsia="等线"/>
          <w:color w:val="000000"/>
        </w:rPr>
      </w:pPr>
      <w:r w:rsidRPr="009903E5">
        <w:rPr>
          <w:rFonts w:eastAsia="等线"/>
          <w:color w:val="000000"/>
        </w:rPr>
        <w:t xml:space="preserve">In the </w:t>
      </w:r>
      <w:r>
        <w:rPr>
          <w:rFonts w:eastAsia="等线" w:hint="eastAsia"/>
          <w:color w:val="000000"/>
        </w:rPr>
        <w:t>four</w:t>
      </w:r>
      <w:r>
        <w:rPr>
          <w:rFonts w:eastAsia="等线"/>
          <w:color w:val="000000"/>
        </w:rPr>
        <w:t xml:space="preserve"> cas</w:t>
      </w:r>
      <w:r w:rsidRPr="009903E5">
        <w:rPr>
          <w:rFonts w:eastAsia="等线"/>
          <w:color w:val="000000"/>
        </w:rPr>
        <w:t>es</w:t>
      </w:r>
      <w:r>
        <w:rPr>
          <w:rFonts w:eastAsia="等线"/>
          <w:color w:val="000000"/>
        </w:rPr>
        <w:t xml:space="preserve"> reported above</w:t>
      </w:r>
      <w:r w:rsidRPr="009903E5">
        <w:rPr>
          <w:rFonts w:eastAsia="等线"/>
          <w:color w:val="000000"/>
        </w:rPr>
        <w:t xml:space="preserve">, stakeholders </w:t>
      </w:r>
      <w:r>
        <w:rPr>
          <w:rFonts w:eastAsia="等线"/>
          <w:color w:val="000000"/>
        </w:rPr>
        <w:t xml:space="preserve">were selected for the analysis </w:t>
      </w:r>
      <w:r w:rsidRPr="009903E5">
        <w:rPr>
          <w:rFonts w:eastAsia="等线"/>
          <w:color w:val="000000"/>
        </w:rPr>
        <w:t xml:space="preserve">based on </w:t>
      </w:r>
      <w:r>
        <w:rPr>
          <w:rFonts w:eastAsia="等线"/>
          <w:color w:val="000000"/>
        </w:rPr>
        <w:t xml:space="preserve">the following </w:t>
      </w:r>
      <w:r w:rsidRPr="009903E5">
        <w:rPr>
          <w:rFonts w:eastAsia="等线"/>
          <w:color w:val="000000"/>
        </w:rPr>
        <w:t xml:space="preserve">three </w:t>
      </w:r>
      <w:r>
        <w:rPr>
          <w:rFonts w:eastAsia="等线"/>
          <w:color w:val="000000"/>
        </w:rPr>
        <w:t>criteria:</w:t>
      </w:r>
    </w:p>
    <w:p w14:paraId="4A0B38C7" w14:textId="77777777" w:rsidR="00077749" w:rsidRDefault="00077749" w:rsidP="00A323CC">
      <w:pPr>
        <w:pStyle w:val="ListParagraph"/>
        <w:numPr>
          <w:ilvl w:val="0"/>
          <w:numId w:val="12"/>
        </w:numPr>
        <w:spacing w:after="200" w:line="360" w:lineRule="auto"/>
        <w:rPr>
          <w:rFonts w:eastAsia="等线"/>
          <w:color w:val="000000"/>
        </w:rPr>
      </w:pPr>
      <w:r>
        <w:rPr>
          <w:rFonts w:eastAsia="等线"/>
          <w:color w:val="000000"/>
        </w:rPr>
        <w:t xml:space="preserve">participation </w:t>
      </w:r>
      <w:r w:rsidRPr="00BD1053">
        <w:rPr>
          <w:rFonts w:eastAsia="等线"/>
          <w:color w:val="000000"/>
        </w:rPr>
        <w:t>in the format</w:t>
      </w:r>
      <w:r>
        <w:rPr>
          <w:rFonts w:eastAsia="等线"/>
          <w:color w:val="000000"/>
        </w:rPr>
        <w:t>ion and operation of the UCC</w:t>
      </w:r>
    </w:p>
    <w:p w14:paraId="2B8E15D1" w14:textId="77777777" w:rsidR="00077749" w:rsidRDefault="00077749" w:rsidP="00A323CC">
      <w:pPr>
        <w:pStyle w:val="ListParagraph"/>
        <w:numPr>
          <w:ilvl w:val="0"/>
          <w:numId w:val="12"/>
        </w:numPr>
        <w:spacing w:after="200" w:line="360" w:lineRule="auto"/>
        <w:rPr>
          <w:rFonts w:eastAsia="等线"/>
          <w:color w:val="000000"/>
        </w:rPr>
      </w:pPr>
      <w:r w:rsidRPr="00BD1053">
        <w:rPr>
          <w:rFonts w:eastAsia="等线"/>
          <w:color w:val="000000"/>
        </w:rPr>
        <w:t xml:space="preserve">influence </w:t>
      </w:r>
      <w:r>
        <w:rPr>
          <w:rFonts w:eastAsia="等线"/>
          <w:color w:val="000000"/>
        </w:rPr>
        <w:t xml:space="preserve">on </w:t>
      </w:r>
      <w:r w:rsidRPr="00BD1053">
        <w:rPr>
          <w:rFonts w:eastAsia="等线"/>
          <w:color w:val="000000"/>
        </w:rPr>
        <w:t>the busin</w:t>
      </w:r>
      <w:r>
        <w:rPr>
          <w:rFonts w:eastAsia="等线"/>
          <w:color w:val="000000"/>
        </w:rPr>
        <w:t>ess and operation of the UCC</w:t>
      </w:r>
    </w:p>
    <w:p w14:paraId="04E7BF82" w14:textId="77777777" w:rsidR="00077749" w:rsidRDefault="00077749" w:rsidP="00A323CC">
      <w:pPr>
        <w:pStyle w:val="ListParagraph"/>
        <w:numPr>
          <w:ilvl w:val="0"/>
          <w:numId w:val="12"/>
        </w:numPr>
        <w:spacing w:after="200" w:line="360" w:lineRule="auto"/>
        <w:rPr>
          <w:rFonts w:eastAsia="等线"/>
          <w:color w:val="000000"/>
        </w:rPr>
      </w:pPr>
      <w:r>
        <w:rPr>
          <w:rFonts w:eastAsia="等线"/>
          <w:color w:val="000000"/>
        </w:rPr>
        <w:t>power to</w:t>
      </w:r>
      <w:r w:rsidRPr="00BD1053">
        <w:rPr>
          <w:rFonts w:eastAsia="等线"/>
          <w:color w:val="000000"/>
        </w:rPr>
        <w:t xml:space="preserve"> make decisions on the direction of </w:t>
      </w:r>
      <w:r>
        <w:rPr>
          <w:rFonts w:eastAsia="等线"/>
          <w:color w:val="000000"/>
        </w:rPr>
        <w:t xml:space="preserve">the </w:t>
      </w:r>
      <w:r w:rsidRPr="00BD1053">
        <w:rPr>
          <w:rFonts w:eastAsia="等线"/>
          <w:color w:val="000000"/>
        </w:rPr>
        <w:t xml:space="preserve">UCC’s </w:t>
      </w:r>
      <w:proofErr w:type="gramStart"/>
      <w:r w:rsidRPr="00BD1053">
        <w:rPr>
          <w:rFonts w:eastAsia="等线"/>
          <w:color w:val="000000"/>
        </w:rPr>
        <w:t>developm</w:t>
      </w:r>
      <w:r>
        <w:rPr>
          <w:rFonts w:eastAsia="等线"/>
          <w:color w:val="000000"/>
        </w:rPr>
        <w:t>ent</w:t>
      </w:r>
      <w:proofErr w:type="gramEnd"/>
    </w:p>
    <w:p w14:paraId="55091256" w14:textId="22993870" w:rsidR="00BB2459" w:rsidRDefault="00077749" w:rsidP="00077749">
      <w:pPr>
        <w:spacing w:after="200" w:line="360" w:lineRule="auto"/>
        <w:rPr>
          <w:rFonts w:eastAsia="等线"/>
          <w:color w:val="000000"/>
        </w:rPr>
      </w:pPr>
      <w:r>
        <w:rPr>
          <w:rFonts w:eastAsia="等线"/>
          <w:color w:val="000000"/>
        </w:rPr>
        <w:t>In Sweden, f</w:t>
      </w:r>
      <w:r w:rsidRPr="00BD1053">
        <w:rPr>
          <w:rFonts w:eastAsia="等线"/>
          <w:color w:val="000000"/>
        </w:rPr>
        <w:t xml:space="preserve">our interviews </w:t>
      </w:r>
      <w:r>
        <w:rPr>
          <w:rFonts w:eastAsia="等线"/>
          <w:color w:val="000000"/>
        </w:rPr>
        <w:t xml:space="preserve">were conducted </w:t>
      </w:r>
      <w:r w:rsidRPr="00BD1053">
        <w:rPr>
          <w:rFonts w:eastAsia="等线"/>
          <w:color w:val="000000"/>
        </w:rPr>
        <w:t xml:space="preserve">with stakeholders </w:t>
      </w:r>
      <w:r>
        <w:rPr>
          <w:rFonts w:eastAsia="等线"/>
          <w:color w:val="000000"/>
        </w:rPr>
        <w:t>for</w:t>
      </w:r>
      <w:r w:rsidRPr="00BD1053">
        <w:rPr>
          <w:rFonts w:eastAsia="等线"/>
          <w:color w:val="000000"/>
        </w:rPr>
        <w:t xml:space="preserve"> Case 1, and two interviews </w:t>
      </w:r>
      <w:r>
        <w:rPr>
          <w:rFonts w:eastAsia="等线"/>
          <w:color w:val="000000"/>
        </w:rPr>
        <w:t>for</w:t>
      </w:r>
      <w:r w:rsidRPr="00BD1053">
        <w:rPr>
          <w:rFonts w:eastAsia="等线"/>
          <w:color w:val="000000"/>
        </w:rPr>
        <w:t xml:space="preserve"> Case 2.</w:t>
      </w:r>
      <w:r>
        <w:rPr>
          <w:rFonts w:eastAsia="等线"/>
          <w:color w:val="000000"/>
        </w:rPr>
        <w:t xml:space="preserve"> </w:t>
      </w:r>
      <w:r w:rsidRPr="00D00512">
        <w:rPr>
          <w:rFonts w:eastAsia="等线"/>
          <w:color w:val="000000"/>
        </w:rPr>
        <w:t xml:space="preserve">In China, three interviews </w:t>
      </w:r>
      <w:r>
        <w:rPr>
          <w:rFonts w:eastAsia="等线"/>
          <w:color w:val="000000"/>
        </w:rPr>
        <w:t xml:space="preserve">were conducted for </w:t>
      </w:r>
      <w:r w:rsidRPr="00D00512">
        <w:rPr>
          <w:rFonts w:eastAsia="等线"/>
          <w:color w:val="000000"/>
        </w:rPr>
        <w:t xml:space="preserve">Case 3 and Case 4 </w:t>
      </w:r>
      <w:r>
        <w:rPr>
          <w:rFonts w:eastAsia="等线"/>
          <w:color w:val="000000"/>
        </w:rPr>
        <w:t>each</w:t>
      </w:r>
      <w:r w:rsidRPr="00D00512">
        <w:rPr>
          <w:rFonts w:eastAsia="等线"/>
          <w:color w:val="000000"/>
        </w:rPr>
        <w:t>.</w:t>
      </w:r>
      <w:r>
        <w:rPr>
          <w:rFonts w:eastAsia="等线"/>
          <w:color w:val="000000"/>
        </w:rPr>
        <w:t xml:space="preserve"> </w:t>
      </w:r>
      <w:r w:rsidR="00BB2459">
        <w:rPr>
          <w:rFonts w:eastAsia="等线"/>
          <w:color w:val="000000"/>
        </w:rPr>
        <w:fldChar w:fldCharType="begin"/>
      </w:r>
      <w:r w:rsidR="00BB2459">
        <w:rPr>
          <w:rFonts w:eastAsia="等线"/>
          <w:color w:val="000000"/>
        </w:rPr>
        <w:instrText xml:space="preserve"> REF _Ref38905993 \h  \* MERGEFORMAT </w:instrText>
      </w:r>
      <w:r w:rsidR="00BB2459">
        <w:rPr>
          <w:rFonts w:eastAsia="等线"/>
          <w:color w:val="000000"/>
        </w:rPr>
      </w:r>
      <w:r w:rsidR="00BB2459">
        <w:rPr>
          <w:rFonts w:eastAsia="等线"/>
          <w:color w:val="000000"/>
        </w:rPr>
        <w:fldChar w:fldCharType="separate"/>
      </w:r>
      <w:r w:rsidR="0005064B" w:rsidRPr="0005064B">
        <w:rPr>
          <w:rFonts w:eastAsia="等线"/>
          <w:color w:val="000000"/>
        </w:rPr>
        <w:t>Table 6</w:t>
      </w:r>
      <w:r w:rsidR="0005064B" w:rsidRPr="0005064B">
        <w:rPr>
          <w:rFonts w:eastAsia="等线"/>
          <w:color w:val="000000"/>
        </w:rPr>
        <w:noBreakHyphen/>
        <w:t>3</w:t>
      </w:r>
      <w:r w:rsidR="00BB2459">
        <w:rPr>
          <w:rFonts w:eastAsia="等线"/>
          <w:color w:val="000000"/>
        </w:rPr>
        <w:fldChar w:fldCharType="end"/>
      </w:r>
      <w:r w:rsidR="00BB2459">
        <w:rPr>
          <w:rFonts w:eastAsia="等线"/>
          <w:color w:val="000000"/>
        </w:rPr>
        <w:t xml:space="preserve"> </w:t>
      </w:r>
      <w:r w:rsidR="00195DF6">
        <w:rPr>
          <w:rFonts w:eastAsia="等线"/>
          <w:color w:val="000000"/>
        </w:rPr>
        <w:t xml:space="preserve">provides a </w:t>
      </w:r>
      <w:r w:rsidR="00195DF6" w:rsidRPr="00BD1053">
        <w:rPr>
          <w:rFonts w:eastAsia="等线"/>
          <w:color w:val="000000"/>
        </w:rPr>
        <w:t xml:space="preserve">sketch </w:t>
      </w:r>
      <w:r w:rsidR="00195DF6">
        <w:rPr>
          <w:rFonts w:eastAsia="等线"/>
          <w:color w:val="000000"/>
        </w:rPr>
        <w:t xml:space="preserve">of </w:t>
      </w:r>
      <w:r w:rsidR="00195DF6" w:rsidRPr="00BD1053">
        <w:rPr>
          <w:rFonts w:eastAsia="等线"/>
          <w:color w:val="000000"/>
        </w:rPr>
        <w:t>the outcomes of the stakeholder analysis</w:t>
      </w:r>
      <w:r w:rsidR="00195DF6">
        <w:rPr>
          <w:rFonts w:eastAsia="等线"/>
          <w:color w:val="000000"/>
        </w:rPr>
        <w:t>,</w:t>
      </w:r>
      <w:r w:rsidR="00195DF6" w:rsidRPr="00BD1053">
        <w:rPr>
          <w:rFonts w:eastAsia="等线"/>
          <w:color w:val="000000"/>
        </w:rPr>
        <w:t xml:space="preserve"> </w:t>
      </w:r>
      <w:r w:rsidR="00195DF6">
        <w:rPr>
          <w:rFonts w:eastAsia="等线"/>
          <w:color w:val="000000"/>
        </w:rPr>
        <w:t xml:space="preserve">highlighting the various </w:t>
      </w:r>
      <w:r w:rsidR="00195DF6" w:rsidRPr="00BD1053">
        <w:rPr>
          <w:rFonts w:eastAsia="等线"/>
          <w:color w:val="000000"/>
        </w:rPr>
        <w:t>objectives</w:t>
      </w:r>
      <w:r w:rsidR="00195DF6">
        <w:rPr>
          <w:rFonts w:eastAsia="等线"/>
          <w:color w:val="000000"/>
        </w:rPr>
        <w:t>.</w:t>
      </w:r>
      <w:r w:rsidR="00195DF6" w:rsidRPr="009903E5">
        <w:rPr>
          <w:rFonts w:eastAsia="等线"/>
          <w:color w:val="000000"/>
        </w:rPr>
        <w:t xml:space="preserve"> A multi-stage sampling method </w:t>
      </w:r>
      <w:r w:rsidR="00195DF6">
        <w:rPr>
          <w:rFonts w:eastAsia="等线"/>
          <w:color w:val="000000"/>
        </w:rPr>
        <w:t>was</w:t>
      </w:r>
      <w:r w:rsidR="00195DF6" w:rsidRPr="009903E5">
        <w:rPr>
          <w:rFonts w:eastAsia="等线"/>
          <w:color w:val="000000"/>
        </w:rPr>
        <w:t xml:space="preserve"> </w:t>
      </w:r>
      <w:r w:rsidR="00195DF6">
        <w:rPr>
          <w:rFonts w:eastAsia="等线"/>
          <w:color w:val="000000"/>
        </w:rPr>
        <w:t xml:space="preserve">employed </w:t>
      </w:r>
      <w:r w:rsidR="00195DF6" w:rsidRPr="009903E5">
        <w:rPr>
          <w:rFonts w:eastAsia="等线"/>
          <w:color w:val="000000"/>
        </w:rPr>
        <w:t xml:space="preserve">in each case: </w:t>
      </w:r>
      <w:r w:rsidR="00195DF6">
        <w:rPr>
          <w:rFonts w:eastAsia="等线"/>
          <w:color w:val="000000"/>
        </w:rPr>
        <w:t>in effect, a</w:t>
      </w:r>
      <w:r w:rsidR="00195DF6" w:rsidRPr="009903E5">
        <w:rPr>
          <w:rFonts w:eastAsia="等线"/>
          <w:color w:val="000000"/>
        </w:rPr>
        <w:t xml:space="preserve">fter </w:t>
      </w:r>
      <w:r w:rsidR="00195DF6">
        <w:rPr>
          <w:rFonts w:eastAsia="等线"/>
          <w:color w:val="000000"/>
        </w:rPr>
        <w:t xml:space="preserve">a </w:t>
      </w:r>
      <w:r w:rsidR="00195DF6" w:rsidRPr="009903E5">
        <w:rPr>
          <w:rFonts w:eastAsia="等线"/>
          <w:color w:val="000000"/>
        </w:rPr>
        <w:t>primary stakeholder</w:t>
      </w:r>
      <w:r w:rsidR="00195DF6">
        <w:rPr>
          <w:rFonts w:eastAsia="等线"/>
          <w:color w:val="000000"/>
        </w:rPr>
        <w:t xml:space="preserve"> was interviewed</w:t>
      </w:r>
      <w:r w:rsidR="00195DF6" w:rsidRPr="009903E5">
        <w:rPr>
          <w:rFonts w:eastAsia="等线"/>
          <w:color w:val="000000"/>
        </w:rPr>
        <w:t xml:space="preserve">, </w:t>
      </w:r>
      <w:r w:rsidR="00195DF6">
        <w:rPr>
          <w:rFonts w:eastAsia="等线"/>
          <w:color w:val="000000"/>
        </w:rPr>
        <w:t xml:space="preserve">they were asked to suggest other potential participants. </w:t>
      </w:r>
      <w:r w:rsidR="00BB2459">
        <w:rPr>
          <w:rFonts w:eastAsia="等线"/>
          <w:color w:val="000000"/>
        </w:rPr>
        <w:t xml:space="preserve"> </w:t>
      </w:r>
    </w:p>
    <w:p w14:paraId="517182FB" w14:textId="57B6E85C" w:rsidR="00786EB3" w:rsidRDefault="00BB2459" w:rsidP="00044DEC">
      <w:pPr>
        <w:spacing w:after="200" w:line="360" w:lineRule="auto"/>
        <w:rPr>
          <w:rFonts w:eastAsia="等线"/>
          <w:color w:val="000000"/>
        </w:rPr>
      </w:pPr>
      <w:r>
        <w:rPr>
          <w:rFonts w:eastAsia="等线"/>
          <w:color w:val="000000"/>
        </w:rPr>
        <w:t xml:space="preserve">Based on their </w:t>
      </w:r>
      <w:r w:rsidRPr="009903E5">
        <w:rPr>
          <w:rFonts w:eastAsia="等线"/>
          <w:color w:val="000000"/>
        </w:rPr>
        <w:t>attribute</w:t>
      </w:r>
      <w:r>
        <w:rPr>
          <w:rFonts w:eastAsia="等线"/>
          <w:color w:val="000000"/>
        </w:rPr>
        <w:t>s</w:t>
      </w:r>
      <w:r w:rsidRPr="009903E5">
        <w:rPr>
          <w:rFonts w:eastAsia="等线"/>
          <w:color w:val="000000"/>
        </w:rPr>
        <w:t xml:space="preserve">, these stakeholders can be </w:t>
      </w:r>
      <w:r>
        <w:rPr>
          <w:rFonts w:eastAsia="等线"/>
          <w:color w:val="000000"/>
        </w:rPr>
        <w:t xml:space="preserve">placed </w:t>
      </w:r>
      <w:r w:rsidRPr="009903E5">
        <w:rPr>
          <w:rFonts w:eastAsia="等线"/>
          <w:color w:val="000000"/>
        </w:rPr>
        <w:t>into three main categories</w:t>
      </w:r>
      <w:r>
        <w:rPr>
          <w:rFonts w:eastAsia="等线"/>
          <w:color w:val="000000"/>
        </w:rPr>
        <w:t>:</w:t>
      </w:r>
      <w:r w:rsidRPr="009903E5">
        <w:rPr>
          <w:rFonts w:eastAsia="等线"/>
          <w:color w:val="000000"/>
        </w:rPr>
        <w:t xml:space="preserve"> UCC </w:t>
      </w:r>
      <w:r>
        <w:rPr>
          <w:rFonts w:eastAsia="等线"/>
          <w:color w:val="000000"/>
        </w:rPr>
        <w:t>s</w:t>
      </w:r>
      <w:r w:rsidRPr="009903E5">
        <w:rPr>
          <w:rFonts w:eastAsia="等线"/>
          <w:color w:val="000000"/>
        </w:rPr>
        <w:t>ponsor</w:t>
      </w:r>
      <w:r>
        <w:rPr>
          <w:rFonts w:eastAsia="等线"/>
          <w:color w:val="000000"/>
        </w:rPr>
        <w:t>s,</w:t>
      </w:r>
      <w:r w:rsidRPr="009903E5">
        <w:rPr>
          <w:rFonts w:eastAsia="等线"/>
          <w:color w:val="000000"/>
        </w:rPr>
        <w:t xml:space="preserve"> UCC </w:t>
      </w:r>
      <w:r>
        <w:rPr>
          <w:rFonts w:eastAsia="等线"/>
          <w:color w:val="000000"/>
        </w:rPr>
        <w:t>o</w:t>
      </w:r>
      <w:r w:rsidRPr="009903E5">
        <w:rPr>
          <w:rFonts w:eastAsia="等线"/>
          <w:color w:val="000000"/>
        </w:rPr>
        <w:t>perator</w:t>
      </w:r>
      <w:r>
        <w:rPr>
          <w:rFonts w:eastAsia="等线"/>
          <w:color w:val="000000"/>
        </w:rPr>
        <w:t>s, and</w:t>
      </w:r>
      <w:r w:rsidRPr="009903E5">
        <w:rPr>
          <w:rFonts w:eastAsia="等线"/>
          <w:color w:val="000000"/>
        </w:rPr>
        <w:t xml:space="preserve"> independent stakeholders. All are primary stakeholders who directly operate the UCC or </w:t>
      </w:r>
      <w:r>
        <w:rPr>
          <w:rFonts w:eastAsia="等线"/>
          <w:color w:val="000000"/>
        </w:rPr>
        <w:t xml:space="preserve">otherwise </w:t>
      </w:r>
      <w:r w:rsidRPr="009903E5">
        <w:rPr>
          <w:rFonts w:eastAsia="等线"/>
          <w:color w:val="000000"/>
        </w:rPr>
        <w:t xml:space="preserve">influence </w:t>
      </w:r>
      <w:r>
        <w:rPr>
          <w:rFonts w:eastAsia="等线"/>
          <w:color w:val="000000"/>
        </w:rPr>
        <w:t xml:space="preserve">the </w:t>
      </w:r>
      <w:r w:rsidRPr="009903E5">
        <w:rPr>
          <w:rFonts w:eastAsia="等线"/>
          <w:color w:val="000000"/>
        </w:rPr>
        <w:t xml:space="preserve">project. </w:t>
      </w:r>
      <w:r>
        <w:rPr>
          <w:rFonts w:eastAsia="等线"/>
          <w:color w:val="000000"/>
        </w:rPr>
        <w:t xml:space="preserve">The </w:t>
      </w:r>
      <w:r w:rsidRPr="009903E5">
        <w:rPr>
          <w:rFonts w:eastAsia="等线"/>
          <w:color w:val="000000"/>
        </w:rPr>
        <w:t xml:space="preserve">sponsors invest in UCC projects </w:t>
      </w:r>
      <w:r>
        <w:rPr>
          <w:rFonts w:eastAsia="等线"/>
          <w:color w:val="000000"/>
        </w:rPr>
        <w:t>to provide funding for the operations</w:t>
      </w:r>
      <w:r w:rsidRPr="009903E5">
        <w:rPr>
          <w:rFonts w:eastAsia="等线"/>
          <w:color w:val="000000"/>
        </w:rPr>
        <w:t xml:space="preserve">. These stakeholders design the business model and </w:t>
      </w:r>
      <w:r>
        <w:rPr>
          <w:rFonts w:eastAsia="等线"/>
          <w:color w:val="000000"/>
        </w:rPr>
        <w:t xml:space="preserve">future </w:t>
      </w:r>
      <w:r w:rsidRPr="009903E5">
        <w:rPr>
          <w:rFonts w:eastAsia="等线"/>
          <w:color w:val="000000"/>
        </w:rPr>
        <w:t>development</w:t>
      </w:r>
      <w:r>
        <w:rPr>
          <w:rFonts w:eastAsia="等线"/>
          <w:color w:val="000000"/>
        </w:rPr>
        <w:t>s</w:t>
      </w:r>
      <w:r w:rsidRPr="009903E5">
        <w:rPr>
          <w:rFonts w:eastAsia="等线"/>
          <w:color w:val="000000"/>
        </w:rPr>
        <w:t xml:space="preserve"> </w:t>
      </w:r>
      <w:r>
        <w:rPr>
          <w:rFonts w:eastAsia="等线"/>
          <w:color w:val="000000"/>
        </w:rPr>
        <w:t xml:space="preserve">of the </w:t>
      </w:r>
      <w:r w:rsidRPr="009903E5">
        <w:rPr>
          <w:rFonts w:eastAsia="等线"/>
          <w:color w:val="000000"/>
        </w:rPr>
        <w:t xml:space="preserve">system. </w:t>
      </w:r>
      <w:r>
        <w:rPr>
          <w:rFonts w:eastAsia="等线"/>
          <w:color w:val="000000"/>
        </w:rPr>
        <w:t xml:space="preserve">The </w:t>
      </w:r>
      <w:r w:rsidRPr="009903E5">
        <w:rPr>
          <w:rFonts w:eastAsia="等线"/>
          <w:color w:val="000000"/>
        </w:rPr>
        <w:t>operators are respons</w:t>
      </w:r>
      <w:r>
        <w:rPr>
          <w:rFonts w:eastAsia="等线"/>
          <w:color w:val="000000"/>
        </w:rPr>
        <w:t>ible for the logistical</w:t>
      </w:r>
      <w:r w:rsidRPr="009903E5">
        <w:rPr>
          <w:rFonts w:eastAsia="等线"/>
          <w:color w:val="000000"/>
        </w:rPr>
        <w:t xml:space="preserve"> process</w:t>
      </w:r>
      <w:r>
        <w:rPr>
          <w:rFonts w:eastAsia="等线"/>
          <w:color w:val="000000"/>
        </w:rPr>
        <w:t>es</w:t>
      </w:r>
      <w:r w:rsidRPr="009903E5">
        <w:rPr>
          <w:rFonts w:eastAsia="等线"/>
          <w:color w:val="000000"/>
        </w:rPr>
        <w:t xml:space="preserve"> </w:t>
      </w:r>
      <w:r>
        <w:rPr>
          <w:rFonts w:eastAsia="等线"/>
          <w:color w:val="000000"/>
        </w:rPr>
        <w:t>(</w:t>
      </w:r>
      <w:r w:rsidRPr="009903E5">
        <w:rPr>
          <w:rFonts w:eastAsia="等线"/>
          <w:color w:val="000000"/>
        </w:rPr>
        <w:t>such as warehous</w:t>
      </w:r>
      <w:r>
        <w:rPr>
          <w:rFonts w:eastAsia="等线"/>
          <w:color w:val="000000"/>
        </w:rPr>
        <w:t>ing</w:t>
      </w:r>
      <w:r w:rsidRPr="009903E5">
        <w:rPr>
          <w:rFonts w:eastAsia="等线"/>
          <w:color w:val="000000"/>
        </w:rPr>
        <w:t xml:space="preserve"> service</w:t>
      </w:r>
      <w:r>
        <w:rPr>
          <w:rFonts w:eastAsia="等线"/>
          <w:color w:val="000000"/>
        </w:rPr>
        <w:t>s</w:t>
      </w:r>
      <w:r w:rsidRPr="009903E5">
        <w:rPr>
          <w:rFonts w:eastAsia="等线"/>
          <w:color w:val="000000"/>
        </w:rPr>
        <w:t xml:space="preserve"> and city distribution</w:t>
      </w:r>
      <w:r>
        <w:rPr>
          <w:rFonts w:eastAsia="等线"/>
          <w:color w:val="000000"/>
        </w:rPr>
        <w:t>)</w:t>
      </w:r>
      <w:r w:rsidRPr="009903E5">
        <w:rPr>
          <w:rFonts w:eastAsia="等线"/>
          <w:color w:val="000000"/>
        </w:rPr>
        <w:t xml:space="preserve">. Independent stakeholders are </w:t>
      </w:r>
      <w:r>
        <w:rPr>
          <w:rFonts w:eastAsia="等线"/>
          <w:color w:val="000000"/>
        </w:rPr>
        <w:t xml:space="preserve">those </w:t>
      </w:r>
      <w:r w:rsidRPr="009903E5">
        <w:rPr>
          <w:rFonts w:eastAsia="等线"/>
          <w:color w:val="000000"/>
        </w:rPr>
        <w:t>partly associated with a</w:t>
      </w:r>
      <w:r>
        <w:rPr>
          <w:rFonts w:eastAsia="等线"/>
          <w:color w:val="000000"/>
        </w:rPr>
        <w:t xml:space="preserve"> </w:t>
      </w:r>
      <w:r w:rsidRPr="009903E5">
        <w:rPr>
          <w:rFonts w:eastAsia="等线"/>
          <w:color w:val="000000"/>
        </w:rPr>
        <w:t xml:space="preserve">UCC </w:t>
      </w:r>
      <w:r>
        <w:rPr>
          <w:rFonts w:eastAsia="等线"/>
          <w:color w:val="000000"/>
        </w:rPr>
        <w:t xml:space="preserve">for </w:t>
      </w:r>
      <w:r w:rsidRPr="009903E5">
        <w:rPr>
          <w:rFonts w:eastAsia="等线"/>
          <w:color w:val="000000"/>
        </w:rPr>
        <w:t>research purpose</w:t>
      </w:r>
      <w:r>
        <w:rPr>
          <w:rFonts w:eastAsia="等线"/>
          <w:color w:val="000000"/>
        </w:rPr>
        <w:t>s</w:t>
      </w:r>
      <w:r w:rsidRPr="009903E5">
        <w:rPr>
          <w:rFonts w:eastAsia="等线"/>
          <w:color w:val="000000"/>
        </w:rPr>
        <w:t>, project improvement</w:t>
      </w:r>
      <w:r>
        <w:rPr>
          <w:rFonts w:eastAsia="等线"/>
          <w:color w:val="000000"/>
        </w:rPr>
        <w:t>s, and so on</w:t>
      </w:r>
      <w:r w:rsidRPr="009903E5">
        <w:rPr>
          <w:rFonts w:eastAsia="等线"/>
          <w:color w:val="000000"/>
        </w:rPr>
        <w:t>.</w:t>
      </w:r>
    </w:p>
    <w:tbl>
      <w:tblPr>
        <w:tblStyle w:val="TableGrid11"/>
        <w:tblW w:w="5000" w:type="pct"/>
        <w:tblLayout w:type="fixed"/>
        <w:tblLook w:val="04A0" w:firstRow="1" w:lastRow="0" w:firstColumn="1" w:lastColumn="0" w:noHBand="0" w:noVBand="1"/>
      </w:tblPr>
      <w:tblGrid>
        <w:gridCol w:w="1071"/>
        <w:gridCol w:w="880"/>
        <w:gridCol w:w="1760"/>
        <w:gridCol w:w="1468"/>
        <w:gridCol w:w="3837"/>
      </w:tblGrid>
      <w:tr w:rsidR="00224859" w:rsidRPr="00224859" w14:paraId="17157FB4" w14:textId="77777777" w:rsidTr="000A1977">
        <w:tc>
          <w:tcPr>
            <w:tcW w:w="594" w:type="pct"/>
            <w:vAlign w:val="center"/>
          </w:tcPr>
          <w:p w14:paraId="781491FD" w14:textId="77777777" w:rsidR="00224859" w:rsidRPr="00224859" w:rsidRDefault="00224859" w:rsidP="000A1977">
            <w:pPr>
              <w:jc w:val="center"/>
              <w:rPr>
                <w:b/>
                <w:bCs/>
                <w:color w:val="000000"/>
                <w:sz w:val="22"/>
              </w:rPr>
            </w:pPr>
            <w:r w:rsidRPr="00224859">
              <w:rPr>
                <w:b/>
                <w:bCs/>
                <w:color w:val="000000"/>
                <w:sz w:val="22"/>
              </w:rPr>
              <w:t>Country</w:t>
            </w:r>
          </w:p>
        </w:tc>
        <w:tc>
          <w:tcPr>
            <w:tcW w:w="488" w:type="pct"/>
            <w:vAlign w:val="center"/>
          </w:tcPr>
          <w:p w14:paraId="48319277" w14:textId="77777777" w:rsidR="00224859" w:rsidRPr="00224859" w:rsidRDefault="00224859" w:rsidP="000A1977">
            <w:pPr>
              <w:jc w:val="center"/>
              <w:rPr>
                <w:b/>
                <w:bCs/>
                <w:color w:val="000000"/>
                <w:sz w:val="22"/>
              </w:rPr>
            </w:pPr>
            <w:r w:rsidRPr="00224859">
              <w:rPr>
                <w:b/>
                <w:bCs/>
                <w:color w:val="000000"/>
                <w:sz w:val="22"/>
              </w:rPr>
              <w:t>Cases</w:t>
            </w:r>
          </w:p>
        </w:tc>
        <w:tc>
          <w:tcPr>
            <w:tcW w:w="976" w:type="pct"/>
            <w:vAlign w:val="center"/>
          </w:tcPr>
          <w:p w14:paraId="30CCCD4D" w14:textId="77777777" w:rsidR="00224859" w:rsidRPr="00224859" w:rsidRDefault="00224859" w:rsidP="000A1977">
            <w:pPr>
              <w:jc w:val="center"/>
              <w:rPr>
                <w:b/>
                <w:bCs/>
                <w:color w:val="000000"/>
                <w:sz w:val="22"/>
              </w:rPr>
            </w:pPr>
            <w:r w:rsidRPr="00224859">
              <w:rPr>
                <w:rFonts w:hint="eastAsia"/>
                <w:b/>
                <w:bCs/>
                <w:color w:val="000000"/>
                <w:sz w:val="22"/>
              </w:rPr>
              <w:t>Stakeholder</w:t>
            </w:r>
            <w:r w:rsidRPr="00224859">
              <w:rPr>
                <w:b/>
                <w:bCs/>
                <w:color w:val="000000"/>
                <w:sz w:val="22"/>
              </w:rPr>
              <w:t xml:space="preserve"> organisations</w:t>
            </w:r>
          </w:p>
        </w:tc>
        <w:tc>
          <w:tcPr>
            <w:tcW w:w="814" w:type="pct"/>
            <w:vAlign w:val="center"/>
          </w:tcPr>
          <w:p w14:paraId="3BECD64B" w14:textId="77777777" w:rsidR="00224859" w:rsidRPr="00224859" w:rsidRDefault="00224859" w:rsidP="000A1977">
            <w:pPr>
              <w:jc w:val="center"/>
              <w:rPr>
                <w:b/>
                <w:bCs/>
                <w:color w:val="000000"/>
                <w:sz w:val="22"/>
              </w:rPr>
            </w:pPr>
            <w:r w:rsidRPr="00224859">
              <w:rPr>
                <w:b/>
                <w:bCs/>
                <w:color w:val="000000"/>
                <w:sz w:val="22"/>
              </w:rPr>
              <w:t>Role in the system</w:t>
            </w:r>
          </w:p>
        </w:tc>
        <w:tc>
          <w:tcPr>
            <w:tcW w:w="2128" w:type="pct"/>
            <w:vAlign w:val="center"/>
          </w:tcPr>
          <w:p w14:paraId="07E5D47D" w14:textId="77777777" w:rsidR="00224859" w:rsidRPr="00224859" w:rsidRDefault="00224859" w:rsidP="000A1977">
            <w:pPr>
              <w:jc w:val="center"/>
              <w:rPr>
                <w:b/>
                <w:bCs/>
                <w:color w:val="000000"/>
                <w:sz w:val="22"/>
              </w:rPr>
            </w:pPr>
            <w:r w:rsidRPr="00224859">
              <w:rPr>
                <w:b/>
                <w:bCs/>
                <w:color w:val="000000"/>
                <w:sz w:val="22"/>
              </w:rPr>
              <w:t>Stakeholders’ objectives</w:t>
            </w:r>
          </w:p>
        </w:tc>
      </w:tr>
      <w:tr w:rsidR="00224859" w:rsidRPr="00224859" w14:paraId="71C32869" w14:textId="77777777" w:rsidTr="00224859">
        <w:tc>
          <w:tcPr>
            <w:tcW w:w="594" w:type="pct"/>
            <w:vMerge w:val="restart"/>
            <w:vAlign w:val="center"/>
          </w:tcPr>
          <w:p w14:paraId="2ED0CA06" w14:textId="77777777" w:rsidR="00224859" w:rsidRPr="00224859" w:rsidRDefault="00224859" w:rsidP="000A1977">
            <w:pPr>
              <w:jc w:val="center"/>
              <w:rPr>
                <w:color w:val="000000"/>
                <w:sz w:val="22"/>
              </w:rPr>
            </w:pPr>
            <w:r w:rsidRPr="00224859">
              <w:rPr>
                <w:color w:val="000000"/>
                <w:sz w:val="22"/>
              </w:rPr>
              <w:t>Sweden</w:t>
            </w:r>
          </w:p>
        </w:tc>
        <w:tc>
          <w:tcPr>
            <w:tcW w:w="488" w:type="pct"/>
            <w:vMerge w:val="restart"/>
            <w:vAlign w:val="center"/>
          </w:tcPr>
          <w:p w14:paraId="1AE31369" w14:textId="77777777" w:rsidR="00224859" w:rsidRPr="00224859" w:rsidRDefault="00224859" w:rsidP="000A1977">
            <w:pPr>
              <w:jc w:val="center"/>
              <w:rPr>
                <w:color w:val="000000"/>
                <w:sz w:val="22"/>
              </w:rPr>
            </w:pPr>
            <w:r w:rsidRPr="00224859">
              <w:rPr>
                <w:color w:val="000000"/>
                <w:sz w:val="22"/>
              </w:rPr>
              <w:t>Case 1</w:t>
            </w:r>
          </w:p>
        </w:tc>
        <w:tc>
          <w:tcPr>
            <w:tcW w:w="976" w:type="pct"/>
            <w:vAlign w:val="center"/>
          </w:tcPr>
          <w:p w14:paraId="146C64B6" w14:textId="77777777" w:rsidR="00224859" w:rsidRPr="00224859" w:rsidRDefault="00224859" w:rsidP="00224859">
            <w:pPr>
              <w:jc w:val="center"/>
              <w:rPr>
                <w:color w:val="000000"/>
                <w:sz w:val="22"/>
              </w:rPr>
            </w:pPr>
            <w:r w:rsidRPr="00224859">
              <w:rPr>
                <w:color w:val="000000"/>
                <w:sz w:val="22"/>
              </w:rPr>
              <w:t xml:space="preserve">Stockholm </w:t>
            </w:r>
            <w:proofErr w:type="spellStart"/>
            <w:r w:rsidRPr="00224859">
              <w:rPr>
                <w:color w:val="000000"/>
                <w:sz w:val="22"/>
              </w:rPr>
              <w:t>Stad</w:t>
            </w:r>
            <w:proofErr w:type="spellEnd"/>
            <w:r w:rsidRPr="00224859">
              <w:rPr>
                <w:color w:val="000000"/>
                <w:sz w:val="22"/>
              </w:rPr>
              <w:t>. (SS)</w:t>
            </w:r>
          </w:p>
        </w:tc>
        <w:tc>
          <w:tcPr>
            <w:tcW w:w="814" w:type="pct"/>
            <w:vAlign w:val="center"/>
          </w:tcPr>
          <w:p w14:paraId="1D604B1F" w14:textId="77777777" w:rsidR="00224859" w:rsidRPr="00224859" w:rsidRDefault="00224859" w:rsidP="00224859">
            <w:pPr>
              <w:jc w:val="center"/>
              <w:rPr>
                <w:color w:val="000000"/>
                <w:sz w:val="22"/>
              </w:rPr>
            </w:pPr>
            <w:r w:rsidRPr="00224859">
              <w:rPr>
                <w:color w:val="000000"/>
                <w:sz w:val="22"/>
              </w:rPr>
              <w:t>Project initiator</w:t>
            </w:r>
          </w:p>
        </w:tc>
        <w:tc>
          <w:tcPr>
            <w:tcW w:w="2128" w:type="pct"/>
          </w:tcPr>
          <w:p w14:paraId="122EB629" w14:textId="77777777" w:rsidR="00224859" w:rsidRPr="00224859" w:rsidRDefault="00224859" w:rsidP="00A323CC">
            <w:pPr>
              <w:pStyle w:val="ListParagraph"/>
              <w:numPr>
                <w:ilvl w:val="0"/>
                <w:numId w:val="21"/>
              </w:numPr>
              <w:jc w:val="left"/>
              <w:rPr>
                <w:color w:val="000000"/>
                <w:sz w:val="22"/>
              </w:rPr>
            </w:pPr>
            <w:r w:rsidRPr="00224859">
              <w:rPr>
                <w:color w:val="000000"/>
                <w:sz w:val="22"/>
              </w:rPr>
              <w:t>Reduction</w:t>
            </w:r>
            <w:r w:rsidRPr="00224859" w:rsidDel="00147D68">
              <w:rPr>
                <w:color w:val="000000"/>
                <w:sz w:val="22"/>
              </w:rPr>
              <w:t xml:space="preserve"> </w:t>
            </w:r>
            <w:r w:rsidRPr="00224859">
              <w:rPr>
                <w:color w:val="000000"/>
                <w:sz w:val="22"/>
              </w:rPr>
              <w:t>in travel miles of trucks</w:t>
            </w:r>
          </w:p>
          <w:p w14:paraId="250F0AD4" w14:textId="77777777" w:rsidR="00224859" w:rsidRPr="00224859" w:rsidRDefault="00224859" w:rsidP="00A323CC">
            <w:pPr>
              <w:pStyle w:val="ListParagraph"/>
              <w:numPr>
                <w:ilvl w:val="0"/>
                <w:numId w:val="21"/>
              </w:numPr>
              <w:jc w:val="left"/>
              <w:rPr>
                <w:color w:val="000000"/>
                <w:sz w:val="22"/>
              </w:rPr>
            </w:pPr>
            <w:r w:rsidRPr="00224859">
              <w:rPr>
                <w:color w:val="000000"/>
                <w:sz w:val="22"/>
              </w:rPr>
              <w:t>Reduction in numbers of delivery trips in urban area</w:t>
            </w:r>
          </w:p>
          <w:p w14:paraId="4D1F28E1" w14:textId="77777777" w:rsidR="00224859" w:rsidRPr="00224859" w:rsidRDefault="00224859" w:rsidP="00A323CC">
            <w:pPr>
              <w:pStyle w:val="ListParagraph"/>
              <w:numPr>
                <w:ilvl w:val="0"/>
                <w:numId w:val="21"/>
              </w:numPr>
              <w:jc w:val="left"/>
              <w:rPr>
                <w:color w:val="000000"/>
                <w:sz w:val="22"/>
              </w:rPr>
            </w:pPr>
            <w:r w:rsidRPr="00224859">
              <w:rPr>
                <w:color w:val="000000"/>
                <w:sz w:val="22"/>
              </w:rPr>
              <w:t>Reduction in dwelling time of vehicle parking</w:t>
            </w:r>
          </w:p>
          <w:p w14:paraId="3F700C9D" w14:textId="77777777" w:rsidR="00224859" w:rsidRPr="00224859" w:rsidRDefault="00224859" w:rsidP="00A323CC">
            <w:pPr>
              <w:pStyle w:val="ListParagraph"/>
              <w:numPr>
                <w:ilvl w:val="0"/>
                <w:numId w:val="21"/>
              </w:numPr>
              <w:jc w:val="left"/>
              <w:rPr>
                <w:color w:val="000000"/>
                <w:sz w:val="22"/>
              </w:rPr>
            </w:pPr>
            <w:r w:rsidRPr="00224859">
              <w:rPr>
                <w:color w:val="000000"/>
                <w:sz w:val="22"/>
              </w:rPr>
              <w:t xml:space="preserve">Reduction in vehicles’ fossil-fuel consumption </w:t>
            </w:r>
          </w:p>
          <w:p w14:paraId="48A0CAD0" w14:textId="77777777" w:rsidR="00224859" w:rsidRPr="00224859" w:rsidRDefault="00224859" w:rsidP="00A323CC">
            <w:pPr>
              <w:pStyle w:val="ListParagraph"/>
              <w:numPr>
                <w:ilvl w:val="0"/>
                <w:numId w:val="21"/>
              </w:numPr>
              <w:jc w:val="left"/>
              <w:rPr>
                <w:color w:val="000000"/>
                <w:sz w:val="22"/>
              </w:rPr>
            </w:pPr>
            <w:r w:rsidRPr="00224859">
              <w:rPr>
                <w:color w:val="000000"/>
                <w:sz w:val="22"/>
              </w:rPr>
              <w:t>Reduction in vehicles’ gas emission</w:t>
            </w:r>
            <w:r w:rsidRPr="00224859">
              <w:rPr>
                <w:rStyle w:val="CommentReference"/>
                <w:sz w:val="22"/>
                <w:szCs w:val="22"/>
              </w:rPr>
              <w:t>s</w:t>
            </w:r>
          </w:p>
          <w:p w14:paraId="5B9156FE" w14:textId="77777777" w:rsidR="00224859" w:rsidRPr="00224859" w:rsidRDefault="00224859" w:rsidP="00A323CC">
            <w:pPr>
              <w:pStyle w:val="ListParagraph"/>
              <w:numPr>
                <w:ilvl w:val="0"/>
                <w:numId w:val="21"/>
              </w:numPr>
              <w:jc w:val="left"/>
              <w:rPr>
                <w:color w:val="000000"/>
                <w:sz w:val="22"/>
              </w:rPr>
            </w:pPr>
            <w:r w:rsidRPr="00224859">
              <w:rPr>
                <w:color w:val="000000"/>
                <w:sz w:val="22"/>
              </w:rPr>
              <w:lastRenderedPageBreak/>
              <w:t>Improvements in road safety in urban area</w:t>
            </w:r>
          </w:p>
        </w:tc>
      </w:tr>
      <w:tr w:rsidR="00224859" w:rsidRPr="00224859" w14:paraId="1B350BC5" w14:textId="77777777" w:rsidTr="00224859">
        <w:trPr>
          <w:trHeight w:val="710"/>
        </w:trPr>
        <w:tc>
          <w:tcPr>
            <w:tcW w:w="594" w:type="pct"/>
            <w:vMerge/>
            <w:vAlign w:val="center"/>
          </w:tcPr>
          <w:p w14:paraId="66F231B0" w14:textId="77777777" w:rsidR="00224859" w:rsidRPr="00224859" w:rsidRDefault="00224859" w:rsidP="000A1977">
            <w:pPr>
              <w:jc w:val="center"/>
              <w:rPr>
                <w:color w:val="000000"/>
                <w:sz w:val="22"/>
              </w:rPr>
            </w:pPr>
          </w:p>
        </w:tc>
        <w:tc>
          <w:tcPr>
            <w:tcW w:w="488" w:type="pct"/>
            <w:vMerge/>
            <w:vAlign w:val="center"/>
          </w:tcPr>
          <w:p w14:paraId="74691C5A" w14:textId="77777777" w:rsidR="00224859" w:rsidRPr="00224859" w:rsidRDefault="00224859" w:rsidP="000A1977">
            <w:pPr>
              <w:jc w:val="center"/>
              <w:rPr>
                <w:color w:val="000000"/>
                <w:sz w:val="22"/>
              </w:rPr>
            </w:pPr>
          </w:p>
        </w:tc>
        <w:tc>
          <w:tcPr>
            <w:tcW w:w="976" w:type="pct"/>
            <w:vAlign w:val="center"/>
          </w:tcPr>
          <w:p w14:paraId="7F71ACB7" w14:textId="77777777" w:rsidR="00224859" w:rsidRPr="00224859" w:rsidRDefault="00224859" w:rsidP="00224859">
            <w:pPr>
              <w:jc w:val="center"/>
              <w:rPr>
                <w:color w:val="000000"/>
                <w:sz w:val="22"/>
              </w:rPr>
            </w:pPr>
            <w:r w:rsidRPr="00224859">
              <w:rPr>
                <w:color w:val="000000"/>
                <w:sz w:val="22"/>
              </w:rPr>
              <w:t>Waste collection company (WCC)</w:t>
            </w:r>
          </w:p>
        </w:tc>
        <w:tc>
          <w:tcPr>
            <w:tcW w:w="814" w:type="pct"/>
            <w:vAlign w:val="center"/>
          </w:tcPr>
          <w:p w14:paraId="46FBEAC8" w14:textId="77777777" w:rsidR="00224859" w:rsidRPr="00224859" w:rsidRDefault="00224859" w:rsidP="00224859">
            <w:pPr>
              <w:jc w:val="center"/>
              <w:rPr>
                <w:color w:val="000000"/>
                <w:sz w:val="22"/>
              </w:rPr>
            </w:pPr>
            <w:r w:rsidRPr="00224859">
              <w:rPr>
                <w:rFonts w:hint="eastAsia"/>
                <w:color w:val="000000"/>
                <w:sz w:val="22"/>
              </w:rPr>
              <w:t>Parcel</w:t>
            </w:r>
            <w:r w:rsidRPr="00224859">
              <w:rPr>
                <w:color w:val="000000"/>
                <w:sz w:val="22"/>
              </w:rPr>
              <w:t xml:space="preserve"> </w:t>
            </w:r>
            <w:proofErr w:type="gramStart"/>
            <w:r w:rsidRPr="00224859">
              <w:rPr>
                <w:rFonts w:hint="eastAsia"/>
                <w:color w:val="000000"/>
                <w:sz w:val="22"/>
              </w:rPr>
              <w:t>sorting</w:t>
            </w:r>
            <w:r w:rsidRPr="00224859">
              <w:rPr>
                <w:color w:val="000000"/>
                <w:sz w:val="22"/>
              </w:rPr>
              <w:t>;</w:t>
            </w:r>
            <w:proofErr w:type="gramEnd"/>
          </w:p>
          <w:p w14:paraId="496ACFB3" w14:textId="77777777" w:rsidR="00224859" w:rsidRPr="00224859" w:rsidRDefault="00224859" w:rsidP="00224859">
            <w:pPr>
              <w:jc w:val="center"/>
              <w:rPr>
                <w:color w:val="000000"/>
                <w:sz w:val="22"/>
              </w:rPr>
            </w:pPr>
            <w:r w:rsidRPr="00224859">
              <w:rPr>
                <w:color w:val="000000"/>
                <w:sz w:val="22"/>
              </w:rPr>
              <w:t>parcel delivery</w:t>
            </w:r>
          </w:p>
        </w:tc>
        <w:tc>
          <w:tcPr>
            <w:tcW w:w="2128" w:type="pct"/>
          </w:tcPr>
          <w:p w14:paraId="21AEE616" w14:textId="77777777" w:rsidR="00224859" w:rsidRPr="00224859" w:rsidRDefault="00224859" w:rsidP="00A323CC">
            <w:pPr>
              <w:pStyle w:val="ListParagraph"/>
              <w:numPr>
                <w:ilvl w:val="0"/>
                <w:numId w:val="21"/>
              </w:numPr>
              <w:jc w:val="left"/>
              <w:rPr>
                <w:color w:val="000000"/>
                <w:sz w:val="22"/>
              </w:rPr>
            </w:pPr>
            <w:r w:rsidRPr="00224859">
              <w:rPr>
                <w:color w:val="000000"/>
                <w:sz w:val="22"/>
              </w:rPr>
              <w:t>Attraction of more customers</w:t>
            </w:r>
          </w:p>
          <w:p w14:paraId="4DBDAE96" w14:textId="77777777" w:rsidR="00224859" w:rsidRPr="00224859" w:rsidRDefault="00224859" w:rsidP="00A323CC">
            <w:pPr>
              <w:pStyle w:val="ListParagraph"/>
              <w:numPr>
                <w:ilvl w:val="0"/>
                <w:numId w:val="21"/>
              </w:numPr>
              <w:jc w:val="left"/>
              <w:rPr>
                <w:color w:val="000000"/>
                <w:sz w:val="22"/>
              </w:rPr>
            </w:pPr>
            <w:r w:rsidRPr="00224859">
              <w:rPr>
                <w:color w:val="000000"/>
                <w:sz w:val="22"/>
              </w:rPr>
              <w:t>Promotion of vehicle-use efficiency</w:t>
            </w:r>
          </w:p>
          <w:p w14:paraId="00DF8D1C" w14:textId="77777777" w:rsidR="00224859" w:rsidRPr="00224859" w:rsidRDefault="00224859" w:rsidP="00A323CC">
            <w:pPr>
              <w:pStyle w:val="ListParagraph"/>
              <w:numPr>
                <w:ilvl w:val="0"/>
                <w:numId w:val="21"/>
              </w:numPr>
              <w:jc w:val="left"/>
              <w:rPr>
                <w:color w:val="000000"/>
                <w:sz w:val="22"/>
              </w:rPr>
            </w:pPr>
            <w:r w:rsidRPr="00224859">
              <w:rPr>
                <w:color w:val="000000"/>
                <w:sz w:val="22"/>
              </w:rPr>
              <w:t>Reduction in UCC operating costs</w:t>
            </w:r>
          </w:p>
        </w:tc>
      </w:tr>
      <w:tr w:rsidR="00224859" w:rsidRPr="00224859" w14:paraId="77F623C6" w14:textId="77777777" w:rsidTr="00224859">
        <w:trPr>
          <w:trHeight w:val="281"/>
        </w:trPr>
        <w:tc>
          <w:tcPr>
            <w:tcW w:w="594" w:type="pct"/>
            <w:vMerge/>
            <w:vAlign w:val="center"/>
          </w:tcPr>
          <w:p w14:paraId="5D113891" w14:textId="77777777" w:rsidR="00224859" w:rsidRPr="00224859" w:rsidRDefault="00224859" w:rsidP="000A1977">
            <w:pPr>
              <w:jc w:val="center"/>
              <w:rPr>
                <w:color w:val="000000"/>
                <w:sz w:val="22"/>
              </w:rPr>
            </w:pPr>
          </w:p>
        </w:tc>
        <w:tc>
          <w:tcPr>
            <w:tcW w:w="488" w:type="pct"/>
            <w:vMerge/>
            <w:vAlign w:val="center"/>
          </w:tcPr>
          <w:p w14:paraId="78B3FA43" w14:textId="77777777" w:rsidR="00224859" w:rsidRPr="00224859" w:rsidRDefault="00224859" w:rsidP="000A1977">
            <w:pPr>
              <w:jc w:val="center"/>
              <w:rPr>
                <w:color w:val="000000"/>
                <w:sz w:val="22"/>
              </w:rPr>
            </w:pPr>
          </w:p>
        </w:tc>
        <w:tc>
          <w:tcPr>
            <w:tcW w:w="976" w:type="pct"/>
            <w:vAlign w:val="center"/>
          </w:tcPr>
          <w:p w14:paraId="2B94CDEF" w14:textId="77777777" w:rsidR="00224859" w:rsidRPr="00224859" w:rsidRDefault="00224859" w:rsidP="00224859">
            <w:pPr>
              <w:jc w:val="center"/>
              <w:rPr>
                <w:color w:val="000000"/>
                <w:sz w:val="22"/>
              </w:rPr>
            </w:pPr>
            <w:r w:rsidRPr="00224859">
              <w:rPr>
                <w:color w:val="000000"/>
                <w:sz w:val="22"/>
              </w:rPr>
              <w:t>Logistics company (LC)</w:t>
            </w:r>
          </w:p>
        </w:tc>
        <w:tc>
          <w:tcPr>
            <w:tcW w:w="814" w:type="pct"/>
            <w:vAlign w:val="center"/>
          </w:tcPr>
          <w:p w14:paraId="06AD0B64" w14:textId="77777777" w:rsidR="00224859" w:rsidRPr="00224859" w:rsidRDefault="00224859" w:rsidP="00224859">
            <w:pPr>
              <w:jc w:val="center"/>
              <w:rPr>
                <w:color w:val="000000"/>
                <w:sz w:val="22"/>
              </w:rPr>
            </w:pPr>
            <w:r w:rsidRPr="00224859">
              <w:rPr>
                <w:color w:val="000000"/>
                <w:sz w:val="22"/>
              </w:rPr>
              <w:t xml:space="preserve">Parcel </w:t>
            </w:r>
            <w:proofErr w:type="gramStart"/>
            <w:r w:rsidRPr="00224859">
              <w:rPr>
                <w:color w:val="000000"/>
                <w:sz w:val="22"/>
              </w:rPr>
              <w:t>provider;</w:t>
            </w:r>
            <w:proofErr w:type="gramEnd"/>
          </w:p>
          <w:p w14:paraId="379AAC55" w14:textId="77777777" w:rsidR="00224859" w:rsidRPr="00224859" w:rsidRDefault="00224859" w:rsidP="00224859">
            <w:pPr>
              <w:jc w:val="center"/>
              <w:rPr>
                <w:color w:val="000000"/>
                <w:sz w:val="22"/>
              </w:rPr>
            </w:pPr>
            <w:r w:rsidRPr="00224859">
              <w:rPr>
                <w:color w:val="000000"/>
                <w:sz w:val="22"/>
              </w:rPr>
              <w:t>funding provider</w:t>
            </w:r>
          </w:p>
        </w:tc>
        <w:tc>
          <w:tcPr>
            <w:tcW w:w="2128" w:type="pct"/>
          </w:tcPr>
          <w:p w14:paraId="43D20AC7" w14:textId="77777777" w:rsidR="00224859" w:rsidRPr="00224859" w:rsidRDefault="00224859" w:rsidP="00A323CC">
            <w:pPr>
              <w:pStyle w:val="ListParagraph"/>
              <w:numPr>
                <w:ilvl w:val="0"/>
                <w:numId w:val="21"/>
              </w:numPr>
              <w:jc w:val="left"/>
              <w:rPr>
                <w:color w:val="000000"/>
                <w:sz w:val="22"/>
              </w:rPr>
            </w:pPr>
            <w:r w:rsidRPr="00224859">
              <w:rPr>
                <w:color w:val="000000"/>
                <w:sz w:val="22"/>
              </w:rPr>
              <w:t>No negative impact on company profits</w:t>
            </w:r>
          </w:p>
          <w:p w14:paraId="6BF43C39" w14:textId="77777777" w:rsidR="00224859" w:rsidRPr="00224859" w:rsidRDefault="00224859" w:rsidP="00A323CC">
            <w:pPr>
              <w:pStyle w:val="ListParagraph"/>
              <w:numPr>
                <w:ilvl w:val="0"/>
                <w:numId w:val="21"/>
              </w:numPr>
              <w:jc w:val="left"/>
              <w:rPr>
                <w:color w:val="000000"/>
                <w:sz w:val="22"/>
              </w:rPr>
            </w:pPr>
            <w:r w:rsidRPr="00224859">
              <w:rPr>
                <w:color w:val="000000"/>
                <w:sz w:val="22"/>
              </w:rPr>
              <w:t>Attraction of more customers</w:t>
            </w:r>
          </w:p>
          <w:p w14:paraId="13B73EEF" w14:textId="77777777" w:rsidR="00224859" w:rsidRPr="00224859" w:rsidRDefault="00224859" w:rsidP="00A323CC">
            <w:pPr>
              <w:pStyle w:val="ListParagraph"/>
              <w:numPr>
                <w:ilvl w:val="0"/>
                <w:numId w:val="21"/>
              </w:numPr>
              <w:jc w:val="left"/>
              <w:rPr>
                <w:color w:val="000000"/>
                <w:sz w:val="22"/>
              </w:rPr>
            </w:pPr>
            <w:r w:rsidRPr="00224859">
              <w:rPr>
                <w:color w:val="000000"/>
                <w:sz w:val="22"/>
              </w:rPr>
              <w:t>Development of new cooperation with other companies in similar businesses</w:t>
            </w:r>
          </w:p>
        </w:tc>
      </w:tr>
      <w:tr w:rsidR="00224859" w:rsidRPr="00224859" w14:paraId="5D78FFC2" w14:textId="77777777" w:rsidTr="00224859">
        <w:trPr>
          <w:trHeight w:val="322"/>
        </w:trPr>
        <w:tc>
          <w:tcPr>
            <w:tcW w:w="594" w:type="pct"/>
            <w:vMerge/>
            <w:vAlign w:val="center"/>
          </w:tcPr>
          <w:p w14:paraId="38C751AD" w14:textId="77777777" w:rsidR="00224859" w:rsidRPr="00224859" w:rsidRDefault="00224859" w:rsidP="000A1977">
            <w:pPr>
              <w:jc w:val="center"/>
              <w:rPr>
                <w:color w:val="000000"/>
                <w:sz w:val="22"/>
              </w:rPr>
            </w:pPr>
          </w:p>
        </w:tc>
        <w:tc>
          <w:tcPr>
            <w:tcW w:w="488" w:type="pct"/>
            <w:vMerge/>
            <w:vAlign w:val="center"/>
          </w:tcPr>
          <w:p w14:paraId="51951F4E" w14:textId="77777777" w:rsidR="00224859" w:rsidRPr="00224859" w:rsidRDefault="00224859" w:rsidP="000A1977">
            <w:pPr>
              <w:jc w:val="center"/>
              <w:rPr>
                <w:color w:val="000000"/>
                <w:sz w:val="22"/>
              </w:rPr>
            </w:pPr>
          </w:p>
        </w:tc>
        <w:tc>
          <w:tcPr>
            <w:tcW w:w="976" w:type="pct"/>
            <w:vAlign w:val="center"/>
          </w:tcPr>
          <w:p w14:paraId="60DEDBC9" w14:textId="77777777" w:rsidR="00224859" w:rsidRPr="00224859" w:rsidRDefault="00224859" w:rsidP="00224859">
            <w:pPr>
              <w:jc w:val="center"/>
              <w:rPr>
                <w:color w:val="000000"/>
                <w:sz w:val="22"/>
              </w:rPr>
            </w:pPr>
            <w:r w:rsidRPr="00224859">
              <w:rPr>
                <w:color w:val="000000"/>
                <w:sz w:val="22"/>
              </w:rPr>
              <w:t>University (KTH)</w:t>
            </w:r>
          </w:p>
        </w:tc>
        <w:tc>
          <w:tcPr>
            <w:tcW w:w="814" w:type="pct"/>
            <w:vAlign w:val="center"/>
          </w:tcPr>
          <w:p w14:paraId="60A28FCD" w14:textId="77777777" w:rsidR="00224859" w:rsidRPr="00224859" w:rsidRDefault="00224859" w:rsidP="00224859">
            <w:pPr>
              <w:jc w:val="center"/>
              <w:rPr>
                <w:color w:val="000000"/>
                <w:sz w:val="22"/>
              </w:rPr>
            </w:pPr>
            <w:r w:rsidRPr="00224859">
              <w:rPr>
                <w:color w:val="000000"/>
                <w:sz w:val="22"/>
              </w:rPr>
              <w:t>Vehicle provider</w:t>
            </w:r>
          </w:p>
        </w:tc>
        <w:tc>
          <w:tcPr>
            <w:tcW w:w="2128" w:type="pct"/>
          </w:tcPr>
          <w:p w14:paraId="577386E2" w14:textId="77777777" w:rsidR="00224859" w:rsidRPr="00224859" w:rsidRDefault="00224859" w:rsidP="00A323CC">
            <w:pPr>
              <w:pStyle w:val="ListParagraph"/>
              <w:numPr>
                <w:ilvl w:val="0"/>
                <w:numId w:val="21"/>
              </w:numPr>
              <w:jc w:val="left"/>
              <w:rPr>
                <w:color w:val="000000"/>
                <w:sz w:val="22"/>
              </w:rPr>
            </w:pPr>
            <w:r w:rsidRPr="00224859">
              <w:rPr>
                <w:color w:val="000000"/>
                <w:sz w:val="22"/>
              </w:rPr>
              <w:t>Application for more funding for research</w:t>
            </w:r>
          </w:p>
          <w:p w14:paraId="060A7D06" w14:textId="77777777" w:rsidR="00224859" w:rsidRPr="00224859" w:rsidRDefault="00224859" w:rsidP="00A323CC">
            <w:pPr>
              <w:pStyle w:val="ListParagraph"/>
              <w:numPr>
                <w:ilvl w:val="0"/>
                <w:numId w:val="21"/>
              </w:numPr>
              <w:jc w:val="left"/>
              <w:rPr>
                <w:color w:val="000000"/>
                <w:sz w:val="22"/>
              </w:rPr>
            </w:pPr>
            <w:r w:rsidRPr="00224859">
              <w:rPr>
                <w:color w:val="000000"/>
                <w:sz w:val="22"/>
              </w:rPr>
              <w:t>Development of affordable new technology</w:t>
            </w:r>
          </w:p>
          <w:p w14:paraId="5B6AF864" w14:textId="77777777" w:rsidR="00224859" w:rsidRPr="00224859" w:rsidRDefault="00224859" w:rsidP="00A323CC">
            <w:pPr>
              <w:pStyle w:val="ListParagraph"/>
              <w:numPr>
                <w:ilvl w:val="0"/>
                <w:numId w:val="21"/>
              </w:numPr>
              <w:jc w:val="left"/>
              <w:rPr>
                <w:color w:val="000000"/>
                <w:sz w:val="22"/>
              </w:rPr>
            </w:pPr>
            <w:r w:rsidRPr="00224859">
              <w:rPr>
                <w:color w:val="000000"/>
                <w:sz w:val="22"/>
              </w:rPr>
              <w:t>Promotion of environmentally friendly vehicles</w:t>
            </w:r>
          </w:p>
          <w:p w14:paraId="31C7EA6C" w14:textId="77777777" w:rsidR="00224859" w:rsidRPr="00224859" w:rsidRDefault="00224859" w:rsidP="00A323CC">
            <w:pPr>
              <w:pStyle w:val="ListParagraph"/>
              <w:numPr>
                <w:ilvl w:val="0"/>
                <w:numId w:val="21"/>
              </w:numPr>
              <w:jc w:val="left"/>
              <w:rPr>
                <w:color w:val="000000"/>
                <w:sz w:val="22"/>
              </w:rPr>
            </w:pPr>
            <w:r w:rsidRPr="00224859">
              <w:rPr>
                <w:color w:val="000000"/>
                <w:sz w:val="22"/>
              </w:rPr>
              <w:t>Improvements in the reliability of the electrical vehicle</w:t>
            </w:r>
          </w:p>
        </w:tc>
      </w:tr>
      <w:tr w:rsidR="00224859" w:rsidRPr="00224859" w14:paraId="2D8CD386" w14:textId="77777777" w:rsidTr="00224859">
        <w:tc>
          <w:tcPr>
            <w:tcW w:w="594" w:type="pct"/>
            <w:vMerge/>
            <w:vAlign w:val="center"/>
          </w:tcPr>
          <w:p w14:paraId="05F89D1B" w14:textId="77777777" w:rsidR="00224859" w:rsidRPr="00224859" w:rsidRDefault="00224859" w:rsidP="000A1977">
            <w:pPr>
              <w:jc w:val="center"/>
              <w:rPr>
                <w:color w:val="000000"/>
                <w:sz w:val="22"/>
              </w:rPr>
            </w:pPr>
          </w:p>
        </w:tc>
        <w:tc>
          <w:tcPr>
            <w:tcW w:w="488" w:type="pct"/>
            <w:vMerge w:val="restart"/>
            <w:vAlign w:val="center"/>
          </w:tcPr>
          <w:p w14:paraId="2DAFD04E" w14:textId="77777777" w:rsidR="00224859" w:rsidRPr="00224859" w:rsidRDefault="00224859" w:rsidP="000A1977">
            <w:pPr>
              <w:jc w:val="center"/>
              <w:rPr>
                <w:color w:val="000000"/>
                <w:sz w:val="22"/>
              </w:rPr>
            </w:pPr>
            <w:r w:rsidRPr="00224859">
              <w:rPr>
                <w:color w:val="000000"/>
                <w:sz w:val="22"/>
              </w:rPr>
              <w:t>Case 2</w:t>
            </w:r>
          </w:p>
        </w:tc>
        <w:tc>
          <w:tcPr>
            <w:tcW w:w="976" w:type="pct"/>
            <w:vAlign w:val="center"/>
          </w:tcPr>
          <w:p w14:paraId="4CD6FC5A" w14:textId="77777777" w:rsidR="00224859" w:rsidRPr="00224859" w:rsidRDefault="00224859" w:rsidP="00224859">
            <w:pPr>
              <w:jc w:val="center"/>
              <w:rPr>
                <w:color w:val="000000"/>
                <w:sz w:val="22"/>
              </w:rPr>
            </w:pPr>
            <w:r w:rsidRPr="00224859">
              <w:rPr>
                <w:color w:val="000000"/>
                <w:sz w:val="22"/>
              </w:rPr>
              <w:t>Project manager (UPM)</w:t>
            </w:r>
          </w:p>
        </w:tc>
        <w:tc>
          <w:tcPr>
            <w:tcW w:w="814" w:type="pct"/>
            <w:vAlign w:val="center"/>
          </w:tcPr>
          <w:p w14:paraId="6E9BF57D" w14:textId="77777777" w:rsidR="00224859" w:rsidRPr="00224859" w:rsidRDefault="00224859" w:rsidP="00224859">
            <w:pPr>
              <w:jc w:val="center"/>
              <w:rPr>
                <w:color w:val="000000"/>
                <w:sz w:val="22"/>
              </w:rPr>
            </w:pPr>
            <w:r w:rsidRPr="00224859">
              <w:rPr>
                <w:color w:val="000000"/>
                <w:sz w:val="22"/>
              </w:rPr>
              <w:t>Project manager</w:t>
            </w:r>
          </w:p>
        </w:tc>
        <w:tc>
          <w:tcPr>
            <w:tcW w:w="2128" w:type="pct"/>
          </w:tcPr>
          <w:p w14:paraId="7025B2B8" w14:textId="77777777" w:rsidR="00224859" w:rsidRPr="00224859" w:rsidRDefault="00224859" w:rsidP="00A323CC">
            <w:pPr>
              <w:pStyle w:val="ListParagraph"/>
              <w:numPr>
                <w:ilvl w:val="0"/>
                <w:numId w:val="21"/>
              </w:numPr>
              <w:jc w:val="left"/>
              <w:rPr>
                <w:color w:val="000000"/>
                <w:sz w:val="22"/>
              </w:rPr>
            </w:pPr>
            <w:r w:rsidRPr="00224859">
              <w:rPr>
                <w:color w:val="000000"/>
                <w:sz w:val="22"/>
              </w:rPr>
              <w:t>Business promotion</w:t>
            </w:r>
          </w:p>
          <w:p w14:paraId="714635DA" w14:textId="77777777" w:rsidR="00224859" w:rsidRPr="00224859" w:rsidRDefault="00224859" w:rsidP="00A323CC">
            <w:pPr>
              <w:pStyle w:val="ListParagraph"/>
              <w:numPr>
                <w:ilvl w:val="0"/>
                <w:numId w:val="21"/>
              </w:numPr>
              <w:jc w:val="left"/>
              <w:rPr>
                <w:color w:val="000000"/>
                <w:sz w:val="22"/>
              </w:rPr>
            </w:pPr>
            <w:r w:rsidRPr="00224859">
              <w:rPr>
                <w:color w:val="000000"/>
                <w:sz w:val="22"/>
              </w:rPr>
              <w:t>Enhancement of social reputation</w:t>
            </w:r>
          </w:p>
        </w:tc>
      </w:tr>
      <w:tr w:rsidR="00224859" w:rsidRPr="00224859" w14:paraId="23843F5C" w14:textId="77777777" w:rsidTr="00224859">
        <w:tc>
          <w:tcPr>
            <w:tcW w:w="594" w:type="pct"/>
            <w:vMerge/>
            <w:vAlign w:val="center"/>
          </w:tcPr>
          <w:p w14:paraId="0E9B81BE" w14:textId="77777777" w:rsidR="00224859" w:rsidRPr="00224859" w:rsidRDefault="00224859" w:rsidP="000A1977">
            <w:pPr>
              <w:jc w:val="center"/>
              <w:rPr>
                <w:color w:val="000000"/>
                <w:sz w:val="22"/>
              </w:rPr>
            </w:pPr>
          </w:p>
        </w:tc>
        <w:tc>
          <w:tcPr>
            <w:tcW w:w="488" w:type="pct"/>
            <w:vMerge/>
            <w:vAlign w:val="center"/>
          </w:tcPr>
          <w:p w14:paraId="7ECD0320" w14:textId="77777777" w:rsidR="00224859" w:rsidRPr="00224859" w:rsidRDefault="00224859" w:rsidP="000A1977">
            <w:pPr>
              <w:jc w:val="center"/>
              <w:rPr>
                <w:color w:val="000000"/>
                <w:sz w:val="22"/>
              </w:rPr>
            </w:pPr>
          </w:p>
        </w:tc>
        <w:tc>
          <w:tcPr>
            <w:tcW w:w="976" w:type="pct"/>
            <w:vAlign w:val="center"/>
          </w:tcPr>
          <w:p w14:paraId="19FDF02B" w14:textId="77777777" w:rsidR="00224859" w:rsidRPr="00224859" w:rsidRDefault="00224859" w:rsidP="00224859">
            <w:pPr>
              <w:jc w:val="center"/>
              <w:rPr>
                <w:color w:val="000000"/>
                <w:sz w:val="22"/>
              </w:rPr>
            </w:pPr>
            <w:r w:rsidRPr="00224859">
              <w:rPr>
                <w:color w:val="000000"/>
                <w:sz w:val="22"/>
              </w:rPr>
              <w:t xml:space="preserve">Department of </w:t>
            </w:r>
            <w:r w:rsidRPr="00224859">
              <w:rPr>
                <w:rFonts w:eastAsia="等线"/>
                <w:color w:val="000000"/>
                <w:sz w:val="22"/>
              </w:rPr>
              <w:t>Royal Seaport</w:t>
            </w:r>
            <w:r w:rsidRPr="00224859" w:rsidDel="00147D68">
              <w:rPr>
                <w:color w:val="000000"/>
                <w:sz w:val="22"/>
              </w:rPr>
              <w:t xml:space="preserve"> </w:t>
            </w:r>
            <w:r w:rsidRPr="00224859">
              <w:rPr>
                <w:color w:val="000000"/>
                <w:sz w:val="22"/>
              </w:rPr>
              <w:t>Project (</w:t>
            </w:r>
            <w:r w:rsidRPr="00224859">
              <w:rPr>
                <w:rFonts w:hint="eastAsia"/>
                <w:color w:val="000000"/>
                <w:sz w:val="22"/>
              </w:rPr>
              <w:t>D</w:t>
            </w:r>
            <w:r w:rsidRPr="00224859">
              <w:rPr>
                <w:color w:val="000000"/>
                <w:sz w:val="22"/>
              </w:rPr>
              <w:t>RS)</w:t>
            </w:r>
          </w:p>
        </w:tc>
        <w:tc>
          <w:tcPr>
            <w:tcW w:w="814" w:type="pct"/>
            <w:vAlign w:val="center"/>
          </w:tcPr>
          <w:p w14:paraId="3DF359BE" w14:textId="77777777" w:rsidR="00224859" w:rsidRPr="00224859" w:rsidRDefault="00224859" w:rsidP="00224859">
            <w:pPr>
              <w:jc w:val="center"/>
              <w:rPr>
                <w:color w:val="000000"/>
                <w:sz w:val="22"/>
              </w:rPr>
            </w:pPr>
            <w:r w:rsidRPr="00224859">
              <w:rPr>
                <w:color w:val="000000"/>
                <w:sz w:val="22"/>
              </w:rPr>
              <w:t xml:space="preserve">Funding </w:t>
            </w:r>
            <w:proofErr w:type="gramStart"/>
            <w:r w:rsidRPr="00224859">
              <w:rPr>
                <w:color w:val="000000"/>
                <w:sz w:val="22"/>
              </w:rPr>
              <w:t>provider;</w:t>
            </w:r>
            <w:proofErr w:type="gramEnd"/>
          </w:p>
          <w:p w14:paraId="3BC6A9BC" w14:textId="77777777" w:rsidR="00224859" w:rsidRPr="00224859" w:rsidRDefault="00224859" w:rsidP="00224859">
            <w:pPr>
              <w:jc w:val="center"/>
              <w:rPr>
                <w:color w:val="000000"/>
                <w:sz w:val="22"/>
              </w:rPr>
            </w:pPr>
            <w:r w:rsidRPr="00224859">
              <w:rPr>
                <w:color w:val="000000"/>
                <w:sz w:val="22"/>
              </w:rPr>
              <w:t xml:space="preserve">strategic </w:t>
            </w:r>
            <w:proofErr w:type="gramStart"/>
            <w:r w:rsidRPr="00224859">
              <w:rPr>
                <w:color w:val="000000"/>
                <w:sz w:val="22"/>
              </w:rPr>
              <w:t>planning;</w:t>
            </w:r>
            <w:proofErr w:type="gramEnd"/>
          </w:p>
          <w:p w14:paraId="4F6A77B9" w14:textId="77777777" w:rsidR="00224859" w:rsidRPr="00224859" w:rsidRDefault="00224859" w:rsidP="00224859">
            <w:pPr>
              <w:jc w:val="center"/>
              <w:rPr>
                <w:color w:val="000000"/>
                <w:sz w:val="22"/>
              </w:rPr>
            </w:pPr>
            <w:proofErr w:type="gramStart"/>
            <w:r w:rsidRPr="00224859">
              <w:rPr>
                <w:color w:val="000000"/>
                <w:sz w:val="22"/>
              </w:rPr>
              <w:t>policymaker;</w:t>
            </w:r>
            <w:proofErr w:type="gramEnd"/>
          </w:p>
          <w:p w14:paraId="427FD9A9" w14:textId="77777777" w:rsidR="00224859" w:rsidRPr="00224859" w:rsidRDefault="00224859" w:rsidP="00224859">
            <w:pPr>
              <w:jc w:val="center"/>
              <w:rPr>
                <w:color w:val="000000"/>
                <w:sz w:val="22"/>
              </w:rPr>
            </w:pPr>
            <w:r w:rsidRPr="00224859">
              <w:rPr>
                <w:rFonts w:hint="eastAsia"/>
                <w:color w:val="000000"/>
                <w:sz w:val="22"/>
              </w:rPr>
              <w:t>inspection</w:t>
            </w:r>
          </w:p>
        </w:tc>
        <w:tc>
          <w:tcPr>
            <w:tcW w:w="2128" w:type="pct"/>
          </w:tcPr>
          <w:p w14:paraId="3DCDFFFC" w14:textId="77777777" w:rsidR="00224859" w:rsidRPr="00224859" w:rsidRDefault="00224859" w:rsidP="00A323CC">
            <w:pPr>
              <w:pStyle w:val="ListParagraph"/>
              <w:numPr>
                <w:ilvl w:val="0"/>
                <w:numId w:val="21"/>
              </w:numPr>
              <w:jc w:val="left"/>
              <w:rPr>
                <w:color w:val="000000"/>
                <w:sz w:val="22"/>
              </w:rPr>
            </w:pPr>
            <w:r w:rsidRPr="00224859">
              <w:rPr>
                <w:color w:val="000000"/>
                <w:sz w:val="22"/>
              </w:rPr>
              <w:t>Reduction in emissions from last-mile delivery</w:t>
            </w:r>
          </w:p>
          <w:p w14:paraId="22E24D5A" w14:textId="77777777" w:rsidR="00224859" w:rsidRPr="00224859" w:rsidRDefault="00224859" w:rsidP="00A323CC">
            <w:pPr>
              <w:pStyle w:val="ListParagraph"/>
              <w:numPr>
                <w:ilvl w:val="0"/>
                <w:numId w:val="21"/>
              </w:numPr>
              <w:jc w:val="left"/>
              <w:rPr>
                <w:color w:val="000000"/>
                <w:sz w:val="22"/>
              </w:rPr>
            </w:pPr>
            <w:r w:rsidRPr="00224859">
              <w:rPr>
                <w:color w:val="000000"/>
                <w:sz w:val="22"/>
              </w:rPr>
              <w:t>Fewer vehicles in Royal Seaport region</w:t>
            </w:r>
          </w:p>
          <w:p w14:paraId="5EBE3143" w14:textId="77777777" w:rsidR="00224859" w:rsidRPr="00224859" w:rsidRDefault="00224859" w:rsidP="00A323CC">
            <w:pPr>
              <w:pStyle w:val="ListParagraph"/>
              <w:numPr>
                <w:ilvl w:val="0"/>
                <w:numId w:val="21"/>
              </w:numPr>
              <w:jc w:val="left"/>
              <w:rPr>
                <w:color w:val="000000"/>
                <w:sz w:val="22"/>
              </w:rPr>
            </w:pPr>
            <w:r w:rsidRPr="00224859">
              <w:rPr>
                <w:color w:val="000000"/>
                <w:sz w:val="22"/>
              </w:rPr>
              <w:t>Cost reduction for Royal Seaport region project</w:t>
            </w:r>
          </w:p>
          <w:p w14:paraId="4174C0B0" w14:textId="77777777" w:rsidR="00224859" w:rsidRPr="00224859" w:rsidRDefault="00224859" w:rsidP="00A323CC">
            <w:pPr>
              <w:pStyle w:val="ListParagraph"/>
              <w:numPr>
                <w:ilvl w:val="0"/>
                <w:numId w:val="21"/>
              </w:numPr>
              <w:jc w:val="left"/>
              <w:rPr>
                <w:color w:val="000000"/>
                <w:sz w:val="22"/>
              </w:rPr>
            </w:pPr>
            <w:r w:rsidRPr="00224859">
              <w:rPr>
                <w:color w:val="000000"/>
                <w:sz w:val="22"/>
              </w:rPr>
              <w:t>Improvement in road safety in the Royal Seaport region</w:t>
            </w:r>
          </w:p>
          <w:p w14:paraId="3711089D" w14:textId="77777777" w:rsidR="00224859" w:rsidRPr="00224859" w:rsidRDefault="00224859" w:rsidP="00A323CC">
            <w:pPr>
              <w:pStyle w:val="ListParagraph"/>
              <w:numPr>
                <w:ilvl w:val="0"/>
                <w:numId w:val="21"/>
              </w:numPr>
              <w:jc w:val="left"/>
              <w:rPr>
                <w:sz w:val="22"/>
              </w:rPr>
            </w:pPr>
            <w:r w:rsidRPr="00224859">
              <w:rPr>
                <w:color w:val="000000"/>
                <w:sz w:val="22"/>
              </w:rPr>
              <w:t>Improvement in service scope of UCC</w:t>
            </w:r>
          </w:p>
        </w:tc>
      </w:tr>
      <w:tr w:rsidR="00224859" w:rsidRPr="00224859" w14:paraId="07CD2C4D" w14:textId="77777777" w:rsidTr="00224859">
        <w:trPr>
          <w:trHeight w:val="1277"/>
        </w:trPr>
        <w:tc>
          <w:tcPr>
            <w:tcW w:w="594" w:type="pct"/>
            <w:vMerge w:val="restart"/>
            <w:vAlign w:val="center"/>
          </w:tcPr>
          <w:p w14:paraId="237F7B79" w14:textId="77777777" w:rsidR="00224859" w:rsidRPr="00224859" w:rsidRDefault="00224859" w:rsidP="000A1977">
            <w:pPr>
              <w:jc w:val="center"/>
              <w:rPr>
                <w:color w:val="000000"/>
                <w:sz w:val="22"/>
              </w:rPr>
            </w:pPr>
            <w:r w:rsidRPr="00224859">
              <w:rPr>
                <w:color w:val="000000"/>
                <w:sz w:val="22"/>
              </w:rPr>
              <w:t>China</w:t>
            </w:r>
          </w:p>
        </w:tc>
        <w:tc>
          <w:tcPr>
            <w:tcW w:w="488" w:type="pct"/>
            <w:vMerge w:val="restart"/>
            <w:vAlign w:val="center"/>
          </w:tcPr>
          <w:p w14:paraId="6CB09CA2" w14:textId="77777777" w:rsidR="00224859" w:rsidRPr="00224859" w:rsidRDefault="00224859" w:rsidP="000A1977">
            <w:pPr>
              <w:jc w:val="center"/>
              <w:rPr>
                <w:color w:val="000000"/>
                <w:sz w:val="22"/>
              </w:rPr>
            </w:pPr>
            <w:r w:rsidRPr="00224859">
              <w:rPr>
                <w:color w:val="000000"/>
                <w:sz w:val="22"/>
              </w:rPr>
              <w:t>Case 3</w:t>
            </w:r>
          </w:p>
        </w:tc>
        <w:tc>
          <w:tcPr>
            <w:tcW w:w="976" w:type="pct"/>
            <w:vAlign w:val="center"/>
          </w:tcPr>
          <w:p w14:paraId="4E75DE39" w14:textId="77777777" w:rsidR="00224859" w:rsidRPr="00224859" w:rsidRDefault="00224859" w:rsidP="00224859">
            <w:pPr>
              <w:jc w:val="center"/>
              <w:rPr>
                <w:color w:val="000000"/>
                <w:sz w:val="22"/>
              </w:rPr>
            </w:pPr>
            <w:r w:rsidRPr="00224859">
              <w:rPr>
                <w:color w:val="000000"/>
                <w:sz w:val="22"/>
              </w:rPr>
              <w:t>Company A</w:t>
            </w:r>
          </w:p>
          <w:p w14:paraId="1ADB15CA" w14:textId="77777777" w:rsidR="00224859" w:rsidRPr="00224859" w:rsidRDefault="00224859" w:rsidP="00224859">
            <w:pPr>
              <w:jc w:val="center"/>
              <w:rPr>
                <w:color w:val="000000"/>
                <w:sz w:val="22"/>
              </w:rPr>
            </w:pPr>
            <w:r w:rsidRPr="00224859">
              <w:rPr>
                <w:color w:val="000000"/>
                <w:sz w:val="22"/>
              </w:rPr>
              <w:t>executive</w:t>
            </w:r>
          </w:p>
          <w:p w14:paraId="61DF9B21" w14:textId="77777777" w:rsidR="00224859" w:rsidRPr="00224859" w:rsidRDefault="00224859" w:rsidP="00224859">
            <w:pPr>
              <w:jc w:val="center"/>
              <w:rPr>
                <w:color w:val="000000"/>
                <w:sz w:val="22"/>
              </w:rPr>
            </w:pPr>
            <w:r w:rsidRPr="00224859">
              <w:rPr>
                <w:color w:val="000000"/>
                <w:sz w:val="22"/>
              </w:rPr>
              <w:t>(UE)</w:t>
            </w:r>
          </w:p>
        </w:tc>
        <w:tc>
          <w:tcPr>
            <w:tcW w:w="814" w:type="pct"/>
            <w:vAlign w:val="center"/>
          </w:tcPr>
          <w:p w14:paraId="5A4F3C65" w14:textId="77777777" w:rsidR="00224859" w:rsidRPr="00224859" w:rsidRDefault="00224859" w:rsidP="00224859">
            <w:pPr>
              <w:jc w:val="center"/>
              <w:rPr>
                <w:color w:val="000000"/>
                <w:sz w:val="22"/>
              </w:rPr>
            </w:pPr>
            <w:r w:rsidRPr="00224859">
              <w:rPr>
                <w:color w:val="000000"/>
                <w:sz w:val="22"/>
              </w:rPr>
              <w:t xml:space="preserve">Funding </w:t>
            </w:r>
            <w:proofErr w:type="gramStart"/>
            <w:r w:rsidRPr="00224859">
              <w:rPr>
                <w:color w:val="000000"/>
                <w:sz w:val="22"/>
              </w:rPr>
              <w:t>provider;</w:t>
            </w:r>
            <w:proofErr w:type="gramEnd"/>
          </w:p>
          <w:p w14:paraId="2CCCCEC0" w14:textId="77777777" w:rsidR="00224859" w:rsidRPr="00224859" w:rsidRDefault="00224859" w:rsidP="00224859">
            <w:pPr>
              <w:jc w:val="center"/>
              <w:rPr>
                <w:color w:val="000000"/>
                <w:sz w:val="22"/>
              </w:rPr>
            </w:pPr>
            <w:r w:rsidRPr="00224859">
              <w:rPr>
                <w:color w:val="000000"/>
                <w:sz w:val="22"/>
              </w:rPr>
              <w:t xml:space="preserve">project </w:t>
            </w:r>
            <w:proofErr w:type="gramStart"/>
            <w:r w:rsidRPr="00224859">
              <w:rPr>
                <w:rFonts w:hint="eastAsia"/>
                <w:color w:val="000000"/>
                <w:sz w:val="22"/>
              </w:rPr>
              <w:t>manager</w:t>
            </w:r>
            <w:r w:rsidRPr="00224859">
              <w:rPr>
                <w:color w:val="000000"/>
                <w:sz w:val="22"/>
              </w:rPr>
              <w:t>;</w:t>
            </w:r>
            <w:proofErr w:type="gramEnd"/>
          </w:p>
          <w:p w14:paraId="48247058" w14:textId="77777777" w:rsidR="00224859" w:rsidRPr="00224859" w:rsidRDefault="00224859" w:rsidP="00224859">
            <w:pPr>
              <w:jc w:val="center"/>
              <w:rPr>
                <w:color w:val="000000"/>
                <w:sz w:val="22"/>
              </w:rPr>
            </w:pPr>
            <w:r w:rsidRPr="00224859">
              <w:rPr>
                <w:color w:val="000000"/>
                <w:sz w:val="22"/>
              </w:rPr>
              <w:t>inspection</w:t>
            </w:r>
          </w:p>
        </w:tc>
        <w:tc>
          <w:tcPr>
            <w:tcW w:w="2128" w:type="pct"/>
          </w:tcPr>
          <w:p w14:paraId="38F6BC95" w14:textId="77777777" w:rsidR="00224859" w:rsidRPr="00224859" w:rsidRDefault="00224859" w:rsidP="00A323CC">
            <w:pPr>
              <w:pStyle w:val="ListParagraph"/>
              <w:numPr>
                <w:ilvl w:val="0"/>
                <w:numId w:val="21"/>
              </w:numPr>
              <w:jc w:val="left"/>
              <w:rPr>
                <w:color w:val="000000"/>
                <w:sz w:val="22"/>
              </w:rPr>
            </w:pPr>
            <w:r w:rsidRPr="00224859">
              <w:rPr>
                <w:color w:val="000000"/>
                <w:sz w:val="22"/>
              </w:rPr>
              <w:t>Improvement in operating efficiency of UCC</w:t>
            </w:r>
          </w:p>
          <w:p w14:paraId="6CAD6715" w14:textId="77777777" w:rsidR="00224859" w:rsidRPr="00224859" w:rsidRDefault="00224859" w:rsidP="00A323CC">
            <w:pPr>
              <w:pStyle w:val="ListParagraph"/>
              <w:numPr>
                <w:ilvl w:val="0"/>
                <w:numId w:val="21"/>
              </w:numPr>
              <w:jc w:val="left"/>
              <w:rPr>
                <w:color w:val="000000"/>
                <w:sz w:val="22"/>
              </w:rPr>
            </w:pPr>
            <w:r w:rsidRPr="00224859">
              <w:rPr>
                <w:color w:val="000000"/>
                <w:sz w:val="22"/>
              </w:rPr>
              <w:t xml:space="preserve">Maintenance of acceptable cost levels of UCC </w:t>
            </w:r>
          </w:p>
          <w:p w14:paraId="5358915B" w14:textId="77777777" w:rsidR="00224859" w:rsidRPr="00224859" w:rsidRDefault="00224859" w:rsidP="00A323CC">
            <w:pPr>
              <w:pStyle w:val="ListParagraph"/>
              <w:numPr>
                <w:ilvl w:val="0"/>
                <w:numId w:val="21"/>
              </w:numPr>
              <w:jc w:val="left"/>
              <w:rPr>
                <w:sz w:val="22"/>
              </w:rPr>
            </w:pPr>
            <w:r w:rsidRPr="00224859">
              <w:rPr>
                <w:color w:val="000000"/>
                <w:sz w:val="22"/>
              </w:rPr>
              <w:t xml:space="preserve">Maintenance of high customer satisfaction </w:t>
            </w:r>
          </w:p>
        </w:tc>
      </w:tr>
      <w:tr w:rsidR="00224859" w:rsidRPr="00224859" w14:paraId="35E5E966" w14:textId="77777777" w:rsidTr="00224859">
        <w:tc>
          <w:tcPr>
            <w:tcW w:w="594" w:type="pct"/>
            <w:vMerge/>
            <w:vAlign w:val="center"/>
          </w:tcPr>
          <w:p w14:paraId="65292A16" w14:textId="77777777" w:rsidR="00224859" w:rsidRPr="00224859" w:rsidRDefault="00224859" w:rsidP="000A1977">
            <w:pPr>
              <w:jc w:val="center"/>
              <w:rPr>
                <w:color w:val="000000"/>
                <w:sz w:val="22"/>
              </w:rPr>
            </w:pPr>
          </w:p>
        </w:tc>
        <w:tc>
          <w:tcPr>
            <w:tcW w:w="488" w:type="pct"/>
            <w:vMerge/>
            <w:vAlign w:val="center"/>
          </w:tcPr>
          <w:p w14:paraId="77407CF5" w14:textId="77777777" w:rsidR="00224859" w:rsidRPr="00224859" w:rsidRDefault="00224859" w:rsidP="000A1977">
            <w:pPr>
              <w:jc w:val="center"/>
              <w:rPr>
                <w:color w:val="000000"/>
                <w:sz w:val="22"/>
              </w:rPr>
            </w:pPr>
          </w:p>
        </w:tc>
        <w:tc>
          <w:tcPr>
            <w:tcW w:w="976" w:type="pct"/>
            <w:vAlign w:val="center"/>
          </w:tcPr>
          <w:p w14:paraId="0006C396" w14:textId="77777777" w:rsidR="00224859" w:rsidRPr="00224859" w:rsidRDefault="00224859" w:rsidP="00224859">
            <w:pPr>
              <w:jc w:val="center"/>
              <w:rPr>
                <w:color w:val="000000"/>
                <w:sz w:val="22"/>
              </w:rPr>
            </w:pPr>
            <w:r w:rsidRPr="00224859">
              <w:rPr>
                <w:color w:val="000000"/>
                <w:sz w:val="22"/>
              </w:rPr>
              <w:t>Medical warehouse department (HWD)</w:t>
            </w:r>
          </w:p>
        </w:tc>
        <w:tc>
          <w:tcPr>
            <w:tcW w:w="814" w:type="pct"/>
            <w:vAlign w:val="center"/>
          </w:tcPr>
          <w:p w14:paraId="1E89F948" w14:textId="77777777" w:rsidR="00224859" w:rsidRPr="00224859" w:rsidRDefault="00224859" w:rsidP="00224859">
            <w:pPr>
              <w:jc w:val="center"/>
              <w:rPr>
                <w:color w:val="000000"/>
                <w:sz w:val="22"/>
              </w:rPr>
            </w:pPr>
            <w:r w:rsidRPr="00224859">
              <w:rPr>
                <w:color w:val="000000"/>
                <w:sz w:val="22"/>
              </w:rPr>
              <w:t xml:space="preserve">Inventory </w:t>
            </w:r>
            <w:proofErr w:type="gramStart"/>
            <w:r w:rsidRPr="00224859">
              <w:rPr>
                <w:color w:val="000000"/>
                <w:sz w:val="22"/>
              </w:rPr>
              <w:t>manager;</w:t>
            </w:r>
            <w:proofErr w:type="gramEnd"/>
          </w:p>
          <w:p w14:paraId="2E2D03F1" w14:textId="77777777" w:rsidR="00224859" w:rsidRPr="00224859" w:rsidRDefault="00224859" w:rsidP="00224859">
            <w:pPr>
              <w:jc w:val="center"/>
              <w:rPr>
                <w:color w:val="000000"/>
                <w:sz w:val="22"/>
              </w:rPr>
            </w:pPr>
            <w:r w:rsidRPr="00224859">
              <w:rPr>
                <w:color w:val="000000"/>
                <w:sz w:val="22"/>
              </w:rPr>
              <w:t>warehouse operator</w:t>
            </w:r>
          </w:p>
        </w:tc>
        <w:tc>
          <w:tcPr>
            <w:tcW w:w="2128" w:type="pct"/>
          </w:tcPr>
          <w:p w14:paraId="0FFD124A" w14:textId="77777777" w:rsidR="00224859" w:rsidRPr="00224859" w:rsidRDefault="00224859" w:rsidP="00A323CC">
            <w:pPr>
              <w:pStyle w:val="ListParagraph"/>
              <w:numPr>
                <w:ilvl w:val="0"/>
                <w:numId w:val="21"/>
              </w:numPr>
              <w:jc w:val="left"/>
              <w:rPr>
                <w:color w:val="000000"/>
                <w:sz w:val="22"/>
              </w:rPr>
            </w:pPr>
            <w:r w:rsidRPr="00224859">
              <w:rPr>
                <w:color w:val="000000"/>
                <w:sz w:val="22"/>
              </w:rPr>
              <w:t>Maintenance of customers</w:t>
            </w:r>
            <w:r w:rsidRPr="00224859" w:rsidDel="00147D68">
              <w:rPr>
                <w:color w:val="000000"/>
                <w:sz w:val="22"/>
              </w:rPr>
              <w:t xml:space="preserve"> </w:t>
            </w:r>
            <w:r w:rsidRPr="00224859">
              <w:rPr>
                <w:color w:val="000000"/>
                <w:sz w:val="22"/>
              </w:rPr>
              <w:t xml:space="preserve">relationships </w:t>
            </w:r>
          </w:p>
          <w:p w14:paraId="7AB35D46" w14:textId="77777777" w:rsidR="00224859" w:rsidRPr="00224859" w:rsidRDefault="00224859" w:rsidP="00A323CC">
            <w:pPr>
              <w:pStyle w:val="ListParagraph"/>
              <w:numPr>
                <w:ilvl w:val="0"/>
                <w:numId w:val="21"/>
              </w:numPr>
              <w:jc w:val="left"/>
              <w:rPr>
                <w:color w:val="000000"/>
                <w:sz w:val="22"/>
              </w:rPr>
            </w:pPr>
            <w:r w:rsidRPr="00224859">
              <w:rPr>
                <w:color w:val="000000"/>
                <w:sz w:val="22"/>
              </w:rPr>
              <w:t>Highly efficient and accurate warehouse management</w:t>
            </w:r>
          </w:p>
          <w:p w14:paraId="4E0E2FB4" w14:textId="77777777" w:rsidR="00224859" w:rsidRPr="00224859" w:rsidRDefault="00224859" w:rsidP="00A323CC">
            <w:pPr>
              <w:pStyle w:val="ListParagraph"/>
              <w:numPr>
                <w:ilvl w:val="0"/>
                <w:numId w:val="21"/>
              </w:numPr>
              <w:jc w:val="left"/>
              <w:rPr>
                <w:color w:val="000000"/>
                <w:sz w:val="22"/>
              </w:rPr>
            </w:pPr>
            <w:r w:rsidRPr="00224859">
              <w:rPr>
                <w:color w:val="000000"/>
                <w:sz w:val="22"/>
              </w:rPr>
              <w:t>Improvements in communication channels with customers</w:t>
            </w:r>
          </w:p>
          <w:p w14:paraId="1148EE2D" w14:textId="77777777" w:rsidR="00224859" w:rsidRPr="00224859" w:rsidRDefault="00224859" w:rsidP="00A323CC">
            <w:pPr>
              <w:pStyle w:val="ListParagraph"/>
              <w:numPr>
                <w:ilvl w:val="0"/>
                <w:numId w:val="21"/>
              </w:numPr>
              <w:jc w:val="left"/>
              <w:rPr>
                <w:color w:val="000000"/>
                <w:sz w:val="22"/>
              </w:rPr>
            </w:pPr>
            <w:r w:rsidRPr="00224859">
              <w:rPr>
                <w:color w:val="000000"/>
                <w:sz w:val="22"/>
              </w:rPr>
              <w:t>Reduction in goods-damage rate during the goods-sorting process</w:t>
            </w:r>
          </w:p>
        </w:tc>
      </w:tr>
      <w:tr w:rsidR="00224859" w:rsidRPr="00224859" w14:paraId="5C529961" w14:textId="77777777" w:rsidTr="00224859">
        <w:tc>
          <w:tcPr>
            <w:tcW w:w="594" w:type="pct"/>
            <w:vMerge/>
            <w:vAlign w:val="center"/>
          </w:tcPr>
          <w:p w14:paraId="5037B89C" w14:textId="77777777" w:rsidR="00224859" w:rsidRPr="00224859" w:rsidRDefault="00224859" w:rsidP="000A1977">
            <w:pPr>
              <w:jc w:val="center"/>
              <w:rPr>
                <w:color w:val="000000"/>
                <w:sz w:val="22"/>
              </w:rPr>
            </w:pPr>
          </w:p>
        </w:tc>
        <w:tc>
          <w:tcPr>
            <w:tcW w:w="488" w:type="pct"/>
            <w:vMerge/>
            <w:vAlign w:val="center"/>
          </w:tcPr>
          <w:p w14:paraId="04B20840" w14:textId="77777777" w:rsidR="00224859" w:rsidRPr="00224859" w:rsidRDefault="00224859" w:rsidP="000A1977">
            <w:pPr>
              <w:jc w:val="center"/>
              <w:rPr>
                <w:color w:val="000000"/>
                <w:sz w:val="22"/>
              </w:rPr>
            </w:pPr>
          </w:p>
        </w:tc>
        <w:tc>
          <w:tcPr>
            <w:tcW w:w="976" w:type="pct"/>
            <w:vAlign w:val="center"/>
          </w:tcPr>
          <w:p w14:paraId="3CF32EFB" w14:textId="5E419A44" w:rsidR="00224859" w:rsidRPr="00224859" w:rsidRDefault="00224859" w:rsidP="00224859">
            <w:pPr>
              <w:jc w:val="center"/>
              <w:rPr>
                <w:color w:val="000000"/>
                <w:sz w:val="22"/>
              </w:rPr>
            </w:pPr>
            <w:r w:rsidRPr="00224859">
              <w:rPr>
                <w:color w:val="000000"/>
                <w:sz w:val="22"/>
              </w:rPr>
              <w:t>Medical</w:t>
            </w:r>
          </w:p>
          <w:p w14:paraId="585E21B5" w14:textId="77777777" w:rsidR="00224859" w:rsidRPr="00224859" w:rsidRDefault="00224859" w:rsidP="00224859">
            <w:pPr>
              <w:jc w:val="center"/>
              <w:rPr>
                <w:color w:val="000000"/>
                <w:sz w:val="22"/>
              </w:rPr>
            </w:pPr>
            <w:r w:rsidRPr="00224859">
              <w:rPr>
                <w:color w:val="000000"/>
                <w:sz w:val="22"/>
              </w:rPr>
              <w:t>distribution department (HDD)</w:t>
            </w:r>
          </w:p>
        </w:tc>
        <w:tc>
          <w:tcPr>
            <w:tcW w:w="814" w:type="pct"/>
            <w:vAlign w:val="center"/>
          </w:tcPr>
          <w:p w14:paraId="2E400462" w14:textId="77777777" w:rsidR="00224859" w:rsidRPr="00224859" w:rsidRDefault="00224859" w:rsidP="00224859">
            <w:pPr>
              <w:jc w:val="center"/>
              <w:rPr>
                <w:color w:val="000000"/>
                <w:sz w:val="22"/>
              </w:rPr>
            </w:pPr>
            <w:r w:rsidRPr="00224859">
              <w:rPr>
                <w:color w:val="000000"/>
                <w:sz w:val="22"/>
              </w:rPr>
              <w:t>C</w:t>
            </w:r>
            <w:r w:rsidRPr="00224859">
              <w:rPr>
                <w:rFonts w:hint="eastAsia"/>
                <w:color w:val="000000"/>
                <w:sz w:val="22"/>
              </w:rPr>
              <w:t>ity</w:t>
            </w:r>
            <w:r w:rsidRPr="00224859">
              <w:rPr>
                <w:color w:val="000000"/>
                <w:sz w:val="22"/>
              </w:rPr>
              <w:t xml:space="preserve"> </w:t>
            </w:r>
            <w:r w:rsidRPr="00224859">
              <w:rPr>
                <w:rFonts w:hint="eastAsia"/>
                <w:color w:val="000000"/>
                <w:sz w:val="22"/>
              </w:rPr>
              <w:t>delivery</w:t>
            </w:r>
            <w:r w:rsidRPr="00224859">
              <w:rPr>
                <w:color w:val="000000"/>
                <w:sz w:val="22"/>
              </w:rPr>
              <w:t>,</w:t>
            </w:r>
          </w:p>
          <w:p w14:paraId="68F4DF18" w14:textId="77777777" w:rsidR="00224859" w:rsidRPr="00224859" w:rsidRDefault="00224859" w:rsidP="00224859">
            <w:pPr>
              <w:jc w:val="center"/>
              <w:rPr>
                <w:color w:val="000000"/>
                <w:sz w:val="22"/>
              </w:rPr>
            </w:pPr>
            <w:r w:rsidRPr="00224859">
              <w:rPr>
                <w:rFonts w:hint="eastAsia"/>
                <w:color w:val="000000"/>
                <w:sz w:val="22"/>
              </w:rPr>
              <w:t>3PL</w:t>
            </w:r>
            <w:r w:rsidRPr="00224859">
              <w:rPr>
                <w:color w:val="000000"/>
                <w:sz w:val="22"/>
              </w:rPr>
              <w:t xml:space="preserve">; </w:t>
            </w:r>
            <w:r w:rsidRPr="00224859">
              <w:rPr>
                <w:rFonts w:hint="eastAsia"/>
                <w:color w:val="000000"/>
                <w:sz w:val="22"/>
              </w:rPr>
              <w:t>outsourcing</w:t>
            </w:r>
            <w:r w:rsidRPr="00224859">
              <w:rPr>
                <w:color w:val="000000"/>
                <w:sz w:val="22"/>
              </w:rPr>
              <w:t xml:space="preserve"> </w:t>
            </w:r>
            <w:r w:rsidRPr="00224859">
              <w:rPr>
                <w:rFonts w:hint="eastAsia"/>
                <w:color w:val="000000"/>
                <w:sz w:val="22"/>
              </w:rPr>
              <w:t>manager</w:t>
            </w:r>
          </w:p>
        </w:tc>
        <w:tc>
          <w:tcPr>
            <w:tcW w:w="2128" w:type="pct"/>
          </w:tcPr>
          <w:p w14:paraId="151F7E1A" w14:textId="77777777" w:rsidR="00224859" w:rsidRPr="00224859" w:rsidRDefault="00224859" w:rsidP="00A323CC">
            <w:pPr>
              <w:pStyle w:val="ListParagraph"/>
              <w:numPr>
                <w:ilvl w:val="0"/>
                <w:numId w:val="21"/>
              </w:numPr>
              <w:jc w:val="left"/>
              <w:rPr>
                <w:color w:val="000000"/>
                <w:sz w:val="22"/>
              </w:rPr>
            </w:pPr>
            <w:r w:rsidRPr="00224859">
              <w:rPr>
                <w:color w:val="000000"/>
                <w:sz w:val="22"/>
              </w:rPr>
              <w:t>Improvements in efficiency of the goods-loading process</w:t>
            </w:r>
          </w:p>
          <w:p w14:paraId="743571E0" w14:textId="77777777" w:rsidR="00224859" w:rsidRPr="00224859" w:rsidRDefault="00224859" w:rsidP="00A323CC">
            <w:pPr>
              <w:pStyle w:val="ListParagraph"/>
              <w:numPr>
                <w:ilvl w:val="0"/>
                <w:numId w:val="21"/>
              </w:numPr>
              <w:jc w:val="left"/>
              <w:rPr>
                <w:color w:val="000000"/>
                <w:sz w:val="22"/>
              </w:rPr>
            </w:pPr>
            <w:r w:rsidRPr="00224859">
              <w:rPr>
                <w:color w:val="000000"/>
                <w:sz w:val="22"/>
              </w:rPr>
              <w:t>Solution to workers’ overtime utilisation</w:t>
            </w:r>
          </w:p>
          <w:p w14:paraId="415E94B0" w14:textId="77777777" w:rsidR="00224859" w:rsidRPr="00224859" w:rsidRDefault="00224859" w:rsidP="00A323CC">
            <w:pPr>
              <w:numPr>
                <w:ilvl w:val="0"/>
                <w:numId w:val="21"/>
              </w:numPr>
              <w:jc w:val="left"/>
              <w:rPr>
                <w:color w:val="000000"/>
                <w:sz w:val="22"/>
              </w:rPr>
            </w:pPr>
            <w:r w:rsidRPr="00224859">
              <w:rPr>
                <w:color w:val="000000"/>
                <w:sz w:val="22"/>
              </w:rPr>
              <w:lastRenderedPageBreak/>
              <w:t xml:space="preserve">Guarantee of 100% on-time delivery of medical </w:t>
            </w:r>
            <w:proofErr w:type="gramStart"/>
            <w:r w:rsidRPr="00224859">
              <w:rPr>
                <w:color w:val="000000"/>
                <w:sz w:val="22"/>
              </w:rPr>
              <w:t>products</w:t>
            </w:r>
            <w:proofErr w:type="gramEnd"/>
          </w:p>
          <w:p w14:paraId="647AF695" w14:textId="77777777" w:rsidR="00224859" w:rsidRPr="00224859" w:rsidRDefault="00224859" w:rsidP="00A323CC">
            <w:pPr>
              <w:numPr>
                <w:ilvl w:val="0"/>
                <w:numId w:val="21"/>
              </w:numPr>
              <w:jc w:val="left"/>
              <w:rPr>
                <w:color w:val="000000"/>
                <w:sz w:val="22"/>
              </w:rPr>
            </w:pPr>
            <w:r w:rsidRPr="00224859">
              <w:rPr>
                <w:color w:val="000000"/>
                <w:sz w:val="22"/>
              </w:rPr>
              <w:t>Reduction in goods-damage rate</w:t>
            </w:r>
            <w:r w:rsidRPr="00224859">
              <w:rPr>
                <w:rFonts w:hint="eastAsia"/>
                <w:color w:val="000000"/>
                <w:sz w:val="22"/>
              </w:rPr>
              <w:t xml:space="preserve"> </w:t>
            </w:r>
            <w:r w:rsidRPr="00224859">
              <w:rPr>
                <w:color w:val="000000"/>
                <w:sz w:val="22"/>
              </w:rPr>
              <w:t>during the last-mile delivery process</w:t>
            </w:r>
          </w:p>
        </w:tc>
      </w:tr>
      <w:tr w:rsidR="00224859" w:rsidRPr="00224859" w14:paraId="5693124B" w14:textId="77777777" w:rsidTr="000A1977">
        <w:tc>
          <w:tcPr>
            <w:tcW w:w="594" w:type="pct"/>
            <w:vMerge/>
            <w:vAlign w:val="center"/>
          </w:tcPr>
          <w:p w14:paraId="67D3039D" w14:textId="77777777" w:rsidR="00224859" w:rsidRPr="00224859" w:rsidRDefault="00224859" w:rsidP="000A1977">
            <w:pPr>
              <w:jc w:val="center"/>
              <w:rPr>
                <w:color w:val="000000"/>
                <w:sz w:val="22"/>
              </w:rPr>
            </w:pPr>
          </w:p>
        </w:tc>
        <w:tc>
          <w:tcPr>
            <w:tcW w:w="488" w:type="pct"/>
            <w:vMerge w:val="restart"/>
            <w:vAlign w:val="center"/>
          </w:tcPr>
          <w:p w14:paraId="253E9506" w14:textId="77777777" w:rsidR="00224859" w:rsidRPr="00224859" w:rsidRDefault="00224859" w:rsidP="000A1977">
            <w:pPr>
              <w:jc w:val="center"/>
              <w:rPr>
                <w:color w:val="000000"/>
                <w:sz w:val="22"/>
              </w:rPr>
            </w:pPr>
            <w:r w:rsidRPr="00224859">
              <w:rPr>
                <w:color w:val="000000"/>
                <w:sz w:val="22"/>
              </w:rPr>
              <w:t>Case 4</w:t>
            </w:r>
          </w:p>
        </w:tc>
        <w:tc>
          <w:tcPr>
            <w:tcW w:w="976" w:type="pct"/>
          </w:tcPr>
          <w:p w14:paraId="6CE7CBBD" w14:textId="77777777" w:rsidR="00224859" w:rsidRPr="00224859" w:rsidRDefault="00224859" w:rsidP="000A1977">
            <w:pPr>
              <w:rPr>
                <w:color w:val="000000"/>
                <w:sz w:val="22"/>
              </w:rPr>
            </w:pPr>
            <w:r w:rsidRPr="00224859">
              <w:rPr>
                <w:color w:val="000000"/>
                <w:sz w:val="22"/>
              </w:rPr>
              <w:t>City freight company (CR)</w:t>
            </w:r>
          </w:p>
        </w:tc>
        <w:tc>
          <w:tcPr>
            <w:tcW w:w="814" w:type="pct"/>
          </w:tcPr>
          <w:p w14:paraId="137FF338" w14:textId="77777777" w:rsidR="00224859" w:rsidRPr="00224859" w:rsidRDefault="00224859" w:rsidP="000A1977">
            <w:pPr>
              <w:rPr>
                <w:color w:val="000000"/>
                <w:sz w:val="22"/>
              </w:rPr>
            </w:pPr>
            <w:r w:rsidRPr="00224859">
              <w:rPr>
                <w:color w:val="000000"/>
                <w:sz w:val="22"/>
              </w:rPr>
              <w:t xml:space="preserve">Funding </w:t>
            </w:r>
            <w:proofErr w:type="gramStart"/>
            <w:r w:rsidRPr="00224859">
              <w:rPr>
                <w:color w:val="000000"/>
                <w:sz w:val="22"/>
              </w:rPr>
              <w:t>provider;</w:t>
            </w:r>
            <w:proofErr w:type="gramEnd"/>
          </w:p>
          <w:p w14:paraId="2EA27201" w14:textId="77777777" w:rsidR="00224859" w:rsidRPr="00224859" w:rsidRDefault="00224859" w:rsidP="000A1977">
            <w:pPr>
              <w:rPr>
                <w:color w:val="000000"/>
                <w:sz w:val="22"/>
              </w:rPr>
            </w:pPr>
            <w:r w:rsidRPr="00224859">
              <w:rPr>
                <w:color w:val="000000"/>
                <w:sz w:val="22"/>
              </w:rPr>
              <w:t xml:space="preserve">strategic </w:t>
            </w:r>
            <w:proofErr w:type="gramStart"/>
            <w:r w:rsidRPr="00224859">
              <w:rPr>
                <w:color w:val="000000"/>
                <w:sz w:val="22"/>
              </w:rPr>
              <w:t>planning;</w:t>
            </w:r>
            <w:proofErr w:type="gramEnd"/>
          </w:p>
          <w:p w14:paraId="28FC4EDB" w14:textId="77777777" w:rsidR="00224859" w:rsidRPr="00224859" w:rsidRDefault="00224859" w:rsidP="000A1977">
            <w:pPr>
              <w:rPr>
                <w:color w:val="000000"/>
                <w:sz w:val="22"/>
              </w:rPr>
            </w:pPr>
            <w:r w:rsidRPr="00224859">
              <w:rPr>
                <w:rFonts w:hint="eastAsia"/>
                <w:color w:val="000000"/>
                <w:sz w:val="22"/>
              </w:rPr>
              <w:t>inspection</w:t>
            </w:r>
          </w:p>
        </w:tc>
        <w:tc>
          <w:tcPr>
            <w:tcW w:w="2128" w:type="pct"/>
          </w:tcPr>
          <w:p w14:paraId="7269EDC3" w14:textId="77777777" w:rsidR="00224859" w:rsidRPr="00224859" w:rsidRDefault="00224859" w:rsidP="00A323CC">
            <w:pPr>
              <w:pStyle w:val="ListParagraph"/>
              <w:numPr>
                <w:ilvl w:val="0"/>
                <w:numId w:val="21"/>
              </w:numPr>
              <w:jc w:val="left"/>
              <w:rPr>
                <w:color w:val="000000"/>
                <w:sz w:val="22"/>
              </w:rPr>
            </w:pPr>
            <w:r w:rsidRPr="00224859">
              <w:rPr>
                <w:color w:val="000000"/>
                <w:sz w:val="22"/>
              </w:rPr>
              <w:t xml:space="preserve">Increase in annual profit of </w:t>
            </w:r>
            <w:proofErr w:type="gramStart"/>
            <w:r w:rsidRPr="00224859">
              <w:rPr>
                <w:color w:val="000000"/>
                <w:sz w:val="22"/>
              </w:rPr>
              <w:t>UCC</w:t>
            </w:r>
            <w:proofErr w:type="gramEnd"/>
          </w:p>
          <w:p w14:paraId="64D3599C" w14:textId="77777777" w:rsidR="00224859" w:rsidRPr="00224859" w:rsidRDefault="00224859" w:rsidP="00A323CC">
            <w:pPr>
              <w:pStyle w:val="ListParagraph"/>
              <w:numPr>
                <w:ilvl w:val="0"/>
                <w:numId w:val="21"/>
              </w:numPr>
              <w:jc w:val="left"/>
              <w:rPr>
                <w:color w:val="000000"/>
                <w:sz w:val="22"/>
              </w:rPr>
            </w:pPr>
            <w:r w:rsidRPr="00224859">
              <w:rPr>
                <w:rFonts w:hint="eastAsia"/>
                <w:color w:val="000000"/>
                <w:sz w:val="22"/>
              </w:rPr>
              <w:t>Reduc</w:t>
            </w:r>
            <w:r w:rsidRPr="00224859">
              <w:rPr>
                <w:color w:val="000000"/>
                <w:sz w:val="22"/>
              </w:rPr>
              <w:t>tion in operation cost of UCC</w:t>
            </w:r>
          </w:p>
          <w:p w14:paraId="1B21949C" w14:textId="77777777" w:rsidR="00224859" w:rsidRPr="00224859" w:rsidRDefault="00224859" w:rsidP="00A323CC">
            <w:pPr>
              <w:pStyle w:val="ListParagraph"/>
              <w:numPr>
                <w:ilvl w:val="0"/>
                <w:numId w:val="21"/>
              </w:numPr>
              <w:jc w:val="left"/>
              <w:rPr>
                <w:color w:val="000000"/>
                <w:sz w:val="22"/>
              </w:rPr>
            </w:pPr>
            <w:r w:rsidRPr="00224859">
              <w:rPr>
                <w:color w:val="000000"/>
                <w:sz w:val="22"/>
              </w:rPr>
              <w:t>P</w:t>
            </w:r>
            <w:r w:rsidRPr="00224859">
              <w:rPr>
                <w:rFonts w:hint="eastAsia"/>
                <w:color w:val="000000"/>
                <w:sz w:val="22"/>
              </w:rPr>
              <w:t>romot</w:t>
            </w:r>
            <w:r w:rsidRPr="00224859">
              <w:rPr>
                <w:color w:val="000000"/>
                <w:sz w:val="22"/>
              </w:rPr>
              <w:t xml:space="preserve">ion of </w:t>
            </w:r>
            <w:r w:rsidRPr="00224859">
              <w:rPr>
                <w:rFonts w:hint="eastAsia"/>
                <w:color w:val="000000"/>
                <w:sz w:val="22"/>
              </w:rPr>
              <w:t>the</w:t>
            </w:r>
            <w:r w:rsidRPr="00224859">
              <w:rPr>
                <w:color w:val="000000"/>
                <w:sz w:val="22"/>
              </w:rPr>
              <w:t xml:space="preserve"> company’ social reputation</w:t>
            </w:r>
          </w:p>
          <w:p w14:paraId="724EDD77" w14:textId="77777777" w:rsidR="00224859" w:rsidRPr="00224859" w:rsidRDefault="00224859" w:rsidP="00A323CC">
            <w:pPr>
              <w:pStyle w:val="ListParagraph"/>
              <w:numPr>
                <w:ilvl w:val="0"/>
                <w:numId w:val="21"/>
              </w:numPr>
              <w:jc w:val="left"/>
              <w:rPr>
                <w:color w:val="000000"/>
                <w:sz w:val="22"/>
              </w:rPr>
            </w:pPr>
            <w:r w:rsidRPr="00224859">
              <w:rPr>
                <w:color w:val="000000"/>
                <w:sz w:val="22"/>
              </w:rPr>
              <w:t>Promotion of the company’s business development</w:t>
            </w:r>
          </w:p>
        </w:tc>
      </w:tr>
      <w:tr w:rsidR="00224859" w:rsidRPr="00224859" w14:paraId="540F401F" w14:textId="77777777" w:rsidTr="000A1977">
        <w:tc>
          <w:tcPr>
            <w:tcW w:w="594" w:type="pct"/>
            <w:vMerge/>
          </w:tcPr>
          <w:p w14:paraId="6331AF05" w14:textId="77777777" w:rsidR="00224859" w:rsidRPr="00224859" w:rsidRDefault="00224859" w:rsidP="000A1977">
            <w:pPr>
              <w:jc w:val="center"/>
              <w:rPr>
                <w:color w:val="000000"/>
                <w:sz w:val="22"/>
              </w:rPr>
            </w:pPr>
          </w:p>
        </w:tc>
        <w:tc>
          <w:tcPr>
            <w:tcW w:w="488" w:type="pct"/>
            <w:vMerge/>
          </w:tcPr>
          <w:p w14:paraId="0414429D" w14:textId="77777777" w:rsidR="00224859" w:rsidRPr="00224859" w:rsidRDefault="00224859" w:rsidP="000A1977">
            <w:pPr>
              <w:jc w:val="center"/>
              <w:rPr>
                <w:color w:val="000000"/>
                <w:sz w:val="22"/>
              </w:rPr>
            </w:pPr>
          </w:p>
        </w:tc>
        <w:tc>
          <w:tcPr>
            <w:tcW w:w="976" w:type="pct"/>
          </w:tcPr>
          <w:p w14:paraId="184C34D0" w14:textId="77777777" w:rsidR="00224859" w:rsidRPr="00224859" w:rsidRDefault="00224859" w:rsidP="000A1977">
            <w:pPr>
              <w:rPr>
                <w:color w:val="000000"/>
                <w:sz w:val="22"/>
              </w:rPr>
            </w:pPr>
            <w:r w:rsidRPr="00224859">
              <w:rPr>
                <w:color w:val="000000"/>
                <w:sz w:val="22"/>
              </w:rPr>
              <w:t>Project manager (PM)</w:t>
            </w:r>
          </w:p>
        </w:tc>
        <w:tc>
          <w:tcPr>
            <w:tcW w:w="814" w:type="pct"/>
          </w:tcPr>
          <w:p w14:paraId="3E92D6BF" w14:textId="77777777" w:rsidR="00224859" w:rsidRPr="00224859" w:rsidRDefault="00224859" w:rsidP="000A1977">
            <w:pPr>
              <w:rPr>
                <w:color w:val="000000"/>
                <w:sz w:val="22"/>
              </w:rPr>
            </w:pPr>
            <w:r w:rsidRPr="00224859">
              <w:rPr>
                <w:rFonts w:hint="eastAsia"/>
                <w:color w:val="000000"/>
                <w:sz w:val="22"/>
              </w:rPr>
              <w:t>P</w:t>
            </w:r>
            <w:r w:rsidRPr="00224859">
              <w:rPr>
                <w:color w:val="000000"/>
                <w:sz w:val="22"/>
              </w:rPr>
              <w:t>roject manager</w:t>
            </w:r>
          </w:p>
        </w:tc>
        <w:tc>
          <w:tcPr>
            <w:tcW w:w="2128" w:type="pct"/>
          </w:tcPr>
          <w:p w14:paraId="2245264B" w14:textId="77777777" w:rsidR="00224859" w:rsidRPr="00224859" w:rsidRDefault="00224859" w:rsidP="00A323CC">
            <w:pPr>
              <w:pStyle w:val="ListParagraph"/>
              <w:numPr>
                <w:ilvl w:val="0"/>
                <w:numId w:val="21"/>
              </w:numPr>
              <w:jc w:val="left"/>
              <w:rPr>
                <w:color w:val="000000"/>
                <w:sz w:val="22"/>
              </w:rPr>
            </w:pPr>
            <w:r w:rsidRPr="00224859">
              <w:rPr>
                <w:color w:val="000000"/>
                <w:sz w:val="22"/>
              </w:rPr>
              <w:t xml:space="preserve">Guarantee of UCC operation </w:t>
            </w:r>
            <w:proofErr w:type="gramStart"/>
            <w:r w:rsidRPr="00224859">
              <w:rPr>
                <w:color w:val="000000"/>
                <w:sz w:val="22"/>
              </w:rPr>
              <w:t>efficiency</w:t>
            </w:r>
            <w:proofErr w:type="gramEnd"/>
          </w:p>
          <w:p w14:paraId="51DADAF8" w14:textId="77777777" w:rsidR="00224859" w:rsidRPr="00224859" w:rsidRDefault="00224859" w:rsidP="00A323CC">
            <w:pPr>
              <w:pStyle w:val="ListParagraph"/>
              <w:numPr>
                <w:ilvl w:val="0"/>
                <w:numId w:val="21"/>
              </w:numPr>
              <w:jc w:val="left"/>
              <w:rPr>
                <w:color w:val="000000"/>
                <w:sz w:val="22"/>
              </w:rPr>
            </w:pPr>
            <w:r w:rsidRPr="00224859">
              <w:rPr>
                <w:color w:val="000000"/>
                <w:sz w:val="22"/>
              </w:rPr>
              <w:t>Prevention of operation risk (e.g., safety, goods damage)</w:t>
            </w:r>
          </w:p>
        </w:tc>
      </w:tr>
      <w:tr w:rsidR="00224859" w:rsidRPr="00224859" w14:paraId="4700E489" w14:textId="77777777" w:rsidTr="000A1977">
        <w:trPr>
          <w:trHeight w:val="369"/>
        </w:trPr>
        <w:tc>
          <w:tcPr>
            <w:tcW w:w="594" w:type="pct"/>
            <w:vMerge/>
          </w:tcPr>
          <w:p w14:paraId="681BD1E8" w14:textId="77777777" w:rsidR="00224859" w:rsidRPr="00224859" w:rsidRDefault="00224859" w:rsidP="000A1977">
            <w:pPr>
              <w:jc w:val="center"/>
              <w:rPr>
                <w:color w:val="000000"/>
                <w:sz w:val="22"/>
              </w:rPr>
            </w:pPr>
          </w:p>
        </w:tc>
        <w:tc>
          <w:tcPr>
            <w:tcW w:w="488" w:type="pct"/>
            <w:vMerge/>
          </w:tcPr>
          <w:p w14:paraId="0E5099A9" w14:textId="77777777" w:rsidR="00224859" w:rsidRPr="00224859" w:rsidRDefault="00224859" w:rsidP="000A1977">
            <w:pPr>
              <w:jc w:val="center"/>
              <w:rPr>
                <w:color w:val="000000"/>
                <w:sz w:val="22"/>
              </w:rPr>
            </w:pPr>
          </w:p>
        </w:tc>
        <w:tc>
          <w:tcPr>
            <w:tcW w:w="976" w:type="pct"/>
          </w:tcPr>
          <w:p w14:paraId="45239CD8" w14:textId="77777777" w:rsidR="00224859" w:rsidRPr="00224859" w:rsidRDefault="00224859" w:rsidP="000A1977">
            <w:pPr>
              <w:rPr>
                <w:color w:val="000000"/>
                <w:sz w:val="22"/>
              </w:rPr>
            </w:pPr>
            <w:r w:rsidRPr="00224859">
              <w:rPr>
                <w:color w:val="000000"/>
                <w:sz w:val="22"/>
              </w:rPr>
              <w:t>University (WHUT)</w:t>
            </w:r>
          </w:p>
        </w:tc>
        <w:tc>
          <w:tcPr>
            <w:tcW w:w="814" w:type="pct"/>
          </w:tcPr>
          <w:p w14:paraId="0244EA02" w14:textId="77777777" w:rsidR="00224859" w:rsidRPr="00224859" w:rsidRDefault="00224859" w:rsidP="000A1977">
            <w:pPr>
              <w:rPr>
                <w:color w:val="000000"/>
                <w:sz w:val="22"/>
              </w:rPr>
            </w:pPr>
            <w:r w:rsidRPr="00224859">
              <w:rPr>
                <w:rFonts w:hint="eastAsia"/>
                <w:color w:val="000000"/>
                <w:sz w:val="22"/>
              </w:rPr>
              <w:t>Project</w:t>
            </w:r>
            <w:r w:rsidRPr="00224859">
              <w:rPr>
                <w:color w:val="000000"/>
                <w:sz w:val="22"/>
              </w:rPr>
              <w:t xml:space="preserve"> </w:t>
            </w:r>
            <w:proofErr w:type="gramStart"/>
            <w:r w:rsidRPr="00224859">
              <w:rPr>
                <w:rFonts w:hint="eastAsia"/>
                <w:color w:val="000000"/>
                <w:sz w:val="22"/>
              </w:rPr>
              <w:t>upgrading</w:t>
            </w:r>
            <w:r w:rsidRPr="00224859">
              <w:rPr>
                <w:color w:val="000000"/>
                <w:sz w:val="22"/>
              </w:rPr>
              <w:t>;</w:t>
            </w:r>
            <w:proofErr w:type="gramEnd"/>
          </w:p>
          <w:p w14:paraId="28D1F28B" w14:textId="77777777" w:rsidR="00224859" w:rsidRPr="00224859" w:rsidRDefault="00224859" w:rsidP="000A1977">
            <w:pPr>
              <w:rPr>
                <w:color w:val="000000"/>
                <w:sz w:val="22"/>
              </w:rPr>
            </w:pPr>
            <w:r w:rsidRPr="00224859">
              <w:rPr>
                <w:color w:val="000000"/>
                <w:sz w:val="22"/>
              </w:rPr>
              <w:t>r</w:t>
            </w:r>
            <w:r w:rsidRPr="00224859">
              <w:rPr>
                <w:rFonts w:hint="eastAsia"/>
                <w:color w:val="000000"/>
                <w:sz w:val="22"/>
              </w:rPr>
              <w:t>esearch</w:t>
            </w:r>
            <w:r w:rsidRPr="00224859">
              <w:rPr>
                <w:color w:val="000000"/>
                <w:sz w:val="22"/>
              </w:rPr>
              <w:t xml:space="preserve"> </w:t>
            </w:r>
            <w:r w:rsidRPr="00224859">
              <w:rPr>
                <w:rFonts w:hint="eastAsia"/>
                <w:color w:val="000000"/>
                <w:sz w:val="22"/>
              </w:rPr>
              <w:t>development</w:t>
            </w:r>
          </w:p>
        </w:tc>
        <w:tc>
          <w:tcPr>
            <w:tcW w:w="2128" w:type="pct"/>
          </w:tcPr>
          <w:p w14:paraId="19529199" w14:textId="77777777" w:rsidR="00224859" w:rsidRPr="00224859" w:rsidRDefault="00224859" w:rsidP="00A323CC">
            <w:pPr>
              <w:pStyle w:val="ListParagraph"/>
              <w:numPr>
                <w:ilvl w:val="0"/>
                <w:numId w:val="21"/>
              </w:numPr>
              <w:jc w:val="left"/>
              <w:rPr>
                <w:color w:val="000000"/>
                <w:sz w:val="22"/>
              </w:rPr>
            </w:pPr>
            <w:r w:rsidRPr="00224859">
              <w:rPr>
                <w:color w:val="000000"/>
                <w:sz w:val="22"/>
              </w:rPr>
              <w:t>Evaluation of new equipment performance in terms of reductions in travel miles, travel time, fossil-fuel consumption by traditional vehicles, etc.</w:t>
            </w:r>
          </w:p>
          <w:p w14:paraId="0FA84F8F" w14:textId="77777777" w:rsidR="00224859" w:rsidRPr="00224859" w:rsidRDefault="00224859" w:rsidP="00A323CC">
            <w:pPr>
              <w:pStyle w:val="ListParagraph"/>
              <w:numPr>
                <w:ilvl w:val="0"/>
                <w:numId w:val="21"/>
              </w:numPr>
              <w:jc w:val="left"/>
              <w:rPr>
                <w:color w:val="000000"/>
                <w:sz w:val="22"/>
              </w:rPr>
            </w:pPr>
            <w:r w:rsidRPr="00224859">
              <w:rPr>
                <w:color w:val="000000"/>
                <w:sz w:val="22"/>
              </w:rPr>
              <w:t>Alleviation of traffic congestion in the city</w:t>
            </w:r>
          </w:p>
        </w:tc>
      </w:tr>
    </w:tbl>
    <w:p w14:paraId="03D33342" w14:textId="22F256AC" w:rsidR="00044DEC" w:rsidRPr="00044DEC" w:rsidRDefault="007B5959" w:rsidP="00532578">
      <w:pPr>
        <w:pStyle w:val="Caption"/>
        <w:rPr>
          <w:lang w:val="en-US"/>
        </w:rPr>
      </w:pPr>
      <w:bookmarkStart w:id="911" w:name="_Ref38905993"/>
      <w:bookmarkStart w:id="912" w:name="_Ref8075438"/>
      <w:bookmarkStart w:id="913" w:name="_Toc46053581"/>
      <w:bookmarkStart w:id="914" w:name="_Toc46093830"/>
      <w:bookmarkStart w:id="915" w:name="_Toc66698796"/>
      <w:r>
        <w:t>Table</w:t>
      </w:r>
      <w:r w:rsidR="00044DEC">
        <w:t xml:space="preserve"> </w:t>
      </w:r>
      <w:r w:rsidR="000306D9">
        <w:fldChar w:fldCharType="begin"/>
      </w:r>
      <w:r w:rsidR="000306D9">
        <w:instrText xml:space="preserve"> STYLEREF 1 \s </w:instrText>
      </w:r>
      <w:r w:rsidR="000306D9">
        <w:fldChar w:fldCharType="separate"/>
      </w:r>
      <w:r w:rsidR="0005064B">
        <w:rPr>
          <w:noProof/>
        </w:rPr>
        <w:t>6</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3</w:t>
      </w:r>
      <w:r w:rsidR="000306D9">
        <w:rPr>
          <w:noProof/>
        </w:rPr>
        <w:fldChar w:fldCharType="end"/>
      </w:r>
      <w:bookmarkEnd w:id="911"/>
      <w:r w:rsidR="00FB0694">
        <w:rPr>
          <w:lang w:val="en-US"/>
        </w:rPr>
        <w:t>:</w:t>
      </w:r>
      <w:r w:rsidR="00044DEC">
        <w:rPr>
          <w:lang w:val="en-US"/>
        </w:rPr>
        <w:t xml:space="preserve"> </w:t>
      </w:r>
      <w:r w:rsidR="00044DEC" w:rsidRPr="002C60C1">
        <w:rPr>
          <w:lang w:val="en-US"/>
        </w:rPr>
        <w:t xml:space="preserve">Stakeholder </w:t>
      </w:r>
      <w:r w:rsidR="00044DEC">
        <w:rPr>
          <w:lang w:val="en-US"/>
        </w:rPr>
        <w:t>a</w:t>
      </w:r>
      <w:r w:rsidR="00044DEC" w:rsidRPr="002C60C1">
        <w:rPr>
          <w:lang w:val="en-US"/>
        </w:rPr>
        <w:t>nalys</w:t>
      </w:r>
      <w:r w:rsidR="00044DEC">
        <w:rPr>
          <w:lang w:val="en-US"/>
        </w:rPr>
        <w:t>e</w:t>
      </w:r>
      <w:r w:rsidR="00044DEC" w:rsidRPr="002C60C1">
        <w:rPr>
          <w:lang w:val="en-US"/>
        </w:rPr>
        <w:t>s in Sweden and China</w:t>
      </w:r>
      <w:bookmarkEnd w:id="912"/>
      <w:bookmarkEnd w:id="913"/>
      <w:bookmarkEnd w:id="914"/>
      <w:bookmarkEnd w:id="915"/>
    </w:p>
    <w:p w14:paraId="486E0328" w14:textId="30BD21F3" w:rsidR="00BB2459" w:rsidRDefault="00BB2459" w:rsidP="00BB2459">
      <w:pPr>
        <w:pStyle w:val="Heading3"/>
        <w:rPr>
          <w:rFonts w:eastAsia="等线 Light"/>
        </w:rPr>
      </w:pPr>
      <w:bookmarkStart w:id="916" w:name="_Ref45569266"/>
      <w:bookmarkStart w:id="917" w:name="_Toc46053478"/>
      <w:bookmarkStart w:id="918" w:name="_Toc46093392"/>
      <w:bookmarkStart w:id="919" w:name="_Toc46093675"/>
      <w:bookmarkStart w:id="920" w:name="_Toc66703251"/>
      <w:r>
        <w:rPr>
          <w:rFonts w:eastAsia="等线 Light"/>
        </w:rPr>
        <w:t>Quantitative methods</w:t>
      </w:r>
      <w:bookmarkEnd w:id="916"/>
      <w:bookmarkEnd w:id="917"/>
      <w:bookmarkEnd w:id="918"/>
      <w:bookmarkEnd w:id="919"/>
      <w:bookmarkEnd w:id="920"/>
    </w:p>
    <w:p w14:paraId="3F7BF404" w14:textId="77777777" w:rsidR="00BB2459" w:rsidRPr="00D00512" w:rsidRDefault="00BB2459" w:rsidP="00BB2459">
      <w:pPr>
        <w:shd w:val="clear" w:color="auto" w:fill="FFFFFF"/>
        <w:spacing w:line="360" w:lineRule="auto"/>
        <w:ind w:left="864" w:hanging="864"/>
        <w:rPr>
          <w:rFonts w:eastAsia="等线 Light"/>
          <w:b/>
          <w:bCs/>
          <w:i/>
          <w:iCs/>
          <w:kern w:val="2"/>
          <w:lang w:val="en-US"/>
        </w:rPr>
      </w:pPr>
      <w:r>
        <w:rPr>
          <w:rFonts w:eastAsia="等线 Light"/>
          <w:b/>
          <w:bCs/>
          <w:i/>
          <w:iCs/>
          <w:kern w:val="2"/>
          <w:lang w:val="en-US"/>
        </w:rPr>
        <w:t>3.3.1 Analytic hierarchy process method (</w:t>
      </w:r>
      <w:r w:rsidRPr="00D00512">
        <w:rPr>
          <w:rFonts w:eastAsia="等线 Light"/>
          <w:b/>
          <w:bCs/>
          <w:i/>
          <w:iCs/>
          <w:kern w:val="2"/>
          <w:lang w:val="en-US"/>
        </w:rPr>
        <w:t>AHP</w:t>
      </w:r>
      <w:r>
        <w:rPr>
          <w:rFonts w:eastAsia="等线 Light"/>
          <w:b/>
          <w:bCs/>
          <w:i/>
          <w:iCs/>
          <w:kern w:val="2"/>
          <w:lang w:val="en-US"/>
        </w:rPr>
        <w:t>)</w:t>
      </w:r>
    </w:p>
    <w:p w14:paraId="55CB46AF" w14:textId="1B7D48C7" w:rsidR="00BB2459" w:rsidRPr="00532578" w:rsidRDefault="006E2E02" w:rsidP="00EC2BE5">
      <w:pPr>
        <w:spacing w:after="240" w:line="360" w:lineRule="auto"/>
        <w:rPr>
          <w:rFonts w:eastAsia="等线"/>
          <w:color w:val="000000"/>
        </w:rPr>
      </w:pPr>
      <w:r>
        <w:rPr>
          <w:rFonts w:eastAsia="等线"/>
          <w:color w:val="000000"/>
        </w:rPr>
        <w:t xml:space="preserve">A typical </w:t>
      </w:r>
      <w:r w:rsidRPr="005C3B0E">
        <w:rPr>
          <w:rFonts w:eastAsia="等线"/>
          <w:color w:val="000000"/>
        </w:rPr>
        <w:t>indicator</w:t>
      </w:r>
      <w:r>
        <w:rPr>
          <w:rFonts w:eastAsia="等线"/>
          <w:color w:val="000000"/>
        </w:rPr>
        <w:t xml:space="preserve"> is </w:t>
      </w:r>
      <w:r>
        <w:rPr>
          <w:rFonts w:eastAsia="等线" w:hint="eastAsia"/>
          <w:color w:val="000000"/>
        </w:rPr>
        <w:t>assigned</w:t>
      </w:r>
      <w:r>
        <w:rPr>
          <w:rFonts w:eastAsia="等线"/>
          <w:color w:val="000000"/>
        </w:rPr>
        <w:t xml:space="preserve"> to each criterion to represent the performance of the UCC. These indicators have all been utilised in previous studies or industrial reports to assess the performance of logistics initiative</w:t>
      </w:r>
      <w:r>
        <w:rPr>
          <w:rFonts w:eastAsia="等线" w:hint="eastAsia"/>
          <w:color w:val="000000"/>
        </w:rPr>
        <w:t>s</w:t>
      </w:r>
      <w:r>
        <w:rPr>
          <w:rFonts w:eastAsia="等线"/>
          <w:color w:val="000000"/>
        </w:rPr>
        <w:t xml:space="preserve"> </w:t>
      </w:r>
      <w:r w:rsidR="00BB2459">
        <w:rPr>
          <w:rFonts w:eastAsia="等线"/>
          <w:color w:val="000000"/>
        </w:rPr>
        <w:t xml:space="preserve">(see </w:t>
      </w:r>
      <w:r w:rsidR="003416A9">
        <w:rPr>
          <w:rFonts w:eastAsia="等线"/>
          <w:color w:val="000000"/>
        </w:rPr>
        <w:fldChar w:fldCharType="begin"/>
      </w:r>
      <w:r w:rsidR="003416A9">
        <w:rPr>
          <w:rFonts w:eastAsia="等线"/>
          <w:color w:val="000000"/>
        </w:rPr>
        <w:instrText xml:space="preserve"> REF _Ref45022195 \h </w:instrText>
      </w:r>
      <w:r w:rsidR="003416A9">
        <w:rPr>
          <w:rFonts w:eastAsia="等线"/>
          <w:color w:val="000000"/>
        </w:rPr>
      </w:r>
      <w:r w:rsidR="003416A9">
        <w:rPr>
          <w:rFonts w:eastAsia="等线"/>
          <w:color w:val="000000"/>
        </w:rPr>
        <w:fldChar w:fldCharType="separate"/>
      </w:r>
      <w:r w:rsidR="0005064B">
        <w:t xml:space="preserve">Table </w:t>
      </w:r>
      <w:r w:rsidR="0005064B">
        <w:rPr>
          <w:noProof/>
        </w:rPr>
        <w:t>6</w:t>
      </w:r>
      <w:r w:rsidR="0005064B">
        <w:noBreakHyphen/>
      </w:r>
      <w:r w:rsidR="0005064B">
        <w:rPr>
          <w:noProof/>
        </w:rPr>
        <w:t>4</w:t>
      </w:r>
      <w:r w:rsidR="003416A9">
        <w:rPr>
          <w:rFonts w:eastAsia="等线"/>
          <w:color w:val="000000"/>
        </w:rPr>
        <w:fldChar w:fldCharType="end"/>
      </w:r>
      <w:r w:rsidR="00BB2459">
        <w:rPr>
          <w:rFonts w:eastAsia="等线"/>
          <w:color w:val="000000"/>
        </w:rPr>
        <w:t xml:space="preserve">). This group of </w:t>
      </w:r>
      <w:r w:rsidR="00BB2459" w:rsidRPr="001D5778">
        <w:rPr>
          <w:rFonts w:eastAsia="等线"/>
          <w:color w:val="000000"/>
        </w:rPr>
        <w:t>pre-defined criteria</w:t>
      </w:r>
      <w:r w:rsidR="00BB2459">
        <w:rPr>
          <w:rFonts w:eastAsia="等线"/>
          <w:color w:val="000000"/>
        </w:rPr>
        <w:t xml:space="preserve"> and indicators were then </w:t>
      </w:r>
      <w:r w:rsidR="00BB2459" w:rsidRPr="005A6B66">
        <w:rPr>
          <w:rFonts w:eastAsia="等线" w:hint="eastAsia"/>
          <w:color w:val="000000"/>
        </w:rPr>
        <w:t>validate</w:t>
      </w:r>
      <w:r w:rsidR="00BB2459">
        <w:rPr>
          <w:rFonts w:eastAsia="等线"/>
          <w:color w:val="000000"/>
        </w:rPr>
        <w:t>d by the interviewees (stakeholders) before the formal interviews were conducted.</w:t>
      </w:r>
    </w:p>
    <w:tbl>
      <w:tblPr>
        <w:tblStyle w:val="TableGrid2"/>
        <w:tblW w:w="0" w:type="auto"/>
        <w:tblLook w:val="04A0" w:firstRow="1" w:lastRow="0" w:firstColumn="1" w:lastColumn="0" w:noHBand="0" w:noVBand="1"/>
      </w:tblPr>
      <w:tblGrid>
        <w:gridCol w:w="2605"/>
        <w:gridCol w:w="3769"/>
        <w:gridCol w:w="2642"/>
      </w:tblGrid>
      <w:tr w:rsidR="00BB2459" w:rsidRPr="002E74DA" w14:paraId="70CF020B" w14:textId="77777777" w:rsidTr="00622AC7">
        <w:trPr>
          <w:trHeight w:val="184"/>
        </w:trPr>
        <w:tc>
          <w:tcPr>
            <w:tcW w:w="2605" w:type="dxa"/>
            <w:noWrap/>
          </w:tcPr>
          <w:p w14:paraId="72638D06" w14:textId="77777777" w:rsidR="00BB2459" w:rsidRPr="002E74DA" w:rsidRDefault="00BB2459" w:rsidP="00622AC7">
            <w:pPr>
              <w:jc w:val="center"/>
              <w:rPr>
                <w:b/>
                <w:color w:val="000000"/>
                <w:sz w:val="22"/>
              </w:rPr>
            </w:pPr>
            <w:r w:rsidRPr="002E74DA">
              <w:rPr>
                <w:b/>
                <w:color w:val="000000"/>
                <w:sz w:val="22"/>
              </w:rPr>
              <w:t>Criterion</w:t>
            </w:r>
          </w:p>
        </w:tc>
        <w:tc>
          <w:tcPr>
            <w:tcW w:w="3769" w:type="dxa"/>
          </w:tcPr>
          <w:p w14:paraId="70261D22" w14:textId="77777777" w:rsidR="00BB2459" w:rsidRPr="002E74DA" w:rsidRDefault="00BB2459" w:rsidP="00622AC7">
            <w:pPr>
              <w:jc w:val="center"/>
              <w:rPr>
                <w:b/>
                <w:color w:val="000000"/>
                <w:sz w:val="22"/>
              </w:rPr>
            </w:pPr>
            <w:r w:rsidRPr="002E74DA">
              <w:rPr>
                <w:b/>
                <w:color w:val="000000"/>
                <w:sz w:val="22"/>
              </w:rPr>
              <w:t>Indicator</w:t>
            </w:r>
          </w:p>
        </w:tc>
        <w:tc>
          <w:tcPr>
            <w:tcW w:w="2642" w:type="dxa"/>
          </w:tcPr>
          <w:p w14:paraId="0138883B" w14:textId="77777777" w:rsidR="00BB2459" w:rsidRPr="002E74DA" w:rsidRDefault="00BB2459" w:rsidP="00622AC7">
            <w:pPr>
              <w:jc w:val="center"/>
              <w:rPr>
                <w:b/>
                <w:color w:val="000000"/>
                <w:sz w:val="22"/>
              </w:rPr>
            </w:pPr>
            <w:r w:rsidRPr="002E74DA">
              <w:rPr>
                <w:b/>
                <w:color w:val="000000"/>
                <w:sz w:val="22"/>
              </w:rPr>
              <w:t>Reference</w:t>
            </w:r>
          </w:p>
        </w:tc>
      </w:tr>
      <w:tr w:rsidR="00BB2459" w:rsidRPr="002E74DA" w14:paraId="37EA019F" w14:textId="77777777" w:rsidTr="00622AC7">
        <w:trPr>
          <w:trHeight w:val="94"/>
        </w:trPr>
        <w:tc>
          <w:tcPr>
            <w:tcW w:w="2605" w:type="dxa"/>
            <w:noWrap/>
            <w:vAlign w:val="center"/>
          </w:tcPr>
          <w:p w14:paraId="508E4C31" w14:textId="77777777" w:rsidR="00BB2459" w:rsidRPr="002E74DA" w:rsidRDefault="00BB2459" w:rsidP="00622AC7">
            <w:pPr>
              <w:rPr>
                <w:color w:val="000000"/>
                <w:sz w:val="22"/>
              </w:rPr>
            </w:pPr>
            <w:r w:rsidRPr="002E74DA">
              <w:rPr>
                <w:color w:val="000000"/>
                <w:sz w:val="22"/>
              </w:rPr>
              <w:t>Operating cost</w:t>
            </w:r>
          </w:p>
        </w:tc>
        <w:tc>
          <w:tcPr>
            <w:tcW w:w="3769" w:type="dxa"/>
            <w:vAlign w:val="center"/>
          </w:tcPr>
          <w:p w14:paraId="7E0DE444" w14:textId="77777777" w:rsidR="00BB2459" w:rsidRPr="002E74DA" w:rsidRDefault="00BB2459" w:rsidP="00622AC7">
            <w:pPr>
              <w:rPr>
                <w:color w:val="000000"/>
                <w:sz w:val="22"/>
              </w:rPr>
            </w:pPr>
            <w:r w:rsidRPr="002E74DA">
              <w:rPr>
                <w:color w:val="000000"/>
                <w:sz w:val="22"/>
              </w:rPr>
              <w:t>Annual operating cost (AOC)</w:t>
            </w:r>
          </w:p>
        </w:tc>
        <w:tc>
          <w:tcPr>
            <w:tcW w:w="2642" w:type="dxa"/>
            <w:vMerge w:val="restart"/>
            <w:vAlign w:val="center"/>
          </w:tcPr>
          <w:p w14:paraId="75FAF731" w14:textId="23D41E32" w:rsidR="00BB2459" w:rsidRPr="002E74DA" w:rsidRDefault="00E2354D" w:rsidP="00622AC7">
            <w:pPr>
              <w:rPr>
                <w:sz w:val="22"/>
              </w:rPr>
            </w:pPr>
            <w:r w:rsidRPr="002E74DA">
              <w:rPr>
                <w:noProof/>
                <w:sz w:val="22"/>
              </w:rPr>
              <w:t>(Janjevic and Ndiaye, 2017a)</w:t>
            </w:r>
          </w:p>
        </w:tc>
      </w:tr>
      <w:tr w:rsidR="00BB2459" w:rsidRPr="002E74DA" w14:paraId="6E3C5C1C" w14:textId="77777777" w:rsidTr="00622AC7">
        <w:trPr>
          <w:trHeight w:val="58"/>
        </w:trPr>
        <w:tc>
          <w:tcPr>
            <w:tcW w:w="2605" w:type="dxa"/>
            <w:noWrap/>
            <w:vAlign w:val="center"/>
          </w:tcPr>
          <w:p w14:paraId="274CFD1E" w14:textId="77777777" w:rsidR="00BB2459" w:rsidRPr="002E74DA" w:rsidRDefault="00BB2459" w:rsidP="00622AC7">
            <w:pPr>
              <w:rPr>
                <w:color w:val="000000"/>
                <w:sz w:val="22"/>
              </w:rPr>
            </w:pPr>
            <w:r w:rsidRPr="002E74DA">
              <w:rPr>
                <w:color w:val="000000"/>
                <w:sz w:val="22"/>
                <w:lang w:eastAsia="en-US"/>
              </w:rPr>
              <w:t>Pricing policy</w:t>
            </w:r>
          </w:p>
        </w:tc>
        <w:tc>
          <w:tcPr>
            <w:tcW w:w="3769" w:type="dxa"/>
            <w:vAlign w:val="center"/>
          </w:tcPr>
          <w:p w14:paraId="4F971EE5" w14:textId="77777777" w:rsidR="00BB2459" w:rsidRPr="002E74DA" w:rsidRDefault="00BB2459" w:rsidP="00622AC7">
            <w:pPr>
              <w:rPr>
                <w:color w:val="000000"/>
                <w:sz w:val="22"/>
                <w:lang w:val="fr-FR" w:eastAsia="ko-KR"/>
              </w:rPr>
            </w:pPr>
            <w:proofErr w:type="spellStart"/>
            <w:r w:rsidRPr="002E74DA">
              <w:rPr>
                <w:color w:val="000000"/>
                <w:sz w:val="22"/>
                <w:lang w:val="fr-FR" w:eastAsia="ko-KR"/>
              </w:rPr>
              <w:t>Typical</w:t>
            </w:r>
            <w:proofErr w:type="spellEnd"/>
            <w:r w:rsidRPr="002E74DA">
              <w:rPr>
                <w:color w:val="000000"/>
                <w:sz w:val="22"/>
                <w:lang w:val="fr-FR" w:eastAsia="ko-KR"/>
              </w:rPr>
              <w:t xml:space="preserve"> </w:t>
            </w:r>
            <w:proofErr w:type="spellStart"/>
            <w:r w:rsidRPr="002E74DA">
              <w:rPr>
                <w:color w:val="000000"/>
                <w:sz w:val="22"/>
                <w:lang w:val="fr-FR" w:eastAsia="ko-KR"/>
              </w:rPr>
              <w:t>delivery</w:t>
            </w:r>
            <w:proofErr w:type="spellEnd"/>
            <w:r w:rsidRPr="002E74DA">
              <w:rPr>
                <w:color w:val="000000"/>
                <w:sz w:val="22"/>
                <w:lang w:val="fr-FR" w:eastAsia="ko-KR"/>
              </w:rPr>
              <w:t xml:space="preserve"> </w:t>
            </w:r>
            <w:proofErr w:type="spellStart"/>
            <w:r w:rsidRPr="002E74DA">
              <w:rPr>
                <w:color w:val="000000"/>
                <w:sz w:val="22"/>
                <w:lang w:val="fr-FR" w:eastAsia="ko-KR"/>
              </w:rPr>
              <w:t>price</w:t>
            </w:r>
            <w:proofErr w:type="spellEnd"/>
            <w:r w:rsidRPr="002E74DA">
              <w:rPr>
                <w:color w:val="000000"/>
                <w:sz w:val="22"/>
                <w:lang w:val="fr-FR" w:eastAsia="ko-KR"/>
              </w:rPr>
              <w:t xml:space="preserve"> </w:t>
            </w:r>
            <w:r w:rsidRPr="002E74DA">
              <w:rPr>
                <w:color w:val="000000"/>
                <w:sz w:val="22"/>
                <w:lang w:val="fr-FR"/>
              </w:rPr>
              <w:t>(TDP)</w:t>
            </w:r>
          </w:p>
        </w:tc>
        <w:tc>
          <w:tcPr>
            <w:tcW w:w="2642" w:type="dxa"/>
            <w:vMerge/>
            <w:vAlign w:val="center"/>
          </w:tcPr>
          <w:p w14:paraId="73891D77" w14:textId="77777777" w:rsidR="00BB2459" w:rsidRPr="002E74DA" w:rsidRDefault="00BB2459" w:rsidP="00622AC7">
            <w:pPr>
              <w:rPr>
                <w:sz w:val="22"/>
                <w:lang w:val="fr-FR" w:eastAsia="ko-KR"/>
              </w:rPr>
            </w:pPr>
          </w:p>
        </w:tc>
      </w:tr>
      <w:tr w:rsidR="00BB2459" w:rsidRPr="002E74DA" w14:paraId="77C865C5" w14:textId="77777777" w:rsidTr="00622AC7">
        <w:trPr>
          <w:trHeight w:val="287"/>
        </w:trPr>
        <w:tc>
          <w:tcPr>
            <w:tcW w:w="2605" w:type="dxa"/>
            <w:noWrap/>
            <w:vAlign w:val="center"/>
          </w:tcPr>
          <w:p w14:paraId="1CA67E02" w14:textId="77777777" w:rsidR="00BB2459" w:rsidRPr="002E74DA" w:rsidRDefault="00BB2459" w:rsidP="00622AC7">
            <w:pPr>
              <w:rPr>
                <w:color w:val="000000"/>
                <w:sz w:val="22"/>
              </w:rPr>
            </w:pPr>
            <w:r w:rsidRPr="002E74DA">
              <w:rPr>
                <w:color w:val="000000"/>
                <w:sz w:val="22"/>
              </w:rPr>
              <w:t>Infrastructure usage efficiency</w:t>
            </w:r>
          </w:p>
        </w:tc>
        <w:tc>
          <w:tcPr>
            <w:tcW w:w="3769" w:type="dxa"/>
            <w:vAlign w:val="center"/>
          </w:tcPr>
          <w:p w14:paraId="3A3CD27E" w14:textId="77777777" w:rsidR="00BB2459" w:rsidRPr="002E74DA" w:rsidRDefault="00BB2459" w:rsidP="00622AC7">
            <w:pPr>
              <w:rPr>
                <w:color w:val="000000"/>
                <w:sz w:val="22"/>
                <w:lang w:val="fr-FR"/>
              </w:rPr>
            </w:pPr>
            <w:r w:rsidRPr="002E74DA">
              <w:rPr>
                <w:color w:val="000000"/>
                <w:sz w:val="22"/>
                <w:lang w:val="fr-FR"/>
              </w:rPr>
              <w:t>Infrastructure surface usage rate (ISUR)</w:t>
            </w:r>
          </w:p>
        </w:tc>
        <w:tc>
          <w:tcPr>
            <w:tcW w:w="2642" w:type="dxa"/>
            <w:vMerge/>
            <w:vAlign w:val="center"/>
          </w:tcPr>
          <w:p w14:paraId="4A63F55A" w14:textId="77777777" w:rsidR="00BB2459" w:rsidRPr="002E74DA" w:rsidRDefault="00BB2459" w:rsidP="00622AC7">
            <w:pPr>
              <w:rPr>
                <w:sz w:val="22"/>
                <w:lang w:val="fr-FR"/>
              </w:rPr>
            </w:pPr>
          </w:p>
        </w:tc>
      </w:tr>
      <w:tr w:rsidR="00BB2459" w:rsidRPr="002E74DA" w14:paraId="7F1BBCA7" w14:textId="77777777" w:rsidTr="00622AC7">
        <w:trPr>
          <w:trHeight w:val="90"/>
        </w:trPr>
        <w:tc>
          <w:tcPr>
            <w:tcW w:w="2605" w:type="dxa"/>
            <w:noWrap/>
            <w:vAlign w:val="center"/>
          </w:tcPr>
          <w:p w14:paraId="5DF51BDE" w14:textId="77777777" w:rsidR="00BB2459" w:rsidRPr="002E74DA" w:rsidRDefault="00BB2459" w:rsidP="00622AC7">
            <w:pPr>
              <w:rPr>
                <w:color w:val="000000"/>
                <w:sz w:val="22"/>
              </w:rPr>
            </w:pPr>
            <w:r w:rsidRPr="002E74DA">
              <w:rPr>
                <w:color w:val="000000"/>
                <w:sz w:val="22"/>
              </w:rPr>
              <w:t>Goods handling efficiency</w:t>
            </w:r>
          </w:p>
        </w:tc>
        <w:tc>
          <w:tcPr>
            <w:tcW w:w="3769" w:type="dxa"/>
            <w:vAlign w:val="center"/>
          </w:tcPr>
          <w:p w14:paraId="1F3B03AB" w14:textId="77777777" w:rsidR="00BB2459" w:rsidRPr="002E74DA" w:rsidRDefault="00BB2459" w:rsidP="00622AC7">
            <w:pPr>
              <w:rPr>
                <w:color w:val="000000"/>
                <w:sz w:val="22"/>
              </w:rPr>
            </w:pPr>
            <w:r w:rsidRPr="002E74DA">
              <w:rPr>
                <w:color w:val="000000"/>
                <w:sz w:val="22"/>
              </w:rPr>
              <w:t>Goods handled per full-time equivalent employee (GHEE)</w:t>
            </w:r>
          </w:p>
        </w:tc>
        <w:tc>
          <w:tcPr>
            <w:tcW w:w="2642" w:type="dxa"/>
            <w:vAlign w:val="center"/>
          </w:tcPr>
          <w:p w14:paraId="36087FCD" w14:textId="131E8A74" w:rsidR="00BB2459" w:rsidRPr="002E74DA" w:rsidRDefault="00BB2459" w:rsidP="00622AC7">
            <w:pPr>
              <w:rPr>
                <w:sz w:val="22"/>
              </w:rPr>
            </w:pPr>
            <w:r w:rsidRPr="002E74DA">
              <w:rPr>
                <w:noProof/>
                <w:sz w:val="22"/>
              </w:rPr>
              <w:t>(Scott Wilson Ltd, 2010)</w:t>
            </w:r>
          </w:p>
        </w:tc>
      </w:tr>
      <w:tr w:rsidR="00BB2459" w:rsidRPr="002E74DA" w14:paraId="6778F72B" w14:textId="77777777" w:rsidTr="00622AC7">
        <w:trPr>
          <w:trHeight w:val="58"/>
        </w:trPr>
        <w:tc>
          <w:tcPr>
            <w:tcW w:w="2605" w:type="dxa"/>
            <w:noWrap/>
            <w:vAlign w:val="center"/>
          </w:tcPr>
          <w:p w14:paraId="6621430F" w14:textId="77777777" w:rsidR="00BB2459" w:rsidRPr="002E74DA" w:rsidRDefault="00BB2459" w:rsidP="00622AC7">
            <w:pPr>
              <w:rPr>
                <w:color w:val="000000"/>
                <w:sz w:val="22"/>
              </w:rPr>
            </w:pPr>
            <w:r w:rsidRPr="002E74DA">
              <w:rPr>
                <w:color w:val="000000"/>
                <w:sz w:val="22"/>
              </w:rPr>
              <w:t>Delivery efficiency</w:t>
            </w:r>
          </w:p>
        </w:tc>
        <w:tc>
          <w:tcPr>
            <w:tcW w:w="3769" w:type="dxa"/>
            <w:vAlign w:val="center"/>
          </w:tcPr>
          <w:p w14:paraId="251681F9" w14:textId="77777777" w:rsidR="00BB2459" w:rsidRPr="002E74DA" w:rsidRDefault="00BB2459" w:rsidP="00622AC7">
            <w:pPr>
              <w:rPr>
                <w:color w:val="000000"/>
                <w:sz w:val="22"/>
              </w:rPr>
            </w:pPr>
            <w:r w:rsidRPr="002E74DA">
              <w:rPr>
                <w:color w:val="000000"/>
                <w:sz w:val="22"/>
              </w:rPr>
              <w:t>Delivery accuracy rate (DAR)</w:t>
            </w:r>
          </w:p>
        </w:tc>
        <w:tc>
          <w:tcPr>
            <w:tcW w:w="2642" w:type="dxa"/>
            <w:vAlign w:val="center"/>
          </w:tcPr>
          <w:p w14:paraId="6B84FA08" w14:textId="72C72627" w:rsidR="00BB2459" w:rsidRPr="002E74DA" w:rsidRDefault="00BB2459" w:rsidP="00622AC7">
            <w:pPr>
              <w:rPr>
                <w:sz w:val="22"/>
              </w:rPr>
            </w:pPr>
            <w:r w:rsidRPr="002E74DA">
              <w:rPr>
                <w:noProof/>
                <w:sz w:val="22"/>
              </w:rPr>
              <w:t>(Royal Mail, 2017)</w:t>
            </w:r>
          </w:p>
        </w:tc>
      </w:tr>
      <w:tr w:rsidR="00BB2459" w:rsidRPr="002E74DA" w14:paraId="4F1F9420" w14:textId="77777777" w:rsidTr="00622AC7">
        <w:trPr>
          <w:trHeight w:val="197"/>
        </w:trPr>
        <w:tc>
          <w:tcPr>
            <w:tcW w:w="2605" w:type="dxa"/>
            <w:noWrap/>
            <w:vAlign w:val="center"/>
          </w:tcPr>
          <w:p w14:paraId="26AF2CFA" w14:textId="77777777" w:rsidR="00BB2459" w:rsidRPr="002E74DA" w:rsidRDefault="00BB2459" w:rsidP="00622AC7">
            <w:pPr>
              <w:rPr>
                <w:color w:val="000000"/>
                <w:sz w:val="22"/>
              </w:rPr>
            </w:pPr>
            <w:r w:rsidRPr="002E74DA">
              <w:rPr>
                <w:color w:val="000000"/>
                <w:sz w:val="22"/>
              </w:rPr>
              <w:t>Service level</w:t>
            </w:r>
          </w:p>
        </w:tc>
        <w:tc>
          <w:tcPr>
            <w:tcW w:w="3769" w:type="dxa"/>
            <w:vAlign w:val="center"/>
          </w:tcPr>
          <w:p w14:paraId="295D2C11" w14:textId="747606C7" w:rsidR="00BB2459" w:rsidRPr="002E74DA" w:rsidRDefault="00BB2459" w:rsidP="00622AC7">
            <w:pPr>
              <w:rPr>
                <w:color w:val="000000"/>
                <w:sz w:val="22"/>
              </w:rPr>
            </w:pPr>
            <w:r w:rsidRPr="002E74DA">
              <w:rPr>
                <w:color w:val="000000"/>
                <w:sz w:val="22"/>
              </w:rPr>
              <w:t xml:space="preserve">Lead time of delivery goods from </w:t>
            </w:r>
            <w:r w:rsidR="00786EB3" w:rsidRPr="002E74DA">
              <w:rPr>
                <w:color w:val="000000"/>
                <w:sz w:val="22"/>
              </w:rPr>
              <w:t>UCC</w:t>
            </w:r>
            <w:r w:rsidRPr="002E74DA">
              <w:rPr>
                <w:color w:val="000000"/>
                <w:sz w:val="22"/>
              </w:rPr>
              <w:t xml:space="preserve"> to its users (LTDU)</w:t>
            </w:r>
          </w:p>
        </w:tc>
        <w:tc>
          <w:tcPr>
            <w:tcW w:w="2642" w:type="dxa"/>
            <w:vAlign w:val="center"/>
          </w:tcPr>
          <w:p w14:paraId="76705952" w14:textId="393E00FD" w:rsidR="00BB2459" w:rsidRPr="002E74DA" w:rsidRDefault="00BB2459" w:rsidP="00622AC7">
            <w:pPr>
              <w:rPr>
                <w:sz w:val="22"/>
              </w:rPr>
            </w:pPr>
            <w:r w:rsidRPr="002E74DA">
              <w:rPr>
                <w:noProof/>
                <w:sz w:val="22"/>
              </w:rPr>
              <w:t>(Harrington et al., 2016)</w:t>
            </w:r>
          </w:p>
        </w:tc>
      </w:tr>
      <w:tr w:rsidR="00BB2459" w:rsidRPr="002E74DA" w14:paraId="665BF20A" w14:textId="77777777" w:rsidTr="00622AC7">
        <w:trPr>
          <w:trHeight w:val="58"/>
        </w:trPr>
        <w:tc>
          <w:tcPr>
            <w:tcW w:w="2605" w:type="dxa"/>
            <w:noWrap/>
            <w:vAlign w:val="center"/>
          </w:tcPr>
          <w:p w14:paraId="09827ADA" w14:textId="77777777" w:rsidR="00BB2459" w:rsidRPr="002E74DA" w:rsidRDefault="00BB2459" w:rsidP="00622AC7">
            <w:pPr>
              <w:rPr>
                <w:color w:val="000000"/>
                <w:sz w:val="22"/>
              </w:rPr>
            </w:pPr>
            <w:r w:rsidRPr="002E74DA">
              <w:rPr>
                <w:color w:val="000000"/>
                <w:sz w:val="22"/>
              </w:rPr>
              <w:t>Green vehicle equipment</w:t>
            </w:r>
          </w:p>
        </w:tc>
        <w:tc>
          <w:tcPr>
            <w:tcW w:w="3769" w:type="dxa"/>
            <w:vAlign w:val="center"/>
          </w:tcPr>
          <w:p w14:paraId="6DAFADE5" w14:textId="77777777" w:rsidR="00BB2459" w:rsidRPr="002E74DA" w:rsidRDefault="00BB2459" w:rsidP="00622AC7">
            <w:pPr>
              <w:rPr>
                <w:sz w:val="22"/>
              </w:rPr>
            </w:pPr>
            <w:r w:rsidRPr="002E74DA">
              <w:rPr>
                <w:sz w:val="22"/>
              </w:rPr>
              <w:t xml:space="preserve">Percentage of alternative vehicles </w:t>
            </w:r>
            <w:r w:rsidRPr="002E74DA">
              <w:rPr>
                <w:color w:val="000000"/>
                <w:sz w:val="22"/>
              </w:rPr>
              <w:t>(PAV)</w:t>
            </w:r>
          </w:p>
        </w:tc>
        <w:tc>
          <w:tcPr>
            <w:tcW w:w="2642" w:type="dxa"/>
            <w:vAlign w:val="center"/>
          </w:tcPr>
          <w:p w14:paraId="07AF2CF2" w14:textId="2D136F4E" w:rsidR="00BB2459" w:rsidRPr="002E74DA" w:rsidRDefault="003E5A11" w:rsidP="00622AC7">
            <w:pPr>
              <w:rPr>
                <w:sz w:val="22"/>
              </w:rPr>
            </w:pPr>
            <w:r w:rsidRPr="002E74DA">
              <w:rPr>
                <w:noProof/>
                <w:sz w:val="22"/>
              </w:rPr>
              <w:t>(Björklund et al., 2017)</w:t>
            </w:r>
          </w:p>
        </w:tc>
      </w:tr>
      <w:tr w:rsidR="00BB2459" w:rsidRPr="002E74DA" w14:paraId="3786FA91" w14:textId="77777777" w:rsidTr="00622AC7">
        <w:trPr>
          <w:trHeight w:val="163"/>
        </w:trPr>
        <w:tc>
          <w:tcPr>
            <w:tcW w:w="2605" w:type="dxa"/>
            <w:noWrap/>
            <w:vAlign w:val="center"/>
          </w:tcPr>
          <w:p w14:paraId="70615753" w14:textId="77777777" w:rsidR="00BB2459" w:rsidRPr="002E74DA" w:rsidRDefault="00BB2459" w:rsidP="00622AC7">
            <w:pPr>
              <w:rPr>
                <w:color w:val="000000"/>
                <w:sz w:val="22"/>
              </w:rPr>
            </w:pPr>
            <w:r w:rsidRPr="002E74DA">
              <w:rPr>
                <w:color w:val="000000"/>
                <w:sz w:val="22"/>
              </w:rPr>
              <w:t>Rational vehicle utilisation</w:t>
            </w:r>
          </w:p>
        </w:tc>
        <w:tc>
          <w:tcPr>
            <w:tcW w:w="3769" w:type="dxa"/>
            <w:vAlign w:val="center"/>
          </w:tcPr>
          <w:p w14:paraId="6160085B" w14:textId="77777777" w:rsidR="00BB2459" w:rsidRPr="002E74DA" w:rsidRDefault="00BB2459" w:rsidP="00622AC7">
            <w:pPr>
              <w:rPr>
                <w:color w:val="000000"/>
                <w:sz w:val="22"/>
              </w:rPr>
            </w:pPr>
            <w:r w:rsidRPr="002E74DA">
              <w:rPr>
                <w:color w:val="000000"/>
                <w:sz w:val="22"/>
              </w:rPr>
              <w:t>Truck loading rate (TLR)</w:t>
            </w:r>
          </w:p>
        </w:tc>
        <w:tc>
          <w:tcPr>
            <w:tcW w:w="2642" w:type="dxa"/>
            <w:vAlign w:val="center"/>
          </w:tcPr>
          <w:p w14:paraId="3C2D78FB" w14:textId="6BC75CE4" w:rsidR="00BB2459" w:rsidRPr="002E74DA" w:rsidRDefault="00560A4F" w:rsidP="00622AC7">
            <w:pPr>
              <w:rPr>
                <w:sz w:val="22"/>
              </w:rPr>
            </w:pPr>
            <w:r w:rsidRPr="002E74DA">
              <w:rPr>
                <w:noProof/>
                <w:sz w:val="22"/>
              </w:rPr>
              <w:t>(Dablanc et al., 2011b)</w:t>
            </w:r>
          </w:p>
        </w:tc>
      </w:tr>
      <w:tr w:rsidR="00BB2459" w:rsidRPr="002E74DA" w14:paraId="2EDD50DD" w14:textId="77777777" w:rsidTr="00622AC7">
        <w:trPr>
          <w:trHeight w:val="67"/>
        </w:trPr>
        <w:tc>
          <w:tcPr>
            <w:tcW w:w="2605" w:type="dxa"/>
            <w:noWrap/>
            <w:vAlign w:val="center"/>
          </w:tcPr>
          <w:p w14:paraId="50476E28" w14:textId="77777777" w:rsidR="00BB2459" w:rsidRPr="002E74DA" w:rsidRDefault="00BB2459" w:rsidP="00622AC7">
            <w:pPr>
              <w:rPr>
                <w:color w:val="000000"/>
                <w:sz w:val="22"/>
              </w:rPr>
            </w:pPr>
            <w:r w:rsidRPr="002E74DA">
              <w:rPr>
                <w:color w:val="000000"/>
                <w:sz w:val="22"/>
              </w:rPr>
              <w:t>Emission generation</w:t>
            </w:r>
          </w:p>
        </w:tc>
        <w:tc>
          <w:tcPr>
            <w:tcW w:w="3769" w:type="dxa"/>
            <w:vAlign w:val="center"/>
          </w:tcPr>
          <w:p w14:paraId="5F59DA6F" w14:textId="77777777" w:rsidR="00BB2459" w:rsidRPr="002E74DA" w:rsidRDefault="00BB2459" w:rsidP="00622AC7">
            <w:pPr>
              <w:rPr>
                <w:color w:val="000000"/>
                <w:sz w:val="22"/>
              </w:rPr>
            </w:pPr>
            <w:r w:rsidRPr="002E74DA">
              <w:rPr>
                <w:color w:val="000000"/>
                <w:sz w:val="22"/>
              </w:rPr>
              <w:t>Travel miles in urban areas (TMUA)</w:t>
            </w:r>
          </w:p>
        </w:tc>
        <w:tc>
          <w:tcPr>
            <w:tcW w:w="2642" w:type="dxa"/>
            <w:vMerge w:val="restart"/>
            <w:vAlign w:val="center"/>
          </w:tcPr>
          <w:p w14:paraId="151DAF5D" w14:textId="6CC3EE23" w:rsidR="00BB2459" w:rsidRPr="002E74DA" w:rsidRDefault="00BB2459" w:rsidP="00622AC7">
            <w:pPr>
              <w:rPr>
                <w:sz w:val="22"/>
              </w:rPr>
            </w:pPr>
            <w:r w:rsidRPr="002E74DA">
              <w:rPr>
                <w:noProof/>
                <w:sz w:val="22"/>
              </w:rPr>
              <w:t>(Browne et al., 2011)</w:t>
            </w:r>
          </w:p>
        </w:tc>
      </w:tr>
      <w:tr w:rsidR="00BB2459" w:rsidRPr="002E74DA" w14:paraId="46AD3864" w14:textId="77777777" w:rsidTr="00622AC7">
        <w:trPr>
          <w:trHeight w:val="113"/>
        </w:trPr>
        <w:tc>
          <w:tcPr>
            <w:tcW w:w="2605" w:type="dxa"/>
            <w:noWrap/>
            <w:vAlign w:val="center"/>
          </w:tcPr>
          <w:p w14:paraId="7B73EC19" w14:textId="77777777" w:rsidR="00BB2459" w:rsidRPr="002E74DA" w:rsidRDefault="00BB2459" w:rsidP="00622AC7">
            <w:pPr>
              <w:rPr>
                <w:color w:val="000000"/>
                <w:sz w:val="22"/>
              </w:rPr>
            </w:pPr>
            <w:r w:rsidRPr="002E74DA">
              <w:rPr>
                <w:color w:val="000000"/>
                <w:sz w:val="22"/>
              </w:rPr>
              <w:t>Delivery trips</w:t>
            </w:r>
          </w:p>
        </w:tc>
        <w:tc>
          <w:tcPr>
            <w:tcW w:w="3769" w:type="dxa"/>
            <w:vAlign w:val="center"/>
          </w:tcPr>
          <w:p w14:paraId="293575AB" w14:textId="77777777" w:rsidR="00BB2459" w:rsidRPr="002E74DA" w:rsidRDefault="00BB2459" w:rsidP="00622AC7">
            <w:pPr>
              <w:rPr>
                <w:color w:val="000000"/>
                <w:sz w:val="22"/>
              </w:rPr>
            </w:pPr>
            <w:r w:rsidRPr="002E74DA">
              <w:rPr>
                <w:color w:val="000000"/>
                <w:sz w:val="22"/>
              </w:rPr>
              <w:t>Number of delivery trips per day (NDT)</w:t>
            </w:r>
          </w:p>
        </w:tc>
        <w:tc>
          <w:tcPr>
            <w:tcW w:w="2642" w:type="dxa"/>
            <w:vMerge/>
            <w:vAlign w:val="center"/>
          </w:tcPr>
          <w:p w14:paraId="02EFDAE5" w14:textId="77777777" w:rsidR="00BB2459" w:rsidRPr="002E74DA" w:rsidRDefault="00BB2459" w:rsidP="00622AC7">
            <w:pPr>
              <w:rPr>
                <w:sz w:val="22"/>
              </w:rPr>
            </w:pPr>
          </w:p>
        </w:tc>
      </w:tr>
      <w:tr w:rsidR="00BB2459" w:rsidRPr="002E74DA" w14:paraId="0E83F319" w14:textId="77777777" w:rsidTr="00622AC7">
        <w:trPr>
          <w:trHeight w:val="283"/>
        </w:trPr>
        <w:tc>
          <w:tcPr>
            <w:tcW w:w="2605" w:type="dxa"/>
            <w:noWrap/>
            <w:vAlign w:val="center"/>
          </w:tcPr>
          <w:p w14:paraId="7E592CD1" w14:textId="77777777" w:rsidR="00BB2459" w:rsidRPr="002E74DA" w:rsidRDefault="00BB2459" w:rsidP="00622AC7">
            <w:pPr>
              <w:rPr>
                <w:color w:val="000000"/>
                <w:sz w:val="22"/>
              </w:rPr>
            </w:pPr>
            <w:r w:rsidRPr="002E74DA">
              <w:rPr>
                <w:color w:val="000000"/>
                <w:sz w:val="22"/>
              </w:rPr>
              <w:lastRenderedPageBreak/>
              <w:t>Public support</w:t>
            </w:r>
          </w:p>
        </w:tc>
        <w:tc>
          <w:tcPr>
            <w:tcW w:w="3769" w:type="dxa"/>
            <w:vAlign w:val="center"/>
          </w:tcPr>
          <w:p w14:paraId="3E1952A0" w14:textId="77777777" w:rsidR="00BB2459" w:rsidRPr="002E74DA" w:rsidRDefault="00BB2459" w:rsidP="00622AC7">
            <w:pPr>
              <w:rPr>
                <w:color w:val="000000"/>
                <w:sz w:val="22"/>
              </w:rPr>
            </w:pPr>
            <w:r w:rsidRPr="002E74DA">
              <w:rPr>
                <w:color w:val="000000"/>
                <w:sz w:val="22"/>
              </w:rPr>
              <w:t>Public financial investment (PFI)</w:t>
            </w:r>
          </w:p>
        </w:tc>
        <w:tc>
          <w:tcPr>
            <w:tcW w:w="2642" w:type="dxa"/>
            <w:vAlign w:val="center"/>
          </w:tcPr>
          <w:p w14:paraId="6C8391F9" w14:textId="453AAAD8" w:rsidR="00BB2459" w:rsidRPr="002E74DA" w:rsidRDefault="00BB2459" w:rsidP="00622AC7">
            <w:pPr>
              <w:rPr>
                <w:sz w:val="22"/>
              </w:rPr>
            </w:pPr>
            <w:r w:rsidRPr="002E74DA">
              <w:rPr>
                <w:noProof/>
                <w:sz w:val="22"/>
              </w:rPr>
              <w:t>(Duin et al., 2016)</w:t>
            </w:r>
          </w:p>
        </w:tc>
      </w:tr>
      <w:tr w:rsidR="00BB2459" w:rsidRPr="002E74DA" w14:paraId="56CD25DD" w14:textId="77777777" w:rsidTr="00622AC7">
        <w:trPr>
          <w:trHeight w:val="90"/>
        </w:trPr>
        <w:tc>
          <w:tcPr>
            <w:tcW w:w="2605" w:type="dxa"/>
            <w:noWrap/>
            <w:vAlign w:val="center"/>
          </w:tcPr>
          <w:p w14:paraId="7711C073" w14:textId="77777777" w:rsidR="00BB2459" w:rsidRPr="002E74DA" w:rsidRDefault="00BB2459" w:rsidP="00622AC7">
            <w:pPr>
              <w:rPr>
                <w:color w:val="000000"/>
                <w:sz w:val="22"/>
              </w:rPr>
            </w:pPr>
            <w:r w:rsidRPr="002E74DA">
              <w:rPr>
                <w:color w:val="000000"/>
                <w:sz w:val="22"/>
              </w:rPr>
              <w:t>Workers’ salary</w:t>
            </w:r>
          </w:p>
        </w:tc>
        <w:tc>
          <w:tcPr>
            <w:tcW w:w="3769" w:type="dxa"/>
            <w:vAlign w:val="center"/>
          </w:tcPr>
          <w:p w14:paraId="7F10E8B8" w14:textId="77777777" w:rsidR="00BB2459" w:rsidRPr="002E74DA" w:rsidRDefault="00BB2459" w:rsidP="00622AC7">
            <w:pPr>
              <w:rPr>
                <w:color w:val="000000"/>
                <w:sz w:val="22"/>
              </w:rPr>
            </w:pPr>
            <w:r w:rsidRPr="002E74DA">
              <w:rPr>
                <w:color w:val="000000"/>
                <w:sz w:val="22"/>
              </w:rPr>
              <w:t>Average staff salary (ASS)</w:t>
            </w:r>
          </w:p>
        </w:tc>
        <w:tc>
          <w:tcPr>
            <w:tcW w:w="2642" w:type="dxa"/>
            <w:vAlign w:val="center"/>
          </w:tcPr>
          <w:p w14:paraId="46BCDF3E" w14:textId="34361A0A" w:rsidR="00BB2459" w:rsidRPr="002E74DA" w:rsidRDefault="00BB2459" w:rsidP="00622AC7">
            <w:pPr>
              <w:rPr>
                <w:sz w:val="22"/>
              </w:rPr>
            </w:pPr>
            <w:r w:rsidRPr="002E74DA">
              <w:rPr>
                <w:bCs/>
                <w:noProof/>
                <w:sz w:val="22"/>
              </w:rPr>
              <w:t>(Patier and Browne, 2010)</w:t>
            </w:r>
          </w:p>
        </w:tc>
      </w:tr>
      <w:tr w:rsidR="00BB2459" w:rsidRPr="002E74DA" w14:paraId="5637093E" w14:textId="77777777" w:rsidTr="00622AC7">
        <w:trPr>
          <w:trHeight w:val="95"/>
        </w:trPr>
        <w:tc>
          <w:tcPr>
            <w:tcW w:w="2605" w:type="dxa"/>
            <w:noWrap/>
            <w:vAlign w:val="center"/>
          </w:tcPr>
          <w:p w14:paraId="17326F0C" w14:textId="77777777" w:rsidR="00BB2459" w:rsidRPr="002E74DA" w:rsidRDefault="00BB2459" w:rsidP="00622AC7">
            <w:pPr>
              <w:rPr>
                <w:color w:val="000000"/>
                <w:sz w:val="22"/>
              </w:rPr>
            </w:pPr>
            <w:r w:rsidRPr="002E74DA">
              <w:rPr>
                <w:color w:val="000000"/>
                <w:sz w:val="22"/>
              </w:rPr>
              <w:t>Fair labour</w:t>
            </w:r>
          </w:p>
        </w:tc>
        <w:tc>
          <w:tcPr>
            <w:tcW w:w="3769" w:type="dxa"/>
            <w:vAlign w:val="center"/>
          </w:tcPr>
          <w:p w14:paraId="04DAD816" w14:textId="77777777" w:rsidR="00BB2459" w:rsidRPr="002E74DA" w:rsidRDefault="00BB2459" w:rsidP="00622AC7">
            <w:pPr>
              <w:rPr>
                <w:color w:val="000000"/>
                <w:sz w:val="22"/>
              </w:rPr>
            </w:pPr>
            <w:r w:rsidRPr="002E74DA">
              <w:rPr>
                <w:color w:val="000000"/>
                <w:sz w:val="22"/>
              </w:rPr>
              <w:t>Workers’ overtime utilisation (WOU)</w:t>
            </w:r>
          </w:p>
        </w:tc>
        <w:tc>
          <w:tcPr>
            <w:tcW w:w="2642" w:type="dxa"/>
            <w:vAlign w:val="center"/>
          </w:tcPr>
          <w:p w14:paraId="5AA0645C" w14:textId="66FB29D5" w:rsidR="00BB2459" w:rsidRPr="002E74DA" w:rsidRDefault="00BB2459" w:rsidP="00622AC7">
            <w:pPr>
              <w:rPr>
                <w:sz w:val="22"/>
              </w:rPr>
            </w:pPr>
            <w:r w:rsidRPr="002E74DA">
              <w:rPr>
                <w:noProof/>
                <w:sz w:val="22"/>
              </w:rPr>
              <w:t>(Harrington et al., 2016)</w:t>
            </w:r>
          </w:p>
        </w:tc>
      </w:tr>
      <w:tr w:rsidR="00BB2459" w:rsidRPr="002E74DA" w14:paraId="295A09F5" w14:textId="77777777" w:rsidTr="00622AC7">
        <w:trPr>
          <w:trHeight w:val="58"/>
        </w:trPr>
        <w:tc>
          <w:tcPr>
            <w:tcW w:w="2605" w:type="dxa"/>
            <w:noWrap/>
            <w:vAlign w:val="center"/>
          </w:tcPr>
          <w:p w14:paraId="186A77FA" w14:textId="77777777" w:rsidR="00BB2459" w:rsidRPr="002E74DA" w:rsidRDefault="00BB2459" w:rsidP="00622AC7">
            <w:pPr>
              <w:rPr>
                <w:color w:val="000000"/>
                <w:sz w:val="22"/>
              </w:rPr>
            </w:pPr>
            <w:r w:rsidRPr="002E74DA">
              <w:rPr>
                <w:color w:val="000000"/>
                <w:sz w:val="22"/>
              </w:rPr>
              <w:t>Traffic volume generation</w:t>
            </w:r>
          </w:p>
        </w:tc>
        <w:tc>
          <w:tcPr>
            <w:tcW w:w="3769" w:type="dxa"/>
            <w:vAlign w:val="center"/>
          </w:tcPr>
          <w:p w14:paraId="47896D3D" w14:textId="77777777" w:rsidR="00BB2459" w:rsidRPr="002E74DA" w:rsidRDefault="00BB2459" w:rsidP="00622AC7">
            <w:pPr>
              <w:rPr>
                <w:color w:val="000000"/>
                <w:sz w:val="22"/>
              </w:rPr>
            </w:pPr>
            <w:r w:rsidRPr="002E74DA">
              <w:rPr>
                <w:color w:val="000000"/>
                <w:sz w:val="22"/>
              </w:rPr>
              <w:t>Total travel time in the city centre (TTT)</w:t>
            </w:r>
          </w:p>
        </w:tc>
        <w:tc>
          <w:tcPr>
            <w:tcW w:w="2642" w:type="dxa"/>
            <w:vAlign w:val="center"/>
          </w:tcPr>
          <w:p w14:paraId="7E309892" w14:textId="40925093" w:rsidR="00BB2459" w:rsidRPr="002E74DA" w:rsidRDefault="00BB2459" w:rsidP="00622AC7">
            <w:pPr>
              <w:rPr>
                <w:sz w:val="22"/>
              </w:rPr>
            </w:pPr>
            <w:r w:rsidRPr="002E74DA">
              <w:rPr>
                <w:noProof/>
                <w:sz w:val="22"/>
              </w:rPr>
              <w:t>(Figliozzi, 2010)</w:t>
            </w:r>
            <w:r w:rsidRPr="002E74DA">
              <w:rPr>
                <w:sz w:val="22"/>
              </w:rPr>
              <w:t xml:space="preserve">, </w:t>
            </w:r>
          </w:p>
        </w:tc>
      </w:tr>
      <w:tr w:rsidR="00BB2459" w:rsidRPr="002E74DA" w14:paraId="74F14D0E" w14:textId="77777777" w:rsidTr="00622AC7">
        <w:trPr>
          <w:trHeight w:val="143"/>
        </w:trPr>
        <w:tc>
          <w:tcPr>
            <w:tcW w:w="2605" w:type="dxa"/>
            <w:noWrap/>
            <w:vAlign w:val="center"/>
          </w:tcPr>
          <w:p w14:paraId="7E3CCBA6" w14:textId="77777777" w:rsidR="00BB2459" w:rsidRPr="002E74DA" w:rsidRDefault="00BB2459" w:rsidP="00622AC7">
            <w:pPr>
              <w:rPr>
                <w:color w:val="000000"/>
                <w:sz w:val="22"/>
              </w:rPr>
            </w:pPr>
            <w:r w:rsidRPr="002E74DA">
              <w:rPr>
                <w:color w:val="000000"/>
                <w:sz w:val="22"/>
              </w:rPr>
              <w:t>Congestion generation</w:t>
            </w:r>
          </w:p>
        </w:tc>
        <w:tc>
          <w:tcPr>
            <w:tcW w:w="3769" w:type="dxa"/>
            <w:vAlign w:val="center"/>
          </w:tcPr>
          <w:p w14:paraId="7D5DA2BA" w14:textId="77777777" w:rsidR="00BB2459" w:rsidRPr="002E74DA" w:rsidRDefault="00BB2459" w:rsidP="00622AC7">
            <w:pPr>
              <w:rPr>
                <w:color w:val="000000"/>
                <w:sz w:val="22"/>
              </w:rPr>
            </w:pPr>
            <w:r w:rsidRPr="002E74DA">
              <w:rPr>
                <w:color w:val="000000"/>
                <w:sz w:val="22"/>
              </w:rPr>
              <w:t>Time for on-street parking (TOP)</w:t>
            </w:r>
          </w:p>
        </w:tc>
        <w:tc>
          <w:tcPr>
            <w:tcW w:w="2642" w:type="dxa"/>
            <w:vAlign w:val="center"/>
          </w:tcPr>
          <w:p w14:paraId="0C38AA7E" w14:textId="0CC25892" w:rsidR="00BB2459" w:rsidRPr="002E74DA" w:rsidRDefault="00BB2459" w:rsidP="00622AC7">
            <w:pPr>
              <w:rPr>
                <w:sz w:val="22"/>
              </w:rPr>
            </w:pPr>
            <w:r w:rsidRPr="002E74DA">
              <w:rPr>
                <w:noProof/>
                <w:sz w:val="22"/>
              </w:rPr>
              <w:t>(Han et al., 2005)</w:t>
            </w:r>
          </w:p>
        </w:tc>
      </w:tr>
    </w:tbl>
    <w:p w14:paraId="68261582" w14:textId="74081E0B" w:rsidR="00BB2459" w:rsidRDefault="007B5959" w:rsidP="00044DEC">
      <w:pPr>
        <w:pStyle w:val="Caption"/>
        <w:rPr>
          <w:rFonts w:eastAsia="等线"/>
          <w:color w:val="000000"/>
        </w:rPr>
      </w:pPr>
      <w:bookmarkStart w:id="921" w:name="_Ref45022195"/>
      <w:bookmarkStart w:id="922" w:name="_Toc46053582"/>
      <w:bookmarkStart w:id="923" w:name="_Toc46093831"/>
      <w:bookmarkStart w:id="924" w:name="_Toc66698797"/>
      <w:r>
        <w:t>Table</w:t>
      </w:r>
      <w:r w:rsidR="00044DEC">
        <w:t xml:space="preserve"> </w:t>
      </w:r>
      <w:r w:rsidR="000306D9">
        <w:fldChar w:fldCharType="begin"/>
      </w:r>
      <w:r w:rsidR="000306D9">
        <w:instrText xml:space="preserve"> STYLEREF 1 \s </w:instrText>
      </w:r>
      <w:r w:rsidR="000306D9">
        <w:fldChar w:fldCharType="separate"/>
      </w:r>
      <w:r w:rsidR="0005064B">
        <w:rPr>
          <w:noProof/>
        </w:rPr>
        <w:t>6</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4</w:t>
      </w:r>
      <w:r w:rsidR="000306D9">
        <w:rPr>
          <w:noProof/>
        </w:rPr>
        <w:fldChar w:fldCharType="end"/>
      </w:r>
      <w:bookmarkEnd w:id="921"/>
      <w:r w:rsidR="00FB0694">
        <w:t xml:space="preserve">: </w:t>
      </w:r>
      <w:r w:rsidR="00044DEC" w:rsidRPr="002C60C1">
        <w:rPr>
          <w:rFonts w:eastAsia="Times New Roman"/>
          <w:bCs/>
          <w:kern w:val="2"/>
          <w:lang w:val="en-US"/>
        </w:rPr>
        <w:t xml:space="preserve">The </w:t>
      </w:r>
      <w:r w:rsidR="00044DEC">
        <w:rPr>
          <w:rFonts w:eastAsia="Times New Roman"/>
          <w:bCs/>
          <w:kern w:val="2"/>
          <w:lang w:val="en-US"/>
        </w:rPr>
        <w:t>s</w:t>
      </w:r>
      <w:r w:rsidR="00044DEC" w:rsidRPr="002C60C1">
        <w:rPr>
          <w:rFonts w:eastAsia="Times New Roman"/>
          <w:bCs/>
          <w:kern w:val="2"/>
          <w:lang w:val="en-US"/>
        </w:rPr>
        <w:t xml:space="preserve">elected </w:t>
      </w:r>
      <w:r w:rsidR="00044DEC">
        <w:rPr>
          <w:rFonts w:eastAsia="Times New Roman"/>
          <w:bCs/>
          <w:kern w:val="2"/>
          <w:lang w:val="en-US"/>
        </w:rPr>
        <w:t>c</w:t>
      </w:r>
      <w:r w:rsidR="00044DEC" w:rsidRPr="002C60C1">
        <w:rPr>
          <w:rFonts w:eastAsia="Times New Roman"/>
          <w:bCs/>
          <w:kern w:val="2"/>
          <w:lang w:val="en-US"/>
        </w:rPr>
        <w:t xml:space="preserve">riteria and </w:t>
      </w:r>
      <w:r w:rsidR="00044DEC">
        <w:rPr>
          <w:rFonts w:eastAsia="Times New Roman"/>
          <w:bCs/>
          <w:kern w:val="2"/>
          <w:lang w:val="en-US"/>
        </w:rPr>
        <w:t>t</w:t>
      </w:r>
      <w:r w:rsidR="00044DEC" w:rsidRPr="002C60C1">
        <w:rPr>
          <w:rFonts w:eastAsia="Times New Roman"/>
          <w:bCs/>
          <w:kern w:val="2"/>
          <w:lang w:val="en-US"/>
        </w:rPr>
        <w:t xml:space="preserve">heir </w:t>
      </w:r>
      <w:r w:rsidR="00044DEC">
        <w:rPr>
          <w:rFonts w:eastAsia="Times New Roman"/>
          <w:bCs/>
          <w:kern w:val="2"/>
          <w:lang w:val="en-US"/>
        </w:rPr>
        <w:t>associated i</w:t>
      </w:r>
      <w:r w:rsidR="00044DEC" w:rsidRPr="002C60C1">
        <w:rPr>
          <w:rFonts w:eastAsia="Times New Roman"/>
          <w:bCs/>
          <w:kern w:val="2"/>
          <w:lang w:val="en-US"/>
        </w:rPr>
        <w:t>ndicators</w:t>
      </w:r>
      <w:bookmarkEnd w:id="922"/>
      <w:bookmarkEnd w:id="923"/>
      <w:bookmarkEnd w:id="924"/>
    </w:p>
    <w:p w14:paraId="18140D25" w14:textId="25DE602E" w:rsidR="00BB2459" w:rsidRPr="005C3B0E" w:rsidRDefault="00BB2459" w:rsidP="00EC2BE5">
      <w:pPr>
        <w:spacing w:after="240" w:line="360" w:lineRule="auto"/>
        <w:rPr>
          <w:bCs/>
          <w:i/>
          <w:kern w:val="2"/>
          <w:szCs w:val="18"/>
          <w:lang w:val="en-US"/>
        </w:rPr>
      </w:pPr>
      <w:r>
        <w:rPr>
          <w:rFonts w:eastAsia="等线"/>
          <w:color w:val="000000"/>
        </w:rPr>
        <w:t xml:space="preserve">To identify </w:t>
      </w:r>
      <w:r w:rsidRPr="009903E5">
        <w:rPr>
          <w:rFonts w:eastAsia="等线"/>
          <w:color w:val="000000"/>
        </w:rPr>
        <w:t xml:space="preserve">the </w:t>
      </w:r>
      <w:r>
        <w:rPr>
          <w:rFonts w:eastAsia="等线"/>
          <w:color w:val="000000"/>
        </w:rPr>
        <w:t xml:space="preserve">extent </w:t>
      </w:r>
      <w:r w:rsidRPr="009903E5">
        <w:rPr>
          <w:rFonts w:eastAsia="等线"/>
          <w:color w:val="000000"/>
        </w:rPr>
        <w:t xml:space="preserve">of </w:t>
      </w:r>
      <w:r>
        <w:rPr>
          <w:rFonts w:eastAsia="等线"/>
          <w:color w:val="000000"/>
        </w:rPr>
        <w:t xml:space="preserve">the </w:t>
      </w:r>
      <w:r w:rsidRPr="009903E5">
        <w:rPr>
          <w:rFonts w:eastAsia="等线"/>
          <w:color w:val="000000"/>
        </w:rPr>
        <w:t xml:space="preserve">stakeholder preference </w:t>
      </w:r>
      <w:r>
        <w:rPr>
          <w:rFonts w:eastAsia="等线"/>
          <w:color w:val="000000"/>
        </w:rPr>
        <w:t>for each of the</w:t>
      </w:r>
      <w:r w:rsidRPr="009903E5">
        <w:rPr>
          <w:rFonts w:eastAsia="等线"/>
          <w:color w:val="000000"/>
        </w:rPr>
        <w:t xml:space="preserve"> categories of indicator in the context of SUL</w:t>
      </w:r>
      <w:r>
        <w:rPr>
          <w:rFonts w:eastAsia="等线"/>
          <w:color w:val="000000"/>
        </w:rPr>
        <w:t>, an AHP analysis was conducted</w:t>
      </w:r>
      <w:r w:rsidRPr="009903E5">
        <w:rPr>
          <w:rFonts w:eastAsia="等线"/>
          <w:color w:val="000000"/>
        </w:rPr>
        <w:t>. The hie</w:t>
      </w:r>
      <w:r>
        <w:rPr>
          <w:rFonts w:eastAsia="等线"/>
          <w:color w:val="000000"/>
        </w:rPr>
        <w:t xml:space="preserve">rarchy of the criteria is illustrated in </w:t>
      </w:r>
      <w:r w:rsidR="00D66FFA">
        <w:rPr>
          <w:rFonts w:eastAsia="等线"/>
          <w:color w:val="000000"/>
        </w:rPr>
        <w:fldChar w:fldCharType="begin"/>
      </w:r>
      <w:r w:rsidR="00D66FFA">
        <w:rPr>
          <w:rFonts w:eastAsia="等线"/>
          <w:color w:val="000000"/>
        </w:rPr>
        <w:instrText xml:space="preserve"> REF _Ref45022253 \h </w:instrText>
      </w:r>
      <w:r w:rsidR="00D66FFA">
        <w:rPr>
          <w:rFonts w:eastAsia="等线"/>
          <w:color w:val="000000"/>
        </w:rPr>
      </w:r>
      <w:r w:rsidR="00D66FFA">
        <w:rPr>
          <w:rFonts w:eastAsia="等线"/>
          <w:color w:val="000000"/>
        </w:rPr>
        <w:fldChar w:fldCharType="separate"/>
      </w:r>
      <w:r w:rsidR="0005064B" w:rsidRPr="00913D9C">
        <w:rPr>
          <w:rFonts w:eastAsia="Times New Roman"/>
          <w:bCs/>
          <w:kern w:val="2"/>
          <w:lang w:val="en-US"/>
        </w:rPr>
        <w:t xml:space="preserve">Figure </w:t>
      </w:r>
      <w:r w:rsidR="0005064B">
        <w:rPr>
          <w:rFonts w:eastAsia="Times New Roman"/>
          <w:bCs/>
          <w:iCs/>
          <w:noProof/>
          <w:kern w:val="2"/>
          <w:lang w:val="en-US"/>
        </w:rPr>
        <w:t>6</w:t>
      </w:r>
      <w:r w:rsidR="0005064B">
        <w:rPr>
          <w:rFonts w:eastAsia="Times New Roman"/>
          <w:bCs/>
          <w:kern w:val="2"/>
          <w:lang w:val="en-US"/>
        </w:rPr>
        <w:noBreakHyphen/>
      </w:r>
      <w:r w:rsidR="0005064B">
        <w:rPr>
          <w:rFonts w:eastAsia="Times New Roman"/>
          <w:bCs/>
          <w:iCs/>
          <w:noProof/>
          <w:kern w:val="2"/>
          <w:lang w:val="en-US"/>
        </w:rPr>
        <w:t>2</w:t>
      </w:r>
      <w:r w:rsidR="00D66FFA">
        <w:rPr>
          <w:rFonts w:eastAsia="等线"/>
          <w:color w:val="000000"/>
        </w:rPr>
        <w:fldChar w:fldCharType="end"/>
      </w:r>
      <w:r w:rsidRPr="009903E5">
        <w:rPr>
          <w:rFonts w:eastAsia="等线"/>
          <w:color w:val="000000"/>
        </w:rPr>
        <w:t xml:space="preserve">. The hierarchical framework was submitted to the interviewees, </w:t>
      </w:r>
      <w:r>
        <w:rPr>
          <w:rFonts w:eastAsia="等线"/>
          <w:color w:val="000000"/>
        </w:rPr>
        <w:t xml:space="preserve">who </w:t>
      </w:r>
      <w:r w:rsidRPr="009903E5">
        <w:rPr>
          <w:rFonts w:eastAsia="等线"/>
          <w:color w:val="000000"/>
        </w:rPr>
        <w:t xml:space="preserve">were asked to rate the attributes </w:t>
      </w:r>
      <w:r>
        <w:rPr>
          <w:rFonts w:eastAsia="等线"/>
          <w:color w:val="000000"/>
        </w:rPr>
        <w:t xml:space="preserve">using the AHP pairwise comparison mechanism </w:t>
      </w:r>
      <w:r w:rsidR="00111BBE">
        <w:rPr>
          <w:rFonts w:eastAsia="等线"/>
          <w:color w:val="000000"/>
        </w:rPr>
        <w:fldChar w:fldCharType="begin"/>
      </w:r>
      <w:r w:rsidR="00647E79">
        <w:rPr>
          <w:rFonts w:eastAsia="等线"/>
          <w:color w:val="000000"/>
        </w:rPr>
        <w:instrText xml:space="preserve"> ADDIN EN.CITE &lt;EndNote&gt;&lt;Cite&gt;&lt;Author&gt;Saaty&lt;/Author&gt;&lt;Year&gt;1990&lt;/Year&gt;&lt;RecNum&gt;292&lt;/RecNum&gt;&lt;DisplayText&gt;(Saaty, 1990)&lt;/DisplayText&gt;&lt;record&gt;&lt;rec-number&gt;292&lt;/rec-number&gt;&lt;foreign-keys&gt;&lt;key app="EN" db-id="pzt5ep52hsedfpeext2pdfes0w0aswaewef2" timestamp="1605187999"&gt;292&lt;/key&gt;&lt;/foreign-keys&gt;&lt;ref-type name="Journal Article"&gt;17&lt;/ref-type&gt;&lt;contributors&gt;&lt;authors&gt;&lt;author&gt;Saaty, Thomas L.&lt;/author&gt;&lt;/authors&gt;&lt;/contributors&gt;&lt;titles&gt;&lt;title&gt;How to make a decision: The analytic hierarchy process&lt;/title&gt;&lt;secondary-title&gt;European Journal of Operational Research&lt;/secondary-title&gt;&lt;/titles&gt;&lt;periodical&gt;&lt;full-title&gt;European journal of operational research&lt;/full-title&gt;&lt;/periodical&gt;&lt;pages&gt;9-26&lt;/pages&gt;&lt;volume&gt;48&lt;/volume&gt;&lt;number&gt;1&lt;/number&gt;&lt;keywords&gt;&lt;keyword&gt;Decision&lt;/keyword&gt;&lt;keyword&gt;priority&lt;/keyword&gt;&lt;keyword&gt;rank&lt;/keyword&gt;&lt;keyword&gt;cost-benefit&lt;/keyword&gt;&lt;keyword&gt;scales&lt;/keyword&gt;&lt;keyword&gt;ratios&lt;/keyword&gt;&lt;/keywords&gt;&lt;dates&gt;&lt;year&gt;1990&lt;/year&gt;&lt;pub-dates&gt;&lt;date&gt;1990/09/05/&lt;/date&gt;&lt;/pub-dates&gt;&lt;/dates&gt;&lt;isbn&gt;0377-2217&lt;/isbn&gt;&lt;urls&gt;&lt;related-urls&gt;&lt;url&gt;http://www.sciencedirect.com/science/article/pii/037722179090057I&lt;/url&gt;&lt;/related-urls&gt;&lt;/urls&gt;&lt;electronic-resource-num&gt;https://doi.org/10.1016/0377-2217(90)90057-I&lt;/electronic-resource-num&gt;&lt;/record&gt;&lt;/Cite&gt;&lt;/EndNote&gt;</w:instrText>
      </w:r>
      <w:r w:rsidR="00111BBE">
        <w:rPr>
          <w:rFonts w:eastAsia="等线"/>
          <w:color w:val="000000"/>
        </w:rPr>
        <w:fldChar w:fldCharType="separate"/>
      </w:r>
      <w:r w:rsidR="00111BBE">
        <w:rPr>
          <w:rFonts w:eastAsia="等线"/>
          <w:noProof/>
          <w:color w:val="000000"/>
        </w:rPr>
        <w:t>(Saaty, 1990)</w:t>
      </w:r>
      <w:r w:rsidR="00111BBE">
        <w:rPr>
          <w:rFonts w:eastAsia="等线"/>
          <w:color w:val="000000"/>
        </w:rPr>
        <w:fldChar w:fldCharType="end"/>
      </w:r>
      <w:r w:rsidRPr="009903E5">
        <w:rPr>
          <w:rFonts w:eastAsia="等线"/>
          <w:color w:val="000000"/>
        </w:rPr>
        <w:t>.</w:t>
      </w:r>
      <w:r>
        <w:rPr>
          <w:rFonts w:eastAsia="等线"/>
          <w:color w:val="000000"/>
        </w:rPr>
        <w:t xml:space="preserve"> The </w:t>
      </w:r>
      <w:r w:rsidRPr="009903E5">
        <w:rPr>
          <w:rFonts w:eastAsia="等线"/>
          <w:color w:val="000000"/>
        </w:rPr>
        <w:t>fundamental scale</w:t>
      </w:r>
      <w:r>
        <w:rPr>
          <w:rFonts w:eastAsia="等线"/>
          <w:color w:val="000000"/>
        </w:rPr>
        <w:t xml:space="preserve"> proposed by </w:t>
      </w:r>
      <w:r w:rsidR="00111BBE">
        <w:rPr>
          <w:rFonts w:eastAsia="等线"/>
          <w:noProof/>
          <w:color w:val="000000"/>
        </w:rPr>
        <w:fldChar w:fldCharType="begin"/>
      </w:r>
      <w:r w:rsidR="00647E79">
        <w:rPr>
          <w:rFonts w:eastAsia="等线"/>
          <w:noProof/>
          <w:color w:val="000000"/>
        </w:rPr>
        <w:instrText xml:space="preserve"> ADDIN EN.CITE &lt;EndNote&gt;&lt;Cite AuthorYear="1"&gt;&lt;Author&gt;Saaty&lt;/Author&gt;&lt;Year&gt;2004&lt;/Year&gt;&lt;RecNum&gt;334&lt;/RecNum&gt;&lt;DisplayText&gt;Saaty (2004)&lt;/DisplayText&gt;&lt;record&gt;&lt;rec-number&gt;334&lt;/rec-number&gt;&lt;foreign-keys&gt;&lt;key app="EN" db-id="pzt5ep52hsedfpeext2pdfes0w0aswaewef2" timestamp="1605188000"&gt;334&lt;/key&gt;&lt;/foreign-keys&gt;&lt;ref-type name="Journal Article"&gt;17&lt;/ref-type&gt;&lt;contributors&gt;&lt;authors&gt;&lt;author&gt;Saaty, Thomas L.&lt;/author&gt;&lt;/authors&gt;&lt;/contributors&gt;&lt;titles&gt;&lt;title&gt;Decision making — the Analytic Hierarchy and Network Processes (AHP/ANP)&lt;/title&gt;&lt;secondary-title&gt;Journal of Systems Science and Systems Engineering&lt;/secondary-title&gt;&lt;/titles&gt;&lt;periodical&gt;&lt;full-title&gt;Journal of Systems Science and Systems Engineering&lt;/full-title&gt;&lt;/periodical&gt;&lt;pages&gt;1-35&lt;/pages&gt;&lt;volume&gt;13&lt;/volume&gt;&lt;number&gt;1&lt;/number&gt;&lt;dates&gt;&lt;year&gt;2004&lt;/year&gt;&lt;pub-dates&gt;&lt;date&gt;2004/03/01&lt;/date&gt;&lt;/pub-dates&gt;&lt;/dates&gt;&lt;isbn&gt;1861-9576&lt;/isbn&gt;&lt;urls&gt;&lt;related-urls&gt;&lt;url&gt;https://doi.org/10.1007/s11518-006-0151-5&lt;/url&gt;&lt;url&gt;https://link.springer.com/content/pdf/10.1007%2Fs11518-006-0151-5.pdf&lt;/url&gt;&lt;/related-urls&gt;&lt;/urls&gt;&lt;electronic-resource-num&gt;10.1007/s11518-006-0151-5&lt;/electronic-resource-num&gt;&lt;/record&gt;&lt;/Cite&gt;&lt;/EndNote&gt;</w:instrText>
      </w:r>
      <w:r w:rsidR="00111BBE">
        <w:rPr>
          <w:rFonts w:eastAsia="等线"/>
          <w:noProof/>
          <w:color w:val="000000"/>
        </w:rPr>
        <w:fldChar w:fldCharType="separate"/>
      </w:r>
      <w:r w:rsidR="006A33AD">
        <w:rPr>
          <w:rFonts w:eastAsia="等线"/>
          <w:noProof/>
          <w:color w:val="000000"/>
        </w:rPr>
        <w:t>Saaty (2004)</w:t>
      </w:r>
      <w:r w:rsidR="00111BBE">
        <w:rPr>
          <w:rFonts w:eastAsia="等线"/>
          <w:noProof/>
          <w:color w:val="000000"/>
        </w:rPr>
        <w:fldChar w:fldCharType="end"/>
      </w:r>
      <w:r w:rsidRPr="009903E5">
        <w:rPr>
          <w:rFonts w:eastAsia="等线"/>
          <w:color w:val="000000"/>
        </w:rPr>
        <w:t xml:space="preserve"> (shown in</w:t>
      </w:r>
      <w:r w:rsidR="00D66FFA">
        <w:rPr>
          <w:rFonts w:eastAsia="等线"/>
          <w:color w:val="000000"/>
        </w:rPr>
        <w:t xml:space="preserve"> </w:t>
      </w:r>
      <w:r w:rsidR="00D66FFA">
        <w:rPr>
          <w:rFonts w:eastAsia="等线"/>
          <w:color w:val="000000"/>
        </w:rPr>
        <w:fldChar w:fldCharType="begin"/>
      </w:r>
      <w:r w:rsidR="00D66FFA">
        <w:rPr>
          <w:rFonts w:eastAsia="等线"/>
          <w:color w:val="000000"/>
        </w:rPr>
        <w:instrText xml:space="preserve"> REF _Ref45022286 \h </w:instrText>
      </w:r>
      <w:r w:rsidR="00D66FFA">
        <w:rPr>
          <w:rFonts w:eastAsia="等线"/>
          <w:color w:val="000000"/>
        </w:rPr>
      </w:r>
      <w:r w:rsidR="00D66FFA">
        <w:rPr>
          <w:rFonts w:eastAsia="等线"/>
          <w:color w:val="000000"/>
        </w:rPr>
        <w:fldChar w:fldCharType="separate"/>
      </w:r>
      <w:r w:rsidR="0005064B">
        <w:t xml:space="preserve">Table </w:t>
      </w:r>
      <w:r w:rsidR="0005064B">
        <w:rPr>
          <w:noProof/>
        </w:rPr>
        <w:t>6</w:t>
      </w:r>
      <w:r w:rsidR="0005064B">
        <w:noBreakHyphen/>
      </w:r>
      <w:r w:rsidR="0005064B">
        <w:rPr>
          <w:noProof/>
        </w:rPr>
        <w:t>5</w:t>
      </w:r>
      <w:r w:rsidR="00D66FFA">
        <w:rPr>
          <w:rFonts w:eastAsia="等线"/>
          <w:color w:val="000000"/>
        </w:rPr>
        <w:fldChar w:fldCharType="end"/>
      </w:r>
      <w:r w:rsidRPr="009903E5">
        <w:rPr>
          <w:rFonts w:eastAsia="等线"/>
          <w:color w:val="000000"/>
        </w:rPr>
        <w:t xml:space="preserve">) </w:t>
      </w:r>
      <w:r>
        <w:rPr>
          <w:rFonts w:eastAsia="等线"/>
          <w:color w:val="000000"/>
        </w:rPr>
        <w:t>and consistency tests were utilised</w:t>
      </w:r>
      <w:r w:rsidRPr="009903E5">
        <w:rPr>
          <w:rFonts w:eastAsia="等线"/>
          <w:color w:val="000000"/>
        </w:rPr>
        <w:t>.</w:t>
      </w:r>
    </w:p>
    <w:p w14:paraId="54491404" w14:textId="77777777" w:rsidR="00BB2459" w:rsidRDefault="00BB2459" w:rsidP="00BB2459">
      <w:pPr>
        <w:widowControl w:val="0"/>
        <w:spacing w:line="360" w:lineRule="auto"/>
        <w:jc w:val="center"/>
      </w:pPr>
      <w:r>
        <w:rPr>
          <w:noProof/>
        </w:rPr>
        <w:object w:dxaOrig="10665" w:dyaOrig="6706" w14:anchorId="163E1FD1">
          <v:shape id="_x0000_i1041" type="#_x0000_t75" style="width:453.8pt;height:280.65pt" o:ole="">
            <v:imagedata r:id="rId135" o:title=""/>
          </v:shape>
          <o:OLEObject Type="Embed" ProgID="Visio.Drawing.15" ShapeID="_x0000_i1041" DrawAspect="Content" ObjectID="_1681648048" r:id="rId136"/>
        </w:object>
      </w:r>
    </w:p>
    <w:p w14:paraId="2CC4273B" w14:textId="09C031C6" w:rsidR="00BB2459" w:rsidRPr="00913D9C" w:rsidRDefault="00532578" w:rsidP="00D66FFA">
      <w:pPr>
        <w:pStyle w:val="Caption"/>
        <w:rPr>
          <w:rFonts w:eastAsia="Times New Roman"/>
          <w:bCs/>
          <w:iCs w:val="0"/>
          <w:kern w:val="2"/>
          <w:lang w:val="en-US"/>
        </w:rPr>
      </w:pPr>
      <w:bookmarkStart w:id="925" w:name="_Ref45022253"/>
      <w:bookmarkStart w:id="926" w:name="_Toc46053698"/>
      <w:bookmarkStart w:id="927" w:name="_Toc66698729"/>
      <w:r w:rsidRPr="00913D9C">
        <w:rPr>
          <w:rFonts w:eastAsia="Times New Roman"/>
          <w:bCs/>
          <w:iCs w:val="0"/>
          <w:kern w:val="2"/>
          <w:lang w:val="en-US"/>
        </w:rPr>
        <w:t xml:space="preserve">Figure </w:t>
      </w:r>
      <w:r w:rsidR="00632993">
        <w:rPr>
          <w:rFonts w:eastAsia="Times New Roman"/>
          <w:bCs/>
          <w:iCs w:val="0"/>
          <w:kern w:val="2"/>
          <w:lang w:val="en-US"/>
        </w:rPr>
        <w:fldChar w:fldCharType="begin"/>
      </w:r>
      <w:r w:rsidR="00632993">
        <w:rPr>
          <w:rFonts w:eastAsia="Times New Roman"/>
          <w:bCs/>
          <w:iCs w:val="0"/>
          <w:kern w:val="2"/>
          <w:lang w:val="en-US"/>
        </w:rPr>
        <w:instrText xml:space="preserve"> STYLEREF 1 \s </w:instrText>
      </w:r>
      <w:r w:rsidR="00632993">
        <w:rPr>
          <w:rFonts w:eastAsia="Times New Roman"/>
          <w:bCs/>
          <w:iCs w:val="0"/>
          <w:kern w:val="2"/>
          <w:lang w:val="en-US"/>
        </w:rPr>
        <w:fldChar w:fldCharType="separate"/>
      </w:r>
      <w:r w:rsidR="0005064B">
        <w:rPr>
          <w:rFonts w:eastAsia="Times New Roman"/>
          <w:bCs/>
          <w:iCs w:val="0"/>
          <w:noProof/>
          <w:kern w:val="2"/>
          <w:lang w:val="en-US"/>
        </w:rPr>
        <w:t>6</w:t>
      </w:r>
      <w:r w:rsidR="00632993">
        <w:rPr>
          <w:rFonts w:eastAsia="Times New Roman"/>
          <w:bCs/>
          <w:iCs w:val="0"/>
          <w:kern w:val="2"/>
          <w:lang w:val="en-US"/>
        </w:rPr>
        <w:fldChar w:fldCharType="end"/>
      </w:r>
      <w:r w:rsidR="00632993">
        <w:rPr>
          <w:rFonts w:eastAsia="Times New Roman"/>
          <w:bCs/>
          <w:iCs w:val="0"/>
          <w:kern w:val="2"/>
          <w:lang w:val="en-US"/>
        </w:rPr>
        <w:noBreakHyphen/>
      </w:r>
      <w:r w:rsidR="00632993">
        <w:rPr>
          <w:rFonts w:eastAsia="Times New Roman"/>
          <w:bCs/>
          <w:iCs w:val="0"/>
          <w:kern w:val="2"/>
          <w:lang w:val="en-US"/>
        </w:rPr>
        <w:fldChar w:fldCharType="begin"/>
      </w:r>
      <w:r w:rsidR="00632993">
        <w:rPr>
          <w:rFonts w:eastAsia="Times New Roman"/>
          <w:bCs/>
          <w:iCs w:val="0"/>
          <w:kern w:val="2"/>
          <w:lang w:val="en-US"/>
        </w:rPr>
        <w:instrText xml:space="preserve"> SEQ Figure \* ARABIC \s 1 </w:instrText>
      </w:r>
      <w:r w:rsidR="00632993">
        <w:rPr>
          <w:rFonts w:eastAsia="Times New Roman"/>
          <w:bCs/>
          <w:iCs w:val="0"/>
          <w:kern w:val="2"/>
          <w:lang w:val="en-US"/>
        </w:rPr>
        <w:fldChar w:fldCharType="separate"/>
      </w:r>
      <w:r w:rsidR="0005064B">
        <w:rPr>
          <w:rFonts w:eastAsia="Times New Roman"/>
          <w:bCs/>
          <w:iCs w:val="0"/>
          <w:noProof/>
          <w:kern w:val="2"/>
          <w:lang w:val="en-US"/>
        </w:rPr>
        <w:t>2</w:t>
      </w:r>
      <w:r w:rsidR="00632993">
        <w:rPr>
          <w:rFonts w:eastAsia="Times New Roman"/>
          <w:bCs/>
          <w:iCs w:val="0"/>
          <w:kern w:val="2"/>
          <w:lang w:val="en-US"/>
        </w:rPr>
        <w:fldChar w:fldCharType="end"/>
      </w:r>
      <w:bookmarkEnd w:id="925"/>
      <w:r w:rsidR="002547EF">
        <w:rPr>
          <w:rFonts w:eastAsia="Times New Roman"/>
          <w:bCs/>
          <w:iCs w:val="0"/>
          <w:kern w:val="2"/>
          <w:lang w:val="en-US"/>
        </w:rPr>
        <w:t>:</w:t>
      </w:r>
      <w:r w:rsidR="00BB2459" w:rsidRPr="00913D9C">
        <w:rPr>
          <w:rFonts w:eastAsia="Times New Roman"/>
          <w:bCs/>
          <w:iCs w:val="0"/>
          <w:kern w:val="2"/>
          <w:lang w:val="en-US"/>
        </w:rPr>
        <w:t xml:space="preserve"> The hierarchy of the selected indicators</w:t>
      </w:r>
      <w:bookmarkEnd w:id="926"/>
      <w:bookmarkEnd w:id="927"/>
    </w:p>
    <w:tbl>
      <w:tblPr>
        <w:tblStyle w:val="TableGrid21"/>
        <w:tblW w:w="5000" w:type="pct"/>
        <w:tblLook w:val="04A0" w:firstRow="1" w:lastRow="0" w:firstColumn="1" w:lastColumn="0" w:noHBand="0" w:noVBand="1"/>
      </w:tblPr>
      <w:tblGrid>
        <w:gridCol w:w="997"/>
        <w:gridCol w:w="3724"/>
        <w:gridCol w:w="4295"/>
      </w:tblGrid>
      <w:tr w:rsidR="00BB2459" w:rsidRPr="002E74DA" w14:paraId="583666CA" w14:textId="77777777" w:rsidTr="00622AC7">
        <w:tc>
          <w:tcPr>
            <w:tcW w:w="553" w:type="pct"/>
          </w:tcPr>
          <w:p w14:paraId="7C21BE00" w14:textId="77777777" w:rsidR="00BB2459" w:rsidRPr="002E74DA" w:rsidRDefault="00BB2459" w:rsidP="00622AC7">
            <w:pPr>
              <w:jc w:val="center"/>
              <w:rPr>
                <w:rFonts w:cs="Times New Roman"/>
                <w:sz w:val="22"/>
              </w:rPr>
            </w:pPr>
            <w:r w:rsidRPr="002E74DA">
              <w:rPr>
                <w:rFonts w:cs="Times New Roman"/>
                <w:sz w:val="22"/>
              </w:rPr>
              <w:t>Value</w:t>
            </w:r>
          </w:p>
        </w:tc>
        <w:tc>
          <w:tcPr>
            <w:tcW w:w="2065" w:type="pct"/>
          </w:tcPr>
          <w:p w14:paraId="3582EF5A" w14:textId="77777777" w:rsidR="00BB2459" w:rsidRPr="002E74DA" w:rsidRDefault="00BB2459" w:rsidP="00622AC7">
            <w:pPr>
              <w:jc w:val="center"/>
              <w:rPr>
                <w:rFonts w:cs="Times New Roman"/>
                <w:sz w:val="22"/>
              </w:rPr>
            </w:pPr>
            <w:r w:rsidRPr="002E74DA">
              <w:rPr>
                <w:rFonts w:cs="Times New Roman"/>
                <w:sz w:val="22"/>
              </w:rPr>
              <w:t>Verbal definition of the value</w:t>
            </w:r>
          </w:p>
        </w:tc>
        <w:tc>
          <w:tcPr>
            <w:tcW w:w="2382" w:type="pct"/>
          </w:tcPr>
          <w:p w14:paraId="7B251227" w14:textId="77777777" w:rsidR="00BB2459" w:rsidRPr="002E74DA" w:rsidRDefault="00BB2459" w:rsidP="00622AC7">
            <w:pPr>
              <w:jc w:val="center"/>
              <w:rPr>
                <w:rFonts w:cs="Times New Roman"/>
                <w:sz w:val="22"/>
              </w:rPr>
            </w:pPr>
            <w:r w:rsidRPr="002E74DA">
              <w:rPr>
                <w:rFonts w:cs="Times New Roman"/>
                <w:sz w:val="22"/>
              </w:rPr>
              <w:t>Interpretation</w:t>
            </w:r>
          </w:p>
        </w:tc>
      </w:tr>
      <w:tr w:rsidR="00BB2459" w:rsidRPr="002E74DA" w14:paraId="77591A6E" w14:textId="77777777" w:rsidTr="00622AC7">
        <w:tc>
          <w:tcPr>
            <w:tcW w:w="553" w:type="pct"/>
          </w:tcPr>
          <w:p w14:paraId="3A1240B4" w14:textId="77777777" w:rsidR="00BB2459" w:rsidRPr="002E74DA" w:rsidRDefault="00BB2459" w:rsidP="00622AC7">
            <w:pPr>
              <w:jc w:val="center"/>
              <w:rPr>
                <w:rFonts w:cs="Times New Roman"/>
                <w:sz w:val="22"/>
              </w:rPr>
            </w:pPr>
            <w:r w:rsidRPr="002E74DA">
              <w:rPr>
                <w:rFonts w:cs="Times New Roman"/>
                <w:sz w:val="22"/>
              </w:rPr>
              <w:t>1</w:t>
            </w:r>
          </w:p>
        </w:tc>
        <w:tc>
          <w:tcPr>
            <w:tcW w:w="2065" w:type="pct"/>
            <w:vAlign w:val="center"/>
          </w:tcPr>
          <w:p w14:paraId="694913C0" w14:textId="77777777" w:rsidR="00BB2459" w:rsidRPr="002E74DA" w:rsidRDefault="00BB2459" w:rsidP="00622AC7">
            <w:pPr>
              <w:rPr>
                <w:rFonts w:cs="Times New Roman"/>
                <w:sz w:val="22"/>
              </w:rPr>
            </w:pPr>
            <w:r w:rsidRPr="002E74DA">
              <w:rPr>
                <w:rFonts w:cs="Times New Roman"/>
                <w:sz w:val="22"/>
              </w:rPr>
              <w:t>Equal important</w:t>
            </w:r>
          </w:p>
        </w:tc>
        <w:tc>
          <w:tcPr>
            <w:tcW w:w="2382" w:type="pct"/>
          </w:tcPr>
          <w:p w14:paraId="3387AF34" w14:textId="77777777" w:rsidR="00BB2459" w:rsidRPr="002E74DA" w:rsidRDefault="00BB2459" w:rsidP="00622AC7">
            <w:pPr>
              <w:rPr>
                <w:rFonts w:cs="Times New Roman"/>
                <w:sz w:val="22"/>
              </w:rPr>
            </w:pPr>
            <w:r w:rsidRPr="002E74DA">
              <w:rPr>
                <w:rFonts w:cs="Times New Roman"/>
                <w:sz w:val="22"/>
              </w:rPr>
              <w:t xml:space="preserve">Criteria </w:t>
            </w:r>
            <w:proofErr w:type="spellStart"/>
            <w:r w:rsidRPr="002E74DA">
              <w:rPr>
                <w:rFonts w:cs="Times New Roman"/>
                <w:i/>
                <w:iCs/>
                <w:sz w:val="22"/>
              </w:rPr>
              <w:t>i</w:t>
            </w:r>
            <w:proofErr w:type="spellEnd"/>
            <w:r w:rsidRPr="002E74DA">
              <w:rPr>
                <w:rFonts w:cs="Times New Roman"/>
                <w:i/>
                <w:iCs/>
                <w:sz w:val="22"/>
              </w:rPr>
              <w:t xml:space="preserve"> </w:t>
            </w:r>
            <w:r w:rsidRPr="002E74DA">
              <w:rPr>
                <w:rFonts w:cs="Times New Roman"/>
                <w:sz w:val="22"/>
              </w:rPr>
              <w:t xml:space="preserve">and </w:t>
            </w:r>
            <w:r w:rsidRPr="002E74DA">
              <w:rPr>
                <w:rFonts w:cs="Times New Roman"/>
                <w:i/>
                <w:iCs/>
                <w:sz w:val="22"/>
              </w:rPr>
              <w:t xml:space="preserve">j </w:t>
            </w:r>
            <w:r w:rsidRPr="002E74DA">
              <w:rPr>
                <w:rFonts w:cs="Times New Roman"/>
                <w:sz w:val="22"/>
              </w:rPr>
              <w:t>are equally important</w:t>
            </w:r>
          </w:p>
        </w:tc>
      </w:tr>
      <w:tr w:rsidR="00BB2459" w:rsidRPr="002E74DA" w14:paraId="211483FB" w14:textId="77777777" w:rsidTr="00622AC7">
        <w:tc>
          <w:tcPr>
            <w:tcW w:w="553" w:type="pct"/>
          </w:tcPr>
          <w:p w14:paraId="3057E52C" w14:textId="77777777" w:rsidR="00BB2459" w:rsidRPr="002E74DA" w:rsidRDefault="00BB2459" w:rsidP="00622AC7">
            <w:pPr>
              <w:jc w:val="center"/>
              <w:rPr>
                <w:rFonts w:cs="Times New Roman"/>
                <w:sz w:val="22"/>
              </w:rPr>
            </w:pPr>
            <w:r w:rsidRPr="002E74DA">
              <w:rPr>
                <w:rFonts w:cs="Times New Roman"/>
                <w:sz w:val="22"/>
              </w:rPr>
              <w:t>3</w:t>
            </w:r>
          </w:p>
        </w:tc>
        <w:tc>
          <w:tcPr>
            <w:tcW w:w="2065" w:type="pct"/>
            <w:vAlign w:val="center"/>
          </w:tcPr>
          <w:p w14:paraId="36FFA286" w14:textId="77777777" w:rsidR="00BB2459" w:rsidRPr="002E74DA" w:rsidRDefault="00BB2459" w:rsidP="00622AC7">
            <w:pPr>
              <w:rPr>
                <w:rFonts w:cs="Times New Roman"/>
                <w:sz w:val="22"/>
              </w:rPr>
            </w:pPr>
            <w:r w:rsidRPr="002E74DA">
              <w:rPr>
                <w:rFonts w:cs="Times New Roman"/>
                <w:sz w:val="22"/>
              </w:rPr>
              <w:t>Weak importance of one over another</w:t>
            </w:r>
          </w:p>
        </w:tc>
        <w:tc>
          <w:tcPr>
            <w:tcW w:w="2382" w:type="pct"/>
          </w:tcPr>
          <w:p w14:paraId="080ACAD8" w14:textId="77777777" w:rsidR="00BB2459" w:rsidRPr="002E74DA" w:rsidRDefault="00BB2459" w:rsidP="00622AC7">
            <w:pPr>
              <w:rPr>
                <w:rFonts w:cs="Times New Roman"/>
                <w:sz w:val="22"/>
              </w:rPr>
            </w:pPr>
            <w:r w:rsidRPr="002E74DA">
              <w:rPr>
                <w:rFonts w:cs="Times New Roman"/>
                <w:sz w:val="22"/>
              </w:rPr>
              <w:t xml:space="preserve">Criterion </w:t>
            </w:r>
            <w:proofErr w:type="spellStart"/>
            <w:r w:rsidRPr="002E74DA">
              <w:rPr>
                <w:rFonts w:cs="Times New Roman"/>
                <w:i/>
                <w:iCs/>
                <w:sz w:val="22"/>
              </w:rPr>
              <w:t>i</w:t>
            </w:r>
            <w:proofErr w:type="spellEnd"/>
            <w:r w:rsidRPr="002E74DA">
              <w:rPr>
                <w:rFonts w:cs="Times New Roman"/>
                <w:i/>
                <w:iCs/>
                <w:sz w:val="22"/>
              </w:rPr>
              <w:t xml:space="preserve"> </w:t>
            </w:r>
            <w:r w:rsidRPr="002E74DA">
              <w:rPr>
                <w:rFonts w:cs="Times New Roman"/>
                <w:sz w:val="22"/>
              </w:rPr>
              <w:t xml:space="preserve">is slightly more important than Criterion </w:t>
            </w:r>
            <w:r w:rsidRPr="002E74DA">
              <w:rPr>
                <w:rFonts w:cs="Times New Roman"/>
                <w:i/>
                <w:iCs/>
                <w:sz w:val="22"/>
              </w:rPr>
              <w:t>j</w:t>
            </w:r>
          </w:p>
        </w:tc>
      </w:tr>
      <w:tr w:rsidR="00BB2459" w:rsidRPr="002E74DA" w14:paraId="0E615E3D" w14:textId="77777777" w:rsidTr="00622AC7">
        <w:tc>
          <w:tcPr>
            <w:tcW w:w="553" w:type="pct"/>
          </w:tcPr>
          <w:p w14:paraId="2B1800E9" w14:textId="77777777" w:rsidR="00BB2459" w:rsidRPr="002E74DA" w:rsidRDefault="00BB2459" w:rsidP="00622AC7">
            <w:pPr>
              <w:jc w:val="center"/>
              <w:rPr>
                <w:rFonts w:cs="Times New Roman"/>
                <w:sz w:val="22"/>
              </w:rPr>
            </w:pPr>
            <w:r w:rsidRPr="002E74DA">
              <w:rPr>
                <w:rFonts w:cs="Times New Roman"/>
                <w:sz w:val="22"/>
              </w:rPr>
              <w:t>5</w:t>
            </w:r>
          </w:p>
        </w:tc>
        <w:tc>
          <w:tcPr>
            <w:tcW w:w="2065" w:type="pct"/>
            <w:vAlign w:val="center"/>
          </w:tcPr>
          <w:p w14:paraId="52E7C47C" w14:textId="77777777" w:rsidR="00BB2459" w:rsidRPr="002E74DA" w:rsidRDefault="00BB2459" w:rsidP="00622AC7">
            <w:pPr>
              <w:rPr>
                <w:rFonts w:cs="Times New Roman"/>
                <w:sz w:val="22"/>
              </w:rPr>
            </w:pPr>
            <w:r w:rsidRPr="002E74DA">
              <w:rPr>
                <w:rFonts w:cs="Times New Roman"/>
                <w:sz w:val="22"/>
              </w:rPr>
              <w:t>Strong importance</w:t>
            </w:r>
          </w:p>
        </w:tc>
        <w:tc>
          <w:tcPr>
            <w:tcW w:w="2382" w:type="pct"/>
          </w:tcPr>
          <w:p w14:paraId="20699AB9" w14:textId="77777777" w:rsidR="00BB2459" w:rsidRPr="002E74DA" w:rsidRDefault="00BB2459" w:rsidP="00622AC7">
            <w:pPr>
              <w:rPr>
                <w:rFonts w:cs="Times New Roman"/>
                <w:sz w:val="22"/>
              </w:rPr>
            </w:pPr>
            <w:r w:rsidRPr="002E74DA">
              <w:rPr>
                <w:rFonts w:cs="Times New Roman"/>
                <w:sz w:val="22"/>
              </w:rPr>
              <w:t xml:space="preserve">Criterion </w:t>
            </w:r>
            <w:proofErr w:type="spellStart"/>
            <w:r w:rsidRPr="002E74DA">
              <w:rPr>
                <w:rFonts w:cs="Times New Roman"/>
                <w:i/>
                <w:iCs/>
                <w:sz w:val="22"/>
              </w:rPr>
              <w:t>i</w:t>
            </w:r>
            <w:proofErr w:type="spellEnd"/>
            <w:r w:rsidRPr="002E74DA">
              <w:rPr>
                <w:rFonts w:cs="Times New Roman"/>
                <w:sz w:val="22"/>
              </w:rPr>
              <w:t xml:space="preserve"> is more important than Criterion </w:t>
            </w:r>
            <w:r w:rsidRPr="002E74DA">
              <w:rPr>
                <w:rFonts w:cs="Times New Roman"/>
                <w:i/>
                <w:iCs/>
                <w:sz w:val="22"/>
              </w:rPr>
              <w:t>j</w:t>
            </w:r>
          </w:p>
        </w:tc>
      </w:tr>
      <w:tr w:rsidR="00BB2459" w:rsidRPr="002E74DA" w14:paraId="7885F880" w14:textId="77777777" w:rsidTr="00622AC7">
        <w:tc>
          <w:tcPr>
            <w:tcW w:w="553" w:type="pct"/>
          </w:tcPr>
          <w:p w14:paraId="4868F206" w14:textId="77777777" w:rsidR="00BB2459" w:rsidRPr="002E74DA" w:rsidRDefault="00BB2459" w:rsidP="00622AC7">
            <w:pPr>
              <w:jc w:val="center"/>
              <w:rPr>
                <w:rFonts w:cs="Times New Roman"/>
                <w:sz w:val="22"/>
              </w:rPr>
            </w:pPr>
            <w:r w:rsidRPr="002E74DA">
              <w:rPr>
                <w:rFonts w:cs="Times New Roman"/>
                <w:sz w:val="22"/>
              </w:rPr>
              <w:t>7</w:t>
            </w:r>
          </w:p>
        </w:tc>
        <w:tc>
          <w:tcPr>
            <w:tcW w:w="2065" w:type="pct"/>
            <w:vAlign w:val="center"/>
          </w:tcPr>
          <w:p w14:paraId="7D199BEE" w14:textId="77777777" w:rsidR="00BB2459" w:rsidRPr="002E74DA" w:rsidRDefault="00BB2459" w:rsidP="00622AC7">
            <w:pPr>
              <w:rPr>
                <w:rFonts w:cs="Times New Roman"/>
                <w:sz w:val="22"/>
              </w:rPr>
            </w:pPr>
            <w:r w:rsidRPr="002E74DA">
              <w:rPr>
                <w:rFonts w:cs="Times New Roman"/>
                <w:sz w:val="22"/>
              </w:rPr>
              <w:t>Very strong importance</w:t>
            </w:r>
          </w:p>
        </w:tc>
        <w:tc>
          <w:tcPr>
            <w:tcW w:w="2382" w:type="pct"/>
          </w:tcPr>
          <w:p w14:paraId="5A7FEBCD" w14:textId="77777777" w:rsidR="00BB2459" w:rsidRPr="002E74DA" w:rsidRDefault="00BB2459" w:rsidP="00622AC7">
            <w:pPr>
              <w:rPr>
                <w:rFonts w:cs="Times New Roman"/>
                <w:sz w:val="22"/>
              </w:rPr>
            </w:pPr>
            <w:r w:rsidRPr="002E74DA">
              <w:rPr>
                <w:rFonts w:cs="Times New Roman"/>
                <w:sz w:val="22"/>
              </w:rPr>
              <w:t xml:space="preserve">Criterion </w:t>
            </w:r>
            <w:proofErr w:type="spellStart"/>
            <w:r w:rsidRPr="002E74DA">
              <w:rPr>
                <w:rFonts w:cs="Times New Roman"/>
                <w:i/>
                <w:iCs/>
                <w:sz w:val="22"/>
              </w:rPr>
              <w:t>i</w:t>
            </w:r>
            <w:proofErr w:type="spellEnd"/>
            <w:r w:rsidRPr="002E74DA">
              <w:rPr>
                <w:rFonts w:cs="Times New Roman"/>
                <w:i/>
                <w:iCs/>
                <w:sz w:val="22"/>
              </w:rPr>
              <w:t xml:space="preserve"> </w:t>
            </w:r>
            <w:r w:rsidRPr="002E74DA">
              <w:rPr>
                <w:rFonts w:cs="Times New Roman"/>
                <w:sz w:val="22"/>
              </w:rPr>
              <w:t xml:space="preserve">is much more important than Criterion </w:t>
            </w:r>
            <w:r w:rsidRPr="002E74DA">
              <w:rPr>
                <w:rFonts w:cs="Times New Roman"/>
                <w:i/>
                <w:iCs/>
                <w:sz w:val="22"/>
              </w:rPr>
              <w:t>j</w:t>
            </w:r>
          </w:p>
        </w:tc>
      </w:tr>
      <w:tr w:rsidR="00BB2459" w:rsidRPr="002E74DA" w14:paraId="14A31838" w14:textId="77777777" w:rsidTr="00622AC7">
        <w:tc>
          <w:tcPr>
            <w:tcW w:w="553" w:type="pct"/>
          </w:tcPr>
          <w:p w14:paraId="469B4F52" w14:textId="77777777" w:rsidR="00BB2459" w:rsidRPr="002E74DA" w:rsidRDefault="00BB2459" w:rsidP="00622AC7">
            <w:pPr>
              <w:jc w:val="center"/>
              <w:rPr>
                <w:rFonts w:cs="Times New Roman"/>
                <w:sz w:val="22"/>
              </w:rPr>
            </w:pPr>
            <w:r w:rsidRPr="002E74DA">
              <w:rPr>
                <w:rFonts w:cs="Times New Roman"/>
                <w:sz w:val="22"/>
              </w:rPr>
              <w:t>9</w:t>
            </w:r>
          </w:p>
        </w:tc>
        <w:tc>
          <w:tcPr>
            <w:tcW w:w="2065" w:type="pct"/>
            <w:vAlign w:val="center"/>
          </w:tcPr>
          <w:p w14:paraId="4F3ECA57" w14:textId="77777777" w:rsidR="00BB2459" w:rsidRPr="002E74DA" w:rsidRDefault="00BB2459" w:rsidP="00622AC7">
            <w:pPr>
              <w:rPr>
                <w:rFonts w:cs="Times New Roman"/>
                <w:sz w:val="22"/>
              </w:rPr>
            </w:pPr>
            <w:r w:rsidRPr="002E74DA">
              <w:rPr>
                <w:rFonts w:cs="Times New Roman"/>
                <w:sz w:val="22"/>
              </w:rPr>
              <w:t>Absolute or extreme importance</w:t>
            </w:r>
          </w:p>
        </w:tc>
        <w:tc>
          <w:tcPr>
            <w:tcW w:w="2382" w:type="pct"/>
          </w:tcPr>
          <w:p w14:paraId="36E5455F" w14:textId="77777777" w:rsidR="00BB2459" w:rsidRPr="002E74DA" w:rsidRDefault="00BB2459" w:rsidP="00622AC7">
            <w:pPr>
              <w:rPr>
                <w:rFonts w:cs="Times New Roman"/>
                <w:sz w:val="22"/>
              </w:rPr>
            </w:pPr>
            <w:r w:rsidRPr="002E74DA">
              <w:rPr>
                <w:rFonts w:cs="Times New Roman"/>
                <w:sz w:val="22"/>
              </w:rPr>
              <w:t xml:space="preserve">Criterion </w:t>
            </w:r>
            <w:proofErr w:type="spellStart"/>
            <w:r w:rsidRPr="002E74DA">
              <w:rPr>
                <w:rFonts w:cs="Times New Roman"/>
                <w:i/>
                <w:iCs/>
                <w:sz w:val="22"/>
              </w:rPr>
              <w:t>i</w:t>
            </w:r>
            <w:proofErr w:type="spellEnd"/>
            <w:r w:rsidRPr="002E74DA">
              <w:rPr>
                <w:rFonts w:cs="Times New Roman"/>
                <w:sz w:val="22"/>
              </w:rPr>
              <w:t xml:space="preserve"> is far more important than Criterion</w:t>
            </w:r>
            <w:r w:rsidRPr="002E74DA">
              <w:rPr>
                <w:rFonts w:cs="Times New Roman"/>
                <w:i/>
                <w:iCs/>
                <w:sz w:val="22"/>
              </w:rPr>
              <w:t xml:space="preserve"> j</w:t>
            </w:r>
          </w:p>
        </w:tc>
      </w:tr>
      <w:tr w:rsidR="00BB2459" w:rsidRPr="002E74DA" w14:paraId="6BB2B4A3" w14:textId="77777777" w:rsidTr="00622AC7">
        <w:tc>
          <w:tcPr>
            <w:tcW w:w="553" w:type="pct"/>
          </w:tcPr>
          <w:p w14:paraId="4FE4D37E" w14:textId="77777777" w:rsidR="00BB2459" w:rsidRPr="002E74DA" w:rsidRDefault="00BB2459" w:rsidP="00622AC7">
            <w:pPr>
              <w:jc w:val="center"/>
              <w:rPr>
                <w:rFonts w:cs="Times New Roman"/>
                <w:sz w:val="22"/>
              </w:rPr>
            </w:pPr>
            <w:r w:rsidRPr="002E74DA">
              <w:rPr>
                <w:rFonts w:cs="Times New Roman"/>
                <w:sz w:val="22"/>
              </w:rPr>
              <w:t>2,4,6,8</w:t>
            </w:r>
          </w:p>
        </w:tc>
        <w:tc>
          <w:tcPr>
            <w:tcW w:w="2065" w:type="pct"/>
            <w:vAlign w:val="center"/>
          </w:tcPr>
          <w:p w14:paraId="189256A0" w14:textId="77777777" w:rsidR="00BB2459" w:rsidRPr="002E74DA" w:rsidRDefault="00BB2459" w:rsidP="00622AC7">
            <w:pPr>
              <w:rPr>
                <w:rFonts w:cs="Times New Roman"/>
                <w:sz w:val="22"/>
              </w:rPr>
            </w:pPr>
            <w:r w:rsidRPr="002E74DA">
              <w:rPr>
                <w:rFonts w:cs="Times New Roman"/>
                <w:sz w:val="22"/>
              </w:rPr>
              <w:t>Intermediate values between two adjacent judgements</w:t>
            </w:r>
          </w:p>
        </w:tc>
        <w:tc>
          <w:tcPr>
            <w:tcW w:w="2382" w:type="pct"/>
          </w:tcPr>
          <w:p w14:paraId="41120766" w14:textId="77777777" w:rsidR="00BB2459" w:rsidRPr="002E74DA" w:rsidRDefault="00BB2459" w:rsidP="00622AC7">
            <w:pPr>
              <w:rPr>
                <w:rFonts w:cs="Times New Roman"/>
                <w:sz w:val="22"/>
              </w:rPr>
            </w:pPr>
          </w:p>
        </w:tc>
      </w:tr>
    </w:tbl>
    <w:p w14:paraId="6A98E2AC" w14:textId="2458330A" w:rsidR="00D10E5F" w:rsidRPr="008F0FDD" w:rsidRDefault="007B5959" w:rsidP="008F0FDD">
      <w:pPr>
        <w:pStyle w:val="Caption"/>
        <w:rPr>
          <w:rFonts w:eastAsia="Times New Roman"/>
          <w:bCs/>
          <w:i w:val="0"/>
          <w:kern w:val="2"/>
          <w:lang w:val="en-US"/>
        </w:rPr>
      </w:pPr>
      <w:bookmarkStart w:id="928" w:name="_Ref45022286"/>
      <w:bookmarkStart w:id="929" w:name="_Toc46053583"/>
      <w:bookmarkStart w:id="930" w:name="_Toc46093832"/>
      <w:bookmarkStart w:id="931" w:name="_Toc66698798"/>
      <w:bookmarkStart w:id="932" w:name="_Ref8576683"/>
      <w:r>
        <w:lastRenderedPageBreak/>
        <w:t>Table</w:t>
      </w:r>
      <w:r w:rsidR="00044DEC">
        <w:t xml:space="preserve"> </w:t>
      </w:r>
      <w:r w:rsidR="000306D9">
        <w:fldChar w:fldCharType="begin"/>
      </w:r>
      <w:r w:rsidR="000306D9">
        <w:instrText xml:space="preserve"> STYLEREF 1 \s </w:instrText>
      </w:r>
      <w:r w:rsidR="000306D9">
        <w:fldChar w:fldCharType="separate"/>
      </w:r>
      <w:r w:rsidR="0005064B">
        <w:rPr>
          <w:noProof/>
        </w:rPr>
        <w:t>6</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5</w:t>
      </w:r>
      <w:r w:rsidR="000306D9">
        <w:rPr>
          <w:noProof/>
        </w:rPr>
        <w:fldChar w:fldCharType="end"/>
      </w:r>
      <w:bookmarkEnd w:id="928"/>
      <w:r w:rsidR="00FB0694">
        <w:t>:</w:t>
      </w:r>
      <w:r w:rsidR="00044DEC">
        <w:t xml:space="preserve"> </w:t>
      </w:r>
      <w:r w:rsidR="00044DEC">
        <w:rPr>
          <w:rFonts w:eastAsia="Times New Roman"/>
          <w:bCs/>
          <w:i w:val="0"/>
          <w:kern w:val="2"/>
          <w:lang w:val="en-US"/>
        </w:rPr>
        <w:t xml:space="preserve">The </w:t>
      </w:r>
      <w:r w:rsidR="00044DEC" w:rsidRPr="00600C0B">
        <w:rPr>
          <w:rFonts w:eastAsia="Times New Roman"/>
          <w:bCs/>
          <w:i w:val="0"/>
          <w:kern w:val="2"/>
          <w:lang w:val="en-US"/>
        </w:rPr>
        <w:t xml:space="preserve">1-9 </w:t>
      </w:r>
      <w:r w:rsidR="00044DEC">
        <w:rPr>
          <w:rFonts w:eastAsia="Times New Roman"/>
          <w:bCs/>
          <w:i w:val="0"/>
          <w:kern w:val="2"/>
          <w:lang w:val="en-US"/>
        </w:rPr>
        <w:t>s</w:t>
      </w:r>
      <w:r w:rsidR="00044DEC" w:rsidRPr="00600C0B">
        <w:rPr>
          <w:rFonts w:eastAsia="Times New Roman"/>
          <w:bCs/>
          <w:i w:val="0"/>
          <w:kern w:val="2"/>
          <w:lang w:val="en-US"/>
        </w:rPr>
        <w:t>cale</w:t>
      </w:r>
      <w:r w:rsidR="00044DEC" w:rsidRPr="00600C0B" w:rsidDel="00147D68">
        <w:rPr>
          <w:rFonts w:eastAsia="Times New Roman"/>
          <w:bCs/>
          <w:i w:val="0"/>
          <w:kern w:val="2"/>
          <w:lang w:val="en-US"/>
        </w:rPr>
        <w:t xml:space="preserve"> </w:t>
      </w:r>
      <w:r w:rsidR="00044DEC">
        <w:rPr>
          <w:rFonts w:eastAsia="Times New Roman"/>
          <w:bCs/>
          <w:i w:val="0"/>
          <w:kern w:val="2"/>
          <w:lang w:val="en-US"/>
        </w:rPr>
        <w:t xml:space="preserve">proposed by </w:t>
      </w:r>
      <w:proofErr w:type="spellStart"/>
      <w:r w:rsidR="00044DEC" w:rsidRPr="00600C0B">
        <w:rPr>
          <w:rFonts w:eastAsia="Times New Roman"/>
          <w:bCs/>
          <w:i w:val="0"/>
          <w:kern w:val="2"/>
          <w:lang w:val="en-US"/>
        </w:rPr>
        <w:t>Saaty</w:t>
      </w:r>
      <w:proofErr w:type="spellEnd"/>
      <w:r w:rsidR="00044DEC">
        <w:rPr>
          <w:rFonts w:eastAsia="Times New Roman"/>
          <w:bCs/>
          <w:i w:val="0"/>
          <w:kern w:val="2"/>
          <w:lang w:val="en-US"/>
        </w:rPr>
        <w:t xml:space="preserve"> (2004)</w:t>
      </w:r>
      <w:bookmarkEnd w:id="929"/>
      <w:bookmarkEnd w:id="930"/>
      <w:bookmarkEnd w:id="931"/>
    </w:p>
    <w:p w14:paraId="4B1D60D5" w14:textId="77777777" w:rsidR="00BB2459" w:rsidRPr="005C3B0E" w:rsidRDefault="00BB2459" w:rsidP="00BB2459">
      <w:pPr>
        <w:shd w:val="clear" w:color="auto" w:fill="FFFFFF"/>
        <w:spacing w:line="360" w:lineRule="auto"/>
        <w:ind w:left="864" w:hanging="864"/>
        <w:rPr>
          <w:rFonts w:eastAsia="等线 Light"/>
        </w:rPr>
      </w:pPr>
      <w:r w:rsidRPr="00A63A93">
        <w:rPr>
          <w:rFonts w:eastAsia="等线 Light"/>
          <w:b/>
          <w:bCs/>
          <w:i/>
          <w:iCs/>
          <w:kern w:val="2"/>
          <w:lang w:val="en-US"/>
        </w:rPr>
        <w:t>3.</w:t>
      </w:r>
      <w:r>
        <w:rPr>
          <w:rFonts w:eastAsia="等线 Light"/>
          <w:b/>
          <w:bCs/>
          <w:i/>
          <w:iCs/>
          <w:kern w:val="2"/>
          <w:lang w:val="en-US"/>
        </w:rPr>
        <w:t>3</w:t>
      </w:r>
      <w:r w:rsidRPr="00A63A93">
        <w:rPr>
          <w:rFonts w:eastAsia="等线 Light"/>
          <w:b/>
          <w:bCs/>
          <w:i/>
          <w:iCs/>
          <w:kern w:val="2"/>
          <w:lang w:val="en-US"/>
        </w:rPr>
        <w:t>.</w:t>
      </w:r>
      <w:r>
        <w:rPr>
          <w:rFonts w:eastAsia="等线 Light"/>
          <w:b/>
          <w:bCs/>
          <w:i/>
          <w:iCs/>
          <w:kern w:val="2"/>
          <w:lang w:val="en-US"/>
        </w:rPr>
        <w:t>2</w:t>
      </w:r>
      <w:r w:rsidRPr="00A63A93">
        <w:rPr>
          <w:rFonts w:eastAsia="等线 Light"/>
          <w:b/>
          <w:bCs/>
          <w:i/>
          <w:iCs/>
          <w:kern w:val="2"/>
          <w:lang w:val="en-US"/>
        </w:rPr>
        <w:t xml:space="preserve"> Correlation </w:t>
      </w:r>
      <w:r>
        <w:rPr>
          <w:rFonts w:eastAsia="等线 Light"/>
          <w:b/>
          <w:bCs/>
          <w:i/>
          <w:iCs/>
          <w:kern w:val="2"/>
          <w:lang w:val="en-US"/>
        </w:rPr>
        <w:t>a</w:t>
      </w:r>
      <w:r w:rsidRPr="00A63A93">
        <w:rPr>
          <w:rFonts w:eastAsia="等线 Light"/>
          <w:b/>
          <w:bCs/>
          <w:i/>
          <w:iCs/>
          <w:kern w:val="2"/>
          <w:lang w:val="en-US"/>
        </w:rPr>
        <w:t>nalysis</w:t>
      </w:r>
    </w:p>
    <w:bookmarkEnd w:id="932"/>
    <w:p w14:paraId="6CD720DD" w14:textId="5B8F38D4" w:rsidR="00BB2459" w:rsidRPr="002C60C1" w:rsidRDefault="00BB2459" w:rsidP="00EC2BE5">
      <w:pPr>
        <w:shd w:val="clear" w:color="auto" w:fill="FFFFFF"/>
        <w:spacing w:after="240" w:line="360" w:lineRule="auto"/>
        <w:rPr>
          <w:rFonts w:eastAsia="等线"/>
        </w:rPr>
      </w:pPr>
      <w:r w:rsidRPr="009903E5">
        <w:rPr>
          <w:rFonts w:eastAsia="等线"/>
        </w:rPr>
        <w:t xml:space="preserve">The overall weight </w:t>
      </w:r>
      <w:r>
        <w:rPr>
          <w:rFonts w:eastAsia="等线"/>
        </w:rPr>
        <w:t xml:space="preserve">of the </w:t>
      </w:r>
      <w:r w:rsidRPr="009903E5">
        <w:rPr>
          <w:rFonts w:eastAsia="等线"/>
        </w:rPr>
        <w:t>indicators</w:t>
      </w:r>
      <w:r>
        <w:rPr>
          <w:rFonts w:eastAsia="等线"/>
        </w:rPr>
        <w:t xml:space="preserve"> was </w:t>
      </w:r>
      <w:r w:rsidRPr="009903E5">
        <w:rPr>
          <w:rFonts w:eastAsia="等线"/>
        </w:rPr>
        <w:t xml:space="preserve">tested to identify </w:t>
      </w:r>
      <w:r>
        <w:rPr>
          <w:rFonts w:eastAsia="等线"/>
        </w:rPr>
        <w:t>any correlation</w:t>
      </w:r>
      <w:r w:rsidRPr="009903E5">
        <w:rPr>
          <w:rFonts w:eastAsia="等线"/>
        </w:rPr>
        <w:t xml:space="preserve"> </w:t>
      </w:r>
      <w:r>
        <w:rPr>
          <w:rFonts w:eastAsia="等线"/>
        </w:rPr>
        <w:t xml:space="preserve">between the </w:t>
      </w:r>
      <w:r w:rsidRPr="009903E5">
        <w:rPr>
          <w:rFonts w:eastAsia="等线"/>
        </w:rPr>
        <w:t>stakeholders’ preference</w:t>
      </w:r>
      <w:r>
        <w:rPr>
          <w:rFonts w:eastAsia="等线"/>
        </w:rPr>
        <w:t>s</w:t>
      </w:r>
      <w:r w:rsidRPr="009903E5">
        <w:rPr>
          <w:rFonts w:eastAsia="等线"/>
        </w:rPr>
        <w:t xml:space="preserve">. First, the value of </w:t>
      </w:r>
      <w:r>
        <w:rPr>
          <w:rFonts w:eastAsia="等线"/>
        </w:rPr>
        <w:t xml:space="preserve">the </w:t>
      </w:r>
      <w:r w:rsidRPr="009903E5">
        <w:rPr>
          <w:rFonts w:eastAsia="等线"/>
        </w:rPr>
        <w:t xml:space="preserve">AHP results </w:t>
      </w:r>
      <w:r>
        <w:rPr>
          <w:rFonts w:eastAsia="等线"/>
        </w:rPr>
        <w:t xml:space="preserve">were </w:t>
      </w:r>
      <w:r w:rsidRPr="009903E5">
        <w:rPr>
          <w:rFonts w:eastAsia="等线"/>
        </w:rPr>
        <w:t xml:space="preserve">converted </w:t>
      </w:r>
      <w:r>
        <w:rPr>
          <w:rFonts w:eastAsia="等线"/>
        </w:rPr>
        <w:t>into</w:t>
      </w:r>
      <w:r w:rsidRPr="009903E5">
        <w:rPr>
          <w:rFonts w:eastAsia="等线"/>
        </w:rPr>
        <w:t xml:space="preserve"> rank values. Second, Kendall’s tau and Spearman’s </w:t>
      </w:r>
      <w:r>
        <w:rPr>
          <w:rFonts w:eastAsia="等线"/>
        </w:rPr>
        <w:t xml:space="preserve">rank </w:t>
      </w:r>
      <w:r w:rsidRPr="009903E5">
        <w:rPr>
          <w:rFonts w:eastAsia="等线"/>
        </w:rPr>
        <w:t>correlation coefficient</w:t>
      </w:r>
      <w:r>
        <w:rPr>
          <w:rFonts w:eastAsia="等线"/>
        </w:rPr>
        <w:t>s</w:t>
      </w:r>
      <w:r w:rsidRPr="009903E5">
        <w:rPr>
          <w:rFonts w:eastAsia="等线"/>
        </w:rPr>
        <w:t xml:space="preserve"> </w:t>
      </w:r>
      <w:r>
        <w:rPr>
          <w:rFonts w:eastAsia="等线"/>
        </w:rPr>
        <w:t xml:space="preserve">were </w:t>
      </w:r>
      <w:r w:rsidRPr="009903E5">
        <w:rPr>
          <w:rFonts w:eastAsia="等线"/>
        </w:rPr>
        <w:t xml:space="preserve">used to test the correlation </w:t>
      </w:r>
      <w:r>
        <w:rPr>
          <w:rFonts w:eastAsia="等线"/>
        </w:rPr>
        <w:t>between the rankings</w:t>
      </w:r>
      <w:r w:rsidRPr="009903E5">
        <w:rPr>
          <w:rFonts w:eastAsia="等线"/>
        </w:rPr>
        <w:t xml:space="preserve">. Kendall's tau measures the </w:t>
      </w:r>
      <w:r>
        <w:rPr>
          <w:rFonts w:eastAsia="等线"/>
        </w:rPr>
        <w:t>‘</w:t>
      </w:r>
      <w:r w:rsidRPr="009903E5">
        <w:rPr>
          <w:rFonts w:eastAsia="等线"/>
        </w:rPr>
        <w:t>inversions</w:t>
      </w:r>
      <w:r>
        <w:rPr>
          <w:rFonts w:eastAsia="等线"/>
        </w:rPr>
        <w:t>’</w:t>
      </w:r>
      <w:r w:rsidRPr="009903E5">
        <w:rPr>
          <w:rFonts w:eastAsia="等线"/>
        </w:rPr>
        <w:t xml:space="preserve"> in two rankings (i.e., in the first ranking, a is ranked before b</w:t>
      </w:r>
      <w:r>
        <w:rPr>
          <w:rFonts w:eastAsia="等线"/>
        </w:rPr>
        <w:t>, and</w:t>
      </w:r>
      <w:r w:rsidRPr="009903E5">
        <w:rPr>
          <w:rFonts w:eastAsia="等线"/>
        </w:rPr>
        <w:t xml:space="preserve"> in the second ranking, b is ranked before a</w:t>
      </w:r>
      <w:r>
        <w:rPr>
          <w:rFonts w:eastAsia="等线"/>
        </w:rPr>
        <w:t xml:space="preserve"> –</w:t>
      </w:r>
      <w:r w:rsidRPr="009903E5">
        <w:rPr>
          <w:rFonts w:eastAsia="等线"/>
        </w:rPr>
        <w:t xml:space="preserve"> regardless of the distances between such elements)</w:t>
      </w:r>
      <w:r>
        <w:rPr>
          <w:rFonts w:eastAsia="等线"/>
        </w:rPr>
        <w:t>.</w:t>
      </w:r>
      <w:r w:rsidRPr="009903E5">
        <w:rPr>
          <w:rFonts w:eastAsia="等线"/>
        </w:rPr>
        <w:t xml:space="preserve"> Spearman's rho measures the </w:t>
      </w:r>
      <w:r>
        <w:rPr>
          <w:rFonts w:eastAsia="等线"/>
        </w:rPr>
        <w:t>‘</w:t>
      </w:r>
      <w:r w:rsidRPr="009903E5">
        <w:rPr>
          <w:rFonts w:eastAsia="等线"/>
        </w:rPr>
        <w:t>distance</w:t>
      </w:r>
      <w:r>
        <w:rPr>
          <w:rFonts w:eastAsia="等线"/>
        </w:rPr>
        <w:t>’</w:t>
      </w:r>
      <w:r w:rsidRPr="009903E5">
        <w:rPr>
          <w:rFonts w:eastAsia="等线"/>
        </w:rPr>
        <w:t xml:space="preserve"> between elements (i.e., </w:t>
      </w:r>
      <w:r>
        <w:rPr>
          <w:rFonts w:eastAsia="等线"/>
        </w:rPr>
        <w:t xml:space="preserve">the </w:t>
      </w:r>
      <w:r w:rsidRPr="009903E5">
        <w:rPr>
          <w:rFonts w:eastAsia="等线"/>
        </w:rPr>
        <w:t>number of places of difference between two elements in a ranking).</w:t>
      </w:r>
    </w:p>
    <w:p w14:paraId="1414A397" w14:textId="173AE4F8" w:rsidR="00BB2459" w:rsidRPr="00AC15E5" w:rsidRDefault="00BB2459" w:rsidP="00BB2459">
      <w:pPr>
        <w:pStyle w:val="Heading3"/>
      </w:pPr>
      <w:bookmarkStart w:id="933" w:name="_Toc46053479"/>
      <w:bookmarkStart w:id="934" w:name="_Toc46093393"/>
      <w:bookmarkStart w:id="935" w:name="_Toc46093676"/>
      <w:bookmarkStart w:id="936" w:name="_Toc66703252"/>
      <w:r>
        <w:t>Thematic analysis</w:t>
      </w:r>
      <w:bookmarkEnd w:id="933"/>
      <w:bookmarkEnd w:id="934"/>
      <w:bookmarkEnd w:id="935"/>
      <w:bookmarkEnd w:id="936"/>
    </w:p>
    <w:p w14:paraId="76D4A182" w14:textId="6BCE2D1F" w:rsidR="00BB2459" w:rsidRPr="00B70E15" w:rsidRDefault="00BB2459" w:rsidP="00BB2459">
      <w:pPr>
        <w:spacing w:line="360" w:lineRule="auto"/>
      </w:pPr>
      <w:r>
        <w:rPr>
          <w:rFonts w:eastAsia="等线" w:hint="eastAsia"/>
        </w:rPr>
        <w:t>T</w:t>
      </w:r>
      <w:r w:rsidRPr="00537B20">
        <w:rPr>
          <w:rFonts w:eastAsia="等线"/>
        </w:rPr>
        <w:t>hematic analys</w:t>
      </w:r>
      <w:r>
        <w:rPr>
          <w:rFonts w:eastAsia="等线"/>
        </w:rPr>
        <w:t>e</w:t>
      </w:r>
      <w:r w:rsidRPr="00537B20">
        <w:rPr>
          <w:rFonts w:eastAsia="等线"/>
        </w:rPr>
        <w:t xml:space="preserve">s </w:t>
      </w:r>
      <w:r>
        <w:rPr>
          <w:rFonts w:eastAsia="等线"/>
        </w:rPr>
        <w:t xml:space="preserve">were conducted to illuminate the causes of the insignificant or negative correlations between each pair of stakeholders in the different cases. This was intended to reveal </w:t>
      </w:r>
      <w:r w:rsidRPr="00537B20">
        <w:rPr>
          <w:rFonts w:eastAsia="等线"/>
        </w:rPr>
        <w:t xml:space="preserve">the conflicts between </w:t>
      </w:r>
      <w:r>
        <w:rPr>
          <w:rFonts w:eastAsia="等线"/>
        </w:rPr>
        <w:t xml:space="preserve">the </w:t>
      </w:r>
      <w:r w:rsidRPr="00537B20">
        <w:rPr>
          <w:rFonts w:eastAsia="等线"/>
        </w:rPr>
        <w:t>pair</w:t>
      </w:r>
      <w:r>
        <w:rPr>
          <w:rFonts w:eastAsia="等线"/>
        </w:rPr>
        <w:t>s</w:t>
      </w:r>
      <w:r w:rsidRPr="00537B20">
        <w:rPr>
          <w:rFonts w:eastAsia="等线"/>
        </w:rPr>
        <w:t xml:space="preserve"> of stakeholders and the reasons </w:t>
      </w:r>
      <w:r>
        <w:rPr>
          <w:rFonts w:eastAsia="等线"/>
        </w:rPr>
        <w:t xml:space="preserve">for </w:t>
      </w:r>
      <w:r w:rsidRPr="00537B20">
        <w:rPr>
          <w:rFonts w:eastAsia="等线"/>
        </w:rPr>
        <w:t>such conflicts</w:t>
      </w:r>
      <w:r>
        <w:rPr>
          <w:rFonts w:eastAsia="等线"/>
        </w:rPr>
        <w:t xml:space="preserve">. </w:t>
      </w:r>
      <w:r w:rsidRPr="00537B20">
        <w:t xml:space="preserve">All the themes and their sub-themes </w:t>
      </w:r>
      <w:r>
        <w:t>we</w:t>
      </w:r>
      <w:r w:rsidRPr="00537B20">
        <w:t xml:space="preserve">re </w:t>
      </w:r>
      <w:r>
        <w:t xml:space="preserve">defined based on the indicators which are prior to the data analysis. </w:t>
      </w:r>
      <w:r>
        <w:rPr>
          <w:rFonts w:hint="eastAsia"/>
        </w:rPr>
        <w:t>Under</w:t>
      </w:r>
      <w:r>
        <w:t xml:space="preserve"> this framework, </w:t>
      </w:r>
      <w:r>
        <w:rPr>
          <w:rFonts w:eastAsia="等线"/>
        </w:rPr>
        <w:t>the selected indicators were set as primary themes. Two sub-themes were drawn from each indicator: (1) the performance of the UCC on the indicator, and (2) the stakeholders’ opinions of this indicator.</w:t>
      </w:r>
      <w:r>
        <w:t xml:space="preserve"> </w:t>
      </w:r>
      <w:r w:rsidRPr="00537B20">
        <w:t xml:space="preserve">The qualitative data from the interview </w:t>
      </w:r>
      <w:r>
        <w:t>were coded in</w:t>
      </w:r>
      <w:r w:rsidRPr="00537B20">
        <w:t>to relevant sub-themes</w:t>
      </w:r>
      <w:r>
        <w:t>.</w:t>
      </w:r>
      <w:r>
        <w:rPr>
          <w:rFonts w:hint="eastAsia"/>
        </w:rPr>
        <w:t xml:space="preserve"> </w:t>
      </w:r>
      <w:r>
        <w:t>A</w:t>
      </w:r>
      <w:r w:rsidRPr="00537B20">
        <w:t xml:space="preserve"> comparative analysis </w:t>
      </w:r>
      <w:r>
        <w:t xml:space="preserve">was conducted </w:t>
      </w:r>
      <w:r w:rsidRPr="00537B20">
        <w:t>to identify the conflicts between stakeholders</w:t>
      </w:r>
      <w:r>
        <w:t xml:space="preserve"> in each indicator</w:t>
      </w:r>
      <w:r w:rsidRPr="00537B20">
        <w:t xml:space="preserve">. </w:t>
      </w:r>
      <w:r>
        <w:t>F</w:t>
      </w:r>
      <w:r w:rsidRPr="00537B20">
        <w:t xml:space="preserve">irst, in each case, two stakeholders </w:t>
      </w:r>
      <w:r>
        <w:t>were paired</w:t>
      </w:r>
      <w:r w:rsidRPr="00537B20">
        <w:t xml:space="preserve">. </w:t>
      </w:r>
      <w:r>
        <w:t xml:space="preserve">For </w:t>
      </w:r>
      <w:r w:rsidRPr="00537B20">
        <w:t>each theme, the</w:t>
      </w:r>
      <w:r>
        <w:t xml:space="preserve"> stakeholders’</w:t>
      </w:r>
      <w:r w:rsidRPr="00537B20">
        <w:t xml:space="preserve"> opinions about the sub-themes and their ranks on the indicators </w:t>
      </w:r>
      <w:r>
        <w:t xml:space="preserve">were then compared </w:t>
      </w:r>
      <w:r w:rsidRPr="00537B20">
        <w:t xml:space="preserve">to </w:t>
      </w:r>
      <w:r>
        <w:t xml:space="preserve">identify any </w:t>
      </w:r>
      <w:r w:rsidRPr="00537B20">
        <w:t xml:space="preserve">differences. Finally, </w:t>
      </w:r>
      <w:r>
        <w:t xml:space="preserve">the </w:t>
      </w:r>
      <w:r w:rsidRPr="00537B20">
        <w:t xml:space="preserve">stakeholder conflicts </w:t>
      </w:r>
      <w:r>
        <w:t xml:space="preserve">were </w:t>
      </w:r>
      <w:r>
        <w:rPr>
          <w:rFonts w:hint="eastAsia"/>
        </w:rPr>
        <w:t>identified</w:t>
      </w:r>
      <w:r w:rsidRPr="00537B20">
        <w:t xml:space="preserve"> from these differences. </w:t>
      </w:r>
      <w:r w:rsidR="00D66FFA">
        <w:fldChar w:fldCharType="begin"/>
      </w:r>
      <w:r w:rsidR="00D66FFA">
        <w:instrText xml:space="preserve"> REF _Ref45022337 \h </w:instrText>
      </w:r>
      <w:r w:rsidR="00D66FFA">
        <w:fldChar w:fldCharType="separate"/>
      </w:r>
      <w:r w:rsidR="0005064B">
        <w:t xml:space="preserve">Figure </w:t>
      </w:r>
      <w:r w:rsidR="0005064B">
        <w:rPr>
          <w:noProof/>
        </w:rPr>
        <w:t>6</w:t>
      </w:r>
      <w:r w:rsidR="0005064B">
        <w:noBreakHyphen/>
      </w:r>
      <w:r w:rsidR="0005064B">
        <w:rPr>
          <w:noProof/>
        </w:rPr>
        <w:t>3</w:t>
      </w:r>
      <w:r w:rsidR="00D66FFA">
        <w:fldChar w:fldCharType="end"/>
      </w:r>
      <w:r>
        <w:t xml:space="preserve"> provides a </w:t>
      </w:r>
      <w:r w:rsidRPr="00537B20">
        <w:t>schemati</w:t>
      </w:r>
      <w:r>
        <w:t>c</w:t>
      </w:r>
      <w:r w:rsidRPr="00537B20">
        <w:t xml:space="preserve"> </w:t>
      </w:r>
      <w:r>
        <w:t xml:space="preserve">of </w:t>
      </w:r>
      <w:r w:rsidRPr="00537B20">
        <w:t xml:space="preserve">the comparative analysis approach. </w:t>
      </w:r>
      <w:r>
        <w:t xml:space="preserve">           </w:t>
      </w:r>
    </w:p>
    <w:p w14:paraId="5644E745" w14:textId="77777777" w:rsidR="00BB2459" w:rsidRPr="00537B20" w:rsidRDefault="00BB2459" w:rsidP="00BB2459">
      <w:r w:rsidRPr="00507EBC">
        <w:rPr>
          <w:noProof/>
        </w:rPr>
        <w:object w:dxaOrig="10185" w:dyaOrig="5055" w14:anchorId="68574AB9">
          <v:shape id="_x0000_i1042" type="#_x0000_t75" style="width:453.75pt;height:222.95pt" o:ole="">
            <v:imagedata r:id="rId137" o:title=""/>
          </v:shape>
          <o:OLEObject Type="Embed" ProgID="Visio.Drawing.15" ShapeID="_x0000_i1042" DrawAspect="Content" ObjectID="_1681648049" r:id="rId138"/>
        </w:object>
      </w:r>
    </w:p>
    <w:p w14:paraId="587FD805" w14:textId="4BFB309B" w:rsidR="00BB2459" w:rsidRPr="00EC2BE5" w:rsidRDefault="00D66FFA" w:rsidP="00EC2BE5">
      <w:pPr>
        <w:pStyle w:val="Caption"/>
        <w:rPr>
          <w:szCs w:val="24"/>
        </w:rPr>
      </w:pPr>
      <w:bookmarkStart w:id="937" w:name="_Ref45022337"/>
      <w:bookmarkStart w:id="938" w:name="_Toc46053699"/>
      <w:bookmarkStart w:id="939" w:name="_Toc66698730"/>
      <w:r>
        <w:t xml:space="preserve">Figure </w:t>
      </w:r>
      <w:r w:rsidR="000306D9">
        <w:fldChar w:fldCharType="begin"/>
      </w:r>
      <w:r w:rsidR="000306D9">
        <w:instrText xml:space="preserve"> STYLEREF 1 \s </w:instrText>
      </w:r>
      <w:r w:rsidR="000306D9">
        <w:fldChar w:fldCharType="separate"/>
      </w:r>
      <w:r w:rsidR="0005064B">
        <w:rPr>
          <w:noProof/>
        </w:rPr>
        <w:t>6</w:t>
      </w:r>
      <w:r w:rsidR="000306D9">
        <w:rPr>
          <w:noProof/>
        </w:rPr>
        <w:fldChar w:fldCharType="end"/>
      </w:r>
      <w:r w:rsidR="00632993">
        <w:noBreakHyphen/>
      </w:r>
      <w:r w:rsidR="000306D9">
        <w:fldChar w:fldCharType="begin"/>
      </w:r>
      <w:r w:rsidR="000306D9">
        <w:instrText xml:space="preserve"> SEQ Figure \* ARABIC \s 1 </w:instrText>
      </w:r>
      <w:r w:rsidR="000306D9">
        <w:fldChar w:fldCharType="separate"/>
      </w:r>
      <w:r w:rsidR="0005064B">
        <w:rPr>
          <w:noProof/>
        </w:rPr>
        <w:t>3</w:t>
      </w:r>
      <w:r w:rsidR="000306D9">
        <w:rPr>
          <w:noProof/>
        </w:rPr>
        <w:fldChar w:fldCharType="end"/>
      </w:r>
      <w:bookmarkEnd w:id="937"/>
      <w:r w:rsidR="002547EF">
        <w:rPr>
          <w:szCs w:val="24"/>
        </w:rPr>
        <w:t>:</w:t>
      </w:r>
      <w:r w:rsidR="00BB2459">
        <w:rPr>
          <w:szCs w:val="24"/>
        </w:rPr>
        <w:t xml:space="preserve"> </w:t>
      </w:r>
      <w:r w:rsidR="00BB2459" w:rsidRPr="00537B20">
        <w:rPr>
          <w:szCs w:val="24"/>
        </w:rPr>
        <w:t xml:space="preserve">Comparative </w:t>
      </w:r>
      <w:r w:rsidR="00BB2459">
        <w:rPr>
          <w:szCs w:val="24"/>
        </w:rPr>
        <w:t>a</w:t>
      </w:r>
      <w:r w:rsidR="00BB2459" w:rsidRPr="00537B20">
        <w:rPr>
          <w:szCs w:val="24"/>
        </w:rPr>
        <w:t xml:space="preserve">nalysis </w:t>
      </w:r>
      <w:r w:rsidR="00BB2459">
        <w:rPr>
          <w:szCs w:val="24"/>
        </w:rPr>
        <w:t>combining the q</w:t>
      </w:r>
      <w:r w:rsidR="00BB2459" w:rsidRPr="00537B20">
        <w:rPr>
          <w:szCs w:val="24"/>
        </w:rPr>
        <w:t xml:space="preserve">uantitative and </w:t>
      </w:r>
      <w:r w:rsidR="00BB2459">
        <w:rPr>
          <w:szCs w:val="24"/>
        </w:rPr>
        <w:t>q</w:t>
      </w:r>
      <w:r w:rsidR="00BB2459" w:rsidRPr="00537B20">
        <w:rPr>
          <w:szCs w:val="24"/>
        </w:rPr>
        <w:t xml:space="preserve">ualitative </w:t>
      </w:r>
      <w:proofErr w:type="gramStart"/>
      <w:r w:rsidR="00BB2459">
        <w:rPr>
          <w:szCs w:val="24"/>
        </w:rPr>
        <w:t>d</w:t>
      </w:r>
      <w:r w:rsidR="00BB2459" w:rsidRPr="00537B20">
        <w:rPr>
          <w:szCs w:val="24"/>
        </w:rPr>
        <w:t>ata</w:t>
      </w:r>
      <w:bookmarkEnd w:id="938"/>
      <w:bookmarkEnd w:id="939"/>
      <w:proofErr w:type="gramEnd"/>
    </w:p>
    <w:p w14:paraId="3B8F1B19" w14:textId="46855575" w:rsidR="00BB2459" w:rsidRPr="00261EF9" w:rsidRDefault="00BB2459" w:rsidP="00BA0B57">
      <w:pPr>
        <w:pStyle w:val="Heading2"/>
        <w:spacing w:after="120"/>
      </w:pPr>
      <w:bookmarkStart w:id="940" w:name="_Toc46053480"/>
      <w:bookmarkStart w:id="941" w:name="_Toc46093394"/>
      <w:bookmarkStart w:id="942" w:name="_Toc46093677"/>
      <w:bookmarkStart w:id="943" w:name="_Toc66703253"/>
      <w:r w:rsidRPr="00261EF9">
        <w:t>Data analysis</w:t>
      </w:r>
      <w:bookmarkEnd w:id="940"/>
      <w:bookmarkEnd w:id="941"/>
      <w:bookmarkEnd w:id="942"/>
      <w:bookmarkEnd w:id="943"/>
    </w:p>
    <w:p w14:paraId="7C0F5B68" w14:textId="0F7BCCE2" w:rsidR="00BB2459" w:rsidRPr="002B3A7C" w:rsidRDefault="00BB2459" w:rsidP="00EC2BE5">
      <w:pPr>
        <w:spacing w:after="240" w:line="360" w:lineRule="auto"/>
        <w:rPr>
          <w:color w:val="000000"/>
        </w:rPr>
      </w:pPr>
      <w:r>
        <w:rPr>
          <w:color w:val="000000"/>
        </w:rPr>
        <w:t>In this section, t</w:t>
      </w:r>
      <w:r w:rsidRPr="00BF6663">
        <w:rPr>
          <w:color w:val="000000"/>
        </w:rPr>
        <w:t xml:space="preserve">he first step </w:t>
      </w:r>
      <w:r>
        <w:rPr>
          <w:color w:val="000000"/>
        </w:rPr>
        <w:t xml:space="preserve">was </w:t>
      </w:r>
      <w:r w:rsidRPr="00BF6663">
        <w:rPr>
          <w:color w:val="000000"/>
        </w:rPr>
        <w:t xml:space="preserve">to use AHP to quantify the different stakeholder preferences </w:t>
      </w:r>
      <w:r>
        <w:rPr>
          <w:color w:val="000000"/>
        </w:rPr>
        <w:t xml:space="preserve">for UCC </w:t>
      </w:r>
      <w:r w:rsidRPr="00BF6663">
        <w:rPr>
          <w:color w:val="000000"/>
        </w:rPr>
        <w:t xml:space="preserve">performance into a sequence of ranking values on a set of objective criteria. In the second step, </w:t>
      </w:r>
      <w:r>
        <w:rPr>
          <w:color w:val="000000" w:themeColor="text1"/>
        </w:rPr>
        <w:t xml:space="preserve">these </w:t>
      </w:r>
      <w:r w:rsidRPr="00BF6663">
        <w:rPr>
          <w:color w:val="000000" w:themeColor="text1"/>
        </w:rPr>
        <w:t xml:space="preserve">ranking values </w:t>
      </w:r>
      <w:r>
        <w:rPr>
          <w:color w:val="000000" w:themeColor="text1"/>
        </w:rPr>
        <w:t xml:space="preserve">were </w:t>
      </w:r>
      <w:r w:rsidRPr="00BF6663">
        <w:rPr>
          <w:color w:val="000000" w:themeColor="text1"/>
        </w:rPr>
        <w:t xml:space="preserve">processed </w:t>
      </w:r>
      <w:r>
        <w:rPr>
          <w:color w:val="000000" w:themeColor="text1"/>
        </w:rPr>
        <w:t xml:space="preserve">using </w:t>
      </w:r>
      <w:r w:rsidRPr="00BF6663">
        <w:rPr>
          <w:color w:val="000000" w:themeColor="text1"/>
        </w:rPr>
        <w:t xml:space="preserve">Kendall’s </w:t>
      </w:r>
      <w:r>
        <w:rPr>
          <w:color w:val="000000" w:themeColor="text1"/>
        </w:rPr>
        <w:t>t</w:t>
      </w:r>
      <w:r w:rsidRPr="00BF6663">
        <w:rPr>
          <w:color w:val="000000" w:themeColor="text1"/>
        </w:rPr>
        <w:t xml:space="preserve">au and Spearman’s </w:t>
      </w:r>
      <w:r>
        <w:rPr>
          <w:color w:val="000000" w:themeColor="text1"/>
        </w:rPr>
        <w:t>r</w:t>
      </w:r>
      <w:r w:rsidRPr="00BF6663">
        <w:rPr>
          <w:color w:val="000000" w:themeColor="text1"/>
        </w:rPr>
        <w:t xml:space="preserve">ho coefficients to illustrate the diversity of </w:t>
      </w:r>
      <w:r>
        <w:rPr>
          <w:color w:val="000000" w:themeColor="text1"/>
        </w:rPr>
        <w:t xml:space="preserve">the </w:t>
      </w:r>
      <w:r w:rsidRPr="00BF6663">
        <w:rPr>
          <w:color w:val="000000" w:themeColor="text1"/>
        </w:rPr>
        <w:t>preference</w:t>
      </w:r>
      <w:r>
        <w:rPr>
          <w:color w:val="000000" w:themeColor="text1"/>
        </w:rPr>
        <w:t>s</w:t>
      </w:r>
      <w:r w:rsidRPr="00BF6663">
        <w:rPr>
          <w:color w:val="000000" w:themeColor="text1"/>
        </w:rPr>
        <w:t xml:space="preserve">. </w:t>
      </w:r>
      <w:r w:rsidR="00830976">
        <w:rPr>
          <w:color w:val="000000" w:themeColor="text1"/>
        </w:rPr>
        <w:t>This study</w:t>
      </w:r>
      <w:r>
        <w:rPr>
          <w:color w:val="000000" w:themeColor="text1"/>
        </w:rPr>
        <w:t xml:space="preserve"> then </w:t>
      </w:r>
      <w:r w:rsidRPr="00BF6663">
        <w:rPr>
          <w:color w:val="000000" w:themeColor="text1"/>
        </w:rPr>
        <w:t>combine</w:t>
      </w:r>
      <w:r>
        <w:rPr>
          <w:color w:val="000000" w:themeColor="text1"/>
        </w:rPr>
        <w:t>d</w:t>
      </w:r>
      <w:r w:rsidRPr="00BF6663">
        <w:rPr>
          <w:color w:val="000000" w:themeColor="text1"/>
        </w:rPr>
        <w:t xml:space="preserve"> </w:t>
      </w:r>
      <w:r>
        <w:rPr>
          <w:color w:val="000000" w:themeColor="text1"/>
        </w:rPr>
        <w:t xml:space="preserve">the </w:t>
      </w:r>
      <w:r w:rsidRPr="00BF6663">
        <w:rPr>
          <w:color w:val="000000" w:themeColor="text1"/>
        </w:rPr>
        <w:t>quantitative result</w:t>
      </w:r>
      <w:r>
        <w:rPr>
          <w:color w:val="000000" w:themeColor="text1"/>
        </w:rPr>
        <w:t>s</w:t>
      </w:r>
      <w:r w:rsidRPr="00BF6663">
        <w:rPr>
          <w:color w:val="000000" w:themeColor="text1"/>
        </w:rPr>
        <w:t xml:space="preserve"> with the information </w:t>
      </w:r>
      <w:r>
        <w:rPr>
          <w:color w:val="000000" w:themeColor="text1"/>
        </w:rPr>
        <w:t xml:space="preserve">on </w:t>
      </w:r>
      <w:r w:rsidRPr="00BF6663">
        <w:rPr>
          <w:color w:val="000000" w:themeColor="text1"/>
        </w:rPr>
        <w:t>UCC propert</w:t>
      </w:r>
      <w:r>
        <w:rPr>
          <w:color w:val="000000" w:themeColor="text1"/>
        </w:rPr>
        <w:t>ies</w:t>
      </w:r>
      <w:r w:rsidRPr="00BF6663">
        <w:rPr>
          <w:color w:val="000000" w:themeColor="text1"/>
        </w:rPr>
        <w:t xml:space="preserve"> and stakeholders’ opinions on each </w:t>
      </w:r>
      <w:r>
        <w:rPr>
          <w:color w:val="000000" w:themeColor="text1"/>
        </w:rPr>
        <w:t>of the criteria</w:t>
      </w:r>
      <w:r w:rsidRPr="00BF6663">
        <w:rPr>
          <w:color w:val="000000" w:themeColor="text1"/>
        </w:rPr>
        <w:t xml:space="preserve"> to identify the conflicts in </w:t>
      </w:r>
      <w:r>
        <w:rPr>
          <w:color w:val="000000" w:themeColor="text1"/>
        </w:rPr>
        <w:t xml:space="preserve">the </w:t>
      </w:r>
      <w:r w:rsidRPr="00BF6663">
        <w:rPr>
          <w:color w:val="000000" w:themeColor="text1"/>
        </w:rPr>
        <w:t xml:space="preserve">different cases. </w:t>
      </w:r>
    </w:p>
    <w:p w14:paraId="74329000" w14:textId="7F1A579D" w:rsidR="00BB2459" w:rsidRPr="00AC2DAF" w:rsidRDefault="00BB2459" w:rsidP="00BB2459">
      <w:pPr>
        <w:pStyle w:val="Heading3"/>
      </w:pPr>
      <w:bookmarkStart w:id="944" w:name="_Toc46053481"/>
      <w:bookmarkStart w:id="945" w:name="_Toc46093395"/>
      <w:bookmarkStart w:id="946" w:name="_Toc46093678"/>
      <w:bookmarkStart w:id="947" w:name="_Toc66703254"/>
      <w:r>
        <w:t>Analytic hierarchy process method (AHP) results</w:t>
      </w:r>
      <w:bookmarkEnd w:id="944"/>
      <w:bookmarkEnd w:id="945"/>
      <w:bookmarkEnd w:id="946"/>
      <w:bookmarkEnd w:id="947"/>
    </w:p>
    <w:p w14:paraId="52CB4D81" w14:textId="09F218F2" w:rsidR="00BB2459" w:rsidRDefault="00D10E5F" w:rsidP="00EC2BE5">
      <w:pPr>
        <w:spacing w:after="240" w:line="360" w:lineRule="auto"/>
      </w:pPr>
      <w:r>
        <w:fldChar w:fldCharType="begin"/>
      </w:r>
      <w:r>
        <w:instrText xml:space="preserve"> REF _Ref45022392 \h </w:instrText>
      </w:r>
      <w:r>
        <w:fldChar w:fldCharType="separate"/>
      </w:r>
      <w:r w:rsidR="0005064B">
        <w:t xml:space="preserve">Table </w:t>
      </w:r>
      <w:r w:rsidR="0005064B">
        <w:rPr>
          <w:noProof/>
        </w:rPr>
        <w:t>6</w:t>
      </w:r>
      <w:r w:rsidR="0005064B">
        <w:noBreakHyphen/>
      </w:r>
      <w:r w:rsidR="0005064B">
        <w:rPr>
          <w:noProof/>
        </w:rPr>
        <w:t>6</w:t>
      </w:r>
      <w:r>
        <w:fldChar w:fldCharType="end"/>
      </w:r>
      <w:r>
        <w:t xml:space="preserve"> </w:t>
      </w:r>
      <w:r w:rsidR="00BB2459">
        <w:t xml:space="preserve">presents the views of all the stakeholders regarding the three performance dimensions (the economy, the environment, and social). </w:t>
      </w:r>
      <w:proofErr w:type="gramStart"/>
      <w:r w:rsidR="00BB2459">
        <w:t>It is clear that most</w:t>
      </w:r>
      <w:proofErr w:type="gramEnd"/>
      <w:r w:rsidR="00BB2459">
        <w:t xml:space="preserve"> Swedish stakeholders agreed that the primary objective of the UCC is to mitigate the unintended social and environmental consequences of urban logistics. In contrast, most </w:t>
      </w:r>
      <w:r w:rsidR="00BB2459" w:rsidRPr="00AC15E5">
        <w:t xml:space="preserve">Chinese stakeholders </w:t>
      </w:r>
      <w:r w:rsidR="00BB2459">
        <w:t>stated that</w:t>
      </w:r>
      <w:r w:rsidR="00BB2459" w:rsidRPr="00AC15E5">
        <w:t xml:space="preserve"> the function of </w:t>
      </w:r>
      <w:r w:rsidR="00BB2459">
        <w:t xml:space="preserve">the </w:t>
      </w:r>
      <w:r w:rsidR="00BB2459" w:rsidRPr="00AC15E5">
        <w:t xml:space="preserve">UCC is economic benefit. </w:t>
      </w:r>
      <w:r w:rsidR="00BB2459">
        <w:t>In Case 4, the operator (PM) and university (WHUT) indicated that all three dimensions are equally important.</w:t>
      </w:r>
    </w:p>
    <w:tbl>
      <w:tblPr>
        <w:tblStyle w:val="TableGrid1"/>
        <w:tblW w:w="9016" w:type="dxa"/>
        <w:tblLook w:val="04A0" w:firstRow="1" w:lastRow="0" w:firstColumn="1" w:lastColumn="0" w:noHBand="0" w:noVBand="1"/>
      </w:tblPr>
      <w:tblGrid>
        <w:gridCol w:w="1095"/>
        <w:gridCol w:w="1128"/>
        <w:gridCol w:w="1721"/>
        <w:gridCol w:w="1631"/>
        <w:gridCol w:w="1773"/>
        <w:gridCol w:w="1668"/>
      </w:tblGrid>
      <w:tr w:rsidR="00EC2BE5" w:rsidRPr="002E74DA" w14:paraId="0744BBA7" w14:textId="77777777" w:rsidTr="0051420F">
        <w:trPr>
          <w:trHeight w:val="285"/>
        </w:trPr>
        <w:tc>
          <w:tcPr>
            <w:tcW w:w="1095" w:type="dxa"/>
            <w:noWrap/>
            <w:vAlign w:val="center"/>
            <w:hideMark/>
          </w:tcPr>
          <w:p w14:paraId="586F5A69" w14:textId="77777777" w:rsidR="00EC2BE5" w:rsidRPr="002E74DA" w:rsidRDefault="00EC2BE5" w:rsidP="0051420F">
            <w:pPr>
              <w:spacing w:line="240" w:lineRule="auto"/>
              <w:jc w:val="center"/>
              <w:rPr>
                <w:b/>
                <w:bCs/>
                <w:color w:val="000000"/>
                <w:sz w:val="22"/>
              </w:rPr>
            </w:pPr>
            <w:r w:rsidRPr="002E74DA">
              <w:rPr>
                <w:b/>
                <w:bCs/>
                <w:color w:val="000000"/>
                <w:sz w:val="22"/>
              </w:rPr>
              <w:t>Country</w:t>
            </w:r>
          </w:p>
        </w:tc>
        <w:tc>
          <w:tcPr>
            <w:tcW w:w="1128" w:type="dxa"/>
            <w:noWrap/>
            <w:vAlign w:val="center"/>
            <w:hideMark/>
          </w:tcPr>
          <w:p w14:paraId="42EC4FA0" w14:textId="77777777" w:rsidR="00EC2BE5" w:rsidRPr="002E74DA" w:rsidRDefault="00EC2BE5" w:rsidP="0051420F">
            <w:pPr>
              <w:spacing w:line="240" w:lineRule="auto"/>
              <w:jc w:val="center"/>
              <w:rPr>
                <w:b/>
                <w:bCs/>
                <w:color w:val="000000"/>
                <w:sz w:val="22"/>
              </w:rPr>
            </w:pPr>
            <w:r w:rsidRPr="002E74DA">
              <w:rPr>
                <w:b/>
                <w:bCs/>
                <w:color w:val="000000"/>
                <w:sz w:val="22"/>
              </w:rPr>
              <w:t>Cases</w:t>
            </w:r>
          </w:p>
        </w:tc>
        <w:tc>
          <w:tcPr>
            <w:tcW w:w="1721" w:type="dxa"/>
            <w:noWrap/>
            <w:vAlign w:val="center"/>
            <w:hideMark/>
          </w:tcPr>
          <w:p w14:paraId="7EB79306" w14:textId="77777777" w:rsidR="00EC2BE5" w:rsidRPr="002E74DA" w:rsidRDefault="00EC2BE5" w:rsidP="0051420F">
            <w:pPr>
              <w:spacing w:line="240" w:lineRule="auto"/>
              <w:jc w:val="center"/>
              <w:rPr>
                <w:b/>
                <w:bCs/>
                <w:color w:val="000000"/>
                <w:sz w:val="22"/>
              </w:rPr>
            </w:pPr>
            <w:r w:rsidRPr="002E74DA">
              <w:rPr>
                <w:b/>
                <w:bCs/>
                <w:color w:val="000000"/>
                <w:sz w:val="22"/>
              </w:rPr>
              <w:t>Stakeholders</w:t>
            </w:r>
          </w:p>
        </w:tc>
        <w:tc>
          <w:tcPr>
            <w:tcW w:w="1631" w:type="dxa"/>
            <w:noWrap/>
            <w:vAlign w:val="center"/>
            <w:hideMark/>
          </w:tcPr>
          <w:p w14:paraId="63904E94" w14:textId="77777777" w:rsidR="00EC2BE5" w:rsidRPr="002E74DA" w:rsidRDefault="00EC2BE5" w:rsidP="0051420F">
            <w:pPr>
              <w:spacing w:line="240" w:lineRule="auto"/>
              <w:jc w:val="center"/>
              <w:rPr>
                <w:b/>
                <w:bCs/>
                <w:color w:val="000000"/>
                <w:sz w:val="22"/>
              </w:rPr>
            </w:pPr>
            <w:r w:rsidRPr="002E74DA">
              <w:rPr>
                <w:b/>
                <w:bCs/>
                <w:color w:val="000000"/>
                <w:sz w:val="22"/>
              </w:rPr>
              <w:t>Economy</w:t>
            </w:r>
          </w:p>
        </w:tc>
        <w:tc>
          <w:tcPr>
            <w:tcW w:w="1773" w:type="dxa"/>
            <w:noWrap/>
            <w:vAlign w:val="center"/>
            <w:hideMark/>
          </w:tcPr>
          <w:p w14:paraId="32237848" w14:textId="77777777" w:rsidR="00EC2BE5" w:rsidRPr="002E74DA" w:rsidRDefault="00EC2BE5" w:rsidP="0051420F">
            <w:pPr>
              <w:spacing w:line="240" w:lineRule="auto"/>
              <w:jc w:val="center"/>
              <w:rPr>
                <w:b/>
                <w:bCs/>
                <w:color w:val="000000"/>
                <w:sz w:val="22"/>
              </w:rPr>
            </w:pPr>
            <w:r w:rsidRPr="002E74DA">
              <w:rPr>
                <w:b/>
                <w:bCs/>
                <w:color w:val="000000"/>
                <w:sz w:val="22"/>
              </w:rPr>
              <w:t>Environment</w:t>
            </w:r>
          </w:p>
        </w:tc>
        <w:tc>
          <w:tcPr>
            <w:tcW w:w="1668" w:type="dxa"/>
            <w:noWrap/>
            <w:vAlign w:val="center"/>
            <w:hideMark/>
          </w:tcPr>
          <w:p w14:paraId="15CA26F1" w14:textId="77777777" w:rsidR="00EC2BE5" w:rsidRPr="002E74DA" w:rsidRDefault="00EC2BE5" w:rsidP="0051420F">
            <w:pPr>
              <w:spacing w:line="240" w:lineRule="auto"/>
              <w:jc w:val="center"/>
              <w:rPr>
                <w:b/>
                <w:bCs/>
                <w:color w:val="000000"/>
                <w:sz w:val="22"/>
              </w:rPr>
            </w:pPr>
            <w:r w:rsidRPr="002E74DA">
              <w:rPr>
                <w:b/>
                <w:bCs/>
                <w:color w:val="000000"/>
                <w:sz w:val="22"/>
              </w:rPr>
              <w:t>Society</w:t>
            </w:r>
          </w:p>
        </w:tc>
      </w:tr>
      <w:tr w:rsidR="00EC2BE5" w:rsidRPr="002E74DA" w14:paraId="4A2941F9" w14:textId="77777777" w:rsidTr="0051420F">
        <w:trPr>
          <w:trHeight w:val="285"/>
        </w:trPr>
        <w:tc>
          <w:tcPr>
            <w:tcW w:w="1095" w:type="dxa"/>
            <w:vMerge w:val="restart"/>
            <w:noWrap/>
            <w:vAlign w:val="center"/>
            <w:hideMark/>
          </w:tcPr>
          <w:p w14:paraId="72DFAFCF" w14:textId="77777777" w:rsidR="00EC2BE5" w:rsidRPr="002E74DA" w:rsidRDefault="00EC2BE5" w:rsidP="0051420F">
            <w:pPr>
              <w:spacing w:line="240" w:lineRule="auto"/>
              <w:jc w:val="center"/>
              <w:rPr>
                <w:color w:val="000000"/>
                <w:sz w:val="22"/>
              </w:rPr>
            </w:pPr>
            <w:r w:rsidRPr="002E74DA">
              <w:rPr>
                <w:color w:val="000000"/>
                <w:sz w:val="22"/>
              </w:rPr>
              <w:t>Sweden</w:t>
            </w:r>
          </w:p>
        </w:tc>
        <w:tc>
          <w:tcPr>
            <w:tcW w:w="1128" w:type="dxa"/>
            <w:vMerge w:val="restart"/>
            <w:noWrap/>
            <w:vAlign w:val="center"/>
            <w:hideMark/>
          </w:tcPr>
          <w:p w14:paraId="0A68969B" w14:textId="77777777" w:rsidR="00EC2BE5" w:rsidRPr="002E74DA" w:rsidRDefault="00EC2BE5" w:rsidP="0051420F">
            <w:pPr>
              <w:spacing w:line="240" w:lineRule="auto"/>
              <w:jc w:val="center"/>
              <w:rPr>
                <w:color w:val="000000"/>
                <w:sz w:val="22"/>
              </w:rPr>
            </w:pPr>
            <w:r w:rsidRPr="002E74DA">
              <w:rPr>
                <w:color w:val="000000"/>
                <w:sz w:val="22"/>
              </w:rPr>
              <w:t>Case 1</w:t>
            </w:r>
          </w:p>
        </w:tc>
        <w:tc>
          <w:tcPr>
            <w:tcW w:w="1721" w:type="dxa"/>
            <w:noWrap/>
            <w:hideMark/>
          </w:tcPr>
          <w:p w14:paraId="69667C44" w14:textId="77777777" w:rsidR="00EC2BE5" w:rsidRPr="002E74DA" w:rsidRDefault="00EC2BE5" w:rsidP="0051420F">
            <w:pPr>
              <w:spacing w:line="240" w:lineRule="auto"/>
              <w:rPr>
                <w:color w:val="000000"/>
                <w:sz w:val="22"/>
              </w:rPr>
            </w:pPr>
            <w:r w:rsidRPr="002E74DA">
              <w:rPr>
                <w:color w:val="000000"/>
                <w:sz w:val="22"/>
              </w:rPr>
              <w:t>SS</w:t>
            </w:r>
          </w:p>
        </w:tc>
        <w:tc>
          <w:tcPr>
            <w:tcW w:w="1631" w:type="dxa"/>
            <w:noWrap/>
            <w:hideMark/>
          </w:tcPr>
          <w:p w14:paraId="1BBA333E" w14:textId="77777777" w:rsidR="00EC2BE5" w:rsidRPr="002E74DA" w:rsidRDefault="00EC2BE5" w:rsidP="0051420F">
            <w:pPr>
              <w:spacing w:line="240" w:lineRule="auto"/>
              <w:jc w:val="right"/>
              <w:rPr>
                <w:sz w:val="22"/>
              </w:rPr>
            </w:pPr>
            <w:r w:rsidRPr="002E74DA">
              <w:rPr>
                <w:sz w:val="22"/>
              </w:rPr>
              <w:t>0.09</w:t>
            </w:r>
          </w:p>
        </w:tc>
        <w:tc>
          <w:tcPr>
            <w:tcW w:w="1773" w:type="dxa"/>
            <w:noWrap/>
            <w:hideMark/>
          </w:tcPr>
          <w:p w14:paraId="514C92A3" w14:textId="77777777" w:rsidR="00EC2BE5" w:rsidRPr="002E74DA" w:rsidRDefault="00EC2BE5" w:rsidP="0051420F">
            <w:pPr>
              <w:spacing w:line="240" w:lineRule="auto"/>
              <w:jc w:val="right"/>
              <w:rPr>
                <w:sz w:val="22"/>
              </w:rPr>
            </w:pPr>
            <w:r w:rsidRPr="002E74DA">
              <w:rPr>
                <w:sz w:val="22"/>
              </w:rPr>
              <w:t>0.46</w:t>
            </w:r>
          </w:p>
        </w:tc>
        <w:tc>
          <w:tcPr>
            <w:tcW w:w="1668" w:type="dxa"/>
            <w:noWrap/>
            <w:hideMark/>
          </w:tcPr>
          <w:p w14:paraId="01A24B23" w14:textId="77777777" w:rsidR="00EC2BE5" w:rsidRPr="002E74DA" w:rsidRDefault="00EC2BE5" w:rsidP="0051420F">
            <w:pPr>
              <w:spacing w:line="240" w:lineRule="auto"/>
              <w:jc w:val="right"/>
              <w:rPr>
                <w:sz w:val="22"/>
              </w:rPr>
            </w:pPr>
            <w:r w:rsidRPr="002E74DA">
              <w:rPr>
                <w:sz w:val="22"/>
              </w:rPr>
              <w:t>0.45</w:t>
            </w:r>
          </w:p>
        </w:tc>
      </w:tr>
      <w:tr w:rsidR="00EC2BE5" w:rsidRPr="002E74DA" w14:paraId="09D4A10A" w14:textId="77777777" w:rsidTr="0051420F">
        <w:trPr>
          <w:trHeight w:val="285"/>
        </w:trPr>
        <w:tc>
          <w:tcPr>
            <w:tcW w:w="1095" w:type="dxa"/>
            <w:vMerge/>
            <w:vAlign w:val="center"/>
            <w:hideMark/>
          </w:tcPr>
          <w:p w14:paraId="2BD4D982" w14:textId="77777777" w:rsidR="00EC2BE5" w:rsidRPr="002E74DA" w:rsidRDefault="00EC2BE5" w:rsidP="0051420F">
            <w:pPr>
              <w:spacing w:line="240" w:lineRule="auto"/>
              <w:jc w:val="center"/>
              <w:rPr>
                <w:color w:val="000000"/>
                <w:sz w:val="22"/>
              </w:rPr>
            </w:pPr>
          </w:p>
        </w:tc>
        <w:tc>
          <w:tcPr>
            <w:tcW w:w="1128" w:type="dxa"/>
            <w:vMerge/>
            <w:vAlign w:val="center"/>
            <w:hideMark/>
          </w:tcPr>
          <w:p w14:paraId="1FA90C52" w14:textId="77777777" w:rsidR="00EC2BE5" w:rsidRPr="002E74DA" w:rsidRDefault="00EC2BE5" w:rsidP="0051420F">
            <w:pPr>
              <w:spacing w:line="240" w:lineRule="auto"/>
              <w:jc w:val="center"/>
              <w:rPr>
                <w:color w:val="000000"/>
                <w:sz w:val="22"/>
              </w:rPr>
            </w:pPr>
          </w:p>
        </w:tc>
        <w:tc>
          <w:tcPr>
            <w:tcW w:w="1721" w:type="dxa"/>
            <w:noWrap/>
            <w:hideMark/>
          </w:tcPr>
          <w:p w14:paraId="334A7331" w14:textId="77777777" w:rsidR="00EC2BE5" w:rsidRPr="002E74DA" w:rsidRDefault="00EC2BE5" w:rsidP="0051420F">
            <w:pPr>
              <w:spacing w:line="240" w:lineRule="auto"/>
              <w:rPr>
                <w:color w:val="000000"/>
                <w:sz w:val="22"/>
              </w:rPr>
            </w:pPr>
            <w:r w:rsidRPr="002E74DA">
              <w:rPr>
                <w:color w:val="000000"/>
                <w:sz w:val="22"/>
              </w:rPr>
              <w:t>WCC</w:t>
            </w:r>
          </w:p>
        </w:tc>
        <w:tc>
          <w:tcPr>
            <w:tcW w:w="1631" w:type="dxa"/>
            <w:noWrap/>
            <w:hideMark/>
          </w:tcPr>
          <w:p w14:paraId="4A31EAA1" w14:textId="77777777" w:rsidR="00EC2BE5" w:rsidRPr="002E74DA" w:rsidRDefault="00EC2BE5" w:rsidP="0051420F">
            <w:pPr>
              <w:spacing w:line="240" w:lineRule="auto"/>
              <w:jc w:val="right"/>
              <w:rPr>
                <w:sz w:val="22"/>
              </w:rPr>
            </w:pPr>
            <w:r w:rsidRPr="002E74DA">
              <w:rPr>
                <w:sz w:val="22"/>
              </w:rPr>
              <w:t>0.15</w:t>
            </w:r>
          </w:p>
        </w:tc>
        <w:tc>
          <w:tcPr>
            <w:tcW w:w="1773" w:type="dxa"/>
            <w:noWrap/>
            <w:hideMark/>
          </w:tcPr>
          <w:p w14:paraId="7802F56E" w14:textId="77777777" w:rsidR="00EC2BE5" w:rsidRPr="002E74DA" w:rsidRDefault="00EC2BE5" w:rsidP="0051420F">
            <w:pPr>
              <w:spacing w:line="240" w:lineRule="auto"/>
              <w:jc w:val="right"/>
              <w:rPr>
                <w:sz w:val="22"/>
              </w:rPr>
            </w:pPr>
            <w:r w:rsidRPr="002E74DA">
              <w:rPr>
                <w:sz w:val="22"/>
              </w:rPr>
              <w:t>0.69</w:t>
            </w:r>
          </w:p>
        </w:tc>
        <w:tc>
          <w:tcPr>
            <w:tcW w:w="1668" w:type="dxa"/>
            <w:noWrap/>
            <w:hideMark/>
          </w:tcPr>
          <w:p w14:paraId="248E8016" w14:textId="77777777" w:rsidR="00EC2BE5" w:rsidRPr="002E74DA" w:rsidRDefault="00EC2BE5" w:rsidP="0051420F">
            <w:pPr>
              <w:spacing w:line="240" w:lineRule="auto"/>
              <w:jc w:val="right"/>
              <w:rPr>
                <w:sz w:val="22"/>
              </w:rPr>
            </w:pPr>
            <w:r w:rsidRPr="002E74DA">
              <w:rPr>
                <w:sz w:val="22"/>
              </w:rPr>
              <w:t>0.16</w:t>
            </w:r>
          </w:p>
        </w:tc>
      </w:tr>
      <w:tr w:rsidR="00EC2BE5" w:rsidRPr="002E74DA" w14:paraId="0D4B2EF9" w14:textId="77777777" w:rsidTr="0051420F">
        <w:trPr>
          <w:trHeight w:val="285"/>
        </w:trPr>
        <w:tc>
          <w:tcPr>
            <w:tcW w:w="1095" w:type="dxa"/>
            <w:vMerge/>
            <w:vAlign w:val="center"/>
            <w:hideMark/>
          </w:tcPr>
          <w:p w14:paraId="3D32B654" w14:textId="77777777" w:rsidR="00EC2BE5" w:rsidRPr="002E74DA" w:rsidRDefault="00EC2BE5" w:rsidP="0051420F">
            <w:pPr>
              <w:spacing w:line="240" w:lineRule="auto"/>
              <w:jc w:val="center"/>
              <w:rPr>
                <w:color w:val="000000"/>
                <w:sz w:val="22"/>
              </w:rPr>
            </w:pPr>
          </w:p>
        </w:tc>
        <w:tc>
          <w:tcPr>
            <w:tcW w:w="1128" w:type="dxa"/>
            <w:vMerge/>
            <w:vAlign w:val="center"/>
            <w:hideMark/>
          </w:tcPr>
          <w:p w14:paraId="5D89891C" w14:textId="77777777" w:rsidR="00EC2BE5" w:rsidRPr="002E74DA" w:rsidRDefault="00EC2BE5" w:rsidP="0051420F">
            <w:pPr>
              <w:spacing w:line="240" w:lineRule="auto"/>
              <w:jc w:val="center"/>
              <w:rPr>
                <w:color w:val="000000"/>
                <w:sz w:val="22"/>
              </w:rPr>
            </w:pPr>
          </w:p>
        </w:tc>
        <w:tc>
          <w:tcPr>
            <w:tcW w:w="1721" w:type="dxa"/>
            <w:noWrap/>
            <w:hideMark/>
          </w:tcPr>
          <w:p w14:paraId="005DD3CA" w14:textId="77777777" w:rsidR="00EC2BE5" w:rsidRPr="002E74DA" w:rsidRDefault="00EC2BE5" w:rsidP="0051420F">
            <w:pPr>
              <w:spacing w:line="240" w:lineRule="auto"/>
              <w:rPr>
                <w:color w:val="000000"/>
                <w:sz w:val="22"/>
              </w:rPr>
            </w:pPr>
            <w:r w:rsidRPr="002E74DA">
              <w:rPr>
                <w:color w:val="000000"/>
                <w:sz w:val="22"/>
              </w:rPr>
              <w:t>LC</w:t>
            </w:r>
          </w:p>
        </w:tc>
        <w:tc>
          <w:tcPr>
            <w:tcW w:w="1631" w:type="dxa"/>
            <w:noWrap/>
            <w:hideMark/>
          </w:tcPr>
          <w:p w14:paraId="2A928CFA" w14:textId="77777777" w:rsidR="00EC2BE5" w:rsidRPr="002E74DA" w:rsidRDefault="00EC2BE5" w:rsidP="0051420F">
            <w:pPr>
              <w:spacing w:line="240" w:lineRule="auto"/>
              <w:jc w:val="right"/>
              <w:rPr>
                <w:sz w:val="22"/>
              </w:rPr>
            </w:pPr>
            <w:r w:rsidRPr="002E74DA">
              <w:rPr>
                <w:sz w:val="22"/>
              </w:rPr>
              <w:t>0.07</w:t>
            </w:r>
          </w:p>
        </w:tc>
        <w:tc>
          <w:tcPr>
            <w:tcW w:w="1773" w:type="dxa"/>
            <w:noWrap/>
            <w:hideMark/>
          </w:tcPr>
          <w:p w14:paraId="53372D2F" w14:textId="77777777" w:rsidR="00EC2BE5" w:rsidRPr="002E74DA" w:rsidRDefault="00EC2BE5" w:rsidP="0051420F">
            <w:pPr>
              <w:spacing w:line="240" w:lineRule="auto"/>
              <w:jc w:val="right"/>
              <w:rPr>
                <w:sz w:val="22"/>
              </w:rPr>
            </w:pPr>
            <w:r w:rsidRPr="002E74DA">
              <w:rPr>
                <w:sz w:val="22"/>
              </w:rPr>
              <w:t>0.65</w:t>
            </w:r>
          </w:p>
        </w:tc>
        <w:tc>
          <w:tcPr>
            <w:tcW w:w="1668" w:type="dxa"/>
            <w:noWrap/>
            <w:hideMark/>
          </w:tcPr>
          <w:p w14:paraId="06CD4E8D" w14:textId="77777777" w:rsidR="00EC2BE5" w:rsidRPr="002E74DA" w:rsidRDefault="00EC2BE5" w:rsidP="0051420F">
            <w:pPr>
              <w:spacing w:line="240" w:lineRule="auto"/>
              <w:jc w:val="right"/>
              <w:rPr>
                <w:sz w:val="22"/>
              </w:rPr>
            </w:pPr>
            <w:r w:rsidRPr="002E74DA">
              <w:rPr>
                <w:sz w:val="22"/>
              </w:rPr>
              <w:t>0.28</w:t>
            </w:r>
          </w:p>
        </w:tc>
      </w:tr>
      <w:tr w:rsidR="00EC2BE5" w:rsidRPr="002E74DA" w14:paraId="5E456BDB" w14:textId="77777777" w:rsidTr="0051420F">
        <w:trPr>
          <w:trHeight w:val="285"/>
        </w:trPr>
        <w:tc>
          <w:tcPr>
            <w:tcW w:w="1095" w:type="dxa"/>
            <w:vMerge/>
            <w:vAlign w:val="center"/>
            <w:hideMark/>
          </w:tcPr>
          <w:p w14:paraId="1855BF55" w14:textId="77777777" w:rsidR="00EC2BE5" w:rsidRPr="002E74DA" w:rsidRDefault="00EC2BE5" w:rsidP="0051420F">
            <w:pPr>
              <w:spacing w:line="240" w:lineRule="auto"/>
              <w:jc w:val="center"/>
              <w:rPr>
                <w:color w:val="000000"/>
                <w:sz w:val="22"/>
              </w:rPr>
            </w:pPr>
          </w:p>
        </w:tc>
        <w:tc>
          <w:tcPr>
            <w:tcW w:w="1128" w:type="dxa"/>
            <w:vMerge/>
            <w:vAlign w:val="center"/>
            <w:hideMark/>
          </w:tcPr>
          <w:p w14:paraId="2C99CE30" w14:textId="77777777" w:rsidR="00EC2BE5" w:rsidRPr="002E74DA" w:rsidRDefault="00EC2BE5" w:rsidP="0051420F">
            <w:pPr>
              <w:spacing w:line="240" w:lineRule="auto"/>
              <w:jc w:val="center"/>
              <w:rPr>
                <w:color w:val="000000"/>
                <w:sz w:val="22"/>
              </w:rPr>
            </w:pPr>
          </w:p>
        </w:tc>
        <w:tc>
          <w:tcPr>
            <w:tcW w:w="1721" w:type="dxa"/>
            <w:noWrap/>
            <w:hideMark/>
          </w:tcPr>
          <w:p w14:paraId="2387C4A8" w14:textId="77777777" w:rsidR="00EC2BE5" w:rsidRPr="002E74DA" w:rsidRDefault="00EC2BE5" w:rsidP="0051420F">
            <w:pPr>
              <w:spacing w:line="240" w:lineRule="auto"/>
              <w:rPr>
                <w:color w:val="000000"/>
                <w:sz w:val="22"/>
              </w:rPr>
            </w:pPr>
            <w:r w:rsidRPr="002E74DA">
              <w:rPr>
                <w:color w:val="000000"/>
                <w:sz w:val="22"/>
              </w:rPr>
              <w:t>KTH</w:t>
            </w:r>
          </w:p>
        </w:tc>
        <w:tc>
          <w:tcPr>
            <w:tcW w:w="1631" w:type="dxa"/>
            <w:noWrap/>
            <w:hideMark/>
          </w:tcPr>
          <w:p w14:paraId="2A9023DE" w14:textId="77777777" w:rsidR="00EC2BE5" w:rsidRPr="002E74DA" w:rsidRDefault="00EC2BE5" w:rsidP="0051420F">
            <w:pPr>
              <w:spacing w:line="240" w:lineRule="auto"/>
              <w:jc w:val="right"/>
              <w:rPr>
                <w:sz w:val="22"/>
              </w:rPr>
            </w:pPr>
            <w:r w:rsidRPr="002E74DA">
              <w:rPr>
                <w:sz w:val="22"/>
              </w:rPr>
              <w:t>0.77</w:t>
            </w:r>
          </w:p>
        </w:tc>
        <w:tc>
          <w:tcPr>
            <w:tcW w:w="1773" w:type="dxa"/>
            <w:noWrap/>
            <w:hideMark/>
          </w:tcPr>
          <w:p w14:paraId="76BCD662" w14:textId="77777777" w:rsidR="00EC2BE5" w:rsidRPr="002E74DA" w:rsidRDefault="00EC2BE5" w:rsidP="0051420F">
            <w:pPr>
              <w:spacing w:line="240" w:lineRule="auto"/>
              <w:jc w:val="right"/>
              <w:rPr>
                <w:sz w:val="22"/>
              </w:rPr>
            </w:pPr>
            <w:r w:rsidRPr="002E74DA">
              <w:rPr>
                <w:sz w:val="22"/>
              </w:rPr>
              <w:t>0.16</w:t>
            </w:r>
          </w:p>
        </w:tc>
        <w:tc>
          <w:tcPr>
            <w:tcW w:w="1668" w:type="dxa"/>
            <w:noWrap/>
            <w:hideMark/>
          </w:tcPr>
          <w:p w14:paraId="45796C88" w14:textId="77777777" w:rsidR="00EC2BE5" w:rsidRPr="002E74DA" w:rsidRDefault="00EC2BE5" w:rsidP="0051420F">
            <w:pPr>
              <w:spacing w:line="240" w:lineRule="auto"/>
              <w:jc w:val="right"/>
              <w:rPr>
                <w:sz w:val="22"/>
              </w:rPr>
            </w:pPr>
            <w:r w:rsidRPr="002E74DA">
              <w:rPr>
                <w:sz w:val="22"/>
              </w:rPr>
              <w:t>0.07</w:t>
            </w:r>
          </w:p>
        </w:tc>
      </w:tr>
      <w:tr w:rsidR="00EC2BE5" w:rsidRPr="002E74DA" w14:paraId="2AA0BA44" w14:textId="77777777" w:rsidTr="0051420F">
        <w:trPr>
          <w:trHeight w:val="285"/>
        </w:trPr>
        <w:tc>
          <w:tcPr>
            <w:tcW w:w="1095" w:type="dxa"/>
            <w:vMerge/>
            <w:vAlign w:val="center"/>
            <w:hideMark/>
          </w:tcPr>
          <w:p w14:paraId="28479138" w14:textId="77777777" w:rsidR="00EC2BE5" w:rsidRPr="002E74DA" w:rsidRDefault="00EC2BE5" w:rsidP="0051420F">
            <w:pPr>
              <w:spacing w:line="240" w:lineRule="auto"/>
              <w:jc w:val="center"/>
              <w:rPr>
                <w:color w:val="000000"/>
                <w:sz w:val="22"/>
              </w:rPr>
            </w:pPr>
          </w:p>
        </w:tc>
        <w:tc>
          <w:tcPr>
            <w:tcW w:w="1128" w:type="dxa"/>
            <w:vMerge w:val="restart"/>
            <w:noWrap/>
            <w:vAlign w:val="center"/>
            <w:hideMark/>
          </w:tcPr>
          <w:p w14:paraId="5C9AD0F5" w14:textId="77777777" w:rsidR="00EC2BE5" w:rsidRPr="002E74DA" w:rsidRDefault="00EC2BE5" w:rsidP="0051420F">
            <w:pPr>
              <w:spacing w:line="240" w:lineRule="auto"/>
              <w:jc w:val="center"/>
              <w:rPr>
                <w:color w:val="000000"/>
                <w:sz w:val="22"/>
              </w:rPr>
            </w:pPr>
            <w:r w:rsidRPr="002E74DA">
              <w:rPr>
                <w:color w:val="000000"/>
                <w:sz w:val="22"/>
              </w:rPr>
              <w:t>Case 2</w:t>
            </w:r>
          </w:p>
        </w:tc>
        <w:tc>
          <w:tcPr>
            <w:tcW w:w="1721" w:type="dxa"/>
            <w:noWrap/>
            <w:hideMark/>
          </w:tcPr>
          <w:p w14:paraId="3A4F2903" w14:textId="77777777" w:rsidR="00EC2BE5" w:rsidRPr="002E74DA" w:rsidRDefault="00EC2BE5" w:rsidP="0051420F">
            <w:pPr>
              <w:spacing w:line="240" w:lineRule="auto"/>
              <w:rPr>
                <w:color w:val="000000"/>
                <w:sz w:val="22"/>
              </w:rPr>
            </w:pPr>
            <w:r w:rsidRPr="002E74DA">
              <w:rPr>
                <w:color w:val="000000"/>
                <w:sz w:val="22"/>
              </w:rPr>
              <w:t>UPM</w:t>
            </w:r>
          </w:p>
        </w:tc>
        <w:tc>
          <w:tcPr>
            <w:tcW w:w="1631" w:type="dxa"/>
            <w:noWrap/>
            <w:hideMark/>
          </w:tcPr>
          <w:p w14:paraId="09E5220C" w14:textId="77777777" w:rsidR="00EC2BE5" w:rsidRPr="002E74DA" w:rsidRDefault="00EC2BE5" w:rsidP="0051420F">
            <w:pPr>
              <w:spacing w:line="240" w:lineRule="auto"/>
              <w:jc w:val="right"/>
              <w:rPr>
                <w:sz w:val="22"/>
              </w:rPr>
            </w:pPr>
            <w:r w:rsidRPr="002E74DA">
              <w:rPr>
                <w:sz w:val="22"/>
              </w:rPr>
              <w:t>0.19</w:t>
            </w:r>
          </w:p>
        </w:tc>
        <w:tc>
          <w:tcPr>
            <w:tcW w:w="1773" w:type="dxa"/>
            <w:noWrap/>
            <w:hideMark/>
          </w:tcPr>
          <w:p w14:paraId="3657E48D" w14:textId="77777777" w:rsidR="00EC2BE5" w:rsidRPr="002E74DA" w:rsidRDefault="00EC2BE5" w:rsidP="0051420F">
            <w:pPr>
              <w:spacing w:line="240" w:lineRule="auto"/>
              <w:jc w:val="right"/>
              <w:rPr>
                <w:sz w:val="22"/>
              </w:rPr>
            </w:pPr>
            <w:r w:rsidRPr="002E74DA">
              <w:rPr>
                <w:sz w:val="22"/>
              </w:rPr>
              <w:t>0.74</w:t>
            </w:r>
          </w:p>
        </w:tc>
        <w:tc>
          <w:tcPr>
            <w:tcW w:w="1668" w:type="dxa"/>
            <w:noWrap/>
            <w:hideMark/>
          </w:tcPr>
          <w:p w14:paraId="64E7C5EB" w14:textId="77777777" w:rsidR="00EC2BE5" w:rsidRPr="002E74DA" w:rsidRDefault="00EC2BE5" w:rsidP="0051420F">
            <w:pPr>
              <w:spacing w:line="240" w:lineRule="auto"/>
              <w:jc w:val="right"/>
              <w:rPr>
                <w:sz w:val="22"/>
              </w:rPr>
            </w:pPr>
            <w:r w:rsidRPr="002E74DA">
              <w:rPr>
                <w:sz w:val="22"/>
              </w:rPr>
              <w:t>0.06</w:t>
            </w:r>
          </w:p>
        </w:tc>
      </w:tr>
      <w:tr w:rsidR="00EC2BE5" w:rsidRPr="002E74DA" w14:paraId="5815A8E3" w14:textId="77777777" w:rsidTr="0051420F">
        <w:trPr>
          <w:trHeight w:val="285"/>
        </w:trPr>
        <w:tc>
          <w:tcPr>
            <w:tcW w:w="1095" w:type="dxa"/>
            <w:vMerge/>
            <w:vAlign w:val="center"/>
            <w:hideMark/>
          </w:tcPr>
          <w:p w14:paraId="731679C6" w14:textId="77777777" w:rsidR="00EC2BE5" w:rsidRPr="002E74DA" w:rsidRDefault="00EC2BE5" w:rsidP="0051420F">
            <w:pPr>
              <w:spacing w:line="240" w:lineRule="auto"/>
              <w:jc w:val="center"/>
              <w:rPr>
                <w:color w:val="000000"/>
                <w:sz w:val="22"/>
              </w:rPr>
            </w:pPr>
          </w:p>
        </w:tc>
        <w:tc>
          <w:tcPr>
            <w:tcW w:w="1128" w:type="dxa"/>
            <w:vMerge/>
            <w:vAlign w:val="center"/>
            <w:hideMark/>
          </w:tcPr>
          <w:p w14:paraId="404A8E2D" w14:textId="77777777" w:rsidR="00EC2BE5" w:rsidRPr="002E74DA" w:rsidRDefault="00EC2BE5" w:rsidP="0051420F">
            <w:pPr>
              <w:spacing w:line="240" w:lineRule="auto"/>
              <w:jc w:val="center"/>
              <w:rPr>
                <w:color w:val="000000"/>
                <w:sz w:val="22"/>
              </w:rPr>
            </w:pPr>
          </w:p>
        </w:tc>
        <w:tc>
          <w:tcPr>
            <w:tcW w:w="1721" w:type="dxa"/>
            <w:noWrap/>
            <w:hideMark/>
          </w:tcPr>
          <w:p w14:paraId="073D27E6" w14:textId="77777777" w:rsidR="00EC2BE5" w:rsidRPr="002E74DA" w:rsidRDefault="00EC2BE5" w:rsidP="0051420F">
            <w:pPr>
              <w:spacing w:line="240" w:lineRule="auto"/>
              <w:rPr>
                <w:color w:val="000000"/>
                <w:sz w:val="22"/>
              </w:rPr>
            </w:pPr>
            <w:r w:rsidRPr="002E74DA">
              <w:rPr>
                <w:rFonts w:hint="eastAsia"/>
                <w:color w:val="000000"/>
                <w:sz w:val="22"/>
              </w:rPr>
              <w:t>D</w:t>
            </w:r>
            <w:r w:rsidRPr="002E74DA">
              <w:rPr>
                <w:color w:val="000000"/>
                <w:sz w:val="22"/>
              </w:rPr>
              <w:t>RS</w:t>
            </w:r>
          </w:p>
        </w:tc>
        <w:tc>
          <w:tcPr>
            <w:tcW w:w="1631" w:type="dxa"/>
            <w:noWrap/>
            <w:hideMark/>
          </w:tcPr>
          <w:p w14:paraId="503043F9" w14:textId="77777777" w:rsidR="00EC2BE5" w:rsidRPr="002E74DA" w:rsidRDefault="00EC2BE5" w:rsidP="0051420F">
            <w:pPr>
              <w:spacing w:line="240" w:lineRule="auto"/>
              <w:jc w:val="right"/>
              <w:rPr>
                <w:sz w:val="22"/>
              </w:rPr>
            </w:pPr>
            <w:r w:rsidRPr="002E74DA">
              <w:rPr>
                <w:sz w:val="22"/>
              </w:rPr>
              <w:t>0.15</w:t>
            </w:r>
          </w:p>
        </w:tc>
        <w:tc>
          <w:tcPr>
            <w:tcW w:w="1773" w:type="dxa"/>
            <w:noWrap/>
            <w:hideMark/>
          </w:tcPr>
          <w:p w14:paraId="66AC81BE" w14:textId="77777777" w:rsidR="00EC2BE5" w:rsidRPr="002E74DA" w:rsidRDefault="00EC2BE5" w:rsidP="0051420F">
            <w:pPr>
              <w:spacing w:line="240" w:lineRule="auto"/>
              <w:jc w:val="right"/>
              <w:rPr>
                <w:sz w:val="22"/>
              </w:rPr>
            </w:pPr>
            <w:r w:rsidRPr="002E74DA">
              <w:rPr>
                <w:sz w:val="22"/>
              </w:rPr>
              <w:t>0.38</w:t>
            </w:r>
          </w:p>
        </w:tc>
        <w:tc>
          <w:tcPr>
            <w:tcW w:w="1668" w:type="dxa"/>
            <w:noWrap/>
            <w:hideMark/>
          </w:tcPr>
          <w:p w14:paraId="02FA5182" w14:textId="77777777" w:rsidR="00EC2BE5" w:rsidRPr="002E74DA" w:rsidRDefault="00EC2BE5" w:rsidP="0051420F">
            <w:pPr>
              <w:spacing w:line="240" w:lineRule="auto"/>
              <w:jc w:val="right"/>
              <w:rPr>
                <w:sz w:val="22"/>
              </w:rPr>
            </w:pPr>
            <w:r w:rsidRPr="002E74DA">
              <w:rPr>
                <w:sz w:val="22"/>
              </w:rPr>
              <w:t>0.47</w:t>
            </w:r>
          </w:p>
        </w:tc>
      </w:tr>
      <w:tr w:rsidR="00EC2BE5" w:rsidRPr="002E74DA" w14:paraId="4BBE5802" w14:textId="77777777" w:rsidTr="0051420F">
        <w:trPr>
          <w:trHeight w:val="285"/>
        </w:trPr>
        <w:tc>
          <w:tcPr>
            <w:tcW w:w="1095" w:type="dxa"/>
            <w:vMerge w:val="restart"/>
            <w:noWrap/>
            <w:vAlign w:val="center"/>
            <w:hideMark/>
          </w:tcPr>
          <w:p w14:paraId="51FD034D" w14:textId="77777777" w:rsidR="00EC2BE5" w:rsidRPr="002E74DA" w:rsidRDefault="00EC2BE5" w:rsidP="0051420F">
            <w:pPr>
              <w:spacing w:line="240" w:lineRule="auto"/>
              <w:jc w:val="center"/>
              <w:rPr>
                <w:color w:val="000000"/>
                <w:sz w:val="22"/>
              </w:rPr>
            </w:pPr>
            <w:r w:rsidRPr="002E74DA">
              <w:rPr>
                <w:color w:val="000000"/>
                <w:sz w:val="22"/>
              </w:rPr>
              <w:t>China</w:t>
            </w:r>
          </w:p>
        </w:tc>
        <w:tc>
          <w:tcPr>
            <w:tcW w:w="1128" w:type="dxa"/>
            <w:vMerge w:val="restart"/>
            <w:noWrap/>
            <w:vAlign w:val="center"/>
            <w:hideMark/>
          </w:tcPr>
          <w:p w14:paraId="727494F5" w14:textId="77777777" w:rsidR="00EC2BE5" w:rsidRPr="002E74DA" w:rsidRDefault="00EC2BE5" w:rsidP="0051420F">
            <w:pPr>
              <w:spacing w:line="240" w:lineRule="auto"/>
              <w:jc w:val="center"/>
              <w:rPr>
                <w:color w:val="000000"/>
                <w:sz w:val="22"/>
              </w:rPr>
            </w:pPr>
            <w:r w:rsidRPr="002E74DA">
              <w:rPr>
                <w:color w:val="000000"/>
                <w:sz w:val="22"/>
              </w:rPr>
              <w:t>Case 3</w:t>
            </w:r>
          </w:p>
        </w:tc>
        <w:tc>
          <w:tcPr>
            <w:tcW w:w="1721" w:type="dxa"/>
            <w:noWrap/>
            <w:hideMark/>
          </w:tcPr>
          <w:p w14:paraId="7D838219" w14:textId="77777777" w:rsidR="00EC2BE5" w:rsidRPr="002E74DA" w:rsidRDefault="00EC2BE5" w:rsidP="0051420F">
            <w:pPr>
              <w:spacing w:line="240" w:lineRule="auto"/>
              <w:rPr>
                <w:color w:val="000000"/>
                <w:sz w:val="22"/>
              </w:rPr>
            </w:pPr>
            <w:r w:rsidRPr="002E74DA">
              <w:rPr>
                <w:color w:val="000000"/>
                <w:sz w:val="22"/>
              </w:rPr>
              <w:t>UE</w:t>
            </w:r>
          </w:p>
        </w:tc>
        <w:tc>
          <w:tcPr>
            <w:tcW w:w="1631" w:type="dxa"/>
            <w:noWrap/>
            <w:hideMark/>
          </w:tcPr>
          <w:p w14:paraId="3922E61A" w14:textId="77777777" w:rsidR="00EC2BE5" w:rsidRPr="002E74DA" w:rsidRDefault="00EC2BE5" w:rsidP="0051420F">
            <w:pPr>
              <w:spacing w:line="240" w:lineRule="auto"/>
              <w:jc w:val="right"/>
              <w:rPr>
                <w:sz w:val="22"/>
              </w:rPr>
            </w:pPr>
            <w:r w:rsidRPr="002E74DA">
              <w:rPr>
                <w:sz w:val="22"/>
              </w:rPr>
              <w:t>0.77</w:t>
            </w:r>
          </w:p>
        </w:tc>
        <w:tc>
          <w:tcPr>
            <w:tcW w:w="1773" w:type="dxa"/>
            <w:noWrap/>
            <w:hideMark/>
          </w:tcPr>
          <w:p w14:paraId="0AE25861" w14:textId="77777777" w:rsidR="00EC2BE5" w:rsidRPr="002E74DA" w:rsidRDefault="00EC2BE5" w:rsidP="0051420F">
            <w:pPr>
              <w:spacing w:line="240" w:lineRule="auto"/>
              <w:jc w:val="right"/>
              <w:rPr>
                <w:sz w:val="22"/>
              </w:rPr>
            </w:pPr>
            <w:r w:rsidRPr="002E74DA">
              <w:rPr>
                <w:sz w:val="22"/>
              </w:rPr>
              <w:t>0.07</w:t>
            </w:r>
          </w:p>
        </w:tc>
        <w:tc>
          <w:tcPr>
            <w:tcW w:w="1668" w:type="dxa"/>
            <w:noWrap/>
            <w:hideMark/>
          </w:tcPr>
          <w:p w14:paraId="2865280E" w14:textId="77777777" w:rsidR="00EC2BE5" w:rsidRPr="002E74DA" w:rsidRDefault="00EC2BE5" w:rsidP="0051420F">
            <w:pPr>
              <w:spacing w:line="240" w:lineRule="auto"/>
              <w:jc w:val="right"/>
              <w:rPr>
                <w:sz w:val="22"/>
              </w:rPr>
            </w:pPr>
            <w:r w:rsidRPr="002E74DA">
              <w:rPr>
                <w:sz w:val="22"/>
              </w:rPr>
              <w:t>0.16</w:t>
            </w:r>
          </w:p>
        </w:tc>
      </w:tr>
      <w:tr w:rsidR="00EC2BE5" w:rsidRPr="002E74DA" w14:paraId="21769FAF" w14:textId="77777777" w:rsidTr="0051420F">
        <w:trPr>
          <w:trHeight w:val="285"/>
        </w:trPr>
        <w:tc>
          <w:tcPr>
            <w:tcW w:w="1095" w:type="dxa"/>
            <w:vMerge/>
            <w:vAlign w:val="center"/>
            <w:hideMark/>
          </w:tcPr>
          <w:p w14:paraId="60432409" w14:textId="77777777" w:rsidR="00EC2BE5" w:rsidRPr="002E74DA" w:rsidRDefault="00EC2BE5" w:rsidP="0051420F">
            <w:pPr>
              <w:spacing w:line="240" w:lineRule="auto"/>
              <w:jc w:val="center"/>
              <w:rPr>
                <w:color w:val="000000"/>
                <w:sz w:val="22"/>
              </w:rPr>
            </w:pPr>
          </w:p>
        </w:tc>
        <w:tc>
          <w:tcPr>
            <w:tcW w:w="1128" w:type="dxa"/>
            <w:vMerge/>
            <w:vAlign w:val="center"/>
            <w:hideMark/>
          </w:tcPr>
          <w:p w14:paraId="0ACA48E9" w14:textId="77777777" w:rsidR="00EC2BE5" w:rsidRPr="002E74DA" w:rsidRDefault="00EC2BE5" w:rsidP="0051420F">
            <w:pPr>
              <w:spacing w:line="240" w:lineRule="auto"/>
              <w:jc w:val="center"/>
              <w:rPr>
                <w:color w:val="000000"/>
                <w:sz w:val="22"/>
              </w:rPr>
            </w:pPr>
          </w:p>
        </w:tc>
        <w:tc>
          <w:tcPr>
            <w:tcW w:w="1721" w:type="dxa"/>
            <w:noWrap/>
            <w:hideMark/>
          </w:tcPr>
          <w:p w14:paraId="0D5BCBBE" w14:textId="77777777" w:rsidR="00EC2BE5" w:rsidRPr="002E74DA" w:rsidRDefault="00EC2BE5" w:rsidP="0051420F">
            <w:pPr>
              <w:spacing w:line="240" w:lineRule="auto"/>
              <w:rPr>
                <w:color w:val="000000"/>
                <w:sz w:val="22"/>
              </w:rPr>
            </w:pPr>
            <w:r w:rsidRPr="002E74DA">
              <w:rPr>
                <w:color w:val="000000"/>
                <w:sz w:val="22"/>
              </w:rPr>
              <w:t>HWD</w:t>
            </w:r>
          </w:p>
        </w:tc>
        <w:tc>
          <w:tcPr>
            <w:tcW w:w="1631" w:type="dxa"/>
            <w:noWrap/>
            <w:hideMark/>
          </w:tcPr>
          <w:p w14:paraId="15A3FB3D" w14:textId="77777777" w:rsidR="00EC2BE5" w:rsidRPr="002E74DA" w:rsidRDefault="00EC2BE5" w:rsidP="0051420F">
            <w:pPr>
              <w:spacing w:line="240" w:lineRule="auto"/>
              <w:jc w:val="right"/>
              <w:rPr>
                <w:sz w:val="22"/>
              </w:rPr>
            </w:pPr>
            <w:r w:rsidRPr="002E74DA">
              <w:rPr>
                <w:sz w:val="22"/>
              </w:rPr>
              <w:t>0.74</w:t>
            </w:r>
          </w:p>
        </w:tc>
        <w:tc>
          <w:tcPr>
            <w:tcW w:w="1773" w:type="dxa"/>
            <w:noWrap/>
            <w:hideMark/>
          </w:tcPr>
          <w:p w14:paraId="4EEA0403" w14:textId="77777777" w:rsidR="00EC2BE5" w:rsidRPr="002E74DA" w:rsidRDefault="00EC2BE5" w:rsidP="0051420F">
            <w:pPr>
              <w:spacing w:line="240" w:lineRule="auto"/>
              <w:jc w:val="right"/>
              <w:rPr>
                <w:sz w:val="22"/>
              </w:rPr>
            </w:pPr>
            <w:r w:rsidRPr="002E74DA">
              <w:rPr>
                <w:sz w:val="22"/>
              </w:rPr>
              <w:t>0.06</w:t>
            </w:r>
          </w:p>
        </w:tc>
        <w:tc>
          <w:tcPr>
            <w:tcW w:w="1668" w:type="dxa"/>
            <w:noWrap/>
            <w:hideMark/>
          </w:tcPr>
          <w:p w14:paraId="02A8D16B" w14:textId="77777777" w:rsidR="00EC2BE5" w:rsidRPr="002E74DA" w:rsidRDefault="00EC2BE5" w:rsidP="0051420F">
            <w:pPr>
              <w:spacing w:line="240" w:lineRule="auto"/>
              <w:jc w:val="right"/>
              <w:rPr>
                <w:sz w:val="22"/>
              </w:rPr>
            </w:pPr>
            <w:r w:rsidRPr="002E74DA">
              <w:rPr>
                <w:sz w:val="22"/>
              </w:rPr>
              <w:t>0.19</w:t>
            </w:r>
          </w:p>
        </w:tc>
      </w:tr>
      <w:tr w:rsidR="00EC2BE5" w:rsidRPr="002E74DA" w14:paraId="242AA1E8" w14:textId="77777777" w:rsidTr="0051420F">
        <w:trPr>
          <w:trHeight w:val="285"/>
        </w:trPr>
        <w:tc>
          <w:tcPr>
            <w:tcW w:w="1095" w:type="dxa"/>
            <w:vMerge/>
            <w:vAlign w:val="center"/>
            <w:hideMark/>
          </w:tcPr>
          <w:p w14:paraId="5ED8BDB0" w14:textId="77777777" w:rsidR="00EC2BE5" w:rsidRPr="002E74DA" w:rsidRDefault="00EC2BE5" w:rsidP="0051420F">
            <w:pPr>
              <w:spacing w:line="240" w:lineRule="auto"/>
              <w:jc w:val="center"/>
              <w:rPr>
                <w:color w:val="000000"/>
                <w:sz w:val="22"/>
              </w:rPr>
            </w:pPr>
          </w:p>
        </w:tc>
        <w:tc>
          <w:tcPr>
            <w:tcW w:w="1128" w:type="dxa"/>
            <w:vMerge/>
            <w:vAlign w:val="center"/>
            <w:hideMark/>
          </w:tcPr>
          <w:p w14:paraId="3BF1F3DC" w14:textId="77777777" w:rsidR="00EC2BE5" w:rsidRPr="002E74DA" w:rsidRDefault="00EC2BE5" w:rsidP="0051420F">
            <w:pPr>
              <w:spacing w:line="240" w:lineRule="auto"/>
              <w:jc w:val="center"/>
              <w:rPr>
                <w:color w:val="000000"/>
                <w:sz w:val="22"/>
              </w:rPr>
            </w:pPr>
          </w:p>
        </w:tc>
        <w:tc>
          <w:tcPr>
            <w:tcW w:w="1721" w:type="dxa"/>
            <w:noWrap/>
            <w:hideMark/>
          </w:tcPr>
          <w:p w14:paraId="4C25207A" w14:textId="77777777" w:rsidR="00EC2BE5" w:rsidRPr="002E74DA" w:rsidRDefault="00EC2BE5" w:rsidP="0051420F">
            <w:pPr>
              <w:spacing w:line="240" w:lineRule="auto"/>
              <w:rPr>
                <w:color w:val="000000"/>
                <w:sz w:val="22"/>
              </w:rPr>
            </w:pPr>
            <w:r w:rsidRPr="002E74DA">
              <w:rPr>
                <w:color w:val="000000"/>
                <w:sz w:val="22"/>
              </w:rPr>
              <w:t>HDD</w:t>
            </w:r>
          </w:p>
        </w:tc>
        <w:tc>
          <w:tcPr>
            <w:tcW w:w="1631" w:type="dxa"/>
            <w:noWrap/>
            <w:hideMark/>
          </w:tcPr>
          <w:p w14:paraId="475BD531" w14:textId="77777777" w:rsidR="00EC2BE5" w:rsidRPr="002E74DA" w:rsidRDefault="00EC2BE5" w:rsidP="0051420F">
            <w:pPr>
              <w:spacing w:line="240" w:lineRule="auto"/>
              <w:jc w:val="right"/>
              <w:rPr>
                <w:sz w:val="22"/>
              </w:rPr>
            </w:pPr>
            <w:r w:rsidRPr="002E74DA">
              <w:rPr>
                <w:sz w:val="22"/>
              </w:rPr>
              <w:t>0.76</w:t>
            </w:r>
          </w:p>
        </w:tc>
        <w:tc>
          <w:tcPr>
            <w:tcW w:w="1773" w:type="dxa"/>
            <w:noWrap/>
            <w:hideMark/>
          </w:tcPr>
          <w:p w14:paraId="290E8FB8" w14:textId="77777777" w:rsidR="00EC2BE5" w:rsidRPr="002E74DA" w:rsidRDefault="00EC2BE5" w:rsidP="0051420F">
            <w:pPr>
              <w:spacing w:line="240" w:lineRule="auto"/>
              <w:jc w:val="right"/>
              <w:rPr>
                <w:sz w:val="22"/>
              </w:rPr>
            </w:pPr>
            <w:r w:rsidRPr="002E74DA">
              <w:rPr>
                <w:sz w:val="22"/>
              </w:rPr>
              <w:t>0.07</w:t>
            </w:r>
          </w:p>
        </w:tc>
        <w:tc>
          <w:tcPr>
            <w:tcW w:w="1668" w:type="dxa"/>
            <w:noWrap/>
            <w:hideMark/>
          </w:tcPr>
          <w:p w14:paraId="2EAC544C" w14:textId="77777777" w:rsidR="00EC2BE5" w:rsidRPr="002E74DA" w:rsidRDefault="00EC2BE5" w:rsidP="0051420F">
            <w:pPr>
              <w:spacing w:line="240" w:lineRule="auto"/>
              <w:jc w:val="right"/>
              <w:rPr>
                <w:sz w:val="22"/>
              </w:rPr>
            </w:pPr>
            <w:r w:rsidRPr="002E74DA">
              <w:rPr>
                <w:sz w:val="22"/>
              </w:rPr>
              <w:t>0.17</w:t>
            </w:r>
          </w:p>
        </w:tc>
      </w:tr>
      <w:tr w:rsidR="00EC2BE5" w:rsidRPr="002E74DA" w14:paraId="36DD2837" w14:textId="77777777" w:rsidTr="0051420F">
        <w:trPr>
          <w:trHeight w:val="285"/>
        </w:trPr>
        <w:tc>
          <w:tcPr>
            <w:tcW w:w="1095" w:type="dxa"/>
            <w:vMerge/>
            <w:vAlign w:val="center"/>
            <w:hideMark/>
          </w:tcPr>
          <w:p w14:paraId="129200E6" w14:textId="77777777" w:rsidR="00EC2BE5" w:rsidRPr="002E74DA" w:rsidRDefault="00EC2BE5" w:rsidP="0051420F">
            <w:pPr>
              <w:spacing w:line="240" w:lineRule="auto"/>
              <w:jc w:val="center"/>
              <w:rPr>
                <w:color w:val="000000"/>
                <w:sz w:val="22"/>
              </w:rPr>
            </w:pPr>
          </w:p>
        </w:tc>
        <w:tc>
          <w:tcPr>
            <w:tcW w:w="1128" w:type="dxa"/>
            <w:vMerge w:val="restart"/>
            <w:noWrap/>
            <w:vAlign w:val="center"/>
            <w:hideMark/>
          </w:tcPr>
          <w:p w14:paraId="06393334" w14:textId="77777777" w:rsidR="00EC2BE5" w:rsidRPr="002E74DA" w:rsidRDefault="00EC2BE5" w:rsidP="0051420F">
            <w:pPr>
              <w:spacing w:line="240" w:lineRule="auto"/>
              <w:jc w:val="center"/>
              <w:rPr>
                <w:color w:val="000000"/>
                <w:sz w:val="22"/>
              </w:rPr>
            </w:pPr>
            <w:r w:rsidRPr="002E74DA">
              <w:rPr>
                <w:color w:val="000000"/>
                <w:sz w:val="22"/>
              </w:rPr>
              <w:t>Case 4</w:t>
            </w:r>
          </w:p>
        </w:tc>
        <w:tc>
          <w:tcPr>
            <w:tcW w:w="1721" w:type="dxa"/>
            <w:noWrap/>
            <w:hideMark/>
          </w:tcPr>
          <w:p w14:paraId="5B6DF57B" w14:textId="77777777" w:rsidR="00EC2BE5" w:rsidRPr="002E74DA" w:rsidRDefault="00EC2BE5" w:rsidP="0051420F">
            <w:pPr>
              <w:spacing w:line="240" w:lineRule="auto"/>
              <w:rPr>
                <w:color w:val="000000"/>
                <w:sz w:val="22"/>
              </w:rPr>
            </w:pPr>
            <w:r w:rsidRPr="002E74DA">
              <w:rPr>
                <w:color w:val="000000"/>
                <w:sz w:val="22"/>
              </w:rPr>
              <w:t>CR</w:t>
            </w:r>
          </w:p>
        </w:tc>
        <w:tc>
          <w:tcPr>
            <w:tcW w:w="1631" w:type="dxa"/>
            <w:noWrap/>
            <w:hideMark/>
          </w:tcPr>
          <w:p w14:paraId="246F543D" w14:textId="77777777" w:rsidR="00EC2BE5" w:rsidRPr="002E74DA" w:rsidRDefault="00EC2BE5" w:rsidP="0051420F">
            <w:pPr>
              <w:spacing w:line="240" w:lineRule="auto"/>
              <w:jc w:val="right"/>
              <w:rPr>
                <w:sz w:val="22"/>
              </w:rPr>
            </w:pPr>
            <w:r w:rsidRPr="002E74DA">
              <w:rPr>
                <w:sz w:val="22"/>
              </w:rPr>
              <w:t>0.82</w:t>
            </w:r>
          </w:p>
        </w:tc>
        <w:tc>
          <w:tcPr>
            <w:tcW w:w="1773" w:type="dxa"/>
            <w:noWrap/>
            <w:hideMark/>
          </w:tcPr>
          <w:p w14:paraId="5DFF78DB" w14:textId="77777777" w:rsidR="00EC2BE5" w:rsidRPr="002E74DA" w:rsidRDefault="00EC2BE5" w:rsidP="0051420F">
            <w:pPr>
              <w:spacing w:line="240" w:lineRule="auto"/>
              <w:jc w:val="right"/>
              <w:rPr>
                <w:sz w:val="22"/>
              </w:rPr>
            </w:pPr>
            <w:r w:rsidRPr="002E74DA">
              <w:rPr>
                <w:sz w:val="22"/>
              </w:rPr>
              <w:t>0.09</w:t>
            </w:r>
          </w:p>
        </w:tc>
        <w:tc>
          <w:tcPr>
            <w:tcW w:w="1668" w:type="dxa"/>
            <w:noWrap/>
            <w:hideMark/>
          </w:tcPr>
          <w:p w14:paraId="2CCC5B73" w14:textId="77777777" w:rsidR="00EC2BE5" w:rsidRPr="002E74DA" w:rsidRDefault="00EC2BE5" w:rsidP="0051420F">
            <w:pPr>
              <w:spacing w:line="240" w:lineRule="auto"/>
              <w:jc w:val="right"/>
              <w:rPr>
                <w:sz w:val="22"/>
              </w:rPr>
            </w:pPr>
            <w:r w:rsidRPr="002E74DA">
              <w:rPr>
                <w:sz w:val="22"/>
              </w:rPr>
              <w:t>0.09</w:t>
            </w:r>
          </w:p>
        </w:tc>
      </w:tr>
      <w:tr w:rsidR="00EC2BE5" w:rsidRPr="002E74DA" w14:paraId="48515CAD" w14:textId="77777777" w:rsidTr="0051420F">
        <w:trPr>
          <w:trHeight w:val="285"/>
        </w:trPr>
        <w:tc>
          <w:tcPr>
            <w:tcW w:w="1095" w:type="dxa"/>
            <w:vMerge/>
            <w:hideMark/>
          </w:tcPr>
          <w:p w14:paraId="5D5C8CDC" w14:textId="77777777" w:rsidR="00EC2BE5" w:rsidRPr="002E74DA" w:rsidRDefault="00EC2BE5" w:rsidP="0051420F">
            <w:pPr>
              <w:spacing w:line="240" w:lineRule="auto"/>
              <w:rPr>
                <w:color w:val="000000"/>
                <w:sz w:val="22"/>
              </w:rPr>
            </w:pPr>
          </w:p>
        </w:tc>
        <w:tc>
          <w:tcPr>
            <w:tcW w:w="1128" w:type="dxa"/>
            <w:vMerge/>
            <w:hideMark/>
          </w:tcPr>
          <w:p w14:paraId="4294CDAE" w14:textId="77777777" w:rsidR="00EC2BE5" w:rsidRPr="002E74DA" w:rsidRDefault="00EC2BE5" w:rsidP="0051420F">
            <w:pPr>
              <w:spacing w:line="240" w:lineRule="auto"/>
              <w:rPr>
                <w:color w:val="000000"/>
                <w:sz w:val="22"/>
              </w:rPr>
            </w:pPr>
          </w:p>
        </w:tc>
        <w:tc>
          <w:tcPr>
            <w:tcW w:w="1721" w:type="dxa"/>
            <w:noWrap/>
            <w:hideMark/>
          </w:tcPr>
          <w:p w14:paraId="61A36C6B" w14:textId="77777777" w:rsidR="00EC2BE5" w:rsidRPr="002E74DA" w:rsidRDefault="00EC2BE5" w:rsidP="0051420F">
            <w:pPr>
              <w:spacing w:line="240" w:lineRule="auto"/>
              <w:rPr>
                <w:color w:val="000000"/>
                <w:sz w:val="22"/>
              </w:rPr>
            </w:pPr>
            <w:r w:rsidRPr="002E74DA">
              <w:rPr>
                <w:color w:val="000000"/>
                <w:sz w:val="22"/>
              </w:rPr>
              <w:t>PM</w:t>
            </w:r>
          </w:p>
        </w:tc>
        <w:tc>
          <w:tcPr>
            <w:tcW w:w="1631" w:type="dxa"/>
            <w:noWrap/>
            <w:hideMark/>
          </w:tcPr>
          <w:p w14:paraId="55832767" w14:textId="77777777" w:rsidR="00EC2BE5" w:rsidRPr="002E74DA" w:rsidRDefault="00EC2BE5" w:rsidP="0051420F">
            <w:pPr>
              <w:spacing w:line="240" w:lineRule="auto"/>
              <w:jc w:val="right"/>
              <w:rPr>
                <w:sz w:val="22"/>
              </w:rPr>
            </w:pPr>
            <w:r w:rsidRPr="002E74DA">
              <w:rPr>
                <w:sz w:val="22"/>
              </w:rPr>
              <w:t>0.33</w:t>
            </w:r>
          </w:p>
        </w:tc>
        <w:tc>
          <w:tcPr>
            <w:tcW w:w="1773" w:type="dxa"/>
            <w:noWrap/>
            <w:hideMark/>
          </w:tcPr>
          <w:p w14:paraId="238B6ECA" w14:textId="77777777" w:rsidR="00EC2BE5" w:rsidRPr="002E74DA" w:rsidRDefault="00EC2BE5" w:rsidP="0051420F">
            <w:pPr>
              <w:spacing w:line="240" w:lineRule="auto"/>
              <w:jc w:val="right"/>
              <w:rPr>
                <w:sz w:val="22"/>
              </w:rPr>
            </w:pPr>
            <w:r w:rsidRPr="002E74DA">
              <w:rPr>
                <w:sz w:val="22"/>
              </w:rPr>
              <w:t>0.33</w:t>
            </w:r>
          </w:p>
        </w:tc>
        <w:tc>
          <w:tcPr>
            <w:tcW w:w="1668" w:type="dxa"/>
            <w:noWrap/>
            <w:hideMark/>
          </w:tcPr>
          <w:p w14:paraId="37260317" w14:textId="77777777" w:rsidR="00EC2BE5" w:rsidRPr="002E74DA" w:rsidRDefault="00EC2BE5" w:rsidP="0051420F">
            <w:pPr>
              <w:spacing w:line="240" w:lineRule="auto"/>
              <w:jc w:val="right"/>
              <w:rPr>
                <w:sz w:val="22"/>
              </w:rPr>
            </w:pPr>
            <w:r w:rsidRPr="002E74DA">
              <w:rPr>
                <w:sz w:val="22"/>
              </w:rPr>
              <w:t>0.33</w:t>
            </w:r>
          </w:p>
        </w:tc>
      </w:tr>
      <w:tr w:rsidR="00EC2BE5" w:rsidRPr="002E74DA" w14:paraId="0C27A8F0" w14:textId="77777777" w:rsidTr="0051420F">
        <w:trPr>
          <w:trHeight w:val="285"/>
        </w:trPr>
        <w:tc>
          <w:tcPr>
            <w:tcW w:w="1095" w:type="dxa"/>
            <w:vMerge/>
            <w:hideMark/>
          </w:tcPr>
          <w:p w14:paraId="745D3216" w14:textId="77777777" w:rsidR="00EC2BE5" w:rsidRPr="002E74DA" w:rsidRDefault="00EC2BE5" w:rsidP="0051420F">
            <w:pPr>
              <w:spacing w:line="240" w:lineRule="auto"/>
              <w:rPr>
                <w:color w:val="000000"/>
                <w:sz w:val="22"/>
              </w:rPr>
            </w:pPr>
          </w:p>
        </w:tc>
        <w:tc>
          <w:tcPr>
            <w:tcW w:w="1128" w:type="dxa"/>
            <w:vMerge/>
            <w:hideMark/>
          </w:tcPr>
          <w:p w14:paraId="36575CA5" w14:textId="77777777" w:rsidR="00EC2BE5" w:rsidRPr="002E74DA" w:rsidRDefault="00EC2BE5" w:rsidP="0051420F">
            <w:pPr>
              <w:spacing w:line="240" w:lineRule="auto"/>
              <w:rPr>
                <w:color w:val="000000"/>
                <w:sz w:val="22"/>
              </w:rPr>
            </w:pPr>
          </w:p>
        </w:tc>
        <w:tc>
          <w:tcPr>
            <w:tcW w:w="1721" w:type="dxa"/>
            <w:noWrap/>
            <w:hideMark/>
          </w:tcPr>
          <w:p w14:paraId="5089FA16" w14:textId="77777777" w:rsidR="00EC2BE5" w:rsidRPr="002E74DA" w:rsidRDefault="00EC2BE5" w:rsidP="0051420F">
            <w:pPr>
              <w:spacing w:line="240" w:lineRule="auto"/>
              <w:rPr>
                <w:color w:val="000000"/>
                <w:sz w:val="22"/>
              </w:rPr>
            </w:pPr>
            <w:r w:rsidRPr="002E74DA">
              <w:rPr>
                <w:color w:val="000000"/>
                <w:sz w:val="22"/>
              </w:rPr>
              <w:t>WHUT</w:t>
            </w:r>
          </w:p>
        </w:tc>
        <w:tc>
          <w:tcPr>
            <w:tcW w:w="1631" w:type="dxa"/>
            <w:noWrap/>
            <w:hideMark/>
          </w:tcPr>
          <w:p w14:paraId="584BF728" w14:textId="77777777" w:rsidR="00EC2BE5" w:rsidRPr="002E74DA" w:rsidRDefault="00EC2BE5" w:rsidP="0051420F">
            <w:pPr>
              <w:spacing w:line="240" w:lineRule="auto"/>
              <w:jc w:val="right"/>
              <w:rPr>
                <w:sz w:val="22"/>
              </w:rPr>
            </w:pPr>
            <w:r w:rsidRPr="002E74DA">
              <w:rPr>
                <w:sz w:val="22"/>
              </w:rPr>
              <w:t>0.33</w:t>
            </w:r>
          </w:p>
        </w:tc>
        <w:tc>
          <w:tcPr>
            <w:tcW w:w="1773" w:type="dxa"/>
            <w:noWrap/>
            <w:hideMark/>
          </w:tcPr>
          <w:p w14:paraId="75559936" w14:textId="77777777" w:rsidR="00EC2BE5" w:rsidRPr="002E74DA" w:rsidRDefault="00EC2BE5" w:rsidP="0051420F">
            <w:pPr>
              <w:spacing w:line="240" w:lineRule="auto"/>
              <w:jc w:val="right"/>
              <w:rPr>
                <w:sz w:val="22"/>
              </w:rPr>
            </w:pPr>
            <w:r w:rsidRPr="002E74DA">
              <w:rPr>
                <w:sz w:val="22"/>
              </w:rPr>
              <w:t>0.33</w:t>
            </w:r>
          </w:p>
        </w:tc>
        <w:tc>
          <w:tcPr>
            <w:tcW w:w="1668" w:type="dxa"/>
            <w:noWrap/>
            <w:hideMark/>
          </w:tcPr>
          <w:p w14:paraId="6FE3AB18" w14:textId="77777777" w:rsidR="00EC2BE5" w:rsidRPr="002E74DA" w:rsidRDefault="00EC2BE5" w:rsidP="0051420F">
            <w:pPr>
              <w:spacing w:line="240" w:lineRule="auto"/>
              <w:jc w:val="right"/>
              <w:rPr>
                <w:sz w:val="22"/>
              </w:rPr>
            </w:pPr>
            <w:r w:rsidRPr="002E74DA">
              <w:rPr>
                <w:sz w:val="22"/>
              </w:rPr>
              <w:t>0.33</w:t>
            </w:r>
          </w:p>
        </w:tc>
      </w:tr>
    </w:tbl>
    <w:p w14:paraId="479848B1" w14:textId="399E814E" w:rsidR="00BB2459" w:rsidRPr="00EC2BE5" w:rsidRDefault="007B5959" w:rsidP="00EC2BE5">
      <w:pPr>
        <w:pStyle w:val="Caption"/>
        <w:rPr>
          <w:rFonts w:eastAsia="Times New Roman"/>
          <w:bCs/>
          <w:kern w:val="2"/>
          <w:lang w:val="en-US"/>
        </w:rPr>
      </w:pPr>
      <w:bookmarkStart w:id="948" w:name="_Ref45022392"/>
      <w:bookmarkStart w:id="949" w:name="_Toc46053584"/>
      <w:bookmarkStart w:id="950" w:name="_Toc46093833"/>
      <w:bookmarkStart w:id="951" w:name="_Toc66698799"/>
      <w:r>
        <w:t>Table</w:t>
      </w:r>
      <w:r w:rsidR="00044DEC">
        <w:t xml:space="preserve"> </w:t>
      </w:r>
      <w:r w:rsidR="000306D9">
        <w:fldChar w:fldCharType="begin"/>
      </w:r>
      <w:r w:rsidR="000306D9">
        <w:instrText xml:space="preserve"> STYLEREF 1 \s </w:instrText>
      </w:r>
      <w:r w:rsidR="000306D9">
        <w:fldChar w:fldCharType="separate"/>
      </w:r>
      <w:r w:rsidR="0005064B">
        <w:rPr>
          <w:noProof/>
        </w:rPr>
        <w:t>6</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6</w:t>
      </w:r>
      <w:r w:rsidR="000306D9">
        <w:rPr>
          <w:noProof/>
        </w:rPr>
        <w:fldChar w:fldCharType="end"/>
      </w:r>
      <w:bookmarkEnd w:id="948"/>
      <w:r w:rsidR="00FB0694">
        <w:t>:</w:t>
      </w:r>
      <w:r w:rsidR="00044DEC">
        <w:t xml:space="preserve"> </w:t>
      </w:r>
      <w:r w:rsidR="00BB2459">
        <w:rPr>
          <w:rFonts w:eastAsia="Times New Roman"/>
          <w:bCs/>
          <w:i w:val="0"/>
          <w:kern w:val="2"/>
          <w:lang w:val="en-US"/>
        </w:rPr>
        <w:t>W</w:t>
      </w:r>
      <w:r w:rsidR="00BB2459" w:rsidRPr="002C60C1">
        <w:rPr>
          <w:rFonts w:eastAsia="Times New Roman"/>
          <w:bCs/>
          <w:i w:val="0"/>
          <w:kern w:val="2"/>
          <w:lang w:val="en-US"/>
        </w:rPr>
        <w:t>eight</w:t>
      </w:r>
      <w:r w:rsidR="00BB2459">
        <w:rPr>
          <w:rFonts w:eastAsia="Times New Roman"/>
          <w:bCs/>
          <w:i w:val="0"/>
          <w:kern w:val="2"/>
          <w:lang w:val="en-US"/>
        </w:rPr>
        <w:t>s</w:t>
      </w:r>
      <w:r w:rsidR="00BB2459" w:rsidRPr="002C60C1">
        <w:rPr>
          <w:rFonts w:eastAsia="Times New Roman"/>
          <w:bCs/>
          <w:i w:val="0"/>
          <w:kern w:val="2"/>
          <w:lang w:val="en-US"/>
        </w:rPr>
        <w:t xml:space="preserve"> of </w:t>
      </w:r>
      <w:r w:rsidR="00BB2459">
        <w:rPr>
          <w:rFonts w:eastAsia="Times New Roman"/>
          <w:bCs/>
          <w:i w:val="0"/>
          <w:kern w:val="2"/>
          <w:lang w:val="en-US"/>
        </w:rPr>
        <w:t>sustainable urban logistics (</w:t>
      </w:r>
      <w:r w:rsidR="00BB2459" w:rsidRPr="002C60C1">
        <w:rPr>
          <w:rFonts w:eastAsia="Times New Roman"/>
          <w:bCs/>
          <w:i w:val="0"/>
          <w:kern w:val="2"/>
          <w:lang w:val="en-US"/>
        </w:rPr>
        <w:t>SUL</w:t>
      </w:r>
      <w:r w:rsidR="00BB2459">
        <w:rPr>
          <w:rFonts w:eastAsia="Times New Roman"/>
          <w:bCs/>
          <w:i w:val="0"/>
          <w:kern w:val="2"/>
          <w:lang w:val="en-US"/>
        </w:rPr>
        <w:t>)</w:t>
      </w:r>
      <w:r w:rsidR="00BB2459" w:rsidRPr="002C60C1">
        <w:rPr>
          <w:rFonts w:eastAsia="Times New Roman"/>
          <w:bCs/>
          <w:i w:val="0"/>
          <w:kern w:val="2"/>
          <w:lang w:val="en-US"/>
        </w:rPr>
        <w:t xml:space="preserve"> </w:t>
      </w:r>
      <w:r w:rsidR="00BB2459">
        <w:rPr>
          <w:rFonts w:eastAsia="Times New Roman"/>
          <w:bCs/>
          <w:i w:val="0"/>
          <w:kern w:val="2"/>
          <w:lang w:val="en-US"/>
        </w:rPr>
        <w:t xml:space="preserve">dimensions, as assigned by urban consolidation </w:t>
      </w:r>
      <w:proofErr w:type="spellStart"/>
      <w:r w:rsidR="00BB2459">
        <w:rPr>
          <w:rFonts w:eastAsia="Times New Roman"/>
          <w:bCs/>
          <w:i w:val="0"/>
          <w:kern w:val="2"/>
          <w:lang w:val="en-US"/>
        </w:rPr>
        <w:t>centre</w:t>
      </w:r>
      <w:proofErr w:type="spellEnd"/>
      <w:r w:rsidR="00BB2459">
        <w:rPr>
          <w:rFonts w:eastAsia="Times New Roman"/>
          <w:bCs/>
          <w:i w:val="0"/>
          <w:kern w:val="2"/>
          <w:lang w:val="en-US"/>
        </w:rPr>
        <w:t xml:space="preserve"> (</w:t>
      </w:r>
      <w:r w:rsidR="00BB2459" w:rsidRPr="002C60C1">
        <w:rPr>
          <w:rFonts w:eastAsia="Times New Roman"/>
          <w:bCs/>
          <w:i w:val="0"/>
          <w:kern w:val="2"/>
          <w:lang w:val="en-US"/>
        </w:rPr>
        <w:t>UCC</w:t>
      </w:r>
      <w:r w:rsidR="00BB2459">
        <w:rPr>
          <w:rFonts w:eastAsia="Times New Roman"/>
          <w:bCs/>
          <w:i w:val="0"/>
          <w:kern w:val="2"/>
          <w:lang w:val="en-US"/>
        </w:rPr>
        <w:t>)</w:t>
      </w:r>
      <w:r w:rsidR="00BB2459" w:rsidRPr="002C60C1">
        <w:rPr>
          <w:rFonts w:eastAsia="Times New Roman"/>
          <w:bCs/>
          <w:i w:val="0"/>
          <w:kern w:val="2"/>
          <w:lang w:val="en-US"/>
        </w:rPr>
        <w:t xml:space="preserve"> </w:t>
      </w:r>
      <w:proofErr w:type="gramStart"/>
      <w:r w:rsidR="00BB2459">
        <w:rPr>
          <w:rFonts w:eastAsia="Times New Roman"/>
          <w:bCs/>
          <w:i w:val="0"/>
          <w:kern w:val="2"/>
          <w:lang w:val="en-US"/>
        </w:rPr>
        <w:t>s</w:t>
      </w:r>
      <w:r w:rsidR="00BB2459" w:rsidRPr="002C60C1">
        <w:rPr>
          <w:rFonts w:eastAsia="Times New Roman"/>
          <w:bCs/>
          <w:i w:val="0"/>
          <w:kern w:val="2"/>
          <w:lang w:val="en-US"/>
        </w:rPr>
        <w:t>takeholders</w:t>
      </w:r>
      <w:bookmarkEnd w:id="949"/>
      <w:bookmarkEnd w:id="950"/>
      <w:bookmarkEnd w:id="951"/>
      <w:proofErr w:type="gramEnd"/>
    </w:p>
    <w:p w14:paraId="277D2489" w14:textId="30CC8C05" w:rsidR="00BB2459" w:rsidRPr="00A73599" w:rsidRDefault="00BB2459" w:rsidP="00510360">
      <w:pPr>
        <w:spacing w:after="240" w:line="360" w:lineRule="auto"/>
      </w:pPr>
      <w:r>
        <w:t xml:space="preserve">Differences </w:t>
      </w:r>
      <w:r w:rsidR="00447D94">
        <w:t>in</w:t>
      </w:r>
      <w:r>
        <w:t xml:space="preserve"> opinion are </w:t>
      </w:r>
      <w:r w:rsidR="00447D94">
        <w:t>apparent</w:t>
      </w:r>
      <w:r>
        <w:t xml:space="preserve"> in all three dimensions, as illustrated in</w:t>
      </w:r>
      <w:r w:rsidR="00D66FFA">
        <w:t xml:space="preserve"> </w:t>
      </w:r>
      <w:r w:rsidR="00D66FFA">
        <w:fldChar w:fldCharType="begin"/>
      </w:r>
      <w:r w:rsidR="00D66FFA">
        <w:instrText xml:space="preserve"> REF _Ref45022400 \h </w:instrText>
      </w:r>
      <w:r w:rsidR="00D66FFA">
        <w:fldChar w:fldCharType="separate"/>
      </w:r>
      <w:r w:rsidR="0005064B">
        <w:t xml:space="preserve">Table </w:t>
      </w:r>
      <w:r w:rsidR="0005064B">
        <w:rPr>
          <w:noProof/>
        </w:rPr>
        <w:t>6</w:t>
      </w:r>
      <w:r w:rsidR="0005064B">
        <w:noBreakHyphen/>
      </w:r>
      <w:r w:rsidR="0005064B">
        <w:rPr>
          <w:noProof/>
        </w:rPr>
        <w:t>7</w:t>
      </w:r>
      <w:r w:rsidR="00D66FFA">
        <w:fldChar w:fldCharType="end"/>
      </w:r>
      <w:r>
        <w:t xml:space="preserve">  (economic), </w:t>
      </w:r>
      <w:r w:rsidR="00D66FFA">
        <w:fldChar w:fldCharType="begin"/>
      </w:r>
      <w:r w:rsidR="00D66FFA">
        <w:instrText xml:space="preserve"> REF _Ref45022429 \h </w:instrText>
      </w:r>
      <w:r w:rsidR="00D66FFA">
        <w:fldChar w:fldCharType="separate"/>
      </w:r>
      <w:r w:rsidR="0005064B">
        <w:t xml:space="preserve">Table </w:t>
      </w:r>
      <w:r w:rsidR="0005064B">
        <w:rPr>
          <w:noProof/>
        </w:rPr>
        <w:t>6</w:t>
      </w:r>
      <w:r w:rsidR="0005064B">
        <w:noBreakHyphen/>
      </w:r>
      <w:r w:rsidR="0005064B">
        <w:rPr>
          <w:noProof/>
        </w:rPr>
        <w:t>8</w:t>
      </w:r>
      <w:r w:rsidR="00D66FFA">
        <w:fldChar w:fldCharType="end"/>
      </w:r>
      <w:r w:rsidR="00D66FFA">
        <w:t xml:space="preserve"> </w:t>
      </w:r>
      <w:r>
        <w:t xml:space="preserve">(environmental), and </w:t>
      </w:r>
      <w:r w:rsidR="00D66FFA">
        <w:fldChar w:fldCharType="begin"/>
      </w:r>
      <w:r w:rsidR="00D66FFA">
        <w:instrText xml:space="preserve"> REF _Ref45022435 \h </w:instrText>
      </w:r>
      <w:r w:rsidR="00D66FFA">
        <w:fldChar w:fldCharType="separate"/>
      </w:r>
      <w:r w:rsidR="0005064B">
        <w:t xml:space="preserve">Table </w:t>
      </w:r>
      <w:r w:rsidR="0005064B">
        <w:rPr>
          <w:noProof/>
        </w:rPr>
        <w:t>6</w:t>
      </w:r>
      <w:r w:rsidR="0005064B">
        <w:noBreakHyphen/>
      </w:r>
      <w:r w:rsidR="0005064B">
        <w:rPr>
          <w:noProof/>
        </w:rPr>
        <w:t>9</w:t>
      </w:r>
      <w:r w:rsidR="00D66FFA">
        <w:fldChar w:fldCharType="end"/>
      </w:r>
      <w:r>
        <w:t xml:space="preserve"> (social). </w:t>
      </w:r>
    </w:p>
    <w:tbl>
      <w:tblPr>
        <w:tblStyle w:val="TableGrid12"/>
        <w:tblW w:w="9016" w:type="dxa"/>
        <w:tblLook w:val="04A0" w:firstRow="1" w:lastRow="0" w:firstColumn="1" w:lastColumn="0" w:noHBand="0" w:noVBand="1"/>
      </w:tblPr>
      <w:tblGrid>
        <w:gridCol w:w="1165"/>
        <w:gridCol w:w="898"/>
        <w:gridCol w:w="1668"/>
        <w:gridCol w:w="831"/>
        <w:gridCol w:w="831"/>
        <w:gridCol w:w="839"/>
        <w:gridCol w:w="975"/>
        <w:gridCol w:w="926"/>
        <w:gridCol w:w="883"/>
      </w:tblGrid>
      <w:tr w:rsidR="00BB2459" w:rsidRPr="00A73599" w14:paraId="56BD6081" w14:textId="77777777" w:rsidTr="00D66FFA">
        <w:trPr>
          <w:trHeight w:val="278"/>
        </w:trPr>
        <w:tc>
          <w:tcPr>
            <w:tcW w:w="1165" w:type="dxa"/>
            <w:noWrap/>
            <w:vAlign w:val="center"/>
            <w:hideMark/>
          </w:tcPr>
          <w:p w14:paraId="06EF67FA" w14:textId="77777777" w:rsidR="00BB2459" w:rsidRPr="00A73599" w:rsidRDefault="00BB2459" w:rsidP="00622AC7">
            <w:pPr>
              <w:jc w:val="center"/>
              <w:rPr>
                <w:b/>
                <w:bCs/>
                <w:color w:val="000000"/>
                <w:sz w:val="22"/>
              </w:rPr>
            </w:pPr>
            <w:r w:rsidRPr="00A73599">
              <w:rPr>
                <w:b/>
                <w:bCs/>
                <w:color w:val="000000"/>
                <w:sz w:val="22"/>
              </w:rPr>
              <w:t>Country</w:t>
            </w:r>
          </w:p>
        </w:tc>
        <w:tc>
          <w:tcPr>
            <w:tcW w:w="898" w:type="dxa"/>
            <w:noWrap/>
            <w:vAlign w:val="center"/>
            <w:hideMark/>
          </w:tcPr>
          <w:p w14:paraId="29748AE2" w14:textId="77777777" w:rsidR="00BB2459" w:rsidRPr="00A73599" w:rsidRDefault="00BB2459" w:rsidP="00622AC7">
            <w:pPr>
              <w:jc w:val="center"/>
              <w:rPr>
                <w:b/>
                <w:bCs/>
                <w:color w:val="000000"/>
                <w:sz w:val="22"/>
              </w:rPr>
            </w:pPr>
            <w:r w:rsidRPr="00A73599">
              <w:rPr>
                <w:b/>
                <w:bCs/>
                <w:color w:val="000000"/>
                <w:sz w:val="22"/>
              </w:rPr>
              <w:t>Cases</w:t>
            </w:r>
          </w:p>
        </w:tc>
        <w:tc>
          <w:tcPr>
            <w:tcW w:w="1668" w:type="dxa"/>
            <w:noWrap/>
            <w:vAlign w:val="center"/>
            <w:hideMark/>
          </w:tcPr>
          <w:p w14:paraId="7700C841" w14:textId="77777777" w:rsidR="00BB2459" w:rsidRPr="00A73599" w:rsidRDefault="00BB2459" w:rsidP="00622AC7">
            <w:pPr>
              <w:jc w:val="center"/>
              <w:rPr>
                <w:b/>
                <w:bCs/>
                <w:color w:val="000000"/>
                <w:sz w:val="22"/>
              </w:rPr>
            </w:pPr>
            <w:r w:rsidRPr="00A73599">
              <w:rPr>
                <w:b/>
                <w:bCs/>
                <w:color w:val="000000"/>
                <w:sz w:val="22"/>
              </w:rPr>
              <w:t>Stakeholders</w:t>
            </w:r>
          </w:p>
        </w:tc>
        <w:tc>
          <w:tcPr>
            <w:tcW w:w="831" w:type="dxa"/>
            <w:noWrap/>
            <w:vAlign w:val="center"/>
            <w:hideMark/>
          </w:tcPr>
          <w:p w14:paraId="740F62BE" w14:textId="77777777" w:rsidR="00BB2459" w:rsidRPr="00A73599" w:rsidRDefault="00BB2459" w:rsidP="00622AC7">
            <w:pPr>
              <w:jc w:val="center"/>
              <w:rPr>
                <w:b/>
                <w:bCs/>
                <w:color w:val="000000"/>
                <w:sz w:val="22"/>
              </w:rPr>
            </w:pPr>
            <w:r w:rsidRPr="00A73599">
              <w:rPr>
                <w:b/>
                <w:bCs/>
                <w:color w:val="000000"/>
                <w:sz w:val="22"/>
              </w:rPr>
              <w:t>AOC</w:t>
            </w:r>
          </w:p>
        </w:tc>
        <w:tc>
          <w:tcPr>
            <w:tcW w:w="831" w:type="dxa"/>
            <w:noWrap/>
            <w:vAlign w:val="center"/>
            <w:hideMark/>
          </w:tcPr>
          <w:p w14:paraId="0D4BFA0E" w14:textId="77777777" w:rsidR="00BB2459" w:rsidRPr="00A73599" w:rsidRDefault="00BB2459" w:rsidP="00622AC7">
            <w:pPr>
              <w:jc w:val="center"/>
              <w:rPr>
                <w:b/>
                <w:bCs/>
                <w:color w:val="000000"/>
                <w:sz w:val="22"/>
              </w:rPr>
            </w:pPr>
            <w:r w:rsidRPr="00A73599">
              <w:rPr>
                <w:b/>
                <w:bCs/>
                <w:color w:val="000000"/>
                <w:sz w:val="22"/>
              </w:rPr>
              <w:t>TDP</w:t>
            </w:r>
          </w:p>
        </w:tc>
        <w:tc>
          <w:tcPr>
            <w:tcW w:w="839" w:type="dxa"/>
            <w:noWrap/>
            <w:vAlign w:val="center"/>
            <w:hideMark/>
          </w:tcPr>
          <w:p w14:paraId="36C49545" w14:textId="77777777" w:rsidR="00BB2459" w:rsidRPr="00A73599" w:rsidRDefault="00BB2459" w:rsidP="00622AC7">
            <w:pPr>
              <w:jc w:val="center"/>
              <w:rPr>
                <w:b/>
                <w:bCs/>
                <w:color w:val="000000"/>
                <w:sz w:val="22"/>
              </w:rPr>
            </w:pPr>
            <w:r w:rsidRPr="00A73599">
              <w:rPr>
                <w:b/>
                <w:bCs/>
                <w:color w:val="000000"/>
                <w:sz w:val="22"/>
              </w:rPr>
              <w:t>ISUR</w:t>
            </w:r>
          </w:p>
        </w:tc>
        <w:tc>
          <w:tcPr>
            <w:tcW w:w="975" w:type="dxa"/>
            <w:noWrap/>
            <w:vAlign w:val="center"/>
            <w:hideMark/>
          </w:tcPr>
          <w:p w14:paraId="2E9F5C06" w14:textId="77777777" w:rsidR="00BB2459" w:rsidRPr="00A73599" w:rsidRDefault="00BB2459" w:rsidP="00622AC7">
            <w:pPr>
              <w:jc w:val="center"/>
              <w:rPr>
                <w:b/>
                <w:bCs/>
                <w:color w:val="000000"/>
                <w:sz w:val="22"/>
              </w:rPr>
            </w:pPr>
            <w:r w:rsidRPr="00A73599">
              <w:rPr>
                <w:b/>
                <w:bCs/>
                <w:color w:val="000000"/>
                <w:sz w:val="22"/>
              </w:rPr>
              <w:t>GHEE</w:t>
            </w:r>
          </w:p>
        </w:tc>
        <w:tc>
          <w:tcPr>
            <w:tcW w:w="926" w:type="dxa"/>
            <w:noWrap/>
            <w:vAlign w:val="center"/>
            <w:hideMark/>
          </w:tcPr>
          <w:p w14:paraId="329A117F" w14:textId="77777777" w:rsidR="00BB2459" w:rsidRPr="00A73599" w:rsidRDefault="00BB2459" w:rsidP="00622AC7">
            <w:pPr>
              <w:jc w:val="center"/>
              <w:rPr>
                <w:b/>
                <w:bCs/>
                <w:color w:val="000000"/>
                <w:sz w:val="22"/>
              </w:rPr>
            </w:pPr>
            <w:r w:rsidRPr="00A73599">
              <w:rPr>
                <w:b/>
                <w:bCs/>
                <w:color w:val="000000"/>
                <w:sz w:val="22"/>
              </w:rPr>
              <w:t>DAR</w:t>
            </w:r>
          </w:p>
        </w:tc>
        <w:tc>
          <w:tcPr>
            <w:tcW w:w="883" w:type="dxa"/>
            <w:noWrap/>
            <w:vAlign w:val="center"/>
            <w:hideMark/>
          </w:tcPr>
          <w:p w14:paraId="5B9DFB45" w14:textId="77777777" w:rsidR="00BB2459" w:rsidRPr="00A73599" w:rsidRDefault="00BB2459" w:rsidP="00622AC7">
            <w:pPr>
              <w:jc w:val="center"/>
              <w:rPr>
                <w:b/>
                <w:bCs/>
                <w:color w:val="000000"/>
                <w:sz w:val="22"/>
              </w:rPr>
            </w:pPr>
            <w:r w:rsidRPr="00A73599">
              <w:rPr>
                <w:b/>
                <w:bCs/>
                <w:color w:val="000000"/>
                <w:sz w:val="22"/>
              </w:rPr>
              <w:t>LTDU</w:t>
            </w:r>
          </w:p>
        </w:tc>
      </w:tr>
      <w:tr w:rsidR="00BB2459" w:rsidRPr="00A73599" w14:paraId="2F26341F" w14:textId="77777777" w:rsidTr="00D66FFA">
        <w:trPr>
          <w:trHeight w:val="278"/>
        </w:trPr>
        <w:tc>
          <w:tcPr>
            <w:tcW w:w="1165" w:type="dxa"/>
            <w:vMerge w:val="restart"/>
            <w:noWrap/>
            <w:vAlign w:val="center"/>
            <w:hideMark/>
          </w:tcPr>
          <w:p w14:paraId="3A2C17EB" w14:textId="77777777" w:rsidR="00BB2459" w:rsidRPr="00A73599" w:rsidRDefault="00BB2459" w:rsidP="00622AC7">
            <w:pPr>
              <w:jc w:val="center"/>
              <w:rPr>
                <w:color w:val="000000"/>
                <w:sz w:val="22"/>
              </w:rPr>
            </w:pPr>
            <w:r w:rsidRPr="00A73599">
              <w:rPr>
                <w:color w:val="000000"/>
                <w:sz w:val="22"/>
              </w:rPr>
              <w:t>Sweden</w:t>
            </w:r>
          </w:p>
        </w:tc>
        <w:tc>
          <w:tcPr>
            <w:tcW w:w="898" w:type="dxa"/>
            <w:vMerge w:val="restart"/>
            <w:noWrap/>
            <w:vAlign w:val="center"/>
            <w:hideMark/>
          </w:tcPr>
          <w:p w14:paraId="489E7128" w14:textId="77777777" w:rsidR="00BB2459" w:rsidRPr="00A73599" w:rsidRDefault="00BB2459" w:rsidP="00622AC7">
            <w:pPr>
              <w:jc w:val="center"/>
              <w:rPr>
                <w:color w:val="000000"/>
                <w:sz w:val="22"/>
              </w:rPr>
            </w:pPr>
            <w:r w:rsidRPr="00A73599">
              <w:rPr>
                <w:color w:val="000000"/>
                <w:sz w:val="22"/>
              </w:rPr>
              <w:t>Case 1</w:t>
            </w:r>
          </w:p>
        </w:tc>
        <w:tc>
          <w:tcPr>
            <w:tcW w:w="1668" w:type="dxa"/>
            <w:noWrap/>
            <w:hideMark/>
          </w:tcPr>
          <w:p w14:paraId="0167DCC2" w14:textId="77777777" w:rsidR="00BB2459" w:rsidRPr="00A73599" w:rsidRDefault="00BB2459" w:rsidP="00622AC7">
            <w:pPr>
              <w:rPr>
                <w:color w:val="000000"/>
                <w:sz w:val="22"/>
              </w:rPr>
            </w:pPr>
            <w:r w:rsidRPr="00A73599">
              <w:rPr>
                <w:color w:val="000000"/>
                <w:sz w:val="22"/>
              </w:rPr>
              <w:t>SS</w:t>
            </w:r>
          </w:p>
        </w:tc>
        <w:tc>
          <w:tcPr>
            <w:tcW w:w="831" w:type="dxa"/>
            <w:noWrap/>
            <w:hideMark/>
          </w:tcPr>
          <w:p w14:paraId="088CAE0F" w14:textId="77777777" w:rsidR="00BB2459" w:rsidRPr="00A73599" w:rsidRDefault="00BB2459" w:rsidP="00622AC7">
            <w:pPr>
              <w:jc w:val="right"/>
              <w:rPr>
                <w:color w:val="000000" w:themeColor="text1"/>
                <w:sz w:val="22"/>
              </w:rPr>
            </w:pPr>
            <w:r w:rsidRPr="00A73599">
              <w:rPr>
                <w:color w:val="000000" w:themeColor="text1"/>
                <w:sz w:val="22"/>
              </w:rPr>
              <w:t>0.08</w:t>
            </w:r>
          </w:p>
        </w:tc>
        <w:tc>
          <w:tcPr>
            <w:tcW w:w="831" w:type="dxa"/>
            <w:noWrap/>
            <w:hideMark/>
          </w:tcPr>
          <w:p w14:paraId="17FE360B" w14:textId="77777777" w:rsidR="00BB2459" w:rsidRPr="00A73599" w:rsidRDefault="00BB2459" w:rsidP="00622AC7">
            <w:pPr>
              <w:jc w:val="right"/>
              <w:rPr>
                <w:color w:val="000000" w:themeColor="text1"/>
                <w:sz w:val="22"/>
              </w:rPr>
            </w:pPr>
            <w:r w:rsidRPr="00A73599">
              <w:rPr>
                <w:color w:val="000000" w:themeColor="text1"/>
                <w:sz w:val="22"/>
              </w:rPr>
              <w:t>0.07</w:t>
            </w:r>
          </w:p>
        </w:tc>
        <w:tc>
          <w:tcPr>
            <w:tcW w:w="839" w:type="dxa"/>
            <w:noWrap/>
            <w:hideMark/>
          </w:tcPr>
          <w:p w14:paraId="0E6BF2A4" w14:textId="77777777" w:rsidR="00BB2459" w:rsidRPr="00A73599" w:rsidRDefault="00BB2459" w:rsidP="00622AC7">
            <w:pPr>
              <w:jc w:val="right"/>
              <w:rPr>
                <w:color w:val="000000" w:themeColor="text1"/>
                <w:sz w:val="22"/>
              </w:rPr>
            </w:pPr>
            <w:r w:rsidRPr="00A73599">
              <w:rPr>
                <w:color w:val="000000" w:themeColor="text1"/>
                <w:sz w:val="22"/>
              </w:rPr>
              <w:t>0.40</w:t>
            </w:r>
          </w:p>
        </w:tc>
        <w:tc>
          <w:tcPr>
            <w:tcW w:w="975" w:type="dxa"/>
            <w:noWrap/>
            <w:hideMark/>
          </w:tcPr>
          <w:p w14:paraId="5E4846F8" w14:textId="77777777" w:rsidR="00BB2459" w:rsidRPr="00A73599" w:rsidRDefault="00BB2459" w:rsidP="00622AC7">
            <w:pPr>
              <w:jc w:val="right"/>
              <w:rPr>
                <w:color w:val="000000" w:themeColor="text1"/>
                <w:sz w:val="22"/>
              </w:rPr>
            </w:pPr>
            <w:r w:rsidRPr="00A73599">
              <w:rPr>
                <w:color w:val="000000" w:themeColor="text1"/>
                <w:sz w:val="22"/>
              </w:rPr>
              <w:t>0.03</w:t>
            </w:r>
          </w:p>
        </w:tc>
        <w:tc>
          <w:tcPr>
            <w:tcW w:w="926" w:type="dxa"/>
            <w:noWrap/>
            <w:hideMark/>
          </w:tcPr>
          <w:p w14:paraId="15D781EF" w14:textId="77777777" w:rsidR="00BB2459" w:rsidRPr="00A73599" w:rsidRDefault="00BB2459" w:rsidP="00622AC7">
            <w:pPr>
              <w:jc w:val="right"/>
              <w:rPr>
                <w:color w:val="000000" w:themeColor="text1"/>
                <w:sz w:val="22"/>
              </w:rPr>
            </w:pPr>
            <w:r w:rsidRPr="00A73599">
              <w:rPr>
                <w:color w:val="000000" w:themeColor="text1"/>
                <w:sz w:val="22"/>
              </w:rPr>
              <w:t>0.20</w:t>
            </w:r>
          </w:p>
        </w:tc>
        <w:tc>
          <w:tcPr>
            <w:tcW w:w="883" w:type="dxa"/>
            <w:noWrap/>
            <w:hideMark/>
          </w:tcPr>
          <w:p w14:paraId="07A063ED" w14:textId="77777777" w:rsidR="00BB2459" w:rsidRPr="00A73599" w:rsidRDefault="00BB2459" w:rsidP="00622AC7">
            <w:pPr>
              <w:jc w:val="right"/>
              <w:rPr>
                <w:color w:val="000000" w:themeColor="text1"/>
                <w:sz w:val="22"/>
              </w:rPr>
            </w:pPr>
            <w:r w:rsidRPr="00A73599">
              <w:rPr>
                <w:color w:val="000000" w:themeColor="text1"/>
                <w:sz w:val="22"/>
              </w:rPr>
              <w:t>0.22</w:t>
            </w:r>
          </w:p>
        </w:tc>
      </w:tr>
      <w:tr w:rsidR="00BB2459" w:rsidRPr="00A73599" w14:paraId="05EDF8CA" w14:textId="77777777" w:rsidTr="00D66FFA">
        <w:trPr>
          <w:trHeight w:val="278"/>
        </w:trPr>
        <w:tc>
          <w:tcPr>
            <w:tcW w:w="1165" w:type="dxa"/>
            <w:vMerge/>
            <w:vAlign w:val="center"/>
            <w:hideMark/>
          </w:tcPr>
          <w:p w14:paraId="67AA4581" w14:textId="77777777" w:rsidR="00BB2459" w:rsidRPr="00A73599" w:rsidRDefault="00BB2459" w:rsidP="00622AC7">
            <w:pPr>
              <w:jc w:val="center"/>
              <w:rPr>
                <w:color w:val="000000"/>
                <w:sz w:val="22"/>
              </w:rPr>
            </w:pPr>
          </w:p>
        </w:tc>
        <w:tc>
          <w:tcPr>
            <w:tcW w:w="898" w:type="dxa"/>
            <w:vMerge/>
            <w:vAlign w:val="center"/>
            <w:hideMark/>
          </w:tcPr>
          <w:p w14:paraId="0A394134" w14:textId="77777777" w:rsidR="00BB2459" w:rsidRPr="00A73599" w:rsidRDefault="00BB2459" w:rsidP="00622AC7">
            <w:pPr>
              <w:jc w:val="center"/>
              <w:rPr>
                <w:color w:val="000000"/>
                <w:sz w:val="22"/>
              </w:rPr>
            </w:pPr>
          </w:p>
        </w:tc>
        <w:tc>
          <w:tcPr>
            <w:tcW w:w="1668" w:type="dxa"/>
            <w:noWrap/>
            <w:hideMark/>
          </w:tcPr>
          <w:p w14:paraId="51872B7A" w14:textId="77777777" w:rsidR="00BB2459" w:rsidRPr="00A73599" w:rsidRDefault="00BB2459" w:rsidP="00622AC7">
            <w:pPr>
              <w:rPr>
                <w:color w:val="000000"/>
                <w:sz w:val="22"/>
              </w:rPr>
            </w:pPr>
            <w:r w:rsidRPr="00A73599">
              <w:rPr>
                <w:color w:val="000000"/>
                <w:sz w:val="22"/>
              </w:rPr>
              <w:t>WCC</w:t>
            </w:r>
          </w:p>
        </w:tc>
        <w:tc>
          <w:tcPr>
            <w:tcW w:w="831" w:type="dxa"/>
            <w:noWrap/>
            <w:hideMark/>
          </w:tcPr>
          <w:p w14:paraId="499BBB04" w14:textId="77777777" w:rsidR="00BB2459" w:rsidRPr="00A73599" w:rsidRDefault="00BB2459" w:rsidP="00622AC7">
            <w:pPr>
              <w:jc w:val="right"/>
              <w:rPr>
                <w:color w:val="000000" w:themeColor="text1"/>
                <w:sz w:val="22"/>
              </w:rPr>
            </w:pPr>
            <w:r w:rsidRPr="00A73599">
              <w:rPr>
                <w:color w:val="000000" w:themeColor="text1"/>
                <w:sz w:val="22"/>
              </w:rPr>
              <w:t>0.11</w:t>
            </w:r>
          </w:p>
        </w:tc>
        <w:tc>
          <w:tcPr>
            <w:tcW w:w="831" w:type="dxa"/>
            <w:noWrap/>
            <w:hideMark/>
          </w:tcPr>
          <w:p w14:paraId="76625E2B" w14:textId="77777777" w:rsidR="00BB2459" w:rsidRPr="00A73599" w:rsidRDefault="00BB2459" w:rsidP="00622AC7">
            <w:pPr>
              <w:jc w:val="right"/>
              <w:rPr>
                <w:color w:val="000000" w:themeColor="text1"/>
                <w:sz w:val="22"/>
              </w:rPr>
            </w:pPr>
            <w:r w:rsidRPr="00A73599">
              <w:rPr>
                <w:color w:val="000000" w:themeColor="text1"/>
                <w:sz w:val="22"/>
              </w:rPr>
              <w:t>0.44</w:t>
            </w:r>
          </w:p>
        </w:tc>
        <w:tc>
          <w:tcPr>
            <w:tcW w:w="839" w:type="dxa"/>
            <w:noWrap/>
            <w:hideMark/>
          </w:tcPr>
          <w:p w14:paraId="36C39008" w14:textId="77777777" w:rsidR="00BB2459" w:rsidRPr="00A73599" w:rsidRDefault="00BB2459" w:rsidP="00622AC7">
            <w:pPr>
              <w:jc w:val="right"/>
              <w:rPr>
                <w:color w:val="000000" w:themeColor="text1"/>
                <w:sz w:val="22"/>
              </w:rPr>
            </w:pPr>
            <w:r w:rsidRPr="00A73599">
              <w:rPr>
                <w:color w:val="000000" w:themeColor="text1"/>
                <w:sz w:val="22"/>
              </w:rPr>
              <w:t>0.10</w:t>
            </w:r>
          </w:p>
        </w:tc>
        <w:tc>
          <w:tcPr>
            <w:tcW w:w="975" w:type="dxa"/>
            <w:noWrap/>
            <w:hideMark/>
          </w:tcPr>
          <w:p w14:paraId="077958DA" w14:textId="77777777" w:rsidR="00BB2459" w:rsidRPr="00A73599" w:rsidRDefault="00BB2459" w:rsidP="00622AC7">
            <w:pPr>
              <w:jc w:val="right"/>
              <w:rPr>
                <w:color w:val="000000" w:themeColor="text1"/>
                <w:sz w:val="22"/>
              </w:rPr>
            </w:pPr>
            <w:r w:rsidRPr="00A73599">
              <w:rPr>
                <w:color w:val="000000" w:themeColor="text1"/>
                <w:sz w:val="22"/>
              </w:rPr>
              <w:t>0.08</w:t>
            </w:r>
          </w:p>
        </w:tc>
        <w:tc>
          <w:tcPr>
            <w:tcW w:w="926" w:type="dxa"/>
            <w:noWrap/>
            <w:hideMark/>
          </w:tcPr>
          <w:p w14:paraId="555263C8" w14:textId="77777777" w:rsidR="00BB2459" w:rsidRPr="00A73599" w:rsidRDefault="00BB2459" w:rsidP="00622AC7">
            <w:pPr>
              <w:jc w:val="right"/>
              <w:rPr>
                <w:color w:val="000000" w:themeColor="text1"/>
                <w:sz w:val="22"/>
              </w:rPr>
            </w:pPr>
            <w:r w:rsidRPr="00A73599">
              <w:rPr>
                <w:color w:val="000000" w:themeColor="text1"/>
                <w:sz w:val="22"/>
              </w:rPr>
              <w:t>0.20</w:t>
            </w:r>
          </w:p>
        </w:tc>
        <w:tc>
          <w:tcPr>
            <w:tcW w:w="883" w:type="dxa"/>
            <w:noWrap/>
            <w:hideMark/>
          </w:tcPr>
          <w:p w14:paraId="54CADF86" w14:textId="77777777" w:rsidR="00BB2459" w:rsidRPr="00A73599" w:rsidRDefault="00BB2459" w:rsidP="00622AC7">
            <w:pPr>
              <w:jc w:val="right"/>
              <w:rPr>
                <w:color w:val="000000" w:themeColor="text1"/>
                <w:sz w:val="22"/>
              </w:rPr>
            </w:pPr>
            <w:r w:rsidRPr="00A73599">
              <w:rPr>
                <w:color w:val="000000" w:themeColor="text1"/>
                <w:sz w:val="22"/>
              </w:rPr>
              <w:t>0.07</w:t>
            </w:r>
          </w:p>
        </w:tc>
      </w:tr>
      <w:tr w:rsidR="00BB2459" w:rsidRPr="00A73599" w14:paraId="0281F365" w14:textId="77777777" w:rsidTr="00D66FFA">
        <w:trPr>
          <w:trHeight w:val="278"/>
        </w:trPr>
        <w:tc>
          <w:tcPr>
            <w:tcW w:w="1165" w:type="dxa"/>
            <w:vMerge/>
            <w:vAlign w:val="center"/>
            <w:hideMark/>
          </w:tcPr>
          <w:p w14:paraId="156E2072" w14:textId="77777777" w:rsidR="00BB2459" w:rsidRPr="00A73599" w:rsidRDefault="00BB2459" w:rsidP="00622AC7">
            <w:pPr>
              <w:jc w:val="center"/>
              <w:rPr>
                <w:color w:val="000000"/>
                <w:sz w:val="22"/>
              </w:rPr>
            </w:pPr>
          </w:p>
        </w:tc>
        <w:tc>
          <w:tcPr>
            <w:tcW w:w="898" w:type="dxa"/>
            <w:vMerge/>
            <w:vAlign w:val="center"/>
            <w:hideMark/>
          </w:tcPr>
          <w:p w14:paraId="3CDF7EB2" w14:textId="77777777" w:rsidR="00BB2459" w:rsidRPr="00A73599" w:rsidRDefault="00BB2459" w:rsidP="00622AC7">
            <w:pPr>
              <w:jc w:val="center"/>
              <w:rPr>
                <w:color w:val="000000"/>
                <w:sz w:val="22"/>
              </w:rPr>
            </w:pPr>
          </w:p>
        </w:tc>
        <w:tc>
          <w:tcPr>
            <w:tcW w:w="1668" w:type="dxa"/>
            <w:noWrap/>
            <w:hideMark/>
          </w:tcPr>
          <w:p w14:paraId="650C3EDD" w14:textId="77777777" w:rsidR="00BB2459" w:rsidRPr="00A73599" w:rsidRDefault="00BB2459" w:rsidP="00622AC7">
            <w:pPr>
              <w:rPr>
                <w:color w:val="000000"/>
                <w:sz w:val="22"/>
              </w:rPr>
            </w:pPr>
            <w:r w:rsidRPr="00A73599">
              <w:rPr>
                <w:color w:val="000000"/>
                <w:sz w:val="22"/>
              </w:rPr>
              <w:t>LC</w:t>
            </w:r>
          </w:p>
        </w:tc>
        <w:tc>
          <w:tcPr>
            <w:tcW w:w="831" w:type="dxa"/>
            <w:noWrap/>
            <w:hideMark/>
          </w:tcPr>
          <w:p w14:paraId="21D49A13" w14:textId="77777777" w:rsidR="00BB2459" w:rsidRPr="00A73599" w:rsidRDefault="00BB2459" w:rsidP="00622AC7">
            <w:pPr>
              <w:jc w:val="right"/>
              <w:rPr>
                <w:color w:val="000000" w:themeColor="text1"/>
                <w:sz w:val="22"/>
              </w:rPr>
            </w:pPr>
            <w:r w:rsidRPr="00A73599">
              <w:rPr>
                <w:color w:val="000000" w:themeColor="text1"/>
                <w:sz w:val="22"/>
              </w:rPr>
              <w:t>0.04</w:t>
            </w:r>
          </w:p>
        </w:tc>
        <w:tc>
          <w:tcPr>
            <w:tcW w:w="831" w:type="dxa"/>
            <w:noWrap/>
            <w:hideMark/>
          </w:tcPr>
          <w:p w14:paraId="7427930E" w14:textId="77777777" w:rsidR="00BB2459" w:rsidRPr="00A73599" w:rsidRDefault="00BB2459" w:rsidP="00622AC7">
            <w:pPr>
              <w:jc w:val="right"/>
              <w:rPr>
                <w:color w:val="000000" w:themeColor="text1"/>
                <w:sz w:val="22"/>
              </w:rPr>
            </w:pPr>
            <w:r w:rsidRPr="00A73599">
              <w:rPr>
                <w:color w:val="000000" w:themeColor="text1"/>
                <w:sz w:val="22"/>
              </w:rPr>
              <w:t>0.03</w:t>
            </w:r>
          </w:p>
        </w:tc>
        <w:tc>
          <w:tcPr>
            <w:tcW w:w="839" w:type="dxa"/>
            <w:noWrap/>
            <w:hideMark/>
          </w:tcPr>
          <w:p w14:paraId="2D417D38" w14:textId="77777777" w:rsidR="00BB2459" w:rsidRPr="00A73599" w:rsidRDefault="00BB2459" w:rsidP="00622AC7">
            <w:pPr>
              <w:jc w:val="right"/>
              <w:rPr>
                <w:color w:val="000000" w:themeColor="text1"/>
                <w:sz w:val="22"/>
              </w:rPr>
            </w:pPr>
            <w:r w:rsidRPr="00A73599">
              <w:rPr>
                <w:color w:val="000000" w:themeColor="text1"/>
                <w:sz w:val="22"/>
              </w:rPr>
              <w:t>0.10</w:t>
            </w:r>
          </w:p>
        </w:tc>
        <w:tc>
          <w:tcPr>
            <w:tcW w:w="975" w:type="dxa"/>
            <w:noWrap/>
            <w:hideMark/>
          </w:tcPr>
          <w:p w14:paraId="446D8E02" w14:textId="77777777" w:rsidR="00BB2459" w:rsidRPr="00A73599" w:rsidRDefault="00BB2459" w:rsidP="00622AC7">
            <w:pPr>
              <w:jc w:val="right"/>
              <w:rPr>
                <w:color w:val="000000" w:themeColor="text1"/>
                <w:sz w:val="22"/>
              </w:rPr>
            </w:pPr>
            <w:r w:rsidRPr="00A73599">
              <w:rPr>
                <w:color w:val="000000" w:themeColor="text1"/>
                <w:sz w:val="22"/>
              </w:rPr>
              <w:t>0.38</w:t>
            </w:r>
          </w:p>
        </w:tc>
        <w:tc>
          <w:tcPr>
            <w:tcW w:w="926" w:type="dxa"/>
            <w:noWrap/>
            <w:hideMark/>
          </w:tcPr>
          <w:p w14:paraId="39EDB333" w14:textId="77777777" w:rsidR="00BB2459" w:rsidRPr="00A73599" w:rsidRDefault="00BB2459" w:rsidP="00622AC7">
            <w:pPr>
              <w:jc w:val="right"/>
              <w:rPr>
                <w:color w:val="000000" w:themeColor="text1"/>
                <w:sz w:val="22"/>
              </w:rPr>
            </w:pPr>
            <w:r w:rsidRPr="00A73599">
              <w:rPr>
                <w:color w:val="000000" w:themeColor="text1"/>
                <w:sz w:val="22"/>
              </w:rPr>
              <w:t>0.21</w:t>
            </w:r>
          </w:p>
        </w:tc>
        <w:tc>
          <w:tcPr>
            <w:tcW w:w="883" w:type="dxa"/>
            <w:noWrap/>
            <w:hideMark/>
          </w:tcPr>
          <w:p w14:paraId="6F008883" w14:textId="77777777" w:rsidR="00BB2459" w:rsidRPr="00A73599" w:rsidRDefault="00BB2459" w:rsidP="00622AC7">
            <w:pPr>
              <w:jc w:val="right"/>
              <w:rPr>
                <w:color w:val="000000" w:themeColor="text1"/>
                <w:sz w:val="22"/>
              </w:rPr>
            </w:pPr>
            <w:r w:rsidRPr="00A73599">
              <w:rPr>
                <w:color w:val="000000" w:themeColor="text1"/>
                <w:sz w:val="22"/>
              </w:rPr>
              <w:t>0.24</w:t>
            </w:r>
          </w:p>
        </w:tc>
      </w:tr>
      <w:tr w:rsidR="00BB2459" w:rsidRPr="00A73599" w14:paraId="08E21965" w14:textId="77777777" w:rsidTr="00D66FFA">
        <w:trPr>
          <w:trHeight w:val="278"/>
        </w:trPr>
        <w:tc>
          <w:tcPr>
            <w:tcW w:w="1165" w:type="dxa"/>
            <w:vMerge/>
            <w:vAlign w:val="center"/>
            <w:hideMark/>
          </w:tcPr>
          <w:p w14:paraId="4E630916" w14:textId="77777777" w:rsidR="00BB2459" w:rsidRPr="00A73599" w:rsidRDefault="00BB2459" w:rsidP="00622AC7">
            <w:pPr>
              <w:jc w:val="center"/>
              <w:rPr>
                <w:color w:val="000000"/>
                <w:sz w:val="22"/>
              </w:rPr>
            </w:pPr>
          </w:p>
        </w:tc>
        <w:tc>
          <w:tcPr>
            <w:tcW w:w="898" w:type="dxa"/>
            <w:vMerge/>
            <w:vAlign w:val="center"/>
            <w:hideMark/>
          </w:tcPr>
          <w:p w14:paraId="48606EF4" w14:textId="77777777" w:rsidR="00BB2459" w:rsidRPr="00A73599" w:rsidRDefault="00BB2459" w:rsidP="00622AC7">
            <w:pPr>
              <w:jc w:val="center"/>
              <w:rPr>
                <w:color w:val="000000"/>
                <w:sz w:val="22"/>
              </w:rPr>
            </w:pPr>
          </w:p>
        </w:tc>
        <w:tc>
          <w:tcPr>
            <w:tcW w:w="1668" w:type="dxa"/>
            <w:noWrap/>
            <w:hideMark/>
          </w:tcPr>
          <w:p w14:paraId="368D6EF1" w14:textId="77777777" w:rsidR="00BB2459" w:rsidRPr="00A73599" w:rsidRDefault="00BB2459" w:rsidP="00622AC7">
            <w:pPr>
              <w:rPr>
                <w:color w:val="000000"/>
                <w:sz w:val="22"/>
              </w:rPr>
            </w:pPr>
            <w:r w:rsidRPr="00A73599">
              <w:rPr>
                <w:color w:val="000000"/>
                <w:sz w:val="22"/>
              </w:rPr>
              <w:t>KTH</w:t>
            </w:r>
          </w:p>
        </w:tc>
        <w:tc>
          <w:tcPr>
            <w:tcW w:w="831" w:type="dxa"/>
            <w:noWrap/>
            <w:hideMark/>
          </w:tcPr>
          <w:p w14:paraId="6AE5E765" w14:textId="77777777" w:rsidR="00BB2459" w:rsidRPr="00A73599" w:rsidRDefault="00BB2459" w:rsidP="00622AC7">
            <w:pPr>
              <w:jc w:val="right"/>
              <w:rPr>
                <w:color w:val="000000" w:themeColor="text1"/>
                <w:sz w:val="22"/>
              </w:rPr>
            </w:pPr>
            <w:r w:rsidRPr="00A73599">
              <w:rPr>
                <w:color w:val="000000" w:themeColor="text1"/>
                <w:sz w:val="22"/>
              </w:rPr>
              <w:t>0.58</w:t>
            </w:r>
          </w:p>
        </w:tc>
        <w:tc>
          <w:tcPr>
            <w:tcW w:w="831" w:type="dxa"/>
            <w:noWrap/>
            <w:hideMark/>
          </w:tcPr>
          <w:p w14:paraId="10EAF159" w14:textId="77777777" w:rsidR="00BB2459" w:rsidRPr="00A73599" w:rsidRDefault="00BB2459" w:rsidP="00622AC7">
            <w:pPr>
              <w:jc w:val="right"/>
              <w:rPr>
                <w:color w:val="000000" w:themeColor="text1"/>
                <w:sz w:val="22"/>
              </w:rPr>
            </w:pPr>
            <w:r w:rsidRPr="00A73599">
              <w:rPr>
                <w:color w:val="000000" w:themeColor="text1"/>
                <w:sz w:val="22"/>
              </w:rPr>
              <w:t>0.08</w:t>
            </w:r>
          </w:p>
        </w:tc>
        <w:tc>
          <w:tcPr>
            <w:tcW w:w="839" w:type="dxa"/>
            <w:noWrap/>
            <w:hideMark/>
          </w:tcPr>
          <w:p w14:paraId="2039AD4A" w14:textId="77777777" w:rsidR="00BB2459" w:rsidRPr="00A73599" w:rsidRDefault="00BB2459" w:rsidP="00622AC7">
            <w:pPr>
              <w:jc w:val="right"/>
              <w:rPr>
                <w:color w:val="000000" w:themeColor="text1"/>
                <w:sz w:val="22"/>
              </w:rPr>
            </w:pPr>
            <w:r w:rsidRPr="00A73599">
              <w:rPr>
                <w:color w:val="000000" w:themeColor="text1"/>
                <w:sz w:val="22"/>
              </w:rPr>
              <w:t>0.04</w:t>
            </w:r>
          </w:p>
        </w:tc>
        <w:tc>
          <w:tcPr>
            <w:tcW w:w="975" w:type="dxa"/>
            <w:noWrap/>
            <w:hideMark/>
          </w:tcPr>
          <w:p w14:paraId="5FB9AE12" w14:textId="77777777" w:rsidR="00BB2459" w:rsidRPr="00A73599" w:rsidRDefault="00BB2459" w:rsidP="00622AC7">
            <w:pPr>
              <w:jc w:val="right"/>
              <w:rPr>
                <w:color w:val="000000" w:themeColor="text1"/>
                <w:sz w:val="22"/>
              </w:rPr>
            </w:pPr>
            <w:r w:rsidRPr="00A73599">
              <w:rPr>
                <w:color w:val="000000" w:themeColor="text1"/>
                <w:sz w:val="22"/>
              </w:rPr>
              <w:t>0.09</w:t>
            </w:r>
          </w:p>
        </w:tc>
        <w:tc>
          <w:tcPr>
            <w:tcW w:w="926" w:type="dxa"/>
            <w:noWrap/>
            <w:hideMark/>
          </w:tcPr>
          <w:p w14:paraId="7157DF99" w14:textId="77777777" w:rsidR="00BB2459" w:rsidRPr="00A73599" w:rsidRDefault="00BB2459" w:rsidP="00622AC7">
            <w:pPr>
              <w:jc w:val="right"/>
              <w:rPr>
                <w:color w:val="000000" w:themeColor="text1"/>
                <w:sz w:val="22"/>
              </w:rPr>
            </w:pPr>
            <w:r w:rsidRPr="00A73599">
              <w:rPr>
                <w:color w:val="000000" w:themeColor="text1"/>
                <w:sz w:val="22"/>
              </w:rPr>
              <w:t>0.13</w:t>
            </w:r>
          </w:p>
        </w:tc>
        <w:tc>
          <w:tcPr>
            <w:tcW w:w="883" w:type="dxa"/>
            <w:noWrap/>
            <w:hideMark/>
          </w:tcPr>
          <w:p w14:paraId="5329E279" w14:textId="77777777" w:rsidR="00BB2459" w:rsidRPr="00A73599" w:rsidRDefault="00BB2459" w:rsidP="00622AC7">
            <w:pPr>
              <w:jc w:val="right"/>
              <w:rPr>
                <w:color w:val="000000" w:themeColor="text1"/>
                <w:sz w:val="22"/>
              </w:rPr>
            </w:pPr>
            <w:r w:rsidRPr="00A73599">
              <w:rPr>
                <w:color w:val="000000" w:themeColor="text1"/>
                <w:sz w:val="22"/>
              </w:rPr>
              <w:t>0.09</w:t>
            </w:r>
          </w:p>
        </w:tc>
      </w:tr>
      <w:tr w:rsidR="00BB2459" w:rsidRPr="00A73599" w14:paraId="3AD26FAD" w14:textId="77777777" w:rsidTr="00D66FFA">
        <w:trPr>
          <w:trHeight w:val="278"/>
        </w:trPr>
        <w:tc>
          <w:tcPr>
            <w:tcW w:w="1165" w:type="dxa"/>
            <w:vMerge/>
            <w:vAlign w:val="center"/>
            <w:hideMark/>
          </w:tcPr>
          <w:p w14:paraId="64F4FE92" w14:textId="77777777" w:rsidR="00BB2459" w:rsidRPr="00A73599" w:rsidRDefault="00BB2459" w:rsidP="00622AC7">
            <w:pPr>
              <w:jc w:val="center"/>
              <w:rPr>
                <w:color w:val="000000"/>
                <w:sz w:val="22"/>
              </w:rPr>
            </w:pPr>
          </w:p>
        </w:tc>
        <w:tc>
          <w:tcPr>
            <w:tcW w:w="898" w:type="dxa"/>
            <w:vMerge w:val="restart"/>
            <w:noWrap/>
            <w:vAlign w:val="center"/>
            <w:hideMark/>
          </w:tcPr>
          <w:p w14:paraId="25D720CD" w14:textId="77777777" w:rsidR="00BB2459" w:rsidRPr="00A73599" w:rsidRDefault="00BB2459" w:rsidP="00622AC7">
            <w:pPr>
              <w:jc w:val="center"/>
              <w:rPr>
                <w:color w:val="000000"/>
                <w:sz w:val="22"/>
              </w:rPr>
            </w:pPr>
            <w:r w:rsidRPr="00A73599">
              <w:rPr>
                <w:color w:val="000000"/>
                <w:sz w:val="22"/>
              </w:rPr>
              <w:t>Case 2</w:t>
            </w:r>
          </w:p>
        </w:tc>
        <w:tc>
          <w:tcPr>
            <w:tcW w:w="1668" w:type="dxa"/>
            <w:noWrap/>
            <w:hideMark/>
          </w:tcPr>
          <w:p w14:paraId="49121251" w14:textId="77777777" w:rsidR="00BB2459" w:rsidRPr="00A73599" w:rsidRDefault="00BB2459" w:rsidP="00622AC7">
            <w:pPr>
              <w:rPr>
                <w:color w:val="000000"/>
                <w:sz w:val="22"/>
              </w:rPr>
            </w:pPr>
            <w:r w:rsidRPr="00A73599">
              <w:rPr>
                <w:color w:val="000000"/>
                <w:sz w:val="22"/>
              </w:rPr>
              <w:t>UPM</w:t>
            </w:r>
          </w:p>
        </w:tc>
        <w:tc>
          <w:tcPr>
            <w:tcW w:w="831" w:type="dxa"/>
            <w:noWrap/>
            <w:hideMark/>
          </w:tcPr>
          <w:p w14:paraId="55558FF5" w14:textId="77777777" w:rsidR="00BB2459" w:rsidRPr="00A73599" w:rsidRDefault="00BB2459" w:rsidP="00622AC7">
            <w:pPr>
              <w:jc w:val="right"/>
              <w:rPr>
                <w:color w:val="000000" w:themeColor="text1"/>
                <w:sz w:val="22"/>
              </w:rPr>
            </w:pPr>
            <w:r w:rsidRPr="00A73599">
              <w:rPr>
                <w:color w:val="000000" w:themeColor="text1"/>
                <w:sz w:val="22"/>
              </w:rPr>
              <w:t>0.08</w:t>
            </w:r>
          </w:p>
        </w:tc>
        <w:tc>
          <w:tcPr>
            <w:tcW w:w="831" w:type="dxa"/>
            <w:noWrap/>
            <w:hideMark/>
          </w:tcPr>
          <w:p w14:paraId="4E807E5F" w14:textId="77777777" w:rsidR="00BB2459" w:rsidRPr="00A73599" w:rsidRDefault="00BB2459" w:rsidP="00622AC7">
            <w:pPr>
              <w:jc w:val="right"/>
              <w:rPr>
                <w:color w:val="000000" w:themeColor="text1"/>
                <w:sz w:val="22"/>
              </w:rPr>
            </w:pPr>
            <w:r w:rsidRPr="00A73599">
              <w:rPr>
                <w:color w:val="000000" w:themeColor="text1"/>
                <w:sz w:val="22"/>
              </w:rPr>
              <w:t>0.22</w:t>
            </w:r>
          </w:p>
        </w:tc>
        <w:tc>
          <w:tcPr>
            <w:tcW w:w="839" w:type="dxa"/>
            <w:noWrap/>
            <w:hideMark/>
          </w:tcPr>
          <w:p w14:paraId="327CF095" w14:textId="77777777" w:rsidR="00BB2459" w:rsidRPr="00A73599" w:rsidRDefault="00BB2459" w:rsidP="00622AC7">
            <w:pPr>
              <w:jc w:val="right"/>
              <w:rPr>
                <w:color w:val="000000" w:themeColor="text1"/>
                <w:sz w:val="22"/>
              </w:rPr>
            </w:pPr>
            <w:r w:rsidRPr="00A73599">
              <w:rPr>
                <w:color w:val="000000" w:themeColor="text1"/>
                <w:sz w:val="22"/>
              </w:rPr>
              <w:t>0.22</w:t>
            </w:r>
          </w:p>
        </w:tc>
        <w:tc>
          <w:tcPr>
            <w:tcW w:w="975" w:type="dxa"/>
            <w:noWrap/>
            <w:hideMark/>
          </w:tcPr>
          <w:p w14:paraId="7E265772" w14:textId="77777777" w:rsidR="00BB2459" w:rsidRPr="00A73599" w:rsidRDefault="00BB2459" w:rsidP="00622AC7">
            <w:pPr>
              <w:jc w:val="right"/>
              <w:rPr>
                <w:color w:val="000000" w:themeColor="text1"/>
                <w:sz w:val="22"/>
              </w:rPr>
            </w:pPr>
            <w:r w:rsidRPr="00A73599">
              <w:rPr>
                <w:color w:val="000000" w:themeColor="text1"/>
                <w:sz w:val="22"/>
              </w:rPr>
              <w:t>0.18</w:t>
            </w:r>
          </w:p>
        </w:tc>
        <w:tc>
          <w:tcPr>
            <w:tcW w:w="926" w:type="dxa"/>
            <w:noWrap/>
            <w:hideMark/>
          </w:tcPr>
          <w:p w14:paraId="1FF5B005" w14:textId="77777777" w:rsidR="00BB2459" w:rsidRPr="00A73599" w:rsidRDefault="00BB2459" w:rsidP="00622AC7">
            <w:pPr>
              <w:jc w:val="right"/>
              <w:rPr>
                <w:color w:val="000000" w:themeColor="text1"/>
                <w:sz w:val="22"/>
              </w:rPr>
            </w:pPr>
            <w:r w:rsidRPr="00A73599">
              <w:rPr>
                <w:color w:val="000000" w:themeColor="text1"/>
                <w:sz w:val="22"/>
              </w:rPr>
              <w:t>0.15</w:t>
            </w:r>
          </w:p>
        </w:tc>
        <w:tc>
          <w:tcPr>
            <w:tcW w:w="883" w:type="dxa"/>
            <w:noWrap/>
            <w:hideMark/>
          </w:tcPr>
          <w:p w14:paraId="2F6E702E" w14:textId="77777777" w:rsidR="00BB2459" w:rsidRPr="00A73599" w:rsidRDefault="00BB2459" w:rsidP="00622AC7">
            <w:pPr>
              <w:jc w:val="right"/>
              <w:rPr>
                <w:color w:val="000000" w:themeColor="text1"/>
                <w:sz w:val="22"/>
              </w:rPr>
            </w:pPr>
            <w:r w:rsidRPr="00A73599">
              <w:rPr>
                <w:color w:val="000000" w:themeColor="text1"/>
                <w:sz w:val="22"/>
              </w:rPr>
              <w:t>0.15</w:t>
            </w:r>
          </w:p>
        </w:tc>
      </w:tr>
      <w:tr w:rsidR="00BB2459" w:rsidRPr="00A73599" w14:paraId="769CB0C2" w14:textId="77777777" w:rsidTr="00D66FFA">
        <w:trPr>
          <w:trHeight w:val="278"/>
        </w:trPr>
        <w:tc>
          <w:tcPr>
            <w:tcW w:w="1165" w:type="dxa"/>
            <w:vMerge/>
            <w:vAlign w:val="center"/>
            <w:hideMark/>
          </w:tcPr>
          <w:p w14:paraId="361306F5" w14:textId="77777777" w:rsidR="00BB2459" w:rsidRPr="00A73599" w:rsidRDefault="00BB2459" w:rsidP="00622AC7">
            <w:pPr>
              <w:jc w:val="center"/>
              <w:rPr>
                <w:color w:val="000000"/>
                <w:sz w:val="22"/>
              </w:rPr>
            </w:pPr>
          </w:p>
        </w:tc>
        <w:tc>
          <w:tcPr>
            <w:tcW w:w="898" w:type="dxa"/>
            <w:vMerge/>
            <w:vAlign w:val="center"/>
            <w:hideMark/>
          </w:tcPr>
          <w:p w14:paraId="12FEA6F2" w14:textId="77777777" w:rsidR="00BB2459" w:rsidRPr="00A73599" w:rsidRDefault="00BB2459" w:rsidP="00622AC7">
            <w:pPr>
              <w:jc w:val="center"/>
              <w:rPr>
                <w:color w:val="000000"/>
                <w:sz w:val="22"/>
              </w:rPr>
            </w:pPr>
          </w:p>
        </w:tc>
        <w:tc>
          <w:tcPr>
            <w:tcW w:w="1668" w:type="dxa"/>
            <w:noWrap/>
            <w:hideMark/>
          </w:tcPr>
          <w:p w14:paraId="4E573F65" w14:textId="77777777" w:rsidR="00BB2459" w:rsidRPr="00A73599" w:rsidRDefault="00BB2459" w:rsidP="00622AC7">
            <w:pPr>
              <w:rPr>
                <w:color w:val="000000"/>
                <w:sz w:val="22"/>
              </w:rPr>
            </w:pPr>
            <w:r w:rsidRPr="00A73599">
              <w:rPr>
                <w:rFonts w:hint="eastAsia"/>
                <w:color w:val="000000"/>
                <w:sz w:val="22"/>
              </w:rPr>
              <w:t>D</w:t>
            </w:r>
            <w:r w:rsidRPr="00A73599">
              <w:rPr>
                <w:color w:val="000000"/>
                <w:sz w:val="22"/>
              </w:rPr>
              <w:t>RS</w:t>
            </w:r>
          </w:p>
        </w:tc>
        <w:tc>
          <w:tcPr>
            <w:tcW w:w="831" w:type="dxa"/>
            <w:noWrap/>
            <w:hideMark/>
          </w:tcPr>
          <w:p w14:paraId="0427E95A" w14:textId="77777777" w:rsidR="00BB2459" w:rsidRPr="00A73599" w:rsidRDefault="00BB2459" w:rsidP="00622AC7">
            <w:pPr>
              <w:jc w:val="right"/>
              <w:rPr>
                <w:color w:val="000000" w:themeColor="text1"/>
                <w:sz w:val="22"/>
              </w:rPr>
            </w:pPr>
            <w:r w:rsidRPr="00A73599">
              <w:rPr>
                <w:color w:val="000000" w:themeColor="text1"/>
                <w:sz w:val="22"/>
              </w:rPr>
              <w:t>0.08</w:t>
            </w:r>
          </w:p>
        </w:tc>
        <w:tc>
          <w:tcPr>
            <w:tcW w:w="831" w:type="dxa"/>
            <w:noWrap/>
            <w:hideMark/>
          </w:tcPr>
          <w:p w14:paraId="0A2FC524" w14:textId="77777777" w:rsidR="00BB2459" w:rsidRPr="00A73599" w:rsidRDefault="00BB2459" w:rsidP="00622AC7">
            <w:pPr>
              <w:jc w:val="right"/>
              <w:rPr>
                <w:color w:val="000000" w:themeColor="text1"/>
                <w:sz w:val="22"/>
              </w:rPr>
            </w:pPr>
            <w:r w:rsidRPr="00A73599">
              <w:rPr>
                <w:color w:val="000000" w:themeColor="text1"/>
                <w:sz w:val="22"/>
              </w:rPr>
              <w:t>0.17</w:t>
            </w:r>
          </w:p>
        </w:tc>
        <w:tc>
          <w:tcPr>
            <w:tcW w:w="839" w:type="dxa"/>
            <w:noWrap/>
            <w:hideMark/>
          </w:tcPr>
          <w:p w14:paraId="65AAA654" w14:textId="77777777" w:rsidR="00BB2459" w:rsidRPr="00A73599" w:rsidRDefault="00BB2459" w:rsidP="00622AC7">
            <w:pPr>
              <w:jc w:val="right"/>
              <w:rPr>
                <w:color w:val="000000" w:themeColor="text1"/>
                <w:sz w:val="22"/>
              </w:rPr>
            </w:pPr>
            <w:r w:rsidRPr="00A73599">
              <w:rPr>
                <w:color w:val="000000" w:themeColor="text1"/>
                <w:sz w:val="22"/>
              </w:rPr>
              <w:t>0.05</w:t>
            </w:r>
          </w:p>
        </w:tc>
        <w:tc>
          <w:tcPr>
            <w:tcW w:w="975" w:type="dxa"/>
            <w:noWrap/>
            <w:hideMark/>
          </w:tcPr>
          <w:p w14:paraId="5EBBE3D1" w14:textId="77777777" w:rsidR="00BB2459" w:rsidRPr="00A73599" w:rsidRDefault="00BB2459" w:rsidP="00622AC7">
            <w:pPr>
              <w:jc w:val="right"/>
              <w:rPr>
                <w:color w:val="000000" w:themeColor="text1"/>
                <w:sz w:val="22"/>
              </w:rPr>
            </w:pPr>
            <w:r w:rsidRPr="00A73599">
              <w:rPr>
                <w:color w:val="000000" w:themeColor="text1"/>
                <w:sz w:val="22"/>
              </w:rPr>
              <w:t>0.08</w:t>
            </w:r>
          </w:p>
        </w:tc>
        <w:tc>
          <w:tcPr>
            <w:tcW w:w="926" w:type="dxa"/>
            <w:noWrap/>
            <w:hideMark/>
          </w:tcPr>
          <w:p w14:paraId="691FBA11" w14:textId="77777777" w:rsidR="00BB2459" w:rsidRPr="00A73599" w:rsidRDefault="00BB2459" w:rsidP="00622AC7">
            <w:pPr>
              <w:jc w:val="right"/>
              <w:rPr>
                <w:color w:val="000000" w:themeColor="text1"/>
                <w:sz w:val="22"/>
              </w:rPr>
            </w:pPr>
            <w:r w:rsidRPr="00A73599">
              <w:rPr>
                <w:color w:val="000000" w:themeColor="text1"/>
                <w:sz w:val="22"/>
              </w:rPr>
              <w:t>0.17</w:t>
            </w:r>
          </w:p>
        </w:tc>
        <w:tc>
          <w:tcPr>
            <w:tcW w:w="883" w:type="dxa"/>
            <w:noWrap/>
            <w:hideMark/>
          </w:tcPr>
          <w:p w14:paraId="013202A9" w14:textId="77777777" w:rsidR="00BB2459" w:rsidRPr="00A73599" w:rsidRDefault="00BB2459" w:rsidP="00622AC7">
            <w:pPr>
              <w:jc w:val="right"/>
              <w:rPr>
                <w:color w:val="000000" w:themeColor="text1"/>
                <w:sz w:val="22"/>
              </w:rPr>
            </w:pPr>
            <w:r w:rsidRPr="00A73599">
              <w:rPr>
                <w:color w:val="000000" w:themeColor="text1"/>
                <w:sz w:val="22"/>
              </w:rPr>
              <w:t>0.43</w:t>
            </w:r>
          </w:p>
        </w:tc>
      </w:tr>
      <w:tr w:rsidR="00BB2459" w:rsidRPr="00A73599" w14:paraId="5A992291" w14:textId="77777777" w:rsidTr="00D66FFA">
        <w:trPr>
          <w:trHeight w:val="278"/>
        </w:trPr>
        <w:tc>
          <w:tcPr>
            <w:tcW w:w="1165" w:type="dxa"/>
            <w:vMerge w:val="restart"/>
            <w:noWrap/>
            <w:vAlign w:val="center"/>
            <w:hideMark/>
          </w:tcPr>
          <w:p w14:paraId="7435F87D" w14:textId="77777777" w:rsidR="00BB2459" w:rsidRPr="00A73599" w:rsidRDefault="00BB2459" w:rsidP="00622AC7">
            <w:pPr>
              <w:jc w:val="center"/>
              <w:rPr>
                <w:color w:val="000000"/>
                <w:sz w:val="22"/>
              </w:rPr>
            </w:pPr>
            <w:r w:rsidRPr="00A73599">
              <w:rPr>
                <w:color w:val="000000"/>
                <w:sz w:val="22"/>
              </w:rPr>
              <w:t>China</w:t>
            </w:r>
          </w:p>
        </w:tc>
        <w:tc>
          <w:tcPr>
            <w:tcW w:w="898" w:type="dxa"/>
            <w:vMerge w:val="restart"/>
            <w:noWrap/>
            <w:vAlign w:val="center"/>
            <w:hideMark/>
          </w:tcPr>
          <w:p w14:paraId="558ABC16" w14:textId="77777777" w:rsidR="00BB2459" w:rsidRPr="00A73599" w:rsidRDefault="00BB2459" w:rsidP="00622AC7">
            <w:pPr>
              <w:jc w:val="center"/>
              <w:rPr>
                <w:color w:val="000000"/>
                <w:sz w:val="22"/>
              </w:rPr>
            </w:pPr>
            <w:r w:rsidRPr="00A73599">
              <w:rPr>
                <w:color w:val="000000"/>
                <w:sz w:val="22"/>
              </w:rPr>
              <w:t>Case 3</w:t>
            </w:r>
          </w:p>
        </w:tc>
        <w:tc>
          <w:tcPr>
            <w:tcW w:w="1668" w:type="dxa"/>
            <w:noWrap/>
            <w:hideMark/>
          </w:tcPr>
          <w:p w14:paraId="465E6864" w14:textId="77777777" w:rsidR="00BB2459" w:rsidRPr="00A73599" w:rsidRDefault="00BB2459" w:rsidP="00622AC7">
            <w:pPr>
              <w:rPr>
                <w:color w:val="000000"/>
                <w:sz w:val="22"/>
              </w:rPr>
            </w:pPr>
            <w:r w:rsidRPr="00A73599">
              <w:rPr>
                <w:color w:val="000000"/>
                <w:sz w:val="22"/>
              </w:rPr>
              <w:t>UE</w:t>
            </w:r>
          </w:p>
        </w:tc>
        <w:tc>
          <w:tcPr>
            <w:tcW w:w="831" w:type="dxa"/>
            <w:noWrap/>
            <w:hideMark/>
          </w:tcPr>
          <w:p w14:paraId="2ED79A59" w14:textId="77777777" w:rsidR="00BB2459" w:rsidRPr="00A73599" w:rsidRDefault="00BB2459" w:rsidP="00622AC7">
            <w:pPr>
              <w:jc w:val="right"/>
              <w:rPr>
                <w:color w:val="000000" w:themeColor="text1"/>
                <w:sz w:val="22"/>
              </w:rPr>
            </w:pPr>
            <w:r w:rsidRPr="00A73599">
              <w:rPr>
                <w:color w:val="000000" w:themeColor="text1"/>
                <w:sz w:val="22"/>
              </w:rPr>
              <w:t>0.17</w:t>
            </w:r>
          </w:p>
        </w:tc>
        <w:tc>
          <w:tcPr>
            <w:tcW w:w="831" w:type="dxa"/>
            <w:noWrap/>
            <w:hideMark/>
          </w:tcPr>
          <w:p w14:paraId="20490FE4" w14:textId="77777777" w:rsidR="00BB2459" w:rsidRPr="00A73599" w:rsidRDefault="00BB2459" w:rsidP="00622AC7">
            <w:pPr>
              <w:jc w:val="right"/>
              <w:rPr>
                <w:color w:val="000000" w:themeColor="text1"/>
                <w:sz w:val="22"/>
              </w:rPr>
            </w:pPr>
            <w:r w:rsidRPr="00A73599">
              <w:rPr>
                <w:color w:val="000000" w:themeColor="text1"/>
                <w:sz w:val="22"/>
              </w:rPr>
              <w:t>0.07</w:t>
            </w:r>
          </w:p>
        </w:tc>
        <w:tc>
          <w:tcPr>
            <w:tcW w:w="839" w:type="dxa"/>
            <w:noWrap/>
            <w:hideMark/>
          </w:tcPr>
          <w:p w14:paraId="2DF36337" w14:textId="77777777" w:rsidR="00BB2459" w:rsidRPr="00A73599" w:rsidRDefault="00BB2459" w:rsidP="00622AC7">
            <w:pPr>
              <w:jc w:val="right"/>
              <w:rPr>
                <w:color w:val="000000" w:themeColor="text1"/>
                <w:sz w:val="22"/>
              </w:rPr>
            </w:pPr>
            <w:r w:rsidRPr="00A73599">
              <w:rPr>
                <w:color w:val="000000" w:themeColor="text1"/>
                <w:sz w:val="22"/>
              </w:rPr>
              <w:t>0.02</w:t>
            </w:r>
          </w:p>
        </w:tc>
        <w:tc>
          <w:tcPr>
            <w:tcW w:w="975" w:type="dxa"/>
            <w:noWrap/>
            <w:hideMark/>
          </w:tcPr>
          <w:p w14:paraId="6D31F019" w14:textId="77777777" w:rsidR="00BB2459" w:rsidRPr="00A73599" w:rsidRDefault="00BB2459" w:rsidP="00622AC7">
            <w:pPr>
              <w:jc w:val="right"/>
              <w:rPr>
                <w:color w:val="000000" w:themeColor="text1"/>
                <w:sz w:val="22"/>
              </w:rPr>
            </w:pPr>
            <w:r w:rsidRPr="00A73599">
              <w:rPr>
                <w:color w:val="000000" w:themeColor="text1"/>
                <w:sz w:val="22"/>
              </w:rPr>
              <w:t>0.04</w:t>
            </w:r>
          </w:p>
        </w:tc>
        <w:tc>
          <w:tcPr>
            <w:tcW w:w="926" w:type="dxa"/>
            <w:noWrap/>
            <w:hideMark/>
          </w:tcPr>
          <w:p w14:paraId="2FD4D4FC" w14:textId="77777777" w:rsidR="00BB2459" w:rsidRPr="00A73599" w:rsidRDefault="00BB2459" w:rsidP="00622AC7">
            <w:pPr>
              <w:jc w:val="right"/>
              <w:rPr>
                <w:color w:val="000000" w:themeColor="text1"/>
                <w:sz w:val="22"/>
              </w:rPr>
            </w:pPr>
            <w:r w:rsidRPr="00A73599">
              <w:rPr>
                <w:color w:val="000000" w:themeColor="text1"/>
                <w:sz w:val="22"/>
              </w:rPr>
              <w:t>0.27</w:t>
            </w:r>
          </w:p>
        </w:tc>
        <w:tc>
          <w:tcPr>
            <w:tcW w:w="883" w:type="dxa"/>
            <w:noWrap/>
            <w:hideMark/>
          </w:tcPr>
          <w:p w14:paraId="12FBA296" w14:textId="77777777" w:rsidR="00BB2459" w:rsidRPr="00A73599" w:rsidRDefault="00BB2459" w:rsidP="00622AC7">
            <w:pPr>
              <w:jc w:val="right"/>
              <w:rPr>
                <w:color w:val="000000" w:themeColor="text1"/>
                <w:sz w:val="22"/>
              </w:rPr>
            </w:pPr>
            <w:r w:rsidRPr="00A73599">
              <w:rPr>
                <w:color w:val="000000" w:themeColor="text1"/>
                <w:sz w:val="22"/>
              </w:rPr>
              <w:t>0.43</w:t>
            </w:r>
          </w:p>
        </w:tc>
      </w:tr>
      <w:tr w:rsidR="00BB2459" w:rsidRPr="00A73599" w14:paraId="3838EA8D" w14:textId="77777777" w:rsidTr="00D66FFA">
        <w:trPr>
          <w:trHeight w:val="278"/>
        </w:trPr>
        <w:tc>
          <w:tcPr>
            <w:tcW w:w="1165" w:type="dxa"/>
            <w:vMerge/>
            <w:vAlign w:val="center"/>
            <w:hideMark/>
          </w:tcPr>
          <w:p w14:paraId="3FCFF8DB" w14:textId="77777777" w:rsidR="00BB2459" w:rsidRPr="00A73599" w:rsidRDefault="00BB2459" w:rsidP="00622AC7">
            <w:pPr>
              <w:jc w:val="center"/>
              <w:rPr>
                <w:color w:val="000000"/>
                <w:sz w:val="22"/>
              </w:rPr>
            </w:pPr>
          </w:p>
        </w:tc>
        <w:tc>
          <w:tcPr>
            <w:tcW w:w="898" w:type="dxa"/>
            <w:vMerge/>
            <w:vAlign w:val="center"/>
            <w:hideMark/>
          </w:tcPr>
          <w:p w14:paraId="288ABDC8" w14:textId="77777777" w:rsidR="00BB2459" w:rsidRPr="00A73599" w:rsidRDefault="00BB2459" w:rsidP="00622AC7">
            <w:pPr>
              <w:jc w:val="center"/>
              <w:rPr>
                <w:color w:val="000000"/>
                <w:sz w:val="22"/>
              </w:rPr>
            </w:pPr>
          </w:p>
        </w:tc>
        <w:tc>
          <w:tcPr>
            <w:tcW w:w="1668" w:type="dxa"/>
            <w:noWrap/>
            <w:hideMark/>
          </w:tcPr>
          <w:p w14:paraId="6D9F5B6C" w14:textId="77777777" w:rsidR="00BB2459" w:rsidRPr="00A73599" w:rsidRDefault="00BB2459" w:rsidP="00622AC7">
            <w:pPr>
              <w:rPr>
                <w:color w:val="000000"/>
                <w:sz w:val="22"/>
              </w:rPr>
            </w:pPr>
            <w:r w:rsidRPr="00A73599">
              <w:rPr>
                <w:color w:val="000000"/>
                <w:sz w:val="22"/>
              </w:rPr>
              <w:t>HWD</w:t>
            </w:r>
          </w:p>
        </w:tc>
        <w:tc>
          <w:tcPr>
            <w:tcW w:w="831" w:type="dxa"/>
            <w:noWrap/>
            <w:hideMark/>
          </w:tcPr>
          <w:p w14:paraId="1583402A" w14:textId="77777777" w:rsidR="00BB2459" w:rsidRPr="00A73599" w:rsidRDefault="00BB2459" w:rsidP="00622AC7">
            <w:pPr>
              <w:jc w:val="right"/>
              <w:rPr>
                <w:color w:val="000000" w:themeColor="text1"/>
                <w:sz w:val="22"/>
              </w:rPr>
            </w:pPr>
            <w:r w:rsidRPr="00A73599">
              <w:rPr>
                <w:color w:val="000000" w:themeColor="text1"/>
                <w:sz w:val="22"/>
              </w:rPr>
              <w:t>0.05</w:t>
            </w:r>
          </w:p>
        </w:tc>
        <w:tc>
          <w:tcPr>
            <w:tcW w:w="831" w:type="dxa"/>
            <w:noWrap/>
            <w:hideMark/>
          </w:tcPr>
          <w:p w14:paraId="67413D88" w14:textId="77777777" w:rsidR="00BB2459" w:rsidRPr="00A73599" w:rsidRDefault="00BB2459" w:rsidP="00622AC7">
            <w:pPr>
              <w:jc w:val="right"/>
              <w:rPr>
                <w:color w:val="000000" w:themeColor="text1"/>
                <w:sz w:val="22"/>
              </w:rPr>
            </w:pPr>
            <w:r w:rsidRPr="00A73599">
              <w:rPr>
                <w:color w:val="000000" w:themeColor="text1"/>
                <w:sz w:val="22"/>
              </w:rPr>
              <w:t>0.04</w:t>
            </w:r>
          </w:p>
        </w:tc>
        <w:tc>
          <w:tcPr>
            <w:tcW w:w="839" w:type="dxa"/>
            <w:noWrap/>
            <w:hideMark/>
          </w:tcPr>
          <w:p w14:paraId="4CE2860A" w14:textId="77777777" w:rsidR="00BB2459" w:rsidRPr="00A73599" w:rsidRDefault="00BB2459" w:rsidP="00622AC7">
            <w:pPr>
              <w:jc w:val="right"/>
              <w:rPr>
                <w:color w:val="000000" w:themeColor="text1"/>
                <w:sz w:val="22"/>
              </w:rPr>
            </w:pPr>
            <w:r w:rsidRPr="00A73599">
              <w:rPr>
                <w:color w:val="000000" w:themeColor="text1"/>
                <w:sz w:val="22"/>
              </w:rPr>
              <w:t>0.05</w:t>
            </w:r>
          </w:p>
        </w:tc>
        <w:tc>
          <w:tcPr>
            <w:tcW w:w="975" w:type="dxa"/>
            <w:noWrap/>
            <w:hideMark/>
          </w:tcPr>
          <w:p w14:paraId="293CFC3C" w14:textId="77777777" w:rsidR="00BB2459" w:rsidRPr="00A73599" w:rsidRDefault="00BB2459" w:rsidP="00622AC7">
            <w:pPr>
              <w:jc w:val="right"/>
              <w:rPr>
                <w:color w:val="000000" w:themeColor="text1"/>
                <w:sz w:val="22"/>
              </w:rPr>
            </w:pPr>
            <w:r w:rsidRPr="00A73599">
              <w:rPr>
                <w:color w:val="000000" w:themeColor="text1"/>
                <w:sz w:val="22"/>
              </w:rPr>
              <w:t>0.05</w:t>
            </w:r>
          </w:p>
        </w:tc>
        <w:tc>
          <w:tcPr>
            <w:tcW w:w="926" w:type="dxa"/>
            <w:noWrap/>
            <w:hideMark/>
          </w:tcPr>
          <w:p w14:paraId="23A55208" w14:textId="77777777" w:rsidR="00BB2459" w:rsidRPr="00A73599" w:rsidRDefault="00BB2459" w:rsidP="00622AC7">
            <w:pPr>
              <w:jc w:val="right"/>
              <w:rPr>
                <w:color w:val="000000" w:themeColor="text1"/>
                <w:sz w:val="22"/>
              </w:rPr>
            </w:pPr>
            <w:r w:rsidRPr="00A73599">
              <w:rPr>
                <w:color w:val="000000" w:themeColor="text1"/>
                <w:sz w:val="22"/>
              </w:rPr>
              <w:t>0.24</w:t>
            </w:r>
          </w:p>
        </w:tc>
        <w:tc>
          <w:tcPr>
            <w:tcW w:w="883" w:type="dxa"/>
            <w:noWrap/>
            <w:hideMark/>
          </w:tcPr>
          <w:p w14:paraId="1848B448" w14:textId="77777777" w:rsidR="00BB2459" w:rsidRPr="00A73599" w:rsidRDefault="00BB2459" w:rsidP="00622AC7">
            <w:pPr>
              <w:jc w:val="right"/>
              <w:rPr>
                <w:color w:val="000000" w:themeColor="text1"/>
                <w:sz w:val="22"/>
              </w:rPr>
            </w:pPr>
            <w:r w:rsidRPr="00A73599">
              <w:rPr>
                <w:color w:val="000000" w:themeColor="text1"/>
                <w:sz w:val="22"/>
              </w:rPr>
              <w:t>0.58</w:t>
            </w:r>
          </w:p>
        </w:tc>
      </w:tr>
      <w:tr w:rsidR="00BB2459" w:rsidRPr="00A73599" w14:paraId="79FF81D3" w14:textId="77777777" w:rsidTr="00D66FFA">
        <w:trPr>
          <w:trHeight w:val="278"/>
        </w:trPr>
        <w:tc>
          <w:tcPr>
            <w:tcW w:w="1165" w:type="dxa"/>
            <w:vMerge/>
            <w:vAlign w:val="center"/>
            <w:hideMark/>
          </w:tcPr>
          <w:p w14:paraId="7A8AE621" w14:textId="77777777" w:rsidR="00BB2459" w:rsidRPr="00A73599" w:rsidRDefault="00BB2459" w:rsidP="00622AC7">
            <w:pPr>
              <w:jc w:val="center"/>
              <w:rPr>
                <w:color w:val="000000"/>
                <w:sz w:val="22"/>
              </w:rPr>
            </w:pPr>
          </w:p>
        </w:tc>
        <w:tc>
          <w:tcPr>
            <w:tcW w:w="898" w:type="dxa"/>
            <w:vMerge/>
            <w:vAlign w:val="center"/>
            <w:hideMark/>
          </w:tcPr>
          <w:p w14:paraId="3DAB880F" w14:textId="77777777" w:rsidR="00BB2459" w:rsidRPr="00A73599" w:rsidRDefault="00BB2459" w:rsidP="00622AC7">
            <w:pPr>
              <w:jc w:val="center"/>
              <w:rPr>
                <w:color w:val="000000"/>
                <w:sz w:val="22"/>
              </w:rPr>
            </w:pPr>
          </w:p>
        </w:tc>
        <w:tc>
          <w:tcPr>
            <w:tcW w:w="1668" w:type="dxa"/>
            <w:noWrap/>
            <w:hideMark/>
          </w:tcPr>
          <w:p w14:paraId="788F7BE4" w14:textId="77777777" w:rsidR="00BB2459" w:rsidRPr="00A73599" w:rsidRDefault="00BB2459" w:rsidP="00622AC7">
            <w:pPr>
              <w:rPr>
                <w:color w:val="000000"/>
                <w:sz w:val="22"/>
              </w:rPr>
            </w:pPr>
            <w:r w:rsidRPr="00A73599">
              <w:rPr>
                <w:color w:val="000000"/>
                <w:sz w:val="22"/>
              </w:rPr>
              <w:t>HDD</w:t>
            </w:r>
          </w:p>
        </w:tc>
        <w:tc>
          <w:tcPr>
            <w:tcW w:w="831" w:type="dxa"/>
            <w:noWrap/>
            <w:hideMark/>
          </w:tcPr>
          <w:p w14:paraId="3390CEDE" w14:textId="77777777" w:rsidR="00BB2459" w:rsidRPr="00A73599" w:rsidRDefault="00BB2459" w:rsidP="00622AC7">
            <w:pPr>
              <w:jc w:val="right"/>
              <w:rPr>
                <w:color w:val="000000" w:themeColor="text1"/>
                <w:sz w:val="22"/>
              </w:rPr>
            </w:pPr>
            <w:r w:rsidRPr="00A73599">
              <w:rPr>
                <w:color w:val="000000" w:themeColor="text1"/>
                <w:sz w:val="22"/>
              </w:rPr>
              <w:t>0.03</w:t>
            </w:r>
          </w:p>
        </w:tc>
        <w:tc>
          <w:tcPr>
            <w:tcW w:w="831" w:type="dxa"/>
            <w:noWrap/>
            <w:hideMark/>
          </w:tcPr>
          <w:p w14:paraId="555CE9FF" w14:textId="77777777" w:rsidR="00BB2459" w:rsidRPr="00A73599" w:rsidRDefault="00BB2459" w:rsidP="00622AC7">
            <w:pPr>
              <w:jc w:val="right"/>
              <w:rPr>
                <w:color w:val="000000" w:themeColor="text1"/>
                <w:sz w:val="22"/>
              </w:rPr>
            </w:pPr>
            <w:r w:rsidRPr="00A73599">
              <w:rPr>
                <w:color w:val="000000" w:themeColor="text1"/>
                <w:sz w:val="22"/>
              </w:rPr>
              <w:t>0.10</w:t>
            </w:r>
          </w:p>
        </w:tc>
        <w:tc>
          <w:tcPr>
            <w:tcW w:w="839" w:type="dxa"/>
            <w:noWrap/>
            <w:hideMark/>
          </w:tcPr>
          <w:p w14:paraId="6889C32F" w14:textId="77777777" w:rsidR="00BB2459" w:rsidRPr="00A73599" w:rsidRDefault="00BB2459" w:rsidP="00622AC7">
            <w:pPr>
              <w:jc w:val="right"/>
              <w:rPr>
                <w:color w:val="000000" w:themeColor="text1"/>
                <w:sz w:val="22"/>
              </w:rPr>
            </w:pPr>
            <w:r w:rsidRPr="00A73599">
              <w:rPr>
                <w:color w:val="000000" w:themeColor="text1"/>
                <w:sz w:val="22"/>
              </w:rPr>
              <w:t>0.03</w:t>
            </w:r>
          </w:p>
        </w:tc>
        <w:tc>
          <w:tcPr>
            <w:tcW w:w="975" w:type="dxa"/>
            <w:noWrap/>
            <w:hideMark/>
          </w:tcPr>
          <w:p w14:paraId="0811E354" w14:textId="77777777" w:rsidR="00BB2459" w:rsidRPr="00A73599" w:rsidRDefault="00BB2459" w:rsidP="00622AC7">
            <w:pPr>
              <w:jc w:val="right"/>
              <w:rPr>
                <w:color w:val="000000" w:themeColor="text1"/>
                <w:sz w:val="22"/>
              </w:rPr>
            </w:pPr>
            <w:r w:rsidRPr="00A73599">
              <w:rPr>
                <w:color w:val="000000" w:themeColor="text1"/>
                <w:sz w:val="22"/>
              </w:rPr>
              <w:t>0.03</w:t>
            </w:r>
          </w:p>
        </w:tc>
        <w:tc>
          <w:tcPr>
            <w:tcW w:w="926" w:type="dxa"/>
            <w:noWrap/>
            <w:hideMark/>
          </w:tcPr>
          <w:p w14:paraId="314ACDA8" w14:textId="77777777" w:rsidR="00BB2459" w:rsidRPr="00A73599" w:rsidRDefault="00BB2459" w:rsidP="00622AC7">
            <w:pPr>
              <w:jc w:val="right"/>
              <w:rPr>
                <w:color w:val="000000" w:themeColor="text1"/>
                <w:sz w:val="22"/>
              </w:rPr>
            </w:pPr>
            <w:r w:rsidRPr="00A73599">
              <w:rPr>
                <w:color w:val="000000" w:themeColor="text1"/>
                <w:sz w:val="22"/>
              </w:rPr>
              <w:t>0.40</w:t>
            </w:r>
          </w:p>
        </w:tc>
        <w:tc>
          <w:tcPr>
            <w:tcW w:w="883" w:type="dxa"/>
            <w:noWrap/>
            <w:hideMark/>
          </w:tcPr>
          <w:p w14:paraId="1DC06C17" w14:textId="77777777" w:rsidR="00BB2459" w:rsidRPr="00A73599" w:rsidRDefault="00BB2459" w:rsidP="00622AC7">
            <w:pPr>
              <w:jc w:val="right"/>
              <w:rPr>
                <w:color w:val="000000" w:themeColor="text1"/>
                <w:sz w:val="22"/>
              </w:rPr>
            </w:pPr>
            <w:r w:rsidRPr="00A73599">
              <w:rPr>
                <w:color w:val="000000" w:themeColor="text1"/>
                <w:sz w:val="22"/>
              </w:rPr>
              <w:t>0.40</w:t>
            </w:r>
          </w:p>
        </w:tc>
      </w:tr>
      <w:tr w:rsidR="00BB2459" w:rsidRPr="00A73599" w14:paraId="24B9F59F" w14:textId="77777777" w:rsidTr="00D66FFA">
        <w:trPr>
          <w:trHeight w:val="278"/>
        </w:trPr>
        <w:tc>
          <w:tcPr>
            <w:tcW w:w="1165" w:type="dxa"/>
            <w:vMerge/>
            <w:vAlign w:val="center"/>
            <w:hideMark/>
          </w:tcPr>
          <w:p w14:paraId="5A2462D4" w14:textId="77777777" w:rsidR="00BB2459" w:rsidRPr="00A73599" w:rsidRDefault="00BB2459" w:rsidP="00622AC7">
            <w:pPr>
              <w:jc w:val="center"/>
              <w:rPr>
                <w:color w:val="000000"/>
                <w:sz w:val="22"/>
              </w:rPr>
            </w:pPr>
          </w:p>
        </w:tc>
        <w:tc>
          <w:tcPr>
            <w:tcW w:w="898" w:type="dxa"/>
            <w:vMerge w:val="restart"/>
            <w:noWrap/>
            <w:vAlign w:val="center"/>
            <w:hideMark/>
          </w:tcPr>
          <w:p w14:paraId="40F03D80" w14:textId="77777777" w:rsidR="00BB2459" w:rsidRPr="00A73599" w:rsidRDefault="00BB2459" w:rsidP="00622AC7">
            <w:pPr>
              <w:jc w:val="center"/>
              <w:rPr>
                <w:color w:val="000000"/>
                <w:sz w:val="22"/>
              </w:rPr>
            </w:pPr>
            <w:r w:rsidRPr="00A73599">
              <w:rPr>
                <w:color w:val="000000"/>
                <w:sz w:val="22"/>
              </w:rPr>
              <w:t>Case 4</w:t>
            </w:r>
          </w:p>
        </w:tc>
        <w:tc>
          <w:tcPr>
            <w:tcW w:w="1668" w:type="dxa"/>
            <w:noWrap/>
            <w:hideMark/>
          </w:tcPr>
          <w:p w14:paraId="5B743336" w14:textId="77777777" w:rsidR="00BB2459" w:rsidRPr="00A73599" w:rsidRDefault="00BB2459" w:rsidP="00622AC7">
            <w:pPr>
              <w:rPr>
                <w:color w:val="000000"/>
                <w:sz w:val="22"/>
              </w:rPr>
            </w:pPr>
            <w:r w:rsidRPr="00A73599">
              <w:rPr>
                <w:color w:val="000000"/>
                <w:sz w:val="22"/>
              </w:rPr>
              <w:t>CR</w:t>
            </w:r>
          </w:p>
        </w:tc>
        <w:tc>
          <w:tcPr>
            <w:tcW w:w="831" w:type="dxa"/>
            <w:noWrap/>
            <w:hideMark/>
          </w:tcPr>
          <w:p w14:paraId="13DD850C" w14:textId="77777777" w:rsidR="00BB2459" w:rsidRPr="00A73599" w:rsidRDefault="00BB2459" w:rsidP="00622AC7">
            <w:pPr>
              <w:jc w:val="right"/>
              <w:rPr>
                <w:color w:val="000000" w:themeColor="text1"/>
                <w:sz w:val="22"/>
              </w:rPr>
            </w:pPr>
            <w:r w:rsidRPr="00A73599">
              <w:rPr>
                <w:color w:val="000000" w:themeColor="text1"/>
                <w:sz w:val="22"/>
              </w:rPr>
              <w:t>0.14</w:t>
            </w:r>
          </w:p>
        </w:tc>
        <w:tc>
          <w:tcPr>
            <w:tcW w:w="831" w:type="dxa"/>
            <w:noWrap/>
            <w:hideMark/>
          </w:tcPr>
          <w:p w14:paraId="3445DC73" w14:textId="77777777" w:rsidR="00BB2459" w:rsidRPr="00A73599" w:rsidRDefault="00BB2459" w:rsidP="00622AC7">
            <w:pPr>
              <w:jc w:val="right"/>
              <w:rPr>
                <w:color w:val="000000" w:themeColor="text1"/>
                <w:sz w:val="22"/>
              </w:rPr>
            </w:pPr>
            <w:r w:rsidRPr="00A73599">
              <w:rPr>
                <w:color w:val="000000" w:themeColor="text1"/>
                <w:sz w:val="22"/>
              </w:rPr>
              <w:t>0.62</w:t>
            </w:r>
          </w:p>
        </w:tc>
        <w:tc>
          <w:tcPr>
            <w:tcW w:w="839" w:type="dxa"/>
            <w:noWrap/>
            <w:hideMark/>
          </w:tcPr>
          <w:p w14:paraId="7726FF5E" w14:textId="77777777" w:rsidR="00BB2459" w:rsidRPr="00A73599" w:rsidRDefault="00BB2459" w:rsidP="00622AC7">
            <w:pPr>
              <w:jc w:val="right"/>
              <w:rPr>
                <w:color w:val="000000" w:themeColor="text1"/>
                <w:sz w:val="22"/>
              </w:rPr>
            </w:pPr>
            <w:r w:rsidRPr="00A73599">
              <w:rPr>
                <w:color w:val="000000" w:themeColor="text1"/>
                <w:sz w:val="22"/>
              </w:rPr>
              <w:t>0.07</w:t>
            </w:r>
          </w:p>
        </w:tc>
        <w:tc>
          <w:tcPr>
            <w:tcW w:w="975" w:type="dxa"/>
            <w:noWrap/>
            <w:hideMark/>
          </w:tcPr>
          <w:p w14:paraId="2E1F9FF4" w14:textId="77777777" w:rsidR="00BB2459" w:rsidRPr="00A73599" w:rsidRDefault="00BB2459" w:rsidP="00622AC7">
            <w:pPr>
              <w:jc w:val="right"/>
              <w:rPr>
                <w:color w:val="000000" w:themeColor="text1"/>
                <w:sz w:val="22"/>
              </w:rPr>
            </w:pPr>
            <w:r w:rsidRPr="00A73599">
              <w:rPr>
                <w:color w:val="000000" w:themeColor="text1"/>
                <w:sz w:val="22"/>
              </w:rPr>
              <w:t>0.04</w:t>
            </w:r>
          </w:p>
        </w:tc>
        <w:tc>
          <w:tcPr>
            <w:tcW w:w="926" w:type="dxa"/>
            <w:noWrap/>
            <w:hideMark/>
          </w:tcPr>
          <w:p w14:paraId="0E480F36" w14:textId="77777777" w:rsidR="00BB2459" w:rsidRPr="00A73599" w:rsidRDefault="00BB2459" w:rsidP="00622AC7">
            <w:pPr>
              <w:jc w:val="right"/>
              <w:rPr>
                <w:color w:val="000000" w:themeColor="text1"/>
                <w:sz w:val="22"/>
              </w:rPr>
            </w:pPr>
            <w:r w:rsidRPr="00A73599">
              <w:rPr>
                <w:color w:val="000000" w:themeColor="text1"/>
                <w:sz w:val="22"/>
              </w:rPr>
              <w:t>0.11</w:t>
            </w:r>
          </w:p>
        </w:tc>
        <w:tc>
          <w:tcPr>
            <w:tcW w:w="883" w:type="dxa"/>
            <w:noWrap/>
            <w:hideMark/>
          </w:tcPr>
          <w:p w14:paraId="7D7C4D9A" w14:textId="77777777" w:rsidR="00BB2459" w:rsidRPr="00A73599" w:rsidRDefault="00BB2459" w:rsidP="00622AC7">
            <w:pPr>
              <w:jc w:val="right"/>
              <w:rPr>
                <w:color w:val="000000" w:themeColor="text1"/>
                <w:sz w:val="22"/>
              </w:rPr>
            </w:pPr>
            <w:r w:rsidRPr="00A73599">
              <w:rPr>
                <w:color w:val="000000" w:themeColor="text1"/>
                <w:sz w:val="22"/>
              </w:rPr>
              <w:t>0.03</w:t>
            </w:r>
          </w:p>
        </w:tc>
      </w:tr>
      <w:tr w:rsidR="00BB2459" w:rsidRPr="00A73599" w14:paraId="0EDE61F9" w14:textId="77777777" w:rsidTr="00D66FFA">
        <w:trPr>
          <w:trHeight w:val="278"/>
        </w:trPr>
        <w:tc>
          <w:tcPr>
            <w:tcW w:w="1165" w:type="dxa"/>
            <w:vMerge/>
            <w:hideMark/>
          </w:tcPr>
          <w:p w14:paraId="0D10A52A" w14:textId="77777777" w:rsidR="00BB2459" w:rsidRPr="00A73599" w:rsidRDefault="00BB2459" w:rsidP="00622AC7">
            <w:pPr>
              <w:rPr>
                <w:color w:val="000000"/>
                <w:sz w:val="22"/>
              </w:rPr>
            </w:pPr>
          </w:p>
        </w:tc>
        <w:tc>
          <w:tcPr>
            <w:tcW w:w="898" w:type="dxa"/>
            <w:vMerge/>
            <w:hideMark/>
          </w:tcPr>
          <w:p w14:paraId="529CEBE9" w14:textId="77777777" w:rsidR="00BB2459" w:rsidRPr="00A73599" w:rsidRDefault="00BB2459" w:rsidP="00622AC7">
            <w:pPr>
              <w:rPr>
                <w:color w:val="000000"/>
                <w:sz w:val="22"/>
              </w:rPr>
            </w:pPr>
          </w:p>
        </w:tc>
        <w:tc>
          <w:tcPr>
            <w:tcW w:w="1668" w:type="dxa"/>
            <w:noWrap/>
            <w:hideMark/>
          </w:tcPr>
          <w:p w14:paraId="69133790" w14:textId="77777777" w:rsidR="00BB2459" w:rsidRPr="00A73599" w:rsidRDefault="00BB2459" w:rsidP="00622AC7">
            <w:pPr>
              <w:rPr>
                <w:color w:val="000000"/>
                <w:sz w:val="22"/>
              </w:rPr>
            </w:pPr>
            <w:r w:rsidRPr="00A73599">
              <w:rPr>
                <w:color w:val="000000"/>
                <w:sz w:val="22"/>
              </w:rPr>
              <w:t>PM</w:t>
            </w:r>
          </w:p>
        </w:tc>
        <w:tc>
          <w:tcPr>
            <w:tcW w:w="831" w:type="dxa"/>
            <w:noWrap/>
            <w:hideMark/>
          </w:tcPr>
          <w:p w14:paraId="21477B10" w14:textId="77777777" w:rsidR="00BB2459" w:rsidRPr="00A73599" w:rsidRDefault="00BB2459" w:rsidP="00622AC7">
            <w:pPr>
              <w:jc w:val="right"/>
              <w:rPr>
                <w:color w:val="000000" w:themeColor="text1"/>
                <w:sz w:val="22"/>
              </w:rPr>
            </w:pPr>
            <w:r w:rsidRPr="00A73599">
              <w:rPr>
                <w:color w:val="000000" w:themeColor="text1"/>
                <w:sz w:val="22"/>
              </w:rPr>
              <w:t>0.04</w:t>
            </w:r>
          </w:p>
        </w:tc>
        <w:tc>
          <w:tcPr>
            <w:tcW w:w="831" w:type="dxa"/>
            <w:noWrap/>
            <w:hideMark/>
          </w:tcPr>
          <w:p w14:paraId="4E48CFEE" w14:textId="77777777" w:rsidR="00BB2459" w:rsidRPr="00A73599" w:rsidRDefault="00BB2459" w:rsidP="00622AC7">
            <w:pPr>
              <w:jc w:val="right"/>
              <w:rPr>
                <w:color w:val="000000" w:themeColor="text1"/>
                <w:sz w:val="22"/>
              </w:rPr>
            </w:pPr>
            <w:r w:rsidRPr="00A73599">
              <w:rPr>
                <w:color w:val="000000" w:themeColor="text1"/>
                <w:sz w:val="22"/>
              </w:rPr>
              <w:t>0.04</w:t>
            </w:r>
          </w:p>
        </w:tc>
        <w:tc>
          <w:tcPr>
            <w:tcW w:w="839" w:type="dxa"/>
            <w:noWrap/>
            <w:hideMark/>
          </w:tcPr>
          <w:p w14:paraId="5A5DC35D" w14:textId="77777777" w:rsidR="00BB2459" w:rsidRPr="00A73599" w:rsidRDefault="00BB2459" w:rsidP="00622AC7">
            <w:pPr>
              <w:jc w:val="right"/>
              <w:rPr>
                <w:color w:val="000000" w:themeColor="text1"/>
                <w:sz w:val="22"/>
              </w:rPr>
            </w:pPr>
            <w:r w:rsidRPr="00A73599">
              <w:rPr>
                <w:color w:val="000000" w:themeColor="text1"/>
                <w:sz w:val="22"/>
              </w:rPr>
              <w:t>0.18</w:t>
            </w:r>
          </w:p>
        </w:tc>
        <w:tc>
          <w:tcPr>
            <w:tcW w:w="975" w:type="dxa"/>
            <w:noWrap/>
            <w:hideMark/>
          </w:tcPr>
          <w:p w14:paraId="5A1CA1D2" w14:textId="77777777" w:rsidR="00BB2459" w:rsidRPr="00A73599" w:rsidRDefault="00BB2459" w:rsidP="00622AC7">
            <w:pPr>
              <w:jc w:val="right"/>
              <w:rPr>
                <w:color w:val="000000" w:themeColor="text1"/>
                <w:sz w:val="22"/>
              </w:rPr>
            </w:pPr>
            <w:r w:rsidRPr="00A73599">
              <w:rPr>
                <w:color w:val="000000" w:themeColor="text1"/>
                <w:sz w:val="22"/>
              </w:rPr>
              <w:t>0.21</w:t>
            </w:r>
          </w:p>
        </w:tc>
        <w:tc>
          <w:tcPr>
            <w:tcW w:w="926" w:type="dxa"/>
            <w:noWrap/>
            <w:hideMark/>
          </w:tcPr>
          <w:p w14:paraId="1778E9BB" w14:textId="77777777" w:rsidR="00BB2459" w:rsidRPr="00A73599" w:rsidRDefault="00BB2459" w:rsidP="00622AC7">
            <w:pPr>
              <w:jc w:val="right"/>
              <w:rPr>
                <w:color w:val="000000" w:themeColor="text1"/>
                <w:sz w:val="22"/>
              </w:rPr>
            </w:pPr>
            <w:r w:rsidRPr="00A73599">
              <w:rPr>
                <w:color w:val="000000" w:themeColor="text1"/>
                <w:sz w:val="22"/>
              </w:rPr>
              <w:t>0.49</w:t>
            </w:r>
          </w:p>
        </w:tc>
        <w:tc>
          <w:tcPr>
            <w:tcW w:w="883" w:type="dxa"/>
            <w:noWrap/>
            <w:hideMark/>
          </w:tcPr>
          <w:p w14:paraId="14AB68C1" w14:textId="77777777" w:rsidR="00BB2459" w:rsidRPr="00A73599" w:rsidRDefault="00BB2459" w:rsidP="00622AC7">
            <w:pPr>
              <w:jc w:val="right"/>
              <w:rPr>
                <w:color w:val="000000" w:themeColor="text1"/>
                <w:sz w:val="22"/>
              </w:rPr>
            </w:pPr>
            <w:r w:rsidRPr="00A73599">
              <w:rPr>
                <w:color w:val="000000" w:themeColor="text1"/>
                <w:sz w:val="22"/>
              </w:rPr>
              <w:t>0.04</w:t>
            </w:r>
          </w:p>
        </w:tc>
      </w:tr>
      <w:tr w:rsidR="00BB2459" w:rsidRPr="00A73599" w14:paraId="0F65A9B8" w14:textId="77777777" w:rsidTr="00D66FFA">
        <w:trPr>
          <w:trHeight w:val="278"/>
        </w:trPr>
        <w:tc>
          <w:tcPr>
            <w:tcW w:w="1165" w:type="dxa"/>
            <w:vMerge/>
            <w:hideMark/>
          </w:tcPr>
          <w:p w14:paraId="0461473B" w14:textId="77777777" w:rsidR="00BB2459" w:rsidRPr="00A73599" w:rsidRDefault="00BB2459" w:rsidP="00622AC7">
            <w:pPr>
              <w:rPr>
                <w:color w:val="000000"/>
                <w:sz w:val="22"/>
              </w:rPr>
            </w:pPr>
          </w:p>
        </w:tc>
        <w:tc>
          <w:tcPr>
            <w:tcW w:w="898" w:type="dxa"/>
            <w:vMerge/>
            <w:hideMark/>
          </w:tcPr>
          <w:p w14:paraId="22F657A3" w14:textId="77777777" w:rsidR="00BB2459" w:rsidRPr="00A73599" w:rsidRDefault="00BB2459" w:rsidP="00622AC7">
            <w:pPr>
              <w:rPr>
                <w:color w:val="000000"/>
                <w:sz w:val="22"/>
              </w:rPr>
            </w:pPr>
          </w:p>
        </w:tc>
        <w:tc>
          <w:tcPr>
            <w:tcW w:w="1668" w:type="dxa"/>
            <w:noWrap/>
            <w:hideMark/>
          </w:tcPr>
          <w:p w14:paraId="5F8CBA57" w14:textId="77777777" w:rsidR="00BB2459" w:rsidRPr="00A73599" w:rsidRDefault="00BB2459" w:rsidP="00622AC7">
            <w:pPr>
              <w:rPr>
                <w:color w:val="000000"/>
                <w:sz w:val="22"/>
              </w:rPr>
            </w:pPr>
            <w:r w:rsidRPr="00A73599">
              <w:rPr>
                <w:color w:val="000000"/>
                <w:sz w:val="22"/>
              </w:rPr>
              <w:t>WHUT</w:t>
            </w:r>
          </w:p>
        </w:tc>
        <w:tc>
          <w:tcPr>
            <w:tcW w:w="831" w:type="dxa"/>
            <w:noWrap/>
            <w:hideMark/>
          </w:tcPr>
          <w:p w14:paraId="34D5894D" w14:textId="77777777" w:rsidR="00BB2459" w:rsidRPr="00A73599" w:rsidRDefault="00BB2459" w:rsidP="00622AC7">
            <w:pPr>
              <w:jc w:val="right"/>
              <w:rPr>
                <w:color w:val="000000" w:themeColor="text1"/>
                <w:sz w:val="22"/>
              </w:rPr>
            </w:pPr>
            <w:r w:rsidRPr="00A73599">
              <w:rPr>
                <w:color w:val="000000" w:themeColor="text1"/>
                <w:sz w:val="22"/>
              </w:rPr>
              <w:t>0.17</w:t>
            </w:r>
          </w:p>
        </w:tc>
        <w:tc>
          <w:tcPr>
            <w:tcW w:w="831" w:type="dxa"/>
            <w:noWrap/>
            <w:hideMark/>
          </w:tcPr>
          <w:p w14:paraId="7F0125D0" w14:textId="77777777" w:rsidR="00BB2459" w:rsidRPr="00A73599" w:rsidRDefault="00BB2459" w:rsidP="00622AC7">
            <w:pPr>
              <w:jc w:val="right"/>
              <w:rPr>
                <w:color w:val="000000" w:themeColor="text1"/>
                <w:sz w:val="22"/>
              </w:rPr>
            </w:pPr>
            <w:r w:rsidRPr="00A73599">
              <w:rPr>
                <w:color w:val="000000" w:themeColor="text1"/>
                <w:sz w:val="22"/>
              </w:rPr>
              <w:t>0.17</w:t>
            </w:r>
          </w:p>
        </w:tc>
        <w:tc>
          <w:tcPr>
            <w:tcW w:w="839" w:type="dxa"/>
            <w:noWrap/>
            <w:hideMark/>
          </w:tcPr>
          <w:p w14:paraId="6A148A68" w14:textId="77777777" w:rsidR="00BB2459" w:rsidRPr="00A73599" w:rsidRDefault="00BB2459" w:rsidP="00622AC7">
            <w:pPr>
              <w:jc w:val="right"/>
              <w:rPr>
                <w:color w:val="000000" w:themeColor="text1"/>
                <w:sz w:val="22"/>
              </w:rPr>
            </w:pPr>
            <w:r w:rsidRPr="00A73599">
              <w:rPr>
                <w:color w:val="000000" w:themeColor="text1"/>
                <w:sz w:val="22"/>
              </w:rPr>
              <w:t>0.17</w:t>
            </w:r>
          </w:p>
        </w:tc>
        <w:tc>
          <w:tcPr>
            <w:tcW w:w="975" w:type="dxa"/>
            <w:noWrap/>
            <w:hideMark/>
          </w:tcPr>
          <w:p w14:paraId="310E9CB6" w14:textId="77777777" w:rsidR="00BB2459" w:rsidRPr="00A73599" w:rsidRDefault="00BB2459" w:rsidP="00622AC7">
            <w:pPr>
              <w:jc w:val="right"/>
              <w:rPr>
                <w:color w:val="000000" w:themeColor="text1"/>
                <w:sz w:val="22"/>
              </w:rPr>
            </w:pPr>
            <w:r w:rsidRPr="00A73599">
              <w:rPr>
                <w:color w:val="000000" w:themeColor="text1"/>
                <w:sz w:val="22"/>
              </w:rPr>
              <w:t>0.17</w:t>
            </w:r>
          </w:p>
        </w:tc>
        <w:tc>
          <w:tcPr>
            <w:tcW w:w="926" w:type="dxa"/>
            <w:noWrap/>
            <w:hideMark/>
          </w:tcPr>
          <w:p w14:paraId="189EBF4C" w14:textId="77777777" w:rsidR="00BB2459" w:rsidRPr="00A73599" w:rsidRDefault="00BB2459" w:rsidP="00622AC7">
            <w:pPr>
              <w:jc w:val="right"/>
              <w:rPr>
                <w:color w:val="000000" w:themeColor="text1"/>
                <w:sz w:val="22"/>
              </w:rPr>
            </w:pPr>
            <w:r w:rsidRPr="00A73599">
              <w:rPr>
                <w:color w:val="000000" w:themeColor="text1"/>
                <w:sz w:val="22"/>
              </w:rPr>
              <w:t>0.17</w:t>
            </w:r>
          </w:p>
        </w:tc>
        <w:tc>
          <w:tcPr>
            <w:tcW w:w="883" w:type="dxa"/>
            <w:noWrap/>
            <w:hideMark/>
          </w:tcPr>
          <w:p w14:paraId="1D1D7D89" w14:textId="77777777" w:rsidR="00BB2459" w:rsidRPr="00A73599" w:rsidRDefault="00BB2459" w:rsidP="00622AC7">
            <w:pPr>
              <w:jc w:val="right"/>
              <w:rPr>
                <w:color w:val="000000" w:themeColor="text1"/>
                <w:sz w:val="22"/>
              </w:rPr>
            </w:pPr>
            <w:r w:rsidRPr="00A73599">
              <w:rPr>
                <w:color w:val="000000" w:themeColor="text1"/>
                <w:sz w:val="22"/>
              </w:rPr>
              <w:t>0.17</w:t>
            </w:r>
          </w:p>
        </w:tc>
      </w:tr>
    </w:tbl>
    <w:p w14:paraId="4A2CAD1E" w14:textId="2DC286E8" w:rsidR="00BB2459" w:rsidRDefault="007B5959" w:rsidP="00D66FFA">
      <w:pPr>
        <w:pStyle w:val="Caption"/>
        <w:rPr>
          <w:lang w:val="en-US"/>
        </w:rPr>
      </w:pPr>
      <w:bookmarkStart w:id="952" w:name="_Ref45022400"/>
      <w:bookmarkStart w:id="953" w:name="_Toc46053585"/>
      <w:bookmarkStart w:id="954" w:name="_Toc46093834"/>
      <w:bookmarkStart w:id="955" w:name="_Toc66698800"/>
      <w:r>
        <w:t>Table</w:t>
      </w:r>
      <w:r w:rsidR="00D66FFA">
        <w:t xml:space="preserve"> </w:t>
      </w:r>
      <w:r w:rsidR="000306D9">
        <w:fldChar w:fldCharType="begin"/>
      </w:r>
      <w:r w:rsidR="000306D9">
        <w:instrText xml:space="preserve"> STYLEREF 1 \s </w:instrText>
      </w:r>
      <w:r w:rsidR="000306D9">
        <w:fldChar w:fldCharType="separate"/>
      </w:r>
      <w:r w:rsidR="0005064B">
        <w:rPr>
          <w:noProof/>
        </w:rPr>
        <w:t>6</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7</w:t>
      </w:r>
      <w:r w:rsidR="000306D9">
        <w:rPr>
          <w:noProof/>
        </w:rPr>
        <w:fldChar w:fldCharType="end"/>
      </w:r>
      <w:bookmarkEnd w:id="952"/>
      <w:r w:rsidR="00FB0694">
        <w:t>:</w:t>
      </w:r>
      <w:r w:rsidR="00D66FFA">
        <w:t xml:space="preserve"> </w:t>
      </w:r>
      <w:r w:rsidR="00D66FFA">
        <w:rPr>
          <w:lang w:val="en-US"/>
        </w:rPr>
        <w:t>W</w:t>
      </w:r>
      <w:r w:rsidR="00D66FFA" w:rsidRPr="002C60C1">
        <w:rPr>
          <w:lang w:val="en-US"/>
        </w:rPr>
        <w:t>eight</w:t>
      </w:r>
      <w:r w:rsidR="00D66FFA">
        <w:rPr>
          <w:lang w:val="en-US"/>
        </w:rPr>
        <w:t>s</w:t>
      </w:r>
      <w:r w:rsidR="00D66FFA" w:rsidRPr="002C60C1">
        <w:rPr>
          <w:lang w:val="en-US"/>
        </w:rPr>
        <w:t xml:space="preserve"> of</w:t>
      </w:r>
      <w:r w:rsidR="00D66FFA">
        <w:rPr>
          <w:lang w:val="en-US"/>
        </w:rPr>
        <w:t xml:space="preserve"> the economic indicators, as assigned by urban consolidation </w:t>
      </w:r>
      <w:proofErr w:type="spellStart"/>
      <w:r w:rsidR="00D66FFA">
        <w:rPr>
          <w:lang w:val="en-US"/>
        </w:rPr>
        <w:t>centre</w:t>
      </w:r>
      <w:proofErr w:type="spellEnd"/>
      <w:r w:rsidR="00D66FFA">
        <w:rPr>
          <w:lang w:val="en-US"/>
        </w:rPr>
        <w:t xml:space="preserve"> (</w:t>
      </w:r>
      <w:r w:rsidR="00D66FFA" w:rsidRPr="002C60C1">
        <w:rPr>
          <w:lang w:val="en-US"/>
        </w:rPr>
        <w:t>UCC</w:t>
      </w:r>
      <w:r w:rsidR="00D66FFA">
        <w:rPr>
          <w:lang w:val="en-US"/>
        </w:rPr>
        <w:t>)</w:t>
      </w:r>
      <w:r w:rsidR="00D66FFA" w:rsidRPr="002C60C1">
        <w:rPr>
          <w:lang w:val="en-US"/>
        </w:rPr>
        <w:t xml:space="preserve"> </w:t>
      </w:r>
      <w:proofErr w:type="gramStart"/>
      <w:r w:rsidR="00D66FFA">
        <w:rPr>
          <w:lang w:val="en-US"/>
        </w:rPr>
        <w:t>s</w:t>
      </w:r>
      <w:r w:rsidR="00D66FFA" w:rsidRPr="002C60C1">
        <w:rPr>
          <w:lang w:val="en-US"/>
        </w:rPr>
        <w:t>takeholders</w:t>
      </w:r>
      <w:bookmarkEnd w:id="953"/>
      <w:bookmarkEnd w:id="954"/>
      <w:bookmarkEnd w:id="955"/>
      <w:proofErr w:type="gramEnd"/>
    </w:p>
    <w:tbl>
      <w:tblPr>
        <w:tblStyle w:val="TableGrid13"/>
        <w:tblW w:w="9016" w:type="dxa"/>
        <w:tblLook w:val="04A0" w:firstRow="1" w:lastRow="0" w:firstColumn="1" w:lastColumn="0" w:noHBand="0" w:noVBand="1"/>
      </w:tblPr>
      <w:tblGrid>
        <w:gridCol w:w="1102"/>
        <w:gridCol w:w="1136"/>
        <w:gridCol w:w="1717"/>
        <w:gridCol w:w="1332"/>
        <w:gridCol w:w="1122"/>
        <w:gridCol w:w="1272"/>
        <w:gridCol w:w="1335"/>
      </w:tblGrid>
      <w:tr w:rsidR="00D66FFA" w:rsidRPr="00A73599" w14:paraId="2CA6B893" w14:textId="77777777" w:rsidTr="00D66FFA">
        <w:trPr>
          <w:trHeight w:val="285"/>
        </w:trPr>
        <w:tc>
          <w:tcPr>
            <w:tcW w:w="1102" w:type="dxa"/>
            <w:noWrap/>
            <w:vAlign w:val="center"/>
            <w:hideMark/>
          </w:tcPr>
          <w:p w14:paraId="7B2F0767" w14:textId="77777777" w:rsidR="00D66FFA" w:rsidRPr="00A73599" w:rsidRDefault="00D66FFA" w:rsidP="0051420F">
            <w:pPr>
              <w:jc w:val="center"/>
              <w:rPr>
                <w:b/>
                <w:bCs/>
                <w:color w:val="000000"/>
                <w:sz w:val="22"/>
              </w:rPr>
            </w:pPr>
            <w:r w:rsidRPr="00A73599">
              <w:rPr>
                <w:b/>
                <w:bCs/>
                <w:color w:val="000000"/>
                <w:sz w:val="22"/>
              </w:rPr>
              <w:t>Country</w:t>
            </w:r>
          </w:p>
        </w:tc>
        <w:tc>
          <w:tcPr>
            <w:tcW w:w="1136" w:type="dxa"/>
            <w:noWrap/>
            <w:vAlign w:val="center"/>
            <w:hideMark/>
          </w:tcPr>
          <w:p w14:paraId="563BE830" w14:textId="77777777" w:rsidR="00D66FFA" w:rsidRPr="00A73599" w:rsidRDefault="00D66FFA" w:rsidP="0051420F">
            <w:pPr>
              <w:jc w:val="center"/>
              <w:rPr>
                <w:b/>
                <w:bCs/>
                <w:color w:val="000000"/>
                <w:sz w:val="22"/>
              </w:rPr>
            </w:pPr>
            <w:r w:rsidRPr="00A73599">
              <w:rPr>
                <w:b/>
                <w:bCs/>
                <w:color w:val="000000"/>
                <w:sz w:val="22"/>
              </w:rPr>
              <w:t>Cases</w:t>
            </w:r>
          </w:p>
        </w:tc>
        <w:tc>
          <w:tcPr>
            <w:tcW w:w="1717" w:type="dxa"/>
            <w:noWrap/>
            <w:vAlign w:val="center"/>
            <w:hideMark/>
          </w:tcPr>
          <w:p w14:paraId="53475752" w14:textId="77777777" w:rsidR="00D66FFA" w:rsidRPr="00A73599" w:rsidRDefault="00D66FFA" w:rsidP="0051420F">
            <w:pPr>
              <w:jc w:val="center"/>
              <w:rPr>
                <w:b/>
                <w:bCs/>
                <w:color w:val="000000"/>
                <w:sz w:val="22"/>
              </w:rPr>
            </w:pPr>
            <w:r w:rsidRPr="00A73599">
              <w:rPr>
                <w:b/>
                <w:bCs/>
                <w:color w:val="000000"/>
                <w:sz w:val="22"/>
              </w:rPr>
              <w:t>Stakeholders</w:t>
            </w:r>
          </w:p>
        </w:tc>
        <w:tc>
          <w:tcPr>
            <w:tcW w:w="1332" w:type="dxa"/>
            <w:noWrap/>
            <w:vAlign w:val="center"/>
            <w:hideMark/>
          </w:tcPr>
          <w:p w14:paraId="72EDD57A" w14:textId="77777777" w:rsidR="00D66FFA" w:rsidRPr="00A73599" w:rsidRDefault="00D66FFA" w:rsidP="0051420F">
            <w:pPr>
              <w:jc w:val="center"/>
              <w:rPr>
                <w:b/>
                <w:bCs/>
                <w:color w:val="000000"/>
                <w:sz w:val="22"/>
              </w:rPr>
            </w:pPr>
            <w:r w:rsidRPr="00A73599">
              <w:rPr>
                <w:b/>
                <w:bCs/>
                <w:color w:val="000000"/>
                <w:sz w:val="22"/>
              </w:rPr>
              <w:t>PAV</w:t>
            </w:r>
          </w:p>
        </w:tc>
        <w:tc>
          <w:tcPr>
            <w:tcW w:w="1122" w:type="dxa"/>
            <w:noWrap/>
            <w:vAlign w:val="center"/>
            <w:hideMark/>
          </w:tcPr>
          <w:p w14:paraId="2923B0B8" w14:textId="77777777" w:rsidR="00D66FFA" w:rsidRPr="00A73599" w:rsidRDefault="00D66FFA" w:rsidP="0051420F">
            <w:pPr>
              <w:jc w:val="center"/>
              <w:rPr>
                <w:b/>
                <w:bCs/>
                <w:color w:val="000000"/>
                <w:sz w:val="22"/>
              </w:rPr>
            </w:pPr>
            <w:r w:rsidRPr="00A73599">
              <w:rPr>
                <w:b/>
                <w:bCs/>
                <w:color w:val="000000"/>
                <w:sz w:val="22"/>
              </w:rPr>
              <w:t>TLR</w:t>
            </w:r>
          </w:p>
        </w:tc>
        <w:tc>
          <w:tcPr>
            <w:tcW w:w="1272" w:type="dxa"/>
            <w:noWrap/>
            <w:vAlign w:val="center"/>
            <w:hideMark/>
          </w:tcPr>
          <w:p w14:paraId="593F3F03" w14:textId="77777777" w:rsidR="00D66FFA" w:rsidRPr="00A73599" w:rsidRDefault="00D66FFA" w:rsidP="0051420F">
            <w:pPr>
              <w:jc w:val="center"/>
              <w:rPr>
                <w:b/>
                <w:bCs/>
                <w:color w:val="000000"/>
                <w:sz w:val="22"/>
              </w:rPr>
            </w:pPr>
            <w:r w:rsidRPr="00A73599">
              <w:rPr>
                <w:b/>
                <w:bCs/>
                <w:color w:val="000000"/>
                <w:sz w:val="22"/>
              </w:rPr>
              <w:t>TMUA</w:t>
            </w:r>
          </w:p>
        </w:tc>
        <w:tc>
          <w:tcPr>
            <w:tcW w:w="1335" w:type="dxa"/>
            <w:noWrap/>
            <w:vAlign w:val="center"/>
            <w:hideMark/>
          </w:tcPr>
          <w:p w14:paraId="6A612A75" w14:textId="77777777" w:rsidR="00D66FFA" w:rsidRPr="00A73599" w:rsidRDefault="00D66FFA" w:rsidP="0051420F">
            <w:pPr>
              <w:jc w:val="center"/>
              <w:rPr>
                <w:b/>
                <w:bCs/>
                <w:color w:val="000000"/>
                <w:sz w:val="22"/>
              </w:rPr>
            </w:pPr>
            <w:r w:rsidRPr="00A73599">
              <w:rPr>
                <w:b/>
                <w:bCs/>
                <w:color w:val="000000"/>
                <w:sz w:val="22"/>
              </w:rPr>
              <w:t>NDT</w:t>
            </w:r>
          </w:p>
        </w:tc>
      </w:tr>
      <w:tr w:rsidR="00D66FFA" w:rsidRPr="00A73599" w14:paraId="1D610D63" w14:textId="77777777" w:rsidTr="00D66FFA">
        <w:trPr>
          <w:trHeight w:val="285"/>
        </w:trPr>
        <w:tc>
          <w:tcPr>
            <w:tcW w:w="1102" w:type="dxa"/>
            <w:vMerge w:val="restart"/>
            <w:noWrap/>
            <w:vAlign w:val="center"/>
            <w:hideMark/>
          </w:tcPr>
          <w:p w14:paraId="1303B2BA" w14:textId="77777777" w:rsidR="00D66FFA" w:rsidRPr="00A73599" w:rsidRDefault="00D66FFA" w:rsidP="0051420F">
            <w:pPr>
              <w:jc w:val="center"/>
              <w:rPr>
                <w:color w:val="000000"/>
                <w:sz w:val="22"/>
              </w:rPr>
            </w:pPr>
            <w:r w:rsidRPr="00A73599">
              <w:rPr>
                <w:color w:val="000000"/>
                <w:sz w:val="22"/>
              </w:rPr>
              <w:t>Sweden</w:t>
            </w:r>
          </w:p>
        </w:tc>
        <w:tc>
          <w:tcPr>
            <w:tcW w:w="1136" w:type="dxa"/>
            <w:vMerge w:val="restart"/>
            <w:noWrap/>
            <w:vAlign w:val="center"/>
            <w:hideMark/>
          </w:tcPr>
          <w:p w14:paraId="0FEC3C73" w14:textId="77777777" w:rsidR="00D66FFA" w:rsidRPr="00A73599" w:rsidRDefault="00D66FFA" w:rsidP="0051420F">
            <w:pPr>
              <w:jc w:val="center"/>
              <w:rPr>
                <w:color w:val="000000"/>
                <w:sz w:val="22"/>
              </w:rPr>
            </w:pPr>
            <w:r w:rsidRPr="00A73599">
              <w:rPr>
                <w:color w:val="000000"/>
                <w:sz w:val="22"/>
              </w:rPr>
              <w:t>Case 1</w:t>
            </w:r>
          </w:p>
        </w:tc>
        <w:tc>
          <w:tcPr>
            <w:tcW w:w="1717" w:type="dxa"/>
            <w:noWrap/>
            <w:hideMark/>
          </w:tcPr>
          <w:p w14:paraId="74D7C810" w14:textId="77777777" w:rsidR="00D66FFA" w:rsidRPr="00A73599" w:rsidRDefault="00D66FFA" w:rsidP="0051420F">
            <w:pPr>
              <w:rPr>
                <w:color w:val="000000"/>
                <w:sz w:val="22"/>
              </w:rPr>
            </w:pPr>
            <w:r w:rsidRPr="00A73599">
              <w:rPr>
                <w:color w:val="000000"/>
                <w:sz w:val="22"/>
              </w:rPr>
              <w:t>SS</w:t>
            </w:r>
          </w:p>
        </w:tc>
        <w:tc>
          <w:tcPr>
            <w:tcW w:w="1332" w:type="dxa"/>
            <w:noWrap/>
            <w:hideMark/>
          </w:tcPr>
          <w:p w14:paraId="1523082C" w14:textId="77777777" w:rsidR="00D66FFA" w:rsidRPr="00A73599" w:rsidRDefault="00D66FFA" w:rsidP="0051420F">
            <w:pPr>
              <w:jc w:val="right"/>
              <w:rPr>
                <w:sz w:val="22"/>
              </w:rPr>
            </w:pPr>
            <w:r w:rsidRPr="00A73599">
              <w:rPr>
                <w:sz w:val="22"/>
              </w:rPr>
              <w:t>0.31</w:t>
            </w:r>
          </w:p>
        </w:tc>
        <w:tc>
          <w:tcPr>
            <w:tcW w:w="1122" w:type="dxa"/>
            <w:noWrap/>
            <w:hideMark/>
          </w:tcPr>
          <w:p w14:paraId="7BFD4B49" w14:textId="77777777" w:rsidR="00D66FFA" w:rsidRPr="00A73599" w:rsidRDefault="00D66FFA" w:rsidP="0051420F">
            <w:pPr>
              <w:jc w:val="right"/>
              <w:rPr>
                <w:sz w:val="22"/>
              </w:rPr>
            </w:pPr>
            <w:r w:rsidRPr="00A73599">
              <w:rPr>
                <w:sz w:val="22"/>
              </w:rPr>
              <w:t>0.06</w:t>
            </w:r>
          </w:p>
        </w:tc>
        <w:tc>
          <w:tcPr>
            <w:tcW w:w="1272" w:type="dxa"/>
            <w:noWrap/>
            <w:hideMark/>
          </w:tcPr>
          <w:p w14:paraId="3F3E1E6A" w14:textId="77777777" w:rsidR="00D66FFA" w:rsidRPr="00A73599" w:rsidRDefault="00D66FFA" w:rsidP="0051420F">
            <w:pPr>
              <w:jc w:val="right"/>
              <w:rPr>
                <w:sz w:val="22"/>
              </w:rPr>
            </w:pPr>
            <w:r w:rsidRPr="00A73599">
              <w:rPr>
                <w:sz w:val="22"/>
              </w:rPr>
              <w:t>0.31</w:t>
            </w:r>
          </w:p>
        </w:tc>
        <w:tc>
          <w:tcPr>
            <w:tcW w:w="1335" w:type="dxa"/>
            <w:noWrap/>
            <w:hideMark/>
          </w:tcPr>
          <w:p w14:paraId="4D219BC1" w14:textId="77777777" w:rsidR="00D66FFA" w:rsidRPr="00A73599" w:rsidRDefault="00D66FFA" w:rsidP="0051420F">
            <w:pPr>
              <w:jc w:val="right"/>
              <w:rPr>
                <w:sz w:val="22"/>
              </w:rPr>
            </w:pPr>
            <w:r w:rsidRPr="00A73599">
              <w:rPr>
                <w:sz w:val="22"/>
              </w:rPr>
              <w:t>0.31</w:t>
            </w:r>
          </w:p>
        </w:tc>
      </w:tr>
      <w:tr w:rsidR="00D66FFA" w:rsidRPr="00A73599" w14:paraId="1097DF8A" w14:textId="77777777" w:rsidTr="00D66FFA">
        <w:trPr>
          <w:trHeight w:val="285"/>
        </w:trPr>
        <w:tc>
          <w:tcPr>
            <w:tcW w:w="1102" w:type="dxa"/>
            <w:vMerge/>
            <w:vAlign w:val="center"/>
            <w:hideMark/>
          </w:tcPr>
          <w:p w14:paraId="2F4B5360" w14:textId="77777777" w:rsidR="00D66FFA" w:rsidRPr="00A73599" w:rsidRDefault="00D66FFA" w:rsidP="0051420F">
            <w:pPr>
              <w:jc w:val="center"/>
              <w:rPr>
                <w:color w:val="000000"/>
                <w:sz w:val="22"/>
              </w:rPr>
            </w:pPr>
          </w:p>
        </w:tc>
        <w:tc>
          <w:tcPr>
            <w:tcW w:w="1136" w:type="dxa"/>
            <w:vMerge/>
            <w:vAlign w:val="center"/>
            <w:hideMark/>
          </w:tcPr>
          <w:p w14:paraId="77CA5D7E" w14:textId="77777777" w:rsidR="00D66FFA" w:rsidRPr="00A73599" w:rsidRDefault="00D66FFA" w:rsidP="0051420F">
            <w:pPr>
              <w:jc w:val="center"/>
              <w:rPr>
                <w:color w:val="000000"/>
                <w:sz w:val="22"/>
              </w:rPr>
            </w:pPr>
          </w:p>
        </w:tc>
        <w:tc>
          <w:tcPr>
            <w:tcW w:w="1717" w:type="dxa"/>
            <w:noWrap/>
            <w:hideMark/>
          </w:tcPr>
          <w:p w14:paraId="29719FE3" w14:textId="77777777" w:rsidR="00D66FFA" w:rsidRPr="00A73599" w:rsidRDefault="00D66FFA" w:rsidP="0051420F">
            <w:pPr>
              <w:rPr>
                <w:color w:val="000000"/>
                <w:sz w:val="22"/>
              </w:rPr>
            </w:pPr>
            <w:r w:rsidRPr="00A73599">
              <w:rPr>
                <w:color w:val="000000"/>
                <w:sz w:val="22"/>
              </w:rPr>
              <w:t>WCC</w:t>
            </w:r>
          </w:p>
        </w:tc>
        <w:tc>
          <w:tcPr>
            <w:tcW w:w="1332" w:type="dxa"/>
            <w:noWrap/>
            <w:hideMark/>
          </w:tcPr>
          <w:p w14:paraId="070F9DB6" w14:textId="77777777" w:rsidR="00D66FFA" w:rsidRPr="00A73599" w:rsidRDefault="00D66FFA" w:rsidP="0051420F">
            <w:pPr>
              <w:jc w:val="right"/>
              <w:rPr>
                <w:sz w:val="22"/>
              </w:rPr>
            </w:pPr>
            <w:r w:rsidRPr="00A73599">
              <w:rPr>
                <w:sz w:val="22"/>
              </w:rPr>
              <w:t>0.52</w:t>
            </w:r>
          </w:p>
        </w:tc>
        <w:tc>
          <w:tcPr>
            <w:tcW w:w="1122" w:type="dxa"/>
            <w:noWrap/>
            <w:hideMark/>
          </w:tcPr>
          <w:p w14:paraId="7D220536" w14:textId="77777777" w:rsidR="00D66FFA" w:rsidRPr="00A73599" w:rsidRDefault="00D66FFA" w:rsidP="0051420F">
            <w:pPr>
              <w:jc w:val="right"/>
              <w:rPr>
                <w:sz w:val="22"/>
              </w:rPr>
            </w:pPr>
            <w:r w:rsidRPr="00A73599">
              <w:rPr>
                <w:sz w:val="22"/>
              </w:rPr>
              <w:t>0.25</w:t>
            </w:r>
          </w:p>
        </w:tc>
        <w:tc>
          <w:tcPr>
            <w:tcW w:w="1272" w:type="dxa"/>
            <w:noWrap/>
            <w:hideMark/>
          </w:tcPr>
          <w:p w14:paraId="1D2EEE5E" w14:textId="77777777" w:rsidR="00D66FFA" w:rsidRPr="00A73599" w:rsidRDefault="00D66FFA" w:rsidP="0051420F">
            <w:pPr>
              <w:jc w:val="right"/>
              <w:rPr>
                <w:sz w:val="22"/>
              </w:rPr>
            </w:pPr>
            <w:r w:rsidRPr="00A73599">
              <w:rPr>
                <w:sz w:val="22"/>
              </w:rPr>
              <w:t>0.05</w:t>
            </w:r>
          </w:p>
        </w:tc>
        <w:tc>
          <w:tcPr>
            <w:tcW w:w="1335" w:type="dxa"/>
            <w:noWrap/>
            <w:hideMark/>
          </w:tcPr>
          <w:p w14:paraId="2C7B4878" w14:textId="77777777" w:rsidR="00D66FFA" w:rsidRPr="00A73599" w:rsidRDefault="00D66FFA" w:rsidP="0051420F">
            <w:pPr>
              <w:jc w:val="right"/>
              <w:rPr>
                <w:sz w:val="22"/>
              </w:rPr>
            </w:pPr>
            <w:r w:rsidRPr="00A73599">
              <w:rPr>
                <w:sz w:val="22"/>
              </w:rPr>
              <w:t>0.18</w:t>
            </w:r>
          </w:p>
        </w:tc>
      </w:tr>
      <w:tr w:rsidR="00D66FFA" w:rsidRPr="00A73599" w14:paraId="35E75D24" w14:textId="77777777" w:rsidTr="00D66FFA">
        <w:trPr>
          <w:trHeight w:val="285"/>
        </w:trPr>
        <w:tc>
          <w:tcPr>
            <w:tcW w:w="1102" w:type="dxa"/>
            <w:vMerge/>
            <w:vAlign w:val="center"/>
            <w:hideMark/>
          </w:tcPr>
          <w:p w14:paraId="2D677099" w14:textId="77777777" w:rsidR="00D66FFA" w:rsidRPr="00A73599" w:rsidRDefault="00D66FFA" w:rsidP="0051420F">
            <w:pPr>
              <w:jc w:val="center"/>
              <w:rPr>
                <w:color w:val="000000"/>
                <w:sz w:val="22"/>
              </w:rPr>
            </w:pPr>
          </w:p>
        </w:tc>
        <w:tc>
          <w:tcPr>
            <w:tcW w:w="1136" w:type="dxa"/>
            <w:vMerge/>
            <w:vAlign w:val="center"/>
            <w:hideMark/>
          </w:tcPr>
          <w:p w14:paraId="745771A6" w14:textId="77777777" w:rsidR="00D66FFA" w:rsidRPr="00A73599" w:rsidRDefault="00D66FFA" w:rsidP="0051420F">
            <w:pPr>
              <w:jc w:val="center"/>
              <w:rPr>
                <w:color w:val="000000"/>
                <w:sz w:val="22"/>
              </w:rPr>
            </w:pPr>
          </w:p>
        </w:tc>
        <w:tc>
          <w:tcPr>
            <w:tcW w:w="1717" w:type="dxa"/>
            <w:noWrap/>
            <w:hideMark/>
          </w:tcPr>
          <w:p w14:paraId="59AFE5DD" w14:textId="77777777" w:rsidR="00D66FFA" w:rsidRPr="00A73599" w:rsidRDefault="00D66FFA" w:rsidP="0051420F">
            <w:pPr>
              <w:rPr>
                <w:color w:val="000000"/>
                <w:sz w:val="22"/>
              </w:rPr>
            </w:pPr>
            <w:r w:rsidRPr="00A73599">
              <w:rPr>
                <w:color w:val="000000"/>
                <w:sz w:val="22"/>
              </w:rPr>
              <w:t>LC</w:t>
            </w:r>
          </w:p>
        </w:tc>
        <w:tc>
          <w:tcPr>
            <w:tcW w:w="1332" w:type="dxa"/>
            <w:noWrap/>
            <w:hideMark/>
          </w:tcPr>
          <w:p w14:paraId="4C12332A" w14:textId="77777777" w:rsidR="00D66FFA" w:rsidRPr="00A73599" w:rsidRDefault="00D66FFA" w:rsidP="0051420F">
            <w:pPr>
              <w:jc w:val="right"/>
              <w:rPr>
                <w:sz w:val="22"/>
              </w:rPr>
            </w:pPr>
            <w:r w:rsidRPr="00A73599">
              <w:rPr>
                <w:sz w:val="22"/>
              </w:rPr>
              <w:t>0.51</w:t>
            </w:r>
          </w:p>
        </w:tc>
        <w:tc>
          <w:tcPr>
            <w:tcW w:w="1122" w:type="dxa"/>
            <w:noWrap/>
            <w:hideMark/>
          </w:tcPr>
          <w:p w14:paraId="7141B0F7" w14:textId="77777777" w:rsidR="00D66FFA" w:rsidRPr="00A73599" w:rsidRDefault="00D66FFA" w:rsidP="0051420F">
            <w:pPr>
              <w:jc w:val="right"/>
              <w:rPr>
                <w:sz w:val="22"/>
              </w:rPr>
            </w:pPr>
            <w:r w:rsidRPr="00A73599">
              <w:rPr>
                <w:sz w:val="22"/>
              </w:rPr>
              <w:t>0.07</w:t>
            </w:r>
          </w:p>
        </w:tc>
        <w:tc>
          <w:tcPr>
            <w:tcW w:w="1272" w:type="dxa"/>
            <w:noWrap/>
            <w:hideMark/>
          </w:tcPr>
          <w:p w14:paraId="002EE45A" w14:textId="77777777" w:rsidR="00D66FFA" w:rsidRPr="00A73599" w:rsidRDefault="00D66FFA" w:rsidP="0051420F">
            <w:pPr>
              <w:jc w:val="right"/>
              <w:rPr>
                <w:sz w:val="22"/>
              </w:rPr>
            </w:pPr>
            <w:r w:rsidRPr="00A73599">
              <w:rPr>
                <w:sz w:val="22"/>
              </w:rPr>
              <w:t>0.21</w:t>
            </w:r>
          </w:p>
        </w:tc>
        <w:tc>
          <w:tcPr>
            <w:tcW w:w="1335" w:type="dxa"/>
            <w:noWrap/>
            <w:hideMark/>
          </w:tcPr>
          <w:p w14:paraId="21FB0479" w14:textId="77777777" w:rsidR="00D66FFA" w:rsidRPr="00A73599" w:rsidRDefault="00D66FFA" w:rsidP="0051420F">
            <w:pPr>
              <w:jc w:val="right"/>
              <w:rPr>
                <w:sz w:val="22"/>
              </w:rPr>
            </w:pPr>
            <w:r w:rsidRPr="00A73599">
              <w:rPr>
                <w:sz w:val="22"/>
              </w:rPr>
              <w:t>0.21</w:t>
            </w:r>
          </w:p>
        </w:tc>
      </w:tr>
      <w:tr w:rsidR="00D66FFA" w:rsidRPr="00A73599" w14:paraId="463E614C" w14:textId="77777777" w:rsidTr="00D66FFA">
        <w:trPr>
          <w:trHeight w:val="285"/>
        </w:trPr>
        <w:tc>
          <w:tcPr>
            <w:tcW w:w="1102" w:type="dxa"/>
            <w:vMerge/>
            <w:vAlign w:val="center"/>
            <w:hideMark/>
          </w:tcPr>
          <w:p w14:paraId="07ED0560" w14:textId="77777777" w:rsidR="00D66FFA" w:rsidRPr="00A73599" w:rsidRDefault="00D66FFA" w:rsidP="0051420F">
            <w:pPr>
              <w:jc w:val="center"/>
              <w:rPr>
                <w:color w:val="000000"/>
                <w:sz w:val="22"/>
              </w:rPr>
            </w:pPr>
          </w:p>
        </w:tc>
        <w:tc>
          <w:tcPr>
            <w:tcW w:w="1136" w:type="dxa"/>
            <w:vMerge/>
            <w:vAlign w:val="center"/>
            <w:hideMark/>
          </w:tcPr>
          <w:p w14:paraId="2AF3D871" w14:textId="77777777" w:rsidR="00D66FFA" w:rsidRPr="00A73599" w:rsidRDefault="00D66FFA" w:rsidP="0051420F">
            <w:pPr>
              <w:jc w:val="center"/>
              <w:rPr>
                <w:color w:val="000000"/>
                <w:sz w:val="22"/>
              </w:rPr>
            </w:pPr>
          </w:p>
        </w:tc>
        <w:tc>
          <w:tcPr>
            <w:tcW w:w="1717" w:type="dxa"/>
            <w:noWrap/>
            <w:hideMark/>
          </w:tcPr>
          <w:p w14:paraId="67C3331A" w14:textId="77777777" w:rsidR="00D66FFA" w:rsidRPr="00A73599" w:rsidRDefault="00D66FFA" w:rsidP="0051420F">
            <w:pPr>
              <w:rPr>
                <w:color w:val="000000"/>
                <w:sz w:val="22"/>
              </w:rPr>
            </w:pPr>
            <w:r w:rsidRPr="00A73599">
              <w:rPr>
                <w:color w:val="000000"/>
                <w:sz w:val="22"/>
              </w:rPr>
              <w:t>KTH</w:t>
            </w:r>
          </w:p>
        </w:tc>
        <w:tc>
          <w:tcPr>
            <w:tcW w:w="1332" w:type="dxa"/>
            <w:noWrap/>
            <w:hideMark/>
          </w:tcPr>
          <w:p w14:paraId="468C544C" w14:textId="77777777" w:rsidR="00D66FFA" w:rsidRPr="00A73599" w:rsidRDefault="00D66FFA" w:rsidP="0051420F">
            <w:pPr>
              <w:jc w:val="right"/>
              <w:rPr>
                <w:sz w:val="22"/>
              </w:rPr>
            </w:pPr>
            <w:r w:rsidRPr="00A73599">
              <w:rPr>
                <w:sz w:val="22"/>
              </w:rPr>
              <w:t>0.54</w:t>
            </w:r>
          </w:p>
        </w:tc>
        <w:tc>
          <w:tcPr>
            <w:tcW w:w="1122" w:type="dxa"/>
            <w:noWrap/>
            <w:hideMark/>
          </w:tcPr>
          <w:p w14:paraId="108AB803" w14:textId="77777777" w:rsidR="00D66FFA" w:rsidRPr="00A73599" w:rsidRDefault="00D66FFA" w:rsidP="0051420F">
            <w:pPr>
              <w:jc w:val="right"/>
              <w:rPr>
                <w:sz w:val="22"/>
              </w:rPr>
            </w:pPr>
            <w:r w:rsidRPr="00A73599">
              <w:rPr>
                <w:sz w:val="22"/>
              </w:rPr>
              <w:t>0.17</w:t>
            </w:r>
          </w:p>
        </w:tc>
        <w:tc>
          <w:tcPr>
            <w:tcW w:w="1272" w:type="dxa"/>
            <w:noWrap/>
            <w:hideMark/>
          </w:tcPr>
          <w:p w14:paraId="34C1FABF" w14:textId="77777777" w:rsidR="00D66FFA" w:rsidRPr="00A73599" w:rsidRDefault="00D66FFA" w:rsidP="0051420F">
            <w:pPr>
              <w:jc w:val="right"/>
              <w:rPr>
                <w:sz w:val="22"/>
              </w:rPr>
            </w:pPr>
            <w:r w:rsidRPr="00A73599">
              <w:rPr>
                <w:sz w:val="22"/>
              </w:rPr>
              <w:t>0.18</w:t>
            </w:r>
          </w:p>
        </w:tc>
        <w:tc>
          <w:tcPr>
            <w:tcW w:w="1335" w:type="dxa"/>
            <w:noWrap/>
            <w:hideMark/>
          </w:tcPr>
          <w:p w14:paraId="10BD38F2" w14:textId="77777777" w:rsidR="00D66FFA" w:rsidRPr="00A73599" w:rsidRDefault="00D66FFA" w:rsidP="0051420F">
            <w:pPr>
              <w:jc w:val="right"/>
              <w:rPr>
                <w:sz w:val="22"/>
              </w:rPr>
            </w:pPr>
            <w:r w:rsidRPr="00A73599">
              <w:rPr>
                <w:sz w:val="22"/>
              </w:rPr>
              <w:t>0.10</w:t>
            </w:r>
          </w:p>
        </w:tc>
      </w:tr>
      <w:tr w:rsidR="00D66FFA" w:rsidRPr="00A73599" w14:paraId="22B59C13" w14:textId="77777777" w:rsidTr="00D66FFA">
        <w:trPr>
          <w:trHeight w:val="285"/>
        </w:trPr>
        <w:tc>
          <w:tcPr>
            <w:tcW w:w="1102" w:type="dxa"/>
            <w:vMerge/>
            <w:vAlign w:val="center"/>
            <w:hideMark/>
          </w:tcPr>
          <w:p w14:paraId="62278217" w14:textId="77777777" w:rsidR="00D66FFA" w:rsidRPr="00A73599" w:rsidRDefault="00D66FFA" w:rsidP="0051420F">
            <w:pPr>
              <w:jc w:val="center"/>
              <w:rPr>
                <w:color w:val="000000"/>
                <w:sz w:val="22"/>
              </w:rPr>
            </w:pPr>
          </w:p>
        </w:tc>
        <w:tc>
          <w:tcPr>
            <w:tcW w:w="1136" w:type="dxa"/>
            <w:vMerge w:val="restart"/>
            <w:noWrap/>
            <w:vAlign w:val="center"/>
            <w:hideMark/>
          </w:tcPr>
          <w:p w14:paraId="20B69243" w14:textId="77777777" w:rsidR="00D66FFA" w:rsidRPr="00A73599" w:rsidRDefault="00D66FFA" w:rsidP="0051420F">
            <w:pPr>
              <w:jc w:val="center"/>
              <w:rPr>
                <w:color w:val="000000"/>
                <w:sz w:val="22"/>
              </w:rPr>
            </w:pPr>
            <w:r w:rsidRPr="00A73599">
              <w:rPr>
                <w:color w:val="000000"/>
                <w:sz w:val="22"/>
              </w:rPr>
              <w:t>Case 2</w:t>
            </w:r>
          </w:p>
        </w:tc>
        <w:tc>
          <w:tcPr>
            <w:tcW w:w="1717" w:type="dxa"/>
            <w:noWrap/>
            <w:hideMark/>
          </w:tcPr>
          <w:p w14:paraId="1715C904" w14:textId="77777777" w:rsidR="00D66FFA" w:rsidRPr="00A73599" w:rsidRDefault="00D66FFA" w:rsidP="0051420F">
            <w:pPr>
              <w:rPr>
                <w:color w:val="000000"/>
                <w:sz w:val="22"/>
              </w:rPr>
            </w:pPr>
            <w:r w:rsidRPr="00A73599">
              <w:rPr>
                <w:color w:val="000000"/>
                <w:sz w:val="22"/>
              </w:rPr>
              <w:t>UPM</w:t>
            </w:r>
          </w:p>
        </w:tc>
        <w:tc>
          <w:tcPr>
            <w:tcW w:w="1332" w:type="dxa"/>
            <w:noWrap/>
            <w:hideMark/>
          </w:tcPr>
          <w:p w14:paraId="39CD6C87" w14:textId="77777777" w:rsidR="00D66FFA" w:rsidRPr="00A73599" w:rsidRDefault="00D66FFA" w:rsidP="0051420F">
            <w:pPr>
              <w:jc w:val="right"/>
              <w:rPr>
                <w:sz w:val="22"/>
              </w:rPr>
            </w:pPr>
            <w:r w:rsidRPr="00A73599">
              <w:rPr>
                <w:sz w:val="22"/>
              </w:rPr>
              <w:t>0.06</w:t>
            </w:r>
          </w:p>
        </w:tc>
        <w:tc>
          <w:tcPr>
            <w:tcW w:w="1122" w:type="dxa"/>
            <w:noWrap/>
            <w:hideMark/>
          </w:tcPr>
          <w:p w14:paraId="18C95B3A" w14:textId="77777777" w:rsidR="00D66FFA" w:rsidRPr="00A73599" w:rsidRDefault="00D66FFA" w:rsidP="0051420F">
            <w:pPr>
              <w:jc w:val="right"/>
              <w:rPr>
                <w:sz w:val="22"/>
              </w:rPr>
            </w:pPr>
            <w:r w:rsidRPr="00A73599">
              <w:rPr>
                <w:sz w:val="22"/>
              </w:rPr>
              <w:t>0.74</w:t>
            </w:r>
          </w:p>
        </w:tc>
        <w:tc>
          <w:tcPr>
            <w:tcW w:w="1272" w:type="dxa"/>
            <w:noWrap/>
            <w:hideMark/>
          </w:tcPr>
          <w:p w14:paraId="7FBD6DEC" w14:textId="77777777" w:rsidR="00D66FFA" w:rsidRPr="00A73599" w:rsidRDefault="00D66FFA" w:rsidP="0051420F">
            <w:pPr>
              <w:jc w:val="right"/>
              <w:rPr>
                <w:sz w:val="22"/>
              </w:rPr>
            </w:pPr>
            <w:r w:rsidRPr="00A73599">
              <w:rPr>
                <w:sz w:val="22"/>
              </w:rPr>
              <w:t>0.08</w:t>
            </w:r>
          </w:p>
        </w:tc>
        <w:tc>
          <w:tcPr>
            <w:tcW w:w="1335" w:type="dxa"/>
            <w:noWrap/>
            <w:hideMark/>
          </w:tcPr>
          <w:p w14:paraId="212EFD3C" w14:textId="77777777" w:rsidR="00D66FFA" w:rsidRPr="00A73599" w:rsidRDefault="00D66FFA" w:rsidP="0051420F">
            <w:pPr>
              <w:jc w:val="right"/>
              <w:rPr>
                <w:sz w:val="22"/>
              </w:rPr>
            </w:pPr>
            <w:r w:rsidRPr="00A73599">
              <w:rPr>
                <w:sz w:val="22"/>
              </w:rPr>
              <w:t>0.11</w:t>
            </w:r>
          </w:p>
        </w:tc>
      </w:tr>
      <w:tr w:rsidR="00D66FFA" w:rsidRPr="00A73599" w14:paraId="61776598" w14:textId="77777777" w:rsidTr="00D66FFA">
        <w:trPr>
          <w:trHeight w:val="285"/>
        </w:trPr>
        <w:tc>
          <w:tcPr>
            <w:tcW w:w="1102" w:type="dxa"/>
            <w:vMerge/>
            <w:vAlign w:val="center"/>
            <w:hideMark/>
          </w:tcPr>
          <w:p w14:paraId="2C313E00" w14:textId="77777777" w:rsidR="00D66FFA" w:rsidRPr="00A73599" w:rsidRDefault="00D66FFA" w:rsidP="0051420F">
            <w:pPr>
              <w:jc w:val="center"/>
              <w:rPr>
                <w:color w:val="000000"/>
                <w:sz w:val="22"/>
              </w:rPr>
            </w:pPr>
          </w:p>
        </w:tc>
        <w:tc>
          <w:tcPr>
            <w:tcW w:w="1136" w:type="dxa"/>
            <w:vMerge/>
            <w:vAlign w:val="center"/>
            <w:hideMark/>
          </w:tcPr>
          <w:p w14:paraId="78244935" w14:textId="77777777" w:rsidR="00D66FFA" w:rsidRPr="00A73599" w:rsidRDefault="00D66FFA" w:rsidP="0051420F">
            <w:pPr>
              <w:jc w:val="center"/>
              <w:rPr>
                <w:color w:val="000000"/>
                <w:sz w:val="22"/>
              </w:rPr>
            </w:pPr>
          </w:p>
        </w:tc>
        <w:tc>
          <w:tcPr>
            <w:tcW w:w="1717" w:type="dxa"/>
            <w:noWrap/>
            <w:hideMark/>
          </w:tcPr>
          <w:p w14:paraId="231973D6" w14:textId="77777777" w:rsidR="00D66FFA" w:rsidRPr="00A73599" w:rsidRDefault="00D66FFA" w:rsidP="0051420F">
            <w:pPr>
              <w:rPr>
                <w:color w:val="000000"/>
                <w:sz w:val="22"/>
              </w:rPr>
            </w:pPr>
            <w:r w:rsidRPr="00A73599">
              <w:rPr>
                <w:rFonts w:hint="eastAsia"/>
                <w:color w:val="000000"/>
                <w:sz w:val="22"/>
              </w:rPr>
              <w:t>D</w:t>
            </w:r>
            <w:r w:rsidRPr="00A73599">
              <w:rPr>
                <w:color w:val="000000"/>
                <w:sz w:val="22"/>
              </w:rPr>
              <w:t>RS</w:t>
            </w:r>
          </w:p>
        </w:tc>
        <w:tc>
          <w:tcPr>
            <w:tcW w:w="1332" w:type="dxa"/>
            <w:noWrap/>
            <w:hideMark/>
          </w:tcPr>
          <w:p w14:paraId="227D9CB4" w14:textId="77777777" w:rsidR="00D66FFA" w:rsidRPr="00A73599" w:rsidRDefault="00D66FFA" w:rsidP="0051420F">
            <w:pPr>
              <w:jc w:val="right"/>
              <w:rPr>
                <w:sz w:val="22"/>
              </w:rPr>
            </w:pPr>
            <w:r w:rsidRPr="00A73599">
              <w:rPr>
                <w:sz w:val="22"/>
              </w:rPr>
              <w:t>0.49</w:t>
            </w:r>
          </w:p>
        </w:tc>
        <w:tc>
          <w:tcPr>
            <w:tcW w:w="1122" w:type="dxa"/>
            <w:noWrap/>
            <w:hideMark/>
          </w:tcPr>
          <w:p w14:paraId="47F17590" w14:textId="77777777" w:rsidR="00D66FFA" w:rsidRPr="00A73599" w:rsidRDefault="00D66FFA" w:rsidP="0051420F">
            <w:pPr>
              <w:jc w:val="right"/>
              <w:rPr>
                <w:sz w:val="22"/>
              </w:rPr>
            </w:pPr>
            <w:r w:rsidRPr="00A73599">
              <w:rPr>
                <w:sz w:val="22"/>
              </w:rPr>
              <w:t>0.14</w:t>
            </w:r>
          </w:p>
        </w:tc>
        <w:tc>
          <w:tcPr>
            <w:tcW w:w="1272" w:type="dxa"/>
            <w:noWrap/>
            <w:hideMark/>
          </w:tcPr>
          <w:p w14:paraId="1537FCCB" w14:textId="77777777" w:rsidR="00D66FFA" w:rsidRPr="00A73599" w:rsidRDefault="00D66FFA" w:rsidP="0051420F">
            <w:pPr>
              <w:jc w:val="right"/>
              <w:rPr>
                <w:sz w:val="22"/>
              </w:rPr>
            </w:pPr>
            <w:r w:rsidRPr="00A73599">
              <w:rPr>
                <w:sz w:val="22"/>
              </w:rPr>
              <w:t>0.17</w:t>
            </w:r>
          </w:p>
        </w:tc>
        <w:tc>
          <w:tcPr>
            <w:tcW w:w="1335" w:type="dxa"/>
            <w:noWrap/>
            <w:hideMark/>
          </w:tcPr>
          <w:p w14:paraId="1FE9A54E" w14:textId="77777777" w:rsidR="00D66FFA" w:rsidRPr="00A73599" w:rsidRDefault="00D66FFA" w:rsidP="0051420F">
            <w:pPr>
              <w:jc w:val="right"/>
              <w:rPr>
                <w:sz w:val="22"/>
              </w:rPr>
            </w:pPr>
            <w:r w:rsidRPr="00A73599">
              <w:rPr>
                <w:sz w:val="22"/>
              </w:rPr>
              <w:t>0.20</w:t>
            </w:r>
          </w:p>
        </w:tc>
      </w:tr>
      <w:tr w:rsidR="00D66FFA" w:rsidRPr="00A73599" w14:paraId="17E7DD29" w14:textId="77777777" w:rsidTr="00D66FFA">
        <w:trPr>
          <w:trHeight w:val="285"/>
        </w:trPr>
        <w:tc>
          <w:tcPr>
            <w:tcW w:w="1102" w:type="dxa"/>
            <w:vMerge w:val="restart"/>
            <w:noWrap/>
            <w:vAlign w:val="center"/>
            <w:hideMark/>
          </w:tcPr>
          <w:p w14:paraId="3C816444" w14:textId="77777777" w:rsidR="00D66FFA" w:rsidRPr="00A73599" w:rsidRDefault="00D66FFA" w:rsidP="0051420F">
            <w:pPr>
              <w:jc w:val="center"/>
              <w:rPr>
                <w:color w:val="000000"/>
                <w:sz w:val="22"/>
              </w:rPr>
            </w:pPr>
            <w:r w:rsidRPr="00A73599">
              <w:rPr>
                <w:color w:val="000000"/>
                <w:sz w:val="22"/>
              </w:rPr>
              <w:t>China</w:t>
            </w:r>
          </w:p>
        </w:tc>
        <w:tc>
          <w:tcPr>
            <w:tcW w:w="1136" w:type="dxa"/>
            <w:vMerge w:val="restart"/>
            <w:noWrap/>
            <w:vAlign w:val="center"/>
            <w:hideMark/>
          </w:tcPr>
          <w:p w14:paraId="4AF05BB2" w14:textId="77777777" w:rsidR="00D66FFA" w:rsidRPr="00A73599" w:rsidRDefault="00D66FFA" w:rsidP="0051420F">
            <w:pPr>
              <w:jc w:val="center"/>
              <w:rPr>
                <w:color w:val="000000"/>
                <w:sz w:val="22"/>
              </w:rPr>
            </w:pPr>
            <w:r w:rsidRPr="00A73599">
              <w:rPr>
                <w:color w:val="000000"/>
                <w:sz w:val="22"/>
              </w:rPr>
              <w:t>Case 3</w:t>
            </w:r>
          </w:p>
        </w:tc>
        <w:tc>
          <w:tcPr>
            <w:tcW w:w="1717" w:type="dxa"/>
            <w:noWrap/>
            <w:hideMark/>
          </w:tcPr>
          <w:p w14:paraId="01FA9116" w14:textId="77777777" w:rsidR="00D66FFA" w:rsidRPr="00A73599" w:rsidRDefault="00D66FFA" w:rsidP="0051420F">
            <w:pPr>
              <w:rPr>
                <w:color w:val="000000"/>
                <w:sz w:val="22"/>
              </w:rPr>
            </w:pPr>
            <w:r w:rsidRPr="00A73599">
              <w:rPr>
                <w:color w:val="000000"/>
                <w:sz w:val="22"/>
              </w:rPr>
              <w:t>UE</w:t>
            </w:r>
          </w:p>
        </w:tc>
        <w:tc>
          <w:tcPr>
            <w:tcW w:w="1332" w:type="dxa"/>
            <w:noWrap/>
            <w:hideMark/>
          </w:tcPr>
          <w:p w14:paraId="049CAF2B" w14:textId="77777777" w:rsidR="00D66FFA" w:rsidRPr="00A73599" w:rsidRDefault="00D66FFA" w:rsidP="0051420F">
            <w:pPr>
              <w:jc w:val="right"/>
              <w:rPr>
                <w:sz w:val="22"/>
              </w:rPr>
            </w:pPr>
            <w:r w:rsidRPr="00A73599">
              <w:rPr>
                <w:sz w:val="22"/>
              </w:rPr>
              <w:t>0.03</w:t>
            </w:r>
          </w:p>
        </w:tc>
        <w:tc>
          <w:tcPr>
            <w:tcW w:w="1122" w:type="dxa"/>
            <w:noWrap/>
            <w:hideMark/>
          </w:tcPr>
          <w:p w14:paraId="09F8C49E" w14:textId="77777777" w:rsidR="00D66FFA" w:rsidRPr="00A73599" w:rsidRDefault="00D66FFA" w:rsidP="0051420F">
            <w:pPr>
              <w:jc w:val="right"/>
              <w:rPr>
                <w:sz w:val="22"/>
              </w:rPr>
            </w:pPr>
            <w:r w:rsidRPr="00A73599">
              <w:rPr>
                <w:sz w:val="22"/>
              </w:rPr>
              <w:t>0.42</w:t>
            </w:r>
          </w:p>
        </w:tc>
        <w:tc>
          <w:tcPr>
            <w:tcW w:w="1272" w:type="dxa"/>
            <w:noWrap/>
            <w:hideMark/>
          </w:tcPr>
          <w:p w14:paraId="279B8A27" w14:textId="77777777" w:rsidR="00D66FFA" w:rsidRPr="00A73599" w:rsidRDefault="00D66FFA" w:rsidP="0051420F">
            <w:pPr>
              <w:jc w:val="right"/>
              <w:rPr>
                <w:sz w:val="22"/>
              </w:rPr>
            </w:pPr>
            <w:r w:rsidRPr="00A73599">
              <w:rPr>
                <w:sz w:val="22"/>
              </w:rPr>
              <w:t>0.24</w:t>
            </w:r>
          </w:p>
        </w:tc>
        <w:tc>
          <w:tcPr>
            <w:tcW w:w="1335" w:type="dxa"/>
            <w:noWrap/>
            <w:hideMark/>
          </w:tcPr>
          <w:p w14:paraId="150FBD8F" w14:textId="77777777" w:rsidR="00D66FFA" w:rsidRPr="00A73599" w:rsidRDefault="00D66FFA" w:rsidP="0051420F">
            <w:pPr>
              <w:jc w:val="right"/>
              <w:rPr>
                <w:sz w:val="22"/>
              </w:rPr>
            </w:pPr>
            <w:r w:rsidRPr="00A73599">
              <w:rPr>
                <w:sz w:val="22"/>
              </w:rPr>
              <w:t>0.31</w:t>
            </w:r>
          </w:p>
        </w:tc>
      </w:tr>
      <w:tr w:rsidR="00D66FFA" w:rsidRPr="00A73599" w14:paraId="673A746E" w14:textId="77777777" w:rsidTr="00D66FFA">
        <w:trPr>
          <w:trHeight w:val="285"/>
        </w:trPr>
        <w:tc>
          <w:tcPr>
            <w:tcW w:w="1102" w:type="dxa"/>
            <w:vMerge/>
            <w:vAlign w:val="center"/>
            <w:hideMark/>
          </w:tcPr>
          <w:p w14:paraId="351C28F0" w14:textId="77777777" w:rsidR="00D66FFA" w:rsidRPr="00A73599" w:rsidRDefault="00D66FFA" w:rsidP="0051420F">
            <w:pPr>
              <w:jc w:val="center"/>
              <w:rPr>
                <w:color w:val="000000"/>
                <w:sz w:val="22"/>
              </w:rPr>
            </w:pPr>
          </w:p>
        </w:tc>
        <w:tc>
          <w:tcPr>
            <w:tcW w:w="1136" w:type="dxa"/>
            <w:vMerge/>
            <w:vAlign w:val="center"/>
            <w:hideMark/>
          </w:tcPr>
          <w:p w14:paraId="145B5E20" w14:textId="77777777" w:rsidR="00D66FFA" w:rsidRPr="00A73599" w:rsidRDefault="00D66FFA" w:rsidP="0051420F">
            <w:pPr>
              <w:jc w:val="center"/>
              <w:rPr>
                <w:color w:val="000000"/>
                <w:sz w:val="22"/>
              </w:rPr>
            </w:pPr>
          </w:p>
        </w:tc>
        <w:tc>
          <w:tcPr>
            <w:tcW w:w="1717" w:type="dxa"/>
            <w:noWrap/>
            <w:hideMark/>
          </w:tcPr>
          <w:p w14:paraId="1036AA6D" w14:textId="77777777" w:rsidR="00D66FFA" w:rsidRPr="00A73599" w:rsidRDefault="00D66FFA" w:rsidP="0051420F">
            <w:pPr>
              <w:rPr>
                <w:color w:val="000000"/>
                <w:sz w:val="22"/>
              </w:rPr>
            </w:pPr>
            <w:r w:rsidRPr="00A73599">
              <w:rPr>
                <w:color w:val="000000"/>
                <w:sz w:val="22"/>
              </w:rPr>
              <w:t>HWD</w:t>
            </w:r>
          </w:p>
        </w:tc>
        <w:tc>
          <w:tcPr>
            <w:tcW w:w="1332" w:type="dxa"/>
            <w:noWrap/>
            <w:hideMark/>
          </w:tcPr>
          <w:p w14:paraId="1C34BEF0" w14:textId="77777777" w:rsidR="00D66FFA" w:rsidRPr="00A73599" w:rsidRDefault="00D66FFA" w:rsidP="0051420F">
            <w:pPr>
              <w:jc w:val="right"/>
              <w:rPr>
                <w:sz w:val="22"/>
              </w:rPr>
            </w:pPr>
            <w:r w:rsidRPr="00A73599">
              <w:rPr>
                <w:sz w:val="22"/>
              </w:rPr>
              <w:t>0.04</w:t>
            </w:r>
          </w:p>
        </w:tc>
        <w:tc>
          <w:tcPr>
            <w:tcW w:w="1122" w:type="dxa"/>
            <w:noWrap/>
            <w:hideMark/>
          </w:tcPr>
          <w:p w14:paraId="2E8DBE87" w14:textId="77777777" w:rsidR="00D66FFA" w:rsidRPr="00A73599" w:rsidRDefault="00D66FFA" w:rsidP="0051420F">
            <w:pPr>
              <w:jc w:val="right"/>
              <w:rPr>
                <w:sz w:val="22"/>
              </w:rPr>
            </w:pPr>
            <w:r w:rsidRPr="00A73599">
              <w:rPr>
                <w:sz w:val="22"/>
              </w:rPr>
              <w:t>0.51</w:t>
            </w:r>
          </w:p>
        </w:tc>
        <w:tc>
          <w:tcPr>
            <w:tcW w:w="1272" w:type="dxa"/>
            <w:noWrap/>
            <w:hideMark/>
          </w:tcPr>
          <w:p w14:paraId="0ED30382" w14:textId="77777777" w:rsidR="00D66FFA" w:rsidRPr="00A73599" w:rsidRDefault="00D66FFA" w:rsidP="0051420F">
            <w:pPr>
              <w:jc w:val="right"/>
              <w:rPr>
                <w:sz w:val="22"/>
              </w:rPr>
            </w:pPr>
            <w:r w:rsidRPr="00A73599">
              <w:rPr>
                <w:sz w:val="22"/>
              </w:rPr>
              <w:t>0.07</w:t>
            </w:r>
          </w:p>
        </w:tc>
        <w:tc>
          <w:tcPr>
            <w:tcW w:w="1335" w:type="dxa"/>
            <w:noWrap/>
            <w:hideMark/>
          </w:tcPr>
          <w:p w14:paraId="503A4A1F" w14:textId="77777777" w:rsidR="00D66FFA" w:rsidRPr="00A73599" w:rsidRDefault="00D66FFA" w:rsidP="0051420F">
            <w:pPr>
              <w:jc w:val="right"/>
              <w:rPr>
                <w:sz w:val="22"/>
              </w:rPr>
            </w:pPr>
            <w:r w:rsidRPr="00A73599">
              <w:rPr>
                <w:sz w:val="22"/>
              </w:rPr>
              <w:t>0.38</w:t>
            </w:r>
          </w:p>
        </w:tc>
      </w:tr>
      <w:tr w:rsidR="00D66FFA" w:rsidRPr="00A73599" w14:paraId="11595D9E" w14:textId="77777777" w:rsidTr="00D66FFA">
        <w:trPr>
          <w:trHeight w:val="285"/>
        </w:trPr>
        <w:tc>
          <w:tcPr>
            <w:tcW w:w="1102" w:type="dxa"/>
            <w:vMerge/>
            <w:vAlign w:val="center"/>
            <w:hideMark/>
          </w:tcPr>
          <w:p w14:paraId="489192C0" w14:textId="77777777" w:rsidR="00D66FFA" w:rsidRPr="00A73599" w:rsidRDefault="00D66FFA" w:rsidP="0051420F">
            <w:pPr>
              <w:jc w:val="center"/>
              <w:rPr>
                <w:color w:val="000000"/>
                <w:sz w:val="22"/>
              </w:rPr>
            </w:pPr>
          </w:p>
        </w:tc>
        <w:tc>
          <w:tcPr>
            <w:tcW w:w="1136" w:type="dxa"/>
            <w:vMerge/>
            <w:vAlign w:val="center"/>
            <w:hideMark/>
          </w:tcPr>
          <w:p w14:paraId="13B7B415" w14:textId="77777777" w:rsidR="00D66FFA" w:rsidRPr="00A73599" w:rsidRDefault="00D66FFA" w:rsidP="0051420F">
            <w:pPr>
              <w:jc w:val="center"/>
              <w:rPr>
                <w:color w:val="000000"/>
                <w:sz w:val="22"/>
              </w:rPr>
            </w:pPr>
          </w:p>
        </w:tc>
        <w:tc>
          <w:tcPr>
            <w:tcW w:w="1717" w:type="dxa"/>
            <w:noWrap/>
            <w:hideMark/>
          </w:tcPr>
          <w:p w14:paraId="0984456D" w14:textId="77777777" w:rsidR="00D66FFA" w:rsidRPr="00A73599" w:rsidRDefault="00D66FFA" w:rsidP="0051420F">
            <w:pPr>
              <w:rPr>
                <w:color w:val="000000"/>
                <w:sz w:val="22"/>
              </w:rPr>
            </w:pPr>
            <w:r w:rsidRPr="00A73599">
              <w:rPr>
                <w:color w:val="000000"/>
                <w:sz w:val="22"/>
              </w:rPr>
              <w:t>HDD</w:t>
            </w:r>
          </w:p>
        </w:tc>
        <w:tc>
          <w:tcPr>
            <w:tcW w:w="1332" w:type="dxa"/>
            <w:noWrap/>
            <w:hideMark/>
          </w:tcPr>
          <w:p w14:paraId="32681820" w14:textId="77777777" w:rsidR="00D66FFA" w:rsidRPr="00A73599" w:rsidRDefault="00D66FFA" w:rsidP="0051420F">
            <w:pPr>
              <w:jc w:val="right"/>
              <w:rPr>
                <w:sz w:val="22"/>
              </w:rPr>
            </w:pPr>
            <w:r w:rsidRPr="00A73599">
              <w:rPr>
                <w:sz w:val="22"/>
              </w:rPr>
              <w:t>0.04</w:t>
            </w:r>
          </w:p>
        </w:tc>
        <w:tc>
          <w:tcPr>
            <w:tcW w:w="1122" w:type="dxa"/>
            <w:noWrap/>
            <w:hideMark/>
          </w:tcPr>
          <w:p w14:paraId="5E725FEF" w14:textId="77777777" w:rsidR="00D66FFA" w:rsidRPr="00A73599" w:rsidRDefault="00D66FFA" w:rsidP="0051420F">
            <w:pPr>
              <w:jc w:val="right"/>
              <w:rPr>
                <w:sz w:val="22"/>
              </w:rPr>
            </w:pPr>
            <w:r w:rsidRPr="00A73599">
              <w:rPr>
                <w:sz w:val="22"/>
              </w:rPr>
              <w:t>0.52</w:t>
            </w:r>
          </w:p>
        </w:tc>
        <w:tc>
          <w:tcPr>
            <w:tcW w:w="1272" w:type="dxa"/>
            <w:noWrap/>
            <w:hideMark/>
          </w:tcPr>
          <w:p w14:paraId="64D74BA2" w14:textId="77777777" w:rsidR="00D66FFA" w:rsidRPr="00A73599" w:rsidRDefault="00D66FFA" w:rsidP="0051420F">
            <w:pPr>
              <w:jc w:val="right"/>
              <w:rPr>
                <w:sz w:val="22"/>
              </w:rPr>
            </w:pPr>
            <w:r w:rsidRPr="00A73599">
              <w:rPr>
                <w:sz w:val="22"/>
              </w:rPr>
              <w:t>0.07</w:t>
            </w:r>
          </w:p>
        </w:tc>
        <w:tc>
          <w:tcPr>
            <w:tcW w:w="1335" w:type="dxa"/>
            <w:noWrap/>
            <w:hideMark/>
          </w:tcPr>
          <w:p w14:paraId="327D70B3" w14:textId="77777777" w:rsidR="00D66FFA" w:rsidRPr="00A73599" w:rsidRDefault="00D66FFA" w:rsidP="0051420F">
            <w:pPr>
              <w:jc w:val="right"/>
              <w:rPr>
                <w:sz w:val="22"/>
              </w:rPr>
            </w:pPr>
            <w:r w:rsidRPr="00A73599">
              <w:rPr>
                <w:sz w:val="22"/>
              </w:rPr>
              <w:t>0.37</w:t>
            </w:r>
          </w:p>
        </w:tc>
      </w:tr>
      <w:tr w:rsidR="00D66FFA" w:rsidRPr="00A73599" w14:paraId="5C68762B" w14:textId="77777777" w:rsidTr="00D66FFA">
        <w:trPr>
          <w:trHeight w:val="285"/>
        </w:trPr>
        <w:tc>
          <w:tcPr>
            <w:tcW w:w="1102" w:type="dxa"/>
            <w:vMerge/>
            <w:vAlign w:val="center"/>
            <w:hideMark/>
          </w:tcPr>
          <w:p w14:paraId="2C694107" w14:textId="77777777" w:rsidR="00D66FFA" w:rsidRPr="00A73599" w:rsidRDefault="00D66FFA" w:rsidP="0051420F">
            <w:pPr>
              <w:jc w:val="center"/>
              <w:rPr>
                <w:color w:val="000000"/>
                <w:sz w:val="22"/>
              </w:rPr>
            </w:pPr>
          </w:p>
        </w:tc>
        <w:tc>
          <w:tcPr>
            <w:tcW w:w="1136" w:type="dxa"/>
            <w:vMerge w:val="restart"/>
            <w:noWrap/>
            <w:vAlign w:val="center"/>
            <w:hideMark/>
          </w:tcPr>
          <w:p w14:paraId="5CF08015" w14:textId="77777777" w:rsidR="00D66FFA" w:rsidRPr="00A73599" w:rsidRDefault="00D66FFA" w:rsidP="0051420F">
            <w:pPr>
              <w:jc w:val="center"/>
              <w:rPr>
                <w:color w:val="000000"/>
                <w:sz w:val="22"/>
              </w:rPr>
            </w:pPr>
            <w:r w:rsidRPr="00A73599">
              <w:rPr>
                <w:color w:val="000000"/>
                <w:sz w:val="22"/>
              </w:rPr>
              <w:t>Case 4</w:t>
            </w:r>
          </w:p>
        </w:tc>
        <w:tc>
          <w:tcPr>
            <w:tcW w:w="1717" w:type="dxa"/>
            <w:noWrap/>
            <w:hideMark/>
          </w:tcPr>
          <w:p w14:paraId="116E9DF8" w14:textId="77777777" w:rsidR="00D66FFA" w:rsidRPr="00A73599" w:rsidRDefault="00D66FFA" w:rsidP="0051420F">
            <w:pPr>
              <w:rPr>
                <w:color w:val="000000"/>
                <w:sz w:val="22"/>
              </w:rPr>
            </w:pPr>
            <w:r w:rsidRPr="00A73599">
              <w:rPr>
                <w:color w:val="000000"/>
                <w:sz w:val="22"/>
              </w:rPr>
              <w:t>CR</w:t>
            </w:r>
          </w:p>
        </w:tc>
        <w:tc>
          <w:tcPr>
            <w:tcW w:w="1332" w:type="dxa"/>
            <w:noWrap/>
            <w:hideMark/>
          </w:tcPr>
          <w:p w14:paraId="5BAEDBA1" w14:textId="77777777" w:rsidR="00D66FFA" w:rsidRPr="00A73599" w:rsidRDefault="00D66FFA" w:rsidP="0051420F">
            <w:pPr>
              <w:jc w:val="right"/>
              <w:rPr>
                <w:sz w:val="22"/>
              </w:rPr>
            </w:pPr>
            <w:r w:rsidRPr="00A73599">
              <w:rPr>
                <w:sz w:val="22"/>
              </w:rPr>
              <w:t>0.04</w:t>
            </w:r>
          </w:p>
        </w:tc>
        <w:tc>
          <w:tcPr>
            <w:tcW w:w="1122" w:type="dxa"/>
            <w:noWrap/>
            <w:hideMark/>
          </w:tcPr>
          <w:p w14:paraId="5E2C9397" w14:textId="77777777" w:rsidR="00D66FFA" w:rsidRPr="00A73599" w:rsidRDefault="00D66FFA" w:rsidP="0051420F">
            <w:pPr>
              <w:jc w:val="right"/>
              <w:rPr>
                <w:sz w:val="22"/>
              </w:rPr>
            </w:pPr>
            <w:r w:rsidRPr="00A73599">
              <w:rPr>
                <w:sz w:val="22"/>
              </w:rPr>
              <w:t>0.32</w:t>
            </w:r>
          </w:p>
        </w:tc>
        <w:tc>
          <w:tcPr>
            <w:tcW w:w="1272" w:type="dxa"/>
            <w:noWrap/>
            <w:hideMark/>
          </w:tcPr>
          <w:p w14:paraId="6F26FB78" w14:textId="77777777" w:rsidR="00D66FFA" w:rsidRPr="00A73599" w:rsidRDefault="00D66FFA" w:rsidP="0051420F">
            <w:pPr>
              <w:jc w:val="right"/>
              <w:rPr>
                <w:sz w:val="22"/>
              </w:rPr>
            </w:pPr>
            <w:r w:rsidRPr="00A73599">
              <w:rPr>
                <w:sz w:val="22"/>
              </w:rPr>
              <w:t>0.32</w:t>
            </w:r>
          </w:p>
        </w:tc>
        <w:tc>
          <w:tcPr>
            <w:tcW w:w="1335" w:type="dxa"/>
            <w:noWrap/>
            <w:hideMark/>
          </w:tcPr>
          <w:p w14:paraId="458A0ED9" w14:textId="77777777" w:rsidR="00D66FFA" w:rsidRPr="00A73599" w:rsidRDefault="00D66FFA" w:rsidP="0051420F">
            <w:pPr>
              <w:jc w:val="right"/>
              <w:rPr>
                <w:sz w:val="22"/>
              </w:rPr>
            </w:pPr>
            <w:r w:rsidRPr="00A73599">
              <w:rPr>
                <w:sz w:val="22"/>
              </w:rPr>
              <w:t>0.32</w:t>
            </w:r>
          </w:p>
        </w:tc>
      </w:tr>
      <w:tr w:rsidR="00D66FFA" w:rsidRPr="00A73599" w14:paraId="793B388D" w14:textId="77777777" w:rsidTr="00D66FFA">
        <w:trPr>
          <w:trHeight w:val="285"/>
        </w:trPr>
        <w:tc>
          <w:tcPr>
            <w:tcW w:w="1102" w:type="dxa"/>
            <w:vMerge/>
            <w:hideMark/>
          </w:tcPr>
          <w:p w14:paraId="2E8A3992" w14:textId="77777777" w:rsidR="00D66FFA" w:rsidRPr="00A73599" w:rsidRDefault="00D66FFA" w:rsidP="0051420F">
            <w:pPr>
              <w:rPr>
                <w:color w:val="000000"/>
                <w:sz w:val="22"/>
              </w:rPr>
            </w:pPr>
          </w:p>
        </w:tc>
        <w:tc>
          <w:tcPr>
            <w:tcW w:w="1136" w:type="dxa"/>
            <w:vMerge/>
            <w:hideMark/>
          </w:tcPr>
          <w:p w14:paraId="07CF69BD" w14:textId="77777777" w:rsidR="00D66FFA" w:rsidRPr="00A73599" w:rsidRDefault="00D66FFA" w:rsidP="0051420F">
            <w:pPr>
              <w:rPr>
                <w:color w:val="000000"/>
                <w:sz w:val="22"/>
              </w:rPr>
            </w:pPr>
          </w:p>
        </w:tc>
        <w:tc>
          <w:tcPr>
            <w:tcW w:w="1717" w:type="dxa"/>
            <w:noWrap/>
            <w:hideMark/>
          </w:tcPr>
          <w:p w14:paraId="3B182704" w14:textId="77777777" w:rsidR="00D66FFA" w:rsidRPr="00A73599" w:rsidRDefault="00D66FFA" w:rsidP="0051420F">
            <w:pPr>
              <w:rPr>
                <w:color w:val="000000"/>
                <w:sz w:val="22"/>
              </w:rPr>
            </w:pPr>
            <w:r w:rsidRPr="00A73599">
              <w:rPr>
                <w:color w:val="000000"/>
                <w:sz w:val="22"/>
              </w:rPr>
              <w:t>PM</w:t>
            </w:r>
          </w:p>
        </w:tc>
        <w:tc>
          <w:tcPr>
            <w:tcW w:w="1332" w:type="dxa"/>
            <w:noWrap/>
            <w:hideMark/>
          </w:tcPr>
          <w:p w14:paraId="289D9680" w14:textId="77777777" w:rsidR="00D66FFA" w:rsidRPr="00A73599" w:rsidRDefault="00D66FFA" w:rsidP="0051420F">
            <w:pPr>
              <w:jc w:val="right"/>
              <w:rPr>
                <w:sz w:val="22"/>
              </w:rPr>
            </w:pPr>
            <w:r w:rsidRPr="00A73599">
              <w:rPr>
                <w:sz w:val="22"/>
              </w:rPr>
              <w:t>0.03</w:t>
            </w:r>
          </w:p>
        </w:tc>
        <w:tc>
          <w:tcPr>
            <w:tcW w:w="1122" w:type="dxa"/>
            <w:noWrap/>
            <w:hideMark/>
          </w:tcPr>
          <w:p w14:paraId="40A3825E" w14:textId="77777777" w:rsidR="00D66FFA" w:rsidRPr="00A73599" w:rsidRDefault="00D66FFA" w:rsidP="0051420F">
            <w:pPr>
              <w:jc w:val="right"/>
              <w:rPr>
                <w:sz w:val="22"/>
              </w:rPr>
            </w:pPr>
            <w:r w:rsidRPr="00A73599">
              <w:rPr>
                <w:sz w:val="22"/>
              </w:rPr>
              <w:t>0.24</w:t>
            </w:r>
          </w:p>
        </w:tc>
        <w:tc>
          <w:tcPr>
            <w:tcW w:w="1272" w:type="dxa"/>
            <w:noWrap/>
            <w:hideMark/>
          </w:tcPr>
          <w:p w14:paraId="5BCD3021" w14:textId="77777777" w:rsidR="00D66FFA" w:rsidRPr="00A73599" w:rsidRDefault="00D66FFA" w:rsidP="0051420F">
            <w:pPr>
              <w:jc w:val="right"/>
              <w:rPr>
                <w:sz w:val="22"/>
              </w:rPr>
            </w:pPr>
            <w:r w:rsidRPr="00A73599">
              <w:rPr>
                <w:sz w:val="22"/>
              </w:rPr>
              <w:t>0.42</w:t>
            </w:r>
          </w:p>
        </w:tc>
        <w:tc>
          <w:tcPr>
            <w:tcW w:w="1335" w:type="dxa"/>
            <w:noWrap/>
            <w:hideMark/>
          </w:tcPr>
          <w:p w14:paraId="69BC55FA" w14:textId="77777777" w:rsidR="00D66FFA" w:rsidRPr="00A73599" w:rsidRDefault="00D66FFA" w:rsidP="0051420F">
            <w:pPr>
              <w:jc w:val="right"/>
              <w:rPr>
                <w:sz w:val="22"/>
              </w:rPr>
            </w:pPr>
            <w:r w:rsidRPr="00A73599">
              <w:rPr>
                <w:sz w:val="22"/>
              </w:rPr>
              <w:t>0.31</w:t>
            </w:r>
          </w:p>
        </w:tc>
      </w:tr>
      <w:tr w:rsidR="00D66FFA" w:rsidRPr="00A73599" w14:paraId="5F7790BB" w14:textId="77777777" w:rsidTr="00D66FFA">
        <w:trPr>
          <w:trHeight w:val="285"/>
        </w:trPr>
        <w:tc>
          <w:tcPr>
            <w:tcW w:w="1102" w:type="dxa"/>
            <w:vMerge/>
            <w:hideMark/>
          </w:tcPr>
          <w:p w14:paraId="6FF5662A" w14:textId="77777777" w:rsidR="00D66FFA" w:rsidRPr="00A73599" w:rsidRDefault="00D66FFA" w:rsidP="0051420F">
            <w:pPr>
              <w:rPr>
                <w:color w:val="000000"/>
                <w:sz w:val="22"/>
              </w:rPr>
            </w:pPr>
          </w:p>
        </w:tc>
        <w:tc>
          <w:tcPr>
            <w:tcW w:w="1136" w:type="dxa"/>
            <w:vMerge/>
            <w:hideMark/>
          </w:tcPr>
          <w:p w14:paraId="345D5DA8" w14:textId="77777777" w:rsidR="00D66FFA" w:rsidRPr="00A73599" w:rsidRDefault="00D66FFA" w:rsidP="0051420F">
            <w:pPr>
              <w:rPr>
                <w:color w:val="000000"/>
                <w:sz w:val="22"/>
              </w:rPr>
            </w:pPr>
          </w:p>
        </w:tc>
        <w:tc>
          <w:tcPr>
            <w:tcW w:w="1717" w:type="dxa"/>
            <w:noWrap/>
            <w:hideMark/>
          </w:tcPr>
          <w:p w14:paraId="7CDECE5E" w14:textId="77777777" w:rsidR="00D66FFA" w:rsidRPr="00A73599" w:rsidRDefault="00D66FFA" w:rsidP="0051420F">
            <w:pPr>
              <w:rPr>
                <w:color w:val="000000"/>
                <w:sz w:val="22"/>
              </w:rPr>
            </w:pPr>
            <w:r w:rsidRPr="00A73599">
              <w:rPr>
                <w:color w:val="000000"/>
                <w:sz w:val="22"/>
              </w:rPr>
              <w:t>WHUT</w:t>
            </w:r>
          </w:p>
        </w:tc>
        <w:tc>
          <w:tcPr>
            <w:tcW w:w="1332" w:type="dxa"/>
            <w:noWrap/>
            <w:hideMark/>
          </w:tcPr>
          <w:p w14:paraId="0A9FF246" w14:textId="77777777" w:rsidR="00D66FFA" w:rsidRPr="00A73599" w:rsidRDefault="00D66FFA" w:rsidP="0051420F">
            <w:pPr>
              <w:jc w:val="right"/>
              <w:rPr>
                <w:sz w:val="22"/>
              </w:rPr>
            </w:pPr>
            <w:r w:rsidRPr="00A73599">
              <w:rPr>
                <w:sz w:val="22"/>
              </w:rPr>
              <w:t>0.04</w:t>
            </w:r>
          </w:p>
        </w:tc>
        <w:tc>
          <w:tcPr>
            <w:tcW w:w="1122" w:type="dxa"/>
            <w:noWrap/>
            <w:hideMark/>
          </w:tcPr>
          <w:p w14:paraId="351E204D" w14:textId="77777777" w:rsidR="00D66FFA" w:rsidRPr="00A73599" w:rsidRDefault="00D66FFA" w:rsidP="0051420F">
            <w:pPr>
              <w:jc w:val="right"/>
              <w:rPr>
                <w:sz w:val="22"/>
              </w:rPr>
            </w:pPr>
            <w:r w:rsidRPr="00A73599">
              <w:rPr>
                <w:sz w:val="22"/>
              </w:rPr>
              <w:t>0.08</w:t>
            </w:r>
          </w:p>
        </w:tc>
        <w:tc>
          <w:tcPr>
            <w:tcW w:w="1272" w:type="dxa"/>
            <w:noWrap/>
            <w:hideMark/>
          </w:tcPr>
          <w:p w14:paraId="5FC9FEA4" w14:textId="77777777" w:rsidR="00D66FFA" w:rsidRPr="00A73599" w:rsidRDefault="00D66FFA" w:rsidP="0051420F">
            <w:pPr>
              <w:jc w:val="right"/>
              <w:rPr>
                <w:sz w:val="22"/>
              </w:rPr>
            </w:pPr>
            <w:r w:rsidRPr="00A73599">
              <w:rPr>
                <w:sz w:val="22"/>
              </w:rPr>
              <w:t>0.59</w:t>
            </w:r>
          </w:p>
        </w:tc>
        <w:tc>
          <w:tcPr>
            <w:tcW w:w="1335" w:type="dxa"/>
            <w:noWrap/>
            <w:hideMark/>
          </w:tcPr>
          <w:p w14:paraId="633ABD28" w14:textId="77777777" w:rsidR="00D66FFA" w:rsidRPr="00A73599" w:rsidRDefault="00D66FFA" w:rsidP="0051420F">
            <w:pPr>
              <w:jc w:val="right"/>
              <w:rPr>
                <w:sz w:val="22"/>
              </w:rPr>
            </w:pPr>
            <w:r w:rsidRPr="00A73599">
              <w:rPr>
                <w:sz w:val="22"/>
              </w:rPr>
              <w:t>0.29</w:t>
            </w:r>
          </w:p>
        </w:tc>
      </w:tr>
    </w:tbl>
    <w:p w14:paraId="3566AAB0" w14:textId="431E69F7" w:rsidR="00EC2BE5" w:rsidRDefault="007B5959" w:rsidP="00EA64C5">
      <w:pPr>
        <w:pStyle w:val="Caption"/>
        <w:rPr>
          <w:rFonts w:eastAsia="Times New Roman"/>
          <w:bCs/>
          <w:i w:val="0"/>
          <w:kern w:val="2"/>
          <w:lang w:val="en-US"/>
        </w:rPr>
      </w:pPr>
      <w:bookmarkStart w:id="956" w:name="_Ref45022429"/>
      <w:bookmarkStart w:id="957" w:name="_Toc46053586"/>
      <w:bookmarkStart w:id="958" w:name="_Toc46093835"/>
      <w:bookmarkStart w:id="959" w:name="_Toc66698801"/>
      <w:r>
        <w:t>Table</w:t>
      </w:r>
      <w:r w:rsidR="00044DEC">
        <w:t xml:space="preserve"> </w:t>
      </w:r>
      <w:r w:rsidR="000306D9">
        <w:fldChar w:fldCharType="begin"/>
      </w:r>
      <w:r w:rsidR="000306D9">
        <w:instrText xml:space="preserve"> STYLEREF 1 \s </w:instrText>
      </w:r>
      <w:r w:rsidR="000306D9">
        <w:fldChar w:fldCharType="separate"/>
      </w:r>
      <w:r w:rsidR="0005064B">
        <w:rPr>
          <w:noProof/>
        </w:rPr>
        <w:t>6</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8</w:t>
      </w:r>
      <w:r w:rsidR="000306D9">
        <w:rPr>
          <w:noProof/>
        </w:rPr>
        <w:fldChar w:fldCharType="end"/>
      </w:r>
      <w:bookmarkEnd w:id="956"/>
      <w:r w:rsidR="00FB0694">
        <w:rPr>
          <w:rFonts w:eastAsia="Times New Roman"/>
          <w:bCs/>
          <w:i w:val="0"/>
          <w:kern w:val="2"/>
          <w:lang w:val="en-US"/>
        </w:rPr>
        <w:t>:</w:t>
      </w:r>
      <w:r w:rsidR="00BB2459">
        <w:rPr>
          <w:rFonts w:eastAsia="Times New Roman"/>
          <w:bCs/>
          <w:i w:val="0"/>
          <w:kern w:val="2"/>
          <w:lang w:val="en-US"/>
        </w:rPr>
        <w:t xml:space="preserve"> W</w:t>
      </w:r>
      <w:r w:rsidR="00BB2459" w:rsidRPr="002C60C1">
        <w:rPr>
          <w:rFonts w:eastAsia="Times New Roman"/>
          <w:bCs/>
          <w:i w:val="0"/>
          <w:kern w:val="2"/>
          <w:lang w:val="en-US"/>
        </w:rPr>
        <w:t>eight</w:t>
      </w:r>
      <w:r w:rsidR="00BB2459">
        <w:rPr>
          <w:rFonts w:eastAsia="Times New Roman"/>
          <w:bCs/>
          <w:i w:val="0"/>
          <w:kern w:val="2"/>
          <w:lang w:val="en-US"/>
        </w:rPr>
        <w:t>s</w:t>
      </w:r>
      <w:r w:rsidR="00BB2459" w:rsidRPr="002C60C1">
        <w:rPr>
          <w:rFonts w:eastAsia="Times New Roman"/>
          <w:bCs/>
          <w:i w:val="0"/>
          <w:kern w:val="2"/>
          <w:lang w:val="en-US"/>
        </w:rPr>
        <w:t xml:space="preserve"> of</w:t>
      </w:r>
      <w:r w:rsidR="00BB2459">
        <w:rPr>
          <w:rFonts w:eastAsia="Times New Roman"/>
          <w:bCs/>
          <w:i w:val="0"/>
          <w:kern w:val="2"/>
          <w:lang w:val="en-US"/>
        </w:rPr>
        <w:t xml:space="preserve"> the environmental indicators, as assigned by urban consolidation </w:t>
      </w:r>
      <w:proofErr w:type="spellStart"/>
      <w:r w:rsidR="00BB2459">
        <w:rPr>
          <w:rFonts w:eastAsia="Times New Roman"/>
          <w:bCs/>
          <w:i w:val="0"/>
          <w:kern w:val="2"/>
          <w:lang w:val="en-US"/>
        </w:rPr>
        <w:t>centre</w:t>
      </w:r>
      <w:proofErr w:type="spellEnd"/>
      <w:r w:rsidR="00BB2459">
        <w:rPr>
          <w:rFonts w:eastAsia="Times New Roman"/>
          <w:bCs/>
          <w:i w:val="0"/>
          <w:kern w:val="2"/>
          <w:lang w:val="en-US"/>
        </w:rPr>
        <w:t xml:space="preserve"> (</w:t>
      </w:r>
      <w:r w:rsidR="00BB2459" w:rsidRPr="002C60C1">
        <w:rPr>
          <w:rFonts w:eastAsia="Times New Roman"/>
          <w:bCs/>
          <w:i w:val="0"/>
          <w:kern w:val="2"/>
          <w:lang w:val="en-US"/>
        </w:rPr>
        <w:t>UCC</w:t>
      </w:r>
      <w:r w:rsidR="00BB2459">
        <w:rPr>
          <w:rFonts w:eastAsia="Times New Roman"/>
          <w:bCs/>
          <w:i w:val="0"/>
          <w:kern w:val="2"/>
          <w:lang w:val="en-US"/>
        </w:rPr>
        <w:t>)</w:t>
      </w:r>
      <w:r w:rsidR="00BB2459" w:rsidRPr="002C60C1">
        <w:rPr>
          <w:rFonts w:eastAsia="Times New Roman"/>
          <w:bCs/>
          <w:i w:val="0"/>
          <w:kern w:val="2"/>
          <w:lang w:val="en-US"/>
        </w:rPr>
        <w:t xml:space="preserve"> </w:t>
      </w:r>
      <w:proofErr w:type="gramStart"/>
      <w:r w:rsidR="00BB2459">
        <w:rPr>
          <w:rFonts w:eastAsia="Times New Roman"/>
          <w:bCs/>
          <w:i w:val="0"/>
          <w:kern w:val="2"/>
          <w:lang w:val="en-US"/>
        </w:rPr>
        <w:t>s</w:t>
      </w:r>
      <w:r w:rsidR="00BB2459" w:rsidRPr="002C60C1">
        <w:rPr>
          <w:rFonts w:eastAsia="Times New Roman"/>
          <w:bCs/>
          <w:i w:val="0"/>
          <w:kern w:val="2"/>
          <w:lang w:val="en-US"/>
        </w:rPr>
        <w:t>takeholders</w:t>
      </w:r>
      <w:bookmarkEnd w:id="957"/>
      <w:bookmarkEnd w:id="958"/>
      <w:bookmarkEnd w:id="959"/>
      <w:proofErr w:type="gramEnd"/>
      <w:r w:rsidR="00BB2459" w:rsidRPr="002C60C1" w:rsidDel="00147D68">
        <w:rPr>
          <w:rFonts w:eastAsia="Times New Roman"/>
          <w:bCs/>
          <w:i w:val="0"/>
          <w:kern w:val="2"/>
          <w:lang w:val="en-US"/>
        </w:rPr>
        <w:t xml:space="preserve"> </w:t>
      </w:r>
    </w:p>
    <w:p w14:paraId="73DCC796" w14:textId="77777777" w:rsidR="00B143DB" w:rsidRPr="00B143DB" w:rsidRDefault="00B143DB" w:rsidP="00B143DB">
      <w:pPr>
        <w:rPr>
          <w:lang w:val="en-US"/>
        </w:rPr>
      </w:pPr>
    </w:p>
    <w:tbl>
      <w:tblPr>
        <w:tblStyle w:val="TableGrid1"/>
        <w:tblW w:w="9016" w:type="dxa"/>
        <w:tblLook w:val="04A0" w:firstRow="1" w:lastRow="0" w:firstColumn="1" w:lastColumn="0" w:noHBand="0" w:noVBand="1"/>
      </w:tblPr>
      <w:tblGrid>
        <w:gridCol w:w="1097"/>
        <w:gridCol w:w="968"/>
        <w:gridCol w:w="1728"/>
        <w:gridCol w:w="958"/>
        <w:gridCol w:w="971"/>
        <w:gridCol w:w="1099"/>
        <w:gridCol w:w="1074"/>
        <w:gridCol w:w="1121"/>
      </w:tblGrid>
      <w:tr w:rsidR="00D66FFA" w:rsidRPr="00A73599" w14:paraId="40B9BF1B" w14:textId="77777777" w:rsidTr="0051420F">
        <w:trPr>
          <w:trHeight w:val="285"/>
        </w:trPr>
        <w:tc>
          <w:tcPr>
            <w:tcW w:w="1097" w:type="dxa"/>
            <w:noWrap/>
            <w:vAlign w:val="center"/>
            <w:hideMark/>
          </w:tcPr>
          <w:p w14:paraId="56BC139E" w14:textId="77777777" w:rsidR="00D66FFA" w:rsidRPr="00A73599" w:rsidRDefault="00D66FFA" w:rsidP="00D66FFA">
            <w:pPr>
              <w:spacing w:line="240" w:lineRule="auto"/>
              <w:jc w:val="center"/>
              <w:rPr>
                <w:b/>
                <w:bCs/>
                <w:color w:val="000000"/>
                <w:sz w:val="22"/>
              </w:rPr>
            </w:pPr>
            <w:r w:rsidRPr="00A73599">
              <w:rPr>
                <w:b/>
                <w:bCs/>
                <w:color w:val="000000"/>
                <w:sz w:val="22"/>
              </w:rPr>
              <w:lastRenderedPageBreak/>
              <w:t>Country</w:t>
            </w:r>
          </w:p>
        </w:tc>
        <w:tc>
          <w:tcPr>
            <w:tcW w:w="968" w:type="dxa"/>
            <w:noWrap/>
            <w:vAlign w:val="center"/>
            <w:hideMark/>
          </w:tcPr>
          <w:p w14:paraId="08496E8A" w14:textId="77777777" w:rsidR="00D66FFA" w:rsidRPr="00A73599" w:rsidRDefault="00D66FFA" w:rsidP="00D66FFA">
            <w:pPr>
              <w:spacing w:line="240" w:lineRule="auto"/>
              <w:jc w:val="center"/>
              <w:rPr>
                <w:b/>
                <w:bCs/>
                <w:color w:val="000000"/>
                <w:sz w:val="22"/>
              </w:rPr>
            </w:pPr>
            <w:r w:rsidRPr="00A73599">
              <w:rPr>
                <w:b/>
                <w:bCs/>
                <w:color w:val="000000"/>
                <w:sz w:val="22"/>
              </w:rPr>
              <w:t>Cases</w:t>
            </w:r>
          </w:p>
        </w:tc>
        <w:tc>
          <w:tcPr>
            <w:tcW w:w="1728" w:type="dxa"/>
            <w:noWrap/>
            <w:vAlign w:val="center"/>
            <w:hideMark/>
          </w:tcPr>
          <w:p w14:paraId="04226B52" w14:textId="77777777" w:rsidR="00D66FFA" w:rsidRPr="00A73599" w:rsidRDefault="00D66FFA" w:rsidP="00D66FFA">
            <w:pPr>
              <w:spacing w:line="240" w:lineRule="auto"/>
              <w:jc w:val="center"/>
              <w:rPr>
                <w:b/>
                <w:bCs/>
                <w:color w:val="000000"/>
                <w:sz w:val="22"/>
              </w:rPr>
            </w:pPr>
            <w:r w:rsidRPr="00A73599">
              <w:rPr>
                <w:b/>
                <w:bCs/>
                <w:color w:val="000000"/>
                <w:sz w:val="22"/>
              </w:rPr>
              <w:t>Stakeholders</w:t>
            </w:r>
          </w:p>
        </w:tc>
        <w:tc>
          <w:tcPr>
            <w:tcW w:w="958" w:type="dxa"/>
            <w:noWrap/>
            <w:vAlign w:val="center"/>
            <w:hideMark/>
          </w:tcPr>
          <w:p w14:paraId="377BCB55" w14:textId="77777777" w:rsidR="00D66FFA" w:rsidRPr="00A73599" w:rsidRDefault="00D66FFA" w:rsidP="00D66FFA">
            <w:pPr>
              <w:spacing w:line="240" w:lineRule="auto"/>
              <w:jc w:val="center"/>
              <w:rPr>
                <w:b/>
                <w:bCs/>
                <w:color w:val="000000"/>
                <w:sz w:val="22"/>
              </w:rPr>
            </w:pPr>
            <w:r w:rsidRPr="00A73599">
              <w:rPr>
                <w:b/>
                <w:bCs/>
                <w:color w:val="000000"/>
                <w:sz w:val="22"/>
              </w:rPr>
              <w:t>PFI</w:t>
            </w:r>
          </w:p>
        </w:tc>
        <w:tc>
          <w:tcPr>
            <w:tcW w:w="971" w:type="dxa"/>
            <w:noWrap/>
            <w:vAlign w:val="center"/>
            <w:hideMark/>
          </w:tcPr>
          <w:p w14:paraId="23344B9B" w14:textId="77777777" w:rsidR="00D66FFA" w:rsidRPr="00A73599" w:rsidRDefault="00D66FFA" w:rsidP="00D66FFA">
            <w:pPr>
              <w:spacing w:line="240" w:lineRule="auto"/>
              <w:jc w:val="center"/>
              <w:rPr>
                <w:b/>
                <w:bCs/>
                <w:color w:val="000000"/>
                <w:sz w:val="22"/>
              </w:rPr>
            </w:pPr>
            <w:r w:rsidRPr="00A73599">
              <w:rPr>
                <w:b/>
                <w:bCs/>
                <w:color w:val="000000"/>
                <w:sz w:val="22"/>
              </w:rPr>
              <w:t>ASS</w:t>
            </w:r>
          </w:p>
        </w:tc>
        <w:tc>
          <w:tcPr>
            <w:tcW w:w="1099" w:type="dxa"/>
            <w:noWrap/>
            <w:vAlign w:val="center"/>
            <w:hideMark/>
          </w:tcPr>
          <w:p w14:paraId="284536FA" w14:textId="77777777" w:rsidR="00D66FFA" w:rsidRPr="00A73599" w:rsidRDefault="00D66FFA" w:rsidP="00D66FFA">
            <w:pPr>
              <w:spacing w:line="240" w:lineRule="auto"/>
              <w:jc w:val="center"/>
              <w:rPr>
                <w:b/>
                <w:bCs/>
                <w:color w:val="000000"/>
                <w:sz w:val="22"/>
              </w:rPr>
            </w:pPr>
            <w:r w:rsidRPr="00A73599">
              <w:rPr>
                <w:b/>
                <w:bCs/>
                <w:color w:val="000000"/>
                <w:sz w:val="22"/>
              </w:rPr>
              <w:t>WOU</w:t>
            </w:r>
          </w:p>
        </w:tc>
        <w:tc>
          <w:tcPr>
            <w:tcW w:w="1074" w:type="dxa"/>
            <w:noWrap/>
            <w:vAlign w:val="center"/>
            <w:hideMark/>
          </w:tcPr>
          <w:p w14:paraId="025ADB1B" w14:textId="77777777" w:rsidR="00D66FFA" w:rsidRPr="00A73599" w:rsidRDefault="00D66FFA" w:rsidP="00D66FFA">
            <w:pPr>
              <w:spacing w:line="240" w:lineRule="auto"/>
              <w:jc w:val="center"/>
              <w:rPr>
                <w:b/>
                <w:bCs/>
                <w:color w:val="000000"/>
                <w:sz w:val="22"/>
              </w:rPr>
            </w:pPr>
            <w:r w:rsidRPr="00A73599">
              <w:rPr>
                <w:b/>
                <w:bCs/>
                <w:color w:val="000000"/>
                <w:sz w:val="22"/>
              </w:rPr>
              <w:t>TTT</w:t>
            </w:r>
          </w:p>
        </w:tc>
        <w:tc>
          <w:tcPr>
            <w:tcW w:w="1121" w:type="dxa"/>
            <w:noWrap/>
            <w:vAlign w:val="center"/>
            <w:hideMark/>
          </w:tcPr>
          <w:p w14:paraId="72945CD1" w14:textId="77777777" w:rsidR="00D66FFA" w:rsidRPr="00A73599" w:rsidRDefault="00D66FFA" w:rsidP="00D66FFA">
            <w:pPr>
              <w:spacing w:line="240" w:lineRule="auto"/>
              <w:jc w:val="center"/>
              <w:rPr>
                <w:b/>
                <w:bCs/>
                <w:color w:val="000000"/>
                <w:sz w:val="22"/>
              </w:rPr>
            </w:pPr>
            <w:r w:rsidRPr="00A73599">
              <w:rPr>
                <w:b/>
                <w:bCs/>
                <w:color w:val="000000"/>
                <w:sz w:val="22"/>
              </w:rPr>
              <w:t>TOP</w:t>
            </w:r>
          </w:p>
        </w:tc>
      </w:tr>
      <w:tr w:rsidR="00D66FFA" w:rsidRPr="00A73599" w14:paraId="425F58CB" w14:textId="77777777" w:rsidTr="0051420F">
        <w:trPr>
          <w:trHeight w:val="285"/>
        </w:trPr>
        <w:tc>
          <w:tcPr>
            <w:tcW w:w="1097" w:type="dxa"/>
            <w:vMerge w:val="restart"/>
            <w:noWrap/>
            <w:vAlign w:val="center"/>
            <w:hideMark/>
          </w:tcPr>
          <w:p w14:paraId="30E53F0F" w14:textId="77777777" w:rsidR="00D66FFA" w:rsidRPr="00A73599" w:rsidRDefault="00D66FFA" w:rsidP="00D66FFA">
            <w:pPr>
              <w:spacing w:line="240" w:lineRule="auto"/>
              <w:jc w:val="center"/>
              <w:rPr>
                <w:color w:val="000000"/>
                <w:sz w:val="22"/>
              </w:rPr>
            </w:pPr>
            <w:r w:rsidRPr="00A73599">
              <w:rPr>
                <w:color w:val="000000"/>
                <w:sz w:val="22"/>
              </w:rPr>
              <w:t>Sweden</w:t>
            </w:r>
          </w:p>
        </w:tc>
        <w:tc>
          <w:tcPr>
            <w:tcW w:w="968" w:type="dxa"/>
            <w:vMerge w:val="restart"/>
            <w:noWrap/>
            <w:vAlign w:val="center"/>
            <w:hideMark/>
          </w:tcPr>
          <w:p w14:paraId="65B0EA87" w14:textId="77777777" w:rsidR="00D66FFA" w:rsidRPr="00A73599" w:rsidRDefault="00D66FFA" w:rsidP="00D66FFA">
            <w:pPr>
              <w:spacing w:line="240" w:lineRule="auto"/>
              <w:jc w:val="center"/>
              <w:rPr>
                <w:color w:val="000000"/>
                <w:sz w:val="22"/>
              </w:rPr>
            </w:pPr>
            <w:r w:rsidRPr="00A73599">
              <w:rPr>
                <w:color w:val="000000"/>
                <w:sz w:val="22"/>
              </w:rPr>
              <w:t>Case 1</w:t>
            </w:r>
          </w:p>
        </w:tc>
        <w:tc>
          <w:tcPr>
            <w:tcW w:w="1728" w:type="dxa"/>
            <w:noWrap/>
            <w:hideMark/>
          </w:tcPr>
          <w:p w14:paraId="4F223334" w14:textId="77777777" w:rsidR="00D66FFA" w:rsidRPr="00A73599" w:rsidRDefault="00D66FFA" w:rsidP="00D66FFA">
            <w:pPr>
              <w:spacing w:line="240" w:lineRule="auto"/>
              <w:rPr>
                <w:color w:val="000000"/>
                <w:sz w:val="22"/>
              </w:rPr>
            </w:pPr>
            <w:r w:rsidRPr="00A73599">
              <w:rPr>
                <w:color w:val="000000"/>
                <w:sz w:val="22"/>
              </w:rPr>
              <w:t>SS</w:t>
            </w:r>
          </w:p>
        </w:tc>
        <w:tc>
          <w:tcPr>
            <w:tcW w:w="958" w:type="dxa"/>
            <w:noWrap/>
            <w:hideMark/>
          </w:tcPr>
          <w:p w14:paraId="6E133CE3" w14:textId="77777777" w:rsidR="00D66FFA" w:rsidRPr="00A73599" w:rsidRDefault="00D66FFA" w:rsidP="00D66FFA">
            <w:pPr>
              <w:spacing w:line="240" w:lineRule="auto"/>
              <w:jc w:val="right"/>
              <w:rPr>
                <w:sz w:val="22"/>
              </w:rPr>
            </w:pPr>
            <w:r w:rsidRPr="00A73599">
              <w:rPr>
                <w:sz w:val="22"/>
              </w:rPr>
              <w:t>0.18</w:t>
            </w:r>
          </w:p>
        </w:tc>
        <w:tc>
          <w:tcPr>
            <w:tcW w:w="971" w:type="dxa"/>
            <w:noWrap/>
            <w:hideMark/>
          </w:tcPr>
          <w:p w14:paraId="7313B8FD" w14:textId="77777777" w:rsidR="00D66FFA" w:rsidRPr="00A73599" w:rsidRDefault="00D66FFA" w:rsidP="00D66FFA">
            <w:pPr>
              <w:spacing w:line="240" w:lineRule="auto"/>
              <w:jc w:val="right"/>
              <w:rPr>
                <w:sz w:val="22"/>
              </w:rPr>
            </w:pPr>
            <w:r w:rsidRPr="00A73599">
              <w:rPr>
                <w:sz w:val="22"/>
              </w:rPr>
              <w:t>0.05</w:t>
            </w:r>
          </w:p>
        </w:tc>
        <w:tc>
          <w:tcPr>
            <w:tcW w:w="1099" w:type="dxa"/>
            <w:noWrap/>
            <w:hideMark/>
          </w:tcPr>
          <w:p w14:paraId="56ACAABC" w14:textId="77777777" w:rsidR="00D66FFA" w:rsidRPr="00A73599" w:rsidRDefault="00D66FFA" w:rsidP="00D66FFA">
            <w:pPr>
              <w:spacing w:line="240" w:lineRule="auto"/>
              <w:jc w:val="right"/>
              <w:rPr>
                <w:sz w:val="22"/>
              </w:rPr>
            </w:pPr>
            <w:r w:rsidRPr="00A73599">
              <w:rPr>
                <w:sz w:val="22"/>
              </w:rPr>
              <w:t>0.05</w:t>
            </w:r>
          </w:p>
        </w:tc>
        <w:tc>
          <w:tcPr>
            <w:tcW w:w="1074" w:type="dxa"/>
            <w:noWrap/>
            <w:hideMark/>
          </w:tcPr>
          <w:p w14:paraId="391ECCA2" w14:textId="77777777" w:rsidR="00D66FFA" w:rsidRPr="00A73599" w:rsidRDefault="00D66FFA" w:rsidP="00D66FFA">
            <w:pPr>
              <w:spacing w:line="240" w:lineRule="auto"/>
              <w:jc w:val="right"/>
              <w:rPr>
                <w:sz w:val="22"/>
              </w:rPr>
            </w:pPr>
            <w:r w:rsidRPr="00A73599">
              <w:rPr>
                <w:sz w:val="22"/>
              </w:rPr>
              <w:t>0.45</w:t>
            </w:r>
          </w:p>
        </w:tc>
        <w:tc>
          <w:tcPr>
            <w:tcW w:w="1121" w:type="dxa"/>
            <w:noWrap/>
            <w:hideMark/>
          </w:tcPr>
          <w:p w14:paraId="6D9D30A0" w14:textId="77777777" w:rsidR="00D66FFA" w:rsidRPr="00A73599" w:rsidRDefault="00D66FFA" w:rsidP="00D66FFA">
            <w:pPr>
              <w:spacing w:line="240" w:lineRule="auto"/>
              <w:jc w:val="right"/>
              <w:rPr>
                <w:sz w:val="22"/>
              </w:rPr>
            </w:pPr>
            <w:r w:rsidRPr="00A73599">
              <w:rPr>
                <w:sz w:val="22"/>
              </w:rPr>
              <w:t>0.26</w:t>
            </w:r>
          </w:p>
        </w:tc>
      </w:tr>
      <w:tr w:rsidR="00D66FFA" w:rsidRPr="00A73599" w14:paraId="17336E73" w14:textId="77777777" w:rsidTr="0051420F">
        <w:trPr>
          <w:trHeight w:val="285"/>
        </w:trPr>
        <w:tc>
          <w:tcPr>
            <w:tcW w:w="1097" w:type="dxa"/>
            <w:vMerge/>
            <w:vAlign w:val="center"/>
            <w:hideMark/>
          </w:tcPr>
          <w:p w14:paraId="5EDE4886" w14:textId="77777777" w:rsidR="00D66FFA" w:rsidRPr="00A73599" w:rsidRDefault="00D66FFA" w:rsidP="00D66FFA">
            <w:pPr>
              <w:spacing w:line="240" w:lineRule="auto"/>
              <w:jc w:val="center"/>
              <w:rPr>
                <w:color w:val="000000"/>
                <w:sz w:val="22"/>
              </w:rPr>
            </w:pPr>
          </w:p>
        </w:tc>
        <w:tc>
          <w:tcPr>
            <w:tcW w:w="968" w:type="dxa"/>
            <w:vMerge/>
            <w:vAlign w:val="center"/>
            <w:hideMark/>
          </w:tcPr>
          <w:p w14:paraId="10912249" w14:textId="77777777" w:rsidR="00D66FFA" w:rsidRPr="00A73599" w:rsidRDefault="00D66FFA" w:rsidP="00D66FFA">
            <w:pPr>
              <w:spacing w:line="240" w:lineRule="auto"/>
              <w:jc w:val="center"/>
              <w:rPr>
                <w:color w:val="000000"/>
                <w:sz w:val="22"/>
              </w:rPr>
            </w:pPr>
          </w:p>
        </w:tc>
        <w:tc>
          <w:tcPr>
            <w:tcW w:w="1728" w:type="dxa"/>
            <w:noWrap/>
            <w:hideMark/>
          </w:tcPr>
          <w:p w14:paraId="2ADD09B0" w14:textId="77777777" w:rsidR="00D66FFA" w:rsidRPr="00A73599" w:rsidRDefault="00D66FFA" w:rsidP="00D66FFA">
            <w:pPr>
              <w:spacing w:line="240" w:lineRule="auto"/>
              <w:rPr>
                <w:color w:val="000000"/>
                <w:sz w:val="22"/>
              </w:rPr>
            </w:pPr>
            <w:r w:rsidRPr="00A73599">
              <w:rPr>
                <w:color w:val="000000"/>
                <w:sz w:val="22"/>
              </w:rPr>
              <w:t>WCC</w:t>
            </w:r>
          </w:p>
        </w:tc>
        <w:tc>
          <w:tcPr>
            <w:tcW w:w="958" w:type="dxa"/>
            <w:noWrap/>
            <w:hideMark/>
          </w:tcPr>
          <w:p w14:paraId="7CC95D21" w14:textId="77777777" w:rsidR="00D66FFA" w:rsidRPr="00A73599" w:rsidRDefault="00D66FFA" w:rsidP="00D66FFA">
            <w:pPr>
              <w:spacing w:line="240" w:lineRule="auto"/>
              <w:jc w:val="right"/>
              <w:rPr>
                <w:sz w:val="22"/>
              </w:rPr>
            </w:pPr>
            <w:r w:rsidRPr="00A73599">
              <w:rPr>
                <w:sz w:val="22"/>
              </w:rPr>
              <w:t>0.13</w:t>
            </w:r>
          </w:p>
        </w:tc>
        <w:tc>
          <w:tcPr>
            <w:tcW w:w="971" w:type="dxa"/>
            <w:noWrap/>
            <w:hideMark/>
          </w:tcPr>
          <w:p w14:paraId="5406C408" w14:textId="77777777" w:rsidR="00D66FFA" w:rsidRPr="00A73599" w:rsidRDefault="00D66FFA" w:rsidP="00D66FFA">
            <w:pPr>
              <w:spacing w:line="240" w:lineRule="auto"/>
              <w:jc w:val="right"/>
              <w:rPr>
                <w:sz w:val="22"/>
              </w:rPr>
            </w:pPr>
            <w:r w:rsidRPr="00A73599">
              <w:rPr>
                <w:sz w:val="22"/>
              </w:rPr>
              <w:t>0.43</w:t>
            </w:r>
          </w:p>
        </w:tc>
        <w:tc>
          <w:tcPr>
            <w:tcW w:w="1099" w:type="dxa"/>
            <w:noWrap/>
            <w:hideMark/>
          </w:tcPr>
          <w:p w14:paraId="229B494A" w14:textId="77777777" w:rsidR="00D66FFA" w:rsidRPr="00A73599" w:rsidRDefault="00D66FFA" w:rsidP="00D66FFA">
            <w:pPr>
              <w:spacing w:line="240" w:lineRule="auto"/>
              <w:jc w:val="right"/>
              <w:rPr>
                <w:sz w:val="22"/>
              </w:rPr>
            </w:pPr>
            <w:r w:rsidRPr="00A73599">
              <w:rPr>
                <w:sz w:val="22"/>
              </w:rPr>
              <w:t>0.13</w:t>
            </w:r>
          </w:p>
        </w:tc>
        <w:tc>
          <w:tcPr>
            <w:tcW w:w="1074" w:type="dxa"/>
            <w:noWrap/>
            <w:hideMark/>
          </w:tcPr>
          <w:p w14:paraId="3A576251" w14:textId="77777777" w:rsidR="00D66FFA" w:rsidRPr="00A73599" w:rsidRDefault="00D66FFA" w:rsidP="00D66FFA">
            <w:pPr>
              <w:spacing w:line="240" w:lineRule="auto"/>
              <w:jc w:val="right"/>
              <w:rPr>
                <w:sz w:val="22"/>
              </w:rPr>
            </w:pPr>
            <w:r w:rsidRPr="00A73599">
              <w:rPr>
                <w:sz w:val="22"/>
              </w:rPr>
              <w:t>0.13</w:t>
            </w:r>
          </w:p>
        </w:tc>
        <w:tc>
          <w:tcPr>
            <w:tcW w:w="1121" w:type="dxa"/>
            <w:noWrap/>
            <w:hideMark/>
          </w:tcPr>
          <w:p w14:paraId="45638D60" w14:textId="77777777" w:rsidR="00D66FFA" w:rsidRPr="00A73599" w:rsidRDefault="00D66FFA" w:rsidP="00D66FFA">
            <w:pPr>
              <w:spacing w:line="240" w:lineRule="auto"/>
              <w:jc w:val="right"/>
              <w:rPr>
                <w:sz w:val="22"/>
              </w:rPr>
            </w:pPr>
            <w:r w:rsidRPr="00A73599">
              <w:rPr>
                <w:sz w:val="22"/>
              </w:rPr>
              <w:t>0.19</w:t>
            </w:r>
          </w:p>
        </w:tc>
      </w:tr>
      <w:tr w:rsidR="00D66FFA" w:rsidRPr="00A73599" w14:paraId="14444D1F" w14:textId="77777777" w:rsidTr="0051420F">
        <w:trPr>
          <w:trHeight w:val="285"/>
        </w:trPr>
        <w:tc>
          <w:tcPr>
            <w:tcW w:w="1097" w:type="dxa"/>
            <w:vMerge/>
            <w:vAlign w:val="center"/>
            <w:hideMark/>
          </w:tcPr>
          <w:p w14:paraId="2B20EBB3" w14:textId="77777777" w:rsidR="00D66FFA" w:rsidRPr="00A73599" w:rsidRDefault="00D66FFA" w:rsidP="00D66FFA">
            <w:pPr>
              <w:spacing w:line="240" w:lineRule="auto"/>
              <w:jc w:val="center"/>
              <w:rPr>
                <w:color w:val="000000"/>
                <w:sz w:val="22"/>
              </w:rPr>
            </w:pPr>
          </w:p>
        </w:tc>
        <w:tc>
          <w:tcPr>
            <w:tcW w:w="968" w:type="dxa"/>
            <w:vMerge/>
            <w:vAlign w:val="center"/>
            <w:hideMark/>
          </w:tcPr>
          <w:p w14:paraId="28FEF52A" w14:textId="77777777" w:rsidR="00D66FFA" w:rsidRPr="00A73599" w:rsidRDefault="00D66FFA" w:rsidP="00D66FFA">
            <w:pPr>
              <w:spacing w:line="240" w:lineRule="auto"/>
              <w:jc w:val="center"/>
              <w:rPr>
                <w:color w:val="000000"/>
                <w:sz w:val="22"/>
              </w:rPr>
            </w:pPr>
          </w:p>
        </w:tc>
        <w:tc>
          <w:tcPr>
            <w:tcW w:w="1728" w:type="dxa"/>
            <w:noWrap/>
            <w:hideMark/>
          </w:tcPr>
          <w:p w14:paraId="58101C81" w14:textId="77777777" w:rsidR="00D66FFA" w:rsidRPr="00A73599" w:rsidRDefault="00D66FFA" w:rsidP="00D66FFA">
            <w:pPr>
              <w:spacing w:line="240" w:lineRule="auto"/>
              <w:rPr>
                <w:color w:val="000000"/>
                <w:sz w:val="22"/>
              </w:rPr>
            </w:pPr>
            <w:r w:rsidRPr="00A73599">
              <w:rPr>
                <w:color w:val="000000"/>
                <w:sz w:val="22"/>
              </w:rPr>
              <w:t>LC</w:t>
            </w:r>
          </w:p>
        </w:tc>
        <w:tc>
          <w:tcPr>
            <w:tcW w:w="958" w:type="dxa"/>
            <w:noWrap/>
            <w:hideMark/>
          </w:tcPr>
          <w:p w14:paraId="7D226F4E" w14:textId="77777777" w:rsidR="00D66FFA" w:rsidRPr="00A73599" w:rsidRDefault="00D66FFA" w:rsidP="00D66FFA">
            <w:pPr>
              <w:spacing w:line="240" w:lineRule="auto"/>
              <w:jc w:val="right"/>
              <w:rPr>
                <w:sz w:val="22"/>
              </w:rPr>
            </w:pPr>
            <w:r w:rsidRPr="00A73599">
              <w:rPr>
                <w:sz w:val="22"/>
              </w:rPr>
              <w:t>0.06</w:t>
            </w:r>
          </w:p>
        </w:tc>
        <w:tc>
          <w:tcPr>
            <w:tcW w:w="971" w:type="dxa"/>
            <w:noWrap/>
            <w:hideMark/>
          </w:tcPr>
          <w:p w14:paraId="2D14F980" w14:textId="77777777" w:rsidR="00D66FFA" w:rsidRPr="00A73599" w:rsidRDefault="00D66FFA" w:rsidP="00D66FFA">
            <w:pPr>
              <w:spacing w:line="240" w:lineRule="auto"/>
              <w:jc w:val="right"/>
              <w:rPr>
                <w:sz w:val="22"/>
              </w:rPr>
            </w:pPr>
            <w:r w:rsidRPr="00A73599">
              <w:rPr>
                <w:sz w:val="22"/>
              </w:rPr>
              <w:t>0.16</w:t>
            </w:r>
          </w:p>
        </w:tc>
        <w:tc>
          <w:tcPr>
            <w:tcW w:w="1099" w:type="dxa"/>
            <w:noWrap/>
            <w:hideMark/>
          </w:tcPr>
          <w:p w14:paraId="18B46836" w14:textId="77777777" w:rsidR="00D66FFA" w:rsidRPr="00A73599" w:rsidRDefault="00D66FFA" w:rsidP="00D66FFA">
            <w:pPr>
              <w:spacing w:line="240" w:lineRule="auto"/>
              <w:jc w:val="right"/>
              <w:rPr>
                <w:sz w:val="22"/>
              </w:rPr>
            </w:pPr>
            <w:r w:rsidRPr="00A73599">
              <w:rPr>
                <w:sz w:val="22"/>
              </w:rPr>
              <w:t>0.46</w:t>
            </w:r>
          </w:p>
        </w:tc>
        <w:tc>
          <w:tcPr>
            <w:tcW w:w="1074" w:type="dxa"/>
            <w:noWrap/>
            <w:hideMark/>
          </w:tcPr>
          <w:p w14:paraId="5C0EA8BF" w14:textId="77777777" w:rsidR="00D66FFA" w:rsidRPr="00A73599" w:rsidRDefault="00D66FFA" w:rsidP="00D66FFA">
            <w:pPr>
              <w:spacing w:line="240" w:lineRule="auto"/>
              <w:jc w:val="right"/>
              <w:rPr>
                <w:sz w:val="22"/>
              </w:rPr>
            </w:pPr>
            <w:r w:rsidRPr="00A73599">
              <w:rPr>
                <w:sz w:val="22"/>
              </w:rPr>
              <w:t>0.18</w:t>
            </w:r>
          </w:p>
        </w:tc>
        <w:tc>
          <w:tcPr>
            <w:tcW w:w="1121" w:type="dxa"/>
            <w:noWrap/>
            <w:hideMark/>
          </w:tcPr>
          <w:p w14:paraId="396C8C04" w14:textId="77777777" w:rsidR="00D66FFA" w:rsidRPr="00A73599" w:rsidRDefault="00D66FFA" w:rsidP="00D66FFA">
            <w:pPr>
              <w:spacing w:line="240" w:lineRule="auto"/>
              <w:jc w:val="right"/>
              <w:rPr>
                <w:sz w:val="22"/>
              </w:rPr>
            </w:pPr>
            <w:r w:rsidRPr="00A73599">
              <w:rPr>
                <w:sz w:val="22"/>
              </w:rPr>
              <w:t>0.14</w:t>
            </w:r>
          </w:p>
        </w:tc>
      </w:tr>
      <w:tr w:rsidR="00D66FFA" w:rsidRPr="00A73599" w14:paraId="296CBAB7" w14:textId="77777777" w:rsidTr="0051420F">
        <w:trPr>
          <w:trHeight w:val="285"/>
        </w:trPr>
        <w:tc>
          <w:tcPr>
            <w:tcW w:w="1097" w:type="dxa"/>
            <w:vMerge/>
            <w:vAlign w:val="center"/>
            <w:hideMark/>
          </w:tcPr>
          <w:p w14:paraId="1B4F65AC" w14:textId="77777777" w:rsidR="00D66FFA" w:rsidRPr="00A73599" w:rsidRDefault="00D66FFA" w:rsidP="00D66FFA">
            <w:pPr>
              <w:spacing w:line="240" w:lineRule="auto"/>
              <w:jc w:val="center"/>
              <w:rPr>
                <w:color w:val="000000"/>
                <w:sz w:val="22"/>
              </w:rPr>
            </w:pPr>
          </w:p>
        </w:tc>
        <w:tc>
          <w:tcPr>
            <w:tcW w:w="968" w:type="dxa"/>
            <w:vMerge/>
            <w:vAlign w:val="center"/>
            <w:hideMark/>
          </w:tcPr>
          <w:p w14:paraId="4FFC2EEE" w14:textId="77777777" w:rsidR="00D66FFA" w:rsidRPr="00A73599" w:rsidRDefault="00D66FFA" w:rsidP="00D66FFA">
            <w:pPr>
              <w:spacing w:line="240" w:lineRule="auto"/>
              <w:jc w:val="center"/>
              <w:rPr>
                <w:color w:val="000000"/>
                <w:sz w:val="22"/>
              </w:rPr>
            </w:pPr>
          </w:p>
        </w:tc>
        <w:tc>
          <w:tcPr>
            <w:tcW w:w="1728" w:type="dxa"/>
            <w:noWrap/>
            <w:hideMark/>
          </w:tcPr>
          <w:p w14:paraId="18A14A30" w14:textId="77777777" w:rsidR="00D66FFA" w:rsidRPr="00A73599" w:rsidRDefault="00D66FFA" w:rsidP="00D66FFA">
            <w:pPr>
              <w:spacing w:line="240" w:lineRule="auto"/>
              <w:rPr>
                <w:color w:val="000000"/>
                <w:sz w:val="22"/>
              </w:rPr>
            </w:pPr>
            <w:r w:rsidRPr="00A73599">
              <w:rPr>
                <w:color w:val="000000"/>
                <w:sz w:val="22"/>
              </w:rPr>
              <w:t>KTH</w:t>
            </w:r>
          </w:p>
        </w:tc>
        <w:tc>
          <w:tcPr>
            <w:tcW w:w="958" w:type="dxa"/>
            <w:noWrap/>
            <w:hideMark/>
          </w:tcPr>
          <w:p w14:paraId="7EA7D239" w14:textId="77777777" w:rsidR="00D66FFA" w:rsidRPr="00A73599" w:rsidRDefault="00D66FFA" w:rsidP="00D66FFA">
            <w:pPr>
              <w:spacing w:line="240" w:lineRule="auto"/>
              <w:jc w:val="right"/>
              <w:rPr>
                <w:sz w:val="22"/>
              </w:rPr>
            </w:pPr>
            <w:r w:rsidRPr="00A73599">
              <w:rPr>
                <w:sz w:val="22"/>
              </w:rPr>
              <w:t>0.60</w:t>
            </w:r>
          </w:p>
        </w:tc>
        <w:tc>
          <w:tcPr>
            <w:tcW w:w="971" w:type="dxa"/>
            <w:noWrap/>
            <w:hideMark/>
          </w:tcPr>
          <w:p w14:paraId="0738DD28" w14:textId="77777777" w:rsidR="00D66FFA" w:rsidRPr="00A73599" w:rsidRDefault="00D66FFA" w:rsidP="00D66FFA">
            <w:pPr>
              <w:spacing w:line="240" w:lineRule="auto"/>
              <w:jc w:val="right"/>
              <w:rPr>
                <w:sz w:val="22"/>
              </w:rPr>
            </w:pPr>
            <w:r w:rsidRPr="00A73599">
              <w:rPr>
                <w:sz w:val="22"/>
              </w:rPr>
              <w:t>0.04</w:t>
            </w:r>
          </w:p>
        </w:tc>
        <w:tc>
          <w:tcPr>
            <w:tcW w:w="1099" w:type="dxa"/>
            <w:noWrap/>
            <w:hideMark/>
          </w:tcPr>
          <w:p w14:paraId="2B88F22B" w14:textId="77777777" w:rsidR="00D66FFA" w:rsidRPr="00A73599" w:rsidRDefault="00D66FFA" w:rsidP="00D66FFA">
            <w:pPr>
              <w:spacing w:line="240" w:lineRule="auto"/>
              <w:jc w:val="right"/>
              <w:rPr>
                <w:sz w:val="22"/>
              </w:rPr>
            </w:pPr>
            <w:r w:rsidRPr="00A73599">
              <w:rPr>
                <w:sz w:val="22"/>
              </w:rPr>
              <w:t>0.03</w:t>
            </w:r>
          </w:p>
        </w:tc>
        <w:tc>
          <w:tcPr>
            <w:tcW w:w="1074" w:type="dxa"/>
            <w:noWrap/>
            <w:hideMark/>
          </w:tcPr>
          <w:p w14:paraId="3FBF1CA9" w14:textId="77777777" w:rsidR="00D66FFA" w:rsidRPr="00A73599" w:rsidRDefault="00D66FFA" w:rsidP="00D66FFA">
            <w:pPr>
              <w:spacing w:line="240" w:lineRule="auto"/>
              <w:jc w:val="right"/>
              <w:rPr>
                <w:sz w:val="22"/>
              </w:rPr>
            </w:pPr>
            <w:r w:rsidRPr="00A73599">
              <w:rPr>
                <w:sz w:val="22"/>
              </w:rPr>
              <w:t>0.18</w:t>
            </w:r>
          </w:p>
        </w:tc>
        <w:tc>
          <w:tcPr>
            <w:tcW w:w="1121" w:type="dxa"/>
            <w:noWrap/>
            <w:hideMark/>
          </w:tcPr>
          <w:p w14:paraId="21BB4C59" w14:textId="77777777" w:rsidR="00D66FFA" w:rsidRPr="00A73599" w:rsidRDefault="00D66FFA" w:rsidP="00D66FFA">
            <w:pPr>
              <w:spacing w:line="240" w:lineRule="auto"/>
              <w:jc w:val="right"/>
              <w:rPr>
                <w:sz w:val="22"/>
              </w:rPr>
            </w:pPr>
            <w:r w:rsidRPr="00A73599">
              <w:rPr>
                <w:sz w:val="22"/>
              </w:rPr>
              <w:t>0.15</w:t>
            </w:r>
          </w:p>
        </w:tc>
      </w:tr>
      <w:tr w:rsidR="00D66FFA" w:rsidRPr="00A73599" w14:paraId="0E1E793F" w14:textId="77777777" w:rsidTr="0051420F">
        <w:trPr>
          <w:trHeight w:val="285"/>
        </w:trPr>
        <w:tc>
          <w:tcPr>
            <w:tcW w:w="1097" w:type="dxa"/>
            <w:vMerge/>
            <w:vAlign w:val="center"/>
            <w:hideMark/>
          </w:tcPr>
          <w:p w14:paraId="4B43C3CA" w14:textId="77777777" w:rsidR="00D66FFA" w:rsidRPr="00A73599" w:rsidRDefault="00D66FFA" w:rsidP="00D66FFA">
            <w:pPr>
              <w:spacing w:line="240" w:lineRule="auto"/>
              <w:jc w:val="center"/>
              <w:rPr>
                <w:color w:val="000000"/>
                <w:sz w:val="22"/>
              </w:rPr>
            </w:pPr>
          </w:p>
        </w:tc>
        <w:tc>
          <w:tcPr>
            <w:tcW w:w="968" w:type="dxa"/>
            <w:vMerge w:val="restart"/>
            <w:noWrap/>
            <w:vAlign w:val="center"/>
            <w:hideMark/>
          </w:tcPr>
          <w:p w14:paraId="01BAF6E6" w14:textId="77777777" w:rsidR="00D66FFA" w:rsidRPr="00A73599" w:rsidRDefault="00D66FFA" w:rsidP="00D66FFA">
            <w:pPr>
              <w:spacing w:line="240" w:lineRule="auto"/>
              <w:jc w:val="center"/>
              <w:rPr>
                <w:color w:val="000000"/>
                <w:sz w:val="22"/>
              </w:rPr>
            </w:pPr>
            <w:r w:rsidRPr="00A73599">
              <w:rPr>
                <w:color w:val="000000"/>
                <w:sz w:val="22"/>
              </w:rPr>
              <w:t>Case 2</w:t>
            </w:r>
          </w:p>
        </w:tc>
        <w:tc>
          <w:tcPr>
            <w:tcW w:w="1728" w:type="dxa"/>
            <w:noWrap/>
            <w:hideMark/>
          </w:tcPr>
          <w:p w14:paraId="7C9E9936" w14:textId="77777777" w:rsidR="00D66FFA" w:rsidRPr="00A73599" w:rsidRDefault="00D66FFA" w:rsidP="00D66FFA">
            <w:pPr>
              <w:spacing w:line="240" w:lineRule="auto"/>
              <w:rPr>
                <w:color w:val="000000"/>
                <w:sz w:val="22"/>
              </w:rPr>
            </w:pPr>
            <w:r w:rsidRPr="00A73599">
              <w:rPr>
                <w:color w:val="000000"/>
                <w:sz w:val="22"/>
              </w:rPr>
              <w:t>UPM</w:t>
            </w:r>
          </w:p>
        </w:tc>
        <w:tc>
          <w:tcPr>
            <w:tcW w:w="958" w:type="dxa"/>
            <w:noWrap/>
            <w:hideMark/>
          </w:tcPr>
          <w:p w14:paraId="6B68ADA5" w14:textId="77777777" w:rsidR="00D66FFA" w:rsidRPr="00A73599" w:rsidRDefault="00D66FFA" w:rsidP="00D66FFA">
            <w:pPr>
              <w:spacing w:line="240" w:lineRule="auto"/>
              <w:jc w:val="right"/>
              <w:rPr>
                <w:sz w:val="22"/>
              </w:rPr>
            </w:pPr>
            <w:r w:rsidRPr="00A73599">
              <w:rPr>
                <w:sz w:val="22"/>
              </w:rPr>
              <w:t>0.20</w:t>
            </w:r>
          </w:p>
        </w:tc>
        <w:tc>
          <w:tcPr>
            <w:tcW w:w="971" w:type="dxa"/>
            <w:noWrap/>
            <w:hideMark/>
          </w:tcPr>
          <w:p w14:paraId="29DA7B9E" w14:textId="77777777" w:rsidR="00D66FFA" w:rsidRPr="00A73599" w:rsidRDefault="00D66FFA" w:rsidP="00D66FFA">
            <w:pPr>
              <w:spacing w:line="240" w:lineRule="auto"/>
              <w:jc w:val="right"/>
              <w:rPr>
                <w:sz w:val="22"/>
              </w:rPr>
            </w:pPr>
            <w:r w:rsidRPr="00A73599">
              <w:rPr>
                <w:sz w:val="22"/>
              </w:rPr>
              <w:t>0.20</w:t>
            </w:r>
          </w:p>
        </w:tc>
        <w:tc>
          <w:tcPr>
            <w:tcW w:w="1099" w:type="dxa"/>
            <w:noWrap/>
            <w:hideMark/>
          </w:tcPr>
          <w:p w14:paraId="3DC52CCC" w14:textId="77777777" w:rsidR="00D66FFA" w:rsidRPr="00A73599" w:rsidRDefault="00D66FFA" w:rsidP="00D66FFA">
            <w:pPr>
              <w:spacing w:line="240" w:lineRule="auto"/>
              <w:jc w:val="right"/>
              <w:rPr>
                <w:sz w:val="22"/>
              </w:rPr>
            </w:pPr>
            <w:r w:rsidRPr="00A73599">
              <w:rPr>
                <w:sz w:val="22"/>
              </w:rPr>
              <w:t>0.20</w:t>
            </w:r>
          </w:p>
        </w:tc>
        <w:tc>
          <w:tcPr>
            <w:tcW w:w="1074" w:type="dxa"/>
            <w:noWrap/>
            <w:hideMark/>
          </w:tcPr>
          <w:p w14:paraId="50546420" w14:textId="77777777" w:rsidR="00D66FFA" w:rsidRPr="00A73599" w:rsidRDefault="00D66FFA" w:rsidP="00D66FFA">
            <w:pPr>
              <w:spacing w:line="240" w:lineRule="auto"/>
              <w:jc w:val="right"/>
              <w:rPr>
                <w:sz w:val="22"/>
              </w:rPr>
            </w:pPr>
            <w:r w:rsidRPr="00A73599">
              <w:rPr>
                <w:sz w:val="22"/>
              </w:rPr>
              <w:t>0.20</w:t>
            </w:r>
          </w:p>
        </w:tc>
        <w:tc>
          <w:tcPr>
            <w:tcW w:w="1121" w:type="dxa"/>
            <w:noWrap/>
            <w:hideMark/>
          </w:tcPr>
          <w:p w14:paraId="50920D8B" w14:textId="77777777" w:rsidR="00D66FFA" w:rsidRPr="00A73599" w:rsidRDefault="00D66FFA" w:rsidP="00D66FFA">
            <w:pPr>
              <w:spacing w:line="240" w:lineRule="auto"/>
              <w:jc w:val="right"/>
              <w:rPr>
                <w:sz w:val="22"/>
              </w:rPr>
            </w:pPr>
            <w:r w:rsidRPr="00A73599">
              <w:rPr>
                <w:sz w:val="22"/>
              </w:rPr>
              <w:t>0.20</w:t>
            </w:r>
          </w:p>
        </w:tc>
      </w:tr>
      <w:tr w:rsidR="00D66FFA" w:rsidRPr="00A73599" w14:paraId="31B7BF4B" w14:textId="77777777" w:rsidTr="0051420F">
        <w:trPr>
          <w:trHeight w:val="285"/>
        </w:trPr>
        <w:tc>
          <w:tcPr>
            <w:tcW w:w="1097" w:type="dxa"/>
            <w:vMerge/>
            <w:vAlign w:val="center"/>
            <w:hideMark/>
          </w:tcPr>
          <w:p w14:paraId="421E2101" w14:textId="77777777" w:rsidR="00D66FFA" w:rsidRPr="00A73599" w:rsidRDefault="00D66FFA" w:rsidP="00D66FFA">
            <w:pPr>
              <w:spacing w:line="240" w:lineRule="auto"/>
              <w:jc w:val="center"/>
              <w:rPr>
                <w:color w:val="000000"/>
                <w:sz w:val="22"/>
              </w:rPr>
            </w:pPr>
          </w:p>
        </w:tc>
        <w:tc>
          <w:tcPr>
            <w:tcW w:w="968" w:type="dxa"/>
            <w:vMerge/>
            <w:vAlign w:val="center"/>
            <w:hideMark/>
          </w:tcPr>
          <w:p w14:paraId="18E50945" w14:textId="77777777" w:rsidR="00D66FFA" w:rsidRPr="00A73599" w:rsidRDefault="00D66FFA" w:rsidP="00D66FFA">
            <w:pPr>
              <w:spacing w:line="240" w:lineRule="auto"/>
              <w:jc w:val="center"/>
              <w:rPr>
                <w:color w:val="000000"/>
                <w:sz w:val="22"/>
              </w:rPr>
            </w:pPr>
          </w:p>
        </w:tc>
        <w:tc>
          <w:tcPr>
            <w:tcW w:w="1728" w:type="dxa"/>
            <w:noWrap/>
            <w:hideMark/>
          </w:tcPr>
          <w:p w14:paraId="25A150BE" w14:textId="77777777" w:rsidR="00D66FFA" w:rsidRPr="00A73599" w:rsidRDefault="00D66FFA" w:rsidP="00D66FFA">
            <w:pPr>
              <w:spacing w:line="240" w:lineRule="auto"/>
              <w:rPr>
                <w:color w:val="000000"/>
                <w:sz w:val="22"/>
              </w:rPr>
            </w:pPr>
            <w:r w:rsidRPr="00A73599">
              <w:rPr>
                <w:rFonts w:hint="eastAsia"/>
                <w:color w:val="000000"/>
                <w:sz w:val="22"/>
              </w:rPr>
              <w:t>D</w:t>
            </w:r>
            <w:r w:rsidRPr="00A73599">
              <w:rPr>
                <w:color w:val="000000"/>
                <w:sz w:val="22"/>
              </w:rPr>
              <w:t>RS</w:t>
            </w:r>
          </w:p>
        </w:tc>
        <w:tc>
          <w:tcPr>
            <w:tcW w:w="958" w:type="dxa"/>
            <w:noWrap/>
            <w:hideMark/>
          </w:tcPr>
          <w:p w14:paraId="38A35719" w14:textId="77777777" w:rsidR="00D66FFA" w:rsidRPr="00A73599" w:rsidRDefault="00D66FFA" w:rsidP="00D66FFA">
            <w:pPr>
              <w:spacing w:line="240" w:lineRule="auto"/>
              <w:jc w:val="right"/>
              <w:rPr>
                <w:sz w:val="22"/>
              </w:rPr>
            </w:pPr>
            <w:r w:rsidRPr="00A73599">
              <w:rPr>
                <w:sz w:val="22"/>
              </w:rPr>
              <w:t>0.21</w:t>
            </w:r>
          </w:p>
        </w:tc>
        <w:tc>
          <w:tcPr>
            <w:tcW w:w="971" w:type="dxa"/>
            <w:noWrap/>
            <w:hideMark/>
          </w:tcPr>
          <w:p w14:paraId="6D513E42" w14:textId="77777777" w:rsidR="00D66FFA" w:rsidRPr="00A73599" w:rsidRDefault="00D66FFA" w:rsidP="00D66FFA">
            <w:pPr>
              <w:spacing w:line="240" w:lineRule="auto"/>
              <w:jc w:val="right"/>
              <w:rPr>
                <w:sz w:val="22"/>
              </w:rPr>
            </w:pPr>
            <w:r w:rsidRPr="00A73599">
              <w:rPr>
                <w:sz w:val="22"/>
              </w:rPr>
              <w:t>0.26</w:t>
            </w:r>
          </w:p>
        </w:tc>
        <w:tc>
          <w:tcPr>
            <w:tcW w:w="1099" w:type="dxa"/>
            <w:noWrap/>
            <w:hideMark/>
          </w:tcPr>
          <w:p w14:paraId="60CE648F" w14:textId="77777777" w:rsidR="00D66FFA" w:rsidRPr="00A73599" w:rsidRDefault="00D66FFA" w:rsidP="00D66FFA">
            <w:pPr>
              <w:spacing w:line="240" w:lineRule="auto"/>
              <w:jc w:val="right"/>
              <w:rPr>
                <w:sz w:val="22"/>
              </w:rPr>
            </w:pPr>
            <w:r w:rsidRPr="00A73599">
              <w:rPr>
                <w:sz w:val="22"/>
              </w:rPr>
              <w:t>0.16</w:t>
            </w:r>
          </w:p>
        </w:tc>
        <w:tc>
          <w:tcPr>
            <w:tcW w:w="1074" w:type="dxa"/>
            <w:noWrap/>
            <w:hideMark/>
          </w:tcPr>
          <w:p w14:paraId="68F4A214" w14:textId="77777777" w:rsidR="00D66FFA" w:rsidRPr="00A73599" w:rsidRDefault="00D66FFA" w:rsidP="00D66FFA">
            <w:pPr>
              <w:spacing w:line="240" w:lineRule="auto"/>
              <w:jc w:val="right"/>
              <w:rPr>
                <w:sz w:val="22"/>
              </w:rPr>
            </w:pPr>
            <w:r w:rsidRPr="00A73599">
              <w:rPr>
                <w:sz w:val="22"/>
              </w:rPr>
              <w:t>0.18</w:t>
            </w:r>
          </w:p>
        </w:tc>
        <w:tc>
          <w:tcPr>
            <w:tcW w:w="1121" w:type="dxa"/>
            <w:noWrap/>
            <w:hideMark/>
          </w:tcPr>
          <w:p w14:paraId="0BFADB32" w14:textId="77777777" w:rsidR="00D66FFA" w:rsidRPr="00A73599" w:rsidRDefault="00D66FFA" w:rsidP="00D66FFA">
            <w:pPr>
              <w:spacing w:line="240" w:lineRule="auto"/>
              <w:jc w:val="right"/>
              <w:rPr>
                <w:sz w:val="22"/>
              </w:rPr>
            </w:pPr>
            <w:r w:rsidRPr="00A73599">
              <w:rPr>
                <w:sz w:val="22"/>
              </w:rPr>
              <w:t>0.18</w:t>
            </w:r>
          </w:p>
        </w:tc>
      </w:tr>
      <w:tr w:rsidR="00D66FFA" w:rsidRPr="00A73599" w14:paraId="4E3174A1" w14:textId="77777777" w:rsidTr="0051420F">
        <w:trPr>
          <w:trHeight w:val="285"/>
        </w:trPr>
        <w:tc>
          <w:tcPr>
            <w:tcW w:w="1097" w:type="dxa"/>
            <w:vMerge w:val="restart"/>
            <w:noWrap/>
            <w:vAlign w:val="center"/>
            <w:hideMark/>
          </w:tcPr>
          <w:p w14:paraId="71326793" w14:textId="77777777" w:rsidR="00D66FFA" w:rsidRPr="00A73599" w:rsidRDefault="00D66FFA" w:rsidP="00D66FFA">
            <w:pPr>
              <w:spacing w:line="240" w:lineRule="auto"/>
              <w:jc w:val="center"/>
              <w:rPr>
                <w:color w:val="000000"/>
                <w:sz w:val="22"/>
              </w:rPr>
            </w:pPr>
            <w:r w:rsidRPr="00A73599">
              <w:rPr>
                <w:color w:val="000000"/>
                <w:sz w:val="22"/>
              </w:rPr>
              <w:t>China</w:t>
            </w:r>
          </w:p>
        </w:tc>
        <w:tc>
          <w:tcPr>
            <w:tcW w:w="968" w:type="dxa"/>
            <w:vMerge w:val="restart"/>
            <w:noWrap/>
            <w:vAlign w:val="center"/>
            <w:hideMark/>
          </w:tcPr>
          <w:p w14:paraId="35BC6F9C" w14:textId="77777777" w:rsidR="00D66FFA" w:rsidRPr="00A73599" w:rsidRDefault="00D66FFA" w:rsidP="00D66FFA">
            <w:pPr>
              <w:spacing w:line="240" w:lineRule="auto"/>
              <w:jc w:val="center"/>
              <w:rPr>
                <w:color w:val="000000"/>
                <w:sz w:val="22"/>
              </w:rPr>
            </w:pPr>
            <w:r w:rsidRPr="00A73599">
              <w:rPr>
                <w:color w:val="000000"/>
                <w:sz w:val="22"/>
              </w:rPr>
              <w:t>Case 3</w:t>
            </w:r>
          </w:p>
        </w:tc>
        <w:tc>
          <w:tcPr>
            <w:tcW w:w="1728" w:type="dxa"/>
            <w:noWrap/>
            <w:hideMark/>
          </w:tcPr>
          <w:p w14:paraId="19127B3B" w14:textId="77777777" w:rsidR="00D66FFA" w:rsidRPr="00A73599" w:rsidRDefault="00D66FFA" w:rsidP="00D66FFA">
            <w:pPr>
              <w:spacing w:line="240" w:lineRule="auto"/>
              <w:rPr>
                <w:color w:val="000000"/>
                <w:sz w:val="22"/>
              </w:rPr>
            </w:pPr>
            <w:r w:rsidRPr="00A73599">
              <w:rPr>
                <w:color w:val="000000"/>
                <w:sz w:val="22"/>
              </w:rPr>
              <w:t>UE</w:t>
            </w:r>
          </w:p>
        </w:tc>
        <w:tc>
          <w:tcPr>
            <w:tcW w:w="958" w:type="dxa"/>
            <w:noWrap/>
            <w:hideMark/>
          </w:tcPr>
          <w:p w14:paraId="750E4BD0" w14:textId="77777777" w:rsidR="00D66FFA" w:rsidRPr="00A73599" w:rsidRDefault="00D66FFA" w:rsidP="00D66FFA">
            <w:pPr>
              <w:spacing w:line="240" w:lineRule="auto"/>
              <w:jc w:val="right"/>
              <w:rPr>
                <w:sz w:val="22"/>
              </w:rPr>
            </w:pPr>
            <w:r w:rsidRPr="00A73599">
              <w:rPr>
                <w:sz w:val="22"/>
              </w:rPr>
              <w:t>0.03</w:t>
            </w:r>
          </w:p>
        </w:tc>
        <w:tc>
          <w:tcPr>
            <w:tcW w:w="971" w:type="dxa"/>
            <w:noWrap/>
            <w:hideMark/>
          </w:tcPr>
          <w:p w14:paraId="407F7268" w14:textId="77777777" w:rsidR="00D66FFA" w:rsidRPr="00A73599" w:rsidRDefault="00D66FFA" w:rsidP="00D66FFA">
            <w:pPr>
              <w:spacing w:line="240" w:lineRule="auto"/>
              <w:jc w:val="right"/>
              <w:rPr>
                <w:sz w:val="22"/>
              </w:rPr>
            </w:pPr>
            <w:r w:rsidRPr="00A73599">
              <w:rPr>
                <w:sz w:val="22"/>
              </w:rPr>
              <w:t>0.16</w:t>
            </w:r>
          </w:p>
        </w:tc>
        <w:tc>
          <w:tcPr>
            <w:tcW w:w="1099" w:type="dxa"/>
            <w:noWrap/>
            <w:hideMark/>
          </w:tcPr>
          <w:p w14:paraId="7454E5C1" w14:textId="77777777" w:rsidR="00D66FFA" w:rsidRPr="00A73599" w:rsidRDefault="00D66FFA" w:rsidP="00D66FFA">
            <w:pPr>
              <w:spacing w:line="240" w:lineRule="auto"/>
              <w:jc w:val="right"/>
              <w:rPr>
                <w:sz w:val="22"/>
              </w:rPr>
            </w:pPr>
            <w:r w:rsidRPr="00A73599">
              <w:rPr>
                <w:sz w:val="22"/>
              </w:rPr>
              <w:t>0.53</w:t>
            </w:r>
          </w:p>
        </w:tc>
        <w:tc>
          <w:tcPr>
            <w:tcW w:w="1074" w:type="dxa"/>
            <w:noWrap/>
            <w:hideMark/>
          </w:tcPr>
          <w:p w14:paraId="77FF257B" w14:textId="77777777" w:rsidR="00D66FFA" w:rsidRPr="00A73599" w:rsidRDefault="00D66FFA" w:rsidP="00D66FFA">
            <w:pPr>
              <w:spacing w:line="240" w:lineRule="auto"/>
              <w:jc w:val="right"/>
              <w:rPr>
                <w:sz w:val="22"/>
              </w:rPr>
            </w:pPr>
            <w:r w:rsidRPr="00A73599">
              <w:rPr>
                <w:sz w:val="22"/>
              </w:rPr>
              <w:t>0.19</w:t>
            </w:r>
          </w:p>
        </w:tc>
        <w:tc>
          <w:tcPr>
            <w:tcW w:w="1121" w:type="dxa"/>
            <w:noWrap/>
            <w:hideMark/>
          </w:tcPr>
          <w:p w14:paraId="124DD001" w14:textId="77777777" w:rsidR="00D66FFA" w:rsidRPr="00A73599" w:rsidRDefault="00D66FFA" w:rsidP="00D66FFA">
            <w:pPr>
              <w:spacing w:line="240" w:lineRule="auto"/>
              <w:jc w:val="right"/>
              <w:rPr>
                <w:sz w:val="22"/>
              </w:rPr>
            </w:pPr>
            <w:r w:rsidRPr="00A73599">
              <w:rPr>
                <w:sz w:val="22"/>
              </w:rPr>
              <w:t>0.10</w:t>
            </w:r>
          </w:p>
        </w:tc>
      </w:tr>
      <w:tr w:rsidR="00D66FFA" w:rsidRPr="00A73599" w14:paraId="2B36BA9E" w14:textId="77777777" w:rsidTr="0051420F">
        <w:trPr>
          <w:trHeight w:val="285"/>
        </w:trPr>
        <w:tc>
          <w:tcPr>
            <w:tcW w:w="1097" w:type="dxa"/>
            <w:vMerge/>
            <w:vAlign w:val="center"/>
            <w:hideMark/>
          </w:tcPr>
          <w:p w14:paraId="5A541C27" w14:textId="77777777" w:rsidR="00D66FFA" w:rsidRPr="00A73599" w:rsidRDefault="00D66FFA" w:rsidP="00D66FFA">
            <w:pPr>
              <w:spacing w:line="240" w:lineRule="auto"/>
              <w:jc w:val="center"/>
              <w:rPr>
                <w:color w:val="000000"/>
                <w:sz w:val="22"/>
              </w:rPr>
            </w:pPr>
          </w:p>
        </w:tc>
        <w:tc>
          <w:tcPr>
            <w:tcW w:w="968" w:type="dxa"/>
            <w:vMerge/>
            <w:vAlign w:val="center"/>
            <w:hideMark/>
          </w:tcPr>
          <w:p w14:paraId="67C8F1F0" w14:textId="77777777" w:rsidR="00D66FFA" w:rsidRPr="00A73599" w:rsidRDefault="00D66FFA" w:rsidP="00D66FFA">
            <w:pPr>
              <w:spacing w:line="240" w:lineRule="auto"/>
              <w:jc w:val="center"/>
              <w:rPr>
                <w:color w:val="000000"/>
                <w:sz w:val="22"/>
              </w:rPr>
            </w:pPr>
          </w:p>
        </w:tc>
        <w:tc>
          <w:tcPr>
            <w:tcW w:w="1728" w:type="dxa"/>
            <w:noWrap/>
            <w:hideMark/>
          </w:tcPr>
          <w:p w14:paraId="22F66200" w14:textId="77777777" w:rsidR="00D66FFA" w:rsidRPr="00A73599" w:rsidRDefault="00D66FFA" w:rsidP="00D66FFA">
            <w:pPr>
              <w:spacing w:line="240" w:lineRule="auto"/>
              <w:rPr>
                <w:color w:val="000000"/>
                <w:sz w:val="22"/>
              </w:rPr>
            </w:pPr>
            <w:r w:rsidRPr="00A73599">
              <w:rPr>
                <w:color w:val="000000"/>
                <w:sz w:val="22"/>
              </w:rPr>
              <w:t>HWD</w:t>
            </w:r>
          </w:p>
        </w:tc>
        <w:tc>
          <w:tcPr>
            <w:tcW w:w="958" w:type="dxa"/>
            <w:noWrap/>
            <w:hideMark/>
          </w:tcPr>
          <w:p w14:paraId="611A5D5C" w14:textId="77777777" w:rsidR="00D66FFA" w:rsidRPr="00A73599" w:rsidRDefault="00D66FFA" w:rsidP="00D66FFA">
            <w:pPr>
              <w:spacing w:line="240" w:lineRule="auto"/>
              <w:jc w:val="right"/>
              <w:rPr>
                <w:sz w:val="22"/>
              </w:rPr>
            </w:pPr>
            <w:r w:rsidRPr="00A73599">
              <w:rPr>
                <w:sz w:val="22"/>
              </w:rPr>
              <w:t>0.04</w:t>
            </w:r>
          </w:p>
        </w:tc>
        <w:tc>
          <w:tcPr>
            <w:tcW w:w="971" w:type="dxa"/>
            <w:noWrap/>
            <w:hideMark/>
          </w:tcPr>
          <w:p w14:paraId="4B7C7793" w14:textId="77777777" w:rsidR="00D66FFA" w:rsidRPr="00A73599" w:rsidRDefault="00D66FFA" w:rsidP="00D66FFA">
            <w:pPr>
              <w:spacing w:line="240" w:lineRule="auto"/>
              <w:jc w:val="right"/>
              <w:rPr>
                <w:sz w:val="22"/>
              </w:rPr>
            </w:pPr>
            <w:r w:rsidRPr="00A73599">
              <w:rPr>
                <w:sz w:val="22"/>
              </w:rPr>
              <w:t>0.36</w:t>
            </w:r>
          </w:p>
        </w:tc>
        <w:tc>
          <w:tcPr>
            <w:tcW w:w="1099" w:type="dxa"/>
            <w:noWrap/>
            <w:hideMark/>
          </w:tcPr>
          <w:p w14:paraId="0104247D" w14:textId="77777777" w:rsidR="00D66FFA" w:rsidRPr="00A73599" w:rsidRDefault="00D66FFA" w:rsidP="00D66FFA">
            <w:pPr>
              <w:spacing w:line="240" w:lineRule="auto"/>
              <w:jc w:val="right"/>
              <w:rPr>
                <w:sz w:val="22"/>
              </w:rPr>
            </w:pPr>
            <w:r w:rsidRPr="00A73599">
              <w:rPr>
                <w:sz w:val="22"/>
              </w:rPr>
              <w:t>0.48</w:t>
            </w:r>
          </w:p>
        </w:tc>
        <w:tc>
          <w:tcPr>
            <w:tcW w:w="1074" w:type="dxa"/>
            <w:noWrap/>
            <w:hideMark/>
          </w:tcPr>
          <w:p w14:paraId="16F879F9" w14:textId="77777777" w:rsidR="00D66FFA" w:rsidRPr="00A73599" w:rsidRDefault="00D66FFA" w:rsidP="00D66FFA">
            <w:pPr>
              <w:spacing w:line="240" w:lineRule="auto"/>
              <w:jc w:val="right"/>
              <w:rPr>
                <w:sz w:val="22"/>
              </w:rPr>
            </w:pPr>
            <w:r w:rsidRPr="00A73599">
              <w:rPr>
                <w:sz w:val="22"/>
              </w:rPr>
              <w:t>0.06</w:t>
            </w:r>
          </w:p>
        </w:tc>
        <w:tc>
          <w:tcPr>
            <w:tcW w:w="1121" w:type="dxa"/>
            <w:noWrap/>
            <w:hideMark/>
          </w:tcPr>
          <w:p w14:paraId="556BFF87" w14:textId="77777777" w:rsidR="00D66FFA" w:rsidRPr="00A73599" w:rsidRDefault="00D66FFA" w:rsidP="00D66FFA">
            <w:pPr>
              <w:spacing w:line="240" w:lineRule="auto"/>
              <w:jc w:val="right"/>
              <w:rPr>
                <w:sz w:val="22"/>
              </w:rPr>
            </w:pPr>
            <w:r w:rsidRPr="00A73599">
              <w:rPr>
                <w:sz w:val="22"/>
              </w:rPr>
              <w:t>0.06</w:t>
            </w:r>
          </w:p>
        </w:tc>
      </w:tr>
      <w:tr w:rsidR="00D66FFA" w:rsidRPr="00A73599" w14:paraId="7B5D858A" w14:textId="77777777" w:rsidTr="0051420F">
        <w:trPr>
          <w:trHeight w:val="285"/>
        </w:trPr>
        <w:tc>
          <w:tcPr>
            <w:tcW w:w="1097" w:type="dxa"/>
            <w:vMerge/>
            <w:vAlign w:val="center"/>
            <w:hideMark/>
          </w:tcPr>
          <w:p w14:paraId="6DA21603" w14:textId="77777777" w:rsidR="00D66FFA" w:rsidRPr="00A73599" w:rsidRDefault="00D66FFA" w:rsidP="00D66FFA">
            <w:pPr>
              <w:spacing w:line="240" w:lineRule="auto"/>
              <w:jc w:val="center"/>
              <w:rPr>
                <w:color w:val="000000"/>
                <w:sz w:val="22"/>
              </w:rPr>
            </w:pPr>
          </w:p>
        </w:tc>
        <w:tc>
          <w:tcPr>
            <w:tcW w:w="968" w:type="dxa"/>
            <w:vMerge/>
            <w:vAlign w:val="center"/>
            <w:hideMark/>
          </w:tcPr>
          <w:p w14:paraId="7E337064" w14:textId="77777777" w:rsidR="00D66FFA" w:rsidRPr="00A73599" w:rsidRDefault="00D66FFA" w:rsidP="00D66FFA">
            <w:pPr>
              <w:spacing w:line="240" w:lineRule="auto"/>
              <w:jc w:val="center"/>
              <w:rPr>
                <w:color w:val="000000"/>
                <w:sz w:val="22"/>
              </w:rPr>
            </w:pPr>
          </w:p>
        </w:tc>
        <w:tc>
          <w:tcPr>
            <w:tcW w:w="1728" w:type="dxa"/>
            <w:noWrap/>
            <w:hideMark/>
          </w:tcPr>
          <w:p w14:paraId="166B9D8C" w14:textId="77777777" w:rsidR="00D66FFA" w:rsidRPr="00A73599" w:rsidRDefault="00D66FFA" w:rsidP="00D66FFA">
            <w:pPr>
              <w:spacing w:line="240" w:lineRule="auto"/>
              <w:rPr>
                <w:color w:val="000000"/>
                <w:sz w:val="22"/>
              </w:rPr>
            </w:pPr>
            <w:r w:rsidRPr="00A73599">
              <w:rPr>
                <w:color w:val="000000"/>
                <w:sz w:val="22"/>
              </w:rPr>
              <w:t>HDD</w:t>
            </w:r>
          </w:p>
        </w:tc>
        <w:tc>
          <w:tcPr>
            <w:tcW w:w="958" w:type="dxa"/>
            <w:noWrap/>
            <w:hideMark/>
          </w:tcPr>
          <w:p w14:paraId="3987C905" w14:textId="77777777" w:rsidR="00D66FFA" w:rsidRPr="00A73599" w:rsidRDefault="00D66FFA" w:rsidP="00D66FFA">
            <w:pPr>
              <w:spacing w:line="240" w:lineRule="auto"/>
              <w:jc w:val="right"/>
              <w:rPr>
                <w:sz w:val="22"/>
              </w:rPr>
            </w:pPr>
            <w:r w:rsidRPr="00A73599">
              <w:rPr>
                <w:sz w:val="22"/>
              </w:rPr>
              <w:t>0.03</w:t>
            </w:r>
          </w:p>
        </w:tc>
        <w:tc>
          <w:tcPr>
            <w:tcW w:w="971" w:type="dxa"/>
            <w:noWrap/>
            <w:hideMark/>
          </w:tcPr>
          <w:p w14:paraId="29379165" w14:textId="77777777" w:rsidR="00D66FFA" w:rsidRPr="00A73599" w:rsidRDefault="00D66FFA" w:rsidP="00D66FFA">
            <w:pPr>
              <w:spacing w:line="240" w:lineRule="auto"/>
              <w:jc w:val="right"/>
              <w:rPr>
                <w:sz w:val="22"/>
              </w:rPr>
            </w:pPr>
            <w:r w:rsidRPr="00A73599">
              <w:rPr>
                <w:sz w:val="22"/>
              </w:rPr>
              <w:t>0.50</w:t>
            </w:r>
          </w:p>
        </w:tc>
        <w:tc>
          <w:tcPr>
            <w:tcW w:w="1099" w:type="dxa"/>
            <w:noWrap/>
            <w:hideMark/>
          </w:tcPr>
          <w:p w14:paraId="53D19B98" w14:textId="77777777" w:rsidR="00D66FFA" w:rsidRPr="00A73599" w:rsidRDefault="00D66FFA" w:rsidP="00D66FFA">
            <w:pPr>
              <w:spacing w:line="240" w:lineRule="auto"/>
              <w:jc w:val="right"/>
              <w:rPr>
                <w:sz w:val="22"/>
              </w:rPr>
            </w:pPr>
            <w:r w:rsidRPr="00A73599">
              <w:rPr>
                <w:sz w:val="22"/>
              </w:rPr>
              <w:t>0.23</w:t>
            </w:r>
          </w:p>
        </w:tc>
        <w:tc>
          <w:tcPr>
            <w:tcW w:w="1074" w:type="dxa"/>
            <w:noWrap/>
            <w:hideMark/>
          </w:tcPr>
          <w:p w14:paraId="2B4AF022" w14:textId="77777777" w:rsidR="00D66FFA" w:rsidRPr="00A73599" w:rsidRDefault="00D66FFA" w:rsidP="00D66FFA">
            <w:pPr>
              <w:spacing w:line="240" w:lineRule="auto"/>
              <w:jc w:val="right"/>
              <w:rPr>
                <w:sz w:val="22"/>
              </w:rPr>
            </w:pPr>
            <w:r w:rsidRPr="00A73599">
              <w:rPr>
                <w:sz w:val="22"/>
              </w:rPr>
              <w:t>0.06</w:t>
            </w:r>
          </w:p>
        </w:tc>
        <w:tc>
          <w:tcPr>
            <w:tcW w:w="1121" w:type="dxa"/>
            <w:noWrap/>
            <w:hideMark/>
          </w:tcPr>
          <w:p w14:paraId="74EB20FD" w14:textId="77777777" w:rsidR="00D66FFA" w:rsidRPr="00A73599" w:rsidRDefault="00D66FFA" w:rsidP="00D66FFA">
            <w:pPr>
              <w:spacing w:line="240" w:lineRule="auto"/>
              <w:jc w:val="right"/>
              <w:rPr>
                <w:sz w:val="22"/>
              </w:rPr>
            </w:pPr>
            <w:r w:rsidRPr="00A73599">
              <w:rPr>
                <w:sz w:val="22"/>
              </w:rPr>
              <w:t>0.18</w:t>
            </w:r>
          </w:p>
        </w:tc>
      </w:tr>
      <w:tr w:rsidR="00D66FFA" w:rsidRPr="00A73599" w14:paraId="5F34BC5A" w14:textId="77777777" w:rsidTr="0051420F">
        <w:trPr>
          <w:trHeight w:val="285"/>
        </w:trPr>
        <w:tc>
          <w:tcPr>
            <w:tcW w:w="1097" w:type="dxa"/>
            <w:vMerge/>
            <w:vAlign w:val="center"/>
            <w:hideMark/>
          </w:tcPr>
          <w:p w14:paraId="4DD8F43F" w14:textId="77777777" w:rsidR="00D66FFA" w:rsidRPr="00A73599" w:rsidRDefault="00D66FFA" w:rsidP="00D66FFA">
            <w:pPr>
              <w:spacing w:line="240" w:lineRule="auto"/>
              <w:jc w:val="center"/>
              <w:rPr>
                <w:color w:val="000000"/>
                <w:sz w:val="22"/>
              </w:rPr>
            </w:pPr>
          </w:p>
        </w:tc>
        <w:tc>
          <w:tcPr>
            <w:tcW w:w="968" w:type="dxa"/>
            <w:vMerge w:val="restart"/>
            <w:noWrap/>
            <w:vAlign w:val="center"/>
            <w:hideMark/>
          </w:tcPr>
          <w:p w14:paraId="171EEB22" w14:textId="77777777" w:rsidR="00D66FFA" w:rsidRPr="00A73599" w:rsidRDefault="00D66FFA" w:rsidP="00D66FFA">
            <w:pPr>
              <w:spacing w:line="240" w:lineRule="auto"/>
              <w:jc w:val="center"/>
              <w:rPr>
                <w:color w:val="000000"/>
                <w:sz w:val="22"/>
              </w:rPr>
            </w:pPr>
            <w:r w:rsidRPr="00A73599">
              <w:rPr>
                <w:color w:val="000000"/>
                <w:sz w:val="22"/>
              </w:rPr>
              <w:t>Case 4</w:t>
            </w:r>
          </w:p>
        </w:tc>
        <w:tc>
          <w:tcPr>
            <w:tcW w:w="1728" w:type="dxa"/>
            <w:noWrap/>
            <w:hideMark/>
          </w:tcPr>
          <w:p w14:paraId="182F2D74" w14:textId="77777777" w:rsidR="00D66FFA" w:rsidRPr="00A73599" w:rsidRDefault="00D66FFA" w:rsidP="00D66FFA">
            <w:pPr>
              <w:spacing w:line="240" w:lineRule="auto"/>
              <w:rPr>
                <w:color w:val="000000"/>
                <w:sz w:val="22"/>
              </w:rPr>
            </w:pPr>
            <w:r w:rsidRPr="00A73599">
              <w:rPr>
                <w:color w:val="000000"/>
                <w:sz w:val="22"/>
              </w:rPr>
              <w:t>CR</w:t>
            </w:r>
          </w:p>
        </w:tc>
        <w:tc>
          <w:tcPr>
            <w:tcW w:w="958" w:type="dxa"/>
            <w:noWrap/>
            <w:hideMark/>
          </w:tcPr>
          <w:p w14:paraId="64EF7429" w14:textId="77777777" w:rsidR="00D66FFA" w:rsidRPr="00A73599" w:rsidRDefault="00D66FFA" w:rsidP="00D66FFA">
            <w:pPr>
              <w:spacing w:line="240" w:lineRule="auto"/>
              <w:jc w:val="right"/>
              <w:rPr>
                <w:sz w:val="22"/>
              </w:rPr>
            </w:pPr>
            <w:r w:rsidRPr="00A73599">
              <w:rPr>
                <w:sz w:val="22"/>
              </w:rPr>
              <w:t>0.05</w:t>
            </w:r>
          </w:p>
        </w:tc>
        <w:tc>
          <w:tcPr>
            <w:tcW w:w="971" w:type="dxa"/>
            <w:noWrap/>
            <w:hideMark/>
          </w:tcPr>
          <w:p w14:paraId="51482B80" w14:textId="77777777" w:rsidR="00D66FFA" w:rsidRPr="00A73599" w:rsidRDefault="00D66FFA" w:rsidP="00D66FFA">
            <w:pPr>
              <w:spacing w:line="240" w:lineRule="auto"/>
              <w:jc w:val="right"/>
              <w:rPr>
                <w:sz w:val="22"/>
              </w:rPr>
            </w:pPr>
            <w:r w:rsidRPr="00A73599">
              <w:rPr>
                <w:sz w:val="22"/>
              </w:rPr>
              <w:t>0.35</w:t>
            </w:r>
          </w:p>
        </w:tc>
        <w:tc>
          <w:tcPr>
            <w:tcW w:w="1099" w:type="dxa"/>
            <w:noWrap/>
            <w:hideMark/>
          </w:tcPr>
          <w:p w14:paraId="58B9A8D6" w14:textId="77777777" w:rsidR="00D66FFA" w:rsidRPr="00A73599" w:rsidRDefault="00D66FFA" w:rsidP="00D66FFA">
            <w:pPr>
              <w:spacing w:line="240" w:lineRule="auto"/>
              <w:jc w:val="right"/>
              <w:rPr>
                <w:sz w:val="22"/>
              </w:rPr>
            </w:pPr>
            <w:r w:rsidRPr="00A73599">
              <w:rPr>
                <w:sz w:val="22"/>
              </w:rPr>
              <w:t>0.30</w:t>
            </w:r>
          </w:p>
        </w:tc>
        <w:tc>
          <w:tcPr>
            <w:tcW w:w="1074" w:type="dxa"/>
            <w:noWrap/>
            <w:hideMark/>
          </w:tcPr>
          <w:p w14:paraId="658F03B0" w14:textId="77777777" w:rsidR="00D66FFA" w:rsidRPr="00A73599" w:rsidRDefault="00D66FFA" w:rsidP="00D66FFA">
            <w:pPr>
              <w:spacing w:line="240" w:lineRule="auto"/>
              <w:jc w:val="right"/>
              <w:rPr>
                <w:sz w:val="22"/>
              </w:rPr>
            </w:pPr>
            <w:r w:rsidRPr="00A73599">
              <w:rPr>
                <w:sz w:val="22"/>
              </w:rPr>
              <w:t>0.26</w:t>
            </w:r>
          </w:p>
        </w:tc>
        <w:tc>
          <w:tcPr>
            <w:tcW w:w="1121" w:type="dxa"/>
            <w:noWrap/>
            <w:hideMark/>
          </w:tcPr>
          <w:p w14:paraId="3A8D70FF" w14:textId="77777777" w:rsidR="00D66FFA" w:rsidRPr="00A73599" w:rsidRDefault="00D66FFA" w:rsidP="00D66FFA">
            <w:pPr>
              <w:spacing w:line="240" w:lineRule="auto"/>
              <w:jc w:val="right"/>
              <w:rPr>
                <w:sz w:val="22"/>
              </w:rPr>
            </w:pPr>
            <w:r w:rsidRPr="00A73599">
              <w:rPr>
                <w:sz w:val="22"/>
              </w:rPr>
              <w:t>0.04</w:t>
            </w:r>
          </w:p>
        </w:tc>
      </w:tr>
      <w:tr w:rsidR="00D66FFA" w:rsidRPr="00A73599" w14:paraId="703AA5E1" w14:textId="77777777" w:rsidTr="0051420F">
        <w:trPr>
          <w:trHeight w:val="285"/>
        </w:trPr>
        <w:tc>
          <w:tcPr>
            <w:tcW w:w="1097" w:type="dxa"/>
            <w:vMerge/>
            <w:hideMark/>
          </w:tcPr>
          <w:p w14:paraId="052AC11C" w14:textId="77777777" w:rsidR="00D66FFA" w:rsidRPr="00A73599" w:rsidRDefault="00D66FFA" w:rsidP="00D66FFA">
            <w:pPr>
              <w:spacing w:line="240" w:lineRule="auto"/>
              <w:rPr>
                <w:color w:val="000000"/>
                <w:sz w:val="22"/>
              </w:rPr>
            </w:pPr>
          </w:p>
        </w:tc>
        <w:tc>
          <w:tcPr>
            <w:tcW w:w="968" w:type="dxa"/>
            <w:vMerge/>
            <w:hideMark/>
          </w:tcPr>
          <w:p w14:paraId="543EFEAD" w14:textId="77777777" w:rsidR="00D66FFA" w:rsidRPr="00A73599" w:rsidRDefault="00D66FFA" w:rsidP="00D66FFA">
            <w:pPr>
              <w:spacing w:line="240" w:lineRule="auto"/>
              <w:rPr>
                <w:color w:val="000000"/>
                <w:sz w:val="22"/>
              </w:rPr>
            </w:pPr>
          </w:p>
        </w:tc>
        <w:tc>
          <w:tcPr>
            <w:tcW w:w="1728" w:type="dxa"/>
            <w:noWrap/>
            <w:hideMark/>
          </w:tcPr>
          <w:p w14:paraId="0FBD12D6" w14:textId="77777777" w:rsidR="00D66FFA" w:rsidRPr="00A73599" w:rsidRDefault="00D66FFA" w:rsidP="00D66FFA">
            <w:pPr>
              <w:spacing w:line="240" w:lineRule="auto"/>
              <w:rPr>
                <w:color w:val="000000"/>
                <w:sz w:val="22"/>
              </w:rPr>
            </w:pPr>
            <w:r w:rsidRPr="00A73599">
              <w:rPr>
                <w:color w:val="000000"/>
                <w:sz w:val="22"/>
              </w:rPr>
              <w:t>PM</w:t>
            </w:r>
          </w:p>
        </w:tc>
        <w:tc>
          <w:tcPr>
            <w:tcW w:w="958" w:type="dxa"/>
            <w:noWrap/>
            <w:hideMark/>
          </w:tcPr>
          <w:p w14:paraId="63884301" w14:textId="77777777" w:rsidR="00D66FFA" w:rsidRPr="00A73599" w:rsidRDefault="00D66FFA" w:rsidP="00D66FFA">
            <w:pPr>
              <w:spacing w:line="240" w:lineRule="auto"/>
              <w:jc w:val="right"/>
              <w:rPr>
                <w:sz w:val="22"/>
              </w:rPr>
            </w:pPr>
            <w:r w:rsidRPr="00A73599">
              <w:rPr>
                <w:sz w:val="22"/>
              </w:rPr>
              <w:t>0.23</w:t>
            </w:r>
          </w:p>
        </w:tc>
        <w:tc>
          <w:tcPr>
            <w:tcW w:w="971" w:type="dxa"/>
            <w:noWrap/>
            <w:hideMark/>
          </w:tcPr>
          <w:p w14:paraId="7D7F5E18" w14:textId="77777777" w:rsidR="00D66FFA" w:rsidRPr="00A73599" w:rsidRDefault="00D66FFA" w:rsidP="00D66FFA">
            <w:pPr>
              <w:spacing w:line="240" w:lineRule="auto"/>
              <w:jc w:val="right"/>
              <w:rPr>
                <w:sz w:val="22"/>
              </w:rPr>
            </w:pPr>
            <w:r w:rsidRPr="00A73599">
              <w:rPr>
                <w:sz w:val="22"/>
              </w:rPr>
              <w:t>0.04</w:t>
            </w:r>
          </w:p>
        </w:tc>
        <w:tc>
          <w:tcPr>
            <w:tcW w:w="1099" w:type="dxa"/>
            <w:noWrap/>
            <w:hideMark/>
          </w:tcPr>
          <w:p w14:paraId="1A49ABAB" w14:textId="77777777" w:rsidR="00D66FFA" w:rsidRPr="00A73599" w:rsidRDefault="00D66FFA" w:rsidP="00D66FFA">
            <w:pPr>
              <w:spacing w:line="240" w:lineRule="auto"/>
              <w:jc w:val="right"/>
              <w:rPr>
                <w:sz w:val="22"/>
              </w:rPr>
            </w:pPr>
            <w:r w:rsidRPr="00A73599">
              <w:rPr>
                <w:sz w:val="22"/>
              </w:rPr>
              <w:t>0.32</w:t>
            </w:r>
          </w:p>
        </w:tc>
        <w:tc>
          <w:tcPr>
            <w:tcW w:w="1074" w:type="dxa"/>
            <w:noWrap/>
            <w:hideMark/>
          </w:tcPr>
          <w:p w14:paraId="174B76CC" w14:textId="77777777" w:rsidR="00D66FFA" w:rsidRPr="00A73599" w:rsidRDefault="00D66FFA" w:rsidP="00D66FFA">
            <w:pPr>
              <w:spacing w:line="240" w:lineRule="auto"/>
              <w:jc w:val="right"/>
              <w:rPr>
                <w:sz w:val="22"/>
              </w:rPr>
            </w:pPr>
            <w:r w:rsidRPr="00A73599">
              <w:rPr>
                <w:sz w:val="22"/>
              </w:rPr>
              <w:t>0.34</w:t>
            </w:r>
          </w:p>
        </w:tc>
        <w:tc>
          <w:tcPr>
            <w:tcW w:w="1121" w:type="dxa"/>
            <w:noWrap/>
            <w:hideMark/>
          </w:tcPr>
          <w:p w14:paraId="45192203" w14:textId="77777777" w:rsidR="00D66FFA" w:rsidRPr="00A73599" w:rsidRDefault="00D66FFA" w:rsidP="00D66FFA">
            <w:pPr>
              <w:spacing w:line="240" w:lineRule="auto"/>
              <w:jc w:val="right"/>
              <w:rPr>
                <w:sz w:val="22"/>
              </w:rPr>
            </w:pPr>
            <w:r w:rsidRPr="00A73599">
              <w:rPr>
                <w:sz w:val="22"/>
              </w:rPr>
              <w:t>0.07</w:t>
            </w:r>
          </w:p>
        </w:tc>
      </w:tr>
      <w:tr w:rsidR="00D66FFA" w:rsidRPr="00A73599" w14:paraId="45607E0B" w14:textId="77777777" w:rsidTr="0051420F">
        <w:trPr>
          <w:trHeight w:val="285"/>
        </w:trPr>
        <w:tc>
          <w:tcPr>
            <w:tcW w:w="1097" w:type="dxa"/>
            <w:vMerge/>
            <w:hideMark/>
          </w:tcPr>
          <w:p w14:paraId="14FA8BF2" w14:textId="77777777" w:rsidR="00D66FFA" w:rsidRPr="00A73599" w:rsidRDefault="00D66FFA" w:rsidP="00D66FFA">
            <w:pPr>
              <w:spacing w:line="240" w:lineRule="auto"/>
              <w:rPr>
                <w:color w:val="000000"/>
                <w:sz w:val="22"/>
              </w:rPr>
            </w:pPr>
          </w:p>
        </w:tc>
        <w:tc>
          <w:tcPr>
            <w:tcW w:w="968" w:type="dxa"/>
            <w:vMerge/>
            <w:hideMark/>
          </w:tcPr>
          <w:p w14:paraId="6AD78945" w14:textId="77777777" w:rsidR="00D66FFA" w:rsidRPr="00A73599" w:rsidRDefault="00D66FFA" w:rsidP="00D66FFA">
            <w:pPr>
              <w:spacing w:line="240" w:lineRule="auto"/>
              <w:rPr>
                <w:color w:val="000000"/>
                <w:sz w:val="22"/>
              </w:rPr>
            </w:pPr>
          </w:p>
        </w:tc>
        <w:tc>
          <w:tcPr>
            <w:tcW w:w="1728" w:type="dxa"/>
            <w:noWrap/>
            <w:hideMark/>
          </w:tcPr>
          <w:p w14:paraId="69BA0B68" w14:textId="77777777" w:rsidR="00D66FFA" w:rsidRPr="00A73599" w:rsidRDefault="00D66FFA" w:rsidP="00D66FFA">
            <w:pPr>
              <w:spacing w:line="240" w:lineRule="auto"/>
              <w:rPr>
                <w:color w:val="000000"/>
                <w:sz w:val="22"/>
              </w:rPr>
            </w:pPr>
            <w:r w:rsidRPr="00A73599">
              <w:rPr>
                <w:color w:val="000000"/>
                <w:sz w:val="22"/>
              </w:rPr>
              <w:t>WHUT</w:t>
            </w:r>
          </w:p>
        </w:tc>
        <w:tc>
          <w:tcPr>
            <w:tcW w:w="958" w:type="dxa"/>
            <w:noWrap/>
            <w:hideMark/>
          </w:tcPr>
          <w:p w14:paraId="215491FD" w14:textId="77777777" w:rsidR="00D66FFA" w:rsidRPr="00A73599" w:rsidRDefault="00D66FFA" w:rsidP="00D66FFA">
            <w:pPr>
              <w:spacing w:line="240" w:lineRule="auto"/>
              <w:jc w:val="right"/>
              <w:rPr>
                <w:sz w:val="22"/>
              </w:rPr>
            </w:pPr>
            <w:r w:rsidRPr="00A73599">
              <w:rPr>
                <w:sz w:val="22"/>
              </w:rPr>
              <w:t>0.48</w:t>
            </w:r>
          </w:p>
        </w:tc>
        <w:tc>
          <w:tcPr>
            <w:tcW w:w="971" w:type="dxa"/>
            <w:noWrap/>
            <w:hideMark/>
          </w:tcPr>
          <w:p w14:paraId="44715E64" w14:textId="77777777" w:rsidR="00D66FFA" w:rsidRPr="00A73599" w:rsidRDefault="00D66FFA" w:rsidP="00D66FFA">
            <w:pPr>
              <w:spacing w:line="240" w:lineRule="auto"/>
              <w:jc w:val="right"/>
              <w:rPr>
                <w:sz w:val="22"/>
              </w:rPr>
            </w:pPr>
            <w:r w:rsidRPr="00A73599">
              <w:rPr>
                <w:sz w:val="22"/>
              </w:rPr>
              <w:t>0.06</w:t>
            </w:r>
          </w:p>
        </w:tc>
        <w:tc>
          <w:tcPr>
            <w:tcW w:w="1099" w:type="dxa"/>
            <w:noWrap/>
            <w:hideMark/>
          </w:tcPr>
          <w:p w14:paraId="4C3F071B" w14:textId="77777777" w:rsidR="00D66FFA" w:rsidRPr="00A73599" w:rsidRDefault="00D66FFA" w:rsidP="00D66FFA">
            <w:pPr>
              <w:spacing w:line="240" w:lineRule="auto"/>
              <w:jc w:val="right"/>
              <w:rPr>
                <w:sz w:val="22"/>
              </w:rPr>
            </w:pPr>
            <w:r w:rsidRPr="00A73599">
              <w:rPr>
                <w:sz w:val="22"/>
              </w:rPr>
              <w:t>0.15</w:t>
            </w:r>
          </w:p>
        </w:tc>
        <w:tc>
          <w:tcPr>
            <w:tcW w:w="1074" w:type="dxa"/>
            <w:noWrap/>
            <w:hideMark/>
          </w:tcPr>
          <w:p w14:paraId="29007C6A" w14:textId="77777777" w:rsidR="00D66FFA" w:rsidRPr="00A73599" w:rsidRDefault="00D66FFA" w:rsidP="00D66FFA">
            <w:pPr>
              <w:spacing w:line="240" w:lineRule="auto"/>
              <w:jc w:val="right"/>
              <w:rPr>
                <w:sz w:val="22"/>
              </w:rPr>
            </w:pPr>
            <w:r w:rsidRPr="00A73599">
              <w:rPr>
                <w:sz w:val="22"/>
              </w:rPr>
              <w:t>0.24</w:t>
            </w:r>
          </w:p>
        </w:tc>
        <w:tc>
          <w:tcPr>
            <w:tcW w:w="1121" w:type="dxa"/>
            <w:noWrap/>
            <w:hideMark/>
          </w:tcPr>
          <w:p w14:paraId="12B1ADAD" w14:textId="77777777" w:rsidR="00D66FFA" w:rsidRPr="00A73599" w:rsidRDefault="00D66FFA" w:rsidP="00D66FFA">
            <w:pPr>
              <w:spacing w:line="240" w:lineRule="auto"/>
              <w:jc w:val="right"/>
              <w:rPr>
                <w:sz w:val="22"/>
              </w:rPr>
            </w:pPr>
            <w:r w:rsidRPr="00A73599">
              <w:rPr>
                <w:sz w:val="22"/>
              </w:rPr>
              <w:t>0.07</w:t>
            </w:r>
          </w:p>
        </w:tc>
      </w:tr>
    </w:tbl>
    <w:p w14:paraId="154F193E" w14:textId="6C6CD253" w:rsidR="00BB2459" w:rsidRDefault="007B5959" w:rsidP="00D66FFA">
      <w:pPr>
        <w:pStyle w:val="Caption"/>
        <w:keepNext/>
      </w:pPr>
      <w:bookmarkStart w:id="960" w:name="_Ref45022435"/>
      <w:bookmarkStart w:id="961" w:name="_Toc46053587"/>
      <w:bookmarkStart w:id="962" w:name="_Toc46093836"/>
      <w:bookmarkStart w:id="963" w:name="_Toc66698802"/>
      <w:r>
        <w:t>Table</w:t>
      </w:r>
      <w:r w:rsidR="00044DEC">
        <w:t xml:space="preserve"> </w:t>
      </w:r>
      <w:r w:rsidR="000306D9">
        <w:fldChar w:fldCharType="begin"/>
      </w:r>
      <w:r w:rsidR="000306D9">
        <w:instrText xml:space="preserve"> STYLEREF 1 \s </w:instrText>
      </w:r>
      <w:r w:rsidR="000306D9">
        <w:fldChar w:fldCharType="separate"/>
      </w:r>
      <w:r w:rsidR="0005064B">
        <w:rPr>
          <w:noProof/>
        </w:rPr>
        <w:t>6</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9</w:t>
      </w:r>
      <w:r w:rsidR="000306D9">
        <w:rPr>
          <w:noProof/>
        </w:rPr>
        <w:fldChar w:fldCharType="end"/>
      </w:r>
      <w:bookmarkEnd w:id="960"/>
      <w:r w:rsidR="00FB0694">
        <w:rPr>
          <w:rFonts w:eastAsia="Times New Roman"/>
          <w:bCs/>
          <w:i w:val="0"/>
          <w:kern w:val="2"/>
          <w:lang w:val="en-US"/>
        </w:rPr>
        <w:t>:</w:t>
      </w:r>
      <w:r w:rsidR="00BB2459">
        <w:rPr>
          <w:rFonts w:eastAsia="Times New Roman"/>
          <w:bCs/>
          <w:i w:val="0"/>
          <w:kern w:val="2"/>
          <w:lang w:val="en-US"/>
        </w:rPr>
        <w:t xml:space="preserve"> W</w:t>
      </w:r>
      <w:r w:rsidR="00BB2459" w:rsidRPr="002C60C1">
        <w:rPr>
          <w:rFonts w:eastAsia="Times New Roman"/>
          <w:bCs/>
          <w:i w:val="0"/>
          <w:kern w:val="2"/>
          <w:lang w:val="en-US"/>
        </w:rPr>
        <w:t>eight</w:t>
      </w:r>
      <w:r w:rsidR="00BB2459">
        <w:rPr>
          <w:rFonts w:eastAsia="Times New Roman"/>
          <w:bCs/>
          <w:i w:val="0"/>
          <w:kern w:val="2"/>
          <w:lang w:val="en-US"/>
        </w:rPr>
        <w:t>s</w:t>
      </w:r>
      <w:r w:rsidR="00BB2459" w:rsidRPr="002C60C1">
        <w:rPr>
          <w:rFonts w:eastAsia="Times New Roman"/>
          <w:bCs/>
          <w:i w:val="0"/>
          <w:kern w:val="2"/>
          <w:lang w:val="en-US"/>
        </w:rPr>
        <w:t xml:space="preserve"> of</w:t>
      </w:r>
      <w:r w:rsidR="00BB2459">
        <w:rPr>
          <w:rFonts w:eastAsia="Times New Roman"/>
          <w:bCs/>
          <w:i w:val="0"/>
          <w:kern w:val="2"/>
          <w:lang w:val="en-US"/>
        </w:rPr>
        <w:t xml:space="preserve"> the social indicators, as assigned by urban consolidation </w:t>
      </w:r>
      <w:proofErr w:type="spellStart"/>
      <w:r w:rsidR="00BB2459">
        <w:rPr>
          <w:rFonts w:eastAsia="Times New Roman"/>
          <w:bCs/>
          <w:i w:val="0"/>
          <w:kern w:val="2"/>
          <w:lang w:val="en-US"/>
        </w:rPr>
        <w:t>centre</w:t>
      </w:r>
      <w:proofErr w:type="spellEnd"/>
      <w:r w:rsidR="00BB2459">
        <w:rPr>
          <w:rFonts w:eastAsia="Times New Roman"/>
          <w:bCs/>
          <w:i w:val="0"/>
          <w:kern w:val="2"/>
          <w:lang w:val="en-US"/>
        </w:rPr>
        <w:t xml:space="preserve"> (</w:t>
      </w:r>
      <w:r w:rsidR="00BB2459" w:rsidRPr="002C60C1">
        <w:rPr>
          <w:rFonts w:eastAsia="Times New Roman"/>
          <w:bCs/>
          <w:i w:val="0"/>
          <w:kern w:val="2"/>
          <w:lang w:val="en-US"/>
        </w:rPr>
        <w:t>UCC</w:t>
      </w:r>
      <w:r w:rsidR="00BB2459">
        <w:rPr>
          <w:rFonts w:eastAsia="Times New Roman"/>
          <w:bCs/>
          <w:i w:val="0"/>
          <w:kern w:val="2"/>
          <w:lang w:val="en-US"/>
        </w:rPr>
        <w:t>)</w:t>
      </w:r>
      <w:r w:rsidR="00BB2459" w:rsidRPr="002C60C1">
        <w:rPr>
          <w:rFonts w:eastAsia="Times New Roman"/>
          <w:bCs/>
          <w:i w:val="0"/>
          <w:kern w:val="2"/>
          <w:lang w:val="en-US"/>
        </w:rPr>
        <w:t xml:space="preserve"> </w:t>
      </w:r>
      <w:proofErr w:type="gramStart"/>
      <w:r w:rsidR="00BB2459">
        <w:rPr>
          <w:rFonts w:eastAsia="Times New Roman"/>
          <w:bCs/>
          <w:i w:val="0"/>
          <w:kern w:val="2"/>
          <w:lang w:val="en-US"/>
        </w:rPr>
        <w:t>s</w:t>
      </w:r>
      <w:r w:rsidR="00BB2459" w:rsidRPr="002C60C1">
        <w:rPr>
          <w:rFonts w:eastAsia="Times New Roman"/>
          <w:bCs/>
          <w:i w:val="0"/>
          <w:kern w:val="2"/>
          <w:lang w:val="en-US"/>
        </w:rPr>
        <w:t>takeholders</w:t>
      </w:r>
      <w:bookmarkEnd w:id="961"/>
      <w:bookmarkEnd w:id="962"/>
      <w:bookmarkEnd w:id="963"/>
      <w:proofErr w:type="gramEnd"/>
      <w:r w:rsidR="00BB2459" w:rsidRPr="002C60C1" w:rsidDel="00147D68">
        <w:rPr>
          <w:rFonts w:eastAsia="Times New Roman"/>
          <w:bCs/>
          <w:i w:val="0"/>
          <w:kern w:val="2"/>
          <w:lang w:val="en-US"/>
        </w:rPr>
        <w:t xml:space="preserve"> </w:t>
      </w:r>
    </w:p>
    <w:p w14:paraId="16882C07" w14:textId="77777777" w:rsidR="00BB2459" w:rsidRDefault="00BB2459" w:rsidP="00EC2BE5">
      <w:pPr>
        <w:spacing w:after="240" w:line="360" w:lineRule="auto"/>
      </w:pPr>
      <w:r>
        <w:t xml:space="preserve">For instance, </w:t>
      </w:r>
      <w:proofErr w:type="gramStart"/>
      <w:r>
        <w:t>in regards to</w:t>
      </w:r>
      <w:proofErr w:type="gramEnd"/>
      <w:r>
        <w:t xml:space="preserve"> the </w:t>
      </w:r>
      <w:r w:rsidRPr="009903E5">
        <w:t xml:space="preserve">social dimension, </w:t>
      </w:r>
      <w:r>
        <w:t xml:space="preserve">the four </w:t>
      </w:r>
      <w:r w:rsidRPr="009903E5">
        <w:t xml:space="preserve">stakeholders in Case 1 </w:t>
      </w:r>
      <w:r>
        <w:t>each identified a different measure as the most prominent: S</w:t>
      </w:r>
      <w:r w:rsidRPr="009903E5">
        <w:t>S</w:t>
      </w:r>
      <w:r>
        <w:t>, WCC</w:t>
      </w:r>
      <w:r w:rsidRPr="009903E5">
        <w:t xml:space="preserve">, </w:t>
      </w:r>
      <w:r>
        <w:t>LC</w:t>
      </w:r>
      <w:r w:rsidRPr="009903E5">
        <w:t xml:space="preserve">, </w:t>
      </w:r>
      <w:r>
        <w:t>and KTH</w:t>
      </w:r>
      <w:r w:rsidRPr="009903E5">
        <w:t xml:space="preserve"> </w:t>
      </w:r>
      <w:r>
        <w:t xml:space="preserve">named </w:t>
      </w:r>
      <w:r w:rsidRPr="009903E5">
        <w:t xml:space="preserve">TTT, ASS, </w:t>
      </w:r>
      <w:r>
        <w:t>WOU, and P</w:t>
      </w:r>
      <w:r w:rsidRPr="009903E5">
        <w:t>FI</w:t>
      </w:r>
      <w:r>
        <w:t>,</w:t>
      </w:r>
      <w:r w:rsidRPr="009903E5">
        <w:t xml:space="preserve"> respectively</w:t>
      </w:r>
      <w:r>
        <w:t>. In Case 2, A</w:t>
      </w:r>
      <w:r w:rsidRPr="009903E5">
        <w:t xml:space="preserve">SS </w:t>
      </w:r>
      <w:r>
        <w:t xml:space="preserve">was </w:t>
      </w:r>
      <w:r w:rsidRPr="009903E5">
        <w:t>regarded as</w:t>
      </w:r>
      <w:r>
        <w:t xml:space="preserve"> the</w:t>
      </w:r>
      <w:r w:rsidRPr="009903E5">
        <w:t xml:space="preserve"> primary social indicator by</w:t>
      </w:r>
      <w:r>
        <w:t xml:space="preserve"> the</w:t>
      </w:r>
      <w:r w:rsidRPr="009903E5">
        <w:t xml:space="preserve"> UCC sponsor (</w:t>
      </w:r>
      <w:r>
        <w:rPr>
          <w:rFonts w:hint="eastAsia"/>
        </w:rPr>
        <w:t>D</w:t>
      </w:r>
      <w:r w:rsidRPr="009903E5">
        <w:t>RS)</w:t>
      </w:r>
      <w:r>
        <w:t xml:space="preserve">, while the </w:t>
      </w:r>
      <w:r w:rsidRPr="009903E5">
        <w:t xml:space="preserve">UCC operator (UPM) </w:t>
      </w:r>
      <w:r>
        <w:t xml:space="preserve">considered all social indicators to be </w:t>
      </w:r>
      <w:r w:rsidRPr="009903E5">
        <w:t xml:space="preserve">equally important. </w:t>
      </w:r>
      <w:r>
        <w:t>Similar patterns are observed for the economic dimension; while, for the environmental dimension, the PAV indicator is emphasised. In Case 3, LTDU and TLR were considered the most important indicators in the economic and environmental dimensions, respectively. In Case 4, WHUT stated that all economic indicators are of equal importance; all stakeholders had a strong preference for TMUA in the environmental dimension.</w:t>
      </w:r>
    </w:p>
    <w:p w14:paraId="3BF0756C" w14:textId="77777777" w:rsidR="005F665E" w:rsidRPr="00520EE5" w:rsidRDefault="005F665E" w:rsidP="00BB2459">
      <w:pPr>
        <w:pStyle w:val="Heading3"/>
      </w:pPr>
      <w:bookmarkStart w:id="964" w:name="_Toc46053482"/>
      <w:bookmarkStart w:id="965" w:name="_Toc46093396"/>
      <w:bookmarkStart w:id="966" w:name="_Toc46093679"/>
      <w:bookmarkStart w:id="967" w:name="_Toc66703255"/>
      <w:r w:rsidRPr="00AC2DAF">
        <w:t>Result</w:t>
      </w:r>
      <w:r>
        <w:t>s</w:t>
      </w:r>
      <w:r w:rsidRPr="00AC2DAF">
        <w:t xml:space="preserve"> of the </w:t>
      </w:r>
      <w:r>
        <w:t>c</w:t>
      </w:r>
      <w:r w:rsidRPr="00AC2DAF">
        <w:t xml:space="preserve">orrelation </w:t>
      </w:r>
      <w:bookmarkStart w:id="968" w:name="_Ref20293178"/>
      <w:bookmarkEnd w:id="964"/>
      <w:bookmarkEnd w:id="965"/>
      <w:bookmarkEnd w:id="966"/>
      <w:r>
        <w:rPr>
          <w:rFonts w:hint="eastAsia"/>
        </w:rPr>
        <w:t>analysis</w:t>
      </w:r>
      <w:bookmarkEnd w:id="967"/>
    </w:p>
    <w:p w14:paraId="12D582A9" w14:textId="77777777" w:rsidR="005F665E" w:rsidRPr="00C861AA" w:rsidRDefault="005F665E" w:rsidP="00EC2BE5">
      <w:pPr>
        <w:spacing w:after="240" w:line="360" w:lineRule="auto"/>
      </w:pPr>
      <w:r w:rsidRPr="00983B5C">
        <w:t xml:space="preserve">The overall priority score </w:t>
      </w:r>
      <w:r w:rsidRPr="00173D0D">
        <w:t>for</w:t>
      </w:r>
      <w:r w:rsidRPr="00071D72">
        <w:t xml:space="preserve"> each indicator </w:t>
      </w:r>
      <w:r>
        <w:t xml:space="preserve">is </w:t>
      </w:r>
      <w:r w:rsidRPr="00C861AA">
        <w:t xml:space="preserve">calculated by multiplying the relevant category score </w:t>
      </w:r>
      <w:r>
        <w:t xml:space="preserve">by </w:t>
      </w:r>
      <w:r w:rsidRPr="00C861AA">
        <w:t xml:space="preserve">the individual score associated with each indicator. </w:t>
      </w:r>
      <w:r>
        <w:fldChar w:fldCharType="begin"/>
      </w:r>
      <w:r>
        <w:instrText xml:space="preserve"> REF _Ref45022601 \h </w:instrText>
      </w:r>
      <w:r>
        <w:fldChar w:fldCharType="separate"/>
      </w:r>
      <w:r>
        <w:t xml:space="preserve">Table </w:t>
      </w:r>
      <w:r>
        <w:rPr>
          <w:noProof/>
        </w:rPr>
        <w:t>6</w:t>
      </w:r>
      <w:r>
        <w:noBreakHyphen/>
      </w:r>
      <w:r>
        <w:rPr>
          <w:noProof/>
        </w:rPr>
        <w:t>10</w:t>
      </w:r>
      <w:r>
        <w:fldChar w:fldCharType="end"/>
      </w:r>
      <w:r>
        <w:t xml:space="preserve"> </w:t>
      </w:r>
      <w:r w:rsidRPr="00C861AA">
        <w:t>displays the overall score</w:t>
      </w:r>
      <w:r>
        <w:t>s</w:t>
      </w:r>
      <w:r w:rsidRPr="00C861AA">
        <w:t xml:space="preserve"> and ranking</w:t>
      </w:r>
      <w:r>
        <w:t>s</w:t>
      </w:r>
      <w:r w:rsidRPr="00C861AA">
        <w:t xml:space="preserve"> of </w:t>
      </w:r>
      <w:r>
        <w:t xml:space="preserve">the </w:t>
      </w:r>
      <w:r w:rsidRPr="00C861AA">
        <w:t xml:space="preserve">indicators. </w:t>
      </w:r>
      <w:r>
        <w:fldChar w:fldCharType="begin"/>
      </w:r>
      <w:r>
        <w:instrText xml:space="preserve"> REF _Ref45625078 \h </w:instrText>
      </w:r>
      <w:r>
        <w:fldChar w:fldCharType="separate"/>
      </w:r>
      <w:r>
        <w:t xml:space="preserve">Table </w:t>
      </w:r>
      <w:r>
        <w:rPr>
          <w:noProof/>
        </w:rPr>
        <w:t>6</w:t>
      </w:r>
      <w:r>
        <w:noBreakHyphen/>
      </w:r>
      <w:r>
        <w:rPr>
          <w:noProof/>
        </w:rPr>
        <w:t>11</w:t>
      </w:r>
      <w:r>
        <w:fldChar w:fldCharType="end"/>
      </w:r>
      <w:r>
        <w:rPr>
          <w:rFonts w:hint="eastAsia"/>
        </w:rPr>
        <w:t>-</w:t>
      </w:r>
      <w:r>
        <w:fldChar w:fldCharType="begin"/>
      </w:r>
      <w:r>
        <w:instrText xml:space="preserve"> </w:instrText>
      </w:r>
      <w:r>
        <w:rPr>
          <w:rFonts w:hint="eastAsia"/>
        </w:rPr>
        <w:instrText>REF _Ref45625089 \h</w:instrText>
      </w:r>
      <w:r>
        <w:instrText xml:space="preserve"> </w:instrText>
      </w:r>
      <w:r>
        <w:fldChar w:fldCharType="separate"/>
      </w:r>
      <w:r>
        <w:t xml:space="preserve">Table </w:t>
      </w:r>
      <w:r>
        <w:rPr>
          <w:noProof/>
        </w:rPr>
        <w:t>6</w:t>
      </w:r>
      <w:r>
        <w:noBreakHyphen/>
      </w:r>
      <w:r>
        <w:rPr>
          <w:noProof/>
        </w:rPr>
        <w:t>14</w:t>
      </w:r>
      <w:r>
        <w:fldChar w:fldCharType="end"/>
      </w:r>
      <w:r>
        <w:t xml:space="preserve"> </w:t>
      </w:r>
      <w:r w:rsidRPr="00C861AA">
        <w:t xml:space="preserve">illustrate the correlation coefficients </w:t>
      </w:r>
      <w:r>
        <w:t xml:space="preserve">of </w:t>
      </w:r>
      <w:r w:rsidRPr="00C861AA">
        <w:t>the individual stakeholder</w:t>
      </w:r>
      <w:r>
        <w:t xml:space="preserve"> preferences</w:t>
      </w:r>
      <w:r w:rsidRPr="00C861AA">
        <w:t xml:space="preserve"> in the four cases. </w:t>
      </w:r>
    </w:p>
    <w:p w14:paraId="24023961" w14:textId="77777777" w:rsidR="005F665E" w:rsidRPr="005A6B66" w:rsidRDefault="005F665E" w:rsidP="00EC2BE5">
      <w:pPr>
        <w:spacing w:after="240" w:line="360" w:lineRule="auto"/>
      </w:pPr>
      <w:r w:rsidRPr="00C861AA">
        <w:t>Kendall’s tau coefficient</w:t>
      </w:r>
      <w:r>
        <w:t xml:space="preserve"> reveals that</w:t>
      </w:r>
      <w:r w:rsidRPr="00C861AA">
        <w:t>,</w:t>
      </w:r>
      <w:r>
        <w:t xml:space="preserve"> in </w:t>
      </w:r>
      <w:r w:rsidRPr="00C861AA">
        <w:t>Case 1</w:t>
      </w:r>
      <w:r>
        <w:t>,</w:t>
      </w:r>
      <w:r w:rsidRPr="00C861AA">
        <w:t xml:space="preserve"> there is a strong and significant positive correlation between SS and LC preferences</w:t>
      </w:r>
      <w:r>
        <w:t>.</w:t>
      </w:r>
      <w:r w:rsidRPr="00C861AA">
        <w:t xml:space="preserve"> </w:t>
      </w:r>
      <w:r>
        <w:t xml:space="preserve">This </w:t>
      </w:r>
      <w:r w:rsidRPr="00C861AA">
        <w:t xml:space="preserve">holds </w:t>
      </w:r>
      <w:r>
        <w:t xml:space="preserve">for </w:t>
      </w:r>
      <w:r w:rsidRPr="00C861AA">
        <w:t xml:space="preserve">the Spearman’s </w:t>
      </w:r>
      <w:r>
        <w:t>r</w:t>
      </w:r>
      <w:r w:rsidRPr="00C861AA">
        <w:t>ho measurement</w:t>
      </w:r>
      <w:r>
        <w:t xml:space="preserve"> </w:t>
      </w:r>
      <w:r>
        <w:rPr>
          <w:rFonts w:hint="eastAsia"/>
        </w:rPr>
        <w:t>too</w:t>
      </w:r>
      <w:r w:rsidRPr="00C861AA">
        <w:t xml:space="preserve">, which also reveals </w:t>
      </w:r>
      <w:r>
        <w:t xml:space="preserve">a </w:t>
      </w:r>
      <w:r w:rsidRPr="00C861AA">
        <w:t xml:space="preserve">correlation between LC and WCC. </w:t>
      </w:r>
      <w:r>
        <w:t xml:space="preserve">No </w:t>
      </w:r>
      <w:r w:rsidRPr="00C861AA">
        <w:t xml:space="preserve">other correlation </w:t>
      </w:r>
      <w:r>
        <w:t xml:space="preserve">is </w:t>
      </w:r>
      <w:r w:rsidRPr="00C861AA">
        <w:t xml:space="preserve">particularly strong </w:t>
      </w:r>
      <w:r>
        <w:t xml:space="preserve">or </w:t>
      </w:r>
      <w:r w:rsidRPr="00C861AA">
        <w:t xml:space="preserve">significant, </w:t>
      </w:r>
      <w:r>
        <w:t xml:space="preserve">indicating </w:t>
      </w:r>
      <w:r w:rsidRPr="00C861AA">
        <w:t xml:space="preserve">the existence of different points of view among </w:t>
      </w:r>
      <w:r>
        <w:t xml:space="preserve">the </w:t>
      </w:r>
      <w:r w:rsidRPr="00C861AA">
        <w:t xml:space="preserve">stakeholders. The </w:t>
      </w:r>
      <w:r w:rsidRPr="005A6B66">
        <w:t xml:space="preserve">quantitative result illustrates </w:t>
      </w:r>
      <w:r>
        <w:t xml:space="preserve">consistency between </w:t>
      </w:r>
      <w:r w:rsidRPr="005A6B66">
        <w:t xml:space="preserve">the preferences of </w:t>
      </w:r>
      <w:r>
        <w:t xml:space="preserve">the </w:t>
      </w:r>
      <w:r w:rsidRPr="005A6B66">
        <w:t xml:space="preserve">LAs and </w:t>
      </w:r>
      <w:r>
        <w:t xml:space="preserve">the </w:t>
      </w:r>
      <w:r w:rsidRPr="005A6B66">
        <w:t xml:space="preserve">two private companies. In contrast, </w:t>
      </w:r>
      <w:r>
        <w:t xml:space="preserve">the </w:t>
      </w:r>
      <w:r w:rsidRPr="005A6B66">
        <w:t xml:space="preserve">objectives </w:t>
      </w:r>
      <w:r>
        <w:t xml:space="preserve">of </w:t>
      </w:r>
      <w:r w:rsidRPr="005A6B66">
        <w:t xml:space="preserve">KTH </w:t>
      </w:r>
      <w:r>
        <w:t xml:space="preserve">are very different to those </w:t>
      </w:r>
      <w:r>
        <w:lastRenderedPageBreak/>
        <w:t xml:space="preserve">of the remaining </w:t>
      </w:r>
      <w:r w:rsidRPr="005A6B66">
        <w:t>stakeholders.</w:t>
      </w:r>
      <w:r w:rsidRPr="00983B5C">
        <w:t xml:space="preserve"> In Case 2, both Kendall's tau and Spearman's rho </w:t>
      </w:r>
      <w:r>
        <w:t xml:space="preserve">indicate a </w:t>
      </w:r>
      <w:r w:rsidRPr="00983B5C">
        <w:t>negative correlation between stakeholders’ preferences</w:t>
      </w:r>
      <w:bookmarkStart w:id="969" w:name="_Ref20293170"/>
      <w:r w:rsidRPr="00983B5C">
        <w:t xml:space="preserve">, </w:t>
      </w:r>
      <w:r>
        <w:t xml:space="preserve">with </w:t>
      </w:r>
      <w:r w:rsidRPr="00983B5C">
        <w:t xml:space="preserve">UPM and </w:t>
      </w:r>
      <w:r>
        <w:t>D</w:t>
      </w:r>
      <w:r w:rsidRPr="00983B5C">
        <w:t xml:space="preserve">RS </w:t>
      </w:r>
      <w:r>
        <w:t>being in conflict</w:t>
      </w:r>
      <w:r w:rsidRPr="00983B5C">
        <w:t>.</w:t>
      </w:r>
      <w:r w:rsidRPr="00C861AA">
        <w:t xml:space="preserve"> In Case 3, the two indexes display </w:t>
      </w:r>
      <w:r>
        <w:t xml:space="preserve">a </w:t>
      </w:r>
      <w:r w:rsidRPr="00C861AA">
        <w:t xml:space="preserve">significant correlation. </w:t>
      </w:r>
      <w:r>
        <w:t xml:space="preserve">This suggests that </w:t>
      </w:r>
      <w:r w:rsidRPr="005A6B66">
        <w:t>the preference</w:t>
      </w:r>
      <w:r>
        <w:t>s</w:t>
      </w:r>
      <w:r w:rsidRPr="005A6B66">
        <w:t xml:space="preserve"> of the three stakeholders are highly consistent. </w:t>
      </w:r>
      <w:r w:rsidRPr="00983B5C">
        <w:t xml:space="preserve">In Case 4, both Kendall's tau and Spearman's rho demonstrate a significant correlation </w:t>
      </w:r>
      <w:r>
        <w:t xml:space="preserve">between </w:t>
      </w:r>
      <w:r w:rsidRPr="00983B5C">
        <w:t xml:space="preserve">the preferences of PM and WHUT. </w:t>
      </w:r>
      <w:r w:rsidRPr="00147D68">
        <w:t xml:space="preserve">However, the </w:t>
      </w:r>
      <w:r w:rsidRPr="005D6F16">
        <w:t xml:space="preserve">results indicate </w:t>
      </w:r>
      <w:r w:rsidRPr="005D6F16">
        <w:rPr>
          <w:rFonts w:cs="Calibri"/>
        </w:rPr>
        <w:t>that the CR preference has no relationship with those of the other stakeholders, while the UCC operator and WHUT have a common objective. Conversely, there is no consistency between the preferences of these two stakeholders and the UCC sponsor.</w:t>
      </w:r>
      <w:r w:rsidRPr="005A6B66">
        <w:rPr>
          <w:rFonts w:cs="Calibri"/>
        </w:rPr>
        <w:t xml:space="preserve"> </w:t>
      </w:r>
      <w:bookmarkEnd w:id="969"/>
      <w:r w:rsidRPr="005A6B66">
        <w:t xml:space="preserve"> </w:t>
      </w:r>
    </w:p>
    <w:p w14:paraId="0460099F" w14:textId="77777777" w:rsidR="005F665E" w:rsidRPr="005A6B66" w:rsidRDefault="005F665E" w:rsidP="00EC2BE5">
      <w:pPr>
        <w:spacing w:after="240" w:line="360" w:lineRule="auto"/>
        <w:rPr>
          <w:lang w:val="en-US"/>
        </w:rPr>
        <w:sectPr w:rsidR="005F665E" w:rsidRPr="005A6B66" w:rsidSect="00D779AC">
          <w:pgSz w:w="11906" w:h="16838"/>
          <w:pgMar w:top="1440" w:right="1440" w:bottom="1440" w:left="1440" w:header="720" w:footer="288" w:gutter="0"/>
          <w:cols w:space="708"/>
          <w:docGrid w:linePitch="360"/>
        </w:sectPr>
      </w:pPr>
      <w:r>
        <w:rPr>
          <w:lang w:val="en-US"/>
        </w:rPr>
        <w:t>The q</w:t>
      </w:r>
      <w:r w:rsidRPr="005A6B66">
        <w:rPr>
          <w:lang w:val="en-US"/>
        </w:rPr>
        <w:t xml:space="preserve">uantitative results illustrate the </w:t>
      </w:r>
      <w:r>
        <w:rPr>
          <w:lang w:val="en-US"/>
        </w:rPr>
        <w:t xml:space="preserve">strength </w:t>
      </w:r>
      <w:r w:rsidRPr="005A6B66">
        <w:rPr>
          <w:lang w:val="en-US"/>
        </w:rPr>
        <w:t>of the disagreement between each pair of stakeholders in different cases</w:t>
      </w:r>
      <w:r>
        <w:rPr>
          <w:lang w:val="en-US"/>
        </w:rPr>
        <w:t>. In practice,</w:t>
      </w:r>
      <w:r w:rsidRPr="00983B5C">
        <w:t xml:space="preserve"> the lower </w:t>
      </w:r>
      <w:r>
        <w:t xml:space="preserve">the </w:t>
      </w:r>
      <w:r w:rsidRPr="00983B5C">
        <w:t xml:space="preserve">score </w:t>
      </w:r>
      <w:r>
        <w:t xml:space="preserve">for </w:t>
      </w:r>
      <w:r w:rsidRPr="00983B5C">
        <w:t xml:space="preserve">each pair of stakeholders, the higher </w:t>
      </w:r>
      <w:r>
        <w:t xml:space="preserve">the </w:t>
      </w:r>
      <w:r w:rsidRPr="00983B5C">
        <w:t xml:space="preserve">degree of </w:t>
      </w:r>
      <w:r>
        <w:t>disagreement</w:t>
      </w:r>
      <w:r w:rsidRPr="00983B5C">
        <w:t xml:space="preserve"> between the</w:t>
      </w:r>
      <w:r w:rsidRPr="00983B5C">
        <w:rPr>
          <w:rFonts w:hint="eastAsia"/>
        </w:rPr>
        <w:t>m</w:t>
      </w:r>
      <w:r w:rsidRPr="00983B5C">
        <w:t>.</w:t>
      </w:r>
      <w:r w:rsidRPr="005A6B66">
        <w:rPr>
          <w:lang w:val="en-US"/>
        </w:rPr>
        <w:t xml:space="preserve"> </w:t>
      </w:r>
      <w:r>
        <w:rPr>
          <w:lang w:val="en-US"/>
        </w:rPr>
        <w:t>These findings can thus facilitate</w:t>
      </w:r>
      <w:r w:rsidRPr="005A6B66">
        <w:rPr>
          <w:lang w:val="en-US"/>
        </w:rPr>
        <w:t xml:space="preserve"> UCC planners </w:t>
      </w:r>
      <w:r>
        <w:rPr>
          <w:lang w:val="en-US"/>
        </w:rPr>
        <w:t xml:space="preserve">seeking </w:t>
      </w:r>
      <w:r w:rsidRPr="005A6B66">
        <w:rPr>
          <w:lang w:val="en-US"/>
        </w:rPr>
        <w:t>insight</w:t>
      </w:r>
      <w:r>
        <w:rPr>
          <w:lang w:val="en-US"/>
        </w:rPr>
        <w:t>s</w:t>
      </w:r>
      <w:r w:rsidRPr="005A6B66">
        <w:rPr>
          <w:lang w:val="en-US"/>
        </w:rPr>
        <w:t xml:space="preserve"> </w:t>
      </w:r>
      <w:r>
        <w:rPr>
          <w:lang w:val="en-US"/>
        </w:rPr>
        <w:t xml:space="preserve">into </w:t>
      </w:r>
      <w:r w:rsidRPr="005A6B66">
        <w:rPr>
          <w:lang w:val="en-US"/>
        </w:rPr>
        <w:t xml:space="preserve">the intensity of the stakeholder conflicts. Furthermore, </w:t>
      </w:r>
      <w:r>
        <w:rPr>
          <w:lang w:val="en-US"/>
        </w:rPr>
        <w:t xml:space="preserve">the </w:t>
      </w:r>
      <w:r w:rsidRPr="005A6B66">
        <w:rPr>
          <w:lang w:val="en-US"/>
        </w:rPr>
        <w:t xml:space="preserve">quantitative results could </w:t>
      </w:r>
      <w:r>
        <w:rPr>
          <w:lang w:val="en-US"/>
        </w:rPr>
        <w:t xml:space="preserve">highlight </w:t>
      </w:r>
      <w:r w:rsidRPr="005A6B66">
        <w:rPr>
          <w:lang w:val="en-US"/>
        </w:rPr>
        <w:t xml:space="preserve">the potential </w:t>
      </w:r>
      <w:r>
        <w:rPr>
          <w:lang w:val="en-US"/>
        </w:rPr>
        <w:t xml:space="preserve">points of </w:t>
      </w:r>
      <w:r w:rsidRPr="005A6B66">
        <w:rPr>
          <w:lang w:val="en-US"/>
        </w:rPr>
        <w:t xml:space="preserve">conflict </w:t>
      </w:r>
      <w:r>
        <w:rPr>
          <w:lang w:val="en-US"/>
        </w:rPr>
        <w:t xml:space="preserve">that </w:t>
      </w:r>
      <w:r w:rsidRPr="005A6B66">
        <w:rPr>
          <w:lang w:val="en-US"/>
        </w:rPr>
        <w:t>concern different stakeholders</w:t>
      </w:r>
      <w:r>
        <w:rPr>
          <w:lang w:val="en-US"/>
        </w:rPr>
        <w:t>.</w:t>
      </w:r>
      <w:r w:rsidRPr="005A6B66">
        <w:rPr>
          <w:lang w:val="en-US"/>
        </w:rPr>
        <w:t xml:space="preserve"> </w:t>
      </w:r>
      <w:r>
        <w:rPr>
          <w:lang w:val="en-US"/>
        </w:rPr>
        <w:t>F</w:t>
      </w:r>
      <w:r w:rsidRPr="005A6B66">
        <w:rPr>
          <w:lang w:val="en-US"/>
        </w:rPr>
        <w:t xml:space="preserve">or example, according to Table 10, UCC planners in </w:t>
      </w:r>
      <w:r>
        <w:rPr>
          <w:lang w:val="en-US"/>
        </w:rPr>
        <w:t>C</w:t>
      </w:r>
      <w:r w:rsidRPr="005A6B66">
        <w:rPr>
          <w:lang w:val="en-US"/>
        </w:rPr>
        <w:t>ase 2</w:t>
      </w:r>
      <w:r>
        <w:rPr>
          <w:lang w:val="en-US"/>
        </w:rPr>
        <w:t xml:space="preserve"> should </w:t>
      </w:r>
      <w:r w:rsidRPr="005A6B66">
        <w:rPr>
          <w:lang w:val="en-US"/>
        </w:rPr>
        <w:t xml:space="preserve">be aware the sponsor and operator have a significant disagreement </w:t>
      </w:r>
      <w:r>
        <w:rPr>
          <w:lang w:val="en-US"/>
        </w:rPr>
        <w:t xml:space="preserve">about </w:t>
      </w:r>
      <w:r w:rsidRPr="005A6B66">
        <w:rPr>
          <w:lang w:val="en-US"/>
        </w:rPr>
        <w:t xml:space="preserve">the importance of </w:t>
      </w:r>
      <w:r>
        <w:rPr>
          <w:lang w:val="en-US"/>
        </w:rPr>
        <w:t xml:space="preserve">the </w:t>
      </w:r>
      <w:r w:rsidRPr="005A6B66">
        <w:rPr>
          <w:lang w:val="en-US"/>
        </w:rPr>
        <w:t>TLR indicator. Thus</w:t>
      </w:r>
      <w:r>
        <w:rPr>
          <w:lang w:val="en-US"/>
        </w:rPr>
        <w:t>,</w:t>
      </w:r>
      <w:r w:rsidRPr="005A6B66">
        <w:rPr>
          <w:lang w:val="en-US"/>
        </w:rPr>
        <w:t xml:space="preserve"> planner</w:t>
      </w:r>
      <w:r>
        <w:rPr>
          <w:lang w:val="en-US"/>
        </w:rPr>
        <w:t>s</w:t>
      </w:r>
      <w:r w:rsidRPr="005A6B66">
        <w:rPr>
          <w:lang w:val="en-US"/>
        </w:rPr>
        <w:t xml:space="preserve"> could </w:t>
      </w:r>
      <w:proofErr w:type="spellStart"/>
      <w:r w:rsidRPr="005A6B66">
        <w:rPr>
          <w:lang w:val="en-US"/>
        </w:rPr>
        <w:t>organise</w:t>
      </w:r>
      <w:proofErr w:type="spellEnd"/>
      <w:r w:rsidRPr="005A6B66">
        <w:rPr>
          <w:lang w:val="en-US"/>
        </w:rPr>
        <w:t xml:space="preserve"> </w:t>
      </w:r>
      <w:r>
        <w:rPr>
          <w:lang w:val="en-US"/>
        </w:rPr>
        <w:t xml:space="preserve">for </w:t>
      </w:r>
      <w:r w:rsidRPr="005A6B66">
        <w:rPr>
          <w:lang w:val="en-US"/>
        </w:rPr>
        <w:t xml:space="preserve">these stakeholders </w:t>
      </w:r>
      <w:r>
        <w:rPr>
          <w:lang w:val="en-US"/>
        </w:rPr>
        <w:t xml:space="preserve">to share </w:t>
      </w:r>
      <w:r w:rsidRPr="005A6B66">
        <w:rPr>
          <w:lang w:val="en-US"/>
        </w:rPr>
        <w:t xml:space="preserve">their concerns </w:t>
      </w:r>
      <w:r>
        <w:rPr>
          <w:lang w:val="en-US"/>
        </w:rPr>
        <w:t xml:space="preserve">and </w:t>
      </w:r>
      <w:r w:rsidRPr="005A6B66">
        <w:rPr>
          <w:lang w:val="en-US"/>
        </w:rPr>
        <w:t xml:space="preserve">seek a compromise to satisfy </w:t>
      </w:r>
      <w:r>
        <w:rPr>
          <w:lang w:val="en-US"/>
        </w:rPr>
        <w:t xml:space="preserve">their respective </w:t>
      </w:r>
      <w:r w:rsidRPr="005A6B66">
        <w:rPr>
          <w:lang w:val="en-US"/>
        </w:rPr>
        <w:t xml:space="preserve">requirements </w:t>
      </w:r>
      <w:r>
        <w:rPr>
          <w:lang w:val="en-US"/>
        </w:rPr>
        <w:t xml:space="preserve">at the </w:t>
      </w:r>
      <w:r w:rsidRPr="005A6B66">
        <w:rPr>
          <w:lang w:val="en-US"/>
        </w:rPr>
        <w:t>project</w:t>
      </w:r>
      <w:r>
        <w:rPr>
          <w:lang w:val="en-US"/>
        </w:rPr>
        <w:t>-</w:t>
      </w:r>
      <w:r w:rsidRPr="005A6B66">
        <w:rPr>
          <w:lang w:val="en-US"/>
        </w:rPr>
        <w:t xml:space="preserve">planning stage. </w:t>
      </w:r>
    </w:p>
    <w:p w14:paraId="735DC1E5" w14:textId="77777777" w:rsidR="005F665E" w:rsidRPr="00044DEC" w:rsidRDefault="005F665E" w:rsidP="00044DEC">
      <w:pPr>
        <w:pStyle w:val="Caption"/>
        <w:keepNext/>
      </w:pPr>
      <w:bookmarkStart w:id="970" w:name="_Ref20294192"/>
      <w:bookmarkEnd w:id="968"/>
    </w:p>
    <w:tbl>
      <w:tblPr>
        <w:tblW w:w="13648" w:type="dxa"/>
        <w:tblLook w:val="04A0" w:firstRow="1" w:lastRow="0" w:firstColumn="1" w:lastColumn="0" w:noHBand="0" w:noVBand="1"/>
      </w:tblPr>
      <w:tblGrid>
        <w:gridCol w:w="1516"/>
        <w:gridCol w:w="513"/>
        <w:gridCol w:w="498"/>
        <w:gridCol w:w="513"/>
        <w:gridCol w:w="498"/>
        <w:gridCol w:w="513"/>
        <w:gridCol w:w="498"/>
        <w:gridCol w:w="513"/>
        <w:gridCol w:w="498"/>
        <w:gridCol w:w="513"/>
        <w:gridCol w:w="498"/>
        <w:gridCol w:w="513"/>
        <w:gridCol w:w="498"/>
        <w:gridCol w:w="513"/>
        <w:gridCol w:w="498"/>
        <w:gridCol w:w="513"/>
        <w:gridCol w:w="498"/>
        <w:gridCol w:w="513"/>
        <w:gridCol w:w="498"/>
        <w:gridCol w:w="513"/>
        <w:gridCol w:w="498"/>
        <w:gridCol w:w="513"/>
        <w:gridCol w:w="498"/>
        <w:gridCol w:w="513"/>
        <w:gridCol w:w="498"/>
      </w:tblGrid>
      <w:tr w:rsidR="005F665E" w:rsidRPr="00BA0B57" w14:paraId="07BB4518" w14:textId="77777777" w:rsidTr="00D66FFA">
        <w:trPr>
          <w:trHeight w:val="300"/>
        </w:trPr>
        <w:tc>
          <w:tcPr>
            <w:tcW w:w="1516"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6EE463AD" w14:textId="77777777" w:rsidR="005F665E" w:rsidRPr="00BA0B57" w:rsidRDefault="005F665E" w:rsidP="00BA0B57">
            <w:pPr>
              <w:spacing w:line="240" w:lineRule="auto"/>
              <w:jc w:val="center"/>
              <w:rPr>
                <w:rFonts w:ascii="Garamond" w:eastAsia="Times New Roman" w:hAnsi="Garamond" w:cs="Calibri"/>
                <w:b/>
                <w:bCs/>
                <w:color w:val="000000"/>
                <w:szCs w:val="24"/>
              </w:rPr>
            </w:pPr>
            <w:r w:rsidRPr="00BA0B57">
              <w:rPr>
                <w:rFonts w:ascii="Garamond" w:eastAsia="Times New Roman" w:hAnsi="Garamond" w:cs="Calibri"/>
                <w:b/>
                <w:bCs/>
                <w:color w:val="000000"/>
                <w:szCs w:val="24"/>
              </w:rPr>
              <w:t>Stakeholders</w:t>
            </w:r>
          </w:p>
        </w:tc>
        <w:tc>
          <w:tcPr>
            <w:tcW w:w="4044" w:type="dxa"/>
            <w:gridSpan w:val="8"/>
            <w:tcBorders>
              <w:top w:val="single" w:sz="4" w:space="0" w:color="auto"/>
              <w:left w:val="nil"/>
              <w:bottom w:val="single" w:sz="4" w:space="0" w:color="auto"/>
              <w:right w:val="single" w:sz="4" w:space="0" w:color="auto"/>
            </w:tcBorders>
            <w:shd w:val="clear" w:color="auto" w:fill="auto"/>
            <w:noWrap/>
            <w:vAlign w:val="bottom"/>
            <w:hideMark/>
          </w:tcPr>
          <w:p w14:paraId="4AD0DCDB" w14:textId="77777777" w:rsidR="005F665E" w:rsidRPr="00BA0B57" w:rsidRDefault="005F665E" w:rsidP="00BA0B57">
            <w:pPr>
              <w:spacing w:line="240" w:lineRule="auto"/>
              <w:jc w:val="center"/>
              <w:rPr>
                <w:rFonts w:ascii="Garamond" w:eastAsia="Times New Roman" w:hAnsi="Garamond" w:cs="Calibri"/>
                <w:b/>
                <w:bCs/>
                <w:color w:val="000000"/>
                <w:szCs w:val="24"/>
              </w:rPr>
            </w:pPr>
            <w:r w:rsidRPr="00BA0B57">
              <w:rPr>
                <w:rFonts w:ascii="Garamond" w:eastAsia="Times New Roman" w:hAnsi="Garamond" w:cs="Calibri"/>
                <w:b/>
                <w:bCs/>
                <w:color w:val="000000"/>
                <w:szCs w:val="24"/>
              </w:rPr>
              <w:t>Case 1</w:t>
            </w:r>
          </w:p>
        </w:tc>
        <w:tc>
          <w:tcPr>
            <w:tcW w:w="2022" w:type="dxa"/>
            <w:gridSpan w:val="4"/>
            <w:tcBorders>
              <w:top w:val="single" w:sz="4" w:space="0" w:color="auto"/>
              <w:left w:val="nil"/>
              <w:bottom w:val="single" w:sz="4" w:space="0" w:color="auto"/>
              <w:right w:val="single" w:sz="4" w:space="0" w:color="auto"/>
            </w:tcBorders>
            <w:shd w:val="clear" w:color="auto" w:fill="auto"/>
            <w:noWrap/>
            <w:vAlign w:val="bottom"/>
            <w:hideMark/>
          </w:tcPr>
          <w:p w14:paraId="49B5A4E2" w14:textId="77777777" w:rsidR="005F665E" w:rsidRPr="00BA0B57" w:rsidRDefault="005F665E" w:rsidP="00BA0B57">
            <w:pPr>
              <w:spacing w:line="240" w:lineRule="auto"/>
              <w:jc w:val="center"/>
              <w:rPr>
                <w:rFonts w:ascii="Garamond" w:eastAsia="Times New Roman" w:hAnsi="Garamond" w:cs="Calibri"/>
                <w:b/>
                <w:bCs/>
                <w:color w:val="000000"/>
                <w:szCs w:val="24"/>
              </w:rPr>
            </w:pPr>
            <w:r w:rsidRPr="00BA0B57">
              <w:rPr>
                <w:rFonts w:ascii="Garamond" w:eastAsia="Times New Roman" w:hAnsi="Garamond" w:cs="Calibri"/>
                <w:b/>
                <w:bCs/>
                <w:color w:val="000000"/>
                <w:szCs w:val="24"/>
              </w:rPr>
              <w:t>Case 2</w:t>
            </w:r>
          </w:p>
        </w:tc>
        <w:tc>
          <w:tcPr>
            <w:tcW w:w="3033" w:type="dxa"/>
            <w:gridSpan w:val="6"/>
            <w:tcBorders>
              <w:top w:val="single" w:sz="4" w:space="0" w:color="auto"/>
              <w:left w:val="nil"/>
              <w:bottom w:val="single" w:sz="4" w:space="0" w:color="auto"/>
              <w:right w:val="single" w:sz="4" w:space="0" w:color="auto"/>
            </w:tcBorders>
            <w:shd w:val="clear" w:color="auto" w:fill="auto"/>
            <w:noWrap/>
            <w:vAlign w:val="bottom"/>
            <w:hideMark/>
          </w:tcPr>
          <w:p w14:paraId="58835E72" w14:textId="77777777" w:rsidR="005F665E" w:rsidRPr="00BA0B57" w:rsidRDefault="005F665E" w:rsidP="00BA0B57">
            <w:pPr>
              <w:spacing w:line="240" w:lineRule="auto"/>
              <w:jc w:val="center"/>
              <w:rPr>
                <w:rFonts w:ascii="Garamond" w:eastAsia="Times New Roman" w:hAnsi="Garamond" w:cs="Calibri"/>
                <w:b/>
                <w:bCs/>
                <w:color w:val="000000"/>
                <w:szCs w:val="24"/>
              </w:rPr>
            </w:pPr>
            <w:r w:rsidRPr="00BA0B57">
              <w:rPr>
                <w:rFonts w:ascii="Garamond" w:eastAsia="Times New Roman" w:hAnsi="Garamond" w:cs="Calibri"/>
                <w:b/>
                <w:bCs/>
                <w:color w:val="000000"/>
                <w:szCs w:val="24"/>
              </w:rPr>
              <w:t>Case 3</w:t>
            </w:r>
          </w:p>
        </w:tc>
        <w:tc>
          <w:tcPr>
            <w:tcW w:w="3033" w:type="dxa"/>
            <w:gridSpan w:val="6"/>
            <w:tcBorders>
              <w:top w:val="single" w:sz="4" w:space="0" w:color="auto"/>
              <w:left w:val="nil"/>
              <w:bottom w:val="single" w:sz="4" w:space="0" w:color="auto"/>
              <w:right w:val="single" w:sz="4" w:space="0" w:color="auto"/>
            </w:tcBorders>
            <w:shd w:val="clear" w:color="auto" w:fill="auto"/>
            <w:noWrap/>
            <w:vAlign w:val="bottom"/>
            <w:hideMark/>
          </w:tcPr>
          <w:p w14:paraId="42CB2E47" w14:textId="77777777" w:rsidR="005F665E" w:rsidRPr="00BA0B57" w:rsidRDefault="005F665E" w:rsidP="00BA0B57">
            <w:pPr>
              <w:spacing w:line="240" w:lineRule="auto"/>
              <w:jc w:val="center"/>
              <w:rPr>
                <w:rFonts w:ascii="Garamond" w:eastAsia="Times New Roman" w:hAnsi="Garamond" w:cs="Calibri"/>
                <w:b/>
                <w:bCs/>
                <w:color w:val="000000"/>
                <w:szCs w:val="24"/>
              </w:rPr>
            </w:pPr>
            <w:r w:rsidRPr="00BA0B57">
              <w:rPr>
                <w:rFonts w:ascii="Garamond" w:eastAsia="Times New Roman" w:hAnsi="Garamond" w:cs="Calibri"/>
                <w:b/>
                <w:bCs/>
                <w:color w:val="000000"/>
                <w:szCs w:val="24"/>
              </w:rPr>
              <w:t>Case 4</w:t>
            </w:r>
          </w:p>
        </w:tc>
      </w:tr>
      <w:tr w:rsidR="005F665E" w:rsidRPr="00BA0B57" w14:paraId="14E5963C" w14:textId="77777777" w:rsidTr="00D66FFA">
        <w:trPr>
          <w:trHeight w:val="300"/>
        </w:trPr>
        <w:tc>
          <w:tcPr>
            <w:tcW w:w="1516" w:type="dxa"/>
            <w:vMerge/>
            <w:tcBorders>
              <w:top w:val="single" w:sz="4" w:space="0" w:color="auto"/>
              <w:left w:val="single" w:sz="4" w:space="0" w:color="auto"/>
              <w:bottom w:val="single" w:sz="4" w:space="0" w:color="auto"/>
              <w:right w:val="single" w:sz="4" w:space="0" w:color="auto"/>
            </w:tcBorders>
            <w:vAlign w:val="center"/>
            <w:hideMark/>
          </w:tcPr>
          <w:p w14:paraId="36566164" w14:textId="77777777" w:rsidR="005F665E" w:rsidRPr="00BA0B57" w:rsidRDefault="005F665E" w:rsidP="00BA0B57">
            <w:pPr>
              <w:spacing w:line="240" w:lineRule="auto"/>
              <w:jc w:val="left"/>
              <w:rPr>
                <w:rFonts w:ascii="Garamond" w:eastAsia="Times New Roman" w:hAnsi="Garamond" w:cs="Calibri"/>
                <w:b/>
                <w:bCs/>
                <w:color w:val="000000"/>
                <w:szCs w:val="24"/>
              </w:rPr>
            </w:pPr>
          </w:p>
        </w:tc>
        <w:tc>
          <w:tcPr>
            <w:tcW w:w="1011"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AE31198" w14:textId="77777777" w:rsidR="005F665E" w:rsidRPr="00BA0B57" w:rsidRDefault="005F665E" w:rsidP="00BA0B57">
            <w:pPr>
              <w:spacing w:line="240" w:lineRule="auto"/>
              <w:jc w:val="center"/>
              <w:rPr>
                <w:rFonts w:ascii="Garamond" w:eastAsia="Times New Roman" w:hAnsi="Garamond" w:cs="Calibri"/>
                <w:b/>
                <w:bCs/>
                <w:color w:val="000000"/>
                <w:szCs w:val="24"/>
              </w:rPr>
            </w:pPr>
            <w:r w:rsidRPr="00BA0B57">
              <w:rPr>
                <w:rFonts w:ascii="Garamond" w:eastAsia="Times New Roman" w:hAnsi="Garamond" w:cs="Calibri"/>
                <w:b/>
                <w:bCs/>
                <w:color w:val="000000"/>
                <w:szCs w:val="24"/>
              </w:rPr>
              <w:t>SS</w:t>
            </w:r>
          </w:p>
        </w:tc>
        <w:tc>
          <w:tcPr>
            <w:tcW w:w="1011"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426CD02" w14:textId="77777777" w:rsidR="005F665E" w:rsidRPr="00BA0B57" w:rsidRDefault="005F665E" w:rsidP="00BA0B57">
            <w:pPr>
              <w:spacing w:line="240" w:lineRule="auto"/>
              <w:jc w:val="center"/>
              <w:rPr>
                <w:rFonts w:ascii="Garamond" w:eastAsia="Times New Roman" w:hAnsi="Garamond" w:cs="Calibri"/>
                <w:b/>
                <w:bCs/>
                <w:color w:val="000000"/>
                <w:szCs w:val="24"/>
              </w:rPr>
            </w:pPr>
            <w:r w:rsidRPr="00BA0B57">
              <w:rPr>
                <w:rFonts w:ascii="Garamond" w:eastAsia="Times New Roman" w:hAnsi="Garamond" w:cs="Calibri"/>
                <w:b/>
                <w:bCs/>
                <w:color w:val="000000"/>
                <w:szCs w:val="24"/>
              </w:rPr>
              <w:t>WCC</w:t>
            </w:r>
          </w:p>
        </w:tc>
        <w:tc>
          <w:tcPr>
            <w:tcW w:w="1011"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F93A8EF" w14:textId="77777777" w:rsidR="005F665E" w:rsidRPr="00BA0B57" w:rsidRDefault="005F665E" w:rsidP="00BA0B57">
            <w:pPr>
              <w:spacing w:line="240" w:lineRule="auto"/>
              <w:jc w:val="center"/>
              <w:rPr>
                <w:rFonts w:ascii="Garamond" w:eastAsia="Times New Roman" w:hAnsi="Garamond" w:cs="Calibri"/>
                <w:b/>
                <w:bCs/>
                <w:color w:val="000000"/>
                <w:szCs w:val="24"/>
              </w:rPr>
            </w:pPr>
            <w:r w:rsidRPr="00BA0B57">
              <w:rPr>
                <w:rFonts w:ascii="Garamond" w:eastAsia="Times New Roman" w:hAnsi="Garamond" w:cs="Calibri"/>
                <w:b/>
                <w:bCs/>
                <w:color w:val="000000"/>
                <w:szCs w:val="24"/>
              </w:rPr>
              <w:t>LC</w:t>
            </w:r>
          </w:p>
        </w:tc>
        <w:tc>
          <w:tcPr>
            <w:tcW w:w="1011"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EC49F2F" w14:textId="77777777" w:rsidR="005F665E" w:rsidRPr="00BA0B57" w:rsidRDefault="005F665E" w:rsidP="00BA0B57">
            <w:pPr>
              <w:spacing w:line="240" w:lineRule="auto"/>
              <w:jc w:val="center"/>
              <w:rPr>
                <w:rFonts w:ascii="Garamond" w:eastAsia="Times New Roman" w:hAnsi="Garamond" w:cs="Calibri"/>
                <w:b/>
                <w:bCs/>
                <w:color w:val="000000"/>
                <w:szCs w:val="24"/>
              </w:rPr>
            </w:pPr>
            <w:r w:rsidRPr="00BA0B57">
              <w:rPr>
                <w:rFonts w:ascii="Garamond" w:eastAsia="Times New Roman" w:hAnsi="Garamond" w:cs="Calibri"/>
                <w:b/>
                <w:bCs/>
                <w:color w:val="000000"/>
                <w:szCs w:val="24"/>
              </w:rPr>
              <w:t>KTH</w:t>
            </w:r>
          </w:p>
        </w:tc>
        <w:tc>
          <w:tcPr>
            <w:tcW w:w="1011"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81B970D" w14:textId="77777777" w:rsidR="005F665E" w:rsidRPr="00BA0B57" w:rsidRDefault="005F665E" w:rsidP="00BA0B57">
            <w:pPr>
              <w:spacing w:line="240" w:lineRule="auto"/>
              <w:jc w:val="center"/>
              <w:rPr>
                <w:rFonts w:ascii="Garamond" w:eastAsia="Times New Roman" w:hAnsi="Garamond" w:cs="Calibri"/>
                <w:b/>
                <w:bCs/>
                <w:color w:val="000000"/>
                <w:szCs w:val="24"/>
              </w:rPr>
            </w:pPr>
            <w:r w:rsidRPr="00BA0B57">
              <w:rPr>
                <w:rFonts w:ascii="Garamond" w:eastAsia="Times New Roman" w:hAnsi="Garamond" w:cs="Calibri"/>
                <w:b/>
                <w:bCs/>
                <w:color w:val="000000"/>
                <w:szCs w:val="24"/>
              </w:rPr>
              <w:t>UPM</w:t>
            </w:r>
          </w:p>
        </w:tc>
        <w:tc>
          <w:tcPr>
            <w:tcW w:w="1011"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57ECAC7" w14:textId="77777777" w:rsidR="005F665E" w:rsidRPr="00BA0B57" w:rsidRDefault="005F665E" w:rsidP="00BA0B57">
            <w:pPr>
              <w:spacing w:line="240" w:lineRule="auto"/>
              <w:jc w:val="center"/>
              <w:rPr>
                <w:rFonts w:ascii="Garamond" w:eastAsia="Times New Roman" w:hAnsi="Garamond" w:cs="Calibri"/>
                <w:b/>
                <w:bCs/>
                <w:color w:val="000000"/>
                <w:szCs w:val="24"/>
              </w:rPr>
            </w:pPr>
            <w:r w:rsidRPr="00BA0B57">
              <w:rPr>
                <w:rFonts w:ascii="Garamond" w:eastAsia="Times New Roman" w:hAnsi="Garamond" w:cs="Calibri"/>
                <w:b/>
                <w:bCs/>
                <w:color w:val="000000"/>
                <w:szCs w:val="24"/>
                <w:lang w:val="en-US"/>
              </w:rPr>
              <w:t>D</w:t>
            </w:r>
            <w:r w:rsidRPr="00BA0B57">
              <w:rPr>
                <w:rFonts w:ascii="Garamond" w:eastAsia="Times New Roman" w:hAnsi="Garamond" w:cs="Calibri"/>
                <w:b/>
                <w:bCs/>
                <w:color w:val="000000"/>
                <w:szCs w:val="24"/>
              </w:rPr>
              <w:t>RS</w:t>
            </w:r>
          </w:p>
        </w:tc>
        <w:tc>
          <w:tcPr>
            <w:tcW w:w="1011"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C361446" w14:textId="77777777" w:rsidR="005F665E" w:rsidRPr="00BA0B57" w:rsidRDefault="005F665E" w:rsidP="00BA0B57">
            <w:pPr>
              <w:spacing w:line="240" w:lineRule="auto"/>
              <w:jc w:val="center"/>
              <w:rPr>
                <w:rFonts w:ascii="Garamond" w:eastAsia="Times New Roman" w:hAnsi="Garamond" w:cs="Calibri"/>
                <w:b/>
                <w:bCs/>
                <w:color w:val="000000"/>
                <w:szCs w:val="24"/>
              </w:rPr>
            </w:pPr>
            <w:r w:rsidRPr="00BA0B57">
              <w:rPr>
                <w:rFonts w:ascii="Garamond" w:eastAsia="Times New Roman" w:hAnsi="Garamond" w:cs="Calibri"/>
                <w:b/>
                <w:bCs/>
                <w:color w:val="000000"/>
                <w:szCs w:val="24"/>
              </w:rPr>
              <w:t>UE</w:t>
            </w:r>
          </w:p>
        </w:tc>
        <w:tc>
          <w:tcPr>
            <w:tcW w:w="1011"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1B4B56B" w14:textId="77777777" w:rsidR="005F665E" w:rsidRPr="00BA0B57" w:rsidRDefault="005F665E" w:rsidP="00BA0B57">
            <w:pPr>
              <w:spacing w:line="240" w:lineRule="auto"/>
              <w:jc w:val="center"/>
              <w:rPr>
                <w:rFonts w:ascii="Garamond" w:eastAsia="Times New Roman" w:hAnsi="Garamond" w:cs="Calibri"/>
                <w:b/>
                <w:bCs/>
                <w:color w:val="000000"/>
                <w:szCs w:val="24"/>
              </w:rPr>
            </w:pPr>
            <w:r w:rsidRPr="00BA0B57">
              <w:rPr>
                <w:rFonts w:ascii="Garamond" w:eastAsia="Times New Roman" w:hAnsi="Garamond" w:cs="Calibri"/>
                <w:b/>
                <w:bCs/>
                <w:color w:val="000000"/>
                <w:szCs w:val="24"/>
              </w:rPr>
              <w:t>HWD</w:t>
            </w:r>
          </w:p>
        </w:tc>
        <w:tc>
          <w:tcPr>
            <w:tcW w:w="1011"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CA0AA9A" w14:textId="77777777" w:rsidR="005F665E" w:rsidRPr="00BA0B57" w:rsidRDefault="005F665E" w:rsidP="00BA0B57">
            <w:pPr>
              <w:spacing w:line="240" w:lineRule="auto"/>
              <w:jc w:val="center"/>
              <w:rPr>
                <w:rFonts w:ascii="Garamond" w:eastAsia="Times New Roman" w:hAnsi="Garamond" w:cs="Calibri"/>
                <w:b/>
                <w:bCs/>
                <w:color w:val="000000"/>
                <w:szCs w:val="24"/>
              </w:rPr>
            </w:pPr>
            <w:r w:rsidRPr="00BA0B57">
              <w:rPr>
                <w:rFonts w:ascii="Garamond" w:eastAsia="Times New Roman" w:hAnsi="Garamond" w:cs="Calibri"/>
                <w:b/>
                <w:bCs/>
                <w:color w:val="000000"/>
                <w:szCs w:val="24"/>
              </w:rPr>
              <w:t>HDD</w:t>
            </w:r>
          </w:p>
        </w:tc>
        <w:tc>
          <w:tcPr>
            <w:tcW w:w="1011"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ABDC2E4" w14:textId="77777777" w:rsidR="005F665E" w:rsidRPr="00BA0B57" w:rsidRDefault="005F665E" w:rsidP="00BA0B57">
            <w:pPr>
              <w:spacing w:line="240" w:lineRule="auto"/>
              <w:jc w:val="center"/>
              <w:rPr>
                <w:rFonts w:ascii="Garamond" w:eastAsia="Times New Roman" w:hAnsi="Garamond" w:cs="Calibri"/>
                <w:b/>
                <w:bCs/>
                <w:color w:val="000000"/>
                <w:szCs w:val="24"/>
              </w:rPr>
            </w:pPr>
            <w:r w:rsidRPr="00BA0B57">
              <w:rPr>
                <w:rFonts w:ascii="Garamond" w:eastAsia="Times New Roman" w:hAnsi="Garamond" w:cs="Calibri"/>
                <w:b/>
                <w:bCs/>
                <w:color w:val="000000"/>
                <w:szCs w:val="24"/>
              </w:rPr>
              <w:t>CR</w:t>
            </w:r>
          </w:p>
        </w:tc>
        <w:tc>
          <w:tcPr>
            <w:tcW w:w="1011"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CEA82B6" w14:textId="77777777" w:rsidR="005F665E" w:rsidRPr="00BA0B57" w:rsidRDefault="005F665E" w:rsidP="00BA0B57">
            <w:pPr>
              <w:spacing w:line="240" w:lineRule="auto"/>
              <w:jc w:val="center"/>
              <w:rPr>
                <w:rFonts w:ascii="Garamond" w:eastAsia="Times New Roman" w:hAnsi="Garamond" w:cs="Calibri"/>
                <w:b/>
                <w:bCs/>
                <w:color w:val="000000"/>
                <w:szCs w:val="24"/>
              </w:rPr>
            </w:pPr>
            <w:r w:rsidRPr="00BA0B57">
              <w:rPr>
                <w:rFonts w:ascii="Garamond" w:eastAsia="Times New Roman" w:hAnsi="Garamond" w:cs="Calibri"/>
                <w:b/>
                <w:bCs/>
                <w:color w:val="000000"/>
                <w:szCs w:val="24"/>
              </w:rPr>
              <w:t>PM</w:t>
            </w:r>
          </w:p>
        </w:tc>
        <w:tc>
          <w:tcPr>
            <w:tcW w:w="1011"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BA570CE" w14:textId="77777777" w:rsidR="005F665E" w:rsidRPr="00BA0B57" w:rsidRDefault="005F665E" w:rsidP="00BA0B57">
            <w:pPr>
              <w:spacing w:line="240" w:lineRule="auto"/>
              <w:jc w:val="center"/>
              <w:rPr>
                <w:rFonts w:ascii="Garamond" w:eastAsia="Times New Roman" w:hAnsi="Garamond" w:cs="Calibri"/>
                <w:b/>
                <w:bCs/>
                <w:color w:val="000000"/>
                <w:szCs w:val="24"/>
              </w:rPr>
            </w:pPr>
            <w:r w:rsidRPr="00BA0B57">
              <w:rPr>
                <w:rFonts w:ascii="Garamond" w:eastAsia="Times New Roman" w:hAnsi="Garamond" w:cs="Calibri"/>
                <w:b/>
                <w:bCs/>
                <w:color w:val="000000"/>
                <w:szCs w:val="24"/>
              </w:rPr>
              <w:t>WHUT</w:t>
            </w:r>
          </w:p>
        </w:tc>
      </w:tr>
      <w:tr w:rsidR="005F665E" w:rsidRPr="00BA0B57" w14:paraId="6018347D" w14:textId="77777777" w:rsidTr="00D66FFA">
        <w:trPr>
          <w:trHeight w:val="300"/>
        </w:trPr>
        <w:tc>
          <w:tcPr>
            <w:tcW w:w="1516" w:type="dxa"/>
            <w:tcBorders>
              <w:top w:val="nil"/>
              <w:left w:val="single" w:sz="4" w:space="0" w:color="auto"/>
              <w:bottom w:val="single" w:sz="4" w:space="0" w:color="auto"/>
              <w:right w:val="single" w:sz="4" w:space="0" w:color="auto"/>
            </w:tcBorders>
            <w:shd w:val="clear" w:color="auto" w:fill="auto"/>
            <w:noWrap/>
            <w:vAlign w:val="bottom"/>
            <w:hideMark/>
          </w:tcPr>
          <w:p w14:paraId="46C137F7" w14:textId="77777777" w:rsidR="005F665E" w:rsidRPr="00BA0B57" w:rsidRDefault="005F665E" w:rsidP="00BA0B57">
            <w:pPr>
              <w:spacing w:line="240" w:lineRule="auto"/>
              <w:jc w:val="left"/>
              <w:rPr>
                <w:rFonts w:ascii="Garamond" w:eastAsia="Times New Roman" w:hAnsi="Garamond" w:cs="Calibri"/>
                <w:b/>
                <w:bCs/>
                <w:color w:val="000000"/>
                <w:szCs w:val="24"/>
              </w:rPr>
            </w:pPr>
            <w:r w:rsidRPr="00BA0B57">
              <w:rPr>
                <w:rFonts w:ascii="Garamond" w:eastAsia="Times New Roman" w:hAnsi="Garamond" w:cs="Calibri"/>
                <w:b/>
                <w:bCs/>
                <w:color w:val="000000"/>
                <w:szCs w:val="24"/>
              </w:rPr>
              <w:t>Indicators</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D8CD319"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AHP</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1E8B5427"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Rank</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2282F90"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AHP</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AB58785"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Rank</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11CDBD8"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AHP</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B2AE834"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Rank</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281ADA99"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AHP</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940F2E7"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Rank</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BB36128"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AHP</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BA3222E"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Rank</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C633911"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AHP</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59132D8"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Rank</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1E585114"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AHP</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D2B201E"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Rank</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A7BED0D"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AHP</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F41D082"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Rank</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5AE8DB53"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AHP</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232DFA9"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Rank</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4BB2E6F"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AHP</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BF14292"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Rank</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193CA9B"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AHP</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DD087FB"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Rank</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53FD82C5"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AHP</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F8EB08F"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Rank</w:t>
            </w:r>
          </w:p>
        </w:tc>
      </w:tr>
      <w:tr w:rsidR="005F665E" w:rsidRPr="00BA0B57" w14:paraId="10CAC102" w14:textId="77777777" w:rsidTr="00D66FFA">
        <w:trPr>
          <w:trHeight w:val="300"/>
        </w:trPr>
        <w:tc>
          <w:tcPr>
            <w:tcW w:w="1516" w:type="dxa"/>
            <w:tcBorders>
              <w:top w:val="nil"/>
              <w:left w:val="single" w:sz="4" w:space="0" w:color="auto"/>
              <w:bottom w:val="single" w:sz="4" w:space="0" w:color="auto"/>
              <w:right w:val="single" w:sz="4" w:space="0" w:color="auto"/>
            </w:tcBorders>
            <w:shd w:val="clear" w:color="auto" w:fill="auto"/>
            <w:noWrap/>
            <w:vAlign w:val="bottom"/>
            <w:hideMark/>
          </w:tcPr>
          <w:p w14:paraId="1BA297BF" w14:textId="77777777" w:rsidR="005F665E" w:rsidRPr="00BA0B57" w:rsidRDefault="005F665E" w:rsidP="00BA0B57">
            <w:pPr>
              <w:spacing w:line="240" w:lineRule="auto"/>
              <w:jc w:val="left"/>
              <w:rPr>
                <w:rFonts w:ascii="Garamond" w:eastAsia="Times New Roman" w:hAnsi="Garamond" w:cs="Calibri"/>
                <w:color w:val="000000"/>
                <w:szCs w:val="24"/>
              </w:rPr>
            </w:pPr>
            <w:r w:rsidRPr="00BA0B57">
              <w:rPr>
                <w:rFonts w:ascii="Garamond" w:eastAsia="Times New Roman" w:hAnsi="Garamond" w:cs="Calibri"/>
                <w:color w:val="000000"/>
                <w:szCs w:val="24"/>
              </w:rPr>
              <w:t>AOC</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47A44949"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0.007</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049C59A1"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13</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D271C5F"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0787321"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12</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7E59454"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0.003</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0D781E1B"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14</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54279F24"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0.443</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0F10FDCD"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19E54D29"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0.015</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0CCDCD67"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10</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4E4DA20A"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0.013</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134E2743"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13</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844EFB6"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0.131</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7ACDFB3"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3</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4E0EB3E9"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0.033</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518E257"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7</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46AFDE46"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0.025</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3EF05E2"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9</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3C1A2DD"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0.117</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1691EA7B"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2</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6DD1D43"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0.014</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1BB89678"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13712847"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0.056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722E57C"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5</w:t>
            </w:r>
          </w:p>
        </w:tc>
      </w:tr>
      <w:tr w:rsidR="005F665E" w:rsidRPr="00BA0B57" w14:paraId="50D9FE9A" w14:textId="77777777" w:rsidTr="00D66FFA">
        <w:trPr>
          <w:trHeight w:val="300"/>
        </w:trPr>
        <w:tc>
          <w:tcPr>
            <w:tcW w:w="1516" w:type="dxa"/>
            <w:tcBorders>
              <w:top w:val="nil"/>
              <w:left w:val="single" w:sz="4" w:space="0" w:color="auto"/>
              <w:bottom w:val="single" w:sz="4" w:space="0" w:color="auto"/>
              <w:right w:val="single" w:sz="4" w:space="0" w:color="auto"/>
            </w:tcBorders>
            <w:shd w:val="clear" w:color="auto" w:fill="auto"/>
            <w:noWrap/>
            <w:vAlign w:val="bottom"/>
            <w:hideMark/>
          </w:tcPr>
          <w:p w14:paraId="4D5B200D" w14:textId="77777777" w:rsidR="005F665E" w:rsidRPr="00BA0B57" w:rsidRDefault="005F665E" w:rsidP="00BA0B57">
            <w:pPr>
              <w:spacing w:line="240" w:lineRule="auto"/>
              <w:jc w:val="left"/>
              <w:rPr>
                <w:rFonts w:ascii="Garamond" w:eastAsia="Times New Roman" w:hAnsi="Garamond" w:cs="Calibri"/>
                <w:color w:val="000000"/>
                <w:szCs w:val="24"/>
              </w:rPr>
            </w:pPr>
            <w:r w:rsidRPr="00BA0B57">
              <w:rPr>
                <w:rFonts w:ascii="Garamond" w:eastAsia="Times New Roman" w:hAnsi="Garamond" w:cs="Calibri"/>
                <w:color w:val="000000"/>
                <w:szCs w:val="24"/>
              </w:rPr>
              <w:t>TDP</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BE960A6"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0.006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032D968D"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14</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6F55553"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0.066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0CD70A2E"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5</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0AE3396"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0.002</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5FDC482"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15</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136878F6"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0.058</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9F51EA8"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6</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BA5C9BB"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0.043</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238D556"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5</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95D2C3E"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67724DC"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3CDD9B2"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0.055</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B257055"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5</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16535196"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0.027</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156D9FC4"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9</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2996E57E"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0.079</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1CEECA99"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4</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FDF0F6D"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0.506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B5F72C7"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17C3469D"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0.014</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978B480"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12</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6B16691"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0.056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EB8C13C"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5</w:t>
            </w:r>
          </w:p>
        </w:tc>
      </w:tr>
      <w:tr w:rsidR="005F665E" w:rsidRPr="00BA0B57" w14:paraId="68BB4C75" w14:textId="77777777" w:rsidTr="00D66FFA">
        <w:trPr>
          <w:trHeight w:val="300"/>
        </w:trPr>
        <w:tc>
          <w:tcPr>
            <w:tcW w:w="1516" w:type="dxa"/>
            <w:tcBorders>
              <w:top w:val="nil"/>
              <w:left w:val="single" w:sz="4" w:space="0" w:color="auto"/>
              <w:bottom w:val="single" w:sz="4" w:space="0" w:color="auto"/>
              <w:right w:val="single" w:sz="4" w:space="0" w:color="auto"/>
            </w:tcBorders>
            <w:shd w:val="clear" w:color="auto" w:fill="auto"/>
            <w:noWrap/>
            <w:vAlign w:val="bottom"/>
            <w:hideMark/>
          </w:tcPr>
          <w:p w14:paraId="560931AF" w14:textId="77777777" w:rsidR="005F665E" w:rsidRPr="00BA0B57" w:rsidRDefault="005F665E" w:rsidP="00BA0B57">
            <w:pPr>
              <w:spacing w:line="240" w:lineRule="auto"/>
              <w:jc w:val="left"/>
              <w:rPr>
                <w:rFonts w:ascii="Garamond" w:eastAsia="Times New Roman" w:hAnsi="Garamond" w:cs="Calibri"/>
                <w:color w:val="000000"/>
                <w:szCs w:val="24"/>
              </w:rPr>
            </w:pPr>
            <w:r w:rsidRPr="00BA0B57">
              <w:rPr>
                <w:rFonts w:ascii="Garamond" w:eastAsia="Times New Roman" w:hAnsi="Garamond" w:cs="Calibri"/>
                <w:color w:val="000000"/>
                <w:szCs w:val="24"/>
              </w:rPr>
              <w:t>ISUR</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9C3FB50"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0.036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E8D05C1"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7</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32280D8"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0.015</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0DB5E678"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13</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165730C9"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0.007</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9F7426C"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13</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DBBF3F1"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0.028</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E8A1BB2"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9</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13556FE2"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0.043</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FB1DA16"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5</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508658A"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0.008</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5E2C6062"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15</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77A762D"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0.018</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0148FBC"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FDB1503"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0.039</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2C1D547"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5</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411FDFAE"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0.024</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ED4FCB6"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10</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4BEFBE8A"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0.054</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76D87AD"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4</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4FFAE5FE"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0.060</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7561B8F"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9</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D6C386E"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0.056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BBDBAFC"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5</w:t>
            </w:r>
          </w:p>
        </w:tc>
      </w:tr>
      <w:tr w:rsidR="005F665E" w:rsidRPr="00BA0B57" w14:paraId="0A9E9140" w14:textId="77777777" w:rsidTr="00D66FFA">
        <w:trPr>
          <w:trHeight w:val="300"/>
        </w:trPr>
        <w:tc>
          <w:tcPr>
            <w:tcW w:w="1516" w:type="dxa"/>
            <w:tcBorders>
              <w:top w:val="nil"/>
              <w:left w:val="single" w:sz="4" w:space="0" w:color="auto"/>
              <w:bottom w:val="single" w:sz="4" w:space="0" w:color="auto"/>
              <w:right w:val="single" w:sz="4" w:space="0" w:color="auto"/>
            </w:tcBorders>
            <w:shd w:val="clear" w:color="auto" w:fill="auto"/>
            <w:noWrap/>
            <w:vAlign w:val="bottom"/>
            <w:hideMark/>
          </w:tcPr>
          <w:p w14:paraId="74710888" w14:textId="77777777" w:rsidR="005F665E" w:rsidRPr="00BA0B57" w:rsidRDefault="005F665E" w:rsidP="00BA0B57">
            <w:pPr>
              <w:spacing w:line="240" w:lineRule="auto"/>
              <w:jc w:val="left"/>
              <w:rPr>
                <w:rFonts w:ascii="Garamond" w:eastAsia="Times New Roman" w:hAnsi="Garamond" w:cs="Calibri"/>
                <w:color w:val="000000"/>
                <w:szCs w:val="24"/>
              </w:rPr>
            </w:pPr>
            <w:r w:rsidRPr="00BA0B57">
              <w:rPr>
                <w:rFonts w:ascii="Garamond" w:eastAsia="Times New Roman" w:hAnsi="Garamond" w:cs="Calibri"/>
                <w:color w:val="000000"/>
                <w:szCs w:val="24"/>
              </w:rPr>
              <w:t>GHEE</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2F61360E"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0.003</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F63793F"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15</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62F4EA2"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0.011</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FE89A82"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14</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597C3827"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0.027</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0D832296"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9</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AD295FA"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0.071</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BD08E94"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4</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AFAC03A"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0.034</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50AD194E"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7</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1BB0B3EF"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0.012</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4F38F32"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14</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EC953EB"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0.027</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CA547A5"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8</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2BBA66B9"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0.036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903A29F"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6</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B827852"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0.024</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74E8B00"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10</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B375519"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0.029</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4C8483E"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6</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2885A26"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0.070</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3F745A9"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8</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03846EC"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0.056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A05C68B"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5</w:t>
            </w:r>
          </w:p>
        </w:tc>
      </w:tr>
      <w:tr w:rsidR="005F665E" w:rsidRPr="00BA0B57" w14:paraId="39DDA9CE" w14:textId="77777777" w:rsidTr="00D66FFA">
        <w:trPr>
          <w:trHeight w:val="300"/>
        </w:trPr>
        <w:tc>
          <w:tcPr>
            <w:tcW w:w="1516" w:type="dxa"/>
            <w:tcBorders>
              <w:top w:val="nil"/>
              <w:left w:val="single" w:sz="4" w:space="0" w:color="auto"/>
              <w:bottom w:val="single" w:sz="4" w:space="0" w:color="auto"/>
              <w:right w:val="single" w:sz="4" w:space="0" w:color="auto"/>
            </w:tcBorders>
            <w:shd w:val="clear" w:color="auto" w:fill="auto"/>
            <w:noWrap/>
            <w:vAlign w:val="bottom"/>
            <w:hideMark/>
          </w:tcPr>
          <w:p w14:paraId="0036F40F" w14:textId="77777777" w:rsidR="005F665E" w:rsidRPr="00BA0B57" w:rsidRDefault="005F665E" w:rsidP="00BA0B57">
            <w:pPr>
              <w:spacing w:line="240" w:lineRule="auto"/>
              <w:jc w:val="left"/>
              <w:rPr>
                <w:rFonts w:ascii="Garamond" w:eastAsia="Times New Roman" w:hAnsi="Garamond" w:cs="Calibri"/>
                <w:color w:val="000000"/>
                <w:szCs w:val="24"/>
              </w:rPr>
            </w:pPr>
            <w:r w:rsidRPr="00BA0B57">
              <w:rPr>
                <w:rFonts w:ascii="Garamond" w:eastAsia="Times New Roman" w:hAnsi="Garamond" w:cs="Calibri"/>
                <w:color w:val="000000"/>
                <w:szCs w:val="24"/>
              </w:rPr>
              <w:t>DAR</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573D9294"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0.018</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02D1B45"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12</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D7C16B0"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0.030</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C7F11B6"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8</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1D760A9"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0.015</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1EA422D1"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12</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19D8633A"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0.103</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1D635D7F"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2</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806982C"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0.029</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00088AF5"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8</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2C78A9B"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1C1D3F98"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12</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291D5ED2"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0.206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6CB6565"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2</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23FDBBFE"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0.181</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5821D31E"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2</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24AD098E"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0.302</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1D545665"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2</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478310F2"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0.088</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0A2DECDC"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3</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1EE45857"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0.163</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91DBFB9"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4550E5F0"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0.056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B91F7D6"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5</w:t>
            </w:r>
          </w:p>
        </w:tc>
      </w:tr>
      <w:tr w:rsidR="005F665E" w:rsidRPr="00BA0B57" w14:paraId="5F3747CA" w14:textId="77777777" w:rsidTr="00D66FFA">
        <w:trPr>
          <w:trHeight w:val="300"/>
        </w:trPr>
        <w:tc>
          <w:tcPr>
            <w:tcW w:w="1516" w:type="dxa"/>
            <w:tcBorders>
              <w:top w:val="nil"/>
              <w:left w:val="single" w:sz="4" w:space="0" w:color="auto"/>
              <w:bottom w:val="single" w:sz="4" w:space="0" w:color="auto"/>
              <w:right w:val="single" w:sz="4" w:space="0" w:color="auto"/>
            </w:tcBorders>
            <w:shd w:val="clear" w:color="auto" w:fill="auto"/>
            <w:noWrap/>
            <w:vAlign w:val="bottom"/>
            <w:hideMark/>
          </w:tcPr>
          <w:p w14:paraId="07C80E3E" w14:textId="77777777" w:rsidR="005F665E" w:rsidRPr="00BA0B57" w:rsidRDefault="005F665E" w:rsidP="00BA0B57">
            <w:pPr>
              <w:spacing w:line="240" w:lineRule="auto"/>
              <w:jc w:val="left"/>
              <w:rPr>
                <w:rFonts w:ascii="Garamond" w:eastAsia="Times New Roman" w:hAnsi="Garamond" w:cs="Calibri"/>
                <w:color w:val="000000"/>
                <w:szCs w:val="24"/>
              </w:rPr>
            </w:pPr>
            <w:r w:rsidRPr="00BA0B57">
              <w:rPr>
                <w:rFonts w:ascii="Garamond" w:eastAsia="Times New Roman" w:hAnsi="Garamond" w:cs="Calibri"/>
                <w:color w:val="000000"/>
                <w:szCs w:val="24"/>
              </w:rPr>
              <w:t>LTDU</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20D7222A"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0.020</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8465D3A"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E736E36"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0.011</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D57D612"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15</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5DBC632E"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0.017</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1F35B241"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10</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A043995"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0.067</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F21FE64"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5</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1629266F"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0.029</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3B43D93"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8</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4AB14A7"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0.065</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2444C38"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8</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12CDC6E"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0.334</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1114ADD"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F71F77E"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0.427</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02309C9B"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1DF4954B"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0.306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B100D74"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41E0F641"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0.025</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E53F0A8"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25443D17"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0.012</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5E87019"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13</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12159A2"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0.056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7785A90"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5</w:t>
            </w:r>
          </w:p>
        </w:tc>
      </w:tr>
      <w:tr w:rsidR="005F665E" w:rsidRPr="00BA0B57" w14:paraId="653F55DA" w14:textId="77777777" w:rsidTr="00D66FFA">
        <w:trPr>
          <w:trHeight w:val="300"/>
        </w:trPr>
        <w:tc>
          <w:tcPr>
            <w:tcW w:w="1516" w:type="dxa"/>
            <w:tcBorders>
              <w:top w:val="nil"/>
              <w:left w:val="single" w:sz="4" w:space="0" w:color="auto"/>
              <w:bottom w:val="single" w:sz="4" w:space="0" w:color="auto"/>
              <w:right w:val="single" w:sz="4" w:space="0" w:color="auto"/>
            </w:tcBorders>
            <w:shd w:val="clear" w:color="auto" w:fill="auto"/>
            <w:noWrap/>
            <w:vAlign w:val="bottom"/>
            <w:hideMark/>
          </w:tcPr>
          <w:p w14:paraId="66C9F0F7" w14:textId="77777777" w:rsidR="005F665E" w:rsidRPr="00BA0B57" w:rsidRDefault="005F665E" w:rsidP="00BA0B57">
            <w:pPr>
              <w:spacing w:line="240" w:lineRule="auto"/>
              <w:jc w:val="left"/>
              <w:rPr>
                <w:rFonts w:ascii="Garamond" w:eastAsia="Times New Roman" w:hAnsi="Garamond" w:cs="Calibri"/>
                <w:color w:val="000000"/>
                <w:szCs w:val="24"/>
              </w:rPr>
            </w:pPr>
            <w:r w:rsidRPr="00BA0B57">
              <w:rPr>
                <w:rFonts w:ascii="Garamond" w:eastAsia="Times New Roman" w:hAnsi="Garamond" w:cs="Calibri"/>
                <w:color w:val="000000"/>
                <w:szCs w:val="24"/>
              </w:rPr>
              <w:t>PAV</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C2E12BD"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0.142</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E91C2CA"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2</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8EA8909"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0.361</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58980D50"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5C439765"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0.334</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813D5A9"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1BF87150"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0.088</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51FD764"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3</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5196DC30"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0.048</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389F482"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4</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E75D53F"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0.182</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0982D0AB"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A8BF07B"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0.002</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595A002"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15</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8285A59"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0.002</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F1ED834"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15</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5D5934DB"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0.003</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24D9A0A"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15</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61B3B5D"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0.003</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DC12E6F"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15</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71F3564"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0.011</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534FE15E"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15</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A85BB26"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0.012</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7697F24"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15</w:t>
            </w:r>
          </w:p>
        </w:tc>
      </w:tr>
      <w:tr w:rsidR="005F665E" w:rsidRPr="00BA0B57" w14:paraId="749BFC23" w14:textId="77777777" w:rsidTr="00D66FFA">
        <w:trPr>
          <w:trHeight w:val="300"/>
        </w:trPr>
        <w:tc>
          <w:tcPr>
            <w:tcW w:w="1516" w:type="dxa"/>
            <w:tcBorders>
              <w:top w:val="nil"/>
              <w:left w:val="single" w:sz="4" w:space="0" w:color="auto"/>
              <w:bottom w:val="single" w:sz="4" w:space="0" w:color="auto"/>
              <w:right w:val="single" w:sz="4" w:space="0" w:color="auto"/>
            </w:tcBorders>
            <w:shd w:val="clear" w:color="auto" w:fill="auto"/>
            <w:noWrap/>
            <w:vAlign w:val="bottom"/>
            <w:hideMark/>
          </w:tcPr>
          <w:p w14:paraId="49CD7ADD" w14:textId="77777777" w:rsidR="005F665E" w:rsidRPr="00BA0B57" w:rsidRDefault="005F665E" w:rsidP="00BA0B57">
            <w:pPr>
              <w:spacing w:line="240" w:lineRule="auto"/>
              <w:jc w:val="left"/>
              <w:rPr>
                <w:rFonts w:ascii="Garamond" w:eastAsia="Times New Roman" w:hAnsi="Garamond" w:cs="Calibri"/>
                <w:szCs w:val="24"/>
              </w:rPr>
            </w:pPr>
            <w:r w:rsidRPr="00BA0B57">
              <w:rPr>
                <w:rFonts w:ascii="Garamond" w:eastAsia="Times New Roman" w:hAnsi="Garamond" w:cs="Calibri"/>
                <w:szCs w:val="24"/>
              </w:rPr>
              <w:t>TLR</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AEF54FD" w14:textId="77777777" w:rsidR="005F665E" w:rsidRPr="00BA0B57" w:rsidRDefault="005F665E" w:rsidP="00BA0B57">
            <w:pPr>
              <w:spacing w:line="240" w:lineRule="auto"/>
              <w:jc w:val="right"/>
              <w:rPr>
                <w:rFonts w:ascii="Garamond" w:eastAsia="Times New Roman" w:hAnsi="Garamond" w:cs="Calibri"/>
                <w:sz w:val="18"/>
                <w:szCs w:val="18"/>
              </w:rPr>
            </w:pPr>
            <w:r w:rsidRPr="00BA0B57">
              <w:rPr>
                <w:rFonts w:ascii="Garamond" w:eastAsia="Times New Roman" w:hAnsi="Garamond" w:cs="Calibri"/>
                <w:sz w:val="18"/>
                <w:szCs w:val="18"/>
              </w:rPr>
              <w:t>0.029</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A9C4C8B" w14:textId="77777777" w:rsidR="005F665E" w:rsidRPr="00BA0B57" w:rsidRDefault="005F665E" w:rsidP="00BA0B57">
            <w:pPr>
              <w:spacing w:line="240" w:lineRule="auto"/>
              <w:jc w:val="center"/>
              <w:rPr>
                <w:rFonts w:ascii="Garamond" w:eastAsia="Times New Roman" w:hAnsi="Garamond" w:cs="Calibri"/>
                <w:sz w:val="18"/>
                <w:szCs w:val="18"/>
              </w:rPr>
            </w:pPr>
            <w:r w:rsidRPr="00BA0B57">
              <w:rPr>
                <w:rFonts w:ascii="Garamond" w:eastAsia="Times New Roman" w:hAnsi="Garamond" w:cs="Calibri"/>
                <w:sz w:val="18"/>
                <w:szCs w:val="18"/>
              </w:rPr>
              <w:t>8</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59315A38" w14:textId="77777777" w:rsidR="005F665E" w:rsidRPr="00BA0B57" w:rsidRDefault="005F665E" w:rsidP="00BA0B57">
            <w:pPr>
              <w:spacing w:line="240" w:lineRule="auto"/>
              <w:jc w:val="right"/>
              <w:rPr>
                <w:rFonts w:ascii="Garamond" w:eastAsia="Times New Roman" w:hAnsi="Garamond" w:cs="Calibri"/>
                <w:sz w:val="18"/>
                <w:szCs w:val="18"/>
              </w:rPr>
            </w:pPr>
            <w:r w:rsidRPr="00BA0B57">
              <w:rPr>
                <w:rFonts w:ascii="Garamond" w:eastAsia="Times New Roman" w:hAnsi="Garamond" w:cs="Calibri"/>
                <w:sz w:val="18"/>
                <w:szCs w:val="18"/>
              </w:rPr>
              <w:t>0.173</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555EFB92" w14:textId="77777777" w:rsidR="005F665E" w:rsidRPr="00BA0B57" w:rsidRDefault="005F665E" w:rsidP="00BA0B57">
            <w:pPr>
              <w:spacing w:line="240" w:lineRule="auto"/>
              <w:jc w:val="center"/>
              <w:rPr>
                <w:rFonts w:ascii="Garamond" w:eastAsia="Times New Roman" w:hAnsi="Garamond" w:cs="Calibri"/>
                <w:sz w:val="18"/>
                <w:szCs w:val="18"/>
              </w:rPr>
            </w:pPr>
            <w:r w:rsidRPr="00BA0B57">
              <w:rPr>
                <w:rFonts w:ascii="Garamond" w:eastAsia="Times New Roman" w:hAnsi="Garamond" w:cs="Calibri"/>
                <w:sz w:val="18"/>
                <w:szCs w:val="18"/>
              </w:rPr>
              <w:t>2</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7E5F917" w14:textId="77777777" w:rsidR="005F665E" w:rsidRPr="00BA0B57" w:rsidRDefault="005F665E" w:rsidP="00BA0B57">
            <w:pPr>
              <w:spacing w:line="240" w:lineRule="auto"/>
              <w:jc w:val="right"/>
              <w:rPr>
                <w:rFonts w:ascii="Garamond" w:eastAsia="Times New Roman" w:hAnsi="Garamond" w:cs="Calibri"/>
                <w:sz w:val="18"/>
                <w:szCs w:val="18"/>
              </w:rPr>
            </w:pPr>
            <w:r w:rsidRPr="00BA0B57">
              <w:rPr>
                <w:rFonts w:ascii="Garamond" w:eastAsia="Times New Roman" w:hAnsi="Garamond" w:cs="Calibri"/>
                <w:sz w:val="18"/>
                <w:szCs w:val="18"/>
              </w:rPr>
              <w:t>0.043</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0C91B429" w14:textId="77777777" w:rsidR="005F665E" w:rsidRPr="00BA0B57" w:rsidRDefault="005F665E" w:rsidP="00BA0B57">
            <w:pPr>
              <w:spacing w:line="240" w:lineRule="auto"/>
              <w:jc w:val="center"/>
              <w:rPr>
                <w:rFonts w:ascii="Garamond" w:eastAsia="Times New Roman" w:hAnsi="Garamond" w:cs="Calibri"/>
                <w:sz w:val="18"/>
                <w:szCs w:val="18"/>
              </w:rPr>
            </w:pPr>
            <w:r w:rsidRPr="00BA0B57">
              <w:rPr>
                <w:rFonts w:ascii="Garamond" w:eastAsia="Times New Roman" w:hAnsi="Garamond" w:cs="Calibri"/>
                <w:sz w:val="18"/>
                <w:szCs w:val="18"/>
              </w:rPr>
              <w:t>7</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4CB94357" w14:textId="77777777" w:rsidR="005F665E" w:rsidRPr="00BA0B57" w:rsidRDefault="005F665E" w:rsidP="00BA0B57">
            <w:pPr>
              <w:spacing w:line="240" w:lineRule="auto"/>
              <w:jc w:val="right"/>
              <w:rPr>
                <w:rFonts w:ascii="Garamond" w:eastAsia="Times New Roman" w:hAnsi="Garamond" w:cs="Calibri"/>
                <w:sz w:val="18"/>
                <w:szCs w:val="18"/>
              </w:rPr>
            </w:pPr>
            <w:r w:rsidRPr="00BA0B57">
              <w:rPr>
                <w:rFonts w:ascii="Garamond" w:eastAsia="Times New Roman" w:hAnsi="Garamond" w:cs="Calibri"/>
                <w:sz w:val="18"/>
                <w:szCs w:val="18"/>
              </w:rPr>
              <w:t>0.028</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A592E27" w14:textId="77777777" w:rsidR="005F665E" w:rsidRPr="00BA0B57" w:rsidRDefault="005F665E" w:rsidP="00BA0B57">
            <w:pPr>
              <w:spacing w:line="240" w:lineRule="auto"/>
              <w:jc w:val="center"/>
              <w:rPr>
                <w:rFonts w:ascii="Garamond" w:eastAsia="Times New Roman" w:hAnsi="Garamond" w:cs="Calibri"/>
                <w:sz w:val="18"/>
                <w:szCs w:val="18"/>
              </w:rPr>
            </w:pPr>
            <w:r w:rsidRPr="00BA0B57">
              <w:rPr>
                <w:rFonts w:ascii="Garamond" w:eastAsia="Times New Roman" w:hAnsi="Garamond" w:cs="Calibri"/>
                <w:sz w:val="18"/>
                <w:szCs w:val="18"/>
              </w:rPr>
              <w:t>10</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4A4C8E4C" w14:textId="77777777" w:rsidR="005F665E" w:rsidRPr="00BA0B57" w:rsidRDefault="005F665E" w:rsidP="00BA0B57">
            <w:pPr>
              <w:spacing w:line="240" w:lineRule="auto"/>
              <w:jc w:val="right"/>
              <w:rPr>
                <w:rFonts w:ascii="Garamond" w:eastAsia="Times New Roman" w:hAnsi="Garamond" w:cs="Calibri"/>
                <w:sz w:val="18"/>
                <w:szCs w:val="18"/>
              </w:rPr>
            </w:pPr>
            <w:r w:rsidRPr="00BA0B57">
              <w:rPr>
                <w:rFonts w:ascii="Garamond" w:eastAsia="Times New Roman" w:hAnsi="Garamond" w:cs="Calibri"/>
                <w:sz w:val="18"/>
                <w:szCs w:val="18"/>
              </w:rPr>
              <w:t>0.550</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5FBC476" w14:textId="77777777" w:rsidR="005F665E" w:rsidRPr="00BA0B57" w:rsidRDefault="005F665E" w:rsidP="00BA0B57">
            <w:pPr>
              <w:spacing w:line="240" w:lineRule="auto"/>
              <w:jc w:val="center"/>
              <w:rPr>
                <w:rFonts w:ascii="Garamond" w:eastAsia="Times New Roman" w:hAnsi="Garamond" w:cs="Calibri"/>
                <w:sz w:val="18"/>
                <w:szCs w:val="18"/>
              </w:rPr>
            </w:pPr>
            <w:r w:rsidRPr="00BA0B57">
              <w:rPr>
                <w:rFonts w:ascii="Garamond" w:eastAsia="Times New Roman" w:hAnsi="Garamond" w:cs="Calibri"/>
                <w:sz w:val="18"/>
                <w:szCs w:val="18"/>
              </w:rPr>
              <w:t>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56ACCE50" w14:textId="77777777" w:rsidR="005F665E" w:rsidRPr="00BA0B57" w:rsidRDefault="005F665E" w:rsidP="00BA0B57">
            <w:pPr>
              <w:spacing w:line="240" w:lineRule="auto"/>
              <w:jc w:val="right"/>
              <w:rPr>
                <w:rFonts w:ascii="Garamond" w:eastAsia="Times New Roman" w:hAnsi="Garamond" w:cs="Calibri"/>
                <w:sz w:val="18"/>
                <w:szCs w:val="18"/>
              </w:rPr>
            </w:pPr>
            <w:r w:rsidRPr="00BA0B57">
              <w:rPr>
                <w:rFonts w:ascii="Garamond" w:eastAsia="Times New Roman" w:hAnsi="Garamond" w:cs="Calibri"/>
                <w:sz w:val="18"/>
                <w:szCs w:val="18"/>
              </w:rPr>
              <w:t>0.053</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E73BF2F" w14:textId="77777777" w:rsidR="005F665E" w:rsidRPr="00BA0B57" w:rsidRDefault="005F665E" w:rsidP="00BA0B57">
            <w:pPr>
              <w:spacing w:line="240" w:lineRule="auto"/>
              <w:jc w:val="center"/>
              <w:rPr>
                <w:rFonts w:ascii="Garamond" w:eastAsia="Times New Roman" w:hAnsi="Garamond" w:cs="Calibri"/>
                <w:sz w:val="18"/>
                <w:szCs w:val="18"/>
              </w:rPr>
            </w:pPr>
            <w:r w:rsidRPr="00BA0B57">
              <w:rPr>
                <w:rFonts w:ascii="Garamond" w:eastAsia="Times New Roman" w:hAnsi="Garamond" w:cs="Calibri"/>
                <w:sz w:val="18"/>
                <w:szCs w:val="18"/>
              </w:rPr>
              <w:t>10</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97A4C08" w14:textId="77777777" w:rsidR="005F665E" w:rsidRPr="00BA0B57" w:rsidRDefault="005F665E" w:rsidP="00BA0B57">
            <w:pPr>
              <w:spacing w:line="240" w:lineRule="auto"/>
              <w:jc w:val="right"/>
              <w:rPr>
                <w:rFonts w:ascii="Garamond" w:eastAsia="Times New Roman" w:hAnsi="Garamond" w:cs="Calibri"/>
                <w:sz w:val="18"/>
                <w:szCs w:val="18"/>
              </w:rPr>
            </w:pPr>
            <w:r w:rsidRPr="00BA0B57">
              <w:rPr>
                <w:rFonts w:ascii="Garamond" w:eastAsia="Times New Roman" w:hAnsi="Garamond" w:cs="Calibri"/>
                <w:sz w:val="18"/>
                <w:szCs w:val="18"/>
              </w:rPr>
              <w:t>0.029</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3C3C691" w14:textId="77777777" w:rsidR="005F665E" w:rsidRPr="00BA0B57" w:rsidRDefault="005F665E" w:rsidP="00BA0B57">
            <w:pPr>
              <w:spacing w:line="240" w:lineRule="auto"/>
              <w:jc w:val="center"/>
              <w:rPr>
                <w:rFonts w:ascii="Garamond" w:eastAsia="Times New Roman" w:hAnsi="Garamond" w:cs="Calibri"/>
                <w:sz w:val="18"/>
                <w:szCs w:val="18"/>
              </w:rPr>
            </w:pPr>
            <w:r w:rsidRPr="00BA0B57">
              <w:rPr>
                <w:rFonts w:ascii="Garamond" w:eastAsia="Times New Roman" w:hAnsi="Garamond" w:cs="Calibri"/>
                <w:sz w:val="18"/>
                <w:szCs w:val="18"/>
              </w:rPr>
              <w:t>7</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8A585A9" w14:textId="77777777" w:rsidR="005F665E" w:rsidRPr="00BA0B57" w:rsidRDefault="005F665E" w:rsidP="00BA0B57">
            <w:pPr>
              <w:spacing w:line="240" w:lineRule="auto"/>
              <w:jc w:val="right"/>
              <w:rPr>
                <w:rFonts w:ascii="Garamond" w:eastAsia="Times New Roman" w:hAnsi="Garamond" w:cs="Calibri"/>
                <w:sz w:val="18"/>
                <w:szCs w:val="18"/>
              </w:rPr>
            </w:pPr>
            <w:r w:rsidRPr="00BA0B57">
              <w:rPr>
                <w:rFonts w:ascii="Garamond" w:eastAsia="Times New Roman" w:hAnsi="Garamond" w:cs="Calibri"/>
                <w:sz w:val="18"/>
                <w:szCs w:val="18"/>
              </w:rPr>
              <w:t>0.032</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1058E32" w14:textId="77777777" w:rsidR="005F665E" w:rsidRPr="00BA0B57" w:rsidRDefault="005F665E" w:rsidP="00BA0B57">
            <w:pPr>
              <w:spacing w:line="240" w:lineRule="auto"/>
              <w:jc w:val="center"/>
              <w:rPr>
                <w:rFonts w:ascii="Garamond" w:eastAsia="Times New Roman" w:hAnsi="Garamond" w:cs="Calibri"/>
                <w:sz w:val="18"/>
                <w:szCs w:val="18"/>
              </w:rPr>
            </w:pPr>
            <w:r w:rsidRPr="00BA0B57">
              <w:rPr>
                <w:rFonts w:ascii="Garamond" w:eastAsia="Times New Roman" w:hAnsi="Garamond" w:cs="Calibri"/>
                <w:sz w:val="18"/>
                <w:szCs w:val="18"/>
              </w:rPr>
              <w:t>8</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D2CD9EC" w14:textId="77777777" w:rsidR="005F665E" w:rsidRPr="00BA0B57" w:rsidRDefault="005F665E" w:rsidP="00BA0B57">
            <w:pPr>
              <w:spacing w:line="240" w:lineRule="auto"/>
              <w:jc w:val="right"/>
              <w:rPr>
                <w:rFonts w:ascii="Garamond" w:eastAsia="Times New Roman" w:hAnsi="Garamond" w:cs="Calibri"/>
                <w:sz w:val="18"/>
                <w:szCs w:val="18"/>
              </w:rPr>
            </w:pPr>
            <w:r w:rsidRPr="00BA0B57">
              <w:rPr>
                <w:rFonts w:ascii="Garamond" w:eastAsia="Times New Roman" w:hAnsi="Garamond" w:cs="Calibri"/>
                <w:sz w:val="18"/>
                <w:szCs w:val="18"/>
              </w:rPr>
              <w:t>0.038</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CB110B1" w14:textId="77777777" w:rsidR="005F665E" w:rsidRPr="00BA0B57" w:rsidRDefault="005F665E" w:rsidP="00BA0B57">
            <w:pPr>
              <w:spacing w:line="240" w:lineRule="auto"/>
              <w:jc w:val="center"/>
              <w:rPr>
                <w:rFonts w:ascii="Garamond" w:eastAsia="Times New Roman" w:hAnsi="Garamond" w:cs="Calibri"/>
                <w:sz w:val="18"/>
                <w:szCs w:val="18"/>
              </w:rPr>
            </w:pPr>
            <w:r w:rsidRPr="00BA0B57">
              <w:rPr>
                <w:rFonts w:ascii="Garamond" w:eastAsia="Times New Roman" w:hAnsi="Garamond" w:cs="Calibri"/>
                <w:sz w:val="18"/>
                <w:szCs w:val="18"/>
              </w:rPr>
              <w:t>6</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2FDA4DF6" w14:textId="77777777" w:rsidR="005F665E" w:rsidRPr="00BA0B57" w:rsidRDefault="005F665E" w:rsidP="00BA0B57">
            <w:pPr>
              <w:spacing w:line="240" w:lineRule="auto"/>
              <w:jc w:val="right"/>
              <w:rPr>
                <w:rFonts w:ascii="Garamond" w:eastAsia="Times New Roman" w:hAnsi="Garamond" w:cs="Calibri"/>
                <w:sz w:val="18"/>
                <w:szCs w:val="18"/>
              </w:rPr>
            </w:pPr>
            <w:r w:rsidRPr="00BA0B57">
              <w:rPr>
                <w:rFonts w:ascii="Garamond" w:eastAsia="Times New Roman" w:hAnsi="Garamond" w:cs="Calibri"/>
                <w:sz w:val="18"/>
                <w:szCs w:val="18"/>
              </w:rPr>
              <w:t>0.029</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4EDB35A" w14:textId="77777777" w:rsidR="005F665E" w:rsidRPr="00BA0B57" w:rsidRDefault="005F665E" w:rsidP="00BA0B57">
            <w:pPr>
              <w:spacing w:line="240" w:lineRule="auto"/>
              <w:jc w:val="center"/>
              <w:rPr>
                <w:rFonts w:ascii="Garamond" w:eastAsia="Times New Roman" w:hAnsi="Garamond" w:cs="Calibri"/>
                <w:sz w:val="18"/>
                <w:szCs w:val="18"/>
              </w:rPr>
            </w:pPr>
            <w:r w:rsidRPr="00BA0B57">
              <w:rPr>
                <w:rFonts w:ascii="Garamond" w:eastAsia="Times New Roman" w:hAnsi="Garamond" w:cs="Calibri"/>
                <w:sz w:val="18"/>
                <w:szCs w:val="18"/>
              </w:rPr>
              <w:t>7</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E066D7F" w14:textId="77777777" w:rsidR="005F665E" w:rsidRPr="00BA0B57" w:rsidRDefault="005F665E" w:rsidP="00BA0B57">
            <w:pPr>
              <w:spacing w:line="240" w:lineRule="auto"/>
              <w:jc w:val="right"/>
              <w:rPr>
                <w:rFonts w:ascii="Garamond" w:eastAsia="Times New Roman" w:hAnsi="Garamond" w:cs="Calibri"/>
                <w:sz w:val="18"/>
                <w:szCs w:val="18"/>
              </w:rPr>
            </w:pPr>
            <w:r w:rsidRPr="00BA0B57">
              <w:rPr>
                <w:rFonts w:ascii="Garamond" w:eastAsia="Times New Roman" w:hAnsi="Garamond" w:cs="Calibri"/>
                <w:sz w:val="18"/>
                <w:szCs w:val="18"/>
              </w:rPr>
              <w:t>0.080</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7A366E6" w14:textId="77777777" w:rsidR="005F665E" w:rsidRPr="00BA0B57" w:rsidRDefault="005F665E" w:rsidP="00BA0B57">
            <w:pPr>
              <w:spacing w:line="240" w:lineRule="auto"/>
              <w:jc w:val="center"/>
              <w:rPr>
                <w:rFonts w:ascii="Garamond" w:eastAsia="Times New Roman" w:hAnsi="Garamond" w:cs="Calibri"/>
                <w:sz w:val="18"/>
                <w:szCs w:val="18"/>
              </w:rPr>
            </w:pPr>
            <w:r w:rsidRPr="00BA0B57">
              <w:rPr>
                <w:rFonts w:ascii="Garamond" w:eastAsia="Times New Roman" w:hAnsi="Garamond" w:cs="Calibri"/>
                <w:sz w:val="18"/>
                <w:szCs w:val="18"/>
              </w:rPr>
              <w:t>6</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42AF3D27" w14:textId="77777777" w:rsidR="005F665E" w:rsidRPr="00BA0B57" w:rsidRDefault="005F665E" w:rsidP="00BA0B57">
            <w:pPr>
              <w:spacing w:line="240" w:lineRule="auto"/>
              <w:jc w:val="right"/>
              <w:rPr>
                <w:rFonts w:ascii="Garamond" w:eastAsia="Times New Roman" w:hAnsi="Garamond" w:cs="Calibri"/>
                <w:sz w:val="18"/>
                <w:szCs w:val="18"/>
              </w:rPr>
            </w:pPr>
            <w:r w:rsidRPr="00BA0B57">
              <w:rPr>
                <w:rFonts w:ascii="Garamond" w:eastAsia="Times New Roman" w:hAnsi="Garamond" w:cs="Calibri"/>
                <w:sz w:val="18"/>
                <w:szCs w:val="18"/>
              </w:rPr>
              <w:t>0.028</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57C9D277" w14:textId="77777777" w:rsidR="005F665E" w:rsidRPr="00BA0B57" w:rsidRDefault="005F665E" w:rsidP="00BA0B57">
            <w:pPr>
              <w:spacing w:line="240" w:lineRule="auto"/>
              <w:jc w:val="center"/>
              <w:rPr>
                <w:rFonts w:ascii="Garamond" w:eastAsia="Times New Roman" w:hAnsi="Garamond" w:cs="Calibri"/>
                <w:sz w:val="18"/>
                <w:szCs w:val="18"/>
              </w:rPr>
            </w:pPr>
            <w:r w:rsidRPr="00BA0B57">
              <w:rPr>
                <w:rFonts w:ascii="Garamond" w:eastAsia="Times New Roman" w:hAnsi="Garamond" w:cs="Calibri"/>
                <w:sz w:val="18"/>
                <w:szCs w:val="18"/>
              </w:rPr>
              <w:t>12</w:t>
            </w:r>
          </w:p>
        </w:tc>
      </w:tr>
      <w:tr w:rsidR="005F665E" w:rsidRPr="00BA0B57" w14:paraId="11D3B78A" w14:textId="77777777" w:rsidTr="00D66FFA">
        <w:trPr>
          <w:trHeight w:val="300"/>
        </w:trPr>
        <w:tc>
          <w:tcPr>
            <w:tcW w:w="1516" w:type="dxa"/>
            <w:tcBorders>
              <w:top w:val="nil"/>
              <w:left w:val="single" w:sz="4" w:space="0" w:color="auto"/>
              <w:bottom w:val="single" w:sz="4" w:space="0" w:color="auto"/>
              <w:right w:val="single" w:sz="4" w:space="0" w:color="auto"/>
            </w:tcBorders>
            <w:shd w:val="clear" w:color="auto" w:fill="auto"/>
            <w:noWrap/>
            <w:vAlign w:val="bottom"/>
            <w:hideMark/>
          </w:tcPr>
          <w:p w14:paraId="1F24D3E9" w14:textId="77777777" w:rsidR="005F665E" w:rsidRPr="00BA0B57" w:rsidRDefault="005F665E" w:rsidP="00BA0B57">
            <w:pPr>
              <w:spacing w:line="240" w:lineRule="auto"/>
              <w:jc w:val="left"/>
              <w:rPr>
                <w:rFonts w:ascii="Garamond" w:eastAsia="Times New Roman" w:hAnsi="Garamond" w:cs="Calibri"/>
                <w:color w:val="000000"/>
                <w:szCs w:val="24"/>
              </w:rPr>
            </w:pPr>
            <w:r w:rsidRPr="00BA0B57">
              <w:rPr>
                <w:rFonts w:ascii="Garamond" w:eastAsia="Times New Roman" w:hAnsi="Garamond" w:cs="Calibri"/>
                <w:color w:val="000000"/>
                <w:szCs w:val="24"/>
              </w:rPr>
              <w:t>TMUA</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2E25B99"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0.142</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0E0E123"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3</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E29CC69"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0.035</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5493CA09"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6</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44BA98B5"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0.136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5811EA3"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2</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581269D"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0.029</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6B30EE1"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8</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5E4EB044"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0.061</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0BCD1B70"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3</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56A25F65"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0.064</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E327903"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9</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1594154"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82C1A2B"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12</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EF4B79E"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0.005</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5D34F3A0"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14</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5373290D"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0.005</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03FAAF18"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13</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431BD741"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0.029</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1E1DA08C"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7</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1A4DCB8"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0.140</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5CB47215"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2</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1189778F"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0.198</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1BC59F3"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w:t>
            </w:r>
          </w:p>
        </w:tc>
      </w:tr>
      <w:tr w:rsidR="005F665E" w:rsidRPr="00BA0B57" w14:paraId="6254AB06" w14:textId="77777777" w:rsidTr="00D66FFA">
        <w:trPr>
          <w:trHeight w:val="300"/>
        </w:trPr>
        <w:tc>
          <w:tcPr>
            <w:tcW w:w="1516" w:type="dxa"/>
            <w:tcBorders>
              <w:top w:val="nil"/>
              <w:left w:val="single" w:sz="4" w:space="0" w:color="auto"/>
              <w:bottom w:val="single" w:sz="4" w:space="0" w:color="auto"/>
              <w:right w:val="single" w:sz="4" w:space="0" w:color="auto"/>
            </w:tcBorders>
            <w:shd w:val="clear" w:color="auto" w:fill="auto"/>
            <w:noWrap/>
            <w:vAlign w:val="bottom"/>
            <w:hideMark/>
          </w:tcPr>
          <w:p w14:paraId="0234F111" w14:textId="77777777" w:rsidR="005F665E" w:rsidRPr="00BA0B57" w:rsidRDefault="005F665E" w:rsidP="00BA0B57">
            <w:pPr>
              <w:spacing w:line="240" w:lineRule="auto"/>
              <w:jc w:val="left"/>
              <w:rPr>
                <w:rFonts w:ascii="Garamond" w:eastAsia="Times New Roman" w:hAnsi="Garamond" w:cs="Calibri"/>
                <w:color w:val="000000"/>
                <w:szCs w:val="24"/>
              </w:rPr>
            </w:pPr>
            <w:r w:rsidRPr="00BA0B57">
              <w:rPr>
                <w:rFonts w:ascii="Garamond" w:eastAsia="Times New Roman" w:hAnsi="Garamond" w:cs="Calibri"/>
                <w:color w:val="000000"/>
                <w:szCs w:val="24"/>
              </w:rPr>
              <w:t>NDT</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4410DB0A"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0.142</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55AFDB83"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4</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56850901"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0.122</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8B75217"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3</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BD51752"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0.136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8EC6BE5"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3</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20F4187E"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0.017</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F5C6D9E"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27E62A0E"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0.085</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3E824E4"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2</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BDC1572"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0.076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052F8F5C"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6</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C9B60D7"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0.021</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FDED639"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10</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2CD126F"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0.024</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0492255"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10</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40B71A4E"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0.027</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B78ECE4"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8</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924B666"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0.029</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10766384"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7</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28D46731"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0.102</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7878B07"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5</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25ED8FA5"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0.096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5AC6969"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3</w:t>
            </w:r>
          </w:p>
        </w:tc>
      </w:tr>
      <w:tr w:rsidR="005F665E" w:rsidRPr="00BA0B57" w14:paraId="6BA89B89" w14:textId="77777777" w:rsidTr="00D66FFA">
        <w:trPr>
          <w:trHeight w:val="300"/>
        </w:trPr>
        <w:tc>
          <w:tcPr>
            <w:tcW w:w="1516" w:type="dxa"/>
            <w:tcBorders>
              <w:top w:val="nil"/>
              <w:left w:val="single" w:sz="4" w:space="0" w:color="auto"/>
              <w:bottom w:val="single" w:sz="4" w:space="0" w:color="auto"/>
              <w:right w:val="single" w:sz="4" w:space="0" w:color="auto"/>
            </w:tcBorders>
            <w:shd w:val="clear" w:color="auto" w:fill="auto"/>
            <w:noWrap/>
            <w:vAlign w:val="bottom"/>
            <w:hideMark/>
          </w:tcPr>
          <w:p w14:paraId="6531E2C3" w14:textId="77777777" w:rsidR="005F665E" w:rsidRPr="00BA0B57" w:rsidRDefault="005F665E" w:rsidP="00BA0B57">
            <w:pPr>
              <w:spacing w:line="240" w:lineRule="auto"/>
              <w:jc w:val="left"/>
              <w:rPr>
                <w:rFonts w:ascii="Garamond" w:eastAsia="Times New Roman" w:hAnsi="Garamond" w:cs="Calibri"/>
                <w:color w:val="000000"/>
                <w:szCs w:val="24"/>
              </w:rPr>
            </w:pPr>
            <w:r w:rsidRPr="00BA0B57">
              <w:rPr>
                <w:rFonts w:ascii="Garamond" w:eastAsia="Times New Roman" w:hAnsi="Garamond" w:cs="Calibri"/>
                <w:color w:val="000000"/>
                <w:szCs w:val="24"/>
              </w:rPr>
              <w:t>PFI</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45D54E06"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0.080</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31F0756"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6</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86928D5"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0.020</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550753A"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2AAE2A08"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0.015</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68F4766"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1B313BB"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0.041</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E08DA8D"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7</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4B54989"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0.013</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9D2DF6B"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19D1CCC3"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0.100</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0A913DB"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3</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116B892F"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0.004</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57A94A2"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14</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2AA4EC69"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0.007</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140E3EA8"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13</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1866397"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0.005</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1BA73FF2"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14</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A4CE135"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0.004</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2689FBB"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13</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2C4B9B4"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0.075</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014F01A"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7</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E4BFABF"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0.161</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3DF6168"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2</w:t>
            </w:r>
          </w:p>
        </w:tc>
      </w:tr>
      <w:tr w:rsidR="005F665E" w:rsidRPr="00BA0B57" w14:paraId="200DD483" w14:textId="77777777" w:rsidTr="00D66FFA">
        <w:trPr>
          <w:trHeight w:val="300"/>
        </w:trPr>
        <w:tc>
          <w:tcPr>
            <w:tcW w:w="1516" w:type="dxa"/>
            <w:tcBorders>
              <w:top w:val="nil"/>
              <w:left w:val="single" w:sz="4" w:space="0" w:color="auto"/>
              <w:bottom w:val="single" w:sz="4" w:space="0" w:color="auto"/>
              <w:right w:val="single" w:sz="4" w:space="0" w:color="auto"/>
            </w:tcBorders>
            <w:shd w:val="clear" w:color="auto" w:fill="auto"/>
            <w:noWrap/>
            <w:vAlign w:val="bottom"/>
            <w:hideMark/>
          </w:tcPr>
          <w:p w14:paraId="3E63BEEC" w14:textId="77777777" w:rsidR="005F665E" w:rsidRPr="00BA0B57" w:rsidRDefault="005F665E" w:rsidP="00BA0B57">
            <w:pPr>
              <w:spacing w:line="240" w:lineRule="auto"/>
              <w:jc w:val="left"/>
              <w:rPr>
                <w:rFonts w:ascii="Garamond" w:eastAsia="Times New Roman" w:hAnsi="Garamond" w:cs="Calibri"/>
                <w:color w:val="000000"/>
                <w:szCs w:val="24"/>
              </w:rPr>
            </w:pPr>
            <w:r w:rsidRPr="00BA0B57">
              <w:rPr>
                <w:rFonts w:ascii="Garamond" w:eastAsia="Times New Roman" w:hAnsi="Garamond" w:cs="Calibri"/>
                <w:color w:val="000000"/>
                <w:szCs w:val="24"/>
              </w:rPr>
              <w:t>ASS</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13A029CC"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0.025</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02702438"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9</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232A3929"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0.069</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5DF91F2"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4</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CEEB64D"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0.045</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CD46317"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6</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AEA4F42"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0.003</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9EF7204"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14</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1F5D188"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0.013</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E740C39"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5505BAEE"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0.124</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57E10D3C"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2</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FC5894A"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0830DB90"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9</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5563EA91"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0.070</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52AB2E9"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4</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21E869D"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0.082</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681EF326"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3</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662E8E7"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0.032</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1B8DA636"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5</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242E1340"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0.012</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16A5497B"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13</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5E00B53F"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0.019</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5C360940"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14</w:t>
            </w:r>
          </w:p>
        </w:tc>
      </w:tr>
      <w:tr w:rsidR="005F665E" w:rsidRPr="00BA0B57" w14:paraId="0E03415A" w14:textId="77777777" w:rsidTr="00D66FFA">
        <w:trPr>
          <w:trHeight w:val="300"/>
        </w:trPr>
        <w:tc>
          <w:tcPr>
            <w:tcW w:w="1516" w:type="dxa"/>
            <w:tcBorders>
              <w:top w:val="nil"/>
              <w:left w:val="single" w:sz="4" w:space="0" w:color="auto"/>
              <w:bottom w:val="single" w:sz="4" w:space="0" w:color="auto"/>
              <w:right w:val="single" w:sz="4" w:space="0" w:color="auto"/>
            </w:tcBorders>
            <w:shd w:val="clear" w:color="auto" w:fill="auto"/>
            <w:noWrap/>
            <w:vAlign w:val="bottom"/>
            <w:hideMark/>
          </w:tcPr>
          <w:p w14:paraId="4D9E6D85" w14:textId="77777777" w:rsidR="005F665E" w:rsidRPr="00BA0B57" w:rsidRDefault="005F665E" w:rsidP="00BA0B57">
            <w:pPr>
              <w:spacing w:line="240" w:lineRule="auto"/>
              <w:jc w:val="left"/>
              <w:rPr>
                <w:rFonts w:ascii="Garamond" w:eastAsia="Times New Roman" w:hAnsi="Garamond" w:cs="Calibri"/>
                <w:color w:val="000000"/>
                <w:szCs w:val="24"/>
              </w:rPr>
            </w:pPr>
            <w:r w:rsidRPr="00BA0B57">
              <w:rPr>
                <w:rFonts w:ascii="Garamond" w:eastAsia="Times New Roman" w:hAnsi="Garamond" w:cs="Calibri"/>
                <w:color w:val="000000"/>
                <w:szCs w:val="24"/>
              </w:rPr>
              <w:t>WOU</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51DC6F8A"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0.025</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10AFF460"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10</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493EC84A"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0.020</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08968851"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9</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11F83F34"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0.129</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B9D7512"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4</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2A122CE"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0.002</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5AC12EFF"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15</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4034D7A2"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0.013</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6414A60"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51CF2DA0"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0.075</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14162A6B"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6</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16615CD"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0.086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45F2587"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4</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412F6D88"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0.092</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5389CACE"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3</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83616DA"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0.039</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E17971D"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5</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A0D1F48"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0.027</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1475EECA"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10</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B5688DD"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0.107</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11CD32B9"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4</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81F8BAC"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0.050</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D3DFC42"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11</w:t>
            </w:r>
          </w:p>
        </w:tc>
      </w:tr>
      <w:tr w:rsidR="005F665E" w:rsidRPr="00BA0B57" w14:paraId="51C1D079" w14:textId="77777777" w:rsidTr="00D66FFA">
        <w:trPr>
          <w:trHeight w:val="300"/>
        </w:trPr>
        <w:tc>
          <w:tcPr>
            <w:tcW w:w="1516" w:type="dxa"/>
            <w:tcBorders>
              <w:top w:val="nil"/>
              <w:left w:val="single" w:sz="4" w:space="0" w:color="auto"/>
              <w:bottom w:val="single" w:sz="4" w:space="0" w:color="auto"/>
              <w:right w:val="single" w:sz="4" w:space="0" w:color="auto"/>
            </w:tcBorders>
            <w:shd w:val="clear" w:color="auto" w:fill="auto"/>
            <w:noWrap/>
            <w:vAlign w:val="bottom"/>
            <w:hideMark/>
          </w:tcPr>
          <w:p w14:paraId="2DEED736" w14:textId="77777777" w:rsidR="005F665E" w:rsidRPr="00BA0B57" w:rsidRDefault="005F665E" w:rsidP="00BA0B57">
            <w:pPr>
              <w:spacing w:line="240" w:lineRule="auto"/>
              <w:jc w:val="left"/>
              <w:rPr>
                <w:rFonts w:ascii="Garamond" w:eastAsia="Times New Roman" w:hAnsi="Garamond" w:cs="Calibri"/>
                <w:color w:val="000000"/>
                <w:szCs w:val="24"/>
              </w:rPr>
            </w:pPr>
            <w:r w:rsidRPr="00BA0B57">
              <w:rPr>
                <w:rFonts w:ascii="Garamond" w:eastAsia="Times New Roman" w:hAnsi="Garamond" w:cs="Calibri"/>
                <w:color w:val="000000"/>
                <w:szCs w:val="24"/>
              </w:rPr>
              <w:t>TTT</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EC31154"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0.206</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5C7C8DC5"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15798A2"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0.020</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08873F12"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10</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478B3C34"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0.050</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391663D"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5</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C0C19B6"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0.012</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7433602"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12</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287BAADE"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0.013</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B56CCB5"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BF80F39"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0.087</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66CE4E2"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4</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A959084"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0.030</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6D5C656"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6</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226956D"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0.012</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D3F5BAD"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12ACD70A"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0.010</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0BC25049"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12</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388EB618"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0.024</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55EC8BB0"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12</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EB7B806"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0.114</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191BBD43"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3</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58386936"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0.081</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07292D77"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4</w:t>
            </w:r>
          </w:p>
        </w:tc>
      </w:tr>
      <w:tr w:rsidR="005F665E" w:rsidRPr="00BA0B57" w14:paraId="612D561C" w14:textId="77777777" w:rsidTr="00D66FFA">
        <w:trPr>
          <w:trHeight w:val="300"/>
        </w:trPr>
        <w:tc>
          <w:tcPr>
            <w:tcW w:w="1516" w:type="dxa"/>
            <w:tcBorders>
              <w:top w:val="nil"/>
              <w:left w:val="single" w:sz="4" w:space="0" w:color="auto"/>
              <w:bottom w:val="single" w:sz="4" w:space="0" w:color="auto"/>
              <w:right w:val="single" w:sz="4" w:space="0" w:color="auto"/>
            </w:tcBorders>
            <w:shd w:val="clear" w:color="auto" w:fill="auto"/>
            <w:noWrap/>
            <w:vAlign w:val="bottom"/>
            <w:hideMark/>
          </w:tcPr>
          <w:p w14:paraId="13678C2C" w14:textId="77777777" w:rsidR="005F665E" w:rsidRPr="00BA0B57" w:rsidRDefault="005F665E" w:rsidP="00BA0B57">
            <w:pPr>
              <w:spacing w:line="240" w:lineRule="auto"/>
              <w:jc w:val="left"/>
              <w:rPr>
                <w:rFonts w:ascii="Garamond" w:eastAsia="Times New Roman" w:hAnsi="Garamond" w:cs="Calibri"/>
                <w:color w:val="000000"/>
                <w:szCs w:val="24"/>
              </w:rPr>
            </w:pPr>
            <w:r w:rsidRPr="00BA0B57">
              <w:rPr>
                <w:rFonts w:ascii="Garamond" w:eastAsia="Times New Roman" w:hAnsi="Garamond" w:cs="Calibri"/>
                <w:color w:val="000000"/>
                <w:szCs w:val="24"/>
              </w:rPr>
              <w:t>TOP</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06794223"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0.119</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4EAFD7F"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5</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60BE798"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0.030</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41C0B92A"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7</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198C5F58"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0.039</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93279B4"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8</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073B3D9"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0.010</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51C77448"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13</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BC4CFEF"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0.013</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786A0599"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1665AF80"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0.087</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560A9126"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4</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E6F3BDD"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0.015</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C587E0E"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13</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29E8A0CD"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0.012</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5C6D9769"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11</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73568729"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0.030</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598C1EF0"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7</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F8BBE84"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0.004</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5F18CC48"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14</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5561C996"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0.024</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237F5AC2"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10</w:t>
            </w:r>
          </w:p>
        </w:tc>
        <w:tc>
          <w:tcPr>
            <w:tcW w:w="513" w:type="dxa"/>
            <w:tcBorders>
              <w:top w:val="nil"/>
              <w:left w:val="nil"/>
              <w:bottom w:val="single" w:sz="4" w:space="0" w:color="auto"/>
              <w:right w:val="single" w:sz="4" w:space="0" w:color="auto"/>
            </w:tcBorders>
            <w:shd w:val="clear" w:color="auto" w:fill="auto"/>
            <w:noWrap/>
            <w:tcMar>
              <w:left w:w="28" w:type="dxa"/>
            </w:tcMar>
            <w:vAlign w:val="bottom"/>
            <w:hideMark/>
          </w:tcPr>
          <w:p w14:paraId="67C98117" w14:textId="77777777" w:rsidR="005F665E" w:rsidRPr="00BA0B57" w:rsidRDefault="005F665E" w:rsidP="00BA0B57">
            <w:pPr>
              <w:spacing w:line="240" w:lineRule="auto"/>
              <w:jc w:val="right"/>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0.023</w:t>
            </w:r>
          </w:p>
        </w:tc>
        <w:tc>
          <w:tcPr>
            <w:tcW w:w="498" w:type="dxa"/>
            <w:tcBorders>
              <w:top w:val="nil"/>
              <w:left w:val="nil"/>
              <w:bottom w:val="single" w:sz="4" w:space="0" w:color="auto"/>
              <w:right w:val="single" w:sz="4" w:space="0" w:color="auto"/>
            </w:tcBorders>
            <w:shd w:val="clear" w:color="auto" w:fill="auto"/>
            <w:noWrap/>
            <w:tcMar>
              <w:left w:w="28" w:type="dxa"/>
            </w:tcMar>
            <w:vAlign w:val="bottom"/>
            <w:hideMark/>
          </w:tcPr>
          <w:p w14:paraId="386A4D89" w14:textId="77777777" w:rsidR="005F665E" w:rsidRPr="00BA0B57" w:rsidRDefault="005F665E" w:rsidP="00BA0B57">
            <w:pPr>
              <w:spacing w:line="240" w:lineRule="auto"/>
              <w:jc w:val="center"/>
              <w:rPr>
                <w:rFonts w:ascii="Garamond" w:eastAsia="Times New Roman" w:hAnsi="Garamond" w:cs="Calibri"/>
                <w:color w:val="000000"/>
                <w:sz w:val="18"/>
                <w:szCs w:val="18"/>
              </w:rPr>
            </w:pPr>
            <w:r w:rsidRPr="00BA0B57">
              <w:rPr>
                <w:rFonts w:ascii="Garamond" w:eastAsia="Times New Roman" w:hAnsi="Garamond" w:cs="Calibri"/>
                <w:color w:val="000000"/>
                <w:sz w:val="18"/>
                <w:szCs w:val="18"/>
              </w:rPr>
              <w:t>13</w:t>
            </w:r>
          </w:p>
        </w:tc>
      </w:tr>
    </w:tbl>
    <w:p w14:paraId="234D6C1B" w14:textId="77777777" w:rsidR="005F665E" w:rsidRDefault="005F665E" w:rsidP="00D66FFA">
      <w:pPr>
        <w:pStyle w:val="Caption"/>
        <w:rPr>
          <w:lang w:val="en-US"/>
        </w:rPr>
      </w:pPr>
      <w:bookmarkStart w:id="971" w:name="_Ref45022601"/>
      <w:bookmarkStart w:id="972" w:name="_Toc46053588"/>
      <w:bookmarkStart w:id="973" w:name="_Toc46093837"/>
      <w:bookmarkStart w:id="974" w:name="_Toc66698803"/>
      <w:r>
        <w:t xml:space="preserve">Table </w:t>
      </w:r>
      <w:r w:rsidR="000306D9">
        <w:fldChar w:fldCharType="begin"/>
      </w:r>
      <w:r w:rsidR="000306D9">
        <w:instrText xml:space="preserve"> STYLEREF 1 \s </w:instrText>
      </w:r>
      <w:r w:rsidR="000306D9">
        <w:fldChar w:fldCharType="separate"/>
      </w:r>
      <w:r>
        <w:rPr>
          <w:noProof/>
        </w:rPr>
        <w:t>6</w:t>
      </w:r>
      <w:r w:rsidR="000306D9">
        <w:rPr>
          <w:noProof/>
        </w:rPr>
        <w:fldChar w:fldCharType="end"/>
      </w:r>
      <w:r>
        <w:noBreakHyphen/>
      </w:r>
      <w:r w:rsidR="000306D9">
        <w:fldChar w:fldCharType="begin"/>
      </w:r>
      <w:r w:rsidR="000306D9">
        <w:instrText xml:space="preserve"> SEQ Table \* ARABIC \s 1 </w:instrText>
      </w:r>
      <w:r w:rsidR="000306D9">
        <w:fldChar w:fldCharType="separate"/>
      </w:r>
      <w:r>
        <w:rPr>
          <w:noProof/>
        </w:rPr>
        <w:t>10</w:t>
      </w:r>
      <w:r w:rsidR="000306D9">
        <w:rPr>
          <w:noProof/>
        </w:rPr>
        <w:fldChar w:fldCharType="end"/>
      </w:r>
      <w:bookmarkEnd w:id="971"/>
      <w:r>
        <w:rPr>
          <w:lang w:val="en-US"/>
        </w:rPr>
        <w:t>: Analytic hierarchy process method (</w:t>
      </w:r>
      <w:r w:rsidRPr="00CD52C2">
        <w:rPr>
          <w:lang w:val="en-US"/>
        </w:rPr>
        <w:t>AHP</w:t>
      </w:r>
      <w:r>
        <w:rPr>
          <w:lang w:val="en-US"/>
        </w:rPr>
        <w:t>)</w:t>
      </w:r>
      <w:r w:rsidRPr="00CD52C2">
        <w:rPr>
          <w:lang w:val="en-US"/>
        </w:rPr>
        <w:t xml:space="preserve"> </w:t>
      </w:r>
      <w:r>
        <w:rPr>
          <w:lang w:val="en-US"/>
        </w:rPr>
        <w:t>f</w:t>
      </w:r>
      <w:r w:rsidRPr="00CD52C2">
        <w:rPr>
          <w:lang w:val="en-US"/>
        </w:rPr>
        <w:t xml:space="preserve">inal </w:t>
      </w:r>
      <w:r>
        <w:rPr>
          <w:lang w:val="en-US"/>
        </w:rPr>
        <w:t>s</w:t>
      </w:r>
      <w:r w:rsidRPr="00CD52C2">
        <w:rPr>
          <w:lang w:val="en-US"/>
        </w:rPr>
        <w:t xml:space="preserve">cores </w:t>
      </w:r>
      <w:r>
        <w:rPr>
          <w:lang w:val="en-US"/>
        </w:rPr>
        <w:t>and s</w:t>
      </w:r>
      <w:r w:rsidRPr="00CD52C2">
        <w:rPr>
          <w:lang w:val="en-US"/>
        </w:rPr>
        <w:t xml:space="preserve">takeholder </w:t>
      </w:r>
      <w:r>
        <w:rPr>
          <w:lang w:val="en-US"/>
        </w:rPr>
        <w:t>r</w:t>
      </w:r>
      <w:r w:rsidRPr="00CD52C2">
        <w:rPr>
          <w:lang w:val="en-US"/>
        </w:rPr>
        <w:t>ankin</w:t>
      </w:r>
      <w:r>
        <w:rPr>
          <w:lang w:val="en-US"/>
        </w:rPr>
        <w:t>gs</w:t>
      </w:r>
      <w:bookmarkEnd w:id="972"/>
      <w:bookmarkEnd w:id="973"/>
      <w:bookmarkEnd w:id="974"/>
    </w:p>
    <w:p w14:paraId="6C390BEB" w14:textId="77777777" w:rsidR="005F665E" w:rsidRPr="00CD52C2" w:rsidRDefault="005F665E" w:rsidP="00BB2459">
      <w:pPr>
        <w:widowControl w:val="0"/>
        <w:spacing w:line="360" w:lineRule="auto"/>
        <w:jc w:val="center"/>
        <w:rPr>
          <w:rFonts w:eastAsia="Times New Roman"/>
          <w:bCs/>
          <w:i/>
          <w:iCs/>
          <w:kern w:val="2"/>
          <w:szCs w:val="18"/>
          <w:lang w:val="en-US"/>
        </w:rPr>
        <w:sectPr w:rsidR="005F665E" w:rsidRPr="00CD52C2" w:rsidSect="00622AC7">
          <w:pgSz w:w="16838" w:h="11906" w:orient="landscape"/>
          <w:pgMar w:top="1440" w:right="1440" w:bottom="1440" w:left="1440" w:header="708" w:footer="708" w:gutter="0"/>
          <w:cols w:space="708"/>
          <w:docGrid w:linePitch="360"/>
        </w:sectPr>
      </w:pPr>
    </w:p>
    <w:tbl>
      <w:tblPr>
        <w:tblW w:w="8772" w:type="dxa"/>
        <w:tblLook w:val="04A0" w:firstRow="1" w:lastRow="0" w:firstColumn="1" w:lastColumn="0" w:noHBand="0" w:noVBand="1"/>
      </w:tblPr>
      <w:tblGrid>
        <w:gridCol w:w="1221"/>
        <w:gridCol w:w="718"/>
        <w:gridCol w:w="2337"/>
        <w:gridCol w:w="1127"/>
        <w:gridCol w:w="1127"/>
        <w:gridCol w:w="988"/>
        <w:gridCol w:w="1254"/>
      </w:tblGrid>
      <w:tr w:rsidR="005F665E" w:rsidRPr="00A73599" w14:paraId="699D91EA" w14:textId="77777777" w:rsidTr="0051420F">
        <w:trPr>
          <w:trHeight w:val="250"/>
        </w:trPr>
        <w:tc>
          <w:tcPr>
            <w:tcW w:w="8772" w:type="dxa"/>
            <w:gridSpan w:val="7"/>
            <w:tcBorders>
              <w:top w:val="single" w:sz="4" w:space="0" w:color="auto"/>
              <w:left w:val="single" w:sz="4" w:space="0" w:color="auto"/>
              <w:bottom w:val="single" w:sz="4" w:space="0" w:color="auto"/>
              <w:right w:val="single" w:sz="4" w:space="0" w:color="auto"/>
            </w:tcBorders>
            <w:shd w:val="clear" w:color="000000" w:fill="FFFFFF"/>
            <w:vAlign w:val="center"/>
            <w:hideMark/>
          </w:tcPr>
          <w:p w14:paraId="638B147B" w14:textId="77777777" w:rsidR="005F665E" w:rsidRPr="00A73599" w:rsidRDefault="005F665E" w:rsidP="0051420F">
            <w:pPr>
              <w:spacing w:line="240" w:lineRule="auto"/>
              <w:jc w:val="center"/>
              <w:rPr>
                <w:rFonts w:eastAsia="Times New Roman" w:cs="Calibri"/>
                <w:b/>
                <w:bCs/>
                <w:sz w:val="22"/>
              </w:rPr>
            </w:pPr>
            <w:bookmarkStart w:id="975" w:name="_Ref45022637"/>
            <w:r w:rsidRPr="00A73599">
              <w:rPr>
                <w:rFonts w:eastAsia="Times New Roman" w:cs="Calibri"/>
                <w:b/>
                <w:bCs/>
                <w:sz w:val="22"/>
              </w:rPr>
              <w:lastRenderedPageBreak/>
              <w:t>Correlations</w:t>
            </w:r>
          </w:p>
        </w:tc>
      </w:tr>
      <w:tr w:rsidR="005F665E" w:rsidRPr="00A73599" w14:paraId="65D6AC9A" w14:textId="77777777" w:rsidTr="0051420F">
        <w:trPr>
          <w:trHeight w:val="250"/>
        </w:trPr>
        <w:tc>
          <w:tcPr>
            <w:tcW w:w="4248"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5CF3B90A"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 </w:t>
            </w:r>
          </w:p>
        </w:tc>
        <w:tc>
          <w:tcPr>
            <w:tcW w:w="1134" w:type="dxa"/>
            <w:tcBorders>
              <w:top w:val="nil"/>
              <w:left w:val="nil"/>
              <w:bottom w:val="single" w:sz="4" w:space="0" w:color="auto"/>
              <w:right w:val="single" w:sz="4" w:space="0" w:color="auto"/>
            </w:tcBorders>
            <w:shd w:val="clear" w:color="000000" w:fill="FFFFFF"/>
            <w:vAlign w:val="center"/>
            <w:hideMark/>
          </w:tcPr>
          <w:p w14:paraId="0D0E9837" w14:textId="77777777" w:rsidR="005F665E" w:rsidRPr="00A73599" w:rsidRDefault="005F665E" w:rsidP="0051420F">
            <w:pPr>
              <w:spacing w:line="240" w:lineRule="auto"/>
              <w:jc w:val="center"/>
              <w:rPr>
                <w:rFonts w:eastAsia="Times New Roman" w:cs="Calibri"/>
                <w:sz w:val="22"/>
              </w:rPr>
            </w:pPr>
            <w:r w:rsidRPr="00A73599">
              <w:rPr>
                <w:rFonts w:eastAsia="Times New Roman" w:cs="Calibri"/>
                <w:sz w:val="22"/>
              </w:rPr>
              <w:t>SS</w:t>
            </w:r>
          </w:p>
        </w:tc>
        <w:tc>
          <w:tcPr>
            <w:tcW w:w="1134" w:type="dxa"/>
            <w:tcBorders>
              <w:top w:val="nil"/>
              <w:left w:val="nil"/>
              <w:bottom w:val="single" w:sz="4" w:space="0" w:color="auto"/>
              <w:right w:val="single" w:sz="4" w:space="0" w:color="auto"/>
            </w:tcBorders>
            <w:shd w:val="clear" w:color="000000" w:fill="FFFFFF"/>
            <w:vAlign w:val="center"/>
            <w:hideMark/>
          </w:tcPr>
          <w:p w14:paraId="03F238D2" w14:textId="77777777" w:rsidR="005F665E" w:rsidRPr="00A73599" w:rsidRDefault="005F665E" w:rsidP="0051420F">
            <w:pPr>
              <w:spacing w:line="240" w:lineRule="auto"/>
              <w:jc w:val="center"/>
              <w:rPr>
                <w:rFonts w:eastAsia="Times New Roman" w:cs="Calibri"/>
                <w:sz w:val="22"/>
              </w:rPr>
            </w:pPr>
            <w:r w:rsidRPr="00A73599">
              <w:rPr>
                <w:rFonts w:eastAsia="Times New Roman" w:cs="Calibri"/>
                <w:sz w:val="22"/>
              </w:rPr>
              <w:t>WCC</w:t>
            </w:r>
          </w:p>
        </w:tc>
        <w:tc>
          <w:tcPr>
            <w:tcW w:w="992" w:type="dxa"/>
            <w:tcBorders>
              <w:top w:val="nil"/>
              <w:left w:val="nil"/>
              <w:bottom w:val="single" w:sz="4" w:space="0" w:color="auto"/>
              <w:right w:val="single" w:sz="4" w:space="0" w:color="auto"/>
            </w:tcBorders>
            <w:shd w:val="clear" w:color="000000" w:fill="FFFFFF"/>
            <w:vAlign w:val="center"/>
            <w:hideMark/>
          </w:tcPr>
          <w:p w14:paraId="7E7A84A9" w14:textId="77777777" w:rsidR="005F665E" w:rsidRPr="00A73599" w:rsidRDefault="005F665E" w:rsidP="0051420F">
            <w:pPr>
              <w:spacing w:line="240" w:lineRule="auto"/>
              <w:jc w:val="center"/>
              <w:rPr>
                <w:rFonts w:eastAsia="Times New Roman" w:cs="Calibri"/>
                <w:sz w:val="22"/>
              </w:rPr>
            </w:pPr>
            <w:r w:rsidRPr="00A73599">
              <w:rPr>
                <w:rFonts w:eastAsia="Times New Roman" w:cs="Calibri"/>
                <w:sz w:val="22"/>
              </w:rPr>
              <w:t>LC</w:t>
            </w:r>
          </w:p>
        </w:tc>
        <w:tc>
          <w:tcPr>
            <w:tcW w:w="1264" w:type="dxa"/>
            <w:tcBorders>
              <w:top w:val="nil"/>
              <w:left w:val="nil"/>
              <w:bottom w:val="single" w:sz="4" w:space="0" w:color="auto"/>
              <w:right w:val="single" w:sz="4" w:space="0" w:color="auto"/>
            </w:tcBorders>
            <w:shd w:val="clear" w:color="000000" w:fill="FFFFFF"/>
            <w:vAlign w:val="center"/>
            <w:hideMark/>
          </w:tcPr>
          <w:p w14:paraId="3D404653" w14:textId="77777777" w:rsidR="005F665E" w:rsidRPr="00A73599" w:rsidRDefault="005F665E" w:rsidP="0051420F">
            <w:pPr>
              <w:spacing w:line="240" w:lineRule="auto"/>
              <w:jc w:val="center"/>
              <w:rPr>
                <w:rFonts w:eastAsia="Times New Roman" w:cs="Calibri"/>
                <w:sz w:val="22"/>
              </w:rPr>
            </w:pPr>
            <w:r w:rsidRPr="00A73599">
              <w:rPr>
                <w:rFonts w:eastAsia="Times New Roman" w:cs="Calibri"/>
                <w:sz w:val="22"/>
              </w:rPr>
              <w:t>KTH</w:t>
            </w:r>
          </w:p>
        </w:tc>
      </w:tr>
      <w:tr w:rsidR="005F665E" w:rsidRPr="00A73599" w14:paraId="2FDE9CCE" w14:textId="77777777" w:rsidTr="0051420F">
        <w:trPr>
          <w:trHeight w:val="250"/>
        </w:trPr>
        <w:tc>
          <w:tcPr>
            <w:tcW w:w="1200" w:type="dxa"/>
            <w:vMerge w:val="restart"/>
            <w:tcBorders>
              <w:top w:val="nil"/>
              <w:left w:val="single" w:sz="4" w:space="0" w:color="auto"/>
              <w:bottom w:val="single" w:sz="4" w:space="0" w:color="auto"/>
              <w:right w:val="single" w:sz="4" w:space="0" w:color="auto"/>
            </w:tcBorders>
            <w:shd w:val="clear" w:color="000000" w:fill="E0E0E0"/>
            <w:vAlign w:val="center"/>
            <w:hideMark/>
          </w:tcPr>
          <w:p w14:paraId="77A8709A"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 xml:space="preserve">Kendall's </w:t>
            </w:r>
            <w:proofErr w:type="spellStart"/>
            <w:r w:rsidRPr="00A73599">
              <w:rPr>
                <w:rFonts w:eastAsia="Times New Roman" w:cs="Calibri"/>
                <w:sz w:val="22"/>
              </w:rPr>
              <w:t>tau_b</w:t>
            </w:r>
            <w:proofErr w:type="spellEnd"/>
          </w:p>
        </w:tc>
        <w:tc>
          <w:tcPr>
            <w:tcW w:w="691" w:type="dxa"/>
            <w:vMerge w:val="restart"/>
            <w:tcBorders>
              <w:top w:val="nil"/>
              <w:left w:val="single" w:sz="4" w:space="0" w:color="auto"/>
              <w:bottom w:val="single" w:sz="4" w:space="0" w:color="auto"/>
              <w:right w:val="single" w:sz="4" w:space="0" w:color="auto"/>
            </w:tcBorders>
            <w:shd w:val="clear" w:color="000000" w:fill="E0E0E0"/>
            <w:vAlign w:val="center"/>
            <w:hideMark/>
          </w:tcPr>
          <w:p w14:paraId="13F4A9ED"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SS</w:t>
            </w:r>
          </w:p>
        </w:tc>
        <w:tc>
          <w:tcPr>
            <w:tcW w:w="2357" w:type="dxa"/>
            <w:tcBorders>
              <w:top w:val="nil"/>
              <w:left w:val="nil"/>
              <w:bottom w:val="single" w:sz="4" w:space="0" w:color="auto"/>
              <w:right w:val="single" w:sz="4" w:space="0" w:color="auto"/>
            </w:tcBorders>
            <w:shd w:val="clear" w:color="000000" w:fill="E0E0E0"/>
            <w:vAlign w:val="center"/>
            <w:hideMark/>
          </w:tcPr>
          <w:p w14:paraId="2C27A4D1"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1134" w:type="dxa"/>
            <w:tcBorders>
              <w:top w:val="nil"/>
              <w:left w:val="nil"/>
              <w:bottom w:val="single" w:sz="4" w:space="0" w:color="auto"/>
              <w:right w:val="single" w:sz="4" w:space="0" w:color="auto"/>
            </w:tcBorders>
            <w:shd w:val="clear" w:color="000000" w:fill="FFFFFF"/>
            <w:vAlign w:val="center"/>
            <w:hideMark/>
          </w:tcPr>
          <w:p w14:paraId="07EAB6DA"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c>
          <w:tcPr>
            <w:tcW w:w="1134" w:type="dxa"/>
            <w:tcBorders>
              <w:top w:val="nil"/>
              <w:left w:val="nil"/>
              <w:bottom w:val="single" w:sz="4" w:space="0" w:color="auto"/>
              <w:right w:val="single" w:sz="4" w:space="0" w:color="auto"/>
            </w:tcBorders>
            <w:shd w:val="clear" w:color="000000" w:fill="FFFFFF"/>
            <w:vAlign w:val="center"/>
            <w:hideMark/>
          </w:tcPr>
          <w:p w14:paraId="52758344"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0.314</w:t>
            </w:r>
          </w:p>
        </w:tc>
        <w:tc>
          <w:tcPr>
            <w:tcW w:w="992" w:type="dxa"/>
            <w:tcBorders>
              <w:top w:val="nil"/>
              <w:left w:val="nil"/>
              <w:bottom w:val="single" w:sz="4" w:space="0" w:color="auto"/>
              <w:right w:val="single" w:sz="4" w:space="0" w:color="auto"/>
            </w:tcBorders>
            <w:shd w:val="clear" w:color="000000" w:fill="FFFFFF"/>
            <w:vAlign w:val="center"/>
            <w:hideMark/>
          </w:tcPr>
          <w:p w14:paraId="013998C8"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.524</w:t>
            </w:r>
            <w:r w:rsidRPr="00A73599">
              <w:rPr>
                <w:rFonts w:eastAsia="Times New Roman" w:cs="Calibri"/>
                <w:sz w:val="22"/>
                <w:vertAlign w:val="superscript"/>
              </w:rPr>
              <w:t>**</w:t>
            </w:r>
          </w:p>
        </w:tc>
        <w:tc>
          <w:tcPr>
            <w:tcW w:w="1264" w:type="dxa"/>
            <w:tcBorders>
              <w:top w:val="nil"/>
              <w:left w:val="nil"/>
              <w:bottom w:val="single" w:sz="4" w:space="0" w:color="auto"/>
              <w:right w:val="single" w:sz="4" w:space="0" w:color="auto"/>
            </w:tcBorders>
            <w:shd w:val="clear" w:color="000000" w:fill="FFFFFF"/>
            <w:vAlign w:val="center"/>
            <w:hideMark/>
          </w:tcPr>
          <w:p w14:paraId="19A6D24D"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-0.238</w:t>
            </w:r>
          </w:p>
        </w:tc>
      </w:tr>
      <w:tr w:rsidR="005F665E" w:rsidRPr="00A73599" w14:paraId="33EA2B41" w14:textId="77777777" w:rsidTr="0051420F">
        <w:trPr>
          <w:trHeight w:val="250"/>
        </w:trPr>
        <w:tc>
          <w:tcPr>
            <w:tcW w:w="1200" w:type="dxa"/>
            <w:vMerge/>
            <w:tcBorders>
              <w:top w:val="nil"/>
              <w:left w:val="single" w:sz="4" w:space="0" w:color="auto"/>
              <w:bottom w:val="single" w:sz="4" w:space="0" w:color="auto"/>
              <w:right w:val="single" w:sz="4" w:space="0" w:color="auto"/>
            </w:tcBorders>
            <w:vAlign w:val="center"/>
            <w:hideMark/>
          </w:tcPr>
          <w:p w14:paraId="0A325F19" w14:textId="77777777" w:rsidR="005F665E" w:rsidRPr="00A73599" w:rsidRDefault="005F665E" w:rsidP="0051420F">
            <w:pPr>
              <w:spacing w:line="240" w:lineRule="auto"/>
              <w:rPr>
                <w:rFonts w:eastAsia="Times New Roman" w:cs="Calibri"/>
                <w:sz w:val="22"/>
              </w:rPr>
            </w:pPr>
          </w:p>
        </w:tc>
        <w:tc>
          <w:tcPr>
            <w:tcW w:w="691" w:type="dxa"/>
            <w:vMerge/>
            <w:tcBorders>
              <w:top w:val="nil"/>
              <w:left w:val="single" w:sz="4" w:space="0" w:color="auto"/>
              <w:bottom w:val="single" w:sz="4" w:space="0" w:color="auto"/>
              <w:right w:val="single" w:sz="4" w:space="0" w:color="auto"/>
            </w:tcBorders>
            <w:vAlign w:val="center"/>
            <w:hideMark/>
          </w:tcPr>
          <w:p w14:paraId="4976EC27" w14:textId="77777777" w:rsidR="005F665E" w:rsidRPr="00A73599" w:rsidRDefault="005F665E" w:rsidP="0051420F">
            <w:pPr>
              <w:spacing w:line="240" w:lineRule="auto"/>
              <w:rPr>
                <w:rFonts w:eastAsia="Times New Roman" w:cs="Calibri"/>
                <w:sz w:val="22"/>
              </w:rPr>
            </w:pPr>
          </w:p>
        </w:tc>
        <w:tc>
          <w:tcPr>
            <w:tcW w:w="2357" w:type="dxa"/>
            <w:tcBorders>
              <w:top w:val="nil"/>
              <w:left w:val="nil"/>
              <w:bottom w:val="single" w:sz="4" w:space="0" w:color="auto"/>
              <w:right w:val="single" w:sz="4" w:space="0" w:color="auto"/>
            </w:tcBorders>
            <w:shd w:val="clear" w:color="000000" w:fill="E0E0E0"/>
            <w:vAlign w:val="center"/>
            <w:hideMark/>
          </w:tcPr>
          <w:p w14:paraId="724E80D9"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1134" w:type="dxa"/>
            <w:tcBorders>
              <w:top w:val="nil"/>
              <w:left w:val="nil"/>
              <w:bottom w:val="single" w:sz="4" w:space="0" w:color="auto"/>
              <w:right w:val="single" w:sz="4" w:space="0" w:color="auto"/>
            </w:tcBorders>
            <w:shd w:val="clear" w:color="000000" w:fill="FFFFFF"/>
            <w:vAlign w:val="center"/>
            <w:hideMark/>
          </w:tcPr>
          <w:p w14:paraId="48B203E9"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c>
          <w:tcPr>
            <w:tcW w:w="1134" w:type="dxa"/>
            <w:tcBorders>
              <w:top w:val="nil"/>
              <w:left w:val="nil"/>
              <w:bottom w:val="single" w:sz="4" w:space="0" w:color="auto"/>
              <w:right w:val="single" w:sz="4" w:space="0" w:color="auto"/>
            </w:tcBorders>
            <w:shd w:val="clear" w:color="000000" w:fill="FFFFFF"/>
            <w:vAlign w:val="center"/>
            <w:hideMark/>
          </w:tcPr>
          <w:p w14:paraId="704CDDE1"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0.102</w:t>
            </w:r>
          </w:p>
        </w:tc>
        <w:tc>
          <w:tcPr>
            <w:tcW w:w="992" w:type="dxa"/>
            <w:tcBorders>
              <w:top w:val="nil"/>
              <w:left w:val="nil"/>
              <w:bottom w:val="single" w:sz="4" w:space="0" w:color="auto"/>
              <w:right w:val="single" w:sz="4" w:space="0" w:color="auto"/>
            </w:tcBorders>
            <w:shd w:val="clear" w:color="000000" w:fill="FFFFFF"/>
            <w:vAlign w:val="center"/>
            <w:hideMark/>
          </w:tcPr>
          <w:p w14:paraId="4FE8F194"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0.006</w:t>
            </w:r>
          </w:p>
        </w:tc>
        <w:tc>
          <w:tcPr>
            <w:tcW w:w="1264" w:type="dxa"/>
            <w:tcBorders>
              <w:top w:val="nil"/>
              <w:left w:val="nil"/>
              <w:bottom w:val="single" w:sz="4" w:space="0" w:color="auto"/>
              <w:right w:val="single" w:sz="4" w:space="0" w:color="auto"/>
            </w:tcBorders>
            <w:shd w:val="clear" w:color="000000" w:fill="FFFFFF"/>
            <w:vAlign w:val="center"/>
            <w:hideMark/>
          </w:tcPr>
          <w:p w14:paraId="3688A9E3"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0.216</w:t>
            </w:r>
          </w:p>
        </w:tc>
      </w:tr>
      <w:tr w:rsidR="005F665E" w:rsidRPr="00A73599" w14:paraId="08CAC361" w14:textId="77777777" w:rsidTr="0051420F">
        <w:trPr>
          <w:trHeight w:val="250"/>
        </w:trPr>
        <w:tc>
          <w:tcPr>
            <w:tcW w:w="1200" w:type="dxa"/>
            <w:vMerge/>
            <w:tcBorders>
              <w:top w:val="nil"/>
              <w:left w:val="single" w:sz="4" w:space="0" w:color="auto"/>
              <w:bottom w:val="single" w:sz="4" w:space="0" w:color="auto"/>
              <w:right w:val="single" w:sz="4" w:space="0" w:color="auto"/>
            </w:tcBorders>
            <w:vAlign w:val="center"/>
            <w:hideMark/>
          </w:tcPr>
          <w:p w14:paraId="398A2286" w14:textId="77777777" w:rsidR="005F665E" w:rsidRPr="00A73599" w:rsidRDefault="005F665E" w:rsidP="0051420F">
            <w:pPr>
              <w:spacing w:line="240" w:lineRule="auto"/>
              <w:rPr>
                <w:rFonts w:eastAsia="Times New Roman" w:cs="Calibri"/>
                <w:sz w:val="22"/>
              </w:rPr>
            </w:pPr>
          </w:p>
        </w:tc>
        <w:tc>
          <w:tcPr>
            <w:tcW w:w="691" w:type="dxa"/>
            <w:vMerge w:val="restart"/>
            <w:tcBorders>
              <w:top w:val="nil"/>
              <w:left w:val="single" w:sz="4" w:space="0" w:color="auto"/>
              <w:bottom w:val="single" w:sz="4" w:space="0" w:color="auto"/>
              <w:right w:val="single" w:sz="4" w:space="0" w:color="auto"/>
            </w:tcBorders>
            <w:shd w:val="clear" w:color="000000" w:fill="E0E0E0"/>
            <w:vAlign w:val="center"/>
            <w:hideMark/>
          </w:tcPr>
          <w:p w14:paraId="035B3438"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WCC</w:t>
            </w:r>
          </w:p>
        </w:tc>
        <w:tc>
          <w:tcPr>
            <w:tcW w:w="2357" w:type="dxa"/>
            <w:tcBorders>
              <w:top w:val="nil"/>
              <w:left w:val="nil"/>
              <w:bottom w:val="single" w:sz="4" w:space="0" w:color="auto"/>
              <w:right w:val="single" w:sz="4" w:space="0" w:color="auto"/>
            </w:tcBorders>
            <w:shd w:val="clear" w:color="000000" w:fill="E0E0E0"/>
            <w:vAlign w:val="center"/>
            <w:hideMark/>
          </w:tcPr>
          <w:p w14:paraId="5CEEEB09"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1134" w:type="dxa"/>
            <w:tcBorders>
              <w:top w:val="nil"/>
              <w:left w:val="nil"/>
              <w:bottom w:val="single" w:sz="4" w:space="0" w:color="auto"/>
              <w:right w:val="single" w:sz="4" w:space="0" w:color="auto"/>
            </w:tcBorders>
            <w:shd w:val="clear" w:color="000000" w:fill="FFFFFF"/>
            <w:vAlign w:val="center"/>
            <w:hideMark/>
          </w:tcPr>
          <w:p w14:paraId="54BB95EE"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0.314</w:t>
            </w:r>
          </w:p>
        </w:tc>
        <w:tc>
          <w:tcPr>
            <w:tcW w:w="1134" w:type="dxa"/>
            <w:tcBorders>
              <w:top w:val="nil"/>
              <w:left w:val="nil"/>
              <w:bottom w:val="single" w:sz="4" w:space="0" w:color="auto"/>
              <w:right w:val="single" w:sz="4" w:space="0" w:color="auto"/>
            </w:tcBorders>
            <w:shd w:val="clear" w:color="000000" w:fill="FFFFFF"/>
            <w:vAlign w:val="center"/>
            <w:hideMark/>
          </w:tcPr>
          <w:p w14:paraId="3B73A740"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c>
          <w:tcPr>
            <w:tcW w:w="992" w:type="dxa"/>
            <w:tcBorders>
              <w:top w:val="nil"/>
              <w:left w:val="nil"/>
              <w:bottom w:val="single" w:sz="4" w:space="0" w:color="auto"/>
              <w:right w:val="single" w:sz="4" w:space="0" w:color="auto"/>
            </w:tcBorders>
            <w:shd w:val="clear" w:color="000000" w:fill="FFFFFF"/>
            <w:vAlign w:val="center"/>
            <w:hideMark/>
          </w:tcPr>
          <w:p w14:paraId="5EE40948"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0.371</w:t>
            </w:r>
          </w:p>
        </w:tc>
        <w:tc>
          <w:tcPr>
            <w:tcW w:w="1264" w:type="dxa"/>
            <w:tcBorders>
              <w:top w:val="nil"/>
              <w:left w:val="nil"/>
              <w:bottom w:val="single" w:sz="4" w:space="0" w:color="auto"/>
              <w:right w:val="single" w:sz="4" w:space="0" w:color="auto"/>
            </w:tcBorders>
            <w:shd w:val="clear" w:color="000000" w:fill="FFFFFF"/>
            <w:vAlign w:val="center"/>
            <w:hideMark/>
          </w:tcPr>
          <w:p w14:paraId="6D44F07C"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-0.162</w:t>
            </w:r>
          </w:p>
        </w:tc>
      </w:tr>
      <w:tr w:rsidR="005F665E" w:rsidRPr="00A73599" w14:paraId="144BBA94" w14:textId="77777777" w:rsidTr="0051420F">
        <w:trPr>
          <w:trHeight w:val="250"/>
        </w:trPr>
        <w:tc>
          <w:tcPr>
            <w:tcW w:w="1200" w:type="dxa"/>
            <w:vMerge/>
            <w:tcBorders>
              <w:top w:val="nil"/>
              <w:left w:val="single" w:sz="4" w:space="0" w:color="auto"/>
              <w:bottom w:val="single" w:sz="4" w:space="0" w:color="auto"/>
              <w:right w:val="single" w:sz="4" w:space="0" w:color="auto"/>
            </w:tcBorders>
            <w:vAlign w:val="center"/>
            <w:hideMark/>
          </w:tcPr>
          <w:p w14:paraId="65B61D4E" w14:textId="77777777" w:rsidR="005F665E" w:rsidRPr="00A73599" w:rsidRDefault="005F665E" w:rsidP="0051420F">
            <w:pPr>
              <w:spacing w:line="240" w:lineRule="auto"/>
              <w:rPr>
                <w:rFonts w:eastAsia="Times New Roman" w:cs="Calibri"/>
                <w:sz w:val="22"/>
              </w:rPr>
            </w:pPr>
          </w:p>
        </w:tc>
        <w:tc>
          <w:tcPr>
            <w:tcW w:w="691" w:type="dxa"/>
            <w:vMerge/>
            <w:tcBorders>
              <w:top w:val="nil"/>
              <w:left w:val="single" w:sz="4" w:space="0" w:color="auto"/>
              <w:bottom w:val="single" w:sz="4" w:space="0" w:color="auto"/>
              <w:right w:val="single" w:sz="4" w:space="0" w:color="auto"/>
            </w:tcBorders>
            <w:vAlign w:val="center"/>
            <w:hideMark/>
          </w:tcPr>
          <w:p w14:paraId="168F149A" w14:textId="77777777" w:rsidR="005F665E" w:rsidRPr="00A73599" w:rsidRDefault="005F665E" w:rsidP="0051420F">
            <w:pPr>
              <w:spacing w:line="240" w:lineRule="auto"/>
              <w:rPr>
                <w:rFonts w:eastAsia="Times New Roman" w:cs="Calibri"/>
                <w:sz w:val="22"/>
              </w:rPr>
            </w:pPr>
          </w:p>
        </w:tc>
        <w:tc>
          <w:tcPr>
            <w:tcW w:w="2357" w:type="dxa"/>
            <w:tcBorders>
              <w:top w:val="nil"/>
              <w:left w:val="nil"/>
              <w:bottom w:val="single" w:sz="4" w:space="0" w:color="auto"/>
              <w:right w:val="single" w:sz="4" w:space="0" w:color="auto"/>
            </w:tcBorders>
            <w:shd w:val="clear" w:color="000000" w:fill="E0E0E0"/>
            <w:vAlign w:val="center"/>
            <w:hideMark/>
          </w:tcPr>
          <w:p w14:paraId="0A161491"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1134" w:type="dxa"/>
            <w:tcBorders>
              <w:top w:val="nil"/>
              <w:left w:val="nil"/>
              <w:bottom w:val="single" w:sz="4" w:space="0" w:color="auto"/>
              <w:right w:val="single" w:sz="4" w:space="0" w:color="auto"/>
            </w:tcBorders>
            <w:shd w:val="clear" w:color="000000" w:fill="FFFFFF"/>
            <w:vAlign w:val="center"/>
            <w:hideMark/>
          </w:tcPr>
          <w:p w14:paraId="0C1FB022"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0.102</w:t>
            </w:r>
          </w:p>
        </w:tc>
        <w:tc>
          <w:tcPr>
            <w:tcW w:w="1134" w:type="dxa"/>
            <w:tcBorders>
              <w:top w:val="nil"/>
              <w:left w:val="nil"/>
              <w:bottom w:val="single" w:sz="4" w:space="0" w:color="auto"/>
              <w:right w:val="single" w:sz="4" w:space="0" w:color="auto"/>
            </w:tcBorders>
            <w:shd w:val="clear" w:color="000000" w:fill="FFFFFF"/>
            <w:vAlign w:val="center"/>
            <w:hideMark/>
          </w:tcPr>
          <w:p w14:paraId="36B4B755"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c>
          <w:tcPr>
            <w:tcW w:w="992" w:type="dxa"/>
            <w:tcBorders>
              <w:top w:val="nil"/>
              <w:left w:val="nil"/>
              <w:bottom w:val="single" w:sz="4" w:space="0" w:color="auto"/>
              <w:right w:val="single" w:sz="4" w:space="0" w:color="auto"/>
            </w:tcBorders>
            <w:shd w:val="clear" w:color="000000" w:fill="FFFFFF"/>
            <w:vAlign w:val="center"/>
            <w:hideMark/>
          </w:tcPr>
          <w:p w14:paraId="4DEA0D72"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0.054</w:t>
            </w:r>
          </w:p>
        </w:tc>
        <w:tc>
          <w:tcPr>
            <w:tcW w:w="1264" w:type="dxa"/>
            <w:tcBorders>
              <w:top w:val="nil"/>
              <w:left w:val="nil"/>
              <w:bottom w:val="single" w:sz="4" w:space="0" w:color="auto"/>
              <w:right w:val="single" w:sz="4" w:space="0" w:color="auto"/>
            </w:tcBorders>
            <w:shd w:val="clear" w:color="000000" w:fill="FFFFFF"/>
            <w:vAlign w:val="center"/>
            <w:hideMark/>
          </w:tcPr>
          <w:p w14:paraId="2712B8E4"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0.4</w:t>
            </w:r>
          </w:p>
        </w:tc>
      </w:tr>
      <w:tr w:rsidR="005F665E" w:rsidRPr="00A73599" w14:paraId="53476607" w14:textId="77777777" w:rsidTr="0051420F">
        <w:trPr>
          <w:trHeight w:val="250"/>
        </w:trPr>
        <w:tc>
          <w:tcPr>
            <w:tcW w:w="1200" w:type="dxa"/>
            <w:vMerge/>
            <w:tcBorders>
              <w:top w:val="nil"/>
              <w:left w:val="single" w:sz="4" w:space="0" w:color="auto"/>
              <w:bottom w:val="single" w:sz="4" w:space="0" w:color="auto"/>
              <w:right w:val="single" w:sz="4" w:space="0" w:color="auto"/>
            </w:tcBorders>
            <w:vAlign w:val="center"/>
            <w:hideMark/>
          </w:tcPr>
          <w:p w14:paraId="384178A3" w14:textId="77777777" w:rsidR="005F665E" w:rsidRPr="00A73599" w:rsidRDefault="005F665E" w:rsidP="0051420F">
            <w:pPr>
              <w:spacing w:line="240" w:lineRule="auto"/>
              <w:rPr>
                <w:rFonts w:eastAsia="Times New Roman" w:cs="Calibri"/>
                <w:sz w:val="22"/>
              </w:rPr>
            </w:pPr>
          </w:p>
        </w:tc>
        <w:tc>
          <w:tcPr>
            <w:tcW w:w="691" w:type="dxa"/>
            <w:vMerge w:val="restart"/>
            <w:tcBorders>
              <w:top w:val="nil"/>
              <w:left w:val="single" w:sz="4" w:space="0" w:color="auto"/>
              <w:bottom w:val="single" w:sz="4" w:space="0" w:color="auto"/>
              <w:right w:val="single" w:sz="4" w:space="0" w:color="auto"/>
            </w:tcBorders>
            <w:shd w:val="clear" w:color="000000" w:fill="E0E0E0"/>
            <w:vAlign w:val="center"/>
            <w:hideMark/>
          </w:tcPr>
          <w:p w14:paraId="42BDD9E2"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LC</w:t>
            </w:r>
          </w:p>
        </w:tc>
        <w:tc>
          <w:tcPr>
            <w:tcW w:w="2357" w:type="dxa"/>
            <w:tcBorders>
              <w:top w:val="nil"/>
              <w:left w:val="nil"/>
              <w:bottom w:val="single" w:sz="4" w:space="0" w:color="auto"/>
              <w:right w:val="single" w:sz="4" w:space="0" w:color="auto"/>
            </w:tcBorders>
            <w:shd w:val="clear" w:color="000000" w:fill="E0E0E0"/>
            <w:vAlign w:val="center"/>
            <w:hideMark/>
          </w:tcPr>
          <w:p w14:paraId="085C96AF"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1134" w:type="dxa"/>
            <w:tcBorders>
              <w:top w:val="nil"/>
              <w:left w:val="nil"/>
              <w:bottom w:val="single" w:sz="4" w:space="0" w:color="auto"/>
              <w:right w:val="single" w:sz="4" w:space="0" w:color="auto"/>
            </w:tcBorders>
            <w:shd w:val="clear" w:color="000000" w:fill="FFFFFF"/>
            <w:vAlign w:val="center"/>
            <w:hideMark/>
          </w:tcPr>
          <w:p w14:paraId="630D7A69"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.524</w:t>
            </w:r>
            <w:r w:rsidRPr="00A73599">
              <w:rPr>
                <w:rFonts w:eastAsia="Times New Roman" w:cs="Calibri"/>
                <w:sz w:val="22"/>
                <w:vertAlign w:val="superscript"/>
              </w:rPr>
              <w:t>**</w:t>
            </w:r>
          </w:p>
        </w:tc>
        <w:tc>
          <w:tcPr>
            <w:tcW w:w="1134" w:type="dxa"/>
            <w:tcBorders>
              <w:top w:val="nil"/>
              <w:left w:val="nil"/>
              <w:bottom w:val="single" w:sz="4" w:space="0" w:color="auto"/>
              <w:right w:val="single" w:sz="4" w:space="0" w:color="auto"/>
            </w:tcBorders>
            <w:shd w:val="clear" w:color="000000" w:fill="FFFFFF"/>
            <w:vAlign w:val="center"/>
            <w:hideMark/>
          </w:tcPr>
          <w:p w14:paraId="171DE8E3"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0.371</w:t>
            </w:r>
          </w:p>
        </w:tc>
        <w:tc>
          <w:tcPr>
            <w:tcW w:w="992" w:type="dxa"/>
            <w:tcBorders>
              <w:top w:val="nil"/>
              <w:left w:val="nil"/>
              <w:bottom w:val="single" w:sz="4" w:space="0" w:color="auto"/>
              <w:right w:val="single" w:sz="4" w:space="0" w:color="auto"/>
            </w:tcBorders>
            <w:shd w:val="clear" w:color="000000" w:fill="FFFFFF"/>
            <w:vAlign w:val="center"/>
            <w:hideMark/>
          </w:tcPr>
          <w:p w14:paraId="717BFEAA"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c>
          <w:tcPr>
            <w:tcW w:w="1264" w:type="dxa"/>
            <w:tcBorders>
              <w:top w:val="nil"/>
              <w:left w:val="nil"/>
              <w:bottom w:val="single" w:sz="4" w:space="0" w:color="auto"/>
              <w:right w:val="single" w:sz="4" w:space="0" w:color="auto"/>
            </w:tcBorders>
            <w:shd w:val="clear" w:color="000000" w:fill="FFFFFF"/>
            <w:vAlign w:val="center"/>
            <w:hideMark/>
          </w:tcPr>
          <w:p w14:paraId="3CE5B46C"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-0.295</w:t>
            </w:r>
          </w:p>
        </w:tc>
      </w:tr>
      <w:tr w:rsidR="005F665E" w:rsidRPr="00A73599" w14:paraId="20E3475C" w14:textId="77777777" w:rsidTr="0051420F">
        <w:trPr>
          <w:trHeight w:val="250"/>
        </w:trPr>
        <w:tc>
          <w:tcPr>
            <w:tcW w:w="1200" w:type="dxa"/>
            <w:vMerge/>
            <w:tcBorders>
              <w:top w:val="nil"/>
              <w:left w:val="single" w:sz="4" w:space="0" w:color="auto"/>
              <w:bottom w:val="single" w:sz="4" w:space="0" w:color="auto"/>
              <w:right w:val="single" w:sz="4" w:space="0" w:color="auto"/>
            </w:tcBorders>
            <w:vAlign w:val="center"/>
            <w:hideMark/>
          </w:tcPr>
          <w:p w14:paraId="75220FBA" w14:textId="77777777" w:rsidR="005F665E" w:rsidRPr="00A73599" w:rsidRDefault="005F665E" w:rsidP="0051420F">
            <w:pPr>
              <w:spacing w:line="240" w:lineRule="auto"/>
              <w:rPr>
                <w:rFonts w:eastAsia="Times New Roman" w:cs="Calibri"/>
                <w:sz w:val="22"/>
              </w:rPr>
            </w:pPr>
          </w:p>
        </w:tc>
        <w:tc>
          <w:tcPr>
            <w:tcW w:w="691" w:type="dxa"/>
            <w:vMerge/>
            <w:tcBorders>
              <w:top w:val="nil"/>
              <w:left w:val="single" w:sz="4" w:space="0" w:color="auto"/>
              <w:bottom w:val="single" w:sz="4" w:space="0" w:color="auto"/>
              <w:right w:val="single" w:sz="4" w:space="0" w:color="auto"/>
            </w:tcBorders>
            <w:vAlign w:val="center"/>
            <w:hideMark/>
          </w:tcPr>
          <w:p w14:paraId="36C25612" w14:textId="77777777" w:rsidR="005F665E" w:rsidRPr="00A73599" w:rsidRDefault="005F665E" w:rsidP="0051420F">
            <w:pPr>
              <w:spacing w:line="240" w:lineRule="auto"/>
              <w:rPr>
                <w:rFonts w:eastAsia="Times New Roman" w:cs="Calibri"/>
                <w:sz w:val="22"/>
              </w:rPr>
            </w:pPr>
          </w:p>
        </w:tc>
        <w:tc>
          <w:tcPr>
            <w:tcW w:w="2357" w:type="dxa"/>
            <w:tcBorders>
              <w:top w:val="nil"/>
              <w:left w:val="nil"/>
              <w:bottom w:val="single" w:sz="4" w:space="0" w:color="auto"/>
              <w:right w:val="single" w:sz="4" w:space="0" w:color="auto"/>
            </w:tcBorders>
            <w:shd w:val="clear" w:color="000000" w:fill="E0E0E0"/>
            <w:vAlign w:val="center"/>
            <w:hideMark/>
          </w:tcPr>
          <w:p w14:paraId="586CC1FC"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1134" w:type="dxa"/>
            <w:tcBorders>
              <w:top w:val="nil"/>
              <w:left w:val="nil"/>
              <w:bottom w:val="single" w:sz="4" w:space="0" w:color="auto"/>
              <w:right w:val="single" w:sz="4" w:space="0" w:color="auto"/>
            </w:tcBorders>
            <w:shd w:val="clear" w:color="000000" w:fill="FFFFFF"/>
            <w:vAlign w:val="center"/>
            <w:hideMark/>
          </w:tcPr>
          <w:p w14:paraId="5F5ACB65"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0.006</w:t>
            </w:r>
          </w:p>
        </w:tc>
        <w:tc>
          <w:tcPr>
            <w:tcW w:w="1134" w:type="dxa"/>
            <w:tcBorders>
              <w:top w:val="nil"/>
              <w:left w:val="nil"/>
              <w:bottom w:val="single" w:sz="4" w:space="0" w:color="auto"/>
              <w:right w:val="single" w:sz="4" w:space="0" w:color="auto"/>
            </w:tcBorders>
            <w:shd w:val="clear" w:color="000000" w:fill="FFFFFF"/>
            <w:vAlign w:val="center"/>
            <w:hideMark/>
          </w:tcPr>
          <w:p w14:paraId="3939BC48"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0.054</w:t>
            </w:r>
          </w:p>
        </w:tc>
        <w:tc>
          <w:tcPr>
            <w:tcW w:w="992" w:type="dxa"/>
            <w:tcBorders>
              <w:top w:val="nil"/>
              <w:left w:val="nil"/>
              <w:bottom w:val="single" w:sz="4" w:space="0" w:color="auto"/>
              <w:right w:val="single" w:sz="4" w:space="0" w:color="auto"/>
            </w:tcBorders>
            <w:shd w:val="clear" w:color="000000" w:fill="FFFFFF"/>
            <w:vAlign w:val="center"/>
            <w:hideMark/>
          </w:tcPr>
          <w:p w14:paraId="76F8E0C8"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c>
          <w:tcPr>
            <w:tcW w:w="1264" w:type="dxa"/>
            <w:tcBorders>
              <w:top w:val="nil"/>
              <w:left w:val="nil"/>
              <w:bottom w:val="single" w:sz="4" w:space="0" w:color="auto"/>
              <w:right w:val="single" w:sz="4" w:space="0" w:color="auto"/>
            </w:tcBorders>
            <w:shd w:val="clear" w:color="000000" w:fill="FFFFFF"/>
            <w:vAlign w:val="center"/>
            <w:hideMark/>
          </w:tcPr>
          <w:p w14:paraId="44D45590"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0.125</w:t>
            </w:r>
          </w:p>
        </w:tc>
      </w:tr>
      <w:tr w:rsidR="005F665E" w:rsidRPr="00A73599" w14:paraId="3F9A18FA" w14:textId="77777777" w:rsidTr="0051420F">
        <w:trPr>
          <w:trHeight w:val="250"/>
        </w:trPr>
        <w:tc>
          <w:tcPr>
            <w:tcW w:w="1200" w:type="dxa"/>
            <w:vMerge/>
            <w:tcBorders>
              <w:top w:val="nil"/>
              <w:left w:val="single" w:sz="4" w:space="0" w:color="auto"/>
              <w:bottom w:val="single" w:sz="4" w:space="0" w:color="auto"/>
              <w:right w:val="single" w:sz="4" w:space="0" w:color="auto"/>
            </w:tcBorders>
            <w:vAlign w:val="center"/>
            <w:hideMark/>
          </w:tcPr>
          <w:p w14:paraId="4A356A4A" w14:textId="77777777" w:rsidR="005F665E" w:rsidRPr="00A73599" w:rsidRDefault="005F665E" w:rsidP="0051420F">
            <w:pPr>
              <w:spacing w:line="240" w:lineRule="auto"/>
              <w:rPr>
                <w:rFonts w:eastAsia="Times New Roman" w:cs="Calibri"/>
                <w:sz w:val="22"/>
              </w:rPr>
            </w:pPr>
          </w:p>
        </w:tc>
        <w:tc>
          <w:tcPr>
            <w:tcW w:w="691" w:type="dxa"/>
            <w:vMerge w:val="restart"/>
            <w:tcBorders>
              <w:top w:val="nil"/>
              <w:left w:val="single" w:sz="4" w:space="0" w:color="auto"/>
              <w:bottom w:val="single" w:sz="4" w:space="0" w:color="auto"/>
              <w:right w:val="single" w:sz="4" w:space="0" w:color="auto"/>
            </w:tcBorders>
            <w:shd w:val="clear" w:color="000000" w:fill="E0E0E0"/>
            <w:vAlign w:val="center"/>
            <w:hideMark/>
          </w:tcPr>
          <w:p w14:paraId="7E3B78DD"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KTH</w:t>
            </w:r>
          </w:p>
        </w:tc>
        <w:tc>
          <w:tcPr>
            <w:tcW w:w="2357" w:type="dxa"/>
            <w:tcBorders>
              <w:top w:val="nil"/>
              <w:left w:val="nil"/>
              <w:bottom w:val="single" w:sz="4" w:space="0" w:color="auto"/>
              <w:right w:val="single" w:sz="4" w:space="0" w:color="auto"/>
            </w:tcBorders>
            <w:shd w:val="clear" w:color="000000" w:fill="E0E0E0"/>
            <w:vAlign w:val="center"/>
            <w:hideMark/>
          </w:tcPr>
          <w:p w14:paraId="4A98AA46"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1134" w:type="dxa"/>
            <w:tcBorders>
              <w:top w:val="nil"/>
              <w:left w:val="nil"/>
              <w:bottom w:val="single" w:sz="4" w:space="0" w:color="auto"/>
              <w:right w:val="single" w:sz="4" w:space="0" w:color="auto"/>
            </w:tcBorders>
            <w:shd w:val="clear" w:color="000000" w:fill="FFFFFF"/>
            <w:vAlign w:val="center"/>
            <w:hideMark/>
          </w:tcPr>
          <w:p w14:paraId="5DC92029"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-0.238</w:t>
            </w:r>
          </w:p>
        </w:tc>
        <w:tc>
          <w:tcPr>
            <w:tcW w:w="1134" w:type="dxa"/>
            <w:tcBorders>
              <w:top w:val="nil"/>
              <w:left w:val="nil"/>
              <w:bottom w:val="single" w:sz="4" w:space="0" w:color="auto"/>
              <w:right w:val="single" w:sz="4" w:space="0" w:color="auto"/>
            </w:tcBorders>
            <w:shd w:val="clear" w:color="000000" w:fill="FFFFFF"/>
            <w:vAlign w:val="center"/>
            <w:hideMark/>
          </w:tcPr>
          <w:p w14:paraId="07E3B1D8"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-0.162</w:t>
            </w:r>
          </w:p>
        </w:tc>
        <w:tc>
          <w:tcPr>
            <w:tcW w:w="992" w:type="dxa"/>
            <w:tcBorders>
              <w:top w:val="nil"/>
              <w:left w:val="nil"/>
              <w:bottom w:val="single" w:sz="4" w:space="0" w:color="auto"/>
              <w:right w:val="single" w:sz="4" w:space="0" w:color="auto"/>
            </w:tcBorders>
            <w:shd w:val="clear" w:color="000000" w:fill="FFFFFF"/>
            <w:vAlign w:val="center"/>
            <w:hideMark/>
          </w:tcPr>
          <w:p w14:paraId="452A62FE"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-0.295</w:t>
            </w:r>
          </w:p>
        </w:tc>
        <w:tc>
          <w:tcPr>
            <w:tcW w:w="1264" w:type="dxa"/>
            <w:tcBorders>
              <w:top w:val="nil"/>
              <w:left w:val="nil"/>
              <w:bottom w:val="single" w:sz="4" w:space="0" w:color="auto"/>
              <w:right w:val="single" w:sz="4" w:space="0" w:color="auto"/>
            </w:tcBorders>
            <w:shd w:val="clear" w:color="000000" w:fill="FFFFFF"/>
            <w:vAlign w:val="center"/>
            <w:hideMark/>
          </w:tcPr>
          <w:p w14:paraId="0624749B"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r>
      <w:tr w:rsidR="005F665E" w:rsidRPr="00A73599" w14:paraId="72358C34" w14:textId="77777777" w:rsidTr="0051420F">
        <w:trPr>
          <w:trHeight w:val="250"/>
        </w:trPr>
        <w:tc>
          <w:tcPr>
            <w:tcW w:w="1200" w:type="dxa"/>
            <w:vMerge/>
            <w:tcBorders>
              <w:top w:val="nil"/>
              <w:left w:val="single" w:sz="4" w:space="0" w:color="auto"/>
              <w:bottom w:val="single" w:sz="4" w:space="0" w:color="auto"/>
              <w:right w:val="single" w:sz="4" w:space="0" w:color="auto"/>
            </w:tcBorders>
            <w:vAlign w:val="center"/>
            <w:hideMark/>
          </w:tcPr>
          <w:p w14:paraId="15BD1147" w14:textId="77777777" w:rsidR="005F665E" w:rsidRPr="00A73599" w:rsidRDefault="005F665E" w:rsidP="0051420F">
            <w:pPr>
              <w:spacing w:line="240" w:lineRule="auto"/>
              <w:rPr>
                <w:rFonts w:eastAsia="Times New Roman" w:cs="Calibri"/>
                <w:sz w:val="22"/>
              </w:rPr>
            </w:pPr>
          </w:p>
        </w:tc>
        <w:tc>
          <w:tcPr>
            <w:tcW w:w="691" w:type="dxa"/>
            <w:vMerge/>
            <w:tcBorders>
              <w:top w:val="nil"/>
              <w:left w:val="single" w:sz="4" w:space="0" w:color="auto"/>
              <w:bottom w:val="single" w:sz="4" w:space="0" w:color="auto"/>
              <w:right w:val="single" w:sz="4" w:space="0" w:color="auto"/>
            </w:tcBorders>
            <w:vAlign w:val="center"/>
            <w:hideMark/>
          </w:tcPr>
          <w:p w14:paraId="114C9E32" w14:textId="77777777" w:rsidR="005F665E" w:rsidRPr="00A73599" w:rsidRDefault="005F665E" w:rsidP="0051420F">
            <w:pPr>
              <w:spacing w:line="240" w:lineRule="auto"/>
              <w:rPr>
                <w:rFonts w:eastAsia="Times New Roman" w:cs="Calibri"/>
                <w:sz w:val="22"/>
              </w:rPr>
            </w:pPr>
          </w:p>
        </w:tc>
        <w:tc>
          <w:tcPr>
            <w:tcW w:w="2357" w:type="dxa"/>
            <w:tcBorders>
              <w:top w:val="nil"/>
              <w:left w:val="nil"/>
              <w:bottom w:val="single" w:sz="4" w:space="0" w:color="auto"/>
              <w:right w:val="single" w:sz="4" w:space="0" w:color="auto"/>
            </w:tcBorders>
            <w:shd w:val="clear" w:color="000000" w:fill="E0E0E0"/>
            <w:vAlign w:val="center"/>
            <w:hideMark/>
          </w:tcPr>
          <w:p w14:paraId="435DAFFE"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1134" w:type="dxa"/>
            <w:tcBorders>
              <w:top w:val="nil"/>
              <w:left w:val="nil"/>
              <w:bottom w:val="single" w:sz="4" w:space="0" w:color="auto"/>
              <w:right w:val="single" w:sz="4" w:space="0" w:color="auto"/>
            </w:tcBorders>
            <w:shd w:val="clear" w:color="000000" w:fill="FFFFFF"/>
            <w:vAlign w:val="center"/>
            <w:hideMark/>
          </w:tcPr>
          <w:p w14:paraId="7C357637"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0.216</w:t>
            </w:r>
          </w:p>
        </w:tc>
        <w:tc>
          <w:tcPr>
            <w:tcW w:w="1134" w:type="dxa"/>
            <w:tcBorders>
              <w:top w:val="nil"/>
              <w:left w:val="nil"/>
              <w:bottom w:val="single" w:sz="4" w:space="0" w:color="auto"/>
              <w:right w:val="single" w:sz="4" w:space="0" w:color="auto"/>
            </w:tcBorders>
            <w:shd w:val="clear" w:color="000000" w:fill="FFFFFF"/>
            <w:vAlign w:val="center"/>
            <w:hideMark/>
          </w:tcPr>
          <w:p w14:paraId="2A051F1B"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0.4</w:t>
            </w:r>
          </w:p>
        </w:tc>
        <w:tc>
          <w:tcPr>
            <w:tcW w:w="992" w:type="dxa"/>
            <w:tcBorders>
              <w:top w:val="nil"/>
              <w:left w:val="nil"/>
              <w:bottom w:val="single" w:sz="4" w:space="0" w:color="auto"/>
              <w:right w:val="single" w:sz="4" w:space="0" w:color="auto"/>
            </w:tcBorders>
            <w:shd w:val="clear" w:color="000000" w:fill="FFFFFF"/>
            <w:vAlign w:val="center"/>
            <w:hideMark/>
          </w:tcPr>
          <w:p w14:paraId="218723DB"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0.125</w:t>
            </w:r>
          </w:p>
        </w:tc>
        <w:tc>
          <w:tcPr>
            <w:tcW w:w="1264" w:type="dxa"/>
            <w:tcBorders>
              <w:top w:val="nil"/>
              <w:left w:val="nil"/>
              <w:bottom w:val="single" w:sz="4" w:space="0" w:color="auto"/>
              <w:right w:val="single" w:sz="4" w:space="0" w:color="auto"/>
            </w:tcBorders>
            <w:shd w:val="clear" w:color="000000" w:fill="FFFFFF"/>
            <w:vAlign w:val="center"/>
            <w:hideMark/>
          </w:tcPr>
          <w:p w14:paraId="58774241"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r>
      <w:tr w:rsidR="005F665E" w:rsidRPr="00A73599" w14:paraId="68652866" w14:textId="77777777" w:rsidTr="0051420F">
        <w:trPr>
          <w:trHeight w:val="250"/>
        </w:trPr>
        <w:tc>
          <w:tcPr>
            <w:tcW w:w="1200" w:type="dxa"/>
            <w:vMerge w:val="restart"/>
            <w:tcBorders>
              <w:top w:val="nil"/>
              <w:left w:val="single" w:sz="4" w:space="0" w:color="auto"/>
              <w:bottom w:val="single" w:sz="4" w:space="0" w:color="auto"/>
              <w:right w:val="single" w:sz="4" w:space="0" w:color="auto"/>
            </w:tcBorders>
            <w:shd w:val="clear" w:color="000000" w:fill="E0E0E0"/>
            <w:vAlign w:val="center"/>
            <w:hideMark/>
          </w:tcPr>
          <w:p w14:paraId="0B50A9DE"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Spearman's rho</w:t>
            </w:r>
          </w:p>
        </w:tc>
        <w:tc>
          <w:tcPr>
            <w:tcW w:w="691" w:type="dxa"/>
            <w:vMerge w:val="restart"/>
            <w:tcBorders>
              <w:top w:val="nil"/>
              <w:left w:val="single" w:sz="4" w:space="0" w:color="auto"/>
              <w:bottom w:val="single" w:sz="4" w:space="0" w:color="auto"/>
              <w:right w:val="single" w:sz="4" w:space="0" w:color="auto"/>
            </w:tcBorders>
            <w:shd w:val="clear" w:color="000000" w:fill="E0E0E0"/>
            <w:vAlign w:val="center"/>
            <w:hideMark/>
          </w:tcPr>
          <w:p w14:paraId="3091709B"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SS</w:t>
            </w:r>
          </w:p>
        </w:tc>
        <w:tc>
          <w:tcPr>
            <w:tcW w:w="2357" w:type="dxa"/>
            <w:tcBorders>
              <w:top w:val="nil"/>
              <w:left w:val="nil"/>
              <w:bottom w:val="single" w:sz="4" w:space="0" w:color="auto"/>
              <w:right w:val="single" w:sz="4" w:space="0" w:color="auto"/>
            </w:tcBorders>
            <w:shd w:val="clear" w:color="000000" w:fill="E0E0E0"/>
            <w:vAlign w:val="center"/>
            <w:hideMark/>
          </w:tcPr>
          <w:p w14:paraId="5699C4AC"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1134" w:type="dxa"/>
            <w:tcBorders>
              <w:top w:val="nil"/>
              <w:left w:val="nil"/>
              <w:bottom w:val="single" w:sz="4" w:space="0" w:color="auto"/>
              <w:right w:val="single" w:sz="4" w:space="0" w:color="auto"/>
            </w:tcBorders>
            <w:shd w:val="clear" w:color="000000" w:fill="FFFFFF"/>
            <w:vAlign w:val="center"/>
            <w:hideMark/>
          </w:tcPr>
          <w:p w14:paraId="641AD692"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c>
          <w:tcPr>
            <w:tcW w:w="1134" w:type="dxa"/>
            <w:tcBorders>
              <w:top w:val="nil"/>
              <w:left w:val="nil"/>
              <w:bottom w:val="single" w:sz="4" w:space="0" w:color="auto"/>
              <w:right w:val="single" w:sz="4" w:space="0" w:color="auto"/>
            </w:tcBorders>
            <w:shd w:val="clear" w:color="000000" w:fill="FFFFFF"/>
            <w:vAlign w:val="center"/>
            <w:hideMark/>
          </w:tcPr>
          <w:p w14:paraId="74A681F1"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0.404</w:t>
            </w:r>
          </w:p>
        </w:tc>
        <w:tc>
          <w:tcPr>
            <w:tcW w:w="992" w:type="dxa"/>
            <w:tcBorders>
              <w:top w:val="nil"/>
              <w:left w:val="nil"/>
              <w:bottom w:val="single" w:sz="4" w:space="0" w:color="auto"/>
              <w:right w:val="single" w:sz="4" w:space="0" w:color="auto"/>
            </w:tcBorders>
            <w:shd w:val="clear" w:color="000000" w:fill="FFFFFF"/>
            <w:vAlign w:val="center"/>
            <w:hideMark/>
          </w:tcPr>
          <w:p w14:paraId="32D3F1C3"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.689</w:t>
            </w:r>
            <w:r w:rsidRPr="00A73599">
              <w:rPr>
                <w:rFonts w:eastAsia="Times New Roman" w:cs="Calibri"/>
                <w:sz w:val="22"/>
                <w:vertAlign w:val="superscript"/>
              </w:rPr>
              <w:t>**</w:t>
            </w:r>
          </w:p>
        </w:tc>
        <w:tc>
          <w:tcPr>
            <w:tcW w:w="1264" w:type="dxa"/>
            <w:tcBorders>
              <w:top w:val="nil"/>
              <w:left w:val="nil"/>
              <w:bottom w:val="single" w:sz="4" w:space="0" w:color="auto"/>
              <w:right w:val="single" w:sz="4" w:space="0" w:color="auto"/>
            </w:tcBorders>
            <w:shd w:val="clear" w:color="000000" w:fill="FFFFFF"/>
            <w:vAlign w:val="center"/>
            <w:hideMark/>
          </w:tcPr>
          <w:p w14:paraId="07EE9F62"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-0.4</w:t>
            </w:r>
          </w:p>
        </w:tc>
      </w:tr>
      <w:tr w:rsidR="005F665E" w:rsidRPr="00A73599" w14:paraId="09FC6ABD" w14:textId="77777777" w:rsidTr="0051420F">
        <w:trPr>
          <w:trHeight w:val="250"/>
        </w:trPr>
        <w:tc>
          <w:tcPr>
            <w:tcW w:w="1200" w:type="dxa"/>
            <w:vMerge/>
            <w:tcBorders>
              <w:top w:val="nil"/>
              <w:left w:val="single" w:sz="4" w:space="0" w:color="auto"/>
              <w:bottom w:val="single" w:sz="4" w:space="0" w:color="auto"/>
              <w:right w:val="single" w:sz="4" w:space="0" w:color="auto"/>
            </w:tcBorders>
            <w:vAlign w:val="center"/>
            <w:hideMark/>
          </w:tcPr>
          <w:p w14:paraId="0BCBBAEF" w14:textId="77777777" w:rsidR="005F665E" w:rsidRPr="00A73599" w:rsidRDefault="005F665E" w:rsidP="0051420F">
            <w:pPr>
              <w:spacing w:line="240" w:lineRule="auto"/>
              <w:rPr>
                <w:rFonts w:eastAsia="Times New Roman" w:cs="Calibri"/>
                <w:sz w:val="22"/>
              </w:rPr>
            </w:pPr>
          </w:p>
        </w:tc>
        <w:tc>
          <w:tcPr>
            <w:tcW w:w="691" w:type="dxa"/>
            <w:vMerge/>
            <w:tcBorders>
              <w:top w:val="nil"/>
              <w:left w:val="single" w:sz="4" w:space="0" w:color="auto"/>
              <w:bottom w:val="single" w:sz="4" w:space="0" w:color="auto"/>
              <w:right w:val="single" w:sz="4" w:space="0" w:color="auto"/>
            </w:tcBorders>
            <w:vAlign w:val="center"/>
            <w:hideMark/>
          </w:tcPr>
          <w:p w14:paraId="21CF0931" w14:textId="77777777" w:rsidR="005F665E" w:rsidRPr="00A73599" w:rsidRDefault="005F665E" w:rsidP="0051420F">
            <w:pPr>
              <w:spacing w:line="240" w:lineRule="auto"/>
              <w:rPr>
                <w:rFonts w:eastAsia="Times New Roman" w:cs="Calibri"/>
                <w:sz w:val="22"/>
              </w:rPr>
            </w:pPr>
          </w:p>
        </w:tc>
        <w:tc>
          <w:tcPr>
            <w:tcW w:w="2357" w:type="dxa"/>
            <w:tcBorders>
              <w:top w:val="nil"/>
              <w:left w:val="nil"/>
              <w:bottom w:val="single" w:sz="4" w:space="0" w:color="auto"/>
              <w:right w:val="single" w:sz="4" w:space="0" w:color="auto"/>
            </w:tcBorders>
            <w:shd w:val="clear" w:color="000000" w:fill="E0E0E0"/>
            <w:vAlign w:val="center"/>
            <w:hideMark/>
          </w:tcPr>
          <w:p w14:paraId="1EA05047"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1134" w:type="dxa"/>
            <w:tcBorders>
              <w:top w:val="nil"/>
              <w:left w:val="nil"/>
              <w:bottom w:val="single" w:sz="4" w:space="0" w:color="auto"/>
              <w:right w:val="single" w:sz="4" w:space="0" w:color="auto"/>
            </w:tcBorders>
            <w:shd w:val="clear" w:color="000000" w:fill="FFFFFF"/>
            <w:vAlign w:val="center"/>
            <w:hideMark/>
          </w:tcPr>
          <w:p w14:paraId="07348578"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c>
          <w:tcPr>
            <w:tcW w:w="1134" w:type="dxa"/>
            <w:tcBorders>
              <w:top w:val="nil"/>
              <w:left w:val="nil"/>
              <w:bottom w:val="single" w:sz="4" w:space="0" w:color="auto"/>
              <w:right w:val="single" w:sz="4" w:space="0" w:color="auto"/>
            </w:tcBorders>
            <w:shd w:val="clear" w:color="000000" w:fill="FFFFFF"/>
            <w:vAlign w:val="center"/>
            <w:hideMark/>
          </w:tcPr>
          <w:p w14:paraId="04F0FFA0"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0.136</w:t>
            </w:r>
          </w:p>
        </w:tc>
        <w:tc>
          <w:tcPr>
            <w:tcW w:w="992" w:type="dxa"/>
            <w:tcBorders>
              <w:top w:val="nil"/>
              <w:left w:val="nil"/>
              <w:bottom w:val="single" w:sz="4" w:space="0" w:color="auto"/>
              <w:right w:val="single" w:sz="4" w:space="0" w:color="auto"/>
            </w:tcBorders>
            <w:shd w:val="clear" w:color="000000" w:fill="FFFFFF"/>
            <w:vAlign w:val="center"/>
            <w:hideMark/>
          </w:tcPr>
          <w:p w14:paraId="2C8B44FD"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0.004</w:t>
            </w:r>
          </w:p>
        </w:tc>
        <w:tc>
          <w:tcPr>
            <w:tcW w:w="1264" w:type="dxa"/>
            <w:tcBorders>
              <w:top w:val="nil"/>
              <w:left w:val="nil"/>
              <w:bottom w:val="single" w:sz="4" w:space="0" w:color="auto"/>
              <w:right w:val="single" w:sz="4" w:space="0" w:color="auto"/>
            </w:tcBorders>
            <w:shd w:val="clear" w:color="000000" w:fill="FFFFFF"/>
            <w:vAlign w:val="center"/>
            <w:hideMark/>
          </w:tcPr>
          <w:p w14:paraId="75E269A9"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0.14</w:t>
            </w:r>
          </w:p>
        </w:tc>
      </w:tr>
      <w:tr w:rsidR="005F665E" w:rsidRPr="00A73599" w14:paraId="2AC1FDF9" w14:textId="77777777" w:rsidTr="0051420F">
        <w:trPr>
          <w:trHeight w:val="250"/>
        </w:trPr>
        <w:tc>
          <w:tcPr>
            <w:tcW w:w="1200" w:type="dxa"/>
            <w:vMerge/>
            <w:tcBorders>
              <w:top w:val="nil"/>
              <w:left w:val="single" w:sz="4" w:space="0" w:color="auto"/>
              <w:bottom w:val="single" w:sz="4" w:space="0" w:color="auto"/>
              <w:right w:val="single" w:sz="4" w:space="0" w:color="auto"/>
            </w:tcBorders>
            <w:vAlign w:val="center"/>
            <w:hideMark/>
          </w:tcPr>
          <w:p w14:paraId="33978F55" w14:textId="77777777" w:rsidR="005F665E" w:rsidRPr="00A73599" w:rsidRDefault="005F665E" w:rsidP="0051420F">
            <w:pPr>
              <w:spacing w:line="240" w:lineRule="auto"/>
              <w:rPr>
                <w:rFonts w:eastAsia="Times New Roman" w:cs="Calibri"/>
                <w:sz w:val="22"/>
              </w:rPr>
            </w:pPr>
          </w:p>
        </w:tc>
        <w:tc>
          <w:tcPr>
            <w:tcW w:w="691" w:type="dxa"/>
            <w:vMerge w:val="restart"/>
            <w:tcBorders>
              <w:top w:val="nil"/>
              <w:left w:val="single" w:sz="4" w:space="0" w:color="auto"/>
              <w:bottom w:val="single" w:sz="4" w:space="0" w:color="auto"/>
              <w:right w:val="single" w:sz="4" w:space="0" w:color="auto"/>
            </w:tcBorders>
            <w:shd w:val="clear" w:color="000000" w:fill="E0E0E0"/>
            <w:vAlign w:val="center"/>
            <w:hideMark/>
          </w:tcPr>
          <w:p w14:paraId="58626BF8"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WCC</w:t>
            </w:r>
          </w:p>
        </w:tc>
        <w:tc>
          <w:tcPr>
            <w:tcW w:w="2357" w:type="dxa"/>
            <w:tcBorders>
              <w:top w:val="nil"/>
              <w:left w:val="nil"/>
              <w:bottom w:val="single" w:sz="4" w:space="0" w:color="auto"/>
              <w:right w:val="single" w:sz="4" w:space="0" w:color="auto"/>
            </w:tcBorders>
            <w:shd w:val="clear" w:color="000000" w:fill="E0E0E0"/>
            <w:vAlign w:val="center"/>
            <w:hideMark/>
          </w:tcPr>
          <w:p w14:paraId="52D4FCDB"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1134" w:type="dxa"/>
            <w:tcBorders>
              <w:top w:val="nil"/>
              <w:left w:val="nil"/>
              <w:bottom w:val="single" w:sz="4" w:space="0" w:color="auto"/>
              <w:right w:val="single" w:sz="4" w:space="0" w:color="auto"/>
            </w:tcBorders>
            <w:shd w:val="clear" w:color="000000" w:fill="FFFFFF"/>
            <w:vAlign w:val="center"/>
            <w:hideMark/>
          </w:tcPr>
          <w:p w14:paraId="4FF54FC0"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0.404</w:t>
            </w:r>
          </w:p>
        </w:tc>
        <w:tc>
          <w:tcPr>
            <w:tcW w:w="1134" w:type="dxa"/>
            <w:tcBorders>
              <w:top w:val="nil"/>
              <w:left w:val="nil"/>
              <w:bottom w:val="single" w:sz="4" w:space="0" w:color="auto"/>
              <w:right w:val="single" w:sz="4" w:space="0" w:color="auto"/>
            </w:tcBorders>
            <w:shd w:val="clear" w:color="000000" w:fill="FFFFFF"/>
            <w:vAlign w:val="center"/>
            <w:hideMark/>
          </w:tcPr>
          <w:p w14:paraId="11014BB3"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c>
          <w:tcPr>
            <w:tcW w:w="992" w:type="dxa"/>
            <w:tcBorders>
              <w:top w:val="nil"/>
              <w:left w:val="nil"/>
              <w:bottom w:val="single" w:sz="4" w:space="0" w:color="auto"/>
              <w:right w:val="single" w:sz="4" w:space="0" w:color="auto"/>
            </w:tcBorders>
            <w:shd w:val="clear" w:color="000000" w:fill="FFFFFF"/>
            <w:vAlign w:val="center"/>
            <w:hideMark/>
          </w:tcPr>
          <w:p w14:paraId="79C1C86C"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.525</w:t>
            </w:r>
            <w:r w:rsidRPr="00A73599">
              <w:rPr>
                <w:rFonts w:eastAsia="Times New Roman" w:cs="Calibri"/>
                <w:sz w:val="22"/>
                <w:vertAlign w:val="superscript"/>
              </w:rPr>
              <w:t>*</w:t>
            </w:r>
          </w:p>
        </w:tc>
        <w:tc>
          <w:tcPr>
            <w:tcW w:w="1264" w:type="dxa"/>
            <w:tcBorders>
              <w:top w:val="nil"/>
              <w:left w:val="nil"/>
              <w:bottom w:val="single" w:sz="4" w:space="0" w:color="auto"/>
              <w:right w:val="single" w:sz="4" w:space="0" w:color="auto"/>
            </w:tcBorders>
            <w:shd w:val="clear" w:color="000000" w:fill="FFFFFF"/>
            <w:vAlign w:val="center"/>
            <w:hideMark/>
          </w:tcPr>
          <w:p w14:paraId="1A32D27E"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-0.254</w:t>
            </w:r>
          </w:p>
        </w:tc>
      </w:tr>
      <w:tr w:rsidR="005F665E" w:rsidRPr="00A73599" w14:paraId="1AB19F57" w14:textId="77777777" w:rsidTr="0051420F">
        <w:trPr>
          <w:trHeight w:val="250"/>
        </w:trPr>
        <w:tc>
          <w:tcPr>
            <w:tcW w:w="1200" w:type="dxa"/>
            <w:vMerge/>
            <w:tcBorders>
              <w:top w:val="nil"/>
              <w:left w:val="single" w:sz="4" w:space="0" w:color="auto"/>
              <w:bottom w:val="single" w:sz="4" w:space="0" w:color="auto"/>
              <w:right w:val="single" w:sz="4" w:space="0" w:color="auto"/>
            </w:tcBorders>
            <w:vAlign w:val="center"/>
            <w:hideMark/>
          </w:tcPr>
          <w:p w14:paraId="6F38F6E5" w14:textId="77777777" w:rsidR="005F665E" w:rsidRPr="00A73599" w:rsidRDefault="005F665E" w:rsidP="0051420F">
            <w:pPr>
              <w:spacing w:line="240" w:lineRule="auto"/>
              <w:rPr>
                <w:rFonts w:eastAsia="Times New Roman" w:cs="Calibri"/>
                <w:sz w:val="22"/>
              </w:rPr>
            </w:pPr>
          </w:p>
        </w:tc>
        <w:tc>
          <w:tcPr>
            <w:tcW w:w="691" w:type="dxa"/>
            <w:vMerge/>
            <w:tcBorders>
              <w:top w:val="nil"/>
              <w:left w:val="single" w:sz="4" w:space="0" w:color="auto"/>
              <w:bottom w:val="single" w:sz="4" w:space="0" w:color="auto"/>
              <w:right w:val="single" w:sz="4" w:space="0" w:color="auto"/>
            </w:tcBorders>
            <w:vAlign w:val="center"/>
            <w:hideMark/>
          </w:tcPr>
          <w:p w14:paraId="7764AD4B" w14:textId="77777777" w:rsidR="005F665E" w:rsidRPr="00A73599" w:rsidRDefault="005F665E" w:rsidP="0051420F">
            <w:pPr>
              <w:spacing w:line="240" w:lineRule="auto"/>
              <w:rPr>
                <w:rFonts w:eastAsia="Times New Roman" w:cs="Calibri"/>
                <w:sz w:val="22"/>
              </w:rPr>
            </w:pPr>
          </w:p>
        </w:tc>
        <w:tc>
          <w:tcPr>
            <w:tcW w:w="2357" w:type="dxa"/>
            <w:tcBorders>
              <w:top w:val="nil"/>
              <w:left w:val="nil"/>
              <w:bottom w:val="single" w:sz="4" w:space="0" w:color="auto"/>
              <w:right w:val="single" w:sz="4" w:space="0" w:color="auto"/>
            </w:tcBorders>
            <w:shd w:val="clear" w:color="000000" w:fill="E0E0E0"/>
            <w:vAlign w:val="center"/>
            <w:hideMark/>
          </w:tcPr>
          <w:p w14:paraId="6C590B0F"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1134" w:type="dxa"/>
            <w:tcBorders>
              <w:top w:val="nil"/>
              <w:left w:val="nil"/>
              <w:bottom w:val="single" w:sz="4" w:space="0" w:color="auto"/>
              <w:right w:val="single" w:sz="4" w:space="0" w:color="auto"/>
            </w:tcBorders>
            <w:shd w:val="clear" w:color="000000" w:fill="FFFFFF"/>
            <w:vAlign w:val="center"/>
            <w:hideMark/>
          </w:tcPr>
          <w:p w14:paraId="2F0A1F2F"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0.136</w:t>
            </w:r>
          </w:p>
        </w:tc>
        <w:tc>
          <w:tcPr>
            <w:tcW w:w="1134" w:type="dxa"/>
            <w:tcBorders>
              <w:top w:val="nil"/>
              <w:left w:val="nil"/>
              <w:bottom w:val="single" w:sz="4" w:space="0" w:color="auto"/>
              <w:right w:val="single" w:sz="4" w:space="0" w:color="auto"/>
            </w:tcBorders>
            <w:shd w:val="clear" w:color="000000" w:fill="FFFFFF"/>
            <w:vAlign w:val="center"/>
            <w:hideMark/>
          </w:tcPr>
          <w:p w14:paraId="325B14BC"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c>
          <w:tcPr>
            <w:tcW w:w="992" w:type="dxa"/>
            <w:tcBorders>
              <w:top w:val="nil"/>
              <w:left w:val="nil"/>
              <w:bottom w:val="single" w:sz="4" w:space="0" w:color="auto"/>
              <w:right w:val="single" w:sz="4" w:space="0" w:color="auto"/>
            </w:tcBorders>
            <w:shd w:val="clear" w:color="000000" w:fill="FFFFFF"/>
            <w:vAlign w:val="center"/>
            <w:hideMark/>
          </w:tcPr>
          <w:p w14:paraId="6B372EC9"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0.044</w:t>
            </w:r>
          </w:p>
        </w:tc>
        <w:tc>
          <w:tcPr>
            <w:tcW w:w="1264" w:type="dxa"/>
            <w:tcBorders>
              <w:top w:val="nil"/>
              <w:left w:val="nil"/>
              <w:bottom w:val="single" w:sz="4" w:space="0" w:color="auto"/>
              <w:right w:val="single" w:sz="4" w:space="0" w:color="auto"/>
            </w:tcBorders>
            <w:shd w:val="clear" w:color="000000" w:fill="FFFFFF"/>
            <w:vAlign w:val="center"/>
            <w:hideMark/>
          </w:tcPr>
          <w:p w14:paraId="3F0AC197"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0.362</w:t>
            </w:r>
          </w:p>
        </w:tc>
      </w:tr>
      <w:tr w:rsidR="005F665E" w:rsidRPr="00A73599" w14:paraId="0C4D89FB" w14:textId="77777777" w:rsidTr="0051420F">
        <w:trPr>
          <w:trHeight w:val="250"/>
        </w:trPr>
        <w:tc>
          <w:tcPr>
            <w:tcW w:w="1200" w:type="dxa"/>
            <w:vMerge/>
            <w:tcBorders>
              <w:top w:val="nil"/>
              <w:left w:val="single" w:sz="4" w:space="0" w:color="auto"/>
              <w:bottom w:val="single" w:sz="4" w:space="0" w:color="auto"/>
              <w:right w:val="single" w:sz="4" w:space="0" w:color="auto"/>
            </w:tcBorders>
            <w:vAlign w:val="center"/>
            <w:hideMark/>
          </w:tcPr>
          <w:p w14:paraId="2B3A8C25" w14:textId="77777777" w:rsidR="005F665E" w:rsidRPr="00A73599" w:rsidRDefault="005F665E" w:rsidP="0051420F">
            <w:pPr>
              <w:spacing w:line="240" w:lineRule="auto"/>
              <w:rPr>
                <w:rFonts w:eastAsia="Times New Roman" w:cs="Calibri"/>
                <w:sz w:val="22"/>
              </w:rPr>
            </w:pPr>
          </w:p>
        </w:tc>
        <w:tc>
          <w:tcPr>
            <w:tcW w:w="691" w:type="dxa"/>
            <w:vMerge w:val="restart"/>
            <w:tcBorders>
              <w:top w:val="nil"/>
              <w:left w:val="single" w:sz="4" w:space="0" w:color="auto"/>
              <w:bottom w:val="single" w:sz="4" w:space="0" w:color="auto"/>
              <w:right w:val="single" w:sz="4" w:space="0" w:color="auto"/>
            </w:tcBorders>
            <w:shd w:val="clear" w:color="000000" w:fill="E0E0E0"/>
            <w:vAlign w:val="center"/>
            <w:hideMark/>
          </w:tcPr>
          <w:p w14:paraId="001F427C"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LC</w:t>
            </w:r>
          </w:p>
        </w:tc>
        <w:tc>
          <w:tcPr>
            <w:tcW w:w="2357" w:type="dxa"/>
            <w:tcBorders>
              <w:top w:val="nil"/>
              <w:left w:val="nil"/>
              <w:bottom w:val="single" w:sz="4" w:space="0" w:color="auto"/>
              <w:right w:val="single" w:sz="4" w:space="0" w:color="auto"/>
            </w:tcBorders>
            <w:shd w:val="clear" w:color="000000" w:fill="E0E0E0"/>
            <w:vAlign w:val="center"/>
            <w:hideMark/>
          </w:tcPr>
          <w:p w14:paraId="4A4636C2"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1134" w:type="dxa"/>
            <w:tcBorders>
              <w:top w:val="nil"/>
              <w:left w:val="nil"/>
              <w:bottom w:val="single" w:sz="4" w:space="0" w:color="auto"/>
              <w:right w:val="single" w:sz="4" w:space="0" w:color="auto"/>
            </w:tcBorders>
            <w:shd w:val="clear" w:color="000000" w:fill="FFFFFF"/>
            <w:vAlign w:val="center"/>
            <w:hideMark/>
          </w:tcPr>
          <w:p w14:paraId="02AF94A9"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.689</w:t>
            </w:r>
            <w:r w:rsidRPr="00A73599">
              <w:rPr>
                <w:rFonts w:eastAsia="Times New Roman" w:cs="Calibri"/>
                <w:sz w:val="22"/>
                <w:vertAlign w:val="superscript"/>
              </w:rPr>
              <w:t>**</w:t>
            </w:r>
          </w:p>
        </w:tc>
        <w:tc>
          <w:tcPr>
            <w:tcW w:w="1134" w:type="dxa"/>
            <w:tcBorders>
              <w:top w:val="nil"/>
              <w:left w:val="nil"/>
              <w:bottom w:val="single" w:sz="4" w:space="0" w:color="auto"/>
              <w:right w:val="single" w:sz="4" w:space="0" w:color="auto"/>
            </w:tcBorders>
            <w:shd w:val="clear" w:color="000000" w:fill="FFFFFF"/>
            <w:vAlign w:val="center"/>
            <w:hideMark/>
          </w:tcPr>
          <w:p w14:paraId="24E6D3A4"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.525</w:t>
            </w:r>
            <w:r w:rsidRPr="00A73599">
              <w:rPr>
                <w:rFonts w:eastAsia="Times New Roman" w:cs="Calibri"/>
                <w:sz w:val="22"/>
                <w:vertAlign w:val="superscript"/>
              </w:rPr>
              <w:t>*</w:t>
            </w:r>
          </w:p>
        </w:tc>
        <w:tc>
          <w:tcPr>
            <w:tcW w:w="992" w:type="dxa"/>
            <w:tcBorders>
              <w:top w:val="nil"/>
              <w:left w:val="nil"/>
              <w:bottom w:val="single" w:sz="4" w:space="0" w:color="auto"/>
              <w:right w:val="single" w:sz="4" w:space="0" w:color="auto"/>
            </w:tcBorders>
            <w:shd w:val="clear" w:color="000000" w:fill="FFFFFF"/>
            <w:vAlign w:val="center"/>
            <w:hideMark/>
          </w:tcPr>
          <w:p w14:paraId="4651EF8E"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c>
          <w:tcPr>
            <w:tcW w:w="1264" w:type="dxa"/>
            <w:tcBorders>
              <w:top w:val="nil"/>
              <w:left w:val="nil"/>
              <w:bottom w:val="single" w:sz="4" w:space="0" w:color="auto"/>
              <w:right w:val="single" w:sz="4" w:space="0" w:color="auto"/>
            </w:tcBorders>
            <w:shd w:val="clear" w:color="000000" w:fill="FFFFFF"/>
            <w:vAlign w:val="center"/>
            <w:hideMark/>
          </w:tcPr>
          <w:p w14:paraId="505FF52C"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-0.436</w:t>
            </w:r>
          </w:p>
        </w:tc>
      </w:tr>
      <w:tr w:rsidR="005F665E" w:rsidRPr="00A73599" w14:paraId="641E62A7" w14:textId="77777777" w:rsidTr="0051420F">
        <w:trPr>
          <w:trHeight w:val="250"/>
        </w:trPr>
        <w:tc>
          <w:tcPr>
            <w:tcW w:w="1200" w:type="dxa"/>
            <w:vMerge/>
            <w:tcBorders>
              <w:top w:val="nil"/>
              <w:left w:val="single" w:sz="4" w:space="0" w:color="auto"/>
              <w:bottom w:val="single" w:sz="4" w:space="0" w:color="auto"/>
              <w:right w:val="single" w:sz="4" w:space="0" w:color="auto"/>
            </w:tcBorders>
            <w:vAlign w:val="center"/>
            <w:hideMark/>
          </w:tcPr>
          <w:p w14:paraId="15B3125E" w14:textId="77777777" w:rsidR="005F665E" w:rsidRPr="00A73599" w:rsidRDefault="005F665E" w:rsidP="0051420F">
            <w:pPr>
              <w:spacing w:line="240" w:lineRule="auto"/>
              <w:rPr>
                <w:rFonts w:eastAsia="Times New Roman" w:cs="Calibri"/>
                <w:sz w:val="22"/>
              </w:rPr>
            </w:pPr>
          </w:p>
        </w:tc>
        <w:tc>
          <w:tcPr>
            <w:tcW w:w="691" w:type="dxa"/>
            <w:vMerge/>
            <w:tcBorders>
              <w:top w:val="nil"/>
              <w:left w:val="single" w:sz="4" w:space="0" w:color="auto"/>
              <w:bottom w:val="single" w:sz="4" w:space="0" w:color="auto"/>
              <w:right w:val="single" w:sz="4" w:space="0" w:color="auto"/>
            </w:tcBorders>
            <w:vAlign w:val="center"/>
            <w:hideMark/>
          </w:tcPr>
          <w:p w14:paraId="11D44BC3" w14:textId="77777777" w:rsidR="005F665E" w:rsidRPr="00A73599" w:rsidRDefault="005F665E" w:rsidP="0051420F">
            <w:pPr>
              <w:spacing w:line="240" w:lineRule="auto"/>
              <w:rPr>
                <w:rFonts w:eastAsia="Times New Roman" w:cs="Calibri"/>
                <w:sz w:val="22"/>
              </w:rPr>
            </w:pPr>
          </w:p>
        </w:tc>
        <w:tc>
          <w:tcPr>
            <w:tcW w:w="2357" w:type="dxa"/>
            <w:tcBorders>
              <w:top w:val="nil"/>
              <w:left w:val="nil"/>
              <w:bottom w:val="single" w:sz="4" w:space="0" w:color="auto"/>
              <w:right w:val="single" w:sz="4" w:space="0" w:color="auto"/>
            </w:tcBorders>
            <w:shd w:val="clear" w:color="000000" w:fill="E0E0E0"/>
            <w:vAlign w:val="center"/>
            <w:hideMark/>
          </w:tcPr>
          <w:p w14:paraId="186B2061"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1134" w:type="dxa"/>
            <w:tcBorders>
              <w:top w:val="nil"/>
              <w:left w:val="nil"/>
              <w:bottom w:val="single" w:sz="4" w:space="0" w:color="auto"/>
              <w:right w:val="single" w:sz="4" w:space="0" w:color="auto"/>
            </w:tcBorders>
            <w:shd w:val="clear" w:color="000000" w:fill="FFFFFF"/>
            <w:vAlign w:val="center"/>
            <w:hideMark/>
          </w:tcPr>
          <w:p w14:paraId="60C5E6FA"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0.004</w:t>
            </w:r>
          </w:p>
        </w:tc>
        <w:tc>
          <w:tcPr>
            <w:tcW w:w="1134" w:type="dxa"/>
            <w:tcBorders>
              <w:top w:val="nil"/>
              <w:left w:val="nil"/>
              <w:bottom w:val="single" w:sz="4" w:space="0" w:color="auto"/>
              <w:right w:val="single" w:sz="4" w:space="0" w:color="auto"/>
            </w:tcBorders>
            <w:shd w:val="clear" w:color="000000" w:fill="FFFFFF"/>
            <w:vAlign w:val="center"/>
            <w:hideMark/>
          </w:tcPr>
          <w:p w14:paraId="233AF870"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0.044</w:t>
            </w:r>
          </w:p>
        </w:tc>
        <w:tc>
          <w:tcPr>
            <w:tcW w:w="992" w:type="dxa"/>
            <w:tcBorders>
              <w:top w:val="nil"/>
              <w:left w:val="nil"/>
              <w:bottom w:val="single" w:sz="4" w:space="0" w:color="auto"/>
              <w:right w:val="single" w:sz="4" w:space="0" w:color="auto"/>
            </w:tcBorders>
            <w:shd w:val="clear" w:color="000000" w:fill="FFFFFF"/>
            <w:vAlign w:val="center"/>
            <w:hideMark/>
          </w:tcPr>
          <w:p w14:paraId="28599E94"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c>
          <w:tcPr>
            <w:tcW w:w="1264" w:type="dxa"/>
            <w:tcBorders>
              <w:top w:val="nil"/>
              <w:left w:val="nil"/>
              <w:bottom w:val="single" w:sz="4" w:space="0" w:color="auto"/>
              <w:right w:val="single" w:sz="4" w:space="0" w:color="auto"/>
            </w:tcBorders>
            <w:shd w:val="clear" w:color="000000" w:fill="FFFFFF"/>
            <w:vAlign w:val="center"/>
            <w:hideMark/>
          </w:tcPr>
          <w:p w14:paraId="11256EF5"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0.104</w:t>
            </w:r>
          </w:p>
        </w:tc>
      </w:tr>
      <w:tr w:rsidR="005F665E" w:rsidRPr="00A73599" w14:paraId="49A2C7BB" w14:textId="77777777" w:rsidTr="0051420F">
        <w:trPr>
          <w:trHeight w:val="250"/>
        </w:trPr>
        <w:tc>
          <w:tcPr>
            <w:tcW w:w="1200" w:type="dxa"/>
            <w:vMerge/>
            <w:tcBorders>
              <w:top w:val="nil"/>
              <w:left w:val="single" w:sz="4" w:space="0" w:color="auto"/>
              <w:bottom w:val="single" w:sz="4" w:space="0" w:color="auto"/>
              <w:right w:val="single" w:sz="4" w:space="0" w:color="auto"/>
            </w:tcBorders>
            <w:vAlign w:val="center"/>
            <w:hideMark/>
          </w:tcPr>
          <w:p w14:paraId="7CBB7C9A" w14:textId="77777777" w:rsidR="005F665E" w:rsidRPr="00A73599" w:rsidRDefault="005F665E" w:rsidP="0051420F">
            <w:pPr>
              <w:spacing w:line="240" w:lineRule="auto"/>
              <w:rPr>
                <w:rFonts w:eastAsia="Times New Roman" w:cs="Calibri"/>
                <w:sz w:val="22"/>
              </w:rPr>
            </w:pPr>
          </w:p>
        </w:tc>
        <w:tc>
          <w:tcPr>
            <w:tcW w:w="691" w:type="dxa"/>
            <w:vMerge w:val="restart"/>
            <w:tcBorders>
              <w:top w:val="nil"/>
              <w:left w:val="single" w:sz="4" w:space="0" w:color="auto"/>
              <w:bottom w:val="single" w:sz="4" w:space="0" w:color="auto"/>
              <w:right w:val="single" w:sz="4" w:space="0" w:color="auto"/>
            </w:tcBorders>
            <w:shd w:val="clear" w:color="000000" w:fill="E0E0E0"/>
            <w:vAlign w:val="center"/>
            <w:hideMark/>
          </w:tcPr>
          <w:p w14:paraId="3FA81B47"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KTH</w:t>
            </w:r>
          </w:p>
        </w:tc>
        <w:tc>
          <w:tcPr>
            <w:tcW w:w="2357" w:type="dxa"/>
            <w:tcBorders>
              <w:top w:val="nil"/>
              <w:left w:val="nil"/>
              <w:bottom w:val="single" w:sz="4" w:space="0" w:color="auto"/>
              <w:right w:val="single" w:sz="4" w:space="0" w:color="auto"/>
            </w:tcBorders>
            <w:shd w:val="clear" w:color="000000" w:fill="E0E0E0"/>
            <w:vAlign w:val="center"/>
            <w:hideMark/>
          </w:tcPr>
          <w:p w14:paraId="2F2B4C09"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1134" w:type="dxa"/>
            <w:tcBorders>
              <w:top w:val="nil"/>
              <w:left w:val="nil"/>
              <w:bottom w:val="single" w:sz="4" w:space="0" w:color="auto"/>
              <w:right w:val="single" w:sz="4" w:space="0" w:color="auto"/>
            </w:tcBorders>
            <w:shd w:val="clear" w:color="000000" w:fill="FFFFFF"/>
            <w:vAlign w:val="center"/>
            <w:hideMark/>
          </w:tcPr>
          <w:p w14:paraId="2B10B58F"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-0.4</w:t>
            </w:r>
          </w:p>
        </w:tc>
        <w:tc>
          <w:tcPr>
            <w:tcW w:w="1134" w:type="dxa"/>
            <w:tcBorders>
              <w:top w:val="nil"/>
              <w:left w:val="nil"/>
              <w:bottom w:val="single" w:sz="4" w:space="0" w:color="auto"/>
              <w:right w:val="single" w:sz="4" w:space="0" w:color="auto"/>
            </w:tcBorders>
            <w:shd w:val="clear" w:color="000000" w:fill="FFFFFF"/>
            <w:vAlign w:val="center"/>
            <w:hideMark/>
          </w:tcPr>
          <w:p w14:paraId="3B1202F2"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-0.254</w:t>
            </w:r>
          </w:p>
        </w:tc>
        <w:tc>
          <w:tcPr>
            <w:tcW w:w="992" w:type="dxa"/>
            <w:tcBorders>
              <w:top w:val="nil"/>
              <w:left w:val="nil"/>
              <w:bottom w:val="single" w:sz="4" w:space="0" w:color="auto"/>
              <w:right w:val="single" w:sz="4" w:space="0" w:color="auto"/>
            </w:tcBorders>
            <w:shd w:val="clear" w:color="000000" w:fill="FFFFFF"/>
            <w:vAlign w:val="center"/>
            <w:hideMark/>
          </w:tcPr>
          <w:p w14:paraId="3D07C924"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-0.436</w:t>
            </w:r>
          </w:p>
        </w:tc>
        <w:tc>
          <w:tcPr>
            <w:tcW w:w="1264" w:type="dxa"/>
            <w:tcBorders>
              <w:top w:val="nil"/>
              <w:left w:val="nil"/>
              <w:bottom w:val="single" w:sz="4" w:space="0" w:color="auto"/>
              <w:right w:val="single" w:sz="4" w:space="0" w:color="auto"/>
            </w:tcBorders>
            <w:shd w:val="clear" w:color="000000" w:fill="FFFFFF"/>
            <w:vAlign w:val="center"/>
            <w:hideMark/>
          </w:tcPr>
          <w:p w14:paraId="6EBC5200"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r>
      <w:tr w:rsidR="005F665E" w:rsidRPr="00A73599" w14:paraId="2C2EB138" w14:textId="77777777" w:rsidTr="0051420F">
        <w:trPr>
          <w:trHeight w:val="250"/>
        </w:trPr>
        <w:tc>
          <w:tcPr>
            <w:tcW w:w="1200" w:type="dxa"/>
            <w:vMerge/>
            <w:tcBorders>
              <w:top w:val="nil"/>
              <w:left w:val="single" w:sz="4" w:space="0" w:color="auto"/>
              <w:bottom w:val="single" w:sz="4" w:space="0" w:color="auto"/>
              <w:right w:val="single" w:sz="4" w:space="0" w:color="auto"/>
            </w:tcBorders>
            <w:vAlign w:val="center"/>
            <w:hideMark/>
          </w:tcPr>
          <w:p w14:paraId="04D522FC" w14:textId="77777777" w:rsidR="005F665E" w:rsidRPr="00A73599" w:rsidRDefault="005F665E" w:rsidP="0051420F">
            <w:pPr>
              <w:spacing w:line="240" w:lineRule="auto"/>
              <w:rPr>
                <w:rFonts w:eastAsia="Times New Roman" w:cs="Calibri"/>
                <w:sz w:val="22"/>
              </w:rPr>
            </w:pPr>
          </w:p>
        </w:tc>
        <w:tc>
          <w:tcPr>
            <w:tcW w:w="691" w:type="dxa"/>
            <w:vMerge/>
            <w:tcBorders>
              <w:top w:val="nil"/>
              <w:left w:val="single" w:sz="4" w:space="0" w:color="auto"/>
              <w:bottom w:val="single" w:sz="4" w:space="0" w:color="auto"/>
              <w:right w:val="single" w:sz="4" w:space="0" w:color="auto"/>
            </w:tcBorders>
            <w:vAlign w:val="center"/>
            <w:hideMark/>
          </w:tcPr>
          <w:p w14:paraId="7FABCD0C" w14:textId="77777777" w:rsidR="005F665E" w:rsidRPr="00A73599" w:rsidRDefault="005F665E" w:rsidP="0051420F">
            <w:pPr>
              <w:spacing w:line="240" w:lineRule="auto"/>
              <w:rPr>
                <w:rFonts w:eastAsia="Times New Roman" w:cs="Calibri"/>
                <w:sz w:val="22"/>
              </w:rPr>
            </w:pPr>
          </w:p>
        </w:tc>
        <w:tc>
          <w:tcPr>
            <w:tcW w:w="2357" w:type="dxa"/>
            <w:tcBorders>
              <w:top w:val="nil"/>
              <w:left w:val="nil"/>
              <w:bottom w:val="single" w:sz="4" w:space="0" w:color="auto"/>
              <w:right w:val="single" w:sz="4" w:space="0" w:color="auto"/>
            </w:tcBorders>
            <w:shd w:val="clear" w:color="000000" w:fill="E0E0E0"/>
            <w:vAlign w:val="center"/>
            <w:hideMark/>
          </w:tcPr>
          <w:p w14:paraId="7CE64BB4"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1134" w:type="dxa"/>
            <w:tcBorders>
              <w:top w:val="nil"/>
              <w:left w:val="nil"/>
              <w:bottom w:val="single" w:sz="4" w:space="0" w:color="auto"/>
              <w:right w:val="single" w:sz="4" w:space="0" w:color="auto"/>
            </w:tcBorders>
            <w:shd w:val="clear" w:color="000000" w:fill="FFFFFF"/>
            <w:vAlign w:val="center"/>
            <w:hideMark/>
          </w:tcPr>
          <w:p w14:paraId="29F32C75"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0.14</w:t>
            </w:r>
          </w:p>
        </w:tc>
        <w:tc>
          <w:tcPr>
            <w:tcW w:w="1134" w:type="dxa"/>
            <w:tcBorders>
              <w:top w:val="nil"/>
              <w:left w:val="nil"/>
              <w:bottom w:val="single" w:sz="4" w:space="0" w:color="auto"/>
              <w:right w:val="single" w:sz="4" w:space="0" w:color="auto"/>
            </w:tcBorders>
            <w:shd w:val="clear" w:color="000000" w:fill="FFFFFF"/>
            <w:vAlign w:val="center"/>
            <w:hideMark/>
          </w:tcPr>
          <w:p w14:paraId="70FD45EA"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0.362</w:t>
            </w:r>
          </w:p>
        </w:tc>
        <w:tc>
          <w:tcPr>
            <w:tcW w:w="992" w:type="dxa"/>
            <w:tcBorders>
              <w:top w:val="nil"/>
              <w:left w:val="nil"/>
              <w:bottom w:val="single" w:sz="4" w:space="0" w:color="auto"/>
              <w:right w:val="single" w:sz="4" w:space="0" w:color="auto"/>
            </w:tcBorders>
            <w:shd w:val="clear" w:color="000000" w:fill="FFFFFF"/>
            <w:vAlign w:val="center"/>
            <w:hideMark/>
          </w:tcPr>
          <w:p w14:paraId="3F7011CD"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0.104</w:t>
            </w:r>
          </w:p>
        </w:tc>
        <w:tc>
          <w:tcPr>
            <w:tcW w:w="1264" w:type="dxa"/>
            <w:tcBorders>
              <w:top w:val="nil"/>
              <w:left w:val="nil"/>
              <w:bottom w:val="single" w:sz="4" w:space="0" w:color="auto"/>
              <w:right w:val="single" w:sz="4" w:space="0" w:color="auto"/>
            </w:tcBorders>
            <w:shd w:val="clear" w:color="000000" w:fill="FFFFFF"/>
            <w:vAlign w:val="center"/>
            <w:hideMark/>
          </w:tcPr>
          <w:p w14:paraId="4967BF9C"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r>
      <w:tr w:rsidR="005F665E" w:rsidRPr="00A73599" w14:paraId="4ECBB8F9" w14:textId="77777777" w:rsidTr="0051420F">
        <w:trPr>
          <w:trHeight w:val="250"/>
        </w:trPr>
        <w:tc>
          <w:tcPr>
            <w:tcW w:w="8772" w:type="dxa"/>
            <w:gridSpan w:val="7"/>
            <w:tcBorders>
              <w:top w:val="nil"/>
              <w:left w:val="nil"/>
              <w:bottom w:val="nil"/>
              <w:right w:val="nil"/>
            </w:tcBorders>
            <w:shd w:val="clear" w:color="000000" w:fill="FFFFFF"/>
            <w:vAlign w:val="center"/>
            <w:hideMark/>
          </w:tcPr>
          <w:p w14:paraId="16517A40"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 Correlation is significant at the 0.01 level (2-tailed).</w:t>
            </w:r>
          </w:p>
        </w:tc>
      </w:tr>
      <w:tr w:rsidR="005F665E" w:rsidRPr="00A73599" w14:paraId="7CDFDDB1" w14:textId="77777777" w:rsidTr="0051420F">
        <w:trPr>
          <w:trHeight w:val="250"/>
        </w:trPr>
        <w:tc>
          <w:tcPr>
            <w:tcW w:w="8772" w:type="dxa"/>
            <w:gridSpan w:val="7"/>
            <w:tcBorders>
              <w:top w:val="nil"/>
              <w:left w:val="nil"/>
              <w:bottom w:val="nil"/>
              <w:right w:val="nil"/>
            </w:tcBorders>
            <w:shd w:val="clear" w:color="000000" w:fill="FFFFFF"/>
            <w:vAlign w:val="center"/>
            <w:hideMark/>
          </w:tcPr>
          <w:p w14:paraId="78840C7C"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 Correlation is significant at the 0.05 level (2-tailed).</w:t>
            </w:r>
          </w:p>
        </w:tc>
      </w:tr>
    </w:tbl>
    <w:p w14:paraId="3348B7D4" w14:textId="77777777" w:rsidR="005F665E" w:rsidRPr="00186DAC" w:rsidRDefault="005F665E" w:rsidP="00BA0B57">
      <w:pPr>
        <w:pStyle w:val="Caption"/>
        <w:rPr>
          <w:rFonts w:eastAsia="Times New Roman"/>
          <w:bCs/>
          <w:i w:val="0"/>
          <w:kern w:val="2"/>
          <w:lang w:val="en-US"/>
        </w:rPr>
      </w:pPr>
      <w:bookmarkStart w:id="976" w:name="_Ref45625078"/>
      <w:bookmarkStart w:id="977" w:name="_Toc46053589"/>
      <w:bookmarkStart w:id="978" w:name="_Toc46093838"/>
      <w:bookmarkStart w:id="979" w:name="_Toc66698804"/>
      <w:r>
        <w:t xml:space="preserve">Table </w:t>
      </w:r>
      <w:r w:rsidR="000306D9">
        <w:fldChar w:fldCharType="begin"/>
      </w:r>
      <w:r w:rsidR="000306D9">
        <w:instrText xml:space="preserve"> STYLEREF 1 \s </w:instrText>
      </w:r>
      <w:r w:rsidR="000306D9">
        <w:fldChar w:fldCharType="separate"/>
      </w:r>
      <w:r>
        <w:rPr>
          <w:noProof/>
        </w:rPr>
        <w:t>6</w:t>
      </w:r>
      <w:r w:rsidR="000306D9">
        <w:rPr>
          <w:noProof/>
        </w:rPr>
        <w:fldChar w:fldCharType="end"/>
      </w:r>
      <w:r>
        <w:noBreakHyphen/>
      </w:r>
      <w:r w:rsidR="000306D9">
        <w:fldChar w:fldCharType="begin"/>
      </w:r>
      <w:r w:rsidR="000306D9">
        <w:instrText xml:space="preserve"> SEQ Table \* ARABIC \s 1 </w:instrText>
      </w:r>
      <w:r w:rsidR="000306D9">
        <w:fldChar w:fldCharType="separate"/>
      </w:r>
      <w:r>
        <w:rPr>
          <w:noProof/>
        </w:rPr>
        <w:t>11</w:t>
      </w:r>
      <w:r w:rsidR="000306D9">
        <w:rPr>
          <w:noProof/>
        </w:rPr>
        <w:fldChar w:fldCharType="end"/>
      </w:r>
      <w:bookmarkEnd w:id="975"/>
      <w:bookmarkEnd w:id="976"/>
      <w:r>
        <w:rPr>
          <w:rFonts w:eastAsia="Times New Roman"/>
          <w:bCs/>
          <w:i w:val="0"/>
          <w:kern w:val="2"/>
          <w:lang w:val="en-US"/>
        </w:rPr>
        <w:t xml:space="preserve">: </w:t>
      </w:r>
      <w:r w:rsidRPr="00CD52C2">
        <w:rPr>
          <w:rFonts w:eastAsia="Times New Roman"/>
          <w:bCs/>
          <w:i w:val="0"/>
          <w:kern w:val="2"/>
          <w:lang w:val="en-US"/>
        </w:rPr>
        <w:t xml:space="preserve">Correlation </w:t>
      </w:r>
      <w:r>
        <w:rPr>
          <w:rFonts w:eastAsia="Times New Roman"/>
          <w:bCs/>
          <w:i w:val="0"/>
          <w:kern w:val="2"/>
          <w:lang w:val="en-US"/>
        </w:rPr>
        <w:t>c</w:t>
      </w:r>
      <w:r w:rsidRPr="00CD52C2">
        <w:rPr>
          <w:rFonts w:eastAsia="Times New Roman"/>
          <w:bCs/>
          <w:i w:val="0"/>
          <w:kern w:val="2"/>
          <w:lang w:val="en-US"/>
        </w:rPr>
        <w:t xml:space="preserve">oefficient </w:t>
      </w:r>
      <w:r>
        <w:rPr>
          <w:rFonts w:eastAsia="Times New Roman"/>
          <w:bCs/>
          <w:i w:val="0"/>
          <w:kern w:val="2"/>
          <w:lang w:val="en-US"/>
        </w:rPr>
        <w:t>for s</w:t>
      </w:r>
      <w:r w:rsidRPr="00CD52C2">
        <w:rPr>
          <w:rFonts w:eastAsia="Times New Roman"/>
          <w:bCs/>
          <w:i w:val="0"/>
          <w:kern w:val="2"/>
          <w:lang w:val="en-US"/>
        </w:rPr>
        <w:t xml:space="preserve">takeholder </w:t>
      </w:r>
      <w:r>
        <w:rPr>
          <w:rFonts w:eastAsia="Times New Roman"/>
          <w:bCs/>
          <w:i w:val="0"/>
          <w:kern w:val="2"/>
          <w:lang w:val="en-US"/>
        </w:rPr>
        <w:t>p</w:t>
      </w:r>
      <w:r w:rsidRPr="00CD52C2">
        <w:rPr>
          <w:rFonts w:eastAsia="Times New Roman"/>
          <w:bCs/>
          <w:i w:val="0"/>
          <w:kern w:val="2"/>
          <w:lang w:val="en-US"/>
        </w:rPr>
        <w:t>reference in Case 1</w:t>
      </w:r>
      <w:bookmarkEnd w:id="977"/>
      <w:bookmarkEnd w:id="978"/>
      <w:bookmarkEnd w:id="979"/>
    </w:p>
    <w:tbl>
      <w:tblPr>
        <w:tblW w:w="8786" w:type="dxa"/>
        <w:tblLook w:val="04A0" w:firstRow="1" w:lastRow="0" w:firstColumn="1" w:lastColumn="0" w:noHBand="0" w:noVBand="1"/>
      </w:tblPr>
      <w:tblGrid>
        <w:gridCol w:w="1222"/>
        <w:gridCol w:w="693"/>
        <w:gridCol w:w="2500"/>
        <w:gridCol w:w="2114"/>
        <w:gridCol w:w="2257"/>
      </w:tblGrid>
      <w:tr w:rsidR="005F665E" w:rsidRPr="00A73599" w14:paraId="1288E095" w14:textId="77777777" w:rsidTr="0051420F">
        <w:trPr>
          <w:trHeight w:val="250"/>
        </w:trPr>
        <w:tc>
          <w:tcPr>
            <w:tcW w:w="8786" w:type="dxa"/>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07C1027B" w14:textId="77777777" w:rsidR="005F665E" w:rsidRPr="00A73599" w:rsidRDefault="005F665E" w:rsidP="0051420F">
            <w:pPr>
              <w:spacing w:line="240" w:lineRule="auto"/>
              <w:jc w:val="center"/>
              <w:rPr>
                <w:rFonts w:eastAsia="Times New Roman" w:cs="Calibri"/>
                <w:b/>
                <w:bCs/>
                <w:sz w:val="22"/>
              </w:rPr>
            </w:pPr>
            <w:r w:rsidRPr="00A73599">
              <w:rPr>
                <w:rFonts w:eastAsia="Times New Roman" w:cs="Calibri"/>
                <w:b/>
                <w:bCs/>
                <w:sz w:val="22"/>
              </w:rPr>
              <w:t>Correlations</w:t>
            </w:r>
          </w:p>
        </w:tc>
      </w:tr>
      <w:tr w:rsidR="005F665E" w:rsidRPr="00A73599" w14:paraId="4B562DF1" w14:textId="77777777" w:rsidTr="0051420F">
        <w:trPr>
          <w:trHeight w:val="250"/>
        </w:trPr>
        <w:tc>
          <w:tcPr>
            <w:tcW w:w="439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281C7AF0"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 </w:t>
            </w:r>
          </w:p>
        </w:tc>
        <w:tc>
          <w:tcPr>
            <w:tcW w:w="2126" w:type="dxa"/>
            <w:tcBorders>
              <w:top w:val="nil"/>
              <w:left w:val="nil"/>
              <w:bottom w:val="single" w:sz="4" w:space="0" w:color="auto"/>
              <w:right w:val="single" w:sz="4" w:space="0" w:color="auto"/>
            </w:tcBorders>
            <w:shd w:val="clear" w:color="000000" w:fill="FFFFFF"/>
            <w:vAlign w:val="center"/>
            <w:hideMark/>
          </w:tcPr>
          <w:p w14:paraId="67A5159D" w14:textId="77777777" w:rsidR="005F665E" w:rsidRPr="00A73599" w:rsidRDefault="005F665E" w:rsidP="0051420F">
            <w:pPr>
              <w:spacing w:line="240" w:lineRule="auto"/>
              <w:jc w:val="center"/>
              <w:rPr>
                <w:rFonts w:eastAsia="Times New Roman" w:cs="Calibri"/>
                <w:sz w:val="22"/>
              </w:rPr>
            </w:pPr>
            <w:r w:rsidRPr="00A73599">
              <w:rPr>
                <w:rFonts w:eastAsia="Times New Roman" w:cs="Calibri"/>
                <w:sz w:val="22"/>
              </w:rPr>
              <w:t>UPM</w:t>
            </w:r>
          </w:p>
        </w:tc>
        <w:tc>
          <w:tcPr>
            <w:tcW w:w="2270" w:type="dxa"/>
            <w:tcBorders>
              <w:top w:val="nil"/>
              <w:left w:val="nil"/>
              <w:bottom w:val="single" w:sz="4" w:space="0" w:color="auto"/>
              <w:right w:val="single" w:sz="4" w:space="0" w:color="auto"/>
            </w:tcBorders>
            <w:shd w:val="clear" w:color="000000" w:fill="FFFFFF"/>
            <w:vAlign w:val="center"/>
            <w:hideMark/>
          </w:tcPr>
          <w:p w14:paraId="433B0C5D" w14:textId="77777777" w:rsidR="005F665E" w:rsidRPr="00A73599" w:rsidRDefault="005F665E" w:rsidP="0051420F">
            <w:pPr>
              <w:spacing w:line="240" w:lineRule="auto"/>
              <w:jc w:val="center"/>
              <w:rPr>
                <w:rFonts w:eastAsia="Times New Roman" w:cs="Calibri"/>
                <w:sz w:val="22"/>
              </w:rPr>
            </w:pPr>
            <w:r w:rsidRPr="00A73599">
              <w:rPr>
                <w:rFonts w:eastAsia="Times New Roman" w:cs="Calibri"/>
                <w:sz w:val="22"/>
              </w:rPr>
              <w:t>DRS</w:t>
            </w:r>
          </w:p>
        </w:tc>
      </w:tr>
      <w:tr w:rsidR="005F665E" w:rsidRPr="00A73599" w14:paraId="6FEE0603" w14:textId="77777777" w:rsidTr="0051420F">
        <w:trPr>
          <w:trHeight w:val="250"/>
        </w:trPr>
        <w:tc>
          <w:tcPr>
            <w:tcW w:w="1200" w:type="dxa"/>
            <w:vMerge w:val="restart"/>
            <w:tcBorders>
              <w:top w:val="nil"/>
              <w:left w:val="single" w:sz="4" w:space="0" w:color="auto"/>
              <w:bottom w:val="single" w:sz="4" w:space="0" w:color="auto"/>
              <w:right w:val="single" w:sz="4" w:space="0" w:color="auto"/>
            </w:tcBorders>
            <w:shd w:val="clear" w:color="000000" w:fill="E0E0E0"/>
            <w:vAlign w:val="center"/>
            <w:hideMark/>
          </w:tcPr>
          <w:p w14:paraId="442D4E71"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 xml:space="preserve">Kendall's </w:t>
            </w:r>
            <w:proofErr w:type="spellStart"/>
            <w:r w:rsidRPr="00A73599">
              <w:rPr>
                <w:rFonts w:eastAsia="Times New Roman" w:cs="Calibri"/>
                <w:sz w:val="22"/>
              </w:rPr>
              <w:t>tau_b</w:t>
            </w:r>
            <w:proofErr w:type="spellEnd"/>
          </w:p>
        </w:tc>
        <w:tc>
          <w:tcPr>
            <w:tcW w:w="679" w:type="dxa"/>
            <w:vMerge w:val="restart"/>
            <w:tcBorders>
              <w:top w:val="nil"/>
              <w:left w:val="single" w:sz="4" w:space="0" w:color="auto"/>
              <w:bottom w:val="single" w:sz="4" w:space="0" w:color="auto"/>
              <w:right w:val="single" w:sz="4" w:space="0" w:color="auto"/>
            </w:tcBorders>
            <w:shd w:val="clear" w:color="000000" w:fill="E0E0E0"/>
            <w:vAlign w:val="center"/>
            <w:hideMark/>
          </w:tcPr>
          <w:p w14:paraId="1927215D"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UPM</w:t>
            </w:r>
          </w:p>
        </w:tc>
        <w:tc>
          <w:tcPr>
            <w:tcW w:w="2511" w:type="dxa"/>
            <w:tcBorders>
              <w:top w:val="nil"/>
              <w:left w:val="nil"/>
              <w:bottom w:val="single" w:sz="4" w:space="0" w:color="auto"/>
              <w:right w:val="single" w:sz="4" w:space="0" w:color="auto"/>
            </w:tcBorders>
            <w:shd w:val="clear" w:color="000000" w:fill="E0E0E0"/>
            <w:vAlign w:val="center"/>
            <w:hideMark/>
          </w:tcPr>
          <w:p w14:paraId="0D37BE3C"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2126" w:type="dxa"/>
            <w:tcBorders>
              <w:top w:val="nil"/>
              <w:left w:val="nil"/>
              <w:bottom w:val="single" w:sz="4" w:space="0" w:color="auto"/>
              <w:right w:val="single" w:sz="4" w:space="0" w:color="auto"/>
            </w:tcBorders>
            <w:shd w:val="clear" w:color="000000" w:fill="FFFFFF"/>
            <w:vAlign w:val="center"/>
            <w:hideMark/>
          </w:tcPr>
          <w:p w14:paraId="2E89C848"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c>
          <w:tcPr>
            <w:tcW w:w="2270" w:type="dxa"/>
            <w:tcBorders>
              <w:top w:val="nil"/>
              <w:left w:val="nil"/>
              <w:bottom w:val="single" w:sz="4" w:space="0" w:color="auto"/>
              <w:right w:val="single" w:sz="4" w:space="0" w:color="auto"/>
            </w:tcBorders>
            <w:shd w:val="clear" w:color="000000" w:fill="FFFFFF"/>
            <w:vAlign w:val="center"/>
            <w:hideMark/>
          </w:tcPr>
          <w:p w14:paraId="76D54CBE"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-0.266</w:t>
            </w:r>
          </w:p>
        </w:tc>
      </w:tr>
      <w:tr w:rsidR="005F665E" w:rsidRPr="00A73599" w14:paraId="37A0B2ED" w14:textId="77777777" w:rsidTr="0051420F">
        <w:trPr>
          <w:trHeight w:val="250"/>
        </w:trPr>
        <w:tc>
          <w:tcPr>
            <w:tcW w:w="1200" w:type="dxa"/>
            <w:vMerge/>
            <w:tcBorders>
              <w:top w:val="nil"/>
              <w:left w:val="single" w:sz="4" w:space="0" w:color="auto"/>
              <w:bottom w:val="single" w:sz="4" w:space="0" w:color="auto"/>
              <w:right w:val="single" w:sz="4" w:space="0" w:color="auto"/>
            </w:tcBorders>
            <w:vAlign w:val="center"/>
            <w:hideMark/>
          </w:tcPr>
          <w:p w14:paraId="19699DFF" w14:textId="77777777" w:rsidR="005F665E" w:rsidRPr="00A73599" w:rsidRDefault="005F665E" w:rsidP="0051420F">
            <w:pPr>
              <w:spacing w:line="240" w:lineRule="auto"/>
              <w:rPr>
                <w:rFonts w:eastAsia="Times New Roman" w:cs="Calibri"/>
                <w:sz w:val="22"/>
              </w:rPr>
            </w:pPr>
          </w:p>
        </w:tc>
        <w:tc>
          <w:tcPr>
            <w:tcW w:w="679" w:type="dxa"/>
            <w:vMerge/>
            <w:tcBorders>
              <w:top w:val="nil"/>
              <w:left w:val="single" w:sz="4" w:space="0" w:color="auto"/>
              <w:bottom w:val="single" w:sz="4" w:space="0" w:color="auto"/>
              <w:right w:val="single" w:sz="4" w:space="0" w:color="auto"/>
            </w:tcBorders>
            <w:vAlign w:val="center"/>
            <w:hideMark/>
          </w:tcPr>
          <w:p w14:paraId="03DF11B0" w14:textId="77777777" w:rsidR="005F665E" w:rsidRPr="00A73599" w:rsidRDefault="005F665E" w:rsidP="0051420F">
            <w:pPr>
              <w:spacing w:line="240" w:lineRule="auto"/>
              <w:rPr>
                <w:rFonts w:eastAsia="Times New Roman" w:cs="Calibri"/>
                <w:sz w:val="22"/>
              </w:rPr>
            </w:pPr>
          </w:p>
        </w:tc>
        <w:tc>
          <w:tcPr>
            <w:tcW w:w="2511" w:type="dxa"/>
            <w:tcBorders>
              <w:top w:val="nil"/>
              <w:left w:val="nil"/>
              <w:bottom w:val="single" w:sz="4" w:space="0" w:color="auto"/>
              <w:right w:val="single" w:sz="4" w:space="0" w:color="auto"/>
            </w:tcBorders>
            <w:shd w:val="clear" w:color="000000" w:fill="E0E0E0"/>
            <w:vAlign w:val="center"/>
            <w:hideMark/>
          </w:tcPr>
          <w:p w14:paraId="1FB63C72"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2126" w:type="dxa"/>
            <w:tcBorders>
              <w:top w:val="nil"/>
              <w:left w:val="nil"/>
              <w:bottom w:val="single" w:sz="4" w:space="0" w:color="auto"/>
              <w:right w:val="single" w:sz="4" w:space="0" w:color="auto"/>
            </w:tcBorders>
            <w:shd w:val="clear" w:color="000000" w:fill="FFFFFF"/>
            <w:vAlign w:val="center"/>
            <w:hideMark/>
          </w:tcPr>
          <w:p w14:paraId="2D399B09"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c>
          <w:tcPr>
            <w:tcW w:w="2270" w:type="dxa"/>
            <w:tcBorders>
              <w:top w:val="nil"/>
              <w:left w:val="nil"/>
              <w:bottom w:val="single" w:sz="4" w:space="0" w:color="auto"/>
              <w:right w:val="single" w:sz="4" w:space="0" w:color="auto"/>
            </w:tcBorders>
            <w:shd w:val="clear" w:color="000000" w:fill="FFFFFF"/>
            <w:vAlign w:val="center"/>
            <w:hideMark/>
          </w:tcPr>
          <w:p w14:paraId="15FD75E6"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0.187</w:t>
            </w:r>
          </w:p>
        </w:tc>
      </w:tr>
      <w:tr w:rsidR="005F665E" w:rsidRPr="00A73599" w14:paraId="21E7633D" w14:textId="77777777" w:rsidTr="0051420F">
        <w:trPr>
          <w:trHeight w:val="250"/>
        </w:trPr>
        <w:tc>
          <w:tcPr>
            <w:tcW w:w="1200" w:type="dxa"/>
            <w:vMerge/>
            <w:tcBorders>
              <w:top w:val="nil"/>
              <w:left w:val="single" w:sz="4" w:space="0" w:color="auto"/>
              <w:bottom w:val="single" w:sz="4" w:space="0" w:color="auto"/>
              <w:right w:val="single" w:sz="4" w:space="0" w:color="auto"/>
            </w:tcBorders>
            <w:vAlign w:val="center"/>
            <w:hideMark/>
          </w:tcPr>
          <w:p w14:paraId="2AFCF4AF" w14:textId="77777777" w:rsidR="005F665E" w:rsidRPr="00A73599" w:rsidRDefault="005F665E" w:rsidP="0051420F">
            <w:pPr>
              <w:spacing w:line="240" w:lineRule="auto"/>
              <w:rPr>
                <w:rFonts w:eastAsia="Times New Roman" w:cs="Calibri"/>
                <w:sz w:val="22"/>
              </w:rPr>
            </w:pPr>
          </w:p>
        </w:tc>
        <w:tc>
          <w:tcPr>
            <w:tcW w:w="679" w:type="dxa"/>
            <w:vMerge w:val="restart"/>
            <w:tcBorders>
              <w:top w:val="nil"/>
              <w:left w:val="single" w:sz="4" w:space="0" w:color="auto"/>
              <w:bottom w:val="single" w:sz="4" w:space="0" w:color="auto"/>
              <w:right w:val="single" w:sz="4" w:space="0" w:color="auto"/>
            </w:tcBorders>
            <w:shd w:val="clear" w:color="000000" w:fill="E0E0E0"/>
            <w:vAlign w:val="center"/>
            <w:hideMark/>
          </w:tcPr>
          <w:p w14:paraId="45439519"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DRS</w:t>
            </w:r>
          </w:p>
        </w:tc>
        <w:tc>
          <w:tcPr>
            <w:tcW w:w="2511" w:type="dxa"/>
            <w:tcBorders>
              <w:top w:val="nil"/>
              <w:left w:val="nil"/>
              <w:bottom w:val="single" w:sz="4" w:space="0" w:color="auto"/>
              <w:right w:val="single" w:sz="4" w:space="0" w:color="auto"/>
            </w:tcBorders>
            <w:shd w:val="clear" w:color="000000" w:fill="E0E0E0"/>
            <w:vAlign w:val="center"/>
            <w:hideMark/>
          </w:tcPr>
          <w:p w14:paraId="4CBBAA69"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2126" w:type="dxa"/>
            <w:tcBorders>
              <w:top w:val="nil"/>
              <w:left w:val="nil"/>
              <w:bottom w:val="single" w:sz="4" w:space="0" w:color="auto"/>
              <w:right w:val="single" w:sz="4" w:space="0" w:color="auto"/>
            </w:tcBorders>
            <w:shd w:val="clear" w:color="000000" w:fill="FFFFFF"/>
            <w:vAlign w:val="center"/>
            <w:hideMark/>
          </w:tcPr>
          <w:p w14:paraId="56855F2D"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-0.266</w:t>
            </w:r>
          </w:p>
        </w:tc>
        <w:tc>
          <w:tcPr>
            <w:tcW w:w="2270" w:type="dxa"/>
            <w:tcBorders>
              <w:top w:val="nil"/>
              <w:left w:val="nil"/>
              <w:bottom w:val="single" w:sz="4" w:space="0" w:color="auto"/>
              <w:right w:val="single" w:sz="4" w:space="0" w:color="auto"/>
            </w:tcBorders>
            <w:shd w:val="clear" w:color="000000" w:fill="FFFFFF"/>
            <w:vAlign w:val="center"/>
            <w:hideMark/>
          </w:tcPr>
          <w:p w14:paraId="55A123CD"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r>
      <w:tr w:rsidR="005F665E" w:rsidRPr="00A73599" w14:paraId="1795E681" w14:textId="77777777" w:rsidTr="0051420F">
        <w:trPr>
          <w:trHeight w:val="250"/>
        </w:trPr>
        <w:tc>
          <w:tcPr>
            <w:tcW w:w="1200" w:type="dxa"/>
            <w:vMerge/>
            <w:tcBorders>
              <w:top w:val="nil"/>
              <w:left w:val="single" w:sz="4" w:space="0" w:color="auto"/>
              <w:bottom w:val="single" w:sz="4" w:space="0" w:color="auto"/>
              <w:right w:val="single" w:sz="4" w:space="0" w:color="auto"/>
            </w:tcBorders>
            <w:vAlign w:val="center"/>
            <w:hideMark/>
          </w:tcPr>
          <w:p w14:paraId="44D6E6FD" w14:textId="77777777" w:rsidR="005F665E" w:rsidRPr="00A73599" w:rsidRDefault="005F665E" w:rsidP="0051420F">
            <w:pPr>
              <w:spacing w:line="240" w:lineRule="auto"/>
              <w:rPr>
                <w:rFonts w:eastAsia="Times New Roman" w:cs="Calibri"/>
                <w:sz w:val="22"/>
              </w:rPr>
            </w:pPr>
          </w:p>
        </w:tc>
        <w:tc>
          <w:tcPr>
            <w:tcW w:w="679" w:type="dxa"/>
            <w:vMerge/>
            <w:tcBorders>
              <w:top w:val="nil"/>
              <w:left w:val="single" w:sz="4" w:space="0" w:color="auto"/>
              <w:bottom w:val="single" w:sz="4" w:space="0" w:color="auto"/>
              <w:right w:val="single" w:sz="4" w:space="0" w:color="auto"/>
            </w:tcBorders>
            <w:vAlign w:val="center"/>
            <w:hideMark/>
          </w:tcPr>
          <w:p w14:paraId="03684ADC" w14:textId="77777777" w:rsidR="005F665E" w:rsidRPr="00A73599" w:rsidRDefault="005F665E" w:rsidP="0051420F">
            <w:pPr>
              <w:spacing w:line="240" w:lineRule="auto"/>
              <w:rPr>
                <w:rFonts w:eastAsia="Times New Roman" w:cs="Calibri"/>
                <w:sz w:val="22"/>
              </w:rPr>
            </w:pPr>
          </w:p>
        </w:tc>
        <w:tc>
          <w:tcPr>
            <w:tcW w:w="2511" w:type="dxa"/>
            <w:tcBorders>
              <w:top w:val="nil"/>
              <w:left w:val="nil"/>
              <w:bottom w:val="single" w:sz="4" w:space="0" w:color="auto"/>
              <w:right w:val="single" w:sz="4" w:space="0" w:color="auto"/>
            </w:tcBorders>
            <w:shd w:val="clear" w:color="000000" w:fill="E0E0E0"/>
            <w:vAlign w:val="center"/>
            <w:hideMark/>
          </w:tcPr>
          <w:p w14:paraId="530C9052"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2126" w:type="dxa"/>
            <w:tcBorders>
              <w:top w:val="nil"/>
              <w:left w:val="nil"/>
              <w:bottom w:val="single" w:sz="4" w:space="0" w:color="auto"/>
              <w:right w:val="single" w:sz="4" w:space="0" w:color="auto"/>
            </w:tcBorders>
            <w:shd w:val="clear" w:color="000000" w:fill="FFFFFF"/>
            <w:vAlign w:val="center"/>
            <w:hideMark/>
          </w:tcPr>
          <w:p w14:paraId="24096EAF"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0.187</w:t>
            </w:r>
          </w:p>
        </w:tc>
        <w:tc>
          <w:tcPr>
            <w:tcW w:w="2270" w:type="dxa"/>
            <w:tcBorders>
              <w:top w:val="nil"/>
              <w:left w:val="nil"/>
              <w:bottom w:val="single" w:sz="4" w:space="0" w:color="auto"/>
              <w:right w:val="single" w:sz="4" w:space="0" w:color="auto"/>
            </w:tcBorders>
            <w:shd w:val="clear" w:color="000000" w:fill="FFFFFF"/>
            <w:vAlign w:val="center"/>
            <w:hideMark/>
          </w:tcPr>
          <w:p w14:paraId="18E801B3"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r>
      <w:tr w:rsidR="005F665E" w:rsidRPr="00A73599" w14:paraId="00991251" w14:textId="77777777" w:rsidTr="0051420F">
        <w:trPr>
          <w:trHeight w:val="250"/>
        </w:trPr>
        <w:tc>
          <w:tcPr>
            <w:tcW w:w="1200" w:type="dxa"/>
            <w:vMerge w:val="restart"/>
            <w:tcBorders>
              <w:top w:val="nil"/>
              <w:left w:val="single" w:sz="4" w:space="0" w:color="auto"/>
              <w:bottom w:val="single" w:sz="4" w:space="0" w:color="auto"/>
              <w:right w:val="single" w:sz="4" w:space="0" w:color="auto"/>
            </w:tcBorders>
            <w:shd w:val="clear" w:color="000000" w:fill="E0E0E0"/>
            <w:vAlign w:val="center"/>
            <w:hideMark/>
          </w:tcPr>
          <w:p w14:paraId="6CB8985C"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Spearman's rho</w:t>
            </w:r>
          </w:p>
        </w:tc>
        <w:tc>
          <w:tcPr>
            <w:tcW w:w="679" w:type="dxa"/>
            <w:vMerge w:val="restart"/>
            <w:tcBorders>
              <w:top w:val="nil"/>
              <w:left w:val="single" w:sz="4" w:space="0" w:color="auto"/>
              <w:bottom w:val="single" w:sz="4" w:space="0" w:color="auto"/>
              <w:right w:val="single" w:sz="4" w:space="0" w:color="auto"/>
            </w:tcBorders>
            <w:shd w:val="clear" w:color="000000" w:fill="E0E0E0"/>
            <w:vAlign w:val="center"/>
            <w:hideMark/>
          </w:tcPr>
          <w:p w14:paraId="00B9F5CA"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UPM</w:t>
            </w:r>
          </w:p>
        </w:tc>
        <w:tc>
          <w:tcPr>
            <w:tcW w:w="2511" w:type="dxa"/>
            <w:tcBorders>
              <w:top w:val="nil"/>
              <w:left w:val="nil"/>
              <w:bottom w:val="single" w:sz="4" w:space="0" w:color="auto"/>
              <w:right w:val="single" w:sz="4" w:space="0" w:color="auto"/>
            </w:tcBorders>
            <w:shd w:val="clear" w:color="000000" w:fill="E0E0E0"/>
            <w:vAlign w:val="center"/>
            <w:hideMark/>
          </w:tcPr>
          <w:p w14:paraId="7916FD4D"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2126" w:type="dxa"/>
            <w:tcBorders>
              <w:top w:val="nil"/>
              <w:left w:val="nil"/>
              <w:bottom w:val="single" w:sz="4" w:space="0" w:color="auto"/>
              <w:right w:val="single" w:sz="4" w:space="0" w:color="auto"/>
            </w:tcBorders>
            <w:shd w:val="clear" w:color="000000" w:fill="FFFFFF"/>
            <w:vAlign w:val="center"/>
            <w:hideMark/>
          </w:tcPr>
          <w:p w14:paraId="020078A6"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c>
          <w:tcPr>
            <w:tcW w:w="2270" w:type="dxa"/>
            <w:tcBorders>
              <w:top w:val="nil"/>
              <w:left w:val="nil"/>
              <w:bottom w:val="single" w:sz="4" w:space="0" w:color="auto"/>
              <w:right w:val="single" w:sz="4" w:space="0" w:color="auto"/>
            </w:tcBorders>
            <w:shd w:val="clear" w:color="000000" w:fill="FFFFFF"/>
            <w:vAlign w:val="center"/>
            <w:hideMark/>
          </w:tcPr>
          <w:p w14:paraId="6721391E"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-0.36</w:t>
            </w:r>
          </w:p>
        </w:tc>
      </w:tr>
      <w:tr w:rsidR="005F665E" w:rsidRPr="00A73599" w14:paraId="35F60C87" w14:textId="77777777" w:rsidTr="0051420F">
        <w:trPr>
          <w:trHeight w:val="250"/>
        </w:trPr>
        <w:tc>
          <w:tcPr>
            <w:tcW w:w="1200" w:type="dxa"/>
            <w:vMerge/>
            <w:tcBorders>
              <w:top w:val="nil"/>
              <w:left w:val="single" w:sz="4" w:space="0" w:color="auto"/>
              <w:bottom w:val="single" w:sz="4" w:space="0" w:color="auto"/>
              <w:right w:val="single" w:sz="4" w:space="0" w:color="auto"/>
            </w:tcBorders>
            <w:vAlign w:val="center"/>
            <w:hideMark/>
          </w:tcPr>
          <w:p w14:paraId="0B604C73" w14:textId="77777777" w:rsidR="005F665E" w:rsidRPr="00A73599" w:rsidRDefault="005F665E" w:rsidP="0051420F">
            <w:pPr>
              <w:spacing w:line="240" w:lineRule="auto"/>
              <w:rPr>
                <w:rFonts w:eastAsia="Times New Roman" w:cs="Calibri"/>
                <w:sz w:val="22"/>
              </w:rPr>
            </w:pPr>
          </w:p>
        </w:tc>
        <w:tc>
          <w:tcPr>
            <w:tcW w:w="679" w:type="dxa"/>
            <w:vMerge/>
            <w:tcBorders>
              <w:top w:val="nil"/>
              <w:left w:val="single" w:sz="4" w:space="0" w:color="auto"/>
              <w:bottom w:val="single" w:sz="4" w:space="0" w:color="auto"/>
              <w:right w:val="single" w:sz="4" w:space="0" w:color="auto"/>
            </w:tcBorders>
            <w:vAlign w:val="center"/>
            <w:hideMark/>
          </w:tcPr>
          <w:p w14:paraId="086192E7" w14:textId="77777777" w:rsidR="005F665E" w:rsidRPr="00A73599" w:rsidRDefault="005F665E" w:rsidP="0051420F">
            <w:pPr>
              <w:spacing w:line="240" w:lineRule="auto"/>
              <w:rPr>
                <w:rFonts w:eastAsia="Times New Roman" w:cs="Calibri"/>
                <w:sz w:val="22"/>
              </w:rPr>
            </w:pPr>
          </w:p>
        </w:tc>
        <w:tc>
          <w:tcPr>
            <w:tcW w:w="2511" w:type="dxa"/>
            <w:tcBorders>
              <w:top w:val="nil"/>
              <w:left w:val="nil"/>
              <w:bottom w:val="single" w:sz="4" w:space="0" w:color="auto"/>
              <w:right w:val="single" w:sz="4" w:space="0" w:color="auto"/>
            </w:tcBorders>
            <w:shd w:val="clear" w:color="000000" w:fill="E0E0E0"/>
            <w:vAlign w:val="center"/>
            <w:hideMark/>
          </w:tcPr>
          <w:p w14:paraId="224D4C99"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2126" w:type="dxa"/>
            <w:tcBorders>
              <w:top w:val="nil"/>
              <w:left w:val="nil"/>
              <w:bottom w:val="single" w:sz="4" w:space="0" w:color="auto"/>
              <w:right w:val="single" w:sz="4" w:space="0" w:color="auto"/>
            </w:tcBorders>
            <w:shd w:val="clear" w:color="000000" w:fill="FFFFFF"/>
            <w:vAlign w:val="center"/>
            <w:hideMark/>
          </w:tcPr>
          <w:p w14:paraId="0A804CE9"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c>
          <w:tcPr>
            <w:tcW w:w="2270" w:type="dxa"/>
            <w:tcBorders>
              <w:top w:val="nil"/>
              <w:left w:val="nil"/>
              <w:bottom w:val="single" w:sz="4" w:space="0" w:color="auto"/>
              <w:right w:val="single" w:sz="4" w:space="0" w:color="auto"/>
            </w:tcBorders>
            <w:shd w:val="clear" w:color="000000" w:fill="FFFFFF"/>
            <w:vAlign w:val="center"/>
            <w:hideMark/>
          </w:tcPr>
          <w:p w14:paraId="77132EC4"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0.188</w:t>
            </w:r>
          </w:p>
        </w:tc>
      </w:tr>
      <w:tr w:rsidR="005F665E" w:rsidRPr="00A73599" w14:paraId="54C61175" w14:textId="77777777" w:rsidTr="0051420F">
        <w:trPr>
          <w:trHeight w:val="250"/>
        </w:trPr>
        <w:tc>
          <w:tcPr>
            <w:tcW w:w="1200" w:type="dxa"/>
            <w:vMerge/>
            <w:tcBorders>
              <w:top w:val="nil"/>
              <w:left w:val="single" w:sz="4" w:space="0" w:color="auto"/>
              <w:bottom w:val="single" w:sz="4" w:space="0" w:color="auto"/>
              <w:right w:val="single" w:sz="4" w:space="0" w:color="auto"/>
            </w:tcBorders>
            <w:vAlign w:val="center"/>
            <w:hideMark/>
          </w:tcPr>
          <w:p w14:paraId="3B4B67E4" w14:textId="77777777" w:rsidR="005F665E" w:rsidRPr="00A73599" w:rsidRDefault="005F665E" w:rsidP="0051420F">
            <w:pPr>
              <w:spacing w:line="240" w:lineRule="auto"/>
              <w:rPr>
                <w:rFonts w:eastAsia="Times New Roman" w:cs="Calibri"/>
                <w:sz w:val="22"/>
              </w:rPr>
            </w:pPr>
          </w:p>
        </w:tc>
        <w:tc>
          <w:tcPr>
            <w:tcW w:w="679" w:type="dxa"/>
            <w:vMerge w:val="restart"/>
            <w:tcBorders>
              <w:top w:val="nil"/>
              <w:left w:val="single" w:sz="4" w:space="0" w:color="auto"/>
              <w:bottom w:val="single" w:sz="4" w:space="0" w:color="auto"/>
              <w:right w:val="single" w:sz="4" w:space="0" w:color="auto"/>
            </w:tcBorders>
            <w:shd w:val="clear" w:color="000000" w:fill="E0E0E0"/>
            <w:vAlign w:val="center"/>
            <w:hideMark/>
          </w:tcPr>
          <w:p w14:paraId="56DD6F4B"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DRS</w:t>
            </w:r>
          </w:p>
        </w:tc>
        <w:tc>
          <w:tcPr>
            <w:tcW w:w="2511" w:type="dxa"/>
            <w:tcBorders>
              <w:top w:val="nil"/>
              <w:left w:val="nil"/>
              <w:bottom w:val="single" w:sz="4" w:space="0" w:color="auto"/>
              <w:right w:val="single" w:sz="4" w:space="0" w:color="auto"/>
            </w:tcBorders>
            <w:shd w:val="clear" w:color="000000" w:fill="E0E0E0"/>
            <w:vAlign w:val="center"/>
            <w:hideMark/>
          </w:tcPr>
          <w:p w14:paraId="08036571"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2126" w:type="dxa"/>
            <w:tcBorders>
              <w:top w:val="nil"/>
              <w:left w:val="nil"/>
              <w:bottom w:val="single" w:sz="4" w:space="0" w:color="auto"/>
              <w:right w:val="single" w:sz="4" w:space="0" w:color="auto"/>
            </w:tcBorders>
            <w:shd w:val="clear" w:color="000000" w:fill="FFFFFF"/>
            <w:vAlign w:val="center"/>
            <w:hideMark/>
          </w:tcPr>
          <w:p w14:paraId="055767B0"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-0.36</w:t>
            </w:r>
          </w:p>
        </w:tc>
        <w:tc>
          <w:tcPr>
            <w:tcW w:w="2270" w:type="dxa"/>
            <w:tcBorders>
              <w:top w:val="nil"/>
              <w:left w:val="nil"/>
              <w:bottom w:val="single" w:sz="4" w:space="0" w:color="auto"/>
              <w:right w:val="single" w:sz="4" w:space="0" w:color="auto"/>
            </w:tcBorders>
            <w:shd w:val="clear" w:color="000000" w:fill="FFFFFF"/>
            <w:vAlign w:val="center"/>
            <w:hideMark/>
          </w:tcPr>
          <w:p w14:paraId="053170EE"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r>
      <w:tr w:rsidR="005F665E" w:rsidRPr="00A73599" w14:paraId="634315FB" w14:textId="77777777" w:rsidTr="0051420F">
        <w:trPr>
          <w:trHeight w:val="250"/>
        </w:trPr>
        <w:tc>
          <w:tcPr>
            <w:tcW w:w="1200" w:type="dxa"/>
            <w:vMerge/>
            <w:tcBorders>
              <w:top w:val="nil"/>
              <w:left w:val="single" w:sz="4" w:space="0" w:color="auto"/>
              <w:bottom w:val="single" w:sz="4" w:space="0" w:color="auto"/>
              <w:right w:val="single" w:sz="4" w:space="0" w:color="auto"/>
            </w:tcBorders>
            <w:vAlign w:val="center"/>
            <w:hideMark/>
          </w:tcPr>
          <w:p w14:paraId="4D989BC8" w14:textId="77777777" w:rsidR="005F665E" w:rsidRPr="00A73599" w:rsidRDefault="005F665E" w:rsidP="0051420F">
            <w:pPr>
              <w:spacing w:line="240" w:lineRule="auto"/>
              <w:rPr>
                <w:rFonts w:eastAsia="Times New Roman" w:cs="Calibri"/>
                <w:sz w:val="22"/>
              </w:rPr>
            </w:pPr>
          </w:p>
        </w:tc>
        <w:tc>
          <w:tcPr>
            <w:tcW w:w="679" w:type="dxa"/>
            <w:vMerge/>
            <w:tcBorders>
              <w:top w:val="nil"/>
              <w:left w:val="single" w:sz="4" w:space="0" w:color="auto"/>
              <w:bottom w:val="single" w:sz="4" w:space="0" w:color="auto"/>
              <w:right w:val="single" w:sz="4" w:space="0" w:color="auto"/>
            </w:tcBorders>
            <w:vAlign w:val="center"/>
            <w:hideMark/>
          </w:tcPr>
          <w:p w14:paraId="729D1F2B" w14:textId="77777777" w:rsidR="005F665E" w:rsidRPr="00A73599" w:rsidRDefault="005F665E" w:rsidP="0051420F">
            <w:pPr>
              <w:spacing w:line="240" w:lineRule="auto"/>
              <w:rPr>
                <w:rFonts w:eastAsia="Times New Roman" w:cs="Calibri"/>
                <w:sz w:val="22"/>
              </w:rPr>
            </w:pPr>
          </w:p>
        </w:tc>
        <w:tc>
          <w:tcPr>
            <w:tcW w:w="2511" w:type="dxa"/>
            <w:tcBorders>
              <w:top w:val="nil"/>
              <w:left w:val="nil"/>
              <w:bottom w:val="single" w:sz="4" w:space="0" w:color="auto"/>
              <w:right w:val="single" w:sz="4" w:space="0" w:color="auto"/>
            </w:tcBorders>
            <w:shd w:val="clear" w:color="000000" w:fill="E0E0E0"/>
            <w:vAlign w:val="center"/>
            <w:hideMark/>
          </w:tcPr>
          <w:p w14:paraId="10C1BAD2"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2126" w:type="dxa"/>
            <w:tcBorders>
              <w:top w:val="nil"/>
              <w:left w:val="nil"/>
              <w:bottom w:val="single" w:sz="4" w:space="0" w:color="auto"/>
              <w:right w:val="single" w:sz="4" w:space="0" w:color="auto"/>
            </w:tcBorders>
            <w:shd w:val="clear" w:color="000000" w:fill="FFFFFF"/>
            <w:vAlign w:val="center"/>
            <w:hideMark/>
          </w:tcPr>
          <w:p w14:paraId="7328CA0D"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0.188</w:t>
            </w:r>
          </w:p>
        </w:tc>
        <w:tc>
          <w:tcPr>
            <w:tcW w:w="2270" w:type="dxa"/>
            <w:tcBorders>
              <w:top w:val="nil"/>
              <w:left w:val="nil"/>
              <w:bottom w:val="single" w:sz="4" w:space="0" w:color="auto"/>
              <w:right w:val="single" w:sz="4" w:space="0" w:color="auto"/>
            </w:tcBorders>
            <w:shd w:val="clear" w:color="000000" w:fill="FFFFFF"/>
            <w:vAlign w:val="center"/>
            <w:hideMark/>
          </w:tcPr>
          <w:p w14:paraId="7EDC44A9"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r>
    </w:tbl>
    <w:p w14:paraId="1FAF3180" w14:textId="77777777" w:rsidR="005F665E" w:rsidRPr="00186DAC" w:rsidRDefault="005F665E" w:rsidP="00BA0B57">
      <w:pPr>
        <w:pStyle w:val="Caption"/>
        <w:rPr>
          <w:rFonts w:eastAsia="Times New Roman"/>
          <w:bCs/>
          <w:i w:val="0"/>
          <w:kern w:val="2"/>
          <w:lang w:val="en-US"/>
        </w:rPr>
      </w:pPr>
      <w:bookmarkStart w:id="980" w:name="_Toc46053590"/>
      <w:bookmarkStart w:id="981" w:name="_Toc46093839"/>
      <w:bookmarkStart w:id="982" w:name="_Toc66698805"/>
      <w:r>
        <w:t xml:space="preserve">Table </w:t>
      </w:r>
      <w:r w:rsidR="000306D9">
        <w:fldChar w:fldCharType="begin"/>
      </w:r>
      <w:r w:rsidR="000306D9">
        <w:instrText xml:space="preserve"> STYLEREF 1 \s </w:instrText>
      </w:r>
      <w:r w:rsidR="000306D9">
        <w:fldChar w:fldCharType="separate"/>
      </w:r>
      <w:r>
        <w:rPr>
          <w:noProof/>
        </w:rPr>
        <w:t>6</w:t>
      </w:r>
      <w:r w:rsidR="000306D9">
        <w:rPr>
          <w:noProof/>
        </w:rPr>
        <w:fldChar w:fldCharType="end"/>
      </w:r>
      <w:r>
        <w:noBreakHyphen/>
      </w:r>
      <w:r w:rsidR="000306D9">
        <w:fldChar w:fldCharType="begin"/>
      </w:r>
      <w:r w:rsidR="000306D9">
        <w:instrText xml:space="preserve"> SEQ Table \* ARABIC \s 1 </w:instrText>
      </w:r>
      <w:r w:rsidR="000306D9">
        <w:fldChar w:fldCharType="separate"/>
      </w:r>
      <w:r>
        <w:rPr>
          <w:noProof/>
        </w:rPr>
        <w:t>12</w:t>
      </w:r>
      <w:r w:rsidR="000306D9">
        <w:rPr>
          <w:noProof/>
        </w:rPr>
        <w:fldChar w:fldCharType="end"/>
      </w:r>
      <w:r>
        <w:rPr>
          <w:rFonts w:eastAsia="Times New Roman"/>
          <w:bCs/>
          <w:i w:val="0"/>
          <w:kern w:val="2"/>
          <w:lang w:val="en-US"/>
        </w:rPr>
        <w:t xml:space="preserve">: </w:t>
      </w:r>
      <w:r w:rsidRPr="00CD52C2">
        <w:rPr>
          <w:rFonts w:eastAsia="Times New Roman"/>
          <w:bCs/>
          <w:i w:val="0"/>
          <w:kern w:val="2"/>
          <w:lang w:val="en-US"/>
        </w:rPr>
        <w:t xml:space="preserve">Correlation </w:t>
      </w:r>
      <w:r>
        <w:rPr>
          <w:rFonts w:eastAsia="Times New Roman"/>
          <w:bCs/>
          <w:i w:val="0"/>
          <w:kern w:val="2"/>
          <w:lang w:val="en-US"/>
        </w:rPr>
        <w:t>c</w:t>
      </w:r>
      <w:r w:rsidRPr="00CD52C2">
        <w:rPr>
          <w:rFonts w:eastAsia="Times New Roman"/>
          <w:bCs/>
          <w:i w:val="0"/>
          <w:kern w:val="2"/>
          <w:lang w:val="en-US"/>
        </w:rPr>
        <w:t xml:space="preserve">oefficient </w:t>
      </w:r>
      <w:r>
        <w:rPr>
          <w:rFonts w:eastAsia="Times New Roman"/>
          <w:bCs/>
          <w:i w:val="0"/>
          <w:kern w:val="2"/>
          <w:lang w:val="en-US"/>
        </w:rPr>
        <w:t>for s</w:t>
      </w:r>
      <w:r w:rsidRPr="00CD52C2">
        <w:rPr>
          <w:rFonts w:eastAsia="Times New Roman"/>
          <w:bCs/>
          <w:i w:val="0"/>
          <w:kern w:val="2"/>
          <w:lang w:val="en-US"/>
        </w:rPr>
        <w:t xml:space="preserve">takeholder </w:t>
      </w:r>
      <w:r>
        <w:rPr>
          <w:rFonts w:eastAsia="Times New Roman"/>
          <w:bCs/>
          <w:i w:val="0"/>
          <w:kern w:val="2"/>
          <w:lang w:val="en-US"/>
        </w:rPr>
        <w:t>p</w:t>
      </w:r>
      <w:r w:rsidRPr="00CD52C2">
        <w:rPr>
          <w:rFonts w:eastAsia="Times New Roman"/>
          <w:bCs/>
          <w:i w:val="0"/>
          <w:kern w:val="2"/>
          <w:lang w:val="en-US"/>
        </w:rPr>
        <w:t>reference in Case 2</w:t>
      </w:r>
      <w:bookmarkEnd w:id="980"/>
      <w:bookmarkEnd w:id="981"/>
      <w:bookmarkEnd w:id="982"/>
    </w:p>
    <w:tbl>
      <w:tblPr>
        <w:tblW w:w="8784" w:type="dxa"/>
        <w:tblLayout w:type="fixed"/>
        <w:tblLook w:val="04A0" w:firstRow="1" w:lastRow="0" w:firstColumn="1" w:lastColumn="0" w:noHBand="0" w:noVBand="1"/>
      </w:tblPr>
      <w:tblGrid>
        <w:gridCol w:w="1189"/>
        <w:gridCol w:w="748"/>
        <w:gridCol w:w="2594"/>
        <w:gridCol w:w="1276"/>
        <w:gridCol w:w="1276"/>
        <w:gridCol w:w="1701"/>
      </w:tblGrid>
      <w:tr w:rsidR="005F665E" w:rsidRPr="00A73599" w14:paraId="7B097A68" w14:textId="77777777" w:rsidTr="0051420F">
        <w:trPr>
          <w:trHeight w:val="250"/>
        </w:trPr>
        <w:tc>
          <w:tcPr>
            <w:tcW w:w="8784"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1F0AC3E2" w14:textId="77777777" w:rsidR="005F665E" w:rsidRPr="00A73599" w:rsidRDefault="005F665E" w:rsidP="0051420F">
            <w:pPr>
              <w:spacing w:line="240" w:lineRule="auto"/>
              <w:jc w:val="center"/>
              <w:rPr>
                <w:rFonts w:eastAsia="Times New Roman" w:cs="Calibri"/>
                <w:b/>
                <w:bCs/>
                <w:sz w:val="22"/>
              </w:rPr>
            </w:pPr>
            <w:r w:rsidRPr="00A73599">
              <w:rPr>
                <w:rFonts w:eastAsia="Times New Roman" w:cs="Calibri"/>
                <w:b/>
                <w:bCs/>
                <w:sz w:val="22"/>
              </w:rPr>
              <w:t>Correlations</w:t>
            </w:r>
          </w:p>
        </w:tc>
      </w:tr>
      <w:tr w:rsidR="005F665E" w:rsidRPr="00A73599" w14:paraId="2588A9C1" w14:textId="77777777" w:rsidTr="0051420F">
        <w:trPr>
          <w:trHeight w:val="250"/>
        </w:trPr>
        <w:tc>
          <w:tcPr>
            <w:tcW w:w="4531"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35A9E8A9"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 </w:t>
            </w:r>
          </w:p>
        </w:tc>
        <w:tc>
          <w:tcPr>
            <w:tcW w:w="1276" w:type="dxa"/>
            <w:tcBorders>
              <w:top w:val="nil"/>
              <w:left w:val="nil"/>
              <w:bottom w:val="single" w:sz="4" w:space="0" w:color="auto"/>
              <w:right w:val="single" w:sz="4" w:space="0" w:color="auto"/>
            </w:tcBorders>
            <w:shd w:val="clear" w:color="000000" w:fill="FFFFFF"/>
            <w:vAlign w:val="center"/>
            <w:hideMark/>
          </w:tcPr>
          <w:p w14:paraId="524F5F0E" w14:textId="77777777" w:rsidR="005F665E" w:rsidRPr="00A73599" w:rsidRDefault="005F665E" w:rsidP="0051420F">
            <w:pPr>
              <w:spacing w:line="240" w:lineRule="auto"/>
              <w:jc w:val="center"/>
              <w:rPr>
                <w:rFonts w:eastAsia="Times New Roman" w:cs="Calibri"/>
                <w:sz w:val="22"/>
              </w:rPr>
            </w:pPr>
            <w:r w:rsidRPr="00A73599">
              <w:rPr>
                <w:rFonts w:eastAsia="Times New Roman" w:cs="Calibri"/>
                <w:sz w:val="22"/>
              </w:rPr>
              <w:t>UE</w:t>
            </w:r>
          </w:p>
        </w:tc>
        <w:tc>
          <w:tcPr>
            <w:tcW w:w="1276" w:type="dxa"/>
            <w:tcBorders>
              <w:top w:val="nil"/>
              <w:left w:val="nil"/>
              <w:bottom w:val="single" w:sz="4" w:space="0" w:color="auto"/>
              <w:right w:val="single" w:sz="4" w:space="0" w:color="auto"/>
            </w:tcBorders>
            <w:shd w:val="clear" w:color="000000" w:fill="FFFFFF"/>
            <w:vAlign w:val="center"/>
            <w:hideMark/>
          </w:tcPr>
          <w:p w14:paraId="49FE76C0" w14:textId="77777777" w:rsidR="005F665E" w:rsidRPr="00A73599" w:rsidRDefault="005F665E" w:rsidP="0051420F">
            <w:pPr>
              <w:spacing w:line="240" w:lineRule="auto"/>
              <w:jc w:val="center"/>
              <w:rPr>
                <w:rFonts w:eastAsia="Times New Roman" w:cs="Calibri"/>
                <w:sz w:val="22"/>
              </w:rPr>
            </w:pPr>
            <w:r w:rsidRPr="00A73599">
              <w:rPr>
                <w:rFonts w:eastAsia="Times New Roman" w:cs="Calibri"/>
                <w:sz w:val="22"/>
              </w:rPr>
              <w:t>HWD</w:t>
            </w:r>
          </w:p>
        </w:tc>
        <w:tc>
          <w:tcPr>
            <w:tcW w:w="1701" w:type="dxa"/>
            <w:tcBorders>
              <w:top w:val="nil"/>
              <w:left w:val="nil"/>
              <w:bottom w:val="single" w:sz="4" w:space="0" w:color="auto"/>
              <w:right w:val="single" w:sz="4" w:space="0" w:color="auto"/>
            </w:tcBorders>
            <w:shd w:val="clear" w:color="000000" w:fill="FFFFFF"/>
            <w:vAlign w:val="center"/>
            <w:hideMark/>
          </w:tcPr>
          <w:p w14:paraId="421E7559" w14:textId="77777777" w:rsidR="005F665E" w:rsidRPr="00A73599" w:rsidRDefault="005F665E" w:rsidP="0051420F">
            <w:pPr>
              <w:spacing w:line="240" w:lineRule="auto"/>
              <w:jc w:val="center"/>
              <w:rPr>
                <w:rFonts w:eastAsia="Times New Roman" w:cs="Calibri"/>
                <w:sz w:val="22"/>
              </w:rPr>
            </w:pPr>
            <w:r w:rsidRPr="00A73599">
              <w:rPr>
                <w:rFonts w:eastAsia="Times New Roman" w:cs="Calibri"/>
                <w:sz w:val="22"/>
              </w:rPr>
              <w:t>HDD</w:t>
            </w:r>
          </w:p>
        </w:tc>
      </w:tr>
      <w:tr w:rsidR="005F665E" w:rsidRPr="00A73599" w14:paraId="37C36AA1" w14:textId="77777777" w:rsidTr="0051420F">
        <w:trPr>
          <w:trHeight w:val="250"/>
        </w:trPr>
        <w:tc>
          <w:tcPr>
            <w:tcW w:w="1189" w:type="dxa"/>
            <w:vMerge w:val="restart"/>
            <w:tcBorders>
              <w:top w:val="nil"/>
              <w:left w:val="single" w:sz="4" w:space="0" w:color="auto"/>
              <w:bottom w:val="single" w:sz="4" w:space="0" w:color="auto"/>
              <w:right w:val="single" w:sz="4" w:space="0" w:color="auto"/>
            </w:tcBorders>
            <w:shd w:val="clear" w:color="000000" w:fill="E0E0E0"/>
            <w:vAlign w:val="center"/>
            <w:hideMark/>
          </w:tcPr>
          <w:p w14:paraId="06E52377"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 xml:space="preserve">Kendall's </w:t>
            </w:r>
            <w:proofErr w:type="spellStart"/>
            <w:r w:rsidRPr="00A73599">
              <w:rPr>
                <w:rFonts w:eastAsia="Times New Roman" w:cs="Calibri"/>
                <w:sz w:val="22"/>
              </w:rPr>
              <w:t>tau_b</w:t>
            </w:r>
            <w:proofErr w:type="spellEnd"/>
          </w:p>
        </w:tc>
        <w:tc>
          <w:tcPr>
            <w:tcW w:w="748" w:type="dxa"/>
            <w:vMerge w:val="restart"/>
            <w:tcBorders>
              <w:top w:val="nil"/>
              <w:left w:val="single" w:sz="4" w:space="0" w:color="auto"/>
              <w:bottom w:val="single" w:sz="4" w:space="0" w:color="auto"/>
              <w:right w:val="single" w:sz="4" w:space="0" w:color="auto"/>
            </w:tcBorders>
            <w:shd w:val="clear" w:color="000000" w:fill="E0E0E0"/>
            <w:vAlign w:val="center"/>
            <w:hideMark/>
          </w:tcPr>
          <w:p w14:paraId="1F8E313F"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UE</w:t>
            </w:r>
          </w:p>
        </w:tc>
        <w:tc>
          <w:tcPr>
            <w:tcW w:w="2594" w:type="dxa"/>
            <w:tcBorders>
              <w:top w:val="nil"/>
              <w:left w:val="nil"/>
              <w:bottom w:val="single" w:sz="4" w:space="0" w:color="auto"/>
              <w:right w:val="single" w:sz="4" w:space="0" w:color="auto"/>
            </w:tcBorders>
            <w:shd w:val="clear" w:color="000000" w:fill="E0E0E0"/>
            <w:vAlign w:val="center"/>
            <w:hideMark/>
          </w:tcPr>
          <w:p w14:paraId="2D040D63"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1276" w:type="dxa"/>
            <w:tcBorders>
              <w:top w:val="nil"/>
              <w:left w:val="nil"/>
              <w:bottom w:val="single" w:sz="4" w:space="0" w:color="auto"/>
              <w:right w:val="single" w:sz="4" w:space="0" w:color="auto"/>
            </w:tcBorders>
            <w:shd w:val="clear" w:color="000000" w:fill="FFFFFF"/>
            <w:vAlign w:val="center"/>
            <w:hideMark/>
          </w:tcPr>
          <w:p w14:paraId="0F825E18"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c>
          <w:tcPr>
            <w:tcW w:w="1276" w:type="dxa"/>
            <w:tcBorders>
              <w:top w:val="nil"/>
              <w:left w:val="nil"/>
              <w:bottom w:val="single" w:sz="4" w:space="0" w:color="auto"/>
              <w:right w:val="single" w:sz="4" w:space="0" w:color="auto"/>
            </w:tcBorders>
            <w:shd w:val="clear" w:color="000000" w:fill="FFFFFF"/>
            <w:vAlign w:val="center"/>
            <w:hideMark/>
          </w:tcPr>
          <w:p w14:paraId="17606B01"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.593</w:t>
            </w:r>
            <w:r w:rsidRPr="00A73599">
              <w:rPr>
                <w:rFonts w:eastAsia="Times New Roman" w:cs="Calibri"/>
                <w:sz w:val="22"/>
                <w:vertAlign w:val="superscript"/>
              </w:rPr>
              <w:t>**</w:t>
            </w:r>
          </w:p>
        </w:tc>
        <w:tc>
          <w:tcPr>
            <w:tcW w:w="1701" w:type="dxa"/>
            <w:tcBorders>
              <w:top w:val="nil"/>
              <w:left w:val="nil"/>
              <w:bottom w:val="single" w:sz="4" w:space="0" w:color="auto"/>
              <w:right w:val="single" w:sz="4" w:space="0" w:color="auto"/>
            </w:tcBorders>
            <w:shd w:val="clear" w:color="000000" w:fill="FFFFFF"/>
            <w:vAlign w:val="center"/>
            <w:hideMark/>
          </w:tcPr>
          <w:p w14:paraId="68F5C640"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.574</w:t>
            </w:r>
            <w:r w:rsidRPr="00A73599">
              <w:rPr>
                <w:rFonts w:eastAsia="Times New Roman" w:cs="Calibri"/>
                <w:sz w:val="22"/>
                <w:vertAlign w:val="superscript"/>
              </w:rPr>
              <w:t>**</w:t>
            </w:r>
          </w:p>
        </w:tc>
      </w:tr>
      <w:tr w:rsidR="005F665E" w:rsidRPr="00A73599" w14:paraId="07838358" w14:textId="77777777" w:rsidTr="0051420F">
        <w:trPr>
          <w:trHeight w:val="250"/>
        </w:trPr>
        <w:tc>
          <w:tcPr>
            <w:tcW w:w="1189" w:type="dxa"/>
            <w:vMerge/>
            <w:tcBorders>
              <w:top w:val="nil"/>
              <w:left w:val="single" w:sz="4" w:space="0" w:color="auto"/>
              <w:bottom w:val="single" w:sz="4" w:space="0" w:color="auto"/>
              <w:right w:val="single" w:sz="4" w:space="0" w:color="auto"/>
            </w:tcBorders>
            <w:vAlign w:val="center"/>
            <w:hideMark/>
          </w:tcPr>
          <w:p w14:paraId="5EDE731C" w14:textId="77777777" w:rsidR="005F665E" w:rsidRPr="00A73599" w:rsidRDefault="005F665E" w:rsidP="0051420F">
            <w:pPr>
              <w:spacing w:line="240" w:lineRule="auto"/>
              <w:rPr>
                <w:rFonts w:eastAsia="Times New Roman" w:cs="Calibri"/>
                <w:sz w:val="22"/>
              </w:rPr>
            </w:pPr>
          </w:p>
        </w:tc>
        <w:tc>
          <w:tcPr>
            <w:tcW w:w="748" w:type="dxa"/>
            <w:vMerge/>
            <w:tcBorders>
              <w:top w:val="nil"/>
              <w:left w:val="single" w:sz="4" w:space="0" w:color="auto"/>
              <w:bottom w:val="single" w:sz="4" w:space="0" w:color="auto"/>
              <w:right w:val="single" w:sz="4" w:space="0" w:color="auto"/>
            </w:tcBorders>
            <w:vAlign w:val="center"/>
            <w:hideMark/>
          </w:tcPr>
          <w:p w14:paraId="16F2E419" w14:textId="77777777" w:rsidR="005F665E" w:rsidRPr="00A73599" w:rsidRDefault="005F665E" w:rsidP="0051420F">
            <w:pPr>
              <w:spacing w:line="240" w:lineRule="auto"/>
              <w:rPr>
                <w:rFonts w:eastAsia="Times New Roman" w:cs="Calibri"/>
                <w:sz w:val="22"/>
              </w:rPr>
            </w:pPr>
          </w:p>
        </w:tc>
        <w:tc>
          <w:tcPr>
            <w:tcW w:w="2594" w:type="dxa"/>
            <w:tcBorders>
              <w:top w:val="nil"/>
              <w:left w:val="nil"/>
              <w:bottom w:val="single" w:sz="4" w:space="0" w:color="auto"/>
              <w:right w:val="single" w:sz="4" w:space="0" w:color="auto"/>
            </w:tcBorders>
            <w:shd w:val="clear" w:color="000000" w:fill="E0E0E0"/>
            <w:vAlign w:val="center"/>
            <w:hideMark/>
          </w:tcPr>
          <w:p w14:paraId="7F254E46"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1276" w:type="dxa"/>
            <w:tcBorders>
              <w:top w:val="nil"/>
              <w:left w:val="nil"/>
              <w:bottom w:val="single" w:sz="4" w:space="0" w:color="auto"/>
              <w:right w:val="single" w:sz="4" w:space="0" w:color="auto"/>
            </w:tcBorders>
            <w:shd w:val="clear" w:color="000000" w:fill="FFFFFF"/>
            <w:vAlign w:val="center"/>
            <w:hideMark/>
          </w:tcPr>
          <w:p w14:paraId="5538C04D"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c>
          <w:tcPr>
            <w:tcW w:w="1276" w:type="dxa"/>
            <w:tcBorders>
              <w:top w:val="nil"/>
              <w:left w:val="nil"/>
              <w:bottom w:val="single" w:sz="4" w:space="0" w:color="auto"/>
              <w:right w:val="single" w:sz="4" w:space="0" w:color="auto"/>
            </w:tcBorders>
            <w:shd w:val="clear" w:color="000000" w:fill="FFFFFF"/>
            <w:vAlign w:val="center"/>
            <w:hideMark/>
          </w:tcPr>
          <w:p w14:paraId="7D3620F6"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0.002</w:t>
            </w:r>
          </w:p>
        </w:tc>
        <w:tc>
          <w:tcPr>
            <w:tcW w:w="1701" w:type="dxa"/>
            <w:tcBorders>
              <w:top w:val="nil"/>
              <w:left w:val="nil"/>
              <w:bottom w:val="single" w:sz="4" w:space="0" w:color="auto"/>
              <w:right w:val="single" w:sz="4" w:space="0" w:color="auto"/>
            </w:tcBorders>
            <w:shd w:val="clear" w:color="000000" w:fill="FFFFFF"/>
            <w:vAlign w:val="center"/>
            <w:hideMark/>
          </w:tcPr>
          <w:p w14:paraId="209B7927"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0.003</w:t>
            </w:r>
          </w:p>
        </w:tc>
      </w:tr>
      <w:tr w:rsidR="005F665E" w:rsidRPr="00A73599" w14:paraId="486A40EF" w14:textId="77777777" w:rsidTr="0051420F">
        <w:trPr>
          <w:trHeight w:val="250"/>
        </w:trPr>
        <w:tc>
          <w:tcPr>
            <w:tcW w:w="1189" w:type="dxa"/>
            <w:vMerge/>
            <w:tcBorders>
              <w:top w:val="nil"/>
              <w:left w:val="single" w:sz="4" w:space="0" w:color="auto"/>
              <w:bottom w:val="single" w:sz="4" w:space="0" w:color="auto"/>
              <w:right w:val="single" w:sz="4" w:space="0" w:color="auto"/>
            </w:tcBorders>
            <w:vAlign w:val="center"/>
            <w:hideMark/>
          </w:tcPr>
          <w:p w14:paraId="5B5286F5" w14:textId="77777777" w:rsidR="005F665E" w:rsidRPr="00A73599" w:rsidRDefault="005F665E" w:rsidP="0051420F">
            <w:pPr>
              <w:spacing w:line="240" w:lineRule="auto"/>
              <w:rPr>
                <w:rFonts w:eastAsia="Times New Roman" w:cs="Calibri"/>
                <w:sz w:val="22"/>
              </w:rPr>
            </w:pPr>
          </w:p>
        </w:tc>
        <w:tc>
          <w:tcPr>
            <w:tcW w:w="748" w:type="dxa"/>
            <w:vMerge w:val="restart"/>
            <w:tcBorders>
              <w:top w:val="nil"/>
              <w:left w:val="single" w:sz="4" w:space="0" w:color="auto"/>
              <w:bottom w:val="single" w:sz="4" w:space="0" w:color="auto"/>
              <w:right w:val="single" w:sz="4" w:space="0" w:color="auto"/>
            </w:tcBorders>
            <w:shd w:val="clear" w:color="000000" w:fill="E0E0E0"/>
            <w:vAlign w:val="center"/>
            <w:hideMark/>
          </w:tcPr>
          <w:p w14:paraId="0810437E"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HWD</w:t>
            </w:r>
          </w:p>
        </w:tc>
        <w:tc>
          <w:tcPr>
            <w:tcW w:w="2594" w:type="dxa"/>
            <w:tcBorders>
              <w:top w:val="nil"/>
              <w:left w:val="nil"/>
              <w:bottom w:val="single" w:sz="4" w:space="0" w:color="auto"/>
              <w:right w:val="single" w:sz="4" w:space="0" w:color="auto"/>
            </w:tcBorders>
            <w:shd w:val="clear" w:color="000000" w:fill="E0E0E0"/>
            <w:vAlign w:val="center"/>
            <w:hideMark/>
          </w:tcPr>
          <w:p w14:paraId="72F9EE1F"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1276" w:type="dxa"/>
            <w:tcBorders>
              <w:top w:val="nil"/>
              <w:left w:val="nil"/>
              <w:bottom w:val="single" w:sz="4" w:space="0" w:color="auto"/>
              <w:right w:val="single" w:sz="4" w:space="0" w:color="auto"/>
            </w:tcBorders>
            <w:shd w:val="clear" w:color="000000" w:fill="FFFFFF"/>
            <w:vAlign w:val="center"/>
            <w:hideMark/>
          </w:tcPr>
          <w:p w14:paraId="793101AF"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.593</w:t>
            </w:r>
            <w:r w:rsidRPr="00A73599">
              <w:rPr>
                <w:rFonts w:eastAsia="Times New Roman" w:cs="Calibri"/>
                <w:sz w:val="22"/>
                <w:vertAlign w:val="superscript"/>
              </w:rPr>
              <w:t>**</w:t>
            </w:r>
          </w:p>
        </w:tc>
        <w:tc>
          <w:tcPr>
            <w:tcW w:w="1276" w:type="dxa"/>
            <w:tcBorders>
              <w:top w:val="nil"/>
              <w:left w:val="nil"/>
              <w:bottom w:val="single" w:sz="4" w:space="0" w:color="auto"/>
              <w:right w:val="single" w:sz="4" w:space="0" w:color="auto"/>
            </w:tcBorders>
            <w:shd w:val="clear" w:color="000000" w:fill="FFFFFF"/>
            <w:vAlign w:val="center"/>
            <w:hideMark/>
          </w:tcPr>
          <w:p w14:paraId="681AA277"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c>
          <w:tcPr>
            <w:tcW w:w="1701" w:type="dxa"/>
            <w:tcBorders>
              <w:top w:val="nil"/>
              <w:left w:val="nil"/>
              <w:bottom w:val="single" w:sz="4" w:space="0" w:color="auto"/>
              <w:right w:val="single" w:sz="4" w:space="0" w:color="auto"/>
            </w:tcBorders>
            <w:shd w:val="clear" w:color="000000" w:fill="FFFFFF"/>
            <w:vAlign w:val="center"/>
            <w:hideMark/>
          </w:tcPr>
          <w:p w14:paraId="60D78DDD"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.625</w:t>
            </w:r>
            <w:r w:rsidRPr="00A73599">
              <w:rPr>
                <w:rFonts w:eastAsia="Times New Roman" w:cs="Calibri"/>
                <w:sz w:val="22"/>
                <w:vertAlign w:val="superscript"/>
              </w:rPr>
              <w:t>**</w:t>
            </w:r>
          </w:p>
        </w:tc>
      </w:tr>
      <w:tr w:rsidR="005F665E" w:rsidRPr="00A73599" w14:paraId="7A476F95" w14:textId="77777777" w:rsidTr="0051420F">
        <w:trPr>
          <w:trHeight w:val="250"/>
        </w:trPr>
        <w:tc>
          <w:tcPr>
            <w:tcW w:w="1189" w:type="dxa"/>
            <w:vMerge/>
            <w:tcBorders>
              <w:top w:val="nil"/>
              <w:left w:val="single" w:sz="4" w:space="0" w:color="auto"/>
              <w:bottom w:val="single" w:sz="4" w:space="0" w:color="auto"/>
              <w:right w:val="single" w:sz="4" w:space="0" w:color="auto"/>
            </w:tcBorders>
            <w:vAlign w:val="center"/>
            <w:hideMark/>
          </w:tcPr>
          <w:p w14:paraId="2F49EF03" w14:textId="77777777" w:rsidR="005F665E" w:rsidRPr="00A73599" w:rsidRDefault="005F665E" w:rsidP="0051420F">
            <w:pPr>
              <w:spacing w:line="240" w:lineRule="auto"/>
              <w:rPr>
                <w:rFonts w:eastAsia="Times New Roman" w:cs="Calibri"/>
                <w:sz w:val="22"/>
              </w:rPr>
            </w:pPr>
          </w:p>
        </w:tc>
        <w:tc>
          <w:tcPr>
            <w:tcW w:w="748" w:type="dxa"/>
            <w:vMerge/>
            <w:tcBorders>
              <w:top w:val="nil"/>
              <w:left w:val="single" w:sz="4" w:space="0" w:color="auto"/>
              <w:bottom w:val="single" w:sz="4" w:space="0" w:color="auto"/>
              <w:right w:val="single" w:sz="4" w:space="0" w:color="auto"/>
            </w:tcBorders>
            <w:vAlign w:val="center"/>
            <w:hideMark/>
          </w:tcPr>
          <w:p w14:paraId="426305EE" w14:textId="77777777" w:rsidR="005F665E" w:rsidRPr="00A73599" w:rsidRDefault="005F665E" w:rsidP="0051420F">
            <w:pPr>
              <w:spacing w:line="240" w:lineRule="auto"/>
              <w:rPr>
                <w:rFonts w:eastAsia="Times New Roman" w:cs="Calibri"/>
                <w:sz w:val="22"/>
              </w:rPr>
            </w:pPr>
          </w:p>
        </w:tc>
        <w:tc>
          <w:tcPr>
            <w:tcW w:w="2594" w:type="dxa"/>
            <w:tcBorders>
              <w:top w:val="nil"/>
              <w:left w:val="nil"/>
              <w:bottom w:val="single" w:sz="4" w:space="0" w:color="auto"/>
              <w:right w:val="single" w:sz="4" w:space="0" w:color="auto"/>
            </w:tcBorders>
            <w:shd w:val="clear" w:color="000000" w:fill="E0E0E0"/>
            <w:vAlign w:val="center"/>
            <w:hideMark/>
          </w:tcPr>
          <w:p w14:paraId="6BE74C02"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1276" w:type="dxa"/>
            <w:tcBorders>
              <w:top w:val="nil"/>
              <w:left w:val="nil"/>
              <w:bottom w:val="single" w:sz="4" w:space="0" w:color="auto"/>
              <w:right w:val="single" w:sz="4" w:space="0" w:color="auto"/>
            </w:tcBorders>
            <w:shd w:val="clear" w:color="000000" w:fill="FFFFFF"/>
            <w:vAlign w:val="center"/>
            <w:hideMark/>
          </w:tcPr>
          <w:p w14:paraId="235BCCAF"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0.002</w:t>
            </w:r>
          </w:p>
        </w:tc>
        <w:tc>
          <w:tcPr>
            <w:tcW w:w="1276" w:type="dxa"/>
            <w:tcBorders>
              <w:top w:val="nil"/>
              <w:left w:val="nil"/>
              <w:bottom w:val="single" w:sz="4" w:space="0" w:color="auto"/>
              <w:right w:val="single" w:sz="4" w:space="0" w:color="auto"/>
            </w:tcBorders>
            <w:shd w:val="clear" w:color="000000" w:fill="FFFFFF"/>
            <w:vAlign w:val="center"/>
            <w:hideMark/>
          </w:tcPr>
          <w:p w14:paraId="13C8150B"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c>
          <w:tcPr>
            <w:tcW w:w="1701" w:type="dxa"/>
            <w:tcBorders>
              <w:top w:val="nil"/>
              <w:left w:val="nil"/>
              <w:bottom w:val="single" w:sz="4" w:space="0" w:color="auto"/>
              <w:right w:val="single" w:sz="4" w:space="0" w:color="auto"/>
            </w:tcBorders>
            <w:shd w:val="clear" w:color="000000" w:fill="FFFFFF"/>
            <w:vAlign w:val="center"/>
            <w:hideMark/>
          </w:tcPr>
          <w:p w14:paraId="7DDBF4B3"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0.001</w:t>
            </w:r>
          </w:p>
        </w:tc>
      </w:tr>
      <w:tr w:rsidR="005F665E" w:rsidRPr="00A73599" w14:paraId="5B544726" w14:textId="77777777" w:rsidTr="0051420F">
        <w:trPr>
          <w:trHeight w:val="250"/>
        </w:trPr>
        <w:tc>
          <w:tcPr>
            <w:tcW w:w="1189" w:type="dxa"/>
            <w:vMerge/>
            <w:tcBorders>
              <w:top w:val="nil"/>
              <w:left w:val="single" w:sz="4" w:space="0" w:color="auto"/>
              <w:bottom w:val="single" w:sz="4" w:space="0" w:color="auto"/>
              <w:right w:val="single" w:sz="4" w:space="0" w:color="auto"/>
            </w:tcBorders>
            <w:vAlign w:val="center"/>
            <w:hideMark/>
          </w:tcPr>
          <w:p w14:paraId="2190B160" w14:textId="77777777" w:rsidR="005F665E" w:rsidRPr="00A73599" w:rsidRDefault="005F665E" w:rsidP="0051420F">
            <w:pPr>
              <w:spacing w:line="240" w:lineRule="auto"/>
              <w:rPr>
                <w:rFonts w:eastAsia="Times New Roman" w:cs="Calibri"/>
                <w:sz w:val="22"/>
              </w:rPr>
            </w:pPr>
          </w:p>
        </w:tc>
        <w:tc>
          <w:tcPr>
            <w:tcW w:w="748" w:type="dxa"/>
            <w:vMerge w:val="restart"/>
            <w:tcBorders>
              <w:top w:val="nil"/>
              <w:left w:val="single" w:sz="4" w:space="0" w:color="auto"/>
              <w:bottom w:val="single" w:sz="4" w:space="0" w:color="auto"/>
              <w:right w:val="single" w:sz="4" w:space="0" w:color="auto"/>
            </w:tcBorders>
            <w:shd w:val="clear" w:color="000000" w:fill="E0E0E0"/>
            <w:vAlign w:val="center"/>
            <w:hideMark/>
          </w:tcPr>
          <w:p w14:paraId="46F1684C"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HDD</w:t>
            </w:r>
          </w:p>
        </w:tc>
        <w:tc>
          <w:tcPr>
            <w:tcW w:w="2594" w:type="dxa"/>
            <w:tcBorders>
              <w:top w:val="nil"/>
              <w:left w:val="nil"/>
              <w:bottom w:val="single" w:sz="4" w:space="0" w:color="auto"/>
              <w:right w:val="single" w:sz="4" w:space="0" w:color="auto"/>
            </w:tcBorders>
            <w:shd w:val="clear" w:color="000000" w:fill="E0E0E0"/>
            <w:vAlign w:val="center"/>
            <w:hideMark/>
          </w:tcPr>
          <w:p w14:paraId="363AFCD5"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1276" w:type="dxa"/>
            <w:tcBorders>
              <w:top w:val="nil"/>
              <w:left w:val="nil"/>
              <w:bottom w:val="single" w:sz="4" w:space="0" w:color="auto"/>
              <w:right w:val="single" w:sz="4" w:space="0" w:color="auto"/>
            </w:tcBorders>
            <w:shd w:val="clear" w:color="000000" w:fill="FFFFFF"/>
            <w:vAlign w:val="center"/>
            <w:hideMark/>
          </w:tcPr>
          <w:p w14:paraId="10024D53"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.574</w:t>
            </w:r>
            <w:r w:rsidRPr="00A73599">
              <w:rPr>
                <w:rFonts w:eastAsia="Times New Roman" w:cs="Calibri"/>
                <w:sz w:val="22"/>
                <w:vertAlign w:val="superscript"/>
              </w:rPr>
              <w:t>**</w:t>
            </w:r>
          </w:p>
        </w:tc>
        <w:tc>
          <w:tcPr>
            <w:tcW w:w="1276" w:type="dxa"/>
            <w:tcBorders>
              <w:top w:val="nil"/>
              <w:left w:val="nil"/>
              <w:bottom w:val="single" w:sz="4" w:space="0" w:color="auto"/>
              <w:right w:val="single" w:sz="4" w:space="0" w:color="auto"/>
            </w:tcBorders>
            <w:shd w:val="clear" w:color="000000" w:fill="FFFFFF"/>
            <w:vAlign w:val="center"/>
            <w:hideMark/>
          </w:tcPr>
          <w:p w14:paraId="435D29BE"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.625</w:t>
            </w:r>
            <w:r w:rsidRPr="00A73599">
              <w:rPr>
                <w:rFonts w:eastAsia="Times New Roman" w:cs="Calibri"/>
                <w:sz w:val="22"/>
                <w:vertAlign w:val="superscript"/>
              </w:rPr>
              <w:t>**</w:t>
            </w:r>
          </w:p>
        </w:tc>
        <w:tc>
          <w:tcPr>
            <w:tcW w:w="1701" w:type="dxa"/>
            <w:tcBorders>
              <w:top w:val="nil"/>
              <w:left w:val="nil"/>
              <w:bottom w:val="single" w:sz="4" w:space="0" w:color="auto"/>
              <w:right w:val="single" w:sz="4" w:space="0" w:color="auto"/>
            </w:tcBorders>
            <w:shd w:val="clear" w:color="000000" w:fill="FFFFFF"/>
            <w:vAlign w:val="center"/>
            <w:hideMark/>
          </w:tcPr>
          <w:p w14:paraId="68172787"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r>
      <w:tr w:rsidR="005F665E" w:rsidRPr="00A73599" w14:paraId="6B80AE7C" w14:textId="77777777" w:rsidTr="0051420F">
        <w:trPr>
          <w:trHeight w:val="250"/>
        </w:trPr>
        <w:tc>
          <w:tcPr>
            <w:tcW w:w="1189" w:type="dxa"/>
            <w:vMerge/>
            <w:tcBorders>
              <w:top w:val="nil"/>
              <w:left w:val="single" w:sz="4" w:space="0" w:color="auto"/>
              <w:bottom w:val="single" w:sz="4" w:space="0" w:color="auto"/>
              <w:right w:val="single" w:sz="4" w:space="0" w:color="auto"/>
            </w:tcBorders>
            <w:vAlign w:val="center"/>
            <w:hideMark/>
          </w:tcPr>
          <w:p w14:paraId="4B3A663A" w14:textId="77777777" w:rsidR="005F665E" w:rsidRPr="00A73599" w:rsidRDefault="005F665E" w:rsidP="0051420F">
            <w:pPr>
              <w:spacing w:line="240" w:lineRule="auto"/>
              <w:rPr>
                <w:rFonts w:eastAsia="Times New Roman" w:cs="Calibri"/>
                <w:sz w:val="22"/>
              </w:rPr>
            </w:pPr>
          </w:p>
        </w:tc>
        <w:tc>
          <w:tcPr>
            <w:tcW w:w="748" w:type="dxa"/>
            <w:vMerge/>
            <w:tcBorders>
              <w:top w:val="nil"/>
              <w:left w:val="single" w:sz="4" w:space="0" w:color="auto"/>
              <w:bottom w:val="single" w:sz="4" w:space="0" w:color="auto"/>
              <w:right w:val="single" w:sz="4" w:space="0" w:color="auto"/>
            </w:tcBorders>
            <w:vAlign w:val="center"/>
            <w:hideMark/>
          </w:tcPr>
          <w:p w14:paraId="1A70AEB7" w14:textId="77777777" w:rsidR="005F665E" w:rsidRPr="00A73599" w:rsidRDefault="005F665E" w:rsidP="0051420F">
            <w:pPr>
              <w:spacing w:line="240" w:lineRule="auto"/>
              <w:rPr>
                <w:rFonts w:eastAsia="Times New Roman" w:cs="Calibri"/>
                <w:sz w:val="22"/>
              </w:rPr>
            </w:pPr>
          </w:p>
        </w:tc>
        <w:tc>
          <w:tcPr>
            <w:tcW w:w="2594" w:type="dxa"/>
            <w:tcBorders>
              <w:top w:val="nil"/>
              <w:left w:val="nil"/>
              <w:bottom w:val="single" w:sz="4" w:space="0" w:color="auto"/>
              <w:right w:val="single" w:sz="4" w:space="0" w:color="auto"/>
            </w:tcBorders>
            <w:shd w:val="clear" w:color="000000" w:fill="E0E0E0"/>
            <w:vAlign w:val="center"/>
            <w:hideMark/>
          </w:tcPr>
          <w:p w14:paraId="6FEB6EAE"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1276" w:type="dxa"/>
            <w:tcBorders>
              <w:top w:val="nil"/>
              <w:left w:val="nil"/>
              <w:bottom w:val="single" w:sz="4" w:space="0" w:color="auto"/>
              <w:right w:val="single" w:sz="4" w:space="0" w:color="auto"/>
            </w:tcBorders>
            <w:shd w:val="clear" w:color="000000" w:fill="FFFFFF"/>
            <w:vAlign w:val="center"/>
            <w:hideMark/>
          </w:tcPr>
          <w:p w14:paraId="3601FF00"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0.003</w:t>
            </w:r>
          </w:p>
        </w:tc>
        <w:tc>
          <w:tcPr>
            <w:tcW w:w="1276" w:type="dxa"/>
            <w:tcBorders>
              <w:top w:val="nil"/>
              <w:left w:val="nil"/>
              <w:bottom w:val="single" w:sz="4" w:space="0" w:color="auto"/>
              <w:right w:val="single" w:sz="4" w:space="0" w:color="auto"/>
            </w:tcBorders>
            <w:shd w:val="clear" w:color="000000" w:fill="FFFFFF"/>
            <w:vAlign w:val="center"/>
            <w:hideMark/>
          </w:tcPr>
          <w:p w14:paraId="05A06B29"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0.001</w:t>
            </w:r>
          </w:p>
        </w:tc>
        <w:tc>
          <w:tcPr>
            <w:tcW w:w="1701" w:type="dxa"/>
            <w:tcBorders>
              <w:top w:val="nil"/>
              <w:left w:val="nil"/>
              <w:bottom w:val="single" w:sz="4" w:space="0" w:color="auto"/>
              <w:right w:val="single" w:sz="4" w:space="0" w:color="auto"/>
            </w:tcBorders>
            <w:shd w:val="clear" w:color="000000" w:fill="FFFFFF"/>
            <w:vAlign w:val="center"/>
            <w:hideMark/>
          </w:tcPr>
          <w:p w14:paraId="763BB44C"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r>
      <w:tr w:rsidR="005F665E" w:rsidRPr="00A73599" w14:paraId="49F27485" w14:textId="77777777" w:rsidTr="0051420F">
        <w:trPr>
          <w:trHeight w:val="250"/>
        </w:trPr>
        <w:tc>
          <w:tcPr>
            <w:tcW w:w="1189" w:type="dxa"/>
            <w:vMerge w:val="restart"/>
            <w:tcBorders>
              <w:top w:val="nil"/>
              <w:left w:val="single" w:sz="4" w:space="0" w:color="auto"/>
              <w:bottom w:val="single" w:sz="4" w:space="0" w:color="auto"/>
              <w:right w:val="single" w:sz="4" w:space="0" w:color="auto"/>
            </w:tcBorders>
            <w:shd w:val="clear" w:color="000000" w:fill="E0E0E0"/>
            <w:vAlign w:val="center"/>
            <w:hideMark/>
          </w:tcPr>
          <w:p w14:paraId="42B2B406"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Spearman's rho</w:t>
            </w:r>
          </w:p>
        </w:tc>
        <w:tc>
          <w:tcPr>
            <w:tcW w:w="748" w:type="dxa"/>
            <w:vMerge w:val="restart"/>
            <w:tcBorders>
              <w:top w:val="nil"/>
              <w:left w:val="single" w:sz="4" w:space="0" w:color="auto"/>
              <w:bottom w:val="single" w:sz="4" w:space="0" w:color="auto"/>
              <w:right w:val="single" w:sz="4" w:space="0" w:color="auto"/>
            </w:tcBorders>
            <w:shd w:val="clear" w:color="000000" w:fill="E0E0E0"/>
            <w:vAlign w:val="center"/>
            <w:hideMark/>
          </w:tcPr>
          <w:p w14:paraId="5CB11016"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UE</w:t>
            </w:r>
          </w:p>
        </w:tc>
        <w:tc>
          <w:tcPr>
            <w:tcW w:w="2594" w:type="dxa"/>
            <w:tcBorders>
              <w:top w:val="nil"/>
              <w:left w:val="nil"/>
              <w:bottom w:val="single" w:sz="4" w:space="0" w:color="auto"/>
              <w:right w:val="single" w:sz="4" w:space="0" w:color="auto"/>
            </w:tcBorders>
            <w:shd w:val="clear" w:color="000000" w:fill="E0E0E0"/>
            <w:vAlign w:val="center"/>
            <w:hideMark/>
          </w:tcPr>
          <w:p w14:paraId="0FC307E4"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1276" w:type="dxa"/>
            <w:tcBorders>
              <w:top w:val="nil"/>
              <w:left w:val="nil"/>
              <w:bottom w:val="single" w:sz="4" w:space="0" w:color="auto"/>
              <w:right w:val="single" w:sz="4" w:space="0" w:color="auto"/>
            </w:tcBorders>
            <w:shd w:val="clear" w:color="000000" w:fill="FFFFFF"/>
            <w:vAlign w:val="center"/>
            <w:hideMark/>
          </w:tcPr>
          <w:p w14:paraId="48127EE2"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c>
          <w:tcPr>
            <w:tcW w:w="1276" w:type="dxa"/>
            <w:tcBorders>
              <w:top w:val="nil"/>
              <w:left w:val="nil"/>
              <w:bottom w:val="single" w:sz="4" w:space="0" w:color="auto"/>
              <w:right w:val="single" w:sz="4" w:space="0" w:color="auto"/>
            </w:tcBorders>
            <w:shd w:val="clear" w:color="000000" w:fill="FFFFFF"/>
            <w:vAlign w:val="center"/>
            <w:hideMark/>
          </w:tcPr>
          <w:p w14:paraId="089A81C4"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.756</w:t>
            </w:r>
            <w:r w:rsidRPr="00A73599">
              <w:rPr>
                <w:rFonts w:eastAsia="Times New Roman" w:cs="Calibri"/>
                <w:sz w:val="22"/>
                <w:vertAlign w:val="superscript"/>
              </w:rPr>
              <w:t>**</w:t>
            </w:r>
          </w:p>
        </w:tc>
        <w:tc>
          <w:tcPr>
            <w:tcW w:w="1701" w:type="dxa"/>
            <w:tcBorders>
              <w:top w:val="nil"/>
              <w:left w:val="nil"/>
              <w:bottom w:val="single" w:sz="4" w:space="0" w:color="auto"/>
              <w:right w:val="single" w:sz="4" w:space="0" w:color="auto"/>
            </w:tcBorders>
            <w:shd w:val="clear" w:color="000000" w:fill="FFFFFF"/>
            <w:vAlign w:val="center"/>
            <w:hideMark/>
          </w:tcPr>
          <w:p w14:paraId="2A70F1A1"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.717</w:t>
            </w:r>
            <w:r w:rsidRPr="00A73599">
              <w:rPr>
                <w:rFonts w:eastAsia="Times New Roman" w:cs="Calibri"/>
                <w:sz w:val="22"/>
                <w:vertAlign w:val="superscript"/>
              </w:rPr>
              <w:t>**</w:t>
            </w:r>
          </w:p>
        </w:tc>
      </w:tr>
      <w:tr w:rsidR="005F665E" w:rsidRPr="00A73599" w14:paraId="5AD386F3" w14:textId="77777777" w:rsidTr="0051420F">
        <w:trPr>
          <w:trHeight w:val="250"/>
        </w:trPr>
        <w:tc>
          <w:tcPr>
            <w:tcW w:w="1189" w:type="dxa"/>
            <w:vMerge/>
            <w:tcBorders>
              <w:top w:val="nil"/>
              <w:left w:val="single" w:sz="4" w:space="0" w:color="auto"/>
              <w:bottom w:val="single" w:sz="4" w:space="0" w:color="auto"/>
              <w:right w:val="single" w:sz="4" w:space="0" w:color="auto"/>
            </w:tcBorders>
            <w:vAlign w:val="center"/>
            <w:hideMark/>
          </w:tcPr>
          <w:p w14:paraId="756CF3A5" w14:textId="77777777" w:rsidR="005F665E" w:rsidRPr="00A73599" w:rsidRDefault="005F665E" w:rsidP="0051420F">
            <w:pPr>
              <w:spacing w:line="240" w:lineRule="auto"/>
              <w:rPr>
                <w:rFonts w:eastAsia="Times New Roman" w:cs="Calibri"/>
                <w:sz w:val="22"/>
              </w:rPr>
            </w:pPr>
          </w:p>
        </w:tc>
        <w:tc>
          <w:tcPr>
            <w:tcW w:w="748" w:type="dxa"/>
            <w:vMerge/>
            <w:tcBorders>
              <w:top w:val="nil"/>
              <w:left w:val="single" w:sz="4" w:space="0" w:color="auto"/>
              <w:bottom w:val="single" w:sz="4" w:space="0" w:color="auto"/>
              <w:right w:val="single" w:sz="4" w:space="0" w:color="auto"/>
            </w:tcBorders>
            <w:vAlign w:val="center"/>
            <w:hideMark/>
          </w:tcPr>
          <w:p w14:paraId="6FCBFF45" w14:textId="77777777" w:rsidR="005F665E" w:rsidRPr="00A73599" w:rsidRDefault="005F665E" w:rsidP="0051420F">
            <w:pPr>
              <w:spacing w:line="240" w:lineRule="auto"/>
              <w:rPr>
                <w:rFonts w:eastAsia="Times New Roman" w:cs="Calibri"/>
                <w:sz w:val="22"/>
              </w:rPr>
            </w:pPr>
          </w:p>
        </w:tc>
        <w:tc>
          <w:tcPr>
            <w:tcW w:w="2594" w:type="dxa"/>
            <w:tcBorders>
              <w:top w:val="nil"/>
              <w:left w:val="nil"/>
              <w:bottom w:val="single" w:sz="4" w:space="0" w:color="auto"/>
              <w:right w:val="single" w:sz="4" w:space="0" w:color="auto"/>
            </w:tcBorders>
            <w:shd w:val="clear" w:color="000000" w:fill="E0E0E0"/>
            <w:vAlign w:val="center"/>
            <w:hideMark/>
          </w:tcPr>
          <w:p w14:paraId="000CDD80"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1276" w:type="dxa"/>
            <w:tcBorders>
              <w:top w:val="nil"/>
              <w:left w:val="nil"/>
              <w:bottom w:val="single" w:sz="4" w:space="0" w:color="auto"/>
              <w:right w:val="single" w:sz="4" w:space="0" w:color="auto"/>
            </w:tcBorders>
            <w:shd w:val="clear" w:color="000000" w:fill="FFFFFF"/>
            <w:vAlign w:val="center"/>
            <w:hideMark/>
          </w:tcPr>
          <w:p w14:paraId="089A2C7A"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c>
          <w:tcPr>
            <w:tcW w:w="1276" w:type="dxa"/>
            <w:tcBorders>
              <w:top w:val="nil"/>
              <w:left w:val="nil"/>
              <w:bottom w:val="single" w:sz="4" w:space="0" w:color="auto"/>
              <w:right w:val="single" w:sz="4" w:space="0" w:color="auto"/>
            </w:tcBorders>
            <w:shd w:val="clear" w:color="000000" w:fill="FFFFFF"/>
            <w:vAlign w:val="center"/>
            <w:hideMark/>
          </w:tcPr>
          <w:p w14:paraId="1DA907E9"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0.001</w:t>
            </w:r>
          </w:p>
        </w:tc>
        <w:tc>
          <w:tcPr>
            <w:tcW w:w="1701" w:type="dxa"/>
            <w:tcBorders>
              <w:top w:val="nil"/>
              <w:left w:val="nil"/>
              <w:bottom w:val="single" w:sz="4" w:space="0" w:color="auto"/>
              <w:right w:val="single" w:sz="4" w:space="0" w:color="auto"/>
            </w:tcBorders>
            <w:shd w:val="clear" w:color="000000" w:fill="FFFFFF"/>
            <w:vAlign w:val="center"/>
            <w:hideMark/>
          </w:tcPr>
          <w:p w14:paraId="78A130A1"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0.003</w:t>
            </w:r>
          </w:p>
        </w:tc>
      </w:tr>
      <w:tr w:rsidR="005F665E" w:rsidRPr="00A73599" w14:paraId="25909B14" w14:textId="77777777" w:rsidTr="0051420F">
        <w:trPr>
          <w:trHeight w:val="250"/>
        </w:trPr>
        <w:tc>
          <w:tcPr>
            <w:tcW w:w="1189" w:type="dxa"/>
            <w:vMerge/>
            <w:tcBorders>
              <w:top w:val="nil"/>
              <w:left w:val="single" w:sz="4" w:space="0" w:color="auto"/>
              <w:bottom w:val="single" w:sz="4" w:space="0" w:color="auto"/>
              <w:right w:val="single" w:sz="4" w:space="0" w:color="auto"/>
            </w:tcBorders>
            <w:vAlign w:val="center"/>
            <w:hideMark/>
          </w:tcPr>
          <w:p w14:paraId="7FECF8DB" w14:textId="77777777" w:rsidR="005F665E" w:rsidRPr="00A73599" w:rsidRDefault="005F665E" w:rsidP="0051420F">
            <w:pPr>
              <w:spacing w:line="240" w:lineRule="auto"/>
              <w:rPr>
                <w:rFonts w:eastAsia="Times New Roman" w:cs="Calibri"/>
                <w:sz w:val="22"/>
              </w:rPr>
            </w:pPr>
          </w:p>
        </w:tc>
        <w:tc>
          <w:tcPr>
            <w:tcW w:w="748" w:type="dxa"/>
            <w:vMerge w:val="restart"/>
            <w:tcBorders>
              <w:top w:val="nil"/>
              <w:left w:val="single" w:sz="4" w:space="0" w:color="auto"/>
              <w:bottom w:val="single" w:sz="4" w:space="0" w:color="auto"/>
              <w:right w:val="single" w:sz="4" w:space="0" w:color="auto"/>
            </w:tcBorders>
            <w:shd w:val="clear" w:color="000000" w:fill="E0E0E0"/>
            <w:vAlign w:val="center"/>
            <w:hideMark/>
          </w:tcPr>
          <w:p w14:paraId="4113EEEE"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HWD</w:t>
            </w:r>
          </w:p>
        </w:tc>
        <w:tc>
          <w:tcPr>
            <w:tcW w:w="2594" w:type="dxa"/>
            <w:tcBorders>
              <w:top w:val="nil"/>
              <w:left w:val="nil"/>
              <w:bottom w:val="single" w:sz="4" w:space="0" w:color="auto"/>
              <w:right w:val="single" w:sz="4" w:space="0" w:color="auto"/>
            </w:tcBorders>
            <w:shd w:val="clear" w:color="000000" w:fill="E0E0E0"/>
            <w:vAlign w:val="center"/>
            <w:hideMark/>
          </w:tcPr>
          <w:p w14:paraId="34C20697"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1276" w:type="dxa"/>
            <w:tcBorders>
              <w:top w:val="nil"/>
              <w:left w:val="nil"/>
              <w:bottom w:val="single" w:sz="4" w:space="0" w:color="auto"/>
              <w:right w:val="single" w:sz="4" w:space="0" w:color="auto"/>
            </w:tcBorders>
            <w:shd w:val="clear" w:color="000000" w:fill="FFFFFF"/>
            <w:vAlign w:val="center"/>
            <w:hideMark/>
          </w:tcPr>
          <w:p w14:paraId="12839870"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.756</w:t>
            </w:r>
            <w:r w:rsidRPr="00A73599">
              <w:rPr>
                <w:rFonts w:eastAsia="Times New Roman" w:cs="Calibri"/>
                <w:sz w:val="22"/>
                <w:vertAlign w:val="superscript"/>
              </w:rPr>
              <w:t>**</w:t>
            </w:r>
          </w:p>
        </w:tc>
        <w:tc>
          <w:tcPr>
            <w:tcW w:w="1276" w:type="dxa"/>
            <w:tcBorders>
              <w:top w:val="nil"/>
              <w:left w:val="nil"/>
              <w:bottom w:val="single" w:sz="4" w:space="0" w:color="auto"/>
              <w:right w:val="single" w:sz="4" w:space="0" w:color="auto"/>
            </w:tcBorders>
            <w:shd w:val="clear" w:color="000000" w:fill="FFFFFF"/>
            <w:vAlign w:val="center"/>
            <w:hideMark/>
          </w:tcPr>
          <w:p w14:paraId="5D7BC266"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c>
          <w:tcPr>
            <w:tcW w:w="1701" w:type="dxa"/>
            <w:tcBorders>
              <w:top w:val="nil"/>
              <w:left w:val="nil"/>
              <w:bottom w:val="single" w:sz="4" w:space="0" w:color="auto"/>
              <w:right w:val="single" w:sz="4" w:space="0" w:color="auto"/>
            </w:tcBorders>
            <w:shd w:val="clear" w:color="000000" w:fill="FFFFFF"/>
            <w:vAlign w:val="center"/>
            <w:hideMark/>
          </w:tcPr>
          <w:p w14:paraId="6FDDA85B"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.794</w:t>
            </w:r>
            <w:r w:rsidRPr="00A73599">
              <w:rPr>
                <w:rFonts w:eastAsia="Times New Roman" w:cs="Calibri"/>
                <w:sz w:val="22"/>
                <w:vertAlign w:val="superscript"/>
              </w:rPr>
              <w:t>**</w:t>
            </w:r>
          </w:p>
        </w:tc>
      </w:tr>
      <w:tr w:rsidR="005F665E" w:rsidRPr="00A73599" w14:paraId="1602BFAB" w14:textId="77777777" w:rsidTr="0051420F">
        <w:trPr>
          <w:trHeight w:val="250"/>
        </w:trPr>
        <w:tc>
          <w:tcPr>
            <w:tcW w:w="1189" w:type="dxa"/>
            <w:vMerge/>
            <w:tcBorders>
              <w:top w:val="nil"/>
              <w:left w:val="single" w:sz="4" w:space="0" w:color="auto"/>
              <w:bottom w:val="single" w:sz="4" w:space="0" w:color="auto"/>
              <w:right w:val="single" w:sz="4" w:space="0" w:color="auto"/>
            </w:tcBorders>
            <w:vAlign w:val="center"/>
            <w:hideMark/>
          </w:tcPr>
          <w:p w14:paraId="379A1706" w14:textId="77777777" w:rsidR="005F665E" w:rsidRPr="00A73599" w:rsidRDefault="005F665E" w:rsidP="0051420F">
            <w:pPr>
              <w:spacing w:line="240" w:lineRule="auto"/>
              <w:rPr>
                <w:rFonts w:eastAsia="Times New Roman" w:cs="Calibri"/>
                <w:sz w:val="22"/>
              </w:rPr>
            </w:pPr>
          </w:p>
        </w:tc>
        <w:tc>
          <w:tcPr>
            <w:tcW w:w="748" w:type="dxa"/>
            <w:vMerge/>
            <w:tcBorders>
              <w:top w:val="nil"/>
              <w:left w:val="single" w:sz="4" w:space="0" w:color="auto"/>
              <w:bottom w:val="single" w:sz="4" w:space="0" w:color="auto"/>
              <w:right w:val="single" w:sz="4" w:space="0" w:color="auto"/>
            </w:tcBorders>
            <w:vAlign w:val="center"/>
            <w:hideMark/>
          </w:tcPr>
          <w:p w14:paraId="2D7202F8" w14:textId="77777777" w:rsidR="005F665E" w:rsidRPr="00A73599" w:rsidRDefault="005F665E" w:rsidP="0051420F">
            <w:pPr>
              <w:spacing w:line="240" w:lineRule="auto"/>
              <w:rPr>
                <w:rFonts w:eastAsia="Times New Roman" w:cs="Calibri"/>
                <w:sz w:val="22"/>
              </w:rPr>
            </w:pPr>
          </w:p>
        </w:tc>
        <w:tc>
          <w:tcPr>
            <w:tcW w:w="2594" w:type="dxa"/>
            <w:tcBorders>
              <w:top w:val="nil"/>
              <w:left w:val="nil"/>
              <w:bottom w:val="single" w:sz="4" w:space="0" w:color="auto"/>
              <w:right w:val="single" w:sz="4" w:space="0" w:color="auto"/>
            </w:tcBorders>
            <w:shd w:val="clear" w:color="000000" w:fill="E0E0E0"/>
            <w:vAlign w:val="center"/>
            <w:hideMark/>
          </w:tcPr>
          <w:p w14:paraId="09E8AA01"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1276" w:type="dxa"/>
            <w:tcBorders>
              <w:top w:val="nil"/>
              <w:left w:val="nil"/>
              <w:bottom w:val="single" w:sz="4" w:space="0" w:color="auto"/>
              <w:right w:val="single" w:sz="4" w:space="0" w:color="auto"/>
            </w:tcBorders>
            <w:shd w:val="clear" w:color="000000" w:fill="FFFFFF"/>
            <w:vAlign w:val="center"/>
            <w:hideMark/>
          </w:tcPr>
          <w:p w14:paraId="3DCEADE6"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0.001</w:t>
            </w:r>
          </w:p>
        </w:tc>
        <w:tc>
          <w:tcPr>
            <w:tcW w:w="1276" w:type="dxa"/>
            <w:tcBorders>
              <w:top w:val="nil"/>
              <w:left w:val="nil"/>
              <w:bottom w:val="single" w:sz="4" w:space="0" w:color="auto"/>
              <w:right w:val="single" w:sz="4" w:space="0" w:color="auto"/>
            </w:tcBorders>
            <w:shd w:val="clear" w:color="000000" w:fill="FFFFFF"/>
            <w:vAlign w:val="center"/>
            <w:hideMark/>
          </w:tcPr>
          <w:p w14:paraId="3CF2199C"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c>
          <w:tcPr>
            <w:tcW w:w="1701" w:type="dxa"/>
            <w:tcBorders>
              <w:top w:val="nil"/>
              <w:left w:val="nil"/>
              <w:bottom w:val="single" w:sz="4" w:space="0" w:color="auto"/>
              <w:right w:val="single" w:sz="4" w:space="0" w:color="auto"/>
            </w:tcBorders>
            <w:shd w:val="clear" w:color="000000" w:fill="FFFFFF"/>
            <w:vAlign w:val="center"/>
            <w:hideMark/>
          </w:tcPr>
          <w:p w14:paraId="2ECD5355"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w:t>
            </w:r>
          </w:p>
        </w:tc>
      </w:tr>
      <w:tr w:rsidR="005F665E" w:rsidRPr="00A73599" w14:paraId="6C1D93F3" w14:textId="77777777" w:rsidTr="0051420F">
        <w:trPr>
          <w:trHeight w:val="250"/>
        </w:trPr>
        <w:tc>
          <w:tcPr>
            <w:tcW w:w="1189" w:type="dxa"/>
            <w:vMerge/>
            <w:tcBorders>
              <w:top w:val="nil"/>
              <w:left w:val="single" w:sz="4" w:space="0" w:color="auto"/>
              <w:bottom w:val="single" w:sz="4" w:space="0" w:color="auto"/>
              <w:right w:val="single" w:sz="4" w:space="0" w:color="auto"/>
            </w:tcBorders>
            <w:vAlign w:val="center"/>
            <w:hideMark/>
          </w:tcPr>
          <w:p w14:paraId="027FCA28" w14:textId="77777777" w:rsidR="005F665E" w:rsidRPr="00A73599" w:rsidRDefault="005F665E" w:rsidP="0051420F">
            <w:pPr>
              <w:spacing w:line="240" w:lineRule="auto"/>
              <w:rPr>
                <w:rFonts w:eastAsia="Times New Roman" w:cs="Calibri"/>
                <w:sz w:val="22"/>
              </w:rPr>
            </w:pPr>
          </w:p>
        </w:tc>
        <w:tc>
          <w:tcPr>
            <w:tcW w:w="748" w:type="dxa"/>
            <w:vMerge w:val="restart"/>
            <w:tcBorders>
              <w:top w:val="nil"/>
              <w:left w:val="single" w:sz="4" w:space="0" w:color="auto"/>
              <w:bottom w:val="single" w:sz="4" w:space="0" w:color="auto"/>
              <w:right w:val="single" w:sz="4" w:space="0" w:color="auto"/>
            </w:tcBorders>
            <w:shd w:val="clear" w:color="000000" w:fill="E0E0E0"/>
            <w:vAlign w:val="center"/>
            <w:hideMark/>
          </w:tcPr>
          <w:p w14:paraId="7B7B1B7F"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HDD</w:t>
            </w:r>
          </w:p>
        </w:tc>
        <w:tc>
          <w:tcPr>
            <w:tcW w:w="2594" w:type="dxa"/>
            <w:tcBorders>
              <w:top w:val="nil"/>
              <w:left w:val="nil"/>
              <w:bottom w:val="single" w:sz="4" w:space="0" w:color="auto"/>
              <w:right w:val="single" w:sz="4" w:space="0" w:color="auto"/>
            </w:tcBorders>
            <w:shd w:val="clear" w:color="000000" w:fill="E0E0E0"/>
            <w:vAlign w:val="center"/>
            <w:hideMark/>
          </w:tcPr>
          <w:p w14:paraId="3CDAD578"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1276" w:type="dxa"/>
            <w:tcBorders>
              <w:top w:val="nil"/>
              <w:left w:val="nil"/>
              <w:bottom w:val="single" w:sz="4" w:space="0" w:color="auto"/>
              <w:right w:val="single" w:sz="4" w:space="0" w:color="auto"/>
            </w:tcBorders>
            <w:shd w:val="clear" w:color="000000" w:fill="FFFFFF"/>
            <w:vAlign w:val="center"/>
            <w:hideMark/>
          </w:tcPr>
          <w:p w14:paraId="323C3097"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.717</w:t>
            </w:r>
            <w:r w:rsidRPr="00A73599">
              <w:rPr>
                <w:rFonts w:eastAsia="Times New Roman" w:cs="Calibri"/>
                <w:sz w:val="22"/>
                <w:vertAlign w:val="superscript"/>
              </w:rPr>
              <w:t>**</w:t>
            </w:r>
          </w:p>
        </w:tc>
        <w:tc>
          <w:tcPr>
            <w:tcW w:w="1276" w:type="dxa"/>
            <w:tcBorders>
              <w:top w:val="nil"/>
              <w:left w:val="nil"/>
              <w:bottom w:val="single" w:sz="4" w:space="0" w:color="auto"/>
              <w:right w:val="single" w:sz="4" w:space="0" w:color="auto"/>
            </w:tcBorders>
            <w:shd w:val="clear" w:color="000000" w:fill="FFFFFF"/>
            <w:vAlign w:val="center"/>
            <w:hideMark/>
          </w:tcPr>
          <w:p w14:paraId="4A20DC15"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.794</w:t>
            </w:r>
            <w:r w:rsidRPr="00A73599">
              <w:rPr>
                <w:rFonts w:eastAsia="Times New Roman" w:cs="Calibri"/>
                <w:sz w:val="22"/>
                <w:vertAlign w:val="superscript"/>
              </w:rPr>
              <w:t>**</w:t>
            </w:r>
          </w:p>
        </w:tc>
        <w:tc>
          <w:tcPr>
            <w:tcW w:w="1701" w:type="dxa"/>
            <w:tcBorders>
              <w:top w:val="nil"/>
              <w:left w:val="nil"/>
              <w:bottom w:val="single" w:sz="4" w:space="0" w:color="auto"/>
              <w:right w:val="single" w:sz="4" w:space="0" w:color="auto"/>
            </w:tcBorders>
            <w:shd w:val="clear" w:color="000000" w:fill="FFFFFF"/>
            <w:vAlign w:val="center"/>
            <w:hideMark/>
          </w:tcPr>
          <w:p w14:paraId="69A7F98D"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r>
      <w:tr w:rsidR="005F665E" w:rsidRPr="00A73599" w14:paraId="20AA1FCB" w14:textId="77777777" w:rsidTr="0051420F">
        <w:trPr>
          <w:trHeight w:val="250"/>
        </w:trPr>
        <w:tc>
          <w:tcPr>
            <w:tcW w:w="1189" w:type="dxa"/>
            <w:vMerge/>
            <w:tcBorders>
              <w:top w:val="nil"/>
              <w:left w:val="single" w:sz="4" w:space="0" w:color="auto"/>
              <w:bottom w:val="single" w:sz="4" w:space="0" w:color="auto"/>
              <w:right w:val="single" w:sz="4" w:space="0" w:color="auto"/>
            </w:tcBorders>
            <w:vAlign w:val="center"/>
            <w:hideMark/>
          </w:tcPr>
          <w:p w14:paraId="45C1C98A" w14:textId="77777777" w:rsidR="005F665E" w:rsidRPr="00A73599" w:rsidRDefault="005F665E" w:rsidP="0051420F">
            <w:pPr>
              <w:spacing w:line="240" w:lineRule="auto"/>
              <w:rPr>
                <w:rFonts w:eastAsia="Times New Roman" w:cs="Calibri"/>
                <w:sz w:val="22"/>
              </w:rPr>
            </w:pPr>
          </w:p>
        </w:tc>
        <w:tc>
          <w:tcPr>
            <w:tcW w:w="748" w:type="dxa"/>
            <w:vMerge/>
            <w:tcBorders>
              <w:top w:val="nil"/>
              <w:left w:val="single" w:sz="4" w:space="0" w:color="auto"/>
              <w:bottom w:val="single" w:sz="4" w:space="0" w:color="auto"/>
              <w:right w:val="single" w:sz="4" w:space="0" w:color="auto"/>
            </w:tcBorders>
            <w:vAlign w:val="center"/>
            <w:hideMark/>
          </w:tcPr>
          <w:p w14:paraId="365D7B24" w14:textId="77777777" w:rsidR="005F665E" w:rsidRPr="00A73599" w:rsidRDefault="005F665E" w:rsidP="0051420F">
            <w:pPr>
              <w:spacing w:line="240" w:lineRule="auto"/>
              <w:rPr>
                <w:rFonts w:eastAsia="Times New Roman" w:cs="Calibri"/>
                <w:sz w:val="22"/>
              </w:rPr>
            </w:pPr>
          </w:p>
        </w:tc>
        <w:tc>
          <w:tcPr>
            <w:tcW w:w="2594" w:type="dxa"/>
            <w:tcBorders>
              <w:top w:val="nil"/>
              <w:left w:val="nil"/>
              <w:bottom w:val="single" w:sz="4" w:space="0" w:color="auto"/>
              <w:right w:val="single" w:sz="4" w:space="0" w:color="auto"/>
            </w:tcBorders>
            <w:shd w:val="clear" w:color="000000" w:fill="E0E0E0"/>
            <w:vAlign w:val="center"/>
            <w:hideMark/>
          </w:tcPr>
          <w:p w14:paraId="3B49DCE9"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1276" w:type="dxa"/>
            <w:tcBorders>
              <w:top w:val="nil"/>
              <w:left w:val="nil"/>
              <w:bottom w:val="single" w:sz="4" w:space="0" w:color="auto"/>
              <w:right w:val="single" w:sz="4" w:space="0" w:color="auto"/>
            </w:tcBorders>
            <w:shd w:val="clear" w:color="000000" w:fill="FFFFFF"/>
            <w:vAlign w:val="center"/>
            <w:hideMark/>
          </w:tcPr>
          <w:p w14:paraId="1BAC9F67"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0.003</w:t>
            </w:r>
          </w:p>
        </w:tc>
        <w:tc>
          <w:tcPr>
            <w:tcW w:w="1276" w:type="dxa"/>
            <w:tcBorders>
              <w:top w:val="nil"/>
              <w:left w:val="nil"/>
              <w:bottom w:val="single" w:sz="4" w:space="0" w:color="auto"/>
              <w:right w:val="single" w:sz="4" w:space="0" w:color="auto"/>
            </w:tcBorders>
            <w:shd w:val="clear" w:color="000000" w:fill="FFFFFF"/>
            <w:vAlign w:val="center"/>
            <w:hideMark/>
          </w:tcPr>
          <w:p w14:paraId="486BF434"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w:t>
            </w:r>
          </w:p>
        </w:tc>
        <w:tc>
          <w:tcPr>
            <w:tcW w:w="1701" w:type="dxa"/>
            <w:tcBorders>
              <w:top w:val="nil"/>
              <w:left w:val="nil"/>
              <w:bottom w:val="single" w:sz="4" w:space="0" w:color="auto"/>
              <w:right w:val="single" w:sz="4" w:space="0" w:color="auto"/>
            </w:tcBorders>
            <w:shd w:val="clear" w:color="000000" w:fill="FFFFFF"/>
            <w:vAlign w:val="center"/>
            <w:hideMark/>
          </w:tcPr>
          <w:p w14:paraId="70845B29"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r>
      <w:tr w:rsidR="005F665E" w:rsidRPr="00A73599" w14:paraId="430AD122" w14:textId="77777777" w:rsidTr="0051420F">
        <w:trPr>
          <w:trHeight w:val="250"/>
        </w:trPr>
        <w:tc>
          <w:tcPr>
            <w:tcW w:w="8784" w:type="dxa"/>
            <w:gridSpan w:val="6"/>
            <w:tcBorders>
              <w:top w:val="nil"/>
              <w:left w:val="nil"/>
              <w:bottom w:val="nil"/>
              <w:right w:val="nil"/>
            </w:tcBorders>
            <w:shd w:val="clear" w:color="000000" w:fill="FFFFFF"/>
            <w:vAlign w:val="center"/>
            <w:hideMark/>
          </w:tcPr>
          <w:p w14:paraId="399277CD"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 Correlation is significant at the 0.01 level (2-tailed).</w:t>
            </w:r>
          </w:p>
        </w:tc>
      </w:tr>
    </w:tbl>
    <w:p w14:paraId="1105E124" w14:textId="77777777" w:rsidR="005F665E" w:rsidRDefault="005F665E" w:rsidP="00BA0B57">
      <w:pPr>
        <w:pStyle w:val="Caption"/>
      </w:pPr>
      <w:bookmarkStart w:id="983" w:name="_Ref46230673"/>
      <w:bookmarkStart w:id="984" w:name="_Toc46053591"/>
      <w:bookmarkStart w:id="985" w:name="_Toc46093840"/>
    </w:p>
    <w:p w14:paraId="299AE91D" w14:textId="77777777" w:rsidR="005F665E" w:rsidRPr="0079501F" w:rsidRDefault="005F665E" w:rsidP="00BA0B57">
      <w:pPr>
        <w:pStyle w:val="Caption"/>
      </w:pPr>
      <w:bookmarkStart w:id="986" w:name="_Ref46397323"/>
      <w:bookmarkStart w:id="987" w:name="_Toc66698806"/>
      <w:r>
        <w:lastRenderedPageBreak/>
        <w:t xml:space="preserve">Table </w:t>
      </w:r>
      <w:r w:rsidR="000306D9">
        <w:fldChar w:fldCharType="begin"/>
      </w:r>
      <w:r w:rsidR="000306D9">
        <w:instrText xml:space="preserve"> STYLEREF 1 \s </w:instrText>
      </w:r>
      <w:r w:rsidR="000306D9">
        <w:fldChar w:fldCharType="separate"/>
      </w:r>
      <w:r>
        <w:rPr>
          <w:noProof/>
        </w:rPr>
        <w:t>6</w:t>
      </w:r>
      <w:r w:rsidR="000306D9">
        <w:rPr>
          <w:noProof/>
        </w:rPr>
        <w:fldChar w:fldCharType="end"/>
      </w:r>
      <w:r>
        <w:noBreakHyphen/>
      </w:r>
      <w:r w:rsidR="000306D9">
        <w:fldChar w:fldCharType="begin"/>
      </w:r>
      <w:r w:rsidR="000306D9">
        <w:instrText xml:space="preserve"> SEQ Table \* ARABIC \s 1 </w:instrText>
      </w:r>
      <w:r w:rsidR="000306D9">
        <w:fldChar w:fldCharType="separate"/>
      </w:r>
      <w:r>
        <w:rPr>
          <w:noProof/>
        </w:rPr>
        <w:t>13</w:t>
      </w:r>
      <w:r w:rsidR="000306D9">
        <w:rPr>
          <w:noProof/>
        </w:rPr>
        <w:fldChar w:fldCharType="end"/>
      </w:r>
      <w:bookmarkEnd w:id="983"/>
      <w:bookmarkEnd w:id="986"/>
      <w:r w:rsidRPr="0079501F">
        <w:t>: Correlation coefficient for stakeholder preference in Case 3</w:t>
      </w:r>
      <w:bookmarkEnd w:id="984"/>
      <w:bookmarkEnd w:id="985"/>
      <w:bookmarkEnd w:id="987"/>
      <w:r w:rsidRPr="0079501F">
        <w:t xml:space="preserve"> </w:t>
      </w:r>
    </w:p>
    <w:p w14:paraId="36EDB881" w14:textId="77777777" w:rsidR="005F665E" w:rsidRPr="00F10F28" w:rsidRDefault="005F665E" w:rsidP="00BB2459">
      <w:pPr>
        <w:widowControl w:val="0"/>
        <w:spacing w:line="360" w:lineRule="auto"/>
        <w:rPr>
          <w:bCs/>
          <w:i/>
          <w:kern w:val="2"/>
          <w:szCs w:val="18"/>
        </w:rPr>
      </w:pPr>
    </w:p>
    <w:tbl>
      <w:tblPr>
        <w:tblW w:w="8784" w:type="dxa"/>
        <w:tblLook w:val="04A0" w:firstRow="1" w:lastRow="0" w:firstColumn="1" w:lastColumn="0" w:noHBand="0" w:noVBand="1"/>
      </w:tblPr>
      <w:tblGrid>
        <w:gridCol w:w="1222"/>
        <w:gridCol w:w="876"/>
        <w:gridCol w:w="2408"/>
        <w:gridCol w:w="1378"/>
        <w:gridCol w:w="1244"/>
        <w:gridCol w:w="1656"/>
      </w:tblGrid>
      <w:tr w:rsidR="005F665E" w:rsidRPr="00A73599" w14:paraId="25E21C4C" w14:textId="77777777" w:rsidTr="0051420F">
        <w:trPr>
          <w:trHeight w:val="250"/>
        </w:trPr>
        <w:tc>
          <w:tcPr>
            <w:tcW w:w="8784"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58CC04D4" w14:textId="77777777" w:rsidR="005F665E" w:rsidRPr="00A73599" w:rsidRDefault="005F665E" w:rsidP="0051420F">
            <w:pPr>
              <w:spacing w:line="240" w:lineRule="auto"/>
              <w:jc w:val="center"/>
              <w:rPr>
                <w:rFonts w:eastAsia="Times New Roman" w:cs="Calibri"/>
                <w:b/>
                <w:bCs/>
                <w:sz w:val="22"/>
              </w:rPr>
            </w:pPr>
            <w:bookmarkStart w:id="988" w:name="_Ref45022643"/>
            <w:r w:rsidRPr="00A73599">
              <w:rPr>
                <w:rFonts w:eastAsia="Times New Roman" w:cs="Calibri"/>
                <w:b/>
                <w:bCs/>
                <w:sz w:val="22"/>
              </w:rPr>
              <w:t>Correlations</w:t>
            </w:r>
          </w:p>
        </w:tc>
      </w:tr>
      <w:tr w:rsidR="005F665E" w:rsidRPr="00A73599" w14:paraId="71F595DA" w14:textId="77777777" w:rsidTr="0051420F">
        <w:trPr>
          <w:trHeight w:val="250"/>
        </w:trPr>
        <w:tc>
          <w:tcPr>
            <w:tcW w:w="4476"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6E645CEF"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 </w:t>
            </w:r>
          </w:p>
        </w:tc>
        <w:tc>
          <w:tcPr>
            <w:tcW w:w="1388" w:type="dxa"/>
            <w:tcBorders>
              <w:top w:val="nil"/>
              <w:left w:val="nil"/>
              <w:bottom w:val="single" w:sz="4" w:space="0" w:color="auto"/>
              <w:right w:val="single" w:sz="4" w:space="0" w:color="auto"/>
            </w:tcBorders>
            <w:shd w:val="clear" w:color="000000" w:fill="FFFFFF"/>
            <w:vAlign w:val="center"/>
            <w:hideMark/>
          </w:tcPr>
          <w:p w14:paraId="1B4E280D" w14:textId="77777777" w:rsidR="005F665E" w:rsidRPr="00A73599" w:rsidRDefault="005F665E" w:rsidP="0051420F">
            <w:pPr>
              <w:spacing w:line="240" w:lineRule="auto"/>
              <w:jc w:val="center"/>
              <w:rPr>
                <w:rFonts w:eastAsia="Times New Roman" w:cs="Calibri"/>
                <w:sz w:val="22"/>
              </w:rPr>
            </w:pPr>
            <w:r w:rsidRPr="00A73599">
              <w:rPr>
                <w:rFonts w:eastAsia="Times New Roman" w:cs="Calibri"/>
                <w:sz w:val="22"/>
              </w:rPr>
              <w:t>CR</w:t>
            </w:r>
          </w:p>
        </w:tc>
        <w:tc>
          <w:tcPr>
            <w:tcW w:w="1252" w:type="dxa"/>
            <w:tcBorders>
              <w:top w:val="nil"/>
              <w:left w:val="nil"/>
              <w:bottom w:val="single" w:sz="4" w:space="0" w:color="auto"/>
              <w:right w:val="single" w:sz="4" w:space="0" w:color="auto"/>
            </w:tcBorders>
            <w:shd w:val="clear" w:color="000000" w:fill="FFFFFF"/>
            <w:vAlign w:val="center"/>
            <w:hideMark/>
          </w:tcPr>
          <w:p w14:paraId="20632B81" w14:textId="77777777" w:rsidR="005F665E" w:rsidRPr="00A73599" w:rsidRDefault="005F665E" w:rsidP="0051420F">
            <w:pPr>
              <w:spacing w:line="240" w:lineRule="auto"/>
              <w:jc w:val="center"/>
              <w:rPr>
                <w:rFonts w:eastAsia="Times New Roman" w:cs="Calibri"/>
                <w:sz w:val="22"/>
              </w:rPr>
            </w:pPr>
            <w:r w:rsidRPr="00A73599">
              <w:rPr>
                <w:rFonts w:eastAsia="Times New Roman" w:cs="Calibri"/>
                <w:sz w:val="22"/>
              </w:rPr>
              <w:t>PM</w:t>
            </w:r>
          </w:p>
        </w:tc>
        <w:tc>
          <w:tcPr>
            <w:tcW w:w="1668" w:type="dxa"/>
            <w:tcBorders>
              <w:top w:val="nil"/>
              <w:left w:val="nil"/>
              <w:bottom w:val="single" w:sz="4" w:space="0" w:color="auto"/>
              <w:right w:val="single" w:sz="4" w:space="0" w:color="auto"/>
            </w:tcBorders>
            <w:shd w:val="clear" w:color="000000" w:fill="FFFFFF"/>
            <w:vAlign w:val="center"/>
            <w:hideMark/>
          </w:tcPr>
          <w:p w14:paraId="1788B0DC" w14:textId="77777777" w:rsidR="005F665E" w:rsidRPr="00A73599" w:rsidRDefault="005F665E" w:rsidP="0051420F">
            <w:pPr>
              <w:spacing w:line="240" w:lineRule="auto"/>
              <w:jc w:val="center"/>
              <w:rPr>
                <w:rFonts w:eastAsia="Times New Roman" w:cs="Calibri"/>
                <w:sz w:val="22"/>
              </w:rPr>
            </w:pPr>
            <w:r w:rsidRPr="00A73599">
              <w:rPr>
                <w:rFonts w:eastAsia="Times New Roman" w:cs="Calibri"/>
                <w:sz w:val="22"/>
              </w:rPr>
              <w:t>WHUT</w:t>
            </w:r>
          </w:p>
        </w:tc>
      </w:tr>
      <w:tr w:rsidR="005F665E" w:rsidRPr="00A73599" w14:paraId="5B2341D5" w14:textId="77777777" w:rsidTr="0051420F">
        <w:trPr>
          <w:trHeight w:val="250"/>
        </w:trPr>
        <w:tc>
          <w:tcPr>
            <w:tcW w:w="1180" w:type="dxa"/>
            <w:vMerge w:val="restart"/>
            <w:tcBorders>
              <w:top w:val="nil"/>
              <w:left w:val="single" w:sz="4" w:space="0" w:color="auto"/>
              <w:bottom w:val="single" w:sz="4" w:space="0" w:color="auto"/>
              <w:right w:val="single" w:sz="4" w:space="0" w:color="auto"/>
            </w:tcBorders>
            <w:shd w:val="clear" w:color="000000" w:fill="E0E0E0"/>
            <w:vAlign w:val="center"/>
            <w:hideMark/>
          </w:tcPr>
          <w:p w14:paraId="7582B34B"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 xml:space="preserve">Kendall's </w:t>
            </w:r>
            <w:proofErr w:type="spellStart"/>
            <w:r w:rsidRPr="00A73599">
              <w:rPr>
                <w:rFonts w:eastAsia="Times New Roman" w:cs="Calibri"/>
                <w:sz w:val="22"/>
              </w:rPr>
              <w:t>tau_b</w:t>
            </w:r>
            <w:proofErr w:type="spellEnd"/>
          </w:p>
        </w:tc>
        <w:tc>
          <w:tcPr>
            <w:tcW w:w="870" w:type="dxa"/>
            <w:vMerge w:val="restart"/>
            <w:tcBorders>
              <w:top w:val="nil"/>
              <w:left w:val="single" w:sz="4" w:space="0" w:color="auto"/>
              <w:bottom w:val="single" w:sz="4" w:space="0" w:color="auto"/>
              <w:right w:val="single" w:sz="4" w:space="0" w:color="auto"/>
            </w:tcBorders>
            <w:shd w:val="clear" w:color="000000" w:fill="E0E0E0"/>
            <w:vAlign w:val="center"/>
            <w:hideMark/>
          </w:tcPr>
          <w:p w14:paraId="3225420D"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CR</w:t>
            </w:r>
          </w:p>
        </w:tc>
        <w:tc>
          <w:tcPr>
            <w:tcW w:w="2426" w:type="dxa"/>
            <w:tcBorders>
              <w:top w:val="nil"/>
              <w:left w:val="nil"/>
              <w:bottom w:val="single" w:sz="4" w:space="0" w:color="auto"/>
              <w:right w:val="single" w:sz="4" w:space="0" w:color="auto"/>
            </w:tcBorders>
            <w:shd w:val="clear" w:color="000000" w:fill="E0E0E0"/>
            <w:vAlign w:val="center"/>
            <w:hideMark/>
          </w:tcPr>
          <w:p w14:paraId="5A63C5A9"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1388" w:type="dxa"/>
            <w:tcBorders>
              <w:top w:val="nil"/>
              <w:left w:val="nil"/>
              <w:bottom w:val="single" w:sz="4" w:space="0" w:color="auto"/>
              <w:right w:val="single" w:sz="4" w:space="0" w:color="auto"/>
            </w:tcBorders>
            <w:shd w:val="clear" w:color="000000" w:fill="FFFFFF"/>
            <w:vAlign w:val="center"/>
            <w:hideMark/>
          </w:tcPr>
          <w:p w14:paraId="40A2D589"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c>
          <w:tcPr>
            <w:tcW w:w="1252" w:type="dxa"/>
            <w:tcBorders>
              <w:top w:val="nil"/>
              <w:left w:val="nil"/>
              <w:bottom w:val="single" w:sz="4" w:space="0" w:color="auto"/>
              <w:right w:val="single" w:sz="4" w:space="0" w:color="auto"/>
            </w:tcBorders>
            <w:shd w:val="clear" w:color="000000" w:fill="FFFFFF"/>
            <w:vAlign w:val="center"/>
            <w:hideMark/>
          </w:tcPr>
          <w:p w14:paraId="41E6CD40"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0.01</w:t>
            </w:r>
          </w:p>
        </w:tc>
        <w:tc>
          <w:tcPr>
            <w:tcW w:w="1668" w:type="dxa"/>
            <w:tcBorders>
              <w:top w:val="nil"/>
              <w:left w:val="nil"/>
              <w:bottom w:val="single" w:sz="4" w:space="0" w:color="auto"/>
              <w:right w:val="single" w:sz="4" w:space="0" w:color="auto"/>
            </w:tcBorders>
            <w:shd w:val="clear" w:color="000000" w:fill="FFFFFF"/>
            <w:vAlign w:val="center"/>
            <w:hideMark/>
          </w:tcPr>
          <w:p w14:paraId="4E5CD9FB"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0.073</w:t>
            </w:r>
          </w:p>
        </w:tc>
      </w:tr>
      <w:tr w:rsidR="005F665E" w:rsidRPr="00A73599" w14:paraId="57983DB9" w14:textId="77777777" w:rsidTr="0051420F">
        <w:trPr>
          <w:trHeight w:val="250"/>
        </w:trPr>
        <w:tc>
          <w:tcPr>
            <w:tcW w:w="1180" w:type="dxa"/>
            <w:vMerge/>
            <w:tcBorders>
              <w:top w:val="nil"/>
              <w:left w:val="single" w:sz="4" w:space="0" w:color="auto"/>
              <w:bottom w:val="single" w:sz="4" w:space="0" w:color="auto"/>
              <w:right w:val="single" w:sz="4" w:space="0" w:color="auto"/>
            </w:tcBorders>
            <w:vAlign w:val="center"/>
            <w:hideMark/>
          </w:tcPr>
          <w:p w14:paraId="72A16570" w14:textId="77777777" w:rsidR="005F665E" w:rsidRPr="00A73599" w:rsidRDefault="005F665E" w:rsidP="0051420F">
            <w:pPr>
              <w:spacing w:line="240" w:lineRule="auto"/>
              <w:rPr>
                <w:rFonts w:eastAsia="Times New Roman" w:cs="Calibri"/>
                <w:sz w:val="22"/>
              </w:rPr>
            </w:pPr>
          </w:p>
        </w:tc>
        <w:tc>
          <w:tcPr>
            <w:tcW w:w="870" w:type="dxa"/>
            <w:vMerge/>
            <w:tcBorders>
              <w:top w:val="nil"/>
              <w:left w:val="single" w:sz="4" w:space="0" w:color="auto"/>
              <w:bottom w:val="single" w:sz="4" w:space="0" w:color="auto"/>
              <w:right w:val="single" w:sz="4" w:space="0" w:color="auto"/>
            </w:tcBorders>
            <w:vAlign w:val="center"/>
            <w:hideMark/>
          </w:tcPr>
          <w:p w14:paraId="34BD6A75" w14:textId="77777777" w:rsidR="005F665E" w:rsidRPr="00A73599" w:rsidRDefault="005F665E" w:rsidP="0051420F">
            <w:pPr>
              <w:spacing w:line="240" w:lineRule="auto"/>
              <w:rPr>
                <w:rFonts w:eastAsia="Times New Roman" w:cs="Calibri"/>
                <w:sz w:val="22"/>
              </w:rPr>
            </w:pPr>
          </w:p>
        </w:tc>
        <w:tc>
          <w:tcPr>
            <w:tcW w:w="2426" w:type="dxa"/>
            <w:tcBorders>
              <w:top w:val="nil"/>
              <w:left w:val="nil"/>
              <w:bottom w:val="single" w:sz="4" w:space="0" w:color="auto"/>
              <w:right w:val="single" w:sz="4" w:space="0" w:color="auto"/>
            </w:tcBorders>
            <w:shd w:val="clear" w:color="000000" w:fill="E0E0E0"/>
            <w:vAlign w:val="center"/>
            <w:hideMark/>
          </w:tcPr>
          <w:p w14:paraId="61A9CC37"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1388" w:type="dxa"/>
            <w:tcBorders>
              <w:top w:val="nil"/>
              <w:left w:val="nil"/>
              <w:bottom w:val="single" w:sz="4" w:space="0" w:color="auto"/>
              <w:right w:val="single" w:sz="4" w:space="0" w:color="auto"/>
            </w:tcBorders>
            <w:shd w:val="clear" w:color="000000" w:fill="FFFFFF"/>
            <w:vAlign w:val="center"/>
            <w:hideMark/>
          </w:tcPr>
          <w:p w14:paraId="4A0C3F49"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c>
          <w:tcPr>
            <w:tcW w:w="1252" w:type="dxa"/>
            <w:tcBorders>
              <w:top w:val="nil"/>
              <w:left w:val="nil"/>
              <w:bottom w:val="single" w:sz="4" w:space="0" w:color="auto"/>
              <w:right w:val="single" w:sz="4" w:space="0" w:color="auto"/>
            </w:tcBorders>
            <w:shd w:val="clear" w:color="000000" w:fill="FFFFFF"/>
            <w:vAlign w:val="center"/>
            <w:hideMark/>
          </w:tcPr>
          <w:p w14:paraId="52E49D2C"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0.96</w:t>
            </w:r>
          </w:p>
        </w:tc>
        <w:tc>
          <w:tcPr>
            <w:tcW w:w="1668" w:type="dxa"/>
            <w:tcBorders>
              <w:top w:val="nil"/>
              <w:left w:val="nil"/>
              <w:bottom w:val="single" w:sz="4" w:space="0" w:color="auto"/>
              <w:right w:val="single" w:sz="4" w:space="0" w:color="auto"/>
            </w:tcBorders>
            <w:shd w:val="clear" w:color="000000" w:fill="FFFFFF"/>
            <w:vAlign w:val="center"/>
            <w:hideMark/>
          </w:tcPr>
          <w:p w14:paraId="276E9008"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0.718</w:t>
            </w:r>
          </w:p>
        </w:tc>
      </w:tr>
      <w:tr w:rsidR="005F665E" w:rsidRPr="00A73599" w14:paraId="213513E9" w14:textId="77777777" w:rsidTr="0051420F">
        <w:trPr>
          <w:trHeight w:val="250"/>
        </w:trPr>
        <w:tc>
          <w:tcPr>
            <w:tcW w:w="1180" w:type="dxa"/>
            <w:vMerge/>
            <w:tcBorders>
              <w:top w:val="nil"/>
              <w:left w:val="single" w:sz="4" w:space="0" w:color="auto"/>
              <w:bottom w:val="single" w:sz="4" w:space="0" w:color="auto"/>
              <w:right w:val="single" w:sz="4" w:space="0" w:color="auto"/>
            </w:tcBorders>
            <w:vAlign w:val="center"/>
            <w:hideMark/>
          </w:tcPr>
          <w:p w14:paraId="0684D29A" w14:textId="77777777" w:rsidR="005F665E" w:rsidRPr="00A73599" w:rsidRDefault="005F665E" w:rsidP="0051420F">
            <w:pPr>
              <w:spacing w:line="240" w:lineRule="auto"/>
              <w:rPr>
                <w:rFonts w:eastAsia="Times New Roman" w:cs="Calibri"/>
                <w:sz w:val="22"/>
              </w:rPr>
            </w:pPr>
          </w:p>
        </w:tc>
        <w:tc>
          <w:tcPr>
            <w:tcW w:w="870" w:type="dxa"/>
            <w:vMerge w:val="restart"/>
            <w:tcBorders>
              <w:top w:val="nil"/>
              <w:left w:val="single" w:sz="4" w:space="0" w:color="auto"/>
              <w:bottom w:val="single" w:sz="4" w:space="0" w:color="auto"/>
              <w:right w:val="single" w:sz="4" w:space="0" w:color="auto"/>
            </w:tcBorders>
            <w:shd w:val="clear" w:color="000000" w:fill="E0E0E0"/>
            <w:vAlign w:val="center"/>
            <w:hideMark/>
          </w:tcPr>
          <w:p w14:paraId="3090231B"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PM</w:t>
            </w:r>
          </w:p>
        </w:tc>
        <w:tc>
          <w:tcPr>
            <w:tcW w:w="2426" w:type="dxa"/>
            <w:tcBorders>
              <w:top w:val="nil"/>
              <w:left w:val="nil"/>
              <w:bottom w:val="single" w:sz="4" w:space="0" w:color="auto"/>
              <w:right w:val="single" w:sz="4" w:space="0" w:color="auto"/>
            </w:tcBorders>
            <w:shd w:val="clear" w:color="000000" w:fill="E0E0E0"/>
            <w:vAlign w:val="center"/>
            <w:hideMark/>
          </w:tcPr>
          <w:p w14:paraId="249F8F63"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1388" w:type="dxa"/>
            <w:tcBorders>
              <w:top w:val="nil"/>
              <w:left w:val="nil"/>
              <w:bottom w:val="single" w:sz="4" w:space="0" w:color="auto"/>
              <w:right w:val="single" w:sz="4" w:space="0" w:color="auto"/>
            </w:tcBorders>
            <w:shd w:val="clear" w:color="000000" w:fill="FFFFFF"/>
            <w:vAlign w:val="center"/>
            <w:hideMark/>
          </w:tcPr>
          <w:p w14:paraId="184C94DF"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0.01</w:t>
            </w:r>
          </w:p>
        </w:tc>
        <w:tc>
          <w:tcPr>
            <w:tcW w:w="1252" w:type="dxa"/>
            <w:tcBorders>
              <w:top w:val="nil"/>
              <w:left w:val="nil"/>
              <w:bottom w:val="single" w:sz="4" w:space="0" w:color="auto"/>
              <w:right w:val="single" w:sz="4" w:space="0" w:color="auto"/>
            </w:tcBorders>
            <w:shd w:val="clear" w:color="000000" w:fill="FFFFFF"/>
            <w:vAlign w:val="center"/>
            <w:hideMark/>
          </w:tcPr>
          <w:p w14:paraId="4CF7E290"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c>
          <w:tcPr>
            <w:tcW w:w="1668" w:type="dxa"/>
            <w:tcBorders>
              <w:top w:val="nil"/>
              <w:left w:val="nil"/>
              <w:bottom w:val="single" w:sz="4" w:space="0" w:color="auto"/>
              <w:right w:val="single" w:sz="4" w:space="0" w:color="auto"/>
            </w:tcBorders>
            <w:shd w:val="clear" w:color="000000" w:fill="FFFFFF"/>
            <w:vAlign w:val="center"/>
            <w:hideMark/>
          </w:tcPr>
          <w:p w14:paraId="5CBB86F4"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.444</w:t>
            </w:r>
            <w:r w:rsidRPr="00A73599">
              <w:rPr>
                <w:rFonts w:eastAsia="Times New Roman" w:cs="Calibri"/>
                <w:sz w:val="22"/>
                <w:vertAlign w:val="superscript"/>
              </w:rPr>
              <w:t>*</w:t>
            </w:r>
          </w:p>
        </w:tc>
      </w:tr>
      <w:tr w:rsidR="005F665E" w:rsidRPr="00A73599" w14:paraId="06E94065" w14:textId="77777777" w:rsidTr="0051420F">
        <w:trPr>
          <w:trHeight w:val="250"/>
        </w:trPr>
        <w:tc>
          <w:tcPr>
            <w:tcW w:w="1180" w:type="dxa"/>
            <w:vMerge/>
            <w:tcBorders>
              <w:top w:val="nil"/>
              <w:left w:val="single" w:sz="4" w:space="0" w:color="auto"/>
              <w:bottom w:val="single" w:sz="4" w:space="0" w:color="auto"/>
              <w:right w:val="single" w:sz="4" w:space="0" w:color="auto"/>
            </w:tcBorders>
            <w:vAlign w:val="center"/>
            <w:hideMark/>
          </w:tcPr>
          <w:p w14:paraId="0C49A03F" w14:textId="77777777" w:rsidR="005F665E" w:rsidRPr="00A73599" w:rsidRDefault="005F665E" w:rsidP="0051420F">
            <w:pPr>
              <w:spacing w:line="240" w:lineRule="auto"/>
              <w:rPr>
                <w:rFonts w:eastAsia="Times New Roman" w:cs="Calibri"/>
                <w:sz w:val="22"/>
              </w:rPr>
            </w:pPr>
          </w:p>
        </w:tc>
        <w:tc>
          <w:tcPr>
            <w:tcW w:w="870" w:type="dxa"/>
            <w:vMerge/>
            <w:tcBorders>
              <w:top w:val="nil"/>
              <w:left w:val="single" w:sz="4" w:space="0" w:color="auto"/>
              <w:bottom w:val="single" w:sz="4" w:space="0" w:color="auto"/>
              <w:right w:val="single" w:sz="4" w:space="0" w:color="auto"/>
            </w:tcBorders>
            <w:vAlign w:val="center"/>
            <w:hideMark/>
          </w:tcPr>
          <w:p w14:paraId="7F95591D" w14:textId="77777777" w:rsidR="005F665E" w:rsidRPr="00A73599" w:rsidRDefault="005F665E" w:rsidP="0051420F">
            <w:pPr>
              <w:spacing w:line="240" w:lineRule="auto"/>
              <w:rPr>
                <w:rFonts w:eastAsia="Times New Roman" w:cs="Calibri"/>
                <w:sz w:val="22"/>
              </w:rPr>
            </w:pPr>
          </w:p>
        </w:tc>
        <w:tc>
          <w:tcPr>
            <w:tcW w:w="2426" w:type="dxa"/>
            <w:tcBorders>
              <w:top w:val="nil"/>
              <w:left w:val="nil"/>
              <w:bottom w:val="single" w:sz="4" w:space="0" w:color="auto"/>
              <w:right w:val="single" w:sz="4" w:space="0" w:color="auto"/>
            </w:tcBorders>
            <w:shd w:val="clear" w:color="000000" w:fill="E0E0E0"/>
            <w:vAlign w:val="center"/>
            <w:hideMark/>
          </w:tcPr>
          <w:p w14:paraId="1F88B1A3"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1388" w:type="dxa"/>
            <w:tcBorders>
              <w:top w:val="nil"/>
              <w:left w:val="nil"/>
              <w:bottom w:val="single" w:sz="4" w:space="0" w:color="auto"/>
              <w:right w:val="single" w:sz="4" w:space="0" w:color="auto"/>
            </w:tcBorders>
            <w:shd w:val="clear" w:color="000000" w:fill="FFFFFF"/>
            <w:vAlign w:val="center"/>
            <w:hideMark/>
          </w:tcPr>
          <w:p w14:paraId="5A1376AE"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0.96</w:t>
            </w:r>
          </w:p>
        </w:tc>
        <w:tc>
          <w:tcPr>
            <w:tcW w:w="1252" w:type="dxa"/>
            <w:tcBorders>
              <w:top w:val="nil"/>
              <w:left w:val="nil"/>
              <w:bottom w:val="single" w:sz="4" w:space="0" w:color="auto"/>
              <w:right w:val="single" w:sz="4" w:space="0" w:color="auto"/>
            </w:tcBorders>
            <w:shd w:val="clear" w:color="000000" w:fill="FFFFFF"/>
            <w:vAlign w:val="center"/>
            <w:hideMark/>
          </w:tcPr>
          <w:p w14:paraId="37BCE174"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c>
          <w:tcPr>
            <w:tcW w:w="1668" w:type="dxa"/>
            <w:tcBorders>
              <w:top w:val="nil"/>
              <w:left w:val="nil"/>
              <w:bottom w:val="single" w:sz="4" w:space="0" w:color="auto"/>
              <w:right w:val="single" w:sz="4" w:space="0" w:color="auto"/>
            </w:tcBorders>
            <w:shd w:val="clear" w:color="000000" w:fill="FFFFFF"/>
            <w:vAlign w:val="center"/>
            <w:hideMark/>
          </w:tcPr>
          <w:p w14:paraId="6421FCB9"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0.027</w:t>
            </w:r>
          </w:p>
        </w:tc>
      </w:tr>
      <w:tr w:rsidR="005F665E" w:rsidRPr="00A73599" w14:paraId="3976BE44" w14:textId="77777777" w:rsidTr="0051420F">
        <w:trPr>
          <w:trHeight w:val="250"/>
        </w:trPr>
        <w:tc>
          <w:tcPr>
            <w:tcW w:w="1180" w:type="dxa"/>
            <w:vMerge/>
            <w:tcBorders>
              <w:top w:val="nil"/>
              <w:left w:val="single" w:sz="4" w:space="0" w:color="auto"/>
              <w:bottom w:val="single" w:sz="4" w:space="0" w:color="auto"/>
              <w:right w:val="single" w:sz="4" w:space="0" w:color="auto"/>
            </w:tcBorders>
            <w:vAlign w:val="center"/>
            <w:hideMark/>
          </w:tcPr>
          <w:p w14:paraId="3D58077B" w14:textId="77777777" w:rsidR="005F665E" w:rsidRPr="00A73599" w:rsidRDefault="005F665E" w:rsidP="0051420F">
            <w:pPr>
              <w:spacing w:line="240" w:lineRule="auto"/>
              <w:rPr>
                <w:rFonts w:eastAsia="Times New Roman" w:cs="Calibri"/>
                <w:sz w:val="22"/>
              </w:rPr>
            </w:pPr>
          </w:p>
        </w:tc>
        <w:tc>
          <w:tcPr>
            <w:tcW w:w="870" w:type="dxa"/>
            <w:vMerge w:val="restart"/>
            <w:tcBorders>
              <w:top w:val="nil"/>
              <w:left w:val="single" w:sz="4" w:space="0" w:color="auto"/>
              <w:bottom w:val="single" w:sz="4" w:space="0" w:color="auto"/>
              <w:right w:val="single" w:sz="4" w:space="0" w:color="auto"/>
            </w:tcBorders>
            <w:shd w:val="clear" w:color="000000" w:fill="E0E0E0"/>
            <w:vAlign w:val="center"/>
            <w:hideMark/>
          </w:tcPr>
          <w:p w14:paraId="7523DAA3"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WHUT</w:t>
            </w:r>
          </w:p>
        </w:tc>
        <w:tc>
          <w:tcPr>
            <w:tcW w:w="2426" w:type="dxa"/>
            <w:tcBorders>
              <w:top w:val="nil"/>
              <w:left w:val="nil"/>
              <w:bottom w:val="single" w:sz="4" w:space="0" w:color="auto"/>
              <w:right w:val="single" w:sz="4" w:space="0" w:color="auto"/>
            </w:tcBorders>
            <w:shd w:val="clear" w:color="000000" w:fill="E0E0E0"/>
            <w:vAlign w:val="center"/>
            <w:hideMark/>
          </w:tcPr>
          <w:p w14:paraId="7B87A110"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1388" w:type="dxa"/>
            <w:tcBorders>
              <w:top w:val="nil"/>
              <w:left w:val="nil"/>
              <w:bottom w:val="single" w:sz="4" w:space="0" w:color="auto"/>
              <w:right w:val="single" w:sz="4" w:space="0" w:color="auto"/>
            </w:tcBorders>
            <w:shd w:val="clear" w:color="000000" w:fill="FFFFFF"/>
            <w:vAlign w:val="center"/>
            <w:hideMark/>
          </w:tcPr>
          <w:p w14:paraId="1D3ADAC6"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0.073</w:t>
            </w:r>
          </w:p>
        </w:tc>
        <w:tc>
          <w:tcPr>
            <w:tcW w:w="1252" w:type="dxa"/>
            <w:tcBorders>
              <w:top w:val="nil"/>
              <w:left w:val="nil"/>
              <w:bottom w:val="single" w:sz="4" w:space="0" w:color="auto"/>
              <w:right w:val="single" w:sz="4" w:space="0" w:color="auto"/>
            </w:tcBorders>
            <w:shd w:val="clear" w:color="000000" w:fill="FFFFFF"/>
            <w:vAlign w:val="center"/>
            <w:hideMark/>
          </w:tcPr>
          <w:p w14:paraId="75E7B06C"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.444</w:t>
            </w:r>
            <w:r w:rsidRPr="00A73599">
              <w:rPr>
                <w:rFonts w:eastAsia="Times New Roman" w:cs="Calibri"/>
                <w:sz w:val="22"/>
                <w:vertAlign w:val="superscript"/>
              </w:rPr>
              <w:t>*</w:t>
            </w:r>
          </w:p>
        </w:tc>
        <w:tc>
          <w:tcPr>
            <w:tcW w:w="1668" w:type="dxa"/>
            <w:tcBorders>
              <w:top w:val="nil"/>
              <w:left w:val="nil"/>
              <w:bottom w:val="single" w:sz="4" w:space="0" w:color="auto"/>
              <w:right w:val="single" w:sz="4" w:space="0" w:color="auto"/>
            </w:tcBorders>
            <w:shd w:val="clear" w:color="000000" w:fill="FFFFFF"/>
            <w:vAlign w:val="center"/>
            <w:hideMark/>
          </w:tcPr>
          <w:p w14:paraId="54681EE9"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r>
      <w:tr w:rsidR="005F665E" w:rsidRPr="00A73599" w14:paraId="3172C147" w14:textId="77777777" w:rsidTr="0051420F">
        <w:trPr>
          <w:trHeight w:val="250"/>
        </w:trPr>
        <w:tc>
          <w:tcPr>
            <w:tcW w:w="1180" w:type="dxa"/>
            <w:vMerge/>
            <w:tcBorders>
              <w:top w:val="nil"/>
              <w:left w:val="single" w:sz="4" w:space="0" w:color="auto"/>
              <w:bottom w:val="single" w:sz="4" w:space="0" w:color="auto"/>
              <w:right w:val="single" w:sz="4" w:space="0" w:color="auto"/>
            </w:tcBorders>
            <w:vAlign w:val="center"/>
            <w:hideMark/>
          </w:tcPr>
          <w:p w14:paraId="1B6E0694" w14:textId="77777777" w:rsidR="005F665E" w:rsidRPr="00A73599" w:rsidRDefault="005F665E" w:rsidP="0051420F">
            <w:pPr>
              <w:spacing w:line="240" w:lineRule="auto"/>
              <w:rPr>
                <w:rFonts w:eastAsia="Times New Roman" w:cs="Calibri"/>
                <w:sz w:val="22"/>
              </w:rPr>
            </w:pPr>
          </w:p>
        </w:tc>
        <w:tc>
          <w:tcPr>
            <w:tcW w:w="870" w:type="dxa"/>
            <w:vMerge/>
            <w:tcBorders>
              <w:top w:val="nil"/>
              <w:left w:val="single" w:sz="4" w:space="0" w:color="auto"/>
              <w:bottom w:val="single" w:sz="4" w:space="0" w:color="auto"/>
              <w:right w:val="single" w:sz="4" w:space="0" w:color="auto"/>
            </w:tcBorders>
            <w:vAlign w:val="center"/>
            <w:hideMark/>
          </w:tcPr>
          <w:p w14:paraId="66FF275E" w14:textId="77777777" w:rsidR="005F665E" w:rsidRPr="00A73599" w:rsidRDefault="005F665E" w:rsidP="0051420F">
            <w:pPr>
              <w:spacing w:line="240" w:lineRule="auto"/>
              <w:rPr>
                <w:rFonts w:eastAsia="Times New Roman" w:cs="Calibri"/>
                <w:sz w:val="22"/>
              </w:rPr>
            </w:pPr>
          </w:p>
        </w:tc>
        <w:tc>
          <w:tcPr>
            <w:tcW w:w="2426" w:type="dxa"/>
            <w:tcBorders>
              <w:top w:val="nil"/>
              <w:left w:val="nil"/>
              <w:bottom w:val="single" w:sz="4" w:space="0" w:color="auto"/>
              <w:right w:val="single" w:sz="4" w:space="0" w:color="auto"/>
            </w:tcBorders>
            <w:shd w:val="clear" w:color="000000" w:fill="E0E0E0"/>
            <w:vAlign w:val="center"/>
            <w:hideMark/>
          </w:tcPr>
          <w:p w14:paraId="6596258D"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1388" w:type="dxa"/>
            <w:tcBorders>
              <w:top w:val="nil"/>
              <w:left w:val="nil"/>
              <w:bottom w:val="single" w:sz="4" w:space="0" w:color="auto"/>
              <w:right w:val="single" w:sz="4" w:space="0" w:color="auto"/>
            </w:tcBorders>
            <w:shd w:val="clear" w:color="000000" w:fill="FFFFFF"/>
            <w:vAlign w:val="center"/>
            <w:hideMark/>
          </w:tcPr>
          <w:p w14:paraId="4C2B7B59"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0.718</w:t>
            </w:r>
          </w:p>
        </w:tc>
        <w:tc>
          <w:tcPr>
            <w:tcW w:w="1252" w:type="dxa"/>
            <w:tcBorders>
              <w:top w:val="nil"/>
              <w:left w:val="nil"/>
              <w:bottom w:val="single" w:sz="4" w:space="0" w:color="auto"/>
              <w:right w:val="single" w:sz="4" w:space="0" w:color="auto"/>
            </w:tcBorders>
            <w:shd w:val="clear" w:color="000000" w:fill="FFFFFF"/>
            <w:vAlign w:val="center"/>
            <w:hideMark/>
          </w:tcPr>
          <w:p w14:paraId="3B27D91A"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0.027</w:t>
            </w:r>
          </w:p>
        </w:tc>
        <w:tc>
          <w:tcPr>
            <w:tcW w:w="1668" w:type="dxa"/>
            <w:tcBorders>
              <w:top w:val="nil"/>
              <w:left w:val="nil"/>
              <w:bottom w:val="single" w:sz="4" w:space="0" w:color="auto"/>
              <w:right w:val="single" w:sz="4" w:space="0" w:color="auto"/>
            </w:tcBorders>
            <w:shd w:val="clear" w:color="000000" w:fill="FFFFFF"/>
            <w:vAlign w:val="center"/>
            <w:hideMark/>
          </w:tcPr>
          <w:p w14:paraId="02C09723"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r>
      <w:tr w:rsidR="005F665E" w:rsidRPr="00A73599" w14:paraId="7B12F6ED" w14:textId="77777777" w:rsidTr="0051420F">
        <w:trPr>
          <w:trHeight w:val="250"/>
        </w:trPr>
        <w:tc>
          <w:tcPr>
            <w:tcW w:w="1180" w:type="dxa"/>
            <w:vMerge w:val="restart"/>
            <w:tcBorders>
              <w:top w:val="nil"/>
              <w:left w:val="single" w:sz="4" w:space="0" w:color="auto"/>
              <w:bottom w:val="single" w:sz="4" w:space="0" w:color="auto"/>
              <w:right w:val="single" w:sz="4" w:space="0" w:color="auto"/>
            </w:tcBorders>
            <w:shd w:val="clear" w:color="000000" w:fill="E0E0E0"/>
            <w:vAlign w:val="center"/>
            <w:hideMark/>
          </w:tcPr>
          <w:p w14:paraId="1A6D970A"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Spearman's rho</w:t>
            </w:r>
          </w:p>
        </w:tc>
        <w:tc>
          <w:tcPr>
            <w:tcW w:w="870" w:type="dxa"/>
            <w:vMerge w:val="restart"/>
            <w:tcBorders>
              <w:top w:val="nil"/>
              <w:left w:val="single" w:sz="4" w:space="0" w:color="auto"/>
              <w:bottom w:val="single" w:sz="4" w:space="0" w:color="auto"/>
              <w:right w:val="single" w:sz="4" w:space="0" w:color="auto"/>
            </w:tcBorders>
            <w:shd w:val="clear" w:color="000000" w:fill="E0E0E0"/>
            <w:vAlign w:val="center"/>
            <w:hideMark/>
          </w:tcPr>
          <w:p w14:paraId="794827BB"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CR</w:t>
            </w:r>
          </w:p>
        </w:tc>
        <w:tc>
          <w:tcPr>
            <w:tcW w:w="2426" w:type="dxa"/>
            <w:tcBorders>
              <w:top w:val="nil"/>
              <w:left w:val="nil"/>
              <w:bottom w:val="single" w:sz="4" w:space="0" w:color="auto"/>
              <w:right w:val="single" w:sz="4" w:space="0" w:color="auto"/>
            </w:tcBorders>
            <w:shd w:val="clear" w:color="000000" w:fill="E0E0E0"/>
            <w:vAlign w:val="center"/>
            <w:hideMark/>
          </w:tcPr>
          <w:p w14:paraId="60292D9D"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1388" w:type="dxa"/>
            <w:tcBorders>
              <w:top w:val="nil"/>
              <w:left w:val="nil"/>
              <w:bottom w:val="single" w:sz="4" w:space="0" w:color="auto"/>
              <w:right w:val="single" w:sz="4" w:space="0" w:color="auto"/>
            </w:tcBorders>
            <w:shd w:val="clear" w:color="000000" w:fill="FFFFFF"/>
            <w:vAlign w:val="center"/>
            <w:hideMark/>
          </w:tcPr>
          <w:p w14:paraId="26C7C378"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c>
          <w:tcPr>
            <w:tcW w:w="1252" w:type="dxa"/>
            <w:tcBorders>
              <w:top w:val="nil"/>
              <w:left w:val="nil"/>
              <w:bottom w:val="single" w:sz="4" w:space="0" w:color="auto"/>
              <w:right w:val="single" w:sz="4" w:space="0" w:color="auto"/>
            </w:tcBorders>
            <w:shd w:val="clear" w:color="000000" w:fill="FFFFFF"/>
            <w:vAlign w:val="center"/>
            <w:hideMark/>
          </w:tcPr>
          <w:p w14:paraId="58A2877E"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0.047</w:t>
            </w:r>
          </w:p>
        </w:tc>
        <w:tc>
          <w:tcPr>
            <w:tcW w:w="1668" w:type="dxa"/>
            <w:tcBorders>
              <w:top w:val="nil"/>
              <w:left w:val="nil"/>
              <w:bottom w:val="single" w:sz="4" w:space="0" w:color="auto"/>
              <w:right w:val="single" w:sz="4" w:space="0" w:color="auto"/>
            </w:tcBorders>
            <w:shd w:val="clear" w:color="000000" w:fill="FFFFFF"/>
            <w:vAlign w:val="center"/>
            <w:hideMark/>
          </w:tcPr>
          <w:p w14:paraId="6E34CFC0"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0.117</w:t>
            </w:r>
          </w:p>
        </w:tc>
      </w:tr>
      <w:tr w:rsidR="005F665E" w:rsidRPr="00A73599" w14:paraId="3910EB68" w14:textId="77777777" w:rsidTr="0051420F">
        <w:trPr>
          <w:trHeight w:val="250"/>
        </w:trPr>
        <w:tc>
          <w:tcPr>
            <w:tcW w:w="1180" w:type="dxa"/>
            <w:vMerge/>
            <w:tcBorders>
              <w:top w:val="nil"/>
              <w:left w:val="single" w:sz="4" w:space="0" w:color="auto"/>
              <w:bottom w:val="single" w:sz="4" w:space="0" w:color="auto"/>
              <w:right w:val="single" w:sz="4" w:space="0" w:color="auto"/>
            </w:tcBorders>
            <w:vAlign w:val="center"/>
            <w:hideMark/>
          </w:tcPr>
          <w:p w14:paraId="2197DDCE" w14:textId="77777777" w:rsidR="005F665E" w:rsidRPr="00A73599" w:rsidRDefault="005F665E" w:rsidP="0051420F">
            <w:pPr>
              <w:spacing w:line="240" w:lineRule="auto"/>
              <w:rPr>
                <w:rFonts w:eastAsia="Times New Roman" w:cs="Calibri"/>
                <w:sz w:val="22"/>
              </w:rPr>
            </w:pPr>
          </w:p>
        </w:tc>
        <w:tc>
          <w:tcPr>
            <w:tcW w:w="870" w:type="dxa"/>
            <w:vMerge/>
            <w:tcBorders>
              <w:top w:val="nil"/>
              <w:left w:val="single" w:sz="4" w:space="0" w:color="auto"/>
              <w:bottom w:val="single" w:sz="4" w:space="0" w:color="auto"/>
              <w:right w:val="single" w:sz="4" w:space="0" w:color="auto"/>
            </w:tcBorders>
            <w:vAlign w:val="center"/>
            <w:hideMark/>
          </w:tcPr>
          <w:p w14:paraId="5A24FD7A" w14:textId="77777777" w:rsidR="005F665E" w:rsidRPr="00A73599" w:rsidRDefault="005F665E" w:rsidP="0051420F">
            <w:pPr>
              <w:spacing w:line="240" w:lineRule="auto"/>
              <w:rPr>
                <w:rFonts w:eastAsia="Times New Roman" w:cs="Calibri"/>
                <w:sz w:val="22"/>
              </w:rPr>
            </w:pPr>
          </w:p>
        </w:tc>
        <w:tc>
          <w:tcPr>
            <w:tcW w:w="2426" w:type="dxa"/>
            <w:tcBorders>
              <w:top w:val="nil"/>
              <w:left w:val="nil"/>
              <w:bottom w:val="single" w:sz="4" w:space="0" w:color="auto"/>
              <w:right w:val="single" w:sz="4" w:space="0" w:color="auto"/>
            </w:tcBorders>
            <w:shd w:val="clear" w:color="000000" w:fill="E0E0E0"/>
            <w:vAlign w:val="center"/>
            <w:hideMark/>
          </w:tcPr>
          <w:p w14:paraId="581D22C3"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1388" w:type="dxa"/>
            <w:tcBorders>
              <w:top w:val="nil"/>
              <w:left w:val="nil"/>
              <w:bottom w:val="single" w:sz="4" w:space="0" w:color="auto"/>
              <w:right w:val="single" w:sz="4" w:space="0" w:color="auto"/>
            </w:tcBorders>
            <w:shd w:val="clear" w:color="000000" w:fill="FFFFFF"/>
            <w:vAlign w:val="center"/>
            <w:hideMark/>
          </w:tcPr>
          <w:p w14:paraId="70CB6CD3"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c>
          <w:tcPr>
            <w:tcW w:w="1252" w:type="dxa"/>
            <w:tcBorders>
              <w:top w:val="nil"/>
              <w:left w:val="nil"/>
              <w:bottom w:val="single" w:sz="4" w:space="0" w:color="auto"/>
              <w:right w:val="single" w:sz="4" w:space="0" w:color="auto"/>
            </w:tcBorders>
            <w:shd w:val="clear" w:color="000000" w:fill="FFFFFF"/>
            <w:vAlign w:val="center"/>
            <w:hideMark/>
          </w:tcPr>
          <w:p w14:paraId="471AE0A0"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0.869</w:t>
            </w:r>
          </w:p>
        </w:tc>
        <w:tc>
          <w:tcPr>
            <w:tcW w:w="1668" w:type="dxa"/>
            <w:tcBorders>
              <w:top w:val="nil"/>
              <w:left w:val="nil"/>
              <w:bottom w:val="single" w:sz="4" w:space="0" w:color="auto"/>
              <w:right w:val="single" w:sz="4" w:space="0" w:color="auto"/>
            </w:tcBorders>
            <w:shd w:val="clear" w:color="000000" w:fill="FFFFFF"/>
            <w:vAlign w:val="center"/>
            <w:hideMark/>
          </w:tcPr>
          <w:p w14:paraId="6D282B45"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0.679</w:t>
            </w:r>
          </w:p>
        </w:tc>
      </w:tr>
      <w:tr w:rsidR="005F665E" w:rsidRPr="00A73599" w14:paraId="661C3A86" w14:textId="77777777" w:rsidTr="0051420F">
        <w:trPr>
          <w:trHeight w:val="250"/>
        </w:trPr>
        <w:tc>
          <w:tcPr>
            <w:tcW w:w="1180" w:type="dxa"/>
            <w:vMerge/>
            <w:tcBorders>
              <w:top w:val="nil"/>
              <w:left w:val="single" w:sz="4" w:space="0" w:color="auto"/>
              <w:bottom w:val="single" w:sz="4" w:space="0" w:color="auto"/>
              <w:right w:val="single" w:sz="4" w:space="0" w:color="auto"/>
            </w:tcBorders>
            <w:vAlign w:val="center"/>
            <w:hideMark/>
          </w:tcPr>
          <w:p w14:paraId="5923B9A4" w14:textId="77777777" w:rsidR="005F665E" w:rsidRPr="00A73599" w:rsidRDefault="005F665E" w:rsidP="0051420F">
            <w:pPr>
              <w:spacing w:line="240" w:lineRule="auto"/>
              <w:rPr>
                <w:rFonts w:eastAsia="Times New Roman" w:cs="Calibri"/>
                <w:sz w:val="22"/>
              </w:rPr>
            </w:pPr>
          </w:p>
        </w:tc>
        <w:tc>
          <w:tcPr>
            <w:tcW w:w="870" w:type="dxa"/>
            <w:vMerge w:val="restart"/>
            <w:tcBorders>
              <w:top w:val="nil"/>
              <w:left w:val="single" w:sz="4" w:space="0" w:color="auto"/>
              <w:bottom w:val="single" w:sz="4" w:space="0" w:color="auto"/>
              <w:right w:val="single" w:sz="4" w:space="0" w:color="auto"/>
            </w:tcBorders>
            <w:shd w:val="clear" w:color="000000" w:fill="E0E0E0"/>
            <w:vAlign w:val="center"/>
            <w:hideMark/>
          </w:tcPr>
          <w:p w14:paraId="4A959FA5"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PM</w:t>
            </w:r>
          </w:p>
        </w:tc>
        <w:tc>
          <w:tcPr>
            <w:tcW w:w="2426" w:type="dxa"/>
            <w:tcBorders>
              <w:top w:val="nil"/>
              <w:left w:val="nil"/>
              <w:bottom w:val="single" w:sz="4" w:space="0" w:color="auto"/>
              <w:right w:val="single" w:sz="4" w:space="0" w:color="auto"/>
            </w:tcBorders>
            <w:shd w:val="clear" w:color="000000" w:fill="E0E0E0"/>
            <w:vAlign w:val="center"/>
            <w:hideMark/>
          </w:tcPr>
          <w:p w14:paraId="691A5953"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1388" w:type="dxa"/>
            <w:tcBorders>
              <w:top w:val="nil"/>
              <w:left w:val="nil"/>
              <w:bottom w:val="single" w:sz="4" w:space="0" w:color="auto"/>
              <w:right w:val="single" w:sz="4" w:space="0" w:color="auto"/>
            </w:tcBorders>
            <w:shd w:val="clear" w:color="000000" w:fill="FFFFFF"/>
            <w:vAlign w:val="center"/>
            <w:hideMark/>
          </w:tcPr>
          <w:p w14:paraId="32E1C3EF"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0.047</w:t>
            </w:r>
          </w:p>
        </w:tc>
        <w:tc>
          <w:tcPr>
            <w:tcW w:w="1252" w:type="dxa"/>
            <w:tcBorders>
              <w:top w:val="nil"/>
              <w:left w:val="nil"/>
              <w:bottom w:val="single" w:sz="4" w:space="0" w:color="auto"/>
              <w:right w:val="single" w:sz="4" w:space="0" w:color="auto"/>
            </w:tcBorders>
            <w:shd w:val="clear" w:color="000000" w:fill="FFFFFF"/>
            <w:vAlign w:val="center"/>
            <w:hideMark/>
          </w:tcPr>
          <w:p w14:paraId="1A266831"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c>
          <w:tcPr>
            <w:tcW w:w="1668" w:type="dxa"/>
            <w:tcBorders>
              <w:top w:val="nil"/>
              <w:left w:val="nil"/>
              <w:bottom w:val="single" w:sz="4" w:space="0" w:color="auto"/>
              <w:right w:val="single" w:sz="4" w:space="0" w:color="auto"/>
            </w:tcBorders>
            <w:shd w:val="clear" w:color="000000" w:fill="FFFFFF"/>
            <w:vAlign w:val="center"/>
            <w:hideMark/>
          </w:tcPr>
          <w:p w14:paraId="4E77D466"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.560</w:t>
            </w:r>
            <w:r w:rsidRPr="00A73599">
              <w:rPr>
                <w:rFonts w:eastAsia="Times New Roman" w:cs="Calibri"/>
                <w:sz w:val="22"/>
                <w:vertAlign w:val="superscript"/>
              </w:rPr>
              <w:t>*</w:t>
            </w:r>
          </w:p>
        </w:tc>
      </w:tr>
      <w:tr w:rsidR="005F665E" w:rsidRPr="00A73599" w14:paraId="4A116CEF" w14:textId="77777777" w:rsidTr="0051420F">
        <w:trPr>
          <w:trHeight w:val="250"/>
        </w:trPr>
        <w:tc>
          <w:tcPr>
            <w:tcW w:w="1180" w:type="dxa"/>
            <w:vMerge/>
            <w:tcBorders>
              <w:top w:val="nil"/>
              <w:left w:val="single" w:sz="4" w:space="0" w:color="auto"/>
              <w:bottom w:val="single" w:sz="4" w:space="0" w:color="auto"/>
              <w:right w:val="single" w:sz="4" w:space="0" w:color="auto"/>
            </w:tcBorders>
            <w:vAlign w:val="center"/>
            <w:hideMark/>
          </w:tcPr>
          <w:p w14:paraId="63FE0EFA" w14:textId="77777777" w:rsidR="005F665E" w:rsidRPr="00A73599" w:rsidRDefault="005F665E" w:rsidP="0051420F">
            <w:pPr>
              <w:spacing w:line="240" w:lineRule="auto"/>
              <w:rPr>
                <w:rFonts w:eastAsia="Times New Roman" w:cs="Calibri"/>
                <w:sz w:val="22"/>
              </w:rPr>
            </w:pPr>
          </w:p>
        </w:tc>
        <w:tc>
          <w:tcPr>
            <w:tcW w:w="870" w:type="dxa"/>
            <w:vMerge/>
            <w:tcBorders>
              <w:top w:val="nil"/>
              <w:left w:val="single" w:sz="4" w:space="0" w:color="auto"/>
              <w:bottom w:val="single" w:sz="4" w:space="0" w:color="auto"/>
              <w:right w:val="single" w:sz="4" w:space="0" w:color="auto"/>
            </w:tcBorders>
            <w:vAlign w:val="center"/>
            <w:hideMark/>
          </w:tcPr>
          <w:p w14:paraId="24918708" w14:textId="77777777" w:rsidR="005F665E" w:rsidRPr="00A73599" w:rsidRDefault="005F665E" w:rsidP="0051420F">
            <w:pPr>
              <w:spacing w:line="240" w:lineRule="auto"/>
              <w:rPr>
                <w:rFonts w:eastAsia="Times New Roman" w:cs="Calibri"/>
                <w:sz w:val="22"/>
              </w:rPr>
            </w:pPr>
          </w:p>
        </w:tc>
        <w:tc>
          <w:tcPr>
            <w:tcW w:w="2426" w:type="dxa"/>
            <w:tcBorders>
              <w:top w:val="nil"/>
              <w:left w:val="nil"/>
              <w:bottom w:val="single" w:sz="4" w:space="0" w:color="auto"/>
              <w:right w:val="single" w:sz="4" w:space="0" w:color="auto"/>
            </w:tcBorders>
            <w:shd w:val="clear" w:color="000000" w:fill="E0E0E0"/>
            <w:vAlign w:val="center"/>
            <w:hideMark/>
          </w:tcPr>
          <w:p w14:paraId="7DF5FB32"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1388" w:type="dxa"/>
            <w:tcBorders>
              <w:top w:val="nil"/>
              <w:left w:val="nil"/>
              <w:bottom w:val="single" w:sz="4" w:space="0" w:color="auto"/>
              <w:right w:val="single" w:sz="4" w:space="0" w:color="auto"/>
            </w:tcBorders>
            <w:shd w:val="clear" w:color="000000" w:fill="FFFFFF"/>
            <w:vAlign w:val="center"/>
            <w:hideMark/>
          </w:tcPr>
          <w:p w14:paraId="60B29D54"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0.869</w:t>
            </w:r>
          </w:p>
        </w:tc>
        <w:tc>
          <w:tcPr>
            <w:tcW w:w="1252" w:type="dxa"/>
            <w:tcBorders>
              <w:top w:val="nil"/>
              <w:left w:val="nil"/>
              <w:bottom w:val="single" w:sz="4" w:space="0" w:color="auto"/>
              <w:right w:val="single" w:sz="4" w:space="0" w:color="auto"/>
            </w:tcBorders>
            <w:shd w:val="clear" w:color="000000" w:fill="FFFFFF"/>
            <w:vAlign w:val="center"/>
            <w:hideMark/>
          </w:tcPr>
          <w:p w14:paraId="3F4A9C92"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c>
          <w:tcPr>
            <w:tcW w:w="1668" w:type="dxa"/>
            <w:tcBorders>
              <w:top w:val="nil"/>
              <w:left w:val="nil"/>
              <w:bottom w:val="single" w:sz="4" w:space="0" w:color="auto"/>
              <w:right w:val="single" w:sz="4" w:space="0" w:color="auto"/>
            </w:tcBorders>
            <w:shd w:val="clear" w:color="000000" w:fill="FFFFFF"/>
            <w:vAlign w:val="center"/>
            <w:hideMark/>
          </w:tcPr>
          <w:p w14:paraId="2C656CF3"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0.03</w:t>
            </w:r>
          </w:p>
        </w:tc>
      </w:tr>
      <w:tr w:rsidR="005F665E" w:rsidRPr="00A73599" w14:paraId="213C058E" w14:textId="77777777" w:rsidTr="0051420F">
        <w:trPr>
          <w:trHeight w:val="250"/>
        </w:trPr>
        <w:tc>
          <w:tcPr>
            <w:tcW w:w="1180" w:type="dxa"/>
            <w:vMerge/>
            <w:tcBorders>
              <w:top w:val="nil"/>
              <w:left w:val="single" w:sz="4" w:space="0" w:color="auto"/>
              <w:bottom w:val="single" w:sz="4" w:space="0" w:color="auto"/>
              <w:right w:val="single" w:sz="4" w:space="0" w:color="auto"/>
            </w:tcBorders>
            <w:vAlign w:val="center"/>
            <w:hideMark/>
          </w:tcPr>
          <w:p w14:paraId="198CF1AE" w14:textId="77777777" w:rsidR="005F665E" w:rsidRPr="00A73599" w:rsidRDefault="005F665E" w:rsidP="0051420F">
            <w:pPr>
              <w:spacing w:line="240" w:lineRule="auto"/>
              <w:rPr>
                <w:rFonts w:eastAsia="Times New Roman" w:cs="Calibri"/>
                <w:sz w:val="22"/>
              </w:rPr>
            </w:pPr>
          </w:p>
        </w:tc>
        <w:tc>
          <w:tcPr>
            <w:tcW w:w="870" w:type="dxa"/>
            <w:vMerge w:val="restart"/>
            <w:tcBorders>
              <w:top w:val="nil"/>
              <w:left w:val="single" w:sz="4" w:space="0" w:color="auto"/>
              <w:bottom w:val="single" w:sz="4" w:space="0" w:color="auto"/>
              <w:right w:val="single" w:sz="4" w:space="0" w:color="auto"/>
            </w:tcBorders>
            <w:shd w:val="clear" w:color="000000" w:fill="E0E0E0"/>
            <w:vAlign w:val="center"/>
            <w:hideMark/>
          </w:tcPr>
          <w:p w14:paraId="4F20666B"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WHUT</w:t>
            </w:r>
          </w:p>
        </w:tc>
        <w:tc>
          <w:tcPr>
            <w:tcW w:w="2426" w:type="dxa"/>
            <w:tcBorders>
              <w:top w:val="nil"/>
              <w:left w:val="nil"/>
              <w:bottom w:val="single" w:sz="4" w:space="0" w:color="auto"/>
              <w:right w:val="single" w:sz="4" w:space="0" w:color="auto"/>
            </w:tcBorders>
            <w:shd w:val="clear" w:color="000000" w:fill="E0E0E0"/>
            <w:vAlign w:val="center"/>
            <w:hideMark/>
          </w:tcPr>
          <w:p w14:paraId="2905F848"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Correlation coefficient</w:t>
            </w:r>
          </w:p>
        </w:tc>
        <w:tc>
          <w:tcPr>
            <w:tcW w:w="1388" w:type="dxa"/>
            <w:tcBorders>
              <w:top w:val="nil"/>
              <w:left w:val="nil"/>
              <w:bottom w:val="single" w:sz="4" w:space="0" w:color="auto"/>
              <w:right w:val="single" w:sz="4" w:space="0" w:color="auto"/>
            </w:tcBorders>
            <w:shd w:val="clear" w:color="000000" w:fill="FFFFFF"/>
            <w:vAlign w:val="center"/>
            <w:hideMark/>
          </w:tcPr>
          <w:p w14:paraId="65129ABA"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0.117</w:t>
            </w:r>
          </w:p>
        </w:tc>
        <w:tc>
          <w:tcPr>
            <w:tcW w:w="1252" w:type="dxa"/>
            <w:tcBorders>
              <w:top w:val="nil"/>
              <w:left w:val="nil"/>
              <w:bottom w:val="single" w:sz="4" w:space="0" w:color="auto"/>
              <w:right w:val="single" w:sz="4" w:space="0" w:color="auto"/>
            </w:tcBorders>
            <w:shd w:val="clear" w:color="000000" w:fill="FFFFFF"/>
            <w:vAlign w:val="center"/>
            <w:hideMark/>
          </w:tcPr>
          <w:p w14:paraId="15C6B0BB"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.560</w:t>
            </w:r>
            <w:r w:rsidRPr="00A73599">
              <w:rPr>
                <w:rFonts w:eastAsia="Times New Roman" w:cs="Calibri"/>
                <w:sz w:val="22"/>
                <w:vertAlign w:val="superscript"/>
              </w:rPr>
              <w:t>*</w:t>
            </w:r>
          </w:p>
        </w:tc>
        <w:tc>
          <w:tcPr>
            <w:tcW w:w="1668" w:type="dxa"/>
            <w:tcBorders>
              <w:top w:val="nil"/>
              <w:left w:val="nil"/>
              <w:bottom w:val="single" w:sz="4" w:space="0" w:color="auto"/>
              <w:right w:val="single" w:sz="4" w:space="0" w:color="auto"/>
            </w:tcBorders>
            <w:shd w:val="clear" w:color="000000" w:fill="FFFFFF"/>
            <w:vAlign w:val="center"/>
            <w:hideMark/>
          </w:tcPr>
          <w:p w14:paraId="0276C3A3"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1</w:t>
            </w:r>
          </w:p>
        </w:tc>
      </w:tr>
      <w:tr w:rsidR="005F665E" w:rsidRPr="00A73599" w14:paraId="57C150FA" w14:textId="77777777" w:rsidTr="0051420F">
        <w:trPr>
          <w:trHeight w:val="250"/>
        </w:trPr>
        <w:tc>
          <w:tcPr>
            <w:tcW w:w="1180" w:type="dxa"/>
            <w:vMerge/>
            <w:tcBorders>
              <w:top w:val="nil"/>
              <w:left w:val="single" w:sz="4" w:space="0" w:color="auto"/>
              <w:bottom w:val="single" w:sz="4" w:space="0" w:color="auto"/>
              <w:right w:val="single" w:sz="4" w:space="0" w:color="auto"/>
            </w:tcBorders>
            <w:vAlign w:val="center"/>
            <w:hideMark/>
          </w:tcPr>
          <w:p w14:paraId="16ADDB0D" w14:textId="77777777" w:rsidR="005F665E" w:rsidRPr="00A73599" w:rsidRDefault="005F665E" w:rsidP="0051420F">
            <w:pPr>
              <w:spacing w:line="240" w:lineRule="auto"/>
              <w:rPr>
                <w:rFonts w:eastAsia="Times New Roman" w:cs="Calibri"/>
                <w:sz w:val="22"/>
              </w:rPr>
            </w:pPr>
          </w:p>
        </w:tc>
        <w:tc>
          <w:tcPr>
            <w:tcW w:w="870" w:type="dxa"/>
            <w:vMerge/>
            <w:tcBorders>
              <w:top w:val="nil"/>
              <w:left w:val="single" w:sz="4" w:space="0" w:color="auto"/>
              <w:bottom w:val="single" w:sz="4" w:space="0" w:color="auto"/>
              <w:right w:val="single" w:sz="4" w:space="0" w:color="auto"/>
            </w:tcBorders>
            <w:vAlign w:val="center"/>
            <w:hideMark/>
          </w:tcPr>
          <w:p w14:paraId="26B950A0" w14:textId="77777777" w:rsidR="005F665E" w:rsidRPr="00A73599" w:rsidRDefault="005F665E" w:rsidP="0051420F">
            <w:pPr>
              <w:spacing w:line="240" w:lineRule="auto"/>
              <w:rPr>
                <w:rFonts w:eastAsia="Times New Roman" w:cs="Calibri"/>
                <w:sz w:val="22"/>
              </w:rPr>
            </w:pPr>
          </w:p>
        </w:tc>
        <w:tc>
          <w:tcPr>
            <w:tcW w:w="2426" w:type="dxa"/>
            <w:tcBorders>
              <w:top w:val="nil"/>
              <w:left w:val="nil"/>
              <w:bottom w:val="single" w:sz="4" w:space="0" w:color="auto"/>
              <w:right w:val="single" w:sz="4" w:space="0" w:color="auto"/>
            </w:tcBorders>
            <w:shd w:val="clear" w:color="000000" w:fill="E0E0E0"/>
            <w:vAlign w:val="center"/>
            <w:hideMark/>
          </w:tcPr>
          <w:p w14:paraId="2E56C7DE"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Sig. (2-tailed)</w:t>
            </w:r>
          </w:p>
        </w:tc>
        <w:tc>
          <w:tcPr>
            <w:tcW w:w="1388" w:type="dxa"/>
            <w:tcBorders>
              <w:top w:val="nil"/>
              <w:left w:val="nil"/>
              <w:bottom w:val="single" w:sz="4" w:space="0" w:color="auto"/>
              <w:right w:val="single" w:sz="4" w:space="0" w:color="auto"/>
            </w:tcBorders>
            <w:shd w:val="clear" w:color="000000" w:fill="FFFFFF"/>
            <w:vAlign w:val="center"/>
            <w:hideMark/>
          </w:tcPr>
          <w:p w14:paraId="523E5CE6"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0.679</w:t>
            </w:r>
          </w:p>
        </w:tc>
        <w:tc>
          <w:tcPr>
            <w:tcW w:w="1252" w:type="dxa"/>
            <w:tcBorders>
              <w:top w:val="nil"/>
              <w:left w:val="nil"/>
              <w:bottom w:val="single" w:sz="4" w:space="0" w:color="auto"/>
              <w:right w:val="single" w:sz="4" w:space="0" w:color="auto"/>
            </w:tcBorders>
            <w:shd w:val="clear" w:color="000000" w:fill="FFFFFF"/>
            <w:vAlign w:val="center"/>
            <w:hideMark/>
          </w:tcPr>
          <w:p w14:paraId="3D7EC7CF"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0.03</w:t>
            </w:r>
          </w:p>
        </w:tc>
        <w:tc>
          <w:tcPr>
            <w:tcW w:w="1668" w:type="dxa"/>
            <w:tcBorders>
              <w:top w:val="nil"/>
              <w:left w:val="nil"/>
              <w:bottom w:val="single" w:sz="4" w:space="0" w:color="auto"/>
              <w:right w:val="single" w:sz="4" w:space="0" w:color="auto"/>
            </w:tcBorders>
            <w:shd w:val="clear" w:color="000000" w:fill="FFFFFF"/>
            <w:vAlign w:val="center"/>
            <w:hideMark/>
          </w:tcPr>
          <w:p w14:paraId="43C42B63" w14:textId="77777777" w:rsidR="005F665E" w:rsidRPr="00A73599" w:rsidRDefault="005F665E" w:rsidP="0051420F">
            <w:pPr>
              <w:spacing w:line="240" w:lineRule="auto"/>
              <w:jc w:val="right"/>
              <w:rPr>
                <w:rFonts w:eastAsia="Times New Roman" w:cs="Calibri"/>
                <w:sz w:val="22"/>
              </w:rPr>
            </w:pPr>
            <w:r w:rsidRPr="00A73599">
              <w:rPr>
                <w:rFonts w:eastAsia="Times New Roman" w:cs="Calibri"/>
                <w:sz w:val="22"/>
              </w:rPr>
              <w:t>.</w:t>
            </w:r>
          </w:p>
        </w:tc>
      </w:tr>
      <w:tr w:rsidR="005F665E" w:rsidRPr="00A73599" w14:paraId="43758172" w14:textId="77777777" w:rsidTr="0051420F">
        <w:trPr>
          <w:trHeight w:val="250"/>
        </w:trPr>
        <w:tc>
          <w:tcPr>
            <w:tcW w:w="8784" w:type="dxa"/>
            <w:gridSpan w:val="6"/>
            <w:tcBorders>
              <w:top w:val="nil"/>
              <w:left w:val="nil"/>
              <w:bottom w:val="nil"/>
              <w:right w:val="nil"/>
            </w:tcBorders>
            <w:shd w:val="clear" w:color="000000" w:fill="FFFFFF"/>
            <w:vAlign w:val="center"/>
            <w:hideMark/>
          </w:tcPr>
          <w:p w14:paraId="2E4C62C2" w14:textId="77777777" w:rsidR="005F665E" w:rsidRPr="00A73599" w:rsidRDefault="005F665E" w:rsidP="0051420F">
            <w:pPr>
              <w:spacing w:line="240" w:lineRule="auto"/>
              <w:rPr>
                <w:rFonts w:eastAsia="Times New Roman" w:cs="Calibri"/>
                <w:sz w:val="22"/>
              </w:rPr>
            </w:pPr>
            <w:r w:rsidRPr="00A73599">
              <w:rPr>
                <w:rFonts w:eastAsia="Times New Roman" w:cs="Calibri"/>
                <w:sz w:val="22"/>
              </w:rPr>
              <w:t>*. Correlation is significant at the 0.05 level (2-tailed).</w:t>
            </w:r>
          </w:p>
        </w:tc>
      </w:tr>
    </w:tbl>
    <w:p w14:paraId="0DF3CB82" w14:textId="77777777" w:rsidR="005F665E" w:rsidRPr="00A73599" w:rsidRDefault="005F665E" w:rsidP="00A73599">
      <w:pPr>
        <w:pStyle w:val="Caption"/>
        <w:rPr>
          <w:rFonts w:eastAsia="Times New Roman"/>
          <w:bCs/>
          <w:kern w:val="2"/>
          <w:lang w:val="en-US"/>
        </w:rPr>
      </w:pPr>
      <w:bookmarkStart w:id="989" w:name="_Ref45625089"/>
      <w:bookmarkStart w:id="990" w:name="_Toc46053592"/>
      <w:bookmarkStart w:id="991" w:name="_Toc46093841"/>
      <w:bookmarkStart w:id="992" w:name="_Toc66698807"/>
      <w:r>
        <w:t xml:space="preserve">Table </w:t>
      </w:r>
      <w:r w:rsidR="000306D9">
        <w:fldChar w:fldCharType="begin"/>
      </w:r>
      <w:r w:rsidR="000306D9">
        <w:instrText xml:space="preserve"> STYLEREF 1 \s </w:instrText>
      </w:r>
      <w:r w:rsidR="000306D9">
        <w:fldChar w:fldCharType="separate"/>
      </w:r>
      <w:r>
        <w:rPr>
          <w:noProof/>
        </w:rPr>
        <w:t>6</w:t>
      </w:r>
      <w:r w:rsidR="000306D9">
        <w:rPr>
          <w:noProof/>
        </w:rPr>
        <w:fldChar w:fldCharType="end"/>
      </w:r>
      <w:r>
        <w:noBreakHyphen/>
      </w:r>
      <w:r w:rsidR="000306D9">
        <w:fldChar w:fldCharType="begin"/>
      </w:r>
      <w:r w:rsidR="000306D9">
        <w:instrText xml:space="preserve"> SEQ Table \* ARABIC \s 1 </w:instrText>
      </w:r>
      <w:r w:rsidR="000306D9">
        <w:fldChar w:fldCharType="separate"/>
      </w:r>
      <w:r>
        <w:rPr>
          <w:noProof/>
        </w:rPr>
        <w:t>14</w:t>
      </w:r>
      <w:r w:rsidR="000306D9">
        <w:rPr>
          <w:noProof/>
        </w:rPr>
        <w:fldChar w:fldCharType="end"/>
      </w:r>
      <w:bookmarkEnd w:id="988"/>
      <w:bookmarkEnd w:id="989"/>
      <w:r>
        <w:rPr>
          <w:rFonts w:eastAsia="Times New Roman"/>
          <w:bCs/>
          <w:i w:val="0"/>
          <w:kern w:val="2"/>
          <w:lang w:val="en-US"/>
        </w:rPr>
        <w:t xml:space="preserve">: </w:t>
      </w:r>
      <w:r w:rsidRPr="00CD52C2">
        <w:rPr>
          <w:rFonts w:eastAsia="Times New Roman"/>
          <w:bCs/>
          <w:i w:val="0"/>
          <w:kern w:val="2"/>
          <w:lang w:val="en-US"/>
        </w:rPr>
        <w:t xml:space="preserve">Correlation </w:t>
      </w:r>
      <w:r>
        <w:rPr>
          <w:rFonts w:eastAsia="Times New Roman"/>
          <w:bCs/>
          <w:i w:val="0"/>
          <w:kern w:val="2"/>
          <w:lang w:val="en-US"/>
        </w:rPr>
        <w:t>c</w:t>
      </w:r>
      <w:r w:rsidRPr="00CD52C2">
        <w:rPr>
          <w:rFonts w:eastAsia="Times New Roman"/>
          <w:bCs/>
          <w:i w:val="0"/>
          <w:kern w:val="2"/>
          <w:lang w:val="en-US"/>
        </w:rPr>
        <w:t xml:space="preserve">oefficient </w:t>
      </w:r>
      <w:r>
        <w:rPr>
          <w:rFonts w:eastAsia="Times New Roman"/>
          <w:bCs/>
          <w:i w:val="0"/>
          <w:kern w:val="2"/>
          <w:lang w:val="en-US"/>
        </w:rPr>
        <w:t>for s</w:t>
      </w:r>
      <w:r w:rsidRPr="00CD52C2">
        <w:rPr>
          <w:rFonts w:eastAsia="Times New Roman"/>
          <w:bCs/>
          <w:i w:val="0"/>
          <w:kern w:val="2"/>
          <w:lang w:val="en-US"/>
        </w:rPr>
        <w:t xml:space="preserve">takeholder </w:t>
      </w:r>
      <w:r>
        <w:rPr>
          <w:rFonts w:eastAsia="Times New Roman"/>
          <w:bCs/>
          <w:i w:val="0"/>
          <w:kern w:val="2"/>
          <w:lang w:val="en-US"/>
        </w:rPr>
        <w:t>p</w:t>
      </w:r>
      <w:r w:rsidRPr="00CD52C2">
        <w:rPr>
          <w:rFonts w:eastAsia="Times New Roman"/>
          <w:bCs/>
          <w:i w:val="0"/>
          <w:kern w:val="2"/>
          <w:lang w:val="en-US"/>
        </w:rPr>
        <w:t>reference in Case 4</w:t>
      </w:r>
      <w:bookmarkEnd w:id="990"/>
      <w:bookmarkEnd w:id="991"/>
      <w:bookmarkEnd w:id="992"/>
    </w:p>
    <w:p w14:paraId="5CD2EC94" w14:textId="77777777" w:rsidR="005F665E" w:rsidRPr="002C60C1" w:rsidRDefault="005F665E" w:rsidP="00BB2459">
      <w:pPr>
        <w:pStyle w:val="Heading3"/>
        <w:rPr>
          <w:bCs w:val="0"/>
        </w:rPr>
      </w:pPr>
      <w:bookmarkStart w:id="993" w:name="_Toc46053483"/>
      <w:bookmarkStart w:id="994" w:name="_Toc46093397"/>
      <w:bookmarkStart w:id="995" w:name="_Toc46093680"/>
      <w:bookmarkStart w:id="996" w:name="_Toc66703256"/>
      <w:r>
        <w:t>Findings from thematic analysis</w:t>
      </w:r>
      <w:bookmarkEnd w:id="993"/>
      <w:bookmarkEnd w:id="994"/>
      <w:bookmarkEnd w:id="995"/>
      <w:bookmarkEnd w:id="996"/>
    </w:p>
    <w:p w14:paraId="22CAC601" w14:textId="77777777" w:rsidR="005F665E" w:rsidRPr="00050D7E" w:rsidRDefault="005F665E" w:rsidP="00AD50EA">
      <w:pPr>
        <w:spacing w:line="360" w:lineRule="auto"/>
        <w:rPr>
          <w:rFonts w:eastAsia="Times New Roman"/>
          <w:kern w:val="2"/>
          <w:lang w:val="en-US"/>
        </w:rPr>
      </w:pPr>
      <w:r w:rsidRPr="00050D7E">
        <w:rPr>
          <w:rFonts w:eastAsia="Times New Roman"/>
          <w:kern w:val="2"/>
          <w:lang w:val="en-US"/>
        </w:rPr>
        <w:t xml:space="preserve">Through a thematic analysis, qualitative findings about the reasons for the stakeholder conflicts were obtained. This relied on a comparative analysis of the opinions on the sub-themes of each pair of stakeholders. The stakeholders’ rankings of the indicators are applied as complementary information to support the qualitative findings. </w:t>
      </w:r>
      <w:r>
        <w:rPr>
          <w:rFonts w:eastAsia="Times New Roman"/>
          <w:kern w:val="2"/>
          <w:lang w:val="en-US"/>
        </w:rPr>
        <w:t xml:space="preserve">This chapter </w:t>
      </w:r>
      <w:r w:rsidRPr="00050D7E">
        <w:rPr>
          <w:rFonts w:eastAsia="Times New Roman"/>
          <w:kern w:val="2"/>
          <w:lang w:val="en-US"/>
        </w:rPr>
        <w:t xml:space="preserve">identified the following causes of conflict between the stakeholders: </w:t>
      </w:r>
    </w:p>
    <w:p w14:paraId="581ADED7" w14:textId="77777777" w:rsidR="005F665E" w:rsidRPr="00050D7E" w:rsidRDefault="005F665E" w:rsidP="00A323CC">
      <w:pPr>
        <w:pStyle w:val="ListParagraph"/>
        <w:numPr>
          <w:ilvl w:val="0"/>
          <w:numId w:val="22"/>
        </w:numPr>
        <w:spacing w:after="160" w:line="360" w:lineRule="auto"/>
        <w:rPr>
          <w:rFonts w:eastAsia="Times New Roman"/>
          <w:kern w:val="2"/>
          <w:lang w:val="en-US"/>
        </w:rPr>
      </w:pPr>
      <w:r w:rsidRPr="00050D7E">
        <w:rPr>
          <w:rFonts w:eastAsia="Times New Roman"/>
          <w:kern w:val="2"/>
          <w:lang w:val="en-US"/>
        </w:rPr>
        <w:t>Different categories of stakeholder may have different objectives for the UCC network.</w:t>
      </w:r>
    </w:p>
    <w:p w14:paraId="19E3CD14" w14:textId="77777777" w:rsidR="005F665E" w:rsidRPr="00050D7E" w:rsidRDefault="005F665E" w:rsidP="00A323CC">
      <w:pPr>
        <w:pStyle w:val="ListParagraph"/>
        <w:numPr>
          <w:ilvl w:val="0"/>
          <w:numId w:val="22"/>
        </w:numPr>
        <w:spacing w:after="160" w:line="360" w:lineRule="auto"/>
        <w:rPr>
          <w:rFonts w:eastAsia="Times New Roman"/>
          <w:kern w:val="2"/>
          <w:lang w:val="en-US"/>
        </w:rPr>
      </w:pPr>
      <w:r w:rsidRPr="00050D7E">
        <w:rPr>
          <w:rFonts w:eastAsia="Times New Roman"/>
          <w:kern w:val="2"/>
          <w:lang w:val="en-US"/>
        </w:rPr>
        <w:t xml:space="preserve">Private stakeholders </w:t>
      </w:r>
      <w:r>
        <w:rPr>
          <w:rFonts w:eastAsia="Times New Roman"/>
          <w:kern w:val="2"/>
          <w:lang w:val="en-US"/>
        </w:rPr>
        <w:t>do not allow their commercial benefits are harmed by UCC</w:t>
      </w:r>
      <w:r w:rsidRPr="00050D7E">
        <w:rPr>
          <w:rFonts w:eastAsia="Times New Roman"/>
          <w:kern w:val="2"/>
          <w:lang w:val="en-US"/>
        </w:rPr>
        <w:t>.</w:t>
      </w:r>
    </w:p>
    <w:p w14:paraId="533F2C1D" w14:textId="77777777" w:rsidR="005F665E" w:rsidRPr="00050D7E" w:rsidRDefault="005F665E" w:rsidP="00A323CC">
      <w:pPr>
        <w:pStyle w:val="ListParagraph"/>
        <w:numPr>
          <w:ilvl w:val="0"/>
          <w:numId w:val="22"/>
        </w:numPr>
        <w:spacing w:after="160" w:line="360" w:lineRule="auto"/>
        <w:rPr>
          <w:rFonts w:eastAsia="Times New Roman"/>
          <w:kern w:val="2"/>
          <w:lang w:val="en-US"/>
        </w:rPr>
      </w:pPr>
      <w:r w:rsidRPr="00050D7E">
        <w:rPr>
          <w:rFonts w:eastAsia="Times New Roman"/>
          <w:kern w:val="2"/>
          <w:lang w:val="en-US"/>
        </w:rPr>
        <w:t xml:space="preserve">There is a lack of communication between stakeholders. </w:t>
      </w:r>
    </w:p>
    <w:p w14:paraId="398C490D" w14:textId="77777777" w:rsidR="005F665E" w:rsidRPr="00050D7E" w:rsidRDefault="005F665E" w:rsidP="00A323CC">
      <w:pPr>
        <w:pStyle w:val="ListParagraph"/>
        <w:numPr>
          <w:ilvl w:val="0"/>
          <w:numId w:val="22"/>
        </w:numPr>
        <w:spacing w:after="160" w:line="360" w:lineRule="auto"/>
        <w:rPr>
          <w:rFonts w:eastAsia="Times New Roman"/>
          <w:kern w:val="2"/>
          <w:lang w:val="en-US"/>
        </w:rPr>
      </w:pPr>
      <w:r>
        <w:t>It is difficult to measure the progress of UCC in the field of SUL</w:t>
      </w:r>
      <w:r w:rsidRPr="00050D7E">
        <w:t xml:space="preserve">. </w:t>
      </w:r>
    </w:p>
    <w:p w14:paraId="55DB3C81" w14:textId="77777777" w:rsidR="005F665E" w:rsidRPr="00050D7E" w:rsidRDefault="005F665E" w:rsidP="00A323CC">
      <w:pPr>
        <w:pStyle w:val="ListParagraph"/>
        <w:numPr>
          <w:ilvl w:val="0"/>
          <w:numId w:val="22"/>
        </w:numPr>
        <w:spacing w:after="160" w:line="360" w:lineRule="auto"/>
        <w:rPr>
          <w:rFonts w:eastAsia="Times New Roman"/>
          <w:kern w:val="2"/>
          <w:lang w:val="en-US"/>
        </w:rPr>
      </w:pPr>
      <w:r w:rsidRPr="00050D7E">
        <w:t>Conflicts are caused by operational issues.</w:t>
      </w:r>
    </w:p>
    <w:p w14:paraId="56AD1753" w14:textId="77777777" w:rsidR="005F665E" w:rsidRPr="00050D7E" w:rsidRDefault="005F665E" w:rsidP="00AD50EA">
      <w:pPr>
        <w:spacing w:line="360" w:lineRule="auto"/>
        <w:rPr>
          <w:rFonts w:eastAsia="Times New Roman"/>
          <w:kern w:val="2"/>
          <w:lang w:val="en-US"/>
        </w:rPr>
      </w:pPr>
      <w:r w:rsidRPr="00050D7E">
        <w:rPr>
          <w:rFonts w:eastAsia="Times New Roman"/>
          <w:kern w:val="2"/>
          <w:lang w:val="en-US"/>
        </w:rPr>
        <w:t xml:space="preserve">To give an example of the first in this list: in Case 1, the preference of KTH is the reverse of those of other stakeholders because its focus is technical innovation, rather than practical issues, which are </w:t>
      </w:r>
      <w:proofErr w:type="spellStart"/>
      <w:r w:rsidRPr="00050D7E">
        <w:rPr>
          <w:rFonts w:eastAsia="Times New Roman"/>
          <w:kern w:val="2"/>
          <w:lang w:val="en-US"/>
        </w:rPr>
        <w:t>prioritised</w:t>
      </w:r>
      <w:proofErr w:type="spellEnd"/>
      <w:r w:rsidRPr="00050D7E">
        <w:rPr>
          <w:rFonts w:eastAsia="Times New Roman"/>
          <w:kern w:val="2"/>
          <w:lang w:val="en-US"/>
        </w:rPr>
        <w:t xml:space="preserve"> by other stakeholders (see </w:t>
      </w:r>
      <w:r>
        <w:rPr>
          <w:rFonts w:eastAsia="Times New Roman"/>
          <w:kern w:val="2"/>
          <w:lang w:val="en-US"/>
        </w:rPr>
        <w:fldChar w:fldCharType="begin"/>
      </w:r>
      <w:r>
        <w:rPr>
          <w:rFonts w:eastAsia="Times New Roman"/>
          <w:kern w:val="2"/>
          <w:lang w:val="en-US"/>
        </w:rPr>
        <w:instrText xml:space="preserve"> REF _Ref38905993 \h </w:instrText>
      </w:r>
      <w:r>
        <w:rPr>
          <w:rFonts w:eastAsia="Times New Roman"/>
          <w:kern w:val="2"/>
          <w:lang w:val="en-US"/>
        </w:rPr>
      </w:r>
      <w:r>
        <w:rPr>
          <w:rFonts w:eastAsia="Times New Roman"/>
          <w:kern w:val="2"/>
          <w:lang w:val="en-US"/>
        </w:rPr>
        <w:fldChar w:fldCharType="separate"/>
      </w:r>
      <w:r>
        <w:t xml:space="preserve">Table </w:t>
      </w:r>
      <w:r>
        <w:rPr>
          <w:noProof/>
        </w:rPr>
        <w:t>6</w:t>
      </w:r>
      <w:r>
        <w:noBreakHyphen/>
      </w:r>
      <w:r>
        <w:rPr>
          <w:noProof/>
        </w:rPr>
        <w:t>3</w:t>
      </w:r>
      <w:r>
        <w:rPr>
          <w:rFonts w:eastAsia="Times New Roman"/>
          <w:kern w:val="2"/>
          <w:lang w:val="en-US"/>
        </w:rPr>
        <w:fldChar w:fldCharType="end"/>
      </w:r>
      <w:r w:rsidRPr="00050D7E">
        <w:rPr>
          <w:rFonts w:eastAsia="Times New Roman"/>
          <w:kern w:val="2"/>
          <w:lang w:val="en-US"/>
        </w:rPr>
        <w:t>). In Case 2, the disagreement between UPM and DRS arises from the latter’s concern with the long-term development of the RSUCC</w:t>
      </w:r>
      <w:r w:rsidRPr="00050D7E">
        <w:rPr>
          <w:rFonts w:eastAsia="Times New Roman" w:hint="eastAsia"/>
          <w:kern w:val="2"/>
          <w:lang w:val="en-US"/>
        </w:rPr>
        <w:t>,</w:t>
      </w:r>
      <w:r w:rsidRPr="00050D7E">
        <w:rPr>
          <w:rFonts w:eastAsia="Times New Roman"/>
          <w:kern w:val="2"/>
          <w:lang w:val="en-US"/>
        </w:rPr>
        <w:t xml:space="preserve"> </w:t>
      </w:r>
      <w:r w:rsidRPr="00050D7E">
        <w:rPr>
          <w:rFonts w:eastAsia="Times New Roman" w:hint="eastAsia"/>
          <w:kern w:val="2"/>
          <w:lang w:val="en-US"/>
        </w:rPr>
        <w:t>while</w:t>
      </w:r>
      <w:r w:rsidRPr="00050D7E">
        <w:rPr>
          <w:rFonts w:eastAsia="Times New Roman"/>
          <w:kern w:val="2"/>
          <w:lang w:val="en-US"/>
        </w:rPr>
        <w:t xml:space="preserve"> UPM believes its main responsibility is to </w:t>
      </w:r>
      <w:proofErr w:type="spellStart"/>
      <w:r w:rsidRPr="00050D7E">
        <w:rPr>
          <w:rFonts w:eastAsia="Times New Roman"/>
          <w:kern w:val="2"/>
          <w:lang w:val="en-US"/>
        </w:rPr>
        <w:t>optimise</w:t>
      </w:r>
      <w:proofErr w:type="spellEnd"/>
      <w:r w:rsidRPr="00050D7E">
        <w:rPr>
          <w:rFonts w:eastAsia="Times New Roman"/>
          <w:kern w:val="2"/>
          <w:lang w:val="en-US"/>
        </w:rPr>
        <w:t xml:space="preserve"> the UCC operation. For example, in relation to the ISUR indicator:</w:t>
      </w:r>
    </w:p>
    <w:p w14:paraId="4964ABA9" w14:textId="77777777" w:rsidR="005F665E" w:rsidRPr="00050D7E" w:rsidRDefault="005F665E" w:rsidP="008F2E51">
      <w:pPr>
        <w:widowControl w:val="0"/>
        <w:spacing w:after="240" w:line="240" w:lineRule="auto"/>
        <w:ind w:left="720"/>
        <w:rPr>
          <w:rFonts w:eastAsia="等线"/>
          <w:kern w:val="2"/>
        </w:rPr>
      </w:pPr>
      <w:r w:rsidRPr="00050D7E">
        <w:rPr>
          <w:rFonts w:eastAsia="等线"/>
          <w:kern w:val="2"/>
          <w:lang w:val="en-US"/>
        </w:rPr>
        <w:t xml:space="preserve">Operator (Rank 5): </w:t>
      </w:r>
      <w:r w:rsidRPr="00050D7E">
        <w:rPr>
          <w:rFonts w:eastAsia="等线"/>
          <w:i/>
          <w:iCs/>
          <w:kern w:val="2"/>
          <w:lang w:val="en-US"/>
        </w:rPr>
        <w:t>Our warehouse is not fully in use. Many spaces are empty. The materials [stored]</w:t>
      </w:r>
      <w:r w:rsidRPr="00050D7E">
        <w:rPr>
          <w:rFonts w:eastAsia="等线"/>
          <w:i/>
          <w:iCs/>
          <w:kern w:val="2"/>
        </w:rPr>
        <w:t xml:space="preserve"> in the warehouse are less than [we planned], we </w:t>
      </w:r>
      <w:proofErr w:type="gramStart"/>
      <w:r w:rsidRPr="00050D7E">
        <w:rPr>
          <w:rFonts w:eastAsia="等线"/>
          <w:i/>
          <w:iCs/>
          <w:kern w:val="2"/>
        </w:rPr>
        <w:t>don’t</w:t>
      </w:r>
      <w:proofErr w:type="gramEnd"/>
      <w:r w:rsidRPr="00050D7E">
        <w:rPr>
          <w:rFonts w:eastAsia="等线"/>
          <w:i/>
          <w:iCs/>
          <w:kern w:val="2"/>
        </w:rPr>
        <w:t xml:space="preserve"> have a large number of deliveries each day.</w:t>
      </w:r>
    </w:p>
    <w:p w14:paraId="361A4A70" w14:textId="77777777" w:rsidR="005F665E" w:rsidRPr="00050D7E" w:rsidRDefault="005F665E" w:rsidP="008F2E51">
      <w:pPr>
        <w:spacing w:after="240" w:line="240" w:lineRule="auto"/>
        <w:ind w:left="720"/>
        <w:rPr>
          <w:rFonts w:eastAsia="等线"/>
          <w:i/>
          <w:iCs/>
          <w:kern w:val="2"/>
          <w:lang w:val="en-US"/>
        </w:rPr>
      </w:pPr>
      <w:r w:rsidRPr="00050D7E">
        <w:rPr>
          <w:rFonts w:eastAsia="等线"/>
          <w:kern w:val="2"/>
          <w:lang w:val="en-US"/>
        </w:rPr>
        <w:lastRenderedPageBreak/>
        <w:t xml:space="preserve">Sponsor (Rank 15): </w:t>
      </w:r>
      <w:r w:rsidRPr="00050D7E">
        <w:rPr>
          <w:rFonts w:eastAsia="等线"/>
          <w:i/>
          <w:iCs/>
          <w:kern w:val="2"/>
          <w:lang w:val="en-US"/>
        </w:rPr>
        <w:t>Warehouse</w:t>
      </w:r>
      <w:r w:rsidRPr="00050D7E">
        <w:rPr>
          <w:rFonts w:eastAsia="等线"/>
          <w:kern w:val="2"/>
          <w:lang w:val="en-US"/>
        </w:rPr>
        <w:t xml:space="preserve"> </w:t>
      </w:r>
      <w:r w:rsidRPr="00050D7E">
        <w:rPr>
          <w:rFonts w:eastAsia="等线"/>
          <w:i/>
          <w:iCs/>
          <w:kern w:val="2"/>
          <w:lang w:val="en-US"/>
        </w:rPr>
        <w:t>size is not a problem. Many of the empty spaces are prepared for the goods increasing. Goods and deliveries will increase because this site will expand.</w:t>
      </w:r>
    </w:p>
    <w:p w14:paraId="29A66E93" w14:textId="77777777" w:rsidR="005F665E" w:rsidRPr="00050D7E" w:rsidRDefault="005F665E" w:rsidP="00AD50EA">
      <w:pPr>
        <w:spacing w:line="360" w:lineRule="auto"/>
        <w:rPr>
          <w:rFonts w:eastAsia="等线"/>
          <w:kern w:val="2"/>
          <w:lang w:val="en-US"/>
        </w:rPr>
      </w:pPr>
      <w:r w:rsidRPr="00050D7E">
        <w:rPr>
          <w:rFonts w:eastAsia="等线"/>
          <w:kern w:val="2"/>
          <w:lang w:val="en-US"/>
        </w:rPr>
        <w:t xml:space="preserve">The findings of this type of conflict align with the conclusions of previous studies </w:t>
      </w:r>
      <w:r>
        <w:rPr>
          <w:rFonts w:eastAsia="等线"/>
          <w:kern w:val="2"/>
          <w:lang w:val="en-US"/>
        </w:rPr>
        <w:fldChar w:fldCharType="begin">
          <w:fldData xml:space="preserve">PEVuZE5vdGU+PENpdGU+PEF1dGhvcj5BbGxlbjwvQXV0aG9yPjxZZWFyPjIwMTI8L1llYXI+PFJl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=
</w:fldData>
        </w:fldChar>
      </w:r>
      <w:r>
        <w:rPr>
          <w:rFonts w:eastAsia="等线"/>
          <w:kern w:val="2"/>
          <w:lang w:val="en-US"/>
        </w:rPr>
        <w:instrText xml:space="preserve"> ADDIN EN.CITE </w:instrText>
      </w:r>
      <w:r>
        <w:rPr>
          <w:rFonts w:eastAsia="等线"/>
          <w:kern w:val="2"/>
          <w:lang w:val="en-US"/>
        </w:rPr>
        <w:fldChar w:fldCharType="begin">
          <w:fldData xml:space="preserve">PEVuZE5vdGU+PENpdGU+PEF1dGhvcj5BbGxlbjwvQXV0aG9yPjxZZWFyPjIwMTI8L1llYXI+PFJl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=
</w:fldData>
        </w:fldChar>
      </w:r>
      <w:r>
        <w:rPr>
          <w:rFonts w:eastAsia="等线"/>
          <w:kern w:val="2"/>
          <w:lang w:val="en-US"/>
        </w:rPr>
        <w:instrText xml:space="preserve"> ADDIN EN.CITE.DATA </w:instrText>
      </w:r>
      <w:r>
        <w:rPr>
          <w:rFonts w:eastAsia="等线"/>
          <w:kern w:val="2"/>
          <w:lang w:val="en-US"/>
        </w:rPr>
      </w:r>
      <w:r>
        <w:rPr>
          <w:rFonts w:eastAsia="等线"/>
          <w:kern w:val="2"/>
          <w:lang w:val="en-US"/>
        </w:rPr>
        <w:fldChar w:fldCharType="end"/>
      </w:r>
      <w:r>
        <w:rPr>
          <w:rFonts w:eastAsia="等线"/>
          <w:kern w:val="2"/>
          <w:lang w:val="en-US"/>
        </w:rPr>
      </w:r>
      <w:r>
        <w:rPr>
          <w:rFonts w:eastAsia="等线"/>
          <w:kern w:val="2"/>
          <w:lang w:val="en-US"/>
        </w:rPr>
        <w:fldChar w:fldCharType="separate"/>
      </w:r>
      <w:r>
        <w:rPr>
          <w:rFonts w:eastAsia="等线"/>
          <w:noProof/>
          <w:kern w:val="2"/>
          <w:lang w:val="en-US"/>
        </w:rPr>
        <w:t>(Allen et al., 2012, Bjerkan et al., 2014, Nordtømme et al., 2015b)</w:t>
      </w:r>
      <w:r>
        <w:rPr>
          <w:rFonts w:eastAsia="等线"/>
          <w:kern w:val="2"/>
          <w:lang w:val="en-US"/>
        </w:rPr>
        <w:fldChar w:fldCharType="end"/>
      </w:r>
      <w:r w:rsidRPr="00050D7E">
        <w:rPr>
          <w:rFonts w:eastAsia="等线"/>
          <w:kern w:val="2"/>
          <w:lang w:val="en-US"/>
        </w:rPr>
        <w:t xml:space="preserve">, which illustrate that stakeholders’ varying priorities can cause conflicts. </w:t>
      </w:r>
    </w:p>
    <w:p w14:paraId="70ECC69B" w14:textId="77777777" w:rsidR="005F665E" w:rsidRPr="00050D7E" w:rsidRDefault="005F665E" w:rsidP="00AD50EA">
      <w:pPr>
        <w:spacing w:line="360" w:lineRule="auto"/>
        <w:rPr>
          <w:rFonts w:eastAsia="等线"/>
          <w:kern w:val="2"/>
          <w:lang w:val="en-US"/>
        </w:rPr>
      </w:pPr>
      <w:r w:rsidRPr="00050D7E">
        <w:rPr>
          <w:rFonts w:eastAsia="等线"/>
          <w:kern w:val="2"/>
          <w:lang w:val="en-US"/>
        </w:rPr>
        <w:t xml:space="preserve">The second type of conflict only appeared in Case 1. This was because the two private companies did not allow their </w:t>
      </w:r>
      <w:r>
        <w:rPr>
          <w:rFonts w:eastAsia="等线" w:hint="eastAsia"/>
          <w:kern w:val="2"/>
          <w:lang w:val="en-US"/>
        </w:rPr>
        <w:t>business</w:t>
      </w:r>
      <w:r w:rsidRPr="00050D7E">
        <w:rPr>
          <w:rFonts w:eastAsia="等线"/>
          <w:kern w:val="2"/>
          <w:lang w:val="en-US"/>
        </w:rPr>
        <w:t xml:space="preserve"> to be </w:t>
      </w:r>
      <w:r>
        <w:rPr>
          <w:rFonts w:eastAsia="等线" w:hint="eastAsia"/>
          <w:kern w:val="2"/>
          <w:lang w:val="en-US"/>
        </w:rPr>
        <w:t>hurt</w:t>
      </w:r>
      <w:r w:rsidRPr="00050D7E">
        <w:rPr>
          <w:rFonts w:eastAsia="等线"/>
          <w:kern w:val="2"/>
          <w:lang w:val="en-US"/>
        </w:rPr>
        <w:t xml:space="preserve"> in a joint-venture UCC. The following comments were made in relation to the TDP indicator:</w:t>
      </w:r>
    </w:p>
    <w:p w14:paraId="468C13E8" w14:textId="77777777" w:rsidR="005F665E" w:rsidRPr="00050D7E" w:rsidRDefault="005F665E" w:rsidP="008F2E51">
      <w:pPr>
        <w:widowControl w:val="0"/>
        <w:spacing w:after="240" w:line="240" w:lineRule="auto"/>
        <w:ind w:left="720"/>
        <w:rPr>
          <w:rFonts w:eastAsia="等线"/>
          <w:kern w:val="2"/>
          <w:lang w:val="en-US"/>
        </w:rPr>
      </w:pPr>
      <w:r w:rsidRPr="00050D7E">
        <w:rPr>
          <w:rFonts w:eastAsia="等线"/>
          <w:kern w:val="2"/>
          <w:lang w:val="en-US"/>
        </w:rPr>
        <w:t xml:space="preserve">Operator (Rank 5): </w:t>
      </w:r>
      <w:r w:rsidRPr="00050D7E">
        <w:rPr>
          <w:rFonts w:eastAsia="等线"/>
          <w:i/>
          <w:iCs/>
          <w:kern w:val="2"/>
          <w:lang w:val="en-US"/>
        </w:rPr>
        <w:t xml:space="preserve">We do not allow low pay. We will lose profit if we </w:t>
      </w:r>
      <w:proofErr w:type="gramStart"/>
      <w:r w:rsidRPr="00050D7E">
        <w:rPr>
          <w:rFonts w:eastAsia="等线"/>
          <w:i/>
          <w:iCs/>
          <w:kern w:val="2"/>
          <w:lang w:val="en-US"/>
        </w:rPr>
        <w:t>don’t</w:t>
      </w:r>
      <w:proofErr w:type="gramEnd"/>
      <w:r w:rsidRPr="00050D7E">
        <w:rPr>
          <w:rFonts w:eastAsia="等线"/>
          <w:i/>
          <w:iCs/>
          <w:kern w:val="2"/>
          <w:lang w:val="en-US"/>
        </w:rPr>
        <w:t xml:space="preserve"> get </w:t>
      </w:r>
      <w:r>
        <w:rPr>
          <w:rFonts w:eastAsia="等线"/>
          <w:i/>
          <w:iCs/>
          <w:kern w:val="2"/>
          <w:lang w:val="en-US"/>
        </w:rPr>
        <w:t>(</w:t>
      </w:r>
      <w:r w:rsidRPr="00050D7E">
        <w:rPr>
          <w:rFonts w:eastAsia="等线"/>
          <w:i/>
          <w:iCs/>
          <w:kern w:val="2"/>
          <w:lang w:val="en-US"/>
        </w:rPr>
        <w:t>enough</w:t>
      </w:r>
      <w:r>
        <w:rPr>
          <w:rFonts w:eastAsia="等线"/>
          <w:i/>
          <w:iCs/>
          <w:kern w:val="2"/>
          <w:lang w:val="en-US"/>
        </w:rPr>
        <w:t>)</w:t>
      </w:r>
      <w:r w:rsidRPr="00050D7E">
        <w:rPr>
          <w:rFonts w:eastAsia="等线"/>
          <w:i/>
          <w:iCs/>
          <w:kern w:val="2"/>
          <w:lang w:val="en-US"/>
        </w:rPr>
        <w:t xml:space="preserve"> money.</w:t>
      </w:r>
    </w:p>
    <w:p w14:paraId="06E47ED5" w14:textId="77777777" w:rsidR="005F665E" w:rsidRPr="00050D7E" w:rsidRDefault="005F665E" w:rsidP="008F2E51">
      <w:pPr>
        <w:spacing w:after="240" w:line="240" w:lineRule="auto"/>
        <w:ind w:left="720"/>
        <w:rPr>
          <w:rFonts w:eastAsia="等线"/>
          <w:i/>
          <w:iCs/>
          <w:kern w:val="2"/>
          <w:lang w:val="en-US"/>
        </w:rPr>
      </w:pPr>
      <w:r w:rsidRPr="00050D7E">
        <w:rPr>
          <w:rFonts w:eastAsia="等线"/>
          <w:kern w:val="2"/>
          <w:lang w:val="en-US"/>
        </w:rPr>
        <w:t xml:space="preserve">Sponsor (Rank 15): </w:t>
      </w:r>
      <w:r w:rsidRPr="00050D7E">
        <w:rPr>
          <w:rFonts w:eastAsia="等线"/>
          <w:i/>
          <w:iCs/>
          <w:kern w:val="2"/>
          <w:lang w:val="en-US"/>
        </w:rPr>
        <w:t xml:space="preserve">The (value of) money we pay to </w:t>
      </w:r>
      <w:proofErr w:type="spellStart"/>
      <w:r w:rsidRPr="00050D7E">
        <w:rPr>
          <w:rFonts w:eastAsia="等线"/>
          <w:i/>
          <w:iCs/>
          <w:kern w:val="2"/>
          <w:lang w:val="en-US"/>
        </w:rPr>
        <w:t>Ragen</w:t>
      </w:r>
      <w:proofErr w:type="spellEnd"/>
      <w:r w:rsidRPr="00050D7E">
        <w:rPr>
          <w:rFonts w:eastAsia="等线"/>
          <w:i/>
          <w:iCs/>
          <w:kern w:val="2"/>
          <w:lang w:val="en-US"/>
        </w:rPr>
        <w:t xml:space="preserve">-Sells is </w:t>
      </w:r>
      <w:r>
        <w:rPr>
          <w:rFonts w:eastAsia="等线"/>
          <w:i/>
          <w:iCs/>
          <w:kern w:val="2"/>
          <w:lang w:val="en-US"/>
        </w:rPr>
        <w:t>(</w:t>
      </w:r>
      <w:r w:rsidRPr="00050D7E">
        <w:rPr>
          <w:rFonts w:eastAsia="等线"/>
          <w:i/>
          <w:iCs/>
          <w:kern w:val="2"/>
          <w:lang w:val="en-US"/>
        </w:rPr>
        <w:t>determined</w:t>
      </w:r>
      <w:r>
        <w:rPr>
          <w:rFonts w:eastAsia="等线"/>
          <w:i/>
          <w:iCs/>
          <w:kern w:val="2"/>
          <w:lang w:val="en-US"/>
        </w:rPr>
        <w:t>)</w:t>
      </w:r>
      <w:r w:rsidRPr="00050D7E">
        <w:rPr>
          <w:rFonts w:eastAsia="等线"/>
          <w:i/>
          <w:iCs/>
          <w:kern w:val="2"/>
          <w:lang w:val="en-US"/>
        </w:rPr>
        <w:t xml:space="preserve"> through negotiation. They agree with the price; my company pays according to the invoice. The money we pay to </w:t>
      </w:r>
      <w:proofErr w:type="spellStart"/>
      <w:r w:rsidRPr="00050D7E">
        <w:rPr>
          <w:rFonts w:eastAsia="等线"/>
          <w:i/>
          <w:iCs/>
          <w:kern w:val="2"/>
          <w:lang w:val="en-US"/>
        </w:rPr>
        <w:t>Ragen</w:t>
      </w:r>
      <w:proofErr w:type="spellEnd"/>
      <w:r w:rsidRPr="00050D7E">
        <w:rPr>
          <w:rFonts w:eastAsia="等线"/>
          <w:i/>
          <w:iCs/>
          <w:kern w:val="2"/>
          <w:lang w:val="en-US"/>
        </w:rPr>
        <w:t>-Sells is the same as we saved in this project.</w:t>
      </w:r>
    </w:p>
    <w:p w14:paraId="06E252CD" w14:textId="77777777" w:rsidR="005F665E" w:rsidRPr="00050D7E" w:rsidRDefault="005F665E" w:rsidP="008F2E51">
      <w:pPr>
        <w:widowControl w:val="0"/>
        <w:spacing w:line="360" w:lineRule="auto"/>
      </w:pPr>
      <w:r w:rsidRPr="00050D7E">
        <w:t>Regarding the third type of conflict, the findings from Case 1 illustrate that the university is not properly engaged with the UCC planning</w:t>
      </w:r>
      <w:r>
        <w:t xml:space="preserve"> to exchange the opinions with the UCC operator</w:t>
      </w:r>
      <w:r w:rsidRPr="00050D7E">
        <w:t>. As a result, the design of the new vehicle does not meet the practical requirements.</w:t>
      </w:r>
      <w:r w:rsidRPr="00050D7E">
        <w:rPr>
          <w:rFonts w:eastAsia="等线"/>
          <w:kern w:val="2"/>
          <w:lang w:val="en-US"/>
        </w:rPr>
        <w:t xml:space="preserve"> The stakeholders’ opinions on the TLR indicator reflect this conflict:</w:t>
      </w:r>
    </w:p>
    <w:p w14:paraId="338F3666" w14:textId="77777777" w:rsidR="005F665E" w:rsidRPr="00050D7E" w:rsidRDefault="005F665E" w:rsidP="008F2E51">
      <w:pPr>
        <w:widowControl w:val="0"/>
        <w:spacing w:after="240" w:line="240" w:lineRule="auto"/>
        <w:ind w:left="720"/>
        <w:rPr>
          <w:rFonts w:eastAsia="等线"/>
          <w:kern w:val="2"/>
          <w:lang w:val="en-US"/>
        </w:rPr>
      </w:pPr>
      <w:r w:rsidRPr="00050D7E">
        <w:rPr>
          <w:rFonts w:eastAsia="等线"/>
          <w:kern w:val="2"/>
          <w:lang w:val="en-US"/>
        </w:rPr>
        <w:t xml:space="preserve">Operator (Rank 2): </w:t>
      </w:r>
      <w:r w:rsidRPr="00050D7E">
        <w:rPr>
          <w:rFonts w:eastAsia="等线"/>
          <w:i/>
          <w:iCs/>
          <w:kern w:val="2"/>
          <w:lang w:val="en-US"/>
        </w:rPr>
        <w:t>The container is narrow and long. We cannot load enough packages in each delivery.</w:t>
      </w:r>
      <w:r w:rsidRPr="00050D7E">
        <w:rPr>
          <w:rFonts w:eastAsia="等线"/>
          <w:kern w:val="2"/>
          <w:lang w:val="en-US"/>
        </w:rPr>
        <w:t xml:space="preserve"> </w:t>
      </w:r>
    </w:p>
    <w:p w14:paraId="1826BC2D" w14:textId="77777777" w:rsidR="005F665E" w:rsidRPr="00050D7E" w:rsidRDefault="005F665E" w:rsidP="008F2E51">
      <w:pPr>
        <w:widowControl w:val="0"/>
        <w:spacing w:after="240" w:line="240" w:lineRule="auto"/>
        <w:ind w:left="720"/>
        <w:rPr>
          <w:rFonts w:eastAsia="等线"/>
          <w:i/>
          <w:iCs/>
          <w:kern w:val="2"/>
          <w:lang w:val="en-US"/>
        </w:rPr>
      </w:pPr>
      <w:r w:rsidRPr="00050D7E">
        <w:rPr>
          <w:rFonts w:eastAsia="等线"/>
          <w:kern w:val="2"/>
          <w:lang w:val="en-US"/>
        </w:rPr>
        <w:t xml:space="preserve">KTH (Rank 10): </w:t>
      </w:r>
      <w:proofErr w:type="spellStart"/>
      <w:r w:rsidRPr="00050D7E">
        <w:rPr>
          <w:rFonts w:eastAsia="等线"/>
          <w:i/>
          <w:iCs/>
          <w:kern w:val="2"/>
          <w:lang w:val="en-US"/>
        </w:rPr>
        <w:t>Ragen</w:t>
      </w:r>
      <w:proofErr w:type="spellEnd"/>
      <w:r w:rsidRPr="00050D7E">
        <w:rPr>
          <w:rFonts w:eastAsia="等线"/>
          <w:i/>
          <w:iCs/>
          <w:kern w:val="2"/>
          <w:lang w:val="en-US"/>
        </w:rPr>
        <w:t>-Sells has reported this to us. We were not aware of this issue when we designed this truck. We did not pay much attention to the container size.</w:t>
      </w:r>
    </w:p>
    <w:p w14:paraId="210DCB03" w14:textId="77777777" w:rsidR="005F665E" w:rsidRPr="00050D7E" w:rsidRDefault="005F665E" w:rsidP="00AD50EA">
      <w:pPr>
        <w:widowControl w:val="0"/>
        <w:spacing w:after="200" w:line="360" w:lineRule="auto"/>
      </w:pPr>
      <w:r w:rsidRPr="00050D7E">
        <w:t>In Case 2, communicat</w:t>
      </w:r>
      <w:r>
        <w:t xml:space="preserve">ing </w:t>
      </w:r>
      <w:r w:rsidRPr="00050D7E">
        <w:t xml:space="preserve">issues </w:t>
      </w:r>
      <w:r>
        <w:t xml:space="preserve">are caused by </w:t>
      </w:r>
      <w:r w:rsidRPr="007C1373">
        <w:t>sponsor's</w:t>
      </w:r>
      <w:r>
        <w:t xml:space="preserve"> insufficient investigation about UCC</w:t>
      </w:r>
      <w:r w:rsidRPr="00050D7E">
        <w:t>. For example, the following comments were made in relation to the TLR indicators:</w:t>
      </w:r>
    </w:p>
    <w:p w14:paraId="29320291" w14:textId="77777777" w:rsidR="005F665E" w:rsidRPr="00050D7E" w:rsidRDefault="005F665E" w:rsidP="00111BBE">
      <w:pPr>
        <w:widowControl w:val="0"/>
        <w:spacing w:after="240" w:line="240" w:lineRule="auto"/>
        <w:ind w:left="720"/>
        <w:rPr>
          <w:rFonts w:eastAsia="等线"/>
          <w:i/>
          <w:iCs/>
          <w:kern w:val="2"/>
          <w:lang w:val="en-US"/>
        </w:rPr>
      </w:pPr>
      <w:r w:rsidRPr="00050D7E">
        <w:rPr>
          <w:rFonts w:eastAsia="等线"/>
          <w:kern w:val="2"/>
          <w:lang w:val="en-US"/>
        </w:rPr>
        <w:t xml:space="preserve">Operator (Rank 1): </w:t>
      </w:r>
      <w:r w:rsidRPr="00050D7E">
        <w:rPr>
          <w:rFonts w:eastAsia="等线"/>
          <w:i/>
          <w:iCs/>
          <w:kern w:val="2"/>
          <w:lang w:val="en-US"/>
        </w:rPr>
        <w:t xml:space="preserve">Our work is to increase the truck loading. We merge more goods in one delivery (so) we can deliver more goods in each trip. (Therefore,) we can deliver more goods in a day. </w:t>
      </w:r>
    </w:p>
    <w:p w14:paraId="7E992B4C" w14:textId="77777777" w:rsidR="005F665E" w:rsidRPr="00050D7E" w:rsidRDefault="005F665E" w:rsidP="00AD50EA">
      <w:pPr>
        <w:widowControl w:val="0"/>
        <w:spacing w:line="240" w:lineRule="auto"/>
        <w:ind w:left="720"/>
        <w:rPr>
          <w:rFonts w:eastAsia="等线"/>
          <w:i/>
          <w:iCs/>
          <w:kern w:val="2"/>
          <w:lang w:val="en-US"/>
        </w:rPr>
      </w:pPr>
      <w:r w:rsidRPr="00050D7E">
        <w:rPr>
          <w:rFonts w:eastAsia="等线"/>
          <w:kern w:val="2"/>
          <w:lang w:val="en-US"/>
        </w:rPr>
        <w:t xml:space="preserve">Sponsor (Rank 10): </w:t>
      </w:r>
      <w:r w:rsidRPr="00050D7E">
        <w:rPr>
          <w:rFonts w:eastAsia="等线"/>
          <w:i/>
          <w:iCs/>
          <w:kern w:val="2"/>
          <w:lang w:val="en-US"/>
        </w:rPr>
        <w:t xml:space="preserve">I </w:t>
      </w:r>
      <w:proofErr w:type="gramStart"/>
      <w:r w:rsidRPr="00050D7E">
        <w:rPr>
          <w:rFonts w:eastAsia="等线"/>
          <w:i/>
          <w:iCs/>
          <w:kern w:val="2"/>
          <w:lang w:val="en-US"/>
        </w:rPr>
        <w:t>don’t</w:t>
      </w:r>
      <w:proofErr w:type="gramEnd"/>
      <w:r w:rsidRPr="00050D7E">
        <w:rPr>
          <w:rFonts w:eastAsia="等线"/>
          <w:i/>
          <w:iCs/>
          <w:kern w:val="2"/>
          <w:lang w:val="en-US"/>
        </w:rPr>
        <w:t xml:space="preserve"> know how they use these trucks; I have no data about the truck loading rate.</w:t>
      </w:r>
    </w:p>
    <w:p w14:paraId="551EEC68" w14:textId="77777777" w:rsidR="005F665E" w:rsidRPr="00050D7E" w:rsidRDefault="005F665E" w:rsidP="008F2E51">
      <w:pPr>
        <w:widowControl w:val="0"/>
        <w:spacing w:before="240" w:line="360" w:lineRule="auto"/>
      </w:pPr>
      <w:r w:rsidRPr="00050D7E">
        <w:t>In addition, as noted by the LAs in Case 1 and Case 2, the</w:t>
      </w:r>
      <w:r w:rsidRPr="00050D7E">
        <w:rPr>
          <w:rFonts w:hint="eastAsia"/>
        </w:rPr>
        <w:t>se</w:t>
      </w:r>
      <w:r w:rsidRPr="00050D7E">
        <w:t xml:space="preserve"> LAs are not experts in logistics operations or UCC management (an issue also reported by </w:t>
      </w:r>
      <w:r w:rsidRPr="00050D7E">
        <w:rPr>
          <w:noProof/>
        </w:rPr>
        <w:t>Ballantyne et al. [2013]</w:t>
      </w:r>
      <w:r w:rsidRPr="00050D7E">
        <w:t>).</w:t>
      </w:r>
    </w:p>
    <w:p w14:paraId="1E603DE8" w14:textId="77777777" w:rsidR="005F665E" w:rsidRPr="00050D7E" w:rsidRDefault="005F665E" w:rsidP="00AD50EA">
      <w:pPr>
        <w:widowControl w:val="0"/>
        <w:spacing w:line="240" w:lineRule="auto"/>
        <w:ind w:left="720"/>
        <w:rPr>
          <w:rFonts w:eastAsia="等线"/>
          <w:kern w:val="2"/>
          <w:lang w:val="en-US"/>
        </w:rPr>
      </w:pPr>
      <w:r w:rsidRPr="00050D7E">
        <w:rPr>
          <w:rFonts w:eastAsia="等线"/>
          <w:kern w:val="2"/>
          <w:lang w:val="en-US"/>
        </w:rPr>
        <w:t xml:space="preserve">Stockholm </w:t>
      </w:r>
      <w:proofErr w:type="spellStart"/>
      <w:r w:rsidRPr="00050D7E">
        <w:rPr>
          <w:rFonts w:eastAsia="等线"/>
          <w:kern w:val="2"/>
          <w:lang w:val="en-US"/>
        </w:rPr>
        <w:t>Stad</w:t>
      </w:r>
      <w:proofErr w:type="spellEnd"/>
      <w:r w:rsidRPr="00050D7E">
        <w:rPr>
          <w:rFonts w:eastAsia="等线"/>
          <w:kern w:val="2"/>
          <w:lang w:val="en-US"/>
        </w:rPr>
        <w:t xml:space="preserve"> (Case 1): </w:t>
      </w:r>
      <w:r w:rsidRPr="00050D7E">
        <w:rPr>
          <w:rFonts w:eastAsia="等线"/>
          <w:i/>
          <w:iCs/>
          <w:kern w:val="2"/>
          <w:lang w:val="en-US"/>
        </w:rPr>
        <w:t>Our department is responsible for urban transportation planning. We did not know much about the operations (of</w:t>
      </w:r>
      <w:r>
        <w:rPr>
          <w:rFonts w:eastAsia="等线"/>
          <w:i/>
          <w:iCs/>
          <w:kern w:val="2"/>
          <w:lang w:val="en-US"/>
        </w:rPr>
        <w:t xml:space="preserve"> </w:t>
      </w:r>
      <w:r w:rsidRPr="00050D7E">
        <w:rPr>
          <w:rFonts w:eastAsia="等线"/>
          <w:i/>
          <w:iCs/>
          <w:kern w:val="2"/>
          <w:lang w:val="en-US"/>
        </w:rPr>
        <w:t>logistics), such as goods sorting, warehouse (management).</w:t>
      </w:r>
    </w:p>
    <w:p w14:paraId="6D33A4E0" w14:textId="77777777" w:rsidR="005F665E" w:rsidRPr="00050D7E" w:rsidRDefault="005F665E" w:rsidP="00AD50EA">
      <w:pPr>
        <w:widowControl w:val="0"/>
        <w:spacing w:after="200" w:line="360" w:lineRule="auto"/>
        <w:ind w:left="720"/>
        <w:rPr>
          <w:rFonts w:eastAsia="等线"/>
          <w:i/>
          <w:iCs/>
          <w:kern w:val="2"/>
          <w:lang w:val="en-US"/>
        </w:rPr>
      </w:pPr>
      <w:r w:rsidRPr="00050D7E">
        <w:rPr>
          <w:rFonts w:eastAsia="等线"/>
          <w:kern w:val="2"/>
          <w:lang w:val="en-US"/>
        </w:rPr>
        <w:t xml:space="preserve">DRS: (Case 2): </w:t>
      </w:r>
      <w:r w:rsidRPr="00050D7E">
        <w:rPr>
          <w:rFonts w:eastAsia="等线" w:hint="eastAsia"/>
          <w:i/>
          <w:iCs/>
          <w:kern w:val="2"/>
          <w:lang w:val="en-US"/>
        </w:rPr>
        <w:t>we</w:t>
      </w:r>
      <w:r w:rsidRPr="00050D7E">
        <w:rPr>
          <w:rFonts w:eastAsia="等线"/>
          <w:i/>
          <w:iCs/>
          <w:kern w:val="2"/>
          <w:lang w:val="en-US"/>
        </w:rPr>
        <w:t xml:space="preserve"> (our department) set the targets for the UCC, but I (we) do not </w:t>
      </w:r>
      <w:r w:rsidRPr="00050D7E">
        <w:rPr>
          <w:rFonts w:eastAsia="等线"/>
          <w:i/>
          <w:iCs/>
          <w:kern w:val="2"/>
          <w:lang w:val="en-US"/>
        </w:rPr>
        <w:lastRenderedPageBreak/>
        <w:t>manage the UCC.</w:t>
      </w:r>
    </w:p>
    <w:p w14:paraId="71491D08" w14:textId="77777777" w:rsidR="005F665E" w:rsidRPr="00050D7E" w:rsidRDefault="005F665E" w:rsidP="00AD50EA">
      <w:pPr>
        <w:widowControl w:val="0"/>
        <w:spacing w:after="200" w:line="360" w:lineRule="auto"/>
      </w:pPr>
      <w:r w:rsidRPr="00050D7E">
        <w:t xml:space="preserve">This prevents LAs gaining insights into the actual status of the UCC operations, which prevents them communicating effectively with operators. </w:t>
      </w:r>
    </w:p>
    <w:p w14:paraId="1CEBBF42" w14:textId="77777777" w:rsidR="005F665E" w:rsidRPr="00050D7E" w:rsidRDefault="005F665E" w:rsidP="0057500C">
      <w:pPr>
        <w:widowControl w:val="0"/>
        <w:spacing w:after="240" w:line="360" w:lineRule="auto"/>
      </w:pPr>
      <w:r w:rsidRPr="00050D7E">
        <w:t xml:space="preserve">For the fourth type of conflict, the Case 1 findings reveal a lack of </w:t>
      </w:r>
      <w:r w:rsidRPr="00050D7E">
        <w:rPr>
          <w:rFonts w:hint="eastAsia"/>
        </w:rPr>
        <w:t>adequate</w:t>
      </w:r>
      <w:r w:rsidRPr="00050D7E">
        <w:t xml:space="preserve"> measurement and evaluation of the UCCs’ real environmental and social progress. In addition, there have been limited investigations of environmental contributions. As a result, the </w:t>
      </w:r>
      <w:r w:rsidRPr="00050D7E">
        <w:rPr>
          <w:lang w:val="en-US"/>
        </w:rPr>
        <w:t>different stakeholders assess the outcomes of the facilities very differently</w:t>
      </w:r>
      <w:r w:rsidRPr="00050D7E">
        <w:rPr>
          <w:rFonts w:hint="eastAsia"/>
          <w:lang w:val="en-US"/>
        </w:rPr>
        <w:t>.</w:t>
      </w:r>
      <w:r w:rsidRPr="00050D7E">
        <w:rPr>
          <w:lang w:val="en-US"/>
        </w:rPr>
        <w:t xml:space="preserve"> </w:t>
      </w:r>
      <w:r w:rsidRPr="00050D7E">
        <w:t xml:space="preserve">The different responses of the operator and the Stockholm </w:t>
      </w:r>
      <w:proofErr w:type="spellStart"/>
      <w:r w:rsidRPr="00050D7E">
        <w:t>Stad</w:t>
      </w:r>
      <w:proofErr w:type="spellEnd"/>
      <w:r w:rsidRPr="00050D7E">
        <w:t xml:space="preserve"> to the TMUA indicator reflect this issue: </w:t>
      </w:r>
    </w:p>
    <w:p w14:paraId="1B150A7D" w14:textId="77777777" w:rsidR="005F665E" w:rsidRPr="00050D7E" w:rsidRDefault="005F665E" w:rsidP="008F2E51">
      <w:pPr>
        <w:widowControl w:val="0"/>
        <w:spacing w:after="240" w:line="240" w:lineRule="auto"/>
        <w:ind w:leftChars="300" w:left="720"/>
        <w:rPr>
          <w:rFonts w:eastAsia="等线"/>
          <w:i/>
          <w:iCs/>
          <w:kern w:val="2"/>
          <w:lang w:val="en-US"/>
        </w:rPr>
      </w:pPr>
      <w:r w:rsidRPr="00050D7E">
        <w:rPr>
          <w:rFonts w:eastAsia="等线"/>
          <w:kern w:val="2"/>
          <w:lang w:val="en-US"/>
        </w:rPr>
        <w:t xml:space="preserve">Operator (Rank 6): </w:t>
      </w:r>
      <w:r w:rsidRPr="00050D7E">
        <w:rPr>
          <w:rFonts w:eastAsia="等线"/>
          <w:i/>
          <w:iCs/>
          <w:kern w:val="2"/>
          <w:lang w:val="en-US"/>
        </w:rPr>
        <w:t xml:space="preserve">I </w:t>
      </w:r>
      <w:proofErr w:type="gramStart"/>
      <w:r w:rsidRPr="00050D7E">
        <w:rPr>
          <w:rFonts w:eastAsia="等线"/>
          <w:i/>
          <w:iCs/>
          <w:kern w:val="2"/>
          <w:lang w:val="en-US"/>
        </w:rPr>
        <w:t>don’t</w:t>
      </w:r>
      <w:proofErr w:type="gramEnd"/>
      <w:r w:rsidRPr="00050D7E">
        <w:rPr>
          <w:rFonts w:eastAsia="等线"/>
          <w:i/>
          <w:iCs/>
          <w:kern w:val="2"/>
          <w:lang w:val="en-US"/>
        </w:rPr>
        <w:t xml:space="preserve"> think this project reduces travel miles. The (service) size is small, the location of the UCC is in the middle (position), we always manually ship goods to the buildings around us. I think this is the reason we reduce the travel miles. If we use the vehicle to deliver, I think the travel mile is the same (as that of the non-consolidation model).</w:t>
      </w:r>
    </w:p>
    <w:p w14:paraId="11402A24" w14:textId="77777777" w:rsidR="005F665E" w:rsidRDefault="005F665E" w:rsidP="00F823E1">
      <w:pPr>
        <w:spacing w:after="240" w:line="240" w:lineRule="auto"/>
        <w:ind w:leftChars="300" w:left="720"/>
        <w:rPr>
          <w:rFonts w:eastAsia="等线"/>
          <w:i/>
          <w:iCs/>
          <w:kern w:val="2"/>
          <w:lang w:val="en-US"/>
        </w:rPr>
      </w:pPr>
      <w:r w:rsidRPr="00050D7E">
        <w:rPr>
          <w:rFonts w:eastAsia="等线"/>
          <w:kern w:val="2"/>
          <w:lang w:val="en-US"/>
        </w:rPr>
        <w:t xml:space="preserve">Stockholm </w:t>
      </w:r>
      <w:proofErr w:type="spellStart"/>
      <w:r w:rsidRPr="00050D7E">
        <w:rPr>
          <w:rFonts w:eastAsia="等线"/>
          <w:kern w:val="2"/>
          <w:lang w:val="en-US"/>
        </w:rPr>
        <w:t>Stad</w:t>
      </w:r>
      <w:proofErr w:type="spellEnd"/>
      <w:r w:rsidRPr="00050D7E">
        <w:rPr>
          <w:rFonts w:eastAsia="等线"/>
          <w:kern w:val="2"/>
          <w:lang w:val="en-US"/>
        </w:rPr>
        <w:t xml:space="preserve"> (Rank 3): </w:t>
      </w:r>
      <w:r w:rsidRPr="00050D7E">
        <w:rPr>
          <w:rFonts w:eastAsia="等线"/>
          <w:i/>
          <w:iCs/>
          <w:kern w:val="2"/>
          <w:lang w:val="en-US"/>
        </w:rPr>
        <w:t xml:space="preserve">I think this project reduces travel miles in the city </w:t>
      </w:r>
      <w:proofErr w:type="spellStart"/>
      <w:r w:rsidRPr="00050D7E">
        <w:rPr>
          <w:rFonts w:eastAsia="等线"/>
          <w:i/>
          <w:iCs/>
          <w:kern w:val="2"/>
          <w:lang w:val="en-US"/>
        </w:rPr>
        <w:t>centre</w:t>
      </w:r>
      <w:proofErr w:type="spellEnd"/>
      <w:r w:rsidRPr="00050D7E">
        <w:rPr>
          <w:rFonts w:eastAsia="等线"/>
          <w:i/>
          <w:iCs/>
          <w:kern w:val="2"/>
          <w:lang w:val="en-US"/>
        </w:rPr>
        <w:t xml:space="preserve">. </w:t>
      </w:r>
    </w:p>
    <w:p w14:paraId="659D5A8D" w14:textId="77777777" w:rsidR="005F665E" w:rsidRPr="00050D7E" w:rsidRDefault="005F665E" w:rsidP="0057500C">
      <w:pPr>
        <w:spacing w:after="240" w:line="360" w:lineRule="auto"/>
      </w:pPr>
      <w:r w:rsidRPr="00050D7E">
        <w:t xml:space="preserve">Case 4 showed that the </w:t>
      </w:r>
      <w:r w:rsidRPr="00050D7E">
        <w:rPr>
          <w:rFonts w:hint="eastAsia"/>
        </w:rPr>
        <w:t>n</w:t>
      </w:r>
      <w:r w:rsidRPr="00050D7E">
        <w:t xml:space="preserve">ew technology developed by the researcher had not improved operations, though the innovative devices had technically contributed to environmental and social progress. This led to different stakeholder assessments of the </w:t>
      </w:r>
      <w:r>
        <w:t xml:space="preserve">overall </w:t>
      </w:r>
      <w:r w:rsidRPr="00050D7E">
        <w:t>contributions. For example, the stakeholders had different opinions on the TTT indicator:</w:t>
      </w:r>
    </w:p>
    <w:p w14:paraId="60A7CB42" w14:textId="77777777" w:rsidR="005F665E" w:rsidRDefault="005F665E" w:rsidP="00671A6F">
      <w:pPr>
        <w:spacing w:after="240" w:line="240" w:lineRule="auto"/>
        <w:ind w:leftChars="300" w:left="720"/>
        <w:rPr>
          <w:rFonts w:eastAsia="等线"/>
          <w:i/>
          <w:iCs/>
          <w:kern w:val="2"/>
          <w:lang w:val="en-US"/>
        </w:rPr>
      </w:pPr>
      <w:r w:rsidRPr="00050D7E">
        <w:rPr>
          <w:rFonts w:eastAsia="等线"/>
          <w:kern w:val="2"/>
          <w:lang w:val="en-US"/>
        </w:rPr>
        <w:t>WHUT (Rank 3):</w:t>
      </w:r>
      <w:r w:rsidRPr="00050D7E">
        <w:rPr>
          <w:rFonts w:eastAsia="等线"/>
          <w:i/>
          <w:iCs/>
          <w:kern w:val="2"/>
          <w:lang w:val="en-US"/>
        </w:rPr>
        <w:t xml:space="preserve"> TTT is another main target of our study. This project is intended to help the drivers to avoid traffic congestion to reduce the vehicle’s travel time. Currently, the research result is acceptable. It can reduce the delivery by about 20 minutes.</w:t>
      </w:r>
    </w:p>
    <w:p w14:paraId="202D7C5E" w14:textId="77777777" w:rsidR="005F665E" w:rsidRPr="00050D7E" w:rsidRDefault="005F665E" w:rsidP="00671A6F">
      <w:pPr>
        <w:widowControl w:val="0"/>
        <w:spacing w:after="240" w:line="240" w:lineRule="auto"/>
        <w:ind w:leftChars="300" w:left="720"/>
        <w:rPr>
          <w:rFonts w:eastAsia="等线"/>
          <w:i/>
          <w:iCs/>
          <w:kern w:val="2"/>
          <w:lang w:val="en-US"/>
        </w:rPr>
      </w:pPr>
      <w:r w:rsidRPr="00050D7E">
        <w:rPr>
          <w:rFonts w:eastAsia="等线"/>
          <w:kern w:val="2"/>
          <w:lang w:val="en-US"/>
        </w:rPr>
        <w:t xml:space="preserve">Sponsor (Rank 12): </w:t>
      </w:r>
      <w:r w:rsidRPr="00050D7E">
        <w:rPr>
          <w:rFonts w:eastAsia="等线"/>
          <w:i/>
          <w:iCs/>
          <w:kern w:val="2"/>
          <w:lang w:val="en-US"/>
        </w:rPr>
        <w:t>Each delivery trip takes an average of 3-5 hours. The delivery time did not change much (after joining the project).</w:t>
      </w:r>
    </w:p>
    <w:p w14:paraId="0C08F061" w14:textId="77777777" w:rsidR="005F665E" w:rsidRPr="00050D7E" w:rsidRDefault="005F665E" w:rsidP="0057500C">
      <w:pPr>
        <w:widowControl w:val="0"/>
        <w:spacing w:before="240" w:after="200" w:line="240" w:lineRule="auto"/>
        <w:rPr>
          <w:rFonts w:eastAsia="等线"/>
          <w:kern w:val="2"/>
          <w:lang w:val="en-US"/>
        </w:rPr>
      </w:pPr>
      <w:r w:rsidRPr="00050D7E">
        <w:rPr>
          <w:rFonts w:eastAsia="等线"/>
          <w:kern w:val="2"/>
          <w:lang w:val="en-US"/>
        </w:rPr>
        <w:t>Conversely, Table 1</w:t>
      </w:r>
      <w:r>
        <w:rPr>
          <w:rFonts w:eastAsia="等线"/>
          <w:kern w:val="2"/>
          <w:lang w:val="en-US"/>
        </w:rPr>
        <w:t>4</w:t>
      </w:r>
      <w:r w:rsidRPr="00050D7E">
        <w:rPr>
          <w:rFonts w:eastAsia="等线"/>
          <w:kern w:val="2"/>
          <w:lang w:val="en-US"/>
        </w:rPr>
        <w:t xml:space="preserve"> reveals that the preference of WHUT is consistent with that of the operator. This may be because the research activities are well embedded in the goods-shipping process.</w:t>
      </w:r>
    </w:p>
    <w:p w14:paraId="4DFA5EA1" w14:textId="77777777" w:rsidR="005F665E" w:rsidRPr="00F34428" w:rsidRDefault="005F665E" w:rsidP="00AD50EA">
      <w:pPr>
        <w:widowControl w:val="0"/>
        <w:spacing w:after="200" w:line="240" w:lineRule="auto"/>
        <w:ind w:left="720"/>
        <w:rPr>
          <w:rFonts w:eastAsia="等线"/>
          <w:i/>
          <w:iCs/>
          <w:kern w:val="2"/>
          <w:lang w:val="en-US"/>
        </w:rPr>
      </w:pPr>
      <w:r w:rsidRPr="00050D7E">
        <w:rPr>
          <w:rFonts w:eastAsia="等线"/>
          <w:kern w:val="2"/>
          <w:lang w:val="en-US"/>
        </w:rPr>
        <w:t xml:space="preserve">WHUT: </w:t>
      </w:r>
      <w:r w:rsidRPr="00050D7E">
        <w:rPr>
          <w:rFonts w:eastAsia="等线"/>
          <w:i/>
          <w:iCs/>
          <w:kern w:val="2"/>
          <w:lang w:val="en-US"/>
        </w:rPr>
        <w:t>Our students will monitor the goods delivery process in the city during our experiment. We will observe the delivery with the drivers to evaluate the performance of this new system.</w:t>
      </w:r>
    </w:p>
    <w:p w14:paraId="190D1278" w14:textId="77777777" w:rsidR="005F665E" w:rsidRPr="00050D7E" w:rsidRDefault="005F665E" w:rsidP="00AD50EA">
      <w:pPr>
        <w:widowControl w:val="0"/>
        <w:spacing w:after="200" w:line="360" w:lineRule="auto"/>
      </w:pPr>
      <w:r w:rsidRPr="00050D7E">
        <w:t xml:space="preserve">The final type of conflict reported by stakeholders in Cases 2, 3, and 4 related to </w:t>
      </w:r>
      <w:r w:rsidRPr="00050D7E">
        <w:rPr>
          <w:rFonts w:hint="eastAsia"/>
        </w:rPr>
        <w:t>impediment</w:t>
      </w:r>
      <w:r w:rsidRPr="00050D7E">
        <w:t xml:space="preserve">s in the logistics profile (as defined by </w:t>
      </w:r>
      <w:proofErr w:type="spellStart"/>
      <w:r w:rsidRPr="00050D7E">
        <w:t>Macário</w:t>
      </w:r>
      <w:proofErr w:type="spellEnd"/>
      <w:r w:rsidRPr="00050D7E">
        <w:t xml:space="preserve"> et al. [2011]: e.g., </w:t>
      </w:r>
      <w:r w:rsidRPr="00050D7E">
        <w:rPr>
          <w:rFonts w:hint="eastAsia"/>
        </w:rPr>
        <w:t>the</w:t>
      </w:r>
      <w:r w:rsidRPr="00050D7E">
        <w:t xml:space="preserve"> goods properties, urban spatial restriction, and types of consumer, etc.) that the UCC cannot address. As a result, it is difficult for the operator to meet the performance requirements of the sponsor. </w:t>
      </w:r>
      <w:r w:rsidRPr="00050D7E">
        <w:rPr>
          <w:rFonts w:hint="eastAsia"/>
        </w:rPr>
        <w:t>In</w:t>
      </w:r>
      <w:r w:rsidRPr="00050D7E">
        <w:t xml:space="preserve"> </w:t>
      </w:r>
      <w:r w:rsidRPr="00050D7E">
        <w:rPr>
          <w:rFonts w:hint="eastAsia"/>
        </w:rPr>
        <w:t>Case</w:t>
      </w:r>
      <w:r w:rsidRPr="00050D7E">
        <w:t xml:space="preserve"> </w:t>
      </w:r>
      <w:r w:rsidRPr="00050D7E">
        <w:rPr>
          <w:rFonts w:hint="eastAsia"/>
        </w:rPr>
        <w:t>2</w:t>
      </w:r>
      <w:r w:rsidRPr="00050D7E">
        <w:t>, the stakeholders said they had not known at the project planning</w:t>
      </w:r>
      <w:r w:rsidRPr="00050D7E" w:rsidDel="00D429A0">
        <w:t xml:space="preserve"> </w:t>
      </w:r>
      <w:r w:rsidRPr="00050D7E">
        <w:t xml:space="preserve">stage that the construction </w:t>
      </w:r>
      <w:r w:rsidRPr="00050D7E">
        <w:lastRenderedPageBreak/>
        <w:t>materials could be fragile, and this had led to the operational difficulties. For example, the following comments were made in relation to the DAR indicator:</w:t>
      </w:r>
    </w:p>
    <w:p w14:paraId="258A401D" w14:textId="77777777" w:rsidR="005F665E" w:rsidRPr="00050D7E" w:rsidRDefault="005F665E" w:rsidP="0057500C">
      <w:pPr>
        <w:widowControl w:val="0"/>
        <w:spacing w:before="240" w:line="240" w:lineRule="auto"/>
        <w:ind w:leftChars="300" w:left="720"/>
        <w:rPr>
          <w:rFonts w:eastAsia="等线"/>
          <w:i/>
          <w:iCs/>
          <w:kern w:val="2"/>
          <w:lang w:val="en-US"/>
        </w:rPr>
      </w:pPr>
      <w:r w:rsidRPr="00050D7E">
        <w:rPr>
          <w:rFonts w:eastAsia="等线"/>
          <w:kern w:val="2"/>
          <w:lang w:val="en-US"/>
        </w:rPr>
        <w:t xml:space="preserve">Operator (Rank 8): </w:t>
      </w:r>
      <w:r w:rsidRPr="00050D7E">
        <w:rPr>
          <w:rFonts w:eastAsia="等线"/>
          <w:i/>
          <w:iCs/>
          <w:kern w:val="2"/>
          <w:lang w:val="en-US"/>
        </w:rPr>
        <w:t xml:space="preserve">We did poorly in this case before. We </w:t>
      </w:r>
      <w:proofErr w:type="gramStart"/>
      <w:r w:rsidRPr="00050D7E">
        <w:rPr>
          <w:rFonts w:eastAsia="等线"/>
          <w:i/>
          <w:iCs/>
          <w:kern w:val="2"/>
          <w:lang w:val="en-US"/>
        </w:rPr>
        <w:t>don’t</w:t>
      </w:r>
      <w:proofErr w:type="gramEnd"/>
      <w:r w:rsidRPr="00050D7E">
        <w:rPr>
          <w:rFonts w:eastAsia="等线"/>
          <w:i/>
          <w:iCs/>
          <w:kern w:val="2"/>
          <w:lang w:val="en-US"/>
        </w:rPr>
        <w:t xml:space="preserve"> have a lot of damage now. We have done a lot of work to improve it. </w:t>
      </w:r>
    </w:p>
    <w:p w14:paraId="43CA6D0E" w14:textId="77777777" w:rsidR="005F665E" w:rsidRPr="00050D7E" w:rsidRDefault="005F665E" w:rsidP="0057500C">
      <w:pPr>
        <w:widowControl w:val="0"/>
        <w:spacing w:before="240" w:after="200" w:line="240" w:lineRule="auto"/>
        <w:ind w:leftChars="300" w:left="720"/>
        <w:rPr>
          <w:rFonts w:eastAsia="等线"/>
          <w:i/>
          <w:iCs/>
          <w:kern w:val="2"/>
          <w:lang w:val="en-US"/>
        </w:rPr>
      </w:pPr>
      <w:r w:rsidRPr="00050D7E">
        <w:rPr>
          <w:rFonts w:eastAsia="等线"/>
          <w:i/>
          <w:iCs/>
          <w:kern w:val="2"/>
          <w:lang w:val="en-US"/>
        </w:rPr>
        <w:t>Sponsor (Rank 12): This problem is caused by goods-sorting in the warehouse. Some kinds of material are easy to damage. I know this issue – (construction) companies have reported this issue to me. I have told the UCC to reduce the damage. It is their responsibility.</w:t>
      </w:r>
    </w:p>
    <w:p w14:paraId="47C687BB" w14:textId="77777777" w:rsidR="005F665E" w:rsidRPr="00050D7E" w:rsidRDefault="005F665E" w:rsidP="00AD50EA">
      <w:pPr>
        <w:widowControl w:val="0"/>
        <w:spacing w:after="200" w:line="360" w:lineRule="auto"/>
      </w:pPr>
      <w:r w:rsidRPr="00050D7E">
        <w:t>Another reason for this issue is the lack of accurate pre-evaluation for changes in the logistics profile. As illustrated by the operators in Case 3, urbanisation leads to the rapid growth of logistics demand, and this is not adequately recognised during UCC planning. As a result, the existing configurations (e.g., platform numbers, human resources) cannot meet the high-volume logistics demanding, which restricts goods-handling efficiency. In addition, delivery efficiency can be restricted by urban morphology. Taking Case 3 as an example, the planned parking zones in commercial areas are continually occupied by other users, which forces drivers to park illegally to avoid delays.</w:t>
      </w:r>
    </w:p>
    <w:p w14:paraId="2651DC03" w14:textId="77777777" w:rsidR="005F665E" w:rsidRPr="00261EF9" w:rsidRDefault="005F665E" w:rsidP="00BA0B57">
      <w:pPr>
        <w:pStyle w:val="Heading2"/>
        <w:spacing w:after="120"/>
      </w:pPr>
      <w:r w:rsidRPr="00261EF9">
        <w:t xml:space="preserve"> </w:t>
      </w:r>
      <w:bookmarkStart w:id="997" w:name="_Toc46053484"/>
      <w:bookmarkStart w:id="998" w:name="_Toc46093398"/>
      <w:bookmarkStart w:id="999" w:name="_Toc46093681"/>
      <w:bookmarkStart w:id="1000" w:name="_Toc66703257"/>
      <w:r w:rsidRPr="00261EF9">
        <w:t>Discussion and implications</w:t>
      </w:r>
      <w:bookmarkEnd w:id="997"/>
      <w:bookmarkEnd w:id="998"/>
      <w:bookmarkEnd w:id="999"/>
      <w:bookmarkEnd w:id="1000"/>
    </w:p>
    <w:p w14:paraId="237832C1" w14:textId="77777777" w:rsidR="00636B60" w:rsidRDefault="00636B60" w:rsidP="008F2E51">
      <w:pPr>
        <w:widowControl w:val="0"/>
        <w:spacing w:after="200" w:line="360" w:lineRule="auto"/>
      </w:pPr>
      <w:bookmarkStart w:id="1001" w:name="_Toc46053485"/>
      <w:bookmarkStart w:id="1002" w:name="_Toc46093399"/>
      <w:bookmarkStart w:id="1003" w:name="_Toc46093682"/>
      <w:bookmarkEnd w:id="970"/>
      <w:r>
        <w:t xml:space="preserve">This research uses a mixed methods approach to evaluate the divergency between UCC-stakeholder preferences. These quantitative results can be applied to help planners better understand the extent of this divergence, while the qualitative results clarify the reasons for it. In this way, initiators (e.g., LAs and private companies) can implement </w:t>
      </w:r>
      <w:r w:rsidRPr="0010511B">
        <w:t xml:space="preserve">conflict resolution </w:t>
      </w:r>
      <w:r>
        <w:t xml:space="preserve">strategies that prioritise the handling of the various </w:t>
      </w:r>
      <w:r w:rsidRPr="0010511B">
        <w:t>conflict</w:t>
      </w:r>
      <w:r>
        <w:t>s according to their respective severity. According to the cross-case analysis, this research has also produced useful findings that could help to reduce conflict between UCC participants.</w:t>
      </w:r>
    </w:p>
    <w:p w14:paraId="553FCDDC" w14:textId="77777777" w:rsidR="00636B60" w:rsidRDefault="00636B60" w:rsidP="008F2E51">
      <w:pPr>
        <w:widowControl w:val="0"/>
        <w:spacing w:after="200" w:line="360" w:lineRule="auto"/>
        <w:rPr>
          <w:lang w:val="en-US"/>
        </w:rPr>
      </w:pPr>
      <w:r>
        <w:t xml:space="preserve">The first key finding is that stakeholder conflicts during the operations stage can be avoided if researchers properly engage in the planning process. As shown in </w:t>
      </w:r>
      <w:r>
        <w:fldChar w:fldCharType="begin"/>
      </w:r>
      <w:r>
        <w:instrText xml:space="preserve"> REF _Ref45625078 \h </w:instrText>
      </w:r>
      <w:r>
        <w:fldChar w:fldCharType="separate"/>
      </w:r>
      <w:r>
        <w:t xml:space="preserve">Table </w:t>
      </w:r>
      <w:r>
        <w:rPr>
          <w:noProof/>
        </w:rPr>
        <w:t>6</w:t>
      </w:r>
      <w:r>
        <w:noBreakHyphen/>
      </w:r>
      <w:r>
        <w:rPr>
          <w:noProof/>
        </w:rPr>
        <w:t>11</w:t>
      </w:r>
      <w:r>
        <w:fldChar w:fldCharType="end"/>
      </w:r>
      <w:r>
        <w:t xml:space="preserve">, the objectives of universities are often not aligned with those of other public or private stakeholders. This is because researchers separate themselves from the planning work, or act as the ‘equipment provider’. As a result, some innovative devices developed based on testing in the UCC do not reflect practical requirements and may even create inefficiencies in the </w:t>
      </w:r>
      <w:r w:rsidRPr="00BB3D71">
        <w:rPr>
          <w:lang w:val="en-US"/>
        </w:rPr>
        <w:t xml:space="preserve">operation. </w:t>
      </w:r>
      <w:r>
        <w:rPr>
          <w:lang w:val="en-US"/>
        </w:rPr>
        <w:t>To</w:t>
      </w:r>
      <w:r w:rsidRPr="00BB3D71">
        <w:rPr>
          <w:lang w:val="en-US"/>
        </w:rPr>
        <w:t xml:space="preserve"> mitigate </w:t>
      </w:r>
      <w:r>
        <w:rPr>
          <w:lang w:val="en-US"/>
        </w:rPr>
        <w:t xml:space="preserve">this </w:t>
      </w:r>
      <w:r w:rsidRPr="00BB3D71">
        <w:rPr>
          <w:lang w:val="en-US"/>
        </w:rPr>
        <w:t xml:space="preserve">issue, </w:t>
      </w:r>
      <w:r>
        <w:rPr>
          <w:lang w:val="en-US"/>
        </w:rPr>
        <w:t>researchers should be engaged with the project from the p</w:t>
      </w:r>
      <w:r w:rsidRPr="00BB3D71">
        <w:rPr>
          <w:lang w:val="en-US"/>
        </w:rPr>
        <w:t>reparatory stage</w:t>
      </w:r>
      <w:r>
        <w:rPr>
          <w:lang w:val="en-US"/>
        </w:rPr>
        <w:t>, sharing their views with other stakeholders. I</w:t>
      </w:r>
      <w:r>
        <w:rPr>
          <w:rFonts w:hint="eastAsia"/>
          <w:lang w:val="en-US"/>
        </w:rPr>
        <w:t>n</w:t>
      </w:r>
      <w:r>
        <w:rPr>
          <w:lang w:val="en-US"/>
        </w:rPr>
        <w:t xml:space="preserve"> </w:t>
      </w:r>
      <w:r>
        <w:rPr>
          <w:rFonts w:hint="eastAsia"/>
          <w:lang w:val="en-US"/>
        </w:rPr>
        <w:t>addition,</w:t>
      </w:r>
      <w:r>
        <w:rPr>
          <w:lang w:val="en-US"/>
        </w:rPr>
        <w:t xml:space="preserve"> researchers should participate in the operations to integrate the research procedures into the logistics activities, where possible adjusting the </w:t>
      </w:r>
      <w:r>
        <w:rPr>
          <w:lang w:val="en-US"/>
        </w:rPr>
        <w:lastRenderedPageBreak/>
        <w:t>research targets to meet the needs of the operator. Lastly, instead of only displaying achievement in the paper or report, appropriate dissemination approaches about the UCC’s contributions (such as public service advertisement, workshop and, documentary, etc.) should be designed to allow all stakeholders can better understanding the values created by the UCC.</w:t>
      </w:r>
    </w:p>
    <w:p w14:paraId="0BC95029" w14:textId="77777777" w:rsidR="00636B60" w:rsidRPr="00EF48C8" w:rsidRDefault="00636B60" w:rsidP="008F2E51">
      <w:pPr>
        <w:widowControl w:val="0"/>
        <w:spacing w:after="200" w:line="360" w:lineRule="auto"/>
      </w:pPr>
      <w:r>
        <w:t>The second key finding is that effective communication channels between stakeholders can prevent conflicts. As shown in Case 1, a</w:t>
      </w:r>
      <w:r w:rsidRPr="00C83456">
        <w:t xml:space="preserve">lthough there are </w:t>
      </w:r>
      <w:r>
        <w:t>two</w:t>
      </w:r>
      <w:r w:rsidRPr="00C83456">
        <w:t xml:space="preserve"> categories of conflicts </w:t>
      </w:r>
      <w:r>
        <w:t xml:space="preserve">(conflicts caused by first and second reasons) </w:t>
      </w:r>
      <w:r w:rsidRPr="00C83456">
        <w:t xml:space="preserve">between </w:t>
      </w:r>
      <w:r>
        <w:t xml:space="preserve">the two private </w:t>
      </w:r>
      <w:r w:rsidRPr="00C83456">
        <w:t>stakeholders, the quantitative result</w:t>
      </w:r>
      <w:r>
        <w:t>s</w:t>
      </w:r>
      <w:r w:rsidRPr="00C83456">
        <w:t xml:space="preserve"> </w:t>
      </w:r>
      <w:r w:rsidRPr="00050D7E">
        <w:t xml:space="preserve">reveal a positive correlation between the concerns of these stakeholders. This distinction between the quantitative and qualitative results is due to a communication channel constructed by the LA, which allows the LA and the two private companies to exchange their opinions and concerns to mitigate conflicts. This result aligns with the findings of </w:t>
      </w:r>
      <w:r>
        <w:fldChar w:fldCharType="begin">
          <w:fldData xml:space="preserve">PEVuZE5vdGU+PENpdGU+PEF1dGhvcj5NYWNoYXJpczwvQXV0aG9yPjxZZWFyPjIwMTc8L1llYXI+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</w:fldData>
        </w:fldChar>
      </w:r>
      <w:r>
        <w:instrText xml:space="preserve"> ADDIN EN.CITE </w:instrText>
      </w:r>
      <w:r>
        <w:fldChar w:fldCharType="begin">
          <w:fldData xml:space="preserve">PEVuZE5vdGU+PENpdGU+PEF1dGhvcj5NYWNoYXJpczwvQXV0aG9yPjxZZWFyPjIwMTc8L1llYXI+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</w:fldData>
        </w:fldChar>
      </w:r>
      <w:r>
        <w:instrText xml:space="preserve"> ADDIN EN.CITE.DATA </w:instrText>
      </w:r>
      <w:r>
        <w:fldChar w:fldCharType="end"/>
      </w:r>
      <w:r>
        <w:fldChar w:fldCharType="separate"/>
      </w:r>
      <w:r>
        <w:rPr>
          <w:noProof/>
        </w:rPr>
        <w:t>(Macharis and Kin, 2017)</w:t>
      </w:r>
      <w:r>
        <w:fldChar w:fldCharType="end"/>
      </w:r>
      <w:r>
        <w:t>,</w:t>
      </w:r>
      <w:r w:rsidRPr="00C83456">
        <w:t xml:space="preserve"> </w:t>
      </w:r>
      <w:r>
        <w:t xml:space="preserve">who conclude </w:t>
      </w:r>
      <w:r w:rsidRPr="00C83456">
        <w:t xml:space="preserve">that exhaustive consultation </w:t>
      </w:r>
      <w:r w:rsidRPr="00C83456">
        <w:rPr>
          <w:rFonts w:hint="eastAsia"/>
        </w:rPr>
        <w:t>between</w:t>
      </w:r>
      <w:r w:rsidRPr="00C83456">
        <w:t xml:space="preserve"> stakeholders is needed for decision-maker</w:t>
      </w:r>
      <w:r>
        <w:t>s</w:t>
      </w:r>
      <w:r w:rsidRPr="00C83456">
        <w:t xml:space="preserve"> to understand the priorities of </w:t>
      </w:r>
      <w:r>
        <w:t>all parties</w:t>
      </w:r>
      <w:r w:rsidRPr="00C83456">
        <w:t>.</w:t>
      </w:r>
      <w:r w:rsidRPr="00050D7E">
        <w:rPr>
          <w:rFonts w:hint="eastAsia"/>
        </w:rPr>
        <w:t xml:space="preserve"> </w:t>
      </w:r>
      <w:r w:rsidRPr="00050D7E">
        <w:t xml:space="preserve">Based on the findings of Case 2, </w:t>
      </w:r>
      <w:r>
        <w:t>this research</w:t>
      </w:r>
      <w:r w:rsidRPr="00050D7E">
        <w:t xml:space="preserve"> suggest</w:t>
      </w:r>
      <w:r>
        <w:t>s</w:t>
      </w:r>
      <w:r w:rsidRPr="00050D7E">
        <w:t xml:space="preserve"> that, in</w:t>
      </w:r>
      <w:r>
        <w:rPr>
          <w:lang w:val="en-US"/>
        </w:rPr>
        <w:t xml:space="preserve"> a public funded UCC, the public authorities should regularly inspect the UCC operation, rather than formulating a business objective in the office and remaining far away from the real-world operation. Periodic consultations between the LA and the operator will allow the operator to provide the LA with the feedback it needs to remain informed of the UCC’s practical status. This measure could prevent public stakeholders formulating inappropriate business targets that create problems for the UCC operation. </w:t>
      </w:r>
    </w:p>
    <w:p w14:paraId="4514E333" w14:textId="77777777" w:rsidR="00636B60" w:rsidRPr="005A6B66" w:rsidRDefault="00636B60" w:rsidP="008F2E51">
      <w:pPr>
        <w:widowControl w:val="0"/>
        <w:spacing w:after="200" w:line="360" w:lineRule="auto"/>
      </w:pPr>
      <w:r>
        <w:rPr>
          <w:lang w:val="en-US"/>
        </w:rPr>
        <w:t xml:space="preserve">The third finding is that a lower </w:t>
      </w:r>
      <w:r w:rsidRPr="00803C02">
        <w:rPr>
          <w:lang w:val="en-US"/>
        </w:rPr>
        <w:t xml:space="preserve">number of </w:t>
      </w:r>
      <w:r>
        <w:rPr>
          <w:lang w:val="en-US"/>
        </w:rPr>
        <w:t>participants</w:t>
      </w:r>
      <w:r w:rsidRPr="00803C02">
        <w:rPr>
          <w:lang w:val="en-US"/>
        </w:rPr>
        <w:t xml:space="preserve"> would ease conflict</w:t>
      </w:r>
      <w:r>
        <w:rPr>
          <w:lang w:val="en-US"/>
        </w:rPr>
        <w:t xml:space="preserve"> during the operations. Case 3 reported </w:t>
      </w:r>
      <w:r>
        <w:t xml:space="preserve">a significant correlation between the views of the different stakeholders (see </w:t>
      </w:r>
      <w:r>
        <w:fldChar w:fldCharType="begin"/>
      </w:r>
      <w:r>
        <w:instrText xml:space="preserve"> REF _Ref46397323 \h </w:instrText>
      </w:r>
      <w:r>
        <w:fldChar w:fldCharType="separate"/>
      </w:r>
      <w:r>
        <w:t xml:space="preserve">Table </w:t>
      </w:r>
      <w:r>
        <w:rPr>
          <w:noProof/>
        </w:rPr>
        <w:t>6</w:t>
      </w:r>
      <w:r>
        <w:noBreakHyphen/>
      </w:r>
      <w:r>
        <w:rPr>
          <w:noProof/>
        </w:rPr>
        <w:t>13</w:t>
      </w:r>
      <w:r>
        <w:fldChar w:fldCharType="end"/>
      </w:r>
      <w:r>
        <w:t xml:space="preserve">). Conversely, Case 2 and Case 4 illustrate that it is easily generate disagreement between sponsor and operator </w:t>
      </w:r>
      <w:r w:rsidRPr="00345B45">
        <w:t>if they are not come from the same organisati</w:t>
      </w:r>
      <w:r>
        <w:t xml:space="preserve">on. Such </w:t>
      </w:r>
      <w:proofErr w:type="gramStart"/>
      <w:r>
        <w:t>evidences</w:t>
      </w:r>
      <w:proofErr w:type="gramEnd"/>
      <w:r>
        <w:t xml:space="preserve"> indicate that stakeholders can easily agree on common targets if they represent the same organisation. Therefore, i</w:t>
      </w:r>
      <w:r w:rsidRPr="009F587C">
        <w:t xml:space="preserve">nternal conflicts can be avoided </w:t>
      </w:r>
      <w:r>
        <w:t xml:space="preserve">if stakeholders are </w:t>
      </w:r>
      <w:r w:rsidRPr="009F587C">
        <w:t>independently organi</w:t>
      </w:r>
      <w:r>
        <w:t>s</w:t>
      </w:r>
      <w:r w:rsidRPr="009F587C">
        <w:t xml:space="preserve">ing </w:t>
      </w:r>
      <w:r>
        <w:t xml:space="preserve">the </w:t>
      </w:r>
      <w:r w:rsidRPr="009F587C">
        <w:t>UCC</w:t>
      </w:r>
      <w:r>
        <w:t xml:space="preserve"> facility. Where conditions are sufficiently profitable, </w:t>
      </w:r>
      <w:r>
        <w:rPr>
          <w:rFonts w:hint="eastAsia"/>
        </w:rPr>
        <w:t>planners</w:t>
      </w:r>
      <w:r>
        <w:t xml:space="preserve"> could authorise companies to invest in and operate UCCs alone. </w:t>
      </w:r>
    </w:p>
    <w:p w14:paraId="4D5CFF1B" w14:textId="77777777" w:rsidR="00636B60" w:rsidRPr="00CC7D21" w:rsidRDefault="00636B60" w:rsidP="008F2E51">
      <w:pPr>
        <w:spacing w:line="360" w:lineRule="auto"/>
      </w:pPr>
      <w:r w:rsidRPr="005A6B66">
        <w:t xml:space="preserve">The last finding is that logistics profiles should be comprehensively investigated during the planning stage. Logistics profiles may </w:t>
      </w:r>
      <w:r>
        <w:t xml:space="preserve">create </w:t>
      </w:r>
      <w:r w:rsidRPr="005A6B66">
        <w:t>conflicts between sponsor</w:t>
      </w:r>
      <w:r>
        <w:t>s</w:t>
      </w:r>
      <w:r w:rsidRPr="005A6B66">
        <w:t xml:space="preserve"> and operator</w:t>
      </w:r>
      <w:r>
        <w:t>s</w:t>
      </w:r>
      <w:r w:rsidRPr="00CC7D21">
        <w:t xml:space="preserve"> </w:t>
      </w:r>
      <w:r w:rsidRPr="005A6B66">
        <w:t xml:space="preserve">when </w:t>
      </w:r>
      <w:r>
        <w:t xml:space="preserve">they create </w:t>
      </w:r>
      <w:r w:rsidRPr="005A6B66">
        <w:t xml:space="preserve">operational issues </w:t>
      </w:r>
      <w:r>
        <w:t>that threaten</w:t>
      </w:r>
      <w:r w:rsidRPr="005A6B66">
        <w:t xml:space="preserve"> service quality. </w:t>
      </w:r>
      <w:r>
        <w:t xml:space="preserve">To prevent this, </w:t>
      </w:r>
      <w:r w:rsidRPr="005A6B66">
        <w:t>wide-rang</w:t>
      </w:r>
      <w:r>
        <w:t>ing</w:t>
      </w:r>
      <w:r w:rsidRPr="005A6B66">
        <w:t xml:space="preserve"> investigation</w:t>
      </w:r>
      <w:r>
        <w:t>s</w:t>
      </w:r>
      <w:r w:rsidRPr="005A6B66">
        <w:t xml:space="preserve"> and pre-assessment</w:t>
      </w:r>
      <w:r>
        <w:t>s</w:t>
      </w:r>
      <w:r w:rsidRPr="005A6B66" w:rsidDel="00152049">
        <w:t xml:space="preserve"> </w:t>
      </w:r>
      <w:r w:rsidRPr="005A6B66">
        <w:t xml:space="preserve">should be conducted by planners to </w:t>
      </w:r>
      <w:r>
        <w:t xml:space="preserve">gather comprehensive </w:t>
      </w:r>
      <w:r w:rsidRPr="005A6B66">
        <w:t>insight</w:t>
      </w:r>
      <w:r>
        <w:t>s</w:t>
      </w:r>
      <w:r w:rsidRPr="005A6B66">
        <w:t xml:space="preserve"> </w:t>
      </w:r>
      <w:r w:rsidRPr="00CC7D21">
        <w:t>into</w:t>
      </w:r>
      <w:r w:rsidRPr="005A6B66">
        <w:t xml:space="preserve"> the logistics risk that </w:t>
      </w:r>
      <w:r>
        <w:t xml:space="preserve">could </w:t>
      </w:r>
      <w:r w:rsidRPr="005A6B66">
        <w:t>confront</w:t>
      </w:r>
      <w:r>
        <w:t xml:space="preserve"> the </w:t>
      </w:r>
      <w:r w:rsidRPr="005A6B66">
        <w:t>UCC.</w:t>
      </w:r>
      <w:r w:rsidRPr="00CC7D21">
        <w:t xml:space="preserve"> </w:t>
      </w:r>
    </w:p>
    <w:p w14:paraId="03B39803" w14:textId="22AC7701" w:rsidR="00636B60" w:rsidRPr="00261EF9" w:rsidRDefault="00636B60" w:rsidP="00BA0B57">
      <w:pPr>
        <w:pStyle w:val="Heading2"/>
        <w:spacing w:after="120"/>
      </w:pPr>
      <w:bookmarkStart w:id="1004" w:name="_Toc66703258"/>
      <w:bookmarkEnd w:id="1001"/>
      <w:bookmarkEnd w:id="1002"/>
      <w:bookmarkEnd w:id="1003"/>
      <w:r>
        <w:rPr>
          <w:rFonts w:hint="eastAsia"/>
        </w:rPr>
        <w:lastRenderedPageBreak/>
        <w:t>Chapter</w:t>
      </w:r>
      <w:r>
        <w:t xml:space="preserve"> </w:t>
      </w:r>
      <w:r>
        <w:rPr>
          <w:rFonts w:hint="eastAsia"/>
        </w:rPr>
        <w:t>Summary</w:t>
      </w:r>
      <w:bookmarkEnd w:id="1004"/>
    </w:p>
    <w:p w14:paraId="4A04EA2A" w14:textId="3FEC5072" w:rsidR="00BB2459" w:rsidRDefault="00BB2459" w:rsidP="00EC2BE5">
      <w:pPr>
        <w:spacing w:after="240" w:line="360" w:lineRule="auto"/>
      </w:pPr>
      <w:r w:rsidRPr="006067B3">
        <w:t xml:space="preserve">This research has investigated </w:t>
      </w:r>
      <w:r>
        <w:t xml:space="preserve">the </w:t>
      </w:r>
      <w:r w:rsidRPr="006067B3">
        <w:t xml:space="preserve">focus and priorities </w:t>
      </w:r>
      <w:r>
        <w:t xml:space="preserve">of </w:t>
      </w:r>
      <w:r w:rsidRPr="006067B3">
        <w:t xml:space="preserve">stakeholders </w:t>
      </w:r>
      <w:r>
        <w:t xml:space="preserve">in relation to </w:t>
      </w:r>
      <w:r w:rsidRPr="006067B3">
        <w:t xml:space="preserve">the performance of </w:t>
      </w:r>
      <w:r>
        <w:t>UCCs</w:t>
      </w:r>
      <w:r w:rsidRPr="006067B3">
        <w:t xml:space="preserve"> in the context of SUL.</w:t>
      </w:r>
      <w:r w:rsidRPr="003D07A3">
        <w:t xml:space="preserve"> </w:t>
      </w:r>
      <w:r>
        <w:t xml:space="preserve">In the first stage, an AHP-based approach </w:t>
      </w:r>
      <w:r w:rsidRPr="003D07A3">
        <w:t xml:space="preserve">was implemented to elicit </w:t>
      </w:r>
      <w:r>
        <w:t xml:space="preserve">the </w:t>
      </w:r>
      <w:r w:rsidRPr="003D07A3">
        <w:t>stakeholders’ preferences</w:t>
      </w:r>
      <w:r>
        <w:t>.</w:t>
      </w:r>
      <w:r w:rsidRPr="003D07A3">
        <w:t xml:space="preserve"> </w:t>
      </w:r>
      <w:r>
        <w:t xml:space="preserve">This </w:t>
      </w:r>
      <w:r w:rsidRPr="003D07A3">
        <w:t xml:space="preserve">produced </w:t>
      </w:r>
      <w:r>
        <w:t xml:space="preserve">a </w:t>
      </w:r>
      <w:r w:rsidRPr="003D07A3">
        <w:t>ranking of indicators</w:t>
      </w:r>
      <w:r>
        <w:t>, which</w:t>
      </w:r>
      <w:r w:rsidRPr="003D07A3">
        <w:t xml:space="preserve"> was then analysed </w:t>
      </w:r>
      <w:r>
        <w:t xml:space="preserve">using </w:t>
      </w:r>
      <w:r w:rsidRPr="003D07A3">
        <w:t xml:space="preserve">statistical indexes to measure their correlation. </w:t>
      </w:r>
      <w:r>
        <w:t xml:space="preserve">Using </w:t>
      </w:r>
      <w:r w:rsidRPr="003D07A3">
        <w:t>these methods</w:t>
      </w:r>
      <w:r>
        <w:t>,</w:t>
      </w:r>
      <w:r w:rsidRPr="003D07A3">
        <w:t xml:space="preserve"> it was possible </w:t>
      </w:r>
      <w:r>
        <w:t xml:space="preserve">to </w:t>
      </w:r>
      <w:r w:rsidRPr="003D07A3">
        <w:t>highlight and measur</w:t>
      </w:r>
      <w:r>
        <w:t>e</w:t>
      </w:r>
      <w:r w:rsidRPr="003D07A3">
        <w:t xml:space="preserve"> the </w:t>
      </w:r>
      <w:r>
        <w:t xml:space="preserve">various </w:t>
      </w:r>
      <w:r w:rsidRPr="003D07A3">
        <w:t xml:space="preserve">priorities and interests </w:t>
      </w:r>
      <w:r>
        <w:t xml:space="preserve">of the </w:t>
      </w:r>
      <w:r w:rsidRPr="003D07A3">
        <w:t>UCC stakeholders</w:t>
      </w:r>
      <w:r>
        <w:t>.</w:t>
      </w:r>
      <w:r w:rsidRPr="003D07A3">
        <w:t xml:space="preserve"> </w:t>
      </w:r>
      <w:r>
        <w:t>S</w:t>
      </w:r>
      <w:r w:rsidRPr="003D07A3">
        <w:t xml:space="preserve">uch differences are often </w:t>
      </w:r>
      <w:r>
        <w:t xml:space="preserve">cited </w:t>
      </w:r>
      <w:r w:rsidRPr="003D07A3">
        <w:t xml:space="preserve">as </w:t>
      </w:r>
      <w:r>
        <w:t>a key challenge to implementing SUL</w:t>
      </w:r>
      <w:r w:rsidRPr="003D07A3">
        <w:t xml:space="preserve"> solutions</w:t>
      </w:r>
      <w:r>
        <w:t>.</w:t>
      </w:r>
      <w:r w:rsidRPr="003D07A3">
        <w:t xml:space="preserve"> </w:t>
      </w:r>
      <w:r w:rsidR="008541D1">
        <w:t>This study conducts</w:t>
      </w:r>
      <w:r>
        <w:t xml:space="preserve"> a quantitative approach to explore the types of conflict caused by divergent stakeholder preferences, as revealed by a thematic analysis. The proposed improvements in </w:t>
      </w:r>
      <w:r w:rsidRPr="003D07A3">
        <w:t>engagement method</w:t>
      </w:r>
      <w:r>
        <w:t>s</w:t>
      </w:r>
      <w:r w:rsidRPr="003D07A3">
        <w:t xml:space="preserve"> could help decision-makers to forecast potential conflicts when establishing new UCC</w:t>
      </w:r>
      <w:r>
        <w:t>s</w:t>
      </w:r>
      <w:r w:rsidRPr="003D07A3">
        <w:t xml:space="preserve">. Future research </w:t>
      </w:r>
      <w:r>
        <w:t xml:space="preserve">should take larger </w:t>
      </w:r>
      <w:r w:rsidRPr="003D07A3">
        <w:t>sample</w:t>
      </w:r>
      <w:r>
        <w:t>s</w:t>
      </w:r>
      <w:r w:rsidRPr="003D07A3">
        <w:t xml:space="preserve"> of stakeholders</w:t>
      </w:r>
      <w:r>
        <w:t>, including parties such as suppliers and consumers. This could provide decision-makers with more comprehensive insights into different stakeholder attitudes, thus more effectively addressing the conflicts to which they give rise.</w:t>
      </w:r>
    </w:p>
    <w:p w14:paraId="4768E2C4" w14:textId="77777777" w:rsidR="00A73599" w:rsidRDefault="00A73599" w:rsidP="00EC2BE5">
      <w:pPr>
        <w:spacing w:after="240"/>
        <w:rPr>
          <w:rFonts w:eastAsiaTheme="majorEastAsia" w:cs="Times New Roman"/>
          <w:b/>
          <w:bCs/>
          <w:color w:val="1F4E79" w:themeColor="accent1" w:themeShade="80"/>
          <w:kern w:val="44"/>
          <w:sz w:val="44"/>
          <w:szCs w:val="32"/>
        </w:rPr>
      </w:pPr>
      <w:bookmarkStart w:id="1005" w:name="_Toc34734563"/>
      <w:r>
        <w:rPr>
          <w:rFonts w:cs="Times New Roman"/>
        </w:rPr>
        <w:br w:type="page"/>
      </w:r>
    </w:p>
    <w:p w14:paraId="185D07FA" w14:textId="66AEBF1B" w:rsidR="002373D2" w:rsidRDefault="002373D2" w:rsidP="002E0262">
      <w:pPr>
        <w:pStyle w:val="Heading1"/>
        <w:spacing w:after="240" w:afterAutospacing="0"/>
        <w:jc w:val="left"/>
        <w:rPr>
          <w:rFonts w:cs="Times New Roman"/>
        </w:rPr>
      </w:pPr>
      <w:bookmarkStart w:id="1006" w:name="_Toc46053486"/>
      <w:bookmarkStart w:id="1007" w:name="_Toc46093400"/>
      <w:bookmarkStart w:id="1008" w:name="_Toc46093683"/>
      <w:bookmarkStart w:id="1009" w:name="_Ref47024200"/>
      <w:bookmarkStart w:id="1010" w:name="_Toc66703259"/>
      <w:r w:rsidRPr="00737239">
        <w:rPr>
          <w:rFonts w:cs="Times New Roman"/>
        </w:rPr>
        <w:lastRenderedPageBreak/>
        <w:t xml:space="preserve">A </w:t>
      </w:r>
      <w:r w:rsidR="00DA4498">
        <w:rPr>
          <w:rFonts w:cs="Times New Roman"/>
        </w:rPr>
        <w:t>g</w:t>
      </w:r>
      <w:r w:rsidR="00DA4498" w:rsidRPr="00737239">
        <w:rPr>
          <w:rFonts w:cs="Times New Roman"/>
        </w:rPr>
        <w:t>ame</w:t>
      </w:r>
      <w:r w:rsidRPr="00737239">
        <w:rPr>
          <w:rFonts w:cs="Times New Roman"/>
        </w:rPr>
        <w:t>-</w:t>
      </w:r>
      <w:r w:rsidR="00DA4498">
        <w:rPr>
          <w:rFonts w:cs="Times New Roman"/>
        </w:rPr>
        <w:t>t</w:t>
      </w:r>
      <w:r w:rsidR="00DA4498" w:rsidRPr="00737239">
        <w:rPr>
          <w:rFonts w:cs="Times New Roman"/>
        </w:rPr>
        <w:t xml:space="preserve">heoretic </w:t>
      </w:r>
      <w:r w:rsidR="00DA4498">
        <w:rPr>
          <w:rFonts w:cs="Times New Roman"/>
        </w:rPr>
        <w:t>m</w:t>
      </w:r>
      <w:r w:rsidR="00DA4498" w:rsidRPr="00737239">
        <w:rPr>
          <w:rFonts w:cs="Times New Roman"/>
        </w:rPr>
        <w:t>ulti</w:t>
      </w:r>
      <w:r w:rsidRPr="00737239">
        <w:rPr>
          <w:rFonts w:cs="Times New Roman"/>
        </w:rPr>
        <w:t>-</w:t>
      </w:r>
      <w:r w:rsidR="00DA4498">
        <w:rPr>
          <w:rFonts w:cs="Times New Roman"/>
        </w:rPr>
        <w:t>s</w:t>
      </w:r>
      <w:r w:rsidR="00DA4498" w:rsidRPr="00737239">
        <w:rPr>
          <w:rFonts w:cs="Times New Roman"/>
        </w:rPr>
        <w:t xml:space="preserve">takeholder </w:t>
      </w:r>
      <w:r w:rsidR="00DA4498">
        <w:rPr>
          <w:rFonts w:cs="Times New Roman"/>
        </w:rPr>
        <w:t>m</w:t>
      </w:r>
      <w:r w:rsidR="00DA4498" w:rsidRPr="00737239">
        <w:rPr>
          <w:rFonts w:cs="Times New Roman"/>
        </w:rPr>
        <w:t xml:space="preserve">odel </w:t>
      </w:r>
      <w:r w:rsidRPr="00737239">
        <w:rPr>
          <w:rFonts w:cs="Times New Roman"/>
        </w:rPr>
        <w:t xml:space="preserve">for </w:t>
      </w:r>
      <w:r w:rsidR="00DA4498">
        <w:rPr>
          <w:rFonts w:cs="Times New Roman"/>
        </w:rPr>
        <w:t>f</w:t>
      </w:r>
      <w:r w:rsidR="00DA4498" w:rsidRPr="00737239">
        <w:rPr>
          <w:rFonts w:cs="Times New Roman"/>
        </w:rPr>
        <w:t xml:space="preserve">air </w:t>
      </w:r>
      <w:r w:rsidR="00DA4498">
        <w:rPr>
          <w:rFonts w:cs="Times New Roman"/>
        </w:rPr>
        <w:t>c</w:t>
      </w:r>
      <w:r w:rsidR="00DA4498" w:rsidRPr="00737239">
        <w:rPr>
          <w:rFonts w:cs="Times New Roman"/>
        </w:rPr>
        <w:t xml:space="preserve">ost </w:t>
      </w:r>
      <w:r w:rsidR="00DA4498">
        <w:rPr>
          <w:rFonts w:cs="Times New Roman"/>
        </w:rPr>
        <w:t>a</w:t>
      </w:r>
      <w:r w:rsidR="00DA4498" w:rsidRPr="00737239">
        <w:rPr>
          <w:rFonts w:cs="Times New Roman"/>
        </w:rPr>
        <w:t xml:space="preserve">llocation </w:t>
      </w:r>
      <w:r w:rsidRPr="00737239">
        <w:rPr>
          <w:rFonts w:cs="Times New Roman"/>
        </w:rPr>
        <w:t xml:space="preserve">in </w:t>
      </w:r>
      <w:bookmarkEnd w:id="1005"/>
      <w:bookmarkEnd w:id="1006"/>
      <w:bookmarkEnd w:id="1007"/>
      <w:bookmarkEnd w:id="1008"/>
      <w:r w:rsidR="00D779AC">
        <w:rPr>
          <w:rFonts w:cs="Times New Roman"/>
        </w:rPr>
        <w:t>UCC</w:t>
      </w:r>
      <w:bookmarkEnd w:id="1009"/>
      <w:r w:rsidR="005714A8">
        <w:rPr>
          <w:rStyle w:val="FootnoteReference"/>
          <w:rFonts w:cs="Times New Roman"/>
        </w:rPr>
        <w:footnoteReference w:id="2"/>
      </w:r>
      <w:bookmarkEnd w:id="1010"/>
      <w:r w:rsidRPr="00737239">
        <w:rPr>
          <w:rFonts w:cs="Times New Roman"/>
        </w:rPr>
        <w:t xml:space="preserve"> </w:t>
      </w:r>
    </w:p>
    <w:p w14:paraId="2E64CFF3" w14:textId="77777777" w:rsidR="008E00E6" w:rsidRPr="007E23EF" w:rsidRDefault="008E00E6" w:rsidP="008E00E6">
      <w:pPr>
        <w:spacing w:after="240" w:line="360" w:lineRule="auto"/>
        <w:rPr>
          <w:rFonts w:eastAsia="Times New Roman" w:cs="Times New Roman"/>
          <w:color w:val="FF0000"/>
          <w:kern w:val="2"/>
          <w:lang w:val="en-US"/>
        </w:rPr>
      </w:pPr>
      <w:r w:rsidRPr="007E23EF">
        <w:rPr>
          <w:rFonts w:cs="Times New Roman"/>
          <w:noProof/>
          <w:color w:val="FF0000"/>
        </w:rPr>
        <w:t xml:space="preserve">In Chapter 5, this study details four types of stakeholder partnerships and the potential benefits and costs of different stakeholders working together to build a UCC. Chapter 6 then uses a combined quantitative and qualitative method to evaluate the divergence of stakeholder disagreement and identify the causes of conflicts between stakeholder preferences. The research results indicate that financial benefits and issues are a primary concern of private stakeholders, who naturally seek to prevent the </w:t>
      </w:r>
      <w:r w:rsidRPr="007E23EF">
        <w:rPr>
          <w:rFonts w:eastAsia="Times New Roman" w:cs="Times New Roman"/>
          <w:color w:val="FF0000"/>
          <w:kern w:val="2"/>
          <w:lang w:val="en-US"/>
        </w:rPr>
        <w:t xml:space="preserve">UCC from harming their commercial interests in this collaborative system. </w:t>
      </w:r>
      <w:r w:rsidRPr="007E23EF">
        <w:rPr>
          <w:rFonts w:cs="Times New Roman"/>
          <w:noProof/>
          <w:color w:val="FF0000"/>
          <w:lang w:val="en-US"/>
        </w:rPr>
        <w:t xml:space="preserve">Moreover, according to the results of the reviewed studies, </w:t>
      </w:r>
      <w:r w:rsidRPr="007E23EF">
        <w:rPr>
          <w:rFonts w:cs="Times New Roman"/>
          <w:noProof/>
          <w:color w:val="FF0000"/>
        </w:rPr>
        <w:t xml:space="preserve">there are few successful UCC projects in Europe, with most failing to achieve financial sustainability. There are various reasons for this. First, unless the use of UCC facilities is mandatory for all shipments to and from an urban area, UCCs cannot usually attain </w:t>
      </w:r>
      <w:r w:rsidRPr="007E23EF">
        <w:rPr>
          <w:rFonts w:cs="Times New Roman"/>
          <w:color w:val="FF0000"/>
        </w:rPr>
        <w:t>long-term</w:t>
      </w:r>
      <w:r w:rsidRPr="007E23EF">
        <w:rPr>
          <w:rFonts w:cs="Times New Roman"/>
          <w:noProof/>
          <w:color w:val="FF0000"/>
        </w:rPr>
        <w:t xml:space="preserve"> sustainability</w:t>
      </w:r>
      <w:r w:rsidRPr="007E23EF">
        <w:rPr>
          <w:rFonts w:cs="Times New Roman"/>
          <w:color w:val="FF0000"/>
        </w:rPr>
        <w:t xml:space="preserve"> due to the relatively low </w:t>
      </w:r>
      <w:r w:rsidRPr="007E23EF">
        <w:rPr>
          <w:rFonts w:cs="Times New Roman"/>
          <w:noProof/>
          <w:color w:val="FF0000"/>
        </w:rPr>
        <w:t xml:space="preserve">volume of users who choose to subscribe to these types of projects (Janjevic and Ndiaye, 2017a). Second, a UCC network always suffers from a complicated organisational structure that involves both public and private stakeholders </w:t>
      </w:r>
      <w:r w:rsidRPr="007E23EF">
        <w:rPr>
          <w:rFonts w:cs="Times New Roman"/>
          <w:noProof/>
          <w:color w:val="FF0000"/>
        </w:rPr>
        <w:fldChar w:fldCharType="begin"/>
      </w:r>
      <w:r w:rsidRPr="007E23EF">
        <w:rPr>
          <w:rFonts w:cs="Times New Roman"/>
          <w:noProof/>
          <w:color w:val="FF0000"/>
        </w:rPr>
        <w:instrText xml:space="preserve"> ADDIN EN.CITE &lt;EndNote&gt;&lt;Cite&gt;&lt;Author&gt;Anand&lt;/Author&gt;&lt;Year&gt;2012&lt;/Year&gt;&lt;RecNum&gt;324&lt;/RecNum&gt;&lt;DisplayText&gt;(Anand et al., 2012)&lt;/DisplayText&gt;&lt;record&gt;&lt;rec-number&gt;324&lt;/rec-number&gt;&lt;foreign-keys&gt;&lt;key app="EN" db-id="pzt5ep52hsedfpeext2pdfes0w0aswaewef2" timestamp="1605188000"&gt;324&lt;/key&gt;&lt;/foreign-keys&gt;&lt;ref-type name="Journal Article"&gt;17&lt;/ref-type&gt;&lt;contributors&gt;&lt;authors&gt;&lt;author&gt;Anand, Nilesh&lt;/author&gt;&lt;author&gt;Yang, Mengchang&lt;/author&gt;&lt;author&gt;van Duin, J. H. R.&lt;/author&gt;&lt;author&gt;Tavasszy, Lori&lt;/author&gt;&lt;/authors&gt;&lt;/contributors&gt;&lt;titles&gt;&lt;title&gt;GenCLOn: An ontology for city logistics&lt;/title&gt;&lt;secondary-title&gt;Expert Systems with Applications&lt;/secondary-title&gt;&lt;/titles&gt;&lt;periodical&gt;&lt;full-title&gt;Expert Systems with Applications&lt;/full-title&gt;&lt;/periodical&gt;&lt;pages&gt;11944-11960&lt;/pages&gt;&lt;volume&gt;39&lt;/volume&gt;&lt;number&gt;15&lt;/number&gt;&lt;keywords&gt;&lt;keyword&gt;City logistics&lt;/keyword&gt;&lt;keyword&gt;Ontology&lt;/keyword&gt;&lt;keyword&gt;Agent-based modeling&lt;/keyword&gt;&lt;/keywords&gt;&lt;dates&gt;&lt;year&gt;2012&lt;/year&gt;&lt;pub-dates&gt;&lt;date&gt;2012/11/01/&lt;/date&gt;&lt;/pub-dates&gt;&lt;/dates&gt;&lt;isbn&gt;0957-4174&lt;/isbn&gt;&lt;urls&gt;&lt;related-urls&gt;&lt;url&gt;http://www.sciencedirect.com/science/article/pii/S095741741200591X&lt;/url&gt;&lt;/related-urls&gt;&lt;/urls&gt;&lt;electronic-resource-num&gt;https://doi.org/10.1016/j.eswa.2012.03.068&lt;/electronic-resource-num&gt;&lt;/record&gt;&lt;/Cite&gt;&lt;/EndNote&gt;</w:instrText>
      </w:r>
      <w:r w:rsidRPr="007E23EF">
        <w:rPr>
          <w:rFonts w:cs="Times New Roman"/>
          <w:noProof/>
          <w:color w:val="FF0000"/>
        </w:rPr>
        <w:fldChar w:fldCharType="separate"/>
      </w:r>
      <w:r w:rsidRPr="007E23EF">
        <w:rPr>
          <w:rFonts w:cs="Times New Roman"/>
          <w:noProof/>
          <w:color w:val="FF0000"/>
        </w:rPr>
        <w:t>(Anand et al., 2012)</w:t>
      </w:r>
      <w:r w:rsidRPr="007E23EF">
        <w:rPr>
          <w:rFonts w:cs="Times New Roman"/>
          <w:noProof/>
          <w:color w:val="FF0000"/>
        </w:rPr>
        <w:fldChar w:fldCharType="end"/>
      </w:r>
      <w:r w:rsidRPr="007E23EF">
        <w:rPr>
          <w:rFonts w:cs="Times New Roman"/>
          <w:noProof/>
          <w:color w:val="FF0000"/>
        </w:rPr>
        <w:t xml:space="preserve">. The various attributes and interests of the different stakeholders create heterogeneity in their behaviours and in the objectives in relation to the functioning of the UCC network </w:t>
      </w:r>
      <w:r w:rsidRPr="007E23EF">
        <w:rPr>
          <w:rFonts w:cs="Times New Roman"/>
          <w:noProof/>
          <w:color w:val="FF0000"/>
        </w:rPr>
        <w:fldChar w:fldCharType="begin">
          <w:fldData xml:space="preserve">PEVuZE5vdGU+PENpdGU+PEF1dGhvcj5UYW5pZ3VjaGk8L0F1dGhvcj48WWVhcj4yMDA1PC9ZZWFy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==
</w:fldData>
        </w:fldChar>
      </w:r>
      <w:r w:rsidRPr="007E23EF">
        <w:rPr>
          <w:rFonts w:cs="Times New Roman"/>
          <w:noProof/>
          <w:color w:val="FF0000"/>
        </w:rPr>
        <w:instrText xml:space="preserve"> ADDIN EN.CITE </w:instrText>
      </w:r>
      <w:r w:rsidRPr="007E23EF">
        <w:rPr>
          <w:rFonts w:cs="Times New Roman"/>
          <w:noProof/>
          <w:color w:val="FF0000"/>
        </w:rPr>
        <w:fldChar w:fldCharType="begin">
          <w:fldData xml:space="preserve">PEVuZE5vdGU+PENpdGU+PEF1dGhvcj5UYW5pZ3VjaGk8L0F1dGhvcj48WWVhcj4yMDA1PC9ZZWFy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==
</w:fldData>
        </w:fldChar>
      </w:r>
      <w:r w:rsidRPr="007E23EF">
        <w:rPr>
          <w:rFonts w:cs="Times New Roman"/>
          <w:noProof/>
          <w:color w:val="FF0000"/>
        </w:rPr>
        <w:instrText xml:space="preserve"> ADDIN EN.CITE.DATA </w:instrText>
      </w:r>
      <w:r w:rsidRPr="007E23EF">
        <w:rPr>
          <w:rFonts w:cs="Times New Roman"/>
          <w:noProof/>
          <w:color w:val="FF0000"/>
        </w:rPr>
      </w:r>
      <w:r w:rsidRPr="007E23EF">
        <w:rPr>
          <w:rFonts w:cs="Times New Roman"/>
          <w:noProof/>
          <w:color w:val="FF0000"/>
        </w:rPr>
        <w:fldChar w:fldCharType="end"/>
      </w:r>
      <w:r w:rsidRPr="007E23EF">
        <w:rPr>
          <w:rFonts w:cs="Times New Roman"/>
          <w:noProof/>
          <w:color w:val="FF0000"/>
        </w:rPr>
      </w:r>
      <w:r w:rsidRPr="007E23EF">
        <w:rPr>
          <w:rFonts w:cs="Times New Roman"/>
          <w:noProof/>
          <w:color w:val="FF0000"/>
        </w:rPr>
        <w:fldChar w:fldCharType="separate"/>
      </w:r>
      <w:r w:rsidRPr="007E23EF">
        <w:rPr>
          <w:rFonts w:cs="Times New Roman"/>
          <w:noProof/>
          <w:color w:val="FF0000"/>
        </w:rPr>
        <w:t>(Taniguchi and Tamagawa, 2005; Gatta and Marcucci, 2014; Marcucci et al., 2017b)</w:t>
      </w:r>
      <w:r w:rsidRPr="007E23EF">
        <w:rPr>
          <w:rFonts w:cs="Times New Roman"/>
          <w:noProof/>
          <w:color w:val="FF0000"/>
        </w:rPr>
        <w:fldChar w:fldCharType="end"/>
      </w:r>
      <w:r w:rsidRPr="007E23EF">
        <w:rPr>
          <w:rFonts w:cs="Times New Roman"/>
          <w:noProof/>
          <w:color w:val="FF0000"/>
        </w:rPr>
        <w:t xml:space="preserve">. The challenge, when conceiving solutions for freight transport, is to satisfy the interests of all stakeholders </w:t>
      </w:r>
      <w:r w:rsidRPr="007E23EF">
        <w:rPr>
          <w:rFonts w:cs="Times New Roman"/>
          <w:noProof/>
          <w:color w:val="FF0000"/>
        </w:rPr>
        <w:fldChar w:fldCharType="begin">
          <w:fldData xml:space="preserve">PEVuZE5vdGU+PENpdGU+PEF1dGhvcj5WaWVpcmE8L0F1dGhvcj48WWVhcj4yMDE1PC9ZZWFyPjxS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</w:fldData>
        </w:fldChar>
      </w:r>
      <w:r w:rsidRPr="007E23EF">
        <w:rPr>
          <w:rFonts w:cs="Times New Roman"/>
          <w:noProof/>
          <w:color w:val="FF0000"/>
        </w:rPr>
        <w:instrText xml:space="preserve"> ADDIN EN.CITE </w:instrText>
      </w:r>
      <w:r w:rsidRPr="007E23EF">
        <w:rPr>
          <w:rFonts w:cs="Times New Roman"/>
          <w:noProof/>
          <w:color w:val="FF0000"/>
        </w:rPr>
        <w:fldChar w:fldCharType="begin">
          <w:fldData xml:space="preserve">PEVuZE5vdGU+PENpdGU+PEF1dGhvcj5WaWVpcmE8L0F1dGhvcj48WWVhcj4yMDE1PC9ZZWFyPjxS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</w:fldData>
        </w:fldChar>
      </w:r>
      <w:r w:rsidRPr="007E23EF">
        <w:rPr>
          <w:rFonts w:cs="Times New Roman"/>
          <w:noProof/>
          <w:color w:val="FF0000"/>
        </w:rPr>
        <w:instrText xml:space="preserve"> ADDIN EN.CITE.DATA </w:instrText>
      </w:r>
      <w:r w:rsidRPr="007E23EF">
        <w:rPr>
          <w:rFonts w:cs="Times New Roman"/>
          <w:noProof/>
          <w:color w:val="FF0000"/>
        </w:rPr>
      </w:r>
      <w:r w:rsidRPr="007E23EF">
        <w:rPr>
          <w:rFonts w:cs="Times New Roman"/>
          <w:noProof/>
          <w:color w:val="FF0000"/>
        </w:rPr>
        <w:fldChar w:fldCharType="end"/>
      </w:r>
      <w:r w:rsidRPr="007E23EF">
        <w:rPr>
          <w:rFonts w:cs="Times New Roman"/>
          <w:noProof/>
          <w:color w:val="FF0000"/>
        </w:rPr>
      </w:r>
      <w:r w:rsidRPr="007E23EF">
        <w:rPr>
          <w:rFonts w:cs="Times New Roman"/>
          <w:noProof/>
          <w:color w:val="FF0000"/>
        </w:rPr>
        <w:fldChar w:fldCharType="separate"/>
      </w:r>
      <w:r w:rsidRPr="007E23EF">
        <w:rPr>
          <w:rFonts w:cs="Times New Roman"/>
          <w:noProof/>
          <w:color w:val="FF0000"/>
        </w:rPr>
        <w:t>(Vieira et al., 2015; Sanz, 2018)</w:t>
      </w:r>
      <w:r w:rsidRPr="007E23EF">
        <w:rPr>
          <w:rFonts w:cs="Times New Roman"/>
          <w:noProof/>
          <w:color w:val="FF0000"/>
        </w:rPr>
        <w:fldChar w:fldCharType="end"/>
      </w:r>
      <w:r w:rsidRPr="007E23EF">
        <w:rPr>
          <w:rFonts w:cs="Times New Roman"/>
          <w:noProof/>
          <w:color w:val="FF0000"/>
        </w:rPr>
        <w:t xml:space="preserve">. However, due to a lack of resources, it is extremely difficult for LAs to harmonise different objectives (across the economic, environmental, and social dimensions) associated with different categories of private stakeholders </w:t>
      </w:r>
      <w:r w:rsidRPr="007E23EF">
        <w:rPr>
          <w:rFonts w:cs="Times New Roman"/>
          <w:noProof/>
          <w:color w:val="FF0000"/>
        </w:rPr>
        <w:fldChar w:fldCharType="begin"/>
      </w:r>
      <w:r w:rsidRPr="007E23EF">
        <w:rPr>
          <w:rFonts w:cs="Times New Roman"/>
          <w:noProof/>
          <w:color w:val="FF0000"/>
        </w:rPr>
        <w:instrText xml:space="preserve"> ADDIN EN.CITE &lt;EndNote&gt;&lt;Cite&gt;&lt;Author&gt;Akgün&lt;/Author&gt;&lt;Year&gt;2019&lt;/Year&gt;&lt;RecNum&gt;344&lt;/RecNum&gt;&lt;DisplayText&gt;(Akgün et al., 2019b)&lt;/DisplayText&gt;&lt;record&gt;&lt;rec-number&gt;344&lt;/rec-number&gt;&lt;foreign-keys&gt;&lt;key app="EN" db-id="pzt5ep52hsedfpeext2pdfes0w0aswaewef2" timestamp="1605188000"&gt;344&lt;/key&gt;&lt;/foreign-keys&gt;&lt;ref-type name="Journal Article"&gt;17&lt;/ref-type&gt;&lt;contributors&gt;&lt;authors&gt;&lt;author&gt;Akgün, Emine Zehra&lt;/author&gt;&lt;author&gt;Monios, Jason&lt;/author&gt;&lt;author&gt;Rye, Tom&lt;/author&gt;&lt;author&gt;Fonzone, Achille&lt;/author&gt;&lt;/authors&gt;&lt;/contributors&gt;&lt;titles&gt;&lt;title&gt;Influences on urban freight transport policy choice by local authorities&lt;/title&gt;&lt;secondary-title&gt;Transport Policy&lt;/secondary-title&gt;&lt;tertiary-title&gt;Transport Policy&lt;/tertiary-title&gt;&lt;/titles&gt;&lt;periodical&gt;&lt;full-title&gt;Transport Policy&lt;/full-title&gt;&lt;abbr-1&gt;Transp. Policy&lt;/abbr-1&gt;&lt;/periodical&gt;&lt;pages&gt;88-98&lt;/pages&gt;&lt;volume&gt;75&lt;/volume&gt;&lt;number&gt;C&lt;/number&gt;&lt;dates&gt;&lt;year&gt;2019&lt;/year&gt;&lt;/dates&gt;&lt;publisher&gt;Elsevier&lt;/publisher&gt;&lt;urls&gt;&lt;related-urls&gt;&lt;url&gt;https://ideas.repec.org/a/eee/trapol/v75y2019icp88-98.html&lt;/url&gt;&lt;/related-urls&gt;&lt;/urls&gt;&lt;electronic-resource-num&gt;10.1016/j.tranpol.2019.01&lt;/electronic-resource-num&gt;&lt;/record&gt;&lt;/Cite&gt;&lt;/EndNote&gt;</w:instrText>
      </w:r>
      <w:r w:rsidRPr="007E23EF">
        <w:rPr>
          <w:rFonts w:cs="Times New Roman"/>
          <w:noProof/>
          <w:color w:val="FF0000"/>
        </w:rPr>
        <w:fldChar w:fldCharType="separate"/>
      </w:r>
      <w:r w:rsidRPr="007E23EF">
        <w:rPr>
          <w:rFonts w:cs="Times New Roman"/>
          <w:noProof/>
          <w:color w:val="FF0000"/>
        </w:rPr>
        <w:t>(Akgün et al., 2019b)</w:t>
      </w:r>
      <w:r w:rsidRPr="007E23EF">
        <w:rPr>
          <w:rFonts w:cs="Times New Roman"/>
          <w:noProof/>
          <w:color w:val="FF0000"/>
        </w:rPr>
        <w:fldChar w:fldCharType="end"/>
      </w:r>
      <w:r w:rsidRPr="007E23EF">
        <w:rPr>
          <w:rFonts w:cs="Times New Roman"/>
          <w:noProof/>
          <w:color w:val="FF0000"/>
        </w:rPr>
        <w:t>. As a result, it is difficult for the UCC to operate autonomously after the initial experimental phase, which might be heavily supported by public funds.</w:t>
      </w:r>
    </w:p>
    <w:p w14:paraId="6C8A77A3" w14:textId="77777777" w:rsidR="008E00E6" w:rsidRPr="007E23EF" w:rsidRDefault="008E00E6" w:rsidP="008E00E6">
      <w:pPr>
        <w:spacing w:after="240" w:line="360" w:lineRule="auto"/>
        <w:rPr>
          <w:rFonts w:cs="Times New Roman"/>
          <w:noProof/>
          <w:color w:val="FF0000"/>
        </w:rPr>
      </w:pPr>
      <w:r w:rsidRPr="007E23EF">
        <w:rPr>
          <w:rFonts w:cs="Times New Roman"/>
          <w:noProof/>
          <w:color w:val="FF0000"/>
        </w:rPr>
        <w:t xml:space="preserve">As indicated by previous studies (notably in the results of the SCUCC and RSUCC), private stakeholders seldom integrate their logistical planning processes or daily business operations into the overall sustainable development strategies of LAs </w:t>
      </w:r>
      <w:r w:rsidRPr="007E23EF">
        <w:rPr>
          <w:rFonts w:cs="Times New Roman"/>
          <w:noProof/>
          <w:color w:val="FF0000"/>
        </w:rPr>
        <w:fldChar w:fldCharType="begin"/>
      </w:r>
      <w:r w:rsidRPr="007E23EF">
        <w:rPr>
          <w:rFonts w:cs="Times New Roman"/>
          <w:noProof/>
          <w:color w:val="FF0000"/>
        </w:rPr>
        <w:instrText xml:space="preserve"> ADDIN EN.CITE &lt;EndNote&gt;&lt;Cite&gt;&lt;Author&gt;Dablanc&lt;/Author&gt;&lt;Year&gt;2007&lt;/Year&gt;&lt;RecNum&gt;145&lt;/RecNum&gt;&lt;DisplayText&gt;(Dablanc, 2007)&lt;/DisplayText&gt;&lt;record&gt;&lt;rec-number&gt;145&lt;/rec-number&gt;&lt;foreign-keys&gt;&lt;key app="EN" db-id="pzt5ep52hsedfpeext2pdfes0w0aswaewef2" timestamp="1605187995"&gt;145&lt;/key&gt;&lt;/foreign-keys&gt;&lt;ref-type name="Journal Article"&gt;17&lt;/ref-type&gt;&lt;contributors&gt;&lt;authors&gt;&lt;author&gt;Dablanc, Laetitia&lt;/author&gt;&lt;/authors&gt;&lt;/contributors&gt;&lt;titles&gt;&lt;title&gt;Goods transport in large European cities: Difficult to organize, difficult to modernize&lt;/title&gt;&lt;secondary-title&gt;Transportation Research Part A: Policy and Practice&lt;/secondary-title&gt;&lt;/titles&gt;&lt;periodical&gt;&lt;full-title&gt;Transportation Research Part A: Policy and Practice&lt;/full-title&gt;&lt;/periodical&gt;&lt;pages&gt;280-285&lt;/pages&gt;&lt;volume&gt;41&lt;/volume&gt;&lt;number&gt;3&lt;/number&gt;&lt;dates&gt;&lt;year&gt;2007&lt;/year&gt;&lt;/dates&gt;&lt;isbn&gt;0965-8564&lt;/isbn&gt;&lt;urls&gt;&lt;related-urls&gt;&lt;url&gt;http://www.sciencedirect.com/science/article/pii/S0965856406000590&lt;/url&gt;&lt;/related-urls&gt;&lt;/urls&gt;&lt;research-notes&gt;1&lt;/research-notes&gt;&lt;/record&gt;&lt;/Cite&gt;&lt;/EndNote&gt;</w:instrText>
      </w:r>
      <w:r w:rsidRPr="007E23EF">
        <w:rPr>
          <w:rFonts w:cs="Times New Roman"/>
          <w:noProof/>
          <w:color w:val="FF0000"/>
        </w:rPr>
        <w:fldChar w:fldCharType="separate"/>
      </w:r>
      <w:r w:rsidRPr="007E23EF">
        <w:rPr>
          <w:rFonts w:cs="Times New Roman"/>
          <w:noProof/>
          <w:color w:val="FF0000"/>
        </w:rPr>
        <w:t>(Dablanc, 2007)</w:t>
      </w:r>
      <w:r w:rsidRPr="007E23EF">
        <w:rPr>
          <w:rFonts w:cs="Times New Roman"/>
          <w:noProof/>
          <w:color w:val="FF0000"/>
        </w:rPr>
        <w:fldChar w:fldCharType="end"/>
      </w:r>
      <w:r w:rsidRPr="007E23EF">
        <w:rPr>
          <w:rFonts w:cs="Times New Roman"/>
          <w:noProof/>
          <w:color w:val="FF0000"/>
        </w:rPr>
        <w:t xml:space="preserve">. In other words, </w:t>
      </w:r>
      <w:r w:rsidRPr="007E23EF">
        <w:rPr>
          <w:rFonts w:cs="Times New Roman"/>
          <w:noProof/>
          <w:color w:val="FF0000"/>
        </w:rPr>
        <w:lastRenderedPageBreak/>
        <w:t xml:space="preserve">there are </w:t>
      </w:r>
      <w:r w:rsidRPr="007E23EF">
        <w:rPr>
          <w:rFonts w:cs="Times New Roman"/>
          <w:color w:val="FF0000"/>
        </w:rPr>
        <w:t>distinctive</w:t>
      </w:r>
      <w:r w:rsidRPr="007E23EF">
        <w:rPr>
          <w:rFonts w:cs="Times New Roman"/>
          <w:noProof/>
          <w:color w:val="FF0000"/>
        </w:rPr>
        <w:t xml:space="preserve"> boundaries between their responsibilities, and a lack of co-operation between stakeholders. Such issues are likely to work against the promotion of collaborative projects in urban logistics and exacerbate financial issues experienced by UCCs</w:t>
      </w:r>
      <w:r w:rsidRPr="007E23EF">
        <w:rPr>
          <w:rStyle w:val="fontstyle01"/>
          <w:rFonts w:cs="Times New Roman"/>
          <w:color w:val="FF0000"/>
        </w:rPr>
        <w:t>.</w:t>
      </w:r>
      <w:r w:rsidRPr="007E23EF">
        <w:rPr>
          <w:rFonts w:cs="Times New Roman"/>
          <w:noProof/>
          <w:color w:val="FF0000"/>
        </w:rPr>
        <w:t xml:space="preserve"> </w:t>
      </w:r>
    </w:p>
    <w:p w14:paraId="171CAAAB" w14:textId="77777777" w:rsidR="008E00E6" w:rsidRPr="007E23EF" w:rsidRDefault="008E00E6" w:rsidP="008E00E6">
      <w:pPr>
        <w:spacing w:after="240" w:line="360" w:lineRule="auto"/>
        <w:rPr>
          <w:rStyle w:val="fontstyle01"/>
          <w:rFonts w:cs="Times New Roman" w:hint="eastAsia"/>
          <w:noProof/>
          <w:color w:val="FF0000"/>
        </w:rPr>
      </w:pPr>
      <w:r w:rsidRPr="007E23EF">
        <w:rPr>
          <w:rFonts w:cs="Times New Roman"/>
          <w:noProof/>
          <w:color w:val="FF0000"/>
        </w:rPr>
        <w:t xml:space="preserve">The solutions based on the theory of </w:t>
      </w:r>
      <w:r w:rsidRPr="007E23EF">
        <w:rPr>
          <w:rFonts w:cs="Times New Roman"/>
          <w:noProof/>
          <w:color w:val="FF0000"/>
        </w:rPr>
        <w:fldChar w:fldCharType="begin"/>
      </w:r>
      <w:r w:rsidRPr="007E23EF">
        <w:rPr>
          <w:rFonts w:cs="Times New Roman"/>
          <w:noProof/>
          <w:color w:val="FF0000"/>
        </w:rPr>
        <w:instrText xml:space="preserve"> ADDIN EN.CITE &lt;EndNote&gt;&lt;Cite AuthorYear="1"&gt;&lt;Author&gt;Ogden&lt;/Author&gt;&lt;Year&gt;1992&lt;/Year&gt;&lt;RecNum&gt;209&lt;/RecNum&gt;&lt;DisplayText&gt;Ogden (1992)&lt;/DisplayText&gt;&lt;record&gt;&lt;rec-number&gt;209&lt;/rec-number&gt;&lt;foreign-keys&gt;&lt;key app="EN" db-id="x5etaz5aiszvz0edasvvpwvotttxepvd25t2" timestamp="1611177410"&gt;209&lt;/key&gt;&lt;/foreign-keys&gt;&lt;ref-type name="Book"&gt;6&lt;/ref-type&gt;&lt;contributors&gt;&lt;authors&gt;&lt;author&gt;Ogden, Kenneth Wade&lt;/author&gt;&lt;/authors&gt;&lt;/contributors&gt;&lt;titles&gt;&lt;title&gt;Urban goods movement: a guide to policy and planning&lt;/title&gt;&lt;/titles&gt;&lt;dates&gt;&lt;year&gt;1992&lt;/year&gt;&lt;/dates&gt;&lt;isbn&gt;1857420292&lt;/isbn&gt;&lt;urls&gt;&lt;/urls&gt;&lt;/record&gt;&lt;/Cite&gt;&lt;/EndNote&gt;</w:instrText>
      </w:r>
      <w:r w:rsidRPr="007E23EF">
        <w:rPr>
          <w:rFonts w:cs="Times New Roman"/>
          <w:noProof/>
          <w:color w:val="FF0000"/>
        </w:rPr>
        <w:fldChar w:fldCharType="separate"/>
      </w:r>
      <w:r w:rsidRPr="007E23EF">
        <w:rPr>
          <w:rFonts w:cs="Times New Roman"/>
          <w:noProof/>
          <w:color w:val="FF0000"/>
        </w:rPr>
        <w:t>Ogden (1992)</w:t>
      </w:r>
      <w:r w:rsidRPr="007E23EF">
        <w:rPr>
          <w:rFonts w:cs="Times New Roman"/>
          <w:noProof/>
          <w:color w:val="FF0000"/>
        </w:rPr>
        <w:fldChar w:fldCharType="end"/>
      </w:r>
      <w:r w:rsidRPr="007E23EF">
        <w:rPr>
          <w:rFonts w:cs="Times New Roman"/>
          <w:noProof/>
          <w:color w:val="FF0000"/>
        </w:rPr>
        <w:t xml:space="preserve"> could adequately address the above issue. Odgen indicates that sustainable urban logistics should aim to reduce the total social cost of urban goods movement. As such, all stakeholders should understand that SUL principles are intended to promote financial and non-financial benefits for all members in a supply chain </w:t>
      </w:r>
      <w:r w:rsidRPr="007E23EF">
        <w:rPr>
          <w:rFonts w:cs="Times New Roman"/>
          <w:noProof/>
          <w:color w:val="FF0000"/>
        </w:rPr>
        <w:fldChar w:fldCharType="begin"/>
      </w:r>
      <w:r w:rsidRPr="007E23EF">
        <w:rPr>
          <w:rFonts w:cs="Times New Roman"/>
          <w:noProof/>
          <w:color w:val="FF0000"/>
        </w:rPr>
        <w:instrText xml:space="preserve"> ADDIN EN.CITE &lt;EndNote&gt;&lt;Cite&gt;&lt;Author&gt;Morana&lt;/Author&gt;&lt;Year&gt;2015&lt;/Year&gt;&lt;RecNum&gt;210&lt;/RecNum&gt;&lt;DisplayText&gt;(Morana and Gonzalez-Feliu, 2015)&lt;/DisplayText&gt;&lt;record&gt;&lt;rec-number&gt;210&lt;/rec-number&gt;&lt;foreign-keys&gt;&lt;key app="EN" db-id="x5etaz5aiszvz0edasvvpwvotttxepvd25t2" timestamp="1611177410"&gt;210&lt;/key&gt;&lt;/foreign-keys&gt;&lt;ref-type name="Journal Article"&gt;17&lt;/ref-type&gt;&lt;contributors&gt;&lt;authors&gt;&lt;author&gt;Morana, J.&lt;/author&gt;&lt;author&gt;Gonzalez-Feliu, J.&lt;/author&gt;&lt;/authors&gt;&lt;/contributors&gt;&lt;auth-address&gt;Laboratoire d’Economie des Transports, Université Lyon 2, Lyon, France&amp;#xD;EVS-PIESO, Institut Henri Fayol, Ecole Nationale Supérieure des Mines de Saint-Etienne, Saint-Etienne, France&lt;/auth-address&gt;&lt;titles&gt;&lt;title&gt;A sustainable urban logistics dashboard from the perspective of a group of operational managers&lt;/title&gt;&lt;secondary-title&gt;Management Research Review&lt;/secondary-title&gt;&lt;alt-title&gt;Manage. Res. Rev.&lt;/alt-title&gt;&lt;/titles&gt;&lt;periodical&gt;&lt;full-title&gt;Management Research Review&lt;/full-title&gt;&lt;abbr-1&gt;Manage. Res. Rev.&lt;/abbr-1&gt;&lt;/periodical&gt;&lt;alt-periodical&gt;&lt;full-title&gt;Management Research Review&lt;/full-title&gt;&lt;abbr-1&gt;Manage. Res. Rev.&lt;/abbr-1&gt;&lt;/alt-periodical&gt;&lt;pages&gt;1068-1085&lt;/pages&gt;&lt;volume&gt;38&lt;/volume&gt;&lt;number&gt;10&lt;/number&gt;&lt;keywords&gt;&lt;keyword&gt;Collaborative decision making&lt;/keyword&gt;&lt;keyword&gt;Consensus&lt;/keyword&gt;&lt;keyword&gt;Sustainability dashboard&lt;/keyword&gt;&lt;keyword&gt;Sustainable supply chain management&lt;/keyword&gt;&lt;keyword&gt;Urban logistics&lt;/keyword&gt;&lt;/keywords&gt;&lt;dates&gt;&lt;year&gt;2015&lt;/year&gt;&lt;/dates&gt;&lt;publisher&gt;Emerald Group Publishing Ltd.&lt;/publisher&gt;&lt;isbn&gt;20408269 (ISSN)&lt;/isbn&gt;&lt;work-type&gt;Article&lt;/work-type&gt;&lt;urls&gt;&lt;related-urls&gt;&lt;url&gt;https://www.scopus.com/inward/record.uri?eid=2-s2.0-84947058260&amp;amp;doi=10.1108%2fMRR-11-2014-0260&amp;amp;partnerID=40&amp;amp;md5=ec754d7e2b84d80cbb0207d00723912a&lt;/url&gt;&lt;/related-urls&gt;&lt;/urls&gt;&lt;electronic-resource-num&gt;10.1108/MRR-11-2014-0260&lt;/electronic-resource-num&gt;&lt;remote-database-name&gt;Scopus&lt;/remote-database-name&gt;&lt;research-notes&gt;125&lt;/research-notes&gt;&lt;language&gt;English&lt;/language&gt;&lt;/record&gt;&lt;/Cite&gt;&lt;/EndNote&gt;</w:instrText>
      </w:r>
      <w:r w:rsidRPr="007E23EF">
        <w:rPr>
          <w:rFonts w:cs="Times New Roman"/>
          <w:noProof/>
          <w:color w:val="FF0000"/>
        </w:rPr>
        <w:fldChar w:fldCharType="separate"/>
      </w:r>
      <w:r w:rsidRPr="007E23EF">
        <w:rPr>
          <w:rFonts w:cs="Times New Roman"/>
          <w:noProof/>
          <w:color w:val="FF0000"/>
        </w:rPr>
        <w:t>(Morana and Gonzalez-Feliu, 2015)</w:t>
      </w:r>
      <w:r w:rsidRPr="007E23EF">
        <w:rPr>
          <w:rFonts w:cs="Times New Roman"/>
          <w:noProof/>
          <w:color w:val="FF0000"/>
        </w:rPr>
        <w:fldChar w:fldCharType="end"/>
      </w:r>
      <w:r w:rsidRPr="007E23EF">
        <w:rPr>
          <w:rFonts w:cs="Times New Roman"/>
          <w:noProof/>
          <w:color w:val="FF0000"/>
        </w:rPr>
        <w:t xml:space="preserve">. In circumstances where financial rewards cannot be achieved in the short-term, mechanisms are needed to establish fair and efficient cost-sharing for stakeholders participating in UCC networks. This is a requirement for UCCs to achieve financial sustainability and promote ‘responsibility-sharing schemes’ aimed at overcoming the initial situation, where such facilities are dependent on subsidies from local and national governments. Specifically, this chapter considers the opportunity of involving a wider set of stakeholders in a coalition, which could lead  to cost-sharing mechanisms associated with the operation of a UCC facility run by a local authority. </w:t>
      </w:r>
      <w:r w:rsidRPr="007E23EF">
        <w:rPr>
          <w:noProof/>
          <w:color w:val="FF0000"/>
        </w:rPr>
        <w:t>To the best of my personal knowledge, no study, to date, has paid attention to the cost allocation in order to sustain the existence of UCCs and, as a second criterion, to promote the participation of stakeholders according to fairness principles. This chapter will fill such gaps through promoting the financial sustainability of a UCC project and by supporting the negotiation of more sustainable allocations of economic efforts and practical benefits, to maximise involvement in the UCC network</w:t>
      </w:r>
    </w:p>
    <w:p w14:paraId="41CC1EBD" w14:textId="77777777" w:rsidR="008E00E6" w:rsidRPr="007E23EF" w:rsidRDefault="008E00E6" w:rsidP="008E00E6">
      <w:pPr>
        <w:spacing w:line="360" w:lineRule="auto"/>
        <w:rPr>
          <w:rFonts w:cs="Times New Roman"/>
          <w:noProof/>
          <w:color w:val="FF0000"/>
        </w:rPr>
      </w:pPr>
      <w:r w:rsidRPr="007E23EF">
        <w:rPr>
          <w:rFonts w:cs="Times New Roman"/>
          <w:noProof/>
          <w:color w:val="FF0000"/>
        </w:rPr>
        <w:t xml:space="preserve">This chapter is organised as follows. First, the research motivations in relation to </w:t>
      </w:r>
      <w:r w:rsidRPr="007E23EF">
        <w:rPr>
          <w:rFonts w:cs="Times New Roman" w:hint="eastAsia"/>
          <w:noProof/>
          <w:color w:val="FF0000"/>
        </w:rPr>
        <w:t>stakeholders</w:t>
      </w:r>
      <w:r w:rsidRPr="007E23EF">
        <w:rPr>
          <w:rFonts w:cs="Times New Roman"/>
          <w:noProof/>
          <w:color w:val="FF0000"/>
        </w:rPr>
        <w:t xml:space="preserve">’ </w:t>
      </w:r>
      <w:r w:rsidRPr="007E23EF">
        <w:rPr>
          <w:rFonts w:cs="Times New Roman" w:hint="eastAsia"/>
          <w:noProof/>
          <w:color w:val="FF0000"/>
        </w:rPr>
        <w:t>engagement</w:t>
      </w:r>
      <w:r w:rsidRPr="007E23EF">
        <w:rPr>
          <w:rFonts w:cs="Times New Roman"/>
          <w:noProof/>
          <w:color w:val="FF0000"/>
        </w:rPr>
        <w:t xml:space="preserve"> and cost allocation that were identified in subsection 2.8.4 are discussed. In the second section, a solution for UCC networks is proposed, based on the game-theoretical model</w:t>
      </w:r>
      <w:r w:rsidRPr="007E23EF">
        <w:rPr>
          <w:noProof/>
          <w:color w:val="FF0000"/>
        </w:rPr>
        <w:t xml:space="preserve">, which is an adaptation of the so-called River Problem </w:t>
      </w:r>
      <w:r w:rsidRPr="007E23EF">
        <w:rPr>
          <w:noProof/>
          <w:color w:val="FF0000"/>
        </w:rPr>
        <w:fldChar w:fldCharType="begin">
          <w:fldData xml:space="preserve">PEVuZE5vdGU+PENpdGU+PEF1dGhvcj5OaTwvQXV0aG9yPjxZZWFyPjIwMDc8L1llYXI+PFJlY051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</w:fldData>
        </w:fldChar>
      </w:r>
      <w:r w:rsidRPr="007E23EF">
        <w:rPr>
          <w:noProof/>
          <w:color w:val="FF0000"/>
        </w:rPr>
        <w:instrText xml:space="preserve"> ADDIN EN.CITE </w:instrText>
      </w:r>
      <w:r w:rsidRPr="007E23EF">
        <w:rPr>
          <w:noProof/>
          <w:color w:val="FF0000"/>
        </w:rPr>
        <w:fldChar w:fldCharType="begin">
          <w:fldData xml:space="preserve">PEVuZE5vdGU+PENpdGU+PEF1dGhvcj5OaTwvQXV0aG9yPjxZZWFyPjIwMDc8L1llYXI+PFJlY051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</w:fldData>
        </w:fldChar>
      </w:r>
      <w:r w:rsidRPr="007E23EF">
        <w:rPr>
          <w:noProof/>
          <w:color w:val="FF0000"/>
        </w:rPr>
        <w:instrText xml:space="preserve"> ADDIN EN.CITE.DATA </w:instrText>
      </w:r>
      <w:r w:rsidRPr="007E23EF">
        <w:rPr>
          <w:noProof/>
          <w:color w:val="FF0000"/>
        </w:rPr>
      </w:r>
      <w:r w:rsidRPr="007E23EF">
        <w:rPr>
          <w:noProof/>
          <w:color w:val="FF0000"/>
        </w:rPr>
        <w:fldChar w:fldCharType="end"/>
      </w:r>
      <w:r w:rsidRPr="007E23EF">
        <w:rPr>
          <w:noProof/>
          <w:color w:val="FF0000"/>
        </w:rPr>
      </w:r>
      <w:r w:rsidRPr="007E23EF">
        <w:rPr>
          <w:noProof/>
          <w:color w:val="FF0000"/>
        </w:rPr>
        <w:fldChar w:fldCharType="separate"/>
      </w:r>
      <w:r w:rsidRPr="007E23EF">
        <w:rPr>
          <w:noProof/>
          <w:color w:val="FF0000"/>
        </w:rPr>
        <w:t>(Ni and Wang, 2007; Dong et al., 2012)</w:t>
      </w:r>
      <w:r w:rsidRPr="007E23EF">
        <w:rPr>
          <w:noProof/>
          <w:color w:val="FF0000"/>
        </w:rPr>
        <w:fldChar w:fldCharType="end"/>
      </w:r>
      <w:r w:rsidRPr="007E23EF">
        <w:rPr>
          <w:noProof/>
          <w:color w:val="FF0000"/>
        </w:rPr>
        <w:t>.</w:t>
      </w:r>
      <w:r w:rsidRPr="007E23EF">
        <w:rPr>
          <w:rFonts w:cs="Times New Roman"/>
          <w:noProof/>
          <w:color w:val="FF0000"/>
        </w:rPr>
        <w:t xml:space="preserve"> The current study then calculates these cost allocations under different responsibility scenarios. An extensive sensitivity analysis is then conducted to show the changes in shared cost when a UCC outsources its last-mile delivery service to the local carriers, which reveals some useful policy and practice implications.</w:t>
      </w:r>
    </w:p>
    <w:p w14:paraId="23986EA6" w14:textId="4441E116" w:rsidR="00C81F38" w:rsidRPr="002D0265" w:rsidRDefault="00C81F38" w:rsidP="00B56E32">
      <w:pPr>
        <w:spacing w:line="360" w:lineRule="auto"/>
        <w:rPr>
          <w:rFonts w:cs="Times New Roman"/>
          <w:noProof/>
          <w:color w:val="FF0000"/>
        </w:rPr>
      </w:pPr>
    </w:p>
    <w:p w14:paraId="670DE921" w14:textId="0AB79D2B" w:rsidR="002E2DAA" w:rsidRPr="004C5584" w:rsidRDefault="002E2DAA" w:rsidP="00973609">
      <w:pPr>
        <w:pStyle w:val="Heading2"/>
        <w:spacing w:after="120"/>
      </w:pPr>
      <w:bookmarkStart w:id="1011" w:name="_Toc66703260"/>
      <w:r w:rsidRPr="004C5584">
        <w:t xml:space="preserve">Research </w:t>
      </w:r>
      <w:r w:rsidR="005405ED">
        <w:t>m</w:t>
      </w:r>
      <w:r w:rsidR="00411573">
        <w:t>otivation</w:t>
      </w:r>
      <w:bookmarkEnd w:id="1011"/>
    </w:p>
    <w:p w14:paraId="2050A628" w14:textId="36C2338E" w:rsidR="002E2DAA" w:rsidRPr="003C6E90" w:rsidRDefault="002E2DAA" w:rsidP="00A77997">
      <w:pPr>
        <w:spacing w:after="240" w:line="360" w:lineRule="auto"/>
        <w:rPr>
          <w:rFonts w:cs="Times New Roman"/>
          <w:color w:val="FF0000"/>
        </w:rPr>
      </w:pPr>
      <w:r w:rsidRPr="003C6E90">
        <w:rPr>
          <w:rFonts w:cs="Times New Roman"/>
          <w:color w:val="FF0000"/>
        </w:rPr>
        <w:t xml:space="preserve">Despite the growing literature on UCCs in urban contexts, little attention has been devoted to the specific development of allocation mechanisms for the start-up phase of UCCs led by local </w:t>
      </w:r>
      <w:r w:rsidRPr="003C6E90">
        <w:rPr>
          <w:rFonts w:cs="Times New Roman"/>
          <w:color w:val="FF0000"/>
        </w:rPr>
        <w:lastRenderedPageBreak/>
        <w:t>authorities</w:t>
      </w:r>
      <w:r w:rsidR="006C5C65">
        <w:rPr>
          <w:rFonts w:cs="Times New Roman"/>
          <w:color w:val="FF0000"/>
        </w:rPr>
        <w:t xml:space="preserve"> (Section 2.7.5.1)</w:t>
      </w:r>
      <w:r w:rsidRPr="003C6E90">
        <w:rPr>
          <w:rFonts w:cs="Times New Roman"/>
          <w:color w:val="FF0000"/>
        </w:rPr>
        <w:t>.</w:t>
      </w:r>
      <w:r w:rsidR="0000768E" w:rsidRPr="003C6E90">
        <w:rPr>
          <w:rFonts w:cs="Times New Roman"/>
          <w:color w:val="FF0000"/>
        </w:rPr>
        <w:t xml:space="preserve"> </w:t>
      </w:r>
      <w:r w:rsidRPr="003C6E90">
        <w:rPr>
          <w:rFonts w:eastAsia="Times New Roman" w:cs="Times New Roman"/>
          <w:color w:val="FF0000"/>
        </w:rPr>
        <w:t xml:space="preserve">In general, the challenges of urban logistics may vary across countries, cities, and projects. The overall aim of allocation schemes is to mitigate negative impacts, without having a negative influence on the functionality of urban logistical systems (e.g., shippers, transport companies, receivers, end consumers, public administrations). It must be remarked that, in an urban context, </w:t>
      </w:r>
      <w:r w:rsidRPr="003C6E90">
        <w:rPr>
          <w:rFonts w:cs="Times New Roman"/>
          <w:color w:val="FF0000"/>
        </w:rPr>
        <w:t>negative externalities associated with freight transportation represent the main reason for which local authorities establish UCCs; as such, the mitigation of these externalities represent the prime objective for local authorities. Consequently, individual rationality should not be seen as the main property to be respected by allocation schemes for the urban context. In other words, a</w:t>
      </w:r>
      <w:r w:rsidRPr="003C6E90">
        <w:rPr>
          <w:rStyle w:val="fontstyle01"/>
          <w:rFonts w:ascii="Times New Roman" w:hAnsi="Times New Roman" w:cs="Times New Roman"/>
          <w:color w:val="FF0000"/>
        </w:rPr>
        <w:t xml:space="preserve">llocation rules are not to be solely meant as incentives to form collaboration among stakeholders. </w:t>
      </w:r>
      <w:r w:rsidRPr="003C6E90">
        <w:rPr>
          <w:rFonts w:eastAsia="Times New Roman" w:cs="Times New Roman"/>
          <w:color w:val="FF0000"/>
        </w:rPr>
        <w:t xml:space="preserve">Taniguchi (2014) discusses </w:t>
      </w:r>
      <w:r w:rsidRPr="003C6E90">
        <w:rPr>
          <w:rStyle w:val="fontstyle01"/>
          <w:rFonts w:ascii="Times New Roman" w:hAnsi="Times New Roman" w:cs="Times New Roman"/>
          <w:color w:val="FF0000"/>
        </w:rPr>
        <w:t>t</w:t>
      </w:r>
      <w:r w:rsidRPr="003C6E90">
        <w:rPr>
          <w:rFonts w:eastAsia="Times New Roman" w:cs="Times New Roman"/>
          <w:color w:val="FF0000"/>
        </w:rPr>
        <w:t xml:space="preserve">he role of municipalities in promoting sustainable urban logistics solutions. Municipalities provide coordination, </w:t>
      </w:r>
      <w:proofErr w:type="gramStart"/>
      <w:r w:rsidRPr="003C6E90">
        <w:rPr>
          <w:rFonts w:eastAsia="Times New Roman" w:cs="Times New Roman"/>
          <w:color w:val="FF0000"/>
        </w:rPr>
        <w:t>advice</w:t>
      </w:r>
      <w:proofErr w:type="gramEnd"/>
      <w:r w:rsidRPr="003C6E90">
        <w:rPr>
          <w:rFonts w:eastAsia="Times New Roman" w:cs="Times New Roman"/>
          <w:color w:val="FF0000"/>
        </w:rPr>
        <w:t xml:space="preserve"> and infrastructures, along with investment for the start-up phase of the UCC. However, </w:t>
      </w:r>
      <w:r w:rsidRPr="003C6E90">
        <w:rPr>
          <w:rFonts w:eastAsia="Times New Roman" w:cs="Times New Roman"/>
          <w:color w:val="FF0000"/>
        </w:rPr>
        <w:fldChar w:fldCharType="begin"/>
      </w:r>
      <w:r w:rsidRPr="003C6E90">
        <w:rPr>
          <w:rFonts w:eastAsia="Times New Roman" w:cs="Times New Roman"/>
          <w:color w:val="FF0000"/>
        </w:rPr>
        <w:instrText xml:space="preserve"> ADDIN EN.CITE &lt;EndNote&gt;&lt;Cite AuthorYear="1"&gt;&lt;Author&gt;Taniguchi&lt;/Author&gt;&lt;Year&gt;2014&lt;/Year&gt;&lt;RecNum&gt;246&lt;/RecNum&gt;&lt;DisplayText&gt;Taniguchi (2014)&lt;/DisplayText&gt;&lt;record&gt;&lt;rec-number&gt;246&lt;/rec-number&gt;&lt;foreign-keys&gt;&lt;key app="EN" db-id="x5etaz5aiszvz0edasvvpwvotttxepvd25t2" timestamp="1611178919"&gt;246&lt;/key&gt;&lt;/foreign-keys&gt;&lt;ref-type name="Journal Article"&gt;17&lt;/ref-type&gt;&lt;contributors&gt;&lt;authors&gt;&lt;author&gt;Taniguchi, Eiichi&lt;/author&gt;&lt;/authors&gt;&lt;/contributors&gt;&lt;titles&gt;&lt;title&gt;Concepts of City Logistics for Sustainable and Liveable Cities&lt;/title&gt;&lt;secondary-title&gt;Procedia - Social and Behavioral Sciences&lt;/secondary-title&gt;&lt;/titles&gt;&lt;periodical&gt;&lt;full-title&gt;Procedia - Social and Behavioral Sciences&lt;/full-title&gt;&lt;/periodical&gt;&lt;pages&gt;310-317&lt;/pages&gt;&lt;volume&gt;151&lt;/volume&gt;&lt;keywords&gt;&lt;keyword&gt;city logistics&lt;/keyword&gt;&lt;keyword&gt;urban freight transport&lt;/keyword&gt;&lt;keyword&gt;environment&lt;/keyword&gt;&lt;keyword&gt;sustainability&lt;/keyword&gt;&lt;keyword&gt;liveability&lt;/keyword&gt;&lt;/keywords&gt;&lt;dates&gt;&lt;year&gt;2014&lt;/year&gt;&lt;pub-dates&gt;&lt;date&gt;2014/10/30/&lt;/date&gt;&lt;/pub-dates&gt;&lt;/dates&gt;&lt;isbn&gt;1877-0428&lt;/isbn&gt;&lt;urls&gt;&lt;related-urls&gt;&lt;url&gt;http://www.sciencedirect.com/science/article/pii/S1877042814054718&lt;/url&gt;&lt;/related-urls&gt;&lt;/urls&gt;&lt;electronic-resource-num&gt;https://doi.org/10.1016/j.sbspro.2014.10.029&lt;/electronic-resource-num&gt;&lt;/record&gt;&lt;/Cite&gt;&lt;/EndNote&gt;</w:instrText>
      </w:r>
      <w:r w:rsidRPr="003C6E90">
        <w:rPr>
          <w:rFonts w:eastAsia="Times New Roman" w:cs="Times New Roman"/>
          <w:color w:val="FF0000"/>
        </w:rPr>
        <w:fldChar w:fldCharType="separate"/>
      </w:r>
      <w:r w:rsidRPr="003C6E90">
        <w:rPr>
          <w:rFonts w:eastAsia="Times New Roman" w:cs="Times New Roman"/>
          <w:noProof/>
          <w:color w:val="FF0000"/>
        </w:rPr>
        <w:t>Taniguchi (2014)</w:t>
      </w:r>
      <w:r w:rsidRPr="003C6E90">
        <w:rPr>
          <w:rFonts w:eastAsia="Times New Roman" w:cs="Times New Roman"/>
          <w:color w:val="FF0000"/>
        </w:rPr>
        <w:fldChar w:fldCharType="end"/>
      </w:r>
      <w:r w:rsidRPr="003C6E90">
        <w:rPr>
          <w:rFonts w:eastAsia="Times New Roman" w:cs="Times New Roman"/>
          <w:color w:val="FF0000"/>
        </w:rPr>
        <w:t xml:space="preserve"> also points out that UCCs (and, in general, urban logistics projects) should not depend too heavily on financial support from the municipality in the long run. It is therefore fundamental that </w:t>
      </w:r>
      <w:r w:rsidRPr="003C6E90">
        <w:rPr>
          <w:rFonts w:cs="Times New Roman"/>
          <w:color w:val="FF0000"/>
        </w:rPr>
        <w:t xml:space="preserve">municipalities build </w:t>
      </w:r>
      <w:r w:rsidRPr="003C6E90">
        <w:rPr>
          <w:rStyle w:val="fontstyle01"/>
          <w:rFonts w:ascii="Times New Roman" w:hAnsi="Times New Roman" w:cs="Times New Roman"/>
          <w:color w:val="FF0000"/>
        </w:rPr>
        <w:t xml:space="preserve">mechanisms aimed at </w:t>
      </w:r>
      <w:r w:rsidRPr="003C6E90">
        <w:rPr>
          <w:rFonts w:cs="Times New Roman"/>
          <w:color w:val="FF0000"/>
        </w:rPr>
        <w:t xml:space="preserve">helping the start-up phase of UCC </w:t>
      </w:r>
      <w:r w:rsidRPr="003C6E90">
        <w:rPr>
          <w:rFonts w:eastAsia="Times New Roman" w:cs="Times New Roman"/>
          <w:color w:val="FF0000"/>
        </w:rPr>
        <w:t xml:space="preserve">but seek to recover the initial investment through cost-reduction and economies of scale. </w:t>
      </w:r>
    </w:p>
    <w:p w14:paraId="51030EC4" w14:textId="5704C2EE" w:rsidR="002E2DAA" w:rsidRPr="003C6E90" w:rsidRDefault="002E2DAA" w:rsidP="00A77997">
      <w:pPr>
        <w:spacing w:after="240" w:line="360" w:lineRule="auto"/>
        <w:rPr>
          <w:rFonts w:cs="Times New Roman"/>
          <w:color w:val="FF0000"/>
          <w:szCs w:val="24"/>
        </w:rPr>
      </w:pPr>
      <w:r w:rsidRPr="003C6E90">
        <w:rPr>
          <w:rFonts w:eastAsia="Times New Roman" w:cs="Times New Roman"/>
          <w:color w:val="FF0000"/>
        </w:rPr>
        <w:t xml:space="preserve">Despite their individual rationality, stakeholders may perceive as </w:t>
      </w:r>
      <w:r w:rsidRPr="003C6E90">
        <w:rPr>
          <w:rStyle w:val="fontstyle01"/>
          <w:rFonts w:ascii="Times New Roman" w:hAnsi="Times New Roman" w:cs="Times New Roman"/>
          <w:i/>
          <w:color w:val="FF0000"/>
        </w:rPr>
        <w:t>fair</w:t>
      </w:r>
      <w:r w:rsidRPr="003C6E90">
        <w:rPr>
          <w:rStyle w:val="fontstyle01"/>
          <w:rFonts w:ascii="Times New Roman" w:hAnsi="Times New Roman" w:cs="Times New Roman"/>
          <w:color w:val="FF0000"/>
        </w:rPr>
        <w:t xml:space="preserve"> the regulatory role of municipalities </w:t>
      </w:r>
      <w:r w:rsidR="00301C18" w:rsidRPr="003C6E90">
        <w:rPr>
          <w:rStyle w:val="fontstyle01"/>
          <w:rFonts w:ascii="Times New Roman" w:hAnsi="Times New Roman" w:cs="Times New Roman"/>
          <w:color w:val="FF0000"/>
        </w:rPr>
        <w:fldChar w:fldCharType="begin"/>
      </w:r>
      <w:r w:rsidR="00301C18" w:rsidRPr="003C6E90">
        <w:rPr>
          <w:rStyle w:val="fontstyle01"/>
          <w:rFonts w:ascii="Times New Roman" w:hAnsi="Times New Roman" w:cs="Times New Roman"/>
          <w:color w:val="FF0000"/>
        </w:rPr>
        <w:instrText xml:space="preserve"> ADDIN EN.CITE &lt;EndNote&gt;&lt;Cite&gt;&lt;Author&gt;Kiba-Janiak&lt;/Author&gt;&lt;Year&gt;2016&lt;/Year&gt;&lt;RecNum&gt;254&lt;/RecNum&gt;&lt;DisplayText&gt;(Kiba-Janiak, 2016)&lt;/DisplayText&gt;&lt;record&gt;&lt;rec-number&gt;254&lt;/rec-number&gt;&lt;foreign-keys&gt;&lt;key app="EN" db-id="x5etaz5aiszvz0edasvvpwvotttxepvd25t2" timestamp="1611183457"&gt;254&lt;/key&gt;&lt;/foreign-keys&gt;&lt;ref-type name="Journal Article"&gt;17&lt;/ref-type&gt;&lt;contributors&gt;&lt;authors&gt;&lt;author&gt;Kiba-Janiak, Maja&lt;/author&gt;&lt;/authors&gt;&lt;/contributors&gt;&lt;titles&gt;&lt;title&gt;Key Success Factors for City Logistics from the Perspective of Various Groups of Stakeholders&lt;/title&gt;&lt;secondary-title&gt;Transportation Research Procedia&lt;/secondary-title&gt;&lt;/titles&gt;&lt;periodical&gt;&lt;full-title&gt;Transportation Research Procedia&lt;/full-title&gt;&lt;/periodical&gt;&lt;pages&gt;557-569&lt;/pages&gt;&lt;volume&gt;12&lt;/volume&gt;&lt;keywords&gt;&lt;keyword&gt;city logistics&lt;/keyword&gt;&lt;keyword&gt;key success factors&lt;/keyword&gt;&lt;keyword&gt;Delphi method&lt;/keyword&gt;&lt;/keywords&gt;&lt;dates&gt;&lt;year&gt;2016&lt;/year&gt;&lt;pub-dates&gt;&lt;date&gt;2016/01/01/&lt;/date&gt;&lt;/pub-dates&gt;&lt;/dates&gt;&lt;isbn&gt;2352-1465&lt;/isbn&gt;&lt;urls&gt;&lt;related-urls&gt;&lt;url&gt;http://www.sciencedirect.com/science/article/pii/S2352146516000120&lt;/url&gt;&lt;/related-urls&gt;&lt;/urls&gt;&lt;electronic-resource-num&gt;https://doi.org/10.1016/j.trpro.2016.02.011&lt;/electronic-resource-num&gt;&lt;/record&gt;&lt;/Cite&gt;&lt;/EndNote&gt;</w:instrText>
      </w:r>
      <w:r w:rsidR="00301C18" w:rsidRPr="003C6E90">
        <w:rPr>
          <w:rStyle w:val="fontstyle01"/>
          <w:rFonts w:ascii="Times New Roman" w:hAnsi="Times New Roman" w:cs="Times New Roman"/>
          <w:color w:val="FF0000"/>
        </w:rPr>
        <w:fldChar w:fldCharType="separate"/>
      </w:r>
      <w:r w:rsidR="00301C18" w:rsidRPr="003C6E90">
        <w:rPr>
          <w:rStyle w:val="fontstyle01"/>
          <w:rFonts w:ascii="Times New Roman" w:hAnsi="Times New Roman" w:cs="Times New Roman"/>
          <w:noProof/>
          <w:color w:val="FF0000"/>
        </w:rPr>
        <w:t>(Kiba-Janiak, 2016)</w:t>
      </w:r>
      <w:r w:rsidR="00301C18" w:rsidRPr="003C6E90">
        <w:rPr>
          <w:rStyle w:val="fontstyle01"/>
          <w:rFonts w:ascii="Times New Roman" w:hAnsi="Times New Roman" w:cs="Times New Roman"/>
          <w:color w:val="FF0000"/>
        </w:rPr>
        <w:fldChar w:fldCharType="end"/>
      </w:r>
      <w:r w:rsidRPr="003C6E90">
        <w:rPr>
          <w:rFonts w:eastAsia="Times New Roman" w:cs="Times New Roman"/>
          <w:color w:val="FF0000"/>
        </w:rPr>
        <w:t xml:space="preserve">. </w:t>
      </w:r>
      <w:r w:rsidRPr="003C6E90">
        <w:rPr>
          <w:rFonts w:cs="Times New Roman"/>
          <w:color w:val="FF0000"/>
        </w:rPr>
        <w:t xml:space="preserve">Within this context, </w:t>
      </w:r>
      <w:r w:rsidRPr="003C6E90">
        <w:rPr>
          <w:rStyle w:val="fontstyle01"/>
          <w:rFonts w:ascii="Times New Roman" w:hAnsi="Times New Roman" w:cs="Times New Roman"/>
          <w:color w:val="FF0000"/>
        </w:rPr>
        <w:t>allocation rules can become a helpful tool for local authorities, willing to adopt UCC solutions for protecting their urban area from the negative externalities of urban freight transport. It must be noticed that there is a dearth of research on these specific aspects. Some initial attempts to study allocation schemes when the municipality is somehow dominant have been provided by Dahlberg et al. (</w:t>
      </w:r>
      <w:r w:rsidRPr="003C6E90">
        <w:rPr>
          <w:rFonts w:cs="Times New Roman"/>
          <w:color w:val="FF0000"/>
        </w:rPr>
        <w:t xml:space="preserve">2019). </w:t>
      </w:r>
      <w:r w:rsidRPr="003C6E90">
        <w:rPr>
          <w:rFonts w:cs="Times New Roman"/>
          <w:color w:val="FF0000"/>
          <w:lang w:val="en-US"/>
        </w:rPr>
        <w:fldChar w:fldCharType="begin">
          <w:fldData xml:space="preserve">PEVuZE5vdGU+PENpdGUgQXV0aG9yWWVhcj0iMSI+PEF1dGhvcj52YW4gSGVlc3dpams8L0F1dGhv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</w:fldData>
        </w:fldChar>
      </w:r>
      <w:r w:rsidRPr="003C6E90">
        <w:rPr>
          <w:rFonts w:cs="Times New Roman"/>
          <w:color w:val="FF0000"/>
          <w:lang w:val="en-US"/>
        </w:rPr>
        <w:instrText xml:space="preserve"> ADDIN EN.CITE </w:instrText>
      </w:r>
      <w:r w:rsidRPr="003C6E90">
        <w:rPr>
          <w:rFonts w:cs="Times New Roman"/>
          <w:color w:val="FF0000"/>
          <w:lang w:val="en-US"/>
        </w:rPr>
        <w:fldChar w:fldCharType="begin">
          <w:fldData xml:space="preserve">PEVuZE5vdGU+PENpdGUgQXV0aG9yWWVhcj0iMSI+PEF1dGhvcj52YW4gSGVlc3dpams8L0F1dGhv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</w:fldData>
        </w:fldChar>
      </w:r>
      <w:r w:rsidRPr="003C6E90">
        <w:rPr>
          <w:rFonts w:cs="Times New Roman"/>
          <w:color w:val="FF0000"/>
          <w:lang w:val="en-US"/>
        </w:rPr>
        <w:instrText xml:space="preserve"> ADDIN EN.CITE.DATA </w:instrText>
      </w:r>
      <w:r w:rsidRPr="003C6E90">
        <w:rPr>
          <w:rFonts w:cs="Times New Roman"/>
          <w:color w:val="FF0000"/>
          <w:lang w:val="en-US"/>
        </w:rPr>
      </w:r>
      <w:r w:rsidRPr="003C6E90">
        <w:rPr>
          <w:rFonts w:cs="Times New Roman"/>
          <w:color w:val="FF0000"/>
          <w:lang w:val="en-US"/>
        </w:rPr>
        <w:fldChar w:fldCharType="end"/>
      </w:r>
      <w:r w:rsidRPr="003C6E90">
        <w:rPr>
          <w:rFonts w:cs="Times New Roman"/>
          <w:color w:val="FF0000"/>
          <w:lang w:val="en-US"/>
        </w:rPr>
      </w:r>
      <w:r w:rsidRPr="003C6E90">
        <w:rPr>
          <w:rFonts w:cs="Times New Roman"/>
          <w:color w:val="FF0000"/>
          <w:lang w:val="en-US"/>
        </w:rPr>
        <w:fldChar w:fldCharType="separate"/>
      </w:r>
      <w:r w:rsidRPr="003C6E90">
        <w:rPr>
          <w:rFonts w:cs="Times New Roman"/>
          <w:noProof/>
          <w:color w:val="FF0000"/>
          <w:lang w:val="en-US"/>
        </w:rPr>
        <w:t>van Heeswijk et al. (2020)</w:t>
      </w:r>
      <w:r w:rsidRPr="003C6E90">
        <w:rPr>
          <w:rFonts w:cs="Times New Roman"/>
          <w:color w:val="FF0000"/>
          <w:lang w:val="en-US"/>
        </w:rPr>
        <w:fldChar w:fldCharType="end"/>
      </w:r>
      <w:r w:rsidRPr="003C6E90">
        <w:rPr>
          <w:rStyle w:val="fontstyle01"/>
          <w:rFonts w:ascii="Times New Roman" w:hAnsi="Times New Roman" w:cs="Times New Roman"/>
          <w:color w:val="FF0000"/>
        </w:rPr>
        <w:t xml:space="preserve"> provided an agent-based model for the study of urban logistics systems set up by local authorities; the result of those simulations shows that the implementation of UCCs can considerably reduce negative externalities deriving from urban freight transport; however, a detailed scenario analysis confirms that such policies might not achieve financial viability. </w:t>
      </w:r>
    </w:p>
    <w:p w14:paraId="7D5A64EB" w14:textId="025C584F" w:rsidR="002E2DAA" w:rsidRDefault="002E2DAA" w:rsidP="00A77997">
      <w:pPr>
        <w:spacing w:after="240" w:line="360" w:lineRule="auto"/>
        <w:rPr>
          <w:rFonts w:cs="Times New Roman"/>
          <w:noProof/>
          <w:color w:val="FF0000"/>
        </w:rPr>
      </w:pPr>
      <w:r w:rsidRPr="003C6E90">
        <w:rPr>
          <w:rFonts w:cs="Times New Roman"/>
          <w:noProof/>
          <w:color w:val="FF0000"/>
        </w:rPr>
        <w:t xml:space="preserve">As such, as explained through in the </w:t>
      </w:r>
      <w:r w:rsidR="00411573">
        <w:rPr>
          <w:rFonts w:cs="Times New Roman"/>
          <w:noProof/>
          <w:color w:val="FF0000"/>
        </w:rPr>
        <w:t>section 2.8.</w:t>
      </w:r>
      <w:r w:rsidR="000F1C1B">
        <w:rPr>
          <w:rFonts w:cs="Times New Roman"/>
          <w:noProof/>
          <w:color w:val="FF0000"/>
        </w:rPr>
        <w:t>5</w:t>
      </w:r>
      <w:r w:rsidRPr="003C6E90">
        <w:rPr>
          <w:rFonts w:cs="Times New Roman"/>
          <w:noProof/>
          <w:color w:val="FF0000"/>
        </w:rPr>
        <w:t xml:space="preserve">, appropriate cost allocations rules are a stringent need in order for UCCs to achieve financial sustainability and promote responsibility sharing schemes aimed at overcoming the initial situation where such facilities are merely depending on subsidies from local and national governments. </w:t>
      </w:r>
      <w:r w:rsidR="001D4F55" w:rsidRPr="003C6E90">
        <w:rPr>
          <w:rFonts w:cs="Times New Roman"/>
          <w:noProof/>
          <w:color w:val="FF0000"/>
        </w:rPr>
        <w:t xml:space="preserve">The </w:t>
      </w:r>
      <w:r w:rsidRPr="003C6E90">
        <w:rPr>
          <w:rFonts w:cs="Times New Roman"/>
          <w:noProof/>
          <w:color w:val="FF0000"/>
        </w:rPr>
        <w:t>focus</w:t>
      </w:r>
      <w:r w:rsidR="001D4F55" w:rsidRPr="003C6E90">
        <w:rPr>
          <w:rFonts w:cs="Times New Roman"/>
          <w:noProof/>
          <w:color w:val="FF0000"/>
        </w:rPr>
        <w:t xml:space="preserve"> of this study</w:t>
      </w:r>
      <w:r w:rsidRPr="003C6E90">
        <w:rPr>
          <w:rFonts w:cs="Times New Roman"/>
          <w:noProof/>
          <w:color w:val="FF0000"/>
        </w:rPr>
        <w:t xml:space="preserve"> is </w:t>
      </w:r>
      <w:r w:rsidRPr="003C6E90">
        <w:rPr>
          <w:rFonts w:cs="Times New Roman"/>
          <w:noProof/>
          <w:color w:val="FF0000"/>
        </w:rPr>
        <w:lastRenderedPageBreak/>
        <w:t xml:space="preserve">complementary to the emerging literature on gain sharing mechanisms for UCCs </w:t>
      </w:r>
      <w:r w:rsidRPr="003C6E90">
        <w:rPr>
          <w:rFonts w:cs="Times New Roman"/>
          <w:noProof/>
          <w:color w:val="FF0000"/>
        </w:rPr>
        <w:fldChar w:fldCharType="begin">
          <w:fldData xml:space="preserve">PEVuZE5vdGU+PENpdGU+PEF1dGhvcj5IZXphcmtoYW5pPC9BdXRob3I+PFllYXI+MjAxOTwvWWVh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</w:fldData>
        </w:fldChar>
      </w:r>
      <w:r w:rsidRPr="003C6E90">
        <w:rPr>
          <w:rFonts w:cs="Times New Roman"/>
          <w:noProof/>
          <w:color w:val="FF0000"/>
        </w:rPr>
        <w:instrText xml:space="preserve"> ADDIN EN.CITE </w:instrText>
      </w:r>
      <w:r w:rsidRPr="003C6E90">
        <w:rPr>
          <w:rFonts w:cs="Times New Roman"/>
          <w:noProof/>
          <w:color w:val="FF0000"/>
        </w:rPr>
        <w:fldChar w:fldCharType="begin">
          <w:fldData xml:space="preserve">PEVuZE5vdGU+PENpdGU+PEF1dGhvcj5IZXphcmtoYW5pPC9BdXRob3I+PFllYXI+MjAxOTwvWWVh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</w:fldData>
        </w:fldChar>
      </w:r>
      <w:r w:rsidRPr="003C6E90">
        <w:rPr>
          <w:rFonts w:cs="Times New Roman"/>
          <w:noProof/>
          <w:color w:val="FF0000"/>
        </w:rPr>
        <w:instrText xml:space="preserve"> ADDIN EN.CITE.DATA </w:instrText>
      </w:r>
      <w:r w:rsidRPr="003C6E90">
        <w:rPr>
          <w:rFonts w:cs="Times New Roman"/>
          <w:noProof/>
          <w:color w:val="FF0000"/>
        </w:rPr>
      </w:r>
      <w:r w:rsidRPr="003C6E90">
        <w:rPr>
          <w:rFonts w:cs="Times New Roman"/>
          <w:noProof/>
          <w:color w:val="FF0000"/>
        </w:rPr>
        <w:fldChar w:fldCharType="end"/>
      </w:r>
      <w:r w:rsidRPr="003C6E90">
        <w:rPr>
          <w:rFonts w:cs="Times New Roman"/>
          <w:noProof/>
          <w:color w:val="FF0000"/>
        </w:rPr>
      </w:r>
      <w:r w:rsidRPr="003C6E90">
        <w:rPr>
          <w:rFonts w:cs="Times New Roman"/>
          <w:noProof/>
          <w:color w:val="FF0000"/>
        </w:rPr>
        <w:fldChar w:fldCharType="separate"/>
      </w:r>
      <w:r w:rsidRPr="003C6E90">
        <w:rPr>
          <w:rFonts w:cs="Times New Roman"/>
          <w:noProof/>
          <w:color w:val="FF0000"/>
        </w:rPr>
        <w:t>(Hezarkhani et al., 2019)</w:t>
      </w:r>
      <w:r w:rsidRPr="003C6E90">
        <w:rPr>
          <w:rFonts w:cs="Times New Roman"/>
          <w:noProof/>
          <w:color w:val="FF0000"/>
        </w:rPr>
        <w:fldChar w:fldCharType="end"/>
      </w:r>
      <w:r w:rsidRPr="003C6E90">
        <w:rPr>
          <w:rFonts w:cs="Times New Roman"/>
          <w:noProof/>
          <w:color w:val="FF0000"/>
        </w:rPr>
        <w:t xml:space="preserve">, </w:t>
      </w:r>
      <w:r w:rsidRPr="003C6E90">
        <w:rPr>
          <w:rFonts w:cs="Times New Roman"/>
          <w:color w:val="FF0000"/>
        </w:rPr>
        <w:t>but more devoted to the start-up phase of the facility</w:t>
      </w:r>
      <w:r w:rsidRPr="003C6E90">
        <w:rPr>
          <w:rFonts w:cs="Times New Roman"/>
          <w:noProof/>
          <w:color w:val="FF0000"/>
        </w:rPr>
        <w:t xml:space="preserve">. </w:t>
      </w:r>
    </w:p>
    <w:p w14:paraId="37DB129C" w14:textId="77777777" w:rsidR="00F7409E" w:rsidRDefault="00827D67" w:rsidP="00A77997">
      <w:pPr>
        <w:spacing w:after="240" w:line="360" w:lineRule="auto"/>
        <w:rPr>
          <w:noProof/>
          <w:color w:val="FF0000"/>
        </w:rPr>
      </w:pPr>
      <w:r w:rsidRPr="00C90FE2">
        <w:rPr>
          <w:noProof/>
          <w:color w:val="FF0000"/>
        </w:rPr>
        <w:t>In order to propose mechanisms which could favour the financial sustainability of UCC systems, this chapter develop</w:t>
      </w:r>
      <w:r>
        <w:rPr>
          <w:noProof/>
          <w:color w:val="FF0000"/>
        </w:rPr>
        <w:t>s</w:t>
      </w:r>
      <w:r w:rsidRPr="00C90FE2">
        <w:rPr>
          <w:noProof/>
          <w:color w:val="FF0000"/>
        </w:rPr>
        <w:t xml:space="preserve"> an adaptation of established game-theoretic approaches to the problems of responsibility and cost allocation among stakeholders participating in a UCC delivery network.</w:t>
      </w:r>
      <w:r w:rsidRPr="00B63DE4">
        <w:rPr>
          <w:rFonts w:cs="Times New Roman"/>
          <w:color w:val="FF0000"/>
        </w:rPr>
        <w:t xml:space="preserve"> </w:t>
      </w:r>
      <w:r w:rsidRPr="008C3456">
        <w:rPr>
          <w:rFonts w:cs="Times New Roman"/>
          <w:color w:val="FF0000"/>
        </w:rPr>
        <w:t>Specifically, this study considers the opportunity to involve Suppliers (which originate the flows of goods through their manufacturing processes), Long-haul Carriers (LHC) (which take care of transporting such flows of goods), and Customers (whose demand for goods can be seen as the ultimate reason for the activation of such logistical flows).</w:t>
      </w:r>
      <w:r>
        <w:rPr>
          <w:noProof/>
          <w:color w:val="FF0000"/>
        </w:rPr>
        <w:t xml:space="preserve"> </w:t>
      </w:r>
    </w:p>
    <w:p w14:paraId="2BB47297" w14:textId="207B691B" w:rsidR="00827D67" w:rsidRPr="00F7409E" w:rsidRDefault="00827D67" w:rsidP="00A77997">
      <w:pPr>
        <w:spacing w:after="240" w:line="360" w:lineRule="auto"/>
        <w:rPr>
          <w:noProof/>
          <w:color w:val="FF0000"/>
        </w:rPr>
      </w:pPr>
      <w:r w:rsidRPr="00C90FE2">
        <w:rPr>
          <w:noProof/>
          <w:color w:val="FF0000"/>
        </w:rPr>
        <w:t xml:space="preserve">Proposed approaches are derived from the theory of Unlimited Territorial Integrity </w:t>
      </w:r>
      <w:r w:rsidRPr="00C90FE2">
        <w:rPr>
          <w:noProof/>
          <w:color w:val="FF0000"/>
        </w:rPr>
        <w:fldChar w:fldCharType="begin"/>
      </w:r>
      <w:r w:rsidRPr="00C90FE2">
        <w:rPr>
          <w:noProof/>
          <w:color w:val="FF0000"/>
        </w:rPr>
        <w:instrText xml:space="preserve"> ADDIN EN.CITE &lt;EndNote&gt;&lt;Cite&gt;&lt;Author&gt;Ambec&lt;/Author&gt;&lt;Year&gt;2002&lt;/Year&gt;&lt;RecNum&gt;211&lt;/RecNum&gt;&lt;DisplayText&gt;(Ambec and Sprumont, 2002)&lt;/DisplayText&gt;&lt;record&gt;&lt;rec-number&gt;211&lt;/rec-number&gt;&lt;foreign-keys&gt;&lt;key app="EN" db-id="x5etaz5aiszvz0edasvvpwvotttxepvd25t2" timestamp="1611177410"&gt;211&lt;/key&gt;&lt;/foreign-keys&gt;&lt;ref-type name="Journal Article"&gt;17&lt;/ref-type&gt;&lt;contributors&gt;&lt;authors&gt;&lt;author&gt;Ambec, Stefan&lt;/author&gt;&lt;author&gt;Sprumont, Yves&lt;/author&gt;&lt;/authors&gt;&lt;/contributors&gt;&lt;titles&gt;&lt;title&gt;Sharing a River&lt;/title&gt;&lt;secondary-title&gt;Journal of Economic Theory&lt;/secondary-title&gt;&lt;/titles&gt;&lt;periodical&gt;&lt;full-title&gt;Journal of Economic Theory&lt;/full-title&gt;&lt;/periodical&gt;&lt;pages&gt;453-462&lt;/pages&gt;&lt;volume&gt;107&lt;/volume&gt;&lt;number&gt;2&lt;/number&gt;&lt;keywords&gt;&lt;keyword&gt;common property resources&lt;/keyword&gt;&lt;keyword&gt;fair allocation&lt;/keyword&gt;&lt;keyword&gt;core.&lt;/keyword&gt;&lt;/keywords&gt;&lt;dates&gt;&lt;year&gt;2002&lt;/year&gt;&lt;pub-dates&gt;&lt;date&gt;2002/12/01/&lt;/date&gt;&lt;/pub-dates&gt;&lt;/dates&gt;&lt;isbn&gt;0022-0531&lt;/isbn&gt;&lt;urls&gt;&lt;related-urls&gt;&lt;url&gt;http://www.sciencedirect.com/science/article/pii/S0022053101929497&lt;/url&gt;&lt;/related-urls&gt;&lt;/urls&gt;&lt;electronic-resource-num&gt;https://doi.org/10.1006/jeth.2001.2949&lt;/electronic-resource-num&gt;&lt;/record&gt;&lt;/Cite&gt;&lt;/EndNote&gt;</w:instrText>
      </w:r>
      <w:r w:rsidRPr="00C90FE2">
        <w:rPr>
          <w:noProof/>
          <w:color w:val="FF0000"/>
        </w:rPr>
        <w:fldChar w:fldCharType="separate"/>
      </w:r>
      <w:r w:rsidRPr="00C90FE2">
        <w:rPr>
          <w:noProof/>
          <w:color w:val="FF0000"/>
        </w:rPr>
        <w:t>(Ambec and Sprumont, 2002)</w:t>
      </w:r>
      <w:r w:rsidRPr="00C90FE2">
        <w:rPr>
          <w:noProof/>
          <w:color w:val="FF0000"/>
        </w:rPr>
        <w:fldChar w:fldCharType="end"/>
      </w:r>
      <w:r w:rsidRPr="00C90FE2">
        <w:rPr>
          <w:noProof/>
          <w:color w:val="FF0000"/>
        </w:rPr>
        <w:t xml:space="preserve">, which has been previously applied to the Supply Chain context </w:t>
      </w:r>
      <w:r w:rsidRPr="00C90FE2">
        <w:rPr>
          <w:noProof/>
          <w:color w:val="FF0000"/>
        </w:rPr>
        <w:fldChar w:fldCharType="begin"/>
      </w:r>
      <w:r w:rsidRPr="00C90FE2">
        <w:rPr>
          <w:noProof/>
          <w:color w:val="FF0000"/>
        </w:rPr>
        <w:instrText xml:space="preserve"> ADDIN EN.CITE &lt;EndNote&gt;&lt;Cite&gt;&lt;Author&gt;Ciardiello&lt;/Author&gt;&lt;Year&gt;2020&lt;/Year&gt;&lt;RecNum&gt;115&lt;/RecNum&gt;&lt;DisplayText&gt;(Ciardiello et al., 2020)&lt;/DisplayText&gt;&lt;record&gt;&lt;rec-number&gt;115&lt;/rec-number&gt;&lt;foreign-keys&gt;&lt;key app="EN" db-id="x5etaz5aiszvz0edasvvpwvotttxepvd25t2" timestamp="1605182854"&gt;115&lt;/key&gt;&lt;/foreign-keys&gt;&lt;ref-type name="Journal Article"&gt;17&lt;/ref-type&gt;&lt;contributors&gt;&lt;authors&gt;&lt;author&gt;Ciardiello, Francesco&lt;/author&gt;&lt;author&gt;Genovese, Andrea&lt;/author&gt;&lt;author&gt;Simpson, Andrew&lt;/author&gt;&lt;/authors&gt;&lt;/contributors&gt;&lt;titles&gt;&lt;title&gt;A unified cooperative model for environmental costs in supply chains: the Shapley value for the linear case&lt;/title&gt;&lt;secondary-title&gt;Annals of Operations Research&lt;/secondary-title&gt;&lt;/titles&gt;&lt;periodical&gt;&lt;full-title&gt;Annals of Operations Research&lt;/full-title&gt;&lt;/periodical&gt;&lt;pages&gt;421-437&lt;/pages&gt;&lt;volume&gt;290&lt;/volume&gt;&lt;number&gt;1&lt;/number&gt;&lt;dates&gt;&lt;year&gt;2020&lt;/year&gt;&lt;pub-dates&gt;&lt;date&gt;2020/07/01&lt;/date&gt;&lt;/pub-dates&gt;&lt;/dates&gt;&lt;isbn&gt;1572-9338&lt;/isbn&gt;&lt;urls&gt;&lt;related-urls&gt;&lt;url&gt;https://doi.org/10.1007/s10479-018-3028-3&lt;/url&gt;&lt;/related-urls&gt;&lt;/urls&gt;&lt;electronic-resource-num&gt;10.1007/s10479-018-3028-3&lt;/electronic-resource-num&gt;&lt;/record&gt;&lt;/Cite&gt;&lt;/EndNote&gt;</w:instrText>
      </w:r>
      <w:r w:rsidRPr="00C90FE2">
        <w:rPr>
          <w:noProof/>
          <w:color w:val="FF0000"/>
        </w:rPr>
        <w:fldChar w:fldCharType="separate"/>
      </w:r>
      <w:r w:rsidRPr="00C90FE2">
        <w:rPr>
          <w:noProof/>
          <w:color w:val="FF0000"/>
        </w:rPr>
        <w:t>(Ciardiello et al., 2020)</w:t>
      </w:r>
      <w:r w:rsidRPr="00C90FE2">
        <w:rPr>
          <w:noProof/>
          <w:color w:val="FF0000"/>
        </w:rPr>
        <w:fldChar w:fldCharType="end"/>
      </w:r>
      <w:r w:rsidRPr="00C90FE2">
        <w:rPr>
          <w:noProof/>
          <w:color w:val="FF0000"/>
        </w:rPr>
        <w:t xml:space="preserve">. A solution based on the Shapley Value </w:t>
      </w:r>
      <w:r w:rsidRPr="00C90FE2">
        <w:rPr>
          <w:noProof/>
          <w:color w:val="FF0000"/>
        </w:rPr>
        <w:fldChar w:fldCharType="begin"/>
      </w:r>
      <w:r w:rsidRPr="00C90FE2">
        <w:rPr>
          <w:noProof/>
          <w:color w:val="FF0000"/>
        </w:rPr>
        <w:instrText xml:space="preserve"> ADDIN EN.CITE &lt;EndNote&gt;&lt;Cite&gt;&lt;Author&gt;Shapley&lt;/Author&gt;&lt;Year&gt;1971&lt;/Year&gt;&lt;RecNum&gt;213&lt;/RecNum&gt;&lt;DisplayText&gt;(Shapley, 1971)&lt;/DisplayText&gt;&lt;record&gt;&lt;rec-number&gt;213&lt;/rec-number&gt;&lt;foreign-keys&gt;&lt;key app="EN" db-id="x5etaz5aiszvz0edasvvpwvotttxepvd25t2" timestamp="1611177410"&gt;213&lt;/key&gt;&lt;/foreign-keys&gt;&lt;ref-type name="Journal Article"&gt;17&lt;/ref-type&gt;&lt;contributors&gt;&lt;authors&gt;&lt;author&gt;Shapley, Lloyd S&lt;/author&gt;&lt;/authors&gt;&lt;/contributors&gt;&lt;titles&gt;&lt;title&gt;Cores of convex games&lt;/title&gt;&lt;secondary-title&gt;International journal of game theory&lt;/secondary-title&gt;&lt;/titles&gt;&lt;periodical&gt;&lt;full-title&gt;International journal of game theory&lt;/full-title&gt;&lt;/periodical&gt;&lt;pages&gt;11-26&lt;/pages&gt;&lt;volume&gt;1&lt;/volume&gt;&lt;number&gt;1&lt;/number&gt;&lt;dates&gt;&lt;year&gt;1971&lt;/year&gt;&lt;/dates&gt;&lt;isbn&gt;0020-7276&lt;/isbn&gt;&lt;urls&gt;&lt;/urls&gt;&lt;/record&gt;&lt;/Cite&gt;&lt;/EndNote&gt;</w:instrText>
      </w:r>
      <w:r w:rsidRPr="00C90FE2">
        <w:rPr>
          <w:noProof/>
          <w:color w:val="FF0000"/>
        </w:rPr>
        <w:fldChar w:fldCharType="separate"/>
      </w:r>
      <w:r w:rsidRPr="00C90FE2">
        <w:rPr>
          <w:noProof/>
          <w:color w:val="FF0000"/>
        </w:rPr>
        <w:t>(Shapley, 1971)</w:t>
      </w:r>
      <w:r w:rsidRPr="00C90FE2">
        <w:rPr>
          <w:noProof/>
          <w:color w:val="FF0000"/>
        </w:rPr>
        <w:fldChar w:fldCharType="end"/>
      </w:r>
      <w:r w:rsidRPr="00C90FE2">
        <w:rPr>
          <w:noProof/>
          <w:color w:val="FF0000"/>
        </w:rPr>
        <w:t xml:space="preserve"> concept will be employed to calculate the numerical results for cost allocations, under different responsibility scenarios. </w:t>
      </w:r>
    </w:p>
    <w:p w14:paraId="2680BFB1" w14:textId="6C348D2F" w:rsidR="00697944" w:rsidRPr="00697944" w:rsidRDefault="00697944" w:rsidP="00697944">
      <w:pPr>
        <w:pStyle w:val="Heading2"/>
        <w:spacing w:after="120" w:line="360" w:lineRule="auto"/>
      </w:pPr>
      <w:bookmarkStart w:id="1012" w:name="_Toc66703261"/>
      <w:r w:rsidRPr="00F2588A">
        <w:t>A Game-</w:t>
      </w:r>
      <w:r w:rsidR="00F43E78">
        <w:t>t</w:t>
      </w:r>
      <w:r w:rsidR="00F43E78" w:rsidRPr="00F2588A">
        <w:t xml:space="preserve">heoretic </w:t>
      </w:r>
      <w:r w:rsidRPr="00F2588A">
        <w:t xml:space="preserve">model for </w:t>
      </w:r>
      <w:r w:rsidR="00F43E78">
        <w:t>c</w:t>
      </w:r>
      <w:r w:rsidR="00F43E78" w:rsidRPr="00F2588A">
        <w:t xml:space="preserve">ost </w:t>
      </w:r>
      <w:r w:rsidRPr="00F2588A">
        <w:t>Allocation in UCC networks</w:t>
      </w:r>
      <w:bookmarkEnd w:id="1012"/>
    </w:p>
    <w:p w14:paraId="4599555D" w14:textId="4FBBD87C" w:rsidR="002D252C" w:rsidRPr="001B4A5B" w:rsidRDefault="002D252C" w:rsidP="00FC5080">
      <w:pPr>
        <w:tabs>
          <w:tab w:val="left" w:pos="2910"/>
        </w:tabs>
        <w:spacing w:line="360" w:lineRule="auto"/>
        <w:rPr>
          <w:color w:val="FF0000"/>
        </w:rPr>
      </w:pPr>
      <w:r w:rsidRPr="005B72DB">
        <w:t xml:space="preserve">The model developed in this </w:t>
      </w:r>
      <w:r w:rsidR="00152A7D">
        <w:t>section</w:t>
      </w:r>
      <w:r w:rsidRPr="005B72DB">
        <w:t xml:space="preserve"> is an adaptation to the UCC context of the fundamental contribution of </w:t>
      </w:r>
      <w:r w:rsidR="009C65B1">
        <w:t xml:space="preserve">the two studies </w:t>
      </w:r>
      <w:r w:rsidR="009C65B1" w:rsidRPr="005B72DB">
        <w:fldChar w:fldCharType="begin">
          <w:fldData xml:space="preserve">PEVuZE5vdGU+PENpdGU+PEF1dGhvcj5OaTwvQXV0aG9yPjxZZWFyPjIwMDc8L1llYXI+PFJlY051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</w:fldData>
        </w:fldChar>
      </w:r>
      <w:r w:rsidR="009C65B1">
        <w:instrText xml:space="preserve"> ADDIN EN.CITE </w:instrText>
      </w:r>
      <w:r w:rsidR="009C65B1">
        <w:fldChar w:fldCharType="begin">
          <w:fldData xml:space="preserve">PEVuZE5vdGU+PENpdGU+PEF1dGhvcj5OaTwvQXV0aG9yPjxZZWFyPjIwMDc8L1llYXI+PFJlY051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</w:fldData>
        </w:fldChar>
      </w:r>
      <w:r w:rsidR="009C65B1">
        <w:instrText xml:space="preserve"> ADDIN EN.CITE.DATA </w:instrText>
      </w:r>
      <w:r w:rsidR="009C65B1">
        <w:fldChar w:fldCharType="end"/>
      </w:r>
      <w:r w:rsidR="009C65B1" w:rsidRPr="005B72DB">
        <w:fldChar w:fldCharType="separate"/>
      </w:r>
      <w:r w:rsidR="009C65B1" w:rsidRPr="005B72DB">
        <w:rPr>
          <w:noProof/>
        </w:rPr>
        <w:t>(Ni and Wang, 2007, Dong et al., 2012)</w:t>
      </w:r>
      <w:r w:rsidR="009C65B1" w:rsidRPr="005B72DB">
        <w:fldChar w:fldCharType="end"/>
      </w:r>
      <w:r w:rsidRPr="005B72DB">
        <w:t xml:space="preserve">. </w:t>
      </w:r>
      <w:r w:rsidR="000E2D1E">
        <w:rPr>
          <w:rFonts w:cs="Arial"/>
          <w:color w:val="000000" w:themeColor="text1"/>
          <w:shd w:val="clear" w:color="auto" w:fill="FFFFFF"/>
        </w:rPr>
        <w:t>I</w:t>
      </w:r>
      <w:r w:rsidRPr="00631DA4">
        <w:rPr>
          <w:rFonts w:cs="Arial"/>
          <w:color w:val="000000" w:themeColor="text1"/>
          <w:shd w:val="clear" w:color="auto" w:fill="FFFFFF"/>
        </w:rPr>
        <w:t>n general,</w:t>
      </w:r>
      <w:r w:rsidRPr="00631DA4">
        <w:rPr>
          <w:color w:val="000000" w:themeColor="text1"/>
        </w:rPr>
        <w:t xml:space="preserve"> three principles can be followed for the </w:t>
      </w:r>
      <w:r w:rsidR="000E2D1E">
        <w:rPr>
          <w:color w:val="000000" w:themeColor="text1"/>
        </w:rPr>
        <w:t>sharing the cost of UCC to its upstream and downstream stakeholders</w:t>
      </w:r>
      <w:r w:rsidRPr="00631DA4">
        <w:rPr>
          <w:color w:val="000000" w:themeColor="text1"/>
        </w:rPr>
        <w:t>:</w:t>
      </w:r>
    </w:p>
    <w:p w14:paraId="266CBA36" w14:textId="77777777" w:rsidR="002D252C" w:rsidRPr="005B72DB" w:rsidRDefault="002D252C" w:rsidP="00FC5080">
      <w:pPr>
        <w:pStyle w:val="ListParagraph"/>
        <w:widowControl w:val="0"/>
        <w:numPr>
          <w:ilvl w:val="0"/>
          <w:numId w:val="6"/>
        </w:numPr>
        <w:spacing w:line="360" w:lineRule="auto"/>
      </w:pPr>
      <w:r w:rsidRPr="005B72DB">
        <w:t xml:space="preserve">A Local Responsibility principle (LR), according to which each company is strictly responsible for the cleaning costs, related to the production activities strictly happening at its premises (and, therefore, within their river portion). </w:t>
      </w:r>
    </w:p>
    <w:p w14:paraId="343072E6" w14:textId="77777777" w:rsidR="002D252C" w:rsidRPr="005B72DB" w:rsidRDefault="002D252C" w:rsidP="00FC5080">
      <w:pPr>
        <w:pStyle w:val="ListParagraph"/>
        <w:widowControl w:val="0"/>
        <w:numPr>
          <w:ilvl w:val="0"/>
          <w:numId w:val="6"/>
        </w:numPr>
        <w:spacing w:line="360" w:lineRule="auto"/>
      </w:pPr>
      <w:r w:rsidRPr="005B72DB">
        <w:t xml:space="preserve">An Upstream Responsibility principle (UR), stating that companies located upstream are responsible not only for pollution happening at their premises, but will also pollute portions located downstream, and should be held responsible for this, participating to cleaning costs. </w:t>
      </w:r>
    </w:p>
    <w:p w14:paraId="41B4ADC2" w14:textId="77777777" w:rsidR="002D252C" w:rsidRPr="005B72DB" w:rsidRDefault="002D252C" w:rsidP="00FC5080">
      <w:pPr>
        <w:pStyle w:val="ListParagraph"/>
        <w:widowControl w:val="0"/>
        <w:numPr>
          <w:ilvl w:val="0"/>
          <w:numId w:val="6"/>
        </w:numPr>
        <w:spacing w:line="360" w:lineRule="auto"/>
      </w:pPr>
      <w:r w:rsidRPr="005B72DB">
        <w:t xml:space="preserve">A Downstream Responsibility principle (DR), stating that downstream companies located along the river should participate in cleaning activities for upstream portions of the river. </w:t>
      </w:r>
    </w:p>
    <w:p w14:paraId="4B7ABAE6" w14:textId="77777777" w:rsidR="002D252C" w:rsidRPr="005B72DB" w:rsidRDefault="002D252C" w:rsidP="00FC5080">
      <w:pPr>
        <w:spacing w:line="360" w:lineRule="auto"/>
      </w:pPr>
      <w:r w:rsidRPr="005B72DB">
        <w:lastRenderedPageBreak/>
        <w:t>Based on the LR, DR</w:t>
      </w:r>
      <w:r>
        <w:t>,</w:t>
      </w:r>
      <w:r w:rsidRPr="005B72DB">
        <w:t xml:space="preserve"> and UR principles mentioned in the above section, authors propose three allocation methods:  </w:t>
      </w:r>
      <w:r w:rsidRPr="005B72DB">
        <w:rPr>
          <w:iCs/>
        </w:rPr>
        <w:t>Local Responsibility Sharing</w:t>
      </w:r>
      <w:r w:rsidRPr="005B72DB">
        <w:rPr>
          <w:i/>
          <w:iCs/>
        </w:rPr>
        <w:t xml:space="preserve"> </w:t>
      </w:r>
      <w:r w:rsidRPr="005B72DB">
        <w:t xml:space="preserve">(LRS), </w:t>
      </w:r>
      <w:r w:rsidRPr="005B72DB">
        <w:rPr>
          <w:iCs/>
        </w:rPr>
        <w:t>Upstream Equal Sharing</w:t>
      </w:r>
      <w:r w:rsidRPr="005B72DB">
        <w:rPr>
          <w:i/>
          <w:iCs/>
        </w:rPr>
        <w:t xml:space="preserve"> </w:t>
      </w:r>
      <w:r w:rsidRPr="005B72DB">
        <w:t>(UES)</w:t>
      </w:r>
      <w:r>
        <w:t>,</w:t>
      </w:r>
      <w:r w:rsidRPr="005B72DB">
        <w:t xml:space="preserve"> and </w:t>
      </w:r>
      <w:r w:rsidRPr="005B72DB">
        <w:rPr>
          <w:iCs/>
        </w:rPr>
        <w:t>Downstream Equal Sharing</w:t>
      </w:r>
      <w:r w:rsidRPr="005B72DB">
        <w:rPr>
          <w:i/>
          <w:iCs/>
        </w:rPr>
        <w:t xml:space="preserve"> </w:t>
      </w:r>
      <w:r w:rsidRPr="005B72DB">
        <w:t xml:space="preserve">(DES) methods </w:t>
      </w:r>
      <w:r w:rsidRPr="005B72DB">
        <w:fldChar w:fldCharType="begin">
          <w:fldData xml:space="preserve">PEVuZE5vdGU+PENpdGU+PEF1dGhvcj5OaTwvQXV0aG9yPjxZZWFyPjIwMDc8L1llYXI+PFJlY051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</w:fldData>
        </w:fldChar>
      </w:r>
      <w:r>
        <w:instrText xml:space="preserve"> ADDIN EN.CITE </w:instrText>
      </w:r>
      <w:r>
        <w:fldChar w:fldCharType="begin">
          <w:fldData xml:space="preserve">PEVuZE5vdGU+PENpdGU+PEF1dGhvcj5OaTwvQXV0aG9yPjxZZWFyPjIwMDc8L1llYXI+PFJlY051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</w:fldData>
        </w:fldChar>
      </w:r>
      <w:r>
        <w:instrText xml:space="preserve"> ADDIN EN.CITE.DATA </w:instrText>
      </w:r>
      <w:r>
        <w:fldChar w:fldCharType="end"/>
      </w:r>
      <w:r w:rsidRPr="005B72DB">
        <w:fldChar w:fldCharType="separate"/>
      </w:r>
      <w:r w:rsidRPr="005B72DB">
        <w:rPr>
          <w:noProof/>
        </w:rPr>
        <w:t>(Ni and Wang, 2007, Dong et al., 2012)</w:t>
      </w:r>
      <w:r w:rsidRPr="005B72DB">
        <w:fldChar w:fldCharType="end"/>
      </w:r>
      <w:r w:rsidRPr="005B72DB">
        <w:t>.</w:t>
      </w:r>
    </w:p>
    <w:p w14:paraId="3E60F813" w14:textId="20001AB1" w:rsidR="002D252C" w:rsidRPr="005B72DB" w:rsidRDefault="002D252C" w:rsidP="00FC5080">
      <w:pPr>
        <w:spacing w:line="360" w:lineRule="auto"/>
      </w:pPr>
      <w:r w:rsidRPr="005B72DB">
        <w:t xml:space="preserve">In this </w:t>
      </w:r>
      <w:r w:rsidR="00152A7D">
        <w:t>study</w:t>
      </w:r>
      <w:r w:rsidRPr="005B72DB">
        <w:t>, an adaptation of this framework will be developed to the cost allocation problem in the context of a UCC delivery network, under the following assumptions</w:t>
      </w:r>
      <w:r>
        <w:t xml:space="preserve"> (see Figure 1)</w:t>
      </w:r>
      <w:r w:rsidRPr="005B72DB">
        <w:t>:</w:t>
      </w:r>
    </w:p>
    <w:p w14:paraId="2919C7AC" w14:textId="77777777" w:rsidR="002D252C" w:rsidRPr="00E70585" w:rsidRDefault="002D252C" w:rsidP="00FC5080">
      <w:pPr>
        <w:pStyle w:val="ListParagraph"/>
        <w:widowControl w:val="0"/>
        <w:numPr>
          <w:ilvl w:val="0"/>
          <w:numId w:val="6"/>
        </w:numPr>
        <w:spacing w:line="360" w:lineRule="auto"/>
        <w:rPr>
          <w:color w:val="FF0000"/>
        </w:rPr>
      </w:pPr>
      <w:r w:rsidRPr="00E70585">
        <w:rPr>
          <w:color w:val="FF0000"/>
        </w:rPr>
        <w:t xml:space="preserve">Different stakeholders are cooperating in a multi-tier delivery </w:t>
      </w:r>
      <w:proofErr w:type="gramStart"/>
      <w:r w:rsidRPr="00E70585">
        <w:rPr>
          <w:color w:val="FF0000"/>
        </w:rPr>
        <w:t>chain;</w:t>
      </w:r>
      <w:proofErr w:type="gramEnd"/>
    </w:p>
    <w:p w14:paraId="4B66CBE4" w14:textId="5D6A3E82" w:rsidR="00257145" w:rsidRPr="00E70585" w:rsidRDefault="00257145" w:rsidP="00257145">
      <w:pPr>
        <w:pStyle w:val="ListParagraph"/>
        <w:widowControl w:val="0"/>
        <w:numPr>
          <w:ilvl w:val="0"/>
          <w:numId w:val="6"/>
        </w:numPr>
        <w:spacing w:after="240" w:line="360" w:lineRule="auto"/>
        <w:rPr>
          <w:color w:val="FF0000"/>
        </w:rPr>
      </w:pPr>
      <w:r w:rsidRPr="00E70585">
        <w:rPr>
          <w:color w:val="FF0000"/>
        </w:rPr>
        <w:t xml:space="preserve">A single parcel (or for a group of </w:t>
      </w:r>
      <w:r w:rsidR="00495DC0" w:rsidRPr="00E70585">
        <w:rPr>
          <w:color w:val="FF0000"/>
        </w:rPr>
        <w:t>packages</w:t>
      </w:r>
      <w:r w:rsidRPr="00E70585">
        <w:rPr>
          <w:color w:val="FF0000"/>
        </w:rPr>
        <w:t xml:space="preserve"> following the same route in the supply chain) will be moved from upstream stakeholders (i.e., suppliers) to downstream ones (i.e., customers</w:t>
      </w:r>
      <w:proofErr w:type="gramStart"/>
      <w:r w:rsidRPr="00E70585">
        <w:rPr>
          <w:color w:val="FF0000"/>
        </w:rPr>
        <w:t>)</w:t>
      </w:r>
      <w:r w:rsidR="00757C32" w:rsidRPr="00E70585">
        <w:rPr>
          <w:color w:val="FF0000"/>
        </w:rPr>
        <w:t>;</w:t>
      </w:r>
      <w:proofErr w:type="gramEnd"/>
    </w:p>
    <w:p w14:paraId="78CB3DC0" w14:textId="41A8B50E" w:rsidR="00257145" w:rsidRPr="00E70585" w:rsidRDefault="00257145" w:rsidP="00257145">
      <w:pPr>
        <w:pStyle w:val="ListParagraph"/>
        <w:widowControl w:val="0"/>
        <w:numPr>
          <w:ilvl w:val="0"/>
          <w:numId w:val="6"/>
        </w:numPr>
        <w:spacing w:line="360" w:lineRule="auto"/>
        <w:rPr>
          <w:color w:val="FF0000"/>
        </w:rPr>
      </w:pPr>
      <w:r w:rsidRPr="00E70585">
        <w:rPr>
          <w:color w:val="FF0000"/>
        </w:rPr>
        <w:t>The suppliers, intercity carriers, can be consider as the categories of stakeholders.</w:t>
      </w:r>
    </w:p>
    <w:p w14:paraId="763E0C89" w14:textId="77777777" w:rsidR="002D252C" w:rsidRPr="005B72DB" w:rsidRDefault="002D252C" w:rsidP="002D252C">
      <w:pPr>
        <w:pStyle w:val="ListParagraph"/>
      </w:pPr>
    </w:p>
    <w:p w14:paraId="4573C8FF" w14:textId="552BEF97" w:rsidR="002D252C" w:rsidRPr="005B72DB" w:rsidRDefault="002D252C" w:rsidP="002D252C">
      <w:pPr>
        <w:jc w:val="center"/>
      </w:pPr>
      <w:r>
        <w:rPr>
          <w:noProof/>
          <w:lang w:eastAsia="en-GB"/>
        </w:rPr>
        <w:drawing>
          <wp:inline distT="0" distB="0" distL="0" distR="0" wp14:anchorId="5AFA1F7E" wp14:editId="0415D8D4">
            <wp:extent cx="5731510" cy="1409065"/>
            <wp:effectExtent l="0" t="0" r="0"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31510" cy="1409065"/>
                    </a:xfrm>
                    <a:prstGeom prst="rect">
                      <a:avLst/>
                    </a:prstGeom>
                    <a:noFill/>
                    <a:ln>
                      <a:noFill/>
                    </a:ln>
                  </pic:spPr>
                </pic:pic>
              </a:graphicData>
            </a:graphic>
          </wp:inline>
        </w:drawing>
      </w:r>
    </w:p>
    <w:p w14:paraId="05F2C7C4" w14:textId="3BDFDB4A" w:rsidR="002D252C" w:rsidRPr="00453937" w:rsidRDefault="00453937" w:rsidP="00453937">
      <w:pPr>
        <w:pStyle w:val="Caption"/>
        <w:rPr>
          <w:i w:val="0"/>
          <w:color w:val="auto"/>
        </w:rPr>
      </w:pPr>
      <w:bookmarkStart w:id="1013" w:name="_Ref62081216"/>
      <w:bookmarkStart w:id="1014" w:name="_Toc66698731"/>
      <w:r>
        <w:t xml:space="preserve">Figure </w:t>
      </w:r>
      <w:r w:rsidR="000306D9">
        <w:fldChar w:fldCharType="begin"/>
      </w:r>
      <w:r w:rsidR="000306D9">
        <w:instrText xml:space="preserve"> STYLEREF 1 \s </w:instrText>
      </w:r>
      <w:r w:rsidR="000306D9">
        <w:fldChar w:fldCharType="separate"/>
      </w:r>
      <w:r w:rsidR="0005064B">
        <w:rPr>
          <w:noProof/>
        </w:rPr>
        <w:t>7</w:t>
      </w:r>
      <w:r w:rsidR="000306D9">
        <w:rPr>
          <w:noProof/>
        </w:rPr>
        <w:fldChar w:fldCharType="end"/>
      </w:r>
      <w:r w:rsidR="00632993">
        <w:noBreakHyphen/>
      </w:r>
      <w:r w:rsidR="000306D9">
        <w:fldChar w:fldCharType="begin"/>
      </w:r>
      <w:r w:rsidR="000306D9">
        <w:instrText xml:space="preserve"> SEQ Figure \* ARABIC \s 1 </w:instrText>
      </w:r>
      <w:r w:rsidR="000306D9">
        <w:fldChar w:fldCharType="separate"/>
      </w:r>
      <w:r w:rsidR="0005064B">
        <w:rPr>
          <w:noProof/>
        </w:rPr>
        <w:t>1</w:t>
      </w:r>
      <w:r w:rsidR="000306D9">
        <w:rPr>
          <w:noProof/>
        </w:rPr>
        <w:fldChar w:fldCharType="end"/>
      </w:r>
      <w:bookmarkEnd w:id="1013"/>
      <w:r>
        <w:t xml:space="preserve">: </w:t>
      </w:r>
      <w:r w:rsidR="002D252C" w:rsidRPr="00453937">
        <w:t>Typical UCC based Freight Transport Chain</w:t>
      </w:r>
      <w:bookmarkEnd w:id="1014"/>
    </w:p>
    <w:p w14:paraId="18BBD85C" w14:textId="7A8229B4" w:rsidR="002D252C" w:rsidRPr="00FE26BC" w:rsidRDefault="002D252C" w:rsidP="00AC5553">
      <w:pPr>
        <w:spacing w:after="240" w:line="360" w:lineRule="auto"/>
        <w:rPr>
          <w:rFonts w:cs="Times New Roman"/>
        </w:rPr>
      </w:pPr>
      <w:r w:rsidRPr="00FE26BC">
        <w:rPr>
          <w:rFonts w:cs="Times New Roman"/>
        </w:rPr>
        <w:t xml:space="preserve">Under such assumptions, a typical UCC based freight transport chain can be considered. Such a transport chain can be regarded as including a finite set </w:t>
      </w:r>
      <w:r w:rsidRPr="00FE26BC">
        <w:rPr>
          <w:rFonts w:cs="Times New Roman"/>
          <w:i/>
        </w:rPr>
        <w:t xml:space="preserve">N </w:t>
      </w:r>
      <w:r w:rsidRPr="00FE26BC">
        <w:rPr>
          <w:rFonts w:cs="Times New Roman"/>
        </w:rPr>
        <w:t>of |</w:t>
      </w:r>
      <w:r w:rsidRPr="00FE26BC">
        <w:rPr>
          <w:rFonts w:cs="Times New Roman"/>
          <w:i/>
          <w:iCs/>
        </w:rPr>
        <w:t>N</w:t>
      </w:r>
      <w:r w:rsidRPr="00FE26BC">
        <w:rPr>
          <w:rFonts w:cs="Times New Roman"/>
        </w:rPr>
        <w:t>| different stakeholders linked together by a set of goods moving processes (GMPs)</w:t>
      </w:r>
      <w:r w:rsidRPr="00FE26BC">
        <w:rPr>
          <w:rFonts w:cs="Times New Roman"/>
          <w:iCs/>
        </w:rPr>
        <w:t xml:space="preserve">. Such GMPs can be represented as a set of links </w:t>
      </w:r>
      <w:r w:rsidRPr="00FE26BC">
        <w:rPr>
          <w:rFonts w:cs="Times New Roman"/>
          <w:i/>
        </w:rPr>
        <w:t>L</w:t>
      </w:r>
      <w:r w:rsidRPr="00FE26BC">
        <w:rPr>
          <w:rFonts w:cs="Times New Roman"/>
          <w:iCs/>
        </w:rPr>
        <w:t>, which are connecting stakeholders operating in the network.</w:t>
      </w:r>
      <w:r w:rsidRPr="00FE26BC">
        <w:rPr>
          <w:rFonts w:cs="Times New Roman"/>
          <w:i/>
          <w:iCs/>
          <w:vertAlign w:val="subscript"/>
        </w:rPr>
        <w:t xml:space="preserve"> </w:t>
      </w:r>
      <w:r w:rsidRPr="00FE26BC">
        <w:rPr>
          <w:rFonts w:cs="Times New Roman"/>
        </w:rPr>
        <w:t xml:space="preserve">Therefore, the number of stakeholders is equal to the numbers of GMPs, that is |L|=|N|. According to this feature, </w:t>
      </w:r>
      <w:r w:rsidR="00AC5553">
        <w:rPr>
          <w:rFonts w:cs="Times New Roman"/>
        </w:rPr>
        <w:t>this study</w:t>
      </w:r>
      <w:r w:rsidRPr="00FE26BC">
        <w:rPr>
          <w:rFonts w:cs="Times New Roman"/>
        </w:rPr>
        <w:t xml:space="preserve"> consider</w:t>
      </w:r>
      <w:r w:rsidR="00AC5553">
        <w:rPr>
          <w:rFonts w:cs="Times New Roman"/>
        </w:rPr>
        <w:t>s</w:t>
      </w:r>
      <w:r w:rsidRPr="00FE26BC">
        <w:rPr>
          <w:rFonts w:cs="Times New Roman"/>
        </w:rPr>
        <w:t xml:space="preserve"> these GMPs in an </w:t>
      </w:r>
      <w:r w:rsidRPr="00FE26BC">
        <w:rPr>
          <w:rFonts w:cs="Times New Roman"/>
          <w:iCs/>
        </w:rPr>
        <w:t>upstream-downstream</w:t>
      </w:r>
      <w:r w:rsidRPr="00FE26BC">
        <w:rPr>
          <w:rFonts w:cs="Times New Roman"/>
          <w:i/>
          <w:iCs/>
        </w:rPr>
        <w:t xml:space="preserve"> </w:t>
      </w:r>
      <w:r w:rsidRPr="00FE26BC">
        <w:rPr>
          <w:rFonts w:cs="Times New Roman"/>
        </w:rPr>
        <w:t>structure. Each link L</w:t>
      </w:r>
      <w:r w:rsidRPr="00FE26BC">
        <w:rPr>
          <w:rFonts w:cs="Times New Roman"/>
          <w:i/>
          <w:iCs/>
          <w:color w:val="FF0000"/>
          <w:vertAlign w:val="subscript"/>
        </w:rPr>
        <w:t>i</w:t>
      </w:r>
      <w:r w:rsidRPr="00FE26BC">
        <w:rPr>
          <w:rFonts w:cs="Times New Roman"/>
        </w:rPr>
        <w:t xml:space="preserve"> is associated with a label (cost), denoted by </w:t>
      </w:r>
      <w:r w:rsidRPr="00FE26BC">
        <w:rPr>
          <w:rFonts w:cs="Times New Roman"/>
          <w:i/>
          <w:iCs/>
          <w:noProof/>
          <w:color w:val="FF0000"/>
          <w:position w:val="-14"/>
          <w:lang w:eastAsia="en-GB"/>
        </w:rPr>
        <w:drawing>
          <wp:inline distT="0" distB="0" distL="0" distR="0" wp14:anchorId="2AE8A1E0" wp14:editId="3996C5BF">
            <wp:extent cx="149225" cy="289560"/>
            <wp:effectExtent l="0" t="0" r="0" b="2540"/>
            <wp:docPr id="32"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49225" cy="289560"/>
                    </a:xfrm>
                    <a:prstGeom prst="rect">
                      <a:avLst/>
                    </a:prstGeom>
                    <a:noFill/>
                    <a:ln>
                      <a:noFill/>
                    </a:ln>
                  </pic:spPr>
                </pic:pic>
              </a:graphicData>
            </a:graphic>
          </wp:inline>
        </w:drawing>
      </w:r>
      <w:r w:rsidRPr="00FE26BC">
        <w:rPr>
          <w:rFonts w:cs="Times New Roman"/>
        </w:rPr>
        <w:t xml:space="preserve"> and representing the cost of the GMP for moving a parcel delivers from stakeholder </w:t>
      </w:r>
      <w:proofErr w:type="spellStart"/>
      <w:r w:rsidRPr="00FE26BC">
        <w:rPr>
          <w:rFonts w:cs="Times New Roman"/>
          <w:i/>
          <w:iCs/>
        </w:rPr>
        <w:t>i</w:t>
      </w:r>
      <w:proofErr w:type="spellEnd"/>
      <w:r w:rsidRPr="00FE26BC">
        <w:rPr>
          <w:rFonts w:cs="Times New Roman"/>
          <w:i/>
          <w:iCs/>
        </w:rPr>
        <w:t xml:space="preserve"> </w:t>
      </w:r>
      <w:r w:rsidRPr="00FE26BC">
        <w:rPr>
          <w:rFonts w:cs="Times New Roman"/>
        </w:rPr>
        <w:t xml:space="preserve">to stakeholder </w:t>
      </w:r>
      <w:r w:rsidRPr="00FE26BC">
        <w:rPr>
          <w:rFonts w:cs="Times New Roman"/>
          <w:i/>
          <w:iCs/>
        </w:rPr>
        <w:t>i</w:t>
      </w:r>
      <w:r w:rsidRPr="00FE26BC">
        <w:rPr>
          <w:rFonts w:cs="Times New Roman"/>
        </w:rPr>
        <w:t xml:space="preserve">+1. </w:t>
      </w:r>
      <w:r w:rsidR="00AC5553">
        <w:rPr>
          <w:rFonts w:cs="Times New Roman"/>
        </w:rPr>
        <w:t>This study</w:t>
      </w:r>
      <w:r w:rsidRPr="00FE26BC">
        <w:rPr>
          <w:rFonts w:cs="Times New Roman"/>
        </w:rPr>
        <w:t xml:space="preserve"> refer</w:t>
      </w:r>
      <w:r w:rsidR="00AC5553">
        <w:rPr>
          <w:rFonts w:cs="Times New Roman"/>
        </w:rPr>
        <w:t>s</w:t>
      </w:r>
      <w:r w:rsidRPr="00FE26BC">
        <w:rPr>
          <w:rFonts w:cs="Times New Roman"/>
        </w:rPr>
        <w:t xml:space="preserve"> to </w:t>
      </w:r>
      <m:oMath>
        <m:r>
          <m:rPr>
            <m:nor/>
          </m:rPr>
          <w:rPr>
            <w:rFonts w:eastAsia="Times New Roman" w:cs="Times New Roman"/>
            <w:b/>
            <w:i/>
            <w:lang w:val="en-US"/>
          </w:rPr>
          <m:t xml:space="preserve">c </m:t>
        </m:r>
        <w:proofErr w:type="gramStart"/>
        <m:r>
          <m:rPr>
            <m:nor/>
          </m:rPr>
          <w:rPr>
            <w:rFonts w:cs="Times New Roman"/>
            <w:iCs/>
          </w:rPr>
          <m:t>=(</m:t>
        </m:r>
        <w:proofErr w:type="gramEnd"/>
        <m:sSub>
          <m:sSubPr>
            <m:ctrlPr>
              <w:rPr>
                <w:rFonts w:ascii="Cambria Math" w:hAnsi="Cambria Math" w:cs="Times New Roman"/>
                <w:iCs/>
              </w:rPr>
            </m:ctrlPr>
          </m:sSubPr>
          <m:e>
            <m:r>
              <w:rPr>
                <w:rFonts w:ascii="Cambria Math" w:hAnsi="Cambria Math" w:cs="Times New Roman"/>
              </w:rPr>
              <m:t>c</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Cs/>
              </w:rPr>
            </m:ctrlPr>
          </m:sSubPr>
          <m:e>
            <m:r>
              <w:rPr>
                <w:rFonts w:ascii="Cambria Math" w:hAnsi="Cambria Math" w:cs="Times New Roman"/>
              </w:rPr>
              <m:t>c</m:t>
            </m:r>
          </m:e>
          <m:sub>
            <m:r>
              <w:rPr>
                <w:rFonts w:ascii="Cambria Math" w:hAnsi="Cambria Math" w:cs="Times New Roman"/>
              </w:rPr>
              <m:t>2</m:t>
            </m:r>
          </m:sub>
        </m:sSub>
        <m:r>
          <w:rPr>
            <w:rFonts w:ascii="Cambria Math" w:hAnsi="Cambria Math" w:cs="Times New Roman"/>
          </w:rPr>
          <m:t xml:space="preserve">,…, </m:t>
        </m:r>
        <m:sSub>
          <m:sSubPr>
            <m:ctrlPr>
              <w:rPr>
                <w:rFonts w:ascii="Cambria Math" w:hAnsi="Cambria Math" w:cs="Times New Roman"/>
                <w:iCs/>
              </w:rPr>
            </m:ctrlPr>
          </m:sSubPr>
          <m:e>
            <m:r>
              <w:rPr>
                <w:rFonts w:ascii="Cambria Math" w:hAnsi="Cambria Math" w:cs="Times New Roman"/>
              </w:rPr>
              <m:t>c</m:t>
            </m:r>
          </m:e>
          <m:sub>
            <m:r>
              <w:rPr>
                <w:rFonts w:ascii="Cambria Math" w:hAnsi="Cambria Math" w:cs="Times New Roman"/>
              </w:rPr>
              <m:t>n</m:t>
            </m:r>
          </m:sub>
        </m:sSub>
        <m:r>
          <w:rPr>
            <w:rFonts w:ascii="Cambria Math" w:hAnsi="Cambria Math" w:cs="Times New Roman"/>
          </w:rPr>
          <m:t>) ∈</m:t>
        </m:r>
        <m:sSubSup>
          <m:sSubSupPr>
            <m:ctrlPr>
              <w:rPr>
                <w:rFonts w:ascii="Cambria Math" w:hAnsi="Cambria Math" w:cs="Times New Roman"/>
                <w:i/>
                <w:iCs/>
              </w:rPr>
            </m:ctrlPr>
          </m:sSubSupPr>
          <m:e>
            <m:r>
              <w:rPr>
                <w:rFonts w:ascii="Cambria Math" w:hAnsi="Cambria Math" w:cs="Times New Roman"/>
              </w:rPr>
              <m:t>R</m:t>
            </m:r>
          </m:e>
          <m:sub>
            <m:r>
              <w:rPr>
                <w:rFonts w:ascii="Cambria Math" w:hAnsi="Cambria Math" w:cs="Times New Roman"/>
              </w:rPr>
              <m:t>+</m:t>
            </m:r>
          </m:sub>
          <m:sup>
            <m:r>
              <w:rPr>
                <w:rFonts w:ascii="Cambria Math" w:hAnsi="Cambria Math" w:cs="Times New Roman"/>
              </w:rPr>
              <m:t>n</m:t>
            </m:r>
          </m:sup>
        </m:sSubSup>
      </m:oMath>
      <w:r w:rsidRPr="00FE26BC">
        <w:rPr>
          <w:rFonts w:cs="Times New Roman"/>
        </w:rPr>
        <w:t xml:space="preserve"> as the cost vector. The cost share of stakeholder </w:t>
      </w:r>
      <w:proofErr w:type="spellStart"/>
      <w:r w:rsidRPr="00FE26BC">
        <w:rPr>
          <w:rFonts w:cs="Times New Roman"/>
          <w:i/>
        </w:rPr>
        <w:t>i</w:t>
      </w:r>
      <w:proofErr w:type="spellEnd"/>
      <w:r w:rsidRPr="00FE26BC">
        <w:rPr>
          <w:rFonts w:cs="Times New Roman"/>
        </w:rPr>
        <w:t xml:space="preserve"> is denoted by </w:t>
      </w:r>
      <w:r w:rsidRPr="00FE26BC">
        <w:rPr>
          <w:rFonts w:cs="Times New Roman"/>
          <w:i/>
          <w:iCs/>
          <w:noProof/>
          <w:position w:val="-12"/>
          <w:lang w:eastAsia="en-GB"/>
        </w:rPr>
        <w:drawing>
          <wp:inline distT="0" distB="0" distL="0" distR="0" wp14:anchorId="48971C5C" wp14:editId="07CD31AB">
            <wp:extent cx="190500" cy="2476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0500" cy="247650"/>
                    </a:xfrm>
                    <a:prstGeom prst="rect">
                      <a:avLst/>
                    </a:prstGeom>
                    <a:noFill/>
                    <a:ln>
                      <a:noFill/>
                    </a:ln>
                  </pic:spPr>
                </pic:pic>
              </a:graphicData>
            </a:graphic>
          </wp:inline>
        </w:drawing>
      </w:r>
      <w:r w:rsidRPr="00FE26BC">
        <w:rPr>
          <w:rFonts w:cs="Times New Roman"/>
        </w:rPr>
        <w:t xml:space="preserve">. </w:t>
      </w:r>
      <w:r w:rsidR="00AC5553">
        <w:rPr>
          <w:rFonts w:cs="Times New Roman"/>
        </w:rPr>
        <w:t>It can be</w:t>
      </w:r>
      <w:r w:rsidRPr="00FE26BC">
        <w:rPr>
          <w:rFonts w:cs="Times New Roman"/>
        </w:rPr>
        <w:t xml:space="preserve"> sa</w:t>
      </w:r>
      <w:r w:rsidR="00AC5553">
        <w:rPr>
          <w:rFonts w:cs="Times New Roman"/>
        </w:rPr>
        <w:t>id</w:t>
      </w:r>
      <w:r w:rsidRPr="00FE26BC">
        <w:rPr>
          <w:rFonts w:cs="Times New Roman"/>
        </w:rPr>
        <w:t xml:space="preserve"> that the vector</w:t>
      </w:r>
      <m:oMath>
        <m:r>
          <m:rPr>
            <m:nor/>
          </m:rPr>
          <w:rPr>
            <w:rFonts w:eastAsia="Times New Roman" w:cs="Times New Roman"/>
            <w:b/>
            <w:i/>
            <w:lang w:val="en-US"/>
          </w:rPr>
          <m:t xml:space="preserve"> x </m:t>
        </m:r>
        <w:proofErr w:type="gramStart"/>
        <m:r>
          <m:rPr>
            <m:nor/>
          </m:rPr>
          <w:rPr>
            <w:rFonts w:cs="Times New Roman"/>
            <w:iCs/>
          </w:rPr>
          <m:t>=(</m:t>
        </m:r>
        <w:proofErr w:type="gramEnd"/>
        <m:sSub>
          <m:sSubPr>
            <m:ctrlPr>
              <w:rPr>
                <w:rFonts w:ascii="Cambria Math" w:hAnsi="Cambria Math" w:cs="Times New Roman"/>
                <w:iCs/>
              </w:rPr>
            </m:ctrlPr>
          </m:sSubPr>
          <m:e>
            <m:r>
              <w:rPr>
                <w:rFonts w:ascii="Cambria Math" w:hAnsi="Cambria Math" w:cs="Times New Roman"/>
              </w:rPr>
              <m:t>x</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Cs/>
              </w:rPr>
            </m:ctrlPr>
          </m:sSubPr>
          <m:e>
            <m:r>
              <w:rPr>
                <w:rFonts w:ascii="Cambria Math" w:hAnsi="Cambria Math" w:cs="Times New Roman"/>
              </w:rPr>
              <m:t>x</m:t>
            </m:r>
          </m:e>
          <m:sub>
            <m:r>
              <w:rPr>
                <w:rFonts w:ascii="Cambria Math" w:hAnsi="Cambria Math" w:cs="Times New Roman"/>
              </w:rPr>
              <m:t>2</m:t>
            </m:r>
          </m:sub>
        </m:sSub>
        <m:r>
          <w:rPr>
            <w:rFonts w:ascii="Cambria Math" w:hAnsi="Cambria Math" w:cs="Times New Roman"/>
          </w:rPr>
          <m:t xml:space="preserve">,…, </m:t>
        </m:r>
        <m:sSub>
          <m:sSubPr>
            <m:ctrlPr>
              <w:rPr>
                <w:rFonts w:ascii="Cambria Math" w:hAnsi="Cambria Math" w:cs="Times New Roman"/>
                <w:iCs/>
              </w:rPr>
            </m:ctrlPr>
          </m:sSubPr>
          <m:e>
            <m:r>
              <w:rPr>
                <w:rFonts w:ascii="Cambria Math" w:hAnsi="Cambria Math" w:cs="Times New Roman"/>
              </w:rPr>
              <m:t>x</m:t>
            </m:r>
          </m:e>
          <m:sub>
            <m:r>
              <w:rPr>
                <w:rFonts w:ascii="Cambria Math" w:hAnsi="Cambria Math" w:cs="Times New Roman"/>
              </w:rPr>
              <m:t>n</m:t>
            </m:r>
          </m:sub>
        </m:sSub>
        <m:r>
          <w:rPr>
            <w:rFonts w:ascii="Cambria Math" w:hAnsi="Cambria Math" w:cs="Times New Roman"/>
          </w:rPr>
          <m:t>) ∈</m:t>
        </m:r>
        <m:sSubSup>
          <m:sSubSupPr>
            <m:ctrlPr>
              <w:rPr>
                <w:rFonts w:ascii="Cambria Math" w:hAnsi="Cambria Math" w:cs="Times New Roman"/>
                <w:i/>
                <w:iCs/>
              </w:rPr>
            </m:ctrlPr>
          </m:sSubSupPr>
          <m:e>
            <m:r>
              <w:rPr>
                <w:rFonts w:ascii="Cambria Math" w:hAnsi="Cambria Math" w:cs="Times New Roman"/>
              </w:rPr>
              <m:t>R</m:t>
            </m:r>
          </m:e>
          <m:sub>
            <m:r>
              <w:rPr>
                <w:rFonts w:ascii="Cambria Math" w:hAnsi="Cambria Math" w:cs="Times New Roman"/>
              </w:rPr>
              <m:t>+</m:t>
            </m:r>
          </m:sub>
          <m:sup>
            <m:r>
              <w:rPr>
                <w:rFonts w:ascii="Cambria Math" w:hAnsi="Cambria Math" w:cs="Times New Roman"/>
              </w:rPr>
              <m:t>n</m:t>
            </m:r>
          </m:sup>
        </m:sSubSup>
      </m:oMath>
      <w:r w:rsidRPr="00FE26BC">
        <w:rPr>
          <w:rFonts w:cs="Times New Roman"/>
          <w:position w:val="-14"/>
        </w:rPr>
        <w:t xml:space="preserve"> </w:t>
      </w:r>
      <w:r w:rsidRPr="00FE26BC">
        <w:rPr>
          <w:rFonts w:cs="Times New Roman"/>
        </w:rPr>
        <w:t xml:space="preserve">is the stakeholders’ cost allocation vector. An </w:t>
      </w:r>
      <w:r w:rsidRPr="00FE26BC">
        <w:rPr>
          <w:rFonts w:cs="Times New Roman"/>
          <w:i/>
        </w:rPr>
        <w:t>efficient</w:t>
      </w:r>
      <w:r w:rsidRPr="00FE26BC">
        <w:rPr>
          <w:rFonts w:cs="Times New Roman"/>
        </w:rPr>
        <w:t xml:space="preserve"> solution to the cost allocation problem should respect the property</w:t>
      </w:r>
      <w:r w:rsidRPr="00FE26BC">
        <w:rPr>
          <w:rFonts w:cs="Times New Roman"/>
          <w:position w:val="-16"/>
        </w:rPr>
        <w:t xml:space="preserve"> </w:t>
      </w:r>
      <w:r w:rsidRPr="00FE26BC">
        <w:rPr>
          <w:rFonts w:cs="Times New Roman"/>
          <w:noProof/>
          <w:position w:val="-16"/>
          <w:lang w:eastAsia="en-GB"/>
        </w:rPr>
        <w:drawing>
          <wp:inline distT="0" distB="0" distL="0" distR="0" wp14:anchorId="6827CB5D" wp14:editId="02D80F38">
            <wp:extent cx="1047750" cy="3429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047750" cy="342900"/>
                    </a:xfrm>
                    <a:prstGeom prst="rect">
                      <a:avLst/>
                    </a:prstGeom>
                    <a:noFill/>
                    <a:ln>
                      <a:noFill/>
                    </a:ln>
                  </pic:spPr>
                </pic:pic>
              </a:graphicData>
            </a:graphic>
          </wp:inline>
        </w:drawing>
      </w:r>
      <w:r w:rsidRPr="00FE26BC">
        <w:rPr>
          <w:rFonts w:cs="Times New Roman"/>
        </w:rPr>
        <w:t xml:space="preserve">. See </w:t>
      </w:r>
      <w:r w:rsidR="00AC5553">
        <w:rPr>
          <w:rStyle w:val="fontstyle01"/>
          <w:rFonts w:ascii="Times New Roman" w:hAnsi="Times New Roman" w:cs="Times New Roman"/>
        </w:rPr>
        <w:fldChar w:fldCharType="begin"/>
      </w:r>
      <w:r w:rsidR="00AC5553">
        <w:rPr>
          <w:rFonts w:cs="Times New Roman"/>
        </w:rPr>
        <w:instrText xml:space="preserve"> REF _Ref62081216 \h </w:instrText>
      </w:r>
      <w:r w:rsidR="00AC5553">
        <w:rPr>
          <w:rStyle w:val="fontstyle01"/>
          <w:rFonts w:ascii="Times New Roman" w:hAnsi="Times New Roman" w:cs="Times New Roman"/>
        </w:rPr>
      </w:r>
      <w:r w:rsidR="00AC5553">
        <w:rPr>
          <w:rStyle w:val="fontstyle01"/>
          <w:rFonts w:ascii="Times New Roman" w:hAnsi="Times New Roman" w:cs="Times New Roman"/>
        </w:rPr>
        <w:fldChar w:fldCharType="separate"/>
      </w:r>
      <w:r w:rsidR="0005064B">
        <w:t xml:space="preserve">Figure </w:t>
      </w:r>
      <w:r w:rsidR="0005064B">
        <w:rPr>
          <w:noProof/>
        </w:rPr>
        <w:t>7</w:t>
      </w:r>
      <w:r w:rsidR="0005064B">
        <w:noBreakHyphen/>
      </w:r>
      <w:r w:rsidR="0005064B">
        <w:rPr>
          <w:noProof/>
        </w:rPr>
        <w:t>1</w:t>
      </w:r>
      <w:r w:rsidR="00AC5553">
        <w:rPr>
          <w:rStyle w:val="fontstyle01"/>
          <w:rFonts w:ascii="Times New Roman" w:hAnsi="Times New Roman" w:cs="Times New Roman"/>
        </w:rPr>
        <w:fldChar w:fldCharType="end"/>
      </w:r>
      <w:r w:rsidR="00AC5553">
        <w:rPr>
          <w:rStyle w:val="fontstyle01"/>
          <w:rFonts w:ascii="Times New Roman" w:hAnsi="Times New Roman" w:cs="Times New Roman"/>
        </w:rPr>
        <w:t xml:space="preserve"> </w:t>
      </w:r>
      <w:r w:rsidRPr="00FE26BC">
        <w:rPr>
          <w:rStyle w:val="fontstyle01"/>
          <w:rFonts w:ascii="Times New Roman" w:hAnsi="Times New Roman" w:cs="Times New Roman"/>
        </w:rPr>
        <w:t xml:space="preserve">for a graphical representation of </w:t>
      </w:r>
      <w:r w:rsidR="003D2144">
        <w:rPr>
          <w:rStyle w:val="fontstyle01"/>
          <w:rFonts w:ascii="Times New Roman" w:hAnsi="Times New Roman" w:cs="Times New Roman"/>
        </w:rPr>
        <w:t>the</w:t>
      </w:r>
      <w:r w:rsidRPr="00FE26BC">
        <w:rPr>
          <w:rStyle w:val="fontstyle01"/>
          <w:rFonts w:ascii="Times New Roman" w:hAnsi="Times New Roman" w:cs="Times New Roman"/>
        </w:rPr>
        <w:t xml:space="preserve"> model.</w:t>
      </w:r>
    </w:p>
    <w:p w14:paraId="79680F58" w14:textId="198BA9F0" w:rsidR="002D252C" w:rsidRPr="00FE26BC" w:rsidRDefault="002D252C" w:rsidP="00AC5553">
      <w:pPr>
        <w:spacing w:after="240" w:line="360" w:lineRule="auto"/>
        <w:rPr>
          <w:rFonts w:cs="Times New Roman"/>
        </w:rPr>
      </w:pPr>
      <w:r w:rsidRPr="00FE26BC">
        <w:rPr>
          <w:rStyle w:val="fontstyle01"/>
          <w:rFonts w:ascii="Times New Roman" w:hAnsi="Times New Roman" w:cs="Times New Roman"/>
        </w:rPr>
        <w:lastRenderedPageBreak/>
        <w:t xml:space="preserve">Cost Allocation rules may be defined in order to define the vector </w:t>
      </w:r>
      <w:r w:rsidRPr="00FE26BC">
        <w:rPr>
          <w:rStyle w:val="fontstyle01"/>
          <w:rFonts w:ascii="Times New Roman" w:hAnsi="Times New Roman" w:cs="Times New Roman"/>
          <w:b/>
          <w:bCs/>
          <w:i/>
          <w:iCs/>
        </w:rPr>
        <w:t>x</w:t>
      </w:r>
      <w:r w:rsidRPr="00FE26BC">
        <w:rPr>
          <w:rStyle w:val="fontstyle01"/>
          <w:rFonts w:ascii="Times New Roman" w:hAnsi="Times New Roman" w:cs="Times New Roman"/>
        </w:rPr>
        <w:t xml:space="preserve">. </w:t>
      </w:r>
      <w:r w:rsidRPr="00FE26BC">
        <w:rPr>
          <w:rStyle w:val="fontstyle01"/>
          <w:rFonts w:ascii="Times New Roman" w:hAnsi="Times New Roman" w:cs="Times New Roman"/>
        </w:rPr>
        <w:fldChar w:fldCharType="begin"/>
      </w:r>
      <w:r w:rsidRPr="00FE26BC">
        <w:rPr>
          <w:rStyle w:val="fontstyle01"/>
          <w:rFonts w:ascii="Times New Roman" w:hAnsi="Times New Roman" w:cs="Times New Roman"/>
        </w:rPr>
        <w:instrText xml:space="preserve"> ADDIN EN.CITE &lt;EndNote&gt;&lt;Cite AuthorYear="1"&gt;&lt;Author&gt;Ni&lt;/Author&gt;&lt;Year&gt;2007&lt;/Year&gt;&lt;RecNum&gt;214&lt;/RecNum&gt;&lt;DisplayText&gt;Ni and Wang (2007)&lt;/DisplayText&gt;&lt;record&gt;&lt;rec-number&gt;214&lt;/rec-number&gt;&lt;foreign-keys&gt;&lt;key app="EN" db-id="x5etaz5aiszvz0edasvvpwvotttxepvd25t2" timestamp="1611177410"&gt;214&lt;/key&gt;&lt;/foreign-keys&gt;&lt;ref-type name="Journal Article"&gt;17&lt;/ref-type&gt;&lt;contributors&gt;&lt;authors&gt;&lt;author&gt;Ni, Debing&lt;/author&gt;&lt;author&gt;Wang, Yuntong&lt;/author&gt;&lt;/authors&gt;&lt;/contributors&gt;&lt;titles&gt;&lt;title&gt;Sharing a polluted river&lt;/title&gt;&lt;secondary-title&gt;Games and Economic Behavior&lt;/secondary-title&gt;&lt;/titles&gt;&lt;periodical&gt;&lt;full-title&gt;Games and Economic Behavior&lt;/full-title&gt;&lt;/periodical&gt;&lt;pages&gt;176-186&lt;/pages&gt;&lt;volume&gt;60&lt;/volume&gt;&lt;number&gt;1&lt;/number&gt;&lt;keywords&gt;&lt;keyword&gt;Externality&lt;/keyword&gt;&lt;keyword&gt;Fair allocation of pollution costs&lt;/keyword&gt;&lt;keyword&gt;Shapley value&lt;/keyword&gt;&lt;/keywords&gt;&lt;dates&gt;&lt;year&gt;2007&lt;/year&gt;&lt;pub-dates&gt;&lt;date&gt;2007/07/01/&lt;/date&gt;&lt;/pub-dates&gt;&lt;/dates&gt;&lt;isbn&gt;0899-8256&lt;/isbn&gt;&lt;urls&gt;&lt;related-urls&gt;&lt;url&gt;http://www.sciencedirect.com/science/article/pii/S0899825606001412&lt;/url&gt;&lt;/related-urls&gt;&lt;/urls&gt;&lt;electronic-resource-num&gt;https://doi.org/10.1016/j.geb.2006.10.001&lt;/electronic-resource-num&gt;&lt;/record&gt;&lt;/Cite&gt;&lt;/EndNote&gt;</w:instrText>
      </w:r>
      <w:r w:rsidRPr="00FE26BC">
        <w:rPr>
          <w:rStyle w:val="fontstyle01"/>
          <w:rFonts w:ascii="Times New Roman" w:hAnsi="Times New Roman" w:cs="Times New Roman"/>
        </w:rPr>
        <w:fldChar w:fldCharType="separate"/>
      </w:r>
      <w:r w:rsidRPr="00FE26BC">
        <w:rPr>
          <w:rStyle w:val="fontstyle01"/>
          <w:rFonts w:ascii="Times New Roman" w:hAnsi="Times New Roman" w:cs="Times New Roman"/>
          <w:noProof/>
        </w:rPr>
        <w:t>Ni and Wang (2007)</w:t>
      </w:r>
      <w:r w:rsidRPr="00FE26BC">
        <w:rPr>
          <w:rStyle w:val="fontstyle01"/>
          <w:rFonts w:ascii="Times New Roman" w:hAnsi="Times New Roman" w:cs="Times New Roman"/>
        </w:rPr>
        <w:fldChar w:fldCharType="end"/>
      </w:r>
      <w:r w:rsidRPr="00FE26BC">
        <w:rPr>
          <w:rStyle w:val="fontstyle01"/>
          <w:rFonts w:ascii="Times New Roman" w:hAnsi="Times New Roman" w:cs="Times New Roman"/>
        </w:rPr>
        <w:t xml:space="preserve"> and </w:t>
      </w:r>
      <w:r w:rsidRPr="00FE26BC">
        <w:rPr>
          <w:rStyle w:val="fontstyle01"/>
          <w:rFonts w:ascii="Times New Roman" w:hAnsi="Times New Roman" w:cs="Times New Roman"/>
        </w:rPr>
        <w:fldChar w:fldCharType="begin"/>
      </w:r>
      <w:r w:rsidRPr="00FE26BC">
        <w:rPr>
          <w:rStyle w:val="fontstyle01"/>
          <w:rFonts w:ascii="Times New Roman" w:hAnsi="Times New Roman" w:cs="Times New Roman"/>
        </w:rPr>
        <w:instrText xml:space="preserve"> ADDIN EN.CITE &lt;EndNote&gt;&lt;Cite AuthorYear="1"&gt;&lt;Author&gt;Dong&lt;/Author&gt;&lt;Year&gt;2012&lt;/Year&gt;&lt;RecNum&gt;215&lt;/RecNum&gt;&lt;DisplayText&gt;Dong et al. (2012)&lt;/DisplayText&gt;&lt;record&gt;&lt;rec-number&gt;215&lt;/rec-number&gt;&lt;foreign-keys&gt;&lt;key app="EN" db-id="x5etaz5aiszvz0edasvvpwvotttxepvd25t2" timestamp="1611177410"&gt;215&lt;/key&gt;&lt;/foreign-keys&gt;&lt;ref-type name="Journal Article"&gt;17&lt;/ref-type&gt;&lt;contributors&gt;&lt;authors&gt;&lt;author&gt;Dong, Baomin&lt;/author&gt;&lt;author&gt;Ni, Debing&lt;/author&gt;&lt;author&gt;Wang, Yuntong&lt;/author&gt;&lt;/authors&gt;&lt;/contributors&gt;&lt;titles&gt;&lt;title&gt;Sharing a Polluted River Network&lt;/title&gt;&lt;secondary-title&gt;Environmental and Resource Economics&lt;/secondary-title&gt;&lt;/titles&gt;&lt;periodical&gt;&lt;full-title&gt;Environmental and Resource Economics&lt;/full-title&gt;&lt;/periodical&gt;&lt;pages&gt;367-387&lt;/pages&gt;&lt;volume&gt;53&lt;/volume&gt;&lt;number&gt;3&lt;/number&gt;&lt;dates&gt;&lt;year&gt;2012&lt;/year&gt;&lt;pub-dates&gt;&lt;date&gt;2012/11/01&lt;/date&gt;&lt;/pub-dates&gt;&lt;/dates&gt;&lt;isbn&gt;1573-1502&lt;/isbn&gt;&lt;urls&gt;&lt;related-urls&gt;&lt;url&gt;https://doi.org/10.1007/s10640-012-9566-2&lt;/url&gt;&lt;/related-urls&gt;&lt;/urls&gt;&lt;electronic-resource-num&gt;10.1007/s10640-012-9566-2&lt;/electronic-resource-num&gt;&lt;/record&gt;&lt;/Cite&gt;&lt;/EndNote&gt;</w:instrText>
      </w:r>
      <w:r w:rsidRPr="00FE26BC">
        <w:rPr>
          <w:rStyle w:val="fontstyle01"/>
          <w:rFonts w:ascii="Times New Roman" w:hAnsi="Times New Roman" w:cs="Times New Roman"/>
        </w:rPr>
        <w:fldChar w:fldCharType="separate"/>
      </w:r>
      <w:r w:rsidRPr="00FE26BC">
        <w:rPr>
          <w:rStyle w:val="fontstyle01"/>
          <w:rFonts w:ascii="Times New Roman" w:hAnsi="Times New Roman" w:cs="Times New Roman"/>
          <w:noProof/>
        </w:rPr>
        <w:t>Dong et al. (2012)</w:t>
      </w:r>
      <w:r w:rsidRPr="00FE26BC">
        <w:rPr>
          <w:rStyle w:val="fontstyle01"/>
          <w:rFonts w:ascii="Times New Roman" w:hAnsi="Times New Roman" w:cs="Times New Roman"/>
        </w:rPr>
        <w:fldChar w:fldCharType="end"/>
      </w:r>
      <w:r w:rsidRPr="00FE26BC">
        <w:rPr>
          <w:rStyle w:val="fontstyle01"/>
          <w:rFonts w:ascii="Times New Roman" w:hAnsi="Times New Roman" w:cs="Times New Roman"/>
        </w:rPr>
        <w:t xml:space="preserve"> </w:t>
      </w:r>
      <w:r w:rsidRPr="00FE26BC">
        <w:rPr>
          <w:rStyle w:val="fontstyle01"/>
          <w:rFonts w:ascii="Times New Roman" w:hAnsi="Times New Roman" w:cs="Times New Roman"/>
          <w:noProof/>
        </w:rPr>
        <w:t xml:space="preserve">introduce cost allocations </w:t>
      </w:r>
      <w:r w:rsidRPr="00FE26BC">
        <w:rPr>
          <w:rStyle w:val="fontstyle01"/>
          <w:rFonts w:ascii="Times New Roman" w:hAnsi="Times New Roman" w:cs="Times New Roman"/>
        </w:rPr>
        <w:t>for the above-mentioned river problem</w:t>
      </w:r>
      <w:r w:rsidRPr="00FE26BC">
        <w:rPr>
          <w:rStyle w:val="fontstyle01"/>
          <w:rFonts w:ascii="Times New Roman" w:hAnsi="Times New Roman" w:cs="Times New Roman"/>
          <w:noProof/>
        </w:rPr>
        <w:t xml:space="preserve">. </w:t>
      </w:r>
      <w:proofErr w:type="gramStart"/>
      <w:r w:rsidRPr="00FE26BC">
        <w:rPr>
          <w:rStyle w:val="fontstyle01"/>
          <w:rFonts w:ascii="Times New Roman" w:hAnsi="Times New Roman" w:cs="Times New Roman"/>
        </w:rPr>
        <w:t>In particular, such</w:t>
      </w:r>
      <w:proofErr w:type="gramEnd"/>
      <w:r w:rsidRPr="00FE26BC">
        <w:rPr>
          <w:rStyle w:val="fontstyle01"/>
          <w:rFonts w:ascii="Times New Roman" w:hAnsi="Times New Roman" w:cs="Times New Roman"/>
        </w:rPr>
        <w:t xml:space="preserve"> cost allocation rules become the Shapley Value of specific games in characteristic form, which satisfies the efficiency property.</w:t>
      </w:r>
      <w:r w:rsidRPr="00FE26BC">
        <w:rPr>
          <w:rFonts w:cs="Times New Roman"/>
          <w:iCs/>
          <w:sz w:val="22"/>
        </w:rPr>
        <w:t xml:space="preserve"> </w:t>
      </w:r>
      <w:r w:rsidR="007E16AE">
        <w:rPr>
          <w:rFonts w:cs="Times New Roman"/>
        </w:rPr>
        <w:t>This study</w:t>
      </w:r>
      <w:r w:rsidRPr="00FE26BC">
        <w:rPr>
          <w:rFonts w:cs="Times New Roman"/>
        </w:rPr>
        <w:t xml:space="preserve"> </w:t>
      </w:r>
      <w:proofErr w:type="gramStart"/>
      <w:r w:rsidRPr="00FE26BC">
        <w:rPr>
          <w:rFonts w:cs="Times New Roman"/>
        </w:rPr>
        <w:t>use</w:t>
      </w:r>
      <w:proofErr w:type="gramEnd"/>
      <w:r w:rsidRPr="00FE26BC">
        <w:rPr>
          <w:rFonts w:cs="Times New Roman"/>
        </w:rPr>
        <w:t xml:space="preserve"> such cost allocation rules in </w:t>
      </w:r>
      <w:r w:rsidR="003D2144">
        <w:rPr>
          <w:rFonts w:cs="Times New Roman"/>
        </w:rPr>
        <w:t>the</w:t>
      </w:r>
      <w:r w:rsidRPr="00FE26BC">
        <w:rPr>
          <w:rFonts w:cs="Times New Roman"/>
        </w:rPr>
        <w:t xml:space="preserve"> settings. </w:t>
      </w:r>
      <w:r w:rsidRPr="00FE26BC">
        <w:rPr>
          <w:rStyle w:val="fontstyle01"/>
          <w:rFonts w:ascii="Times New Roman" w:hAnsi="Times New Roman" w:cs="Times New Roman"/>
          <w:noProof/>
        </w:rPr>
        <w:t xml:space="preserve">In </w:t>
      </w:r>
      <w:r w:rsidR="003D2144">
        <w:rPr>
          <w:rStyle w:val="fontstyle01"/>
          <w:rFonts w:ascii="Times New Roman" w:hAnsi="Times New Roman" w:cs="Times New Roman"/>
          <w:noProof/>
        </w:rPr>
        <w:t>this</w:t>
      </w:r>
      <w:r w:rsidRPr="00FE26BC">
        <w:rPr>
          <w:rStyle w:val="fontstyle01"/>
          <w:rFonts w:ascii="Times New Roman" w:hAnsi="Times New Roman" w:cs="Times New Roman"/>
          <w:noProof/>
        </w:rPr>
        <w:t xml:space="preserve"> context, cost allocations given by the same allocation rule respect the principle of fairness against the above-mentioned principles of responsibility. A similar interpretation for cost allocation in supply chains has been given in </w:t>
      </w:r>
      <w:r w:rsidRPr="00FE26BC">
        <w:rPr>
          <w:rStyle w:val="fontstyle01"/>
          <w:rFonts w:ascii="Times New Roman" w:hAnsi="Times New Roman" w:cs="Times New Roman"/>
          <w:noProof/>
        </w:rPr>
        <w:fldChar w:fldCharType="begin"/>
      </w:r>
      <w:r w:rsidR="007F30D5">
        <w:rPr>
          <w:rStyle w:val="fontstyle01"/>
          <w:rFonts w:ascii="Times New Roman" w:hAnsi="Times New Roman" w:cs="Times New Roman"/>
          <w:noProof/>
        </w:rPr>
        <w:instrText xml:space="preserve"> ADDIN EN.CITE &lt;EndNote&gt;&lt;Cite&gt;&lt;Author&gt;Granot&lt;/Author&gt;&lt;Year&gt;2014&lt;/Year&gt;&lt;RecNum&gt;239&lt;/RecNum&gt;&lt;DisplayText&gt;(Granot et al., 2014, Ciardiello et al., 2020)&lt;/DisplayText&gt;&lt;record&gt;&lt;rec-number&gt;239&lt;/rec-number&gt;&lt;foreign-keys&gt;&lt;key app="EN" db-id="x5etaz5aiszvz0edasvvpwvotttxepvd25t2" timestamp="1611177411"&gt;239&lt;/key&gt;&lt;/foreign-keys&gt;&lt;ref-type name="Journal Article"&gt;17&lt;/ref-type&gt;&lt;contributors&gt;&lt;authors&gt;&lt;author&gt;Granot, Daniel&lt;/author&gt;&lt;author&gt;Granot, Frieda&lt;/author&gt;&lt;author&gt;Sosic, G&lt;/author&gt;&lt;/authors&gt;&lt;/contributors&gt;&lt;titles&gt;&lt;title&gt;Allocation of greenhouse gas emissions in supply chains&lt;/title&gt;&lt;secondary-title&gt;University of Southern California Working Paper&lt;/secondary-title&gt;&lt;/titles&gt;&lt;periodical&gt;&lt;full-title&gt;University of Southern California Working Paper&lt;/full-title&gt;&lt;/periodical&gt;&lt;dates&gt;&lt;year&gt;2014&lt;/year&gt;&lt;/dates&gt;&lt;urls&gt;&lt;/urls&gt;&lt;/record&gt;&lt;/Cite&gt;&lt;Cite&gt;&lt;Author&gt;Ciardiello&lt;/Author&gt;&lt;Year&gt;2020&lt;/Year&gt;&lt;RecNum&gt;250&lt;/RecNum&gt;&lt;record&gt;&lt;rec-number&gt;250&lt;/rec-number&gt;&lt;foreign-keys&gt;&lt;key app="EN" db-id="x5etaz5aiszvz0edasvvpwvotttxepvd25t2" timestamp="1611179566"&gt;250&lt;/key&gt;&lt;/foreign-keys&gt;&lt;ref-type name="Journal Article"&gt;17&lt;/ref-type&gt;&lt;contributors&gt;&lt;authors&gt;&lt;author&gt;Ciardiello, Francesco&lt;/author&gt;&lt;author&gt;Genovese, Andrea&lt;/author&gt;&lt;author&gt;Simpson, Andrew&lt;/author&gt;&lt;/authors&gt;&lt;/contributors&gt;&lt;titles&gt;&lt;title&gt;A unified cooperative model for environmental costs in supply chains: the Shapley value for the linear case&lt;/title&gt;&lt;secondary-title&gt;Annals of Operations Research&lt;/secondary-title&gt;&lt;/titles&gt;&lt;periodical&gt;&lt;full-title&gt;Annals of Operations Research&lt;/full-title&gt;&lt;/periodical&gt;&lt;pages&gt;421-437&lt;/pages&gt;&lt;volume&gt;290&lt;/volume&gt;&lt;number&gt;1&lt;/number&gt;&lt;dates&gt;&lt;year&gt;2020&lt;/year&gt;&lt;pub-dates&gt;&lt;date&gt;2020/07/01&lt;/date&gt;&lt;/pub-dates&gt;&lt;/dates&gt;&lt;isbn&gt;1572-9338&lt;/isbn&gt;&lt;urls&gt;&lt;related-urls&gt;&lt;url&gt;https://doi.org/10.1007/s10479-018-3028-3&lt;/url&gt;&lt;/related-urls&gt;&lt;/urls&gt;&lt;electronic-resource-num&gt;10.1007/s10479-018-3028-3&lt;/electronic-resource-num&gt;&lt;/record&gt;&lt;/Cite&gt;&lt;/EndNote&gt;</w:instrText>
      </w:r>
      <w:r w:rsidRPr="00FE26BC">
        <w:rPr>
          <w:rStyle w:val="fontstyle01"/>
          <w:rFonts w:ascii="Times New Roman" w:hAnsi="Times New Roman" w:cs="Times New Roman"/>
          <w:noProof/>
        </w:rPr>
        <w:fldChar w:fldCharType="separate"/>
      </w:r>
      <w:r w:rsidR="007F30D5">
        <w:rPr>
          <w:rStyle w:val="fontstyle01"/>
          <w:rFonts w:ascii="Times New Roman" w:hAnsi="Times New Roman" w:cs="Times New Roman"/>
          <w:noProof/>
        </w:rPr>
        <w:t>(Granot et al., 2014, Ciardiello et al., 2020)</w:t>
      </w:r>
      <w:r w:rsidRPr="00FE26BC">
        <w:rPr>
          <w:rStyle w:val="fontstyle01"/>
          <w:rFonts w:ascii="Times New Roman" w:hAnsi="Times New Roman" w:cs="Times New Roman"/>
          <w:noProof/>
        </w:rPr>
        <w:fldChar w:fldCharType="end"/>
      </w:r>
      <w:r w:rsidRPr="00FE26BC">
        <w:rPr>
          <w:rStyle w:val="fontstyle01"/>
          <w:rFonts w:ascii="Times New Roman" w:hAnsi="Times New Roman" w:cs="Times New Roman"/>
          <w:noProof/>
        </w:rPr>
        <w:t xml:space="preserve">. </w:t>
      </w:r>
      <w:r w:rsidRPr="00FE26BC">
        <w:rPr>
          <w:rFonts w:cs="Times New Roman"/>
        </w:rPr>
        <w:t xml:space="preserve">According to the Local Responsibility Sharing (LRS) rule, stakeholder </w:t>
      </w:r>
      <w:proofErr w:type="spellStart"/>
      <w:r w:rsidRPr="00FE26BC">
        <w:rPr>
          <w:rFonts w:cs="Times New Roman"/>
          <w:i/>
        </w:rPr>
        <w:t>i</w:t>
      </w:r>
      <w:proofErr w:type="spellEnd"/>
      <w:r w:rsidRPr="00FE26BC">
        <w:rPr>
          <w:rFonts w:cs="Times New Roman"/>
        </w:rPr>
        <w:t xml:space="preserve"> is the only responsible for the delivery costs</w:t>
      </w:r>
      <w:r w:rsidRPr="00FE26BC">
        <w:rPr>
          <w:rFonts w:cs="Times New Roman"/>
          <w:noProof/>
          <w:position w:val="-12"/>
          <w:lang w:eastAsia="en-GB"/>
        </w:rPr>
        <w:drawing>
          <wp:inline distT="0" distB="0" distL="0" distR="0" wp14:anchorId="59B195BC" wp14:editId="4376FEAC">
            <wp:extent cx="114300" cy="1905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sidRPr="00FE26BC">
        <w:rPr>
          <w:rFonts w:cs="Times New Roman"/>
        </w:rPr>
        <w:t xml:space="preserve">. The latter means that </w:t>
      </w:r>
      <w:r w:rsidRPr="00FE26BC">
        <w:rPr>
          <w:rFonts w:cs="Times New Roman"/>
          <w:noProof/>
          <w:position w:val="-12"/>
          <w:lang w:eastAsia="en-GB"/>
        </w:rPr>
        <w:drawing>
          <wp:inline distT="0" distB="0" distL="0" distR="0" wp14:anchorId="0CCA3D2B" wp14:editId="17134C04">
            <wp:extent cx="428625" cy="190500"/>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8625" cy="190500"/>
                    </a:xfrm>
                    <a:prstGeom prst="rect">
                      <a:avLst/>
                    </a:prstGeom>
                    <a:noFill/>
                    <a:ln>
                      <a:noFill/>
                    </a:ln>
                  </pic:spPr>
                </pic:pic>
              </a:graphicData>
            </a:graphic>
          </wp:inline>
        </w:drawing>
      </w:r>
      <w:r w:rsidRPr="00FE26BC">
        <w:rPr>
          <w:rFonts w:cs="Times New Roman"/>
        </w:rPr>
        <w:t xml:space="preserve">. </w:t>
      </w:r>
    </w:p>
    <w:p w14:paraId="28219F94" w14:textId="77777777" w:rsidR="002D252C" w:rsidRPr="00FE26BC" w:rsidRDefault="002D252C" w:rsidP="00AC5553">
      <w:pPr>
        <w:spacing w:after="240" w:line="360" w:lineRule="auto"/>
        <w:rPr>
          <w:rFonts w:cs="Times New Roman"/>
        </w:rPr>
      </w:pPr>
      <w:r w:rsidRPr="00FE26BC">
        <w:rPr>
          <w:rFonts w:cs="Times New Roman"/>
        </w:rPr>
        <w:t>An</w:t>
      </w:r>
      <w:r w:rsidRPr="00FE26BC">
        <w:rPr>
          <w:rFonts w:cs="Times New Roman"/>
          <w:iCs/>
        </w:rPr>
        <w:t xml:space="preserve"> upstream equal sharing</w:t>
      </w:r>
      <w:r w:rsidRPr="00FE26BC">
        <w:rPr>
          <w:rFonts w:cs="Times New Roman"/>
          <w:i/>
          <w:iCs/>
        </w:rPr>
        <w:t xml:space="preserve"> </w:t>
      </w:r>
      <w:r w:rsidRPr="00FE26BC">
        <w:rPr>
          <w:rFonts w:cs="Times New Roman"/>
        </w:rPr>
        <w:t>(UES) is represented by the following cost allocation:</w:t>
      </w:r>
    </w:p>
    <w:p w14:paraId="2CF3A6F1" w14:textId="77777777" w:rsidR="002D252C" w:rsidRPr="00FE26BC" w:rsidRDefault="000306D9" w:rsidP="002D252C">
      <w:pPr>
        <w:spacing w:line="240" w:lineRule="auto"/>
        <w:rPr>
          <w:rFonts w:cs="Times New Roman"/>
          <w:i/>
          <w:lang w:val="pt-PT"/>
        </w:rPr>
      </w:pPr>
      <m:oMathPara>
        <m:oMath>
          <m:sSub>
            <m:sSubPr>
              <m:ctrlPr>
                <w:rPr>
                  <w:rFonts w:ascii="Cambria Math" w:eastAsia="Times New Roman" w:hAnsi="Cambria Math" w:cs="Times New Roman"/>
                  <w:i/>
                  <w:lang w:val="en-US"/>
                </w:rPr>
              </m:ctrlPr>
            </m:sSubPr>
            <m:e>
              <m:r>
                <m:rPr>
                  <m:nor/>
                </m:rPr>
                <w:rPr>
                  <w:rFonts w:cs="Times New Roman"/>
                  <w:i/>
                  <w:lang w:val="pt-PT"/>
                </w:rPr>
                <m:t>x</m:t>
              </m:r>
            </m:e>
            <m:sub>
              <m:r>
                <m:rPr>
                  <m:nor/>
                </m:rPr>
                <w:rPr>
                  <w:rFonts w:cs="Times New Roman"/>
                  <w:iCs/>
                  <w:lang w:val="pt-PT"/>
                </w:rPr>
                <m:t>1</m:t>
              </m:r>
            </m:sub>
          </m:sSub>
          <m:r>
            <m:rPr>
              <m:nor/>
            </m:rPr>
            <w:rPr>
              <w:rFonts w:cs="Times New Roman"/>
              <w:iCs/>
              <w:lang w:val="pt-PT"/>
            </w:rPr>
            <m:t>=</m:t>
          </m:r>
          <m:sSub>
            <m:sSubPr>
              <m:ctrlPr>
                <w:rPr>
                  <w:rFonts w:ascii="Cambria Math" w:eastAsia="Times New Roman" w:hAnsi="Cambria Math" w:cs="Times New Roman"/>
                  <w:i/>
                  <w:lang w:val="en-US"/>
                </w:rPr>
              </m:ctrlPr>
            </m:sSubPr>
            <m:e>
              <m:r>
                <m:rPr>
                  <m:nor/>
                </m:rPr>
                <w:rPr>
                  <w:rFonts w:cs="Times New Roman"/>
                  <w:i/>
                  <w:lang w:val="pt-PT"/>
                </w:rPr>
                <m:t>c</m:t>
              </m:r>
            </m:e>
            <m:sub>
              <m:r>
                <m:rPr>
                  <m:nor/>
                </m:rPr>
                <w:rPr>
                  <w:rFonts w:cs="Times New Roman"/>
                  <w:iCs/>
                  <w:lang w:val="pt-PT"/>
                </w:rPr>
                <m:t>1</m:t>
              </m:r>
            </m:sub>
          </m:sSub>
          <m:r>
            <m:rPr>
              <m:nor/>
            </m:rPr>
            <w:rPr>
              <w:rFonts w:cs="Times New Roman"/>
              <w:iCs/>
              <w:lang w:val="pt-PT"/>
            </w:rPr>
            <m:t>+</m:t>
          </m:r>
          <m:f>
            <m:fPr>
              <m:ctrlPr>
                <w:rPr>
                  <w:rFonts w:ascii="Cambria Math" w:hAnsi="Cambria Math" w:cs="Times New Roman"/>
                </w:rPr>
              </m:ctrlPr>
            </m:fPr>
            <m:num>
              <m:sSub>
                <m:sSubPr>
                  <m:ctrlPr>
                    <w:rPr>
                      <w:rFonts w:ascii="Cambria Math" w:eastAsia="Times New Roman" w:hAnsi="Cambria Math" w:cs="Times New Roman"/>
                      <w:i/>
                      <w:lang w:val="en-US"/>
                    </w:rPr>
                  </m:ctrlPr>
                </m:sSubPr>
                <m:e>
                  <m:r>
                    <m:rPr>
                      <m:nor/>
                    </m:rPr>
                    <w:rPr>
                      <w:rFonts w:cs="Times New Roman"/>
                      <w:i/>
                      <w:lang w:val="pt-PT"/>
                    </w:rPr>
                    <m:t>c</m:t>
                  </m:r>
                </m:e>
                <m:sub>
                  <m:r>
                    <m:rPr>
                      <m:nor/>
                    </m:rPr>
                    <w:rPr>
                      <w:rFonts w:cs="Times New Roman"/>
                      <w:iCs/>
                      <w:lang w:val="pt-PT"/>
                    </w:rPr>
                    <m:t>2</m:t>
                  </m:r>
                </m:sub>
              </m:sSub>
            </m:num>
            <m:den>
              <m:r>
                <m:rPr>
                  <m:nor/>
                </m:rPr>
                <w:rPr>
                  <w:rFonts w:cs="Times New Roman"/>
                  <w:lang w:val="pt-PT"/>
                </w:rPr>
                <m:t>2</m:t>
              </m:r>
            </m:den>
          </m:f>
          <m:r>
            <m:rPr>
              <m:nor/>
            </m:rPr>
            <w:rPr>
              <w:rFonts w:cs="Times New Roman"/>
              <w:lang w:val="pt-PT"/>
            </w:rPr>
            <m:t>+</m:t>
          </m:r>
          <m:r>
            <m:rPr>
              <m:nor/>
            </m:rPr>
            <w:rPr>
              <w:rFonts w:ascii="MS Gothic" w:eastAsia="MS Gothic" w:hAnsi="MS Gothic" w:cs="MS Gothic" w:hint="eastAsia"/>
              <w:lang w:val="pt-PT"/>
            </w:rPr>
            <m:t>⋯</m:t>
          </m:r>
          <m:r>
            <m:rPr>
              <m:nor/>
            </m:rPr>
            <w:rPr>
              <w:rFonts w:cs="Times New Roman"/>
              <w:lang w:val="pt-PT"/>
            </w:rPr>
            <m:t>+</m:t>
          </m:r>
          <m:f>
            <m:fPr>
              <m:ctrlPr>
                <w:rPr>
                  <w:rFonts w:ascii="Cambria Math" w:hAnsi="Cambria Math" w:cs="Times New Roman"/>
                </w:rPr>
              </m:ctrlPr>
            </m:fPr>
            <m:num>
              <m:sSub>
                <m:sSubPr>
                  <m:ctrlPr>
                    <w:rPr>
                      <w:rFonts w:ascii="Cambria Math" w:eastAsia="Times New Roman" w:hAnsi="Cambria Math" w:cs="Times New Roman"/>
                      <w:i/>
                      <w:lang w:val="en-US"/>
                    </w:rPr>
                  </m:ctrlPr>
                </m:sSubPr>
                <m:e>
                  <m:r>
                    <m:rPr>
                      <m:nor/>
                    </m:rPr>
                    <w:rPr>
                      <w:rFonts w:cs="Times New Roman"/>
                      <w:i/>
                      <w:lang w:val="pt-PT"/>
                    </w:rPr>
                    <m:t>c</m:t>
                  </m:r>
                </m:e>
                <m:sub>
                  <m:r>
                    <m:rPr>
                      <m:nor/>
                    </m:rPr>
                    <w:rPr>
                      <w:rFonts w:cs="Times New Roman"/>
                      <w:i/>
                      <w:lang w:val="pt-PT"/>
                    </w:rPr>
                    <m:t>i</m:t>
                  </m:r>
                </m:sub>
              </m:sSub>
            </m:num>
            <m:den>
              <m:r>
                <m:rPr>
                  <m:nor/>
                </m:rPr>
                <w:rPr>
                  <w:rFonts w:cs="Times New Roman"/>
                  <w:i/>
                  <w:iCs/>
                  <w:lang w:val="pt-PT"/>
                </w:rPr>
                <m:t>i</m:t>
              </m:r>
            </m:den>
          </m:f>
          <m:r>
            <m:rPr>
              <m:nor/>
            </m:rPr>
            <w:rPr>
              <w:rFonts w:cs="Times New Roman"/>
              <w:lang w:val="pt-PT"/>
            </w:rPr>
            <m:t>+</m:t>
          </m:r>
          <m:f>
            <m:fPr>
              <m:ctrlPr>
                <w:rPr>
                  <w:rFonts w:ascii="Cambria Math" w:hAnsi="Cambria Math" w:cs="Times New Roman"/>
                </w:rPr>
              </m:ctrlPr>
            </m:fPr>
            <m:num>
              <m:sSub>
                <m:sSubPr>
                  <m:ctrlPr>
                    <w:rPr>
                      <w:rFonts w:ascii="Cambria Math" w:eastAsia="Times New Roman" w:hAnsi="Cambria Math" w:cs="Times New Roman"/>
                      <w:i/>
                      <w:lang w:val="en-US"/>
                    </w:rPr>
                  </m:ctrlPr>
                </m:sSubPr>
                <m:e>
                  <m:r>
                    <m:rPr>
                      <m:nor/>
                    </m:rPr>
                    <w:rPr>
                      <w:rFonts w:cs="Times New Roman"/>
                      <w:i/>
                      <w:lang w:val="pt-PT"/>
                    </w:rPr>
                    <m:t>c</m:t>
                  </m:r>
                </m:e>
                <m:sub>
                  <m:r>
                    <m:rPr>
                      <m:nor/>
                    </m:rPr>
                    <w:rPr>
                      <w:rFonts w:cs="Times New Roman"/>
                      <w:i/>
                      <w:lang w:val="pt-PT"/>
                    </w:rPr>
                    <m:t>i+</m:t>
                  </m:r>
                  <m:r>
                    <m:rPr>
                      <m:nor/>
                    </m:rPr>
                    <w:rPr>
                      <w:rFonts w:cs="Times New Roman"/>
                      <w:iCs/>
                      <w:lang w:val="pt-PT"/>
                    </w:rPr>
                    <m:t>1</m:t>
                  </m:r>
                </m:sub>
              </m:sSub>
            </m:num>
            <m:den>
              <m:r>
                <m:rPr>
                  <m:nor/>
                </m:rPr>
                <w:rPr>
                  <w:rFonts w:cs="Times New Roman"/>
                  <w:i/>
                  <w:iCs/>
                  <w:lang w:val="pt-PT"/>
                </w:rPr>
                <m:t>i</m:t>
              </m:r>
              <m:r>
                <m:rPr>
                  <m:nor/>
                </m:rPr>
                <w:rPr>
                  <w:rFonts w:cs="Times New Roman"/>
                  <w:lang w:val="pt-PT"/>
                </w:rPr>
                <m:t>+1</m:t>
              </m:r>
            </m:den>
          </m:f>
          <m:r>
            <m:rPr>
              <m:nor/>
            </m:rPr>
            <w:rPr>
              <w:rFonts w:cs="Times New Roman"/>
              <w:lang w:val="pt-PT"/>
            </w:rPr>
            <m:t>+</m:t>
          </m:r>
          <m:r>
            <m:rPr>
              <m:nor/>
            </m:rPr>
            <w:rPr>
              <w:rFonts w:ascii="MS Gothic" w:eastAsia="MS Gothic" w:hAnsi="MS Gothic" w:cs="MS Gothic" w:hint="eastAsia"/>
              <w:lang w:val="pt-PT"/>
            </w:rPr>
            <m:t>⋯</m:t>
          </m:r>
          <m:r>
            <m:rPr>
              <m:nor/>
            </m:rPr>
            <w:rPr>
              <w:rFonts w:cs="Times New Roman"/>
              <w:lang w:val="pt-PT"/>
            </w:rPr>
            <m:t>+</m:t>
          </m:r>
          <m:f>
            <m:fPr>
              <m:ctrlPr>
                <w:rPr>
                  <w:rFonts w:ascii="Cambria Math" w:hAnsi="Cambria Math" w:cs="Times New Roman"/>
                </w:rPr>
              </m:ctrlPr>
            </m:fPr>
            <m:num>
              <m:sSub>
                <m:sSubPr>
                  <m:ctrlPr>
                    <w:rPr>
                      <w:rFonts w:ascii="Cambria Math" w:eastAsia="Times New Roman" w:hAnsi="Cambria Math" w:cs="Times New Roman"/>
                      <w:i/>
                      <w:lang w:val="en-US"/>
                    </w:rPr>
                  </m:ctrlPr>
                </m:sSubPr>
                <m:e>
                  <m:r>
                    <m:rPr>
                      <m:nor/>
                    </m:rPr>
                    <w:rPr>
                      <w:rFonts w:cs="Times New Roman"/>
                      <w:i/>
                      <w:lang w:val="pt-PT"/>
                    </w:rPr>
                    <m:t>c</m:t>
                  </m:r>
                </m:e>
                <m:sub>
                  <m:r>
                    <m:rPr>
                      <m:nor/>
                    </m:rPr>
                    <w:rPr>
                      <w:rFonts w:cs="Times New Roman"/>
                      <w:i/>
                      <w:lang w:val="pt-PT"/>
                    </w:rPr>
                    <m:t>n</m:t>
                  </m:r>
                </m:sub>
              </m:sSub>
            </m:num>
            <m:den>
              <m:r>
                <m:rPr>
                  <m:nor/>
                </m:rPr>
                <w:rPr>
                  <w:rFonts w:cs="Times New Roman"/>
                  <w:i/>
                  <w:iCs/>
                  <w:lang w:val="pt-PT"/>
                </w:rPr>
                <m:t>n</m:t>
              </m:r>
            </m:den>
          </m:f>
          <m:r>
            <m:rPr>
              <m:nor/>
            </m:rPr>
            <w:rPr>
              <w:rFonts w:eastAsia="Times New Roman" w:cs="Times New Roman"/>
              <w:lang w:val="pt-PT"/>
            </w:rPr>
            <w:br/>
          </m:r>
        </m:oMath>
        <m:oMath>
          <m:sSub>
            <m:sSubPr>
              <m:ctrlPr>
                <w:rPr>
                  <w:rFonts w:ascii="Cambria Math" w:eastAsia="Times New Roman" w:hAnsi="Cambria Math" w:cs="Times New Roman"/>
                  <w:i/>
                  <w:lang w:val="en-US"/>
                </w:rPr>
              </m:ctrlPr>
            </m:sSubPr>
            <m:e>
              <m:r>
                <m:rPr>
                  <m:nor/>
                </m:rPr>
                <w:rPr>
                  <w:rFonts w:cs="Times New Roman"/>
                  <w:i/>
                  <w:lang w:val="pt-PT"/>
                </w:rPr>
                <m:t>x</m:t>
              </m:r>
            </m:e>
            <m:sub>
              <m:r>
                <m:rPr>
                  <m:nor/>
                </m:rPr>
                <w:rPr>
                  <w:rFonts w:cs="Times New Roman"/>
                  <w:iCs/>
                  <w:lang w:val="pt-PT"/>
                </w:rPr>
                <m:t>2</m:t>
              </m:r>
            </m:sub>
          </m:sSub>
          <m:r>
            <m:rPr>
              <m:nor/>
            </m:rPr>
            <w:rPr>
              <w:rFonts w:cs="Times New Roman"/>
              <w:lang w:val="pt-PT"/>
            </w:rPr>
            <m:t>=</m:t>
          </m:r>
          <m:f>
            <m:fPr>
              <m:ctrlPr>
                <w:rPr>
                  <w:rFonts w:ascii="Cambria Math" w:hAnsi="Cambria Math" w:cs="Times New Roman"/>
                </w:rPr>
              </m:ctrlPr>
            </m:fPr>
            <m:num>
              <m:sSub>
                <m:sSubPr>
                  <m:ctrlPr>
                    <w:rPr>
                      <w:rFonts w:ascii="Cambria Math" w:eastAsia="Times New Roman" w:hAnsi="Cambria Math" w:cs="Times New Roman"/>
                      <w:i/>
                      <w:lang w:val="en-US"/>
                    </w:rPr>
                  </m:ctrlPr>
                </m:sSubPr>
                <m:e>
                  <m:r>
                    <m:rPr>
                      <m:nor/>
                    </m:rPr>
                    <w:rPr>
                      <w:rFonts w:cs="Times New Roman"/>
                      <w:i/>
                      <w:iCs/>
                      <w:lang w:val="pt-PT"/>
                    </w:rPr>
                    <m:t>c</m:t>
                  </m:r>
                </m:e>
                <m:sub>
                  <m:r>
                    <m:rPr>
                      <m:nor/>
                    </m:rPr>
                    <w:rPr>
                      <w:rFonts w:cs="Times New Roman"/>
                      <w:lang w:val="pt-PT"/>
                    </w:rPr>
                    <m:t>2</m:t>
                  </m:r>
                </m:sub>
              </m:sSub>
            </m:num>
            <m:den>
              <m:r>
                <m:rPr>
                  <m:nor/>
                </m:rPr>
                <w:rPr>
                  <w:rFonts w:cs="Times New Roman"/>
                  <w:lang w:val="pt-PT"/>
                </w:rPr>
                <m:t>2</m:t>
              </m:r>
            </m:den>
          </m:f>
          <m:r>
            <m:rPr>
              <m:nor/>
            </m:rPr>
            <w:rPr>
              <w:rFonts w:cs="Times New Roman"/>
              <w:lang w:val="pt-PT"/>
            </w:rPr>
            <m:t>+</m:t>
          </m:r>
          <m:r>
            <m:rPr>
              <m:nor/>
            </m:rPr>
            <w:rPr>
              <w:rFonts w:ascii="MS Gothic" w:eastAsia="MS Gothic" w:hAnsi="MS Gothic" w:cs="MS Gothic" w:hint="eastAsia"/>
              <w:lang w:val="pt-PT"/>
            </w:rPr>
            <m:t>⋯</m:t>
          </m:r>
          <m:r>
            <m:rPr>
              <m:nor/>
            </m:rPr>
            <w:rPr>
              <w:rFonts w:cs="Times New Roman"/>
              <w:lang w:val="pt-PT"/>
            </w:rPr>
            <m:t>+</m:t>
          </m:r>
          <m:f>
            <m:fPr>
              <m:ctrlPr>
                <w:rPr>
                  <w:rFonts w:ascii="Cambria Math" w:hAnsi="Cambria Math" w:cs="Times New Roman"/>
                </w:rPr>
              </m:ctrlPr>
            </m:fPr>
            <m:num>
              <m:sSub>
                <m:sSubPr>
                  <m:ctrlPr>
                    <w:rPr>
                      <w:rFonts w:ascii="Cambria Math" w:eastAsia="Times New Roman" w:hAnsi="Cambria Math" w:cs="Times New Roman"/>
                      <w:i/>
                      <w:lang w:val="en-US"/>
                    </w:rPr>
                  </m:ctrlPr>
                </m:sSubPr>
                <m:e>
                  <m:r>
                    <m:rPr>
                      <m:nor/>
                    </m:rPr>
                    <w:rPr>
                      <w:rFonts w:cs="Times New Roman"/>
                      <w:i/>
                      <w:iCs/>
                      <w:lang w:val="pt-PT"/>
                    </w:rPr>
                    <m:t>c</m:t>
                  </m:r>
                </m:e>
                <m:sub>
                  <m:r>
                    <m:rPr>
                      <m:nor/>
                    </m:rPr>
                    <w:rPr>
                      <w:rFonts w:cs="Times New Roman"/>
                      <w:i/>
                      <w:iCs/>
                      <w:lang w:val="pt-PT"/>
                    </w:rPr>
                    <m:t>i</m:t>
                  </m:r>
                </m:sub>
              </m:sSub>
            </m:num>
            <m:den>
              <m:r>
                <m:rPr>
                  <m:nor/>
                </m:rPr>
                <w:rPr>
                  <w:rFonts w:cs="Times New Roman"/>
                  <w:i/>
                  <w:iCs/>
                  <w:lang w:val="pt-PT"/>
                </w:rPr>
                <m:t>i</m:t>
              </m:r>
            </m:den>
          </m:f>
          <m:r>
            <m:rPr>
              <m:nor/>
            </m:rPr>
            <w:rPr>
              <w:rFonts w:cs="Times New Roman"/>
              <w:lang w:val="pt-PT"/>
            </w:rPr>
            <m:t>+</m:t>
          </m:r>
          <m:f>
            <m:fPr>
              <m:ctrlPr>
                <w:rPr>
                  <w:rFonts w:ascii="Cambria Math" w:hAnsi="Cambria Math" w:cs="Times New Roman"/>
                </w:rPr>
              </m:ctrlPr>
            </m:fPr>
            <m:num>
              <m:sSub>
                <m:sSubPr>
                  <m:ctrlPr>
                    <w:rPr>
                      <w:rFonts w:ascii="Cambria Math" w:eastAsia="Times New Roman" w:hAnsi="Cambria Math" w:cs="Times New Roman"/>
                      <w:i/>
                      <w:lang w:val="en-US"/>
                    </w:rPr>
                  </m:ctrlPr>
                </m:sSubPr>
                <m:e>
                  <m:r>
                    <m:rPr>
                      <m:nor/>
                    </m:rPr>
                    <w:rPr>
                      <w:rFonts w:cs="Times New Roman"/>
                      <w:i/>
                      <w:iCs/>
                      <w:lang w:val="pt-PT"/>
                    </w:rPr>
                    <m:t>c</m:t>
                  </m:r>
                </m:e>
                <m:sub>
                  <m:r>
                    <m:rPr>
                      <m:nor/>
                    </m:rPr>
                    <w:rPr>
                      <w:rFonts w:cs="Times New Roman"/>
                      <w:i/>
                      <w:iCs/>
                      <w:lang w:val="pt-PT"/>
                    </w:rPr>
                    <m:t>i</m:t>
                  </m:r>
                  <m:r>
                    <m:rPr>
                      <m:nor/>
                    </m:rPr>
                    <w:rPr>
                      <w:rFonts w:cs="Times New Roman"/>
                      <w:lang w:val="pt-PT"/>
                    </w:rPr>
                    <m:t>+1</m:t>
                  </m:r>
                </m:sub>
              </m:sSub>
            </m:num>
            <m:den>
              <m:r>
                <m:rPr>
                  <m:nor/>
                </m:rPr>
                <w:rPr>
                  <w:rFonts w:cs="Times New Roman"/>
                  <w:i/>
                  <w:iCs/>
                  <w:lang w:val="pt-PT"/>
                </w:rPr>
                <m:t>i</m:t>
              </m:r>
              <m:r>
                <m:rPr>
                  <m:nor/>
                </m:rPr>
                <w:rPr>
                  <w:rFonts w:cs="Times New Roman"/>
                  <w:lang w:val="pt-PT"/>
                </w:rPr>
                <m:t>+1</m:t>
              </m:r>
            </m:den>
          </m:f>
          <m:r>
            <m:rPr>
              <m:nor/>
            </m:rPr>
            <w:rPr>
              <w:rFonts w:cs="Times New Roman"/>
              <w:lang w:val="pt-PT"/>
            </w:rPr>
            <m:t>+</m:t>
          </m:r>
          <m:r>
            <m:rPr>
              <m:nor/>
            </m:rPr>
            <w:rPr>
              <w:rFonts w:ascii="MS Gothic" w:eastAsia="MS Gothic" w:hAnsi="MS Gothic" w:cs="MS Gothic" w:hint="eastAsia"/>
              <w:lang w:val="pt-PT"/>
            </w:rPr>
            <m:t>⋯</m:t>
          </m:r>
          <m:r>
            <m:rPr>
              <m:nor/>
            </m:rPr>
            <w:rPr>
              <w:rFonts w:cs="Times New Roman"/>
              <w:lang w:val="pt-PT"/>
            </w:rPr>
            <m:t>+</m:t>
          </m:r>
          <m:f>
            <m:fPr>
              <m:ctrlPr>
                <w:rPr>
                  <w:rFonts w:ascii="Cambria Math" w:hAnsi="Cambria Math" w:cs="Times New Roman"/>
                </w:rPr>
              </m:ctrlPr>
            </m:fPr>
            <m:num>
              <m:sSub>
                <m:sSubPr>
                  <m:ctrlPr>
                    <w:rPr>
                      <w:rFonts w:ascii="Cambria Math" w:eastAsia="Times New Roman" w:hAnsi="Cambria Math" w:cs="Times New Roman"/>
                      <w:i/>
                      <w:lang w:val="en-US"/>
                    </w:rPr>
                  </m:ctrlPr>
                </m:sSubPr>
                <m:e>
                  <m:r>
                    <m:rPr>
                      <m:nor/>
                    </m:rPr>
                    <w:rPr>
                      <w:rFonts w:cs="Times New Roman"/>
                      <w:i/>
                      <w:iCs/>
                      <w:lang w:val="pt-PT"/>
                    </w:rPr>
                    <m:t>c</m:t>
                  </m:r>
                </m:e>
                <m:sub>
                  <m:r>
                    <m:rPr>
                      <m:nor/>
                    </m:rPr>
                    <w:rPr>
                      <w:rFonts w:cs="Times New Roman"/>
                      <w:i/>
                      <w:iCs/>
                      <w:lang w:val="pt-PT"/>
                    </w:rPr>
                    <m:t>n</m:t>
                  </m:r>
                </m:sub>
              </m:sSub>
            </m:num>
            <m:den>
              <m:r>
                <m:rPr>
                  <m:nor/>
                </m:rPr>
                <w:rPr>
                  <w:rFonts w:cs="Times New Roman"/>
                  <w:i/>
                  <w:iCs/>
                  <w:lang w:val="pt-PT"/>
                </w:rPr>
                <m:t>n</m:t>
              </m:r>
            </m:den>
          </m:f>
          <m:r>
            <m:rPr>
              <m:nor/>
            </m:rPr>
            <w:rPr>
              <w:rFonts w:cs="Times New Roman"/>
              <w:lang w:val="pt-PT"/>
            </w:rPr>
            <w:br/>
          </m:r>
        </m:oMath>
        <m:oMath>
          <m:r>
            <m:rPr>
              <m:nor/>
            </m:rPr>
            <w:rPr>
              <w:rFonts w:ascii="MS Gothic" w:eastAsia="MS Gothic" w:hAnsi="MS Gothic" w:cs="MS Gothic" w:hint="eastAsia"/>
              <w:lang w:val="pt-PT"/>
            </w:rPr>
            <m:t>⋯</m:t>
          </m:r>
          <m:r>
            <m:rPr>
              <m:nor/>
            </m:rPr>
            <w:rPr>
              <w:rFonts w:cs="Times New Roman"/>
              <w:lang w:val="pt-PT"/>
            </w:rPr>
            <m:t>=</m:t>
          </m:r>
          <m:r>
            <m:rPr>
              <m:nor/>
            </m:rPr>
            <w:rPr>
              <w:rFonts w:ascii="MS Gothic" w:eastAsia="MS Gothic" w:hAnsi="MS Gothic" w:cs="MS Gothic" w:hint="eastAsia"/>
              <w:lang w:val="pt-PT"/>
            </w:rPr>
            <m:t>⋯</m:t>
          </m:r>
          <m:r>
            <m:rPr>
              <m:nor/>
            </m:rPr>
            <w:rPr>
              <w:rFonts w:cs="Times New Roman"/>
              <w:lang w:val="pt-PT"/>
            </w:rPr>
            <w:br/>
          </m:r>
        </m:oMath>
        <m:oMath>
          <m:sSub>
            <m:sSubPr>
              <m:ctrlPr>
                <w:rPr>
                  <w:rFonts w:ascii="Cambria Math" w:eastAsia="Times New Roman" w:hAnsi="Cambria Math" w:cs="Times New Roman"/>
                  <w:i/>
                  <w:lang w:val="en-US"/>
                </w:rPr>
              </m:ctrlPr>
            </m:sSubPr>
            <m:e>
              <m:r>
                <m:rPr>
                  <m:nor/>
                </m:rPr>
                <w:rPr>
                  <w:rFonts w:cs="Times New Roman"/>
                  <w:i/>
                  <w:iCs/>
                  <w:lang w:val="pt-PT"/>
                </w:rPr>
                <m:t>x</m:t>
              </m:r>
            </m:e>
            <m:sub>
              <m:r>
                <m:rPr>
                  <m:nor/>
                </m:rPr>
                <w:rPr>
                  <w:rFonts w:cs="Times New Roman"/>
                  <w:i/>
                  <w:iCs/>
                  <w:lang w:val="pt-PT"/>
                </w:rPr>
                <m:t>i</m:t>
              </m:r>
            </m:sub>
          </m:sSub>
          <m:r>
            <m:rPr>
              <m:nor/>
            </m:rPr>
            <w:rPr>
              <w:rFonts w:cs="Times New Roman"/>
              <w:lang w:val="pt-PT"/>
            </w:rPr>
            <m:t>=</m:t>
          </m:r>
          <m:f>
            <m:fPr>
              <m:ctrlPr>
                <w:rPr>
                  <w:rFonts w:ascii="Cambria Math" w:hAnsi="Cambria Math" w:cs="Times New Roman"/>
                </w:rPr>
              </m:ctrlPr>
            </m:fPr>
            <m:num>
              <m:sSub>
                <m:sSubPr>
                  <m:ctrlPr>
                    <w:rPr>
                      <w:rFonts w:ascii="Cambria Math" w:eastAsia="Times New Roman" w:hAnsi="Cambria Math" w:cs="Times New Roman"/>
                      <w:i/>
                      <w:lang w:val="en-US"/>
                    </w:rPr>
                  </m:ctrlPr>
                </m:sSubPr>
                <m:e>
                  <m:r>
                    <m:rPr>
                      <m:nor/>
                    </m:rPr>
                    <w:rPr>
                      <w:rFonts w:cs="Times New Roman"/>
                      <w:i/>
                      <w:lang w:val="pt-PT"/>
                    </w:rPr>
                    <m:t>c</m:t>
                  </m:r>
                </m:e>
                <m:sub>
                  <m:r>
                    <m:rPr>
                      <m:nor/>
                    </m:rPr>
                    <w:rPr>
                      <w:rFonts w:cs="Times New Roman"/>
                      <w:i/>
                      <w:lang w:val="pt-PT"/>
                    </w:rPr>
                    <m:t>i</m:t>
                  </m:r>
                </m:sub>
              </m:sSub>
            </m:num>
            <m:den>
              <m:r>
                <m:rPr>
                  <m:nor/>
                </m:rPr>
                <w:rPr>
                  <w:rFonts w:cs="Times New Roman"/>
                  <w:i/>
                  <w:iCs/>
                  <w:lang w:val="pt-PT"/>
                </w:rPr>
                <m:t>i</m:t>
              </m:r>
            </m:den>
          </m:f>
          <m:r>
            <m:rPr>
              <m:nor/>
            </m:rPr>
            <w:rPr>
              <w:rFonts w:cs="Times New Roman"/>
              <w:lang w:val="pt-PT"/>
            </w:rPr>
            <m:t>+</m:t>
          </m:r>
          <m:f>
            <m:fPr>
              <m:ctrlPr>
                <w:rPr>
                  <w:rFonts w:ascii="Cambria Math" w:hAnsi="Cambria Math" w:cs="Times New Roman"/>
                </w:rPr>
              </m:ctrlPr>
            </m:fPr>
            <m:num>
              <m:sSub>
                <m:sSubPr>
                  <m:ctrlPr>
                    <w:rPr>
                      <w:rFonts w:ascii="Cambria Math" w:eastAsia="Times New Roman" w:hAnsi="Cambria Math" w:cs="Times New Roman"/>
                      <w:i/>
                      <w:lang w:val="en-US"/>
                    </w:rPr>
                  </m:ctrlPr>
                </m:sSubPr>
                <m:e>
                  <m:r>
                    <m:rPr>
                      <m:nor/>
                    </m:rPr>
                    <w:rPr>
                      <w:rFonts w:cs="Times New Roman"/>
                      <w:i/>
                      <w:iCs/>
                      <w:lang w:val="pt-PT"/>
                    </w:rPr>
                    <m:t>c</m:t>
                  </m:r>
                </m:e>
                <m:sub>
                  <m:r>
                    <m:rPr>
                      <m:nor/>
                    </m:rPr>
                    <w:rPr>
                      <w:rFonts w:cs="Times New Roman"/>
                      <w:i/>
                      <w:iCs/>
                      <w:lang w:val="pt-PT"/>
                    </w:rPr>
                    <m:t>i</m:t>
                  </m:r>
                  <m:r>
                    <m:rPr>
                      <m:nor/>
                    </m:rPr>
                    <w:rPr>
                      <w:rFonts w:cs="Times New Roman"/>
                      <w:lang w:val="pt-PT"/>
                    </w:rPr>
                    <m:t>+1</m:t>
                  </m:r>
                </m:sub>
              </m:sSub>
            </m:num>
            <m:den>
              <m:r>
                <m:rPr>
                  <m:nor/>
                </m:rPr>
                <w:rPr>
                  <w:rFonts w:cs="Times New Roman"/>
                  <w:i/>
                  <w:iCs/>
                  <w:lang w:val="pt-PT"/>
                </w:rPr>
                <m:t>i</m:t>
              </m:r>
              <m:r>
                <m:rPr>
                  <m:nor/>
                </m:rPr>
                <w:rPr>
                  <w:rFonts w:cs="Times New Roman"/>
                  <w:lang w:val="pt-PT"/>
                </w:rPr>
                <m:t>+1</m:t>
              </m:r>
            </m:den>
          </m:f>
          <m:r>
            <m:rPr>
              <m:nor/>
            </m:rPr>
            <w:rPr>
              <w:rFonts w:cs="Times New Roman"/>
              <w:lang w:val="pt-PT"/>
            </w:rPr>
            <m:t>+</m:t>
          </m:r>
          <m:r>
            <m:rPr>
              <m:nor/>
            </m:rPr>
            <w:rPr>
              <w:rFonts w:ascii="MS Gothic" w:eastAsia="MS Gothic" w:hAnsi="MS Gothic" w:cs="MS Gothic" w:hint="eastAsia"/>
              <w:lang w:val="pt-PT"/>
            </w:rPr>
            <m:t>⋯</m:t>
          </m:r>
          <m:r>
            <m:rPr>
              <m:nor/>
            </m:rPr>
            <w:rPr>
              <w:rFonts w:cs="Times New Roman"/>
              <w:lang w:val="pt-PT"/>
            </w:rPr>
            <m:t>+</m:t>
          </m:r>
          <m:f>
            <m:fPr>
              <m:ctrlPr>
                <w:rPr>
                  <w:rFonts w:ascii="Cambria Math" w:hAnsi="Cambria Math" w:cs="Times New Roman"/>
                </w:rPr>
              </m:ctrlPr>
            </m:fPr>
            <m:num>
              <m:sSub>
                <m:sSubPr>
                  <m:ctrlPr>
                    <w:rPr>
                      <w:rFonts w:ascii="Cambria Math" w:eastAsia="Times New Roman" w:hAnsi="Cambria Math" w:cs="Times New Roman"/>
                      <w:i/>
                      <w:lang w:val="en-US"/>
                    </w:rPr>
                  </m:ctrlPr>
                </m:sSubPr>
                <m:e>
                  <m:r>
                    <m:rPr>
                      <m:nor/>
                    </m:rPr>
                    <w:rPr>
                      <w:rFonts w:cs="Times New Roman"/>
                      <w:i/>
                      <w:lang w:val="pt-PT"/>
                    </w:rPr>
                    <m:t>c</m:t>
                  </m:r>
                </m:e>
                <m:sub>
                  <m:r>
                    <m:rPr>
                      <m:nor/>
                    </m:rPr>
                    <w:rPr>
                      <w:rFonts w:cs="Times New Roman"/>
                      <w:i/>
                      <w:lang w:val="pt-PT"/>
                    </w:rPr>
                    <m:t>n</m:t>
                  </m:r>
                </m:sub>
              </m:sSub>
            </m:num>
            <m:den>
              <m:r>
                <m:rPr>
                  <m:nor/>
                </m:rPr>
                <w:rPr>
                  <w:rFonts w:cs="Times New Roman"/>
                  <w:i/>
                  <w:iCs/>
                  <w:lang w:val="pt-PT"/>
                </w:rPr>
                <m:t>n</m:t>
              </m:r>
            </m:den>
          </m:f>
          <m:r>
            <m:rPr>
              <m:nor/>
            </m:rPr>
            <w:rPr>
              <w:rFonts w:cs="Times New Roman"/>
              <w:lang w:val="pt-PT"/>
            </w:rPr>
            <w:br/>
          </m:r>
        </m:oMath>
        <m:oMath>
          <m:r>
            <m:rPr>
              <m:nor/>
            </m:rPr>
            <w:rPr>
              <w:rFonts w:ascii="MS Gothic" w:eastAsia="MS Gothic" w:hAnsi="MS Gothic" w:cs="MS Gothic" w:hint="eastAsia"/>
              <w:lang w:val="pt-PT"/>
            </w:rPr>
            <m:t>⋯</m:t>
          </m:r>
          <m:r>
            <m:rPr>
              <m:nor/>
            </m:rPr>
            <w:rPr>
              <w:rFonts w:cs="Times New Roman"/>
              <w:lang w:val="pt-PT"/>
            </w:rPr>
            <m:t>=</m:t>
          </m:r>
          <m:r>
            <m:rPr>
              <m:nor/>
            </m:rPr>
            <w:rPr>
              <w:rFonts w:ascii="MS Gothic" w:eastAsia="MS Gothic" w:hAnsi="MS Gothic" w:cs="MS Gothic" w:hint="eastAsia"/>
              <w:lang w:val="pt-PT"/>
            </w:rPr>
            <m:t>⋯</m:t>
          </m:r>
          <m:r>
            <m:rPr>
              <m:nor/>
            </m:rPr>
            <w:rPr>
              <w:rFonts w:cs="Times New Roman"/>
              <w:lang w:val="pt-PT"/>
            </w:rPr>
            <w:br/>
          </m:r>
        </m:oMath>
        <m:oMath>
          <m:sSub>
            <m:sSubPr>
              <m:ctrlPr>
                <w:rPr>
                  <w:rFonts w:ascii="Cambria Math" w:eastAsia="Times New Roman" w:hAnsi="Cambria Math" w:cs="Times New Roman"/>
                  <w:i/>
                  <w:lang w:val="en-US"/>
                </w:rPr>
              </m:ctrlPr>
            </m:sSubPr>
            <m:e>
              <m:r>
                <m:rPr>
                  <m:nor/>
                </m:rPr>
                <w:rPr>
                  <w:rFonts w:cs="Times New Roman"/>
                  <w:i/>
                  <w:lang w:val="pt-PT"/>
                </w:rPr>
                <m:t>x</m:t>
              </m:r>
            </m:e>
            <m:sub>
              <m:r>
                <m:rPr>
                  <m:nor/>
                </m:rPr>
                <w:rPr>
                  <w:rFonts w:cs="Times New Roman"/>
                  <w:i/>
                  <w:lang w:val="pt-PT"/>
                </w:rPr>
                <m:t>n</m:t>
              </m:r>
            </m:sub>
          </m:sSub>
          <m:r>
            <m:rPr>
              <m:nor/>
            </m:rPr>
            <w:rPr>
              <w:rFonts w:cs="Times New Roman"/>
              <w:lang w:val="pt-PT"/>
            </w:rPr>
            <m:t>=</m:t>
          </m:r>
          <m:f>
            <m:fPr>
              <m:ctrlPr>
                <w:rPr>
                  <w:rFonts w:ascii="Cambria Math" w:hAnsi="Cambria Math" w:cs="Times New Roman"/>
                </w:rPr>
              </m:ctrlPr>
            </m:fPr>
            <m:num>
              <m:sSub>
                <m:sSubPr>
                  <m:ctrlPr>
                    <w:rPr>
                      <w:rFonts w:ascii="Cambria Math" w:eastAsia="Times New Roman" w:hAnsi="Cambria Math" w:cs="Times New Roman"/>
                      <w:i/>
                      <w:lang w:val="en-US"/>
                    </w:rPr>
                  </m:ctrlPr>
                </m:sSubPr>
                <m:e>
                  <m:r>
                    <m:rPr>
                      <m:nor/>
                    </m:rPr>
                    <w:rPr>
                      <w:rFonts w:cs="Times New Roman"/>
                      <w:i/>
                      <w:lang w:val="pt-PT"/>
                    </w:rPr>
                    <m:t>c</m:t>
                  </m:r>
                </m:e>
                <m:sub>
                  <m:r>
                    <m:rPr>
                      <m:nor/>
                    </m:rPr>
                    <w:rPr>
                      <w:rFonts w:cs="Times New Roman"/>
                      <w:i/>
                      <w:lang w:val="pt-PT"/>
                    </w:rPr>
                    <m:t>n</m:t>
                  </m:r>
                </m:sub>
              </m:sSub>
            </m:num>
            <m:den>
              <m:r>
                <m:rPr>
                  <m:nor/>
                </m:rPr>
                <w:rPr>
                  <w:rFonts w:cs="Times New Roman"/>
                  <w:i/>
                  <w:iCs/>
                  <w:lang w:val="pt-PT"/>
                </w:rPr>
                <m:t>n</m:t>
              </m:r>
            </m:den>
          </m:f>
        </m:oMath>
      </m:oMathPara>
    </w:p>
    <w:p w14:paraId="1A582B8B" w14:textId="77777777" w:rsidR="002D252C" w:rsidRPr="00FE26BC" w:rsidRDefault="002D252C" w:rsidP="002D252C">
      <w:pPr>
        <w:spacing w:line="240" w:lineRule="auto"/>
        <w:rPr>
          <w:rFonts w:cs="Times New Roman"/>
          <w:i/>
          <w:lang w:val="pt-PT"/>
        </w:rPr>
      </w:pPr>
    </w:p>
    <w:p w14:paraId="438B2B9E" w14:textId="77777777" w:rsidR="002D252C" w:rsidRPr="00FE26BC" w:rsidRDefault="002D252C" w:rsidP="00AC5553">
      <w:pPr>
        <w:spacing w:after="240" w:line="360" w:lineRule="auto"/>
        <w:rPr>
          <w:rFonts w:cs="Times New Roman"/>
        </w:rPr>
      </w:pPr>
      <w:r w:rsidRPr="00CF5601">
        <w:rPr>
          <w:rFonts w:cs="Times New Roman"/>
        </w:rPr>
        <w:t>Each stakeholder is responsible for the costs of GMPs</w:t>
      </w:r>
      <w:r w:rsidRPr="00FE26BC">
        <w:rPr>
          <w:rFonts w:cs="Times New Roman"/>
        </w:rPr>
        <w:t xml:space="preserve">, which happen downstream of his position in the delivery network (including the cost of GMP at his premises). </w:t>
      </w:r>
    </w:p>
    <w:p w14:paraId="3FB0A099" w14:textId="4DC6F67C" w:rsidR="002D252C" w:rsidRPr="00AC5553" w:rsidRDefault="002D252C" w:rsidP="00AC5553">
      <w:pPr>
        <w:spacing w:after="240" w:line="360" w:lineRule="auto"/>
        <w:rPr>
          <w:rFonts w:cs="Times New Roman"/>
        </w:rPr>
      </w:pPr>
      <w:r w:rsidRPr="00FE26BC">
        <w:rPr>
          <w:rFonts w:cs="Times New Roman"/>
        </w:rPr>
        <w:t xml:space="preserve">A </w:t>
      </w:r>
      <w:r w:rsidRPr="00FE26BC">
        <w:rPr>
          <w:rFonts w:cs="Times New Roman"/>
          <w:iCs/>
        </w:rPr>
        <w:t>downstream equal sharing</w:t>
      </w:r>
      <w:r w:rsidRPr="00FE26BC">
        <w:rPr>
          <w:rFonts w:cs="Times New Roman"/>
          <w:i/>
          <w:iCs/>
        </w:rPr>
        <w:t xml:space="preserve"> </w:t>
      </w:r>
      <w:r w:rsidRPr="00FE26BC">
        <w:rPr>
          <w:rFonts w:cs="Times New Roman"/>
        </w:rPr>
        <w:t>(DES) rule is represented by the following cost allocation rule:</w:t>
      </w:r>
    </w:p>
    <w:p w14:paraId="103177DD" w14:textId="23D054FD" w:rsidR="002D252C" w:rsidRPr="005B72DB" w:rsidRDefault="000306D9" w:rsidP="00AC5553">
      <w:pPr>
        <w:spacing w:line="240" w:lineRule="auto"/>
        <w:rPr>
          <w:lang w:val="pt-PT"/>
        </w:rPr>
      </w:pPr>
      <m:oMathPara>
        <m:oMath>
          <m:sSub>
            <m:sSubPr>
              <m:ctrlPr>
                <w:rPr>
                  <w:rFonts w:ascii="Cambria Math" w:eastAsia="Times New Roman" w:hAnsi="Cambria Math"/>
                  <w:i/>
                  <w:lang w:val="en-US"/>
                </w:rPr>
              </m:ctrlPr>
            </m:sSubPr>
            <m:e>
              <m:r>
                <m:rPr>
                  <m:nor/>
                </m:rPr>
                <w:rPr>
                  <w:i/>
                  <w:iCs/>
                  <w:lang w:val="pt-PT"/>
                </w:rPr>
                <m:t>x</m:t>
              </m:r>
            </m:e>
            <m:sub>
              <m:r>
                <m:rPr>
                  <m:nor/>
                </m:rPr>
                <w:rPr>
                  <w:lang w:val="pt-PT"/>
                </w:rPr>
                <m:t>1</m:t>
              </m:r>
            </m:sub>
          </m:sSub>
          <m:r>
            <m:rPr>
              <m:nor/>
            </m:rPr>
            <w:rPr>
              <w:lang w:val="pt-PT"/>
            </w:rPr>
            <m:t>=</m:t>
          </m:r>
          <m:f>
            <m:fPr>
              <m:ctrlPr>
                <w:rPr>
                  <w:rFonts w:ascii="Cambria Math" w:hAnsi="Cambria Math"/>
                </w:rPr>
              </m:ctrlPr>
            </m:fPr>
            <m:num>
              <m:sSub>
                <m:sSubPr>
                  <m:ctrlPr>
                    <w:rPr>
                      <w:rFonts w:ascii="Cambria Math" w:eastAsia="Times New Roman" w:hAnsi="Cambria Math"/>
                      <w:i/>
                      <w:lang w:val="en-US"/>
                    </w:rPr>
                  </m:ctrlPr>
                </m:sSubPr>
                <m:e>
                  <m:r>
                    <m:rPr>
                      <m:nor/>
                    </m:rPr>
                    <w:rPr>
                      <w:i/>
                      <w:iCs/>
                      <w:lang w:val="pt-PT"/>
                    </w:rPr>
                    <m:t>c</m:t>
                  </m:r>
                </m:e>
                <m:sub>
                  <m:r>
                    <m:rPr>
                      <m:nor/>
                    </m:rPr>
                    <w:rPr>
                      <w:lang w:val="pt-PT"/>
                    </w:rPr>
                    <m:t>1</m:t>
                  </m:r>
                </m:sub>
              </m:sSub>
            </m:num>
            <m:den>
              <m:r>
                <m:rPr>
                  <m:nor/>
                </m:rPr>
                <w:rPr>
                  <w:i/>
                  <w:iCs/>
                  <w:lang w:val="pt-PT"/>
                </w:rPr>
                <m:t>n</m:t>
              </m:r>
            </m:den>
          </m:f>
          <m:r>
            <m:rPr>
              <m:sty m:val="p"/>
            </m:rPr>
            <w:rPr>
              <w:rFonts w:ascii="Cambria Math" w:hAnsi="Cambria Math"/>
              <w:lang w:val="pt-PT"/>
            </w:rPr>
            <w:br/>
          </m:r>
        </m:oMath>
        <m:oMath>
          <m:sSub>
            <m:sSubPr>
              <m:ctrlPr>
                <w:rPr>
                  <w:rFonts w:ascii="Cambria Math" w:eastAsia="Times New Roman" w:hAnsi="Cambria Math"/>
                  <w:i/>
                  <w:lang w:val="en-US"/>
                </w:rPr>
              </m:ctrlPr>
            </m:sSubPr>
            <m:e>
              <m:r>
                <m:rPr>
                  <m:nor/>
                </m:rPr>
                <w:rPr>
                  <w:i/>
                  <w:iCs/>
                  <w:lang w:val="pt-PT"/>
                </w:rPr>
                <m:t>x</m:t>
              </m:r>
            </m:e>
            <m:sub>
              <m:r>
                <m:rPr>
                  <m:nor/>
                </m:rPr>
                <w:rPr>
                  <w:lang w:val="pt-PT"/>
                </w:rPr>
                <m:t>2</m:t>
              </m:r>
            </m:sub>
          </m:sSub>
          <m:r>
            <m:rPr>
              <m:nor/>
            </m:rPr>
            <w:rPr>
              <w:lang w:val="pt-PT"/>
            </w:rPr>
            <m:t>=</m:t>
          </m:r>
          <m:f>
            <m:fPr>
              <m:ctrlPr>
                <w:rPr>
                  <w:rFonts w:ascii="Cambria Math" w:hAnsi="Cambria Math"/>
                </w:rPr>
              </m:ctrlPr>
            </m:fPr>
            <m:num>
              <m:sSub>
                <m:sSubPr>
                  <m:ctrlPr>
                    <w:rPr>
                      <w:rFonts w:ascii="Cambria Math" w:eastAsia="Times New Roman" w:hAnsi="Cambria Math"/>
                      <w:i/>
                      <w:lang w:val="en-US"/>
                    </w:rPr>
                  </m:ctrlPr>
                </m:sSubPr>
                <m:e>
                  <m:r>
                    <m:rPr>
                      <m:nor/>
                    </m:rPr>
                    <w:rPr>
                      <w:i/>
                      <w:iCs/>
                      <w:lang w:val="pt-PT"/>
                    </w:rPr>
                    <m:t>c</m:t>
                  </m:r>
                </m:e>
                <m:sub>
                  <m:r>
                    <m:rPr>
                      <m:nor/>
                    </m:rPr>
                    <w:rPr>
                      <w:lang w:val="pt-PT"/>
                    </w:rPr>
                    <m:t>1</m:t>
                  </m:r>
                </m:sub>
              </m:sSub>
            </m:num>
            <m:den>
              <m:r>
                <m:rPr>
                  <m:nor/>
                </m:rPr>
                <w:rPr>
                  <w:i/>
                  <w:iCs/>
                  <w:lang w:val="pt-PT"/>
                </w:rPr>
                <m:t>n</m:t>
              </m:r>
            </m:den>
          </m:f>
          <m:r>
            <m:rPr>
              <m:nor/>
            </m:rPr>
            <w:rPr>
              <w:lang w:val="pt-PT"/>
            </w:rPr>
            <m:t>+</m:t>
          </m:r>
          <m:f>
            <m:fPr>
              <m:ctrlPr>
                <w:rPr>
                  <w:rFonts w:ascii="Cambria Math" w:hAnsi="Cambria Math"/>
                </w:rPr>
              </m:ctrlPr>
            </m:fPr>
            <m:num>
              <m:sSub>
                <m:sSubPr>
                  <m:ctrlPr>
                    <w:rPr>
                      <w:rFonts w:ascii="Cambria Math" w:eastAsia="Times New Roman" w:hAnsi="Cambria Math"/>
                      <w:i/>
                      <w:lang w:val="en-US"/>
                    </w:rPr>
                  </m:ctrlPr>
                </m:sSubPr>
                <m:e>
                  <m:r>
                    <m:rPr>
                      <m:nor/>
                    </m:rPr>
                    <w:rPr>
                      <w:i/>
                      <w:iCs/>
                      <w:lang w:val="pt-PT"/>
                    </w:rPr>
                    <m:t>c</m:t>
                  </m:r>
                </m:e>
                <m:sub>
                  <m:r>
                    <m:rPr>
                      <m:nor/>
                    </m:rPr>
                    <w:rPr>
                      <w:lang w:val="pt-PT"/>
                    </w:rPr>
                    <m:t>2</m:t>
                  </m:r>
                </m:sub>
              </m:sSub>
            </m:num>
            <m:den>
              <m:r>
                <m:rPr>
                  <m:nor/>
                </m:rPr>
                <w:rPr>
                  <w:i/>
                  <w:iCs/>
                  <w:lang w:val="pt-PT"/>
                </w:rPr>
                <m:t>n</m:t>
              </m:r>
              <m:r>
                <m:rPr>
                  <m:nor/>
                </m:rPr>
                <w:rPr>
                  <w:lang w:val="pt-PT"/>
                </w:rPr>
                <m:t>-1</m:t>
              </m:r>
            </m:den>
          </m:f>
          <m:r>
            <m:rPr>
              <m:sty m:val="p"/>
            </m:rPr>
            <w:rPr>
              <w:rFonts w:ascii="Cambria Math" w:hAnsi="Cambria Math"/>
              <w:lang w:val="pt-PT"/>
            </w:rPr>
            <w:br/>
          </m:r>
        </m:oMath>
        <m:oMath>
          <m:r>
            <w:rPr>
              <w:rFonts w:ascii="Cambria Math" w:eastAsia="Times New Roman" w:hAnsi="Cambria Math"/>
              <w:lang w:val="pt-PT"/>
            </w:rPr>
            <m:t>⋯</m:t>
          </m:r>
          <m:r>
            <w:rPr>
              <w:rFonts w:ascii="Cambria Math" w:hAnsi="Cambria Math"/>
              <w:lang w:val="pt-PT"/>
            </w:rPr>
            <m:t>=</m:t>
          </m:r>
          <m:r>
            <w:rPr>
              <w:rFonts w:ascii="Cambria Math" w:eastAsia="Times New Roman" w:hAnsi="Cambria Math"/>
              <w:lang w:val="pt-PT"/>
            </w:rPr>
            <m:t>⋯</m:t>
          </m:r>
          <m:r>
            <m:rPr>
              <m:sty m:val="p"/>
            </m:rPr>
            <w:rPr>
              <w:rFonts w:ascii="Cambria Math" w:hAnsi="Cambria Math"/>
              <w:lang w:val="pt-PT"/>
            </w:rPr>
            <w:br/>
          </m:r>
        </m:oMath>
        <m:oMath>
          <m:sSub>
            <m:sSubPr>
              <m:ctrlPr>
                <w:rPr>
                  <w:rFonts w:ascii="Cambria Math" w:eastAsia="Times New Roman" w:hAnsi="Cambria Math"/>
                  <w:i/>
                  <w:lang w:val="en-US"/>
                </w:rPr>
              </m:ctrlPr>
            </m:sSubPr>
            <m:e>
              <m:r>
                <m:rPr>
                  <m:nor/>
                </m:rPr>
                <w:rPr>
                  <w:i/>
                  <w:lang w:val="pt-PT"/>
                </w:rPr>
                <m:t>x</m:t>
              </m:r>
            </m:e>
            <m:sub>
              <m:r>
                <m:rPr>
                  <m:nor/>
                </m:rPr>
                <w:rPr>
                  <w:i/>
                  <w:lang w:val="pt-PT"/>
                </w:rPr>
                <m:t>i</m:t>
              </m:r>
            </m:sub>
          </m:sSub>
          <m:r>
            <m:rPr>
              <m:nor/>
            </m:rPr>
            <w:rPr>
              <w:lang w:val="pt-PT"/>
            </w:rPr>
            <m:t>=</m:t>
          </m:r>
          <m:f>
            <m:fPr>
              <m:ctrlPr>
                <w:rPr>
                  <w:rFonts w:ascii="Cambria Math" w:hAnsi="Cambria Math"/>
                </w:rPr>
              </m:ctrlPr>
            </m:fPr>
            <m:num>
              <m:sSub>
                <m:sSubPr>
                  <m:ctrlPr>
                    <w:rPr>
                      <w:rFonts w:ascii="Cambria Math" w:eastAsia="Times New Roman" w:hAnsi="Cambria Math"/>
                      <w:i/>
                      <w:lang w:val="en-US"/>
                    </w:rPr>
                  </m:ctrlPr>
                </m:sSubPr>
                <m:e>
                  <m:r>
                    <m:rPr>
                      <m:nor/>
                    </m:rPr>
                    <w:rPr>
                      <w:i/>
                      <w:iCs/>
                      <w:lang w:val="pt-PT"/>
                    </w:rPr>
                    <m:t>c</m:t>
                  </m:r>
                </m:e>
                <m:sub>
                  <m:r>
                    <m:rPr>
                      <m:nor/>
                    </m:rPr>
                    <w:rPr>
                      <w:lang w:val="pt-PT"/>
                    </w:rPr>
                    <m:t>1</m:t>
                  </m:r>
                </m:sub>
              </m:sSub>
            </m:num>
            <m:den>
              <m:r>
                <m:rPr>
                  <m:nor/>
                </m:rPr>
                <w:rPr>
                  <w:i/>
                  <w:iCs/>
                  <w:lang w:val="pt-PT"/>
                </w:rPr>
                <m:t>n</m:t>
              </m:r>
            </m:den>
          </m:f>
          <m:r>
            <m:rPr>
              <m:nor/>
            </m:rPr>
            <w:rPr>
              <w:lang w:val="pt-PT"/>
            </w:rPr>
            <m:t>+</m:t>
          </m:r>
          <m:f>
            <m:fPr>
              <m:ctrlPr>
                <w:rPr>
                  <w:rFonts w:ascii="Cambria Math" w:hAnsi="Cambria Math"/>
                </w:rPr>
              </m:ctrlPr>
            </m:fPr>
            <m:num>
              <m:sSub>
                <m:sSubPr>
                  <m:ctrlPr>
                    <w:rPr>
                      <w:rFonts w:ascii="Cambria Math" w:eastAsia="Times New Roman" w:hAnsi="Cambria Math"/>
                      <w:i/>
                      <w:lang w:val="en-US"/>
                    </w:rPr>
                  </m:ctrlPr>
                </m:sSubPr>
                <m:e>
                  <m:r>
                    <m:rPr>
                      <m:nor/>
                    </m:rPr>
                    <w:rPr>
                      <w:i/>
                      <w:iCs/>
                      <w:lang w:val="pt-PT"/>
                    </w:rPr>
                    <m:t>c</m:t>
                  </m:r>
                </m:e>
                <m:sub>
                  <m:r>
                    <m:rPr>
                      <m:nor/>
                    </m:rPr>
                    <w:rPr>
                      <w:lang w:val="pt-PT"/>
                    </w:rPr>
                    <m:t>2</m:t>
                  </m:r>
                </m:sub>
              </m:sSub>
            </m:num>
            <m:den>
              <m:r>
                <m:rPr>
                  <m:nor/>
                </m:rPr>
                <w:rPr>
                  <w:i/>
                  <w:iCs/>
                  <w:lang w:val="pt-PT"/>
                </w:rPr>
                <m:t>n</m:t>
              </m:r>
              <m:r>
                <m:rPr>
                  <m:nor/>
                </m:rPr>
                <w:rPr>
                  <w:lang w:val="pt-PT"/>
                </w:rPr>
                <m:t>-1</m:t>
              </m:r>
            </m:den>
          </m:f>
          <m:r>
            <m:rPr>
              <m:nor/>
            </m:rPr>
            <w:rPr>
              <w:lang w:val="pt-PT"/>
            </w:rPr>
            <m:t>+</m:t>
          </m:r>
          <m:r>
            <m:rPr>
              <m:nor/>
            </m:rPr>
            <w:rPr>
              <w:rFonts w:ascii="Cambria Math" w:eastAsia="Times New Roman" w:hAnsi="Cambria Math" w:cs="Cambria Math"/>
              <w:lang w:val="pt-PT"/>
            </w:rPr>
            <m:t>⋯</m:t>
          </m:r>
          <m:r>
            <m:rPr>
              <m:nor/>
            </m:rPr>
            <w:rPr>
              <w:lang w:val="pt-PT"/>
            </w:rPr>
            <m:t>+</m:t>
          </m:r>
          <m:f>
            <m:fPr>
              <m:ctrlPr>
                <w:rPr>
                  <w:rFonts w:ascii="Cambria Math" w:hAnsi="Cambria Math"/>
                </w:rPr>
              </m:ctrlPr>
            </m:fPr>
            <m:num>
              <m:sSub>
                <m:sSubPr>
                  <m:ctrlPr>
                    <w:rPr>
                      <w:rFonts w:ascii="Cambria Math" w:eastAsia="Times New Roman" w:hAnsi="Cambria Math"/>
                      <w:i/>
                      <w:lang w:val="en-US"/>
                    </w:rPr>
                  </m:ctrlPr>
                </m:sSubPr>
                <m:e>
                  <m:r>
                    <m:rPr>
                      <m:nor/>
                    </m:rPr>
                    <w:rPr>
                      <w:i/>
                      <w:lang w:val="pt-PT"/>
                    </w:rPr>
                    <m:t>c</m:t>
                  </m:r>
                </m:e>
                <m:sub>
                  <m:r>
                    <m:rPr>
                      <m:nor/>
                    </m:rPr>
                    <w:rPr>
                      <w:i/>
                      <w:lang w:val="pt-PT"/>
                    </w:rPr>
                    <m:t>i-</m:t>
                  </m:r>
                  <m:r>
                    <m:rPr>
                      <m:nor/>
                    </m:rPr>
                    <w:rPr>
                      <w:iCs/>
                      <w:lang w:val="pt-PT"/>
                    </w:rPr>
                    <m:t>1</m:t>
                  </m:r>
                </m:sub>
              </m:sSub>
            </m:num>
            <m:den>
              <m:r>
                <m:rPr>
                  <m:nor/>
                </m:rPr>
                <w:rPr>
                  <w:i/>
                  <w:iCs/>
                  <w:lang w:val="pt-PT"/>
                </w:rPr>
                <m:t>n</m:t>
              </m:r>
              <m:r>
                <m:rPr>
                  <m:nor/>
                </m:rPr>
                <w:rPr>
                  <w:lang w:val="pt-PT"/>
                </w:rPr>
                <m:t>+2-</m:t>
              </m:r>
              <m:r>
                <m:rPr>
                  <m:nor/>
                </m:rPr>
                <w:rPr>
                  <w:i/>
                  <w:iCs/>
                  <w:lang w:val="pt-PT"/>
                </w:rPr>
                <m:t>i</m:t>
              </m:r>
            </m:den>
          </m:f>
          <m:r>
            <m:rPr>
              <m:nor/>
            </m:rPr>
            <w:rPr>
              <w:lang w:val="pt-PT"/>
            </w:rPr>
            <m:t>+</m:t>
          </m:r>
          <m:f>
            <m:fPr>
              <m:ctrlPr>
                <w:rPr>
                  <w:rFonts w:ascii="Cambria Math" w:hAnsi="Cambria Math"/>
                </w:rPr>
              </m:ctrlPr>
            </m:fPr>
            <m:num>
              <m:sSub>
                <m:sSubPr>
                  <m:ctrlPr>
                    <w:rPr>
                      <w:rFonts w:ascii="Cambria Math" w:eastAsia="Times New Roman" w:hAnsi="Cambria Math"/>
                      <w:i/>
                      <w:lang w:val="en-US"/>
                    </w:rPr>
                  </m:ctrlPr>
                </m:sSubPr>
                <m:e>
                  <m:r>
                    <m:rPr>
                      <m:nor/>
                    </m:rPr>
                    <w:rPr>
                      <w:i/>
                      <w:lang w:val="pt-PT"/>
                    </w:rPr>
                    <m:t>c</m:t>
                  </m:r>
                </m:e>
                <m:sub>
                  <m:r>
                    <m:rPr>
                      <m:nor/>
                    </m:rPr>
                    <w:rPr>
                      <w:i/>
                      <w:lang w:val="pt-PT"/>
                    </w:rPr>
                    <m:t>i</m:t>
                  </m:r>
                </m:sub>
              </m:sSub>
            </m:num>
            <m:den>
              <m:r>
                <m:rPr>
                  <m:nor/>
                </m:rPr>
                <w:rPr>
                  <w:i/>
                  <w:iCs/>
                  <w:lang w:val="pt-PT"/>
                </w:rPr>
                <m:t>n</m:t>
              </m:r>
              <m:r>
                <m:rPr>
                  <m:nor/>
                </m:rPr>
                <w:rPr>
                  <w:lang w:val="pt-PT"/>
                </w:rPr>
                <m:t>+1-</m:t>
              </m:r>
              <m:r>
                <m:rPr>
                  <m:nor/>
                </m:rPr>
                <w:rPr>
                  <w:i/>
                  <w:iCs/>
                  <w:lang w:val="pt-PT"/>
                </w:rPr>
                <m:t>i</m:t>
              </m:r>
            </m:den>
          </m:f>
          <m:r>
            <m:rPr>
              <m:sty m:val="p"/>
            </m:rPr>
            <w:rPr>
              <w:rFonts w:ascii="Cambria Math" w:hAnsi="Cambria Math"/>
              <w:lang w:val="pt-PT"/>
            </w:rPr>
            <w:br/>
          </m:r>
        </m:oMath>
        <m:oMath>
          <m:r>
            <w:rPr>
              <w:rFonts w:ascii="Cambria Math" w:eastAsia="Times New Roman" w:hAnsi="Cambria Math"/>
              <w:lang w:val="pt-PT"/>
            </w:rPr>
            <m:t>⋯</m:t>
          </m:r>
          <m:r>
            <w:rPr>
              <w:rFonts w:ascii="Cambria Math" w:hAnsi="Cambria Math"/>
              <w:lang w:val="pt-PT"/>
            </w:rPr>
            <m:t>=</m:t>
          </m:r>
          <m:r>
            <w:rPr>
              <w:rFonts w:ascii="Cambria Math" w:eastAsia="Times New Roman" w:hAnsi="Cambria Math"/>
              <w:lang w:val="pt-PT"/>
            </w:rPr>
            <m:t>⋯</m:t>
          </m:r>
          <m:r>
            <m:rPr>
              <m:sty m:val="p"/>
            </m:rPr>
            <w:rPr>
              <w:rFonts w:ascii="Cambria Math" w:hAnsi="Cambria Math"/>
              <w:lang w:val="pt-PT"/>
            </w:rPr>
            <w:br/>
          </m:r>
        </m:oMath>
        <m:oMath>
          <m:sSub>
            <m:sSubPr>
              <m:ctrlPr>
                <w:rPr>
                  <w:rFonts w:ascii="Cambria Math" w:eastAsia="Times New Roman" w:hAnsi="Cambria Math"/>
                  <w:i/>
                  <w:lang w:val="en-US"/>
                </w:rPr>
              </m:ctrlPr>
            </m:sSubPr>
            <m:e>
              <m:r>
                <m:rPr>
                  <m:nor/>
                </m:rPr>
                <w:rPr>
                  <w:i/>
                  <w:lang w:val="pt-PT"/>
                </w:rPr>
                <m:t>x</m:t>
              </m:r>
            </m:e>
            <m:sub>
              <m:r>
                <m:rPr>
                  <m:nor/>
                </m:rPr>
                <w:rPr>
                  <w:i/>
                  <w:lang w:val="pt-PT"/>
                </w:rPr>
                <m:t>n</m:t>
              </m:r>
            </m:sub>
          </m:sSub>
          <m:r>
            <m:rPr>
              <m:nor/>
            </m:rPr>
            <w:rPr>
              <w:lang w:val="pt-PT"/>
            </w:rPr>
            <m:t>=</m:t>
          </m:r>
          <m:f>
            <m:fPr>
              <m:ctrlPr>
                <w:rPr>
                  <w:rFonts w:ascii="Cambria Math" w:hAnsi="Cambria Math"/>
                </w:rPr>
              </m:ctrlPr>
            </m:fPr>
            <m:num>
              <m:sSub>
                <m:sSubPr>
                  <m:ctrlPr>
                    <w:rPr>
                      <w:rFonts w:ascii="Cambria Math" w:eastAsia="Times New Roman" w:hAnsi="Cambria Math"/>
                      <w:i/>
                      <w:lang w:val="en-US"/>
                    </w:rPr>
                  </m:ctrlPr>
                </m:sSubPr>
                <m:e>
                  <m:r>
                    <m:rPr>
                      <m:nor/>
                    </m:rPr>
                    <w:rPr>
                      <w:i/>
                      <w:iCs/>
                      <w:lang w:val="pt-PT"/>
                    </w:rPr>
                    <m:t>c</m:t>
                  </m:r>
                </m:e>
                <m:sub>
                  <m:r>
                    <m:rPr>
                      <m:nor/>
                    </m:rPr>
                    <w:rPr>
                      <w:lang w:val="pt-PT"/>
                    </w:rPr>
                    <m:t>1</m:t>
                  </m:r>
                </m:sub>
              </m:sSub>
            </m:num>
            <m:den>
              <m:r>
                <m:rPr>
                  <m:nor/>
                </m:rPr>
                <w:rPr>
                  <w:i/>
                  <w:iCs/>
                  <w:lang w:val="pt-PT"/>
                </w:rPr>
                <m:t>n</m:t>
              </m:r>
            </m:den>
          </m:f>
          <m:r>
            <m:rPr>
              <m:nor/>
            </m:rPr>
            <w:rPr>
              <w:lang w:val="pt-PT"/>
            </w:rPr>
            <m:t>+</m:t>
          </m:r>
          <m:f>
            <m:fPr>
              <m:ctrlPr>
                <w:rPr>
                  <w:rFonts w:ascii="Cambria Math" w:hAnsi="Cambria Math"/>
                </w:rPr>
              </m:ctrlPr>
            </m:fPr>
            <m:num>
              <m:sSub>
                <m:sSubPr>
                  <m:ctrlPr>
                    <w:rPr>
                      <w:rFonts w:ascii="Cambria Math" w:eastAsia="Times New Roman" w:hAnsi="Cambria Math"/>
                      <w:i/>
                      <w:lang w:val="en-US"/>
                    </w:rPr>
                  </m:ctrlPr>
                </m:sSubPr>
                <m:e>
                  <m:r>
                    <m:rPr>
                      <m:nor/>
                    </m:rPr>
                    <w:rPr>
                      <w:i/>
                      <w:iCs/>
                      <w:lang w:val="pt-PT"/>
                    </w:rPr>
                    <m:t>c</m:t>
                  </m:r>
                </m:e>
                <m:sub>
                  <m:r>
                    <m:rPr>
                      <m:nor/>
                    </m:rPr>
                    <w:rPr>
                      <w:lang w:val="pt-PT"/>
                    </w:rPr>
                    <m:t>2</m:t>
                  </m:r>
                </m:sub>
              </m:sSub>
            </m:num>
            <m:den>
              <m:r>
                <m:rPr>
                  <m:nor/>
                </m:rPr>
                <w:rPr>
                  <w:i/>
                  <w:iCs/>
                  <w:lang w:val="pt-PT"/>
                </w:rPr>
                <m:t>n</m:t>
              </m:r>
              <m:r>
                <m:rPr>
                  <m:nor/>
                </m:rPr>
                <w:rPr>
                  <w:lang w:val="pt-PT"/>
                </w:rPr>
                <m:t>-1</m:t>
              </m:r>
            </m:den>
          </m:f>
          <m:r>
            <m:rPr>
              <m:nor/>
            </m:rPr>
            <w:rPr>
              <w:lang w:val="pt-PT"/>
            </w:rPr>
            <m:t>+</m:t>
          </m:r>
          <m:r>
            <m:rPr>
              <m:nor/>
            </m:rPr>
            <w:rPr>
              <w:rFonts w:ascii="Cambria Math" w:eastAsia="Times New Roman" w:hAnsi="Cambria Math" w:cs="Cambria Math"/>
              <w:lang w:val="pt-PT"/>
            </w:rPr>
            <m:t>⋯</m:t>
          </m:r>
          <m:r>
            <m:rPr>
              <m:nor/>
            </m:rPr>
            <w:rPr>
              <w:lang w:val="pt-PT"/>
            </w:rPr>
            <m:t>+</m:t>
          </m:r>
          <m:f>
            <m:fPr>
              <m:ctrlPr>
                <w:rPr>
                  <w:rFonts w:ascii="Cambria Math" w:hAnsi="Cambria Math"/>
                </w:rPr>
              </m:ctrlPr>
            </m:fPr>
            <m:num>
              <m:sSub>
                <m:sSubPr>
                  <m:ctrlPr>
                    <w:rPr>
                      <w:rFonts w:ascii="Cambria Math" w:eastAsia="Times New Roman" w:hAnsi="Cambria Math"/>
                      <w:i/>
                      <w:lang w:val="en-US"/>
                    </w:rPr>
                  </m:ctrlPr>
                </m:sSubPr>
                <m:e>
                  <m:r>
                    <m:rPr>
                      <m:nor/>
                    </m:rPr>
                    <w:rPr>
                      <w:i/>
                      <w:iCs/>
                      <w:lang w:val="pt-PT"/>
                    </w:rPr>
                    <m:t>c</m:t>
                  </m:r>
                </m:e>
                <m:sub>
                  <m:r>
                    <m:rPr>
                      <m:nor/>
                    </m:rPr>
                    <w:rPr>
                      <w:i/>
                      <w:iCs/>
                      <w:lang w:val="pt-PT"/>
                    </w:rPr>
                    <m:t>i</m:t>
                  </m:r>
                  <m:r>
                    <m:rPr>
                      <m:nor/>
                    </m:rPr>
                    <w:rPr>
                      <w:lang w:val="pt-PT"/>
                    </w:rPr>
                    <m:t>-1</m:t>
                  </m:r>
                </m:sub>
              </m:sSub>
            </m:num>
            <m:den>
              <m:r>
                <m:rPr>
                  <m:nor/>
                </m:rPr>
                <w:rPr>
                  <w:i/>
                  <w:iCs/>
                  <w:lang w:val="pt-PT"/>
                </w:rPr>
                <m:t>n</m:t>
              </m:r>
              <m:r>
                <m:rPr>
                  <m:nor/>
                </m:rPr>
                <w:rPr>
                  <w:lang w:val="pt-PT"/>
                </w:rPr>
                <m:t>+2-</m:t>
              </m:r>
              <m:r>
                <m:rPr>
                  <m:nor/>
                </m:rPr>
                <w:rPr>
                  <w:i/>
                  <w:iCs/>
                  <w:lang w:val="pt-PT"/>
                </w:rPr>
                <m:t>i</m:t>
              </m:r>
            </m:den>
          </m:f>
          <m:r>
            <m:rPr>
              <m:nor/>
            </m:rPr>
            <w:rPr>
              <w:lang w:val="pt-PT"/>
            </w:rPr>
            <m:t>+</m:t>
          </m:r>
          <m:f>
            <m:fPr>
              <m:ctrlPr>
                <w:rPr>
                  <w:rFonts w:ascii="Cambria Math" w:hAnsi="Cambria Math"/>
                </w:rPr>
              </m:ctrlPr>
            </m:fPr>
            <m:num>
              <m:sSub>
                <m:sSubPr>
                  <m:ctrlPr>
                    <w:rPr>
                      <w:rFonts w:ascii="Cambria Math" w:eastAsia="Times New Roman" w:hAnsi="Cambria Math"/>
                      <w:i/>
                      <w:lang w:val="en-US"/>
                    </w:rPr>
                  </m:ctrlPr>
                </m:sSubPr>
                <m:e>
                  <m:r>
                    <m:rPr>
                      <m:nor/>
                    </m:rPr>
                    <w:rPr>
                      <w:i/>
                      <w:lang w:val="pt-PT"/>
                    </w:rPr>
                    <m:t>c</m:t>
                  </m:r>
                </m:e>
                <m:sub>
                  <m:r>
                    <m:rPr>
                      <m:nor/>
                    </m:rPr>
                    <w:rPr>
                      <w:i/>
                      <w:lang w:val="pt-PT"/>
                    </w:rPr>
                    <m:t>i</m:t>
                  </m:r>
                </m:sub>
              </m:sSub>
            </m:num>
            <m:den>
              <m:r>
                <m:rPr>
                  <m:nor/>
                </m:rPr>
                <w:rPr>
                  <w:i/>
                  <w:iCs/>
                  <w:lang w:val="pt-PT"/>
                </w:rPr>
                <m:t>n</m:t>
              </m:r>
              <m:r>
                <m:rPr>
                  <m:nor/>
                </m:rPr>
                <w:rPr>
                  <w:lang w:val="pt-PT"/>
                </w:rPr>
                <m:t>+1-</m:t>
              </m:r>
              <m:r>
                <m:rPr>
                  <m:nor/>
                </m:rPr>
                <w:rPr>
                  <w:i/>
                  <w:iCs/>
                  <w:lang w:val="pt-PT"/>
                </w:rPr>
                <m:t>i</m:t>
              </m:r>
            </m:den>
          </m:f>
          <m:r>
            <m:rPr>
              <m:nor/>
            </m:rPr>
            <w:rPr>
              <w:lang w:val="pt-PT"/>
            </w:rPr>
            <m:t>+</m:t>
          </m:r>
          <m:r>
            <m:rPr>
              <m:nor/>
            </m:rPr>
            <w:rPr>
              <w:rFonts w:ascii="Cambria Math" w:eastAsia="Times New Roman" w:hAnsi="Cambria Math" w:cs="Cambria Math"/>
              <w:lang w:val="pt-PT"/>
            </w:rPr>
            <m:t>⋯</m:t>
          </m:r>
          <m:r>
            <m:rPr>
              <m:nor/>
            </m:rPr>
            <w:rPr>
              <w:lang w:val="pt-PT"/>
            </w:rPr>
            <m:t>+</m:t>
          </m:r>
          <m:sSub>
            <m:sSubPr>
              <m:ctrlPr>
                <w:rPr>
                  <w:rFonts w:ascii="Cambria Math" w:eastAsia="Times New Roman" w:hAnsi="Cambria Math"/>
                  <w:i/>
                  <w:lang w:val="en-US"/>
                </w:rPr>
              </m:ctrlPr>
            </m:sSubPr>
            <m:e>
              <m:r>
                <m:rPr>
                  <m:nor/>
                </m:rPr>
                <w:rPr>
                  <w:i/>
                  <w:lang w:val="pt-PT"/>
                </w:rPr>
                <m:t>c</m:t>
              </m:r>
            </m:e>
            <m:sub>
              <m:r>
                <m:rPr>
                  <m:nor/>
                </m:rPr>
                <w:rPr>
                  <w:i/>
                  <w:lang w:val="pt-PT"/>
                </w:rPr>
                <m:t>n</m:t>
              </m:r>
            </m:sub>
          </m:sSub>
        </m:oMath>
      </m:oMathPara>
    </w:p>
    <w:p w14:paraId="4E7A9002" w14:textId="7E50FCEE" w:rsidR="002D252C" w:rsidRPr="00FE26BC" w:rsidRDefault="002D252C" w:rsidP="00AC5553">
      <w:pPr>
        <w:spacing w:before="240" w:line="360" w:lineRule="auto"/>
        <w:rPr>
          <w:color w:val="000000" w:themeColor="text1"/>
        </w:rPr>
      </w:pPr>
      <w:r w:rsidRPr="00FE26BC">
        <w:rPr>
          <w:color w:val="000000" w:themeColor="text1"/>
        </w:rPr>
        <w:t xml:space="preserve">Each stakeholder is responsible for the costs of GMPs, which happen upstream of his position in the delivery network (including the cost of GMP at his premises). </w:t>
      </w:r>
    </w:p>
    <w:p w14:paraId="4EF381F4" w14:textId="371929FA" w:rsidR="002D252C" w:rsidRPr="00697944" w:rsidRDefault="002D252C" w:rsidP="001B7669">
      <w:pPr>
        <w:pStyle w:val="Heading3"/>
      </w:pPr>
      <w:bookmarkStart w:id="1015" w:name="_Toc66703262"/>
      <w:r w:rsidRPr="00697944">
        <w:lastRenderedPageBreak/>
        <w:t xml:space="preserve">Model </w:t>
      </w:r>
      <w:r w:rsidR="00F43E78">
        <w:t>p</w:t>
      </w:r>
      <w:r w:rsidR="00F43E78" w:rsidRPr="00697944">
        <w:t>roperties</w:t>
      </w:r>
      <w:bookmarkEnd w:id="1015"/>
    </w:p>
    <w:p w14:paraId="4F9268CF" w14:textId="6F8AEF3D" w:rsidR="00740976" w:rsidRPr="000C2D32" w:rsidRDefault="002D252C" w:rsidP="00FE10DA">
      <w:pPr>
        <w:spacing w:after="240" w:line="360" w:lineRule="auto"/>
        <w:rPr>
          <w:color w:val="4472C4" w:themeColor="accent5"/>
        </w:rPr>
      </w:pPr>
      <w:r w:rsidRPr="00495DC0">
        <w:rPr>
          <w:color w:val="FF0000"/>
        </w:rPr>
        <w:t xml:space="preserve">As described in </w:t>
      </w:r>
      <w:r w:rsidRPr="00495DC0">
        <w:rPr>
          <w:color w:val="FF0000"/>
        </w:rPr>
        <w:fldChar w:fldCharType="begin"/>
      </w:r>
      <w:r w:rsidRPr="00495DC0">
        <w:rPr>
          <w:color w:val="FF0000"/>
        </w:rPr>
        <w:instrText xml:space="preserve"> ADDIN EN.CITE &lt;EndNote&gt;&lt;Cite&gt;&lt;Author&gt;Ciardiello&lt;/Author&gt;&lt;Year&gt;2020&lt;/Year&gt;&lt;RecNum&gt;250&lt;/RecNum&gt;&lt;DisplayText&gt;(Ciardiello et al., 2020)&lt;/DisplayText&gt;&lt;record&gt;&lt;rec-number&gt;250&lt;/rec-number&gt;&lt;foreign-keys&gt;&lt;key app="EN" db-id="x5etaz5aiszvz0edasvvpwvotttxepvd25t2" timestamp="1611179566"&gt;250&lt;/key&gt;&lt;/foreign-keys&gt;&lt;ref-type name="Journal Article"&gt;17&lt;/ref-type&gt;&lt;contributors&gt;&lt;authors&gt;&lt;author&gt;Ciardiello, Francesco&lt;/author&gt;&lt;author&gt;Genovese, Andrea&lt;/author&gt;&lt;author&gt;Simpson, Andrew&lt;/author&gt;&lt;/authors&gt;&lt;/contributors&gt;&lt;titles&gt;&lt;title&gt;A unified cooperative model for environmental costs in supply chains: the Shapley value for the linear case&lt;/title&gt;&lt;secondary-title&gt;Annals of Operations Research&lt;/secondary-title&gt;&lt;/titles&gt;&lt;periodical&gt;&lt;full-title&gt;Annals of Operations Research&lt;/full-title&gt;&lt;/periodical&gt;&lt;pages&gt;421-437&lt;/pages&gt;&lt;volume&gt;290&lt;/volume&gt;&lt;number&gt;1&lt;/number&gt;&lt;dates&gt;&lt;year&gt;2020&lt;/year&gt;&lt;pub-dates&gt;&lt;date&gt;2020/07/01&lt;/date&gt;&lt;/pub-dates&gt;&lt;/dates&gt;&lt;isbn&gt;1572-9338&lt;/isbn&gt;&lt;urls&gt;&lt;related-urls&gt;&lt;url&gt;https://doi.org/10.1007/s10479-018-3028-3&lt;/url&gt;&lt;/related-urls&gt;&lt;/urls&gt;&lt;electronic-resource-num&gt;10.1007/s10479-018-3028-3&lt;/electronic-resource-num&gt;&lt;/record&gt;&lt;/Cite&gt;&lt;/EndNote&gt;</w:instrText>
      </w:r>
      <w:r w:rsidRPr="00495DC0">
        <w:rPr>
          <w:color w:val="FF0000"/>
        </w:rPr>
        <w:fldChar w:fldCharType="separate"/>
      </w:r>
      <w:r w:rsidRPr="00495DC0">
        <w:rPr>
          <w:noProof/>
          <w:color w:val="FF0000"/>
        </w:rPr>
        <w:t>(Ciardiello et al., 2020)</w:t>
      </w:r>
      <w:r w:rsidRPr="00495DC0">
        <w:rPr>
          <w:color w:val="FF0000"/>
        </w:rPr>
        <w:fldChar w:fldCharType="end"/>
      </w:r>
      <w:r w:rsidRPr="00495DC0">
        <w:rPr>
          <w:color w:val="FF0000"/>
        </w:rPr>
        <w:t>, the allocation rules described in the previous section are characterised by several desirable properties, which become very relevant in the context of UCC delivery networks as described in the following</w:t>
      </w:r>
      <w:r w:rsidR="00FE10DA" w:rsidRPr="00495DC0">
        <w:rPr>
          <w:color w:val="FF0000"/>
        </w:rPr>
        <w:t xml:space="preserve"> </w:t>
      </w:r>
      <w:r w:rsidR="009172AD" w:rsidRPr="00495DC0">
        <w:rPr>
          <w:color w:val="FF0000"/>
        </w:rPr>
        <w:fldChar w:fldCharType="begin"/>
      </w:r>
      <w:r w:rsidR="009172AD" w:rsidRPr="00495DC0">
        <w:rPr>
          <w:color w:val="FF0000"/>
        </w:rPr>
        <w:instrText xml:space="preserve"> REF _Ref62081571 \h </w:instrText>
      </w:r>
      <w:r w:rsidR="009172AD" w:rsidRPr="00495DC0">
        <w:rPr>
          <w:color w:val="FF0000"/>
        </w:rPr>
      </w:r>
      <w:r w:rsidR="009172AD" w:rsidRPr="00495DC0">
        <w:rPr>
          <w:color w:val="FF0000"/>
        </w:rPr>
        <w:fldChar w:fldCharType="separate"/>
      </w:r>
      <w:r w:rsidR="0005064B" w:rsidRPr="00F67C81">
        <w:rPr>
          <w:color w:val="FF0000"/>
        </w:rPr>
        <w:t xml:space="preserve">Table </w:t>
      </w:r>
      <w:r w:rsidR="0005064B">
        <w:rPr>
          <w:noProof/>
          <w:color w:val="FF0000"/>
        </w:rPr>
        <w:t>7</w:t>
      </w:r>
      <w:r w:rsidR="0005064B" w:rsidRPr="00F67C81">
        <w:rPr>
          <w:color w:val="FF0000"/>
        </w:rPr>
        <w:noBreakHyphen/>
      </w:r>
      <w:r w:rsidR="0005064B">
        <w:rPr>
          <w:noProof/>
          <w:color w:val="FF0000"/>
        </w:rPr>
        <w:t>1</w:t>
      </w:r>
      <w:r w:rsidR="009172AD" w:rsidRPr="00495DC0">
        <w:rPr>
          <w:color w:val="FF0000"/>
        </w:rPr>
        <w:fldChar w:fldCharType="end"/>
      </w:r>
      <w:r w:rsidRPr="00495DC0">
        <w:rPr>
          <w:color w:val="FF0000"/>
        </w:rPr>
        <w:t xml:space="preserve">. </w:t>
      </w:r>
    </w:p>
    <w:tbl>
      <w:tblPr>
        <w:tblStyle w:val="TableGrid"/>
        <w:tblW w:w="0" w:type="auto"/>
        <w:tblLook w:val="04A0" w:firstRow="1" w:lastRow="0" w:firstColumn="1" w:lastColumn="0" w:noHBand="0" w:noVBand="1"/>
      </w:tblPr>
      <w:tblGrid>
        <w:gridCol w:w="1881"/>
        <w:gridCol w:w="7135"/>
      </w:tblGrid>
      <w:tr w:rsidR="00F67C81" w:rsidRPr="00F67C81" w14:paraId="125F58EA" w14:textId="77777777" w:rsidTr="00631DA4">
        <w:trPr>
          <w:trHeight w:val="192"/>
        </w:trPr>
        <w:tc>
          <w:tcPr>
            <w:tcW w:w="0" w:type="auto"/>
            <w:tcBorders>
              <w:top w:val="single" w:sz="4" w:space="0" w:color="auto"/>
              <w:left w:val="single" w:sz="4" w:space="0" w:color="auto"/>
              <w:bottom w:val="single" w:sz="4" w:space="0" w:color="auto"/>
              <w:right w:val="single" w:sz="4" w:space="0" w:color="auto"/>
            </w:tcBorders>
          </w:tcPr>
          <w:p w14:paraId="10627355" w14:textId="77777777" w:rsidR="002D252C" w:rsidRPr="00F67C81" w:rsidRDefault="002D252C" w:rsidP="00697944">
            <w:pPr>
              <w:jc w:val="center"/>
              <w:rPr>
                <w:b/>
                <w:color w:val="FF0000"/>
                <w:sz w:val="22"/>
              </w:rPr>
            </w:pPr>
            <w:r w:rsidRPr="00F67C81">
              <w:rPr>
                <w:b/>
                <w:color w:val="FF0000"/>
                <w:sz w:val="22"/>
              </w:rPr>
              <w:t>Property</w:t>
            </w:r>
          </w:p>
        </w:tc>
        <w:tc>
          <w:tcPr>
            <w:tcW w:w="0" w:type="auto"/>
            <w:tcBorders>
              <w:top w:val="single" w:sz="4" w:space="0" w:color="auto"/>
              <w:left w:val="single" w:sz="4" w:space="0" w:color="auto"/>
              <w:bottom w:val="single" w:sz="4" w:space="0" w:color="auto"/>
              <w:right w:val="single" w:sz="4" w:space="0" w:color="auto"/>
            </w:tcBorders>
          </w:tcPr>
          <w:p w14:paraId="2BEF3209" w14:textId="77777777" w:rsidR="002D252C" w:rsidRPr="00F67C81" w:rsidRDefault="002D252C" w:rsidP="00697944">
            <w:pPr>
              <w:jc w:val="center"/>
              <w:rPr>
                <w:b/>
                <w:color w:val="FF0000"/>
                <w:sz w:val="22"/>
              </w:rPr>
            </w:pPr>
            <w:r w:rsidRPr="00F67C81">
              <w:rPr>
                <w:b/>
                <w:color w:val="FF0000"/>
                <w:sz w:val="22"/>
              </w:rPr>
              <w:t>Relevance for UCC networks</w:t>
            </w:r>
          </w:p>
        </w:tc>
      </w:tr>
      <w:tr w:rsidR="00F67C81" w:rsidRPr="00F67C81" w14:paraId="5CF959C3" w14:textId="77777777" w:rsidTr="00740976">
        <w:trPr>
          <w:trHeight w:val="360"/>
        </w:trPr>
        <w:tc>
          <w:tcPr>
            <w:tcW w:w="0" w:type="auto"/>
            <w:tcBorders>
              <w:top w:val="single" w:sz="4" w:space="0" w:color="auto"/>
              <w:left w:val="single" w:sz="4" w:space="0" w:color="auto"/>
              <w:bottom w:val="single" w:sz="4" w:space="0" w:color="auto"/>
              <w:right w:val="single" w:sz="4" w:space="0" w:color="auto"/>
            </w:tcBorders>
            <w:vAlign w:val="center"/>
          </w:tcPr>
          <w:p w14:paraId="0EEF29FC" w14:textId="67045206" w:rsidR="002D252C" w:rsidRPr="00F67C81" w:rsidRDefault="002D252C" w:rsidP="00740976">
            <w:pPr>
              <w:jc w:val="left"/>
              <w:rPr>
                <w:color w:val="FF0000"/>
                <w:sz w:val="22"/>
              </w:rPr>
            </w:pPr>
            <w:r w:rsidRPr="00F67C81">
              <w:rPr>
                <w:color w:val="FF0000"/>
                <w:sz w:val="22"/>
              </w:rPr>
              <w:t>Equal Sharing of Extra costs</w:t>
            </w:r>
          </w:p>
        </w:tc>
        <w:tc>
          <w:tcPr>
            <w:tcW w:w="0" w:type="auto"/>
            <w:tcBorders>
              <w:top w:val="single" w:sz="4" w:space="0" w:color="auto"/>
              <w:left w:val="single" w:sz="4" w:space="0" w:color="auto"/>
              <w:bottom w:val="single" w:sz="4" w:space="0" w:color="auto"/>
              <w:right w:val="single" w:sz="4" w:space="0" w:color="auto"/>
            </w:tcBorders>
            <w:vAlign w:val="center"/>
            <w:hideMark/>
          </w:tcPr>
          <w:p w14:paraId="082A61DF" w14:textId="77777777" w:rsidR="002D252C" w:rsidRPr="00F67C81" w:rsidRDefault="002D252C" w:rsidP="00740976">
            <w:pPr>
              <w:jc w:val="left"/>
              <w:rPr>
                <w:color w:val="FF0000"/>
                <w:sz w:val="22"/>
              </w:rPr>
            </w:pPr>
            <w:r w:rsidRPr="00F67C81">
              <w:rPr>
                <w:color w:val="FF0000"/>
                <w:sz w:val="22"/>
              </w:rPr>
              <w:t xml:space="preserve">If there is an increase in total operational costs, it is required that companies responsible for this increase should be equally affected by extra burdens. </w:t>
            </w:r>
          </w:p>
        </w:tc>
      </w:tr>
      <w:tr w:rsidR="00F67C81" w:rsidRPr="00F67C81" w14:paraId="6EB17860" w14:textId="77777777" w:rsidTr="00740976">
        <w:trPr>
          <w:trHeight w:val="1149"/>
        </w:trPr>
        <w:tc>
          <w:tcPr>
            <w:tcW w:w="0" w:type="auto"/>
            <w:tcBorders>
              <w:top w:val="single" w:sz="4" w:space="0" w:color="auto"/>
              <w:left w:val="single" w:sz="4" w:space="0" w:color="auto"/>
              <w:bottom w:val="single" w:sz="4" w:space="0" w:color="auto"/>
              <w:right w:val="single" w:sz="4" w:space="0" w:color="auto"/>
            </w:tcBorders>
            <w:vAlign w:val="center"/>
            <w:hideMark/>
          </w:tcPr>
          <w:p w14:paraId="64F57F0E" w14:textId="77777777" w:rsidR="002D252C" w:rsidRPr="00F67C81" w:rsidRDefault="002D252C" w:rsidP="00740976">
            <w:pPr>
              <w:jc w:val="left"/>
              <w:rPr>
                <w:color w:val="FF0000"/>
                <w:sz w:val="22"/>
              </w:rPr>
            </w:pPr>
            <w:r w:rsidRPr="00F67C81">
              <w:rPr>
                <w:color w:val="FF0000"/>
                <w:sz w:val="22"/>
              </w:rPr>
              <w:t xml:space="preserve"> No free riding</w:t>
            </w:r>
          </w:p>
        </w:tc>
        <w:tc>
          <w:tcPr>
            <w:tcW w:w="0" w:type="auto"/>
            <w:tcBorders>
              <w:top w:val="single" w:sz="4" w:space="0" w:color="auto"/>
              <w:left w:val="single" w:sz="4" w:space="0" w:color="auto"/>
              <w:bottom w:val="single" w:sz="4" w:space="0" w:color="auto"/>
              <w:right w:val="single" w:sz="4" w:space="0" w:color="auto"/>
            </w:tcBorders>
            <w:vAlign w:val="center"/>
          </w:tcPr>
          <w:p w14:paraId="39182789" w14:textId="2283F557" w:rsidR="00740976" w:rsidRPr="00F67C81" w:rsidRDefault="002D252C" w:rsidP="00740976">
            <w:pPr>
              <w:autoSpaceDE w:val="0"/>
              <w:autoSpaceDN w:val="0"/>
              <w:adjustRightInd w:val="0"/>
              <w:spacing w:after="240"/>
              <w:jc w:val="left"/>
              <w:rPr>
                <w:iCs/>
                <w:color w:val="FF0000"/>
                <w:sz w:val="22"/>
              </w:rPr>
            </w:pPr>
            <w:r w:rsidRPr="00F67C81">
              <w:rPr>
                <w:iCs/>
                <w:color w:val="FF0000"/>
                <w:sz w:val="22"/>
              </w:rPr>
              <w:t>This property requires that if the total costs increase, but, at the same time, for some firms the costs of the processes they are responsible for remains unchanged, the allocation for these firms should remain the same.</w:t>
            </w:r>
          </w:p>
        </w:tc>
      </w:tr>
      <w:tr w:rsidR="00F67C81" w:rsidRPr="00F67C81" w14:paraId="72B7B893" w14:textId="77777777" w:rsidTr="00740976">
        <w:trPr>
          <w:trHeight w:val="1650"/>
        </w:trPr>
        <w:tc>
          <w:tcPr>
            <w:tcW w:w="0" w:type="auto"/>
            <w:tcBorders>
              <w:top w:val="single" w:sz="4" w:space="0" w:color="auto"/>
              <w:left w:val="single" w:sz="4" w:space="0" w:color="auto"/>
              <w:bottom w:val="single" w:sz="4" w:space="0" w:color="auto"/>
              <w:right w:val="single" w:sz="4" w:space="0" w:color="auto"/>
            </w:tcBorders>
            <w:vAlign w:val="center"/>
          </w:tcPr>
          <w:p w14:paraId="2963F143" w14:textId="77777777" w:rsidR="002D252C" w:rsidRPr="00F67C81" w:rsidRDefault="002D252C" w:rsidP="00740976">
            <w:pPr>
              <w:autoSpaceDE w:val="0"/>
              <w:autoSpaceDN w:val="0"/>
              <w:adjustRightInd w:val="0"/>
              <w:spacing w:after="240"/>
              <w:jc w:val="left"/>
              <w:rPr>
                <w:color w:val="FF0000"/>
                <w:sz w:val="22"/>
              </w:rPr>
            </w:pPr>
            <w:r w:rsidRPr="00F67C81">
              <w:rPr>
                <w:bCs/>
                <w:color w:val="FF0000"/>
                <w:sz w:val="22"/>
              </w:rPr>
              <w:t xml:space="preserve">Unilateral disaggregation stability </w:t>
            </w:r>
          </w:p>
          <w:p w14:paraId="7A2B70E0" w14:textId="77777777" w:rsidR="002D252C" w:rsidRPr="00F67C81" w:rsidRDefault="002D252C" w:rsidP="00740976">
            <w:pPr>
              <w:jc w:val="left"/>
              <w:rPr>
                <w:color w:val="FF0000"/>
                <w:sz w:val="22"/>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F9643E6" w14:textId="77777777" w:rsidR="002D252C" w:rsidRPr="00F67C81" w:rsidRDefault="002D252C" w:rsidP="00740976">
            <w:pPr>
              <w:jc w:val="left"/>
              <w:rPr>
                <w:color w:val="FF0000"/>
                <w:sz w:val="22"/>
              </w:rPr>
            </w:pPr>
            <w:r w:rsidRPr="00F67C81">
              <w:rPr>
                <w:color w:val="FF0000"/>
                <w:sz w:val="22"/>
              </w:rPr>
              <w:t xml:space="preserve">If a stakeholder disaggregates its own activities into two different companies (under its ownership; for instance, by creating a subsidiary company </w:t>
            </w:r>
            <w:proofErr w:type="gramStart"/>
            <w:r w:rsidRPr="00F67C81">
              <w:rPr>
                <w:color w:val="FF0000"/>
                <w:sz w:val="22"/>
              </w:rPr>
              <w:t>being in charge of</w:t>
            </w:r>
            <w:proofErr w:type="gramEnd"/>
            <w:r w:rsidRPr="00F67C81">
              <w:rPr>
                <w:color w:val="FF0000"/>
                <w:sz w:val="22"/>
              </w:rPr>
              <w:t xml:space="preserve"> certain logistical processes), then the sum of cost allocations for these two </w:t>
            </w:r>
            <w:r w:rsidRPr="00F67C81">
              <w:rPr>
                <w:i/>
                <w:color w:val="FF0000"/>
                <w:sz w:val="22"/>
              </w:rPr>
              <w:t xml:space="preserve">new </w:t>
            </w:r>
            <w:r w:rsidRPr="00F67C81">
              <w:rPr>
                <w:color w:val="FF0000"/>
                <w:sz w:val="22"/>
              </w:rPr>
              <w:t xml:space="preserve">entities is larger than the cost allocation for the original stakeholder.  </w:t>
            </w:r>
          </w:p>
        </w:tc>
      </w:tr>
    </w:tbl>
    <w:p w14:paraId="0D30E082" w14:textId="3405EFBC" w:rsidR="002D252C" w:rsidRPr="00F67C81" w:rsidRDefault="00FE10DA" w:rsidP="00FE10DA">
      <w:pPr>
        <w:pStyle w:val="Caption"/>
        <w:rPr>
          <w:color w:val="FF0000"/>
          <w:lang w:val="en-US" w:eastAsia="en-US"/>
        </w:rPr>
      </w:pPr>
      <w:bookmarkStart w:id="1016" w:name="_Ref62081571"/>
      <w:bookmarkStart w:id="1017" w:name="_Toc66698808"/>
      <w:r w:rsidRPr="00F67C81">
        <w:rPr>
          <w:color w:val="FF0000"/>
        </w:rPr>
        <w:t xml:space="preserve">Table </w:t>
      </w:r>
      <w:r w:rsidRPr="00F67C81">
        <w:rPr>
          <w:color w:val="FF0000"/>
        </w:rPr>
        <w:fldChar w:fldCharType="begin"/>
      </w:r>
      <w:r w:rsidRPr="00F67C81">
        <w:rPr>
          <w:color w:val="FF0000"/>
        </w:rPr>
        <w:instrText xml:space="preserve"> STYLEREF 1 \s </w:instrText>
      </w:r>
      <w:r w:rsidRPr="00F67C81">
        <w:rPr>
          <w:color w:val="FF0000"/>
        </w:rPr>
        <w:fldChar w:fldCharType="separate"/>
      </w:r>
      <w:r w:rsidR="0005064B">
        <w:rPr>
          <w:noProof/>
          <w:color w:val="FF0000"/>
        </w:rPr>
        <w:t>7</w:t>
      </w:r>
      <w:r w:rsidRPr="00F67C81">
        <w:rPr>
          <w:color w:val="FF0000"/>
        </w:rPr>
        <w:fldChar w:fldCharType="end"/>
      </w:r>
      <w:r w:rsidRPr="00F67C81">
        <w:rPr>
          <w:color w:val="FF0000"/>
        </w:rPr>
        <w:noBreakHyphen/>
      </w:r>
      <w:r w:rsidRPr="00F67C81">
        <w:rPr>
          <w:color w:val="FF0000"/>
        </w:rPr>
        <w:fldChar w:fldCharType="begin"/>
      </w:r>
      <w:r w:rsidRPr="00F67C81">
        <w:rPr>
          <w:color w:val="FF0000"/>
        </w:rPr>
        <w:instrText xml:space="preserve"> SEQ Table \* ARABIC \s 1 </w:instrText>
      </w:r>
      <w:r w:rsidRPr="00F67C81">
        <w:rPr>
          <w:color w:val="FF0000"/>
        </w:rPr>
        <w:fldChar w:fldCharType="separate"/>
      </w:r>
      <w:r w:rsidR="0005064B">
        <w:rPr>
          <w:noProof/>
          <w:color w:val="FF0000"/>
        </w:rPr>
        <w:t>1</w:t>
      </w:r>
      <w:r w:rsidRPr="00F67C81">
        <w:rPr>
          <w:color w:val="FF0000"/>
        </w:rPr>
        <w:fldChar w:fldCharType="end"/>
      </w:r>
      <w:bookmarkEnd w:id="1016"/>
      <w:r w:rsidRPr="00F67C81">
        <w:rPr>
          <w:color w:val="FF0000"/>
        </w:rPr>
        <w:t xml:space="preserve">: Properties of the cost allocation </w:t>
      </w:r>
      <w:proofErr w:type="gramStart"/>
      <w:r w:rsidRPr="00F67C81">
        <w:rPr>
          <w:color w:val="FF0000"/>
        </w:rPr>
        <w:t>rules</w:t>
      </w:r>
      <w:bookmarkEnd w:id="1017"/>
      <w:proofErr w:type="gramEnd"/>
    </w:p>
    <w:p w14:paraId="27218D81" w14:textId="77777777" w:rsidR="002D252C" w:rsidRPr="00F67C81" w:rsidRDefault="002D252C" w:rsidP="00740976">
      <w:pPr>
        <w:spacing w:after="240" w:line="360" w:lineRule="auto"/>
        <w:rPr>
          <w:color w:val="FF0000"/>
        </w:rPr>
      </w:pPr>
      <w:r w:rsidRPr="00F67C81">
        <w:rPr>
          <w:color w:val="FF0000"/>
        </w:rPr>
        <w:t xml:space="preserve">The </w:t>
      </w:r>
      <w:r w:rsidRPr="00F67C81">
        <w:rPr>
          <w:i/>
          <w:color w:val="FF0000"/>
        </w:rPr>
        <w:t>no free riding</w:t>
      </w:r>
      <w:r w:rsidRPr="00F67C81">
        <w:rPr>
          <w:color w:val="FF0000"/>
        </w:rPr>
        <w:t xml:space="preserve"> and </w:t>
      </w:r>
      <w:r w:rsidRPr="00F67C81">
        <w:rPr>
          <w:i/>
          <w:color w:val="FF0000"/>
        </w:rPr>
        <w:t>equal sharing of extra costs</w:t>
      </w:r>
      <w:r w:rsidRPr="00F67C81">
        <w:rPr>
          <w:color w:val="FF0000"/>
        </w:rPr>
        <w:t xml:space="preserve"> are desirable properties since they allow stakeholders in the delivery network to be protected from opportunistic behaviours from remaining participants. Even if stakeholders have a collaborative behaviour, some increases in logistics costs could occur over time.  Such a change should be treated </w:t>
      </w:r>
      <w:r w:rsidRPr="00F67C81">
        <w:rPr>
          <w:i/>
          <w:color w:val="FF0000"/>
        </w:rPr>
        <w:t>fairly</w:t>
      </w:r>
      <w:r w:rsidRPr="00F67C81">
        <w:rPr>
          <w:color w:val="FF0000"/>
        </w:rPr>
        <w:t xml:space="preserve"> in terms of further burdens on stakeholders.  Interestingly, UES and DES cost allocation rules satisfy the above properties (</w:t>
      </w:r>
      <w:proofErr w:type="spellStart"/>
      <w:r w:rsidRPr="00F67C81">
        <w:rPr>
          <w:color w:val="FF0000"/>
        </w:rPr>
        <w:t>Ciardiello</w:t>
      </w:r>
      <w:proofErr w:type="spellEnd"/>
      <w:r w:rsidRPr="00F67C81">
        <w:rPr>
          <w:color w:val="FF0000"/>
        </w:rPr>
        <w:t xml:space="preserve"> et al., 2020). </w:t>
      </w:r>
    </w:p>
    <w:p w14:paraId="4D3E6322" w14:textId="618266B9" w:rsidR="002D252C" w:rsidRPr="00F67C81" w:rsidRDefault="002D252C" w:rsidP="00740976">
      <w:pPr>
        <w:spacing w:after="240" w:line="360" w:lineRule="auto"/>
        <w:rPr>
          <w:color w:val="FF0000"/>
        </w:rPr>
      </w:pPr>
      <w:r w:rsidRPr="00F67C81">
        <w:rPr>
          <w:color w:val="FF0000"/>
        </w:rPr>
        <w:t>The u</w:t>
      </w:r>
      <w:r w:rsidRPr="00F67C81">
        <w:rPr>
          <w:bCs/>
          <w:color w:val="FF0000"/>
        </w:rPr>
        <w:t>nilateral disaggregation stability</w:t>
      </w:r>
      <w:r w:rsidRPr="00F67C81">
        <w:rPr>
          <w:b/>
          <w:bCs/>
          <w:color w:val="FF0000"/>
        </w:rPr>
        <w:t xml:space="preserve"> </w:t>
      </w:r>
      <w:r w:rsidRPr="00F67C81">
        <w:rPr>
          <w:color w:val="FF0000"/>
        </w:rPr>
        <w:t xml:space="preserve">ensures that stakeholders do not have any convenience to </w:t>
      </w:r>
      <w:r w:rsidRPr="00F67C81">
        <w:rPr>
          <w:i/>
          <w:color w:val="FF0000"/>
        </w:rPr>
        <w:t>disaggregate</w:t>
      </w:r>
      <w:r w:rsidRPr="00F67C81">
        <w:rPr>
          <w:color w:val="FF0000"/>
        </w:rPr>
        <w:t xml:space="preserve"> their activities over delivery networks. By disaggregation, </w:t>
      </w:r>
      <w:r w:rsidR="007E16AE" w:rsidRPr="00F67C81">
        <w:rPr>
          <w:color w:val="FF0000"/>
        </w:rPr>
        <w:t>this chapter</w:t>
      </w:r>
      <w:r w:rsidRPr="00F67C81">
        <w:rPr>
          <w:color w:val="FF0000"/>
        </w:rPr>
        <w:t xml:space="preserve"> mean</w:t>
      </w:r>
      <w:r w:rsidR="007E16AE" w:rsidRPr="00F67C81">
        <w:rPr>
          <w:color w:val="FF0000"/>
        </w:rPr>
        <w:t>s</w:t>
      </w:r>
      <w:r w:rsidRPr="00F67C81">
        <w:rPr>
          <w:color w:val="FF0000"/>
        </w:rPr>
        <w:t xml:space="preserve"> the splitting of activities of a stakeholder into two separate entities under the ownership of itself. </w:t>
      </w:r>
      <w:r w:rsidR="003D2144" w:rsidRPr="00F67C81">
        <w:rPr>
          <w:color w:val="FF0000"/>
        </w:rPr>
        <w:t>These</w:t>
      </w:r>
      <w:r w:rsidRPr="00F67C81">
        <w:rPr>
          <w:color w:val="FF0000"/>
        </w:rPr>
        <w:t xml:space="preserve"> cost allocations rules satisfy the unilateral disaggregation stability; this means that, for instance, a company participating in the UCC delivery network might be penalised (through a higher total logistical cost) if it decides to split its logistical activities across two entities characterised by the same ownership.</w:t>
      </w:r>
    </w:p>
    <w:p w14:paraId="24C0DE82" w14:textId="5DBF5207" w:rsidR="002D252C" w:rsidRPr="00C72050" w:rsidRDefault="002D252C" w:rsidP="00740976">
      <w:pPr>
        <w:spacing w:after="240" w:line="360" w:lineRule="auto"/>
        <w:rPr>
          <w:color w:val="FF0000"/>
        </w:rPr>
      </w:pPr>
      <w:r w:rsidRPr="00FE26BC">
        <w:t>The following section details the application of the allocation rules to a case study.</w:t>
      </w:r>
    </w:p>
    <w:p w14:paraId="7D6F88EA" w14:textId="5B6C36DB" w:rsidR="002373D2" w:rsidRDefault="002373D2" w:rsidP="002373D2">
      <w:pPr>
        <w:pStyle w:val="Heading2"/>
        <w:spacing w:after="120" w:line="360" w:lineRule="auto"/>
      </w:pPr>
      <w:bookmarkStart w:id="1018" w:name="_Toc46053492"/>
      <w:bookmarkStart w:id="1019" w:name="_Toc46093406"/>
      <w:bookmarkStart w:id="1020" w:name="_Toc46093689"/>
      <w:bookmarkStart w:id="1021" w:name="_Toc66703263"/>
      <w:r w:rsidRPr="005B72DB">
        <w:lastRenderedPageBreak/>
        <w:t xml:space="preserve">Case </w:t>
      </w:r>
      <w:bookmarkEnd w:id="1018"/>
      <w:bookmarkEnd w:id="1019"/>
      <w:bookmarkEnd w:id="1020"/>
      <w:r w:rsidR="00F43E78">
        <w:t>s</w:t>
      </w:r>
      <w:r w:rsidR="00F43E78" w:rsidRPr="005B72DB">
        <w:t>tudy</w:t>
      </w:r>
      <w:bookmarkEnd w:id="1021"/>
    </w:p>
    <w:p w14:paraId="1CC7E910" w14:textId="50CCAC8C" w:rsidR="00B949F6" w:rsidRPr="007B111A" w:rsidRDefault="00B949F6" w:rsidP="008229A7">
      <w:pPr>
        <w:spacing w:after="240" w:line="360" w:lineRule="auto"/>
        <w:rPr>
          <w:color w:val="FF0000"/>
        </w:rPr>
      </w:pPr>
      <w:r w:rsidRPr="007B111A">
        <w:rPr>
          <w:color w:val="FF0000"/>
        </w:rPr>
        <w:t>The purpose of this section is to measure, assess, and compare the effects deriving from the adoption of different cost-sharing strategies whilst managing a UCC delivery network (as shown in</w:t>
      </w:r>
      <w:r w:rsidR="00983B3C" w:rsidRPr="007B111A">
        <w:rPr>
          <w:color w:val="FF0000"/>
        </w:rPr>
        <w:t xml:space="preserve"> </w:t>
      </w:r>
      <w:r w:rsidR="00983B3C" w:rsidRPr="007B111A">
        <w:rPr>
          <w:color w:val="FF0000"/>
        </w:rPr>
        <w:fldChar w:fldCharType="begin"/>
      </w:r>
      <w:r w:rsidR="00983B3C" w:rsidRPr="007B111A">
        <w:rPr>
          <w:color w:val="FF0000"/>
        </w:rPr>
        <w:instrText xml:space="preserve"> REF _Ref62081216 \h </w:instrText>
      </w:r>
      <w:r w:rsidR="00082EDC">
        <w:rPr>
          <w:color w:val="FF0000"/>
        </w:rPr>
        <w:instrText xml:space="preserve"> \* MERGEFORMAT </w:instrText>
      </w:r>
      <w:r w:rsidR="00983B3C" w:rsidRPr="007B111A">
        <w:rPr>
          <w:color w:val="FF0000"/>
        </w:rPr>
      </w:r>
      <w:r w:rsidR="00983B3C" w:rsidRPr="007B111A">
        <w:rPr>
          <w:color w:val="FF0000"/>
        </w:rPr>
        <w:fldChar w:fldCharType="separate"/>
      </w:r>
      <w:r w:rsidR="0005064B" w:rsidRPr="00082EDC">
        <w:rPr>
          <w:color w:val="FF0000"/>
        </w:rPr>
        <w:t>Figure 7</w:t>
      </w:r>
      <w:r w:rsidR="0005064B" w:rsidRPr="00082EDC">
        <w:rPr>
          <w:color w:val="FF0000"/>
        </w:rPr>
        <w:noBreakHyphen/>
        <w:t>1</w:t>
      </w:r>
      <w:r w:rsidR="00983B3C" w:rsidRPr="007B111A">
        <w:rPr>
          <w:color w:val="FF0000"/>
        </w:rPr>
        <w:fldChar w:fldCharType="end"/>
      </w:r>
      <w:r w:rsidRPr="007B111A">
        <w:rPr>
          <w:color w:val="FF0000"/>
        </w:rPr>
        <w:t xml:space="preserve">). To this aim, the above-defined and described cost allocation rules (LRS, UES, and DES) are applied here to the experimental framework introduced by </w:t>
      </w:r>
      <w:proofErr w:type="spellStart"/>
      <w:r w:rsidRPr="007B111A">
        <w:rPr>
          <w:color w:val="FF0000"/>
        </w:rPr>
        <w:t>Janjevic</w:t>
      </w:r>
      <w:proofErr w:type="spellEnd"/>
      <w:r w:rsidRPr="007B111A">
        <w:rPr>
          <w:color w:val="FF0000"/>
        </w:rPr>
        <w:t xml:space="preserve"> and Ndiaye (2017a, 2017b), based on a UCC located in the urban area of Brussels (Belgium). </w:t>
      </w:r>
      <w:proofErr w:type="spellStart"/>
      <w:r w:rsidRPr="007B111A">
        <w:rPr>
          <w:color w:val="FF0000"/>
        </w:rPr>
        <w:t>Janjevic</w:t>
      </w:r>
      <w:proofErr w:type="spellEnd"/>
      <w:r w:rsidRPr="007B111A">
        <w:rPr>
          <w:color w:val="FF0000"/>
        </w:rPr>
        <w:t xml:space="preserve"> and Ndiaye (2017a, 2017b) originally adopted this UCC as a testbed for their theoretical framework, aimed at verifying the financial viability of UCC cross-docking and consolidation operations. </w:t>
      </w:r>
      <w:r w:rsidRPr="007B111A">
        <w:rPr>
          <w:rFonts w:eastAsia="等线"/>
          <w:noProof/>
          <w:color w:val="FF0000"/>
        </w:rPr>
        <w:t xml:space="preserve">The accurate characterisation of the logistics costs presented by </w:t>
      </w:r>
      <w:proofErr w:type="spellStart"/>
      <w:r w:rsidRPr="007B111A">
        <w:rPr>
          <w:color w:val="FF0000"/>
        </w:rPr>
        <w:t>Janjevic</w:t>
      </w:r>
      <w:proofErr w:type="spellEnd"/>
      <w:r w:rsidRPr="007B111A">
        <w:rPr>
          <w:color w:val="FF0000"/>
        </w:rPr>
        <w:t xml:space="preserve"> and Ndiaye (2017a and 2017b)</w:t>
      </w:r>
      <w:r w:rsidRPr="007B111A">
        <w:rPr>
          <w:rFonts w:eastAsia="等线"/>
          <w:noProof/>
          <w:color w:val="FF0000"/>
        </w:rPr>
        <w:t xml:space="preserve"> allows a realistic evaluation of the impact of the cost allocation mechanisms.</w:t>
      </w:r>
    </w:p>
    <w:p w14:paraId="3C44CC00" w14:textId="593DDABD" w:rsidR="00B949F6" w:rsidRPr="00B949F6" w:rsidRDefault="00B949F6" w:rsidP="008229A7">
      <w:pPr>
        <w:spacing w:after="240" w:line="360" w:lineRule="auto"/>
        <w:rPr>
          <w:rFonts w:eastAsia="等线"/>
          <w:noProof/>
        </w:rPr>
      </w:pPr>
      <w:r w:rsidRPr="0019009C">
        <w:rPr>
          <w:color w:val="FF0000"/>
        </w:rPr>
        <w:t xml:space="preserve">It must be noted that, the case study is employed for a slightly different purpose: while </w:t>
      </w:r>
      <w:proofErr w:type="spellStart"/>
      <w:r w:rsidRPr="0019009C">
        <w:rPr>
          <w:color w:val="FF0000"/>
        </w:rPr>
        <w:t>Janjevic</w:t>
      </w:r>
      <w:proofErr w:type="spellEnd"/>
      <w:r w:rsidRPr="0019009C">
        <w:rPr>
          <w:color w:val="FF0000"/>
        </w:rPr>
        <w:t xml:space="preserve"> and Ndiaye (2017a and 2017b) focus their analysis on demonstrating how profitable operations are subject to an efficient use of resources, </w:t>
      </w:r>
      <w:r w:rsidR="00F7729E" w:rsidRPr="0019009C">
        <w:rPr>
          <w:color w:val="FF0000"/>
        </w:rPr>
        <w:t>this study</w:t>
      </w:r>
      <w:r w:rsidRPr="0019009C">
        <w:rPr>
          <w:color w:val="FF0000"/>
        </w:rPr>
        <w:t xml:space="preserve"> </w:t>
      </w:r>
      <w:r w:rsidR="00E92EFD" w:rsidRPr="0019009C">
        <w:rPr>
          <w:color w:val="FF0000"/>
        </w:rPr>
        <w:t>is</w:t>
      </w:r>
      <w:r w:rsidRPr="0019009C">
        <w:rPr>
          <w:color w:val="FF0000"/>
        </w:rPr>
        <w:t xml:space="preserve"> interested here in exploring the impact of different cost allocation policies on individual actors’ profitability</w:t>
      </w:r>
      <w:r w:rsidR="00F7729E" w:rsidRPr="0019009C">
        <w:rPr>
          <w:color w:val="FF0000"/>
        </w:rPr>
        <w:t xml:space="preserve"> (In this study, the cost allocation model is used case by case to test the validity of above cost allocation rules)</w:t>
      </w:r>
      <w:r w:rsidRPr="00B949F6">
        <w:t xml:space="preserve">. </w:t>
      </w:r>
      <w:r w:rsidRPr="00B949F6">
        <w:rPr>
          <w:rFonts w:eastAsia="等线"/>
          <w:noProof/>
        </w:rPr>
        <w:t xml:space="preserve">To the best of </w:t>
      </w:r>
      <w:r w:rsidR="003D2144">
        <w:rPr>
          <w:rFonts w:eastAsia="等线"/>
          <w:noProof/>
        </w:rPr>
        <w:t xml:space="preserve">the personal </w:t>
      </w:r>
      <w:r w:rsidRPr="00B949F6">
        <w:rPr>
          <w:rFonts w:eastAsia="等线"/>
          <w:noProof/>
        </w:rPr>
        <w:t xml:space="preserve">knowledge, no previous contributions has performed similar analyses in the extant literature. As such, the considered experimental framework went through a careful adaptation process in order to make it suitable for </w:t>
      </w:r>
      <w:r w:rsidR="003D2144">
        <w:rPr>
          <w:rFonts w:eastAsia="等线"/>
          <w:noProof/>
        </w:rPr>
        <w:t xml:space="preserve">the </w:t>
      </w:r>
      <w:r w:rsidRPr="00B949F6">
        <w:rPr>
          <w:rFonts w:eastAsia="等线"/>
          <w:noProof/>
        </w:rPr>
        <w:t xml:space="preserve">experiments, as described in the following. </w:t>
      </w:r>
    </w:p>
    <w:p w14:paraId="3652F6E4" w14:textId="4906505A" w:rsidR="00B949F6" w:rsidRPr="00B949F6" w:rsidRDefault="004E7799" w:rsidP="008229A7">
      <w:pPr>
        <w:spacing w:after="240" w:line="360" w:lineRule="auto"/>
        <w:rPr>
          <w:rFonts w:eastAsia="等线"/>
          <w:noProof/>
        </w:rPr>
      </w:pPr>
      <w:r>
        <w:t xml:space="preserve">This section </w:t>
      </w:r>
      <w:proofErr w:type="gramStart"/>
      <w:r w:rsidR="00B949F6" w:rsidRPr="00B949F6">
        <w:t>hypothesise</w:t>
      </w:r>
      <w:proofErr w:type="gramEnd"/>
      <w:r w:rsidR="00B949F6" w:rsidRPr="00B949F6">
        <w:t xml:space="preserve"> a network composed of the following stakeholders, linked together by respective GMPs: (</w:t>
      </w:r>
      <w:proofErr w:type="spellStart"/>
      <w:r w:rsidR="00B949F6" w:rsidRPr="00B949F6">
        <w:t>i</w:t>
      </w:r>
      <w:proofErr w:type="spellEnd"/>
      <w:r w:rsidR="00B949F6" w:rsidRPr="00B949F6">
        <w:t xml:space="preserve">) Suppliers; (ii) Long-haul carriers (LHCs); (iii) UCC operators; (iv) Customers. </w:t>
      </w:r>
    </w:p>
    <w:p w14:paraId="66F1AF4D" w14:textId="60989100" w:rsidR="00650EFE" w:rsidRPr="00B949F6" w:rsidRDefault="00B949F6" w:rsidP="008229A7">
      <w:pPr>
        <w:spacing w:after="240" w:line="360" w:lineRule="auto"/>
        <w:rPr>
          <w:rFonts w:eastAsia="等线"/>
          <w:noProof/>
        </w:rPr>
      </w:pPr>
      <w:r w:rsidRPr="00B949F6">
        <w:rPr>
          <w:rFonts w:eastAsia="等线"/>
          <w:noProof/>
        </w:rPr>
        <w:t>According to Janjevic and Ndiaye (2017a), the logistics costs which can be attributed to the presence of a UCC include: (1) last-mile delivery costs and (2) in-facility goods handling costs (encompassing goods trans-shipment and handling costs and other general administrative costs related to the UCC). Values for these two types of costs (for typical parcels) have been validated by Janjevic and Ndiaye (2017a) as in</w:t>
      </w:r>
      <w:r w:rsidR="009172AD">
        <w:rPr>
          <w:rFonts w:eastAsia="等线"/>
          <w:noProof/>
        </w:rPr>
        <w:t xml:space="preserve"> </w:t>
      </w:r>
      <w:r w:rsidR="002373D2" w:rsidRPr="00B949F6">
        <w:rPr>
          <w:rFonts w:eastAsia="等线"/>
          <w:noProof/>
        </w:rPr>
        <w:fldChar w:fldCharType="begin"/>
      </w:r>
      <w:r w:rsidR="002373D2" w:rsidRPr="00B949F6">
        <w:rPr>
          <w:rFonts w:eastAsia="等线"/>
          <w:noProof/>
        </w:rPr>
        <w:instrText xml:space="preserve"> REF _Ref25335261 \h  \* MERGEFORMAT </w:instrText>
      </w:r>
      <w:r w:rsidR="002373D2" w:rsidRPr="00B949F6">
        <w:rPr>
          <w:rFonts w:eastAsia="等线"/>
          <w:noProof/>
        </w:rPr>
      </w:r>
      <w:r w:rsidR="002373D2" w:rsidRPr="00B949F6">
        <w:rPr>
          <w:rFonts w:eastAsia="等线"/>
          <w:noProof/>
        </w:rPr>
        <w:fldChar w:fldCharType="separate"/>
      </w:r>
      <w:r w:rsidR="0005064B" w:rsidRPr="0005064B">
        <w:rPr>
          <w:rFonts w:eastAsia="等线"/>
          <w:noProof/>
        </w:rPr>
        <w:t>Table 7</w:t>
      </w:r>
      <w:r w:rsidR="0005064B" w:rsidRPr="0005064B">
        <w:rPr>
          <w:rFonts w:eastAsia="等线"/>
          <w:noProof/>
        </w:rPr>
        <w:noBreakHyphen/>
        <w:t>2</w:t>
      </w:r>
      <w:r w:rsidR="002373D2" w:rsidRPr="00B949F6">
        <w:rPr>
          <w:rFonts w:eastAsia="等线"/>
          <w:noProof/>
        </w:rPr>
        <w:fldChar w:fldCharType="end"/>
      </w:r>
      <w:r w:rsidR="002373D2" w:rsidRPr="00B949F6">
        <w:rPr>
          <w:rFonts w:eastAsia="等线"/>
          <w:noProof/>
        </w:rPr>
        <w:t>.</w:t>
      </w:r>
    </w:p>
    <w:tbl>
      <w:tblPr>
        <w:tblStyle w:val="TableGrid"/>
        <w:tblW w:w="5000" w:type="pct"/>
        <w:jc w:val="center"/>
        <w:tblLook w:val="04A0" w:firstRow="1" w:lastRow="0" w:firstColumn="1" w:lastColumn="0" w:noHBand="0" w:noVBand="1"/>
      </w:tblPr>
      <w:tblGrid>
        <w:gridCol w:w="3256"/>
        <w:gridCol w:w="3742"/>
        <w:gridCol w:w="2018"/>
      </w:tblGrid>
      <w:tr w:rsidR="00EC2BE5" w:rsidRPr="005405CC" w14:paraId="7E8BCAFD" w14:textId="77777777" w:rsidTr="0051420F">
        <w:trPr>
          <w:trHeight w:val="145"/>
          <w:jc w:val="center"/>
        </w:trPr>
        <w:tc>
          <w:tcPr>
            <w:tcW w:w="1806" w:type="pct"/>
            <w:vAlign w:val="center"/>
          </w:tcPr>
          <w:p w14:paraId="702B1EF4" w14:textId="77777777" w:rsidR="00EC2BE5" w:rsidRPr="005405CC" w:rsidRDefault="00EC2BE5" w:rsidP="0051420F">
            <w:pPr>
              <w:jc w:val="center"/>
              <w:rPr>
                <w:b/>
                <w:bCs/>
                <w:sz w:val="22"/>
              </w:rPr>
            </w:pPr>
            <w:r w:rsidRPr="005405CC">
              <w:rPr>
                <w:b/>
                <w:bCs/>
                <w:sz w:val="22"/>
              </w:rPr>
              <w:t>Types of Cost</w:t>
            </w:r>
          </w:p>
        </w:tc>
        <w:tc>
          <w:tcPr>
            <w:tcW w:w="2075" w:type="pct"/>
            <w:vAlign w:val="center"/>
          </w:tcPr>
          <w:p w14:paraId="414F5AE5" w14:textId="77777777" w:rsidR="00EC2BE5" w:rsidRPr="005405CC" w:rsidRDefault="00EC2BE5" w:rsidP="0051420F">
            <w:pPr>
              <w:jc w:val="center"/>
              <w:rPr>
                <w:b/>
                <w:bCs/>
                <w:sz w:val="22"/>
              </w:rPr>
            </w:pPr>
            <w:r w:rsidRPr="005405CC">
              <w:rPr>
                <w:b/>
                <w:bCs/>
                <w:sz w:val="22"/>
              </w:rPr>
              <w:t>Values</w:t>
            </w:r>
          </w:p>
        </w:tc>
        <w:tc>
          <w:tcPr>
            <w:tcW w:w="1119" w:type="pct"/>
            <w:vAlign w:val="center"/>
          </w:tcPr>
          <w:p w14:paraId="1C5EDE88" w14:textId="77777777" w:rsidR="00EC2BE5" w:rsidRPr="005405CC" w:rsidRDefault="00EC2BE5" w:rsidP="0051420F">
            <w:pPr>
              <w:jc w:val="center"/>
              <w:rPr>
                <w:b/>
                <w:bCs/>
                <w:sz w:val="22"/>
              </w:rPr>
            </w:pPr>
            <w:r w:rsidRPr="005405CC">
              <w:rPr>
                <w:b/>
                <w:bCs/>
                <w:sz w:val="22"/>
              </w:rPr>
              <w:t>Percentage</w:t>
            </w:r>
          </w:p>
        </w:tc>
      </w:tr>
      <w:tr w:rsidR="00EC2BE5" w:rsidRPr="005405CC" w14:paraId="2534196F" w14:textId="77777777" w:rsidTr="0051420F">
        <w:trPr>
          <w:trHeight w:val="50"/>
          <w:jc w:val="center"/>
        </w:trPr>
        <w:tc>
          <w:tcPr>
            <w:tcW w:w="1806" w:type="pct"/>
            <w:vAlign w:val="center"/>
          </w:tcPr>
          <w:p w14:paraId="53F745F8" w14:textId="77777777" w:rsidR="00EC2BE5" w:rsidRPr="005405CC" w:rsidRDefault="00EC2BE5" w:rsidP="0051420F">
            <w:pPr>
              <w:jc w:val="center"/>
              <w:rPr>
                <w:sz w:val="22"/>
              </w:rPr>
            </w:pPr>
            <w:r w:rsidRPr="005405CC">
              <w:rPr>
                <w:sz w:val="22"/>
              </w:rPr>
              <w:t>Last-mile Delivery Costs</w:t>
            </w:r>
          </w:p>
        </w:tc>
        <w:tc>
          <w:tcPr>
            <w:tcW w:w="2075" w:type="pct"/>
            <w:vAlign w:val="center"/>
          </w:tcPr>
          <w:p w14:paraId="504410E3" w14:textId="77777777" w:rsidR="00EC2BE5" w:rsidRPr="005405CC" w:rsidRDefault="00EC2BE5" w:rsidP="0051420F">
            <w:pPr>
              <w:jc w:val="center"/>
              <w:rPr>
                <w:sz w:val="22"/>
              </w:rPr>
            </w:pPr>
            <w:r w:rsidRPr="005405CC">
              <w:rPr>
                <w:rFonts w:eastAsia="等线" w:cs="宋体"/>
                <w:i/>
                <w:iCs/>
                <w:color w:val="000000"/>
                <w:sz w:val="22"/>
              </w:rPr>
              <w:t>€</w:t>
            </w:r>
            <w:r w:rsidRPr="005405CC">
              <w:rPr>
                <w:sz w:val="22"/>
              </w:rPr>
              <w:t>2.08/parcel</w:t>
            </w:r>
          </w:p>
        </w:tc>
        <w:tc>
          <w:tcPr>
            <w:tcW w:w="1119" w:type="pct"/>
            <w:vAlign w:val="center"/>
          </w:tcPr>
          <w:p w14:paraId="5E48AD7A" w14:textId="77777777" w:rsidR="00EC2BE5" w:rsidRPr="005405CC" w:rsidRDefault="00EC2BE5" w:rsidP="0051420F">
            <w:pPr>
              <w:jc w:val="center"/>
              <w:rPr>
                <w:sz w:val="22"/>
              </w:rPr>
            </w:pPr>
            <w:r w:rsidRPr="005405CC">
              <w:rPr>
                <w:sz w:val="22"/>
              </w:rPr>
              <w:t>67.8%</w:t>
            </w:r>
          </w:p>
        </w:tc>
      </w:tr>
      <w:tr w:rsidR="00EC2BE5" w:rsidRPr="005405CC" w14:paraId="3145BB3F" w14:textId="77777777" w:rsidTr="0051420F">
        <w:trPr>
          <w:trHeight w:val="74"/>
          <w:jc w:val="center"/>
        </w:trPr>
        <w:tc>
          <w:tcPr>
            <w:tcW w:w="1806" w:type="pct"/>
            <w:vAlign w:val="center"/>
          </w:tcPr>
          <w:p w14:paraId="5AC07151" w14:textId="77777777" w:rsidR="00EC2BE5" w:rsidRPr="005405CC" w:rsidRDefault="00EC2BE5" w:rsidP="0051420F">
            <w:pPr>
              <w:jc w:val="center"/>
              <w:rPr>
                <w:sz w:val="22"/>
              </w:rPr>
            </w:pPr>
            <w:r w:rsidRPr="005405CC">
              <w:rPr>
                <w:sz w:val="22"/>
              </w:rPr>
              <w:t>In-facility Goods Handling Costs</w:t>
            </w:r>
          </w:p>
        </w:tc>
        <w:tc>
          <w:tcPr>
            <w:tcW w:w="2075" w:type="pct"/>
            <w:vAlign w:val="center"/>
          </w:tcPr>
          <w:p w14:paraId="23C820E5" w14:textId="77777777" w:rsidR="00EC2BE5" w:rsidRPr="005405CC" w:rsidRDefault="00EC2BE5" w:rsidP="0051420F">
            <w:pPr>
              <w:jc w:val="center"/>
              <w:rPr>
                <w:sz w:val="22"/>
              </w:rPr>
            </w:pPr>
            <w:r w:rsidRPr="005405CC">
              <w:rPr>
                <w:rFonts w:eastAsia="等线" w:cs="宋体"/>
                <w:i/>
                <w:iCs/>
                <w:color w:val="000000"/>
                <w:sz w:val="22"/>
              </w:rPr>
              <w:t>€</w:t>
            </w:r>
            <w:r w:rsidRPr="005405CC">
              <w:rPr>
                <w:sz w:val="22"/>
              </w:rPr>
              <w:t>0.99/parcel</w:t>
            </w:r>
          </w:p>
        </w:tc>
        <w:tc>
          <w:tcPr>
            <w:tcW w:w="1119" w:type="pct"/>
            <w:vAlign w:val="center"/>
          </w:tcPr>
          <w:p w14:paraId="4FA2BD51" w14:textId="77777777" w:rsidR="00EC2BE5" w:rsidRPr="005405CC" w:rsidRDefault="00EC2BE5" w:rsidP="0051420F">
            <w:pPr>
              <w:jc w:val="center"/>
              <w:rPr>
                <w:sz w:val="22"/>
              </w:rPr>
            </w:pPr>
            <w:r w:rsidRPr="005405CC">
              <w:rPr>
                <w:sz w:val="22"/>
              </w:rPr>
              <w:t>32.2%</w:t>
            </w:r>
          </w:p>
        </w:tc>
      </w:tr>
      <w:tr w:rsidR="00EC2BE5" w:rsidRPr="005405CC" w14:paraId="6A81F788" w14:textId="77777777" w:rsidTr="0051420F">
        <w:trPr>
          <w:trHeight w:val="50"/>
          <w:jc w:val="center"/>
        </w:trPr>
        <w:tc>
          <w:tcPr>
            <w:tcW w:w="1806" w:type="pct"/>
            <w:vAlign w:val="center"/>
          </w:tcPr>
          <w:p w14:paraId="5B2D2C2A" w14:textId="77777777" w:rsidR="00EC2BE5" w:rsidRPr="005405CC" w:rsidRDefault="00EC2BE5" w:rsidP="0051420F">
            <w:pPr>
              <w:jc w:val="center"/>
              <w:rPr>
                <w:sz w:val="22"/>
              </w:rPr>
            </w:pPr>
            <w:r w:rsidRPr="005405CC">
              <w:rPr>
                <w:sz w:val="22"/>
              </w:rPr>
              <w:lastRenderedPageBreak/>
              <w:t>Total Costs</w:t>
            </w:r>
          </w:p>
        </w:tc>
        <w:tc>
          <w:tcPr>
            <w:tcW w:w="2075" w:type="pct"/>
            <w:vAlign w:val="center"/>
          </w:tcPr>
          <w:p w14:paraId="6F041DA6" w14:textId="77777777" w:rsidR="00EC2BE5" w:rsidRPr="005405CC" w:rsidRDefault="00EC2BE5" w:rsidP="0051420F">
            <w:pPr>
              <w:jc w:val="center"/>
              <w:rPr>
                <w:rFonts w:eastAsia="等线" w:cs="宋体"/>
                <w:i/>
                <w:iCs/>
                <w:color w:val="000000"/>
                <w:sz w:val="22"/>
              </w:rPr>
            </w:pPr>
            <w:r w:rsidRPr="005405CC">
              <w:rPr>
                <w:rFonts w:eastAsia="等线" w:cs="宋体"/>
                <w:i/>
                <w:iCs/>
                <w:color w:val="000000"/>
                <w:sz w:val="22"/>
              </w:rPr>
              <w:t>€</w:t>
            </w:r>
            <w:r w:rsidRPr="005405CC">
              <w:rPr>
                <w:sz w:val="22"/>
              </w:rPr>
              <w:t>3.07/parcel</w:t>
            </w:r>
          </w:p>
        </w:tc>
        <w:tc>
          <w:tcPr>
            <w:tcW w:w="1119" w:type="pct"/>
            <w:vAlign w:val="center"/>
          </w:tcPr>
          <w:p w14:paraId="0BF253B5" w14:textId="77777777" w:rsidR="00EC2BE5" w:rsidRPr="005405CC" w:rsidRDefault="00EC2BE5" w:rsidP="0051420F">
            <w:pPr>
              <w:jc w:val="center"/>
              <w:rPr>
                <w:sz w:val="22"/>
              </w:rPr>
            </w:pPr>
            <w:r w:rsidRPr="005405CC">
              <w:rPr>
                <w:sz w:val="22"/>
              </w:rPr>
              <w:t>100.0%</w:t>
            </w:r>
          </w:p>
        </w:tc>
      </w:tr>
    </w:tbl>
    <w:p w14:paraId="27380323" w14:textId="2F015486" w:rsidR="002373D2" w:rsidRPr="00FB0694" w:rsidRDefault="007B5959" w:rsidP="00FB0694">
      <w:pPr>
        <w:pStyle w:val="Caption"/>
        <w:rPr>
          <w:i w:val="0"/>
          <w:iCs w:val="0"/>
        </w:rPr>
      </w:pPr>
      <w:bookmarkStart w:id="1022" w:name="_Ref25335261"/>
      <w:bookmarkStart w:id="1023" w:name="_Toc46053593"/>
      <w:bookmarkStart w:id="1024" w:name="_Toc46093842"/>
      <w:bookmarkStart w:id="1025" w:name="_Toc66698809"/>
      <w:bookmarkStart w:id="1026" w:name="_Ref25153052"/>
      <w:r w:rsidRPr="00FB0694">
        <w:t>Table</w:t>
      </w:r>
      <w:r w:rsidR="002373D2" w:rsidRPr="00FB0694">
        <w:t xml:space="preserve"> </w:t>
      </w:r>
      <w:r w:rsidR="000306D9">
        <w:fldChar w:fldCharType="begin"/>
      </w:r>
      <w:r w:rsidR="000306D9">
        <w:instrText xml:space="preserve"> STYLEREF 1 \s </w:instrText>
      </w:r>
      <w:r w:rsidR="000306D9">
        <w:fldChar w:fldCharType="separate"/>
      </w:r>
      <w:r w:rsidR="0005064B">
        <w:rPr>
          <w:noProof/>
        </w:rPr>
        <w:t>7</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2</w:t>
      </w:r>
      <w:r w:rsidR="000306D9">
        <w:rPr>
          <w:noProof/>
        </w:rPr>
        <w:fldChar w:fldCharType="end"/>
      </w:r>
      <w:bookmarkEnd w:id="1022"/>
      <w:r w:rsidR="00FB0694" w:rsidRPr="00FB0694">
        <w:t>:</w:t>
      </w:r>
      <w:r w:rsidR="002373D2" w:rsidRPr="00FB0694">
        <w:t xml:space="preserve"> Structure of operational cost in UCC (</w:t>
      </w:r>
      <w:proofErr w:type="spellStart"/>
      <w:r w:rsidR="002373D2" w:rsidRPr="00FB0694">
        <w:t>Janjevic</w:t>
      </w:r>
      <w:proofErr w:type="spellEnd"/>
      <w:r w:rsidR="002373D2" w:rsidRPr="00FB0694">
        <w:t xml:space="preserve"> and Ndiaye, 2017a)</w:t>
      </w:r>
      <w:bookmarkEnd w:id="1023"/>
      <w:bookmarkEnd w:id="1024"/>
      <w:bookmarkEnd w:id="1025"/>
    </w:p>
    <w:p w14:paraId="2ADD0BE4" w14:textId="7FE78424" w:rsidR="002373D2" w:rsidRDefault="002373D2" w:rsidP="002373D2">
      <w:pPr>
        <w:pStyle w:val="Caption"/>
        <w:spacing w:after="0" w:line="360" w:lineRule="auto"/>
        <w:jc w:val="both"/>
        <w:rPr>
          <w:rFonts w:eastAsia="等线"/>
          <w:b w:val="0"/>
          <w:i w:val="0"/>
          <w:iCs w:val="0"/>
          <w:noProof/>
          <w:color w:val="auto"/>
          <w:sz w:val="24"/>
          <w:szCs w:val="24"/>
        </w:rPr>
      </w:pPr>
      <w:bookmarkStart w:id="1027" w:name="_Ref25335291"/>
      <w:r w:rsidRPr="005B72DB">
        <w:rPr>
          <w:rFonts w:eastAsia="等线"/>
          <w:b w:val="0"/>
          <w:i w:val="0"/>
          <w:iCs w:val="0"/>
          <w:noProof/>
          <w:color w:val="auto"/>
          <w:sz w:val="24"/>
          <w:szCs w:val="24"/>
        </w:rPr>
        <w:t xml:space="preserve">Janjevic and Ndiaye </w:t>
      </w:r>
      <w:r w:rsidRPr="005B72DB">
        <w:rPr>
          <w:rFonts w:eastAsia="等线"/>
          <w:b w:val="0"/>
          <w:i w:val="0"/>
          <w:iCs w:val="0"/>
          <w:noProof/>
          <w:color w:val="auto"/>
          <w:sz w:val="24"/>
          <w:szCs w:val="24"/>
          <w:lang w:val="en-US"/>
        </w:rPr>
        <w:t>(</w:t>
      </w:r>
      <w:r w:rsidRPr="005B72DB">
        <w:rPr>
          <w:rFonts w:eastAsia="等线"/>
          <w:b w:val="0"/>
          <w:i w:val="0"/>
          <w:iCs w:val="0"/>
          <w:noProof/>
          <w:color w:val="auto"/>
          <w:sz w:val="24"/>
          <w:szCs w:val="24"/>
        </w:rPr>
        <w:t xml:space="preserve">2017b) propose a cost modelling approach aimed at comparing costs faced by LHCs under different scenarios. When a LHC performs a delivery through a direct shipment, costs faced by the LHC include: (i) costs generated by the main freight movement, involving the shipment to the service area and the return to the depot after the completion of the delivery; (ii) costs generated by </w:t>
      </w:r>
      <w:r w:rsidRPr="005B72DB">
        <w:rPr>
          <w:rFonts w:eastAsia="等线"/>
          <w:b w:val="0"/>
          <w:iCs w:val="0"/>
          <w:noProof/>
          <w:color w:val="auto"/>
          <w:sz w:val="24"/>
          <w:szCs w:val="24"/>
        </w:rPr>
        <w:t>ordinary</w:t>
      </w:r>
      <w:r w:rsidRPr="005B72DB">
        <w:rPr>
          <w:rFonts w:eastAsia="等线"/>
          <w:b w:val="0"/>
          <w:i w:val="0"/>
          <w:iCs w:val="0"/>
          <w:noProof/>
          <w:color w:val="auto"/>
          <w:sz w:val="24"/>
          <w:szCs w:val="24"/>
        </w:rPr>
        <w:t xml:space="preserve"> </w:t>
      </w:r>
      <w:r w:rsidRPr="005B72DB">
        <w:rPr>
          <w:rFonts w:eastAsia="等线"/>
          <w:b w:val="0"/>
          <w:noProof/>
          <w:color w:val="auto"/>
          <w:sz w:val="24"/>
          <w:szCs w:val="24"/>
        </w:rPr>
        <w:t>freight movements</w:t>
      </w:r>
      <w:r w:rsidRPr="005B72DB">
        <w:rPr>
          <w:rFonts w:eastAsia="等线"/>
          <w:b w:val="0"/>
          <w:i w:val="0"/>
          <w:iCs w:val="0"/>
          <w:noProof/>
          <w:color w:val="auto"/>
          <w:sz w:val="24"/>
          <w:szCs w:val="24"/>
        </w:rPr>
        <w:t>, for delivering goods to each customer in the service area (</w:t>
      </w:r>
      <w:r w:rsidRPr="005B72DB">
        <w:rPr>
          <w:rFonts w:eastAsia="等线"/>
          <w:b w:val="0"/>
          <w:i w:val="0"/>
          <w:iCs w:val="0"/>
          <w:noProof/>
          <w:color w:val="auto"/>
          <w:sz w:val="24"/>
          <w:szCs w:val="24"/>
        </w:rPr>
        <w:fldChar w:fldCharType="begin"/>
      </w:r>
      <w:r w:rsidRPr="005B72DB">
        <w:rPr>
          <w:rFonts w:eastAsia="等线"/>
          <w:b w:val="0"/>
          <w:i w:val="0"/>
          <w:iCs w:val="0"/>
          <w:noProof/>
          <w:color w:val="auto"/>
          <w:sz w:val="24"/>
          <w:szCs w:val="24"/>
        </w:rPr>
        <w:instrText xml:space="preserve"> REF _Ref32254233 \h  \* MERGEFORMAT </w:instrText>
      </w:r>
      <w:r w:rsidRPr="005B72DB">
        <w:rPr>
          <w:rFonts w:eastAsia="等线"/>
          <w:b w:val="0"/>
          <w:i w:val="0"/>
          <w:iCs w:val="0"/>
          <w:noProof/>
          <w:color w:val="auto"/>
          <w:sz w:val="24"/>
          <w:szCs w:val="24"/>
        </w:rPr>
      </w:r>
      <w:r w:rsidRPr="005B72DB">
        <w:rPr>
          <w:rFonts w:eastAsia="等线"/>
          <w:b w:val="0"/>
          <w:i w:val="0"/>
          <w:iCs w:val="0"/>
          <w:noProof/>
          <w:color w:val="auto"/>
          <w:sz w:val="24"/>
          <w:szCs w:val="24"/>
        </w:rPr>
        <w:fldChar w:fldCharType="separate"/>
      </w:r>
      <w:r w:rsidR="0005064B" w:rsidRPr="0005064B">
        <w:rPr>
          <w:rFonts w:eastAsia="等线"/>
          <w:b w:val="0"/>
          <w:i w:val="0"/>
          <w:iCs w:val="0"/>
          <w:noProof/>
          <w:color w:val="auto"/>
          <w:sz w:val="24"/>
          <w:szCs w:val="24"/>
        </w:rPr>
        <w:t>Figure 7</w:t>
      </w:r>
      <w:r w:rsidR="0005064B" w:rsidRPr="0005064B">
        <w:rPr>
          <w:rFonts w:eastAsia="等线"/>
          <w:b w:val="0"/>
          <w:i w:val="0"/>
          <w:iCs w:val="0"/>
          <w:noProof/>
          <w:color w:val="auto"/>
          <w:sz w:val="24"/>
          <w:szCs w:val="24"/>
        </w:rPr>
        <w:noBreakHyphen/>
        <w:t>2</w:t>
      </w:r>
      <w:r w:rsidRPr="005B72DB">
        <w:rPr>
          <w:rFonts w:eastAsia="等线"/>
          <w:b w:val="0"/>
          <w:i w:val="0"/>
          <w:iCs w:val="0"/>
          <w:noProof/>
          <w:color w:val="auto"/>
          <w:sz w:val="24"/>
          <w:szCs w:val="24"/>
        </w:rPr>
        <w:fldChar w:fldCharType="end"/>
      </w:r>
      <w:r>
        <w:rPr>
          <w:rFonts w:eastAsia="等线"/>
          <w:b w:val="0"/>
          <w:i w:val="0"/>
          <w:iCs w:val="0"/>
          <w:noProof/>
          <w:color w:val="auto"/>
          <w:sz w:val="24"/>
          <w:szCs w:val="24"/>
        </w:rPr>
        <w:t>, top</w:t>
      </w:r>
      <w:r w:rsidRPr="005B72DB">
        <w:rPr>
          <w:rFonts w:eastAsia="等线"/>
          <w:b w:val="0"/>
          <w:i w:val="0"/>
          <w:iCs w:val="0"/>
          <w:noProof/>
          <w:color w:val="auto"/>
          <w:sz w:val="24"/>
          <w:szCs w:val="24"/>
        </w:rPr>
        <w:t>). When a LHC decides to utilise a UCC,  costs faced include: (i) costs generated by the return trips between the LHC depot and the UCC; (ii) costs generated by dwell time at the UCC; (iii) costs generated by the payment for the UCC service (</w:t>
      </w:r>
      <w:r w:rsidRPr="005B72DB">
        <w:rPr>
          <w:rFonts w:eastAsia="等线"/>
          <w:b w:val="0"/>
          <w:i w:val="0"/>
          <w:iCs w:val="0"/>
          <w:noProof/>
          <w:color w:val="auto"/>
          <w:sz w:val="24"/>
          <w:szCs w:val="24"/>
        </w:rPr>
        <w:fldChar w:fldCharType="begin"/>
      </w:r>
      <w:r w:rsidRPr="005B72DB">
        <w:rPr>
          <w:rFonts w:eastAsia="等线"/>
          <w:b w:val="0"/>
          <w:i w:val="0"/>
          <w:iCs w:val="0"/>
          <w:noProof/>
          <w:color w:val="auto"/>
          <w:sz w:val="24"/>
          <w:szCs w:val="24"/>
        </w:rPr>
        <w:instrText xml:space="preserve"> REF _Ref32254233 \h  \* MERGEFORMAT </w:instrText>
      </w:r>
      <w:r w:rsidRPr="005B72DB">
        <w:rPr>
          <w:rFonts w:eastAsia="等线"/>
          <w:b w:val="0"/>
          <w:i w:val="0"/>
          <w:iCs w:val="0"/>
          <w:noProof/>
          <w:color w:val="auto"/>
          <w:sz w:val="24"/>
          <w:szCs w:val="24"/>
        </w:rPr>
      </w:r>
      <w:r w:rsidRPr="005B72DB">
        <w:rPr>
          <w:rFonts w:eastAsia="等线"/>
          <w:b w:val="0"/>
          <w:i w:val="0"/>
          <w:iCs w:val="0"/>
          <w:noProof/>
          <w:color w:val="auto"/>
          <w:sz w:val="24"/>
          <w:szCs w:val="24"/>
        </w:rPr>
        <w:fldChar w:fldCharType="separate"/>
      </w:r>
      <w:r w:rsidR="0005064B" w:rsidRPr="0005064B">
        <w:rPr>
          <w:rFonts w:eastAsia="等线"/>
          <w:b w:val="0"/>
          <w:i w:val="0"/>
          <w:iCs w:val="0"/>
          <w:noProof/>
          <w:color w:val="auto"/>
          <w:sz w:val="24"/>
          <w:szCs w:val="24"/>
        </w:rPr>
        <w:t>Figure 7</w:t>
      </w:r>
      <w:r w:rsidR="0005064B" w:rsidRPr="0005064B">
        <w:rPr>
          <w:rFonts w:eastAsia="等线"/>
          <w:b w:val="0"/>
          <w:i w:val="0"/>
          <w:iCs w:val="0"/>
          <w:noProof/>
          <w:color w:val="auto"/>
          <w:sz w:val="24"/>
          <w:szCs w:val="24"/>
        </w:rPr>
        <w:noBreakHyphen/>
        <w:t>2</w:t>
      </w:r>
      <w:r w:rsidRPr="005B72DB">
        <w:rPr>
          <w:rFonts w:eastAsia="等线"/>
          <w:b w:val="0"/>
          <w:i w:val="0"/>
          <w:iCs w:val="0"/>
          <w:noProof/>
          <w:color w:val="auto"/>
          <w:sz w:val="24"/>
          <w:szCs w:val="24"/>
        </w:rPr>
        <w:fldChar w:fldCharType="end"/>
      </w:r>
      <w:r w:rsidRPr="005B72DB">
        <w:rPr>
          <w:rFonts w:eastAsia="等线"/>
          <w:b w:val="0"/>
          <w:i w:val="0"/>
          <w:iCs w:val="0"/>
          <w:noProof/>
          <w:color w:val="auto"/>
          <w:sz w:val="24"/>
          <w:szCs w:val="24"/>
        </w:rPr>
        <w:t>).</w:t>
      </w:r>
    </w:p>
    <w:p w14:paraId="7D1DE9D0" w14:textId="77777777" w:rsidR="002373D2" w:rsidRPr="005B72DB" w:rsidRDefault="002373D2" w:rsidP="002373D2">
      <w:pPr>
        <w:pStyle w:val="Caption"/>
        <w:spacing w:after="0" w:line="360" w:lineRule="auto"/>
      </w:pPr>
      <w:r w:rsidRPr="005B72DB">
        <w:rPr>
          <w:noProof/>
          <w:lang w:eastAsia="en-GB"/>
        </w:rPr>
        <w:drawing>
          <wp:inline distT="0" distB="0" distL="0" distR="0" wp14:anchorId="57DFE333" wp14:editId="431C1224">
            <wp:extent cx="5727700" cy="2851150"/>
            <wp:effectExtent l="0" t="0" r="635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27700" cy="2851150"/>
                    </a:xfrm>
                    <a:prstGeom prst="rect">
                      <a:avLst/>
                    </a:prstGeom>
                    <a:noFill/>
                    <a:ln>
                      <a:noFill/>
                    </a:ln>
                  </pic:spPr>
                </pic:pic>
              </a:graphicData>
            </a:graphic>
          </wp:inline>
        </w:drawing>
      </w:r>
    </w:p>
    <w:p w14:paraId="7F9FD568" w14:textId="62CB9442" w:rsidR="002373D2" w:rsidRPr="004069BA" w:rsidRDefault="002373D2" w:rsidP="00BE5BC0">
      <w:pPr>
        <w:pStyle w:val="Caption"/>
        <w:rPr>
          <w:rFonts w:cs="Times New Roman"/>
        </w:rPr>
      </w:pPr>
      <w:bookmarkStart w:id="1028" w:name="_Ref32254233"/>
      <w:bookmarkStart w:id="1029" w:name="_Ref32254218"/>
      <w:bookmarkStart w:id="1030" w:name="_Toc46053701"/>
      <w:bookmarkStart w:id="1031" w:name="_Toc66698732"/>
      <w:r w:rsidRPr="004069BA">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7</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2</w:t>
      </w:r>
      <w:r w:rsidR="00632993">
        <w:rPr>
          <w:rFonts w:cs="Times New Roman"/>
        </w:rPr>
        <w:fldChar w:fldCharType="end"/>
      </w:r>
      <w:bookmarkEnd w:id="1028"/>
      <w:r w:rsidR="002547EF">
        <w:rPr>
          <w:rFonts w:cs="Times New Roman"/>
        </w:rPr>
        <w:t>:</w:t>
      </w:r>
      <w:r w:rsidRPr="004069BA">
        <w:rPr>
          <w:rFonts w:cs="Times New Roman"/>
        </w:rPr>
        <w:t xml:space="preserve"> Typical Delivery Process with (bottom)/without (top) UCC</w:t>
      </w:r>
      <w:bookmarkEnd w:id="1029"/>
      <w:r w:rsidRPr="004069BA">
        <w:rPr>
          <w:rFonts w:cs="Times New Roman"/>
        </w:rPr>
        <w:t xml:space="preserve"> </w:t>
      </w:r>
      <w:r w:rsidRPr="004069BA">
        <w:rPr>
          <w:rFonts w:cs="Times New Roman"/>
        </w:rPr>
        <w:br/>
        <w:t xml:space="preserve">(adapted from </w:t>
      </w:r>
      <w:proofErr w:type="spellStart"/>
      <w:r w:rsidRPr="004069BA">
        <w:rPr>
          <w:rFonts w:cs="Times New Roman"/>
        </w:rPr>
        <w:t>Janjevic</w:t>
      </w:r>
      <w:proofErr w:type="spellEnd"/>
      <w:r w:rsidRPr="004069BA">
        <w:rPr>
          <w:rFonts w:cs="Times New Roman"/>
        </w:rPr>
        <w:t xml:space="preserve"> and Ndiaye, 2017b)</w:t>
      </w:r>
      <w:bookmarkEnd w:id="1030"/>
      <w:bookmarkEnd w:id="1031"/>
    </w:p>
    <w:p w14:paraId="31CAF8EF" w14:textId="6D1B75D7" w:rsidR="002373D2" w:rsidRPr="005B72DB" w:rsidRDefault="002373D2" w:rsidP="007548C6">
      <w:pPr>
        <w:pStyle w:val="Caption"/>
        <w:spacing w:line="360" w:lineRule="auto"/>
        <w:jc w:val="both"/>
        <w:rPr>
          <w:rFonts w:eastAsia="等线"/>
          <w:b w:val="0"/>
          <w:i w:val="0"/>
          <w:iCs w:val="0"/>
          <w:noProof/>
          <w:color w:val="auto"/>
          <w:sz w:val="24"/>
          <w:szCs w:val="24"/>
        </w:rPr>
      </w:pPr>
      <w:r w:rsidRPr="005B72DB">
        <w:rPr>
          <w:rFonts w:eastAsia="等线"/>
          <w:b w:val="0"/>
          <w:i w:val="0"/>
          <w:iCs w:val="0"/>
          <w:noProof/>
          <w:color w:val="auto"/>
          <w:sz w:val="24"/>
          <w:szCs w:val="24"/>
        </w:rPr>
        <w:t xml:space="preserve">As such, Janjevic and Ndiaye (2017b) assume that the total cost faced by a LHC will be different under the two scenarios. In particular, if the LHC needs to serve a small number of customers (and, as a result, needs to deliver a small number of parcels) in each trip, the strategy of outsourcing the last-mile delivery to a UCC could reduce the costs faced by the LHC. Conversely, using a UCC can increase the costs faced by the LHCs if the LHC is shipping a large amount of goods, thus achieving full truckload shipments. This can happen when large LHCs already achieve high consolidation by themselves, thus reducing the average shipping </w:t>
      </w:r>
      <w:r w:rsidRPr="005B72DB">
        <w:rPr>
          <w:rFonts w:eastAsia="等线"/>
          <w:b w:val="0"/>
          <w:i w:val="0"/>
          <w:iCs w:val="0"/>
          <w:noProof/>
          <w:color w:val="auto"/>
          <w:sz w:val="24"/>
          <w:szCs w:val="24"/>
        </w:rPr>
        <w:lastRenderedPageBreak/>
        <w:t xml:space="preserve">cost per parcel. Under these conditions, service fees charged by UCCs, along with handling and administrative costs and dwell times, might make the UCC  option unattractive. </w:t>
      </w:r>
    </w:p>
    <w:p w14:paraId="52BCAFEE" w14:textId="77777777" w:rsidR="002373D2" w:rsidRPr="005B72DB" w:rsidRDefault="002373D2" w:rsidP="007548C6">
      <w:pPr>
        <w:pStyle w:val="Caption"/>
        <w:spacing w:line="360" w:lineRule="auto"/>
        <w:jc w:val="both"/>
        <w:rPr>
          <w:rFonts w:eastAsia="等线"/>
          <w:b w:val="0"/>
          <w:i w:val="0"/>
          <w:color w:val="auto"/>
          <w:sz w:val="24"/>
          <w:szCs w:val="24"/>
        </w:rPr>
      </w:pPr>
      <w:r w:rsidRPr="005B72DB">
        <w:rPr>
          <w:rFonts w:eastAsia="等线"/>
          <w:b w:val="0"/>
          <w:i w:val="0"/>
          <w:noProof/>
          <w:color w:val="auto"/>
          <w:sz w:val="24"/>
          <w:szCs w:val="24"/>
        </w:rPr>
        <w:t xml:space="preserve">Indeed, if the cost of direct shipping is lower than the one faced using the UCC, LHCs will certainly decide not  to outsource urban delivery processes to a UCC, unless </w:t>
      </w:r>
      <w:r>
        <w:rPr>
          <w:rFonts w:eastAsia="等线"/>
          <w:b w:val="0"/>
          <w:i w:val="0"/>
          <w:noProof/>
          <w:color w:val="auto"/>
          <w:sz w:val="24"/>
          <w:szCs w:val="24"/>
        </w:rPr>
        <w:t>LA</w:t>
      </w:r>
      <w:r w:rsidRPr="005B72DB">
        <w:rPr>
          <w:rFonts w:eastAsia="等线"/>
          <w:b w:val="0"/>
          <w:i w:val="0"/>
          <w:noProof/>
          <w:color w:val="auto"/>
          <w:sz w:val="24"/>
          <w:szCs w:val="24"/>
        </w:rPr>
        <w:t>s are adopting very stringent restrictions on private freight movement. As a result, UCCs might face difficulties in attracting customers, despite the proven environme</w:t>
      </w:r>
      <w:r>
        <w:rPr>
          <w:rFonts w:eastAsia="等线"/>
          <w:b w:val="0"/>
          <w:i w:val="0"/>
          <w:noProof/>
          <w:color w:val="auto"/>
          <w:sz w:val="24"/>
          <w:szCs w:val="24"/>
        </w:rPr>
        <w:t>n</w:t>
      </w:r>
      <w:r w:rsidRPr="005B72DB">
        <w:rPr>
          <w:rFonts w:eastAsia="等线"/>
          <w:b w:val="0"/>
          <w:i w:val="0"/>
          <w:noProof/>
          <w:color w:val="auto"/>
          <w:sz w:val="24"/>
          <w:szCs w:val="24"/>
        </w:rPr>
        <w:t xml:space="preserve">tal and social benefits associated with these facilities. Within this context, the proposed cost allocation rules could be employed, by </w:t>
      </w:r>
      <w:r>
        <w:rPr>
          <w:rFonts w:eastAsia="等线"/>
          <w:b w:val="0"/>
          <w:i w:val="0"/>
          <w:noProof/>
          <w:color w:val="auto"/>
          <w:sz w:val="24"/>
          <w:szCs w:val="24"/>
        </w:rPr>
        <w:t>LAs</w:t>
      </w:r>
      <w:r w:rsidRPr="005B72DB">
        <w:rPr>
          <w:rFonts w:eastAsia="等线"/>
          <w:b w:val="0"/>
          <w:i w:val="0"/>
          <w:noProof/>
          <w:color w:val="auto"/>
          <w:sz w:val="24"/>
          <w:szCs w:val="24"/>
        </w:rPr>
        <w:t>, to promote cost alleviation mechanisms for</w:t>
      </w:r>
      <w:r w:rsidRPr="005B72DB">
        <w:rPr>
          <w:rFonts w:eastAsia="等线"/>
          <w:b w:val="0"/>
          <w:i w:val="0"/>
          <w:color w:val="auto"/>
          <w:sz w:val="24"/>
          <w:szCs w:val="24"/>
        </w:rPr>
        <w:t xml:space="preserve"> LHCs</w:t>
      </w:r>
      <w:r>
        <w:rPr>
          <w:rFonts w:eastAsia="等线"/>
          <w:b w:val="0"/>
          <w:i w:val="0"/>
          <w:color w:val="auto"/>
          <w:sz w:val="24"/>
          <w:szCs w:val="24"/>
        </w:rPr>
        <w:t xml:space="preserve"> who are already able to achieve high consolidation </w:t>
      </w:r>
      <w:proofErr w:type="gramStart"/>
      <w:r>
        <w:rPr>
          <w:rFonts w:eastAsia="等线"/>
          <w:b w:val="0"/>
          <w:i w:val="0"/>
          <w:color w:val="auto"/>
          <w:sz w:val="24"/>
          <w:szCs w:val="24"/>
        </w:rPr>
        <w:t>factors, and</w:t>
      </w:r>
      <w:proofErr w:type="gramEnd"/>
      <w:r>
        <w:rPr>
          <w:rFonts w:eastAsia="等线"/>
          <w:b w:val="0"/>
          <w:i w:val="0"/>
          <w:color w:val="auto"/>
          <w:sz w:val="24"/>
          <w:szCs w:val="24"/>
        </w:rPr>
        <w:t xml:space="preserve"> might then be reluctant to subscribe to UCC facilities</w:t>
      </w:r>
      <w:r w:rsidRPr="005B72DB">
        <w:rPr>
          <w:rFonts w:eastAsia="等线"/>
          <w:b w:val="0"/>
          <w:i w:val="0"/>
          <w:color w:val="auto"/>
          <w:sz w:val="24"/>
          <w:szCs w:val="24"/>
        </w:rPr>
        <w:t>.</w:t>
      </w:r>
    </w:p>
    <w:p w14:paraId="4AF5F3D0" w14:textId="59A39080" w:rsidR="00A73599" w:rsidRDefault="002373D2" w:rsidP="007548C6">
      <w:pPr>
        <w:spacing w:after="240" w:line="360" w:lineRule="auto"/>
        <w:rPr>
          <w:rFonts w:eastAsia="等线"/>
        </w:rPr>
      </w:pPr>
      <w:r w:rsidRPr="00235967">
        <w:rPr>
          <w:rFonts w:eastAsia="等线"/>
        </w:rPr>
        <w:t xml:space="preserve">As such, the considered Case Study </w:t>
      </w:r>
      <w:proofErr w:type="gramStart"/>
      <w:r w:rsidRPr="00235967">
        <w:rPr>
          <w:rFonts w:eastAsia="等线"/>
        </w:rPr>
        <w:t>is based on the assumption</w:t>
      </w:r>
      <w:proofErr w:type="gramEnd"/>
      <w:r w:rsidRPr="00235967">
        <w:rPr>
          <w:rFonts w:eastAsia="等线"/>
        </w:rPr>
        <w:t xml:space="preserve"> that a LHCs cannot get an economic benefit from accessing UCC services (</w:t>
      </w:r>
      <w:proofErr w:type="spellStart"/>
      <w:r w:rsidRPr="00235967">
        <w:rPr>
          <w:rFonts w:eastAsia="等线"/>
        </w:rPr>
        <w:t>Janjevic</w:t>
      </w:r>
      <w:proofErr w:type="spellEnd"/>
      <w:r w:rsidRPr="00235967">
        <w:rPr>
          <w:rFonts w:eastAsia="等线"/>
        </w:rPr>
        <w:t xml:space="preserve"> and Ndiaye, 2017b). </w:t>
      </w:r>
      <w:r w:rsidRPr="00235967">
        <w:rPr>
          <w:rFonts w:eastAsia="等线"/>
          <w:noProof/>
        </w:rPr>
        <w:t xml:space="preserve">According to the scenario considered by Janjevic and Ndiaye (2017b), this would happen if the LHC is </w:t>
      </w:r>
      <w:r w:rsidRPr="00235967">
        <w:rPr>
          <w:rFonts w:eastAsia="等线"/>
        </w:rPr>
        <w:t xml:space="preserve">transporting more than 17 parcels in a typical delivery trip. Therefore, </w:t>
      </w:r>
      <w:proofErr w:type="gramStart"/>
      <w:r w:rsidR="00E277A6">
        <w:rPr>
          <w:rFonts w:eastAsia="等线"/>
        </w:rPr>
        <w:t>It</w:t>
      </w:r>
      <w:proofErr w:type="gramEnd"/>
      <w:r w:rsidR="00E277A6">
        <w:rPr>
          <w:rFonts w:eastAsia="等线"/>
        </w:rPr>
        <w:t xml:space="preserve"> can be</w:t>
      </w:r>
      <w:r w:rsidRPr="00235967">
        <w:rPr>
          <w:rFonts w:eastAsia="等线"/>
        </w:rPr>
        <w:t xml:space="preserve"> assume</w:t>
      </w:r>
      <w:r w:rsidR="00E277A6">
        <w:rPr>
          <w:rFonts w:eastAsia="等线"/>
        </w:rPr>
        <w:t>d</w:t>
      </w:r>
      <w:r w:rsidRPr="00235967">
        <w:rPr>
          <w:rFonts w:eastAsia="等线"/>
        </w:rPr>
        <w:t xml:space="preserve"> that the considered LHC is delivering 50 parcels in its service area. According to the formulas and the parameters of service area (such as, location of the depot and of the UCC, vehicle types and service charge, information are shown in</w:t>
      </w:r>
      <w:r>
        <w:rPr>
          <w:rFonts w:eastAsia="等线"/>
        </w:rPr>
        <w:t xml:space="preserve"> the</w:t>
      </w:r>
      <w:r w:rsidRPr="00235967">
        <w:rPr>
          <w:rFonts w:eastAsia="等线"/>
        </w:rPr>
        <w:t xml:space="preserve"> Appendix) provided by </w:t>
      </w:r>
      <w:proofErr w:type="spellStart"/>
      <w:r w:rsidRPr="00235967">
        <w:rPr>
          <w:rFonts w:eastAsia="等线"/>
        </w:rPr>
        <w:t>Janjevic</w:t>
      </w:r>
      <w:proofErr w:type="spellEnd"/>
      <w:r w:rsidRPr="00235967">
        <w:rPr>
          <w:rFonts w:eastAsia="等线"/>
        </w:rPr>
        <w:t xml:space="preserve"> and Ndiaye (2017b), </w:t>
      </w:r>
      <w:r w:rsidR="00E277A6">
        <w:rPr>
          <w:rFonts w:eastAsia="等线"/>
        </w:rPr>
        <w:t>This research</w:t>
      </w:r>
      <w:r w:rsidRPr="00235967">
        <w:rPr>
          <w:rFonts w:eastAsia="等线"/>
        </w:rPr>
        <w:t xml:space="preserve"> calculate</w:t>
      </w:r>
      <w:r w:rsidR="00E277A6">
        <w:rPr>
          <w:rFonts w:eastAsia="等线"/>
        </w:rPr>
        <w:t>s</w:t>
      </w:r>
      <w:r w:rsidRPr="00235967">
        <w:rPr>
          <w:rFonts w:eastAsia="等线"/>
        </w:rPr>
        <w:t xml:space="preserve"> the cost </w:t>
      </w:r>
      <w:r>
        <w:rPr>
          <w:rFonts w:eastAsia="等线"/>
        </w:rPr>
        <w:t>for a</w:t>
      </w:r>
      <w:r w:rsidRPr="00235967">
        <w:rPr>
          <w:rFonts w:eastAsia="等线"/>
        </w:rPr>
        <w:t xml:space="preserve"> LHC with and without using the UCC (</w:t>
      </w:r>
      <w:r w:rsidRPr="00235967">
        <w:rPr>
          <w:rFonts w:eastAsia="等线"/>
        </w:rPr>
        <w:fldChar w:fldCharType="begin"/>
      </w:r>
      <w:r w:rsidRPr="00235967">
        <w:rPr>
          <w:rFonts w:eastAsia="等线"/>
        </w:rPr>
        <w:instrText xml:space="preserve"> REF _Ref32570774 \h  \* MERGEFORMAT </w:instrText>
      </w:r>
      <w:r w:rsidRPr="00235967">
        <w:rPr>
          <w:rFonts w:eastAsia="等线"/>
        </w:rPr>
      </w:r>
      <w:r w:rsidRPr="00235967">
        <w:rPr>
          <w:rFonts w:eastAsia="等线"/>
        </w:rPr>
        <w:fldChar w:fldCharType="separate"/>
      </w:r>
      <w:r w:rsidR="0005064B" w:rsidRPr="0005064B">
        <w:rPr>
          <w:rFonts w:eastAsia="等线"/>
        </w:rPr>
        <w:t>Table 7</w:t>
      </w:r>
      <w:r w:rsidR="0005064B" w:rsidRPr="0005064B">
        <w:rPr>
          <w:rFonts w:eastAsia="等线"/>
        </w:rPr>
        <w:noBreakHyphen/>
        <w:t>3</w:t>
      </w:r>
      <w:r w:rsidRPr="00235967">
        <w:rPr>
          <w:rFonts w:eastAsia="等线"/>
        </w:rPr>
        <w:fldChar w:fldCharType="end"/>
      </w:r>
      <w:r w:rsidRPr="00235967">
        <w:rPr>
          <w:rFonts w:eastAsia="等线"/>
        </w:rPr>
        <w:t xml:space="preserve">). Besides above discussion, </w:t>
      </w:r>
      <w:r w:rsidR="00E277A6">
        <w:rPr>
          <w:rFonts w:eastAsia="等线"/>
        </w:rPr>
        <w:t>this chapter</w:t>
      </w:r>
      <w:r w:rsidRPr="00235967">
        <w:rPr>
          <w:rFonts w:eastAsia="等线"/>
        </w:rPr>
        <w:t xml:space="preserve"> also assume</w:t>
      </w:r>
      <w:r w:rsidR="00E277A6">
        <w:rPr>
          <w:rFonts w:eastAsia="等线"/>
        </w:rPr>
        <w:t>s</w:t>
      </w:r>
      <w:r w:rsidRPr="00235967">
        <w:rPr>
          <w:rFonts w:eastAsia="等线"/>
        </w:rPr>
        <w:t xml:space="preserve"> that when LHCs outsource their urban distribution to a UCC, the goods supply and receipt GMPs generate no extra cost. Under this scenario, LHCs might have no interest in accessing UCC services, as they could face lower costs by implementing a direct delivery policy. </w:t>
      </w:r>
    </w:p>
    <w:tbl>
      <w:tblPr>
        <w:tblStyle w:val="TableGrid1"/>
        <w:tblW w:w="5000" w:type="pct"/>
        <w:tblLook w:val="04A0" w:firstRow="1" w:lastRow="0" w:firstColumn="1" w:lastColumn="0" w:noHBand="0" w:noVBand="1"/>
      </w:tblPr>
      <w:tblGrid>
        <w:gridCol w:w="1697"/>
        <w:gridCol w:w="2128"/>
        <w:gridCol w:w="2342"/>
        <w:gridCol w:w="2849"/>
      </w:tblGrid>
      <w:tr w:rsidR="00A73599" w:rsidRPr="005B72DB" w14:paraId="61E6CE4E" w14:textId="77777777" w:rsidTr="0051420F">
        <w:trPr>
          <w:trHeight w:val="495"/>
        </w:trPr>
        <w:tc>
          <w:tcPr>
            <w:tcW w:w="941" w:type="pct"/>
          </w:tcPr>
          <w:p w14:paraId="2BF7E0A9" w14:textId="77777777" w:rsidR="00A73599" w:rsidRPr="005B72DB" w:rsidRDefault="00A73599" w:rsidP="00A73599">
            <w:pPr>
              <w:spacing w:line="240" w:lineRule="auto"/>
              <w:jc w:val="center"/>
              <w:rPr>
                <w:rFonts w:eastAsia="等线"/>
                <w:b/>
                <w:bCs/>
                <w:sz w:val="22"/>
              </w:rPr>
            </w:pPr>
            <w:r w:rsidRPr="005B72DB">
              <w:rPr>
                <w:rFonts w:eastAsia="等线"/>
                <w:b/>
                <w:bCs/>
                <w:sz w:val="22"/>
              </w:rPr>
              <w:t>Total parcels to be delivered in the urban area</w:t>
            </w:r>
          </w:p>
        </w:tc>
        <w:tc>
          <w:tcPr>
            <w:tcW w:w="1180" w:type="pct"/>
            <w:vAlign w:val="center"/>
          </w:tcPr>
          <w:p w14:paraId="5F7275C8" w14:textId="77777777" w:rsidR="00A73599" w:rsidRPr="005B72DB" w:rsidRDefault="00A73599" w:rsidP="00A73599">
            <w:pPr>
              <w:spacing w:line="240" w:lineRule="auto"/>
              <w:jc w:val="center"/>
              <w:rPr>
                <w:rFonts w:eastAsia="等线"/>
                <w:b/>
                <w:bCs/>
                <w:sz w:val="22"/>
              </w:rPr>
            </w:pPr>
            <w:r w:rsidRPr="005B72DB">
              <w:rPr>
                <w:rFonts w:eastAsia="等线"/>
                <w:b/>
                <w:bCs/>
                <w:sz w:val="22"/>
              </w:rPr>
              <w:t>Total cost for LHC direct delivery (</w:t>
            </w:r>
            <w:r w:rsidRPr="005B72DB">
              <w:rPr>
                <w:rFonts w:eastAsia="等线"/>
                <w:b/>
                <w:bCs/>
                <w:i/>
                <w:sz w:val="22"/>
              </w:rPr>
              <w:t>€/parcel</w:t>
            </w:r>
            <w:r w:rsidRPr="005B72DB">
              <w:rPr>
                <w:rFonts w:eastAsia="等线"/>
                <w:b/>
                <w:bCs/>
                <w:sz w:val="22"/>
              </w:rPr>
              <w:t>)</w:t>
            </w:r>
          </w:p>
        </w:tc>
        <w:tc>
          <w:tcPr>
            <w:tcW w:w="1299" w:type="pct"/>
            <w:vAlign w:val="center"/>
          </w:tcPr>
          <w:p w14:paraId="451D50F3" w14:textId="77777777" w:rsidR="00A73599" w:rsidRPr="005B72DB" w:rsidRDefault="00A73599" w:rsidP="00A73599">
            <w:pPr>
              <w:spacing w:line="240" w:lineRule="auto"/>
              <w:jc w:val="center"/>
              <w:rPr>
                <w:rFonts w:eastAsia="等线"/>
                <w:b/>
                <w:bCs/>
                <w:sz w:val="22"/>
              </w:rPr>
            </w:pPr>
            <w:r w:rsidRPr="005B72DB">
              <w:rPr>
                <w:rFonts w:eastAsia="等线"/>
                <w:b/>
                <w:bCs/>
                <w:sz w:val="22"/>
              </w:rPr>
              <w:t>Total Cost for LHC through UCC delivery (</w:t>
            </w:r>
            <w:r w:rsidRPr="005B72DB">
              <w:rPr>
                <w:rFonts w:eastAsia="等线"/>
                <w:b/>
                <w:bCs/>
                <w:i/>
                <w:sz w:val="22"/>
              </w:rPr>
              <w:t>€/parcel</w:t>
            </w:r>
            <w:r w:rsidRPr="005B72DB">
              <w:rPr>
                <w:rFonts w:eastAsia="等线"/>
                <w:b/>
                <w:bCs/>
                <w:sz w:val="22"/>
              </w:rPr>
              <w:t>)</w:t>
            </w:r>
          </w:p>
        </w:tc>
        <w:tc>
          <w:tcPr>
            <w:tcW w:w="1581" w:type="pct"/>
          </w:tcPr>
          <w:p w14:paraId="10B74535" w14:textId="77777777" w:rsidR="00A73599" w:rsidRPr="005B72DB" w:rsidRDefault="00A73599" w:rsidP="00A73599">
            <w:pPr>
              <w:spacing w:line="240" w:lineRule="auto"/>
              <w:jc w:val="center"/>
              <w:rPr>
                <w:rFonts w:eastAsia="等线"/>
                <w:b/>
                <w:bCs/>
                <w:sz w:val="22"/>
              </w:rPr>
            </w:pPr>
            <w:r w:rsidRPr="005B72DB">
              <w:rPr>
                <w:rFonts w:eastAsia="等线"/>
                <w:b/>
                <w:bCs/>
                <w:sz w:val="22"/>
              </w:rPr>
              <w:t>Additional Cost faced by LHC through UCC delivery (</w:t>
            </w:r>
            <w:r w:rsidRPr="005B72DB">
              <w:rPr>
                <w:rFonts w:eastAsia="等线"/>
                <w:b/>
                <w:bCs/>
                <w:i/>
                <w:sz w:val="22"/>
              </w:rPr>
              <w:t>€/parcel</w:t>
            </w:r>
            <w:r w:rsidRPr="005B72DB">
              <w:rPr>
                <w:rFonts w:eastAsia="等线"/>
                <w:b/>
                <w:bCs/>
                <w:sz w:val="22"/>
              </w:rPr>
              <w:t>)</w:t>
            </w:r>
          </w:p>
        </w:tc>
      </w:tr>
      <w:tr w:rsidR="00A73599" w:rsidRPr="005B72DB" w14:paraId="1ECDAA55" w14:textId="77777777" w:rsidTr="0051420F">
        <w:trPr>
          <w:trHeight w:val="50"/>
        </w:trPr>
        <w:tc>
          <w:tcPr>
            <w:tcW w:w="941" w:type="pct"/>
            <w:vAlign w:val="center"/>
          </w:tcPr>
          <w:p w14:paraId="6E856E2F" w14:textId="77777777" w:rsidR="00A73599" w:rsidRPr="005B72DB" w:rsidRDefault="00A73599" w:rsidP="00A73599">
            <w:pPr>
              <w:spacing w:line="240" w:lineRule="auto"/>
              <w:jc w:val="center"/>
              <w:rPr>
                <w:rFonts w:eastAsia="等线" w:cs="Calibri"/>
                <w:color w:val="000000"/>
                <w:sz w:val="22"/>
              </w:rPr>
            </w:pPr>
            <w:r w:rsidRPr="005B72DB">
              <w:rPr>
                <w:rFonts w:eastAsia="等线" w:cs="Calibri"/>
                <w:color w:val="000000"/>
                <w:sz w:val="22"/>
              </w:rPr>
              <w:t>50</w:t>
            </w:r>
          </w:p>
        </w:tc>
        <w:tc>
          <w:tcPr>
            <w:tcW w:w="1180" w:type="pct"/>
            <w:vAlign w:val="center"/>
          </w:tcPr>
          <w:p w14:paraId="0FE0F7D7" w14:textId="77777777" w:rsidR="00A73599" w:rsidRPr="005B72DB" w:rsidRDefault="00A73599" w:rsidP="00A73599">
            <w:pPr>
              <w:spacing w:line="240" w:lineRule="auto"/>
              <w:jc w:val="center"/>
              <w:rPr>
                <w:rFonts w:eastAsia="等线" w:cs="Calibri"/>
                <w:color w:val="000000"/>
                <w:sz w:val="22"/>
              </w:rPr>
            </w:pPr>
            <w:r w:rsidRPr="005B72DB">
              <w:rPr>
                <w:rFonts w:eastAsia="等线" w:cs="Calibri"/>
                <w:color w:val="000000"/>
                <w:sz w:val="22"/>
              </w:rPr>
              <w:t>2.75</w:t>
            </w:r>
          </w:p>
        </w:tc>
        <w:tc>
          <w:tcPr>
            <w:tcW w:w="1299" w:type="pct"/>
            <w:vAlign w:val="center"/>
          </w:tcPr>
          <w:p w14:paraId="4490A2D6" w14:textId="77777777" w:rsidR="00A73599" w:rsidRPr="005B72DB" w:rsidRDefault="00A73599" w:rsidP="00A73599">
            <w:pPr>
              <w:spacing w:line="240" w:lineRule="auto"/>
              <w:jc w:val="center"/>
              <w:rPr>
                <w:rFonts w:eastAsia="等线" w:cs="Calibri"/>
                <w:color w:val="000000"/>
                <w:sz w:val="22"/>
              </w:rPr>
            </w:pPr>
            <w:r w:rsidRPr="005B72DB">
              <w:rPr>
                <w:rFonts w:eastAsia="等线" w:cs="Calibri"/>
                <w:color w:val="000000"/>
                <w:sz w:val="22"/>
              </w:rPr>
              <w:t>4.26</w:t>
            </w:r>
          </w:p>
        </w:tc>
        <w:tc>
          <w:tcPr>
            <w:tcW w:w="1581" w:type="pct"/>
            <w:vAlign w:val="center"/>
          </w:tcPr>
          <w:p w14:paraId="7BC3BA44" w14:textId="77777777" w:rsidR="00A73599" w:rsidRPr="005B72DB" w:rsidRDefault="00A73599" w:rsidP="00A73599">
            <w:pPr>
              <w:spacing w:line="240" w:lineRule="auto"/>
              <w:jc w:val="center"/>
              <w:rPr>
                <w:rFonts w:eastAsia="等线" w:cs="Calibri"/>
                <w:color w:val="000000"/>
                <w:sz w:val="22"/>
              </w:rPr>
            </w:pPr>
            <w:r w:rsidRPr="005B72DB">
              <w:rPr>
                <w:rFonts w:eastAsia="等线" w:cs="Calibri"/>
                <w:color w:val="000000"/>
                <w:sz w:val="22"/>
              </w:rPr>
              <w:t>1.51</w:t>
            </w:r>
          </w:p>
        </w:tc>
      </w:tr>
    </w:tbl>
    <w:p w14:paraId="2F567C1E" w14:textId="4F3062CB" w:rsidR="002373D2" w:rsidRPr="00BE5BC0" w:rsidRDefault="007B5959" w:rsidP="00BE5BC0">
      <w:pPr>
        <w:pStyle w:val="Caption"/>
        <w:rPr>
          <w:rFonts w:cs="Times New Roman"/>
        </w:rPr>
      </w:pPr>
      <w:bookmarkStart w:id="1032" w:name="_Ref32570774"/>
      <w:bookmarkStart w:id="1033" w:name="_Toc46053594"/>
      <w:bookmarkStart w:id="1034" w:name="_Toc46093843"/>
      <w:bookmarkStart w:id="1035" w:name="_Toc66698810"/>
      <w:r w:rsidRPr="00BE5BC0">
        <w:rPr>
          <w:rFonts w:cs="Times New Roman"/>
        </w:rPr>
        <w:t>Table</w:t>
      </w:r>
      <w:r w:rsidR="002373D2" w:rsidRPr="00BE5BC0">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7</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3</w:t>
      </w:r>
      <w:r w:rsidR="00FE10DA">
        <w:rPr>
          <w:rFonts w:cs="Times New Roman"/>
        </w:rPr>
        <w:fldChar w:fldCharType="end"/>
      </w:r>
      <w:bookmarkEnd w:id="1032"/>
      <w:r w:rsidR="00BE5BC0" w:rsidRPr="00BE5BC0">
        <w:rPr>
          <w:rFonts w:cs="Times New Roman"/>
        </w:rPr>
        <w:t xml:space="preserve">: </w:t>
      </w:r>
      <w:r w:rsidR="002373D2" w:rsidRPr="00BE5BC0">
        <w:rPr>
          <w:rFonts w:cs="Times New Roman"/>
        </w:rPr>
        <w:t>Costs for LHCs - direct delivery and UCC delivery (</w:t>
      </w:r>
      <w:proofErr w:type="spellStart"/>
      <w:r w:rsidR="002373D2" w:rsidRPr="00BE5BC0">
        <w:rPr>
          <w:rFonts w:cs="Times New Roman"/>
        </w:rPr>
        <w:t>Janjevic</w:t>
      </w:r>
      <w:proofErr w:type="spellEnd"/>
      <w:r w:rsidR="002373D2" w:rsidRPr="00BE5BC0">
        <w:rPr>
          <w:rFonts w:cs="Times New Roman"/>
        </w:rPr>
        <w:t xml:space="preserve"> and Ndiaye, 2017b)</w:t>
      </w:r>
      <w:bookmarkEnd w:id="1033"/>
      <w:bookmarkEnd w:id="1034"/>
      <w:bookmarkEnd w:id="1035"/>
    </w:p>
    <w:p w14:paraId="550AFFB5" w14:textId="350354C4" w:rsidR="002373D2" w:rsidRPr="005B72DB" w:rsidRDefault="002373D2" w:rsidP="007548C6">
      <w:pPr>
        <w:spacing w:before="240" w:line="360" w:lineRule="auto"/>
        <w:rPr>
          <w:rFonts w:eastAsia="等线"/>
        </w:rPr>
      </w:pPr>
      <w:r w:rsidRPr="005B72DB">
        <w:rPr>
          <w:rFonts w:eastAsia="等线"/>
        </w:rPr>
        <w:t xml:space="preserve">As mentioned, </w:t>
      </w:r>
      <w:r>
        <w:rPr>
          <w:rFonts w:eastAsia="等线"/>
        </w:rPr>
        <w:t>LAs</w:t>
      </w:r>
      <w:r w:rsidRPr="005B72DB">
        <w:rPr>
          <w:rFonts w:eastAsia="等线"/>
        </w:rPr>
        <w:t xml:space="preserve"> could try to incentivise the participation of large LHCs in the UCC by using the mentioned cost allocation rules. According to DES and UES cost sharing policies, the additional costs faced by LHCs (arising from the outsourcing of last-mile deliveries to an UCC operator) could be shared with the upstream/downstream stakeholders (including suppliers and consumers). </w:t>
      </w:r>
    </w:p>
    <w:bookmarkEnd w:id="1026"/>
    <w:bookmarkEnd w:id="1027"/>
    <w:p w14:paraId="3F35B25D" w14:textId="26411119" w:rsidR="002373D2" w:rsidRPr="002373D2" w:rsidRDefault="002373D2" w:rsidP="007548C6">
      <w:pPr>
        <w:spacing w:before="240" w:line="360" w:lineRule="auto"/>
        <w:rPr>
          <w:rFonts w:eastAsia="等线"/>
        </w:rPr>
      </w:pPr>
      <w:r w:rsidRPr="005B72DB">
        <w:rPr>
          <w:rFonts w:eastAsia="等线"/>
        </w:rPr>
        <w:lastRenderedPageBreak/>
        <w:t xml:space="preserve">Based on the data from these two studies, </w:t>
      </w:r>
      <w:r w:rsidR="007E2571">
        <w:rPr>
          <w:rFonts w:eastAsia="等线"/>
        </w:rPr>
        <w:t xml:space="preserve">this </w:t>
      </w:r>
      <w:proofErr w:type="spellStart"/>
      <w:r w:rsidR="007E2571">
        <w:rPr>
          <w:rFonts w:eastAsia="等线"/>
        </w:rPr>
        <w:t>chatper</w:t>
      </w:r>
      <w:proofErr w:type="spellEnd"/>
      <w:r w:rsidRPr="005B72DB">
        <w:rPr>
          <w:rFonts w:eastAsia="等线"/>
        </w:rPr>
        <w:t xml:space="preserve"> propose</w:t>
      </w:r>
      <w:r w:rsidR="007E2571">
        <w:rPr>
          <w:rFonts w:eastAsia="等线"/>
        </w:rPr>
        <w:t>s</w:t>
      </w:r>
      <w:r w:rsidRPr="005B72DB">
        <w:rPr>
          <w:rFonts w:eastAsia="等线"/>
        </w:rPr>
        <w:t xml:space="preserve"> the cost structure of a parcel delivery in a UCC network in </w:t>
      </w:r>
      <w:r w:rsidRPr="005B72DB">
        <w:rPr>
          <w:rFonts w:eastAsia="等线"/>
        </w:rPr>
        <w:fldChar w:fldCharType="begin"/>
      </w:r>
      <w:r w:rsidRPr="005B72DB">
        <w:rPr>
          <w:rFonts w:eastAsia="等线"/>
        </w:rPr>
        <w:instrText xml:space="preserve"> REF _Ref23668947 \h  \* MERGEFORMAT </w:instrText>
      </w:r>
      <w:r w:rsidRPr="005B72DB">
        <w:rPr>
          <w:rFonts w:eastAsia="等线"/>
        </w:rPr>
      </w:r>
      <w:r w:rsidRPr="005B72DB">
        <w:rPr>
          <w:rFonts w:eastAsia="等线"/>
        </w:rPr>
        <w:fldChar w:fldCharType="separate"/>
      </w:r>
      <w:r w:rsidR="0005064B" w:rsidRPr="0005064B">
        <w:rPr>
          <w:rFonts w:eastAsia="等线"/>
        </w:rPr>
        <w:t>Table 7</w:t>
      </w:r>
      <w:r w:rsidR="0005064B" w:rsidRPr="0005064B">
        <w:rPr>
          <w:rFonts w:eastAsia="等线"/>
        </w:rPr>
        <w:noBreakHyphen/>
        <w:t>4</w:t>
      </w:r>
      <w:r w:rsidRPr="005B72DB">
        <w:rPr>
          <w:rFonts w:eastAsia="等线"/>
        </w:rPr>
        <w:fldChar w:fldCharType="end"/>
      </w:r>
      <w:r w:rsidRPr="005B72DB">
        <w:rPr>
          <w:rFonts w:eastAsia="等线"/>
        </w:rPr>
        <w:t>. Here, only additional costs generated by the adoption of UCC services are accounted for and considered for cost sharing purposes.</w:t>
      </w:r>
    </w:p>
    <w:tbl>
      <w:tblPr>
        <w:tblStyle w:val="TableGrid1"/>
        <w:tblW w:w="8879" w:type="dxa"/>
        <w:jc w:val="center"/>
        <w:tblLook w:val="04A0" w:firstRow="1" w:lastRow="0" w:firstColumn="1" w:lastColumn="0" w:noHBand="0" w:noVBand="1"/>
      </w:tblPr>
      <w:tblGrid>
        <w:gridCol w:w="2547"/>
        <w:gridCol w:w="2977"/>
        <w:gridCol w:w="3355"/>
      </w:tblGrid>
      <w:tr w:rsidR="002373D2" w:rsidRPr="005B72DB" w14:paraId="7C30F6B9" w14:textId="77777777" w:rsidTr="0051420F">
        <w:trPr>
          <w:jc w:val="center"/>
        </w:trPr>
        <w:tc>
          <w:tcPr>
            <w:tcW w:w="2547" w:type="dxa"/>
            <w:vAlign w:val="center"/>
          </w:tcPr>
          <w:p w14:paraId="0A0877F9" w14:textId="77777777" w:rsidR="002373D2" w:rsidRPr="005B72DB" w:rsidRDefault="002373D2" w:rsidP="00A73599">
            <w:pPr>
              <w:spacing w:line="240" w:lineRule="auto"/>
              <w:jc w:val="center"/>
              <w:rPr>
                <w:rFonts w:eastAsia="等线"/>
                <w:b/>
                <w:sz w:val="22"/>
              </w:rPr>
            </w:pPr>
            <w:r w:rsidRPr="005B72DB">
              <w:rPr>
                <w:rFonts w:eastAsia="等线"/>
                <w:b/>
                <w:sz w:val="22"/>
              </w:rPr>
              <w:t>Types of Stakeholders</w:t>
            </w:r>
          </w:p>
        </w:tc>
        <w:tc>
          <w:tcPr>
            <w:tcW w:w="2977" w:type="dxa"/>
            <w:vAlign w:val="center"/>
          </w:tcPr>
          <w:p w14:paraId="01EF4B4D" w14:textId="77777777" w:rsidR="002373D2" w:rsidRPr="005B72DB" w:rsidRDefault="002373D2" w:rsidP="00A73599">
            <w:pPr>
              <w:spacing w:line="240" w:lineRule="auto"/>
              <w:jc w:val="center"/>
              <w:rPr>
                <w:rFonts w:eastAsia="等线"/>
                <w:b/>
                <w:sz w:val="22"/>
              </w:rPr>
            </w:pPr>
            <w:r w:rsidRPr="005B72DB">
              <w:rPr>
                <w:rFonts w:eastAsia="等线"/>
                <w:b/>
                <w:sz w:val="22"/>
              </w:rPr>
              <w:t>Types of GMP</w:t>
            </w:r>
          </w:p>
        </w:tc>
        <w:tc>
          <w:tcPr>
            <w:tcW w:w="3355" w:type="dxa"/>
          </w:tcPr>
          <w:p w14:paraId="54287328" w14:textId="77777777" w:rsidR="002373D2" w:rsidRPr="005B72DB" w:rsidRDefault="002373D2" w:rsidP="00A73599">
            <w:pPr>
              <w:spacing w:line="240" w:lineRule="auto"/>
              <w:jc w:val="center"/>
              <w:rPr>
                <w:rFonts w:eastAsia="等线"/>
                <w:b/>
                <w:sz w:val="22"/>
              </w:rPr>
            </w:pPr>
            <w:r w:rsidRPr="005B72DB">
              <w:rPr>
                <w:rFonts w:eastAsia="等线"/>
                <w:b/>
                <w:sz w:val="22"/>
              </w:rPr>
              <w:t xml:space="preserve">Cost of GMPs for allocation </w:t>
            </w:r>
          </w:p>
          <w:p w14:paraId="2ED6A97D" w14:textId="77777777" w:rsidR="002373D2" w:rsidRPr="005B72DB" w:rsidRDefault="002373D2" w:rsidP="00A73599">
            <w:pPr>
              <w:spacing w:line="240" w:lineRule="auto"/>
              <w:jc w:val="center"/>
              <w:rPr>
                <w:rFonts w:eastAsia="等线"/>
                <w:b/>
                <w:sz w:val="22"/>
              </w:rPr>
            </w:pPr>
            <w:r w:rsidRPr="005B72DB">
              <w:rPr>
                <w:rFonts w:eastAsia="等线"/>
                <w:b/>
                <w:sz w:val="22"/>
              </w:rPr>
              <w:t>(</w:t>
            </w:r>
            <w:r w:rsidRPr="005B72DB">
              <w:rPr>
                <w:rFonts w:eastAsia="等线"/>
                <w:sz w:val="22"/>
              </w:rPr>
              <w:t>€</w:t>
            </w:r>
            <w:r w:rsidRPr="005B72DB">
              <w:rPr>
                <w:rFonts w:eastAsia="等线"/>
                <w:b/>
                <w:sz w:val="22"/>
              </w:rPr>
              <w:t xml:space="preserve"> per parcel)</w:t>
            </w:r>
          </w:p>
        </w:tc>
      </w:tr>
      <w:tr w:rsidR="002373D2" w:rsidRPr="005B72DB" w14:paraId="57C21C5D" w14:textId="77777777" w:rsidTr="0051420F">
        <w:trPr>
          <w:jc w:val="center"/>
        </w:trPr>
        <w:tc>
          <w:tcPr>
            <w:tcW w:w="2547" w:type="dxa"/>
            <w:vAlign w:val="center"/>
          </w:tcPr>
          <w:p w14:paraId="7D7620FF" w14:textId="77777777" w:rsidR="002373D2" w:rsidRPr="005B72DB" w:rsidRDefault="002373D2" w:rsidP="00A73599">
            <w:pPr>
              <w:spacing w:line="240" w:lineRule="auto"/>
              <w:jc w:val="center"/>
              <w:rPr>
                <w:rFonts w:eastAsia="等线"/>
                <w:sz w:val="22"/>
              </w:rPr>
            </w:pPr>
            <w:r w:rsidRPr="005B72DB">
              <w:rPr>
                <w:rFonts w:eastAsia="等线"/>
                <w:sz w:val="22"/>
              </w:rPr>
              <w:t>Supplier</w:t>
            </w:r>
          </w:p>
        </w:tc>
        <w:tc>
          <w:tcPr>
            <w:tcW w:w="2977" w:type="dxa"/>
            <w:vAlign w:val="center"/>
          </w:tcPr>
          <w:p w14:paraId="37DCD857" w14:textId="77777777" w:rsidR="002373D2" w:rsidRPr="005B72DB" w:rsidRDefault="002373D2" w:rsidP="00A73599">
            <w:pPr>
              <w:spacing w:line="240" w:lineRule="auto"/>
              <w:jc w:val="center"/>
              <w:rPr>
                <w:rFonts w:eastAsia="等线"/>
                <w:sz w:val="22"/>
              </w:rPr>
            </w:pPr>
            <w:r w:rsidRPr="005B72DB">
              <w:rPr>
                <w:rFonts w:eastAsia="等线"/>
                <w:sz w:val="22"/>
              </w:rPr>
              <w:t>Goods supply</w:t>
            </w:r>
          </w:p>
        </w:tc>
        <w:tc>
          <w:tcPr>
            <w:tcW w:w="3355" w:type="dxa"/>
            <w:vAlign w:val="center"/>
          </w:tcPr>
          <w:p w14:paraId="2E644544" w14:textId="77777777" w:rsidR="002373D2" w:rsidRPr="005B72DB" w:rsidRDefault="002373D2" w:rsidP="00A73599">
            <w:pPr>
              <w:spacing w:line="240" w:lineRule="auto"/>
              <w:jc w:val="center"/>
              <w:rPr>
                <w:rFonts w:eastAsia="等线"/>
                <w:sz w:val="22"/>
              </w:rPr>
            </w:pPr>
            <w:r w:rsidRPr="005B72DB">
              <w:rPr>
                <w:rFonts w:eastAsia="等线"/>
                <w:sz w:val="22"/>
              </w:rPr>
              <w:t>€0</w:t>
            </w:r>
          </w:p>
        </w:tc>
      </w:tr>
      <w:tr w:rsidR="002373D2" w:rsidRPr="005B72DB" w14:paraId="66AAF93C" w14:textId="77777777" w:rsidTr="0051420F">
        <w:trPr>
          <w:jc w:val="center"/>
        </w:trPr>
        <w:tc>
          <w:tcPr>
            <w:tcW w:w="2547" w:type="dxa"/>
            <w:vAlign w:val="center"/>
          </w:tcPr>
          <w:p w14:paraId="4CC713BF" w14:textId="77777777" w:rsidR="002373D2" w:rsidRPr="005B72DB" w:rsidRDefault="002373D2" w:rsidP="00A73599">
            <w:pPr>
              <w:spacing w:line="240" w:lineRule="auto"/>
              <w:jc w:val="center"/>
              <w:rPr>
                <w:rFonts w:eastAsia="等线"/>
                <w:sz w:val="22"/>
              </w:rPr>
            </w:pPr>
            <w:r w:rsidRPr="005B72DB">
              <w:rPr>
                <w:rFonts w:eastAsia="等线"/>
                <w:sz w:val="22"/>
              </w:rPr>
              <w:t>LHC</w:t>
            </w:r>
          </w:p>
        </w:tc>
        <w:tc>
          <w:tcPr>
            <w:tcW w:w="2977" w:type="dxa"/>
            <w:vAlign w:val="center"/>
          </w:tcPr>
          <w:p w14:paraId="0C4D58D0" w14:textId="77777777" w:rsidR="002373D2" w:rsidRPr="005B72DB" w:rsidRDefault="002373D2" w:rsidP="00A73599">
            <w:pPr>
              <w:spacing w:line="240" w:lineRule="auto"/>
              <w:jc w:val="center"/>
              <w:rPr>
                <w:rFonts w:eastAsia="等线"/>
                <w:sz w:val="22"/>
              </w:rPr>
            </w:pPr>
            <w:r w:rsidRPr="005B72DB">
              <w:rPr>
                <w:rFonts w:eastAsia="等线"/>
                <w:sz w:val="22"/>
              </w:rPr>
              <w:t>Long-haul transportation</w:t>
            </w:r>
          </w:p>
        </w:tc>
        <w:tc>
          <w:tcPr>
            <w:tcW w:w="3355" w:type="dxa"/>
            <w:vAlign w:val="center"/>
          </w:tcPr>
          <w:p w14:paraId="0E54CF8C" w14:textId="77777777" w:rsidR="002373D2" w:rsidRPr="005B72DB" w:rsidRDefault="002373D2" w:rsidP="00A73599">
            <w:pPr>
              <w:spacing w:line="240" w:lineRule="auto"/>
              <w:jc w:val="center"/>
              <w:rPr>
                <w:rFonts w:eastAsia="等线"/>
                <w:sz w:val="22"/>
              </w:rPr>
            </w:pPr>
            <w:r w:rsidRPr="005B72DB">
              <w:rPr>
                <w:rFonts w:eastAsia="等线"/>
                <w:sz w:val="22"/>
              </w:rPr>
              <w:t>€1.51</w:t>
            </w:r>
          </w:p>
        </w:tc>
      </w:tr>
      <w:tr w:rsidR="002373D2" w:rsidRPr="005B72DB" w14:paraId="5AAC3E9E" w14:textId="77777777" w:rsidTr="0051420F">
        <w:trPr>
          <w:trHeight w:val="231"/>
          <w:jc w:val="center"/>
        </w:trPr>
        <w:tc>
          <w:tcPr>
            <w:tcW w:w="2547" w:type="dxa"/>
          </w:tcPr>
          <w:p w14:paraId="482868A9" w14:textId="77777777" w:rsidR="002373D2" w:rsidRPr="005B72DB" w:rsidRDefault="002373D2" w:rsidP="00A73599">
            <w:pPr>
              <w:spacing w:line="240" w:lineRule="auto"/>
              <w:jc w:val="center"/>
              <w:rPr>
                <w:rFonts w:eastAsia="等线"/>
                <w:sz w:val="22"/>
              </w:rPr>
            </w:pPr>
            <w:r w:rsidRPr="005B72DB">
              <w:rPr>
                <w:rFonts w:eastAsia="等线"/>
                <w:sz w:val="22"/>
              </w:rPr>
              <w:t>UCC</w:t>
            </w:r>
          </w:p>
        </w:tc>
        <w:tc>
          <w:tcPr>
            <w:tcW w:w="2977" w:type="dxa"/>
            <w:vAlign w:val="center"/>
          </w:tcPr>
          <w:p w14:paraId="5143EA85" w14:textId="77777777" w:rsidR="002373D2" w:rsidRPr="005B72DB" w:rsidRDefault="002373D2" w:rsidP="00A73599">
            <w:pPr>
              <w:spacing w:line="240" w:lineRule="auto"/>
              <w:jc w:val="center"/>
              <w:rPr>
                <w:rFonts w:eastAsia="等线"/>
                <w:sz w:val="22"/>
              </w:rPr>
            </w:pPr>
            <w:r w:rsidRPr="005B72DB">
              <w:rPr>
                <w:rFonts w:eastAsia="等线"/>
                <w:sz w:val="22"/>
              </w:rPr>
              <w:t>Urban delivery from UCC</w:t>
            </w:r>
          </w:p>
        </w:tc>
        <w:tc>
          <w:tcPr>
            <w:tcW w:w="3355" w:type="dxa"/>
            <w:vAlign w:val="center"/>
          </w:tcPr>
          <w:p w14:paraId="3588C2F7" w14:textId="77777777" w:rsidR="002373D2" w:rsidRPr="005B72DB" w:rsidRDefault="002373D2" w:rsidP="00A73599">
            <w:pPr>
              <w:spacing w:line="240" w:lineRule="auto"/>
              <w:jc w:val="center"/>
              <w:rPr>
                <w:rFonts w:eastAsia="等线"/>
                <w:sz w:val="22"/>
              </w:rPr>
            </w:pPr>
            <w:r w:rsidRPr="005B72DB">
              <w:rPr>
                <w:rFonts w:eastAsia="等线"/>
                <w:sz w:val="22"/>
              </w:rPr>
              <w:t>€3.07</w:t>
            </w:r>
          </w:p>
        </w:tc>
      </w:tr>
      <w:tr w:rsidR="002373D2" w:rsidRPr="005B72DB" w14:paraId="4A4B6505" w14:textId="77777777" w:rsidTr="0051420F">
        <w:trPr>
          <w:jc w:val="center"/>
        </w:trPr>
        <w:tc>
          <w:tcPr>
            <w:tcW w:w="2547" w:type="dxa"/>
          </w:tcPr>
          <w:p w14:paraId="1CEB18C7" w14:textId="77777777" w:rsidR="002373D2" w:rsidRPr="005B72DB" w:rsidRDefault="002373D2" w:rsidP="00A73599">
            <w:pPr>
              <w:spacing w:line="240" w:lineRule="auto"/>
              <w:jc w:val="center"/>
              <w:rPr>
                <w:rFonts w:eastAsia="等线"/>
                <w:sz w:val="22"/>
              </w:rPr>
            </w:pPr>
            <w:r w:rsidRPr="005B72DB">
              <w:rPr>
                <w:rFonts w:eastAsia="等线"/>
                <w:sz w:val="22"/>
              </w:rPr>
              <w:t>Consumer</w:t>
            </w:r>
          </w:p>
        </w:tc>
        <w:tc>
          <w:tcPr>
            <w:tcW w:w="2977" w:type="dxa"/>
            <w:vAlign w:val="center"/>
          </w:tcPr>
          <w:p w14:paraId="02225AEB" w14:textId="77777777" w:rsidR="002373D2" w:rsidRPr="005B72DB" w:rsidRDefault="002373D2" w:rsidP="00A73599">
            <w:pPr>
              <w:spacing w:line="240" w:lineRule="auto"/>
              <w:jc w:val="center"/>
              <w:rPr>
                <w:rFonts w:eastAsia="等线"/>
                <w:sz w:val="22"/>
              </w:rPr>
            </w:pPr>
            <w:r w:rsidRPr="005B72DB">
              <w:rPr>
                <w:rFonts w:eastAsia="等线"/>
                <w:sz w:val="22"/>
              </w:rPr>
              <w:t>Goods receipt</w:t>
            </w:r>
          </w:p>
        </w:tc>
        <w:tc>
          <w:tcPr>
            <w:tcW w:w="3355" w:type="dxa"/>
            <w:vAlign w:val="center"/>
          </w:tcPr>
          <w:p w14:paraId="7B06ADED" w14:textId="77777777" w:rsidR="002373D2" w:rsidRPr="005B72DB" w:rsidRDefault="002373D2" w:rsidP="00A73599">
            <w:pPr>
              <w:spacing w:line="240" w:lineRule="auto"/>
              <w:jc w:val="center"/>
              <w:rPr>
                <w:rFonts w:eastAsia="等线"/>
                <w:sz w:val="22"/>
              </w:rPr>
            </w:pPr>
            <w:r w:rsidRPr="005B72DB">
              <w:rPr>
                <w:rFonts w:eastAsia="等线"/>
                <w:sz w:val="22"/>
              </w:rPr>
              <w:t>€0</w:t>
            </w:r>
          </w:p>
        </w:tc>
      </w:tr>
    </w:tbl>
    <w:p w14:paraId="496F4E67" w14:textId="1F2611C8" w:rsidR="002373D2" w:rsidRPr="005B72DB" w:rsidRDefault="007B5959" w:rsidP="007548C6">
      <w:pPr>
        <w:pStyle w:val="Caption"/>
      </w:pPr>
      <w:bookmarkStart w:id="1036" w:name="_Ref23668947"/>
      <w:bookmarkStart w:id="1037" w:name="_Toc46053595"/>
      <w:bookmarkStart w:id="1038" w:name="_Toc46093844"/>
      <w:bookmarkStart w:id="1039" w:name="_Toc66698811"/>
      <w:r>
        <w:t>Table</w:t>
      </w:r>
      <w:r w:rsidR="002373D2" w:rsidRPr="002373D2">
        <w:t xml:space="preserve"> </w:t>
      </w:r>
      <w:r w:rsidR="000306D9">
        <w:fldChar w:fldCharType="begin"/>
      </w:r>
      <w:r w:rsidR="000306D9">
        <w:instrText xml:space="preserve"> STYLEREF 1 \s </w:instrText>
      </w:r>
      <w:r w:rsidR="000306D9">
        <w:fldChar w:fldCharType="separate"/>
      </w:r>
      <w:r w:rsidR="0005064B">
        <w:rPr>
          <w:noProof/>
        </w:rPr>
        <w:t>7</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4</w:t>
      </w:r>
      <w:r w:rsidR="000306D9">
        <w:rPr>
          <w:noProof/>
        </w:rPr>
        <w:fldChar w:fldCharType="end"/>
      </w:r>
      <w:bookmarkEnd w:id="1036"/>
      <w:r w:rsidR="00BE5BC0">
        <w:t>:</w:t>
      </w:r>
      <w:r w:rsidR="002373D2" w:rsidRPr="002373D2">
        <w:t xml:space="preserve"> GMP costs to be shared by Stakeholders (€/parcel)</w:t>
      </w:r>
      <w:bookmarkEnd w:id="1037"/>
      <w:bookmarkEnd w:id="1038"/>
      <w:bookmarkEnd w:id="1039"/>
    </w:p>
    <w:p w14:paraId="77AF5A5F" w14:textId="6E5C0496" w:rsidR="002373D2" w:rsidRPr="002373D2" w:rsidRDefault="002373D2" w:rsidP="007548C6">
      <w:pPr>
        <w:spacing w:after="240" w:line="360" w:lineRule="auto"/>
      </w:pPr>
      <w:r w:rsidRPr="005B72DB">
        <w:t>According to the principles formulated in the above sections, the results provided by cost-sharing schemes based on the LRS, UES and DES can be illustrated in</w:t>
      </w:r>
      <w:r>
        <w:t xml:space="preserve"> </w:t>
      </w:r>
      <w:r>
        <w:fldChar w:fldCharType="begin"/>
      </w:r>
      <w:r>
        <w:instrText xml:space="preserve"> REF _Ref44974112 \h </w:instrText>
      </w:r>
      <w:r>
        <w:fldChar w:fldCharType="separate"/>
      </w:r>
      <w:r w:rsidR="0005064B">
        <w:t>Table</w:t>
      </w:r>
      <w:r w:rsidR="0005064B" w:rsidRPr="005B72DB">
        <w:t xml:space="preserve"> </w:t>
      </w:r>
      <w:r w:rsidR="0005064B">
        <w:rPr>
          <w:noProof/>
        </w:rPr>
        <w:t>7</w:t>
      </w:r>
      <w:r w:rsidR="0005064B">
        <w:noBreakHyphen/>
      </w:r>
      <w:r w:rsidR="0005064B">
        <w:rPr>
          <w:noProof/>
        </w:rPr>
        <w:t>5</w:t>
      </w:r>
      <w:r>
        <w:fldChar w:fldCharType="end"/>
      </w:r>
      <w:r>
        <w:t>.</w:t>
      </w:r>
      <w:bookmarkStart w:id="1040" w:name="_Ref536802903"/>
      <w:bookmarkStart w:id="1041" w:name="_Ref20149813"/>
      <w:bookmarkStart w:id="1042" w:name="_Ref20149809"/>
    </w:p>
    <w:tbl>
      <w:tblPr>
        <w:tblStyle w:val="TableGrid1"/>
        <w:tblW w:w="5000" w:type="pct"/>
        <w:tblLook w:val="04A0" w:firstRow="1" w:lastRow="0" w:firstColumn="1" w:lastColumn="0" w:noHBand="0" w:noVBand="1"/>
      </w:tblPr>
      <w:tblGrid>
        <w:gridCol w:w="2060"/>
        <w:gridCol w:w="1160"/>
        <w:gridCol w:w="1160"/>
        <w:gridCol w:w="1159"/>
        <w:gridCol w:w="1159"/>
        <w:gridCol w:w="1159"/>
        <w:gridCol w:w="1159"/>
      </w:tblGrid>
      <w:tr w:rsidR="002373D2" w:rsidRPr="005B72DB" w14:paraId="09314311" w14:textId="77777777" w:rsidTr="0051420F">
        <w:trPr>
          <w:trHeight w:val="418"/>
        </w:trPr>
        <w:tc>
          <w:tcPr>
            <w:tcW w:w="1142" w:type="pct"/>
            <w:vAlign w:val="center"/>
            <w:hideMark/>
          </w:tcPr>
          <w:p w14:paraId="1D2AEB58" w14:textId="77777777" w:rsidR="002373D2" w:rsidRPr="005B72DB" w:rsidRDefault="002373D2" w:rsidP="00A73599">
            <w:pPr>
              <w:spacing w:line="240" w:lineRule="auto"/>
              <w:jc w:val="center"/>
              <w:rPr>
                <w:rFonts w:eastAsia="Times New Roman"/>
                <w:b/>
                <w:bCs/>
                <w:color w:val="000000"/>
                <w:sz w:val="22"/>
              </w:rPr>
            </w:pPr>
            <w:r w:rsidRPr="005B72DB">
              <w:rPr>
                <w:rFonts w:eastAsia="Times New Roman"/>
                <w:b/>
                <w:bCs/>
                <w:color w:val="000000"/>
                <w:sz w:val="22"/>
              </w:rPr>
              <w:t>Types of Stakeholders</w:t>
            </w:r>
          </w:p>
        </w:tc>
        <w:tc>
          <w:tcPr>
            <w:tcW w:w="643" w:type="pct"/>
            <w:noWrap/>
            <w:vAlign w:val="center"/>
            <w:hideMark/>
          </w:tcPr>
          <w:p w14:paraId="12935A20" w14:textId="77777777" w:rsidR="002373D2" w:rsidRPr="005B72DB" w:rsidRDefault="002373D2" w:rsidP="00A73599">
            <w:pPr>
              <w:spacing w:line="240" w:lineRule="auto"/>
              <w:jc w:val="center"/>
              <w:rPr>
                <w:rFonts w:eastAsia="Times New Roman"/>
                <w:b/>
                <w:bCs/>
                <w:color w:val="000000"/>
                <w:sz w:val="22"/>
              </w:rPr>
            </w:pPr>
            <w:r w:rsidRPr="005B72DB">
              <w:rPr>
                <w:rFonts w:eastAsia="Times New Roman"/>
                <w:b/>
                <w:bCs/>
                <w:color w:val="000000"/>
                <w:sz w:val="22"/>
              </w:rPr>
              <w:t>LRS</w:t>
            </w:r>
          </w:p>
          <w:p w14:paraId="39F53838" w14:textId="77777777" w:rsidR="002373D2" w:rsidRPr="005B72DB" w:rsidRDefault="002373D2" w:rsidP="00A73599">
            <w:pPr>
              <w:spacing w:line="240" w:lineRule="auto"/>
              <w:jc w:val="center"/>
              <w:rPr>
                <w:b/>
                <w:bCs/>
                <w:color w:val="000000"/>
                <w:sz w:val="22"/>
              </w:rPr>
            </w:pPr>
            <w:r w:rsidRPr="005B72DB">
              <w:rPr>
                <w:b/>
                <w:bCs/>
                <w:color w:val="000000"/>
                <w:sz w:val="22"/>
              </w:rPr>
              <w:t>(</w:t>
            </w:r>
            <w:r w:rsidRPr="005B72DB">
              <w:rPr>
                <w:rFonts w:cs="Calibri"/>
                <w:b/>
                <w:bCs/>
                <w:color w:val="000000"/>
                <w:sz w:val="22"/>
              </w:rPr>
              <w:t>€</w:t>
            </w:r>
            <w:r w:rsidRPr="005B72DB">
              <w:rPr>
                <w:b/>
                <w:bCs/>
                <w:color w:val="000000"/>
                <w:sz w:val="22"/>
              </w:rPr>
              <w:t>)</w:t>
            </w:r>
          </w:p>
        </w:tc>
        <w:tc>
          <w:tcPr>
            <w:tcW w:w="643" w:type="pct"/>
            <w:noWrap/>
            <w:vAlign w:val="center"/>
            <w:hideMark/>
          </w:tcPr>
          <w:p w14:paraId="0F7A97D6" w14:textId="77777777" w:rsidR="002373D2" w:rsidRPr="005B72DB" w:rsidRDefault="002373D2" w:rsidP="00A73599">
            <w:pPr>
              <w:spacing w:line="240" w:lineRule="auto"/>
              <w:jc w:val="center"/>
              <w:rPr>
                <w:rFonts w:eastAsia="Times New Roman"/>
                <w:b/>
                <w:bCs/>
                <w:color w:val="000000"/>
                <w:sz w:val="22"/>
              </w:rPr>
            </w:pPr>
            <w:r w:rsidRPr="005B72DB">
              <w:rPr>
                <w:rFonts w:eastAsia="Times New Roman"/>
                <w:b/>
                <w:bCs/>
                <w:color w:val="000000"/>
                <w:sz w:val="22"/>
              </w:rPr>
              <w:t>LRS</w:t>
            </w:r>
          </w:p>
          <w:p w14:paraId="6D1F97E6" w14:textId="77777777" w:rsidR="002373D2" w:rsidRPr="005B72DB" w:rsidRDefault="002373D2" w:rsidP="00A73599">
            <w:pPr>
              <w:spacing w:line="240" w:lineRule="auto"/>
              <w:jc w:val="center"/>
              <w:rPr>
                <w:rFonts w:eastAsia="Times New Roman"/>
                <w:b/>
                <w:bCs/>
                <w:color w:val="000000"/>
                <w:sz w:val="22"/>
              </w:rPr>
            </w:pPr>
            <w:r w:rsidRPr="005B72DB">
              <w:rPr>
                <w:rFonts w:eastAsia="Times New Roman"/>
                <w:b/>
                <w:bCs/>
                <w:color w:val="000000"/>
                <w:sz w:val="22"/>
              </w:rPr>
              <w:t>(%)</w:t>
            </w:r>
          </w:p>
        </w:tc>
        <w:tc>
          <w:tcPr>
            <w:tcW w:w="643" w:type="pct"/>
            <w:noWrap/>
            <w:vAlign w:val="center"/>
            <w:hideMark/>
          </w:tcPr>
          <w:p w14:paraId="7013445E" w14:textId="77777777" w:rsidR="002373D2" w:rsidRPr="005B72DB" w:rsidRDefault="002373D2" w:rsidP="00A73599">
            <w:pPr>
              <w:spacing w:line="240" w:lineRule="auto"/>
              <w:jc w:val="center"/>
              <w:rPr>
                <w:rFonts w:eastAsia="Times New Roman"/>
                <w:b/>
                <w:bCs/>
                <w:color w:val="000000"/>
                <w:sz w:val="22"/>
              </w:rPr>
            </w:pPr>
            <w:r w:rsidRPr="005B72DB">
              <w:rPr>
                <w:rFonts w:eastAsia="Times New Roman"/>
                <w:b/>
                <w:bCs/>
                <w:color w:val="000000"/>
                <w:sz w:val="22"/>
              </w:rPr>
              <w:t>UES</w:t>
            </w:r>
          </w:p>
          <w:p w14:paraId="2E32C70E" w14:textId="77777777" w:rsidR="002373D2" w:rsidRPr="005B72DB" w:rsidRDefault="002373D2" w:rsidP="00A73599">
            <w:pPr>
              <w:spacing w:line="240" w:lineRule="auto"/>
              <w:jc w:val="center"/>
              <w:rPr>
                <w:rFonts w:eastAsia="Times New Roman"/>
                <w:b/>
                <w:bCs/>
                <w:color w:val="000000"/>
                <w:sz w:val="22"/>
              </w:rPr>
            </w:pPr>
            <w:r w:rsidRPr="005B72DB">
              <w:rPr>
                <w:b/>
                <w:bCs/>
                <w:color w:val="000000"/>
                <w:sz w:val="22"/>
              </w:rPr>
              <w:t>(</w:t>
            </w:r>
            <w:r w:rsidRPr="005B72DB">
              <w:rPr>
                <w:rFonts w:cs="Calibri"/>
                <w:b/>
                <w:bCs/>
                <w:color w:val="000000"/>
                <w:sz w:val="22"/>
              </w:rPr>
              <w:t>€</w:t>
            </w:r>
            <w:r w:rsidRPr="005B72DB">
              <w:rPr>
                <w:b/>
                <w:bCs/>
                <w:color w:val="000000"/>
                <w:sz w:val="22"/>
              </w:rPr>
              <w:t>)</w:t>
            </w:r>
          </w:p>
        </w:tc>
        <w:tc>
          <w:tcPr>
            <w:tcW w:w="643" w:type="pct"/>
            <w:noWrap/>
            <w:vAlign w:val="center"/>
            <w:hideMark/>
          </w:tcPr>
          <w:p w14:paraId="6D0B3621" w14:textId="77777777" w:rsidR="002373D2" w:rsidRPr="005B72DB" w:rsidRDefault="002373D2" w:rsidP="00A73599">
            <w:pPr>
              <w:spacing w:line="240" w:lineRule="auto"/>
              <w:jc w:val="center"/>
              <w:rPr>
                <w:rFonts w:eastAsia="Times New Roman"/>
                <w:b/>
                <w:bCs/>
                <w:color w:val="000000"/>
                <w:sz w:val="22"/>
              </w:rPr>
            </w:pPr>
            <w:r w:rsidRPr="005B72DB">
              <w:rPr>
                <w:rFonts w:eastAsia="Times New Roman"/>
                <w:b/>
                <w:bCs/>
                <w:color w:val="000000"/>
                <w:sz w:val="22"/>
              </w:rPr>
              <w:t>UES</w:t>
            </w:r>
          </w:p>
          <w:p w14:paraId="62288C38" w14:textId="77777777" w:rsidR="002373D2" w:rsidRPr="005B72DB" w:rsidRDefault="002373D2" w:rsidP="00A73599">
            <w:pPr>
              <w:spacing w:line="240" w:lineRule="auto"/>
              <w:jc w:val="center"/>
              <w:rPr>
                <w:rFonts w:eastAsia="Times New Roman"/>
                <w:b/>
                <w:bCs/>
                <w:color w:val="000000"/>
                <w:sz w:val="22"/>
              </w:rPr>
            </w:pPr>
            <w:r w:rsidRPr="005B72DB">
              <w:rPr>
                <w:rFonts w:eastAsia="Times New Roman"/>
                <w:b/>
                <w:bCs/>
                <w:color w:val="000000"/>
                <w:sz w:val="22"/>
              </w:rPr>
              <w:t>(%)</w:t>
            </w:r>
          </w:p>
        </w:tc>
        <w:tc>
          <w:tcPr>
            <w:tcW w:w="643" w:type="pct"/>
            <w:noWrap/>
            <w:vAlign w:val="center"/>
            <w:hideMark/>
          </w:tcPr>
          <w:p w14:paraId="4898207A" w14:textId="77777777" w:rsidR="002373D2" w:rsidRPr="005B72DB" w:rsidRDefault="002373D2" w:rsidP="00A73599">
            <w:pPr>
              <w:spacing w:line="240" w:lineRule="auto"/>
              <w:jc w:val="center"/>
              <w:rPr>
                <w:rFonts w:eastAsia="Times New Roman"/>
                <w:b/>
                <w:bCs/>
                <w:color w:val="000000"/>
                <w:sz w:val="22"/>
              </w:rPr>
            </w:pPr>
            <w:r w:rsidRPr="005B72DB">
              <w:rPr>
                <w:rFonts w:eastAsia="Times New Roman"/>
                <w:b/>
                <w:bCs/>
                <w:color w:val="000000"/>
                <w:sz w:val="22"/>
              </w:rPr>
              <w:t>DES</w:t>
            </w:r>
          </w:p>
          <w:p w14:paraId="0F22C3E3" w14:textId="77777777" w:rsidR="002373D2" w:rsidRPr="005B72DB" w:rsidRDefault="002373D2" w:rsidP="00A73599">
            <w:pPr>
              <w:spacing w:line="240" w:lineRule="auto"/>
              <w:jc w:val="center"/>
              <w:rPr>
                <w:rFonts w:eastAsia="Times New Roman"/>
                <w:b/>
                <w:bCs/>
                <w:color w:val="000000"/>
                <w:sz w:val="22"/>
              </w:rPr>
            </w:pPr>
            <w:r w:rsidRPr="005B72DB">
              <w:rPr>
                <w:b/>
                <w:bCs/>
                <w:color w:val="000000"/>
                <w:sz w:val="22"/>
              </w:rPr>
              <w:t>(</w:t>
            </w:r>
            <w:r w:rsidRPr="005B72DB">
              <w:rPr>
                <w:rFonts w:cs="Calibri"/>
                <w:b/>
                <w:bCs/>
                <w:color w:val="000000"/>
                <w:sz w:val="22"/>
              </w:rPr>
              <w:t>€</w:t>
            </w:r>
            <w:r w:rsidRPr="005B72DB">
              <w:rPr>
                <w:b/>
                <w:bCs/>
                <w:color w:val="000000"/>
                <w:sz w:val="22"/>
              </w:rPr>
              <w:t>)</w:t>
            </w:r>
          </w:p>
        </w:tc>
        <w:tc>
          <w:tcPr>
            <w:tcW w:w="643" w:type="pct"/>
            <w:noWrap/>
            <w:vAlign w:val="center"/>
            <w:hideMark/>
          </w:tcPr>
          <w:p w14:paraId="43C18D98" w14:textId="77777777" w:rsidR="002373D2" w:rsidRPr="005B72DB" w:rsidRDefault="002373D2" w:rsidP="00A73599">
            <w:pPr>
              <w:spacing w:line="240" w:lineRule="auto"/>
              <w:jc w:val="center"/>
              <w:rPr>
                <w:rFonts w:eastAsia="Times New Roman"/>
                <w:b/>
                <w:bCs/>
                <w:color w:val="000000"/>
                <w:sz w:val="22"/>
              </w:rPr>
            </w:pPr>
            <w:r w:rsidRPr="005B72DB">
              <w:rPr>
                <w:rFonts w:eastAsia="Times New Roman"/>
                <w:b/>
                <w:bCs/>
                <w:color w:val="000000"/>
                <w:sz w:val="22"/>
              </w:rPr>
              <w:t>DES</w:t>
            </w:r>
          </w:p>
          <w:p w14:paraId="7361C78C" w14:textId="77777777" w:rsidR="002373D2" w:rsidRPr="005B72DB" w:rsidRDefault="002373D2" w:rsidP="00A73599">
            <w:pPr>
              <w:spacing w:line="240" w:lineRule="auto"/>
              <w:jc w:val="center"/>
              <w:rPr>
                <w:rFonts w:eastAsia="Times New Roman"/>
                <w:b/>
                <w:bCs/>
                <w:color w:val="000000"/>
                <w:sz w:val="22"/>
              </w:rPr>
            </w:pPr>
            <w:r w:rsidRPr="005B72DB">
              <w:rPr>
                <w:rFonts w:eastAsia="Times New Roman"/>
                <w:b/>
                <w:bCs/>
                <w:color w:val="000000"/>
                <w:sz w:val="22"/>
              </w:rPr>
              <w:t>(%)</w:t>
            </w:r>
          </w:p>
        </w:tc>
      </w:tr>
      <w:tr w:rsidR="002373D2" w:rsidRPr="005B72DB" w14:paraId="1146D93E" w14:textId="77777777" w:rsidTr="0051420F">
        <w:trPr>
          <w:trHeight w:val="308"/>
        </w:trPr>
        <w:tc>
          <w:tcPr>
            <w:tcW w:w="1142" w:type="pct"/>
            <w:hideMark/>
          </w:tcPr>
          <w:p w14:paraId="41E6AABC"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Supplier</w:t>
            </w:r>
          </w:p>
        </w:tc>
        <w:tc>
          <w:tcPr>
            <w:tcW w:w="643" w:type="pct"/>
            <w:noWrap/>
            <w:vAlign w:val="bottom"/>
          </w:tcPr>
          <w:p w14:paraId="4930B3AE"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0.00</w:t>
            </w:r>
          </w:p>
        </w:tc>
        <w:tc>
          <w:tcPr>
            <w:tcW w:w="643" w:type="pct"/>
            <w:noWrap/>
            <w:vAlign w:val="bottom"/>
          </w:tcPr>
          <w:p w14:paraId="6C69FBB1"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0.00%</w:t>
            </w:r>
          </w:p>
        </w:tc>
        <w:tc>
          <w:tcPr>
            <w:tcW w:w="643" w:type="pct"/>
            <w:noWrap/>
            <w:vAlign w:val="bottom"/>
          </w:tcPr>
          <w:p w14:paraId="38E99B34"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1.78</w:t>
            </w:r>
          </w:p>
        </w:tc>
        <w:tc>
          <w:tcPr>
            <w:tcW w:w="643" w:type="pct"/>
            <w:noWrap/>
            <w:vAlign w:val="bottom"/>
          </w:tcPr>
          <w:p w14:paraId="74F3F4ED"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38.82%</w:t>
            </w:r>
          </w:p>
        </w:tc>
        <w:tc>
          <w:tcPr>
            <w:tcW w:w="643" w:type="pct"/>
            <w:noWrap/>
            <w:vAlign w:val="bottom"/>
          </w:tcPr>
          <w:p w14:paraId="4E081C89"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0.00</w:t>
            </w:r>
          </w:p>
        </w:tc>
        <w:tc>
          <w:tcPr>
            <w:tcW w:w="643" w:type="pct"/>
            <w:noWrap/>
            <w:vAlign w:val="bottom"/>
          </w:tcPr>
          <w:p w14:paraId="283B981A"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0.00%</w:t>
            </w:r>
          </w:p>
        </w:tc>
      </w:tr>
      <w:tr w:rsidR="002373D2" w:rsidRPr="005B72DB" w14:paraId="58CFC3C6" w14:textId="77777777" w:rsidTr="0051420F">
        <w:trPr>
          <w:trHeight w:val="315"/>
        </w:trPr>
        <w:tc>
          <w:tcPr>
            <w:tcW w:w="1142" w:type="pct"/>
            <w:hideMark/>
          </w:tcPr>
          <w:p w14:paraId="6608D10D"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LHC</w:t>
            </w:r>
          </w:p>
        </w:tc>
        <w:tc>
          <w:tcPr>
            <w:tcW w:w="643" w:type="pct"/>
            <w:noWrap/>
            <w:vAlign w:val="bottom"/>
          </w:tcPr>
          <w:p w14:paraId="7B48BC08"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1.51</w:t>
            </w:r>
          </w:p>
        </w:tc>
        <w:tc>
          <w:tcPr>
            <w:tcW w:w="643" w:type="pct"/>
            <w:noWrap/>
            <w:vAlign w:val="bottom"/>
          </w:tcPr>
          <w:p w14:paraId="306276B8"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32.94%</w:t>
            </w:r>
          </w:p>
        </w:tc>
        <w:tc>
          <w:tcPr>
            <w:tcW w:w="643" w:type="pct"/>
            <w:noWrap/>
            <w:vAlign w:val="bottom"/>
          </w:tcPr>
          <w:p w14:paraId="4C713567"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1.78</w:t>
            </w:r>
          </w:p>
        </w:tc>
        <w:tc>
          <w:tcPr>
            <w:tcW w:w="643" w:type="pct"/>
            <w:noWrap/>
            <w:vAlign w:val="bottom"/>
          </w:tcPr>
          <w:p w14:paraId="2E1A91FA"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38.82%</w:t>
            </w:r>
          </w:p>
        </w:tc>
        <w:tc>
          <w:tcPr>
            <w:tcW w:w="643" w:type="pct"/>
            <w:noWrap/>
            <w:vAlign w:val="bottom"/>
          </w:tcPr>
          <w:p w14:paraId="4C5EEA54"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0.50</w:t>
            </w:r>
          </w:p>
        </w:tc>
        <w:tc>
          <w:tcPr>
            <w:tcW w:w="643" w:type="pct"/>
            <w:noWrap/>
            <w:vAlign w:val="bottom"/>
          </w:tcPr>
          <w:p w14:paraId="70506F6E"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10.98%</w:t>
            </w:r>
          </w:p>
        </w:tc>
      </w:tr>
      <w:tr w:rsidR="002373D2" w:rsidRPr="005B72DB" w14:paraId="0F08B992" w14:textId="77777777" w:rsidTr="0051420F">
        <w:trPr>
          <w:trHeight w:val="315"/>
        </w:trPr>
        <w:tc>
          <w:tcPr>
            <w:tcW w:w="1142" w:type="pct"/>
            <w:hideMark/>
          </w:tcPr>
          <w:p w14:paraId="359663AA"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UCC</w:t>
            </w:r>
          </w:p>
        </w:tc>
        <w:tc>
          <w:tcPr>
            <w:tcW w:w="643" w:type="pct"/>
            <w:noWrap/>
            <w:vAlign w:val="bottom"/>
          </w:tcPr>
          <w:p w14:paraId="657A3757"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3.07</w:t>
            </w:r>
          </w:p>
        </w:tc>
        <w:tc>
          <w:tcPr>
            <w:tcW w:w="643" w:type="pct"/>
            <w:noWrap/>
            <w:vAlign w:val="bottom"/>
          </w:tcPr>
          <w:p w14:paraId="1CA9E27E"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67.06%</w:t>
            </w:r>
          </w:p>
        </w:tc>
        <w:tc>
          <w:tcPr>
            <w:tcW w:w="643" w:type="pct"/>
            <w:noWrap/>
            <w:vAlign w:val="bottom"/>
          </w:tcPr>
          <w:p w14:paraId="3C62C61A"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1.02</w:t>
            </w:r>
          </w:p>
        </w:tc>
        <w:tc>
          <w:tcPr>
            <w:tcW w:w="643" w:type="pct"/>
            <w:noWrap/>
            <w:vAlign w:val="bottom"/>
          </w:tcPr>
          <w:p w14:paraId="3456B47A"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22.35%</w:t>
            </w:r>
          </w:p>
        </w:tc>
        <w:tc>
          <w:tcPr>
            <w:tcW w:w="643" w:type="pct"/>
            <w:noWrap/>
            <w:vAlign w:val="bottom"/>
          </w:tcPr>
          <w:p w14:paraId="7D568EC6"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2.04</w:t>
            </w:r>
          </w:p>
        </w:tc>
        <w:tc>
          <w:tcPr>
            <w:tcW w:w="643" w:type="pct"/>
            <w:noWrap/>
            <w:vAlign w:val="bottom"/>
          </w:tcPr>
          <w:p w14:paraId="7CB035B1"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44.51%</w:t>
            </w:r>
          </w:p>
        </w:tc>
      </w:tr>
      <w:tr w:rsidR="002373D2" w:rsidRPr="005B72DB" w14:paraId="45642B5B" w14:textId="77777777" w:rsidTr="0051420F">
        <w:trPr>
          <w:trHeight w:val="315"/>
        </w:trPr>
        <w:tc>
          <w:tcPr>
            <w:tcW w:w="1142" w:type="pct"/>
            <w:hideMark/>
          </w:tcPr>
          <w:p w14:paraId="5CC3C9AA"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Consumer</w:t>
            </w:r>
          </w:p>
        </w:tc>
        <w:tc>
          <w:tcPr>
            <w:tcW w:w="643" w:type="pct"/>
            <w:noWrap/>
            <w:vAlign w:val="bottom"/>
          </w:tcPr>
          <w:p w14:paraId="5E1C5E5D"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0.00</w:t>
            </w:r>
          </w:p>
        </w:tc>
        <w:tc>
          <w:tcPr>
            <w:tcW w:w="643" w:type="pct"/>
            <w:noWrap/>
            <w:vAlign w:val="bottom"/>
          </w:tcPr>
          <w:p w14:paraId="015D0D4D"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0.00%</w:t>
            </w:r>
          </w:p>
        </w:tc>
        <w:tc>
          <w:tcPr>
            <w:tcW w:w="643" w:type="pct"/>
            <w:noWrap/>
            <w:vAlign w:val="bottom"/>
          </w:tcPr>
          <w:p w14:paraId="69D3EB95"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0.00</w:t>
            </w:r>
          </w:p>
        </w:tc>
        <w:tc>
          <w:tcPr>
            <w:tcW w:w="643" w:type="pct"/>
            <w:noWrap/>
            <w:vAlign w:val="bottom"/>
          </w:tcPr>
          <w:p w14:paraId="02019E35"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0.00%</w:t>
            </w:r>
          </w:p>
        </w:tc>
        <w:tc>
          <w:tcPr>
            <w:tcW w:w="643" w:type="pct"/>
            <w:noWrap/>
            <w:vAlign w:val="bottom"/>
          </w:tcPr>
          <w:p w14:paraId="131F057D"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2.04</w:t>
            </w:r>
          </w:p>
        </w:tc>
        <w:tc>
          <w:tcPr>
            <w:tcW w:w="643" w:type="pct"/>
            <w:noWrap/>
            <w:vAlign w:val="bottom"/>
          </w:tcPr>
          <w:p w14:paraId="282242AA"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44.51%</w:t>
            </w:r>
          </w:p>
        </w:tc>
      </w:tr>
      <w:tr w:rsidR="002373D2" w:rsidRPr="005B72DB" w14:paraId="36F3701D" w14:textId="77777777" w:rsidTr="0051420F">
        <w:trPr>
          <w:trHeight w:val="315"/>
        </w:trPr>
        <w:tc>
          <w:tcPr>
            <w:tcW w:w="1142" w:type="pct"/>
            <w:hideMark/>
          </w:tcPr>
          <w:p w14:paraId="2EE0135B"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Total</w:t>
            </w:r>
          </w:p>
        </w:tc>
        <w:tc>
          <w:tcPr>
            <w:tcW w:w="643" w:type="pct"/>
            <w:noWrap/>
            <w:vAlign w:val="bottom"/>
          </w:tcPr>
          <w:p w14:paraId="655366F8"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4.58</w:t>
            </w:r>
          </w:p>
        </w:tc>
        <w:tc>
          <w:tcPr>
            <w:tcW w:w="643" w:type="pct"/>
            <w:noWrap/>
            <w:vAlign w:val="bottom"/>
          </w:tcPr>
          <w:p w14:paraId="4BA21AEC"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100%</w:t>
            </w:r>
          </w:p>
        </w:tc>
        <w:tc>
          <w:tcPr>
            <w:tcW w:w="643" w:type="pct"/>
            <w:noWrap/>
            <w:vAlign w:val="bottom"/>
          </w:tcPr>
          <w:p w14:paraId="24EFBFFB"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4.58</w:t>
            </w:r>
          </w:p>
        </w:tc>
        <w:tc>
          <w:tcPr>
            <w:tcW w:w="643" w:type="pct"/>
            <w:noWrap/>
            <w:vAlign w:val="bottom"/>
          </w:tcPr>
          <w:p w14:paraId="1CA4B769"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100%</w:t>
            </w:r>
          </w:p>
        </w:tc>
        <w:tc>
          <w:tcPr>
            <w:tcW w:w="643" w:type="pct"/>
            <w:noWrap/>
            <w:vAlign w:val="bottom"/>
          </w:tcPr>
          <w:p w14:paraId="761CE599"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4.58</w:t>
            </w:r>
          </w:p>
        </w:tc>
        <w:tc>
          <w:tcPr>
            <w:tcW w:w="643" w:type="pct"/>
            <w:noWrap/>
            <w:vAlign w:val="bottom"/>
          </w:tcPr>
          <w:p w14:paraId="4DA11019" w14:textId="77777777" w:rsidR="002373D2" w:rsidRPr="005B72DB" w:rsidRDefault="002373D2" w:rsidP="00A73599">
            <w:pPr>
              <w:spacing w:line="240" w:lineRule="auto"/>
              <w:jc w:val="center"/>
              <w:rPr>
                <w:rFonts w:eastAsia="Times New Roman"/>
                <w:color w:val="000000"/>
                <w:sz w:val="22"/>
              </w:rPr>
            </w:pPr>
            <w:r w:rsidRPr="005B72DB">
              <w:rPr>
                <w:rFonts w:eastAsia="Times New Roman"/>
                <w:color w:val="000000"/>
                <w:sz w:val="22"/>
              </w:rPr>
              <w:t>100%</w:t>
            </w:r>
          </w:p>
        </w:tc>
      </w:tr>
    </w:tbl>
    <w:p w14:paraId="3420EAFE" w14:textId="139AE36D" w:rsidR="002373D2" w:rsidRPr="005B72DB" w:rsidRDefault="007B5959" w:rsidP="002373D2">
      <w:pPr>
        <w:pStyle w:val="Caption"/>
      </w:pPr>
      <w:bookmarkStart w:id="1043" w:name="_Ref44974112"/>
      <w:bookmarkStart w:id="1044" w:name="_Toc46053596"/>
      <w:bookmarkStart w:id="1045" w:name="_Toc46093845"/>
      <w:bookmarkStart w:id="1046" w:name="_Toc66698812"/>
      <w:bookmarkEnd w:id="1040"/>
      <w:bookmarkEnd w:id="1041"/>
      <w:bookmarkEnd w:id="1042"/>
      <w:r>
        <w:t>Table</w:t>
      </w:r>
      <w:r w:rsidR="002373D2" w:rsidRPr="005B72DB">
        <w:t xml:space="preserve"> </w:t>
      </w:r>
      <w:r w:rsidR="000306D9">
        <w:fldChar w:fldCharType="begin"/>
      </w:r>
      <w:r w:rsidR="000306D9">
        <w:instrText xml:space="preserve"> STYLEREF 1 \s </w:instrText>
      </w:r>
      <w:r w:rsidR="000306D9">
        <w:fldChar w:fldCharType="separate"/>
      </w:r>
      <w:r w:rsidR="0005064B">
        <w:rPr>
          <w:noProof/>
        </w:rPr>
        <w:t>7</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5</w:t>
      </w:r>
      <w:r w:rsidR="000306D9">
        <w:rPr>
          <w:noProof/>
        </w:rPr>
        <w:fldChar w:fldCharType="end"/>
      </w:r>
      <w:bookmarkEnd w:id="1043"/>
      <w:r w:rsidR="00BE5BC0">
        <w:t>:</w:t>
      </w:r>
      <w:r w:rsidR="002373D2" w:rsidRPr="005B72DB">
        <w:t xml:space="preserve"> Cost Allocation According to LRS, UES, and DES rules (€/parcel)</w:t>
      </w:r>
      <w:bookmarkEnd w:id="1044"/>
      <w:bookmarkEnd w:id="1045"/>
      <w:bookmarkEnd w:id="1046"/>
    </w:p>
    <w:p w14:paraId="1C14AECC" w14:textId="5B8BCDDE" w:rsidR="002373D2" w:rsidRPr="005B72DB" w:rsidRDefault="002373D2" w:rsidP="007548C6">
      <w:pPr>
        <w:spacing w:after="240" w:line="360" w:lineRule="auto"/>
      </w:pPr>
      <w:r w:rsidRPr="005B72DB">
        <w:t xml:space="preserve">Under the LRS rule, each participant is only responsible for the immediate GMP they contribute to. In this case, UCCs will benefit from both UES and DES principles. The UES principle reduces UCC’s cost to €1.02/parcel, with the percentage of the UCC cost decreasing from 67.06% to 22.35%. The DES principle lowers the contribution of the UCC to €2.04 /parcel (44.51%). In addition, the DES rule also alleviates the extra costs faced by </w:t>
      </w:r>
      <w:r w:rsidR="00E54BA8" w:rsidRPr="005B72DB">
        <w:t>an</w:t>
      </w:r>
      <w:r w:rsidRPr="005B72DB">
        <w:t xml:space="preserve"> LHC to €0.50/parcel, with the </w:t>
      </w:r>
      <w:r w:rsidRPr="00C8401F">
        <w:t xml:space="preserve">percentage of the cost for LHC decreasing from 32.94% to 10.98%. </w:t>
      </w:r>
      <w:r w:rsidR="00A474D2">
        <w:fldChar w:fldCharType="begin"/>
      </w:r>
      <w:r w:rsidR="00A474D2">
        <w:instrText xml:space="preserve"> REF _Ref44974112 \h </w:instrText>
      </w:r>
      <w:r w:rsidR="00A474D2">
        <w:fldChar w:fldCharType="separate"/>
      </w:r>
      <w:r w:rsidR="0005064B">
        <w:t>Table</w:t>
      </w:r>
      <w:r w:rsidR="0005064B" w:rsidRPr="005B72DB">
        <w:t xml:space="preserve"> </w:t>
      </w:r>
      <w:r w:rsidR="0005064B">
        <w:rPr>
          <w:noProof/>
        </w:rPr>
        <w:t>7</w:t>
      </w:r>
      <w:r w:rsidR="0005064B">
        <w:noBreakHyphen/>
      </w:r>
      <w:r w:rsidR="0005064B">
        <w:rPr>
          <w:noProof/>
        </w:rPr>
        <w:t>5</w:t>
      </w:r>
      <w:r w:rsidR="00A474D2">
        <w:fldChar w:fldCharType="end"/>
      </w:r>
      <w:r w:rsidR="00A474D2">
        <w:t xml:space="preserve"> </w:t>
      </w:r>
      <w:r w:rsidRPr="00C8401F">
        <w:t xml:space="preserve">illustrates that the UES strategy provides the most convenient allocation for the UCC. The DES strategy can be convenient </w:t>
      </w:r>
      <w:r w:rsidRPr="005B72DB">
        <w:t>both for UCC and LHC.</w:t>
      </w:r>
    </w:p>
    <w:p w14:paraId="60827E81" w14:textId="77777777" w:rsidR="002373D2" w:rsidRPr="005B72DB" w:rsidRDefault="002373D2" w:rsidP="007548C6">
      <w:pPr>
        <w:spacing w:after="240" w:line="360" w:lineRule="auto"/>
      </w:pPr>
      <w:r w:rsidRPr="005B72DB">
        <w:t>UES and DES rules have a clear cost-sharing mechanism for members across the UCC delivery network. The UES rule significantly helps the UCC that transferring its costs to upstream stakeholders. Such rule responds to an Extended Producer Responsibility principle. Conversely, the DES rule successfully involves final customers into the cost-sharing system. It emphasizes that customers, as the generator of the city logistics activities, also need to contribute to the functioning of urban logistics activities, through an Extended Consumer Responsibility principle.</w:t>
      </w:r>
    </w:p>
    <w:p w14:paraId="61297562" w14:textId="47C04638" w:rsidR="002373D2" w:rsidRPr="00A474D2" w:rsidRDefault="002373D2" w:rsidP="007548C6">
      <w:pPr>
        <w:spacing w:after="240" w:line="360" w:lineRule="auto"/>
      </w:pPr>
      <w:proofErr w:type="gramStart"/>
      <w:r w:rsidRPr="005B72DB">
        <w:lastRenderedPageBreak/>
        <w:t>It is clear that, while</w:t>
      </w:r>
      <w:proofErr w:type="gramEnd"/>
      <w:r w:rsidRPr="005B72DB">
        <w:t xml:space="preserve"> UES and DES schemes can provide an advantage to the authority managing the UCC, other involved stakeholders (e.g., suppliers and consumers) might feel penalised from such allocations, which could produce extra costs for them. As such, it is worth to notice that compromise solutions can be adopted, by developing convex combinations of the different rules. For instance, a mixed allocation rule, based on a convex combination of LRS and DES approaches could be developed. This can be seen </w:t>
      </w:r>
      <w:proofErr w:type="gramStart"/>
      <w:r w:rsidRPr="005B72DB">
        <w:t>as a way to</w:t>
      </w:r>
      <w:proofErr w:type="gramEnd"/>
      <w:r w:rsidRPr="005B72DB">
        <w:t xml:space="preserve"> partially correct the LRS rule (which is the de-facto approach adopted in most of the cases). </w:t>
      </w:r>
      <w:r w:rsidR="00A474D2">
        <w:fldChar w:fldCharType="begin"/>
      </w:r>
      <w:r w:rsidR="00A474D2">
        <w:instrText xml:space="preserve"> REF _Ref44974212 \h </w:instrText>
      </w:r>
      <w:r w:rsidR="00A474D2">
        <w:fldChar w:fldCharType="separate"/>
      </w:r>
      <w:r w:rsidR="0005064B">
        <w:t>Table</w:t>
      </w:r>
      <w:r w:rsidR="0005064B" w:rsidRPr="00A474D2">
        <w:t xml:space="preserve"> </w:t>
      </w:r>
      <w:r w:rsidR="0005064B">
        <w:rPr>
          <w:noProof/>
        </w:rPr>
        <w:t>7</w:t>
      </w:r>
      <w:r w:rsidR="0005064B">
        <w:noBreakHyphen/>
      </w:r>
      <w:r w:rsidR="0005064B">
        <w:rPr>
          <w:noProof/>
        </w:rPr>
        <w:t>6</w:t>
      </w:r>
      <w:r w:rsidR="00A474D2">
        <w:fldChar w:fldCharType="end"/>
      </w:r>
      <w:r w:rsidR="00A474D2">
        <w:t xml:space="preserve"> </w:t>
      </w:r>
      <w:r w:rsidRPr="005B72DB">
        <w:t xml:space="preserve">illustrates the result provided by such hybrid rules. </w:t>
      </w:r>
    </w:p>
    <w:tbl>
      <w:tblPr>
        <w:tblStyle w:val="TableGrid1"/>
        <w:tblW w:w="5000" w:type="pct"/>
        <w:tblLook w:val="04A0" w:firstRow="1" w:lastRow="0" w:firstColumn="1" w:lastColumn="0" w:noHBand="0" w:noVBand="1"/>
      </w:tblPr>
      <w:tblGrid>
        <w:gridCol w:w="1546"/>
        <w:gridCol w:w="932"/>
        <w:gridCol w:w="936"/>
        <w:gridCol w:w="934"/>
        <w:gridCol w:w="934"/>
        <w:gridCol w:w="932"/>
        <w:gridCol w:w="934"/>
        <w:gridCol w:w="934"/>
        <w:gridCol w:w="934"/>
      </w:tblGrid>
      <w:tr w:rsidR="002373D2" w:rsidRPr="005B72DB" w14:paraId="302E78DF" w14:textId="77777777" w:rsidTr="00A474D2">
        <w:trPr>
          <w:trHeight w:val="478"/>
        </w:trPr>
        <w:tc>
          <w:tcPr>
            <w:tcW w:w="857" w:type="pct"/>
            <w:vMerge w:val="restart"/>
            <w:tcBorders>
              <w:bottom w:val="single" w:sz="4" w:space="0" w:color="auto"/>
            </w:tcBorders>
            <w:vAlign w:val="center"/>
          </w:tcPr>
          <w:p w14:paraId="0E890D71" w14:textId="77777777" w:rsidR="002373D2" w:rsidRPr="005B72DB" w:rsidRDefault="002373D2" w:rsidP="00D32DDE">
            <w:pPr>
              <w:spacing w:line="240" w:lineRule="auto"/>
              <w:jc w:val="center"/>
              <w:rPr>
                <w:rFonts w:eastAsia="Times New Roman"/>
                <w:b/>
                <w:bCs/>
                <w:color w:val="000000"/>
              </w:rPr>
            </w:pPr>
            <w:bookmarkStart w:id="1047" w:name="_Ref23669135"/>
            <w:r w:rsidRPr="005B72DB">
              <w:rPr>
                <w:rFonts w:eastAsia="Times New Roman"/>
                <w:b/>
                <w:bCs/>
                <w:color w:val="000000"/>
                <w:sz w:val="22"/>
              </w:rPr>
              <w:t>Types of Stakeholders</w:t>
            </w:r>
          </w:p>
        </w:tc>
        <w:tc>
          <w:tcPr>
            <w:tcW w:w="1036" w:type="pct"/>
            <w:gridSpan w:val="2"/>
            <w:tcBorders>
              <w:bottom w:val="single" w:sz="4" w:space="0" w:color="auto"/>
            </w:tcBorders>
            <w:noWrap/>
          </w:tcPr>
          <w:p w14:paraId="3AD55D8D" w14:textId="77777777" w:rsidR="002373D2" w:rsidRPr="005B72DB" w:rsidRDefault="002373D2" w:rsidP="00D32DDE">
            <w:pPr>
              <w:spacing w:line="240" w:lineRule="auto"/>
              <w:jc w:val="center"/>
              <w:rPr>
                <w:rFonts w:eastAsia="Times New Roman"/>
                <w:b/>
                <w:bCs/>
                <w:color w:val="000000"/>
              </w:rPr>
            </w:pPr>
            <w:r w:rsidRPr="005B72DB">
              <w:rPr>
                <w:rFonts w:eastAsia="Times New Roman"/>
                <w:b/>
                <w:bCs/>
                <w:color w:val="000000"/>
                <w:sz w:val="22"/>
              </w:rPr>
              <w:t>50%LRS+</w:t>
            </w:r>
          </w:p>
          <w:p w14:paraId="2672B83A" w14:textId="77777777" w:rsidR="002373D2" w:rsidRPr="005B72DB" w:rsidRDefault="002373D2" w:rsidP="00D32DDE">
            <w:pPr>
              <w:spacing w:line="240" w:lineRule="auto"/>
              <w:jc w:val="center"/>
              <w:rPr>
                <w:rFonts w:eastAsia="Times New Roman"/>
                <w:b/>
                <w:bCs/>
                <w:color w:val="000000"/>
              </w:rPr>
            </w:pPr>
            <w:r w:rsidRPr="005B72DB">
              <w:rPr>
                <w:rFonts w:eastAsia="Times New Roman"/>
                <w:b/>
                <w:bCs/>
                <w:color w:val="000000"/>
                <w:sz w:val="22"/>
              </w:rPr>
              <w:t>50%UES</w:t>
            </w:r>
          </w:p>
        </w:tc>
        <w:tc>
          <w:tcPr>
            <w:tcW w:w="1036" w:type="pct"/>
            <w:gridSpan w:val="2"/>
            <w:tcBorders>
              <w:bottom w:val="single" w:sz="4" w:space="0" w:color="auto"/>
            </w:tcBorders>
            <w:noWrap/>
          </w:tcPr>
          <w:p w14:paraId="1A123FEC" w14:textId="77777777" w:rsidR="002373D2" w:rsidRPr="005B72DB" w:rsidRDefault="002373D2" w:rsidP="00D32DDE">
            <w:pPr>
              <w:spacing w:line="240" w:lineRule="auto"/>
              <w:jc w:val="center"/>
              <w:rPr>
                <w:rFonts w:eastAsia="Times New Roman"/>
                <w:b/>
                <w:bCs/>
                <w:color w:val="000000"/>
              </w:rPr>
            </w:pPr>
            <w:r w:rsidRPr="005B72DB">
              <w:rPr>
                <w:rFonts w:eastAsia="Times New Roman"/>
                <w:b/>
                <w:bCs/>
                <w:color w:val="000000"/>
                <w:sz w:val="22"/>
              </w:rPr>
              <w:t>50%LRS+</w:t>
            </w:r>
          </w:p>
          <w:p w14:paraId="492AF2B6" w14:textId="77777777" w:rsidR="002373D2" w:rsidRPr="005B72DB" w:rsidRDefault="002373D2" w:rsidP="00D32DDE">
            <w:pPr>
              <w:spacing w:line="240" w:lineRule="auto"/>
              <w:jc w:val="center"/>
              <w:rPr>
                <w:rFonts w:eastAsia="Times New Roman"/>
                <w:b/>
                <w:bCs/>
                <w:color w:val="000000"/>
              </w:rPr>
            </w:pPr>
            <w:r w:rsidRPr="005B72DB">
              <w:rPr>
                <w:rFonts w:eastAsia="Times New Roman"/>
                <w:b/>
                <w:bCs/>
                <w:color w:val="000000"/>
                <w:sz w:val="22"/>
              </w:rPr>
              <w:t>50%DES</w:t>
            </w:r>
          </w:p>
        </w:tc>
        <w:tc>
          <w:tcPr>
            <w:tcW w:w="1035" w:type="pct"/>
            <w:gridSpan w:val="2"/>
            <w:tcBorders>
              <w:bottom w:val="single" w:sz="4" w:space="0" w:color="auto"/>
            </w:tcBorders>
            <w:noWrap/>
          </w:tcPr>
          <w:p w14:paraId="0FAE0FE1" w14:textId="77777777" w:rsidR="002373D2" w:rsidRPr="005B72DB" w:rsidRDefault="002373D2" w:rsidP="00D32DDE">
            <w:pPr>
              <w:spacing w:line="240" w:lineRule="auto"/>
              <w:jc w:val="center"/>
              <w:rPr>
                <w:rFonts w:eastAsia="Times New Roman"/>
                <w:b/>
                <w:bCs/>
                <w:color w:val="000000"/>
              </w:rPr>
            </w:pPr>
            <w:r w:rsidRPr="005B72DB">
              <w:rPr>
                <w:rFonts w:eastAsia="Times New Roman"/>
                <w:b/>
                <w:bCs/>
                <w:color w:val="000000"/>
                <w:sz w:val="22"/>
              </w:rPr>
              <w:t>80%LRS+</w:t>
            </w:r>
          </w:p>
          <w:p w14:paraId="23A3E376" w14:textId="77777777" w:rsidR="002373D2" w:rsidRPr="005B72DB" w:rsidRDefault="002373D2" w:rsidP="00D32DDE">
            <w:pPr>
              <w:spacing w:line="240" w:lineRule="auto"/>
              <w:jc w:val="center"/>
              <w:rPr>
                <w:rFonts w:eastAsia="Times New Roman"/>
                <w:b/>
                <w:bCs/>
                <w:color w:val="000000"/>
              </w:rPr>
            </w:pPr>
            <w:r w:rsidRPr="005B72DB">
              <w:rPr>
                <w:rFonts w:eastAsia="Times New Roman"/>
                <w:b/>
                <w:bCs/>
                <w:color w:val="000000"/>
                <w:sz w:val="22"/>
              </w:rPr>
              <w:t>20%UES</w:t>
            </w:r>
          </w:p>
        </w:tc>
        <w:tc>
          <w:tcPr>
            <w:tcW w:w="1036" w:type="pct"/>
            <w:gridSpan w:val="2"/>
            <w:tcBorders>
              <w:bottom w:val="single" w:sz="4" w:space="0" w:color="auto"/>
            </w:tcBorders>
            <w:noWrap/>
          </w:tcPr>
          <w:p w14:paraId="6159EC99" w14:textId="77777777" w:rsidR="002373D2" w:rsidRPr="005B72DB" w:rsidRDefault="002373D2" w:rsidP="00D32DDE">
            <w:pPr>
              <w:spacing w:line="240" w:lineRule="auto"/>
              <w:jc w:val="center"/>
              <w:rPr>
                <w:rFonts w:eastAsia="Times New Roman"/>
                <w:b/>
                <w:bCs/>
                <w:color w:val="000000"/>
              </w:rPr>
            </w:pPr>
            <w:r w:rsidRPr="005B72DB">
              <w:rPr>
                <w:rFonts w:eastAsia="Times New Roman"/>
                <w:b/>
                <w:bCs/>
                <w:color w:val="000000"/>
                <w:sz w:val="22"/>
              </w:rPr>
              <w:t>80%LRS+</w:t>
            </w:r>
          </w:p>
          <w:p w14:paraId="51D69567" w14:textId="77777777" w:rsidR="002373D2" w:rsidRPr="005B72DB" w:rsidRDefault="002373D2" w:rsidP="00D32DDE">
            <w:pPr>
              <w:spacing w:line="240" w:lineRule="auto"/>
              <w:jc w:val="center"/>
              <w:rPr>
                <w:rFonts w:eastAsia="Times New Roman"/>
                <w:b/>
                <w:bCs/>
                <w:color w:val="000000"/>
              </w:rPr>
            </w:pPr>
            <w:r w:rsidRPr="005B72DB">
              <w:rPr>
                <w:rFonts w:eastAsia="Times New Roman"/>
                <w:b/>
                <w:bCs/>
                <w:color w:val="000000"/>
                <w:sz w:val="22"/>
              </w:rPr>
              <w:t>20%DES</w:t>
            </w:r>
          </w:p>
        </w:tc>
      </w:tr>
      <w:tr w:rsidR="002373D2" w:rsidRPr="005B72DB" w14:paraId="69BBA164" w14:textId="77777777" w:rsidTr="00A474D2">
        <w:trPr>
          <w:trHeight w:val="260"/>
        </w:trPr>
        <w:tc>
          <w:tcPr>
            <w:tcW w:w="857" w:type="pct"/>
            <w:vMerge/>
            <w:hideMark/>
          </w:tcPr>
          <w:p w14:paraId="01DFBE6F" w14:textId="77777777" w:rsidR="002373D2" w:rsidRPr="005B72DB" w:rsidRDefault="002373D2" w:rsidP="00D32DDE">
            <w:pPr>
              <w:spacing w:line="240" w:lineRule="auto"/>
              <w:jc w:val="center"/>
              <w:rPr>
                <w:rFonts w:eastAsia="Times New Roman"/>
                <w:b/>
                <w:bCs/>
                <w:color w:val="000000"/>
                <w:sz w:val="22"/>
              </w:rPr>
            </w:pPr>
          </w:p>
        </w:tc>
        <w:tc>
          <w:tcPr>
            <w:tcW w:w="517" w:type="pct"/>
            <w:noWrap/>
            <w:hideMark/>
          </w:tcPr>
          <w:p w14:paraId="7F995D5F" w14:textId="77777777" w:rsidR="002373D2" w:rsidRPr="005B72DB" w:rsidRDefault="002373D2" w:rsidP="00D32DDE">
            <w:pPr>
              <w:spacing w:line="240" w:lineRule="auto"/>
              <w:jc w:val="center"/>
              <w:rPr>
                <w:rFonts w:eastAsia="Times New Roman"/>
                <w:b/>
                <w:bCs/>
                <w:color w:val="000000"/>
                <w:sz w:val="22"/>
              </w:rPr>
            </w:pPr>
            <w:r w:rsidRPr="005B72DB">
              <w:rPr>
                <w:b/>
                <w:bCs/>
                <w:color w:val="000000"/>
                <w:sz w:val="22"/>
              </w:rPr>
              <w:t>(</w:t>
            </w:r>
            <w:r w:rsidRPr="005B72DB">
              <w:rPr>
                <w:rFonts w:cs="Calibri"/>
                <w:b/>
                <w:bCs/>
                <w:color w:val="000000"/>
                <w:sz w:val="22"/>
              </w:rPr>
              <w:t>€</w:t>
            </w:r>
            <w:r w:rsidRPr="005B72DB">
              <w:rPr>
                <w:b/>
                <w:bCs/>
                <w:color w:val="000000"/>
                <w:sz w:val="22"/>
              </w:rPr>
              <w:t>)</w:t>
            </w:r>
          </w:p>
        </w:tc>
        <w:tc>
          <w:tcPr>
            <w:tcW w:w="519" w:type="pct"/>
            <w:noWrap/>
            <w:hideMark/>
          </w:tcPr>
          <w:p w14:paraId="399FF66F" w14:textId="77777777" w:rsidR="002373D2" w:rsidRPr="005B72DB" w:rsidRDefault="002373D2" w:rsidP="00D32DDE">
            <w:pPr>
              <w:spacing w:line="240" w:lineRule="auto"/>
              <w:jc w:val="center"/>
              <w:rPr>
                <w:rFonts w:eastAsia="Times New Roman"/>
                <w:b/>
                <w:bCs/>
                <w:color w:val="000000"/>
                <w:sz w:val="22"/>
              </w:rPr>
            </w:pPr>
            <w:r w:rsidRPr="005B72DB">
              <w:rPr>
                <w:rFonts w:eastAsia="Times New Roman"/>
                <w:b/>
                <w:bCs/>
                <w:color w:val="000000"/>
                <w:sz w:val="22"/>
              </w:rPr>
              <w:t>%</w:t>
            </w:r>
          </w:p>
        </w:tc>
        <w:tc>
          <w:tcPr>
            <w:tcW w:w="518" w:type="pct"/>
            <w:noWrap/>
            <w:hideMark/>
          </w:tcPr>
          <w:p w14:paraId="48BDC08A" w14:textId="77777777" w:rsidR="002373D2" w:rsidRPr="005B72DB" w:rsidRDefault="002373D2" w:rsidP="00D32DDE">
            <w:pPr>
              <w:spacing w:line="240" w:lineRule="auto"/>
              <w:jc w:val="center"/>
              <w:rPr>
                <w:rFonts w:eastAsia="Times New Roman"/>
                <w:b/>
                <w:bCs/>
                <w:color w:val="000000"/>
                <w:sz w:val="22"/>
              </w:rPr>
            </w:pPr>
            <w:r w:rsidRPr="005B72DB">
              <w:rPr>
                <w:b/>
                <w:bCs/>
                <w:color w:val="000000"/>
                <w:sz w:val="22"/>
              </w:rPr>
              <w:t>(</w:t>
            </w:r>
            <w:r w:rsidRPr="005B72DB">
              <w:rPr>
                <w:rFonts w:cs="Calibri"/>
                <w:b/>
                <w:bCs/>
                <w:color w:val="000000"/>
                <w:sz w:val="22"/>
              </w:rPr>
              <w:t>€</w:t>
            </w:r>
            <w:r w:rsidRPr="005B72DB">
              <w:rPr>
                <w:b/>
                <w:bCs/>
                <w:color w:val="000000"/>
                <w:sz w:val="22"/>
              </w:rPr>
              <w:t>)</w:t>
            </w:r>
          </w:p>
        </w:tc>
        <w:tc>
          <w:tcPr>
            <w:tcW w:w="518" w:type="pct"/>
            <w:noWrap/>
            <w:hideMark/>
          </w:tcPr>
          <w:p w14:paraId="32903B29" w14:textId="77777777" w:rsidR="002373D2" w:rsidRPr="005B72DB" w:rsidRDefault="002373D2" w:rsidP="00D32DDE">
            <w:pPr>
              <w:spacing w:line="240" w:lineRule="auto"/>
              <w:jc w:val="center"/>
              <w:rPr>
                <w:rFonts w:eastAsia="Times New Roman"/>
                <w:b/>
                <w:bCs/>
                <w:color w:val="000000"/>
                <w:sz w:val="22"/>
              </w:rPr>
            </w:pPr>
            <w:r w:rsidRPr="005B72DB">
              <w:rPr>
                <w:rFonts w:eastAsia="Times New Roman"/>
                <w:b/>
                <w:bCs/>
                <w:color w:val="000000"/>
                <w:sz w:val="22"/>
              </w:rPr>
              <w:t>%</w:t>
            </w:r>
          </w:p>
        </w:tc>
        <w:tc>
          <w:tcPr>
            <w:tcW w:w="517" w:type="pct"/>
            <w:noWrap/>
            <w:hideMark/>
          </w:tcPr>
          <w:p w14:paraId="623A633E" w14:textId="77777777" w:rsidR="002373D2" w:rsidRPr="005B72DB" w:rsidRDefault="002373D2" w:rsidP="00D32DDE">
            <w:pPr>
              <w:spacing w:line="240" w:lineRule="auto"/>
              <w:jc w:val="center"/>
              <w:rPr>
                <w:rFonts w:eastAsia="Times New Roman"/>
                <w:b/>
                <w:bCs/>
                <w:color w:val="000000"/>
                <w:sz w:val="22"/>
              </w:rPr>
            </w:pPr>
            <w:r w:rsidRPr="005B72DB">
              <w:rPr>
                <w:b/>
                <w:bCs/>
                <w:color w:val="000000"/>
                <w:sz w:val="22"/>
              </w:rPr>
              <w:t>(</w:t>
            </w:r>
            <w:r w:rsidRPr="005B72DB">
              <w:rPr>
                <w:rFonts w:cs="Calibri"/>
                <w:b/>
                <w:bCs/>
                <w:color w:val="000000"/>
                <w:sz w:val="22"/>
              </w:rPr>
              <w:t>€</w:t>
            </w:r>
            <w:r w:rsidRPr="005B72DB">
              <w:rPr>
                <w:b/>
                <w:bCs/>
                <w:color w:val="000000"/>
                <w:sz w:val="22"/>
              </w:rPr>
              <w:t>)</w:t>
            </w:r>
          </w:p>
        </w:tc>
        <w:tc>
          <w:tcPr>
            <w:tcW w:w="518" w:type="pct"/>
            <w:noWrap/>
            <w:hideMark/>
          </w:tcPr>
          <w:p w14:paraId="74FE2912" w14:textId="77777777" w:rsidR="002373D2" w:rsidRPr="005B72DB" w:rsidRDefault="002373D2" w:rsidP="00D32DDE">
            <w:pPr>
              <w:spacing w:line="240" w:lineRule="auto"/>
              <w:jc w:val="center"/>
              <w:rPr>
                <w:rFonts w:eastAsia="Times New Roman"/>
                <w:b/>
                <w:bCs/>
                <w:color w:val="000000"/>
                <w:sz w:val="22"/>
              </w:rPr>
            </w:pPr>
            <w:r w:rsidRPr="005B72DB">
              <w:rPr>
                <w:rFonts w:eastAsia="Times New Roman"/>
                <w:b/>
                <w:bCs/>
                <w:color w:val="000000"/>
                <w:sz w:val="22"/>
              </w:rPr>
              <w:t>%</w:t>
            </w:r>
          </w:p>
        </w:tc>
        <w:tc>
          <w:tcPr>
            <w:tcW w:w="518" w:type="pct"/>
            <w:noWrap/>
            <w:hideMark/>
          </w:tcPr>
          <w:p w14:paraId="557A98CA" w14:textId="77777777" w:rsidR="002373D2" w:rsidRPr="005B72DB" w:rsidRDefault="002373D2" w:rsidP="00D32DDE">
            <w:pPr>
              <w:spacing w:line="240" w:lineRule="auto"/>
              <w:jc w:val="center"/>
              <w:rPr>
                <w:rFonts w:eastAsia="Times New Roman"/>
                <w:b/>
                <w:bCs/>
                <w:color w:val="000000"/>
                <w:sz w:val="22"/>
              </w:rPr>
            </w:pPr>
            <w:r w:rsidRPr="005B72DB">
              <w:rPr>
                <w:b/>
                <w:bCs/>
                <w:color w:val="000000"/>
                <w:sz w:val="22"/>
              </w:rPr>
              <w:t>(</w:t>
            </w:r>
            <w:r w:rsidRPr="005B72DB">
              <w:rPr>
                <w:rFonts w:cs="Calibri"/>
                <w:b/>
                <w:bCs/>
                <w:color w:val="000000"/>
                <w:sz w:val="22"/>
              </w:rPr>
              <w:t>€</w:t>
            </w:r>
            <w:r w:rsidRPr="005B72DB">
              <w:rPr>
                <w:b/>
                <w:bCs/>
                <w:color w:val="000000"/>
                <w:sz w:val="22"/>
              </w:rPr>
              <w:t>)</w:t>
            </w:r>
          </w:p>
        </w:tc>
        <w:tc>
          <w:tcPr>
            <w:tcW w:w="518" w:type="pct"/>
            <w:noWrap/>
            <w:hideMark/>
          </w:tcPr>
          <w:p w14:paraId="5B4463F5" w14:textId="77777777" w:rsidR="002373D2" w:rsidRPr="005B72DB" w:rsidRDefault="002373D2" w:rsidP="00D32DDE">
            <w:pPr>
              <w:spacing w:line="240" w:lineRule="auto"/>
              <w:jc w:val="center"/>
              <w:rPr>
                <w:rFonts w:eastAsia="Times New Roman"/>
                <w:b/>
                <w:bCs/>
                <w:color w:val="000000"/>
                <w:sz w:val="22"/>
              </w:rPr>
            </w:pPr>
            <w:r w:rsidRPr="005B72DB">
              <w:rPr>
                <w:rFonts w:eastAsia="Times New Roman"/>
                <w:b/>
                <w:bCs/>
                <w:color w:val="000000"/>
                <w:sz w:val="22"/>
              </w:rPr>
              <w:t>%</w:t>
            </w:r>
          </w:p>
        </w:tc>
      </w:tr>
      <w:tr w:rsidR="002373D2" w:rsidRPr="005B72DB" w14:paraId="0425999A" w14:textId="77777777" w:rsidTr="00A474D2">
        <w:trPr>
          <w:trHeight w:val="308"/>
        </w:trPr>
        <w:tc>
          <w:tcPr>
            <w:tcW w:w="857" w:type="pct"/>
            <w:hideMark/>
          </w:tcPr>
          <w:p w14:paraId="5E2B6F0A" w14:textId="77777777" w:rsidR="002373D2" w:rsidRPr="005B72DB" w:rsidRDefault="002373D2" w:rsidP="00D32DDE">
            <w:pPr>
              <w:spacing w:line="240" w:lineRule="auto"/>
              <w:jc w:val="center"/>
              <w:rPr>
                <w:rFonts w:eastAsia="Times New Roman"/>
                <w:color w:val="000000"/>
                <w:sz w:val="22"/>
              </w:rPr>
            </w:pPr>
            <w:r w:rsidRPr="005B72DB">
              <w:rPr>
                <w:rFonts w:eastAsia="Times New Roman"/>
                <w:color w:val="000000"/>
                <w:sz w:val="22"/>
              </w:rPr>
              <w:t>Supplier</w:t>
            </w:r>
          </w:p>
        </w:tc>
        <w:tc>
          <w:tcPr>
            <w:tcW w:w="517" w:type="pct"/>
            <w:noWrap/>
            <w:vAlign w:val="bottom"/>
          </w:tcPr>
          <w:p w14:paraId="434FBA2F" w14:textId="77777777" w:rsidR="002373D2" w:rsidRPr="005B72DB" w:rsidRDefault="002373D2" w:rsidP="00D32DDE">
            <w:pPr>
              <w:spacing w:line="240" w:lineRule="auto"/>
              <w:jc w:val="center"/>
              <w:rPr>
                <w:color w:val="000000"/>
                <w:sz w:val="22"/>
              </w:rPr>
            </w:pPr>
            <w:r w:rsidRPr="005B72DB">
              <w:rPr>
                <w:color w:val="000000"/>
                <w:sz w:val="22"/>
              </w:rPr>
              <w:t>0.89</w:t>
            </w:r>
          </w:p>
        </w:tc>
        <w:tc>
          <w:tcPr>
            <w:tcW w:w="519" w:type="pct"/>
            <w:noWrap/>
            <w:vAlign w:val="center"/>
          </w:tcPr>
          <w:p w14:paraId="64A677F6" w14:textId="77777777" w:rsidR="002373D2" w:rsidRPr="005B72DB" w:rsidRDefault="002373D2" w:rsidP="00D32DDE">
            <w:pPr>
              <w:spacing w:line="240" w:lineRule="auto"/>
              <w:jc w:val="center"/>
              <w:rPr>
                <w:color w:val="000000"/>
                <w:sz w:val="22"/>
              </w:rPr>
            </w:pPr>
            <w:r w:rsidRPr="005B72DB">
              <w:rPr>
                <w:color w:val="000000"/>
                <w:sz w:val="22"/>
              </w:rPr>
              <w:t>19.41%</w:t>
            </w:r>
          </w:p>
        </w:tc>
        <w:tc>
          <w:tcPr>
            <w:tcW w:w="518" w:type="pct"/>
            <w:noWrap/>
            <w:vAlign w:val="bottom"/>
          </w:tcPr>
          <w:p w14:paraId="6154FEDE" w14:textId="77777777" w:rsidR="002373D2" w:rsidRPr="005B72DB" w:rsidRDefault="002373D2" w:rsidP="00D32DDE">
            <w:pPr>
              <w:spacing w:line="240" w:lineRule="auto"/>
              <w:jc w:val="center"/>
              <w:rPr>
                <w:color w:val="000000"/>
                <w:sz w:val="22"/>
              </w:rPr>
            </w:pPr>
            <w:r w:rsidRPr="005B72DB">
              <w:rPr>
                <w:color w:val="000000"/>
                <w:sz w:val="22"/>
              </w:rPr>
              <w:t>0.00</w:t>
            </w:r>
          </w:p>
        </w:tc>
        <w:tc>
          <w:tcPr>
            <w:tcW w:w="518" w:type="pct"/>
            <w:noWrap/>
            <w:vAlign w:val="center"/>
          </w:tcPr>
          <w:p w14:paraId="14C27713" w14:textId="77777777" w:rsidR="002373D2" w:rsidRPr="005B72DB" w:rsidRDefault="002373D2" w:rsidP="00D32DDE">
            <w:pPr>
              <w:spacing w:line="240" w:lineRule="auto"/>
              <w:jc w:val="center"/>
              <w:rPr>
                <w:color w:val="000000"/>
                <w:sz w:val="22"/>
              </w:rPr>
            </w:pPr>
            <w:r w:rsidRPr="005B72DB">
              <w:rPr>
                <w:color w:val="000000"/>
                <w:sz w:val="22"/>
              </w:rPr>
              <w:t>0.00%</w:t>
            </w:r>
          </w:p>
        </w:tc>
        <w:tc>
          <w:tcPr>
            <w:tcW w:w="517" w:type="pct"/>
            <w:noWrap/>
            <w:vAlign w:val="bottom"/>
          </w:tcPr>
          <w:p w14:paraId="035EC103" w14:textId="77777777" w:rsidR="002373D2" w:rsidRPr="005B72DB" w:rsidRDefault="002373D2" w:rsidP="00D32DDE">
            <w:pPr>
              <w:spacing w:line="240" w:lineRule="auto"/>
              <w:jc w:val="center"/>
              <w:rPr>
                <w:color w:val="000000"/>
                <w:sz w:val="22"/>
              </w:rPr>
            </w:pPr>
            <w:r w:rsidRPr="005B72DB">
              <w:rPr>
                <w:color w:val="000000"/>
                <w:sz w:val="22"/>
              </w:rPr>
              <w:t>0.36</w:t>
            </w:r>
          </w:p>
        </w:tc>
        <w:tc>
          <w:tcPr>
            <w:tcW w:w="518" w:type="pct"/>
            <w:noWrap/>
            <w:vAlign w:val="center"/>
          </w:tcPr>
          <w:p w14:paraId="651F50E7" w14:textId="77777777" w:rsidR="002373D2" w:rsidRPr="005B72DB" w:rsidRDefault="002373D2" w:rsidP="00D32DDE">
            <w:pPr>
              <w:spacing w:line="240" w:lineRule="auto"/>
              <w:jc w:val="center"/>
              <w:rPr>
                <w:color w:val="000000"/>
                <w:sz w:val="22"/>
              </w:rPr>
            </w:pPr>
            <w:r w:rsidRPr="005B72DB">
              <w:rPr>
                <w:color w:val="000000"/>
                <w:sz w:val="22"/>
              </w:rPr>
              <w:t>7.86%</w:t>
            </w:r>
          </w:p>
        </w:tc>
        <w:tc>
          <w:tcPr>
            <w:tcW w:w="518" w:type="pct"/>
            <w:noWrap/>
            <w:vAlign w:val="bottom"/>
          </w:tcPr>
          <w:p w14:paraId="7D6F8C53" w14:textId="77777777" w:rsidR="002373D2" w:rsidRPr="005B72DB" w:rsidRDefault="002373D2" w:rsidP="00D32DDE">
            <w:pPr>
              <w:spacing w:line="240" w:lineRule="auto"/>
              <w:jc w:val="center"/>
              <w:rPr>
                <w:color w:val="000000"/>
                <w:sz w:val="22"/>
              </w:rPr>
            </w:pPr>
            <w:r w:rsidRPr="005B72DB">
              <w:rPr>
                <w:color w:val="000000"/>
                <w:sz w:val="22"/>
              </w:rPr>
              <w:t>0.00</w:t>
            </w:r>
          </w:p>
        </w:tc>
        <w:tc>
          <w:tcPr>
            <w:tcW w:w="518" w:type="pct"/>
            <w:noWrap/>
            <w:vAlign w:val="center"/>
          </w:tcPr>
          <w:p w14:paraId="3B674743" w14:textId="77777777" w:rsidR="002373D2" w:rsidRPr="005B72DB" w:rsidRDefault="002373D2" w:rsidP="00D32DDE">
            <w:pPr>
              <w:spacing w:line="240" w:lineRule="auto"/>
              <w:jc w:val="center"/>
              <w:rPr>
                <w:color w:val="000000"/>
                <w:sz w:val="22"/>
              </w:rPr>
            </w:pPr>
            <w:r w:rsidRPr="005B72DB">
              <w:rPr>
                <w:color w:val="000000"/>
                <w:sz w:val="22"/>
              </w:rPr>
              <w:t>0.00%</w:t>
            </w:r>
          </w:p>
        </w:tc>
      </w:tr>
      <w:tr w:rsidR="002373D2" w:rsidRPr="005B72DB" w14:paraId="20ECACF0" w14:textId="77777777" w:rsidTr="00A474D2">
        <w:trPr>
          <w:trHeight w:val="308"/>
        </w:trPr>
        <w:tc>
          <w:tcPr>
            <w:tcW w:w="857" w:type="pct"/>
            <w:hideMark/>
          </w:tcPr>
          <w:p w14:paraId="31826EA1" w14:textId="77777777" w:rsidR="002373D2" w:rsidRPr="005B72DB" w:rsidRDefault="002373D2" w:rsidP="00D32DDE">
            <w:pPr>
              <w:spacing w:line="240" w:lineRule="auto"/>
              <w:jc w:val="center"/>
              <w:rPr>
                <w:rFonts w:eastAsia="Times New Roman"/>
                <w:color w:val="000000"/>
                <w:sz w:val="22"/>
              </w:rPr>
            </w:pPr>
            <w:r w:rsidRPr="005B72DB">
              <w:rPr>
                <w:rFonts w:eastAsia="Times New Roman"/>
                <w:color w:val="000000"/>
                <w:sz w:val="22"/>
              </w:rPr>
              <w:t>LHC</w:t>
            </w:r>
          </w:p>
        </w:tc>
        <w:tc>
          <w:tcPr>
            <w:tcW w:w="517" w:type="pct"/>
            <w:noWrap/>
            <w:vAlign w:val="bottom"/>
          </w:tcPr>
          <w:p w14:paraId="73DAED7A" w14:textId="77777777" w:rsidR="002373D2" w:rsidRPr="005B72DB" w:rsidRDefault="002373D2" w:rsidP="00D32DDE">
            <w:pPr>
              <w:spacing w:line="240" w:lineRule="auto"/>
              <w:jc w:val="center"/>
              <w:rPr>
                <w:color w:val="000000"/>
                <w:sz w:val="22"/>
              </w:rPr>
            </w:pPr>
            <w:r w:rsidRPr="005B72DB">
              <w:rPr>
                <w:color w:val="000000"/>
                <w:sz w:val="22"/>
              </w:rPr>
              <w:t>1.64</w:t>
            </w:r>
          </w:p>
        </w:tc>
        <w:tc>
          <w:tcPr>
            <w:tcW w:w="519" w:type="pct"/>
            <w:noWrap/>
            <w:vAlign w:val="center"/>
          </w:tcPr>
          <w:p w14:paraId="30D55D1A" w14:textId="77777777" w:rsidR="002373D2" w:rsidRPr="005B72DB" w:rsidRDefault="002373D2" w:rsidP="00D32DDE">
            <w:pPr>
              <w:spacing w:line="240" w:lineRule="auto"/>
              <w:jc w:val="center"/>
              <w:rPr>
                <w:color w:val="000000"/>
                <w:sz w:val="22"/>
              </w:rPr>
            </w:pPr>
            <w:r w:rsidRPr="005B72DB">
              <w:rPr>
                <w:color w:val="000000"/>
                <w:sz w:val="22"/>
              </w:rPr>
              <w:t>35.88%</w:t>
            </w:r>
          </w:p>
        </w:tc>
        <w:tc>
          <w:tcPr>
            <w:tcW w:w="518" w:type="pct"/>
            <w:noWrap/>
            <w:vAlign w:val="bottom"/>
          </w:tcPr>
          <w:p w14:paraId="04618AFC" w14:textId="77777777" w:rsidR="002373D2" w:rsidRPr="005B72DB" w:rsidRDefault="002373D2" w:rsidP="00D32DDE">
            <w:pPr>
              <w:spacing w:line="240" w:lineRule="auto"/>
              <w:jc w:val="center"/>
              <w:rPr>
                <w:color w:val="000000"/>
                <w:sz w:val="22"/>
              </w:rPr>
            </w:pPr>
            <w:r w:rsidRPr="005B72DB">
              <w:rPr>
                <w:color w:val="000000"/>
                <w:sz w:val="22"/>
              </w:rPr>
              <w:t>1.01</w:t>
            </w:r>
          </w:p>
        </w:tc>
        <w:tc>
          <w:tcPr>
            <w:tcW w:w="518" w:type="pct"/>
            <w:noWrap/>
            <w:vAlign w:val="center"/>
          </w:tcPr>
          <w:p w14:paraId="2D1DA58A" w14:textId="77777777" w:rsidR="002373D2" w:rsidRPr="005B72DB" w:rsidRDefault="002373D2" w:rsidP="00D32DDE">
            <w:pPr>
              <w:spacing w:line="240" w:lineRule="auto"/>
              <w:jc w:val="center"/>
              <w:rPr>
                <w:color w:val="000000"/>
                <w:sz w:val="22"/>
              </w:rPr>
            </w:pPr>
            <w:r w:rsidRPr="005B72DB">
              <w:rPr>
                <w:color w:val="000000"/>
                <w:sz w:val="22"/>
              </w:rPr>
              <w:t>21.96%</w:t>
            </w:r>
          </w:p>
        </w:tc>
        <w:tc>
          <w:tcPr>
            <w:tcW w:w="517" w:type="pct"/>
            <w:noWrap/>
            <w:vAlign w:val="bottom"/>
          </w:tcPr>
          <w:p w14:paraId="65645741" w14:textId="77777777" w:rsidR="002373D2" w:rsidRPr="005B72DB" w:rsidRDefault="002373D2" w:rsidP="00D32DDE">
            <w:pPr>
              <w:spacing w:line="240" w:lineRule="auto"/>
              <w:jc w:val="center"/>
              <w:rPr>
                <w:color w:val="000000"/>
                <w:sz w:val="22"/>
              </w:rPr>
            </w:pPr>
            <w:r w:rsidRPr="005B72DB">
              <w:rPr>
                <w:color w:val="000000"/>
                <w:sz w:val="22"/>
              </w:rPr>
              <w:t>1.56</w:t>
            </w:r>
          </w:p>
        </w:tc>
        <w:tc>
          <w:tcPr>
            <w:tcW w:w="518" w:type="pct"/>
            <w:noWrap/>
            <w:vAlign w:val="center"/>
          </w:tcPr>
          <w:p w14:paraId="55743453" w14:textId="77777777" w:rsidR="002373D2" w:rsidRPr="005B72DB" w:rsidRDefault="002373D2" w:rsidP="00D32DDE">
            <w:pPr>
              <w:spacing w:line="240" w:lineRule="auto"/>
              <w:jc w:val="center"/>
              <w:rPr>
                <w:color w:val="000000"/>
                <w:sz w:val="22"/>
              </w:rPr>
            </w:pPr>
            <w:r w:rsidRPr="005B72DB">
              <w:rPr>
                <w:color w:val="000000"/>
                <w:sz w:val="22"/>
              </w:rPr>
              <w:t>34.06%</w:t>
            </w:r>
          </w:p>
        </w:tc>
        <w:tc>
          <w:tcPr>
            <w:tcW w:w="518" w:type="pct"/>
            <w:noWrap/>
            <w:vAlign w:val="bottom"/>
          </w:tcPr>
          <w:p w14:paraId="66083A94" w14:textId="77777777" w:rsidR="002373D2" w:rsidRPr="005B72DB" w:rsidRDefault="002373D2" w:rsidP="00D32DDE">
            <w:pPr>
              <w:spacing w:line="240" w:lineRule="auto"/>
              <w:jc w:val="center"/>
              <w:rPr>
                <w:color w:val="000000"/>
                <w:sz w:val="22"/>
              </w:rPr>
            </w:pPr>
            <w:r w:rsidRPr="005B72DB">
              <w:rPr>
                <w:color w:val="000000"/>
                <w:sz w:val="22"/>
              </w:rPr>
              <w:t>1.31</w:t>
            </w:r>
          </w:p>
        </w:tc>
        <w:tc>
          <w:tcPr>
            <w:tcW w:w="518" w:type="pct"/>
            <w:noWrap/>
            <w:vAlign w:val="center"/>
          </w:tcPr>
          <w:p w14:paraId="64BC2537" w14:textId="77777777" w:rsidR="002373D2" w:rsidRPr="005B72DB" w:rsidRDefault="002373D2" w:rsidP="00D32DDE">
            <w:pPr>
              <w:spacing w:line="240" w:lineRule="auto"/>
              <w:jc w:val="center"/>
              <w:rPr>
                <w:color w:val="000000"/>
                <w:sz w:val="22"/>
              </w:rPr>
            </w:pPr>
            <w:r w:rsidRPr="005B72DB">
              <w:rPr>
                <w:color w:val="000000"/>
                <w:sz w:val="22"/>
              </w:rPr>
              <w:t>28.55%</w:t>
            </w:r>
          </w:p>
        </w:tc>
      </w:tr>
      <w:tr w:rsidR="002373D2" w:rsidRPr="005B72DB" w14:paraId="0CE453EF" w14:textId="77777777" w:rsidTr="00A474D2">
        <w:trPr>
          <w:trHeight w:val="308"/>
        </w:trPr>
        <w:tc>
          <w:tcPr>
            <w:tcW w:w="857" w:type="pct"/>
            <w:hideMark/>
          </w:tcPr>
          <w:p w14:paraId="32B333A1" w14:textId="77777777" w:rsidR="002373D2" w:rsidRPr="005B72DB" w:rsidRDefault="002373D2" w:rsidP="00D32DDE">
            <w:pPr>
              <w:spacing w:line="240" w:lineRule="auto"/>
              <w:jc w:val="center"/>
              <w:rPr>
                <w:rFonts w:eastAsia="Times New Roman"/>
                <w:color w:val="000000"/>
                <w:sz w:val="22"/>
              </w:rPr>
            </w:pPr>
            <w:r w:rsidRPr="005B72DB">
              <w:rPr>
                <w:rFonts w:eastAsia="Times New Roman"/>
                <w:color w:val="000000"/>
                <w:sz w:val="22"/>
              </w:rPr>
              <w:t>UCC</w:t>
            </w:r>
          </w:p>
        </w:tc>
        <w:tc>
          <w:tcPr>
            <w:tcW w:w="517" w:type="pct"/>
            <w:noWrap/>
            <w:vAlign w:val="bottom"/>
          </w:tcPr>
          <w:p w14:paraId="1FD0630F" w14:textId="77777777" w:rsidR="002373D2" w:rsidRPr="005B72DB" w:rsidRDefault="002373D2" w:rsidP="00D32DDE">
            <w:pPr>
              <w:spacing w:line="240" w:lineRule="auto"/>
              <w:jc w:val="center"/>
              <w:rPr>
                <w:color w:val="000000"/>
                <w:sz w:val="22"/>
              </w:rPr>
            </w:pPr>
            <w:r w:rsidRPr="005B72DB">
              <w:rPr>
                <w:color w:val="000000"/>
                <w:sz w:val="22"/>
              </w:rPr>
              <w:t>2.05</w:t>
            </w:r>
          </w:p>
        </w:tc>
        <w:tc>
          <w:tcPr>
            <w:tcW w:w="519" w:type="pct"/>
            <w:noWrap/>
            <w:vAlign w:val="center"/>
          </w:tcPr>
          <w:p w14:paraId="1874F970" w14:textId="77777777" w:rsidR="002373D2" w:rsidRPr="005B72DB" w:rsidRDefault="002373D2" w:rsidP="00D32DDE">
            <w:pPr>
              <w:spacing w:line="240" w:lineRule="auto"/>
              <w:jc w:val="center"/>
              <w:rPr>
                <w:color w:val="000000"/>
                <w:sz w:val="22"/>
              </w:rPr>
            </w:pPr>
            <w:r w:rsidRPr="005B72DB">
              <w:rPr>
                <w:color w:val="000000"/>
                <w:sz w:val="22"/>
              </w:rPr>
              <w:t>44.71%</w:t>
            </w:r>
          </w:p>
        </w:tc>
        <w:tc>
          <w:tcPr>
            <w:tcW w:w="518" w:type="pct"/>
            <w:noWrap/>
            <w:vAlign w:val="bottom"/>
          </w:tcPr>
          <w:p w14:paraId="5A91FFFF" w14:textId="77777777" w:rsidR="002373D2" w:rsidRPr="005B72DB" w:rsidRDefault="002373D2" w:rsidP="00D32DDE">
            <w:pPr>
              <w:spacing w:line="240" w:lineRule="auto"/>
              <w:jc w:val="center"/>
              <w:rPr>
                <w:color w:val="000000"/>
                <w:sz w:val="22"/>
              </w:rPr>
            </w:pPr>
            <w:r w:rsidRPr="005B72DB">
              <w:rPr>
                <w:color w:val="000000"/>
                <w:sz w:val="22"/>
              </w:rPr>
              <w:t>2.55</w:t>
            </w:r>
          </w:p>
        </w:tc>
        <w:tc>
          <w:tcPr>
            <w:tcW w:w="518" w:type="pct"/>
            <w:noWrap/>
            <w:vAlign w:val="center"/>
          </w:tcPr>
          <w:p w14:paraId="2E16D053" w14:textId="77777777" w:rsidR="002373D2" w:rsidRPr="005B72DB" w:rsidRDefault="002373D2" w:rsidP="00D32DDE">
            <w:pPr>
              <w:spacing w:line="240" w:lineRule="auto"/>
              <w:jc w:val="center"/>
              <w:rPr>
                <w:color w:val="000000"/>
                <w:sz w:val="22"/>
              </w:rPr>
            </w:pPr>
            <w:r w:rsidRPr="005B72DB">
              <w:rPr>
                <w:color w:val="000000"/>
                <w:sz w:val="22"/>
              </w:rPr>
              <w:t>55.79%</w:t>
            </w:r>
          </w:p>
        </w:tc>
        <w:tc>
          <w:tcPr>
            <w:tcW w:w="517" w:type="pct"/>
            <w:noWrap/>
            <w:vAlign w:val="bottom"/>
          </w:tcPr>
          <w:p w14:paraId="3C42CF34" w14:textId="77777777" w:rsidR="002373D2" w:rsidRPr="005B72DB" w:rsidRDefault="002373D2" w:rsidP="00D32DDE">
            <w:pPr>
              <w:spacing w:line="240" w:lineRule="auto"/>
              <w:jc w:val="center"/>
              <w:rPr>
                <w:color w:val="000000"/>
                <w:sz w:val="22"/>
              </w:rPr>
            </w:pPr>
            <w:r w:rsidRPr="005B72DB">
              <w:rPr>
                <w:color w:val="000000"/>
                <w:sz w:val="22"/>
              </w:rPr>
              <w:t>2.66</w:t>
            </w:r>
          </w:p>
        </w:tc>
        <w:tc>
          <w:tcPr>
            <w:tcW w:w="518" w:type="pct"/>
            <w:noWrap/>
            <w:vAlign w:val="center"/>
          </w:tcPr>
          <w:p w14:paraId="6A13C991" w14:textId="77777777" w:rsidR="002373D2" w:rsidRPr="005B72DB" w:rsidRDefault="002373D2" w:rsidP="00D32DDE">
            <w:pPr>
              <w:spacing w:line="240" w:lineRule="auto"/>
              <w:jc w:val="center"/>
              <w:rPr>
                <w:color w:val="000000"/>
                <w:sz w:val="22"/>
              </w:rPr>
            </w:pPr>
            <w:r w:rsidRPr="005B72DB">
              <w:rPr>
                <w:color w:val="000000"/>
                <w:sz w:val="22"/>
              </w:rPr>
              <w:t>58.08%</w:t>
            </w:r>
          </w:p>
        </w:tc>
        <w:tc>
          <w:tcPr>
            <w:tcW w:w="518" w:type="pct"/>
            <w:noWrap/>
            <w:vAlign w:val="bottom"/>
          </w:tcPr>
          <w:p w14:paraId="1428AB0D" w14:textId="77777777" w:rsidR="002373D2" w:rsidRPr="005B72DB" w:rsidRDefault="002373D2" w:rsidP="00D32DDE">
            <w:pPr>
              <w:spacing w:line="240" w:lineRule="auto"/>
              <w:jc w:val="center"/>
              <w:rPr>
                <w:color w:val="000000"/>
                <w:sz w:val="22"/>
              </w:rPr>
            </w:pPr>
            <w:r w:rsidRPr="005B72DB">
              <w:rPr>
                <w:color w:val="000000"/>
                <w:sz w:val="22"/>
              </w:rPr>
              <w:t>2.86</w:t>
            </w:r>
          </w:p>
        </w:tc>
        <w:tc>
          <w:tcPr>
            <w:tcW w:w="518" w:type="pct"/>
            <w:noWrap/>
            <w:vAlign w:val="center"/>
          </w:tcPr>
          <w:p w14:paraId="7736D05C" w14:textId="77777777" w:rsidR="002373D2" w:rsidRPr="005B72DB" w:rsidRDefault="002373D2" w:rsidP="00D32DDE">
            <w:pPr>
              <w:spacing w:line="240" w:lineRule="auto"/>
              <w:jc w:val="center"/>
              <w:rPr>
                <w:color w:val="000000"/>
                <w:sz w:val="22"/>
              </w:rPr>
            </w:pPr>
            <w:r w:rsidRPr="005B72DB">
              <w:rPr>
                <w:color w:val="000000"/>
                <w:sz w:val="22"/>
              </w:rPr>
              <w:t>62.55%</w:t>
            </w:r>
          </w:p>
        </w:tc>
      </w:tr>
      <w:tr w:rsidR="002373D2" w:rsidRPr="005B72DB" w14:paraId="7EFC6478" w14:textId="77777777" w:rsidTr="00A474D2">
        <w:trPr>
          <w:trHeight w:val="308"/>
        </w:trPr>
        <w:tc>
          <w:tcPr>
            <w:tcW w:w="857" w:type="pct"/>
            <w:hideMark/>
          </w:tcPr>
          <w:p w14:paraId="2E74AAB4" w14:textId="77777777" w:rsidR="002373D2" w:rsidRPr="005B72DB" w:rsidRDefault="002373D2" w:rsidP="00D32DDE">
            <w:pPr>
              <w:spacing w:line="240" w:lineRule="auto"/>
              <w:jc w:val="center"/>
              <w:rPr>
                <w:rFonts w:eastAsia="Times New Roman"/>
                <w:color w:val="000000"/>
                <w:sz w:val="22"/>
              </w:rPr>
            </w:pPr>
            <w:r w:rsidRPr="005B72DB">
              <w:rPr>
                <w:rFonts w:eastAsia="Times New Roman"/>
                <w:color w:val="000000"/>
                <w:sz w:val="22"/>
              </w:rPr>
              <w:t>Consumer</w:t>
            </w:r>
          </w:p>
        </w:tc>
        <w:tc>
          <w:tcPr>
            <w:tcW w:w="517" w:type="pct"/>
            <w:noWrap/>
            <w:vAlign w:val="bottom"/>
          </w:tcPr>
          <w:p w14:paraId="4CC57BAE" w14:textId="77777777" w:rsidR="002373D2" w:rsidRPr="005B72DB" w:rsidRDefault="002373D2" w:rsidP="00D32DDE">
            <w:pPr>
              <w:spacing w:line="240" w:lineRule="auto"/>
              <w:jc w:val="center"/>
              <w:rPr>
                <w:color w:val="000000"/>
                <w:sz w:val="22"/>
              </w:rPr>
            </w:pPr>
            <w:r w:rsidRPr="005B72DB">
              <w:rPr>
                <w:color w:val="000000"/>
                <w:sz w:val="22"/>
              </w:rPr>
              <w:t>0.00</w:t>
            </w:r>
          </w:p>
        </w:tc>
        <w:tc>
          <w:tcPr>
            <w:tcW w:w="519" w:type="pct"/>
            <w:noWrap/>
            <w:vAlign w:val="center"/>
          </w:tcPr>
          <w:p w14:paraId="4F269634" w14:textId="77777777" w:rsidR="002373D2" w:rsidRPr="005B72DB" w:rsidRDefault="002373D2" w:rsidP="00D32DDE">
            <w:pPr>
              <w:spacing w:line="240" w:lineRule="auto"/>
              <w:jc w:val="center"/>
              <w:rPr>
                <w:color w:val="000000"/>
                <w:sz w:val="22"/>
              </w:rPr>
            </w:pPr>
            <w:r w:rsidRPr="005B72DB">
              <w:rPr>
                <w:color w:val="000000"/>
                <w:sz w:val="22"/>
              </w:rPr>
              <w:t>0.00%</w:t>
            </w:r>
          </w:p>
        </w:tc>
        <w:tc>
          <w:tcPr>
            <w:tcW w:w="518" w:type="pct"/>
            <w:noWrap/>
            <w:vAlign w:val="bottom"/>
          </w:tcPr>
          <w:p w14:paraId="165D3A7C" w14:textId="77777777" w:rsidR="002373D2" w:rsidRPr="005B72DB" w:rsidRDefault="002373D2" w:rsidP="00D32DDE">
            <w:pPr>
              <w:spacing w:line="240" w:lineRule="auto"/>
              <w:jc w:val="center"/>
              <w:rPr>
                <w:color w:val="000000"/>
                <w:sz w:val="22"/>
              </w:rPr>
            </w:pPr>
            <w:r w:rsidRPr="005B72DB">
              <w:rPr>
                <w:color w:val="000000"/>
                <w:sz w:val="22"/>
              </w:rPr>
              <w:t>1.02</w:t>
            </w:r>
          </w:p>
        </w:tc>
        <w:tc>
          <w:tcPr>
            <w:tcW w:w="518" w:type="pct"/>
            <w:noWrap/>
            <w:vAlign w:val="center"/>
          </w:tcPr>
          <w:p w14:paraId="1199689D" w14:textId="77777777" w:rsidR="002373D2" w:rsidRPr="005B72DB" w:rsidRDefault="002373D2" w:rsidP="00D32DDE">
            <w:pPr>
              <w:spacing w:line="240" w:lineRule="auto"/>
              <w:jc w:val="center"/>
              <w:rPr>
                <w:color w:val="000000"/>
                <w:sz w:val="22"/>
              </w:rPr>
            </w:pPr>
            <w:r w:rsidRPr="005B72DB">
              <w:rPr>
                <w:color w:val="000000"/>
                <w:sz w:val="22"/>
              </w:rPr>
              <w:t>22.26%</w:t>
            </w:r>
          </w:p>
        </w:tc>
        <w:tc>
          <w:tcPr>
            <w:tcW w:w="517" w:type="pct"/>
            <w:noWrap/>
            <w:vAlign w:val="bottom"/>
          </w:tcPr>
          <w:p w14:paraId="454F000A" w14:textId="77777777" w:rsidR="002373D2" w:rsidRPr="005B72DB" w:rsidRDefault="002373D2" w:rsidP="00D32DDE">
            <w:pPr>
              <w:spacing w:line="240" w:lineRule="auto"/>
              <w:jc w:val="center"/>
              <w:rPr>
                <w:color w:val="000000"/>
                <w:sz w:val="22"/>
              </w:rPr>
            </w:pPr>
            <w:r w:rsidRPr="005B72DB">
              <w:rPr>
                <w:color w:val="000000"/>
                <w:sz w:val="22"/>
              </w:rPr>
              <w:t>0.00</w:t>
            </w:r>
          </w:p>
        </w:tc>
        <w:tc>
          <w:tcPr>
            <w:tcW w:w="518" w:type="pct"/>
            <w:noWrap/>
            <w:vAlign w:val="center"/>
          </w:tcPr>
          <w:p w14:paraId="02C15189" w14:textId="77777777" w:rsidR="002373D2" w:rsidRPr="005B72DB" w:rsidRDefault="002373D2" w:rsidP="00D32DDE">
            <w:pPr>
              <w:spacing w:line="240" w:lineRule="auto"/>
              <w:jc w:val="center"/>
              <w:rPr>
                <w:color w:val="000000"/>
                <w:sz w:val="22"/>
              </w:rPr>
            </w:pPr>
            <w:r w:rsidRPr="005B72DB">
              <w:rPr>
                <w:color w:val="000000"/>
                <w:sz w:val="22"/>
              </w:rPr>
              <w:t>0.00%</w:t>
            </w:r>
          </w:p>
        </w:tc>
        <w:tc>
          <w:tcPr>
            <w:tcW w:w="518" w:type="pct"/>
            <w:noWrap/>
            <w:vAlign w:val="bottom"/>
          </w:tcPr>
          <w:p w14:paraId="4D619656" w14:textId="77777777" w:rsidR="002373D2" w:rsidRPr="005B72DB" w:rsidRDefault="002373D2" w:rsidP="00D32DDE">
            <w:pPr>
              <w:spacing w:line="240" w:lineRule="auto"/>
              <w:jc w:val="center"/>
              <w:rPr>
                <w:color w:val="000000"/>
                <w:sz w:val="22"/>
              </w:rPr>
            </w:pPr>
            <w:r w:rsidRPr="005B72DB">
              <w:rPr>
                <w:color w:val="000000"/>
                <w:sz w:val="22"/>
              </w:rPr>
              <w:t>0.41</w:t>
            </w:r>
          </w:p>
        </w:tc>
        <w:tc>
          <w:tcPr>
            <w:tcW w:w="518" w:type="pct"/>
            <w:noWrap/>
            <w:vAlign w:val="center"/>
          </w:tcPr>
          <w:p w14:paraId="33D14979" w14:textId="77777777" w:rsidR="002373D2" w:rsidRPr="005B72DB" w:rsidRDefault="002373D2" w:rsidP="00D32DDE">
            <w:pPr>
              <w:spacing w:line="240" w:lineRule="auto"/>
              <w:jc w:val="center"/>
              <w:rPr>
                <w:color w:val="000000"/>
                <w:sz w:val="22"/>
              </w:rPr>
            </w:pPr>
            <w:r w:rsidRPr="005B72DB">
              <w:rPr>
                <w:color w:val="000000"/>
                <w:sz w:val="22"/>
              </w:rPr>
              <w:t>8.90%</w:t>
            </w:r>
          </w:p>
        </w:tc>
      </w:tr>
      <w:tr w:rsidR="002373D2" w:rsidRPr="005B72DB" w14:paraId="427102FC" w14:textId="77777777" w:rsidTr="00A474D2">
        <w:trPr>
          <w:trHeight w:val="308"/>
        </w:trPr>
        <w:tc>
          <w:tcPr>
            <w:tcW w:w="857" w:type="pct"/>
            <w:hideMark/>
          </w:tcPr>
          <w:p w14:paraId="33A754AB" w14:textId="77777777" w:rsidR="002373D2" w:rsidRPr="005B72DB" w:rsidRDefault="002373D2" w:rsidP="00D32DDE">
            <w:pPr>
              <w:spacing w:line="240" w:lineRule="auto"/>
              <w:jc w:val="center"/>
              <w:rPr>
                <w:rFonts w:eastAsia="Times New Roman"/>
                <w:color w:val="000000"/>
                <w:sz w:val="22"/>
              </w:rPr>
            </w:pPr>
            <w:r w:rsidRPr="005B72DB">
              <w:rPr>
                <w:rFonts w:eastAsia="Times New Roman"/>
                <w:color w:val="000000"/>
                <w:sz w:val="22"/>
              </w:rPr>
              <w:t>Total</w:t>
            </w:r>
          </w:p>
        </w:tc>
        <w:tc>
          <w:tcPr>
            <w:tcW w:w="517" w:type="pct"/>
            <w:noWrap/>
            <w:vAlign w:val="bottom"/>
          </w:tcPr>
          <w:p w14:paraId="3567EE60" w14:textId="77777777" w:rsidR="002373D2" w:rsidRPr="005B72DB" w:rsidRDefault="002373D2" w:rsidP="00D32DDE">
            <w:pPr>
              <w:spacing w:line="240" w:lineRule="auto"/>
              <w:jc w:val="center"/>
              <w:rPr>
                <w:color w:val="000000"/>
                <w:sz w:val="22"/>
              </w:rPr>
            </w:pPr>
            <w:r w:rsidRPr="005B72DB">
              <w:rPr>
                <w:color w:val="000000"/>
                <w:sz w:val="22"/>
              </w:rPr>
              <w:t>4.58</w:t>
            </w:r>
          </w:p>
        </w:tc>
        <w:tc>
          <w:tcPr>
            <w:tcW w:w="519" w:type="pct"/>
            <w:noWrap/>
            <w:vAlign w:val="center"/>
          </w:tcPr>
          <w:p w14:paraId="6F30B2F0" w14:textId="77777777" w:rsidR="002373D2" w:rsidRPr="005B72DB" w:rsidRDefault="002373D2" w:rsidP="00D32DDE">
            <w:pPr>
              <w:spacing w:line="240" w:lineRule="auto"/>
              <w:jc w:val="center"/>
              <w:rPr>
                <w:color w:val="000000"/>
                <w:sz w:val="22"/>
              </w:rPr>
            </w:pPr>
            <w:r w:rsidRPr="005B72DB">
              <w:rPr>
                <w:color w:val="000000"/>
                <w:sz w:val="22"/>
              </w:rPr>
              <w:t>100%</w:t>
            </w:r>
          </w:p>
        </w:tc>
        <w:tc>
          <w:tcPr>
            <w:tcW w:w="518" w:type="pct"/>
            <w:noWrap/>
            <w:vAlign w:val="bottom"/>
          </w:tcPr>
          <w:p w14:paraId="3A4D87C4" w14:textId="77777777" w:rsidR="002373D2" w:rsidRPr="005B72DB" w:rsidRDefault="002373D2" w:rsidP="00D32DDE">
            <w:pPr>
              <w:spacing w:line="240" w:lineRule="auto"/>
              <w:jc w:val="center"/>
              <w:rPr>
                <w:color w:val="000000"/>
                <w:sz w:val="22"/>
              </w:rPr>
            </w:pPr>
            <w:r w:rsidRPr="005B72DB">
              <w:rPr>
                <w:color w:val="000000"/>
                <w:sz w:val="22"/>
              </w:rPr>
              <w:t>4.58</w:t>
            </w:r>
          </w:p>
        </w:tc>
        <w:tc>
          <w:tcPr>
            <w:tcW w:w="518" w:type="pct"/>
            <w:noWrap/>
            <w:vAlign w:val="center"/>
          </w:tcPr>
          <w:p w14:paraId="4B5E374E" w14:textId="77777777" w:rsidR="002373D2" w:rsidRPr="005B72DB" w:rsidRDefault="002373D2" w:rsidP="00D32DDE">
            <w:pPr>
              <w:spacing w:line="240" w:lineRule="auto"/>
              <w:jc w:val="center"/>
              <w:rPr>
                <w:color w:val="000000"/>
                <w:sz w:val="22"/>
              </w:rPr>
            </w:pPr>
            <w:r w:rsidRPr="005B72DB">
              <w:rPr>
                <w:color w:val="000000"/>
                <w:sz w:val="22"/>
              </w:rPr>
              <w:t>100%</w:t>
            </w:r>
          </w:p>
        </w:tc>
        <w:tc>
          <w:tcPr>
            <w:tcW w:w="517" w:type="pct"/>
            <w:noWrap/>
            <w:vAlign w:val="bottom"/>
          </w:tcPr>
          <w:p w14:paraId="787C81A6" w14:textId="77777777" w:rsidR="002373D2" w:rsidRPr="005B72DB" w:rsidRDefault="002373D2" w:rsidP="00D32DDE">
            <w:pPr>
              <w:spacing w:line="240" w:lineRule="auto"/>
              <w:jc w:val="center"/>
              <w:rPr>
                <w:color w:val="000000"/>
                <w:sz w:val="22"/>
              </w:rPr>
            </w:pPr>
            <w:r w:rsidRPr="005B72DB">
              <w:rPr>
                <w:color w:val="000000"/>
                <w:sz w:val="22"/>
              </w:rPr>
              <w:t>4.58</w:t>
            </w:r>
          </w:p>
        </w:tc>
        <w:tc>
          <w:tcPr>
            <w:tcW w:w="518" w:type="pct"/>
            <w:noWrap/>
            <w:vAlign w:val="center"/>
          </w:tcPr>
          <w:p w14:paraId="5B86C719" w14:textId="77777777" w:rsidR="002373D2" w:rsidRPr="005B72DB" w:rsidRDefault="002373D2" w:rsidP="00D32DDE">
            <w:pPr>
              <w:spacing w:line="240" w:lineRule="auto"/>
              <w:jc w:val="center"/>
              <w:rPr>
                <w:color w:val="000000"/>
                <w:sz w:val="22"/>
              </w:rPr>
            </w:pPr>
            <w:r w:rsidRPr="005B72DB">
              <w:rPr>
                <w:color w:val="000000"/>
                <w:sz w:val="22"/>
              </w:rPr>
              <w:t>100%</w:t>
            </w:r>
          </w:p>
        </w:tc>
        <w:tc>
          <w:tcPr>
            <w:tcW w:w="518" w:type="pct"/>
            <w:noWrap/>
            <w:vAlign w:val="bottom"/>
          </w:tcPr>
          <w:p w14:paraId="5C90E56B" w14:textId="77777777" w:rsidR="002373D2" w:rsidRPr="005B72DB" w:rsidRDefault="002373D2" w:rsidP="00D32DDE">
            <w:pPr>
              <w:spacing w:line="240" w:lineRule="auto"/>
              <w:jc w:val="center"/>
              <w:rPr>
                <w:color w:val="000000"/>
                <w:sz w:val="22"/>
              </w:rPr>
            </w:pPr>
            <w:r w:rsidRPr="005B72DB">
              <w:rPr>
                <w:color w:val="000000"/>
                <w:sz w:val="22"/>
              </w:rPr>
              <w:t>4.58</w:t>
            </w:r>
          </w:p>
        </w:tc>
        <w:tc>
          <w:tcPr>
            <w:tcW w:w="518" w:type="pct"/>
            <w:noWrap/>
            <w:vAlign w:val="center"/>
          </w:tcPr>
          <w:p w14:paraId="3DBE23D2" w14:textId="77777777" w:rsidR="002373D2" w:rsidRPr="005B72DB" w:rsidRDefault="002373D2" w:rsidP="00D32DDE">
            <w:pPr>
              <w:spacing w:line="240" w:lineRule="auto"/>
              <w:jc w:val="center"/>
              <w:rPr>
                <w:color w:val="000000"/>
                <w:sz w:val="22"/>
              </w:rPr>
            </w:pPr>
            <w:r w:rsidRPr="005B72DB">
              <w:rPr>
                <w:color w:val="000000"/>
                <w:sz w:val="22"/>
              </w:rPr>
              <w:t>100%</w:t>
            </w:r>
          </w:p>
        </w:tc>
      </w:tr>
    </w:tbl>
    <w:p w14:paraId="048C5345" w14:textId="353D9719" w:rsidR="002373D2" w:rsidRPr="00A474D2" w:rsidRDefault="007B5959" w:rsidP="00A474D2">
      <w:pPr>
        <w:pStyle w:val="Caption"/>
      </w:pPr>
      <w:bookmarkStart w:id="1048" w:name="_Ref44974212"/>
      <w:bookmarkStart w:id="1049" w:name="_Toc46053597"/>
      <w:bookmarkStart w:id="1050" w:name="_Toc46093846"/>
      <w:bookmarkStart w:id="1051" w:name="_Toc66698813"/>
      <w:bookmarkEnd w:id="1047"/>
      <w:r>
        <w:t>Table</w:t>
      </w:r>
      <w:r w:rsidR="00A474D2" w:rsidRPr="00A474D2">
        <w:t xml:space="preserve"> </w:t>
      </w:r>
      <w:r w:rsidR="000306D9">
        <w:fldChar w:fldCharType="begin"/>
      </w:r>
      <w:r w:rsidR="000306D9">
        <w:instrText xml:space="preserve"> STYLEREF 1 \s </w:instrText>
      </w:r>
      <w:r w:rsidR="000306D9">
        <w:fldChar w:fldCharType="separate"/>
      </w:r>
      <w:r w:rsidR="0005064B">
        <w:rPr>
          <w:noProof/>
        </w:rPr>
        <w:t>7</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6</w:t>
      </w:r>
      <w:r w:rsidR="000306D9">
        <w:rPr>
          <w:noProof/>
        </w:rPr>
        <w:fldChar w:fldCharType="end"/>
      </w:r>
      <w:bookmarkEnd w:id="1048"/>
      <w:r w:rsidR="004D6792">
        <w:t>:</w:t>
      </w:r>
      <w:r w:rsidR="00A474D2" w:rsidRPr="00A474D2">
        <w:t xml:space="preserve"> Composite Cost Allocation Rules (€/parcel)</w:t>
      </w:r>
      <w:bookmarkEnd w:id="1049"/>
      <w:bookmarkEnd w:id="1050"/>
      <w:bookmarkEnd w:id="1051"/>
    </w:p>
    <w:p w14:paraId="06640D63" w14:textId="2B982A69" w:rsidR="002373D2" w:rsidRPr="005B72DB" w:rsidRDefault="002373D2" w:rsidP="007548C6">
      <w:pPr>
        <w:spacing w:after="240" w:line="360" w:lineRule="auto"/>
      </w:pPr>
      <w:r w:rsidRPr="005B72DB">
        <w:t xml:space="preserve">Of course, as the proportion devoted to LRS increases, stakeholders’ cost allocations will be closer to the original ones. Weights to be assigned to the different responsibility rules could be then seen as the object of negotiations among different stakeholders </w:t>
      </w:r>
      <w:proofErr w:type="gramStart"/>
      <w:r w:rsidRPr="005B72DB">
        <w:t>in order to</w:t>
      </w:r>
      <w:proofErr w:type="gramEnd"/>
      <w:r w:rsidRPr="005B72DB">
        <w:t xml:space="preserve"> achieve a compromise agreement which could be agreed upon by upstream and downstream stakeholders.</w:t>
      </w:r>
    </w:p>
    <w:p w14:paraId="1CE359AE" w14:textId="77777777" w:rsidR="00526DA1" w:rsidRPr="00F2588A" w:rsidRDefault="00526DA1" w:rsidP="00526DA1">
      <w:pPr>
        <w:pStyle w:val="Heading3"/>
        <w:spacing w:line="360" w:lineRule="auto"/>
      </w:pPr>
      <w:bookmarkStart w:id="1052" w:name="_Toc46053494"/>
      <w:bookmarkStart w:id="1053" w:name="_Toc46093408"/>
      <w:bookmarkStart w:id="1054" w:name="_Toc46093691"/>
      <w:bookmarkStart w:id="1055" w:name="_Toc66703264"/>
      <w:bookmarkStart w:id="1056" w:name="_Toc46053493"/>
      <w:bookmarkStart w:id="1057" w:name="_Toc46093407"/>
      <w:bookmarkStart w:id="1058" w:name="_Toc46093690"/>
      <w:r w:rsidRPr="00F2588A">
        <w:t>Discussion</w:t>
      </w:r>
      <w:bookmarkEnd w:id="1052"/>
      <w:bookmarkEnd w:id="1053"/>
      <w:bookmarkEnd w:id="1054"/>
      <w:bookmarkEnd w:id="1055"/>
      <w:r w:rsidRPr="00F2588A">
        <w:t xml:space="preserve"> </w:t>
      </w:r>
    </w:p>
    <w:p w14:paraId="58F418B0" w14:textId="77777777" w:rsidR="00526DA1" w:rsidRPr="005B72DB" w:rsidRDefault="00526DA1" w:rsidP="00526DA1">
      <w:pPr>
        <w:spacing w:after="240" w:line="360" w:lineRule="auto"/>
      </w:pPr>
      <w:r w:rsidRPr="005B72DB">
        <w:t xml:space="preserve">As shown in the case study, UCCs have the potential to benefit, under certain conditions, from both UES and DES allocations, as these principles enact suppliers’ and customers’ participation to UCC operating costs. UES can provide the most convenient solution for the UCC; a DES rule can benefit both the LHC and the UCC, providing a good scheme for incentivising the participation of reluctant carriers. Previous sections have provided the theoretical justification for these schemes. It </w:t>
      </w:r>
      <w:proofErr w:type="gramStart"/>
      <w:r w:rsidRPr="005B72DB">
        <w:t>has to</w:t>
      </w:r>
      <w:proofErr w:type="gramEnd"/>
      <w:r w:rsidRPr="005B72DB">
        <w:t xml:space="preserve"> be remarked, though, that as these schemes might cause the increase in costs to be faced by other stakeholders, such solution should be implemented in practice through strong political interventions and thorough consultation and engagement. The previous section has also shown the possibility of a partial implementation of UES and DES allocation rules (in combination with more traditional LRS approaches) which could be seen as a lighter mitigation strategy.</w:t>
      </w:r>
    </w:p>
    <w:p w14:paraId="433EAE6F" w14:textId="3EFE20DC" w:rsidR="00526DA1" w:rsidRPr="005B72DB" w:rsidRDefault="00526DA1" w:rsidP="00B949F6">
      <w:pPr>
        <w:spacing w:after="240" w:line="360" w:lineRule="auto"/>
      </w:pPr>
      <w:r w:rsidRPr="005B72DB">
        <w:lastRenderedPageBreak/>
        <w:t>Also, the impact of the outsourcing of last-mile deliveries, and different results provided by the allocation rules under this scenario, has been evaluated. Also in this case, UES and DES rules can provide meaningful results which could alleviate costs for both UCCs and LHCs.</w:t>
      </w:r>
    </w:p>
    <w:p w14:paraId="4762364D" w14:textId="618163FF" w:rsidR="002373D2" w:rsidRPr="00F2588A" w:rsidRDefault="002373D2" w:rsidP="002373D2">
      <w:pPr>
        <w:pStyle w:val="Heading3"/>
        <w:spacing w:line="360" w:lineRule="auto"/>
      </w:pPr>
      <w:bookmarkStart w:id="1059" w:name="_Toc66703265"/>
      <w:r w:rsidRPr="00F2588A">
        <w:t xml:space="preserve">Sensitivity </w:t>
      </w:r>
      <w:bookmarkEnd w:id="1056"/>
      <w:bookmarkEnd w:id="1057"/>
      <w:bookmarkEnd w:id="1058"/>
      <w:r w:rsidR="00F43E78">
        <w:t>a</w:t>
      </w:r>
      <w:r w:rsidR="00F43E78" w:rsidRPr="00F2588A">
        <w:t>nalysis</w:t>
      </w:r>
      <w:bookmarkEnd w:id="1059"/>
    </w:p>
    <w:p w14:paraId="1DCA0FAD" w14:textId="01585A45" w:rsidR="002373D2" w:rsidRDefault="002373D2" w:rsidP="007548C6">
      <w:pPr>
        <w:spacing w:after="240" w:line="360" w:lineRule="auto"/>
      </w:pPr>
      <w:r w:rsidRPr="005B72DB">
        <w:t xml:space="preserve">In practice, some UCCs might outsource the last mile delivery activities to other companies (e.g., Nijmegen UCC, as reported by </w:t>
      </w:r>
      <w:proofErr w:type="spellStart"/>
      <w:r w:rsidRPr="005B72DB">
        <w:t>Duin</w:t>
      </w:r>
      <w:proofErr w:type="spellEnd"/>
      <w:r w:rsidRPr="005B72DB">
        <w:t xml:space="preserve"> et al. (2016)). Under this strategy, the UCC will only be responsible for the cost of in-facility goods handling and sorting. However, such outsourcing strategy could introduce some changes to the cost of last-mile delivery. </w:t>
      </w:r>
      <w:proofErr w:type="gramStart"/>
      <w:r w:rsidRPr="005B72DB">
        <w:t>In order to</w:t>
      </w:r>
      <w:proofErr w:type="gramEnd"/>
      <w:r w:rsidRPr="005B72DB">
        <w:t xml:space="preserve"> assess the feasibility of the cost allocation rules in such cases, </w:t>
      </w:r>
      <w:r w:rsidR="007F6C70">
        <w:t>this chapter</w:t>
      </w:r>
      <w:r w:rsidRPr="005B72DB">
        <w:t xml:space="preserve"> design</w:t>
      </w:r>
      <w:r w:rsidR="007F6C70">
        <w:t>s</w:t>
      </w:r>
      <w:r w:rsidRPr="005B72DB">
        <w:t xml:space="preserve"> the following sensitivity analysis, which is based on the following assumptions:</w:t>
      </w:r>
    </w:p>
    <w:p w14:paraId="6BC8224F" w14:textId="77777777" w:rsidR="002373D2" w:rsidRPr="005B72DB" w:rsidRDefault="002373D2" w:rsidP="007548C6">
      <w:pPr>
        <w:pStyle w:val="ListParagraph"/>
        <w:widowControl w:val="0"/>
        <w:numPr>
          <w:ilvl w:val="0"/>
          <w:numId w:val="5"/>
        </w:numPr>
        <w:spacing w:after="240" w:line="360" w:lineRule="auto"/>
      </w:pPr>
      <w:r w:rsidRPr="005B72DB">
        <w:t xml:space="preserve">The total cost of last-mile delivery in the UCC network without outsourcing is equal to the total cost of last-mile delivery after implementing outsourcing </w:t>
      </w:r>
      <w:proofErr w:type="gramStart"/>
      <w:r w:rsidRPr="005B72DB">
        <w:t>strategy;</w:t>
      </w:r>
      <w:proofErr w:type="gramEnd"/>
    </w:p>
    <w:p w14:paraId="5D1FBA53" w14:textId="485217AF" w:rsidR="002373D2" w:rsidRPr="005B72DB" w:rsidRDefault="002373D2" w:rsidP="007548C6">
      <w:pPr>
        <w:pStyle w:val="ListParagraph"/>
        <w:widowControl w:val="0"/>
        <w:numPr>
          <w:ilvl w:val="0"/>
          <w:numId w:val="5"/>
        </w:numPr>
        <w:spacing w:after="240" w:line="360" w:lineRule="auto"/>
      </w:pPr>
      <w:r w:rsidRPr="005B72DB">
        <w:t>The total cost of last-mile delivery in UCC network without outsourcing is unequal to the cost of last-mile delivery after implementing outsourcing strategy (the cost of last-mile delivery maybe increased due to the expertise of the carrier and to economies of scale; alternatively, the cost of last-mile delivery maybe decreased due to additional administrative costs.)</w:t>
      </w:r>
    </w:p>
    <w:p w14:paraId="253BDC98" w14:textId="77777777" w:rsidR="002373D2" w:rsidRPr="00F2588A" w:rsidRDefault="002373D2" w:rsidP="002373D2">
      <w:pPr>
        <w:pStyle w:val="Heading4"/>
        <w:spacing w:after="0" w:line="360" w:lineRule="auto"/>
      </w:pPr>
      <w:r w:rsidRPr="00F2588A">
        <w:t xml:space="preserve"> Assumption 1: outsource without total cost </w:t>
      </w:r>
      <w:proofErr w:type="gramStart"/>
      <w:r w:rsidRPr="00F2588A">
        <w:t>changes</w:t>
      </w:r>
      <w:proofErr w:type="gramEnd"/>
    </w:p>
    <w:p w14:paraId="4DF41C6E" w14:textId="7B2BE97C" w:rsidR="002373D2" w:rsidRPr="00A474D2" w:rsidRDefault="002373D2" w:rsidP="007548C6">
      <w:pPr>
        <w:spacing w:after="240" w:line="360" w:lineRule="auto"/>
        <w:rPr>
          <w:rFonts w:eastAsia="等线"/>
        </w:rPr>
      </w:pPr>
      <w:r w:rsidRPr="005B72DB">
        <w:rPr>
          <w:rFonts w:eastAsia="等线"/>
        </w:rPr>
        <w:t xml:space="preserve">In case the outsourcing of the last-mile delivery GMP does not alter the total cost, the cost structure whole delivery network in </w:t>
      </w:r>
      <w:r w:rsidRPr="005B72DB">
        <w:rPr>
          <w:rFonts w:eastAsia="等线"/>
        </w:rPr>
        <w:fldChar w:fldCharType="begin"/>
      </w:r>
      <w:r w:rsidRPr="005B72DB">
        <w:rPr>
          <w:rFonts w:eastAsia="等线"/>
        </w:rPr>
        <w:instrText xml:space="preserve"> REF _Ref25335648 \h  \* MERGEFORMAT </w:instrText>
      </w:r>
      <w:r w:rsidRPr="005B72DB">
        <w:rPr>
          <w:rFonts w:eastAsia="等线"/>
        </w:rPr>
      </w:r>
      <w:r w:rsidRPr="005B72DB">
        <w:rPr>
          <w:rFonts w:eastAsia="等线"/>
        </w:rPr>
        <w:fldChar w:fldCharType="separate"/>
      </w:r>
      <w:r w:rsidR="0005064B" w:rsidRPr="0005064B">
        <w:rPr>
          <w:rFonts w:eastAsia="等线"/>
        </w:rPr>
        <w:t>Table 7</w:t>
      </w:r>
      <w:r w:rsidR="0005064B" w:rsidRPr="0005064B">
        <w:rPr>
          <w:rFonts w:eastAsia="等线"/>
        </w:rPr>
        <w:noBreakHyphen/>
        <w:t>7</w:t>
      </w:r>
      <w:r w:rsidRPr="005B72DB">
        <w:rPr>
          <w:rFonts w:eastAsia="等线"/>
        </w:rPr>
        <w:fldChar w:fldCharType="end"/>
      </w:r>
      <w:r w:rsidRPr="005B72DB">
        <w:rPr>
          <w:rFonts w:eastAsia="等线"/>
        </w:rPr>
        <w:t>. The UCCs’ original cost is €0.99/parcel, local carriers’ original cost is €2.08/parcel. It can be noticed that, in this case, the final cost share for the UCC, - under LRS (€0.99/parcel), UES (€0.85/parcel) and DES (€0.70/parcel) - are below to the best solutions which can be obtained when the last-mile delivery process is conducted in-house (€1.02/parcel). This can be seen as a strong incentive for UCCs to outsource such activities. Besides this, DES rules also reduce the cost for the LHC to 0.38; such cost allocation scheme appears to be the best for relieving the cost for both LHCs and UCCs under a last-mile outsourcing strategy.</w:t>
      </w:r>
    </w:p>
    <w:tbl>
      <w:tblPr>
        <w:tblStyle w:val="TableGrid1"/>
        <w:tblW w:w="5000" w:type="pct"/>
        <w:tblLook w:val="04A0" w:firstRow="1" w:lastRow="0" w:firstColumn="1" w:lastColumn="0" w:noHBand="0" w:noVBand="1"/>
      </w:tblPr>
      <w:tblGrid>
        <w:gridCol w:w="2060"/>
        <w:gridCol w:w="1160"/>
        <w:gridCol w:w="1160"/>
        <w:gridCol w:w="1159"/>
        <w:gridCol w:w="1159"/>
        <w:gridCol w:w="1159"/>
        <w:gridCol w:w="1159"/>
      </w:tblGrid>
      <w:tr w:rsidR="002373D2" w:rsidRPr="005B72DB" w14:paraId="69E92AB6" w14:textId="77777777" w:rsidTr="0051420F">
        <w:trPr>
          <w:trHeight w:val="315"/>
        </w:trPr>
        <w:tc>
          <w:tcPr>
            <w:tcW w:w="1142" w:type="pct"/>
            <w:vAlign w:val="center"/>
            <w:hideMark/>
          </w:tcPr>
          <w:p w14:paraId="28F3792F" w14:textId="77777777" w:rsidR="002373D2" w:rsidRPr="005B72DB" w:rsidRDefault="002373D2" w:rsidP="00A474D2">
            <w:pPr>
              <w:spacing w:line="240" w:lineRule="auto"/>
              <w:jc w:val="center"/>
              <w:rPr>
                <w:rFonts w:eastAsia="Times New Roman"/>
                <w:b/>
                <w:bCs/>
                <w:color w:val="000000"/>
                <w:sz w:val="22"/>
              </w:rPr>
            </w:pPr>
            <w:bookmarkStart w:id="1060" w:name="_Ref21164197"/>
            <w:r w:rsidRPr="005B72DB">
              <w:rPr>
                <w:rFonts w:eastAsia="Times New Roman"/>
                <w:b/>
                <w:bCs/>
                <w:color w:val="000000"/>
                <w:sz w:val="22"/>
              </w:rPr>
              <w:t>Types of Stakeholders</w:t>
            </w:r>
          </w:p>
        </w:tc>
        <w:tc>
          <w:tcPr>
            <w:tcW w:w="643" w:type="pct"/>
            <w:noWrap/>
            <w:vAlign w:val="center"/>
            <w:hideMark/>
          </w:tcPr>
          <w:p w14:paraId="1F7CD605" w14:textId="77777777" w:rsidR="002373D2" w:rsidRPr="005B72DB" w:rsidRDefault="002373D2" w:rsidP="00A474D2">
            <w:pPr>
              <w:spacing w:line="240" w:lineRule="auto"/>
              <w:jc w:val="center"/>
              <w:rPr>
                <w:rFonts w:eastAsia="Times New Roman"/>
                <w:b/>
                <w:bCs/>
                <w:color w:val="000000"/>
                <w:sz w:val="22"/>
              </w:rPr>
            </w:pPr>
            <w:r w:rsidRPr="005B72DB">
              <w:rPr>
                <w:rFonts w:eastAsia="Times New Roman"/>
                <w:b/>
                <w:bCs/>
                <w:color w:val="000000"/>
                <w:sz w:val="22"/>
              </w:rPr>
              <w:t>LRS</w:t>
            </w:r>
          </w:p>
          <w:p w14:paraId="132B3E68" w14:textId="77777777" w:rsidR="002373D2" w:rsidRPr="005B72DB" w:rsidRDefault="002373D2" w:rsidP="00A474D2">
            <w:pPr>
              <w:spacing w:line="240" w:lineRule="auto"/>
              <w:jc w:val="center"/>
              <w:rPr>
                <w:b/>
                <w:bCs/>
                <w:color w:val="000000"/>
                <w:sz w:val="22"/>
              </w:rPr>
            </w:pPr>
            <w:r w:rsidRPr="005B72DB">
              <w:rPr>
                <w:b/>
                <w:bCs/>
                <w:color w:val="000000"/>
                <w:sz w:val="22"/>
              </w:rPr>
              <w:t>(</w:t>
            </w:r>
            <w:r w:rsidRPr="005B72DB">
              <w:rPr>
                <w:rFonts w:cs="Calibri"/>
                <w:b/>
                <w:bCs/>
                <w:color w:val="000000"/>
                <w:sz w:val="22"/>
              </w:rPr>
              <w:t>€</w:t>
            </w:r>
            <w:r w:rsidRPr="005B72DB">
              <w:rPr>
                <w:b/>
                <w:bCs/>
                <w:color w:val="000000"/>
                <w:sz w:val="22"/>
              </w:rPr>
              <w:t>)</w:t>
            </w:r>
          </w:p>
        </w:tc>
        <w:tc>
          <w:tcPr>
            <w:tcW w:w="643" w:type="pct"/>
            <w:noWrap/>
            <w:vAlign w:val="center"/>
            <w:hideMark/>
          </w:tcPr>
          <w:p w14:paraId="7D05E548" w14:textId="77777777" w:rsidR="002373D2" w:rsidRPr="005B72DB" w:rsidRDefault="002373D2" w:rsidP="00A474D2">
            <w:pPr>
              <w:spacing w:line="240" w:lineRule="auto"/>
              <w:jc w:val="center"/>
              <w:rPr>
                <w:rFonts w:eastAsia="Times New Roman"/>
                <w:b/>
                <w:bCs/>
                <w:color w:val="000000"/>
                <w:sz w:val="22"/>
              </w:rPr>
            </w:pPr>
            <w:r w:rsidRPr="005B72DB">
              <w:rPr>
                <w:rFonts w:eastAsia="Times New Roman"/>
                <w:b/>
                <w:bCs/>
                <w:color w:val="000000"/>
                <w:sz w:val="22"/>
              </w:rPr>
              <w:t>LRS</w:t>
            </w:r>
          </w:p>
          <w:p w14:paraId="663A02A0" w14:textId="77777777" w:rsidR="002373D2" w:rsidRPr="005B72DB" w:rsidRDefault="002373D2" w:rsidP="00A474D2">
            <w:pPr>
              <w:spacing w:line="240" w:lineRule="auto"/>
              <w:jc w:val="center"/>
              <w:rPr>
                <w:rFonts w:eastAsia="Times New Roman"/>
                <w:b/>
                <w:bCs/>
                <w:color w:val="000000"/>
                <w:sz w:val="22"/>
              </w:rPr>
            </w:pPr>
            <w:r w:rsidRPr="005B72DB">
              <w:rPr>
                <w:rFonts w:eastAsia="Times New Roman"/>
                <w:b/>
                <w:bCs/>
                <w:color w:val="000000"/>
                <w:sz w:val="22"/>
              </w:rPr>
              <w:t>(%)</w:t>
            </w:r>
          </w:p>
        </w:tc>
        <w:tc>
          <w:tcPr>
            <w:tcW w:w="643" w:type="pct"/>
            <w:noWrap/>
            <w:vAlign w:val="center"/>
            <w:hideMark/>
          </w:tcPr>
          <w:p w14:paraId="5A839D8C" w14:textId="77777777" w:rsidR="002373D2" w:rsidRPr="005B72DB" w:rsidRDefault="002373D2" w:rsidP="00A474D2">
            <w:pPr>
              <w:spacing w:line="240" w:lineRule="auto"/>
              <w:jc w:val="center"/>
              <w:rPr>
                <w:rFonts w:eastAsia="Times New Roman"/>
                <w:b/>
                <w:bCs/>
                <w:color w:val="000000"/>
                <w:sz w:val="22"/>
              </w:rPr>
            </w:pPr>
            <w:r w:rsidRPr="005B72DB">
              <w:rPr>
                <w:rFonts w:eastAsia="Times New Roman"/>
                <w:b/>
                <w:bCs/>
                <w:color w:val="000000"/>
                <w:sz w:val="22"/>
              </w:rPr>
              <w:t>UES</w:t>
            </w:r>
          </w:p>
          <w:p w14:paraId="063FF382" w14:textId="77777777" w:rsidR="002373D2" w:rsidRPr="005B72DB" w:rsidRDefault="002373D2" w:rsidP="00A474D2">
            <w:pPr>
              <w:spacing w:line="240" w:lineRule="auto"/>
              <w:jc w:val="center"/>
              <w:rPr>
                <w:rFonts w:eastAsia="Times New Roman"/>
                <w:b/>
                <w:bCs/>
                <w:color w:val="000000"/>
                <w:sz w:val="22"/>
              </w:rPr>
            </w:pPr>
            <w:r w:rsidRPr="005B72DB">
              <w:rPr>
                <w:b/>
                <w:bCs/>
                <w:color w:val="000000"/>
                <w:sz w:val="22"/>
              </w:rPr>
              <w:t>(</w:t>
            </w:r>
            <w:r w:rsidRPr="005B72DB">
              <w:rPr>
                <w:rFonts w:cs="Calibri"/>
                <w:b/>
                <w:bCs/>
                <w:color w:val="000000"/>
                <w:sz w:val="22"/>
              </w:rPr>
              <w:t>€</w:t>
            </w:r>
            <w:r w:rsidRPr="005B72DB">
              <w:rPr>
                <w:b/>
                <w:bCs/>
                <w:color w:val="000000"/>
                <w:sz w:val="22"/>
              </w:rPr>
              <w:t>)</w:t>
            </w:r>
          </w:p>
        </w:tc>
        <w:tc>
          <w:tcPr>
            <w:tcW w:w="643" w:type="pct"/>
            <w:noWrap/>
            <w:vAlign w:val="center"/>
            <w:hideMark/>
          </w:tcPr>
          <w:p w14:paraId="5E6D6810" w14:textId="77777777" w:rsidR="002373D2" w:rsidRPr="005B72DB" w:rsidRDefault="002373D2" w:rsidP="00A474D2">
            <w:pPr>
              <w:spacing w:line="240" w:lineRule="auto"/>
              <w:jc w:val="center"/>
              <w:rPr>
                <w:rFonts w:eastAsia="Times New Roman"/>
                <w:b/>
                <w:bCs/>
                <w:color w:val="000000"/>
                <w:sz w:val="22"/>
              </w:rPr>
            </w:pPr>
            <w:r w:rsidRPr="005B72DB">
              <w:rPr>
                <w:rFonts w:eastAsia="Times New Roman"/>
                <w:b/>
                <w:bCs/>
                <w:color w:val="000000"/>
                <w:sz w:val="22"/>
              </w:rPr>
              <w:t>UES</w:t>
            </w:r>
          </w:p>
          <w:p w14:paraId="263E239A" w14:textId="77777777" w:rsidR="002373D2" w:rsidRPr="005B72DB" w:rsidRDefault="002373D2" w:rsidP="00A474D2">
            <w:pPr>
              <w:spacing w:line="240" w:lineRule="auto"/>
              <w:jc w:val="center"/>
              <w:rPr>
                <w:rFonts w:eastAsia="Times New Roman"/>
                <w:b/>
                <w:bCs/>
                <w:color w:val="000000"/>
                <w:sz w:val="22"/>
              </w:rPr>
            </w:pPr>
            <w:r w:rsidRPr="005B72DB">
              <w:rPr>
                <w:rFonts w:eastAsia="Times New Roman"/>
                <w:b/>
                <w:bCs/>
                <w:color w:val="000000"/>
                <w:sz w:val="22"/>
              </w:rPr>
              <w:t>(%)</w:t>
            </w:r>
          </w:p>
        </w:tc>
        <w:tc>
          <w:tcPr>
            <w:tcW w:w="643" w:type="pct"/>
            <w:noWrap/>
            <w:vAlign w:val="center"/>
            <w:hideMark/>
          </w:tcPr>
          <w:p w14:paraId="38E8931A" w14:textId="77777777" w:rsidR="002373D2" w:rsidRPr="005B72DB" w:rsidRDefault="002373D2" w:rsidP="00A474D2">
            <w:pPr>
              <w:spacing w:line="240" w:lineRule="auto"/>
              <w:jc w:val="center"/>
              <w:rPr>
                <w:rFonts w:eastAsia="Times New Roman"/>
                <w:b/>
                <w:bCs/>
                <w:color w:val="000000"/>
                <w:sz w:val="22"/>
              </w:rPr>
            </w:pPr>
            <w:r w:rsidRPr="005B72DB">
              <w:rPr>
                <w:rFonts w:eastAsia="Times New Roman"/>
                <w:b/>
                <w:bCs/>
                <w:color w:val="000000"/>
                <w:sz w:val="22"/>
              </w:rPr>
              <w:t>DES</w:t>
            </w:r>
          </w:p>
          <w:p w14:paraId="4D602336" w14:textId="77777777" w:rsidR="002373D2" w:rsidRPr="005B72DB" w:rsidRDefault="002373D2" w:rsidP="00A474D2">
            <w:pPr>
              <w:spacing w:line="240" w:lineRule="auto"/>
              <w:jc w:val="center"/>
              <w:rPr>
                <w:rFonts w:eastAsia="Times New Roman"/>
                <w:b/>
                <w:bCs/>
                <w:color w:val="000000"/>
                <w:sz w:val="22"/>
              </w:rPr>
            </w:pPr>
            <w:r w:rsidRPr="005B72DB">
              <w:rPr>
                <w:b/>
                <w:bCs/>
                <w:color w:val="000000"/>
                <w:sz w:val="22"/>
              </w:rPr>
              <w:t>(</w:t>
            </w:r>
            <w:r w:rsidRPr="005B72DB">
              <w:rPr>
                <w:rFonts w:cs="Calibri"/>
                <w:b/>
                <w:bCs/>
                <w:color w:val="000000"/>
                <w:sz w:val="22"/>
              </w:rPr>
              <w:t>€</w:t>
            </w:r>
            <w:r w:rsidRPr="005B72DB">
              <w:rPr>
                <w:b/>
                <w:bCs/>
                <w:color w:val="000000"/>
                <w:sz w:val="22"/>
              </w:rPr>
              <w:t>)</w:t>
            </w:r>
          </w:p>
        </w:tc>
        <w:tc>
          <w:tcPr>
            <w:tcW w:w="643" w:type="pct"/>
            <w:noWrap/>
            <w:vAlign w:val="center"/>
            <w:hideMark/>
          </w:tcPr>
          <w:p w14:paraId="7C33B57E" w14:textId="77777777" w:rsidR="002373D2" w:rsidRPr="005B72DB" w:rsidRDefault="002373D2" w:rsidP="00A474D2">
            <w:pPr>
              <w:spacing w:line="240" w:lineRule="auto"/>
              <w:jc w:val="center"/>
              <w:rPr>
                <w:rFonts w:eastAsia="Times New Roman"/>
                <w:b/>
                <w:bCs/>
                <w:color w:val="000000"/>
                <w:sz w:val="22"/>
              </w:rPr>
            </w:pPr>
            <w:r w:rsidRPr="005B72DB">
              <w:rPr>
                <w:rFonts w:eastAsia="Times New Roman"/>
                <w:b/>
                <w:bCs/>
                <w:color w:val="000000"/>
                <w:sz w:val="22"/>
              </w:rPr>
              <w:t>DES</w:t>
            </w:r>
          </w:p>
          <w:p w14:paraId="66C68BAC" w14:textId="77777777" w:rsidR="002373D2" w:rsidRPr="005B72DB" w:rsidRDefault="002373D2" w:rsidP="00A474D2">
            <w:pPr>
              <w:spacing w:line="240" w:lineRule="auto"/>
              <w:jc w:val="center"/>
              <w:rPr>
                <w:rFonts w:eastAsia="Times New Roman"/>
                <w:b/>
                <w:bCs/>
                <w:color w:val="000000"/>
                <w:sz w:val="22"/>
              </w:rPr>
            </w:pPr>
            <w:r w:rsidRPr="005B72DB">
              <w:rPr>
                <w:rFonts w:eastAsia="Times New Roman"/>
                <w:b/>
                <w:bCs/>
                <w:color w:val="000000"/>
                <w:sz w:val="22"/>
              </w:rPr>
              <w:t>(%)</w:t>
            </w:r>
          </w:p>
        </w:tc>
      </w:tr>
      <w:tr w:rsidR="002373D2" w:rsidRPr="005B72DB" w14:paraId="241BD0D7" w14:textId="77777777" w:rsidTr="0051420F">
        <w:trPr>
          <w:trHeight w:val="308"/>
        </w:trPr>
        <w:tc>
          <w:tcPr>
            <w:tcW w:w="1142" w:type="pct"/>
            <w:hideMark/>
          </w:tcPr>
          <w:p w14:paraId="3118712B" w14:textId="77777777" w:rsidR="002373D2" w:rsidRPr="005B72DB" w:rsidRDefault="002373D2" w:rsidP="00A474D2">
            <w:pPr>
              <w:spacing w:line="240" w:lineRule="auto"/>
              <w:jc w:val="center"/>
              <w:rPr>
                <w:rFonts w:eastAsia="Times New Roman"/>
                <w:color w:val="000000"/>
                <w:sz w:val="22"/>
              </w:rPr>
            </w:pPr>
            <w:r w:rsidRPr="005B72DB">
              <w:rPr>
                <w:rFonts w:eastAsia="Times New Roman"/>
                <w:color w:val="000000"/>
                <w:sz w:val="22"/>
              </w:rPr>
              <w:t>Supplier</w:t>
            </w:r>
          </w:p>
        </w:tc>
        <w:tc>
          <w:tcPr>
            <w:tcW w:w="643" w:type="pct"/>
            <w:noWrap/>
            <w:vAlign w:val="bottom"/>
          </w:tcPr>
          <w:p w14:paraId="11BA4B6D" w14:textId="77777777" w:rsidR="002373D2" w:rsidRPr="005B72DB" w:rsidRDefault="002373D2" w:rsidP="00A474D2">
            <w:pPr>
              <w:spacing w:line="240" w:lineRule="auto"/>
              <w:jc w:val="center"/>
              <w:rPr>
                <w:color w:val="000000"/>
                <w:sz w:val="22"/>
              </w:rPr>
            </w:pPr>
            <w:r w:rsidRPr="005B72DB">
              <w:rPr>
                <w:color w:val="000000"/>
                <w:sz w:val="22"/>
              </w:rPr>
              <w:t>0.00</w:t>
            </w:r>
          </w:p>
        </w:tc>
        <w:tc>
          <w:tcPr>
            <w:tcW w:w="643" w:type="pct"/>
            <w:noWrap/>
            <w:vAlign w:val="bottom"/>
          </w:tcPr>
          <w:p w14:paraId="32EC4F0B" w14:textId="77777777" w:rsidR="002373D2" w:rsidRPr="005B72DB" w:rsidRDefault="002373D2" w:rsidP="00A474D2">
            <w:pPr>
              <w:spacing w:line="240" w:lineRule="auto"/>
              <w:jc w:val="center"/>
              <w:rPr>
                <w:color w:val="000000"/>
                <w:sz w:val="22"/>
              </w:rPr>
            </w:pPr>
            <w:r w:rsidRPr="005B72DB">
              <w:rPr>
                <w:color w:val="000000"/>
                <w:sz w:val="22"/>
              </w:rPr>
              <w:t>0.00%</w:t>
            </w:r>
          </w:p>
        </w:tc>
        <w:tc>
          <w:tcPr>
            <w:tcW w:w="643" w:type="pct"/>
            <w:noWrap/>
            <w:vAlign w:val="bottom"/>
          </w:tcPr>
          <w:p w14:paraId="2EA1268C" w14:textId="77777777" w:rsidR="002373D2" w:rsidRPr="005B72DB" w:rsidRDefault="002373D2" w:rsidP="00A474D2">
            <w:pPr>
              <w:spacing w:line="240" w:lineRule="auto"/>
              <w:jc w:val="center"/>
              <w:rPr>
                <w:color w:val="000000"/>
                <w:sz w:val="22"/>
              </w:rPr>
            </w:pPr>
            <w:r w:rsidRPr="005B72DB">
              <w:rPr>
                <w:color w:val="000000"/>
                <w:sz w:val="22"/>
              </w:rPr>
              <w:t>1.60</w:t>
            </w:r>
          </w:p>
        </w:tc>
        <w:tc>
          <w:tcPr>
            <w:tcW w:w="643" w:type="pct"/>
            <w:noWrap/>
            <w:vAlign w:val="bottom"/>
          </w:tcPr>
          <w:p w14:paraId="7750A29F" w14:textId="77777777" w:rsidR="002373D2" w:rsidRPr="005B72DB" w:rsidRDefault="002373D2" w:rsidP="00A474D2">
            <w:pPr>
              <w:spacing w:line="240" w:lineRule="auto"/>
              <w:jc w:val="center"/>
              <w:rPr>
                <w:color w:val="000000"/>
                <w:sz w:val="22"/>
              </w:rPr>
            </w:pPr>
            <w:r w:rsidRPr="005B72DB">
              <w:rPr>
                <w:color w:val="000000"/>
                <w:sz w:val="22"/>
              </w:rPr>
              <w:t>35.04%</w:t>
            </w:r>
          </w:p>
        </w:tc>
        <w:tc>
          <w:tcPr>
            <w:tcW w:w="643" w:type="pct"/>
            <w:noWrap/>
            <w:vAlign w:val="bottom"/>
          </w:tcPr>
          <w:p w14:paraId="6B7B9ED4" w14:textId="77777777" w:rsidR="002373D2" w:rsidRPr="005B72DB" w:rsidRDefault="002373D2" w:rsidP="00A474D2">
            <w:pPr>
              <w:spacing w:line="240" w:lineRule="auto"/>
              <w:jc w:val="center"/>
              <w:rPr>
                <w:color w:val="000000"/>
                <w:sz w:val="22"/>
              </w:rPr>
            </w:pPr>
            <w:r w:rsidRPr="005B72DB">
              <w:rPr>
                <w:color w:val="000000"/>
                <w:sz w:val="22"/>
              </w:rPr>
              <w:t>0.00</w:t>
            </w:r>
          </w:p>
        </w:tc>
        <w:tc>
          <w:tcPr>
            <w:tcW w:w="643" w:type="pct"/>
            <w:noWrap/>
            <w:vAlign w:val="bottom"/>
          </w:tcPr>
          <w:p w14:paraId="0089089B" w14:textId="77777777" w:rsidR="002373D2" w:rsidRPr="005B72DB" w:rsidRDefault="002373D2" w:rsidP="00A474D2">
            <w:pPr>
              <w:spacing w:line="240" w:lineRule="auto"/>
              <w:jc w:val="center"/>
              <w:rPr>
                <w:color w:val="000000"/>
                <w:sz w:val="22"/>
              </w:rPr>
            </w:pPr>
            <w:r w:rsidRPr="005B72DB">
              <w:rPr>
                <w:color w:val="000000"/>
                <w:sz w:val="22"/>
              </w:rPr>
              <w:t>0.00%</w:t>
            </w:r>
          </w:p>
        </w:tc>
      </w:tr>
      <w:tr w:rsidR="002373D2" w:rsidRPr="005B72DB" w14:paraId="72FFEA56" w14:textId="77777777" w:rsidTr="0051420F">
        <w:trPr>
          <w:trHeight w:val="315"/>
        </w:trPr>
        <w:tc>
          <w:tcPr>
            <w:tcW w:w="1142" w:type="pct"/>
            <w:hideMark/>
          </w:tcPr>
          <w:p w14:paraId="5A279A3A" w14:textId="77777777" w:rsidR="002373D2" w:rsidRPr="005B72DB" w:rsidRDefault="002373D2" w:rsidP="00A474D2">
            <w:pPr>
              <w:spacing w:line="240" w:lineRule="auto"/>
              <w:jc w:val="center"/>
              <w:rPr>
                <w:rFonts w:eastAsia="Times New Roman"/>
                <w:color w:val="000000"/>
                <w:sz w:val="22"/>
              </w:rPr>
            </w:pPr>
            <w:r w:rsidRPr="005B72DB">
              <w:rPr>
                <w:rFonts w:eastAsia="Times New Roman"/>
                <w:color w:val="000000"/>
                <w:sz w:val="22"/>
              </w:rPr>
              <w:t>LHC</w:t>
            </w:r>
          </w:p>
        </w:tc>
        <w:tc>
          <w:tcPr>
            <w:tcW w:w="643" w:type="pct"/>
            <w:noWrap/>
            <w:vAlign w:val="bottom"/>
          </w:tcPr>
          <w:p w14:paraId="3C548B69" w14:textId="77777777" w:rsidR="002373D2" w:rsidRPr="005B72DB" w:rsidRDefault="002373D2" w:rsidP="00A474D2">
            <w:pPr>
              <w:spacing w:line="240" w:lineRule="auto"/>
              <w:jc w:val="center"/>
              <w:rPr>
                <w:color w:val="000000"/>
                <w:sz w:val="22"/>
              </w:rPr>
            </w:pPr>
            <w:r w:rsidRPr="005B72DB">
              <w:rPr>
                <w:color w:val="000000"/>
                <w:sz w:val="22"/>
              </w:rPr>
              <w:t>1.51</w:t>
            </w:r>
          </w:p>
        </w:tc>
        <w:tc>
          <w:tcPr>
            <w:tcW w:w="643" w:type="pct"/>
            <w:noWrap/>
            <w:vAlign w:val="bottom"/>
          </w:tcPr>
          <w:p w14:paraId="1274FF55" w14:textId="77777777" w:rsidR="002373D2" w:rsidRPr="005B72DB" w:rsidRDefault="002373D2" w:rsidP="00A474D2">
            <w:pPr>
              <w:spacing w:line="240" w:lineRule="auto"/>
              <w:jc w:val="center"/>
              <w:rPr>
                <w:color w:val="000000"/>
                <w:sz w:val="22"/>
              </w:rPr>
            </w:pPr>
            <w:r w:rsidRPr="005B72DB">
              <w:rPr>
                <w:color w:val="000000"/>
                <w:sz w:val="22"/>
              </w:rPr>
              <w:t>32.93%</w:t>
            </w:r>
          </w:p>
        </w:tc>
        <w:tc>
          <w:tcPr>
            <w:tcW w:w="643" w:type="pct"/>
            <w:noWrap/>
            <w:vAlign w:val="bottom"/>
          </w:tcPr>
          <w:p w14:paraId="2D741E98" w14:textId="77777777" w:rsidR="002373D2" w:rsidRPr="005B72DB" w:rsidRDefault="002373D2" w:rsidP="00A474D2">
            <w:pPr>
              <w:spacing w:line="240" w:lineRule="auto"/>
              <w:jc w:val="center"/>
              <w:rPr>
                <w:color w:val="000000"/>
                <w:sz w:val="22"/>
              </w:rPr>
            </w:pPr>
            <w:r w:rsidRPr="005B72DB">
              <w:rPr>
                <w:color w:val="000000"/>
                <w:sz w:val="22"/>
              </w:rPr>
              <w:t>1.60</w:t>
            </w:r>
          </w:p>
        </w:tc>
        <w:tc>
          <w:tcPr>
            <w:tcW w:w="643" w:type="pct"/>
            <w:noWrap/>
            <w:vAlign w:val="bottom"/>
          </w:tcPr>
          <w:p w14:paraId="5AC68855" w14:textId="77777777" w:rsidR="002373D2" w:rsidRPr="005B72DB" w:rsidRDefault="002373D2" w:rsidP="00A474D2">
            <w:pPr>
              <w:spacing w:line="240" w:lineRule="auto"/>
              <w:jc w:val="center"/>
              <w:rPr>
                <w:color w:val="000000"/>
                <w:sz w:val="22"/>
              </w:rPr>
            </w:pPr>
            <w:r w:rsidRPr="005B72DB">
              <w:rPr>
                <w:color w:val="000000"/>
                <w:sz w:val="22"/>
              </w:rPr>
              <w:t>35.04%</w:t>
            </w:r>
          </w:p>
        </w:tc>
        <w:tc>
          <w:tcPr>
            <w:tcW w:w="643" w:type="pct"/>
            <w:noWrap/>
            <w:vAlign w:val="bottom"/>
          </w:tcPr>
          <w:p w14:paraId="0D68F9ED" w14:textId="77777777" w:rsidR="002373D2" w:rsidRPr="005B72DB" w:rsidRDefault="002373D2" w:rsidP="00A474D2">
            <w:pPr>
              <w:spacing w:line="240" w:lineRule="auto"/>
              <w:jc w:val="center"/>
              <w:rPr>
                <w:color w:val="000000"/>
                <w:sz w:val="22"/>
              </w:rPr>
            </w:pPr>
            <w:r w:rsidRPr="005B72DB">
              <w:rPr>
                <w:color w:val="000000"/>
                <w:sz w:val="22"/>
              </w:rPr>
              <w:t>0.38</w:t>
            </w:r>
          </w:p>
        </w:tc>
        <w:tc>
          <w:tcPr>
            <w:tcW w:w="643" w:type="pct"/>
            <w:noWrap/>
            <w:vAlign w:val="bottom"/>
          </w:tcPr>
          <w:p w14:paraId="0F48B2CC" w14:textId="77777777" w:rsidR="002373D2" w:rsidRPr="005B72DB" w:rsidRDefault="002373D2" w:rsidP="00A474D2">
            <w:pPr>
              <w:spacing w:line="240" w:lineRule="auto"/>
              <w:jc w:val="center"/>
              <w:rPr>
                <w:color w:val="000000"/>
                <w:sz w:val="22"/>
              </w:rPr>
            </w:pPr>
            <w:r w:rsidRPr="005B72DB">
              <w:rPr>
                <w:color w:val="000000"/>
                <w:sz w:val="22"/>
              </w:rPr>
              <w:t>8.23%</w:t>
            </w:r>
          </w:p>
        </w:tc>
      </w:tr>
      <w:tr w:rsidR="002373D2" w:rsidRPr="005B72DB" w14:paraId="7EE62BE9" w14:textId="77777777" w:rsidTr="0051420F">
        <w:trPr>
          <w:trHeight w:val="315"/>
        </w:trPr>
        <w:tc>
          <w:tcPr>
            <w:tcW w:w="1142" w:type="pct"/>
          </w:tcPr>
          <w:p w14:paraId="5ECDE837" w14:textId="77777777" w:rsidR="002373D2" w:rsidRPr="005B72DB" w:rsidRDefault="002373D2" w:rsidP="00A474D2">
            <w:pPr>
              <w:spacing w:line="240" w:lineRule="auto"/>
              <w:jc w:val="center"/>
              <w:rPr>
                <w:rFonts w:eastAsia="Times New Roman"/>
                <w:color w:val="000000"/>
              </w:rPr>
            </w:pPr>
            <w:r w:rsidRPr="005B72DB">
              <w:rPr>
                <w:rFonts w:eastAsia="Times New Roman"/>
                <w:color w:val="000000"/>
              </w:rPr>
              <w:t>UCC</w:t>
            </w:r>
          </w:p>
        </w:tc>
        <w:tc>
          <w:tcPr>
            <w:tcW w:w="643" w:type="pct"/>
            <w:noWrap/>
            <w:vAlign w:val="bottom"/>
          </w:tcPr>
          <w:p w14:paraId="1C52734E" w14:textId="77777777" w:rsidR="002373D2" w:rsidRPr="005B72DB" w:rsidRDefault="002373D2" w:rsidP="00A474D2">
            <w:pPr>
              <w:spacing w:line="240" w:lineRule="auto"/>
              <w:jc w:val="center"/>
              <w:rPr>
                <w:color w:val="000000"/>
                <w:sz w:val="22"/>
              </w:rPr>
            </w:pPr>
            <w:r w:rsidRPr="005B72DB">
              <w:rPr>
                <w:color w:val="000000"/>
                <w:sz w:val="22"/>
              </w:rPr>
              <w:t>0.99</w:t>
            </w:r>
          </w:p>
        </w:tc>
        <w:tc>
          <w:tcPr>
            <w:tcW w:w="643" w:type="pct"/>
            <w:noWrap/>
            <w:vAlign w:val="bottom"/>
          </w:tcPr>
          <w:p w14:paraId="221E2B57" w14:textId="77777777" w:rsidR="002373D2" w:rsidRPr="005B72DB" w:rsidRDefault="002373D2" w:rsidP="00A474D2">
            <w:pPr>
              <w:spacing w:line="240" w:lineRule="auto"/>
              <w:jc w:val="center"/>
              <w:rPr>
                <w:color w:val="000000"/>
                <w:sz w:val="22"/>
              </w:rPr>
            </w:pPr>
            <w:r w:rsidRPr="005B72DB">
              <w:rPr>
                <w:color w:val="000000"/>
                <w:sz w:val="22"/>
              </w:rPr>
              <w:t>21.63%</w:t>
            </w:r>
          </w:p>
        </w:tc>
        <w:tc>
          <w:tcPr>
            <w:tcW w:w="643" w:type="pct"/>
            <w:noWrap/>
            <w:vAlign w:val="bottom"/>
          </w:tcPr>
          <w:p w14:paraId="7A715E53" w14:textId="77777777" w:rsidR="002373D2" w:rsidRPr="005B72DB" w:rsidRDefault="002373D2" w:rsidP="00A474D2">
            <w:pPr>
              <w:spacing w:line="240" w:lineRule="auto"/>
              <w:jc w:val="center"/>
              <w:rPr>
                <w:color w:val="000000"/>
                <w:sz w:val="22"/>
              </w:rPr>
            </w:pPr>
            <w:r w:rsidRPr="005B72DB">
              <w:rPr>
                <w:color w:val="000000"/>
                <w:sz w:val="22"/>
              </w:rPr>
              <w:t>0.85</w:t>
            </w:r>
          </w:p>
        </w:tc>
        <w:tc>
          <w:tcPr>
            <w:tcW w:w="643" w:type="pct"/>
            <w:noWrap/>
            <w:vAlign w:val="bottom"/>
          </w:tcPr>
          <w:p w14:paraId="6A3C9F6B" w14:textId="77777777" w:rsidR="002373D2" w:rsidRPr="005B72DB" w:rsidRDefault="002373D2" w:rsidP="00A474D2">
            <w:pPr>
              <w:spacing w:line="240" w:lineRule="auto"/>
              <w:jc w:val="center"/>
              <w:rPr>
                <w:color w:val="000000"/>
                <w:sz w:val="22"/>
              </w:rPr>
            </w:pPr>
            <w:r w:rsidRPr="005B72DB">
              <w:rPr>
                <w:color w:val="000000"/>
                <w:sz w:val="22"/>
              </w:rPr>
              <w:t>18.56%</w:t>
            </w:r>
          </w:p>
        </w:tc>
        <w:tc>
          <w:tcPr>
            <w:tcW w:w="643" w:type="pct"/>
            <w:noWrap/>
            <w:vAlign w:val="bottom"/>
          </w:tcPr>
          <w:p w14:paraId="32BCC315" w14:textId="77777777" w:rsidR="002373D2" w:rsidRPr="005B72DB" w:rsidRDefault="002373D2" w:rsidP="00A474D2">
            <w:pPr>
              <w:spacing w:line="240" w:lineRule="auto"/>
              <w:jc w:val="center"/>
              <w:rPr>
                <w:color w:val="000000"/>
                <w:sz w:val="22"/>
              </w:rPr>
            </w:pPr>
            <w:r w:rsidRPr="005B72DB">
              <w:rPr>
                <w:color w:val="000000"/>
                <w:sz w:val="22"/>
              </w:rPr>
              <w:t>0.70</w:t>
            </w:r>
          </w:p>
        </w:tc>
        <w:tc>
          <w:tcPr>
            <w:tcW w:w="643" w:type="pct"/>
            <w:noWrap/>
            <w:vAlign w:val="bottom"/>
          </w:tcPr>
          <w:p w14:paraId="0E94D619" w14:textId="77777777" w:rsidR="002373D2" w:rsidRPr="005B72DB" w:rsidRDefault="002373D2" w:rsidP="00A474D2">
            <w:pPr>
              <w:spacing w:line="240" w:lineRule="auto"/>
              <w:jc w:val="center"/>
              <w:rPr>
                <w:color w:val="000000"/>
                <w:sz w:val="22"/>
              </w:rPr>
            </w:pPr>
            <w:r w:rsidRPr="005B72DB">
              <w:rPr>
                <w:color w:val="000000"/>
                <w:sz w:val="22"/>
              </w:rPr>
              <w:t>15.45%</w:t>
            </w:r>
          </w:p>
        </w:tc>
      </w:tr>
      <w:tr w:rsidR="002373D2" w:rsidRPr="005B72DB" w14:paraId="41FF4F0B" w14:textId="77777777" w:rsidTr="0051420F">
        <w:trPr>
          <w:trHeight w:val="315"/>
        </w:trPr>
        <w:tc>
          <w:tcPr>
            <w:tcW w:w="1142" w:type="pct"/>
            <w:hideMark/>
          </w:tcPr>
          <w:p w14:paraId="5F2F77A3" w14:textId="77777777" w:rsidR="002373D2" w:rsidRPr="005B72DB" w:rsidRDefault="002373D2" w:rsidP="00A474D2">
            <w:pPr>
              <w:spacing w:line="240" w:lineRule="auto"/>
              <w:jc w:val="center"/>
              <w:rPr>
                <w:rFonts w:eastAsia="Times New Roman"/>
                <w:color w:val="000000"/>
                <w:sz w:val="22"/>
              </w:rPr>
            </w:pPr>
            <w:r w:rsidRPr="005B72DB">
              <w:rPr>
                <w:rFonts w:eastAsia="Times New Roman"/>
                <w:color w:val="000000"/>
              </w:rPr>
              <w:lastRenderedPageBreak/>
              <w:t>Local Carrier</w:t>
            </w:r>
          </w:p>
        </w:tc>
        <w:tc>
          <w:tcPr>
            <w:tcW w:w="643" w:type="pct"/>
            <w:noWrap/>
            <w:vAlign w:val="bottom"/>
          </w:tcPr>
          <w:p w14:paraId="3B0D9AEE" w14:textId="77777777" w:rsidR="002373D2" w:rsidRPr="005B72DB" w:rsidRDefault="002373D2" w:rsidP="00A474D2">
            <w:pPr>
              <w:spacing w:line="240" w:lineRule="auto"/>
              <w:jc w:val="center"/>
              <w:rPr>
                <w:color w:val="000000"/>
                <w:sz w:val="22"/>
              </w:rPr>
            </w:pPr>
            <w:r w:rsidRPr="005B72DB">
              <w:rPr>
                <w:color w:val="000000"/>
                <w:sz w:val="22"/>
              </w:rPr>
              <w:t>2.08</w:t>
            </w:r>
          </w:p>
        </w:tc>
        <w:tc>
          <w:tcPr>
            <w:tcW w:w="643" w:type="pct"/>
            <w:noWrap/>
            <w:vAlign w:val="bottom"/>
          </w:tcPr>
          <w:p w14:paraId="13FD79D3" w14:textId="77777777" w:rsidR="002373D2" w:rsidRPr="005B72DB" w:rsidRDefault="002373D2" w:rsidP="00A474D2">
            <w:pPr>
              <w:spacing w:line="240" w:lineRule="auto"/>
              <w:jc w:val="center"/>
              <w:rPr>
                <w:color w:val="000000"/>
                <w:sz w:val="22"/>
              </w:rPr>
            </w:pPr>
            <w:r w:rsidRPr="005B72DB">
              <w:rPr>
                <w:color w:val="000000"/>
                <w:sz w:val="22"/>
              </w:rPr>
              <w:t>45.44%</w:t>
            </w:r>
          </w:p>
        </w:tc>
        <w:tc>
          <w:tcPr>
            <w:tcW w:w="643" w:type="pct"/>
            <w:noWrap/>
            <w:vAlign w:val="bottom"/>
          </w:tcPr>
          <w:p w14:paraId="7E375390" w14:textId="77777777" w:rsidR="002373D2" w:rsidRPr="005B72DB" w:rsidRDefault="002373D2" w:rsidP="00A474D2">
            <w:pPr>
              <w:spacing w:line="240" w:lineRule="auto"/>
              <w:jc w:val="center"/>
              <w:rPr>
                <w:color w:val="000000"/>
                <w:sz w:val="22"/>
              </w:rPr>
            </w:pPr>
            <w:r w:rsidRPr="005B72DB">
              <w:rPr>
                <w:color w:val="000000"/>
                <w:sz w:val="22"/>
              </w:rPr>
              <w:t>0.53</w:t>
            </w:r>
          </w:p>
        </w:tc>
        <w:tc>
          <w:tcPr>
            <w:tcW w:w="643" w:type="pct"/>
            <w:noWrap/>
            <w:vAlign w:val="bottom"/>
          </w:tcPr>
          <w:p w14:paraId="2B8DB932" w14:textId="77777777" w:rsidR="002373D2" w:rsidRPr="005B72DB" w:rsidRDefault="002373D2" w:rsidP="00A474D2">
            <w:pPr>
              <w:spacing w:line="240" w:lineRule="auto"/>
              <w:jc w:val="center"/>
              <w:rPr>
                <w:color w:val="000000"/>
                <w:sz w:val="22"/>
              </w:rPr>
            </w:pPr>
            <w:r w:rsidRPr="005B72DB">
              <w:rPr>
                <w:color w:val="000000"/>
                <w:sz w:val="22"/>
              </w:rPr>
              <w:t>11.36%</w:t>
            </w:r>
          </w:p>
        </w:tc>
        <w:tc>
          <w:tcPr>
            <w:tcW w:w="643" w:type="pct"/>
            <w:noWrap/>
            <w:vAlign w:val="bottom"/>
          </w:tcPr>
          <w:p w14:paraId="77066CA2" w14:textId="77777777" w:rsidR="002373D2" w:rsidRPr="005B72DB" w:rsidRDefault="002373D2" w:rsidP="00A474D2">
            <w:pPr>
              <w:spacing w:line="240" w:lineRule="auto"/>
              <w:jc w:val="center"/>
              <w:rPr>
                <w:color w:val="000000"/>
                <w:sz w:val="22"/>
              </w:rPr>
            </w:pPr>
            <w:r w:rsidRPr="005B72DB">
              <w:rPr>
                <w:color w:val="000000"/>
                <w:sz w:val="22"/>
              </w:rPr>
              <w:t>1.75</w:t>
            </w:r>
          </w:p>
        </w:tc>
        <w:tc>
          <w:tcPr>
            <w:tcW w:w="643" w:type="pct"/>
            <w:noWrap/>
            <w:vAlign w:val="bottom"/>
          </w:tcPr>
          <w:p w14:paraId="4C8268E7" w14:textId="77777777" w:rsidR="002373D2" w:rsidRPr="005B72DB" w:rsidRDefault="002373D2" w:rsidP="00A474D2">
            <w:pPr>
              <w:spacing w:line="240" w:lineRule="auto"/>
              <w:jc w:val="center"/>
              <w:rPr>
                <w:color w:val="000000"/>
                <w:sz w:val="22"/>
              </w:rPr>
            </w:pPr>
            <w:r w:rsidRPr="005B72DB">
              <w:rPr>
                <w:color w:val="000000"/>
                <w:sz w:val="22"/>
              </w:rPr>
              <w:t>38.16%</w:t>
            </w:r>
          </w:p>
        </w:tc>
      </w:tr>
      <w:tr w:rsidR="002373D2" w:rsidRPr="005B72DB" w14:paraId="283CEF19" w14:textId="77777777" w:rsidTr="0051420F">
        <w:trPr>
          <w:trHeight w:val="315"/>
        </w:trPr>
        <w:tc>
          <w:tcPr>
            <w:tcW w:w="1142" w:type="pct"/>
            <w:hideMark/>
          </w:tcPr>
          <w:p w14:paraId="7A882CC3" w14:textId="77777777" w:rsidR="002373D2" w:rsidRPr="005B72DB" w:rsidRDefault="002373D2" w:rsidP="00A474D2">
            <w:pPr>
              <w:spacing w:line="240" w:lineRule="auto"/>
              <w:jc w:val="center"/>
              <w:rPr>
                <w:rFonts w:eastAsia="Times New Roman"/>
                <w:color w:val="000000"/>
                <w:sz w:val="22"/>
              </w:rPr>
            </w:pPr>
            <w:r w:rsidRPr="005B72DB">
              <w:rPr>
                <w:rFonts w:eastAsia="Times New Roman"/>
                <w:color w:val="000000"/>
                <w:sz w:val="22"/>
              </w:rPr>
              <w:t>Consumer</w:t>
            </w:r>
          </w:p>
        </w:tc>
        <w:tc>
          <w:tcPr>
            <w:tcW w:w="643" w:type="pct"/>
            <w:noWrap/>
            <w:vAlign w:val="bottom"/>
          </w:tcPr>
          <w:p w14:paraId="552A37E3" w14:textId="77777777" w:rsidR="002373D2" w:rsidRPr="005B72DB" w:rsidRDefault="002373D2" w:rsidP="00A474D2">
            <w:pPr>
              <w:spacing w:line="240" w:lineRule="auto"/>
              <w:jc w:val="center"/>
              <w:rPr>
                <w:color w:val="000000"/>
                <w:sz w:val="22"/>
              </w:rPr>
            </w:pPr>
            <w:r w:rsidRPr="005B72DB">
              <w:rPr>
                <w:color w:val="000000"/>
                <w:sz w:val="22"/>
              </w:rPr>
              <w:t>0.00</w:t>
            </w:r>
          </w:p>
        </w:tc>
        <w:tc>
          <w:tcPr>
            <w:tcW w:w="643" w:type="pct"/>
            <w:noWrap/>
            <w:vAlign w:val="bottom"/>
          </w:tcPr>
          <w:p w14:paraId="4FAEF3D4" w14:textId="77777777" w:rsidR="002373D2" w:rsidRPr="005B72DB" w:rsidRDefault="002373D2" w:rsidP="00A474D2">
            <w:pPr>
              <w:spacing w:line="240" w:lineRule="auto"/>
              <w:jc w:val="center"/>
              <w:rPr>
                <w:color w:val="000000"/>
                <w:sz w:val="22"/>
              </w:rPr>
            </w:pPr>
            <w:r w:rsidRPr="005B72DB">
              <w:rPr>
                <w:color w:val="000000"/>
                <w:sz w:val="22"/>
              </w:rPr>
              <w:t>0.00%</w:t>
            </w:r>
          </w:p>
        </w:tc>
        <w:tc>
          <w:tcPr>
            <w:tcW w:w="643" w:type="pct"/>
            <w:noWrap/>
            <w:vAlign w:val="bottom"/>
          </w:tcPr>
          <w:p w14:paraId="05CCE93B" w14:textId="77777777" w:rsidR="002373D2" w:rsidRPr="005B72DB" w:rsidRDefault="002373D2" w:rsidP="00A474D2">
            <w:pPr>
              <w:spacing w:line="240" w:lineRule="auto"/>
              <w:jc w:val="center"/>
              <w:rPr>
                <w:color w:val="000000"/>
                <w:sz w:val="22"/>
              </w:rPr>
            </w:pPr>
            <w:r w:rsidRPr="005B72DB">
              <w:rPr>
                <w:color w:val="000000"/>
                <w:sz w:val="22"/>
              </w:rPr>
              <w:t>0.00</w:t>
            </w:r>
          </w:p>
        </w:tc>
        <w:tc>
          <w:tcPr>
            <w:tcW w:w="643" w:type="pct"/>
            <w:noWrap/>
            <w:vAlign w:val="bottom"/>
          </w:tcPr>
          <w:p w14:paraId="211C2E6A" w14:textId="77777777" w:rsidR="002373D2" w:rsidRPr="005B72DB" w:rsidRDefault="002373D2" w:rsidP="00A474D2">
            <w:pPr>
              <w:spacing w:line="240" w:lineRule="auto"/>
              <w:jc w:val="center"/>
              <w:rPr>
                <w:color w:val="000000"/>
                <w:sz w:val="22"/>
              </w:rPr>
            </w:pPr>
            <w:r w:rsidRPr="005B72DB">
              <w:rPr>
                <w:color w:val="000000"/>
                <w:sz w:val="22"/>
              </w:rPr>
              <w:t>0.00%</w:t>
            </w:r>
          </w:p>
        </w:tc>
        <w:tc>
          <w:tcPr>
            <w:tcW w:w="643" w:type="pct"/>
            <w:noWrap/>
            <w:vAlign w:val="bottom"/>
          </w:tcPr>
          <w:p w14:paraId="512D51E7" w14:textId="77777777" w:rsidR="002373D2" w:rsidRPr="005B72DB" w:rsidRDefault="002373D2" w:rsidP="00A474D2">
            <w:pPr>
              <w:spacing w:line="240" w:lineRule="auto"/>
              <w:jc w:val="center"/>
              <w:rPr>
                <w:color w:val="000000"/>
                <w:sz w:val="22"/>
              </w:rPr>
            </w:pPr>
            <w:r w:rsidRPr="005B72DB">
              <w:rPr>
                <w:color w:val="000000"/>
                <w:sz w:val="22"/>
              </w:rPr>
              <w:t>1.75</w:t>
            </w:r>
          </w:p>
        </w:tc>
        <w:tc>
          <w:tcPr>
            <w:tcW w:w="643" w:type="pct"/>
            <w:noWrap/>
            <w:vAlign w:val="bottom"/>
          </w:tcPr>
          <w:p w14:paraId="52ABEA00" w14:textId="77777777" w:rsidR="002373D2" w:rsidRPr="005B72DB" w:rsidRDefault="002373D2" w:rsidP="00A474D2">
            <w:pPr>
              <w:spacing w:line="240" w:lineRule="auto"/>
              <w:jc w:val="center"/>
              <w:rPr>
                <w:color w:val="000000"/>
                <w:sz w:val="22"/>
              </w:rPr>
            </w:pPr>
            <w:r w:rsidRPr="005B72DB">
              <w:rPr>
                <w:color w:val="000000"/>
                <w:sz w:val="22"/>
              </w:rPr>
              <w:t>38.16%</w:t>
            </w:r>
          </w:p>
        </w:tc>
      </w:tr>
      <w:tr w:rsidR="002373D2" w:rsidRPr="005B72DB" w14:paraId="01D02C30" w14:textId="77777777" w:rsidTr="0051420F">
        <w:trPr>
          <w:trHeight w:val="315"/>
        </w:trPr>
        <w:tc>
          <w:tcPr>
            <w:tcW w:w="1142" w:type="pct"/>
            <w:hideMark/>
          </w:tcPr>
          <w:p w14:paraId="44AD578A" w14:textId="77777777" w:rsidR="002373D2" w:rsidRPr="005B72DB" w:rsidRDefault="002373D2" w:rsidP="00A474D2">
            <w:pPr>
              <w:spacing w:line="240" w:lineRule="auto"/>
              <w:jc w:val="center"/>
              <w:rPr>
                <w:rFonts w:eastAsia="Times New Roman"/>
                <w:color w:val="000000"/>
                <w:sz w:val="22"/>
              </w:rPr>
            </w:pPr>
            <w:r w:rsidRPr="005B72DB">
              <w:rPr>
                <w:rFonts w:eastAsia="Times New Roman"/>
                <w:color w:val="000000"/>
                <w:sz w:val="22"/>
              </w:rPr>
              <w:t>Total</w:t>
            </w:r>
          </w:p>
        </w:tc>
        <w:tc>
          <w:tcPr>
            <w:tcW w:w="643" w:type="pct"/>
            <w:noWrap/>
            <w:vAlign w:val="bottom"/>
          </w:tcPr>
          <w:p w14:paraId="49043195" w14:textId="77777777" w:rsidR="002373D2" w:rsidRPr="005B72DB" w:rsidRDefault="002373D2" w:rsidP="00A474D2">
            <w:pPr>
              <w:spacing w:line="240" w:lineRule="auto"/>
              <w:jc w:val="center"/>
              <w:rPr>
                <w:color w:val="000000"/>
                <w:sz w:val="22"/>
              </w:rPr>
            </w:pPr>
            <w:r w:rsidRPr="005B72DB">
              <w:rPr>
                <w:color w:val="000000"/>
                <w:sz w:val="22"/>
              </w:rPr>
              <w:t>4.58</w:t>
            </w:r>
          </w:p>
        </w:tc>
        <w:tc>
          <w:tcPr>
            <w:tcW w:w="643" w:type="pct"/>
            <w:noWrap/>
            <w:vAlign w:val="bottom"/>
          </w:tcPr>
          <w:p w14:paraId="40EF02E9" w14:textId="77777777" w:rsidR="002373D2" w:rsidRPr="005B72DB" w:rsidRDefault="002373D2" w:rsidP="00A474D2">
            <w:pPr>
              <w:spacing w:line="240" w:lineRule="auto"/>
              <w:jc w:val="center"/>
              <w:rPr>
                <w:color w:val="000000"/>
                <w:sz w:val="22"/>
              </w:rPr>
            </w:pPr>
            <w:r w:rsidRPr="005B72DB">
              <w:rPr>
                <w:color w:val="000000"/>
                <w:sz w:val="22"/>
              </w:rPr>
              <w:t>100%</w:t>
            </w:r>
          </w:p>
        </w:tc>
        <w:tc>
          <w:tcPr>
            <w:tcW w:w="643" w:type="pct"/>
            <w:noWrap/>
            <w:vAlign w:val="bottom"/>
          </w:tcPr>
          <w:p w14:paraId="2C4F800F" w14:textId="77777777" w:rsidR="002373D2" w:rsidRPr="005B72DB" w:rsidRDefault="002373D2" w:rsidP="00A474D2">
            <w:pPr>
              <w:spacing w:line="240" w:lineRule="auto"/>
              <w:jc w:val="center"/>
              <w:rPr>
                <w:color w:val="000000"/>
                <w:sz w:val="22"/>
              </w:rPr>
            </w:pPr>
            <w:r w:rsidRPr="005B72DB">
              <w:rPr>
                <w:color w:val="000000"/>
                <w:sz w:val="22"/>
              </w:rPr>
              <w:t>4.58</w:t>
            </w:r>
          </w:p>
        </w:tc>
        <w:tc>
          <w:tcPr>
            <w:tcW w:w="643" w:type="pct"/>
            <w:noWrap/>
            <w:vAlign w:val="bottom"/>
          </w:tcPr>
          <w:p w14:paraId="00F08A02" w14:textId="77777777" w:rsidR="002373D2" w:rsidRPr="005B72DB" w:rsidRDefault="002373D2" w:rsidP="00A474D2">
            <w:pPr>
              <w:spacing w:line="240" w:lineRule="auto"/>
              <w:jc w:val="center"/>
              <w:rPr>
                <w:color w:val="000000"/>
                <w:sz w:val="22"/>
              </w:rPr>
            </w:pPr>
            <w:r w:rsidRPr="005B72DB">
              <w:rPr>
                <w:color w:val="000000"/>
                <w:sz w:val="22"/>
              </w:rPr>
              <w:t>100%</w:t>
            </w:r>
          </w:p>
        </w:tc>
        <w:tc>
          <w:tcPr>
            <w:tcW w:w="643" w:type="pct"/>
            <w:noWrap/>
            <w:vAlign w:val="bottom"/>
          </w:tcPr>
          <w:p w14:paraId="26EB17F0" w14:textId="77777777" w:rsidR="002373D2" w:rsidRPr="005B72DB" w:rsidRDefault="002373D2" w:rsidP="00A474D2">
            <w:pPr>
              <w:spacing w:line="240" w:lineRule="auto"/>
              <w:jc w:val="center"/>
              <w:rPr>
                <w:color w:val="000000"/>
                <w:sz w:val="22"/>
              </w:rPr>
            </w:pPr>
            <w:r w:rsidRPr="005B72DB">
              <w:rPr>
                <w:color w:val="000000"/>
                <w:sz w:val="22"/>
              </w:rPr>
              <w:t>4.58</w:t>
            </w:r>
          </w:p>
        </w:tc>
        <w:tc>
          <w:tcPr>
            <w:tcW w:w="643" w:type="pct"/>
            <w:noWrap/>
            <w:vAlign w:val="bottom"/>
          </w:tcPr>
          <w:p w14:paraId="24022849" w14:textId="77777777" w:rsidR="002373D2" w:rsidRPr="005B72DB" w:rsidRDefault="002373D2" w:rsidP="00A474D2">
            <w:pPr>
              <w:spacing w:line="240" w:lineRule="auto"/>
              <w:jc w:val="center"/>
              <w:rPr>
                <w:color w:val="000000"/>
                <w:sz w:val="22"/>
              </w:rPr>
            </w:pPr>
            <w:r w:rsidRPr="005B72DB">
              <w:rPr>
                <w:color w:val="000000"/>
                <w:sz w:val="22"/>
              </w:rPr>
              <w:t>100%</w:t>
            </w:r>
          </w:p>
        </w:tc>
      </w:tr>
    </w:tbl>
    <w:p w14:paraId="2A3BD6FD" w14:textId="03AB4927" w:rsidR="002373D2" w:rsidRDefault="007B5959" w:rsidP="00A474D2">
      <w:pPr>
        <w:pStyle w:val="Caption"/>
      </w:pPr>
      <w:bookmarkStart w:id="1061" w:name="_Ref25335648"/>
      <w:bookmarkStart w:id="1062" w:name="_Toc46053598"/>
      <w:bookmarkStart w:id="1063" w:name="_Toc46093847"/>
      <w:bookmarkStart w:id="1064" w:name="_Toc66698814"/>
      <w:bookmarkEnd w:id="1060"/>
      <w:r>
        <w:t>Table</w:t>
      </w:r>
      <w:r w:rsidR="00A474D2" w:rsidRPr="005B72DB">
        <w:t xml:space="preserve"> </w:t>
      </w:r>
      <w:r w:rsidR="000306D9">
        <w:fldChar w:fldCharType="begin"/>
      </w:r>
      <w:r w:rsidR="000306D9">
        <w:instrText xml:space="preserve"> STYLEREF 1 \s </w:instrText>
      </w:r>
      <w:r w:rsidR="000306D9">
        <w:fldChar w:fldCharType="separate"/>
      </w:r>
      <w:r w:rsidR="0005064B">
        <w:rPr>
          <w:noProof/>
        </w:rPr>
        <w:t>7</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7</w:t>
      </w:r>
      <w:r w:rsidR="000306D9">
        <w:rPr>
          <w:noProof/>
        </w:rPr>
        <w:fldChar w:fldCharType="end"/>
      </w:r>
      <w:bookmarkEnd w:id="1061"/>
      <w:r w:rsidR="004D6792">
        <w:t>:</w:t>
      </w:r>
      <w:r w:rsidR="00A474D2" w:rsidRPr="005B72DB">
        <w:t xml:space="preserve"> Cost allocations under the outsourcing strategy without total cost change (€/parcel)</w:t>
      </w:r>
      <w:bookmarkEnd w:id="1062"/>
      <w:bookmarkEnd w:id="1063"/>
      <w:bookmarkEnd w:id="1064"/>
    </w:p>
    <w:p w14:paraId="54B363D1" w14:textId="77777777" w:rsidR="002373D2" w:rsidRPr="005B72DB" w:rsidRDefault="002373D2" w:rsidP="002373D2">
      <w:pPr>
        <w:pStyle w:val="Heading4"/>
        <w:spacing w:after="0" w:line="360" w:lineRule="auto"/>
        <w:rPr>
          <w:rFonts w:eastAsia="等线"/>
        </w:rPr>
      </w:pPr>
      <w:r w:rsidRPr="005B72DB">
        <w:t xml:space="preserve">Assumption 2: outsource with total cost </w:t>
      </w:r>
      <w:proofErr w:type="gramStart"/>
      <w:r w:rsidRPr="005B72DB">
        <w:t>changes</w:t>
      </w:r>
      <w:proofErr w:type="gramEnd"/>
    </w:p>
    <w:p w14:paraId="052527D9" w14:textId="39732AED" w:rsidR="002373D2" w:rsidRPr="00A474D2" w:rsidRDefault="002373D2" w:rsidP="007548C6">
      <w:pPr>
        <w:spacing w:after="240" w:line="360" w:lineRule="auto"/>
        <w:rPr>
          <w:rFonts w:eastAsia="等线"/>
        </w:rPr>
      </w:pPr>
      <w:r w:rsidRPr="005B72DB">
        <w:rPr>
          <w:rFonts w:eastAsia="等线"/>
        </w:rPr>
        <w:t xml:space="preserve">The outsourcing of last-mile delivery activities could, however, cause changes in the total cost structure. In this case, several considerations can be made </w:t>
      </w:r>
      <w:proofErr w:type="gramStart"/>
      <w:r w:rsidRPr="005B72DB">
        <w:rPr>
          <w:rFonts w:eastAsia="等线"/>
        </w:rPr>
        <w:t>on the basis of</w:t>
      </w:r>
      <w:proofErr w:type="gramEnd"/>
      <w:r w:rsidRPr="005B72DB">
        <w:rPr>
          <w:rFonts w:eastAsia="等线"/>
        </w:rPr>
        <w:t xml:space="preserve"> the cost of the last-mile delivery activities performed by an outsourced carrier. If such local carrier can keep its cost lower than € 2.76/parcel (see in </w:t>
      </w:r>
      <w:r w:rsidRPr="005B72DB">
        <w:rPr>
          <w:rFonts w:eastAsia="等线"/>
        </w:rPr>
        <w:fldChar w:fldCharType="begin"/>
      </w:r>
      <w:r w:rsidRPr="005B72DB">
        <w:rPr>
          <w:rFonts w:eastAsia="等线"/>
        </w:rPr>
        <w:instrText xml:space="preserve"> REF _Ref21456556 \h  \* MERGEFORMAT </w:instrText>
      </w:r>
      <w:r w:rsidRPr="005B72DB">
        <w:rPr>
          <w:rFonts w:eastAsia="等线"/>
        </w:rPr>
      </w:r>
      <w:r w:rsidRPr="005B72DB">
        <w:rPr>
          <w:rFonts w:eastAsia="等线"/>
        </w:rPr>
        <w:fldChar w:fldCharType="separate"/>
      </w:r>
      <w:r w:rsidR="0005064B" w:rsidRPr="0005064B">
        <w:rPr>
          <w:rFonts w:eastAsia="等线"/>
        </w:rPr>
        <w:t>Table 7</w:t>
      </w:r>
      <w:r w:rsidR="0005064B" w:rsidRPr="0005064B">
        <w:rPr>
          <w:rFonts w:eastAsia="等线"/>
        </w:rPr>
        <w:noBreakHyphen/>
        <w:t>8</w:t>
      </w:r>
      <w:r w:rsidRPr="005B72DB">
        <w:rPr>
          <w:rFonts w:eastAsia="等线"/>
        </w:rPr>
        <w:fldChar w:fldCharType="end"/>
      </w:r>
      <w:r w:rsidRPr="005B72DB">
        <w:rPr>
          <w:rFonts w:eastAsia="等线"/>
        </w:rPr>
        <w:t xml:space="preserve">), the outsourcing strategy is convenient, from a UCC perspective, under all the principles (LRS, UES and DES). Otherwise, cost allocation based on UES principle will be higher than the best solution provided by an in-house strategy (€1.02/parcel). As such, LRS and DES principles need to be preferred by the UCC (see </w:t>
      </w:r>
      <w:r w:rsidRPr="005B72DB">
        <w:rPr>
          <w:rFonts w:eastAsia="等线"/>
        </w:rPr>
        <w:fldChar w:fldCharType="begin"/>
      </w:r>
      <w:r w:rsidRPr="005B72DB">
        <w:rPr>
          <w:rFonts w:eastAsia="等线"/>
        </w:rPr>
        <w:instrText xml:space="preserve"> REF _Ref26570503 \h  \* MERGEFORMAT </w:instrText>
      </w:r>
      <w:r w:rsidRPr="005B72DB">
        <w:rPr>
          <w:rFonts w:eastAsia="等线"/>
        </w:rPr>
      </w:r>
      <w:r w:rsidRPr="005B72DB">
        <w:rPr>
          <w:rFonts w:eastAsia="等线"/>
        </w:rPr>
        <w:fldChar w:fldCharType="separate"/>
      </w:r>
      <w:r w:rsidR="0005064B" w:rsidRPr="0005064B">
        <w:rPr>
          <w:rFonts w:eastAsia="等线"/>
        </w:rPr>
        <w:t>Figure 7</w:t>
      </w:r>
      <w:r w:rsidR="0005064B" w:rsidRPr="0005064B">
        <w:rPr>
          <w:rFonts w:eastAsia="等线"/>
        </w:rPr>
        <w:noBreakHyphen/>
        <w:t>3</w:t>
      </w:r>
      <w:r w:rsidRPr="005B72DB">
        <w:rPr>
          <w:rFonts w:eastAsia="等线"/>
        </w:rPr>
        <w:fldChar w:fldCharType="end"/>
      </w:r>
      <w:r w:rsidRPr="005B72DB">
        <w:rPr>
          <w:rFonts w:eastAsia="等线"/>
        </w:rPr>
        <w:t xml:space="preserve">). </w:t>
      </w:r>
    </w:p>
    <w:tbl>
      <w:tblPr>
        <w:tblStyle w:val="TableGrid1"/>
        <w:tblW w:w="5000" w:type="pct"/>
        <w:tblLook w:val="04A0" w:firstRow="1" w:lastRow="0" w:firstColumn="1" w:lastColumn="0" w:noHBand="0" w:noVBand="1"/>
      </w:tblPr>
      <w:tblGrid>
        <w:gridCol w:w="2060"/>
        <w:gridCol w:w="1160"/>
        <w:gridCol w:w="1160"/>
        <w:gridCol w:w="1159"/>
        <w:gridCol w:w="1159"/>
        <w:gridCol w:w="1159"/>
        <w:gridCol w:w="1159"/>
      </w:tblGrid>
      <w:tr w:rsidR="002373D2" w:rsidRPr="005B72DB" w14:paraId="497B23D2" w14:textId="77777777" w:rsidTr="0051420F">
        <w:trPr>
          <w:trHeight w:val="315"/>
        </w:trPr>
        <w:tc>
          <w:tcPr>
            <w:tcW w:w="1142" w:type="pct"/>
            <w:vAlign w:val="center"/>
            <w:hideMark/>
          </w:tcPr>
          <w:p w14:paraId="7D76694C" w14:textId="77777777" w:rsidR="002373D2" w:rsidRPr="005B72DB" w:rsidRDefault="002373D2" w:rsidP="00A474D2">
            <w:pPr>
              <w:spacing w:line="240" w:lineRule="auto"/>
              <w:jc w:val="center"/>
              <w:rPr>
                <w:rFonts w:eastAsia="Times New Roman"/>
                <w:b/>
                <w:bCs/>
                <w:color w:val="000000"/>
                <w:sz w:val="22"/>
              </w:rPr>
            </w:pPr>
            <w:r w:rsidRPr="005B72DB">
              <w:rPr>
                <w:rFonts w:eastAsia="Times New Roman"/>
                <w:b/>
                <w:bCs/>
                <w:color w:val="000000"/>
                <w:sz w:val="22"/>
              </w:rPr>
              <w:t>Types of Stakeholders</w:t>
            </w:r>
          </w:p>
        </w:tc>
        <w:tc>
          <w:tcPr>
            <w:tcW w:w="643" w:type="pct"/>
            <w:noWrap/>
            <w:vAlign w:val="center"/>
            <w:hideMark/>
          </w:tcPr>
          <w:p w14:paraId="42B29506" w14:textId="77777777" w:rsidR="002373D2" w:rsidRPr="005B72DB" w:rsidRDefault="002373D2" w:rsidP="00A474D2">
            <w:pPr>
              <w:spacing w:line="240" w:lineRule="auto"/>
              <w:jc w:val="center"/>
              <w:rPr>
                <w:rFonts w:eastAsia="Times New Roman"/>
                <w:b/>
                <w:bCs/>
                <w:color w:val="000000"/>
                <w:sz w:val="22"/>
              </w:rPr>
            </w:pPr>
            <w:r w:rsidRPr="005B72DB">
              <w:rPr>
                <w:rFonts w:eastAsia="Times New Roman"/>
                <w:b/>
                <w:bCs/>
                <w:color w:val="000000"/>
                <w:sz w:val="22"/>
              </w:rPr>
              <w:t>LRS</w:t>
            </w:r>
          </w:p>
          <w:p w14:paraId="580BF04E" w14:textId="77777777" w:rsidR="002373D2" w:rsidRPr="005B72DB" w:rsidRDefault="002373D2" w:rsidP="00A474D2">
            <w:pPr>
              <w:spacing w:line="240" w:lineRule="auto"/>
              <w:jc w:val="center"/>
              <w:rPr>
                <w:b/>
                <w:bCs/>
                <w:color w:val="000000"/>
                <w:sz w:val="22"/>
              </w:rPr>
            </w:pPr>
            <w:r w:rsidRPr="005B72DB">
              <w:rPr>
                <w:b/>
                <w:bCs/>
                <w:color w:val="000000"/>
                <w:sz w:val="22"/>
              </w:rPr>
              <w:t>(</w:t>
            </w:r>
            <w:r w:rsidRPr="005B72DB">
              <w:rPr>
                <w:rFonts w:cs="Calibri"/>
                <w:b/>
                <w:bCs/>
                <w:color w:val="000000"/>
                <w:sz w:val="22"/>
              </w:rPr>
              <w:t>€</w:t>
            </w:r>
            <w:r w:rsidRPr="005B72DB">
              <w:rPr>
                <w:b/>
                <w:bCs/>
                <w:color w:val="000000"/>
                <w:sz w:val="22"/>
              </w:rPr>
              <w:t>)</w:t>
            </w:r>
          </w:p>
        </w:tc>
        <w:tc>
          <w:tcPr>
            <w:tcW w:w="643" w:type="pct"/>
            <w:noWrap/>
            <w:vAlign w:val="center"/>
            <w:hideMark/>
          </w:tcPr>
          <w:p w14:paraId="5D0EB41B" w14:textId="77777777" w:rsidR="002373D2" w:rsidRPr="005B72DB" w:rsidRDefault="002373D2" w:rsidP="00A474D2">
            <w:pPr>
              <w:spacing w:line="240" w:lineRule="auto"/>
              <w:jc w:val="center"/>
              <w:rPr>
                <w:rFonts w:eastAsia="Times New Roman"/>
                <w:b/>
                <w:bCs/>
                <w:color w:val="000000"/>
                <w:sz w:val="22"/>
              </w:rPr>
            </w:pPr>
            <w:r w:rsidRPr="005B72DB">
              <w:rPr>
                <w:rFonts w:eastAsia="Times New Roman"/>
                <w:b/>
                <w:bCs/>
                <w:color w:val="000000"/>
                <w:sz w:val="22"/>
              </w:rPr>
              <w:t>LRS</w:t>
            </w:r>
          </w:p>
          <w:p w14:paraId="18204C7F" w14:textId="77777777" w:rsidR="002373D2" w:rsidRPr="005B72DB" w:rsidRDefault="002373D2" w:rsidP="00A474D2">
            <w:pPr>
              <w:spacing w:line="240" w:lineRule="auto"/>
              <w:jc w:val="center"/>
              <w:rPr>
                <w:rFonts w:eastAsia="Times New Roman"/>
                <w:b/>
                <w:bCs/>
                <w:color w:val="000000"/>
                <w:sz w:val="22"/>
              </w:rPr>
            </w:pPr>
            <w:r w:rsidRPr="005B72DB">
              <w:rPr>
                <w:rFonts w:eastAsia="Times New Roman"/>
                <w:b/>
                <w:bCs/>
                <w:color w:val="000000"/>
                <w:sz w:val="22"/>
              </w:rPr>
              <w:t>(%)</w:t>
            </w:r>
          </w:p>
        </w:tc>
        <w:tc>
          <w:tcPr>
            <w:tcW w:w="643" w:type="pct"/>
            <w:noWrap/>
            <w:vAlign w:val="center"/>
            <w:hideMark/>
          </w:tcPr>
          <w:p w14:paraId="2A237210" w14:textId="77777777" w:rsidR="002373D2" w:rsidRPr="005B72DB" w:rsidRDefault="002373D2" w:rsidP="00A474D2">
            <w:pPr>
              <w:spacing w:line="240" w:lineRule="auto"/>
              <w:jc w:val="center"/>
              <w:rPr>
                <w:rFonts w:eastAsia="Times New Roman"/>
                <w:b/>
                <w:bCs/>
                <w:color w:val="000000"/>
                <w:sz w:val="22"/>
              </w:rPr>
            </w:pPr>
            <w:r w:rsidRPr="005B72DB">
              <w:rPr>
                <w:rFonts w:eastAsia="Times New Roman"/>
                <w:b/>
                <w:bCs/>
                <w:color w:val="000000"/>
                <w:sz w:val="22"/>
              </w:rPr>
              <w:t>UES</w:t>
            </w:r>
          </w:p>
          <w:p w14:paraId="2CDBA60E" w14:textId="77777777" w:rsidR="002373D2" w:rsidRPr="005B72DB" w:rsidRDefault="002373D2" w:rsidP="00A474D2">
            <w:pPr>
              <w:spacing w:line="240" w:lineRule="auto"/>
              <w:jc w:val="center"/>
              <w:rPr>
                <w:rFonts w:eastAsia="Times New Roman"/>
                <w:b/>
                <w:bCs/>
                <w:color w:val="000000"/>
                <w:sz w:val="22"/>
              </w:rPr>
            </w:pPr>
            <w:r w:rsidRPr="005B72DB">
              <w:rPr>
                <w:b/>
                <w:bCs/>
                <w:color w:val="000000"/>
                <w:sz w:val="22"/>
              </w:rPr>
              <w:t>(</w:t>
            </w:r>
            <w:r w:rsidRPr="005B72DB">
              <w:rPr>
                <w:rFonts w:cs="Calibri"/>
                <w:b/>
                <w:bCs/>
                <w:color w:val="000000"/>
                <w:sz w:val="22"/>
              </w:rPr>
              <w:t>€</w:t>
            </w:r>
            <w:r w:rsidRPr="005B72DB">
              <w:rPr>
                <w:b/>
                <w:bCs/>
                <w:color w:val="000000"/>
                <w:sz w:val="22"/>
              </w:rPr>
              <w:t>)</w:t>
            </w:r>
          </w:p>
        </w:tc>
        <w:tc>
          <w:tcPr>
            <w:tcW w:w="643" w:type="pct"/>
            <w:noWrap/>
            <w:vAlign w:val="center"/>
            <w:hideMark/>
          </w:tcPr>
          <w:p w14:paraId="017E438D" w14:textId="77777777" w:rsidR="002373D2" w:rsidRPr="005B72DB" w:rsidRDefault="002373D2" w:rsidP="00A474D2">
            <w:pPr>
              <w:spacing w:line="240" w:lineRule="auto"/>
              <w:jc w:val="center"/>
              <w:rPr>
                <w:rFonts w:eastAsia="Times New Roman"/>
                <w:b/>
                <w:bCs/>
                <w:color w:val="000000"/>
                <w:sz w:val="22"/>
              </w:rPr>
            </w:pPr>
            <w:r w:rsidRPr="005B72DB">
              <w:rPr>
                <w:rFonts w:eastAsia="Times New Roman"/>
                <w:b/>
                <w:bCs/>
                <w:color w:val="000000"/>
                <w:sz w:val="22"/>
              </w:rPr>
              <w:t>UES</w:t>
            </w:r>
          </w:p>
          <w:p w14:paraId="63F2313E" w14:textId="77777777" w:rsidR="002373D2" w:rsidRPr="005B72DB" w:rsidRDefault="002373D2" w:rsidP="00A474D2">
            <w:pPr>
              <w:spacing w:line="240" w:lineRule="auto"/>
              <w:jc w:val="center"/>
              <w:rPr>
                <w:rFonts w:eastAsia="Times New Roman"/>
                <w:b/>
                <w:bCs/>
                <w:color w:val="000000"/>
                <w:sz w:val="22"/>
              </w:rPr>
            </w:pPr>
            <w:r w:rsidRPr="005B72DB">
              <w:rPr>
                <w:rFonts w:eastAsia="Times New Roman"/>
                <w:b/>
                <w:bCs/>
                <w:color w:val="000000"/>
                <w:sz w:val="22"/>
              </w:rPr>
              <w:t>(%)</w:t>
            </w:r>
          </w:p>
        </w:tc>
        <w:tc>
          <w:tcPr>
            <w:tcW w:w="643" w:type="pct"/>
            <w:noWrap/>
            <w:vAlign w:val="center"/>
            <w:hideMark/>
          </w:tcPr>
          <w:p w14:paraId="5D57FA21" w14:textId="77777777" w:rsidR="002373D2" w:rsidRPr="005B72DB" w:rsidRDefault="002373D2" w:rsidP="00A474D2">
            <w:pPr>
              <w:spacing w:line="240" w:lineRule="auto"/>
              <w:jc w:val="center"/>
              <w:rPr>
                <w:rFonts w:eastAsia="Times New Roman"/>
                <w:b/>
                <w:bCs/>
                <w:color w:val="000000"/>
                <w:sz w:val="22"/>
              </w:rPr>
            </w:pPr>
            <w:r w:rsidRPr="005B72DB">
              <w:rPr>
                <w:rFonts w:eastAsia="Times New Roman"/>
                <w:b/>
                <w:bCs/>
                <w:color w:val="000000"/>
                <w:sz w:val="22"/>
              </w:rPr>
              <w:t>DES</w:t>
            </w:r>
          </w:p>
          <w:p w14:paraId="1323AACB" w14:textId="77777777" w:rsidR="002373D2" w:rsidRPr="005B72DB" w:rsidRDefault="002373D2" w:rsidP="00A474D2">
            <w:pPr>
              <w:spacing w:line="240" w:lineRule="auto"/>
              <w:jc w:val="center"/>
              <w:rPr>
                <w:rFonts w:eastAsia="Times New Roman"/>
                <w:b/>
                <w:bCs/>
                <w:color w:val="000000"/>
                <w:sz w:val="22"/>
              </w:rPr>
            </w:pPr>
            <w:r w:rsidRPr="005B72DB">
              <w:rPr>
                <w:b/>
                <w:bCs/>
                <w:color w:val="000000"/>
                <w:sz w:val="22"/>
              </w:rPr>
              <w:t>(</w:t>
            </w:r>
            <w:r w:rsidRPr="005B72DB">
              <w:rPr>
                <w:rFonts w:cs="Calibri"/>
                <w:b/>
                <w:bCs/>
                <w:color w:val="000000"/>
                <w:sz w:val="22"/>
              </w:rPr>
              <w:t>€</w:t>
            </w:r>
            <w:r w:rsidRPr="005B72DB">
              <w:rPr>
                <w:b/>
                <w:bCs/>
                <w:color w:val="000000"/>
                <w:sz w:val="22"/>
              </w:rPr>
              <w:t>)</w:t>
            </w:r>
          </w:p>
        </w:tc>
        <w:tc>
          <w:tcPr>
            <w:tcW w:w="643" w:type="pct"/>
            <w:noWrap/>
            <w:vAlign w:val="center"/>
            <w:hideMark/>
          </w:tcPr>
          <w:p w14:paraId="5A5BE950" w14:textId="77777777" w:rsidR="002373D2" w:rsidRPr="005B72DB" w:rsidRDefault="002373D2" w:rsidP="00A474D2">
            <w:pPr>
              <w:spacing w:line="240" w:lineRule="auto"/>
              <w:jc w:val="center"/>
              <w:rPr>
                <w:rFonts w:eastAsia="Times New Roman"/>
                <w:b/>
                <w:bCs/>
                <w:color w:val="000000"/>
                <w:sz w:val="22"/>
              </w:rPr>
            </w:pPr>
            <w:r w:rsidRPr="005B72DB">
              <w:rPr>
                <w:rFonts w:eastAsia="Times New Roman"/>
                <w:b/>
                <w:bCs/>
                <w:color w:val="000000"/>
                <w:sz w:val="22"/>
              </w:rPr>
              <w:t>DES</w:t>
            </w:r>
          </w:p>
          <w:p w14:paraId="13128B6A" w14:textId="77777777" w:rsidR="002373D2" w:rsidRPr="005B72DB" w:rsidRDefault="002373D2" w:rsidP="00A474D2">
            <w:pPr>
              <w:spacing w:line="240" w:lineRule="auto"/>
              <w:jc w:val="center"/>
              <w:rPr>
                <w:rFonts w:eastAsia="Times New Roman"/>
                <w:b/>
                <w:bCs/>
                <w:color w:val="000000"/>
                <w:sz w:val="22"/>
              </w:rPr>
            </w:pPr>
            <w:r w:rsidRPr="005B72DB">
              <w:rPr>
                <w:rFonts w:eastAsia="Times New Roman"/>
                <w:b/>
                <w:bCs/>
                <w:color w:val="000000"/>
                <w:sz w:val="22"/>
              </w:rPr>
              <w:t>(%)</w:t>
            </w:r>
          </w:p>
        </w:tc>
      </w:tr>
      <w:tr w:rsidR="002373D2" w:rsidRPr="005B72DB" w14:paraId="27566110" w14:textId="77777777" w:rsidTr="0051420F">
        <w:trPr>
          <w:trHeight w:val="308"/>
        </w:trPr>
        <w:tc>
          <w:tcPr>
            <w:tcW w:w="1142" w:type="pct"/>
            <w:hideMark/>
          </w:tcPr>
          <w:p w14:paraId="1419FF9D" w14:textId="77777777" w:rsidR="002373D2" w:rsidRPr="005B72DB" w:rsidRDefault="002373D2" w:rsidP="00A474D2">
            <w:pPr>
              <w:spacing w:line="240" w:lineRule="auto"/>
              <w:jc w:val="center"/>
              <w:rPr>
                <w:rFonts w:eastAsia="Times New Roman"/>
                <w:color w:val="000000"/>
                <w:sz w:val="22"/>
              </w:rPr>
            </w:pPr>
            <w:r w:rsidRPr="005B72DB">
              <w:rPr>
                <w:rFonts w:eastAsia="Times New Roman"/>
                <w:color w:val="000000"/>
                <w:sz w:val="22"/>
              </w:rPr>
              <w:t>Supplier</w:t>
            </w:r>
          </w:p>
        </w:tc>
        <w:tc>
          <w:tcPr>
            <w:tcW w:w="643" w:type="pct"/>
            <w:noWrap/>
            <w:vAlign w:val="center"/>
          </w:tcPr>
          <w:p w14:paraId="446FF916" w14:textId="77777777" w:rsidR="002373D2" w:rsidRPr="005B72DB" w:rsidRDefault="002373D2" w:rsidP="00A474D2">
            <w:pPr>
              <w:spacing w:line="240" w:lineRule="auto"/>
              <w:jc w:val="center"/>
              <w:rPr>
                <w:color w:val="000000"/>
                <w:sz w:val="22"/>
              </w:rPr>
            </w:pPr>
            <w:r w:rsidRPr="005B72DB">
              <w:rPr>
                <w:color w:val="000000"/>
                <w:sz w:val="22"/>
              </w:rPr>
              <w:t>0.00</w:t>
            </w:r>
          </w:p>
        </w:tc>
        <w:tc>
          <w:tcPr>
            <w:tcW w:w="643" w:type="pct"/>
            <w:noWrap/>
            <w:vAlign w:val="center"/>
          </w:tcPr>
          <w:p w14:paraId="16B38CAC" w14:textId="77777777" w:rsidR="002373D2" w:rsidRPr="005B72DB" w:rsidRDefault="002373D2" w:rsidP="00A474D2">
            <w:pPr>
              <w:spacing w:line="240" w:lineRule="auto"/>
              <w:jc w:val="center"/>
              <w:rPr>
                <w:color w:val="000000"/>
                <w:sz w:val="22"/>
              </w:rPr>
            </w:pPr>
            <w:r w:rsidRPr="005B72DB">
              <w:rPr>
                <w:color w:val="000000"/>
                <w:sz w:val="22"/>
              </w:rPr>
              <w:t>0.00%</w:t>
            </w:r>
          </w:p>
        </w:tc>
        <w:tc>
          <w:tcPr>
            <w:tcW w:w="643" w:type="pct"/>
            <w:noWrap/>
            <w:vAlign w:val="center"/>
          </w:tcPr>
          <w:p w14:paraId="0128677F" w14:textId="77777777" w:rsidR="002373D2" w:rsidRPr="005B72DB" w:rsidRDefault="002373D2" w:rsidP="00A474D2">
            <w:pPr>
              <w:spacing w:line="240" w:lineRule="auto"/>
              <w:jc w:val="center"/>
              <w:rPr>
                <w:color w:val="000000"/>
                <w:sz w:val="22"/>
              </w:rPr>
            </w:pPr>
            <w:r w:rsidRPr="005B72DB">
              <w:rPr>
                <w:color w:val="000000"/>
                <w:sz w:val="22"/>
              </w:rPr>
              <w:t>1.78</w:t>
            </w:r>
          </w:p>
        </w:tc>
        <w:tc>
          <w:tcPr>
            <w:tcW w:w="643" w:type="pct"/>
            <w:noWrap/>
            <w:vAlign w:val="center"/>
          </w:tcPr>
          <w:p w14:paraId="061731C8" w14:textId="77777777" w:rsidR="002373D2" w:rsidRPr="005B72DB" w:rsidRDefault="002373D2" w:rsidP="00A474D2">
            <w:pPr>
              <w:spacing w:line="240" w:lineRule="auto"/>
              <w:jc w:val="center"/>
              <w:rPr>
                <w:color w:val="000000"/>
                <w:sz w:val="22"/>
              </w:rPr>
            </w:pPr>
            <w:r w:rsidRPr="005B72DB">
              <w:rPr>
                <w:color w:val="000000"/>
                <w:sz w:val="22"/>
              </w:rPr>
              <w:t>33.75%</w:t>
            </w:r>
          </w:p>
        </w:tc>
        <w:tc>
          <w:tcPr>
            <w:tcW w:w="643" w:type="pct"/>
            <w:noWrap/>
            <w:vAlign w:val="center"/>
          </w:tcPr>
          <w:p w14:paraId="42DD7370" w14:textId="77777777" w:rsidR="002373D2" w:rsidRPr="005B72DB" w:rsidRDefault="002373D2" w:rsidP="00A474D2">
            <w:pPr>
              <w:spacing w:line="240" w:lineRule="auto"/>
              <w:jc w:val="center"/>
              <w:rPr>
                <w:color w:val="000000"/>
                <w:sz w:val="22"/>
              </w:rPr>
            </w:pPr>
            <w:r w:rsidRPr="005B72DB">
              <w:rPr>
                <w:color w:val="000000"/>
                <w:sz w:val="22"/>
              </w:rPr>
              <w:t>0.00</w:t>
            </w:r>
          </w:p>
        </w:tc>
        <w:tc>
          <w:tcPr>
            <w:tcW w:w="643" w:type="pct"/>
            <w:noWrap/>
            <w:vAlign w:val="center"/>
          </w:tcPr>
          <w:p w14:paraId="44A27459" w14:textId="77777777" w:rsidR="002373D2" w:rsidRPr="005B72DB" w:rsidRDefault="002373D2" w:rsidP="00A474D2">
            <w:pPr>
              <w:spacing w:line="240" w:lineRule="auto"/>
              <w:jc w:val="center"/>
              <w:rPr>
                <w:color w:val="000000"/>
                <w:sz w:val="22"/>
              </w:rPr>
            </w:pPr>
            <w:r w:rsidRPr="005B72DB">
              <w:rPr>
                <w:color w:val="000000"/>
                <w:sz w:val="22"/>
              </w:rPr>
              <w:t>0.00%</w:t>
            </w:r>
          </w:p>
        </w:tc>
      </w:tr>
      <w:tr w:rsidR="002373D2" w:rsidRPr="005B72DB" w14:paraId="78113952" w14:textId="77777777" w:rsidTr="0051420F">
        <w:trPr>
          <w:trHeight w:val="315"/>
        </w:trPr>
        <w:tc>
          <w:tcPr>
            <w:tcW w:w="1142" w:type="pct"/>
            <w:hideMark/>
          </w:tcPr>
          <w:p w14:paraId="37D6576A" w14:textId="77777777" w:rsidR="002373D2" w:rsidRPr="005B72DB" w:rsidRDefault="002373D2" w:rsidP="00A474D2">
            <w:pPr>
              <w:spacing w:line="240" w:lineRule="auto"/>
              <w:jc w:val="center"/>
              <w:rPr>
                <w:rFonts w:eastAsia="Times New Roman"/>
                <w:color w:val="000000"/>
                <w:sz w:val="22"/>
              </w:rPr>
            </w:pPr>
            <w:r w:rsidRPr="005B72DB">
              <w:rPr>
                <w:rFonts w:eastAsia="Times New Roman"/>
                <w:color w:val="000000"/>
                <w:sz w:val="22"/>
              </w:rPr>
              <w:t>LHC</w:t>
            </w:r>
          </w:p>
        </w:tc>
        <w:tc>
          <w:tcPr>
            <w:tcW w:w="643" w:type="pct"/>
            <w:noWrap/>
            <w:vAlign w:val="center"/>
          </w:tcPr>
          <w:p w14:paraId="34E4449E" w14:textId="77777777" w:rsidR="002373D2" w:rsidRPr="005B72DB" w:rsidRDefault="002373D2" w:rsidP="00A474D2">
            <w:pPr>
              <w:spacing w:line="240" w:lineRule="auto"/>
              <w:jc w:val="center"/>
              <w:rPr>
                <w:color w:val="000000"/>
                <w:sz w:val="22"/>
              </w:rPr>
            </w:pPr>
            <w:r w:rsidRPr="005B72DB">
              <w:rPr>
                <w:color w:val="000000"/>
                <w:sz w:val="22"/>
              </w:rPr>
              <w:t>1.51</w:t>
            </w:r>
          </w:p>
        </w:tc>
        <w:tc>
          <w:tcPr>
            <w:tcW w:w="643" w:type="pct"/>
            <w:noWrap/>
            <w:vAlign w:val="center"/>
          </w:tcPr>
          <w:p w14:paraId="34292356" w14:textId="77777777" w:rsidR="002373D2" w:rsidRPr="005B72DB" w:rsidRDefault="002373D2" w:rsidP="00A474D2">
            <w:pPr>
              <w:spacing w:line="240" w:lineRule="auto"/>
              <w:jc w:val="center"/>
              <w:rPr>
                <w:color w:val="000000"/>
                <w:sz w:val="22"/>
              </w:rPr>
            </w:pPr>
            <w:r w:rsidRPr="005B72DB">
              <w:rPr>
                <w:color w:val="000000"/>
                <w:sz w:val="22"/>
              </w:rPr>
              <w:t>28.71%</w:t>
            </w:r>
          </w:p>
        </w:tc>
        <w:tc>
          <w:tcPr>
            <w:tcW w:w="643" w:type="pct"/>
            <w:noWrap/>
            <w:vAlign w:val="center"/>
          </w:tcPr>
          <w:p w14:paraId="293D6E17" w14:textId="77777777" w:rsidR="002373D2" w:rsidRPr="005B72DB" w:rsidRDefault="002373D2" w:rsidP="00A474D2">
            <w:pPr>
              <w:spacing w:line="240" w:lineRule="auto"/>
              <w:jc w:val="center"/>
              <w:rPr>
                <w:color w:val="000000"/>
                <w:sz w:val="22"/>
              </w:rPr>
            </w:pPr>
            <w:r w:rsidRPr="005B72DB">
              <w:rPr>
                <w:color w:val="000000"/>
                <w:sz w:val="22"/>
              </w:rPr>
              <w:t>1.78</w:t>
            </w:r>
          </w:p>
        </w:tc>
        <w:tc>
          <w:tcPr>
            <w:tcW w:w="643" w:type="pct"/>
            <w:noWrap/>
            <w:vAlign w:val="center"/>
          </w:tcPr>
          <w:p w14:paraId="34B525A6" w14:textId="77777777" w:rsidR="002373D2" w:rsidRPr="005B72DB" w:rsidRDefault="002373D2" w:rsidP="00A474D2">
            <w:pPr>
              <w:spacing w:line="240" w:lineRule="auto"/>
              <w:jc w:val="center"/>
              <w:rPr>
                <w:color w:val="000000"/>
                <w:sz w:val="22"/>
              </w:rPr>
            </w:pPr>
            <w:r w:rsidRPr="005B72DB">
              <w:rPr>
                <w:color w:val="000000"/>
                <w:sz w:val="22"/>
              </w:rPr>
              <w:t>33.75%</w:t>
            </w:r>
          </w:p>
        </w:tc>
        <w:tc>
          <w:tcPr>
            <w:tcW w:w="643" w:type="pct"/>
            <w:noWrap/>
            <w:vAlign w:val="center"/>
          </w:tcPr>
          <w:p w14:paraId="24721B1C" w14:textId="77777777" w:rsidR="002373D2" w:rsidRPr="005B72DB" w:rsidRDefault="002373D2" w:rsidP="00A474D2">
            <w:pPr>
              <w:spacing w:line="240" w:lineRule="auto"/>
              <w:jc w:val="center"/>
              <w:rPr>
                <w:color w:val="000000"/>
                <w:sz w:val="22"/>
              </w:rPr>
            </w:pPr>
            <w:r w:rsidRPr="005B72DB">
              <w:rPr>
                <w:color w:val="000000"/>
                <w:sz w:val="22"/>
              </w:rPr>
              <w:t>0.38</w:t>
            </w:r>
          </w:p>
        </w:tc>
        <w:tc>
          <w:tcPr>
            <w:tcW w:w="643" w:type="pct"/>
            <w:noWrap/>
            <w:vAlign w:val="center"/>
          </w:tcPr>
          <w:p w14:paraId="4886D7CA" w14:textId="77777777" w:rsidR="002373D2" w:rsidRPr="005B72DB" w:rsidRDefault="002373D2" w:rsidP="00A474D2">
            <w:pPr>
              <w:spacing w:line="240" w:lineRule="auto"/>
              <w:jc w:val="center"/>
              <w:rPr>
                <w:color w:val="000000"/>
                <w:sz w:val="22"/>
              </w:rPr>
            </w:pPr>
            <w:r w:rsidRPr="005B72DB">
              <w:rPr>
                <w:color w:val="000000"/>
                <w:sz w:val="22"/>
              </w:rPr>
              <w:t>7.17%</w:t>
            </w:r>
          </w:p>
        </w:tc>
      </w:tr>
      <w:tr w:rsidR="002373D2" w:rsidRPr="005B72DB" w14:paraId="70A03501" w14:textId="77777777" w:rsidTr="0051420F">
        <w:trPr>
          <w:trHeight w:val="315"/>
        </w:trPr>
        <w:tc>
          <w:tcPr>
            <w:tcW w:w="1142" w:type="pct"/>
          </w:tcPr>
          <w:p w14:paraId="47D0EFEE" w14:textId="77777777" w:rsidR="002373D2" w:rsidRPr="005B72DB" w:rsidRDefault="002373D2" w:rsidP="00A474D2">
            <w:pPr>
              <w:spacing w:line="240" w:lineRule="auto"/>
              <w:jc w:val="center"/>
              <w:rPr>
                <w:rFonts w:eastAsia="Times New Roman"/>
                <w:color w:val="000000"/>
              </w:rPr>
            </w:pPr>
            <w:r w:rsidRPr="005B72DB">
              <w:rPr>
                <w:rFonts w:eastAsia="Times New Roman"/>
                <w:color w:val="000000"/>
              </w:rPr>
              <w:t>UCC</w:t>
            </w:r>
          </w:p>
        </w:tc>
        <w:tc>
          <w:tcPr>
            <w:tcW w:w="643" w:type="pct"/>
            <w:noWrap/>
            <w:vAlign w:val="center"/>
          </w:tcPr>
          <w:p w14:paraId="35916217" w14:textId="77777777" w:rsidR="002373D2" w:rsidRPr="005B72DB" w:rsidRDefault="002373D2" w:rsidP="00A474D2">
            <w:pPr>
              <w:spacing w:line="240" w:lineRule="auto"/>
              <w:jc w:val="center"/>
              <w:rPr>
                <w:color w:val="000000"/>
                <w:sz w:val="22"/>
              </w:rPr>
            </w:pPr>
            <w:r w:rsidRPr="005B72DB">
              <w:rPr>
                <w:color w:val="000000"/>
                <w:sz w:val="22"/>
              </w:rPr>
              <w:t>0.99</w:t>
            </w:r>
          </w:p>
        </w:tc>
        <w:tc>
          <w:tcPr>
            <w:tcW w:w="643" w:type="pct"/>
            <w:noWrap/>
            <w:vAlign w:val="center"/>
          </w:tcPr>
          <w:p w14:paraId="256CE406" w14:textId="77777777" w:rsidR="002373D2" w:rsidRPr="005B72DB" w:rsidRDefault="002373D2" w:rsidP="00A474D2">
            <w:pPr>
              <w:spacing w:line="240" w:lineRule="auto"/>
              <w:jc w:val="center"/>
              <w:rPr>
                <w:color w:val="000000"/>
                <w:sz w:val="22"/>
              </w:rPr>
            </w:pPr>
            <w:r w:rsidRPr="005B72DB">
              <w:rPr>
                <w:color w:val="000000"/>
                <w:sz w:val="22"/>
              </w:rPr>
              <w:t>18.82%</w:t>
            </w:r>
          </w:p>
        </w:tc>
        <w:tc>
          <w:tcPr>
            <w:tcW w:w="643" w:type="pct"/>
            <w:noWrap/>
            <w:vAlign w:val="center"/>
          </w:tcPr>
          <w:p w14:paraId="5D748196" w14:textId="77777777" w:rsidR="002373D2" w:rsidRPr="005B72DB" w:rsidRDefault="002373D2" w:rsidP="00A474D2">
            <w:pPr>
              <w:spacing w:line="240" w:lineRule="auto"/>
              <w:jc w:val="center"/>
              <w:rPr>
                <w:color w:val="000000"/>
                <w:sz w:val="22"/>
              </w:rPr>
            </w:pPr>
            <w:r w:rsidRPr="005B72DB">
              <w:rPr>
                <w:color w:val="000000"/>
                <w:sz w:val="22"/>
              </w:rPr>
              <w:t>1.02</w:t>
            </w:r>
          </w:p>
        </w:tc>
        <w:tc>
          <w:tcPr>
            <w:tcW w:w="643" w:type="pct"/>
            <w:noWrap/>
            <w:vAlign w:val="center"/>
          </w:tcPr>
          <w:p w14:paraId="599C354D" w14:textId="77777777" w:rsidR="002373D2" w:rsidRPr="005B72DB" w:rsidRDefault="002373D2" w:rsidP="00A474D2">
            <w:pPr>
              <w:spacing w:line="240" w:lineRule="auto"/>
              <w:jc w:val="center"/>
              <w:rPr>
                <w:color w:val="000000"/>
                <w:sz w:val="22"/>
              </w:rPr>
            </w:pPr>
            <w:r w:rsidRPr="005B72DB">
              <w:rPr>
                <w:color w:val="000000"/>
                <w:sz w:val="22"/>
              </w:rPr>
              <w:t>19.38%</w:t>
            </w:r>
          </w:p>
        </w:tc>
        <w:tc>
          <w:tcPr>
            <w:tcW w:w="643" w:type="pct"/>
            <w:noWrap/>
            <w:vAlign w:val="center"/>
          </w:tcPr>
          <w:p w14:paraId="58B5B4B2" w14:textId="77777777" w:rsidR="002373D2" w:rsidRPr="005B72DB" w:rsidRDefault="002373D2" w:rsidP="00A474D2">
            <w:pPr>
              <w:spacing w:line="240" w:lineRule="auto"/>
              <w:jc w:val="center"/>
              <w:rPr>
                <w:color w:val="000000"/>
                <w:sz w:val="22"/>
              </w:rPr>
            </w:pPr>
            <w:r w:rsidRPr="005B72DB">
              <w:rPr>
                <w:color w:val="000000"/>
                <w:sz w:val="22"/>
              </w:rPr>
              <w:t>0.70</w:t>
            </w:r>
          </w:p>
        </w:tc>
        <w:tc>
          <w:tcPr>
            <w:tcW w:w="643" w:type="pct"/>
            <w:noWrap/>
            <w:vAlign w:val="center"/>
          </w:tcPr>
          <w:p w14:paraId="4DE1F5D1" w14:textId="77777777" w:rsidR="002373D2" w:rsidRPr="005B72DB" w:rsidRDefault="002373D2" w:rsidP="00A474D2">
            <w:pPr>
              <w:spacing w:line="240" w:lineRule="auto"/>
              <w:jc w:val="center"/>
              <w:rPr>
                <w:color w:val="000000"/>
                <w:sz w:val="22"/>
              </w:rPr>
            </w:pPr>
            <w:r w:rsidRPr="005B72DB">
              <w:rPr>
                <w:color w:val="000000"/>
                <w:sz w:val="22"/>
              </w:rPr>
              <w:t>13.45%</w:t>
            </w:r>
          </w:p>
        </w:tc>
      </w:tr>
      <w:tr w:rsidR="002373D2" w:rsidRPr="005B72DB" w14:paraId="2C9B0974" w14:textId="77777777" w:rsidTr="0051420F">
        <w:trPr>
          <w:trHeight w:val="315"/>
        </w:trPr>
        <w:tc>
          <w:tcPr>
            <w:tcW w:w="1142" w:type="pct"/>
            <w:hideMark/>
          </w:tcPr>
          <w:p w14:paraId="4D1E5EA6" w14:textId="77777777" w:rsidR="002373D2" w:rsidRPr="005B72DB" w:rsidRDefault="002373D2" w:rsidP="00A474D2">
            <w:pPr>
              <w:spacing w:line="240" w:lineRule="auto"/>
              <w:jc w:val="center"/>
              <w:rPr>
                <w:rFonts w:eastAsia="Times New Roman"/>
                <w:color w:val="000000"/>
                <w:sz w:val="22"/>
              </w:rPr>
            </w:pPr>
            <w:r w:rsidRPr="005B72DB">
              <w:rPr>
                <w:rFonts w:eastAsia="Times New Roman"/>
                <w:color w:val="000000"/>
              </w:rPr>
              <w:t>Local Carrier</w:t>
            </w:r>
          </w:p>
        </w:tc>
        <w:tc>
          <w:tcPr>
            <w:tcW w:w="643" w:type="pct"/>
            <w:noWrap/>
            <w:vAlign w:val="center"/>
          </w:tcPr>
          <w:p w14:paraId="2121E6BD" w14:textId="77777777" w:rsidR="002373D2" w:rsidRPr="005B72DB" w:rsidRDefault="002373D2" w:rsidP="00A474D2">
            <w:pPr>
              <w:spacing w:line="240" w:lineRule="auto"/>
              <w:jc w:val="center"/>
              <w:rPr>
                <w:color w:val="000000"/>
                <w:sz w:val="22"/>
              </w:rPr>
            </w:pPr>
            <w:r w:rsidRPr="005B72DB">
              <w:rPr>
                <w:color w:val="000000"/>
                <w:sz w:val="22"/>
              </w:rPr>
              <w:t>2.76</w:t>
            </w:r>
          </w:p>
        </w:tc>
        <w:tc>
          <w:tcPr>
            <w:tcW w:w="643" w:type="pct"/>
            <w:noWrap/>
            <w:vAlign w:val="center"/>
          </w:tcPr>
          <w:p w14:paraId="2C9DB1BC" w14:textId="77777777" w:rsidR="002373D2" w:rsidRPr="005B72DB" w:rsidRDefault="002373D2" w:rsidP="00A474D2">
            <w:pPr>
              <w:spacing w:line="240" w:lineRule="auto"/>
              <w:jc w:val="center"/>
              <w:rPr>
                <w:color w:val="000000"/>
                <w:sz w:val="22"/>
              </w:rPr>
            </w:pPr>
            <w:r w:rsidRPr="005B72DB">
              <w:rPr>
                <w:color w:val="000000"/>
                <w:sz w:val="22"/>
              </w:rPr>
              <w:t>52.47%</w:t>
            </w:r>
          </w:p>
        </w:tc>
        <w:tc>
          <w:tcPr>
            <w:tcW w:w="643" w:type="pct"/>
            <w:noWrap/>
            <w:vAlign w:val="center"/>
          </w:tcPr>
          <w:p w14:paraId="38B8414E" w14:textId="77777777" w:rsidR="002373D2" w:rsidRPr="005B72DB" w:rsidRDefault="002373D2" w:rsidP="00A474D2">
            <w:pPr>
              <w:spacing w:line="240" w:lineRule="auto"/>
              <w:jc w:val="center"/>
              <w:rPr>
                <w:color w:val="000000"/>
                <w:sz w:val="22"/>
              </w:rPr>
            </w:pPr>
            <w:r w:rsidRPr="005B72DB">
              <w:rPr>
                <w:color w:val="000000"/>
                <w:sz w:val="22"/>
              </w:rPr>
              <w:t>0.68</w:t>
            </w:r>
          </w:p>
        </w:tc>
        <w:tc>
          <w:tcPr>
            <w:tcW w:w="643" w:type="pct"/>
            <w:noWrap/>
            <w:vAlign w:val="center"/>
          </w:tcPr>
          <w:p w14:paraId="0FAE162B" w14:textId="77777777" w:rsidR="002373D2" w:rsidRPr="005B72DB" w:rsidRDefault="002373D2" w:rsidP="00A474D2">
            <w:pPr>
              <w:spacing w:line="240" w:lineRule="auto"/>
              <w:jc w:val="center"/>
              <w:rPr>
                <w:color w:val="000000"/>
                <w:sz w:val="22"/>
              </w:rPr>
            </w:pPr>
            <w:r w:rsidRPr="005B72DB">
              <w:rPr>
                <w:color w:val="000000"/>
                <w:sz w:val="22"/>
              </w:rPr>
              <w:t>13.12%</w:t>
            </w:r>
          </w:p>
        </w:tc>
        <w:tc>
          <w:tcPr>
            <w:tcW w:w="643" w:type="pct"/>
            <w:noWrap/>
            <w:vAlign w:val="center"/>
          </w:tcPr>
          <w:p w14:paraId="24953861" w14:textId="77777777" w:rsidR="002373D2" w:rsidRPr="005B72DB" w:rsidRDefault="002373D2" w:rsidP="00A474D2">
            <w:pPr>
              <w:spacing w:line="240" w:lineRule="auto"/>
              <w:jc w:val="center"/>
              <w:rPr>
                <w:color w:val="000000"/>
                <w:sz w:val="22"/>
              </w:rPr>
            </w:pPr>
            <w:r w:rsidRPr="005B72DB">
              <w:rPr>
                <w:color w:val="000000"/>
                <w:sz w:val="22"/>
              </w:rPr>
              <w:t>2.09</w:t>
            </w:r>
          </w:p>
        </w:tc>
        <w:tc>
          <w:tcPr>
            <w:tcW w:w="643" w:type="pct"/>
            <w:noWrap/>
            <w:vAlign w:val="center"/>
          </w:tcPr>
          <w:p w14:paraId="0BA0A307" w14:textId="77777777" w:rsidR="002373D2" w:rsidRPr="005B72DB" w:rsidRDefault="002373D2" w:rsidP="00A474D2">
            <w:pPr>
              <w:spacing w:line="240" w:lineRule="auto"/>
              <w:jc w:val="center"/>
              <w:rPr>
                <w:color w:val="000000"/>
                <w:sz w:val="22"/>
              </w:rPr>
            </w:pPr>
            <w:r w:rsidRPr="005B72DB">
              <w:rPr>
                <w:color w:val="000000"/>
                <w:sz w:val="22"/>
              </w:rPr>
              <w:t>39.69%</w:t>
            </w:r>
          </w:p>
        </w:tc>
      </w:tr>
      <w:tr w:rsidR="002373D2" w:rsidRPr="005B72DB" w14:paraId="20EE28D6" w14:textId="77777777" w:rsidTr="0051420F">
        <w:trPr>
          <w:trHeight w:val="315"/>
        </w:trPr>
        <w:tc>
          <w:tcPr>
            <w:tcW w:w="1142" w:type="pct"/>
            <w:hideMark/>
          </w:tcPr>
          <w:p w14:paraId="52C66CAC" w14:textId="77777777" w:rsidR="002373D2" w:rsidRPr="005B72DB" w:rsidRDefault="002373D2" w:rsidP="00A474D2">
            <w:pPr>
              <w:spacing w:line="240" w:lineRule="auto"/>
              <w:jc w:val="center"/>
              <w:rPr>
                <w:rFonts w:eastAsia="Times New Roman"/>
                <w:color w:val="000000"/>
                <w:sz w:val="22"/>
              </w:rPr>
            </w:pPr>
            <w:r w:rsidRPr="005B72DB">
              <w:rPr>
                <w:rFonts w:eastAsia="Times New Roman"/>
                <w:color w:val="000000"/>
                <w:sz w:val="22"/>
              </w:rPr>
              <w:t>Consumer</w:t>
            </w:r>
          </w:p>
        </w:tc>
        <w:tc>
          <w:tcPr>
            <w:tcW w:w="643" w:type="pct"/>
            <w:noWrap/>
            <w:vAlign w:val="center"/>
          </w:tcPr>
          <w:p w14:paraId="2143F1E8" w14:textId="77777777" w:rsidR="002373D2" w:rsidRPr="005B72DB" w:rsidRDefault="002373D2" w:rsidP="00A474D2">
            <w:pPr>
              <w:spacing w:line="240" w:lineRule="auto"/>
              <w:jc w:val="center"/>
              <w:rPr>
                <w:color w:val="000000"/>
                <w:sz w:val="22"/>
              </w:rPr>
            </w:pPr>
            <w:r w:rsidRPr="005B72DB">
              <w:rPr>
                <w:color w:val="000000"/>
                <w:sz w:val="22"/>
              </w:rPr>
              <w:t>0.00</w:t>
            </w:r>
          </w:p>
        </w:tc>
        <w:tc>
          <w:tcPr>
            <w:tcW w:w="643" w:type="pct"/>
            <w:noWrap/>
            <w:vAlign w:val="center"/>
          </w:tcPr>
          <w:p w14:paraId="46A40894" w14:textId="77777777" w:rsidR="002373D2" w:rsidRPr="005B72DB" w:rsidRDefault="002373D2" w:rsidP="00A474D2">
            <w:pPr>
              <w:spacing w:line="240" w:lineRule="auto"/>
              <w:jc w:val="center"/>
              <w:rPr>
                <w:color w:val="000000"/>
                <w:sz w:val="22"/>
              </w:rPr>
            </w:pPr>
            <w:r w:rsidRPr="005B72DB">
              <w:rPr>
                <w:color w:val="000000"/>
                <w:sz w:val="22"/>
              </w:rPr>
              <w:t>0.00%</w:t>
            </w:r>
          </w:p>
        </w:tc>
        <w:tc>
          <w:tcPr>
            <w:tcW w:w="643" w:type="pct"/>
            <w:noWrap/>
            <w:vAlign w:val="center"/>
          </w:tcPr>
          <w:p w14:paraId="1DE9F18E" w14:textId="77777777" w:rsidR="002373D2" w:rsidRPr="005B72DB" w:rsidRDefault="002373D2" w:rsidP="00A474D2">
            <w:pPr>
              <w:spacing w:line="240" w:lineRule="auto"/>
              <w:jc w:val="center"/>
              <w:rPr>
                <w:color w:val="000000"/>
                <w:sz w:val="22"/>
              </w:rPr>
            </w:pPr>
            <w:r w:rsidRPr="005B72DB">
              <w:rPr>
                <w:color w:val="000000"/>
                <w:sz w:val="22"/>
              </w:rPr>
              <w:t>0.00</w:t>
            </w:r>
          </w:p>
        </w:tc>
        <w:tc>
          <w:tcPr>
            <w:tcW w:w="643" w:type="pct"/>
            <w:noWrap/>
            <w:vAlign w:val="center"/>
          </w:tcPr>
          <w:p w14:paraId="32E49B9E" w14:textId="77777777" w:rsidR="002373D2" w:rsidRPr="005B72DB" w:rsidRDefault="002373D2" w:rsidP="00A474D2">
            <w:pPr>
              <w:spacing w:line="240" w:lineRule="auto"/>
              <w:jc w:val="center"/>
              <w:rPr>
                <w:color w:val="000000"/>
                <w:sz w:val="22"/>
              </w:rPr>
            </w:pPr>
            <w:r w:rsidRPr="005B72DB">
              <w:rPr>
                <w:color w:val="000000"/>
                <w:sz w:val="22"/>
              </w:rPr>
              <w:t>0.00%</w:t>
            </w:r>
          </w:p>
        </w:tc>
        <w:tc>
          <w:tcPr>
            <w:tcW w:w="643" w:type="pct"/>
            <w:noWrap/>
            <w:vAlign w:val="center"/>
          </w:tcPr>
          <w:p w14:paraId="0732DDBC" w14:textId="77777777" w:rsidR="002373D2" w:rsidRPr="005B72DB" w:rsidRDefault="002373D2" w:rsidP="00A474D2">
            <w:pPr>
              <w:spacing w:line="240" w:lineRule="auto"/>
              <w:jc w:val="center"/>
              <w:rPr>
                <w:color w:val="000000"/>
                <w:sz w:val="22"/>
              </w:rPr>
            </w:pPr>
            <w:r w:rsidRPr="005B72DB">
              <w:rPr>
                <w:color w:val="000000"/>
                <w:sz w:val="22"/>
              </w:rPr>
              <w:t>2.09</w:t>
            </w:r>
          </w:p>
        </w:tc>
        <w:tc>
          <w:tcPr>
            <w:tcW w:w="643" w:type="pct"/>
            <w:noWrap/>
            <w:vAlign w:val="center"/>
          </w:tcPr>
          <w:p w14:paraId="457126E6" w14:textId="77777777" w:rsidR="002373D2" w:rsidRPr="005B72DB" w:rsidRDefault="002373D2" w:rsidP="00A474D2">
            <w:pPr>
              <w:spacing w:line="240" w:lineRule="auto"/>
              <w:jc w:val="center"/>
              <w:rPr>
                <w:color w:val="000000"/>
                <w:sz w:val="22"/>
              </w:rPr>
            </w:pPr>
            <w:r w:rsidRPr="005B72DB">
              <w:rPr>
                <w:color w:val="000000"/>
                <w:sz w:val="22"/>
              </w:rPr>
              <w:t>39.69%</w:t>
            </w:r>
          </w:p>
        </w:tc>
      </w:tr>
      <w:tr w:rsidR="002373D2" w:rsidRPr="005B72DB" w14:paraId="79861860" w14:textId="77777777" w:rsidTr="0051420F">
        <w:trPr>
          <w:trHeight w:val="315"/>
        </w:trPr>
        <w:tc>
          <w:tcPr>
            <w:tcW w:w="1142" w:type="pct"/>
            <w:hideMark/>
          </w:tcPr>
          <w:p w14:paraId="6BA16711" w14:textId="77777777" w:rsidR="002373D2" w:rsidRPr="005B72DB" w:rsidRDefault="002373D2" w:rsidP="00A474D2">
            <w:pPr>
              <w:spacing w:line="240" w:lineRule="auto"/>
              <w:jc w:val="center"/>
              <w:rPr>
                <w:rFonts w:eastAsia="Times New Roman"/>
                <w:color w:val="000000"/>
                <w:sz w:val="22"/>
              </w:rPr>
            </w:pPr>
            <w:r w:rsidRPr="005B72DB">
              <w:rPr>
                <w:rFonts w:eastAsia="Times New Roman"/>
                <w:color w:val="000000"/>
                <w:sz w:val="22"/>
              </w:rPr>
              <w:t>Total</w:t>
            </w:r>
          </w:p>
        </w:tc>
        <w:tc>
          <w:tcPr>
            <w:tcW w:w="643" w:type="pct"/>
            <w:noWrap/>
            <w:vAlign w:val="center"/>
          </w:tcPr>
          <w:p w14:paraId="29FBE266" w14:textId="77777777" w:rsidR="002373D2" w:rsidRPr="005B72DB" w:rsidRDefault="002373D2" w:rsidP="00A474D2">
            <w:pPr>
              <w:spacing w:line="240" w:lineRule="auto"/>
              <w:jc w:val="center"/>
              <w:rPr>
                <w:color w:val="000000"/>
                <w:sz w:val="22"/>
              </w:rPr>
            </w:pPr>
            <w:r w:rsidRPr="005B72DB">
              <w:rPr>
                <w:color w:val="000000"/>
                <w:sz w:val="22"/>
              </w:rPr>
              <w:t>5.26</w:t>
            </w:r>
          </w:p>
        </w:tc>
        <w:tc>
          <w:tcPr>
            <w:tcW w:w="643" w:type="pct"/>
            <w:noWrap/>
            <w:vAlign w:val="center"/>
          </w:tcPr>
          <w:p w14:paraId="3F293A32" w14:textId="77777777" w:rsidR="002373D2" w:rsidRPr="005B72DB" w:rsidRDefault="002373D2" w:rsidP="00A474D2">
            <w:pPr>
              <w:spacing w:line="240" w:lineRule="auto"/>
              <w:jc w:val="center"/>
              <w:rPr>
                <w:color w:val="000000"/>
                <w:sz w:val="22"/>
              </w:rPr>
            </w:pPr>
            <w:r w:rsidRPr="005B72DB">
              <w:rPr>
                <w:color w:val="000000"/>
                <w:sz w:val="22"/>
              </w:rPr>
              <w:t>100%</w:t>
            </w:r>
          </w:p>
        </w:tc>
        <w:tc>
          <w:tcPr>
            <w:tcW w:w="643" w:type="pct"/>
            <w:noWrap/>
            <w:vAlign w:val="center"/>
          </w:tcPr>
          <w:p w14:paraId="2BAA7385" w14:textId="77777777" w:rsidR="002373D2" w:rsidRPr="005B72DB" w:rsidRDefault="002373D2" w:rsidP="00A474D2">
            <w:pPr>
              <w:spacing w:line="240" w:lineRule="auto"/>
              <w:jc w:val="center"/>
              <w:rPr>
                <w:color w:val="000000"/>
                <w:sz w:val="22"/>
              </w:rPr>
            </w:pPr>
            <w:r w:rsidRPr="005B72DB">
              <w:rPr>
                <w:color w:val="000000"/>
                <w:sz w:val="22"/>
              </w:rPr>
              <w:t>5.26</w:t>
            </w:r>
          </w:p>
        </w:tc>
        <w:tc>
          <w:tcPr>
            <w:tcW w:w="643" w:type="pct"/>
            <w:noWrap/>
            <w:vAlign w:val="center"/>
          </w:tcPr>
          <w:p w14:paraId="451E899C" w14:textId="77777777" w:rsidR="002373D2" w:rsidRPr="005B72DB" w:rsidRDefault="002373D2" w:rsidP="00A474D2">
            <w:pPr>
              <w:spacing w:line="240" w:lineRule="auto"/>
              <w:jc w:val="center"/>
              <w:rPr>
                <w:color w:val="000000"/>
                <w:sz w:val="22"/>
              </w:rPr>
            </w:pPr>
            <w:r w:rsidRPr="005B72DB">
              <w:rPr>
                <w:color w:val="000000"/>
                <w:sz w:val="22"/>
              </w:rPr>
              <w:t>100%</w:t>
            </w:r>
          </w:p>
        </w:tc>
        <w:tc>
          <w:tcPr>
            <w:tcW w:w="643" w:type="pct"/>
            <w:noWrap/>
            <w:vAlign w:val="center"/>
          </w:tcPr>
          <w:p w14:paraId="3F920CC6" w14:textId="77777777" w:rsidR="002373D2" w:rsidRPr="005B72DB" w:rsidRDefault="002373D2" w:rsidP="00A474D2">
            <w:pPr>
              <w:spacing w:line="240" w:lineRule="auto"/>
              <w:jc w:val="center"/>
              <w:rPr>
                <w:color w:val="000000"/>
                <w:sz w:val="22"/>
              </w:rPr>
            </w:pPr>
            <w:r w:rsidRPr="005B72DB">
              <w:rPr>
                <w:color w:val="000000"/>
                <w:sz w:val="22"/>
              </w:rPr>
              <w:t>5.26</w:t>
            </w:r>
          </w:p>
        </w:tc>
        <w:tc>
          <w:tcPr>
            <w:tcW w:w="643" w:type="pct"/>
            <w:noWrap/>
            <w:vAlign w:val="center"/>
          </w:tcPr>
          <w:p w14:paraId="6100DF5F" w14:textId="77777777" w:rsidR="002373D2" w:rsidRPr="005B72DB" w:rsidRDefault="002373D2" w:rsidP="00A474D2">
            <w:pPr>
              <w:spacing w:line="240" w:lineRule="auto"/>
              <w:jc w:val="center"/>
              <w:rPr>
                <w:color w:val="000000"/>
                <w:sz w:val="22"/>
              </w:rPr>
            </w:pPr>
            <w:r w:rsidRPr="005B72DB">
              <w:rPr>
                <w:color w:val="000000"/>
                <w:sz w:val="22"/>
              </w:rPr>
              <w:t>100%</w:t>
            </w:r>
          </w:p>
        </w:tc>
      </w:tr>
    </w:tbl>
    <w:p w14:paraId="2862050D" w14:textId="7E988279" w:rsidR="002373D2" w:rsidRPr="005B72DB" w:rsidRDefault="007B5959" w:rsidP="00A474D2">
      <w:pPr>
        <w:pStyle w:val="Caption"/>
      </w:pPr>
      <w:bookmarkStart w:id="1065" w:name="_Ref21456556"/>
      <w:bookmarkStart w:id="1066" w:name="_Ref21456551"/>
      <w:bookmarkStart w:id="1067" w:name="_Toc46053599"/>
      <w:bookmarkStart w:id="1068" w:name="_Toc46093848"/>
      <w:bookmarkStart w:id="1069" w:name="_Toc66698815"/>
      <w:r>
        <w:t>Table</w:t>
      </w:r>
      <w:r w:rsidR="00A474D2" w:rsidRPr="005B72DB">
        <w:t xml:space="preserve"> </w:t>
      </w:r>
      <w:r w:rsidR="000306D9">
        <w:fldChar w:fldCharType="begin"/>
      </w:r>
      <w:r w:rsidR="000306D9">
        <w:instrText xml:space="preserve"> STYLEREF 1 \s </w:instrText>
      </w:r>
      <w:r w:rsidR="000306D9">
        <w:fldChar w:fldCharType="separate"/>
      </w:r>
      <w:r w:rsidR="0005064B">
        <w:rPr>
          <w:noProof/>
        </w:rPr>
        <w:t>7</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8</w:t>
      </w:r>
      <w:r w:rsidR="000306D9">
        <w:rPr>
          <w:noProof/>
        </w:rPr>
        <w:fldChar w:fldCharType="end"/>
      </w:r>
      <w:bookmarkEnd w:id="1065"/>
      <w:bookmarkEnd w:id="1066"/>
      <w:r w:rsidR="004D6792">
        <w:t>:</w:t>
      </w:r>
      <w:r w:rsidR="00A474D2" w:rsidRPr="005B72DB">
        <w:t xml:space="preserve"> Cost Allocation of UCC in Outsourcing Strategy with carriers cost in €2.76/</w:t>
      </w:r>
      <w:proofErr w:type="gramStart"/>
      <w:r w:rsidR="00A474D2" w:rsidRPr="005B72DB">
        <w:t>parcel</w:t>
      </w:r>
      <w:bookmarkEnd w:id="1067"/>
      <w:bookmarkEnd w:id="1068"/>
      <w:bookmarkEnd w:id="1069"/>
      <w:proofErr w:type="gramEnd"/>
    </w:p>
    <w:p w14:paraId="2B5DB145" w14:textId="709E49EA" w:rsidR="002373D2" w:rsidRPr="00CF0E89" w:rsidRDefault="002373D2" w:rsidP="007548C6">
      <w:pPr>
        <w:spacing w:after="240" w:line="360" w:lineRule="auto"/>
        <w:rPr>
          <w:rFonts w:eastAsia="等线"/>
        </w:rPr>
      </w:pPr>
      <w:r w:rsidRPr="005B72DB">
        <w:rPr>
          <w:rFonts w:eastAsia="等线"/>
        </w:rPr>
        <w:t xml:space="preserve">The best results of cost allocation will be changed with the variation of local carrier’s cost (details shown in </w:t>
      </w:r>
      <w:r w:rsidRPr="005B72DB">
        <w:rPr>
          <w:rFonts w:eastAsia="等线"/>
        </w:rPr>
        <w:fldChar w:fldCharType="begin"/>
      </w:r>
      <w:r w:rsidRPr="005B72DB">
        <w:rPr>
          <w:rFonts w:eastAsia="等线"/>
        </w:rPr>
        <w:instrText xml:space="preserve"> REF _Ref32570661 \h  \* MERGEFORMAT </w:instrText>
      </w:r>
      <w:r w:rsidRPr="005B72DB">
        <w:rPr>
          <w:rFonts w:eastAsia="等线"/>
        </w:rPr>
      </w:r>
      <w:r w:rsidRPr="005B72DB">
        <w:rPr>
          <w:rFonts w:eastAsia="等线"/>
        </w:rPr>
        <w:fldChar w:fldCharType="separate"/>
      </w:r>
      <w:r w:rsidR="0005064B" w:rsidRPr="0005064B">
        <w:rPr>
          <w:rFonts w:eastAsia="等线"/>
        </w:rPr>
        <w:t>Figure 7</w:t>
      </w:r>
      <w:r w:rsidR="0005064B" w:rsidRPr="0005064B">
        <w:rPr>
          <w:rFonts w:eastAsia="等线"/>
        </w:rPr>
        <w:noBreakHyphen/>
        <w:t>4</w:t>
      </w:r>
      <w:r w:rsidRPr="005B72DB">
        <w:rPr>
          <w:rFonts w:eastAsia="等线"/>
        </w:rPr>
        <w:fldChar w:fldCharType="end"/>
      </w:r>
      <w:r w:rsidRPr="005B72DB">
        <w:rPr>
          <w:rFonts w:eastAsia="等线"/>
        </w:rPr>
        <w:t>): if the local carrier can keep its urban delivery cost lower than €1.48/parcel (</w:t>
      </w:r>
      <w:r w:rsidRPr="005B72DB">
        <w:rPr>
          <w:rFonts w:eastAsia="等线"/>
        </w:rPr>
        <w:fldChar w:fldCharType="begin"/>
      </w:r>
      <w:r w:rsidRPr="005B72DB">
        <w:rPr>
          <w:rFonts w:eastAsia="等线"/>
        </w:rPr>
        <w:instrText xml:space="preserve"> REF _Ref26570913 \h  \* MERGEFORMAT </w:instrText>
      </w:r>
      <w:r w:rsidRPr="005B72DB">
        <w:rPr>
          <w:rFonts w:eastAsia="等线"/>
        </w:rPr>
      </w:r>
      <w:r w:rsidRPr="005B72DB">
        <w:rPr>
          <w:rFonts w:eastAsia="等线"/>
        </w:rPr>
        <w:fldChar w:fldCharType="separate"/>
      </w:r>
      <w:r w:rsidR="0005064B" w:rsidRPr="0005064B">
        <w:rPr>
          <w:rFonts w:eastAsia="等线"/>
        </w:rPr>
        <w:t>Table 7</w:t>
      </w:r>
      <w:r w:rsidR="0005064B" w:rsidRPr="0005064B">
        <w:rPr>
          <w:rFonts w:eastAsia="等线"/>
        </w:rPr>
        <w:noBreakHyphen/>
        <w:t>9</w:t>
      </w:r>
      <w:r w:rsidRPr="005B72DB">
        <w:rPr>
          <w:rFonts w:eastAsia="等线"/>
        </w:rPr>
        <w:fldChar w:fldCharType="end"/>
      </w:r>
      <w:r w:rsidRPr="005B72DB">
        <w:rPr>
          <w:rFonts w:eastAsia="等线"/>
        </w:rPr>
        <w:t>), UES will be the most convenient allocation rule for the UCC. Such a rule also allows the UCC to subsidise the activities of the LHC and local carrier. If the local carrier keeps its cost between €1.48/parcel and €2.64/parcel (</w:t>
      </w:r>
      <w:r w:rsidRPr="005B72DB">
        <w:rPr>
          <w:rFonts w:eastAsia="等线"/>
        </w:rPr>
        <w:fldChar w:fldCharType="begin"/>
      </w:r>
      <w:r w:rsidRPr="005B72DB">
        <w:rPr>
          <w:rFonts w:eastAsia="等线"/>
        </w:rPr>
        <w:instrText xml:space="preserve"> REF _Ref26570948 \h  \* MERGEFORMAT </w:instrText>
      </w:r>
      <w:r w:rsidRPr="005B72DB">
        <w:rPr>
          <w:rFonts w:eastAsia="等线"/>
        </w:rPr>
      </w:r>
      <w:r w:rsidRPr="005B72DB">
        <w:rPr>
          <w:rFonts w:eastAsia="等线"/>
        </w:rPr>
        <w:fldChar w:fldCharType="separate"/>
      </w:r>
      <w:r w:rsidR="0005064B" w:rsidRPr="0005064B">
        <w:rPr>
          <w:rFonts w:eastAsia="等线"/>
        </w:rPr>
        <w:t>Table 7</w:t>
      </w:r>
      <w:r w:rsidR="0005064B" w:rsidRPr="0005064B">
        <w:rPr>
          <w:rFonts w:eastAsia="等线"/>
        </w:rPr>
        <w:noBreakHyphen/>
        <w:t>10</w:t>
      </w:r>
      <w:r w:rsidRPr="005B72DB">
        <w:rPr>
          <w:rFonts w:eastAsia="等线"/>
        </w:rPr>
        <w:fldChar w:fldCharType="end"/>
      </w:r>
      <w:r w:rsidRPr="005B72DB">
        <w:rPr>
          <w:rFonts w:eastAsia="等线"/>
        </w:rPr>
        <w:t>), a DES rule produces a better cost allocation. When considering the need to encourage LHCs to use the UCC, DES will always provide the most convenient solution, reducing the LHC’s extra cost to €0.38/parcel. When local carriers can keep its last-mile costs under €1.70 per parcel (</w:t>
      </w:r>
      <w:r w:rsidRPr="005B72DB">
        <w:rPr>
          <w:rFonts w:eastAsia="等线"/>
        </w:rPr>
        <w:fldChar w:fldCharType="begin"/>
      </w:r>
      <w:r w:rsidRPr="005B72DB">
        <w:rPr>
          <w:rFonts w:eastAsia="等线"/>
        </w:rPr>
        <w:instrText xml:space="preserve"> REF _Ref32264802 \h  \* MERGEFORMAT </w:instrText>
      </w:r>
      <w:r w:rsidRPr="005B72DB">
        <w:rPr>
          <w:rFonts w:eastAsia="等线"/>
        </w:rPr>
      </w:r>
      <w:r w:rsidRPr="005B72DB">
        <w:rPr>
          <w:rFonts w:eastAsia="等线"/>
        </w:rPr>
        <w:fldChar w:fldCharType="separate"/>
      </w:r>
      <w:r w:rsidR="0005064B" w:rsidRPr="0005064B">
        <w:rPr>
          <w:rFonts w:eastAsia="等线"/>
        </w:rPr>
        <w:t>Table 7</w:t>
      </w:r>
      <w:r w:rsidR="0005064B" w:rsidRPr="0005064B">
        <w:rPr>
          <w:rFonts w:eastAsia="等线"/>
        </w:rPr>
        <w:noBreakHyphen/>
        <w:t>11</w:t>
      </w:r>
      <w:r w:rsidRPr="005B72DB">
        <w:rPr>
          <w:rFonts w:eastAsia="等线"/>
        </w:rPr>
        <w:fldChar w:fldCharType="end"/>
      </w:r>
      <w:r w:rsidRPr="005B72DB">
        <w:rPr>
          <w:rFonts w:eastAsia="等线"/>
        </w:rPr>
        <w:t>), a UES can also benefit the LHC (</w:t>
      </w:r>
      <w:r w:rsidRPr="005B72DB">
        <w:rPr>
          <w:rFonts w:eastAsia="等线"/>
        </w:rPr>
        <w:fldChar w:fldCharType="begin"/>
      </w:r>
      <w:r w:rsidRPr="005B72DB">
        <w:rPr>
          <w:rFonts w:eastAsia="等线"/>
        </w:rPr>
        <w:instrText xml:space="preserve"> REF _Ref32264759 \h  \* MERGEFORMAT </w:instrText>
      </w:r>
      <w:r w:rsidRPr="005B72DB">
        <w:rPr>
          <w:rFonts w:eastAsia="等线"/>
        </w:rPr>
      </w:r>
      <w:r w:rsidRPr="005B72DB">
        <w:rPr>
          <w:rFonts w:eastAsia="等线"/>
        </w:rPr>
        <w:fldChar w:fldCharType="separate"/>
      </w:r>
      <w:r w:rsidR="0005064B" w:rsidRPr="0005064B">
        <w:rPr>
          <w:rFonts w:eastAsia="等线"/>
        </w:rPr>
        <w:t>Figure 7</w:t>
      </w:r>
      <w:r w:rsidR="0005064B" w:rsidRPr="0005064B">
        <w:rPr>
          <w:rFonts w:eastAsia="等线"/>
        </w:rPr>
        <w:noBreakHyphen/>
        <w:t>5</w:t>
      </w:r>
      <w:r w:rsidRPr="005B72DB">
        <w:rPr>
          <w:rFonts w:eastAsia="等线"/>
        </w:rPr>
        <w:fldChar w:fldCharType="end"/>
      </w:r>
      <w:r w:rsidRPr="005B72DB">
        <w:rPr>
          <w:rFonts w:eastAsia="等线"/>
        </w:rPr>
        <w:t>). Therefore, when the local carrier can keep its costs under €1.48/parcel (</w:t>
      </w:r>
      <w:r w:rsidRPr="005B72DB">
        <w:rPr>
          <w:rFonts w:eastAsia="等线"/>
        </w:rPr>
        <w:fldChar w:fldCharType="begin"/>
      </w:r>
      <w:r w:rsidRPr="005B72DB">
        <w:rPr>
          <w:rFonts w:eastAsia="等线"/>
        </w:rPr>
        <w:instrText xml:space="preserve"> REF _Ref26570913 \h  \* MERGEFORMAT </w:instrText>
      </w:r>
      <w:r w:rsidRPr="005B72DB">
        <w:rPr>
          <w:rFonts w:eastAsia="等线"/>
        </w:rPr>
      </w:r>
      <w:r w:rsidRPr="005B72DB">
        <w:rPr>
          <w:rFonts w:eastAsia="等线"/>
        </w:rPr>
        <w:fldChar w:fldCharType="separate"/>
      </w:r>
      <w:r w:rsidR="0005064B" w:rsidRPr="0005064B">
        <w:rPr>
          <w:rFonts w:eastAsia="等线"/>
        </w:rPr>
        <w:t>Table 7</w:t>
      </w:r>
      <w:r w:rsidR="0005064B" w:rsidRPr="0005064B">
        <w:rPr>
          <w:rFonts w:eastAsia="等线"/>
        </w:rPr>
        <w:noBreakHyphen/>
        <w:t>9</w:t>
      </w:r>
      <w:r w:rsidRPr="005B72DB">
        <w:rPr>
          <w:rFonts w:eastAsia="等线"/>
        </w:rPr>
        <w:fldChar w:fldCharType="end"/>
      </w:r>
      <w:r w:rsidRPr="005B72DB">
        <w:rPr>
          <w:rFonts w:eastAsia="等线"/>
        </w:rPr>
        <w:t>), the UES rule can provide the best solution for the UCC, while also providing a partial financial relief to the LHC.</w:t>
      </w:r>
    </w:p>
    <w:tbl>
      <w:tblPr>
        <w:tblW w:w="8979" w:type="dxa"/>
        <w:jc w:val="center"/>
        <w:tblLayout w:type="fixed"/>
        <w:tblLook w:val="04A0" w:firstRow="1" w:lastRow="0" w:firstColumn="1" w:lastColumn="0" w:noHBand="0" w:noVBand="1"/>
      </w:tblPr>
      <w:tblGrid>
        <w:gridCol w:w="1555"/>
        <w:gridCol w:w="1237"/>
        <w:gridCol w:w="1237"/>
        <w:gridCol w:w="1238"/>
        <w:gridCol w:w="1237"/>
        <w:gridCol w:w="1237"/>
        <w:gridCol w:w="1238"/>
      </w:tblGrid>
      <w:tr w:rsidR="002373D2" w:rsidRPr="005B72DB" w14:paraId="01F685CA" w14:textId="77777777" w:rsidTr="0051420F">
        <w:trPr>
          <w:trHeight w:val="285"/>
          <w:jc w:val="center"/>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666FD2" w14:textId="77777777" w:rsidR="002373D2" w:rsidRPr="005B72DB" w:rsidRDefault="002373D2" w:rsidP="00CF0E89">
            <w:pPr>
              <w:spacing w:line="240" w:lineRule="auto"/>
              <w:jc w:val="left"/>
              <w:rPr>
                <w:rFonts w:cs="Calibri"/>
                <w:color w:val="000000"/>
                <w:sz w:val="22"/>
              </w:rPr>
            </w:pPr>
            <w:r w:rsidRPr="005B72DB">
              <w:rPr>
                <w:rFonts w:cs="Calibri"/>
                <w:color w:val="000000"/>
                <w:sz w:val="22"/>
              </w:rPr>
              <w:t> </w:t>
            </w:r>
          </w:p>
        </w:tc>
        <w:tc>
          <w:tcPr>
            <w:tcW w:w="1237" w:type="dxa"/>
            <w:tcBorders>
              <w:top w:val="single" w:sz="4" w:space="0" w:color="auto"/>
              <w:left w:val="nil"/>
              <w:bottom w:val="single" w:sz="4" w:space="0" w:color="auto"/>
              <w:right w:val="single" w:sz="4" w:space="0" w:color="auto"/>
            </w:tcBorders>
            <w:shd w:val="clear" w:color="auto" w:fill="auto"/>
            <w:noWrap/>
            <w:vAlign w:val="center"/>
            <w:hideMark/>
          </w:tcPr>
          <w:p w14:paraId="28DC9745" w14:textId="77777777" w:rsidR="002373D2" w:rsidRPr="005B72DB" w:rsidRDefault="002373D2" w:rsidP="00CF0E89">
            <w:pPr>
              <w:spacing w:line="240" w:lineRule="auto"/>
              <w:jc w:val="center"/>
              <w:rPr>
                <w:rFonts w:cs="Calibri"/>
                <w:b/>
                <w:bCs/>
                <w:color w:val="000000"/>
                <w:sz w:val="22"/>
              </w:rPr>
            </w:pPr>
            <w:r w:rsidRPr="005B72DB">
              <w:rPr>
                <w:rFonts w:cs="Calibri"/>
                <w:b/>
                <w:bCs/>
                <w:color w:val="000000"/>
                <w:sz w:val="22"/>
              </w:rPr>
              <w:t>LRS (€)</w:t>
            </w:r>
          </w:p>
        </w:tc>
        <w:tc>
          <w:tcPr>
            <w:tcW w:w="1237" w:type="dxa"/>
            <w:tcBorders>
              <w:top w:val="single" w:sz="4" w:space="0" w:color="auto"/>
              <w:left w:val="nil"/>
              <w:bottom w:val="single" w:sz="4" w:space="0" w:color="auto"/>
              <w:right w:val="single" w:sz="4" w:space="0" w:color="auto"/>
            </w:tcBorders>
            <w:shd w:val="clear" w:color="auto" w:fill="auto"/>
            <w:noWrap/>
            <w:vAlign w:val="center"/>
            <w:hideMark/>
          </w:tcPr>
          <w:p w14:paraId="31A3EC96" w14:textId="77777777" w:rsidR="002373D2" w:rsidRPr="005B72DB" w:rsidRDefault="002373D2" w:rsidP="00CF0E89">
            <w:pPr>
              <w:spacing w:line="240" w:lineRule="auto"/>
              <w:jc w:val="center"/>
              <w:rPr>
                <w:rFonts w:cs="Calibri"/>
                <w:b/>
                <w:bCs/>
                <w:color w:val="000000"/>
                <w:sz w:val="22"/>
              </w:rPr>
            </w:pPr>
            <w:r w:rsidRPr="005B72DB">
              <w:rPr>
                <w:rFonts w:cs="Calibri"/>
                <w:b/>
                <w:bCs/>
                <w:color w:val="000000"/>
                <w:sz w:val="22"/>
              </w:rPr>
              <w:t>LRS (%)</w:t>
            </w:r>
          </w:p>
        </w:tc>
        <w:tc>
          <w:tcPr>
            <w:tcW w:w="1238" w:type="dxa"/>
            <w:tcBorders>
              <w:top w:val="single" w:sz="4" w:space="0" w:color="auto"/>
              <w:left w:val="nil"/>
              <w:bottom w:val="single" w:sz="4" w:space="0" w:color="auto"/>
              <w:right w:val="single" w:sz="4" w:space="0" w:color="auto"/>
            </w:tcBorders>
            <w:shd w:val="clear" w:color="auto" w:fill="auto"/>
            <w:noWrap/>
            <w:vAlign w:val="center"/>
            <w:hideMark/>
          </w:tcPr>
          <w:p w14:paraId="78B80B02" w14:textId="77777777" w:rsidR="002373D2" w:rsidRPr="005B72DB" w:rsidRDefault="002373D2" w:rsidP="00CF0E89">
            <w:pPr>
              <w:spacing w:line="240" w:lineRule="auto"/>
              <w:jc w:val="center"/>
              <w:rPr>
                <w:rFonts w:cs="Calibri"/>
                <w:b/>
                <w:bCs/>
                <w:color w:val="000000"/>
                <w:sz w:val="22"/>
              </w:rPr>
            </w:pPr>
            <w:r w:rsidRPr="005B72DB">
              <w:rPr>
                <w:rFonts w:cs="Calibri"/>
                <w:b/>
                <w:bCs/>
                <w:color w:val="000000"/>
                <w:sz w:val="22"/>
              </w:rPr>
              <w:t>UES (€)</w:t>
            </w:r>
          </w:p>
        </w:tc>
        <w:tc>
          <w:tcPr>
            <w:tcW w:w="1237" w:type="dxa"/>
            <w:tcBorders>
              <w:top w:val="single" w:sz="4" w:space="0" w:color="auto"/>
              <w:left w:val="nil"/>
              <w:bottom w:val="single" w:sz="4" w:space="0" w:color="auto"/>
              <w:right w:val="single" w:sz="4" w:space="0" w:color="auto"/>
            </w:tcBorders>
            <w:shd w:val="clear" w:color="auto" w:fill="auto"/>
            <w:noWrap/>
            <w:vAlign w:val="center"/>
            <w:hideMark/>
          </w:tcPr>
          <w:p w14:paraId="478B47BC" w14:textId="77777777" w:rsidR="002373D2" w:rsidRPr="005B72DB" w:rsidRDefault="002373D2" w:rsidP="00CF0E89">
            <w:pPr>
              <w:spacing w:line="240" w:lineRule="auto"/>
              <w:jc w:val="center"/>
              <w:rPr>
                <w:rFonts w:cs="Calibri"/>
                <w:b/>
                <w:bCs/>
                <w:color w:val="000000"/>
                <w:sz w:val="22"/>
              </w:rPr>
            </w:pPr>
            <w:r w:rsidRPr="005B72DB">
              <w:rPr>
                <w:rFonts w:cs="Calibri"/>
                <w:b/>
                <w:bCs/>
                <w:color w:val="000000"/>
                <w:sz w:val="22"/>
              </w:rPr>
              <w:t>UES (%)</w:t>
            </w:r>
          </w:p>
        </w:tc>
        <w:tc>
          <w:tcPr>
            <w:tcW w:w="1237" w:type="dxa"/>
            <w:tcBorders>
              <w:top w:val="single" w:sz="4" w:space="0" w:color="auto"/>
              <w:left w:val="nil"/>
              <w:bottom w:val="single" w:sz="4" w:space="0" w:color="auto"/>
              <w:right w:val="single" w:sz="4" w:space="0" w:color="auto"/>
            </w:tcBorders>
            <w:shd w:val="clear" w:color="auto" w:fill="auto"/>
            <w:noWrap/>
            <w:vAlign w:val="center"/>
            <w:hideMark/>
          </w:tcPr>
          <w:p w14:paraId="454BC273" w14:textId="77777777" w:rsidR="002373D2" w:rsidRPr="005B72DB" w:rsidRDefault="002373D2" w:rsidP="00CF0E89">
            <w:pPr>
              <w:spacing w:line="240" w:lineRule="auto"/>
              <w:jc w:val="center"/>
              <w:rPr>
                <w:rFonts w:cs="Calibri"/>
                <w:b/>
                <w:bCs/>
                <w:color w:val="000000"/>
                <w:sz w:val="22"/>
              </w:rPr>
            </w:pPr>
            <w:r w:rsidRPr="005B72DB">
              <w:rPr>
                <w:rFonts w:cs="Calibri"/>
                <w:b/>
                <w:bCs/>
                <w:color w:val="000000"/>
                <w:sz w:val="22"/>
              </w:rPr>
              <w:t>DES (€)</w:t>
            </w:r>
          </w:p>
        </w:tc>
        <w:tc>
          <w:tcPr>
            <w:tcW w:w="1238" w:type="dxa"/>
            <w:tcBorders>
              <w:top w:val="single" w:sz="4" w:space="0" w:color="auto"/>
              <w:left w:val="nil"/>
              <w:bottom w:val="single" w:sz="4" w:space="0" w:color="auto"/>
              <w:right w:val="single" w:sz="4" w:space="0" w:color="auto"/>
            </w:tcBorders>
            <w:shd w:val="clear" w:color="auto" w:fill="auto"/>
            <w:noWrap/>
            <w:vAlign w:val="center"/>
            <w:hideMark/>
          </w:tcPr>
          <w:p w14:paraId="066F96BD" w14:textId="77777777" w:rsidR="002373D2" w:rsidRPr="005B72DB" w:rsidRDefault="002373D2" w:rsidP="00CF0E89">
            <w:pPr>
              <w:spacing w:line="240" w:lineRule="auto"/>
              <w:jc w:val="center"/>
              <w:rPr>
                <w:rFonts w:cs="Calibri"/>
                <w:b/>
                <w:bCs/>
                <w:color w:val="000000"/>
                <w:sz w:val="22"/>
              </w:rPr>
            </w:pPr>
            <w:r w:rsidRPr="005B72DB">
              <w:rPr>
                <w:rFonts w:cs="Calibri"/>
                <w:b/>
                <w:bCs/>
                <w:color w:val="000000"/>
                <w:sz w:val="22"/>
              </w:rPr>
              <w:t>DES (%)</w:t>
            </w:r>
          </w:p>
        </w:tc>
      </w:tr>
      <w:tr w:rsidR="002373D2" w:rsidRPr="005B72DB" w14:paraId="415A6244" w14:textId="77777777" w:rsidTr="0051420F">
        <w:trPr>
          <w:trHeight w:val="285"/>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6977418A" w14:textId="77777777" w:rsidR="002373D2" w:rsidRPr="005B72DB" w:rsidRDefault="002373D2" w:rsidP="00CF0E89">
            <w:pPr>
              <w:spacing w:line="240" w:lineRule="auto"/>
              <w:jc w:val="left"/>
              <w:rPr>
                <w:rFonts w:cs="Calibri"/>
                <w:b/>
                <w:bCs/>
                <w:color w:val="000000"/>
                <w:sz w:val="22"/>
              </w:rPr>
            </w:pPr>
            <w:r w:rsidRPr="005B72DB">
              <w:rPr>
                <w:rFonts w:cs="Calibri"/>
                <w:b/>
                <w:bCs/>
                <w:color w:val="000000"/>
                <w:sz w:val="22"/>
              </w:rPr>
              <w:lastRenderedPageBreak/>
              <w:t>Supplier</w:t>
            </w:r>
          </w:p>
        </w:tc>
        <w:tc>
          <w:tcPr>
            <w:tcW w:w="1237" w:type="dxa"/>
            <w:tcBorders>
              <w:top w:val="nil"/>
              <w:left w:val="nil"/>
              <w:bottom w:val="single" w:sz="4" w:space="0" w:color="auto"/>
              <w:right w:val="single" w:sz="4" w:space="0" w:color="auto"/>
            </w:tcBorders>
            <w:shd w:val="clear" w:color="auto" w:fill="auto"/>
            <w:noWrap/>
            <w:vAlign w:val="center"/>
          </w:tcPr>
          <w:p w14:paraId="1F1A3CF4" w14:textId="77777777" w:rsidR="002373D2" w:rsidRPr="005B72DB" w:rsidRDefault="002373D2" w:rsidP="00CF0E89">
            <w:pPr>
              <w:spacing w:line="240" w:lineRule="auto"/>
              <w:jc w:val="center"/>
              <w:rPr>
                <w:color w:val="000000"/>
                <w:sz w:val="22"/>
              </w:rPr>
            </w:pPr>
            <w:r w:rsidRPr="005B72DB">
              <w:rPr>
                <w:color w:val="000000"/>
                <w:sz w:val="22"/>
              </w:rPr>
              <w:t>0.00</w:t>
            </w:r>
          </w:p>
        </w:tc>
        <w:tc>
          <w:tcPr>
            <w:tcW w:w="1237" w:type="dxa"/>
            <w:tcBorders>
              <w:top w:val="nil"/>
              <w:left w:val="nil"/>
              <w:bottom w:val="single" w:sz="4" w:space="0" w:color="auto"/>
              <w:right w:val="single" w:sz="4" w:space="0" w:color="auto"/>
            </w:tcBorders>
            <w:shd w:val="clear" w:color="auto" w:fill="auto"/>
            <w:noWrap/>
            <w:vAlign w:val="center"/>
          </w:tcPr>
          <w:p w14:paraId="4CA123BF" w14:textId="77777777" w:rsidR="002373D2" w:rsidRPr="005B72DB" w:rsidRDefault="002373D2" w:rsidP="00CF0E89">
            <w:pPr>
              <w:spacing w:line="240" w:lineRule="auto"/>
              <w:jc w:val="center"/>
              <w:rPr>
                <w:color w:val="000000"/>
                <w:sz w:val="22"/>
              </w:rPr>
            </w:pPr>
            <w:r w:rsidRPr="005B72DB">
              <w:rPr>
                <w:color w:val="000000"/>
                <w:sz w:val="22"/>
              </w:rPr>
              <w:t>0.00%</w:t>
            </w:r>
          </w:p>
        </w:tc>
        <w:tc>
          <w:tcPr>
            <w:tcW w:w="1238" w:type="dxa"/>
            <w:tcBorders>
              <w:top w:val="nil"/>
              <w:left w:val="nil"/>
              <w:bottom w:val="single" w:sz="4" w:space="0" w:color="auto"/>
              <w:right w:val="single" w:sz="4" w:space="0" w:color="auto"/>
            </w:tcBorders>
            <w:shd w:val="clear" w:color="auto" w:fill="auto"/>
            <w:noWrap/>
            <w:vAlign w:val="center"/>
          </w:tcPr>
          <w:p w14:paraId="5CE53EAF" w14:textId="77777777" w:rsidR="002373D2" w:rsidRPr="005B72DB" w:rsidRDefault="002373D2" w:rsidP="00CF0E89">
            <w:pPr>
              <w:spacing w:line="240" w:lineRule="auto"/>
              <w:jc w:val="center"/>
              <w:rPr>
                <w:color w:val="000000"/>
                <w:sz w:val="22"/>
              </w:rPr>
            </w:pPr>
            <w:r w:rsidRPr="005B72DB">
              <w:rPr>
                <w:color w:val="000000"/>
                <w:sz w:val="22"/>
              </w:rPr>
              <w:t>1.46</w:t>
            </w:r>
          </w:p>
        </w:tc>
        <w:tc>
          <w:tcPr>
            <w:tcW w:w="1237" w:type="dxa"/>
            <w:tcBorders>
              <w:top w:val="nil"/>
              <w:left w:val="nil"/>
              <w:bottom w:val="single" w:sz="4" w:space="0" w:color="auto"/>
              <w:right w:val="single" w:sz="4" w:space="0" w:color="auto"/>
            </w:tcBorders>
            <w:shd w:val="clear" w:color="auto" w:fill="auto"/>
            <w:noWrap/>
            <w:vAlign w:val="center"/>
          </w:tcPr>
          <w:p w14:paraId="61A2B9C8" w14:textId="77777777" w:rsidR="002373D2" w:rsidRPr="005B72DB" w:rsidRDefault="002373D2" w:rsidP="00CF0E89">
            <w:pPr>
              <w:spacing w:line="240" w:lineRule="auto"/>
              <w:jc w:val="center"/>
              <w:rPr>
                <w:color w:val="000000"/>
                <w:sz w:val="22"/>
              </w:rPr>
            </w:pPr>
            <w:r w:rsidRPr="005B72DB">
              <w:rPr>
                <w:color w:val="000000"/>
                <w:sz w:val="22"/>
              </w:rPr>
              <w:t>36.56%</w:t>
            </w:r>
          </w:p>
        </w:tc>
        <w:tc>
          <w:tcPr>
            <w:tcW w:w="1237" w:type="dxa"/>
            <w:tcBorders>
              <w:top w:val="nil"/>
              <w:left w:val="nil"/>
              <w:bottom w:val="single" w:sz="4" w:space="0" w:color="auto"/>
              <w:right w:val="single" w:sz="4" w:space="0" w:color="auto"/>
            </w:tcBorders>
            <w:shd w:val="clear" w:color="auto" w:fill="auto"/>
            <w:noWrap/>
            <w:vAlign w:val="center"/>
          </w:tcPr>
          <w:p w14:paraId="3ABE1150" w14:textId="77777777" w:rsidR="002373D2" w:rsidRPr="005B72DB" w:rsidRDefault="002373D2" w:rsidP="00CF0E89">
            <w:pPr>
              <w:spacing w:line="240" w:lineRule="auto"/>
              <w:jc w:val="center"/>
              <w:rPr>
                <w:color w:val="000000"/>
                <w:sz w:val="22"/>
              </w:rPr>
            </w:pPr>
            <w:r w:rsidRPr="005B72DB">
              <w:rPr>
                <w:color w:val="000000"/>
                <w:sz w:val="22"/>
              </w:rPr>
              <w:t>0.00</w:t>
            </w:r>
          </w:p>
        </w:tc>
        <w:tc>
          <w:tcPr>
            <w:tcW w:w="1238" w:type="dxa"/>
            <w:tcBorders>
              <w:top w:val="nil"/>
              <w:left w:val="nil"/>
              <w:bottom w:val="single" w:sz="4" w:space="0" w:color="auto"/>
              <w:right w:val="single" w:sz="4" w:space="0" w:color="auto"/>
            </w:tcBorders>
            <w:shd w:val="clear" w:color="auto" w:fill="auto"/>
            <w:noWrap/>
            <w:vAlign w:val="center"/>
          </w:tcPr>
          <w:p w14:paraId="28AAF3DE" w14:textId="77777777" w:rsidR="002373D2" w:rsidRPr="005B72DB" w:rsidRDefault="002373D2" w:rsidP="00CF0E89">
            <w:pPr>
              <w:spacing w:line="240" w:lineRule="auto"/>
              <w:jc w:val="center"/>
              <w:rPr>
                <w:color w:val="000000"/>
                <w:sz w:val="22"/>
              </w:rPr>
            </w:pPr>
            <w:r w:rsidRPr="005B72DB">
              <w:rPr>
                <w:color w:val="000000"/>
                <w:sz w:val="22"/>
              </w:rPr>
              <w:t>0.00%</w:t>
            </w:r>
          </w:p>
        </w:tc>
      </w:tr>
      <w:tr w:rsidR="002373D2" w:rsidRPr="005B72DB" w14:paraId="216076BC" w14:textId="77777777" w:rsidTr="0051420F">
        <w:trPr>
          <w:trHeight w:val="285"/>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4378A3A5" w14:textId="77777777" w:rsidR="002373D2" w:rsidRPr="005B72DB" w:rsidRDefault="002373D2" w:rsidP="00CF0E89">
            <w:pPr>
              <w:spacing w:line="240" w:lineRule="auto"/>
              <w:jc w:val="left"/>
              <w:rPr>
                <w:rFonts w:cs="Calibri"/>
                <w:b/>
                <w:bCs/>
                <w:color w:val="000000"/>
                <w:sz w:val="22"/>
              </w:rPr>
            </w:pPr>
            <w:r w:rsidRPr="005B72DB">
              <w:rPr>
                <w:rFonts w:cs="Calibri"/>
                <w:b/>
                <w:bCs/>
                <w:color w:val="000000"/>
                <w:sz w:val="22"/>
              </w:rPr>
              <w:t>LHC</w:t>
            </w:r>
          </w:p>
        </w:tc>
        <w:tc>
          <w:tcPr>
            <w:tcW w:w="1237" w:type="dxa"/>
            <w:tcBorders>
              <w:top w:val="nil"/>
              <w:left w:val="nil"/>
              <w:bottom w:val="single" w:sz="4" w:space="0" w:color="auto"/>
              <w:right w:val="single" w:sz="4" w:space="0" w:color="auto"/>
            </w:tcBorders>
            <w:shd w:val="clear" w:color="auto" w:fill="auto"/>
            <w:noWrap/>
            <w:vAlign w:val="center"/>
          </w:tcPr>
          <w:p w14:paraId="062ABBB9" w14:textId="77777777" w:rsidR="002373D2" w:rsidRPr="005B72DB" w:rsidRDefault="002373D2" w:rsidP="00CF0E89">
            <w:pPr>
              <w:spacing w:line="240" w:lineRule="auto"/>
              <w:jc w:val="center"/>
              <w:rPr>
                <w:color w:val="000000"/>
                <w:sz w:val="22"/>
              </w:rPr>
            </w:pPr>
            <w:r w:rsidRPr="005B72DB">
              <w:rPr>
                <w:color w:val="000000"/>
                <w:sz w:val="22"/>
              </w:rPr>
              <w:t>1.51</w:t>
            </w:r>
          </w:p>
        </w:tc>
        <w:tc>
          <w:tcPr>
            <w:tcW w:w="1237" w:type="dxa"/>
            <w:tcBorders>
              <w:top w:val="nil"/>
              <w:left w:val="nil"/>
              <w:bottom w:val="single" w:sz="4" w:space="0" w:color="auto"/>
              <w:right w:val="single" w:sz="4" w:space="0" w:color="auto"/>
            </w:tcBorders>
            <w:shd w:val="clear" w:color="auto" w:fill="auto"/>
            <w:noWrap/>
            <w:vAlign w:val="center"/>
          </w:tcPr>
          <w:p w14:paraId="30706653" w14:textId="77777777" w:rsidR="002373D2" w:rsidRPr="005B72DB" w:rsidRDefault="002373D2" w:rsidP="00CF0E89">
            <w:pPr>
              <w:spacing w:line="240" w:lineRule="auto"/>
              <w:jc w:val="center"/>
              <w:rPr>
                <w:color w:val="000000"/>
                <w:sz w:val="22"/>
              </w:rPr>
            </w:pPr>
            <w:r w:rsidRPr="005B72DB">
              <w:rPr>
                <w:color w:val="000000"/>
                <w:sz w:val="22"/>
              </w:rPr>
              <w:t>37.94%</w:t>
            </w:r>
          </w:p>
        </w:tc>
        <w:tc>
          <w:tcPr>
            <w:tcW w:w="1238" w:type="dxa"/>
            <w:tcBorders>
              <w:top w:val="nil"/>
              <w:left w:val="nil"/>
              <w:bottom w:val="single" w:sz="4" w:space="0" w:color="auto"/>
              <w:right w:val="single" w:sz="4" w:space="0" w:color="auto"/>
            </w:tcBorders>
            <w:shd w:val="clear" w:color="auto" w:fill="auto"/>
            <w:noWrap/>
            <w:vAlign w:val="center"/>
          </w:tcPr>
          <w:p w14:paraId="631247E1" w14:textId="77777777" w:rsidR="002373D2" w:rsidRPr="005B72DB" w:rsidRDefault="002373D2" w:rsidP="00CF0E89">
            <w:pPr>
              <w:spacing w:line="240" w:lineRule="auto"/>
              <w:jc w:val="center"/>
              <w:rPr>
                <w:color w:val="000000"/>
                <w:sz w:val="22"/>
              </w:rPr>
            </w:pPr>
            <w:r w:rsidRPr="005B72DB">
              <w:rPr>
                <w:color w:val="000000"/>
                <w:sz w:val="22"/>
              </w:rPr>
              <w:t>1.46</w:t>
            </w:r>
          </w:p>
        </w:tc>
        <w:tc>
          <w:tcPr>
            <w:tcW w:w="1237" w:type="dxa"/>
            <w:tcBorders>
              <w:top w:val="nil"/>
              <w:left w:val="nil"/>
              <w:bottom w:val="single" w:sz="4" w:space="0" w:color="auto"/>
              <w:right w:val="single" w:sz="4" w:space="0" w:color="auto"/>
            </w:tcBorders>
            <w:shd w:val="clear" w:color="auto" w:fill="auto"/>
            <w:noWrap/>
            <w:vAlign w:val="center"/>
          </w:tcPr>
          <w:p w14:paraId="4F5C78C0" w14:textId="77777777" w:rsidR="002373D2" w:rsidRPr="005B72DB" w:rsidRDefault="002373D2" w:rsidP="00CF0E89">
            <w:pPr>
              <w:spacing w:line="240" w:lineRule="auto"/>
              <w:jc w:val="center"/>
              <w:rPr>
                <w:color w:val="000000"/>
                <w:sz w:val="22"/>
              </w:rPr>
            </w:pPr>
            <w:r w:rsidRPr="005B72DB">
              <w:rPr>
                <w:color w:val="000000"/>
                <w:sz w:val="22"/>
              </w:rPr>
              <w:t>36.56%</w:t>
            </w:r>
          </w:p>
        </w:tc>
        <w:tc>
          <w:tcPr>
            <w:tcW w:w="1237" w:type="dxa"/>
            <w:tcBorders>
              <w:top w:val="nil"/>
              <w:left w:val="nil"/>
              <w:bottom w:val="single" w:sz="4" w:space="0" w:color="auto"/>
              <w:right w:val="single" w:sz="4" w:space="0" w:color="auto"/>
            </w:tcBorders>
            <w:shd w:val="clear" w:color="auto" w:fill="auto"/>
            <w:noWrap/>
            <w:vAlign w:val="center"/>
          </w:tcPr>
          <w:p w14:paraId="29913AD0" w14:textId="77777777" w:rsidR="002373D2" w:rsidRPr="005B72DB" w:rsidRDefault="002373D2" w:rsidP="00CF0E89">
            <w:pPr>
              <w:spacing w:line="240" w:lineRule="auto"/>
              <w:jc w:val="center"/>
              <w:rPr>
                <w:color w:val="000000"/>
                <w:sz w:val="22"/>
              </w:rPr>
            </w:pPr>
            <w:r w:rsidRPr="005B72DB">
              <w:rPr>
                <w:color w:val="000000"/>
                <w:sz w:val="22"/>
              </w:rPr>
              <w:t>0.38</w:t>
            </w:r>
          </w:p>
        </w:tc>
        <w:tc>
          <w:tcPr>
            <w:tcW w:w="1238" w:type="dxa"/>
            <w:tcBorders>
              <w:top w:val="nil"/>
              <w:left w:val="nil"/>
              <w:bottom w:val="single" w:sz="4" w:space="0" w:color="auto"/>
              <w:right w:val="single" w:sz="4" w:space="0" w:color="auto"/>
            </w:tcBorders>
            <w:shd w:val="clear" w:color="auto" w:fill="auto"/>
            <w:noWrap/>
            <w:vAlign w:val="center"/>
          </w:tcPr>
          <w:p w14:paraId="438A07F7" w14:textId="77777777" w:rsidR="002373D2" w:rsidRPr="005B72DB" w:rsidRDefault="002373D2" w:rsidP="00CF0E89">
            <w:pPr>
              <w:spacing w:line="240" w:lineRule="auto"/>
              <w:jc w:val="center"/>
              <w:rPr>
                <w:color w:val="000000"/>
                <w:sz w:val="22"/>
              </w:rPr>
            </w:pPr>
            <w:r w:rsidRPr="005B72DB">
              <w:rPr>
                <w:color w:val="000000"/>
                <w:sz w:val="22"/>
              </w:rPr>
              <w:t>9.48%</w:t>
            </w:r>
          </w:p>
        </w:tc>
      </w:tr>
      <w:tr w:rsidR="002373D2" w:rsidRPr="005B72DB" w14:paraId="41DB4F0F" w14:textId="77777777" w:rsidTr="0051420F">
        <w:trPr>
          <w:trHeight w:val="285"/>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CB7C246" w14:textId="77777777" w:rsidR="002373D2" w:rsidRPr="005B72DB" w:rsidRDefault="002373D2" w:rsidP="00CF0E89">
            <w:pPr>
              <w:spacing w:line="240" w:lineRule="auto"/>
              <w:jc w:val="left"/>
              <w:rPr>
                <w:rFonts w:cs="Calibri"/>
                <w:b/>
                <w:bCs/>
                <w:color w:val="000000"/>
                <w:sz w:val="22"/>
              </w:rPr>
            </w:pPr>
            <w:r w:rsidRPr="005B72DB">
              <w:rPr>
                <w:rFonts w:cs="Calibri"/>
                <w:b/>
                <w:bCs/>
                <w:color w:val="000000"/>
                <w:sz w:val="22"/>
              </w:rPr>
              <w:t>UCC</w:t>
            </w:r>
          </w:p>
        </w:tc>
        <w:tc>
          <w:tcPr>
            <w:tcW w:w="1237" w:type="dxa"/>
            <w:tcBorders>
              <w:top w:val="nil"/>
              <w:left w:val="nil"/>
              <w:bottom w:val="single" w:sz="4" w:space="0" w:color="auto"/>
              <w:right w:val="single" w:sz="4" w:space="0" w:color="auto"/>
            </w:tcBorders>
            <w:shd w:val="clear" w:color="auto" w:fill="auto"/>
            <w:noWrap/>
            <w:vAlign w:val="center"/>
          </w:tcPr>
          <w:p w14:paraId="00A49ED9" w14:textId="77777777" w:rsidR="002373D2" w:rsidRPr="005B72DB" w:rsidRDefault="002373D2" w:rsidP="00CF0E89">
            <w:pPr>
              <w:spacing w:line="240" w:lineRule="auto"/>
              <w:jc w:val="center"/>
              <w:rPr>
                <w:color w:val="000000"/>
                <w:sz w:val="22"/>
              </w:rPr>
            </w:pPr>
            <w:r w:rsidRPr="005B72DB">
              <w:rPr>
                <w:color w:val="000000"/>
                <w:sz w:val="22"/>
              </w:rPr>
              <w:t>0.99</w:t>
            </w:r>
          </w:p>
        </w:tc>
        <w:tc>
          <w:tcPr>
            <w:tcW w:w="1237" w:type="dxa"/>
            <w:tcBorders>
              <w:top w:val="nil"/>
              <w:left w:val="nil"/>
              <w:bottom w:val="single" w:sz="4" w:space="0" w:color="auto"/>
              <w:right w:val="single" w:sz="4" w:space="0" w:color="auto"/>
            </w:tcBorders>
            <w:shd w:val="clear" w:color="auto" w:fill="auto"/>
            <w:noWrap/>
            <w:vAlign w:val="center"/>
          </w:tcPr>
          <w:p w14:paraId="466E8CC6" w14:textId="77777777" w:rsidR="002373D2" w:rsidRPr="005B72DB" w:rsidRDefault="002373D2" w:rsidP="00CF0E89">
            <w:pPr>
              <w:spacing w:line="240" w:lineRule="auto"/>
              <w:jc w:val="center"/>
              <w:rPr>
                <w:color w:val="000000"/>
                <w:sz w:val="22"/>
              </w:rPr>
            </w:pPr>
            <w:r w:rsidRPr="005B72DB">
              <w:rPr>
                <w:color w:val="000000"/>
                <w:sz w:val="22"/>
              </w:rPr>
              <w:t>24.87%</w:t>
            </w:r>
          </w:p>
        </w:tc>
        <w:tc>
          <w:tcPr>
            <w:tcW w:w="1238" w:type="dxa"/>
            <w:tcBorders>
              <w:top w:val="nil"/>
              <w:left w:val="nil"/>
              <w:bottom w:val="single" w:sz="4" w:space="0" w:color="auto"/>
              <w:right w:val="single" w:sz="4" w:space="0" w:color="auto"/>
            </w:tcBorders>
            <w:shd w:val="clear" w:color="auto" w:fill="auto"/>
            <w:noWrap/>
            <w:vAlign w:val="center"/>
          </w:tcPr>
          <w:p w14:paraId="1A1B6CA3" w14:textId="77777777" w:rsidR="002373D2" w:rsidRPr="005B72DB" w:rsidRDefault="002373D2" w:rsidP="00CF0E89">
            <w:pPr>
              <w:spacing w:line="240" w:lineRule="auto"/>
              <w:jc w:val="center"/>
              <w:rPr>
                <w:color w:val="000000"/>
                <w:sz w:val="22"/>
              </w:rPr>
            </w:pPr>
            <w:r w:rsidRPr="005B72DB">
              <w:rPr>
                <w:color w:val="000000"/>
                <w:sz w:val="22"/>
              </w:rPr>
              <w:t>0.70</w:t>
            </w:r>
          </w:p>
        </w:tc>
        <w:tc>
          <w:tcPr>
            <w:tcW w:w="1237" w:type="dxa"/>
            <w:tcBorders>
              <w:top w:val="nil"/>
              <w:left w:val="nil"/>
              <w:bottom w:val="single" w:sz="4" w:space="0" w:color="auto"/>
              <w:right w:val="single" w:sz="4" w:space="0" w:color="auto"/>
            </w:tcBorders>
            <w:shd w:val="clear" w:color="auto" w:fill="auto"/>
            <w:noWrap/>
            <w:vAlign w:val="center"/>
          </w:tcPr>
          <w:p w14:paraId="29236CF4" w14:textId="77777777" w:rsidR="002373D2" w:rsidRPr="005B72DB" w:rsidRDefault="002373D2" w:rsidP="00CF0E89">
            <w:pPr>
              <w:spacing w:line="240" w:lineRule="auto"/>
              <w:jc w:val="center"/>
              <w:rPr>
                <w:color w:val="000000"/>
                <w:sz w:val="22"/>
              </w:rPr>
            </w:pPr>
            <w:r w:rsidRPr="005B72DB">
              <w:rPr>
                <w:color w:val="000000"/>
                <w:sz w:val="22"/>
              </w:rPr>
              <w:t>17.59%</w:t>
            </w:r>
          </w:p>
        </w:tc>
        <w:tc>
          <w:tcPr>
            <w:tcW w:w="1237" w:type="dxa"/>
            <w:tcBorders>
              <w:top w:val="nil"/>
              <w:left w:val="nil"/>
              <w:bottom w:val="single" w:sz="4" w:space="0" w:color="auto"/>
              <w:right w:val="single" w:sz="4" w:space="0" w:color="auto"/>
            </w:tcBorders>
            <w:shd w:val="clear" w:color="auto" w:fill="auto"/>
            <w:noWrap/>
            <w:vAlign w:val="center"/>
          </w:tcPr>
          <w:p w14:paraId="4F1787E9" w14:textId="77777777" w:rsidR="002373D2" w:rsidRPr="005B72DB" w:rsidRDefault="002373D2" w:rsidP="00CF0E89">
            <w:pPr>
              <w:spacing w:line="240" w:lineRule="auto"/>
              <w:jc w:val="center"/>
              <w:rPr>
                <w:color w:val="000000"/>
                <w:sz w:val="22"/>
              </w:rPr>
            </w:pPr>
            <w:r w:rsidRPr="005B72DB">
              <w:rPr>
                <w:color w:val="000000"/>
                <w:sz w:val="22"/>
              </w:rPr>
              <w:t>0.70</w:t>
            </w:r>
          </w:p>
        </w:tc>
        <w:tc>
          <w:tcPr>
            <w:tcW w:w="1238" w:type="dxa"/>
            <w:tcBorders>
              <w:top w:val="nil"/>
              <w:left w:val="nil"/>
              <w:bottom w:val="single" w:sz="4" w:space="0" w:color="auto"/>
              <w:right w:val="single" w:sz="4" w:space="0" w:color="auto"/>
            </w:tcBorders>
            <w:shd w:val="clear" w:color="auto" w:fill="auto"/>
            <w:noWrap/>
            <w:vAlign w:val="center"/>
          </w:tcPr>
          <w:p w14:paraId="54C5C31F" w14:textId="77777777" w:rsidR="002373D2" w:rsidRPr="005B72DB" w:rsidRDefault="002373D2" w:rsidP="00CF0E89">
            <w:pPr>
              <w:spacing w:line="240" w:lineRule="auto"/>
              <w:jc w:val="center"/>
              <w:rPr>
                <w:color w:val="000000"/>
                <w:sz w:val="22"/>
              </w:rPr>
            </w:pPr>
            <w:r w:rsidRPr="005B72DB">
              <w:rPr>
                <w:color w:val="000000"/>
                <w:sz w:val="22"/>
              </w:rPr>
              <w:t>17.78%</w:t>
            </w:r>
          </w:p>
        </w:tc>
      </w:tr>
      <w:tr w:rsidR="002373D2" w:rsidRPr="005B72DB" w14:paraId="7E2513BE" w14:textId="77777777" w:rsidTr="0051420F">
        <w:trPr>
          <w:trHeight w:val="285"/>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1574C147" w14:textId="77777777" w:rsidR="002373D2" w:rsidRPr="005B72DB" w:rsidRDefault="002373D2" w:rsidP="00CF0E89">
            <w:pPr>
              <w:spacing w:line="240" w:lineRule="auto"/>
              <w:jc w:val="left"/>
              <w:rPr>
                <w:rFonts w:cs="Calibri"/>
                <w:b/>
                <w:bCs/>
                <w:color w:val="000000"/>
                <w:sz w:val="22"/>
              </w:rPr>
            </w:pPr>
            <w:r w:rsidRPr="005B72DB">
              <w:rPr>
                <w:rFonts w:cs="Calibri"/>
                <w:b/>
                <w:bCs/>
                <w:color w:val="000000"/>
                <w:sz w:val="22"/>
              </w:rPr>
              <w:t>Local Carrier</w:t>
            </w:r>
          </w:p>
        </w:tc>
        <w:tc>
          <w:tcPr>
            <w:tcW w:w="1237" w:type="dxa"/>
            <w:tcBorders>
              <w:top w:val="nil"/>
              <w:left w:val="nil"/>
              <w:bottom w:val="single" w:sz="4" w:space="0" w:color="auto"/>
              <w:right w:val="single" w:sz="4" w:space="0" w:color="auto"/>
            </w:tcBorders>
            <w:shd w:val="clear" w:color="auto" w:fill="auto"/>
            <w:noWrap/>
            <w:vAlign w:val="center"/>
          </w:tcPr>
          <w:p w14:paraId="3B277791" w14:textId="77777777" w:rsidR="002373D2" w:rsidRPr="005B72DB" w:rsidRDefault="002373D2" w:rsidP="00CF0E89">
            <w:pPr>
              <w:spacing w:line="240" w:lineRule="auto"/>
              <w:jc w:val="center"/>
              <w:rPr>
                <w:color w:val="000000"/>
                <w:sz w:val="22"/>
              </w:rPr>
            </w:pPr>
            <w:r w:rsidRPr="005B72DB">
              <w:rPr>
                <w:color w:val="000000"/>
                <w:sz w:val="22"/>
              </w:rPr>
              <w:t>1.48</w:t>
            </w:r>
          </w:p>
        </w:tc>
        <w:tc>
          <w:tcPr>
            <w:tcW w:w="1237" w:type="dxa"/>
            <w:tcBorders>
              <w:top w:val="nil"/>
              <w:left w:val="nil"/>
              <w:bottom w:val="single" w:sz="4" w:space="0" w:color="auto"/>
              <w:right w:val="single" w:sz="4" w:space="0" w:color="auto"/>
            </w:tcBorders>
            <w:shd w:val="clear" w:color="auto" w:fill="auto"/>
            <w:noWrap/>
            <w:vAlign w:val="center"/>
          </w:tcPr>
          <w:p w14:paraId="7422C70C" w14:textId="77777777" w:rsidR="002373D2" w:rsidRPr="005B72DB" w:rsidRDefault="002373D2" w:rsidP="00CF0E89">
            <w:pPr>
              <w:spacing w:line="240" w:lineRule="auto"/>
              <w:jc w:val="center"/>
              <w:rPr>
                <w:color w:val="000000"/>
                <w:sz w:val="22"/>
              </w:rPr>
            </w:pPr>
            <w:r w:rsidRPr="005B72DB">
              <w:rPr>
                <w:color w:val="000000"/>
                <w:sz w:val="22"/>
              </w:rPr>
              <w:t>37.19%</w:t>
            </w:r>
          </w:p>
        </w:tc>
        <w:tc>
          <w:tcPr>
            <w:tcW w:w="1238" w:type="dxa"/>
            <w:tcBorders>
              <w:top w:val="nil"/>
              <w:left w:val="nil"/>
              <w:bottom w:val="single" w:sz="4" w:space="0" w:color="auto"/>
              <w:right w:val="single" w:sz="4" w:space="0" w:color="auto"/>
            </w:tcBorders>
            <w:shd w:val="clear" w:color="auto" w:fill="auto"/>
            <w:noWrap/>
            <w:vAlign w:val="center"/>
          </w:tcPr>
          <w:p w14:paraId="753AFB3C" w14:textId="77777777" w:rsidR="002373D2" w:rsidRPr="005B72DB" w:rsidRDefault="002373D2" w:rsidP="00CF0E89">
            <w:pPr>
              <w:spacing w:line="240" w:lineRule="auto"/>
              <w:jc w:val="center"/>
              <w:rPr>
                <w:color w:val="000000"/>
                <w:sz w:val="22"/>
              </w:rPr>
            </w:pPr>
            <w:r w:rsidRPr="005B72DB">
              <w:rPr>
                <w:color w:val="000000"/>
                <w:sz w:val="22"/>
              </w:rPr>
              <w:t>0.36</w:t>
            </w:r>
          </w:p>
        </w:tc>
        <w:tc>
          <w:tcPr>
            <w:tcW w:w="1237" w:type="dxa"/>
            <w:tcBorders>
              <w:top w:val="nil"/>
              <w:left w:val="nil"/>
              <w:bottom w:val="single" w:sz="4" w:space="0" w:color="auto"/>
              <w:right w:val="single" w:sz="4" w:space="0" w:color="auto"/>
            </w:tcBorders>
            <w:shd w:val="clear" w:color="auto" w:fill="auto"/>
            <w:noWrap/>
            <w:vAlign w:val="center"/>
          </w:tcPr>
          <w:p w14:paraId="72C531F1" w14:textId="77777777" w:rsidR="002373D2" w:rsidRPr="005B72DB" w:rsidRDefault="002373D2" w:rsidP="00CF0E89">
            <w:pPr>
              <w:spacing w:line="240" w:lineRule="auto"/>
              <w:jc w:val="center"/>
              <w:rPr>
                <w:color w:val="000000"/>
                <w:sz w:val="22"/>
              </w:rPr>
            </w:pPr>
            <w:r w:rsidRPr="005B72DB">
              <w:rPr>
                <w:color w:val="000000"/>
                <w:sz w:val="22"/>
              </w:rPr>
              <w:t>9.30%</w:t>
            </w:r>
          </w:p>
        </w:tc>
        <w:tc>
          <w:tcPr>
            <w:tcW w:w="1237" w:type="dxa"/>
            <w:tcBorders>
              <w:top w:val="nil"/>
              <w:left w:val="nil"/>
              <w:bottom w:val="single" w:sz="4" w:space="0" w:color="auto"/>
              <w:right w:val="single" w:sz="4" w:space="0" w:color="auto"/>
            </w:tcBorders>
            <w:shd w:val="clear" w:color="auto" w:fill="auto"/>
            <w:noWrap/>
            <w:vAlign w:val="center"/>
          </w:tcPr>
          <w:p w14:paraId="1219E237" w14:textId="77777777" w:rsidR="002373D2" w:rsidRPr="005B72DB" w:rsidRDefault="002373D2" w:rsidP="00CF0E89">
            <w:pPr>
              <w:spacing w:line="240" w:lineRule="auto"/>
              <w:jc w:val="center"/>
              <w:rPr>
                <w:color w:val="000000"/>
                <w:sz w:val="22"/>
              </w:rPr>
            </w:pPr>
            <w:r w:rsidRPr="005B72DB">
              <w:rPr>
                <w:color w:val="000000"/>
                <w:sz w:val="22"/>
              </w:rPr>
              <w:t>1.45</w:t>
            </w:r>
          </w:p>
        </w:tc>
        <w:tc>
          <w:tcPr>
            <w:tcW w:w="1238" w:type="dxa"/>
            <w:tcBorders>
              <w:top w:val="nil"/>
              <w:left w:val="nil"/>
              <w:bottom w:val="single" w:sz="4" w:space="0" w:color="auto"/>
              <w:right w:val="single" w:sz="4" w:space="0" w:color="auto"/>
            </w:tcBorders>
            <w:shd w:val="clear" w:color="auto" w:fill="auto"/>
            <w:noWrap/>
            <w:vAlign w:val="center"/>
          </w:tcPr>
          <w:p w14:paraId="06080E9B" w14:textId="77777777" w:rsidR="002373D2" w:rsidRPr="005B72DB" w:rsidRDefault="002373D2" w:rsidP="00CF0E89">
            <w:pPr>
              <w:spacing w:line="240" w:lineRule="auto"/>
              <w:jc w:val="center"/>
              <w:rPr>
                <w:color w:val="000000"/>
                <w:sz w:val="22"/>
              </w:rPr>
            </w:pPr>
            <w:r w:rsidRPr="005B72DB">
              <w:rPr>
                <w:color w:val="000000"/>
                <w:sz w:val="22"/>
              </w:rPr>
              <w:t>36.37%</w:t>
            </w:r>
          </w:p>
        </w:tc>
      </w:tr>
      <w:tr w:rsidR="002373D2" w:rsidRPr="005B72DB" w14:paraId="4E63720D" w14:textId="77777777" w:rsidTr="0051420F">
        <w:trPr>
          <w:trHeight w:val="285"/>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6F734C24" w14:textId="77777777" w:rsidR="002373D2" w:rsidRPr="005B72DB" w:rsidRDefault="002373D2" w:rsidP="00CF0E89">
            <w:pPr>
              <w:spacing w:line="240" w:lineRule="auto"/>
              <w:jc w:val="left"/>
              <w:rPr>
                <w:rFonts w:cs="Calibri"/>
                <w:b/>
                <w:bCs/>
                <w:color w:val="000000"/>
                <w:sz w:val="22"/>
              </w:rPr>
            </w:pPr>
            <w:r w:rsidRPr="005B72DB">
              <w:rPr>
                <w:rFonts w:cs="Calibri"/>
                <w:b/>
                <w:bCs/>
                <w:color w:val="000000"/>
                <w:sz w:val="22"/>
              </w:rPr>
              <w:t>Consumer</w:t>
            </w:r>
          </w:p>
        </w:tc>
        <w:tc>
          <w:tcPr>
            <w:tcW w:w="1237" w:type="dxa"/>
            <w:tcBorders>
              <w:top w:val="nil"/>
              <w:left w:val="nil"/>
              <w:bottom w:val="single" w:sz="4" w:space="0" w:color="auto"/>
              <w:right w:val="single" w:sz="4" w:space="0" w:color="auto"/>
            </w:tcBorders>
            <w:shd w:val="clear" w:color="auto" w:fill="auto"/>
            <w:noWrap/>
            <w:vAlign w:val="center"/>
          </w:tcPr>
          <w:p w14:paraId="353D057A" w14:textId="77777777" w:rsidR="002373D2" w:rsidRPr="005B72DB" w:rsidRDefault="002373D2" w:rsidP="00CF0E89">
            <w:pPr>
              <w:spacing w:line="240" w:lineRule="auto"/>
              <w:jc w:val="center"/>
              <w:rPr>
                <w:color w:val="000000"/>
                <w:sz w:val="22"/>
              </w:rPr>
            </w:pPr>
            <w:r w:rsidRPr="005B72DB">
              <w:rPr>
                <w:color w:val="000000"/>
                <w:sz w:val="22"/>
              </w:rPr>
              <w:t>0.00</w:t>
            </w:r>
          </w:p>
        </w:tc>
        <w:tc>
          <w:tcPr>
            <w:tcW w:w="1237" w:type="dxa"/>
            <w:tcBorders>
              <w:top w:val="nil"/>
              <w:left w:val="nil"/>
              <w:bottom w:val="single" w:sz="4" w:space="0" w:color="auto"/>
              <w:right w:val="single" w:sz="4" w:space="0" w:color="auto"/>
            </w:tcBorders>
            <w:shd w:val="clear" w:color="auto" w:fill="auto"/>
            <w:noWrap/>
            <w:vAlign w:val="center"/>
          </w:tcPr>
          <w:p w14:paraId="0107F1AA" w14:textId="77777777" w:rsidR="002373D2" w:rsidRPr="005B72DB" w:rsidRDefault="002373D2" w:rsidP="00CF0E89">
            <w:pPr>
              <w:spacing w:line="240" w:lineRule="auto"/>
              <w:jc w:val="center"/>
              <w:rPr>
                <w:color w:val="000000"/>
                <w:sz w:val="22"/>
              </w:rPr>
            </w:pPr>
            <w:r w:rsidRPr="005B72DB">
              <w:rPr>
                <w:color w:val="000000"/>
                <w:sz w:val="22"/>
              </w:rPr>
              <w:t>0.00%</w:t>
            </w:r>
          </w:p>
        </w:tc>
        <w:tc>
          <w:tcPr>
            <w:tcW w:w="1238" w:type="dxa"/>
            <w:tcBorders>
              <w:top w:val="nil"/>
              <w:left w:val="nil"/>
              <w:bottom w:val="single" w:sz="4" w:space="0" w:color="auto"/>
              <w:right w:val="single" w:sz="4" w:space="0" w:color="auto"/>
            </w:tcBorders>
            <w:shd w:val="clear" w:color="auto" w:fill="auto"/>
            <w:noWrap/>
            <w:vAlign w:val="center"/>
          </w:tcPr>
          <w:p w14:paraId="28CEC028" w14:textId="77777777" w:rsidR="002373D2" w:rsidRPr="005B72DB" w:rsidRDefault="002373D2" w:rsidP="00CF0E89">
            <w:pPr>
              <w:spacing w:line="240" w:lineRule="auto"/>
              <w:jc w:val="center"/>
              <w:rPr>
                <w:color w:val="000000"/>
                <w:sz w:val="22"/>
              </w:rPr>
            </w:pPr>
            <w:r w:rsidRPr="005B72DB">
              <w:rPr>
                <w:color w:val="000000"/>
                <w:sz w:val="22"/>
              </w:rPr>
              <w:t>0.00</w:t>
            </w:r>
          </w:p>
        </w:tc>
        <w:tc>
          <w:tcPr>
            <w:tcW w:w="1237" w:type="dxa"/>
            <w:tcBorders>
              <w:top w:val="nil"/>
              <w:left w:val="nil"/>
              <w:bottom w:val="single" w:sz="4" w:space="0" w:color="auto"/>
              <w:right w:val="single" w:sz="4" w:space="0" w:color="auto"/>
            </w:tcBorders>
            <w:shd w:val="clear" w:color="auto" w:fill="auto"/>
            <w:noWrap/>
            <w:vAlign w:val="center"/>
          </w:tcPr>
          <w:p w14:paraId="1EAE7741" w14:textId="77777777" w:rsidR="002373D2" w:rsidRPr="005B72DB" w:rsidRDefault="002373D2" w:rsidP="00CF0E89">
            <w:pPr>
              <w:spacing w:line="240" w:lineRule="auto"/>
              <w:jc w:val="center"/>
              <w:rPr>
                <w:color w:val="000000"/>
                <w:sz w:val="22"/>
              </w:rPr>
            </w:pPr>
            <w:r w:rsidRPr="005B72DB">
              <w:rPr>
                <w:color w:val="000000"/>
                <w:sz w:val="22"/>
              </w:rPr>
              <w:t>0.00%</w:t>
            </w:r>
          </w:p>
        </w:tc>
        <w:tc>
          <w:tcPr>
            <w:tcW w:w="1237" w:type="dxa"/>
            <w:tcBorders>
              <w:top w:val="nil"/>
              <w:left w:val="nil"/>
              <w:bottom w:val="single" w:sz="4" w:space="0" w:color="auto"/>
              <w:right w:val="single" w:sz="4" w:space="0" w:color="auto"/>
            </w:tcBorders>
            <w:shd w:val="clear" w:color="auto" w:fill="auto"/>
            <w:noWrap/>
            <w:vAlign w:val="center"/>
          </w:tcPr>
          <w:p w14:paraId="2621CAD9" w14:textId="77777777" w:rsidR="002373D2" w:rsidRPr="005B72DB" w:rsidRDefault="002373D2" w:rsidP="00CF0E89">
            <w:pPr>
              <w:spacing w:line="240" w:lineRule="auto"/>
              <w:jc w:val="center"/>
              <w:rPr>
                <w:color w:val="000000"/>
                <w:sz w:val="22"/>
              </w:rPr>
            </w:pPr>
            <w:r w:rsidRPr="005B72DB">
              <w:rPr>
                <w:color w:val="000000"/>
                <w:sz w:val="22"/>
              </w:rPr>
              <w:t>1.45</w:t>
            </w:r>
          </w:p>
        </w:tc>
        <w:tc>
          <w:tcPr>
            <w:tcW w:w="1238" w:type="dxa"/>
            <w:tcBorders>
              <w:top w:val="nil"/>
              <w:left w:val="nil"/>
              <w:bottom w:val="single" w:sz="4" w:space="0" w:color="auto"/>
              <w:right w:val="single" w:sz="4" w:space="0" w:color="auto"/>
            </w:tcBorders>
            <w:shd w:val="clear" w:color="auto" w:fill="auto"/>
            <w:noWrap/>
            <w:vAlign w:val="center"/>
          </w:tcPr>
          <w:p w14:paraId="796FBAF0" w14:textId="77777777" w:rsidR="002373D2" w:rsidRPr="005B72DB" w:rsidRDefault="002373D2" w:rsidP="00CF0E89">
            <w:pPr>
              <w:spacing w:line="240" w:lineRule="auto"/>
              <w:jc w:val="center"/>
              <w:rPr>
                <w:color w:val="000000"/>
                <w:sz w:val="22"/>
              </w:rPr>
            </w:pPr>
            <w:r w:rsidRPr="005B72DB">
              <w:rPr>
                <w:color w:val="000000"/>
                <w:sz w:val="22"/>
              </w:rPr>
              <w:t>36.37%</w:t>
            </w:r>
          </w:p>
        </w:tc>
      </w:tr>
      <w:tr w:rsidR="002373D2" w:rsidRPr="005B72DB" w14:paraId="1543C130" w14:textId="77777777" w:rsidTr="0051420F">
        <w:trPr>
          <w:trHeight w:val="195"/>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81B2B52" w14:textId="77777777" w:rsidR="002373D2" w:rsidRPr="005B72DB" w:rsidRDefault="002373D2" w:rsidP="00CF0E89">
            <w:pPr>
              <w:spacing w:line="240" w:lineRule="auto"/>
              <w:jc w:val="left"/>
              <w:rPr>
                <w:rFonts w:cs="Calibri"/>
                <w:b/>
                <w:bCs/>
                <w:color w:val="000000"/>
                <w:sz w:val="22"/>
              </w:rPr>
            </w:pPr>
            <w:r w:rsidRPr="005B72DB">
              <w:rPr>
                <w:rFonts w:cs="Calibri"/>
                <w:b/>
                <w:bCs/>
                <w:color w:val="000000"/>
                <w:sz w:val="22"/>
              </w:rPr>
              <w:t>Total</w:t>
            </w:r>
          </w:p>
        </w:tc>
        <w:tc>
          <w:tcPr>
            <w:tcW w:w="1237" w:type="dxa"/>
            <w:tcBorders>
              <w:top w:val="nil"/>
              <w:left w:val="nil"/>
              <w:bottom w:val="single" w:sz="4" w:space="0" w:color="auto"/>
              <w:right w:val="single" w:sz="4" w:space="0" w:color="auto"/>
            </w:tcBorders>
            <w:shd w:val="clear" w:color="auto" w:fill="auto"/>
            <w:noWrap/>
            <w:vAlign w:val="center"/>
          </w:tcPr>
          <w:p w14:paraId="2559D763" w14:textId="77777777" w:rsidR="002373D2" w:rsidRPr="005B72DB" w:rsidRDefault="002373D2" w:rsidP="00CF0E89">
            <w:pPr>
              <w:spacing w:line="240" w:lineRule="auto"/>
              <w:jc w:val="center"/>
              <w:rPr>
                <w:color w:val="000000"/>
                <w:sz w:val="22"/>
              </w:rPr>
            </w:pPr>
            <w:r w:rsidRPr="005B72DB">
              <w:rPr>
                <w:color w:val="000000"/>
                <w:sz w:val="22"/>
              </w:rPr>
              <w:t>3.98</w:t>
            </w:r>
          </w:p>
        </w:tc>
        <w:tc>
          <w:tcPr>
            <w:tcW w:w="1237" w:type="dxa"/>
            <w:tcBorders>
              <w:top w:val="nil"/>
              <w:left w:val="nil"/>
              <w:bottom w:val="single" w:sz="4" w:space="0" w:color="auto"/>
              <w:right w:val="single" w:sz="4" w:space="0" w:color="auto"/>
            </w:tcBorders>
            <w:shd w:val="clear" w:color="auto" w:fill="auto"/>
            <w:noWrap/>
            <w:vAlign w:val="center"/>
          </w:tcPr>
          <w:p w14:paraId="02A8A857" w14:textId="77777777" w:rsidR="002373D2" w:rsidRPr="005B72DB" w:rsidRDefault="002373D2" w:rsidP="00CF0E89">
            <w:pPr>
              <w:spacing w:line="240" w:lineRule="auto"/>
              <w:jc w:val="center"/>
              <w:rPr>
                <w:color w:val="000000"/>
                <w:sz w:val="22"/>
              </w:rPr>
            </w:pPr>
            <w:r w:rsidRPr="005B72DB">
              <w:rPr>
                <w:color w:val="000000"/>
                <w:sz w:val="22"/>
              </w:rPr>
              <w:t>100%</w:t>
            </w:r>
          </w:p>
        </w:tc>
        <w:tc>
          <w:tcPr>
            <w:tcW w:w="1238" w:type="dxa"/>
            <w:tcBorders>
              <w:top w:val="nil"/>
              <w:left w:val="nil"/>
              <w:bottom w:val="single" w:sz="4" w:space="0" w:color="auto"/>
              <w:right w:val="single" w:sz="4" w:space="0" w:color="auto"/>
            </w:tcBorders>
            <w:shd w:val="clear" w:color="auto" w:fill="auto"/>
            <w:noWrap/>
            <w:vAlign w:val="center"/>
          </w:tcPr>
          <w:p w14:paraId="1B4ECE00" w14:textId="77777777" w:rsidR="002373D2" w:rsidRPr="005B72DB" w:rsidRDefault="002373D2" w:rsidP="00CF0E89">
            <w:pPr>
              <w:spacing w:line="240" w:lineRule="auto"/>
              <w:jc w:val="center"/>
              <w:rPr>
                <w:color w:val="000000"/>
                <w:sz w:val="22"/>
              </w:rPr>
            </w:pPr>
            <w:r w:rsidRPr="005B72DB">
              <w:rPr>
                <w:color w:val="000000"/>
                <w:sz w:val="22"/>
              </w:rPr>
              <w:t>3.98</w:t>
            </w:r>
          </w:p>
        </w:tc>
        <w:tc>
          <w:tcPr>
            <w:tcW w:w="1237" w:type="dxa"/>
            <w:tcBorders>
              <w:top w:val="nil"/>
              <w:left w:val="nil"/>
              <w:bottom w:val="single" w:sz="4" w:space="0" w:color="auto"/>
              <w:right w:val="single" w:sz="4" w:space="0" w:color="auto"/>
            </w:tcBorders>
            <w:shd w:val="clear" w:color="auto" w:fill="auto"/>
            <w:noWrap/>
            <w:vAlign w:val="center"/>
          </w:tcPr>
          <w:p w14:paraId="394198EA" w14:textId="77777777" w:rsidR="002373D2" w:rsidRPr="005B72DB" w:rsidRDefault="002373D2" w:rsidP="00CF0E89">
            <w:pPr>
              <w:spacing w:line="240" w:lineRule="auto"/>
              <w:jc w:val="center"/>
              <w:rPr>
                <w:color w:val="000000"/>
                <w:sz w:val="22"/>
              </w:rPr>
            </w:pPr>
            <w:r w:rsidRPr="005B72DB">
              <w:rPr>
                <w:color w:val="000000"/>
                <w:sz w:val="22"/>
              </w:rPr>
              <w:t>100%</w:t>
            </w:r>
          </w:p>
        </w:tc>
        <w:tc>
          <w:tcPr>
            <w:tcW w:w="1237" w:type="dxa"/>
            <w:tcBorders>
              <w:top w:val="nil"/>
              <w:left w:val="nil"/>
              <w:bottom w:val="single" w:sz="4" w:space="0" w:color="auto"/>
              <w:right w:val="single" w:sz="4" w:space="0" w:color="auto"/>
            </w:tcBorders>
            <w:shd w:val="clear" w:color="auto" w:fill="auto"/>
            <w:noWrap/>
            <w:vAlign w:val="center"/>
          </w:tcPr>
          <w:p w14:paraId="24941B5B" w14:textId="77777777" w:rsidR="002373D2" w:rsidRPr="005B72DB" w:rsidRDefault="002373D2" w:rsidP="00CF0E89">
            <w:pPr>
              <w:spacing w:line="240" w:lineRule="auto"/>
              <w:jc w:val="center"/>
              <w:rPr>
                <w:color w:val="000000"/>
                <w:sz w:val="22"/>
              </w:rPr>
            </w:pPr>
            <w:r w:rsidRPr="005B72DB">
              <w:rPr>
                <w:color w:val="000000"/>
                <w:sz w:val="22"/>
              </w:rPr>
              <w:t>3.98</w:t>
            </w:r>
          </w:p>
        </w:tc>
        <w:tc>
          <w:tcPr>
            <w:tcW w:w="1238" w:type="dxa"/>
            <w:tcBorders>
              <w:top w:val="nil"/>
              <w:left w:val="nil"/>
              <w:bottom w:val="single" w:sz="4" w:space="0" w:color="auto"/>
              <w:right w:val="single" w:sz="4" w:space="0" w:color="auto"/>
            </w:tcBorders>
            <w:shd w:val="clear" w:color="auto" w:fill="auto"/>
            <w:noWrap/>
            <w:vAlign w:val="center"/>
          </w:tcPr>
          <w:p w14:paraId="60EA3D6F" w14:textId="77777777" w:rsidR="002373D2" w:rsidRPr="005B72DB" w:rsidRDefault="002373D2" w:rsidP="00CF0E89">
            <w:pPr>
              <w:spacing w:line="240" w:lineRule="auto"/>
              <w:jc w:val="center"/>
              <w:rPr>
                <w:color w:val="000000"/>
                <w:sz w:val="22"/>
              </w:rPr>
            </w:pPr>
            <w:r w:rsidRPr="005B72DB">
              <w:rPr>
                <w:color w:val="000000"/>
                <w:sz w:val="22"/>
              </w:rPr>
              <w:t>100%</w:t>
            </w:r>
          </w:p>
        </w:tc>
      </w:tr>
    </w:tbl>
    <w:p w14:paraId="63571D8F" w14:textId="6097AC7E" w:rsidR="002373D2" w:rsidRDefault="007B5959" w:rsidP="00CF0E89">
      <w:pPr>
        <w:pStyle w:val="Caption"/>
      </w:pPr>
      <w:bookmarkStart w:id="1070" w:name="_Ref26570913"/>
      <w:bookmarkStart w:id="1071" w:name="_Ref25335703"/>
      <w:bookmarkStart w:id="1072" w:name="_Toc46053600"/>
      <w:bookmarkStart w:id="1073" w:name="_Toc46093849"/>
      <w:bookmarkStart w:id="1074" w:name="_Toc66698816"/>
      <w:r>
        <w:t>Table</w:t>
      </w:r>
      <w:r w:rsidR="00CF0E89" w:rsidRPr="005B72DB">
        <w:t xml:space="preserve"> </w:t>
      </w:r>
      <w:r w:rsidR="000306D9">
        <w:fldChar w:fldCharType="begin"/>
      </w:r>
      <w:r w:rsidR="000306D9">
        <w:instrText xml:space="preserve"> STYLEREF 1 \s </w:instrText>
      </w:r>
      <w:r w:rsidR="000306D9">
        <w:fldChar w:fldCharType="separate"/>
      </w:r>
      <w:r w:rsidR="0005064B">
        <w:rPr>
          <w:noProof/>
        </w:rPr>
        <w:t>7</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9</w:t>
      </w:r>
      <w:r w:rsidR="000306D9">
        <w:rPr>
          <w:noProof/>
        </w:rPr>
        <w:fldChar w:fldCharType="end"/>
      </w:r>
      <w:bookmarkEnd w:id="1070"/>
      <w:r w:rsidR="004D6792">
        <w:t>:</w:t>
      </w:r>
      <w:r w:rsidR="00CF0E89" w:rsidRPr="005B72DB">
        <w:t xml:space="preserve"> Cost Allocation of UCC in Outsourcing Strategy with carriers cost in €1.48/</w:t>
      </w:r>
      <w:proofErr w:type="gramStart"/>
      <w:r w:rsidR="00CF0E89" w:rsidRPr="005B72DB">
        <w:t>parcel</w:t>
      </w:r>
      <w:bookmarkEnd w:id="1071"/>
      <w:bookmarkEnd w:id="1072"/>
      <w:bookmarkEnd w:id="1073"/>
      <w:bookmarkEnd w:id="1074"/>
      <w:proofErr w:type="gramEnd"/>
    </w:p>
    <w:p w14:paraId="2015EFF6" w14:textId="77777777" w:rsidR="002373D2" w:rsidRPr="005B72DB" w:rsidRDefault="002373D2" w:rsidP="002373D2">
      <w:pPr>
        <w:spacing w:line="360" w:lineRule="auto"/>
        <w:jc w:val="center"/>
        <w:rPr>
          <w:i/>
          <w:iCs/>
        </w:rPr>
      </w:pPr>
      <w:r w:rsidRPr="005B72DB">
        <w:rPr>
          <w:noProof/>
          <w:lang w:eastAsia="en-GB"/>
        </w:rPr>
        <w:drawing>
          <wp:inline distT="0" distB="0" distL="0" distR="0" wp14:anchorId="26F0B729" wp14:editId="4F3AAA36">
            <wp:extent cx="4312354" cy="2864709"/>
            <wp:effectExtent l="0" t="0" r="12065" b="12065"/>
            <wp:docPr id="15" name="图表 2">
              <a:extLst xmlns:a="http://schemas.openxmlformats.org/drawingml/2006/main">
                <a:ext uri="{FF2B5EF4-FFF2-40B4-BE49-F238E27FC236}">
                  <a16:creationId xmlns:a16="http://schemas.microsoft.com/office/drawing/2014/main" id="{342E8392-0FFE-4428-9220-3BEBF8FF41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04A37142" w14:textId="3855031F" w:rsidR="002373D2" w:rsidRDefault="002373D2" w:rsidP="00CF0E89">
      <w:pPr>
        <w:pStyle w:val="Caption"/>
        <w:spacing w:before="0" w:after="0"/>
      </w:pPr>
      <w:bookmarkStart w:id="1075" w:name="_Ref26570503"/>
      <w:bookmarkStart w:id="1076" w:name="_Toc46053702"/>
      <w:bookmarkStart w:id="1077" w:name="_Toc66698733"/>
      <w:r w:rsidRPr="005B72DB">
        <w:t xml:space="preserve">Figure </w:t>
      </w:r>
      <w:r w:rsidR="000306D9">
        <w:fldChar w:fldCharType="begin"/>
      </w:r>
      <w:r w:rsidR="000306D9">
        <w:instrText xml:space="preserve"> STYLEREF 1 \s </w:instrText>
      </w:r>
      <w:r w:rsidR="000306D9">
        <w:fldChar w:fldCharType="separate"/>
      </w:r>
      <w:r w:rsidR="0005064B">
        <w:rPr>
          <w:noProof/>
        </w:rPr>
        <w:t>7</w:t>
      </w:r>
      <w:r w:rsidR="000306D9">
        <w:rPr>
          <w:noProof/>
        </w:rPr>
        <w:fldChar w:fldCharType="end"/>
      </w:r>
      <w:r w:rsidR="00632993">
        <w:noBreakHyphen/>
      </w:r>
      <w:r w:rsidR="000306D9">
        <w:fldChar w:fldCharType="begin"/>
      </w:r>
      <w:r w:rsidR="000306D9">
        <w:instrText xml:space="preserve"> SEQ Figure \* ARABIC \s 1 </w:instrText>
      </w:r>
      <w:r w:rsidR="000306D9">
        <w:fldChar w:fldCharType="separate"/>
      </w:r>
      <w:r w:rsidR="0005064B">
        <w:rPr>
          <w:noProof/>
        </w:rPr>
        <w:t>3</w:t>
      </w:r>
      <w:r w:rsidR="000306D9">
        <w:rPr>
          <w:noProof/>
        </w:rPr>
        <w:fldChar w:fldCharType="end"/>
      </w:r>
      <w:bookmarkEnd w:id="1075"/>
      <w:r w:rsidR="00494842">
        <w:t>:</w:t>
      </w:r>
      <w:r w:rsidRPr="005B72DB">
        <w:t xml:space="preserve"> Variation of UCC cost allocation under the UES rule,</w:t>
      </w:r>
      <w:bookmarkEnd w:id="1076"/>
      <w:bookmarkEnd w:id="1077"/>
    </w:p>
    <w:p w14:paraId="2B55D26C" w14:textId="083D5289" w:rsidR="002A1DD1" w:rsidRPr="002A1DD1" w:rsidRDefault="002373D2" w:rsidP="00763F7C">
      <w:pPr>
        <w:pStyle w:val="Caption"/>
        <w:spacing w:before="0"/>
      </w:pPr>
      <w:r w:rsidRPr="005B72DB">
        <w:t>comparison of in-house and outsourced delivery options</w:t>
      </w:r>
    </w:p>
    <w:tbl>
      <w:tblPr>
        <w:tblW w:w="8979" w:type="dxa"/>
        <w:jc w:val="center"/>
        <w:tblLayout w:type="fixed"/>
        <w:tblLook w:val="04A0" w:firstRow="1" w:lastRow="0" w:firstColumn="1" w:lastColumn="0" w:noHBand="0" w:noVBand="1"/>
      </w:tblPr>
      <w:tblGrid>
        <w:gridCol w:w="1555"/>
        <w:gridCol w:w="1237"/>
        <w:gridCol w:w="1237"/>
        <w:gridCol w:w="1238"/>
        <w:gridCol w:w="1237"/>
        <w:gridCol w:w="1237"/>
        <w:gridCol w:w="1238"/>
      </w:tblGrid>
      <w:tr w:rsidR="002373D2" w:rsidRPr="005B72DB" w14:paraId="62E04F56" w14:textId="77777777" w:rsidTr="0051420F">
        <w:trPr>
          <w:trHeight w:val="285"/>
          <w:jc w:val="center"/>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5B512A" w14:textId="77777777" w:rsidR="002373D2" w:rsidRPr="005B72DB" w:rsidRDefault="002373D2" w:rsidP="002A1DD1">
            <w:pPr>
              <w:spacing w:line="240" w:lineRule="auto"/>
              <w:jc w:val="left"/>
              <w:rPr>
                <w:rFonts w:cs="Calibri"/>
                <w:color w:val="000000"/>
                <w:sz w:val="22"/>
              </w:rPr>
            </w:pPr>
            <w:r w:rsidRPr="005B72DB">
              <w:rPr>
                <w:rFonts w:cs="Calibri"/>
                <w:color w:val="000000"/>
                <w:sz w:val="22"/>
              </w:rPr>
              <w:t> </w:t>
            </w:r>
          </w:p>
        </w:tc>
        <w:tc>
          <w:tcPr>
            <w:tcW w:w="1237" w:type="dxa"/>
            <w:tcBorders>
              <w:top w:val="single" w:sz="4" w:space="0" w:color="auto"/>
              <w:left w:val="nil"/>
              <w:bottom w:val="single" w:sz="4" w:space="0" w:color="auto"/>
              <w:right w:val="single" w:sz="4" w:space="0" w:color="auto"/>
            </w:tcBorders>
            <w:shd w:val="clear" w:color="auto" w:fill="auto"/>
            <w:noWrap/>
            <w:vAlign w:val="center"/>
            <w:hideMark/>
          </w:tcPr>
          <w:p w14:paraId="7A45AC18" w14:textId="77777777" w:rsidR="002373D2" w:rsidRPr="005B72DB" w:rsidRDefault="002373D2" w:rsidP="002A1DD1">
            <w:pPr>
              <w:spacing w:line="240" w:lineRule="auto"/>
              <w:jc w:val="center"/>
              <w:rPr>
                <w:rFonts w:cs="Calibri"/>
                <w:b/>
                <w:bCs/>
                <w:color w:val="000000"/>
                <w:sz w:val="22"/>
              </w:rPr>
            </w:pPr>
            <w:r w:rsidRPr="005B72DB">
              <w:rPr>
                <w:rFonts w:cs="Calibri"/>
                <w:b/>
                <w:bCs/>
                <w:color w:val="000000"/>
                <w:sz w:val="22"/>
              </w:rPr>
              <w:t>LRS (€)</w:t>
            </w:r>
          </w:p>
        </w:tc>
        <w:tc>
          <w:tcPr>
            <w:tcW w:w="1237" w:type="dxa"/>
            <w:tcBorders>
              <w:top w:val="single" w:sz="4" w:space="0" w:color="auto"/>
              <w:left w:val="nil"/>
              <w:bottom w:val="single" w:sz="4" w:space="0" w:color="auto"/>
              <w:right w:val="single" w:sz="4" w:space="0" w:color="auto"/>
            </w:tcBorders>
            <w:shd w:val="clear" w:color="auto" w:fill="auto"/>
            <w:noWrap/>
            <w:vAlign w:val="center"/>
            <w:hideMark/>
          </w:tcPr>
          <w:p w14:paraId="5DE80E07" w14:textId="77777777" w:rsidR="002373D2" w:rsidRPr="005B72DB" w:rsidRDefault="002373D2" w:rsidP="002A1DD1">
            <w:pPr>
              <w:spacing w:line="240" w:lineRule="auto"/>
              <w:jc w:val="center"/>
              <w:rPr>
                <w:rFonts w:cs="Calibri"/>
                <w:b/>
                <w:bCs/>
                <w:color w:val="000000"/>
                <w:sz w:val="22"/>
              </w:rPr>
            </w:pPr>
            <w:r w:rsidRPr="005B72DB">
              <w:rPr>
                <w:rFonts w:cs="Calibri"/>
                <w:b/>
                <w:bCs/>
                <w:color w:val="000000"/>
                <w:sz w:val="22"/>
              </w:rPr>
              <w:t>LRS (%)</w:t>
            </w:r>
          </w:p>
        </w:tc>
        <w:tc>
          <w:tcPr>
            <w:tcW w:w="1238" w:type="dxa"/>
            <w:tcBorders>
              <w:top w:val="single" w:sz="4" w:space="0" w:color="auto"/>
              <w:left w:val="nil"/>
              <w:bottom w:val="single" w:sz="4" w:space="0" w:color="auto"/>
              <w:right w:val="single" w:sz="4" w:space="0" w:color="auto"/>
            </w:tcBorders>
            <w:shd w:val="clear" w:color="auto" w:fill="auto"/>
            <w:noWrap/>
            <w:vAlign w:val="center"/>
            <w:hideMark/>
          </w:tcPr>
          <w:p w14:paraId="2A6EFF61" w14:textId="77777777" w:rsidR="002373D2" w:rsidRPr="005B72DB" w:rsidRDefault="002373D2" w:rsidP="002A1DD1">
            <w:pPr>
              <w:spacing w:line="240" w:lineRule="auto"/>
              <w:jc w:val="center"/>
              <w:rPr>
                <w:rFonts w:cs="Calibri"/>
                <w:b/>
                <w:bCs/>
                <w:color w:val="000000"/>
                <w:sz w:val="22"/>
              </w:rPr>
            </w:pPr>
            <w:r w:rsidRPr="005B72DB">
              <w:rPr>
                <w:rFonts w:cs="Calibri"/>
                <w:b/>
                <w:bCs/>
                <w:color w:val="000000"/>
                <w:sz w:val="22"/>
              </w:rPr>
              <w:t>UES (€)</w:t>
            </w:r>
          </w:p>
        </w:tc>
        <w:tc>
          <w:tcPr>
            <w:tcW w:w="1237" w:type="dxa"/>
            <w:tcBorders>
              <w:top w:val="single" w:sz="4" w:space="0" w:color="auto"/>
              <w:left w:val="nil"/>
              <w:bottom w:val="single" w:sz="4" w:space="0" w:color="auto"/>
              <w:right w:val="single" w:sz="4" w:space="0" w:color="auto"/>
            </w:tcBorders>
            <w:shd w:val="clear" w:color="auto" w:fill="auto"/>
            <w:noWrap/>
            <w:vAlign w:val="center"/>
            <w:hideMark/>
          </w:tcPr>
          <w:p w14:paraId="7F480819" w14:textId="77777777" w:rsidR="002373D2" w:rsidRPr="005B72DB" w:rsidRDefault="002373D2" w:rsidP="002A1DD1">
            <w:pPr>
              <w:spacing w:line="240" w:lineRule="auto"/>
              <w:jc w:val="center"/>
              <w:rPr>
                <w:rFonts w:cs="Calibri"/>
                <w:b/>
                <w:bCs/>
                <w:color w:val="000000"/>
                <w:sz w:val="22"/>
              </w:rPr>
            </w:pPr>
            <w:r w:rsidRPr="005B72DB">
              <w:rPr>
                <w:rFonts w:cs="Calibri"/>
                <w:b/>
                <w:bCs/>
                <w:color w:val="000000"/>
                <w:sz w:val="22"/>
              </w:rPr>
              <w:t>UES (%)</w:t>
            </w:r>
          </w:p>
        </w:tc>
        <w:tc>
          <w:tcPr>
            <w:tcW w:w="1237" w:type="dxa"/>
            <w:tcBorders>
              <w:top w:val="single" w:sz="4" w:space="0" w:color="auto"/>
              <w:left w:val="nil"/>
              <w:bottom w:val="single" w:sz="4" w:space="0" w:color="auto"/>
              <w:right w:val="single" w:sz="4" w:space="0" w:color="auto"/>
            </w:tcBorders>
            <w:shd w:val="clear" w:color="auto" w:fill="auto"/>
            <w:noWrap/>
            <w:vAlign w:val="center"/>
            <w:hideMark/>
          </w:tcPr>
          <w:p w14:paraId="096B9B73" w14:textId="77777777" w:rsidR="002373D2" w:rsidRPr="005B72DB" w:rsidRDefault="002373D2" w:rsidP="002A1DD1">
            <w:pPr>
              <w:spacing w:line="240" w:lineRule="auto"/>
              <w:jc w:val="center"/>
              <w:rPr>
                <w:rFonts w:cs="Calibri"/>
                <w:b/>
                <w:bCs/>
                <w:color w:val="000000"/>
                <w:sz w:val="22"/>
              </w:rPr>
            </w:pPr>
            <w:r w:rsidRPr="005B72DB">
              <w:rPr>
                <w:rFonts w:cs="Calibri"/>
                <w:b/>
                <w:bCs/>
                <w:color w:val="000000"/>
                <w:sz w:val="22"/>
              </w:rPr>
              <w:t>DES (€)</w:t>
            </w:r>
          </w:p>
        </w:tc>
        <w:tc>
          <w:tcPr>
            <w:tcW w:w="1238" w:type="dxa"/>
            <w:tcBorders>
              <w:top w:val="single" w:sz="4" w:space="0" w:color="auto"/>
              <w:left w:val="nil"/>
              <w:bottom w:val="single" w:sz="4" w:space="0" w:color="auto"/>
              <w:right w:val="single" w:sz="4" w:space="0" w:color="auto"/>
            </w:tcBorders>
            <w:shd w:val="clear" w:color="auto" w:fill="auto"/>
            <w:noWrap/>
            <w:vAlign w:val="center"/>
            <w:hideMark/>
          </w:tcPr>
          <w:p w14:paraId="003741B4" w14:textId="77777777" w:rsidR="002373D2" w:rsidRPr="005B72DB" w:rsidRDefault="002373D2" w:rsidP="002A1DD1">
            <w:pPr>
              <w:spacing w:line="240" w:lineRule="auto"/>
              <w:jc w:val="center"/>
              <w:rPr>
                <w:rFonts w:cs="Calibri"/>
                <w:b/>
                <w:bCs/>
                <w:color w:val="000000"/>
                <w:sz w:val="22"/>
              </w:rPr>
            </w:pPr>
            <w:r w:rsidRPr="005B72DB">
              <w:rPr>
                <w:rFonts w:cs="Calibri"/>
                <w:b/>
                <w:bCs/>
                <w:color w:val="000000"/>
                <w:sz w:val="22"/>
              </w:rPr>
              <w:t>DES (%)</w:t>
            </w:r>
          </w:p>
        </w:tc>
      </w:tr>
      <w:tr w:rsidR="002373D2" w:rsidRPr="005B72DB" w14:paraId="3449054F" w14:textId="77777777" w:rsidTr="0051420F">
        <w:trPr>
          <w:trHeight w:val="285"/>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25071E1" w14:textId="77777777" w:rsidR="002373D2" w:rsidRPr="005B72DB" w:rsidRDefault="002373D2" w:rsidP="002A1DD1">
            <w:pPr>
              <w:spacing w:line="240" w:lineRule="auto"/>
              <w:jc w:val="left"/>
              <w:rPr>
                <w:rFonts w:cs="Calibri"/>
                <w:b/>
                <w:bCs/>
                <w:color w:val="000000"/>
                <w:sz w:val="22"/>
              </w:rPr>
            </w:pPr>
            <w:r w:rsidRPr="005B72DB">
              <w:rPr>
                <w:rFonts w:cs="Calibri"/>
                <w:b/>
                <w:bCs/>
                <w:color w:val="000000"/>
                <w:sz w:val="22"/>
              </w:rPr>
              <w:t>Supplier</w:t>
            </w:r>
          </w:p>
        </w:tc>
        <w:tc>
          <w:tcPr>
            <w:tcW w:w="1237" w:type="dxa"/>
            <w:tcBorders>
              <w:top w:val="nil"/>
              <w:left w:val="nil"/>
              <w:bottom w:val="single" w:sz="4" w:space="0" w:color="auto"/>
              <w:right w:val="single" w:sz="4" w:space="0" w:color="auto"/>
            </w:tcBorders>
            <w:shd w:val="clear" w:color="auto" w:fill="auto"/>
            <w:noWrap/>
            <w:vAlign w:val="center"/>
          </w:tcPr>
          <w:p w14:paraId="732DB295" w14:textId="77777777" w:rsidR="002373D2" w:rsidRPr="005B72DB" w:rsidRDefault="002373D2" w:rsidP="002A1DD1">
            <w:pPr>
              <w:spacing w:line="240" w:lineRule="auto"/>
              <w:jc w:val="center"/>
              <w:rPr>
                <w:color w:val="000000"/>
                <w:sz w:val="22"/>
              </w:rPr>
            </w:pPr>
            <w:r w:rsidRPr="005B72DB">
              <w:rPr>
                <w:color w:val="000000"/>
                <w:sz w:val="22"/>
              </w:rPr>
              <w:t xml:space="preserve">0.00 </w:t>
            </w:r>
          </w:p>
        </w:tc>
        <w:tc>
          <w:tcPr>
            <w:tcW w:w="1237" w:type="dxa"/>
            <w:tcBorders>
              <w:top w:val="nil"/>
              <w:left w:val="nil"/>
              <w:bottom w:val="single" w:sz="4" w:space="0" w:color="auto"/>
              <w:right w:val="single" w:sz="4" w:space="0" w:color="auto"/>
            </w:tcBorders>
            <w:shd w:val="clear" w:color="auto" w:fill="auto"/>
            <w:noWrap/>
            <w:vAlign w:val="bottom"/>
          </w:tcPr>
          <w:p w14:paraId="3B28E2E8" w14:textId="77777777" w:rsidR="002373D2" w:rsidRPr="005B72DB" w:rsidRDefault="002373D2" w:rsidP="002A1DD1">
            <w:pPr>
              <w:spacing w:line="240" w:lineRule="auto"/>
              <w:jc w:val="center"/>
              <w:rPr>
                <w:color w:val="000000"/>
                <w:sz w:val="22"/>
              </w:rPr>
            </w:pPr>
            <w:r w:rsidRPr="005B72DB">
              <w:rPr>
                <w:color w:val="000000"/>
                <w:sz w:val="22"/>
              </w:rPr>
              <w:t>0.00%</w:t>
            </w:r>
          </w:p>
        </w:tc>
        <w:tc>
          <w:tcPr>
            <w:tcW w:w="1238" w:type="dxa"/>
            <w:tcBorders>
              <w:top w:val="nil"/>
              <w:left w:val="nil"/>
              <w:bottom w:val="single" w:sz="4" w:space="0" w:color="auto"/>
              <w:right w:val="single" w:sz="4" w:space="0" w:color="auto"/>
            </w:tcBorders>
            <w:shd w:val="clear" w:color="auto" w:fill="auto"/>
            <w:noWrap/>
            <w:vAlign w:val="bottom"/>
          </w:tcPr>
          <w:p w14:paraId="2A95C3F6" w14:textId="77777777" w:rsidR="002373D2" w:rsidRPr="005B72DB" w:rsidRDefault="002373D2" w:rsidP="002A1DD1">
            <w:pPr>
              <w:spacing w:line="240" w:lineRule="auto"/>
              <w:jc w:val="center"/>
              <w:rPr>
                <w:color w:val="000000"/>
                <w:sz w:val="22"/>
              </w:rPr>
            </w:pPr>
            <w:r w:rsidRPr="005B72DB">
              <w:rPr>
                <w:color w:val="000000"/>
                <w:sz w:val="22"/>
              </w:rPr>
              <w:t xml:space="preserve">1.75 </w:t>
            </w:r>
          </w:p>
        </w:tc>
        <w:tc>
          <w:tcPr>
            <w:tcW w:w="1237" w:type="dxa"/>
            <w:tcBorders>
              <w:top w:val="nil"/>
              <w:left w:val="nil"/>
              <w:bottom w:val="single" w:sz="4" w:space="0" w:color="auto"/>
              <w:right w:val="single" w:sz="4" w:space="0" w:color="auto"/>
            </w:tcBorders>
            <w:shd w:val="clear" w:color="auto" w:fill="auto"/>
            <w:noWrap/>
            <w:vAlign w:val="bottom"/>
          </w:tcPr>
          <w:p w14:paraId="4E8B7A80" w14:textId="77777777" w:rsidR="002373D2" w:rsidRPr="005B72DB" w:rsidRDefault="002373D2" w:rsidP="002A1DD1">
            <w:pPr>
              <w:spacing w:line="240" w:lineRule="auto"/>
              <w:jc w:val="center"/>
              <w:rPr>
                <w:color w:val="000000"/>
                <w:sz w:val="22"/>
              </w:rPr>
            </w:pPr>
            <w:r w:rsidRPr="005B72DB">
              <w:rPr>
                <w:color w:val="000000"/>
                <w:sz w:val="22"/>
              </w:rPr>
              <w:t>33.95%</w:t>
            </w:r>
          </w:p>
        </w:tc>
        <w:tc>
          <w:tcPr>
            <w:tcW w:w="1237" w:type="dxa"/>
            <w:tcBorders>
              <w:top w:val="nil"/>
              <w:left w:val="nil"/>
              <w:bottom w:val="single" w:sz="4" w:space="0" w:color="auto"/>
              <w:right w:val="single" w:sz="4" w:space="0" w:color="auto"/>
            </w:tcBorders>
            <w:shd w:val="clear" w:color="auto" w:fill="auto"/>
            <w:noWrap/>
            <w:vAlign w:val="bottom"/>
          </w:tcPr>
          <w:p w14:paraId="57E75AF0" w14:textId="77777777" w:rsidR="002373D2" w:rsidRPr="005B72DB" w:rsidRDefault="002373D2" w:rsidP="002A1DD1">
            <w:pPr>
              <w:spacing w:line="240" w:lineRule="auto"/>
              <w:jc w:val="center"/>
              <w:rPr>
                <w:color w:val="000000"/>
                <w:sz w:val="22"/>
              </w:rPr>
            </w:pPr>
            <w:r w:rsidRPr="005B72DB">
              <w:rPr>
                <w:color w:val="000000"/>
                <w:sz w:val="22"/>
              </w:rPr>
              <w:t xml:space="preserve">0.00 </w:t>
            </w:r>
          </w:p>
        </w:tc>
        <w:tc>
          <w:tcPr>
            <w:tcW w:w="1238" w:type="dxa"/>
            <w:tcBorders>
              <w:top w:val="nil"/>
              <w:left w:val="nil"/>
              <w:bottom w:val="single" w:sz="4" w:space="0" w:color="auto"/>
              <w:right w:val="single" w:sz="4" w:space="0" w:color="auto"/>
            </w:tcBorders>
            <w:shd w:val="clear" w:color="auto" w:fill="auto"/>
            <w:noWrap/>
            <w:vAlign w:val="bottom"/>
          </w:tcPr>
          <w:p w14:paraId="61988C3E" w14:textId="77777777" w:rsidR="002373D2" w:rsidRPr="005B72DB" w:rsidRDefault="002373D2" w:rsidP="002A1DD1">
            <w:pPr>
              <w:spacing w:line="240" w:lineRule="auto"/>
              <w:jc w:val="center"/>
              <w:rPr>
                <w:color w:val="000000"/>
                <w:sz w:val="22"/>
              </w:rPr>
            </w:pPr>
            <w:r w:rsidRPr="005B72DB">
              <w:rPr>
                <w:color w:val="000000"/>
                <w:sz w:val="22"/>
              </w:rPr>
              <w:t>0.00%</w:t>
            </w:r>
          </w:p>
        </w:tc>
      </w:tr>
      <w:tr w:rsidR="002373D2" w:rsidRPr="005B72DB" w14:paraId="5BF0F879" w14:textId="77777777" w:rsidTr="0051420F">
        <w:trPr>
          <w:trHeight w:val="285"/>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705D78EB" w14:textId="77777777" w:rsidR="002373D2" w:rsidRPr="005B72DB" w:rsidRDefault="002373D2" w:rsidP="002A1DD1">
            <w:pPr>
              <w:spacing w:line="240" w:lineRule="auto"/>
              <w:jc w:val="left"/>
              <w:rPr>
                <w:rFonts w:cs="Calibri"/>
                <w:b/>
                <w:bCs/>
                <w:color w:val="000000"/>
                <w:sz w:val="22"/>
              </w:rPr>
            </w:pPr>
            <w:r w:rsidRPr="005B72DB">
              <w:rPr>
                <w:rFonts w:cs="Calibri"/>
                <w:b/>
                <w:bCs/>
                <w:color w:val="000000"/>
                <w:sz w:val="22"/>
              </w:rPr>
              <w:t>LHC</w:t>
            </w:r>
          </w:p>
        </w:tc>
        <w:tc>
          <w:tcPr>
            <w:tcW w:w="1237" w:type="dxa"/>
            <w:tcBorders>
              <w:top w:val="nil"/>
              <w:left w:val="nil"/>
              <w:bottom w:val="single" w:sz="4" w:space="0" w:color="auto"/>
              <w:right w:val="single" w:sz="4" w:space="0" w:color="auto"/>
            </w:tcBorders>
            <w:shd w:val="clear" w:color="auto" w:fill="auto"/>
            <w:noWrap/>
            <w:vAlign w:val="center"/>
          </w:tcPr>
          <w:p w14:paraId="4CF4CBAD" w14:textId="77777777" w:rsidR="002373D2" w:rsidRPr="005B72DB" w:rsidRDefault="002373D2" w:rsidP="002A1DD1">
            <w:pPr>
              <w:spacing w:line="240" w:lineRule="auto"/>
              <w:jc w:val="center"/>
              <w:rPr>
                <w:color w:val="000000"/>
                <w:sz w:val="22"/>
              </w:rPr>
            </w:pPr>
            <w:r w:rsidRPr="005B72DB">
              <w:rPr>
                <w:color w:val="000000"/>
                <w:sz w:val="22"/>
              </w:rPr>
              <w:t xml:space="preserve">1.51 </w:t>
            </w:r>
          </w:p>
        </w:tc>
        <w:tc>
          <w:tcPr>
            <w:tcW w:w="1237" w:type="dxa"/>
            <w:tcBorders>
              <w:top w:val="nil"/>
              <w:left w:val="nil"/>
              <w:bottom w:val="single" w:sz="4" w:space="0" w:color="auto"/>
              <w:right w:val="single" w:sz="4" w:space="0" w:color="auto"/>
            </w:tcBorders>
            <w:shd w:val="clear" w:color="auto" w:fill="auto"/>
            <w:noWrap/>
            <w:vAlign w:val="bottom"/>
          </w:tcPr>
          <w:p w14:paraId="663692DF" w14:textId="77777777" w:rsidR="002373D2" w:rsidRPr="005B72DB" w:rsidRDefault="002373D2" w:rsidP="002A1DD1">
            <w:pPr>
              <w:spacing w:line="240" w:lineRule="auto"/>
              <w:jc w:val="center"/>
              <w:rPr>
                <w:color w:val="000000"/>
                <w:sz w:val="22"/>
              </w:rPr>
            </w:pPr>
            <w:r w:rsidRPr="005B72DB">
              <w:rPr>
                <w:color w:val="000000"/>
                <w:sz w:val="22"/>
              </w:rPr>
              <w:t>29.38%</w:t>
            </w:r>
          </w:p>
        </w:tc>
        <w:tc>
          <w:tcPr>
            <w:tcW w:w="1238" w:type="dxa"/>
            <w:tcBorders>
              <w:top w:val="nil"/>
              <w:left w:val="nil"/>
              <w:bottom w:val="single" w:sz="4" w:space="0" w:color="auto"/>
              <w:right w:val="single" w:sz="4" w:space="0" w:color="auto"/>
            </w:tcBorders>
            <w:shd w:val="clear" w:color="auto" w:fill="auto"/>
            <w:noWrap/>
            <w:vAlign w:val="bottom"/>
          </w:tcPr>
          <w:p w14:paraId="56AD6BD9" w14:textId="77777777" w:rsidR="002373D2" w:rsidRPr="005B72DB" w:rsidRDefault="002373D2" w:rsidP="002A1DD1">
            <w:pPr>
              <w:spacing w:line="240" w:lineRule="auto"/>
              <w:jc w:val="center"/>
              <w:rPr>
                <w:color w:val="000000"/>
                <w:sz w:val="22"/>
              </w:rPr>
            </w:pPr>
            <w:r w:rsidRPr="005B72DB">
              <w:rPr>
                <w:color w:val="000000"/>
                <w:sz w:val="22"/>
              </w:rPr>
              <w:t xml:space="preserve">1.75 </w:t>
            </w:r>
          </w:p>
        </w:tc>
        <w:tc>
          <w:tcPr>
            <w:tcW w:w="1237" w:type="dxa"/>
            <w:tcBorders>
              <w:top w:val="nil"/>
              <w:left w:val="nil"/>
              <w:bottom w:val="single" w:sz="4" w:space="0" w:color="auto"/>
              <w:right w:val="single" w:sz="4" w:space="0" w:color="auto"/>
            </w:tcBorders>
            <w:shd w:val="clear" w:color="auto" w:fill="auto"/>
            <w:noWrap/>
            <w:vAlign w:val="bottom"/>
          </w:tcPr>
          <w:p w14:paraId="560F40D1" w14:textId="77777777" w:rsidR="002373D2" w:rsidRPr="005B72DB" w:rsidRDefault="002373D2" w:rsidP="002A1DD1">
            <w:pPr>
              <w:spacing w:line="240" w:lineRule="auto"/>
              <w:jc w:val="center"/>
              <w:rPr>
                <w:color w:val="000000"/>
                <w:sz w:val="22"/>
              </w:rPr>
            </w:pPr>
            <w:r w:rsidRPr="005B72DB">
              <w:rPr>
                <w:color w:val="000000"/>
                <w:sz w:val="22"/>
              </w:rPr>
              <w:t>33.95%</w:t>
            </w:r>
          </w:p>
        </w:tc>
        <w:tc>
          <w:tcPr>
            <w:tcW w:w="1237" w:type="dxa"/>
            <w:tcBorders>
              <w:top w:val="nil"/>
              <w:left w:val="nil"/>
              <w:bottom w:val="single" w:sz="4" w:space="0" w:color="auto"/>
              <w:right w:val="single" w:sz="4" w:space="0" w:color="auto"/>
            </w:tcBorders>
            <w:shd w:val="clear" w:color="auto" w:fill="auto"/>
            <w:noWrap/>
            <w:vAlign w:val="bottom"/>
          </w:tcPr>
          <w:p w14:paraId="22367BBA" w14:textId="77777777" w:rsidR="002373D2" w:rsidRPr="005B72DB" w:rsidRDefault="002373D2" w:rsidP="002A1DD1">
            <w:pPr>
              <w:spacing w:line="240" w:lineRule="auto"/>
              <w:jc w:val="center"/>
              <w:rPr>
                <w:color w:val="000000"/>
                <w:sz w:val="22"/>
              </w:rPr>
            </w:pPr>
            <w:r w:rsidRPr="005B72DB">
              <w:rPr>
                <w:color w:val="000000"/>
                <w:sz w:val="22"/>
              </w:rPr>
              <w:t xml:space="preserve">0.38 </w:t>
            </w:r>
          </w:p>
        </w:tc>
        <w:tc>
          <w:tcPr>
            <w:tcW w:w="1238" w:type="dxa"/>
            <w:tcBorders>
              <w:top w:val="nil"/>
              <w:left w:val="nil"/>
              <w:bottom w:val="single" w:sz="4" w:space="0" w:color="auto"/>
              <w:right w:val="single" w:sz="4" w:space="0" w:color="auto"/>
            </w:tcBorders>
            <w:shd w:val="clear" w:color="auto" w:fill="auto"/>
            <w:noWrap/>
            <w:vAlign w:val="bottom"/>
          </w:tcPr>
          <w:p w14:paraId="1F355455" w14:textId="77777777" w:rsidR="002373D2" w:rsidRPr="005B72DB" w:rsidRDefault="002373D2" w:rsidP="002A1DD1">
            <w:pPr>
              <w:spacing w:line="240" w:lineRule="auto"/>
              <w:jc w:val="center"/>
              <w:rPr>
                <w:color w:val="000000"/>
                <w:sz w:val="22"/>
              </w:rPr>
            </w:pPr>
            <w:r w:rsidRPr="005B72DB">
              <w:rPr>
                <w:color w:val="000000"/>
                <w:sz w:val="22"/>
              </w:rPr>
              <w:t>7.34%</w:t>
            </w:r>
          </w:p>
        </w:tc>
      </w:tr>
      <w:tr w:rsidR="002373D2" w:rsidRPr="005B72DB" w14:paraId="43599889" w14:textId="77777777" w:rsidTr="0051420F">
        <w:trPr>
          <w:trHeight w:val="285"/>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4679319E" w14:textId="77777777" w:rsidR="002373D2" w:rsidRPr="005B72DB" w:rsidRDefault="002373D2" w:rsidP="002A1DD1">
            <w:pPr>
              <w:spacing w:line="240" w:lineRule="auto"/>
              <w:jc w:val="left"/>
              <w:rPr>
                <w:rFonts w:cs="Calibri"/>
                <w:b/>
                <w:bCs/>
                <w:color w:val="000000"/>
                <w:sz w:val="22"/>
              </w:rPr>
            </w:pPr>
            <w:r w:rsidRPr="005B72DB">
              <w:rPr>
                <w:rFonts w:cs="Calibri"/>
                <w:b/>
                <w:bCs/>
                <w:color w:val="000000"/>
                <w:sz w:val="22"/>
              </w:rPr>
              <w:t>UCC</w:t>
            </w:r>
          </w:p>
        </w:tc>
        <w:tc>
          <w:tcPr>
            <w:tcW w:w="1237" w:type="dxa"/>
            <w:tcBorders>
              <w:top w:val="nil"/>
              <w:left w:val="nil"/>
              <w:bottom w:val="single" w:sz="4" w:space="0" w:color="auto"/>
              <w:right w:val="single" w:sz="4" w:space="0" w:color="auto"/>
            </w:tcBorders>
            <w:shd w:val="clear" w:color="auto" w:fill="auto"/>
            <w:noWrap/>
            <w:vAlign w:val="center"/>
          </w:tcPr>
          <w:p w14:paraId="32715750" w14:textId="77777777" w:rsidR="002373D2" w:rsidRPr="005B72DB" w:rsidRDefault="002373D2" w:rsidP="002A1DD1">
            <w:pPr>
              <w:spacing w:line="240" w:lineRule="auto"/>
              <w:jc w:val="center"/>
              <w:rPr>
                <w:color w:val="000000"/>
                <w:sz w:val="22"/>
              </w:rPr>
            </w:pPr>
            <w:r w:rsidRPr="005B72DB">
              <w:rPr>
                <w:color w:val="000000"/>
                <w:sz w:val="22"/>
              </w:rPr>
              <w:t xml:space="preserve">0.99 </w:t>
            </w:r>
          </w:p>
        </w:tc>
        <w:tc>
          <w:tcPr>
            <w:tcW w:w="1237" w:type="dxa"/>
            <w:tcBorders>
              <w:top w:val="nil"/>
              <w:left w:val="nil"/>
              <w:bottom w:val="single" w:sz="4" w:space="0" w:color="auto"/>
              <w:right w:val="single" w:sz="4" w:space="0" w:color="auto"/>
            </w:tcBorders>
            <w:shd w:val="clear" w:color="auto" w:fill="auto"/>
            <w:noWrap/>
            <w:vAlign w:val="bottom"/>
          </w:tcPr>
          <w:p w14:paraId="412F5488" w14:textId="77777777" w:rsidR="002373D2" w:rsidRPr="005B72DB" w:rsidRDefault="002373D2" w:rsidP="002A1DD1">
            <w:pPr>
              <w:spacing w:line="240" w:lineRule="auto"/>
              <w:jc w:val="center"/>
              <w:rPr>
                <w:color w:val="000000"/>
                <w:sz w:val="22"/>
              </w:rPr>
            </w:pPr>
            <w:r w:rsidRPr="005B72DB">
              <w:rPr>
                <w:color w:val="000000"/>
                <w:sz w:val="22"/>
              </w:rPr>
              <w:t>19.26%</w:t>
            </w:r>
          </w:p>
        </w:tc>
        <w:tc>
          <w:tcPr>
            <w:tcW w:w="1238" w:type="dxa"/>
            <w:tcBorders>
              <w:top w:val="nil"/>
              <w:left w:val="nil"/>
              <w:bottom w:val="single" w:sz="4" w:space="0" w:color="auto"/>
              <w:right w:val="single" w:sz="4" w:space="0" w:color="auto"/>
            </w:tcBorders>
            <w:shd w:val="clear" w:color="auto" w:fill="auto"/>
            <w:noWrap/>
            <w:vAlign w:val="bottom"/>
          </w:tcPr>
          <w:p w14:paraId="4FCAAF49" w14:textId="77777777" w:rsidR="002373D2" w:rsidRPr="005B72DB" w:rsidRDefault="002373D2" w:rsidP="002A1DD1">
            <w:pPr>
              <w:spacing w:line="240" w:lineRule="auto"/>
              <w:jc w:val="center"/>
              <w:rPr>
                <w:color w:val="000000"/>
                <w:sz w:val="22"/>
              </w:rPr>
            </w:pPr>
            <w:r w:rsidRPr="005B72DB">
              <w:rPr>
                <w:color w:val="000000"/>
                <w:sz w:val="22"/>
              </w:rPr>
              <w:t xml:space="preserve">0.98 </w:t>
            </w:r>
          </w:p>
        </w:tc>
        <w:tc>
          <w:tcPr>
            <w:tcW w:w="1237" w:type="dxa"/>
            <w:tcBorders>
              <w:top w:val="nil"/>
              <w:left w:val="nil"/>
              <w:bottom w:val="single" w:sz="4" w:space="0" w:color="auto"/>
              <w:right w:val="single" w:sz="4" w:space="0" w:color="auto"/>
            </w:tcBorders>
            <w:shd w:val="clear" w:color="auto" w:fill="auto"/>
            <w:noWrap/>
            <w:vAlign w:val="bottom"/>
          </w:tcPr>
          <w:p w14:paraId="2DB3611B" w14:textId="77777777" w:rsidR="002373D2" w:rsidRPr="005B72DB" w:rsidRDefault="002373D2" w:rsidP="002A1DD1">
            <w:pPr>
              <w:spacing w:line="240" w:lineRule="auto"/>
              <w:jc w:val="center"/>
              <w:rPr>
                <w:color w:val="000000"/>
                <w:sz w:val="22"/>
              </w:rPr>
            </w:pPr>
            <w:r w:rsidRPr="005B72DB">
              <w:rPr>
                <w:color w:val="000000"/>
                <w:sz w:val="22"/>
              </w:rPr>
              <w:t>19.26%</w:t>
            </w:r>
          </w:p>
        </w:tc>
        <w:tc>
          <w:tcPr>
            <w:tcW w:w="1237" w:type="dxa"/>
            <w:tcBorders>
              <w:top w:val="nil"/>
              <w:left w:val="nil"/>
              <w:bottom w:val="single" w:sz="4" w:space="0" w:color="auto"/>
              <w:right w:val="single" w:sz="4" w:space="0" w:color="auto"/>
            </w:tcBorders>
            <w:shd w:val="clear" w:color="auto" w:fill="auto"/>
            <w:noWrap/>
            <w:vAlign w:val="bottom"/>
          </w:tcPr>
          <w:p w14:paraId="55A11DA0" w14:textId="77777777" w:rsidR="002373D2" w:rsidRPr="005B72DB" w:rsidRDefault="002373D2" w:rsidP="002A1DD1">
            <w:pPr>
              <w:spacing w:line="240" w:lineRule="auto"/>
              <w:jc w:val="center"/>
              <w:rPr>
                <w:color w:val="000000"/>
                <w:sz w:val="22"/>
              </w:rPr>
            </w:pPr>
            <w:r w:rsidRPr="005B72DB">
              <w:rPr>
                <w:color w:val="000000"/>
                <w:sz w:val="22"/>
              </w:rPr>
              <w:t xml:space="preserve">0.70 </w:t>
            </w:r>
          </w:p>
        </w:tc>
        <w:tc>
          <w:tcPr>
            <w:tcW w:w="1238" w:type="dxa"/>
            <w:tcBorders>
              <w:top w:val="nil"/>
              <w:left w:val="nil"/>
              <w:bottom w:val="single" w:sz="4" w:space="0" w:color="auto"/>
              <w:right w:val="single" w:sz="4" w:space="0" w:color="auto"/>
            </w:tcBorders>
            <w:shd w:val="clear" w:color="auto" w:fill="auto"/>
            <w:noWrap/>
            <w:vAlign w:val="bottom"/>
          </w:tcPr>
          <w:p w14:paraId="20FA74A5" w14:textId="77777777" w:rsidR="002373D2" w:rsidRPr="005B72DB" w:rsidRDefault="002373D2" w:rsidP="002A1DD1">
            <w:pPr>
              <w:spacing w:line="240" w:lineRule="auto"/>
              <w:jc w:val="center"/>
              <w:rPr>
                <w:color w:val="000000"/>
                <w:sz w:val="22"/>
              </w:rPr>
            </w:pPr>
            <w:r w:rsidRPr="005B72DB">
              <w:rPr>
                <w:color w:val="000000"/>
                <w:sz w:val="22"/>
              </w:rPr>
              <w:t>13.76%</w:t>
            </w:r>
          </w:p>
        </w:tc>
      </w:tr>
      <w:tr w:rsidR="002373D2" w:rsidRPr="005B72DB" w14:paraId="69BDC783" w14:textId="77777777" w:rsidTr="0051420F">
        <w:trPr>
          <w:trHeight w:val="285"/>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F3D9B41" w14:textId="77777777" w:rsidR="002373D2" w:rsidRPr="005B72DB" w:rsidRDefault="002373D2" w:rsidP="002A1DD1">
            <w:pPr>
              <w:spacing w:line="240" w:lineRule="auto"/>
              <w:jc w:val="left"/>
              <w:rPr>
                <w:rFonts w:cs="Calibri"/>
                <w:b/>
                <w:bCs/>
                <w:color w:val="000000"/>
                <w:sz w:val="22"/>
              </w:rPr>
            </w:pPr>
            <w:r w:rsidRPr="005B72DB">
              <w:rPr>
                <w:rFonts w:cs="Calibri"/>
                <w:b/>
                <w:bCs/>
                <w:color w:val="000000"/>
                <w:sz w:val="22"/>
              </w:rPr>
              <w:t>Local Carrier</w:t>
            </w:r>
          </w:p>
        </w:tc>
        <w:tc>
          <w:tcPr>
            <w:tcW w:w="1237" w:type="dxa"/>
            <w:tcBorders>
              <w:top w:val="nil"/>
              <w:left w:val="nil"/>
              <w:bottom w:val="single" w:sz="4" w:space="0" w:color="auto"/>
              <w:right w:val="single" w:sz="4" w:space="0" w:color="auto"/>
            </w:tcBorders>
            <w:shd w:val="clear" w:color="auto" w:fill="auto"/>
            <w:noWrap/>
            <w:vAlign w:val="center"/>
          </w:tcPr>
          <w:p w14:paraId="597A047F" w14:textId="77777777" w:rsidR="002373D2" w:rsidRPr="005B72DB" w:rsidRDefault="002373D2" w:rsidP="002A1DD1">
            <w:pPr>
              <w:spacing w:line="240" w:lineRule="auto"/>
              <w:jc w:val="center"/>
              <w:rPr>
                <w:color w:val="000000"/>
                <w:sz w:val="22"/>
              </w:rPr>
            </w:pPr>
            <w:r w:rsidRPr="005B72DB">
              <w:rPr>
                <w:color w:val="000000"/>
                <w:sz w:val="22"/>
              </w:rPr>
              <w:t xml:space="preserve">2.64 </w:t>
            </w:r>
          </w:p>
        </w:tc>
        <w:tc>
          <w:tcPr>
            <w:tcW w:w="1237" w:type="dxa"/>
            <w:tcBorders>
              <w:top w:val="nil"/>
              <w:left w:val="nil"/>
              <w:bottom w:val="single" w:sz="4" w:space="0" w:color="auto"/>
              <w:right w:val="single" w:sz="4" w:space="0" w:color="auto"/>
            </w:tcBorders>
            <w:shd w:val="clear" w:color="auto" w:fill="auto"/>
            <w:noWrap/>
            <w:vAlign w:val="bottom"/>
          </w:tcPr>
          <w:p w14:paraId="390B6DF4" w14:textId="77777777" w:rsidR="002373D2" w:rsidRPr="005B72DB" w:rsidRDefault="002373D2" w:rsidP="002A1DD1">
            <w:pPr>
              <w:spacing w:line="240" w:lineRule="auto"/>
              <w:jc w:val="center"/>
              <w:rPr>
                <w:color w:val="000000"/>
                <w:sz w:val="22"/>
              </w:rPr>
            </w:pPr>
            <w:r w:rsidRPr="005B72DB">
              <w:rPr>
                <w:color w:val="000000"/>
                <w:sz w:val="22"/>
              </w:rPr>
              <w:t>51.36%</w:t>
            </w:r>
          </w:p>
        </w:tc>
        <w:tc>
          <w:tcPr>
            <w:tcW w:w="1238" w:type="dxa"/>
            <w:tcBorders>
              <w:top w:val="nil"/>
              <w:left w:val="nil"/>
              <w:bottom w:val="single" w:sz="4" w:space="0" w:color="auto"/>
              <w:right w:val="single" w:sz="4" w:space="0" w:color="auto"/>
            </w:tcBorders>
            <w:shd w:val="clear" w:color="auto" w:fill="auto"/>
            <w:noWrap/>
            <w:vAlign w:val="bottom"/>
          </w:tcPr>
          <w:p w14:paraId="0686001D" w14:textId="77777777" w:rsidR="002373D2" w:rsidRPr="005B72DB" w:rsidRDefault="002373D2" w:rsidP="002A1DD1">
            <w:pPr>
              <w:spacing w:line="240" w:lineRule="auto"/>
              <w:jc w:val="center"/>
              <w:rPr>
                <w:color w:val="000000"/>
                <w:sz w:val="22"/>
              </w:rPr>
            </w:pPr>
            <w:r w:rsidRPr="005B72DB">
              <w:rPr>
                <w:color w:val="000000"/>
                <w:sz w:val="22"/>
              </w:rPr>
              <w:t xml:space="preserve">0.66 </w:t>
            </w:r>
          </w:p>
        </w:tc>
        <w:tc>
          <w:tcPr>
            <w:tcW w:w="1237" w:type="dxa"/>
            <w:tcBorders>
              <w:top w:val="nil"/>
              <w:left w:val="nil"/>
              <w:bottom w:val="single" w:sz="4" w:space="0" w:color="auto"/>
              <w:right w:val="single" w:sz="4" w:space="0" w:color="auto"/>
            </w:tcBorders>
            <w:shd w:val="clear" w:color="auto" w:fill="auto"/>
            <w:noWrap/>
            <w:vAlign w:val="bottom"/>
          </w:tcPr>
          <w:p w14:paraId="5DBEFD2C" w14:textId="77777777" w:rsidR="002373D2" w:rsidRPr="005B72DB" w:rsidRDefault="002373D2" w:rsidP="002A1DD1">
            <w:pPr>
              <w:spacing w:line="240" w:lineRule="auto"/>
              <w:jc w:val="center"/>
              <w:rPr>
                <w:color w:val="000000"/>
                <w:sz w:val="22"/>
              </w:rPr>
            </w:pPr>
            <w:r w:rsidRPr="005B72DB">
              <w:rPr>
                <w:color w:val="000000"/>
                <w:sz w:val="22"/>
              </w:rPr>
              <w:t>12.84%</w:t>
            </w:r>
          </w:p>
        </w:tc>
        <w:tc>
          <w:tcPr>
            <w:tcW w:w="1237" w:type="dxa"/>
            <w:tcBorders>
              <w:top w:val="nil"/>
              <w:left w:val="nil"/>
              <w:bottom w:val="single" w:sz="4" w:space="0" w:color="auto"/>
              <w:right w:val="single" w:sz="4" w:space="0" w:color="auto"/>
            </w:tcBorders>
            <w:shd w:val="clear" w:color="auto" w:fill="auto"/>
            <w:noWrap/>
            <w:vAlign w:val="bottom"/>
          </w:tcPr>
          <w:p w14:paraId="03037A5F" w14:textId="77777777" w:rsidR="002373D2" w:rsidRPr="005B72DB" w:rsidRDefault="002373D2" w:rsidP="002A1DD1">
            <w:pPr>
              <w:spacing w:line="240" w:lineRule="auto"/>
              <w:jc w:val="center"/>
              <w:rPr>
                <w:color w:val="000000"/>
                <w:sz w:val="22"/>
              </w:rPr>
            </w:pPr>
            <w:r w:rsidRPr="005B72DB">
              <w:rPr>
                <w:color w:val="000000"/>
                <w:sz w:val="22"/>
              </w:rPr>
              <w:t xml:space="preserve">2.03 </w:t>
            </w:r>
          </w:p>
        </w:tc>
        <w:tc>
          <w:tcPr>
            <w:tcW w:w="1238" w:type="dxa"/>
            <w:tcBorders>
              <w:top w:val="nil"/>
              <w:left w:val="nil"/>
              <w:bottom w:val="single" w:sz="4" w:space="0" w:color="auto"/>
              <w:right w:val="single" w:sz="4" w:space="0" w:color="auto"/>
            </w:tcBorders>
            <w:shd w:val="clear" w:color="auto" w:fill="auto"/>
            <w:noWrap/>
            <w:vAlign w:val="bottom"/>
          </w:tcPr>
          <w:p w14:paraId="377A4BE1" w14:textId="77777777" w:rsidR="002373D2" w:rsidRPr="005B72DB" w:rsidRDefault="002373D2" w:rsidP="002A1DD1">
            <w:pPr>
              <w:spacing w:line="240" w:lineRule="auto"/>
              <w:jc w:val="center"/>
              <w:rPr>
                <w:color w:val="000000"/>
                <w:sz w:val="22"/>
              </w:rPr>
            </w:pPr>
            <w:r w:rsidRPr="005B72DB">
              <w:rPr>
                <w:color w:val="000000"/>
                <w:sz w:val="22"/>
              </w:rPr>
              <w:t>39.45%</w:t>
            </w:r>
          </w:p>
        </w:tc>
      </w:tr>
      <w:tr w:rsidR="002373D2" w:rsidRPr="005B72DB" w14:paraId="05BF935D" w14:textId="77777777" w:rsidTr="0051420F">
        <w:trPr>
          <w:trHeight w:val="285"/>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09BD617" w14:textId="77777777" w:rsidR="002373D2" w:rsidRPr="005B72DB" w:rsidRDefault="002373D2" w:rsidP="002A1DD1">
            <w:pPr>
              <w:spacing w:line="240" w:lineRule="auto"/>
              <w:jc w:val="left"/>
              <w:rPr>
                <w:rFonts w:cs="Calibri"/>
                <w:b/>
                <w:bCs/>
                <w:color w:val="000000"/>
                <w:sz w:val="22"/>
              </w:rPr>
            </w:pPr>
            <w:r w:rsidRPr="005B72DB">
              <w:rPr>
                <w:rFonts w:cs="Calibri"/>
                <w:b/>
                <w:bCs/>
                <w:color w:val="000000"/>
                <w:sz w:val="22"/>
              </w:rPr>
              <w:t>Consumer</w:t>
            </w:r>
          </w:p>
        </w:tc>
        <w:tc>
          <w:tcPr>
            <w:tcW w:w="1237" w:type="dxa"/>
            <w:tcBorders>
              <w:top w:val="nil"/>
              <w:left w:val="nil"/>
              <w:bottom w:val="single" w:sz="4" w:space="0" w:color="auto"/>
              <w:right w:val="single" w:sz="4" w:space="0" w:color="auto"/>
            </w:tcBorders>
            <w:shd w:val="clear" w:color="auto" w:fill="auto"/>
            <w:noWrap/>
            <w:vAlign w:val="center"/>
          </w:tcPr>
          <w:p w14:paraId="6571009A" w14:textId="77777777" w:rsidR="002373D2" w:rsidRPr="005B72DB" w:rsidRDefault="002373D2" w:rsidP="002A1DD1">
            <w:pPr>
              <w:spacing w:line="240" w:lineRule="auto"/>
              <w:jc w:val="center"/>
              <w:rPr>
                <w:color w:val="000000"/>
                <w:sz w:val="22"/>
              </w:rPr>
            </w:pPr>
            <w:r w:rsidRPr="005B72DB">
              <w:rPr>
                <w:color w:val="000000"/>
                <w:sz w:val="22"/>
              </w:rPr>
              <w:t xml:space="preserve">0.00 </w:t>
            </w:r>
          </w:p>
        </w:tc>
        <w:tc>
          <w:tcPr>
            <w:tcW w:w="1237" w:type="dxa"/>
            <w:tcBorders>
              <w:top w:val="nil"/>
              <w:left w:val="nil"/>
              <w:bottom w:val="single" w:sz="4" w:space="0" w:color="auto"/>
              <w:right w:val="single" w:sz="4" w:space="0" w:color="auto"/>
            </w:tcBorders>
            <w:shd w:val="clear" w:color="auto" w:fill="auto"/>
            <w:noWrap/>
            <w:vAlign w:val="bottom"/>
          </w:tcPr>
          <w:p w14:paraId="3B310264" w14:textId="77777777" w:rsidR="002373D2" w:rsidRPr="005B72DB" w:rsidRDefault="002373D2" w:rsidP="002A1DD1">
            <w:pPr>
              <w:spacing w:line="240" w:lineRule="auto"/>
              <w:jc w:val="center"/>
              <w:rPr>
                <w:color w:val="000000"/>
                <w:sz w:val="22"/>
              </w:rPr>
            </w:pPr>
            <w:r w:rsidRPr="005B72DB">
              <w:rPr>
                <w:color w:val="000000"/>
                <w:sz w:val="22"/>
              </w:rPr>
              <w:t>0.00%</w:t>
            </w:r>
          </w:p>
        </w:tc>
        <w:tc>
          <w:tcPr>
            <w:tcW w:w="1238" w:type="dxa"/>
            <w:tcBorders>
              <w:top w:val="nil"/>
              <w:left w:val="nil"/>
              <w:bottom w:val="single" w:sz="4" w:space="0" w:color="auto"/>
              <w:right w:val="single" w:sz="4" w:space="0" w:color="auto"/>
            </w:tcBorders>
            <w:shd w:val="clear" w:color="auto" w:fill="auto"/>
            <w:noWrap/>
            <w:vAlign w:val="bottom"/>
          </w:tcPr>
          <w:p w14:paraId="62358620" w14:textId="77777777" w:rsidR="002373D2" w:rsidRPr="005B72DB" w:rsidRDefault="002373D2" w:rsidP="002A1DD1">
            <w:pPr>
              <w:spacing w:line="240" w:lineRule="auto"/>
              <w:jc w:val="center"/>
              <w:rPr>
                <w:color w:val="000000"/>
                <w:sz w:val="22"/>
              </w:rPr>
            </w:pPr>
            <w:r w:rsidRPr="005B72DB">
              <w:rPr>
                <w:color w:val="000000"/>
                <w:sz w:val="22"/>
              </w:rPr>
              <w:t xml:space="preserve">0.00 </w:t>
            </w:r>
          </w:p>
        </w:tc>
        <w:tc>
          <w:tcPr>
            <w:tcW w:w="1237" w:type="dxa"/>
            <w:tcBorders>
              <w:top w:val="nil"/>
              <w:left w:val="nil"/>
              <w:bottom w:val="single" w:sz="4" w:space="0" w:color="auto"/>
              <w:right w:val="single" w:sz="4" w:space="0" w:color="auto"/>
            </w:tcBorders>
            <w:shd w:val="clear" w:color="auto" w:fill="auto"/>
            <w:noWrap/>
            <w:vAlign w:val="bottom"/>
          </w:tcPr>
          <w:p w14:paraId="3A6764A0" w14:textId="77777777" w:rsidR="002373D2" w:rsidRPr="005B72DB" w:rsidRDefault="002373D2" w:rsidP="002A1DD1">
            <w:pPr>
              <w:spacing w:line="240" w:lineRule="auto"/>
              <w:jc w:val="center"/>
              <w:rPr>
                <w:color w:val="000000"/>
                <w:sz w:val="22"/>
              </w:rPr>
            </w:pPr>
            <w:r w:rsidRPr="005B72DB">
              <w:rPr>
                <w:color w:val="000000"/>
                <w:sz w:val="22"/>
              </w:rPr>
              <w:t>0.00%</w:t>
            </w:r>
          </w:p>
        </w:tc>
        <w:tc>
          <w:tcPr>
            <w:tcW w:w="1237" w:type="dxa"/>
            <w:tcBorders>
              <w:top w:val="nil"/>
              <w:left w:val="nil"/>
              <w:bottom w:val="single" w:sz="4" w:space="0" w:color="auto"/>
              <w:right w:val="single" w:sz="4" w:space="0" w:color="auto"/>
            </w:tcBorders>
            <w:shd w:val="clear" w:color="auto" w:fill="auto"/>
            <w:noWrap/>
            <w:vAlign w:val="bottom"/>
          </w:tcPr>
          <w:p w14:paraId="2B8C104A" w14:textId="77777777" w:rsidR="002373D2" w:rsidRPr="005B72DB" w:rsidRDefault="002373D2" w:rsidP="002A1DD1">
            <w:pPr>
              <w:spacing w:line="240" w:lineRule="auto"/>
              <w:jc w:val="center"/>
              <w:rPr>
                <w:color w:val="000000"/>
                <w:sz w:val="22"/>
              </w:rPr>
            </w:pPr>
            <w:r w:rsidRPr="005B72DB">
              <w:rPr>
                <w:color w:val="000000"/>
                <w:sz w:val="22"/>
              </w:rPr>
              <w:t xml:space="preserve">2.03 </w:t>
            </w:r>
          </w:p>
        </w:tc>
        <w:tc>
          <w:tcPr>
            <w:tcW w:w="1238" w:type="dxa"/>
            <w:tcBorders>
              <w:top w:val="nil"/>
              <w:left w:val="nil"/>
              <w:bottom w:val="single" w:sz="4" w:space="0" w:color="auto"/>
              <w:right w:val="single" w:sz="4" w:space="0" w:color="auto"/>
            </w:tcBorders>
            <w:shd w:val="clear" w:color="auto" w:fill="auto"/>
            <w:noWrap/>
            <w:vAlign w:val="bottom"/>
          </w:tcPr>
          <w:p w14:paraId="3759A945" w14:textId="77777777" w:rsidR="002373D2" w:rsidRPr="005B72DB" w:rsidRDefault="002373D2" w:rsidP="002A1DD1">
            <w:pPr>
              <w:spacing w:line="240" w:lineRule="auto"/>
              <w:jc w:val="center"/>
              <w:rPr>
                <w:color w:val="000000"/>
                <w:sz w:val="22"/>
              </w:rPr>
            </w:pPr>
            <w:r w:rsidRPr="005B72DB">
              <w:rPr>
                <w:color w:val="000000"/>
                <w:sz w:val="22"/>
              </w:rPr>
              <w:t>39.45%</w:t>
            </w:r>
          </w:p>
        </w:tc>
      </w:tr>
      <w:tr w:rsidR="002373D2" w:rsidRPr="005B72DB" w14:paraId="2B554635" w14:textId="77777777" w:rsidTr="0051420F">
        <w:trPr>
          <w:trHeight w:val="285"/>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184FB5A" w14:textId="77777777" w:rsidR="002373D2" w:rsidRPr="005B72DB" w:rsidRDefault="002373D2" w:rsidP="002A1DD1">
            <w:pPr>
              <w:spacing w:line="240" w:lineRule="auto"/>
              <w:jc w:val="left"/>
              <w:rPr>
                <w:rFonts w:cs="Calibri"/>
                <w:b/>
                <w:bCs/>
                <w:color w:val="000000"/>
                <w:sz w:val="22"/>
              </w:rPr>
            </w:pPr>
            <w:r w:rsidRPr="005B72DB">
              <w:rPr>
                <w:rFonts w:cs="Calibri"/>
                <w:b/>
                <w:bCs/>
                <w:color w:val="000000"/>
                <w:sz w:val="22"/>
              </w:rPr>
              <w:t>Total</w:t>
            </w:r>
          </w:p>
        </w:tc>
        <w:tc>
          <w:tcPr>
            <w:tcW w:w="1237" w:type="dxa"/>
            <w:tcBorders>
              <w:top w:val="nil"/>
              <w:left w:val="nil"/>
              <w:bottom w:val="single" w:sz="4" w:space="0" w:color="auto"/>
              <w:right w:val="single" w:sz="4" w:space="0" w:color="auto"/>
            </w:tcBorders>
            <w:shd w:val="clear" w:color="auto" w:fill="auto"/>
            <w:noWrap/>
            <w:vAlign w:val="center"/>
          </w:tcPr>
          <w:p w14:paraId="05AB77C0" w14:textId="77777777" w:rsidR="002373D2" w:rsidRPr="005B72DB" w:rsidRDefault="002373D2" w:rsidP="002A1DD1">
            <w:pPr>
              <w:spacing w:line="240" w:lineRule="auto"/>
              <w:jc w:val="center"/>
              <w:rPr>
                <w:color w:val="000000"/>
                <w:sz w:val="22"/>
              </w:rPr>
            </w:pPr>
            <w:r w:rsidRPr="005B72DB">
              <w:rPr>
                <w:color w:val="000000"/>
                <w:sz w:val="22"/>
              </w:rPr>
              <w:t xml:space="preserve">5.14 </w:t>
            </w:r>
          </w:p>
        </w:tc>
        <w:tc>
          <w:tcPr>
            <w:tcW w:w="1237" w:type="dxa"/>
            <w:tcBorders>
              <w:top w:val="nil"/>
              <w:left w:val="nil"/>
              <w:bottom w:val="single" w:sz="4" w:space="0" w:color="auto"/>
              <w:right w:val="single" w:sz="4" w:space="0" w:color="auto"/>
            </w:tcBorders>
            <w:shd w:val="clear" w:color="auto" w:fill="auto"/>
            <w:noWrap/>
            <w:vAlign w:val="bottom"/>
          </w:tcPr>
          <w:p w14:paraId="1E1DC23D" w14:textId="77777777" w:rsidR="002373D2" w:rsidRPr="005B72DB" w:rsidRDefault="002373D2" w:rsidP="002A1DD1">
            <w:pPr>
              <w:spacing w:line="240" w:lineRule="auto"/>
              <w:jc w:val="center"/>
              <w:rPr>
                <w:color w:val="000000"/>
                <w:sz w:val="22"/>
              </w:rPr>
            </w:pPr>
            <w:r w:rsidRPr="005B72DB">
              <w:rPr>
                <w:color w:val="000000"/>
                <w:sz w:val="22"/>
              </w:rPr>
              <w:t>100%</w:t>
            </w:r>
          </w:p>
        </w:tc>
        <w:tc>
          <w:tcPr>
            <w:tcW w:w="1238" w:type="dxa"/>
            <w:tcBorders>
              <w:top w:val="nil"/>
              <w:left w:val="nil"/>
              <w:bottom w:val="single" w:sz="4" w:space="0" w:color="auto"/>
              <w:right w:val="single" w:sz="4" w:space="0" w:color="auto"/>
            </w:tcBorders>
            <w:shd w:val="clear" w:color="auto" w:fill="auto"/>
            <w:noWrap/>
            <w:vAlign w:val="center"/>
          </w:tcPr>
          <w:p w14:paraId="76B16E8E" w14:textId="77777777" w:rsidR="002373D2" w:rsidRPr="005B72DB" w:rsidRDefault="002373D2" w:rsidP="002A1DD1">
            <w:pPr>
              <w:spacing w:line="240" w:lineRule="auto"/>
              <w:jc w:val="center"/>
              <w:rPr>
                <w:color w:val="000000"/>
                <w:sz w:val="22"/>
              </w:rPr>
            </w:pPr>
            <w:r w:rsidRPr="005B72DB">
              <w:rPr>
                <w:color w:val="000000"/>
                <w:sz w:val="22"/>
              </w:rPr>
              <w:t xml:space="preserve">5.14 </w:t>
            </w:r>
          </w:p>
        </w:tc>
        <w:tc>
          <w:tcPr>
            <w:tcW w:w="1237" w:type="dxa"/>
            <w:tcBorders>
              <w:top w:val="nil"/>
              <w:left w:val="nil"/>
              <w:bottom w:val="single" w:sz="4" w:space="0" w:color="auto"/>
              <w:right w:val="single" w:sz="4" w:space="0" w:color="auto"/>
            </w:tcBorders>
            <w:shd w:val="clear" w:color="auto" w:fill="auto"/>
            <w:noWrap/>
            <w:vAlign w:val="bottom"/>
          </w:tcPr>
          <w:p w14:paraId="0FEB39F8" w14:textId="77777777" w:rsidR="002373D2" w:rsidRPr="005B72DB" w:rsidRDefault="002373D2" w:rsidP="002A1DD1">
            <w:pPr>
              <w:spacing w:line="240" w:lineRule="auto"/>
              <w:jc w:val="center"/>
              <w:rPr>
                <w:color w:val="000000"/>
                <w:sz w:val="22"/>
              </w:rPr>
            </w:pPr>
            <w:r w:rsidRPr="005B72DB">
              <w:rPr>
                <w:color w:val="000000"/>
                <w:sz w:val="22"/>
              </w:rPr>
              <w:t>100%</w:t>
            </w:r>
          </w:p>
        </w:tc>
        <w:tc>
          <w:tcPr>
            <w:tcW w:w="1237" w:type="dxa"/>
            <w:tcBorders>
              <w:top w:val="nil"/>
              <w:left w:val="nil"/>
              <w:bottom w:val="single" w:sz="4" w:space="0" w:color="auto"/>
              <w:right w:val="single" w:sz="4" w:space="0" w:color="auto"/>
            </w:tcBorders>
            <w:shd w:val="clear" w:color="auto" w:fill="auto"/>
            <w:noWrap/>
            <w:vAlign w:val="center"/>
          </w:tcPr>
          <w:p w14:paraId="4E1BA6A6" w14:textId="77777777" w:rsidR="002373D2" w:rsidRPr="005B72DB" w:rsidRDefault="002373D2" w:rsidP="002A1DD1">
            <w:pPr>
              <w:spacing w:line="240" w:lineRule="auto"/>
              <w:jc w:val="center"/>
              <w:rPr>
                <w:color w:val="000000"/>
                <w:sz w:val="22"/>
              </w:rPr>
            </w:pPr>
            <w:r w:rsidRPr="005B72DB">
              <w:rPr>
                <w:color w:val="000000"/>
                <w:sz w:val="22"/>
              </w:rPr>
              <w:t xml:space="preserve">5.14 </w:t>
            </w:r>
          </w:p>
        </w:tc>
        <w:tc>
          <w:tcPr>
            <w:tcW w:w="1238" w:type="dxa"/>
            <w:tcBorders>
              <w:top w:val="nil"/>
              <w:left w:val="nil"/>
              <w:bottom w:val="single" w:sz="4" w:space="0" w:color="auto"/>
              <w:right w:val="single" w:sz="4" w:space="0" w:color="auto"/>
            </w:tcBorders>
            <w:shd w:val="clear" w:color="auto" w:fill="auto"/>
            <w:noWrap/>
            <w:vAlign w:val="bottom"/>
          </w:tcPr>
          <w:p w14:paraId="15D51A0E" w14:textId="77777777" w:rsidR="002373D2" w:rsidRPr="005B72DB" w:rsidRDefault="002373D2" w:rsidP="002A1DD1">
            <w:pPr>
              <w:spacing w:line="240" w:lineRule="auto"/>
              <w:jc w:val="center"/>
              <w:rPr>
                <w:color w:val="000000"/>
                <w:sz w:val="22"/>
              </w:rPr>
            </w:pPr>
            <w:r w:rsidRPr="005B72DB">
              <w:rPr>
                <w:color w:val="000000"/>
                <w:sz w:val="22"/>
              </w:rPr>
              <w:t>100%</w:t>
            </w:r>
          </w:p>
        </w:tc>
      </w:tr>
    </w:tbl>
    <w:p w14:paraId="01731ECC" w14:textId="257C8BE2" w:rsidR="002373D2" w:rsidRPr="00C878C7" w:rsidRDefault="007B5959" w:rsidP="002A1DD1">
      <w:pPr>
        <w:pStyle w:val="Caption"/>
      </w:pPr>
      <w:bookmarkStart w:id="1078" w:name="_Ref26570948"/>
      <w:bookmarkStart w:id="1079" w:name="_Toc46053601"/>
      <w:bookmarkStart w:id="1080" w:name="_Toc46093850"/>
      <w:bookmarkStart w:id="1081" w:name="_Toc66698817"/>
      <w:r>
        <w:t>Table</w:t>
      </w:r>
      <w:r w:rsidR="002A1DD1" w:rsidRPr="005B72DB">
        <w:t xml:space="preserve"> </w:t>
      </w:r>
      <w:r w:rsidR="000306D9">
        <w:fldChar w:fldCharType="begin"/>
      </w:r>
      <w:r w:rsidR="000306D9">
        <w:instrText xml:space="preserve"> STYLEREF 1 \s </w:instrText>
      </w:r>
      <w:r w:rsidR="000306D9">
        <w:fldChar w:fldCharType="separate"/>
      </w:r>
      <w:r w:rsidR="0005064B">
        <w:rPr>
          <w:noProof/>
        </w:rPr>
        <w:t>7</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10</w:t>
      </w:r>
      <w:r w:rsidR="000306D9">
        <w:rPr>
          <w:noProof/>
        </w:rPr>
        <w:fldChar w:fldCharType="end"/>
      </w:r>
      <w:bookmarkEnd w:id="1078"/>
      <w:r w:rsidR="004D6792">
        <w:t>:</w:t>
      </w:r>
      <w:r w:rsidR="002A1DD1" w:rsidRPr="005B72DB">
        <w:t xml:space="preserve"> Cost Allocation of UCC in Outsourcing Strategy with carriers cost in €2.64/</w:t>
      </w:r>
      <w:proofErr w:type="gramStart"/>
      <w:r w:rsidR="002A1DD1" w:rsidRPr="005B72DB">
        <w:t>parcel</w:t>
      </w:r>
      <w:bookmarkEnd w:id="1079"/>
      <w:bookmarkEnd w:id="1080"/>
      <w:bookmarkEnd w:id="1081"/>
      <w:proofErr w:type="gramEnd"/>
    </w:p>
    <w:p w14:paraId="38712CC9" w14:textId="77777777" w:rsidR="002373D2" w:rsidRPr="005B72DB" w:rsidRDefault="002373D2" w:rsidP="002373D2">
      <w:pPr>
        <w:spacing w:line="360" w:lineRule="auto"/>
        <w:jc w:val="center"/>
        <w:rPr>
          <w:rFonts w:eastAsia="等线"/>
        </w:rPr>
      </w:pPr>
      <w:r w:rsidRPr="005B72DB">
        <w:rPr>
          <w:noProof/>
          <w:lang w:eastAsia="en-GB"/>
        </w:rPr>
        <w:lastRenderedPageBreak/>
        <w:drawing>
          <wp:inline distT="0" distB="0" distL="0" distR="0" wp14:anchorId="145CC44D" wp14:editId="1D5BF76D">
            <wp:extent cx="4320000" cy="2880000"/>
            <wp:effectExtent l="0" t="0" r="4445" b="15875"/>
            <wp:docPr id="10" name="图表 10">
              <a:extLst xmlns:a="http://schemas.openxmlformats.org/drawingml/2006/main">
                <a:ext uri="{FF2B5EF4-FFF2-40B4-BE49-F238E27FC236}">
                  <a16:creationId xmlns:a16="http://schemas.microsoft.com/office/drawing/2014/main" id="{B3D64535-ED71-4F10-B9B7-E55A85DF13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08DFD72A" w14:textId="2DFCE8F4" w:rsidR="002A1DD1" w:rsidRPr="00763F7C" w:rsidRDefault="002373D2" w:rsidP="00763F7C">
      <w:pPr>
        <w:pStyle w:val="Caption"/>
        <w:spacing w:before="0" w:after="0"/>
      </w:pPr>
      <w:bookmarkStart w:id="1082" w:name="_Ref32570661"/>
      <w:bookmarkStart w:id="1083" w:name="_Toc46053703"/>
      <w:bookmarkStart w:id="1084" w:name="_Toc66698734"/>
      <w:r w:rsidRPr="00763F7C">
        <w:t xml:space="preserve">Figure </w:t>
      </w:r>
      <w:r w:rsidR="000306D9">
        <w:fldChar w:fldCharType="begin"/>
      </w:r>
      <w:r w:rsidR="000306D9">
        <w:instrText xml:space="preserve"> STYLEREF 1 \s </w:instrText>
      </w:r>
      <w:r w:rsidR="000306D9">
        <w:fldChar w:fldCharType="separate"/>
      </w:r>
      <w:r w:rsidR="0005064B">
        <w:rPr>
          <w:noProof/>
        </w:rPr>
        <w:t>7</w:t>
      </w:r>
      <w:r w:rsidR="000306D9">
        <w:rPr>
          <w:noProof/>
        </w:rPr>
        <w:fldChar w:fldCharType="end"/>
      </w:r>
      <w:r w:rsidR="00632993">
        <w:noBreakHyphen/>
      </w:r>
      <w:r w:rsidR="000306D9">
        <w:fldChar w:fldCharType="begin"/>
      </w:r>
      <w:r w:rsidR="000306D9">
        <w:instrText xml:space="preserve"> SEQ Figure \* ARABIC \s 1 </w:instrText>
      </w:r>
      <w:r w:rsidR="000306D9">
        <w:fldChar w:fldCharType="separate"/>
      </w:r>
      <w:r w:rsidR="0005064B">
        <w:rPr>
          <w:noProof/>
        </w:rPr>
        <w:t>4</w:t>
      </w:r>
      <w:r w:rsidR="000306D9">
        <w:rPr>
          <w:noProof/>
        </w:rPr>
        <w:fldChar w:fldCharType="end"/>
      </w:r>
      <w:bookmarkEnd w:id="1082"/>
      <w:r w:rsidR="00494842">
        <w:t>:</w:t>
      </w:r>
      <w:r w:rsidRPr="00763F7C">
        <w:t xml:space="preserve"> UCC cost allocations under different responsibility rules</w:t>
      </w:r>
      <w:bookmarkEnd w:id="1083"/>
      <w:bookmarkEnd w:id="1084"/>
      <w:r w:rsidR="002A1DD1" w:rsidRPr="00763F7C">
        <w:t xml:space="preserve"> </w:t>
      </w:r>
    </w:p>
    <w:p w14:paraId="68CFE918" w14:textId="7685DF99" w:rsidR="002373D2" w:rsidRPr="00763F7C" w:rsidRDefault="002373D2" w:rsidP="007548C6">
      <w:pPr>
        <w:pStyle w:val="Caption"/>
        <w:spacing w:before="0"/>
      </w:pPr>
      <w:r w:rsidRPr="00763F7C">
        <w:t>based on variations of the carrier’s cost</w:t>
      </w:r>
    </w:p>
    <w:p w14:paraId="0B2E2D5E" w14:textId="77777777" w:rsidR="002373D2" w:rsidRPr="005B72DB" w:rsidRDefault="002373D2" w:rsidP="002373D2">
      <w:pPr>
        <w:spacing w:line="360" w:lineRule="auto"/>
        <w:jc w:val="center"/>
        <w:rPr>
          <w:i/>
        </w:rPr>
      </w:pPr>
      <w:r w:rsidRPr="005B72DB">
        <w:rPr>
          <w:noProof/>
          <w:lang w:eastAsia="en-GB"/>
        </w:rPr>
        <w:drawing>
          <wp:inline distT="0" distB="0" distL="0" distR="0" wp14:anchorId="43B7811A" wp14:editId="5E81C7F7">
            <wp:extent cx="4320000" cy="2880000"/>
            <wp:effectExtent l="0" t="0" r="4445" b="15875"/>
            <wp:docPr id="18" name="图表 5">
              <a:extLst xmlns:a="http://schemas.openxmlformats.org/drawingml/2006/main">
                <a:ext uri="{FF2B5EF4-FFF2-40B4-BE49-F238E27FC236}">
                  <a16:creationId xmlns:a16="http://schemas.microsoft.com/office/drawing/2014/main" id="{BA6A0C43-2DC8-4383-9602-22BE21DEFB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5D24FD55" w14:textId="11AEB320" w:rsidR="002373D2" w:rsidRPr="00763F7C" w:rsidRDefault="002373D2" w:rsidP="00763F7C">
      <w:pPr>
        <w:pStyle w:val="Caption"/>
      </w:pPr>
      <w:bookmarkStart w:id="1085" w:name="_Ref32264759"/>
      <w:bookmarkStart w:id="1086" w:name="_Toc46053704"/>
      <w:bookmarkStart w:id="1087" w:name="_Toc66698735"/>
      <w:r w:rsidRPr="00763F7C">
        <w:t xml:space="preserve">Figure </w:t>
      </w:r>
      <w:r w:rsidR="000306D9">
        <w:fldChar w:fldCharType="begin"/>
      </w:r>
      <w:r w:rsidR="000306D9">
        <w:instrText xml:space="preserve"> STYLEREF 1 \s </w:instrText>
      </w:r>
      <w:r w:rsidR="000306D9">
        <w:fldChar w:fldCharType="separate"/>
      </w:r>
      <w:r w:rsidR="0005064B">
        <w:rPr>
          <w:noProof/>
        </w:rPr>
        <w:t>7</w:t>
      </w:r>
      <w:r w:rsidR="000306D9">
        <w:rPr>
          <w:noProof/>
        </w:rPr>
        <w:fldChar w:fldCharType="end"/>
      </w:r>
      <w:r w:rsidR="00632993">
        <w:noBreakHyphen/>
      </w:r>
      <w:r w:rsidR="000306D9">
        <w:fldChar w:fldCharType="begin"/>
      </w:r>
      <w:r w:rsidR="000306D9">
        <w:instrText xml:space="preserve"> SEQ Figure \* ARABIC \s 1 </w:instrText>
      </w:r>
      <w:r w:rsidR="000306D9">
        <w:fldChar w:fldCharType="separate"/>
      </w:r>
      <w:r w:rsidR="0005064B">
        <w:rPr>
          <w:noProof/>
        </w:rPr>
        <w:t>5</w:t>
      </w:r>
      <w:r w:rsidR="000306D9">
        <w:rPr>
          <w:noProof/>
        </w:rPr>
        <w:fldChar w:fldCharType="end"/>
      </w:r>
      <w:bookmarkEnd w:id="1085"/>
      <w:r w:rsidR="00494842">
        <w:t>:</w:t>
      </w:r>
      <w:r w:rsidRPr="00763F7C">
        <w:t xml:space="preserve"> LHC cost allocations under different responsibility rules </w:t>
      </w:r>
      <w:r w:rsidRPr="00763F7C">
        <w:br/>
        <w:t xml:space="preserve">based on variations of the carrier’s </w:t>
      </w:r>
      <w:proofErr w:type="gramStart"/>
      <w:r w:rsidRPr="00763F7C">
        <w:t>cost</w:t>
      </w:r>
      <w:bookmarkEnd w:id="1086"/>
      <w:bookmarkEnd w:id="1087"/>
      <w:proofErr w:type="gramEnd"/>
    </w:p>
    <w:tbl>
      <w:tblPr>
        <w:tblW w:w="8979" w:type="dxa"/>
        <w:jc w:val="center"/>
        <w:tblLayout w:type="fixed"/>
        <w:tblLook w:val="04A0" w:firstRow="1" w:lastRow="0" w:firstColumn="1" w:lastColumn="0" w:noHBand="0" w:noVBand="1"/>
      </w:tblPr>
      <w:tblGrid>
        <w:gridCol w:w="1555"/>
        <w:gridCol w:w="1237"/>
        <w:gridCol w:w="1237"/>
        <w:gridCol w:w="1238"/>
        <w:gridCol w:w="1237"/>
        <w:gridCol w:w="1237"/>
        <w:gridCol w:w="1238"/>
      </w:tblGrid>
      <w:tr w:rsidR="002373D2" w:rsidRPr="005B72DB" w14:paraId="0F9B3B77" w14:textId="77777777" w:rsidTr="0051420F">
        <w:trPr>
          <w:trHeight w:val="285"/>
          <w:jc w:val="center"/>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179465" w14:textId="77777777" w:rsidR="002373D2" w:rsidRPr="005B72DB" w:rsidRDefault="002373D2" w:rsidP="007548C6">
            <w:pPr>
              <w:spacing w:line="240" w:lineRule="auto"/>
              <w:jc w:val="left"/>
              <w:rPr>
                <w:rFonts w:cs="Calibri"/>
                <w:color w:val="000000"/>
                <w:sz w:val="22"/>
              </w:rPr>
            </w:pPr>
            <w:r w:rsidRPr="005B72DB">
              <w:rPr>
                <w:rFonts w:cs="Calibri"/>
                <w:color w:val="000000"/>
                <w:sz w:val="22"/>
              </w:rPr>
              <w:t> </w:t>
            </w:r>
          </w:p>
        </w:tc>
        <w:tc>
          <w:tcPr>
            <w:tcW w:w="1237" w:type="dxa"/>
            <w:tcBorders>
              <w:top w:val="single" w:sz="4" w:space="0" w:color="auto"/>
              <w:left w:val="nil"/>
              <w:bottom w:val="single" w:sz="4" w:space="0" w:color="auto"/>
              <w:right w:val="single" w:sz="4" w:space="0" w:color="auto"/>
            </w:tcBorders>
            <w:shd w:val="clear" w:color="auto" w:fill="auto"/>
            <w:noWrap/>
            <w:vAlign w:val="center"/>
            <w:hideMark/>
          </w:tcPr>
          <w:p w14:paraId="76A4E3D2" w14:textId="77777777" w:rsidR="002373D2" w:rsidRPr="005B72DB" w:rsidRDefault="002373D2" w:rsidP="007548C6">
            <w:pPr>
              <w:spacing w:line="240" w:lineRule="auto"/>
              <w:jc w:val="center"/>
              <w:rPr>
                <w:rFonts w:cs="Calibri"/>
                <w:b/>
                <w:bCs/>
                <w:color w:val="000000"/>
                <w:sz w:val="22"/>
              </w:rPr>
            </w:pPr>
            <w:r w:rsidRPr="005B72DB">
              <w:rPr>
                <w:rFonts w:cs="Calibri"/>
                <w:b/>
                <w:bCs/>
                <w:color w:val="000000"/>
                <w:sz w:val="22"/>
              </w:rPr>
              <w:t>LRS (€)</w:t>
            </w:r>
          </w:p>
        </w:tc>
        <w:tc>
          <w:tcPr>
            <w:tcW w:w="1237" w:type="dxa"/>
            <w:tcBorders>
              <w:top w:val="single" w:sz="4" w:space="0" w:color="auto"/>
              <w:left w:val="nil"/>
              <w:bottom w:val="single" w:sz="4" w:space="0" w:color="auto"/>
              <w:right w:val="single" w:sz="4" w:space="0" w:color="auto"/>
            </w:tcBorders>
            <w:shd w:val="clear" w:color="auto" w:fill="auto"/>
            <w:noWrap/>
            <w:vAlign w:val="center"/>
            <w:hideMark/>
          </w:tcPr>
          <w:p w14:paraId="2EC4D651" w14:textId="77777777" w:rsidR="002373D2" w:rsidRPr="005B72DB" w:rsidRDefault="002373D2" w:rsidP="007548C6">
            <w:pPr>
              <w:spacing w:line="240" w:lineRule="auto"/>
              <w:jc w:val="center"/>
              <w:rPr>
                <w:rFonts w:cs="Calibri"/>
                <w:b/>
                <w:bCs/>
                <w:color w:val="000000"/>
                <w:sz w:val="22"/>
              </w:rPr>
            </w:pPr>
            <w:r w:rsidRPr="005B72DB">
              <w:rPr>
                <w:rFonts w:cs="Calibri"/>
                <w:b/>
                <w:bCs/>
                <w:color w:val="000000"/>
                <w:sz w:val="22"/>
              </w:rPr>
              <w:t>LRS (%)</w:t>
            </w:r>
          </w:p>
        </w:tc>
        <w:tc>
          <w:tcPr>
            <w:tcW w:w="1238" w:type="dxa"/>
            <w:tcBorders>
              <w:top w:val="single" w:sz="4" w:space="0" w:color="auto"/>
              <w:left w:val="nil"/>
              <w:bottom w:val="single" w:sz="4" w:space="0" w:color="auto"/>
              <w:right w:val="single" w:sz="4" w:space="0" w:color="auto"/>
            </w:tcBorders>
            <w:shd w:val="clear" w:color="auto" w:fill="auto"/>
            <w:noWrap/>
            <w:vAlign w:val="center"/>
            <w:hideMark/>
          </w:tcPr>
          <w:p w14:paraId="505EB1F9" w14:textId="77777777" w:rsidR="002373D2" w:rsidRPr="005B72DB" w:rsidRDefault="002373D2" w:rsidP="007548C6">
            <w:pPr>
              <w:spacing w:line="240" w:lineRule="auto"/>
              <w:jc w:val="center"/>
              <w:rPr>
                <w:rFonts w:cs="Calibri"/>
                <w:b/>
                <w:bCs/>
                <w:color w:val="000000"/>
                <w:sz w:val="22"/>
              </w:rPr>
            </w:pPr>
            <w:r w:rsidRPr="005B72DB">
              <w:rPr>
                <w:rFonts w:cs="Calibri"/>
                <w:b/>
                <w:bCs/>
                <w:color w:val="000000"/>
                <w:sz w:val="22"/>
              </w:rPr>
              <w:t>UES (€)</w:t>
            </w:r>
          </w:p>
        </w:tc>
        <w:tc>
          <w:tcPr>
            <w:tcW w:w="1237" w:type="dxa"/>
            <w:tcBorders>
              <w:top w:val="single" w:sz="4" w:space="0" w:color="auto"/>
              <w:left w:val="nil"/>
              <w:bottom w:val="single" w:sz="4" w:space="0" w:color="auto"/>
              <w:right w:val="single" w:sz="4" w:space="0" w:color="auto"/>
            </w:tcBorders>
            <w:shd w:val="clear" w:color="auto" w:fill="auto"/>
            <w:noWrap/>
            <w:vAlign w:val="center"/>
            <w:hideMark/>
          </w:tcPr>
          <w:p w14:paraId="5BDE8169" w14:textId="77777777" w:rsidR="002373D2" w:rsidRPr="005B72DB" w:rsidRDefault="002373D2" w:rsidP="007548C6">
            <w:pPr>
              <w:spacing w:line="240" w:lineRule="auto"/>
              <w:jc w:val="center"/>
              <w:rPr>
                <w:rFonts w:cs="Calibri"/>
                <w:b/>
                <w:bCs/>
                <w:color w:val="000000"/>
                <w:sz w:val="22"/>
              </w:rPr>
            </w:pPr>
            <w:r w:rsidRPr="005B72DB">
              <w:rPr>
                <w:rFonts w:cs="Calibri"/>
                <w:b/>
                <w:bCs/>
                <w:color w:val="000000"/>
                <w:sz w:val="22"/>
              </w:rPr>
              <w:t>UES (%)</w:t>
            </w:r>
          </w:p>
        </w:tc>
        <w:tc>
          <w:tcPr>
            <w:tcW w:w="1237" w:type="dxa"/>
            <w:tcBorders>
              <w:top w:val="single" w:sz="4" w:space="0" w:color="auto"/>
              <w:left w:val="nil"/>
              <w:bottom w:val="single" w:sz="4" w:space="0" w:color="auto"/>
              <w:right w:val="single" w:sz="4" w:space="0" w:color="auto"/>
            </w:tcBorders>
            <w:shd w:val="clear" w:color="auto" w:fill="auto"/>
            <w:noWrap/>
            <w:vAlign w:val="center"/>
            <w:hideMark/>
          </w:tcPr>
          <w:p w14:paraId="02177ED4" w14:textId="77777777" w:rsidR="002373D2" w:rsidRPr="005B72DB" w:rsidRDefault="002373D2" w:rsidP="007548C6">
            <w:pPr>
              <w:spacing w:line="240" w:lineRule="auto"/>
              <w:jc w:val="center"/>
              <w:rPr>
                <w:rFonts w:cs="Calibri"/>
                <w:b/>
                <w:bCs/>
                <w:color w:val="000000"/>
                <w:sz w:val="22"/>
              </w:rPr>
            </w:pPr>
            <w:r w:rsidRPr="005B72DB">
              <w:rPr>
                <w:rFonts w:cs="Calibri"/>
                <w:b/>
                <w:bCs/>
                <w:color w:val="000000"/>
                <w:sz w:val="22"/>
              </w:rPr>
              <w:t>DES (€)</w:t>
            </w:r>
          </w:p>
        </w:tc>
        <w:tc>
          <w:tcPr>
            <w:tcW w:w="1238" w:type="dxa"/>
            <w:tcBorders>
              <w:top w:val="single" w:sz="4" w:space="0" w:color="auto"/>
              <w:left w:val="nil"/>
              <w:bottom w:val="single" w:sz="4" w:space="0" w:color="auto"/>
              <w:right w:val="single" w:sz="4" w:space="0" w:color="auto"/>
            </w:tcBorders>
            <w:shd w:val="clear" w:color="auto" w:fill="auto"/>
            <w:noWrap/>
            <w:vAlign w:val="center"/>
            <w:hideMark/>
          </w:tcPr>
          <w:p w14:paraId="5A692AC9" w14:textId="77777777" w:rsidR="002373D2" w:rsidRPr="005B72DB" w:rsidRDefault="002373D2" w:rsidP="007548C6">
            <w:pPr>
              <w:spacing w:line="240" w:lineRule="auto"/>
              <w:jc w:val="center"/>
              <w:rPr>
                <w:rFonts w:cs="Calibri"/>
                <w:b/>
                <w:bCs/>
                <w:color w:val="000000"/>
                <w:sz w:val="22"/>
              </w:rPr>
            </w:pPr>
            <w:r w:rsidRPr="005B72DB">
              <w:rPr>
                <w:rFonts w:cs="Calibri"/>
                <w:b/>
                <w:bCs/>
                <w:color w:val="000000"/>
                <w:sz w:val="22"/>
              </w:rPr>
              <w:t>DES (%)</w:t>
            </w:r>
          </w:p>
        </w:tc>
      </w:tr>
      <w:tr w:rsidR="002373D2" w:rsidRPr="005B72DB" w14:paraId="1983F690" w14:textId="77777777" w:rsidTr="0051420F">
        <w:trPr>
          <w:trHeight w:val="285"/>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144F190" w14:textId="77777777" w:rsidR="002373D2" w:rsidRPr="005B72DB" w:rsidRDefault="002373D2" w:rsidP="007548C6">
            <w:pPr>
              <w:spacing w:line="240" w:lineRule="auto"/>
              <w:jc w:val="left"/>
              <w:rPr>
                <w:rFonts w:cs="Calibri"/>
                <w:b/>
                <w:bCs/>
                <w:color w:val="000000"/>
                <w:sz w:val="22"/>
              </w:rPr>
            </w:pPr>
            <w:r w:rsidRPr="005B72DB">
              <w:rPr>
                <w:rFonts w:cs="Calibri"/>
                <w:b/>
                <w:bCs/>
                <w:color w:val="000000"/>
                <w:sz w:val="22"/>
              </w:rPr>
              <w:t>Supplier</w:t>
            </w:r>
          </w:p>
        </w:tc>
        <w:tc>
          <w:tcPr>
            <w:tcW w:w="1237" w:type="dxa"/>
            <w:tcBorders>
              <w:top w:val="nil"/>
              <w:left w:val="nil"/>
              <w:bottom w:val="single" w:sz="4" w:space="0" w:color="auto"/>
              <w:right w:val="single" w:sz="4" w:space="0" w:color="auto"/>
            </w:tcBorders>
            <w:shd w:val="clear" w:color="auto" w:fill="auto"/>
            <w:noWrap/>
          </w:tcPr>
          <w:p w14:paraId="5CF3F707" w14:textId="77777777" w:rsidR="002373D2" w:rsidRPr="005B72DB" w:rsidRDefault="002373D2" w:rsidP="007548C6">
            <w:pPr>
              <w:spacing w:line="240" w:lineRule="auto"/>
              <w:jc w:val="center"/>
              <w:rPr>
                <w:color w:val="000000"/>
                <w:sz w:val="22"/>
              </w:rPr>
            </w:pPr>
            <w:r w:rsidRPr="005B72DB">
              <w:rPr>
                <w:color w:val="000000"/>
                <w:sz w:val="22"/>
              </w:rPr>
              <w:t xml:space="preserve">0.00 </w:t>
            </w:r>
          </w:p>
        </w:tc>
        <w:tc>
          <w:tcPr>
            <w:tcW w:w="1237" w:type="dxa"/>
            <w:tcBorders>
              <w:top w:val="nil"/>
              <w:left w:val="nil"/>
              <w:bottom w:val="single" w:sz="4" w:space="0" w:color="auto"/>
              <w:right w:val="single" w:sz="4" w:space="0" w:color="auto"/>
            </w:tcBorders>
            <w:shd w:val="clear" w:color="auto" w:fill="auto"/>
            <w:noWrap/>
          </w:tcPr>
          <w:p w14:paraId="1658BFF5" w14:textId="77777777" w:rsidR="002373D2" w:rsidRPr="005B72DB" w:rsidRDefault="002373D2" w:rsidP="007548C6">
            <w:pPr>
              <w:spacing w:line="240" w:lineRule="auto"/>
              <w:jc w:val="center"/>
              <w:rPr>
                <w:color w:val="000000"/>
                <w:sz w:val="22"/>
              </w:rPr>
            </w:pPr>
            <w:r w:rsidRPr="005B72DB">
              <w:rPr>
                <w:color w:val="000000"/>
                <w:sz w:val="22"/>
              </w:rPr>
              <w:t>0.00%</w:t>
            </w:r>
          </w:p>
        </w:tc>
        <w:tc>
          <w:tcPr>
            <w:tcW w:w="1238" w:type="dxa"/>
            <w:tcBorders>
              <w:top w:val="nil"/>
              <w:left w:val="nil"/>
              <w:bottom w:val="single" w:sz="4" w:space="0" w:color="auto"/>
              <w:right w:val="single" w:sz="4" w:space="0" w:color="auto"/>
            </w:tcBorders>
            <w:shd w:val="clear" w:color="auto" w:fill="auto"/>
            <w:noWrap/>
          </w:tcPr>
          <w:p w14:paraId="65C8C982" w14:textId="77777777" w:rsidR="002373D2" w:rsidRPr="005B72DB" w:rsidRDefault="002373D2" w:rsidP="007548C6">
            <w:pPr>
              <w:spacing w:line="240" w:lineRule="auto"/>
              <w:jc w:val="center"/>
              <w:rPr>
                <w:color w:val="000000"/>
                <w:sz w:val="22"/>
              </w:rPr>
            </w:pPr>
            <w:r w:rsidRPr="005B72DB">
              <w:rPr>
                <w:color w:val="000000"/>
                <w:sz w:val="22"/>
              </w:rPr>
              <w:t xml:space="preserve">1.51 </w:t>
            </w:r>
          </w:p>
        </w:tc>
        <w:tc>
          <w:tcPr>
            <w:tcW w:w="1237" w:type="dxa"/>
            <w:tcBorders>
              <w:top w:val="nil"/>
              <w:left w:val="nil"/>
              <w:bottom w:val="single" w:sz="4" w:space="0" w:color="auto"/>
              <w:right w:val="single" w:sz="4" w:space="0" w:color="auto"/>
            </w:tcBorders>
            <w:shd w:val="clear" w:color="auto" w:fill="auto"/>
            <w:noWrap/>
          </w:tcPr>
          <w:p w14:paraId="62E76035" w14:textId="77777777" w:rsidR="002373D2" w:rsidRPr="005B72DB" w:rsidRDefault="002373D2" w:rsidP="007548C6">
            <w:pPr>
              <w:spacing w:line="240" w:lineRule="auto"/>
              <w:jc w:val="center"/>
              <w:rPr>
                <w:color w:val="000000"/>
                <w:sz w:val="22"/>
              </w:rPr>
            </w:pPr>
            <w:r w:rsidRPr="005B72DB">
              <w:rPr>
                <w:color w:val="000000"/>
                <w:sz w:val="22"/>
              </w:rPr>
              <w:t>35.95%</w:t>
            </w:r>
          </w:p>
        </w:tc>
        <w:tc>
          <w:tcPr>
            <w:tcW w:w="1237" w:type="dxa"/>
            <w:tcBorders>
              <w:top w:val="nil"/>
              <w:left w:val="nil"/>
              <w:bottom w:val="single" w:sz="4" w:space="0" w:color="auto"/>
              <w:right w:val="single" w:sz="4" w:space="0" w:color="auto"/>
            </w:tcBorders>
            <w:shd w:val="clear" w:color="auto" w:fill="auto"/>
            <w:noWrap/>
          </w:tcPr>
          <w:p w14:paraId="6162C53E" w14:textId="77777777" w:rsidR="002373D2" w:rsidRPr="005B72DB" w:rsidRDefault="002373D2" w:rsidP="007548C6">
            <w:pPr>
              <w:spacing w:line="240" w:lineRule="auto"/>
              <w:jc w:val="center"/>
              <w:rPr>
                <w:color w:val="000000"/>
                <w:sz w:val="22"/>
              </w:rPr>
            </w:pPr>
            <w:r w:rsidRPr="005B72DB">
              <w:rPr>
                <w:color w:val="000000"/>
                <w:sz w:val="22"/>
              </w:rPr>
              <w:t xml:space="preserve">0.00 </w:t>
            </w:r>
          </w:p>
        </w:tc>
        <w:tc>
          <w:tcPr>
            <w:tcW w:w="1238" w:type="dxa"/>
            <w:tcBorders>
              <w:top w:val="nil"/>
              <w:left w:val="nil"/>
              <w:bottom w:val="single" w:sz="4" w:space="0" w:color="auto"/>
              <w:right w:val="single" w:sz="4" w:space="0" w:color="auto"/>
            </w:tcBorders>
            <w:shd w:val="clear" w:color="auto" w:fill="auto"/>
            <w:noWrap/>
          </w:tcPr>
          <w:p w14:paraId="2535BC42" w14:textId="77777777" w:rsidR="002373D2" w:rsidRPr="005B72DB" w:rsidRDefault="002373D2" w:rsidP="007548C6">
            <w:pPr>
              <w:spacing w:line="240" w:lineRule="auto"/>
              <w:jc w:val="center"/>
              <w:rPr>
                <w:color w:val="000000"/>
                <w:sz w:val="22"/>
              </w:rPr>
            </w:pPr>
            <w:r w:rsidRPr="005B72DB">
              <w:rPr>
                <w:color w:val="000000"/>
                <w:sz w:val="22"/>
              </w:rPr>
              <w:t>0.00%</w:t>
            </w:r>
          </w:p>
        </w:tc>
      </w:tr>
      <w:tr w:rsidR="002373D2" w:rsidRPr="005B72DB" w14:paraId="25C3ADD2" w14:textId="77777777" w:rsidTr="0051420F">
        <w:trPr>
          <w:trHeight w:val="285"/>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7696A9D5" w14:textId="77777777" w:rsidR="002373D2" w:rsidRPr="005B72DB" w:rsidRDefault="002373D2" w:rsidP="007548C6">
            <w:pPr>
              <w:spacing w:line="240" w:lineRule="auto"/>
              <w:jc w:val="left"/>
              <w:rPr>
                <w:rFonts w:cs="Calibri"/>
                <w:b/>
                <w:bCs/>
                <w:color w:val="000000"/>
                <w:sz w:val="22"/>
              </w:rPr>
            </w:pPr>
            <w:r w:rsidRPr="005B72DB">
              <w:rPr>
                <w:rFonts w:cs="Calibri"/>
                <w:b/>
                <w:bCs/>
                <w:color w:val="000000"/>
                <w:sz w:val="22"/>
              </w:rPr>
              <w:t>LHC</w:t>
            </w:r>
          </w:p>
        </w:tc>
        <w:tc>
          <w:tcPr>
            <w:tcW w:w="1237" w:type="dxa"/>
            <w:tcBorders>
              <w:top w:val="nil"/>
              <w:left w:val="nil"/>
              <w:bottom w:val="single" w:sz="4" w:space="0" w:color="auto"/>
              <w:right w:val="single" w:sz="4" w:space="0" w:color="auto"/>
            </w:tcBorders>
            <w:shd w:val="clear" w:color="auto" w:fill="auto"/>
            <w:noWrap/>
          </w:tcPr>
          <w:p w14:paraId="0CFE4113" w14:textId="77777777" w:rsidR="002373D2" w:rsidRPr="005B72DB" w:rsidRDefault="002373D2" w:rsidP="007548C6">
            <w:pPr>
              <w:spacing w:line="240" w:lineRule="auto"/>
              <w:jc w:val="center"/>
              <w:rPr>
                <w:color w:val="000000"/>
                <w:sz w:val="22"/>
              </w:rPr>
            </w:pPr>
            <w:r w:rsidRPr="005B72DB">
              <w:rPr>
                <w:color w:val="000000"/>
                <w:sz w:val="22"/>
              </w:rPr>
              <w:t xml:space="preserve">1.51 </w:t>
            </w:r>
          </w:p>
        </w:tc>
        <w:tc>
          <w:tcPr>
            <w:tcW w:w="1237" w:type="dxa"/>
            <w:tcBorders>
              <w:top w:val="nil"/>
              <w:left w:val="nil"/>
              <w:bottom w:val="single" w:sz="4" w:space="0" w:color="auto"/>
              <w:right w:val="single" w:sz="4" w:space="0" w:color="auto"/>
            </w:tcBorders>
            <w:shd w:val="clear" w:color="auto" w:fill="auto"/>
            <w:noWrap/>
          </w:tcPr>
          <w:p w14:paraId="11133093" w14:textId="77777777" w:rsidR="002373D2" w:rsidRPr="005B72DB" w:rsidRDefault="002373D2" w:rsidP="007548C6">
            <w:pPr>
              <w:spacing w:line="240" w:lineRule="auto"/>
              <w:jc w:val="center"/>
              <w:rPr>
                <w:color w:val="000000"/>
                <w:sz w:val="22"/>
              </w:rPr>
            </w:pPr>
            <w:r w:rsidRPr="005B72DB">
              <w:rPr>
                <w:color w:val="000000"/>
                <w:sz w:val="22"/>
              </w:rPr>
              <w:t>35.95%</w:t>
            </w:r>
          </w:p>
        </w:tc>
        <w:tc>
          <w:tcPr>
            <w:tcW w:w="1238" w:type="dxa"/>
            <w:tcBorders>
              <w:top w:val="nil"/>
              <w:left w:val="nil"/>
              <w:bottom w:val="single" w:sz="4" w:space="0" w:color="auto"/>
              <w:right w:val="single" w:sz="4" w:space="0" w:color="auto"/>
            </w:tcBorders>
            <w:shd w:val="clear" w:color="auto" w:fill="auto"/>
            <w:noWrap/>
          </w:tcPr>
          <w:p w14:paraId="283B337F" w14:textId="77777777" w:rsidR="002373D2" w:rsidRPr="005B72DB" w:rsidRDefault="002373D2" w:rsidP="007548C6">
            <w:pPr>
              <w:spacing w:line="240" w:lineRule="auto"/>
              <w:jc w:val="center"/>
              <w:rPr>
                <w:color w:val="000000"/>
                <w:sz w:val="22"/>
              </w:rPr>
            </w:pPr>
            <w:r w:rsidRPr="005B72DB">
              <w:rPr>
                <w:color w:val="000000"/>
                <w:sz w:val="22"/>
              </w:rPr>
              <w:t xml:space="preserve">1.51 </w:t>
            </w:r>
          </w:p>
        </w:tc>
        <w:tc>
          <w:tcPr>
            <w:tcW w:w="1237" w:type="dxa"/>
            <w:tcBorders>
              <w:top w:val="nil"/>
              <w:left w:val="nil"/>
              <w:bottom w:val="single" w:sz="4" w:space="0" w:color="auto"/>
              <w:right w:val="single" w:sz="4" w:space="0" w:color="auto"/>
            </w:tcBorders>
            <w:shd w:val="clear" w:color="auto" w:fill="auto"/>
            <w:noWrap/>
          </w:tcPr>
          <w:p w14:paraId="02335C8B" w14:textId="77777777" w:rsidR="002373D2" w:rsidRPr="005B72DB" w:rsidRDefault="002373D2" w:rsidP="007548C6">
            <w:pPr>
              <w:spacing w:line="240" w:lineRule="auto"/>
              <w:jc w:val="center"/>
              <w:rPr>
                <w:color w:val="000000"/>
                <w:sz w:val="22"/>
              </w:rPr>
            </w:pPr>
            <w:r w:rsidRPr="005B72DB">
              <w:rPr>
                <w:color w:val="000000"/>
                <w:sz w:val="22"/>
              </w:rPr>
              <w:t>35.95%</w:t>
            </w:r>
          </w:p>
        </w:tc>
        <w:tc>
          <w:tcPr>
            <w:tcW w:w="1237" w:type="dxa"/>
            <w:tcBorders>
              <w:top w:val="nil"/>
              <w:left w:val="nil"/>
              <w:bottom w:val="single" w:sz="4" w:space="0" w:color="auto"/>
              <w:right w:val="single" w:sz="4" w:space="0" w:color="auto"/>
            </w:tcBorders>
            <w:shd w:val="clear" w:color="auto" w:fill="auto"/>
            <w:noWrap/>
          </w:tcPr>
          <w:p w14:paraId="0771E5F7" w14:textId="77777777" w:rsidR="002373D2" w:rsidRPr="005B72DB" w:rsidRDefault="002373D2" w:rsidP="007548C6">
            <w:pPr>
              <w:spacing w:line="240" w:lineRule="auto"/>
              <w:jc w:val="center"/>
              <w:rPr>
                <w:color w:val="000000"/>
                <w:sz w:val="22"/>
              </w:rPr>
            </w:pPr>
            <w:r w:rsidRPr="005B72DB">
              <w:rPr>
                <w:color w:val="000000"/>
                <w:sz w:val="22"/>
              </w:rPr>
              <w:t xml:space="preserve">0.38 </w:t>
            </w:r>
          </w:p>
        </w:tc>
        <w:tc>
          <w:tcPr>
            <w:tcW w:w="1238" w:type="dxa"/>
            <w:tcBorders>
              <w:top w:val="nil"/>
              <w:left w:val="nil"/>
              <w:bottom w:val="single" w:sz="4" w:space="0" w:color="auto"/>
              <w:right w:val="single" w:sz="4" w:space="0" w:color="auto"/>
            </w:tcBorders>
            <w:shd w:val="clear" w:color="auto" w:fill="auto"/>
            <w:noWrap/>
          </w:tcPr>
          <w:p w14:paraId="378FE151" w14:textId="77777777" w:rsidR="002373D2" w:rsidRPr="005B72DB" w:rsidRDefault="002373D2" w:rsidP="007548C6">
            <w:pPr>
              <w:spacing w:line="240" w:lineRule="auto"/>
              <w:jc w:val="center"/>
              <w:rPr>
                <w:color w:val="000000"/>
                <w:sz w:val="22"/>
              </w:rPr>
            </w:pPr>
            <w:r w:rsidRPr="005B72DB">
              <w:rPr>
                <w:color w:val="000000"/>
                <w:sz w:val="22"/>
              </w:rPr>
              <w:t>8.99%</w:t>
            </w:r>
          </w:p>
        </w:tc>
      </w:tr>
      <w:tr w:rsidR="002373D2" w:rsidRPr="005B72DB" w14:paraId="7581C92D" w14:textId="77777777" w:rsidTr="0051420F">
        <w:trPr>
          <w:trHeight w:val="285"/>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EF00DD4" w14:textId="77777777" w:rsidR="002373D2" w:rsidRPr="005B72DB" w:rsidRDefault="002373D2" w:rsidP="007548C6">
            <w:pPr>
              <w:spacing w:line="240" w:lineRule="auto"/>
              <w:jc w:val="left"/>
              <w:rPr>
                <w:rFonts w:cs="Calibri"/>
                <w:b/>
                <w:bCs/>
                <w:color w:val="000000"/>
                <w:sz w:val="22"/>
              </w:rPr>
            </w:pPr>
            <w:r w:rsidRPr="005B72DB">
              <w:rPr>
                <w:rFonts w:cs="Calibri"/>
                <w:b/>
                <w:bCs/>
                <w:color w:val="000000"/>
                <w:sz w:val="22"/>
              </w:rPr>
              <w:t>UCC</w:t>
            </w:r>
          </w:p>
        </w:tc>
        <w:tc>
          <w:tcPr>
            <w:tcW w:w="1237" w:type="dxa"/>
            <w:tcBorders>
              <w:top w:val="nil"/>
              <w:left w:val="nil"/>
              <w:bottom w:val="single" w:sz="4" w:space="0" w:color="auto"/>
              <w:right w:val="single" w:sz="4" w:space="0" w:color="auto"/>
            </w:tcBorders>
            <w:shd w:val="clear" w:color="auto" w:fill="auto"/>
            <w:noWrap/>
          </w:tcPr>
          <w:p w14:paraId="3A4F753A" w14:textId="77777777" w:rsidR="002373D2" w:rsidRPr="005B72DB" w:rsidRDefault="002373D2" w:rsidP="007548C6">
            <w:pPr>
              <w:spacing w:line="240" w:lineRule="auto"/>
              <w:jc w:val="center"/>
              <w:rPr>
                <w:color w:val="000000"/>
                <w:sz w:val="22"/>
              </w:rPr>
            </w:pPr>
            <w:r w:rsidRPr="005B72DB">
              <w:rPr>
                <w:color w:val="000000"/>
                <w:sz w:val="22"/>
              </w:rPr>
              <w:t xml:space="preserve">0.99 </w:t>
            </w:r>
          </w:p>
        </w:tc>
        <w:tc>
          <w:tcPr>
            <w:tcW w:w="1237" w:type="dxa"/>
            <w:tcBorders>
              <w:top w:val="nil"/>
              <w:left w:val="nil"/>
              <w:bottom w:val="single" w:sz="4" w:space="0" w:color="auto"/>
              <w:right w:val="single" w:sz="4" w:space="0" w:color="auto"/>
            </w:tcBorders>
            <w:shd w:val="clear" w:color="auto" w:fill="auto"/>
            <w:noWrap/>
          </w:tcPr>
          <w:p w14:paraId="15510B8A" w14:textId="77777777" w:rsidR="002373D2" w:rsidRPr="005B72DB" w:rsidRDefault="002373D2" w:rsidP="007548C6">
            <w:pPr>
              <w:spacing w:line="240" w:lineRule="auto"/>
              <w:jc w:val="center"/>
              <w:rPr>
                <w:color w:val="000000"/>
                <w:sz w:val="22"/>
              </w:rPr>
            </w:pPr>
            <w:r w:rsidRPr="005B72DB">
              <w:rPr>
                <w:color w:val="000000"/>
                <w:sz w:val="22"/>
              </w:rPr>
              <w:t>23.57%</w:t>
            </w:r>
          </w:p>
        </w:tc>
        <w:tc>
          <w:tcPr>
            <w:tcW w:w="1238" w:type="dxa"/>
            <w:tcBorders>
              <w:top w:val="nil"/>
              <w:left w:val="nil"/>
              <w:bottom w:val="single" w:sz="4" w:space="0" w:color="auto"/>
              <w:right w:val="single" w:sz="4" w:space="0" w:color="auto"/>
            </w:tcBorders>
            <w:shd w:val="clear" w:color="auto" w:fill="auto"/>
            <w:noWrap/>
          </w:tcPr>
          <w:p w14:paraId="61345BF6" w14:textId="77777777" w:rsidR="002373D2" w:rsidRPr="005B72DB" w:rsidRDefault="002373D2" w:rsidP="007548C6">
            <w:pPr>
              <w:spacing w:line="240" w:lineRule="auto"/>
              <w:jc w:val="center"/>
              <w:rPr>
                <w:color w:val="000000"/>
                <w:sz w:val="22"/>
              </w:rPr>
            </w:pPr>
            <w:r w:rsidRPr="005B72DB">
              <w:rPr>
                <w:color w:val="000000"/>
                <w:sz w:val="22"/>
              </w:rPr>
              <w:t xml:space="preserve">0.75 </w:t>
            </w:r>
          </w:p>
        </w:tc>
        <w:tc>
          <w:tcPr>
            <w:tcW w:w="1237" w:type="dxa"/>
            <w:tcBorders>
              <w:top w:val="nil"/>
              <w:left w:val="nil"/>
              <w:bottom w:val="single" w:sz="4" w:space="0" w:color="auto"/>
              <w:right w:val="single" w:sz="4" w:space="0" w:color="auto"/>
            </w:tcBorders>
            <w:shd w:val="clear" w:color="auto" w:fill="auto"/>
            <w:noWrap/>
          </w:tcPr>
          <w:p w14:paraId="30B8DA5D" w14:textId="77777777" w:rsidR="002373D2" w:rsidRPr="005B72DB" w:rsidRDefault="002373D2" w:rsidP="007548C6">
            <w:pPr>
              <w:spacing w:line="240" w:lineRule="auto"/>
              <w:jc w:val="center"/>
              <w:rPr>
                <w:color w:val="000000"/>
                <w:sz w:val="22"/>
              </w:rPr>
            </w:pPr>
            <w:r w:rsidRPr="005B72DB">
              <w:rPr>
                <w:color w:val="000000"/>
                <w:sz w:val="22"/>
              </w:rPr>
              <w:t>17.98%</w:t>
            </w:r>
          </w:p>
        </w:tc>
        <w:tc>
          <w:tcPr>
            <w:tcW w:w="1237" w:type="dxa"/>
            <w:tcBorders>
              <w:top w:val="nil"/>
              <w:left w:val="nil"/>
              <w:bottom w:val="single" w:sz="4" w:space="0" w:color="auto"/>
              <w:right w:val="single" w:sz="4" w:space="0" w:color="auto"/>
            </w:tcBorders>
            <w:shd w:val="clear" w:color="auto" w:fill="auto"/>
            <w:noWrap/>
          </w:tcPr>
          <w:p w14:paraId="3E9DEE23" w14:textId="77777777" w:rsidR="002373D2" w:rsidRPr="005B72DB" w:rsidRDefault="002373D2" w:rsidP="007548C6">
            <w:pPr>
              <w:spacing w:line="240" w:lineRule="auto"/>
              <w:jc w:val="center"/>
              <w:rPr>
                <w:color w:val="000000"/>
                <w:sz w:val="22"/>
              </w:rPr>
            </w:pPr>
            <w:r w:rsidRPr="005B72DB">
              <w:rPr>
                <w:color w:val="000000"/>
                <w:sz w:val="22"/>
              </w:rPr>
              <w:t xml:space="preserve">0.70 </w:t>
            </w:r>
          </w:p>
        </w:tc>
        <w:tc>
          <w:tcPr>
            <w:tcW w:w="1238" w:type="dxa"/>
            <w:tcBorders>
              <w:top w:val="nil"/>
              <w:left w:val="nil"/>
              <w:bottom w:val="single" w:sz="4" w:space="0" w:color="auto"/>
              <w:right w:val="single" w:sz="4" w:space="0" w:color="auto"/>
            </w:tcBorders>
            <w:shd w:val="clear" w:color="auto" w:fill="auto"/>
            <w:noWrap/>
          </w:tcPr>
          <w:p w14:paraId="4BC59213" w14:textId="77777777" w:rsidR="002373D2" w:rsidRPr="005B72DB" w:rsidRDefault="002373D2" w:rsidP="007548C6">
            <w:pPr>
              <w:spacing w:line="240" w:lineRule="auto"/>
              <w:jc w:val="center"/>
              <w:rPr>
                <w:color w:val="000000"/>
                <w:sz w:val="22"/>
              </w:rPr>
            </w:pPr>
            <w:r w:rsidRPr="005B72DB">
              <w:rPr>
                <w:color w:val="000000"/>
                <w:sz w:val="22"/>
              </w:rPr>
              <w:t>16.85%</w:t>
            </w:r>
          </w:p>
        </w:tc>
      </w:tr>
      <w:tr w:rsidR="002373D2" w:rsidRPr="005B72DB" w14:paraId="382DCA5B" w14:textId="77777777" w:rsidTr="0051420F">
        <w:trPr>
          <w:trHeight w:val="285"/>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F0FC13B" w14:textId="77777777" w:rsidR="002373D2" w:rsidRPr="005B72DB" w:rsidRDefault="002373D2" w:rsidP="007548C6">
            <w:pPr>
              <w:spacing w:line="240" w:lineRule="auto"/>
              <w:jc w:val="left"/>
              <w:rPr>
                <w:rFonts w:cs="Calibri"/>
                <w:b/>
                <w:bCs/>
                <w:color w:val="000000"/>
                <w:sz w:val="22"/>
              </w:rPr>
            </w:pPr>
            <w:r w:rsidRPr="005B72DB">
              <w:rPr>
                <w:rFonts w:cs="Calibri"/>
                <w:b/>
                <w:bCs/>
                <w:color w:val="000000"/>
                <w:sz w:val="22"/>
              </w:rPr>
              <w:t>Local Carrier</w:t>
            </w:r>
          </w:p>
        </w:tc>
        <w:tc>
          <w:tcPr>
            <w:tcW w:w="1237" w:type="dxa"/>
            <w:tcBorders>
              <w:top w:val="nil"/>
              <w:left w:val="nil"/>
              <w:bottom w:val="single" w:sz="4" w:space="0" w:color="auto"/>
              <w:right w:val="single" w:sz="4" w:space="0" w:color="auto"/>
            </w:tcBorders>
            <w:shd w:val="clear" w:color="auto" w:fill="auto"/>
            <w:noWrap/>
          </w:tcPr>
          <w:p w14:paraId="6A74ADE7" w14:textId="77777777" w:rsidR="002373D2" w:rsidRPr="005B72DB" w:rsidRDefault="002373D2" w:rsidP="007548C6">
            <w:pPr>
              <w:spacing w:line="240" w:lineRule="auto"/>
              <w:jc w:val="center"/>
              <w:rPr>
                <w:color w:val="000000"/>
                <w:sz w:val="22"/>
              </w:rPr>
            </w:pPr>
            <w:r w:rsidRPr="005B72DB">
              <w:rPr>
                <w:color w:val="000000"/>
                <w:sz w:val="22"/>
              </w:rPr>
              <w:t xml:space="preserve">1.70 </w:t>
            </w:r>
          </w:p>
        </w:tc>
        <w:tc>
          <w:tcPr>
            <w:tcW w:w="1237" w:type="dxa"/>
            <w:tcBorders>
              <w:top w:val="nil"/>
              <w:left w:val="nil"/>
              <w:bottom w:val="single" w:sz="4" w:space="0" w:color="auto"/>
              <w:right w:val="single" w:sz="4" w:space="0" w:color="auto"/>
            </w:tcBorders>
            <w:shd w:val="clear" w:color="auto" w:fill="auto"/>
            <w:noWrap/>
          </w:tcPr>
          <w:p w14:paraId="19405CF9" w14:textId="77777777" w:rsidR="002373D2" w:rsidRPr="005B72DB" w:rsidRDefault="002373D2" w:rsidP="007548C6">
            <w:pPr>
              <w:spacing w:line="240" w:lineRule="auto"/>
              <w:jc w:val="center"/>
              <w:rPr>
                <w:color w:val="000000"/>
                <w:sz w:val="22"/>
              </w:rPr>
            </w:pPr>
            <w:r w:rsidRPr="005B72DB">
              <w:rPr>
                <w:color w:val="000000"/>
                <w:sz w:val="22"/>
              </w:rPr>
              <w:t>40.48%</w:t>
            </w:r>
          </w:p>
        </w:tc>
        <w:tc>
          <w:tcPr>
            <w:tcW w:w="1238" w:type="dxa"/>
            <w:tcBorders>
              <w:top w:val="nil"/>
              <w:left w:val="nil"/>
              <w:bottom w:val="single" w:sz="4" w:space="0" w:color="auto"/>
              <w:right w:val="single" w:sz="4" w:space="0" w:color="auto"/>
            </w:tcBorders>
            <w:shd w:val="clear" w:color="auto" w:fill="auto"/>
            <w:noWrap/>
          </w:tcPr>
          <w:p w14:paraId="553B7F11" w14:textId="77777777" w:rsidR="002373D2" w:rsidRPr="005B72DB" w:rsidRDefault="002373D2" w:rsidP="007548C6">
            <w:pPr>
              <w:spacing w:line="240" w:lineRule="auto"/>
              <w:jc w:val="center"/>
              <w:rPr>
                <w:color w:val="000000"/>
                <w:sz w:val="22"/>
              </w:rPr>
            </w:pPr>
            <w:r w:rsidRPr="005B72DB">
              <w:rPr>
                <w:color w:val="000000"/>
                <w:sz w:val="22"/>
              </w:rPr>
              <w:t xml:space="preserve">0.43 </w:t>
            </w:r>
          </w:p>
        </w:tc>
        <w:tc>
          <w:tcPr>
            <w:tcW w:w="1237" w:type="dxa"/>
            <w:tcBorders>
              <w:top w:val="nil"/>
              <w:left w:val="nil"/>
              <w:bottom w:val="single" w:sz="4" w:space="0" w:color="auto"/>
              <w:right w:val="single" w:sz="4" w:space="0" w:color="auto"/>
            </w:tcBorders>
            <w:shd w:val="clear" w:color="auto" w:fill="auto"/>
            <w:noWrap/>
          </w:tcPr>
          <w:p w14:paraId="66869B5F" w14:textId="77777777" w:rsidR="002373D2" w:rsidRPr="005B72DB" w:rsidRDefault="002373D2" w:rsidP="007548C6">
            <w:pPr>
              <w:spacing w:line="240" w:lineRule="auto"/>
              <w:jc w:val="center"/>
              <w:rPr>
                <w:color w:val="000000"/>
                <w:sz w:val="22"/>
              </w:rPr>
            </w:pPr>
            <w:r w:rsidRPr="005B72DB">
              <w:rPr>
                <w:color w:val="000000"/>
                <w:sz w:val="22"/>
              </w:rPr>
              <w:t>10.12%</w:t>
            </w:r>
          </w:p>
        </w:tc>
        <w:tc>
          <w:tcPr>
            <w:tcW w:w="1237" w:type="dxa"/>
            <w:tcBorders>
              <w:top w:val="nil"/>
              <w:left w:val="nil"/>
              <w:bottom w:val="single" w:sz="4" w:space="0" w:color="auto"/>
              <w:right w:val="single" w:sz="4" w:space="0" w:color="auto"/>
            </w:tcBorders>
            <w:shd w:val="clear" w:color="auto" w:fill="auto"/>
            <w:noWrap/>
          </w:tcPr>
          <w:p w14:paraId="55037070" w14:textId="77777777" w:rsidR="002373D2" w:rsidRPr="005B72DB" w:rsidRDefault="002373D2" w:rsidP="007548C6">
            <w:pPr>
              <w:spacing w:line="240" w:lineRule="auto"/>
              <w:jc w:val="center"/>
              <w:rPr>
                <w:color w:val="000000"/>
                <w:sz w:val="22"/>
              </w:rPr>
            </w:pPr>
            <w:r w:rsidRPr="005B72DB">
              <w:rPr>
                <w:color w:val="000000"/>
                <w:sz w:val="22"/>
              </w:rPr>
              <w:t xml:space="preserve">1.56 </w:t>
            </w:r>
          </w:p>
        </w:tc>
        <w:tc>
          <w:tcPr>
            <w:tcW w:w="1238" w:type="dxa"/>
            <w:tcBorders>
              <w:top w:val="nil"/>
              <w:left w:val="nil"/>
              <w:bottom w:val="single" w:sz="4" w:space="0" w:color="auto"/>
              <w:right w:val="single" w:sz="4" w:space="0" w:color="auto"/>
            </w:tcBorders>
            <w:shd w:val="clear" w:color="auto" w:fill="auto"/>
            <w:noWrap/>
          </w:tcPr>
          <w:p w14:paraId="7FFD6C39" w14:textId="77777777" w:rsidR="002373D2" w:rsidRPr="005B72DB" w:rsidRDefault="002373D2" w:rsidP="007548C6">
            <w:pPr>
              <w:spacing w:line="240" w:lineRule="auto"/>
              <w:jc w:val="center"/>
              <w:rPr>
                <w:color w:val="000000"/>
                <w:sz w:val="22"/>
              </w:rPr>
            </w:pPr>
            <w:r w:rsidRPr="005B72DB">
              <w:rPr>
                <w:color w:val="000000"/>
                <w:sz w:val="22"/>
              </w:rPr>
              <w:t>37.08%</w:t>
            </w:r>
          </w:p>
        </w:tc>
      </w:tr>
      <w:tr w:rsidR="002373D2" w:rsidRPr="005B72DB" w14:paraId="60EF9AD5" w14:textId="77777777" w:rsidTr="0051420F">
        <w:trPr>
          <w:trHeight w:val="285"/>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4FB8E471" w14:textId="77777777" w:rsidR="002373D2" w:rsidRPr="005B72DB" w:rsidRDefault="002373D2" w:rsidP="007548C6">
            <w:pPr>
              <w:spacing w:line="240" w:lineRule="auto"/>
              <w:jc w:val="left"/>
              <w:rPr>
                <w:rFonts w:cs="Calibri"/>
                <w:b/>
                <w:bCs/>
                <w:color w:val="000000"/>
                <w:sz w:val="22"/>
              </w:rPr>
            </w:pPr>
            <w:r w:rsidRPr="005B72DB">
              <w:rPr>
                <w:rFonts w:cs="Calibri"/>
                <w:b/>
                <w:bCs/>
                <w:color w:val="000000"/>
                <w:sz w:val="22"/>
              </w:rPr>
              <w:t>Consumer</w:t>
            </w:r>
          </w:p>
        </w:tc>
        <w:tc>
          <w:tcPr>
            <w:tcW w:w="1237" w:type="dxa"/>
            <w:tcBorders>
              <w:top w:val="nil"/>
              <w:left w:val="nil"/>
              <w:bottom w:val="single" w:sz="4" w:space="0" w:color="auto"/>
              <w:right w:val="single" w:sz="4" w:space="0" w:color="auto"/>
            </w:tcBorders>
            <w:shd w:val="clear" w:color="auto" w:fill="auto"/>
            <w:noWrap/>
          </w:tcPr>
          <w:p w14:paraId="0320A5A9" w14:textId="77777777" w:rsidR="002373D2" w:rsidRPr="005B72DB" w:rsidRDefault="002373D2" w:rsidP="007548C6">
            <w:pPr>
              <w:spacing w:line="240" w:lineRule="auto"/>
              <w:jc w:val="center"/>
              <w:rPr>
                <w:color w:val="000000"/>
                <w:sz w:val="22"/>
              </w:rPr>
            </w:pPr>
            <w:r w:rsidRPr="005B72DB">
              <w:rPr>
                <w:color w:val="000000"/>
                <w:sz w:val="22"/>
              </w:rPr>
              <w:t xml:space="preserve">0.00 </w:t>
            </w:r>
          </w:p>
        </w:tc>
        <w:tc>
          <w:tcPr>
            <w:tcW w:w="1237" w:type="dxa"/>
            <w:tcBorders>
              <w:top w:val="nil"/>
              <w:left w:val="nil"/>
              <w:bottom w:val="single" w:sz="4" w:space="0" w:color="auto"/>
              <w:right w:val="single" w:sz="4" w:space="0" w:color="auto"/>
            </w:tcBorders>
            <w:shd w:val="clear" w:color="auto" w:fill="auto"/>
            <w:noWrap/>
          </w:tcPr>
          <w:p w14:paraId="167FF95F" w14:textId="77777777" w:rsidR="002373D2" w:rsidRPr="005B72DB" w:rsidRDefault="002373D2" w:rsidP="007548C6">
            <w:pPr>
              <w:spacing w:line="240" w:lineRule="auto"/>
              <w:jc w:val="center"/>
              <w:rPr>
                <w:color w:val="000000"/>
                <w:sz w:val="22"/>
              </w:rPr>
            </w:pPr>
            <w:r w:rsidRPr="005B72DB">
              <w:rPr>
                <w:color w:val="000000"/>
                <w:sz w:val="22"/>
              </w:rPr>
              <w:t>0.00%</w:t>
            </w:r>
          </w:p>
        </w:tc>
        <w:tc>
          <w:tcPr>
            <w:tcW w:w="1238" w:type="dxa"/>
            <w:tcBorders>
              <w:top w:val="nil"/>
              <w:left w:val="nil"/>
              <w:bottom w:val="single" w:sz="4" w:space="0" w:color="auto"/>
              <w:right w:val="single" w:sz="4" w:space="0" w:color="auto"/>
            </w:tcBorders>
            <w:shd w:val="clear" w:color="auto" w:fill="auto"/>
            <w:noWrap/>
          </w:tcPr>
          <w:p w14:paraId="468E7519" w14:textId="77777777" w:rsidR="002373D2" w:rsidRPr="005B72DB" w:rsidRDefault="002373D2" w:rsidP="007548C6">
            <w:pPr>
              <w:spacing w:line="240" w:lineRule="auto"/>
              <w:jc w:val="center"/>
              <w:rPr>
                <w:color w:val="000000"/>
                <w:sz w:val="22"/>
              </w:rPr>
            </w:pPr>
            <w:r w:rsidRPr="005B72DB">
              <w:rPr>
                <w:color w:val="000000"/>
                <w:sz w:val="22"/>
              </w:rPr>
              <w:t xml:space="preserve">0.00 </w:t>
            </w:r>
          </w:p>
        </w:tc>
        <w:tc>
          <w:tcPr>
            <w:tcW w:w="1237" w:type="dxa"/>
            <w:tcBorders>
              <w:top w:val="nil"/>
              <w:left w:val="nil"/>
              <w:bottom w:val="single" w:sz="4" w:space="0" w:color="auto"/>
              <w:right w:val="single" w:sz="4" w:space="0" w:color="auto"/>
            </w:tcBorders>
            <w:shd w:val="clear" w:color="auto" w:fill="auto"/>
            <w:noWrap/>
          </w:tcPr>
          <w:p w14:paraId="622F2AC7" w14:textId="77777777" w:rsidR="002373D2" w:rsidRPr="005B72DB" w:rsidRDefault="002373D2" w:rsidP="007548C6">
            <w:pPr>
              <w:spacing w:line="240" w:lineRule="auto"/>
              <w:jc w:val="center"/>
              <w:rPr>
                <w:color w:val="000000"/>
                <w:sz w:val="22"/>
              </w:rPr>
            </w:pPr>
            <w:r w:rsidRPr="005B72DB">
              <w:rPr>
                <w:color w:val="000000"/>
                <w:sz w:val="22"/>
              </w:rPr>
              <w:t>0.00%</w:t>
            </w:r>
          </w:p>
        </w:tc>
        <w:tc>
          <w:tcPr>
            <w:tcW w:w="1237" w:type="dxa"/>
            <w:tcBorders>
              <w:top w:val="nil"/>
              <w:left w:val="nil"/>
              <w:bottom w:val="single" w:sz="4" w:space="0" w:color="auto"/>
              <w:right w:val="single" w:sz="4" w:space="0" w:color="auto"/>
            </w:tcBorders>
            <w:shd w:val="clear" w:color="auto" w:fill="auto"/>
            <w:noWrap/>
          </w:tcPr>
          <w:p w14:paraId="4689074F" w14:textId="77777777" w:rsidR="002373D2" w:rsidRPr="005B72DB" w:rsidRDefault="002373D2" w:rsidP="007548C6">
            <w:pPr>
              <w:spacing w:line="240" w:lineRule="auto"/>
              <w:jc w:val="center"/>
              <w:rPr>
                <w:color w:val="000000"/>
                <w:sz w:val="22"/>
              </w:rPr>
            </w:pPr>
            <w:r w:rsidRPr="005B72DB">
              <w:rPr>
                <w:color w:val="000000"/>
                <w:sz w:val="22"/>
              </w:rPr>
              <w:t xml:space="preserve">1.56 </w:t>
            </w:r>
          </w:p>
        </w:tc>
        <w:tc>
          <w:tcPr>
            <w:tcW w:w="1238" w:type="dxa"/>
            <w:tcBorders>
              <w:top w:val="nil"/>
              <w:left w:val="nil"/>
              <w:bottom w:val="single" w:sz="4" w:space="0" w:color="auto"/>
              <w:right w:val="single" w:sz="4" w:space="0" w:color="auto"/>
            </w:tcBorders>
            <w:shd w:val="clear" w:color="auto" w:fill="auto"/>
            <w:noWrap/>
          </w:tcPr>
          <w:p w14:paraId="11EA3493" w14:textId="77777777" w:rsidR="002373D2" w:rsidRPr="005B72DB" w:rsidRDefault="002373D2" w:rsidP="007548C6">
            <w:pPr>
              <w:spacing w:line="240" w:lineRule="auto"/>
              <w:jc w:val="center"/>
              <w:rPr>
                <w:color w:val="000000"/>
                <w:sz w:val="22"/>
              </w:rPr>
            </w:pPr>
            <w:r w:rsidRPr="005B72DB">
              <w:rPr>
                <w:color w:val="000000"/>
                <w:sz w:val="22"/>
              </w:rPr>
              <w:t>37.08%</w:t>
            </w:r>
          </w:p>
        </w:tc>
      </w:tr>
      <w:tr w:rsidR="002373D2" w:rsidRPr="005B72DB" w14:paraId="6A6EEEB7" w14:textId="77777777" w:rsidTr="0051420F">
        <w:trPr>
          <w:trHeight w:val="285"/>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6313B664" w14:textId="77777777" w:rsidR="002373D2" w:rsidRPr="005B72DB" w:rsidRDefault="002373D2" w:rsidP="007548C6">
            <w:pPr>
              <w:spacing w:line="240" w:lineRule="auto"/>
              <w:jc w:val="left"/>
              <w:rPr>
                <w:rFonts w:cs="Calibri"/>
                <w:b/>
                <w:bCs/>
                <w:color w:val="000000"/>
                <w:sz w:val="22"/>
              </w:rPr>
            </w:pPr>
            <w:r w:rsidRPr="005B72DB">
              <w:rPr>
                <w:rFonts w:cs="Calibri"/>
                <w:b/>
                <w:bCs/>
                <w:color w:val="000000"/>
                <w:sz w:val="22"/>
              </w:rPr>
              <w:t>Total</w:t>
            </w:r>
          </w:p>
        </w:tc>
        <w:tc>
          <w:tcPr>
            <w:tcW w:w="1237" w:type="dxa"/>
            <w:tcBorders>
              <w:top w:val="nil"/>
              <w:left w:val="nil"/>
              <w:bottom w:val="single" w:sz="4" w:space="0" w:color="auto"/>
              <w:right w:val="single" w:sz="4" w:space="0" w:color="auto"/>
            </w:tcBorders>
            <w:shd w:val="clear" w:color="auto" w:fill="auto"/>
            <w:noWrap/>
          </w:tcPr>
          <w:p w14:paraId="06491271" w14:textId="77777777" w:rsidR="002373D2" w:rsidRPr="005B72DB" w:rsidRDefault="002373D2" w:rsidP="007548C6">
            <w:pPr>
              <w:spacing w:line="240" w:lineRule="auto"/>
              <w:jc w:val="center"/>
              <w:rPr>
                <w:color w:val="000000"/>
                <w:sz w:val="22"/>
              </w:rPr>
            </w:pPr>
            <w:r w:rsidRPr="005B72DB">
              <w:rPr>
                <w:color w:val="000000"/>
                <w:sz w:val="22"/>
              </w:rPr>
              <w:t xml:space="preserve">4.20 </w:t>
            </w:r>
          </w:p>
        </w:tc>
        <w:tc>
          <w:tcPr>
            <w:tcW w:w="1237" w:type="dxa"/>
            <w:tcBorders>
              <w:top w:val="nil"/>
              <w:left w:val="nil"/>
              <w:bottom w:val="single" w:sz="4" w:space="0" w:color="auto"/>
              <w:right w:val="single" w:sz="4" w:space="0" w:color="auto"/>
            </w:tcBorders>
            <w:shd w:val="clear" w:color="auto" w:fill="auto"/>
            <w:noWrap/>
          </w:tcPr>
          <w:p w14:paraId="3C55330C" w14:textId="77777777" w:rsidR="002373D2" w:rsidRPr="005B72DB" w:rsidRDefault="002373D2" w:rsidP="007548C6">
            <w:pPr>
              <w:spacing w:line="240" w:lineRule="auto"/>
              <w:jc w:val="center"/>
              <w:rPr>
                <w:color w:val="000000"/>
                <w:sz w:val="22"/>
              </w:rPr>
            </w:pPr>
            <w:r w:rsidRPr="005B72DB">
              <w:rPr>
                <w:color w:val="000000"/>
                <w:sz w:val="22"/>
              </w:rPr>
              <w:t>100%</w:t>
            </w:r>
          </w:p>
        </w:tc>
        <w:tc>
          <w:tcPr>
            <w:tcW w:w="1238" w:type="dxa"/>
            <w:tcBorders>
              <w:top w:val="nil"/>
              <w:left w:val="nil"/>
              <w:bottom w:val="single" w:sz="4" w:space="0" w:color="auto"/>
              <w:right w:val="single" w:sz="4" w:space="0" w:color="auto"/>
            </w:tcBorders>
            <w:shd w:val="clear" w:color="auto" w:fill="auto"/>
            <w:noWrap/>
          </w:tcPr>
          <w:p w14:paraId="2B941D77" w14:textId="77777777" w:rsidR="002373D2" w:rsidRPr="005B72DB" w:rsidRDefault="002373D2" w:rsidP="007548C6">
            <w:pPr>
              <w:spacing w:line="240" w:lineRule="auto"/>
              <w:jc w:val="center"/>
              <w:rPr>
                <w:color w:val="000000"/>
                <w:sz w:val="22"/>
              </w:rPr>
            </w:pPr>
            <w:r w:rsidRPr="005B72DB">
              <w:rPr>
                <w:color w:val="000000"/>
                <w:sz w:val="22"/>
              </w:rPr>
              <w:t>4.20</w:t>
            </w:r>
          </w:p>
        </w:tc>
        <w:tc>
          <w:tcPr>
            <w:tcW w:w="1237" w:type="dxa"/>
            <w:tcBorders>
              <w:top w:val="nil"/>
              <w:left w:val="nil"/>
              <w:bottom w:val="single" w:sz="4" w:space="0" w:color="auto"/>
              <w:right w:val="single" w:sz="4" w:space="0" w:color="auto"/>
            </w:tcBorders>
            <w:shd w:val="clear" w:color="auto" w:fill="auto"/>
            <w:noWrap/>
          </w:tcPr>
          <w:p w14:paraId="6C3B2A5B" w14:textId="77777777" w:rsidR="002373D2" w:rsidRPr="005B72DB" w:rsidRDefault="002373D2" w:rsidP="007548C6">
            <w:pPr>
              <w:spacing w:line="240" w:lineRule="auto"/>
              <w:jc w:val="center"/>
              <w:rPr>
                <w:color w:val="000000"/>
                <w:sz w:val="22"/>
              </w:rPr>
            </w:pPr>
            <w:r w:rsidRPr="005B72DB">
              <w:rPr>
                <w:color w:val="000000"/>
                <w:sz w:val="22"/>
              </w:rPr>
              <w:t>100%</w:t>
            </w:r>
          </w:p>
        </w:tc>
        <w:tc>
          <w:tcPr>
            <w:tcW w:w="1237" w:type="dxa"/>
            <w:tcBorders>
              <w:top w:val="nil"/>
              <w:left w:val="nil"/>
              <w:bottom w:val="single" w:sz="4" w:space="0" w:color="auto"/>
              <w:right w:val="single" w:sz="4" w:space="0" w:color="auto"/>
            </w:tcBorders>
            <w:shd w:val="clear" w:color="auto" w:fill="auto"/>
            <w:noWrap/>
          </w:tcPr>
          <w:p w14:paraId="34D4D3E1" w14:textId="77777777" w:rsidR="002373D2" w:rsidRPr="005B72DB" w:rsidRDefault="002373D2" w:rsidP="007548C6">
            <w:pPr>
              <w:spacing w:line="240" w:lineRule="auto"/>
              <w:jc w:val="center"/>
              <w:rPr>
                <w:color w:val="000000"/>
                <w:sz w:val="22"/>
              </w:rPr>
            </w:pPr>
            <w:r w:rsidRPr="005B72DB">
              <w:rPr>
                <w:color w:val="000000"/>
                <w:sz w:val="22"/>
              </w:rPr>
              <w:t>4.20</w:t>
            </w:r>
          </w:p>
        </w:tc>
        <w:tc>
          <w:tcPr>
            <w:tcW w:w="1238" w:type="dxa"/>
            <w:tcBorders>
              <w:top w:val="nil"/>
              <w:left w:val="nil"/>
              <w:bottom w:val="single" w:sz="4" w:space="0" w:color="auto"/>
              <w:right w:val="single" w:sz="4" w:space="0" w:color="auto"/>
            </w:tcBorders>
            <w:shd w:val="clear" w:color="auto" w:fill="auto"/>
            <w:noWrap/>
          </w:tcPr>
          <w:p w14:paraId="63D12B17" w14:textId="77777777" w:rsidR="002373D2" w:rsidRPr="005B72DB" w:rsidRDefault="002373D2" w:rsidP="007548C6">
            <w:pPr>
              <w:spacing w:line="240" w:lineRule="auto"/>
              <w:jc w:val="center"/>
              <w:rPr>
                <w:color w:val="000000"/>
                <w:sz w:val="22"/>
              </w:rPr>
            </w:pPr>
            <w:r w:rsidRPr="005B72DB">
              <w:rPr>
                <w:color w:val="000000"/>
                <w:sz w:val="22"/>
              </w:rPr>
              <w:t>100%</w:t>
            </w:r>
          </w:p>
        </w:tc>
      </w:tr>
    </w:tbl>
    <w:p w14:paraId="3CC8C8C2" w14:textId="24CA1E51" w:rsidR="002373D2" w:rsidRDefault="007B5959" w:rsidP="00763F7C">
      <w:pPr>
        <w:pStyle w:val="Caption"/>
      </w:pPr>
      <w:bookmarkStart w:id="1088" w:name="_Ref32264802"/>
      <w:bookmarkStart w:id="1089" w:name="_Toc46053602"/>
      <w:bookmarkStart w:id="1090" w:name="_Toc46093851"/>
      <w:bookmarkStart w:id="1091" w:name="_Toc66698818"/>
      <w:r>
        <w:t>Table</w:t>
      </w:r>
      <w:r w:rsidR="00763F7C" w:rsidRPr="005B72DB">
        <w:t xml:space="preserve"> </w:t>
      </w:r>
      <w:r w:rsidR="000306D9">
        <w:fldChar w:fldCharType="begin"/>
      </w:r>
      <w:r w:rsidR="000306D9">
        <w:instrText xml:space="preserve"> STYLEREF 1 \s </w:instrText>
      </w:r>
      <w:r w:rsidR="000306D9">
        <w:fldChar w:fldCharType="separate"/>
      </w:r>
      <w:r w:rsidR="0005064B">
        <w:rPr>
          <w:noProof/>
        </w:rPr>
        <w:t>7</w:t>
      </w:r>
      <w:r w:rsidR="000306D9">
        <w:rPr>
          <w:noProof/>
        </w:rPr>
        <w:fldChar w:fldCharType="end"/>
      </w:r>
      <w:r w:rsidR="00FE10DA">
        <w:noBreakHyphen/>
      </w:r>
      <w:r w:rsidR="000306D9">
        <w:fldChar w:fldCharType="begin"/>
      </w:r>
      <w:r w:rsidR="000306D9">
        <w:instrText xml:space="preserve"> SEQ Table \* ARABIC \s 1 </w:instrText>
      </w:r>
      <w:r w:rsidR="000306D9">
        <w:fldChar w:fldCharType="separate"/>
      </w:r>
      <w:r w:rsidR="0005064B">
        <w:rPr>
          <w:noProof/>
        </w:rPr>
        <w:t>11</w:t>
      </w:r>
      <w:r w:rsidR="000306D9">
        <w:rPr>
          <w:noProof/>
        </w:rPr>
        <w:fldChar w:fldCharType="end"/>
      </w:r>
      <w:bookmarkEnd w:id="1088"/>
      <w:r w:rsidR="004D6792">
        <w:t>:</w:t>
      </w:r>
      <w:r w:rsidR="00763F7C" w:rsidRPr="005B72DB">
        <w:t xml:space="preserve"> Cost Allocation of LHC in Outsourcing Strategy with carriers cost equal to €1.70/</w:t>
      </w:r>
      <w:proofErr w:type="gramStart"/>
      <w:r w:rsidR="00763F7C" w:rsidRPr="005B72DB">
        <w:t>parcel</w:t>
      </w:r>
      <w:bookmarkEnd w:id="1089"/>
      <w:bookmarkEnd w:id="1090"/>
      <w:bookmarkEnd w:id="1091"/>
      <w:proofErr w:type="gramEnd"/>
    </w:p>
    <w:p w14:paraId="5DF823FC" w14:textId="702730C0" w:rsidR="00FD7120" w:rsidRPr="00FD7120" w:rsidRDefault="00FD7120" w:rsidP="001B7669">
      <w:pPr>
        <w:pStyle w:val="Heading3"/>
      </w:pPr>
      <w:bookmarkStart w:id="1092" w:name="_Toc66703266"/>
      <w:r>
        <w:rPr>
          <w:rFonts w:hint="eastAsia"/>
        </w:rPr>
        <w:lastRenderedPageBreak/>
        <w:t>Discussion</w:t>
      </w:r>
      <w:bookmarkEnd w:id="1092"/>
    </w:p>
    <w:p w14:paraId="1229C23E" w14:textId="244C6F18" w:rsidR="00FD7120" w:rsidRPr="00090472" w:rsidRDefault="00FD7120" w:rsidP="00240087">
      <w:pPr>
        <w:spacing w:after="240" w:line="360" w:lineRule="auto"/>
        <w:rPr>
          <w:rFonts w:eastAsia="Times New Roman"/>
          <w:color w:val="FF0000"/>
        </w:rPr>
      </w:pPr>
      <w:r w:rsidRPr="00090472">
        <w:rPr>
          <w:rFonts w:eastAsia="Times New Roman"/>
          <w:color w:val="FF0000"/>
        </w:rPr>
        <w:t xml:space="preserve">According to Taniguchi (2014), municipal UCCs (and, in general, urban logistics projects) should not depend too heavily on public finances. As such, municipalities should build, from the very beginning, mechanisms aimed at helping the start-up phase of UCC and achieving financial sustainability through cost-reduction and economies of scale (Taniguchi, 2014). Within this context, the proposed case study has shown that the proposed allocation rules can provide municipalities with useful tools. Indeed, UCCs have the potential to benefit, under certain conditions, from both UES and DES allocations, as these principles enact suppliers’ and customers’ participation to UCC operating costs. This is aligned to the empirical advice provided by </w:t>
      </w:r>
      <w:proofErr w:type="spellStart"/>
      <w:r w:rsidRPr="00090472">
        <w:rPr>
          <w:rFonts w:eastAsia="Times New Roman"/>
          <w:color w:val="FF0000"/>
        </w:rPr>
        <w:t>Kiba-Janiak</w:t>
      </w:r>
      <w:proofErr w:type="spellEnd"/>
      <w:r w:rsidRPr="00090472">
        <w:rPr>
          <w:rFonts w:eastAsia="Times New Roman"/>
          <w:color w:val="FF0000"/>
        </w:rPr>
        <w:t xml:space="preserve"> (2016), stating that, despite their individual rationality, stakeholders may perceive as fair the regulatory role of municipalities (</w:t>
      </w:r>
      <w:proofErr w:type="spellStart"/>
      <w:r w:rsidRPr="00090472">
        <w:rPr>
          <w:rFonts w:eastAsia="Times New Roman"/>
          <w:color w:val="FF0000"/>
        </w:rPr>
        <w:t>Kiba-Janiak</w:t>
      </w:r>
      <w:proofErr w:type="spellEnd"/>
      <w:r w:rsidRPr="00090472">
        <w:rPr>
          <w:rFonts w:eastAsia="Times New Roman"/>
          <w:color w:val="FF0000"/>
        </w:rPr>
        <w:t xml:space="preserve">, 2016). </w:t>
      </w:r>
      <w:r w:rsidR="000408B8" w:rsidRPr="00090472">
        <w:rPr>
          <w:rFonts w:eastAsia="Times New Roman"/>
          <w:color w:val="FF0000"/>
        </w:rPr>
        <w:t>This study</w:t>
      </w:r>
      <w:r w:rsidRPr="00090472">
        <w:rPr>
          <w:rFonts w:eastAsia="Times New Roman"/>
          <w:color w:val="FF0000"/>
        </w:rPr>
        <w:t xml:space="preserve"> deal</w:t>
      </w:r>
      <w:r w:rsidR="000408B8" w:rsidRPr="00090472">
        <w:rPr>
          <w:rFonts w:eastAsia="Times New Roman"/>
          <w:color w:val="FF0000"/>
        </w:rPr>
        <w:t>s</w:t>
      </w:r>
      <w:r w:rsidRPr="00090472">
        <w:rPr>
          <w:rFonts w:eastAsia="Times New Roman"/>
          <w:color w:val="FF0000"/>
        </w:rPr>
        <w:t xml:space="preserve"> with a specific UCC delivery network case study. Comparing with the original structure of logistics costs, </w:t>
      </w:r>
      <w:r w:rsidR="000408B8" w:rsidRPr="00090472">
        <w:rPr>
          <w:rFonts w:eastAsia="Times New Roman"/>
          <w:color w:val="FF0000"/>
        </w:rPr>
        <w:t xml:space="preserve">it is </w:t>
      </w:r>
      <w:r w:rsidR="005050EC" w:rsidRPr="00090472">
        <w:rPr>
          <w:rFonts w:eastAsia="Times New Roman"/>
          <w:color w:val="FF0000"/>
        </w:rPr>
        <w:t xml:space="preserve">identified </w:t>
      </w:r>
      <w:r w:rsidRPr="00090472">
        <w:rPr>
          <w:rFonts w:eastAsia="Times New Roman"/>
          <w:color w:val="FF0000"/>
        </w:rPr>
        <w:t xml:space="preserve">that a UES rule provide the most convenient solution for the UCC. In addition, a DES rule benefits both the LHC and the UCC (see Table 4).  </w:t>
      </w:r>
    </w:p>
    <w:p w14:paraId="670D8F99" w14:textId="25DB48EF" w:rsidR="00FD7120" w:rsidRPr="00090472" w:rsidRDefault="005050EC" w:rsidP="00240087">
      <w:pPr>
        <w:spacing w:after="240" w:line="360" w:lineRule="auto"/>
        <w:rPr>
          <w:rFonts w:eastAsia="Times New Roman"/>
          <w:color w:val="FF0000"/>
        </w:rPr>
      </w:pPr>
      <w:r w:rsidRPr="00090472">
        <w:rPr>
          <w:rFonts w:eastAsia="Times New Roman"/>
          <w:color w:val="FF0000"/>
        </w:rPr>
        <w:t>The</w:t>
      </w:r>
      <w:r w:rsidR="00FD7120" w:rsidRPr="00090472">
        <w:rPr>
          <w:rFonts w:eastAsia="Times New Roman"/>
          <w:color w:val="FF0000"/>
        </w:rPr>
        <w:t xml:space="preserve"> analysis is extended to the case of outsourcing last-mile activities. Interestingly, if outsourcing does not modify costs, then outsourcing the last-mile delivery is always beneficial to the UCC. This result is, interestingly, obtained regardless of LAs costs-allocation policies adopted by the LA. </w:t>
      </w:r>
    </w:p>
    <w:p w14:paraId="0E4AE0F0" w14:textId="03ABC4A3" w:rsidR="00FD7120" w:rsidRPr="00090472" w:rsidRDefault="00FD7120" w:rsidP="00240087">
      <w:pPr>
        <w:spacing w:after="240" w:line="360" w:lineRule="auto"/>
        <w:rPr>
          <w:rFonts w:eastAsia="Times New Roman"/>
          <w:color w:val="FF0000"/>
        </w:rPr>
      </w:pPr>
      <w:r w:rsidRPr="00090472">
        <w:rPr>
          <w:rFonts w:eastAsia="Times New Roman"/>
          <w:color w:val="FF0000"/>
        </w:rPr>
        <w:t xml:space="preserve">No change in total costs for outsourcing the last-mile delivery is, de facto, an ideal assumption. Therefore, </w:t>
      </w:r>
      <w:r w:rsidR="003D2144" w:rsidRPr="00090472">
        <w:rPr>
          <w:rFonts w:eastAsia="Times New Roman"/>
          <w:color w:val="FF0000"/>
        </w:rPr>
        <w:t>the</w:t>
      </w:r>
      <w:r w:rsidRPr="00090472">
        <w:rPr>
          <w:rFonts w:eastAsia="Times New Roman"/>
          <w:color w:val="FF0000"/>
        </w:rPr>
        <w:t xml:space="preserve"> analysis is extended to a more realistic case: a change in total costs occurs if UCC decides for outsourcing the last-mile distribution. In this case, </w:t>
      </w:r>
      <w:r w:rsidR="00BE176C" w:rsidRPr="00090472">
        <w:rPr>
          <w:rFonts w:eastAsia="Times New Roman"/>
          <w:color w:val="FF0000"/>
        </w:rPr>
        <w:t xml:space="preserve">the </w:t>
      </w:r>
      <w:r w:rsidRPr="00090472">
        <w:rPr>
          <w:rFonts w:eastAsia="Times New Roman"/>
          <w:color w:val="FF0000"/>
        </w:rPr>
        <w:t>analysis suggests less tout court policies for the LA. The results are the following. A DES rule may be set to benefit the UCC, if local carriers’ costs are high (see Figure 4). Moreover, a DES rule might also be convenient for incentivising LHCs participation in UCCs (see Figure 5).</w:t>
      </w:r>
      <w:r w:rsidR="005050EC" w:rsidRPr="00090472">
        <w:rPr>
          <w:rFonts w:eastAsia="Times New Roman"/>
          <w:color w:val="FF0000"/>
        </w:rPr>
        <w:t xml:space="preserve"> </w:t>
      </w:r>
      <w:proofErr w:type="gramStart"/>
      <w:r w:rsidRPr="00090472">
        <w:rPr>
          <w:rFonts w:eastAsia="Times New Roman"/>
          <w:color w:val="FF0000"/>
        </w:rPr>
        <w:t>Optimal-policy</w:t>
      </w:r>
      <w:proofErr w:type="gramEnd"/>
      <w:r w:rsidRPr="00090472">
        <w:rPr>
          <w:rFonts w:eastAsia="Times New Roman"/>
          <w:color w:val="FF0000"/>
        </w:rPr>
        <w:t xml:space="preserve"> switching for the sake of the UCC occurs if local </w:t>
      </w:r>
      <w:proofErr w:type="spellStart"/>
      <w:r w:rsidRPr="00090472">
        <w:rPr>
          <w:rFonts w:eastAsia="Times New Roman"/>
          <w:color w:val="FF0000"/>
        </w:rPr>
        <w:t>carriers’costs</w:t>
      </w:r>
      <w:proofErr w:type="spellEnd"/>
      <w:r w:rsidRPr="00090472">
        <w:rPr>
          <w:rFonts w:eastAsia="Times New Roman"/>
          <w:color w:val="FF0000"/>
        </w:rPr>
        <w:t xml:space="preserve"> are larger or lesser than some critical costs. The merit of </w:t>
      </w:r>
      <w:r w:rsidR="003D2144" w:rsidRPr="00090472">
        <w:rPr>
          <w:rFonts w:eastAsia="Times New Roman"/>
          <w:color w:val="FF0000"/>
        </w:rPr>
        <w:t>such</w:t>
      </w:r>
      <w:r w:rsidRPr="00090472">
        <w:rPr>
          <w:rFonts w:eastAsia="Times New Roman"/>
          <w:color w:val="FF0000"/>
        </w:rPr>
        <w:t xml:space="preserve"> approach is to identify the numerical expression of those thresholds in </w:t>
      </w:r>
      <w:r w:rsidR="003D2144" w:rsidRPr="00090472">
        <w:rPr>
          <w:rFonts w:eastAsia="Times New Roman"/>
          <w:color w:val="FF0000"/>
        </w:rPr>
        <w:t xml:space="preserve">the </w:t>
      </w:r>
      <w:r w:rsidRPr="00090472">
        <w:rPr>
          <w:rFonts w:eastAsia="Times New Roman"/>
          <w:color w:val="FF0000"/>
        </w:rPr>
        <w:t xml:space="preserve">case study. It </w:t>
      </w:r>
      <w:proofErr w:type="gramStart"/>
      <w:r w:rsidRPr="00090472">
        <w:rPr>
          <w:rFonts w:eastAsia="Times New Roman"/>
          <w:color w:val="FF0000"/>
        </w:rPr>
        <w:t>has to</w:t>
      </w:r>
      <w:proofErr w:type="gramEnd"/>
      <w:r w:rsidRPr="00090472">
        <w:rPr>
          <w:rFonts w:eastAsia="Times New Roman"/>
          <w:color w:val="FF0000"/>
        </w:rPr>
        <w:t xml:space="preserve"> be remarked, though, that as these schemes might cause the increase in costs to be faced by other stakeholders, such a solution should be implemented in practice through strong political interventions and thorough consultation and engagement. </w:t>
      </w:r>
      <w:r w:rsidR="000935FA" w:rsidRPr="00090472">
        <w:rPr>
          <w:rFonts w:eastAsia="Times New Roman"/>
          <w:color w:val="FF0000"/>
        </w:rPr>
        <w:t>The</w:t>
      </w:r>
      <w:r w:rsidRPr="00090472">
        <w:rPr>
          <w:rFonts w:eastAsia="Times New Roman"/>
          <w:color w:val="FF0000"/>
        </w:rPr>
        <w:t xml:space="preserve"> results</w:t>
      </w:r>
      <w:r w:rsidR="000935FA" w:rsidRPr="00090472">
        <w:rPr>
          <w:rFonts w:eastAsia="Times New Roman"/>
          <w:color w:val="FF0000"/>
        </w:rPr>
        <w:t xml:space="preserve"> from this study</w:t>
      </w:r>
      <w:r w:rsidRPr="00090472">
        <w:rPr>
          <w:rFonts w:eastAsia="Times New Roman"/>
          <w:color w:val="FF0000"/>
        </w:rPr>
        <w:t xml:space="preserve"> are consistent with recent contributions: a normative approach imposed by LAs in UCC delivery networks, included in Dahlberg et al. (2019); comparisons of multiple LAs’ policies for UCCs delivery networks provided in Van </w:t>
      </w:r>
      <w:proofErr w:type="spellStart"/>
      <w:r w:rsidRPr="00090472">
        <w:rPr>
          <w:rFonts w:eastAsia="Times New Roman"/>
          <w:color w:val="FF0000"/>
        </w:rPr>
        <w:t>Heeswijk</w:t>
      </w:r>
      <w:proofErr w:type="spellEnd"/>
      <w:r w:rsidRPr="00090472">
        <w:rPr>
          <w:rFonts w:eastAsia="Times New Roman"/>
          <w:color w:val="FF0000"/>
        </w:rPr>
        <w:t xml:space="preserve"> et al. (2020).  </w:t>
      </w:r>
      <w:r w:rsidRPr="00090472">
        <w:rPr>
          <w:rFonts w:eastAsia="Times New Roman"/>
          <w:color w:val="FF0000"/>
        </w:rPr>
        <w:lastRenderedPageBreak/>
        <w:t xml:space="preserve">In some respects, </w:t>
      </w:r>
      <w:r w:rsidR="003D2144" w:rsidRPr="00090472">
        <w:rPr>
          <w:rFonts w:eastAsia="Times New Roman"/>
          <w:color w:val="FF0000"/>
        </w:rPr>
        <w:t xml:space="preserve">the </w:t>
      </w:r>
      <w:r w:rsidRPr="00090472">
        <w:rPr>
          <w:rFonts w:eastAsia="Times New Roman"/>
          <w:color w:val="FF0000"/>
        </w:rPr>
        <w:t xml:space="preserve">contribution </w:t>
      </w:r>
      <w:r w:rsidR="003D2144" w:rsidRPr="00090472">
        <w:rPr>
          <w:rFonts w:eastAsia="Times New Roman"/>
          <w:color w:val="FF0000"/>
        </w:rPr>
        <w:t xml:space="preserve">of this chapter </w:t>
      </w:r>
      <w:r w:rsidRPr="00090472">
        <w:rPr>
          <w:rFonts w:eastAsia="Times New Roman"/>
          <w:color w:val="FF0000"/>
        </w:rPr>
        <w:t xml:space="preserve">is different from the previous ones and it captures a different angle. For instance, Van </w:t>
      </w:r>
      <w:proofErr w:type="spellStart"/>
      <w:r w:rsidRPr="00090472">
        <w:rPr>
          <w:rFonts w:eastAsia="Times New Roman"/>
          <w:color w:val="FF0000"/>
        </w:rPr>
        <w:t>Heeswijk</w:t>
      </w:r>
      <w:proofErr w:type="spellEnd"/>
      <w:r w:rsidRPr="00090472">
        <w:rPr>
          <w:rFonts w:eastAsia="Times New Roman"/>
          <w:color w:val="FF0000"/>
        </w:rPr>
        <w:t xml:space="preserve"> et al. (2020) compare policies and they find out that those policies are financially not viable. Such a finding is de facto the motivation of </w:t>
      </w:r>
      <w:r w:rsidR="003D2144" w:rsidRPr="00090472">
        <w:rPr>
          <w:rFonts w:eastAsia="Times New Roman"/>
          <w:color w:val="FF0000"/>
        </w:rPr>
        <w:t>the</w:t>
      </w:r>
      <w:r w:rsidRPr="00090472">
        <w:rPr>
          <w:rFonts w:eastAsia="Times New Roman"/>
          <w:color w:val="FF0000"/>
        </w:rPr>
        <w:t xml:space="preserve"> analysis. </w:t>
      </w:r>
      <w:r w:rsidR="000935FA" w:rsidRPr="00090472">
        <w:rPr>
          <w:rFonts w:eastAsia="Times New Roman"/>
          <w:color w:val="FF0000"/>
        </w:rPr>
        <w:t xml:space="preserve">The </w:t>
      </w:r>
      <w:r w:rsidRPr="00090472">
        <w:rPr>
          <w:rFonts w:eastAsia="Times New Roman"/>
          <w:color w:val="FF0000"/>
        </w:rPr>
        <w:t>spirit</w:t>
      </w:r>
      <w:r w:rsidR="000935FA" w:rsidRPr="00090472">
        <w:rPr>
          <w:rFonts w:eastAsia="Times New Roman"/>
          <w:color w:val="FF0000"/>
        </w:rPr>
        <w:t xml:space="preserve"> of this study</w:t>
      </w:r>
      <w:r w:rsidRPr="00090472">
        <w:rPr>
          <w:rFonts w:eastAsia="Times New Roman"/>
          <w:color w:val="FF0000"/>
        </w:rPr>
        <w:t xml:space="preserve"> is to find optimal policies among some policies, especially against the original structure of logistics costs. </w:t>
      </w:r>
      <w:r w:rsidR="000935FA" w:rsidRPr="00090472">
        <w:rPr>
          <w:rFonts w:eastAsia="Times New Roman"/>
          <w:color w:val="FF0000"/>
        </w:rPr>
        <w:t xml:space="preserve">The </w:t>
      </w:r>
      <w:r w:rsidRPr="00090472">
        <w:rPr>
          <w:rFonts w:eastAsia="Times New Roman"/>
          <w:color w:val="FF0000"/>
        </w:rPr>
        <w:t>contribution</w:t>
      </w:r>
      <w:r w:rsidR="000935FA" w:rsidRPr="00090472">
        <w:rPr>
          <w:rFonts w:eastAsia="Times New Roman"/>
          <w:color w:val="FF0000"/>
        </w:rPr>
        <w:t xml:space="preserve"> of this chapter</w:t>
      </w:r>
      <w:r w:rsidRPr="00090472">
        <w:rPr>
          <w:rFonts w:eastAsia="Times New Roman"/>
          <w:color w:val="FF0000"/>
        </w:rPr>
        <w:t xml:space="preserve"> is more </w:t>
      </w:r>
      <w:proofErr w:type="gramStart"/>
      <w:r w:rsidRPr="00090472">
        <w:rPr>
          <w:rFonts w:eastAsia="Times New Roman"/>
          <w:color w:val="FF0000"/>
        </w:rPr>
        <w:t>similar to</w:t>
      </w:r>
      <w:proofErr w:type="gramEnd"/>
      <w:r w:rsidRPr="00090472">
        <w:rPr>
          <w:rFonts w:eastAsia="Times New Roman"/>
          <w:color w:val="FF0000"/>
        </w:rPr>
        <w:t xml:space="preserve"> Dahlberg et al. (2019). However, the previous paper assumes that LAs are willing to carry some cost to ensure a stable collaboration among stakeholders. Such axiomatic requirement is </w:t>
      </w:r>
      <w:proofErr w:type="gramStart"/>
      <w:r w:rsidRPr="00090472">
        <w:rPr>
          <w:rFonts w:eastAsia="Times New Roman"/>
          <w:color w:val="FF0000"/>
        </w:rPr>
        <w:t>strong</w:t>
      </w:r>
      <w:proofErr w:type="gramEnd"/>
      <w:r w:rsidRPr="00090472">
        <w:rPr>
          <w:rFonts w:eastAsia="Times New Roman"/>
          <w:color w:val="FF0000"/>
        </w:rPr>
        <w:t xml:space="preserve"> and it must assume the continuous intervention of LAs at least the beginning. The focus in Dahlberg et al. (2019) is on the stability of cooperation. Conversely, </w:t>
      </w:r>
      <w:r w:rsidR="000935FA" w:rsidRPr="00090472">
        <w:rPr>
          <w:rFonts w:eastAsia="Times New Roman"/>
          <w:color w:val="FF0000"/>
        </w:rPr>
        <w:t xml:space="preserve">the </w:t>
      </w:r>
      <w:r w:rsidRPr="00090472">
        <w:rPr>
          <w:rFonts w:eastAsia="Times New Roman"/>
          <w:color w:val="FF0000"/>
        </w:rPr>
        <w:t>focus</w:t>
      </w:r>
      <w:r w:rsidR="000935FA" w:rsidRPr="00090472">
        <w:rPr>
          <w:rFonts w:eastAsia="Times New Roman"/>
          <w:color w:val="FF0000"/>
        </w:rPr>
        <w:t xml:space="preserve"> of this chapter</w:t>
      </w:r>
      <w:r w:rsidRPr="00090472">
        <w:rPr>
          <w:rFonts w:eastAsia="Times New Roman"/>
          <w:color w:val="FF0000"/>
        </w:rPr>
        <w:t xml:space="preserve"> is to highlights policies with </w:t>
      </w:r>
      <w:proofErr w:type="gramStart"/>
      <w:r w:rsidRPr="00090472">
        <w:rPr>
          <w:rFonts w:eastAsia="Times New Roman"/>
          <w:color w:val="FF0000"/>
        </w:rPr>
        <w:t>no</w:t>
      </w:r>
      <w:proofErr w:type="gramEnd"/>
      <w:r w:rsidRPr="00090472">
        <w:rPr>
          <w:rFonts w:eastAsia="Times New Roman"/>
          <w:color w:val="FF0000"/>
        </w:rPr>
        <w:t xml:space="preserve"> LAs’ intervention that are based on the fairness of cooperation among stakeholders. In general, stability and fairness in cooperative game theory are separated concepts in cooperative game theory. </w:t>
      </w:r>
    </w:p>
    <w:p w14:paraId="4D893D2F" w14:textId="77777777" w:rsidR="00FD7120" w:rsidRPr="00FD7120" w:rsidRDefault="00FD7120" w:rsidP="00FD7120"/>
    <w:p w14:paraId="3FD05147" w14:textId="3BE611D1" w:rsidR="002373D2" w:rsidRPr="005B72DB" w:rsidRDefault="004C5584" w:rsidP="002373D2">
      <w:pPr>
        <w:pStyle w:val="Heading2"/>
        <w:spacing w:after="120" w:line="360" w:lineRule="auto"/>
      </w:pPr>
      <w:bookmarkStart w:id="1093" w:name="_Toc66703267"/>
      <w:r>
        <w:t>C</w:t>
      </w:r>
      <w:r>
        <w:rPr>
          <w:rFonts w:hint="eastAsia"/>
        </w:rPr>
        <w:t>oncluding</w:t>
      </w:r>
      <w:r>
        <w:t xml:space="preserve"> </w:t>
      </w:r>
      <w:r w:rsidR="00F43E78">
        <w:t>c</w:t>
      </w:r>
      <w:r w:rsidR="00F43E78">
        <w:rPr>
          <w:rFonts w:hint="eastAsia"/>
        </w:rPr>
        <w:t>omments</w:t>
      </w:r>
      <w:bookmarkEnd w:id="1093"/>
    </w:p>
    <w:p w14:paraId="5CDF9FF1" w14:textId="77777777" w:rsidR="00CA2D5D" w:rsidRPr="00CA2D5D" w:rsidRDefault="00CA2D5D" w:rsidP="00CA2D5D">
      <w:pPr>
        <w:spacing w:line="360" w:lineRule="auto"/>
        <w:rPr>
          <w:rFonts w:cs="Times New Roman"/>
          <w:b/>
        </w:rPr>
      </w:pPr>
      <w:r w:rsidRPr="00CA2D5D">
        <w:rPr>
          <w:rFonts w:cs="Times New Roman"/>
        </w:rPr>
        <w:t xml:space="preserve">Recently, many local authorities have set up Urban Consolidation Centres (UCC) for dealing with challenges arising from the negative impacts of logistics in urban contexts through a freight consolidation strategy. It has been shown that such facilities can contribute to the improvement of environmental quality in cities by reducing air pollution and alleviating congestion. </w:t>
      </w:r>
      <w:r w:rsidRPr="00CA2D5D">
        <w:rPr>
          <w:rStyle w:val="fontstyle01"/>
          <w:rFonts w:ascii="Times New Roman" w:hAnsi="Times New Roman" w:cs="Times New Roman"/>
        </w:rPr>
        <w:t>Notwithstanding these encouraging premises, the number of successful UCC projects in Europe is very low, with most of the UCCs fail to achieve financial sustainability and to operate autonomously after the initial experimental phase that might be heavily supported by public funds.</w:t>
      </w:r>
    </w:p>
    <w:p w14:paraId="0A07BB4B" w14:textId="77777777" w:rsidR="00CA2D5D" w:rsidRPr="00CA2D5D" w:rsidRDefault="00CA2D5D" w:rsidP="00CA2D5D">
      <w:pPr>
        <w:spacing w:line="360" w:lineRule="auto"/>
        <w:rPr>
          <w:rFonts w:cs="Times New Roman"/>
          <w:noProof/>
        </w:rPr>
      </w:pPr>
      <w:r w:rsidRPr="00CA2D5D">
        <w:rPr>
          <w:rFonts w:cs="Times New Roman"/>
          <w:noProof/>
        </w:rPr>
        <w:t>In order to propose mechanisms that could favour the financial sustainability of UCC systems, this research has developed an adaptation of established game-theoretic approaches to the problem of responsibility and cost allocation among stakeholders participating in a UCC delivery network.</w:t>
      </w:r>
      <w:r w:rsidRPr="00CA2D5D">
        <w:rPr>
          <w:rFonts w:cs="Times New Roman"/>
        </w:rPr>
        <w:t xml:space="preserve"> </w:t>
      </w:r>
      <w:r w:rsidRPr="00CA2D5D">
        <w:rPr>
          <w:rFonts w:cs="Times New Roman"/>
          <w:noProof/>
        </w:rPr>
        <w:t xml:space="preserve">Proposed approaches are inspired by extended responsibility principles that have been previously applied to the supply chain context. A solution based on the Shapley Value concept has been employed in order to calculate numerical results of cost allocations, under different responsibility scenarios. Applications of the model to a real-world scenario have been developed, along with a sensitivity analysis which has evaluated the suitability of </w:t>
      </w:r>
      <w:r w:rsidRPr="00CA2D5D">
        <w:rPr>
          <w:rFonts w:cs="Times New Roman"/>
          <w:noProof/>
        </w:rPr>
        <w:lastRenderedPageBreak/>
        <w:t xml:space="preserve">the approach to different scenarios, and the possibility of applying the developed cost allocation rules in order to incentivise stakeholders’ participation in UCC projects. </w:t>
      </w:r>
    </w:p>
    <w:p w14:paraId="65A8DE72" w14:textId="77777777" w:rsidR="00CA2D5D" w:rsidRPr="00BE176C" w:rsidRDefault="00CA2D5D" w:rsidP="00CA2D5D">
      <w:pPr>
        <w:spacing w:line="360" w:lineRule="auto"/>
        <w:rPr>
          <w:rFonts w:cs="Times New Roman"/>
          <w:noProof/>
        </w:rPr>
      </w:pPr>
      <w:r w:rsidRPr="00BE176C">
        <w:rPr>
          <w:rFonts w:cs="Times New Roman"/>
          <w:noProof/>
        </w:rPr>
        <w:t xml:space="preserve">As the case study has revealed, allocation schemes based on an extended responsibility concept (UES, DES and resulting composite rules) can enhance the viability of UCCs, alleviating the need for public subsidies through suppliers’ and customers’ participation in UCC operating costs. As these schemes might cause increases in costs faced by other stakeholders, it has also been remarked that these solutions should be implemented through strong political interventions and thorough consultation and engagement. </w:t>
      </w:r>
    </w:p>
    <w:p w14:paraId="0253A958" w14:textId="09AC3FAD" w:rsidR="002373D2" w:rsidRPr="00CA2D5D" w:rsidRDefault="00CA2D5D" w:rsidP="00BE176C">
      <w:pPr>
        <w:spacing w:line="360" w:lineRule="auto"/>
        <w:rPr>
          <w:rFonts w:cs="Times New Roman"/>
          <w:noProof/>
        </w:rPr>
      </w:pPr>
      <w:r w:rsidRPr="00BE176C">
        <w:rPr>
          <w:rFonts w:cs="Times New Roman"/>
          <w:noProof/>
        </w:rPr>
        <w:t xml:space="preserve">The proposed rules have been validated on secondary data based on a real-world case study; future researches could be aimed at investigating the practical implementation of the proposed rules through primary data to be collected in collaboration with Local Authorities. Also, the cost allocation scheme could be extended in order to take into account more complex delivery networks and to evaluate the impact of reverse logistics operations. </w:t>
      </w:r>
      <w:r w:rsidRPr="00CA2D5D">
        <w:rPr>
          <w:rFonts w:cs="Times New Roman"/>
          <w:noProof/>
        </w:rPr>
        <w:t xml:space="preserve">Moreover </w:t>
      </w:r>
      <w:r w:rsidR="009C75C7">
        <w:rPr>
          <w:rFonts w:cs="Times New Roman"/>
          <w:noProof/>
        </w:rPr>
        <w:t xml:space="preserve">the </w:t>
      </w:r>
      <w:r w:rsidRPr="00CA2D5D">
        <w:rPr>
          <w:rFonts w:cs="Times New Roman"/>
          <w:noProof/>
        </w:rPr>
        <w:t xml:space="preserve"> heuristics can be replicated for different UCC delivery networks with a different original structure of logistics costs.</w:t>
      </w:r>
      <w:r w:rsidRPr="00BE176C">
        <w:rPr>
          <w:rFonts w:cs="Times New Roman"/>
          <w:noProof/>
        </w:rPr>
        <w:t xml:space="preserve"> Especially, for the case of outsourcing the last-mile delivery, the discussion on cost allocation rules has emerged as an intricate issue for LAs. The spirit of </w:t>
      </w:r>
      <w:r w:rsidR="003D2144">
        <w:rPr>
          <w:rFonts w:cs="Times New Roman"/>
          <w:noProof/>
        </w:rPr>
        <w:t xml:space="preserve">the </w:t>
      </w:r>
      <w:r w:rsidRPr="00BE176C">
        <w:rPr>
          <w:rFonts w:cs="Times New Roman"/>
          <w:noProof/>
        </w:rPr>
        <w:t>findings</w:t>
      </w:r>
      <w:r w:rsidR="00480F91">
        <w:rPr>
          <w:rFonts w:cs="Times New Roman"/>
          <w:noProof/>
        </w:rPr>
        <w:t xml:space="preserve"> of this chapter</w:t>
      </w:r>
      <w:r w:rsidRPr="00BE176C">
        <w:rPr>
          <w:rFonts w:cs="Times New Roman"/>
          <w:noProof/>
        </w:rPr>
        <w:t>, even if they are related to a particular case-study, can be summari</w:t>
      </w:r>
      <w:r w:rsidR="005344D0">
        <w:rPr>
          <w:rFonts w:cs="Times New Roman"/>
          <w:noProof/>
        </w:rPr>
        <w:t>s</w:t>
      </w:r>
      <w:r w:rsidRPr="00BE176C">
        <w:rPr>
          <w:rFonts w:cs="Times New Roman"/>
          <w:noProof/>
        </w:rPr>
        <w:t xml:space="preserve">ed in the following way.  If local carriers’ costs are larger/smaller than some critical thresholds, LAs may, accordingly, change UES /DES/LRS policies in order to safeguard the financial viability of the UCCs. Undoubtedly, local authorities might choose the policy that safeguards the financial viability of the UCC (and not necessarily the one of LHCs). </w:t>
      </w:r>
      <w:r w:rsidR="009C75C7">
        <w:rPr>
          <w:rFonts w:cs="Times New Roman"/>
          <w:noProof/>
        </w:rPr>
        <w:t>This</w:t>
      </w:r>
      <w:r w:rsidRPr="00BE176C">
        <w:rPr>
          <w:rFonts w:cs="Times New Roman"/>
          <w:noProof/>
        </w:rPr>
        <w:t xml:space="preserve"> method allows for the numerical evaluation of such thresholds and may provide a very practical tool for LAs, if they decide to implement UES /DES cost allocation rules. </w:t>
      </w:r>
      <w:r w:rsidR="00BE176C" w:rsidRPr="00BE176C">
        <w:rPr>
          <w:noProof/>
        </w:rPr>
        <w:t>This chapter</w:t>
      </w:r>
      <w:r w:rsidR="007E16AE" w:rsidRPr="00BE176C">
        <w:rPr>
          <w:noProof/>
        </w:rPr>
        <w:t xml:space="preserve"> </w:t>
      </w:r>
      <w:r w:rsidRPr="00CA2D5D">
        <w:rPr>
          <w:rFonts w:cs="Times New Roman"/>
          <w:noProof/>
        </w:rPr>
        <w:t>suggest</w:t>
      </w:r>
      <w:r w:rsidR="00BE176C">
        <w:rPr>
          <w:rFonts w:cs="Times New Roman"/>
          <w:noProof/>
        </w:rPr>
        <w:t>s</w:t>
      </w:r>
      <w:r w:rsidRPr="00CA2D5D">
        <w:rPr>
          <w:rFonts w:cs="Times New Roman"/>
          <w:noProof/>
        </w:rPr>
        <w:t xml:space="preserve"> the implementation of mixed allocations of UES and DES allocation rules (in combination with more traditional LRS approaches). Those mixed-strategies might be seen as lighter mitigation strategies adopted from LAs, in case some stakeholders might have some critical thresholds in tolerating costs imposed by LAs.</w:t>
      </w:r>
    </w:p>
    <w:p w14:paraId="5E944FC9" w14:textId="04465326" w:rsidR="002373D2" w:rsidRPr="005B72DB" w:rsidRDefault="002373D2" w:rsidP="002373D2">
      <w:pPr>
        <w:pStyle w:val="Heading2"/>
        <w:spacing w:after="120" w:line="360" w:lineRule="auto"/>
      </w:pPr>
      <w:bookmarkStart w:id="1094" w:name="_Toc46053496"/>
      <w:bookmarkStart w:id="1095" w:name="_Toc46093410"/>
      <w:bookmarkStart w:id="1096" w:name="_Toc46093693"/>
      <w:bookmarkStart w:id="1097" w:name="_Toc66703268"/>
      <w:r>
        <w:t xml:space="preserve">Chapter </w:t>
      </w:r>
      <w:bookmarkEnd w:id="1094"/>
      <w:bookmarkEnd w:id="1095"/>
      <w:bookmarkEnd w:id="1096"/>
      <w:r w:rsidR="00F43E78">
        <w:t>summary</w:t>
      </w:r>
      <w:bookmarkEnd w:id="1097"/>
    </w:p>
    <w:p w14:paraId="7AC5C269" w14:textId="77777777" w:rsidR="002373D2" w:rsidRDefault="002373D2" w:rsidP="007548C6">
      <w:pPr>
        <w:spacing w:after="240" w:line="360" w:lineRule="auto"/>
        <w:rPr>
          <w:bCs/>
        </w:rPr>
      </w:pPr>
      <w:r>
        <w:rPr>
          <w:bCs/>
        </w:rPr>
        <w:t xml:space="preserve">This chapter discuss the function of cost allocation rules which in a cooperative game theoretical characteristic form. All members in the entire supply chain could undertake the UCC’s cost together in such cost sharing mechanism. Numerical results show that this cost </w:t>
      </w:r>
      <w:r>
        <w:rPr>
          <w:bCs/>
        </w:rPr>
        <w:lastRenderedPageBreak/>
        <w:t xml:space="preserve">allocation rules can effectively mitigate the UCC financial issues through distributing the cost of UCC to its upstream and downstream stakeholders. </w:t>
      </w:r>
    </w:p>
    <w:p w14:paraId="0FC038AC" w14:textId="6C18F39F" w:rsidR="002373D2" w:rsidRPr="00FD125C" w:rsidRDefault="002373D2" w:rsidP="007548C6">
      <w:pPr>
        <w:spacing w:after="240" w:line="360" w:lineRule="auto"/>
        <w:rPr>
          <w:bCs/>
        </w:rPr>
      </w:pPr>
      <w:r>
        <w:rPr>
          <w:bCs/>
        </w:rPr>
        <w:t xml:space="preserve">In the future development, such rules will be extended from the linear structure supply chain to the network structure supply chain, </w:t>
      </w:r>
      <w:proofErr w:type="gramStart"/>
      <w:r>
        <w:rPr>
          <w:bCs/>
        </w:rPr>
        <w:t>in order to</w:t>
      </w:r>
      <w:proofErr w:type="gramEnd"/>
      <w:r>
        <w:rPr>
          <w:bCs/>
        </w:rPr>
        <w:t xml:space="preserve"> promote its practical application. Then such cost allocation rules will be embedded into the “E-mile” software (Chapter </w:t>
      </w:r>
      <w:r w:rsidR="007C2FCA">
        <w:rPr>
          <w:rFonts w:hint="eastAsia"/>
          <w:bCs/>
        </w:rPr>
        <w:t>8</w:t>
      </w:r>
      <w:r>
        <w:rPr>
          <w:bCs/>
        </w:rPr>
        <w:t>), so that this cost allocation mechanism could help decision-makers to formulate appropriate policy to enhance the stakeholders engagement during the project planning stage.</w:t>
      </w:r>
    </w:p>
    <w:p w14:paraId="179974A5" w14:textId="77777777" w:rsidR="007548C6" w:rsidRDefault="007548C6">
      <w:pPr>
        <w:rPr>
          <w:rFonts w:eastAsiaTheme="majorEastAsia" w:cs="Times New Roman"/>
          <w:b/>
          <w:bCs/>
          <w:color w:val="1F4E79" w:themeColor="accent1" w:themeShade="80"/>
          <w:kern w:val="44"/>
          <w:sz w:val="44"/>
          <w:szCs w:val="32"/>
        </w:rPr>
      </w:pPr>
      <w:r>
        <w:rPr>
          <w:rFonts w:cs="Times New Roman"/>
        </w:rPr>
        <w:br w:type="page"/>
      </w:r>
    </w:p>
    <w:p w14:paraId="2D5D5048" w14:textId="1500F7C4" w:rsidR="00497D07" w:rsidRPr="00497D07" w:rsidRDefault="00BF1E21" w:rsidP="00497D07">
      <w:pPr>
        <w:pStyle w:val="Heading1"/>
        <w:spacing w:after="240" w:afterAutospacing="0"/>
      </w:pPr>
      <w:bookmarkStart w:id="1098" w:name="_Toc66703269"/>
      <w:bookmarkEnd w:id="726"/>
      <w:r>
        <w:lastRenderedPageBreak/>
        <w:t>A Decision Support System for the strategic planning of urban consolidation centres</w:t>
      </w:r>
      <w:bookmarkEnd w:id="1098"/>
    </w:p>
    <w:p w14:paraId="00FCB163" w14:textId="6CE7E1FA" w:rsidR="00CD64D6" w:rsidRPr="00844209" w:rsidRDefault="00BE3F7A" w:rsidP="00844209">
      <w:pPr>
        <w:spacing w:line="360" w:lineRule="auto"/>
      </w:pPr>
      <w:r>
        <w:t>Since many UCC</w:t>
      </w:r>
      <w:r w:rsidR="00075B26">
        <w:rPr>
          <w:rFonts w:hint="eastAsia"/>
        </w:rPr>
        <w:t>s</w:t>
      </w:r>
      <w:r w:rsidR="0059545E">
        <w:t xml:space="preserve"> </w:t>
      </w:r>
      <w:r>
        <w:t xml:space="preserve">are invested </w:t>
      </w:r>
      <w:r w:rsidR="00C515DD">
        <w:t xml:space="preserve">by </w:t>
      </w:r>
      <w:r w:rsidR="003266FB">
        <w:rPr>
          <w:rFonts w:hint="eastAsia"/>
        </w:rPr>
        <w:t>the</w:t>
      </w:r>
      <w:r w:rsidR="003266FB">
        <w:t xml:space="preserve"> </w:t>
      </w:r>
      <w:r w:rsidR="00973286">
        <w:t xml:space="preserve">government </w:t>
      </w:r>
      <w:r w:rsidR="001A0DB5">
        <w:t>or supported by public funding</w:t>
      </w:r>
      <w:r w:rsidR="00C515DD">
        <w:t xml:space="preserve">, </w:t>
      </w:r>
      <w:r w:rsidR="00075B26">
        <w:t xml:space="preserve">these UCCs </w:t>
      </w:r>
      <w:r w:rsidR="00626584">
        <w:t>have</w:t>
      </w:r>
      <w:r w:rsidR="00075B26">
        <w:t xml:space="preserve"> </w:t>
      </w:r>
      <w:r w:rsidR="00CA6FE0">
        <w:t xml:space="preserve">a certain </w:t>
      </w:r>
      <w:r w:rsidR="009E6CCA">
        <w:t xml:space="preserve">amount </w:t>
      </w:r>
      <w:r w:rsidR="00CA6FE0">
        <w:t>of initial</w:t>
      </w:r>
      <w:r w:rsidR="00075B26">
        <w:t xml:space="preserve"> capital.</w:t>
      </w:r>
      <w:r w:rsidR="00626584">
        <w:t xml:space="preserve"> </w:t>
      </w:r>
      <w:r w:rsidR="00BA12D9">
        <w:t>For the UCC planners</w:t>
      </w:r>
      <w:r w:rsidR="00C417CF">
        <w:t>,</w:t>
      </w:r>
      <w:r w:rsidR="00BA12D9">
        <w:t xml:space="preserve"> the key element </w:t>
      </w:r>
      <w:r w:rsidR="00F55113">
        <w:t>of</w:t>
      </w:r>
      <w:r w:rsidR="00BA12D9">
        <w:t xml:space="preserve"> construct</w:t>
      </w:r>
      <w:r w:rsidR="00F55113">
        <w:t>ing</w:t>
      </w:r>
      <w:r w:rsidR="00BA12D9">
        <w:t xml:space="preserve"> a successful UCC is </w:t>
      </w:r>
      <w:r w:rsidR="003C0EE0">
        <w:t xml:space="preserve">to control </w:t>
      </w:r>
      <w:r w:rsidR="0052054F">
        <w:t xml:space="preserve">the </w:t>
      </w:r>
      <w:r w:rsidR="00F906FB">
        <w:t xml:space="preserve">UCC’s cost </w:t>
      </w:r>
      <w:r w:rsidR="00F906FB" w:rsidRPr="00897D25">
        <w:t>within the budget</w:t>
      </w:r>
      <w:r w:rsidR="00F906FB">
        <w:t>.</w:t>
      </w:r>
      <w:r w:rsidR="00A21349">
        <w:t xml:space="preserve"> </w:t>
      </w:r>
      <w:r w:rsidR="00C417CF">
        <w:t xml:space="preserve">On the other hand, </w:t>
      </w:r>
      <w:r w:rsidR="004E017A">
        <w:t xml:space="preserve">UCC planners </w:t>
      </w:r>
      <w:r w:rsidR="00354F61">
        <w:t xml:space="preserve">expect the UCC can be </w:t>
      </w:r>
      <w:r w:rsidR="002F32CB">
        <w:t xml:space="preserve">successfully </w:t>
      </w:r>
      <w:r w:rsidR="00354F61">
        <w:t xml:space="preserve">self-sustaining </w:t>
      </w:r>
      <w:r w:rsidR="00CA6FE0">
        <w:t xml:space="preserve">before </w:t>
      </w:r>
      <w:r w:rsidR="00F55113">
        <w:t>the public</w:t>
      </w:r>
      <w:r w:rsidR="00CA6FE0">
        <w:t xml:space="preserve"> funding runs out. </w:t>
      </w:r>
      <w:r w:rsidR="001B13E9">
        <w:t>F</w:t>
      </w:r>
      <w:r w:rsidR="00C417CF">
        <w:t xml:space="preserve">or the private stakeholders, </w:t>
      </w:r>
      <w:r w:rsidR="00E41B1C">
        <w:t xml:space="preserve">since they do not </w:t>
      </w:r>
      <w:r w:rsidR="0079109F">
        <w:t>wish</w:t>
      </w:r>
      <w:r w:rsidR="00E41B1C">
        <w:t xml:space="preserve"> their commercial interest </w:t>
      </w:r>
      <w:r w:rsidR="00784089">
        <w:t>to be</w:t>
      </w:r>
      <w:r w:rsidR="00E41B1C">
        <w:t xml:space="preserve"> harm</w:t>
      </w:r>
      <w:r w:rsidR="00784089">
        <w:t>ed</w:t>
      </w:r>
      <w:r w:rsidR="00E41B1C">
        <w:t xml:space="preserve"> by </w:t>
      </w:r>
      <w:r w:rsidR="0079109F">
        <w:t xml:space="preserve">the </w:t>
      </w:r>
      <w:r w:rsidR="00E41B1C">
        <w:t>UCC,</w:t>
      </w:r>
      <w:r w:rsidR="00EB1D3C">
        <w:t xml:space="preserve"> </w:t>
      </w:r>
      <w:r w:rsidR="00C417CF">
        <w:t>the</w:t>
      </w:r>
      <w:r w:rsidR="00517845">
        <w:t xml:space="preserve"> </w:t>
      </w:r>
      <w:r w:rsidR="00C417CF">
        <w:t xml:space="preserve">additional </w:t>
      </w:r>
      <w:r w:rsidR="00517845">
        <w:t xml:space="preserve">cost </w:t>
      </w:r>
      <w:r w:rsidR="00C417CF">
        <w:t>generated</w:t>
      </w:r>
      <w:r w:rsidR="00517845">
        <w:t xml:space="preserve"> by </w:t>
      </w:r>
      <w:r w:rsidR="00C417CF">
        <w:t>joining</w:t>
      </w:r>
      <w:r w:rsidR="002E3802">
        <w:t xml:space="preserve"> the</w:t>
      </w:r>
      <w:r w:rsidR="00517845">
        <w:t xml:space="preserve"> UCC is </w:t>
      </w:r>
      <w:r w:rsidR="002E3802">
        <w:t xml:space="preserve">what </w:t>
      </w:r>
      <w:r w:rsidR="00517845">
        <w:t>serious</w:t>
      </w:r>
      <w:r w:rsidR="003C41D2">
        <w:t>ly c</w:t>
      </w:r>
      <w:r w:rsidR="00011952">
        <w:t>oncern</w:t>
      </w:r>
      <w:r w:rsidR="002E3802">
        <w:t>s</w:t>
      </w:r>
      <w:r w:rsidR="00517845">
        <w:t xml:space="preserve"> </w:t>
      </w:r>
      <w:r w:rsidR="002E3802">
        <w:t>them</w:t>
      </w:r>
      <w:r w:rsidR="00E41B1C">
        <w:t xml:space="preserve">. </w:t>
      </w:r>
      <w:r w:rsidR="00041F51">
        <w:t xml:space="preserve">Furthermore, </w:t>
      </w:r>
      <w:r w:rsidR="00E41B1C">
        <w:t>these</w:t>
      </w:r>
      <w:r w:rsidR="00041F51">
        <w:t xml:space="preserve"> stakeholders also hope that </w:t>
      </w:r>
      <w:r w:rsidR="005B2421">
        <w:t xml:space="preserve">the </w:t>
      </w:r>
      <w:r w:rsidR="00041F51">
        <w:t xml:space="preserve">UCC </w:t>
      </w:r>
      <w:r w:rsidR="00E41B1C">
        <w:t>must</w:t>
      </w:r>
      <w:r w:rsidR="00041F51">
        <w:t xml:space="preserve"> prevent their goods from operation</w:t>
      </w:r>
      <w:r w:rsidR="005B2421">
        <w:t>al</w:t>
      </w:r>
      <w:r w:rsidR="00041F51">
        <w:t xml:space="preserve"> risk (such as delays, </w:t>
      </w:r>
      <w:r w:rsidR="00E375BD">
        <w:t>goods damage, and goods lost, etc.)</w:t>
      </w:r>
      <w:r w:rsidR="0003521C">
        <w:t>.</w:t>
      </w:r>
      <w:r w:rsidR="00EB1D3C">
        <w:t xml:space="preserve"> </w:t>
      </w:r>
      <w:r w:rsidR="0003521C">
        <w:t xml:space="preserve">Based on </w:t>
      </w:r>
      <w:r w:rsidR="00635ED7">
        <w:t xml:space="preserve">the </w:t>
      </w:r>
      <w:r w:rsidR="0003521C">
        <w:t>above considerations</w:t>
      </w:r>
      <w:r w:rsidR="00397096" w:rsidRPr="00397096">
        <w:t>,</w:t>
      </w:r>
      <w:r w:rsidR="00AA5181">
        <w:t xml:space="preserve"> both</w:t>
      </w:r>
      <w:r w:rsidR="00397096" w:rsidRPr="00397096">
        <w:t xml:space="preserve"> public</w:t>
      </w:r>
      <w:r w:rsidR="00AA5181">
        <w:t xml:space="preserve"> </w:t>
      </w:r>
      <w:r w:rsidR="00397096" w:rsidRPr="00397096">
        <w:t xml:space="preserve">and private stakeholders </w:t>
      </w:r>
      <w:r w:rsidR="00AA5181">
        <w:t>must</w:t>
      </w:r>
      <w:r w:rsidR="00397096" w:rsidRPr="00397096">
        <w:t xml:space="preserve"> </w:t>
      </w:r>
      <w:r w:rsidR="00C7279C">
        <w:t>form the UCC</w:t>
      </w:r>
      <w:r w:rsidR="00C7279C" w:rsidRPr="00397096">
        <w:t xml:space="preserve"> </w:t>
      </w:r>
      <w:r w:rsidR="00397096" w:rsidRPr="00397096">
        <w:t>together</w:t>
      </w:r>
      <w:r w:rsidR="00F5570D">
        <w:t xml:space="preserve"> </w:t>
      </w:r>
      <w:r w:rsidR="00EB1D3C">
        <w:t>during</w:t>
      </w:r>
      <w:r w:rsidR="00F5570D">
        <w:t xml:space="preserve"> the stakeholders </w:t>
      </w:r>
      <w:r w:rsidR="0021214A">
        <w:t>engagement</w:t>
      </w:r>
      <w:r w:rsidR="008C47F5">
        <w:t>, and</w:t>
      </w:r>
      <w:r w:rsidR="00B30BCB">
        <w:t xml:space="preserve"> </w:t>
      </w:r>
      <w:r w:rsidR="0021214A">
        <w:t>thus</w:t>
      </w:r>
      <w:r w:rsidR="00B30BCB">
        <w:t xml:space="preserve"> </w:t>
      </w:r>
      <w:r w:rsidR="0021214A">
        <w:t xml:space="preserve">this project </w:t>
      </w:r>
      <w:r w:rsidR="00FD68C9">
        <w:t xml:space="preserve">can be reasonably configured </w:t>
      </w:r>
      <w:r w:rsidR="00424716">
        <w:t xml:space="preserve">according to the demands of daily </w:t>
      </w:r>
      <w:r w:rsidR="000E4BE1">
        <w:t>freight shipment.</w:t>
      </w:r>
      <w:r w:rsidR="00131B8A" w:rsidRPr="00131B8A">
        <w:t xml:space="preserve"> </w:t>
      </w:r>
      <w:r w:rsidR="0053506D">
        <w:t xml:space="preserve">Furthermore, both public and private stakeholders should </w:t>
      </w:r>
      <w:r w:rsidR="0053506D" w:rsidRPr="00397096">
        <w:t>determine pricing strategies for UCC services</w:t>
      </w:r>
      <w:r w:rsidR="0053506D">
        <w:t xml:space="preserve"> together, which</w:t>
      </w:r>
      <w:r w:rsidR="0053506D" w:rsidRPr="00397096">
        <w:t xml:space="preserve"> </w:t>
      </w:r>
      <w:r w:rsidR="0053506D">
        <w:t xml:space="preserve">enables </w:t>
      </w:r>
      <w:r w:rsidR="00AB6BC8">
        <w:t xml:space="preserve">the </w:t>
      </w:r>
      <w:r w:rsidR="0053506D">
        <w:t xml:space="preserve">UCC to </w:t>
      </w:r>
      <w:r w:rsidR="0053506D" w:rsidRPr="004D5014">
        <w:t>recoup all its costs</w:t>
      </w:r>
      <w:r w:rsidR="0053506D">
        <w:t xml:space="preserve"> </w:t>
      </w:r>
      <w:r w:rsidR="0053506D" w:rsidRPr="00794342">
        <w:t xml:space="preserve">without </w:t>
      </w:r>
      <w:r w:rsidR="0053506D">
        <w:t xml:space="preserve">significantly </w:t>
      </w:r>
      <w:r w:rsidR="0053506D" w:rsidRPr="00794342">
        <w:t>increasing the financial burden on private</w:t>
      </w:r>
      <w:r w:rsidR="0053506D">
        <w:t xml:space="preserve"> stakeholders. </w:t>
      </w:r>
      <w:r w:rsidR="007E785F">
        <w:t>Depending on</w:t>
      </w:r>
      <w:r w:rsidR="000C7CCE">
        <w:t xml:space="preserve"> this </w:t>
      </w:r>
      <w:r w:rsidR="00EF2BB8">
        <w:t>exact</w:t>
      </w:r>
      <w:r w:rsidR="000C7CCE">
        <w:t xml:space="preserve"> process</w:t>
      </w:r>
      <w:r w:rsidR="00131B8A" w:rsidRPr="00131B8A">
        <w:t xml:space="preserve">, the UCC can handle cargo efficiently without leaving </w:t>
      </w:r>
      <w:r w:rsidR="00131B8A">
        <w:t xml:space="preserve">the </w:t>
      </w:r>
      <w:r w:rsidR="00131B8A" w:rsidRPr="00131B8A">
        <w:t>resources idle</w:t>
      </w:r>
      <w:r w:rsidR="00526313">
        <w:t>,</w:t>
      </w:r>
      <w:r w:rsidR="0053506D">
        <w:t xml:space="preserve"> as well as enjoy a sound financial con</w:t>
      </w:r>
      <w:r w:rsidR="00261216">
        <w:t>dition</w:t>
      </w:r>
      <w:r w:rsidR="002C7F1C">
        <w:t xml:space="preserve">. </w:t>
      </w:r>
      <w:r w:rsidR="000C7CCE">
        <w:t xml:space="preserve">Considering </w:t>
      </w:r>
      <w:r w:rsidR="00AD6C97">
        <w:t xml:space="preserve">the </w:t>
      </w:r>
      <w:r w:rsidR="000C7CCE">
        <w:t>above factors,</w:t>
      </w:r>
      <w:r w:rsidR="00261216">
        <w:t xml:space="preserve"> </w:t>
      </w:r>
      <w:r w:rsidR="000C7CCE">
        <w:t xml:space="preserve">the decision-making tool developed in this </w:t>
      </w:r>
      <w:r w:rsidR="0003521C">
        <w:t>thesis</w:t>
      </w:r>
      <w:r w:rsidR="000C7CCE">
        <w:t xml:space="preserve"> can be used in a preliminary stage to engage stakeholders and show them the financial results of different UCC </w:t>
      </w:r>
      <w:r w:rsidR="00AE7BD3">
        <w:t>scenarios</w:t>
      </w:r>
      <w:r w:rsidR="000C7CCE">
        <w:t>.</w:t>
      </w:r>
    </w:p>
    <w:p w14:paraId="4EBB1B68" w14:textId="51DBEFB0" w:rsidR="00A62AE3" w:rsidRPr="00762275" w:rsidRDefault="00374946" w:rsidP="007548C6">
      <w:pPr>
        <w:pStyle w:val="Heading2"/>
        <w:spacing w:after="120" w:line="360" w:lineRule="auto"/>
        <w:rPr>
          <w:rFonts w:cs="Times New Roman"/>
        </w:rPr>
      </w:pPr>
      <w:bookmarkStart w:id="1099" w:name="_Toc34734577"/>
      <w:bookmarkStart w:id="1100" w:name="_Toc46053498"/>
      <w:bookmarkStart w:id="1101" w:name="_Toc46093412"/>
      <w:bookmarkStart w:id="1102" w:name="_Toc46093695"/>
      <w:bookmarkStart w:id="1103" w:name="_Toc66703270"/>
      <w:r w:rsidRPr="00737239">
        <w:rPr>
          <w:rFonts w:cs="Times New Roman"/>
        </w:rPr>
        <w:t xml:space="preserve">The need for </w:t>
      </w:r>
      <w:r w:rsidR="002F2CBC">
        <w:rPr>
          <w:rFonts w:cs="Times New Roman"/>
        </w:rPr>
        <w:t>s</w:t>
      </w:r>
      <w:r w:rsidRPr="00737239">
        <w:rPr>
          <w:rFonts w:cs="Times New Roman"/>
        </w:rPr>
        <w:t xml:space="preserve">cenario </w:t>
      </w:r>
      <w:r w:rsidR="002F2CBC">
        <w:rPr>
          <w:rFonts w:cs="Times New Roman"/>
        </w:rPr>
        <w:t>p</w:t>
      </w:r>
      <w:r w:rsidRPr="00737239">
        <w:rPr>
          <w:rFonts w:cs="Times New Roman"/>
        </w:rPr>
        <w:t xml:space="preserve">lanning </w:t>
      </w:r>
      <w:r w:rsidR="002F2CBC">
        <w:rPr>
          <w:rFonts w:cs="Times New Roman"/>
        </w:rPr>
        <w:t>t</w:t>
      </w:r>
      <w:r w:rsidRPr="00737239">
        <w:rPr>
          <w:rFonts w:cs="Times New Roman"/>
        </w:rPr>
        <w:t xml:space="preserve">ools for UCC </w:t>
      </w:r>
      <w:r w:rsidR="002F2CBC">
        <w:rPr>
          <w:rFonts w:cs="Times New Roman"/>
        </w:rPr>
        <w:t>s</w:t>
      </w:r>
      <w:r w:rsidRPr="00737239">
        <w:rPr>
          <w:rFonts w:cs="Times New Roman"/>
        </w:rPr>
        <w:t xml:space="preserve">trategic </w:t>
      </w:r>
      <w:r w:rsidR="002F2CBC">
        <w:rPr>
          <w:rFonts w:cs="Times New Roman"/>
        </w:rPr>
        <w:t>d</w:t>
      </w:r>
      <w:r w:rsidRPr="00737239">
        <w:rPr>
          <w:rFonts w:cs="Times New Roman"/>
        </w:rPr>
        <w:t>esign</w:t>
      </w:r>
      <w:bookmarkEnd w:id="1099"/>
      <w:bookmarkEnd w:id="1100"/>
      <w:bookmarkEnd w:id="1101"/>
      <w:bookmarkEnd w:id="1102"/>
      <w:bookmarkEnd w:id="1103"/>
      <w:r w:rsidRPr="00737239">
        <w:rPr>
          <w:rFonts w:cs="Times New Roman"/>
        </w:rPr>
        <w:t xml:space="preserve"> </w:t>
      </w:r>
    </w:p>
    <w:p w14:paraId="1ABA9713" w14:textId="5EF3EC3F" w:rsidR="00374946" w:rsidRPr="008903D1" w:rsidRDefault="00374946" w:rsidP="007548C6">
      <w:pPr>
        <w:spacing w:after="240" w:line="360" w:lineRule="auto"/>
        <w:rPr>
          <w:rFonts w:cs="Times New Roman"/>
          <w:color w:val="000000"/>
          <w:szCs w:val="24"/>
        </w:rPr>
      </w:pPr>
      <w:r w:rsidRPr="008903D1">
        <w:rPr>
          <w:rFonts w:cs="Times New Roman"/>
          <w:szCs w:val="24"/>
        </w:rPr>
        <w:t xml:space="preserve">Scenario planning examines sensitivity to changes in the environment, using a range of models to explore how different scenarios may affect current and planned initiatives. It allows the opportunity to incorporate some resilience planning into the SUL framework. </w:t>
      </w:r>
      <w:r w:rsidRPr="008903D1">
        <w:rPr>
          <w:rFonts w:cs="Times New Roman"/>
          <w:color w:val="222222"/>
          <w:szCs w:val="24"/>
          <w:lang w:eastAsia="en-GB"/>
        </w:rPr>
        <w:t xml:space="preserve">While in the market several operational tools aimed at optimising the functioning of Urban Consolidation Centres can be retrieved, the </w:t>
      </w:r>
      <w:proofErr w:type="spellStart"/>
      <w:r w:rsidRPr="008903D1">
        <w:rPr>
          <w:rFonts w:cs="Times New Roman"/>
          <w:color w:val="222222"/>
          <w:szCs w:val="24"/>
          <w:lang w:eastAsia="en-GB"/>
        </w:rPr>
        <w:t>ProSFeT</w:t>
      </w:r>
      <w:proofErr w:type="spellEnd"/>
      <w:r w:rsidRPr="008903D1">
        <w:rPr>
          <w:rFonts w:cs="Times New Roman"/>
          <w:color w:val="222222"/>
          <w:szCs w:val="24"/>
          <w:lang w:eastAsia="en-GB"/>
        </w:rPr>
        <w:t xml:space="preserve"> project highlighted the lack of strategic decision support systems (that could be utilised also by other stakeholders in the industry) aimed at providing some sort of </w:t>
      </w:r>
      <w:r w:rsidRPr="008903D1">
        <w:rPr>
          <w:rFonts w:cs="Times New Roman"/>
          <w:i/>
          <w:color w:val="222222"/>
          <w:szCs w:val="24"/>
          <w:lang w:eastAsia="en-GB"/>
        </w:rPr>
        <w:t>scenario planning</w:t>
      </w:r>
      <w:r w:rsidRPr="008903D1">
        <w:rPr>
          <w:rFonts w:cs="Times New Roman"/>
          <w:color w:val="222222"/>
          <w:szCs w:val="24"/>
          <w:lang w:eastAsia="en-GB"/>
        </w:rPr>
        <w:t xml:space="preserve"> functionality which could be very useful in the phase of strategic design of an UCC. In this specific functionality, a decision-maker (who, for instance, could be a transport planner in a city council) could just insert some hypothetical demand for the last-mile delivery services (in terms of typical incoming trucks per day and number of </w:t>
      </w:r>
      <w:r w:rsidRPr="008903D1">
        <w:rPr>
          <w:rFonts w:cs="Times New Roman"/>
          <w:color w:val="222222"/>
          <w:szCs w:val="24"/>
          <w:lang w:eastAsia="en-GB"/>
        </w:rPr>
        <w:lastRenderedPageBreak/>
        <w:t>customers that need to be served, with their operating time windows). The tool could then provide an indication about some issues that need to be considered in the planning stage for the design of an UCC, such as:</w:t>
      </w:r>
    </w:p>
    <w:p w14:paraId="03427F49" w14:textId="77777777" w:rsidR="00374946" w:rsidRPr="008903D1" w:rsidRDefault="00374946" w:rsidP="00A323CC">
      <w:pPr>
        <w:pStyle w:val="ListParagraph"/>
        <w:numPr>
          <w:ilvl w:val="0"/>
          <w:numId w:val="18"/>
        </w:numPr>
        <w:spacing w:line="360" w:lineRule="auto"/>
        <w:rPr>
          <w:rFonts w:cs="Times New Roman"/>
          <w:color w:val="222222"/>
          <w:szCs w:val="24"/>
          <w:lang w:eastAsia="en-GB"/>
        </w:rPr>
      </w:pPr>
      <w:r w:rsidRPr="008903D1">
        <w:rPr>
          <w:rFonts w:cs="Times New Roman"/>
          <w:color w:val="222222"/>
          <w:szCs w:val="24"/>
          <w:lang w:eastAsia="en-GB"/>
        </w:rPr>
        <w:t xml:space="preserve">The location and recommended number of UCCs to be located in the urban area under </w:t>
      </w:r>
      <w:proofErr w:type="gramStart"/>
      <w:r w:rsidRPr="008903D1">
        <w:rPr>
          <w:rFonts w:cs="Times New Roman"/>
          <w:color w:val="222222"/>
          <w:szCs w:val="24"/>
          <w:lang w:eastAsia="en-GB"/>
        </w:rPr>
        <w:t>investigation;</w:t>
      </w:r>
      <w:proofErr w:type="gramEnd"/>
    </w:p>
    <w:p w14:paraId="2919BCA8" w14:textId="77777777" w:rsidR="00374946" w:rsidRPr="008903D1" w:rsidRDefault="00374946" w:rsidP="00A323CC">
      <w:pPr>
        <w:pStyle w:val="ListParagraph"/>
        <w:numPr>
          <w:ilvl w:val="0"/>
          <w:numId w:val="18"/>
        </w:numPr>
        <w:spacing w:line="360" w:lineRule="auto"/>
        <w:rPr>
          <w:rFonts w:cs="Times New Roman"/>
          <w:color w:val="222222"/>
          <w:szCs w:val="24"/>
          <w:lang w:eastAsia="en-GB"/>
        </w:rPr>
      </w:pPr>
      <w:r w:rsidRPr="008903D1">
        <w:rPr>
          <w:rFonts w:cs="Times New Roman"/>
          <w:color w:val="222222"/>
          <w:szCs w:val="24"/>
          <w:lang w:eastAsia="en-GB"/>
        </w:rPr>
        <w:t>The required fleet size to be operational at the UCCs (and, consequently, the number of charging stations needed for them, in case of electric vehicles</w:t>
      </w:r>
      <w:proofErr w:type="gramStart"/>
      <w:r w:rsidRPr="008903D1">
        <w:rPr>
          <w:rFonts w:cs="Times New Roman"/>
          <w:color w:val="222222"/>
          <w:szCs w:val="24"/>
          <w:lang w:eastAsia="en-GB"/>
        </w:rPr>
        <w:t>);</w:t>
      </w:r>
      <w:proofErr w:type="gramEnd"/>
    </w:p>
    <w:p w14:paraId="5B674828" w14:textId="77777777" w:rsidR="00374946" w:rsidRPr="008903D1" w:rsidRDefault="00374946" w:rsidP="00A323CC">
      <w:pPr>
        <w:pStyle w:val="ListParagraph"/>
        <w:numPr>
          <w:ilvl w:val="0"/>
          <w:numId w:val="18"/>
        </w:numPr>
        <w:spacing w:line="360" w:lineRule="auto"/>
        <w:rPr>
          <w:rFonts w:cs="Times New Roman"/>
          <w:color w:val="222222"/>
          <w:szCs w:val="24"/>
          <w:lang w:eastAsia="en-GB"/>
        </w:rPr>
      </w:pPr>
      <w:r w:rsidRPr="008903D1">
        <w:rPr>
          <w:rFonts w:cs="Times New Roman"/>
          <w:color w:val="222222"/>
          <w:szCs w:val="24"/>
          <w:lang w:eastAsia="en-GB"/>
        </w:rPr>
        <w:t xml:space="preserve">The number of incoming and outgoing doors that are needed for the UCCs, and, consequently, the overall area required for the </w:t>
      </w:r>
      <w:proofErr w:type="gramStart"/>
      <w:r w:rsidRPr="008903D1">
        <w:rPr>
          <w:rFonts w:cs="Times New Roman"/>
          <w:color w:val="222222"/>
          <w:szCs w:val="24"/>
          <w:lang w:eastAsia="en-GB"/>
        </w:rPr>
        <w:t>warehouse;</w:t>
      </w:r>
      <w:proofErr w:type="gramEnd"/>
    </w:p>
    <w:p w14:paraId="2448102F" w14:textId="77777777" w:rsidR="00374946" w:rsidRPr="008903D1" w:rsidRDefault="00374946" w:rsidP="00A323CC">
      <w:pPr>
        <w:pStyle w:val="ListParagraph"/>
        <w:numPr>
          <w:ilvl w:val="0"/>
          <w:numId w:val="18"/>
        </w:numPr>
        <w:spacing w:line="360" w:lineRule="auto"/>
        <w:rPr>
          <w:rFonts w:cs="Times New Roman"/>
          <w:color w:val="222222"/>
          <w:szCs w:val="24"/>
          <w:lang w:eastAsia="en-GB"/>
        </w:rPr>
      </w:pPr>
      <w:r w:rsidRPr="008903D1">
        <w:rPr>
          <w:rFonts w:cs="Times New Roman"/>
          <w:color w:val="222222"/>
          <w:szCs w:val="24"/>
          <w:lang w:eastAsia="en-GB"/>
        </w:rPr>
        <w:t>Workforce planning issues (required drivers, warehouse operatives and other workers required for the functioning of the warehouse</w:t>
      </w:r>
      <w:proofErr w:type="gramStart"/>
      <w:r w:rsidRPr="008903D1">
        <w:rPr>
          <w:rFonts w:cs="Times New Roman"/>
          <w:color w:val="222222"/>
          <w:szCs w:val="24"/>
          <w:lang w:eastAsia="en-GB"/>
        </w:rPr>
        <w:t>);</w:t>
      </w:r>
      <w:proofErr w:type="gramEnd"/>
    </w:p>
    <w:p w14:paraId="7BA192E4" w14:textId="77777777" w:rsidR="00374946" w:rsidRPr="008903D1" w:rsidRDefault="00374946" w:rsidP="00A323CC">
      <w:pPr>
        <w:pStyle w:val="ListParagraph"/>
        <w:numPr>
          <w:ilvl w:val="0"/>
          <w:numId w:val="18"/>
        </w:numPr>
        <w:spacing w:line="360" w:lineRule="auto"/>
        <w:rPr>
          <w:rFonts w:cs="Times New Roman"/>
          <w:color w:val="222222"/>
          <w:szCs w:val="24"/>
          <w:lang w:eastAsia="en-GB"/>
        </w:rPr>
      </w:pPr>
      <w:r w:rsidRPr="008903D1">
        <w:rPr>
          <w:rFonts w:cs="Times New Roman"/>
          <w:color w:val="222222"/>
          <w:szCs w:val="24"/>
          <w:lang w:eastAsia="en-GB"/>
        </w:rPr>
        <w:t xml:space="preserve">A measure of the savings (in terms of cost, of overall travel distances and of environmental impacts) that the implementation of the UCC could imply. </w:t>
      </w:r>
    </w:p>
    <w:p w14:paraId="008D4166" w14:textId="77777777" w:rsidR="00374946" w:rsidRPr="008903D1" w:rsidRDefault="00374946" w:rsidP="007548C6">
      <w:pPr>
        <w:spacing w:before="240" w:after="240" w:line="360" w:lineRule="auto"/>
        <w:rPr>
          <w:rFonts w:cs="Times New Roman"/>
          <w:color w:val="222222"/>
          <w:szCs w:val="24"/>
          <w:lang w:eastAsia="en-GB"/>
        </w:rPr>
      </w:pPr>
      <w:r w:rsidRPr="008903D1">
        <w:rPr>
          <w:rFonts w:cs="Times New Roman"/>
          <w:color w:val="222222"/>
          <w:szCs w:val="24"/>
          <w:lang w:eastAsia="en-GB"/>
        </w:rPr>
        <w:t>Assessing all these dimensions, the tool could:</w:t>
      </w:r>
    </w:p>
    <w:p w14:paraId="4612903D" w14:textId="77777777" w:rsidR="00374946" w:rsidRPr="008903D1" w:rsidRDefault="00374946" w:rsidP="00A323CC">
      <w:pPr>
        <w:pStyle w:val="ListParagraph"/>
        <w:numPr>
          <w:ilvl w:val="0"/>
          <w:numId w:val="19"/>
        </w:numPr>
        <w:spacing w:line="360" w:lineRule="auto"/>
        <w:rPr>
          <w:rFonts w:cs="Times New Roman"/>
          <w:color w:val="222222"/>
          <w:szCs w:val="24"/>
          <w:lang w:eastAsia="en-GB"/>
        </w:rPr>
      </w:pPr>
      <w:r w:rsidRPr="008903D1">
        <w:rPr>
          <w:rFonts w:cs="Times New Roman"/>
          <w:color w:val="222222"/>
          <w:szCs w:val="24"/>
          <w:lang w:eastAsia="en-GB"/>
        </w:rPr>
        <w:t>Facilitate better informed decision-making in the planning stage (for instance, by providing useful elements for identifying a suitable area for the site</w:t>
      </w:r>
      <w:proofErr w:type="gramStart"/>
      <w:r w:rsidRPr="008903D1">
        <w:rPr>
          <w:rFonts w:cs="Times New Roman"/>
          <w:color w:val="222222"/>
          <w:szCs w:val="24"/>
          <w:lang w:eastAsia="en-GB"/>
        </w:rPr>
        <w:t>);</w:t>
      </w:r>
      <w:proofErr w:type="gramEnd"/>
    </w:p>
    <w:p w14:paraId="5134581D" w14:textId="77777777" w:rsidR="00374946" w:rsidRPr="008903D1" w:rsidRDefault="00374946" w:rsidP="00A323CC">
      <w:pPr>
        <w:pStyle w:val="ListParagraph"/>
        <w:numPr>
          <w:ilvl w:val="0"/>
          <w:numId w:val="19"/>
        </w:numPr>
        <w:spacing w:line="360" w:lineRule="auto"/>
        <w:rPr>
          <w:rFonts w:cs="Times New Roman"/>
          <w:color w:val="222222"/>
          <w:szCs w:val="24"/>
          <w:lang w:eastAsia="en-GB"/>
        </w:rPr>
      </w:pPr>
      <w:r w:rsidRPr="008903D1">
        <w:rPr>
          <w:rFonts w:cs="Times New Roman"/>
          <w:color w:val="222222"/>
          <w:szCs w:val="24"/>
          <w:lang w:eastAsia="en-GB"/>
        </w:rPr>
        <w:t>Provide a rough but helpful estimate about the investment required for setting up an UCC facility (in many cases these estimates are produced by utilising very unreliable models that are completely detached from the way in which such platforms will work in the reality</w:t>
      </w:r>
      <w:proofErr w:type="gramStart"/>
      <w:r w:rsidRPr="008903D1">
        <w:rPr>
          <w:rFonts w:cs="Times New Roman"/>
          <w:color w:val="222222"/>
          <w:szCs w:val="24"/>
          <w:lang w:eastAsia="en-GB"/>
        </w:rPr>
        <w:t>);</w:t>
      </w:r>
      <w:proofErr w:type="gramEnd"/>
      <w:r w:rsidRPr="008903D1">
        <w:rPr>
          <w:rFonts w:cs="Times New Roman"/>
          <w:color w:val="222222"/>
          <w:szCs w:val="24"/>
          <w:lang w:eastAsia="en-GB"/>
        </w:rPr>
        <w:t xml:space="preserve"> </w:t>
      </w:r>
    </w:p>
    <w:p w14:paraId="10556E54" w14:textId="2C32AF58" w:rsidR="00374946" w:rsidRPr="00763F7C" w:rsidRDefault="00374946" w:rsidP="00A323CC">
      <w:pPr>
        <w:pStyle w:val="ListParagraph"/>
        <w:numPr>
          <w:ilvl w:val="0"/>
          <w:numId w:val="19"/>
        </w:numPr>
        <w:spacing w:line="360" w:lineRule="auto"/>
        <w:rPr>
          <w:rFonts w:cs="Times New Roman"/>
          <w:color w:val="222222"/>
          <w:szCs w:val="24"/>
          <w:lang w:eastAsia="en-GB"/>
        </w:rPr>
      </w:pPr>
      <w:r w:rsidRPr="008903D1">
        <w:rPr>
          <w:rFonts w:cs="Times New Roman"/>
          <w:color w:val="222222"/>
          <w:szCs w:val="24"/>
          <w:lang w:eastAsia="en-GB"/>
        </w:rPr>
        <w:t xml:space="preserve">Provide an initial estimate about financing in the long run, </w:t>
      </w:r>
      <w:proofErr w:type="gramStart"/>
      <w:r w:rsidRPr="008903D1">
        <w:rPr>
          <w:rFonts w:cs="Times New Roman"/>
          <w:color w:val="222222"/>
          <w:szCs w:val="24"/>
          <w:lang w:eastAsia="en-GB"/>
        </w:rPr>
        <w:t>in order to</w:t>
      </w:r>
      <w:proofErr w:type="gramEnd"/>
      <w:r w:rsidRPr="008903D1">
        <w:rPr>
          <w:rFonts w:cs="Times New Roman"/>
          <w:color w:val="222222"/>
          <w:szCs w:val="24"/>
          <w:lang w:eastAsia="en-GB"/>
        </w:rPr>
        <w:t xml:space="preserve"> ensure the sustainability of such facilities.</w:t>
      </w:r>
    </w:p>
    <w:p w14:paraId="3876563F" w14:textId="685246D6" w:rsidR="00374946" w:rsidRPr="00802DC5" w:rsidRDefault="00374946" w:rsidP="000A4E8C">
      <w:pPr>
        <w:pStyle w:val="Heading2"/>
        <w:spacing w:after="120" w:line="360" w:lineRule="auto"/>
        <w:rPr>
          <w:rFonts w:cs="Times New Roman"/>
        </w:rPr>
      </w:pPr>
      <w:bookmarkStart w:id="1104" w:name="_Toc34734578"/>
      <w:bookmarkStart w:id="1105" w:name="_Toc46053499"/>
      <w:bookmarkStart w:id="1106" w:name="_Toc46093413"/>
      <w:bookmarkStart w:id="1107" w:name="_Toc46093696"/>
      <w:bookmarkStart w:id="1108" w:name="_Toc66703271"/>
      <w:r w:rsidRPr="00737239">
        <w:rPr>
          <w:rFonts w:cs="Times New Roman"/>
        </w:rPr>
        <w:t xml:space="preserve">DSS </w:t>
      </w:r>
      <w:r w:rsidR="002F2CBC">
        <w:rPr>
          <w:rFonts w:cs="Times New Roman"/>
        </w:rPr>
        <w:t>r</w:t>
      </w:r>
      <w:r w:rsidRPr="00737239">
        <w:rPr>
          <w:rFonts w:cs="Times New Roman"/>
        </w:rPr>
        <w:t>equirements</w:t>
      </w:r>
      <w:bookmarkEnd w:id="1104"/>
      <w:bookmarkEnd w:id="1105"/>
      <w:bookmarkEnd w:id="1106"/>
      <w:bookmarkEnd w:id="1107"/>
      <w:bookmarkEnd w:id="1108"/>
    </w:p>
    <w:p w14:paraId="1C1E2AD5" w14:textId="155D46C5" w:rsidR="00374946" w:rsidRPr="008903D1" w:rsidRDefault="00374946" w:rsidP="007548C6">
      <w:pPr>
        <w:spacing w:after="240" w:line="360" w:lineRule="auto"/>
        <w:rPr>
          <w:rFonts w:eastAsia="Calibri" w:cs="Times New Roman"/>
          <w:szCs w:val="24"/>
        </w:rPr>
      </w:pPr>
      <w:proofErr w:type="gramStart"/>
      <w:r w:rsidRPr="008903D1">
        <w:rPr>
          <w:rFonts w:eastAsia="Calibri" w:cs="Times New Roman"/>
          <w:szCs w:val="24"/>
        </w:rPr>
        <w:t>Taking into account</w:t>
      </w:r>
      <w:proofErr w:type="gramEnd"/>
      <w:r w:rsidRPr="008903D1">
        <w:rPr>
          <w:rFonts w:eastAsia="Calibri" w:cs="Times New Roman"/>
          <w:szCs w:val="24"/>
        </w:rPr>
        <w:t xml:space="preserve"> the above-mentioned needs, the DSS should have the following characteristics.</w:t>
      </w:r>
    </w:p>
    <w:p w14:paraId="4C5DF7C8" w14:textId="77777777" w:rsidR="00374946" w:rsidRPr="008903D1" w:rsidRDefault="00374946" w:rsidP="007548C6">
      <w:pPr>
        <w:spacing w:after="240" w:line="360" w:lineRule="auto"/>
        <w:rPr>
          <w:rFonts w:eastAsia="Calibri" w:cs="Times New Roman"/>
          <w:szCs w:val="24"/>
        </w:rPr>
      </w:pPr>
      <w:r w:rsidRPr="008903D1">
        <w:rPr>
          <w:rFonts w:eastAsia="Calibri" w:cs="Times New Roman"/>
          <w:i/>
          <w:szCs w:val="24"/>
        </w:rPr>
        <w:t>Capability of handling planning in an autonomous way</w:t>
      </w:r>
      <w:r w:rsidRPr="008903D1">
        <w:rPr>
          <w:rFonts w:eastAsia="Calibri" w:cs="Times New Roman"/>
          <w:szCs w:val="24"/>
        </w:rPr>
        <w:t>. The requirement that motivates the development of a DSS is the willingness to provide stakeholders and/or end users with access to a tool for tailored support dealing with planning activities, instead of doing it manually or outsourcing support as an external service.</w:t>
      </w:r>
    </w:p>
    <w:p w14:paraId="751B5A5D" w14:textId="60D8C23D" w:rsidR="00374946" w:rsidRPr="008903D1" w:rsidRDefault="00374946" w:rsidP="007548C6">
      <w:pPr>
        <w:spacing w:after="240" w:line="360" w:lineRule="auto"/>
        <w:rPr>
          <w:rFonts w:eastAsia="Calibri" w:cs="Times New Roman"/>
          <w:szCs w:val="24"/>
        </w:rPr>
      </w:pPr>
      <w:r w:rsidRPr="008903D1">
        <w:rPr>
          <w:rFonts w:eastAsia="Calibri" w:cs="Times New Roman"/>
          <w:szCs w:val="24"/>
        </w:rPr>
        <w:lastRenderedPageBreak/>
        <w:t>A DSS should include the chance for the users to: add logistic points that are part of the planning; include a UCC at a given point; add vehicles and logistic orders to start the planning; obtain the planning results out of the given data.</w:t>
      </w:r>
    </w:p>
    <w:p w14:paraId="356695ED" w14:textId="77777777" w:rsidR="00374946" w:rsidRPr="008903D1" w:rsidRDefault="00374946" w:rsidP="007548C6">
      <w:pPr>
        <w:spacing w:after="240" w:line="360" w:lineRule="auto"/>
        <w:rPr>
          <w:rFonts w:eastAsia="Calibri" w:cs="Times New Roman"/>
          <w:szCs w:val="24"/>
        </w:rPr>
      </w:pPr>
      <w:r w:rsidRPr="008903D1">
        <w:rPr>
          <w:rFonts w:eastAsia="Calibri" w:cs="Times New Roman"/>
          <w:i/>
          <w:szCs w:val="24"/>
        </w:rPr>
        <w:t>Capability of handling geo-points</w:t>
      </w:r>
      <w:r w:rsidRPr="008903D1">
        <w:rPr>
          <w:rFonts w:eastAsia="Calibri" w:cs="Times New Roman"/>
          <w:szCs w:val="24"/>
        </w:rPr>
        <w:t xml:space="preserve">. A fundamental requirement is to handle the geospatial data on a map. This should include the longitude and latitude of a given point on map, </w:t>
      </w:r>
      <w:proofErr w:type="gramStart"/>
      <w:r w:rsidRPr="008903D1">
        <w:rPr>
          <w:rFonts w:eastAsia="Calibri" w:cs="Times New Roman"/>
          <w:szCs w:val="24"/>
        </w:rPr>
        <w:t>e.g.</w:t>
      </w:r>
      <w:proofErr w:type="gramEnd"/>
      <w:r w:rsidRPr="008903D1">
        <w:rPr>
          <w:rFonts w:eastAsia="Calibri" w:cs="Times New Roman"/>
          <w:szCs w:val="24"/>
        </w:rPr>
        <w:t xml:space="preserve"> the coordinates of a UCC or logistic point, and the links representing streets, namely the directed edges containing information on one-way and two-way streets.</w:t>
      </w:r>
    </w:p>
    <w:p w14:paraId="7B81ACDC" w14:textId="196FCBF0" w:rsidR="00374946" w:rsidRPr="008903D1" w:rsidRDefault="00374946" w:rsidP="007548C6">
      <w:pPr>
        <w:spacing w:after="240" w:line="360" w:lineRule="auto"/>
        <w:rPr>
          <w:rFonts w:eastAsia="Calibri" w:cs="Times New Roman"/>
          <w:szCs w:val="24"/>
        </w:rPr>
      </w:pPr>
      <w:r w:rsidRPr="008903D1">
        <w:rPr>
          <w:rFonts w:eastAsia="Calibri" w:cs="Times New Roman"/>
          <w:szCs w:val="24"/>
        </w:rPr>
        <w:t>This requirement involves the development of the following features: by adding a new logistic point or base, the corresponding demand point or base must be visible on map and the planner should be able to interact with it, namely business listing; the logistic points and bases present in the database should be shown on map and should be editable or removable; streets should be highlighted in the map alongside the information about one-way or two-way streets.</w:t>
      </w:r>
    </w:p>
    <w:p w14:paraId="38D170AE" w14:textId="77777777" w:rsidR="00374946" w:rsidRPr="008903D1" w:rsidRDefault="00374946" w:rsidP="007548C6">
      <w:pPr>
        <w:spacing w:after="240" w:line="360" w:lineRule="auto"/>
        <w:rPr>
          <w:rFonts w:eastAsia="Calibri" w:cs="Times New Roman"/>
          <w:szCs w:val="24"/>
        </w:rPr>
      </w:pPr>
      <w:r w:rsidRPr="008903D1">
        <w:rPr>
          <w:rFonts w:eastAsia="Calibri" w:cs="Times New Roman"/>
          <w:i/>
          <w:szCs w:val="24"/>
        </w:rPr>
        <w:t>Handling logistic trips</w:t>
      </w:r>
      <w:r w:rsidRPr="008903D1">
        <w:rPr>
          <w:rFonts w:eastAsia="Calibri" w:cs="Times New Roman"/>
          <w:szCs w:val="24"/>
        </w:rPr>
        <w:t xml:space="preserve">. The Decision Tool should include an internal trip planner, that can optimise on a set of measures, which can be useful for stakeholders and/or end users. The trip planner should consider the one-way and two-way streets, the constraints on the operating hours </w:t>
      </w:r>
      <w:proofErr w:type="gramStart"/>
      <w:r w:rsidRPr="008903D1">
        <w:rPr>
          <w:rFonts w:eastAsia="Calibri" w:cs="Times New Roman"/>
          <w:szCs w:val="24"/>
        </w:rPr>
        <w:t>both of the UCCs</w:t>
      </w:r>
      <w:proofErr w:type="gramEnd"/>
      <w:r w:rsidRPr="008903D1">
        <w:rPr>
          <w:rFonts w:eastAsia="Calibri" w:cs="Times New Roman"/>
          <w:szCs w:val="24"/>
        </w:rPr>
        <w:t xml:space="preserve"> and of the logistic points, and the constraints on the size of vehicles.</w:t>
      </w:r>
    </w:p>
    <w:p w14:paraId="55DC8752" w14:textId="77777777" w:rsidR="00374946" w:rsidRPr="008903D1" w:rsidRDefault="00374946" w:rsidP="007548C6">
      <w:pPr>
        <w:spacing w:after="240" w:line="360" w:lineRule="auto"/>
        <w:rPr>
          <w:rFonts w:eastAsia="Calibri" w:cs="Times New Roman"/>
          <w:szCs w:val="24"/>
        </w:rPr>
      </w:pPr>
      <w:r w:rsidRPr="008903D1">
        <w:rPr>
          <w:rFonts w:eastAsia="Calibri" w:cs="Times New Roman"/>
          <w:szCs w:val="24"/>
        </w:rPr>
        <w:t>Therefore, the users should be able to: (1) run the planning with a given set of data; (2) choose to optimize for distance travelled, time elapsed or (3) for a custom optimization. The resulting plan should rely on up-to-date geospatial data, which can be replaced in the tool if needed.</w:t>
      </w:r>
    </w:p>
    <w:p w14:paraId="21ED80CA" w14:textId="037FB75E" w:rsidR="00374946" w:rsidRPr="008903D1" w:rsidRDefault="00374946" w:rsidP="007548C6">
      <w:pPr>
        <w:spacing w:after="240" w:line="360" w:lineRule="auto"/>
        <w:rPr>
          <w:rFonts w:eastAsia="Calibri" w:cs="Times New Roman"/>
          <w:szCs w:val="24"/>
        </w:rPr>
      </w:pPr>
      <w:r w:rsidRPr="008903D1">
        <w:rPr>
          <w:rFonts w:eastAsia="Calibri" w:cs="Times New Roman"/>
          <w:i/>
          <w:szCs w:val="24"/>
        </w:rPr>
        <w:t>Handling different types of orders</w:t>
      </w:r>
      <w:r w:rsidRPr="008903D1">
        <w:rPr>
          <w:rFonts w:eastAsia="Calibri" w:cs="Times New Roman"/>
          <w:szCs w:val="24"/>
        </w:rPr>
        <w:t xml:space="preserve">. The stakeholders and/or users should be able to include different kinds of logistic orders in the planning. More specifically, the types to be included are: first mile, last </w:t>
      </w:r>
      <w:proofErr w:type="gramStart"/>
      <w:r w:rsidRPr="008903D1">
        <w:rPr>
          <w:rFonts w:eastAsia="Calibri" w:cs="Times New Roman"/>
          <w:szCs w:val="24"/>
        </w:rPr>
        <w:t>mile</w:t>
      </w:r>
      <w:proofErr w:type="gramEnd"/>
      <w:r w:rsidRPr="008903D1">
        <w:rPr>
          <w:rFonts w:eastAsia="Calibri" w:cs="Times New Roman"/>
          <w:szCs w:val="24"/>
        </w:rPr>
        <w:t xml:space="preserve"> and point-to-point. First mile orders refer to the movement of products from a UCC to a courier service who take them to the final users. Last mile orders refer to the final movement to the end users. Finally, point-to-point orders refer to the delivery of products from one logistic point to another logistic point.</w:t>
      </w:r>
    </w:p>
    <w:p w14:paraId="2F729A0E" w14:textId="77777777" w:rsidR="00374946" w:rsidRPr="008903D1" w:rsidRDefault="00374946" w:rsidP="007548C6">
      <w:pPr>
        <w:spacing w:after="240" w:line="360" w:lineRule="auto"/>
        <w:rPr>
          <w:rFonts w:cs="Times New Roman"/>
          <w:color w:val="222222"/>
          <w:szCs w:val="24"/>
          <w:lang w:eastAsia="en-GB"/>
        </w:rPr>
      </w:pPr>
      <w:r w:rsidRPr="008903D1">
        <w:rPr>
          <w:rFonts w:eastAsia="Calibri" w:cs="Times New Roman"/>
          <w:szCs w:val="24"/>
        </w:rPr>
        <w:t xml:space="preserve">The most basic requirement should include the creation at random of </w:t>
      </w:r>
      <w:proofErr w:type="gramStart"/>
      <w:r w:rsidRPr="008903D1">
        <w:rPr>
          <w:rFonts w:eastAsia="Calibri" w:cs="Times New Roman"/>
          <w:szCs w:val="24"/>
        </w:rPr>
        <w:t>a number of</w:t>
      </w:r>
      <w:proofErr w:type="gramEnd"/>
      <w:r w:rsidRPr="008903D1">
        <w:rPr>
          <w:rFonts w:eastAsia="Calibri" w:cs="Times New Roman"/>
          <w:szCs w:val="24"/>
        </w:rPr>
        <w:t xml:space="preserve"> a certain kind of orders specified by the user. More elaborate requirements could involve the creation of orders by specifying a UCC or a set of logistic points, or even an exact vehicle.</w:t>
      </w:r>
    </w:p>
    <w:p w14:paraId="5A8CC84D" w14:textId="6B9FA809" w:rsidR="00374946" w:rsidRPr="00802DC5" w:rsidRDefault="00374946" w:rsidP="000A4E8C">
      <w:pPr>
        <w:pStyle w:val="Heading2"/>
        <w:spacing w:after="120" w:line="360" w:lineRule="auto"/>
        <w:rPr>
          <w:rFonts w:cs="Times New Roman"/>
        </w:rPr>
      </w:pPr>
      <w:bookmarkStart w:id="1109" w:name="_Toc34734579"/>
      <w:bookmarkStart w:id="1110" w:name="_Toc46053500"/>
      <w:bookmarkStart w:id="1111" w:name="_Toc46093414"/>
      <w:bookmarkStart w:id="1112" w:name="_Toc46093697"/>
      <w:bookmarkStart w:id="1113" w:name="_Toc66703272"/>
      <w:r w:rsidRPr="00737239">
        <w:rPr>
          <w:rFonts w:cs="Times New Roman"/>
        </w:rPr>
        <w:lastRenderedPageBreak/>
        <w:t xml:space="preserve">The General </w:t>
      </w:r>
      <w:r w:rsidR="002F2CBC">
        <w:rPr>
          <w:rFonts w:cs="Times New Roman" w:hint="eastAsia"/>
        </w:rPr>
        <w:t>s</w:t>
      </w:r>
      <w:r w:rsidRPr="00737239">
        <w:rPr>
          <w:rFonts w:cs="Times New Roman"/>
        </w:rPr>
        <w:t xml:space="preserve">pecification of the </w:t>
      </w:r>
      <w:r w:rsidR="002F2CBC">
        <w:rPr>
          <w:rFonts w:cs="Times New Roman" w:hint="eastAsia"/>
        </w:rPr>
        <w:t>d</w:t>
      </w:r>
      <w:r w:rsidRPr="00737239">
        <w:rPr>
          <w:rFonts w:cs="Times New Roman"/>
        </w:rPr>
        <w:t xml:space="preserve">ecision </w:t>
      </w:r>
      <w:r w:rsidR="002F2CBC">
        <w:rPr>
          <w:rFonts w:cs="Times New Roman" w:hint="eastAsia"/>
        </w:rPr>
        <w:t>s</w:t>
      </w:r>
      <w:r w:rsidRPr="00737239">
        <w:rPr>
          <w:rFonts w:cs="Times New Roman"/>
        </w:rPr>
        <w:t xml:space="preserve">upport </w:t>
      </w:r>
      <w:r w:rsidR="002F2CBC">
        <w:rPr>
          <w:rFonts w:cs="Times New Roman"/>
        </w:rPr>
        <w:t>s</w:t>
      </w:r>
      <w:r w:rsidRPr="00737239">
        <w:rPr>
          <w:rFonts w:cs="Times New Roman"/>
        </w:rPr>
        <w:t>ystem</w:t>
      </w:r>
      <w:bookmarkEnd w:id="1109"/>
      <w:bookmarkEnd w:id="1110"/>
      <w:bookmarkEnd w:id="1111"/>
      <w:bookmarkEnd w:id="1112"/>
      <w:bookmarkEnd w:id="1113"/>
    </w:p>
    <w:p w14:paraId="65ED1B2C" w14:textId="77777777" w:rsidR="00374946" w:rsidRPr="008903D1" w:rsidRDefault="00374946" w:rsidP="007548C6">
      <w:pPr>
        <w:spacing w:after="240" w:line="360" w:lineRule="auto"/>
        <w:rPr>
          <w:rFonts w:eastAsia="Calibri" w:cs="Times New Roman"/>
          <w:szCs w:val="24"/>
        </w:rPr>
      </w:pPr>
      <w:r w:rsidRPr="008903D1">
        <w:rPr>
          <w:rFonts w:eastAsia="Calibri" w:cs="Times New Roman"/>
          <w:szCs w:val="24"/>
        </w:rPr>
        <w:t>The main feature of the Decision Support System is to allow the user to generate planning results from:</w:t>
      </w:r>
    </w:p>
    <w:p w14:paraId="543841B9" w14:textId="77777777" w:rsidR="00374946" w:rsidRPr="008903D1" w:rsidRDefault="00374946" w:rsidP="00A323CC">
      <w:pPr>
        <w:pStyle w:val="ListParagraph"/>
        <w:numPr>
          <w:ilvl w:val="0"/>
          <w:numId w:val="17"/>
        </w:numPr>
        <w:spacing w:after="240" w:line="360" w:lineRule="auto"/>
        <w:rPr>
          <w:rFonts w:eastAsia="Calibri" w:cs="Times New Roman"/>
          <w:szCs w:val="24"/>
        </w:rPr>
      </w:pPr>
      <w:r w:rsidRPr="008903D1">
        <w:rPr>
          <w:rFonts w:eastAsia="Calibri" w:cs="Times New Roman"/>
          <w:szCs w:val="24"/>
        </w:rPr>
        <w:t xml:space="preserve">A set of UCCs (at least 1), representing Urban Consolidation </w:t>
      </w:r>
      <w:proofErr w:type="gramStart"/>
      <w:r w:rsidRPr="008903D1">
        <w:rPr>
          <w:rFonts w:eastAsia="Calibri" w:cs="Times New Roman"/>
          <w:szCs w:val="24"/>
        </w:rPr>
        <w:t>Centres;</w:t>
      </w:r>
      <w:proofErr w:type="gramEnd"/>
    </w:p>
    <w:p w14:paraId="0D3E2EC7" w14:textId="77777777" w:rsidR="00374946" w:rsidRPr="008903D1" w:rsidRDefault="00374946" w:rsidP="00A323CC">
      <w:pPr>
        <w:pStyle w:val="ListParagraph"/>
        <w:numPr>
          <w:ilvl w:val="0"/>
          <w:numId w:val="17"/>
        </w:numPr>
        <w:spacing w:after="240" w:line="360" w:lineRule="auto"/>
        <w:rPr>
          <w:rFonts w:eastAsia="Calibri" w:cs="Times New Roman"/>
          <w:szCs w:val="24"/>
        </w:rPr>
      </w:pPr>
      <w:r w:rsidRPr="008903D1">
        <w:rPr>
          <w:rFonts w:eastAsia="Calibri" w:cs="Times New Roman"/>
          <w:szCs w:val="24"/>
        </w:rPr>
        <w:t xml:space="preserve">A set of demand points (representing demand points and retail establishments in </w:t>
      </w:r>
      <w:proofErr w:type="gramStart"/>
      <w:r w:rsidRPr="008903D1">
        <w:rPr>
          <w:rFonts w:eastAsia="Calibri" w:cs="Times New Roman"/>
          <w:szCs w:val="24"/>
        </w:rPr>
        <w:t>a</w:t>
      </w:r>
      <w:proofErr w:type="gramEnd"/>
      <w:r w:rsidRPr="008903D1">
        <w:rPr>
          <w:rFonts w:eastAsia="Calibri" w:cs="Times New Roman"/>
          <w:szCs w:val="24"/>
        </w:rPr>
        <w:t xml:space="preserve"> urban area), characterised by their location and their availability times (time windows);</w:t>
      </w:r>
    </w:p>
    <w:p w14:paraId="2595303B" w14:textId="77777777" w:rsidR="00374946" w:rsidRPr="008903D1" w:rsidRDefault="00374946" w:rsidP="00A323CC">
      <w:pPr>
        <w:pStyle w:val="ListParagraph"/>
        <w:numPr>
          <w:ilvl w:val="0"/>
          <w:numId w:val="17"/>
        </w:numPr>
        <w:spacing w:after="240" w:line="360" w:lineRule="auto"/>
        <w:rPr>
          <w:rFonts w:eastAsia="Calibri" w:cs="Times New Roman"/>
          <w:szCs w:val="24"/>
        </w:rPr>
      </w:pPr>
      <w:r w:rsidRPr="008903D1">
        <w:rPr>
          <w:rFonts w:eastAsia="Calibri" w:cs="Times New Roman"/>
          <w:szCs w:val="24"/>
        </w:rPr>
        <w:t>A set of logistic orders (linking the UCC to the demand points</w:t>
      </w:r>
      <w:proofErr w:type="gramStart"/>
      <w:r w:rsidRPr="008903D1">
        <w:rPr>
          <w:rFonts w:eastAsia="Calibri" w:cs="Times New Roman"/>
          <w:szCs w:val="24"/>
        </w:rPr>
        <w:t>);</w:t>
      </w:r>
      <w:proofErr w:type="gramEnd"/>
    </w:p>
    <w:p w14:paraId="67681A27" w14:textId="77777777" w:rsidR="00374946" w:rsidRPr="008903D1" w:rsidRDefault="00374946" w:rsidP="00A323CC">
      <w:pPr>
        <w:pStyle w:val="ListParagraph"/>
        <w:numPr>
          <w:ilvl w:val="0"/>
          <w:numId w:val="17"/>
        </w:numPr>
        <w:spacing w:after="240" w:line="360" w:lineRule="auto"/>
        <w:rPr>
          <w:rFonts w:eastAsia="Calibri" w:cs="Times New Roman"/>
          <w:szCs w:val="24"/>
        </w:rPr>
      </w:pPr>
      <w:r w:rsidRPr="008903D1">
        <w:rPr>
          <w:rFonts w:eastAsia="Calibri" w:cs="Times New Roman"/>
          <w:szCs w:val="24"/>
        </w:rPr>
        <w:t>A set of vehicles composing the fleet of the UCC, characterised by fuel consumption and capacity.</w:t>
      </w:r>
    </w:p>
    <w:p w14:paraId="1FC03864" w14:textId="77777777" w:rsidR="00374946" w:rsidRPr="008903D1" w:rsidRDefault="00374946" w:rsidP="007548C6">
      <w:pPr>
        <w:spacing w:after="240" w:line="360" w:lineRule="auto"/>
        <w:rPr>
          <w:rFonts w:eastAsia="Calibri" w:cs="Times New Roman"/>
          <w:szCs w:val="24"/>
        </w:rPr>
      </w:pPr>
      <w:r w:rsidRPr="008903D1">
        <w:rPr>
          <w:rFonts w:eastAsia="Calibri" w:cs="Times New Roman"/>
          <w:szCs w:val="24"/>
        </w:rPr>
        <w:t xml:space="preserve">Planning results can be optimised for a given objective function, usually distance or time. As such, the problem to be solved can be represented as a </w:t>
      </w:r>
      <w:proofErr w:type="gramStart"/>
      <w:r w:rsidRPr="008903D1">
        <w:rPr>
          <w:rFonts w:eastAsia="Calibri" w:cs="Times New Roman"/>
          <w:szCs w:val="24"/>
        </w:rPr>
        <w:t>Vehicle Routing Planning problems</w:t>
      </w:r>
      <w:proofErr w:type="gramEnd"/>
      <w:r w:rsidRPr="008903D1">
        <w:rPr>
          <w:rFonts w:eastAsia="Calibri" w:cs="Times New Roman"/>
          <w:szCs w:val="24"/>
        </w:rPr>
        <w:t>, with time windows and capacitated vehicles. The solution to this problem</w:t>
      </w:r>
      <w:r w:rsidRPr="008903D1">
        <w:rPr>
          <w:rFonts w:cs="Times New Roman"/>
          <w:szCs w:val="24"/>
        </w:rPr>
        <w:t xml:space="preserve"> can be provided through a proprietary algorithm developed by </w:t>
      </w:r>
      <w:proofErr w:type="spellStart"/>
      <w:r w:rsidRPr="008903D1">
        <w:rPr>
          <w:rFonts w:cs="Times New Roman"/>
          <w:szCs w:val="24"/>
        </w:rPr>
        <w:t>Softeco</w:t>
      </w:r>
      <w:proofErr w:type="spellEnd"/>
      <w:r w:rsidRPr="008903D1">
        <w:rPr>
          <w:rFonts w:cs="Times New Roman"/>
          <w:szCs w:val="24"/>
        </w:rPr>
        <w:t xml:space="preserve"> </w:t>
      </w:r>
      <w:proofErr w:type="spellStart"/>
      <w:r w:rsidRPr="008903D1">
        <w:rPr>
          <w:rFonts w:cs="Times New Roman"/>
          <w:szCs w:val="24"/>
        </w:rPr>
        <w:t>Sismat</w:t>
      </w:r>
      <w:proofErr w:type="spellEnd"/>
      <w:r w:rsidRPr="008903D1">
        <w:rPr>
          <w:rFonts w:cs="Times New Roman"/>
          <w:szCs w:val="24"/>
        </w:rPr>
        <w:t xml:space="preserve">, based on a Branch-and-Bound algorithmic scheme. </w:t>
      </w:r>
    </w:p>
    <w:p w14:paraId="2C400F39" w14:textId="23B2260E" w:rsidR="00374946" w:rsidRPr="008903D1" w:rsidRDefault="00374946" w:rsidP="007548C6">
      <w:pPr>
        <w:spacing w:after="240" w:line="360" w:lineRule="auto"/>
        <w:rPr>
          <w:rFonts w:eastAsia="Calibri" w:cs="Times New Roman"/>
          <w:szCs w:val="24"/>
        </w:rPr>
      </w:pPr>
      <w:r w:rsidRPr="008903D1">
        <w:rPr>
          <w:rFonts w:cs="Times New Roman"/>
          <w:szCs w:val="24"/>
        </w:rPr>
        <w:t>This software includes five modules (</w:t>
      </w:r>
      <w:r w:rsidRPr="008903D1">
        <w:rPr>
          <w:rFonts w:cs="Times New Roman"/>
          <w:szCs w:val="24"/>
        </w:rPr>
        <w:fldChar w:fldCharType="begin"/>
      </w:r>
      <w:r w:rsidRPr="008903D1">
        <w:rPr>
          <w:rFonts w:cs="Times New Roman"/>
          <w:szCs w:val="24"/>
        </w:rPr>
        <w:instrText xml:space="preserve"> REF _Ref34733855 \h </w:instrText>
      </w:r>
      <w:r w:rsidR="008903D1">
        <w:rPr>
          <w:rFonts w:cs="Times New Roman"/>
          <w:szCs w:val="24"/>
        </w:rPr>
        <w:instrText xml:space="preserve"> \* MERGEFORMAT </w:instrText>
      </w:r>
      <w:r w:rsidRPr="008903D1">
        <w:rPr>
          <w:rFonts w:cs="Times New Roman"/>
          <w:szCs w:val="24"/>
        </w:rPr>
      </w:r>
      <w:r w:rsidRPr="008903D1">
        <w:rPr>
          <w:rFonts w:cs="Times New Roman"/>
          <w:szCs w:val="24"/>
        </w:rPr>
        <w:fldChar w:fldCharType="separate"/>
      </w:r>
      <w:r w:rsidR="0005064B" w:rsidRPr="00737239">
        <w:rPr>
          <w:rFonts w:cs="Times New Roman"/>
        </w:rPr>
        <w:t xml:space="preserve">Figure </w:t>
      </w:r>
      <w:r w:rsidR="0005064B">
        <w:rPr>
          <w:rFonts w:cs="Times New Roman"/>
        </w:rPr>
        <w:t>8</w:t>
      </w:r>
      <w:r w:rsidR="0005064B">
        <w:rPr>
          <w:rFonts w:cs="Times New Roman"/>
        </w:rPr>
        <w:noBreakHyphen/>
        <w:t>1</w:t>
      </w:r>
      <w:r w:rsidRPr="008903D1">
        <w:rPr>
          <w:rFonts w:cs="Times New Roman"/>
          <w:szCs w:val="24"/>
        </w:rPr>
        <w:fldChar w:fldCharType="end"/>
      </w:r>
      <w:r w:rsidRPr="008903D1">
        <w:rPr>
          <w:rFonts w:cs="Times New Roman"/>
          <w:szCs w:val="24"/>
        </w:rPr>
        <w:t>): (</w:t>
      </w:r>
      <w:proofErr w:type="spellStart"/>
      <w:r w:rsidRPr="008903D1">
        <w:rPr>
          <w:rFonts w:cs="Times New Roman"/>
          <w:szCs w:val="24"/>
        </w:rPr>
        <w:t>i</w:t>
      </w:r>
      <w:proofErr w:type="spellEnd"/>
      <w:r w:rsidRPr="008903D1">
        <w:rPr>
          <w:rFonts w:cs="Times New Roman"/>
          <w:szCs w:val="24"/>
        </w:rPr>
        <w:t xml:space="preserve">) Geographic Information System (GIS); (ii) Facility Planning; (iii) Location Routing Planning; (iv) Financial Evaluation Tool; (v) Output. The following sub-sections will present an overview of such sections.  </w:t>
      </w:r>
    </w:p>
    <w:p w14:paraId="3094CEB5" w14:textId="3BBD8722" w:rsidR="00374946" w:rsidRPr="008903D1" w:rsidRDefault="00374946" w:rsidP="000A4E8C">
      <w:pPr>
        <w:spacing w:line="360" w:lineRule="auto"/>
        <w:rPr>
          <w:rFonts w:cs="Times New Roman"/>
          <w:szCs w:val="24"/>
        </w:rPr>
      </w:pPr>
      <w:r w:rsidRPr="008903D1">
        <w:rPr>
          <w:rFonts w:cs="Times New Roman"/>
          <w:szCs w:val="24"/>
        </w:rPr>
        <w:t xml:space="preserve"> </w:t>
      </w:r>
      <w:r w:rsidR="006B2CFD">
        <w:rPr>
          <w:rFonts w:cs="Times New Roman"/>
          <w:noProof/>
          <w:szCs w:val="24"/>
          <w:lang w:eastAsia="en-GB"/>
        </w:rPr>
        <w:drawing>
          <wp:inline distT="0" distB="0" distL="0" distR="0" wp14:anchorId="76F1B29B" wp14:editId="692E9957">
            <wp:extent cx="5673725" cy="2383155"/>
            <wp:effectExtent l="0" t="0" r="317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73725" cy="2383155"/>
                    </a:xfrm>
                    <a:prstGeom prst="rect">
                      <a:avLst/>
                    </a:prstGeom>
                    <a:noFill/>
                    <a:ln>
                      <a:noFill/>
                    </a:ln>
                  </pic:spPr>
                </pic:pic>
              </a:graphicData>
            </a:graphic>
          </wp:inline>
        </w:drawing>
      </w:r>
    </w:p>
    <w:p w14:paraId="57CAB6CA" w14:textId="1C0753DA" w:rsidR="00374946" w:rsidRPr="00737239" w:rsidRDefault="00374946" w:rsidP="000A4E8C">
      <w:pPr>
        <w:pStyle w:val="Caption"/>
        <w:spacing w:after="0" w:line="360" w:lineRule="auto"/>
        <w:rPr>
          <w:rFonts w:cs="Times New Roman"/>
        </w:rPr>
      </w:pPr>
      <w:bookmarkStart w:id="1114" w:name="_Ref34733855"/>
      <w:bookmarkStart w:id="1115" w:name="_Toc34675043"/>
      <w:bookmarkStart w:id="1116" w:name="_Toc34734835"/>
      <w:bookmarkStart w:id="1117" w:name="_Toc46053705"/>
      <w:bookmarkStart w:id="1118" w:name="_Toc66698736"/>
      <w:r w:rsidRPr="00737239">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8</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1</w:t>
      </w:r>
      <w:r w:rsidR="00632993">
        <w:rPr>
          <w:rFonts w:cs="Times New Roman"/>
        </w:rPr>
        <w:fldChar w:fldCharType="end"/>
      </w:r>
      <w:bookmarkEnd w:id="1114"/>
      <w:r w:rsidR="00494842">
        <w:rPr>
          <w:rFonts w:cs="Times New Roman"/>
        </w:rPr>
        <w:t>:</w:t>
      </w:r>
      <w:r w:rsidRPr="008903D1">
        <w:rPr>
          <w:rFonts w:cs="Times New Roman"/>
        </w:rPr>
        <w:t xml:space="preserve"> Framework of the proposed DSS</w:t>
      </w:r>
      <w:bookmarkEnd w:id="1115"/>
      <w:bookmarkEnd w:id="1116"/>
      <w:bookmarkEnd w:id="1117"/>
      <w:bookmarkEnd w:id="1118"/>
    </w:p>
    <w:p w14:paraId="16D356B3" w14:textId="43169839" w:rsidR="00374946" w:rsidRPr="006C301D" w:rsidRDefault="00374946" w:rsidP="000A4E8C">
      <w:pPr>
        <w:pStyle w:val="Heading3"/>
        <w:spacing w:line="360" w:lineRule="auto"/>
        <w:rPr>
          <w:rFonts w:cs="Times New Roman"/>
        </w:rPr>
      </w:pPr>
      <w:bookmarkStart w:id="1119" w:name="_Toc34734580"/>
      <w:bookmarkStart w:id="1120" w:name="_Toc46053501"/>
      <w:bookmarkStart w:id="1121" w:name="_Toc46093415"/>
      <w:bookmarkStart w:id="1122" w:name="_Toc46093698"/>
      <w:bookmarkStart w:id="1123" w:name="_Toc66703273"/>
      <w:r w:rsidRPr="00802DC5">
        <w:rPr>
          <w:rFonts w:cs="Times New Roman"/>
        </w:rPr>
        <w:lastRenderedPageBreak/>
        <w:t xml:space="preserve">GIS </w:t>
      </w:r>
      <w:bookmarkEnd w:id="1119"/>
      <w:bookmarkEnd w:id="1120"/>
      <w:bookmarkEnd w:id="1121"/>
      <w:bookmarkEnd w:id="1122"/>
      <w:r w:rsidR="00F43E78">
        <w:rPr>
          <w:rFonts w:cs="Times New Roman"/>
        </w:rPr>
        <w:t>m</w:t>
      </w:r>
      <w:r w:rsidR="00F43E78" w:rsidRPr="00802DC5">
        <w:rPr>
          <w:rFonts w:cs="Times New Roman"/>
        </w:rPr>
        <w:t>odule</w:t>
      </w:r>
      <w:bookmarkEnd w:id="1123"/>
    </w:p>
    <w:p w14:paraId="44B1D968" w14:textId="0FE0C983" w:rsidR="00374946" w:rsidRPr="008903D1" w:rsidRDefault="00374946" w:rsidP="007548C6">
      <w:pPr>
        <w:spacing w:after="240" w:line="360" w:lineRule="auto"/>
        <w:rPr>
          <w:rFonts w:eastAsia="Calibri" w:cs="Times New Roman"/>
          <w:szCs w:val="24"/>
        </w:rPr>
      </w:pPr>
      <w:r w:rsidRPr="008903D1">
        <w:rPr>
          <w:rFonts w:eastAsia="Calibri" w:cs="Times New Roman"/>
          <w:szCs w:val="24"/>
        </w:rPr>
        <w:t xml:space="preserve">Through a Graphical Use Interface, the user can specify the data to be used to customise the planning results. The integration of a Geographic Information System (GIS) within the Decision Support System </w:t>
      </w:r>
      <w:r w:rsidRPr="008903D1">
        <w:rPr>
          <w:rFonts w:cs="Times New Roman"/>
          <w:szCs w:val="24"/>
        </w:rPr>
        <w:t xml:space="preserve">is instrumental for the acquisition of some fundamental data input. The real city information in terms of street network, morphology of the city, buildings, properties can be acquired through the access to some pre-saved data, or by accessing some external sources (such as the </w:t>
      </w:r>
      <w:proofErr w:type="spellStart"/>
      <w:r w:rsidRPr="008903D1">
        <w:rPr>
          <w:rFonts w:eastAsia="Calibri" w:cs="Times New Roman"/>
          <w:szCs w:val="24"/>
        </w:rPr>
        <w:t>geojson</w:t>
      </w:r>
      <w:proofErr w:type="spellEnd"/>
      <w:r w:rsidRPr="008903D1">
        <w:rPr>
          <w:rFonts w:cs="Times New Roman"/>
          <w:szCs w:val="24"/>
        </w:rPr>
        <w:t xml:space="preserve"> files available at OpenStreetMap libraries) (see Step 1-</w:t>
      </w:r>
      <w:r w:rsidRPr="00737239">
        <w:rPr>
          <w:rFonts w:cs="Times New Roman"/>
          <w:szCs w:val="24"/>
        </w:rPr>
        <w:fldChar w:fldCharType="begin"/>
      </w:r>
      <w:r w:rsidRPr="008903D1">
        <w:rPr>
          <w:rFonts w:cs="Times New Roman"/>
          <w:szCs w:val="24"/>
        </w:rPr>
        <w:instrText xml:space="preserve"> REF _Ref34733845 \h </w:instrText>
      </w:r>
      <w:r w:rsidR="008903D1">
        <w:rPr>
          <w:rFonts w:cs="Times New Roman"/>
          <w:szCs w:val="24"/>
        </w:rPr>
        <w:instrText xml:space="preserve"> \* MERGEFORMAT </w:instrText>
      </w:r>
      <w:r w:rsidRPr="00737239">
        <w:rPr>
          <w:rFonts w:cs="Times New Roman"/>
          <w:szCs w:val="24"/>
        </w:rPr>
      </w:r>
      <w:r w:rsidRPr="00737239">
        <w:rPr>
          <w:rFonts w:cs="Times New Roman"/>
          <w:szCs w:val="24"/>
        </w:rPr>
        <w:fldChar w:fldCharType="separate"/>
      </w:r>
      <w:r w:rsidR="0005064B" w:rsidRPr="00737239">
        <w:rPr>
          <w:rFonts w:cs="Times New Roman"/>
        </w:rPr>
        <w:t xml:space="preserve">Figure </w:t>
      </w:r>
      <w:r w:rsidR="0005064B">
        <w:rPr>
          <w:rFonts w:cs="Times New Roman"/>
        </w:rPr>
        <w:t>8</w:t>
      </w:r>
      <w:r w:rsidR="0005064B">
        <w:rPr>
          <w:rFonts w:cs="Times New Roman"/>
        </w:rPr>
        <w:noBreakHyphen/>
        <w:t>2</w:t>
      </w:r>
      <w:r w:rsidRPr="00737239">
        <w:rPr>
          <w:rFonts w:cs="Times New Roman"/>
          <w:szCs w:val="24"/>
        </w:rPr>
        <w:fldChar w:fldCharType="end"/>
      </w:r>
      <w:r w:rsidRPr="008903D1">
        <w:rPr>
          <w:rFonts w:cs="Times New Roman"/>
          <w:szCs w:val="24"/>
        </w:rPr>
        <w:t>). As such, the interface has a high versatility, which can be used to deal with the UCC planning problems in different cities.</w:t>
      </w:r>
    </w:p>
    <w:p w14:paraId="75EE5673" w14:textId="276DD0AB" w:rsidR="00374946" w:rsidRPr="008903D1" w:rsidRDefault="00374946" w:rsidP="007548C6">
      <w:pPr>
        <w:spacing w:after="240" w:line="360" w:lineRule="auto"/>
        <w:rPr>
          <w:rFonts w:cs="Times New Roman"/>
          <w:szCs w:val="24"/>
        </w:rPr>
      </w:pPr>
      <w:r w:rsidRPr="008903D1">
        <w:rPr>
          <w:rFonts w:cs="Times New Roman"/>
          <w:szCs w:val="24"/>
        </w:rPr>
        <w:t>The second step is to define the location of the UCC. This can be simply done by clicking on the map, as shown in Step 2-</w:t>
      </w:r>
      <w:r w:rsidRPr="00737239">
        <w:rPr>
          <w:rFonts w:cs="Times New Roman"/>
          <w:szCs w:val="24"/>
        </w:rPr>
        <w:fldChar w:fldCharType="begin"/>
      </w:r>
      <w:r w:rsidRPr="008903D1">
        <w:rPr>
          <w:rFonts w:cs="Times New Roman"/>
          <w:szCs w:val="24"/>
        </w:rPr>
        <w:instrText xml:space="preserve"> REF _Ref34733845 \h </w:instrText>
      </w:r>
      <w:r w:rsidR="008903D1">
        <w:rPr>
          <w:rFonts w:cs="Times New Roman"/>
          <w:szCs w:val="24"/>
        </w:rPr>
        <w:instrText xml:space="preserve"> \* MERGEFORMAT </w:instrText>
      </w:r>
      <w:r w:rsidRPr="00737239">
        <w:rPr>
          <w:rFonts w:cs="Times New Roman"/>
          <w:szCs w:val="24"/>
        </w:rPr>
      </w:r>
      <w:r w:rsidRPr="00737239">
        <w:rPr>
          <w:rFonts w:cs="Times New Roman"/>
          <w:szCs w:val="24"/>
        </w:rPr>
        <w:fldChar w:fldCharType="separate"/>
      </w:r>
      <w:r w:rsidR="0005064B" w:rsidRPr="00737239">
        <w:rPr>
          <w:rFonts w:cs="Times New Roman"/>
        </w:rPr>
        <w:t xml:space="preserve">Figure </w:t>
      </w:r>
      <w:r w:rsidR="0005064B">
        <w:rPr>
          <w:rFonts w:cs="Times New Roman"/>
        </w:rPr>
        <w:t>8</w:t>
      </w:r>
      <w:r w:rsidR="0005064B">
        <w:rPr>
          <w:rFonts w:cs="Times New Roman"/>
        </w:rPr>
        <w:noBreakHyphen/>
        <w:t>2</w:t>
      </w:r>
      <w:r w:rsidRPr="00737239">
        <w:rPr>
          <w:rFonts w:cs="Times New Roman"/>
          <w:szCs w:val="24"/>
        </w:rPr>
        <w:fldChar w:fldCharType="end"/>
      </w:r>
      <w:r w:rsidRPr="008903D1">
        <w:rPr>
          <w:rFonts w:cs="Times New Roman"/>
          <w:szCs w:val="24"/>
        </w:rPr>
        <w:t>. This can reflect the area which has been identified by the planner as a potential candidate location. The location of the UCC is determined by the planner according to the need to evaluate the potential of a given site. Then the receiver’s coordinate will be imported by the planners. In the last step, relative information about the attributes of receivers will be imported.</w:t>
      </w:r>
    </w:p>
    <w:p w14:paraId="53777AA7" w14:textId="4A35730A" w:rsidR="00374946" w:rsidRPr="008903D1" w:rsidRDefault="00374946" w:rsidP="007548C6">
      <w:pPr>
        <w:spacing w:after="240" w:line="360" w:lineRule="auto"/>
        <w:rPr>
          <w:rFonts w:eastAsia="Calibri" w:cs="Times New Roman"/>
          <w:szCs w:val="24"/>
        </w:rPr>
      </w:pPr>
      <w:r w:rsidRPr="008903D1">
        <w:rPr>
          <w:rFonts w:eastAsia="Calibri" w:cs="Times New Roman"/>
          <w:szCs w:val="24"/>
        </w:rPr>
        <w:t xml:space="preserve">The third step (see </w:t>
      </w:r>
      <w:r w:rsidRPr="008903D1">
        <w:rPr>
          <w:rFonts w:cs="Times New Roman"/>
          <w:szCs w:val="24"/>
        </w:rPr>
        <w:t>Step 3-</w:t>
      </w:r>
      <w:r w:rsidRPr="00737239">
        <w:rPr>
          <w:rFonts w:cs="Times New Roman"/>
          <w:szCs w:val="24"/>
        </w:rPr>
        <w:fldChar w:fldCharType="begin"/>
      </w:r>
      <w:r w:rsidRPr="008903D1">
        <w:rPr>
          <w:rFonts w:cs="Times New Roman"/>
          <w:szCs w:val="24"/>
        </w:rPr>
        <w:instrText xml:space="preserve"> REF _Ref34733845 \h </w:instrText>
      </w:r>
      <w:r w:rsidR="008903D1">
        <w:rPr>
          <w:rFonts w:cs="Times New Roman"/>
          <w:szCs w:val="24"/>
        </w:rPr>
        <w:instrText xml:space="preserve"> \* MERGEFORMAT </w:instrText>
      </w:r>
      <w:r w:rsidRPr="00737239">
        <w:rPr>
          <w:rFonts w:cs="Times New Roman"/>
          <w:szCs w:val="24"/>
        </w:rPr>
      </w:r>
      <w:r w:rsidRPr="00737239">
        <w:rPr>
          <w:rFonts w:cs="Times New Roman"/>
          <w:szCs w:val="24"/>
        </w:rPr>
        <w:fldChar w:fldCharType="separate"/>
      </w:r>
      <w:r w:rsidR="0005064B" w:rsidRPr="00737239">
        <w:rPr>
          <w:rFonts w:cs="Times New Roman"/>
        </w:rPr>
        <w:t xml:space="preserve">Figure </w:t>
      </w:r>
      <w:r w:rsidR="0005064B">
        <w:rPr>
          <w:rFonts w:cs="Times New Roman"/>
        </w:rPr>
        <w:t>8</w:t>
      </w:r>
      <w:r w:rsidR="0005064B">
        <w:rPr>
          <w:rFonts w:cs="Times New Roman"/>
        </w:rPr>
        <w:noBreakHyphen/>
        <w:t>2</w:t>
      </w:r>
      <w:r w:rsidRPr="00737239">
        <w:rPr>
          <w:rFonts w:cs="Times New Roman"/>
          <w:szCs w:val="24"/>
        </w:rPr>
        <w:fldChar w:fldCharType="end"/>
      </w:r>
      <w:r w:rsidRPr="008903D1">
        <w:rPr>
          <w:rFonts w:eastAsia="Calibri" w:cs="Times New Roman"/>
          <w:szCs w:val="24"/>
        </w:rPr>
        <w:t xml:space="preserve">) is the addition of the demand points, which can be added by two means, </w:t>
      </w:r>
      <w:proofErr w:type="gramStart"/>
      <w:r w:rsidRPr="008903D1">
        <w:rPr>
          <w:rFonts w:eastAsia="Calibri" w:cs="Times New Roman"/>
          <w:szCs w:val="24"/>
        </w:rPr>
        <w:t>i.e.</w:t>
      </w:r>
      <w:proofErr w:type="gramEnd"/>
      <w:r w:rsidRPr="008903D1">
        <w:rPr>
          <w:rFonts w:eastAsia="Calibri" w:cs="Times New Roman"/>
          <w:szCs w:val="24"/>
        </w:rPr>
        <w:t xml:space="preserve"> by importing an external file or restoring the plan from a file. Also, the fleet of vehicles can be specified, and assigned to the UCC. </w:t>
      </w:r>
    </w:p>
    <w:p w14:paraId="29A942B1" w14:textId="77777777" w:rsidR="00374946" w:rsidRPr="008903D1" w:rsidRDefault="00374946" w:rsidP="007548C6">
      <w:pPr>
        <w:spacing w:after="240" w:line="360" w:lineRule="auto"/>
        <w:rPr>
          <w:rFonts w:eastAsia="Calibri" w:cs="Times New Roman"/>
          <w:szCs w:val="24"/>
        </w:rPr>
      </w:pPr>
      <w:r w:rsidRPr="008903D1">
        <w:rPr>
          <w:rFonts w:eastAsia="Calibri" w:cs="Times New Roman"/>
          <w:szCs w:val="24"/>
        </w:rPr>
        <w:t xml:space="preserve">Fourth, the user can specify the </w:t>
      </w:r>
      <w:proofErr w:type="gramStart"/>
      <w:r w:rsidRPr="008903D1">
        <w:rPr>
          <w:rFonts w:eastAsia="Calibri" w:cs="Times New Roman"/>
          <w:szCs w:val="24"/>
        </w:rPr>
        <w:t>amount</w:t>
      </w:r>
      <w:proofErr w:type="gramEnd"/>
      <w:r w:rsidRPr="008903D1">
        <w:rPr>
          <w:rFonts w:eastAsia="Calibri" w:cs="Times New Roman"/>
          <w:szCs w:val="24"/>
        </w:rPr>
        <w:t xml:space="preserve"> of logistic orders to be created, which can be of three kinds: first mile, i.e. delivery from the UCC to a courier service or anyone that takes the product to the final user, last mile, i.e. delivery to the final user, and point-to-point, i.e. delivery from a UCC to another UCC. An important feature of the tool is the capability of randomly generating orders; this is a crucial need, as, in the planning stage, the decision-maker does not yet know the uptake of the UCC service. As such, the tool can generate orders according to a different uptake scenario; this can help the planner assessing the required uptake </w:t>
      </w:r>
      <w:proofErr w:type="gramStart"/>
      <w:r w:rsidRPr="008903D1">
        <w:rPr>
          <w:rFonts w:eastAsia="Calibri" w:cs="Times New Roman"/>
          <w:szCs w:val="24"/>
        </w:rPr>
        <w:t>in order to</w:t>
      </w:r>
      <w:proofErr w:type="gramEnd"/>
      <w:r w:rsidRPr="008903D1">
        <w:rPr>
          <w:rFonts w:eastAsia="Calibri" w:cs="Times New Roman"/>
          <w:szCs w:val="24"/>
        </w:rPr>
        <w:t xml:space="preserve"> have a financially viable service.</w:t>
      </w:r>
    </w:p>
    <w:p w14:paraId="5D705AF6" w14:textId="5AA91543" w:rsidR="00374946" w:rsidRPr="008903D1" w:rsidRDefault="00374946" w:rsidP="007548C6">
      <w:pPr>
        <w:spacing w:after="240" w:line="360" w:lineRule="auto"/>
        <w:rPr>
          <w:rFonts w:eastAsia="Calibri" w:cs="Times New Roman"/>
          <w:szCs w:val="24"/>
        </w:rPr>
      </w:pPr>
      <w:r w:rsidRPr="008903D1">
        <w:rPr>
          <w:rFonts w:eastAsia="Calibri" w:cs="Times New Roman"/>
          <w:szCs w:val="24"/>
        </w:rPr>
        <w:t xml:space="preserve">If needed to produce new planning results, UCCs and demand points can be moved or deleted (see </w:t>
      </w:r>
      <w:r w:rsidRPr="00737239">
        <w:rPr>
          <w:rFonts w:eastAsia="Calibri" w:cs="Times New Roman"/>
          <w:szCs w:val="24"/>
        </w:rPr>
        <w:fldChar w:fldCharType="begin"/>
      </w:r>
      <w:r w:rsidRPr="008903D1">
        <w:rPr>
          <w:rFonts w:eastAsia="Calibri" w:cs="Times New Roman"/>
          <w:szCs w:val="24"/>
        </w:rPr>
        <w:instrText xml:space="preserve"> REF _Ref34733952 \h </w:instrText>
      </w:r>
      <w:r w:rsidR="008903D1">
        <w:rPr>
          <w:rFonts w:eastAsia="Calibri" w:cs="Times New Roman"/>
          <w:szCs w:val="24"/>
        </w:rPr>
        <w:instrText xml:space="preserve"> \* MERGEFORMAT </w:instrText>
      </w:r>
      <w:r w:rsidRPr="00737239">
        <w:rPr>
          <w:rFonts w:eastAsia="Calibri" w:cs="Times New Roman"/>
          <w:szCs w:val="24"/>
        </w:rPr>
      </w:r>
      <w:r w:rsidRPr="00737239">
        <w:rPr>
          <w:rFonts w:eastAsia="Calibri" w:cs="Times New Roman"/>
          <w:szCs w:val="24"/>
        </w:rPr>
        <w:fldChar w:fldCharType="separate"/>
      </w:r>
      <w:r w:rsidR="0005064B" w:rsidRPr="008903D1">
        <w:rPr>
          <w:rFonts w:cs="Times New Roman"/>
        </w:rPr>
        <w:t xml:space="preserve">Figure </w:t>
      </w:r>
      <w:r w:rsidR="0005064B">
        <w:rPr>
          <w:rFonts w:cs="Times New Roman"/>
        </w:rPr>
        <w:t>8</w:t>
      </w:r>
      <w:r w:rsidR="0005064B">
        <w:rPr>
          <w:rFonts w:cs="Times New Roman"/>
        </w:rPr>
        <w:noBreakHyphen/>
        <w:t>3</w:t>
      </w:r>
      <w:r w:rsidRPr="00737239">
        <w:rPr>
          <w:rFonts w:eastAsia="Calibri" w:cs="Times New Roman"/>
          <w:szCs w:val="24"/>
        </w:rPr>
        <w:fldChar w:fldCharType="end"/>
      </w:r>
      <w:r w:rsidRPr="008903D1">
        <w:rPr>
          <w:rFonts w:eastAsia="Calibri" w:cs="Times New Roman"/>
          <w:szCs w:val="24"/>
        </w:rPr>
        <w:t>). The user can click on a UCC and edit the name of the base and the coordinates. The same can be done to a demand point. Alternatively, the UCC can be removed, by clicking on the base, and placed again later by clicking on the map where the new base should be placed. The demand points can be removed in case they are no longer needed.</w:t>
      </w:r>
    </w:p>
    <w:p w14:paraId="3A5E8754" w14:textId="77777777" w:rsidR="00374946" w:rsidRPr="008903D1" w:rsidRDefault="00374946" w:rsidP="000A4E8C">
      <w:pPr>
        <w:spacing w:line="360" w:lineRule="auto"/>
        <w:rPr>
          <w:rFonts w:eastAsia="Calibri" w:cs="Times New Roman"/>
          <w:szCs w:val="24"/>
        </w:rPr>
      </w:pPr>
    </w:p>
    <w:p w14:paraId="577A73F0" w14:textId="77777777" w:rsidR="00374946" w:rsidRPr="008903D1" w:rsidRDefault="00374946" w:rsidP="000A4E8C">
      <w:pPr>
        <w:spacing w:line="360" w:lineRule="auto"/>
        <w:rPr>
          <w:rFonts w:cs="Times New Roman"/>
          <w:szCs w:val="24"/>
        </w:rPr>
      </w:pPr>
      <w:r w:rsidRPr="008903D1">
        <w:rPr>
          <w:rFonts w:eastAsia="Times New Roman" w:cs="Times New Roman"/>
          <w:noProof/>
          <w:kern w:val="2"/>
          <w:szCs w:val="24"/>
          <w:lang w:eastAsia="en-GB"/>
        </w:rPr>
        <w:drawing>
          <wp:inline distT="0" distB="0" distL="0" distR="0" wp14:anchorId="710F404B" wp14:editId="7122756E">
            <wp:extent cx="5731510" cy="4325620"/>
            <wp:effectExtent l="0" t="0" r="2540" b="0"/>
            <wp:docPr id="23" name="Picture 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oftware-11111.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731510" cy="4325620"/>
                    </a:xfrm>
                    <a:prstGeom prst="rect">
                      <a:avLst/>
                    </a:prstGeom>
                  </pic:spPr>
                </pic:pic>
              </a:graphicData>
            </a:graphic>
          </wp:inline>
        </w:drawing>
      </w:r>
    </w:p>
    <w:p w14:paraId="0FBE9089" w14:textId="0283C5ED" w:rsidR="00374946" w:rsidRPr="00737239" w:rsidRDefault="00374946" w:rsidP="000A4E8C">
      <w:pPr>
        <w:pStyle w:val="Caption"/>
        <w:spacing w:after="0" w:line="360" w:lineRule="auto"/>
        <w:rPr>
          <w:rFonts w:cs="Times New Roman"/>
        </w:rPr>
      </w:pPr>
      <w:bookmarkStart w:id="1124" w:name="_Ref34733845"/>
      <w:bookmarkStart w:id="1125" w:name="_Toc34675044"/>
      <w:bookmarkStart w:id="1126" w:name="_Toc34734836"/>
      <w:bookmarkStart w:id="1127" w:name="_Toc46053706"/>
      <w:bookmarkStart w:id="1128" w:name="_Toc66698737"/>
      <w:r w:rsidRPr="00737239">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8</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2</w:t>
      </w:r>
      <w:r w:rsidR="00632993">
        <w:rPr>
          <w:rFonts w:cs="Times New Roman"/>
        </w:rPr>
        <w:fldChar w:fldCharType="end"/>
      </w:r>
      <w:bookmarkEnd w:id="1124"/>
      <w:r w:rsidR="00494842">
        <w:rPr>
          <w:rFonts w:cs="Times New Roman"/>
        </w:rPr>
        <w:t>:</w:t>
      </w:r>
      <w:r w:rsidR="00F30B9F">
        <w:rPr>
          <w:rFonts w:cs="Times New Roman"/>
        </w:rPr>
        <w:t xml:space="preserve"> </w:t>
      </w:r>
      <w:r w:rsidRPr="008903D1">
        <w:rPr>
          <w:rFonts w:cs="Times New Roman"/>
        </w:rPr>
        <w:t>GIS data</w:t>
      </w:r>
      <w:r w:rsidRPr="00737239">
        <w:rPr>
          <w:rFonts w:cs="Times New Roman"/>
        </w:rPr>
        <w:t xml:space="preserve"> acquisition process</w:t>
      </w:r>
      <w:bookmarkEnd w:id="1125"/>
      <w:bookmarkEnd w:id="1126"/>
      <w:bookmarkEnd w:id="1127"/>
      <w:bookmarkEnd w:id="1128"/>
    </w:p>
    <w:p w14:paraId="1CBBA326" w14:textId="77777777" w:rsidR="00374946" w:rsidRPr="008903D1" w:rsidRDefault="00374946" w:rsidP="000A4E8C">
      <w:pPr>
        <w:spacing w:line="360" w:lineRule="auto"/>
        <w:rPr>
          <w:rFonts w:eastAsia="Calibri" w:cs="Times New Roman"/>
          <w:szCs w:val="24"/>
        </w:rPr>
      </w:pPr>
    </w:p>
    <w:p w14:paraId="656EB84D" w14:textId="77777777" w:rsidR="00374946" w:rsidRPr="008903D1" w:rsidRDefault="00374946" w:rsidP="000A4E8C">
      <w:pPr>
        <w:spacing w:line="360" w:lineRule="auto"/>
        <w:rPr>
          <w:rFonts w:eastAsia="Calibri" w:cs="Times New Roman"/>
          <w:szCs w:val="24"/>
        </w:rPr>
      </w:pPr>
      <w:r w:rsidRPr="008903D1">
        <w:rPr>
          <w:rFonts w:cs="Times New Roman"/>
          <w:noProof/>
          <w:szCs w:val="24"/>
          <w:lang w:eastAsia="en-GB"/>
        </w:rPr>
        <w:lastRenderedPageBreak/>
        <w:drawing>
          <wp:inline distT="0" distB="0" distL="0" distR="0" wp14:anchorId="51FFE449" wp14:editId="60E5B0F0">
            <wp:extent cx="5731510" cy="3998595"/>
            <wp:effectExtent l="0" t="0" r="2540" b="1905"/>
            <wp:docPr id="25" name="4 - Ribbon_General.PNG" descr="4 - Ribbon_Gene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4 - Ribbon_General.PNG" descr="4 - Ribbon_General.PNG"/>
                    <pic:cNvPicPr>
                      <a:picLocks noChangeAspect="1"/>
                    </pic:cNvPicPr>
                  </pic:nvPicPr>
                  <pic:blipFill>
                    <a:blip r:embed="rId151"/>
                    <a:stretch>
                      <a:fillRect/>
                    </a:stretch>
                  </pic:blipFill>
                  <pic:spPr>
                    <a:xfrm>
                      <a:off x="0" y="0"/>
                      <a:ext cx="5731510" cy="3998595"/>
                    </a:xfrm>
                    <a:prstGeom prst="rect">
                      <a:avLst/>
                    </a:prstGeom>
                    <a:ln w="12700">
                      <a:miter lim="400000"/>
                    </a:ln>
                  </pic:spPr>
                </pic:pic>
              </a:graphicData>
            </a:graphic>
          </wp:inline>
        </w:drawing>
      </w:r>
    </w:p>
    <w:p w14:paraId="63A15775" w14:textId="19014F5B" w:rsidR="00374946" w:rsidRPr="008903D1" w:rsidRDefault="00374946" w:rsidP="000A4E8C">
      <w:pPr>
        <w:pStyle w:val="Caption"/>
        <w:spacing w:after="0" w:line="360" w:lineRule="auto"/>
        <w:rPr>
          <w:rFonts w:cs="Times New Roman"/>
        </w:rPr>
      </w:pPr>
      <w:bookmarkStart w:id="1129" w:name="_Ref34733952"/>
      <w:bookmarkStart w:id="1130" w:name="_Toc34675045"/>
      <w:bookmarkStart w:id="1131" w:name="_Toc34734837"/>
      <w:bookmarkStart w:id="1132" w:name="_Ref44972773"/>
      <w:bookmarkStart w:id="1133" w:name="_Toc46053707"/>
      <w:bookmarkStart w:id="1134" w:name="_Toc66698738"/>
      <w:r w:rsidRPr="008903D1">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8</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3</w:t>
      </w:r>
      <w:r w:rsidR="00632993">
        <w:rPr>
          <w:rFonts w:cs="Times New Roman"/>
        </w:rPr>
        <w:fldChar w:fldCharType="end"/>
      </w:r>
      <w:bookmarkEnd w:id="1129"/>
      <w:r w:rsidR="00494842">
        <w:rPr>
          <w:rFonts w:cs="Times New Roman"/>
        </w:rPr>
        <w:t>:</w:t>
      </w:r>
      <w:r w:rsidRPr="008903D1">
        <w:rPr>
          <w:rFonts w:cs="Times New Roman"/>
        </w:rPr>
        <w:t xml:space="preserve"> Modification of the UCC Network</w:t>
      </w:r>
      <w:bookmarkEnd w:id="1130"/>
      <w:bookmarkEnd w:id="1131"/>
      <w:bookmarkEnd w:id="1132"/>
      <w:bookmarkEnd w:id="1133"/>
      <w:bookmarkEnd w:id="1134"/>
    </w:p>
    <w:p w14:paraId="3FA51C83" w14:textId="5EEE7879" w:rsidR="00374946" w:rsidRPr="00737239" w:rsidRDefault="00374946" w:rsidP="000A4E8C">
      <w:pPr>
        <w:pStyle w:val="Heading3"/>
        <w:spacing w:line="360" w:lineRule="auto"/>
        <w:rPr>
          <w:rFonts w:cs="Times New Roman"/>
        </w:rPr>
      </w:pPr>
      <w:bookmarkStart w:id="1135" w:name="_Toc34734581"/>
      <w:bookmarkStart w:id="1136" w:name="_Toc46053502"/>
      <w:bookmarkStart w:id="1137" w:name="_Toc46093416"/>
      <w:bookmarkStart w:id="1138" w:name="_Toc46093699"/>
      <w:bookmarkStart w:id="1139" w:name="_Toc66703274"/>
      <w:r w:rsidRPr="00737239">
        <w:rPr>
          <w:rFonts w:cs="Times New Roman"/>
        </w:rPr>
        <w:t xml:space="preserve">Facility </w:t>
      </w:r>
      <w:r w:rsidR="00F43E78">
        <w:rPr>
          <w:rFonts w:cs="Times New Roman"/>
        </w:rPr>
        <w:t>p</w:t>
      </w:r>
      <w:r w:rsidR="00F43E78" w:rsidRPr="00737239">
        <w:rPr>
          <w:rFonts w:cs="Times New Roman"/>
        </w:rPr>
        <w:t xml:space="preserve">lanning </w:t>
      </w:r>
      <w:bookmarkEnd w:id="1135"/>
      <w:bookmarkEnd w:id="1136"/>
      <w:bookmarkEnd w:id="1137"/>
      <w:bookmarkEnd w:id="1138"/>
      <w:proofErr w:type="gramStart"/>
      <w:r w:rsidR="00F43E78">
        <w:rPr>
          <w:rFonts w:cs="Times New Roman"/>
        </w:rPr>
        <w:t>m</w:t>
      </w:r>
      <w:r w:rsidR="00F43E78" w:rsidRPr="00737239">
        <w:rPr>
          <w:rFonts w:cs="Times New Roman"/>
        </w:rPr>
        <w:t>odule</w:t>
      </w:r>
      <w:bookmarkEnd w:id="1139"/>
      <w:proofErr w:type="gramEnd"/>
      <w:r w:rsidR="00F43E78" w:rsidRPr="00737239">
        <w:rPr>
          <w:rFonts w:cs="Times New Roman"/>
        </w:rPr>
        <w:t xml:space="preserve"> </w:t>
      </w:r>
    </w:p>
    <w:p w14:paraId="0C7D817D" w14:textId="3EA745CE" w:rsidR="00374946" w:rsidRPr="008903D1" w:rsidRDefault="00374946" w:rsidP="007548C6">
      <w:pPr>
        <w:spacing w:after="240" w:line="360" w:lineRule="auto"/>
        <w:rPr>
          <w:rFonts w:cs="Times New Roman"/>
          <w:szCs w:val="24"/>
        </w:rPr>
      </w:pPr>
      <w:r w:rsidRPr="008903D1">
        <w:rPr>
          <w:rFonts w:cs="Times New Roman"/>
          <w:szCs w:val="24"/>
        </w:rPr>
        <w:t xml:space="preserve">After all the GIS-related information has been acquired, the planners can also input some information related to the functioning of the UCC, through the associated Facility Planning Module. The following </w:t>
      </w:r>
      <w:r w:rsidRPr="008903D1">
        <w:rPr>
          <w:rFonts w:cs="Times New Roman"/>
          <w:szCs w:val="24"/>
        </w:rPr>
        <w:fldChar w:fldCharType="begin"/>
      </w:r>
      <w:r w:rsidRPr="008903D1">
        <w:rPr>
          <w:rFonts w:cs="Times New Roman"/>
          <w:szCs w:val="24"/>
        </w:rPr>
        <w:instrText xml:space="preserve"> REF _Ref34733973 \h </w:instrText>
      </w:r>
      <w:r w:rsidR="008903D1">
        <w:rPr>
          <w:rFonts w:cs="Times New Roman"/>
          <w:szCs w:val="24"/>
        </w:rPr>
        <w:instrText xml:space="preserve"> \* MERGEFORMAT </w:instrText>
      </w:r>
      <w:r w:rsidRPr="008903D1">
        <w:rPr>
          <w:rFonts w:cs="Times New Roman"/>
          <w:szCs w:val="24"/>
        </w:rPr>
      </w:r>
      <w:r w:rsidRPr="008903D1">
        <w:rPr>
          <w:rFonts w:cs="Times New Roman"/>
          <w:szCs w:val="24"/>
        </w:rPr>
        <w:fldChar w:fldCharType="separate"/>
      </w:r>
      <w:r w:rsidR="0005064B">
        <w:rPr>
          <w:rFonts w:cs="Times New Roman"/>
        </w:rPr>
        <w:t>Table</w:t>
      </w:r>
      <w:r w:rsidR="0005064B" w:rsidRPr="00737239">
        <w:rPr>
          <w:rFonts w:cs="Times New Roman"/>
        </w:rPr>
        <w:t xml:space="preserve"> </w:t>
      </w:r>
      <w:r w:rsidR="0005064B">
        <w:rPr>
          <w:rFonts w:cs="Times New Roman"/>
        </w:rPr>
        <w:t>8</w:t>
      </w:r>
      <w:r w:rsidR="0005064B">
        <w:rPr>
          <w:rFonts w:cs="Times New Roman"/>
        </w:rPr>
        <w:noBreakHyphen/>
        <w:t>1</w:t>
      </w:r>
      <w:r w:rsidRPr="008903D1">
        <w:rPr>
          <w:rFonts w:cs="Times New Roman"/>
          <w:szCs w:val="24"/>
        </w:rPr>
        <w:fldChar w:fldCharType="end"/>
      </w:r>
      <w:r w:rsidRPr="008903D1">
        <w:rPr>
          <w:rFonts w:cs="Times New Roman"/>
          <w:szCs w:val="24"/>
        </w:rPr>
        <w:t xml:space="preserve"> shows the required parameters. </w:t>
      </w:r>
      <w:r w:rsidRPr="008903D1">
        <w:rPr>
          <w:rFonts w:cs="Times New Roman"/>
          <w:szCs w:val="24"/>
        </w:rPr>
        <w:fldChar w:fldCharType="begin"/>
      </w:r>
      <w:r w:rsidRPr="008903D1">
        <w:rPr>
          <w:rFonts w:cs="Times New Roman"/>
          <w:szCs w:val="24"/>
        </w:rPr>
        <w:instrText xml:space="preserve"> REF _Ref34733995 \h </w:instrText>
      </w:r>
      <w:r w:rsidR="008903D1">
        <w:rPr>
          <w:rFonts w:cs="Times New Roman"/>
          <w:szCs w:val="24"/>
        </w:rPr>
        <w:instrText xml:space="preserve"> \* MERGEFORMAT </w:instrText>
      </w:r>
      <w:r w:rsidRPr="008903D1">
        <w:rPr>
          <w:rFonts w:cs="Times New Roman"/>
          <w:szCs w:val="24"/>
        </w:rPr>
      </w:r>
      <w:r w:rsidRPr="008903D1">
        <w:rPr>
          <w:rFonts w:cs="Times New Roman"/>
          <w:szCs w:val="24"/>
        </w:rPr>
        <w:fldChar w:fldCharType="separate"/>
      </w:r>
      <w:r w:rsidR="0005064B">
        <w:rPr>
          <w:rFonts w:cs="Times New Roman"/>
        </w:rPr>
        <w:t>Table</w:t>
      </w:r>
      <w:r w:rsidR="0005064B" w:rsidRPr="00737239">
        <w:rPr>
          <w:rFonts w:cs="Times New Roman"/>
        </w:rPr>
        <w:t xml:space="preserve"> </w:t>
      </w:r>
      <w:r w:rsidR="0005064B">
        <w:rPr>
          <w:rFonts w:cs="Times New Roman"/>
        </w:rPr>
        <w:t>8</w:t>
      </w:r>
      <w:r w:rsidR="0005064B">
        <w:rPr>
          <w:rFonts w:cs="Times New Roman"/>
        </w:rPr>
        <w:noBreakHyphen/>
        <w:t>2</w:t>
      </w:r>
      <w:r w:rsidRPr="008903D1">
        <w:rPr>
          <w:rFonts w:cs="Times New Roman"/>
          <w:szCs w:val="24"/>
        </w:rPr>
        <w:fldChar w:fldCharType="end"/>
      </w:r>
      <w:r w:rsidRPr="008903D1">
        <w:rPr>
          <w:rFonts w:cs="Times New Roman"/>
          <w:szCs w:val="24"/>
        </w:rPr>
        <w:t xml:space="preserve"> recaps all the actions required in the graphical user interface, along with pre-requisites and outcomes.</w:t>
      </w:r>
    </w:p>
    <w:tbl>
      <w:tblPr>
        <w:tblStyle w:val="TableGrid"/>
        <w:tblW w:w="5000" w:type="pct"/>
        <w:jc w:val="center"/>
        <w:tblLook w:val="04A0" w:firstRow="1" w:lastRow="0" w:firstColumn="1" w:lastColumn="0" w:noHBand="0" w:noVBand="1"/>
      </w:tblPr>
      <w:tblGrid>
        <w:gridCol w:w="7734"/>
        <w:gridCol w:w="1282"/>
      </w:tblGrid>
      <w:tr w:rsidR="00374946" w:rsidRPr="008903D1" w14:paraId="2323D88E" w14:textId="77777777" w:rsidTr="00F7598C">
        <w:trPr>
          <w:jc w:val="center"/>
        </w:trPr>
        <w:tc>
          <w:tcPr>
            <w:tcW w:w="4289" w:type="pct"/>
          </w:tcPr>
          <w:p w14:paraId="45DD42AB" w14:textId="77777777" w:rsidR="00374946" w:rsidRPr="008903D1" w:rsidRDefault="00374946" w:rsidP="00763F7C">
            <w:pPr>
              <w:snapToGrid w:val="0"/>
              <w:spacing w:before="100" w:beforeAutospacing="1" w:line="240" w:lineRule="auto"/>
              <w:rPr>
                <w:rFonts w:cs="Times New Roman"/>
                <w:b/>
                <w:szCs w:val="24"/>
              </w:rPr>
            </w:pPr>
            <w:r w:rsidRPr="008903D1">
              <w:rPr>
                <w:rFonts w:cs="Times New Roman"/>
                <w:b/>
                <w:szCs w:val="24"/>
              </w:rPr>
              <w:t>Data Categories</w:t>
            </w:r>
          </w:p>
        </w:tc>
        <w:tc>
          <w:tcPr>
            <w:tcW w:w="711" w:type="pct"/>
          </w:tcPr>
          <w:p w14:paraId="5453850B" w14:textId="77777777" w:rsidR="00374946" w:rsidRPr="008903D1" w:rsidRDefault="00374946" w:rsidP="00763F7C">
            <w:pPr>
              <w:snapToGrid w:val="0"/>
              <w:spacing w:before="100" w:beforeAutospacing="1" w:line="240" w:lineRule="auto"/>
              <w:rPr>
                <w:rFonts w:cs="Times New Roman"/>
                <w:b/>
                <w:szCs w:val="24"/>
              </w:rPr>
            </w:pPr>
            <w:r w:rsidRPr="008903D1">
              <w:rPr>
                <w:rFonts w:cs="Times New Roman"/>
                <w:b/>
                <w:szCs w:val="24"/>
              </w:rPr>
              <w:t>Notation</w:t>
            </w:r>
          </w:p>
        </w:tc>
      </w:tr>
      <w:tr w:rsidR="00374946" w:rsidRPr="008903D1" w14:paraId="7D1DC4A9" w14:textId="77777777" w:rsidTr="00F7598C">
        <w:trPr>
          <w:jc w:val="center"/>
        </w:trPr>
        <w:tc>
          <w:tcPr>
            <w:tcW w:w="4289" w:type="pct"/>
            <w:vAlign w:val="center"/>
          </w:tcPr>
          <w:p w14:paraId="31378618" w14:textId="77777777" w:rsidR="00374946" w:rsidRPr="008903D1" w:rsidRDefault="00374946" w:rsidP="00763F7C">
            <w:pPr>
              <w:snapToGrid w:val="0"/>
              <w:spacing w:before="100" w:beforeAutospacing="1" w:line="240" w:lineRule="auto"/>
              <w:rPr>
                <w:rFonts w:cs="Times New Roman"/>
                <w:szCs w:val="24"/>
              </w:rPr>
            </w:pPr>
            <w:r w:rsidRPr="008903D1">
              <w:rPr>
                <w:rFonts w:cs="Times New Roman"/>
                <w:szCs w:val="24"/>
              </w:rPr>
              <w:t>Hourly wage of UCC Operatives</w:t>
            </w:r>
          </w:p>
        </w:tc>
        <w:tc>
          <w:tcPr>
            <w:tcW w:w="711" w:type="pct"/>
          </w:tcPr>
          <w:p w14:paraId="3A201DA3" w14:textId="1612A3A7" w:rsidR="00374946" w:rsidRPr="008903D1" w:rsidRDefault="006B2CFD" w:rsidP="00763F7C">
            <w:pPr>
              <w:snapToGrid w:val="0"/>
              <w:spacing w:before="100" w:beforeAutospacing="1" w:line="240" w:lineRule="auto"/>
              <w:rPr>
                <w:rFonts w:cs="Times New Roman"/>
                <w:szCs w:val="24"/>
              </w:rPr>
            </w:pPr>
            <w:r>
              <w:rPr>
                <w:rFonts w:cs="Times New Roman"/>
                <w:noProof/>
                <w:position w:val="-12"/>
                <w:szCs w:val="24"/>
                <w:lang w:eastAsia="en-GB"/>
              </w:rPr>
              <w:drawing>
                <wp:inline distT="0" distB="0" distL="0" distR="0" wp14:anchorId="315DDE11" wp14:editId="0A7DC59C">
                  <wp:extent cx="194310" cy="27368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4310" cy="273685"/>
                          </a:xfrm>
                          <a:prstGeom prst="rect">
                            <a:avLst/>
                          </a:prstGeom>
                          <a:noFill/>
                          <a:ln>
                            <a:noFill/>
                          </a:ln>
                        </pic:spPr>
                      </pic:pic>
                    </a:graphicData>
                  </a:graphic>
                </wp:inline>
              </w:drawing>
            </w:r>
          </w:p>
        </w:tc>
      </w:tr>
      <w:tr w:rsidR="00374946" w:rsidRPr="008903D1" w14:paraId="408D5CDF" w14:textId="77777777" w:rsidTr="00F7598C">
        <w:trPr>
          <w:jc w:val="center"/>
        </w:trPr>
        <w:tc>
          <w:tcPr>
            <w:tcW w:w="4289" w:type="pct"/>
            <w:vAlign w:val="center"/>
          </w:tcPr>
          <w:p w14:paraId="7A0E8E69" w14:textId="77777777" w:rsidR="00374946" w:rsidRPr="008903D1" w:rsidRDefault="00374946" w:rsidP="00763F7C">
            <w:pPr>
              <w:snapToGrid w:val="0"/>
              <w:spacing w:before="100" w:beforeAutospacing="1" w:line="240" w:lineRule="auto"/>
              <w:rPr>
                <w:rFonts w:cs="Times New Roman"/>
                <w:szCs w:val="24"/>
              </w:rPr>
            </w:pPr>
            <w:r w:rsidRPr="008903D1">
              <w:rPr>
                <w:rFonts w:cs="Times New Roman"/>
                <w:szCs w:val="24"/>
              </w:rPr>
              <w:t xml:space="preserve">Hourly wage of UCC drivers </w:t>
            </w:r>
          </w:p>
        </w:tc>
        <w:tc>
          <w:tcPr>
            <w:tcW w:w="711" w:type="pct"/>
          </w:tcPr>
          <w:p w14:paraId="1B7A5EA3" w14:textId="708D3DAC" w:rsidR="00374946" w:rsidRPr="008903D1" w:rsidRDefault="006B2CFD" w:rsidP="00763F7C">
            <w:pPr>
              <w:snapToGrid w:val="0"/>
              <w:spacing w:before="100" w:beforeAutospacing="1" w:line="240" w:lineRule="auto"/>
              <w:rPr>
                <w:rFonts w:cs="Times New Roman"/>
                <w:szCs w:val="24"/>
              </w:rPr>
            </w:pPr>
            <w:r>
              <w:rPr>
                <w:rFonts w:cs="Times New Roman"/>
                <w:noProof/>
                <w:position w:val="-12"/>
                <w:szCs w:val="24"/>
                <w:lang w:eastAsia="en-GB"/>
              </w:rPr>
              <w:drawing>
                <wp:inline distT="0" distB="0" distL="0" distR="0" wp14:anchorId="791D1275" wp14:editId="2688FE37">
                  <wp:extent cx="194310" cy="27368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4310" cy="273685"/>
                          </a:xfrm>
                          <a:prstGeom prst="rect">
                            <a:avLst/>
                          </a:prstGeom>
                          <a:noFill/>
                          <a:ln>
                            <a:noFill/>
                          </a:ln>
                        </pic:spPr>
                      </pic:pic>
                    </a:graphicData>
                  </a:graphic>
                </wp:inline>
              </w:drawing>
            </w:r>
          </w:p>
        </w:tc>
      </w:tr>
      <w:tr w:rsidR="00374946" w:rsidRPr="008903D1" w14:paraId="5849A113" w14:textId="77777777" w:rsidTr="00F7598C">
        <w:trPr>
          <w:trHeight w:val="265"/>
          <w:jc w:val="center"/>
        </w:trPr>
        <w:tc>
          <w:tcPr>
            <w:tcW w:w="4289" w:type="pct"/>
            <w:vAlign w:val="center"/>
          </w:tcPr>
          <w:p w14:paraId="0A309FB2" w14:textId="77777777" w:rsidR="00374946" w:rsidRPr="008903D1" w:rsidRDefault="00374946" w:rsidP="00763F7C">
            <w:pPr>
              <w:snapToGrid w:val="0"/>
              <w:spacing w:before="100" w:beforeAutospacing="1" w:line="240" w:lineRule="auto"/>
              <w:rPr>
                <w:rFonts w:cs="Times New Roman"/>
                <w:szCs w:val="24"/>
              </w:rPr>
            </w:pPr>
            <w:r w:rsidRPr="008903D1">
              <w:rPr>
                <w:rFonts w:cs="Times New Roman"/>
                <w:szCs w:val="24"/>
              </w:rPr>
              <w:t xml:space="preserve">Fuel Cost per </w:t>
            </w:r>
            <w:proofErr w:type="spellStart"/>
            <w:r w:rsidRPr="008903D1">
              <w:rPr>
                <w:rFonts w:cs="Times New Roman"/>
                <w:szCs w:val="24"/>
              </w:rPr>
              <w:t>Litre</w:t>
            </w:r>
            <w:proofErr w:type="spellEnd"/>
            <w:r w:rsidRPr="008903D1">
              <w:rPr>
                <w:rFonts w:cs="Times New Roman"/>
                <w:szCs w:val="24"/>
              </w:rPr>
              <w:t xml:space="preserve"> (</w:t>
            </w:r>
            <w:proofErr w:type="spellStart"/>
            <w:r w:rsidRPr="008903D1">
              <w:rPr>
                <w:rFonts w:cs="Times New Roman"/>
                <w:szCs w:val="24"/>
              </w:rPr>
              <w:t>KWh</w:t>
            </w:r>
            <w:proofErr w:type="spellEnd"/>
            <w:r w:rsidRPr="008903D1">
              <w:rPr>
                <w:rFonts w:cs="Times New Roman"/>
                <w:szCs w:val="24"/>
              </w:rPr>
              <w:t xml:space="preserve"> in case of Electric Vehicles)</w:t>
            </w:r>
          </w:p>
        </w:tc>
        <w:tc>
          <w:tcPr>
            <w:tcW w:w="711" w:type="pct"/>
          </w:tcPr>
          <w:p w14:paraId="066B2A7D" w14:textId="03AEC793" w:rsidR="00374946" w:rsidRPr="008903D1" w:rsidRDefault="006B2CFD" w:rsidP="00763F7C">
            <w:pPr>
              <w:snapToGrid w:val="0"/>
              <w:spacing w:before="100" w:beforeAutospacing="1" w:line="240" w:lineRule="auto"/>
              <w:rPr>
                <w:rFonts w:cs="Times New Roman"/>
                <w:szCs w:val="24"/>
              </w:rPr>
            </w:pPr>
            <w:r>
              <w:rPr>
                <w:rFonts w:cs="Times New Roman"/>
                <w:noProof/>
                <w:position w:val="-12"/>
                <w:szCs w:val="24"/>
                <w:lang w:eastAsia="en-GB"/>
              </w:rPr>
              <w:drawing>
                <wp:inline distT="0" distB="0" distL="0" distR="0" wp14:anchorId="6B59FC00" wp14:editId="19F268E5">
                  <wp:extent cx="194310" cy="27368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4310" cy="273685"/>
                          </a:xfrm>
                          <a:prstGeom prst="rect">
                            <a:avLst/>
                          </a:prstGeom>
                          <a:noFill/>
                          <a:ln>
                            <a:noFill/>
                          </a:ln>
                        </pic:spPr>
                      </pic:pic>
                    </a:graphicData>
                  </a:graphic>
                </wp:inline>
              </w:drawing>
            </w:r>
          </w:p>
        </w:tc>
      </w:tr>
      <w:tr w:rsidR="00374946" w:rsidRPr="008903D1" w14:paraId="5901ED40" w14:textId="77777777" w:rsidTr="00F7598C">
        <w:trPr>
          <w:trHeight w:val="312"/>
          <w:jc w:val="center"/>
        </w:trPr>
        <w:tc>
          <w:tcPr>
            <w:tcW w:w="4289" w:type="pct"/>
            <w:vAlign w:val="center"/>
          </w:tcPr>
          <w:p w14:paraId="1BB5416D" w14:textId="77777777" w:rsidR="00374946" w:rsidRPr="008903D1" w:rsidRDefault="00374946" w:rsidP="00763F7C">
            <w:pPr>
              <w:snapToGrid w:val="0"/>
              <w:spacing w:before="100" w:beforeAutospacing="1" w:line="240" w:lineRule="auto"/>
              <w:rPr>
                <w:rFonts w:cs="Times New Roman"/>
                <w:szCs w:val="24"/>
              </w:rPr>
            </w:pPr>
            <w:r w:rsidRPr="008903D1">
              <w:rPr>
                <w:rFonts w:cs="Times New Roman"/>
                <w:szCs w:val="24"/>
              </w:rPr>
              <w:t xml:space="preserve">Fuel efficiency of the vehicle </w:t>
            </w:r>
          </w:p>
        </w:tc>
        <w:tc>
          <w:tcPr>
            <w:tcW w:w="711" w:type="pct"/>
          </w:tcPr>
          <w:p w14:paraId="139BBF2D" w14:textId="0AD9C31E" w:rsidR="00374946" w:rsidRPr="008903D1" w:rsidRDefault="006B2CFD" w:rsidP="00763F7C">
            <w:pPr>
              <w:snapToGrid w:val="0"/>
              <w:spacing w:before="100" w:beforeAutospacing="1" w:line="240" w:lineRule="auto"/>
              <w:rPr>
                <w:rFonts w:cs="Times New Roman"/>
                <w:szCs w:val="24"/>
              </w:rPr>
            </w:pPr>
            <w:r>
              <w:rPr>
                <w:rFonts w:cs="Times New Roman"/>
                <w:noProof/>
                <w:position w:val="-6"/>
                <w:szCs w:val="24"/>
                <w:lang w:eastAsia="en-GB"/>
              </w:rPr>
              <w:drawing>
                <wp:inline distT="0" distB="0" distL="0" distR="0" wp14:anchorId="7625829C" wp14:editId="30716FC6">
                  <wp:extent cx="194310" cy="19431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4310" cy="194310"/>
                          </a:xfrm>
                          <a:prstGeom prst="rect">
                            <a:avLst/>
                          </a:prstGeom>
                          <a:noFill/>
                          <a:ln>
                            <a:noFill/>
                          </a:ln>
                        </pic:spPr>
                      </pic:pic>
                    </a:graphicData>
                  </a:graphic>
                </wp:inline>
              </w:drawing>
            </w:r>
          </w:p>
        </w:tc>
      </w:tr>
      <w:tr w:rsidR="00374946" w:rsidRPr="008903D1" w14:paraId="02925DD4" w14:textId="77777777" w:rsidTr="00F7598C">
        <w:trPr>
          <w:trHeight w:val="312"/>
          <w:jc w:val="center"/>
        </w:trPr>
        <w:tc>
          <w:tcPr>
            <w:tcW w:w="4289" w:type="pct"/>
            <w:vAlign w:val="center"/>
          </w:tcPr>
          <w:p w14:paraId="39F78A2A" w14:textId="77777777" w:rsidR="00374946" w:rsidRPr="008903D1" w:rsidRDefault="00374946" w:rsidP="00763F7C">
            <w:pPr>
              <w:snapToGrid w:val="0"/>
              <w:spacing w:before="100" w:beforeAutospacing="1" w:line="240" w:lineRule="auto"/>
              <w:rPr>
                <w:rFonts w:cs="Times New Roman"/>
                <w:szCs w:val="24"/>
              </w:rPr>
            </w:pPr>
            <w:r w:rsidRPr="008903D1">
              <w:rPr>
                <w:rFonts w:cs="Times New Roman"/>
                <w:szCs w:val="24"/>
              </w:rPr>
              <w:t>Number of UCC Operatives</w:t>
            </w:r>
          </w:p>
        </w:tc>
        <w:tc>
          <w:tcPr>
            <w:tcW w:w="711" w:type="pct"/>
          </w:tcPr>
          <w:p w14:paraId="687C45E5" w14:textId="2F0EAB25" w:rsidR="00374946" w:rsidRPr="008903D1" w:rsidRDefault="006B2CFD" w:rsidP="00763F7C">
            <w:pPr>
              <w:snapToGrid w:val="0"/>
              <w:spacing w:before="100" w:beforeAutospacing="1" w:line="240" w:lineRule="auto"/>
              <w:rPr>
                <w:rFonts w:cs="Times New Roman"/>
                <w:szCs w:val="24"/>
              </w:rPr>
            </w:pPr>
            <w:r>
              <w:rPr>
                <w:rFonts w:cs="Times New Roman"/>
                <w:noProof/>
                <w:position w:val="-12"/>
                <w:szCs w:val="24"/>
                <w:lang w:eastAsia="en-GB"/>
              </w:rPr>
              <w:drawing>
                <wp:inline distT="0" distB="0" distL="0" distR="0" wp14:anchorId="18108932" wp14:editId="42EA3C0E">
                  <wp:extent cx="194310" cy="2736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4310" cy="273685"/>
                          </a:xfrm>
                          <a:prstGeom prst="rect">
                            <a:avLst/>
                          </a:prstGeom>
                          <a:noFill/>
                          <a:ln>
                            <a:noFill/>
                          </a:ln>
                        </pic:spPr>
                      </pic:pic>
                    </a:graphicData>
                  </a:graphic>
                </wp:inline>
              </w:drawing>
            </w:r>
          </w:p>
        </w:tc>
      </w:tr>
      <w:tr w:rsidR="00374946" w:rsidRPr="008903D1" w14:paraId="4BF80A35" w14:textId="77777777" w:rsidTr="00F7598C">
        <w:trPr>
          <w:trHeight w:val="312"/>
          <w:jc w:val="center"/>
        </w:trPr>
        <w:tc>
          <w:tcPr>
            <w:tcW w:w="4289" w:type="pct"/>
            <w:vAlign w:val="center"/>
          </w:tcPr>
          <w:p w14:paraId="44263641" w14:textId="77777777" w:rsidR="00374946" w:rsidRPr="008903D1" w:rsidRDefault="00374946" w:rsidP="00763F7C">
            <w:pPr>
              <w:snapToGrid w:val="0"/>
              <w:spacing w:before="100" w:beforeAutospacing="1" w:line="240" w:lineRule="auto"/>
              <w:rPr>
                <w:rFonts w:cs="Times New Roman"/>
                <w:szCs w:val="24"/>
              </w:rPr>
            </w:pPr>
            <w:r w:rsidRPr="008903D1">
              <w:rPr>
                <w:rFonts w:cs="Times New Roman"/>
                <w:szCs w:val="24"/>
              </w:rPr>
              <w:t>Working Days</w:t>
            </w:r>
          </w:p>
        </w:tc>
        <w:tc>
          <w:tcPr>
            <w:tcW w:w="711" w:type="pct"/>
          </w:tcPr>
          <w:p w14:paraId="08FC23DA" w14:textId="36353664" w:rsidR="00374946" w:rsidRPr="008903D1" w:rsidRDefault="006B2CFD" w:rsidP="00763F7C">
            <w:pPr>
              <w:snapToGrid w:val="0"/>
              <w:spacing w:before="100" w:beforeAutospacing="1" w:line="240" w:lineRule="auto"/>
              <w:rPr>
                <w:rFonts w:cs="Times New Roman"/>
                <w:szCs w:val="24"/>
              </w:rPr>
            </w:pPr>
            <w:r>
              <w:rPr>
                <w:rFonts w:cs="Times New Roman"/>
                <w:noProof/>
                <w:position w:val="-4"/>
                <w:szCs w:val="24"/>
                <w:lang w:eastAsia="en-GB"/>
              </w:rPr>
              <w:drawing>
                <wp:inline distT="0" distB="0" distL="0" distR="0" wp14:anchorId="4D6BF3A4" wp14:editId="7F352E11">
                  <wp:extent cx="194310" cy="19431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4310" cy="194310"/>
                          </a:xfrm>
                          <a:prstGeom prst="rect">
                            <a:avLst/>
                          </a:prstGeom>
                          <a:noFill/>
                          <a:ln>
                            <a:noFill/>
                          </a:ln>
                        </pic:spPr>
                      </pic:pic>
                    </a:graphicData>
                  </a:graphic>
                </wp:inline>
              </w:drawing>
            </w:r>
          </w:p>
        </w:tc>
      </w:tr>
      <w:tr w:rsidR="00374946" w:rsidRPr="008903D1" w14:paraId="171C18F0" w14:textId="77777777" w:rsidTr="00F7598C">
        <w:trPr>
          <w:trHeight w:val="312"/>
          <w:jc w:val="center"/>
        </w:trPr>
        <w:tc>
          <w:tcPr>
            <w:tcW w:w="4289" w:type="pct"/>
            <w:vAlign w:val="center"/>
          </w:tcPr>
          <w:p w14:paraId="05AC6CF2" w14:textId="77777777" w:rsidR="00374946" w:rsidRPr="008903D1" w:rsidRDefault="00374946" w:rsidP="00763F7C">
            <w:pPr>
              <w:snapToGrid w:val="0"/>
              <w:spacing w:before="100" w:beforeAutospacing="1" w:line="240" w:lineRule="auto"/>
              <w:rPr>
                <w:rFonts w:cs="Times New Roman"/>
                <w:szCs w:val="24"/>
              </w:rPr>
            </w:pPr>
            <w:r w:rsidRPr="008903D1">
              <w:rPr>
                <w:rFonts w:cs="Times New Roman"/>
                <w:szCs w:val="24"/>
              </w:rPr>
              <w:t>Numbers of Vehicles used per day</w:t>
            </w:r>
          </w:p>
        </w:tc>
        <w:tc>
          <w:tcPr>
            <w:tcW w:w="711" w:type="pct"/>
          </w:tcPr>
          <w:p w14:paraId="42DC43A6" w14:textId="656179A5" w:rsidR="00374946" w:rsidRPr="008903D1" w:rsidRDefault="006B2CFD" w:rsidP="00763F7C">
            <w:pPr>
              <w:snapToGrid w:val="0"/>
              <w:spacing w:before="100" w:beforeAutospacing="1" w:line="240" w:lineRule="auto"/>
              <w:rPr>
                <w:rFonts w:cs="Times New Roman"/>
                <w:szCs w:val="24"/>
              </w:rPr>
            </w:pPr>
            <w:r>
              <w:rPr>
                <w:rFonts w:cs="Times New Roman"/>
                <w:noProof/>
                <w:position w:val="-12"/>
                <w:szCs w:val="24"/>
                <w:lang w:eastAsia="en-GB"/>
              </w:rPr>
              <w:drawing>
                <wp:inline distT="0" distB="0" distL="0" distR="0" wp14:anchorId="416EC86C" wp14:editId="6E8AFEE5">
                  <wp:extent cx="194310" cy="27368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4310" cy="273685"/>
                          </a:xfrm>
                          <a:prstGeom prst="rect">
                            <a:avLst/>
                          </a:prstGeom>
                          <a:noFill/>
                          <a:ln>
                            <a:noFill/>
                          </a:ln>
                        </pic:spPr>
                      </pic:pic>
                    </a:graphicData>
                  </a:graphic>
                </wp:inline>
              </w:drawing>
            </w:r>
          </w:p>
        </w:tc>
      </w:tr>
      <w:tr w:rsidR="00374946" w:rsidRPr="008903D1" w14:paraId="6B9E0E68" w14:textId="77777777" w:rsidTr="00F7598C">
        <w:trPr>
          <w:trHeight w:val="312"/>
          <w:jc w:val="center"/>
        </w:trPr>
        <w:tc>
          <w:tcPr>
            <w:tcW w:w="4289" w:type="pct"/>
            <w:vAlign w:val="center"/>
          </w:tcPr>
          <w:p w14:paraId="2BF57CAA" w14:textId="77777777" w:rsidR="00374946" w:rsidRPr="008903D1" w:rsidRDefault="00374946" w:rsidP="00763F7C">
            <w:pPr>
              <w:snapToGrid w:val="0"/>
              <w:spacing w:before="100" w:beforeAutospacing="1" w:line="240" w:lineRule="auto"/>
              <w:rPr>
                <w:rFonts w:cs="Times New Roman"/>
                <w:szCs w:val="24"/>
              </w:rPr>
            </w:pPr>
            <w:r w:rsidRPr="008903D1">
              <w:rPr>
                <w:rFonts w:cs="Times New Roman"/>
                <w:szCs w:val="24"/>
              </w:rPr>
              <w:t>Number of drivers</w:t>
            </w:r>
          </w:p>
        </w:tc>
        <w:tc>
          <w:tcPr>
            <w:tcW w:w="711" w:type="pct"/>
          </w:tcPr>
          <w:p w14:paraId="03BC588F" w14:textId="31775C42" w:rsidR="00374946" w:rsidRPr="008903D1" w:rsidRDefault="006B2CFD" w:rsidP="00763F7C">
            <w:pPr>
              <w:snapToGrid w:val="0"/>
              <w:spacing w:before="100" w:beforeAutospacing="1" w:line="240" w:lineRule="auto"/>
              <w:rPr>
                <w:rFonts w:cs="Times New Roman"/>
                <w:szCs w:val="24"/>
              </w:rPr>
            </w:pPr>
            <w:r>
              <w:rPr>
                <w:rFonts w:cs="Times New Roman"/>
                <w:noProof/>
                <w:position w:val="-12"/>
                <w:szCs w:val="24"/>
                <w:lang w:eastAsia="en-GB"/>
              </w:rPr>
              <w:drawing>
                <wp:inline distT="0" distB="0" distL="0" distR="0" wp14:anchorId="520BBC03" wp14:editId="0E9CD3D5">
                  <wp:extent cx="187325" cy="273685"/>
                  <wp:effectExtent l="0" t="0" r="317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7325" cy="273685"/>
                          </a:xfrm>
                          <a:prstGeom prst="rect">
                            <a:avLst/>
                          </a:prstGeom>
                          <a:noFill/>
                          <a:ln>
                            <a:noFill/>
                          </a:ln>
                        </pic:spPr>
                      </pic:pic>
                    </a:graphicData>
                  </a:graphic>
                </wp:inline>
              </w:drawing>
            </w:r>
          </w:p>
        </w:tc>
      </w:tr>
    </w:tbl>
    <w:p w14:paraId="299BAF48" w14:textId="7AF07CD8" w:rsidR="00374946" w:rsidRPr="00737239" w:rsidRDefault="007B5959" w:rsidP="000A4E8C">
      <w:pPr>
        <w:pStyle w:val="Caption"/>
        <w:spacing w:after="0" w:line="360" w:lineRule="auto"/>
        <w:rPr>
          <w:rFonts w:cs="Times New Roman"/>
        </w:rPr>
        <w:sectPr w:rsidR="00374946" w:rsidRPr="00737239">
          <w:pgSz w:w="11906" w:h="16838"/>
          <w:pgMar w:top="1440" w:right="1440" w:bottom="1440" w:left="1440" w:header="708" w:footer="708" w:gutter="0"/>
          <w:cols w:space="708"/>
          <w:docGrid w:linePitch="360"/>
        </w:sectPr>
      </w:pPr>
      <w:bookmarkStart w:id="1140" w:name="_Ref34733973"/>
      <w:bookmarkStart w:id="1141" w:name="_Toc34674998"/>
      <w:bookmarkStart w:id="1142" w:name="_Toc34734790"/>
      <w:bookmarkStart w:id="1143" w:name="_Toc46053603"/>
      <w:bookmarkStart w:id="1144" w:name="_Toc46093852"/>
      <w:bookmarkStart w:id="1145" w:name="_Toc66698819"/>
      <w:r>
        <w:rPr>
          <w:rFonts w:cs="Times New Roman"/>
        </w:rPr>
        <w:t>Table</w:t>
      </w:r>
      <w:r w:rsidR="00374946"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8</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1</w:t>
      </w:r>
      <w:r w:rsidR="00FE10DA">
        <w:rPr>
          <w:rFonts w:cs="Times New Roman"/>
        </w:rPr>
        <w:fldChar w:fldCharType="end"/>
      </w:r>
      <w:bookmarkEnd w:id="1140"/>
      <w:r w:rsidR="004D6792">
        <w:rPr>
          <w:rFonts w:cs="Times New Roman"/>
        </w:rPr>
        <w:t>:</w:t>
      </w:r>
      <w:r w:rsidR="00374946" w:rsidRPr="008903D1">
        <w:rPr>
          <w:rFonts w:cs="Times New Roman"/>
        </w:rPr>
        <w:t xml:space="preserve"> Parameters Required for the Facility Planning Module.</w:t>
      </w:r>
      <w:bookmarkEnd w:id="1141"/>
      <w:bookmarkEnd w:id="1142"/>
      <w:bookmarkEnd w:id="1143"/>
      <w:bookmarkEnd w:id="1144"/>
      <w:bookmarkEnd w:id="11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933"/>
        <w:gridCol w:w="4017"/>
        <w:gridCol w:w="7998"/>
      </w:tblGrid>
      <w:tr w:rsidR="00374946" w:rsidRPr="00763F7C" w14:paraId="7F0F6FDE" w14:textId="77777777" w:rsidTr="00F7598C">
        <w:tc>
          <w:tcPr>
            <w:tcW w:w="693" w:type="pct"/>
            <w:shd w:val="clear" w:color="auto" w:fill="auto"/>
            <w:tcMar>
              <w:top w:w="100" w:type="dxa"/>
              <w:left w:w="100" w:type="dxa"/>
              <w:bottom w:w="100" w:type="dxa"/>
              <w:right w:w="100" w:type="dxa"/>
            </w:tcMar>
          </w:tcPr>
          <w:p w14:paraId="54A02E9A" w14:textId="77777777" w:rsidR="00374946" w:rsidRPr="00763F7C" w:rsidRDefault="00374946" w:rsidP="00D92114">
            <w:pPr>
              <w:widowControl w:val="0"/>
              <w:pBdr>
                <w:top w:val="nil"/>
                <w:left w:val="nil"/>
                <w:bottom w:val="nil"/>
                <w:right w:val="nil"/>
                <w:between w:val="nil"/>
              </w:pBdr>
              <w:spacing w:line="240" w:lineRule="auto"/>
              <w:jc w:val="center"/>
              <w:rPr>
                <w:rFonts w:cs="Times New Roman"/>
                <w:b/>
                <w:sz w:val="22"/>
              </w:rPr>
            </w:pPr>
            <w:r w:rsidRPr="00763F7C">
              <w:rPr>
                <w:rFonts w:cs="Times New Roman"/>
                <w:b/>
                <w:sz w:val="22"/>
              </w:rPr>
              <w:lastRenderedPageBreak/>
              <w:t>Specifics</w:t>
            </w:r>
          </w:p>
        </w:tc>
        <w:tc>
          <w:tcPr>
            <w:tcW w:w="1440" w:type="pct"/>
            <w:shd w:val="clear" w:color="auto" w:fill="auto"/>
            <w:tcMar>
              <w:top w:w="100" w:type="dxa"/>
              <w:left w:w="100" w:type="dxa"/>
              <w:bottom w:w="100" w:type="dxa"/>
              <w:right w:w="100" w:type="dxa"/>
            </w:tcMar>
          </w:tcPr>
          <w:p w14:paraId="2028B4CC" w14:textId="77777777" w:rsidR="00374946" w:rsidRPr="00763F7C" w:rsidRDefault="00374946" w:rsidP="00D92114">
            <w:pPr>
              <w:widowControl w:val="0"/>
              <w:spacing w:line="240" w:lineRule="auto"/>
              <w:jc w:val="center"/>
              <w:rPr>
                <w:rFonts w:cs="Times New Roman"/>
                <w:sz w:val="22"/>
              </w:rPr>
            </w:pPr>
            <w:r w:rsidRPr="00763F7C">
              <w:rPr>
                <w:rFonts w:cs="Times New Roman"/>
                <w:b/>
                <w:sz w:val="22"/>
              </w:rPr>
              <w:t>Pre-requisites</w:t>
            </w:r>
          </w:p>
        </w:tc>
        <w:tc>
          <w:tcPr>
            <w:tcW w:w="2867" w:type="pct"/>
            <w:shd w:val="clear" w:color="auto" w:fill="auto"/>
            <w:tcMar>
              <w:top w:w="100" w:type="dxa"/>
              <w:left w:w="100" w:type="dxa"/>
              <w:bottom w:w="100" w:type="dxa"/>
              <w:right w:w="100" w:type="dxa"/>
            </w:tcMar>
          </w:tcPr>
          <w:p w14:paraId="54ACAA55" w14:textId="77777777" w:rsidR="00374946" w:rsidRPr="00763F7C" w:rsidRDefault="00374946" w:rsidP="00D92114">
            <w:pPr>
              <w:widowControl w:val="0"/>
              <w:spacing w:line="240" w:lineRule="auto"/>
              <w:jc w:val="center"/>
              <w:rPr>
                <w:rFonts w:cs="Times New Roman"/>
                <w:sz w:val="22"/>
              </w:rPr>
            </w:pPr>
            <w:r w:rsidRPr="00763F7C">
              <w:rPr>
                <w:rFonts w:cs="Times New Roman"/>
                <w:b/>
                <w:sz w:val="22"/>
              </w:rPr>
              <w:t>Outcomes</w:t>
            </w:r>
          </w:p>
        </w:tc>
      </w:tr>
      <w:tr w:rsidR="00374946" w:rsidRPr="00763F7C" w14:paraId="29F823D4" w14:textId="77777777" w:rsidTr="00F7598C">
        <w:tc>
          <w:tcPr>
            <w:tcW w:w="693" w:type="pct"/>
            <w:shd w:val="clear" w:color="auto" w:fill="auto"/>
            <w:tcMar>
              <w:top w:w="100" w:type="dxa"/>
              <w:left w:w="100" w:type="dxa"/>
              <w:bottom w:w="100" w:type="dxa"/>
              <w:right w:w="100" w:type="dxa"/>
            </w:tcMar>
          </w:tcPr>
          <w:p w14:paraId="0E43948F" w14:textId="77777777" w:rsidR="00374946" w:rsidRPr="00763F7C" w:rsidRDefault="00374946" w:rsidP="00D92114">
            <w:pPr>
              <w:widowControl w:val="0"/>
              <w:pBdr>
                <w:top w:val="nil"/>
                <w:left w:val="nil"/>
                <w:bottom w:val="nil"/>
                <w:right w:val="nil"/>
                <w:between w:val="nil"/>
              </w:pBdr>
              <w:spacing w:line="240" w:lineRule="auto"/>
              <w:jc w:val="center"/>
              <w:rPr>
                <w:rFonts w:cs="Times New Roman"/>
                <w:sz w:val="22"/>
              </w:rPr>
            </w:pPr>
            <w:r w:rsidRPr="00763F7C">
              <w:rPr>
                <w:rFonts w:cs="Times New Roman"/>
                <w:sz w:val="22"/>
              </w:rPr>
              <w:t>Create UCC</w:t>
            </w:r>
          </w:p>
        </w:tc>
        <w:tc>
          <w:tcPr>
            <w:tcW w:w="1440" w:type="pct"/>
            <w:shd w:val="clear" w:color="auto" w:fill="auto"/>
            <w:tcMar>
              <w:top w:w="100" w:type="dxa"/>
              <w:left w:w="100" w:type="dxa"/>
              <w:bottom w:w="100" w:type="dxa"/>
              <w:right w:w="100" w:type="dxa"/>
            </w:tcMar>
          </w:tcPr>
          <w:p w14:paraId="51A6DDA2" w14:textId="77777777" w:rsidR="00374946" w:rsidRPr="00763F7C" w:rsidRDefault="00374946" w:rsidP="00D92114">
            <w:pPr>
              <w:widowControl w:val="0"/>
              <w:pBdr>
                <w:top w:val="nil"/>
                <w:left w:val="nil"/>
                <w:bottom w:val="nil"/>
                <w:right w:val="nil"/>
                <w:between w:val="nil"/>
              </w:pBdr>
              <w:spacing w:line="240" w:lineRule="auto"/>
              <w:jc w:val="center"/>
              <w:rPr>
                <w:rFonts w:cs="Times New Roman"/>
                <w:sz w:val="22"/>
              </w:rPr>
            </w:pPr>
            <w:r w:rsidRPr="00763F7C">
              <w:rPr>
                <w:rFonts w:cs="Times New Roman"/>
                <w:sz w:val="22"/>
              </w:rPr>
              <w:t>None.</w:t>
            </w:r>
          </w:p>
        </w:tc>
        <w:tc>
          <w:tcPr>
            <w:tcW w:w="2867" w:type="pct"/>
            <w:shd w:val="clear" w:color="auto" w:fill="auto"/>
            <w:tcMar>
              <w:top w:w="100" w:type="dxa"/>
              <w:left w:w="100" w:type="dxa"/>
              <w:bottom w:w="100" w:type="dxa"/>
              <w:right w:w="100" w:type="dxa"/>
            </w:tcMar>
          </w:tcPr>
          <w:p w14:paraId="099165B9" w14:textId="77777777" w:rsidR="00374946" w:rsidRPr="00763F7C" w:rsidRDefault="00374946" w:rsidP="00D92114">
            <w:pPr>
              <w:widowControl w:val="0"/>
              <w:pBdr>
                <w:top w:val="nil"/>
                <w:left w:val="nil"/>
                <w:bottom w:val="nil"/>
                <w:right w:val="nil"/>
                <w:between w:val="nil"/>
              </w:pBdr>
              <w:spacing w:line="240" w:lineRule="auto"/>
              <w:jc w:val="center"/>
              <w:rPr>
                <w:rFonts w:cs="Times New Roman"/>
                <w:sz w:val="22"/>
              </w:rPr>
            </w:pPr>
            <w:r w:rsidRPr="00763F7C">
              <w:rPr>
                <w:rFonts w:cs="Times New Roman"/>
                <w:sz w:val="22"/>
              </w:rPr>
              <w:t>The base is created at the cursor position with a given ID and a given name.</w:t>
            </w:r>
          </w:p>
        </w:tc>
      </w:tr>
      <w:tr w:rsidR="00374946" w:rsidRPr="00763F7C" w14:paraId="4CBAEFD3" w14:textId="77777777" w:rsidTr="00F7598C">
        <w:trPr>
          <w:trHeight w:val="486"/>
        </w:trPr>
        <w:tc>
          <w:tcPr>
            <w:tcW w:w="693" w:type="pct"/>
            <w:shd w:val="clear" w:color="auto" w:fill="auto"/>
            <w:tcMar>
              <w:top w:w="100" w:type="dxa"/>
              <w:left w:w="100" w:type="dxa"/>
              <w:bottom w:w="100" w:type="dxa"/>
              <w:right w:w="100" w:type="dxa"/>
            </w:tcMar>
          </w:tcPr>
          <w:p w14:paraId="2F8349A5" w14:textId="77777777" w:rsidR="00374946" w:rsidRPr="00763F7C" w:rsidRDefault="00374946" w:rsidP="00D92114">
            <w:pPr>
              <w:widowControl w:val="0"/>
              <w:pBdr>
                <w:top w:val="nil"/>
                <w:left w:val="nil"/>
                <w:bottom w:val="nil"/>
                <w:right w:val="nil"/>
                <w:between w:val="nil"/>
              </w:pBdr>
              <w:spacing w:line="240" w:lineRule="auto"/>
              <w:jc w:val="center"/>
              <w:rPr>
                <w:rFonts w:cs="Times New Roman"/>
                <w:sz w:val="22"/>
              </w:rPr>
            </w:pPr>
            <w:r w:rsidRPr="00763F7C">
              <w:rPr>
                <w:rFonts w:cs="Times New Roman"/>
                <w:sz w:val="22"/>
              </w:rPr>
              <w:t>Edit UCC/Point</w:t>
            </w:r>
          </w:p>
        </w:tc>
        <w:tc>
          <w:tcPr>
            <w:tcW w:w="1440" w:type="pct"/>
            <w:shd w:val="clear" w:color="auto" w:fill="auto"/>
            <w:tcMar>
              <w:top w:w="100" w:type="dxa"/>
              <w:left w:w="100" w:type="dxa"/>
              <w:bottom w:w="100" w:type="dxa"/>
              <w:right w:w="100" w:type="dxa"/>
            </w:tcMar>
          </w:tcPr>
          <w:p w14:paraId="5AACF94F" w14:textId="77777777" w:rsidR="00374946" w:rsidRPr="00763F7C" w:rsidRDefault="00374946" w:rsidP="00D92114">
            <w:pPr>
              <w:spacing w:line="240" w:lineRule="auto"/>
              <w:jc w:val="center"/>
              <w:rPr>
                <w:rFonts w:cs="Times New Roman"/>
                <w:sz w:val="22"/>
              </w:rPr>
            </w:pPr>
            <w:r w:rsidRPr="00763F7C">
              <w:rPr>
                <w:rFonts w:cs="Times New Roman"/>
                <w:sz w:val="22"/>
              </w:rPr>
              <w:t>At least a UCC or point must be present.</w:t>
            </w:r>
          </w:p>
        </w:tc>
        <w:tc>
          <w:tcPr>
            <w:tcW w:w="2867" w:type="pct"/>
            <w:shd w:val="clear" w:color="auto" w:fill="auto"/>
            <w:tcMar>
              <w:top w:w="100" w:type="dxa"/>
              <w:left w:w="100" w:type="dxa"/>
              <w:bottom w:w="100" w:type="dxa"/>
              <w:right w:w="100" w:type="dxa"/>
            </w:tcMar>
          </w:tcPr>
          <w:p w14:paraId="38E538A5" w14:textId="77777777" w:rsidR="00374946" w:rsidRPr="00763F7C" w:rsidRDefault="00374946" w:rsidP="00D92114">
            <w:pPr>
              <w:widowControl w:val="0"/>
              <w:pBdr>
                <w:top w:val="nil"/>
                <w:left w:val="nil"/>
                <w:bottom w:val="nil"/>
                <w:right w:val="nil"/>
                <w:between w:val="nil"/>
              </w:pBdr>
              <w:spacing w:line="240" w:lineRule="auto"/>
              <w:jc w:val="center"/>
              <w:rPr>
                <w:rFonts w:cs="Times New Roman"/>
                <w:sz w:val="22"/>
              </w:rPr>
            </w:pPr>
            <w:r w:rsidRPr="00763F7C">
              <w:rPr>
                <w:rFonts w:cs="Times New Roman"/>
                <w:sz w:val="22"/>
              </w:rPr>
              <w:t>The base/point at the cursor position is moved to the updated coordinates, and/or has the name updated.</w:t>
            </w:r>
          </w:p>
        </w:tc>
      </w:tr>
      <w:tr w:rsidR="00374946" w:rsidRPr="00763F7C" w14:paraId="7CB9B2E7" w14:textId="77777777" w:rsidTr="00F7598C">
        <w:trPr>
          <w:trHeight w:val="141"/>
        </w:trPr>
        <w:tc>
          <w:tcPr>
            <w:tcW w:w="693" w:type="pct"/>
            <w:shd w:val="clear" w:color="auto" w:fill="auto"/>
            <w:tcMar>
              <w:top w:w="100" w:type="dxa"/>
              <w:left w:w="100" w:type="dxa"/>
              <w:bottom w:w="100" w:type="dxa"/>
              <w:right w:w="100" w:type="dxa"/>
            </w:tcMar>
          </w:tcPr>
          <w:p w14:paraId="3A8F6258" w14:textId="77777777" w:rsidR="00374946" w:rsidRPr="00763F7C" w:rsidRDefault="00374946" w:rsidP="00D92114">
            <w:pPr>
              <w:widowControl w:val="0"/>
              <w:pBdr>
                <w:top w:val="nil"/>
                <w:left w:val="nil"/>
                <w:bottom w:val="nil"/>
                <w:right w:val="nil"/>
                <w:between w:val="nil"/>
              </w:pBdr>
              <w:spacing w:line="240" w:lineRule="auto"/>
              <w:jc w:val="center"/>
              <w:rPr>
                <w:rFonts w:cs="Times New Roman"/>
                <w:sz w:val="22"/>
              </w:rPr>
            </w:pPr>
            <w:r w:rsidRPr="00763F7C">
              <w:rPr>
                <w:rFonts w:cs="Times New Roman"/>
                <w:sz w:val="22"/>
              </w:rPr>
              <w:t>Delete UCC/Point</w:t>
            </w:r>
          </w:p>
        </w:tc>
        <w:tc>
          <w:tcPr>
            <w:tcW w:w="1440" w:type="pct"/>
            <w:shd w:val="clear" w:color="auto" w:fill="auto"/>
            <w:tcMar>
              <w:top w:w="100" w:type="dxa"/>
              <w:left w:w="100" w:type="dxa"/>
              <w:bottom w:w="100" w:type="dxa"/>
              <w:right w:w="100" w:type="dxa"/>
            </w:tcMar>
          </w:tcPr>
          <w:p w14:paraId="29BCAB01" w14:textId="77777777" w:rsidR="00374946" w:rsidRPr="00763F7C" w:rsidRDefault="00374946" w:rsidP="00D92114">
            <w:pPr>
              <w:spacing w:line="240" w:lineRule="auto"/>
              <w:jc w:val="center"/>
              <w:rPr>
                <w:rFonts w:cs="Times New Roman"/>
                <w:sz w:val="22"/>
              </w:rPr>
            </w:pPr>
            <w:r w:rsidRPr="00763F7C">
              <w:rPr>
                <w:rFonts w:cs="Times New Roman"/>
                <w:sz w:val="22"/>
              </w:rPr>
              <w:t>At least a UCC or point must be present.</w:t>
            </w:r>
          </w:p>
        </w:tc>
        <w:tc>
          <w:tcPr>
            <w:tcW w:w="2867" w:type="pct"/>
            <w:shd w:val="clear" w:color="auto" w:fill="auto"/>
            <w:tcMar>
              <w:top w:w="100" w:type="dxa"/>
              <w:left w:w="100" w:type="dxa"/>
              <w:bottom w:w="100" w:type="dxa"/>
              <w:right w:w="100" w:type="dxa"/>
            </w:tcMar>
          </w:tcPr>
          <w:p w14:paraId="45F90175" w14:textId="77777777" w:rsidR="00374946" w:rsidRPr="00763F7C" w:rsidRDefault="00374946" w:rsidP="00D92114">
            <w:pPr>
              <w:widowControl w:val="0"/>
              <w:pBdr>
                <w:top w:val="nil"/>
                <w:left w:val="nil"/>
                <w:bottom w:val="nil"/>
                <w:right w:val="nil"/>
                <w:between w:val="nil"/>
              </w:pBdr>
              <w:spacing w:line="240" w:lineRule="auto"/>
              <w:jc w:val="center"/>
              <w:rPr>
                <w:rFonts w:cs="Times New Roman"/>
                <w:sz w:val="22"/>
              </w:rPr>
            </w:pPr>
            <w:r w:rsidRPr="00763F7C">
              <w:rPr>
                <w:rFonts w:cs="Times New Roman"/>
                <w:sz w:val="22"/>
              </w:rPr>
              <w:t>The base/point at the cursor is deleted from the corresponding data structures and the map is updated.</w:t>
            </w:r>
          </w:p>
        </w:tc>
      </w:tr>
      <w:tr w:rsidR="00374946" w:rsidRPr="00763F7C" w14:paraId="3AAD2629" w14:textId="77777777" w:rsidTr="00F7598C">
        <w:trPr>
          <w:trHeight w:val="790"/>
        </w:trPr>
        <w:tc>
          <w:tcPr>
            <w:tcW w:w="693" w:type="pct"/>
            <w:shd w:val="clear" w:color="auto" w:fill="auto"/>
            <w:tcMar>
              <w:top w:w="100" w:type="dxa"/>
              <w:left w:w="100" w:type="dxa"/>
              <w:bottom w:w="100" w:type="dxa"/>
              <w:right w:w="100" w:type="dxa"/>
            </w:tcMar>
          </w:tcPr>
          <w:p w14:paraId="7B113A1B" w14:textId="77777777" w:rsidR="00374946" w:rsidRPr="00763F7C" w:rsidRDefault="00374946" w:rsidP="00D92114">
            <w:pPr>
              <w:widowControl w:val="0"/>
              <w:pBdr>
                <w:top w:val="nil"/>
                <w:left w:val="nil"/>
                <w:bottom w:val="nil"/>
                <w:right w:val="nil"/>
                <w:between w:val="nil"/>
              </w:pBdr>
              <w:spacing w:line="240" w:lineRule="auto"/>
              <w:jc w:val="center"/>
              <w:rPr>
                <w:rFonts w:cs="Times New Roman"/>
                <w:sz w:val="22"/>
              </w:rPr>
            </w:pPr>
            <w:r w:rsidRPr="00763F7C">
              <w:rPr>
                <w:rFonts w:cs="Times New Roman"/>
                <w:sz w:val="22"/>
              </w:rPr>
              <w:t>Restore Logistic Plan</w:t>
            </w:r>
          </w:p>
        </w:tc>
        <w:tc>
          <w:tcPr>
            <w:tcW w:w="1440" w:type="pct"/>
            <w:shd w:val="clear" w:color="auto" w:fill="auto"/>
            <w:tcMar>
              <w:top w:w="100" w:type="dxa"/>
              <w:left w:w="100" w:type="dxa"/>
              <w:bottom w:w="100" w:type="dxa"/>
              <w:right w:w="100" w:type="dxa"/>
            </w:tcMar>
          </w:tcPr>
          <w:p w14:paraId="5EEF171E" w14:textId="77777777" w:rsidR="00374946" w:rsidRPr="00763F7C" w:rsidRDefault="00374946" w:rsidP="00D92114">
            <w:pPr>
              <w:spacing w:line="240" w:lineRule="auto"/>
              <w:jc w:val="center"/>
              <w:rPr>
                <w:rFonts w:cs="Times New Roman"/>
                <w:sz w:val="22"/>
              </w:rPr>
            </w:pPr>
            <w:r w:rsidRPr="00763F7C">
              <w:rPr>
                <w:rFonts w:cs="Times New Roman"/>
                <w:sz w:val="22"/>
              </w:rPr>
              <w:t>A file containing the planning results previously generated.</w:t>
            </w:r>
          </w:p>
        </w:tc>
        <w:tc>
          <w:tcPr>
            <w:tcW w:w="2867" w:type="pct"/>
            <w:shd w:val="clear" w:color="auto" w:fill="auto"/>
            <w:tcMar>
              <w:top w:w="100" w:type="dxa"/>
              <w:left w:w="100" w:type="dxa"/>
              <w:bottom w:w="100" w:type="dxa"/>
              <w:right w:w="100" w:type="dxa"/>
            </w:tcMar>
          </w:tcPr>
          <w:p w14:paraId="1556B6BD" w14:textId="77777777" w:rsidR="00374946" w:rsidRPr="00763F7C" w:rsidRDefault="00374946" w:rsidP="00D92114">
            <w:pPr>
              <w:spacing w:line="240" w:lineRule="auto"/>
              <w:jc w:val="center"/>
              <w:rPr>
                <w:rFonts w:cs="Times New Roman"/>
                <w:sz w:val="22"/>
              </w:rPr>
            </w:pPr>
            <w:r w:rsidRPr="00763F7C">
              <w:rPr>
                <w:rFonts w:cs="Times New Roman"/>
                <w:sz w:val="22"/>
              </w:rPr>
              <w:t xml:space="preserve">The user is asked before proceeding, </w:t>
            </w:r>
            <w:proofErr w:type="gramStart"/>
            <w:r w:rsidRPr="00763F7C">
              <w:rPr>
                <w:rFonts w:cs="Times New Roman"/>
                <w:sz w:val="22"/>
              </w:rPr>
              <w:t>due to the fact that</w:t>
            </w:r>
            <w:proofErr w:type="gramEnd"/>
            <w:r w:rsidRPr="00763F7C">
              <w:rPr>
                <w:rFonts w:cs="Times New Roman"/>
                <w:sz w:val="22"/>
              </w:rPr>
              <w:t xml:space="preserve"> the previously created bases, points, orders, plan results, etc. will be removed from the decision tool. The data contained in the file are therefore imported.</w:t>
            </w:r>
          </w:p>
        </w:tc>
      </w:tr>
      <w:tr w:rsidR="00374946" w:rsidRPr="00763F7C" w14:paraId="420F9B3D" w14:textId="77777777" w:rsidTr="00F7598C">
        <w:trPr>
          <w:trHeight w:val="181"/>
        </w:trPr>
        <w:tc>
          <w:tcPr>
            <w:tcW w:w="693" w:type="pct"/>
            <w:shd w:val="clear" w:color="auto" w:fill="auto"/>
            <w:tcMar>
              <w:top w:w="100" w:type="dxa"/>
              <w:left w:w="100" w:type="dxa"/>
              <w:bottom w:w="100" w:type="dxa"/>
              <w:right w:w="100" w:type="dxa"/>
            </w:tcMar>
          </w:tcPr>
          <w:p w14:paraId="1F9DC0E6" w14:textId="77777777" w:rsidR="00374946" w:rsidRPr="00763F7C" w:rsidRDefault="00374946" w:rsidP="00D92114">
            <w:pPr>
              <w:widowControl w:val="0"/>
              <w:pBdr>
                <w:top w:val="nil"/>
                <w:left w:val="nil"/>
                <w:bottom w:val="nil"/>
                <w:right w:val="nil"/>
                <w:between w:val="nil"/>
              </w:pBdr>
              <w:spacing w:line="240" w:lineRule="auto"/>
              <w:jc w:val="center"/>
              <w:rPr>
                <w:rFonts w:cs="Times New Roman"/>
                <w:sz w:val="22"/>
              </w:rPr>
            </w:pPr>
            <w:r w:rsidRPr="00763F7C">
              <w:rPr>
                <w:rFonts w:cs="Times New Roman"/>
                <w:sz w:val="22"/>
              </w:rPr>
              <w:t>Map Navigation/Zoom</w:t>
            </w:r>
          </w:p>
        </w:tc>
        <w:tc>
          <w:tcPr>
            <w:tcW w:w="1440" w:type="pct"/>
            <w:shd w:val="clear" w:color="auto" w:fill="auto"/>
            <w:tcMar>
              <w:top w:w="100" w:type="dxa"/>
              <w:left w:w="100" w:type="dxa"/>
              <w:bottom w:w="100" w:type="dxa"/>
              <w:right w:w="100" w:type="dxa"/>
            </w:tcMar>
          </w:tcPr>
          <w:p w14:paraId="01FDEE68" w14:textId="77777777" w:rsidR="00374946" w:rsidRPr="00763F7C" w:rsidRDefault="00374946" w:rsidP="00D92114">
            <w:pPr>
              <w:widowControl w:val="0"/>
              <w:pBdr>
                <w:top w:val="nil"/>
                <w:left w:val="nil"/>
                <w:bottom w:val="nil"/>
                <w:right w:val="nil"/>
                <w:between w:val="nil"/>
              </w:pBdr>
              <w:spacing w:line="240" w:lineRule="auto"/>
              <w:jc w:val="center"/>
              <w:rPr>
                <w:rFonts w:cs="Times New Roman"/>
                <w:sz w:val="22"/>
              </w:rPr>
            </w:pPr>
            <w:r w:rsidRPr="00763F7C">
              <w:rPr>
                <w:rFonts w:cs="Times New Roman"/>
                <w:sz w:val="22"/>
              </w:rPr>
              <w:t>None.</w:t>
            </w:r>
          </w:p>
        </w:tc>
        <w:tc>
          <w:tcPr>
            <w:tcW w:w="2867" w:type="pct"/>
            <w:shd w:val="clear" w:color="auto" w:fill="auto"/>
            <w:tcMar>
              <w:top w:w="100" w:type="dxa"/>
              <w:left w:w="100" w:type="dxa"/>
              <w:bottom w:w="100" w:type="dxa"/>
              <w:right w:w="100" w:type="dxa"/>
            </w:tcMar>
          </w:tcPr>
          <w:p w14:paraId="05AFBDC3" w14:textId="77777777" w:rsidR="00374946" w:rsidRPr="00763F7C" w:rsidRDefault="00374946" w:rsidP="00D92114">
            <w:pPr>
              <w:widowControl w:val="0"/>
              <w:pBdr>
                <w:top w:val="nil"/>
                <w:left w:val="nil"/>
                <w:bottom w:val="nil"/>
                <w:right w:val="nil"/>
                <w:between w:val="nil"/>
              </w:pBdr>
              <w:spacing w:line="240" w:lineRule="auto"/>
              <w:jc w:val="center"/>
              <w:rPr>
                <w:rFonts w:cs="Times New Roman"/>
                <w:sz w:val="22"/>
              </w:rPr>
            </w:pPr>
            <w:r w:rsidRPr="00763F7C">
              <w:rPr>
                <w:rFonts w:cs="Times New Roman"/>
                <w:sz w:val="22"/>
              </w:rPr>
              <w:t>The user can select the corresponding buttons to navigate the map or zoom-in/zoom-out. Right-click can be used to navigate and wheel to zoom.</w:t>
            </w:r>
          </w:p>
        </w:tc>
      </w:tr>
      <w:tr w:rsidR="00374946" w:rsidRPr="00763F7C" w14:paraId="45265F5D" w14:textId="77777777" w:rsidTr="00F7598C">
        <w:trPr>
          <w:trHeight w:val="277"/>
        </w:trPr>
        <w:tc>
          <w:tcPr>
            <w:tcW w:w="693" w:type="pct"/>
            <w:shd w:val="clear" w:color="auto" w:fill="auto"/>
            <w:tcMar>
              <w:top w:w="100" w:type="dxa"/>
              <w:left w:w="100" w:type="dxa"/>
              <w:bottom w:w="100" w:type="dxa"/>
              <w:right w:w="100" w:type="dxa"/>
            </w:tcMar>
          </w:tcPr>
          <w:p w14:paraId="6BC342DF" w14:textId="77777777" w:rsidR="00374946" w:rsidRPr="00763F7C" w:rsidRDefault="00374946" w:rsidP="00D92114">
            <w:pPr>
              <w:widowControl w:val="0"/>
              <w:pBdr>
                <w:top w:val="nil"/>
                <w:left w:val="nil"/>
                <w:bottom w:val="nil"/>
                <w:right w:val="nil"/>
                <w:between w:val="nil"/>
              </w:pBdr>
              <w:spacing w:line="240" w:lineRule="auto"/>
              <w:jc w:val="center"/>
              <w:rPr>
                <w:rFonts w:cs="Times New Roman"/>
                <w:sz w:val="22"/>
              </w:rPr>
            </w:pPr>
            <w:r w:rsidRPr="00763F7C">
              <w:rPr>
                <w:rFonts w:cs="Times New Roman"/>
                <w:sz w:val="22"/>
              </w:rPr>
              <w:t>Coordinates on Click</w:t>
            </w:r>
          </w:p>
        </w:tc>
        <w:tc>
          <w:tcPr>
            <w:tcW w:w="1440" w:type="pct"/>
            <w:shd w:val="clear" w:color="auto" w:fill="auto"/>
            <w:tcMar>
              <w:top w:w="100" w:type="dxa"/>
              <w:left w:w="100" w:type="dxa"/>
              <w:bottom w:w="100" w:type="dxa"/>
              <w:right w:w="100" w:type="dxa"/>
            </w:tcMar>
          </w:tcPr>
          <w:p w14:paraId="3CE9601F" w14:textId="77777777" w:rsidR="00374946" w:rsidRPr="00763F7C" w:rsidRDefault="00374946" w:rsidP="00D92114">
            <w:pPr>
              <w:widowControl w:val="0"/>
              <w:pBdr>
                <w:top w:val="nil"/>
                <w:left w:val="nil"/>
                <w:bottom w:val="nil"/>
                <w:right w:val="nil"/>
                <w:between w:val="nil"/>
              </w:pBdr>
              <w:spacing w:line="240" w:lineRule="auto"/>
              <w:jc w:val="center"/>
              <w:rPr>
                <w:rFonts w:cs="Times New Roman"/>
                <w:sz w:val="22"/>
              </w:rPr>
            </w:pPr>
            <w:r w:rsidRPr="00763F7C">
              <w:rPr>
                <w:rFonts w:cs="Times New Roman"/>
                <w:sz w:val="22"/>
              </w:rPr>
              <w:t>None.</w:t>
            </w:r>
          </w:p>
        </w:tc>
        <w:tc>
          <w:tcPr>
            <w:tcW w:w="2867" w:type="pct"/>
            <w:shd w:val="clear" w:color="auto" w:fill="auto"/>
            <w:tcMar>
              <w:top w:w="100" w:type="dxa"/>
              <w:left w:w="100" w:type="dxa"/>
              <w:bottom w:w="100" w:type="dxa"/>
              <w:right w:w="100" w:type="dxa"/>
            </w:tcMar>
          </w:tcPr>
          <w:p w14:paraId="60194985" w14:textId="77777777" w:rsidR="00374946" w:rsidRPr="00763F7C" w:rsidRDefault="00374946" w:rsidP="00D92114">
            <w:pPr>
              <w:widowControl w:val="0"/>
              <w:pBdr>
                <w:top w:val="nil"/>
                <w:left w:val="nil"/>
                <w:bottom w:val="nil"/>
                <w:right w:val="nil"/>
                <w:between w:val="nil"/>
              </w:pBdr>
              <w:spacing w:line="240" w:lineRule="auto"/>
              <w:jc w:val="center"/>
              <w:rPr>
                <w:rFonts w:cs="Times New Roman"/>
                <w:sz w:val="22"/>
              </w:rPr>
            </w:pPr>
            <w:r w:rsidRPr="00763F7C">
              <w:rPr>
                <w:rFonts w:cs="Times New Roman"/>
                <w:sz w:val="22"/>
              </w:rPr>
              <w:t xml:space="preserve">The user can </w:t>
            </w:r>
            <w:proofErr w:type="gramStart"/>
            <w:r w:rsidRPr="00763F7C">
              <w:rPr>
                <w:rFonts w:cs="Times New Roman"/>
                <w:sz w:val="22"/>
              </w:rPr>
              <w:t>left-click</w:t>
            </w:r>
            <w:proofErr w:type="gramEnd"/>
            <w:r w:rsidRPr="00763F7C">
              <w:rPr>
                <w:rFonts w:cs="Times New Roman"/>
                <w:sz w:val="22"/>
              </w:rPr>
              <w:t xml:space="preserve"> on the map to get the coordinates of that point.</w:t>
            </w:r>
          </w:p>
        </w:tc>
      </w:tr>
      <w:tr w:rsidR="00374946" w:rsidRPr="00763F7C" w14:paraId="4150D318" w14:textId="77777777" w:rsidTr="00F7598C">
        <w:tc>
          <w:tcPr>
            <w:tcW w:w="693" w:type="pct"/>
            <w:shd w:val="clear" w:color="auto" w:fill="auto"/>
            <w:tcMar>
              <w:top w:w="100" w:type="dxa"/>
              <w:left w:w="100" w:type="dxa"/>
              <w:bottom w:w="100" w:type="dxa"/>
              <w:right w:w="100" w:type="dxa"/>
            </w:tcMar>
          </w:tcPr>
          <w:p w14:paraId="6C2549C6" w14:textId="77777777" w:rsidR="00374946" w:rsidRPr="00763F7C" w:rsidRDefault="00374946" w:rsidP="00D92114">
            <w:pPr>
              <w:widowControl w:val="0"/>
              <w:pBdr>
                <w:top w:val="nil"/>
                <w:left w:val="nil"/>
                <w:bottom w:val="nil"/>
                <w:right w:val="nil"/>
                <w:between w:val="nil"/>
              </w:pBdr>
              <w:spacing w:line="240" w:lineRule="auto"/>
              <w:jc w:val="center"/>
              <w:rPr>
                <w:rFonts w:cs="Times New Roman"/>
                <w:sz w:val="22"/>
              </w:rPr>
            </w:pPr>
            <w:r w:rsidRPr="00763F7C">
              <w:rPr>
                <w:rFonts w:cs="Times New Roman"/>
                <w:sz w:val="22"/>
              </w:rPr>
              <w:t>Generate Fleet</w:t>
            </w:r>
          </w:p>
        </w:tc>
        <w:tc>
          <w:tcPr>
            <w:tcW w:w="1440" w:type="pct"/>
            <w:shd w:val="clear" w:color="auto" w:fill="auto"/>
            <w:tcMar>
              <w:top w:w="100" w:type="dxa"/>
              <w:left w:w="100" w:type="dxa"/>
              <w:bottom w:w="100" w:type="dxa"/>
              <w:right w:w="100" w:type="dxa"/>
            </w:tcMar>
          </w:tcPr>
          <w:p w14:paraId="6D8C2CB5" w14:textId="77777777" w:rsidR="00374946" w:rsidRPr="00763F7C" w:rsidRDefault="00374946" w:rsidP="00D92114">
            <w:pPr>
              <w:spacing w:line="240" w:lineRule="auto"/>
              <w:jc w:val="center"/>
              <w:rPr>
                <w:rFonts w:cs="Times New Roman"/>
                <w:sz w:val="22"/>
              </w:rPr>
            </w:pPr>
            <w:r w:rsidRPr="00763F7C">
              <w:rPr>
                <w:rFonts w:cs="Times New Roman"/>
                <w:sz w:val="22"/>
              </w:rPr>
              <w:t>A UCC must exist before creating the fleet.</w:t>
            </w:r>
          </w:p>
        </w:tc>
        <w:tc>
          <w:tcPr>
            <w:tcW w:w="2867" w:type="pct"/>
            <w:shd w:val="clear" w:color="auto" w:fill="auto"/>
            <w:tcMar>
              <w:top w:w="100" w:type="dxa"/>
              <w:left w:w="100" w:type="dxa"/>
              <w:bottom w:w="100" w:type="dxa"/>
              <w:right w:w="100" w:type="dxa"/>
            </w:tcMar>
          </w:tcPr>
          <w:p w14:paraId="359C1EA8" w14:textId="77777777" w:rsidR="00374946" w:rsidRPr="00763F7C" w:rsidRDefault="00374946" w:rsidP="00D92114">
            <w:pPr>
              <w:spacing w:line="240" w:lineRule="auto"/>
              <w:jc w:val="center"/>
              <w:rPr>
                <w:rFonts w:cs="Times New Roman"/>
                <w:sz w:val="22"/>
              </w:rPr>
            </w:pPr>
            <w:r w:rsidRPr="00763F7C">
              <w:rPr>
                <w:rFonts w:cs="Times New Roman"/>
                <w:sz w:val="22"/>
              </w:rPr>
              <w:t>The specified number of vehicles are created at random and assigned to a UCC.</w:t>
            </w:r>
          </w:p>
        </w:tc>
      </w:tr>
      <w:tr w:rsidR="00374946" w:rsidRPr="00763F7C" w14:paraId="0DF202D3" w14:textId="77777777" w:rsidTr="00F7598C">
        <w:tc>
          <w:tcPr>
            <w:tcW w:w="693" w:type="pct"/>
            <w:shd w:val="clear" w:color="auto" w:fill="auto"/>
            <w:tcMar>
              <w:top w:w="100" w:type="dxa"/>
              <w:left w:w="100" w:type="dxa"/>
              <w:bottom w:w="100" w:type="dxa"/>
              <w:right w:w="100" w:type="dxa"/>
            </w:tcMar>
          </w:tcPr>
          <w:p w14:paraId="54BF252C" w14:textId="77777777" w:rsidR="00374946" w:rsidRPr="00763F7C" w:rsidRDefault="00374946" w:rsidP="00D92114">
            <w:pPr>
              <w:widowControl w:val="0"/>
              <w:pBdr>
                <w:top w:val="nil"/>
                <w:left w:val="nil"/>
                <w:bottom w:val="nil"/>
                <w:right w:val="nil"/>
                <w:between w:val="nil"/>
              </w:pBdr>
              <w:spacing w:line="240" w:lineRule="auto"/>
              <w:jc w:val="center"/>
              <w:rPr>
                <w:rFonts w:cs="Times New Roman"/>
                <w:sz w:val="22"/>
              </w:rPr>
            </w:pPr>
            <w:r w:rsidRPr="00763F7C">
              <w:rPr>
                <w:rFonts w:cs="Times New Roman"/>
                <w:sz w:val="22"/>
              </w:rPr>
              <w:t>Generate Logistic Orders</w:t>
            </w:r>
          </w:p>
        </w:tc>
        <w:tc>
          <w:tcPr>
            <w:tcW w:w="1440" w:type="pct"/>
            <w:shd w:val="clear" w:color="auto" w:fill="auto"/>
            <w:tcMar>
              <w:top w:w="100" w:type="dxa"/>
              <w:left w:w="100" w:type="dxa"/>
              <w:bottom w:w="100" w:type="dxa"/>
              <w:right w:w="100" w:type="dxa"/>
            </w:tcMar>
          </w:tcPr>
          <w:p w14:paraId="4401E093" w14:textId="77777777" w:rsidR="00374946" w:rsidRPr="00763F7C" w:rsidRDefault="00374946" w:rsidP="00D92114">
            <w:pPr>
              <w:spacing w:line="240" w:lineRule="auto"/>
              <w:jc w:val="center"/>
              <w:rPr>
                <w:rFonts w:cs="Times New Roman"/>
                <w:sz w:val="22"/>
              </w:rPr>
            </w:pPr>
            <w:r w:rsidRPr="00763F7C">
              <w:rPr>
                <w:rFonts w:cs="Times New Roman"/>
                <w:sz w:val="22"/>
              </w:rPr>
              <w:t>A logistic point must exist before creating the orders.</w:t>
            </w:r>
          </w:p>
        </w:tc>
        <w:tc>
          <w:tcPr>
            <w:tcW w:w="2867" w:type="pct"/>
            <w:shd w:val="clear" w:color="auto" w:fill="auto"/>
            <w:tcMar>
              <w:top w:w="100" w:type="dxa"/>
              <w:left w:w="100" w:type="dxa"/>
              <w:bottom w:w="100" w:type="dxa"/>
              <w:right w:w="100" w:type="dxa"/>
            </w:tcMar>
          </w:tcPr>
          <w:p w14:paraId="17114E35" w14:textId="77777777" w:rsidR="00374946" w:rsidRPr="00763F7C" w:rsidRDefault="00374946" w:rsidP="00D92114">
            <w:pPr>
              <w:spacing w:line="240" w:lineRule="auto"/>
              <w:jc w:val="center"/>
              <w:rPr>
                <w:rFonts w:cs="Times New Roman"/>
                <w:sz w:val="22"/>
              </w:rPr>
            </w:pPr>
            <w:r w:rsidRPr="00763F7C">
              <w:rPr>
                <w:rFonts w:cs="Times New Roman"/>
                <w:sz w:val="22"/>
              </w:rPr>
              <w:t>The specified number and types of orders (</w:t>
            </w:r>
            <w:proofErr w:type="gramStart"/>
            <w:r w:rsidRPr="00763F7C">
              <w:rPr>
                <w:rFonts w:cs="Times New Roman"/>
                <w:sz w:val="22"/>
              </w:rPr>
              <w:t>i.e.</w:t>
            </w:r>
            <w:proofErr w:type="gramEnd"/>
            <w:r w:rsidRPr="00763F7C">
              <w:rPr>
                <w:rFonts w:cs="Times New Roman"/>
                <w:sz w:val="22"/>
              </w:rPr>
              <w:t xml:space="preserve"> first mile, last mile or point-to-point) are created at random and assigned randomly to the logistic points present.</w:t>
            </w:r>
          </w:p>
        </w:tc>
      </w:tr>
      <w:tr w:rsidR="00374946" w:rsidRPr="00763F7C" w14:paraId="677E1A37" w14:textId="77777777" w:rsidTr="00F7598C">
        <w:tc>
          <w:tcPr>
            <w:tcW w:w="693" w:type="pct"/>
            <w:shd w:val="clear" w:color="auto" w:fill="auto"/>
            <w:tcMar>
              <w:top w:w="100" w:type="dxa"/>
              <w:left w:w="100" w:type="dxa"/>
              <w:bottom w:w="100" w:type="dxa"/>
              <w:right w:w="100" w:type="dxa"/>
            </w:tcMar>
          </w:tcPr>
          <w:p w14:paraId="18631BA4" w14:textId="77777777" w:rsidR="00374946" w:rsidRPr="00763F7C" w:rsidRDefault="00374946" w:rsidP="00D92114">
            <w:pPr>
              <w:widowControl w:val="0"/>
              <w:pBdr>
                <w:top w:val="nil"/>
                <w:left w:val="nil"/>
                <w:bottom w:val="nil"/>
                <w:right w:val="nil"/>
                <w:between w:val="nil"/>
              </w:pBdr>
              <w:spacing w:line="240" w:lineRule="auto"/>
              <w:jc w:val="center"/>
              <w:rPr>
                <w:rFonts w:cs="Times New Roman"/>
                <w:sz w:val="22"/>
              </w:rPr>
            </w:pPr>
            <w:r w:rsidRPr="00763F7C">
              <w:rPr>
                <w:rFonts w:cs="Times New Roman"/>
                <w:sz w:val="22"/>
              </w:rPr>
              <w:t xml:space="preserve">Import </w:t>
            </w:r>
            <w:proofErr w:type="spellStart"/>
            <w:r w:rsidRPr="00763F7C">
              <w:rPr>
                <w:rFonts w:cs="Times New Roman"/>
                <w:sz w:val="22"/>
              </w:rPr>
              <w:t>geojson</w:t>
            </w:r>
            <w:proofErr w:type="spellEnd"/>
          </w:p>
        </w:tc>
        <w:tc>
          <w:tcPr>
            <w:tcW w:w="1440" w:type="pct"/>
            <w:shd w:val="clear" w:color="auto" w:fill="auto"/>
            <w:tcMar>
              <w:top w:w="100" w:type="dxa"/>
              <w:left w:w="100" w:type="dxa"/>
              <w:bottom w:w="100" w:type="dxa"/>
              <w:right w:w="100" w:type="dxa"/>
            </w:tcMar>
          </w:tcPr>
          <w:p w14:paraId="2D2824E4" w14:textId="77777777" w:rsidR="00374946" w:rsidRPr="00763F7C" w:rsidRDefault="00374946" w:rsidP="00D92114">
            <w:pPr>
              <w:spacing w:line="240" w:lineRule="auto"/>
              <w:jc w:val="center"/>
              <w:rPr>
                <w:rFonts w:cs="Times New Roman"/>
                <w:sz w:val="22"/>
              </w:rPr>
            </w:pPr>
            <w:r w:rsidRPr="00763F7C">
              <w:rPr>
                <w:rFonts w:cs="Times New Roman"/>
                <w:sz w:val="22"/>
              </w:rPr>
              <w:t xml:space="preserve">A file in the format of the </w:t>
            </w:r>
            <w:proofErr w:type="spellStart"/>
            <w:r w:rsidRPr="00763F7C">
              <w:rPr>
                <w:rFonts w:cs="Times New Roman"/>
                <w:sz w:val="22"/>
              </w:rPr>
              <w:t>geojson</w:t>
            </w:r>
            <w:proofErr w:type="spellEnd"/>
            <w:r w:rsidRPr="00763F7C">
              <w:rPr>
                <w:rFonts w:cs="Times New Roman"/>
                <w:sz w:val="22"/>
              </w:rPr>
              <w:t xml:space="preserve"> obtained from </w:t>
            </w:r>
            <w:proofErr w:type="spellStart"/>
            <w:r w:rsidRPr="00763F7C">
              <w:rPr>
                <w:rFonts w:cs="Times New Roman"/>
                <w:sz w:val="22"/>
              </w:rPr>
              <w:t>openstreetmap</w:t>
            </w:r>
            <w:proofErr w:type="spellEnd"/>
            <w:r w:rsidRPr="00763F7C">
              <w:rPr>
                <w:rFonts w:cs="Times New Roman"/>
                <w:sz w:val="22"/>
              </w:rPr>
              <w:t>.</w:t>
            </w:r>
          </w:p>
        </w:tc>
        <w:tc>
          <w:tcPr>
            <w:tcW w:w="2867" w:type="pct"/>
            <w:shd w:val="clear" w:color="auto" w:fill="auto"/>
            <w:tcMar>
              <w:top w:w="100" w:type="dxa"/>
              <w:left w:w="100" w:type="dxa"/>
              <w:bottom w:w="100" w:type="dxa"/>
              <w:right w:w="100" w:type="dxa"/>
            </w:tcMar>
          </w:tcPr>
          <w:p w14:paraId="781C0F26" w14:textId="77777777" w:rsidR="00374946" w:rsidRPr="00763F7C" w:rsidRDefault="00374946" w:rsidP="00D92114">
            <w:pPr>
              <w:spacing w:line="240" w:lineRule="auto"/>
              <w:jc w:val="center"/>
              <w:rPr>
                <w:rFonts w:cs="Times New Roman"/>
                <w:sz w:val="22"/>
              </w:rPr>
            </w:pPr>
            <w:r w:rsidRPr="00763F7C">
              <w:rPr>
                <w:rFonts w:cs="Times New Roman"/>
                <w:sz w:val="22"/>
              </w:rPr>
              <w:t xml:space="preserve">The logistic points are imported from the </w:t>
            </w:r>
            <w:proofErr w:type="spellStart"/>
            <w:r w:rsidRPr="00763F7C">
              <w:rPr>
                <w:rFonts w:cs="Times New Roman"/>
                <w:sz w:val="22"/>
              </w:rPr>
              <w:t>geojson</w:t>
            </w:r>
            <w:proofErr w:type="spellEnd"/>
            <w:r w:rsidRPr="00763F7C">
              <w:rPr>
                <w:rFonts w:cs="Times New Roman"/>
                <w:sz w:val="22"/>
              </w:rPr>
              <w:t xml:space="preserve"> file and are given a new Id, the corresponding name (when present in the json), and the actual coordinates.</w:t>
            </w:r>
          </w:p>
        </w:tc>
      </w:tr>
      <w:tr w:rsidR="00374946" w:rsidRPr="00763F7C" w14:paraId="794D3E23" w14:textId="77777777" w:rsidTr="00F7598C">
        <w:tc>
          <w:tcPr>
            <w:tcW w:w="693" w:type="pct"/>
            <w:shd w:val="clear" w:color="auto" w:fill="auto"/>
            <w:tcMar>
              <w:top w:w="100" w:type="dxa"/>
              <w:left w:w="100" w:type="dxa"/>
              <w:bottom w:w="100" w:type="dxa"/>
              <w:right w:w="100" w:type="dxa"/>
            </w:tcMar>
          </w:tcPr>
          <w:p w14:paraId="6BC0A218" w14:textId="77777777" w:rsidR="00374946" w:rsidRPr="00763F7C" w:rsidRDefault="00374946" w:rsidP="00D92114">
            <w:pPr>
              <w:widowControl w:val="0"/>
              <w:pBdr>
                <w:top w:val="nil"/>
                <w:left w:val="nil"/>
                <w:bottom w:val="nil"/>
                <w:right w:val="nil"/>
                <w:between w:val="nil"/>
              </w:pBdr>
              <w:spacing w:line="240" w:lineRule="auto"/>
              <w:jc w:val="center"/>
              <w:rPr>
                <w:rFonts w:cs="Times New Roman"/>
                <w:sz w:val="22"/>
              </w:rPr>
            </w:pPr>
            <w:r w:rsidRPr="00763F7C">
              <w:rPr>
                <w:rFonts w:cs="Times New Roman"/>
                <w:sz w:val="22"/>
              </w:rPr>
              <w:t>Sync/Async Planning</w:t>
            </w:r>
          </w:p>
        </w:tc>
        <w:tc>
          <w:tcPr>
            <w:tcW w:w="1440" w:type="pct"/>
            <w:shd w:val="clear" w:color="auto" w:fill="auto"/>
            <w:tcMar>
              <w:top w:w="100" w:type="dxa"/>
              <w:left w:w="100" w:type="dxa"/>
              <w:bottom w:w="100" w:type="dxa"/>
              <w:right w:w="100" w:type="dxa"/>
            </w:tcMar>
          </w:tcPr>
          <w:p w14:paraId="5817650F" w14:textId="77777777" w:rsidR="00374946" w:rsidRPr="00763F7C" w:rsidRDefault="00374946" w:rsidP="00D92114">
            <w:pPr>
              <w:spacing w:line="240" w:lineRule="auto"/>
              <w:jc w:val="center"/>
              <w:rPr>
                <w:rFonts w:cs="Times New Roman"/>
                <w:sz w:val="22"/>
              </w:rPr>
            </w:pPr>
            <w:r w:rsidRPr="00763F7C">
              <w:rPr>
                <w:rFonts w:cs="Times New Roman"/>
                <w:sz w:val="22"/>
              </w:rPr>
              <w:t xml:space="preserve">A set of vehicles, orders, demand points and at least one base are necessary. More specifically, the orders can be created in a randomised fashion, depending on their type: first mile, last </w:t>
            </w:r>
            <w:proofErr w:type="gramStart"/>
            <w:r w:rsidRPr="00763F7C">
              <w:rPr>
                <w:rFonts w:cs="Times New Roman"/>
                <w:sz w:val="22"/>
              </w:rPr>
              <w:t>mile</w:t>
            </w:r>
            <w:proofErr w:type="gramEnd"/>
            <w:r w:rsidRPr="00763F7C">
              <w:rPr>
                <w:rFonts w:cs="Times New Roman"/>
                <w:sz w:val="22"/>
              </w:rPr>
              <w:t xml:space="preserve"> and point-to-point. Vehicles can also be created in a randomised fashion. Demand points can be </w:t>
            </w:r>
            <w:r w:rsidRPr="00763F7C">
              <w:rPr>
                <w:rFonts w:cs="Times New Roman"/>
                <w:sz w:val="22"/>
              </w:rPr>
              <w:lastRenderedPageBreak/>
              <w:t xml:space="preserve">imported from </w:t>
            </w:r>
            <w:proofErr w:type="spellStart"/>
            <w:r w:rsidRPr="00763F7C">
              <w:rPr>
                <w:rFonts w:cs="Times New Roman"/>
                <w:sz w:val="22"/>
              </w:rPr>
              <w:t>openstreetmap</w:t>
            </w:r>
            <w:proofErr w:type="spellEnd"/>
            <w:r w:rsidRPr="00763F7C">
              <w:rPr>
                <w:rFonts w:cs="Times New Roman"/>
                <w:sz w:val="22"/>
              </w:rPr>
              <w:t>. Bases are created on click.</w:t>
            </w:r>
          </w:p>
        </w:tc>
        <w:tc>
          <w:tcPr>
            <w:tcW w:w="2867" w:type="pct"/>
            <w:shd w:val="clear" w:color="auto" w:fill="auto"/>
            <w:tcMar>
              <w:top w:w="100" w:type="dxa"/>
              <w:left w:w="100" w:type="dxa"/>
              <w:bottom w:w="100" w:type="dxa"/>
              <w:right w:w="100" w:type="dxa"/>
            </w:tcMar>
          </w:tcPr>
          <w:p w14:paraId="148CD17C" w14:textId="77777777" w:rsidR="00374946" w:rsidRPr="00763F7C" w:rsidRDefault="00374946" w:rsidP="00D92114">
            <w:pPr>
              <w:widowControl w:val="0"/>
              <w:pBdr>
                <w:top w:val="nil"/>
                <w:left w:val="nil"/>
                <w:bottom w:val="nil"/>
                <w:right w:val="nil"/>
                <w:between w:val="nil"/>
              </w:pBdr>
              <w:spacing w:line="240" w:lineRule="auto"/>
              <w:jc w:val="center"/>
              <w:rPr>
                <w:rFonts w:cs="Times New Roman"/>
                <w:sz w:val="22"/>
              </w:rPr>
            </w:pPr>
            <w:r w:rsidRPr="00763F7C">
              <w:rPr>
                <w:rFonts w:cs="Times New Roman"/>
                <w:sz w:val="22"/>
              </w:rPr>
              <w:lastRenderedPageBreak/>
              <w:t>The planning results are obtained and displayed to the user. The optimisation can be done for minimising distance or time or a customised objective function. In case of errors, the orders that are not delivered are given in a separate error message.</w:t>
            </w:r>
          </w:p>
        </w:tc>
      </w:tr>
      <w:tr w:rsidR="00374946" w:rsidRPr="00763F7C" w14:paraId="252D146C" w14:textId="77777777" w:rsidTr="00F7598C">
        <w:tc>
          <w:tcPr>
            <w:tcW w:w="693" w:type="pct"/>
            <w:shd w:val="clear" w:color="auto" w:fill="auto"/>
            <w:tcMar>
              <w:top w:w="100" w:type="dxa"/>
              <w:left w:w="100" w:type="dxa"/>
              <w:bottom w:w="100" w:type="dxa"/>
              <w:right w:w="100" w:type="dxa"/>
            </w:tcMar>
          </w:tcPr>
          <w:p w14:paraId="2355B87B" w14:textId="77777777" w:rsidR="00374946" w:rsidRPr="00763F7C" w:rsidRDefault="00374946" w:rsidP="00D92114">
            <w:pPr>
              <w:widowControl w:val="0"/>
              <w:pBdr>
                <w:top w:val="nil"/>
                <w:left w:val="nil"/>
                <w:bottom w:val="nil"/>
                <w:right w:val="nil"/>
                <w:between w:val="nil"/>
              </w:pBdr>
              <w:spacing w:line="240" w:lineRule="auto"/>
              <w:jc w:val="center"/>
              <w:rPr>
                <w:rFonts w:cs="Times New Roman"/>
                <w:sz w:val="22"/>
              </w:rPr>
            </w:pPr>
            <w:r w:rsidRPr="00763F7C">
              <w:rPr>
                <w:rFonts w:cs="Times New Roman"/>
                <w:sz w:val="22"/>
              </w:rPr>
              <w:t>Export Planning Results</w:t>
            </w:r>
          </w:p>
        </w:tc>
        <w:tc>
          <w:tcPr>
            <w:tcW w:w="1440" w:type="pct"/>
            <w:shd w:val="clear" w:color="auto" w:fill="auto"/>
            <w:tcMar>
              <w:top w:w="100" w:type="dxa"/>
              <w:left w:w="100" w:type="dxa"/>
              <w:bottom w:w="100" w:type="dxa"/>
              <w:right w:w="100" w:type="dxa"/>
            </w:tcMar>
          </w:tcPr>
          <w:p w14:paraId="2A931296" w14:textId="77777777" w:rsidR="00374946" w:rsidRPr="00763F7C" w:rsidRDefault="00374946" w:rsidP="00D92114">
            <w:pPr>
              <w:spacing w:line="240" w:lineRule="auto"/>
              <w:jc w:val="center"/>
              <w:rPr>
                <w:rFonts w:cs="Times New Roman"/>
                <w:sz w:val="22"/>
              </w:rPr>
            </w:pPr>
            <w:r w:rsidRPr="00763F7C">
              <w:rPr>
                <w:rFonts w:cs="Times New Roman"/>
                <w:sz w:val="22"/>
              </w:rPr>
              <w:t>The planning results are necessary.</w:t>
            </w:r>
          </w:p>
        </w:tc>
        <w:tc>
          <w:tcPr>
            <w:tcW w:w="2867" w:type="pct"/>
            <w:shd w:val="clear" w:color="auto" w:fill="FFFFFF"/>
            <w:tcMar>
              <w:left w:w="108" w:type="dxa"/>
              <w:right w:w="108" w:type="dxa"/>
            </w:tcMar>
          </w:tcPr>
          <w:p w14:paraId="673CDE67" w14:textId="77777777" w:rsidR="00374946" w:rsidRPr="00763F7C" w:rsidRDefault="00374946" w:rsidP="00D92114">
            <w:pPr>
              <w:spacing w:line="240" w:lineRule="auto"/>
              <w:jc w:val="center"/>
              <w:rPr>
                <w:rFonts w:cs="Times New Roman"/>
                <w:sz w:val="22"/>
              </w:rPr>
            </w:pPr>
            <w:r w:rsidRPr="00763F7C">
              <w:rPr>
                <w:rFonts w:cs="Times New Roman"/>
                <w:sz w:val="22"/>
              </w:rPr>
              <w:t xml:space="preserve">The planning results can be exported in json and converted to an excel document </w:t>
            </w:r>
            <w:proofErr w:type="gramStart"/>
            <w:r w:rsidRPr="00763F7C">
              <w:rPr>
                <w:rFonts w:cs="Times New Roman"/>
                <w:sz w:val="22"/>
              </w:rPr>
              <w:t>in order to</w:t>
            </w:r>
            <w:proofErr w:type="gramEnd"/>
            <w:r w:rsidRPr="00763F7C">
              <w:rPr>
                <w:rFonts w:cs="Times New Roman"/>
                <w:sz w:val="22"/>
              </w:rPr>
              <w:t xml:space="preserve"> be analysed. This would help produce statistics on the </w:t>
            </w:r>
            <w:proofErr w:type="gramStart"/>
            <w:r w:rsidRPr="00763F7C">
              <w:rPr>
                <w:rFonts w:cs="Times New Roman"/>
                <w:sz w:val="22"/>
              </w:rPr>
              <w:t>decision making</w:t>
            </w:r>
            <w:proofErr w:type="gramEnd"/>
            <w:r w:rsidRPr="00763F7C">
              <w:rPr>
                <w:rFonts w:cs="Times New Roman"/>
                <w:sz w:val="22"/>
              </w:rPr>
              <w:t xml:space="preserve"> problem of where to place the UCC.</w:t>
            </w:r>
          </w:p>
        </w:tc>
      </w:tr>
    </w:tbl>
    <w:p w14:paraId="4D754881" w14:textId="7BEDBB54" w:rsidR="00374946" w:rsidRPr="008903D1" w:rsidRDefault="007B5959" w:rsidP="000A4E8C">
      <w:pPr>
        <w:pStyle w:val="Caption"/>
        <w:spacing w:after="0" w:line="360" w:lineRule="auto"/>
        <w:rPr>
          <w:rFonts w:cs="Times New Roman"/>
        </w:rPr>
        <w:sectPr w:rsidR="00374946" w:rsidRPr="008903D1" w:rsidSect="00D10D94">
          <w:pgSz w:w="16838" w:h="11906" w:orient="landscape"/>
          <w:pgMar w:top="1440" w:right="1440" w:bottom="1440" w:left="1440" w:header="708" w:footer="708" w:gutter="0"/>
          <w:cols w:space="708"/>
          <w:docGrid w:linePitch="360"/>
        </w:sectPr>
      </w:pPr>
      <w:bookmarkStart w:id="1146" w:name="_Ref34733995"/>
      <w:bookmarkStart w:id="1147" w:name="_Toc34674999"/>
      <w:bookmarkStart w:id="1148" w:name="_Toc34734791"/>
      <w:bookmarkStart w:id="1149" w:name="_Toc46053604"/>
      <w:bookmarkStart w:id="1150" w:name="_Toc46093853"/>
      <w:bookmarkStart w:id="1151" w:name="_Toc66698820"/>
      <w:r>
        <w:rPr>
          <w:rFonts w:cs="Times New Roman"/>
        </w:rPr>
        <w:t>Table</w:t>
      </w:r>
      <w:r w:rsidR="00374946"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8</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2</w:t>
      </w:r>
      <w:r w:rsidR="00FE10DA">
        <w:rPr>
          <w:rFonts w:cs="Times New Roman"/>
        </w:rPr>
        <w:fldChar w:fldCharType="end"/>
      </w:r>
      <w:bookmarkEnd w:id="1146"/>
      <w:r w:rsidR="004D6792">
        <w:rPr>
          <w:rFonts w:cs="Times New Roman"/>
        </w:rPr>
        <w:t>:</w:t>
      </w:r>
      <w:r w:rsidR="00374946" w:rsidRPr="008903D1">
        <w:rPr>
          <w:rFonts w:cs="Times New Roman"/>
        </w:rPr>
        <w:t xml:space="preserve"> DSS Specification</w:t>
      </w:r>
      <w:bookmarkEnd w:id="1147"/>
      <w:bookmarkEnd w:id="1148"/>
      <w:bookmarkEnd w:id="1149"/>
      <w:bookmarkEnd w:id="1150"/>
      <w:bookmarkEnd w:id="1151"/>
    </w:p>
    <w:p w14:paraId="276B4B77" w14:textId="31824841" w:rsidR="00374946" w:rsidRPr="00737239" w:rsidRDefault="00374946" w:rsidP="000A4E8C">
      <w:pPr>
        <w:pStyle w:val="Heading3"/>
        <w:spacing w:line="360" w:lineRule="auto"/>
        <w:rPr>
          <w:rFonts w:cs="Times New Roman"/>
        </w:rPr>
      </w:pPr>
      <w:bookmarkStart w:id="1152" w:name="_Ref34734324"/>
      <w:bookmarkStart w:id="1153" w:name="_Toc34734582"/>
      <w:bookmarkStart w:id="1154" w:name="_Toc46053503"/>
      <w:bookmarkStart w:id="1155" w:name="_Toc46093417"/>
      <w:bookmarkStart w:id="1156" w:name="_Toc46093700"/>
      <w:bookmarkStart w:id="1157" w:name="_Toc66703275"/>
      <w:r w:rsidRPr="008903D1">
        <w:rPr>
          <w:rFonts w:cs="Times New Roman"/>
        </w:rPr>
        <w:lastRenderedPageBreak/>
        <w:t xml:space="preserve">Routing </w:t>
      </w:r>
      <w:r w:rsidR="00F43E78">
        <w:rPr>
          <w:rFonts w:cs="Times New Roman"/>
        </w:rPr>
        <w:t>p</w:t>
      </w:r>
      <w:r w:rsidR="00F43E78" w:rsidRPr="008903D1">
        <w:rPr>
          <w:rFonts w:cs="Times New Roman"/>
        </w:rPr>
        <w:t xml:space="preserve">lanning </w:t>
      </w:r>
      <w:bookmarkEnd w:id="1152"/>
      <w:bookmarkEnd w:id="1153"/>
      <w:bookmarkEnd w:id="1154"/>
      <w:bookmarkEnd w:id="1155"/>
      <w:bookmarkEnd w:id="1156"/>
      <w:r w:rsidR="00F43E78">
        <w:rPr>
          <w:rFonts w:cs="Times New Roman"/>
        </w:rPr>
        <w:t>m</w:t>
      </w:r>
      <w:r w:rsidR="00F43E78" w:rsidRPr="008903D1">
        <w:rPr>
          <w:rFonts w:cs="Times New Roman"/>
        </w:rPr>
        <w:t>odule</w:t>
      </w:r>
      <w:bookmarkEnd w:id="1157"/>
    </w:p>
    <w:p w14:paraId="1F28789B" w14:textId="3433736C" w:rsidR="00374946" w:rsidRPr="008903D1" w:rsidRDefault="00374946" w:rsidP="007548C6">
      <w:pPr>
        <w:spacing w:after="240" w:line="360" w:lineRule="auto"/>
        <w:rPr>
          <w:rFonts w:eastAsia="Calibri" w:cs="Times New Roman"/>
          <w:szCs w:val="24"/>
        </w:rPr>
      </w:pPr>
      <w:r w:rsidRPr="008903D1">
        <w:rPr>
          <w:rFonts w:eastAsia="Calibri" w:cs="Times New Roman"/>
          <w:szCs w:val="24"/>
        </w:rPr>
        <w:t xml:space="preserve">Once the problem has been defined, planning results can be optimised for a given objective function, usually distance or time. As such, the problem to be solved can be represented as a </w:t>
      </w:r>
      <w:proofErr w:type="gramStart"/>
      <w:r w:rsidRPr="008903D1">
        <w:rPr>
          <w:rFonts w:eastAsia="Calibri" w:cs="Times New Roman"/>
          <w:szCs w:val="24"/>
        </w:rPr>
        <w:t>‘Vehicle Routing Planning’ problems</w:t>
      </w:r>
      <w:proofErr w:type="gramEnd"/>
      <w:r w:rsidRPr="008903D1">
        <w:rPr>
          <w:rFonts w:eastAsia="Calibri" w:cs="Times New Roman"/>
          <w:szCs w:val="24"/>
        </w:rPr>
        <w:t>, with time windows and capacitated vehicles. The solution to this problem</w:t>
      </w:r>
      <w:r w:rsidRPr="008903D1">
        <w:rPr>
          <w:rFonts w:cs="Times New Roman"/>
          <w:szCs w:val="24"/>
        </w:rPr>
        <w:t xml:space="preserve"> can be provided through a proprietary algorithm developed by </w:t>
      </w:r>
      <w:proofErr w:type="spellStart"/>
      <w:r w:rsidRPr="008903D1">
        <w:rPr>
          <w:rFonts w:cs="Times New Roman"/>
          <w:szCs w:val="24"/>
        </w:rPr>
        <w:t>Softeco</w:t>
      </w:r>
      <w:proofErr w:type="spellEnd"/>
      <w:r w:rsidRPr="008903D1">
        <w:rPr>
          <w:rFonts w:cs="Times New Roman"/>
          <w:szCs w:val="24"/>
        </w:rPr>
        <w:t xml:space="preserve"> </w:t>
      </w:r>
      <w:proofErr w:type="spellStart"/>
      <w:r w:rsidRPr="008903D1">
        <w:rPr>
          <w:rFonts w:cs="Times New Roman"/>
          <w:szCs w:val="24"/>
        </w:rPr>
        <w:t>Sismat</w:t>
      </w:r>
      <w:proofErr w:type="spellEnd"/>
      <w:r w:rsidRPr="008903D1">
        <w:rPr>
          <w:rFonts w:cs="Times New Roman"/>
          <w:szCs w:val="24"/>
        </w:rPr>
        <w:t xml:space="preserve">, based on a Branch-and-Bound framework. </w:t>
      </w:r>
    </w:p>
    <w:p w14:paraId="6EA78EB3" w14:textId="74D89481" w:rsidR="00374946" w:rsidRPr="008903D1" w:rsidRDefault="00374946" w:rsidP="007548C6">
      <w:pPr>
        <w:spacing w:after="240" w:line="360" w:lineRule="auto"/>
        <w:rPr>
          <w:rFonts w:eastAsia="Calibri" w:cs="Times New Roman"/>
          <w:szCs w:val="24"/>
        </w:rPr>
      </w:pPr>
      <w:r w:rsidRPr="008903D1">
        <w:rPr>
          <w:rFonts w:eastAsia="Calibri" w:cs="Times New Roman"/>
          <w:szCs w:val="24"/>
        </w:rPr>
        <w:t xml:space="preserve">The generated report (see </w:t>
      </w:r>
      <w:r w:rsidRPr="00737239">
        <w:rPr>
          <w:rFonts w:eastAsia="Calibri" w:cs="Times New Roman"/>
          <w:szCs w:val="24"/>
        </w:rPr>
        <w:fldChar w:fldCharType="begin"/>
      </w:r>
      <w:r w:rsidRPr="008903D1">
        <w:rPr>
          <w:rFonts w:eastAsia="Calibri" w:cs="Times New Roman"/>
          <w:szCs w:val="24"/>
        </w:rPr>
        <w:instrText xml:space="preserve"> REF _Ref34734028 \h </w:instrText>
      </w:r>
      <w:r w:rsidR="008903D1">
        <w:rPr>
          <w:rFonts w:eastAsia="Calibri" w:cs="Times New Roman"/>
          <w:szCs w:val="24"/>
        </w:rPr>
        <w:instrText xml:space="preserve"> \* MERGEFORMAT </w:instrText>
      </w:r>
      <w:r w:rsidRPr="00737239">
        <w:rPr>
          <w:rFonts w:eastAsia="Calibri" w:cs="Times New Roman"/>
          <w:szCs w:val="24"/>
        </w:rPr>
      </w:r>
      <w:r w:rsidRPr="00737239">
        <w:rPr>
          <w:rFonts w:eastAsia="Calibri" w:cs="Times New Roman"/>
          <w:szCs w:val="24"/>
        </w:rPr>
        <w:fldChar w:fldCharType="separate"/>
      </w:r>
      <w:r w:rsidR="0005064B" w:rsidRPr="00737239">
        <w:rPr>
          <w:rFonts w:cs="Times New Roman"/>
        </w:rPr>
        <w:t xml:space="preserve">Figure </w:t>
      </w:r>
      <w:r w:rsidR="0005064B">
        <w:rPr>
          <w:rFonts w:cs="Times New Roman"/>
        </w:rPr>
        <w:t>8</w:t>
      </w:r>
      <w:r w:rsidR="0005064B">
        <w:rPr>
          <w:rFonts w:cs="Times New Roman"/>
        </w:rPr>
        <w:noBreakHyphen/>
        <w:t>4</w:t>
      </w:r>
      <w:r w:rsidRPr="00737239">
        <w:rPr>
          <w:rFonts w:eastAsia="Calibri" w:cs="Times New Roman"/>
          <w:szCs w:val="24"/>
        </w:rPr>
        <w:fldChar w:fldCharType="end"/>
      </w:r>
      <w:r w:rsidRPr="008903D1">
        <w:rPr>
          <w:rFonts w:eastAsia="Calibri" w:cs="Times New Roman"/>
          <w:szCs w:val="24"/>
        </w:rPr>
        <w:t>) includes data about: the optimisation engine which has been employed, the planned location of the UCC, the vehicles associated with the plan, the total weight and volume associated to each delivery mission and to each vehicle, the demand points associated with each mission and their type (UCC, logistic point, load/unload area), the order identifiers and their type (first mile, last mile, point-to-point), the actual weight and volume aboard for each order (in kg and cm3), the operations and their type (for a detailed list, look at the documentation), the distance from start and from previous trip point, and the time duration from previous trip point.</w:t>
      </w:r>
    </w:p>
    <w:p w14:paraId="2D1A524E" w14:textId="77777777" w:rsidR="00374946" w:rsidRPr="008903D1" w:rsidRDefault="00374946" w:rsidP="000A4E8C">
      <w:pPr>
        <w:spacing w:line="360" w:lineRule="auto"/>
        <w:rPr>
          <w:rFonts w:cs="Times New Roman"/>
          <w:szCs w:val="24"/>
        </w:rPr>
      </w:pPr>
    </w:p>
    <w:p w14:paraId="65D435C1" w14:textId="77777777" w:rsidR="00374946" w:rsidRPr="008903D1" w:rsidRDefault="00374946" w:rsidP="000A4E8C">
      <w:pPr>
        <w:spacing w:line="360" w:lineRule="auto"/>
        <w:jc w:val="center"/>
        <w:rPr>
          <w:rFonts w:cs="Times New Roman"/>
          <w:szCs w:val="24"/>
        </w:rPr>
      </w:pPr>
      <w:r w:rsidRPr="008903D1">
        <w:rPr>
          <w:rFonts w:cs="Times New Roman"/>
          <w:noProof/>
          <w:szCs w:val="24"/>
          <w:lang w:eastAsia="en-GB"/>
        </w:rPr>
        <w:drawing>
          <wp:inline distT="0" distB="0" distL="0" distR="0" wp14:anchorId="66C1E105" wp14:editId="36E263FE">
            <wp:extent cx="5090984" cy="2846440"/>
            <wp:effectExtent l="0" t="0" r="0" b="0"/>
            <wp:docPr id="26" name="Picture 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IF_1.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112422" cy="2858427"/>
                    </a:xfrm>
                    <a:prstGeom prst="rect">
                      <a:avLst/>
                    </a:prstGeom>
                  </pic:spPr>
                </pic:pic>
              </a:graphicData>
            </a:graphic>
          </wp:inline>
        </w:drawing>
      </w:r>
    </w:p>
    <w:p w14:paraId="191F0887" w14:textId="57AFF94E" w:rsidR="00374946" w:rsidRPr="00737239" w:rsidRDefault="00374946" w:rsidP="000A4E8C">
      <w:pPr>
        <w:pStyle w:val="Caption"/>
        <w:spacing w:after="0" w:line="360" w:lineRule="auto"/>
        <w:rPr>
          <w:rFonts w:cs="Times New Roman"/>
        </w:rPr>
      </w:pPr>
      <w:bookmarkStart w:id="1158" w:name="_Ref34734028"/>
      <w:bookmarkStart w:id="1159" w:name="_Toc34675046"/>
      <w:bookmarkStart w:id="1160" w:name="_Toc34734838"/>
      <w:bookmarkStart w:id="1161" w:name="_Toc46053708"/>
      <w:bookmarkStart w:id="1162" w:name="_Toc66698739"/>
      <w:r w:rsidRPr="00737239">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8</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4</w:t>
      </w:r>
      <w:r w:rsidR="00632993">
        <w:rPr>
          <w:rFonts w:cs="Times New Roman"/>
        </w:rPr>
        <w:fldChar w:fldCharType="end"/>
      </w:r>
      <w:bookmarkEnd w:id="1158"/>
      <w:r w:rsidR="00494842">
        <w:rPr>
          <w:rFonts w:cs="Times New Roman"/>
        </w:rPr>
        <w:t>:</w:t>
      </w:r>
      <w:r w:rsidRPr="008903D1">
        <w:rPr>
          <w:rFonts w:cs="Times New Roman"/>
        </w:rPr>
        <w:t xml:space="preserve"> Results of the Routing Planning </w:t>
      </w:r>
      <w:r w:rsidRPr="00737239">
        <w:rPr>
          <w:rFonts w:cs="Times New Roman"/>
        </w:rPr>
        <w:t>Module</w:t>
      </w:r>
      <w:bookmarkEnd w:id="1159"/>
      <w:bookmarkEnd w:id="1160"/>
      <w:bookmarkEnd w:id="1161"/>
      <w:bookmarkEnd w:id="1162"/>
    </w:p>
    <w:p w14:paraId="5696ED98" w14:textId="77777777" w:rsidR="00374946" w:rsidRPr="008903D1" w:rsidRDefault="00374946" w:rsidP="007548C6">
      <w:pPr>
        <w:spacing w:after="240" w:line="360" w:lineRule="auto"/>
        <w:rPr>
          <w:rFonts w:eastAsia="Calibri" w:cs="Times New Roman"/>
          <w:szCs w:val="24"/>
        </w:rPr>
      </w:pPr>
      <w:r w:rsidRPr="008903D1">
        <w:rPr>
          <w:rFonts w:eastAsia="Calibri" w:cs="Times New Roman"/>
          <w:szCs w:val="24"/>
        </w:rPr>
        <w:lastRenderedPageBreak/>
        <w:t xml:space="preserve">Based on the above data, statistics can be generated to include costs </w:t>
      </w:r>
      <w:proofErr w:type="gramStart"/>
      <w:r w:rsidRPr="008903D1">
        <w:rPr>
          <w:rFonts w:eastAsia="Calibri" w:cs="Times New Roman"/>
          <w:szCs w:val="24"/>
        </w:rPr>
        <w:t>on:</w:t>
      </w:r>
      <w:proofErr w:type="gramEnd"/>
      <w:r w:rsidRPr="008903D1">
        <w:rPr>
          <w:rFonts w:eastAsia="Calibri" w:cs="Times New Roman"/>
          <w:szCs w:val="24"/>
        </w:rPr>
        <w:t xml:space="preserve"> the vehicles and the driver for each vehicle, the trip points as different types of stops, the orders (depending on their weight/volume and the type), the kind of operation for each trip point, the distance from start or from previous trip point, the time duration from previous trip point or as aggregate data for the entire trip. Additionally, some derived statistics can be produced, based on the available data: </w:t>
      </w:r>
      <w:proofErr w:type="gramStart"/>
      <w:r w:rsidRPr="008903D1">
        <w:rPr>
          <w:rFonts w:eastAsia="Calibri" w:cs="Times New Roman"/>
          <w:szCs w:val="24"/>
        </w:rPr>
        <w:t>e.g.</w:t>
      </w:r>
      <w:proofErr w:type="gramEnd"/>
      <w:r w:rsidRPr="008903D1">
        <w:rPr>
          <w:rFonts w:eastAsia="Calibri" w:cs="Times New Roman"/>
          <w:szCs w:val="24"/>
        </w:rPr>
        <w:t xml:space="preserve"> the amount of CO2 produced, the amount of vehicles needed to complete the plan for all orders.</w:t>
      </w:r>
    </w:p>
    <w:p w14:paraId="019592A1" w14:textId="154B2D2F" w:rsidR="00374946" w:rsidRPr="00763F7C" w:rsidRDefault="00374946" w:rsidP="007548C6">
      <w:pPr>
        <w:spacing w:after="240" w:line="360" w:lineRule="auto"/>
        <w:rPr>
          <w:rFonts w:cs="Times New Roman"/>
          <w:szCs w:val="24"/>
        </w:rPr>
      </w:pPr>
      <w:r w:rsidRPr="008903D1">
        <w:rPr>
          <w:rFonts w:cs="Times New Roman"/>
          <w:szCs w:val="24"/>
        </w:rPr>
        <w:t xml:space="preserve">For a detailed overview of the cost calculations, readers can refer to Section </w:t>
      </w:r>
      <w:r w:rsidRPr="00737239">
        <w:rPr>
          <w:rFonts w:cs="Times New Roman"/>
          <w:szCs w:val="24"/>
        </w:rPr>
        <w:fldChar w:fldCharType="begin"/>
      </w:r>
      <w:r w:rsidRPr="008903D1">
        <w:rPr>
          <w:rFonts w:cs="Times New Roman"/>
          <w:szCs w:val="24"/>
        </w:rPr>
        <w:instrText xml:space="preserve"> REF _Ref34734136 \r \h </w:instrText>
      </w:r>
      <w:r w:rsidR="008903D1">
        <w:rPr>
          <w:rFonts w:cs="Times New Roman"/>
          <w:szCs w:val="24"/>
        </w:rPr>
        <w:instrText xml:space="preserve"> \* MERGEFORMAT </w:instrText>
      </w:r>
      <w:r w:rsidRPr="00737239">
        <w:rPr>
          <w:rFonts w:cs="Times New Roman"/>
          <w:szCs w:val="24"/>
        </w:rPr>
      </w:r>
      <w:r w:rsidRPr="00737239">
        <w:rPr>
          <w:rFonts w:cs="Times New Roman"/>
          <w:szCs w:val="24"/>
        </w:rPr>
        <w:fldChar w:fldCharType="separate"/>
      </w:r>
      <w:r w:rsidR="0005064B">
        <w:rPr>
          <w:rFonts w:cs="Times New Roman"/>
          <w:szCs w:val="24"/>
        </w:rPr>
        <w:t>4.1</w:t>
      </w:r>
      <w:r w:rsidRPr="00737239">
        <w:rPr>
          <w:rFonts w:cs="Times New Roman"/>
          <w:szCs w:val="24"/>
        </w:rPr>
        <w:fldChar w:fldCharType="end"/>
      </w:r>
      <w:r w:rsidRPr="008903D1">
        <w:rPr>
          <w:rFonts w:cs="Times New Roman"/>
          <w:szCs w:val="24"/>
        </w:rPr>
        <w:t xml:space="preserve"> and</w:t>
      </w:r>
      <w:r w:rsidRPr="00737239">
        <w:rPr>
          <w:rFonts w:cs="Times New Roman"/>
          <w:szCs w:val="24"/>
        </w:rPr>
        <w:fldChar w:fldCharType="begin"/>
      </w:r>
      <w:r w:rsidRPr="008903D1">
        <w:rPr>
          <w:rFonts w:cs="Times New Roman"/>
          <w:szCs w:val="24"/>
        </w:rPr>
        <w:instrText xml:space="preserve"> REF _Ref34734144 \r \h </w:instrText>
      </w:r>
      <w:r w:rsidR="008903D1">
        <w:rPr>
          <w:rFonts w:cs="Times New Roman"/>
          <w:szCs w:val="24"/>
        </w:rPr>
        <w:instrText xml:space="preserve"> \* MERGEFORMAT </w:instrText>
      </w:r>
      <w:r w:rsidRPr="00737239">
        <w:rPr>
          <w:rFonts w:cs="Times New Roman"/>
          <w:szCs w:val="24"/>
        </w:rPr>
      </w:r>
      <w:r w:rsidRPr="00737239">
        <w:rPr>
          <w:rFonts w:cs="Times New Roman"/>
          <w:szCs w:val="24"/>
        </w:rPr>
        <w:fldChar w:fldCharType="separate"/>
      </w:r>
      <w:r w:rsidR="0005064B">
        <w:rPr>
          <w:rFonts w:cs="Times New Roman"/>
          <w:szCs w:val="24"/>
        </w:rPr>
        <w:t>4.2</w:t>
      </w:r>
      <w:r w:rsidRPr="00737239">
        <w:rPr>
          <w:rFonts w:cs="Times New Roman"/>
          <w:szCs w:val="24"/>
        </w:rPr>
        <w:fldChar w:fldCharType="end"/>
      </w:r>
      <w:r w:rsidRPr="008903D1">
        <w:rPr>
          <w:rFonts w:cs="Times New Roman"/>
          <w:szCs w:val="24"/>
        </w:rPr>
        <w:t xml:space="preserve">. The whole data provided as an input to the DSS will be processed, through the algorithm embedded in the Routing Planning module. </w:t>
      </w:r>
    </w:p>
    <w:p w14:paraId="066EF1CE" w14:textId="263DDA2E" w:rsidR="00374946" w:rsidRPr="008903D1" w:rsidRDefault="00374946" w:rsidP="007548C6">
      <w:pPr>
        <w:spacing w:after="240" w:line="360" w:lineRule="auto"/>
        <w:rPr>
          <w:rFonts w:cs="Times New Roman"/>
          <w:szCs w:val="24"/>
        </w:rPr>
      </w:pPr>
      <w:r w:rsidRPr="008903D1">
        <w:rPr>
          <w:rFonts w:eastAsia="Calibri" w:cs="Times New Roman"/>
          <w:szCs w:val="24"/>
        </w:rPr>
        <w:t xml:space="preserve">After the planning has been completed, the user can export the planning results in a </w:t>
      </w:r>
      <w:r w:rsidRPr="008903D1">
        <w:rPr>
          <w:rFonts w:eastAsia="Calibri" w:cs="Times New Roman"/>
          <w:i/>
          <w:szCs w:val="24"/>
        </w:rPr>
        <w:t>json</w:t>
      </w:r>
      <w:r w:rsidRPr="008903D1">
        <w:rPr>
          <w:rFonts w:eastAsia="Calibri" w:cs="Times New Roman"/>
          <w:szCs w:val="24"/>
        </w:rPr>
        <w:t xml:space="preserve"> file. The latter can be converted in a MS Excel spreadsheet, </w:t>
      </w:r>
      <w:proofErr w:type="gramStart"/>
      <w:r w:rsidRPr="008903D1">
        <w:rPr>
          <w:rFonts w:eastAsia="Calibri" w:cs="Times New Roman"/>
          <w:szCs w:val="24"/>
        </w:rPr>
        <w:t>in order to</w:t>
      </w:r>
      <w:proofErr w:type="gramEnd"/>
      <w:r w:rsidRPr="008903D1">
        <w:rPr>
          <w:rFonts w:eastAsia="Calibri" w:cs="Times New Roman"/>
          <w:szCs w:val="24"/>
        </w:rPr>
        <w:t xml:space="preserve"> better visualise the planning results under the specified scenario. </w:t>
      </w:r>
      <w:r w:rsidRPr="008903D1">
        <w:rPr>
          <w:rFonts w:cs="Times New Roman"/>
          <w:szCs w:val="24"/>
        </w:rPr>
        <w:t xml:space="preserve">The following </w:t>
      </w:r>
      <w:r w:rsidRPr="00737239">
        <w:rPr>
          <w:rFonts w:cs="Times New Roman"/>
          <w:szCs w:val="24"/>
        </w:rPr>
        <w:fldChar w:fldCharType="begin"/>
      </w:r>
      <w:r w:rsidRPr="008903D1">
        <w:rPr>
          <w:rFonts w:cs="Times New Roman"/>
          <w:szCs w:val="24"/>
        </w:rPr>
        <w:instrText xml:space="preserve"> REF _Ref34734203 \h </w:instrText>
      </w:r>
      <w:r w:rsidR="008903D1">
        <w:rPr>
          <w:rFonts w:cs="Times New Roman"/>
          <w:szCs w:val="24"/>
        </w:rPr>
        <w:instrText xml:space="preserve"> \* MERGEFORMAT </w:instrText>
      </w:r>
      <w:r w:rsidRPr="00737239">
        <w:rPr>
          <w:rFonts w:cs="Times New Roman"/>
          <w:szCs w:val="24"/>
        </w:rPr>
      </w:r>
      <w:r w:rsidRPr="00737239">
        <w:rPr>
          <w:rFonts w:cs="Times New Roman"/>
          <w:szCs w:val="24"/>
        </w:rPr>
        <w:fldChar w:fldCharType="separate"/>
      </w:r>
      <w:r w:rsidR="0005064B">
        <w:rPr>
          <w:rFonts w:cs="Times New Roman"/>
        </w:rPr>
        <w:t>Table</w:t>
      </w:r>
      <w:r w:rsidR="0005064B" w:rsidRPr="00737239">
        <w:rPr>
          <w:rFonts w:cs="Times New Roman"/>
        </w:rPr>
        <w:t xml:space="preserve"> </w:t>
      </w:r>
      <w:r w:rsidR="0005064B">
        <w:rPr>
          <w:rFonts w:cs="Times New Roman"/>
        </w:rPr>
        <w:t>8</w:t>
      </w:r>
      <w:r w:rsidR="0005064B">
        <w:rPr>
          <w:rFonts w:cs="Times New Roman"/>
        </w:rPr>
        <w:noBreakHyphen/>
        <w:t>3</w:t>
      </w:r>
      <w:r w:rsidRPr="00737239">
        <w:rPr>
          <w:rFonts w:cs="Times New Roman"/>
          <w:szCs w:val="24"/>
        </w:rPr>
        <w:fldChar w:fldCharType="end"/>
      </w:r>
      <w:r w:rsidRPr="008903D1">
        <w:rPr>
          <w:rFonts w:cs="Times New Roman"/>
          <w:szCs w:val="24"/>
        </w:rPr>
        <w:t xml:space="preserve"> shows some key performance indicators which can be extracted from the Routing planning module.</w:t>
      </w:r>
    </w:p>
    <w:tbl>
      <w:tblPr>
        <w:tblStyle w:val="TableGrid"/>
        <w:tblW w:w="5000" w:type="pct"/>
        <w:jc w:val="center"/>
        <w:tblLook w:val="04A0" w:firstRow="1" w:lastRow="0" w:firstColumn="1" w:lastColumn="0" w:noHBand="0" w:noVBand="1"/>
      </w:tblPr>
      <w:tblGrid>
        <w:gridCol w:w="7113"/>
        <w:gridCol w:w="1183"/>
      </w:tblGrid>
      <w:tr w:rsidR="00374946" w:rsidRPr="008903D1" w14:paraId="4D94FE46" w14:textId="77777777" w:rsidTr="00F7598C">
        <w:trPr>
          <w:trHeight w:val="433"/>
          <w:jc w:val="center"/>
        </w:trPr>
        <w:tc>
          <w:tcPr>
            <w:tcW w:w="4287" w:type="pct"/>
          </w:tcPr>
          <w:p w14:paraId="693F2EAB" w14:textId="77777777" w:rsidR="00374946" w:rsidRPr="008903D1" w:rsidRDefault="00374946" w:rsidP="00763F7C">
            <w:pPr>
              <w:snapToGrid w:val="0"/>
              <w:spacing w:line="240" w:lineRule="auto"/>
              <w:rPr>
                <w:rFonts w:cs="Times New Roman"/>
                <w:b/>
                <w:szCs w:val="24"/>
              </w:rPr>
            </w:pPr>
            <w:r w:rsidRPr="008903D1">
              <w:rPr>
                <w:rFonts w:cs="Times New Roman"/>
                <w:b/>
                <w:szCs w:val="24"/>
              </w:rPr>
              <w:t>Data Categories</w:t>
            </w:r>
          </w:p>
        </w:tc>
        <w:tc>
          <w:tcPr>
            <w:tcW w:w="713" w:type="pct"/>
          </w:tcPr>
          <w:p w14:paraId="37EE5739" w14:textId="77777777" w:rsidR="00374946" w:rsidRPr="008903D1" w:rsidRDefault="00374946" w:rsidP="00763F7C">
            <w:pPr>
              <w:snapToGrid w:val="0"/>
              <w:spacing w:line="240" w:lineRule="auto"/>
              <w:rPr>
                <w:rFonts w:cs="Times New Roman"/>
                <w:b/>
                <w:szCs w:val="24"/>
              </w:rPr>
            </w:pPr>
            <w:r w:rsidRPr="008903D1">
              <w:rPr>
                <w:rFonts w:cs="Times New Roman"/>
                <w:b/>
                <w:szCs w:val="24"/>
              </w:rPr>
              <w:t>Notation</w:t>
            </w:r>
          </w:p>
        </w:tc>
      </w:tr>
      <w:tr w:rsidR="00374946" w:rsidRPr="008903D1" w14:paraId="3A0E45E3" w14:textId="77777777" w:rsidTr="00F7598C">
        <w:trPr>
          <w:trHeight w:val="454"/>
          <w:jc w:val="center"/>
        </w:trPr>
        <w:tc>
          <w:tcPr>
            <w:tcW w:w="4287" w:type="pct"/>
            <w:vAlign w:val="center"/>
          </w:tcPr>
          <w:p w14:paraId="67EB91BA" w14:textId="77777777" w:rsidR="00374946" w:rsidRPr="008903D1" w:rsidRDefault="00374946" w:rsidP="00763F7C">
            <w:pPr>
              <w:snapToGrid w:val="0"/>
              <w:spacing w:before="100" w:beforeAutospacing="1" w:line="240" w:lineRule="auto"/>
              <w:rPr>
                <w:rFonts w:cs="Times New Roman"/>
                <w:szCs w:val="24"/>
              </w:rPr>
            </w:pPr>
            <w:r w:rsidRPr="008903D1">
              <w:rPr>
                <w:rFonts w:cs="Times New Roman"/>
                <w:szCs w:val="24"/>
              </w:rPr>
              <w:t>Numbers of Demand Points served</w:t>
            </w:r>
          </w:p>
        </w:tc>
        <w:tc>
          <w:tcPr>
            <w:tcW w:w="713" w:type="pct"/>
            <w:vAlign w:val="center"/>
          </w:tcPr>
          <w:p w14:paraId="534285A7" w14:textId="77777777" w:rsidR="00374946" w:rsidRPr="008903D1" w:rsidRDefault="00374946" w:rsidP="00763F7C">
            <w:pPr>
              <w:snapToGrid w:val="0"/>
              <w:spacing w:line="240" w:lineRule="auto"/>
              <w:rPr>
                <w:rFonts w:cs="Times New Roman"/>
                <w:i/>
                <w:iCs/>
                <w:szCs w:val="24"/>
              </w:rPr>
            </w:pPr>
            <w:r w:rsidRPr="008903D1">
              <w:rPr>
                <w:rFonts w:cs="Times New Roman"/>
                <w:i/>
                <w:iCs/>
                <w:szCs w:val="24"/>
              </w:rPr>
              <w:t>m</w:t>
            </w:r>
          </w:p>
        </w:tc>
      </w:tr>
      <w:tr w:rsidR="00374946" w:rsidRPr="008903D1" w14:paraId="765CFA4A" w14:textId="77777777" w:rsidTr="00F7598C">
        <w:trPr>
          <w:trHeight w:val="454"/>
          <w:jc w:val="center"/>
        </w:trPr>
        <w:tc>
          <w:tcPr>
            <w:tcW w:w="4287" w:type="pct"/>
            <w:vAlign w:val="center"/>
          </w:tcPr>
          <w:p w14:paraId="509BF6B9" w14:textId="77777777" w:rsidR="00374946" w:rsidRPr="008903D1" w:rsidRDefault="00374946" w:rsidP="00763F7C">
            <w:pPr>
              <w:snapToGrid w:val="0"/>
              <w:spacing w:before="100" w:beforeAutospacing="1" w:line="240" w:lineRule="auto"/>
              <w:rPr>
                <w:rFonts w:cs="Times New Roman"/>
                <w:szCs w:val="24"/>
              </w:rPr>
            </w:pPr>
            <w:r w:rsidRPr="008903D1">
              <w:rPr>
                <w:rFonts w:cs="Times New Roman"/>
                <w:szCs w:val="24"/>
              </w:rPr>
              <w:t>Total Goods Weight transported</w:t>
            </w:r>
          </w:p>
        </w:tc>
        <w:tc>
          <w:tcPr>
            <w:tcW w:w="713" w:type="pct"/>
            <w:vAlign w:val="center"/>
          </w:tcPr>
          <w:p w14:paraId="0A54E835" w14:textId="636AEE2E" w:rsidR="00374946" w:rsidRPr="008903D1" w:rsidRDefault="006B2CFD" w:rsidP="00763F7C">
            <w:pPr>
              <w:snapToGrid w:val="0"/>
              <w:spacing w:line="240" w:lineRule="auto"/>
              <w:rPr>
                <w:rFonts w:cs="Times New Roman"/>
                <w:szCs w:val="24"/>
              </w:rPr>
            </w:pPr>
            <w:r>
              <w:rPr>
                <w:rFonts w:cs="Times New Roman"/>
                <w:noProof/>
                <w:position w:val="-12"/>
                <w:szCs w:val="24"/>
                <w:lang w:eastAsia="en-GB"/>
              </w:rPr>
              <w:drawing>
                <wp:inline distT="0" distB="0" distL="0" distR="0" wp14:anchorId="2738A4B2" wp14:editId="4139D9F2">
                  <wp:extent cx="194310" cy="27368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94310" cy="273685"/>
                          </a:xfrm>
                          <a:prstGeom prst="rect">
                            <a:avLst/>
                          </a:prstGeom>
                          <a:noFill/>
                          <a:ln>
                            <a:noFill/>
                          </a:ln>
                        </pic:spPr>
                      </pic:pic>
                    </a:graphicData>
                  </a:graphic>
                </wp:inline>
              </w:drawing>
            </w:r>
          </w:p>
        </w:tc>
      </w:tr>
      <w:tr w:rsidR="00374946" w:rsidRPr="008903D1" w14:paraId="760887D2" w14:textId="77777777" w:rsidTr="00F7598C">
        <w:trPr>
          <w:trHeight w:val="454"/>
          <w:jc w:val="center"/>
        </w:trPr>
        <w:tc>
          <w:tcPr>
            <w:tcW w:w="4287" w:type="pct"/>
            <w:vAlign w:val="center"/>
          </w:tcPr>
          <w:p w14:paraId="67FADC32" w14:textId="77777777" w:rsidR="00374946" w:rsidRPr="008903D1" w:rsidRDefault="00374946" w:rsidP="00763F7C">
            <w:pPr>
              <w:snapToGrid w:val="0"/>
              <w:spacing w:before="100" w:beforeAutospacing="1" w:line="240" w:lineRule="auto"/>
              <w:rPr>
                <w:rFonts w:cs="Times New Roman"/>
                <w:szCs w:val="24"/>
              </w:rPr>
            </w:pPr>
            <w:r w:rsidRPr="008903D1">
              <w:rPr>
                <w:rFonts w:cs="Times New Roman"/>
                <w:szCs w:val="24"/>
              </w:rPr>
              <w:t>Total Travel Miles</w:t>
            </w:r>
          </w:p>
        </w:tc>
        <w:tc>
          <w:tcPr>
            <w:tcW w:w="713" w:type="pct"/>
            <w:vAlign w:val="center"/>
          </w:tcPr>
          <w:p w14:paraId="1DDE58FC" w14:textId="77777777" w:rsidR="00374946" w:rsidRPr="008903D1" w:rsidRDefault="00374946" w:rsidP="00763F7C">
            <w:pPr>
              <w:snapToGrid w:val="0"/>
              <w:spacing w:line="240" w:lineRule="auto"/>
              <w:rPr>
                <w:rFonts w:cs="Times New Roman"/>
                <w:szCs w:val="24"/>
              </w:rPr>
            </w:pPr>
            <w:proofErr w:type="spellStart"/>
            <w:r w:rsidRPr="008903D1">
              <w:rPr>
                <w:rFonts w:cs="Times New Roman"/>
                <w:i/>
                <w:iCs/>
                <w:szCs w:val="24"/>
              </w:rPr>
              <w:t>l</w:t>
            </w:r>
            <w:r w:rsidRPr="008903D1">
              <w:rPr>
                <w:rFonts w:cs="Times New Roman"/>
                <w:i/>
                <w:iCs/>
                <w:szCs w:val="24"/>
                <w:vertAlign w:val="subscript"/>
              </w:rPr>
              <w:t>j</w:t>
            </w:r>
            <w:proofErr w:type="spellEnd"/>
            <w:r w:rsidRPr="008903D1">
              <w:rPr>
                <w:rFonts w:cs="Times New Roman"/>
                <w:i/>
                <w:iCs/>
                <w:szCs w:val="24"/>
                <w:vertAlign w:val="subscript"/>
              </w:rPr>
              <w:t>.</w:t>
            </w:r>
          </w:p>
        </w:tc>
      </w:tr>
      <w:tr w:rsidR="00374946" w:rsidRPr="008903D1" w14:paraId="48B4A9B4" w14:textId="77777777" w:rsidTr="00F7598C">
        <w:trPr>
          <w:trHeight w:val="454"/>
          <w:jc w:val="center"/>
        </w:trPr>
        <w:tc>
          <w:tcPr>
            <w:tcW w:w="4287" w:type="pct"/>
            <w:vAlign w:val="center"/>
          </w:tcPr>
          <w:p w14:paraId="404F800C" w14:textId="77777777" w:rsidR="00374946" w:rsidRPr="008903D1" w:rsidRDefault="00374946" w:rsidP="00763F7C">
            <w:pPr>
              <w:snapToGrid w:val="0"/>
              <w:spacing w:before="100" w:beforeAutospacing="1" w:line="240" w:lineRule="auto"/>
              <w:rPr>
                <w:rFonts w:cs="Times New Roman"/>
                <w:color w:val="000000" w:themeColor="text1"/>
                <w:szCs w:val="24"/>
              </w:rPr>
            </w:pPr>
            <w:r w:rsidRPr="008903D1">
              <w:rPr>
                <w:rFonts w:cs="Times New Roman"/>
                <w:color w:val="000000" w:themeColor="text1"/>
                <w:szCs w:val="24"/>
              </w:rPr>
              <w:t>Total goods handling time</w:t>
            </w:r>
          </w:p>
        </w:tc>
        <w:tc>
          <w:tcPr>
            <w:tcW w:w="713" w:type="pct"/>
            <w:vAlign w:val="center"/>
          </w:tcPr>
          <w:p w14:paraId="44F01078" w14:textId="5BFA63B8" w:rsidR="00374946" w:rsidRPr="008903D1" w:rsidRDefault="006B2CFD" w:rsidP="00763F7C">
            <w:pPr>
              <w:snapToGrid w:val="0"/>
              <w:spacing w:line="240" w:lineRule="auto"/>
              <w:rPr>
                <w:rFonts w:cs="Times New Roman"/>
                <w:noProof/>
                <w:color w:val="000000" w:themeColor="text1"/>
                <w:szCs w:val="24"/>
              </w:rPr>
            </w:pPr>
            <w:r>
              <w:rPr>
                <w:rFonts w:cs="Times New Roman"/>
                <w:noProof/>
                <w:color w:val="000000" w:themeColor="text1"/>
                <w:position w:val="-12"/>
                <w:szCs w:val="24"/>
                <w:lang w:eastAsia="en-GB"/>
              </w:rPr>
              <w:drawing>
                <wp:inline distT="0" distB="0" distL="0" distR="0" wp14:anchorId="4312FFD4" wp14:editId="51DB0FCF">
                  <wp:extent cx="187325" cy="273685"/>
                  <wp:effectExtent l="0" t="0" r="317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7325" cy="273685"/>
                          </a:xfrm>
                          <a:prstGeom prst="rect">
                            <a:avLst/>
                          </a:prstGeom>
                          <a:noFill/>
                          <a:ln>
                            <a:noFill/>
                          </a:ln>
                        </pic:spPr>
                      </pic:pic>
                    </a:graphicData>
                  </a:graphic>
                </wp:inline>
              </w:drawing>
            </w:r>
          </w:p>
        </w:tc>
      </w:tr>
      <w:tr w:rsidR="00374946" w:rsidRPr="008903D1" w14:paraId="2D6E0A54" w14:textId="77777777" w:rsidTr="00F7598C">
        <w:trPr>
          <w:trHeight w:val="454"/>
          <w:jc w:val="center"/>
        </w:trPr>
        <w:tc>
          <w:tcPr>
            <w:tcW w:w="4287" w:type="pct"/>
            <w:vAlign w:val="center"/>
          </w:tcPr>
          <w:p w14:paraId="55DF3DA0" w14:textId="77777777" w:rsidR="00374946" w:rsidRPr="008903D1" w:rsidRDefault="00374946" w:rsidP="00763F7C">
            <w:pPr>
              <w:snapToGrid w:val="0"/>
              <w:spacing w:before="100" w:beforeAutospacing="1" w:line="240" w:lineRule="auto"/>
              <w:rPr>
                <w:rFonts w:cs="Times New Roman"/>
                <w:szCs w:val="24"/>
              </w:rPr>
            </w:pPr>
            <w:r w:rsidRPr="008903D1">
              <w:rPr>
                <w:rFonts w:cs="Times New Roman"/>
                <w:szCs w:val="24"/>
              </w:rPr>
              <w:t xml:space="preserve">Total driving time </w:t>
            </w:r>
          </w:p>
        </w:tc>
        <w:tc>
          <w:tcPr>
            <w:tcW w:w="713" w:type="pct"/>
            <w:vAlign w:val="center"/>
          </w:tcPr>
          <w:p w14:paraId="704BF7CB" w14:textId="138D094E" w:rsidR="00374946" w:rsidRPr="008903D1" w:rsidRDefault="006B2CFD" w:rsidP="00763F7C">
            <w:pPr>
              <w:snapToGrid w:val="0"/>
              <w:spacing w:line="240" w:lineRule="auto"/>
              <w:rPr>
                <w:rFonts w:cs="Times New Roman"/>
                <w:szCs w:val="24"/>
              </w:rPr>
            </w:pPr>
            <w:r>
              <w:rPr>
                <w:rFonts w:cs="Times New Roman"/>
                <w:noProof/>
                <w:position w:val="-16"/>
                <w:szCs w:val="24"/>
                <w:lang w:eastAsia="en-GB"/>
              </w:rPr>
              <w:drawing>
                <wp:inline distT="0" distB="0" distL="0" distR="0" wp14:anchorId="4AED4693" wp14:editId="1FA83885">
                  <wp:extent cx="187325" cy="273685"/>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7325" cy="273685"/>
                          </a:xfrm>
                          <a:prstGeom prst="rect">
                            <a:avLst/>
                          </a:prstGeom>
                          <a:noFill/>
                          <a:ln>
                            <a:noFill/>
                          </a:ln>
                        </pic:spPr>
                      </pic:pic>
                    </a:graphicData>
                  </a:graphic>
                </wp:inline>
              </w:drawing>
            </w:r>
          </w:p>
        </w:tc>
      </w:tr>
      <w:tr w:rsidR="00374946" w:rsidRPr="008903D1" w14:paraId="487192C8" w14:textId="77777777" w:rsidTr="00F7598C">
        <w:trPr>
          <w:trHeight w:val="359"/>
          <w:jc w:val="center"/>
        </w:trPr>
        <w:tc>
          <w:tcPr>
            <w:tcW w:w="4287" w:type="pct"/>
            <w:vAlign w:val="center"/>
          </w:tcPr>
          <w:p w14:paraId="718EFB6D" w14:textId="77777777" w:rsidR="00374946" w:rsidRPr="008903D1" w:rsidRDefault="00374946" w:rsidP="00763F7C">
            <w:pPr>
              <w:snapToGrid w:val="0"/>
              <w:spacing w:before="100" w:beforeAutospacing="1" w:line="240" w:lineRule="auto"/>
              <w:rPr>
                <w:rFonts w:cs="Times New Roman"/>
                <w:szCs w:val="24"/>
              </w:rPr>
            </w:pPr>
            <w:r w:rsidRPr="008903D1">
              <w:rPr>
                <w:rFonts w:cs="Times New Roman"/>
                <w:szCs w:val="24"/>
              </w:rPr>
              <w:t>Total stopping time</w:t>
            </w:r>
          </w:p>
        </w:tc>
        <w:tc>
          <w:tcPr>
            <w:tcW w:w="713" w:type="pct"/>
            <w:vAlign w:val="center"/>
          </w:tcPr>
          <w:p w14:paraId="1550664F" w14:textId="1F446C2B" w:rsidR="00374946" w:rsidRPr="008903D1" w:rsidRDefault="006B2CFD" w:rsidP="00763F7C">
            <w:pPr>
              <w:snapToGrid w:val="0"/>
              <w:spacing w:line="240" w:lineRule="auto"/>
              <w:rPr>
                <w:rFonts w:cs="Times New Roman"/>
                <w:szCs w:val="24"/>
              </w:rPr>
            </w:pPr>
            <w:r>
              <w:rPr>
                <w:rFonts w:cs="Times New Roman"/>
                <w:noProof/>
                <w:position w:val="-16"/>
                <w:szCs w:val="24"/>
                <w:lang w:eastAsia="en-GB"/>
              </w:rPr>
              <w:drawing>
                <wp:inline distT="0" distB="0" distL="0" distR="0" wp14:anchorId="0BB95816" wp14:editId="49B426E1">
                  <wp:extent cx="273685" cy="27368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3685" cy="273685"/>
                          </a:xfrm>
                          <a:prstGeom prst="rect">
                            <a:avLst/>
                          </a:prstGeom>
                          <a:noFill/>
                          <a:ln>
                            <a:noFill/>
                          </a:ln>
                        </pic:spPr>
                      </pic:pic>
                    </a:graphicData>
                  </a:graphic>
                </wp:inline>
              </w:drawing>
            </w:r>
          </w:p>
        </w:tc>
      </w:tr>
    </w:tbl>
    <w:p w14:paraId="4818D155" w14:textId="279F075A" w:rsidR="00374946" w:rsidRPr="00737239" w:rsidRDefault="007B5959" w:rsidP="000A4E8C">
      <w:pPr>
        <w:pStyle w:val="Caption"/>
        <w:spacing w:after="0" w:line="360" w:lineRule="auto"/>
        <w:rPr>
          <w:rFonts w:cs="Times New Roman"/>
        </w:rPr>
      </w:pPr>
      <w:bookmarkStart w:id="1163" w:name="_Ref34734203"/>
      <w:bookmarkStart w:id="1164" w:name="_Toc34675000"/>
      <w:bookmarkStart w:id="1165" w:name="_Toc34734792"/>
      <w:bookmarkStart w:id="1166" w:name="_Toc46053605"/>
      <w:bookmarkStart w:id="1167" w:name="_Toc46093854"/>
      <w:bookmarkStart w:id="1168" w:name="_Toc66698821"/>
      <w:r>
        <w:rPr>
          <w:rFonts w:cs="Times New Roman"/>
        </w:rPr>
        <w:t>Table</w:t>
      </w:r>
      <w:r w:rsidR="00374946" w:rsidRPr="00737239">
        <w:rPr>
          <w:rFonts w:cs="Times New Roman"/>
        </w:rPr>
        <w:t xml:space="preserve"> </w:t>
      </w:r>
      <w:r w:rsidR="00FE10DA">
        <w:rPr>
          <w:rFonts w:cs="Times New Roman"/>
        </w:rPr>
        <w:fldChar w:fldCharType="begin"/>
      </w:r>
      <w:r w:rsidR="00FE10DA">
        <w:rPr>
          <w:rFonts w:cs="Times New Roman"/>
        </w:rPr>
        <w:instrText xml:space="preserve"> STYLEREF 1 \s </w:instrText>
      </w:r>
      <w:r w:rsidR="00FE10DA">
        <w:rPr>
          <w:rFonts w:cs="Times New Roman"/>
        </w:rPr>
        <w:fldChar w:fldCharType="separate"/>
      </w:r>
      <w:r w:rsidR="0005064B">
        <w:rPr>
          <w:rFonts w:cs="Times New Roman"/>
          <w:noProof/>
        </w:rPr>
        <w:t>8</w:t>
      </w:r>
      <w:r w:rsidR="00FE10DA">
        <w:rPr>
          <w:rFonts w:cs="Times New Roman"/>
        </w:rPr>
        <w:fldChar w:fldCharType="end"/>
      </w:r>
      <w:r w:rsidR="00FE10DA">
        <w:rPr>
          <w:rFonts w:cs="Times New Roman"/>
        </w:rPr>
        <w:noBreakHyphen/>
      </w:r>
      <w:r w:rsidR="00FE10DA">
        <w:rPr>
          <w:rFonts w:cs="Times New Roman"/>
        </w:rPr>
        <w:fldChar w:fldCharType="begin"/>
      </w:r>
      <w:r w:rsidR="00FE10DA">
        <w:rPr>
          <w:rFonts w:cs="Times New Roman"/>
        </w:rPr>
        <w:instrText xml:space="preserve"> SEQ Table \* ARABIC \s 1 </w:instrText>
      </w:r>
      <w:r w:rsidR="00FE10DA">
        <w:rPr>
          <w:rFonts w:cs="Times New Roman"/>
        </w:rPr>
        <w:fldChar w:fldCharType="separate"/>
      </w:r>
      <w:r w:rsidR="0005064B">
        <w:rPr>
          <w:rFonts w:cs="Times New Roman"/>
          <w:noProof/>
        </w:rPr>
        <w:t>3</w:t>
      </w:r>
      <w:r w:rsidR="00FE10DA">
        <w:rPr>
          <w:rFonts w:cs="Times New Roman"/>
        </w:rPr>
        <w:fldChar w:fldCharType="end"/>
      </w:r>
      <w:bookmarkEnd w:id="1163"/>
      <w:r w:rsidR="004D6792">
        <w:rPr>
          <w:rFonts w:cs="Times New Roman"/>
        </w:rPr>
        <w:t>:</w:t>
      </w:r>
      <w:r w:rsidR="00374946" w:rsidRPr="008903D1">
        <w:rPr>
          <w:rFonts w:cs="Times New Roman"/>
        </w:rPr>
        <w:t xml:space="preserve"> Key Performance Indicators from the Routing Planning Module</w:t>
      </w:r>
      <w:bookmarkEnd w:id="1164"/>
      <w:bookmarkEnd w:id="1165"/>
      <w:bookmarkEnd w:id="1166"/>
      <w:bookmarkEnd w:id="1167"/>
      <w:bookmarkEnd w:id="1168"/>
    </w:p>
    <w:p w14:paraId="7B237913" w14:textId="0F360499" w:rsidR="00374946" w:rsidRPr="00802DC5" w:rsidRDefault="00374946" w:rsidP="000A4E8C">
      <w:pPr>
        <w:pStyle w:val="Heading3"/>
        <w:spacing w:line="360" w:lineRule="auto"/>
        <w:rPr>
          <w:rFonts w:cs="Times New Roman"/>
        </w:rPr>
      </w:pPr>
      <w:bookmarkStart w:id="1169" w:name="_Toc34734583"/>
      <w:bookmarkStart w:id="1170" w:name="_Toc46053504"/>
      <w:bookmarkStart w:id="1171" w:name="_Toc46093418"/>
      <w:bookmarkStart w:id="1172" w:name="_Toc46093701"/>
      <w:bookmarkStart w:id="1173" w:name="_Toc66703276"/>
      <w:r w:rsidRPr="00802DC5">
        <w:rPr>
          <w:rStyle w:val="Heading3Char"/>
          <w:rFonts w:cs="Times New Roman"/>
          <w:b/>
          <w:bCs/>
          <w:i/>
        </w:rPr>
        <w:t xml:space="preserve">Financial </w:t>
      </w:r>
      <w:r w:rsidR="00F43E78">
        <w:rPr>
          <w:rStyle w:val="Heading3Char"/>
          <w:rFonts w:cs="Times New Roman"/>
          <w:b/>
          <w:bCs/>
          <w:i/>
        </w:rPr>
        <w:t>e</w:t>
      </w:r>
      <w:r w:rsidR="00F43E78" w:rsidRPr="00802DC5">
        <w:rPr>
          <w:rStyle w:val="Heading3Char"/>
          <w:rFonts w:cs="Times New Roman"/>
          <w:b/>
          <w:bCs/>
          <w:i/>
        </w:rPr>
        <w:t xml:space="preserve">valuation </w:t>
      </w:r>
      <w:bookmarkEnd w:id="1169"/>
      <w:bookmarkEnd w:id="1170"/>
      <w:bookmarkEnd w:id="1171"/>
      <w:bookmarkEnd w:id="1172"/>
      <w:r w:rsidR="00F43E78">
        <w:rPr>
          <w:rStyle w:val="Heading3Char"/>
          <w:rFonts w:cs="Times New Roman"/>
          <w:b/>
          <w:bCs/>
          <w:i/>
        </w:rPr>
        <w:t>m</w:t>
      </w:r>
      <w:r w:rsidR="00F43E78" w:rsidRPr="00802DC5">
        <w:rPr>
          <w:rStyle w:val="Heading3Char"/>
          <w:rFonts w:cs="Times New Roman"/>
          <w:b/>
          <w:bCs/>
          <w:i/>
        </w:rPr>
        <w:t>odule</w:t>
      </w:r>
      <w:bookmarkEnd w:id="1173"/>
    </w:p>
    <w:p w14:paraId="1AE8CDE2" w14:textId="77777777" w:rsidR="00374946" w:rsidRPr="008903D1" w:rsidRDefault="00374946" w:rsidP="007548C6">
      <w:pPr>
        <w:spacing w:after="240" w:line="360" w:lineRule="auto"/>
        <w:rPr>
          <w:rFonts w:eastAsia="Calibri" w:cs="Times New Roman"/>
          <w:szCs w:val="24"/>
        </w:rPr>
      </w:pPr>
      <w:r w:rsidRPr="008903D1">
        <w:rPr>
          <w:rFonts w:eastAsia="Calibri" w:cs="Times New Roman"/>
          <w:szCs w:val="24"/>
        </w:rPr>
        <w:t xml:space="preserve">An important aspect of the DSS is the generation of an analysis report which can allow the user to decide whether the planned UCC is financially sustainable (in terms of cost-effectiveness) when placed in a specific location. </w:t>
      </w:r>
    </w:p>
    <w:p w14:paraId="581A69AB" w14:textId="6B7C13A0" w:rsidR="00374946" w:rsidRPr="008903D1" w:rsidRDefault="00374946" w:rsidP="007548C6">
      <w:pPr>
        <w:spacing w:after="240" w:line="360" w:lineRule="auto"/>
        <w:rPr>
          <w:rFonts w:cs="Times New Roman"/>
          <w:szCs w:val="24"/>
        </w:rPr>
      </w:pPr>
      <w:r w:rsidRPr="008903D1">
        <w:rPr>
          <w:rFonts w:cs="Times New Roman"/>
          <w:szCs w:val="24"/>
        </w:rPr>
        <w:lastRenderedPageBreak/>
        <w:t xml:space="preserve">The input parameters provided in the “Facility Planning” module, and the data generated by the “Routing Planning” one will be processed in the “Financial Evaluation” module, </w:t>
      </w:r>
      <w:proofErr w:type="gramStart"/>
      <w:r w:rsidRPr="008903D1">
        <w:rPr>
          <w:rFonts w:cs="Times New Roman"/>
          <w:szCs w:val="24"/>
        </w:rPr>
        <w:t>in order to</w:t>
      </w:r>
      <w:proofErr w:type="gramEnd"/>
      <w:r w:rsidRPr="008903D1">
        <w:rPr>
          <w:rFonts w:cs="Times New Roman"/>
          <w:szCs w:val="24"/>
        </w:rPr>
        <w:t xml:space="preserve"> get an idea about the total overall cost which might be associated with the opening of an UCC in a given location. The following </w:t>
      </w:r>
      <w:r w:rsidRPr="00737239">
        <w:rPr>
          <w:rFonts w:cs="Times New Roman"/>
          <w:szCs w:val="24"/>
        </w:rPr>
        <w:fldChar w:fldCharType="begin"/>
      </w:r>
      <w:r w:rsidRPr="008903D1">
        <w:rPr>
          <w:rFonts w:cs="Times New Roman"/>
          <w:szCs w:val="24"/>
        </w:rPr>
        <w:instrText xml:space="preserve"> REF _Ref34734221 \h </w:instrText>
      </w:r>
      <w:r w:rsidR="008903D1">
        <w:rPr>
          <w:rFonts w:cs="Times New Roman"/>
          <w:szCs w:val="24"/>
        </w:rPr>
        <w:instrText xml:space="preserve"> \* MERGEFORMAT </w:instrText>
      </w:r>
      <w:r w:rsidRPr="00737239">
        <w:rPr>
          <w:rFonts w:cs="Times New Roman"/>
          <w:szCs w:val="24"/>
        </w:rPr>
      </w:r>
      <w:r w:rsidRPr="00737239">
        <w:rPr>
          <w:rFonts w:cs="Times New Roman"/>
          <w:szCs w:val="24"/>
        </w:rPr>
        <w:fldChar w:fldCharType="separate"/>
      </w:r>
      <w:r w:rsidR="0005064B" w:rsidRPr="00737239">
        <w:rPr>
          <w:rFonts w:cs="Times New Roman"/>
        </w:rPr>
        <w:t xml:space="preserve">Figure </w:t>
      </w:r>
      <w:r w:rsidR="0005064B">
        <w:rPr>
          <w:rFonts w:cs="Times New Roman"/>
        </w:rPr>
        <w:t>8</w:t>
      </w:r>
      <w:r w:rsidR="0005064B">
        <w:rPr>
          <w:rFonts w:cs="Times New Roman"/>
        </w:rPr>
        <w:noBreakHyphen/>
        <w:t>5</w:t>
      </w:r>
      <w:r w:rsidRPr="00737239">
        <w:rPr>
          <w:rFonts w:cs="Times New Roman"/>
          <w:szCs w:val="24"/>
        </w:rPr>
        <w:fldChar w:fldCharType="end"/>
      </w:r>
      <w:r w:rsidRPr="008903D1">
        <w:rPr>
          <w:rFonts w:cs="Times New Roman"/>
          <w:szCs w:val="24"/>
        </w:rPr>
        <w:t xml:space="preserve"> displays the users’ interface (UI) of the Financial Evaluation Tool.</w:t>
      </w:r>
    </w:p>
    <w:p w14:paraId="32F2A310" w14:textId="24111F2C" w:rsidR="00374946" w:rsidRPr="008903D1" w:rsidRDefault="00374946" w:rsidP="007548C6">
      <w:pPr>
        <w:spacing w:after="240" w:line="360" w:lineRule="auto"/>
        <w:rPr>
          <w:rFonts w:cs="Times New Roman"/>
          <w:szCs w:val="24"/>
        </w:rPr>
      </w:pPr>
      <w:r w:rsidRPr="008903D1">
        <w:rPr>
          <w:rFonts w:cs="Times New Roman"/>
          <w:szCs w:val="24"/>
        </w:rPr>
        <w:t xml:space="preserve">The data processing of the “Financial Evaluation Tool” can be divided in to three steps (see </w:t>
      </w:r>
      <w:r w:rsidRPr="00737239">
        <w:rPr>
          <w:rFonts w:cs="Times New Roman"/>
          <w:szCs w:val="24"/>
        </w:rPr>
        <w:fldChar w:fldCharType="begin"/>
      </w:r>
      <w:r w:rsidRPr="008903D1">
        <w:rPr>
          <w:rFonts w:cs="Times New Roman"/>
          <w:szCs w:val="24"/>
        </w:rPr>
        <w:instrText xml:space="preserve"> REF _Ref34734236 \h </w:instrText>
      </w:r>
      <w:r w:rsidR="008903D1">
        <w:rPr>
          <w:rFonts w:cs="Times New Roman"/>
          <w:szCs w:val="24"/>
        </w:rPr>
        <w:instrText xml:space="preserve"> \* MERGEFORMAT </w:instrText>
      </w:r>
      <w:r w:rsidRPr="00737239">
        <w:rPr>
          <w:rFonts w:cs="Times New Roman"/>
          <w:szCs w:val="24"/>
        </w:rPr>
      </w:r>
      <w:r w:rsidRPr="00737239">
        <w:rPr>
          <w:rFonts w:cs="Times New Roman"/>
          <w:szCs w:val="24"/>
        </w:rPr>
        <w:fldChar w:fldCharType="separate"/>
      </w:r>
      <w:r w:rsidR="0005064B" w:rsidRPr="0005064B">
        <w:rPr>
          <w:rFonts w:cs="Times New Roman"/>
        </w:rPr>
        <w:t>Figure 8</w:t>
      </w:r>
      <w:r w:rsidR="0005064B" w:rsidRPr="0005064B">
        <w:rPr>
          <w:rFonts w:cs="Times New Roman"/>
        </w:rPr>
        <w:noBreakHyphen/>
        <w:t>6</w:t>
      </w:r>
      <w:r w:rsidRPr="00737239">
        <w:rPr>
          <w:rFonts w:cs="Times New Roman"/>
          <w:szCs w:val="24"/>
        </w:rPr>
        <w:fldChar w:fldCharType="end"/>
      </w:r>
      <w:r w:rsidRPr="008903D1">
        <w:rPr>
          <w:rFonts w:cs="Times New Roman"/>
          <w:szCs w:val="24"/>
        </w:rPr>
        <w:t xml:space="preserve">). In the first step, the software will transfer the data generated by the “Location Routing Planning” module into the panel of “Planning Results” of the UI. In the second step, the UCC planner will input the values of certain parameters into the control panel (such as the cost charged to users per parcel). In the last step, the DSS will calculate the values of total cost and incomes. The cost associated with each logistics activities, in terms of “Cost of goods handling at UCC”, “Cost of Last-mile delivery” and “Cost of goods receipt” will also be displayed in this module. The classification and calculation of the UCC cost is performed according to the formula in Chapter 4 that are embedded into this module. </w:t>
      </w:r>
    </w:p>
    <w:p w14:paraId="216678D4" w14:textId="77777777" w:rsidR="00374946" w:rsidRPr="008903D1" w:rsidRDefault="00374946" w:rsidP="000A4E8C">
      <w:pPr>
        <w:spacing w:line="360" w:lineRule="auto"/>
        <w:jc w:val="center"/>
        <w:rPr>
          <w:rFonts w:cs="Times New Roman"/>
          <w:szCs w:val="24"/>
        </w:rPr>
      </w:pPr>
      <w:r w:rsidRPr="008903D1">
        <w:rPr>
          <w:rFonts w:cs="Times New Roman"/>
          <w:noProof/>
          <w:szCs w:val="24"/>
          <w:lang w:eastAsia="en-GB"/>
        </w:rPr>
        <w:drawing>
          <wp:inline distT="0" distB="0" distL="0" distR="0" wp14:anchorId="2622E5AF" wp14:editId="23D23F52">
            <wp:extent cx="5251350" cy="3027145"/>
            <wp:effectExtent l="0" t="0" r="6985" b="1905"/>
            <wp:docPr id="27" name="Picture 2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9 - Cost_Analysis.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274223" cy="3040330"/>
                    </a:xfrm>
                    <a:prstGeom prst="rect">
                      <a:avLst/>
                    </a:prstGeom>
                  </pic:spPr>
                </pic:pic>
              </a:graphicData>
            </a:graphic>
          </wp:inline>
        </w:drawing>
      </w:r>
    </w:p>
    <w:p w14:paraId="73361296" w14:textId="1BE0540A" w:rsidR="00374946" w:rsidRPr="00737239" w:rsidRDefault="00374946" w:rsidP="000A4E8C">
      <w:pPr>
        <w:pStyle w:val="Caption"/>
        <w:spacing w:after="0" w:line="360" w:lineRule="auto"/>
        <w:rPr>
          <w:rFonts w:cs="Times New Roman"/>
        </w:rPr>
      </w:pPr>
      <w:bookmarkStart w:id="1174" w:name="_Ref34734221"/>
      <w:bookmarkStart w:id="1175" w:name="_Toc34675047"/>
      <w:bookmarkStart w:id="1176" w:name="_Toc34734839"/>
      <w:bookmarkStart w:id="1177" w:name="_Toc46053709"/>
      <w:bookmarkStart w:id="1178" w:name="_Toc66698740"/>
      <w:r w:rsidRPr="00737239">
        <w:rPr>
          <w:rFonts w:cs="Times New Roman"/>
        </w:rPr>
        <w:t xml:space="preserve">Figure </w:t>
      </w:r>
      <w:r w:rsidR="00632993">
        <w:rPr>
          <w:rFonts w:cs="Times New Roman"/>
        </w:rPr>
        <w:fldChar w:fldCharType="begin"/>
      </w:r>
      <w:r w:rsidR="00632993">
        <w:rPr>
          <w:rFonts w:cs="Times New Roman"/>
        </w:rPr>
        <w:instrText xml:space="preserve"> STYLEREF 1 \s </w:instrText>
      </w:r>
      <w:r w:rsidR="00632993">
        <w:rPr>
          <w:rFonts w:cs="Times New Roman"/>
        </w:rPr>
        <w:fldChar w:fldCharType="separate"/>
      </w:r>
      <w:r w:rsidR="0005064B">
        <w:rPr>
          <w:rFonts w:cs="Times New Roman"/>
          <w:noProof/>
        </w:rPr>
        <w:t>8</w:t>
      </w:r>
      <w:r w:rsidR="00632993">
        <w:rPr>
          <w:rFonts w:cs="Times New Roman"/>
        </w:rPr>
        <w:fldChar w:fldCharType="end"/>
      </w:r>
      <w:r w:rsidR="00632993">
        <w:rPr>
          <w:rFonts w:cs="Times New Roman"/>
        </w:rPr>
        <w:noBreakHyphen/>
      </w:r>
      <w:r w:rsidR="00632993">
        <w:rPr>
          <w:rFonts w:cs="Times New Roman"/>
        </w:rPr>
        <w:fldChar w:fldCharType="begin"/>
      </w:r>
      <w:r w:rsidR="00632993">
        <w:rPr>
          <w:rFonts w:cs="Times New Roman"/>
        </w:rPr>
        <w:instrText xml:space="preserve"> SEQ Figure \* ARABIC \s 1 </w:instrText>
      </w:r>
      <w:r w:rsidR="00632993">
        <w:rPr>
          <w:rFonts w:cs="Times New Roman"/>
        </w:rPr>
        <w:fldChar w:fldCharType="separate"/>
      </w:r>
      <w:r w:rsidR="0005064B">
        <w:rPr>
          <w:rFonts w:cs="Times New Roman"/>
          <w:noProof/>
        </w:rPr>
        <w:t>5</w:t>
      </w:r>
      <w:r w:rsidR="00632993">
        <w:rPr>
          <w:rFonts w:cs="Times New Roman"/>
        </w:rPr>
        <w:fldChar w:fldCharType="end"/>
      </w:r>
      <w:bookmarkEnd w:id="1174"/>
      <w:r w:rsidR="00494842">
        <w:rPr>
          <w:rFonts w:cs="Times New Roman"/>
        </w:rPr>
        <w:t>:</w:t>
      </w:r>
      <w:r w:rsidRPr="008903D1">
        <w:rPr>
          <w:rFonts w:cs="Times New Roman"/>
        </w:rPr>
        <w:t xml:space="preserve"> Financial Evaluation User Interface</w:t>
      </w:r>
      <w:bookmarkEnd w:id="1175"/>
      <w:bookmarkEnd w:id="1176"/>
      <w:bookmarkEnd w:id="1177"/>
      <w:bookmarkEnd w:id="1178"/>
    </w:p>
    <w:p w14:paraId="7C73FFD2" w14:textId="77777777" w:rsidR="00374946" w:rsidRPr="008903D1" w:rsidRDefault="00374946" w:rsidP="000A4E8C">
      <w:pPr>
        <w:spacing w:line="360" w:lineRule="auto"/>
        <w:jc w:val="center"/>
        <w:rPr>
          <w:rFonts w:cs="Times New Roman"/>
          <w:szCs w:val="24"/>
        </w:rPr>
      </w:pPr>
      <w:r w:rsidRPr="008903D1">
        <w:rPr>
          <w:rFonts w:eastAsia="Times New Roman" w:cs="Times New Roman"/>
          <w:noProof/>
          <w:kern w:val="2"/>
          <w:szCs w:val="24"/>
          <w:lang w:eastAsia="en-GB"/>
        </w:rPr>
        <w:lastRenderedPageBreak/>
        <w:drawing>
          <wp:inline distT="0" distB="0" distL="0" distR="0" wp14:anchorId="53D3F0F9" wp14:editId="5F8E7321">
            <wp:extent cx="5242960" cy="3596185"/>
            <wp:effectExtent l="0" t="0" r="0" b="4445"/>
            <wp:docPr id="224" name="Picture 22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st-Avenues.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249678" cy="3600793"/>
                    </a:xfrm>
                    <a:prstGeom prst="rect">
                      <a:avLst/>
                    </a:prstGeom>
                  </pic:spPr>
                </pic:pic>
              </a:graphicData>
            </a:graphic>
          </wp:inline>
        </w:drawing>
      </w:r>
    </w:p>
    <w:p w14:paraId="092A1AE5" w14:textId="33B6F50A" w:rsidR="00374946" w:rsidRDefault="00374946" w:rsidP="00820D60">
      <w:pPr>
        <w:pStyle w:val="Caption"/>
        <w:spacing w:before="0" w:after="0"/>
      </w:pPr>
      <w:bookmarkStart w:id="1179" w:name="_Ref34734236"/>
      <w:bookmarkStart w:id="1180" w:name="_Toc34675048"/>
      <w:bookmarkStart w:id="1181" w:name="_Toc34734840"/>
      <w:bookmarkStart w:id="1182" w:name="_Toc46053710"/>
      <w:bookmarkStart w:id="1183" w:name="_Toc66698741"/>
      <w:r w:rsidRPr="00820D60">
        <w:t xml:space="preserve">Figure </w:t>
      </w:r>
      <w:r w:rsidR="000306D9">
        <w:fldChar w:fldCharType="begin"/>
      </w:r>
      <w:r w:rsidR="000306D9">
        <w:instrText xml:space="preserve"> STYLEREF 1 \s </w:instrText>
      </w:r>
      <w:r w:rsidR="000306D9">
        <w:fldChar w:fldCharType="separate"/>
      </w:r>
      <w:r w:rsidR="0005064B">
        <w:rPr>
          <w:noProof/>
        </w:rPr>
        <w:t>8</w:t>
      </w:r>
      <w:r w:rsidR="000306D9">
        <w:rPr>
          <w:noProof/>
        </w:rPr>
        <w:fldChar w:fldCharType="end"/>
      </w:r>
      <w:r w:rsidR="00632993">
        <w:noBreakHyphen/>
      </w:r>
      <w:r w:rsidR="000306D9">
        <w:fldChar w:fldCharType="begin"/>
      </w:r>
      <w:r w:rsidR="000306D9">
        <w:instrText xml:space="preserve"> SEQ Figure \* ARABIC \s 1 </w:instrText>
      </w:r>
      <w:r w:rsidR="000306D9">
        <w:fldChar w:fldCharType="separate"/>
      </w:r>
      <w:r w:rsidR="0005064B">
        <w:rPr>
          <w:noProof/>
        </w:rPr>
        <w:t>6</w:t>
      </w:r>
      <w:r w:rsidR="000306D9">
        <w:rPr>
          <w:noProof/>
        </w:rPr>
        <w:fldChar w:fldCharType="end"/>
      </w:r>
      <w:bookmarkEnd w:id="1179"/>
      <w:r w:rsidR="00494842">
        <w:t>:</w:t>
      </w:r>
      <w:r w:rsidRPr="00820D60">
        <w:t xml:space="preserve"> Financial Evaluation Calculation Process</w:t>
      </w:r>
      <w:bookmarkEnd w:id="1180"/>
      <w:bookmarkEnd w:id="1181"/>
      <w:bookmarkEnd w:id="1182"/>
      <w:bookmarkEnd w:id="1183"/>
    </w:p>
    <w:p w14:paraId="2FACC53E" w14:textId="5001F391" w:rsidR="006E5AF9" w:rsidRPr="00AE6CFB" w:rsidRDefault="006E5AF9" w:rsidP="00AE6CFB">
      <w:pPr>
        <w:pStyle w:val="CommentText"/>
        <w:spacing w:line="360" w:lineRule="auto"/>
        <w:rPr>
          <w:sz w:val="24"/>
          <w:szCs w:val="24"/>
        </w:rPr>
      </w:pPr>
      <w:r w:rsidRPr="00AE6CFB">
        <w:rPr>
          <w:sz w:val="24"/>
          <w:szCs w:val="24"/>
        </w:rPr>
        <w:t xml:space="preserve">Such software can estimate the values of income and gross profit that under different UCC configuration. The output result based on the data from decision-making software can display the values of fixed cost and variable cost which would generate in the UCC. Furthermore, the cost component related goods moving process will be presented, in terms of in-facility cost last-mile delivery cost and goods receipt cost. Thereby, it can support the planner to understand the financial feasibility of UCC as early as planning phase. </w:t>
      </w:r>
    </w:p>
    <w:p w14:paraId="2F56838E" w14:textId="0F5AB117" w:rsidR="00374946" w:rsidRPr="00802DC5" w:rsidRDefault="00374946" w:rsidP="000A4E8C">
      <w:pPr>
        <w:pStyle w:val="Heading3"/>
        <w:spacing w:line="360" w:lineRule="auto"/>
        <w:rPr>
          <w:rFonts w:cs="Times New Roman"/>
        </w:rPr>
      </w:pPr>
      <w:bookmarkStart w:id="1184" w:name="_Toc34734584"/>
      <w:bookmarkStart w:id="1185" w:name="_Toc46053505"/>
      <w:bookmarkStart w:id="1186" w:name="_Toc46093419"/>
      <w:bookmarkStart w:id="1187" w:name="_Toc46093702"/>
      <w:bookmarkStart w:id="1188" w:name="_Toc66703277"/>
      <w:r w:rsidRPr="00802DC5">
        <w:rPr>
          <w:rFonts w:cs="Times New Roman"/>
        </w:rPr>
        <w:t xml:space="preserve">Outputs and </w:t>
      </w:r>
      <w:r w:rsidR="00F43E78">
        <w:rPr>
          <w:rFonts w:cs="Times New Roman"/>
        </w:rPr>
        <w:t>d</w:t>
      </w:r>
      <w:r w:rsidR="00F43E78" w:rsidRPr="00802DC5">
        <w:rPr>
          <w:rFonts w:cs="Times New Roman"/>
        </w:rPr>
        <w:t xml:space="preserve">ecisions </w:t>
      </w:r>
      <w:bookmarkEnd w:id="1184"/>
      <w:bookmarkEnd w:id="1185"/>
      <w:bookmarkEnd w:id="1186"/>
      <w:bookmarkEnd w:id="1187"/>
      <w:proofErr w:type="gramStart"/>
      <w:r w:rsidR="00F43E78">
        <w:rPr>
          <w:rFonts w:cs="Times New Roman"/>
        </w:rPr>
        <w:t>s</w:t>
      </w:r>
      <w:r w:rsidR="00F43E78" w:rsidRPr="00802DC5">
        <w:rPr>
          <w:rFonts w:cs="Times New Roman"/>
        </w:rPr>
        <w:t>upported</w:t>
      </w:r>
      <w:bookmarkEnd w:id="1188"/>
      <w:proofErr w:type="gramEnd"/>
    </w:p>
    <w:p w14:paraId="2501B98D" w14:textId="77777777" w:rsidR="00374946" w:rsidRPr="008903D1" w:rsidRDefault="00374946" w:rsidP="007548C6">
      <w:pPr>
        <w:spacing w:after="240" w:line="360" w:lineRule="auto"/>
        <w:rPr>
          <w:rFonts w:eastAsia="Calibri" w:cs="Times New Roman"/>
          <w:szCs w:val="24"/>
        </w:rPr>
      </w:pPr>
      <w:r w:rsidRPr="008903D1">
        <w:rPr>
          <w:rFonts w:eastAsia="Calibri" w:cs="Times New Roman"/>
          <w:szCs w:val="24"/>
        </w:rPr>
        <w:t>Based on the current architecture, the DSS provides support against all the following decisions:</w:t>
      </w:r>
    </w:p>
    <w:p w14:paraId="4E381D54" w14:textId="77777777" w:rsidR="00374946" w:rsidRPr="008903D1" w:rsidRDefault="00374946" w:rsidP="00A323CC">
      <w:pPr>
        <w:pStyle w:val="ListParagraph"/>
        <w:numPr>
          <w:ilvl w:val="0"/>
          <w:numId w:val="28"/>
        </w:numPr>
        <w:spacing w:after="240" w:line="360" w:lineRule="auto"/>
        <w:rPr>
          <w:rFonts w:eastAsia="Calibri" w:cs="Times New Roman"/>
          <w:szCs w:val="24"/>
        </w:rPr>
      </w:pPr>
      <w:r w:rsidRPr="008903D1">
        <w:rPr>
          <w:rFonts w:eastAsia="Calibri" w:cs="Times New Roman"/>
          <w:i/>
          <w:szCs w:val="24"/>
        </w:rPr>
        <w:t>Use of UCC vs Direct Shipping</w:t>
      </w:r>
      <w:r w:rsidRPr="008903D1">
        <w:rPr>
          <w:rFonts w:eastAsia="Calibri" w:cs="Times New Roman"/>
          <w:szCs w:val="24"/>
        </w:rPr>
        <w:t xml:space="preserve">. The user can check what is the advantage of using a UCC for deliveries in an urban area or allowing direct shipping from carriers. In the first case, the base can be placed </w:t>
      </w:r>
      <w:proofErr w:type="gramStart"/>
      <w:r w:rsidRPr="008903D1">
        <w:rPr>
          <w:rFonts w:eastAsia="Calibri" w:cs="Times New Roman"/>
          <w:szCs w:val="24"/>
        </w:rPr>
        <w:t>in the area of</w:t>
      </w:r>
      <w:proofErr w:type="gramEnd"/>
      <w:r w:rsidRPr="008903D1">
        <w:rPr>
          <w:rFonts w:eastAsia="Calibri" w:cs="Times New Roman"/>
          <w:szCs w:val="24"/>
        </w:rPr>
        <w:t xml:space="preserve"> interest within the urban context. In the second case, the base can be placed at the boundary of the </w:t>
      </w:r>
      <w:r w:rsidRPr="008903D1">
        <w:rPr>
          <w:rFonts w:eastAsia="Calibri" w:cs="Times New Roman"/>
          <w:szCs w:val="24"/>
        </w:rPr>
        <w:lastRenderedPageBreak/>
        <w:t xml:space="preserve">urban area so to model the scenario of direct shipping. </w:t>
      </w:r>
      <w:proofErr w:type="gramStart"/>
      <w:r w:rsidRPr="008903D1">
        <w:rPr>
          <w:rFonts w:eastAsia="Calibri" w:cs="Times New Roman"/>
          <w:szCs w:val="24"/>
        </w:rPr>
        <w:t>In order to</w:t>
      </w:r>
      <w:proofErr w:type="gramEnd"/>
      <w:r w:rsidRPr="008903D1">
        <w:rPr>
          <w:rFonts w:eastAsia="Calibri" w:cs="Times New Roman"/>
          <w:szCs w:val="24"/>
        </w:rPr>
        <w:t xml:space="preserve"> acquire the data necessary to compare the two scenarios, the user can generate a set of logistic points that are identical in both scenarios. This can be done by importing a </w:t>
      </w:r>
      <w:proofErr w:type="spellStart"/>
      <w:r w:rsidRPr="008903D1">
        <w:rPr>
          <w:rFonts w:eastAsia="Calibri" w:cs="Times New Roman"/>
          <w:i/>
          <w:szCs w:val="24"/>
        </w:rPr>
        <w:t>geojson</w:t>
      </w:r>
      <w:proofErr w:type="spellEnd"/>
      <w:r w:rsidRPr="008903D1">
        <w:rPr>
          <w:rFonts w:eastAsia="Calibri" w:cs="Times New Roman"/>
          <w:szCs w:val="24"/>
        </w:rPr>
        <w:t xml:space="preserve"> file from OpenStreetMap, for instance. In the case some demand points are not imported in a proper way (</w:t>
      </w:r>
      <w:proofErr w:type="gramStart"/>
      <w:r w:rsidRPr="008903D1">
        <w:rPr>
          <w:rFonts w:eastAsia="Calibri" w:cs="Times New Roman"/>
          <w:szCs w:val="24"/>
        </w:rPr>
        <w:t>e.g.</w:t>
      </w:r>
      <w:proofErr w:type="gramEnd"/>
      <w:r w:rsidRPr="008903D1">
        <w:rPr>
          <w:rFonts w:eastAsia="Calibri" w:cs="Times New Roman"/>
          <w:szCs w:val="24"/>
        </w:rPr>
        <w:t xml:space="preserve"> missing name), they can be manually edited in order to create a working context. Then, a fleet and a set of logistic orders can be created at random. Finally, the planning results can be used to derive measures to be used to compare the costs associated with the first scenario (UCC) with the second one (no UCC).</w:t>
      </w:r>
    </w:p>
    <w:p w14:paraId="59CA07D1" w14:textId="77777777" w:rsidR="00374946" w:rsidRPr="008903D1" w:rsidRDefault="00374946" w:rsidP="00A323CC">
      <w:pPr>
        <w:pStyle w:val="ListParagraph"/>
        <w:numPr>
          <w:ilvl w:val="0"/>
          <w:numId w:val="28"/>
        </w:numPr>
        <w:spacing w:after="240" w:line="360" w:lineRule="auto"/>
        <w:rPr>
          <w:rFonts w:eastAsia="Calibri" w:cs="Times New Roman"/>
          <w:szCs w:val="24"/>
        </w:rPr>
      </w:pPr>
      <w:r w:rsidRPr="008903D1">
        <w:rPr>
          <w:rFonts w:eastAsia="Calibri" w:cs="Times New Roman"/>
          <w:i/>
          <w:szCs w:val="24"/>
        </w:rPr>
        <w:t>Location of the UCC</w:t>
      </w:r>
      <w:r w:rsidRPr="008903D1">
        <w:rPr>
          <w:rFonts w:eastAsia="Calibri" w:cs="Times New Roman"/>
          <w:szCs w:val="24"/>
        </w:rPr>
        <w:t xml:space="preserve">.  The user can check which location can be used for the UCC. In this scenario, the focus is on the place in the urban area that can be most beneficial in terms of cost-effectiveness. After generating the fleet and the orders, demand points can be imported from a </w:t>
      </w:r>
      <w:proofErr w:type="spellStart"/>
      <w:r w:rsidRPr="008903D1">
        <w:rPr>
          <w:rFonts w:eastAsia="Calibri" w:cs="Times New Roman"/>
          <w:i/>
          <w:szCs w:val="24"/>
        </w:rPr>
        <w:t>geojson</w:t>
      </w:r>
      <w:proofErr w:type="spellEnd"/>
      <w:r w:rsidRPr="008903D1">
        <w:rPr>
          <w:rFonts w:eastAsia="Calibri" w:cs="Times New Roman"/>
          <w:szCs w:val="24"/>
        </w:rPr>
        <w:t xml:space="preserve"> file obtained from OpenStreetMap. Then the set of candidate location, where the potential UCC would be placed, can be tested by running the planning model. The planning results can therefore be used to analyse the costs linked to the UCC in each candidate location and some implications can be drawn.</w:t>
      </w:r>
    </w:p>
    <w:p w14:paraId="369AB0C5" w14:textId="77777777" w:rsidR="00374946" w:rsidRPr="008903D1" w:rsidRDefault="00374946" w:rsidP="00A323CC">
      <w:pPr>
        <w:pStyle w:val="ListParagraph"/>
        <w:numPr>
          <w:ilvl w:val="0"/>
          <w:numId w:val="28"/>
        </w:numPr>
        <w:spacing w:after="240" w:line="360" w:lineRule="auto"/>
        <w:rPr>
          <w:rFonts w:eastAsia="Calibri" w:cs="Times New Roman"/>
          <w:szCs w:val="24"/>
        </w:rPr>
      </w:pPr>
      <w:r w:rsidRPr="008903D1">
        <w:rPr>
          <w:rFonts w:eastAsia="Calibri" w:cs="Times New Roman"/>
          <w:i/>
          <w:szCs w:val="24"/>
        </w:rPr>
        <w:t>Type(s) of vehicles to be used</w:t>
      </w:r>
      <w:r w:rsidRPr="008903D1">
        <w:rPr>
          <w:rFonts w:eastAsia="Calibri" w:cs="Times New Roman"/>
          <w:szCs w:val="24"/>
        </w:rPr>
        <w:t xml:space="preserve">.  One of the possible </w:t>
      </w:r>
      <w:proofErr w:type="gramStart"/>
      <w:r w:rsidRPr="008903D1">
        <w:rPr>
          <w:rFonts w:eastAsia="Calibri" w:cs="Times New Roman"/>
          <w:szCs w:val="24"/>
        </w:rPr>
        <w:t>extension</w:t>
      </w:r>
      <w:proofErr w:type="gramEnd"/>
      <w:r w:rsidRPr="008903D1">
        <w:rPr>
          <w:rFonts w:eastAsia="Calibri" w:cs="Times New Roman"/>
          <w:szCs w:val="24"/>
        </w:rPr>
        <w:t xml:space="preserve"> to urban logistics is to consider the type(s) of vehicles that should be used in the UCC. The first choice can consider whether the vehicles to be used should be electric or diesel ones. The second choice can concern the size of the vehicles, which, in the DSS, is expressed in terms of capacity.</w:t>
      </w:r>
    </w:p>
    <w:p w14:paraId="677C5938" w14:textId="77777777" w:rsidR="00374946" w:rsidRPr="008903D1" w:rsidRDefault="00374946" w:rsidP="007548C6">
      <w:pPr>
        <w:pStyle w:val="ListParagraph"/>
        <w:spacing w:after="240" w:line="360" w:lineRule="auto"/>
        <w:rPr>
          <w:rFonts w:eastAsia="Calibri" w:cs="Times New Roman"/>
          <w:szCs w:val="24"/>
        </w:rPr>
      </w:pPr>
      <w:r w:rsidRPr="008903D1">
        <w:rPr>
          <w:rFonts w:eastAsia="Calibri" w:cs="Times New Roman"/>
          <w:szCs w:val="24"/>
        </w:rPr>
        <w:t>One important measure for a public stakeholder (</w:t>
      </w:r>
      <w:proofErr w:type="gramStart"/>
      <w:r w:rsidRPr="008903D1">
        <w:rPr>
          <w:rFonts w:eastAsia="Calibri" w:cs="Times New Roman"/>
          <w:szCs w:val="24"/>
        </w:rPr>
        <w:t>e.g.</w:t>
      </w:r>
      <w:proofErr w:type="gramEnd"/>
      <w:r w:rsidRPr="008903D1">
        <w:rPr>
          <w:rFonts w:eastAsia="Calibri" w:cs="Times New Roman"/>
          <w:szCs w:val="24"/>
        </w:rPr>
        <w:t xml:space="preserve"> city council) that can be crucial in the urban freight transport decision making is the amount of CO</w:t>
      </w:r>
      <w:r w:rsidRPr="008903D1">
        <w:rPr>
          <w:rFonts w:eastAsia="Calibri" w:cs="Times New Roman"/>
          <w:szCs w:val="24"/>
          <w:vertAlign w:val="subscript"/>
        </w:rPr>
        <w:t>2</w:t>
      </w:r>
      <w:r w:rsidRPr="008903D1">
        <w:rPr>
          <w:rFonts w:eastAsia="Calibri" w:cs="Times New Roman"/>
          <w:szCs w:val="24"/>
        </w:rPr>
        <w:t xml:space="preserve"> produced. By deploying electric vehicles, the corresponding planning results obtained from the decision tool can be analysed under this perspective. Therefore, by averaging the amount of CO2 saved per tonne-kilometre, </w:t>
      </w:r>
      <w:r w:rsidRPr="008903D1">
        <w:rPr>
          <w:rFonts w:eastAsia="Calibri" w:cs="Times New Roman"/>
          <w:szCs w:val="24"/>
        </w:rPr>
        <w:lastRenderedPageBreak/>
        <w:t>measures can be derived to weigh the impact of such a policy. Finally, some measures can be derived also in the case of vehicles of different sizes. The stakeholder can consider the costs linked to having a set of larger vehicles or smaller ones, given the personnel needed to operate them and the amount of goods that can be transported in each scenario.</w:t>
      </w:r>
    </w:p>
    <w:p w14:paraId="2877A983" w14:textId="77777777" w:rsidR="00374946" w:rsidRPr="008903D1" w:rsidRDefault="00374946" w:rsidP="00A323CC">
      <w:pPr>
        <w:pStyle w:val="ListParagraph"/>
        <w:numPr>
          <w:ilvl w:val="0"/>
          <w:numId w:val="28"/>
        </w:numPr>
        <w:spacing w:after="240" w:line="360" w:lineRule="auto"/>
        <w:rPr>
          <w:rFonts w:eastAsia="Calibri" w:cs="Times New Roman"/>
          <w:szCs w:val="24"/>
        </w:rPr>
      </w:pPr>
      <w:r w:rsidRPr="008903D1">
        <w:rPr>
          <w:rFonts w:eastAsia="Calibri" w:cs="Times New Roman"/>
          <w:i/>
          <w:szCs w:val="24"/>
        </w:rPr>
        <w:t>Number of vehicles to buy</w:t>
      </w:r>
      <w:r w:rsidRPr="008903D1">
        <w:rPr>
          <w:rFonts w:eastAsia="Calibri" w:cs="Times New Roman"/>
          <w:szCs w:val="24"/>
        </w:rPr>
        <w:t xml:space="preserve">.  The user can be interested to understand the volume of goods to be handled in a specific urban area. In this scenario, it is crucial to predict how many vehicles need to be bought. Therefore, a specific set of simulations can be run to check the impact of a certain number of vehicles compared to another. Finally, costs can be derived even in this case and compared in different scenarios. This will allow the user to plan the costs relative to the vehicles and the personnel involved. The outcome can eventually be compared to the income from the volume of goods processed and derive some measures on the optimal number of vehicles to be used. </w:t>
      </w:r>
    </w:p>
    <w:p w14:paraId="11AEDD36" w14:textId="77777777" w:rsidR="00374946" w:rsidRPr="008903D1" w:rsidRDefault="00374946" w:rsidP="00A323CC">
      <w:pPr>
        <w:pStyle w:val="ListParagraph"/>
        <w:numPr>
          <w:ilvl w:val="0"/>
          <w:numId w:val="28"/>
        </w:numPr>
        <w:spacing w:after="240" w:line="360" w:lineRule="auto"/>
        <w:rPr>
          <w:rFonts w:eastAsia="Calibri" w:cs="Times New Roman"/>
          <w:szCs w:val="24"/>
        </w:rPr>
      </w:pPr>
      <w:r w:rsidRPr="008903D1">
        <w:rPr>
          <w:rFonts w:eastAsia="Calibri" w:cs="Times New Roman"/>
          <w:i/>
          <w:szCs w:val="24"/>
        </w:rPr>
        <w:t>Opening hours for the UCC</w:t>
      </w:r>
      <w:r w:rsidRPr="008903D1">
        <w:rPr>
          <w:rFonts w:eastAsia="Calibri" w:cs="Times New Roman"/>
          <w:szCs w:val="24"/>
        </w:rPr>
        <w:t xml:space="preserve">.  An important aspect that can be </w:t>
      </w:r>
      <w:proofErr w:type="gramStart"/>
      <w:r w:rsidRPr="008903D1">
        <w:rPr>
          <w:rFonts w:eastAsia="Calibri" w:cs="Times New Roman"/>
          <w:szCs w:val="24"/>
        </w:rPr>
        <w:t>taken into account</w:t>
      </w:r>
      <w:proofErr w:type="gramEnd"/>
      <w:r w:rsidRPr="008903D1">
        <w:rPr>
          <w:rFonts w:eastAsia="Calibri" w:cs="Times New Roman"/>
          <w:szCs w:val="24"/>
        </w:rPr>
        <w:t xml:space="preserve"> involves the schedule of the UCC. This will include managing the logistics planning under a predetermined set of hours where the vehicles can enter and leave the UCC to complete the logistic orders. A scenario like this could be motivated by different opening hours of the logistic points. The scenario can be modelled to suit different operating times of the logistic points. The operating times considered can then be used to derive the schedule of the UCC. By running some tests, some measures of the cost-effectiveness of each schedule can be obtained.</w:t>
      </w:r>
    </w:p>
    <w:p w14:paraId="7B407CD7" w14:textId="254877C7" w:rsidR="00374946" w:rsidRPr="00802DC5" w:rsidRDefault="00374946" w:rsidP="000A4E8C">
      <w:pPr>
        <w:pStyle w:val="Heading2"/>
        <w:spacing w:after="163" w:line="360" w:lineRule="auto"/>
        <w:rPr>
          <w:rFonts w:cs="Times New Roman"/>
        </w:rPr>
      </w:pPr>
      <w:bookmarkStart w:id="1189" w:name="_Toc46053506"/>
      <w:bookmarkStart w:id="1190" w:name="_Toc46093420"/>
      <w:bookmarkStart w:id="1191" w:name="_Toc46093703"/>
      <w:bookmarkStart w:id="1192" w:name="_Toc34734588"/>
      <w:bookmarkStart w:id="1193" w:name="_Toc66703278"/>
      <w:r w:rsidRPr="00802DC5">
        <w:rPr>
          <w:rFonts w:cs="Times New Roman"/>
        </w:rPr>
        <w:t xml:space="preserve">Future </w:t>
      </w:r>
      <w:bookmarkEnd w:id="1189"/>
      <w:bookmarkEnd w:id="1190"/>
      <w:bookmarkEnd w:id="1191"/>
      <w:bookmarkEnd w:id="1192"/>
      <w:r w:rsidR="00F43E78">
        <w:rPr>
          <w:rFonts w:cs="Times New Roman"/>
        </w:rPr>
        <w:t>d</w:t>
      </w:r>
      <w:r w:rsidR="00F43E78" w:rsidRPr="00802DC5">
        <w:rPr>
          <w:rFonts w:cs="Times New Roman"/>
        </w:rPr>
        <w:t>evelopments</w:t>
      </w:r>
      <w:bookmarkEnd w:id="1193"/>
      <w:r w:rsidR="00F43E78" w:rsidRPr="00802DC5">
        <w:rPr>
          <w:rFonts w:cs="Times New Roman"/>
        </w:rPr>
        <w:t xml:space="preserve"> </w:t>
      </w:r>
    </w:p>
    <w:p w14:paraId="6E1EC496" w14:textId="799D3912" w:rsidR="00E903E0" w:rsidRDefault="00374946" w:rsidP="002A58F2">
      <w:pPr>
        <w:spacing w:after="240" w:line="360" w:lineRule="auto"/>
        <w:rPr>
          <w:rFonts w:cs="Times New Roman"/>
          <w:color w:val="222222"/>
          <w:szCs w:val="24"/>
          <w:lang w:eastAsia="en-GB"/>
        </w:rPr>
      </w:pPr>
      <w:r w:rsidRPr="008903D1">
        <w:rPr>
          <w:rFonts w:cs="Times New Roman"/>
          <w:color w:val="222222"/>
          <w:szCs w:val="24"/>
          <w:lang w:eastAsia="en-GB"/>
        </w:rPr>
        <w:t xml:space="preserve">As mentioned, the current version of the DSS was the result of constant interaction between researchers, software developers and stakeholders from the urban freight </w:t>
      </w:r>
      <w:r w:rsidRPr="008903D1">
        <w:rPr>
          <w:rFonts w:cs="Times New Roman"/>
          <w:color w:val="222222"/>
          <w:szCs w:val="24"/>
          <w:lang w:eastAsia="en-GB"/>
        </w:rPr>
        <w:lastRenderedPageBreak/>
        <w:t xml:space="preserve">transport sector. </w:t>
      </w:r>
      <w:r w:rsidR="00627827">
        <w:rPr>
          <w:rFonts w:cs="Times New Roman" w:hint="eastAsia"/>
          <w:color w:val="222222"/>
          <w:szCs w:val="24"/>
        </w:rPr>
        <w:t>This</w:t>
      </w:r>
      <w:r w:rsidR="00627827">
        <w:rPr>
          <w:rFonts w:cs="Times New Roman"/>
          <w:color w:val="222222"/>
          <w:szCs w:val="24"/>
          <w:lang w:eastAsia="en-GB"/>
        </w:rPr>
        <w:t xml:space="preserve"> </w:t>
      </w:r>
      <w:r w:rsidR="00627827">
        <w:rPr>
          <w:rFonts w:cs="Times New Roman" w:hint="eastAsia"/>
          <w:color w:val="222222"/>
          <w:szCs w:val="24"/>
        </w:rPr>
        <w:t>software</w:t>
      </w:r>
      <w:r w:rsidR="00627827">
        <w:rPr>
          <w:rFonts w:cs="Times New Roman"/>
          <w:color w:val="222222"/>
          <w:szCs w:val="24"/>
          <w:lang w:eastAsia="en-GB"/>
        </w:rPr>
        <w:t xml:space="preserve"> </w:t>
      </w:r>
      <w:r w:rsidR="00627827">
        <w:rPr>
          <w:rFonts w:cs="Times New Roman" w:hint="eastAsia"/>
          <w:color w:val="222222"/>
          <w:szCs w:val="24"/>
        </w:rPr>
        <w:t>allows</w:t>
      </w:r>
      <w:r w:rsidR="00627827">
        <w:rPr>
          <w:rFonts w:cs="Times New Roman"/>
          <w:color w:val="222222"/>
          <w:szCs w:val="24"/>
        </w:rPr>
        <w:t xml:space="preserve"> </w:t>
      </w:r>
      <w:r w:rsidR="00627827">
        <w:rPr>
          <w:rFonts w:cs="Times New Roman" w:hint="eastAsia"/>
          <w:color w:val="222222"/>
          <w:szCs w:val="24"/>
        </w:rPr>
        <w:t>LAs</w:t>
      </w:r>
      <w:r w:rsidR="00627827">
        <w:rPr>
          <w:rFonts w:cs="Times New Roman"/>
          <w:color w:val="222222"/>
          <w:szCs w:val="24"/>
        </w:rPr>
        <w:t xml:space="preserve"> </w:t>
      </w:r>
      <w:r w:rsidR="00627827">
        <w:rPr>
          <w:rFonts w:cs="Times New Roman" w:hint="eastAsia"/>
          <w:color w:val="222222"/>
          <w:szCs w:val="24"/>
        </w:rPr>
        <w:t>to</w:t>
      </w:r>
      <w:r w:rsidR="00627827">
        <w:rPr>
          <w:rFonts w:cs="Times New Roman"/>
          <w:color w:val="222222"/>
          <w:szCs w:val="24"/>
        </w:rPr>
        <w:t xml:space="preserve"> estimate </w:t>
      </w:r>
      <w:r w:rsidR="00DF58ED">
        <w:rPr>
          <w:rFonts w:cs="Times New Roman"/>
          <w:color w:val="222222"/>
          <w:szCs w:val="24"/>
        </w:rPr>
        <w:t xml:space="preserve">the </w:t>
      </w:r>
      <w:r w:rsidR="00651614">
        <w:rPr>
          <w:rFonts w:cs="Times New Roman"/>
          <w:color w:val="222222"/>
          <w:szCs w:val="24"/>
        </w:rPr>
        <w:t xml:space="preserve">cost of UCC according to their needs. </w:t>
      </w:r>
      <w:r w:rsidR="00651614">
        <w:rPr>
          <w:rFonts w:cs="Times New Roman"/>
          <w:color w:val="222222"/>
          <w:szCs w:val="24"/>
          <w:lang w:eastAsia="en-GB"/>
        </w:rPr>
        <w:t>F</w:t>
      </w:r>
      <w:r w:rsidR="00651614" w:rsidRPr="008903D1">
        <w:rPr>
          <w:rFonts w:cs="Times New Roman"/>
          <w:color w:val="222222"/>
          <w:szCs w:val="24"/>
          <w:lang w:eastAsia="en-GB"/>
        </w:rPr>
        <w:t>urther suggested improvement</w:t>
      </w:r>
      <w:r w:rsidR="00651614">
        <w:rPr>
          <w:rFonts w:cs="Times New Roman"/>
          <w:color w:val="222222"/>
          <w:szCs w:val="24"/>
          <w:lang w:eastAsia="en-GB"/>
        </w:rPr>
        <w:t xml:space="preserve"> of this software is to promote the decision-making process </w:t>
      </w:r>
      <w:r w:rsidR="00761170">
        <w:rPr>
          <w:rFonts w:cs="Times New Roman"/>
          <w:color w:val="222222"/>
          <w:szCs w:val="24"/>
          <w:lang w:eastAsia="en-GB"/>
        </w:rPr>
        <w:t>within</w:t>
      </w:r>
      <w:r w:rsidR="00AC0B0C">
        <w:rPr>
          <w:rFonts w:cs="Times New Roman"/>
          <w:color w:val="222222"/>
          <w:szCs w:val="24"/>
          <w:lang w:eastAsia="en-GB"/>
        </w:rPr>
        <w:t xml:space="preserve"> a group of stakeholders</w:t>
      </w:r>
      <w:r w:rsidR="00984BE1">
        <w:rPr>
          <w:rFonts w:cs="Times New Roman"/>
          <w:color w:val="222222"/>
          <w:szCs w:val="24"/>
          <w:lang w:eastAsia="en-GB"/>
        </w:rPr>
        <w:t>.</w:t>
      </w:r>
      <w:r w:rsidR="007747FA">
        <w:rPr>
          <w:rFonts w:cs="Times New Roman"/>
          <w:color w:val="222222"/>
          <w:szCs w:val="24"/>
          <w:lang w:eastAsia="en-GB"/>
        </w:rPr>
        <w:t xml:space="preserve"> </w:t>
      </w:r>
      <w:r w:rsidR="00526313">
        <w:rPr>
          <w:rFonts w:cs="Times New Roman"/>
          <w:color w:val="222222"/>
          <w:szCs w:val="24"/>
          <w:lang w:eastAsia="en-GB"/>
        </w:rPr>
        <w:t>C</w:t>
      </w:r>
      <w:r w:rsidR="007747FA" w:rsidRPr="008903D1">
        <w:rPr>
          <w:rFonts w:cs="Times New Roman"/>
          <w:color w:val="222222"/>
          <w:szCs w:val="24"/>
          <w:lang w:eastAsia="en-GB"/>
        </w:rPr>
        <w:t>ost and revenue sharing mechanisms</w:t>
      </w:r>
      <w:r w:rsidR="0030747F">
        <w:rPr>
          <w:rFonts w:cs="Times New Roman"/>
          <w:color w:val="222222"/>
          <w:szCs w:val="24"/>
          <w:lang w:eastAsia="en-GB"/>
        </w:rPr>
        <w:t>, especially,</w:t>
      </w:r>
      <w:r w:rsidR="0030747F" w:rsidRPr="008903D1">
        <w:rPr>
          <w:rFonts w:cs="Times New Roman"/>
          <w:color w:val="222222"/>
          <w:szCs w:val="24"/>
          <w:lang w:eastAsia="en-GB"/>
        </w:rPr>
        <w:t xml:space="preserve"> </w:t>
      </w:r>
      <w:r w:rsidR="007747FA" w:rsidRPr="008903D1">
        <w:rPr>
          <w:rFonts w:cs="Times New Roman"/>
          <w:color w:val="222222"/>
          <w:szCs w:val="24"/>
          <w:lang w:eastAsia="en-GB"/>
        </w:rPr>
        <w:t>such as the ones developed in</w:t>
      </w:r>
      <w:r w:rsidR="007747FA">
        <w:rPr>
          <w:rFonts w:cs="Times New Roman"/>
          <w:color w:val="222222"/>
          <w:szCs w:val="24"/>
          <w:lang w:eastAsia="en-GB"/>
        </w:rPr>
        <w:t xml:space="preserve"> Chapter 7</w:t>
      </w:r>
      <w:r w:rsidR="007747FA" w:rsidRPr="008903D1">
        <w:rPr>
          <w:rFonts w:cs="Times New Roman"/>
          <w:color w:val="222222"/>
          <w:szCs w:val="24"/>
          <w:lang w:eastAsia="en-GB"/>
        </w:rPr>
        <w:t xml:space="preserve"> </w:t>
      </w:r>
      <w:r w:rsidR="008B60A8">
        <w:rPr>
          <w:rFonts w:cs="Times New Roman"/>
          <w:color w:val="222222"/>
          <w:szCs w:val="24"/>
          <w:lang w:eastAsia="en-GB"/>
        </w:rPr>
        <w:t xml:space="preserve">can be embedded in </w:t>
      </w:r>
      <w:r w:rsidR="007747FA" w:rsidRPr="008903D1">
        <w:rPr>
          <w:rFonts w:cs="Times New Roman"/>
          <w:color w:val="222222"/>
          <w:szCs w:val="24"/>
          <w:lang w:eastAsia="en-GB"/>
        </w:rPr>
        <w:t>the financial evaluation module</w:t>
      </w:r>
      <w:r w:rsidR="00027065">
        <w:rPr>
          <w:rFonts w:cs="Times New Roman"/>
          <w:color w:val="222222"/>
          <w:szCs w:val="24"/>
          <w:lang w:eastAsia="en-GB"/>
        </w:rPr>
        <w:t xml:space="preserve">. In this way, </w:t>
      </w:r>
      <w:r w:rsidR="003968FA">
        <w:t xml:space="preserve">the improved software could yield </w:t>
      </w:r>
      <w:proofErr w:type="gramStart"/>
      <w:r w:rsidR="003968FA">
        <w:t>particular cost</w:t>
      </w:r>
      <w:proofErr w:type="gramEnd"/>
      <w:r w:rsidR="003968FA">
        <w:t xml:space="preserve"> sharing </w:t>
      </w:r>
      <w:r w:rsidR="00270068">
        <w:t>values</w:t>
      </w:r>
      <w:r w:rsidR="003968FA">
        <w:t xml:space="preserve"> according to</w:t>
      </w:r>
      <w:r w:rsidR="00E903E0">
        <w:rPr>
          <w:rFonts w:cs="Times New Roman"/>
          <w:color w:val="222222"/>
          <w:szCs w:val="24"/>
          <w:lang w:eastAsia="en-GB"/>
        </w:rPr>
        <w:t xml:space="preserve"> the </w:t>
      </w:r>
      <w:r w:rsidR="00E903E0" w:rsidRPr="005B72DB">
        <w:t xml:space="preserve">convex combinations of the different </w:t>
      </w:r>
      <w:r w:rsidR="001558EF">
        <w:t>cost allocation rules</w:t>
      </w:r>
      <w:r w:rsidR="003968FA">
        <w:t>.</w:t>
      </w:r>
      <w:r w:rsidR="003968FA">
        <w:rPr>
          <w:rFonts w:cs="Times New Roman"/>
          <w:color w:val="222222"/>
          <w:szCs w:val="24"/>
          <w:lang w:eastAsia="en-GB"/>
        </w:rPr>
        <w:t xml:space="preserve"> </w:t>
      </w:r>
      <w:r w:rsidR="008D16CE">
        <w:rPr>
          <w:rFonts w:cs="Times New Roman"/>
          <w:color w:val="222222"/>
          <w:szCs w:val="24"/>
          <w:lang w:eastAsia="en-GB"/>
        </w:rPr>
        <w:t>B</w:t>
      </w:r>
      <w:r w:rsidR="00270068">
        <w:rPr>
          <w:rFonts w:cs="Times New Roman"/>
          <w:color w:val="222222"/>
          <w:szCs w:val="24"/>
          <w:lang w:eastAsia="en-GB"/>
        </w:rPr>
        <w:t>ased on this result,</w:t>
      </w:r>
      <w:r w:rsidR="003968FA">
        <w:rPr>
          <w:rFonts w:cs="Times New Roman"/>
          <w:color w:val="222222"/>
          <w:szCs w:val="24"/>
          <w:lang w:eastAsia="en-GB"/>
        </w:rPr>
        <w:t xml:space="preserve"> </w:t>
      </w:r>
      <w:r w:rsidR="00270068">
        <w:rPr>
          <w:rFonts w:cs="Times New Roman"/>
          <w:color w:val="222222"/>
          <w:szCs w:val="24"/>
          <w:lang w:eastAsia="en-GB"/>
        </w:rPr>
        <w:t>both</w:t>
      </w:r>
      <w:r w:rsidR="00027065">
        <w:rPr>
          <w:rFonts w:cs="Times New Roman"/>
          <w:color w:val="222222"/>
          <w:szCs w:val="24"/>
          <w:lang w:eastAsia="en-GB"/>
        </w:rPr>
        <w:t xml:space="preserve"> public and private stakeholders could </w:t>
      </w:r>
      <w:r w:rsidR="004A00CA">
        <w:rPr>
          <w:rFonts w:cs="Times New Roman"/>
          <w:color w:val="222222"/>
          <w:szCs w:val="24"/>
          <w:lang w:eastAsia="en-GB"/>
        </w:rPr>
        <w:t xml:space="preserve">confer with each other to determine </w:t>
      </w:r>
      <w:r w:rsidR="00E903E0" w:rsidRPr="00E903E0">
        <w:rPr>
          <w:rFonts w:cs="Times New Roman"/>
          <w:color w:val="222222"/>
          <w:szCs w:val="24"/>
          <w:lang w:eastAsia="en-GB"/>
        </w:rPr>
        <w:t>their respective proportions of responsibility</w:t>
      </w:r>
      <w:r w:rsidR="00E903E0">
        <w:rPr>
          <w:rFonts w:cs="Times New Roman"/>
          <w:color w:val="222222"/>
          <w:szCs w:val="24"/>
          <w:lang w:eastAsia="en-GB"/>
        </w:rPr>
        <w:t xml:space="preserve"> for the UCC. </w:t>
      </w:r>
      <w:r w:rsidR="00270068">
        <w:rPr>
          <w:rFonts w:cs="Times New Roman"/>
          <w:color w:val="222222"/>
          <w:szCs w:val="24"/>
          <w:lang w:eastAsia="en-GB"/>
        </w:rPr>
        <w:t>On the other hand, such</w:t>
      </w:r>
      <w:r w:rsidR="0030747F">
        <w:rPr>
          <w:rFonts w:cs="Times New Roman"/>
          <w:color w:val="222222"/>
          <w:szCs w:val="24"/>
          <w:lang w:eastAsia="en-GB"/>
        </w:rPr>
        <w:t xml:space="preserve"> a</w:t>
      </w:r>
      <w:r w:rsidR="00270068">
        <w:rPr>
          <w:rFonts w:cs="Times New Roman"/>
          <w:color w:val="222222"/>
          <w:szCs w:val="24"/>
          <w:lang w:eastAsia="en-GB"/>
        </w:rPr>
        <w:t xml:space="preserve"> cost sharing mechanism could also compare</w:t>
      </w:r>
      <w:r w:rsidR="00233A66">
        <w:rPr>
          <w:rFonts w:cs="Times New Roman"/>
          <w:color w:val="222222"/>
          <w:szCs w:val="24"/>
          <w:lang w:eastAsia="en-GB"/>
        </w:rPr>
        <w:t xml:space="preserve"> the financial status of </w:t>
      </w:r>
      <w:r w:rsidR="00270068">
        <w:rPr>
          <w:rFonts w:cs="Times New Roman"/>
          <w:color w:val="222222"/>
          <w:szCs w:val="24"/>
          <w:lang w:eastAsia="en-GB"/>
        </w:rPr>
        <w:t>the</w:t>
      </w:r>
      <w:r w:rsidR="00C56C08">
        <w:rPr>
          <w:rFonts w:cs="Times New Roman"/>
          <w:color w:val="222222"/>
          <w:szCs w:val="24"/>
          <w:lang w:eastAsia="en-GB"/>
        </w:rPr>
        <w:t xml:space="preserve"> </w:t>
      </w:r>
      <w:r w:rsidR="00233A66">
        <w:rPr>
          <w:rFonts w:cs="Times New Roman"/>
          <w:color w:val="222222"/>
          <w:szCs w:val="24"/>
          <w:lang w:eastAsia="en-GB"/>
        </w:rPr>
        <w:t>self-op</w:t>
      </w:r>
      <w:r w:rsidR="00F15E44">
        <w:rPr>
          <w:rFonts w:cs="Times New Roman"/>
          <w:color w:val="222222"/>
          <w:szCs w:val="24"/>
          <w:lang w:eastAsia="en-GB"/>
        </w:rPr>
        <w:t>erating delivery model and</w:t>
      </w:r>
      <w:r w:rsidR="00E03F2D">
        <w:rPr>
          <w:rFonts w:cs="Times New Roman"/>
          <w:color w:val="222222"/>
          <w:szCs w:val="24"/>
          <w:lang w:eastAsia="en-GB"/>
        </w:rPr>
        <w:t xml:space="preserve"> the</w:t>
      </w:r>
      <w:r w:rsidR="00F15E44">
        <w:rPr>
          <w:rFonts w:cs="Times New Roman"/>
          <w:color w:val="222222"/>
          <w:szCs w:val="24"/>
          <w:lang w:eastAsia="en-GB"/>
        </w:rPr>
        <w:t xml:space="preserve"> outsourcing delivery model.</w:t>
      </w:r>
      <w:r w:rsidR="006177B2">
        <w:rPr>
          <w:rFonts w:cs="Times New Roman"/>
          <w:color w:val="222222"/>
          <w:szCs w:val="24"/>
          <w:lang w:eastAsia="en-GB"/>
        </w:rPr>
        <w:t xml:space="preserve"> </w:t>
      </w:r>
    </w:p>
    <w:p w14:paraId="09753CFC" w14:textId="1AA9033D" w:rsidR="009526F9" w:rsidRPr="002A58F2" w:rsidRDefault="009526F9" w:rsidP="002A58F2">
      <w:pPr>
        <w:spacing w:after="240" w:line="360" w:lineRule="auto"/>
        <w:rPr>
          <w:rFonts w:cs="Times New Roman"/>
          <w:szCs w:val="24"/>
        </w:rPr>
      </w:pPr>
      <w:r>
        <w:rPr>
          <w:rFonts w:cs="Times New Roman"/>
          <w:color w:val="222222"/>
          <w:szCs w:val="24"/>
        </w:rPr>
        <w:br w:type="page"/>
      </w:r>
    </w:p>
    <w:p w14:paraId="7DBEECFB" w14:textId="77777777" w:rsidR="009526F9" w:rsidRPr="009526F9" w:rsidRDefault="009526F9" w:rsidP="00DD570E">
      <w:pPr>
        <w:pStyle w:val="Heading1"/>
      </w:pPr>
      <w:bookmarkStart w:id="1194" w:name="_Toc34734589"/>
      <w:bookmarkStart w:id="1195" w:name="_Toc46053507"/>
      <w:bookmarkStart w:id="1196" w:name="_Toc46093421"/>
      <w:bookmarkStart w:id="1197" w:name="_Toc46093704"/>
      <w:bookmarkStart w:id="1198" w:name="_Toc66703279"/>
      <w:r w:rsidRPr="009526F9">
        <w:lastRenderedPageBreak/>
        <w:t>Conclusion</w:t>
      </w:r>
      <w:bookmarkEnd w:id="1194"/>
      <w:bookmarkEnd w:id="1195"/>
      <w:bookmarkEnd w:id="1196"/>
      <w:bookmarkEnd w:id="1197"/>
      <w:bookmarkEnd w:id="1198"/>
    </w:p>
    <w:p w14:paraId="41FBA7C8" w14:textId="6114EB5E" w:rsidR="009526F9" w:rsidRDefault="009526F9" w:rsidP="007548C6">
      <w:pPr>
        <w:spacing w:after="240" w:line="360" w:lineRule="auto"/>
      </w:pPr>
      <w:r w:rsidRPr="009526F9">
        <w:t xml:space="preserve">The objective of this thesis is to promote </w:t>
      </w:r>
      <w:r w:rsidR="000A4419">
        <w:t xml:space="preserve">the </w:t>
      </w:r>
      <w:r w:rsidR="00DE1FCF">
        <w:t xml:space="preserve">self-sustainability of </w:t>
      </w:r>
      <w:r w:rsidR="000A4419">
        <w:t xml:space="preserve">a </w:t>
      </w:r>
      <w:r w:rsidRPr="009526F9">
        <w:t xml:space="preserve">UCC </w:t>
      </w:r>
      <w:r w:rsidR="00A16D9A">
        <w:t xml:space="preserve">by </w:t>
      </w:r>
      <w:r w:rsidR="001D4B48">
        <w:t>addressing</w:t>
      </w:r>
      <w:r w:rsidR="00A16D9A">
        <w:t xml:space="preserve"> its</w:t>
      </w:r>
      <w:r w:rsidRPr="009526F9">
        <w:t xml:space="preserve"> internal </w:t>
      </w:r>
      <w:r w:rsidR="001D4B48">
        <w:t>problems</w:t>
      </w:r>
      <w:r w:rsidRPr="009526F9">
        <w:t xml:space="preserve">. </w:t>
      </w:r>
      <w:r w:rsidR="00030720">
        <w:t>Specifically, t</w:t>
      </w:r>
      <w:r w:rsidRPr="009526F9">
        <w:t xml:space="preserve">wo categories of internal </w:t>
      </w:r>
      <w:r w:rsidR="001D4B48">
        <w:t>problems</w:t>
      </w:r>
      <w:r w:rsidR="00A16D9A">
        <w:t xml:space="preserve"> are highlighted</w:t>
      </w:r>
      <w:r w:rsidR="003D0A35">
        <w:t>,</w:t>
      </w:r>
      <w:r w:rsidR="00030720">
        <w:t xml:space="preserve"> in term</w:t>
      </w:r>
      <w:r w:rsidR="001D4B48">
        <w:t>s of</w:t>
      </w:r>
      <w:r w:rsidRPr="009526F9">
        <w:t xml:space="preserve"> </w:t>
      </w:r>
      <w:r w:rsidR="005B212E">
        <w:rPr>
          <w:rFonts w:hint="eastAsia"/>
        </w:rPr>
        <w:t>(</w:t>
      </w:r>
      <w:r w:rsidR="005B212E">
        <w:t xml:space="preserve">1) </w:t>
      </w:r>
      <w:r w:rsidRPr="009526F9">
        <w:t>conflicts between stakeholders</w:t>
      </w:r>
      <w:r w:rsidR="006A14EA">
        <w:t xml:space="preserve"> and </w:t>
      </w:r>
      <w:r w:rsidR="005B212E">
        <w:t xml:space="preserve">(2) </w:t>
      </w:r>
      <w:r w:rsidR="006A14EA" w:rsidRPr="009526F9">
        <w:t>financial issues</w:t>
      </w:r>
      <w:r w:rsidR="001D4B48">
        <w:t>.</w:t>
      </w:r>
      <w:r w:rsidR="00373DF2">
        <w:t xml:space="preserve"> The former problem is owing to the </w:t>
      </w:r>
      <w:r w:rsidR="0010422E" w:rsidRPr="0010422E">
        <w:t>heterogeneity</w:t>
      </w:r>
      <w:r w:rsidR="0010422E">
        <w:t xml:space="preserve"> of stakeholders interest</w:t>
      </w:r>
      <w:r w:rsidR="000A4419">
        <w:t>s</w:t>
      </w:r>
      <w:r w:rsidR="0010422E">
        <w:t xml:space="preserve"> and </w:t>
      </w:r>
      <w:r w:rsidR="008E394A">
        <w:t>the divergenc</w:t>
      </w:r>
      <w:r w:rsidR="00391A49">
        <w:t>e</w:t>
      </w:r>
      <w:r w:rsidR="008E394A">
        <w:t xml:space="preserve"> of their </w:t>
      </w:r>
      <w:r w:rsidR="00B403BA">
        <w:t>objectives.</w:t>
      </w:r>
      <w:r w:rsidR="00CB4F4C">
        <w:t xml:space="preserve"> More seriously, </w:t>
      </w:r>
      <w:r w:rsidR="0089394F">
        <w:t xml:space="preserve">during the planning stage, </w:t>
      </w:r>
      <w:r w:rsidR="006A6790">
        <w:t>stakeholders</w:t>
      </w:r>
      <w:r w:rsidR="00741BC6">
        <w:t>’</w:t>
      </w:r>
      <w:r w:rsidR="006A6790">
        <w:t xml:space="preserve"> concerns are not </w:t>
      </w:r>
      <w:r w:rsidR="00A7392A">
        <w:t>comprehensively thought</w:t>
      </w:r>
      <w:r w:rsidR="000A4419">
        <w:t xml:space="preserve"> of</w:t>
      </w:r>
      <w:r w:rsidR="00D4046A">
        <w:t>,</w:t>
      </w:r>
      <w:r w:rsidR="00A7392A">
        <w:t xml:space="preserve"> and</w:t>
      </w:r>
      <w:r w:rsidR="000A4419">
        <w:t xml:space="preserve"> the</w:t>
      </w:r>
      <w:r w:rsidR="00A7392A">
        <w:t xml:space="preserve"> UCC is </w:t>
      </w:r>
      <w:r w:rsidR="00CB4F4C">
        <w:t xml:space="preserve">not well configured </w:t>
      </w:r>
      <w:r w:rsidR="00741BC6">
        <w:t xml:space="preserve">enough </w:t>
      </w:r>
      <w:r w:rsidR="0089394F">
        <w:t>to balance</w:t>
      </w:r>
      <w:r w:rsidR="00A7392A">
        <w:t xml:space="preserve"> the different interest of stakeholders.</w:t>
      </w:r>
      <w:r w:rsidR="001D7E7A">
        <w:t xml:space="preserve"> the latter is caused by many UCC</w:t>
      </w:r>
      <w:r w:rsidR="00741BC6">
        <w:t>s</w:t>
      </w:r>
      <w:r w:rsidR="001D7E7A">
        <w:t xml:space="preserve"> only </w:t>
      </w:r>
      <w:r w:rsidR="00325012">
        <w:t>aim</w:t>
      </w:r>
      <w:r w:rsidR="00741BC6">
        <w:t>ing</w:t>
      </w:r>
      <w:r w:rsidR="00325012">
        <w:t xml:space="preserve"> to deal with</w:t>
      </w:r>
      <w:r w:rsidR="001D7E7A">
        <w:t xml:space="preserve"> the </w:t>
      </w:r>
      <w:r w:rsidR="00325012">
        <w:t>environmental and social issues</w:t>
      </w:r>
      <w:r w:rsidR="009E52CA">
        <w:t xml:space="preserve"> but ignoring </w:t>
      </w:r>
      <w:r w:rsidR="00096E25">
        <w:t>the</w:t>
      </w:r>
      <w:r w:rsidR="009E52CA">
        <w:t xml:space="preserve"> generat</w:t>
      </w:r>
      <w:r w:rsidR="00096E25">
        <w:t>ion</w:t>
      </w:r>
      <w:r w:rsidR="00295E78">
        <w:t xml:space="preserve"> of</w:t>
      </w:r>
      <w:r w:rsidR="009E52CA">
        <w:t xml:space="preserve"> the economic benefits</w:t>
      </w:r>
      <w:r w:rsidR="00DA7885">
        <w:t xml:space="preserve">. </w:t>
      </w:r>
      <w:proofErr w:type="gramStart"/>
      <w:r w:rsidR="00DA7885">
        <w:t>Actually, UCC</w:t>
      </w:r>
      <w:r w:rsidR="003A335E">
        <w:t>s</w:t>
      </w:r>
      <w:proofErr w:type="gramEnd"/>
      <w:r w:rsidR="00DA7885">
        <w:t xml:space="preserve"> always </w:t>
      </w:r>
      <w:r w:rsidR="00FB0727">
        <w:t xml:space="preserve">generate additional cost for the </w:t>
      </w:r>
      <w:r w:rsidR="00C7115F">
        <w:t xml:space="preserve">entire supply chain as the </w:t>
      </w:r>
      <w:r w:rsidR="00C36600">
        <w:t>added</w:t>
      </w:r>
      <w:r w:rsidR="00C7115F">
        <w:t xml:space="preserve"> facility requires </w:t>
      </w:r>
      <w:r w:rsidR="007C2444">
        <w:t>enormous</w:t>
      </w:r>
      <w:r w:rsidR="00C7115F">
        <w:t xml:space="preserve"> initial investment and the</w:t>
      </w:r>
      <w:r w:rsidR="00A21EB7">
        <w:t xml:space="preserve"> additional goods handling </w:t>
      </w:r>
      <w:r w:rsidR="00BB1DED">
        <w:t>process</w:t>
      </w:r>
      <w:r w:rsidR="00A21EB7">
        <w:t xml:space="preserve"> </w:t>
      </w:r>
      <w:r w:rsidR="00AB5839">
        <w:t>produces new operation</w:t>
      </w:r>
      <w:r w:rsidR="00D949C7">
        <w:t>al</w:t>
      </w:r>
      <w:r w:rsidR="00AB5839">
        <w:t xml:space="preserve"> cost</w:t>
      </w:r>
      <w:r w:rsidR="00A21EB7">
        <w:t>.</w:t>
      </w:r>
      <w:r w:rsidR="00570AF8">
        <w:t xml:space="preserve"> </w:t>
      </w:r>
      <w:r w:rsidR="000733A2">
        <w:t xml:space="preserve">As a result, </w:t>
      </w:r>
      <w:r w:rsidR="00B20E0A">
        <w:t xml:space="preserve">LAs </w:t>
      </w:r>
      <w:r w:rsidR="00876A41">
        <w:t>must</w:t>
      </w:r>
      <w:r w:rsidR="00B20E0A">
        <w:t xml:space="preserve"> invest</w:t>
      </w:r>
      <w:r w:rsidR="00876A41">
        <w:t xml:space="preserve"> considerable</w:t>
      </w:r>
      <w:r w:rsidR="00B20E0A">
        <w:t xml:space="preserve"> </w:t>
      </w:r>
      <w:r w:rsidR="00876A41">
        <w:t>funding</w:t>
      </w:r>
      <w:r w:rsidR="00B20E0A">
        <w:t xml:space="preserve"> to cover such </w:t>
      </w:r>
      <w:r w:rsidR="00EA7F40">
        <w:t>cost</w:t>
      </w:r>
      <w:r w:rsidR="00D949C7">
        <w:t>s</w:t>
      </w:r>
      <w:r w:rsidR="00EA7F40">
        <w:t xml:space="preserve"> for the supply chain. </w:t>
      </w:r>
      <w:r w:rsidR="005F639E">
        <w:t>U</w:t>
      </w:r>
      <w:r w:rsidR="00EA7F40">
        <w:t xml:space="preserve">nless the UCC project is mandatory, </w:t>
      </w:r>
      <w:r w:rsidR="00DF231F">
        <w:t xml:space="preserve">private stakeholders will leave the </w:t>
      </w:r>
      <w:r w:rsidR="00DF231F">
        <w:rPr>
          <w:rFonts w:hint="eastAsia"/>
        </w:rPr>
        <w:t>project</w:t>
      </w:r>
      <w:r w:rsidR="00DF231F">
        <w:t xml:space="preserve"> </w:t>
      </w:r>
      <w:r w:rsidR="00DF231F">
        <w:rPr>
          <w:rFonts w:hint="eastAsia"/>
        </w:rPr>
        <w:t>after</w:t>
      </w:r>
      <w:r w:rsidR="00DF231F">
        <w:t xml:space="preserve"> </w:t>
      </w:r>
      <w:r w:rsidR="00876A41">
        <w:rPr>
          <w:rFonts w:hint="eastAsia"/>
        </w:rPr>
        <w:t>such</w:t>
      </w:r>
      <w:r w:rsidR="00DF231F">
        <w:t xml:space="preserve"> </w:t>
      </w:r>
      <w:r w:rsidR="00DF231F">
        <w:rPr>
          <w:rFonts w:hint="eastAsia"/>
        </w:rPr>
        <w:t>funding</w:t>
      </w:r>
      <w:r w:rsidR="00DF231F">
        <w:t xml:space="preserve"> </w:t>
      </w:r>
      <w:r w:rsidR="00876A41">
        <w:rPr>
          <w:rFonts w:hint="eastAsia"/>
        </w:rPr>
        <w:t>run</w:t>
      </w:r>
      <w:r w:rsidR="00876A41">
        <w:t xml:space="preserve"> </w:t>
      </w:r>
      <w:r w:rsidR="00876A41">
        <w:rPr>
          <w:rFonts w:hint="eastAsia"/>
        </w:rPr>
        <w:t>out.</w:t>
      </w:r>
      <w:r w:rsidR="000C209D">
        <w:t xml:space="preserve"> </w:t>
      </w:r>
      <w:r w:rsidR="00442921">
        <w:t>Aim</w:t>
      </w:r>
      <w:r w:rsidR="00BF117B">
        <w:t>ed</w:t>
      </w:r>
      <w:r w:rsidR="00442921">
        <w:t xml:space="preserve"> at solving </w:t>
      </w:r>
      <w:r w:rsidR="00BF117B">
        <w:t xml:space="preserve">such </w:t>
      </w:r>
      <w:r w:rsidR="00442921">
        <w:t xml:space="preserve">above issues, </w:t>
      </w:r>
      <w:r w:rsidR="00A95E9F">
        <w:t xml:space="preserve">this thesis </w:t>
      </w:r>
      <w:r w:rsidR="000C209D">
        <w:t>proposes</w:t>
      </w:r>
      <w:r w:rsidR="00252905">
        <w:t xml:space="preserve"> to </w:t>
      </w:r>
      <w:r w:rsidR="00A3258D">
        <w:t>organise a meaningful stakeholders engagement</w:t>
      </w:r>
      <w:r w:rsidR="00A05B55">
        <w:t xml:space="preserve"> </w:t>
      </w:r>
      <w:r w:rsidR="00DA1C94">
        <w:t>to</w:t>
      </w:r>
      <w:r w:rsidR="00A05B55">
        <w:t xml:space="preserve"> </w:t>
      </w:r>
      <w:r w:rsidR="00DD4862">
        <w:t xml:space="preserve">configure </w:t>
      </w:r>
      <w:r w:rsidR="00A05B55">
        <w:t xml:space="preserve">a UCC project </w:t>
      </w:r>
      <w:r w:rsidR="00DA1C94">
        <w:t>that</w:t>
      </w:r>
      <w:r w:rsidR="00A05B55">
        <w:t xml:space="preserve"> balance</w:t>
      </w:r>
      <w:r w:rsidR="00DA1C94">
        <w:t>s</w:t>
      </w:r>
      <w:r w:rsidR="00A05B55">
        <w:t xml:space="preserve"> the </w:t>
      </w:r>
      <w:r w:rsidR="00442921">
        <w:t>different kinds of stakeholders’ interests.</w:t>
      </w:r>
      <w:r w:rsidR="00B71BAB">
        <w:t xml:space="preserve"> </w:t>
      </w:r>
      <w:r w:rsidR="009D7BD4">
        <w:t>Based on such positive results</w:t>
      </w:r>
      <w:r w:rsidR="00E25D29" w:rsidRPr="00B71BAB">
        <w:t xml:space="preserve">, </w:t>
      </w:r>
      <w:r w:rsidR="00B71BAB" w:rsidRPr="00B71BAB">
        <w:t xml:space="preserve">all </w:t>
      </w:r>
      <w:r w:rsidR="00E25D29" w:rsidRPr="00B71BAB">
        <w:t xml:space="preserve">stakeholders can agree </w:t>
      </w:r>
      <w:r w:rsidR="00B71BAB" w:rsidRPr="00B71BAB">
        <w:t xml:space="preserve">to support </w:t>
      </w:r>
      <w:r w:rsidR="00E25D29" w:rsidRPr="00B71BAB">
        <w:t xml:space="preserve">UCCs, share cost and risk and develop ideas concerning what other </w:t>
      </w:r>
      <w:r w:rsidR="00B71BAB">
        <w:t>measures</w:t>
      </w:r>
      <w:r w:rsidR="009D7BD4">
        <w:t xml:space="preserve"> </w:t>
      </w:r>
      <w:r w:rsidR="00BF117B">
        <w:t xml:space="preserve">are </w:t>
      </w:r>
      <w:r w:rsidR="00E25D29" w:rsidRPr="00B71BAB">
        <w:t>need</w:t>
      </w:r>
      <w:r w:rsidR="00B71BAB">
        <w:t>ed</w:t>
      </w:r>
      <w:r w:rsidR="00E25D29" w:rsidRPr="00B71BAB">
        <w:t xml:space="preserve"> to increase the effectiveness of UCCs.</w:t>
      </w:r>
    </w:p>
    <w:p w14:paraId="3EB9B15F" w14:textId="10603A60" w:rsidR="00722344" w:rsidRPr="009526F9" w:rsidRDefault="00722344" w:rsidP="00722344">
      <w:pPr>
        <w:spacing w:after="240" w:line="360" w:lineRule="auto"/>
      </w:pPr>
      <w:r w:rsidRPr="009526F9">
        <w:t>In response to stakeholder conflicts</w:t>
      </w:r>
      <w:r>
        <w:t xml:space="preserve"> and </w:t>
      </w:r>
      <w:r w:rsidR="00BF117B">
        <w:t xml:space="preserve">to </w:t>
      </w:r>
      <w:r>
        <w:t>promote the stakeholders engagement</w:t>
      </w:r>
      <w:r w:rsidRPr="009526F9">
        <w:t>, this research combines AHP and non-parametric testing to measure the heterogeneity of stakeholders’ preferences. The results can help decision</w:t>
      </w:r>
      <w:r w:rsidR="00EA6B3A">
        <w:t>-</w:t>
      </w:r>
      <w:r w:rsidRPr="009526F9">
        <w:t>makers to better understand the severity of these conflicts. A thematic analysis was also conducted to identify the details of these conflicts and their causes.</w:t>
      </w:r>
      <w:r w:rsidR="009F7490">
        <w:t xml:space="preserve"> </w:t>
      </w:r>
      <w:r w:rsidR="00476D10">
        <w:t>Therefore, a collaborative UCC system can be built to generate benefits in all three dimensions of SUL.</w:t>
      </w:r>
    </w:p>
    <w:p w14:paraId="57743FA1" w14:textId="6E715C53" w:rsidR="008739FA" w:rsidRPr="009526F9" w:rsidRDefault="008739FA" w:rsidP="007548C6">
      <w:pPr>
        <w:spacing w:after="240" w:line="360" w:lineRule="auto"/>
      </w:pPr>
      <w:r w:rsidRPr="009526F9">
        <w:lastRenderedPageBreak/>
        <w:t xml:space="preserve">To deal with the financial issues, </w:t>
      </w:r>
      <w:r w:rsidR="00722344">
        <w:t xml:space="preserve">the first step of </w:t>
      </w:r>
      <w:r w:rsidRPr="009526F9">
        <w:t>this research proposes a cost structure for goods movement processes</w:t>
      </w:r>
      <w:r>
        <w:t xml:space="preserve"> associated with UCCs</w:t>
      </w:r>
      <w:r w:rsidRPr="009526F9">
        <w:t>. A formula-based approach is applied to calculate these costs. In addition, the formulae are embedded in a decision-making tool that combines GIS data (real city maps and UCC locations) and planned UCC configurations (vehicle numbers and human resources) to improve the accuracy of the costings at the planning stage.</w:t>
      </w:r>
      <w:r w:rsidR="00722344">
        <w:t xml:space="preserve"> </w:t>
      </w:r>
      <w:r w:rsidR="00BB2E99">
        <w:t>The second step is based on the result</w:t>
      </w:r>
      <w:r w:rsidR="00E564E2">
        <w:t>s</w:t>
      </w:r>
      <w:r w:rsidR="00BB2E99">
        <w:t xml:space="preserve"> of stakeholders engagement.</w:t>
      </w:r>
      <w:r w:rsidR="00722344">
        <w:t xml:space="preserve"> </w:t>
      </w:r>
      <w:r w:rsidR="000B7DCF">
        <w:t>I</w:t>
      </w:r>
      <w:r w:rsidR="00593BAE">
        <w:t>f</w:t>
      </w:r>
      <w:r w:rsidR="00BB2E99">
        <w:t xml:space="preserve"> the</w:t>
      </w:r>
      <w:r w:rsidR="00593BAE">
        <w:t xml:space="preserve"> financial issues</w:t>
      </w:r>
      <w:r w:rsidR="00E564E2">
        <w:t xml:space="preserve"> are</w:t>
      </w:r>
      <w:r w:rsidR="00725064" w:rsidRPr="009526F9">
        <w:t xml:space="preserve"> caused by </w:t>
      </w:r>
      <w:r w:rsidR="000B7DCF">
        <w:t xml:space="preserve">the </w:t>
      </w:r>
      <w:r w:rsidR="00593BAE">
        <w:t>lack of users</w:t>
      </w:r>
      <w:r w:rsidR="00725064" w:rsidRPr="009526F9">
        <w:t>, this research has developed a cost-allocation model to share expenditure between upstream and downstream stakeholders</w:t>
      </w:r>
      <w:r w:rsidR="00C9638D">
        <w:t xml:space="preserve">. </w:t>
      </w:r>
      <w:r w:rsidR="00550F6B">
        <w:t>T</w:t>
      </w:r>
      <w:r w:rsidR="00C9638D">
        <w:t xml:space="preserve">his model is the </w:t>
      </w:r>
      <w:r w:rsidR="00550F6B">
        <w:t>result of the stakeholders engagement, where stakeholders</w:t>
      </w:r>
      <w:r w:rsidR="00E564E2">
        <w:t xml:space="preserve"> agree</w:t>
      </w:r>
      <w:r w:rsidR="00550F6B">
        <w:t xml:space="preserve"> to undertake social responsibility in a sound collaborative network.</w:t>
      </w:r>
    </w:p>
    <w:p w14:paraId="78C0557C" w14:textId="2AA8D3B8" w:rsidR="009526F9" w:rsidRDefault="009526F9" w:rsidP="00DD570E">
      <w:pPr>
        <w:pStyle w:val="Heading2"/>
        <w:spacing w:after="163"/>
      </w:pPr>
      <w:bookmarkStart w:id="1199" w:name="_Toc34734590"/>
      <w:bookmarkStart w:id="1200" w:name="_Toc46053508"/>
      <w:bookmarkStart w:id="1201" w:name="_Toc46093422"/>
      <w:bookmarkStart w:id="1202" w:name="_Toc46093705"/>
      <w:bookmarkStart w:id="1203" w:name="_Toc66703280"/>
      <w:r w:rsidRPr="009526F9">
        <w:t>Concluding comments</w:t>
      </w:r>
      <w:bookmarkEnd w:id="1199"/>
      <w:bookmarkEnd w:id="1200"/>
      <w:bookmarkEnd w:id="1201"/>
      <w:bookmarkEnd w:id="1202"/>
      <w:bookmarkEnd w:id="1203"/>
    </w:p>
    <w:p w14:paraId="572DA43B" w14:textId="77777777" w:rsidR="002A0D53" w:rsidRPr="002A0D53" w:rsidRDefault="002A0D53" w:rsidP="002A0D53">
      <w:pPr>
        <w:spacing w:after="240" w:line="360" w:lineRule="auto"/>
        <w:rPr>
          <w:rFonts w:cs="Times New Roman"/>
          <w:color w:val="FF0000"/>
        </w:rPr>
      </w:pPr>
      <w:bookmarkStart w:id="1204" w:name="_Hlk65232632"/>
      <w:bookmarkStart w:id="1205" w:name="_Hlk65234616"/>
      <w:r w:rsidRPr="002A0D53">
        <w:rPr>
          <w:rFonts w:cs="Times New Roman"/>
          <w:color w:val="FF0000"/>
        </w:rPr>
        <w:t>The first three chapters of this thesis narrow-down the issues which identify the key research topics and literature gaps. Chapter 1 introduced the concept of UL, SUD, the SUL, and logistics initiatives with which to achieve the SUL targets. In Chapter 2, a two-phased literature review was presented, beginning with a review of articles concerning general SUL and the associated methodologies. Based on the results, UCCs were selected as the research topic. For an in-depth analysis of the scholars in this field, the second phase included both a literature review and a grey literature review. Based on the findings, the research gaps were identified, and the research questions developed. Chapter 3 introduced the theoretical lens and methodologies used to respond to these research questions, as well as the corresponding data collection approach.</w:t>
      </w:r>
    </w:p>
    <w:p w14:paraId="2F6700B5" w14:textId="50B1B6D3" w:rsidR="008014FE" w:rsidRPr="002A0D53" w:rsidRDefault="002A0D53" w:rsidP="008014FE">
      <w:pPr>
        <w:rPr>
          <w:rFonts w:cs="Times New Roman"/>
          <w:color w:val="FF0000"/>
        </w:rPr>
      </w:pPr>
      <w:r w:rsidRPr="002A0D53">
        <w:rPr>
          <w:rFonts w:cs="Times New Roman"/>
          <w:color w:val="FF0000"/>
        </w:rPr>
        <w:t xml:space="preserve">In addition to the above chapters, this thesis deals with three PRQs </w:t>
      </w:r>
      <w:r w:rsidR="00864BD2" w:rsidRPr="002A0D53">
        <w:rPr>
          <w:rFonts w:cs="Times New Roman"/>
          <w:color w:val="FF0000"/>
        </w:rPr>
        <w:t>(</w:t>
      </w:r>
      <w:r w:rsidR="00864BD2" w:rsidRPr="002A0D53">
        <w:rPr>
          <w:rFonts w:cs="Times New Roman"/>
          <w:color w:val="FF0000"/>
        </w:rPr>
        <w:fldChar w:fldCharType="begin"/>
      </w:r>
      <w:r w:rsidR="00864BD2" w:rsidRPr="002A0D53">
        <w:rPr>
          <w:rFonts w:cs="Times New Roman"/>
          <w:color w:val="FF0000"/>
        </w:rPr>
        <w:instrText xml:space="preserve"> REF _Ref60185880 \h </w:instrText>
      </w:r>
      <w:r w:rsidR="002A5307" w:rsidRPr="002A0D53">
        <w:rPr>
          <w:rFonts w:cs="Times New Roman"/>
          <w:color w:val="FF0000"/>
        </w:rPr>
        <w:instrText xml:space="preserve"> \* MERGEFORMAT </w:instrText>
      </w:r>
      <w:r w:rsidR="00864BD2" w:rsidRPr="002A0D53">
        <w:rPr>
          <w:rFonts w:cs="Times New Roman"/>
          <w:color w:val="FF0000"/>
        </w:rPr>
      </w:r>
      <w:r w:rsidR="00864BD2" w:rsidRPr="002A0D53">
        <w:rPr>
          <w:rFonts w:cs="Times New Roman"/>
          <w:color w:val="FF0000"/>
        </w:rPr>
        <w:fldChar w:fldCharType="separate"/>
      </w:r>
      <w:r w:rsidR="0005064B" w:rsidRPr="002A5307">
        <w:rPr>
          <w:rFonts w:cs="Times New Roman"/>
          <w:color w:val="FF0000"/>
        </w:rPr>
        <w:t xml:space="preserve">Figure </w:t>
      </w:r>
      <w:r w:rsidR="0005064B">
        <w:rPr>
          <w:rFonts w:cs="Times New Roman"/>
          <w:noProof/>
          <w:color w:val="FF0000"/>
        </w:rPr>
        <w:t>9</w:t>
      </w:r>
      <w:r w:rsidR="0005064B">
        <w:rPr>
          <w:rFonts w:cs="Times New Roman"/>
          <w:noProof/>
          <w:color w:val="FF0000"/>
        </w:rPr>
        <w:noBreakHyphen/>
        <w:t>1</w:t>
      </w:r>
      <w:r w:rsidR="00864BD2" w:rsidRPr="002A0D53">
        <w:rPr>
          <w:rFonts w:cs="Times New Roman"/>
          <w:color w:val="FF0000"/>
        </w:rPr>
        <w:fldChar w:fldCharType="end"/>
      </w:r>
      <w:r w:rsidR="00864BD2" w:rsidRPr="002A0D53">
        <w:rPr>
          <w:rFonts w:cs="Times New Roman"/>
          <w:color w:val="FF0000"/>
        </w:rPr>
        <w:t>)</w:t>
      </w:r>
      <w:r w:rsidR="00BD5ED5" w:rsidRPr="002A0D53">
        <w:rPr>
          <w:rFonts w:cs="Times New Roman"/>
          <w:color w:val="FF0000"/>
        </w:rPr>
        <w:t>:</w:t>
      </w:r>
    </w:p>
    <w:p w14:paraId="05C71E95" w14:textId="6AF8C055" w:rsidR="0099425A" w:rsidRPr="002A5307" w:rsidRDefault="00001171" w:rsidP="008014FE">
      <w:pPr>
        <w:rPr>
          <w:rFonts w:cs="Times New Roman"/>
          <w:color w:val="FF0000"/>
        </w:rPr>
      </w:pPr>
      <w:r w:rsidRPr="00001171">
        <w:lastRenderedPageBreak/>
        <w:t xml:space="preserve"> </w:t>
      </w:r>
      <w:r w:rsidR="00F4415C">
        <w:object w:dxaOrig="10666" w:dyaOrig="9796" w14:anchorId="41D7C566">
          <v:shape id="_x0000_i1043" type="#_x0000_t75" style="width:414.9pt;height:381.05pt" o:ole="">
            <v:imagedata r:id="rId155" o:title=""/>
          </v:shape>
          <o:OLEObject Type="Embed" ProgID="Visio.Drawing.15" ShapeID="_x0000_i1043" DrawAspect="Content" ObjectID="_1681648050" r:id="rId156"/>
        </w:object>
      </w:r>
    </w:p>
    <w:p w14:paraId="14FF8443" w14:textId="7267C2AF" w:rsidR="002C2917" w:rsidRPr="002A5307" w:rsidRDefault="00864BD2" w:rsidP="00864BD2">
      <w:pPr>
        <w:pStyle w:val="Caption"/>
        <w:rPr>
          <w:rFonts w:cs="Times New Roman"/>
          <w:color w:val="FF0000"/>
        </w:rPr>
      </w:pPr>
      <w:bookmarkStart w:id="1206" w:name="_Ref60185880"/>
      <w:bookmarkStart w:id="1207" w:name="_Toc66698742"/>
      <w:r w:rsidRPr="002A5307">
        <w:rPr>
          <w:rFonts w:cs="Times New Roman"/>
          <w:color w:val="FF0000"/>
        </w:rPr>
        <w:t xml:space="preserve">Figure </w:t>
      </w:r>
      <w:r w:rsidR="00632993">
        <w:rPr>
          <w:rFonts w:cs="Times New Roman"/>
          <w:color w:val="FF0000"/>
        </w:rPr>
        <w:fldChar w:fldCharType="begin"/>
      </w:r>
      <w:r w:rsidR="00632993">
        <w:rPr>
          <w:rFonts w:cs="Times New Roman"/>
          <w:color w:val="FF0000"/>
        </w:rPr>
        <w:instrText xml:space="preserve"> STYLEREF 1 \s </w:instrText>
      </w:r>
      <w:r w:rsidR="00632993">
        <w:rPr>
          <w:rFonts w:cs="Times New Roman"/>
          <w:color w:val="FF0000"/>
        </w:rPr>
        <w:fldChar w:fldCharType="separate"/>
      </w:r>
      <w:r w:rsidR="0005064B">
        <w:rPr>
          <w:rFonts w:cs="Times New Roman"/>
          <w:noProof/>
          <w:color w:val="FF0000"/>
        </w:rPr>
        <w:t>9</w:t>
      </w:r>
      <w:r w:rsidR="00632993">
        <w:rPr>
          <w:rFonts w:cs="Times New Roman"/>
          <w:color w:val="FF0000"/>
        </w:rPr>
        <w:fldChar w:fldCharType="end"/>
      </w:r>
      <w:r w:rsidR="00632993">
        <w:rPr>
          <w:rFonts w:cs="Times New Roman"/>
          <w:color w:val="FF0000"/>
        </w:rPr>
        <w:noBreakHyphen/>
      </w:r>
      <w:r w:rsidR="00632993">
        <w:rPr>
          <w:rFonts w:cs="Times New Roman"/>
          <w:color w:val="FF0000"/>
        </w:rPr>
        <w:fldChar w:fldCharType="begin"/>
      </w:r>
      <w:r w:rsidR="00632993">
        <w:rPr>
          <w:rFonts w:cs="Times New Roman"/>
          <w:color w:val="FF0000"/>
        </w:rPr>
        <w:instrText xml:space="preserve"> SEQ Figure \* ARABIC \s 1 </w:instrText>
      </w:r>
      <w:r w:rsidR="00632993">
        <w:rPr>
          <w:rFonts w:cs="Times New Roman"/>
          <w:color w:val="FF0000"/>
        </w:rPr>
        <w:fldChar w:fldCharType="separate"/>
      </w:r>
      <w:r w:rsidR="0005064B">
        <w:rPr>
          <w:rFonts w:cs="Times New Roman"/>
          <w:noProof/>
          <w:color w:val="FF0000"/>
        </w:rPr>
        <w:t>1</w:t>
      </w:r>
      <w:r w:rsidR="00632993">
        <w:rPr>
          <w:rFonts w:cs="Times New Roman"/>
          <w:color w:val="FF0000"/>
        </w:rPr>
        <w:fldChar w:fldCharType="end"/>
      </w:r>
      <w:bookmarkEnd w:id="1206"/>
      <w:r w:rsidRPr="002A5307">
        <w:rPr>
          <w:rFonts w:cs="Times New Roman"/>
          <w:color w:val="FF0000"/>
        </w:rPr>
        <w:t>: Research questions and brief outcomes</w:t>
      </w:r>
      <w:bookmarkEnd w:id="1207"/>
    </w:p>
    <w:p w14:paraId="26356251" w14:textId="77777777" w:rsidR="0076429A" w:rsidRPr="00FD2C44" w:rsidRDefault="0076429A" w:rsidP="0076429A">
      <w:pPr>
        <w:spacing w:after="240" w:line="360" w:lineRule="auto"/>
        <w:rPr>
          <w:rFonts w:cs="Times New Roman"/>
          <w:b/>
          <w:i/>
          <w:iCs/>
          <w:color w:val="FF0000"/>
        </w:rPr>
      </w:pPr>
      <w:bookmarkStart w:id="1208" w:name="_Toc34734591"/>
      <w:bookmarkStart w:id="1209" w:name="_Toc46053509"/>
      <w:bookmarkStart w:id="1210" w:name="_Toc46093423"/>
      <w:bookmarkStart w:id="1211" w:name="_Toc46093706"/>
      <w:bookmarkEnd w:id="1204"/>
      <w:bookmarkEnd w:id="1205"/>
      <w:r w:rsidRPr="00FD2C44">
        <w:rPr>
          <w:rFonts w:cs="Times New Roman"/>
          <w:b/>
          <w:i/>
          <w:iCs/>
          <w:color w:val="FF0000"/>
          <w:lang w:eastAsia="en-US"/>
        </w:rPr>
        <w:t xml:space="preserve">PRQ 1: </w:t>
      </w:r>
      <w:r w:rsidRPr="00FD2C44">
        <w:rPr>
          <w:rFonts w:cs="Times New Roman"/>
          <w:b/>
          <w:i/>
          <w:iCs/>
          <w:color w:val="FF0000"/>
        </w:rPr>
        <w:t>How to accurately estimate the financial performance of a UCC during the project planning phase?</w:t>
      </w:r>
    </w:p>
    <w:p w14:paraId="690974DF" w14:textId="77777777" w:rsidR="0076429A" w:rsidRPr="00FD2C44" w:rsidRDefault="0076429A" w:rsidP="0076429A">
      <w:pPr>
        <w:spacing w:after="240" w:line="360" w:lineRule="auto"/>
        <w:rPr>
          <w:rFonts w:cs="Times New Roman"/>
          <w:color w:val="FF0000"/>
        </w:rPr>
      </w:pPr>
      <w:r w:rsidRPr="00FD2C44">
        <w:rPr>
          <w:rFonts w:cs="Times New Roman"/>
          <w:color w:val="FF0000"/>
        </w:rPr>
        <w:t xml:space="preserve">To resolve PRQ 1, this thesis proposed a UCC cost structure (see Chapter 4). The costs were classified as either fixed or variable. The variable costs were then further divided into ‘in-facility costs’ and ‘on-road costs’, reflecting the stages of the goods movement between the facility and the delivery destination. To calculate these costs, formulae were </w:t>
      </w:r>
      <w:proofErr w:type="gramStart"/>
      <w:r w:rsidRPr="00FD2C44">
        <w:rPr>
          <w:rFonts w:cs="Times New Roman"/>
          <w:color w:val="FF0000"/>
        </w:rPr>
        <w:t>proposed</w:t>
      </w:r>
      <w:proofErr w:type="gramEnd"/>
      <w:r w:rsidRPr="00FD2C44">
        <w:rPr>
          <w:rFonts w:cs="Times New Roman"/>
          <w:color w:val="FF0000"/>
        </w:rPr>
        <w:t xml:space="preserve"> and an experiment was conducted to test their validity.</w:t>
      </w:r>
    </w:p>
    <w:p w14:paraId="2AD578BD" w14:textId="77777777" w:rsidR="0076429A" w:rsidRPr="00FD2C44" w:rsidRDefault="0076429A" w:rsidP="0076429A">
      <w:pPr>
        <w:spacing w:after="240" w:line="360" w:lineRule="auto"/>
        <w:rPr>
          <w:rFonts w:cs="Times New Roman"/>
          <w:color w:val="FF0000"/>
          <w:szCs w:val="24"/>
        </w:rPr>
      </w:pPr>
      <w:r w:rsidRPr="00FD2C44">
        <w:rPr>
          <w:rFonts w:cs="Times New Roman"/>
          <w:color w:val="FF0000"/>
          <w:szCs w:val="24"/>
        </w:rPr>
        <w:lastRenderedPageBreak/>
        <w:t xml:space="preserve">The above formulae were embedded in the DSS software discussed in Chapter 8. In this approach, the formulae were combined with real information on UCC scenario planning, </w:t>
      </w:r>
      <w:proofErr w:type="gramStart"/>
      <w:r w:rsidRPr="00FD2C44">
        <w:rPr>
          <w:rFonts w:cs="Times New Roman"/>
          <w:color w:val="FF0000"/>
          <w:szCs w:val="24"/>
        </w:rPr>
        <w:t>including:</w:t>
      </w:r>
      <w:proofErr w:type="gramEnd"/>
      <w:r w:rsidRPr="00FD2C44">
        <w:rPr>
          <w:rFonts w:cs="Times New Roman"/>
          <w:color w:val="FF0000"/>
          <w:szCs w:val="24"/>
        </w:rPr>
        <w:t xml:space="preserve"> city morphology, numbers of UCCs, facility locations, locations of demand points, and consumer time-window requirements. This enabled the planners to </w:t>
      </w:r>
      <w:r w:rsidRPr="00FD2C44">
        <w:rPr>
          <w:rFonts w:cs="Times New Roman"/>
          <w:color w:val="FF0000"/>
          <w:szCs w:val="24"/>
          <w:lang w:eastAsia="en-GB"/>
        </w:rPr>
        <w:t>estimate the investment required to set up the facility and to calculate the costs arising from the operations.</w:t>
      </w:r>
    </w:p>
    <w:p w14:paraId="5A85A973" w14:textId="77777777" w:rsidR="0076429A" w:rsidRPr="00FD2C44" w:rsidRDefault="0076429A" w:rsidP="0076429A">
      <w:pPr>
        <w:spacing w:line="360" w:lineRule="auto"/>
        <w:rPr>
          <w:rFonts w:cs="Times New Roman"/>
          <w:b/>
          <w:i/>
          <w:iCs/>
          <w:color w:val="FF0000"/>
        </w:rPr>
      </w:pPr>
      <w:r w:rsidRPr="00FD2C44">
        <w:rPr>
          <w:rFonts w:cs="Times New Roman"/>
          <w:b/>
          <w:i/>
          <w:iCs/>
          <w:color w:val="FF0000"/>
          <w:lang w:eastAsia="en-US"/>
        </w:rPr>
        <w:t xml:space="preserve">PRQ 2: </w:t>
      </w:r>
      <w:r w:rsidRPr="00FD2C44">
        <w:rPr>
          <w:rFonts w:cs="Times New Roman"/>
          <w:b/>
          <w:i/>
          <w:iCs/>
          <w:color w:val="FF0000"/>
        </w:rPr>
        <w:t>How to promote the stakeholders’ engagement in a UCC facility?</w:t>
      </w:r>
    </w:p>
    <w:p w14:paraId="54C282DC" w14:textId="77777777" w:rsidR="0076429A" w:rsidRPr="00FD2C44" w:rsidRDefault="0076429A" w:rsidP="0076429A">
      <w:pPr>
        <w:spacing w:line="360" w:lineRule="auto"/>
        <w:rPr>
          <w:rFonts w:cs="Times New Roman"/>
          <w:bCs/>
          <w:color w:val="FF0000"/>
          <w:lang w:eastAsia="en-US"/>
        </w:rPr>
      </w:pPr>
      <w:r w:rsidRPr="00FD2C44">
        <w:rPr>
          <w:rFonts w:cs="Times New Roman"/>
          <w:bCs/>
          <w:color w:val="FF0000"/>
        </w:rPr>
        <w:t>PRQ 2 is divided into two sub-questions:</w:t>
      </w:r>
    </w:p>
    <w:p w14:paraId="452302D8" w14:textId="77777777" w:rsidR="0076429A" w:rsidRPr="00FD2C44" w:rsidRDefault="0076429A" w:rsidP="0076429A">
      <w:pPr>
        <w:snapToGrid w:val="0"/>
        <w:spacing w:before="100" w:beforeAutospacing="1" w:line="360" w:lineRule="auto"/>
        <w:rPr>
          <w:rFonts w:cs="Times New Roman"/>
          <w:bCs/>
          <w:i/>
          <w:iCs/>
          <w:color w:val="FF0000"/>
          <w:lang w:eastAsia="en-US"/>
        </w:rPr>
      </w:pPr>
      <w:r w:rsidRPr="00FD2C44">
        <w:rPr>
          <w:rFonts w:cs="Times New Roman"/>
          <w:bCs/>
          <w:i/>
          <w:iCs/>
          <w:color w:val="FF0000"/>
          <w:lang w:eastAsia="en-US"/>
        </w:rPr>
        <w:t>SQ1: What are the details of the stakeholder engagement process when establishing urban consolidation centre (UCC) projects in different countries?</w:t>
      </w:r>
    </w:p>
    <w:p w14:paraId="6B30F8E6" w14:textId="77777777" w:rsidR="0076429A" w:rsidRPr="00FD2C44" w:rsidRDefault="0076429A" w:rsidP="0076429A">
      <w:pPr>
        <w:spacing w:after="240" w:line="360" w:lineRule="auto"/>
        <w:rPr>
          <w:rFonts w:cs="Times New Roman"/>
          <w:bCs/>
          <w:color w:val="FF0000"/>
          <w:lang w:eastAsia="en-US"/>
        </w:rPr>
      </w:pPr>
      <w:r w:rsidRPr="00FD2C44">
        <w:rPr>
          <w:rFonts w:cs="Times New Roman"/>
          <w:color w:val="FF0000"/>
        </w:rPr>
        <w:t xml:space="preserve">To address SQ 1, Chapter 5 detailed the stakeholder engagement processes of four UCCs (two in Sweden and two in China). A comparative analysis of these cases was conducted, based on the framework proposed by </w:t>
      </w:r>
      <w:r w:rsidRPr="00FD2C44">
        <w:rPr>
          <w:rFonts w:cs="Times New Roman"/>
          <w:noProof/>
          <w:color w:val="FF0000"/>
        </w:rPr>
        <w:t>van den Bossche et al. (2017)</w:t>
      </w:r>
      <w:r w:rsidRPr="00FD2C44">
        <w:rPr>
          <w:rFonts w:cs="Times New Roman"/>
          <w:color w:val="FF0000"/>
        </w:rPr>
        <w:t xml:space="preserve">. This focused on the perspectives of the LPs, the manner of stakeholder engagement, and the final partnership between the stakeholders. Novel findings were revealed, proving that UCCs can generate benefits in all three dimensions of SUL. In addition, private stakeholders can identify their interest intersections in the UCC through a sound stakeholders’ engagement process. </w:t>
      </w:r>
    </w:p>
    <w:p w14:paraId="50C986FD" w14:textId="77777777" w:rsidR="0076429A" w:rsidRPr="00FD2C44" w:rsidRDefault="0076429A" w:rsidP="0076429A">
      <w:pPr>
        <w:snapToGrid w:val="0"/>
        <w:spacing w:before="100" w:beforeAutospacing="1" w:line="360" w:lineRule="auto"/>
        <w:rPr>
          <w:rFonts w:cs="Times New Roman"/>
          <w:bCs/>
          <w:i/>
          <w:iCs/>
          <w:color w:val="FF0000"/>
          <w:lang w:eastAsia="en-US"/>
        </w:rPr>
      </w:pPr>
      <w:r w:rsidRPr="00FD2C44">
        <w:rPr>
          <w:rFonts w:cs="Times New Roman"/>
          <w:bCs/>
          <w:i/>
          <w:iCs/>
          <w:color w:val="FF0000"/>
          <w:lang w:eastAsia="en-US"/>
        </w:rPr>
        <w:t>SQ 2: How to evaluate the heterogeneity of stakeholders’ objectives in urban consolidation centres (UCCs)?</w:t>
      </w:r>
    </w:p>
    <w:p w14:paraId="5E4C866E" w14:textId="77777777" w:rsidR="0076429A" w:rsidRPr="00FD2C44" w:rsidRDefault="0076429A" w:rsidP="0076429A">
      <w:pPr>
        <w:spacing w:after="240" w:line="360" w:lineRule="auto"/>
        <w:rPr>
          <w:rFonts w:cs="Times New Roman"/>
          <w:color w:val="FF0000"/>
          <w:szCs w:val="24"/>
        </w:rPr>
      </w:pPr>
      <w:r w:rsidRPr="00FD2C44">
        <w:rPr>
          <w:rFonts w:cs="Times New Roman"/>
          <w:bCs/>
          <w:color w:val="FF0000"/>
          <w:lang w:eastAsia="en-US"/>
        </w:rPr>
        <w:t xml:space="preserve">To resolve SQ 2, </w:t>
      </w:r>
      <w:r w:rsidRPr="00FD2C44">
        <w:rPr>
          <w:rFonts w:cs="Times New Roman"/>
          <w:color w:val="FF0000"/>
        </w:rPr>
        <w:t xml:space="preserve">AHP was used to identify the rank values of the stakeholder preferences for the indicators of the three SUL dimensions (economy, environment, and society), based on the Swedish and Chinese cases (see Chapter 6). The AHP results were then tested using </w:t>
      </w:r>
      <w:r w:rsidRPr="00FD2C44">
        <w:rPr>
          <w:rFonts w:cs="Times New Roman"/>
          <w:color w:val="FF0000"/>
          <w:szCs w:val="24"/>
        </w:rPr>
        <w:t xml:space="preserve">Kendall’s tau and Spearman’s rho coefficients. A thematic analysis was conducted to reveal the details and causes of conflicts between the pairs </w:t>
      </w:r>
      <w:r w:rsidRPr="00FD2C44">
        <w:rPr>
          <w:rFonts w:cs="Times New Roman"/>
          <w:color w:val="FF0000"/>
          <w:szCs w:val="24"/>
        </w:rPr>
        <w:lastRenderedPageBreak/>
        <w:t>of stakeholders, as highlighted in the interviews. The methodology and findings in this chapter could be used to improve stakeholder engagement during UCC planning.</w:t>
      </w:r>
    </w:p>
    <w:p w14:paraId="38CE00BB" w14:textId="77777777" w:rsidR="0076429A" w:rsidRPr="00FD2C44" w:rsidRDefault="0076429A" w:rsidP="0076429A">
      <w:pPr>
        <w:spacing w:line="360" w:lineRule="auto"/>
        <w:rPr>
          <w:rFonts w:cs="Times New Roman"/>
          <w:b/>
          <w:i/>
          <w:iCs/>
          <w:color w:val="FF0000"/>
          <w:lang w:eastAsia="en-US"/>
        </w:rPr>
      </w:pPr>
      <w:r w:rsidRPr="00FD2C44">
        <w:rPr>
          <w:rFonts w:cs="Times New Roman"/>
          <w:b/>
          <w:i/>
          <w:iCs/>
          <w:color w:val="FF0000"/>
          <w:lang w:eastAsia="en-US"/>
        </w:rPr>
        <w:t xml:space="preserve">PRQ 3: How to develop novel methods and models for cost and risk allocation among the UCC stakeholders? </w:t>
      </w:r>
    </w:p>
    <w:p w14:paraId="51FEC672" w14:textId="77777777" w:rsidR="0076429A" w:rsidRPr="00FD2C44" w:rsidRDefault="0076429A" w:rsidP="0076429A">
      <w:pPr>
        <w:spacing w:line="360" w:lineRule="auto"/>
        <w:rPr>
          <w:rFonts w:cs="Times New Roman"/>
          <w:bCs/>
          <w:color w:val="FF0000"/>
          <w:lang w:eastAsia="en-US"/>
        </w:rPr>
      </w:pPr>
      <w:r w:rsidRPr="00FD2C44">
        <w:rPr>
          <w:rFonts w:cs="Times New Roman"/>
          <w:bCs/>
          <w:color w:val="FF0000"/>
        </w:rPr>
        <w:t>PRQ 3 is divided into two sub-questions, and these are addressed in Chapter 7.</w:t>
      </w:r>
    </w:p>
    <w:p w14:paraId="360FEC51" w14:textId="77777777" w:rsidR="0076429A" w:rsidRPr="00FD2C44" w:rsidRDefault="0076429A" w:rsidP="0076429A">
      <w:pPr>
        <w:snapToGrid w:val="0"/>
        <w:spacing w:before="100" w:beforeAutospacing="1" w:line="360" w:lineRule="auto"/>
        <w:rPr>
          <w:rFonts w:cs="Times New Roman"/>
          <w:bCs/>
          <w:i/>
          <w:iCs/>
          <w:color w:val="FF0000"/>
        </w:rPr>
      </w:pPr>
      <w:r w:rsidRPr="00FD2C44">
        <w:rPr>
          <w:rFonts w:cs="Times New Roman"/>
          <w:bCs/>
          <w:i/>
          <w:iCs/>
          <w:color w:val="FF0000"/>
          <w:lang w:eastAsia="en-US"/>
        </w:rPr>
        <w:t xml:space="preserve">SQ3: What is the justification for the engagement of different stakeholders in a cost allocation </w:t>
      </w:r>
      <w:r w:rsidRPr="00FD2C44">
        <w:rPr>
          <w:rFonts w:cs="Times New Roman"/>
          <w:bCs/>
          <w:i/>
          <w:iCs/>
          <w:color w:val="FF0000"/>
        </w:rPr>
        <w:t>mechanism</w:t>
      </w:r>
      <w:r w:rsidRPr="00FD2C44">
        <w:rPr>
          <w:rFonts w:cs="Times New Roman"/>
          <w:bCs/>
          <w:i/>
          <w:iCs/>
          <w:color w:val="FF0000"/>
          <w:lang w:eastAsia="en-US"/>
        </w:rPr>
        <w:t>?</w:t>
      </w:r>
    </w:p>
    <w:p w14:paraId="1BE99E4B" w14:textId="77777777" w:rsidR="0076429A" w:rsidRPr="00FD2C44" w:rsidRDefault="0076429A" w:rsidP="0076429A">
      <w:pPr>
        <w:snapToGrid w:val="0"/>
        <w:spacing w:before="100" w:beforeAutospacing="1" w:line="360" w:lineRule="auto"/>
        <w:rPr>
          <w:rFonts w:cs="Times New Roman"/>
          <w:bCs/>
          <w:color w:val="FF0000"/>
          <w:lang w:eastAsia="en-US"/>
        </w:rPr>
      </w:pPr>
      <w:r w:rsidRPr="00FD2C44">
        <w:rPr>
          <w:rFonts w:cs="Times New Roman"/>
          <w:bCs/>
          <w:color w:val="FF0000"/>
          <w:lang w:eastAsia="en-US"/>
        </w:rPr>
        <w:t xml:space="preserve">In Chapter 7, the EPR and ECR models were presented to explain the engagement of different stakeholders in the cost-allocation mechanism. EPR </w:t>
      </w:r>
      <w:r w:rsidRPr="00FD2C44">
        <w:rPr>
          <w:rStyle w:val="fontstyle01"/>
          <w:rFonts w:cs="Times New Roman"/>
          <w:color w:val="FF0000"/>
        </w:rPr>
        <w:t xml:space="preserve">requires that the producer’s responsibility </w:t>
      </w:r>
      <w:proofErr w:type="gramStart"/>
      <w:r w:rsidRPr="00FD2C44">
        <w:rPr>
          <w:rStyle w:val="fontstyle01"/>
          <w:rFonts w:cs="Times New Roman"/>
          <w:color w:val="FF0000"/>
        </w:rPr>
        <w:t>is</w:t>
      </w:r>
      <w:proofErr w:type="gramEnd"/>
      <w:r w:rsidRPr="00FD2C44">
        <w:rPr>
          <w:rStyle w:val="fontstyle01"/>
          <w:rFonts w:cs="Times New Roman"/>
          <w:color w:val="FF0000"/>
        </w:rPr>
        <w:t xml:space="preserve"> extended to the lifecycle of the product. Conversely, ECR asks customers to take responsibility for the ‘societal harm’ caused by the commodities or services they wish to obtain. When EPR and ECR principles are implemented in the field of SUL, this calls on the supply-chain members of the UCC (including suppliers, LHCs, and customers) to take responsibility for the adverse effects of the delivery processes associated with goods or services purchased. </w:t>
      </w:r>
    </w:p>
    <w:p w14:paraId="6C6A65EE" w14:textId="77777777" w:rsidR="0076429A" w:rsidRPr="00FD2C44" w:rsidRDefault="0076429A" w:rsidP="0076429A">
      <w:pPr>
        <w:snapToGrid w:val="0"/>
        <w:spacing w:before="100" w:beforeAutospacing="1" w:line="360" w:lineRule="auto"/>
        <w:rPr>
          <w:rFonts w:cs="Times New Roman"/>
          <w:bCs/>
          <w:i/>
          <w:iCs/>
          <w:color w:val="FF0000"/>
          <w:lang w:eastAsia="en-US"/>
        </w:rPr>
      </w:pPr>
      <w:r w:rsidRPr="00FD2C44">
        <w:rPr>
          <w:rFonts w:cs="Times New Roman"/>
          <w:bCs/>
          <w:i/>
          <w:iCs/>
          <w:color w:val="FF0000"/>
          <w:lang w:eastAsia="en-US"/>
        </w:rPr>
        <w:t xml:space="preserve">SQ4: How </w:t>
      </w:r>
      <w:r w:rsidRPr="00FD2C44">
        <w:rPr>
          <w:rFonts w:cs="Times New Roman"/>
          <w:bCs/>
          <w:i/>
          <w:iCs/>
          <w:color w:val="FF0000"/>
        </w:rPr>
        <w:t>would</w:t>
      </w:r>
      <w:r w:rsidRPr="00FD2C44">
        <w:rPr>
          <w:rFonts w:cs="Times New Roman"/>
          <w:bCs/>
          <w:i/>
          <w:iCs/>
          <w:color w:val="FF0000"/>
          <w:lang w:eastAsia="en-US"/>
        </w:rPr>
        <w:t xml:space="preserve"> reasonable models of cost allocation among stakeholders participating in UCCs be defined?</w:t>
      </w:r>
    </w:p>
    <w:p w14:paraId="48D54EA0" w14:textId="77777777" w:rsidR="0076429A" w:rsidRPr="00FD2C44" w:rsidRDefault="0076429A" w:rsidP="0076429A">
      <w:pPr>
        <w:spacing w:after="240" w:line="360" w:lineRule="auto"/>
        <w:rPr>
          <w:rFonts w:cs="Times New Roman"/>
          <w:color w:val="FF0000"/>
        </w:rPr>
      </w:pPr>
      <w:r w:rsidRPr="00FD2C44">
        <w:rPr>
          <w:rFonts w:cs="Times New Roman"/>
          <w:color w:val="FF0000"/>
          <w:szCs w:val="24"/>
        </w:rPr>
        <w:t xml:space="preserve">Chapter 7 </w:t>
      </w:r>
      <w:r w:rsidRPr="00FD2C44">
        <w:rPr>
          <w:rFonts w:cs="Times New Roman"/>
          <w:color w:val="FF0000"/>
        </w:rPr>
        <w:t>addressed the financial issues caused by a lack of users willing to subscribe to the UCC’s service, proposing a cost-allocation model by which expenditure can be shared between upstream and downstream stakeholders. This cost-sharing mechanism is derived from cooperative game theory to ensure fairness and efficiency. In response to the upstream–downstream stakeholder hierarchy, three cost-allocation rules acquired from ATS and UTI were implemented: LRS, UES, and DES. The numerical results indicate that both UES and DES successfully reduce the operational cost of the UCC by sharing the costs with upstream and downstream stakeholders.</w:t>
      </w:r>
    </w:p>
    <w:p w14:paraId="27ED8582" w14:textId="197E8808" w:rsidR="006B2CF1" w:rsidRPr="00892C90" w:rsidRDefault="006B2CF1" w:rsidP="006B2CF1">
      <w:pPr>
        <w:spacing w:after="240" w:line="360" w:lineRule="auto"/>
        <w:rPr>
          <w:rFonts w:cs="Times New Roman"/>
          <w:color w:val="FF0000"/>
        </w:rPr>
      </w:pPr>
    </w:p>
    <w:p w14:paraId="498507FC" w14:textId="2C02B3C7" w:rsidR="006C312B" w:rsidRPr="006C312B" w:rsidRDefault="009526F9" w:rsidP="006C312B">
      <w:pPr>
        <w:pStyle w:val="Heading2"/>
        <w:spacing w:after="163"/>
      </w:pPr>
      <w:bookmarkStart w:id="1212" w:name="_Toc66703281"/>
      <w:r w:rsidRPr="009526F9">
        <w:lastRenderedPageBreak/>
        <w:t>Research contribution</w:t>
      </w:r>
      <w:bookmarkEnd w:id="1208"/>
      <w:bookmarkEnd w:id="1209"/>
      <w:bookmarkEnd w:id="1210"/>
      <w:bookmarkEnd w:id="1211"/>
      <w:bookmarkEnd w:id="1212"/>
    </w:p>
    <w:p w14:paraId="085161A8" w14:textId="5655ED32" w:rsidR="009526F9" w:rsidRDefault="009526F9" w:rsidP="007548C6">
      <w:pPr>
        <w:spacing w:after="240" w:line="360" w:lineRule="auto"/>
      </w:pPr>
      <w:r w:rsidRPr="009526F9">
        <w:t xml:space="preserve">This research seeks to mitigate the financial issues and internal issues caused by stakeholder conflict. These two issues have frequently led to the failure of UCC projects. The solutions to these problems include enabling planners to understand the financial status of the UCC at the initial planning stage; </w:t>
      </w:r>
      <w:r w:rsidR="00281D09" w:rsidRPr="009526F9">
        <w:t>identifying the reasons for the conflicts</w:t>
      </w:r>
      <w:r w:rsidR="00281D09">
        <w:t xml:space="preserve">; </w:t>
      </w:r>
      <w:r w:rsidRPr="009526F9">
        <w:t xml:space="preserve">allocating costs to various stakeholders; </w:t>
      </w:r>
      <w:r w:rsidR="001E41D0">
        <w:t xml:space="preserve">and </w:t>
      </w:r>
      <w:r w:rsidRPr="009526F9">
        <w:t>measuring the preferences of the stakeholders</w:t>
      </w:r>
      <w:r w:rsidR="00FF6580">
        <w:t>.</w:t>
      </w:r>
      <w:r w:rsidRPr="009526F9">
        <w:t xml:space="preserve"> Resolving these issues would promote the long-term sustainability of the UCC model. The contributions of this research are thus two-fold. First, this research fills the identified gap in the literature on UCCs. Second, it contributes to resolving some of the practical problems facing UCC projects.</w:t>
      </w:r>
    </w:p>
    <w:p w14:paraId="351C260D" w14:textId="77777777" w:rsidR="009526F9" w:rsidRPr="009526F9" w:rsidRDefault="009526F9" w:rsidP="00A767BE">
      <w:pPr>
        <w:pStyle w:val="Heading3"/>
      </w:pPr>
      <w:bookmarkStart w:id="1213" w:name="_Toc34734592"/>
      <w:bookmarkStart w:id="1214" w:name="_Toc46053510"/>
      <w:bookmarkStart w:id="1215" w:name="_Toc46093424"/>
      <w:bookmarkStart w:id="1216" w:name="_Toc46093707"/>
      <w:bookmarkStart w:id="1217" w:name="_Toc66703282"/>
      <w:r w:rsidRPr="009526F9">
        <w:t>Contribution to the literature</w:t>
      </w:r>
      <w:bookmarkEnd w:id="1213"/>
      <w:bookmarkEnd w:id="1214"/>
      <w:bookmarkEnd w:id="1215"/>
      <w:bookmarkEnd w:id="1216"/>
      <w:bookmarkEnd w:id="1217"/>
      <w:r w:rsidRPr="009526F9">
        <w:t xml:space="preserve"> </w:t>
      </w:r>
    </w:p>
    <w:p w14:paraId="7AF19FBB" w14:textId="0E6A8592" w:rsidR="00B72913" w:rsidRDefault="009526F9" w:rsidP="007548C6">
      <w:pPr>
        <w:spacing w:after="240" w:line="360" w:lineRule="auto"/>
      </w:pPr>
      <w:r w:rsidRPr="009526F9">
        <w:t xml:space="preserve">In terms of its academic contribution, this thesis fills the research gaps cited in </w:t>
      </w:r>
      <w:r w:rsidR="001E41D0">
        <w:t>S</w:t>
      </w:r>
      <w:r w:rsidRPr="009526F9">
        <w:t xml:space="preserve">ection 2.8.4 and thus enriches the study field. </w:t>
      </w:r>
    </w:p>
    <w:p w14:paraId="7BB65535" w14:textId="45AEF914" w:rsidR="00222F68" w:rsidRDefault="00B72913" w:rsidP="007548C6">
      <w:pPr>
        <w:spacing w:after="240" w:line="360" w:lineRule="auto"/>
      </w:pPr>
      <w:r>
        <w:t xml:space="preserve">Since </w:t>
      </w:r>
      <w:r w:rsidRPr="009526F9">
        <w:t xml:space="preserve">previous articles have highlighted that </w:t>
      </w:r>
      <w:r w:rsidR="001E41D0">
        <w:t xml:space="preserve">the </w:t>
      </w:r>
      <w:r w:rsidRPr="009526F9">
        <w:t>financial difficulties</w:t>
      </w:r>
      <w:r>
        <w:t xml:space="preserve"> of UCC</w:t>
      </w:r>
      <w:r w:rsidR="001E41D0">
        <w:t>s</w:t>
      </w:r>
      <w:r w:rsidRPr="009526F9">
        <w:t xml:space="preserve"> are normally caused by high initial investment/operational costs and insufficient consumers, few solutions to these issues have been proposed. </w:t>
      </w:r>
      <w:proofErr w:type="gramStart"/>
      <w:r w:rsidRPr="009526F9">
        <w:t>In an attempt to</w:t>
      </w:r>
      <w:proofErr w:type="gramEnd"/>
      <w:r w:rsidRPr="009526F9">
        <w:t xml:space="preserve"> resolve these cost problems, </w:t>
      </w:r>
      <w:r w:rsidR="001E41D0">
        <w:t>i</w:t>
      </w:r>
      <w:r w:rsidR="009526F9" w:rsidRPr="009526F9">
        <w:t>n Chapter 4, this research reveals the cost structure from a new perspective</w:t>
      </w:r>
      <w:r w:rsidR="003C132F">
        <w:t xml:space="preserve">. </w:t>
      </w:r>
      <w:r w:rsidR="003C132F" w:rsidRPr="009526F9">
        <w:t>It links the costs to the different goods movement processes, rather than dealing with categories of expenses, as in previous studies.</w:t>
      </w:r>
      <w:r w:rsidR="003C132F">
        <w:t xml:space="preserve"> The new cost structure extends</w:t>
      </w:r>
      <w:r w:rsidR="00A35BF5">
        <w:t xml:space="preserve"> the cost structure proposed by</w:t>
      </w:r>
      <w:r w:rsidR="001E41D0">
        <w:t xml:space="preserve"> the</w:t>
      </w:r>
      <w:r w:rsidR="00A35BF5">
        <w:t xml:space="preserve"> previous structure (</w:t>
      </w:r>
      <w:proofErr w:type="gramStart"/>
      <w:r w:rsidR="00A35BF5">
        <w:t>e.g.</w:t>
      </w:r>
      <w:proofErr w:type="gramEnd"/>
      <w:r w:rsidR="00A35BF5">
        <w:t xml:space="preserve"> </w:t>
      </w:r>
      <w:r w:rsidR="00EC17D7" w:rsidRPr="00EC17D7">
        <w:rPr>
          <w:rFonts w:ascii="Times-Roman" w:hAnsi="Times-Roman"/>
          <w:color w:val="000000"/>
          <w:sz w:val="26"/>
          <w:szCs w:val="26"/>
        </w:rPr>
        <w:t>Faure</w:t>
      </w:r>
      <w:r w:rsidR="00EC17D7">
        <w:t xml:space="preserve"> et al. (2015) </w:t>
      </w:r>
      <w:r w:rsidR="00A35BF5">
        <w:rPr>
          <w:noProof/>
        </w:rPr>
        <w:t xml:space="preserve">Duin et al. (2016), </w:t>
      </w:r>
      <w:r w:rsidR="00A35BF5" w:rsidRPr="00286F18">
        <w:rPr>
          <w:rFonts w:cs="Times New Roman"/>
          <w:szCs w:val="24"/>
        </w:rPr>
        <w:t>Lin et al. (2016)</w:t>
      </w:r>
      <w:r w:rsidR="00835BFF">
        <w:rPr>
          <w:rFonts w:cs="Times New Roman"/>
          <w:szCs w:val="24"/>
        </w:rPr>
        <w:t xml:space="preserve">, </w:t>
      </w:r>
      <w:r w:rsidR="00A35BF5">
        <w:rPr>
          <w:noProof/>
        </w:rPr>
        <w:t>Janjevic and Ndiaye (2017a)</w:t>
      </w:r>
      <w:r w:rsidR="00A35BF5">
        <w:t>).</w:t>
      </w:r>
      <w:r w:rsidR="003C132F">
        <w:t xml:space="preserve"> </w:t>
      </w:r>
      <w:r w:rsidR="009526F9" w:rsidRPr="009526F9">
        <w:t xml:space="preserve">Planners can thus </w:t>
      </w:r>
      <w:r w:rsidR="0096528B">
        <w:rPr>
          <w:rFonts w:hint="eastAsia"/>
        </w:rPr>
        <w:t>estimate</w:t>
      </w:r>
      <w:r w:rsidR="009526F9" w:rsidRPr="009526F9">
        <w:t xml:space="preserve"> the </w:t>
      </w:r>
      <w:r w:rsidR="0096528B">
        <w:rPr>
          <w:rFonts w:hint="eastAsia"/>
        </w:rPr>
        <w:t>cost</w:t>
      </w:r>
      <w:r w:rsidR="0096528B">
        <w:t xml:space="preserve"> </w:t>
      </w:r>
      <w:r w:rsidR="0096528B">
        <w:rPr>
          <w:rFonts w:hint="eastAsia"/>
        </w:rPr>
        <w:t>of</w:t>
      </w:r>
      <w:r w:rsidR="0096528B">
        <w:t xml:space="preserve"> </w:t>
      </w:r>
      <w:r w:rsidR="001E41D0">
        <w:t xml:space="preserve">a </w:t>
      </w:r>
      <w:r w:rsidR="0096528B">
        <w:rPr>
          <w:rFonts w:hint="eastAsia"/>
        </w:rPr>
        <w:t>UCC</w:t>
      </w:r>
      <w:r w:rsidR="0096528B">
        <w:t xml:space="preserve"> </w:t>
      </w:r>
      <w:r w:rsidR="0096528B">
        <w:rPr>
          <w:rFonts w:hint="eastAsia"/>
        </w:rPr>
        <w:t>as</w:t>
      </w:r>
      <w:r w:rsidR="0096528B">
        <w:t xml:space="preserve"> </w:t>
      </w:r>
      <w:r w:rsidR="0096528B">
        <w:rPr>
          <w:rFonts w:hint="eastAsia"/>
        </w:rPr>
        <w:t>early</w:t>
      </w:r>
      <w:r w:rsidR="0096528B">
        <w:t xml:space="preserve"> </w:t>
      </w:r>
      <w:r w:rsidR="0096528B">
        <w:rPr>
          <w:rFonts w:hint="eastAsia"/>
        </w:rPr>
        <w:t>as</w:t>
      </w:r>
      <w:r w:rsidR="001E41D0">
        <w:t xml:space="preserve"> the</w:t>
      </w:r>
      <w:r w:rsidR="0096528B">
        <w:t xml:space="preserve"> </w:t>
      </w:r>
      <w:r w:rsidR="00FA7123">
        <w:rPr>
          <w:rFonts w:hint="eastAsia"/>
        </w:rPr>
        <w:t>project</w:t>
      </w:r>
      <w:r w:rsidR="00FA7123">
        <w:t xml:space="preserve"> </w:t>
      </w:r>
      <w:r w:rsidR="00FA7123">
        <w:rPr>
          <w:rFonts w:hint="eastAsia"/>
        </w:rPr>
        <w:t>designing</w:t>
      </w:r>
      <w:r w:rsidR="00FA7123">
        <w:t xml:space="preserve"> </w:t>
      </w:r>
      <w:r w:rsidR="00FA7123">
        <w:rPr>
          <w:rFonts w:hint="eastAsia"/>
        </w:rPr>
        <w:t>stage.</w:t>
      </w:r>
      <w:r w:rsidR="00FA7123">
        <w:t xml:space="preserve"> Such </w:t>
      </w:r>
      <w:r w:rsidR="001E41D0">
        <w:t xml:space="preserve">a </w:t>
      </w:r>
      <w:r w:rsidR="00FA7123">
        <w:t xml:space="preserve">cost structure </w:t>
      </w:r>
      <w:r w:rsidR="009B4D3C">
        <w:t xml:space="preserve">also </w:t>
      </w:r>
      <w:r w:rsidR="00895B89">
        <w:t>enables</w:t>
      </w:r>
      <w:r w:rsidR="00FA7123">
        <w:t xml:space="preserve"> planners to monitor </w:t>
      </w:r>
      <w:r w:rsidR="009526F9" w:rsidRPr="009526F9">
        <w:t xml:space="preserve">dynamic changes in costs due to the </w:t>
      </w:r>
      <w:r w:rsidR="00FE325A">
        <w:t>value changes</w:t>
      </w:r>
      <w:r w:rsidR="009526F9" w:rsidRPr="009526F9">
        <w:t xml:space="preserve"> </w:t>
      </w:r>
      <w:r w:rsidR="00FE325A">
        <w:t>of relevant</w:t>
      </w:r>
      <w:r w:rsidR="009526F9" w:rsidRPr="009526F9">
        <w:t xml:space="preserve"> </w:t>
      </w:r>
      <w:r w:rsidR="00FE325A">
        <w:t>variables</w:t>
      </w:r>
      <w:r w:rsidR="009526F9" w:rsidRPr="009526F9">
        <w:t>.</w:t>
      </w:r>
    </w:p>
    <w:p w14:paraId="6604D644" w14:textId="63937937" w:rsidR="00A64120" w:rsidRPr="009526F9" w:rsidRDefault="009526F9" w:rsidP="007548C6">
      <w:pPr>
        <w:spacing w:after="240" w:line="360" w:lineRule="auto"/>
      </w:pPr>
      <w:r w:rsidRPr="009526F9">
        <w:lastRenderedPageBreak/>
        <w:t xml:space="preserve">In addition, regarding issues of low income caused by a lack of users, Chapter </w:t>
      </w:r>
      <w:r w:rsidR="00681B81">
        <w:t>7</w:t>
      </w:r>
      <w:r w:rsidRPr="009526F9">
        <w:t xml:space="preserve"> proposed that costs </w:t>
      </w:r>
      <w:r w:rsidR="00204297">
        <w:t>of UCC</w:t>
      </w:r>
      <w:r w:rsidR="00CD62C5">
        <w:t>s</w:t>
      </w:r>
      <w:r w:rsidR="00204297">
        <w:t xml:space="preserve"> can </w:t>
      </w:r>
      <w:r w:rsidRPr="009526F9">
        <w:t>be shared between stakeholders in the supply chain</w:t>
      </w:r>
      <w:r w:rsidR="00204297">
        <w:t xml:space="preserve"> through</w:t>
      </w:r>
      <w:r w:rsidRPr="009526F9">
        <w:t xml:space="preserve"> a fair and efficient mechanism. </w:t>
      </w:r>
      <w:r w:rsidR="005D035E">
        <w:t>T</w:t>
      </w:r>
      <w:r w:rsidRPr="009526F9">
        <w:t>hen</w:t>
      </w:r>
      <w:r w:rsidR="00B33B8E">
        <w:t>,</w:t>
      </w:r>
      <w:r w:rsidRPr="009526F9">
        <w:t xml:space="preserve"> buil</w:t>
      </w:r>
      <w:r w:rsidR="00B33B8E">
        <w:t>ding</w:t>
      </w:r>
      <w:r w:rsidRPr="009526F9">
        <w:t xml:space="preserve"> on this argument, </w:t>
      </w:r>
      <w:r w:rsidR="00204297">
        <w:t>this cha</w:t>
      </w:r>
      <w:r w:rsidR="00B33B8E">
        <w:t xml:space="preserve">pter </w:t>
      </w:r>
      <w:r w:rsidRPr="009526F9">
        <w:t>provid</w:t>
      </w:r>
      <w:r w:rsidR="00204297">
        <w:t>es</w:t>
      </w:r>
      <w:r w:rsidRPr="009526F9">
        <w:t xml:space="preserve"> further justification for the sharing of the costs throughout the supply chain. </w:t>
      </w:r>
      <w:r w:rsidR="00A64120">
        <w:t>T</w:t>
      </w:r>
      <w:r w:rsidR="00861F8E">
        <w:t>his</w:t>
      </w:r>
      <w:r w:rsidR="004E39B6" w:rsidRPr="005B72DB">
        <w:t xml:space="preserve"> cost allocation mechanism </w:t>
      </w:r>
      <w:r w:rsidR="006B463D">
        <w:t>has</w:t>
      </w:r>
      <w:r w:rsidR="00861F8E">
        <w:t xml:space="preserve"> two main functions</w:t>
      </w:r>
      <w:r w:rsidR="004E39B6" w:rsidRPr="005B72DB">
        <w:t>: (</w:t>
      </w:r>
      <w:proofErr w:type="spellStart"/>
      <w:r w:rsidR="004E39B6" w:rsidRPr="005B72DB">
        <w:t>i</w:t>
      </w:r>
      <w:proofErr w:type="spellEnd"/>
      <w:r w:rsidR="004E39B6" w:rsidRPr="005B72DB">
        <w:t>) cost allocation rules should span across individual stakeholders’ business boundaries</w:t>
      </w:r>
      <w:r w:rsidR="004E39B6">
        <w:t xml:space="preserve">. </w:t>
      </w:r>
      <w:r w:rsidR="004E39B6" w:rsidRPr="00861F8E">
        <w:t>Previous literatures reveal that the agents in a cost sharing mechanism have horizontal partnerships (Cleophas et al., 2019). It means these agents have the same attributes and their businesses are overlapping with each other (</w:t>
      </w:r>
      <w:proofErr w:type="spellStart"/>
      <w:r w:rsidR="004E39B6" w:rsidRPr="00861F8E">
        <w:t>Pomponi</w:t>
      </w:r>
      <w:proofErr w:type="spellEnd"/>
      <w:r w:rsidR="004E39B6" w:rsidRPr="00861F8E">
        <w:t xml:space="preserve"> et al., 2013). In existing studies, the adopted cost-allocation rules are utilised to share the gains and cost</w:t>
      </w:r>
      <w:r w:rsidR="00F344D7">
        <w:t>s</w:t>
      </w:r>
      <w:r w:rsidR="004E39B6" w:rsidRPr="00861F8E">
        <w:t xml:space="preserve"> in the scope of their overlapped business</w:t>
      </w:r>
      <w:r w:rsidR="009A7F94">
        <w:t>es</w:t>
      </w:r>
      <w:r w:rsidR="004E39B6" w:rsidRPr="00861F8E">
        <w:t xml:space="preserve">. Conversely, as stakeholders in </w:t>
      </w:r>
      <w:r w:rsidR="00250105">
        <w:t>a UCC network</w:t>
      </w:r>
      <w:r w:rsidR="004E39B6" w:rsidRPr="00861F8E">
        <w:t xml:space="preserve"> have different attributes, they have distinctive business boundaries. Thereby their responsibilities are confined to the scope of their individual operation</w:t>
      </w:r>
      <w:r w:rsidR="00A946D6">
        <w:t>s</w:t>
      </w:r>
      <w:r w:rsidR="004E39B6" w:rsidRPr="00861F8E">
        <w:t xml:space="preserve">. </w:t>
      </w:r>
      <w:proofErr w:type="gramStart"/>
      <w:r w:rsidR="004E39B6" w:rsidRPr="00861F8E">
        <w:t xml:space="preserve">For the purpose </w:t>
      </w:r>
      <w:r w:rsidR="00BD3937">
        <w:t>of</w:t>
      </w:r>
      <w:proofErr w:type="gramEnd"/>
      <w:r w:rsidR="004E39B6" w:rsidRPr="00861F8E">
        <w:t xml:space="preserve"> break</w:t>
      </w:r>
      <w:r w:rsidR="00BD3937">
        <w:t>ing</w:t>
      </w:r>
      <w:r w:rsidR="004E39B6" w:rsidRPr="00861F8E">
        <w:t xml:space="preserve"> such responsibility boundar</w:t>
      </w:r>
      <w:r w:rsidR="00BD3937">
        <w:t>ies</w:t>
      </w:r>
      <w:r w:rsidR="004E39B6" w:rsidRPr="00861F8E">
        <w:t xml:space="preserve">, the spirit of EPR and ECR </w:t>
      </w:r>
      <w:r w:rsidR="00AA615C">
        <w:t>is</w:t>
      </w:r>
      <w:r w:rsidR="004E39B6" w:rsidRPr="00861F8E">
        <w:t xml:space="preserve"> embedded in the cost-allocation rule to interlink stakeholders’ responsibilities.</w:t>
      </w:r>
      <w:r w:rsidR="004E39B6" w:rsidRPr="00861F8E">
        <w:rPr>
          <w:rFonts w:hint="eastAsia"/>
        </w:rPr>
        <w:t xml:space="preserve"> </w:t>
      </w:r>
      <w:r w:rsidR="004E39B6" w:rsidRPr="005B72DB">
        <w:t>(ii) c</w:t>
      </w:r>
      <w:r w:rsidR="004E39B6" w:rsidRPr="00861F8E">
        <w:t>ost allocation mechanisms provide rules for sharing the overall cost of the UCC network</w:t>
      </w:r>
      <w:r w:rsidR="00D438C6">
        <w:t xml:space="preserve"> conveniently</w:t>
      </w:r>
      <w:r w:rsidR="004E39B6" w:rsidRPr="00861F8E">
        <w:t>, involving all stakeholders in a multi-tier position according to fairness and efficiency principles. Such principle</w:t>
      </w:r>
      <w:r w:rsidR="00AA615C">
        <w:t>s</w:t>
      </w:r>
      <w:r w:rsidR="004E39B6" w:rsidRPr="00861F8E">
        <w:t xml:space="preserve"> address the issue of ‘how different private stakeholders pay for their responsibility’. However, in practice, a complex negotiation is required to enable the cost and benefits </w:t>
      </w:r>
      <w:r w:rsidR="00AA615C">
        <w:t>to be</w:t>
      </w:r>
      <w:r w:rsidR="004E39B6" w:rsidRPr="00861F8E">
        <w:t xml:space="preserve"> equally distributed among the agents (</w:t>
      </w:r>
      <w:proofErr w:type="spellStart"/>
      <w:r w:rsidR="004E39B6" w:rsidRPr="00861F8E">
        <w:t>Kurnia</w:t>
      </w:r>
      <w:proofErr w:type="spellEnd"/>
      <w:r w:rsidR="004E39B6" w:rsidRPr="00861F8E">
        <w:t xml:space="preserve"> and Johnston, 2001). Considering this, such rule</w:t>
      </w:r>
      <w:r w:rsidR="000239CF">
        <w:t>s</w:t>
      </w:r>
      <w:r w:rsidR="004E39B6" w:rsidRPr="00861F8E">
        <w:t xml:space="preserve"> could simplify the negotiations among the stakeholders</w:t>
      </w:r>
      <w:r w:rsidR="00EC3693">
        <w:t>,</w:t>
      </w:r>
      <w:r w:rsidR="004E39B6" w:rsidRPr="00861F8E">
        <w:t xml:space="preserve"> as a fair and effective measurement should be applied </w:t>
      </w:r>
      <w:r w:rsidR="00F34CC0">
        <w:t>among stakeholders</w:t>
      </w:r>
      <w:r w:rsidR="004E39B6" w:rsidRPr="00861F8E">
        <w:t xml:space="preserve"> to quantify what responsibility that one stakeholder has to the remaining stakeholders in the UCC</w:t>
      </w:r>
      <w:r w:rsidR="00EC3693">
        <w:t>-</w:t>
      </w:r>
      <w:r w:rsidR="004E39B6" w:rsidRPr="00861F8E">
        <w:t xml:space="preserve">based FTC. </w:t>
      </w:r>
    </w:p>
    <w:p w14:paraId="733FC107" w14:textId="313EC539" w:rsidR="00A31F00" w:rsidRDefault="00AB027C" w:rsidP="007548C6">
      <w:pPr>
        <w:spacing w:after="240" w:line="360" w:lineRule="auto"/>
      </w:pPr>
      <w:r>
        <w:t>Chapter 5</w:t>
      </w:r>
      <w:r w:rsidR="009526F9" w:rsidRPr="009526F9">
        <w:t xml:space="preserve"> investigated four operational UCC cases in Sweden and China. The findings illuminate the stakeholder engagement process in these facilities, based on primary data obtained from interviews, rather than relying on secondary data from the report. The </w:t>
      </w:r>
      <w:r w:rsidR="009526F9" w:rsidRPr="009526F9">
        <w:lastRenderedPageBreak/>
        <w:t xml:space="preserve">data here are accurate and reliable, having been collected directly from the operational cases. </w:t>
      </w:r>
      <w:r w:rsidR="005544F3" w:rsidRPr="009526F9">
        <w:t xml:space="preserve">Substantial information was obtained through interviews, thus providing a more comprehensive understanding of the UCC cases. Furthermore, as these four cases are newer than those investigated in previous studies (many of which are no longer in operation, such as the Bristol-Bath example), the information is up-to-date and representative. </w:t>
      </w:r>
      <w:r w:rsidR="00A31F00" w:rsidRPr="009526F9">
        <w:t>The motivations for project establishment and organisational structure in the Chinese cases differ from those of the standard UCC project in the EU, thus the current work supplements previous studies and expands on their insights into features of organisational structure and stakeholder relationships.</w:t>
      </w:r>
      <w:r w:rsidR="00A31F00">
        <w:t xml:space="preserve"> Different from previous studies</w:t>
      </w:r>
      <w:r w:rsidR="00366ED6">
        <w:t>,</w:t>
      </w:r>
      <w:r w:rsidR="00A31F00">
        <w:t xml:space="preserve"> which stress</w:t>
      </w:r>
      <w:r w:rsidR="00366ED6">
        <w:t xml:space="preserve"> that</w:t>
      </w:r>
      <w:r w:rsidR="00A31F00">
        <w:t xml:space="preserve"> </w:t>
      </w:r>
      <w:r w:rsidR="00366ED6">
        <w:t>sufficient</w:t>
      </w:r>
      <w:r w:rsidR="00A31F00">
        <w:t xml:space="preserve"> users base is the necessary condition of </w:t>
      </w:r>
      <w:r w:rsidR="00366ED6">
        <w:t xml:space="preserve">a </w:t>
      </w:r>
      <w:r w:rsidR="00A31F00">
        <w:t>self-sustained UCC, this chapter illustrate</w:t>
      </w:r>
      <w:r w:rsidR="008B0842">
        <w:t>s</w:t>
      </w:r>
      <w:r w:rsidR="00A31F00">
        <w:t xml:space="preserve"> two feasible stakeholders collaborative model which enable UCC</w:t>
      </w:r>
      <w:r w:rsidR="003F58B9">
        <w:t>s</w:t>
      </w:r>
      <w:r w:rsidR="00A31F00">
        <w:t xml:space="preserve"> to operate independently </w:t>
      </w:r>
      <w:r w:rsidR="00A31F00">
        <w:rPr>
          <w:rFonts w:hint="eastAsia"/>
        </w:rPr>
        <w:t>with</w:t>
      </w:r>
      <w:r w:rsidR="00A31F00">
        <w:t xml:space="preserve"> </w:t>
      </w:r>
      <w:r w:rsidR="00353712">
        <w:t xml:space="preserve">a </w:t>
      </w:r>
      <w:r w:rsidR="00A31F00">
        <w:t>limited number of users.</w:t>
      </w:r>
    </w:p>
    <w:p w14:paraId="42F52C49" w14:textId="7FB41229" w:rsidR="001E7A08" w:rsidRDefault="009969F3" w:rsidP="007548C6">
      <w:pPr>
        <w:spacing w:after="240" w:line="360" w:lineRule="auto"/>
      </w:pPr>
      <w:r>
        <w:t xml:space="preserve">This study underlines the importance of stakeholders collaboration in promoting the </w:t>
      </w:r>
      <w:r w:rsidR="00DD184E">
        <w:t>sustainability of the UCC project.</w:t>
      </w:r>
      <w:r w:rsidR="009F146F" w:rsidRPr="009F146F">
        <w:t xml:space="preserve"> </w:t>
      </w:r>
      <w:proofErr w:type="spellStart"/>
      <w:r w:rsidR="00C84D1B">
        <w:t>Specificically</w:t>
      </w:r>
      <w:proofErr w:type="spellEnd"/>
      <w:r w:rsidR="008B0842">
        <w:t>,</w:t>
      </w:r>
      <w:r w:rsidR="0085658F">
        <w:t xml:space="preserve"> </w:t>
      </w:r>
      <w:r w:rsidR="009F146F">
        <w:t xml:space="preserve">this study </w:t>
      </w:r>
      <w:r w:rsidR="009F146F" w:rsidRPr="009F146F">
        <w:t>elaborate</w:t>
      </w:r>
      <w:r w:rsidR="009F146F">
        <w:t>s</w:t>
      </w:r>
      <w:r w:rsidR="00C84D1B">
        <w:t xml:space="preserve"> that</w:t>
      </w:r>
      <w:r w:rsidR="009F146F">
        <w:t xml:space="preserve"> four types of stakeholders</w:t>
      </w:r>
      <w:r w:rsidR="00C84D1B">
        <w:t>’</w:t>
      </w:r>
      <w:r w:rsidR="009F146F">
        <w:t xml:space="preserve"> partnership</w:t>
      </w:r>
      <w:r w:rsidR="00C84D1B">
        <w:t>s</w:t>
      </w:r>
      <w:r w:rsidR="009F146F">
        <w:t xml:space="preserve"> can be buil</w:t>
      </w:r>
      <w:r w:rsidR="006B1B9D">
        <w:t>t in the UCC.</w:t>
      </w:r>
      <w:r w:rsidR="00072FA7">
        <w:t xml:space="preserve"> B</w:t>
      </w:r>
      <w:r w:rsidR="006B1B9D">
        <w:t>ased on this</w:t>
      </w:r>
      <w:r w:rsidR="0085658F">
        <w:t xml:space="preserve">, the </w:t>
      </w:r>
      <w:proofErr w:type="gramStart"/>
      <w:r w:rsidR="005544F3">
        <w:t>advantages</w:t>
      </w:r>
      <w:proofErr w:type="gramEnd"/>
      <w:r w:rsidR="00477ED3">
        <w:t xml:space="preserve"> </w:t>
      </w:r>
      <w:r w:rsidR="0085658F">
        <w:t>and disadvantages of each kind of partnership are discussed.</w:t>
      </w:r>
      <w:r w:rsidR="00072FA7" w:rsidRPr="00072FA7">
        <w:t xml:space="preserve"> </w:t>
      </w:r>
      <w:r w:rsidR="00072FA7" w:rsidRPr="009526F9">
        <w:t>Such work has rarely been done in this research field.</w:t>
      </w:r>
      <w:r w:rsidR="00072FA7">
        <w:t xml:space="preserve"> </w:t>
      </w:r>
      <w:r w:rsidR="00417ADD">
        <w:t xml:space="preserve">Then, this chapter </w:t>
      </w:r>
      <w:r w:rsidR="009816D2">
        <w:t>details the process of stakeholder</w:t>
      </w:r>
      <w:r w:rsidR="004460A7">
        <w:t>s engage</w:t>
      </w:r>
      <w:r w:rsidR="002A32A8">
        <w:t>ment</w:t>
      </w:r>
      <w:r w:rsidR="005544F3">
        <w:t>.</w:t>
      </w:r>
      <w:r w:rsidR="005544F3" w:rsidRPr="005544F3">
        <w:t xml:space="preserve"> </w:t>
      </w:r>
      <w:r w:rsidR="005544F3" w:rsidRPr="009526F9">
        <w:t>Some results do acknowledge the conclusions of previous studies. In addition, these new cases provide novel findings on the project properties, stakeholder relationships and preferences, as well as the business model, which have not been considered in previous papers.</w:t>
      </w:r>
      <w:r w:rsidR="005544F3" w:rsidRPr="005544F3">
        <w:t xml:space="preserve"> </w:t>
      </w:r>
    </w:p>
    <w:p w14:paraId="3CB84525" w14:textId="1B2B7377" w:rsidR="0034410E" w:rsidRDefault="00E8039E" w:rsidP="0034410E">
      <w:pPr>
        <w:spacing w:after="240" w:line="360" w:lineRule="auto"/>
      </w:pPr>
      <w:r>
        <w:t xml:space="preserve">Despite </w:t>
      </w:r>
      <w:r w:rsidR="002E2F91">
        <w:t xml:space="preserve">achieving </w:t>
      </w:r>
      <w:r w:rsidR="00A2144D">
        <w:t>the</w:t>
      </w:r>
      <w:r w:rsidR="0045665B">
        <w:t xml:space="preserve"> common </w:t>
      </w:r>
      <w:r w:rsidR="002E2F91">
        <w:t>objective</w:t>
      </w:r>
      <w:r w:rsidR="008F5B28">
        <w:t xml:space="preserve"> among stakeholders</w:t>
      </w:r>
      <w:r w:rsidR="0080032A">
        <w:t>, which</w:t>
      </w:r>
      <w:r w:rsidR="002E2F91">
        <w:t xml:space="preserve"> has been deemed </w:t>
      </w:r>
      <w:r w:rsidRPr="00E8039E">
        <w:t xml:space="preserve">as </w:t>
      </w:r>
      <w:r w:rsidR="002E2F91">
        <w:t>the meaningful outcome of stakeholders engagement</w:t>
      </w:r>
      <w:r w:rsidR="008F5B28">
        <w:t xml:space="preserve">, </w:t>
      </w:r>
      <w:r w:rsidR="008F5B28">
        <w:rPr>
          <w:rStyle w:val="fontstyle01"/>
        </w:rPr>
        <w:t>t</w:t>
      </w:r>
      <w:r w:rsidR="00303A6C">
        <w:rPr>
          <w:rStyle w:val="fontstyle01"/>
        </w:rPr>
        <w:t xml:space="preserve">here was a lack of formal methodologies to promote the stakeholders engagement process through </w:t>
      </w:r>
      <w:r w:rsidR="008323D7">
        <w:rPr>
          <w:rStyle w:val="fontstyle01"/>
        </w:rPr>
        <w:t>prevent</w:t>
      </w:r>
      <w:r w:rsidR="00666969">
        <w:rPr>
          <w:rStyle w:val="fontstyle01"/>
        </w:rPr>
        <w:t>ing</w:t>
      </w:r>
      <w:r w:rsidR="008323D7">
        <w:rPr>
          <w:rStyle w:val="fontstyle01"/>
        </w:rPr>
        <w:t xml:space="preserve"> the stakeholders </w:t>
      </w:r>
      <w:r w:rsidR="00666969">
        <w:rPr>
          <w:rStyle w:val="fontstyle01"/>
        </w:rPr>
        <w:t xml:space="preserve">from </w:t>
      </w:r>
      <w:proofErr w:type="spellStart"/>
      <w:r w:rsidR="008323D7">
        <w:rPr>
          <w:rStyle w:val="fontstyle01"/>
        </w:rPr>
        <w:t>conflict</w:t>
      </w:r>
      <w:r w:rsidR="005C2AE8">
        <w:rPr>
          <w:rStyle w:val="fontstyle01"/>
        </w:rPr>
        <w:t>ings</w:t>
      </w:r>
      <w:proofErr w:type="spellEnd"/>
      <w:r w:rsidR="008323D7">
        <w:rPr>
          <w:rStyle w:val="fontstyle01"/>
        </w:rPr>
        <w:t>.</w:t>
      </w:r>
      <w:r w:rsidR="0056661B">
        <w:rPr>
          <w:rStyle w:val="fontstyle01"/>
        </w:rPr>
        <w:t xml:space="preserve"> </w:t>
      </w:r>
      <w:r w:rsidR="009526F9" w:rsidRPr="009526F9">
        <w:t xml:space="preserve">This research used quantitative methods to measure the severity of stakeholder conflicts in the UCC, rather than relying </w:t>
      </w:r>
      <w:r w:rsidR="000F2EEB">
        <w:t>on</w:t>
      </w:r>
      <w:r w:rsidR="009526F9" w:rsidRPr="009526F9">
        <w:t xml:space="preserve"> analysis of stakeholder priorities through qualitative work. This method transformed the </w:t>
      </w:r>
      <w:r w:rsidR="009526F9" w:rsidRPr="009526F9">
        <w:lastRenderedPageBreak/>
        <w:t xml:space="preserve">cooperation status of different stakeholders that can only be perceived under qualitative descriptions into tangible values, which is more convenient for stakeholders to understand the closeness of the collaboration in </w:t>
      </w:r>
      <w:r w:rsidR="00360AD2">
        <w:t xml:space="preserve">the </w:t>
      </w:r>
      <w:r w:rsidR="009526F9" w:rsidRPr="009526F9">
        <w:t xml:space="preserve">UCC. </w:t>
      </w:r>
      <w:r w:rsidR="00CC60A1">
        <w:t>Furthermore, the</w:t>
      </w:r>
      <w:r w:rsidR="00A51EAD">
        <w:t xml:space="preserve"> complemented qualitative method</w:t>
      </w:r>
      <w:r w:rsidR="00CC60A1">
        <w:t xml:space="preserve"> </w:t>
      </w:r>
      <w:r w:rsidR="00DC138B">
        <w:t>was used to</w:t>
      </w:r>
      <w:r w:rsidR="00CC60A1">
        <w:t xml:space="preserve"> compare</w:t>
      </w:r>
      <w:r w:rsidR="00FE218A">
        <w:rPr>
          <w:rStyle w:val="fontstyle01"/>
        </w:rPr>
        <w:t xml:space="preserve"> the results of four UCCs </w:t>
      </w:r>
      <w:r w:rsidR="00360AD2">
        <w:rPr>
          <w:rStyle w:val="fontstyle01"/>
        </w:rPr>
        <w:t xml:space="preserve">and </w:t>
      </w:r>
      <w:r w:rsidR="00FE218A">
        <w:rPr>
          <w:rStyle w:val="fontstyle01"/>
        </w:rPr>
        <w:t xml:space="preserve">demonstrate the </w:t>
      </w:r>
      <w:r w:rsidR="006C7941">
        <w:rPr>
          <w:rStyle w:val="fontstyle01"/>
        </w:rPr>
        <w:t>possibility</w:t>
      </w:r>
      <w:r w:rsidR="00F67C2F">
        <w:rPr>
          <w:rStyle w:val="fontstyle01"/>
        </w:rPr>
        <w:t xml:space="preserve"> </w:t>
      </w:r>
      <w:r w:rsidR="00FE218A">
        <w:rPr>
          <w:rStyle w:val="fontstyle01"/>
        </w:rPr>
        <w:t xml:space="preserve">of </w:t>
      </w:r>
      <w:r w:rsidR="00F67C2F">
        <w:rPr>
          <w:rStyle w:val="fontstyle01"/>
        </w:rPr>
        <w:t xml:space="preserve">stakeholders’ conflicts </w:t>
      </w:r>
      <w:proofErr w:type="spellStart"/>
      <w:r w:rsidR="00F10D63">
        <w:rPr>
          <w:rStyle w:val="fontstyle01"/>
        </w:rPr>
        <w:t>exist</w:t>
      </w:r>
      <w:r w:rsidR="001C7D9E">
        <w:rPr>
          <w:rStyle w:val="fontstyle01"/>
        </w:rPr>
        <w:t>ing</w:t>
      </w:r>
      <w:r w:rsidR="00F67C2F">
        <w:rPr>
          <w:rStyle w:val="fontstyle01"/>
        </w:rPr>
        <w:t>in</w:t>
      </w:r>
      <w:proofErr w:type="spellEnd"/>
      <w:r w:rsidR="00F67C2F">
        <w:rPr>
          <w:rStyle w:val="fontstyle01"/>
        </w:rPr>
        <w:t xml:space="preserve"> different background</w:t>
      </w:r>
      <w:r w:rsidR="001C7D9E">
        <w:rPr>
          <w:rStyle w:val="fontstyle01"/>
        </w:rPr>
        <w:t>s</w:t>
      </w:r>
      <w:r w:rsidR="0034410E">
        <w:rPr>
          <w:rStyle w:val="fontstyle01"/>
        </w:rPr>
        <w:t xml:space="preserve"> as well as the reasons that cause such conflicts. </w:t>
      </w:r>
      <w:r w:rsidR="0034410E">
        <w:t xml:space="preserve">This </w:t>
      </w:r>
      <w:proofErr w:type="gramStart"/>
      <w:r w:rsidR="00F93DA8">
        <w:t>mixed</w:t>
      </w:r>
      <w:r w:rsidR="00F15DE3">
        <w:t>-</w:t>
      </w:r>
      <w:r w:rsidR="00F93DA8">
        <w:t>method</w:t>
      </w:r>
      <w:proofErr w:type="gramEnd"/>
      <w:r w:rsidR="0034410E" w:rsidRPr="009526F9">
        <w:t xml:space="preserve"> can well support the decision-making </w:t>
      </w:r>
      <w:bookmarkStart w:id="1218" w:name="_Toc34734593"/>
      <w:r w:rsidR="0034410E">
        <w:t>during UCC planning.</w:t>
      </w:r>
    </w:p>
    <w:p w14:paraId="7473E6BE" w14:textId="5ACE7055" w:rsidR="009526F9" w:rsidRPr="0034410E" w:rsidRDefault="009526F9" w:rsidP="00A767BE">
      <w:pPr>
        <w:pStyle w:val="Heading3"/>
      </w:pPr>
      <w:bookmarkStart w:id="1219" w:name="_Toc46053511"/>
      <w:bookmarkStart w:id="1220" w:name="_Toc46093425"/>
      <w:bookmarkStart w:id="1221" w:name="_Toc46093708"/>
      <w:bookmarkStart w:id="1222" w:name="_Toc66703283"/>
      <w:r w:rsidRPr="0034410E">
        <w:t>Practical contribution</w:t>
      </w:r>
      <w:bookmarkEnd w:id="1218"/>
      <w:bookmarkEnd w:id="1219"/>
      <w:bookmarkEnd w:id="1220"/>
      <w:bookmarkEnd w:id="1221"/>
      <w:bookmarkEnd w:id="1222"/>
    </w:p>
    <w:p w14:paraId="70C468DE" w14:textId="45E87586" w:rsidR="00197D38" w:rsidRPr="0046355C" w:rsidRDefault="009526F9" w:rsidP="007548C6">
      <w:pPr>
        <w:spacing w:after="240" w:line="360" w:lineRule="auto"/>
        <w:rPr>
          <w:rStyle w:val="fontstyle01"/>
          <w:rFonts w:hint="eastAsia"/>
        </w:rPr>
      </w:pPr>
      <w:r w:rsidRPr="0046355C">
        <w:rPr>
          <w:rStyle w:val="fontstyle01"/>
        </w:rPr>
        <w:t xml:space="preserve">Overall, this research aims to promote the success of the UCC projects to be built in the future. </w:t>
      </w:r>
      <w:r w:rsidR="00197D38" w:rsidRPr="0046355C">
        <w:rPr>
          <w:rStyle w:val="fontstyle01"/>
        </w:rPr>
        <w:t xml:space="preserve">As presented in Chapter 5, the experiences of these four cases can be illuminating for other UCCs in their planning stages, highlighting potential </w:t>
      </w:r>
      <w:r w:rsidR="000B7D54" w:rsidRPr="0046355C">
        <w:rPr>
          <w:rStyle w:val="fontstyle01"/>
        </w:rPr>
        <w:t xml:space="preserve">stakeholder collaboration models in </w:t>
      </w:r>
      <w:r w:rsidR="001C7D9E">
        <w:rPr>
          <w:rStyle w:val="fontstyle01"/>
        </w:rPr>
        <w:t xml:space="preserve">a </w:t>
      </w:r>
      <w:r w:rsidR="000B7D54" w:rsidRPr="0046355C">
        <w:rPr>
          <w:rStyle w:val="fontstyle01"/>
        </w:rPr>
        <w:t xml:space="preserve">UCC </w:t>
      </w:r>
      <w:r w:rsidR="00197D38" w:rsidRPr="0046355C">
        <w:rPr>
          <w:rStyle w:val="fontstyle01"/>
        </w:rPr>
        <w:t xml:space="preserve">project. </w:t>
      </w:r>
      <w:r w:rsidR="00301751" w:rsidRPr="0046355C">
        <w:rPr>
          <w:rStyle w:val="fontstyle01"/>
        </w:rPr>
        <w:t xml:space="preserve">The findings of </w:t>
      </w:r>
      <w:r w:rsidR="00301751" w:rsidRPr="0046355C">
        <w:rPr>
          <w:rStyle w:val="fontstyle01"/>
          <w:rFonts w:hint="eastAsia"/>
        </w:rPr>
        <w:t>Chapter</w:t>
      </w:r>
      <w:r w:rsidR="00301751" w:rsidRPr="0046355C">
        <w:rPr>
          <w:rStyle w:val="fontstyle01"/>
        </w:rPr>
        <w:t xml:space="preserve"> 6 identify the types </w:t>
      </w:r>
      <w:r w:rsidR="00301751" w:rsidRPr="0046355C">
        <w:rPr>
          <w:rStyle w:val="fontstyle01"/>
          <w:rFonts w:hint="eastAsia"/>
        </w:rPr>
        <w:t>of</w:t>
      </w:r>
      <w:r w:rsidR="00301751" w:rsidRPr="0046355C">
        <w:rPr>
          <w:rStyle w:val="fontstyle01"/>
        </w:rPr>
        <w:t xml:space="preserve"> stakeholder conflicts </w:t>
      </w:r>
      <w:r w:rsidR="00301751" w:rsidRPr="0046355C">
        <w:rPr>
          <w:rStyle w:val="fontstyle01"/>
          <w:rFonts w:hint="eastAsia"/>
        </w:rPr>
        <w:t>as</w:t>
      </w:r>
      <w:r w:rsidR="00301751" w:rsidRPr="0046355C">
        <w:rPr>
          <w:rStyle w:val="fontstyle01"/>
        </w:rPr>
        <w:t xml:space="preserve"> well as </w:t>
      </w:r>
      <w:r w:rsidR="00197D38" w:rsidRPr="0046355C">
        <w:rPr>
          <w:rStyle w:val="fontstyle01"/>
        </w:rPr>
        <w:t>demonstrates</w:t>
      </w:r>
      <w:r w:rsidR="0060029C" w:rsidRPr="0046355C">
        <w:rPr>
          <w:rStyle w:val="fontstyle01"/>
        </w:rPr>
        <w:t xml:space="preserve"> </w:t>
      </w:r>
      <w:r w:rsidR="00C66159" w:rsidRPr="0046355C">
        <w:rPr>
          <w:rStyle w:val="fontstyle01"/>
        </w:rPr>
        <w:t xml:space="preserve">the reasons </w:t>
      </w:r>
      <w:r w:rsidR="00B91952">
        <w:rPr>
          <w:rStyle w:val="fontstyle01"/>
        </w:rPr>
        <w:t>for</w:t>
      </w:r>
      <w:r w:rsidR="00C66159" w:rsidRPr="0046355C">
        <w:rPr>
          <w:rStyle w:val="fontstyle01"/>
        </w:rPr>
        <w:t xml:space="preserve"> </w:t>
      </w:r>
      <w:proofErr w:type="gramStart"/>
      <w:r w:rsidR="00301751" w:rsidRPr="0046355C">
        <w:rPr>
          <w:rStyle w:val="fontstyle01"/>
        </w:rPr>
        <w:t>these</w:t>
      </w:r>
      <w:r w:rsidR="00301751" w:rsidRPr="0046355C">
        <w:rPr>
          <w:rStyle w:val="fontstyle01"/>
          <w:rFonts w:hint="eastAsia"/>
        </w:rPr>
        <w:t xml:space="preserve"> </w:t>
      </w:r>
      <w:r w:rsidR="00C66159" w:rsidRPr="0046355C">
        <w:rPr>
          <w:rStyle w:val="fontstyle01"/>
        </w:rPr>
        <w:t>conflict</w:t>
      </w:r>
      <w:proofErr w:type="gramEnd"/>
      <w:r w:rsidR="00301751" w:rsidRPr="0046355C">
        <w:rPr>
          <w:rStyle w:val="fontstyle01"/>
        </w:rPr>
        <w:t>.</w:t>
      </w:r>
      <w:r w:rsidR="00F46EBE" w:rsidRPr="0046355C">
        <w:rPr>
          <w:rStyle w:val="fontstyle01"/>
        </w:rPr>
        <w:t xml:space="preserve"> Such results </w:t>
      </w:r>
      <w:r w:rsidR="0022195F" w:rsidRPr="0046355C">
        <w:rPr>
          <w:rStyle w:val="fontstyle01"/>
        </w:rPr>
        <w:t xml:space="preserve">can </w:t>
      </w:r>
      <w:r w:rsidR="00F46EBE" w:rsidRPr="0046355C">
        <w:rPr>
          <w:rStyle w:val="fontstyle01"/>
        </w:rPr>
        <w:t>help UCC planers to predict potential conflicts that would be generated in stakeholders engagement</w:t>
      </w:r>
      <w:r w:rsidR="0022195F" w:rsidRPr="0046355C">
        <w:rPr>
          <w:rStyle w:val="fontstyle01"/>
        </w:rPr>
        <w:t xml:space="preserve">, thus </w:t>
      </w:r>
      <w:r w:rsidR="0046355C" w:rsidRPr="0046355C">
        <w:rPr>
          <w:rStyle w:val="fontstyle01"/>
        </w:rPr>
        <w:t xml:space="preserve">contributing to </w:t>
      </w:r>
      <w:r w:rsidR="00EF78AA">
        <w:rPr>
          <w:rStyle w:val="fontstyle01"/>
        </w:rPr>
        <w:t>reach</w:t>
      </w:r>
      <w:r w:rsidR="001C7D9E">
        <w:rPr>
          <w:rStyle w:val="fontstyle01"/>
        </w:rPr>
        <w:t>ing</w:t>
      </w:r>
      <w:r w:rsidR="0046355C" w:rsidRPr="0046355C">
        <w:rPr>
          <w:rStyle w:val="fontstyle01"/>
        </w:rPr>
        <w:t xml:space="preserve"> an agreement between different stakeholders. </w:t>
      </w:r>
    </w:p>
    <w:p w14:paraId="387A8883" w14:textId="4BCC7940" w:rsidR="009526F9" w:rsidRPr="00197D38" w:rsidRDefault="00197D38" w:rsidP="007548C6">
      <w:pPr>
        <w:spacing w:after="240" w:line="360" w:lineRule="auto"/>
      </w:pPr>
      <w:r w:rsidRPr="009526F9">
        <w:t xml:space="preserve">Chapter </w:t>
      </w:r>
      <w:r>
        <w:t>8</w:t>
      </w:r>
      <w:r w:rsidRPr="009526F9">
        <w:t xml:space="preserve"> </w:t>
      </w:r>
      <w:r w:rsidR="00B82115">
        <w:t>is</w:t>
      </w:r>
      <w:r w:rsidRPr="009526F9">
        <w:t xml:space="preserve"> intended to facilitate more informed decision-making in the planning stages of these projects. A useful estimation of the required investment for setting up a UCC facility and the possible operation costs will be presented to planners. </w:t>
      </w:r>
      <w:r>
        <w:t xml:space="preserve">In this way, </w:t>
      </w:r>
      <w:r w:rsidR="001C7D9E">
        <w:t xml:space="preserve">a </w:t>
      </w:r>
      <w:r>
        <w:t>UCC plan</w:t>
      </w:r>
      <w:r w:rsidR="00246BB3">
        <w:t>n</w:t>
      </w:r>
      <w:r>
        <w:t xml:space="preserve">er </w:t>
      </w:r>
      <w:r w:rsidR="00246BB3">
        <w:t xml:space="preserve">can </w:t>
      </w:r>
      <w:r w:rsidR="00FA43C6">
        <w:t>first</w:t>
      </w:r>
      <w:r>
        <w:t xml:space="preserve"> generate an insight </w:t>
      </w:r>
      <w:r w:rsidR="004F7094">
        <w:t xml:space="preserve">into </w:t>
      </w:r>
      <w:r>
        <w:t>whether a UCC project is more competitive to directly deliver</w:t>
      </w:r>
      <w:r w:rsidR="00E137B8">
        <w:t>.</w:t>
      </w:r>
      <w:r>
        <w:t xml:space="preserve"> </w:t>
      </w:r>
      <w:r w:rsidR="00FA43C6">
        <w:t xml:space="preserve">Then, </w:t>
      </w:r>
      <w:r w:rsidR="001738F5">
        <w:t xml:space="preserve">a </w:t>
      </w:r>
      <w:r w:rsidR="00FA43C6">
        <w:t>p</w:t>
      </w:r>
      <w:r>
        <w:t>lanner</w:t>
      </w:r>
      <w:r w:rsidR="001738F5">
        <w:t xml:space="preserve"> of </w:t>
      </w:r>
      <w:r w:rsidR="001C7D9E">
        <w:t xml:space="preserve">a </w:t>
      </w:r>
      <w:r w:rsidR="001738F5">
        <w:t>UCC</w:t>
      </w:r>
      <w:r>
        <w:t xml:space="preserve"> could choose the right location </w:t>
      </w:r>
      <w:r w:rsidR="00246BB3">
        <w:t>for the</w:t>
      </w:r>
      <w:r>
        <w:t xml:space="preserve"> UCC based on the estimated facility cost and distribution cost</w:t>
      </w:r>
      <w:r w:rsidR="00E137B8">
        <w:t>.</w:t>
      </w:r>
      <w:r>
        <w:t xml:space="preserve"> </w:t>
      </w:r>
      <w:r w:rsidR="00FA43C6">
        <w:t xml:space="preserve">Lastly, </w:t>
      </w:r>
      <w:r>
        <w:t xml:space="preserve">planners could choose the affordable UCC configuration, in terms of numbers and types </w:t>
      </w:r>
      <w:r w:rsidR="00E823B6">
        <w:t xml:space="preserve">of </w:t>
      </w:r>
      <w:r>
        <w:t>vehicles to purchase, employed human resources</w:t>
      </w:r>
      <w:r w:rsidR="003E0F46">
        <w:t>, pricing strategy</w:t>
      </w:r>
      <w:r>
        <w:t xml:space="preserve"> as well as the working hours. This</w:t>
      </w:r>
      <w:r w:rsidRPr="009526F9">
        <w:t xml:space="preserve"> estimat</w:t>
      </w:r>
      <w:r w:rsidR="00F27A89">
        <w:t>ion</w:t>
      </w:r>
      <w:r w:rsidRPr="009526F9">
        <w:t xml:space="preserve"> of the facility’s future financial situation can thus </w:t>
      </w:r>
      <w:r w:rsidR="00E823B6">
        <w:t>minimise</w:t>
      </w:r>
      <w:r w:rsidRPr="009526F9">
        <w:t xml:space="preserve"> losses due to unreasonable resource deployment.</w:t>
      </w:r>
      <w:r w:rsidR="009526F9" w:rsidRPr="00AB5DD1">
        <w:rPr>
          <w:color w:val="FF0000"/>
        </w:rPr>
        <w:t xml:space="preserve">                                                                                                                                                                                                                                                                                                                                                                                                                                                                                                                                                                                               </w:t>
      </w:r>
    </w:p>
    <w:p w14:paraId="4FD3D03F" w14:textId="77777777" w:rsidR="009526F9" w:rsidRPr="009526F9" w:rsidRDefault="009526F9" w:rsidP="00DD570E">
      <w:pPr>
        <w:pStyle w:val="Heading2"/>
        <w:spacing w:after="163"/>
        <w:rPr>
          <w:rFonts w:cs="Times New Roman"/>
          <w:szCs w:val="24"/>
        </w:rPr>
      </w:pPr>
      <w:bookmarkStart w:id="1223" w:name="_Toc34734594"/>
      <w:bookmarkStart w:id="1224" w:name="_Toc46053512"/>
      <w:bookmarkStart w:id="1225" w:name="_Toc46093426"/>
      <w:bookmarkStart w:id="1226" w:name="_Toc46093709"/>
      <w:bookmarkStart w:id="1227" w:name="_Toc66703284"/>
      <w:r w:rsidRPr="009526F9">
        <w:lastRenderedPageBreak/>
        <w:t>Research limitations and further improvements</w:t>
      </w:r>
      <w:bookmarkEnd w:id="1223"/>
      <w:bookmarkEnd w:id="1224"/>
      <w:bookmarkEnd w:id="1225"/>
      <w:bookmarkEnd w:id="1226"/>
      <w:bookmarkEnd w:id="1227"/>
    </w:p>
    <w:p w14:paraId="00C2703C" w14:textId="7F28B73B" w:rsidR="009526F9" w:rsidRDefault="009526F9" w:rsidP="007548C6">
      <w:pPr>
        <w:spacing w:after="240" w:line="360" w:lineRule="auto"/>
      </w:pPr>
      <w:r w:rsidRPr="009526F9">
        <w:t>The limitation of Chapter 4 is that the cost structure could be further refined. This model depends on previous studies, but only limited types of cost have been considered in the literature. Furthermore, the cost structure is not based on real cases, as stakeholders are typically unwilling to disclose their cost structures, for different reasons. In future research, the cost categories could be expanded through</w:t>
      </w:r>
      <w:r w:rsidR="002D1E13">
        <w:t xml:space="preserve"> an</w:t>
      </w:r>
      <w:r w:rsidRPr="009526F9">
        <w:t xml:space="preserve"> in-depth investigation with some real cases. </w:t>
      </w:r>
    </w:p>
    <w:p w14:paraId="2C3F5D93" w14:textId="21F030EE" w:rsidR="001138E2" w:rsidRDefault="00F17713" w:rsidP="007548C6">
      <w:pPr>
        <w:spacing w:after="240" w:line="360" w:lineRule="auto"/>
      </w:pPr>
      <w:r>
        <w:t>C</w:t>
      </w:r>
      <w:r w:rsidR="009F546F">
        <w:t xml:space="preserve">hapter 5 and 6 </w:t>
      </w:r>
      <w:r w:rsidR="009F546F" w:rsidRPr="009526F9">
        <w:t>focused</w:t>
      </w:r>
      <w:r w:rsidR="001138E2" w:rsidRPr="009526F9">
        <w:t xml:space="preserve"> solely on the primary stakeholders in the UCC, thus not revealing all types of issues arising in the UCC network. Future work should involve secondary stakeholders to highlight their opinions</w:t>
      </w:r>
      <w:r>
        <w:t>,</w:t>
      </w:r>
      <w:r w:rsidR="0079485A">
        <w:t xml:space="preserve"> </w:t>
      </w:r>
      <w:r w:rsidR="0079485A" w:rsidRPr="005862AC">
        <w:rPr>
          <w:rFonts w:asciiTheme="majorBidi" w:hAnsiTheme="majorBidi" w:cstheme="majorBidi"/>
          <w:szCs w:val="24"/>
        </w:rPr>
        <w:t xml:space="preserve">including </w:t>
      </w:r>
      <w:r w:rsidR="003B473E">
        <w:rPr>
          <w:rFonts w:asciiTheme="majorBidi" w:hAnsiTheme="majorBidi" w:cstheme="majorBidi"/>
          <w:szCs w:val="24"/>
        </w:rPr>
        <w:t xml:space="preserve">intercity carriers </w:t>
      </w:r>
      <w:r w:rsidR="0079485A" w:rsidRPr="005862AC">
        <w:rPr>
          <w:rFonts w:asciiTheme="majorBidi" w:hAnsiTheme="majorBidi" w:cstheme="majorBidi"/>
          <w:szCs w:val="24"/>
        </w:rPr>
        <w:t xml:space="preserve">and </w:t>
      </w:r>
      <w:r w:rsidR="003B473E">
        <w:rPr>
          <w:rFonts w:asciiTheme="majorBidi" w:hAnsiTheme="majorBidi" w:cstheme="majorBidi"/>
          <w:szCs w:val="24"/>
        </w:rPr>
        <w:t>receivers</w:t>
      </w:r>
      <w:r w:rsidR="001138E2" w:rsidRPr="009526F9">
        <w:t>. The pairwise comparison matrix should be provided to them to compare their preferences with those of the primary stakeholders. Furthermore, the exact data of the selected indicators would enable a comparison with the real performance of the UCC on different dimensions of SUL.</w:t>
      </w:r>
      <w:r w:rsidR="00D632E4">
        <w:t xml:space="preserve"> </w:t>
      </w:r>
      <w:r w:rsidR="006732CF">
        <w:t>Since t</w:t>
      </w:r>
      <w:r w:rsidR="00D632E4">
        <w:t xml:space="preserve">he case study selection is based on four </w:t>
      </w:r>
      <w:r w:rsidR="00C52453">
        <w:t>in-operation UCCs</w:t>
      </w:r>
      <w:r w:rsidR="006732CF">
        <w:t xml:space="preserve">, </w:t>
      </w:r>
      <w:r w:rsidR="00F74370">
        <w:t xml:space="preserve">the </w:t>
      </w:r>
      <w:r w:rsidR="00FD1251">
        <w:t xml:space="preserve">agenda of </w:t>
      </w:r>
      <w:r w:rsidR="006E7E7A">
        <w:t>stakeholders engagement</w:t>
      </w:r>
      <w:r w:rsidR="00F74370">
        <w:t xml:space="preserve"> (</w:t>
      </w:r>
      <w:r w:rsidR="0065153B">
        <w:t>e.g. (</w:t>
      </w:r>
      <w:proofErr w:type="spellStart"/>
      <w:r w:rsidR="0065153B">
        <w:t>i</w:t>
      </w:r>
      <w:proofErr w:type="spellEnd"/>
      <w:r w:rsidR="0065153B">
        <w:t>)</w:t>
      </w:r>
      <w:r w:rsidR="00F74370">
        <w:t xml:space="preserve"> </w:t>
      </w:r>
      <w:r w:rsidR="00E77FEA">
        <w:t>identifying</w:t>
      </w:r>
      <w:r w:rsidR="0065153B">
        <w:t xml:space="preserve"> the interest intersections</w:t>
      </w:r>
      <w:r w:rsidR="00E77FEA">
        <w:t xml:space="preserve">, </w:t>
      </w:r>
      <w:r w:rsidR="0065153B">
        <w:t xml:space="preserve">(ii) formulating the common </w:t>
      </w:r>
      <w:r w:rsidR="00E77FEA">
        <w:t>objectives, etc.)</w:t>
      </w:r>
      <w:r w:rsidR="000701F5">
        <w:t xml:space="preserve"> </w:t>
      </w:r>
      <w:r w:rsidR="00E823B6">
        <w:t>is</w:t>
      </w:r>
      <w:r w:rsidR="00F74370">
        <w:t xml:space="preserve"> already </w:t>
      </w:r>
      <w:r w:rsidR="000701F5">
        <w:t>completed. S</w:t>
      </w:r>
      <w:r w:rsidR="002A675C">
        <w:t xml:space="preserve">ome information about the </w:t>
      </w:r>
      <w:r w:rsidR="006732CF">
        <w:t xml:space="preserve">details of </w:t>
      </w:r>
      <w:r w:rsidR="002A675C">
        <w:t xml:space="preserve">their stakeholders </w:t>
      </w:r>
      <w:proofErr w:type="gramStart"/>
      <w:r w:rsidR="00663C9E">
        <w:t>engagement</w:t>
      </w:r>
      <w:r w:rsidR="000701F5">
        <w:t xml:space="preserve">  cannot</w:t>
      </w:r>
      <w:proofErr w:type="gramEnd"/>
      <w:r w:rsidR="000701F5">
        <w:t xml:space="preserve"> get</w:t>
      </w:r>
      <w:r w:rsidR="00F74370">
        <w:t xml:space="preserve">. </w:t>
      </w:r>
      <w:r w:rsidR="008A5E4E">
        <w:t xml:space="preserve"> For instance, </w:t>
      </w:r>
      <w:r w:rsidR="006732CF" w:rsidRPr="00E77FEA">
        <w:t>how different stakeholders are organised to construct the UCC</w:t>
      </w:r>
      <w:r w:rsidR="008A5E4E">
        <w:t xml:space="preserve">; </w:t>
      </w:r>
      <w:r w:rsidR="001B0674" w:rsidRPr="00E77FEA">
        <w:t>how different stakeholders are dealing with the conflicts together</w:t>
      </w:r>
      <w:r w:rsidR="001B0674">
        <w:t>.</w:t>
      </w:r>
      <w:r w:rsidR="00F7393F">
        <w:t xml:space="preserve"> </w:t>
      </w:r>
      <w:r w:rsidR="00FD1251">
        <w:t>I</w:t>
      </w:r>
      <w:r w:rsidR="006E7E7A">
        <w:t xml:space="preserve">n the future, </w:t>
      </w:r>
      <w:r w:rsidR="0078675B">
        <w:t xml:space="preserve">in-planning UCC cases should be </w:t>
      </w:r>
      <w:r w:rsidR="002C6E70">
        <w:t>selected</w:t>
      </w:r>
      <w:r w:rsidR="0078675B">
        <w:t xml:space="preserve"> as example</w:t>
      </w:r>
      <w:r w:rsidR="00F17D01">
        <w:t>s</w:t>
      </w:r>
      <w:r w:rsidR="0078675B">
        <w:t xml:space="preserve"> in the case study. </w:t>
      </w:r>
      <w:r w:rsidR="00F17D01">
        <w:t xml:space="preserve">Thereby </w:t>
      </w:r>
      <w:r w:rsidR="000935FA">
        <w:t>this study</w:t>
      </w:r>
      <w:r w:rsidR="00F17D01">
        <w:t xml:space="preserve"> can </w:t>
      </w:r>
      <w:r w:rsidR="00D076A9">
        <w:t>evaluate</w:t>
      </w:r>
      <w:r w:rsidR="00F17D01">
        <w:t xml:space="preserve"> the effectiveness of</w:t>
      </w:r>
      <w:r w:rsidR="009E5D14">
        <w:t xml:space="preserve"> the methodology in dealing with the </w:t>
      </w:r>
      <w:r w:rsidR="00705194">
        <w:t>conflicts during the stakeholders engagement.</w:t>
      </w:r>
      <w:r w:rsidR="00F17D01">
        <w:t xml:space="preserve"> </w:t>
      </w:r>
    </w:p>
    <w:p w14:paraId="5D6B42A9" w14:textId="3FEF00BF" w:rsidR="009526F9" w:rsidRPr="009526F9" w:rsidRDefault="009526F9" w:rsidP="007548C6">
      <w:pPr>
        <w:spacing w:after="240" w:line="360" w:lineRule="auto"/>
      </w:pPr>
      <w:r w:rsidRPr="009526F9">
        <w:t xml:space="preserve">In Chapter </w:t>
      </w:r>
      <w:r w:rsidR="009F546F">
        <w:t>7</w:t>
      </w:r>
      <w:r w:rsidRPr="009526F9">
        <w:t>, the cost allocation model is based on the linear supply chain. In future work, this model could be developed into a tree structure supply chain network. The numerical experiment relied on the formula developed in previous research. An experiment based on a real case would improve the reliability of this module.</w:t>
      </w:r>
    </w:p>
    <w:p w14:paraId="5AD36BCF" w14:textId="21D810C3" w:rsidR="001138E2" w:rsidRPr="009526F9" w:rsidRDefault="001138E2" w:rsidP="007548C6">
      <w:pPr>
        <w:spacing w:after="240" w:line="360" w:lineRule="auto"/>
      </w:pPr>
      <w:r w:rsidRPr="009526F9">
        <w:lastRenderedPageBreak/>
        <w:t xml:space="preserve">The limitations of Chapter </w:t>
      </w:r>
      <w:r>
        <w:t>8</w:t>
      </w:r>
      <w:r w:rsidRPr="009526F9">
        <w:t xml:space="preserve"> primarily concern the route-planning module and the financial</w:t>
      </w:r>
      <w:r w:rsidR="00E823B6">
        <w:t xml:space="preserve"> </w:t>
      </w:r>
      <w:r w:rsidRPr="009526F9">
        <w:t>evaluation module. The accuracy of the ‘planning results’ in the former could be improved by involving more types of parameter, such as vehicle speed and traffic situation. This could also indirectly contribute to the accuracy of the financial evaluation module, as the cost categories were obtained from Chapter 4, thus further improvements could enable a more detailed cost structure.</w:t>
      </w:r>
    </w:p>
    <w:p w14:paraId="05D86CD2" w14:textId="77777777" w:rsidR="001138E2" w:rsidRPr="009526F9" w:rsidRDefault="001138E2" w:rsidP="009526F9">
      <w:pPr>
        <w:spacing w:line="360" w:lineRule="auto"/>
      </w:pPr>
    </w:p>
    <w:p w14:paraId="04175969" w14:textId="77777777" w:rsidR="00763F7C" w:rsidRDefault="00763F7C" w:rsidP="00763F7C">
      <w:pPr>
        <w:spacing w:line="360" w:lineRule="auto"/>
      </w:pPr>
    </w:p>
    <w:bookmarkEnd w:id="131"/>
    <w:bookmarkEnd w:id="132"/>
    <w:bookmarkEnd w:id="133"/>
    <w:bookmarkEnd w:id="134"/>
    <w:bookmarkEnd w:id="135"/>
    <w:p w14:paraId="07A46317" w14:textId="77777777" w:rsidR="00E2354D" w:rsidRDefault="00E2354D" w:rsidP="000A4E8C">
      <w:pPr>
        <w:spacing w:line="360" w:lineRule="auto"/>
        <w:jc w:val="left"/>
        <w:rPr>
          <w:rFonts w:cs="Times New Roman"/>
        </w:rPr>
      </w:pPr>
    </w:p>
    <w:p w14:paraId="79487ECC" w14:textId="77777777" w:rsidR="00166E81" w:rsidRDefault="00166E81">
      <w:pPr>
        <w:rPr>
          <w:rFonts w:eastAsiaTheme="majorEastAsia"/>
          <w:b/>
          <w:bCs/>
          <w:color w:val="1F4E79" w:themeColor="accent1" w:themeShade="80"/>
          <w:kern w:val="44"/>
          <w:sz w:val="44"/>
          <w:szCs w:val="32"/>
        </w:rPr>
      </w:pPr>
      <w:r>
        <w:br w:type="page"/>
      </w:r>
    </w:p>
    <w:p w14:paraId="278DDEBF" w14:textId="1B121573" w:rsidR="000D09D3" w:rsidRDefault="000D09D3" w:rsidP="00D655ED">
      <w:pPr>
        <w:pStyle w:val="Heading1"/>
      </w:pPr>
      <w:bookmarkStart w:id="1228" w:name="_Toc46053513"/>
      <w:bookmarkStart w:id="1229" w:name="_Toc46093427"/>
      <w:bookmarkStart w:id="1230" w:name="_Toc46093710"/>
      <w:bookmarkStart w:id="1231" w:name="_Toc66703285"/>
      <w:r>
        <w:lastRenderedPageBreak/>
        <w:t>Reference</w:t>
      </w:r>
      <w:bookmarkEnd w:id="1228"/>
      <w:bookmarkEnd w:id="1229"/>
      <w:bookmarkEnd w:id="1230"/>
      <w:bookmarkEnd w:id="1231"/>
    </w:p>
    <w:p w14:paraId="505FC2B0" w14:textId="77777777" w:rsidR="00E20B39" w:rsidRPr="00855626" w:rsidRDefault="00844595" w:rsidP="00E20B39">
      <w:pPr>
        <w:pStyle w:val="EndNoteBibliography"/>
        <w:ind w:left="720" w:hanging="720"/>
        <w:rPr>
          <w:sz w:val="24"/>
          <w:szCs w:val="24"/>
        </w:rPr>
      </w:pPr>
      <w:r w:rsidRPr="00855626">
        <w:rPr>
          <w:sz w:val="24"/>
          <w:szCs w:val="24"/>
        </w:rPr>
        <w:fldChar w:fldCharType="begin"/>
      </w:r>
      <w:r w:rsidRPr="00855626">
        <w:rPr>
          <w:sz w:val="24"/>
          <w:szCs w:val="24"/>
        </w:rPr>
        <w:instrText xml:space="preserve"> ADDIN EN.REFLIST </w:instrText>
      </w:r>
      <w:r w:rsidRPr="00855626">
        <w:rPr>
          <w:sz w:val="24"/>
          <w:szCs w:val="24"/>
        </w:rPr>
        <w:fldChar w:fldCharType="separate"/>
      </w:r>
      <w:r w:rsidR="00E20B39" w:rsidRPr="00855626">
        <w:rPr>
          <w:sz w:val="24"/>
          <w:szCs w:val="24"/>
        </w:rPr>
        <w:t>Aastrup, J., Gammelgaard, B. &amp; Prockl, G. 3PL Services in City Logistics: A User's Perspective.  Proceedings of the 24th Annual Nordic Logics Research Network Conference: NOFOMA 2012, 2012. Turku School of Economics and Business Administration, 2-20.</w:t>
      </w:r>
    </w:p>
    <w:p w14:paraId="1C4A46AF" w14:textId="77777777" w:rsidR="00E20B39" w:rsidRPr="00855626" w:rsidRDefault="00E20B39" w:rsidP="00E20B39">
      <w:pPr>
        <w:pStyle w:val="EndNoteBibliography"/>
        <w:ind w:left="720" w:hanging="720"/>
        <w:rPr>
          <w:sz w:val="24"/>
          <w:szCs w:val="24"/>
        </w:rPr>
      </w:pPr>
      <w:r w:rsidRPr="00855626">
        <w:rPr>
          <w:sz w:val="24"/>
          <w:szCs w:val="24"/>
        </w:rPr>
        <w:t xml:space="preserve">Ackerman, R. W. 1973. How companies respond to social demands. </w:t>
      </w:r>
      <w:r w:rsidRPr="00855626">
        <w:rPr>
          <w:i/>
          <w:sz w:val="24"/>
          <w:szCs w:val="24"/>
        </w:rPr>
        <w:t>Harvard business review,</w:t>
      </w:r>
      <w:r w:rsidRPr="00855626">
        <w:rPr>
          <w:sz w:val="24"/>
          <w:szCs w:val="24"/>
        </w:rPr>
        <w:t xml:space="preserve"> 51</w:t>
      </w:r>
      <w:r w:rsidRPr="00855626">
        <w:rPr>
          <w:b/>
          <w:sz w:val="24"/>
          <w:szCs w:val="24"/>
        </w:rPr>
        <w:t>,</w:t>
      </w:r>
      <w:r w:rsidRPr="00855626">
        <w:rPr>
          <w:sz w:val="24"/>
          <w:szCs w:val="24"/>
        </w:rPr>
        <w:t xml:space="preserve"> 88-98.</w:t>
      </w:r>
    </w:p>
    <w:p w14:paraId="2DEF93DD" w14:textId="77777777" w:rsidR="00E20B39" w:rsidRPr="00855626" w:rsidRDefault="00E20B39" w:rsidP="00E20B39">
      <w:pPr>
        <w:pStyle w:val="EndNoteBibliography"/>
        <w:ind w:left="720" w:hanging="720"/>
        <w:rPr>
          <w:sz w:val="24"/>
          <w:szCs w:val="24"/>
        </w:rPr>
      </w:pPr>
      <w:r w:rsidRPr="00855626">
        <w:rPr>
          <w:sz w:val="24"/>
          <w:szCs w:val="24"/>
        </w:rPr>
        <w:t xml:space="preserve">Aditjandra, P. T., Galatioto, F., Bell, M. C. &amp; Zunder, T. H. 2016. Evaluating the impacts of urban freight traffic: Application of micro-simulation at a large establishment. </w:t>
      </w:r>
      <w:r w:rsidRPr="00855626">
        <w:rPr>
          <w:i/>
          <w:sz w:val="24"/>
          <w:szCs w:val="24"/>
        </w:rPr>
        <w:t>European Journal of Transport and Infrastructure Research,</w:t>
      </w:r>
      <w:r w:rsidRPr="00855626">
        <w:rPr>
          <w:sz w:val="24"/>
          <w:szCs w:val="24"/>
        </w:rPr>
        <w:t xml:space="preserve"> 16</w:t>
      </w:r>
      <w:r w:rsidRPr="00855626">
        <w:rPr>
          <w:b/>
          <w:sz w:val="24"/>
          <w:szCs w:val="24"/>
        </w:rPr>
        <w:t>,</w:t>
      </w:r>
      <w:r w:rsidRPr="00855626">
        <w:rPr>
          <w:sz w:val="24"/>
          <w:szCs w:val="24"/>
        </w:rPr>
        <w:t xml:space="preserve"> 4-22.</w:t>
      </w:r>
    </w:p>
    <w:p w14:paraId="1B0A53C5" w14:textId="77777777" w:rsidR="00E20B39" w:rsidRPr="00855626" w:rsidRDefault="00E20B39" w:rsidP="00E20B39">
      <w:pPr>
        <w:pStyle w:val="EndNoteBibliography"/>
        <w:ind w:left="720" w:hanging="720"/>
        <w:rPr>
          <w:sz w:val="24"/>
          <w:szCs w:val="24"/>
        </w:rPr>
      </w:pPr>
      <w:r w:rsidRPr="00855626">
        <w:rPr>
          <w:sz w:val="24"/>
          <w:szCs w:val="24"/>
        </w:rPr>
        <w:t xml:space="preserve">Aditjandra, P. T. &amp; Zunder, T. H. 2018. Exploring the relationship between urban freight demand and the purchasing behaviour of a University. </w:t>
      </w:r>
      <w:r w:rsidRPr="00855626">
        <w:rPr>
          <w:i/>
          <w:sz w:val="24"/>
          <w:szCs w:val="24"/>
        </w:rPr>
        <w:t>European Transport Research Review,</w:t>
      </w:r>
      <w:r w:rsidRPr="00855626">
        <w:rPr>
          <w:sz w:val="24"/>
          <w:szCs w:val="24"/>
        </w:rPr>
        <w:t xml:space="preserve"> 10</w:t>
      </w:r>
      <w:r w:rsidRPr="00855626">
        <w:rPr>
          <w:b/>
          <w:sz w:val="24"/>
          <w:szCs w:val="24"/>
        </w:rPr>
        <w:t>,</w:t>
      </w:r>
      <w:r w:rsidRPr="00855626">
        <w:rPr>
          <w:sz w:val="24"/>
          <w:szCs w:val="24"/>
        </w:rPr>
        <w:t xml:space="preserve"> 1.</w:t>
      </w:r>
    </w:p>
    <w:p w14:paraId="08A4507C" w14:textId="77777777" w:rsidR="00E20B39" w:rsidRPr="00855626" w:rsidRDefault="00E20B39" w:rsidP="00E20B39">
      <w:pPr>
        <w:pStyle w:val="EndNoteBibliography"/>
        <w:ind w:left="720" w:hanging="720"/>
        <w:rPr>
          <w:sz w:val="24"/>
          <w:szCs w:val="24"/>
        </w:rPr>
      </w:pPr>
      <w:r w:rsidRPr="00855626">
        <w:rPr>
          <w:sz w:val="24"/>
          <w:szCs w:val="24"/>
        </w:rPr>
        <w:t>Agrebi, M., Abed, M. &amp; Omri, M. N. Urban distribution centers' location selection's problem: A survey.  2015 4th International Conference on Advanced Logistics and Transport (ICALT), 20-22 May 2015 2015. 246-251.</w:t>
      </w:r>
    </w:p>
    <w:p w14:paraId="47C87760" w14:textId="77777777" w:rsidR="00E20B39" w:rsidRPr="00855626" w:rsidRDefault="00E20B39" w:rsidP="00E20B39">
      <w:pPr>
        <w:pStyle w:val="EndNoteBibliography"/>
        <w:ind w:left="720" w:hanging="720"/>
        <w:rPr>
          <w:sz w:val="24"/>
          <w:szCs w:val="24"/>
        </w:rPr>
      </w:pPr>
      <w:r w:rsidRPr="00855626">
        <w:rPr>
          <w:sz w:val="24"/>
          <w:szCs w:val="24"/>
        </w:rPr>
        <w:t xml:space="preserve">Ahani, P., Arantes, A. &amp; Melo, S. 2016. A portfolio approach for optimal fleet replacement toward sustainable urban freight transportation. </w:t>
      </w:r>
      <w:r w:rsidRPr="00855626">
        <w:rPr>
          <w:i/>
          <w:sz w:val="24"/>
          <w:szCs w:val="24"/>
        </w:rPr>
        <w:t>Transportation Research Part D: Transport and Environment,</w:t>
      </w:r>
      <w:r w:rsidRPr="00855626">
        <w:rPr>
          <w:sz w:val="24"/>
          <w:szCs w:val="24"/>
        </w:rPr>
        <w:t xml:space="preserve"> 48</w:t>
      </w:r>
      <w:r w:rsidRPr="00855626">
        <w:rPr>
          <w:b/>
          <w:sz w:val="24"/>
          <w:szCs w:val="24"/>
        </w:rPr>
        <w:t>,</w:t>
      </w:r>
      <w:r w:rsidRPr="00855626">
        <w:rPr>
          <w:sz w:val="24"/>
          <w:szCs w:val="24"/>
        </w:rPr>
        <w:t xml:space="preserve"> 357-368.</w:t>
      </w:r>
    </w:p>
    <w:p w14:paraId="16FB61FE" w14:textId="77777777" w:rsidR="00E20B39" w:rsidRPr="00855626" w:rsidRDefault="00E20B39" w:rsidP="00E20B39">
      <w:pPr>
        <w:pStyle w:val="EndNoteBibliography"/>
        <w:ind w:left="720" w:hanging="720"/>
        <w:rPr>
          <w:sz w:val="24"/>
          <w:szCs w:val="24"/>
        </w:rPr>
      </w:pPr>
      <w:r w:rsidRPr="00855626">
        <w:rPr>
          <w:sz w:val="24"/>
          <w:szCs w:val="24"/>
        </w:rPr>
        <w:t xml:space="preserve">Ahlstedt, L. &amp; Jahnukainen, I. 1971. A business organization as a management system. </w:t>
      </w:r>
      <w:r w:rsidRPr="00855626">
        <w:rPr>
          <w:i/>
          <w:sz w:val="24"/>
          <w:szCs w:val="24"/>
        </w:rPr>
        <w:t>Tapiola: Weilin &amp; Goos</w:t>
      </w:r>
      <w:r w:rsidRPr="00855626">
        <w:rPr>
          <w:sz w:val="24"/>
          <w:szCs w:val="24"/>
        </w:rPr>
        <w:t>.</w:t>
      </w:r>
    </w:p>
    <w:p w14:paraId="08D5DCEA" w14:textId="77777777" w:rsidR="00E20B39" w:rsidRPr="00855626" w:rsidRDefault="00E20B39" w:rsidP="00E20B39">
      <w:pPr>
        <w:pStyle w:val="EndNoteBibliography"/>
        <w:ind w:left="720" w:hanging="720"/>
        <w:rPr>
          <w:sz w:val="24"/>
          <w:szCs w:val="24"/>
        </w:rPr>
      </w:pPr>
      <w:r w:rsidRPr="00855626">
        <w:rPr>
          <w:sz w:val="24"/>
          <w:szCs w:val="24"/>
        </w:rPr>
        <w:t xml:space="preserve">Ahyja, R. K., Magnanti, T. L., Orlin, J. B. &amp; Weihe, K. 1995. Network flows: theory, algorithms and applications. </w:t>
      </w:r>
      <w:r w:rsidRPr="00855626">
        <w:rPr>
          <w:i/>
          <w:sz w:val="24"/>
          <w:szCs w:val="24"/>
        </w:rPr>
        <w:t>ZOR-Methods and Models of Operations Research,</w:t>
      </w:r>
      <w:r w:rsidRPr="00855626">
        <w:rPr>
          <w:sz w:val="24"/>
          <w:szCs w:val="24"/>
        </w:rPr>
        <w:t xml:space="preserve"> 41</w:t>
      </w:r>
      <w:r w:rsidRPr="00855626">
        <w:rPr>
          <w:b/>
          <w:sz w:val="24"/>
          <w:szCs w:val="24"/>
        </w:rPr>
        <w:t>,</w:t>
      </w:r>
      <w:r w:rsidRPr="00855626">
        <w:rPr>
          <w:sz w:val="24"/>
          <w:szCs w:val="24"/>
        </w:rPr>
        <w:t xml:space="preserve"> 252-254.</w:t>
      </w:r>
    </w:p>
    <w:p w14:paraId="3849A218" w14:textId="77777777" w:rsidR="00E20B39" w:rsidRPr="00855626" w:rsidRDefault="00E20B39" w:rsidP="00E20B39">
      <w:pPr>
        <w:pStyle w:val="EndNoteBibliography"/>
        <w:ind w:left="720" w:hanging="720"/>
        <w:rPr>
          <w:sz w:val="24"/>
          <w:szCs w:val="24"/>
        </w:rPr>
      </w:pPr>
      <w:r w:rsidRPr="00855626">
        <w:rPr>
          <w:sz w:val="24"/>
          <w:szCs w:val="24"/>
        </w:rPr>
        <w:t xml:space="preserve">Akgün, E. Z., Monios, J. &amp; Fonzone, A. 2019a. Supporting urban consolidation centres with urban freight transport policies: a comparative study of Scotland and Sweden. </w:t>
      </w:r>
      <w:r w:rsidRPr="00855626">
        <w:rPr>
          <w:i/>
          <w:sz w:val="24"/>
          <w:szCs w:val="24"/>
        </w:rPr>
        <w:t>International Journal of Logistics Research and Applications,</w:t>
      </w:r>
      <w:r w:rsidRPr="00855626">
        <w:rPr>
          <w:sz w:val="24"/>
          <w:szCs w:val="24"/>
        </w:rPr>
        <w:t xml:space="preserve"> 23</w:t>
      </w:r>
      <w:r w:rsidRPr="00855626">
        <w:rPr>
          <w:b/>
          <w:sz w:val="24"/>
          <w:szCs w:val="24"/>
        </w:rPr>
        <w:t>,</w:t>
      </w:r>
      <w:r w:rsidRPr="00855626">
        <w:rPr>
          <w:sz w:val="24"/>
          <w:szCs w:val="24"/>
        </w:rPr>
        <w:t xml:space="preserve"> 291-310.</w:t>
      </w:r>
    </w:p>
    <w:p w14:paraId="41FFF68B" w14:textId="77777777" w:rsidR="00E20B39" w:rsidRPr="00855626" w:rsidRDefault="00E20B39" w:rsidP="00E20B39">
      <w:pPr>
        <w:pStyle w:val="EndNoteBibliography"/>
        <w:ind w:left="720" w:hanging="720"/>
        <w:rPr>
          <w:sz w:val="24"/>
          <w:szCs w:val="24"/>
        </w:rPr>
      </w:pPr>
      <w:r w:rsidRPr="00855626">
        <w:rPr>
          <w:sz w:val="24"/>
          <w:szCs w:val="24"/>
        </w:rPr>
        <w:t xml:space="preserve">Akgün, E. Z., Monios, J., Rye, T. &amp; Fonzone, A. 2019b. Influences on urban freight transport policy choice by local authorities. </w:t>
      </w:r>
      <w:r w:rsidRPr="00855626">
        <w:rPr>
          <w:i/>
          <w:sz w:val="24"/>
          <w:szCs w:val="24"/>
        </w:rPr>
        <w:t>Transport Policy,</w:t>
      </w:r>
      <w:r w:rsidRPr="00855626">
        <w:rPr>
          <w:sz w:val="24"/>
          <w:szCs w:val="24"/>
        </w:rPr>
        <w:t xml:space="preserve"> 75</w:t>
      </w:r>
      <w:r w:rsidRPr="00855626">
        <w:rPr>
          <w:b/>
          <w:sz w:val="24"/>
          <w:szCs w:val="24"/>
        </w:rPr>
        <w:t>,</w:t>
      </w:r>
      <w:r w:rsidRPr="00855626">
        <w:rPr>
          <w:sz w:val="24"/>
          <w:szCs w:val="24"/>
        </w:rPr>
        <w:t xml:space="preserve"> 88-98.</w:t>
      </w:r>
    </w:p>
    <w:p w14:paraId="491F43AB" w14:textId="77777777" w:rsidR="00E20B39" w:rsidRPr="00855626" w:rsidRDefault="00E20B39" w:rsidP="00E20B39">
      <w:pPr>
        <w:pStyle w:val="EndNoteBibliography"/>
        <w:ind w:left="720" w:hanging="720"/>
        <w:rPr>
          <w:sz w:val="24"/>
          <w:szCs w:val="24"/>
        </w:rPr>
      </w:pPr>
      <w:r w:rsidRPr="00855626">
        <w:rPr>
          <w:sz w:val="24"/>
          <w:szCs w:val="24"/>
        </w:rPr>
        <w:t xml:space="preserve">Akyol, D. E. &amp; De Koster, R. B. M. 2013. Non-dominated Time-Window Policies in City Distribution. </w:t>
      </w:r>
      <w:r w:rsidRPr="00855626">
        <w:rPr>
          <w:i/>
          <w:sz w:val="24"/>
          <w:szCs w:val="24"/>
        </w:rPr>
        <w:t>Production and Operations Management,</w:t>
      </w:r>
      <w:r w:rsidRPr="00855626">
        <w:rPr>
          <w:sz w:val="24"/>
          <w:szCs w:val="24"/>
        </w:rPr>
        <w:t xml:space="preserve"> 22</w:t>
      </w:r>
      <w:r w:rsidRPr="00855626">
        <w:rPr>
          <w:b/>
          <w:sz w:val="24"/>
          <w:szCs w:val="24"/>
        </w:rPr>
        <w:t>,</w:t>
      </w:r>
      <w:r w:rsidRPr="00855626">
        <w:rPr>
          <w:sz w:val="24"/>
          <w:szCs w:val="24"/>
        </w:rPr>
        <w:t xml:space="preserve"> 739-751.</w:t>
      </w:r>
    </w:p>
    <w:p w14:paraId="5F3CFE67" w14:textId="77777777" w:rsidR="00E20B39" w:rsidRPr="00855626" w:rsidRDefault="00E20B39" w:rsidP="00E20B39">
      <w:pPr>
        <w:pStyle w:val="EndNoteBibliography"/>
        <w:ind w:left="720" w:hanging="720"/>
        <w:rPr>
          <w:sz w:val="24"/>
          <w:szCs w:val="24"/>
        </w:rPr>
      </w:pPr>
      <w:r w:rsidRPr="00855626">
        <w:rPr>
          <w:sz w:val="24"/>
          <w:szCs w:val="24"/>
        </w:rPr>
        <w:t>Alan, L., Mark, F. &amp; Derek, P. 2010. Freight Consolidation Centre Study: Executive Summary London: Transport &amp; Travel Research Ltd.</w:t>
      </w:r>
    </w:p>
    <w:p w14:paraId="6528C89C" w14:textId="77777777" w:rsidR="00E20B39" w:rsidRPr="00855626" w:rsidRDefault="00E20B39" w:rsidP="00E20B39">
      <w:pPr>
        <w:pStyle w:val="EndNoteBibliography"/>
        <w:ind w:left="720" w:hanging="720"/>
        <w:rPr>
          <w:sz w:val="24"/>
          <w:szCs w:val="24"/>
        </w:rPr>
      </w:pPr>
      <w:r w:rsidRPr="00120BCB">
        <w:rPr>
          <w:sz w:val="24"/>
          <w:szCs w:val="24"/>
          <w:lang w:val="it-IT"/>
        </w:rPr>
        <w:t xml:space="preserve">Alcalde-Unzu, J., Gómez-Rúa, M. &amp; Molis, E. 2015. </w:t>
      </w:r>
      <w:r w:rsidRPr="00855626">
        <w:rPr>
          <w:sz w:val="24"/>
          <w:szCs w:val="24"/>
        </w:rPr>
        <w:t xml:space="preserve">Sharing the costs of cleaning a river: the Upstream Responsibility rule. </w:t>
      </w:r>
      <w:r w:rsidRPr="00855626">
        <w:rPr>
          <w:i/>
          <w:sz w:val="24"/>
          <w:szCs w:val="24"/>
        </w:rPr>
        <w:t>Games and Economic Behavior,</w:t>
      </w:r>
      <w:r w:rsidRPr="00855626">
        <w:rPr>
          <w:sz w:val="24"/>
          <w:szCs w:val="24"/>
        </w:rPr>
        <w:t xml:space="preserve"> 90</w:t>
      </w:r>
      <w:r w:rsidRPr="00855626">
        <w:rPr>
          <w:b/>
          <w:sz w:val="24"/>
          <w:szCs w:val="24"/>
        </w:rPr>
        <w:t>,</w:t>
      </w:r>
      <w:r w:rsidRPr="00855626">
        <w:rPr>
          <w:sz w:val="24"/>
          <w:szCs w:val="24"/>
        </w:rPr>
        <w:t xml:space="preserve"> 134-150.</w:t>
      </w:r>
    </w:p>
    <w:p w14:paraId="1A47799B" w14:textId="77777777" w:rsidR="00E20B39" w:rsidRPr="00855626" w:rsidRDefault="00E20B39" w:rsidP="00E20B39">
      <w:pPr>
        <w:pStyle w:val="EndNoteBibliography"/>
        <w:ind w:left="720" w:hanging="720"/>
        <w:rPr>
          <w:sz w:val="24"/>
          <w:szCs w:val="24"/>
        </w:rPr>
      </w:pPr>
      <w:r w:rsidRPr="00855626">
        <w:rPr>
          <w:sz w:val="24"/>
          <w:szCs w:val="24"/>
        </w:rPr>
        <w:lastRenderedPageBreak/>
        <w:t xml:space="preserve">Alessandrini, A., Delle Site, P., Filippi, F. &amp; Salucci, M. V. 2012. Using rail to make urban freight distribution more sustainable. </w:t>
      </w:r>
      <w:r w:rsidRPr="00855626">
        <w:rPr>
          <w:i/>
          <w:sz w:val="24"/>
          <w:szCs w:val="24"/>
        </w:rPr>
        <w:t>European Transport\Trasporti Europei</w:t>
      </w:r>
      <w:r w:rsidRPr="00855626">
        <w:rPr>
          <w:sz w:val="24"/>
          <w:szCs w:val="24"/>
        </w:rPr>
        <w:t>.</w:t>
      </w:r>
    </w:p>
    <w:p w14:paraId="2F73D0BC" w14:textId="77777777" w:rsidR="00E20B39" w:rsidRPr="00855626" w:rsidRDefault="00E20B39" w:rsidP="00E20B39">
      <w:pPr>
        <w:pStyle w:val="EndNoteBibliography"/>
        <w:ind w:left="720" w:hanging="720"/>
        <w:rPr>
          <w:sz w:val="24"/>
          <w:szCs w:val="24"/>
        </w:rPr>
      </w:pPr>
      <w:r w:rsidRPr="00855626">
        <w:rPr>
          <w:sz w:val="24"/>
          <w:szCs w:val="24"/>
        </w:rPr>
        <w:t xml:space="preserve">Aljohani, K. &amp; Thompson, R. G. 2018. A stakeholder-based evaluation of the most suitable and sustainable delivery fleet for freight consolidation policies in the inner-city area. </w:t>
      </w:r>
      <w:r w:rsidRPr="00855626">
        <w:rPr>
          <w:i/>
          <w:sz w:val="24"/>
          <w:szCs w:val="24"/>
        </w:rPr>
        <w:t>Sustainability (Switzerland),</w:t>
      </w:r>
      <w:r w:rsidRPr="00855626">
        <w:rPr>
          <w:sz w:val="24"/>
          <w:szCs w:val="24"/>
        </w:rPr>
        <w:t xml:space="preserve"> 11.</w:t>
      </w:r>
    </w:p>
    <w:p w14:paraId="0D72455C" w14:textId="77777777" w:rsidR="00E20B39" w:rsidRPr="00855626" w:rsidRDefault="00E20B39" w:rsidP="00E20B39">
      <w:pPr>
        <w:pStyle w:val="EndNoteBibliography"/>
        <w:ind w:left="720" w:hanging="720"/>
        <w:rPr>
          <w:sz w:val="24"/>
          <w:szCs w:val="24"/>
        </w:rPr>
      </w:pPr>
      <w:r w:rsidRPr="00855626">
        <w:rPr>
          <w:sz w:val="24"/>
          <w:szCs w:val="24"/>
        </w:rPr>
        <w:t xml:space="preserve">Allen, J., Browne, M. &amp; Holguín-Veras, J. 2015. Sustainability strategies for city logistics. </w:t>
      </w:r>
      <w:r w:rsidRPr="00855626">
        <w:rPr>
          <w:i/>
          <w:sz w:val="24"/>
          <w:szCs w:val="24"/>
        </w:rPr>
        <w:t>Green Logistics. Improving the environmental sustainability of logistics</w:t>
      </w:r>
      <w:r w:rsidRPr="00855626">
        <w:rPr>
          <w:b/>
          <w:sz w:val="24"/>
          <w:szCs w:val="24"/>
        </w:rPr>
        <w:t>,</w:t>
      </w:r>
      <w:r w:rsidRPr="00855626">
        <w:rPr>
          <w:sz w:val="24"/>
          <w:szCs w:val="24"/>
        </w:rPr>
        <w:t xml:space="preserve"> 293-319.</w:t>
      </w:r>
    </w:p>
    <w:p w14:paraId="47220D46" w14:textId="77777777" w:rsidR="00E20B39" w:rsidRPr="00855626" w:rsidRDefault="00E20B39" w:rsidP="00E20B39">
      <w:pPr>
        <w:pStyle w:val="EndNoteBibliography"/>
        <w:ind w:left="720" w:hanging="720"/>
        <w:rPr>
          <w:sz w:val="24"/>
          <w:szCs w:val="24"/>
        </w:rPr>
      </w:pPr>
      <w:r w:rsidRPr="00855626">
        <w:rPr>
          <w:sz w:val="24"/>
          <w:szCs w:val="24"/>
        </w:rPr>
        <w:t xml:space="preserve">Allen, J., Browne, M., Woodburn, A. &amp; Leonardi, J. 2012. The Role of Urban Consolidation Centres in Sustainable Freight Transport. </w:t>
      </w:r>
      <w:r w:rsidRPr="00855626">
        <w:rPr>
          <w:i/>
          <w:sz w:val="24"/>
          <w:szCs w:val="24"/>
        </w:rPr>
        <w:t>Transport Reviews,</w:t>
      </w:r>
      <w:r w:rsidRPr="00855626">
        <w:rPr>
          <w:sz w:val="24"/>
          <w:szCs w:val="24"/>
        </w:rPr>
        <w:t xml:space="preserve"> 32</w:t>
      </w:r>
      <w:r w:rsidRPr="00855626">
        <w:rPr>
          <w:b/>
          <w:sz w:val="24"/>
          <w:szCs w:val="24"/>
        </w:rPr>
        <w:t>,</w:t>
      </w:r>
      <w:r w:rsidRPr="00855626">
        <w:rPr>
          <w:sz w:val="24"/>
          <w:szCs w:val="24"/>
        </w:rPr>
        <w:t xml:space="preserve"> 473-490.</w:t>
      </w:r>
    </w:p>
    <w:p w14:paraId="1A194D50" w14:textId="77777777" w:rsidR="00E20B39" w:rsidRPr="00855626" w:rsidRDefault="00E20B39" w:rsidP="00E20B39">
      <w:pPr>
        <w:pStyle w:val="EndNoteBibliography"/>
        <w:ind w:left="720" w:hanging="720"/>
        <w:rPr>
          <w:sz w:val="24"/>
          <w:szCs w:val="24"/>
        </w:rPr>
      </w:pPr>
      <w:r w:rsidRPr="00855626">
        <w:rPr>
          <w:sz w:val="24"/>
          <w:szCs w:val="24"/>
        </w:rPr>
        <w:t xml:space="preserve">Allen, J., Browne, M., Woodburn, A. &amp; Leonardi, J. 2014. A Review of Urban Consolidation Centres in the Supply Chain Based on a Case Study Approach. </w:t>
      </w:r>
      <w:r w:rsidRPr="00855626">
        <w:rPr>
          <w:i/>
          <w:sz w:val="24"/>
          <w:szCs w:val="24"/>
        </w:rPr>
        <w:t>Supply Chain Forum: An International Journal,</w:t>
      </w:r>
      <w:r w:rsidRPr="00855626">
        <w:rPr>
          <w:sz w:val="24"/>
          <w:szCs w:val="24"/>
        </w:rPr>
        <w:t xml:space="preserve"> 15</w:t>
      </w:r>
      <w:r w:rsidRPr="00855626">
        <w:rPr>
          <w:b/>
          <w:sz w:val="24"/>
          <w:szCs w:val="24"/>
        </w:rPr>
        <w:t>,</w:t>
      </w:r>
      <w:r w:rsidRPr="00855626">
        <w:rPr>
          <w:sz w:val="24"/>
          <w:szCs w:val="24"/>
        </w:rPr>
        <w:t xml:space="preserve"> 100-112.</w:t>
      </w:r>
    </w:p>
    <w:p w14:paraId="51BD786E" w14:textId="77777777" w:rsidR="00E20B39" w:rsidRPr="00855626" w:rsidRDefault="00E20B39" w:rsidP="00E20B39">
      <w:pPr>
        <w:pStyle w:val="EndNoteBibliography"/>
        <w:ind w:left="720" w:hanging="720"/>
        <w:rPr>
          <w:sz w:val="24"/>
          <w:szCs w:val="24"/>
        </w:rPr>
      </w:pPr>
      <w:r w:rsidRPr="00855626">
        <w:rPr>
          <w:sz w:val="24"/>
          <w:szCs w:val="24"/>
        </w:rPr>
        <w:t>Allen, J., Thorne, G. &amp; Browne, M. 2007. BESTUFS good practice guide on urban freight transport. Netherland: BESTUFS co-ordinator PTV AG.</w:t>
      </w:r>
    </w:p>
    <w:p w14:paraId="35DD1BCE" w14:textId="77777777" w:rsidR="00E20B39" w:rsidRPr="00855626" w:rsidRDefault="00E20B39" w:rsidP="00E20B39">
      <w:pPr>
        <w:pStyle w:val="EndNoteBibliography"/>
        <w:ind w:left="720" w:hanging="720"/>
        <w:rPr>
          <w:sz w:val="24"/>
          <w:szCs w:val="24"/>
        </w:rPr>
      </w:pPr>
      <w:r w:rsidRPr="00855626">
        <w:rPr>
          <w:sz w:val="24"/>
          <w:szCs w:val="24"/>
        </w:rPr>
        <w:t xml:space="preserve">Amaya, J., Arellana, J. &amp; Delgado-Lindeman, M. 2020. Stakeholders perceptions to sustainable urban freight policies in emerging markets. </w:t>
      </w:r>
      <w:r w:rsidRPr="00855626">
        <w:rPr>
          <w:i/>
          <w:sz w:val="24"/>
          <w:szCs w:val="24"/>
        </w:rPr>
        <w:t>Transportation Research Part A: Policy and Practice,</w:t>
      </w:r>
      <w:r w:rsidRPr="00855626">
        <w:rPr>
          <w:sz w:val="24"/>
          <w:szCs w:val="24"/>
        </w:rPr>
        <w:t xml:space="preserve"> 132</w:t>
      </w:r>
      <w:r w:rsidRPr="00855626">
        <w:rPr>
          <w:b/>
          <w:sz w:val="24"/>
          <w:szCs w:val="24"/>
        </w:rPr>
        <w:t>,</w:t>
      </w:r>
      <w:r w:rsidRPr="00855626">
        <w:rPr>
          <w:sz w:val="24"/>
          <w:szCs w:val="24"/>
        </w:rPr>
        <w:t xml:space="preserve"> 329-348.</w:t>
      </w:r>
    </w:p>
    <w:p w14:paraId="229178A7" w14:textId="77777777" w:rsidR="00E20B39" w:rsidRPr="00855626" w:rsidRDefault="00E20B39" w:rsidP="00E20B39">
      <w:pPr>
        <w:pStyle w:val="EndNoteBibliography"/>
        <w:ind w:left="720" w:hanging="720"/>
        <w:rPr>
          <w:sz w:val="24"/>
          <w:szCs w:val="24"/>
        </w:rPr>
      </w:pPr>
      <w:r w:rsidRPr="00855626">
        <w:rPr>
          <w:sz w:val="24"/>
          <w:szCs w:val="24"/>
        </w:rPr>
        <w:t xml:space="preserve">Ambec, S. &amp; Sprumont, Y. 2002. Sharing a River. </w:t>
      </w:r>
      <w:r w:rsidRPr="00855626">
        <w:rPr>
          <w:i/>
          <w:sz w:val="24"/>
          <w:szCs w:val="24"/>
        </w:rPr>
        <w:t>Journal of Economic Theory,</w:t>
      </w:r>
      <w:r w:rsidRPr="00855626">
        <w:rPr>
          <w:sz w:val="24"/>
          <w:szCs w:val="24"/>
        </w:rPr>
        <w:t xml:space="preserve"> 107</w:t>
      </w:r>
      <w:r w:rsidRPr="00855626">
        <w:rPr>
          <w:b/>
          <w:sz w:val="24"/>
          <w:szCs w:val="24"/>
        </w:rPr>
        <w:t>,</w:t>
      </w:r>
      <w:r w:rsidRPr="00855626">
        <w:rPr>
          <w:sz w:val="24"/>
          <w:szCs w:val="24"/>
        </w:rPr>
        <w:t xml:space="preserve"> 453-462.</w:t>
      </w:r>
    </w:p>
    <w:p w14:paraId="08BDA9A8" w14:textId="77777777" w:rsidR="00E20B39" w:rsidRPr="00855626" w:rsidRDefault="00E20B39" w:rsidP="00E20B39">
      <w:pPr>
        <w:pStyle w:val="EndNoteBibliography"/>
        <w:ind w:left="720" w:hanging="720"/>
        <w:rPr>
          <w:sz w:val="24"/>
          <w:szCs w:val="24"/>
        </w:rPr>
      </w:pPr>
      <w:r w:rsidRPr="00120BCB">
        <w:rPr>
          <w:sz w:val="24"/>
          <w:szCs w:val="24"/>
          <w:lang w:val="it-IT"/>
        </w:rPr>
        <w:t xml:space="preserve">Ambrosini, C., Gonzalez-Feliu, J. &amp; Toilier, F. 2013. </w:t>
      </w:r>
      <w:r w:rsidRPr="00855626">
        <w:rPr>
          <w:sz w:val="24"/>
          <w:szCs w:val="24"/>
        </w:rPr>
        <w:t xml:space="preserve">A design methodology for scenario-analysis in urban freight modelling. </w:t>
      </w:r>
      <w:r w:rsidRPr="00855626">
        <w:rPr>
          <w:i/>
          <w:sz w:val="24"/>
          <w:szCs w:val="24"/>
        </w:rPr>
        <w:t>European Transport/Trasporti Europei,</w:t>
      </w:r>
      <w:r w:rsidRPr="00855626">
        <w:rPr>
          <w:sz w:val="24"/>
          <w:szCs w:val="24"/>
        </w:rPr>
        <w:t xml:space="preserve"> 54</w:t>
      </w:r>
      <w:r w:rsidRPr="00855626">
        <w:rPr>
          <w:b/>
          <w:sz w:val="24"/>
          <w:szCs w:val="24"/>
        </w:rPr>
        <w:t>,</w:t>
      </w:r>
      <w:r w:rsidRPr="00855626">
        <w:rPr>
          <w:sz w:val="24"/>
          <w:szCs w:val="24"/>
        </w:rPr>
        <w:t xml:space="preserve"> 1-21.</w:t>
      </w:r>
    </w:p>
    <w:p w14:paraId="13A2DD71" w14:textId="77777777" w:rsidR="00E20B39" w:rsidRPr="00120BCB" w:rsidRDefault="00E20B39" w:rsidP="00E20B39">
      <w:pPr>
        <w:pStyle w:val="EndNoteBibliography"/>
        <w:ind w:left="720" w:hanging="720"/>
        <w:rPr>
          <w:sz w:val="24"/>
          <w:szCs w:val="24"/>
          <w:lang w:val="it-IT"/>
        </w:rPr>
      </w:pPr>
      <w:r w:rsidRPr="00855626">
        <w:rPr>
          <w:sz w:val="24"/>
          <w:szCs w:val="24"/>
        </w:rPr>
        <w:t xml:space="preserve">Ambrosini, C. &amp; Routhier, J. L. 2004. Objectives, methods and results of surveys carried out in the field of urban freight transport: an international comparison. </w:t>
      </w:r>
      <w:r w:rsidRPr="00120BCB">
        <w:rPr>
          <w:i/>
          <w:sz w:val="24"/>
          <w:szCs w:val="24"/>
          <w:lang w:val="it-IT"/>
        </w:rPr>
        <w:t>Transport Reviews,</w:t>
      </w:r>
      <w:r w:rsidRPr="00120BCB">
        <w:rPr>
          <w:sz w:val="24"/>
          <w:szCs w:val="24"/>
          <w:lang w:val="it-IT"/>
        </w:rPr>
        <w:t xml:space="preserve"> 24</w:t>
      </w:r>
      <w:r w:rsidRPr="00120BCB">
        <w:rPr>
          <w:b/>
          <w:sz w:val="24"/>
          <w:szCs w:val="24"/>
          <w:lang w:val="it-IT"/>
        </w:rPr>
        <w:t>,</w:t>
      </w:r>
      <w:r w:rsidRPr="00120BCB">
        <w:rPr>
          <w:sz w:val="24"/>
          <w:szCs w:val="24"/>
          <w:lang w:val="it-IT"/>
        </w:rPr>
        <w:t xml:space="preserve"> 57-77.</w:t>
      </w:r>
    </w:p>
    <w:p w14:paraId="2B0DB014" w14:textId="4CBF8F99" w:rsidR="00E20B39" w:rsidRPr="00855626" w:rsidRDefault="00E20B39" w:rsidP="00E20B39">
      <w:pPr>
        <w:pStyle w:val="EndNoteBibliography"/>
        <w:ind w:left="720" w:hanging="720"/>
        <w:rPr>
          <w:sz w:val="24"/>
          <w:szCs w:val="24"/>
        </w:rPr>
      </w:pPr>
      <w:r w:rsidRPr="00120BCB">
        <w:rPr>
          <w:sz w:val="24"/>
          <w:szCs w:val="24"/>
          <w:lang w:val="it-IT"/>
        </w:rPr>
        <w:t xml:space="preserve">Ambrosino, G., Liberato, A., Bellini, R., Pettinelli, I., Guerra, S. &amp; Pacini, G. 2015. </w:t>
      </w:r>
      <w:r w:rsidRPr="00855626">
        <w:rPr>
          <w:sz w:val="24"/>
          <w:szCs w:val="24"/>
        </w:rPr>
        <w:t xml:space="preserve">Guidelines: Developing and implementing a sustainable urban logistics plan. </w:t>
      </w:r>
      <w:r w:rsidRPr="00855626">
        <w:rPr>
          <w:i/>
          <w:sz w:val="24"/>
          <w:szCs w:val="24"/>
        </w:rPr>
        <w:t xml:space="preserve">Retrieved from* HYPERLINK" </w:t>
      </w:r>
      <w:hyperlink r:id="rId157" w:history="1">
        <w:r w:rsidRPr="00855626">
          <w:rPr>
            <w:rStyle w:val="Hyperlink"/>
            <w:i/>
            <w:sz w:val="24"/>
            <w:szCs w:val="24"/>
          </w:rPr>
          <w:t>http://www</w:t>
        </w:r>
      </w:hyperlink>
      <w:r w:rsidRPr="00855626">
        <w:rPr>
          <w:i/>
          <w:sz w:val="24"/>
          <w:szCs w:val="24"/>
        </w:rPr>
        <w:t>. enclose. eu/upload_en/file/deliverables/ENCLOSE_D5_2_SULP% 20methodology_final% 20version. pdf</w:t>
      </w:r>
      <w:r w:rsidRPr="00855626">
        <w:rPr>
          <w:sz w:val="24"/>
          <w:szCs w:val="24"/>
        </w:rPr>
        <w:t>.</w:t>
      </w:r>
    </w:p>
    <w:p w14:paraId="7EF7CDAC" w14:textId="77777777" w:rsidR="00E20B39" w:rsidRPr="00855626" w:rsidRDefault="00E20B39" w:rsidP="00E20B39">
      <w:pPr>
        <w:pStyle w:val="EndNoteBibliography"/>
        <w:ind w:left="720" w:hanging="720"/>
        <w:rPr>
          <w:sz w:val="24"/>
          <w:szCs w:val="24"/>
        </w:rPr>
      </w:pPr>
      <w:r w:rsidRPr="00120BCB">
        <w:rPr>
          <w:sz w:val="24"/>
          <w:szCs w:val="24"/>
          <w:lang w:val="it-IT"/>
        </w:rPr>
        <w:t xml:space="preserve">Anagnostopoulou, A., Papargyri, E. &amp; Boile, M. 2019. </w:t>
      </w:r>
      <w:r w:rsidRPr="00855626">
        <w:rPr>
          <w:sz w:val="24"/>
          <w:szCs w:val="24"/>
        </w:rPr>
        <w:t xml:space="preserve">Innovative Scheme for Efficient Freight Movement and Sustainable Emissions Management. </w:t>
      </w:r>
      <w:r w:rsidRPr="00855626">
        <w:rPr>
          <w:i/>
          <w:sz w:val="24"/>
          <w:szCs w:val="24"/>
        </w:rPr>
        <w:t>Transport and Telecommunication,</w:t>
      </w:r>
      <w:r w:rsidRPr="00855626">
        <w:rPr>
          <w:sz w:val="24"/>
          <w:szCs w:val="24"/>
        </w:rPr>
        <w:t xml:space="preserve"> 20</w:t>
      </w:r>
      <w:r w:rsidRPr="00855626">
        <w:rPr>
          <w:b/>
          <w:sz w:val="24"/>
          <w:szCs w:val="24"/>
        </w:rPr>
        <w:t>,</w:t>
      </w:r>
      <w:r w:rsidRPr="00855626">
        <w:rPr>
          <w:sz w:val="24"/>
          <w:szCs w:val="24"/>
        </w:rPr>
        <w:t xml:space="preserve"> 242-250.</w:t>
      </w:r>
    </w:p>
    <w:p w14:paraId="34943D5E" w14:textId="77777777" w:rsidR="00E20B39" w:rsidRPr="00855626" w:rsidRDefault="00E20B39" w:rsidP="00E20B39">
      <w:pPr>
        <w:pStyle w:val="EndNoteBibliography"/>
        <w:ind w:left="720" w:hanging="720"/>
        <w:rPr>
          <w:sz w:val="24"/>
          <w:szCs w:val="24"/>
        </w:rPr>
      </w:pPr>
      <w:r w:rsidRPr="00855626">
        <w:rPr>
          <w:sz w:val="24"/>
          <w:szCs w:val="24"/>
        </w:rPr>
        <w:t xml:space="preserve">Anand, N., Van Duin, R., Quak, H. &amp; Tavasszy, L. 2015. Relevance of City Logistics Modelling Efforts: A Review. </w:t>
      </w:r>
      <w:r w:rsidRPr="00855626">
        <w:rPr>
          <w:i/>
          <w:sz w:val="24"/>
          <w:szCs w:val="24"/>
        </w:rPr>
        <w:t>Transport Reviews,</w:t>
      </w:r>
      <w:r w:rsidRPr="00855626">
        <w:rPr>
          <w:sz w:val="24"/>
          <w:szCs w:val="24"/>
        </w:rPr>
        <w:t xml:space="preserve"> 35</w:t>
      </w:r>
      <w:r w:rsidRPr="00855626">
        <w:rPr>
          <w:b/>
          <w:sz w:val="24"/>
          <w:szCs w:val="24"/>
        </w:rPr>
        <w:t>,</w:t>
      </w:r>
      <w:r w:rsidRPr="00855626">
        <w:rPr>
          <w:sz w:val="24"/>
          <w:szCs w:val="24"/>
        </w:rPr>
        <w:t xml:space="preserve"> 701-719.</w:t>
      </w:r>
    </w:p>
    <w:p w14:paraId="3F053CAC" w14:textId="77777777" w:rsidR="00E20B39" w:rsidRPr="00855626" w:rsidRDefault="00E20B39" w:rsidP="00E20B39">
      <w:pPr>
        <w:pStyle w:val="EndNoteBibliography"/>
        <w:ind w:left="720" w:hanging="720"/>
        <w:rPr>
          <w:sz w:val="24"/>
          <w:szCs w:val="24"/>
        </w:rPr>
      </w:pPr>
      <w:r w:rsidRPr="00855626">
        <w:rPr>
          <w:sz w:val="24"/>
          <w:szCs w:val="24"/>
        </w:rPr>
        <w:t xml:space="preserve">Anand, N., Van Duin, R. &amp; Tavasszy, L. 2014. Ontology-based multi-agent system for urban freight transportation. </w:t>
      </w:r>
      <w:r w:rsidRPr="00855626">
        <w:rPr>
          <w:i/>
          <w:sz w:val="24"/>
          <w:szCs w:val="24"/>
        </w:rPr>
        <w:t>International Journal of Urban Sciences,</w:t>
      </w:r>
      <w:r w:rsidRPr="00855626">
        <w:rPr>
          <w:sz w:val="24"/>
          <w:szCs w:val="24"/>
        </w:rPr>
        <w:t xml:space="preserve"> 18</w:t>
      </w:r>
      <w:r w:rsidRPr="00855626">
        <w:rPr>
          <w:b/>
          <w:sz w:val="24"/>
          <w:szCs w:val="24"/>
        </w:rPr>
        <w:t>,</w:t>
      </w:r>
      <w:r w:rsidRPr="00855626">
        <w:rPr>
          <w:sz w:val="24"/>
          <w:szCs w:val="24"/>
        </w:rPr>
        <w:t xml:space="preserve"> 133-153.</w:t>
      </w:r>
    </w:p>
    <w:p w14:paraId="5229883A" w14:textId="77777777" w:rsidR="00E20B39" w:rsidRPr="00855626" w:rsidRDefault="00E20B39" w:rsidP="00E20B39">
      <w:pPr>
        <w:pStyle w:val="EndNoteBibliography"/>
        <w:ind w:left="720" w:hanging="720"/>
        <w:rPr>
          <w:sz w:val="24"/>
          <w:szCs w:val="24"/>
        </w:rPr>
      </w:pPr>
      <w:r w:rsidRPr="00855626">
        <w:rPr>
          <w:sz w:val="24"/>
          <w:szCs w:val="24"/>
        </w:rPr>
        <w:lastRenderedPageBreak/>
        <w:t xml:space="preserve">Anand, N., Yang, M., Van Duin, J. H. R. &amp; Tavasszy, L. 2012. GenCLOn: An ontology for city logistics. </w:t>
      </w:r>
      <w:r w:rsidRPr="00855626">
        <w:rPr>
          <w:i/>
          <w:sz w:val="24"/>
          <w:szCs w:val="24"/>
        </w:rPr>
        <w:t>Expert Systems with Applications,</w:t>
      </w:r>
      <w:r w:rsidRPr="00855626">
        <w:rPr>
          <w:sz w:val="24"/>
          <w:szCs w:val="24"/>
        </w:rPr>
        <w:t xml:space="preserve"> 39</w:t>
      </w:r>
      <w:r w:rsidRPr="00855626">
        <w:rPr>
          <w:b/>
          <w:sz w:val="24"/>
          <w:szCs w:val="24"/>
        </w:rPr>
        <w:t>,</w:t>
      </w:r>
      <w:r w:rsidRPr="00855626">
        <w:rPr>
          <w:sz w:val="24"/>
          <w:szCs w:val="24"/>
        </w:rPr>
        <w:t xml:space="preserve"> 11944-11960.</w:t>
      </w:r>
    </w:p>
    <w:p w14:paraId="1C13A216" w14:textId="77777777" w:rsidR="00E20B39" w:rsidRPr="00855626" w:rsidRDefault="00E20B39" w:rsidP="00E20B39">
      <w:pPr>
        <w:pStyle w:val="EndNoteBibliography"/>
        <w:ind w:left="720" w:hanging="720"/>
        <w:rPr>
          <w:sz w:val="24"/>
          <w:szCs w:val="24"/>
        </w:rPr>
      </w:pPr>
      <w:r w:rsidRPr="00855626">
        <w:rPr>
          <w:sz w:val="24"/>
          <w:szCs w:val="24"/>
        </w:rPr>
        <w:t xml:space="preserve">Anderluh, A., Hemmelmayr, V. C. &amp; Nolz, P. C. 2017. Synchronizing vans and cargo bikes in a city distribution network. </w:t>
      </w:r>
      <w:r w:rsidRPr="00855626">
        <w:rPr>
          <w:i/>
          <w:sz w:val="24"/>
          <w:szCs w:val="24"/>
        </w:rPr>
        <w:t>Central European Journal of Operations Research,</w:t>
      </w:r>
      <w:r w:rsidRPr="00855626">
        <w:rPr>
          <w:sz w:val="24"/>
          <w:szCs w:val="24"/>
        </w:rPr>
        <w:t xml:space="preserve"> 25</w:t>
      </w:r>
      <w:r w:rsidRPr="00855626">
        <w:rPr>
          <w:b/>
          <w:sz w:val="24"/>
          <w:szCs w:val="24"/>
        </w:rPr>
        <w:t>,</w:t>
      </w:r>
      <w:r w:rsidRPr="00855626">
        <w:rPr>
          <w:sz w:val="24"/>
          <w:szCs w:val="24"/>
        </w:rPr>
        <w:t xml:space="preserve"> 345-376.</w:t>
      </w:r>
    </w:p>
    <w:p w14:paraId="37766625" w14:textId="77777777" w:rsidR="00E20B39" w:rsidRPr="00855626" w:rsidRDefault="00E20B39" w:rsidP="00E20B39">
      <w:pPr>
        <w:pStyle w:val="EndNoteBibliography"/>
        <w:ind w:left="720" w:hanging="720"/>
        <w:rPr>
          <w:sz w:val="24"/>
          <w:szCs w:val="24"/>
        </w:rPr>
      </w:pPr>
      <w:r w:rsidRPr="00855626">
        <w:rPr>
          <w:sz w:val="24"/>
          <w:szCs w:val="24"/>
        </w:rPr>
        <w:t xml:space="preserve">Anderson, S., Allen, J. &amp; Browne, M. 2005. Urban logistics––how can it meet policy makers’ sustainability objectives? </w:t>
      </w:r>
      <w:r w:rsidRPr="00855626">
        <w:rPr>
          <w:i/>
          <w:sz w:val="24"/>
          <w:szCs w:val="24"/>
        </w:rPr>
        <w:t>Journal of transport geography,</w:t>
      </w:r>
      <w:r w:rsidRPr="00855626">
        <w:rPr>
          <w:sz w:val="24"/>
          <w:szCs w:val="24"/>
        </w:rPr>
        <w:t xml:space="preserve"> 13</w:t>
      </w:r>
      <w:r w:rsidRPr="00855626">
        <w:rPr>
          <w:b/>
          <w:sz w:val="24"/>
          <w:szCs w:val="24"/>
        </w:rPr>
        <w:t>,</w:t>
      </w:r>
      <w:r w:rsidRPr="00855626">
        <w:rPr>
          <w:sz w:val="24"/>
          <w:szCs w:val="24"/>
        </w:rPr>
        <w:t xml:space="preserve"> 71-81.</w:t>
      </w:r>
    </w:p>
    <w:p w14:paraId="3C3ED4DD" w14:textId="77777777" w:rsidR="00E20B39" w:rsidRPr="00855626" w:rsidRDefault="00E20B39" w:rsidP="00E20B39">
      <w:pPr>
        <w:pStyle w:val="EndNoteBibliography"/>
        <w:ind w:left="720" w:hanging="720"/>
        <w:rPr>
          <w:sz w:val="24"/>
          <w:szCs w:val="24"/>
        </w:rPr>
      </w:pPr>
      <w:r w:rsidRPr="00855626">
        <w:rPr>
          <w:sz w:val="24"/>
          <w:szCs w:val="24"/>
        </w:rPr>
        <w:t xml:space="preserve">Ansoff, H. I. 1965. </w:t>
      </w:r>
      <w:r w:rsidRPr="00855626">
        <w:rPr>
          <w:i/>
          <w:sz w:val="24"/>
          <w:szCs w:val="24"/>
        </w:rPr>
        <w:t>Corporate strategy: An analytic approach to business policy for growth and expansion</w:t>
      </w:r>
      <w:r w:rsidRPr="00855626">
        <w:rPr>
          <w:sz w:val="24"/>
          <w:szCs w:val="24"/>
        </w:rPr>
        <w:t>, McGraw-Hill Companies.</w:t>
      </w:r>
    </w:p>
    <w:p w14:paraId="19784055" w14:textId="77777777" w:rsidR="00E20B39" w:rsidRPr="00855626" w:rsidRDefault="00E20B39" w:rsidP="00E20B39">
      <w:pPr>
        <w:pStyle w:val="EndNoteBibliography"/>
        <w:ind w:left="720" w:hanging="720"/>
        <w:rPr>
          <w:sz w:val="24"/>
          <w:szCs w:val="24"/>
        </w:rPr>
      </w:pPr>
      <w:r w:rsidRPr="00120BCB">
        <w:rPr>
          <w:sz w:val="24"/>
          <w:szCs w:val="24"/>
          <w:lang w:val="it-IT"/>
        </w:rPr>
        <w:t xml:space="preserve">Arango, S., Dario, M., Uran, S., Augusto, C. &amp; Alvarez Uribe, K. C. 2012. </w:t>
      </w:r>
      <w:r w:rsidRPr="00855626">
        <w:rPr>
          <w:sz w:val="24"/>
          <w:szCs w:val="24"/>
        </w:rPr>
        <w:t xml:space="preserve">Collaborative autonomous systems in models of urban logistics. </w:t>
      </w:r>
      <w:r w:rsidRPr="00855626">
        <w:rPr>
          <w:i/>
          <w:sz w:val="24"/>
          <w:szCs w:val="24"/>
        </w:rPr>
        <w:t>Dyna,</w:t>
      </w:r>
      <w:r w:rsidRPr="00855626">
        <w:rPr>
          <w:sz w:val="24"/>
          <w:szCs w:val="24"/>
        </w:rPr>
        <w:t xml:space="preserve"> 79</w:t>
      </w:r>
      <w:r w:rsidRPr="00855626">
        <w:rPr>
          <w:b/>
          <w:sz w:val="24"/>
          <w:szCs w:val="24"/>
        </w:rPr>
        <w:t>,</w:t>
      </w:r>
      <w:r w:rsidRPr="00855626">
        <w:rPr>
          <w:sz w:val="24"/>
          <w:szCs w:val="24"/>
        </w:rPr>
        <w:t xml:space="preserve"> 171-179.</w:t>
      </w:r>
    </w:p>
    <w:p w14:paraId="4442DAF5" w14:textId="77777777" w:rsidR="00E20B39" w:rsidRPr="00855626" w:rsidRDefault="00E20B39" w:rsidP="00E20B39">
      <w:pPr>
        <w:pStyle w:val="EndNoteBibliography"/>
        <w:ind w:left="720" w:hanging="720"/>
        <w:rPr>
          <w:sz w:val="24"/>
          <w:szCs w:val="24"/>
        </w:rPr>
      </w:pPr>
      <w:r w:rsidRPr="00855626">
        <w:rPr>
          <w:sz w:val="24"/>
          <w:szCs w:val="24"/>
        </w:rPr>
        <w:t xml:space="preserve">Arnold, F., Cardenas, I., Sörensen, K. &amp; Dewulf, W. 2018. Simulation of B2C e-commerce distribution in Antwerp using cargo bikes and delivery points. </w:t>
      </w:r>
      <w:r w:rsidRPr="00855626">
        <w:rPr>
          <w:i/>
          <w:sz w:val="24"/>
          <w:szCs w:val="24"/>
        </w:rPr>
        <w:t>European transport research review,</w:t>
      </w:r>
      <w:r w:rsidRPr="00855626">
        <w:rPr>
          <w:sz w:val="24"/>
          <w:szCs w:val="24"/>
        </w:rPr>
        <w:t xml:space="preserve"> 10</w:t>
      </w:r>
      <w:r w:rsidRPr="00855626">
        <w:rPr>
          <w:b/>
          <w:sz w:val="24"/>
          <w:szCs w:val="24"/>
        </w:rPr>
        <w:t>,</w:t>
      </w:r>
      <w:r w:rsidRPr="00855626">
        <w:rPr>
          <w:sz w:val="24"/>
          <w:szCs w:val="24"/>
        </w:rPr>
        <w:t xml:space="preserve"> 1-13.</w:t>
      </w:r>
    </w:p>
    <w:p w14:paraId="7D70A22C" w14:textId="77777777" w:rsidR="00E20B39" w:rsidRPr="00855626" w:rsidRDefault="00E20B39" w:rsidP="00E20B39">
      <w:pPr>
        <w:pStyle w:val="EndNoteBibliography"/>
        <w:ind w:left="720" w:hanging="720"/>
        <w:rPr>
          <w:sz w:val="24"/>
          <w:szCs w:val="24"/>
        </w:rPr>
      </w:pPr>
      <w:r w:rsidRPr="00855626">
        <w:rPr>
          <w:sz w:val="24"/>
          <w:szCs w:val="24"/>
        </w:rPr>
        <w:t xml:space="preserve">Arvidsson, N. 2013. The milk run revisited: A load factor paradox with economic and environmental implications for urban freight transport. </w:t>
      </w:r>
      <w:r w:rsidRPr="00855626">
        <w:rPr>
          <w:i/>
          <w:sz w:val="24"/>
          <w:szCs w:val="24"/>
        </w:rPr>
        <w:t>Transportation Research Part A: Policy and Practice,</w:t>
      </w:r>
      <w:r w:rsidRPr="00855626">
        <w:rPr>
          <w:sz w:val="24"/>
          <w:szCs w:val="24"/>
        </w:rPr>
        <w:t xml:space="preserve"> 51</w:t>
      </w:r>
      <w:r w:rsidRPr="00855626">
        <w:rPr>
          <w:b/>
          <w:sz w:val="24"/>
          <w:szCs w:val="24"/>
        </w:rPr>
        <w:t>,</w:t>
      </w:r>
      <w:r w:rsidRPr="00855626">
        <w:rPr>
          <w:sz w:val="24"/>
          <w:szCs w:val="24"/>
        </w:rPr>
        <w:t xml:space="preserve"> 56-62.</w:t>
      </w:r>
    </w:p>
    <w:p w14:paraId="79299BAF" w14:textId="77777777" w:rsidR="00E20B39" w:rsidRPr="00120BCB" w:rsidRDefault="00E20B39" w:rsidP="00E20B39">
      <w:pPr>
        <w:pStyle w:val="EndNoteBibliography"/>
        <w:ind w:left="720" w:hanging="720"/>
        <w:rPr>
          <w:sz w:val="24"/>
          <w:szCs w:val="24"/>
          <w:lang w:val="it-IT"/>
        </w:rPr>
      </w:pPr>
      <w:r w:rsidRPr="00855626">
        <w:rPr>
          <w:sz w:val="24"/>
          <w:szCs w:val="24"/>
        </w:rPr>
        <w:t xml:space="preserve">Arvidsson, N. &amp; Browne, M. 2013. A review of the success and failure of tram systems to carry urban freight: the implications for a low emission intermodal solution using electric vehicles on trams. </w:t>
      </w:r>
      <w:r w:rsidRPr="00120BCB">
        <w:rPr>
          <w:i/>
          <w:sz w:val="24"/>
          <w:szCs w:val="24"/>
          <w:lang w:val="it-IT"/>
        </w:rPr>
        <w:t>European Transport\Trasporti Europei</w:t>
      </w:r>
      <w:r w:rsidRPr="00120BCB">
        <w:rPr>
          <w:b/>
          <w:sz w:val="24"/>
          <w:szCs w:val="24"/>
          <w:lang w:val="it-IT"/>
        </w:rPr>
        <w:t>,</w:t>
      </w:r>
      <w:r w:rsidRPr="00120BCB">
        <w:rPr>
          <w:sz w:val="24"/>
          <w:szCs w:val="24"/>
          <w:lang w:val="it-IT"/>
        </w:rPr>
        <w:t xml:space="preserve"> 1-5.</w:t>
      </w:r>
    </w:p>
    <w:p w14:paraId="071B8B33" w14:textId="77777777" w:rsidR="00E20B39" w:rsidRPr="00855626" w:rsidRDefault="00E20B39" w:rsidP="00E20B39">
      <w:pPr>
        <w:pStyle w:val="EndNoteBibliography"/>
        <w:ind w:left="720" w:hanging="720"/>
        <w:rPr>
          <w:sz w:val="24"/>
          <w:szCs w:val="24"/>
        </w:rPr>
      </w:pPr>
      <w:r w:rsidRPr="00120BCB">
        <w:rPr>
          <w:sz w:val="24"/>
          <w:szCs w:val="24"/>
          <w:lang w:val="it-IT"/>
        </w:rPr>
        <w:t xml:space="preserve">Awasthi, A., Adetiloye, T. &amp; Crainic, T. G. 2016. </w:t>
      </w:r>
      <w:r w:rsidRPr="00855626">
        <w:rPr>
          <w:sz w:val="24"/>
          <w:szCs w:val="24"/>
        </w:rPr>
        <w:t xml:space="preserve">Collaboration partner selection for city logistics planning under municipal freight regulations. </w:t>
      </w:r>
      <w:r w:rsidRPr="00855626">
        <w:rPr>
          <w:i/>
          <w:sz w:val="24"/>
          <w:szCs w:val="24"/>
        </w:rPr>
        <w:t>Applied Mathematical Modelling,</w:t>
      </w:r>
      <w:r w:rsidRPr="00855626">
        <w:rPr>
          <w:sz w:val="24"/>
          <w:szCs w:val="24"/>
        </w:rPr>
        <w:t xml:space="preserve"> 40</w:t>
      </w:r>
      <w:r w:rsidRPr="00855626">
        <w:rPr>
          <w:b/>
          <w:sz w:val="24"/>
          <w:szCs w:val="24"/>
        </w:rPr>
        <w:t>,</w:t>
      </w:r>
      <w:r w:rsidRPr="00855626">
        <w:rPr>
          <w:sz w:val="24"/>
          <w:szCs w:val="24"/>
        </w:rPr>
        <w:t xml:space="preserve"> 510-525.</w:t>
      </w:r>
    </w:p>
    <w:p w14:paraId="3B5D68BB" w14:textId="77777777" w:rsidR="00E20B39" w:rsidRPr="00855626" w:rsidRDefault="00E20B39" w:rsidP="00E20B39">
      <w:pPr>
        <w:pStyle w:val="EndNoteBibliography"/>
        <w:ind w:left="720" w:hanging="720"/>
        <w:rPr>
          <w:sz w:val="24"/>
          <w:szCs w:val="24"/>
        </w:rPr>
      </w:pPr>
      <w:r w:rsidRPr="00855626">
        <w:rPr>
          <w:sz w:val="24"/>
          <w:szCs w:val="24"/>
        </w:rPr>
        <w:t xml:space="preserve">Awasthi, A. &amp; Chauhan, S. S. 2012. A hybrid approach integrating Affinity Diagram, AHP and fuzzy TOPSIS for sustainable city logistics planning. </w:t>
      </w:r>
      <w:r w:rsidRPr="00855626">
        <w:rPr>
          <w:i/>
          <w:sz w:val="24"/>
          <w:szCs w:val="24"/>
        </w:rPr>
        <w:t>Applied Mathematical Modelling,</w:t>
      </w:r>
      <w:r w:rsidRPr="00855626">
        <w:rPr>
          <w:sz w:val="24"/>
          <w:szCs w:val="24"/>
        </w:rPr>
        <w:t xml:space="preserve"> 36</w:t>
      </w:r>
      <w:r w:rsidRPr="00855626">
        <w:rPr>
          <w:b/>
          <w:sz w:val="24"/>
          <w:szCs w:val="24"/>
        </w:rPr>
        <w:t>,</w:t>
      </w:r>
      <w:r w:rsidRPr="00855626">
        <w:rPr>
          <w:sz w:val="24"/>
          <w:szCs w:val="24"/>
        </w:rPr>
        <w:t xml:space="preserve"> 573-584.</w:t>
      </w:r>
    </w:p>
    <w:p w14:paraId="33CC0DA5" w14:textId="77777777" w:rsidR="00E20B39" w:rsidRPr="00855626" w:rsidRDefault="00E20B39" w:rsidP="00E20B39">
      <w:pPr>
        <w:pStyle w:val="EndNoteBibliography"/>
        <w:ind w:left="720" w:hanging="720"/>
        <w:rPr>
          <w:sz w:val="24"/>
          <w:szCs w:val="24"/>
        </w:rPr>
      </w:pPr>
      <w:r w:rsidRPr="00855626">
        <w:rPr>
          <w:sz w:val="24"/>
          <w:szCs w:val="24"/>
        </w:rPr>
        <w:t xml:space="preserve">Baindur, D. &amp; Viegas, J. M. 2011. An agent based model concept for assessing modal share in inter-regional freight transport markets. </w:t>
      </w:r>
      <w:r w:rsidRPr="00855626">
        <w:rPr>
          <w:i/>
          <w:sz w:val="24"/>
          <w:szCs w:val="24"/>
        </w:rPr>
        <w:t>Journal of Transport Geography,</w:t>
      </w:r>
      <w:r w:rsidRPr="00855626">
        <w:rPr>
          <w:sz w:val="24"/>
          <w:szCs w:val="24"/>
        </w:rPr>
        <w:t xml:space="preserve"> 19</w:t>
      </w:r>
      <w:r w:rsidRPr="00855626">
        <w:rPr>
          <w:b/>
          <w:sz w:val="24"/>
          <w:szCs w:val="24"/>
        </w:rPr>
        <w:t>,</w:t>
      </w:r>
      <w:r w:rsidRPr="00855626">
        <w:rPr>
          <w:sz w:val="24"/>
          <w:szCs w:val="24"/>
        </w:rPr>
        <w:t xml:space="preserve"> 1093-1105.</w:t>
      </w:r>
    </w:p>
    <w:p w14:paraId="65D421F4" w14:textId="77777777" w:rsidR="00E20B39" w:rsidRPr="00855626" w:rsidRDefault="00E20B39" w:rsidP="00E20B39">
      <w:pPr>
        <w:pStyle w:val="EndNoteBibliography"/>
        <w:ind w:left="720" w:hanging="720"/>
        <w:rPr>
          <w:sz w:val="24"/>
          <w:szCs w:val="24"/>
        </w:rPr>
      </w:pPr>
      <w:r w:rsidRPr="00855626">
        <w:rPr>
          <w:sz w:val="24"/>
          <w:szCs w:val="24"/>
        </w:rPr>
        <w:t xml:space="preserve">Ballantyne, E. E. F., Lindholm, M. &amp; Whiteing, A. 2013. A comparative study of urban freight transport planning: addressing stakeholder needs. </w:t>
      </w:r>
      <w:r w:rsidRPr="00855626">
        <w:rPr>
          <w:i/>
          <w:sz w:val="24"/>
          <w:szCs w:val="24"/>
        </w:rPr>
        <w:t>Journal of Transport Geography,</w:t>
      </w:r>
      <w:r w:rsidRPr="00855626">
        <w:rPr>
          <w:sz w:val="24"/>
          <w:szCs w:val="24"/>
        </w:rPr>
        <w:t xml:space="preserve"> 32</w:t>
      </w:r>
      <w:r w:rsidRPr="00855626">
        <w:rPr>
          <w:b/>
          <w:sz w:val="24"/>
          <w:szCs w:val="24"/>
        </w:rPr>
        <w:t>,</w:t>
      </w:r>
      <w:r w:rsidRPr="00855626">
        <w:rPr>
          <w:sz w:val="24"/>
          <w:szCs w:val="24"/>
        </w:rPr>
        <w:t xml:space="preserve"> 93-101.</w:t>
      </w:r>
    </w:p>
    <w:p w14:paraId="2873B2A6" w14:textId="77777777" w:rsidR="00E20B39" w:rsidRPr="00855626" w:rsidRDefault="00E20B39" w:rsidP="00E20B39">
      <w:pPr>
        <w:pStyle w:val="EndNoteBibliography"/>
        <w:ind w:left="720" w:hanging="720"/>
        <w:rPr>
          <w:sz w:val="24"/>
          <w:szCs w:val="24"/>
        </w:rPr>
      </w:pPr>
      <w:r w:rsidRPr="00855626">
        <w:rPr>
          <w:sz w:val="24"/>
          <w:szCs w:val="24"/>
        </w:rPr>
        <w:t xml:space="preserve">Bandeira, R. a. M., D'agosto, M. A., Ribeiro, S. K., Bandeira, A. P. F. &amp; Goes, G. V. 2018. A fuzzy multi-criteria model for evaluating sustainable urban freight transportation operations. </w:t>
      </w:r>
      <w:r w:rsidRPr="00855626">
        <w:rPr>
          <w:i/>
          <w:sz w:val="24"/>
          <w:szCs w:val="24"/>
        </w:rPr>
        <w:t>Journal of Cleaner Production,</w:t>
      </w:r>
      <w:r w:rsidRPr="00855626">
        <w:rPr>
          <w:sz w:val="24"/>
          <w:szCs w:val="24"/>
        </w:rPr>
        <w:t xml:space="preserve"> 184</w:t>
      </w:r>
      <w:r w:rsidRPr="00855626">
        <w:rPr>
          <w:b/>
          <w:sz w:val="24"/>
          <w:szCs w:val="24"/>
        </w:rPr>
        <w:t>,</w:t>
      </w:r>
      <w:r w:rsidRPr="00855626">
        <w:rPr>
          <w:sz w:val="24"/>
          <w:szCs w:val="24"/>
        </w:rPr>
        <w:t xml:space="preserve"> 727-739.</w:t>
      </w:r>
    </w:p>
    <w:p w14:paraId="38457DE2" w14:textId="77777777" w:rsidR="00E20B39" w:rsidRPr="00855626" w:rsidRDefault="00E20B39" w:rsidP="00E20B39">
      <w:pPr>
        <w:pStyle w:val="EndNoteBibliography"/>
        <w:ind w:left="720" w:hanging="720"/>
        <w:rPr>
          <w:sz w:val="24"/>
          <w:szCs w:val="24"/>
        </w:rPr>
      </w:pPr>
      <w:r w:rsidRPr="00855626">
        <w:rPr>
          <w:sz w:val="24"/>
          <w:szCs w:val="24"/>
        </w:rPr>
        <w:t xml:space="preserve">Banks, J., Carson, J. S., Nelson, B. L. &amp; Nicol, D. M. 2005. </w:t>
      </w:r>
      <w:r w:rsidRPr="00855626">
        <w:rPr>
          <w:i/>
          <w:sz w:val="24"/>
          <w:szCs w:val="24"/>
        </w:rPr>
        <w:t>Discrete-event system simulation (4th edition)</w:t>
      </w:r>
      <w:r w:rsidRPr="00855626">
        <w:rPr>
          <w:sz w:val="24"/>
          <w:szCs w:val="24"/>
        </w:rPr>
        <w:t>, Prentice hall Upper Saddle River, NJ.</w:t>
      </w:r>
    </w:p>
    <w:p w14:paraId="293FAE52" w14:textId="77777777" w:rsidR="00E20B39" w:rsidRPr="00855626" w:rsidRDefault="00E20B39" w:rsidP="00E20B39">
      <w:pPr>
        <w:pStyle w:val="EndNoteBibliography"/>
        <w:ind w:left="720" w:hanging="720"/>
        <w:rPr>
          <w:sz w:val="24"/>
          <w:szCs w:val="24"/>
        </w:rPr>
      </w:pPr>
      <w:r w:rsidRPr="00120BCB">
        <w:rPr>
          <w:sz w:val="24"/>
          <w:szCs w:val="24"/>
          <w:lang w:val="it-IT"/>
        </w:rPr>
        <w:t xml:space="preserve">Battaia, G., Faure, L., Marquès, G., Guillaume, R. &amp; Montoya-Torres, J. R. 2014. </w:t>
      </w:r>
      <w:r w:rsidRPr="00855626">
        <w:rPr>
          <w:sz w:val="24"/>
          <w:szCs w:val="24"/>
        </w:rPr>
        <w:t xml:space="preserve">A methodology to anticipate the activity level of collaborative networks: The case of urban consolidation. </w:t>
      </w:r>
      <w:r w:rsidRPr="00855626">
        <w:rPr>
          <w:i/>
          <w:sz w:val="24"/>
          <w:szCs w:val="24"/>
        </w:rPr>
        <w:t>Supply Chain Forum,</w:t>
      </w:r>
      <w:r w:rsidRPr="00855626">
        <w:rPr>
          <w:sz w:val="24"/>
          <w:szCs w:val="24"/>
        </w:rPr>
        <w:t xml:space="preserve"> 15</w:t>
      </w:r>
      <w:r w:rsidRPr="00855626">
        <w:rPr>
          <w:b/>
          <w:sz w:val="24"/>
          <w:szCs w:val="24"/>
        </w:rPr>
        <w:t>,</w:t>
      </w:r>
      <w:r w:rsidRPr="00855626">
        <w:rPr>
          <w:sz w:val="24"/>
          <w:szCs w:val="24"/>
        </w:rPr>
        <w:t xml:space="preserve"> 70-82.</w:t>
      </w:r>
    </w:p>
    <w:p w14:paraId="70A10E08" w14:textId="77777777" w:rsidR="00E20B39" w:rsidRPr="00855626" w:rsidRDefault="00E20B39" w:rsidP="00E20B39">
      <w:pPr>
        <w:pStyle w:val="EndNoteBibliography"/>
        <w:ind w:left="720" w:hanging="720"/>
        <w:rPr>
          <w:sz w:val="24"/>
          <w:szCs w:val="24"/>
        </w:rPr>
      </w:pPr>
      <w:r w:rsidRPr="00855626">
        <w:rPr>
          <w:sz w:val="24"/>
          <w:szCs w:val="24"/>
        </w:rPr>
        <w:lastRenderedPageBreak/>
        <w:t xml:space="preserve">Behrends, S., Lindholm, M. &amp; Woxenius, J. 2008. The impact of urban freight transport: A definition of sustainability from an actor's perspective. </w:t>
      </w:r>
      <w:r w:rsidRPr="00855626">
        <w:rPr>
          <w:i/>
          <w:sz w:val="24"/>
          <w:szCs w:val="24"/>
        </w:rPr>
        <w:t>Transportation planning and technology,</w:t>
      </w:r>
      <w:r w:rsidRPr="00855626">
        <w:rPr>
          <w:sz w:val="24"/>
          <w:szCs w:val="24"/>
        </w:rPr>
        <w:t xml:space="preserve"> 31</w:t>
      </w:r>
      <w:r w:rsidRPr="00855626">
        <w:rPr>
          <w:b/>
          <w:sz w:val="24"/>
          <w:szCs w:val="24"/>
        </w:rPr>
        <w:t>,</w:t>
      </w:r>
      <w:r w:rsidRPr="00855626">
        <w:rPr>
          <w:sz w:val="24"/>
          <w:szCs w:val="24"/>
        </w:rPr>
        <w:t xml:space="preserve"> 693-713.</w:t>
      </w:r>
    </w:p>
    <w:p w14:paraId="18A4DA96" w14:textId="77777777" w:rsidR="00E20B39" w:rsidRPr="00855626" w:rsidRDefault="00E20B39" w:rsidP="00E20B39">
      <w:pPr>
        <w:pStyle w:val="EndNoteBibliography"/>
        <w:ind w:left="720" w:hanging="720"/>
        <w:rPr>
          <w:sz w:val="24"/>
          <w:szCs w:val="24"/>
        </w:rPr>
      </w:pPr>
      <w:r w:rsidRPr="00855626">
        <w:rPr>
          <w:sz w:val="24"/>
          <w:szCs w:val="24"/>
        </w:rPr>
        <w:t xml:space="preserve">Bjerkan, K. Y., Sund, A. B. &amp; Nordtømme, M. E. 2014. Stakeholder responses to measures green and efficient urban freight. </w:t>
      </w:r>
      <w:r w:rsidRPr="00855626">
        <w:rPr>
          <w:i/>
          <w:sz w:val="24"/>
          <w:szCs w:val="24"/>
        </w:rPr>
        <w:t>Research in Transportation Business &amp; Management,</w:t>
      </w:r>
      <w:r w:rsidRPr="00855626">
        <w:rPr>
          <w:sz w:val="24"/>
          <w:szCs w:val="24"/>
        </w:rPr>
        <w:t xml:space="preserve"> 11</w:t>
      </w:r>
      <w:r w:rsidRPr="00855626">
        <w:rPr>
          <w:b/>
          <w:sz w:val="24"/>
          <w:szCs w:val="24"/>
        </w:rPr>
        <w:t>,</w:t>
      </w:r>
      <w:r w:rsidRPr="00855626">
        <w:rPr>
          <w:sz w:val="24"/>
          <w:szCs w:val="24"/>
        </w:rPr>
        <w:t xml:space="preserve"> 32-42.</w:t>
      </w:r>
    </w:p>
    <w:p w14:paraId="5255274C" w14:textId="77777777" w:rsidR="00E20B39" w:rsidRPr="00855626" w:rsidRDefault="00E20B39" w:rsidP="00E20B39">
      <w:pPr>
        <w:pStyle w:val="EndNoteBibliography"/>
        <w:ind w:left="720" w:hanging="720"/>
        <w:rPr>
          <w:sz w:val="24"/>
          <w:szCs w:val="24"/>
        </w:rPr>
      </w:pPr>
      <w:r w:rsidRPr="00855626">
        <w:rPr>
          <w:sz w:val="24"/>
          <w:szCs w:val="24"/>
        </w:rPr>
        <w:t xml:space="preserve">Björklund, M., Abrahamsson, M. &amp; Johansson, H. 2017. Critical factors for viable business models for urban consolidation centres. </w:t>
      </w:r>
      <w:r w:rsidRPr="00855626">
        <w:rPr>
          <w:i/>
          <w:sz w:val="24"/>
          <w:szCs w:val="24"/>
        </w:rPr>
        <w:t>Research in transportation economics,</w:t>
      </w:r>
      <w:r w:rsidRPr="00855626">
        <w:rPr>
          <w:sz w:val="24"/>
          <w:szCs w:val="24"/>
        </w:rPr>
        <w:t xml:space="preserve"> 64</w:t>
      </w:r>
      <w:r w:rsidRPr="00855626">
        <w:rPr>
          <w:b/>
          <w:sz w:val="24"/>
          <w:szCs w:val="24"/>
        </w:rPr>
        <w:t>,</w:t>
      </w:r>
      <w:r w:rsidRPr="00855626">
        <w:rPr>
          <w:sz w:val="24"/>
          <w:szCs w:val="24"/>
        </w:rPr>
        <w:t xml:space="preserve"> 36-47.</w:t>
      </w:r>
    </w:p>
    <w:p w14:paraId="2AA8F288" w14:textId="77777777" w:rsidR="00E20B39" w:rsidRPr="00855626" w:rsidRDefault="00E20B39" w:rsidP="00E20B39">
      <w:pPr>
        <w:pStyle w:val="EndNoteBibliography"/>
        <w:ind w:left="720" w:hanging="720"/>
        <w:rPr>
          <w:sz w:val="24"/>
          <w:szCs w:val="24"/>
        </w:rPr>
      </w:pPr>
      <w:r w:rsidRPr="00855626">
        <w:rPr>
          <w:sz w:val="24"/>
          <w:szCs w:val="24"/>
        </w:rPr>
        <w:t xml:space="preserve">Björklund, M. &amp; Gustafsson, S. 2015. Toward sustainability with the coordinated freight distribution of municipal goods. </w:t>
      </w:r>
      <w:r w:rsidRPr="00855626">
        <w:rPr>
          <w:i/>
          <w:sz w:val="24"/>
          <w:szCs w:val="24"/>
        </w:rPr>
        <w:t>Journal of Cleaner Production,</w:t>
      </w:r>
      <w:r w:rsidRPr="00855626">
        <w:rPr>
          <w:sz w:val="24"/>
          <w:szCs w:val="24"/>
        </w:rPr>
        <w:t xml:space="preserve"> 98</w:t>
      </w:r>
      <w:r w:rsidRPr="00855626">
        <w:rPr>
          <w:b/>
          <w:sz w:val="24"/>
          <w:szCs w:val="24"/>
        </w:rPr>
        <w:t>,</w:t>
      </w:r>
      <w:r w:rsidRPr="00855626">
        <w:rPr>
          <w:sz w:val="24"/>
          <w:szCs w:val="24"/>
        </w:rPr>
        <w:t xml:space="preserve"> 194-204.</w:t>
      </w:r>
    </w:p>
    <w:p w14:paraId="70D3FF36" w14:textId="77777777" w:rsidR="00E20B39" w:rsidRPr="00855626" w:rsidRDefault="00E20B39" w:rsidP="00E20B39">
      <w:pPr>
        <w:pStyle w:val="EndNoteBibliography"/>
        <w:ind w:left="720" w:hanging="720"/>
        <w:rPr>
          <w:sz w:val="24"/>
          <w:szCs w:val="24"/>
        </w:rPr>
      </w:pPr>
      <w:r w:rsidRPr="00855626">
        <w:rPr>
          <w:sz w:val="24"/>
          <w:szCs w:val="24"/>
        </w:rPr>
        <w:t xml:space="preserve">Björklund, M. &amp; Johansson, H. 2018. Urban consolidation centre – a literature review, categorisation, and a future research agenda. </w:t>
      </w:r>
      <w:r w:rsidRPr="00855626">
        <w:rPr>
          <w:i/>
          <w:sz w:val="24"/>
          <w:szCs w:val="24"/>
        </w:rPr>
        <w:t>International Journal of Physical Distribution and Logistics Management,</w:t>
      </w:r>
      <w:r w:rsidRPr="00855626">
        <w:rPr>
          <w:sz w:val="24"/>
          <w:szCs w:val="24"/>
        </w:rPr>
        <w:t xml:space="preserve"> 48</w:t>
      </w:r>
      <w:r w:rsidRPr="00855626">
        <w:rPr>
          <w:b/>
          <w:sz w:val="24"/>
          <w:szCs w:val="24"/>
        </w:rPr>
        <w:t>,</w:t>
      </w:r>
      <w:r w:rsidRPr="00855626">
        <w:rPr>
          <w:sz w:val="24"/>
          <w:szCs w:val="24"/>
        </w:rPr>
        <w:t xml:space="preserve"> 745-764.</w:t>
      </w:r>
    </w:p>
    <w:p w14:paraId="0C619D15" w14:textId="77777777" w:rsidR="00E20B39" w:rsidRPr="00855626" w:rsidRDefault="00E20B39" w:rsidP="00E20B39">
      <w:pPr>
        <w:pStyle w:val="EndNoteBibliography"/>
        <w:ind w:left="720" w:hanging="720"/>
        <w:rPr>
          <w:sz w:val="24"/>
          <w:szCs w:val="24"/>
        </w:rPr>
      </w:pPr>
      <w:r w:rsidRPr="00855626">
        <w:rPr>
          <w:rFonts w:hint="eastAsia"/>
          <w:sz w:val="24"/>
          <w:szCs w:val="24"/>
        </w:rPr>
        <w:t>Boschetti, M. &amp; Maniezzo, V. 2015. A set covering based matheuristic for a real</w:t>
      </w:r>
      <w:r w:rsidRPr="00855626">
        <w:rPr>
          <w:rFonts w:hint="eastAsia"/>
          <w:sz w:val="24"/>
          <w:szCs w:val="24"/>
        </w:rPr>
        <w:t>‐</w:t>
      </w:r>
      <w:r w:rsidRPr="00855626">
        <w:rPr>
          <w:rFonts w:hint="eastAsia"/>
          <w:sz w:val="24"/>
          <w:szCs w:val="24"/>
        </w:rPr>
        <w:t>world city lo</w:t>
      </w:r>
      <w:r w:rsidRPr="00855626">
        <w:rPr>
          <w:sz w:val="24"/>
          <w:szCs w:val="24"/>
        </w:rPr>
        <w:t xml:space="preserve">gistics problem. </w:t>
      </w:r>
      <w:r w:rsidRPr="00855626">
        <w:rPr>
          <w:i/>
          <w:sz w:val="24"/>
          <w:szCs w:val="24"/>
        </w:rPr>
        <w:t>International Transactions in Operational Research,</w:t>
      </w:r>
      <w:r w:rsidRPr="00855626">
        <w:rPr>
          <w:sz w:val="24"/>
          <w:szCs w:val="24"/>
        </w:rPr>
        <w:t xml:space="preserve"> 22</w:t>
      </w:r>
      <w:r w:rsidRPr="00855626">
        <w:rPr>
          <w:b/>
          <w:sz w:val="24"/>
          <w:szCs w:val="24"/>
        </w:rPr>
        <w:t>,</w:t>
      </w:r>
      <w:r w:rsidRPr="00855626">
        <w:rPr>
          <w:sz w:val="24"/>
          <w:szCs w:val="24"/>
        </w:rPr>
        <w:t xml:space="preserve"> 169-195.</w:t>
      </w:r>
    </w:p>
    <w:p w14:paraId="65A8FE71" w14:textId="77777777" w:rsidR="00E20B39" w:rsidRPr="00855626" w:rsidRDefault="00E20B39" w:rsidP="00E20B39">
      <w:pPr>
        <w:pStyle w:val="EndNoteBibliography"/>
        <w:ind w:left="720" w:hanging="720"/>
        <w:rPr>
          <w:sz w:val="24"/>
          <w:szCs w:val="24"/>
        </w:rPr>
      </w:pPr>
      <w:r w:rsidRPr="00855626">
        <w:rPr>
          <w:sz w:val="24"/>
          <w:szCs w:val="24"/>
        </w:rPr>
        <w:t xml:space="preserve">Bouhana, A., Zidi, A., Fekih, A., Chabchoub, H. &amp; Abed, M. 2015. An ontology-based CBR approach for personalized itinerary search systems for sustainable urban freight transport. </w:t>
      </w:r>
      <w:r w:rsidRPr="00855626">
        <w:rPr>
          <w:i/>
          <w:sz w:val="24"/>
          <w:szCs w:val="24"/>
        </w:rPr>
        <w:t>Expert Systems with Applications,</w:t>
      </w:r>
      <w:r w:rsidRPr="00855626">
        <w:rPr>
          <w:sz w:val="24"/>
          <w:szCs w:val="24"/>
        </w:rPr>
        <w:t xml:space="preserve"> 42</w:t>
      </w:r>
      <w:r w:rsidRPr="00855626">
        <w:rPr>
          <w:b/>
          <w:sz w:val="24"/>
          <w:szCs w:val="24"/>
        </w:rPr>
        <w:t>,</w:t>
      </w:r>
      <w:r w:rsidRPr="00855626">
        <w:rPr>
          <w:sz w:val="24"/>
          <w:szCs w:val="24"/>
        </w:rPr>
        <w:t xml:space="preserve"> 3724-3741.</w:t>
      </w:r>
    </w:p>
    <w:p w14:paraId="7BD1455D" w14:textId="77777777" w:rsidR="00E20B39" w:rsidRPr="00855626" w:rsidRDefault="00E20B39" w:rsidP="00E20B39">
      <w:pPr>
        <w:pStyle w:val="EndNoteBibliography"/>
        <w:ind w:left="720" w:hanging="720"/>
        <w:rPr>
          <w:sz w:val="24"/>
          <w:szCs w:val="24"/>
        </w:rPr>
      </w:pPr>
      <w:r w:rsidRPr="00855626">
        <w:rPr>
          <w:sz w:val="24"/>
          <w:szCs w:val="24"/>
        </w:rPr>
        <w:t xml:space="preserve">Boussier, J.-M., Cucu, T., Ion, L. &amp; Breuil, D. 2011. Simulation of goods delivery process. </w:t>
      </w:r>
      <w:r w:rsidRPr="00855626">
        <w:rPr>
          <w:i/>
          <w:sz w:val="24"/>
          <w:szCs w:val="24"/>
        </w:rPr>
        <w:t>International Journal of Physical Distribution &amp; Logistics Management,</w:t>
      </w:r>
      <w:r w:rsidRPr="00855626">
        <w:rPr>
          <w:sz w:val="24"/>
          <w:szCs w:val="24"/>
        </w:rPr>
        <w:t xml:space="preserve"> 41</w:t>
      </w:r>
      <w:r w:rsidRPr="00855626">
        <w:rPr>
          <w:b/>
          <w:sz w:val="24"/>
          <w:szCs w:val="24"/>
        </w:rPr>
        <w:t>,</w:t>
      </w:r>
      <w:r w:rsidRPr="00855626">
        <w:rPr>
          <w:sz w:val="24"/>
          <w:szCs w:val="24"/>
        </w:rPr>
        <w:t xml:space="preserve"> 913-930.</w:t>
      </w:r>
    </w:p>
    <w:p w14:paraId="133F8E5D" w14:textId="77777777" w:rsidR="00E20B39" w:rsidRPr="00855626" w:rsidRDefault="00E20B39" w:rsidP="00E20B39">
      <w:pPr>
        <w:pStyle w:val="EndNoteBibliography"/>
        <w:ind w:left="720" w:hanging="720"/>
        <w:rPr>
          <w:sz w:val="24"/>
          <w:szCs w:val="24"/>
        </w:rPr>
      </w:pPr>
      <w:r w:rsidRPr="00855626">
        <w:rPr>
          <w:sz w:val="24"/>
          <w:szCs w:val="24"/>
        </w:rPr>
        <w:t xml:space="preserve">Braun, V. &amp; Clarke, V. 2006. Using thematic analysis in psychology. </w:t>
      </w:r>
      <w:r w:rsidRPr="00855626">
        <w:rPr>
          <w:i/>
          <w:sz w:val="24"/>
          <w:szCs w:val="24"/>
        </w:rPr>
        <w:t>Qualitative research in psychology,</w:t>
      </w:r>
      <w:r w:rsidRPr="00855626">
        <w:rPr>
          <w:sz w:val="24"/>
          <w:szCs w:val="24"/>
        </w:rPr>
        <w:t xml:space="preserve"> 3</w:t>
      </w:r>
      <w:r w:rsidRPr="00855626">
        <w:rPr>
          <w:b/>
          <w:sz w:val="24"/>
          <w:szCs w:val="24"/>
        </w:rPr>
        <w:t>,</w:t>
      </w:r>
      <w:r w:rsidRPr="00855626">
        <w:rPr>
          <w:sz w:val="24"/>
          <w:szCs w:val="24"/>
        </w:rPr>
        <w:t xml:space="preserve"> 77-101.</w:t>
      </w:r>
    </w:p>
    <w:p w14:paraId="6F982F02" w14:textId="77777777" w:rsidR="00E20B39" w:rsidRPr="00855626" w:rsidRDefault="00E20B39" w:rsidP="00E20B39">
      <w:pPr>
        <w:pStyle w:val="EndNoteBibliography"/>
        <w:ind w:left="720" w:hanging="720"/>
        <w:rPr>
          <w:sz w:val="24"/>
          <w:szCs w:val="24"/>
        </w:rPr>
      </w:pPr>
      <w:r w:rsidRPr="00855626">
        <w:rPr>
          <w:sz w:val="24"/>
          <w:szCs w:val="24"/>
        </w:rPr>
        <w:t xml:space="preserve">Braun, V. &amp; Clarke, V. 2012. Thematic analysis. </w:t>
      </w:r>
      <w:r w:rsidRPr="00855626">
        <w:rPr>
          <w:i/>
          <w:sz w:val="24"/>
          <w:szCs w:val="24"/>
        </w:rPr>
        <w:t>APA handbook of research methods in psychology, Vol 2: Research designs: Quantitative, qualitative, neuropsychological, and biological.</w:t>
      </w:r>
      <w:r w:rsidRPr="00855626">
        <w:rPr>
          <w:sz w:val="24"/>
          <w:szCs w:val="24"/>
        </w:rPr>
        <w:t xml:space="preserve"> Washington, DC, US: American Psychological Association.</w:t>
      </w:r>
    </w:p>
    <w:p w14:paraId="6FF63C61" w14:textId="77777777" w:rsidR="00E20B39" w:rsidRPr="00855626" w:rsidRDefault="00E20B39" w:rsidP="00E20B39">
      <w:pPr>
        <w:pStyle w:val="EndNoteBibliography"/>
        <w:ind w:left="720" w:hanging="720"/>
        <w:rPr>
          <w:sz w:val="24"/>
          <w:szCs w:val="24"/>
        </w:rPr>
      </w:pPr>
      <w:r w:rsidRPr="00855626">
        <w:rPr>
          <w:sz w:val="24"/>
          <w:szCs w:val="24"/>
        </w:rPr>
        <w:t xml:space="preserve">Breunig, U., Schmid, V., Hartl, R. F. &amp; Vidal, T. 2016. A large neighbourhood based heuristic for two-echelon routing problems. </w:t>
      </w:r>
      <w:r w:rsidRPr="00855626">
        <w:rPr>
          <w:i/>
          <w:sz w:val="24"/>
          <w:szCs w:val="24"/>
        </w:rPr>
        <w:t>Computers &amp; Operations Research,</w:t>
      </w:r>
      <w:r w:rsidRPr="00855626">
        <w:rPr>
          <w:sz w:val="24"/>
          <w:szCs w:val="24"/>
        </w:rPr>
        <w:t xml:space="preserve"> 76</w:t>
      </w:r>
      <w:r w:rsidRPr="00855626">
        <w:rPr>
          <w:b/>
          <w:sz w:val="24"/>
          <w:szCs w:val="24"/>
        </w:rPr>
        <w:t>,</w:t>
      </w:r>
      <w:r w:rsidRPr="00855626">
        <w:rPr>
          <w:sz w:val="24"/>
          <w:szCs w:val="24"/>
        </w:rPr>
        <w:t xml:space="preserve"> 208-225.</w:t>
      </w:r>
    </w:p>
    <w:p w14:paraId="2C8C7820" w14:textId="77777777" w:rsidR="00E20B39" w:rsidRPr="00855626" w:rsidRDefault="00E20B39" w:rsidP="00E20B39">
      <w:pPr>
        <w:pStyle w:val="EndNoteBibliography"/>
        <w:ind w:left="720" w:hanging="720"/>
        <w:rPr>
          <w:sz w:val="24"/>
          <w:szCs w:val="24"/>
        </w:rPr>
      </w:pPr>
      <w:r w:rsidRPr="00855626">
        <w:rPr>
          <w:sz w:val="24"/>
          <w:szCs w:val="24"/>
        </w:rPr>
        <w:t xml:space="preserve">Browne, M., Allen, J. &amp; Leonardi, J. 2011. Evaluating the use of an urban consolidation centre and electric vehicles in central London. </w:t>
      </w:r>
      <w:r w:rsidRPr="00855626">
        <w:rPr>
          <w:i/>
          <w:sz w:val="24"/>
          <w:szCs w:val="24"/>
        </w:rPr>
        <w:t>IATSS research,</w:t>
      </w:r>
      <w:r w:rsidRPr="00855626">
        <w:rPr>
          <w:sz w:val="24"/>
          <w:szCs w:val="24"/>
        </w:rPr>
        <w:t xml:space="preserve"> 35</w:t>
      </w:r>
      <w:r w:rsidRPr="00855626">
        <w:rPr>
          <w:b/>
          <w:sz w:val="24"/>
          <w:szCs w:val="24"/>
        </w:rPr>
        <w:t>,</w:t>
      </w:r>
      <w:r w:rsidRPr="00855626">
        <w:rPr>
          <w:sz w:val="24"/>
          <w:szCs w:val="24"/>
        </w:rPr>
        <w:t xml:space="preserve"> 1-6.</w:t>
      </w:r>
    </w:p>
    <w:p w14:paraId="16538510" w14:textId="77777777" w:rsidR="00E20B39" w:rsidRPr="00855626" w:rsidRDefault="00E20B39" w:rsidP="00E20B39">
      <w:pPr>
        <w:pStyle w:val="EndNoteBibliography"/>
        <w:ind w:left="720" w:hanging="720"/>
        <w:rPr>
          <w:sz w:val="24"/>
          <w:szCs w:val="24"/>
        </w:rPr>
      </w:pPr>
      <w:r w:rsidRPr="00855626">
        <w:rPr>
          <w:sz w:val="24"/>
          <w:szCs w:val="24"/>
        </w:rPr>
        <w:t xml:space="preserve">Browne, M., Sweet, M., Woodburn, A. &amp; Allen, J. 2005. Urban freight consolidation centres final report. </w:t>
      </w:r>
      <w:r w:rsidRPr="00855626">
        <w:rPr>
          <w:i/>
          <w:sz w:val="24"/>
          <w:szCs w:val="24"/>
        </w:rPr>
        <w:t>Transport Studies Group, University of Westminster,</w:t>
      </w:r>
      <w:r w:rsidRPr="00855626">
        <w:rPr>
          <w:sz w:val="24"/>
          <w:szCs w:val="24"/>
        </w:rPr>
        <w:t xml:space="preserve"> 10.</w:t>
      </w:r>
    </w:p>
    <w:p w14:paraId="1A02BF91" w14:textId="77777777" w:rsidR="00E20B39" w:rsidRPr="00855626" w:rsidRDefault="00E20B39" w:rsidP="00E20B39">
      <w:pPr>
        <w:pStyle w:val="EndNoteBibliography"/>
        <w:ind w:left="720" w:hanging="720"/>
        <w:rPr>
          <w:sz w:val="24"/>
          <w:szCs w:val="24"/>
        </w:rPr>
      </w:pPr>
      <w:r w:rsidRPr="00855626">
        <w:rPr>
          <w:sz w:val="24"/>
          <w:szCs w:val="24"/>
        </w:rPr>
        <w:t xml:space="preserve">Browne, M., Woodburn, A. &amp; Allen, J. 2007. Evaluating the potential for urban consolidation centres. </w:t>
      </w:r>
      <w:r w:rsidRPr="00855626">
        <w:rPr>
          <w:i/>
          <w:sz w:val="24"/>
          <w:szCs w:val="24"/>
        </w:rPr>
        <w:t>European Transport,</w:t>
      </w:r>
      <w:r w:rsidRPr="00855626">
        <w:rPr>
          <w:sz w:val="24"/>
          <w:szCs w:val="24"/>
        </w:rPr>
        <w:t xml:space="preserve"> 35</w:t>
      </w:r>
      <w:r w:rsidRPr="00855626">
        <w:rPr>
          <w:b/>
          <w:sz w:val="24"/>
          <w:szCs w:val="24"/>
        </w:rPr>
        <w:t>,</w:t>
      </w:r>
      <w:r w:rsidRPr="00855626">
        <w:rPr>
          <w:sz w:val="24"/>
          <w:szCs w:val="24"/>
        </w:rPr>
        <w:t xml:space="preserve"> 46-63.</w:t>
      </w:r>
    </w:p>
    <w:p w14:paraId="237A5D8E" w14:textId="77777777" w:rsidR="00E20B39" w:rsidRPr="00855626" w:rsidRDefault="00E20B39" w:rsidP="00E20B39">
      <w:pPr>
        <w:pStyle w:val="EndNoteBibliography"/>
        <w:ind w:left="720" w:hanging="720"/>
        <w:rPr>
          <w:sz w:val="24"/>
          <w:szCs w:val="24"/>
        </w:rPr>
      </w:pPr>
      <w:r w:rsidRPr="00855626">
        <w:rPr>
          <w:sz w:val="24"/>
          <w:szCs w:val="24"/>
        </w:rPr>
        <w:t>Brundtland, G. H., Khalid, M., Agnelli, S., Al-Athel, S. &amp; Chidzero, B. J. N. Y. 1987. Our common future. 8.</w:t>
      </w:r>
    </w:p>
    <w:p w14:paraId="1759C07F" w14:textId="77777777" w:rsidR="00E20B39" w:rsidRPr="00855626" w:rsidRDefault="00E20B39" w:rsidP="00E20B39">
      <w:pPr>
        <w:pStyle w:val="EndNoteBibliography"/>
        <w:ind w:left="720" w:hanging="720"/>
        <w:rPr>
          <w:sz w:val="24"/>
          <w:szCs w:val="24"/>
        </w:rPr>
      </w:pPr>
      <w:r w:rsidRPr="00855626">
        <w:rPr>
          <w:sz w:val="24"/>
          <w:szCs w:val="24"/>
        </w:rPr>
        <w:lastRenderedPageBreak/>
        <w:t>Bts 2017. Average Fuel Efficiency of U.S. Light Duty Vehicles. Bureau of Transportation Statistics.</w:t>
      </w:r>
    </w:p>
    <w:p w14:paraId="7B11521F" w14:textId="77777777" w:rsidR="00E20B39" w:rsidRPr="00855626" w:rsidRDefault="00E20B39" w:rsidP="00E20B39">
      <w:pPr>
        <w:pStyle w:val="EndNoteBibliography"/>
        <w:ind w:left="720" w:hanging="720"/>
        <w:rPr>
          <w:sz w:val="24"/>
          <w:szCs w:val="24"/>
        </w:rPr>
      </w:pPr>
      <w:r w:rsidRPr="00855626">
        <w:rPr>
          <w:sz w:val="24"/>
          <w:szCs w:val="24"/>
        </w:rPr>
        <w:t xml:space="preserve">Buldeo Rai, H., Van Lier, T., Meers, D. &amp; Macharis, C. 2018. An indicator approach to sustainable urban freight transport. </w:t>
      </w:r>
      <w:r w:rsidRPr="00855626">
        <w:rPr>
          <w:i/>
          <w:sz w:val="24"/>
          <w:szCs w:val="24"/>
        </w:rPr>
        <w:t>Journal of Urbanism,</w:t>
      </w:r>
      <w:r w:rsidRPr="00855626">
        <w:rPr>
          <w:sz w:val="24"/>
          <w:szCs w:val="24"/>
        </w:rPr>
        <w:t xml:space="preserve"> 11</w:t>
      </w:r>
      <w:r w:rsidRPr="00855626">
        <w:rPr>
          <w:b/>
          <w:sz w:val="24"/>
          <w:szCs w:val="24"/>
        </w:rPr>
        <w:t>,</w:t>
      </w:r>
      <w:r w:rsidRPr="00855626">
        <w:rPr>
          <w:sz w:val="24"/>
          <w:szCs w:val="24"/>
        </w:rPr>
        <w:t xml:space="preserve"> 81-102.</w:t>
      </w:r>
    </w:p>
    <w:p w14:paraId="271211F1" w14:textId="77777777" w:rsidR="00E20B39" w:rsidRPr="00855626" w:rsidRDefault="00E20B39" w:rsidP="00E20B39">
      <w:pPr>
        <w:pStyle w:val="EndNoteBibliography"/>
        <w:ind w:left="720" w:hanging="720"/>
        <w:rPr>
          <w:sz w:val="24"/>
          <w:szCs w:val="24"/>
        </w:rPr>
      </w:pPr>
      <w:r w:rsidRPr="00855626">
        <w:rPr>
          <w:sz w:val="24"/>
          <w:szCs w:val="24"/>
        </w:rPr>
        <w:t xml:space="preserve">Buldeo Rai, H., Verlinde, S., Merckx, J. &amp; Macharis, C. 2017. Crowd logistics: an opportunity for more sustainable urban freight transport? </w:t>
      </w:r>
      <w:r w:rsidRPr="00855626">
        <w:rPr>
          <w:i/>
          <w:sz w:val="24"/>
          <w:szCs w:val="24"/>
        </w:rPr>
        <w:t>European Transport Research Review,</w:t>
      </w:r>
      <w:r w:rsidRPr="00855626">
        <w:rPr>
          <w:sz w:val="24"/>
          <w:szCs w:val="24"/>
        </w:rPr>
        <w:t xml:space="preserve"> 9.</w:t>
      </w:r>
    </w:p>
    <w:p w14:paraId="086DA33A" w14:textId="77777777" w:rsidR="00E20B39" w:rsidRPr="00855626" w:rsidRDefault="00E20B39" w:rsidP="00E20B39">
      <w:pPr>
        <w:pStyle w:val="EndNoteBibliography"/>
        <w:ind w:left="720" w:hanging="720"/>
        <w:rPr>
          <w:sz w:val="24"/>
          <w:szCs w:val="24"/>
        </w:rPr>
      </w:pPr>
      <w:r w:rsidRPr="00855626">
        <w:rPr>
          <w:sz w:val="24"/>
          <w:szCs w:val="24"/>
        </w:rPr>
        <w:t xml:space="preserve">Butrina, P., Del Carmen Girón-Valderrama, G., Machado-León, J. L., Goodchild, A. &amp; Ayyalasomayajula, P. C. 2017. From the Last Mile to the Last 800 ft:Key Factors in Urban Pickup and Delivery of Goods. </w:t>
      </w:r>
      <w:r w:rsidRPr="00855626">
        <w:rPr>
          <w:i/>
          <w:sz w:val="24"/>
          <w:szCs w:val="24"/>
        </w:rPr>
        <w:t>Transportation Research Record,</w:t>
      </w:r>
      <w:r w:rsidRPr="00855626">
        <w:rPr>
          <w:sz w:val="24"/>
          <w:szCs w:val="24"/>
        </w:rPr>
        <w:t xml:space="preserve"> 2609</w:t>
      </w:r>
      <w:r w:rsidRPr="00855626">
        <w:rPr>
          <w:b/>
          <w:sz w:val="24"/>
          <w:szCs w:val="24"/>
        </w:rPr>
        <w:t>,</w:t>
      </w:r>
      <w:r w:rsidRPr="00855626">
        <w:rPr>
          <w:sz w:val="24"/>
          <w:szCs w:val="24"/>
        </w:rPr>
        <w:t xml:space="preserve"> 85-92.</w:t>
      </w:r>
    </w:p>
    <w:p w14:paraId="06FECD73" w14:textId="77777777" w:rsidR="00E20B39" w:rsidRPr="00855626" w:rsidRDefault="00E20B39" w:rsidP="00E20B39">
      <w:pPr>
        <w:pStyle w:val="EndNoteBibliography"/>
        <w:ind w:left="720" w:hanging="720"/>
        <w:rPr>
          <w:sz w:val="24"/>
          <w:szCs w:val="24"/>
        </w:rPr>
      </w:pPr>
      <w:r w:rsidRPr="00855626">
        <w:rPr>
          <w:sz w:val="24"/>
          <w:szCs w:val="24"/>
        </w:rPr>
        <w:t xml:space="preserve">Camagni, R. 1998. Beyond complexity in urban development studies. </w:t>
      </w:r>
      <w:r w:rsidRPr="00855626">
        <w:rPr>
          <w:i/>
          <w:sz w:val="24"/>
          <w:szCs w:val="24"/>
        </w:rPr>
        <w:t>The city and its sciences.</w:t>
      </w:r>
      <w:r w:rsidRPr="00855626">
        <w:rPr>
          <w:sz w:val="24"/>
          <w:szCs w:val="24"/>
        </w:rPr>
        <w:t xml:space="preserve"> Springer.</w:t>
      </w:r>
    </w:p>
    <w:p w14:paraId="191E0917" w14:textId="77777777" w:rsidR="00E20B39" w:rsidRPr="00120BCB" w:rsidRDefault="00E20B39" w:rsidP="00E20B39">
      <w:pPr>
        <w:pStyle w:val="EndNoteBibliography"/>
        <w:ind w:left="720" w:hanging="720"/>
        <w:rPr>
          <w:sz w:val="24"/>
          <w:szCs w:val="24"/>
          <w:lang w:val="it-IT"/>
        </w:rPr>
      </w:pPr>
      <w:r w:rsidRPr="00855626">
        <w:rPr>
          <w:sz w:val="24"/>
          <w:szCs w:val="24"/>
        </w:rPr>
        <w:t xml:space="preserve">Carpentieri, G. 2015. Smart and Sustainable Logistics for a Competitive Europe. </w:t>
      </w:r>
      <w:r w:rsidRPr="00120BCB">
        <w:rPr>
          <w:sz w:val="24"/>
          <w:szCs w:val="24"/>
          <w:lang w:val="it-IT"/>
        </w:rPr>
        <w:t>UNIV STUDI NAPOLI FEDERICO II, DIPT PIANIFICAZIONE &amp; SCIENZA TERRITORIO PIAZZALE TECCHIO 80, NAPLES, 80125, ITALY.</w:t>
      </w:r>
    </w:p>
    <w:p w14:paraId="755455EC" w14:textId="77777777" w:rsidR="00E20B39" w:rsidRPr="00855626" w:rsidRDefault="00E20B39" w:rsidP="00E20B39">
      <w:pPr>
        <w:pStyle w:val="EndNoteBibliography"/>
        <w:ind w:left="720" w:hanging="720"/>
        <w:rPr>
          <w:sz w:val="24"/>
          <w:szCs w:val="24"/>
        </w:rPr>
      </w:pPr>
      <w:r w:rsidRPr="00855626">
        <w:rPr>
          <w:sz w:val="24"/>
          <w:szCs w:val="24"/>
        </w:rPr>
        <w:t xml:space="preserve">Carroll, A. B. 1979. A three-dimensional conceptual model of corporate performance. </w:t>
      </w:r>
      <w:r w:rsidRPr="00855626">
        <w:rPr>
          <w:i/>
          <w:sz w:val="24"/>
          <w:szCs w:val="24"/>
        </w:rPr>
        <w:t>Academy of management review,</w:t>
      </w:r>
      <w:r w:rsidRPr="00855626">
        <w:rPr>
          <w:sz w:val="24"/>
          <w:szCs w:val="24"/>
        </w:rPr>
        <w:t xml:space="preserve"> 4</w:t>
      </w:r>
      <w:r w:rsidRPr="00855626">
        <w:rPr>
          <w:b/>
          <w:sz w:val="24"/>
          <w:szCs w:val="24"/>
        </w:rPr>
        <w:t>,</w:t>
      </w:r>
      <w:r w:rsidRPr="00855626">
        <w:rPr>
          <w:sz w:val="24"/>
          <w:szCs w:val="24"/>
        </w:rPr>
        <w:t xml:space="preserve"> 497-505.</w:t>
      </w:r>
    </w:p>
    <w:p w14:paraId="7E14A0CD" w14:textId="77777777" w:rsidR="00E20B39" w:rsidRPr="00855626" w:rsidRDefault="00E20B39" w:rsidP="00E20B39">
      <w:pPr>
        <w:pStyle w:val="EndNoteBibliography"/>
        <w:ind w:left="720" w:hanging="720"/>
        <w:rPr>
          <w:sz w:val="24"/>
          <w:szCs w:val="24"/>
        </w:rPr>
      </w:pPr>
      <w:r w:rsidRPr="00855626">
        <w:rPr>
          <w:sz w:val="24"/>
          <w:szCs w:val="24"/>
        </w:rPr>
        <w:t xml:space="preserve">Cattaruzza, D., Absi, N., Feillet, D. &amp; Vidal, T. 2014. A memetic algorithm for the Multi Trip Vehicle Routing Problem. </w:t>
      </w:r>
      <w:r w:rsidRPr="00855626">
        <w:rPr>
          <w:i/>
          <w:sz w:val="24"/>
          <w:szCs w:val="24"/>
        </w:rPr>
        <w:t>European Journal of Operational Research,</w:t>
      </w:r>
      <w:r w:rsidRPr="00855626">
        <w:rPr>
          <w:sz w:val="24"/>
          <w:szCs w:val="24"/>
        </w:rPr>
        <w:t xml:space="preserve"> 236</w:t>
      </w:r>
      <w:r w:rsidRPr="00855626">
        <w:rPr>
          <w:b/>
          <w:sz w:val="24"/>
          <w:szCs w:val="24"/>
        </w:rPr>
        <w:t>,</w:t>
      </w:r>
      <w:r w:rsidRPr="00855626">
        <w:rPr>
          <w:sz w:val="24"/>
          <w:szCs w:val="24"/>
        </w:rPr>
        <w:t xml:space="preserve"> 833-848.</w:t>
      </w:r>
    </w:p>
    <w:p w14:paraId="7A950485" w14:textId="77777777" w:rsidR="00E20B39" w:rsidRPr="00855626" w:rsidRDefault="00E20B39" w:rsidP="00E20B39">
      <w:pPr>
        <w:pStyle w:val="EndNoteBibliography"/>
        <w:ind w:left="720" w:hanging="720"/>
        <w:rPr>
          <w:sz w:val="24"/>
          <w:szCs w:val="24"/>
        </w:rPr>
      </w:pPr>
      <w:r w:rsidRPr="00855626">
        <w:rPr>
          <w:sz w:val="24"/>
          <w:szCs w:val="24"/>
        </w:rPr>
        <w:t xml:space="preserve">Chen, D., Ignatius, J., Sun, D., Goh, M. &amp; Zhan, S. 2018. Impact of congestion pricing schemes on emissions and temporal shift of freight transport. </w:t>
      </w:r>
      <w:r w:rsidRPr="00855626">
        <w:rPr>
          <w:i/>
          <w:sz w:val="24"/>
          <w:szCs w:val="24"/>
        </w:rPr>
        <w:t>Transportation Research Part E: Logistics and Transportation Review,</w:t>
      </w:r>
      <w:r w:rsidRPr="00855626">
        <w:rPr>
          <w:sz w:val="24"/>
          <w:szCs w:val="24"/>
        </w:rPr>
        <w:t xml:space="preserve"> 118</w:t>
      </w:r>
      <w:r w:rsidRPr="00855626">
        <w:rPr>
          <w:b/>
          <w:sz w:val="24"/>
          <w:szCs w:val="24"/>
        </w:rPr>
        <w:t>,</w:t>
      </w:r>
      <w:r w:rsidRPr="00855626">
        <w:rPr>
          <w:sz w:val="24"/>
          <w:szCs w:val="24"/>
        </w:rPr>
        <w:t xml:space="preserve"> 77-105.</w:t>
      </w:r>
    </w:p>
    <w:p w14:paraId="152C1F00" w14:textId="77777777" w:rsidR="00E20B39" w:rsidRPr="00855626" w:rsidRDefault="00E20B39" w:rsidP="00E20B39">
      <w:pPr>
        <w:pStyle w:val="EndNoteBibliography"/>
        <w:ind w:left="720" w:hanging="720"/>
        <w:rPr>
          <w:sz w:val="24"/>
          <w:szCs w:val="24"/>
        </w:rPr>
      </w:pPr>
      <w:r w:rsidRPr="00855626">
        <w:rPr>
          <w:sz w:val="24"/>
          <w:szCs w:val="24"/>
        </w:rPr>
        <w:t xml:space="preserve">Chen, Q., Lin, J. &amp; Kawamura, K. 2012. Comparison of Urban Cooperative Delivery and Direct Delivery Strategies. </w:t>
      </w:r>
      <w:r w:rsidRPr="00855626">
        <w:rPr>
          <w:i/>
          <w:sz w:val="24"/>
          <w:szCs w:val="24"/>
        </w:rPr>
        <w:t>Transportation Research Record,</w:t>
      </w:r>
      <w:r w:rsidRPr="00855626">
        <w:rPr>
          <w:sz w:val="24"/>
          <w:szCs w:val="24"/>
        </w:rPr>
        <w:t xml:space="preserve"> 2288</w:t>
      </w:r>
      <w:r w:rsidRPr="00855626">
        <w:rPr>
          <w:b/>
          <w:sz w:val="24"/>
          <w:szCs w:val="24"/>
        </w:rPr>
        <w:t>,</w:t>
      </w:r>
      <w:r w:rsidRPr="00855626">
        <w:rPr>
          <w:sz w:val="24"/>
          <w:szCs w:val="24"/>
        </w:rPr>
        <w:t xml:space="preserve"> 28-39.</w:t>
      </w:r>
    </w:p>
    <w:p w14:paraId="59BC1C85" w14:textId="77777777" w:rsidR="00E20B39" w:rsidRPr="00855626" w:rsidRDefault="00E20B39" w:rsidP="00E20B39">
      <w:pPr>
        <w:pStyle w:val="EndNoteBibliography"/>
        <w:ind w:left="720" w:hanging="720"/>
        <w:rPr>
          <w:sz w:val="24"/>
          <w:szCs w:val="24"/>
        </w:rPr>
      </w:pPr>
      <w:r w:rsidRPr="00855626">
        <w:rPr>
          <w:sz w:val="24"/>
          <w:szCs w:val="24"/>
        </w:rPr>
        <w:t xml:space="preserve">Chen, S.-J., Hwang, C.-L. &amp; Hwang, F. P. 1992. Fuzzy multiple attribute decision making(methods and applications). </w:t>
      </w:r>
      <w:r w:rsidRPr="00855626">
        <w:rPr>
          <w:i/>
          <w:sz w:val="24"/>
          <w:szCs w:val="24"/>
        </w:rPr>
        <w:t>Lecture Notes in Economics and Mathematical Systems</w:t>
      </w:r>
      <w:r w:rsidRPr="00855626">
        <w:rPr>
          <w:sz w:val="24"/>
          <w:szCs w:val="24"/>
        </w:rPr>
        <w:t>.</w:t>
      </w:r>
    </w:p>
    <w:p w14:paraId="10175108" w14:textId="77777777" w:rsidR="00E20B39" w:rsidRPr="00855626" w:rsidRDefault="00E20B39" w:rsidP="00E20B39">
      <w:pPr>
        <w:pStyle w:val="EndNoteBibliography"/>
        <w:ind w:left="720" w:hanging="720"/>
        <w:rPr>
          <w:sz w:val="24"/>
          <w:szCs w:val="24"/>
        </w:rPr>
      </w:pPr>
      <w:r w:rsidRPr="00855626">
        <w:rPr>
          <w:sz w:val="24"/>
          <w:szCs w:val="24"/>
        </w:rPr>
        <w:t xml:space="preserve">Churchman, C. W. 1968. </w:t>
      </w:r>
      <w:r w:rsidRPr="00855626">
        <w:rPr>
          <w:i/>
          <w:sz w:val="24"/>
          <w:szCs w:val="24"/>
        </w:rPr>
        <w:t>The systems approach</w:t>
      </w:r>
      <w:r w:rsidRPr="00855626">
        <w:rPr>
          <w:sz w:val="24"/>
          <w:szCs w:val="24"/>
        </w:rPr>
        <w:t>, Delta.</w:t>
      </w:r>
    </w:p>
    <w:p w14:paraId="1A3A8FB9" w14:textId="77777777" w:rsidR="00E20B39" w:rsidRPr="00855626" w:rsidRDefault="00E20B39" w:rsidP="00E20B39">
      <w:pPr>
        <w:pStyle w:val="EndNoteBibliography"/>
        <w:ind w:left="720" w:hanging="720"/>
        <w:rPr>
          <w:sz w:val="24"/>
          <w:szCs w:val="24"/>
        </w:rPr>
      </w:pPr>
      <w:r w:rsidRPr="00855626">
        <w:rPr>
          <w:sz w:val="24"/>
          <w:szCs w:val="24"/>
        </w:rPr>
        <w:t xml:space="preserve">Ciardiello, F., Genovese, A. &amp; Simpson, A. 2020. A unified cooperative model for environmental costs in supply chains: the Shapley value for the linear case. </w:t>
      </w:r>
      <w:r w:rsidRPr="00855626">
        <w:rPr>
          <w:i/>
          <w:sz w:val="24"/>
          <w:szCs w:val="24"/>
        </w:rPr>
        <w:t>Annals of Operations Research,</w:t>
      </w:r>
      <w:r w:rsidRPr="00855626">
        <w:rPr>
          <w:sz w:val="24"/>
          <w:szCs w:val="24"/>
        </w:rPr>
        <w:t xml:space="preserve"> 290</w:t>
      </w:r>
      <w:r w:rsidRPr="00855626">
        <w:rPr>
          <w:b/>
          <w:sz w:val="24"/>
          <w:szCs w:val="24"/>
        </w:rPr>
        <w:t>,</w:t>
      </w:r>
      <w:r w:rsidRPr="00855626">
        <w:rPr>
          <w:sz w:val="24"/>
          <w:szCs w:val="24"/>
        </w:rPr>
        <w:t xml:space="preserve"> 421-437.</w:t>
      </w:r>
    </w:p>
    <w:p w14:paraId="008D8A2B" w14:textId="77777777" w:rsidR="00E20B39" w:rsidRPr="00855626" w:rsidRDefault="00E20B39" w:rsidP="00E20B39">
      <w:pPr>
        <w:pStyle w:val="EndNoteBibliography"/>
        <w:ind w:left="720" w:hanging="720"/>
        <w:rPr>
          <w:sz w:val="24"/>
          <w:szCs w:val="24"/>
        </w:rPr>
      </w:pPr>
      <w:r w:rsidRPr="00855626">
        <w:rPr>
          <w:sz w:val="24"/>
          <w:szCs w:val="24"/>
        </w:rPr>
        <w:t xml:space="preserve">Clausen, U., Geiger, C. &amp; Pöting, M. 2016. Hands-on Testing of Last Mile Concepts. </w:t>
      </w:r>
      <w:r w:rsidRPr="00855626">
        <w:rPr>
          <w:i/>
          <w:sz w:val="24"/>
          <w:szCs w:val="24"/>
        </w:rPr>
        <w:t>Transportation Research Procedia,</w:t>
      </w:r>
      <w:r w:rsidRPr="00855626">
        <w:rPr>
          <w:sz w:val="24"/>
          <w:szCs w:val="24"/>
        </w:rPr>
        <w:t xml:space="preserve"> 14</w:t>
      </w:r>
      <w:r w:rsidRPr="00855626">
        <w:rPr>
          <w:b/>
          <w:sz w:val="24"/>
          <w:szCs w:val="24"/>
        </w:rPr>
        <w:t>,</w:t>
      </w:r>
      <w:r w:rsidRPr="00855626">
        <w:rPr>
          <w:sz w:val="24"/>
          <w:szCs w:val="24"/>
        </w:rPr>
        <w:t xml:space="preserve"> 1533-1542.</w:t>
      </w:r>
    </w:p>
    <w:p w14:paraId="19F498FC" w14:textId="77777777" w:rsidR="00E20B39" w:rsidRPr="00855626" w:rsidRDefault="00E20B39" w:rsidP="00E20B39">
      <w:pPr>
        <w:pStyle w:val="EndNoteBibliography"/>
        <w:ind w:left="720" w:hanging="720"/>
        <w:rPr>
          <w:sz w:val="24"/>
          <w:szCs w:val="24"/>
        </w:rPr>
      </w:pPr>
      <w:r w:rsidRPr="00855626">
        <w:rPr>
          <w:sz w:val="24"/>
          <w:szCs w:val="24"/>
        </w:rPr>
        <w:t xml:space="preserve">Cleophas, C., Cottrill, C., Ehmke, J. F. &amp; Tierney, K. 2019. Collaborative urban transportation: Recent advances in theory and practice. </w:t>
      </w:r>
      <w:r w:rsidRPr="00855626">
        <w:rPr>
          <w:i/>
          <w:sz w:val="24"/>
          <w:szCs w:val="24"/>
        </w:rPr>
        <w:t>European Journal of Operational Research,</w:t>
      </w:r>
      <w:r w:rsidRPr="00855626">
        <w:rPr>
          <w:sz w:val="24"/>
          <w:szCs w:val="24"/>
        </w:rPr>
        <w:t xml:space="preserve"> 273</w:t>
      </w:r>
      <w:r w:rsidRPr="00855626">
        <w:rPr>
          <w:b/>
          <w:sz w:val="24"/>
          <w:szCs w:val="24"/>
        </w:rPr>
        <w:t>,</w:t>
      </w:r>
      <w:r w:rsidRPr="00855626">
        <w:rPr>
          <w:sz w:val="24"/>
          <w:szCs w:val="24"/>
        </w:rPr>
        <w:t xml:space="preserve"> 801-816.</w:t>
      </w:r>
    </w:p>
    <w:p w14:paraId="51786C54" w14:textId="77777777" w:rsidR="00E20B39" w:rsidRPr="00855626" w:rsidRDefault="00E20B39" w:rsidP="00E20B39">
      <w:pPr>
        <w:pStyle w:val="EndNoteBibliography"/>
        <w:ind w:left="720" w:hanging="720"/>
        <w:rPr>
          <w:sz w:val="24"/>
          <w:szCs w:val="24"/>
        </w:rPr>
      </w:pPr>
      <w:r w:rsidRPr="00855626">
        <w:rPr>
          <w:sz w:val="24"/>
          <w:szCs w:val="24"/>
        </w:rPr>
        <w:t xml:space="preserve">Comi, A., Schiraldi, M. M. &amp; Buttarazzi, B. 2018. Smart urban freight transport: tools for planning and optimising delivery operations. </w:t>
      </w:r>
      <w:r w:rsidRPr="00855626">
        <w:rPr>
          <w:i/>
          <w:sz w:val="24"/>
          <w:szCs w:val="24"/>
        </w:rPr>
        <w:t>Simulation Modelling Practice and Theory,</w:t>
      </w:r>
      <w:r w:rsidRPr="00855626">
        <w:rPr>
          <w:sz w:val="24"/>
          <w:szCs w:val="24"/>
        </w:rPr>
        <w:t xml:space="preserve"> 88</w:t>
      </w:r>
      <w:r w:rsidRPr="00855626">
        <w:rPr>
          <w:b/>
          <w:sz w:val="24"/>
          <w:szCs w:val="24"/>
        </w:rPr>
        <w:t>,</w:t>
      </w:r>
      <w:r w:rsidRPr="00855626">
        <w:rPr>
          <w:sz w:val="24"/>
          <w:szCs w:val="24"/>
        </w:rPr>
        <w:t xml:space="preserve"> 48-61.</w:t>
      </w:r>
    </w:p>
    <w:p w14:paraId="3093CA74" w14:textId="77777777" w:rsidR="00E20B39" w:rsidRPr="00855626" w:rsidRDefault="00E20B39" w:rsidP="00E20B39">
      <w:pPr>
        <w:pStyle w:val="EndNoteBibliography"/>
        <w:ind w:left="720" w:hanging="720"/>
        <w:rPr>
          <w:sz w:val="24"/>
          <w:szCs w:val="24"/>
        </w:rPr>
      </w:pPr>
      <w:r w:rsidRPr="00855626">
        <w:rPr>
          <w:sz w:val="24"/>
          <w:szCs w:val="24"/>
        </w:rPr>
        <w:lastRenderedPageBreak/>
        <w:t xml:space="preserve">Corbin, J. &amp; Strauss, A. 2014. </w:t>
      </w:r>
      <w:r w:rsidRPr="00855626">
        <w:rPr>
          <w:i/>
          <w:sz w:val="24"/>
          <w:szCs w:val="24"/>
        </w:rPr>
        <w:t>Basics of qualitative research: Techniques and procedures for developing grounded theory</w:t>
      </w:r>
      <w:r w:rsidRPr="00855626">
        <w:rPr>
          <w:sz w:val="24"/>
          <w:szCs w:val="24"/>
        </w:rPr>
        <w:t>, Sage publications.</w:t>
      </w:r>
    </w:p>
    <w:p w14:paraId="2AF2A737" w14:textId="77777777" w:rsidR="00E20B39" w:rsidRPr="00855626" w:rsidRDefault="00E20B39" w:rsidP="00E20B39">
      <w:pPr>
        <w:pStyle w:val="EndNoteBibliography"/>
        <w:ind w:left="720" w:hanging="720"/>
        <w:rPr>
          <w:sz w:val="24"/>
          <w:szCs w:val="24"/>
        </w:rPr>
      </w:pPr>
      <w:r w:rsidRPr="00120BCB">
        <w:rPr>
          <w:sz w:val="24"/>
          <w:szCs w:val="24"/>
          <w:lang w:val="it-IT"/>
        </w:rPr>
        <w:t xml:space="preserve">Correia, V. D. A., Oliveira, L. K. D. &amp; Guerra, A. L. 2012. </w:t>
      </w:r>
      <w:r w:rsidRPr="00855626">
        <w:rPr>
          <w:sz w:val="24"/>
          <w:szCs w:val="24"/>
        </w:rPr>
        <w:t xml:space="preserve">Economical and Environmental Analysis of an Urban Consolidation Center for Belo Horizonte City (Brazil). </w:t>
      </w:r>
      <w:r w:rsidRPr="00855626">
        <w:rPr>
          <w:i/>
          <w:sz w:val="24"/>
          <w:szCs w:val="24"/>
        </w:rPr>
        <w:t>Procedia - Social and Behavioral Sciences,</w:t>
      </w:r>
      <w:r w:rsidRPr="00855626">
        <w:rPr>
          <w:sz w:val="24"/>
          <w:szCs w:val="24"/>
        </w:rPr>
        <w:t xml:space="preserve"> 39</w:t>
      </w:r>
      <w:r w:rsidRPr="00855626">
        <w:rPr>
          <w:b/>
          <w:sz w:val="24"/>
          <w:szCs w:val="24"/>
        </w:rPr>
        <w:t>,</w:t>
      </w:r>
      <w:r w:rsidRPr="00855626">
        <w:rPr>
          <w:sz w:val="24"/>
          <w:szCs w:val="24"/>
        </w:rPr>
        <w:t xml:space="preserve"> 770-782.</w:t>
      </w:r>
    </w:p>
    <w:p w14:paraId="5B2E571C" w14:textId="77777777" w:rsidR="00E20B39" w:rsidRPr="00855626" w:rsidRDefault="00E20B39" w:rsidP="00E20B39">
      <w:pPr>
        <w:pStyle w:val="EndNoteBibliography"/>
        <w:ind w:left="720" w:hanging="720"/>
        <w:rPr>
          <w:sz w:val="24"/>
          <w:szCs w:val="24"/>
        </w:rPr>
      </w:pPr>
      <w:r w:rsidRPr="00855626">
        <w:rPr>
          <w:sz w:val="24"/>
          <w:szCs w:val="24"/>
        </w:rPr>
        <w:t xml:space="preserve">Cortes, Z., Andres, J., Serna, A., Dario, M. &amp; Andres Gomez, R. 2013. Information systems applied to transport improvement. </w:t>
      </w:r>
      <w:r w:rsidRPr="00855626">
        <w:rPr>
          <w:i/>
          <w:sz w:val="24"/>
          <w:szCs w:val="24"/>
        </w:rPr>
        <w:t>Dyna,</w:t>
      </w:r>
      <w:r w:rsidRPr="00855626">
        <w:rPr>
          <w:sz w:val="24"/>
          <w:szCs w:val="24"/>
        </w:rPr>
        <w:t xml:space="preserve"> 80</w:t>
      </w:r>
      <w:r w:rsidRPr="00855626">
        <w:rPr>
          <w:b/>
          <w:sz w:val="24"/>
          <w:szCs w:val="24"/>
        </w:rPr>
        <w:t>,</w:t>
      </w:r>
      <w:r w:rsidRPr="00855626">
        <w:rPr>
          <w:sz w:val="24"/>
          <w:szCs w:val="24"/>
        </w:rPr>
        <w:t xml:space="preserve"> 77-86.</w:t>
      </w:r>
    </w:p>
    <w:p w14:paraId="7DCB46FA" w14:textId="77777777" w:rsidR="00E20B39" w:rsidRPr="00855626" w:rsidRDefault="00E20B39" w:rsidP="00E20B39">
      <w:pPr>
        <w:pStyle w:val="EndNoteBibliography"/>
        <w:ind w:left="720" w:hanging="720"/>
        <w:rPr>
          <w:sz w:val="24"/>
          <w:szCs w:val="24"/>
        </w:rPr>
      </w:pPr>
      <w:r w:rsidRPr="00855626">
        <w:rPr>
          <w:sz w:val="24"/>
          <w:szCs w:val="24"/>
        </w:rPr>
        <w:t xml:space="preserve">Crainic, T. G., Errico, F., Rei, W. &amp; Ricciardi, N. 2015. Modeling Demand Uncertainty in Two-Tier City Logistics Tactical Planning. </w:t>
      </w:r>
      <w:r w:rsidRPr="00855626">
        <w:rPr>
          <w:i/>
          <w:sz w:val="24"/>
          <w:szCs w:val="24"/>
        </w:rPr>
        <w:t>Transportation Science,</w:t>
      </w:r>
      <w:r w:rsidRPr="00855626">
        <w:rPr>
          <w:sz w:val="24"/>
          <w:szCs w:val="24"/>
        </w:rPr>
        <w:t xml:space="preserve"> 50</w:t>
      </w:r>
      <w:r w:rsidRPr="00855626">
        <w:rPr>
          <w:b/>
          <w:sz w:val="24"/>
          <w:szCs w:val="24"/>
        </w:rPr>
        <w:t>,</w:t>
      </w:r>
      <w:r w:rsidRPr="00855626">
        <w:rPr>
          <w:sz w:val="24"/>
          <w:szCs w:val="24"/>
        </w:rPr>
        <w:t xml:space="preserve"> 559-578.</w:t>
      </w:r>
    </w:p>
    <w:p w14:paraId="08B1673F" w14:textId="77777777" w:rsidR="00E20B39" w:rsidRPr="00855626" w:rsidRDefault="00E20B39" w:rsidP="00E20B39">
      <w:pPr>
        <w:pStyle w:val="EndNoteBibliography"/>
        <w:ind w:left="720" w:hanging="720"/>
        <w:rPr>
          <w:sz w:val="24"/>
          <w:szCs w:val="24"/>
        </w:rPr>
      </w:pPr>
      <w:r w:rsidRPr="00855626">
        <w:rPr>
          <w:sz w:val="24"/>
          <w:szCs w:val="24"/>
        </w:rPr>
        <w:t xml:space="preserve">Crainic, T. G., Gendreau, M. &amp; Potvin, J.-Y. 2009. Intelligent freight-transportation systems: Assessment and the contribution of operations research. </w:t>
      </w:r>
      <w:r w:rsidRPr="00855626">
        <w:rPr>
          <w:i/>
          <w:sz w:val="24"/>
          <w:szCs w:val="24"/>
        </w:rPr>
        <w:t>Transportation Research Part C: Emerging Technologies,</w:t>
      </w:r>
      <w:r w:rsidRPr="00855626">
        <w:rPr>
          <w:sz w:val="24"/>
          <w:szCs w:val="24"/>
        </w:rPr>
        <w:t xml:space="preserve"> 17</w:t>
      </w:r>
      <w:r w:rsidRPr="00855626">
        <w:rPr>
          <w:b/>
          <w:sz w:val="24"/>
          <w:szCs w:val="24"/>
        </w:rPr>
        <w:t>,</w:t>
      </w:r>
      <w:r w:rsidRPr="00855626">
        <w:rPr>
          <w:sz w:val="24"/>
          <w:szCs w:val="24"/>
        </w:rPr>
        <w:t xml:space="preserve"> 541-557.</w:t>
      </w:r>
    </w:p>
    <w:p w14:paraId="3F6368C6" w14:textId="77777777" w:rsidR="00E20B39" w:rsidRPr="00855626" w:rsidRDefault="00E20B39" w:rsidP="00E20B39">
      <w:pPr>
        <w:pStyle w:val="EndNoteBibliography"/>
        <w:ind w:left="720" w:hanging="720"/>
        <w:rPr>
          <w:sz w:val="24"/>
          <w:szCs w:val="24"/>
        </w:rPr>
      </w:pPr>
      <w:r w:rsidRPr="00855626">
        <w:rPr>
          <w:sz w:val="24"/>
          <w:szCs w:val="24"/>
        </w:rPr>
        <w:t xml:space="preserve">Crainic, T. G. &amp; Sgalambro, A. 2014. Service network design models for two-tier city logistics. </w:t>
      </w:r>
      <w:r w:rsidRPr="00855626">
        <w:rPr>
          <w:i/>
          <w:sz w:val="24"/>
          <w:szCs w:val="24"/>
        </w:rPr>
        <w:t>Optimization Letters,</w:t>
      </w:r>
      <w:r w:rsidRPr="00855626">
        <w:rPr>
          <w:sz w:val="24"/>
          <w:szCs w:val="24"/>
        </w:rPr>
        <w:t xml:space="preserve"> 8</w:t>
      </w:r>
      <w:r w:rsidRPr="00855626">
        <w:rPr>
          <w:b/>
          <w:sz w:val="24"/>
          <w:szCs w:val="24"/>
        </w:rPr>
        <w:t>,</w:t>
      </w:r>
      <w:r w:rsidRPr="00855626">
        <w:rPr>
          <w:sz w:val="24"/>
          <w:szCs w:val="24"/>
        </w:rPr>
        <w:t xml:space="preserve"> 1375-1387.</w:t>
      </w:r>
    </w:p>
    <w:p w14:paraId="096EB8E8" w14:textId="77777777" w:rsidR="00E20B39" w:rsidRPr="00855626" w:rsidRDefault="00E20B39" w:rsidP="00E20B39">
      <w:pPr>
        <w:pStyle w:val="EndNoteBibliography"/>
        <w:ind w:left="720" w:hanging="720"/>
        <w:rPr>
          <w:sz w:val="24"/>
          <w:szCs w:val="24"/>
        </w:rPr>
      </w:pPr>
      <w:r w:rsidRPr="00855626">
        <w:rPr>
          <w:sz w:val="24"/>
          <w:szCs w:val="24"/>
        </w:rPr>
        <w:t xml:space="preserve">Croux, C. &amp; Dehon, C. 2010. Influence functions of the Spearman and Kendall correlation measures. </w:t>
      </w:r>
      <w:r w:rsidRPr="00855626">
        <w:rPr>
          <w:i/>
          <w:sz w:val="24"/>
          <w:szCs w:val="24"/>
        </w:rPr>
        <w:t>Statistical Methods &amp; Applications,</w:t>
      </w:r>
      <w:r w:rsidRPr="00855626">
        <w:rPr>
          <w:sz w:val="24"/>
          <w:szCs w:val="24"/>
        </w:rPr>
        <w:t xml:space="preserve"> 19</w:t>
      </w:r>
      <w:r w:rsidRPr="00855626">
        <w:rPr>
          <w:b/>
          <w:sz w:val="24"/>
          <w:szCs w:val="24"/>
        </w:rPr>
        <w:t>,</w:t>
      </w:r>
      <w:r w:rsidRPr="00855626">
        <w:rPr>
          <w:sz w:val="24"/>
          <w:szCs w:val="24"/>
        </w:rPr>
        <w:t xml:space="preserve"> 497-515.</w:t>
      </w:r>
    </w:p>
    <w:p w14:paraId="204CB1E2" w14:textId="77777777" w:rsidR="00E20B39" w:rsidRPr="00855626" w:rsidRDefault="00E20B39" w:rsidP="00E20B39">
      <w:pPr>
        <w:pStyle w:val="EndNoteBibliography"/>
        <w:ind w:left="720" w:hanging="720"/>
        <w:rPr>
          <w:sz w:val="24"/>
          <w:szCs w:val="24"/>
        </w:rPr>
      </w:pPr>
      <w:r w:rsidRPr="00855626">
        <w:rPr>
          <w:sz w:val="24"/>
          <w:szCs w:val="24"/>
        </w:rPr>
        <w:t xml:space="preserve">Cui, J., Dodson, J. &amp; Hall, P. V. 2015. Planning for Urban Freight Transport: An Overview. </w:t>
      </w:r>
      <w:r w:rsidRPr="00855626">
        <w:rPr>
          <w:i/>
          <w:sz w:val="24"/>
          <w:szCs w:val="24"/>
        </w:rPr>
        <w:t>Transport Reviews,</w:t>
      </w:r>
      <w:r w:rsidRPr="00855626">
        <w:rPr>
          <w:sz w:val="24"/>
          <w:szCs w:val="24"/>
        </w:rPr>
        <w:t xml:space="preserve"> 35</w:t>
      </w:r>
      <w:r w:rsidRPr="00855626">
        <w:rPr>
          <w:b/>
          <w:sz w:val="24"/>
          <w:szCs w:val="24"/>
        </w:rPr>
        <w:t>,</w:t>
      </w:r>
      <w:r w:rsidRPr="00855626">
        <w:rPr>
          <w:sz w:val="24"/>
          <w:szCs w:val="24"/>
        </w:rPr>
        <w:t xml:space="preserve"> 583-598.</w:t>
      </w:r>
    </w:p>
    <w:p w14:paraId="54F1D1D0" w14:textId="77777777" w:rsidR="00E20B39" w:rsidRPr="00855626" w:rsidRDefault="00E20B39" w:rsidP="00E20B39">
      <w:pPr>
        <w:pStyle w:val="EndNoteBibliography"/>
        <w:ind w:left="720" w:hanging="720"/>
        <w:rPr>
          <w:sz w:val="24"/>
          <w:szCs w:val="24"/>
        </w:rPr>
      </w:pPr>
      <w:r w:rsidRPr="00855626">
        <w:rPr>
          <w:sz w:val="24"/>
          <w:szCs w:val="24"/>
        </w:rPr>
        <w:t xml:space="preserve">Dablanc, L. 2007. Goods transport in large European cities: Difficult to organize, difficult to modernize. </w:t>
      </w:r>
      <w:r w:rsidRPr="00855626">
        <w:rPr>
          <w:i/>
          <w:sz w:val="24"/>
          <w:szCs w:val="24"/>
        </w:rPr>
        <w:t>Transportation Research Part A: Policy and Practice,</w:t>
      </w:r>
      <w:r w:rsidRPr="00855626">
        <w:rPr>
          <w:sz w:val="24"/>
          <w:szCs w:val="24"/>
        </w:rPr>
        <w:t xml:space="preserve"> 41</w:t>
      </w:r>
      <w:r w:rsidRPr="00855626">
        <w:rPr>
          <w:b/>
          <w:sz w:val="24"/>
          <w:szCs w:val="24"/>
        </w:rPr>
        <w:t>,</w:t>
      </w:r>
      <w:r w:rsidRPr="00855626">
        <w:rPr>
          <w:sz w:val="24"/>
          <w:szCs w:val="24"/>
        </w:rPr>
        <w:t xml:space="preserve"> 280-285.</w:t>
      </w:r>
    </w:p>
    <w:p w14:paraId="2986BC2A" w14:textId="77777777" w:rsidR="00E20B39" w:rsidRPr="00855626" w:rsidRDefault="00E20B39" w:rsidP="00E20B39">
      <w:pPr>
        <w:pStyle w:val="EndNoteBibliography"/>
        <w:ind w:left="720" w:hanging="720"/>
        <w:rPr>
          <w:sz w:val="24"/>
          <w:szCs w:val="24"/>
        </w:rPr>
      </w:pPr>
      <w:r w:rsidRPr="00855626">
        <w:rPr>
          <w:sz w:val="24"/>
          <w:szCs w:val="24"/>
        </w:rPr>
        <w:t xml:space="preserve">Dablanc, L. 2011. City distribution, a key element of the urban economy: Guidelines for practitioners. </w:t>
      </w:r>
      <w:r w:rsidRPr="00855626">
        <w:rPr>
          <w:i/>
          <w:sz w:val="24"/>
          <w:szCs w:val="24"/>
        </w:rPr>
        <w:t>City Distribution and Urban Freight Transport: Multiple Perspectives</w:t>
      </w:r>
      <w:r w:rsidRPr="00855626">
        <w:rPr>
          <w:b/>
          <w:sz w:val="24"/>
          <w:szCs w:val="24"/>
        </w:rPr>
        <w:t>,</w:t>
      </w:r>
      <w:r w:rsidRPr="00855626">
        <w:rPr>
          <w:sz w:val="24"/>
          <w:szCs w:val="24"/>
        </w:rPr>
        <w:t xml:space="preserve"> 13-36.</w:t>
      </w:r>
    </w:p>
    <w:p w14:paraId="6A3C9914" w14:textId="77777777" w:rsidR="00E20B39" w:rsidRPr="00855626" w:rsidRDefault="00E20B39" w:rsidP="00E20B39">
      <w:pPr>
        <w:pStyle w:val="EndNoteBibliography"/>
        <w:ind w:left="720" w:hanging="720"/>
        <w:rPr>
          <w:sz w:val="24"/>
          <w:szCs w:val="24"/>
        </w:rPr>
      </w:pPr>
      <w:r w:rsidRPr="00855626">
        <w:rPr>
          <w:sz w:val="24"/>
          <w:szCs w:val="24"/>
        </w:rPr>
        <w:t xml:space="preserve">Dablanc, L., Diziain, D. &amp; Levifve, H. 2011a. Urban freight consultations in the Paris region. </w:t>
      </w:r>
      <w:r w:rsidRPr="00855626">
        <w:rPr>
          <w:i/>
          <w:sz w:val="24"/>
          <w:szCs w:val="24"/>
        </w:rPr>
        <w:t>European transport research review,</w:t>
      </w:r>
      <w:r w:rsidRPr="00855626">
        <w:rPr>
          <w:sz w:val="24"/>
          <w:szCs w:val="24"/>
        </w:rPr>
        <w:t xml:space="preserve"> 3</w:t>
      </w:r>
      <w:r w:rsidRPr="00855626">
        <w:rPr>
          <w:b/>
          <w:sz w:val="24"/>
          <w:szCs w:val="24"/>
        </w:rPr>
        <w:t>,</w:t>
      </w:r>
      <w:r w:rsidRPr="00855626">
        <w:rPr>
          <w:sz w:val="24"/>
          <w:szCs w:val="24"/>
        </w:rPr>
        <w:t xml:space="preserve"> 47-57.</w:t>
      </w:r>
    </w:p>
    <w:p w14:paraId="460EAF01" w14:textId="77777777" w:rsidR="00E20B39" w:rsidRPr="00855626" w:rsidRDefault="00E20B39" w:rsidP="00E20B39">
      <w:pPr>
        <w:pStyle w:val="EndNoteBibliography"/>
        <w:ind w:left="720" w:hanging="720"/>
        <w:rPr>
          <w:sz w:val="24"/>
          <w:szCs w:val="24"/>
        </w:rPr>
      </w:pPr>
      <w:r w:rsidRPr="00855626">
        <w:rPr>
          <w:sz w:val="24"/>
          <w:szCs w:val="24"/>
        </w:rPr>
        <w:t>Dablanc, L., Patier, D., Gonzalez-Feliu, J., Augereau, V., Leonardi, J., Simmeone, T. &amp; Cerdà, L. 2011b. SUGAR. Sustainable Urban Goods Logistics Achieved by Regional and Local Policies. City Logistics Best Practices: a Handbook for Authorities.</w:t>
      </w:r>
    </w:p>
    <w:p w14:paraId="58E69745" w14:textId="77777777" w:rsidR="00E20B39" w:rsidRPr="00855626" w:rsidRDefault="00E20B39" w:rsidP="00E20B39">
      <w:pPr>
        <w:pStyle w:val="EndNoteBibliography"/>
        <w:ind w:left="720" w:hanging="720"/>
        <w:rPr>
          <w:sz w:val="24"/>
          <w:szCs w:val="24"/>
        </w:rPr>
      </w:pPr>
      <w:r w:rsidRPr="00855626">
        <w:rPr>
          <w:sz w:val="24"/>
          <w:szCs w:val="24"/>
        </w:rPr>
        <w:t xml:space="preserve">Dai, B. &amp; Chen, H. 2012. Profit allocation mechanisms for carrier collaboration in pickup and delivery service. </w:t>
      </w:r>
      <w:r w:rsidRPr="00855626">
        <w:rPr>
          <w:i/>
          <w:sz w:val="24"/>
          <w:szCs w:val="24"/>
        </w:rPr>
        <w:t>Computers &amp; Industrial Engineering,</w:t>
      </w:r>
      <w:r w:rsidRPr="00855626">
        <w:rPr>
          <w:sz w:val="24"/>
          <w:szCs w:val="24"/>
        </w:rPr>
        <w:t xml:space="preserve"> 62</w:t>
      </w:r>
      <w:r w:rsidRPr="00855626">
        <w:rPr>
          <w:b/>
          <w:sz w:val="24"/>
          <w:szCs w:val="24"/>
        </w:rPr>
        <w:t>,</w:t>
      </w:r>
      <w:r w:rsidRPr="00855626">
        <w:rPr>
          <w:sz w:val="24"/>
          <w:szCs w:val="24"/>
        </w:rPr>
        <w:t xml:space="preserve"> 633-643.</w:t>
      </w:r>
    </w:p>
    <w:p w14:paraId="1AC74C7A" w14:textId="77777777" w:rsidR="00E20B39" w:rsidRPr="00855626" w:rsidRDefault="00E20B39" w:rsidP="00E20B39">
      <w:pPr>
        <w:pStyle w:val="EndNoteBibliography"/>
        <w:ind w:left="720" w:hanging="720"/>
        <w:rPr>
          <w:sz w:val="24"/>
          <w:szCs w:val="24"/>
        </w:rPr>
      </w:pPr>
      <w:r w:rsidRPr="00855626">
        <w:rPr>
          <w:sz w:val="24"/>
          <w:szCs w:val="24"/>
        </w:rPr>
        <w:t xml:space="preserve">Daniela, P., Paolo, F., Gianfranco, F., Graham, P. &amp; Miriam, R. 2014. Reduced Urban Traffic and Emissions within Urban Consolidation Centre Schemes: The Case of Bristol. </w:t>
      </w:r>
      <w:r w:rsidRPr="00855626">
        <w:rPr>
          <w:i/>
          <w:sz w:val="24"/>
          <w:szCs w:val="24"/>
        </w:rPr>
        <w:t>Transportation Research Procedia,</w:t>
      </w:r>
      <w:r w:rsidRPr="00855626">
        <w:rPr>
          <w:sz w:val="24"/>
          <w:szCs w:val="24"/>
        </w:rPr>
        <w:t xml:space="preserve"> 3</w:t>
      </w:r>
      <w:r w:rsidRPr="00855626">
        <w:rPr>
          <w:b/>
          <w:sz w:val="24"/>
          <w:szCs w:val="24"/>
        </w:rPr>
        <w:t>,</w:t>
      </w:r>
      <w:r w:rsidRPr="00855626">
        <w:rPr>
          <w:sz w:val="24"/>
          <w:szCs w:val="24"/>
        </w:rPr>
        <w:t xml:space="preserve"> 508-517.</w:t>
      </w:r>
    </w:p>
    <w:p w14:paraId="44F5B1AD" w14:textId="77777777" w:rsidR="00E20B39" w:rsidRPr="00855626" w:rsidRDefault="00E20B39" w:rsidP="00E20B39">
      <w:pPr>
        <w:pStyle w:val="EndNoteBibliography"/>
        <w:ind w:left="720" w:hanging="720"/>
        <w:rPr>
          <w:sz w:val="24"/>
          <w:szCs w:val="24"/>
        </w:rPr>
      </w:pPr>
      <w:r w:rsidRPr="00855626">
        <w:rPr>
          <w:sz w:val="24"/>
          <w:szCs w:val="24"/>
        </w:rPr>
        <w:t xml:space="preserve">De Bakshi, N., Tiwari, G. &amp; Bolia, N. B. 2020. Influence of urban form on urban freight trip generation. </w:t>
      </w:r>
      <w:r w:rsidRPr="00855626">
        <w:rPr>
          <w:i/>
          <w:sz w:val="24"/>
          <w:szCs w:val="24"/>
        </w:rPr>
        <w:t>Case studies on transport policy,</w:t>
      </w:r>
      <w:r w:rsidRPr="00855626">
        <w:rPr>
          <w:sz w:val="24"/>
          <w:szCs w:val="24"/>
        </w:rPr>
        <w:t xml:space="preserve"> 8</w:t>
      </w:r>
      <w:r w:rsidRPr="00855626">
        <w:rPr>
          <w:b/>
          <w:sz w:val="24"/>
          <w:szCs w:val="24"/>
        </w:rPr>
        <w:t>,</w:t>
      </w:r>
      <w:r w:rsidRPr="00855626">
        <w:rPr>
          <w:sz w:val="24"/>
          <w:szCs w:val="24"/>
        </w:rPr>
        <w:t xml:space="preserve"> 229-235.</w:t>
      </w:r>
    </w:p>
    <w:p w14:paraId="0618E677" w14:textId="77777777" w:rsidR="00E20B39" w:rsidRPr="00120BCB" w:rsidRDefault="00E20B39" w:rsidP="00E20B39">
      <w:pPr>
        <w:pStyle w:val="EndNoteBibliography"/>
        <w:ind w:left="720" w:hanging="720"/>
        <w:rPr>
          <w:sz w:val="24"/>
          <w:szCs w:val="24"/>
          <w:lang w:val="it-IT"/>
        </w:rPr>
      </w:pPr>
      <w:r w:rsidRPr="00855626">
        <w:rPr>
          <w:sz w:val="24"/>
          <w:szCs w:val="24"/>
        </w:rPr>
        <w:t xml:space="preserve">De Oliveira, L. K., Nóbrega, R. a. A., Ebias, D. G. &amp; Corrêa, B. G. S. 2017. Analysis of freight trip generation model for food and beverage in Belo Horizonte (Brazil). </w:t>
      </w:r>
      <w:r w:rsidRPr="00120BCB">
        <w:rPr>
          <w:i/>
          <w:sz w:val="24"/>
          <w:szCs w:val="24"/>
          <w:lang w:val="it-IT"/>
        </w:rPr>
        <w:t>Region,</w:t>
      </w:r>
      <w:r w:rsidRPr="00120BCB">
        <w:rPr>
          <w:sz w:val="24"/>
          <w:szCs w:val="24"/>
          <w:lang w:val="it-IT"/>
        </w:rPr>
        <w:t xml:space="preserve"> 4</w:t>
      </w:r>
      <w:r w:rsidRPr="00120BCB">
        <w:rPr>
          <w:b/>
          <w:sz w:val="24"/>
          <w:szCs w:val="24"/>
          <w:lang w:val="it-IT"/>
        </w:rPr>
        <w:t>,</w:t>
      </w:r>
      <w:r w:rsidRPr="00120BCB">
        <w:rPr>
          <w:sz w:val="24"/>
          <w:szCs w:val="24"/>
          <w:lang w:val="it-IT"/>
        </w:rPr>
        <w:t xml:space="preserve"> 17-30.</w:t>
      </w:r>
    </w:p>
    <w:p w14:paraId="1AAE3AFB" w14:textId="77777777" w:rsidR="00E20B39" w:rsidRPr="00855626" w:rsidRDefault="00E20B39" w:rsidP="00E20B39">
      <w:pPr>
        <w:pStyle w:val="EndNoteBibliography"/>
        <w:ind w:left="720" w:hanging="720"/>
        <w:rPr>
          <w:sz w:val="24"/>
          <w:szCs w:val="24"/>
        </w:rPr>
      </w:pPr>
      <w:r w:rsidRPr="00120BCB">
        <w:rPr>
          <w:sz w:val="24"/>
          <w:szCs w:val="24"/>
          <w:lang w:val="it-IT"/>
        </w:rPr>
        <w:lastRenderedPageBreak/>
        <w:t xml:space="preserve">Deflorio, F. P., Gonzalez-Feliu, J., Perboli, G. &amp; Tadei, R. 2012. </w:t>
      </w:r>
      <w:r w:rsidRPr="00855626">
        <w:rPr>
          <w:sz w:val="24"/>
          <w:szCs w:val="24"/>
        </w:rPr>
        <w:t xml:space="preserve">The Influence of Time Windows on the Costs of Urban Freight Distribution Services in City Logistics Applications. </w:t>
      </w:r>
      <w:r w:rsidRPr="00855626">
        <w:rPr>
          <w:i/>
          <w:sz w:val="24"/>
          <w:szCs w:val="24"/>
        </w:rPr>
        <w:t>European Journal of Transport and Infrastructure Research,</w:t>
      </w:r>
      <w:r w:rsidRPr="00855626">
        <w:rPr>
          <w:sz w:val="24"/>
          <w:szCs w:val="24"/>
        </w:rPr>
        <w:t xml:space="preserve"> 12</w:t>
      </w:r>
      <w:r w:rsidRPr="00855626">
        <w:rPr>
          <w:b/>
          <w:sz w:val="24"/>
          <w:szCs w:val="24"/>
        </w:rPr>
        <w:t>,</w:t>
      </w:r>
      <w:r w:rsidRPr="00855626">
        <w:rPr>
          <w:sz w:val="24"/>
          <w:szCs w:val="24"/>
        </w:rPr>
        <w:t xml:space="preserve"> 256-274.</w:t>
      </w:r>
    </w:p>
    <w:p w14:paraId="3DE30070" w14:textId="77777777" w:rsidR="00E20B39" w:rsidRPr="00855626" w:rsidRDefault="00E20B39" w:rsidP="00E20B39">
      <w:pPr>
        <w:pStyle w:val="EndNoteBibliography"/>
        <w:ind w:left="720" w:hanging="720"/>
        <w:rPr>
          <w:sz w:val="24"/>
          <w:szCs w:val="24"/>
        </w:rPr>
      </w:pPr>
      <w:r w:rsidRPr="00855626">
        <w:rPr>
          <w:sz w:val="24"/>
          <w:szCs w:val="24"/>
        </w:rPr>
        <w:t>Dell'amico, M. &amp; Novellani, S. A two-echelon facility location problem with stochastic demands for urban construction logistics: An application within the SUCCESS project. 2017. Institute of Electrical and Electronics Engineers Inc., 90-95.</w:t>
      </w:r>
    </w:p>
    <w:p w14:paraId="0923471B" w14:textId="77777777" w:rsidR="00E20B39" w:rsidRPr="00855626" w:rsidRDefault="00E20B39" w:rsidP="00E20B39">
      <w:pPr>
        <w:pStyle w:val="EndNoteBibliography"/>
        <w:ind w:left="720" w:hanging="720"/>
        <w:rPr>
          <w:sz w:val="24"/>
          <w:szCs w:val="24"/>
        </w:rPr>
      </w:pPr>
      <w:r w:rsidRPr="00855626">
        <w:rPr>
          <w:sz w:val="24"/>
          <w:szCs w:val="24"/>
        </w:rPr>
        <w:t xml:space="preserve">Dell'olio, L., Moura, J. L., Ibeas, A., Cordera, R. &amp; Holguin-Veras, J. 2017. Receivers’ willingness-to-adopt novel urban goods distribution practices. </w:t>
      </w:r>
      <w:r w:rsidRPr="00855626">
        <w:rPr>
          <w:i/>
          <w:sz w:val="24"/>
          <w:szCs w:val="24"/>
        </w:rPr>
        <w:t>Transportation Research Part A: Policy and Practice,</w:t>
      </w:r>
      <w:r w:rsidRPr="00855626">
        <w:rPr>
          <w:sz w:val="24"/>
          <w:szCs w:val="24"/>
        </w:rPr>
        <w:t xml:space="preserve"> 102</w:t>
      </w:r>
      <w:r w:rsidRPr="00855626">
        <w:rPr>
          <w:b/>
          <w:sz w:val="24"/>
          <w:szCs w:val="24"/>
        </w:rPr>
        <w:t>,</w:t>
      </w:r>
      <w:r w:rsidRPr="00855626">
        <w:rPr>
          <w:sz w:val="24"/>
          <w:szCs w:val="24"/>
        </w:rPr>
        <w:t xml:space="preserve"> 130-141.</w:t>
      </w:r>
    </w:p>
    <w:p w14:paraId="578EC9CE" w14:textId="77777777" w:rsidR="00E20B39" w:rsidRPr="00855626" w:rsidRDefault="00E20B39" w:rsidP="00E20B39">
      <w:pPr>
        <w:pStyle w:val="EndNoteBibliography"/>
        <w:ind w:left="720" w:hanging="720"/>
        <w:rPr>
          <w:sz w:val="24"/>
          <w:szCs w:val="24"/>
        </w:rPr>
      </w:pPr>
      <w:r w:rsidRPr="00855626">
        <w:rPr>
          <w:sz w:val="24"/>
          <w:szCs w:val="24"/>
        </w:rPr>
        <w:t>Department for Environment Food &amp; Rural Affairs 2013. Sustainable development indicators (SDIs).</w:t>
      </w:r>
    </w:p>
    <w:p w14:paraId="194956F8" w14:textId="77777777" w:rsidR="00E20B39" w:rsidRPr="00855626" w:rsidRDefault="00E20B39" w:rsidP="00E20B39">
      <w:pPr>
        <w:pStyle w:val="EndNoteBibliography"/>
        <w:ind w:left="720" w:hanging="720"/>
        <w:rPr>
          <w:sz w:val="24"/>
          <w:szCs w:val="24"/>
        </w:rPr>
      </w:pPr>
      <w:r w:rsidRPr="00855626">
        <w:rPr>
          <w:sz w:val="24"/>
          <w:szCs w:val="24"/>
        </w:rPr>
        <w:t xml:space="preserve">Des, U. 2013. World economic and social survey 2013: sustainable development challenges. </w:t>
      </w:r>
      <w:r w:rsidRPr="00855626">
        <w:rPr>
          <w:i/>
          <w:sz w:val="24"/>
          <w:szCs w:val="24"/>
        </w:rPr>
        <w:t>United Nations, Department of Economic and Social Affairs, New York</w:t>
      </w:r>
      <w:r w:rsidRPr="00855626">
        <w:rPr>
          <w:sz w:val="24"/>
          <w:szCs w:val="24"/>
        </w:rPr>
        <w:t>.</w:t>
      </w:r>
    </w:p>
    <w:p w14:paraId="63AB732A" w14:textId="77777777" w:rsidR="00E20B39" w:rsidRPr="00855626" w:rsidRDefault="00E20B39" w:rsidP="00E20B39">
      <w:pPr>
        <w:pStyle w:val="EndNoteBibliography"/>
        <w:ind w:left="720" w:hanging="720"/>
        <w:rPr>
          <w:sz w:val="24"/>
          <w:szCs w:val="24"/>
        </w:rPr>
      </w:pPr>
      <w:r w:rsidRPr="00120BCB">
        <w:rPr>
          <w:sz w:val="24"/>
          <w:szCs w:val="24"/>
          <w:lang w:val="it-IT"/>
        </w:rPr>
        <w:t xml:space="preserve">Dondo, R., Méndez, C. A. &amp; Cerdá, J. 2011. </w:t>
      </w:r>
      <w:r w:rsidRPr="00855626">
        <w:rPr>
          <w:sz w:val="24"/>
          <w:szCs w:val="24"/>
        </w:rPr>
        <w:t xml:space="preserve">The multi-echelon vehicle routing problem with cross docking in supply chain management. </w:t>
      </w:r>
      <w:r w:rsidRPr="00855626">
        <w:rPr>
          <w:i/>
          <w:sz w:val="24"/>
          <w:szCs w:val="24"/>
        </w:rPr>
        <w:t>Computers &amp; Chemical Engineering,</w:t>
      </w:r>
      <w:r w:rsidRPr="00855626">
        <w:rPr>
          <w:sz w:val="24"/>
          <w:szCs w:val="24"/>
        </w:rPr>
        <w:t xml:space="preserve"> 35</w:t>
      </w:r>
      <w:r w:rsidRPr="00855626">
        <w:rPr>
          <w:b/>
          <w:sz w:val="24"/>
          <w:szCs w:val="24"/>
        </w:rPr>
        <w:t>,</w:t>
      </w:r>
      <w:r w:rsidRPr="00855626">
        <w:rPr>
          <w:sz w:val="24"/>
          <w:szCs w:val="24"/>
        </w:rPr>
        <w:t xml:space="preserve"> 3002-3024.</w:t>
      </w:r>
    </w:p>
    <w:p w14:paraId="113E95C2" w14:textId="77777777" w:rsidR="00E20B39" w:rsidRPr="00855626" w:rsidRDefault="00E20B39" w:rsidP="00E20B39">
      <w:pPr>
        <w:pStyle w:val="EndNoteBibliography"/>
        <w:ind w:left="720" w:hanging="720"/>
        <w:rPr>
          <w:sz w:val="24"/>
          <w:szCs w:val="24"/>
        </w:rPr>
      </w:pPr>
      <w:r w:rsidRPr="00855626">
        <w:rPr>
          <w:sz w:val="24"/>
          <w:szCs w:val="24"/>
        </w:rPr>
        <w:t xml:space="preserve">Dong, B., Ni, D. &amp; Wang, Y. 2012. Sharing a Polluted River Network. </w:t>
      </w:r>
      <w:r w:rsidRPr="00855626">
        <w:rPr>
          <w:i/>
          <w:sz w:val="24"/>
          <w:szCs w:val="24"/>
        </w:rPr>
        <w:t>Environmental and Resource Economics,</w:t>
      </w:r>
      <w:r w:rsidRPr="00855626">
        <w:rPr>
          <w:sz w:val="24"/>
          <w:szCs w:val="24"/>
        </w:rPr>
        <w:t xml:space="preserve"> 53</w:t>
      </w:r>
      <w:r w:rsidRPr="00855626">
        <w:rPr>
          <w:b/>
          <w:sz w:val="24"/>
          <w:szCs w:val="24"/>
        </w:rPr>
        <w:t>,</w:t>
      </w:r>
      <w:r w:rsidRPr="00855626">
        <w:rPr>
          <w:sz w:val="24"/>
          <w:szCs w:val="24"/>
        </w:rPr>
        <w:t xml:space="preserve"> 367-387.</w:t>
      </w:r>
    </w:p>
    <w:p w14:paraId="168EE701" w14:textId="77777777" w:rsidR="00E20B39" w:rsidRPr="00855626" w:rsidRDefault="00E20B39" w:rsidP="00E20B39">
      <w:pPr>
        <w:pStyle w:val="EndNoteBibliography"/>
        <w:ind w:left="720" w:hanging="720"/>
        <w:rPr>
          <w:sz w:val="24"/>
          <w:szCs w:val="24"/>
        </w:rPr>
      </w:pPr>
      <w:r w:rsidRPr="00855626">
        <w:rPr>
          <w:sz w:val="24"/>
          <w:szCs w:val="24"/>
        </w:rPr>
        <w:t xml:space="preserve">Dong, J., Xu, Y., Hwang, B., Ren, R. &amp; Chen, Z. 2019. The impact of underground logistics system on urban sustainable development: A system dynamics approach. </w:t>
      </w:r>
      <w:r w:rsidRPr="00855626">
        <w:rPr>
          <w:i/>
          <w:sz w:val="24"/>
          <w:szCs w:val="24"/>
        </w:rPr>
        <w:t>Sustainability (Switzerland),</w:t>
      </w:r>
      <w:r w:rsidRPr="00855626">
        <w:rPr>
          <w:sz w:val="24"/>
          <w:szCs w:val="24"/>
        </w:rPr>
        <w:t xml:space="preserve"> 11.</w:t>
      </w:r>
    </w:p>
    <w:p w14:paraId="442C9A79" w14:textId="77777777" w:rsidR="00E20B39" w:rsidRPr="00855626" w:rsidRDefault="00E20B39" w:rsidP="00E20B39">
      <w:pPr>
        <w:pStyle w:val="EndNoteBibliography"/>
        <w:ind w:left="720" w:hanging="720"/>
        <w:rPr>
          <w:sz w:val="24"/>
          <w:szCs w:val="24"/>
        </w:rPr>
      </w:pPr>
      <w:r w:rsidRPr="00855626">
        <w:rPr>
          <w:sz w:val="24"/>
          <w:szCs w:val="24"/>
        </w:rPr>
        <w:t xml:space="preserve">Duarte, G., Rolim, C. &amp; Baptista, P. 2016. How battery electric vehicles can contribute to sustainable urban logistics: A real-world application in Lisbon, Portugal. </w:t>
      </w:r>
      <w:r w:rsidRPr="00855626">
        <w:rPr>
          <w:i/>
          <w:sz w:val="24"/>
          <w:szCs w:val="24"/>
        </w:rPr>
        <w:t>Sustainable Energy Technologies and Assessments,</w:t>
      </w:r>
      <w:r w:rsidRPr="00855626">
        <w:rPr>
          <w:sz w:val="24"/>
          <w:szCs w:val="24"/>
        </w:rPr>
        <w:t xml:space="preserve"> 15</w:t>
      </w:r>
      <w:r w:rsidRPr="00855626">
        <w:rPr>
          <w:b/>
          <w:sz w:val="24"/>
          <w:szCs w:val="24"/>
        </w:rPr>
        <w:t>,</w:t>
      </w:r>
      <w:r w:rsidRPr="00855626">
        <w:rPr>
          <w:sz w:val="24"/>
          <w:szCs w:val="24"/>
        </w:rPr>
        <w:t xml:space="preserve"> 71-78.</w:t>
      </w:r>
    </w:p>
    <w:p w14:paraId="54610A51" w14:textId="77777777" w:rsidR="00E20B39" w:rsidRPr="00855626" w:rsidRDefault="00E20B39" w:rsidP="00E20B39">
      <w:pPr>
        <w:pStyle w:val="EndNoteBibliography"/>
        <w:ind w:left="720" w:hanging="720"/>
        <w:rPr>
          <w:sz w:val="24"/>
          <w:szCs w:val="24"/>
        </w:rPr>
      </w:pPr>
      <w:r w:rsidRPr="00855626">
        <w:rPr>
          <w:sz w:val="24"/>
          <w:szCs w:val="24"/>
        </w:rPr>
        <w:t xml:space="preserve">Duin, J. H. R. V., Dam, T. V., Wiegmans, B. &amp; Tavasszy, L. A. 2016. Understanding Financial Viability of Urban Consolidation Centres: Regent Street (London), Bristol/Bath &amp; Nijmegen. </w:t>
      </w:r>
      <w:r w:rsidRPr="00855626">
        <w:rPr>
          <w:i/>
          <w:sz w:val="24"/>
          <w:szCs w:val="24"/>
        </w:rPr>
        <w:t>Transportation Research Procedia,</w:t>
      </w:r>
      <w:r w:rsidRPr="00855626">
        <w:rPr>
          <w:sz w:val="24"/>
          <w:szCs w:val="24"/>
        </w:rPr>
        <w:t xml:space="preserve"> 16</w:t>
      </w:r>
      <w:r w:rsidRPr="00855626">
        <w:rPr>
          <w:b/>
          <w:sz w:val="24"/>
          <w:szCs w:val="24"/>
        </w:rPr>
        <w:t>,</w:t>
      </w:r>
      <w:r w:rsidRPr="00855626">
        <w:rPr>
          <w:sz w:val="24"/>
          <w:szCs w:val="24"/>
        </w:rPr>
        <w:t xml:space="preserve"> 61-80.</w:t>
      </w:r>
    </w:p>
    <w:p w14:paraId="4969E5A2" w14:textId="77777777" w:rsidR="00E20B39" w:rsidRPr="00120BCB" w:rsidRDefault="00E20B39" w:rsidP="00E20B39">
      <w:pPr>
        <w:pStyle w:val="EndNoteBibliography"/>
        <w:ind w:left="720" w:hanging="720"/>
        <w:rPr>
          <w:sz w:val="24"/>
          <w:szCs w:val="24"/>
          <w:lang w:val="it-IT"/>
        </w:rPr>
      </w:pPr>
      <w:r w:rsidRPr="00855626">
        <w:rPr>
          <w:sz w:val="24"/>
          <w:szCs w:val="24"/>
        </w:rPr>
        <w:t xml:space="preserve">Ehmke, J. F. &amp; Mattfeld, D. C. 2010. Data allocation and application for time-dependent vehicle routing in city logistics. </w:t>
      </w:r>
      <w:r w:rsidRPr="00120BCB">
        <w:rPr>
          <w:i/>
          <w:sz w:val="24"/>
          <w:szCs w:val="24"/>
          <w:lang w:val="it-IT"/>
        </w:rPr>
        <w:t>European Transport\Trasporti Europei</w:t>
      </w:r>
      <w:r w:rsidRPr="00120BCB">
        <w:rPr>
          <w:b/>
          <w:sz w:val="24"/>
          <w:szCs w:val="24"/>
          <w:lang w:val="it-IT"/>
        </w:rPr>
        <w:t>,</w:t>
      </w:r>
      <w:r w:rsidRPr="00120BCB">
        <w:rPr>
          <w:sz w:val="24"/>
          <w:szCs w:val="24"/>
          <w:lang w:val="it-IT"/>
        </w:rPr>
        <w:t xml:space="preserve"> 24-35.</w:t>
      </w:r>
    </w:p>
    <w:p w14:paraId="218F2AC1" w14:textId="77777777" w:rsidR="00E20B39" w:rsidRPr="00855626" w:rsidRDefault="00E20B39" w:rsidP="00E20B39">
      <w:pPr>
        <w:pStyle w:val="EndNoteBibliography"/>
        <w:ind w:left="720" w:hanging="720"/>
        <w:rPr>
          <w:sz w:val="24"/>
          <w:szCs w:val="24"/>
        </w:rPr>
      </w:pPr>
      <w:r w:rsidRPr="00120BCB">
        <w:rPr>
          <w:sz w:val="24"/>
          <w:szCs w:val="24"/>
          <w:lang w:val="it-IT"/>
        </w:rPr>
        <w:t xml:space="preserve">Ehmke, J. F., Meisel, S. &amp; Mattfeld, D. C. 2012. </w:t>
      </w:r>
      <w:r w:rsidRPr="00855626">
        <w:rPr>
          <w:sz w:val="24"/>
          <w:szCs w:val="24"/>
        </w:rPr>
        <w:t xml:space="preserve">Floating car based travel times for city logistics. </w:t>
      </w:r>
      <w:r w:rsidRPr="00855626">
        <w:rPr>
          <w:i/>
          <w:sz w:val="24"/>
          <w:szCs w:val="24"/>
        </w:rPr>
        <w:t>Transportation Research Part C: Emerging Technologies,</w:t>
      </w:r>
      <w:r w:rsidRPr="00855626">
        <w:rPr>
          <w:sz w:val="24"/>
          <w:szCs w:val="24"/>
        </w:rPr>
        <w:t xml:space="preserve"> 21</w:t>
      </w:r>
      <w:r w:rsidRPr="00855626">
        <w:rPr>
          <w:b/>
          <w:sz w:val="24"/>
          <w:szCs w:val="24"/>
        </w:rPr>
        <w:t>,</w:t>
      </w:r>
      <w:r w:rsidRPr="00855626">
        <w:rPr>
          <w:sz w:val="24"/>
          <w:szCs w:val="24"/>
        </w:rPr>
        <w:t xml:space="preserve"> 338-352.</w:t>
      </w:r>
    </w:p>
    <w:p w14:paraId="0CC11BEE" w14:textId="77777777" w:rsidR="00E20B39" w:rsidRPr="00855626" w:rsidRDefault="00E20B39" w:rsidP="00E20B39">
      <w:pPr>
        <w:pStyle w:val="EndNoteBibliography"/>
        <w:ind w:left="720" w:hanging="720"/>
        <w:rPr>
          <w:sz w:val="24"/>
          <w:szCs w:val="24"/>
        </w:rPr>
      </w:pPr>
      <w:r w:rsidRPr="00855626">
        <w:rPr>
          <w:sz w:val="24"/>
          <w:szCs w:val="24"/>
        </w:rPr>
        <w:t xml:space="preserve">Eisenhardt, K. M. 1989. Building Theories from Case Study Research. </w:t>
      </w:r>
      <w:r w:rsidRPr="00855626">
        <w:rPr>
          <w:i/>
          <w:sz w:val="24"/>
          <w:szCs w:val="24"/>
        </w:rPr>
        <w:t>Academy of Management Review,</w:t>
      </w:r>
      <w:r w:rsidRPr="00855626">
        <w:rPr>
          <w:sz w:val="24"/>
          <w:szCs w:val="24"/>
        </w:rPr>
        <w:t xml:space="preserve"> 14</w:t>
      </w:r>
      <w:r w:rsidRPr="00855626">
        <w:rPr>
          <w:b/>
          <w:sz w:val="24"/>
          <w:szCs w:val="24"/>
        </w:rPr>
        <w:t>,</w:t>
      </w:r>
      <w:r w:rsidRPr="00855626">
        <w:rPr>
          <w:sz w:val="24"/>
          <w:szCs w:val="24"/>
        </w:rPr>
        <w:t xml:space="preserve"> 532-550.</w:t>
      </w:r>
    </w:p>
    <w:p w14:paraId="07F6E835" w14:textId="77777777" w:rsidR="00E20B39" w:rsidRPr="00855626" w:rsidRDefault="00E20B39" w:rsidP="00E20B39">
      <w:pPr>
        <w:pStyle w:val="EndNoteBibliography"/>
        <w:ind w:left="720" w:hanging="720"/>
        <w:rPr>
          <w:sz w:val="24"/>
          <w:szCs w:val="24"/>
        </w:rPr>
      </w:pPr>
      <w:r w:rsidRPr="00855626">
        <w:rPr>
          <w:sz w:val="24"/>
          <w:szCs w:val="24"/>
        </w:rPr>
        <w:t xml:space="preserve">Eisenhardt, K. M. &amp; Graebner, M. E. 2007. Theory building from cases: Opportunities and challenges. </w:t>
      </w:r>
      <w:r w:rsidRPr="00855626">
        <w:rPr>
          <w:i/>
          <w:sz w:val="24"/>
          <w:szCs w:val="24"/>
        </w:rPr>
        <w:t>Academy of management journal,</w:t>
      </w:r>
      <w:r w:rsidRPr="00855626">
        <w:rPr>
          <w:sz w:val="24"/>
          <w:szCs w:val="24"/>
        </w:rPr>
        <w:t xml:space="preserve"> 50</w:t>
      </w:r>
      <w:r w:rsidRPr="00855626">
        <w:rPr>
          <w:b/>
          <w:sz w:val="24"/>
          <w:szCs w:val="24"/>
        </w:rPr>
        <w:t>,</w:t>
      </w:r>
      <w:r w:rsidRPr="00855626">
        <w:rPr>
          <w:sz w:val="24"/>
          <w:szCs w:val="24"/>
        </w:rPr>
        <w:t xml:space="preserve"> 25-32.</w:t>
      </w:r>
    </w:p>
    <w:p w14:paraId="260D3D9F" w14:textId="77777777" w:rsidR="00E20B39" w:rsidRPr="00855626" w:rsidRDefault="00E20B39" w:rsidP="00E20B39">
      <w:pPr>
        <w:pStyle w:val="EndNoteBibliography"/>
        <w:ind w:left="720" w:hanging="720"/>
        <w:rPr>
          <w:sz w:val="24"/>
          <w:szCs w:val="24"/>
        </w:rPr>
      </w:pPr>
      <w:r w:rsidRPr="00855626">
        <w:rPr>
          <w:sz w:val="24"/>
          <w:szCs w:val="24"/>
        </w:rPr>
        <w:t xml:space="preserve">Elbert, R. &amp; Friedrich, C. SIMULATION-BASED EVALUATION OF URBAN CONSOLIDATION CENTERS CONSIDERING URBAN ACCESS </w:t>
      </w:r>
      <w:r w:rsidRPr="00855626">
        <w:rPr>
          <w:sz w:val="24"/>
          <w:szCs w:val="24"/>
        </w:rPr>
        <w:lastRenderedPageBreak/>
        <w:t>REGULATIONS.  2018 Winter Simulation Conference (WSC), 9-12 Dec. 2018 2018. 2827-2838.</w:t>
      </w:r>
    </w:p>
    <w:p w14:paraId="5019D518" w14:textId="77777777" w:rsidR="00E20B39" w:rsidRPr="00855626" w:rsidRDefault="00E20B39" w:rsidP="00E20B39">
      <w:pPr>
        <w:pStyle w:val="EndNoteBibliography"/>
        <w:ind w:left="720" w:hanging="720"/>
        <w:rPr>
          <w:sz w:val="24"/>
          <w:szCs w:val="24"/>
        </w:rPr>
      </w:pPr>
      <w:r w:rsidRPr="00855626">
        <w:rPr>
          <w:sz w:val="24"/>
          <w:szCs w:val="24"/>
        </w:rPr>
        <w:t xml:space="preserve">Escuín, D., Millán, C. &amp; Larrodé, E. 2012. Modelization of Time-Dependent Urban Freight Problems by Using a Multiple Number of Distribution Centers. </w:t>
      </w:r>
      <w:r w:rsidRPr="00855626">
        <w:rPr>
          <w:i/>
          <w:sz w:val="24"/>
          <w:szCs w:val="24"/>
        </w:rPr>
        <w:t>Networks and Spatial Economics,</w:t>
      </w:r>
      <w:r w:rsidRPr="00855626">
        <w:rPr>
          <w:sz w:val="24"/>
          <w:szCs w:val="24"/>
        </w:rPr>
        <w:t xml:space="preserve"> 12</w:t>
      </w:r>
      <w:r w:rsidRPr="00855626">
        <w:rPr>
          <w:b/>
          <w:sz w:val="24"/>
          <w:szCs w:val="24"/>
        </w:rPr>
        <w:t>,</w:t>
      </w:r>
      <w:r w:rsidRPr="00855626">
        <w:rPr>
          <w:sz w:val="24"/>
          <w:szCs w:val="24"/>
        </w:rPr>
        <w:t xml:space="preserve"> 321-336.</w:t>
      </w:r>
    </w:p>
    <w:p w14:paraId="186822AD" w14:textId="77777777" w:rsidR="00E20B39" w:rsidRPr="00855626" w:rsidRDefault="00E20B39" w:rsidP="00E20B39">
      <w:pPr>
        <w:pStyle w:val="EndNoteBibliography"/>
        <w:ind w:left="720" w:hanging="720"/>
        <w:rPr>
          <w:sz w:val="24"/>
          <w:szCs w:val="24"/>
        </w:rPr>
      </w:pPr>
      <w:r w:rsidRPr="00855626">
        <w:rPr>
          <w:sz w:val="24"/>
          <w:szCs w:val="24"/>
        </w:rPr>
        <w:t xml:space="preserve">Estrada, M. &amp; Roca-Riu, M. 2017. Stakeholder's profitability of carrier-led consolidation strategies in urban goods distribution. </w:t>
      </w:r>
      <w:r w:rsidRPr="00855626">
        <w:rPr>
          <w:i/>
          <w:sz w:val="24"/>
          <w:szCs w:val="24"/>
        </w:rPr>
        <w:t>Transportation Research Part E: Logistics and Transportation Review,</w:t>
      </w:r>
      <w:r w:rsidRPr="00855626">
        <w:rPr>
          <w:sz w:val="24"/>
          <w:szCs w:val="24"/>
        </w:rPr>
        <w:t xml:space="preserve"> 104</w:t>
      </w:r>
      <w:r w:rsidRPr="00855626">
        <w:rPr>
          <w:b/>
          <w:sz w:val="24"/>
          <w:szCs w:val="24"/>
        </w:rPr>
        <w:t>,</w:t>
      </w:r>
      <w:r w:rsidRPr="00855626">
        <w:rPr>
          <w:sz w:val="24"/>
          <w:szCs w:val="24"/>
        </w:rPr>
        <w:t xml:space="preserve"> 165-188.</w:t>
      </w:r>
    </w:p>
    <w:p w14:paraId="7000FF94" w14:textId="77777777" w:rsidR="00E20B39" w:rsidRPr="00855626" w:rsidRDefault="00E20B39" w:rsidP="00E20B39">
      <w:pPr>
        <w:pStyle w:val="EndNoteBibliography"/>
        <w:ind w:left="720" w:hanging="720"/>
        <w:rPr>
          <w:sz w:val="24"/>
          <w:szCs w:val="24"/>
        </w:rPr>
      </w:pPr>
      <w:r w:rsidRPr="00855626">
        <w:rPr>
          <w:sz w:val="24"/>
          <w:szCs w:val="24"/>
        </w:rPr>
        <w:t xml:space="preserve">Faure, L., Burlat, P. &amp; Marquès, G. 2016. Evaluate the Viability of Urban Consolidation Centre with Regards to Urban Morphology. </w:t>
      </w:r>
      <w:r w:rsidRPr="00855626">
        <w:rPr>
          <w:i/>
          <w:sz w:val="24"/>
          <w:szCs w:val="24"/>
        </w:rPr>
        <w:t>Transportation Research Procedia,</w:t>
      </w:r>
      <w:r w:rsidRPr="00855626">
        <w:rPr>
          <w:sz w:val="24"/>
          <w:szCs w:val="24"/>
        </w:rPr>
        <w:t xml:space="preserve"> 12</w:t>
      </w:r>
      <w:r w:rsidRPr="00855626">
        <w:rPr>
          <w:b/>
          <w:sz w:val="24"/>
          <w:szCs w:val="24"/>
        </w:rPr>
        <w:t>,</w:t>
      </w:r>
      <w:r w:rsidRPr="00855626">
        <w:rPr>
          <w:sz w:val="24"/>
          <w:szCs w:val="24"/>
        </w:rPr>
        <w:t xml:space="preserve"> 348-356.</w:t>
      </w:r>
    </w:p>
    <w:p w14:paraId="1A73D14B" w14:textId="77777777" w:rsidR="00E20B39" w:rsidRPr="00855626" w:rsidRDefault="00E20B39" w:rsidP="00E20B39">
      <w:pPr>
        <w:pStyle w:val="EndNoteBibliography"/>
        <w:ind w:left="720" w:hanging="720"/>
        <w:rPr>
          <w:sz w:val="24"/>
          <w:szCs w:val="24"/>
        </w:rPr>
      </w:pPr>
      <w:r w:rsidRPr="00855626">
        <w:rPr>
          <w:sz w:val="24"/>
          <w:szCs w:val="24"/>
        </w:rPr>
        <w:t xml:space="preserve">Figliozzi, M. A. 2010. The impacts of congestion on commercial vehicle tour characteristics and costs. </w:t>
      </w:r>
      <w:r w:rsidRPr="00855626">
        <w:rPr>
          <w:i/>
          <w:sz w:val="24"/>
          <w:szCs w:val="24"/>
        </w:rPr>
        <w:t>Transportation Research Part E: Logistics and Transportation Review,</w:t>
      </w:r>
      <w:r w:rsidRPr="00855626">
        <w:rPr>
          <w:sz w:val="24"/>
          <w:szCs w:val="24"/>
        </w:rPr>
        <w:t xml:space="preserve"> 46</w:t>
      </w:r>
      <w:r w:rsidRPr="00855626">
        <w:rPr>
          <w:b/>
          <w:sz w:val="24"/>
          <w:szCs w:val="24"/>
        </w:rPr>
        <w:t>,</w:t>
      </w:r>
      <w:r w:rsidRPr="00855626">
        <w:rPr>
          <w:sz w:val="24"/>
          <w:szCs w:val="24"/>
        </w:rPr>
        <w:t xml:space="preserve"> 496-506.</w:t>
      </w:r>
    </w:p>
    <w:p w14:paraId="220799D3" w14:textId="77777777" w:rsidR="00E20B39" w:rsidRPr="00855626" w:rsidRDefault="00E20B39" w:rsidP="00E20B39">
      <w:pPr>
        <w:pStyle w:val="EndNoteBibliography"/>
        <w:ind w:left="720" w:hanging="720"/>
        <w:rPr>
          <w:sz w:val="24"/>
          <w:szCs w:val="24"/>
        </w:rPr>
      </w:pPr>
      <w:r w:rsidRPr="00855626">
        <w:rPr>
          <w:sz w:val="24"/>
          <w:szCs w:val="24"/>
        </w:rPr>
        <w:t xml:space="preserve">Fineman, S. &amp; Clarke, K. 1996. Green stakeholders: Industry interpretations and response. </w:t>
      </w:r>
      <w:r w:rsidRPr="00855626">
        <w:rPr>
          <w:i/>
          <w:sz w:val="24"/>
          <w:szCs w:val="24"/>
        </w:rPr>
        <w:t>Journal of Management studies,</w:t>
      </w:r>
      <w:r w:rsidRPr="00855626">
        <w:rPr>
          <w:sz w:val="24"/>
          <w:szCs w:val="24"/>
        </w:rPr>
        <w:t xml:space="preserve"> 33</w:t>
      </w:r>
      <w:r w:rsidRPr="00855626">
        <w:rPr>
          <w:b/>
          <w:sz w:val="24"/>
          <w:szCs w:val="24"/>
        </w:rPr>
        <w:t>,</w:t>
      </w:r>
      <w:r w:rsidRPr="00855626">
        <w:rPr>
          <w:sz w:val="24"/>
          <w:szCs w:val="24"/>
        </w:rPr>
        <w:t xml:space="preserve"> 715-730.</w:t>
      </w:r>
    </w:p>
    <w:p w14:paraId="13A86631" w14:textId="77777777" w:rsidR="00E20B39" w:rsidRPr="00855626" w:rsidRDefault="00E20B39" w:rsidP="00E20B39">
      <w:pPr>
        <w:pStyle w:val="EndNoteBibliography"/>
        <w:ind w:left="720" w:hanging="720"/>
        <w:rPr>
          <w:sz w:val="24"/>
          <w:szCs w:val="24"/>
        </w:rPr>
      </w:pPr>
      <w:r w:rsidRPr="00855626">
        <w:rPr>
          <w:sz w:val="24"/>
          <w:szCs w:val="24"/>
        </w:rPr>
        <w:t xml:space="preserve">Firdausiyah, N., Taniguchi, E. &amp; Qureshi, A. G. 2019. Modeling city logistics using adaptive dynamic programming based multi-agent simulation. </w:t>
      </w:r>
      <w:r w:rsidRPr="00855626">
        <w:rPr>
          <w:i/>
          <w:sz w:val="24"/>
          <w:szCs w:val="24"/>
        </w:rPr>
        <w:t>Transportation Research Part E: Logistics and Transportation Review,</w:t>
      </w:r>
      <w:r w:rsidRPr="00855626">
        <w:rPr>
          <w:sz w:val="24"/>
          <w:szCs w:val="24"/>
        </w:rPr>
        <w:t xml:space="preserve"> 125</w:t>
      </w:r>
      <w:r w:rsidRPr="00855626">
        <w:rPr>
          <w:b/>
          <w:sz w:val="24"/>
          <w:szCs w:val="24"/>
        </w:rPr>
        <w:t>,</w:t>
      </w:r>
      <w:r w:rsidRPr="00855626">
        <w:rPr>
          <w:sz w:val="24"/>
          <w:szCs w:val="24"/>
        </w:rPr>
        <w:t xml:space="preserve"> 74-96.</w:t>
      </w:r>
    </w:p>
    <w:p w14:paraId="485C40E5" w14:textId="77777777" w:rsidR="00E20B39" w:rsidRPr="00855626" w:rsidRDefault="00E20B39" w:rsidP="00E20B39">
      <w:pPr>
        <w:pStyle w:val="EndNoteBibliography"/>
        <w:ind w:left="720" w:hanging="720"/>
        <w:rPr>
          <w:sz w:val="24"/>
          <w:szCs w:val="24"/>
        </w:rPr>
      </w:pPr>
      <w:r w:rsidRPr="00855626">
        <w:rPr>
          <w:sz w:val="24"/>
          <w:szCs w:val="24"/>
        </w:rPr>
        <w:t xml:space="preserve">Flamini, M., Nigro, M. &amp; Pacciarelli, D. 2011. Assessing the value of information for retail distribution of perishable goods. </w:t>
      </w:r>
      <w:r w:rsidRPr="00855626">
        <w:rPr>
          <w:i/>
          <w:sz w:val="24"/>
          <w:szCs w:val="24"/>
        </w:rPr>
        <w:t>European Transport Research Review,</w:t>
      </w:r>
      <w:r w:rsidRPr="00855626">
        <w:rPr>
          <w:sz w:val="24"/>
          <w:szCs w:val="24"/>
        </w:rPr>
        <w:t xml:space="preserve"> 3</w:t>
      </w:r>
      <w:r w:rsidRPr="00855626">
        <w:rPr>
          <w:b/>
          <w:sz w:val="24"/>
          <w:szCs w:val="24"/>
        </w:rPr>
        <w:t>,</w:t>
      </w:r>
      <w:r w:rsidRPr="00855626">
        <w:rPr>
          <w:sz w:val="24"/>
          <w:szCs w:val="24"/>
        </w:rPr>
        <w:t xml:space="preserve"> 103-112.</w:t>
      </w:r>
    </w:p>
    <w:p w14:paraId="1CE7C3F9" w14:textId="77777777" w:rsidR="00E20B39" w:rsidRPr="00855626" w:rsidRDefault="00E20B39" w:rsidP="00E20B39">
      <w:pPr>
        <w:pStyle w:val="EndNoteBibliography"/>
        <w:ind w:left="720" w:hanging="720"/>
        <w:rPr>
          <w:sz w:val="24"/>
          <w:szCs w:val="24"/>
        </w:rPr>
      </w:pPr>
      <w:r w:rsidRPr="00855626">
        <w:rPr>
          <w:sz w:val="24"/>
          <w:szCs w:val="24"/>
        </w:rPr>
        <w:t xml:space="preserve">Fossheim, K. &amp; Andersen, J. 2017. Plan for sustainable urban logistics – comparing between Scandinavian and UK practices. </w:t>
      </w:r>
      <w:r w:rsidRPr="00855626">
        <w:rPr>
          <w:i/>
          <w:sz w:val="24"/>
          <w:szCs w:val="24"/>
        </w:rPr>
        <w:t>European Transport Research Review,</w:t>
      </w:r>
      <w:r w:rsidRPr="00855626">
        <w:rPr>
          <w:sz w:val="24"/>
          <w:szCs w:val="24"/>
        </w:rPr>
        <w:t xml:space="preserve"> 9.</w:t>
      </w:r>
    </w:p>
    <w:p w14:paraId="321EBB9C" w14:textId="77777777" w:rsidR="00E20B39" w:rsidRPr="00855626" w:rsidRDefault="00E20B39" w:rsidP="00E20B39">
      <w:pPr>
        <w:pStyle w:val="EndNoteBibliography"/>
        <w:ind w:left="720" w:hanging="720"/>
        <w:rPr>
          <w:sz w:val="24"/>
          <w:szCs w:val="24"/>
        </w:rPr>
      </w:pPr>
      <w:r w:rsidRPr="00855626">
        <w:rPr>
          <w:sz w:val="24"/>
          <w:szCs w:val="24"/>
        </w:rPr>
        <w:t xml:space="preserve">Frederick, W. C. 1988. </w:t>
      </w:r>
      <w:r w:rsidRPr="00855626">
        <w:rPr>
          <w:i/>
          <w:sz w:val="24"/>
          <w:szCs w:val="24"/>
        </w:rPr>
        <w:t>Business and society: Corporate strategy, public policy, ethics</w:t>
      </w:r>
      <w:r w:rsidRPr="00855626">
        <w:rPr>
          <w:sz w:val="24"/>
          <w:szCs w:val="24"/>
        </w:rPr>
        <w:t>, McGraw-Hill Companies.</w:t>
      </w:r>
    </w:p>
    <w:p w14:paraId="67C667D2" w14:textId="77777777" w:rsidR="00E20B39" w:rsidRPr="00855626" w:rsidRDefault="00E20B39" w:rsidP="00E20B39">
      <w:pPr>
        <w:pStyle w:val="EndNoteBibliography"/>
        <w:ind w:left="720" w:hanging="720"/>
        <w:rPr>
          <w:sz w:val="24"/>
          <w:szCs w:val="24"/>
        </w:rPr>
      </w:pPr>
      <w:r w:rsidRPr="00855626">
        <w:rPr>
          <w:sz w:val="24"/>
          <w:szCs w:val="24"/>
        </w:rPr>
        <w:t xml:space="preserve">Freeman, R. E. 1984. </w:t>
      </w:r>
      <w:r w:rsidRPr="00855626">
        <w:rPr>
          <w:i/>
          <w:sz w:val="24"/>
          <w:szCs w:val="24"/>
        </w:rPr>
        <w:t>Strategic management: A stakeholder approach</w:t>
      </w:r>
      <w:r w:rsidRPr="00855626">
        <w:rPr>
          <w:sz w:val="24"/>
          <w:szCs w:val="24"/>
        </w:rPr>
        <w:t>, Cambridge university press.</w:t>
      </w:r>
    </w:p>
    <w:p w14:paraId="5D517F57" w14:textId="77777777" w:rsidR="00E20B39" w:rsidRPr="00855626" w:rsidRDefault="00E20B39" w:rsidP="00E20B39">
      <w:pPr>
        <w:pStyle w:val="EndNoteBibliography"/>
        <w:ind w:left="720" w:hanging="720"/>
        <w:rPr>
          <w:sz w:val="24"/>
          <w:szCs w:val="24"/>
        </w:rPr>
      </w:pPr>
      <w:r w:rsidRPr="00855626">
        <w:rPr>
          <w:sz w:val="24"/>
          <w:szCs w:val="24"/>
        </w:rPr>
        <w:t xml:space="preserve">Freeman, R. E., Harrison, J. S., Wicks, A. C., Parmar, B. L. &amp; De Colle, S. 2010. </w:t>
      </w:r>
      <w:r w:rsidRPr="00855626">
        <w:rPr>
          <w:i/>
          <w:sz w:val="24"/>
          <w:szCs w:val="24"/>
        </w:rPr>
        <w:t>Stakeholder theory: The state of the art</w:t>
      </w:r>
      <w:r w:rsidRPr="00855626">
        <w:rPr>
          <w:sz w:val="24"/>
          <w:szCs w:val="24"/>
        </w:rPr>
        <w:t>, Cambridge University Press.</w:t>
      </w:r>
    </w:p>
    <w:p w14:paraId="0436A4A6" w14:textId="77777777" w:rsidR="00E20B39" w:rsidRPr="00855626" w:rsidRDefault="00E20B39" w:rsidP="00E20B39">
      <w:pPr>
        <w:pStyle w:val="EndNoteBibliography"/>
        <w:ind w:left="720" w:hanging="720"/>
        <w:rPr>
          <w:sz w:val="24"/>
          <w:szCs w:val="24"/>
        </w:rPr>
      </w:pPr>
      <w:r w:rsidRPr="00855626">
        <w:rPr>
          <w:sz w:val="24"/>
          <w:szCs w:val="24"/>
        </w:rPr>
        <w:t xml:space="preserve">Friedman, M. 1970. The social responsibility of business is to increase its profits. </w:t>
      </w:r>
      <w:r w:rsidRPr="00855626">
        <w:rPr>
          <w:i/>
          <w:sz w:val="24"/>
          <w:szCs w:val="24"/>
        </w:rPr>
        <w:t>Corporate ethics and corporate governance.</w:t>
      </w:r>
      <w:r w:rsidRPr="00855626">
        <w:rPr>
          <w:sz w:val="24"/>
          <w:szCs w:val="24"/>
        </w:rPr>
        <w:t xml:space="preserve"> Springer.</w:t>
      </w:r>
    </w:p>
    <w:p w14:paraId="24F546FA" w14:textId="77777777" w:rsidR="00E20B39" w:rsidRPr="00855626" w:rsidRDefault="00E20B39" w:rsidP="00E20B39">
      <w:pPr>
        <w:pStyle w:val="EndNoteBibliography"/>
        <w:ind w:left="720" w:hanging="720"/>
        <w:rPr>
          <w:sz w:val="24"/>
          <w:szCs w:val="24"/>
        </w:rPr>
      </w:pPr>
      <w:r w:rsidRPr="00855626">
        <w:rPr>
          <w:sz w:val="24"/>
          <w:szCs w:val="24"/>
        </w:rPr>
        <w:t xml:space="preserve">Friesz, T. L., Lee, I. &amp; Lin, C.-C. 2011. Competition and disruption in a dynamic urban supply chain. </w:t>
      </w:r>
      <w:r w:rsidRPr="00855626">
        <w:rPr>
          <w:i/>
          <w:sz w:val="24"/>
          <w:szCs w:val="24"/>
        </w:rPr>
        <w:t>Transportation Research Part B: Methodological,</w:t>
      </w:r>
      <w:r w:rsidRPr="00855626">
        <w:rPr>
          <w:sz w:val="24"/>
          <w:szCs w:val="24"/>
        </w:rPr>
        <w:t xml:space="preserve"> 45</w:t>
      </w:r>
      <w:r w:rsidRPr="00855626">
        <w:rPr>
          <w:b/>
          <w:sz w:val="24"/>
          <w:szCs w:val="24"/>
        </w:rPr>
        <w:t>,</w:t>
      </w:r>
      <w:r w:rsidRPr="00855626">
        <w:rPr>
          <w:sz w:val="24"/>
          <w:szCs w:val="24"/>
        </w:rPr>
        <w:t xml:space="preserve"> 1212-1231.</w:t>
      </w:r>
    </w:p>
    <w:p w14:paraId="4387397F" w14:textId="77777777" w:rsidR="00E20B39" w:rsidRPr="00855626" w:rsidRDefault="00E20B39" w:rsidP="00E20B39">
      <w:pPr>
        <w:pStyle w:val="EndNoteBibliography"/>
        <w:ind w:left="720" w:hanging="720"/>
        <w:rPr>
          <w:sz w:val="24"/>
          <w:szCs w:val="24"/>
        </w:rPr>
      </w:pPr>
      <w:r w:rsidRPr="00855626">
        <w:rPr>
          <w:sz w:val="24"/>
          <w:szCs w:val="24"/>
        </w:rPr>
        <w:t xml:space="preserve">Galant, A. &amp; Cadez, S. 2017. Corporate social responsibility and financial performance relationship: a review of measurement approaches. </w:t>
      </w:r>
      <w:r w:rsidRPr="00855626">
        <w:rPr>
          <w:i/>
          <w:sz w:val="24"/>
          <w:szCs w:val="24"/>
        </w:rPr>
        <w:t>Economic Research-Ekonomska Istraživanja,</w:t>
      </w:r>
      <w:r w:rsidRPr="00855626">
        <w:rPr>
          <w:sz w:val="24"/>
          <w:szCs w:val="24"/>
        </w:rPr>
        <w:t xml:space="preserve"> 30</w:t>
      </w:r>
      <w:r w:rsidRPr="00855626">
        <w:rPr>
          <w:b/>
          <w:sz w:val="24"/>
          <w:szCs w:val="24"/>
        </w:rPr>
        <w:t>,</w:t>
      </w:r>
      <w:r w:rsidRPr="00855626">
        <w:rPr>
          <w:sz w:val="24"/>
          <w:szCs w:val="24"/>
        </w:rPr>
        <w:t xml:space="preserve"> 676-693.</w:t>
      </w:r>
    </w:p>
    <w:p w14:paraId="61AE5A17" w14:textId="77777777" w:rsidR="00E20B39" w:rsidRPr="00855626" w:rsidRDefault="00E20B39" w:rsidP="00E20B39">
      <w:pPr>
        <w:pStyle w:val="EndNoteBibliography"/>
        <w:ind w:left="720" w:hanging="720"/>
        <w:rPr>
          <w:sz w:val="24"/>
          <w:szCs w:val="24"/>
        </w:rPr>
      </w:pPr>
      <w:r w:rsidRPr="00855626">
        <w:rPr>
          <w:sz w:val="24"/>
          <w:szCs w:val="24"/>
        </w:rPr>
        <w:t xml:space="preserve">Gammelgaard, B. 2015. The emergence of city logistics: the case of Copenhagen’s Citylogistik-kbh. </w:t>
      </w:r>
      <w:r w:rsidRPr="00855626">
        <w:rPr>
          <w:i/>
          <w:sz w:val="24"/>
          <w:szCs w:val="24"/>
        </w:rPr>
        <w:t>International Journal of Physical Distribution &amp; Logistics Management,</w:t>
      </w:r>
      <w:r w:rsidRPr="00855626">
        <w:rPr>
          <w:sz w:val="24"/>
          <w:szCs w:val="24"/>
        </w:rPr>
        <w:t xml:space="preserve"> 45</w:t>
      </w:r>
      <w:r w:rsidRPr="00855626">
        <w:rPr>
          <w:b/>
          <w:sz w:val="24"/>
          <w:szCs w:val="24"/>
        </w:rPr>
        <w:t>,</w:t>
      </w:r>
      <w:r w:rsidRPr="00855626">
        <w:rPr>
          <w:sz w:val="24"/>
          <w:szCs w:val="24"/>
        </w:rPr>
        <w:t xml:space="preserve"> 333-351.</w:t>
      </w:r>
    </w:p>
    <w:p w14:paraId="6E5356AA" w14:textId="77777777" w:rsidR="00E20B39" w:rsidRPr="00855626" w:rsidRDefault="00E20B39" w:rsidP="00E20B39">
      <w:pPr>
        <w:pStyle w:val="EndNoteBibliography"/>
        <w:ind w:left="720" w:hanging="720"/>
        <w:rPr>
          <w:sz w:val="24"/>
          <w:szCs w:val="24"/>
        </w:rPr>
      </w:pPr>
      <w:r w:rsidRPr="00855626">
        <w:rPr>
          <w:sz w:val="24"/>
          <w:szCs w:val="24"/>
        </w:rPr>
        <w:lastRenderedPageBreak/>
        <w:t>Garcia-Rodriguez, L. J. D. 2002. Seawater desalination driven by renewable energies: a review. 143</w:t>
      </w:r>
      <w:r w:rsidRPr="00855626">
        <w:rPr>
          <w:b/>
          <w:sz w:val="24"/>
          <w:szCs w:val="24"/>
        </w:rPr>
        <w:t>,</w:t>
      </w:r>
      <w:r w:rsidRPr="00855626">
        <w:rPr>
          <w:sz w:val="24"/>
          <w:szCs w:val="24"/>
        </w:rPr>
        <w:t xml:space="preserve"> 103-113.</w:t>
      </w:r>
    </w:p>
    <w:p w14:paraId="7EA3A363" w14:textId="77777777" w:rsidR="00E20B39" w:rsidRPr="00855626" w:rsidRDefault="00E20B39" w:rsidP="00E20B39">
      <w:pPr>
        <w:pStyle w:val="EndNoteBibliography"/>
        <w:ind w:left="720" w:hanging="720"/>
        <w:rPr>
          <w:sz w:val="24"/>
          <w:szCs w:val="24"/>
        </w:rPr>
      </w:pPr>
      <w:r w:rsidRPr="00855626">
        <w:rPr>
          <w:sz w:val="24"/>
          <w:szCs w:val="24"/>
        </w:rPr>
        <w:t xml:space="preserve">Gatta, V. &amp; Marcucci, E. 2014. Urban freight transport and policy changes: Improving decision makers' awareness via an agent-specific approach. </w:t>
      </w:r>
      <w:r w:rsidRPr="00855626">
        <w:rPr>
          <w:i/>
          <w:sz w:val="24"/>
          <w:szCs w:val="24"/>
        </w:rPr>
        <w:t>Transport Policy,</w:t>
      </w:r>
      <w:r w:rsidRPr="00855626">
        <w:rPr>
          <w:sz w:val="24"/>
          <w:szCs w:val="24"/>
        </w:rPr>
        <w:t xml:space="preserve"> 36</w:t>
      </w:r>
      <w:r w:rsidRPr="00855626">
        <w:rPr>
          <w:b/>
          <w:sz w:val="24"/>
          <w:szCs w:val="24"/>
        </w:rPr>
        <w:t>,</w:t>
      </w:r>
      <w:r w:rsidRPr="00855626">
        <w:rPr>
          <w:sz w:val="24"/>
          <w:szCs w:val="24"/>
        </w:rPr>
        <w:t xml:space="preserve"> 248-252.</w:t>
      </w:r>
    </w:p>
    <w:p w14:paraId="35DC47AB" w14:textId="77777777" w:rsidR="00E20B39" w:rsidRPr="00855626" w:rsidRDefault="00E20B39" w:rsidP="00E20B39">
      <w:pPr>
        <w:pStyle w:val="EndNoteBibliography"/>
        <w:ind w:left="720" w:hanging="720"/>
        <w:rPr>
          <w:sz w:val="24"/>
          <w:szCs w:val="24"/>
        </w:rPr>
      </w:pPr>
      <w:r w:rsidRPr="00855626">
        <w:rPr>
          <w:sz w:val="24"/>
          <w:szCs w:val="24"/>
        </w:rPr>
        <w:t xml:space="preserve">Gatta, V. &amp; Marcucci, E. 2016. Behavioural implications of non-linear effects on urban freight transport policies: The case of retailers and transport providers in Rome. </w:t>
      </w:r>
      <w:r w:rsidRPr="00855626">
        <w:rPr>
          <w:i/>
          <w:sz w:val="24"/>
          <w:szCs w:val="24"/>
        </w:rPr>
        <w:t>Case Studies on Transport Policy,</w:t>
      </w:r>
      <w:r w:rsidRPr="00855626">
        <w:rPr>
          <w:sz w:val="24"/>
          <w:szCs w:val="24"/>
        </w:rPr>
        <w:t xml:space="preserve"> 4</w:t>
      </w:r>
      <w:r w:rsidRPr="00855626">
        <w:rPr>
          <w:b/>
          <w:sz w:val="24"/>
          <w:szCs w:val="24"/>
        </w:rPr>
        <w:t>,</w:t>
      </w:r>
      <w:r w:rsidRPr="00855626">
        <w:rPr>
          <w:sz w:val="24"/>
          <w:szCs w:val="24"/>
        </w:rPr>
        <w:t xml:space="preserve"> 22-28.</w:t>
      </w:r>
    </w:p>
    <w:p w14:paraId="11C69144" w14:textId="77777777" w:rsidR="00E20B39" w:rsidRPr="00855626" w:rsidRDefault="00E20B39" w:rsidP="00E20B39">
      <w:pPr>
        <w:pStyle w:val="EndNoteBibliography"/>
        <w:ind w:left="720" w:hanging="720"/>
        <w:rPr>
          <w:sz w:val="24"/>
          <w:szCs w:val="24"/>
        </w:rPr>
      </w:pPr>
      <w:r w:rsidRPr="00855626">
        <w:rPr>
          <w:sz w:val="24"/>
          <w:szCs w:val="24"/>
        </w:rPr>
        <w:t xml:space="preserve">Gatta, V., Marcucci, E., Delle Site, P., Le Pira, M. &amp; Carrocci, C. S. 2019a. Planning with stakeholders: Analysing alternative off-hour delivery solutions via an interactive multi-criteria approach. </w:t>
      </w:r>
      <w:r w:rsidRPr="00855626">
        <w:rPr>
          <w:i/>
          <w:sz w:val="24"/>
          <w:szCs w:val="24"/>
        </w:rPr>
        <w:t>Research in Transportation Economics,</w:t>
      </w:r>
      <w:r w:rsidRPr="00855626">
        <w:rPr>
          <w:sz w:val="24"/>
          <w:szCs w:val="24"/>
        </w:rPr>
        <w:t xml:space="preserve"> 73</w:t>
      </w:r>
      <w:r w:rsidRPr="00855626">
        <w:rPr>
          <w:b/>
          <w:sz w:val="24"/>
          <w:szCs w:val="24"/>
        </w:rPr>
        <w:t>,</w:t>
      </w:r>
      <w:r w:rsidRPr="00855626">
        <w:rPr>
          <w:sz w:val="24"/>
          <w:szCs w:val="24"/>
        </w:rPr>
        <w:t xml:space="preserve"> 53-62.</w:t>
      </w:r>
    </w:p>
    <w:p w14:paraId="42830130" w14:textId="77777777" w:rsidR="00E20B39" w:rsidRPr="00855626" w:rsidRDefault="00E20B39" w:rsidP="00E20B39">
      <w:pPr>
        <w:pStyle w:val="EndNoteBibliography"/>
        <w:ind w:left="720" w:hanging="720"/>
        <w:rPr>
          <w:sz w:val="24"/>
          <w:szCs w:val="24"/>
        </w:rPr>
      </w:pPr>
      <w:r w:rsidRPr="00855626">
        <w:rPr>
          <w:sz w:val="24"/>
          <w:szCs w:val="24"/>
        </w:rPr>
        <w:t xml:space="preserve">Gatta, V., Marcucci, E., Nigro, M. &amp; Serafini, S. 2019b. Sustainable urban freight transport adopting public transport-based crowdshipping for B2C deliveries. </w:t>
      </w:r>
      <w:r w:rsidRPr="00855626">
        <w:rPr>
          <w:i/>
          <w:sz w:val="24"/>
          <w:szCs w:val="24"/>
        </w:rPr>
        <w:t>European Transport Research Review,</w:t>
      </w:r>
      <w:r w:rsidRPr="00855626">
        <w:rPr>
          <w:sz w:val="24"/>
          <w:szCs w:val="24"/>
        </w:rPr>
        <w:t xml:space="preserve"> 11.</w:t>
      </w:r>
    </w:p>
    <w:p w14:paraId="1E10D099" w14:textId="77777777" w:rsidR="00E20B39" w:rsidRPr="00855626" w:rsidRDefault="00E20B39" w:rsidP="00E20B39">
      <w:pPr>
        <w:pStyle w:val="EndNoteBibliography"/>
        <w:ind w:left="720" w:hanging="720"/>
        <w:rPr>
          <w:sz w:val="24"/>
          <w:szCs w:val="24"/>
        </w:rPr>
      </w:pPr>
      <w:r w:rsidRPr="00855626">
        <w:rPr>
          <w:sz w:val="24"/>
          <w:szCs w:val="24"/>
        </w:rPr>
        <w:t xml:space="preserve">Giordano, A., Fischbeck, P. &amp; Matthews, H. S. 2018. Environmental and economic comparison of diesel and battery electric delivery vans to inform city logistics fleet replacement strategies. </w:t>
      </w:r>
      <w:r w:rsidRPr="00855626">
        <w:rPr>
          <w:i/>
          <w:sz w:val="24"/>
          <w:szCs w:val="24"/>
        </w:rPr>
        <w:t>Transportation Research Part D: Transport and Environment,</w:t>
      </w:r>
      <w:r w:rsidRPr="00855626">
        <w:rPr>
          <w:sz w:val="24"/>
          <w:szCs w:val="24"/>
        </w:rPr>
        <w:t xml:space="preserve"> 64</w:t>
      </w:r>
      <w:r w:rsidRPr="00855626">
        <w:rPr>
          <w:b/>
          <w:sz w:val="24"/>
          <w:szCs w:val="24"/>
        </w:rPr>
        <w:t>,</w:t>
      </w:r>
      <w:r w:rsidRPr="00855626">
        <w:rPr>
          <w:sz w:val="24"/>
          <w:szCs w:val="24"/>
        </w:rPr>
        <w:t xml:space="preserve"> 216-229.</w:t>
      </w:r>
    </w:p>
    <w:p w14:paraId="77F163DD" w14:textId="77777777" w:rsidR="00E20B39" w:rsidRPr="00855626" w:rsidRDefault="00E20B39" w:rsidP="00E20B39">
      <w:pPr>
        <w:pStyle w:val="EndNoteBibliography"/>
        <w:ind w:left="720" w:hanging="720"/>
        <w:rPr>
          <w:sz w:val="24"/>
          <w:szCs w:val="24"/>
        </w:rPr>
      </w:pPr>
      <w:r w:rsidRPr="00855626">
        <w:rPr>
          <w:sz w:val="24"/>
          <w:szCs w:val="24"/>
        </w:rPr>
        <w:t xml:space="preserve">Giret, A., Carrascosa, C., Julian, V., Rebollo, M. &amp; Botti, V. 2018. A crowdsourcing approach for sustainable last mile delivery. </w:t>
      </w:r>
      <w:r w:rsidRPr="00855626">
        <w:rPr>
          <w:i/>
          <w:sz w:val="24"/>
          <w:szCs w:val="24"/>
        </w:rPr>
        <w:t>Sustainability (Switzerland),</w:t>
      </w:r>
      <w:r w:rsidRPr="00855626">
        <w:rPr>
          <w:sz w:val="24"/>
          <w:szCs w:val="24"/>
        </w:rPr>
        <w:t xml:space="preserve"> 10.</w:t>
      </w:r>
    </w:p>
    <w:p w14:paraId="7F732CD9" w14:textId="77777777" w:rsidR="00E20B39" w:rsidRPr="00855626" w:rsidRDefault="00E20B39" w:rsidP="00E20B39">
      <w:pPr>
        <w:pStyle w:val="EndNoteBibliography"/>
        <w:ind w:left="720" w:hanging="720"/>
        <w:rPr>
          <w:sz w:val="24"/>
          <w:szCs w:val="24"/>
        </w:rPr>
      </w:pPr>
      <w:r w:rsidRPr="00855626">
        <w:rPr>
          <w:sz w:val="24"/>
          <w:szCs w:val="24"/>
        </w:rPr>
        <w:t xml:space="preserve">Gogas, M. A. &amp; Nathanail, E. 2017. Evaluation of Urban Consolidation Centers: A Methodological Framework. </w:t>
      </w:r>
      <w:r w:rsidRPr="00855626">
        <w:rPr>
          <w:i/>
          <w:sz w:val="24"/>
          <w:szCs w:val="24"/>
        </w:rPr>
        <w:t>Procedia Engineering,</w:t>
      </w:r>
      <w:r w:rsidRPr="00855626">
        <w:rPr>
          <w:sz w:val="24"/>
          <w:szCs w:val="24"/>
        </w:rPr>
        <w:t xml:space="preserve"> 178</w:t>
      </w:r>
      <w:r w:rsidRPr="00855626">
        <w:rPr>
          <w:b/>
          <w:sz w:val="24"/>
          <w:szCs w:val="24"/>
        </w:rPr>
        <w:t>,</w:t>
      </w:r>
      <w:r w:rsidRPr="00855626">
        <w:rPr>
          <w:sz w:val="24"/>
          <w:szCs w:val="24"/>
        </w:rPr>
        <w:t xml:space="preserve"> 461-471.</w:t>
      </w:r>
    </w:p>
    <w:p w14:paraId="2D01F076" w14:textId="77777777" w:rsidR="00E20B39" w:rsidRPr="00855626" w:rsidRDefault="00E20B39" w:rsidP="00E20B39">
      <w:pPr>
        <w:pStyle w:val="EndNoteBibliography"/>
        <w:ind w:left="720" w:hanging="720"/>
        <w:rPr>
          <w:sz w:val="24"/>
          <w:szCs w:val="24"/>
        </w:rPr>
      </w:pPr>
      <w:r w:rsidRPr="00855626">
        <w:rPr>
          <w:sz w:val="24"/>
          <w:szCs w:val="24"/>
        </w:rPr>
        <w:t xml:space="preserve">Gonzalez-Feliu, J. 2008. </w:t>
      </w:r>
      <w:r w:rsidRPr="00855626">
        <w:rPr>
          <w:i/>
          <w:sz w:val="24"/>
          <w:szCs w:val="24"/>
        </w:rPr>
        <w:t>Models and methods for the city logistics: The two-echelon capacitated vehicle routing problem.</w:t>
      </w:r>
      <w:r w:rsidRPr="00855626">
        <w:rPr>
          <w:sz w:val="24"/>
          <w:szCs w:val="24"/>
        </w:rPr>
        <w:t xml:space="preserve"> Politecnico di Torino.</w:t>
      </w:r>
    </w:p>
    <w:p w14:paraId="5245D7F0" w14:textId="77777777" w:rsidR="00E20B39" w:rsidRPr="00855626" w:rsidRDefault="00E20B39" w:rsidP="00E20B39">
      <w:pPr>
        <w:pStyle w:val="EndNoteBibliography"/>
        <w:ind w:left="720" w:hanging="720"/>
        <w:rPr>
          <w:sz w:val="24"/>
          <w:szCs w:val="24"/>
        </w:rPr>
      </w:pPr>
      <w:r w:rsidRPr="00855626">
        <w:rPr>
          <w:sz w:val="24"/>
          <w:szCs w:val="24"/>
        </w:rPr>
        <w:t xml:space="preserve">Gonzalez-Feliu, J. 2018. </w:t>
      </w:r>
      <w:r w:rsidRPr="00855626">
        <w:rPr>
          <w:i/>
          <w:sz w:val="24"/>
          <w:szCs w:val="24"/>
        </w:rPr>
        <w:t>Sustainable Urban Logistics: Planning and Evaluation</w:t>
      </w:r>
      <w:r w:rsidRPr="00855626">
        <w:rPr>
          <w:sz w:val="24"/>
          <w:szCs w:val="24"/>
        </w:rPr>
        <w:t>, John Wiley &amp; Sons.</w:t>
      </w:r>
    </w:p>
    <w:p w14:paraId="42846544" w14:textId="77777777" w:rsidR="00E20B39" w:rsidRPr="00855626" w:rsidRDefault="00E20B39" w:rsidP="00E20B39">
      <w:pPr>
        <w:pStyle w:val="EndNoteBibliography"/>
        <w:ind w:left="720" w:hanging="720"/>
        <w:rPr>
          <w:sz w:val="24"/>
          <w:szCs w:val="24"/>
        </w:rPr>
      </w:pPr>
      <w:r w:rsidRPr="00855626">
        <w:rPr>
          <w:sz w:val="24"/>
          <w:szCs w:val="24"/>
        </w:rPr>
        <w:t xml:space="preserve">Gonzalez-Feliu, J., Ambrosini, C., Pluvinet, P., Toilier, F. &amp; Routhier, J.-L. 2012. A simulation framework for evaluating the impacts of urban goods transport in terms of road occupancy. </w:t>
      </w:r>
      <w:r w:rsidRPr="00855626">
        <w:rPr>
          <w:i/>
          <w:sz w:val="24"/>
          <w:szCs w:val="24"/>
        </w:rPr>
        <w:t>Journal of Computational Science,</w:t>
      </w:r>
      <w:r w:rsidRPr="00855626">
        <w:rPr>
          <w:sz w:val="24"/>
          <w:szCs w:val="24"/>
        </w:rPr>
        <w:t xml:space="preserve"> 3</w:t>
      </w:r>
      <w:r w:rsidRPr="00855626">
        <w:rPr>
          <w:b/>
          <w:sz w:val="24"/>
          <w:szCs w:val="24"/>
        </w:rPr>
        <w:t>,</w:t>
      </w:r>
      <w:r w:rsidRPr="00855626">
        <w:rPr>
          <w:sz w:val="24"/>
          <w:szCs w:val="24"/>
        </w:rPr>
        <w:t xml:space="preserve"> 206-215.</w:t>
      </w:r>
    </w:p>
    <w:p w14:paraId="32DA526B" w14:textId="77777777" w:rsidR="00E20B39" w:rsidRPr="00855626" w:rsidRDefault="00E20B39" w:rsidP="00E20B39">
      <w:pPr>
        <w:pStyle w:val="EndNoteBibliography"/>
        <w:ind w:left="720" w:hanging="720"/>
        <w:rPr>
          <w:sz w:val="24"/>
          <w:szCs w:val="24"/>
        </w:rPr>
      </w:pPr>
      <w:r w:rsidRPr="00855626">
        <w:rPr>
          <w:sz w:val="24"/>
          <w:szCs w:val="24"/>
        </w:rPr>
        <w:t>Gonzalez-Feliu, J., Malhéné, N., Morganti, E. &amp; Morana, J. The deployment of city and area distribution centers in France and Italy: Comparison of six representative models.  Supply chain forum: An international journal, 2014a. Taylor &amp; Francis, 84-99.</w:t>
      </w:r>
    </w:p>
    <w:p w14:paraId="241CE8D3" w14:textId="77777777" w:rsidR="00E20B39" w:rsidRPr="00855626" w:rsidRDefault="00E20B39" w:rsidP="00E20B39">
      <w:pPr>
        <w:pStyle w:val="EndNoteBibliography"/>
        <w:ind w:left="720" w:hanging="720"/>
        <w:rPr>
          <w:sz w:val="24"/>
          <w:szCs w:val="24"/>
        </w:rPr>
      </w:pPr>
      <w:r w:rsidRPr="00855626">
        <w:rPr>
          <w:sz w:val="24"/>
          <w:szCs w:val="24"/>
        </w:rPr>
        <w:t xml:space="preserve">Gonzalez-Feliu, J. &amp; Morana, J. 2014. Assessing urban logistics pooling sustainability via a hierarchic dashboard from a group decision perspective. </w:t>
      </w:r>
      <w:r w:rsidRPr="00855626">
        <w:rPr>
          <w:i/>
          <w:sz w:val="24"/>
          <w:szCs w:val="24"/>
        </w:rPr>
        <w:t>Transport and Sustainability.</w:t>
      </w:r>
      <w:r w:rsidRPr="00855626">
        <w:rPr>
          <w:sz w:val="24"/>
          <w:szCs w:val="24"/>
        </w:rPr>
        <w:t xml:space="preserve"> Emerald Group Publishing Ltd.</w:t>
      </w:r>
    </w:p>
    <w:p w14:paraId="59FE0264" w14:textId="77777777" w:rsidR="00E20B39" w:rsidRPr="00855626" w:rsidRDefault="00E20B39" w:rsidP="00E20B39">
      <w:pPr>
        <w:pStyle w:val="EndNoteBibliography"/>
        <w:ind w:left="720" w:hanging="720"/>
        <w:rPr>
          <w:sz w:val="24"/>
          <w:szCs w:val="24"/>
        </w:rPr>
      </w:pPr>
      <w:r w:rsidRPr="00855626">
        <w:rPr>
          <w:sz w:val="24"/>
          <w:szCs w:val="24"/>
        </w:rPr>
        <w:t xml:space="preserve">Gonzalez-Feliu, J., Pronello, C. &amp; Salanova Grau, J. M. 2018. Multi-stakeholder collaboration in urban transport: State-of-the-art and research opportunities. </w:t>
      </w:r>
      <w:r w:rsidRPr="00855626">
        <w:rPr>
          <w:i/>
          <w:sz w:val="24"/>
          <w:szCs w:val="24"/>
        </w:rPr>
        <w:t>Transport,</w:t>
      </w:r>
      <w:r w:rsidRPr="00855626">
        <w:rPr>
          <w:sz w:val="24"/>
          <w:szCs w:val="24"/>
        </w:rPr>
        <w:t xml:space="preserve"> 33</w:t>
      </w:r>
      <w:r w:rsidRPr="00855626">
        <w:rPr>
          <w:b/>
          <w:sz w:val="24"/>
          <w:szCs w:val="24"/>
        </w:rPr>
        <w:t>,</w:t>
      </w:r>
      <w:r w:rsidRPr="00855626">
        <w:rPr>
          <w:sz w:val="24"/>
          <w:szCs w:val="24"/>
        </w:rPr>
        <w:t xml:space="preserve"> 1079-1094.</w:t>
      </w:r>
    </w:p>
    <w:p w14:paraId="45EEC49F" w14:textId="77777777" w:rsidR="00E20B39" w:rsidRPr="00855626" w:rsidRDefault="00E20B39" w:rsidP="00E20B39">
      <w:pPr>
        <w:pStyle w:val="EndNoteBibliography"/>
        <w:ind w:left="720" w:hanging="720"/>
        <w:rPr>
          <w:sz w:val="24"/>
          <w:szCs w:val="24"/>
        </w:rPr>
      </w:pPr>
      <w:r w:rsidRPr="00855626">
        <w:rPr>
          <w:sz w:val="24"/>
          <w:szCs w:val="24"/>
        </w:rPr>
        <w:lastRenderedPageBreak/>
        <w:t xml:space="preserve">Gonzalez-Feliu, J., Semet, F. &amp; Routhier, J.-L. 2014b. </w:t>
      </w:r>
      <w:r w:rsidRPr="00855626">
        <w:rPr>
          <w:i/>
          <w:sz w:val="24"/>
          <w:szCs w:val="24"/>
        </w:rPr>
        <w:t>Sustainable urban logistics: Concepts, methods and information systems</w:t>
      </w:r>
      <w:r w:rsidRPr="00855626">
        <w:rPr>
          <w:sz w:val="24"/>
          <w:szCs w:val="24"/>
        </w:rPr>
        <w:t>, Springer.</w:t>
      </w:r>
    </w:p>
    <w:p w14:paraId="758DF000" w14:textId="77777777" w:rsidR="00E20B39" w:rsidRPr="00855626" w:rsidRDefault="00E20B39" w:rsidP="00E20B39">
      <w:pPr>
        <w:pStyle w:val="EndNoteBibliography"/>
        <w:ind w:left="720" w:hanging="720"/>
        <w:rPr>
          <w:sz w:val="24"/>
          <w:szCs w:val="24"/>
        </w:rPr>
      </w:pPr>
      <w:r w:rsidRPr="00855626">
        <w:rPr>
          <w:sz w:val="24"/>
          <w:szCs w:val="24"/>
        </w:rPr>
        <w:t xml:space="preserve">Granot, D., Granot, F. &amp; Sosic, G. 2014. Allocation of greenhouse gas emissions in supply chains. </w:t>
      </w:r>
      <w:r w:rsidRPr="00855626">
        <w:rPr>
          <w:i/>
          <w:sz w:val="24"/>
          <w:szCs w:val="24"/>
        </w:rPr>
        <w:t>University of Southern California Working Paper</w:t>
      </w:r>
      <w:r w:rsidRPr="00855626">
        <w:rPr>
          <w:sz w:val="24"/>
          <w:szCs w:val="24"/>
        </w:rPr>
        <w:t>.</w:t>
      </w:r>
    </w:p>
    <w:p w14:paraId="00195320" w14:textId="77777777" w:rsidR="00E20B39" w:rsidRPr="00855626" w:rsidRDefault="00E20B39" w:rsidP="00E20B39">
      <w:pPr>
        <w:pStyle w:val="EndNoteBibliography"/>
        <w:ind w:left="720" w:hanging="720"/>
        <w:rPr>
          <w:sz w:val="24"/>
          <w:szCs w:val="24"/>
        </w:rPr>
      </w:pPr>
      <w:r w:rsidRPr="00855626">
        <w:rPr>
          <w:sz w:val="24"/>
          <w:szCs w:val="24"/>
        </w:rPr>
        <w:t xml:space="preserve">Gray, R., Kouhy, R. &amp; Lavers, S. 1995. Corporate social and environmental reporting: a review of the literature and a longitudinal study of UK disclosure. </w:t>
      </w:r>
      <w:r w:rsidRPr="00855626">
        <w:rPr>
          <w:i/>
          <w:sz w:val="24"/>
          <w:szCs w:val="24"/>
        </w:rPr>
        <w:t>Accounting, Auditing &amp; Accountability Journal,</w:t>
      </w:r>
      <w:r w:rsidRPr="00855626">
        <w:rPr>
          <w:sz w:val="24"/>
          <w:szCs w:val="24"/>
        </w:rPr>
        <w:t xml:space="preserve"> 8</w:t>
      </w:r>
      <w:r w:rsidRPr="00855626">
        <w:rPr>
          <w:b/>
          <w:sz w:val="24"/>
          <w:szCs w:val="24"/>
        </w:rPr>
        <w:t>,</w:t>
      </w:r>
      <w:r w:rsidRPr="00855626">
        <w:rPr>
          <w:sz w:val="24"/>
          <w:szCs w:val="24"/>
        </w:rPr>
        <w:t xml:space="preserve"> 47-77.</w:t>
      </w:r>
    </w:p>
    <w:p w14:paraId="782C6699" w14:textId="77777777" w:rsidR="00E20B39" w:rsidRPr="00855626" w:rsidRDefault="00E20B39" w:rsidP="00E20B39">
      <w:pPr>
        <w:pStyle w:val="EndNoteBibliography"/>
        <w:ind w:left="720" w:hanging="720"/>
        <w:rPr>
          <w:sz w:val="24"/>
          <w:szCs w:val="24"/>
        </w:rPr>
      </w:pPr>
      <w:r w:rsidRPr="00855626">
        <w:rPr>
          <w:sz w:val="24"/>
          <w:szCs w:val="24"/>
        </w:rPr>
        <w:t xml:space="preserve">Green, J. L., De Weck, O. L. &amp; Suarez, P. 2013. Evaluating the economic sustainability of sanitation logistics in Senegal. </w:t>
      </w:r>
      <w:r w:rsidRPr="00855626">
        <w:rPr>
          <w:i/>
          <w:sz w:val="24"/>
          <w:szCs w:val="24"/>
        </w:rPr>
        <w:t>Journal of Humanitarian Logistics and Supply Chain Management,</w:t>
      </w:r>
      <w:r w:rsidRPr="00855626">
        <w:rPr>
          <w:sz w:val="24"/>
          <w:szCs w:val="24"/>
        </w:rPr>
        <w:t xml:space="preserve"> 3</w:t>
      </w:r>
      <w:r w:rsidRPr="00855626">
        <w:rPr>
          <w:b/>
          <w:sz w:val="24"/>
          <w:szCs w:val="24"/>
        </w:rPr>
        <w:t>,</w:t>
      </w:r>
      <w:r w:rsidRPr="00855626">
        <w:rPr>
          <w:sz w:val="24"/>
          <w:szCs w:val="24"/>
        </w:rPr>
        <w:t xml:space="preserve"> 7-21.</w:t>
      </w:r>
    </w:p>
    <w:p w14:paraId="5D12F497" w14:textId="77777777" w:rsidR="00E20B39" w:rsidRPr="00855626" w:rsidRDefault="00E20B39" w:rsidP="00E20B39">
      <w:pPr>
        <w:pStyle w:val="EndNoteBibliography"/>
        <w:ind w:left="720" w:hanging="720"/>
        <w:rPr>
          <w:sz w:val="24"/>
          <w:szCs w:val="24"/>
        </w:rPr>
      </w:pPr>
      <w:r w:rsidRPr="00855626">
        <w:rPr>
          <w:sz w:val="24"/>
          <w:szCs w:val="24"/>
        </w:rPr>
        <w:t xml:space="preserve">Grosso, R., Muñuzuri, J., Cortes, P. &amp; Carrillo, J. 2014. City logistics: Are sustainability policies really sustainable? </w:t>
      </w:r>
      <w:r w:rsidRPr="00855626">
        <w:rPr>
          <w:i/>
          <w:sz w:val="24"/>
          <w:szCs w:val="24"/>
        </w:rPr>
        <w:t>Direccion y Organizacion,</w:t>
      </w:r>
      <w:r w:rsidRPr="00855626">
        <w:rPr>
          <w:sz w:val="24"/>
          <w:szCs w:val="24"/>
        </w:rPr>
        <w:t xml:space="preserve"> 53</w:t>
      </w:r>
      <w:r w:rsidRPr="00855626">
        <w:rPr>
          <w:b/>
          <w:sz w:val="24"/>
          <w:szCs w:val="24"/>
        </w:rPr>
        <w:t>,</w:t>
      </w:r>
      <w:r w:rsidRPr="00855626">
        <w:rPr>
          <w:sz w:val="24"/>
          <w:szCs w:val="24"/>
        </w:rPr>
        <w:t xml:space="preserve"> 45-50.</w:t>
      </w:r>
    </w:p>
    <w:p w14:paraId="5D9331A4" w14:textId="77777777" w:rsidR="00E20B39" w:rsidRPr="00855626" w:rsidRDefault="00E20B39" w:rsidP="00E20B39">
      <w:pPr>
        <w:pStyle w:val="EndNoteBibliography"/>
        <w:ind w:left="720" w:hanging="720"/>
        <w:rPr>
          <w:sz w:val="24"/>
          <w:szCs w:val="24"/>
        </w:rPr>
      </w:pPr>
      <w:r w:rsidRPr="00855626">
        <w:rPr>
          <w:sz w:val="24"/>
          <w:szCs w:val="24"/>
        </w:rPr>
        <w:t xml:space="preserve">Guajardo, M. &amp; Rönnqvist, M. 2016. A review on cost allocation methods in collaborative transportation. </w:t>
      </w:r>
      <w:r w:rsidRPr="00855626">
        <w:rPr>
          <w:i/>
          <w:sz w:val="24"/>
          <w:szCs w:val="24"/>
        </w:rPr>
        <w:t>International Transactions in Operational Research,</w:t>
      </w:r>
      <w:r w:rsidRPr="00855626">
        <w:rPr>
          <w:sz w:val="24"/>
          <w:szCs w:val="24"/>
        </w:rPr>
        <w:t xml:space="preserve"> 23</w:t>
      </w:r>
      <w:r w:rsidRPr="00855626">
        <w:rPr>
          <w:b/>
          <w:sz w:val="24"/>
          <w:szCs w:val="24"/>
        </w:rPr>
        <w:t>,</w:t>
      </w:r>
      <w:r w:rsidRPr="00855626">
        <w:rPr>
          <w:sz w:val="24"/>
          <w:szCs w:val="24"/>
        </w:rPr>
        <w:t xml:space="preserve"> 371-392.</w:t>
      </w:r>
    </w:p>
    <w:p w14:paraId="01EEC4AB" w14:textId="77777777" w:rsidR="00E20B39" w:rsidRPr="00855626" w:rsidRDefault="00E20B39" w:rsidP="00E20B39">
      <w:pPr>
        <w:pStyle w:val="EndNoteBibliography"/>
        <w:ind w:left="720" w:hanging="720"/>
        <w:rPr>
          <w:sz w:val="24"/>
          <w:szCs w:val="24"/>
        </w:rPr>
      </w:pPr>
      <w:r w:rsidRPr="00855626">
        <w:rPr>
          <w:sz w:val="24"/>
          <w:szCs w:val="24"/>
        </w:rPr>
        <w:t>Guastaroba, G., Speranza, M. G. &amp; Vigo, D. J. T. S. 2016. Intermediate facilities in freight transportation planning: a survey. 50</w:t>
      </w:r>
      <w:r w:rsidRPr="00855626">
        <w:rPr>
          <w:b/>
          <w:sz w:val="24"/>
          <w:szCs w:val="24"/>
        </w:rPr>
        <w:t>,</w:t>
      </w:r>
      <w:r w:rsidRPr="00855626">
        <w:rPr>
          <w:sz w:val="24"/>
          <w:szCs w:val="24"/>
        </w:rPr>
        <w:t xml:space="preserve"> 763-789.</w:t>
      </w:r>
    </w:p>
    <w:p w14:paraId="2C8280DE" w14:textId="77777777" w:rsidR="00E20B39" w:rsidRPr="00855626" w:rsidRDefault="00E20B39" w:rsidP="00E20B39">
      <w:pPr>
        <w:pStyle w:val="EndNoteBibliography"/>
        <w:ind w:left="720" w:hanging="720"/>
        <w:rPr>
          <w:sz w:val="24"/>
          <w:szCs w:val="24"/>
        </w:rPr>
      </w:pPr>
      <w:r w:rsidRPr="00855626">
        <w:rPr>
          <w:sz w:val="24"/>
          <w:szCs w:val="24"/>
        </w:rPr>
        <w:t xml:space="preserve">Gudmundsson, J., Hougaard, J. L. &amp; Ko, C. Y. 2019. Decentralized mechanisms for river sharing. </w:t>
      </w:r>
      <w:r w:rsidRPr="00855626">
        <w:rPr>
          <w:i/>
          <w:sz w:val="24"/>
          <w:szCs w:val="24"/>
        </w:rPr>
        <w:t>Journal of Environmental Economics and Management,</w:t>
      </w:r>
      <w:r w:rsidRPr="00855626">
        <w:rPr>
          <w:sz w:val="24"/>
          <w:szCs w:val="24"/>
        </w:rPr>
        <w:t xml:space="preserve"> 94</w:t>
      </w:r>
      <w:r w:rsidRPr="00855626">
        <w:rPr>
          <w:b/>
          <w:sz w:val="24"/>
          <w:szCs w:val="24"/>
        </w:rPr>
        <w:t>,</w:t>
      </w:r>
      <w:r w:rsidRPr="00855626">
        <w:rPr>
          <w:sz w:val="24"/>
          <w:szCs w:val="24"/>
        </w:rPr>
        <w:t xml:space="preserve"> 67-81.</w:t>
      </w:r>
    </w:p>
    <w:p w14:paraId="1DD51863" w14:textId="77777777" w:rsidR="00E20B39" w:rsidRPr="00855626" w:rsidRDefault="00E20B39" w:rsidP="00E20B39">
      <w:pPr>
        <w:pStyle w:val="EndNoteBibliography"/>
        <w:ind w:left="720" w:hanging="720"/>
        <w:rPr>
          <w:sz w:val="24"/>
          <w:szCs w:val="24"/>
        </w:rPr>
      </w:pPr>
      <w:r w:rsidRPr="00855626">
        <w:rPr>
          <w:sz w:val="24"/>
          <w:szCs w:val="24"/>
        </w:rPr>
        <w:t>Guion, L. 2002. Triangulation: Establishing the validity of qualitative studies. 2002.</w:t>
      </w:r>
    </w:p>
    <w:p w14:paraId="206D7F9F" w14:textId="77777777" w:rsidR="00E20B39" w:rsidRPr="00855626" w:rsidRDefault="00E20B39" w:rsidP="00E20B39">
      <w:pPr>
        <w:pStyle w:val="EndNoteBibliography"/>
        <w:ind w:left="720" w:hanging="720"/>
        <w:rPr>
          <w:sz w:val="24"/>
          <w:szCs w:val="24"/>
        </w:rPr>
      </w:pPr>
      <w:r w:rsidRPr="00855626">
        <w:rPr>
          <w:sz w:val="24"/>
          <w:szCs w:val="24"/>
        </w:rPr>
        <w:t xml:space="preserve">Guitouni, A., Martel, J.-M., Vincke, P. &amp; North, P. 1998. A framework to choose a discrete multicriterion aggregation procedure. </w:t>
      </w:r>
      <w:r w:rsidRPr="00855626">
        <w:rPr>
          <w:i/>
          <w:sz w:val="24"/>
          <w:szCs w:val="24"/>
        </w:rPr>
        <w:t>Defence research establishment valcatier (DREV)</w:t>
      </w:r>
      <w:r w:rsidRPr="00855626">
        <w:rPr>
          <w:sz w:val="24"/>
          <w:szCs w:val="24"/>
        </w:rPr>
        <w:t>.</w:t>
      </w:r>
    </w:p>
    <w:p w14:paraId="74EC4C1E" w14:textId="77777777" w:rsidR="00E20B39" w:rsidRPr="00855626" w:rsidRDefault="00E20B39" w:rsidP="00E20B39">
      <w:pPr>
        <w:pStyle w:val="EndNoteBibliography"/>
        <w:ind w:left="720" w:hanging="720"/>
        <w:rPr>
          <w:sz w:val="24"/>
          <w:szCs w:val="24"/>
        </w:rPr>
      </w:pPr>
      <w:r w:rsidRPr="00855626">
        <w:rPr>
          <w:sz w:val="24"/>
          <w:szCs w:val="24"/>
        </w:rPr>
        <w:t xml:space="preserve">Guo, J. &amp; Ma, S. 2017. Environmental impact assessment for city logistics distribution systems. </w:t>
      </w:r>
      <w:r w:rsidRPr="00855626">
        <w:rPr>
          <w:i/>
          <w:sz w:val="24"/>
          <w:szCs w:val="24"/>
        </w:rPr>
        <w:t>Environmental Engineering Research,</w:t>
      </w:r>
      <w:r w:rsidRPr="00855626">
        <w:rPr>
          <w:sz w:val="24"/>
          <w:szCs w:val="24"/>
        </w:rPr>
        <w:t xml:space="preserve"> 22</w:t>
      </w:r>
      <w:r w:rsidRPr="00855626">
        <w:rPr>
          <w:b/>
          <w:sz w:val="24"/>
          <w:szCs w:val="24"/>
        </w:rPr>
        <w:t>,</w:t>
      </w:r>
      <w:r w:rsidRPr="00855626">
        <w:rPr>
          <w:sz w:val="24"/>
          <w:szCs w:val="24"/>
        </w:rPr>
        <w:t xml:space="preserve"> 363-368.</w:t>
      </w:r>
    </w:p>
    <w:p w14:paraId="3AB21017" w14:textId="77777777" w:rsidR="00E20B39" w:rsidRPr="00855626" w:rsidRDefault="00E20B39" w:rsidP="00E20B39">
      <w:pPr>
        <w:pStyle w:val="EndNoteBibliography"/>
        <w:ind w:left="720" w:hanging="720"/>
        <w:rPr>
          <w:sz w:val="24"/>
          <w:szCs w:val="24"/>
        </w:rPr>
      </w:pPr>
      <w:r w:rsidRPr="00855626">
        <w:rPr>
          <w:sz w:val="24"/>
          <w:szCs w:val="24"/>
        </w:rPr>
        <w:t xml:space="preserve">Guo, X., Lujan Jaramillo, Y. J., Bloemhof-Ruwaard, J. &amp; Claassen, G. D. H. 2019. On integrating crowdsourced delivery in last-mile logistics: A simulation study to quantify its feasibility. </w:t>
      </w:r>
      <w:r w:rsidRPr="00855626">
        <w:rPr>
          <w:i/>
          <w:sz w:val="24"/>
          <w:szCs w:val="24"/>
        </w:rPr>
        <w:t>Journal of Cleaner Production,</w:t>
      </w:r>
      <w:r w:rsidRPr="00855626">
        <w:rPr>
          <w:sz w:val="24"/>
          <w:szCs w:val="24"/>
        </w:rPr>
        <w:t xml:space="preserve"> 241.</w:t>
      </w:r>
    </w:p>
    <w:p w14:paraId="2A0FF292" w14:textId="77777777" w:rsidR="00E20B39" w:rsidRPr="00855626" w:rsidRDefault="00E20B39" w:rsidP="00E20B39">
      <w:pPr>
        <w:pStyle w:val="EndNoteBibliography"/>
        <w:ind w:left="720" w:hanging="720"/>
        <w:rPr>
          <w:sz w:val="24"/>
          <w:szCs w:val="24"/>
        </w:rPr>
      </w:pPr>
      <w:r w:rsidRPr="00855626">
        <w:rPr>
          <w:sz w:val="24"/>
          <w:szCs w:val="24"/>
        </w:rPr>
        <w:t xml:space="preserve">Hamidi, M., Farahmand, K. &amp; Sajjadi, S. R. 2012. Modeling a four-layer location-routing problem. </w:t>
      </w:r>
      <w:r w:rsidRPr="00855626">
        <w:rPr>
          <w:i/>
          <w:sz w:val="24"/>
          <w:szCs w:val="24"/>
        </w:rPr>
        <w:t>International Journal of Industrial Engineering Computations,</w:t>
      </w:r>
      <w:r w:rsidRPr="00855626">
        <w:rPr>
          <w:sz w:val="24"/>
          <w:szCs w:val="24"/>
        </w:rPr>
        <w:t xml:space="preserve"> 3</w:t>
      </w:r>
      <w:r w:rsidRPr="00855626">
        <w:rPr>
          <w:b/>
          <w:sz w:val="24"/>
          <w:szCs w:val="24"/>
        </w:rPr>
        <w:t>,</w:t>
      </w:r>
      <w:r w:rsidRPr="00855626">
        <w:rPr>
          <w:sz w:val="24"/>
          <w:szCs w:val="24"/>
        </w:rPr>
        <w:t xml:space="preserve"> 43-52.</w:t>
      </w:r>
    </w:p>
    <w:p w14:paraId="76A0140A" w14:textId="77777777" w:rsidR="00E20B39" w:rsidRPr="00855626" w:rsidRDefault="00E20B39" w:rsidP="00E20B39">
      <w:pPr>
        <w:pStyle w:val="EndNoteBibliography"/>
        <w:ind w:left="720" w:hanging="720"/>
        <w:rPr>
          <w:sz w:val="24"/>
          <w:szCs w:val="24"/>
        </w:rPr>
      </w:pPr>
      <w:r w:rsidRPr="00855626">
        <w:rPr>
          <w:sz w:val="24"/>
          <w:szCs w:val="24"/>
        </w:rPr>
        <w:t xml:space="preserve">Haughton, G. 1997. Developing sustainable urban development models. </w:t>
      </w:r>
      <w:r w:rsidRPr="00855626">
        <w:rPr>
          <w:i/>
          <w:sz w:val="24"/>
          <w:szCs w:val="24"/>
        </w:rPr>
        <w:t>Cities,</w:t>
      </w:r>
      <w:r w:rsidRPr="00855626">
        <w:rPr>
          <w:sz w:val="24"/>
          <w:szCs w:val="24"/>
        </w:rPr>
        <w:t xml:space="preserve"> 14</w:t>
      </w:r>
      <w:r w:rsidRPr="00855626">
        <w:rPr>
          <w:b/>
          <w:sz w:val="24"/>
          <w:szCs w:val="24"/>
        </w:rPr>
        <w:t>,</w:t>
      </w:r>
      <w:r w:rsidRPr="00855626">
        <w:rPr>
          <w:sz w:val="24"/>
          <w:szCs w:val="24"/>
        </w:rPr>
        <w:t xml:space="preserve"> 189-195.</w:t>
      </w:r>
    </w:p>
    <w:p w14:paraId="400CF7A2" w14:textId="77777777" w:rsidR="00E20B39" w:rsidRPr="00855626" w:rsidRDefault="00E20B39" w:rsidP="00E20B39">
      <w:pPr>
        <w:pStyle w:val="EndNoteBibliography"/>
        <w:ind w:left="720" w:hanging="720"/>
        <w:rPr>
          <w:sz w:val="24"/>
          <w:szCs w:val="24"/>
        </w:rPr>
      </w:pPr>
      <w:r w:rsidRPr="00855626">
        <w:rPr>
          <w:sz w:val="24"/>
          <w:szCs w:val="24"/>
        </w:rPr>
        <w:t xml:space="preserve">Hemmelmayr, V. C., Cordeau, J. F. &amp; Crainic, T. G. 2012. An adaptive large neighborhood search heuristic for Two-Echelon Vehicle Routing Problems arising in city logistics. </w:t>
      </w:r>
      <w:r w:rsidRPr="00855626">
        <w:rPr>
          <w:i/>
          <w:sz w:val="24"/>
          <w:szCs w:val="24"/>
        </w:rPr>
        <w:t>Computers and Operations Research,</w:t>
      </w:r>
      <w:r w:rsidRPr="00855626">
        <w:rPr>
          <w:sz w:val="24"/>
          <w:szCs w:val="24"/>
        </w:rPr>
        <w:t xml:space="preserve"> 39</w:t>
      </w:r>
      <w:r w:rsidRPr="00855626">
        <w:rPr>
          <w:b/>
          <w:sz w:val="24"/>
          <w:szCs w:val="24"/>
        </w:rPr>
        <w:t>,</w:t>
      </w:r>
      <w:r w:rsidRPr="00855626">
        <w:rPr>
          <w:sz w:val="24"/>
          <w:szCs w:val="24"/>
        </w:rPr>
        <w:t xml:space="preserve"> 3215-3228.</w:t>
      </w:r>
    </w:p>
    <w:p w14:paraId="1002EC44" w14:textId="77777777" w:rsidR="00E20B39" w:rsidRPr="00855626" w:rsidRDefault="00E20B39" w:rsidP="00E20B39">
      <w:pPr>
        <w:pStyle w:val="EndNoteBibliography"/>
        <w:ind w:left="720" w:hanging="720"/>
        <w:rPr>
          <w:sz w:val="24"/>
          <w:szCs w:val="24"/>
        </w:rPr>
      </w:pPr>
      <w:r w:rsidRPr="00855626">
        <w:rPr>
          <w:sz w:val="24"/>
          <w:szCs w:val="24"/>
        </w:rPr>
        <w:t xml:space="preserve">Hensher, D. A. &amp; Puckett, S. M. 2005. Refocusing the modelling of freight distribution: Development of an economic-based framework to evaluate supply chain behaviour in response to congestion charging. </w:t>
      </w:r>
      <w:r w:rsidRPr="00855626">
        <w:rPr>
          <w:i/>
          <w:sz w:val="24"/>
          <w:szCs w:val="24"/>
        </w:rPr>
        <w:t>Transportation,</w:t>
      </w:r>
      <w:r w:rsidRPr="00855626">
        <w:rPr>
          <w:sz w:val="24"/>
          <w:szCs w:val="24"/>
        </w:rPr>
        <w:t xml:space="preserve"> 32</w:t>
      </w:r>
      <w:r w:rsidRPr="00855626">
        <w:rPr>
          <w:b/>
          <w:sz w:val="24"/>
          <w:szCs w:val="24"/>
        </w:rPr>
        <w:t>,</w:t>
      </w:r>
      <w:r w:rsidRPr="00855626">
        <w:rPr>
          <w:sz w:val="24"/>
          <w:szCs w:val="24"/>
        </w:rPr>
        <w:t xml:space="preserve"> 573-602.</w:t>
      </w:r>
    </w:p>
    <w:p w14:paraId="25036A8F" w14:textId="77777777" w:rsidR="00E20B39" w:rsidRPr="00855626" w:rsidRDefault="00E20B39" w:rsidP="00E20B39">
      <w:pPr>
        <w:pStyle w:val="EndNoteBibliography"/>
        <w:ind w:left="720" w:hanging="720"/>
        <w:rPr>
          <w:sz w:val="24"/>
          <w:szCs w:val="24"/>
        </w:rPr>
      </w:pPr>
      <w:r w:rsidRPr="00855626">
        <w:rPr>
          <w:sz w:val="24"/>
          <w:szCs w:val="24"/>
        </w:rPr>
        <w:lastRenderedPageBreak/>
        <w:t xml:space="preserve">Hezarkhani, B., Slikker, M. &amp; Van Woensel, T. 2019. Gain-sharing in urban consolidation centers. </w:t>
      </w:r>
      <w:r w:rsidRPr="00855626">
        <w:rPr>
          <w:i/>
          <w:sz w:val="24"/>
          <w:szCs w:val="24"/>
        </w:rPr>
        <w:t>European Journal of Operational Research,</w:t>
      </w:r>
      <w:r w:rsidRPr="00855626">
        <w:rPr>
          <w:sz w:val="24"/>
          <w:szCs w:val="24"/>
        </w:rPr>
        <w:t xml:space="preserve"> 279</w:t>
      </w:r>
      <w:r w:rsidRPr="00855626">
        <w:rPr>
          <w:b/>
          <w:sz w:val="24"/>
          <w:szCs w:val="24"/>
        </w:rPr>
        <w:t>,</w:t>
      </w:r>
      <w:r w:rsidRPr="00855626">
        <w:rPr>
          <w:sz w:val="24"/>
          <w:szCs w:val="24"/>
        </w:rPr>
        <w:t xml:space="preserve"> 380-392.</w:t>
      </w:r>
    </w:p>
    <w:p w14:paraId="369458B1" w14:textId="77777777" w:rsidR="00E20B39" w:rsidRPr="00855626" w:rsidRDefault="00E20B39" w:rsidP="00E20B39">
      <w:pPr>
        <w:pStyle w:val="EndNoteBibliography"/>
        <w:ind w:left="720" w:hanging="720"/>
        <w:rPr>
          <w:sz w:val="24"/>
          <w:szCs w:val="24"/>
        </w:rPr>
      </w:pPr>
      <w:r w:rsidRPr="00855626">
        <w:rPr>
          <w:sz w:val="24"/>
          <w:szCs w:val="24"/>
        </w:rPr>
        <w:t>Hiohi, L., Burciu, S. &amp; Popa, M. 2015. COLLABORATIVE SYSTEMS IN URBAN LOGISTICS.</w:t>
      </w:r>
    </w:p>
    <w:p w14:paraId="54C6F4A4" w14:textId="77777777" w:rsidR="00E20B39" w:rsidRPr="00855626" w:rsidRDefault="00E20B39" w:rsidP="00E20B39">
      <w:pPr>
        <w:pStyle w:val="EndNoteBibliography"/>
        <w:ind w:left="720" w:hanging="720"/>
        <w:rPr>
          <w:sz w:val="24"/>
          <w:szCs w:val="24"/>
        </w:rPr>
      </w:pPr>
      <w:r w:rsidRPr="00855626">
        <w:rPr>
          <w:sz w:val="24"/>
          <w:szCs w:val="24"/>
        </w:rPr>
        <w:t xml:space="preserve">Holguín-Veras, J. 2012. Approximation model to estimate joint market share in off-hour deliveries: William H. Hart Professor. </w:t>
      </w:r>
      <w:r w:rsidRPr="00855626">
        <w:rPr>
          <w:i/>
          <w:sz w:val="24"/>
          <w:szCs w:val="24"/>
        </w:rPr>
        <w:t>Logistics Research,</w:t>
      </w:r>
      <w:r w:rsidRPr="00855626">
        <w:rPr>
          <w:sz w:val="24"/>
          <w:szCs w:val="24"/>
        </w:rPr>
        <w:t xml:space="preserve"> 4</w:t>
      </w:r>
      <w:r w:rsidRPr="00855626">
        <w:rPr>
          <w:b/>
          <w:sz w:val="24"/>
          <w:szCs w:val="24"/>
        </w:rPr>
        <w:t>,</w:t>
      </w:r>
      <w:r w:rsidRPr="00855626">
        <w:rPr>
          <w:sz w:val="24"/>
          <w:szCs w:val="24"/>
        </w:rPr>
        <w:t xml:space="preserve"> 101-110.</w:t>
      </w:r>
    </w:p>
    <w:p w14:paraId="2220BAF3" w14:textId="77777777" w:rsidR="00E20B39" w:rsidRPr="00855626" w:rsidRDefault="00E20B39" w:rsidP="00E20B39">
      <w:pPr>
        <w:pStyle w:val="EndNoteBibliography"/>
        <w:ind w:left="720" w:hanging="720"/>
        <w:rPr>
          <w:sz w:val="24"/>
          <w:szCs w:val="24"/>
        </w:rPr>
      </w:pPr>
      <w:r w:rsidRPr="00855626">
        <w:rPr>
          <w:sz w:val="24"/>
          <w:szCs w:val="24"/>
        </w:rPr>
        <w:t xml:space="preserve">Holguín-Veras, J., Encarnación, T., González-Calderón, C. A., Winebrake, J., Wang, C., Kyle, S., Herazo-Padilla, N., Kalahasthi, L., Adarme, W., Cantillo, V., Yoshizaki, H. &amp; Garrido, R. 2018. Direct impacts of off-hour deliveries on urban freight emissions. </w:t>
      </w:r>
      <w:r w:rsidRPr="00855626">
        <w:rPr>
          <w:i/>
          <w:sz w:val="24"/>
          <w:szCs w:val="24"/>
        </w:rPr>
        <w:t>Transportation Research Part D: Transport and Environment,</w:t>
      </w:r>
      <w:r w:rsidRPr="00855626">
        <w:rPr>
          <w:sz w:val="24"/>
          <w:szCs w:val="24"/>
        </w:rPr>
        <w:t xml:space="preserve"> 61</w:t>
      </w:r>
      <w:r w:rsidRPr="00855626">
        <w:rPr>
          <w:b/>
          <w:sz w:val="24"/>
          <w:szCs w:val="24"/>
        </w:rPr>
        <w:t>,</w:t>
      </w:r>
      <w:r w:rsidRPr="00855626">
        <w:rPr>
          <w:sz w:val="24"/>
          <w:szCs w:val="24"/>
        </w:rPr>
        <w:t xml:space="preserve"> 84-103.</w:t>
      </w:r>
    </w:p>
    <w:p w14:paraId="05D6DCCD" w14:textId="77777777" w:rsidR="00E20B39" w:rsidRPr="00855626" w:rsidRDefault="00E20B39" w:rsidP="00E20B39">
      <w:pPr>
        <w:pStyle w:val="EndNoteBibliography"/>
        <w:ind w:left="720" w:hanging="720"/>
        <w:rPr>
          <w:sz w:val="24"/>
          <w:szCs w:val="24"/>
        </w:rPr>
      </w:pPr>
      <w:r w:rsidRPr="00855626">
        <w:rPr>
          <w:sz w:val="24"/>
          <w:szCs w:val="24"/>
        </w:rPr>
        <w:t xml:space="preserve">Holguín-Veras, J. &amp; Sánchez-Díaz, I. 2016. Freight demand management and the potential of receiver-led consolidation programs. </w:t>
      </w:r>
      <w:r w:rsidRPr="00855626">
        <w:rPr>
          <w:i/>
          <w:sz w:val="24"/>
          <w:szCs w:val="24"/>
        </w:rPr>
        <w:t>Transportation Research Part A: Policy and Practice,</w:t>
      </w:r>
      <w:r w:rsidRPr="00855626">
        <w:rPr>
          <w:sz w:val="24"/>
          <w:szCs w:val="24"/>
        </w:rPr>
        <w:t xml:space="preserve"> 84</w:t>
      </w:r>
      <w:r w:rsidRPr="00855626">
        <w:rPr>
          <w:b/>
          <w:sz w:val="24"/>
          <w:szCs w:val="24"/>
        </w:rPr>
        <w:t>,</w:t>
      </w:r>
      <w:r w:rsidRPr="00855626">
        <w:rPr>
          <w:sz w:val="24"/>
          <w:szCs w:val="24"/>
        </w:rPr>
        <w:t xml:space="preserve"> 109-130.</w:t>
      </w:r>
    </w:p>
    <w:p w14:paraId="3C7CA49A" w14:textId="77777777" w:rsidR="00E20B39" w:rsidRPr="00855626" w:rsidRDefault="00E20B39" w:rsidP="00E20B39">
      <w:pPr>
        <w:pStyle w:val="EndNoteBibliography"/>
        <w:ind w:left="720" w:hanging="720"/>
        <w:rPr>
          <w:sz w:val="24"/>
          <w:szCs w:val="24"/>
        </w:rPr>
      </w:pPr>
      <w:r w:rsidRPr="00855626">
        <w:rPr>
          <w:sz w:val="24"/>
          <w:szCs w:val="24"/>
        </w:rPr>
        <w:t xml:space="preserve">Hyard, A. 2013. Non-technological innovations for sustainable transport. </w:t>
      </w:r>
      <w:r w:rsidRPr="00855626">
        <w:rPr>
          <w:i/>
          <w:sz w:val="24"/>
          <w:szCs w:val="24"/>
        </w:rPr>
        <w:t>Technological Forecasting and Social Change,</w:t>
      </w:r>
      <w:r w:rsidRPr="00855626">
        <w:rPr>
          <w:sz w:val="24"/>
          <w:szCs w:val="24"/>
        </w:rPr>
        <w:t xml:space="preserve"> 80</w:t>
      </w:r>
      <w:r w:rsidRPr="00855626">
        <w:rPr>
          <w:b/>
          <w:sz w:val="24"/>
          <w:szCs w:val="24"/>
        </w:rPr>
        <w:t>,</w:t>
      </w:r>
      <w:r w:rsidRPr="00855626">
        <w:rPr>
          <w:sz w:val="24"/>
          <w:szCs w:val="24"/>
        </w:rPr>
        <w:t xml:space="preserve"> 1375-1386.</w:t>
      </w:r>
    </w:p>
    <w:p w14:paraId="22C8B254" w14:textId="77777777" w:rsidR="00E20B39" w:rsidRPr="00855626" w:rsidRDefault="00E20B39" w:rsidP="00E20B39">
      <w:pPr>
        <w:pStyle w:val="EndNoteBibliography"/>
        <w:ind w:left="720" w:hanging="720"/>
        <w:rPr>
          <w:sz w:val="24"/>
          <w:szCs w:val="24"/>
        </w:rPr>
      </w:pPr>
      <w:r w:rsidRPr="00855626">
        <w:rPr>
          <w:sz w:val="24"/>
          <w:szCs w:val="24"/>
        </w:rPr>
        <w:t xml:space="preserve">Isea 1999. </w:t>
      </w:r>
      <w:r w:rsidRPr="00855626">
        <w:rPr>
          <w:i/>
          <w:sz w:val="24"/>
          <w:szCs w:val="24"/>
        </w:rPr>
        <w:t>Accountability 1000 (AA1000) Framework: Standard, Guidelines and Professional Qualification: Exposure Draft</w:t>
      </w:r>
      <w:r w:rsidRPr="00855626">
        <w:rPr>
          <w:sz w:val="24"/>
          <w:szCs w:val="24"/>
        </w:rPr>
        <w:t>, Institute of Social and Ethical Accountability.</w:t>
      </w:r>
    </w:p>
    <w:p w14:paraId="7EF0D507" w14:textId="77777777" w:rsidR="00E20B39" w:rsidRPr="00855626" w:rsidRDefault="00E20B39" w:rsidP="00E20B39">
      <w:pPr>
        <w:pStyle w:val="EndNoteBibliography"/>
        <w:ind w:left="720" w:hanging="720"/>
        <w:rPr>
          <w:sz w:val="24"/>
          <w:szCs w:val="24"/>
        </w:rPr>
      </w:pPr>
      <w:r w:rsidRPr="00855626">
        <w:rPr>
          <w:sz w:val="24"/>
          <w:szCs w:val="24"/>
        </w:rPr>
        <w:t xml:space="preserve">Ishizaka, A. &amp; Nemery, P. 2013. </w:t>
      </w:r>
      <w:r w:rsidRPr="00855626">
        <w:rPr>
          <w:i/>
          <w:sz w:val="24"/>
          <w:szCs w:val="24"/>
        </w:rPr>
        <w:t>Multi-criteria decision analysis: methods and software</w:t>
      </w:r>
      <w:r w:rsidRPr="00855626">
        <w:rPr>
          <w:sz w:val="24"/>
          <w:szCs w:val="24"/>
        </w:rPr>
        <w:t>, John Wiley &amp; Sons.</w:t>
      </w:r>
    </w:p>
    <w:p w14:paraId="0AC821D7" w14:textId="77777777" w:rsidR="00E20B39" w:rsidRPr="00855626" w:rsidRDefault="00E20B39" w:rsidP="00E20B39">
      <w:pPr>
        <w:pStyle w:val="EndNoteBibliography"/>
        <w:ind w:left="720" w:hanging="720"/>
        <w:rPr>
          <w:sz w:val="24"/>
          <w:szCs w:val="24"/>
        </w:rPr>
      </w:pPr>
      <w:r w:rsidRPr="00855626">
        <w:rPr>
          <w:sz w:val="24"/>
          <w:szCs w:val="24"/>
        </w:rPr>
        <w:t xml:space="preserve">Iwan, S., Kijewska, K., Johansen, B. G., Eidhammer, O., Małecki, K., Konicki, W. &amp; Thompson, R. G. 2018. Analysis of the environmental impacts of unloading bays based on cellular automata simulation. </w:t>
      </w:r>
      <w:r w:rsidRPr="00855626">
        <w:rPr>
          <w:i/>
          <w:sz w:val="24"/>
          <w:szCs w:val="24"/>
        </w:rPr>
        <w:t>Transportation Research Part D: Transport and Environment,</w:t>
      </w:r>
      <w:r w:rsidRPr="00855626">
        <w:rPr>
          <w:sz w:val="24"/>
          <w:szCs w:val="24"/>
        </w:rPr>
        <w:t xml:space="preserve"> 61</w:t>
      </w:r>
      <w:r w:rsidRPr="00855626">
        <w:rPr>
          <w:b/>
          <w:sz w:val="24"/>
          <w:szCs w:val="24"/>
        </w:rPr>
        <w:t>,</w:t>
      </w:r>
      <w:r w:rsidRPr="00855626">
        <w:rPr>
          <w:sz w:val="24"/>
          <w:szCs w:val="24"/>
        </w:rPr>
        <w:t xml:space="preserve"> 104-117.</w:t>
      </w:r>
    </w:p>
    <w:p w14:paraId="579BC0F8" w14:textId="77777777" w:rsidR="00E20B39" w:rsidRPr="00855626" w:rsidRDefault="00E20B39" w:rsidP="00E20B39">
      <w:pPr>
        <w:pStyle w:val="EndNoteBibliography"/>
        <w:ind w:left="720" w:hanging="720"/>
        <w:rPr>
          <w:sz w:val="24"/>
          <w:szCs w:val="24"/>
        </w:rPr>
      </w:pPr>
      <w:r w:rsidRPr="00855626">
        <w:rPr>
          <w:sz w:val="24"/>
          <w:szCs w:val="24"/>
        </w:rPr>
        <w:t xml:space="preserve">Jackson, M. C. 1993. Social Theory and Operational Research Practice. </w:t>
      </w:r>
      <w:r w:rsidRPr="00855626">
        <w:rPr>
          <w:i/>
          <w:sz w:val="24"/>
          <w:szCs w:val="24"/>
        </w:rPr>
        <w:t>Journal of the Operational Research Society,</w:t>
      </w:r>
      <w:r w:rsidRPr="00855626">
        <w:rPr>
          <w:sz w:val="24"/>
          <w:szCs w:val="24"/>
        </w:rPr>
        <w:t xml:space="preserve"> 44</w:t>
      </w:r>
      <w:r w:rsidRPr="00855626">
        <w:rPr>
          <w:b/>
          <w:sz w:val="24"/>
          <w:szCs w:val="24"/>
        </w:rPr>
        <w:t>,</w:t>
      </w:r>
      <w:r w:rsidRPr="00855626">
        <w:rPr>
          <w:sz w:val="24"/>
          <w:szCs w:val="24"/>
        </w:rPr>
        <w:t xml:space="preserve"> 563-577.</w:t>
      </w:r>
    </w:p>
    <w:p w14:paraId="72CB4BF8" w14:textId="77777777" w:rsidR="00E20B39" w:rsidRPr="00855626" w:rsidRDefault="00E20B39" w:rsidP="00E20B39">
      <w:pPr>
        <w:pStyle w:val="EndNoteBibliography"/>
        <w:ind w:left="720" w:hanging="720"/>
        <w:rPr>
          <w:sz w:val="24"/>
          <w:szCs w:val="24"/>
        </w:rPr>
      </w:pPr>
      <w:r w:rsidRPr="00855626">
        <w:rPr>
          <w:sz w:val="24"/>
          <w:szCs w:val="24"/>
        </w:rPr>
        <w:t xml:space="preserve">Jacobsen, S. K. &amp; Madsen, O. B. 1980. A comparative study of heuristics for a two-level routing-location problem. </w:t>
      </w:r>
      <w:r w:rsidRPr="00855626">
        <w:rPr>
          <w:i/>
          <w:sz w:val="24"/>
          <w:szCs w:val="24"/>
        </w:rPr>
        <w:t>European Journal of Operational Research,</w:t>
      </w:r>
      <w:r w:rsidRPr="00855626">
        <w:rPr>
          <w:sz w:val="24"/>
          <w:szCs w:val="24"/>
        </w:rPr>
        <w:t xml:space="preserve"> 5</w:t>
      </w:r>
      <w:r w:rsidRPr="00855626">
        <w:rPr>
          <w:b/>
          <w:sz w:val="24"/>
          <w:szCs w:val="24"/>
        </w:rPr>
        <w:t>,</w:t>
      </w:r>
      <w:r w:rsidRPr="00855626">
        <w:rPr>
          <w:sz w:val="24"/>
          <w:szCs w:val="24"/>
        </w:rPr>
        <w:t xml:space="preserve"> 378-387.</w:t>
      </w:r>
    </w:p>
    <w:p w14:paraId="6A7A6FA6" w14:textId="77777777" w:rsidR="00E20B39" w:rsidRPr="00855626" w:rsidRDefault="00E20B39" w:rsidP="00E20B39">
      <w:pPr>
        <w:pStyle w:val="EndNoteBibliography"/>
        <w:ind w:left="720" w:hanging="720"/>
        <w:rPr>
          <w:sz w:val="24"/>
          <w:szCs w:val="24"/>
        </w:rPr>
      </w:pPr>
      <w:r w:rsidRPr="00855626">
        <w:rPr>
          <w:sz w:val="24"/>
          <w:szCs w:val="24"/>
        </w:rPr>
        <w:t xml:space="preserve">Jacyna, M. 2013. The role of the cargo consolidation center in urban logistics system. </w:t>
      </w:r>
      <w:r w:rsidRPr="00855626">
        <w:rPr>
          <w:i/>
          <w:sz w:val="24"/>
          <w:szCs w:val="24"/>
        </w:rPr>
        <w:t>International Journal of Sustainable Development and Planning,</w:t>
      </w:r>
      <w:r w:rsidRPr="00855626">
        <w:rPr>
          <w:sz w:val="24"/>
          <w:szCs w:val="24"/>
        </w:rPr>
        <w:t xml:space="preserve"> 8</w:t>
      </w:r>
      <w:r w:rsidRPr="00855626">
        <w:rPr>
          <w:b/>
          <w:sz w:val="24"/>
          <w:szCs w:val="24"/>
        </w:rPr>
        <w:t>,</w:t>
      </w:r>
      <w:r w:rsidRPr="00855626">
        <w:rPr>
          <w:sz w:val="24"/>
          <w:szCs w:val="24"/>
        </w:rPr>
        <w:t xml:space="preserve"> 100-113.</w:t>
      </w:r>
    </w:p>
    <w:p w14:paraId="452FED97" w14:textId="77777777" w:rsidR="00E20B39" w:rsidRPr="00855626" w:rsidRDefault="00E20B39" w:rsidP="00E20B39">
      <w:pPr>
        <w:pStyle w:val="EndNoteBibliography"/>
        <w:ind w:left="720" w:hanging="720"/>
        <w:rPr>
          <w:sz w:val="24"/>
          <w:szCs w:val="24"/>
        </w:rPr>
      </w:pPr>
      <w:r w:rsidRPr="00855626">
        <w:rPr>
          <w:sz w:val="24"/>
          <w:szCs w:val="24"/>
        </w:rPr>
        <w:t xml:space="preserve">Jaller, M., Wang, X. C. &amp; Holguin-Veras, J. 2015. Large urban freight traffic generators: Opportunities for city logistics initiatives. </w:t>
      </w:r>
      <w:r w:rsidRPr="00855626">
        <w:rPr>
          <w:i/>
          <w:sz w:val="24"/>
          <w:szCs w:val="24"/>
        </w:rPr>
        <w:t>Journal of Transport and Land Use,</w:t>
      </w:r>
      <w:r w:rsidRPr="00855626">
        <w:rPr>
          <w:sz w:val="24"/>
          <w:szCs w:val="24"/>
        </w:rPr>
        <w:t xml:space="preserve"> 8</w:t>
      </w:r>
      <w:r w:rsidRPr="00855626">
        <w:rPr>
          <w:b/>
          <w:sz w:val="24"/>
          <w:szCs w:val="24"/>
        </w:rPr>
        <w:t>,</w:t>
      </w:r>
      <w:r w:rsidRPr="00855626">
        <w:rPr>
          <w:sz w:val="24"/>
          <w:szCs w:val="24"/>
        </w:rPr>
        <w:t xml:space="preserve"> 51-67.</w:t>
      </w:r>
    </w:p>
    <w:p w14:paraId="43817CAC" w14:textId="77777777" w:rsidR="00E20B39" w:rsidRPr="00855626" w:rsidRDefault="00E20B39" w:rsidP="00E20B39">
      <w:pPr>
        <w:pStyle w:val="EndNoteBibliography"/>
        <w:ind w:left="720" w:hanging="720"/>
        <w:rPr>
          <w:sz w:val="24"/>
          <w:szCs w:val="24"/>
        </w:rPr>
      </w:pPr>
      <w:r w:rsidRPr="00855626">
        <w:rPr>
          <w:sz w:val="24"/>
          <w:szCs w:val="24"/>
        </w:rPr>
        <w:t xml:space="preserve">Janjevic, M., Knoppen, D. &amp; Winkenbach, M. 2019. Integrated decision-making framework for urban freight logistics policy-making. </w:t>
      </w:r>
      <w:r w:rsidRPr="00855626">
        <w:rPr>
          <w:i/>
          <w:sz w:val="24"/>
          <w:szCs w:val="24"/>
        </w:rPr>
        <w:t>Transportation Research Part D: Transport and Environment,</w:t>
      </w:r>
      <w:r w:rsidRPr="00855626">
        <w:rPr>
          <w:sz w:val="24"/>
          <w:szCs w:val="24"/>
        </w:rPr>
        <w:t xml:space="preserve"> 72</w:t>
      </w:r>
      <w:r w:rsidRPr="00855626">
        <w:rPr>
          <w:b/>
          <w:sz w:val="24"/>
          <w:szCs w:val="24"/>
        </w:rPr>
        <w:t>,</w:t>
      </w:r>
      <w:r w:rsidRPr="00855626">
        <w:rPr>
          <w:sz w:val="24"/>
          <w:szCs w:val="24"/>
        </w:rPr>
        <w:t xml:space="preserve"> 333-357.</w:t>
      </w:r>
    </w:p>
    <w:p w14:paraId="7F6BDEBD" w14:textId="77777777" w:rsidR="00E20B39" w:rsidRPr="00855626" w:rsidRDefault="00E20B39" w:rsidP="00E20B39">
      <w:pPr>
        <w:pStyle w:val="EndNoteBibliography"/>
        <w:ind w:left="720" w:hanging="720"/>
        <w:rPr>
          <w:sz w:val="24"/>
          <w:szCs w:val="24"/>
        </w:rPr>
      </w:pPr>
      <w:r w:rsidRPr="00855626">
        <w:rPr>
          <w:sz w:val="24"/>
          <w:szCs w:val="24"/>
        </w:rPr>
        <w:lastRenderedPageBreak/>
        <w:t xml:space="preserve">Janjevic, M. &amp; Ndiaye, A. 2017a. Investigating the financial viability of urban consolidation centre projects. </w:t>
      </w:r>
      <w:r w:rsidRPr="00855626">
        <w:rPr>
          <w:i/>
          <w:sz w:val="24"/>
          <w:szCs w:val="24"/>
        </w:rPr>
        <w:t>Research in Transportation Business &amp; Management,</w:t>
      </w:r>
      <w:r w:rsidRPr="00855626">
        <w:rPr>
          <w:sz w:val="24"/>
          <w:szCs w:val="24"/>
        </w:rPr>
        <w:t xml:space="preserve"> 24</w:t>
      </w:r>
      <w:r w:rsidRPr="00855626">
        <w:rPr>
          <w:b/>
          <w:sz w:val="24"/>
          <w:szCs w:val="24"/>
        </w:rPr>
        <w:t>,</w:t>
      </w:r>
      <w:r w:rsidRPr="00855626">
        <w:rPr>
          <w:sz w:val="24"/>
          <w:szCs w:val="24"/>
        </w:rPr>
        <w:t xml:space="preserve"> 101-113.</w:t>
      </w:r>
    </w:p>
    <w:p w14:paraId="5EEF5AB9" w14:textId="77777777" w:rsidR="00E20B39" w:rsidRPr="00855626" w:rsidRDefault="00E20B39" w:rsidP="00E20B39">
      <w:pPr>
        <w:pStyle w:val="EndNoteBibliography"/>
        <w:ind w:left="720" w:hanging="720"/>
        <w:rPr>
          <w:sz w:val="24"/>
          <w:szCs w:val="24"/>
        </w:rPr>
      </w:pPr>
      <w:r w:rsidRPr="00855626">
        <w:rPr>
          <w:sz w:val="24"/>
          <w:szCs w:val="24"/>
        </w:rPr>
        <w:t xml:space="preserve">Janjevic, M. &amp; Ndiaye, A. 2017b. Investigating the theoretical cost-relationships of urban consolidation centres for their users. </w:t>
      </w:r>
      <w:r w:rsidRPr="00855626">
        <w:rPr>
          <w:i/>
          <w:sz w:val="24"/>
          <w:szCs w:val="24"/>
        </w:rPr>
        <w:t>Transportation Research Part A: Policy and Practice,</w:t>
      </w:r>
      <w:r w:rsidRPr="00855626">
        <w:rPr>
          <w:sz w:val="24"/>
          <w:szCs w:val="24"/>
        </w:rPr>
        <w:t xml:space="preserve"> 102</w:t>
      </w:r>
      <w:r w:rsidRPr="00855626">
        <w:rPr>
          <w:b/>
          <w:sz w:val="24"/>
          <w:szCs w:val="24"/>
        </w:rPr>
        <w:t>,</w:t>
      </w:r>
      <w:r w:rsidRPr="00855626">
        <w:rPr>
          <w:sz w:val="24"/>
          <w:szCs w:val="24"/>
        </w:rPr>
        <w:t xml:space="preserve"> 98-118.</w:t>
      </w:r>
    </w:p>
    <w:p w14:paraId="68E2F6A5" w14:textId="77777777" w:rsidR="00E20B39" w:rsidRPr="00855626" w:rsidRDefault="00E20B39" w:rsidP="00E20B39">
      <w:pPr>
        <w:pStyle w:val="EndNoteBibliography"/>
        <w:ind w:left="720" w:hanging="720"/>
        <w:rPr>
          <w:sz w:val="24"/>
          <w:szCs w:val="24"/>
        </w:rPr>
      </w:pPr>
      <w:r w:rsidRPr="00855626">
        <w:rPr>
          <w:sz w:val="24"/>
          <w:szCs w:val="24"/>
        </w:rPr>
        <w:t>Jarl, V. 2009. Congestion pricing in urban areas: theory and case studies.</w:t>
      </w:r>
    </w:p>
    <w:p w14:paraId="46BB4E60" w14:textId="77777777" w:rsidR="00E20B39" w:rsidRPr="00855626" w:rsidRDefault="00E20B39" w:rsidP="00E20B39">
      <w:pPr>
        <w:pStyle w:val="EndNoteBibliography"/>
        <w:ind w:left="720" w:hanging="720"/>
        <w:rPr>
          <w:sz w:val="24"/>
          <w:szCs w:val="24"/>
        </w:rPr>
      </w:pPr>
      <w:r w:rsidRPr="00855626">
        <w:rPr>
          <w:sz w:val="24"/>
          <w:szCs w:val="24"/>
        </w:rPr>
        <w:t xml:space="preserve">Jensen, M. C. 2002. Value Maximization, Stakeholder Theory, and the Corporate Objective Function. </w:t>
      </w:r>
      <w:r w:rsidRPr="00855626">
        <w:rPr>
          <w:i/>
          <w:sz w:val="24"/>
          <w:szCs w:val="24"/>
        </w:rPr>
        <w:t>Business Ethics Quarterly,</w:t>
      </w:r>
      <w:r w:rsidRPr="00855626">
        <w:rPr>
          <w:sz w:val="24"/>
          <w:szCs w:val="24"/>
        </w:rPr>
        <w:t xml:space="preserve"> 12</w:t>
      </w:r>
      <w:r w:rsidRPr="00855626">
        <w:rPr>
          <w:b/>
          <w:sz w:val="24"/>
          <w:szCs w:val="24"/>
        </w:rPr>
        <w:t>,</w:t>
      </w:r>
      <w:r w:rsidRPr="00855626">
        <w:rPr>
          <w:sz w:val="24"/>
          <w:szCs w:val="24"/>
        </w:rPr>
        <w:t xml:space="preserve"> 235-256.</w:t>
      </w:r>
    </w:p>
    <w:p w14:paraId="053ED827" w14:textId="77777777" w:rsidR="00E20B39" w:rsidRPr="00855626" w:rsidRDefault="00E20B39" w:rsidP="00E20B39">
      <w:pPr>
        <w:pStyle w:val="EndNoteBibliography"/>
        <w:ind w:left="720" w:hanging="720"/>
        <w:rPr>
          <w:sz w:val="24"/>
          <w:szCs w:val="24"/>
        </w:rPr>
      </w:pPr>
      <w:r w:rsidRPr="00855626">
        <w:rPr>
          <w:sz w:val="24"/>
          <w:szCs w:val="24"/>
        </w:rPr>
        <w:t xml:space="preserve">Jones Jr, S. L. &amp; Turner, D. S. 2004. Identification of common issues facing intermodal transportation planning. </w:t>
      </w:r>
      <w:r w:rsidRPr="00855626">
        <w:rPr>
          <w:i/>
          <w:sz w:val="24"/>
          <w:szCs w:val="24"/>
        </w:rPr>
        <w:t>ITE Journal (Institute of Transportation Engineers),</w:t>
      </w:r>
      <w:r w:rsidRPr="00855626">
        <w:rPr>
          <w:sz w:val="24"/>
          <w:szCs w:val="24"/>
        </w:rPr>
        <w:t xml:space="preserve"> 74</w:t>
      </w:r>
      <w:r w:rsidRPr="00855626">
        <w:rPr>
          <w:b/>
          <w:sz w:val="24"/>
          <w:szCs w:val="24"/>
        </w:rPr>
        <w:t>,</w:t>
      </w:r>
      <w:r w:rsidRPr="00855626">
        <w:rPr>
          <w:sz w:val="24"/>
          <w:szCs w:val="24"/>
        </w:rPr>
        <w:t xml:space="preserve"> 30-39.</w:t>
      </w:r>
    </w:p>
    <w:p w14:paraId="6CEF91BE" w14:textId="77777777" w:rsidR="00E20B39" w:rsidRPr="00855626" w:rsidRDefault="00E20B39" w:rsidP="00E20B39">
      <w:pPr>
        <w:pStyle w:val="EndNoteBibliography"/>
        <w:ind w:left="720" w:hanging="720"/>
        <w:rPr>
          <w:sz w:val="24"/>
          <w:szCs w:val="24"/>
        </w:rPr>
      </w:pPr>
      <w:r w:rsidRPr="00855626">
        <w:rPr>
          <w:sz w:val="24"/>
          <w:szCs w:val="24"/>
        </w:rPr>
        <w:t xml:space="preserve">Katsela, K. &amp; Browne, M. 2019. Importance of the stakeholders' interaction: Comparative, longitudinal study of two city logistics initiatives. </w:t>
      </w:r>
      <w:r w:rsidRPr="00855626">
        <w:rPr>
          <w:i/>
          <w:sz w:val="24"/>
          <w:szCs w:val="24"/>
        </w:rPr>
        <w:t>Sustainability (Switzerland),</w:t>
      </w:r>
      <w:r w:rsidRPr="00855626">
        <w:rPr>
          <w:sz w:val="24"/>
          <w:szCs w:val="24"/>
        </w:rPr>
        <w:t xml:space="preserve"> 11.</w:t>
      </w:r>
    </w:p>
    <w:p w14:paraId="7FFB69DF" w14:textId="77777777" w:rsidR="00E20B39" w:rsidRPr="00855626" w:rsidRDefault="00E20B39" w:rsidP="00E20B39">
      <w:pPr>
        <w:pStyle w:val="EndNoteBibliography"/>
        <w:ind w:left="720" w:hanging="720"/>
        <w:rPr>
          <w:sz w:val="24"/>
          <w:szCs w:val="24"/>
        </w:rPr>
      </w:pPr>
      <w:r w:rsidRPr="00855626">
        <w:rPr>
          <w:sz w:val="24"/>
          <w:szCs w:val="24"/>
        </w:rPr>
        <w:t xml:space="preserve">Kiba-Janiak, M. 2016. Key Success Factors for City Logistics from the Perspective of Various Groups of Stakeholders. </w:t>
      </w:r>
      <w:r w:rsidRPr="00855626">
        <w:rPr>
          <w:i/>
          <w:sz w:val="24"/>
          <w:szCs w:val="24"/>
        </w:rPr>
        <w:t>Transportation Research Procedia,</w:t>
      </w:r>
      <w:r w:rsidRPr="00855626">
        <w:rPr>
          <w:sz w:val="24"/>
          <w:szCs w:val="24"/>
        </w:rPr>
        <w:t xml:space="preserve"> 12</w:t>
      </w:r>
      <w:r w:rsidRPr="00855626">
        <w:rPr>
          <w:b/>
          <w:sz w:val="24"/>
          <w:szCs w:val="24"/>
        </w:rPr>
        <w:t>,</w:t>
      </w:r>
      <w:r w:rsidRPr="00855626">
        <w:rPr>
          <w:sz w:val="24"/>
          <w:szCs w:val="24"/>
        </w:rPr>
        <w:t xml:space="preserve"> 557-569.</w:t>
      </w:r>
    </w:p>
    <w:p w14:paraId="41B4F3EF" w14:textId="77777777" w:rsidR="00E20B39" w:rsidRPr="00855626" w:rsidRDefault="00E20B39" w:rsidP="00E20B39">
      <w:pPr>
        <w:pStyle w:val="EndNoteBibliography"/>
        <w:ind w:left="720" w:hanging="720"/>
        <w:rPr>
          <w:sz w:val="24"/>
          <w:szCs w:val="24"/>
        </w:rPr>
      </w:pPr>
      <w:r w:rsidRPr="00855626">
        <w:rPr>
          <w:sz w:val="24"/>
          <w:szCs w:val="24"/>
        </w:rPr>
        <w:t xml:space="preserve">Kijewska, K., Torbacki, W. &amp; Iwan, S. 2018. Application of AHP and DEMATEL methods in choosing and analysing the measures for the distribution of goods in Szczecin region. </w:t>
      </w:r>
      <w:r w:rsidRPr="00855626">
        <w:rPr>
          <w:i/>
          <w:sz w:val="24"/>
          <w:szCs w:val="24"/>
        </w:rPr>
        <w:t>Sustainability (Switzerland),</w:t>
      </w:r>
      <w:r w:rsidRPr="00855626">
        <w:rPr>
          <w:sz w:val="24"/>
          <w:szCs w:val="24"/>
        </w:rPr>
        <w:t xml:space="preserve"> 10.</w:t>
      </w:r>
    </w:p>
    <w:p w14:paraId="2DEC1690" w14:textId="77777777" w:rsidR="00E20B39" w:rsidRPr="00855626" w:rsidRDefault="00E20B39" w:rsidP="00E20B39">
      <w:pPr>
        <w:pStyle w:val="EndNoteBibliography"/>
        <w:ind w:left="720" w:hanging="720"/>
        <w:rPr>
          <w:sz w:val="24"/>
          <w:szCs w:val="24"/>
        </w:rPr>
      </w:pPr>
      <w:r w:rsidRPr="00855626">
        <w:rPr>
          <w:sz w:val="24"/>
          <w:szCs w:val="24"/>
        </w:rPr>
        <w:t xml:space="preserve">Kim, G., Ong, Y.-S., Heng, C. K., Tan, P. S. &amp; Zhang, N. A. 2015. City vehicle routing problem (city VRP): A review. </w:t>
      </w:r>
      <w:r w:rsidRPr="00855626">
        <w:rPr>
          <w:i/>
          <w:sz w:val="24"/>
          <w:szCs w:val="24"/>
        </w:rPr>
        <w:t>IEEE Transactions on Intelligent Transportation Systems,</w:t>
      </w:r>
      <w:r w:rsidRPr="00855626">
        <w:rPr>
          <w:sz w:val="24"/>
          <w:szCs w:val="24"/>
        </w:rPr>
        <w:t xml:space="preserve"> 16</w:t>
      </w:r>
      <w:r w:rsidRPr="00855626">
        <w:rPr>
          <w:b/>
          <w:sz w:val="24"/>
          <w:szCs w:val="24"/>
        </w:rPr>
        <w:t>,</w:t>
      </w:r>
      <w:r w:rsidRPr="00855626">
        <w:rPr>
          <w:sz w:val="24"/>
          <w:szCs w:val="24"/>
        </w:rPr>
        <w:t xml:space="preserve"> 1654-1666.</w:t>
      </w:r>
    </w:p>
    <w:p w14:paraId="5A8EFB82" w14:textId="77777777" w:rsidR="00E20B39" w:rsidRPr="00855626" w:rsidRDefault="00E20B39" w:rsidP="00E20B39">
      <w:pPr>
        <w:pStyle w:val="EndNoteBibliography"/>
        <w:ind w:left="720" w:hanging="720"/>
        <w:rPr>
          <w:sz w:val="24"/>
          <w:szCs w:val="24"/>
        </w:rPr>
      </w:pPr>
      <w:r w:rsidRPr="00855626">
        <w:rPr>
          <w:sz w:val="24"/>
          <w:szCs w:val="24"/>
        </w:rPr>
        <w:t xml:space="preserve">Kin, B., Spoor, J., Verlinde, S., Macharis, C. &amp; Van Woensel, T. 2018. Modelling alternative distribution set-ups for fragmented last mile transport: Towards more efficient and sustainable urban freight transport. </w:t>
      </w:r>
      <w:r w:rsidRPr="00855626">
        <w:rPr>
          <w:i/>
          <w:sz w:val="24"/>
          <w:szCs w:val="24"/>
        </w:rPr>
        <w:t>Case Studies on Transport Policy,</w:t>
      </w:r>
      <w:r w:rsidRPr="00855626">
        <w:rPr>
          <w:sz w:val="24"/>
          <w:szCs w:val="24"/>
        </w:rPr>
        <w:t xml:space="preserve"> 6</w:t>
      </w:r>
      <w:r w:rsidRPr="00855626">
        <w:rPr>
          <w:b/>
          <w:sz w:val="24"/>
          <w:szCs w:val="24"/>
        </w:rPr>
        <w:t>,</w:t>
      </w:r>
      <w:r w:rsidRPr="00855626">
        <w:rPr>
          <w:sz w:val="24"/>
          <w:szCs w:val="24"/>
        </w:rPr>
        <w:t xml:space="preserve"> 125-132.</w:t>
      </w:r>
    </w:p>
    <w:p w14:paraId="52291344" w14:textId="77777777" w:rsidR="00E20B39" w:rsidRPr="00855626" w:rsidRDefault="00E20B39" w:rsidP="00E20B39">
      <w:pPr>
        <w:pStyle w:val="EndNoteBibliography"/>
        <w:ind w:left="720" w:hanging="720"/>
        <w:rPr>
          <w:sz w:val="24"/>
          <w:szCs w:val="24"/>
        </w:rPr>
      </w:pPr>
      <w:r w:rsidRPr="00855626">
        <w:rPr>
          <w:sz w:val="24"/>
          <w:szCs w:val="24"/>
        </w:rPr>
        <w:t xml:space="preserve">Kin, B., Verlinde, S., Mommens, K. &amp; Macharis, C. 2017. A stakeholder-based methodology to enhance the success of urban freight transport measures in a multi-level governance context. </w:t>
      </w:r>
      <w:r w:rsidRPr="00855626">
        <w:rPr>
          <w:i/>
          <w:sz w:val="24"/>
          <w:szCs w:val="24"/>
        </w:rPr>
        <w:t>Research in Transportation Economics,</w:t>
      </w:r>
      <w:r w:rsidRPr="00855626">
        <w:rPr>
          <w:sz w:val="24"/>
          <w:szCs w:val="24"/>
        </w:rPr>
        <w:t xml:space="preserve"> 65</w:t>
      </w:r>
      <w:r w:rsidRPr="00855626">
        <w:rPr>
          <w:b/>
          <w:sz w:val="24"/>
          <w:szCs w:val="24"/>
        </w:rPr>
        <w:t>,</w:t>
      </w:r>
      <w:r w:rsidRPr="00855626">
        <w:rPr>
          <w:sz w:val="24"/>
          <w:szCs w:val="24"/>
        </w:rPr>
        <w:t xml:space="preserve"> 10-23.</w:t>
      </w:r>
    </w:p>
    <w:p w14:paraId="76CCC521" w14:textId="77777777" w:rsidR="00E20B39" w:rsidRPr="00855626" w:rsidRDefault="00E20B39" w:rsidP="00E20B39">
      <w:pPr>
        <w:pStyle w:val="EndNoteBibliography"/>
        <w:ind w:left="720" w:hanging="720"/>
        <w:rPr>
          <w:sz w:val="24"/>
          <w:szCs w:val="24"/>
        </w:rPr>
      </w:pPr>
      <w:r w:rsidRPr="00855626">
        <w:rPr>
          <w:sz w:val="24"/>
          <w:szCs w:val="24"/>
        </w:rPr>
        <w:t xml:space="preserve">Kin, B., Verlinde, S., Van Lier, T. &amp; Macharis, C. 2016. Is there Life After Subsidy for an Urban Consolidation Centre? An Investigation of the Total Costs and Benefits of a Privately-initiated Concept. </w:t>
      </w:r>
      <w:r w:rsidRPr="00855626">
        <w:rPr>
          <w:i/>
          <w:sz w:val="24"/>
          <w:szCs w:val="24"/>
        </w:rPr>
        <w:t>Transportation Research Procedia,</w:t>
      </w:r>
      <w:r w:rsidRPr="00855626">
        <w:rPr>
          <w:sz w:val="24"/>
          <w:szCs w:val="24"/>
        </w:rPr>
        <w:t xml:space="preserve"> 12</w:t>
      </w:r>
      <w:r w:rsidRPr="00855626">
        <w:rPr>
          <w:b/>
          <w:sz w:val="24"/>
          <w:szCs w:val="24"/>
        </w:rPr>
        <w:t>,</w:t>
      </w:r>
      <w:r w:rsidRPr="00855626">
        <w:rPr>
          <w:sz w:val="24"/>
          <w:szCs w:val="24"/>
        </w:rPr>
        <w:t xml:space="preserve"> 357-369.</w:t>
      </w:r>
    </w:p>
    <w:p w14:paraId="4ECBE5B7" w14:textId="77777777" w:rsidR="00E20B39" w:rsidRPr="00855626" w:rsidRDefault="00E20B39" w:rsidP="00E20B39">
      <w:pPr>
        <w:pStyle w:val="EndNoteBibliography"/>
        <w:ind w:left="720" w:hanging="720"/>
        <w:rPr>
          <w:sz w:val="24"/>
          <w:szCs w:val="24"/>
        </w:rPr>
      </w:pPr>
      <w:r w:rsidRPr="00855626">
        <w:rPr>
          <w:sz w:val="24"/>
          <w:szCs w:val="24"/>
        </w:rPr>
        <w:t xml:space="preserve">Koç, Ç., Bektaş, T., Jabali, O. &amp; Laporte, G. 2016. The impact of depot location, fleet composition and routing on emissions in city logistics. </w:t>
      </w:r>
      <w:r w:rsidRPr="00855626">
        <w:rPr>
          <w:i/>
          <w:sz w:val="24"/>
          <w:szCs w:val="24"/>
        </w:rPr>
        <w:t>Transportation Research Part B: Methodological,</w:t>
      </w:r>
      <w:r w:rsidRPr="00855626">
        <w:rPr>
          <w:sz w:val="24"/>
          <w:szCs w:val="24"/>
        </w:rPr>
        <w:t xml:space="preserve"> 84</w:t>
      </w:r>
      <w:r w:rsidRPr="00855626">
        <w:rPr>
          <w:b/>
          <w:sz w:val="24"/>
          <w:szCs w:val="24"/>
        </w:rPr>
        <w:t>,</w:t>
      </w:r>
      <w:r w:rsidRPr="00855626">
        <w:rPr>
          <w:sz w:val="24"/>
          <w:szCs w:val="24"/>
        </w:rPr>
        <w:t xml:space="preserve"> 81-102.</w:t>
      </w:r>
    </w:p>
    <w:p w14:paraId="5C7A25B8" w14:textId="77777777" w:rsidR="00E20B39" w:rsidRPr="00855626" w:rsidRDefault="00E20B39" w:rsidP="00E20B39">
      <w:pPr>
        <w:pStyle w:val="EndNoteBibliography"/>
        <w:ind w:left="720" w:hanging="720"/>
        <w:rPr>
          <w:sz w:val="24"/>
          <w:szCs w:val="24"/>
        </w:rPr>
      </w:pPr>
      <w:r w:rsidRPr="00855626">
        <w:rPr>
          <w:sz w:val="24"/>
          <w:szCs w:val="24"/>
        </w:rPr>
        <w:t xml:space="preserve">Kurnia, S. &amp; Johnston, R. B. 2001. Adoption of efficient consumer response: the issue of mutuality. </w:t>
      </w:r>
      <w:r w:rsidRPr="00855626">
        <w:rPr>
          <w:i/>
          <w:sz w:val="24"/>
          <w:szCs w:val="24"/>
        </w:rPr>
        <w:t>Supply Chain Management: An International Journal,</w:t>
      </w:r>
      <w:r w:rsidRPr="00855626">
        <w:rPr>
          <w:sz w:val="24"/>
          <w:szCs w:val="24"/>
        </w:rPr>
        <w:t xml:space="preserve"> 6</w:t>
      </w:r>
      <w:r w:rsidRPr="00855626">
        <w:rPr>
          <w:b/>
          <w:sz w:val="24"/>
          <w:szCs w:val="24"/>
        </w:rPr>
        <w:t>,</w:t>
      </w:r>
      <w:r w:rsidRPr="00855626">
        <w:rPr>
          <w:sz w:val="24"/>
          <w:szCs w:val="24"/>
        </w:rPr>
        <w:t xml:space="preserve"> 230-241.</w:t>
      </w:r>
    </w:p>
    <w:p w14:paraId="5CD9F6F6" w14:textId="77777777" w:rsidR="00E20B39" w:rsidRPr="00855626" w:rsidRDefault="00E20B39" w:rsidP="00E20B39">
      <w:pPr>
        <w:pStyle w:val="EndNoteBibliography"/>
        <w:ind w:left="720" w:hanging="720"/>
        <w:rPr>
          <w:sz w:val="24"/>
          <w:szCs w:val="24"/>
        </w:rPr>
      </w:pPr>
      <w:r w:rsidRPr="00855626">
        <w:rPr>
          <w:sz w:val="24"/>
          <w:szCs w:val="24"/>
        </w:rPr>
        <w:lastRenderedPageBreak/>
        <w:t xml:space="preserve">Lagorio, A., Pinto, R. &amp; Golini, R. 2016. Research in urban logistics: a systematic literature review. </w:t>
      </w:r>
      <w:r w:rsidRPr="00855626">
        <w:rPr>
          <w:i/>
          <w:sz w:val="24"/>
          <w:szCs w:val="24"/>
        </w:rPr>
        <w:t>International Journal of Physical Distribution &amp; Logistics Management,</w:t>
      </w:r>
      <w:r w:rsidRPr="00855626">
        <w:rPr>
          <w:sz w:val="24"/>
          <w:szCs w:val="24"/>
        </w:rPr>
        <w:t xml:space="preserve"> 46</w:t>
      </w:r>
      <w:r w:rsidRPr="00855626">
        <w:rPr>
          <w:b/>
          <w:sz w:val="24"/>
          <w:szCs w:val="24"/>
        </w:rPr>
        <w:t>,</w:t>
      </w:r>
      <w:r w:rsidRPr="00855626">
        <w:rPr>
          <w:sz w:val="24"/>
          <w:szCs w:val="24"/>
        </w:rPr>
        <w:t xml:space="preserve"> 908-931.</w:t>
      </w:r>
    </w:p>
    <w:p w14:paraId="507E08D2" w14:textId="77777777" w:rsidR="00E20B39" w:rsidRPr="00855626" w:rsidRDefault="00E20B39" w:rsidP="00E20B39">
      <w:pPr>
        <w:pStyle w:val="EndNoteBibliography"/>
        <w:ind w:left="720" w:hanging="720"/>
        <w:rPr>
          <w:sz w:val="24"/>
          <w:szCs w:val="24"/>
        </w:rPr>
      </w:pPr>
      <w:r w:rsidRPr="00855626">
        <w:rPr>
          <w:sz w:val="24"/>
          <w:szCs w:val="24"/>
        </w:rPr>
        <w:t xml:space="preserve">Lambert, D. M., Emmelhainz, M. A. &amp; Gardner, J. T. 1999. Building successful logistics partnerships. </w:t>
      </w:r>
      <w:r w:rsidRPr="00855626">
        <w:rPr>
          <w:i/>
          <w:sz w:val="24"/>
          <w:szCs w:val="24"/>
        </w:rPr>
        <w:t>Journal of business logistics,</w:t>
      </w:r>
      <w:r w:rsidRPr="00855626">
        <w:rPr>
          <w:sz w:val="24"/>
          <w:szCs w:val="24"/>
        </w:rPr>
        <w:t xml:space="preserve"> 20</w:t>
      </w:r>
      <w:r w:rsidRPr="00855626">
        <w:rPr>
          <w:b/>
          <w:sz w:val="24"/>
          <w:szCs w:val="24"/>
        </w:rPr>
        <w:t>,</w:t>
      </w:r>
      <w:r w:rsidRPr="00855626">
        <w:rPr>
          <w:sz w:val="24"/>
          <w:szCs w:val="24"/>
        </w:rPr>
        <w:t xml:space="preserve"> 165.</w:t>
      </w:r>
    </w:p>
    <w:p w14:paraId="590B2E60" w14:textId="77777777" w:rsidR="00E20B39" w:rsidRPr="00855626" w:rsidRDefault="00E20B39" w:rsidP="00E20B39">
      <w:pPr>
        <w:pStyle w:val="EndNoteBibliography"/>
        <w:ind w:left="720" w:hanging="720"/>
        <w:rPr>
          <w:sz w:val="24"/>
          <w:szCs w:val="24"/>
        </w:rPr>
      </w:pPr>
      <w:r w:rsidRPr="00855626">
        <w:rPr>
          <w:sz w:val="24"/>
          <w:szCs w:val="24"/>
        </w:rPr>
        <w:t xml:space="preserve">Laporte, G. 1992. The vehicle routing problem: An overview of exact and approximate algorithms. </w:t>
      </w:r>
      <w:r w:rsidRPr="00855626">
        <w:rPr>
          <w:i/>
          <w:sz w:val="24"/>
          <w:szCs w:val="24"/>
        </w:rPr>
        <w:t>European journal of operational research,</w:t>
      </w:r>
      <w:r w:rsidRPr="00855626">
        <w:rPr>
          <w:sz w:val="24"/>
          <w:szCs w:val="24"/>
        </w:rPr>
        <w:t xml:space="preserve"> 59</w:t>
      </w:r>
      <w:r w:rsidRPr="00855626">
        <w:rPr>
          <w:b/>
          <w:sz w:val="24"/>
          <w:szCs w:val="24"/>
        </w:rPr>
        <w:t>,</w:t>
      </w:r>
      <w:r w:rsidRPr="00855626">
        <w:rPr>
          <w:sz w:val="24"/>
          <w:szCs w:val="24"/>
        </w:rPr>
        <w:t xml:space="preserve"> 345-358.</w:t>
      </w:r>
    </w:p>
    <w:p w14:paraId="4F2A077C" w14:textId="77777777" w:rsidR="00E20B39" w:rsidRPr="00855626" w:rsidRDefault="00E20B39" w:rsidP="00E20B39">
      <w:pPr>
        <w:pStyle w:val="EndNoteBibliography"/>
        <w:ind w:left="720" w:hanging="720"/>
        <w:rPr>
          <w:sz w:val="24"/>
          <w:szCs w:val="24"/>
        </w:rPr>
      </w:pPr>
      <w:r w:rsidRPr="00855626">
        <w:rPr>
          <w:sz w:val="24"/>
          <w:szCs w:val="24"/>
        </w:rPr>
        <w:t xml:space="preserve">Le Pira, M., Inturri, G., Ignaccolo, M. &amp; Pluchino, A. Dealing with the Complexity of Stakeholder Interaction in Participatory Transport Planning. </w:t>
      </w:r>
      <w:r w:rsidRPr="00855626">
        <w:rPr>
          <w:i/>
          <w:sz w:val="24"/>
          <w:szCs w:val="24"/>
        </w:rPr>
        <w:t xml:space="preserve">In: </w:t>
      </w:r>
      <w:r w:rsidRPr="00855626">
        <w:rPr>
          <w:sz w:val="24"/>
          <w:szCs w:val="24"/>
        </w:rPr>
        <w:t>ŻAK, J., HADAS, Y. &amp; ROSSI, R., eds. Advanced Concepts, Methodologies and Technologies for Transportation and Logistics, 2018// 2018 Cham. Springer International Publishing, 54-72.</w:t>
      </w:r>
    </w:p>
    <w:p w14:paraId="71BB77AB" w14:textId="77777777" w:rsidR="00E20B39" w:rsidRPr="00855626" w:rsidRDefault="00E20B39" w:rsidP="00E20B39">
      <w:pPr>
        <w:pStyle w:val="EndNoteBibliography"/>
        <w:ind w:left="720" w:hanging="720"/>
        <w:rPr>
          <w:sz w:val="24"/>
          <w:szCs w:val="24"/>
        </w:rPr>
      </w:pPr>
      <w:r w:rsidRPr="00855626">
        <w:rPr>
          <w:sz w:val="24"/>
          <w:szCs w:val="24"/>
        </w:rPr>
        <w:t xml:space="preserve">Lebeau, P., De Cauwer, C., Van Mierlo, J., Macharis, C., Verbeke, W. &amp; Coosemans, T. 2015. Conventional, hybrid, or electric vehicles: which technology for an urban distribution centre? </w:t>
      </w:r>
      <w:r w:rsidRPr="00855626">
        <w:rPr>
          <w:i/>
          <w:sz w:val="24"/>
          <w:szCs w:val="24"/>
        </w:rPr>
        <w:t>The Scientific World Journal,</w:t>
      </w:r>
      <w:r w:rsidRPr="00855626">
        <w:rPr>
          <w:sz w:val="24"/>
          <w:szCs w:val="24"/>
        </w:rPr>
        <w:t xml:space="preserve"> 2015.</w:t>
      </w:r>
    </w:p>
    <w:p w14:paraId="4F22C5CB" w14:textId="77777777" w:rsidR="00E20B39" w:rsidRPr="00855626" w:rsidRDefault="00E20B39" w:rsidP="00E20B39">
      <w:pPr>
        <w:pStyle w:val="EndNoteBibliography"/>
        <w:ind w:left="720" w:hanging="720"/>
        <w:rPr>
          <w:sz w:val="24"/>
          <w:szCs w:val="24"/>
        </w:rPr>
      </w:pPr>
      <w:r w:rsidRPr="00855626">
        <w:rPr>
          <w:sz w:val="24"/>
          <w:szCs w:val="24"/>
        </w:rPr>
        <w:t xml:space="preserve">Lebeau, P., Macharis, C. &amp; Van Mierlo, J. 2016. Exploring the choice of battery electric vehicles in city logistics: A conjoint-based choice analysis. </w:t>
      </w:r>
      <w:r w:rsidRPr="00855626">
        <w:rPr>
          <w:i/>
          <w:sz w:val="24"/>
          <w:szCs w:val="24"/>
        </w:rPr>
        <w:t>Transportation Research Part E: Logistics and Transportation Review,</w:t>
      </w:r>
      <w:r w:rsidRPr="00855626">
        <w:rPr>
          <w:sz w:val="24"/>
          <w:szCs w:val="24"/>
        </w:rPr>
        <w:t xml:space="preserve"> 91</w:t>
      </w:r>
      <w:r w:rsidRPr="00855626">
        <w:rPr>
          <w:b/>
          <w:sz w:val="24"/>
          <w:szCs w:val="24"/>
        </w:rPr>
        <w:t>,</w:t>
      </w:r>
      <w:r w:rsidRPr="00855626">
        <w:rPr>
          <w:sz w:val="24"/>
          <w:szCs w:val="24"/>
        </w:rPr>
        <w:t xml:space="preserve"> 245-258.</w:t>
      </w:r>
    </w:p>
    <w:p w14:paraId="31BCA8CD" w14:textId="77777777" w:rsidR="00E20B39" w:rsidRPr="00855626" w:rsidRDefault="00E20B39" w:rsidP="00E20B39">
      <w:pPr>
        <w:pStyle w:val="EndNoteBibliography"/>
        <w:ind w:left="720" w:hanging="720"/>
        <w:rPr>
          <w:sz w:val="24"/>
          <w:szCs w:val="24"/>
        </w:rPr>
      </w:pPr>
      <w:r w:rsidRPr="00855626">
        <w:rPr>
          <w:sz w:val="24"/>
          <w:szCs w:val="24"/>
        </w:rPr>
        <w:t xml:space="preserve">Lebeau, P., Macharis, C., Van Mierlo, J. &amp; Janjevic, M. 2018. Improving policy support in city logistics: The contributions of a multi-actor multi-criteria analysis. </w:t>
      </w:r>
      <w:r w:rsidRPr="00855626">
        <w:rPr>
          <w:i/>
          <w:sz w:val="24"/>
          <w:szCs w:val="24"/>
        </w:rPr>
        <w:t>Case Studies on Transport Policy,</w:t>
      </w:r>
      <w:r w:rsidRPr="00855626">
        <w:rPr>
          <w:sz w:val="24"/>
          <w:szCs w:val="24"/>
        </w:rPr>
        <w:t xml:space="preserve"> 6</w:t>
      </w:r>
      <w:r w:rsidRPr="00855626">
        <w:rPr>
          <w:b/>
          <w:sz w:val="24"/>
          <w:szCs w:val="24"/>
        </w:rPr>
        <w:t>,</w:t>
      </w:r>
      <w:r w:rsidRPr="00855626">
        <w:rPr>
          <w:sz w:val="24"/>
          <w:szCs w:val="24"/>
        </w:rPr>
        <w:t xml:space="preserve"> 554-563.</w:t>
      </w:r>
    </w:p>
    <w:p w14:paraId="255CE65D" w14:textId="77777777" w:rsidR="00E20B39" w:rsidRPr="00855626" w:rsidRDefault="00E20B39" w:rsidP="00E20B39">
      <w:pPr>
        <w:pStyle w:val="EndNoteBibliography"/>
        <w:ind w:left="720" w:hanging="720"/>
        <w:rPr>
          <w:sz w:val="24"/>
          <w:szCs w:val="24"/>
        </w:rPr>
      </w:pPr>
      <w:r w:rsidRPr="00855626">
        <w:rPr>
          <w:sz w:val="24"/>
          <w:szCs w:val="24"/>
        </w:rPr>
        <w:t xml:space="preserve">Lebeau, P., Verlinde, S., Macharis, C. &amp; Van Mierlo, J. 2017. How can authorities support urban consolidation centres? A review of the accompanying measures. </w:t>
      </w:r>
      <w:r w:rsidRPr="00855626">
        <w:rPr>
          <w:i/>
          <w:sz w:val="24"/>
          <w:szCs w:val="24"/>
        </w:rPr>
        <w:t>Journal of Urbanism,</w:t>
      </w:r>
      <w:r w:rsidRPr="00855626">
        <w:rPr>
          <w:sz w:val="24"/>
          <w:szCs w:val="24"/>
        </w:rPr>
        <w:t xml:space="preserve"> 10</w:t>
      </w:r>
      <w:r w:rsidRPr="00855626">
        <w:rPr>
          <w:b/>
          <w:sz w:val="24"/>
          <w:szCs w:val="24"/>
        </w:rPr>
        <w:t>,</w:t>
      </w:r>
      <w:r w:rsidRPr="00855626">
        <w:rPr>
          <w:sz w:val="24"/>
          <w:szCs w:val="24"/>
        </w:rPr>
        <w:t xml:space="preserve"> 468-486.</w:t>
      </w:r>
    </w:p>
    <w:p w14:paraId="6FB2C08B" w14:textId="77777777" w:rsidR="00E20B39" w:rsidRPr="00855626" w:rsidRDefault="00E20B39" w:rsidP="00E20B39">
      <w:pPr>
        <w:pStyle w:val="EndNoteBibliography"/>
        <w:ind w:left="720" w:hanging="720"/>
        <w:rPr>
          <w:sz w:val="24"/>
          <w:szCs w:val="24"/>
        </w:rPr>
      </w:pPr>
      <w:r w:rsidRPr="00855626">
        <w:rPr>
          <w:sz w:val="24"/>
          <w:szCs w:val="24"/>
        </w:rPr>
        <w:t xml:space="preserve">Lee, B. X., Kjaerulf, F., Turner, S., Cohen, L., Donnelly, P. D., Muggah, R., Davis, R., Realini, A., Kieselbach, B., Macgregor, L. S., Waller, I., Gordon, R., Moloney-Kitts, M., Lee, G. &amp; Gilligan, J. 2016. Transforming Our World: Implementing the 2030 Agenda Through Sustainable Development Goal Indicators. </w:t>
      </w:r>
      <w:r w:rsidRPr="00855626">
        <w:rPr>
          <w:i/>
          <w:sz w:val="24"/>
          <w:szCs w:val="24"/>
        </w:rPr>
        <w:t>Journal of Public Health Policy,</w:t>
      </w:r>
      <w:r w:rsidRPr="00855626">
        <w:rPr>
          <w:sz w:val="24"/>
          <w:szCs w:val="24"/>
        </w:rPr>
        <w:t xml:space="preserve"> 37</w:t>
      </w:r>
      <w:r w:rsidRPr="00855626">
        <w:rPr>
          <w:b/>
          <w:sz w:val="24"/>
          <w:szCs w:val="24"/>
        </w:rPr>
        <w:t>,</w:t>
      </w:r>
      <w:r w:rsidRPr="00855626">
        <w:rPr>
          <w:sz w:val="24"/>
          <w:szCs w:val="24"/>
        </w:rPr>
        <w:t xml:space="preserve"> 13-31.</w:t>
      </w:r>
    </w:p>
    <w:p w14:paraId="3D5E7E38" w14:textId="77777777" w:rsidR="00E20B39" w:rsidRPr="00855626" w:rsidRDefault="00E20B39" w:rsidP="00E20B39">
      <w:pPr>
        <w:pStyle w:val="EndNoteBibliography"/>
        <w:ind w:left="720" w:hanging="720"/>
        <w:rPr>
          <w:sz w:val="24"/>
          <w:szCs w:val="24"/>
        </w:rPr>
      </w:pPr>
      <w:r w:rsidRPr="00855626">
        <w:rPr>
          <w:sz w:val="24"/>
          <w:szCs w:val="24"/>
        </w:rPr>
        <w:t xml:space="preserve">Lee, G., You, S., Ritchie, S. G., Saphores, J.-D., Jayakrishnan, R. &amp; Ogunseitan, O. 2012. Assessing air quality and health benefits of the Clean Truck Program in the Alameda corridor, CA. </w:t>
      </w:r>
      <w:r w:rsidRPr="00855626">
        <w:rPr>
          <w:i/>
          <w:sz w:val="24"/>
          <w:szCs w:val="24"/>
        </w:rPr>
        <w:t>Transportation Research Part A: Policy and Practice,</w:t>
      </w:r>
      <w:r w:rsidRPr="00855626">
        <w:rPr>
          <w:sz w:val="24"/>
          <w:szCs w:val="24"/>
        </w:rPr>
        <w:t xml:space="preserve"> 46</w:t>
      </w:r>
      <w:r w:rsidRPr="00855626">
        <w:rPr>
          <w:b/>
          <w:sz w:val="24"/>
          <w:szCs w:val="24"/>
        </w:rPr>
        <w:t>,</w:t>
      </w:r>
      <w:r w:rsidRPr="00855626">
        <w:rPr>
          <w:sz w:val="24"/>
          <w:szCs w:val="24"/>
        </w:rPr>
        <w:t xml:space="preserve"> 1177-1193.</w:t>
      </w:r>
    </w:p>
    <w:p w14:paraId="0D251187" w14:textId="77777777" w:rsidR="00E20B39" w:rsidRPr="00855626" w:rsidRDefault="00E20B39" w:rsidP="00E20B39">
      <w:pPr>
        <w:pStyle w:val="EndNoteBibliography"/>
        <w:ind w:left="720" w:hanging="720"/>
        <w:rPr>
          <w:sz w:val="24"/>
          <w:szCs w:val="24"/>
        </w:rPr>
      </w:pPr>
      <w:r w:rsidRPr="00855626">
        <w:rPr>
          <w:sz w:val="24"/>
          <w:szCs w:val="24"/>
        </w:rPr>
        <w:t xml:space="preserve">Lee, S. &amp; Hwang, T. 2018. Estimating emissions from regional freight delivery under different urban development scenarios. </w:t>
      </w:r>
      <w:r w:rsidRPr="00855626">
        <w:rPr>
          <w:i/>
          <w:sz w:val="24"/>
          <w:szCs w:val="24"/>
        </w:rPr>
        <w:t>Sustainability (Switzerland),</w:t>
      </w:r>
      <w:r w:rsidRPr="00855626">
        <w:rPr>
          <w:sz w:val="24"/>
          <w:szCs w:val="24"/>
        </w:rPr>
        <w:t xml:space="preserve"> 10.</w:t>
      </w:r>
    </w:p>
    <w:p w14:paraId="3F4E95DB" w14:textId="77777777" w:rsidR="00E20B39" w:rsidRPr="00855626" w:rsidRDefault="00E20B39" w:rsidP="00E20B39">
      <w:pPr>
        <w:pStyle w:val="EndNoteBibliography"/>
        <w:ind w:left="720" w:hanging="720"/>
        <w:rPr>
          <w:sz w:val="24"/>
          <w:szCs w:val="24"/>
        </w:rPr>
      </w:pPr>
      <w:r w:rsidRPr="00855626">
        <w:rPr>
          <w:sz w:val="24"/>
          <w:szCs w:val="24"/>
        </w:rPr>
        <w:t xml:space="preserve">Li, B., Krushinsky, D., Reijers, H. A. &amp; Van Woensel, T. 2014. The Share-a-Ride Problem: People and parcels sharing taxis. </w:t>
      </w:r>
      <w:r w:rsidRPr="00855626">
        <w:rPr>
          <w:i/>
          <w:sz w:val="24"/>
          <w:szCs w:val="24"/>
        </w:rPr>
        <w:t>European Journal of Operational Research,</w:t>
      </w:r>
      <w:r w:rsidRPr="00855626">
        <w:rPr>
          <w:sz w:val="24"/>
          <w:szCs w:val="24"/>
        </w:rPr>
        <w:t xml:space="preserve"> 238</w:t>
      </w:r>
      <w:r w:rsidRPr="00855626">
        <w:rPr>
          <w:b/>
          <w:sz w:val="24"/>
          <w:szCs w:val="24"/>
        </w:rPr>
        <w:t>,</w:t>
      </w:r>
      <w:r w:rsidRPr="00855626">
        <w:rPr>
          <w:sz w:val="24"/>
          <w:szCs w:val="24"/>
        </w:rPr>
        <w:t xml:space="preserve"> 31-40.</w:t>
      </w:r>
    </w:p>
    <w:p w14:paraId="1DBDF8BA" w14:textId="77777777" w:rsidR="00E20B39" w:rsidRPr="00855626" w:rsidRDefault="00E20B39" w:rsidP="00E20B39">
      <w:pPr>
        <w:pStyle w:val="EndNoteBibliography"/>
        <w:ind w:left="720" w:hanging="720"/>
        <w:rPr>
          <w:sz w:val="24"/>
          <w:szCs w:val="24"/>
        </w:rPr>
      </w:pPr>
      <w:r w:rsidRPr="00855626">
        <w:rPr>
          <w:sz w:val="24"/>
          <w:szCs w:val="24"/>
        </w:rPr>
        <w:t xml:space="preserve">Li, S., Wei, Z. &amp; Huang, A. 2018. Location Selection of Urban Distribution Center with a Mathematical Modeling Approach Based on the Total Cost. </w:t>
      </w:r>
      <w:r w:rsidRPr="00855626">
        <w:rPr>
          <w:i/>
          <w:sz w:val="24"/>
          <w:szCs w:val="24"/>
        </w:rPr>
        <w:t>IEEE Access,</w:t>
      </w:r>
      <w:r w:rsidRPr="00855626">
        <w:rPr>
          <w:sz w:val="24"/>
          <w:szCs w:val="24"/>
        </w:rPr>
        <w:t xml:space="preserve"> 6</w:t>
      </w:r>
      <w:r w:rsidRPr="00855626">
        <w:rPr>
          <w:b/>
          <w:sz w:val="24"/>
          <w:szCs w:val="24"/>
        </w:rPr>
        <w:t>,</w:t>
      </w:r>
      <w:r w:rsidRPr="00855626">
        <w:rPr>
          <w:sz w:val="24"/>
          <w:szCs w:val="24"/>
        </w:rPr>
        <w:t xml:space="preserve"> 61833-61842.</w:t>
      </w:r>
    </w:p>
    <w:p w14:paraId="20E37CC6" w14:textId="77777777" w:rsidR="00E20B39" w:rsidRPr="00855626" w:rsidRDefault="00E20B39" w:rsidP="00E20B39">
      <w:pPr>
        <w:pStyle w:val="EndNoteBibliography"/>
        <w:ind w:left="720" w:hanging="720"/>
        <w:rPr>
          <w:sz w:val="24"/>
          <w:szCs w:val="24"/>
        </w:rPr>
      </w:pPr>
      <w:r w:rsidRPr="00855626">
        <w:rPr>
          <w:sz w:val="24"/>
          <w:szCs w:val="24"/>
        </w:rPr>
        <w:lastRenderedPageBreak/>
        <w:t xml:space="preserve">Lin, J., Chen, Q. &amp; Kawamura, K. 2016. Sustainability SI: Logistics Cost and Environmental Impact Analyses of Urban Delivery Consolidation Strategies. </w:t>
      </w:r>
      <w:r w:rsidRPr="00855626">
        <w:rPr>
          <w:i/>
          <w:sz w:val="24"/>
          <w:szCs w:val="24"/>
        </w:rPr>
        <w:t>Networks and Spatial Economics,</w:t>
      </w:r>
      <w:r w:rsidRPr="00855626">
        <w:rPr>
          <w:sz w:val="24"/>
          <w:szCs w:val="24"/>
        </w:rPr>
        <w:t xml:space="preserve"> 16</w:t>
      </w:r>
      <w:r w:rsidRPr="00855626">
        <w:rPr>
          <w:b/>
          <w:sz w:val="24"/>
          <w:szCs w:val="24"/>
        </w:rPr>
        <w:t>,</w:t>
      </w:r>
      <w:r w:rsidRPr="00855626">
        <w:rPr>
          <w:sz w:val="24"/>
          <w:szCs w:val="24"/>
        </w:rPr>
        <w:t xml:space="preserve"> 227-253.</w:t>
      </w:r>
    </w:p>
    <w:p w14:paraId="4F5E763B" w14:textId="77777777" w:rsidR="00E20B39" w:rsidRPr="00855626" w:rsidRDefault="00E20B39" w:rsidP="00E20B39">
      <w:pPr>
        <w:pStyle w:val="EndNoteBibliography"/>
        <w:ind w:left="720" w:hanging="720"/>
        <w:rPr>
          <w:sz w:val="24"/>
          <w:szCs w:val="24"/>
        </w:rPr>
      </w:pPr>
      <w:r w:rsidRPr="00855626">
        <w:rPr>
          <w:sz w:val="24"/>
          <w:szCs w:val="24"/>
        </w:rPr>
        <w:t xml:space="preserve">Lindawati, Van Schagen, J., Goh, M. &amp; De Souza, R. 2014. Collaboration in urban logistics: Motivations and barriers. </w:t>
      </w:r>
      <w:r w:rsidRPr="00855626">
        <w:rPr>
          <w:i/>
          <w:sz w:val="24"/>
          <w:szCs w:val="24"/>
        </w:rPr>
        <w:t>International Journal of Urban Sciences,</w:t>
      </w:r>
      <w:r w:rsidRPr="00855626">
        <w:rPr>
          <w:sz w:val="24"/>
          <w:szCs w:val="24"/>
        </w:rPr>
        <w:t xml:space="preserve"> 18</w:t>
      </w:r>
      <w:r w:rsidRPr="00855626">
        <w:rPr>
          <w:b/>
          <w:sz w:val="24"/>
          <w:szCs w:val="24"/>
        </w:rPr>
        <w:t>,</w:t>
      </w:r>
      <w:r w:rsidRPr="00855626">
        <w:rPr>
          <w:sz w:val="24"/>
          <w:szCs w:val="24"/>
        </w:rPr>
        <w:t xml:space="preserve"> 278-290.</w:t>
      </w:r>
    </w:p>
    <w:p w14:paraId="577D434F" w14:textId="77777777" w:rsidR="00E20B39" w:rsidRPr="00855626" w:rsidRDefault="00E20B39" w:rsidP="00E20B39">
      <w:pPr>
        <w:pStyle w:val="EndNoteBibliography"/>
        <w:ind w:left="720" w:hanging="720"/>
        <w:rPr>
          <w:sz w:val="24"/>
          <w:szCs w:val="24"/>
        </w:rPr>
      </w:pPr>
      <w:r w:rsidRPr="00855626">
        <w:rPr>
          <w:sz w:val="24"/>
          <w:szCs w:val="24"/>
        </w:rPr>
        <w:t xml:space="preserve">Lindholm, M. 2012. How Local Authority Decision Makers Address Freight Transport in the Urban Area. </w:t>
      </w:r>
      <w:r w:rsidRPr="00855626">
        <w:rPr>
          <w:i/>
          <w:sz w:val="24"/>
          <w:szCs w:val="24"/>
        </w:rPr>
        <w:t>Procedia - Social and Behavioral Sciences,</w:t>
      </w:r>
      <w:r w:rsidRPr="00855626">
        <w:rPr>
          <w:sz w:val="24"/>
          <w:szCs w:val="24"/>
        </w:rPr>
        <w:t xml:space="preserve"> 39</w:t>
      </w:r>
      <w:r w:rsidRPr="00855626">
        <w:rPr>
          <w:b/>
          <w:sz w:val="24"/>
          <w:szCs w:val="24"/>
        </w:rPr>
        <w:t>,</w:t>
      </w:r>
      <w:r w:rsidRPr="00855626">
        <w:rPr>
          <w:sz w:val="24"/>
          <w:szCs w:val="24"/>
        </w:rPr>
        <w:t xml:space="preserve"> 134-145.</w:t>
      </w:r>
    </w:p>
    <w:p w14:paraId="4A11FC60" w14:textId="77777777" w:rsidR="00E20B39" w:rsidRPr="00855626" w:rsidRDefault="00E20B39" w:rsidP="00E20B39">
      <w:pPr>
        <w:pStyle w:val="EndNoteBibliography"/>
        <w:ind w:left="720" w:hanging="720"/>
        <w:rPr>
          <w:sz w:val="24"/>
          <w:szCs w:val="24"/>
        </w:rPr>
      </w:pPr>
      <w:r w:rsidRPr="00855626">
        <w:rPr>
          <w:sz w:val="24"/>
          <w:szCs w:val="24"/>
        </w:rPr>
        <w:t xml:space="preserve">Lindholm, M. &amp; Behrends, S. 2012. Challenges in urban freight transport planning – a review in the Baltic Sea Region. </w:t>
      </w:r>
      <w:r w:rsidRPr="00855626">
        <w:rPr>
          <w:i/>
          <w:sz w:val="24"/>
          <w:szCs w:val="24"/>
        </w:rPr>
        <w:t>Journal of Transport Geography,</w:t>
      </w:r>
      <w:r w:rsidRPr="00855626">
        <w:rPr>
          <w:sz w:val="24"/>
          <w:szCs w:val="24"/>
        </w:rPr>
        <w:t xml:space="preserve"> 22</w:t>
      </w:r>
      <w:r w:rsidRPr="00855626">
        <w:rPr>
          <w:b/>
          <w:sz w:val="24"/>
          <w:szCs w:val="24"/>
        </w:rPr>
        <w:t>,</w:t>
      </w:r>
      <w:r w:rsidRPr="00855626">
        <w:rPr>
          <w:sz w:val="24"/>
          <w:szCs w:val="24"/>
        </w:rPr>
        <w:t xml:space="preserve"> 129-136.</w:t>
      </w:r>
    </w:p>
    <w:p w14:paraId="34C36BB9" w14:textId="77777777" w:rsidR="00E20B39" w:rsidRPr="00855626" w:rsidRDefault="00E20B39" w:rsidP="00E20B39">
      <w:pPr>
        <w:pStyle w:val="EndNoteBibliography"/>
        <w:ind w:left="720" w:hanging="720"/>
        <w:rPr>
          <w:sz w:val="24"/>
          <w:szCs w:val="24"/>
        </w:rPr>
      </w:pPr>
      <w:r w:rsidRPr="00855626">
        <w:rPr>
          <w:sz w:val="24"/>
          <w:szCs w:val="24"/>
        </w:rPr>
        <w:t xml:space="preserve">Lindholm, M. &amp; Browne, M. 2013. Local authority cooperation with urban freight stakeholders: A comparison of partnership approaches. </w:t>
      </w:r>
      <w:r w:rsidRPr="00855626">
        <w:rPr>
          <w:i/>
          <w:sz w:val="24"/>
          <w:szCs w:val="24"/>
        </w:rPr>
        <w:t>European Journal of transport and infrastructure research,</w:t>
      </w:r>
      <w:r w:rsidRPr="00855626">
        <w:rPr>
          <w:sz w:val="24"/>
          <w:szCs w:val="24"/>
        </w:rPr>
        <w:t xml:space="preserve"> 13</w:t>
      </w:r>
      <w:r w:rsidRPr="00855626">
        <w:rPr>
          <w:b/>
          <w:sz w:val="24"/>
          <w:szCs w:val="24"/>
        </w:rPr>
        <w:t>,</w:t>
      </w:r>
      <w:r w:rsidRPr="00855626">
        <w:rPr>
          <w:sz w:val="24"/>
          <w:szCs w:val="24"/>
        </w:rPr>
        <w:t xml:space="preserve"> 20-38.</w:t>
      </w:r>
    </w:p>
    <w:p w14:paraId="0B688DEC" w14:textId="77777777" w:rsidR="00E20B39" w:rsidRPr="00855626" w:rsidRDefault="00E20B39" w:rsidP="00E20B39">
      <w:pPr>
        <w:pStyle w:val="EndNoteBibliography"/>
        <w:ind w:left="720" w:hanging="720"/>
        <w:rPr>
          <w:sz w:val="24"/>
          <w:szCs w:val="24"/>
        </w:rPr>
      </w:pPr>
      <w:r w:rsidRPr="00855626">
        <w:rPr>
          <w:sz w:val="24"/>
          <w:szCs w:val="24"/>
        </w:rPr>
        <w:t xml:space="preserve">Lindholm, M. E. &amp; Blinge, M. 2014. Assessing knowledge and awareness of the sustainable urban freight transport among Swedish local authority policy planners. </w:t>
      </w:r>
      <w:r w:rsidRPr="00855626">
        <w:rPr>
          <w:i/>
          <w:sz w:val="24"/>
          <w:szCs w:val="24"/>
        </w:rPr>
        <w:t>Transport Policy,</w:t>
      </w:r>
      <w:r w:rsidRPr="00855626">
        <w:rPr>
          <w:sz w:val="24"/>
          <w:szCs w:val="24"/>
        </w:rPr>
        <w:t xml:space="preserve"> 32</w:t>
      </w:r>
      <w:r w:rsidRPr="00855626">
        <w:rPr>
          <w:b/>
          <w:sz w:val="24"/>
          <w:szCs w:val="24"/>
        </w:rPr>
        <w:t>,</w:t>
      </w:r>
      <w:r w:rsidRPr="00855626">
        <w:rPr>
          <w:sz w:val="24"/>
          <w:szCs w:val="24"/>
        </w:rPr>
        <w:t xml:space="preserve"> 124-131.</w:t>
      </w:r>
    </w:p>
    <w:p w14:paraId="75523605" w14:textId="77777777" w:rsidR="00E20B39" w:rsidRPr="00855626" w:rsidRDefault="00E20B39" w:rsidP="00E20B39">
      <w:pPr>
        <w:pStyle w:val="EndNoteBibliography"/>
        <w:ind w:left="720" w:hanging="720"/>
        <w:rPr>
          <w:sz w:val="24"/>
          <w:szCs w:val="24"/>
        </w:rPr>
      </w:pPr>
      <w:r w:rsidRPr="00855626">
        <w:rPr>
          <w:sz w:val="24"/>
          <w:szCs w:val="24"/>
        </w:rPr>
        <w:t xml:space="preserve">Lindhqvist, T. &amp; Lifset, R. 2003. Can we take the concept of individual producer responsibility from theory to practice? </w:t>
      </w:r>
      <w:r w:rsidRPr="00855626">
        <w:rPr>
          <w:i/>
          <w:sz w:val="24"/>
          <w:szCs w:val="24"/>
        </w:rPr>
        <w:t>Journal of industrial ecology,</w:t>
      </w:r>
      <w:r w:rsidRPr="00855626">
        <w:rPr>
          <w:sz w:val="24"/>
          <w:szCs w:val="24"/>
        </w:rPr>
        <w:t xml:space="preserve"> 7</w:t>
      </w:r>
      <w:r w:rsidRPr="00855626">
        <w:rPr>
          <w:b/>
          <w:sz w:val="24"/>
          <w:szCs w:val="24"/>
        </w:rPr>
        <w:t>,</w:t>
      </w:r>
      <w:r w:rsidRPr="00855626">
        <w:rPr>
          <w:sz w:val="24"/>
          <w:szCs w:val="24"/>
        </w:rPr>
        <w:t xml:space="preserve"> 3-6.</w:t>
      </w:r>
    </w:p>
    <w:p w14:paraId="02758AFA" w14:textId="77777777" w:rsidR="00E20B39" w:rsidRPr="00855626" w:rsidRDefault="00E20B39" w:rsidP="00E20B39">
      <w:pPr>
        <w:pStyle w:val="EndNoteBibliography"/>
        <w:ind w:left="720" w:hanging="720"/>
        <w:rPr>
          <w:sz w:val="24"/>
          <w:szCs w:val="24"/>
        </w:rPr>
      </w:pPr>
      <w:r w:rsidRPr="00855626">
        <w:rPr>
          <w:sz w:val="24"/>
          <w:szCs w:val="24"/>
        </w:rPr>
        <w:t xml:space="preserve">Liu, S., Xu, J., Shi, X., Li, G. &amp; Liu, D. 2018. Sustainable distribution organization based on the supply-demand coordination in large Chinese cities. </w:t>
      </w:r>
      <w:r w:rsidRPr="00855626">
        <w:rPr>
          <w:i/>
          <w:sz w:val="24"/>
          <w:szCs w:val="24"/>
        </w:rPr>
        <w:t>Sustainability (Switzerland),</w:t>
      </w:r>
      <w:r w:rsidRPr="00855626">
        <w:rPr>
          <w:sz w:val="24"/>
          <w:szCs w:val="24"/>
        </w:rPr>
        <w:t xml:space="preserve"> 10.</w:t>
      </w:r>
    </w:p>
    <w:p w14:paraId="4E62F329" w14:textId="77777777" w:rsidR="00E20B39" w:rsidRPr="00855626" w:rsidRDefault="00E20B39" w:rsidP="00E20B39">
      <w:pPr>
        <w:pStyle w:val="EndNoteBibliography"/>
        <w:ind w:left="720" w:hanging="720"/>
        <w:rPr>
          <w:sz w:val="24"/>
          <w:szCs w:val="24"/>
        </w:rPr>
      </w:pPr>
      <w:r w:rsidRPr="00855626">
        <w:rPr>
          <w:sz w:val="24"/>
          <w:szCs w:val="24"/>
        </w:rPr>
        <w:t xml:space="preserve">Ljungberg, D. &amp; Gebresenbet, G. 2004. Mapping out the potential for coordinated goods distribution in city centres: The case of Uppsala. </w:t>
      </w:r>
      <w:r w:rsidRPr="00855626">
        <w:rPr>
          <w:i/>
          <w:sz w:val="24"/>
          <w:szCs w:val="24"/>
        </w:rPr>
        <w:t>International Journal of Transport Management,</w:t>
      </w:r>
      <w:r w:rsidRPr="00855626">
        <w:rPr>
          <w:sz w:val="24"/>
          <w:szCs w:val="24"/>
        </w:rPr>
        <w:t xml:space="preserve"> 2</w:t>
      </w:r>
      <w:r w:rsidRPr="00855626">
        <w:rPr>
          <w:b/>
          <w:sz w:val="24"/>
          <w:szCs w:val="24"/>
        </w:rPr>
        <w:t>,</w:t>
      </w:r>
      <w:r w:rsidRPr="00855626">
        <w:rPr>
          <w:sz w:val="24"/>
          <w:szCs w:val="24"/>
        </w:rPr>
        <w:t xml:space="preserve"> 161-172.</w:t>
      </w:r>
    </w:p>
    <w:p w14:paraId="2B17153C" w14:textId="77777777" w:rsidR="00E20B39" w:rsidRPr="00855626" w:rsidRDefault="00E20B39" w:rsidP="00E20B39">
      <w:pPr>
        <w:pStyle w:val="EndNoteBibliography"/>
        <w:ind w:left="720" w:hanging="720"/>
        <w:rPr>
          <w:sz w:val="24"/>
          <w:szCs w:val="24"/>
        </w:rPr>
      </w:pPr>
      <w:r w:rsidRPr="00855626">
        <w:rPr>
          <w:sz w:val="24"/>
          <w:szCs w:val="24"/>
        </w:rPr>
        <w:t xml:space="preserve">Lunze, J. 1998. Qualitative modelling of dynamical systems. </w:t>
      </w:r>
      <w:r w:rsidRPr="00855626">
        <w:rPr>
          <w:i/>
          <w:sz w:val="24"/>
          <w:szCs w:val="24"/>
        </w:rPr>
        <w:t>Mathematics and Computers in Simulation,</w:t>
      </w:r>
      <w:r w:rsidRPr="00855626">
        <w:rPr>
          <w:sz w:val="24"/>
          <w:szCs w:val="24"/>
        </w:rPr>
        <w:t xml:space="preserve"> 46</w:t>
      </w:r>
      <w:r w:rsidRPr="00855626">
        <w:rPr>
          <w:b/>
          <w:sz w:val="24"/>
          <w:szCs w:val="24"/>
        </w:rPr>
        <w:t>,</w:t>
      </w:r>
      <w:r w:rsidRPr="00855626">
        <w:rPr>
          <w:sz w:val="24"/>
          <w:szCs w:val="24"/>
        </w:rPr>
        <w:t xml:space="preserve"> 465-483.</w:t>
      </w:r>
    </w:p>
    <w:p w14:paraId="5463966F" w14:textId="77777777" w:rsidR="00E20B39" w:rsidRPr="00855626" w:rsidRDefault="00E20B39" w:rsidP="00E20B39">
      <w:pPr>
        <w:pStyle w:val="EndNoteBibliography"/>
        <w:ind w:left="720" w:hanging="720"/>
        <w:rPr>
          <w:sz w:val="24"/>
          <w:szCs w:val="24"/>
        </w:rPr>
      </w:pPr>
      <w:r w:rsidRPr="00855626">
        <w:rPr>
          <w:sz w:val="24"/>
          <w:szCs w:val="24"/>
        </w:rPr>
        <w:t>Macário, R., Rodrigues, M., Gama, A., Timms, P., Lama, C., Amaral, M., Schoemaker, J., Tromp, N. &amp; Quinn Derek, A. G. J. T. P. T., Inovação E Sistemas, Sa, Lisbon 2011. Handbook on urban logistics-Turblog_ww: transferability of urban logistics concepts and practices from a worldwide perspective.</w:t>
      </w:r>
    </w:p>
    <w:p w14:paraId="068D5587" w14:textId="77777777" w:rsidR="00E20B39" w:rsidRPr="00855626" w:rsidRDefault="00E20B39" w:rsidP="00E20B39">
      <w:pPr>
        <w:pStyle w:val="EndNoteBibliography"/>
        <w:ind w:left="720" w:hanging="720"/>
        <w:rPr>
          <w:sz w:val="24"/>
          <w:szCs w:val="24"/>
        </w:rPr>
      </w:pPr>
      <w:r w:rsidRPr="00855626">
        <w:rPr>
          <w:sz w:val="24"/>
          <w:szCs w:val="24"/>
        </w:rPr>
        <w:t xml:space="preserve">Macharis, C. 2005. The importance of stakeholder analysis in freight transport. </w:t>
      </w:r>
      <w:r w:rsidRPr="00855626">
        <w:rPr>
          <w:i/>
          <w:sz w:val="24"/>
          <w:szCs w:val="24"/>
        </w:rPr>
        <w:t>European Transport\Trasporti Europei</w:t>
      </w:r>
      <w:r w:rsidRPr="00855626">
        <w:rPr>
          <w:b/>
          <w:sz w:val="24"/>
          <w:szCs w:val="24"/>
        </w:rPr>
        <w:t>,</w:t>
      </w:r>
      <w:r w:rsidRPr="00855626">
        <w:rPr>
          <w:sz w:val="24"/>
          <w:szCs w:val="24"/>
        </w:rPr>
        <w:t xml:space="preserve"> 114-126.</w:t>
      </w:r>
    </w:p>
    <w:p w14:paraId="0EEA893F" w14:textId="77777777" w:rsidR="00E20B39" w:rsidRPr="00855626" w:rsidRDefault="00E20B39" w:rsidP="00E20B39">
      <w:pPr>
        <w:pStyle w:val="EndNoteBibliography"/>
        <w:ind w:left="720" w:hanging="720"/>
        <w:rPr>
          <w:sz w:val="24"/>
          <w:szCs w:val="24"/>
        </w:rPr>
      </w:pPr>
      <w:r w:rsidRPr="00855626">
        <w:rPr>
          <w:sz w:val="24"/>
          <w:szCs w:val="24"/>
        </w:rPr>
        <w:t xml:space="preserve">Macharis, C. &amp; Kin, B. 2017. The 4 A's of sustainable city distribution: Innovative solutions and challenges ahead. </w:t>
      </w:r>
      <w:r w:rsidRPr="00855626">
        <w:rPr>
          <w:i/>
          <w:sz w:val="24"/>
          <w:szCs w:val="24"/>
        </w:rPr>
        <w:t>International Journal of Sustainable Transportation,</w:t>
      </w:r>
      <w:r w:rsidRPr="00855626">
        <w:rPr>
          <w:sz w:val="24"/>
          <w:szCs w:val="24"/>
        </w:rPr>
        <w:t xml:space="preserve"> 11</w:t>
      </w:r>
      <w:r w:rsidRPr="00855626">
        <w:rPr>
          <w:b/>
          <w:sz w:val="24"/>
          <w:szCs w:val="24"/>
        </w:rPr>
        <w:t>,</w:t>
      </w:r>
      <w:r w:rsidRPr="00855626">
        <w:rPr>
          <w:sz w:val="24"/>
          <w:szCs w:val="24"/>
        </w:rPr>
        <w:t xml:space="preserve"> 59-71.</w:t>
      </w:r>
    </w:p>
    <w:p w14:paraId="5101B85C" w14:textId="77777777" w:rsidR="00E20B39" w:rsidRPr="00855626" w:rsidRDefault="00E20B39" w:rsidP="00E20B39">
      <w:pPr>
        <w:pStyle w:val="EndNoteBibliography"/>
        <w:ind w:left="720" w:hanging="720"/>
        <w:rPr>
          <w:sz w:val="24"/>
          <w:szCs w:val="24"/>
        </w:rPr>
      </w:pPr>
      <w:r w:rsidRPr="00855626">
        <w:rPr>
          <w:sz w:val="24"/>
          <w:szCs w:val="24"/>
        </w:rPr>
        <w:t xml:space="preserve">Macharis, C., Lebeau, P., Van Mierlo, J. &amp; Lebeau, K. 2013. Electric versus conventional vehicles for logistics: A total cost of ownership. </w:t>
      </w:r>
      <w:r w:rsidRPr="00855626">
        <w:rPr>
          <w:i/>
          <w:sz w:val="24"/>
          <w:szCs w:val="24"/>
        </w:rPr>
        <w:t>World Electric Vehicle Journal,</w:t>
      </w:r>
      <w:r w:rsidRPr="00855626">
        <w:rPr>
          <w:sz w:val="24"/>
          <w:szCs w:val="24"/>
        </w:rPr>
        <w:t xml:space="preserve"> 6</w:t>
      </w:r>
      <w:r w:rsidRPr="00855626">
        <w:rPr>
          <w:b/>
          <w:sz w:val="24"/>
          <w:szCs w:val="24"/>
        </w:rPr>
        <w:t>,</w:t>
      </w:r>
      <w:r w:rsidRPr="00855626">
        <w:rPr>
          <w:sz w:val="24"/>
          <w:szCs w:val="24"/>
        </w:rPr>
        <w:t xml:space="preserve"> 945-954.</w:t>
      </w:r>
    </w:p>
    <w:p w14:paraId="1461F1D9" w14:textId="77777777" w:rsidR="00E20B39" w:rsidRPr="00855626" w:rsidRDefault="00E20B39" w:rsidP="00E20B39">
      <w:pPr>
        <w:pStyle w:val="EndNoteBibliography"/>
        <w:ind w:left="720" w:hanging="720"/>
        <w:rPr>
          <w:sz w:val="24"/>
          <w:szCs w:val="24"/>
        </w:rPr>
      </w:pPr>
      <w:r w:rsidRPr="00855626">
        <w:rPr>
          <w:sz w:val="24"/>
          <w:szCs w:val="24"/>
        </w:rPr>
        <w:t xml:space="preserve">Macharis, C., Milan, L. &amp; Verlinde, S. 2014. A stakeholder-based multicriteria evaluation framework for city distribution. </w:t>
      </w:r>
      <w:r w:rsidRPr="00855626">
        <w:rPr>
          <w:i/>
          <w:sz w:val="24"/>
          <w:szCs w:val="24"/>
        </w:rPr>
        <w:t>Research in Transportation Business &amp; Management,</w:t>
      </w:r>
      <w:r w:rsidRPr="00855626">
        <w:rPr>
          <w:sz w:val="24"/>
          <w:szCs w:val="24"/>
        </w:rPr>
        <w:t xml:space="preserve"> 11</w:t>
      </w:r>
      <w:r w:rsidRPr="00855626">
        <w:rPr>
          <w:b/>
          <w:sz w:val="24"/>
          <w:szCs w:val="24"/>
        </w:rPr>
        <w:t>,</w:t>
      </w:r>
      <w:r w:rsidRPr="00855626">
        <w:rPr>
          <w:sz w:val="24"/>
          <w:szCs w:val="24"/>
        </w:rPr>
        <w:t xml:space="preserve"> 75-84.</w:t>
      </w:r>
    </w:p>
    <w:p w14:paraId="573EA5A7" w14:textId="77777777" w:rsidR="00E20B39" w:rsidRPr="00855626" w:rsidRDefault="00E20B39" w:rsidP="00E20B39">
      <w:pPr>
        <w:pStyle w:val="EndNoteBibliography"/>
        <w:ind w:left="720" w:hanging="720"/>
        <w:rPr>
          <w:sz w:val="24"/>
          <w:szCs w:val="24"/>
        </w:rPr>
      </w:pPr>
      <w:r w:rsidRPr="00855626">
        <w:rPr>
          <w:sz w:val="24"/>
          <w:szCs w:val="24"/>
        </w:rPr>
        <w:lastRenderedPageBreak/>
        <w:t xml:space="preserve">Macharis, C., Turcksin, L. &amp; Lebeau, K. 2012. Multi actor multi criteria analysis (MAMCA) as a tool to support sustainable decisions: State of use. </w:t>
      </w:r>
      <w:r w:rsidRPr="00855626">
        <w:rPr>
          <w:i/>
          <w:sz w:val="24"/>
          <w:szCs w:val="24"/>
        </w:rPr>
        <w:t>Decision Support Systems,</w:t>
      </w:r>
      <w:r w:rsidRPr="00855626">
        <w:rPr>
          <w:sz w:val="24"/>
          <w:szCs w:val="24"/>
        </w:rPr>
        <w:t xml:space="preserve"> 54</w:t>
      </w:r>
      <w:r w:rsidRPr="00855626">
        <w:rPr>
          <w:b/>
          <w:sz w:val="24"/>
          <w:szCs w:val="24"/>
        </w:rPr>
        <w:t>,</w:t>
      </w:r>
      <w:r w:rsidRPr="00855626">
        <w:rPr>
          <w:sz w:val="24"/>
          <w:szCs w:val="24"/>
        </w:rPr>
        <w:t xml:space="preserve"> 610-620.</w:t>
      </w:r>
    </w:p>
    <w:p w14:paraId="69D22EA6" w14:textId="77777777" w:rsidR="00E20B39" w:rsidRPr="00855626" w:rsidRDefault="00E20B39" w:rsidP="00E20B39">
      <w:pPr>
        <w:pStyle w:val="EndNoteBibliography"/>
        <w:ind w:left="720" w:hanging="720"/>
        <w:rPr>
          <w:sz w:val="24"/>
          <w:szCs w:val="24"/>
        </w:rPr>
      </w:pPr>
      <w:r w:rsidRPr="00855626">
        <w:rPr>
          <w:sz w:val="24"/>
          <w:szCs w:val="24"/>
        </w:rPr>
        <w:t xml:space="preserve">Macharis, C., Van Mierlo, J. &amp; Van Den Bossche, P. 2007. Combining intermodal transport with electric vehicles: Towards more sustainable solutions. </w:t>
      </w:r>
      <w:r w:rsidRPr="00855626">
        <w:rPr>
          <w:i/>
          <w:sz w:val="24"/>
          <w:szCs w:val="24"/>
        </w:rPr>
        <w:t>Transportation Planning and Technology,</w:t>
      </w:r>
      <w:r w:rsidRPr="00855626">
        <w:rPr>
          <w:sz w:val="24"/>
          <w:szCs w:val="24"/>
        </w:rPr>
        <w:t xml:space="preserve"> 30</w:t>
      </w:r>
      <w:r w:rsidRPr="00855626">
        <w:rPr>
          <w:b/>
          <w:sz w:val="24"/>
          <w:szCs w:val="24"/>
        </w:rPr>
        <w:t>,</w:t>
      </w:r>
      <w:r w:rsidRPr="00855626">
        <w:rPr>
          <w:sz w:val="24"/>
          <w:szCs w:val="24"/>
        </w:rPr>
        <w:t xml:space="preserve"> 311-323.</w:t>
      </w:r>
    </w:p>
    <w:p w14:paraId="286CE9F0" w14:textId="77777777" w:rsidR="00E20B39" w:rsidRPr="00855626" w:rsidRDefault="00E20B39" w:rsidP="00E20B39">
      <w:pPr>
        <w:pStyle w:val="EndNoteBibliography"/>
        <w:ind w:left="720" w:hanging="720"/>
        <w:rPr>
          <w:sz w:val="24"/>
          <w:szCs w:val="24"/>
        </w:rPr>
      </w:pPr>
      <w:r w:rsidRPr="00855626">
        <w:rPr>
          <w:sz w:val="24"/>
          <w:szCs w:val="24"/>
        </w:rPr>
        <w:t xml:space="preserve">Maggi, E. &amp; Vallino, E. 2016. Understanding urban mobility and the impact of public policies: The role of the agent-based models. </w:t>
      </w:r>
      <w:r w:rsidRPr="00855626">
        <w:rPr>
          <w:i/>
          <w:sz w:val="24"/>
          <w:szCs w:val="24"/>
        </w:rPr>
        <w:t>Research in Transportation Economics,</w:t>
      </w:r>
      <w:r w:rsidRPr="00855626">
        <w:rPr>
          <w:sz w:val="24"/>
          <w:szCs w:val="24"/>
        </w:rPr>
        <w:t xml:space="preserve"> 55</w:t>
      </w:r>
      <w:r w:rsidRPr="00855626">
        <w:rPr>
          <w:b/>
          <w:sz w:val="24"/>
          <w:szCs w:val="24"/>
        </w:rPr>
        <w:t>,</w:t>
      </w:r>
      <w:r w:rsidRPr="00855626">
        <w:rPr>
          <w:sz w:val="24"/>
          <w:szCs w:val="24"/>
        </w:rPr>
        <w:t xml:space="preserve"> 50-59.</w:t>
      </w:r>
    </w:p>
    <w:p w14:paraId="67679445" w14:textId="77777777" w:rsidR="00E20B39" w:rsidRPr="00855626" w:rsidRDefault="00E20B39" w:rsidP="00E20B39">
      <w:pPr>
        <w:pStyle w:val="EndNoteBibliography"/>
        <w:ind w:left="720" w:hanging="720"/>
        <w:rPr>
          <w:sz w:val="24"/>
          <w:szCs w:val="24"/>
        </w:rPr>
      </w:pPr>
      <w:r w:rsidRPr="00855626">
        <w:rPr>
          <w:sz w:val="24"/>
          <w:szCs w:val="24"/>
        </w:rPr>
        <w:t xml:space="preserve">Malhene, N., Trentini, A., Marques, G. &amp; Burlat, P. 2012. Freight consolidation centers for urban logistics solutions: The key role of interoperability. </w:t>
      </w:r>
      <w:r w:rsidRPr="00855626">
        <w:rPr>
          <w:i/>
          <w:sz w:val="24"/>
          <w:szCs w:val="24"/>
        </w:rPr>
        <w:t>IEEE International Conference on Digital Ecosystems and Technologies</w:t>
      </w:r>
      <w:r w:rsidRPr="00855626">
        <w:rPr>
          <w:sz w:val="24"/>
          <w:szCs w:val="24"/>
        </w:rPr>
        <w:t>.</w:t>
      </w:r>
    </w:p>
    <w:p w14:paraId="5AA08686" w14:textId="77777777" w:rsidR="00E20B39" w:rsidRPr="00120BCB" w:rsidRDefault="00E20B39" w:rsidP="00E20B39">
      <w:pPr>
        <w:pStyle w:val="EndNoteBibliography"/>
        <w:ind w:left="720" w:hanging="720"/>
        <w:rPr>
          <w:sz w:val="24"/>
          <w:szCs w:val="24"/>
          <w:lang w:val="it-IT"/>
        </w:rPr>
      </w:pPr>
      <w:r w:rsidRPr="00855626">
        <w:rPr>
          <w:sz w:val="24"/>
          <w:szCs w:val="24"/>
        </w:rPr>
        <w:t xml:space="preserve">Manson, N. J. 2006. Is operations research really research? </w:t>
      </w:r>
      <w:r w:rsidRPr="00120BCB">
        <w:rPr>
          <w:i/>
          <w:sz w:val="24"/>
          <w:szCs w:val="24"/>
          <w:lang w:val="it-IT"/>
        </w:rPr>
        <w:t>Orion,</w:t>
      </w:r>
      <w:r w:rsidRPr="00120BCB">
        <w:rPr>
          <w:sz w:val="24"/>
          <w:szCs w:val="24"/>
          <w:lang w:val="it-IT"/>
        </w:rPr>
        <w:t xml:space="preserve"> 22</w:t>
      </w:r>
      <w:r w:rsidRPr="00120BCB">
        <w:rPr>
          <w:b/>
          <w:sz w:val="24"/>
          <w:szCs w:val="24"/>
          <w:lang w:val="it-IT"/>
        </w:rPr>
        <w:t>,</w:t>
      </w:r>
      <w:r w:rsidRPr="00120BCB">
        <w:rPr>
          <w:sz w:val="24"/>
          <w:szCs w:val="24"/>
          <w:lang w:val="it-IT"/>
        </w:rPr>
        <w:t xml:space="preserve"> 155-180.</w:t>
      </w:r>
    </w:p>
    <w:p w14:paraId="00CF500F" w14:textId="77777777" w:rsidR="00E20B39" w:rsidRPr="00120BCB" w:rsidRDefault="00E20B39" w:rsidP="00E20B39">
      <w:pPr>
        <w:pStyle w:val="EndNoteBibliography"/>
        <w:ind w:left="720" w:hanging="720"/>
        <w:rPr>
          <w:sz w:val="24"/>
          <w:szCs w:val="24"/>
          <w:lang w:val="it-IT"/>
        </w:rPr>
      </w:pPr>
      <w:r w:rsidRPr="00120BCB">
        <w:rPr>
          <w:sz w:val="24"/>
          <w:szCs w:val="24"/>
          <w:lang w:val="it-IT"/>
        </w:rPr>
        <w:t xml:space="preserve">Marcucci, E. &amp; Danielis, R. 2008. </w:t>
      </w:r>
      <w:r w:rsidRPr="00855626">
        <w:rPr>
          <w:sz w:val="24"/>
          <w:szCs w:val="24"/>
        </w:rPr>
        <w:t xml:space="preserve">The potential demand for a urban freight consolidation centre. </w:t>
      </w:r>
      <w:r w:rsidRPr="00120BCB">
        <w:rPr>
          <w:i/>
          <w:sz w:val="24"/>
          <w:szCs w:val="24"/>
          <w:lang w:val="it-IT"/>
        </w:rPr>
        <w:t>Transportation,</w:t>
      </w:r>
      <w:r w:rsidRPr="00120BCB">
        <w:rPr>
          <w:sz w:val="24"/>
          <w:szCs w:val="24"/>
          <w:lang w:val="it-IT"/>
        </w:rPr>
        <w:t xml:space="preserve"> 35</w:t>
      </w:r>
      <w:r w:rsidRPr="00120BCB">
        <w:rPr>
          <w:b/>
          <w:sz w:val="24"/>
          <w:szCs w:val="24"/>
          <w:lang w:val="it-IT"/>
        </w:rPr>
        <w:t>,</w:t>
      </w:r>
      <w:r w:rsidRPr="00120BCB">
        <w:rPr>
          <w:sz w:val="24"/>
          <w:szCs w:val="24"/>
          <w:lang w:val="it-IT"/>
        </w:rPr>
        <w:t xml:space="preserve"> 269-284.</w:t>
      </w:r>
    </w:p>
    <w:p w14:paraId="06085D7D" w14:textId="77777777" w:rsidR="00E20B39" w:rsidRPr="00120BCB" w:rsidRDefault="00E20B39" w:rsidP="00E20B39">
      <w:pPr>
        <w:pStyle w:val="EndNoteBibliography"/>
        <w:ind w:left="720" w:hanging="720"/>
        <w:rPr>
          <w:sz w:val="24"/>
          <w:szCs w:val="24"/>
          <w:lang w:val="it-IT"/>
        </w:rPr>
      </w:pPr>
      <w:r w:rsidRPr="00120BCB">
        <w:rPr>
          <w:sz w:val="24"/>
          <w:szCs w:val="24"/>
          <w:lang w:val="it-IT"/>
        </w:rPr>
        <w:t xml:space="preserve">Marcucci, E., Gatta, V., Marciani, M. &amp; Cossu, P. 2017a. </w:t>
      </w:r>
      <w:r w:rsidRPr="00855626">
        <w:rPr>
          <w:sz w:val="24"/>
          <w:szCs w:val="24"/>
        </w:rPr>
        <w:t xml:space="preserve">Measuring the effects of an urban freight policy package defined via a collaborative governance model. </w:t>
      </w:r>
      <w:r w:rsidRPr="00120BCB">
        <w:rPr>
          <w:i/>
          <w:sz w:val="24"/>
          <w:szCs w:val="24"/>
          <w:lang w:val="it-IT"/>
        </w:rPr>
        <w:t>Research in Transportation Economics,</w:t>
      </w:r>
      <w:r w:rsidRPr="00120BCB">
        <w:rPr>
          <w:sz w:val="24"/>
          <w:szCs w:val="24"/>
          <w:lang w:val="it-IT"/>
        </w:rPr>
        <w:t xml:space="preserve"> 65</w:t>
      </w:r>
      <w:r w:rsidRPr="00120BCB">
        <w:rPr>
          <w:b/>
          <w:sz w:val="24"/>
          <w:szCs w:val="24"/>
          <w:lang w:val="it-IT"/>
        </w:rPr>
        <w:t>,</w:t>
      </w:r>
      <w:r w:rsidRPr="00120BCB">
        <w:rPr>
          <w:sz w:val="24"/>
          <w:szCs w:val="24"/>
          <w:lang w:val="it-IT"/>
        </w:rPr>
        <w:t xml:space="preserve"> 3-9.</w:t>
      </w:r>
    </w:p>
    <w:p w14:paraId="623F0DD4" w14:textId="77777777" w:rsidR="00E20B39" w:rsidRPr="00855626" w:rsidRDefault="00E20B39" w:rsidP="00E20B39">
      <w:pPr>
        <w:pStyle w:val="EndNoteBibliography"/>
        <w:ind w:left="720" w:hanging="720"/>
        <w:rPr>
          <w:sz w:val="24"/>
          <w:szCs w:val="24"/>
        </w:rPr>
      </w:pPr>
      <w:r w:rsidRPr="00120BCB">
        <w:rPr>
          <w:sz w:val="24"/>
          <w:szCs w:val="24"/>
          <w:lang w:val="it-IT"/>
        </w:rPr>
        <w:t xml:space="preserve">Marcucci, E., Le Pira, M., Gatta, V., Inturri, G., Ignaccolo, M. &amp; Pluchino, A. 2017b. </w:t>
      </w:r>
      <w:r w:rsidRPr="00855626">
        <w:rPr>
          <w:sz w:val="24"/>
          <w:szCs w:val="24"/>
        </w:rPr>
        <w:t xml:space="preserve">Simulating participatory urban freight transport policy-making: Accounting for heterogeneous stakeholders’ preferences and interaction effects. </w:t>
      </w:r>
      <w:r w:rsidRPr="00855626">
        <w:rPr>
          <w:i/>
          <w:sz w:val="24"/>
          <w:szCs w:val="24"/>
        </w:rPr>
        <w:t>Transportation Research Part E: Logistics and Transportation Review,</w:t>
      </w:r>
      <w:r w:rsidRPr="00855626">
        <w:rPr>
          <w:sz w:val="24"/>
          <w:szCs w:val="24"/>
        </w:rPr>
        <w:t xml:space="preserve"> 103</w:t>
      </w:r>
      <w:r w:rsidRPr="00855626">
        <w:rPr>
          <w:b/>
          <w:sz w:val="24"/>
          <w:szCs w:val="24"/>
        </w:rPr>
        <w:t>,</w:t>
      </w:r>
      <w:r w:rsidRPr="00855626">
        <w:rPr>
          <w:sz w:val="24"/>
          <w:szCs w:val="24"/>
        </w:rPr>
        <w:t xml:space="preserve"> 69-86.</w:t>
      </w:r>
    </w:p>
    <w:p w14:paraId="2FB2425F" w14:textId="77777777" w:rsidR="00E20B39" w:rsidRPr="00855626" w:rsidRDefault="00E20B39" w:rsidP="00E20B39">
      <w:pPr>
        <w:pStyle w:val="EndNoteBibliography"/>
        <w:ind w:left="720" w:hanging="720"/>
        <w:rPr>
          <w:sz w:val="24"/>
          <w:szCs w:val="24"/>
        </w:rPr>
      </w:pPr>
      <w:r w:rsidRPr="00855626">
        <w:rPr>
          <w:sz w:val="24"/>
          <w:szCs w:val="24"/>
        </w:rPr>
        <w:t xml:space="preserve">Marujo, L. G., Goes, G. V., D'agosto, M. A., Ferreira, A. F., Winkenbach, M. &amp; Bandeira, R. a. M. 2018. Assessing the sustainability of mobile depots: The case of urban freight distribution in Rio de Janeiro. </w:t>
      </w:r>
      <w:r w:rsidRPr="00855626">
        <w:rPr>
          <w:i/>
          <w:sz w:val="24"/>
          <w:szCs w:val="24"/>
        </w:rPr>
        <w:t>Transportation Research Part D: Transport and Environment,</w:t>
      </w:r>
      <w:r w:rsidRPr="00855626">
        <w:rPr>
          <w:sz w:val="24"/>
          <w:szCs w:val="24"/>
        </w:rPr>
        <w:t xml:space="preserve"> 62</w:t>
      </w:r>
      <w:r w:rsidRPr="00855626">
        <w:rPr>
          <w:b/>
          <w:sz w:val="24"/>
          <w:szCs w:val="24"/>
        </w:rPr>
        <w:t>,</w:t>
      </w:r>
      <w:r w:rsidRPr="00855626">
        <w:rPr>
          <w:sz w:val="24"/>
          <w:szCs w:val="24"/>
        </w:rPr>
        <w:t xml:space="preserve"> 256-267.</w:t>
      </w:r>
    </w:p>
    <w:p w14:paraId="176C0E53" w14:textId="77777777" w:rsidR="00E20B39" w:rsidRPr="00855626" w:rsidRDefault="00E20B39" w:rsidP="00E20B39">
      <w:pPr>
        <w:pStyle w:val="EndNoteBibliography"/>
        <w:ind w:left="720" w:hanging="720"/>
        <w:rPr>
          <w:sz w:val="24"/>
          <w:szCs w:val="24"/>
        </w:rPr>
      </w:pPr>
      <w:r w:rsidRPr="00855626">
        <w:rPr>
          <w:sz w:val="24"/>
          <w:szCs w:val="24"/>
        </w:rPr>
        <w:t xml:space="preserve">Mazzarino, M. &amp; Rubini, L. 2019. Smart urban planning: Evaluating urban logistics performance of innovative solutions and sustainable policies in the Venice Lagoon-The results of a case study. </w:t>
      </w:r>
      <w:r w:rsidRPr="00855626">
        <w:rPr>
          <w:i/>
          <w:sz w:val="24"/>
          <w:szCs w:val="24"/>
        </w:rPr>
        <w:t>Sustainability (Switzerland),</w:t>
      </w:r>
      <w:r w:rsidRPr="00855626">
        <w:rPr>
          <w:sz w:val="24"/>
          <w:szCs w:val="24"/>
        </w:rPr>
        <w:t xml:space="preserve"> 11.</w:t>
      </w:r>
    </w:p>
    <w:p w14:paraId="13233999" w14:textId="77777777" w:rsidR="00E20B39" w:rsidRPr="00855626" w:rsidRDefault="00E20B39" w:rsidP="00E20B39">
      <w:pPr>
        <w:pStyle w:val="EndNoteBibliography"/>
        <w:ind w:left="720" w:hanging="720"/>
        <w:rPr>
          <w:sz w:val="24"/>
          <w:szCs w:val="24"/>
        </w:rPr>
      </w:pPr>
      <w:r w:rsidRPr="00855626">
        <w:rPr>
          <w:sz w:val="24"/>
          <w:szCs w:val="24"/>
        </w:rPr>
        <w:t xml:space="preserve">Mcdermott, D. R. &amp; Robeson, J. F. 1974. The Role of Terminal Consolidation in Urban Goods Distribution. </w:t>
      </w:r>
      <w:r w:rsidRPr="00855626">
        <w:rPr>
          <w:i/>
          <w:sz w:val="24"/>
          <w:szCs w:val="24"/>
        </w:rPr>
        <w:t>International Journal of Physical Distribution,</w:t>
      </w:r>
      <w:r w:rsidRPr="00855626">
        <w:rPr>
          <w:sz w:val="24"/>
          <w:szCs w:val="24"/>
        </w:rPr>
        <w:t xml:space="preserve"> 4</w:t>
      </w:r>
      <w:r w:rsidRPr="00855626">
        <w:rPr>
          <w:b/>
          <w:sz w:val="24"/>
          <w:szCs w:val="24"/>
        </w:rPr>
        <w:t>,</w:t>
      </w:r>
      <w:r w:rsidRPr="00855626">
        <w:rPr>
          <w:sz w:val="24"/>
          <w:szCs w:val="24"/>
        </w:rPr>
        <w:t xml:space="preserve"> 166-175.</w:t>
      </w:r>
    </w:p>
    <w:p w14:paraId="4F613218" w14:textId="77777777" w:rsidR="00E20B39" w:rsidRPr="00855626" w:rsidRDefault="00E20B39" w:rsidP="00E20B39">
      <w:pPr>
        <w:pStyle w:val="EndNoteBibliography"/>
        <w:ind w:left="720" w:hanging="720"/>
        <w:rPr>
          <w:sz w:val="24"/>
          <w:szCs w:val="24"/>
        </w:rPr>
      </w:pPr>
      <w:r w:rsidRPr="00855626">
        <w:rPr>
          <w:sz w:val="24"/>
          <w:szCs w:val="24"/>
        </w:rPr>
        <w:t xml:space="preserve">Meredith, J. R., Raturi, A., Amoako-Gyampah, K. &amp; Kaplan, B. 1989. Alternative research paradigms in operations. </w:t>
      </w:r>
      <w:r w:rsidRPr="00855626">
        <w:rPr>
          <w:i/>
          <w:sz w:val="24"/>
          <w:szCs w:val="24"/>
        </w:rPr>
        <w:t>Journal of Operations Management,</w:t>
      </w:r>
      <w:r w:rsidRPr="00855626">
        <w:rPr>
          <w:sz w:val="24"/>
          <w:szCs w:val="24"/>
        </w:rPr>
        <w:t xml:space="preserve"> 8</w:t>
      </w:r>
      <w:r w:rsidRPr="00855626">
        <w:rPr>
          <w:b/>
          <w:sz w:val="24"/>
          <w:szCs w:val="24"/>
        </w:rPr>
        <w:t>,</w:t>
      </w:r>
      <w:r w:rsidRPr="00855626">
        <w:rPr>
          <w:sz w:val="24"/>
          <w:szCs w:val="24"/>
        </w:rPr>
        <w:t xml:space="preserve"> 297-326.</w:t>
      </w:r>
    </w:p>
    <w:p w14:paraId="6A9C4074" w14:textId="77777777" w:rsidR="00E20B39" w:rsidRPr="00855626" w:rsidRDefault="00E20B39" w:rsidP="00E20B39">
      <w:pPr>
        <w:pStyle w:val="EndNoteBibliography"/>
        <w:ind w:left="720" w:hanging="720"/>
        <w:rPr>
          <w:sz w:val="24"/>
          <w:szCs w:val="24"/>
        </w:rPr>
      </w:pPr>
      <w:r w:rsidRPr="00855626">
        <w:rPr>
          <w:sz w:val="24"/>
          <w:szCs w:val="24"/>
        </w:rPr>
        <w:t xml:space="preserve">Milan, L., Kin, B., Verlinde, S. &amp; Macharis, C. 2015. Multi-actor multi-criteria analysis for sustainable city distribution: A new assessment framework. </w:t>
      </w:r>
      <w:r w:rsidRPr="00855626">
        <w:rPr>
          <w:i/>
          <w:sz w:val="24"/>
          <w:szCs w:val="24"/>
        </w:rPr>
        <w:t>International Journal of Multicriteria Decision Making,</w:t>
      </w:r>
      <w:r w:rsidRPr="00855626">
        <w:rPr>
          <w:sz w:val="24"/>
          <w:szCs w:val="24"/>
        </w:rPr>
        <w:t xml:space="preserve"> 5</w:t>
      </w:r>
      <w:r w:rsidRPr="00855626">
        <w:rPr>
          <w:b/>
          <w:sz w:val="24"/>
          <w:szCs w:val="24"/>
        </w:rPr>
        <w:t>,</w:t>
      </w:r>
      <w:r w:rsidRPr="00855626">
        <w:rPr>
          <w:sz w:val="24"/>
          <w:szCs w:val="24"/>
        </w:rPr>
        <w:t xml:space="preserve"> 334-354.</w:t>
      </w:r>
    </w:p>
    <w:p w14:paraId="54E65467" w14:textId="77777777" w:rsidR="00E20B39" w:rsidRPr="00855626" w:rsidRDefault="00E20B39" w:rsidP="00E20B39">
      <w:pPr>
        <w:pStyle w:val="EndNoteBibliography"/>
        <w:ind w:left="720" w:hanging="720"/>
        <w:rPr>
          <w:sz w:val="24"/>
          <w:szCs w:val="24"/>
        </w:rPr>
      </w:pPr>
      <w:r w:rsidRPr="00855626">
        <w:rPr>
          <w:sz w:val="24"/>
          <w:szCs w:val="24"/>
        </w:rPr>
        <w:t xml:space="preserve">Mills, A. J., Durepos, G. &amp; Wiebe, E. 2009. </w:t>
      </w:r>
      <w:r w:rsidRPr="00855626">
        <w:rPr>
          <w:i/>
          <w:sz w:val="24"/>
          <w:szCs w:val="24"/>
        </w:rPr>
        <w:t>Encyclopedia of case study research</w:t>
      </w:r>
      <w:r w:rsidRPr="00855626">
        <w:rPr>
          <w:sz w:val="24"/>
          <w:szCs w:val="24"/>
        </w:rPr>
        <w:t>, Sage Publications.</w:t>
      </w:r>
    </w:p>
    <w:p w14:paraId="0BD7E312" w14:textId="77777777" w:rsidR="00E20B39" w:rsidRPr="00855626" w:rsidRDefault="00E20B39" w:rsidP="00E20B39">
      <w:pPr>
        <w:pStyle w:val="EndNoteBibliography"/>
        <w:ind w:left="720" w:hanging="720"/>
        <w:rPr>
          <w:sz w:val="24"/>
          <w:szCs w:val="24"/>
        </w:rPr>
      </w:pPr>
      <w:r w:rsidRPr="00855626">
        <w:rPr>
          <w:sz w:val="24"/>
          <w:szCs w:val="24"/>
        </w:rPr>
        <w:lastRenderedPageBreak/>
        <w:t xml:space="preserve">Miser, H. J. 1997. The Easy Chair: Is It Possible to Have a Good Definitional Description of Operations Research and Management Science? </w:t>
      </w:r>
      <w:r w:rsidRPr="00855626">
        <w:rPr>
          <w:i/>
          <w:sz w:val="24"/>
          <w:szCs w:val="24"/>
        </w:rPr>
        <w:t>Interfaces,</w:t>
      </w:r>
      <w:r w:rsidRPr="00855626">
        <w:rPr>
          <w:sz w:val="24"/>
          <w:szCs w:val="24"/>
        </w:rPr>
        <w:t xml:space="preserve"> 27</w:t>
      </w:r>
      <w:r w:rsidRPr="00855626">
        <w:rPr>
          <w:b/>
          <w:sz w:val="24"/>
          <w:szCs w:val="24"/>
        </w:rPr>
        <w:t>,</w:t>
      </w:r>
      <w:r w:rsidRPr="00855626">
        <w:rPr>
          <w:sz w:val="24"/>
          <w:szCs w:val="24"/>
        </w:rPr>
        <w:t xml:space="preserve"> 16-21.</w:t>
      </w:r>
    </w:p>
    <w:p w14:paraId="2DCCF302" w14:textId="77777777" w:rsidR="00E20B39" w:rsidRPr="00855626" w:rsidRDefault="00E20B39" w:rsidP="00E20B39">
      <w:pPr>
        <w:pStyle w:val="EndNoteBibliography"/>
        <w:ind w:left="720" w:hanging="720"/>
        <w:rPr>
          <w:sz w:val="24"/>
          <w:szCs w:val="24"/>
        </w:rPr>
      </w:pPr>
      <w:r w:rsidRPr="00855626">
        <w:rPr>
          <w:sz w:val="24"/>
          <w:szCs w:val="24"/>
        </w:rPr>
        <w:t xml:space="preserve">Mitchell, R. K., Agle, B. R. &amp; Wood, D. J. 1997. Toward a Theory of Stakeholder Identification and Salience: Defining the Principle of Who and What Really Counts. </w:t>
      </w:r>
      <w:r w:rsidRPr="00855626">
        <w:rPr>
          <w:i/>
          <w:sz w:val="24"/>
          <w:szCs w:val="24"/>
        </w:rPr>
        <w:t>The Academy of Management Review,</w:t>
      </w:r>
      <w:r w:rsidRPr="00855626">
        <w:rPr>
          <w:sz w:val="24"/>
          <w:szCs w:val="24"/>
        </w:rPr>
        <w:t xml:space="preserve"> 22</w:t>
      </w:r>
      <w:r w:rsidRPr="00855626">
        <w:rPr>
          <w:b/>
          <w:sz w:val="24"/>
          <w:szCs w:val="24"/>
        </w:rPr>
        <w:t>,</w:t>
      </w:r>
      <w:r w:rsidRPr="00855626">
        <w:rPr>
          <w:sz w:val="24"/>
          <w:szCs w:val="24"/>
        </w:rPr>
        <w:t xml:space="preserve"> 853-886.</w:t>
      </w:r>
    </w:p>
    <w:p w14:paraId="4387551C" w14:textId="77777777" w:rsidR="00E20B39" w:rsidRPr="00855626" w:rsidRDefault="00E20B39" w:rsidP="00E20B39">
      <w:pPr>
        <w:pStyle w:val="EndNoteBibliography"/>
        <w:ind w:left="720" w:hanging="720"/>
        <w:rPr>
          <w:sz w:val="24"/>
          <w:szCs w:val="24"/>
        </w:rPr>
      </w:pPr>
      <w:r w:rsidRPr="00855626">
        <w:rPr>
          <w:sz w:val="24"/>
          <w:szCs w:val="24"/>
        </w:rPr>
        <w:t xml:space="preserve">Mommens, K., Lebeau, P., Verlinde, S., Van Lier, T. &amp; Macharis, C. 2018. Evaluating the impact of off-hour deliveries: An application of the TRansport Agent-BAsed model. </w:t>
      </w:r>
      <w:r w:rsidRPr="00855626">
        <w:rPr>
          <w:i/>
          <w:sz w:val="24"/>
          <w:szCs w:val="24"/>
        </w:rPr>
        <w:t>Transportation Research Part D: Transport and Environment,</w:t>
      </w:r>
      <w:r w:rsidRPr="00855626">
        <w:rPr>
          <w:sz w:val="24"/>
          <w:szCs w:val="24"/>
        </w:rPr>
        <w:t xml:space="preserve"> 62</w:t>
      </w:r>
      <w:r w:rsidRPr="00855626">
        <w:rPr>
          <w:b/>
          <w:sz w:val="24"/>
          <w:szCs w:val="24"/>
        </w:rPr>
        <w:t>,</w:t>
      </w:r>
      <w:r w:rsidRPr="00855626">
        <w:rPr>
          <w:sz w:val="24"/>
          <w:szCs w:val="24"/>
        </w:rPr>
        <w:t xml:space="preserve"> 102-111.</w:t>
      </w:r>
    </w:p>
    <w:p w14:paraId="5476DFE9" w14:textId="77777777" w:rsidR="00E20B39" w:rsidRPr="00855626" w:rsidRDefault="00E20B39" w:rsidP="00E20B39">
      <w:pPr>
        <w:pStyle w:val="EndNoteBibliography"/>
        <w:ind w:left="720" w:hanging="720"/>
        <w:rPr>
          <w:sz w:val="24"/>
          <w:szCs w:val="24"/>
        </w:rPr>
      </w:pPr>
      <w:r w:rsidRPr="00855626">
        <w:rPr>
          <w:sz w:val="24"/>
          <w:szCs w:val="24"/>
        </w:rPr>
        <w:t xml:space="preserve">Montoya-Torres, J. R., Muñoz-Villamizar, A. &amp; Vega-Mejía, C. A. 2016. On the impact of collaborative strategies for goods delivery in city logistics. </w:t>
      </w:r>
      <w:r w:rsidRPr="00855626">
        <w:rPr>
          <w:i/>
          <w:sz w:val="24"/>
          <w:szCs w:val="24"/>
        </w:rPr>
        <w:t>Production Planning &amp; Control,</w:t>
      </w:r>
      <w:r w:rsidRPr="00855626">
        <w:rPr>
          <w:sz w:val="24"/>
          <w:szCs w:val="24"/>
        </w:rPr>
        <w:t xml:space="preserve"> 27</w:t>
      </w:r>
      <w:r w:rsidRPr="00855626">
        <w:rPr>
          <w:b/>
          <w:sz w:val="24"/>
          <w:szCs w:val="24"/>
        </w:rPr>
        <w:t>,</w:t>
      </w:r>
      <w:r w:rsidRPr="00855626">
        <w:rPr>
          <w:sz w:val="24"/>
          <w:szCs w:val="24"/>
        </w:rPr>
        <w:t xml:space="preserve"> 443-455.</w:t>
      </w:r>
    </w:p>
    <w:p w14:paraId="45F143B6" w14:textId="77777777" w:rsidR="00E20B39" w:rsidRPr="00855626" w:rsidRDefault="00E20B39" w:rsidP="00E20B39">
      <w:pPr>
        <w:pStyle w:val="EndNoteBibliography"/>
        <w:ind w:left="720" w:hanging="720"/>
        <w:rPr>
          <w:sz w:val="24"/>
          <w:szCs w:val="24"/>
        </w:rPr>
      </w:pPr>
      <w:r w:rsidRPr="00855626">
        <w:rPr>
          <w:sz w:val="24"/>
          <w:szCs w:val="24"/>
        </w:rPr>
        <w:t xml:space="preserve">Morana, J. &amp; Gonzalez-Feliu, J. 2015. A sustainable urban logistics dashboard from the perspective of a group of operational managers. </w:t>
      </w:r>
      <w:r w:rsidRPr="00855626">
        <w:rPr>
          <w:i/>
          <w:sz w:val="24"/>
          <w:szCs w:val="24"/>
        </w:rPr>
        <w:t>Management Research Review,</w:t>
      </w:r>
      <w:r w:rsidRPr="00855626">
        <w:rPr>
          <w:sz w:val="24"/>
          <w:szCs w:val="24"/>
        </w:rPr>
        <w:t xml:space="preserve"> 38</w:t>
      </w:r>
      <w:r w:rsidRPr="00855626">
        <w:rPr>
          <w:b/>
          <w:sz w:val="24"/>
          <w:szCs w:val="24"/>
        </w:rPr>
        <w:t>,</w:t>
      </w:r>
      <w:r w:rsidRPr="00855626">
        <w:rPr>
          <w:sz w:val="24"/>
          <w:szCs w:val="24"/>
        </w:rPr>
        <w:t xml:space="preserve"> 1068-1085.</w:t>
      </w:r>
    </w:p>
    <w:p w14:paraId="13B18AF8" w14:textId="77777777" w:rsidR="00E20B39" w:rsidRPr="00855626" w:rsidRDefault="00E20B39" w:rsidP="00E20B39">
      <w:pPr>
        <w:pStyle w:val="EndNoteBibliography"/>
        <w:ind w:left="720" w:hanging="720"/>
        <w:rPr>
          <w:sz w:val="24"/>
          <w:szCs w:val="24"/>
        </w:rPr>
      </w:pPr>
      <w:r w:rsidRPr="00855626">
        <w:rPr>
          <w:sz w:val="24"/>
          <w:szCs w:val="24"/>
        </w:rPr>
        <w:t xml:space="preserve">Morana, J., Gonzalez-Feliu, J. &amp; Semet, F. 2014. Urban Consolidation and Logistics Pooling. </w:t>
      </w:r>
      <w:r w:rsidRPr="00855626">
        <w:rPr>
          <w:i/>
          <w:sz w:val="24"/>
          <w:szCs w:val="24"/>
        </w:rPr>
        <w:t>In:</w:t>
      </w:r>
      <w:r w:rsidRPr="00855626">
        <w:rPr>
          <w:sz w:val="24"/>
          <w:szCs w:val="24"/>
        </w:rPr>
        <w:t xml:space="preserve"> GONZALEZ-FELIU, J., SEMET, F. &amp; ROUTHIER, J.-L. (eds.) </w:t>
      </w:r>
      <w:r w:rsidRPr="00855626">
        <w:rPr>
          <w:i/>
          <w:sz w:val="24"/>
          <w:szCs w:val="24"/>
        </w:rPr>
        <w:t>Sustainable Urban Logistics: Concepts, Methods and Information Systems.</w:t>
      </w:r>
      <w:r w:rsidRPr="00855626">
        <w:rPr>
          <w:sz w:val="24"/>
          <w:szCs w:val="24"/>
        </w:rPr>
        <w:t xml:space="preserve"> Berlin, Heidelberg: Springer Berlin Heidelberg.</w:t>
      </w:r>
    </w:p>
    <w:p w14:paraId="63804842" w14:textId="77777777" w:rsidR="00E20B39" w:rsidRPr="00855626" w:rsidRDefault="00E20B39" w:rsidP="00E20B39">
      <w:pPr>
        <w:pStyle w:val="EndNoteBibliography"/>
        <w:ind w:left="720" w:hanging="720"/>
        <w:rPr>
          <w:sz w:val="24"/>
          <w:szCs w:val="24"/>
        </w:rPr>
      </w:pPr>
      <w:r w:rsidRPr="00120BCB">
        <w:rPr>
          <w:sz w:val="24"/>
          <w:szCs w:val="24"/>
          <w:lang w:val="it-IT"/>
        </w:rPr>
        <w:t xml:space="preserve">Morganti, E. &amp; Gonzalez-Feliu, J. 2015. </w:t>
      </w:r>
      <w:r w:rsidRPr="00855626">
        <w:rPr>
          <w:sz w:val="24"/>
          <w:szCs w:val="24"/>
        </w:rPr>
        <w:t xml:space="preserve">City logistics for perishable products. The case of the Parma's Food Hub. </w:t>
      </w:r>
      <w:r w:rsidRPr="00855626">
        <w:rPr>
          <w:i/>
          <w:sz w:val="24"/>
          <w:szCs w:val="24"/>
        </w:rPr>
        <w:t>Case Studies on Transport Policy,</w:t>
      </w:r>
      <w:r w:rsidRPr="00855626">
        <w:rPr>
          <w:sz w:val="24"/>
          <w:szCs w:val="24"/>
        </w:rPr>
        <w:t xml:space="preserve"> 3</w:t>
      </w:r>
      <w:r w:rsidRPr="00855626">
        <w:rPr>
          <w:b/>
          <w:sz w:val="24"/>
          <w:szCs w:val="24"/>
        </w:rPr>
        <w:t>,</w:t>
      </w:r>
      <w:r w:rsidRPr="00855626">
        <w:rPr>
          <w:sz w:val="24"/>
          <w:szCs w:val="24"/>
        </w:rPr>
        <w:t xml:space="preserve"> 120-128.</w:t>
      </w:r>
    </w:p>
    <w:p w14:paraId="297C3145" w14:textId="77777777" w:rsidR="00E20B39" w:rsidRPr="00855626" w:rsidRDefault="00E20B39" w:rsidP="00E20B39">
      <w:pPr>
        <w:pStyle w:val="EndNoteBibliography"/>
        <w:ind w:left="720" w:hanging="720"/>
        <w:rPr>
          <w:sz w:val="24"/>
          <w:szCs w:val="24"/>
        </w:rPr>
      </w:pPr>
      <w:r w:rsidRPr="00855626">
        <w:rPr>
          <w:sz w:val="24"/>
          <w:szCs w:val="24"/>
        </w:rPr>
        <w:t xml:space="preserve">Moroz, M. &amp; Polkowski, Z. 2016. The Last Mile Issue and Urban Logistics: Choosing Parcel Machines in the Context of the Ecological Attitudes of the Y Generation Consumers Purchasing Online. </w:t>
      </w:r>
      <w:r w:rsidRPr="00855626">
        <w:rPr>
          <w:i/>
          <w:sz w:val="24"/>
          <w:szCs w:val="24"/>
        </w:rPr>
        <w:t>Transportation Research Procedia,</w:t>
      </w:r>
      <w:r w:rsidRPr="00855626">
        <w:rPr>
          <w:sz w:val="24"/>
          <w:szCs w:val="24"/>
        </w:rPr>
        <w:t xml:space="preserve"> 16</w:t>
      </w:r>
      <w:r w:rsidRPr="00855626">
        <w:rPr>
          <w:b/>
          <w:sz w:val="24"/>
          <w:szCs w:val="24"/>
        </w:rPr>
        <w:t>,</w:t>
      </w:r>
      <w:r w:rsidRPr="00855626">
        <w:rPr>
          <w:sz w:val="24"/>
          <w:szCs w:val="24"/>
        </w:rPr>
        <w:t xml:space="preserve"> 378-393.</w:t>
      </w:r>
    </w:p>
    <w:p w14:paraId="4ADD7263" w14:textId="77777777" w:rsidR="00E20B39" w:rsidRPr="00855626" w:rsidRDefault="00E20B39" w:rsidP="00E20B39">
      <w:pPr>
        <w:pStyle w:val="EndNoteBibliography"/>
        <w:ind w:left="720" w:hanging="720"/>
        <w:rPr>
          <w:sz w:val="24"/>
          <w:szCs w:val="24"/>
        </w:rPr>
      </w:pPr>
      <w:r w:rsidRPr="00855626">
        <w:rPr>
          <w:sz w:val="24"/>
          <w:szCs w:val="24"/>
        </w:rPr>
        <w:t xml:space="preserve">Moutaoukil, A., Neubert, G. &amp; Derrouiche, R. 2015. Urban Freight Distribution: The impact of delivery time on sustainability. </w:t>
      </w:r>
      <w:r w:rsidRPr="00855626">
        <w:rPr>
          <w:i/>
          <w:sz w:val="24"/>
          <w:szCs w:val="24"/>
        </w:rPr>
        <w:t>IFAC-PapersOnLine,</w:t>
      </w:r>
      <w:r w:rsidRPr="00855626">
        <w:rPr>
          <w:sz w:val="24"/>
          <w:szCs w:val="24"/>
        </w:rPr>
        <w:t xml:space="preserve"> 48</w:t>
      </w:r>
      <w:r w:rsidRPr="00855626">
        <w:rPr>
          <w:b/>
          <w:sz w:val="24"/>
          <w:szCs w:val="24"/>
        </w:rPr>
        <w:t>,</w:t>
      </w:r>
      <w:r w:rsidRPr="00855626">
        <w:rPr>
          <w:sz w:val="24"/>
          <w:szCs w:val="24"/>
        </w:rPr>
        <w:t xml:space="preserve"> 2368-2373.</w:t>
      </w:r>
    </w:p>
    <w:p w14:paraId="60E6E068" w14:textId="77777777" w:rsidR="00E20B39" w:rsidRPr="00855626" w:rsidRDefault="00E20B39" w:rsidP="00E20B39">
      <w:pPr>
        <w:pStyle w:val="EndNoteBibliography"/>
        <w:ind w:left="720" w:hanging="720"/>
        <w:rPr>
          <w:sz w:val="24"/>
          <w:szCs w:val="24"/>
        </w:rPr>
      </w:pPr>
      <w:r w:rsidRPr="00855626">
        <w:rPr>
          <w:sz w:val="24"/>
          <w:szCs w:val="24"/>
        </w:rPr>
        <w:t xml:space="preserve">Munilla, L. S. &amp; Miles, M. P. 2005. The corporate social responsibility continuum as a component of stakeholder theory. </w:t>
      </w:r>
      <w:r w:rsidRPr="00855626">
        <w:rPr>
          <w:i/>
          <w:sz w:val="24"/>
          <w:szCs w:val="24"/>
        </w:rPr>
        <w:t>Business and society review,</w:t>
      </w:r>
      <w:r w:rsidRPr="00855626">
        <w:rPr>
          <w:sz w:val="24"/>
          <w:szCs w:val="24"/>
        </w:rPr>
        <w:t xml:space="preserve"> 110</w:t>
      </w:r>
      <w:r w:rsidRPr="00855626">
        <w:rPr>
          <w:b/>
          <w:sz w:val="24"/>
          <w:szCs w:val="24"/>
        </w:rPr>
        <w:t>,</w:t>
      </w:r>
      <w:r w:rsidRPr="00855626">
        <w:rPr>
          <w:sz w:val="24"/>
          <w:szCs w:val="24"/>
        </w:rPr>
        <w:t xml:space="preserve"> 371-387.</w:t>
      </w:r>
    </w:p>
    <w:p w14:paraId="1E764521" w14:textId="77777777" w:rsidR="00E20B39" w:rsidRPr="00855626" w:rsidRDefault="00E20B39" w:rsidP="00E20B39">
      <w:pPr>
        <w:pStyle w:val="EndNoteBibliography"/>
        <w:ind w:left="720" w:hanging="720"/>
        <w:rPr>
          <w:sz w:val="24"/>
          <w:szCs w:val="24"/>
        </w:rPr>
      </w:pPr>
      <w:r w:rsidRPr="00855626">
        <w:rPr>
          <w:sz w:val="24"/>
          <w:szCs w:val="24"/>
        </w:rPr>
        <w:t xml:space="preserve">Muñoz-Villamizar, A., Montoya-Torres, J. R. &amp; Faulin, J. 2017. Impact of the use of electric vehicles in collaborative urban transport networks: A case study. </w:t>
      </w:r>
      <w:r w:rsidRPr="00855626">
        <w:rPr>
          <w:i/>
          <w:sz w:val="24"/>
          <w:szCs w:val="24"/>
        </w:rPr>
        <w:t>Transportation Research Part D: Transport and Environment,</w:t>
      </w:r>
      <w:r w:rsidRPr="00855626">
        <w:rPr>
          <w:sz w:val="24"/>
          <w:szCs w:val="24"/>
        </w:rPr>
        <w:t xml:space="preserve"> 50</w:t>
      </w:r>
      <w:r w:rsidRPr="00855626">
        <w:rPr>
          <w:b/>
          <w:sz w:val="24"/>
          <w:szCs w:val="24"/>
        </w:rPr>
        <w:t>,</w:t>
      </w:r>
      <w:r w:rsidRPr="00855626">
        <w:rPr>
          <w:sz w:val="24"/>
          <w:szCs w:val="24"/>
        </w:rPr>
        <w:t xml:space="preserve"> 40-54.</w:t>
      </w:r>
    </w:p>
    <w:p w14:paraId="162E5D4D" w14:textId="77777777" w:rsidR="00E20B39" w:rsidRPr="00120BCB" w:rsidRDefault="00E20B39" w:rsidP="00E20B39">
      <w:pPr>
        <w:pStyle w:val="EndNoteBibliography"/>
        <w:ind w:left="720" w:hanging="720"/>
        <w:rPr>
          <w:sz w:val="24"/>
          <w:szCs w:val="24"/>
          <w:lang w:val="it-IT"/>
        </w:rPr>
      </w:pPr>
      <w:r w:rsidRPr="00855626">
        <w:rPr>
          <w:sz w:val="24"/>
          <w:szCs w:val="24"/>
        </w:rPr>
        <w:t xml:space="preserve">Muñoz-Villamizar, A. F., Montoya-Torres, J. R. &amp; Herazo-Padilla, N. 2014. Mathematical programming modeling and resolution of the location-routing problem in urban logistics. </w:t>
      </w:r>
      <w:r w:rsidRPr="00120BCB">
        <w:rPr>
          <w:i/>
          <w:sz w:val="24"/>
          <w:szCs w:val="24"/>
          <w:lang w:val="it-IT"/>
        </w:rPr>
        <w:t>Ingeniería y Universidad,</w:t>
      </w:r>
      <w:r w:rsidRPr="00120BCB">
        <w:rPr>
          <w:sz w:val="24"/>
          <w:szCs w:val="24"/>
          <w:lang w:val="it-IT"/>
        </w:rPr>
        <w:t xml:space="preserve"> 18</w:t>
      </w:r>
      <w:r w:rsidRPr="00120BCB">
        <w:rPr>
          <w:b/>
          <w:sz w:val="24"/>
          <w:szCs w:val="24"/>
          <w:lang w:val="it-IT"/>
        </w:rPr>
        <w:t>,</w:t>
      </w:r>
      <w:r w:rsidRPr="00120BCB">
        <w:rPr>
          <w:sz w:val="24"/>
          <w:szCs w:val="24"/>
          <w:lang w:val="it-IT"/>
        </w:rPr>
        <w:t xml:space="preserve"> 271-289.</w:t>
      </w:r>
    </w:p>
    <w:p w14:paraId="3BCE190D" w14:textId="77777777" w:rsidR="00E20B39" w:rsidRPr="00855626" w:rsidRDefault="00E20B39" w:rsidP="00E20B39">
      <w:pPr>
        <w:pStyle w:val="EndNoteBibliography"/>
        <w:ind w:left="720" w:hanging="720"/>
        <w:rPr>
          <w:sz w:val="24"/>
          <w:szCs w:val="24"/>
        </w:rPr>
      </w:pPr>
      <w:r w:rsidRPr="00120BCB">
        <w:rPr>
          <w:sz w:val="24"/>
          <w:szCs w:val="24"/>
          <w:lang w:val="it-IT"/>
        </w:rPr>
        <w:t xml:space="preserve">Munuzuri, J., Cortes, P., Grosso, R. &amp; Guadix, J. 2012. </w:t>
      </w:r>
      <w:r w:rsidRPr="00855626">
        <w:rPr>
          <w:sz w:val="24"/>
          <w:szCs w:val="24"/>
        </w:rPr>
        <w:t xml:space="preserve">Selecting the location of minihubs for freight delivery in congested downtown areas. </w:t>
      </w:r>
      <w:r w:rsidRPr="00855626">
        <w:rPr>
          <w:i/>
          <w:sz w:val="24"/>
          <w:szCs w:val="24"/>
        </w:rPr>
        <w:t>Journal of Computational Science,</w:t>
      </w:r>
      <w:r w:rsidRPr="00855626">
        <w:rPr>
          <w:sz w:val="24"/>
          <w:szCs w:val="24"/>
        </w:rPr>
        <w:t xml:space="preserve"> 3</w:t>
      </w:r>
      <w:r w:rsidRPr="00855626">
        <w:rPr>
          <w:b/>
          <w:sz w:val="24"/>
          <w:szCs w:val="24"/>
        </w:rPr>
        <w:t>,</w:t>
      </w:r>
      <w:r w:rsidRPr="00855626">
        <w:rPr>
          <w:sz w:val="24"/>
          <w:szCs w:val="24"/>
        </w:rPr>
        <w:t xml:space="preserve"> 228-237.</w:t>
      </w:r>
    </w:p>
    <w:p w14:paraId="013F3259" w14:textId="77777777" w:rsidR="00E20B39" w:rsidRPr="00855626" w:rsidRDefault="00E20B39" w:rsidP="00E20B39">
      <w:pPr>
        <w:pStyle w:val="EndNoteBibliography"/>
        <w:ind w:left="720" w:hanging="720"/>
        <w:rPr>
          <w:sz w:val="24"/>
          <w:szCs w:val="24"/>
        </w:rPr>
      </w:pPr>
      <w:r w:rsidRPr="00855626">
        <w:rPr>
          <w:sz w:val="24"/>
          <w:szCs w:val="24"/>
        </w:rPr>
        <w:t xml:space="preserve">Muñuzuri, J., Cortés, P., Grosso, R. &amp; Guadix, J. 2012. Selecting the location of minihubs for freight delivery in congested downtown areas. </w:t>
      </w:r>
      <w:r w:rsidRPr="00855626">
        <w:rPr>
          <w:i/>
          <w:sz w:val="24"/>
          <w:szCs w:val="24"/>
        </w:rPr>
        <w:t>Journal of Computational Science,</w:t>
      </w:r>
      <w:r w:rsidRPr="00855626">
        <w:rPr>
          <w:sz w:val="24"/>
          <w:szCs w:val="24"/>
        </w:rPr>
        <w:t xml:space="preserve"> 3</w:t>
      </w:r>
      <w:r w:rsidRPr="00855626">
        <w:rPr>
          <w:b/>
          <w:sz w:val="24"/>
          <w:szCs w:val="24"/>
        </w:rPr>
        <w:t>,</w:t>
      </w:r>
      <w:r w:rsidRPr="00855626">
        <w:rPr>
          <w:sz w:val="24"/>
          <w:szCs w:val="24"/>
        </w:rPr>
        <w:t xml:space="preserve"> 228-237.</w:t>
      </w:r>
    </w:p>
    <w:p w14:paraId="3E7A20A9" w14:textId="77777777" w:rsidR="00E20B39" w:rsidRPr="00855626" w:rsidRDefault="00E20B39" w:rsidP="00E20B39">
      <w:pPr>
        <w:pStyle w:val="EndNoteBibliography"/>
        <w:ind w:left="720" w:hanging="720"/>
        <w:rPr>
          <w:sz w:val="24"/>
          <w:szCs w:val="24"/>
        </w:rPr>
      </w:pPr>
      <w:r w:rsidRPr="00855626">
        <w:rPr>
          <w:sz w:val="24"/>
          <w:szCs w:val="24"/>
        </w:rPr>
        <w:lastRenderedPageBreak/>
        <w:t xml:space="preserve">Muñuzuri, J., Cortés, P., Onieva, L. &amp; Guadix, J. 2009. Modeling Freight Delivery Flows: Missing Link of Urban Transport Analysis. </w:t>
      </w:r>
      <w:r w:rsidRPr="00855626">
        <w:rPr>
          <w:i/>
          <w:sz w:val="24"/>
          <w:szCs w:val="24"/>
        </w:rPr>
        <w:t>Journal of Urban Planning and Development,</w:t>
      </w:r>
      <w:r w:rsidRPr="00855626">
        <w:rPr>
          <w:sz w:val="24"/>
          <w:szCs w:val="24"/>
        </w:rPr>
        <w:t xml:space="preserve"> 135</w:t>
      </w:r>
      <w:r w:rsidRPr="00855626">
        <w:rPr>
          <w:b/>
          <w:sz w:val="24"/>
          <w:szCs w:val="24"/>
        </w:rPr>
        <w:t>,</w:t>
      </w:r>
      <w:r w:rsidRPr="00855626">
        <w:rPr>
          <w:sz w:val="24"/>
          <w:szCs w:val="24"/>
        </w:rPr>
        <w:t xml:space="preserve"> 91-99.</w:t>
      </w:r>
    </w:p>
    <w:p w14:paraId="1DC1B2A4" w14:textId="77777777" w:rsidR="00E20B39" w:rsidRPr="00855626" w:rsidRDefault="00E20B39" w:rsidP="00E20B39">
      <w:pPr>
        <w:pStyle w:val="EndNoteBibliography"/>
        <w:ind w:left="720" w:hanging="720"/>
        <w:rPr>
          <w:sz w:val="24"/>
          <w:szCs w:val="24"/>
        </w:rPr>
      </w:pPr>
      <w:r w:rsidRPr="00855626">
        <w:rPr>
          <w:sz w:val="24"/>
          <w:szCs w:val="24"/>
        </w:rPr>
        <w:t xml:space="preserve">Muñuzuri, J., Cortés, P., Onieva, L. &amp; Guadix, J. 2010. Modelling peak-hour urban freight movements with limited data availability. </w:t>
      </w:r>
      <w:r w:rsidRPr="00855626">
        <w:rPr>
          <w:i/>
          <w:sz w:val="24"/>
          <w:szCs w:val="24"/>
        </w:rPr>
        <w:t>Computers &amp; Industrial Engineering,</w:t>
      </w:r>
      <w:r w:rsidRPr="00855626">
        <w:rPr>
          <w:sz w:val="24"/>
          <w:szCs w:val="24"/>
        </w:rPr>
        <w:t xml:space="preserve"> 59</w:t>
      </w:r>
      <w:r w:rsidRPr="00855626">
        <w:rPr>
          <w:b/>
          <w:sz w:val="24"/>
          <w:szCs w:val="24"/>
        </w:rPr>
        <w:t>,</w:t>
      </w:r>
      <w:r w:rsidRPr="00855626">
        <w:rPr>
          <w:sz w:val="24"/>
          <w:szCs w:val="24"/>
        </w:rPr>
        <w:t xml:space="preserve"> 34-44.</w:t>
      </w:r>
    </w:p>
    <w:p w14:paraId="2492BCFA" w14:textId="77777777" w:rsidR="00E20B39" w:rsidRPr="00120BCB" w:rsidRDefault="00E20B39" w:rsidP="00E20B39">
      <w:pPr>
        <w:pStyle w:val="EndNoteBibliography"/>
        <w:ind w:left="720" w:hanging="720"/>
        <w:rPr>
          <w:sz w:val="24"/>
          <w:szCs w:val="24"/>
          <w:lang w:val="it-IT"/>
        </w:rPr>
      </w:pPr>
      <w:r w:rsidRPr="00855626">
        <w:rPr>
          <w:sz w:val="24"/>
          <w:szCs w:val="24"/>
        </w:rPr>
        <w:t xml:space="preserve">Muñuzuri, J., Cortés, P., Onieva, L. &amp; Guadix, J. 2013a. Simulating the effects of pedestrianisation on urban freight deliveries. </w:t>
      </w:r>
      <w:r w:rsidRPr="00120BCB">
        <w:rPr>
          <w:i/>
          <w:sz w:val="24"/>
          <w:szCs w:val="24"/>
          <w:lang w:val="it-IT"/>
        </w:rPr>
        <w:t>European Transport\Trasporti Europei</w:t>
      </w:r>
      <w:r w:rsidRPr="00120BCB">
        <w:rPr>
          <w:b/>
          <w:sz w:val="24"/>
          <w:szCs w:val="24"/>
          <w:lang w:val="it-IT"/>
        </w:rPr>
        <w:t>,</w:t>
      </w:r>
      <w:r w:rsidRPr="00120BCB">
        <w:rPr>
          <w:sz w:val="24"/>
          <w:szCs w:val="24"/>
          <w:lang w:val="it-IT"/>
        </w:rPr>
        <w:t xml:space="preserve"> 1-10.</w:t>
      </w:r>
    </w:p>
    <w:p w14:paraId="32B5240F" w14:textId="77777777" w:rsidR="00E20B39" w:rsidRPr="00855626" w:rsidRDefault="00E20B39" w:rsidP="00E20B39">
      <w:pPr>
        <w:pStyle w:val="EndNoteBibliography"/>
        <w:ind w:left="720" w:hanging="720"/>
        <w:rPr>
          <w:sz w:val="24"/>
          <w:szCs w:val="24"/>
        </w:rPr>
      </w:pPr>
      <w:r w:rsidRPr="00120BCB">
        <w:rPr>
          <w:sz w:val="24"/>
          <w:szCs w:val="24"/>
          <w:lang w:val="it-IT"/>
        </w:rPr>
        <w:t xml:space="preserve">Muñuzuri, J., Grosso, R., Cortés, P. &amp; Guadix, J. 2013b. </w:t>
      </w:r>
      <w:r w:rsidRPr="00855626">
        <w:rPr>
          <w:sz w:val="24"/>
          <w:szCs w:val="24"/>
        </w:rPr>
        <w:t xml:space="preserve">Estimating the extra costs imposed on delivery vehicles using access time windows in a city. </w:t>
      </w:r>
      <w:r w:rsidRPr="00855626">
        <w:rPr>
          <w:i/>
          <w:sz w:val="24"/>
          <w:szCs w:val="24"/>
        </w:rPr>
        <w:t>Computers, Environment and Urban Systems,</w:t>
      </w:r>
      <w:r w:rsidRPr="00855626">
        <w:rPr>
          <w:sz w:val="24"/>
          <w:szCs w:val="24"/>
        </w:rPr>
        <w:t xml:space="preserve"> 41</w:t>
      </w:r>
      <w:r w:rsidRPr="00855626">
        <w:rPr>
          <w:b/>
          <w:sz w:val="24"/>
          <w:szCs w:val="24"/>
        </w:rPr>
        <w:t>,</w:t>
      </w:r>
      <w:r w:rsidRPr="00855626">
        <w:rPr>
          <w:sz w:val="24"/>
          <w:szCs w:val="24"/>
        </w:rPr>
        <w:t xml:space="preserve"> 262-275.</w:t>
      </w:r>
    </w:p>
    <w:p w14:paraId="15DD98A2" w14:textId="77777777" w:rsidR="00E20B39" w:rsidRPr="00855626" w:rsidRDefault="00E20B39" w:rsidP="00E20B39">
      <w:pPr>
        <w:pStyle w:val="EndNoteBibliography"/>
        <w:ind w:left="720" w:hanging="720"/>
        <w:rPr>
          <w:sz w:val="24"/>
          <w:szCs w:val="24"/>
        </w:rPr>
      </w:pPr>
      <w:r w:rsidRPr="00855626">
        <w:rPr>
          <w:sz w:val="24"/>
          <w:szCs w:val="24"/>
        </w:rPr>
        <w:t xml:space="preserve">Muñuzuri, J., Larrañeta, J., Onieva, L. &amp; Cortés, P. 2005. Solutions applicable by local administrations for urban logistics improvement. </w:t>
      </w:r>
      <w:r w:rsidRPr="00855626">
        <w:rPr>
          <w:i/>
          <w:sz w:val="24"/>
          <w:szCs w:val="24"/>
        </w:rPr>
        <w:t>Cities,</w:t>
      </w:r>
      <w:r w:rsidRPr="00855626">
        <w:rPr>
          <w:sz w:val="24"/>
          <w:szCs w:val="24"/>
        </w:rPr>
        <w:t xml:space="preserve"> 22</w:t>
      </w:r>
      <w:r w:rsidRPr="00855626">
        <w:rPr>
          <w:b/>
          <w:sz w:val="24"/>
          <w:szCs w:val="24"/>
        </w:rPr>
        <w:t>,</w:t>
      </w:r>
      <w:r w:rsidRPr="00855626">
        <w:rPr>
          <w:sz w:val="24"/>
          <w:szCs w:val="24"/>
        </w:rPr>
        <w:t xml:space="preserve"> 15-28.</w:t>
      </w:r>
    </w:p>
    <w:p w14:paraId="42911AA6" w14:textId="77777777" w:rsidR="00E20B39" w:rsidRPr="00855626" w:rsidRDefault="00E20B39" w:rsidP="00E20B39">
      <w:pPr>
        <w:pStyle w:val="EndNoteBibliography"/>
        <w:ind w:left="720" w:hanging="720"/>
        <w:rPr>
          <w:sz w:val="24"/>
          <w:szCs w:val="24"/>
        </w:rPr>
      </w:pPr>
      <w:r w:rsidRPr="00855626">
        <w:rPr>
          <w:sz w:val="24"/>
          <w:szCs w:val="24"/>
        </w:rPr>
        <w:t xml:space="preserve">Nadarajah, S. &amp; Bookbinder, J. H. 2013. Less-Than-Truckload carrier collaboration problem: modeling framework and solution approach. </w:t>
      </w:r>
      <w:r w:rsidRPr="00855626">
        <w:rPr>
          <w:i/>
          <w:sz w:val="24"/>
          <w:szCs w:val="24"/>
        </w:rPr>
        <w:t>Journal of Heuristics,</w:t>
      </w:r>
      <w:r w:rsidRPr="00855626">
        <w:rPr>
          <w:sz w:val="24"/>
          <w:szCs w:val="24"/>
        </w:rPr>
        <w:t xml:space="preserve"> 19</w:t>
      </w:r>
      <w:r w:rsidRPr="00855626">
        <w:rPr>
          <w:b/>
          <w:sz w:val="24"/>
          <w:szCs w:val="24"/>
        </w:rPr>
        <w:t>,</w:t>
      </w:r>
      <w:r w:rsidRPr="00855626">
        <w:rPr>
          <w:sz w:val="24"/>
          <w:szCs w:val="24"/>
        </w:rPr>
        <w:t xml:space="preserve"> 917-942.</w:t>
      </w:r>
    </w:p>
    <w:p w14:paraId="36CCA660" w14:textId="77777777" w:rsidR="00E20B39" w:rsidRPr="00855626" w:rsidRDefault="00E20B39" w:rsidP="00E20B39">
      <w:pPr>
        <w:pStyle w:val="EndNoteBibliography"/>
        <w:ind w:left="720" w:hanging="720"/>
        <w:rPr>
          <w:sz w:val="24"/>
          <w:szCs w:val="24"/>
        </w:rPr>
      </w:pPr>
      <w:r w:rsidRPr="00855626">
        <w:rPr>
          <w:sz w:val="24"/>
          <w:szCs w:val="24"/>
        </w:rPr>
        <w:t xml:space="preserve">Nataraj, S., Ferone, D., Quintero-Araujo, C., Juan, A. A. &amp; Festa, P. 2019. Consolidation centers in city logistics: A cooperative approach based on the location routing problem. </w:t>
      </w:r>
      <w:r w:rsidRPr="00855626">
        <w:rPr>
          <w:i/>
          <w:sz w:val="24"/>
          <w:szCs w:val="24"/>
        </w:rPr>
        <w:t>International Journal of Industrial Engineering Computations,</w:t>
      </w:r>
      <w:r w:rsidRPr="00855626">
        <w:rPr>
          <w:sz w:val="24"/>
          <w:szCs w:val="24"/>
        </w:rPr>
        <w:t xml:space="preserve"> 10</w:t>
      </w:r>
      <w:r w:rsidRPr="00855626">
        <w:rPr>
          <w:b/>
          <w:sz w:val="24"/>
          <w:szCs w:val="24"/>
        </w:rPr>
        <w:t>,</w:t>
      </w:r>
      <w:r w:rsidRPr="00855626">
        <w:rPr>
          <w:sz w:val="24"/>
          <w:szCs w:val="24"/>
        </w:rPr>
        <w:t xml:space="preserve"> 393-404.</w:t>
      </w:r>
    </w:p>
    <w:p w14:paraId="3C4BD9C4" w14:textId="77777777" w:rsidR="00E20B39" w:rsidRPr="00855626" w:rsidRDefault="00E20B39" w:rsidP="00E20B39">
      <w:pPr>
        <w:pStyle w:val="EndNoteBibliography"/>
        <w:ind w:left="720" w:hanging="720"/>
        <w:rPr>
          <w:sz w:val="24"/>
          <w:szCs w:val="24"/>
        </w:rPr>
      </w:pPr>
      <w:r w:rsidRPr="00855626">
        <w:rPr>
          <w:sz w:val="24"/>
          <w:szCs w:val="24"/>
        </w:rPr>
        <w:t xml:space="preserve">Nguyen, V. P., Prins, C. &amp; Prodhon, C. 2012. Solving the two-echelon location routing problem by a GRASP reinforced by a learning process and path relinking. </w:t>
      </w:r>
      <w:r w:rsidRPr="00855626">
        <w:rPr>
          <w:i/>
          <w:sz w:val="24"/>
          <w:szCs w:val="24"/>
        </w:rPr>
        <w:t>European Journal of Operational Research,</w:t>
      </w:r>
      <w:r w:rsidRPr="00855626">
        <w:rPr>
          <w:sz w:val="24"/>
          <w:szCs w:val="24"/>
        </w:rPr>
        <w:t xml:space="preserve"> 216</w:t>
      </w:r>
      <w:r w:rsidRPr="00855626">
        <w:rPr>
          <w:b/>
          <w:sz w:val="24"/>
          <w:szCs w:val="24"/>
        </w:rPr>
        <w:t>,</w:t>
      </w:r>
      <w:r w:rsidRPr="00855626">
        <w:rPr>
          <w:sz w:val="24"/>
          <w:szCs w:val="24"/>
        </w:rPr>
        <w:t xml:space="preserve"> 113-126.</w:t>
      </w:r>
    </w:p>
    <w:p w14:paraId="7CA601C4" w14:textId="77777777" w:rsidR="00E20B39" w:rsidRPr="00855626" w:rsidRDefault="00E20B39" w:rsidP="00E20B39">
      <w:pPr>
        <w:pStyle w:val="EndNoteBibliography"/>
        <w:ind w:left="720" w:hanging="720"/>
        <w:rPr>
          <w:sz w:val="24"/>
          <w:szCs w:val="24"/>
        </w:rPr>
      </w:pPr>
      <w:r w:rsidRPr="00855626">
        <w:rPr>
          <w:sz w:val="24"/>
          <w:szCs w:val="24"/>
        </w:rPr>
        <w:t xml:space="preserve">Ni, D. &amp; Wang, Y. 2007. Sharing a polluted river. </w:t>
      </w:r>
      <w:r w:rsidRPr="00855626">
        <w:rPr>
          <w:i/>
          <w:sz w:val="24"/>
          <w:szCs w:val="24"/>
        </w:rPr>
        <w:t>Games and Economic Behavior,</w:t>
      </w:r>
      <w:r w:rsidRPr="00855626">
        <w:rPr>
          <w:sz w:val="24"/>
          <w:szCs w:val="24"/>
        </w:rPr>
        <w:t xml:space="preserve"> 60</w:t>
      </w:r>
      <w:r w:rsidRPr="00855626">
        <w:rPr>
          <w:b/>
          <w:sz w:val="24"/>
          <w:szCs w:val="24"/>
        </w:rPr>
        <w:t>,</w:t>
      </w:r>
      <w:r w:rsidRPr="00855626">
        <w:rPr>
          <w:sz w:val="24"/>
          <w:szCs w:val="24"/>
        </w:rPr>
        <w:t xml:space="preserve"> 176-186.</w:t>
      </w:r>
    </w:p>
    <w:p w14:paraId="5F04787F" w14:textId="77777777" w:rsidR="00E20B39" w:rsidRPr="00855626" w:rsidRDefault="00E20B39" w:rsidP="00E20B39">
      <w:pPr>
        <w:pStyle w:val="EndNoteBibliography"/>
        <w:ind w:left="720" w:hanging="720"/>
        <w:rPr>
          <w:sz w:val="24"/>
          <w:szCs w:val="24"/>
        </w:rPr>
      </w:pPr>
      <w:r w:rsidRPr="00855626">
        <w:rPr>
          <w:sz w:val="24"/>
          <w:szCs w:val="24"/>
        </w:rPr>
        <w:t xml:space="preserve">Nocera, S. &amp; Cavallaro, F. 2015. A two-step method to evaluate the Well-To-Wheel carbon efficiency of Urban Consolidation Centres. </w:t>
      </w:r>
      <w:r w:rsidRPr="00855626">
        <w:rPr>
          <w:i/>
          <w:sz w:val="24"/>
          <w:szCs w:val="24"/>
        </w:rPr>
        <w:t>Research in Transportation Economics</w:t>
      </w:r>
      <w:r w:rsidRPr="00855626">
        <w:rPr>
          <w:sz w:val="24"/>
          <w:szCs w:val="24"/>
        </w:rPr>
        <w:t>.</w:t>
      </w:r>
    </w:p>
    <w:p w14:paraId="408FB59A" w14:textId="77777777" w:rsidR="00E20B39" w:rsidRPr="00855626" w:rsidRDefault="00E20B39" w:rsidP="00E20B39">
      <w:pPr>
        <w:pStyle w:val="EndNoteBibliography"/>
        <w:ind w:left="720" w:hanging="720"/>
        <w:rPr>
          <w:sz w:val="24"/>
          <w:szCs w:val="24"/>
        </w:rPr>
      </w:pPr>
      <w:r w:rsidRPr="00855626">
        <w:rPr>
          <w:sz w:val="24"/>
          <w:szCs w:val="24"/>
        </w:rPr>
        <w:t xml:space="preserve">Nordtømme, M. E., Andersen, J., Sund, A. B., Roche-Cerasi, I., Levin, T., Eidhammer, O. &amp; Bjerkan, K. Y. 2015a. Green urban distribution: Evaluation of adapted measures for the city of Oslo. </w:t>
      </w:r>
      <w:r w:rsidRPr="00855626">
        <w:rPr>
          <w:i/>
          <w:sz w:val="24"/>
          <w:szCs w:val="24"/>
        </w:rPr>
        <w:t>International Journal of Transport Economics,</w:t>
      </w:r>
      <w:r w:rsidRPr="00855626">
        <w:rPr>
          <w:sz w:val="24"/>
          <w:szCs w:val="24"/>
        </w:rPr>
        <w:t xml:space="preserve"> 42</w:t>
      </w:r>
      <w:r w:rsidRPr="00855626">
        <w:rPr>
          <w:b/>
          <w:sz w:val="24"/>
          <w:szCs w:val="24"/>
        </w:rPr>
        <w:t>,</w:t>
      </w:r>
      <w:r w:rsidRPr="00855626">
        <w:rPr>
          <w:sz w:val="24"/>
          <w:szCs w:val="24"/>
        </w:rPr>
        <w:t xml:space="preserve"> 61-85.</w:t>
      </w:r>
    </w:p>
    <w:p w14:paraId="227CF3F1" w14:textId="77777777" w:rsidR="00E20B39" w:rsidRPr="00855626" w:rsidRDefault="00E20B39" w:rsidP="00E20B39">
      <w:pPr>
        <w:pStyle w:val="EndNoteBibliography"/>
        <w:ind w:left="720" w:hanging="720"/>
        <w:rPr>
          <w:sz w:val="24"/>
          <w:szCs w:val="24"/>
        </w:rPr>
      </w:pPr>
      <w:r w:rsidRPr="00855626">
        <w:rPr>
          <w:sz w:val="24"/>
          <w:szCs w:val="24"/>
        </w:rPr>
        <w:t xml:space="preserve">Nordtømme, M. E., Bjerkan, K. Y. &amp; Sund, A. B. 2015b. Barriers to urban freight policy implementation: The case of urban consolidation center in Oslo. </w:t>
      </w:r>
      <w:r w:rsidRPr="00855626">
        <w:rPr>
          <w:i/>
          <w:sz w:val="24"/>
          <w:szCs w:val="24"/>
        </w:rPr>
        <w:t>Transport Policy,</w:t>
      </w:r>
      <w:r w:rsidRPr="00855626">
        <w:rPr>
          <w:sz w:val="24"/>
          <w:szCs w:val="24"/>
        </w:rPr>
        <w:t xml:space="preserve"> 44</w:t>
      </w:r>
      <w:r w:rsidRPr="00855626">
        <w:rPr>
          <w:b/>
          <w:sz w:val="24"/>
          <w:szCs w:val="24"/>
        </w:rPr>
        <w:t>,</w:t>
      </w:r>
      <w:r w:rsidRPr="00855626">
        <w:rPr>
          <w:sz w:val="24"/>
          <w:szCs w:val="24"/>
        </w:rPr>
        <w:t xml:space="preserve"> 179-186.</w:t>
      </w:r>
    </w:p>
    <w:p w14:paraId="4805DC4D" w14:textId="77777777" w:rsidR="00E20B39" w:rsidRPr="00855626" w:rsidRDefault="00E20B39" w:rsidP="00E20B39">
      <w:pPr>
        <w:pStyle w:val="EndNoteBibliography"/>
        <w:ind w:left="720" w:hanging="720"/>
        <w:rPr>
          <w:sz w:val="24"/>
          <w:szCs w:val="24"/>
        </w:rPr>
      </w:pPr>
      <w:r w:rsidRPr="00855626">
        <w:rPr>
          <w:sz w:val="24"/>
          <w:szCs w:val="24"/>
        </w:rPr>
        <w:t xml:space="preserve">Nozick, L. K. &amp; Turnquist, M. A. 2001. A two-echelon inventory allocation and distribution center location analysis. </w:t>
      </w:r>
      <w:r w:rsidRPr="00855626">
        <w:rPr>
          <w:i/>
          <w:sz w:val="24"/>
          <w:szCs w:val="24"/>
        </w:rPr>
        <w:t>Transportation Research Part E: Logistics and Transportation Review,</w:t>
      </w:r>
      <w:r w:rsidRPr="00855626">
        <w:rPr>
          <w:sz w:val="24"/>
          <w:szCs w:val="24"/>
        </w:rPr>
        <w:t xml:space="preserve"> 37</w:t>
      </w:r>
      <w:r w:rsidRPr="00855626">
        <w:rPr>
          <w:b/>
          <w:sz w:val="24"/>
          <w:szCs w:val="24"/>
        </w:rPr>
        <w:t>,</w:t>
      </w:r>
      <w:r w:rsidRPr="00855626">
        <w:rPr>
          <w:sz w:val="24"/>
          <w:szCs w:val="24"/>
        </w:rPr>
        <w:t xml:space="preserve"> 425-441.</w:t>
      </w:r>
    </w:p>
    <w:p w14:paraId="0BBD7CBF" w14:textId="77777777" w:rsidR="00E20B39" w:rsidRPr="00855626" w:rsidRDefault="00E20B39" w:rsidP="00E20B39">
      <w:pPr>
        <w:pStyle w:val="EndNoteBibliography"/>
        <w:ind w:left="720" w:hanging="720"/>
        <w:rPr>
          <w:sz w:val="24"/>
          <w:szCs w:val="24"/>
        </w:rPr>
      </w:pPr>
      <w:r w:rsidRPr="00855626">
        <w:rPr>
          <w:sz w:val="24"/>
          <w:szCs w:val="24"/>
        </w:rPr>
        <w:lastRenderedPageBreak/>
        <w:t xml:space="preserve">Nuzzolo, A. &amp; Comi, A. 2014a. A system of models to forecast the effects of demographic changes on urban shop restocking. </w:t>
      </w:r>
      <w:r w:rsidRPr="00855626">
        <w:rPr>
          <w:i/>
          <w:sz w:val="24"/>
          <w:szCs w:val="24"/>
        </w:rPr>
        <w:t>Research in Transportation Business &amp; Management,</w:t>
      </w:r>
      <w:r w:rsidRPr="00855626">
        <w:rPr>
          <w:sz w:val="24"/>
          <w:szCs w:val="24"/>
        </w:rPr>
        <w:t xml:space="preserve"> 11</w:t>
      </w:r>
      <w:r w:rsidRPr="00855626">
        <w:rPr>
          <w:b/>
          <w:sz w:val="24"/>
          <w:szCs w:val="24"/>
        </w:rPr>
        <w:t>,</w:t>
      </w:r>
      <w:r w:rsidRPr="00855626">
        <w:rPr>
          <w:sz w:val="24"/>
          <w:szCs w:val="24"/>
        </w:rPr>
        <w:t xml:space="preserve"> 142-151.</w:t>
      </w:r>
    </w:p>
    <w:p w14:paraId="0967303F" w14:textId="77777777" w:rsidR="00E20B39" w:rsidRPr="00855626" w:rsidRDefault="00E20B39" w:rsidP="00E20B39">
      <w:pPr>
        <w:pStyle w:val="EndNoteBibliography"/>
        <w:ind w:left="720" w:hanging="720"/>
        <w:rPr>
          <w:sz w:val="24"/>
          <w:szCs w:val="24"/>
        </w:rPr>
      </w:pPr>
      <w:r w:rsidRPr="00855626">
        <w:rPr>
          <w:sz w:val="24"/>
          <w:szCs w:val="24"/>
        </w:rPr>
        <w:t xml:space="preserve">Nuzzolo, A. &amp; Comi, A. 2014b. Urban freight demand forecasting: A mixed quantity/delivery/vehicle-based model. </w:t>
      </w:r>
      <w:r w:rsidRPr="00855626">
        <w:rPr>
          <w:i/>
          <w:sz w:val="24"/>
          <w:szCs w:val="24"/>
        </w:rPr>
        <w:t>Transportation Research Part E-Logistics and Transportation Review,</w:t>
      </w:r>
      <w:r w:rsidRPr="00855626">
        <w:rPr>
          <w:sz w:val="24"/>
          <w:szCs w:val="24"/>
        </w:rPr>
        <w:t xml:space="preserve"> 65</w:t>
      </w:r>
      <w:r w:rsidRPr="00855626">
        <w:rPr>
          <w:b/>
          <w:sz w:val="24"/>
          <w:szCs w:val="24"/>
        </w:rPr>
        <w:t>,</w:t>
      </w:r>
      <w:r w:rsidRPr="00855626">
        <w:rPr>
          <w:sz w:val="24"/>
          <w:szCs w:val="24"/>
        </w:rPr>
        <w:t xml:space="preserve"> 84-98.</w:t>
      </w:r>
    </w:p>
    <w:p w14:paraId="1DBB90E6" w14:textId="77777777" w:rsidR="00E20B39" w:rsidRPr="00855626" w:rsidRDefault="00E20B39" w:rsidP="00E20B39">
      <w:pPr>
        <w:pStyle w:val="EndNoteBibliography"/>
        <w:ind w:left="720" w:hanging="720"/>
        <w:rPr>
          <w:sz w:val="24"/>
          <w:szCs w:val="24"/>
        </w:rPr>
      </w:pPr>
      <w:r w:rsidRPr="00855626">
        <w:rPr>
          <w:sz w:val="24"/>
          <w:szCs w:val="24"/>
        </w:rPr>
        <w:t xml:space="preserve">Nuzzolo, A., Comi, A., Ibeas, A. &amp; Moura, J. L. 2016. Urban freight transport and city logistics policies: Indications from Rome, Barcelona, and Santander. </w:t>
      </w:r>
      <w:r w:rsidRPr="00855626">
        <w:rPr>
          <w:i/>
          <w:sz w:val="24"/>
          <w:szCs w:val="24"/>
        </w:rPr>
        <w:t>International Journal of Sustainable Transportation,</w:t>
      </w:r>
      <w:r w:rsidRPr="00855626">
        <w:rPr>
          <w:sz w:val="24"/>
          <w:szCs w:val="24"/>
        </w:rPr>
        <w:t xml:space="preserve"> 10</w:t>
      </w:r>
      <w:r w:rsidRPr="00855626">
        <w:rPr>
          <w:b/>
          <w:sz w:val="24"/>
          <w:szCs w:val="24"/>
        </w:rPr>
        <w:t>,</w:t>
      </w:r>
      <w:r w:rsidRPr="00855626">
        <w:rPr>
          <w:sz w:val="24"/>
          <w:szCs w:val="24"/>
        </w:rPr>
        <w:t xml:space="preserve"> 552-566.</w:t>
      </w:r>
    </w:p>
    <w:p w14:paraId="51D69D4B" w14:textId="77777777" w:rsidR="00E20B39" w:rsidRPr="00855626" w:rsidRDefault="00E20B39" w:rsidP="00E20B39">
      <w:pPr>
        <w:pStyle w:val="EndNoteBibliography"/>
        <w:ind w:left="720" w:hanging="720"/>
        <w:rPr>
          <w:sz w:val="24"/>
          <w:szCs w:val="24"/>
        </w:rPr>
      </w:pPr>
      <w:r w:rsidRPr="00855626">
        <w:rPr>
          <w:sz w:val="24"/>
          <w:szCs w:val="24"/>
        </w:rPr>
        <w:t xml:space="preserve">Ogden, K. W. 1992. </w:t>
      </w:r>
      <w:r w:rsidRPr="00855626">
        <w:rPr>
          <w:i/>
          <w:sz w:val="24"/>
          <w:szCs w:val="24"/>
        </w:rPr>
        <w:t>Urban goods movement: a guide to policy and planning</w:t>
      </w:r>
      <w:r w:rsidRPr="00855626">
        <w:rPr>
          <w:sz w:val="24"/>
          <w:szCs w:val="24"/>
        </w:rPr>
        <w:t>.</w:t>
      </w:r>
    </w:p>
    <w:p w14:paraId="5E036DE2" w14:textId="77777777" w:rsidR="00E20B39" w:rsidRPr="00855626" w:rsidRDefault="00E20B39" w:rsidP="00E20B39">
      <w:pPr>
        <w:pStyle w:val="EndNoteBibliography"/>
        <w:ind w:left="720" w:hanging="720"/>
        <w:rPr>
          <w:sz w:val="24"/>
          <w:szCs w:val="24"/>
        </w:rPr>
      </w:pPr>
      <w:r w:rsidRPr="00855626">
        <w:rPr>
          <w:sz w:val="24"/>
          <w:szCs w:val="24"/>
        </w:rPr>
        <w:t xml:space="preserve">Ogunsanya, A. A. 1982. Spatial pattern of urban freight transport in Lagos metropolis. </w:t>
      </w:r>
      <w:r w:rsidRPr="00855626">
        <w:rPr>
          <w:i/>
          <w:sz w:val="24"/>
          <w:szCs w:val="24"/>
        </w:rPr>
        <w:t>Transportation Research Part A: General,</w:t>
      </w:r>
      <w:r w:rsidRPr="00855626">
        <w:rPr>
          <w:sz w:val="24"/>
          <w:szCs w:val="24"/>
        </w:rPr>
        <w:t xml:space="preserve"> 16</w:t>
      </w:r>
      <w:r w:rsidRPr="00855626">
        <w:rPr>
          <w:b/>
          <w:sz w:val="24"/>
          <w:szCs w:val="24"/>
        </w:rPr>
        <w:t>,</w:t>
      </w:r>
      <w:r w:rsidRPr="00855626">
        <w:rPr>
          <w:sz w:val="24"/>
          <w:szCs w:val="24"/>
        </w:rPr>
        <w:t xml:space="preserve"> 289-300.</w:t>
      </w:r>
    </w:p>
    <w:p w14:paraId="2BAAFDAE" w14:textId="77777777" w:rsidR="00E20B39" w:rsidRPr="00120BCB" w:rsidRDefault="00E20B39" w:rsidP="00E20B39">
      <w:pPr>
        <w:pStyle w:val="EndNoteBibliography"/>
        <w:ind w:left="720" w:hanging="720"/>
        <w:rPr>
          <w:sz w:val="24"/>
          <w:szCs w:val="24"/>
          <w:lang w:val="it-IT"/>
        </w:rPr>
      </w:pPr>
      <w:r w:rsidRPr="00855626">
        <w:rPr>
          <w:sz w:val="24"/>
          <w:szCs w:val="24"/>
        </w:rPr>
        <w:t xml:space="preserve">Oliveira, L. K., Barraza, B., Bertocini, B. V., Isler, C. A., Pires, D. R., Madalon, E. C., Lima, J., Vieira, J. G., Meira, L. H. &amp; Bracarense, L. S. 2018. An overview of problems and solutions for urban freight transport in Brazilian cities. </w:t>
      </w:r>
      <w:r w:rsidRPr="00120BCB">
        <w:rPr>
          <w:i/>
          <w:sz w:val="24"/>
          <w:szCs w:val="24"/>
          <w:lang w:val="it-IT"/>
        </w:rPr>
        <w:t>Sustainability,</w:t>
      </w:r>
      <w:r w:rsidRPr="00120BCB">
        <w:rPr>
          <w:sz w:val="24"/>
          <w:szCs w:val="24"/>
          <w:lang w:val="it-IT"/>
        </w:rPr>
        <w:t xml:space="preserve"> 10</w:t>
      </w:r>
      <w:r w:rsidRPr="00120BCB">
        <w:rPr>
          <w:b/>
          <w:sz w:val="24"/>
          <w:szCs w:val="24"/>
          <w:lang w:val="it-IT"/>
        </w:rPr>
        <w:t>,</w:t>
      </w:r>
      <w:r w:rsidRPr="00120BCB">
        <w:rPr>
          <w:sz w:val="24"/>
          <w:szCs w:val="24"/>
          <w:lang w:val="it-IT"/>
        </w:rPr>
        <w:t xml:space="preserve"> 1233.</w:t>
      </w:r>
    </w:p>
    <w:p w14:paraId="79F301D3" w14:textId="77777777" w:rsidR="00E20B39" w:rsidRPr="00855626" w:rsidRDefault="00E20B39" w:rsidP="00E20B39">
      <w:pPr>
        <w:pStyle w:val="EndNoteBibliography"/>
        <w:ind w:left="720" w:hanging="720"/>
        <w:rPr>
          <w:sz w:val="24"/>
          <w:szCs w:val="24"/>
        </w:rPr>
      </w:pPr>
      <w:r w:rsidRPr="00120BCB">
        <w:rPr>
          <w:sz w:val="24"/>
          <w:szCs w:val="24"/>
          <w:lang w:val="it-IT"/>
        </w:rPr>
        <w:t xml:space="preserve">Oliveira, L. K. D., Dutra, N. G. D. S., Correia, V. D. A., Neto, W. D. a. P. &amp; Guerra, A. L. 2012. </w:t>
      </w:r>
      <w:r w:rsidRPr="00855626">
        <w:rPr>
          <w:sz w:val="24"/>
          <w:szCs w:val="24"/>
        </w:rPr>
        <w:t xml:space="preserve">Adoption Assessment by Carriers and Retailers to Use an Urban Consolidation Center - A Case Study in Brazil. </w:t>
      </w:r>
      <w:r w:rsidRPr="00855626">
        <w:rPr>
          <w:i/>
          <w:sz w:val="24"/>
          <w:szCs w:val="24"/>
        </w:rPr>
        <w:t>Procedia - Social and Behavioral Sciences,</w:t>
      </w:r>
      <w:r w:rsidRPr="00855626">
        <w:rPr>
          <w:sz w:val="24"/>
          <w:szCs w:val="24"/>
        </w:rPr>
        <w:t xml:space="preserve"> 39</w:t>
      </w:r>
      <w:r w:rsidRPr="00855626">
        <w:rPr>
          <w:b/>
          <w:sz w:val="24"/>
          <w:szCs w:val="24"/>
        </w:rPr>
        <w:t>,</w:t>
      </w:r>
      <w:r w:rsidRPr="00855626">
        <w:rPr>
          <w:sz w:val="24"/>
          <w:szCs w:val="24"/>
        </w:rPr>
        <w:t xml:space="preserve"> 783-795.</w:t>
      </w:r>
    </w:p>
    <w:p w14:paraId="7A4538FA" w14:textId="77777777" w:rsidR="00E20B39" w:rsidRPr="00855626" w:rsidRDefault="00E20B39" w:rsidP="00E20B39">
      <w:pPr>
        <w:pStyle w:val="EndNoteBibliography"/>
        <w:ind w:left="720" w:hanging="720"/>
        <w:rPr>
          <w:sz w:val="24"/>
          <w:szCs w:val="24"/>
        </w:rPr>
      </w:pPr>
      <w:r w:rsidRPr="00855626">
        <w:rPr>
          <w:sz w:val="24"/>
          <w:szCs w:val="24"/>
        </w:rPr>
        <w:t xml:space="preserve">Olsson, J. &amp; Woxenius, J. 2014. Localisation of freight consolidation centres serving small road hauliers in a wider urban area: barriers for more efficient freight deliveries in Gothenburg. </w:t>
      </w:r>
      <w:r w:rsidRPr="00855626">
        <w:rPr>
          <w:i/>
          <w:sz w:val="24"/>
          <w:szCs w:val="24"/>
        </w:rPr>
        <w:t>Journal of Transport Geography,</w:t>
      </w:r>
      <w:r w:rsidRPr="00855626">
        <w:rPr>
          <w:sz w:val="24"/>
          <w:szCs w:val="24"/>
        </w:rPr>
        <w:t xml:space="preserve"> 34</w:t>
      </w:r>
      <w:r w:rsidRPr="00855626">
        <w:rPr>
          <w:b/>
          <w:sz w:val="24"/>
          <w:szCs w:val="24"/>
        </w:rPr>
        <w:t>,</w:t>
      </w:r>
      <w:r w:rsidRPr="00855626">
        <w:rPr>
          <w:sz w:val="24"/>
          <w:szCs w:val="24"/>
        </w:rPr>
        <w:t xml:space="preserve"> 25-33.</w:t>
      </w:r>
    </w:p>
    <w:p w14:paraId="7A4ADB3D" w14:textId="77777777" w:rsidR="00E20B39" w:rsidRPr="00855626" w:rsidRDefault="00E20B39" w:rsidP="00E20B39">
      <w:pPr>
        <w:pStyle w:val="EndNoteBibliography"/>
        <w:ind w:left="720" w:hanging="720"/>
        <w:rPr>
          <w:sz w:val="24"/>
          <w:szCs w:val="24"/>
        </w:rPr>
      </w:pPr>
      <w:r w:rsidRPr="00855626">
        <w:rPr>
          <w:sz w:val="24"/>
          <w:szCs w:val="24"/>
        </w:rPr>
        <w:t xml:space="preserve">Österle, I., Aditjandra Paulus, T., Vaghi, C., Grea, G. &amp; Zunder Thomas, H. 2015. The role of a structured stakeholder consultation process within the establishment of a sustainable urban supply chain. </w:t>
      </w:r>
      <w:r w:rsidRPr="00855626">
        <w:rPr>
          <w:i/>
          <w:sz w:val="24"/>
          <w:szCs w:val="24"/>
        </w:rPr>
        <w:t>Supply Chain Management: An International Journal,</w:t>
      </w:r>
      <w:r w:rsidRPr="00855626">
        <w:rPr>
          <w:sz w:val="24"/>
          <w:szCs w:val="24"/>
        </w:rPr>
        <w:t xml:space="preserve"> 20</w:t>
      </w:r>
      <w:r w:rsidRPr="00855626">
        <w:rPr>
          <w:b/>
          <w:sz w:val="24"/>
          <w:szCs w:val="24"/>
        </w:rPr>
        <w:t>,</w:t>
      </w:r>
      <w:r w:rsidRPr="00855626">
        <w:rPr>
          <w:sz w:val="24"/>
          <w:szCs w:val="24"/>
        </w:rPr>
        <w:t xml:space="preserve"> 284-299.</w:t>
      </w:r>
    </w:p>
    <w:p w14:paraId="6119BFF0" w14:textId="77777777" w:rsidR="00E20B39" w:rsidRPr="00855626" w:rsidRDefault="00E20B39" w:rsidP="00E20B39">
      <w:pPr>
        <w:pStyle w:val="EndNoteBibliography"/>
        <w:ind w:left="720" w:hanging="720"/>
        <w:rPr>
          <w:sz w:val="24"/>
          <w:szCs w:val="24"/>
        </w:rPr>
      </w:pPr>
      <w:r w:rsidRPr="00855626">
        <w:rPr>
          <w:sz w:val="24"/>
          <w:szCs w:val="24"/>
        </w:rPr>
        <w:t xml:space="preserve">Outapa, P., Kondo, A. &amp; Thepanondh, S. 2016. Effect of speed on emissions of air pollutants in urban environment: Case study of truck emissions. </w:t>
      </w:r>
      <w:r w:rsidRPr="00855626">
        <w:rPr>
          <w:i/>
          <w:sz w:val="24"/>
          <w:szCs w:val="24"/>
        </w:rPr>
        <w:t>International Journal of GEOMATE,</w:t>
      </w:r>
      <w:r w:rsidRPr="00855626">
        <w:rPr>
          <w:sz w:val="24"/>
          <w:szCs w:val="24"/>
        </w:rPr>
        <w:t xml:space="preserve"> 11</w:t>
      </w:r>
      <w:r w:rsidRPr="00855626">
        <w:rPr>
          <w:b/>
          <w:sz w:val="24"/>
          <w:szCs w:val="24"/>
        </w:rPr>
        <w:t>,</w:t>
      </w:r>
      <w:r w:rsidRPr="00855626">
        <w:rPr>
          <w:sz w:val="24"/>
          <w:szCs w:val="24"/>
        </w:rPr>
        <w:t xml:space="preserve"> 2200-2207.</w:t>
      </w:r>
    </w:p>
    <w:p w14:paraId="0A66034C" w14:textId="77777777" w:rsidR="00E20B39" w:rsidRPr="00855626" w:rsidRDefault="00E20B39" w:rsidP="00E20B39">
      <w:pPr>
        <w:pStyle w:val="EndNoteBibliography"/>
        <w:ind w:left="720" w:hanging="720"/>
        <w:rPr>
          <w:sz w:val="24"/>
          <w:szCs w:val="24"/>
        </w:rPr>
      </w:pPr>
      <w:r w:rsidRPr="00855626">
        <w:rPr>
          <w:sz w:val="24"/>
          <w:szCs w:val="24"/>
        </w:rPr>
        <w:t xml:space="preserve">Paddeu, D. 2017. The Bristol-Bath Urban freight Consolidation Centre from the perspective of its users. </w:t>
      </w:r>
      <w:r w:rsidRPr="00855626">
        <w:rPr>
          <w:i/>
          <w:sz w:val="24"/>
          <w:szCs w:val="24"/>
        </w:rPr>
        <w:t>Case Studies on Transport Policy,</w:t>
      </w:r>
      <w:r w:rsidRPr="00855626">
        <w:rPr>
          <w:sz w:val="24"/>
          <w:szCs w:val="24"/>
        </w:rPr>
        <w:t xml:space="preserve"> 5</w:t>
      </w:r>
      <w:r w:rsidRPr="00855626">
        <w:rPr>
          <w:b/>
          <w:sz w:val="24"/>
          <w:szCs w:val="24"/>
        </w:rPr>
        <w:t>,</w:t>
      </w:r>
      <w:r w:rsidRPr="00855626">
        <w:rPr>
          <w:sz w:val="24"/>
          <w:szCs w:val="24"/>
        </w:rPr>
        <w:t xml:space="preserve"> 483-491.</w:t>
      </w:r>
    </w:p>
    <w:p w14:paraId="3E83F6CA" w14:textId="77777777" w:rsidR="00E20B39" w:rsidRPr="00855626" w:rsidRDefault="00E20B39" w:rsidP="00E20B39">
      <w:pPr>
        <w:pStyle w:val="EndNoteBibliography"/>
        <w:ind w:left="720" w:hanging="720"/>
        <w:rPr>
          <w:sz w:val="24"/>
          <w:szCs w:val="24"/>
        </w:rPr>
      </w:pPr>
      <w:r w:rsidRPr="00855626">
        <w:rPr>
          <w:sz w:val="24"/>
          <w:szCs w:val="24"/>
        </w:rPr>
        <w:t xml:space="preserve">Paddeu, D. 2018. Sustainable Solutions for Urban Freight Transport and Logistics: An Analysis of Urban Consolidation Centers. </w:t>
      </w:r>
      <w:r w:rsidRPr="00855626">
        <w:rPr>
          <w:i/>
          <w:sz w:val="24"/>
          <w:szCs w:val="24"/>
        </w:rPr>
        <w:t>Sustainable Freight Transport.</w:t>
      </w:r>
      <w:r w:rsidRPr="00855626">
        <w:rPr>
          <w:sz w:val="24"/>
          <w:szCs w:val="24"/>
        </w:rPr>
        <w:t xml:space="preserve"> Springer.</w:t>
      </w:r>
    </w:p>
    <w:p w14:paraId="6C29F2A6" w14:textId="77777777" w:rsidR="00E20B39" w:rsidRPr="00855626" w:rsidRDefault="00E20B39" w:rsidP="00E20B39">
      <w:pPr>
        <w:pStyle w:val="EndNoteBibliography"/>
        <w:ind w:left="720" w:hanging="720"/>
        <w:rPr>
          <w:sz w:val="24"/>
          <w:szCs w:val="24"/>
        </w:rPr>
      </w:pPr>
      <w:r w:rsidRPr="00855626">
        <w:rPr>
          <w:sz w:val="24"/>
          <w:szCs w:val="24"/>
        </w:rPr>
        <w:t xml:space="preserve">Padilla Tinoco, S. V., Creemers, S. &amp; Boute, R. N. 2017. Collaborative shipping under different cost-sharing agreements. </w:t>
      </w:r>
      <w:r w:rsidRPr="00855626">
        <w:rPr>
          <w:i/>
          <w:sz w:val="24"/>
          <w:szCs w:val="24"/>
        </w:rPr>
        <w:t>European Journal of Operational Research,</w:t>
      </w:r>
      <w:r w:rsidRPr="00855626">
        <w:rPr>
          <w:sz w:val="24"/>
          <w:szCs w:val="24"/>
        </w:rPr>
        <w:t xml:space="preserve"> 263</w:t>
      </w:r>
      <w:r w:rsidRPr="00855626">
        <w:rPr>
          <w:b/>
          <w:sz w:val="24"/>
          <w:szCs w:val="24"/>
        </w:rPr>
        <w:t>,</w:t>
      </w:r>
      <w:r w:rsidRPr="00855626">
        <w:rPr>
          <w:sz w:val="24"/>
          <w:szCs w:val="24"/>
        </w:rPr>
        <w:t xml:space="preserve"> 827-837.</w:t>
      </w:r>
    </w:p>
    <w:p w14:paraId="0C586DD8" w14:textId="77777777" w:rsidR="00E20B39" w:rsidRPr="00855626" w:rsidRDefault="00E20B39" w:rsidP="00E20B39">
      <w:pPr>
        <w:pStyle w:val="EndNoteBibliography"/>
        <w:ind w:left="720" w:hanging="720"/>
        <w:rPr>
          <w:sz w:val="24"/>
          <w:szCs w:val="24"/>
        </w:rPr>
      </w:pPr>
      <w:r w:rsidRPr="00855626">
        <w:rPr>
          <w:sz w:val="24"/>
          <w:szCs w:val="24"/>
        </w:rPr>
        <w:t xml:space="preserve">Pamučar, D., Gigović, L., Ćirović, G. &amp; Regodić, M. 2016. Transport spatial model for the definition of green routes for city logistics centers. </w:t>
      </w:r>
      <w:r w:rsidRPr="00855626">
        <w:rPr>
          <w:i/>
          <w:sz w:val="24"/>
          <w:szCs w:val="24"/>
        </w:rPr>
        <w:t>Environmental Impact Assessment Review,</w:t>
      </w:r>
      <w:r w:rsidRPr="00855626">
        <w:rPr>
          <w:sz w:val="24"/>
          <w:szCs w:val="24"/>
        </w:rPr>
        <w:t xml:space="preserve"> 56</w:t>
      </w:r>
      <w:r w:rsidRPr="00855626">
        <w:rPr>
          <w:b/>
          <w:sz w:val="24"/>
          <w:szCs w:val="24"/>
        </w:rPr>
        <w:t>,</w:t>
      </w:r>
      <w:r w:rsidRPr="00855626">
        <w:rPr>
          <w:sz w:val="24"/>
          <w:szCs w:val="24"/>
        </w:rPr>
        <w:t xml:space="preserve"> 72-87.</w:t>
      </w:r>
    </w:p>
    <w:p w14:paraId="775BDED3" w14:textId="77777777" w:rsidR="00E20B39" w:rsidRPr="00855626" w:rsidRDefault="00E20B39" w:rsidP="00E20B39">
      <w:pPr>
        <w:pStyle w:val="EndNoteBibliography"/>
        <w:ind w:left="720" w:hanging="720"/>
        <w:rPr>
          <w:sz w:val="24"/>
          <w:szCs w:val="24"/>
        </w:rPr>
      </w:pPr>
      <w:r w:rsidRPr="00855626">
        <w:rPr>
          <w:sz w:val="24"/>
          <w:szCs w:val="24"/>
        </w:rPr>
        <w:lastRenderedPageBreak/>
        <w:t xml:space="preserve">Papoulias, D. B. 1984. Philosophy and Operational Research. </w:t>
      </w:r>
      <w:r w:rsidRPr="00855626">
        <w:rPr>
          <w:i/>
          <w:sz w:val="24"/>
          <w:szCs w:val="24"/>
        </w:rPr>
        <w:t>The Journal of the Operational Research Society,</w:t>
      </w:r>
      <w:r w:rsidRPr="00855626">
        <w:rPr>
          <w:sz w:val="24"/>
          <w:szCs w:val="24"/>
        </w:rPr>
        <w:t xml:space="preserve"> 35</w:t>
      </w:r>
      <w:r w:rsidRPr="00855626">
        <w:rPr>
          <w:b/>
          <w:sz w:val="24"/>
          <w:szCs w:val="24"/>
        </w:rPr>
        <w:t>,</w:t>
      </w:r>
      <w:r w:rsidRPr="00855626">
        <w:rPr>
          <w:sz w:val="24"/>
          <w:szCs w:val="24"/>
        </w:rPr>
        <w:t xml:space="preserve"> 772-774.</w:t>
      </w:r>
    </w:p>
    <w:p w14:paraId="5A54FF79" w14:textId="77777777" w:rsidR="00E20B39" w:rsidRPr="00855626" w:rsidRDefault="00E20B39" w:rsidP="00E20B39">
      <w:pPr>
        <w:pStyle w:val="EndNoteBibliography"/>
        <w:ind w:left="720" w:hanging="720"/>
        <w:rPr>
          <w:sz w:val="24"/>
          <w:szCs w:val="24"/>
        </w:rPr>
      </w:pPr>
      <w:r w:rsidRPr="00855626">
        <w:rPr>
          <w:sz w:val="24"/>
          <w:szCs w:val="24"/>
        </w:rPr>
        <w:t xml:space="preserve">Patier, D. &amp; Browne, M. 2010. A methodology for the evaluation of urban logistics innovations. </w:t>
      </w:r>
      <w:r w:rsidRPr="00855626">
        <w:rPr>
          <w:i/>
          <w:sz w:val="24"/>
          <w:szCs w:val="24"/>
        </w:rPr>
        <w:t>Procedia - Social and Behavioral Sciences,</w:t>
      </w:r>
      <w:r w:rsidRPr="00855626">
        <w:rPr>
          <w:sz w:val="24"/>
          <w:szCs w:val="24"/>
        </w:rPr>
        <w:t xml:space="preserve"> 2</w:t>
      </w:r>
      <w:r w:rsidRPr="00855626">
        <w:rPr>
          <w:b/>
          <w:sz w:val="24"/>
          <w:szCs w:val="24"/>
        </w:rPr>
        <w:t>,</w:t>
      </w:r>
      <w:r w:rsidRPr="00855626">
        <w:rPr>
          <w:sz w:val="24"/>
          <w:szCs w:val="24"/>
        </w:rPr>
        <w:t xml:space="preserve"> 6229-6241.</w:t>
      </w:r>
    </w:p>
    <w:p w14:paraId="17F3E4EF" w14:textId="77777777" w:rsidR="00E20B39" w:rsidRPr="00855626" w:rsidRDefault="00E20B39" w:rsidP="00E20B39">
      <w:pPr>
        <w:pStyle w:val="EndNoteBibliography"/>
        <w:ind w:left="720" w:hanging="720"/>
        <w:rPr>
          <w:sz w:val="24"/>
          <w:szCs w:val="24"/>
        </w:rPr>
      </w:pPr>
      <w:r w:rsidRPr="00855626">
        <w:rPr>
          <w:sz w:val="24"/>
          <w:szCs w:val="24"/>
        </w:rPr>
        <w:t xml:space="preserve">Pelletier, S., Jabali, O. &amp; Laporte, G. 2018. Charge scheduling for electric freight vehicles. </w:t>
      </w:r>
      <w:r w:rsidRPr="00855626">
        <w:rPr>
          <w:i/>
          <w:sz w:val="24"/>
          <w:szCs w:val="24"/>
        </w:rPr>
        <w:t>Transportation Research Part B: Methodological,</w:t>
      </w:r>
      <w:r w:rsidRPr="00855626">
        <w:rPr>
          <w:sz w:val="24"/>
          <w:szCs w:val="24"/>
        </w:rPr>
        <w:t xml:space="preserve"> 115</w:t>
      </w:r>
      <w:r w:rsidRPr="00855626">
        <w:rPr>
          <w:b/>
          <w:sz w:val="24"/>
          <w:szCs w:val="24"/>
        </w:rPr>
        <w:t>,</w:t>
      </w:r>
      <w:r w:rsidRPr="00855626">
        <w:rPr>
          <w:sz w:val="24"/>
          <w:szCs w:val="24"/>
        </w:rPr>
        <w:t xml:space="preserve"> 246-269.</w:t>
      </w:r>
    </w:p>
    <w:p w14:paraId="2D6990BE" w14:textId="77777777" w:rsidR="00E20B39" w:rsidRPr="00855626" w:rsidRDefault="00E20B39" w:rsidP="00E20B39">
      <w:pPr>
        <w:pStyle w:val="EndNoteBibliography"/>
        <w:ind w:left="720" w:hanging="720"/>
        <w:rPr>
          <w:sz w:val="24"/>
          <w:szCs w:val="24"/>
        </w:rPr>
      </w:pPr>
      <w:r w:rsidRPr="00855626">
        <w:rPr>
          <w:sz w:val="24"/>
          <w:szCs w:val="24"/>
        </w:rPr>
        <w:t xml:space="preserve">Petersen, T. 2006. Development of a city logistics concept. </w:t>
      </w:r>
      <w:r w:rsidRPr="00855626">
        <w:rPr>
          <w:i/>
          <w:sz w:val="24"/>
          <w:szCs w:val="24"/>
        </w:rPr>
        <w:t>Production Planning &amp; Control,</w:t>
      </w:r>
      <w:r w:rsidRPr="00855626">
        <w:rPr>
          <w:sz w:val="24"/>
          <w:szCs w:val="24"/>
        </w:rPr>
        <w:t xml:space="preserve"> 17</w:t>
      </w:r>
      <w:r w:rsidRPr="00855626">
        <w:rPr>
          <w:b/>
          <w:sz w:val="24"/>
          <w:szCs w:val="24"/>
        </w:rPr>
        <w:t>,</w:t>
      </w:r>
      <w:r w:rsidRPr="00855626">
        <w:rPr>
          <w:sz w:val="24"/>
          <w:szCs w:val="24"/>
        </w:rPr>
        <w:t xml:space="preserve"> 616-623.</w:t>
      </w:r>
    </w:p>
    <w:p w14:paraId="39C0BB52" w14:textId="77777777" w:rsidR="00E20B39" w:rsidRPr="00855626" w:rsidRDefault="00E20B39" w:rsidP="00E20B39">
      <w:pPr>
        <w:pStyle w:val="EndNoteBibliography"/>
        <w:ind w:left="720" w:hanging="720"/>
        <w:rPr>
          <w:sz w:val="24"/>
          <w:szCs w:val="24"/>
        </w:rPr>
      </w:pPr>
      <w:r w:rsidRPr="00855626">
        <w:rPr>
          <w:sz w:val="24"/>
          <w:szCs w:val="24"/>
        </w:rPr>
        <w:t xml:space="preserve">Pirard, F., Iassinovski, S. &amp; Riane, F. 2011. A simulation based approach for supply network control. </w:t>
      </w:r>
      <w:r w:rsidRPr="00855626">
        <w:rPr>
          <w:i/>
          <w:sz w:val="24"/>
          <w:szCs w:val="24"/>
        </w:rPr>
        <w:t>International Journal of Production Research,</w:t>
      </w:r>
      <w:r w:rsidRPr="00855626">
        <w:rPr>
          <w:sz w:val="24"/>
          <w:szCs w:val="24"/>
        </w:rPr>
        <w:t xml:space="preserve"> 49</w:t>
      </w:r>
      <w:r w:rsidRPr="00855626">
        <w:rPr>
          <w:b/>
          <w:sz w:val="24"/>
          <w:szCs w:val="24"/>
        </w:rPr>
        <w:t>,</w:t>
      </w:r>
      <w:r w:rsidRPr="00855626">
        <w:rPr>
          <w:sz w:val="24"/>
          <w:szCs w:val="24"/>
        </w:rPr>
        <w:t xml:space="preserve"> 7205-7226.</w:t>
      </w:r>
    </w:p>
    <w:p w14:paraId="5675B52D" w14:textId="77777777" w:rsidR="00E20B39" w:rsidRPr="00855626" w:rsidRDefault="00E20B39" w:rsidP="00E20B39">
      <w:pPr>
        <w:pStyle w:val="EndNoteBibliography"/>
        <w:ind w:left="720" w:hanging="720"/>
        <w:rPr>
          <w:sz w:val="24"/>
          <w:szCs w:val="24"/>
        </w:rPr>
      </w:pPr>
      <w:r w:rsidRPr="00855626">
        <w:rPr>
          <w:sz w:val="24"/>
          <w:szCs w:val="24"/>
        </w:rPr>
        <w:t xml:space="preserve">Pitera, K., Pokorny, P., Kristensen, T. &amp; Bjørgen, A. 2017. The complexity of planning for goods delivery in a shared urban space: a case study involving cyclists and trucks. </w:t>
      </w:r>
      <w:r w:rsidRPr="00855626">
        <w:rPr>
          <w:i/>
          <w:sz w:val="24"/>
          <w:szCs w:val="24"/>
        </w:rPr>
        <w:t>European Transport Research Review,</w:t>
      </w:r>
      <w:r w:rsidRPr="00855626">
        <w:rPr>
          <w:sz w:val="24"/>
          <w:szCs w:val="24"/>
        </w:rPr>
        <w:t xml:space="preserve"> 9.</w:t>
      </w:r>
    </w:p>
    <w:p w14:paraId="3A7EB937" w14:textId="77777777" w:rsidR="00E20B39" w:rsidRPr="00855626" w:rsidRDefault="00E20B39" w:rsidP="00E20B39">
      <w:pPr>
        <w:pStyle w:val="EndNoteBibliography"/>
        <w:ind w:left="720" w:hanging="720"/>
        <w:rPr>
          <w:sz w:val="24"/>
          <w:szCs w:val="24"/>
        </w:rPr>
      </w:pPr>
      <w:r w:rsidRPr="00855626">
        <w:rPr>
          <w:sz w:val="24"/>
          <w:szCs w:val="24"/>
        </w:rPr>
        <w:t xml:space="preserve">Pomponi, F., Fratocchi, L., Tafuri, S. R. &amp; Palumbo, M. 2013. Horizontal collaboration in logistics: a comprehensive framework. </w:t>
      </w:r>
      <w:r w:rsidRPr="00855626">
        <w:rPr>
          <w:i/>
          <w:sz w:val="24"/>
          <w:szCs w:val="24"/>
        </w:rPr>
        <w:t>Research in Logistics &amp; Production,</w:t>
      </w:r>
      <w:r w:rsidRPr="00855626">
        <w:rPr>
          <w:sz w:val="24"/>
          <w:szCs w:val="24"/>
        </w:rPr>
        <w:t xml:space="preserve"> 3.</w:t>
      </w:r>
    </w:p>
    <w:p w14:paraId="3D637DDE" w14:textId="77777777" w:rsidR="00E20B39" w:rsidRPr="00855626" w:rsidRDefault="00E20B39" w:rsidP="00E20B39">
      <w:pPr>
        <w:pStyle w:val="EndNoteBibliography"/>
        <w:ind w:left="720" w:hanging="720"/>
        <w:rPr>
          <w:sz w:val="24"/>
          <w:szCs w:val="24"/>
        </w:rPr>
      </w:pPr>
      <w:r w:rsidRPr="00855626">
        <w:rPr>
          <w:sz w:val="24"/>
          <w:szCs w:val="24"/>
        </w:rPr>
        <w:t xml:space="preserve">Post, J. E., Preston, L. E. &amp; Sauter-Sachs, S. 2002. </w:t>
      </w:r>
      <w:r w:rsidRPr="00855626">
        <w:rPr>
          <w:i/>
          <w:sz w:val="24"/>
          <w:szCs w:val="24"/>
        </w:rPr>
        <w:t>Redefining the corporation: Stakeholder management and organizational wealth</w:t>
      </w:r>
      <w:r w:rsidRPr="00855626">
        <w:rPr>
          <w:sz w:val="24"/>
          <w:szCs w:val="24"/>
        </w:rPr>
        <w:t>, Stanford University Press.</w:t>
      </w:r>
    </w:p>
    <w:p w14:paraId="3AEEACC6" w14:textId="77777777" w:rsidR="00E20B39" w:rsidRPr="00855626" w:rsidRDefault="00E20B39" w:rsidP="00E20B39">
      <w:pPr>
        <w:pStyle w:val="EndNoteBibliography"/>
        <w:ind w:left="720" w:hanging="720"/>
        <w:rPr>
          <w:sz w:val="24"/>
          <w:szCs w:val="24"/>
        </w:rPr>
      </w:pPr>
      <w:r w:rsidRPr="00855626">
        <w:rPr>
          <w:sz w:val="24"/>
          <w:szCs w:val="24"/>
        </w:rPr>
        <w:t xml:space="preserve">Puth, M.-T., Neuhäuser, M. &amp; Ruxton, G. D. 2015. Effective use of Spearman's and Kendall's correlation coefficients for association between two measured traits. </w:t>
      </w:r>
      <w:r w:rsidRPr="00855626">
        <w:rPr>
          <w:i/>
          <w:sz w:val="24"/>
          <w:szCs w:val="24"/>
        </w:rPr>
        <w:t>Animal Behaviour,</w:t>
      </w:r>
      <w:r w:rsidRPr="00855626">
        <w:rPr>
          <w:sz w:val="24"/>
          <w:szCs w:val="24"/>
        </w:rPr>
        <w:t xml:space="preserve"> 102</w:t>
      </w:r>
      <w:r w:rsidRPr="00855626">
        <w:rPr>
          <w:b/>
          <w:sz w:val="24"/>
          <w:szCs w:val="24"/>
        </w:rPr>
        <w:t>,</w:t>
      </w:r>
      <w:r w:rsidRPr="00855626">
        <w:rPr>
          <w:sz w:val="24"/>
          <w:szCs w:val="24"/>
        </w:rPr>
        <w:t xml:space="preserve"> 77-84.</w:t>
      </w:r>
    </w:p>
    <w:p w14:paraId="5BBF9BB5" w14:textId="77777777" w:rsidR="00E20B39" w:rsidRPr="00855626" w:rsidRDefault="00E20B39" w:rsidP="00E20B39">
      <w:pPr>
        <w:pStyle w:val="EndNoteBibliography"/>
        <w:ind w:left="720" w:hanging="720"/>
        <w:rPr>
          <w:sz w:val="24"/>
          <w:szCs w:val="24"/>
        </w:rPr>
      </w:pPr>
      <w:r w:rsidRPr="00855626">
        <w:rPr>
          <w:sz w:val="24"/>
          <w:szCs w:val="24"/>
        </w:rPr>
        <w:t xml:space="preserve">Quak, H. 2014. Towards Zero Emission Urban Logistics: Challenges and Issues for Implementation of Electric Freight Vehicles in City Logistics. </w:t>
      </w:r>
      <w:r w:rsidRPr="00855626">
        <w:rPr>
          <w:i/>
          <w:sz w:val="24"/>
          <w:szCs w:val="24"/>
        </w:rPr>
        <w:t>In:</w:t>
      </w:r>
      <w:r w:rsidRPr="00855626">
        <w:rPr>
          <w:sz w:val="24"/>
          <w:szCs w:val="24"/>
        </w:rPr>
        <w:t xml:space="preserve"> NESTEROVA, N. (ed.) </w:t>
      </w:r>
      <w:r w:rsidRPr="00855626">
        <w:rPr>
          <w:i/>
          <w:sz w:val="24"/>
          <w:szCs w:val="24"/>
        </w:rPr>
        <w:t>Sustainable Logistics.</w:t>
      </w:r>
      <w:r w:rsidRPr="00855626">
        <w:rPr>
          <w:sz w:val="24"/>
          <w:szCs w:val="24"/>
        </w:rPr>
        <w:t xml:space="preserve"> Emerald Group Publishing Limited.</w:t>
      </w:r>
    </w:p>
    <w:p w14:paraId="2BDEC9F7" w14:textId="77777777" w:rsidR="00E20B39" w:rsidRPr="00855626" w:rsidRDefault="00E20B39" w:rsidP="00E20B39">
      <w:pPr>
        <w:pStyle w:val="EndNoteBibliography"/>
        <w:ind w:left="720" w:hanging="720"/>
        <w:rPr>
          <w:sz w:val="24"/>
          <w:szCs w:val="24"/>
        </w:rPr>
      </w:pPr>
      <w:r w:rsidRPr="00855626">
        <w:rPr>
          <w:sz w:val="24"/>
          <w:szCs w:val="24"/>
        </w:rPr>
        <w:t xml:space="preserve">Quak, H. &amp; Dekoster, M. 2007. Exploring retailers’ sensitivity to local sustainability policies. </w:t>
      </w:r>
      <w:r w:rsidRPr="00855626">
        <w:rPr>
          <w:i/>
          <w:sz w:val="24"/>
          <w:szCs w:val="24"/>
        </w:rPr>
        <w:t>Journal of Operations Management,</w:t>
      </w:r>
      <w:r w:rsidRPr="00855626">
        <w:rPr>
          <w:sz w:val="24"/>
          <w:szCs w:val="24"/>
        </w:rPr>
        <w:t xml:space="preserve"> 25</w:t>
      </w:r>
      <w:r w:rsidRPr="00855626">
        <w:rPr>
          <w:b/>
          <w:sz w:val="24"/>
          <w:szCs w:val="24"/>
        </w:rPr>
        <w:t>,</w:t>
      </w:r>
      <w:r w:rsidRPr="00855626">
        <w:rPr>
          <w:sz w:val="24"/>
          <w:szCs w:val="24"/>
        </w:rPr>
        <w:t xml:space="preserve"> 1103-1122.</w:t>
      </w:r>
    </w:p>
    <w:p w14:paraId="3276E320" w14:textId="77777777" w:rsidR="00E20B39" w:rsidRPr="00855626" w:rsidRDefault="00E20B39" w:rsidP="00E20B39">
      <w:pPr>
        <w:pStyle w:val="EndNoteBibliography"/>
        <w:ind w:left="720" w:hanging="720"/>
        <w:rPr>
          <w:sz w:val="24"/>
          <w:szCs w:val="24"/>
        </w:rPr>
      </w:pPr>
      <w:r w:rsidRPr="00855626">
        <w:rPr>
          <w:sz w:val="24"/>
          <w:szCs w:val="24"/>
        </w:rPr>
        <w:t xml:space="preserve">Quak, H. &amp; Tavasszy, L. 2011. Customized solutions for sustainable city logistics: The viability of urban freight consolidation centres. </w:t>
      </w:r>
      <w:r w:rsidRPr="00855626">
        <w:rPr>
          <w:i/>
          <w:sz w:val="24"/>
          <w:szCs w:val="24"/>
        </w:rPr>
        <w:t>Transitions Towards Sustainable Mobility</w:t>
      </w:r>
      <w:r w:rsidRPr="00855626">
        <w:rPr>
          <w:b/>
          <w:sz w:val="24"/>
          <w:szCs w:val="24"/>
        </w:rPr>
        <w:t>,</w:t>
      </w:r>
      <w:r w:rsidRPr="00855626">
        <w:rPr>
          <w:sz w:val="24"/>
          <w:szCs w:val="24"/>
        </w:rPr>
        <w:t xml:space="preserve"> 213-233.</w:t>
      </w:r>
    </w:p>
    <w:p w14:paraId="4E964E31" w14:textId="77777777" w:rsidR="00E20B39" w:rsidRPr="00855626" w:rsidRDefault="00E20B39" w:rsidP="00E20B39">
      <w:pPr>
        <w:pStyle w:val="EndNoteBibliography"/>
        <w:ind w:left="720" w:hanging="720"/>
        <w:rPr>
          <w:sz w:val="24"/>
          <w:szCs w:val="24"/>
        </w:rPr>
      </w:pPr>
      <w:r w:rsidRPr="00855626">
        <w:rPr>
          <w:sz w:val="24"/>
          <w:szCs w:val="24"/>
        </w:rPr>
        <w:t xml:space="preserve">Qureshi, A. G., Taniguchi, E., Thompson, R. G. &amp; Teo, J. S. E. 2014. Application of exact route optimization for the evaluation of a city logistics truck ban scheme. </w:t>
      </w:r>
      <w:r w:rsidRPr="00855626">
        <w:rPr>
          <w:i/>
          <w:sz w:val="24"/>
          <w:szCs w:val="24"/>
        </w:rPr>
        <w:t>International Journal of Urban Sciences,</w:t>
      </w:r>
      <w:r w:rsidRPr="00855626">
        <w:rPr>
          <w:sz w:val="24"/>
          <w:szCs w:val="24"/>
        </w:rPr>
        <w:t xml:space="preserve"> 18</w:t>
      </w:r>
      <w:r w:rsidRPr="00855626">
        <w:rPr>
          <w:b/>
          <w:sz w:val="24"/>
          <w:szCs w:val="24"/>
        </w:rPr>
        <w:t>,</w:t>
      </w:r>
      <w:r w:rsidRPr="00855626">
        <w:rPr>
          <w:sz w:val="24"/>
          <w:szCs w:val="24"/>
        </w:rPr>
        <w:t xml:space="preserve"> 117-132.</w:t>
      </w:r>
    </w:p>
    <w:p w14:paraId="3FE1EA11" w14:textId="77777777" w:rsidR="00E20B39" w:rsidRPr="00855626" w:rsidRDefault="00E20B39" w:rsidP="00E20B39">
      <w:pPr>
        <w:pStyle w:val="EndNoteBibliography"/>
        <w:ind w:left="720" w:hanging="720"/>
        <w:rPr>
          <w:sz w:val="24"/>
          <w:szCs w:val="24"/>
        </w:rPr>
      </w:pPr>
      <w:r w:rsidRPr="00855626">
        <w:rPr>
          <w:sz w:val="24"/>
          <w:szCs w:val="24"/>
        </w:rPr>
        <w:t xml:space="preserve">Qureshi, A. G., Taniguchi, E. &amp; Yamada, T. 2012. An Analysis of Exact VRPTW Solutions on ITS Data-based Logistics Instances. </w:t>
      </w:r>
      <w:r w:rsidRPr="00855626">
        <w:rPr>
          <w:i/>
          <w:sz w:val="24"/>
          <w:szCs w:val="24"/>
        </w:rPr>
        <w:t>International Journal of Intelligent Transportation Systems Research,</w:t>
      </w:r>
      <w:r w:rsidRPr="00855626">
        <w:rPr>
          <w:sz w:val="24"/>
          <w:szCs w:val="24"/>
        </w:rPr>
        <w:t xml:space="preserve"> 10</w:t>
      </w:r>
      <w:r w:rsidRPr="00855626">
        <w:rPr>
          <w:b/>
          <w:sz w:val="24"/>
          <w:szCs w:val="24"/>
        </w:rPr>
        <w:t>,</w:t>
      </w:r>
      <w:r w:rsidRPr="00855626">
        <w:rPr>
          <w:sz w:val="24"/>
          <w:szCs w:val="24"/>
        </w:rPr>
        <w:t xml:space="preserve"> 34-46.</w:t>
      </w:r>
    </w:p>
    <w:p w14:paraId="6BA00598" w14:textId="77777777" w:rsidR="00E20B39" w:rsidRPr="00855626" w:rsidRDefault="00E20B39" w:rsidP="00E20B39">
      <w:pPr>
        <w:pStyle w:val="EndNoteBibliography"/>
        <w:ind w:left="720" w:hanging="720"/>
        <w:rPr>
          <w:sz w:val="24"/>
          <w:szCs w:val="24"/>
        </w:rPr>
      </w:pPr>
      <w:r w:rsidRPr="00855626">
        <w:rPr>
          <w:sz w:val="24"/>
          <w:szCs w:val="24"/>
        </w:rPr>
        <w:t>Rabe, M., Klueter, A. &amp; Wuttke, A. Evaluating the consolidation of distribution flows using a discrete event supply chain simulation tool: Application to a case study in Greece. 2019. Institute of Electrical and Electronics Engineers Inc., 2815-2826.</w:t>
      </w:r>
    </w:p>
    <w:p w14:paraId="38353073" w14:textId="77777777" w:rsidR="00E20B39" w:rsidRPr="00855626" w:rsidRDefault="00E20B39" w:rsidP="00E20B39">
      <w:pPr>
        <w:pStyle w:val="EndNoteBibliography"/>
        <w:ind w:left="720" w:hanging="720"/>
        <w:rPr>
          <w:sz w:val="24"/>
          <w:szCs w:val="24"/>
        </w:rPr>
      </w:pPr>
      <w:r w:rsidRPr="00855626">
        <w:rPr>
          <w:sz w:val="24"/>
          <w:szCs w:val="24"/>
        </w:rPr>
        <w:lastRenderedPageBreak/>
        <w:t xml:space="preserve">Rao, C., Goh, M., Zhao, Y. &amp; Zheng, J. 2015. Location selection of city logistics centers under sustainability. </w:t>
      </w:r>
      <w:r w:rsidRPr="00855626">
        <w:rPr>
          <w:i/>
          <w:sz w:val="24"/>
          <w:szCs w:val="24"/>
        </w:rPr>
        <w:t>Transportation Research Part D: Transport and Environment,</w:t>
      </w:r>
      <w:r w:rsidRPr="00855626">
        <w:rPr>
          <w:sz w:val="24"/>
          <w:szCs w:val="24"/>
        </w:rPr>
        <w:t xml:space="preserve"> 36</w:t>
      </w:r>
      <w:r w:rsidRPr="00855626">
        <w:rPr>
          <w:b/>
          <w:sz w:val="24"/>
          <w:szCs w:val="24"/>
        </w:rPr>
        <w:t>,</w:t>
      </w:r>
      <w:r w:rsidRPr="00855626">
        <w:rPr>
          <w:sz w:val="24"/>
          <w:szCs w:val="24"/>
        </w:rPr>
        <w:t xml:space="preserve"> 29-44.</w:t>
      </w:r>
    </w:p>
    <w:p w14:paraId="227CAEE9" w14:textId="77777777" w:rsidR="00E20B39" w:rsidRPr="00855626" w:rsidRDefault="00E20B39" w:rsidP="00E20B39">
      <w:pPr>
        <w:pStyle w:val="EndNoteBibliography"/>
        <w:ind w:left="720" w:hanging="720"/>
        <w:rPr>
          <w:sz w:val="24"/>
          <w:szCs w:val="24"/>
        </w:rPr>
      </w:pPr>
      <w:r w:rsidRPr="00855626">
        <w:rPr>
          <w:sz w:val="24"/>
          <w:szCs w:val="24"/>
        </w:rPr>
        <w:t xml:space="preserve">Regan, A. C. &amp; Golob, T. F. 2005. Trucking industry demand for urban shared use freight terminals. </w:t>
      </w:r>
      <w:r w:rsidRPr="00855626">
        <w:rPr>
          <w:i/>
          <w:sz w:val="24"/>
          <w:szCs w:val="24"/>
        </w:rPr>
        <w:t>Transportation,</w:t>
      </w:r>
      <w:r w:rsidRPr="00855626">
        <w:rPr>
          <w:sz w:val="24"/>
          <w:szCs w:val="24"/>
        </w:rPr>
        <w:t xml:space="preserve"> 32</w:t>
      </w:r>
      <w:r w:rsidRPr="00855626">
        <w:rPr>
          <w:b/>
          <w:sz w:val="24"/>
          <w:szCs w:val="24"/>
        </w:rPr>
        <w:t>,</w:t>
      </w:r>
      <w:r w:rsidRPr="00855626">
        <w:rPr>
          <w:sz w:val="24"/>
          <w:szCs w:val="24"/>
        </w:rPr>
        <w:t xml:space="preserve"> 23-36.</w:t>
      </w:r>
    </w:p>
    <w:p w14:paraId="13C1F2E8" w14:textId="77777777" w:rsidR="00E20B39" w:rsidRPr="00855626" w:rsidRDefault="00E20B39" w:rsidP="00E20B39">
      <w:pPr>
        <w:pStyle w:val="EndNoteBibliography"/>
        <w:ind w:left="720" w:hanging="720"/>
        <w:rPr>
          <w:sz w:val="24"/>
          <w:szCs w:val="24"/>
        </w:rPr>
      </w:pPr>
      <w:r w:rsidRPr="00855626">
        <w:rPr>
          <w:sz w:val="24"/>
          <w:szCs w:val="24"/>
        </w:rPr>
        <w:t xml:space="preserve">Rhenman, E. 1973. </w:t>
      </w:r>
      <w:r w:rsidRPr="00855626">
        <w:rPr>
          <w:i/>
          <w:sz w:val="24"/>
          <w:szCs w:val="24"/>
        </w:rPr>
        <w:t>Organization theory for long-range planning</w:t>
      </w:r>
      <w:r w:rsidRPr="00855626">
        <w:rPr>
          <w:sz w:val="24"/>
          <w:szCs w:val="24"/>
        </w:rPr>
        <w:t>, John Wiley &amp; Sons.</w:t>
      </w:r>
    </w:p>
    <w:p w14:paraId="3D40A679" w14:textId="77777777" w:rsidR="00E20B39" w:rsidRPr="00855626" w:rsidRDefault="00E20B39" w:rsidP="00E20B39">
      <w:pPr>
        <w:pStyle w:val="EndNoteBibliography"/>
        <w:ind w:left="720" w:hanging="720"/>
        <w:rPr>
          <w:sz w:val="24"/>
          <w:szCs w:val="24"/>
        </w:rPr>
      </w:pPr>
      <w:r w:rsidRPr="00855626">
        <w:rPr>
          <w:sz w:val="24"/>
          <w:szCs w:val="24"/>
        </w:rPr>
        <w:t xml:space="preserve">Roumboutsos, A., Kapros, S. &amp; Vanelslander, T. 2014. Green city logistics: Systems of Innovation to assess the potential of E-vehicles. </w:t>
      </w:r>
      <w:r w:rsidRPr="00855626">
        <w:rPr>
          <w:i/>
          <w:sz w:val="24"/>
          <w:szCs w:val="24"/>
        </w:rPr>
        <w:t>Research in Transportation Business &amp; Management,</w:t>
      </w:r>
      <w:r w:rsidRPr="00855626">
        <w:rPr>
          <w:sz w:val="24"/>
          <w:szCs w:val="24"/>
        </w:rPr>
        <w:t xml:space="preserve"> 11</w:t>
      </w:r>
      <w:r w:rsidRPr="00855626">
        <w:rPr>
          <w:b/>
          <w:sz w:val="24"/>
          <w:szCs w:val="24"/>
        </w:rPr>
        <w:t>,</w:t>
      </w:r>
      <w:r w:rsidRPr="00855626">
        <w:rPr>
          <w:sz w:val="24"/>
          <w:szCs w:val="24"/>
        </w:rPr>
        <w:t xml:space="preserve"> 43-52.</w:t>
      </w:r>
    </w:p>
    <w:p w14:paraId="39BA1765" w14:textId="77777777" w:rsidR="00E20B39" w:rsidRPr="00855626" w:rsidRDefault="00E20B39" w:rsidP="00E20B39">
      <w:pPr>
        <w:pStyle w:val="EndNoteBibliography"/>
        <w:ind w:left="720" w:hanging="720"/>
        <w:rPr>
          <w:sz w:val="24"/>
          <w:szCs w:val="24"/>
        </w:rPr>
      </w:pPr>
      <w:r w:rsidRPr="00855626">
        <w:rPr>
          <w:sz w:val="24"/>
          <w:szCs w:val="24"/>
        </w:rPr>
        <w:t xml:space="preserve">Roy, B. 1981. The optimisation problem formulation: criticism and overstepping. </w:t>
      </w:r>
      <w:r w:rsidRPr="00855626">
        <w:rPr>
          <w:i/>
          <w:sz w:val="24"/>
          <w:szCs w:val="24"/>
        </w:rPr>
        <w:t>Journal of the Operational Research Society,</w:t>
      </w:r>
      <w:r w:rsidRPr="00855626">
        <w:rPr>
          <w:sz w:val="24"/>
          <w:szCs w:val="24"/>
        </w:rPr>
        <w:t xml:space="preserve"> 32</w:t>
      </w:r>
      <w:r w:rsidRPr="00855626">
        <w:rPr>
          <w:b/>
          <w:sz w:val="24"/>
          <w:szCs w:val="24"/>
        </w:rPr>
        <w:t>,</w:t>
      </w:r>
      <w:r w:rsidRPr="00855626">
        <w:rPr>
          <w:sz w:val="24"/>
          <w:szCs w:val="24"/>
        </w:rPr>
        <w:t xml:space="preserve"> 427-436.</w:t>
      </w:r>
    </w:p>
    <w:p w14:paraId="3F77FB70" w14:textId="77777777" w:rsidR="00E20B39" w:rsidRPr="00855626" w:rsidRDefault="00E20B39" w:rsidP="00E20B39">
      <w:pPr>
        <w:pStyle w:val="EndNoteBibliography"/>
        <w:ind w:left="720" w:hanging="720"/>
        <w:rPr>
          <w:sz w:val="24"/>
          <w:szCs w:val="24"/>
        </w:rPr>
      </w:pPr>
      <w:r w:rsidRPr="00855626">
        <w:rPr>
          <w:sz w:val="24"/>
          <w:szCs w:val="24"/>
        </w:rPr>
        <w:t xml:space="preserve">Russo, F. &amp; Comi, A. 2010. A classification of city logistics measures and connected impacts. </w:t>
      </w:r>
      <w:r w:rsidRPr="00855626">
        <w:rPr>
          <w:i/>
          <w:sz w:val="24"/>
          <w:szCs w:val="24"/>
        </w:rPr>
        <w:t>Procedia - Social and Behavioral Sciences,</w:t>
      </w:r>
      <w:r w:rsidRPr="00855626">
        <w:rPr>
          <w:sz w:val="24"/>
          <w:szCs w:val="24"/>
        </w:rPr>
        <w:t xml:space="preserve"> 2</w:t>
      </w:r>
      <w:r w:rsidRPr="00855626">
        <w:rPr>
          <w:b/>
          <w:sz w:val="24"/>
          <w:szCs w:val="24"/>
        </w:rPr>
        <w:t>,</w:t>
      </w:r>
      <w:r w:rsidRPr="00855626">
        <w:rPr>
          <w:sz w:val="24"/>
          <w:szCs w:val="24"/>
        </w:rPr>
        <w:t xml:space="preserve"> 6355-6365.</w:t>
      </w:r>
    </w:p>
    <w:p w14:paraId="0B6DE2F5" w14:textId="77777777" w:rsidR="00E20B39" w:rsidRPr="00855626" w:rsidRDefault="00E20B39" w:rsidP="00E20B39">
      <w:pPr>
        <w:pStyle w:val="EndNoteBibliography"/>
        <w:ind w:left="720" w:hanging="720"/>
        <w:rPr>
          <w:sz w:val="24"/>
          <w:szCs w:val="24"/>
        </w:rPr>
      </w:pPr>
      <w:r w:rsidRPr="00855626">
        <w:rPr>
          <w:sz w:val="24"/>
          <w:szCs w:val="24"/>
        </w:rPr>
        <w:t xml:space="preserve">Russo, F. &amp; Comi, A. 2016. Urban freight transport planning towards green goals: synthetic environmental evidence from tested results. </w:t>
      </w:r>
      <w:r w:rsidRPr="00855626">
        <w:rPr>
          <w:i/>
          <w:sz w:val="24"/>
          <w:szCs w:val="24"/>
        </w:rPr>
        <w:t>Sustainability,</w:t>
      </w:r>
      <w:r w:rsidRPr="00855626">
        <w:rPr>
          <w:sz w:val="24"/>
          <w:szCs w:val="24"/>
        </w:rPr>
        <w:t xml:space="preserve"> 8</w:t>
      </w:r>
      <w:r w:rsidRPr="00855626">
        <w:rPr>
          <w:b/>
          <w:sz w:val="24"/>
          <w:szCs w:val="24"/>
        </w:rPr>
        <w:t>,</w:t>
      </w:r>
      <w:r w:rsidRPr="00855626">
        <w:rPr>
          <w:sz w:val="24"/>
          <w:szCs w:val="24"/>
        </w:rPr>
        <w:t xml:space="preserve"> 381.</w:t>
      </w:r>
    </w:p>
    <w:p w14:paraId="4FD293A3" w14:textId="77777777" w:rsidR="00E20B39" w:rsidRPr="00855626" w:rsidRDefault="00E20B39" w:rsidP="00E20B39">
      <w:pPr>
        <w:pStyle w:val="EndNoteBibliography"/>
        <w:ind w:left="720" w:hanging="720"/>
        <w:rPr>
          <w:sz w:val="24"/>
          <w:szCs w:val="24"/>
        </w:rPr>
      </w:pPr>
      <w:r w:rsidRPr="00855626">
        <w:rPr>
          <w:sz w:val="24"/>
          <w:szCs w:val="24"/>
        </w:rPr>
        <w:t>Russo, F., Musolino, G. &amp; Trecozzi, M. R. A system of models for the assessment of an urban distribution center in a city logistic plan. 2013. 799-810.</w:t>
      </w:r>
    </w:p>
    <w:p w14:paraId="2FD66EC3" w14:textId="77777777" w:rsidR="00E20B39" w:rsidRPr="00855626" w:rsidRDefault="00E20B39" w:rsidP="00E20B39">
      <w:pPr>
        <w:pStyle w:val="EndNoteBibliography"/>
        <w:ind w:left="720" w:hanging="720"/>
        <w:rPr>
          <w:sz w:val="24"/>
          <w:szCs w:val="24"/>
        </w:rPr>
      </w:pPr>
      <w:r w:rsidRPr="00855626">
        <w:rPr>
          <w:sz w:val="24"/>
          <w:szCs w:val="24"/>
        </w:rPr>
        <w:t xml:space="preserve">Russo, F., Rindone, C. &amp; Panuccio, P. 2016. European plans for the smart city: from theories and rules to logistics test case. </w:t>
      </w:r>
      <w:r w:rsidRPr="00855626">
        <w:rPr>
          <w:i/>
          <w:sz w:val="24"/>
          <w:szCs w:val="24"/>
        </w:rPr>
        <w:t>European Planning Studies,</w:t>
      </w:r>
      <w:r w:rsidRPr="00855626">
        <w:rPr>
          <w:sz w:val="24"/>
          <w:szCs w:val="24"/>
        </w:rPr>
        <w:t xml:space="preserve"> 24</w:t>
      </w:r>
      <w:r w:rsidRPr="00855626">
        <w:rPr>
          <w:b/>
          <w:sz w:val="24"/>
          <w:szCs w:val="24"/>
        </w:rPr>
        <w:t>,</w:t>
      </w:r>
      <w:r w:rsidRPr="00855626">
        <w:rPr>
          <w:sz w:val="24"/>
          <w:szCs w:val="24"/>
        </w:rPr>
        <w:t xml:space="preserve"> 1709-1726.</w:t>
      </w:r>
    </w:p>
    <w:p w14:paraId="5C885CE2" w14:textId="77777777" w:rsidR="00E20B39" w:rsidRPr="00855626" w:rsidRDefault="00E20B39" w:rsidP="00E20B39">
      <w:pPr>
        <w:pStyle w:val="EndNoteBibliography"/>
        <w:ind w:left="720" w:hanging="720"/>
        <w:rPr>
          <w:sz w:val="24"/>
          <w:szCs w:val="24"/>
        </w:rPr>
      </w:pPr>
      <w:r w:rsidRPr="00855626">
        <w:rPr>
          <w:sz w:val="24"/>
          <w:szCs w:val="24"/>
        </w:rPr>
        <w:t xml:space="preserve">Saaty, T. L. What is the Analytic Hierarchy Process? </w:t>
      </w:r>
      <w:r w:rsidRPr="00855626">
        <w:rPr>
          <w:i/>
          <w:sz w:val="24"/>
          <w:szCs w:val="24"/>
        </w:rPr>
        <w:t xml:space="preserve">In: </w:t>
      </w:r>
      <w:r w:rsidRPr="00855626">
        <w:rPr>
          <w:sz w:val="24"/>
          <w:szCs w:val="24"/>
        </w:rPr>
        <w:t>MITRA, G., GREENBERG, H. J., LOOTSMA, F. A., RIJKAERT, M. J. &amp; ZIMMERMANN, H. J., eds. Mathematical Models for Decision Support, 1988// 1988 Berlin, Heidelberg. Springer Berlin Heidelberg, 109-121.</w:t>
      </w:r>
    </w:p>
    <w:p w14:paraId="635DAE8E" w14:textId="77777777" w:rsidR="00E20B39" w:rsidRPr="00855626" w:rsidRDefault="00E20B39" w:rsidP="00E20B39">
      <w:pPr>
        <w:pStyle w:val="EndNoteBibliography"/>
        <w:ind w:left="720" w:hanging="720"/>
        <w:rPr>
          <w:sz w:val="24"/>
          <w:szCs w:val="24"/>
        </w:rPr>
      </w:pPr>
      <w:r w:rsidRPr="00855626">
        <w:rPr>
          <w:sz w:val="24"/>
          <w:szCs w:val="24"/>
        </w:rPr>
        <w:t xml:space="preserve">Saaty, T. L. 1990. How to make a decision: The analytic hierarchy process. </w:t>
      </w:r>
      <w:r w:rsidRPr="00855626">
        <w:rPr>
          <w:i/>
          <w:sz w:val="24"/>
          <w:szCs w:val="24"/>
        </w:rPr>
        <w:t>European Journal of Operational Research,</w:t>
      </w:r>
      <w:r w:rsidRPr="00855626">
        <w:rPr>
          <w:sz w:val="24"/>
          <w:szCs w:val="24"/>
        </w:rPr>
        <w:t xml:space="preserve"> 48</w:t>
      </w:r>
      <w:r w:rsidRPr="00855626">
        <w:rPr>
          <w:b/>
          <w:sz w:val="24"/>
          <w:szCs w:val="24"/>
        </w:rPr>
        <w:t>,</w:t>
      </w:r>
      <w:r w:rsidRPr="00855626">
        <w:rPr>
          <w:sz w:val="24"/>
          <w:szCs w:val="24"/>
        </w:rPr>
        <w:t xml:space="preserve"> 9-26.</w:t>
      </w:r>
    </w:p>
    <w:p w14:paraId="2D27FBDF" w14:textId="77777777" w:rsidR="00E20B39" w:rsidRPr="00855626" w:rsidRDefault="00E20B39" w:rsidP="00E20B39">
      <w:pPr>
        <w:pStyle w:val="EndNoteBibliography"/>
        <w:ind w:left="720" w:hanging="720"/>
        <w:rPr>
          <w:sz w:val="24"/>
          <w:szCs w:val="24"/>
        </w:rPr>
      </w:pPr>
      <w:r w:rsidRPr="00855626">
        <w:rPr>
          <w:sz w:val="24"/>
          <w:szCs w:val="24"/>
        </w:rPr>
        <w:t xml:space="preserve">Saaty, T. L. 2004. Decision making — the Analytic Hierarchy and Network Processes (AHP/ANP). </w:t>
      </w:r>
      <w:r w:rsidRPr="00855626">
        <w:rPr>
          <w:i/>
          <w:sz w:val="24"/>
          <w:szCs w:val="24"/>
        </w:rPr>
        <w:t>Journal of Systems Science and Systems Engineering,</w:t>
      </w:r>
      <w:r w:rsidRPr="00855626">
        <w:rPr>
          <w:sz w:val="24"/>
          <w:szCs w:val="24"/>
        </w:rPr>
        <w:t xml:space="preserve"> 13</w:t>
      </w:r>
      <w:r w:rsidRPr="00855626">
        <w:rPr>
          <w:b/>
          <w:sz w:val="24"/>
          <w:szCs w:val="24"/>
        </w:rPr>
        <w:t>,</w:t>
      </w:r>
      <w:r w:rsidRPr="00855626">
        <w:rPr>
          <w:sz w:val="24"/>
          <w:szCs w:val="24"/>
        </w:rPr>
        <w:t xml:space="preserve"> 1-35.</w:t>
      </w:r>
    </w:p>
    <w:p w14:paraId="13158E6B" w14:textId="77777777" w:rsidR="00E20B39" w:rsidRPr="00855626" w:rsidRDefault="00E20B39" w:rsidP="00E20B39">
      <w:pPr>
        <w:pStyle w:val="EndNoteBibliography"/>
        <w:ind w:left="720" w:hanging="720"/>
        <w:rPr>
          <w:sz w:val="24"/>
          <w:szCs w:val="24"/>
        </w:rPr>
      </w:pPr>
      <w:r w:rsidRPr="00855626">
        <w:rPr>
          <w:sz w:val="24"/>
          <w:szCs w:val="24"/>
        </w:rPr>
        <w:t xml:space="preserve">Saaty, T. L. 2013. The modern science of multicriteria decision making and its practical applications: The AHP/ANP approach. </w:t>
      </w:r>
      <w:r w:rsidRPr="00855626">
        <w:rPr>
          <w:i/>
          <w:sz w:val="24"/>
          <w:szCs w:val="24"/>
        </w:rPr>
        <w:t>Operations Research,</w:t>
      </w:r>
      <w:r w:rsidRPr="00855626">
        <w:rPr>
          <w:sz w:val="24"/>
          <w:szCs w:val="24"/>
        </w:rPr>
        <w:t xml:space="preserve"> 61</w:t>
      </w:r>
      <w:r w:rsidRPr="00855626">
        <w:rPr>
          <w:b/>
          <w:sz w:val="24"/>
          <w:szCs w:val="24"/>
        </w:rPr>
        <w:t>,</w:t>
      </w:r>
      <w:r w:rsidRPr="00855626">
        <w:rPr>
          <w:sz w:val="24"/>
          <w:szCs w:val="24"/>
        </w:rPr>
        <w:t xml:space="preserve"> 1101-1118.</w:t>
      </w:r>
    </w:p>
    <w:p w14:paraId="14F73B2B" w14:textId="77777777" w:rsidR="00E20B39" w:rsidRPr="00855626" w:rsidRDefault="00E20B39" w:rsidP="00E20B39">
      <w:pPr>
        <w:pStyle w:val="EndNoteBibliography"/>
        <w:ind w:left="720" w:hanging="720"/>
        <w:rPr>
          <w:sz w:val="24"/>
          <w:szCs w:val="24"/>
        </w:rPr>
      </w:pPr>
      <w:r w:rsidRPr="00855626">
        <w:rPr>
          <w:sz w:val="24"/>
          <w:szCs w:val="24"/>
        </w:rPr>
        <w:t xml:space="preserve">Saetta, S. &amp; Caldarelli, V. Urban logistics: The role of urban consolidation centre for the sustainability of transportation systems. </w:t>
      </w:r>
      <w:r w:rsidRPr="00120BCB">
        <w:rPr>
          <w:i/>
          <w:sz w:val="24"/>
          <w:szCs w:val="24"/>
          <w:lang w:val="it-IT"/>
        </w:rPr>
        <w:t xml:space="preserve">In: </w:t>
      </w:r>
      <w:r w:rsidRPr="00120BCB">
        <w:rPr>
          <w:sz w:val="24"/>
          <w:szCs w:val="24"/>
          <w:lang w:val="it-IT"/>
        </w:rPr>
        <w:t xml:space="preserve">AFFENZELLER, M., LONGO, F., MERKURYEV, Y., BRUZZONE, A. G. &amp; PIERA, M. A., eds., 2016. </w:t>
      </w:r>
      <w:r w:rsidRPr="00855626">
        <w:rPr>
          <w:sz w:val="24"/>
          <w:szCs w:val="24"/>
        </w:rPr>
        <w:t>Dime University of Genoa, 69-75.</w:t>
      </w:r>
    </w:p>
    <w:p w14:paraId="6928FB91" w14:textId="77777777" w:rsidR="00E20B39" w:rsidRPr="00855626" w:rsidRDefault="00E20B39" w:rsidP="00E20B39">
      <w:pPr>
        <w:pStyle w:val="EndNoteBibliography"/>
        <w:ind w:left="720" w:hanging="720"/>
        <w:rPr>
          <w:sz w:val="24"/>
          <w:szCs w:val="24"/>
        </w:rPr>
      </w:pPr>
      <w:r w:rsidRPr="00855626">
        <w:rPr>
          <w:sz w:val="24"/>
          <w:szCs w:val="24"/>
        </w:rPr>
        <w:t xml:space="preserve">Sánchez-Díaz, I. 2017. Modeling urban freight generation: A study of commercial establishments’ freight needs. </w:t>
      </w:r>
      <w:r w:rsidRPr="00855626">
        <w:rPr>
          <w:i/>
          <w:sz w:val="24"/>
          <w:szCs w:val="24"/>
        </w:rPr>
        <w:t>Transportation Research Part A: Policy and Practice,</w:t>
      </w:r>
      <w:r w:rsidRPr="00855626">
        <w:rPr>
          <w:sz w:val="24"/>
          <w:szCs w:val="24"/>
        </w:rPr>
        <w:t xml:space="preserve"> 102</w:t>
      </w:r>
      <w:r w:rsidRPr="00855626">
        <w:rPr>
          <w:b/>
          <w:sz w:val="24"/>
          <w:szCs w:val="24"/>
        </w:rPr>
        <w:t>,</w:t>
      </w:r>
      <w:r w:rsidRPr="00855626">
        <w:rPr>
          <w:sz w:val="24"/>
          <w:szCs w:val="24"/>
        </w:rPr>
        <w:t xml:space="preserve"> 3-17.</w:t>
      </w:r>
    </w:p>
    <w:p w14:paraId="64CC903B" w14:textId="77777777" w:rsidR="00E20B39" w:rsidRPr="00855626" w:rsidRDefault="00E20B39" w:rsidP="00E20B39">
      <w:pPr>
        <w:pStyle w:val="EndNoteBibliography"/>
        <w:ind w:left="720" w:hanging="720"/>
        <w:rPr>
          <w:sz w:val="24"/>
          <w:szCs w:val="24"/>
        </w:rPr>
      </w:pPr>
      <w:r w:rsidRPr="00855626">
        <w:rPr>
          <w:sz w:val="24"/>
          <w:szCs w:val="24"/>
        </w:rPr>
        <w:t xml:space="preserve">Sanz, G. 2018. A step-by-step guide to assist logistics managers in defining efficient re-shelving solutions for retail store deliveries. </w:t>
      </w:r>
      <w:r w:rsidRPr="00855626">
        <w:rPr>
          <w:i/>
          <w:sz w:val="24"/>
          <w:szCs w:val="24"/>
        </w:rPr>
        <w:t>International Journal of Physical Distribution &amp;amp; Logistics Management,</w:t>
      </w:r>
      <w:r w:rsidRPr="00855626">
        <w:rPr>
          <w:sz w:val="24"/>
          <w:szCs w:val="24"/>
        </w:rPr>
        <w:t xml:space="preserve"> 48</w:t>
      </w:r>
      <w:r w:rsidRPr="00855626">
        <w:rPr>
          <w:b/>
          <w:sz w:val="24"/>
          <w:szCs w:val="24"/>
        </w:rPr>
        <w:t>,</w:t>
      </w:r>
      <w:r w:rsidRPr="00855626">
        <w:rPr>
          <w:sz w:val="24"/>
          <w:szCs w:val="24"/>
        </w:rPr>
        <w:t xml:space="preserve"> 952-972.</w:t>
      </w:r>
    </w:p>
    <w:p w14:paraId="3F50054E" w14:textId="77777777" w:rsidR="00E20B39" w:rsidRPr="00855626" w:rsidRDefault="00E20B39" w:rsidP="00E20B39">
      <w:pPr>
        <w:pStyle w:val="EndNoteBibliography"/>
        <w:ind w:left="720" w:hanging="720"/>
        <w:rPr>
          <w:sz w:val="24"/>
          <w:szCs w:val="24"/>
        </w:rPr>
      </w:pPr>
      <w:r w:rsidRPr="00855626">
        <w:rPr>
          <w:sz w:val="24"/>
          <w:szCs w:val="24"/>
        </w:rPr>
        <w:lastRenderedPageBreak/>
        <w:t xml:space="preserve">Sathaye, N., Horvath, A. &amp; Madanat, S. 2010. Unintended impacts of increased truck loads on pavement supply-chain emissions. </w:t>
      </w:r>
      <w:r w:rsidRPr="00855626">
        <w:rPr>
          <w:i/>
          <w:sz w:val="24"/>
          <w:szCs w:val="24"/>
        </w:rPr>
        <w:t>Transportation Research Part A: Policy and Practice,</w:t>
      </w:r>
      <w:r w:rsidRPr="00855626">
        <w:rPr>
          <w:sz w:val="24"/>
          <w:szCs w:val="24"/>
        </w:rPr>
        <w:t xml:space="preserve"> 44</w:t>
      </w:r>
      <w:r w:rsidRPr="00855626">
        <w:rPr>
          <w:b/>
          <w:sz w:val="24"/>
          <w:szCs w:val="24"/>
        </w:rPr>
        <w:t>,</w:t>
      </w:r>
      <w:r w:rsidRPr="00855626">
        <w:rPr>
          <w:sz w:val="24"/>
          <w:szCs w:val="24"/>
        </w:rPr>
        <w:t xml:space="preserve"> 1-15.</w:t>
      </w:r>
    </w:p>
    <w:p w14:paraId="1B0A4A04" w14:textId="77777777" w:rsidR="00E20B39" w:rsidRPr="00855626" w:rsidRDefault="00E20B39" w:rsidP="00E20B39">
      <w:pPr>
        <w:pStyle w:val="EndNoteBibliography"/>
        <w:ind w:left="720" w:hanging="720"/>
        <w:rPr>
          <w:sz w:val="24"/>
          <w:szCs w:val="24"/>
        </w:rPr>
      </w:pPr>
      <w:r w:rsidRPr="00855626">
        <w:rPr>
          <w:sz w:val="24"/>
          <w:szCs w:val="24"/>
        </w:rPr>
        <w:t xml:space="preserve">Savelsbergh, M. &amp; Van Woensel, T. 2016. 50th Anniversary Invited Article—City Logistics: Challenges and Opportunities. </w:t>
      </w:r>
      <w:r w:rsidRPr="00855626">
        <w:rPr>
          <w:i/>
          <w:sz w:val="24"/>
          <w:szCs w:val="24"/>
        </w:rPr>
        <w:t>Transportation Science,</w:t>
      </w:r>
      <w:r w:rsidRPr="00855626">
        <w:rPr>
          <w:sz w:val="24"/>
          <w:szCs w:val="24"/>
        </w:rPr>
        <w:t xml:space="preserve"> 50</w:t>
      </w:r>
      <w:r w:rsidRPr="00855626">
        <w:rPr>
          <w:b/>
          <w:sz w:val="24"/>
          <w:szCs w:val="24"/>
        </w:rPr>
        <w:t>,</w:t>
      </w:r>
      <w:r w:rsidRPr="00855626">
        <w:rPr>
          <w:sz w:val="24"/>
          <w:szCs w:val="24"/>
        </w:rPr>
        <w:t xml:space="preserve"> 579-590.</w:t>
      </w:r>
    </w:p>
    <w:p w14:paraId="34B4C0F7" w14:textId="77777777" w:rsidR="00E20B39" w:rsidRPr="00855626" w:rsidRDefault="00E20B39" w:rsidP="00E20B39">
      <w:pPr>
        <w:pStyle w:val="EndNoteBibliography"/>
        <w:ind w:left="720" w:hanging="720"/>
        <w:rPr>
          <w:sz w:val="24"/>
          <w:szCs w:val="24"/>
        </w:rPr>
      </w:pPr>
      <w:r w:rsidRPr="00855626">
        <w:rPr>
          <w:sz w:val="24"/>
          <w:szCs w:val="24"/>
        </w:rPr>
        <w:t xml:space="preserve">Schaffer, B. 2000. Implementing a successful crossdocking operation. </w:t>
      </w:r>
      <w:r w:rsidRPr="00855626">
        <w:rPr>
          <w:i/>
          <w:sz w:val="24"/>
          <w:szCs w:val="24"/>
        </w:rPr>
        <w:t>Plant Engineering,</w:t>
      </w:r>
      <w:r w:rsidRPr="00855626">
        <w:rPr>
          <w:sz w:val="24"/>
          <w:szCs w:val="24"/>
        </w:rPr>
        <w:t xml:space="preserve"> 54</w:t>
      </w:r>
      <w:r w:rsidRPr="00855626">
        <w:rPr>
          <w:b/>
          <w:sz w:val="24"/>
          <w:szCs w:val="24"/>
        </w:rPr>
        <w:t>,</w:t>
      </w:r>
      <w:r w:rsidRPr="00855626">
        <w:rPr>
          <w:sz w:val="24"/>
          <w:szCs w:val="24"/>
        </w:rPr>
        <w:t xml:space="preserve"> 128-132.</w:t>
      </w:r>
    </w:p>
    <w:p w14:paraId="72B969C0" w14:textId="77777777" w:rsidR="00E20B39" w:rsidRPr="00855626" w:rsidRDefault="00E20B39" w:rsidP="00E20B39">
      <w:pPr>
        <w:pStyle w:val="EndNoteBibliography"/>
        <w:ind w:left="720" w:hanging="720"/>
        <w:rPr>
          <w:sz w:val="24"/>
          <w:szCs w:val="24"/>
        </w:rPr>
      </w:pPr>
      <w:r w:rsidRPr="00855626">
        <w:rPr>
          <w:sz w:val="24"/>
          <w:szCs w:val="24"/>
        </w:rPr>
        <w:t xml:space="preserve">Schliwa, G., Armitage, R., Aziz, S., Evans, J. &amp; Rhoades, J. 2015. Sustainable city logistics - Making cargo cycles viable for urban freight transport. </w:t>
      </w:r>
      <w:r w:rsidRPr="00855626">
        <w:rPr>
          <w:i/>
          <w:sz w:val="24"/>
          <w:szCs w:val="24"/>
        </w:rPr>
        <w:t>Research in Transportation Business and Management,</w:t>
      </w:r>
      <w:r w:rsidRPr="00855626">
        <w:rPr>
          <w:sz w:val="24"/>
          <w:szCs w:val="24"/>
        </w:rPr>
        <w:t xml:space="preserve"> 15</w:t>
      </w:r>
      <w:r w:rsidRPr="00855626">
        <w:rPr>
          <w:b/>
          <w:sz w:val="24"/>
          <w:szCs w:val="24"/>
        </w:rPr>
        <w:t>,</w:t>
      </w:r>
      <w:r w:rsidRPr="00855626">
        <w:rPr>
          <w:sz w:val="24"/>
          <w:szCs w:val="24"/>
        </w:rPr>
        <w:t xml:space="preserve"> 50-57.</w:t>
      </w:r>
    </w:p>
    <w:p w14:paraId="601D1166" w14:textId="77777777" w:rsidR="00E20B39" w:rsidRPr="00855626" w:rsidRDefault="00E20B39" w:rsidP="00E20B39">
      <w:pPr>
        <w:pStyle w:val="EndNoteBibliography"/>
        <w:ind w:left="720" w:hanging="720"/>
        <w:rPr>
          <w:sz w:val="24"/>
          <w:szCs w:val="24"/>
        </w:rPr>
      </w:pPr>
      <w:r w:rsidRPr="00855626">
        <w:rPr>
          <w:sz w:val="24"/>
          <w:szCs w:val="24"/>
        </w:rPr>
        <w:t>Science for Environment Policy 2018. Indicators for sustainable cities. In-depth Report 12. Produced for the European Commission DG Environment. UWE, Bristol.</w:t>
      </w:r>
    </w:p>
    <w:p w14:paraId="2FE88721" w14:textId="77777777" w:rsidR="00E20B39" w:rsidRPr="00855626" w:rsidRDefault="00E20B39" w:rsidP="00E20B39">
      <w:pPr>
        <w:pStyle w:val="EndNoteBibliography"/>
        <w:ind w:left="720" w:hanging="720"/>
        <w:rPr>
          <w:sz w:val="24"/>
          <w:szCs w:val="24"/>
        </w:rPr>
      </w:pPr>
      <w:r w:rsidRPr="00855626">
        <w:rPr>
          <w:sz w:val="24"/>
          <w:szCs w:val="24"/>
        </w:rPr>
        <w:t xml:space="preserve">Seow, C., Hillary, R., Gao, S. S. &amp; Zhang, J. J. 2006. Stakeholder engagement, social auditing and corporate sustainability. </w:t>
      </w:r>
      <w:r w:rsidRPr="00855626">
        <w:rPr>
          <w:i/>
          <w:sz w:val="24"/>
          <w:szCs w:val="24"/>
        </w:rPr>
        <w:t>Business process management journal</w:t>
      </w:r>
      <w:r w:rsidRPr="00855626">
        <w:rPr>
          <w:sz w:val="24"/>
          <w:szCs w:val="24"/>
        </w:rPr>
        <w:t>.</w:t>
      </w:r>
    </w:p>
    <w:p w14:paraId="139B5BE0" w14:textId="77777777" w:rsidR="00E20B39" w:rsidRPr="00855626" w:rsidRDefault="00E20B39" w:rsidP="00E20B39">
      <w:pPr>
        <w:pStyle w:val="EndNoteBibliography"/>
        <w:ind w:left="720" w:hanging="720"/>
        <w:rPr>
          <w:sz w:val="24"/>
          <w:szCs w:val="24"/>
        </w:rPr>
      </w:pPr>
      <w:r w:rsidRPr="00855626">
        <w:rPr>
          <w:sz w:val="24"/>
          <w:szCs w:val="24"/>
        </w:rPr>
        <w:t xml:space="preserve">Shapley, L. S. 1953. A value for n-person games. </w:t>
      </w:r>
      <w:r w:rsidRPr="00855626">
        <w:rPr>
          <w:i/>
          <w:sz w:val="24"/>
          <w:szCs w:val="24"/>
        </w:rPr>
        <w:t>Contributions to the Theory of Games,</w:t>
      </w:r>
      <w:r w:rsidRPr="00855626">
        <w:rPr>
          <w:sz w:val="24"/>
          <w:szCs w:val="24"/>
        </w:rPr>
        <w:t xml:space="preserve"> 2</w:t>
      </w:r>
      <w:r w:rsidRPr="00855626">
        <w:rPr>
          <w:b/>
          <w:sz w:val="24"/>
          <w:szCs w:val="24"/>
        </w:rPr>
        <w:t>,</w:t>
      </w:r>
      <w:r w:rsidRPr="00855626">
        <w:rPr>
          <w:sz w:val="24"/>
          <w:szCs w:val="24"/>
        </w:rPr>
        <w:t xml:space="preserve"> 307-317.</w:t>
      </w:r>
    </w:p>
    <w:p w14:paraId="5854204D" w14:textId="77777777" w:rsidR="00E20B39" w:rsidRPr="00855626" w:rsidRDefault="00E20B39" w:rsidP="00E20B39">
      <w:pPr>
        <w:pStyle w:val="EndNoteBibliography"/>
        <w:ind w:left="720" w:hanging="720"/>
        <w:rPr>
          <w:sz w:val="24"/>
          <w:szCs w:val="24"/>
        </w:rPr>
      </w:pPr>
      <w:r w:rsidRPr="00855626">
        <w:rPr>
          <w:sz w:val="24"/>
          <w:szCs w:val="24"/>
        </w:rPr>
        <w:t xml:space="preserve">Shapley, L. S. 1971. Cores of convex games. </w:t>
      </w:r>
      <w:r w:rsidRPr="00855626">
        <w:rPr>
          <w:i/>
          <w:sz w:val="24"/>
          <w:szCs w:val="24"/>
        </w:rPr>
        <w:t>International journal of game theory,</w:t>
      </w:r>
      <w:r w:rsidRPr="00855626">
        <w:rPr>
          <w:sz w:val="24"/>
          <w:szCs w:val="24"/>
        </w:rPr>
        <w:t xml:space="preserve"> 1</w:t>
      </w:r>
      <w:r w:rsidRPr="00855626">
        <w:rPr>
          <w:b/>
          <w:sz w:val="24"/>
          <w:szCs w:val="24"/>
        </w:rPr>
        <w:t>,</w:t>
      </w:r>
      <w:r w:rsidRPr="00855626">
        <w:rPr>
          <w:sz w:val="24"/>
          <w:szCs w:val="24"/>
        </w:rPr>
        <w:t xml:space="preserve"> 11-26.</w:t>
      </w:r>
    </w:p>
    <w:p w14:paraId="1D7CD427" w14:textId="77777777" w:rsidR="00E20B39" w:rsidRPr="00855626" w:rsidRDefault="00E20B39" w:rsidP="00E20B39">
      <w:pPr>
        <w:pStyle w:val="EndNoteBibliography"/>
        <w:ind w:left="720" w:hanging="720"/>
        <w:rPr>
          <w:sz w:val="24"/>
          <w:szCs w:val="24"/>
        </w:rPr>
      </w:pPr>
      <w:r w:rsidRPr="00855626">
        <w:rPr>
          <w:sz w:val="24"/>
          <w:szCs w:val="24"/>
        </w:rPr>
        <w:t xml:space="preserve">Sheehy, B. 2015. Defining CSR: Problems and Solutions. </w:t>
      </w:r>
      <w:r w:rsidRPr="00855626">
        <w:rPr>
          <w:i/>
          <w:sz w:val="24"/>
          <w:szCs w:val="24"/>
        </w:rPr>
        <w:t>Journal of Business Ethics,</w:t>
      </w:r>
      <w:r w:rsidRPr="00855626">
        <w:rPr>
          <w:sz w:val="24"/>
          <w:szCs w:val="24"/>
        </w:rPr>
        <w:t xml:space="preserve"> 131</w:t>
      </w:r>
      <w:r w:rsidRPr="00855626">
        <w:rPr>
          <w:b/>
          <w:sz w:val="24"/>
          <w:szCs w:val="24"/>
        </w:rPr>
        <w:t>,</w:t>
      </w:r>
      <w:r w:rsidRPr="00855626">
        <w:rPr>
          <w:sz w:val="24"/>
          <w:szCs w:val="24"/>
        </w:rPr>
        <w:t xml:space="preserve"> 625-648.</w:t>
      </w:r>
    </w:p>
    <w:p w14:paraId="614E1624" w14:textId="77777777" w:rsidR="00E20B39" w:rsidRPr="00855626" w:rsidRDefault="00E20B39" w:rsidP="00E20B39">
      <w:pPr>
        <w:pStyle w:val="EndNoteBibliography"/>
        <w:ind w:left="720" w:hanging="720"/>
        <w:rPr>
          <w:sz w:val="24"/>
          <w:szCs w:val="24"/>
        </w:rPr>
      </w:pPr>
      <w:r w:rsidRPr="00855626">
        <w:rPr>
          <w:sz w:val="24"/>
          <w:szCs w:val="24"/>
        </w:rPr>
        <w:t xml:space="preserve">Sheth, M., Butrina, P., Goodchild, A. &amp; Mccormack, E. 2019. Measuring delivery route cost trade-offs between electric-assist cargo bicycles and delivery trucks in dense urban areas. </w:t>
      </w:r>
      <w:r w:rsidRPr="00855626">
        <w:rPr>
          <w:i/>
          <w:sz w:val="24"/>
          <w:szCs w:val="24"/>
        </w:rPr>
        <w:t>European Transport Research Review,</w:t>
      </w:r>
      <w:r w:rsidRPr="00855626">
        <w:rPr>
          <w:sz w:val="24"/>
          <w:szCs w:val="24"/>
        </w:rPr>
        <w:t xml:space="preserve"> 11.</w:t>
      </w:r>
    </w:p>
    <w:p w14:paraId="2F1639F1" w14:textId="77777777" w:rsidR="00E20B39" w:rsidRPr="00855626" w:rsidRDefault="00E20B39" w:rsidP="00E20B39">
      <w:pPr>
        <w:pStyle w:val="EndNoteBibliography"/>
        <w:ind w:left="720" w:hanging="720"/>
        <w:rPr>
          <w:sz w:val="24"/>
          <w:szCs w:val="24"/>
        </w:rPr>
      </w:pPr>
      <w:r w:rsidRPr="00855626">
        <w:rPr>
          <w:sz w:val="24"/>
          <w:szCs w:val="24"/>
        </w:rPr>
        <w:t xml:space="preserve">Sheu, J.-B. 2006. A novel dynamic resource allocation model for demand-responsive city logistics distribution operations. </w:t>
      </w:r>
      <w:r w:rsidRPr="00855626">
        <w:rPr>
          <w:i/>
          <w:sz w:val="24"/>
          <w:szCs w:val="24"/>
        </w:rPr>
        <w:t>Transportation Research Part E: Logistics and Transportation Review,</w:t>
      </w:r>
      <w:r w:rsidRPr="00855626">
        <w:rPr>
          <w:sz w:val="24"/>
          <w:szCs w:val="24"/>
        </w:rPr>
        <w:t xml:space="preserve"> 42</w:t>
      </w:r>
      <w:r w:rsidRPr="00855626">
        <w:rPr>
          <w:b/>
          <w:sz w:val="24"/>
          <w:szCs w:val="24"/>
        </w:rPr>
        <w:t>,</w:t>
      </w:r>
      <w:r w:rsidRPr="00855626">
        <w:rPr>
          <w:sz w:val="24"/>
          <w:szCs w:val="24"/>
        </w:rPr>
        <w:t xml:space="preserve"> 445-472.</w:t>
      </w:r>
    </w:p>
    <w:p w14:paraId="2559E98F" w14:textId="77777777" w:rsidR="00E20B39" w:rsidRPr="00855626" w:rsidRDefault="00E20B39" w:rsidP="00E20B39">
      <w:pPr>
        <w:pStyle w:val="EndNoteBibliography"/>
        <w:ind w:left="720" w:hanging="720"/>
        <w:rPr>
          <w:sz w:val="24"/>
          <w:szCs w:val="24"/>
        </w:rPr>
      </w:pPr>
      <w:r w:rsidRPr="00855626">
        <w:rPr>
          <w:sz w:val="24"/>
          <w:szCs w:val="24"/>
        </w:rPr>
        <w:t xml:space="preserve">Sheu, J.-B. &amp; Choi, T.-M. 2019. Extended consumer responsibility: Syncretic value-oriented pricing strategies for trade-in-for-upgrade programs. </w:t>
      </w:r>
      <w:r w:rsidRPr="00855626">
        <w:rPr>
          <w:i/>
          <w:sz w:val="24"/>
          <w:szCs w:val="24"/>
        </w:rPr>
        <w:t>Transportation Research Part E: Logistics and Transportation Review,</w:t>
      </w:r>
      <w:r w:rsidRPr="00855626">
        <w:rPr>
          <w:sz w:val="24"/>
          <w:szCs w:val="24"/>
        </w:rPr>
        <w:t xml:space="preserve"> 122</w:t>
      </w:r>
      <w:r w:rsidRPr="00855626">
        <w:rPr>
          <w:b/>
          <w:sz w:val="24"/>
          <w:szCs w:val="24"/>
        </w:rPr>
        <w:t>,</w:t>
      </w:r>
      <w:r w:rsidRPr="00855626">
        <w:rPr>
          <w:sz w:val="24"/>
          <w:szCs w:val="24"/>
        </w:rPr>
        <w:t xml:space="preserve"> 350-367.</w:t>
      </w:r>
    </w:p>
    <w:p w14:paraId="5EEB7A99" w14:textId="77777777" w:rsidR="00E20B39" w:rsidRPr="00855626" w:rsidRDefault="00E20B39" w:rsidP="00E20B39">
      <w:pPr>
        <w:pStyle w:val="EndNoteBibliography"/>
        <w:ind w:left="720" w:hanging="720"/>
        <w:rPr>
          <w:sz w:val="24"/>
          <w:szCs w:val="24"/>
        </w:rPr>
      </w:pPr>
      <w:r w:rsidRPr="00855626">
        <w:rPr>
          <w:sz w:val="24"/>
          <w:szCs w:val="24"/>
        </w:rPr>
        <w:t xml:space="preserve">Silas, M. A., Holguín-Veras, J. &amp; Jara-Díaz, S. 2012. Optimal distribution of financial incentives to foster off-hour deliveries in urban areas. </w:t>
      </w:r>
      <w:r w:rsidRPr="00855626">
        <w:rPr>
          <w:i/>
          <w:sz w:val="24"/>
          <w:szCs w:val="24"/>
        </w:rPr>
        <w:t>Transportation Research Part A: Policy and Practice,</w:t>
      </w:r>
      <w:r w:rsidRPr="00855626">
        <w:rPr>
          <w:sz w:val="24"/>
          <w:szCs w:val="24"/>
        </w:rPr>
        <w:t xml:space="preserve"> 46</w:t>
      </w:r>
      <w:r w:rsidRPr="00855626">
        <w:rPr>
          <w:b/>
          <w:sz w:val="24"/>
          <w:szCs w:val="24"/>
        </w:rPr>
        <w:t>,</w:t>
      </w:r>
      <w:r w:rsidRPr="00855626">
        <w:rPr>
          <w:sz w:val="24"/>
          <w:szCs w:val="24"/>
        </w:rPr>
        <w:t xml:space="preserve"> 1205-1215.</w:t>
      </w:r>
    </w:p>
    <w:p w14:paraId="7D4FA2A6" w14:textId="77777777" w:rsidR="00E20B39" w:rsidRPr="00855626" w:rsidRDefault="00E20B39" w:rsidP="00E20B39">
      <w:pPr>
        <w:pStyle w:val="EndNoteBibliography"/>
        <w:ind w:left="720" w:hanging="720"/>
        <w:rPr>
          <w:sz w:val="24"/>
          <w:szCs w:val="24"/>
        </w:rPr>
      </w:pPr>
      <w:r w:rsidRPr="00855626">
        <w:rPr>
          <w:sz w:val="24"/>
          <w:szCs w:val="24"/>
        </w:rPr>
        <w:t xml:space="preserve">Simoni, M. D., Bujanovic, P., Boyles, S. D. &amp; Kutanoglu, E. 2018. Urban consolidation solutions for parcel delivery considering location, fleet and route choice. </w:t>
      </w:r>
      <w:r w:rsidRPr="00855626">
        <w:rPr>
          <w:i/>
          <w:sz w:val="24"/>
          <w:szCs w:val="24"/>
        </w:rPr>
        <w:t>Case Studies on Transport Policy,</w:t>
      </w:r>
      <w:r w:rsidRPr="00855626">
        <w:rPr>
          <w:sz w:val="24"/>
          <w:szCs w:val="24"/>
        </w:rPr>
        <w:t xml:space="preserve"> 6</w:t>
      </w:r>
      <w:r w:rsidRPr="00855626">
        <w:rPr>
          <w:b/>
          <w:sz w:val="24"/>
          <w:szCs w:val="24"/>
        </w:rPr>
        <w:t>,</w:t>
      </w:r>
      <w:r w:rsidRPr="00855626">
        <w:rPr>
          <w:sz w:val="24"/>
          <w:szCs w:val="24"/>
        </w:rPr>
        <w:t xml:space="preserve"> 112-124.</w:t>
      </w:r>
    </w:p>
    <w:p w14:paraId="37AF3590" w14:textId="77777777" w:rsidR="00E20B39" w:rsidRPr="00855626" w:rsidRDefault="00E20B39" w:rsidP="00E20B39">
      <w:pPr>
        <w:pStyle w:val="EndNoteBibliography"/>
        <w:ind w:left="720" w:hanging="720"/>
        <w:rPr>
          <w:sz w:val="24"/>
          <w:szCs w:val="24"/>
        </w:rPr>
      </w:pPr>
      <w:r w:rsidRPr="00855626">
        <w:rPr>
          <w:sz w:val="24"/>
          <w:szCs w:val="24"/>
        </w:rPr>
        <w:t xml:space="preserve">Smirlis, Y. G., Zeimpekis, V. &amp; Kaimakamis, G. 2012. Data envelopment analysis models to support the selection of vehicle routing software for city logistics operations. </w:t>
      </w:r>
      <w:r w:rsidRPr="00855626">
        <w:rPr>
          <w:i/>
          <w:sz w:val="24"/>
          <w:szCs w:val="24"/>
        </w:rPr>
        <w:t>Operational Research,</w:t>
      </w:r>
      <w:r w:rsidRPr="00855626">
        <w:rPr>
          <w:sz w:val="24"/>
          <w:szCs w:val="24"/>
        </w:rPr>
        <w:t xml:space="preserve"> 12</w:t>
      </w:r>
      <w:r w:rsidRPr="00855626">
        <w:rPr>
          <w:b/>
          <w:sz w:val="24"/>
          <w:szCs w:val="24"/>
        </w:rPr>
        <w:t>,</w:t>
      </w:r>
      <w:r w:rsidRPr="00855626">
        <w:rPr>
          <w:sz w:val="24"/>
          <w:szCs w:val="24"/>
        </w:rPr>
        <w:t xml:space="preserve"> 399-420.</w:t>
      </w:r>
    </w:p>
    <w:p w14:paraId="65236A4A" w14:textId="77777777" w:rsidR="00E20B39" w:rsidRPr="00855626" w:rsidRDefault="00E20B39" w:rsidP="00E20B39">
      <w:pPr>
        <w:pStyle w:val="EndNoteBibliography"/>
        <w:ind w:left="720" w:hanging="720"/>
        <w:rPr>
          <w:sz w:val="24"/>
          <w:szCs w:val="24"/>
        </w:rPr>
      </w:pPr>
      <w:r w:rsidRPr="00855626">
        <w:rPr>
          <w:sz w:val="24"/>
          <w:szCs w:val="24"/>
        </w:rPr>
        <w:t xml:space="preserve">Spicer, A. J. &amp; Johnson, M. R. 2004. Third-party demanufacturing as a solution for extended producer responsibility. </w:t>
      </w:r>
      <w:r w:rsidRPr="00855626">
        <w:rPr>
          <w:i/>
          <w:sz w:val="24"/>
          <w:szCs w:val="24"/>
        </w:rPr>
        <w:t>Journal of Cleaner Production,</w:t>
      </w:r>
      <w:r w:rsidRPr="00855626">
        <w:rPr>
          <w:sz w:val="24"/>
          <w:szCs w:val="24"/>
        </w:rPr>
        <w:t xml:space="preserve"> 12</w:t>
      </w:r>
      <w:r w:rsidRPr="00855626">
        <w:rPr>
          <w:b/>
          <w:sz w:val="24"/>
          <w:szCs w:val="24"/>
        </w:rPr>
        <w:t>,</w:t>
      </w:r>
      <w:r w:rsidRPr="00855626">
        <w:rPr>
          <w:sz w:val="24"/>
          <w:szCs w:val="24"/>
        </w:rPr>
        <w:t xml:space="preserve"> 37-45.</w:t>
      </w:r>
    </w:p>
    <w:p w14:paraId="292B3F99" w14:textId="77777777" w:rsidR="00E20B39" w:rsidRPr="00855626" w:rsidRDefault="00E20B39" w:rsidP="00E20B39">
      <w:pPr>
        <w:pStyle w:val="EndNoteBibliography"/>
        <w:ind w:left="720" w:hanging="720"/>
        <w:rPr>
          <w:sz w:val="24"/>
          <w:szCs w:val="24"/>
        </w:rPr>
      </w:pPr>
      <w:r w:rsidRPr="00855626">
        <w:rPr>
          <w:sz w:val="24"/>
          <w:szCs w:val="24"/>
        </w:rPr>
        <w:lastRenderedPageBreak/>
        <w:t xml:space="preserve">Stathopoulos, A., Valeri, E. &amp; Marcucci, E. 2012. Stakeholder reactions to urban freight policy innovation. </w:t>
      </w:r>
      <w:r w:rsidRPr="00855626">
        <w:rPr>
          <w:i/>
          <w:sz w:val="24"/>
          <w:szCs w:val="24"/>
        </w:rPr>
        <w:t>Journal of Transport Geography,</w:t>
      </w:r>
      <w:r w:rsidRPr="00855626">
        <w:rPr>
          <w:sz w:val="24"/>
          <w:szCs w:val="24"/>
        </w:rPr>
        <w:t xml:space="preserve"> 22</w:t>
      </w:r>
      <w:r w:rsidRPr="00855626">
        <w:rPr>
          <w:b/>
          <w:sz w:val="24"/>
          <w:szCs w:val="24"/>
        </w:rPr>
        <w:t>,</w:t>
      </w:r>
      <w:r w:rsidRPr="00855626">
        <w:rPr>
          <w:sz w:val="24"/>
          <w:szCs w:val="24"/>
        </w:rPr>
        <w:t xml:space="preserve"> 34-45.</w:t>
      </w:r>
    </w:p>
    <w:p w14:paraId="06D602C3" w14:textId="77777777" w:rsidR="00E20B39" w:rsidRPr="00855626" w:rsidRDefault="00E20B39" w:rsidP="00E20B39">
      <w:pPr>
        <w:pStyle w:val="EndNoteBibliography"/>
        <w:ind w:left="720" w:hanging="720"/>
        <w:rPr>
          <w:sz w:val="24"/>
          <w:szCs w:val="24"/>
        </w:rPr>
      </w:pPr>
      <w:r w:rsidRPr="00855626">
        <w:rPr>
          <w:sz w:val="24"/>
          <w:szCs w:val="24"/>
        </w:rPr>
        <w:t>Stead, W. E., Stead, J. G. J. R. I. B. &amp; Environment 1999. Strategic management for a small planet. 78.</w:t>
      </w:r>
    </w:p>
    <w:p w14:paraId="0FDFCBF4" w14:textId="77777777" w:rsidR="00E20B39" w:rsidRPr="00855626" w:rsidRDefault="00E20B39" w:rsidP="00E20B39">
      <w:pPr>
        <w:pStyle w:val="EndNoteBibliography"/>
        <w:ind w:left="720" w:hanging="720"/>
        <w:rPr>
          <w:sz w:val="24"/>
          <w:szCs w:val="24"/>
        </w:rPr>
      </w:pPr>
      <w:r w:rsidRPr="00855626">
        <w:rPr>
          <w:sz w:val="24"/>
          <w:szCs w:val="24"/>
        </w:rPr>
        <w:t xml:space="preserve">Stivers, R. L. 1976. </w:t>
      </w:r>
      <w:r w:rsidRPr="00855626">
        <w:rPr>
          <w:i/>
          <w:sz w:val="24"/>
          <w:szCs w:val="24"/>
        </w:rPr>
        <w:t>The sustainable society: ethics and economic growth</w:t>
      </w:r>
      <w:r w:rsidRPr="00855626">
        <w:rPr>
          <w:sz w:val="24"/>
          <w:szCs w:val="24"/>
        </w:rPr>
        <w:t>, Westminster Press Philadelphia.</w:t>
      </w:r>
    </w:p>
    <w:p w14:paraId="725144E0" w14:textId="77777777" w:rsidR="00E20B39" w:rsidRPr="00855626" w:rsidRDefault="00E20B39" w:rsidP="00E20B39">
      <w:pPr>
        <w:pStyle w:val="EndNoteBibliography"/>
        <w:ind w:left="720" w:hanging="720"/>
        <w:rPr>
          <w:sz w:val="24"/>
          <w:szCs w:val="24"/>
        </w:rPr>
      </w:pPr>
      <w:r w:rsidRPr="00855626">
        <w:rPr>
          <w:sz w:val="24"/>
          <w:szCs w:val="24"/>
        </w:rPr>
        <w:t xml:space="preserve">Tadić, S., Zečević, S. &amp; Krstić, M. 2014. A novel hybrid MCDM model based on fuzzy DEMATEL, fuzzy ANP and fuzzy VIKOR for city logistics concept selection. </w:t>
      </w:r>
      <w:r w:rsidRPr="00855626">
        <w:rPr>
          <w:i/>
          <w:sz w:val="24"/>
          <w:szCs w:val="24"/>
        </w:rPr>
        <w:t>Expert Systems with Applications,</w:t>
      </w:r>
      <w:r w:rsidRPr="00855626">
        <w:rPr>
          <w:sz w:val="24"/>
          <w:szCs w:val="24"/>
        </w:rPr>
        <w:t xml:space="preserve"> 41</w:t>
      </w:r>
      <w:r w:rsidRPr="00855626">
        <w:rPr>
          <w:b/>
          <w:sz w:val="24"/>
          <w:szCs w:val="24"/>
        </w:rPr>
        <w:t>,</w:t>
      </w:r>
      <w:r w:rsidRPr="00855626">
        <w:rPr>
          <w:sz w:val="24"/>
          <w:szCs w:val="24"/>
        </w:rPr>
        <w:t xml:space="preserve"> 8112-8128.</w:t>
      </w:r>
    </w:p>
    <w:p w14:paraId="5EB6319E" w14:textId="77777777" w:rsidR="00E20B39" w:rsidRPr="00855626" w:rsidRDefault="00E20B39" w:rsidP="00E20B39">
      <w:pPr>
        <w:pStyle w:val="EndNoteBibliography"/>
        <w:ind w:left="720" w:hanging="720"/>
        <w:rPr>
          <w:sz w:val="24"/>
          <w:szCs w:val="24"/>
        </w:rPr>
      </w:pPr>
      <w:r w:rsidRPr="00855626">
        <w:rPr>
          <w:sz w:val="24"/>
          <w:szCs w:val="24"/>
        </w:rPr>
        <w:t xml:space="preserve">Taefi, T. T. 2016. Viability of electric vehicles in combined day and night delivery: a total cost of ownership example in Germany. </w:t>
      </w:r>
      <w:r w:rsidRPr="00855626">
        <w:rPr>
          <w:i/>
          <w:sz w:val="24"/>
          <w:szCs w:val="24"/>
        </w:rPr>
        <w:t>EJTIR,</w:t>
      </w:r>
      <w:r w:rsidRPr="00855626">
        <w:rPr>
          <w:sz w:val="24"/>
          <w:szCs w:val="24"/>
        </w:rPr>
        <w:t xml:space="preserve"> 16</w:t>
      </w:r>
      <w:r w:rsidRPr="00855626">
        <w:rPr>
          <w:b/>
          <w:sz w:val="24"/>
          <w:szCs w:val="24"/>
        </w:rPr>
        <w:t>,</w:t>
      </w:r>
      <w:r w:rsidRPr="00855626">
        <w:rPr>
          <w:sz w:val="24"/>
          <w:szCs w:val="24"/>
        </w:rPr>
        <w:t xml:space="preserve"> 600-618.</w:t>
      </w:r>
    </w:p>
    <w:p w14:paraId="080C9A45" w14:textId="77777777" w:rsidR="00E20B39" w:rsidRPr="00855626" w:rsidRDefault="00E20B39" w:rsidP="00E20B39">
      <w:pPr>
        <w:pStyle w:val="EndNoteBibliography"/>
        <w:ind w:left="720" w:hanging="720"/>
        <w:rPr>
          <w:sz w:val="24"/>
          <w:szCs w:val="24"/>
        </w:rPr>
      </w:pPr>
      <w:r w:rsidRPr="00855626">
        <w:rPr>
          <w:sz w:val="24"/>
          <w:szCs w:val="24"/>
        </w:rPr>
        <w:t xml:space="preserve">Tan, X. C., Liu, D. C., Li, Z., Wang, H. Y. &amp; Zhou, J. X. 2006. Research on the sustainable development-oriented regional logistic planning. </w:t>
      </w:r>
      <w:r w:rsidRPr="00855626">
        <w:rPr>
          <w:i/>
          <w:sz w:val="24"/>
          <w:szCs w:val="24"/>
        </w:rPr>
        <w:t>International Journal of Services Operations and Informatics,</w:t>
      </w:r>
      <w:r w:rsidRPr="00855626">
        <w:rPr>
          <w:sz w:val="24"/>
          <w:szCs w:val="24"/>
        </w:rPr>
        <w:t xml:space="preserve"> 1</w:t>
      </w:r>
      <w:r w:rsidRPr="00855626">
        <w:rPr>
          <w:b/>
          <w:sz w:val="24"/>
          <w:szCs w:val="24"/>
        </w:rPr>
        <w:t>,</w:t>
      </w:r>
      <w:r w:rsidRPr="00855626">
        <w:rPr>
          <w:sz w:val="24"/>
          <w:szCs w:val="24"/>
        </w:rPr>
        <w:t xml:space="preserve"> 174-186.</w:t>
      </w:r>
    </w:p>
    <w:p w14:paraId="77926262" w14:textId="77777777" w:rsidR="00E20B39" w:rsidRPr="00855626" w:rsidRDefault="00E20B39" w:rsidP="00E20B39">
      <w:pPr>
        <w:pStyle w:val="EndNoteBibliography"/>
        <w:ind w:left="720" w:hanging="720"/>
        <w:rPr>
          <w:sz w:val="24"/>
          <w:szCs w:val="24"/>
        </w:rPr>
      </w:pPr>
      <w:r w:rsidRPr="00855626">
        <w:rPr>
          <w:sz w:val="24"/>
          <w:szCs w:val="24"/>
        </w:rPr>
        <w:t xml:space="preserve">Tánczos, K. &amp; Rónai, P. 2000. Budapest-on the way to join the IDIOMA project. </w:t>
      </w:r>
      <w:r w:rsidRPr="00855626">
        <w:rPr>
          <w:i/>
          <w:sz w:val="24"/>
          <w:szCs w:val="24"/>
        </w:rPr>
        <w:t>Periodica Polytechnica. Transportation Engineering,</w:t>
      </w:r>
      <w:r w:rsidRPr="00855626">
        <w:rPr>
          <w:sz w:val="24"/>
          <w:szCs w:val="24"/>
        </w:rPr>
        <w:t xml:space="preserve"> 28</w:t>
      </w:r>
      <w:r w:rsidRPr="00855626">
        <w:rPr>
          <w:b/>
          <w:sz w:val="24"/>
          <w:szCs w:val="24"/>
        </w:rPr>
        <w:t>,</w:t>
      </w:r>
      <w:r w:rsidRPr="00855626">
        <w:rPr>
          <w:sz w:val="24"/>
          <w:szCs w:val="24"/>
        </w:rPr>
        <w:t xml:space="preserve"> 91.</w:t>
      </w:r>
    </w:p>
    <w:p w14:paraId="22189A09" w14:textId="77777777" w:rsidR="00E20B39" w:rsidRPr="00855626" w:rsidRDefault="00E20B39" w:rsidP="00E20B39">
      <w:pPr>
        <w:pStyle w:val="EndNoteBibliography"/>
        <w:ind w:left="720" w:hanging="720"/>
        <w:rPr>
          <w:sz w:val="24"/>
          <w:szCs w:val="24"/>
        </w:rPr>
      </w:pPr>
      <w:r w:rsidRPr="00855626">
        <w:rPr>
          <w:sz w:val="24"/>
          <w:szCs w:val="24"/>
        </w:rPr>
        <w:t xml:space="preserve">Taniguchi, E. 2014. Concepts of City Logistics for Sustainable and Liveable Cities. </w:t>
      </w:r>
      <w:r w:rsidRPr="00855626">
        <w:rPr>
          <w:i/>
          <w:sz w:val="24"/>
          <w:szCs w:val="24"/>
        </w:rPr>
        <w:t>Procedia - Social and Behavioral Sciences,</w:t>
      </w:r>
      <w:r w:rsidRPr="00855626">
        <w:rPr>
          <w:sz w:val="24"/>
          <w:szCs w:val="24"/>
        </w:rPr>
        <w:t xml:space="preserve"> 151</w:t>
      </w:r>
      <w:r w:rsidRPr="00855626">
        <w:rPr>
          <w:b/>
          <w:sz w:val="24"/>
          <w:szCs w:val="24"/>
        </w:rPr>
        <w:t>,</w:t>
      </w:r>
      <w:r w:rsidRPr="00855626">
        <w:rPr>
          <w:sz w:val="24"/>
          <w:szCs w:val="24"/>
        </w:rPr>
        <w:t xml:space="preserve"> 310-317.</w:t>
      </w:r>
    </w:p>
    <w:p w14:paraId="7CE9FFF6" w14:textId="77777777" w:rsidR="00E20B39" w:rsidRPr="00855626" w:rsidRDefault="00E20B39" w:rsidP="00E20B39">
      <w:pPr>
        <w:pStyle w:val="EndNoteBibliography"/>
        <w:ind w:left="720" w:hanging="720"/>
        <w:rPr>
          <w:sz w:val="24"/>
          <w:szCs w:val="24"/>
        </w:rPr>
      </w:pPr>
      <w:r w:rsidRPr="00855626">
        <w:rPr>
          <w:sz w:val="24"/>
          <w:szCs w:val="24"/>
        </w:rPr>
        <w:t xml:space="preserve">Taniguchi, E., Imanishi, Y., Barber, R., James, J. &amp; Debauche, W. 2014. Public Sector Governance to Implement Freight Vehicle Transport Management. </w:t>
      </w:r>
      <w:r w:rsidRPr="00855626">
        <w:rPr>
          <w:i/>
          <w:sz w:val="24"/>
          <w:szCs w:val="24"/>
        </w:rPr>
        <w:t>Procedia - Social and Behavioral Sciences,</w:t>
      </w:r>
      <w:r w:rsidRPr="00855626">
        <w:rPr>
          <w:sz w:val="24"/>
          <w:szCs w:val="24"/>
        </w:rPr>
        <w:t xml:space="preserve"> 125</w:t>
      </w:r>
      <w:r w:rsidRPr="00855626">
        <w:rPr>
          <w:b/>
          <w:sz w:val="24"/>
          <w:szCs w:val="24"/>
        </w:rPr>
        <w:t>,</w:t>
      </w:r>
      <w:r w:rsidRPr="00855626">
        <w:rPr>
          <w:sz w:val="24"/>
          <w:szCs w:val="24"/>
        </w:rPr>
        <w:t xml:space="preserve"> 345-357.</w:t>
      </w:r>
    </w:p>
    <w:p w14:paraId="081408DF" w14:textId="77777777" w:rsidR="00E20B39" w:rsidRPr="00855626" w:rsidRDefault="00E20B39" w:rsidP="00E20B39">
      <w:pPr>
        <w:pStyle w:val="EndNoteBibliography"/>
        <w:ind w:left="720" w:hanging="720"/>
        <w:rPr>
          <w:sz w:val="24"/>
          <w:szCs w:val="24"/>
        </w:rPr>
      </w:pPr>
      <w:r w:rsidRPr="00855626">
        <w:rPr>
          <w:sz w:val="24"/>
          <w:szCs w:val="24"/>
        </w:rPr>
        <w:t xml:space="preserve">Taniguchi, E. &amp; Shimamoto, H. 2004. Intelligent transportation system based dynamic vehicle routing and scheduling with variable travel times. </w:t>
      </w:r>
      <w:r w:rsidRPr="00855626">
        <w:rPr>
          <w:i/>
          <w:sz w:val="24"/>
          <w:szCs w:val="24"/>
        </w:rPr>
        <w:t>Transportation Research Part C: Emerging Technologies,</w:t>
      </w:r>
      <w:r w:rsidRPr="00855626">
        <w:rPr>
          <w:sz w:val="24"/>
          <w:szCs w:val="24"/>
        </w:rPr>
        <w:t xml:space="preserve"> 12</w:t>
      </w:r>
      <w:r w:rsidRPr="00855626">
        <w:rPr>
          <w:b/>
          <w:sz w:val="24"/>
          <w:szCs w:val="24"/>
        </w:rPr>
        <w:t>,</w:t>
      </w:r>
      <w:r w:rsidRPr="00855626">
        <w:rPr>
          <w:sz w:val="24"/>
          <w:szCs w:val="24"/>
        </w:rPr>
        <w:t xml:space="preserve"> 235-250.</w:t>
      </w:r>
    </w:p>
    <w:p w14:paraId="11A59A44" w14:textId="77777777" w:rsidR="00E20B39" w:rsidRPr="00855626" w:rsidRDefault="00E20B39" w:rsidP="00E20B39">
      <w:pPr>
        <w:pStyle w:val="EndNoteBibliography"/>
        <w:ind w:left="720" w:hanging="720"/>
        <w:rPr>
          <w:sz w:val="24"/>
          <w:szCs w:val="24"/>
        </w:rPr>
      </w:pPr>
      <w:r w:rsidRPr="00855626">
        <w:rPr>
          <w:sz w:val="24"/>
          <w:szCs w:val="24"/>
        </w:rPr>
        <w:t xml:space="preserve">Taniguchi, E. &amp; Tamagawa, D. 2005. Evaluating city logistics measures considering the behavior of several stakeholders. </w:t>
      </w:r>
      <w:r w:rsidRPr="00855626">
        <w:rPr>
          <w:i/>
          <w:sz w:val="24"/>
          <w:szCs w:val="24"/>
        </w:rPr>
        <w:t>Journal of the Eastern Asia Society for Transportation Studies,</w:t>
      </w:r>
      <w:r w:rsidRPr="00855626">
        <w:rPr>
          <w:sz w:val="24"/>
          <w:szCs w:val="24"/>
        </w:rPr>
        <w:t xml:space="preserve"> 6</w:t>
      </w:r>
      <w:r w:rsidRPr="00855626">
        <w:rPr>
          <w:b/>
          <w:sz w:val="24"/>
          <w:szCs w:val="24"/>
        </w:rPr>
        <w:t>,</w:t>
      </w:r>
      <w:r w:rsidRPr="00855626">
        <w:rPr>
          <w:sz w:val="24"/>
          <w:szCs w:val="24"/>
        </w:rPr>
        <w:t xml:space="preserve"> 3062-3076.</w:t>
      </w:r>
    </w:p>
    <w:p w14:paraId="5F6F8C4A" w14:textId="77777777" w:rsidR="00E20B39" w:rsidRPr="00855626" w:rsidRDefault="00E20B39" w:rsidP="00E20B39">
      <w:pPr>
        <w:pStyle w:val="EndNoteBibliography"/>
        <w:ind w:left="720" w:hanging="720"/>
        <w:rPr>
          <w:sz w:val="24"/>
          <w:szCs w:val="24"/>
        </w:rPr>
      </w:pPr>
      <w:r w:rsidRPr="00855626">
        <w:rPr>
          <w:sz w:val="24"/>
          <w:szCs w:val="24"/>
        </w:rPr>
        <w:t xml:space="preserve">Taniguchi, E., Thompson, R. G. &amp; Yamada, T. 2003. Predicting the effects of city logistics schemes. </w:t>
      </w:r>
      <w:r w:rsidRPr="00855626">
        <w:rPr>
          <w:i/>
          <w:sz w:val="24"/>
          <w:szCs w:val="24"/>
        </w:rPr>
        <w:t>Transport Reviews,</w:t>
      </w:r>
      <w:r w:rsidRPr="00855626">
        <w:rPr>
          <w:sz w:val="24"/>
          <w:szCs w:val="24"/>
        </w:rPr>
        <w:t xml:space="preserve"> 23</w:t>
      </w:r>
      <w:r w:rsidRPr="00855626">
        <w:rPr>
          <w:b/>
          <w:sz w:val="24"/>
          <w:szCs w:val="24"/>
        </w:rPr>
        <w:t>,</w:t>
      </w:r>
      <w:r w:rsidRPr="00855626">
        <w:rPr>
          <w:sz w:val="24"/>
          <w:szCs w:val="24"/>
        </w:rPr>
        <w:t xml:space="preserve"> 489-515.</w:t>
      </w:r>
    </w:p>
    <w:p w14:paraId="06BF78A5" w14:textId="77777777" w:rsidR="00E20B39" w:rsidRPr="00855626" w:rsidRDefault="00E20B39" w:rsidP="00E20B39">
      <w:pPr>
        <w:pStyle w:val="EndNoteBibliography"/>
        <w:ind w:left="720" w:hanging="720"/>
        <w:rPr>
          <w:sz w:val="24"/>
          <w:szCs w:val="24"/>
        </w:rPr>
      </w:pPr>
      <w:r w:rsidRPr="00855626">
        <w:rPr>
          <w:sz w:val="24"/>
          <w:szCs w:val="24"/>
        </w:rPr>
        <w:t xml:space="preserve">Taniguchi, E., Thompson Russell, G., Yamada, T. &amp; Van Duin, R. 2001. </w:t>
      </w:r>
      <w:r w:rsidRPr="00855626">
        <w:rPr>
          <w:i/>
          <w:sz w:val="24"/>
          <w:szCs w:val="24"/>
        </w:rPr>
        <w:t>City Logistics: Network Modelling and Intelligent Transport System</w:t>
      </w:r>
      <w:r w:rsidRPr="00855626">
        <w:rPr>
          <w:sz w:val="24"/>
          <w:szCs w:val="24"/>
        </w:rPr>
        <w:t>, Emerald Group Publishing Limited.</w:t>
      </w:r>
    </w:p>
    <w:p w14:paraId="5A4C576A" w14:textId="77777777" w:rsidR="00E20B39" w:rsidRPr="00855626" w:rsidRDefault="00E20B39" w:rsidP="00E20B39">
      <w:pPr>
        <w:pStyle w:val="EndNoteBibliography"/>
        <w:ind w:left="720" w:hanging="720"/>
        <w:rPr>
          <w:sz w:val="24"/>
          <w:szCs w:val="24"/>
        </w:rPr>
      </w:pPr>
      <w:r w:rsidRPr="00855626">
        <w:rPr>
          <w:sz w:val="24"/>
          <w:szCs w:val="24"/>
        </w:rPr>
        <w:t xml:space="preserve">Tario, J., Ancar, R., Panero, M., Hyeon-Shic, S. &amp; Lopez, D. 2011. Urban distribution centers: a means to reducing freight vehicle miles travelled. </w:t>
      </w:r>
      <w:r w:rsidRPr="00855626">
        <w:rPr>
          <w:i/>
          <w:sz w:val="24"/>
          <w:szCs w:val="24"/>
        </w:rPr>
        <w:t>Final Report. Prepared for the New York State Energy Research and Development Authority. Albany, NY</w:t>
      </w:r>
      <w:r w:rsidRPr="00855626">
        <w:rPr>
          <w:sz w:val="24"/>
          <w:szCs w:val="24"/>
        </w:rPr>
        <w:t>.</w:t>
      </w:r>
    </w:p>
    <w:p w14:paraId="1E25E5D0" w14:textId="77777777" w:rsidR="00E20B39" w:rsidRPr="00855626" w:rsidRDefault="00E20B39" w:rsidP="00E20B39">
      <w:pPr>
        <w:pStyle w:val="EndNoteBibliography"/>
        <w:ind w:left="720" w:hanging="720"/>
        <w:rPr>
          <w:sz w:val="24"/>
          <w:szCs w:val="24"/>
        </w:rPr>
      </w:pPr>
      <w:r w:rsidRPr="00855626">
        <w:rPr>
          <w:sz w:val="24"/>
          <w:szCs w:val="24"/>
        </w:rPr>
        <w:t xml:space="preserve">Teo, J., Taniguchi, E. &amp; Qureshi, A. 2014. Multi-agent systems modelling approach to evaluate urban motorways for city logistics. </w:t>
      </w:r>
      <w:r w:rsidRPr="00855626">
        <w:rPr>
          <w:i/>
          <w:sz w:val="24"/>
          <w:szCs w:val="24"/>
        </w:rPr>
        <w:t>International Journal of Urban Sciences,</w:t>
      </w:r>
      <w:r w:rsidRPr="00855626">
        <w:rPr>
          <w:sz w:val="24"/>
          <w:szCs w:val="24"/>
        </w:rPr>
        <w:t xml:space="preserve"> 18</w:t>
      </w:r>
      <w:r w:rsidRPr="00855626">
        <w:rPr>
          <w:b/>
          <w:sz w:val="24"/>
          <w:szCs w:val="24"/>
        </w:rPr>
        <w:t>,</w:t>
      </w:r>
      <w:r w:rsidRPr="00855626">
        <w:rPr>
          <w:sz w:val="24"/>
          <w:szCs w:val="24"/>
        </w:rPr>
        <w:t xml:space="preserve"> 154-165.</w:t>
      </w:r>
    </w:p>
    <w:p w14:paraId="009082CA" w14:textId="77777777" w:rsidR="00E20B39" w:rsidRPr="00855626" w:rsidRDefault="00E20B39" w:rsidP="00E20B39">
      <w:pPr>
        <w:pStyle w:val="EndNoteBibliography"/>
        <w:ind w:left="720" w:hanging="720"/>
        <w:rPr>
          <w:sz w:val="24"/>
          <w:szCs w:val="24"/>
        </w:rPr>
      </w:pPr>
      <w:r w:rsidRPr="00855626">
        <w:rPr>
          <w:sz w:val="24"/>
          <w:szCs w:val="24"/>
        </w:rPr>
        <w:lastRenderedPageBreak/>
        <w:t xml:space="preserve">Teo, J. S. E., Taniguchi, E. &amp; Qureshi, A. G. 2015. Evaluation of urban distribution centers using multiagent modeling with geographic information systems. </w:t>
      </w:r>
      <w:r w:rsidRPr="00855626">
        <w:rPr>
          <w:i/>
          <w:sz w:val="24"/>
          <w:szCs w:val="24"/>
        </w:rPr>
        <w:t>Transportation Research Record.</w:t>
      </w:r>
      <w:r w:rsidRPr="00855626">
        <w:rPr>
          <w:sz w:val="24"/>
          <w:szCs w:val="24"/>
        </w:rPr>
        <w:t xml:space="preserve"> National Research Council.</w:t>
      </w:r>
    </w:p>
    <w:p w14:paraId="4BAA0369" w14:textId="77777777" w:rsidR="00E20B39" w:rsidRPr="00855626" w:rsidRDefault="00E20B39" w:rsidP="00E20B39">
      <w:pPr>
        <w:pStyle w:val="EndNoteBibliography"/>
        <w:ind w:left="720" w:hanging="720"/>
        <w:rPr>
          <w:sz w:val="24"/>
          <w:szCs w:val="24"/>
        </w:rPr>
      </w:pPr>
      <w:r w:rsidRPr="00855626">
        <w:rPr>
          <w:sz w:val="24"/>
          <w:szCs w:val="24"/>
        </w:rPr>
        <w:t xml:space="preserve">Thompson, R. &amp; Taniguchi, E. 2017. City Logistics and Freight Transport. </w:t>
      </w:r>
      <w:r w:rsidRPr="00855626">
        <w:rPr>
          <w:i/>
          <w:sz w:val="24"/>
          <w:szCs w:val="24"/>
        </w:rPr>
        <w:t>In:</w:t>
      </w:r>
      <w:r w:rsidRPr="00855626">
        <w:rPr>
          <w:sz w:val="24"/>
          <w:szCs w:val="24"/>
        </w:rPr>
        <w:t xml:space="preserve"> ANN, M. B., KENNETH, J. B. &amp; DAVID, A. H. (eds.) </w:t>
      </w:r>
      <w:r w:rsidRPr="00855626">
        <w:rPr>
          <w:i/>
          <w:sz w:val="24"/>
          <w:szCs w:val="24"/>
        </w:rPr>
        <w:t>Handbook of Logistics and Supply-Chain Management.</w:t>
      </w:r>
      <w:r w:rsidRPr="00855626">
        <w:rPr>
          <w:sz w:val="24"/>
          <w:szCs w:val="24"/>
        </w:rPr>
        <w:t xml:space="preserve"> Emerald Group Publishing Limited.</w:t>
      </w:r>
    </w:p>
    <w:p w14:paraId="7479ED19" w14:textId="77777777" w:rsidR="00E20B39" w:rsidRPr="00855626" w:rsidRDefault="00E20B39" w:rsidP="00E20B39">
      <w:pPr>
        <w:pStyle w:val="EndNoteBibliography"/>
        <w:ind w:left="720" w:hanging="720"/>
        <w:rPr>
          <w:sz w:val="24"/>
          <w:szCs w:val="24"/>
        </w:rPr>
      </w:pPr>
      <w:r w:rsidRPr="00855626">
        <w:rPr>
          <w:sz w:val="24"/>
          <w:szCs w:val="24"/>
        </w:rPr>
        <w:t xml:space="preserve">Tretvik, T., Nordtømme, M. E., Bjerkan, K. Y. &amp; Kummeneje, A. M. 2014. Can low emission zones be managed more dynamically and effectively? </w:t>
      </w:r>
      <w:r w:rsidRPr="00855626">
        <w:rPr>
          <w:i/>
          <w:sz w:val="24"/>
          <w:szCs w:val="24"/>
        </w:rPr>
        <w:t>Research in Transportation Business and Management,</w:t>
      </w:r>
      <w:r w:rsidRPr="00855626">
        <w:rPr>
          <w:sz w:val="24"/>
          <w:szCs w:val="24"/>
        </w:rPr>
        <w:t xml:space="preserve"> 12</w:t>
      </w:r>
      <w:r w:rsidRPr="00855626">
        <w:rPr>
          <w:b/>
          <w:sz w:val="24"/>
          <w:szCs w:val="24"/>
        </w:rPr>
        <w:t>,</w:t>
      </w:r>
      <w:r w:rsidRPr="00855626">
        <w:rPr>
          <w:sz w:val="24"/>
          <w:szCs w:val="24"/>
        </w:rPr>
        <w:t xml:space="preserve"> 3-10.</w:t>
      </w:r>
    </w:p>
    <w:p w14:paraId="742E4204" w14:textId="77777777" w:rsidR="00E20B39" w:rsidRPr="00855626" w:rsidRDefault="00E20B39" w:rsidP="00E20B39">
      <w:pPr>
        <w:pStyle w:val="EndNoteBibliography"/>
        <w:ind w:left="720" w:hanging="720"/>
        <w:rPr>
          <w:sz w:val="24"/>
          <w:szCs w:val="24"/>
        </w:rPr>
      </w:pPr>
      <w:r w:rsidRPr="00855626">
        <w:rPr>
          <w:sz w:val="24"/>
          <w:szCs w:val="24"/>
        </w:rPr>
        <w:t xml:space="preserve">Triantafyllou, M. K., Cherrett, T. J. &amp; Browne, M. 2014. Urban Freight Consolidation Centers: Case Study in the UK Retail Sector. </w:t>
      </w:r>
      <w:r w:rsidRPr="00855626">
        <w:rPr>
          <w:i/>
          <w:sz w:val="24"/>
          <w:szCs w:val="24"/>
        </w:rPr>
        <w:t>Transportation Research Record,</w:t>
      </w:r>
      <w:r w:rsidRPr="00855626">
        <w:rPr>
          <w:sz w:val="24"/>
          <w:szCs w:val="24"/>
        </w:rPr>
        <w:t xml:space="preserve"> 2411</w:t>
      </w:r>
      <w:r w:rsidRPr="00855626">
        <w:rPr>
          <w:b/>
          <w:sz w:val="24"/>
          <w:szCs w:val="24"/>
        </w:rPr>
        <w:t>,</w:t>
      </w:r>
      <w:r w:rsidRPr="00855626">
        <w:rPr>
          <w:sz w:val="24"/>
          <w:szCs w:val="24"/>
        </w:rPr>
        <w:t xml:space="preserve"> 34-44.</w:t>
      </w:r>
    </w:p>
    <w:p w14:paraId="10BBA713" w14:textId="77777777" w:rsidR="00E20B39" w:rsidRPr="00855626" w:rsidRDefault="00E20B39" w:rsidP="00E20B39">
      <w:pPr>
        <w:pStyle w:val="EndNoteBibliography"/>
        <w:ind w:left="720" w:hanging="720"/>
        <w:rPr>
          <w:sz w:val="24"/>
          <w:szCs w:val="24"/>
        </w:rPr>
      </w:pPr>
      <w:r w:rsidRPr="00855626">
        <w:rPr>
          <w:sz w:val="24"/>
          <w:szCs w:val="24"/>
        </w:rPr>
        <w:t xml:space="preserve">Triantaphyllou, E. 2013. </w:t>
      </w:r>
      <w:r w:rsidRPr="00855626">
        <w:rPr>
          <w:i/>
          <w:sz w:val="24"/>
          <w:szCs w:val="24"/>
        </w:rPr>
        <w:t>Multi-criteria decision making methods: a comparative study</w:t>
      </w:r>
      <w:r w:rsidRPr="00855626">
        <w:rPr>
          <w:sz w:val="24"/>
          <w:szCs w:val="24"/>
        </w:rPr>
        <w:t>, Springer Science &amp; Business Media.</w:t>
      </w:r>
    </w:p>
    <w:p w14:paraId="1C90595F" w14:textId="77777777" w:rsidR="00E20B39" w:rsidRPr="00855626" w:rsidRDefault="00E20B39" w:rsidP="00E20B39">
      <w:pPr>
        <w:pStyle w:val="EndNoteBibliography"/>
        <w:ind w:left="720" w:hanging="720"/>
        <w:rPr>
          <w:sz w:val="24"/>
          <w:szCs w:val="24"/>
        </w:rPr>
      </w:pPr>
      <w:r w:rsidRPr="00855626">
        <w:rPr>
          <w:sz w:val="24"/>
          <w:szCs w:val="24"/>
        </w:rPr>
        <w:t xml:space="preserve">Troy, P. 2013. Urban sustainability. </w:t>
      </w:r>
      <w:r w:rsidRPr="00855626">
        <w:rPr>
          <w:i/>
          <w:sz w:val="24"/>
          <w:szCs w:val="24"/>
        </w:rPr>
        <w:t>The Economic and Labour Relations Review,</w:t>
      </w:r>
      <w:r w:rsidRPr="00855626">
        <w:rPr>
          <w:sz w:val="24"/>
          <w:szCs w:val="24"/>
        </w:rPr>
        <w:t xml:space="preserve"> 24</w:t>
      </w:r>
      <w:r w:rsidRPr="00855626">
        <w:rPr>
          <w:b/>
          <w:sz w:val="24"/>
          <w:szCs w:val="24"/>
        </w:rPr>
        <w:t>,</w:t>
      </w:r>
      <w:r w:rsidRPr="00855626">
        <w:rPr>
          <w:sz w:val="24"/>
          <w:szCs w:val="24"/>
        </w:rPr>
        <w:t xml:space="preserve"> 469-480.</w:t>
      </w:r>
    </w:p>
    <w:p w14:paraId="5907B503" w14:textId="77777777" w:rsidR="00E20B39" w:rsidRPr="00855626" w:rsidRDefault="00E20B39" w:rsidP="00E20B39">
      <w:pPr>
        <w:pStyle w:val="EndNoteBibliography"/>
        <w:ind w:left="720" w:hanging="720"/>
        <w:rPr>
          <w:sz w:val="24"/>
          <w:szCs w:val="24"/>
        </w:rPr>
      </w:pPr>
      <w:r w:rsidRPr="00855626">
        <w:rPr>
          <w:sz w:val="24"/>
          <w:szCs w:val="24"/>
        </w:rPr>
        <w:t xml:space="preserve">Tsiulin, S., Hilmola, O. P. &amp; Goryaev, N. 2017. Barriers towards development of urban consolidation centres and their implementation: Literature review. </w:t>
      </w:r>
      <w:r w:rsidRPr="00855626">
        <w:rPr>
          <w:i/>
          <w:sz w:val="24"/>
          <w:szCs w:val="24"/>
        </w:rPr>
        <w:t>World Review of Intermodal Transportation Research,</w:t>
      </w:r>
      <w:r w:rsidRPr="00855626">
        <w:rPr>
          <w:sz w:val="24"/>
          <w:szCs w:val="24"/>
        </w:rPr>
        <w:t xml:space="preserve"> 6</w:t>
      </w:r>
      <w:r w:rsidRPr="00855626">
        <w:rPr>
          <w:b/>
          <w:sz w:val="24"/>
          <w:szCs w:val="24"/>
        </w:rPr>
        <w:t>,</w:t>
      </w:r>
      <w:r w:rsidRPr="00855626">
        <w:rPr>
          <w:sz w:val="24"/>
          <w:szCs w:val="24"/>
        </w:rPr>
        <w:t xml:space="preserve"> 251-272.</w:t>
      </w:r>
    </w:p>
    <w:p w14:paraId="289C16C1" w14:textId="77777777" w:rsidR="00E20B39" w:rsidRPr="00855626" w:rsidRDefault="00E20B39" w:rsidP="00E20B39">
      <w:pPr>
        <w:pStyle w:val="EndNoteBibliography"/>
        <w:ind w:left="720" w:hanging="720"/>
        <w:rPr>
          <w:sz w:val="24"/>
          <w:szCs w:val="24"/>
        </w:rPr>
      </w:pPr>
      <w:r w:rsidRPr="00855626">
        <w:rPr>
          <w:sz w:val="24"/>
          <w:szCs w:val="24"/>
        </w:rPr>
        <w:t>United Nations 2015. Transforming our world: the 2030 Agenda for Sustainable Development.</w:t>
      </w:r>
    </w:p>
    <w:p w14:paraId="30C9CE77" w14:textId="77777777" w:rsidR="00E20B39" w:rsidRPr="00855626" w:rsidRDefault="00E20B39" w:rsidP="00E20B39">
      <w:pPr>
        <w:pStyle w:val="EndNoteBibliography"/>
        <w:ind w:left="720" w:hanging="720"/>
        <w:rPr>
          <w:sz w:val="24"/>
          <w:szCs w:val="24"/>
        </w:rPr>
      </w:pPr>
      <w:r w:rsidRPr="00855626">
        <w:rPr>
          <w:sz w:val="24"/>
          <w:szCs w:val="24"/>
        </w:rPr>
        <w:t xml:space="preserve">Vachon, S. 2006. Extending green practices across the supply chain. </w:t>
      </w:r>
      <w:r w:rsidRPr="00855626">
        <w:rPr>
          <w:i/>
          <w:sz w:val="24"/>
          <w:szCs w:val="24"/>
        </w:rPr>
        <w:t>International Journal of Operations &amp;amp; Production Management,</w:t>
      </w:r>
      <w:r w:rsidRPr="00855626">
        <w:rPr>
          <w:sz w:val="24"/>
          <w:szCs w:val="24"/>
        </w:rPr>
        <w:t xml:space="preserve"> 26</w:t>
      </w:r>
      <w:r w:rsidRPr="00855626">
        <w:rPr>
          <w:b/>
          <w:sz w:val="24"/>
          <w:szCs w:val="24"/>
        </w:rPr>
        <w:t>,</w:t>
      </w:r>
      <w:r w:rsidRPr="00855626">
        <w:rPr>
          <w:sz w:val="24"/>
          <w:szCs w:val="24"/>
        </w:rPr>
        <w:t xml:space="preserve"> 795-821.</w:t>
      </w:r>
    </w:p>
    <w:p w14:paraId="3D02B03F" w14:textId="77777777" w:rsidR="00E20B39" w:rsidRPr="00855626" w:rsidRDefault="00E20B39" w:rsidP="00E20B39">
      <w:pPr>
        <w:pStyle w:val="EndNoteBibliography"/>
        <w:ind w:left="720" w:hanging="720"/>
        <w:rPr>
          <w:sz w:val="24"/>
          <w:szCs w:val="24"/>
        </w:rPr>
      </w:pPr>
      <w:r w:rsidRPr="00855626">
        <w:rPr>
          <w:sz w:val="24"/>
          <w:szCs w:val="24"/>
        </w:rPr>
        <w:t xml:space="preserve">Vahrenkamp, R. 2016. 25 years city logistic: Why failed the urban consolidation centres? </w:t>
      </w:r>
      <w:r w:rsidRPr="00855626">
        <w:rPr>
          <w:i/>
          <w:sz w:val="24"/>
          <w:szCs w:val="24"/>
        </w:rPr>
        <w:t>European Transport - Trasporti Europei</w:t>
      </w:r>
      <w:r w:rsidRPr="00855626">
        <w:rPr>
          <w:sz w:val="24"/>
          <w:szCs w:val="24"/>
        </w:rPr>
        <w:t>.</w:t>
      </w:r>
    </w:p>
    <w:p w14:paraId="70C8F70E" w14:textId="77777777" w:rsidR="00E20B39" w:rsidRPr="00855626" w:rsidRDefault="00E20B39" w:rsidP="00E20B39">
      <w:pPr>
        <w:pStyle w:val="EndNoteBibliography"/>
        <w:ind w:left="720" w:hanging="720"/>
        <w:rPr>
          <w:sz w:val="24"/>
          <w:szCs w:val="24"/>
        </w:rPr>
      </w:pPr>
      <w:r w:rsidRPr="00855626">
        <w:rPr>
          <w:sz w:val="24"/>
          <w:szCs w:val="24"/>
        </w:rPr>
        <w:t>Vaishnavi, V. &amp; Kuechler, W. 2004. Design Research in Information Systems.</w:t>
      </w:r>
    </w:p>
    <w:p w14:paraId="53304A30" w14:textId="77777777" w:rsidR="00E20B39" w:rsidRPr="00855626" w:rsidRDefault="00E20B39" w:rsidP="00E20B39">
      <w:pPr>
        <w:pStyle w:val="EndNoteBibliography"/>
        <w:ind w:left="720" w:hanging="720"/>
        <w:rPr>
          <w:sz w:val="24"/>
          <w:szCs w:val="24"/>
        </w:rPr>
      </w:pPr>
      <w:r w:rsidRPr="00855626">
        <w:rPr>
          <w:sz w:val="24"/>
          <w:szCs w:val="24"/>
        </w:rPr>
        <w:t xml:space="preserve">Van Audenhove, F., De Jongh, S. &amp; Durance, M. 2015. Urban Logistics: How to unlock value from last mile delivery for cities, transporters and retailers. </w:t>
      </w:r>
      <w:r w:rsidRPr="00855626">
        <w:rPr>
          <w:i/>
          <w:sz w:val="24"/>
          <w:szCs w:val="24"/>
        </w:rPr>
        <w:t>Arthur D. Little Future of Urban Mobile Lab</w:t>
      </w:r>
      <w:r w:rsidRPr="00855626">
        <w:rPr>
          <w:sz w:val="24"/>
          <w:szCs w:val="24"/>
        </w:rPr>
        <w:t>.</w:t>
      </w:r>
    </w:p>
    <w:p w14:paraId="0F922B07" w14:textId="77777777" w:rsidR="00E20B39" w:rsidRPr="00855626" w:rsidRDefault="00E20B39" w:rsidP="00E20B39">
      <w:pPr>
        <w:pStyle w:val="EndNoteBibliography"/>
        <w:ind w:left="720" w:hanging="720"/>
        <w:rPr>
          <w:sz w:val="24"/>
          <w:szCs w:val="24"/>
        </w:rPr>
      </w:pPr>
      <w:r w:rsidRPr="00855626">
        <w:rPr>
          <w:sz w:val="24"/>
          <w:szCs w:val="24"/>
        </w:rPr>
        <w:t xml:space="preserve">Van Binsbergen, A. &amp; Bovy, P. 2010. Underground Urban Goods Distribution Networks. </w:t>
      </w:r>
      <w:r w:rsidRPr="00855626">
        <w:rPr>
          <w:i/>
          <w:sz w:val="24"/>
          <w:szCs w:val="24"/>
        </w:rPr>
        <w:t>Innovation: The European Journal of Social Science Research,</w:t>
      </w:r>
      <w:r w:rsidRPr="00855626">
        <w:rPr>
          <w:sz w:val="24"/>
          <w:szCs w:val="24"/>
        </w:rPr>
        <w:t xml:space="preserve"> 13</w:t>
      </w:r>
      <w:r w:rsidRPr="00855626">
        <w:rPr>
          <w:b/>
          <w:sz w:val="24"/>
          <w:szCs w:val="24"/>
        </w:rPr>
        <w:t>,</w:t>
      </w:r>
      <w:r w:rsidRPr="00855626">
        <w:rPr>
          <w:sz w:val="24"/>
          <w:szCs w:val="24"/>
        </w:rPr>
        <w:t xml:space="preserve"> 111-128.</w:t>
      </w:r>
    </w:p>
    <w:p w14:paraId="34D5148C" w14:textId="77777777" w:rsidR="00E20B39" w:rsidRPr="00855626" w:rsidRDefault="00E20B39" w:rsidP="00E20B39">
      <w:pPr>
        <w:pStyle w:val="EndNoteBibliography"/>
        <w:ind w:left="720" w:hanging="720"/>
        <w:rPr>
          <w:sz w:val="24"/>
          <w:szCs w:val="24"/>
        </w:rPr>
      </w:pPr>
      <w:r w:rsidRPr="00855626">
        <w:rPr>
          <w:sz w:val="24"/>
          <w:szCs w:val="24"/>
        </w:rPr>
        <w:t>Van Den Bossche, M., Vanelslander, T., Macário, R., Reis, V. &amp; Dablanc, L. 2017. Engagement of stakeholders when implementing urban freight logistics policies.</w:t>
      </w:r>
    </w:p>
    <w:p w14:paraId="094C1AD1" w14:textId="77777777" w:rsidR="00E20B39" w:rsidRPr="00855626" w:rsidRDefault="00E20B39" w:rsidP="00E20B39">
      <w:pPr>
        <w:pStyle w:val="EndNoteBibliography"/>
        <w:ind w:left="720" w:hanging="720"/>
        <w:rPr>
          <w:sz w:val="24"/>
          <w:szCs w:val="24"/>
        </w:rPr>
      </w:pPr>
      <w:r w:rsidRPr="00855626">
        <w:rPr>
          <w:sz w:val="24"/>
          <w:szCs w:val="24"/>
        </w:rPr>
        <w:t xml:space="preserve">Van Den Brink, R., He, S. &amp; Huang, J.-P. 2018. Polluted river problems and games with a permission structure. </w:t>
      </w:r>
      <w:r w:rsidRPr="00855626">
        <w:rPr>
          <w:i/>
          <w:sz w:val="24"/>
          <w:szCs w:val="24"/>
        </w:rPr>
        <w:t>Games and Economic Behavior,</w:t>
      </w:r>
      <w:r w:rsidRPr="00855626">
        <w:rPr>
          <w:sz w:val="24"/>
          <w:szCs w:val="24"/>
        </w:rPr>
        <w:t xml:space="preserve"> 108</w:t>
      </w:r>
      <w:r w:rsidRPr="00855626">
        <w:rPr>
          <w:b/>
          <w:sz w:val="24"/>
          <w:szCs w:val="24"/>
        </w:rPr>
        <w:t>,</w:t>
      </w:r>
      <w:r w:rsidRPr="00855626">
        <w:rPr>
          <w:sz w:val="24"/>
          <w:szCs w:val="24"/>
        </w:rPr>
        <w:t xml:space="preserve"> 182-205.</w:t>
      </w:r>
    </w:p>
    <w:p w14:paraId="668D9EBA" w14:textId="77777777" w:rsidR="00E20B39" w:rsidRPr="00855626" w:rsidRDefault="00E20B39" w:rsidP="00E20B39">
      <w:pPr>
        <w:pStyle w:val="EndNoteBibliography"/>
        <w:ind w:left="720" w:hanging="720"/>
        <w:rPr>
          <w:sz w:val="24"/>
          <w:szCs w:val="24"/>
        </w:rPr>
      </w:pPr>
      <w:r w:rsidRPr="00855626">
        <w:rPr>
          <w:sz w:val="24"/>
          <w:szCs w:val="24"/>
        </w:rPr>
        <w:t xml:space="preserve">Van Duin, J., Kortmann, R. &amp; Van Den Boogaard, S. 2014. City logistics through the canals? A simulation study on freight waterborne transport in the inner-city of Amsterdam. </w:t>
      </w:r>
      <w:r w:rsidRPr="00855626">
        <w:rPr>
          <w:i/>
          <w:sz w:val="24"/>
          <w:szCs w:val="24"/>
        </w:rPr>
        <w:t>International Journal of Urban Sciences,</w:t>
      </w:r>
      <w:r w:rsidRPr="00855626">
        <w:rPr>
          <w:sz w:val="24"/>
          <w:szCs w:val="24"/>
        </w:rPr>
        <w:t xml:space="preserve"> 18</w:t>
      </w:r>
      <w:r w:rsidRPr="00855626">
        <w:rPr>
          <w:b/>
          <w:sz w:val="24"/>
          <w:szCs w:val="24"/>
        </w:rPr>
        <w:t>,</w:t>
      </w:r>
      <w:r w:rsidRPr="00855626">
        <w:rPr>
          <w:sz w:val="24"/>
          <w:szCs w:val="24"/>
        </w:rPr>
        <w:t xml:space="preserve"> 186-200.</w:t>
      </w:r>
    </w:p>
    <w:p w14:paraId="7CB5A877" w14:textId="77777777" w:rsidR="00E20B39" w:rsidRPr="00120BCB" w:rsidRDefault="00E20B39" w:rsidP="00E20B39">
      <w:pPr>
        <w:pStyle w:val="EndNoteBibliography"/>
        <w:ind w:left="720" w:hanging="720"/>
        <w:rPr>
          <w:sz w:val="24"/>
          <w:szCs w:val="24"/>
          <w:lang w:val="it-IT"/>
        </w:rPr>
      </w:pPr>
      <w:r w:rsidRPr="00855626">
        <w:rPr>
          <w:sz w:val="24"/>
          <w:szCs w:val="24"/>
        </w:rPr>
        <w:lastRenderedPageBreak/>
        <w:t xml:space="preserve">Van Duin, J., Tavasszy, L. &amp; Quak, H. 2013. Towards E (lectric)-urban freight: first promising steps in the electric vehicle revolution. </w:t>
      </w:r>
      <w:r w:rsidRPr="00120BCB">
        <w:rPr>
          <w:i/>
          <w:sz w:val="24"/>
          <w:szCs w:val="24"/>
          <w:lang w:val="it-IT"/>
        </w:rPr>
        <w:t>European Transport\Trasporti Europei</w:t>
      </w:r>
      <w:r w:rsidRPr="00120BCB">
        <w:rPr>
          <w:b/>
          <w:sz w:val="24"/>
          <w:szCs w:val="24"/>
          <w:lang w:val="it-IT"/>
        </w:rPr>
        <w:t>,</w:t>
      </w:r>
      <w:r w:rsidRPr="00120BCB">
        <w:rPr>
          <w:sz w:val="24"/>
          <w:szCs w:val="24"/>
          <w:lang w:val="it-IT"/>
        </w:rPr>
        <w:t xml:space="preserve"> 1-9.</w:t>
      </w:r>
    </w:p>
    <w:p w14:paraId="51F98D6B" w14:textId="77777777" w:rsidR="00E20B39" w:rsidRPr="00855626" w:rsidRDefault="00E20B39" w:rsidP="00E20B39">
      <w:pPr>
        <w:pStyle w:val="EndNoteBibliography"/>
        <w:ind w:left="720" w:hanging="720"/>
        <w:rPr>
          <w:sz w:val="24"/>
          <w:szCs w:val="24"/>
        </w:rPr>
      </w:pPr>
      <w:r w:rsidRPr="00120BCB">
        <w:rPr>
          <w:sz w:val="24"/>
          <w:szCs w:val="24"/>
          <w:lang w:val="it-IT"/>
        </w:rPr>
        <w:t xml:space="preserve">Van Duin, J. H. R., Quak, H. &amp; Muñuzuri, J. 2010. </w:t>
      </w:r>
      <w:r w:rsidRPr="00855626">
        <w:rPr>
          <w:sz w:val="24"/>
          <w:szCs w:val="24"/>
        </w:rPr>
        <w:t xml:space="preserve">New challenges for urban consolidation centres: A case study in The Hague. </w:t>
      </w:r>
      <w:r w:rsidRPr="00855626">
        <w:rPr>
          <w:i/>
          <w:sz w:val="24"/>
          <w:szCs w:val="24"/>
        </w:rPr>
        <w:t>Procedia - Social and Behavioral Sciences,</w:t>
      </w:r>
      <w:r w:rsidRPr="00855626">
        <w:rPr>
          <w:sz w:val="24"/>
          <w:szCs w:val="24"/>
        </w:rPr>
        <w:t xml:space="preserve"> 2</w:t>
      </w:r>
      <w:r w:rsidRPr="00855626">
        <w:rPr>
          <w:b/>
          <w:sz w:val="24"/>
          <w:szCs w:val="24"/>
        </w:rPr>
        <w:t>,</w:t>
      </w:r>
      <w:r w:rsidRPr="00855626">
        <w:rPr>
          <w:sz w:val="24"/>
          <w:szCs w:val="24"/>
        </w:rPr>
        <w:t xml:space="preserve"> 6177-6188.</w:t>
      </w:r>
    </w:p>
    <w:p w14:paraId="171ABF8D" w14:textId="77777777" w:rsidR="00E20B39" w:rsidRPr="00855626" w:rsidRDefault="00E20B39" w:rsidP="00E20B39">
      <w:pPr>
        <w:pStyle w:val="EndNoteBibliography"/>
        <w:ind w:left="720" w:hanging="720"/>
        <w:rPr>
          <w:sz w:val="24"/>
          <w:szCs w:val="24"/>
        </w:rPr>
      </w:pPr>
      <w:r w:rsidRPr="00855626">
        <w:rPr>
          <w:sz w:val="24"/>
          <w:szCs w:val="24"/>
        </w:rPr>
        <w:t xml:space="preserve">Van Duin, R., Slabbekoorn, M., Tavasszy, L. &amp; Quak, H. 2018. Identifying dominant stakeholder perspectives on urban freight policies: a Q-analysis on urban consolidation centres in the Netherlands. </w:t>
      </w:r>
      <w:r w:rsidRPr="00855626">
        <w:rPr>
          <w:i/>
          <w:sz w:val="24"/>
          <w:szCs w:val="24"/>
        </w:rPr>
        <w:t>Transport,</w:t>
      </w:r>
      <w:r w:rsidRPr="00855626">
        <w:rPr>
          <w:sz w:val="24"/>
          <w:szCs w:val="24"/>
        </w:rPr>
        <w:t xml:space="preserve"> 33</w:t>
      </w:r>
      <w:r w:rsidRPr="00855626">
        <w:rPr>
          <w:b/>
          <w:sz w:val="24"/>
          <w:szCs w:val="24"/>
        </w:rPr>
        <w:t>,</w:t>
      </w:r>
      <w:r w:rsidRPr="00855626">
        <w:rPr>
          <w:sz w:val="24"/>
          <w:szCs w:val="24"/>
        </w:rPr>
        <w:t xml:space="preserve"> 867-880.</w:t>
      </w:r>
    </w:p>
    <w:p w14:paraId="3D3C9F39" w14:textId="77777777" w:rsidR="00E20B39" w:rsidRPr="00855626" w:rsidRDefault="00E20B39" w:rsidP="00E20B39">
      <w:pPr>
        <w:pStyle w:val="EndNoteBibliography"/>
        <w:ind w:left="720" w:hanging="720"/>
        <w:rPr>
          <w:sz w:val="24"/>
          <w:szCs w:val="24"/>
        </w:rPr>
      </w:pPr>
      <w:r w:rsidRPr="00855626">
        <w:rPr>
          <w:sz w:val="24"/>
          <w:szCs w:val="24"/>
        </w:rPr>
        <w:t xml:space="preserve">Van Heeswijk, W., Larsen, R. &amp; Larsen, A. 2019. An urban consolidation center in the city of Copenhagen: A simulation study. </w:t>
      </w:r>
      <w:r w:rsidRPr="00855626">
        <w:rPr>
          <w:i/>
          <w:sz w:val="24"/>
          <w:szCs w:val="24"/>
        </w:rPr>
        <w:t>International Journal of Sustainable Transportation,</w:t>
      </w:r>
      <w:r w:rsidRPr="00855626">
        <w:rPr>
          <w:sz w:val="24"/>
          <w:szCs w:val="24"/>
        </w:rPr>
        <w:t xml:space="preserve"> 13</w:t>
      </w:r>
      <w:r w:rsidRPr="00855626">
        <w:rPr>
          <w:b/>
          <w:sz w:val="24"/>
          <w:szCs w:val="24"/>
        </w:rPr>
        <w:t>,</w:t>
      </w:r>
      <w:r w:rsidRPr="00855626">
        <w:rPr>
          <w:sz w:val="24"/>
          <w:szCs w:val="24"/>
        </w:rPr>
        <w:t xml:space="preserve"> 675-691.</w:t>
      </w:r>
    </w:p>
    <w:p w14:paraId="6817073F" w14:textId="77777777" w:rsidR="00E20B39" w:rsidRPr="00855626" w:rsidRDefault="00E20B39" w:rsidP="00E20B39">
      <w:pPr>
        <w:pStyle w:val="EndNoteBibliography"/>
        <w:ind w:left="720" w:hanging="720"/>
        <w:rPr>
          <w:sz w:val="24"/>
          <w:szCs w:val="24"/>
        </w:rPr>
      </w:pPr>
      <w:r w:rsidRPr="00855626">
        <w:rPr>
          <w:sz w:val="24"/>
          <w:szCs w:val="24"/>
        </w:rPr>
        <w:t xml:space="preserve">Van Heeswijk, W., Mes, M. &amp; Schutten, M. An Agent-Based Simulation Framework to Evaluate Urban Logistics Schemes. </w:t>
      </w:r>
      <w:r w:rsidRPr="00855626">
        <w:rPr>
          <w:i/>
          <w:sz w:val="24"/>
          <w:szCs w:val="24"/>
        </w:rPr>
        <w:t xml:space="preserve">In: </w:t>
      </w:r>
      <w:r w:rsidRPr="00855626">
        <w:rPr>
          <w:sz w:val="24"/>
          <w:szCs w:val="24"/>
        </w:rPr>
        <w:t>PAIAS, A., RUTHMAIR, M. &amp; VOß, S., eds. Computational Logistics, 2016// 2016 Cham. Springer International Publishing, 369-383.</w:t>
      </w:r>
    </w:p>
    <w:p w14:paraId="38C720D7" w14:textId="77777777" w:rsidR="00E20B39" w:rsidRPr="00855626" w:rsidRDefault="00E20B39" w:rsidP="00E20B39">
      <w:pPr>
        <w:pStyle w:val="EndNoteBibliography"/>
        <w:ind w:left="720" w:hanging="720"/>
        <w:rPr>
          <w:sz w:val="24"/>
          <w:szCs w:val="24"/>
        </w:rPr>
      </w:pPr>
      <w:r w:rsidRPr="00855626">
        <w:rPr>
          <w:sz w:val="24"/>
          <w:szCs w:val="24"/>
        </w:rPr>
        <w:t xml:space="preserve">Van Heeswijk, W. J. A., Mes, M. R. K., Schutten, J. M. J. &amp; Zijm, W. H. M. 2020. Evaluating Urban Logistics Schemes Using Agent-based Simulation. </w:t>
      </w:r>
      <w:r w:rsidRPr="00855626">
        <w:rPr>
          <w:i/>
          <w:sz w:val="24"/>
          <w:szCs w:val="24"/>
        </w:rPr>
        <w:t>Transportation Science,</w:t>
      </w:r>
      <w:r w:rsidRPr="00855626">
        <w:rPr>
          <w:sz w:val="24"/>
          <w:szCs w:val="24"/>
        </w:rPr>
        <w:t xml:space="preserve"> 54</w:t>
      </w:r>
      <w:r w:rsidRPr="00855626">
        <w:rPr>
          <w:b/>
          <w:sz w:val="24"/>
          <w:szCs w:val="24"/>
        </w:rPr>
        <w:t>,</w:t>
      </w:r>
      <w:r w:rsidRPr="00855626">
        <w:rPr>
          <w:sz w:val="24"/>
          <w:szCs w:val="24"/>
        </w:rPr>
        <w:t xml:space="preserve"> 651-675.</w:t>
      </w:r>
    </w:p>
    <w:p w14:paraId="464F0081" w14:textId="77777777" w:rsidR="00E20B39" w:rsidRPr="00855626" w:rsidRDefault="00E20B39" w:rsidP="00E20B39">
      <w:pPr>
        <w:pStyle w:val="EndNoteBibliography"/>
        <w:ind w:left="720" w:hanging="720"/>
        <w:rPr>
          <w:sz w:val="24"/>
          <w:szCs w:val="24"/>
        </w:rPr>
      </w:pPr>
      <w:r w:rsidRPr="00855626">
        <w:rPr>
          <w:sz w:val="24"/>
          <w:szCs w:val="24"/>
        </w:rPr>
        <w:t>Van Rooijen, T. &amp; Quak, H. Local impacts of a new urban consolidation centre - The case of Binnenstadservice.nl.  Procedia - Social and Behavioral Sciences, 2010. Elsevier Ltd, 5967-5979.</w:t>
      </w:r>
    </w:p>
    <w:p w14:paraId="6F9B2449" w14:textId="77777777" w:rsidR="00E20B39" w:rsidRPr="00855626" w:rsidRDefault="00E20B39" w:rsidP="00E20B39">
      <w:pPr>
        <w:pStyle w:val="EndNoteBibliography"/>
        <w:ind w:left="720" w:hanging="720"/>
        <w:rPr>
          <w:sz w:val="24"/>
          <w:szCs w:val="24"/>
        </w:rPr>
      </w:pPr>
      <w:r w:rsidRPr="00855626">
        <w:rPr>
          <w:sz w:val="24"/>
          <w:szCs w:val="24"/>
        </w:rPr>
        <w:t xml:space="preserve">Vanovermeire, C., Sörensen, K., Van Breedam, A., Vannieuwenhuyse, B. &amp; Verstrepen, S. 2014. Horizontal logistics collaboration: decreasing costs through flexibility and an adequate cost allocation strategy. </w:t>
      </w:r>
      <w:r w:rsidRPr="00855626">
        <w:rPr>
          <w:i/>
          <w:sz w:val="24"/>
          <w:szCs w:val="24"/>
        </w:rPr>
        <w:t>International Journal of Logistics Research and Applications,</w:t>
      </w:r>
      <w:r w:rsidRPr="00855626">
        <w:rPr>
          <w:sz w:val="24"/>
          <w:szCs w:val="24"/>
        </w:rPr>
        <w:t xml:space="preserve"> 17</w:t>
      </w:r>
      <w:r w:rsidRPr="00855626">
        <w:rPr>
          <w:b/>
          <w:sz w:val="24"/>
          <w:szCs w:val="24"/>
        </w:rPr>
        <w:t>,</w:t>
      </w:r>
      <w:r w:rsidRPr="00855626">
        <w:rPr>
          <w:sz w:val="24"/>
          <w:szCs w:val="24"/>
        </w:rPr>
        <w:t xml:space="preserve"> 339-355.</w:t>
      </w:r>
    </w:p>
    <w:p w14:paraId="23313258" w14:textId="77777777" w:rsidR="00E20B39" w:rsidRPr="00855626" w:rsidRDefault="00E20B39" w:rsidP="00E20B39">
      <w:pPr>
        <w:pStyle w:val="EndNoteBibliography"/>
        <w:ind w:left="720" w:hanging="720"/>
        <w:rPr>
          <w:sz w:val="24"/>
          <w:szCs w:val="24"/>
        </w:rPr>
      </w:pPr>
      <w:r w:rsidRPr="00855626">
        <w:rPr>
          <w:sz w:val="24"/>
          <w:szCs w:val="24"/>
        </w:rPr>
        <w:t xml:space="preserve">Veličković, M. S., Stojanović, D. M. &amp; Basarić, V. B. 2014. The assessment of pollutants emissions within sustainable urban freight transport development the case of novi sad. </w:t>
      </w:r>
      <w:r w:rsidRPr="00855626">
        <w:rPr>
          <w:i/>
          <w:sz w:val="24"/>
          <w:szCs w:val="24"/>
        </w:rPr>
        <w:t>Thermal Science,</w:t>
      </w:r>
      <w:r w:rsidRPr="00855626">
        <w:rPr>
          <w:sz w:val="24"/>
          <w:szCs w:val="24"/>
        </w:rPr>
        <w:t xml:space="preserve"> 18</w:t>
      </w:r>
      <w:r w:rsidRPr="00855626">
        <w:rPr>
          <w:b/>
          <w:sz w:val="24"/>
          <w:szCs w:val="24"/>
        </w:rPr>
        <w:t>,</w:t>
      </w:r>
      <w:r w:rsidRPr="00855626">
        <w:rPr>
          <w:sz w:val="24"/>
          <w:szCs w:val="24"/>
        </w:rPr>
        <w:t xml:space="preserve"> 307-321.</w:t>
      </w:r>
    </w:p>
    <w:p w14:paraId="7E789914" w14:textId="77777777" w:rsidR="00E20B39" w:rsidRPr="00855626" w:rsidRDefault="00E20B39" w:rsidP="00E20B39">
      <w:pPr>
        <w:pStyle w:val="EndNoteBibliography"/>
        <w:ind w:left="720" w:hanging="720"/>
        <w:rPr>
          <w:sz w:val="24"/>
          <w:szCs w:val="24"/>
        </w:rPr>
      </w:pPr>
      <w:r w:rsidRPr="00855626">
        <w:rPr>
          <w:sz w:val="24"/>
          <w:szCs w:val="24"/>
        </w:rPr>
        <w:t xml:space="preserve">Venkataraman, S. 1997. The distinctive domain of entrepreneurship research. </w:t>
      </w:r>
      <w:r w:rsidRPr="00855626">
        <w:rPr>
          <w:i/>
          <w:sz w:val="24"/>
          <w:szCs w:val="24"/>
        </w:rPr>
        <w:t>Seminal ideas for the next twenty-five years of advances</w:t>
      </w:r>
      <w:r w:rsidRPr="00855626">
        <w:rPr>
          <w:b/>
          <w:sz w:val="24"/>
          <w:szCs w:val="24"/>
        </w:rPr>
        <w:t>,</w:t>
      </w:r>
      <w:r w:rsidRPr="00855626">
        <w:rPr>
          <w:sz w:val="24"/>
          <w:szCs w:val="24"/>
        </w:rPr>
        <w:t xml:space="preserve"> 5-20.</w:t>
      </w:r>
    </w:p>
    <w:p w14:paraId="47E3E48F" w14:textId="77777777" w:rsidR="00E20B39" w:rsidRPr="00855626" w:rsidRDefault="00E20B39" w:rsidP="00E20B39">
      <w:pPr>
        <w:pStyle w:val="EndNoteBibliography"/>
        <w:ind w:left="720" w:hanging="720"/>
        <w:rPr>
          <w:sz w:val="24"/>
          <w:szCs w:val="24"/>
        </w:rPr>
      </w:pPr>
      <w:r w:rsidRPr="00855626">
        <w:rPr>
          <w:sz w:val="24"/>
          <w:szCs w:val="24"/>
        </w:rPr>
        <w:t xml:space="preserve">Verdonck, L., Beullens, P., Caris, A., Ramaekers, K. &amp; Janssens, G. K. 2016. Analysis of collaborative savings and cost allocation techniques for the cooperative carrier facility location problem. </w:t>
      </w:r>
      <w:r w:rsidRPr="00855626">
        <w:rPr>
          <w:i/>
          <w:sz w:val="24"/>
          <w:szCs w:val="24"/>
        </w:rPr>
        <w:t>Journal of the Operational Research Society,</w:t>
      </w:r>
      <w:r w:rsidRPr="00855626">
        <w:rPr>
          <w:sz w:val="24"/>
          <w:szCs w:val="24"/>
        </w:rPr>
        <w:t xml:space="preserve"> 67</w:t>
      </w:r>
      <w:r w:rsidRPr="00855626">
        <w:rPr>
          <w:b/>
          <w:sz w:val="24"/>
          <w:szCs w:val="24"/>
        </w:rPr>
        <w:t>,</w:t>
      </w:r>
      <w:r w:rsidRPr="00855626">
        <w:rPr>
          <w:sz w:val="24"/>
          <w:szCs w:val="24"/>
        </w:rPr>
        <w:t xml:space="preserve"> 853-871.</w:t>
      </w:r>
    </w:p>
    <w:p w14:paraId="57FB221E" w14:textId="77777777" w:rsidR="00E20B39" w:rsidRPr="00855626" w:rsidRDefault="00E20B39" w:rsidP="00E20B39">
      <w:pPr>
        <w:pStyle w:val="EndNoteBibliography"/>
        <w:ind w:left="720" w:hanging="720"/>
        <w:rPr>
          <w:sz w:val="24"/>
          <w:szCs w:val="24"/>
        </w:rPr>
      </w:pPr>
      <w:r w:rsidRPr="00855626">
        <w:rPr>
          <w:sz w:val="24"/>
          <w:szCs w:val="24"/>
        </w:rPr>
        <w:t xml:space="preserve">Verlinde, S., Macharis, C. &amp; Witlox, F. 2012. How to Consolidate Urban Flows of Goods Without Setting up an Urban Consolidation Centre? </w:t>
      </w:r>
      <w:r w:rsidRPr="00855626">
        <w:rPr>
          <w:i/>
          <w:sz w:val="24"/>
          <w:szCs w:val="24"/>
        </w:rPr>
        <w:t>Procedia - Social and Behavioral Sciences,</w:t>
      </w:r>
      <w:r w:rsidRPr="00855626">
        <w:rPr>
          <w:sz w:val="24"/>
          <w:szCs w:val="24"/>
        </w:rPr>
        <w:t xml:space="preserve"> 39</w:t>
      </w:r>
      <w:r w:rsidRPr="00855626">
        <w:rPr>
          <w:b/>
          <w:sz w:val="24"/>
          <w:szCs w:val="24"/>
        </w:rPr>
        <w:t>,</w:t>
      </w:r>
      <w:r w:rsidRPr="00855626">
        <w:rPr>
          <w:sz w:val="24"/>
          <w:szCs w:val="24"/>
        </w:rPr>
        <w:t xml:space="preserve"> 687-701.</w:t>
      </w:r>
    </w:p>
    <w:p w14:paraId="2386B58B" w14:textId="77777777" w:rsidR="00E20B39" w:rsidRPr="00855626" w:rsidRDefault="00E20B39" w:rsidP="00E20B39">
      <w:pPr>
        <w:pStyle w:val="EndNoteBibliography"/>
        <w:ind w:left="720" w:hanging="720"/>
        <w:rPr>
          <w:sz w:val="24"/>
          <w:szCs w:val="24"/>
        </w:rPr>
      </w:pPr>
      <w:r w:rsidRPr="00855626">
        <w:rPr>
          <w:sz w:val="24"/>
          <w:szCs w:val="24"/>
        </w:rPr>
        <w:t xml:space="preserve">Vieira, J. G. V., Fransoo, J. C. &amp; Carvalho, C. D. 2015. Freight distribution in megacities: Perspectives of shippers, logistics service providers and carriers. </w:t>
      </w:r>
      <w:r w:rsidRPr="00855626">
        <w:rPr>
          <w:i/>
          <w:sz w:val="24"/>
          <w:szCs w:val="24"/>
        </w:rPr>
        <w:t>Journal of Transport Geography,</w:t>
      </w:r>
      <w:r w:rsidRPr="00855626">
        <w:rPr>
          <w:sz w:val="24"/>
          <w:szCs w:val="24"/>
        </w:rPr>
        <w:t xml:space="preserve"> 46</w:t>
      </w:r>
      <w:r w:rsidRPr="00855626">
        <w:rPr>
          <w:b/>
          <w:sz w:val="24"/>
          <w:szCs w:val="24"/>
        </w:rPr>
        <w:t>,</w:t>
      </w:r>
      <w:r w:rsidRPr="00855626">
        <w:rPr>
          <w:sz w:val="24"/>
          <w:szCs w:val="24"/>
        </w:rPr>
        <w:t xml:space="preserve"> 46-54.</w:t>
      </w:r>
    </w:p>
    <w:p w14:paraId="095036AB" w14:textId="77777777" w:rsidR="00E20B39" w:rsidRPr="00855626" w:rsidRDefault="00E20B39" w:rsidP="00E20B39">
      <w:pPr>
        <w:pStyle w:val="EndNoteBibliography"/>
        <w:ind w:left="720" w:hanging="720"/>
        <w:rPr>
          <w:sz w:val="24"/>
          <w:szCs w:val="24"/>
        </w:rPr>
      </w:pPr>
      <w:r w:rsidRPr="00855626">
        <w:rPr>
          <w:sz w:val="24"/>
          <w:szCs w:val="24"/>
        </w:rPr>
        <w:lastRenderedPageBreak/>
        <w:t xml:space="preserve">Ville, S., Gonzalez-Feliu, J. &amp; Dablanc, L. 2013. The Limits of Public Policy Intervention in Urban Logistics: Lessons from Vicenza (Italy). </w:t>
      </w:r>
      <w:r w:rsidRPr="00855626">
        <w:rPr>
          <w:i/>
          <w:sz w:val="24"/>
          <w:szCs w:val="24"/>
        </w:rPr>
        <w:t>European Planning Studies,</w:t>
      </w:r>
      <w:r w:rsidRPr="00855626">
        <w:rPr>
          <w:sz w:val="24"/>
          <w:szCs w:val="24"/>
        </w:rPr>
        <w:t xml:space="preserve"> 21</w:t>
      </w:r>
      <w:r w:rsidRPr="00855626">
        <w:rPr>
          <w:b/>
          <w:sz w:val="24"/>
          <w:szCs w:val="24"/>
        </w:rPr>
        <w:t>,</w:t>
      </w:r>
      <w:r w:rsidRPr="00855626">
        <w:rPr>
          <w:sz w:val="24"/>
          <w:szCs w:val="24"/>
        </w:rPr>
        <w:t xml:space="preserve"> 1528-1541.</w:t>
      </w:r>
    </w:p>
    <w:p w14:paraId="294DF8CA" w14:textId="77777777" w:rsidR="00E20B39" w:rsidRPr="00855626" w:rsidRDefault="00E20B39" w:rsidP="00E20B39">
      <w:pPr>
        <w:pStyle w:val="EndNoteBibliography"/>
        <w:ind w:left="720" w:hanging="720"/>
        <w:rPr>
          <w:sz w:val="24"/>
          <w:szCs w:val="24"/>
        </w:rPr>
      </w:pPr>
      <w:r w:rsidRPr="00855626">
        <w:rPr>
          <w:sz w:val="24"/>
          <w:szCs w:val="24"/>
        </w:rPr>
        <w:t xml:space="preserve">Wang, X. C. &amp; Zhou, Y. 2015. Deliveries to residential units: A rising form of freight transportation in the US. </w:t>
      </w:r>
      <w:r w:rsidRPr="00855626">
        <w:rPr>
          <w:i/>
          <w:sz w:val="24"/>
          <w:szCs w:val="24"/>
        </w:rPr>
        <w:t>Transportation Research Part C: Emerging Technologies,</w:t>
      </w:r>
      <w:r w:rsidRPr="00855626">
        <w:rPr>
          <w:sz w:val="24"/>
          <w:szCs w:val="24"/>
        </w:rPr>
        <w:t xml:space="preserve"> 58</w:t>
      </w:r>
      <w:r w:rsidRPr="00855626">
        <w:rPr>
          <w:b/>
          <w:sz w:val="24"/>
          <w:szCs w:val="24"/>
        </w:rPr>
        <w:t>,</w:t>
      </w:r>
      <w:r w:rsidRPr="00855626">
        <w:rPr>
          <w:sz w:val="24"/>
          <w:szCs w:val="24"/>
        </w:rPr>
        <w:t xml:space="preserve"> 46-55.</w:t>
      </w:r>
    </w:p>
    <w:p w14:paraId="667B5972" w14:textId="77777777" w:rsidR="00E20B39" w:rsidRPr="00855626" w:rsidRDefault="00E20B39" w:rsidP="00E20B39">
      <w:pPr>
        <w:pStyle w:val="EndNoteBibliography"/>
        <w:ind w:left="720" w:hanging="720"/>
        <w:rPr>
          <w:sz w:val="24"/>
          <w:szCs w:val="24"/>
        </w:rPr>
      </w:pPr>
      <w:r w:rsidRPr="00855626">
        <w:rPr>
          <w:sz w:val="24"/>
          <w:szCs w:val="24"/>
        </w:rPr>
        <w:t xml:space="preserve">Wangapisit, O., Taniguchi, E., Teo, J. S. &amp; Qureshi, A. G. 2014. Multi-agent systems modelling for evaluating joint delivery systems. </w:t>
      </w:r>
      <w:r w:rsidRPr="00855626">
        <w:rPr>
          <w:i/>
          <w:sz w:val="24"/>
          <w:szCs w:val="24"/>
        </w:rPr>
        <w:t>Procedia-Social and Behavioral Sciences,</w:t>
      </w:r>
      <w:r w:rsidRPr="00855626">
        <w:rPr>
          <w:sz w:val="24"/>
          <w:szCs w:val="24"/>
        </w:rPr>
        <w:t xml:space="preserve"> 125</w:t>
      </w:r>
      <w:r w:rsidRPr="00855626">
        <w:rPr>
          <w:b/>
          <w:sz w:val="24"/>
          <w:szCs w:val="24"/>
        </w:rPr>
        <w:t>,</w:t>
      </w:r>
      <w:r w:rsidRPr="00855626">
        <w:rPr>
          <w:sz w:val="24"/>
          <w:szCs w:val="24"/>
        </w:rPr>
        <w:t xml:space="preserve"> 472-483.</w:t>
      </w:r>
    </w:p>
    <w:p w14:paraId="28F9DD55" w14:textId="77777777" w:rsidR="00E20B39" w:rsidRPr="00855626" w:rsidRDefault="00E20B39" w:rsidP="00E20B39">
      <w:pPr>
        <w:pStyle w:val="EndNoteBibliography"/>
        <w:ind w:left="720" w:hanging="720"/>
        <w:rPr>
          <w:sz w:val="24"/>
          <w:szCs w:val="24"/>
        </w:rPr>
      </w:pPr>
      <w:r w:rsidRPr="00855626">
        <w:rPr>
          <w:sz w:val="24"/>
          <w:szCs w:val="24"/>
        </w:rPr>
        <w:t xml:space="preserve">Wilson, J., Tyedmers, P. &amp; Pelot, R. 2007. Contrasting and comparing sustainable development indicator metrics. </w:t>
      </w:r>
      <w:r w:rsidRPr="00855626">
        <w:rPr>
          <w:i/>
          <w:sz w:val="24"/>
          <w:szCs w:val="24"/>
        </w:rPr>
        <w:t>Ecological indicators,</w:t>
      </w:r>
      <w:r w:rsidRPr="00855626">
        <w:rPr>
          <w:sz w:val="24"/>
          <w:szCs w:val="24"/>
        </w:rPr>
        <w:t xml:space="preserve"> 7</w:t>
      </w:r>
      <w:r w:rsidRPr="00855626">
        <w:rPr>
          <w:b/>
          <w:sz w:val="24"/>
          <w:szCs w:val="24"/>
        </w:rPr>
        <w:t>,</w:t>
      </w:r>
      <w:r w:rsidRPr="00855626">
        <w:rPr>
          <w:sz w:val="24"/>
          <w:szCs w:val="24"/>
        </w:rPr>
        <w:t xml:space="preserve"> 299-314.</w:t>
      </w:r>
    </w:p>
    <w:p w14:paraId="6AEA7D4F" w14:textId="77777777" w:rsidR="00E20B39" w:rsidRPr="00855626" w:rsidRDefault="00E20B39" w:rsidP="00E20B39">
      <w:pPr>
        <w:pStyle w:val="EndNoteBibliography"/>
        <w:ind w:left="720" w:hanging="720"/>
        <w:rPr>
          <w:sz w:val="24"/>
          <w:szCs w:val="24"/>
        </w:rPr>
      </w:pPr>
      <w:r w:rsidRPr="00855626">
        <w:rPr>
          <w:sz w:val="24"/>
          <w:szCs w:val="24"/>
        </w:rPr>
        <w:t xml:space="preserve">Wygonik, E. &amp; Goodchild, A. 2014. Comparison of Vehicle Miles Traveled and Pollution from Three Goods Movement Strategies. </w:t>
      </w:r>
      <w:r w:rsidRPr="00855626">
        <w:rPr>
          <w:i/>
          <w:sz w:val="24"/>
          <w:szCs w:val="24"/>
        </w:rPr>
        <w:t>Sustainable Logistics.</w:t>
      </w:r>
      <w:r w:rsidRPr="00855626">
        <w:rPr>
          <w:sz w:val="24"/>
          <w:szCs w:val="24"/>
        </w:rPr>
        <w:t xml:space="preserve"> Emerald Group Publishing Limited.</w:t>
      </w:r>
    </w:p>
    <w:p w14:paraId="758F5BF9" w14:textId="77777777" w:rsidR="00E20B39" w:rsidRPr="00855626" w:rsidRDefault="00E20B39" w:rsidP="00E20B39">
      <w:pPr>
        <w:pStyle w:val="EndNoteBibliography"/>
        <w:ind w:left="720" w:hanging="720"/>
        <w:rPr>
          <w:sz w:val="24"/>
          <w:szCs w:val="24"/>
        </w:rPr>
      </w:pPr>
      <w:r w:rsidRPr="00855626">
        <w:rPr>
          <w:sz w:val="24"/>
          <w:szCs w:val="24"/>
        </w:rPr>
        <w:t xml:space="preserve">Yang, J., Guo, J. &amp; Ma, S. 2016. Low-carbon city logistics distribution network design with resource deployment. </w:t>
      </w:r>
      <w:r w:rsidRPr="00855626">
        <w:rPr>
          <w:i/>
          <w:sz w:val="24"/>
          <w:szCs w:val="24"/>
        </w:rPr>
        <w:t>Journal of Cleaner Production,</w:t>
      </w:r>
      <w:r w:rsidRPr="00855626">
        <w:rPr>
          <w:sz w:val="24"/>
          <w:szCs w:val="24"/>
        </w:rPr>
        <w:t xml:space="preserve"> 119</w:t>
      </w:r>
      <w:r w:rsidRPr="00855626">
        <w:rPr>
          <w:b/>
          <w:sz w:val="24"/>
          <w:szCs w:val="24"/>
        </w:rPr>
        <w:t>,</w:t>
      </w:r>
      <w:r w:rsidRPr="00855626">
        <w:rPr>
          <w:sz w:val="24"/>
          <w:szCs w:val="24"/>
        </w:rPr>
        <w:t xml:space="preserve"> 223-228.</w:t>
      </w:r>
    </w:p>
    <w:p w14:paraId="0169E8AB" w14:textId="77777777" w:rsidR="00E20B39" w:rsidRPr="00855626" w:rsidRDefault="00E20B39" w:rsidP="00E20B39">
      <w:pPr>
        <w:pStyle w:val="EndNoteBibliography"/>
        <w:ind w:left="720" w:hanging="720"/>
        <w:rPr>
          <w:sz w:val="24"/>
          <w:szCs w:val="24"/>
        </w:rPr>
      </w:pPr>
      <w:r w:rsidRPr="00855626">
        <w:rPr>
          <w:rFonts w:hint="eastAsia"/>
          <w:sz w:val="24"/>
          <w:szCs w:val="24"/>
        </w:rPr>
        <w:t xml:space="preserve">Yin, R. K. 2018. </w:t>
      </w:r>
      <w:r w:rsidRPr="00855626">
        <w:rPr>
          <w:rFonts w:hint="eastAsia"/>
          <w:i/>
          <w:sz w:val="24"/>
          <w:szCs w:val="24"/>
        </w:rPr>
        <w:t xml:space="preserve">Case Study Research and Applications: Design and Methods </w:t>
      </w:r>
      <w:r w:rsidRPr="00855626">
        <w:rPr>
          <w:rFonts w:hint="eastAsia"/>
          <w:i/>
          <w:sz w:val="24"/>
          <w:szCs w:val="24"/>
        </w:rPr>
        <w:t>（</w:t>
      </w:r>
      <w:r w:rsidRPr="00855626">
        <w:rPr>
          <w:rFonts w:hint="eastAsia"/>
          <w:i/>
          <w:sz w:val="24"/>
          <w:szCs w:val="24"/>
        </w:rPr>
        <w:t>Sixth Edit</w:t>
      </w:r>
      <w:r w:rsidRPr="00855626">
        <w:rPr>
          <w:i/>
          <w:sz w:val="24"/>
          <w:szCs w:val="24"/>
        </w:rPr>
        <w:t>ion)</w:t>
      </w:r>
      <w:r w:rsidRPr="00855626">
        <w:rPr>
          <w:sz w:val="24"/>
          <w:szCs w:val="24"/>
        </w:rPr>
        <w:t>, Sage publications.</w:t>
      </w:r>
    </w:p>
    <w:p w14:paraId="0CDC8DBE" w14:textId="77777777" w:rsidR="00E20B39" w:rsidRPr="00855626" w:rsidRDefault="00E20B39" w:rsidP="00E20B39">
      <w:pPr>
        <w:pStyle w:val="EndNoteBibliography"/>
        <w:ind w:left="720" w:hanging="720"/>
        <w:rPr>
          <w:sz w:val="24"/>
          <w:szCs w:val="24"/>
        </w:rPr>
      </w:pPr>
      <w:r w:rsidRPr="00855626">
        <w:rPr>
          <w:sz w:val="24"/>
          <w:szCs w:val="24"/>
        </w:rPr>
        <w:t xml:space="preserve">Yusuf, N. 2018. The impact of freight vehicle access restriction on the sustainability of Jakarta intra urban tollway system. </w:t>
      </w:r>
      <w:r w:rsidRPr="00855626">
        <w:rPr>
          <w:i/>
          <w:sz w:val="24"/>
          <w:szCs w:val="24"/>
        </w:rPr>
        <w:t>Planning Malaysia,</w:t>
      </w:r>
      <w:r w:rsidRPr="00855626">
        <w:rPr>
          <w:sz w:val="24"/>
          <w:szCs w:val="24"/>
        </w:rPr>
        <w:t xml:space="preserve"> 16</w:t>
      </w:r>
      <w:r w:rsidRPr="00855626">
        <w:rPr>
          <w:b/>
          <w:sz w:val="24"/>
          <w:szCs w:val="24"/>
        </w:rPr>
        <w:t>,</w:t>
      </w:r>
      <w:r w:rsidRPr="00855626">
        <w:rPr>
          <w:sz w:val="24"/>
          <w:szCs w:val="24"/>
        </w:rPr>
        <w:t xml:space="preserve"> 50-62.</w:t>
      </w:r>
    </w:p>
    <w:p w14:paraId="350EDA9D" w14:textId="77777777" w:rsidR="00E20B39" w:rsidRPr="00855626" w:rsidRDefault="00E20B39" w:rsidP="00E20B39">
      <w:pPr>
        <w:pStyle w:val="EndNoteBibliography"/>
        <w:ind w:left="720" w:hanging="720"/>
        <w:rPr>
          <w:sz w:val="24"/>
          <w:szCs w:val="24"/>
        </w:rPr>
      </w:pPr>
      <w:r w:rsidRPr="00855626">
        <w:rPr>
          <w:sz w:val="24"/>
          <w:szCs w:val="24"/>
        </w:rPr>
        <w:t xml:space="preserve">Zainal, Z. 2007. Case study as a research method. </w:t>
      </w:r>
      <w:r w:rsidRPr="00855626">
        <w:rPr>
          <w:i/>
          <w:sz w:val="24"/>
          <w:szCs w:val="24"/>
        </w:rPr>
        <w:t>Jurnal Kemanusiaan,</w:t>
      </w:r>
      <w:r w:rsidRPr="00855626">
        <w:rPr>
          <w:sz w:val="24"/>
          <w:szCs w:val="24"/>
        </w:rPr>
        <w:t xml:space="preserve"> 5.</w:t>
      </w:r>
    </w:p>
    <w:p w14:paraId="7FB64242" w14:textId="77777777" w:rsidR="00E20B39" w:rsidRPr="00855626" w:rsidRDefault="00E20B39" w:rsidP="00E20B39">
      <w:pPr>
        <w:pStyle w:val="EndNoteBibliography"/>
        <w:ind w:left="720" w:hanging="720"/>
        <w:rPr>
          <w:sz w:val="24"/>
          <w:szCs w:val="24"/>
        </w:rPr>
      </w:pPr>
      <w:r w:rsidRPr="00855626">
        <w:rPr>
          <w:sz w:val="24"/>
          <w:szCs w:val="24"/>
        </w:rPr>
        <w:t xml:space="preserve">Zhang, S., Campbell, A. M. &amp; Ehmke, J. F. 2019. Impact of congestion pricing schemes on costs and emissions of commercial fleets in urban areas. </w:t>
      </w:r>
      <w:r w:rsidRPr="00855626">
        <w:rPr>
          <w:i/>
          <w:sz w:val="24"/>
          <w:szCs w:val="24"/>
        </w:rPr>
        <w:t>Networks,</w:t>
      </w:r>
      <w:r w:rsidRPr="00855626">
        <w:rPr>
          <w:sz w:val="24"/>
          <w:szCs w:val="24"/>
        </w:rPr>
        <w:t xml:space="preserve"> 73</w:t>
      </w:r>
      <w:r w:rsidRPr="00855626">
        <w:rPr>
          <w:b/>
          <w:sz w:val="24"/>
          <w:szCs w:val="24"/>
        </w:rPr>
        <w:t>,</w:t>
      </w:r>
      <w:r w:rsidRPr="00855626">
        <w:rPr>
          <w:sz w:val="24"/>
          <w:szCs w:val="24"/>
        </w:rPr>
        <w:t xml:space="preserve"> 466-489.</w:t>
      </w:r>
    </w:p>
    <w:p w14:paraId="54439164" w14:textId="77777777" w:rsidR="00E20B39" w:rsidRPr="00855626" w:rsidRDefault="00E20B39" w:rsidP="00E20B39">
      <w:pPr>
        <w:pStyle w:val="EndNoteBibliography"/>
        <w:ind w:left="720" w:hanging="720"/>
        <w:rPr>
          <w:sz w:val="24"/>
          <w:szCs w:val="24"/>
        </w:rPr>
      </w:pPr>
      <w:r w:rsidRPr="00855626">
        <w:rPr>
          <w:sz w:val="24"/>
          <w:szCs w:val="24"/>
        </w:rPr>
        <w:t xml:space="preserve">Zhou, Y. &amp; Wang, X. 2013. Decision-making process for developing urban freight consolidation centers: Analysis with experimental economics. </w:t>
      </w:r>
      <w:r w:rsidRPr="00855626">
        <w:rPr>
          <w:i/>
          <w:sz w:val="24"/>
          <w:szCs w:val="24"/>
        </w:rPr>
        <w:t>Journal of Transportation Engineering,</w:t>
      </w:r>
      <w:r w:rsidRPr="00855626">
        <w:rPr>
          <w:sz w:val="24"/>
          <w:szCs w:val="24"/>
        </w:rPr>
        <w:t xml:space="preserve"> 140</w:t>
      </w:r>
      <w:r w:rsidRPr="00855626">
        <w:rPr>
          <w:b/>
          <w:sz w:val="24"/>
          <w:szCs w:val="24"/>
        </w:rPr>
        <w:t>,</w:t>
      </w:r>
      <w:r w:rsidRPr="00855626">
        <w:rPr>
          <w:sz w:val="24"/>
          <w:szCs w:val="24"/>
        </w:rPr>
        <w:t xml:space="preserve"> 04013003.</w:t>
      </w:r>
    </w:p>
    <w:p w14:paraId="4F10E5AC" w14:textId="77777777" w:rsidR="00E20B39" w:rsidRPr="00855626" w:rsidRDefault="00E20B39" w:rsidP="00E20B39">
      <w:pPr>
        <w:pStyle w:val="EndNoteBibliography"/>
        <w:ind w:left="720" w:hanging="720"/>
        <w:rPr>
          <w:sz w:val="24"/>
          <w:szCs w:val="24"/>
        </w:rPr>
      </w:pPr>
      <w:r w:rsidRPr="00855626">
        <w:rPr>
          <w:sz w:val="24"/>
          <w:szCs w:val="24"/>
        </w:rPr>
        <w:t xml:space="preserve">Zimbalist, A. &amp; Sherman, H. J. 2014. </w:t>
      </w:r>
      <w:r w:rsidRPr="00855626">
        <w:rPr>
          <w:i/>
          <w:sz w:val="24"/>
          <w:szCs w:val="24"/>
        </w:rPr>
        <w:t>Comparing economic systems: a political-economic approach</w:t>
      </w:r>
      <w:r w:rsidRPr="00855626">
        <w:rPr>
          <w:sz w:val="24"/>
          <w:szCs w:val="24"/>
        </w:rPr>
        <w:t>, Academic Press.</w:t>
      </w:r>
    </w:p>
    <w:p w14:paraId="3FD8A955" w14:textId="77777777" w:rsidR="00E20B39" w:rsidRPr="00855626" w:rsidRDefault="00E20B39" w:rsidP="00E20B39">
      <w:pPr>
        <w:pStyle w:val="EndNoteBibliography"/>
        <w:ind w:left="720" w:hanging="720"/>
        <w:rPr>
          <w:sz w:val="24"/>
          <w:szCs w:val="24"/>
        </w:rPr>
      </w:pPr>
      <w:r w:rsidRPr="00855626">
        <w:rPr>
          <w:sz w:val="24"/>
          <w:szCs w:val="24"/>
        </w:rPr>
        <w:t xml:space="preserve">Zissis, D., Aktas, E. &amp; Bourlakis, M. 2018. Collaboration in urban distribution of online grocery orders. </w:t>
      </w:r>
      <w:r w:rsidRPr="00855626">
        <w:rPr>
          <w:i/>
          <w:sz w:val="24"/>
          <w:szCs w:val="24"/>
        </w:rPr>
        <w:t>International Journal of Logistics Management,</w:t>
      </w:r>
      <w:r w:rsidRPr="00855626">
        <w:rPr>
          <w:sz w:val="24"/>
          <w:szCs w:val="24"/>
        </w:rPr>
        <w:t xml:space="preserve"> 29</w:t>
      </w:r>
      <w:r w:rsidRPr="00855626">
        <w:rPr>
          <w:b/>
          <w:sz w:val="24"/>
          <w:szCs w:val="24"/>
        </w:rPr>
        <w:t>,</w:t>
      </w:r>
      <w:r w:rsidRPr="00855626">
        <w:rPr>
          <w:sz w:val="24"/>
          <w:szCs w:val="24"/>
        </w:rPr>
        <w:t xml:space="preserve"> 1196-1214.</w:t>
      </w:r>
    </w:p>
    <w:p w14:paraId="3F42C3C6" w14:textId="77777777" w:rsidR="00E20B39" w:rsidRPr="00855626" w:rsidRDefault="00E20B39" w:rsidP="00E20B39">
      <w:pPr>
        <w:pStyle w:val="EndNoteBibliography"/>
        <w:ind w:left="720" w:hanging="720"/>
        <w:rPr>
          <w:sz w:val="24"/>
          <w:szCs w:val="24"/>
        </w:rPr>
      </w:pPr>
      <w:r w:rsidRPr="00855626">
        <w:rPr>
          <w:sz w:val="24"/>
          <w:szCs w:val="24"/>
        </w:rPr>
        <w:t xml:space="preserve">Zych, M. 2014. Identification of Potential Implementation of the Cargo Tram in Warsaw: A First Overview. </w:t>
      </w:r>
      <w:r w:rsidRPr="00855626">
        <w:rPr>
          <w:i/>
          <w:sz w:val="24"/>
          <w:szCs w:val="24"/>
        </w:rPr>
        <w:t>Procedia - Social and Behavioral Sciences,</w:t>
      </w:r>
      <w:r w:rsidRPr="00855626">
        <w:rPr>
          <w:sz w:val="24"/>
          <w:szCs w:val="24"/>
        </w:rPr>
        <w:t xml:space="preserve"> 151</w:t>
      </w:r>
      <w:r w:rsidRPr="00855626">
        <w:rPr>
          <w:b/>
          <w:sz w:val="24"/>
          <w:szCs w:val="24"/>
        </w:rPr>
        <w:t>,</w:t>
      </w:r>
      <w:r w:rsidRPr="00855626">
        <w:rPr>
          <w:sz w:val="24"/>
          <w:szCs w:val="24"/>
        </w:rPr>
        <w:t xml:space="preserve"> 360-369.</w:t>
      </w:r>
    </w:p>
    <w:p w14:paraId="5AD527FF" w14:textId="6C0CB9DA" w:rsidR="00662A44" w:rsidRPr="003713B1" w:rsidRDefault="00844595" w:rsidP="00A92B12">
      <w:pPr>
        <w:spacing w:line="240" w:lineRule="auto"/>
        <w:rPr>
          <w:rFonts w:cs="Times New Roman"/>
          <w:szCs w:val="24"/>
        </w:rPr>
      </w:pPr>
      <w:r w:rsidRPr="00855626">
        <w:rPr>
          <w:rFonts w:cs="Times New Roman"/>
          <w:szCs w:val="24"/>
        </w:rPr>
        <w:fldChar w:fldCharType="end"/>
      </w:r>
    </w:p>
    <w:p w14:paraId="54EAB4D7" w14:textId="77777777" w:rsidR="0001399E" w:rsidRPr="004D7709" w:rsidRDefault="0001399E" w:rsidP="0001399E">
      <w:pPr>
        <w:pStyle w:val="Heading1"/>
        <w:numPr>
          <w:ilvl w:val="0"/>
          <w:numId w:val="0"/>
        </w:numPr>
        <w:ind w:left="431" w:hanging="431"/>
        <w:rPr>
          <w:rStyle w:val="Heading1Char"/>
          <w:rFonts w:cs="Times New Roman"/>
          <w:b/>
          <w:bCs/>
          <w:sz w:val="24"/>
          <w:szCs w:val="24"/>
        </w:rPr>
        <w:sectPr w:rsidR="0001399E" w:rsidRPr="004D7709" w:rsidSect="0001399E">
          <w:pgSz w:w="11906" w:h="16838"/>
          <w:pgMar w:top="1440" w:right="1800" w:bottom="1440" w:left="1800" w:header="851" w:footer="992" w:gutter="0"/>
          <w:cols w:space="425"/>
          <w:docGrid w:type="lines" w:linePitch="326"/>
        </w:sectPr>
      </w:pPr>
    </w:p>
    <w:p w14:paraId="612396C1" w14:textId="4CDBC38B" w:rsidR="005400D8" w:rsidRPr="00147375" w:rsidRDefault="005400D8" w:rsidP="00D655ED">
      <w:pPr>
        <w:pStyle w:val="Heading1"/>
        <w:numPr>
          <w:ilvl w:val="0"/>
          <w:numId w:val="0"/>
        </w:numPr>
        <w:ind w:left="431" w:hanging="431"/>
        <w:rPr>
          <w:rStyle w:val="Heading1Char"/>
          <w:b/>
          <w:bCs/>
        </w:rPr>
      </w:pPr>
      <w:bookmarkStart w:id="1232" w:name="_Toc46053514"/>
      <w:bookmarkStart w:id="1233" w:name="_Toc46093428"/>
      <w:bookmarkStart w:id="1234" w:name="_Toc46093711"/>
      <w:bookmarkStart w:id="1235" w:name="_Toc66703286"/>
      <w:r w:rsidRPr="00147375">
        <w:rPr>
          <w:rStyle w:val="Heading1Char"/>
          <w:b/>
          <w:bCs/>
        </w:rPr>
        <w:lastRenderedPageBreak/>
        <w:t>Appendix</w:t>
      </w:r>
      <w:bookmarkEnd w:id="1232"/>
      <w:bookmarkEnd w:id="1233"/>
      <w:bookmarkEnd w:id="1234"/>
      <w:bookmarkEnd w:id="1235"/>
    </w:p>
    <w:p w14:paraId="2D5B4514" w14:textId="040DD435" w:rsidR="005400D8" w:rsidRDefault="005400D8" w:rsidP="005400D8">
      <w:pPr>
        <w:pStyle w:val="Heading2"/>
        <w:numPr>
          <w:ilvl w:val="0"/>
          <w:numId w:val="0"/>
        </w:numPr>
        <w:spacing w:after="163"/>
        <w:ind w:left="576" w:hanging="576"/>
        <w:jc w:val="left"/>
        <w:rPr>
          <w:rStyle w:val="Heading3Char"/>
        </w:rPr>
      </w:pPr>
      <w:bookmarkStart w:id="1236" w:name="_Toc46053515"/>
      <w:bookmarkStart w:id="1237" w:name="_Toc46093429"/>
      <w:bookmarkStart w:id="1238" w:name="_Toc46093712"/>
      <w:bookmarkStart w:id="1239" w:name="_Toc66703287"/>
      <w:r w:rsidRPr="00AA2451">
        <w:t>Appendix I</w:t>
      </w:r>
      <w:r>
        <w:rPr>
          <w:rFonts w:hint="eastAsia"/>
        </w:rPr>
        <w:t>:</w:t>
      </w:r>
      <w:r w:rsidRPr="00AA2451">
        <w:t xml:space="preserve"> Statistics Process of the General Literature Review.</w:t>
      </w:r>
      <w:bookmarkEnd w:id="1236"/>
      <w:bookmarkEnd w:id="1237"/>
      <w:bookmarkEnd w:id="1238"/>
      <w:bookmarkEnd w:id="1239"/>
    </w:p>
    <w:p w14:paraId="2175D760" w14:textId="319294CB" w:rsidR="005400D8" w:rsidRPr="00AA2451" w:rsidRDefault="005400D8" w:rsidP="005400D8">
      <w:pPr>
        <w:pStyle w:val="Heading3"/>
        <w:numPr>
          <w:ilvl w:val="0"/>
          <w:numId w:val="0"/>
        </w:numPr>
        <w:ind w:left="720" w:hanging="720"/>
      </w:pPr>
      <w:bookmarkStart w:id="1240" w:name="_Toc46053516"/>
      <w:bookmarkStart w:id="1241" w:name="_Toc46093430"/>
      <w:bookmarkStart w:id="1242" w:name="_Toc46093713"/>
      <w:bookmarkStart w:id="1243" w:name="_Toc66703288"/>
      <w:r>
        <w:t>Part A: Paper List and its Remark</w:t>
      </w:r>
      <w:bookmarkEnd w:id="1240"/>
      <w:bookmarkEnd w:id="1241"/>
      <w:bookmarkEnd w:id="1242"/>
      <w:bookmarkEnd w:id="1243"/>
    </w:p>
    <w:tbl>
      <w:tblPr>
        <w:tblStyle w:val="TableGrid"/>
        <w:tblW w:w="0" w:type="auto"/>
        <w:tblLook w:val="04A0" w:firstRow="1" w:lastRow="0" w:firstColumn="1" w:lastColumn="0" w:noHBand="0" w:noVBand="1"/>
      </w:tblPr>
      <w:tblGrid>
        <w:gridCol w:w="13320"/>
        <w:gridCol w:w="628"/>
      </w:tblGrid>
      <w:tr w:rsidR="005400D8" w:rsidRPr="00A014FD" w14:paraId="1C1A9370" w14:textId="77777777" w:rsidTr="00704B82">
        <w:trPr>
          <w:trHeight w:val="285"/>
        </w:trPr>
        <w:tc>
          <w:tcPr>
            <w:tcW w:w="13320" w:type="dxa"/>
            <w:noWrap/>
            <w:hideMark/>
          </w:tcPr>
          <w:p w14:paraId="40D43FD0" w14:textId="77777777" w:rsidR="005400D8" w:rsidRPr="00A014FD" w:rsidRDefault="005400D8" w:rsidP="00704B82">
            <w:pPr>
              <w:spacing w:line="240" w:lineRule="auto"/>
              <w:rPr>
                <w:sz w:val="22"/>
              </w:rPr>
            </w:pPr>
            <w:r w:rsidRPr="00A014FD">
              <w:rPr>
                <w:sz w:val="22"/>
              </w:rPr>
              <w:t>Spatial pattern of urban freight transport in Lagos metropolis</w:t>
            </w:r>
          </w:p>
        </w:tc>
        <w:tc>
          <w:tcPr>
            <w:tcW w:w="628" w:type="dxa"/>
            <w:noWrap/>
            <w:hideMark/>
          </w:tcPr>
          <w:p w14:paraId="29A0E269" w14:textId="77777777" w:rsidR="005400D8" w:rsidRPr="00A014FD" w:rsidRDefault="005400D8" w:rsidP="00704B82">
            <w:pPr>
              <w:spacing w:line="240" w:lineRule="auto"/>
              <w:rPr>
                <w:sz w:val="22"/>
              </w:rPr>
            </w:pPr>
            <w:r w:rsidRPr="00A014FD">
              <w:rPr>
                <w:sz w:val="22"/>
              </w:rPr>
              <w:t>1</w:t>
            </w:r>
          </w:p>
        </w:tc>
      </w:tr>
      <w:tr w:rsidR="005400D8" w:rsidRPr="00A014FD" w14:paraId="30502E45" w14:textId="77777777" w:rsidTr="00704B82">
        <w:trPr>
          <w:trHeight w:val="285"/>
        </w:trPr>
        <w:tc>
          <w:tcPr>
            <w:tcW w:w="13320" w:type="dxa"/>
            <w:noWrap/>
            <w:hideMark/>
          </w:tcPr>
          <w:p w14:paraId="4296F97E" w14:textId="77777777" w:rsidR="005400D8" w:rsidRPr="00A014FD" w:rsidRDefault="005400D8" w:rsidP="00704B82">
            <w:pPr>
              <w:spacing w:line="240" w:lineRule="auto"/>
              <w:rPr>
                <w:sz w:val="22"/>
              </w:rPr>
            </w:pPr>
            <w:r w:rsidRPr="00A014FD">
              <w:rPr>
                <w:sz w:val="22"/>
              </w:rPr>
              <w:t>Towards sustainable mobility Conflicts, impacts, principles, conditions, aspects of CEECs</w:t>
            </w:r>
          </w:p>
        </w:tc>
        <w:tc>
          <w:tcPr>
            <w:tcW w:w="628" w:type="dxa"/>
            <w:noWrap/>
            <w:hideMark/>
          </w:tcPr>
          <w:p w14:paraId="34EE2D64" w14:textId="77777777" w:rsidR="005400D8" w:rsidRPr="00A014FD" w:rsidRDefault="005400D8" w:rsidP="00704B82">
            <w:pPr>
              <w:spacing w:line="240" w:lineRule="auto"/>
              <w:rPr>
                <w:sz w:val="22"/>
              </w:rPr>
            </w:pPr>
            <w:r w:rsidRPr="00A014FD">
              <w:rPr>
                <w:sz w:val="22"/>
              </w:rPr>
              <w:t>2</w:t>
            </w:r>
          </w:p>
        </w:tc>
      </w:tr>
      <w:tr w:rsidR="005400D8" w:rsidRPr="00A014FD" w14:paraId="2974FD02" w14:textId="77777777" w:rsidTr="00704B82">
        <w:trPr>
          <w:trHeight w:val="285"/>
        </w:trPr>
        <w:tc>
          <w:tcPr>
            <w:tcW w:w="13320" w:type="dxa"/>
            <w:noWrap/>
            <w:hideMark/>
          </w:tcPr>
          <w:p w14:paraId="0F0BD7D9" w14:textId="77777777" w:rsidR="005400D8" w:rsidRPr="00A014FD" w:rsidRDefault="005400D8" w:rsidP="00704B82">
            <w:pPr>
              <w:spacing w:line="240" w:lineRule="auto"/>
              <w:rPr>
                <w:sz w:val="22"/>
              </w:rPr>
            </w:pPr>
            <w:r w:rsidRPr="00A014FD">
              <w:rPr>
                <w:sz w:val="22"/>
              </w:rPr>
              <w:t>Underground urban goods distribution networks</w:t>
            </w:r>
          </w:p>
        </w:tc>
        <w:tc>
          <w:tcPr>
            <w:tcW w:w="628" w:type="dxa"/>
            <w:noWrap/>
            <w:hideMark/>
          </w:tcPr>
          <w:p w14:paraId="54645DF2" w14:textId="77777777" w:rsidR="005400D8" w:rsidRPr="00A014FD" w:rsidRDefault="005400D8" w:rsidP="00704B82">
            <w:pPr>
              <w:spacing w:line="240" w:lineRule="auto"/>
              <w:rPr>
                <w:sz w:val="22"/>
              </w:rPr>
            </w:pPr>
            <w:r w:rsidRPr="00A014FD">
              <w:rPr>
                <w:sz w:val="22"/>
              </w:rPr>
              <w:t>3</w:t>
            </w:r>
          </w:p>
        </w:tc>
      </w:tr>
      <w:tr w:rsidR="005400D8" w:rsidRPr="00A014FD" w14:paraId="0A589198" w14:textId="77777777" w:rsidTr="00704B82">
        <w:trPr>
          <w:trHeight w:val="285"/>
        </w:trPr>
        <w:tc>
          <w:tcPr>
            <w:tcW w:w="13320" w:type="dxa"/>
            <w:noWrap/>
            <w:hideMark/>
          </w:tcPr>
          <w:p w14:paraId="081B0561" w14:textId="77777777" w:rsidR="005400D8" w:rsidRPr="00A014FD" w:rsidRDefault="005400D8" w:rsidP="00704B82">
            <w:pPr>
              <w:spacing w:line="240" w:lineRule="auto"/>
              <w:rPr>
                <w:sz w:val="22"/>
              </w:rPr>
            </w:pPr>
            <w:r w:rsidRPr="00A014FD">
              <w:rPr>
                <w:sz w:val="22"/>
              </w:rPr>
              <w:t>A heuristic approach for a real-world electric vehicle routing problem</w:t>
            </w:r>
          </w:p>
        </w:tc>
        <w:tc>
          <w:tcPr>
            <w:tcW w:w="628" w:type="dxa"/>
            <w:noWrap/>
            <w:hideMark/>
          </w:tcPr>
          <w:p w14:paraId="0FAA10F0" w14:textId="77777777" w:rsidR="005400D8" w:rsidRPr="00A014FD" w:rsidRDefault="005400D8" w:rsidP="00704B82">
            <w:pPr>
              <w:spacing w:line="240" w:lineRule="auto"/>
              <w:rPr>
                <w:sz w:val="22"/>
              </w:rPr>
            </w:pPr>
            <w:r w:rsidRPr="00A014FD">
              <w:rPr>
                <w:sz w:val="22"/>
              </w:rPr>
              <w:t>4</w:t>
            </w:r>
          </w:p>
        </w:tc>
      </w:tr>
      <w:tr w:rsidR="005400D8" w:rsidRPr="00A014FD" w14:paraId="2D124EF9" w14:textId="77777777" w:rsidTr="00704B82">
        <w:trPr>
          <w:trHeight w:val="285"/>
        </w:trPr>
        <w:tc>
          <w:tcPr>
            <w:tcW w:w="13320" w:type="dxa"/>
            <w:noWrap/>
            <w:hideMark/>
          </w:tcPr>
          <w:p w14:paraId="02D635DC" w14:textId="77777777" w:rsidR="005400D8" w:rsidRPr="00A014FD" w:rsidRDefault="005400D8" w:rsidP="00704B82">
            <w:pPr>
              <w:spacing w:line="240" w:lineRule="auto"/>
              <w:rPr>
                <w:sz w:val="22"/>
              </w:rPr>
            </w:pPr>
            <w:r w:rsidRPr="00A014FD">
              <w:rPr>
                <w:sz w:val="22"/>
              </w:rPr>
              <w:t>Predicting the effects of city logistics schemes</w:t>
            </w:r>
          </w:p>
        </w:tc>
        <w:tc>
          <w:tcPr>
            <w:tcW w:w="628" w:type="dxa"/>
            <w:noWrap/>
            <w:hideMark/>
          </w:tcPr>
          <w:p w14:paraId="6EDCF0E4" w14:textId="77777777" w:rsidR="005400D8" w:rsidRPr="00A014FD" w:rsidRDefault="005400D8" w:rsidP="00704B82">
            <w:pPr>
              <w:spacing w:line="240" w:lineRule="auto"/>
              <w:rPr>
                <w:sz w:val="22"/>
              </w:rPr>
            </w:pPr>
            <w:r w:rsidRPr="00A014FD">
              <w:rPr>
                <w:sz w:val="22"/>
              </w:rPr>
              <w:t>5</w:t>
            </w:r>
          </w:p>
        </w:tc>
      </w:tr>
      <w:tr w:rsidR="005400D8" w:rsidRPr="00A014FD" w14:paraId="0FF83870" w14:textId="77777777" w:rsidTr="00704B82">
        <w:trPr>
          <w:trHeight w:val="285"/>
        </w:trPr>
        <w:tc>
          <w:tcPr>
            <w:tcW w:w="13320" w:type="dxa"/>
            <w:noWrap/>
            <w:hideMark/>
          </w:tcPr>
          <w:p w14:paraId="326C5F7B" w14:textId="77777777" w:rsidR="005400D8" w:rsidRPr="00A014FD" w:rsidRDefault="005400D8" w:rsidP="00704B82">
            <w:pPr>
              <w:spacing w:line="240" w:lineRule="auto"/>
              <w:rPr>
                <w:sz w:val="22"/>
              </w:rPr>
            </w:pPr>
            <w:r w:rsidRPr="00A014FD">
              <w:rPr>
                <w:sz w:val="22"/>
              </w:rPr>
              <w:t xml:space="preserve">Objectives, </w:t>
            </w:r>
            <w:proofErr w:type="gramStart"/>
            <w:r w:rsidRPr="00A014FD">
              <w:rPr>
                <w:sz w:val="22"/>
              </w:rPr>
              <w:t>methods</w:t>
            </w:r>
            <w:proofErr w:type="gramEnd"/>
            <w:r w:rsidRPr="00A014FD">
              <w:rPr>
                <w:sz w:val="22"/>
              </w:rPr>
              <w:t xml:space="preserve"> and results of surveys carried out in the field of urban freight transport: An international comparison</w:t>
            </w:r>
          </w:p>
        </w:tc>
        <w:tc>
          <w:tcPr>
            <w:tcW w:w="628" w:type="dxa"/>
            <w:noWrap/>
            <w:hideMark/>
          </w:tcPr>
          <w:p w14:paraId="0297ADEE" w14:textId="77777777" w:rsidR="005400D8" w:rsidRPr="00A014FD" w:rsidRDefault="005400D8" w:rsidP="00704B82">
            <w:pPr>
              <w:spacing w:line="240" w:lineRule="auto"/>
              <w:rPr>
                <w:sz w:val="22"/>
              </w:rPr>
            </w:pPr>
            <w:r w:rsidRPr="00A014FD">
              <w:rPr>
                <w:sz w:val="22"/>
              </w:rPr>
              <w:t>6</w:t>
            </w:r>
          </w:p>
        </w:tc>
      </w:tr>
      <w:tr w:rsidR="005400D8" w:rsidRPr="00A014FD" w14:paraId="5E2A8AA3" w14:textId="77777777" w:rsidTr="00704B82">
        <w:trPr>
          <w:trHeight w:val="285"/>
        </w:trPr>
        <w:tc>
          <w:tcPr>
            <w:tcW w:w="13320" w:type="dxa"/>
            <w:noWrap/>
            <w:hideMark/>
          </w:tcPr>
          <w:p w14:paraId="4099E447" w14:textId="77777777" w:rsidR="005400D8" w:rsidRPr="00A014FD" w:rsidRDefault="005400D8" w:rsidP="00704B82">
            <w:pPr>
              <w:spacing w:line="240" w:lineRule="auto"/>
              <w:rPr>
                <w:sz w:val="22"/>
              </w:rPr>
            </w:pPr>
            <w:r w:rsidRPr="00A014FD">
              <w:rPr>
                <w:sz w:val="22"/>
              </w:rPr>
              <w:t>Identification of common issues facing intermodal transportation planning</w:t>
            </w:r>
          </w:p>
        </w:tc>
        <w:tc>
          <w:tcPr>
            <w:tcW w:w="628" w:type="dxa"/>
            <w:noWrap/>
            <w:hideMark/>
          </w:tcPr>
          <w:p w14:paraId="6AD73C20" w14:textId="77777777" w:rsidR="005400D8" w:rsidRPr="00A014FD" w:rsidRDefault="005400D8" w:rsidP="00704B82">
            <w:pPr>
              <w:spacing w:line="240" w:lineRule="auto"/>
              <w:rPr>
                <w:sz w:val="22"/>
              </w:rPr>
            </w:pPr>
            <w:r w:rsidRPr="00A014FD">
              <w:rPr>
                <w:sz w:val="22"/>
              </w:rPr>
              <w:t>7</w:t>
            </w:r>
          </w:p>
        </w:tc>
      </w:tr>
      <w:tr w:rsidR="005400D8" w:rsidRPr="00A014FD" w14:paraId="312B18F2" w14:textId="77777777" w:rsidTr="00704B82">
        <w:trPr>
          <w:trHeight w:val="285"/>
        </w:trPr>
        <w:tc>
          <w:tcPr>
            <w:tcW w:w="13320" w:type="dxa"/>
            <w:noWrap/>
            <w:hideMark/>
          </w:tcPr>
          <w:p w14:paraId="21158887" w14:textId="77777777" w:rsidR="005400D8" w:rsidRPr="00A014FD" w:rsidRDefault="005400D8" w:rsidP="00704B82">
            <w:pPr>
              <w:spacing w:line="240" w:lineRule="auto"/>
              <w:rPr>
                <w:sz w:val="22"/>
              </w:rPr>
            </w:pPr>
            <w:r w:rsidRPr="00A014FD">
              <w:rPr>
                <w:sz w:val="22"/>
              </w:rPr>
              <w:t xml:space="preserve">Mapping out the potential for coordinated goods distribution in city </w:t>
            </w:r>
            <w:proofErr w:type="spellStart"/>
            <w:r w:rsidRPr="00A014FD">
              <w:rPr>
                <w:sz w:val="22"/>
              </w:rPr>
              <w:t>centres</w:t>
            </w:r>
            <w:proofErr w:type="spellEnd"/>
            <w:r w:rsidRPr="00A014FD">
              <w:rPr>
                <w:sz w:val="22"/>
              </w:rPr>
              <w:t>: The case of Uppsala</w:t>
            </w:r>
          </w:p>
        </w:tc>
        <w:tc>
          <w:tcPr>
            <w:tcW w:w="628" w:type="dxa"/>
            <w:noWrap/>
            <w:hideMark/>
          </w:tcPr>
          <w:p w14:paraId="52235971" w14:textId="77777777" w:rsidR="005400D8" w:rsidRPr="00A014FD" w:rsidRDefault="005400D8" w:rsidP="00704B82">
            <w:pPr>
              <w:spacing w:line="240" w:lineRule="auto"/>
              <w:rPr>
                <w:sz w:val="22"/>
              </w:rPr>
            </w:pPr>
            <w:r w:rsidRPr="00A014FD">
              <w:rPr>
                <w:sz w:val="22"/>
              </w:rPr>
              <w:t>8</w:t>
            </w:r>
          </w:p>
        </w:tc>
      </w:tr>
      <w:tr w:rsidR="005400D8" w:rsidRPr="00A014FD" w14:paraId="749E43AB" w14:textId="77777777" w:rsidTr="00704B82">
        <w:trPr>
          <w:trHeight w:val="285"/>
        </w:trPr>
        <w:tc>
          <w:tcPr>
            <w:tcW w:w="13320" w:type="dxa"/>
            <w:noWrap/>
            <w:hideMark/>
          </w:tcPr>
          <w:p w14:paraId="5D68CE09" w14:textId="77777777" w:rsidR="005400D8" w:rsidRPr="00A014FD" w:rsidRDefault="005400D8" w:rsidP="00704B82">
            <w:pPr>
              <w:spacing w:line="240" w:lineRule="auto"/>
              <w:rPr>
                <w:sz w:val="22"/>
              </w:rPr>
            </w:pPr>
            <w:r w:rsidRPr="00A014FD">
              <w:rPr>
                <w:sz w:val="22"/>
              </w:rPr>
              <w:t>Intelligent transportation system based dynamic vehicle routing and scheduling with variable travel times</w:t>
            </w:r>
          </w:p>
        </w:tc>
        <w:tc>
          <w:tcPr>
            <w:tcW w:w="628" w:type="dxa"/>
            <w:noWrap/>
            <w:hideMark/>
          </w:tcPr>
          <w:p w14:paraId="18B50C1C" w14:textId="77777777" w:rsidR="005400D8" w:rsidRPr="00A014FD" w:rsidRDefault="005400D8" w:rsidP="00704B82">
            <w:pPr>
              <w:spacing w:line="240" w:lineRule="auto"/>
              <w:rPr>
                <w:sz w:val="22"/>
              </w:rPr>
            </w:pPr>
            <w:r w:rsidRPr="00A014FD">
              <w:rPr>
                <w:sz w:val="22"/>
              </w:rPr>
              <w:t>9</w:t>
            </w:r>
          </w:p>
        </w:tc>
      </w:tr>
      <w:tr w:rsidR="005400D8" w:rsidRPr="00A014FD" w14:paraId="7D6F8942" w14:textId="77777777" w:rsidTr="00704B82">
        <w:trPr>
          <w:trHeight w:val="285"/>
        </w:trPr>
        <w:tc>
          <w:tcPr>
            <w:tcW w:w="13320" w:type="dxa"/>
            <w:noWrap/>
            <w:hideMark/>
          </w:tcPr>
          <w:p w14:paraId="7696EB7B" w14:textId="77777777" w:rsidR="005400D8" w:rsidRPr="00A014FD" w:rsidRDefault="005400D8" w:rsidP="00704B82">
            <w:pPr>
              <w:spacing w:line="240" w:lineRule="auto"/>
              <w:rPr>
                <w:sz w:val="22"/>
              </w:rPr>
            </w:pPr>
            <w:r w:rsidRPr="00A014FD">
              <w:rPr>
                <w:sz w:val="22"/>
              </w:rPr>
              <w:t>Urban logistics––how can it meet policy makers’ sustainability objectives?</w:t>
            </w:r>
          </w:p>
        </w:tc>
        <w:tc>
          <w:tcPr>
            <w:tcW w:w="628" w:type="dxa"/>
            <w:noWrap/>
            <w:hideMark/>
          </w:tcPr>
          <w:p w14:paraId="16D4D156" w14:textId="77777777" w:rsidR="005400D8" w:rsidRPr="00A014FD" w:rsidRDefault="005400D8" w:rsidP="00704B82">
            <w:pPr>
              <w:spacing w:line="240" w:lineRule="auto"/>
              <w:rPr>
                <w:sz w:val="22"/>
              </w:rPr>
            </w:pPr>
            <w:r w:rsidRPr="00A014FD">
              <w:rPr>
                <w:sz w:val="22"/>
              </w:rPr>
              <w:t>10</w:t>
            </w:r>
          </w:p>
        </w:tc>
      </w:tr>
      <w:tr w:rsidR="005400D8" w:rsidRPr="00A014FD" w14:paraId="0CF9BD34" w14:textId="77777777" w:rsidTr="00704B82">
        <w:trPr>
          <w:trHeight w:val="285"/>
        </w:trPr>
        <w:tc>
          <w:tcPr>
            <w:tcW w:w="13320" w:type="dxa"/>
            <w:noWrap/>
            <w:hideMark/>
          </w:tcPr>
          <w:p w14:paraId="3AF1B1F2" w14:textId="77777777" w:rsidR="005400D8" w:rsidRPr="00A014FD" w:rsidRDefault="005400D8" w:rsidP="00704B82">
            <w:pPr>
              <w:spacing w:line="240" w:lineRule="auto"/>
              <w:rPr>
                <w:sz w:val="22"/>
              </w:rPr>
            </w:pPr>
            <w:r w:rsidRPr="00A014FD">
              <w:rPr>
                <w:sz w:val="22"/>
              </w:rPr>
              <w:t xml:space="preserve">Refocusing the modelling of freight distribution: Development of an economic based framework to evaluate supply chain </w:t>
            </w:r>
            <w:proofErr w:type="spellStart"/>
            <w:r w:rsidRPr="00A014FD">
              <w:rPr>
                <w:sz w:val="22"/>
              </w:rPr>
              <w:t>behaviour</w:t>
            </w:r>
            <w:proofErr w:type="spellEnd"/>
            <w:r w:rsidRPr="00A014FD">
              <w:rPr>
                <w:sz w:val="22"/>
              </w:rPr>
              <w:t xml:space="preserve"> in response to congestion charging</w:t>
            </w:r>
          </w:p>
        </w:tc>
        <w:tc>
          <w:tcPr>
            <w:tcW w:w="628" w:type="dxa"/>
            <w:noWrap/>
            <w:hideMark/>
          </w:tcPr>
          <w:p w14:paraId="65446C40" w14:textId="77777777" w:rsidR="005400D8" w:rsidRPr="00A014FD" w:rsidRDefault="005400D8" w:rsidP="00704B82">
            <w:pPr>
              <w:spacing w:line="240" w:lineRule="auto"/>
              <w:rPr>
                <w:sz w:val="22"/>
              </w:rPr>
            </w:pPr>
            <w:r w:rsidRPr="00A014FD">
              <w:rPr>
                <w:sz w:val="22"/>
              </w:rPr>
              <w:t>11</w:t>
            </w:r>
          </w:p>
        </w:tc>
      </w:tr>
      <w:tr w:rsidR="005400D8" w:rsidRPr="00A014FD" w14:paraId="2953F0A5" w14:textId="77777777" w:rsidTr="00704B82">
        <w:trPr>
          <w:trHeight w:val="285"/>
        </w:trPr>
        <w:tc>
          <w:tcPr>
            <w:tcW w:w="13320" w:type="dxa"/>
            <w:noWrap/>
            <w:hideMark/>
          </w:tcPr>
          <w:p w14:paraId="63DC2138" w14:textId="77777777" w:rsidR="005400D8" w:rsidRPr="00A014FD" w:rsidRDefault="005400D8" w:rsidP="00704B82">
            <w:pPr>
              <w:spacing w:line="240" w:lineRule="auto"/>
              <w:rPr>
                <w:sz w:val="22"/>
              </w:rPr>
            </w:pPr>
            <w:r w:rsidRPr="00A014FD">
              <w:rPr>
                <w:sz w:val="22"/>
              </w:rPr>
              <w:t>Solutions applicable by local administrations for urban logistics improvement</w:t>
            </w:r>
          </w:p>
        </w:tc>
        <w:tc>
          <w:tcPr>
            <w:tcW w:w="628" w:type="dxa"/>
            <w:noWrap/>
            <w:hideMark/>
          </w:tcPr>
          <w:p w14:paraId="0EF35D6E" w14:textId="77777777" w:rsidR="005400D8" w:rsidRPr="00A014FD" w:rsidRDefault="005400D8" w:rsidP="00704B82">
            <w:pPr>
              <w:spacing w:line="240" w:lineRule="auto"/>
              <w:rPr>
                <w:sz w:val="22"/>
              </w:rPr>
            </w:pPr>
            <w:r w:rsidRPr="00A014FD">
              <w:rPr>
                <w:sz w:val="22"/>
              </w:rPr>
              <w:t>12</w:t>
            </w:r>
          </w:p>
        </w:tc>
      </w:tr>
      <w:tr w:rsidR="005400D8" w:rsidRPr="00A014FD" w14:paraId="6C3800B3" w14:textId="77777777" w:rsidTr="00704B82">
        <w:trPr>
          <w:trHeight w:val="285"/>
        </w:trPr>
        <w:tc>
          <w:tcPr>
            <w:tcW w:w="13320" w:type="dxa"/>
            <w:noWrap/>
            <w:hideMark/>
          </w:tcPr>
          <w:p w14:paraId="1443BFD0" w14:textId="77777777" w:rsidR="005400D8" w:rsidRPr="00A014FD" w:rsidRDefault="005400D8" w:rsidP="00704B82">
            <w:pPr>
              <w:spacing w:line="240" w:lineRule="auto"/>
              <w:rPr>
                <w:sz w:val="22"/>
              </w:rPr>
            </w:pPr>
            <w:r w:rsidRPr="00A014FD">
              <w:rPr>
                <w:sz w:val="22"/>
              </w:rPr>
              <w:t>Trucking industry demand for urban shared use freight terminals</w:t>
            </w:r>
          </w:p>
        </w:tc>
        <w:tc>
          <w:tcPr>
            <w:tcW w:w="628" w:type="dxa"/>
            <w:noWrap/>
            <w:hideMark/>
          </w:tcPr>
          <w:p w14:paraId="06224830" w14:textId="77777777" w:rsidR="005400D8" w:rsidRPr="00A014FD" w:rsidRDefault="005400D8" w:rsidP="00704B82">
            <w:pPr>
              <w:spacing w:line="240" w:lineRule="auto"/>
              <w:rPr>
                <w:sz w:val="22"/>
              </w:rPr>
            </w:pPr>
            <w:r w:rsidRPr="00A014FD">
              <w:rPr>
                <w:sz w:val="22"/>
              </w:rPr>
              <w:t>13</w:t>
            </w:r>
          </w:p>
        </w:tc>
      </w:tr>
      <w:tr w:rsidR="005400D8" w:rsidRPr="00A014FD" w14:paraId="40A61AFE" w14:textId="77777777" w:rsidTr="00704B82">
        <w:trPr>
          <w:trHeight w:val="285"/>
        </w:trPr>
        <w:tc>
          <w:tcPr>
            <w:tcW w:w="13320" w:type="dxa"/>
            <w:noWrap/>
            <w:hideMark/>
          </w:tcPr>
          <w:p w14:paraId="3B7FB3C3" w14:textId="77777777" w:rsidR="005400D8" w:rsidRPr="00A014FD" w:rsidRDefault="005400D8" w:rsidP="00704B82">
            <w:pPr>
              <w:spacing w:line="240" w:lineRule="auto"/>
              <w:rPr>
                <w:sz w:val="22"/>
              </w:rPr>
            </w:pPr>
            <w:r w:rsidRPr="00A014FD">
              <w:rPr>
                <w:sz w:val="22"/>
              </w:rPr>
              <w:t>Promoting low carbon agenda in the urban logistics network distribution system</w:t>
            </w:r>
          </w:p>
        </w:tc>
        <w:tc>
          <w:tcPr>
            <w:tcW w:w="628" w:type="dxa"/>
            <w:noWrap/>
            <w:hideMark/>
          </w:tcPr>
          <w:p w14:paraId="2D200680" w14:textId="77777777" w:rsidR="005400D8" w:rsidRPr="00A014FD" w:rsidRDefault="005400D8" w:rsidP="00704B82">
            <w:pPr>
              <w:spacing w:line="240" w:lineRule="auto"/>
              <w:rPr>
                <w:sz w:val="22"/>
              </w:rPr>
            </w:pPr>
            <w:r w:rsidRPr="00A014FD">
              <w:rPr>
                <w:sz w:val="22"/>
              </w:rPr>
              <w:t>14</w:t>
            </w:r>
          </w:p>
        </w:tc>
      </w:tr>
      <w:tr w:rsidR="005400D8" w:rsidRPr="00A014FD" w14:paraId="1DC6E94B" w14:textId="77777777" w:rsidTr="00704B82">
        <w:trPr>
          <w:trHeight w:val="285"/>
        </w:trPr>
        <w:tc>
          <w:tcPr>
            <w:tcW w:w="13320" w:type="dxa"/>
            <w:noWrap/>
            <w:hideMark/>
          </w:tcPr>
          <w:p w14:paraId="3F66487B" w14:textId="77777777" w:rsidR="005400D8" w:rsidRPr="00A014FD" w:rsidRDefault="005400D8" w:rsidP="00704B82">
            <w:pPr>
              <w:spacing w:line="240" w:lineRule="auto"/>
              <w:rPr>
                <w:sz w:val="22"/>
              </w:rPr>
            </w:pPr>
            <w:r w:rsidRPr="00A014FD">
              <w:rPr>
                <w:sz w:val="22"/>
              </w:rPr>
              <w:t>Travel time reliability in vehicle routing and scheduling with time windows</w:t>
            </w:r>
          </w:p>
        </w:tc>
        <w:tc>
          <w:tcPr>
            <w:tcW w:w="628" w:type="dxa"/>
            <w:noWrap/>
            <w:hideMark/>
          </w:tcPr>
          <w:p w14:paraId="51F77817" w14:textId="77777777" w:rsidR="005400D8" w:rsidRPr="00A014FD" w:rsidRDefault="005400D8" w:rsidP="00704B82">
            <w:pPr>
              <w:spacing w:line="240" w:lineRule="auto"/>
              <w:rPr>
                <w:sz w:val="22"/>
              </w:rPr>
            </w:pPr>
            <w:r w:rsidRPr="00A014FD">
              <w:rPr>
                <w:sz w:val="22"/>
              </w:rPr>
              <w:t>15</w:t>
            </w:r>
          </w:p>
        </w:tc>
      </w:tr>
      <w:tr w:rsidR="005400D8" w:rsidRPr="00A014FD" w14:paraId="1AD20E71" w14:textId="77777777" w:rsidTr="00704B82">
        <w:trPr>
          <w:trHeight w:val="285"/>
        </w:trPr>
        <w:tc>
          <w:tcPr>
            <w:tcW w:w="13320" w:type="dxa"/>
            <w:noWrap/>
            <w:hideMark/>
          </w:tcPr>
          <w:p w14:paraId="72F09B0A" w14:textId="77777777" w:rsidR="005400D8" w:rsidRPr="00A014FD" w:rsidRDefault="005400D8" w:rsidP="00704B82">
            <w:pPr>
              <w:spacing w:line="240" w:lineRule="auto"/>
              <w:rPr>
                <w:sz w:val="22"/>
              </w:rPr>
            </w:pPr>
            <w:r w:rsidRPr="00A014FD">
              <w:rPr>
                <w:sz w:val="22"/>
              </w:rPr>
              <w:t>Rail freight and sustainable urban distribution: Potential and practice</w:t>
            </w:r>
          </w:p>
        </w:tc>
        <w:tc>
          <w:tcPr>
            <w:tcW w:w="628" w:type="dxa"/>
            <w:noWrap/>
            <w:hideMark/>
          </w:tcPr>
          <w:p w14:paraId="1378C2B3" w14:textId="77777777" w:rsidR="005400D8" w:rsidRPr="00A014FD" w:rsidRDefault="005400D8" w:rsidP="00704B82">
            <w:pPr>
              <w:spacing w:line="240" w:lineRule="auto"/>
              <w:rPr>
                <w:sz w:val="22"/>
              </w:rPr>
            </w:pPr>
            <w:r w:rsidRPr="00A014FD">
              <w:rPr>
                <w:sz w:val="22"/>
              </w:rPr>
              <w:t>16</w:t>
            </w:r>
          </w:p>
        </w:tc>
      </w:tr>
      <w:tr w:rsidR="005400D8" w:rsidRPr="00A014FD" w14:paraId="48714BD6" w14:textId="77777777" w:rsidTr="00704B82">
        <w:trPr>
          <w:trHeight w:val="285"/>
        </w:trPr>
        <w:tc>
          <w:tcPr>
            <w:tcW w:w="13320" w:type="dxa"/>
            <w:noWrap/>
            <w:hideMark/>
          </w:tcPr>
          <w:p w14:paraId="0780CE7C" w14:textId="77777777" w:rsidR="005400D8" w:rsidRPr="00A014FD" w:rsidRDefault="005400D8" w:rsidP="00704B82">
            <w:pPr>
              <w:spacing w:line="240" w:lineRule="auto"/>
              <w:rPr>
                <w:sz w:val="22"/>
              </w:rPr>
            </w:pPr>
            <w:r w:rsidRPr="00A014FD">
              <w:rPr>
                <w:sz w:val="22"/>
              </w:rPr>
              <w:t>Sustainable urban transport: Four innovative directions</w:t>
            </w:r>
          </w:p>
        </w:tc>
        <w:tc>
          <w:tcPr>
            <w:tcW w:w="628" w:type="dxa"/>
            <w:noWrap/>
            <w:hideMark/>
          </w:tcPr>
          <w:p w14:paraId="737E1ED2" w14:textId="77777777" w:rsidR="005400D8" w:rsidRPr="00A014FD" w:rsidRDefault="005400D8" w:rsidP="00704B82">
            <w:pPr>
              <w:spacing w:line="240" w:lineRule="auto"/>
              <w:rPr>
                <w:sz w:val="22"/>
              </w:rPr>
            </w:pPr>
            <w:r w:rsidRPr="00A014FD">
              <w:rPr>
                <w:sz w:val="22"/>
              </w:rPr>
              <w:t>17</w:t>
            </w:r>
          </w:p>
        </w:tc>
      </w:tr>
      <w:tr w:rsidR="005400D8" w:rsidRPr="00A014FD" w14:paraId="4363555B" w14:textId="77777777" w:rsidTr="00704B82">
        <w:trPr>
          <w:trHeight w:val="285"/>
        </w:trPr>
        <w:tc>
          <w:tcPr>
            <w:tcW w:w="13320" w:type="dxa"/>
            <w:noWrap/>
            <w:hideMark/>
          </w:tcPr>
          <w:p w14:paraId="3D7719CC" w14:textId="77777777" w:rsidR="005400D8" w:rsidRPr="00A014FD" w:rsidRDefault="005400D8" w:rsidP="00704B82">
            <w:pPr>
              <w:spacing w:line="240" w:lineRule="auto"/>
              <w:rPr>
                <w:sz w:val="22"/>
              </w:rPr>
            </w:pPr>
            <w:r w:rsidRPr="00A014FD">
              <w:rPr>
                <w:sz w:val="22"/>
              </w:rPr>
              <w:t>Development of a city logistics concept</w:t>
            </w:r>
          </w:p>
        </w:tc>
        <w:tc>
          <w:tcPr>
            <w:tcW w:w="628" w:type="dxa"/>
            <w:noWrap/>
            <w:hideMark/>
          </w:tcPr>
          <w:p w14:paraId="1D2584C6" w14:textId="77777777" w:rsidR="005400D8" w:rsidRPr="00A014FD" w:rsidRDefault="005400D8" w:rsidP="00704B82">
            <w:pPr>
              <w:spacing w:line="240" w:lineRule="auto"/>
              <w:rPr>
                <w:sz w:val="22"/>
              </w:rPr>
            </w:pPr>
            <w:r w:rsidRPr="00A014FD">
              <w:rPr>
                <w:sz w:val="22"/>
              </w:rPr>
              <w:t>18</w:t>
            </w:r>
          </w:p>
        </w:tc>
      </w:tr>
      <w:tr w:rsidR="005400D8" w:rsidRPr="00A014FD" w14:paraId="34BF41E8" w14:textId="77777777" w:rsidTr="00704B82">
        <w:trPr>
          <w:trHeight w:val="285"/>
        </w:trPr>
        <w:tc>
          <w:tcPr>
            <w:tcW w:w="13320" w:type="dxa"/>
            <w:noWrap/>
            <w:hideMark/>
          </w:tcPr>
          <w:p w14:paraId="54CE4B17" w14:textId="77777777" w:rsidR="005400D8" w:rsidRPr="00A014FD" w:rsidRDefault="005400D8" w:rsidP="00704B82">
            <w:pPr>
              <w:spacing w:line="240" w:lineRule="auto"/>
              <w:rPr>
                <w:sz w:val="22"/>
              </w:rPr>
            </w:pPr>
            <w:r w:rsidRPr="00A014FD">
              <w:rPr>
                <w:sz w:val="22"/>
              </w:rPr>
              <w:t>A novel dynamic resource allocation model for demand responsive city logistics distribution operations</w:t>
            </w:r>
          </w:p>
        </w:tc>
        <w:tc>
          <w:tcPr>
            <w:tcW w:w="628" w:type="dxa"/>
            <w:noWrap/>
            <w:hideMark/>
          </w:tcPr>
          <w:p w14:paraId="092392B1" w14:textId="77777777" w:rsidR="005400D8" w:rsidRPr="00A014FD" w:rsidRDefault="005400D8" w:rsidP="00704B82">
            <w:pPr>
              <w:spacing w:line="240" w:lineRule="auto"/>
              <w:rPr>
                <w:sz w:val="22"/>
              </w:rPr>
            </w:pPr>
            <w:r w:rsidRPr="00A014FD">
              <w:rPr>
                <w:sz w:val="22"/>
              </w:rPr>
              <w:t>19</w:t>
            </w:r>
          </w:p>
        </w:tc>
      </w:tr>
      <w:tr w:rsidR="005400D8" w:rsidRPr="00A014FD" w14:paraId="296E316B" w14:textId="77777777" w:rsidTr="00704B82">
        <w:trPr>
          <w:trHeight w:val="285"/>
        </w:trPr>
        <w:tc>
          <w:tcPr>
            <w:tcW w:w="13320" w:type="dxa"/>
            <w:noWrap/>
            <w:hideMark/>
          </w:tcPr>
          <w:p w14:paraId="28501E33" w14:textId="77777777" w:rsidR="005400D8" w:rsidRPr="00A014FD" w:rsidRDefault="005400D8" w:rsidP="00704B82">
            <w:pPr>
              <w:spacing w:line="240" w:lineRule="auto"/>
              <w:rPr>
                <w:sz w:val="22"/>
              </w:rPr>
            </w:pPr>
            <w:r w:rsidRPr="00A014FD">
              <w:rPr>
                <w:sz w:val="22"/>
              </w:rPr>
              <w:lastRenderedPageBreak/>
              <w:t>Research on the sustainable development oriented regional logistic planning</w:t>
            </w:r>
          </w:p>
        </w:tc>
        <w:tc>
          <w:tcPr>
            <w:tcW w:w="628" w:type="dxa"/>
            <w:noWrap/>
            <w:hideMark/>
          </w:tcPr>
          <w:p w14:paraId="24A357DB" w14:textId="77777777" w:rsidR="005400D8" w:rsidRPr="00A014FD" w:rsidRDefault="005400D8" w:rsidP="00704B82">
            <w:pPr>
              <w:spacing w:line="240" w:lineRule="auto"/>
              <w:rPr>
                <w:sz w:val="22"/>
              </w:rPr>
            </w:pPr>
            <w:r w:rsidRPr="00A014FD">
              <w:rPr>
                <w:sz w:val="22"/>
              </w:rPr>
              <w:t>20</w:t>
            </w:r>
          </w:p>
        </w:tc>
      </w:tr>
      <w:tr w:rsidR="005400D8" w:rsidRPr="00A014FD" w14:paraId="7EEE92D0" w14:textId="77777777" w:rsidTr="00704B82">
        <w:trPr>
          <w:trHeight w:val="285"/>
        </w:trPr>
        <w:tc>
          <w:tcPr>
            <w:tcW w:w="13320" w:type="dxa"/>
            <w:noWrap/>
            <w:hideMark/>
          </w:tcPr>
          <w:p w14:paraId="036AACF1" w14:textId="77777777" w:rsidR="005400D8" w:rsidRPr="00A014FD" w:rsidRDefault="005400D8" w:rsidP="00704B82">
            <w:pPr>
              <w:spacing w:line="240" w:lineRule="auto"/>
              <w:rPr>
                <w:sz w:val="22"/>
              </w:rPr>
            </w:pPr>
            <w:r w:rsidRPr="00A014FD">
              <w:rPr>
                <w:sz w:val="22"/>
              </w:rPr>
              <w:t>Goods transport in large European cities: Difficult to organize, difficult to modernize</w:t>
            </w:r>
          </w:p>
        </w:tc>
        <w:tc>
          <w:tcPr>
            <w:tcW w:w="628" w:type="dxa"/>
            <w:noWrap/>
            <w:hideMark/>
          </w:tcPr>
          <w:p w14:paraId="2E794F93" w14:textId="77777777" w:rsidR="005400D8" w:rsidRPr="00A014FD" w:rsidRDefault="005400D8" w:rsidP="00704B82">
            <w:pPr>
              <w:spacing w:line="240" w:lineRule="auto"/>
              <w:rPr>
                <w:sz w:val="22"/>
              </w:rPr>
            </w:pPr>
            <w:r w:rsidRPr="00A014FD">
              <w:rPr>
                <w:sz w:val="22"/>
              </w:rPr>
              <w:t>21</w:t>
            </w:r>
          </w:p>
        </w:tc>
      </w:tr>
      <w:tr w:rsidR="005400D8" w:rsidRPr="00A014FD" w14:paraId="0D197CD5" w14:textId="77777777" w:rsidTr="00704B82">
        <w:trPr>
          <w:trHeight w:val="285"/>
        </w:trPr>
        <w:tc>
          <w:tcPr>
            <w:tcW w:w="13320" w:type="dxa"/>
            <w:noWrap/>
            <w:hideMark/>
          </w:tcPr>
          <w:p w14:paraId="218342A8" w14:textId="77777777" w:rsidR="005400D8" w:rsidRPr="00A014FD" w:rsidRDefault="005400D8" w:rsidP="00704B82">
            <w:pPr>
              <w:spacing w:line="240" w:lineRule="auto"/>
              <w:rPr>
                <w:sz w:val="22"/>
              </w:rPr>
            </w:pPr>
            <w:r w:rsidRPr="00A014FD">
              <w:rPr>
                <w:sz w:val="22"/>
              </w:rPr>
              <w:t>An urban consolidation center in the city of Copenhagen: A simulation study</w:t>
            </w:r>
          </w:p>
        </w:tc>
        <w:tc>
          <w:tcPr>
            <w:tcW w:w="628" w:type="dxa"/>
            <w:noWrap/>
            <w:hideMark/>
          </w:tcPr>
          <w:p w14:paraId="43A0DBB5" w14:textId="77777777" w:rsidR="005400D8" w:rsidRPr="00A014FD" w:rsidRDefault="005400D8" w:rsidP="00704B82">
            <w:pPr>
              <w:spacing w:line="240" w:lineRule="auto"/>
              <w:rPr>
                <w:sz w:val="22"/>
              </w:rPr>
            </w:pPr>
            <w:r w:rsidRPr="00A014FD">
              <w:rPr>
                <w:sz w:val="22"/>
              </w:rPr>
              <w:t>22</w:t>
            </w:r>
          </w:p>
        </w:tc>
      </w:tr>
      <w:tr w:rsidR="005400D8" w:rsidRPr="00A014FD" w14:paraId="39DE76BC" w14:textId="77777777" w:rsidTr="00704B82">
        <w:trPr>
          <w:trHeight w:val="285"/>
        </w:trPr>
        <w:tc>
          <w:tcPr>
            <w:tcW w:w="13320" w:type="dxa"/>
            <w:noWrap/>
            <w:hideMark/>
          </w:tcPr>
          <w:p w14:paraId="25D6B532" w14:textId="77777777" w:rsidR="005400D8" w:rsidRPr="00A014FD" w:rsidRDefault="005400D8" w:rsidP="00704B82">
            <w:pPr>
              <w:spacing w:line="240" w:lineRule="auto"/>
              <w:rPr>
                <w:sz w:val="22"/>
              </w:rPr>
            </w:pPr>
            <w:r w:rsidRPr="00A014FD">
              <w:rPr>
                <w:sz w:val="22"/>
              </w:rPr>
              <w:t>Combining intermodal transport with electric vehicles: Towards more sustainable solutions</w:t>
            </w:r>
          </w:p>
        </w:tc>
        <w:tc>
          <w:tcPr>
            <w:tcW w:w="628" w:type="dxa"/>
            <w:noWrap/>
            <w:hideMark/>
          </w:tcPr>
          <w:p w14:paraId="38F21362" w14:textId="77777777" w:rsidR="005400D8" w:rsidRPr="00A014FD" w:rsidRDefault="005400D8" w:rsidP="00704B82">
            <w:pPr>
              <w:spacing w:line="240" w:lineRule="auto"/>
              <w:rPr>
                <w:sz w:val="22"/>
              </w:rPr>
            </w:pPr>
            <w:r w:rsidRPr="00A014FD">
              <w:rPr>
                <w:sz w:val="22"/>
              </w:rPr>
              <w:t>23</w:t>
            </w:r>
          </w:p>
        </w:tc>
      </w:tr>
      <w:tr w:rsidR="005400D8" w:rsidRPr="00A014FD" w14:paraId="4D8B06D7" w14:textId="77777777" w:rsidTr="00704B82">
        <w:trPr>
          <w:trHeight w:val="285"/>
        </w:trPr>
        <w:tc>
          <w:tcPr>
            <w:tcW w:w="13320" w:type="dxa"/>
            <w:noWrap/>
            <w:hideMark/>
          </w:tcPr>
          <w:p w14:paraId="267DE5DC" w14:textId="77777777" w:rsidR="005400D8" w:rsidRPr="00A014FD" w:rsidRDefault="005400D8" w:rsidP="00704B82">
            <w:pPr>
              <w:spacing w:line="240" w:lineRule="auto"/>
              <w:rPr>
                <w:sz w:val="22"/>
              </w:rPr>
            </w:pPr>
            <w:r w:rsidRPr="00A014FD">
              <w:rPr>
                <w:sz w:val="22"/>
              </w:rPr>
              <w:t>Design and development of a stated choice experiment for interdependent agents: accounting for interactions between buyers and sellers of urban freight services</w:t>
            </w:r>
          </w:p>
        </w:tc>
        <w:tc>
          <w:tcPr>
            <w:tcW w:w="628" w:type="dxa"/>
            <w:noWrap/>
            <w:hideMark/>
          </w:tcPr>
          <w:p w14:paraId="46E80169" w14:textId="77777777" w:rsidR="005400D8" w:rsidRPr="00A014FD" w:rsidRDefault="005400D8" w:rsidP="00704B82">
            <w:pPr>
              <w:spacing w:line="240" w:lineRule="auto"/>
              <w:rPr>
                <w:sz w:val="22"/>
              </w:rPr>
            </w:pPr>
            <w:r w:rsidRPr="00A014FD">
              <w:rPr>
                <w:sz w:val="22"/>
              </w:rPr>
              <w:t>24</w:t>
            </w:r>
          </w:p>
        </w:tc>
      </w:tr>
      <w:tr w:rsidR="005400D8" w:rsidRPr="00A014FD" w14:paraId="676BE041" w14:textId="77777777" w:rsidTr="00704B82">
        <w:trPr>
          <w:trHeight w:val="285"/>
        </w:trPr>
        <w:tc>
          <w:tcPr>
            <w:tcW w:w="13320" w:type="dxa"/>
            <w:noWrap/>
            <w:hideMark/>
          </w:tcPr>
          <w:p w14:paraId="69923CF2" w14:textId="77777777" w:rsidR="005400D8" w:rsidRPr="00A014FD" w:rsidRDefault="005400D8" w:rsidP="00704B82">
            <w:pPr>
              <w:spacing w:line="240" w:lineRule="auto"/>
              <w:rPr>
                <w:sz w:val="22"/>
              </w:rPr>
            </w:pPr>
            <w:r w:rsidRPr="00A014FD">
              <w:rPr>
                <w:sz w:val="22"/>
              </w:rPr>
              <w:t>The impact of urban freight transport: A definition of sustainability from an actor's perspective</w:t>
            </w:r>
          </w:p>
        </w:tc>
        <w:tc>
          <w:tcPr>
            <w:tcW w:w="628" w:type="dxa"/>
            <w:noWrap/>
            <w:hideMark/>
          </w:tcPr>
          <w:p w14:paraId="2A38FDC3" w14:textId="77777777" w:rsidR="005400D8" w:rsidRPr="00A014FD" w:rsidRDefault="005400D8" w:rsidP="00704B82">
            <w:pPr>
              <w:spacing w:line="240" w:lineRule="auto"/>
              <w:rPr>
                <w:sz w:val="22"/>
              </w:rPr>
            </w:pPr>
            <w:r w:rsidRPr="00A014FD">
              <w:rPr>
                <w:sz w:val="22"/>
              </w:rPr>
              <w:t>25</w:t>
            </w:r>
          </w:p>
        </w:tc>
      </w:tr>
      <w:tr w:rsidR="005400D8" w:rsidRPr="00A014FD" w14:paraId="19386BCA" w14:textId="77777777" w:rsidTr="00704B82">
        <w:trPr>
          <w:trHeight w:val="285"/>
        </w:trPr>
        <w:tc>
          <w:tcPr>
            <w:tcW w:w="13320" w:type="dxa"/>
            <w:noWrap/>
            <w:hideMark/>
          </w:tcPr>
          <w:p w14:paraId="30870338" w14:textId="77777777" w:rsidR="005400D8" w:rsidRPr="00A014FD" w:rsidRDefault="005400D8" w:rsidP="00704B82">
            <w:pPr>
              <w:spacing w:line="240" w:lineRule="auto"/>
              <w:rPr>
                <w:sz w:val="22"/>
              </w:rPr>
            </w:pPr>
            <w:r w:rsidRPr="00A014FD">
              <w:rPr>
                <w:sz w:val="22"/>
              </w:rPr>
              <w:t xml:space="preserve">The potential demand for </w:t>
            </w:r>
            <w:proofErr w:type="gramStart"/>
            <w:r w:rsidRPr="00A014FD">
              <w:rPr>
                <w:sz w:val="22"/>
              </w:rPr>
              <w:t>a</w:t>
            </w:r>
            <w:proofErr w:type="gramEnd"/>
            <w:r w:rsidRPr="00A014FD">
              <w:rPr>
                <w:sz w:val="22"/>
              </w:rPr>
              <w:t xml:space="preserve"> urban freight consolidation </w:t>
            </w:r>
            <w:proofErr w:type="spellStart"/>
            <w:r w:rsidRPr="00A014FD">
              <w:rPr>
                <w:sz w:val="22"/>
              </w:rPr>
              <w:t>centre</w:t>
            </w:r>
            <w:proofErr w:type="spellEnd"/>
          </w:p>
        </w:tc>
        <w:tc>
          <w:tcPr>
            <w:tcW w:w="628" w:type="dxa"/>
            <w:noWrap/>
            <w:hideMark/>
          </w:tcPr>
          <w:p w14:paraId="46933A82" w14:textId="77777777" w:rsidR="005400D8" w:rsidRPr="00A014FD" w:rsidRDefault="005400D8" w:rsidP="00704B82">
            <w:pPr>
              <w:spacing w:line="240" w:lineRule="auto"/>
              <w:rPr>
                <w:sz w:val="22"/>
              </w:rPr>
            </w:pPr>
            <w:r w:rsidRPr="00A014FD">
              <w:rPr>
                <w:sz w:val="22"/>
              </w:rPr>
              <w:t>26</w:t>
            </w:r>
          </w:p>
        </w:tc>
      </w:tr>
      <w:tr w:rsidR="005400D8" w:rsidRPr="00A014FD" w14:paraId="739743B4" w14:textId="77777777" w:rsidTr="00704B82">
        <w:trPr>
          <w:trHeight w:val="285"/>
        </w:trPr>
        <w:tc>
          <w:tcPr>
            <w:tcW w:w="13320" w:type="dxa"/>
            <w:noWrap/>
            <w:hideMark/>
          </w:tcPr>
          <w:p w14:paraId="248BE0B4" w14:textId="77777777" w:rsidR="005400D8" w:rsidRPr="00A014FD" w:rsidRDefault="005400D8" w:rsidP="00704B82">
            <w:pPr>
              <w:spacing w:line="240" w:lineRule="auto"/>
              <w:rPr>
                <w:sz w:val="22"/>
              </w:rPr>
            </w:pPr>
            <w:r w:rsidRPr="00A014FD">
              <w:rPr>
                <w:sz w:val="22"/>
              </w:rPr>
              <w:t>Intelligent freight transportation systems: Assessment and the contribution of operations research</w:t>
            </w:r>
          </w:p>
        </w:tc>
        <w:tc>
          <w:tcPr>
            <w:tcW w:w="628" w:type="dxa"/>
            <w:noWrap/>
            <w:hideMark/>
          </w:tcPr>
          <w:p w14:paraId="25381556" w14:textId="77777777" w:rsidR="005400D8" w:rsidRPr="00A014FD" w:rsidRDefault="005400D8" w:rsidP="00704B82">
            <w:pPr>
              <w:spacing w:line="240" w:lineRule="auto"/>
              <w:rPr>
                <w:sz w:val="22"/>
              </w:rPr>
            </w:pPr>
            <w:r w:rsidRPr="00A014FD">
              <w:rPr>
                <w:sz w:val="22"/>
              </w:rPr>
              <w:t>27</w:t>
            </w:r>
          </w:p>
        </w:tc>
      </w:tr>
      <w:tr w:rsidR="005400D8" w:rsidRPr="00A014FD" w14:paraId="5808F260" w14:textId="77777777" w:rsidTr="00704B82">
        <w:trPr>
          <w:trHeight w:val="285"/>
        </w:trPr>
        <w:tc>
          <w:tcPr>
            <w:tcW w:w="13320" w:type="dxa"/>
            <w:noWrap/>
            <w:hideMark/>
          </w:tcPr>
          <w:p w14:paraId="0D0D4AD4" w14:textId="77777777" w:rsidR="005400D8" w:rsidRPr="00A014FD" w:rsidRDefault="005400D8" w:rsidP="00704B82">
            <w:pPr>
              <w:spacing w:line="240" w:lineRule="auto"/>
              <w:rPr>
                <w:sz w:val="22"/>
              </w:rPr>
            </w:pPr>
            <w:r w:rsidRPr="00A014FD">
              <w:rPr>
                <w:sz w:val="22"/>
              </w:rPr>
              <w:t>Models for Evaluating and Planning City Logistics Systems</w:t>
            </w:r>
          </w:p>
        </w:tc>
        <w:tc>
          <w:tcPr>
            <w:tcW w:w="628" w:type="dxa"/>
            <w:noWrap/>
            <w:hideMark/>
          </w:tcPr>
          <w:p w14:paraId="51FC52FF" w14:textId="77777777" w:rsidR="005400D8" w:rsidRPr="00A014FD" w:rsidRDefault="005400D8" w:rsidP="00704B82">
            <w:pPr>
              <w:spacing w:line="240" w:lineRule="auto"/>
              <w:rPr>
                <w:sz w:val="22"/>
              </w:rPr>
            </w:pPr>
            <w:r w:rsidRPr="00A014FD">
              <w:rPr>
                <w:sz w:val="22"/>
              </w:rPr>
              <w:t>28</w:t>
            </w:r>
          </w:p>
        </w:tc>
      </w:tr>
      <w:tr w:rsidR="005400D8" w:rsidRPr="00A014FD" w14:paraId="5FAEC0AA" w14:textId="77777777" w:rsidTr="00704B82">
        <w:trPr>
          <w:trHeight w:val="285"/>
        </w:trPr>
        <w:tc>
          <w:tcPr>
            <w:tcW w:w="13320" w:type="dxa"/>
            <w:noWrap/>
            <w:hideMark/>
          </w:tcPr>
          <w:p w14:paraId="6A4742BC" w14:textId="77777777" w:rsidR="005400D8" w:rsidRPr="00A014FD" w:rsidRDefault="005400D8" w:rsidP="00704B82">
            <w:pPr>
              <w:spacing w:line="240" w:lineRule="auto"/>
              <w:rPr>
                <w:sz w:val="22"/>
              </w:rPr>
            </w:pPr>
            <w:r w:rsidRPr="00A014FD">
              <w:rPr>
                <w:sz w:val="22"/>
              </w:rPr>
              <w:t>Sustainable urban logistics: What are we talking about?</w:t>
            </w:r>
          </w:p>
        </w:tc>
        <w:tc>
          <w:tcPr>
            <w:tcW w:w="628" w:type="dxa"/>
            <w:noWrap/>
            <w:hideMark/>
          </w:tcPr>
          <w:p w14:paraId="4AD81BC9" w14:textId="77777777" w:rsidR="005400D8" w:rsidRPr="00A014FD" w:rsidRDefault="005400D8" w:rsidP="00704B82">
            <w:pPr>
              <w:spacing w:line="240" w:lineRule="auto"/>
              <w:rPr>
                <w:sz w:val="22"/>
              </w:rPr>
            </w:pPr>
            <w:r w:rsidRPr="00A014FD">
              <w:rPr>
                <w:sz w:val="22"/>
              </w:rPr>
              <w:t>29</w:t>
            </w:r>
          </w:p>
        </w:tc>
      </w:tr>
      <w:tr w:rsidR="005400D8" w:rsidRPr="00A014FD" w14:paraId="0E70EF6F" w14:textId="77777777" w:rsidTr="00704B82">
        <w:trPr>
          <w:trHeight w:val="285"/>
        </w:trPr>
        <w:tc>
          <w:tcPr>
            <w:tcW w:w="13320" w:type="dxa"/>
            <w:noWrap/>
            <w:hideMark/>
          </w:tcPr>
          <w:p w14:paraId="4E222102" w14:textId="77777777" w:rsidR="005400D8" w:rsidRPr="00A014FD" w:rsidRDefault="005400D8" w:rsidP="00704B82">
            <w:pPr>
              <w:spacing w:line="240" w:lineRule="auto"/>
              <w:rPr>
                <w:sz w:val="22"/>
              </w:rPr>
            </w:pPr>
            <w:r w:rsidRPr="00A014FD">
              <w:rPr>
                <w:sz w:val="22"/>
              </w:rPr>
              <w:t>Towards a European ITS for freight transport and logistics: results of current EU funded research and prospects for the future</w:t>
            </w:r>
          </w:p>
        </w:tc>
        <w:tc>
          <w:tcPr>
            <w:tcW w:w="628" w:type="dxa"/>
            <w:noWrap/>
            <w:hideMark/>
          </w:tcPr>
          <w:p w14:paraId="0E592F1C" w14:textId="77777777" w:rsidR="005400D8" w:rsidRPr="00A014FD" w:rsidRDefault="005400D8" w:rsidP="00704B82">
            <w:pPr>
              <w:spacing w:line="240" w:lineRule="auto"/>
              <w:rPr>
                <w:sz w:val="22"/>
              </w:rPr>
            </w:pPr>
            <w:r w:rsidRPr="00A014FD">
              <w:rPr>
                <w:sz w:val="22"/>
              </w:rPr>
              <w:t>30</w:t>
            </w:r>
          </w:p>
        </w:tc>
      </w:tr>
      <w:tr w:rsidR="005400D8" w:rsidRPr="00A014FD" w14:paraId="03CB3DE8" w14:textId="77777777" w:rsidTr="00704B82">
        <w:trPr>
          <w:trHeight w:val="285"/>
        </w:trPr>
        <w:tc>
          <w:tcPr>
            <w:tcW w:w="13320" w:type="dxa"/>
            <w:noWrap/>
            <w:hideMark/>
          </w:tcPr>
          <w:p w14:paraId="1D9E39E3" w14:textId="77777777" w:rsidR="005400D8" w:rsidRPr="00A014FD" w:rsidRDefault="005400D8" w:rsidP="00704B82">
            <w:pPr>
              <w:spacing w:line="240" w:lineRule="auto"/>
              <w:rPr>
                <w:sz w:val="22"/>
              </w:rPr>
            </w:pPr>
            <w:r w:rsidRPr="00A014FD">
              <w:rPr>
                <w:sz w:val="22"/>
              </w:rPr>
              <w:t xml:space="preserve">Cost of ownership model for the RFID logistics system applicable to </w:t>
            </w:r>
            <w:proofErr w:type="spellStart"/>
            <w:r w:rsidRPr="00A014FD">
              <w:rPr>
                <w:sz w:val="22"/>
              </w:rPr>
              <w:t>ucity</w:t>
            </w:r>
            <w:proofErr w:type="spellEnd"/>
          </w:p>
        </w:tc>
        <w:tc>
          <w:tcPr>
            <w:tcW w:w="628" w:type="dxa"/>
            <w:noWrap/>
            <w:hideMark/>
          </w:tcPr>
          <w:p w14:paraId="5A1F74A8" w14:textId="77777777" w:rsidR="005400D8" w:rsidRPr="00A014FD" w:rsidRDefault="005400D8" w:rsidP="00704B82">
            <w:pPr>
              <w:spacing w:line="240" w:lineRule="auto"/>
              <w:rPr>
                <w:sz w:val="22"/>
              </w:rPr>
            </w:pPr>
            <w:r w:rsidRPr="00A014FD">
              <w:rPr>
                <w:sz w:val="22"/>
              </w:rPr>
              <w:t>31</w:t>
            </w:r>
          </w:p>
        </w:tc>
      </w:tr>
      <w:tr w:rsidR="005400D8" w:rsidRPr="00A014FD" w14:paraId="3227DD76" w14:textId="77777777" w:rsidTr="00704B82">
        <w:trPr>
          <w:trHeight w:val="285"/>
        </w:trPr>
        <w:tc>
          <w:tcPr>
            <w:tcW w:w="13320" w:type="dxa"/>
            <w:noWrap/>
            <w:hideMark/>
          </w:tcPr>
          <w:p w14:paraId="27129DD6" w14:textId="77777777" w:rsidR="005400D8" w:rsidRPr="00A014FD" w:rsidRDefault="005400D8" w:rsidP="00704B82">
            <w:pPr>
              <w:spacing w:line="240" w:lineRule="auto"/>
              <w:rPr>
                <w:sz w:val="22"/>
              </w:rPr>
            </w:pPr>
            <w:r w:rsidRPr="00A014FD">
              <w:rPr>
                <w:sz w:val="22"/>
              </w:rPr>
              <w:t>Modelling Freight Delivery Flows: Missing Link of Urban Transport Analysis</w:t>
            </w:r>
          </w:p>
        </w:tc>
        <w:tc>
          <w:tcPr>
            <w:tcW w:w="628" w:type="dxa"/>
            <w:noWrap/>
            <w:hideMark/>
          </w:tcPr>
          <w:p w14:paraId="103DE932" w14:textId="77777777" w:rsidR="005400D8" w:rsidRPr="00A014FD" w:rsidRDefault="005400D8" w:rsidP="00704B82">
            <w:pPr>
              <w:spacing w:line="240" w:lineRule="auto"/>
              <w:rPr>
                <w:sz w:val="22"/>
              </w:rPr>
            </w:pPr>
            <w:r w:rsidRPr="00A014FD">
              <w:rPr>
                <w:sz w:val="22"/>
              </w:rPr>
              <w:t>32</w:t>
            </w:r>
          </w:p>
        </w:tc>
      </w:tr>
      <w:tr w:rsidR="005400D8" w:rsidRPr="00A014FD" w14:paraId="35F10F42" w14:textId="77777777" w:rsidTr="00704B82">
        <w:trPr>
          <w:trHeight w:val="285"/>
        </w:trPr>
        <w:tc>
          <w:tcPr>
            <w:tcW w:w="13320" w:type="dxa"/>
            <w:noWrap/>
            <w:hideMark/>
          </w:tcPr>
          <w:p w14:paraId="3E67B77B" w14:textId="77777777" w:rsidR="005400D8" w:rsidRPr="00A014FD" w:rsidRDefault="005400D8" w:rsidP="00704B82">
            <w:pPr>
              <w:spacing w:line="240" w:lineRule="auto"/>
              <w:rPr>
                <w:sz w:val="22"/>
              </w:rPr>
            </w:pPr>
            <w:r w:rsidRPr="00A014FD">
              <w:rPr>
                <w:sz w:val="22"/>
              </w:rPr>
              <w:t>Delivering goods in urban areas: How to deal with urban policy restrictions and the environment</w:t>
            </w:r>
          </w:p>
        </w:tc>
        <w:tc>
          <w:tcPr>
            <w:tcW w:w="628" w:type="dxa"/>
            <w:noWrap/>
            <w:hideMark/>
          </w:tcPr>
          <w:p w14:paraId="2BF6CBB1" w14:textId="77777777" w:rsidR="005400D8" w:rsidRPr="00A014FD" w:rsidRDefault="005400D8" w:rsidP="00704B82">
            <w:pPr>
              <w:spacing w:line="240" w:lineRule="auto"/>
              <w:rPr>
                <w:sz w:val="22"/>
              </w:rPr>
            </w:pPr>
            <w:r w:rsidRPr="00A014FD">
              <w:rPr>
                <w:sz w:val="22"/>
              </w:rPr>
              <w:t>33</w:t>
            </w:r>
          </w:p>
        </w:tc>
      </w:tr>
      <w:tr w:rsidR="005400D8" w:rsidRPr="00A014FD" w14:paraId="63B08C64" w14:textId="77777777" w:rsidTr="00704B82">
        <w:trPr>
          <w:trHeight w:val="285"/>
        </w:trPr>
        <w:tc>
          <w:tcPr>
            <w:tcW w:w="13320" w:type="dxa"/>
            <w:noWrap/>
            <w:hideMark/>
          </w:tcPr>
          <w:p w14:paraId="7BE3152A" w14:textId="77777777" w:rsidR="005400D8" w:rsidRPr="00A014FD" w:rsidRDefault="005400D8" w:rsidP="00704B82">
            <w:pPr>
              <w:spacing w:line="240" w:lineRule="auto"/>
              <w:rPr>
                <w:sz w:val="22"/>
              </w:rPr>
            </w:pPr>
            <w:r w:rsidRPr="00A014FD">
              <w:rPr>
                <w:sz w:val="22"/>
              </w:rPr>
              <w:t>An exact solution approach for vehicle routing and scheduling problems with soft time windows</w:t>
            </w:r>
          </w:p>
        </w:tc>
        <w:tc>
          <w:tcPr>
            <w:tcW w:w="628" w:type="dxa"/>
            <w:noWrap/>
            <w:hideMark/>
          </w:tcPr>
          <w:p w14:paraId="51AFE351" w14:textId="77777777" w:rsidR="005400D8" w:rsidRPr="00A014FD" w:rsidRDefault="005400D8" w:rsidP="00704B82">
            <w:pPr>
              <w:spacing w:line="240" w:lineRule="auto"/>
              <w:rPr>
                <w:sz w:val="22"/>
              </w:rPr>
            </w:pPr>
            <w:r w:rsidRPr="00A014FD">
              <w:rPr>
                <w:sz w:val="22"/>
              </w:rPr>
              <w:t>34</w:t>
            </w:r>
          </w:p>
        </w:tc>
      </w:tr>
      <w:tr w:rsidR="005400D8" w:rsidRPr="00A014FD" w14:paraId="4D7D8238" w14:textId="77777777" w:rsidTr="00704B82">
        <w:trPr>
          <w:trHeight w:val="285"/>
        </w:trPr>
        <w:tc>
          <w:tcPr>
            <w:tcW w:w="13320" w:type="dxa"/>
            <w:noWrap/>
            <w:hideMark/>
          </w:tcPr>
          <w:p w14:paraId="0706BCBC" w14:textId="77777777" w:rsidR="005400D8" w:rsidRPr="00A014FD" w:rsidRDefault="005400D8" w:rsidP="00704B82">
            <w:pPr>
              <w:spacing w:line="240" w:lineRule="auto"/>
              <w:rPr>
                <w:sz w:val="22"/>
              </w:rPr>
            </w:pPr>
            <w:r w:rsidRPr="00A014FD">
              <w:rPr>
                <w:sz w:val="22"/>
              </w:rPr>
              <w:t>A business and ICT architecture for a logistics city</w:t>
            </w:r>
          </w:p>
        </w:tc>
        <w:tc>
          <w:tcPr>
            <w:tcW w:w="628" w:type="dxa"/>
            <w:noWrap/>
            <w:hideMark/>
          </w:tcPr>
          <w:p w14:paraId="28833B0F" w14:textId="77777777" w:rsidR="005400D8" w:rsidRPr="00A014FD" w:rsidRDefault="005400D8" w:rsidP="00704B82">
            <w:pPr>
              <w:spacing w:line="240" w:lineRule="auto"/>
              <w:rPr>
                <w:sz w:val="22"/>
              </w:rPr>
            </w:pPr>
            <w:r w:rsidRPr="00A014FD">
              <w:rPr>
                <w:sz w:val="22"/>
              </w:rPr>
              <w:t>35</w:t>
            </w:r>
          </w:p>
        </w:tc>
      </w:tr>
      <w:tr w:rsidR="005400D8" w:rsidRPr="00A014FD" w14:paraId="2DF3549F" w14:textId="77777777" w:rsidTr="00704B82">
        <w:trPr>
          <w:trHeight w:val="285"/>
        </w:trPr>
        <w:tc>
          <w:tcPr>
            <w:tcW w:w="13320" w:type="dxa"/>
            <w:noWrap/>
            <w:hideMark/>
          </w:tcPr>
          <w:p w14:paraId="62F97B07" w14:textId="77777777" w:rsidR="005400D8" w:rsidRPr="00A014FD" w:rsidRDefault="005400D8" w:rsidP="00704B82">
            <w:pPr>
              <w:spacing w:line="240" w:lineRule="auto"/>
              <w:rPr>
                <w:sz w:val="22"/>
              </w:rPr>
            </w:pPr>
            <w:r w:rsidRPr="00A014FD">
              <w:rPr>
                <w:sz w:val="22"/>
              </w:rPr>
              <w:t>Urban freight policies and distribution channels: a discussion based on evidence from Italian cities</w:t>
            </w:r>
          </w:p>
        </w:tc>
        <w:tc>
          <w:tcPr>
            <w:tcW w:w="628" w:type="dxa"/>
            <w:noWrap/>
            <w:hideMark/>
          </w:tcPr>
          <w:p w14:paraId="17F1AFD6" w14:textId="77777777" w:rsidR="005400D8" w:rsidRPr="00A014FD" w:rsidRDefault="005400D8" w:rsidP="00704B82">
            <w:pPr>
              <w:spacing w:line="240" w:lineRule="auto"/>
              <w:rPr>
                <w:sz w:val="22"/>
              </w:rPr>
            </w:pPr>
            <w:r w:rsidRPr="00A014FD">
              <w:rPr>
                <w:sz w:val="22"/>
              </w:rPr>
              <w:t>36</w:t>
            </w:r>
          </w:p>
        </w:tc>
      </w:tr>
      <w:tr w:rsidR="005400D8" w:rsidRPr="00A014FD" w14:paraId="10B2AB0A" w14:textId="77777777" w:rsidTr="00704B82">
        <w:trPr>
          <w:trHeight w:val="285"/>
        </w:trPr>
        <w:tc>
          <w:tcPr>
            <w:tcW w:w="13320" w:type="dxa"/>
            <w:noWrap/>
            <w:hideMark/>
          </w:tcPr>
          <w:p w14:paraId="6B023439" w14:textId="77777777" w:rsidR="005400D8" w:rsidRPr="00A014FD" w:rsidRDefault="005400D8" w:rsidP="00704B82">
            <w:pPr>
              <w:spacing w:line="240" w:lineRule="auto"/>
              <w:rPr>
                <w:sz w:val="22"/>
              </w:rPr>
            </w:pPr>
            <w:r w:rsidRPr="00A014FD">
              <w:rPr>
                <w:sz w:val="22"/>
              </w:rPr>
              <w:t>The impacts of congestion on commercial vehicle tour characteristics and costs</w:t>
            </w:r>
          </w:p>
        </w:tc>
        <w:tc>
          <w:tcPr>
            <w:tcW w:w="628" w:type="dxa"/>
            <w:noWrap/>
            <w:hideMark/>
          </w:tcPr>
          <w:p w14:paraId="4E9A4E17" w14:textId="77777777" w:rsidR="005400D8" w:rsidRPr="00A014FD" w:rsidRDefault="005400D8" w:rsidP="00704B82">
            <w:pPr>
              <w:spacing w:line="240" w:lineRule="auto"/>
              <w:rPr>
                <w:sz w:val="22"/>
              </w:rPr>
            </w:pPr>
            <w:r w:rsidRPr="00A014FD">
              <w:rPr>
                <w:sz w:val="22"/>
              </w:rPr>
              <w:t>37</w:t>
            </w:r>
          </w:p>
        </w:tc>
      </w:tr>
      <w:tr w:rsidR="005400D8" w:rsidRPr="00A014FD" w14:paraId="44C46E81" w14:textId="77777777" w:rsidTr="00704B82">
        <w:trPr>
          <w:trHeight w:val="285"/>
        </w:trPr>
        <w:tc>
          <w:tcPr>
            <w:tcW w:w="13320" w:type="dxa"/>
            <w:noWrap/>
            <w:hideMark/>
          </w:tcPr>
          <w:p w14:paraId="31585A94" w14:textId="77777777" w:rsidR="005400D8" w:rsidRPr="00A014FD" w:rsidRDefault="005400D8" w:rsidP="00704B82">
            <w:pPr>
              <w:spacing w:line="240" w:lineRule="auto"/>
              <w:rPr>
                <w:sz w:val="22"/>
              </w:rPr>
            </w:pPr>
            <w:r w:rsidRPr="00A014FD">
              <w:rPr>
                <w:sz w:val="22"/>
              </w:rPr>
              <w:t>Possible methods of application of electronic freight and warehouse exchanges in solving the city logistics problems</w:t>
            </w:r>
          </w:p>
        </w:tc>
        <w:tc>
          <w:tcPr>
            <w:tcW w:w="628" w:type="dxa"/>
            <w:noWrap/>
            <w:hideMark/>
          </w:tcPr>
          <w:p w14:paraId="25979F3B" w14:textId="77777777" w:rsidR="005400D8" w:rsidRPr="00A014FD" w:rsidRDefault="005400D8" w:rsidP="00704B82">
            <w:pPr>
              <w:spacing w:line="240" w:lineRule="auto"/>
              <w:rPr>
                <w:sz w:val="22"/>
              </w:rPr>
            </w:pPr>
            <w:r w:rsidRPr="00A014FD">
              <w:rPr>
                <w:sz w:val="22"/>
              </w:rPr>
              <w:t>38</w:t>
            </w:r>
          </w:p>
        </w:tc>
      </w:tr>
      <w:tr w:rsidR="005400D8" w:rsidRPr="00A014FD" w14:paraId="4898115B" w14:textId="77777777" w:rsidTr="00704B82">
        <w:trPr>
          <w:trHeight w:val="285"/>
        </w:trPr>
        <w:tc>
          <w:tcPr>
            <w:tcW w:w="13320" w:type="dxa"/>
            <w:noWrap/>
            <w:hideMark/>
          </w:tcPr>
          <w:p w14:paraId="3ED01D0F" w14:textId="77777777" w:rsidR="005400D8" w:rsidRPr="00A014FD" w:rsidRDefault="005400D8" w:rsidP="00704B82">
            <w:pPr>
              <w:spacing w:line="240" w:lineRule="auto"/>
              <w:rPr>
                <w:sz w:val="22"/>
              </w:rPr>
            </w:pPr>
            <w:r w:rsidRPr="00A014FD">
              <w:rPr>
                <w:sz w:val="22"/>
              </w:rPr>
              <w:t>A methodology for the evaluation of urban logistics innovations</w:t>
            </w:r>
          </w:p>
        </w:tc>
        <w:tc>
          <w:tcPr>
            <w:tcW w:w="628" w:type="dxa"/>
            <w:noWrap/>
            <w:hideMark/>
          </w:tcPr>
          <w:p w14:paraId="50F7AC41" w14:textId="77777777" w:rsidR="005400D8" w:rsidRPr="00A014FD" w:rsidRDefault="005400D8" w:rsidP="00704B82">
            <w:pPr>
              <w:spacing w:line="240" w:lineRule="auto"/>
              <w:rPr>
                <w:sz w:val="22"/>
              </w:rPr>
            </w:pPr>
            <w:r w:rsidRPr="00A014FD">
              <w:rPr>
                <w:sz w:val="22"/>
              </w:rPr>
              <w:t>39</w:t>
            </w:r>
          </w:p>
        </w:tc>
      </w:tr>
      <w:tr w:rsidR="005400D8" w:rsidRPr="00A014FD" w14:paraId="2C9B7731" w14:textId="77777777" w:rsidTr="00704B82">
        <w:trPr>
          <w:trHeight w:val="285"/>
        </w:trPr>
        <w:tc>
          <w:tcPr>
            <w:tcW w:w="13320" w:type="dxa"/>
            <w:noWrap/>
            <w:hideMark/>
          </w:tcPr>
          <w:p w14:paraId="0CDE9E70" w14:textId="77777777" w:rsidR="005400D8" w:rsidRPr="00A014FD" w:rsidRDefault="005400D8" w:rsidP="00704B82">
            <w:pPr>
              <w:spacing w:line="240" w:lineRule="auto"/>
              <w:rPr>
                <w:sz w:val="22"/>
              </w:rPr>
            </w:pPr>
            <w:r w:rsidRPr="00A014FD">
              <w:rPr>
                <w:sz w:val="22"/>
              </w:rPr>
              <w:t xml:space="preserve">Unintended environmental impacts of </w:t>
            </w:r>
            <w:proofErr w:type="gramStart"/>
            <w:r w:rsidRPr="00A014FD">
              <w:rPr>
                <w:sz w:val="22"/>
              </w:rPr>
              <w:t>night time</w:t>
            </w:r>
            <w:proofErr w:type="gramEnd"/>
            <w:r w:rsidRPr="00A014FD">
              <w:rPr>
                <w:sz w:val="22"/>
              </w:rPr>
              <w:t xml:space="preserve"> freight logistics activities</w:t>
            </w:r>
          </w:p>
        </w:tc>
        <w:tc>
          <w:tcPr>
            <w:tcW w:w="628" w:type="dxa"/>
            <w:noWrap/>
            <w:hideMark/>
          </w:tcPr>
          <w:p w14:paraId="5370E203" w14:textId="77777777" w:rsidR="005400D8" w:rsidRPr="00A014FD" w:rsidRDefault="005400D8" w:rsidP="00704B82">
            <w:pPr>
              <w:spacing w:line="240" w:lineRule="auto"/>
              <w:rPr>
                <w:sz w:val="22"/>
              </w:rPr>
            </w:pPr>
            <w:r w:rsidRPr="00A014FD">
              <w:rPr>
                <w:sz w:val="22"/>
              </w:rPr>
              <w:t>40</w:t>
            </w:r>
          </w:p>
        </w:tc>
      </w:tr>
      <w:tr w:rsidR="005400D8" w:rsidRPr="00A014FD" w14:paraId="677A2A3F" w14:textId="77777777" w:rsidTr="00704B82">
        <w:trPr>
          <w:trHeight w:val="285"/>
        </w:trPr>
        <w:tc>
          <w:tcPr>
            <w:tcW w:w="13320" w:type="dxa"/>
            <w:noWrap/>
            <w:hideMark/>
          </w:tcPr>
          <w:p w14:paraId="63384E11" w14:textId="77777777" w:rsidR="005400D8" w:rsidRPr="00A014FD" w:rsidRDefault="005400D8" w:rsidP="00704B82">
            <w:pPr>
              <w:spacing w:line="240" w:lineRule="auto"/>
              <w:rPr>
                <w:sz w:val="22"/>
              </w:rPr>
            </w:pPr>
            <w:r w:rsidRPr="00A014FD">
              <w:rPr>
                <w:sz w:val="22"/>
              </w:rPr>
              <w:t>Unintended impacts of increased truck loads on pavement supply chain emissions</w:t>
            </w:r>
          </w:p>
        </w:tc>
        <w:tc>
          <w:tcPr>
            <w:tcW w:w="628" w:type="dxa"/>
            <w:noWrap/>
            <w:hideMark/>
          </w:tcPr>
          <w:p w14:paraId="0217D605" w14:textId="77777777" w:rsidR="005400D8" w:rsidRPr="00A014FD" w:rsidRDefault="005400D8" w:rsidP="00704B82">
            <w:pPr>
              <w:spacing w:line="240" w:lineRule="auto"/>
              <w:rPr>
                <w:sz w:val="22"/>
              </w:rPr>
            </w:pPr>
            <w:r w:rsidRPr="00A014FD">
              <w:rPr>
                <w:sz w:val="22"/>
              </w:rPr>
              <w:t>41</w:t>
            </w:r>
          </w:p>
        </w:tc>
      </w:tr>
      <w:tr w:rsidR="005400D8" w:rsidRPr="00A014FD" w14:paraId="4450CF4D" w14:textId="77777777" w:rsidTr="00704B82">
        <w:trPr>
          <w:trHeight w:val="285"/>
        </w:trPr>
        <w:tc>
          <w:tcPr>
            <w:tcW w:w="13320" w:type="dxa"/>
            <w:noWrap/>
            <w:hideMark/>
          </w:tcPr>
          <w:p w14:paraId="54B3A813" w14:textId="77777777" w:rsidR="005400D8" w:rsidRPr="00A014FD" w:rsidRDefault="005400D8" w:rsidP="00704B82">
            <w:pPr>
              <w:spacing w:line="240" w:lineRule="auto"/>
              <w:rPr>
                <w:sz w:val="22"/>
              </w:rPr>
            </w:pPr>
            <w:r w:rsidRPr="00A014FD">
              <w:rPr>
                <w:sz w:val="22"/>
              </w:rPr>
              <w:t>Sustainable practices in urban freight distribution in Bilbao</w:t>
            </w:r>
          </w:p>
        </w:tc>
        <w:tc>
          <w:tcPr>
            <w:tcW w:w="628" w:type="dxa"/>
            <w:noWrap/>
            <w:hideMark/>
          </w:tcPr>
          <w:p w14:paraId="0B43D50B" w14:textId="77777777" w:rsidR="005400D8" w:rsidRPr="00A014FD" w:rsidRDefault="005400D8" w:rsidP="00704B82">
            <w:pPr>
              <w:spacing w:line="240" w:lineRule="auto"/>
              <w:rPr>
                <w:sz w:val="22"/>
              </w:rPr>
            </w:pPr>
            <w:r w:rsidRPr="00A014FD">
              <w:rPr>
                <w:sz w:val="22"/>
              </w:rPr>
              <w:t>42</w:t>
            </w:r>
          </w:p>
        </w:tc>
      </w:tr>
      <w:tr w:rsidR="005400D8" w:rsidRPr="00A014FD" w14:paraId="30098069" w14:textId="77777777" w:rsidTr="00704B82">
        <w:trPr>
          <w:trHeight w:val="285"/>
        </w:trPr>
        <w:tc>
          <w:tcPr>
            <w:tcW w:w="13320" w:type="dxa"/>
            <w:noWrap/>
            <w:hideMark/>
          </w:tcPr>
          <w:p w14:paraId="6B2DA1AD" w14:textId="77777777" w:rsidR="005400D8" w:rsidRPr="00A014FD" w:rsidRDefault="005400D8" w:rsidP="00704B82">
            <w:pPr>
              <w:spacing w:line="240" w:lineRule="auto"/>
              <w:rPr>
                <w:sz w:val="22"/>
              </w:rPr>
            </w:pPr>
            <w:r w:rsidRPr="00A014FD">
              <w:rPr>
                <w:sz w:val="22"/>
              </w:rPr>
              <w:t>A multicriteria decision making approach for location planning for urban distribution centers under uncertainty</w:t>
            </w:r>
          </w:p>
        </w:tc>
        <w:tc>
          <w:tcPr>
            <w:tcW w:w="628" w:type="dxa"/>
            <w:noWrap/>
            <w:hideMark/>
          </w:tcPr>
          <w:p w14:paraId="50A0487B" w14:textId="77777777" w:rsidR="005400D8" w:rsidRPr="00A014FD" w:rsidRDefault="005400D8" w:rsidP="00704B82">
            <w:pPr>
              <w:spacing w:line="240" w:lineRule="auto"/>
              <w:rPr>
                <w:sz w:val="22"/>
              </w:rPr>
            </w:pPr>
            <w:r w:rsidRPr="00A014FD">
              <w:rPr>
                <w:sz w:val="22"/>
              </w:rPr>
              <w:t>43</w:t>
            </w:r>
          </w:p>
        </w:tc>
      </w:tr>
      <w:tr w:rsidR="005400D8" w:rsidRPr="00A014FD" w14:paraId="67E98947" w14:textId="77777777" w:rsidTr="00704B82">
        <w:trPr>
          <w:trHeight w:val="285"/>
        </w:trPr>
        <w:tc>
          <w:tcPr>
            <w:tcW w:w="13320" w:type="dxa"/>
            <w:noWrap/>
            <w:hideMark/>
          </w:tcPr>
          <w:p w14:paraId="778FFAEE" w14:textId="77777777" w:rsidR="005400D8" w:rsidRPr="00A014FD" w:rsidRDefault="005400D8" w:rsidP="00704B82">
            <w:pPr>
              <w:spacing w:line="240" w:lineRule="auto"/>
              <w:rPr>
                <w:sz w:val="22"/>
              </w:rPr>
            </w:pPr>
            <w:r w:rsidRPr="00A014FD">
              <w:rPr>
                <w:sz w:val="22"/>
              </w:rPr>
              <w:t>Urban freight consultations in the Paris region</w:t>
            </w:r>
          </w:p>
        </w:tc>
        <w:tc>
          <w:tcPr>
            <w:tcW w:w="628" w:type="dxa"/>
            <w:noWrap/>
            <w:hideMark/>
          </w:tcPr>
          <w:p w14:paraId="699A84E7" w14:textId="77777777" w:rsidR="005400D8" w:rsidRPr="00A014FD" w:rsidRDefault="005400D8" w:rsidP="00704B82">
            <w:pPr>
              <w:spacing w:line="240" w:lineRule="auto"/>
              <w:rPr>
                <w:sz w:val="22"/>
              </w:rPr>
            </w:pPr>
            <w:r w:rsidRPr="00A014FD">
              <w:rPr>
                <w:sz w:val="22"/>
              </w:rPr>
              <w:t>44</w:t>
            </w:r>
          </w:p>
        </w:tc>
      </w:tr>
      <w:tr w:rsidR="005400D8" w:rsidRPr="00A014FD" w14:paraId="36455648" w14:textId="77777777" w:rsidTr="00704B82">
        <w:trPr>
          <w:trHeight w:val="285"/>
        </w:trPr>
        <w:tc>
          <w:tcPr>
            <w:tcW w:w="13320" w:type="dxa"/>
            <w:noWrap/>
            <w:hideMark/>
          </w:tcPr>
          <w:p w14:paraId="05445033" w14:textId="77777777" w:rsidR="005400D8" w:rsidRPr="00A014FD" w:rsidRDefault="005400D8" w:rsidP="00704B82">
            <w:pPr>
              <w:spacing w:line="240" w:lineRule="auto"/>
              <w:rPr>
                <w:sz w:val="22"/>
              </w:rPr>
            </w:pPr>
            <w:r w:rsidRPr="00A014FD">
              <w:rPr>
                <w:sz w:val="22"/>
              </w:rPr>
              <w:t>Assessing the value of information for retail distribution of perishable goods</w:t>
            </w:r>
          </w:p>
        </w:tc>
        <w:tc>
          <w:tcPr>
            <w:tcW w:w="628" w:type="dxa"/>
            <w:noWrap/>
            <w:hideMark/>
          </w:tcPr>
          <w:p w14:paraId="28C55B1E" w14:textId="77777777" w:rsidR="005400D8" w:rsidRPr="00A014FD" w:rsidRDefault="005400D8" w:rsidP="00704B82">
            <w:pPr>
              <w:spacing w:line="240" w:lineRule="auto"/>
              <w:rPr>
                <w:sz w:val="22"/>
              </w:rPr>
            </w:pPr>
            <w:r w:rsidRPr="00A014FD">
              <w:rPr>
                <w:sz w:val="22"/>
              </w:rPr>
              <w:t>45</w:t>
            </w:r>
          </w:p>
        </w:tc>
      </w:tr>
      <w:tr w:rsidR="005400D8" w:rsidRPr="00A014FD" w14:paraId="7AE5EB0B" w14:textId="77777777" w:rsidTr="00704B82">
        <w:trPr>
          <w:trHeight w:val="285"/>
        </w:trPr>
        <w:tc>
          <w:tcPr>
            <w:tcW w:w="13320" w:type="dxa"/>
            <w:noWrap/>
            <w:hideMark/>
          </w:tcPr>
          <w:p w14:paraId="1D0BCD78" w14:textId="77777777" w:rsidR="005400D8" w:rsidRPr="00A014FD" w:rsidRDefault="005400D8" w:rsidP="00704B82">
            <w:pPr>
              <w:spacing w:line="240" w:lineRule="auto"/>
              <w:rPr>
                <w:sz w:val="22"/>
              </w:rPr>
            </w:pPr>
            <w:r w:rsidRPr="00A014FD">
              <w:rPr>
                <w:sz w:val="22"/>
              </w:rPr>
              <w:t>Measures for sustainable freight transportation at urban scale: Expected goals and tested results in Europe</w:t>
            </w:r>
          </w:p>
        </w:tc>
        <w:tc>
          <w:tcPr>
            <w:tcW w:w="628" w:type="dxa"/>
            <w:noWrap/>
            <w:hideMark/>
          </w:tcPr>
          <w:p w14:paraId="68D628BE" w14:textId="77777777" w:rsidR="005400D8" w:rsidRPr="00A014FD" w:rsidRDefault="005400D8" w:rsidP="00704B82">
            <w:pPr>
              <w:spacing w:line="240" w:lineRule="auto"/>
              <w:rPr>
                <w:sz w:val="22"/>
              </w:rPr>
            </w:pPr>
            <w:r w:rsidRPr="00A014FD">
              <w:rPr>
                <w:sz w:val="22"/>
              </w:rPr>
              <w:t>46</w:t>
            </w:r>
          </w:p>
        </w:tc>
      </w:tr>
      <w:tr w:rsidR="005400D8" w:rsidRPr="00A014FD" w14:paraId="58379574" w14:textId="77777777" w:rsidTr="00704B82">
        <w:trPr>
          <w:trHeight w:val="285"/>
        </w:trPr>
        <w:tc>
          <w:tcPr>
            <w:tcW w:w="13320" w:type="dxa"/>
            <w:noWrap/>
            <w:hideMark/>
          </w:tcPr>
          <w:p w14:paraId="61770605" w14:textId="77777777" w:rsidR="005400D8" w:rsidRPr="00A014FD" w:rsidRDefault="005400D8" w:rsidP="00704B82">
            <w:pPr>
              <w:spacing w:line="240" w:lineRule="auto"/>
              <w:rPr>
                <w:sz w:val="22"/>
              </w:rPr>
            </w:pPr>
            <w:r w:rsidRPr="00A014FD">
              <w:rPr>
                <w:sz w:val="22"/>
              </w:rPr>
              <w:lastRenderedPageBreak/>
              <w:t>A model system for the ex-ante assessment of city logistics measures</w:t>
            </w:r>
          </w:p>
        </w:tc>
        <w:tc>
          <w:tcPr>
            <w:tcW w:w="628" w:type="dxa"/>
            <w:noWrap/>
            <w:hideMark/>
          </w:tcPr>
          <w:p w14:paraId="2E2EE5EE" w14:textId="77777777" w:rsidR="005400D8" w:rsidRPr="00A014FD" w:rsidRDefault="005400D8" w:rsidP="00704B82">
            <w:pPr>
              <w:spacing w:line="240" w:lineRule="auto"/>
              <w:rPr>
                <w:sz w:val="22"/>
              </w:rPr>
            </w:pPr>
            <w:r w:rsidRPr="00A014FD">
              <w:rPr>
                <w:sz w:val="22"/>
              </w:rPr>
              <w:t>47</w:t>
            </w:r>
          </w:p>
        </w:tc>
      </w:tr>
      <w:tr w:rsidR="005400D8" w:rsidRPr="00A014FD" w14:paraId="25ADC7EE" w14:textId="77777777" w:rsidTr="00704B82">
        <w:trPr>
          <w:trHeight w:val="285"/>
        </w:trPr>
        <w:tc>
          <w:tcPr>
            <w:tcW w:w="13320" w:type="dxa"/>
            <w:noWrap/>
            <w:hideMark/>
          </w:tcPr>
          <w:p w14:paraId="676D739B" w14:textId="77777777" w:rsidR="005400D8" w:rsidRPr="00A014FD" w:rsidRDefault="005400D8" w:rsidP="00704B82">
            <w:pPr>
              <w:spacing w:line="240" w:lineRule="auto"/>
              <w:rPr>
                <w:sz w:val="22"/>
              </w:rPr>
            </w:pPr>
            <w:r w:rsidRPr="00A014FD">
              <w:rPr>
                <w:sz w:val="22"/>
              </w:rPr>
              <w:t>Using rail to make urban freight distribution more sustainable</w:t>
            </w:r>
          </w:p>
        </w:tc>
        <w:tc>
          <w:tcPr>
            <w:tcW w:w="628" w:type="dxa"/>
            <w:noWrap/>
            <w:hideMark/>
          </w:tcPr>
          <w:p w14:paraId="6CF8F3CC" w14:textId="77777777" w:rsidR="005400D8" w:rsidRPr="00A014FD" w:rsidRDefault="005400D8" w:rsidP="00704B82">
            <w:pPr>
              <w:spacing w:line="240" w:lineRule="auto"/>
              <w:rPr>
                <w:sz w:val="22"/>
              </w:rPr>
            </w:pPr>
            <w:r w:rsidRPr="00A014FD">
              <w:rPr>
                <w:sz w:val="22"/>
              </w:rPr>
              <w:t>48</w:t>
            </w:r>
          </w:p>
        </w:tc>
      </w:tr>
      <w:tr w:rsidR="005400D8" w:rsidRPr="00A014FD" w14:paraId="3266B503" w14:textId="77777777" w:rsidTr="00704B82">
        <w:trPr>
          <w:trHeight w:val="285"/>
        </w:trPr>
        <w:tc>
          <w:tcPr>
            <w:tcW w:w="13320" w:type="dxa"/>
            <w:noWrap/>
            <w:hideMark/>
          </w:tcPr>
          <w:p w14:paraId="16DBC1D1" w14:textId="77777777" w:rsidR="005400D8" w:rsidRPr="00A014FD" w:rsidRDefault="005400D8" w:rsidP="00704B82">
            <w:pPr>
              <w:spacing w:line="240" w:lineRule="auto"/>
              <w:rPr>
                <w:sz w:val="22"/>
              </w:rPr>
            </w:pPr>
            <w:r w:rsidRPr="00A014FD">
              <w:rPr>
                <w:sz w:val="22"/>
              </w:rPr>
              <w:t xml:space="preserve">The Role of Urban Consolidation </w:t>
            </w:r>
            <w:proofErr w:type="spellStart"/>
            <w:r w:rsidRPr="00A014FD">
              <w:rPr>
                <w:sz w:val="22"/>
              </w:rPr>
              <w:t>Centres</w:t>
            </w:r>
            <w:proofErr w:type="spellEnd"/>
            <w:r w:rsidRPr="00A014FD">
              <w:rPr>
                <w:sz w:val="22"/>
              </w:rPr>
              <w:t xml:space="preserve"> in Sustainable Freight Transport</w:t>
            </w:r>
          </w:p>
        </w:tc>
        <w:tc>
          <w:tcPr>
            <w:tcW w:w="628" w:type="dxa"/>
            <w:noWrap/>
            <w:hideMark/>
          </w:tcPr>
          <w:p w14:paraId="07A725ED" w14:textId="77777777" w:rsidR="005400D8" w:rsidRPr="00A014FD" w:rsidRDefault="005400D8" w:rsidP="00704B82">
            <w:pPr>
              <w:spacing w:line="240" w:lineRule="auto"/>
              <w:rPr>
                <w:sz w:val="22"/>
              </w:rPr>
            </w:pPr>
            <w:r w:rsidRPr="00A014FD">
              <w:rPr>
                <w:sz w:val="22"/>
              </w:rPr>
              <w:t>49</w:t>
            </w:r>
          </w:p>
        </w:tc>
      </w:tr>
      <w:tr w:rsidR="005400D8" w:rsidRPr="00A014FD" w14:paraId="7E866021" w14:textId="77777777" w:rsidTr="00704B82">
        <w:trPr>
          <w:trHeight w:val="285"/>
        </w:trPr>
        <w:tc>
          <w:tcPr>
            <w:tcW w:w="13320" w:type="dxa"/>
            <w:noWrap/>
            <w:hideMark/>
          </w:tcPr>
          <w:p w14:paraId="293B0B9C" w14:textId="77777777" w:rsidR="005400D8" w:rsidRPr="00A014FD" w:rsidRDefault="005400D8" w:rsidP="00704B82">
            <w:pPr>
              <w:spacing w:line="240" w:lineRule="auto"/>
              <w:rPr>
                <w:sz w:val="22"/>
              </w:rPr>
            </w:pPr>
            <w:r w:rsidRPr="00A014FD">
              <w:rPr>
                <w:sz w:val="22"/>
              </w:rPr>
              <w:t>A hybrid approach integrating Affinity Diagram, AHP and fuzzy TOPSIS for sustainable city logistics planning</w:t>
            </w:r>
          </w:p>
        </w:tc>
        <w:tc>
          <w:tcPr>
            <w:tcW w:w="628" w:type="dxa"/>
            <w:noWrap/>
            <w:hideMark/>
          </w:tcPr>
          <w:p w14:paraId="59391924" w14:textId="77777777" w:rsidR="005400D8" w:rsidRPr="00A014FD" w:rsidRDefault="005400D8" w:rsidP="00704B82">
            <w:pPr>
              <w:spacing w:line="240" w:lineRule="auto"/>
              <w:rPr>
                <w:sz w:val="22"/>
              </w:rPr>
            </w:pPr>
            <w:r w:rsidRPr="00A014FD">
              <w:rPr>
                <w:sz w:val="22"/>
              </w:rPr>
              <w:t>50</w:t>
            </w:r>
          </w:p>
        </w:tc>
      </w:tr>
      <w:tr w:rsidR="005400D8" w:rsidRPr="00A014FD" w14:paraId="08A7681E" w14:textId="77777777" w:rsidTr="00704B82">
        <w:trPr>
          <w:trHeight w:val="285"/>
        </w:trPr>
        <w:tc>
          <w:tcPr>
            <w:tcW w:w="13320" w:type="dxa"/>
            <w:noWrap/>
            <w:hideMark/>
          </w:tcPr>
          <w:p w14:paraId="0422BAF8" w14:textId="77777777" w:rsidR="005400D8" w:rsidRPr="00A014FD" w:rsidRDefault="005400D8" w:rsidP="00704B82">
            <w:pPr>
              <w:spacing w:line="240" w:lineRule="auto"/>
              <w:rPr>
                <w:sz w:val="22"/>
              </w:rPr>
            </w:pPr>
            <w:r w:rsidRPr="00A014FD">
              <w:rPr>
                <w:sz w:val="22"/>
              </w:rPr>
              <w:t>Measuring delivery route cost trade-offs between electric assist cargo bicycles and delivery trucks in dense urban areas</w:t>
            </w:r>
          </w:p>
        </w:tc>
        <w:tc>
          <w:tcPr>
            <w:tcW w:w="628" w:type="dxa"/>
            <w:noWrap/>
            <w:hideMark/>
          </w:tcPr>
          <w:p w14:paraId="436B5BA4" w14:textId="77777777" w:rsidR="005400D8" w:rsidRPr="00A014FD" w:rsidRDefault="005400D8" w:rsidP="00704B82">
            <w:pPr>
              <w:spacing w:line="240" w:lineRule="auto"/>
              <w:rPr>
                <w:sz w:val="22"/>
              </w:rPr>
            </w:pPr>
            <w:r w:rsidRPr="00A014FD">
              <w:rPr>
                <w:sz w:val="22"/>
              </w:rPr>
              <w:t>51</w:t>
            </w:r>
          </w:p>
        </w:tc>
      </w:tr>
      <w:tr w:rsidR="005400D8" w:rsidRPr="00A014FD" w14:paraId="6D0E5ABD" w14:textId="77777777" w:rsidTr="00704B82">
        <w:trPr>
          <w:trHeight w:val="285"/>
        </w:trPr>
        <w:tc>
          <w:tcPr>
            <w:tcW w:w="13320" w:type="dxa"/>
            <w:noWrap/>
            <w:hideMark/>
          </w:tcPr>
          <w:p w14:paraId="1951E998" w14:textId="77777777" w:rsidR="005400D8" w:rsidRPr="00A014FD" w:rsidRDefault="005400D8" w:rsidP="00704B82">
            <w:pPr>
              <w:spacing w:line="240" w:lineRule="auto"/>
              <w:rPr>
                <w:sz w:val="22"/>
              </w:rPr>
            </w:pPr>
            <w:r w:rsidRPr="00A014FD">
              <w:rPr>
                <w:sz w:val="22"/>
              </w:rPr>
              <w:t>Integrating 3PL in urban logistics organization</w:t>
            </w:r>
          </w:p>
        </w:tc>
        <w:tc>
          <w:tcPr>
            <w:tcW w:w="628" w:type="dxa"/>
            <w:noWrap/>
            <w:hideMark/>
          </w:tcPr>
          <w:p w14:paraId="767B2383" w14:textId="77777777" w:rsidR="005400D8" w:rsidRPr="00A014FD" w:rsidRDefault="005400D8" w:rsidP="00704B82">
            <w:pPr>
              <w:spacing w:line="240" w:lineRule="auto"/>
              <w:rPr>
                <w:sz w:val="22"/>
              </w:rPr>
            </w:pPr>
            <w:r w:rsidRPr="00A014FD">
              <w:rPr>
                <w:sz w:val="22"/>
              </w:rPr>
              <w:t>52</w:t>
            </w:r>
          </w:p>
        </w:tc>
      </w:tr>
      <w:tr w:rsidR="005400D8" w:rsidRPr="00A014FD" w14:paraId="242DFE9A" w14:textId="77777777" w:rsidTr="00704B82">
        <w:trPr>
          <w:trHeight w:val="285"/>
        </w:trPr>
        <w:tc>
          <w:tcPr>
            <w:tcW w:w="13320" w:type="dxa"/>
            <w:noWrap/>
            <w:hideMark/>
          </w:tcPr>
          <w:p w14:paraId="5ABBF221" w14:textId="77777777" w:rsidR="005400D8" w:rsidRPr="00A014FD" w:rsidRDefault="005400D8" w:rsidP="00704B82">
            <w:pPr>
              <w:spacing w:line="240" w:lineRule="auto"/>
              <w:rPr>
                <w:sz w:val="22"/>
              </w:rPr>
            </w:pPr>
            <w:r w:rsidRPr="00A014FD">
              <w:rPr>
                <w:sz w:val="22"/>
              </w:rPr>
              <w:t>The Influence of Time Windows on the Costs of Urban Freight Distribution Services in City Logistics Applications</w:t>
            </w:r>
          </w:p>
        </w:tc>
        <w:tc>
          <w:tcPr>
            <w:tcW w:w="628" w:type="dxa"/>
            <w:noWrap/>
            <w:hideMark/>
          </w:tcPr>
          <w:p w14:paraId="7744C45C" w14:textId="77777777" w:rsidR="005400D8" w:rsidRPr="00A014FD" w:rsidRDefault="005400D8" w:rsidP="00704B82">
            <w:pPr>
              <w:spacing w:line="240" w:lineRule="auto"/>
              <w:rPr>
                <w:sz w:val="22"/>
              </w:rPr>
            </w:pPr>
            <w:r w:rsidRPr="00A014FD">
              <w:rPr>
                <w:sz w:val="22"/>
              </w:rPr>
              <w:t>53</w:t>
            </w:r>
          </w:p>
        </w:tc>
      </w:tr>
      <w:tr w:rsidR="005400D8" w:rsidRPr="00A014FD" w14:paraId="2EF8425D" w14:textId="77777777" w:rsidTr="00704B82">
        <w:trPr>
          <w:trHeight w:val="285"/>
        </w:trPr>
        <w:tc>
          <w:tcPr>
            <w:tcW w:w="13320" w:type="dxa"/>
            <w:noWrap/>
            <w:hideMark/>
          </w:tcPr>
          <w:p w14:paraId="138D131E" w14:textId="77777777" w:rsidR="005400D8" w:rsidRPr="00A014FD" w:rsidRDefault="005400D8" w:rsidP="00704B82">
            <w:pPr>
              <w:spacing w:line="240" w:lineRule="auto"/>
              <w:rPr>
                <w:sz w:val="22"/>
              </w:rPr>
            </w:pPr>
            <w:r w:rsidRPr="00A014FD">
              <w:rPr>
                <w:sz w:val="22"/>
              </w:rPr>
              <w:t>Advanced routing for city logistics service providers based on time dependent travel times</w:t>
            </w:r>
          </w:p>
        </w:tc>
        <w:tc>
          <w:tcPr>
            <w:tcW w:w="628" w:type="dxa"/>
            <w:noWrap/>
            <w:hideMark/>
          </w:tcPr>
          <w:p w14:paraId="26233014" w14:textId="77777777" w:rsidR="005400D8" w:rsidRPr="00A014FD" w:rsidRDefault="005400D8" w:rsidP="00704B82">
            <w:pPr>
              <w:spacing w:line="240" w:lineRule="auto"/>
              <w:rPr>
                <w:sz w:val="22"/>
              </w:rPr>
            </w:pPr>
            <w:r w:rsidRPr="00A014FD">
              <w:rPr>
                <w:sz w:val="22"/>
              </w:rPr>
              <w:t>54</w:t>
            </w:r>
          </w:p>
        </w:tc>
      </w:tr>
      <w:tr w:rsidR="005400D8" w:rsidRPr="00A014FD" w14:paraId="16908EE2" w14:textId="77777777" w:rsidTr="00704B82">
        <w:trPr>
          <w:trHeight w:val="285"/>
        </w:trPr>
        <w:tc>
          <w:tcPr>
            <w:tcW w:w="13320" w:type="dxa"/>
            <w:noWrap/>
            <w:hideMark/>
          </w:tcPr>
          <w:p w14:paraId="0516AE20" w14:textId="77777777" w:rsidR="005400D8" w:rsidRPr="00A014FD" w:rsidRDefault="005400D8" w:rsidP="00704B82">
            <w:pPr>
              <w:spacing w:line="240" w:lineRule="auto"/>
              <w:rPr>
                <w:sz w:val="22"/>
              </w:rPr>
            </w:pPr>
            <w:r w:rsidRPr="00A014FD">
              <w:rPr>
                <w:sz w:val="22"/>
              </w:rPr>
              <w:t>A collaborative stakeholder decision-making approach for sustainable urban logistics</w:t>
            </w:r>
          </w:p>
        </w:tc>
        <w:tc>
          <w:tcPr>
            <w:tcW w:w="628" w:type="dxa"/>
            <w:noWrap/>
            <w:hideMark/>
          </w:tcPr>
          <w:p w14:paraId="5222A7EA" w14:textId="77777777" w:rsidR="005400D8" w:rsidRPr="00A014FD" w:rsidRDefault="005400D8" w:rsidP="00704B82">
            <w:pPr>
              <w:spacing w:line="240" w:lineRule="auto"/>
              <w:rPr>
                <w:sz w:val="22"/>
              </w:rPr>
            </w:pPr>
            <w:r w:rsidRPr="00A014FD">
              <w:rPr>
                <w:sz w:val="22"/>
              </w:rPr>
              <w:t>55</w:t>
            </w:r>
          </w:p>
        </w:tc>
      </w:tr>
      <w:tr w:rsidR="005400D8" w:rsidRPr="00A014FD" w14:paraId="37338DFB" w14:textId="77777777" w:rsidTr="00704B82">
        <w:trPr>
          <w:trHeight w:val="285"/>
        </w:trPr>
        <w:tc>
          <w:tcPr>
            <w:tcW w:w="13320" w:type="dxa"/>
            <w:noWrap/>
            <w:hideMark/>
          </w:tcPr>
          <w:p w14:paraId="42C62388" w14:textId="77777777" w:rsidR="005400D8" w:rsidRPr="00A014FD" w:rsidRDefault="005400D8" w:rsidP="00704B82">
            <w:pPr>
              <w:spacing w:line="240" w:lineRule="auto"/>
              <w:rPr>
                <w:sz w:val="22"/>
              </w:rPr>
            </w:pPr>
            <w:r w:rsidRPr="00A014FD">
              <w:rPr>
                <w:sz w:val="22"/>
              </w:rPr>
              <w:t>A simulation framework for evaluating the impacts of urban goods transport in terms of road occupancy</w:t>
            </w:r>
          </w:p>
        </w:tc>
        <w:tc>
          <w:tcPr>
            <w:tcW w:w="628" w:type="dxa"/>
            <w:noWrap/>
            <w:hideMark/>
          </w:tcPr>
          <w:p w14:paraId="464DF16C" w14:textId="77777777" w:rsidR="005400D8" w:rsidRPr="00A014FD" w:rsidRDefault="005400D8" w:rsidP="00704B82">
            <w:pPr>
              <w:spacing w:line="240" w:lineRule="auto"/>
              <w:rPr>
                <w:sz w:val="22"/>
              </w:rPr>
            </w:pPr>
            <w:r w:rsidRPr="00A014FD">
              <w:rPr>
                <w:sz w:val="22"/>
              </w:rPr>
              <w:t>56</w:t>
            </w:r>
          </w:p>
        </w:tc>
      </w:tr>
      <w:tr w:rsidR="005400D8" w:rsidRPr="00A014FD" w14:paraId="68E52C12" w14:textId="77777777" w:rsidTr="00704B82">
        <w:trPr>
          <w:trHeight w:val="285"/>
        </w:trPr>
        <w:tc>
          <w:tcPr>
            <w:tcW w:w="13320" w:type="dxa"/>
            <w:noWrap/>
            <w:hideMark/>
          </w:tcPr>
          <w:p w14:paraId="4FDAB68A" w14:textId="77777777" w:rsidR="005400D8" w:rsidRPr="00A014FD" w:rsidRDefault="005400D8" w:rsidP="00704B82">
            <w:pPr>
              <w:spacing w:line="240" w:lineRule="auto"/>
              <w:rPr>
                <w:sz w:val="22"/>
              </w:rPr>
            </w:pPr>
            <w:r w:rsidRPr="00A014FD">
              <w:rPr>
                <w:sz w:val="22"/>
              </w:rPr>
              <w:t xml:space="preserve">An adaptive large </w:t>
            </w:r>
            <w:proofErr w:type="spellStart"/>
            <w:r w:rsidRPr="00A014FD">
              <w:rPr>
                <w:sz w:val="22"/>
              </w:rPr>
              <w:t>neighbourhood</w:t>
            </w:r>
            <w:proofErr w:type="spellEnd"/>
            <w:r w:rsidRPr="00A014FD">
              <w:rPr>
                <w:sz w:val="22"/>
              </w:rPr>
              <w:t xml:space="preserve"> search heuristic for Two Echelon Vehicle Routing Problems arising in city logistics</w:t>
            </w:r>
          </w:p>
        </w:tc>
        <w:tc>
          <w:tcPr>
            <w:tcW w:w="628" w:type="dxa"/>
            <w:noWrap/>
            <w:hideMark/>
          </w:tcPr>
          <w:p w14:paraId="1499BC9A" w14:textId="77777777" w:rsidR="005400D8" w:rsidRPr="00A014FD" w:rsidRDefault="005400D8" w:rsidP="00704B82">
            <w:pPr>
              <w:spacing w:line="240" w:lineRule="auto"/>
              <w:rPr>
                <w:sz w:val="22"/>
              </w:rPr>
            </w:pPr>
            <w:r w:rsidRPr="00A014FD">
              <w:rPr>
                <w:sz w:val="22"/>
              </w:rPr>
              <w:t>57</w:t>
            </w:r>
          </w:p>
        </w:tc>
      </w:tr>
      <w:tr w:rsidR="005400D8" w:rsidRPr="00A014FD" w14:paraId="28EA0F6C" w14:textId="77777777" w:rsidTr="00704B82">
        <w:trPr>
          <w:trHeight w:val="285"/>
        </w:trPr>
        <w:tc>
          <w:tcPr>
            <w:tcW w:w="13320" w:type="dxa"/>
            <w:noWrap/>
            <w:hideMark/>
          </w:tcPr>
          <w:p w14:paraId="3AD89D5C" w14:textId="77777777" w:rsidR="005400D8" w:rsidRPr="00A014FD" w:rsidRDefault="005400D8" w:rsidP="00704B82">
            <w:pPr>
              <w:spacing w:line="240" w:lineRule="auto"/>
              <w:rPr>
                <w:sz w:val="22"/>
              </w:rPr>
            </w:pPr>
            <w:r w:rsidRPr="00A014FD">
              <w:rPr>
                <w:sz w:val="22"/>
              </w:rPr>
              <w:t>Approximation model to estimate joint market share in off-hour deliveries: William H. Hart Professor</w:t>
            </w:r>
          </w:p>
        </w:tc>
        <w:tc>
          <w:tcPr>
            <w:tcW w:w="628" w:type="dxa"/>
            <w:noWrap/>
            <w:hideMark/>
          </w:tcPr>
          <w:p w14:paraId="23199EB3" w14:textId="77777777" w:rsidR="005400D8" w:rsidRPr="00A014FD" w:rsidRDefault="005400D8" w:rsidP="00704B82">
            <w:pPr>
              <w:spacing w:line="240" w:lineRule="auto"/>
              <w:rPr>
                <w:sz w:val="22"/>
              </w:rPr>
            </w:pPr>
            <w:r w:rsidRPr="00A014FD">
              <w:rPr>
                <w:sz w:val="22"/>
              </w:rPr>
              <w:t>58</w:t>
            </w:r>
          </w:p>
        </w:tc>
      </w:tr>
      <w:tr w:rsidR="005400D8" w:rsidRPr="00A014FD" w14:paraId="5EC0A09B" w14:textId="77777777" w:rsidTr="00704B82">
        <w:trPr>
          <w:trHeight w:val="285"/>
        </w:trPr>
        <w:tc>
          <w:tcPr>
            <w:tcW w:w="13320" w:type="dxa"/>
            <w:noWrap/>
            <w:hideMark/>
          </w:tcPr>
          <w:p w14:paraId="365E6645" w14:textId="77777777" w:rsidR="005400D8" w:rsidRPr="00A014FD" w:rsidRDefault="005400D8" w:rsidP="00704B82">
            <w:pPr>
              <w:spacing w:line="240" w:lineRule="auto"/>
              <w:rPr>
                <w:sz w:val="22"/>
              </w:rPr>
            </w:pPr>
            <w:r w:rsidRPr="00A014FD">
              <w:rPr>
                <w:sz w:val="22"/>
              </w:rPr>
              <w:t>Assessment of the crowd logistics solutions the stakeholders' analysis approach</w:t>
            </w:r>
          </w:p>
        </w:tc>
        <w:tc>
          <w:tcPr>
            <w:tcW w:w="628" w:type="dxa"/>
            <w:noWrap/>
            <w:hideMark/>
          </w:tcPr>
          <w:p w14:paraId="5E863C35" w14:textId="77777777" w:rsidR="005400D8" w:rsidRPr="00A014FD" w:rsidRDefault="005400D8" w:rsidP="00704B82">
            <w:pPr>
              <w:spacing w:line="240" w:lineRule="auto"/>
              <w:rPr>
                <w:sz w:val="22"/>
              </w:rPr>
            </w:pPr>
            <w:r w:rsidRPr="00A014FD">
              <w:rPr>
                <w:sz w:val="22"/>
              </w:rPr>
              <w:t>59</w:t>
            </w:r>
          </w:p>
        </w:tc>
      </w:tr>
      <w:tr w:rsidR="005400D8" w:rsidRPr="00A014FD" w14:paraId="719EB8D1" w14:textId="77777777" w:rsidTr="00704B82">
        <w:trPr>
          <w:trHeight w:val="285"/>
        </w:trPr>
        <w:tc>
          <w:tcPr>
            <w:tcW w:w="13320" w:type="dxa"/>
            <w:noWrap/>
            <w:hideMark/>
          </w:tcPr>
          <w:p w14:paraId="1EDE54F8" w14:textId="77777777" w:rsidR="005400D8" w:rsidRPr="00A014FD" w:rsidRDefault="005400D8" w:rsidP="00704B82">
            <w:pPr>
              <w:spacing w:line="240" w:lineRule="auto"/>
              <w:rPr>
                <w:sz w:val="22"/>
              </w:rPr>
            </w:pPr>
            <w:r w:rsidRPr="00A014FD">
              <w:rPr>
                <w:sz w:val="22"/>
              </w:rPr>
              <w:t>Assessing air quality and health benefits of the Clean Truck Program in the Alameda corridor, CA</w:t>
            </w:r>
          </w:p>
        </w:tc>
        <w:tc>
          <w:tcPr>
            <w:tcW w:w="628" w:type="dxa"/>
            <w:noWrap/>
            <w:hideMark/>
          </w:tcPr>
          <w:p w14:paraId="526E6ED5" w14:textId="77777777" w:rsidR="005400D8" w:rsidRPr="00A014FD" w:rsidRDefault="005400D8" w:rsidP="00704B82">
            <w:pPr>
              <w:spacing w:line="240" w:lineRule="auto"/>
              <w:rPr>
                <w:sz w:val="22"/>
              </w:rPr>
            </w:pPr>
            <w:r w:rsidRPr="00A014FD">
              <w:rPr>
                <w:sz w:val="22"/>
              </w:rPr>
              <w:t>60</w:t>
            </w:r>
          </w:p>
        </w:tc>
      </w:tr>
      <w:tr w:rsidR="005400D8" w:rsidRPr="00A014FD" w14:paraId="162E5D06" w14:textId="77777777" w:rsidTr="00704B82">
        <w:trPr>
          <w:trHeight w:val="285"/>
        </w:trPr>
        <w:tc>
          <w:tcPr>
            <w:tcW w:w="13320" w:type="dxa"/>
            <w:noWrap/>
            <w:hideMark/>
          </w:tcPr>
          <w:p w14:paraId="71252927" w14:textId="77777777" w:rsidR="005400D8" w:rsidRPr="00A014FD" w:rsidRDefault="005400D8" w:rsidP="00704B82">
            <w:pPr>
              <w:spacing w:line="240" w:lineRule="auto"/>
              <w:rPr>
                <w:sz w:val="22"/>
              </w:rPr>
            </w:pPr>
            <w:r w:rsidRPr="00A014FD">
              <w:rPr>
                <w:sz w:val="22"/>
              </w:rPr>
              <w:t>Challenges in urban freight transport planning – a review in the Baltic Sea Region</w:t>
            </w:r>
          </w:p>
        </w:tc>
        <w:tc>
          <w:tcPr>
            <w:tcW w:w="628" w:type="dxa"/>
            <w:noWrap/>
            <w:hideMark/>
          </w:tcPr>
          <w:p w14:paraId="39A8A77E" w14:textId="77777777" w:rsidR="005400D8" w:rsidRPr="00A014FD" w:rsidRDefault="005400D8" w:rsidP="00704B82">
            <w:pPr>
              <w:spacing w:line="240" w:lineRule="auto"/>
              <w:rPr>
                <w:sz w:val="22"/>
              </w:rPr>
            </w:pPr>
            <w:r w:rsidRPr="00A014FD">
              <w:rPr>
                <w:sz w:val="22"/>
              </w:rPr>
              <w:t>61</w:t>
            </w:r>
          </w:p>
        </w:tc>
      </w:tr>
      <w:tr w:rsidR="005400D8" w:rsidRPr="00A014FD" w14:paraId="4E7ECAB6" w14:textId="77777777" w:rsidTr="00704B82">
        <w:trPr>
          <w:trHeight w:val="285"/>
        </w:trPr>
        <w:tc>
          <w:tcPr>
            <w:tcW w:w="13320" w:type="dxa"/>
            <w:noWrap/>
            <w:hideMark/>
          </w:tcPr>
          <w:p w14:paraId="0BB37744" w14:textId="77777777" w:rsidR="005400D8" w:rsidRPr="00A014FD" w:rsidRDefault="005400D8" w:rsidP="00704B82">
            <w:pPr>
              <w:spacing w:line="240" w:lineRule="auto"/>
              <w:rPr>
                <w:sz w:val="22"/>
              </w:rPr>
            </w:pPr>
            <w:r w:rsidRPr="00A014FD">
              <w:rPr>
                <w:sz w:val="22"/>
              </w:rPr>
              <w:t>Selecting the location of minisubs for freight delivery in congested downtown areas</w:t>
            </w:r>
          </w:p>
        </w:tc>
        <w:tc>
          <w:tcPr>
            <w:tcW w:w="628" w:type="dxa"/>
            <w:noWrap/>
            <w:hideMark/>
          </w:tcPr>
          <w:p w14:paraId="7EF31523" w14:textId="77777777" w:rsidR="005400D8" w:rsidRPr="00A014FD" w:rsidRDefault="005400D8" w:rsidP="00704B82">
            <w:pPr>
              <w:spacing w:line="240" w:lineRule="auto"/>
              <w:rPr>
                <w:sz w:val="22"/>
              </w:rPr>
            </w:pPr>
            <w:r w:rsidRPr="00A014FD">
              <w:rPr>
                <w:sz w:val="22"/>
              </w:rPr>
              <w:t>62</w:t>
            </w:r>
          </w:p>
        </w:tc>
      </w:tr>
      <w:tr w:rsidR="005400D8" w:rsidRPr="00A014FD" w14:paraId="6AEB89F4" w14:textId="77777777" w:rsidTr="00704B82">
        <w:trPr>
          <w:trHeight w:val="285"/>
        </w:trPr>
        <w:tc>
          <w:tcPr>
            <w:tcW w:w="13320" w:type="dxa"/>
            <w:noWrap/>
            <w:hideMark/>
          </w:tcPr>
          <w:p w14:paraId="713390A4" w14:textId="77777777" w:rsidR="005400D8" w:rsidRPr="00A014FD" w:rsidRDefault="005400D8" w:rsidP="00704B82">
            <w:pPr>
              <w:spacing w:line="240" w:lineRule="auto"/>
              <w:rPr>
                <w:sz w:val="22"/>
              </w:rPr>
            </w:pPr>
            <w:r w:rsidRPr="00A014FD">
              <w:rPr>
                <w:sz w:val="22"/>
              </w:rPr>
              <w:t>City logistics in Spain: Why it might never work</w:t>
            </w:r>
          </w:p>
        </w:tc>
        <w:tc>
          <w:tcPr>
            <w:tcW w:w="628" w:type="dxa"/>
            <w:noWrap/>
            <w:hideMark/>
          </w:tcPr>
          <w:p w14:paraId="6240CC53" w14:textId="77777777" w:rsidR="005400D8" w:rsidRPr="00A014FD" w:rsidRDefault="005400D8" w:rsidP="00704B82">
            <w:pPr>
              <w:spacing w:line="240" w:lineRule="auto"/>
              <w:rPr>
                <w:sz w:val="22"/>
              </w:rPr>
            </w:pPr>
            <w:r w:rsidRPr="00A014FD">
              <w:rPr>
                <w:sz w:val="22"/>
              </w:rPr>
              <w:t>63</w:t>
            </w:r>
          </w:p>
        </w:tc>
      </w:tr>
      <w:tr w:rsidR="005400D8" w:rsidRPr="00A014FD" w14:paraId="7BEACAA1" w14:textId="77777777" w:rsidTr="00704B82">
        <w:trPr>
          <w:trHeight w:val="285"/>
        </w:trPr>
        <w:tc>
          <w:tcPr>
            <w:tcW w:w="13320" w:type="dxa"/>
            <w:noWrap/>
            <w:hideMark/>
          </w:tcPr>
          <w:p w14:paraId="691854DE" w14:textId="77777777" w:rsidR="005400D8" w:rsidRPr="00A014FD" w:rsidRDefault="005400D8" w:rsidP="00704B82">
            <w:pPr>
              <w:spacing w:line="240" w:lineRule="auto"/>
              <w:rPr>
                <w:sz w:val="22"/>
              </w:rPr>
            </w:pPr>
            <w:r w:rsidRPr="00A014FD">
              <w:rPr>
                <w:sz w:val="22"/>
              </w:rPr>
              <w:t>Estimation of Daily Vehicle Flows for Urban Freight Deliveries</w:t>
            </w:r>
          </w:p>
        </w:tc>
        <w:tc>
          <w:tcPr>
            <w:tcW w:w="628" w:type="dxa"/>
            <w:noWrap/>
            <w:hideMark/>
          </w:tcPr>
          <w:p w14:paraId="657CB2F8" w14:textId="77777777" w:rsidR="005400D8" w:rsidRPr="00A014FD" w:rsidRDefault="005400D8" w:rsidP="00704B82">
            <w:pPr>
              <w:spacing w:line="240" w:lineRule="auto"/>
              <w:rPr>
                <w:sz w:val="22"/>
              </w:rPr>
            </w:pPr>
            <w:r w:rsidRPr="00A014FD">
              <w:rPr>
                <w:sz w:val="22"/>
              </w:rPr>
              <w:t>64</w:t>
            </w:r>
          </w:p>
        </w:tc>
      </w:tr>
      <w:tr w:rsidR="005400D8" w:rsidRPr="00A014FD" w14:paraId="18D136E0" w14:textId="77777777" w:rsidTr="00704B82">
        <w:trPr>
          <w:trHeight w:val="285"/>
        </w:trPr>
        <w:tc>
          <w:tcPr>
            <w:tcW w:w="13320" w:type="dxa"/>
            <w:noWrap/>
            <w:hideMark/>
          </w:tcPr>
          <w:p w14:paraId="796C69F6" w14:textId="77777777" w:rsidR="005400D8" w:rsidRPr="00A014FD" w:rsidRDefault="005400D8" w:rsidP="00704B82">
            <w:pPr>
              <w:spacing w:line="240" w:lineRule="auto"/>
              <w:rPr>
                <w:sz w:val="22"/>
              </w:rPr>
            </w:pPr>
            <w:r w:rsidRPr="00A014FD">
              <w:rPr>
                <w:sz w:val="22"/>
              </w:rPr>
              <w:t xml:space="preserve">Solving the </w:t>
            </w:r>
            <w:proofErr w:type="gramStart"/>
            <w:r w:rsidRPr="00A014FD">
              <w:rPr>
                <w:sz w:val="22"/>
              </w:rPr>
              <w:t>two echelon</w:t>
            </w:r>
            <w:proofErr w:type="gramEnd"/>
            <w:r w:rsidRPr="00A014FD">
              <w:rPr>
                <w:sz w:val="22"/>
              </w:rPr>
              <w:t xml:space="preserve"> location routing problem by a GRASP reinforced by a learning process and path relinking</w:t>
            </w:r>
          </w:p>
        </w:tc>
        <w:tc>
          <w:tcPr>
            <w:tcW w:w="628" w:type="dxa"/>
            <w:noWrap/>
            <w:hideMark/>
          </w:tcPr>
          <w:p w14:paraId="4F29FCB9" w14:textId="77777777" w:rsidR="005400D8" w:rsidRPr="00A014FD" w:rsidRDefault="005400D8" w:rsidP="00704B82">
            <w:pPr>
              <w:spacing w:line="240" w:lineRule="auto"/>
              <w:rPr>
                <w:sz w:val="22"/>
              </w:rPr>
            </w:pPr>
            <w:r w:rsidRPr="00A014FD">
              <w:rPr>
                <w:sz w:val="22"/>
              </w:rPr>
              <w:t>65</w:t>
            </w:r>
          </w:p>
        </w:tc>
      </w:tr>
      <w:tr w:rsidR="005400D8" w:rsidRPr="00A014FD" w14:paraId="7233D750" w14:textId="77777777" w:rsidTr="00704B82">
        <w:trPr>
          <w:trHeight w:val="285"/>
        </w:trPr>
        <w:tc>
          <w:tcPr>
            <w:tcW w:w="13320" w:type="dxa"/>
            <w:noWrap/>
            <w:hideMark/>
          </w:tcPr>
          <w:p w14:paraId="2D32F7E8" w14:textId="77777777" w:rsidR="005400D8" w:rsidRPr="00A014FD" w:rsidRDefault="005400D8" w:rsidP="00704B82">
            <w:pPr>
              <w:spacing w:line="240" w:lineRule="auto"/>
              <w:rPr>
                <w:sz w:val="22"/>
              </w:rPr>
            </w:pPr>
            <w:r w:rsidRPr="00A014FD">
              <w:rPr>
                <w:sz w:val="22"/>
              </w:rPr>
              <w:t>Data envelopment analysis models to support the selection of vehicle routing software for city logistics operations</w:t>
            </w:r>
          </w:p>
        </w:tc>
        <w:tc>
          <w:tcPr>
            <w:tcW w:w="628" w:type="dxa"/>
            <w:noWrap/>
            <w:hideMark/>
          </w:tcPr>
          <w:p w14:paraId="175D5288" w14:textId="77777777" w:rsidR="005400D8" w:rsidRPr="00A014FD" w:rsidRDefault="005400D8" w:rsidP="00704B82">
            <w:pPr>
              <w:spacing w:line="240" w:lineRule="auto"/>
              <w:rPr>
                <w:sz w:val="22"/>
              </w:rPr>
            </w:pPr>
            <w:r w:rsidRPr="00A014FD">
              <w:rPr>
                <w:sz w:val="22"/>
              </w:rPr>
              <w:t>66</w:t>
            </w:r>
          </w:p>
        </w:tc>
      </w:tr>
      <w:tr w:rsidR="005400D8" w:rsidRPr="00A014FD" w14:paraId="167E6169" w14:textId="77777777" w:rsidTr="00704B82">
        <w:trPr>
          <w:trHeight w:val="285"/>
        </w:trPr>
        <w:tc>
          <w:tcPr>
            <w:tcW w:w="13320" w:type="dxa"/>
            <w:noWrap/>
            <w:hideMark/>
          </w:tcPr>
          <w:p w14:paraId="49D802D6" w14:textId="77777777" w:rsidR="005400D8" w:rsidRPr="00A014FD" w:rsidRDefault="005400D8" w:rsidP="00704B82">
            <w:pPr>
              <w:spacing w:line="240" w:lineRule="auto"/>
              <w:rPr>
                <w:sz w:val="22"/>
              </w:rPr>
            </w:pPr>
            <w:r w:rsidRPr="00A014FD">
              <w:rPr>
                <w:sz w:val="22"/>
              </w:rPr>
              <w:t>Stakeholder reactions to urban freight policy innovation</w:t>
            </w:r>
          </w:p>
        </w:tc>
        <w:tc>
          <w:tcPr>
            <w:tcW w:w="628" w:type="dxa"/>
            <w:noWrap/>
            <w:hideMark/>
          </w:tcPr>
          <w:p w14:paraId="7EF19F6F" w14:textId="77777777" w:rsidR="005400D8" w:rsidRPr="00A014FD" w:rsidRDefault="005400D8" w:rsidP="00704B82">
            <w:pPr>
              <w:spacing w:line="240" w:lineRule="auto"/>
              <w:rPr>
                <w:sz w:val="22"/>
              </w:rPr>
            </w:pPr>
            <w:r w:rsidRPr="00A014FD">
              <w:rPr>
                <w:sz w:val="22"/>
              </w:rPr>
              <w:t>67</w:t>
            </w:r>
          </w:p>
        </w:tc>
      </w:tr>
      <w:tr w:rsidR="005400D8" w:rsidRPr="00A014FD" w14:paraId="52D67415" w14:textId="77777777" w:rsidTr="00704B82">
        <w:trPr>
          <w:trHeight w:val="285"/>
        </w:trPr>
        <w:tc>
          <w:tcPr>
            <w:tcW w:w="13320" w:type="dxa"/>
            <w:noWrap/>
            <w:hideMark/>
          </w:tcPr>
          <w:p w14:paraId="096BA4D5" w14:textId="77777777" w:rsidR="005400D8" w:rsidRPr="00A014FD" w:rsidRDefault="005400D8" w:rsidP="00704B82">
            <w:pPr>
              <w:spacing w:line="240" w:lineRule="auto"/>
              <w:rPr>
                <w:sz w:val="22"/>
              </w:rPr>
            </w:pPr>
            <w:r w:rsidRPr="00A014FD">
              <w:rPr>
                <w:sz w:val="22"/>
              </w:rPr>
              <w:t>Nondominated Time Window Policies in City Distribution</w:t>
            </w:r>
          </w:p>
        </w:tc>
        <w:tc>
          <w:tcPr>
            <w:tcW w:w="628" w:type="dxa"/>
            <w:noWrap/>
            <w:hideMark/>
          </w:tcPr>
          <w:p w14:paraId="019F2EE3" w14:textId="77777777" w:rsidR="005400D8" w:rsidRPr="00A014FD" w:rsidRDefault="005400D8" w:rsidP="00704B82">
            <w:pPr>
              <w:spacing w:line="240" w:lineRule="auto"/>
              <w:rPr>
                <w:sz w:val="22"/>
              </w:rPr>
            </w:pPr>
            <w:r w:rsidRPr="00A014FD">
              <w:rPr>
                <w:sz w:val="22"/>
              </w:rPr>
              <w:t>68</w:t>
            </w:r>
          </w:p>
        </w:tc>
      </w:tr>
      <w:tr w:rsidR="005400D8" w:rsidRPr="00A014FD" w14:paraId="740E2625" w14:textId="77777777" w:rsidTr="00704B82">
        <w:trPr>
          <w:trHeight w:val="285"/>
        </w:trPr>
        <w:tc>
          <w:tcPr>
            <w:tcW w:w="13320" w:type="dxa"/>
            <w:noWrap/>
            <w:hideMark/>
          </w:tcPr>
          <w:p w14:paraId="08303D9F" w14:textId="77777777" w:rsidR="005400D8" w:rsidRPr="00A014FD" w:rsidRDefault="005400D8" w:rsidP="00704B82">
            <w:pPr>
              <w:spacing w:line="240" w:lineRule="auto"/>
              <w:rPr>
                <w:sz w:val="22"/>
              </w:rPr>
            </w:pPr>
            <w:r w:rsidRPr="00A014FD">
              <w:rPr>
                <w:sz w:val="22"/>
              </w:rPr>
              <w:t>A design methodology for scenario Analysis in urban freight modelling</w:t>
            </w:r>
          </w:p>
        </w:tc>
        <w:tc>
          <w:tcPr>
            <w:tcW w:w="628" w:type="dxa"/>
            <w:noWrap/>
            <w:hideMark/>
          </w:tcPr>
          <w:p w14:paraId="3DB8C298" w14:textId="77777777" w:rsidR="005400D8" w:rsidRPr="00A014FD" w:rsidRDefault="005400D8" w:rsidP="00704B82">
            <w:pPr>
              <w:spacing w:line="240" w:lineRule="auto"/>
              <w:rPr>
                <w:sz w:val="22"/>
              </w:rPr>
            </w:pPr>
            <w:r w:rsidRPr="00A014FD">
              <w:rPr>
                <w:sz w:val="22"/>
              </w:rPr>
              <w:t>69</w:t>
            </w:r>
          </w:p>
        </w:tc>
      </w:tr>
      <w:tr w:rsidR="005400D8" w:rsidRPr="00A014FD" w14:paraId="091898A6" w14:textId="77777777" w:rsidTr="00704B82">
        <w:trPr>
          <w:trHeight w:val="285"/>
        </w:trPr>
        <w:tc>
          <w:tcPr>
            <w:tcW w:w="13320" w:type="dxa"/>
            <w:noWrap/>
            <w:hideMark/>
          </w:tcPr>
          <w:p w14:paraId="5DDA4CFB" w14:textId="77777777" w:rsidR="005400D8" w:rsidRPr="00A014FD" w:rsidRDefault="005400D8" w:rsidP="00704B82">
            <w:pPr>
              <w:spacing w:line="240" w:lineRule="auto"/>
              <w:rPr>
                <w:sz w:val="22"/>
              </w:rPr>
            </w:pPr>
            <w:r w:rsidRPr="00A014FD">
              <w:rPr>
                <w:sz w:val="22"/>
              </w:rPr>
              <w:t>The milk run revisited: A load factor paradox with economic and environmental implications for urban freight transport</w:t>
            </w:r>
          </w:p>
        </w:tc>
        <w:tc>
          <w:tcPr>
            <w:tcW w:w="628" w:type="dxa"/>
            <w:noWrap/>
            <w:hideMark/>
          </w:tcPr>
          <w:p w14:paraId="1AC8169F" w14:textId="77777777" w:rsidR="005400D8" w:rsidRPr="00A014FD" w:rsidRDefault="005400D8" w:rsidP="00704B82">
            <w:pPr>
              <w:spacing w:line="240" w:lineRule="auto"/>
              <w:rPr>
                <w:sz w:val="22"/>
              </w:rPr>
            </w:pPr>
            <w:r w:rsidRPr="00A014FD">
              <w:rPr>
                <w:sz w:val="22"/>
              </w:rPr>
              <w:t>70</w:t>
            </w:r>
          </w:p>
        </w:tc>
      </w:tr>
      <w:tr w:rsidR="005400D8" w:rsidRPr="00A014FD" w14:paraId="2F3BA24F" w14:textId="77777777" w:rsidTr="00704B82">
        <w:trPr>
          <w:trHeight w:val="285"/>
        </w:trPr>
        <w:tc>
          <w:tcPr>
            <w:tcW w:w="13320" w:type="dxa"/>
            <w:noWrap/>
            <w:hideMark/>
          </w:tcPr>
          <w:p w14:paraId="0FA4C557" w14:textId="77777777" w:rsidR="005400D8" w:rsidRPr="00A014FD" w:rsidRDefault="005400D8" w:rsidP="00704B82">
            <w:pPr>
              <w:spacing w:line="240" w:lineRule="auto"/>
              <w:rPr>
                <w:sz w:val="22"/>
              </w:rPr>
            </w:pPr>
            <w:r w:rsidRPr="00A014FD">
              <w:rPr>
                <w:sz w:val="22"/>
              </w:rPr>
              <w:t>A review of the success and failure of tram systems to carry urban freight: the implications for a low emission intermodal solution using electric vehicles on trams</w:t>
            </w:r>
          </w:p>
        </w:tc>
        <w:tc>
          <w:tcPr>
            <w:tcW w:w="628" w:type="dxa"/>
            <w:noWrap/>
            <w:hideMark/>
          </w:tcPr>
          <w:p w14:paraId="3F335473" w14:textId="77777777" w:rsidR="005400D8" w:rsidRPr="00A014FD" w:rsidRDefault="005400D8" w:rsidP="00704B82">
            <w:pPr>
              <w:spacing w:line="240" w:lineRule="auto"/>
              <w:rPr>
                <w:sz w:val="22"/>
              </w:rPr>
            </w:pPr>
            <w:r w:rsidRPr="00A014FD">
              <w:rPr>
                <w:sz w:val="22"/>
              </w:rPr>
              <w:t>71</w:t>
            </w:r>
          </w:p>
        </w:tc>
      </w:tr>
      <w:tr w:rsidR="005400D8" w:rsidRPr="00A014FD" w14:paraId="56290335" w14:textId="77777777" w:rsidTr="00704B82">
        <w:trPr>
          <w:trHeight w:val="285"/>
        </w:trPr>
        <w:tc>
          <w:tcPr>
            <w:tcW w:w="13320" w:type="dxa"/>
            <w:noWrap/>
            <w:hideMark/>
          </w:tcPr>
          <w:p w14:paraId="1DCE8512" w14:textId="77777777" w:rsidR="005400D8" w:rsidRPr="00A014FD" w:rsidRDefault="005400D8" w:rsidP="00704B82">
            <w:pPr>
              <w:spacing w:line="240" w:lineRule="auto"/>
              <w:rPr>
                <w:sz w:val="22"/>
              </w:rPr>
            </w:pPr>
            <w:r w:rsidRPr="00A014FD">
              <w:rPr>
                <w:sz w:val="22"/>
              </w:rPr>
              <w:t xml:space="preserve">Review of Road </w:t>
            </w:r>
            <w:proofErr w:type="spellStart"/>
            <w:r w:rsidRPr="00A014FD">
              <w:rPr>
                <w:sz w:val="22"/>
              </w:rPr>
              <w:t>Hauliers'</w:t>
            </w:r>
            <w:proofErr w:type="spellEnd"/>
            <w:r w:rsidRPr="00A014FD">
              <w:rPr>
                <w:sz w:val="22"/>
              </w:rPr>
              <w:t xml:space="preserve"> Measures for Increasing Transport Efficiency and Sustainability in Urban Freight Distribution</w:t>
            </w:r>
          </w:p>
        </w:tc>
        <w:tc>
          <w:tcPr>
            <w:tcW w:w="628" w:type="dxa"/>
            <w:noWrap/>
            <w:hideMark/>
          </w:tcPr>
          <w:p w14:paraId="16D3CB40" w14:textId="77777777" w:rsidR="005400D8" w:rsidRPr="00A014FD" w:rsidRDefault="005400D8" w:rsidP="00704B82">
            <w:pPr>
              <w:spacing w:line="240" w:lineRule="auto"/>
              <w:rPr>
                <w:sz w:val="22"/>
              </w:rPr>
            </w:pPr>
            <w:r w:rsidRPr="00A014FD">
              <w:rPr>
                <w:sz w:val="22"/>
              </w:rPr>
              <w:t>72</w:t>
            </w:r>
          </w:p>
        </w:tc>
      </w:tr>
      <w:tr w:rsidR="005400D8" w:rsidRPr="00A014FD" w14:paraId="31F27ABE" w14:textId="77777777" w:rsidTr="00704B82">
        <w:trPr>
          <w:trHeight w:val="285"/>
        </w:trPr>
        <w:tc>
          <w:tcPr>
            <w:tcW w:w="13320" w:type="dxa"/>
            <w:noWrap/>
            <w:hideMark/>
          </w:tcPr>
          <w:p w14:paraId="7E6CE17D" w14:textId="77777777" w:rsidR="005400D8" w:rsidRPr="00A014FD" w:rsidRDefault="005400D8" w:rsidP="00704B82">
            <w:pPr>
              <w:spacing w:line="240" w:lineRule="auto"/>
              <w:rPr>
                <w:sz w:val="22"/>
              </w:rPr>
            </w:pPr>
            <w:r w:rsidRPr="00A014FD">
              <w:rPr>
                <w:sz w:val="22"/>
              </w:rPr>
              <w:t>A comparative study of urban freight transport planning: addressing stakeholder needs</w:t>
            </w:r>
          </w:p>
        </w:tc>
        <w:tc>
          <w:tcPr>
            <w:tcW w:w="628" w:type="dxa"/>
            <w:noWrap/>
            <w:hideMark/>
          </w:tcPr>
          <w:p w14:paraId="3213856D" w14:textId="77777777" w:rsidR="005400D8" w:rsidRPr="00A014FD" w:rsidRDefault="005400D8" w:rsidP="00704B82">
            <w:pPr>
              <w:spacing w:line="240" w:lineRule="auto"/>
              <w:rPr>
                <w:sz w:val="22"/>
              </w:rPr>
            </w:pPr>
            <w:r w:rsidRPr="00A014FD">
              <w:rPr>
                <w:sz w:val="22"/>
              </w:rPr>
              <w:t>73</w:t>
            </w:r>
          </w:p>
        </w:tc>
      </w:tr>
      <w:tr w:rsidR="005400D8" w:rsidRPr="00A014FD" w14:paraId="65E96E60" w14:textId="77777777" w:rsidTr="00704B82">
        <w:trPr>
          <w:trHeight w:val="285"/>
        </w:trPr>
        <w:tc>
          <w:tcPr>
            <w:tcW w:w="13320" w:type="dxa"/>
            <w:noWrap/>
            <w:hideMark/>
          </w:tcPr>
          <w:p w14:paraId="3E5BA430" w14:textId="77777777" w:rsidR="005400D8" w:rsidRPr="00A014FD" w:rsidRDefault="005400D8" w:rsidP="00704B82">
            <w:pPr>
              <w:spacing w:line="240" w:lineRule="auto"/>
              <w:rPr>
                <w:sz w:val="22"/>
              </w:rPr>
            </w:pPr>
            <w:r w:rsidRPr="00A014FD">
              <w:rPr>
                <w:sz w:val="22"/>
              </w:rPr>
              <w:lastRenderedPageBreak/>
              <w:t>Evaluating the economic sustainability of sanitation logistics in Senegal</w:t>
            </w:r>
          </w:p>
        </w:tc>
        <w:tc>
          <w:tcPr>
            <w:tcW w:w="628" w:type="dxa"/>
            <w:noWrap/>
            <w:hideMark/>
          </w:tcPr>
          <w:p w14:paraId="5CB6A51F" w14:textId="77777777" w:rsidR="005400D8" w:rsidRPr="00A014FD" w:rsidRDefault="005400D8" w:rsidP="00704B82">
            <w:pPr>
              <w:spacing w:line="240" w:lineRule="auto"/>
              <w:rPr>
                <w:sz w:val="22"/>
              </w:rPr>
            </w:pPr>
            <w:r w:rsidRPr="00A014FD">
              <w:rPr>
                <w:sz w:val="22"/>
              </w:rPr>
              <w:t>74</w:t>
            </w:r>
          </w:p>
        </w:tc>
      </w:tr>
      <w:tr w:rsidR="005400D8" w:rsidRPr="00A014FD" w14:paraId="04E38773" w14:textId="77777777" w:rsidTr="00704B82">
        <w:trPr>
          <w:trHeight w:val="285"/>
        </w:trPr>
        <w:tc>
          <w:tcPr>
            <w:tcW w:w="13320" w:type="dxa"/>
            <w:noWrap/>
            <w:hideMark/>
          </w:tcPr>
          <w:p w14:paraId="473C4A17" w14:textId="77777777" w:rsidR="005400D8" w:rsidRPr="00A014FD" w:rsidRDefault="005400D8" w:rsidP="00704B82">
            <w:pPr>
              <w:spacing w:line="240" w:lineRule="auto"/>
              <w:rPr>
                <w:sz w:val="22"/>
              </w:rPr>
            </w:pPr>
            <w:r w:rsidRPr="00A014FD">
              <w:rPr>
                <w:sz w:val="22"/>
              </w:rPr>
              <w:t>The role of the cargo consolidation center in urban logistics system</w:t>
            </w:r>
          </w:p>
        </w:tc>
        <w:tc>
          <w:tcPr>
            <w:tcW w:w="628" w:type="dxa"/>
            <w:noWrap/>
            <w:hideMark/>
          </w:tcPr>
          <w:p w14:paraId="6EF33FCD" w14:textId="77777777" w:rsidR="005400D8" w:rsidRPr="00A014FD" w:rsidRDefault="005400D8" w:rsidP="00704B82">
            <w:pPr>
              <w:spacing w:line="240" w:lineRule="auto"/>
              <w:rPr>
                <w:sz w:val="22"/>
              </w:rPr>
            </w:pPr>
            <w:r w:rsidRPr="00A014FD">
              <w:rPr>
                <w:sz w:val="22"/>
              </w:rPr>
              <w:t>75</w:t>
            </w:r>
          </w:p>
        </w:tc>
      </w:tr>
      <w:tr w:rsidR="005400D8" w:rsidRPr="00A014FD" w14:paraId="1F9F4120" w14:textId="77777777" w:rsidTr="00704B82">
        <w:trPr>
          <w:trHeight w:val="285"/>
        </w:trPr>
        <w:tc>
          <w:tcPr>
            <w:tcW w:w="13320" w:type="dxa"/>
            <w:noWrap/>
            <w:hideMark/>
          </w:tcPr>
          <w:p w14:paraId="27CFF084" w14:textId="77777777" w:rsidR="005400D8" w:rsidRPr="00A014FD" w:rsidRDefault="005400D8" w:rsidP="00704B82">
            <w:pPr>
              <w:spacing w:line="240" w:lineRule="auto"/>
              <w:rPr>
                <w:sz w:val="22"/>
              </w:rPr>
            </w:pPr>
            <w:r w:rsidRPr="00A014FD">
              <w:rPr>
                <w:sz w:val="22"/>
              </w:rPr>
              <w:t>Local authority cooperation with urban freight stakeholders: A comparison of partnership approaches</w:t>
            </w:r>
          </w:p>
        </w:tc>
        <w:tc>
          <w:tcPr>
            <w:tcW w:w="628" w:type="dxa"/>
            <w:noWrap/>
            <w:hideMark/>
          </w:tcPr>
          <w:p w14:paraId="6F4AB218" w14:textId="77777777" w:rsidR="005400D8" w:rsidRPr="00A014FD" w:rsidRDefault="005400D8" w:rsidP="00704B82">
            <w:pPr>
              <w:spacing w:line="240" w:lineRule="auto"/>
              <w:rPr>
                <w:sz w:val="22"/>
              </w:rPr>
            </w:pPr>
            <w:r w:rsidRPr="00A014FD">
              <w:rPr>
                <w:sz w:val="22"/>
              </w:rPr>
              <w:t>76</w:t>
            </w:r>
          </w:p>
        </w:tc>
      </w:tr>
      <w:tr w:rsidR="005400D8" w:rsidRPr="00A014FD" w14:paraId="3834CF3C" w14:textId="77777777" w:rsidTr="00704B82">
        <w:trPr>
          <w:trHeight w:val="285"/>
        </w:trPr>
        <w:tc>
          <w:tcPr>
            <w:tcW w:w="13320" w:type="dxa"/>
            <w:noWrap/>
            <w:hideMark/>
          </w:tcPr>
          <w:p w14:paraId="3B922C96" w14:textId="77777777" w:rsidR="005400D8" w:rsidRPr="00A014FD" w:rsidRDefault="005400D8" w:rsidP="00704B82">
            <w:pPr>
              <w:spacing w:line="240" w:lineRule="auto"/>
              <w:rPr>
                <w:sz w:val="22"/>
              </w:rPr>
            </w:pPr>
            <w:r w:rsidRPr="00A014FD">
              <w:rPr>
                <w:sz w:val="22"/>
              </w:rPr>
              <w:t>Electric versus conventional vehicles for logistics: A total cost of ownership</w:t>
            </w:r>
          </w:p>
        </w:tc>
        <w:tc>
          <w:tcPr>
            <w:tcW w:w="628" w:type="dxa"/>
            <w:noWrap/>
            <w:hideMark/>
          </w:tcPr>
          <w:p w14:paraId="71C546AA" w14:textId="77777777" w:rsidR="005400D8" w:rsidRPr="00A014FD" w:rsidRDefault="005400D8" w:rsidP="00704B82">
            <w:pPr>
              <w:spacing w:line="240" w:lineRule="auto"/>
              <w:rPr>
                <w:sz w:val="22"/>
              </w:rPr>
            </w:pPr>
            <w:r w:rsidRPr="00A014FD">
              <w:rPr>
                <w:sz w:val="22"/>
              </w:rPr>
              <w:t>77</w:t>
            </w:r>
          </w:p>
        </w:tc>
      </w:tr>
      <w:tr w:rsidR="005400D8" w:rsidRPr="00A014FD" w14:paraId="2A16FA62" w14:textId="77777777" w:rsidTr="00704B82">
        <w:trPr>
          <w:trHeight w:val="285"/>
        </w:trPr>
        <w:tc>
          <w:tcPr>
            <w:tcW w:w="13320" w:type="dxa"/>
            <w:noWrap/>
            <w:hideMark/>
          </w:tcPr>
          <w:p w14:paraId="5CFF04CA" w14:textId="77777777" w:rsidR="005400D8" w:rsidRPr="00A014FD" w:rsidRDefault="005400D8" w:rsidP="00704B82">
            <w:pPr>
              <w:spacing w:line="240" w:lineRule="auto"/>
              <w:rPr>
                <w:sz w:val="22"/>
              </w:rPr>
            </w:pPr>
            <w:r w:rsidRPr="00A014FD">
              <w:rPr>
                <w:sz w:val="22"/>
              </w:rPr>
              <w:t>Multi-echelon distribution systems in city logistics</w:t>
            </w:r>
          </w:p>
        </w:tc>
        <w:tc>
          <w:tcPr>
            <w:tcW w:w="628" w:type="dxa"/>
            <w:noWrap/>
            <w:hideMark/>
          </w:tcPr>
          <w:p w14:paraId="3E67AAF9" w14:textId="77777777" w:rsidR="005400D8" w:rsidRPr="00A014FD" w:rsidRDefault="005400D8" w:rsidP="00704B82">
            <w:pPr>
              <w:spacing w:line="240" w:lineRule="auto"/>
              <w:rPr>
                <w:sz w:val="22"/>
              </w:rPr>
            </w:pPr>
            <w:r w:rsidRPr="00A014FD">
              <w:rPr>
                <w:sz w:val="22"/>
              </w:rPr>
              <w:t>78</w:t>
            </w:r>
          </w:p>
        </w:tc>
      </w:tr>
      <w:tr w:rsidR="005400D8" w:rsidRPr="00A014FD" w14:paraId="4FEA1F34" w14:textId="77777777" w:rsidTr="00704B82">
        <w:trPr>
          <w:trHeight w:val="285"/>
        </w:trPr>
        <w:tc>
          <w:tcPr>
            <w:tcW w:w="13320" w:type="dxa"/>
            <w:noWrap/>
            <w:hideMark/>
          </w:tcPr>
          <w:p w14:paraId="4E9058F8" w14:textId="77777777" w:rsidR="005400D8" w:rsidRPr="00A014FD" w:rsidRDefault="005400D8" w:rsidP="00704B82">
            <w:pPr>
              <w:spacing w:line="240" w:lineRule="auto"/>
              <w:rPr>
                <w:sz w:val="22"/>
              </w:rPr>
            </w:pPr>
            <w:r w:rsidRPr="00A014FD">
              <w:rPr>
                <w:sz w:val="22"/>
              </w:rPr>
              <w:t xml:space="preserve">Simulating the effects of </w:t>
            </w:r>
            <w:proofErr w:type="spellStart"/>
            <w:r w:rsidRPr="00A014FD">
              <w:rPr>
                <w:sz w:val="22"/>
              </w:rPr>
              <w:t>pedestrianisation</w:t>
            </w:r>
            <w:proofErr w:type="spellEnd"/>
            <w:r w:rsidRPr="00A014FD">
              <w:rPr>
                <w:sz w:val="22"/>
              </w:rPr>
              <w:t xml:space="preserve"> on urban freight deliveries</w:t>
            </w:r>
          </w:p>
        </w:tc>
        <w:tc>
          <w:tcPr>
            <w:tcW w:w="628" w:type="dxa"/>
            <w:noWrap/>
            <w:hideMark/>
          </w:tcPr>
          <w:p w14:paraId="12B1F3FE" w14:textId="77777777" w:rsidR="005400D8" w:rsidRPr="00A014FD" w:rsidRDefault="005400D8" w:rsidP="00704B82">
            <w:pPr>
              <w:spacing w:line="240" w:lineRule="auto"/>
              <w:rPr>
                <w:sz w:val="22"/>
              </w:rPr>
            </w:pPr>
            <w:r w:rsidRPr="00A014FD">
              <w:rPr>
                <w:sz w:val="22"/>
              </w:rPr>
              <w:t>79</w:t>
            </w:r>
          </w:p>
        </w:tc>
      </w:tr>
      <w:tr w:rsidR="005400D8" w:rsidRPr="00A014FD" w14:paraId="1EC6F8B5" w14:textId="77777777" w:rsidTr="00704B82">
        <w:trPr>
          <w:trHeight w:val="285"/>
        </w:trPr>
        <w:tc>
          <w:tcPr>
            <w:tcW w:w="13320" w:type="dxa"/>
            <w:noWrap/>
            <w:hideMark/>
          </w:tcPr>
          <w:p w14:paraId="63BBF61D" w14:textId="77777777" w:rsidR="005400D8" w:rsidRPr="00A014FD" w:rsidRDefault="005400D8" w:rsidP="00704B82">
            <w:pPr>
              <w:spacing w:line="240" w:lineRule="auto"/>
              <w:rPr>
                <w:sz w:val="22"/>
              </w:rPr>
            </w:pPr>
            <w:r w:rsidRPr="00A014FD">
              <w:rPr>
                <w:sz w:val="22"/>
              </w:rPr>
              <w:t>Estimating the extra costs imposed on delivery vehicles using access time windows in a city</w:t>
            </w:r>
          </w:p>
        </w:tc>
        <w:tc>
          <w:tcPr>
            <w:tcW w:w="628" w:type="dxa"/>
            <w:noWrap/>
            <w:hideMark/>
          </w:tcPr>
          <w:p w14:paraId="3CDDA9C6" w14:textId="77777777" w:rsidR="005400D8" w:rsidRPr="00A014FD" w:rsidRDefault="005400D8" w:rsidP="00704B82">
            <w:pPr>
              <w:spacing w:line="240" w:lineRule="auto"/>
              <w:rPr>
                <w:sz w:val="22"/>
              </w:rPr>
            </w:pPr>
            <w:r w:rsidRPr="00A014FD">
              <w:rPr>
                <w:sz w:val="22"/>
              </w:rPr>
              <w:t>80</w:t>
            </w:r>
          </w:p>
        </w:tc>
      </w:tr>
      <w:tr w:rsidR="005400D8" w:rsidRPr="00A014FD" w14:paraId="794AFF29" w14:textId="77777777" w:rsidTr="00704B82">
        <w:trPr>
          <w:trHeight w:val="285"/>
        </w:trPr>
        <w:tc>
          <w:tcPr>
            <w:tcW w:w="13320" w:type="dxa"/>
            <w:noWrap/>
            <w:hideMark/>
          </w:tcPr>
          <w:p w14:paraId="5240012F" w14:textId="77777777" w:rsidR="005400D8" w:rsidRPr="00A014FD" w:rsidRDefault="005400D8" w:rsidP="00704B82">
            <w:pPr>
              <w:spacing w:line="240" w:lineRule="auto"/>
              <w:rPr>
                <w:sz w:val="22"/>
              </w:rPr>
            </w:pPr>
            <w:r w:rsidRPr="00A014FD">
              <w:rPr>
                <w:sz w:val="22"/>
              </w:rPr>
              <w:t>Less Than Truckload carrier collaboration problem: modelling framework and solution approach</w:t>
            </w:r>
          </w:p>
        </w:tc>
        <w:tc>
          <w:tcPr>
            <w:tcW w:w="628" w:type="dxa"/>
            <w:noWrap/>
            <w:hideMark/>
          </w:tcPr>
          <w:p w14:paraId="7C7A4236" w14:textId="77777777" w:rsidR="005400D8" w:rsidRPr="00A014FD" w:rsidRDefault="005400D8" w:rsidP="00704B82">
            <w:pPr>
              <w:spacing w:line="240" w:lineRule="auto"/>
              <w:rPr>
                <w:sz w:val="22"/>
              </w:rPr>
            </w:pPr>
            <w:r w:rsidRPr="00A014FD">
              <w:rPr>
                <w:sz w:val="22"/>
              </w:rPr>
              <w:t>81</w:t>
            </w:r>
          </w:p>
        </w:tc>
      </w:tr>
      <w:tr w:rsidR="005400D8" w:rsidRPr="00A014FD" w14:paraId="09FC55DE" w14:textId="77777777" w:rsidTr="00704B82">
        <w:trPr>
          <w:trHeight w:val="285"/>
        </w:trPr>
        <w:tc>
          <w:tcPr>
            <w:tcW w:w="13320" w:type="dxa"/>
            <w:noWrap/>
            <w:hideMark/>
          </w:tcPr>
          <w:p w14:paraId="4D2BB750" w14:textId="77777777" w:rsidR="005400D8" w:rsidRPr="00A014FD" w:rsidRDefault="005400D8" w:rsidP="00704B82">
            <w:pPr>
              <w:spacing w:line="240" w:lineRule="auto"/>
              <w:rPr>
                <w:sz w:val="22"/>
              </w:rPr>
            </w:pPr>
            <w:r w:rsidRPr="00A014FD">
              <w:rPr>
                <w:sz w:val="22"/>
              </w:rPr>
              <w:t xml:space="preserve">Application of a variable </w:t>
            </w:r>
            <w:proofErr w:type="spellStart"/>
            <w:r w:rsidRPr="00A014FD">
              <w:rPr>
                <w:sz w:val="22"/>
              </w:rPr>
              <w:t>neighbourhood</w:t>
            </w:r>
            <w:proofErr w:type="spellEnd"/>
            <w:r w:rsidRPr="00A014FD">
              <w:rPr>
                <w:sz w:val="22"/>
              </w:rPr>
              <w:t xml:space="preserve"> search algorithm to a fleet size and mix vehicle routing problem with electric modular vehicles</w:t>
            </w:r>
          </w:p>
        </w:tc>
        <w:tc>
          <w:tcPr>
            <w:tcW w:w="628" w:type="dxa"/>
            <w:noWrap/>
            <w:hideMark/>
          </w:tcPr>
          <w:p w14:paraId="212455CD" w14:textId="77777777" w:rsidR="005400D8" w:rsidRPr="00A014FD" w:rsidRDefault="005400D8" w:rsidP="00704B82">
            <w:pPr>
              <w:spacing w:line="240" w:lineRule="auto"/>
              <w:rPr>
                <w:sz w:val="22"/>
              </w:rPr>
            </w:pPr>
            <w:r w:rsidRPr="00A014FD">
              <w:rPr>
                <w:sz w:val="22"/>
              </w:rPr>
              <w:t>82</w:t>
            </w:r>
          </w:p>
        </w:tc>
      </w:tr>
      <w:tr w:rsidR="005400D8" w:rsidRPr="00A014FD" w14:paraId="7CFADC79" w14:textId="77777777" w:rsidTr="00704B82">
        <w:trPr>
          <w:trHeight w:val="285"/>
        </w:trPr>
        <w:tc>
          <w:tcPr>
            <w:tcW w:w="13320" w:type="dxa"/>
            <w:noWrap/>
            <w:hideMark/>
          </w:tcPr>
          <w:p w14:paraId="3076E890" w14:textId="77777777" w:rsidR="005400D8" w:rsidRPr="00A014FD" w:rsidRDefault="005400D8" w:rsidP="00704B82">
            <w:pPr>
              <w:spacing w:line="240" w:lineRule="auto"/>
              <w:rPr>
                <w:sz w:val="22"/>
              </w:rPr>
            </w:pPr>
            <w:r w:rsidRPr="00A014FD">
              <w:rPr>
                <w:sz w:val="22"/>
              </w:rPr>
              <w:t>Ontology based multiagent system for urban freight transportation</w:t>
            </w:r>
          </w:p>
        </w:tc>
        <w:tc>
          <w:tcPr>
            <w:tcW w:w="628" w:type="dxa"/>
            <w:noWrap/>
            <w:hideMark/>
          </w:tcPr>
          <w:p w14:paraId="5CC497A7" w14:textId="77777777" w:rsidR="005400D8" w:rsidRPr="00A014FD" w:rsidRDefault="005400D8" w:rsidP="00704B82">
            <w:pPr>
              <w:spacing w:line="240" w:lineRule="auto"/>
              <w:rPr>
                <w:sz w:val="22"/>
              </w:rPr>
            </w:pPr>
            <w:r w:rsidRPr="00A014FD">
              <w:rPr>
                <w:sz w:val="22"/>
              </w:rPr>
              <w:t>83</w:t>
            </w:r>
          </w:p>
        </w:tc>
      </w:tr>
      <w:tr w:rsidR="005400D8" w:rsidRPr="00A014FD" w14:paraId="78E60E18" w14:textId="77777777" w:rsidTr="00704B82">
        <w:trPr>
          <w:trHeight w:val="285"/>
        </w:trPr>
        <w:tc>
          <w:tcPr>
            <w:tcW w:w="13320" w:type="dxa"/>
            <w:noWrap/>
            <w:hideMark/>
          </w:tcPr>
          <w:p w14:paraId="3EE902FF" w14:textId="77777777" w:rsidR="005400D8" w:rsidRPr="00A014FD" w:rsidRDefault="005400D8" w:rsidP="00704B82">
            <w:pPr>
              <w:spacing w:line="240" w:lineRule="auto"/>
              <w:rPr>
                <w:sz w:val="22"/>
              </w:rPr>
            </w:pPr>
            <w:r w:rsidRPr="00A014FD">
              <w:rPr>
                <w:sz w:val="22"/>
              </w:rPr>
              <w:t>A methodology to anticipate the activity level of collaborative networks: The case of urban consolidation</w:t>
            </w:r>
          </w:p>
        </w:tc>
        <w:tc>
          <w:tcPr>
            <w:tcW w:w="628" w:type="dxa"/>
            <w:noWrap/>
            <w:hideMark/>
          </w:tcPr>
          <w:p w14:paraId="0C24BFFD" w14:textId="77777777" w:rsidR="005400D8" w:rsidRPr="00A014FD" w:rsidRDefault="005400D8" w:rsidP="00704B82">
            <w:pPr>
              <w:spacing w:line="240" w:lineRule="auto"/>
              <w:rPr>
                <w:sz w:val="22"/>
              </w:rPr>
            </w:pPr>
            <w:r w:rsidRPr="00A014FD">
              <w:rPr>
                <w:sz w:val="22"/>
              </w:rPr>
              <w:t>84</w:t>
            </w:r>
          </w:p>
        </w:tc>
      </w:tr>
      <w:tr w:rsidR="005400D8" w:rsidRPr="00A014FD" w14:paraId="3421CA83" w14:textId="77777777" w:rsidTr="00704B82">
        <w:trPr>
          <w:trHeight w:val="285"/>
        </w:trPr>
        <w:tc>
          <w:tcPr>
            <w:tcW w:w="13320" w:type="dxa"/>
            <w:noWrap/>
            <w:hideMark/>
          </w:tcPr>
          <w:p w14:paraId="2CB7AFF9" w14:textId="77777777" w:rsidR="005400D8" w:rsidRPr="00A014FD" w:rsidRDefault="005400D8" w:rsidP="00704B82">
            <w:pPr>
              <w:spacing w:line="240" w:lineRule="auto"/>
              <w:rPr>
                <w:sz w:val="22"/>
              </w:rPr>
            </w:pPr>
            <w:r w:rsidRPr="00A014FD">
              <w:rPr>
                <w:sz w:val="22"/>
              </w:rPr>
              <w:t>London 2012: Changing delivery patterns in response to the impact of the Games on traffic flows</w:t>
            </w:r>
          </w:p>
        </w:tc>
        <w:tc>
          <w:tcPr>
            <w:tcW w:w="628" w:type="dxa"/>
            <w:noWrap/>
            <w:hideMark/>
          </w:tcPr>
          <w:p w14:paraId="1DE6A3AC" w14:textId="77777777" w:rsidR="005400D8" w:rsidRPr="00A014FD" w:rsidRDefault="005400D8" w:rsidP="00704B82">
            <w:pPr>
              <w:spacing w:line="240" w:lineRule="auto"/>
              <w:rPr>
                <w:sz w:val="22"/>
              </w:rPr>
            </w:pPr>
            <w:r w:rsidRPr="00A014FD">
              <w:rPr>
                <w:sz w:val="22"/>
              </w:rPr>
              <w:t>85</w:t>
            </w:r>
          </w:p>
        </w:tc>
      </w:tr>
      <w:tr w:rsidR="005400D8" w:rsidRPr="00A014FD" w14:paraId="747EB58C" w14:textId="77777777" w:rsidTr="00704B82">
        <w:trPr>
          <w:trHeight w:val="285"/>
        </w:trPr>
        <w:tc>
          <w:tcPr>
            <w:tcW w:w="13320" w:type="dxa"/>
            <w:noWrap/>
            <w:hideMark/>
          </w:tcPr>
          <w:p w14:paraId="0F62D2F1" w14:textId="77777777" w:rsidR="005400D8" w:rsidRPr="00A014FD" w:rsidRDefault="005400D8" w:rsidP="00704B82">
            <w:pPr>
              <w:spacing w:line="240" w:lineRule="auto"/>
              <w:rPr>
                <w:sz w:val="22"/>
              </w:rPr>
            </w:pPr>
            <w:r w:rsidRPr="00A014FD">
              <w:rPr>
                <w:sz w:val="22"/>
              </w:rPr>
              <w:t>Green logistic vehicle routing problem: Routing light delivery vehicles in urban areas using a neuro-fuzzy model</w:t>
            </w:r>
          </w:p>
        </w:tc>
        <w:tc>
          <w:tcPr>
            <w:tcW w:w="628" w:type="dxa"/>
            <w:noWrap/>
            <w:hideMark/>
          </w:tcPr>
          <w:p w14:paraId="5D4328BD" w14:textId="77777777" w:rsidR="005400D8" w:rsidRPr="00A014FD" w:rsidRDefault="005400D8" w:rsidP="00704B82">
            <w:pPr>
              <w:spacing w:line="240" w:lineRule="auto"/>
              <w:rPr>
                <w:sz w:val="22"/>
              </w:rPr>
            </w:pPr>
            <w:r w:rsidRPr="00A014FD">
              <w:rPr>
                <w:sz w:val="22"/>
              </w:rPr>
              <w:t>86</w:t>
            </w:r>
          </w:p>
        </w:tc>
      </w:tr>
      <w:tr w:rsidR="005400D8" w:rsidRPr="00A014FD" w14:paraId="0D5724F1" w14:textId="77777777" w:rsidTr="00704B82">
        <w:trPr>
          <w:trHeight w:val="285"/>
        </w:trPr>
        <w:tc>
          <w:tcPr>
            <w:tcW w:w="13320" w:type="dxa"/>
            <w:noWrap/>
            <w:hideMark/>
          </w:tcPr>
          <w:p w14:paraId="3C07A25D" w14:textId="77777777" w:rsidR="005400D8" w:rsidRPr="00A014FD" w:rsidRDefault="005400D8" w:rsidP="00704B82">
            <w:pPr>
              <w:spacing w:line="240" w:lineRule="auto"/>
              <w:rPr>
                <w:sz w:val="22"/>
              </w:rPr>
            </w:pPr>
            <w:r w:rsidRPr="00A014FD">
              <w:rPr>
                <w:sz w:val="22"/>
              </w:rPr>
              <w:t>Assessing urban logistics pooling sustainability via a hierarchic dashboard from a group decision perspective</w:t>
            </w:r>
          </w:p>
        </w:tc>
        <w:tc>
          <w:tcPr>
            <w:tcW w:w="628" w:type="dxa"/>
            <w:noWrap/>
            <w:hideMark/>
          </w:tcPr>
          <w:p w14:paraId="0BEC8FD9" w14:textId="77777777" w:rsidR="005400D8" w:rsidRPr="00A014FD" w:rsidRDefault="005400D8" w:rsidP="00704B82">
            <w:pPr>
              <w:spacing w:line="240" w:lineRule="auto"/>
              <w:rPr>
                <w:sz w:val="22"/>
              </w:rPr>
            </w:pPr>
            <w:r w:rsidRPr="00A014FD">
              <w:rPr>
                <w:sz w:val="22"/>
              </w:rPr>
              <w:t>87</w:t>
            </w:r>
          </w:p>
        </w:tc>
      </w:tr>
      <w:tr w:rsidR="005400D8" w:rsidRPr="00A014FD" w14:paraId="007D2AEA" w14:textId="77777777" w:rsidTr="00704B82">
        <w:trPr>
          <w:trHeight w:val="285"/>
        </w:trPr>
        <w:tc>
          <w:tcPr>
            <w:tcW w:w="13320" w:type="dxa"/>
            <w:noWrap/>
            <w:hideMark/>
          </w:tcPr>
          <w:p w14:paraId="6330F25D" w14:textId="77777777" w:rsidR="005400D8" w:rsidRPr="00A014FD" w:rsidRDefault="005400D8" w:rsidP="00704B82">
            <w:pPr>
              <w:spacing w:line="240" w:lineRule="auto"/>
              <w:rPr>
                <w:sz w:val="22"/>
              </w:rPr>
            </w:pPr>
            <w:r w:rsidRPr="00A014FD">
              <w:rPr>
                <w:sz w:val="22"/>
              </w:rPr>
              <w:t>Urban freight transport and policy changes: Improving decision makers' awareness via an agent specific approach</w:t>
            </w:r>
          </w:p>
        </w:tc>
        <w:tc>
          <w:tcPr>
            <w:tcW w:w="628" w:type="dxa"/>
            <w:noWrap/>
            <w:hideMark/>
          </w:tcPr>
          <w:p w14:paraId="67CEB831" w14:textId="77777777" w:rsidR="005400D8" w:rsidRPr="00A014FD" w:rsidRDefault="005400D8" w:rsidP="00704B82">
            <w:pPr>
              <w:spacing w:line="240" w:lineRule="auto"/>
              <w:rPr>
                <w:sz w:val="22"/>
              </w:rPr>
            </w:pPr>
            <w:r w:rsidRPr="00A014FD">
              <w:rPr>
                <w:sz w:val="22"/>
              </w:rPr>
              <w:t>88</w:t>
            </w:r>
          </w:p>
        </w:tc>
      </w:tr>
      <w:tr w:rsidR="005400D8" w:rsidRPr="00A014FD" w14:paraId="62ADB14B" w14:textId="77777777" w:rsidTr="00704B82">
        <w:trPr>
          <w:trHeight w:val="285"/>
        </w:trPr>
        <w:tc>
          <w:tcPr>
            <w:tcW w:w="13320" w:type="dxa"/>
            <w:noWrap/>
            <w:hideMark/>
          </w:tcPr>
          <w:p w14:paraId="5CE3F0D4" w14:textId="77777777" w:rsidR="005400D8" w:rsidRPr="00A014FD" w:rsidRDefault="005400D8" w:rsidP="00704B82">
            <w:pPr>
              <w:spacing w:line="240" w:lineRule="auto"/>
              <w:rPr>
                <w:sz w:val="22"/>
              </w:rPr>
            </w:pPr>
            <w:r w:rsidRPr="00A014FD">
              <w:rPr>
                <w:sz w:val="22"/>
              </w:rPr>
              <w:t xml:space="preserve">City logistics: Are sustainability policies </w:t>
            </w:r>
            <w:proofErr w:type="gramStart"/>
            <w:r w:rsidRPr="00A014FD">
              <w:rPr>
                <w:sz w:val="22"/>
              </w:rPr>
              <w:t>really sustainable</w:t>
            </w:r>
            <w:proofErr w:type="gramEnd"/>
            <w:r w:rsidRPr="00A014FD">
              <w:rPr>
                <w:sz w:val="22"/>
              </w:rPr>
              <w:t>?</w:t>
            </w:r>
          </w:p>
        </w:tc>
        <w:tc>
          <w:tcPr>
            <w:tcW w:w="628" w:type="dxa"/>
            <w:noWrap/>
            <w:hideMark/>
          </w:tcPr>
          <w:p w14:paraId="2F9ADA19" w14:textId="77777777" w:rsidR="005400D8" w:rsidRPr="00A014FD" w:rsidRDefault="005400D8" w:rsidP="00704B82">
            <w:pPr>
              <w:spacing w:line="240" w:lineRule="auto"/>
              <w:rPr>
                <w:sz w:val="22"/>
              </w:rPr>
            </w:pPr>
            <w:r w:rsidRPr="00A014FD">
              <w:rPr>
                <w:sz w:val="22"/>
              </w:rPr>
              <w:t>89</w:t>
            </w:r>
          </w:p>
        </w:tc>
      </w:tr>
      <w:tr w:rsidR="005400D8" w:rsidRPr="00A014FD" w14:paraId="72AB6CDC" w14:textId="77777777" w:rsidTr="00704B82">
        <w:trPr>
          <w:trHeight w:val="285"/>
        </w:trPr>
        <w:tc>
          <w:tcPr>
            <w:tcW w:w="13320" w:type="dxa"/>
            <w:noWrap/>
            <w:hideMark/>
          </w:tcPr>
          <w:p w14:paraId="3C777DA3" w14:textId="77777777" w:rsidR="005400D8" w:rsidRPr="00A014FD" w:rsidRDefault="005400D8" w:rsidP="00704B82">
            <w:pPr>
              <w:spacing w:line="240" w:lineRule="auto"/>
              <w:rPr>
                <w:sz w:val="22"/>
              </w:rPr>
            </w:pPr>
            <w:r w:rsidRPr="00A014FD">
              <w:rPr>
                <w:sz w:val="22"/>
              </w:rPr>
              <w:t>Parcel delivery in urban areas: Opportunities and threats for the mix of traditional and green business models</w:t>
            </w:r>
          </w:p>
        </w:tc>
        <w:tc>
          <w:tcPr>
            <w:tcW w:w="628" w:type="dxa"/>
            <w:noWrap/>
            <w:hideMark/>
          </w:tcPr>
          <w:p w14:paraId="4F1BA590" w14:textId="77777777" w:rsidR="005400D8" w:rsidRPr="00A014FD" w:rsidRDefault="005400D8" w:rsidP="00704B82">
            <w:pPr>
              <w:spacing w:line="240" w:lineRule="auto"/>
              <w:rPr>
                <w:sz w:val="22"/>
              </w:rPr>
            </w:pPr>
            <w:r w:rsidRPr="00A014FD">
              <w:rPr>
                <w:sz w:val="22"/>
              </w:rPr>
              <w:t>90</w:t>
            </w:r>
          </w:p>
        </w:tc>
      </w:tr>
      <w:tr w:rsidR="005400D8" w:rsidRPr="00A014FD" w14:paraId="1291C458" w14:textId="77777777" w:rsidTr="00704B82">
        <w:trPr>
          <w:trHeight w:val="285"/>
        </w:trPr>
        <w:tc>
          <w:tcPr>
            <w:tcW w:w="13320" w:type="dxa"/>
            <w:noWrap/>
            <w:hideMark/>
          </w:tcPr>
          <w:p w14:paraId="357C352D" w14:textId="77777777" w:rsidR="005400D8" w:rsidRPr="00A014FD" w:rsidRDefault="005400D8" w:rsidP="00704B82">
            <w:pPr>
              <w:spacing w:line="240" w:lineRule="auto"/>
              <w:rPr>
                <w:sz w:val="22"/>
              </w:rPr>
            </w:pPr>
            <w:r w:rsidRPr="00A014FD">
              <w:rPr>
                <w:sz w:val="22"/>
              </w:rPr>
              <w:t>Increase urban freight efficiency with delivery and servicing plan</w:t>
            </w:r>
          </w:p>
        </w:tc>
        <w:tc>
          <w:tcPr>
            <w:tcW w:w="628" w:type="dxa"/>
            <w:noWrap/>
            <w:hideMark/>
          </w:tcPr>
          <w:p w14:paraId="7910BF8F" w14:textId="77777777" w:rsidR="005400D8" w:rsidRPr="00A014FD" w:rsidRDefault="005400D8" w:rsidP="00704B82">
            <w:pPr>
              <w:spacing w:line="240" w:lineRule="auto"/>
              <w:rPr>
                <w:sz w:val="22"/>
              </w:rPr>
            </w:pPr>
            <w:r w:rsidRPr="00A014FD">
              <w:rPr>
                <w:sz w:val="22"/>
              </w:rPr>
              <w:t>91</w:t>
            </w:r>
          </w:p>
        </w:tc>
      </w:tr>
      <w:tr w:rsidR="005400D8" w:rsidRPr="00A014FD" w14:paraId="219836D7" w14:textId="77777777" w:rsidTr="00704B82">
        <w:trPr>
          <w:trHeight w:val="285"/>
        </w:trPr>
        <w:tc>
          <w:tcPr>
            <w:tcW w:w="13320" w:type="dxa"/>
            <w:noWrap/>
            <w:hideMark/>
          </w:tcPr>
          <w:p w14:paraId="7D260CF3" w14:textId="77777777" w:rsidR="005400D8" w:rsidRPr="00A014FD" w:rsidRDefault="005400D8" w:rsidP="00704B82">
            <w:pPr>
              <w:spacing w:line="240" w:lineRule="auto"/>
              <w:rPr>
                <w:sz w:val="22"/>
              </w:rPr>
            </w:pPr>
            <w:r w:rsidRPr="00A014FD">
              <w:rPr>
                <w:sz w:val="22"/>
              </w:rPr>
              <w:t>The Share a Ride Problem: People and parcels sharing taxis</w:t>
            </w:r>
          </w:p>
        </w:tc>
        <w:tc>
          <w:tcPr>
            <w:tcW w:w="628" w:type="dxa"/>
            <w:noWrap/>
            <w:hideMark/>
          </w:tcPr>
          <w:p w14:paraId="37CBD431" w14:textId="77777777" w:rsidR="005400D8" w:rsidRPr="00A014FD" w:rsidRDefault="005400D8" w:rsidP="00704B82">
            <w:pPr>
              <w:spacing w:line="240" w:lineRule="auto"/>
              <w:rPr>
                <w:sz w:val="22"/>
              </w:rPr>
            </w:pPr>
            <w:r w:rsidRPr="00A014FD">
              <w:rPr>
                <w:sz w:val="22"/>
              </w:rPr>
              <w:t>92</w:t>
            </w:r>
          </w:p>
        </w:tc>
      </w:tr>
      <w:tr w:rsidR="005400D8" w:rsidRPr="00A014FD" w14:paraId="02FF6B0D" w14:textId="77777777" w:rsidTr="00704B82">
        <w:trPr>
          <w:trHeight w:val="285"/>
        </w:trPr>
        <w:tc>
          <w:tcPr>
            <w:tcW w:w="13320" w:type="dxa"/>
            <w:noWrap/>
            <w:hideMark/>
          </w:tcPr>
          <w:p w14:paraId="677CA42E" w14:textId="77777777" w:rsidR="005400D8" w:rsidRPr="00A014FD" w:rsidRDefault="005400D8" w:rsidP="00704B82">
            <w:pPr>
              <w:spacing w:line="240" w:lineRule="auto"/>
              <w:rPr>
                <w:sz w:val="22"/>
              </w:rPr>
            </w:pPr>
            <w:r w:rsidRPr="00A014FD">
              <w:rPr>
                <w:sz w:val="22"/>
              </w:rPr>
              <w:t>Assessing knowledge and awareness of the sustainable urban freight transport among Swedish local authority policy planners</w:t>
            </w:r>
          </w:p>
        </w:tc>
        <w:tc>
          <w:tcPr>
            <w:tcW w:w="628" w:type="dxa"/>
            <w:noWrap/>
            <w:hideMark/>
          </w:tcPr>
          <w:p w14:paraId="33B35CE4" w14:textId="77777777" w:rsidR="005400D8" w:rsidRPr="00A014FD" w:rsidRDefault="005400D8" w:rsidP="00704B82">
            <w:pPr>
              <w:spacing w:line="240" w:lineRule="auto"/>
              <w:rPr>
                <w:sz w:val="22"/>
              </w:rPr>
            </w:pPr>
            <w:r w:rsidRPr="00A014FD">
              <w:rPr>
                <w:sz w:val="22"/>
              </w:rPr>
              <w:t>93</w:t>
            </w:r>
          </w:p>
        </w:tc>
      </w:tr>
      <w:tr w:rsidR="005400D8" w:rsidRPr="00A014FD" w14:paraId="5EC59EBC" w14:textId="77777777" w:rsidTr="00704B82">
        <w:trPr>
          <w:trHeight w:val="285"/>
        </w:trPr>
        <w:tc>
          <w:tcPr>
            <w:tcW w:w="13320" w:type="dxa"/>
            <w:noWrap/>
            <w:hideMark/>
          </w:tcPr>
          <w:p w14:paraId="1BBA8B7F" w14:textId="77777777" w:rsidR="005400D8" w:rsidRPr="00A014FD" w:rsidRDefault="005400D8" w:rsidP="00704B82">
            <w:pPr>
              <w:spacing w:line="240" w:lineRule="auto"/>
              <w:rPr>
                <w:sz w:val="22"/>
              </w:rPr>
            </w:pPr>
            <w:r w:rsidRPr="00A014FD">
              <w:rPr>
                <w:sz w:val="22"/>
              </w:rPr>
              <w:t>Urban freight demand forecasting: A mixed quantity/delivery/</w:t>
            </w:r>
            <w:proofErr w:type="gramStart"/>
            <w:r w:rsidRPr="00A014FD">
              <w:rPr>
                <w:sz w:val="22"/>
              </w:rPr>
              <w:t>vehicle based</w:t>
            </w:r>
            <w:proofErr w:type="gramEnd"/>
            <w:r w:rsidRPr="00A014FD">
              <w:rPr>
                <w:sz w:val="22"/>
              </w:rPr>
              <w:t xml:space="preserve"> model</w:t>
            </w:r>
          </w:p>
        </w:tc>
        <w:tc>
          <w:tcPr>
            <w:tcW w:w="628" w:type="dxa"/>
            <w:noWrap/>
            <w:hideMark/>
          </w:tcPr>
          <w:p w14:paraId="5E863C56" w14:textId="77777777" w:rsidR="005400D8" w:rsidRPr="00A014FD" w:rsidRDefault="005400D8" w:rsidP="00704B82">
            <w:pPr>
              <w:spacing w:line="240" w:lineRule="auto"/>
              <w:rPr>
                <w:sz w:val="22"/>
              </w:rPr>
            </w:pPr>
            <w:r w:rsidRPr="00A014FD">
              <w:rPr>
                <w:sz w:val="22"/>
              </w:rPr>
              <w:t>94</w:t>
            </w:r>
          </w:p>
        </w:tc>
      </w:tr>
      <w:tr w:rsidR="005400D8" w:rsidRPr="00A014FD" w14:paraId="3496DB9C" w14:textId="77777777" w:rsidTr="00704B82">
        <w:trPr>
          <w:trHeight w:val="285"/>
        </w:trPr>
        <w:tc>
          <w:tcPr>
            <w:tcW w:w="13320" w:type="dxa"/>
            <w:noWrap/>
            <w:hideMark/>
          </w:tcPr>
          <w:p w14:paraId="5E6776ED" w14:textId="77777777" w:rsidR="005400D8" w:rsidRPr="00A014FD" w:rsidRDefault="005400D8" w:rsidP="00704B82">
            <w:pPr>
              <w:spacing w:line="240" w:lineRule="auto"/>
              <w:rPr>
                <w:sz w:val="22"/>
              </w:rPr>
            </w:pPr>
            <w:proofErr w:type="spellStart"/>
            <w:r w:rsidRPr="00A014FD">
              <w:rPr>
                <w:sz w:val="22"/>
              </w:rPr>
              <w:t>Localisation</w:t>
            </w:r>
            <w:proofErr w:type="spellEnd"/>
            <w:r w:rsidRPr="00A014FD">
              <w:rPr>
                <w:sz w:val="22"/>
              </w:rPr>
              <w:t xml:space="preserve"> of freight consolidation </w:t>
            </w:r>
            <w:proofErr w:type="spellStart"/>
            <w:r w:rsidRPr="00A014FD">
              <w:rPr>
                <w:sz w:val="22"/>
              </w:rPr>
              <w:t>centres</w:t>
            </w:r>
            <w:proofErr w:type="spellEnd"/>
            <w:r w:rsidRPr="00A014FD">
              <w:rPr>
                <w:sz w:val="22"/>
              </w:rPr>
              <w:t xml:space="preserve"> serving small road </w:t>
            </w:r>
            <w:proofErr w:type="spellStart"/>
            <w:r w:rsidRPr="00A014FD">
              <w:rPr>
                <w:sz w:val="22"/>
              </w:rPr>
              <w:t>hauliers</w:t>
            </w:r>
            <w:proofErr w:type="spellEnd"/>
            <w:r w:rsidRPr="00A014FD">
              <w:rPr>
                <w:sz w:val="22"/>
              </w:rPr>
              <w:t xml:space="preserve"> in a wider urban area: barriers for more efficient freight deliveries in Gothenburg</w:t>
            </w:r>
          </w:p>
        </w:tc>
        <w:tc>
          <w:tcPr>
            <w:tcW w:w="628" w:type="dxa"/>
            <w:noWrap/>
            <w:hideMark/>
          </w:tcPr>
          <w:p w14:paraId="424A39C4" w14:textId="77777777" w:rsidR="005400D8" w:rsidRPr="00A014FD" w:rsidRDefault="005400D8" w:rsidP="00704B82">
            <w:pPr>
              <w:spacing w:line="240" w:lineRule="auto"/>
              <w:rPr>
                <w:sz w:val="22"/>
              </w:rPr>
            </w:pPr>
            <w:r w:rsidRPr="00A014FD">
              <w:rPr>
                <w:sz w:val="22"/>
              </w:rPr>
              <w:t>95</w:t>
            </w:r>
          </w:p>
        </w:tc>
      </w:tr>
      <w:tr w:rsidR="005400D8" w:rsidRPr="00A014FD" w14:paraId="52D467EF" w14:textId="77777777" w:rsidTr="00704B82">
        <w:trPr>
          <w:trHeight w:val="285"/>
        </w:trPr>
        <w:tc>
          <w:tcPr>
            <w:tcW w:w="13320" w:type="dxa"/>
            <w:noWrap/>
            <w:hideMark/>
          </w:tcPr>
          <w:p w14:paraId="1A73CD7C" w14:textId="77777777" w:rsidR="005400D8" w:rsidRPr="00A014FD" w:rsidRDefault="005400D8" w:rsidP="00704B82">
            <w:pPr>
              <w:spacing w:line="240" w:lineRule="auto"/>
              <w:rPr>
                <w:sz w:val="22"/>
              </w:rPr>
            </w:pPr>
            <w:r w:rsidRPr="00A014FD">
              <w:rPr>
                <w:sz w:val="22"/>
              </w:rPr>
              <w:t>Towards Zero Emission Urban Logistics: Challenges and Issues for Implementation of Electric Freight Vehicles in City Logistics</w:t>
            </w:r>
          </w:p>
        </w:tc>
        <w:tc>
          <w:tcPr>
            <w:tcW w:w="628" w:type="dxa"/>
            <w:noWrap/>
            <w:hideMark/>
          </w:tcPr>
          <w:p w14:paraId="679ED168" w14:textId="77777777" w:rsidR="005400D8" w:rsidRPr="00A014FD" w:rsidRDefault="005400D8" w:rsidP="00704B82">
            <w:pPr>
              <w:spacing w:line="240" w:lineRule="auto"/>
              <w:rPr>
                <w:sz w:val="22"/>
              </w:rPr>
            </w:pPr>
            <w:r w:rsidRPr="00A014FD">
              <w:rPr>
                <w:sz w:val="22"/>
              </w:rPr>
              <w:t>96</w:t>
            </w:r>
          </w:p>
        </w:tc>
      </w:tr>
      <w:tr w:rsidR="005400D8" w:rsidRPr="00A014FD" w14:paraId="19BF9153" w14:textId="77777777" w:rsidTr="00704B82">
        <w:trPr>
          <w:trHeight w:val="285"/>
        </w:trPr>
        <w:tc>
          <w:tcPr>
            <w:tcW w:w="13320" w:type="dxa"/>
            <w:noWrap/>
            <w:hideMark/>
          </w:tcPr>
          <w:p w14:paraId="39A41DE8" w14:textId="77777777" w:rsidR="005400D8" w:rsidRPr="00A014FD" w:rsidRDefault="005400D8" w:rsidP="00704B82">
            <w:pPr>
              <w:spacing w:line="240" w:lineRule="auto"/>
              <w:rPr>
                <w:sz w:val="22"/>
              </w:rPr>
            </w:pPr>
            <w:r w:rsidRPr="00A014FD">
              <w:rPr>
                <w:sz w:val="22"/>
              </w:rPr>
              <w:t>Application of exact route optimization for the evaluation of a city logistics truck ban scheme</w:t>
            </w:r>
          </w:p>
        </w:tc>
        <w:tc>
          <w:tcPr>
            <w:tcW w:w="628" w:type="dxa"/>
            <w:noWrap/>
            <w:hideMark/>
          </w:tcPr>
          <w:p w14:paraId="681C1E34" w14:textId="77777777" w:rsidR="005400D8" w:rsidRPr="00A014FD" w:rsidRDefault="005400D8" w:rsidP="00704B82">
            <w:pPr>
              <w:spacing w:line="240" w:lineRule="auto"/>
              <w:rPr>
                <w:sz w:val="22"/>
              </w:rPr>
            </w:pPr>
            <w:r w:rsidRPr="00A014FD">
              <w:rPr>
                <w:sz w:val="22"/>
              </w:rPr>
              <w:t>97</w:t>
            </w:r>
          </w:p>
        </w:tc>
      </w:tr>
      <w:tr w:rsidR="005400D8" w:rsidRPr="00A014FD" w14:paraId="39A99B19" w14:textId="77777777" w:rsidTr="00704B82">
        <w:trPr>
          <w:trHeight w:val="285"/>
        </w:trPr>
        <w:tc>
          <w:tcPr>
            <w:tcW w:w="13320" w:type="dxa"/>
            <w:noWrap/>
            <w:hideMark/>
          </w:tcPr>
          <w:p w14:paraId="6536EE39" w14:textId="77777777" w:rsidR="005400D8" w:rsidRPr="00A014FD" w:rsidRDefault="005400D8" w:rsidP="00704B82">
            <w:pPr>
              <w:spacing w:line="240" w:lineRule="auto"/>
              <w:rPr>
                <w:sz w:val="22"/>
              </w:rPr>
            </w:pPr>
            <w:r w:rsidRPr="00A014FD">
              <w:rPr>
                <w:sz w:val="22"/>
              </w:rPr>
              <w:t>Green city logistics: Systems of Innovation to assess the potential of E-vehicles</w:t>
            </w:r>
          </w:p>
        </w:tc>
        <w:tc>
          <w:tcPr>
            <w:tcW w:w="628" w:type="dxa"/>
            <w:noWrap/>
            <w:hideMark/>
          </w:tcPr>
          <w:p w14:paraId="075DEF15" w14:textId="77777777" w:rsidR="005400D8" w:rsidRPr="00A014FD" w:rsidRDefault="005400D8" w:rsidP="00704B82">
            <w:pPr>
              <w:spacing w:line="240" w:lineRule="auto"/>
              <w:rPr>
                <w:sz w:val="22"/>
              </w:rPr>
            </w:pPr>
            <w:r w:rsidRPr="00A014FD">
              <w:rPr>
                <w:sz w:val="22"/>
              </w:rPr>
              <w:t>98</w:t>
            </w:r>
          </w:p>
        </w:tc>
      </w:tr>
      <w:tr w:rsidR="005400D8" w:rsidRPr="00A014FD" w14:paraId="3688921A" w14:textId="77777777" w:rsidTr="00704B82">
        <w:trPr>
          <w:trHeight w:val="285"/>
        </w:trPr>
        <w:tc>
          <w:tcPr>
            <w:tcW w:w="13320" w:type="dxa"/>
            <w:noWrap/>
            <w:hideMark/>
          </w:tcPr>
          <w:p w14:paraId="3AAFD6D7" w14:textId="77777777" w:rsidR="005400D8" w:rsidRPr="00A014FD" w:rsidRDefault="005400D8" w:rsidP="00704B82">
            <w:pPr>
              <w:spacing w:line="240" w:lineRule="auto"/>
              <w:rPr>
                <w:sz w:val="22"/>
              </w:rPr>
            </w:pPr>
            <w:r w:rsidRPr="00A014FD">
              <w:rPr>
                <w:sz w:val="22"/>
              </w:rPr>
              <w:t>A novel hybrid MCDM model based on fuzzy DEMATEL, fuzzy ANP and fuzzy VIKOR for city logistics concept selection</w:t>
            </w:r>
          </w:p>
        </w:tc>
        <w:tc>
          <w:tcPr>
            <w:tcW w:w="628" w:type="dxa"/>
            <w:noWrap/>
            <w:hideMark/>
          </w:tcPr>
          <w:p w14:paraId="06D1B7E5" w14:textId="77777777" w:rsidR="005400D8" w:rsidRPr="00A014FD" w:rsidRDefault="005400D8" w:rsidP="00704B82">
            <w:pPr>
              <w:spacing w:line="240" w:lineRule="auto"/>
              <w:rPr>
                <w:sz w:val="22"/>
              </w:rPr>
            </w:pPr>
            <w:r w:rsidRPr="00A014FD">
              <w:rPr>
                <w:sz w:val="22"/>
              </w:rPr>
              <w:t>99</w:t>
            </w:r>
          </w:p>
        </w:tc>
      </w:tr>
      <w:tr w:rsidR="005400D8" w:rsidRPr="00A014FD" w14:paraId="73DB63D1" w14:textId="77777777" w:rsidTr="00704B82">
        <w:trPr>
          <w:trHeight w:val="285"/>
        </w:trPr>
        <w:tc>
          <w:tcPr>
            <w:tcW w:w="13320" w:type="dxa"/>
            <w:noWrap/>
            <w:hideMark/>
          </w:tcPr>
          <w:p w14:paraId="3059B4FB" w14:textId="77777777" w:rsidR="005400D8" w:rsidRPr="00A014FD" w:rsidRDefault="005400D8" w:rsidP="00704B82">
            <w:pPr>
              <w:spacing w:line="240" w:lineRule="auto"/>
              <w:rPr>
                <w:sz w:val="22"/>
              </w:rPr>
            </w:pPr>
            <w:r w:rsidRPr="00A014FD">
              <w:rPr>
                <w:sz w:val="22"/>
              </w:rPr>
              <w:t xml:space="preserve">Transferability of urban freight transport measures: A case study of </w:t>
            </w:r>
            <w:proofErr w:type="spellStart"/>
            <w:r w:rsidRPr="00A014FD">
              <w:rPr>
                <w:sz w:val="22"/>
              </w:rPr>
              <w:t>Cariacica</w:t>
            </w:r>
            <w:proofErr w:type="spellEnd"/>
            <w:r w:rsidRPr="00A014FD">
              <w:rPr>
                <w:sz w:val="22"/>
              </w:rPr>
              <w:t xml:space="preserve"> (Brazil)</w:t>
            </w:r>
          </w:p>
        </w:tc>
        <w:tc>
          <w:tcPr>
            <w:tcW w:w="628" w:type="dxa"/>
            <w:noWrap/>
            <w:hideMark/>
          </w:tcPr>
          <w:p w14:paraId="7C80CA3C" w14:textId="77777777" w:rsidR="005400D8" w:rsidRPr="00A014FD" w:rsidRDefault="005400D8" w:rsidP="00704B82">
            <w:pPr>
              <w:spacing w:line="240" w:lineRule="auto"/>
              <w:rPr>
                <w:sz w:val="22"/>
              </w:rPr>
            </w:pPr>
            <w:r w:rsidRPr="00A014FD">
              <w:rPr>
                <w:sz w:val="22"/>
              </w:rPr>
              <w:t>100</w:t>
            </w:r>
          </w:p>
        </w:tc>
      </w:tr>
      <w:tr w:rsidR="005400D8" w:rsidRPr="00A014FD" w14:paraId="2139C998" w14:textId="77777777" w:rsidTr="00704B82">
        <w:trPr>
          <w:trHeight w:val="285"/>
        </w:trPr>
        <w:tc>
          <w:tcPr>
            <w:tcW w:w="13320" w:type="dxa"/>
            <w:noWrap/>
            <w:hideMark/>
          </w:tcPr>
          <w:p w14:paraId="42914B3A" w14:textId="77777777" w:rsidR="005400D8" w:rsidRPr="00A014FD" w:rsidRDefault="005400D8" w:rsidP="00704B82">
            <w:pPr>
              <w:spacing w:line="240" w:lineRule="auto"/>
              <w:rPr>
                <w:sz w:val="22"/>
              </w:rPr>
            </w:pPr>
            <w:r w:rsidRPr="00A014FD">
              <w:rPr>
                <w:sz w:val="22"/>
              </w:rPr>
              <w:lastRenderedPageBreak/>
              <w:t>Can low emission zones be managed more dynamically and effectively?</w:t>
            </w:r>
          </w:p>
        </w:tc>
        <w:tc>
          <w:tcPr>
            <w:tcW w:w="628" w:type="dxa"/>
            <w:noWrap/>
            <w:hideMark/>
          </w:tcPr>
          <w:p w14:paraId="5AFFC51D" w14:textId="77777777" w:rsidR="005400D8" w:rsidRPr="00A014FD" w:rsidRDefault="005400D8" w:rsidP="00704B82">
            <w:pPr>
              <w:spacing w:line="240" w:lineRule="auto"/>
              <w:rPr>
                <w:sz w:val="22"/>
              </w:rPr>
            </w:pPr>
            <w:r w:rsidRPr="00A014FD">
              <w:rPr>
                <w:sz w:val="22"/>
              </w:rPr>
              <w:t>101</w:t>
            </w:r>
          </w:p>
        </w:tc>
      </w:tr>
      <w:tr w:rsidR="005400D8" w:rsidRPr="00A014FD" w14:paraId="36CF0D4E" w14:textId="77777777" w:rsidTr="00704B82">
        <w:trPr>
          <w:trHeight w:val="285"/>
        </w:trPr>
        <w:tc>
          <w:tcPr>
            <w:tcW w:w="13320" w:type="dxa"/>
            <w:noWrap/>
            <w:hideMark/>
          </w:tcPr>
          <w:p w14:paraId="40F7A0D0" w14:textId="77777777" w:rsidR="005400D8" w:rsidRPr="00A014FD" w:rsidRDefault="005400D8" w:rsidP="00704B82">
            <w:pPr>
              <w:spacing w:line="240" w:lineRule="auto"/>
              <w:rPr>
                <w:sz w:val="22"/>
              </w:rPr>
            </w:pPr>
            <w:r w:rsidRPr="00A014FD">
              <w:rPr>
                <w:sz w:val="22"/>
              </w:rPr>
              <w:t>City logistics through the canals? A simulation study on freight waterborne transport in the inner city of Amsterdam</w:t>
            </w:r>
          </w:p>
        </w:tc>
        <w:tc>
          <w:tcPr>
            <w:tcW w:w="628" w:type="dxa"/>
            <w:noWrap/>
            <w:hideMark/>
          </w:tcPr>
          <w:p w14:paraId="76E1282C" w14:textId="77777777" w:rsidR="005400D8" w:rsidRPr="00A014FD" w:rsidRDefault="005400D8" w:rsidP="00704B82">
            <w:pPr>
              <w:spacing w:line="240" w:lineRule="auto"/>
              <w:rPr>
                <w:sz w:val="22"/>
              </w:rPr>
            </w:pPr>
            <w:r w:rsidRPr="00A014FD">
              <w:rPr>
                <w:sz w:val="22"/>
              </w:rPr>
              <w:t>102</w:t>
            </w:r>
          </w:p>
        </w:tc>
      </w:tr>
      <w:tr w:rsidR="005400D8" w:rsidRPr="00A014FD" w14:paraId="3015D355" w14:textId="77777777" w:rsidTr="00704B82">
        <w:trPr>
          <w:trHeight w:val="285"/>
        </w:trPr>
        <w:tc>
          <w:tcPr>
            <w:tcW w:w="13320" w:type="dxa"/>
            <w:noWrap/>
            <w:hideMark/>
          </w:tcPr>
          <w:p w14:paraId="403E43C6" w14:textId="77777777" w:rsidR="005400D8" w:rsidRPr="00A014FD" w:rsidRDefault="005400D8" w:rsidP="00704B82">
            <w:pPr>
              <w:spacing w:line="240" w:lineRule="auto"/>
              <w:rPr>
                <w:sz w:val="22"/>
              </w:rPr>
            </w:pPr>
            <w:r w:rsidRPr="00A014FD">
              <w:rPr>
                <w:sz w:val="22"/>
              </w:rPr>
              <w:t xml:space="preserve">The assessment of pollutants emissions within sustainable urban freight transport development the case of </w:t>
            </w:r>
            <w:proofErr w:type="spellStart"/>
            <w:r w:rsidRPr="00A014FD">
              <w:rPr>
                <w:sz w:val="22"/>
              </w:rPr>
              <w:t>novi</w:t>
            </w:r>
            <w:proofErr w:type="spellEnd"/>
            <w:r w:rsidRPr="00A014FD">
              <w:rPr>
                <w:sz w:val="22"/>
              </w:rPr>
              <w:t xml:space="preserve"> sad</w:t>
            </w:r>
          </w:p>
        </w:tc>
        <w:tc>
          <w:tcPr>
            <w:tcW w:w="628" w:type="dxa"/>
            <w:noWrap/>
            <w:hideMark/>
          </w:tcPr>
          <w:p w14:paraId="2FBAE5FC" w14:textId="77777777" w:rsidR="005400D8" w:rsidRPr="00A014FD" w:rsidRDefault="005400D8" w:rsidP="00704B82">
            <w:pPr>
              <w:spacing w:line="240" w:lineRule="auto"/>
              <w:rPr>
                <w:sz w:val="22"/>
              </w:rPr>
            </w:pPr>
            <w:r w:rsidRPr="00A014FD">
              <w:rPr>
                <w:sz w:val="22"/>
              </w:rPr>
              <w:t>103</w:t>
            </w:r>
          </w:p>
        </w:tc>
      </w:tr>
      <w:tr w:rsidR="005400D8" w:rsidRPr="00A014FD" w14:paraId="691D48EA" w14:textId="77777777" w:rsidTr="00704B82">
        <w:trPr>
          <w:trHeight w:val="285"/>
        </w:trPr>
        <w:tc>
          <w:tcPr>
            <w:tcW w:w="13320" w:type="dxa"/>
            <w:noWrap/>
            <w:hideMark/>
          </w:tcPr>
          <w:p w14:paraId="5059351A" w14:textId="77777777" w:rsidR="005400D8" w:rsidRPr="00A014FD" w:rsidRDefault="005400D8" w:rsidP="00704B82">
            <w:pPr>
              <w:spacing w:line="240" w:lineRule="auto"/>
              <w:rPr>
                <w:sz w:val="22"/>
              </w:rPr>
            </w:pPr>
            <w:r w:rsidRPr="00A014FD">
              <w:rPr>
                <w:sz w:val="22"/>
              </w:rPr>
              <w:t>Telematics, urban freight logistics and low carbon road networks</w:t>
            </w:r>
          </w:p>
        </w:tc>
        <w:tc>
          <w:tcPr>
            <w:tcW w:w="628" w:type="dxa"/>
            <w:noWrap/>
            <w:hideMark/>
          </w:tcPr>
          <w:p w14:paraId="0956FC64" w14:textId="77777777" w:rsidR="005400D8" w:rsidRPr="00A014FD" w:rsidRDefault="005400D8" w:rsidP="00704B82">
            <w:pPr>
              <w:spacing w:line="240" w:lineRule="auto"/>
              <w:rPr>
                <w:sz w:val="22"/>
              </w:rPr>
            </w:pPr>
            <w:r w:rsidRPr="00A014FD">
              <w:rPr>
                <w:sz w:val="22"/>
              </w:rPr>
              <w:t>104</w:t>
            </w:r>
          </w:p>
        </w:tc>
      </w:tr>
      <w:tr w:rsidR="005400D8" w:rsidRPr="00A014FD" w14:paraId="6E6D2A1B" w14:textId="77777777" w:rsidTr="00704B82">
        <w:trPr>
          <w:trHeight w:val="285"/>
        </w:trPr>
        <w:tc>
          <w:tcPr>
            <w:tcW w:w="13320" w:type="dxa"/>
            <w:noWrap/>
            <w:hideMark/>
          </w:tcPr>
          <w:p w14:paraId="238328E1" w14:textId="77777777" w:rsidR="005400D8" w:rsidRPr="00A014FD" w:rsidRDefault="005400D8" w:rsidP="00704B82">
            <w:pPr>
              <w:spacing w:line="240" w:lineRule="auto"/>
              <w:rPr>
                <w:sz w:val="22"/>
              </w:rPr>
            </w:pPr>
            <w:r w:rsidRPr="00A014FD">
              <w:rPr>
                <w:sz w:val="22"/>
              </w:rPr>
              <w:t>Utilizing urban form characteristics in urban logistics analysis: a case study in Lisbon, Portugal</w:t>
            </w:r>
          </w:p>
        </w:tc>
        <w:tc>
          <w:tcPr>
            <w:tcW w:w="628" w:type="dxa"/>
            <w:noWrap/>
            <w:hideMark/>
          </w:tcPr>
          <w:p w14:paraId="79C3FA7B" w14:textId="77777777" w:rsidR="005400D8" w:rsidRPr="00A014FD" w:rsidRDefault="005400D8" w:rsidP="00704B82">
            <w:pPr>
              <w:spacing w:line="240" w:lineRule="auto"/>
              <w:rPr>
                <w:sz w:val="22"/>
              </w:rPr>
            </w:pPr>
            <w:r w:rsidRPr="00A014FD">
              <w:rPr>
                <w:sz w:val="22"/>
              </w:rPr>
              <w:t>105</w:t>
            </w:r>
          </w:p>
        </w:tc>
      </w:tr>
      <w:tr w:rsidR="005400D8" w:rsidRPr="00A014FD" w14:paraId="7BC3E43A" w14:textId="77777777" w:rsidTr="00704B82">
        <w:trPr>
          <w:trHeight w:val="285"/>
        </w:trPr>
        <w:tc>
          <w:tcPr>
            <w:tcW w:w="13320" w:type="dxa"/>
            <w:noWrap/>
            <w:hideMark/>
          </w:tcPr>
          <w:p w14:paraId="6CF53D86" w14:textId="77777777" w:rsidR="005400D8" w:rsidRPr="00A014FD" w:rsidRDefault="005400D8" w:rsidP="00704B82">
            <w:pPr>
              <w:spacing w:line="240" w:lineRule="auto"/>
              <w:rPr>
                <w:sz w:val="22"/>
              </w:rPr>
            </w:pPr>
            <w:r w:rsidRPr="00A014FD">
              <w:rPr>
                <w:sz w:val="22"/>
              </w:rPr>
              <w:t>Development of a new concept electric vehicle for last mile transportations</w:t>
            </w:r>
          </w:p>
        </w:tc>
        <w:tc>
          <w:tcPr>
            <w:tcW w:w="628" w:type="dxa"/>
            <w:noWrap/>
            <w:hideMark/>
          </w:tcPr>
          <w:p w14:paraId="1746374B" w14:textId="77777777" w:rsidR="005400D8" w:rsidRPr="00A014FD" w:rsidRDefault="005400D8" w:rsidP="00704B82">
            <w:pPr>
              <w:spacing w:line="240" w:lineRule="auto"/>
              <w:rPr>
                <w:sz w:val="22"/>
              </w:rPr>
            </w:pPr>
            <w:r w:rsidRPr="00A014FD">
              <w:rPr>
                <w:sz w:val="22"/>
              </w:rPr>
              <w:t>106</w:t>
            </w:r>
          </w:p>
        </w:tc>
      </w:tr>
      <w:tr w:rsidR="005400D8" w:rsidRPr="00A014FD" w14:paraId="7CDAC9AD" w14:textId="77777777" w:rsidTr="00704B82">
        <w:trPr>
          <w:trHeight w:val="285"/>
        </w:trPr>
        <w:tc>
          <w:tcPr>
            <w:tcW w:w="13320" w:type="dxa"/>
            <w:noWrap/>
            <w:hideMark/>
          </w:tcPr>
          <w:p w14:paraId="251776D0" w14:textId="77777777" w:rsidR="005400D8" w:rsidRPr="00A014FD" w:rsidRDefault="005400D8" w:rsidP="00704B82">
            <w:pPr>
              <w:spacing w:line="240" w:lineRule="auto"/>
              <w:rPr>
                <w:sz w:val="22"/>
              </w:rPr>
            </w:pPr>
            <w:r w:rsidRPr="00A014FD">
              <w:rPr>
                <w:sz w:val="22"/>
              </w:rPr>
              <w:t>Toward sustainability with the coordinated freight distribution of municipal goods</w:t>
            </w:r>
          </w:p>
        </w:tc>
        <w:tc>
          <w:tcPr>
            <w:tcW w:w="628" w:type="dxa"/>
            <w:noWrap/>
            <w:hideMark/>
          </w:tcPr>
          <w:p w14:paraId="1035D937" w14:textId="77777777" w:rsidR="005400D8" w:rsidRPr="00A014FD" w:rsidRDefault="005400D8" w:rsidP="00704B82">
            <w:pPr>
              <w:spacing w:line="240" w:lineRule="auto"/>
              <w:rPr>
                <w:sz w:val="22"/>
              </w:rPr>
            </w:pPr>
            <w:r w:rsidRPr="00A014FD">
              <w:rPr>
                <w:sz w:val="22"/>
              </w:rPr>
              <w:t>107</w:t>
            </w:r>
          </w:p>
        </w:tc>
      </w:tr>
      <w:tr w:rsidR="005400D8" w:rsidRPr="00A014FD" w14:paraId="4DC1DC8D" w14:textId="77777777" w:rsidTr="00704B82">
        <w:trPr>
          <w:trHeight w:val="285"/>
        </w:trPr>
        <w:tc>
          <w:tcPr>
            <w:tcW w:w="13320" w:type="dxa"/>
            <w:noWrap/>
            <w:hideMark/>
          </w:tcPr>
          <w:p w14:paraId="7077E29D" w14:textId="77777777" w:rsidR="005400D8" w:rsidRPr="00A014FD" w:rsidRDefault="005400D8" w:rsidP="00704B82">
            <w:pPr>
              <w:spacing w:line="240" w:lineRule="auto"/>
              <w:rPr>
                <w:sz w:val="22"/>
              </w:rPr>
            </w:pPr>
            <w:r w:rsidRPr="00A014FD">
              <w:rPr>
                <w:sz w:val="22"/>
              </w:rPr>
              <w:t xml:space="preserve">A set covering based </w:t>
            </w:r>
            <w:proofErr w:type="spellStart"/>
            <w:r w:rsidRPr="00A014FD">
              <w:rPr>
                <w:sz w:val="22"/>
              </w:rPr>
              <w:t>matheuristic</w:t>
            </w:r>
            <w:proofErr w:type="spellEnd"/>
            <w:r w:rsidRPr="00A014FD">
              <w:rPr>
                <w:sz w:val="22"/>
              </w:rPr>
              <w:t xml:space="preserve"> for a </w:t>
            </w:r>
            <w:proofErr w:type="gramStart"/>
            <w:r w:rsidRPr="00A014FD">
              <w:rPr>
                <w:sz w:val="22"/>
              </w:rPr>
              <w:t>real world</w:t>
            </w:r>
            <w:proofErr w:type="gramEnd"/>
            <w:r w:rsidRPr="00A014FD">
              <w:rPr>
                <w:sz w:val="22"/>
              </w:rPr>
              <w:t xml:space="preserve"> city logistics problem</w:t>
            </w:r>
          </w:p>
        </w:tc>
        <w:tc>
          <w:tcPr>
            <w:tcW w:w="628" w:type="dxa"/>
            <w:noWrap/>
            <w:hideMark/>
          </w:tcPr>
          <w:p w14:paraId="423D891C" w14:textId="77777777" w:rsidR="005400D8" w:rsidRPr="00A014FD" w:rsidRDefault="005400D8" w:rsidP="00704B82">
            <w:pPr>
              <w:spacing w:line="240" w:lineRule="auto"/>
              <w:rPr>
                <w:sz w:val="22"/>
              </w:rPr>
            </w:pPr>
            <w:r w:rsidRPr="00A014FD">
              <w:rPr>
                <w:sz w:val="22"/>
              </w:rPr>
              <w:t>108</w:t>
            </w:r>
          </w:p>
        </w:tc>
      </w:tr>
      <w:tr w:rsidR="005400D8" w:rsidRPr="00A014FD" w14:paraId="2BA1E7E3" w14:textId="77777777" w:rsidTr="00704B82">
        <w:trPr>
          <w:trHeight w:val="285"/>
        </w:trPr>
        <w:tc>
          <w:tcPr>
            <w:tcW w:w="13320" w:type="dxa"/>
            <w:noWrap/>
            <w:hideMark/>
          </w:tcPr>
          <w:p w14:paraId="2136DDD9" w14:textId="77777777" w:rsidR="005400D8" w:rsidRPr="00A014FD" w:rsidRDefault="005400D8" w:rsidP="00704B82">
            <w:pPr>
              <w:spacing w:line="240" w:lineRule="auto"/>
              <w:rPr>
                <w:sz w:val="22"/>
              </w:rPr>
            </w:pPr>
            <w:r w:rsidRPr="00A014FD">
              <w:rPr>
                <w:sz w:val="22"/>
              </w:rPr>
              <w:t>An ontology based CBR approach for personalized itinerary search systems for sustainable urban freight transport</w:t>
            </w:r>
          </w:p>
        </w:tc>
        <w:tc>
          <w:tcPr>
            <w:tcW w:w="628" w:type="dxa"/>
            <w:noWrap/>
            <w:hideMark/>
          </w:tcPr>
          <w:p w14:paraId="50E99264" w14:textId="77777777" w:rsidR="005400D8" w:rsidRPr="00A014FD" w:rsidRDefault="005400D8" w:rsidP="00704B82">
            <w:pPr>
              <w:spacing w:line="240" w:lineRule="auto"/>
              <w:rPr>
                <w:sz w:val="22"/>
              </w:rPr>
            </w:pPr>
            <w:r w:rsidRPr="00A014FD">
              <w:rPr>
                <w:sz w:val="22"/>
              </w:rPr>
              <w:t>109</w:t>
            </w:r>
          </w:p>
        </w:tc>
      </w:tr>
      <w:tr w:rsidR="005400D8" w:rsidRPr="00A014FD" w14:paraId="429D7953" w14:textId="77777777" w:rsidTr="00704B82">
        <w:trPr>
          <w:trHeight w:val="285"/>
        </w:trPr>
        <w:tc>
          <w:tcPr>
            <w:tcW w:w="13320" w:type="dxa"/>
            <w:noWrap/>
            <w:hideMark/>
          </w:tcPr>
          <w:p w14:paraId="7D49B5F8" w14:textId="77777777" w:rsidR="005400D8" w:rsidRPr="00A014FD" w:rsidRDefault="005400D8" w:rsidP="00704B82">
            <w:pPr>
              <w:spacing w:line="240" w:lineRule="auto"/>
              <w:rPr>
                <w:sz w:val="22"/>
              </w:rPr>
            </w:pPr>
            <w:r w:rsidRPr="00A014FD">
              <w:rPr>
                <w:sz w:val="22"/>
              </w:rPr>
              <w:t>The electric vehicle routing problem with energy consumption uncertainty</w:t>
            </w:r>
          </w:p>
        </w:tc>
        <w:tc>
          <w:tcPr>
            <w:tcW w:w="628" w:type="dxa"/>
            <w:noWrap/>
            <w:hideMark/>
          </w:tcPr>
          <w:p w14:paraId="0FD6E861" w14:textId="77777777" w:rsidR="005400D8" w:rsidRPr="00A014FD" w:rsidRDefault="005400D8" w:rsidP="00704B82">
            <w:pPr>
              <w:spacing w:line="240" w:lineRule="auto"/>
              <w:rPr>
                <w:sz w:val="22"/>
              </w:rPr>
            </w:pPr>
            <w:r w:rsidRPr="00A014FD">
              <w:rPr>
                <w:sz w:val="22"/>
              </w:rPr>
              <w:t>110</w:t>
            </w:r>
          </w:p>
        </w:tc>
      </w:tr>
      <w:tr w:rsidR="005400D8" w:rsidRPr="00A014FD" w14:paraId="34752C5B" w14:textId="77777777" w:rsidTr="00704B82">
        <w:trPr>
          <w:trHeight w:val="285"/>
        </w:trPr>
        <w:tc>
          <w:tcPr>
            <w:tcW w:w="13320" w:type="dxa"/>
            <w:noWrap/>
            <w:hideMark/>
          </w:tcPr>
          <w:p w14:paraId="2E4445D0" w14:textId="77777777" w:rsidR="005400D8" w:rsidRPr="00A014FD" w:rsidRDefault="005400D8" w:rsidP="00704B82">
            <w:pPr>
              <w:spacing w:line="240" w:lineRule="auto"/>
              <w:rPr>
                <w:sz w:val="22"/>
              </w:rPr>
            </w:pPr>
            <w:r w:rsidRPr="00A014FD">
              <w:rPr>
                <w:sz w:val="22"/>
              </w:rPr>
              <w:t>Vehicle routing problems for city logistics</w:t>
            </w:r>
          </w:p>
        </w:tc>
        <w:tc>
          <w:tcPr>
            <w:tcW w:w="628" w:type="dxa"/>
            <w:noWrap/>
            <w:hideMark/>
          </w:tcPr>
          <w:p w14:paraId="0C36FC2E" w14:textId="77777777" w:rsidR="005400D8" w:rsidRPr="00A014FD" w:rsidRDefault="005400D8" w:rsidP="00704B82">
            <w:pPr>
              <w:spacing w:line="240" w:lineRule="auto"/>
              <w:rPr>
                <w:sz w:val="22"/>
              </w:rPr>
            </w:pPr>
            <w:r w:rsidRPr="00A014FD">
              <w:rPr>
                <w:sz w:val="22"/>
              </w:rPr>
              <w:t>111</w:t>
            </w:r>
          </w:p>
        </w:tc>
      </w:tr>
      <w:tr w:rsidR="005400D8" w:rsidRPr="00A014FD" w14:paraId="5BCA96A3" w14:textId="77777777" w:rsidTr="00704B82">
        <w:trPr>
          <w:trHeight w:val="285"/>
        </w:trPr>
        <w:tc>
          <w:tcPr>
            <w:tcW w:w="13320" w:type="dxa"/>
            <w:noWrap/>
            <w:hideMark/>
          </w:tcPr>
          <w:p w14:paraId="0E336904" w14:textId="77777777" w:rsidR="005400D8" w:rsidRPr="00A014FD" w:rsidRDefault="005400D8" w:rsidP="00704B82">
            <w:pPr>
              <w:spacing w:line="240" w:lineRule="auto"/>
              <w:rPr>
                <w:sz w:val="22"/>
              </w:rPr>
            </w:pPr>
            <w:r w:rsidRPr="00A014FD">
              <w:rPr>
                <w:sz w:val="22"/>
              </w:rPr>
              <w:t>Modeling Demand Uncertainty in Two Tier City Logistics Tactical Planning</w:t>
            </w:r>
          </w:p>
        </w:tc>
        <w:tc>
          <w:tcPr>
            <w:tcW w:w="628" w:type="dxa"/>
            <w:noWrap/>
            <w:hideMark/>
          </w:tcPr>
          <w:p w14:paraId="65507CA4" w14:textId="77777777" w:rsidR="005400D8" w:rsidRPr="00A014FD" w:rsidRDefault="005400D8" w:rsidP="00704B82">
            <w:pPr>
              <w:spacing w:line="240" w:lineRule="auto"/>
              <w:rPr>
                <w:sz w:val="22"/>
              </w:rPr>
            </w:pPr>
            <w:r w:rsidRPr="00A014FD">
              <w:rPr>
                <w:sz w:val="22"/>
              </w:rPr>
              <w:t>112</w:t>
            </w:r>
          </w:p>
        </w:tc>
      </w:tr>
      <w:tr w:rsidR="005400D8" w:rsidRPr="00A014FD" w14:paraId="6D7061C4" w14:textId="77777777" w:rsidTr="00704B82">
        <w:trPr>
          <w:trHeight w:val="285"/>
        </w:trPr>
        <w:tc>
          <w:tcPr>
            <w:tcW w:w="13320" w:type="dxa"/>
            <w:noWrap/>
            <w:hideMark/>
          </w:tcPr>
          <w:p w14:paraId="0601DD1C" w14:textId="77777777" w:rsidR="005400D8" w:rsidRPr="00A014FD" w:rsidRDefault="005400D8" w:rsidP="00704B82">
            <w:pPr>
              <w:spacing w:line="240" w:lineRule="auto"/>
              <w:rPr>
                <w:sz w:val="22"/>
              </w:rPr>
            </w:pPr>
            <w:r w:rsidRPr="00A014FD">
              <w:rPr>
                <w:sz w:val="22"/>
              </w:rPr>
              <w:t>Planning for Urban Freight Transport: An Overview</w:t>
            </w:r>
          </w:p>
        </w:tc>
        <w:tc>
          <w:tcPr>
            <w:tcW w:w="628" w:type="dxa"/>
            <w:noWrap/>
            <w:hideMark/>
          </w:tcPr>
          <w:p w14:paraId="108C323F" w14:textId="77777777" w:rsidR="005400D8" w:rsidRPr="00A014FD" w:rsidRDefault="005400D8" w:rsidP="00704B82">
            <w:pPr>
              <w:spacing w:line="240" w:lineRule="auto"/>
              <w:rPr>
                <w:sz w:val="22"/>
              </w:rPr>
            </w:pPr>
            <w:r w:rsidRPr="00A014FD">
              <w:rPr>
                <w:sz w:val="22"/>
              </w:rPr>
              <w:t>113</w:t>
            </w:r>
          </w:p>
        </w:tc>
      </w:tr>
      <w:tr w:rsidR="005400D8" w:rsidRPr="00A014FD" w14:paraId="7F766FCD" w14:textId="77777777" w:rsidTr="00704B82">
        <w:trPr>
          <w:trHeight w:val="285"/>
        </w:trPr>
        <w:tc>
          <w:tcPr>
            <w:tcW w:w="13320" w:type="dxa"/>
            <w:noWrap/>
            <w:hideMark/>
          </w:tcPr>
          <w:p w14:paraId="0B6395F7" w14:textId="77777777" w:rsidR="005400D8" w:rsidRPr="00A014FD" w:rsidRDefault="005400D8" w:rsidP="00704B82">
            <w:pPr>
              <w:spacing w:line="240" w:lineRule="auto"/>
              <w:rPr>
                <w:sz w:val="22"/>
              </w:rPr>
            </w:pPr>
            <w:r w:rsidRPr="00A014FD">
              <w:rPr>
                <w:sz w:val="22"/>
              </w:rPr>
              <w:t>New city logistics paradigm: From the "Last Mile" to the "Last 50 Miles" sustainable distribution</w:t>
            </w:r>
          </w:p>
        </w:tc>
        <w:tc>
          <w:tcPr>
            <w:tcW w:w="628" w:type="dxa"/>
            <w:noWrap/>
            <w:hideMark/>
          </w:tcPr>
          <w:p w14:paraId="067CDEA7" w14:textId="77777777" w:rsidR="005400D8" w:rsidRPr="00A014FD" w:rsidRDefault="005400D8" w:rsidP="00704B82">
            <w:pPr>
              <w:spacing w:line="240" w:lineRule="auto"/>
              <w:rPr>
                <w:sz w:val="22"/>
              </w:rPr>
            </w:pPr>
            <w:r w:rsidRPr="00A014FD">
              <w:rPr>
                <w:sz w:val="22"/>
              </w:rPr>
              <w:t>114</w:t>
            </w:r>
          </w:p>
        </w:tc>
      </w:tr>
      <w:tr w:rsidR="005400D8" w:rsidRPr="00A014FD" w14:paraId="7A695EA5" w14:textId="77777777" w:rsidTr="00704B82">
        <w:trPr>
          <w:trHeight w:val="285"/>
        </w:trPr>
        <w:tc>
          <w:tcPr>
            <w:tcW w:w="13320" w:type="dxa"/>
            <w:noWrap/>
            <w:hideMark/>
          </w:tcPr>
          <w:p w14:paraId="7DAC0215" w14:textId="77777777" w:rsidR="005400D8" w:rsidRPr="00A014FD" w:rsidRDefault="005400D8" w:rsidP="00704B82">
            <w:pPr>
              <w:spacing w:line="240" w:lineRule="auto"/>
              <w:rPr>
                <w:sz w:val="22"/>
              </w:rPr>
            </w:pPr>
            <w:r w:rsidRPr="00A014FD">
              <w:rPr>
                <w:sz w:val="22"/>
              </w:rPr>
              <w:t>Planning and operating a shared goods and passengers on demand rapid transit system for sustainable city logistics</w:t>
            </w:r>
          </w:p>
        </w:tc>
        <w:tc>
          <w:tcPr>
            <w:tcW w:w="628" w:type="dxa"/>
            <w:noWrap/>
            <w:hideMark/>
          </w:tcPr>
          <w:p w14:paraId="4AD8CE26" w14:textId="77777777" w:rsidR="005400D8" w:rsidRPr="00A014FD" w:rsidRDefault="005400D8" w:rsidP="00704B82">
            <w:pPr>
              <w:spacing w:line="240" w:lineRule="auto"/>
              <w:rPr>
                <w:sz w:val="22"/>
              </w:rPr>
            </w:pPr>
            <w:r w:rsidRPr="00A014FD">
              <w:rPr>
                <w:sz w:val="22"/>
              </w:rPr>
              <w:t>115</w:t>
            </w:r>
          </w:p>
        </w:tc>
      </w:tr>
      <w:tr w:rsidR="005400D8" w:rsidRPr="00A014FD" w14:paraId="419D4374" w14:textId="77777777" w:rsidTr="00704B82">
        <w:trPr>
          <w:trHeight w:val="285"/>
        </w:trPr>
        <w:tc>
          <w:tcPr>
            <w:tcW w:w="13320" w:type="dxa"/>
            <w:noWrap/>
            <w:hideMark/>
          </w:tcPr>
          <w:p w14:paraId="3760CDCA" w14:textId="77777777" w:rsidR="005400D8" w:rsidRPr="00A014FD" w:rsidRDefault="005400D8" w:rsidP="00704B82">
            <w:pPr>
              <w:spacing w:line="240" w:lineRule="auto"/>
              <w:rPr>
                <w:sz w:val="22"/>
              </w:rPr>
            </w:pPr>
            <w:r w:rsidRPr="00A014FD">
              <w:rPr>
                <w:sz w:val="22"/>
              </w:rPr>
              <w:t xml:space="preserve">The emergence of city </w:t>
            </w:r>
            <w:proofErr w:type="spellStart"/>
            <w:proofErr w:type="gramStart"/>
            <w:r w:rsidRPr="00A014FD">
              <w:rPr>
                <w:sz w:val="22"/>
              </w:rPr>
              <w:t>logistics:The</w:t>
            </w:r>
            <w:proofErr w:type="spellEnd"/>
            <w:proofErr w:type="gramEnd"/>
            <w:r w:rsidRPr="00A014FD">
              <w:rPr>
                <w:sz w:val="22"/>
              </w:rPr>
              <w:t xml:space="preserve"> case of Copenhagen’s City </w:t>
            </w:r>
            <w:proofErr w:type="spellStart"/>
            <w:r w:rsidRPr="00A014FD">
              <w:rPr>
                <w:sz w:val="22"/>
              </w:rPr>
              <w:t>logistikkbh</w:t>
            </w:r>
            <w:proofErr w:type="spellEnd"/>
          </w:p>
        </w:tc>
        <w:tc>
          <w:tcPr>
            <w:tcW w:w="628" w:type="dxa"/>
            <w:noWrap/>
            <w:hideMark/>
          </w:tcPr>
          <w:p w14:paraId="17C37CF3" w14:textId="77777777" w:rsidR="005400D8" w:rsidRPr="00A014FD" w:rsidRDefault="005400D8" w:rsidP="00704B82">
            <w:pPr>
              <w:spacing w:line="240" w:lineRule="auto"/>
              <w:rPr>
                <w:sz w:val="22"/>
              </w:rPr>
            </w:pPr>
            <w:r w:rsidRPr="00A014FD">
              <w:rPr>
                <w:sz w:val="22"/>
              </w:rPr>
              <w:t>116</w:t>
            </w:r>
          </w:p>
        </w:tc>
      </w:tr>
      <w:tr w:rsidR="005400D8" w:rsidRPr="00A014FD" w14:paraId="483049EB" w14:textId="77777777" w:rsidTr="00704B82">
        <w:trPr>
          <w:trHeight w:val="285"/>
        </w:trPr>
        <w:tc>
          <w:tcPr>
            <w:tcW w:w="13320" w:type="dxa"/>
            <w:noWrap/>
            <w:hideMark/>
          </w:tcPr>
          <w:p w14:paraId="4931966D" w14:textId="77777777" w:rsidR="005400D8" w:rsidRPr="00A014FD" w:rsidRDefault="005400D8" w:rsidP="00704B82">
            <w:pPr>
              <w:spacing w:line="240" w:lineRule="auto"/>
              <w:rPr>
                <w:sz w:val="22"/>
              </w:rPr>
            </w:pPr>
            <w:proofErr w:type="spellStart"/>
            <w:r w:rsidRPr="00A014FD">
              <w:rPr>
                <w:sz w:val="22"/>
              </w:rPr>
              <w:t>Ecosocioeconomics</w:t>
            </w:r>
            <w:proofErr w:type="spellEnd"/>
            <w:r w:rsidRPr="00A014FD">
              <w:rPr>
                <w:sz w:val="22"/>
              </w:rPr>
              <w:t xml:space="preserve"> and logistics of urban delivery: Sustainability indicators</w:t>
            </w:r>
          </w:p>
        </w:tc>
        <w:tc>
          <w:tcPr>
            <w:tcW w:w="628" w:type="dxa"/>
            <w:noWrap/>
            <w:hideMark/>
          </w:tcPr>
          <w:p w14:paraId="0E64B2E9" w14:textId="77777777" w:rsidR="005400D8" w:rsidRPr="00A014FD" w:rsidRDefault="005400D8" w:rsidP="00704B82">
            <w:pPr>
              <w:spacing w:line="240" w:lineRule="auto"/>
              <w:rPr>
                <w:sz w:val="22"/>
              </w:rPr>
            </w:pPr>
            <w:r w:rsidRPr="00A014FD">
              <w:rPr>
                <w:sz w:val="22"/>
              </w:rPr>
              <w:t>117</w:t>
            </w:r>
          </w:p>
        </w:tc>
      </w:tr>
      <w:tr w:rsidR="005400D8" w:rsidRPr="00A014FD" w14:paraId="2C2B6126" w14:textId="77777777" w:rsidTr="00704B82">
        <w:trPr>
          <w:trHeight w:val="285"/>
        </w:trPr>
        <w:tc>
          <w:tcPr>
            <w:tcW w:w="13320" w:type="dxa"/>
            <w:noWrap/>
            <w:hideMark/>
          </w:tcPr>
          <w:p w14:paraId="7F909BD4" w14:textId="77777777" w:rsidR="005400D8" w:rsidRPr="00A014FD" w:rsidRDefault="005400D8" w:rsidP="00704B82">
            <w:pPr>
              <w:spacing w:line="240" w:lineRule="auto"/>
              <w:rPr>
                <w:sz w:val="22"/>
              </w:rPr>
            </w:pPr>
            <w:r w:rsidRPr="00A014FD">
              <w:rPr>
                <w:sz w:val="22"/>
              </w:rPr>
              <w:t>Sustainability based review of urban freight models</w:t>
            </w:r>
          </w:p>
        </w:tc>
        <w:tc>
          <w:tcPr>
            <w:tcW w:w="628" w:type="dxa"/>
            <w:noWrap/>
            <w:hideMark/>
          </w:tcPr>
          <w:p w14:paraId="69B6FD96" w14:textId="77777777" w:rsidR="005400D8" w:rsidRPr="00A014FD" w:rsidRDefault="005400D8" w:rsidP="00704B82">
            <w:pPr>
              <w:spacing w:line="240" w:lineRule="auto"/>
              <w:rPr>
                <w:sz w:val="22"/>
              </w:rPr>
            </w:pPr>
            <w:r w:rsidRPr="00A014FD">
              <w:rPr>
                <w:sz w:val="22"/>
              </w:rPr>
              <w:t>118</w:t>
            </w:r>
          </w:p>
        </w:tc>
      </w:tr>
      <w:tr w:rsidR="005400D8" w:rsidRPr="00A014FD" w14:paraId="2C7C972F" w14:textId="77777777" w:rsidTr="00704B82">
        <w:trPr>
          <w:trHeight w:val="285"/>
        </w:trPr>
        <w:tc>
          <w:tcPr>
            <w:tcW w:w="13320" w:type="dxa"/>
            <w:noWrap/>
            <w:hideMark/>
          </w:tcPr>
          <w:p w14:paraId="173AB9BC" w14:textId="77777777" w:rsidR="005400D8" w:rsidRPr="00A014FD" w:rsidRDefault="005400D8" w:rsidP="00704B82">
            <w:pPr>
              <w:spacing w:line="240" w:lineRule="auto"/>
              <w:rPr>
                <w:sz w:val="22"/>
              </w:rPr>
            </w:pPr>
            <w:r w:rsidRPr="00A014FD">
              <w:rPr>
                <w:sz w:val="22"/>
              </w:rPr>
              <w:t>Large urban freight traffic generators: Opportunities for city logistics initiatives</w:t>
            </w:r>
          </w:p>
        </w:tc>
        <w:tc>
          <w:tcPr>
            <w:tcW w:w="628" w:type="dxa"/>
            <w:noWrap/>
            <w:hideMark/>
          </w:tcPr>
          <w:p w14:paraId="42F42D59" w14:textId="77777777" w:rsidR="005400D8" w:rsidRPr="00A014FD" w:rsidRDefault="005400D8" w:rsidP="00704B82">
            <w:pPr>
              <w:spacing w:line="240" w:lineRule="auto"/>
              <w:rPr>
                <w:sz w:val="22"/>
              </w:rPr>
            </w:pPr>
            <w:r w:rsidRPr="00A014FD">
              <w:rPr>
                <w:sz w:val="22"/>
              </w:rPr>
              <w:t>119</w:t>
            </w:r>
          </w:p>
        </w:tc>
      </w:tr>
      <w:tr w:rsidR="005400D8" w:rsidRPr="00A014FD" w14:paraId="07C8DF61" w14:textId="77777777" w:rsidTr="00704B82">
        <w:trPr>
          <w:trHeight w:val="285"/>
        </w:trPr>
        <w:tc>
          <w:tcPr>
            <w:tcW w:w="13320" w:type="dxa"/>
            <w:noWrap/>
            <w:hideMark/>
          </w:tcPr>
          <w:p w14:paraId="42C0B679" w14:textId="77777777" w:rsidR="005400D8" w:rsidRPr="00A014FD" w:rsidRDefault="005400D8" w:rsidP="00704B82">
            <w:pPr>
              <w:spacing w:line="240" w:lineRule="auto"/>
              <w:rPr>
                <w:sz w:val="22"/>
              </w:rPr>
            </w:pPr>
            <w:r w:rsidRPr="00A014FD">
              <w:rPr>
                <w:sz w:val="22"/>
              </w:rPr>
              <w:t>City Vehicle Routing Problem (City VRP): A Review</w:t>
            </w:r>
          </w:p>
        </w:tc>
        <w:tc>
          <w:tcPr>
            <w:tcW w:w="628" w:type="dxa"/>
            <w:noWrap/>
            <w:hideMark/>
          </w:tcPr>
          <w:p w14:paraId="762515F9" w14:textId="77777777" w:rsidR="005400D8" w:rsidRPr="00A014FD" w:rsidRDefault="005400D8" w:rsidP="00704B82">
            <w:pPr>
              <w:spacing w:line="240" w:lineRule="auto"/>
              <w:rPr>
                <w:sz w:val="22"/>
              </w:rPr>
            </w:pPr>
            <w:r w:rsidRPr="00A014FD">
              <w:rPr>
                <w:sz w:val="22"/>
              </w:rPr>
              <w:t>120</w:t>
            </w:r>
          </w:p>
        </w:tc>
      </w:tr>
      <w:tr w:rsidR="005400D8" w:rsidRPr="00A014FD" w14:paraId="5DBAF451" w14:textId="77777777" w:rsidTr="00704B82">
        <w:trPr>
          <w:trHeight w:val="285"/>
        </w:trPr>
        <w:tc>
          <w:tcPr>
            <w:tcW w:w="13320" w:type="dxa"/>
            <w:noWrap/>
            <w:hideMark/>
          </w:tcPr>
          <w:p w14:paraId="402E51B2" w14:textId="77777777" w:rsidR="005400D8" w:rsidRPr="00A014FD" w:rsidRDefault="005400D8" w:rsidP="00704B82">
            <w:pPr>
              <w:spacing w:line="240" w:lineRule="auto"/>
              <w:rPr>
                <w:sz w:val="22"/>
              </w:rPr>
            </w:pPr>
            <w:r w:rsidRPr="00A014FD">
              <w:rPr>
                <w:sz w:val="22"/>
              </w:rPr>
              <w:t xml:space="preserve">Conventional, hybrid, or electric vehicles: which technology for an urban distribution </w:t>
            </w:r>
            <w:proofErr w:type="spellStart"/>
            <w:r w:rsidRPr="00A014FD">
              <w:rPr>
                <w:sz w:val="22"/>
              </w:rPr>
              <w:t>centre</w:t>
            </w:r>
            <w:proofErr w:type="spellEnd"/>
            <w:r w:rsidRPr="00A014FD">
              <w:rPr>
                <w:sz w:val="22"/>
              </w:rPr>
              <w:t>?</w:t>
            </w:r>
          </w:p>
        </w:tc>
        <w:tc>
          <w:tcPr>
            <w:tcW w:w="628" w:type="dxa"/>
            <w:noWrap/>
            <w:hideMark/>
          </w:tcPr>
          <w:p w14:paraId="4C01021D" w14:textId="77777777" w:rsidR="005400D8" w:rsidRPr="00A014FD" w:rsidRDefault="005400D8" w:rsidP="00704B82">
            <w:pPr>
              <w:spacing w:line="240" w:lineRule="auto"/>
              <w:rPr>
                <w:sz w:val="22"/>
              </w:rPr>
            </w:pPr>
            <w:r w:rsidRPr="00A014FD">
              <w:rPr>
                <w:sz w:val="22"/>
              </w:rPr>
              <w:t>121</w:t>
            </w:r>
          </w:p>
        </w:tc>
      </w:tr>
      <w:tr w:rsidR="005400D8" w:rsidRPr="00A014FD" w14:paraId="64380EF7" w14:textId="77777777" w:rsidTr="00704B82">
        <w:trPr>
          <w:trHeight w:val="285"/>
        </w:trPr>
        <w:tc>
          <w:tcPr>
            <w:tcW w:w="13320" w:type="dxa"/>
            <w:noWrap/>
            <w:hideMark/>
          </w:tcPr>
          <w:p w14:paraId="683BA2D6" w14:textId="77777777" w:rsidR="005400D8" w:rsidRPr="00A014FD" w:rsidRDefault="005400D8" w:rsidP="00704B82">
            <w:pPr>
              <w:spacing w:line="240" w:lineRule="auto"/>
              <w:rPr>
                <w:sz w:val="22"/>
              </w:rPr>
            </w:pPr>
            <w:r w:rsidRPr="00A014FD">
              <w:rPr>
                <w:sz w:val="22"/>
              </w:rPr>
              <w:t xml:space="preserve">Transition through dialogue: A </w:t>
            </w:r>
            <w:proofErr w:type="gramStart"/>
            <w:r w:rsidRPr="00A014FD">
              <w:rPr>
                <w:sz w:val="22"/>
              </w:rPr>
              <w:t>stakeholder based</w:t>
            </w:r>
            <w:proofErr w:type="gramEnd"/>
            <w:r w:rsidRPr="00A014FD">
              <w:rPr>
                <w:sz w:val="22"/>
              </w:rPr>
              <w:t xml:space="preserve"> decision process for cities: The case of city distribution</w:t>
            </w:r>
          </w:p>
        </w:tc>
        <w:tc>
          <w:tcPr>
            <w:tcW w:w="628" w:type="dxa"/>
            <w:noWrap/>
            <w:hideMark/>
          </w:tcPr>
          <w:p w14:paraId="52E2DCA9" w14:textId="77777777" w:rsidR="005400D8" w:rsidRPr="00A014FD" w:rsidRDefault="005400D8" w:rsidP="00704B82">
            <w:pPr>
              <w:spacing w:line="240" w:lineRule="auto"/>
              <w:rPr>
                <w:sz w:val="22"/>
              </w:rPr>
            </w:pPr>
            <w:r w:rsidRPr="00A014FD">
              <w:rPr>
                <w:sz w:val="22"/>
              </w:rPr>
              <w:t>122</w:t>
            </w:r>
          </w:p>
        </w:tc>
      </w:tr>
      <w:tr w:rsidR="005400D8" w:rsidRPr="00A014FD" w14:paraId="7799ADFD" w14:textId="77777777" w:rsidTr="00704B82">
        <w:trPr>
          <w:trHeight w:val="285"/>
        </w:trPr>
        <w:tc>
          <w:tcPr>
            <w:tcW w:w="13320" w:type="dxa"/>
            <w:noWrap/>
            <w:hideMark/>
          </w:tcPr>
          <w:p w14:paraId="55A3162F" w14:textId="77777777" w:rsidR="005400D8" w:rsidRPr="00A014FD" w:rsidRDefault="005400D8" w:rsidP="00704B82">
            <w:pPr>
              <w:spacing w:line="240" w:lineRule="auto"/>
              <w:rPr>
                <w:sz w:val="22"/>
              </w:rPr>
            </w:pPr>
            <w:r w:rsidRPr="00A014FD">
              <w:rPr>
                <w:sz w:val="22"/>
              </w:rPr>
              <w:t>Multi actor multicriteria analysis for sustainable city distribution: A new assessment framework</w:t>
            </w:r>
          </w:p>
        </w:tc>
        <w:tc>
          <w:tcPr>
            <w:tcW w:w="628" w:type="dxa"/>
            <w:noWrap/>
            <w:hideMark/>
          </w:tcPr>
          <w:p w14:paraId="6C96FDF6" w14:textId="77777777" w:rsidR="005400D8" w:rsidRPr="00A014FD" w:rsidRDefault="005400D8" w:rsidP="00704B82">
            <w:pPr>
              <w:spacing w:line="240" w:lineRule="auto"/>
              <w:rPr>
                <w:sz w:val="22"/>
              </w:rPr>
            </w:pPr>
            <w:r w:rsidRPr="00A014FD">
              <w:rPr>
                <w:sz w:val="22"/>
              </w:rPr>
              <w:t>123</w:t>
            </w:r>
          </w:p>
        </w:tc>
      </w:tr>
      <w:tr w:rsidR="005400D8" w:rsidRPr="00A014FD" w14:paraId="0628B3B6" w14:textId="77777777" w:rsidTr="00704B82">
        <w:trPr>
          <w:trHeight w:val="285"/>
        </w:trPr>
        <w:tc>
          <w:tcPr>
            <w:tcW w:w="13320" w:type="dxa"/>
            <w:noWrap/>
            <w:hideMark/>
          </w:tcPr>
          <w:p w14:paraId="5DB4CB34" w14:textId="77777777" w:rsidR="005400D8" w:rsidRPr="00A014FD" w:rsidRDefault="005400D8" w:rsidP="00704B82">
            <w:pPr>
              <w:spacing w:line="240" w:lineRule="auto"/>
              <w:rPr>
                <w:sz w:val="22"/>
              </w:rPr>
            </w:pPr>
            <w:r w:rsidRPr="00A014FD">
              <w:rPr>
                <w:sz w:val="22"/>
              </w:rPr>
              <w:t>An electromobility system for freight service in urban areas</w:t>
            </w:r>
          </w:p>
        </w:tc>
        <w:tc>
          <w:tcPr>
            <w:tcW w:w="628" w:type="dxa"/>
            <w:noWrap/>
            <w:hideMark/>
          </w:tcPr>
          <w:p w14:paraId="7BE47350" w14:textId="77777777" w:rsidR="005400D8" w:rsidRPr="00A014FD" w:rsidRDefault="005400D8" w:rsidP="00704B82">
            <w:pPr>
              <w:spacing w:line="240" w:lineRule="auto"/>
              <w:rPr>
                <w:sz w:val="22"/>
              </w:rPr>
            </w:pPr>
            <w:r w:rsidRPr="00A014FD">
              <w:rPr>
                <w:sz w:val="22"/>
              </w:rPr>
              <w:t>124</w:t>
            </w:r>
          </w:p>
        </w:tc>
      </w:tr>
      <w:tr w:rsidR="005400D8" w:rsidRPr="00A014FD" w14:paraId="4605C7E6" w14:textId="77777777" w:rsidTr="00704B82">
        <w:trPr>
          <w:trHeight w:val="285"/>
        </w:trPr>
        <w:tc>
          <w:tcPr>
            <w:tcW w:w="13320" w:type="dxa"/>
            <w:noWrap/>
            <w:hideMark/>
          </w:tcPr>
          <w:p w14:paraId="6282F31B" w14:textId="77777777" w:rsidR="005400D8" w:rsidRPr="00A014FD" w:rsidRDefault="005400D8" w:rsidP="00704B82">
            <w:pPr>
              <w:spacing w:line="240" w:lineRule="auto"/>
              <w:rPr>
                <w:sz w:val="22"/>
              </w:rPr>
            </w:pPr>
            <w:r w:rsidRPr="00A014FD">
              <w:rPr>
                <w:sz w:val="22"/>
              </w:rPr>
              <w:t>A sustainable urban logistics dashboard from the perspective of a group of operational managers</w:t>
            </w:r>
          </w:p>
        </w:tc>
        <w:tc>
          <w:tcPr>
            <w:tcW w:w="628" w:type="dxa"/>
            <w:noWrap/>
            <w:hideMark/>
          </w:tcPr>
          <w:p w14:paraId="54B5302B" w14:textId="77777777" w:rsidR="005400D8" w:rsidRPr="00A014FD" w:rsidRDefault="005400D8" w:rsidP="00704B82">
            <w:pPr>
              <w:spacing w:line="240" w:lineRule="auto"/>
              <w:rPr>
                <w:sz w:val="22"/>
              </w:rPr>
            </w:pPr>
            <w:r w:rsidRPr="00A014FD">
              <w:rPr>
                <w:sz w:val="22"/>
              </w:rPr>
              <w:t>125</w:t>
            </w:r>
          </w:p>
        </w:tc>
      </w:tr>
      <w:tr w:rsidR="005400D8" w:rsidRPr="00A014FD" w14:paraId="5C7C1690" w14:textId="77777777" w:rsidTr="00704B82">
        <w:trPr>
          <w:trHeight w:val="285"/>
        </w:trPr>
        <w:tc>
          <w:tcPr>
            <w:tcW w:w="13320" w:type="dxa"/>
            <w:noWrap/>
            <w:hideMark/>
          </w:tcPr>
          <w:p w14:paraId="66D29A12" w14:textId="77777777" w:rsidR="005400D8" w:rsidRPr="00A014FD" w:rsidRDefault="005400D8" w:rsidP="00704B82">
            <w:pPr>
              <w:spacing w:line="240" w:lineRule="auto"/>
              <w:rPr>
                <w:sz w:val="22"/>
              </w:rPr>
            </w:pPr>
            <w:r w:rsidRPr="00A014FD">
              <w:rPr>
                <w:sz w:val="22"/>
              </w:rPr>
              <w:t>Smart urban planning: Evaluating urban logistics performance of innovative solutions and sustainable policies in the Venice Lagoon The results of a case study</w:t>
            </w:r>
          </w:p>
        </w:tc>
        <w:tc>
          <w:tcPr>
            <w:tcW w:w="628" w:type="dxa"/>
            <w:noWrap/>
            <w:hideMark/>
          </w:tcPr>
          <w:p w14:paraId="386D8460" w14:textId="77777777" w:rsidR="005400D8" w:rsidRPr="00A014FD" w:rsidRDefault="005400D8" w:rsidP="00704B82">
            <w:pPr>
              <w:spacing w:line="240" w:lineRule="auto"/>
              <w:rPr>
                <w:sz w:val="22"/>
              </w:rPr>
            </w:pPr>
            <w:r w:rsidRPr="00A014FD">
              <w:rPr>
                <w:sz w:val="22"/>
              </w:rPr>
              <w:t>126</w:t>
            </w:r>
          </w:p>
        </w:tc>
      </w:tr>
      <w:tr w:rsidR="005400D8" w:rsidRPr="00A014FD" w14:paraId="6674D068" w14:textId="77777777" w:rsidTr="00704B82">
        <w:trPr>
          <w:trHeight w:val="285"/>
        </w:trPr>
        <w:tc>
          <w:tcPr>
            <w:tcW w:w="13320" w:type="dxa"/>
            <w:noWrap/>
            <w:hideMark/>
          </w:tcPr>
          <w:p w14:paraId="1F7A7B4A" w14:textId="77777777" w:rsidR="005400D8" w:rsidRPr="00A014FD" w:rsidRDefault="005400D8" w:rsidP="00704B82">
            <w:pPr>
              <w:spacing w:line="240" w:lineRule="auto"/>
              <w:rPr>
                <w:sz w:val="22"/>
              </w:rPr>
            </w:pPr>
            <w:r w:rsidRPr="00A014FD">
              <w:rPr>
                <w:sz w:val="22"/>
              </w:rPr>
              <w:t>Green urban distribution: Evaluation of adapted measures for the city of Oslo</w:t>
            </w:r>
          </w:p>
        </w:tc>
        <w:tc>
          <w:tcPr>
            <w:tcW w:w="628" w:type="dxa"/>
            <w:noWrap/>
            <w:hideMark/>
          </w:tcPr>
          <w:p w14:paraId="38D88BB7" w14:textId="77777777" w:rsidR="005400D8" w:rsidRPr="00A014FD" w:rsidRDefault="005400D8" w:rsidP="00704B82">
            <w:pPr>
              <w:spacing w:line="240" w:lineRule="auto"/>
              <w:rPr>
                <w:sz w:val="22"/>
              </w:rPr>
            </w:pPr>
            <w:r w:rsidRPr="00A014FD">
              <w:rPr>
                <w:sz w:val="22"/>
              </w:rPr>
              <w:t>127</w:t>
            </w:r>
          </w:p>
        </w:tc>
      </w:tr>
      <w:tr w:rsidR="005400D8" w:rsidRPr="00A014FD" w14:paraId="73518435" w14:textId="77777777" w:rsidTr="00704B82">
        <w:trPr>
          <w:trHeight w:val="285"/>
        </w:trPr>
        <w:tc>
          <w:tcPr>
            <w:tcW w:w="13320" w:type="dxa"/>
            <w:noWrap/>
            <w:hideMark/>
          </w:tcPr>
          <w:p w14:paraId="2A6C1953" w14:textId="77777777" w:rsidR="005400D8" w:rsidRPr="00A014FD" w:rsidRDefault="005400D8" w:rsidP="00704B82">
            <w:pPr>
              <w:spacing w:line="240" w:lineRule="auto"/>
              <w:rPr>
                <w:sz w:val="22"/>
              </w:rPr>
            </w:pPr>
            <w:r w:rsidRPr="00A014FD">
              <w:rPr>
                <w:sz w:val="22"/>
              </w:rPr>
              <w:lastRenderedPageBreak/>
              <w:t>Urban freight transport policies in Rome: lessons learned and the road ahead</w:t>
            </w:r>
          </w:p>
        </w:tc>
        <w:tc>
          <w:tcPr>
            <w:tcW w:w="628" w:type="dxa"/>
            <w:noWrap/>
            <w:hideMark/>
          </w:tcPr>
          <w:p w14:paraId="10143C14" w14:textId="77777777" w:rsidR="005400D8" w:rsidRPr="00A014FD" w:rsidRDefault="005400D8" w:rsidP="00704B82">
            <w:pPr>
              <w:spacing w:line="240" w:lineRule="auto"/>
              <w:rPr>
                <w:sz w:val="22"/>
              </w:rPr>
            </w:pPr>
            <w:r w:rsidRPr="00A014FD">
              <w:rPr>
                <w:sz w:val="22"/>
              </w:rPr>
              <w:t>128</w:t>
            </w:r>
          </w:p>
        </w:tc>
      </w:tr>
      <w:tr w:rsidR="005400D8" w:rsidRPr="00A014FD" w14:paraId="1128E3FD" w14:textId="77777777" w:rsidTr="00704B82">
        <w:trPr>
          <w:trHeight w:val="285"/>
        </w:trPr>
        <w:tc>
          <w:tcPr>
            <w:tcW w:w="13320" w:type="dxa"/>
            <w:noWrap/>
            <w:hideMark/>
          </w:tcPr>
          <w:p w14:paraId="1949E742" w14:textId="77777777" w:rsidR="005400D8" w:rsidRPr="00A014FD" w:rsidRDefault="005400D8" w:rsidP="00704B82">
            <w:pPr>
              <w:spacing w:line="240" w:lineRule="auto"/>
              <w:rPr>
                <w:sz w:val="22"/>
              </w:rPr>
            </w:pPr>
            <w:r w:rsidRPr="00A014FD">
              <w:rPr>
                <w:sz w:val="22"/>
              </w:rPr>
              <w:t>The role of a structured stakeholder consultation process within the establishment of a sustainable urban supply chain</w:t>
            </w:r>
          </w:p>
        </w:tc>
        <w:tc>
          <w:tcPr>
            <w:tcW w:w="628" w:type="dxa"/>
            <w:noWrap/>
            <w:hideMark/>
          </w:tcPr>
          <w:p w14:paraId="43398826" w14:textId="77777777" w:rsidR="005400D8" w:rsidRPr="00A014FD" w:rsidRDefault="005400D8" w:rsidP="00704B82">
            <w:pPr>
              <w:spacing w:line="240" w:lineRule="auto"/>
              <w:rPr>
                <w:sz w:val="22"/>
              </w:rPr>
            </w:pPr>
            <w:r w:rsidRPr="00A014FD">
              <w:rPr>
                <w:sz w:val="22"/>
              </w:rPr>
              <w:t>129</w:t>
            </w:r>
          </w:p>
        </w:tc>
      </w:tr>
      <w:tr w:rsidR="005400D8" w:rsidRPr="00A014FD" w14:paraId="06046B73" w14:textId="77777777" w:rsidTr="00704B82">
        <w:trPr>
          <w:trHeight w:val="285"/>
        </w:trPr>
        <w:tc>
          <w:tcPr>
            <w:tcW w:w="13320" w:type="dxa"/>
            <w:noWrap/>
            <w:hideMark/>
          </w:tcPr>
          <w:p w14:paraId="68BF0DA4" w14:textId="77777777" w:rsidR="005400D8" w:rsidRPr="00A014FD" w:rsidRDefault="005400D8" w:rsidP="00704B82">
            <w:pPr>
              <w:spacing w:line="240" w:lineRule="auto"/>
              <w:rPr>
                <w:sz w:val="22"/>
              </w:rPr>
            </w:pPr>
            <w:r w:rsidRPr="00A014FD">
              <w:rPr>
                <w:sz w:val="22"/>
              </w:rPr>
              <w:t>Location selection of city logistics centers under sustainability</w:t>
            </w:r>
          </w:p>
        </w:tc>
        <w:tc>
          <w:tcPr>
            <w:tcW w:w="628" w:type="dxa"/>
            <w:noWrap/>
            <w:hideMark/>
          </w:tcPr>
          <w:p w14:paraId="047B3748" w14:textId="77777777" w:rsidR="005400D8" w:rsidRPr="00A014FD" w:rsidRDefault="005400D8" w:rsidP="00704B82">
            <w:pPr>
              <w:spacing w:line="240" w:lineRule="auto"/>
              <w:rPr>
                <w:sz w:val="22"/>
              </w:rPr>
            </w:pPr>
            <w:r w:rsidRPr="00A014FD">
              <w:rPr>
                <w:sz w:val="22"/>
              </w:rPr>
              <w:t>130</w:t>
            </w:r>
          </w:p>
        </w:tc>
      </w:tr>
      <w:tr w:rsidR="005400D8" w:rsidRPr="00A014FD" w14:paraId="33910327" w14:textId="77777777" w:rsidTr="00704B82">
        <w:trPr>
          <w:trHeight w:val="285"/>
        </w:trPr>
        <w:tc>
          <w:tcPr>
            <w:tcW w:w="13320" w:type="dxa"/>
            <w:noWrap/>
            <w:hideMark/>
          </w:tcPr>
          <w:p w14:paraId="729AC748" w14:textId="77777777" w:rsidR="005400D8" w:rsidRPr="00A014FD" w:rsidRDefault="005400D8" w:rsidP="00704B82">
            <w:pPr>
              <w:spacing w:line="240" w:lineRule="auto"/>
              <w:rPr>
                <w:sz w:val="22"/>
              </w:rPr>
            </w:pPr>
            <w:r w:rsidRPr="00A014FD">
              <w:rPr>
                <w:sz w:val="22"/>
              </w:rPr>
              <w:t>Sustainable city logistics Making cargo cycles viable for urban freight transport</w:t>
            </w:r>
          </w:p>
        </w:tc>
        <w:tc>
          <w:tcPr>
            <w:tcW w:w="628" w:type="dxa"/>
            <w:noWrap/>
            <w:hideMark/>
          </w:tcPr>
          <w:p w14:paraId="36DC1150" w14:textId="77777777" w:rsidR="005400D8" w:rsidRPr="00A014FD" w:rsidRDefault="005400D8" w:rsidP="00704B82">
            <w:pPr>
              <w:spacing w:line="240" w:lineRule="auto"/>
              <w:rPr>
                <w:sz w:val="22"/>
              </w:rPr>
            </w:pPr>
            <w:r w:rsidRPr="00A014FD">
              <w:rPr>
                <w:sz w:val="22"/>
              </w:rPr>
              <w:t>131</w:t>
            </w:r>
          </w:p>
        </w:tc>
      </w:tr>
      <w:tr w:rsidR="005400D8" w:rsidRPr="00A014FD" w14:paraId="0D78A516" w14:textId="77777777" w:rsidTr="00704B82">
        <w:trPr>
          <w:trHeight w:val="285"/>
        </w:trPr>
        <w:tc>
          <w:tcPr>
            <w:tcW w:w="13320" w:type="dxa"/>
            <w:noWrap/>
            <w:hideMark/>
          </w:tcPr>
          <w:p w14:paraId="5D32C7E2" w14:textId="77777777" w:rsidR="005400D8" w:rsidRPr="00A014FD" w:rsidRDefault="005400D8" w:rsidP="00704B82">
            <w:pPr>
              <w:spacing w:line="240" w:lineRule="auto"/>
              <w:rPr>
                <w:sz w:val="22"/>
              </w:rPr>
            </w:pPr>
            <w:r w:rsidRPr="00A014FD">
              <w:rPr>
                <w:sz w:val="22"/>
              </w:rPr>
              <w:t>A multiperiod vehicle lease planning for urban freight consolidation network</w:t>
            </w:r>
          </w:p>
        </w:tc>
        <w:tc>
          <w:tcPr>
            <w:tcW w:w="628" w:type="dxa"/>
            <w:noWrap/>
            <w:hideMark/>
          </w:tcPr>
          <w:p w14:paraId="002B0558" w14:textId="77777777" w:rsidR="005400D8" w:rsidRPr="00A014FD" w:rsidRDefault="005400D8" w:rsidP="00704B82">
            <w:pPr>
              <w:spacing w:line="240" w:lineRule="auto"/>
              <w:rPr>
                <w:sz w:val="22"/>
              </w:rPr>
            </w:pPr>
            <w:r w:rsidRPr="00A014FD">
              <w:rPr>
                <w:sz w:val="22"/>
              </w:rPr>
              <w:t>132</w:t>
            </w:r>
          </w:p>
        </w:tc>
      </w:tr>
      <w:tr w:rsidR="005400D8" w:rsidRPr="00A014FD" w14:paraId="5682C77B" w14:textId="77777777" w:rsidTr="00704B82">
        <w:trPr>
          <w:trHeight w:val="285"/>
        </w:trPr>
        <w:tc>
          <w:tcPr>
            <w:tcW w:w="13320" w:type="dxa"/>
            <w:noWrap/>
            <w:hideMark/>
          </w:tcPr>
          <w:p w14:paraId="68620599" w14:textId="77777777" w:rsidR="005400D8" w:rsidRPr="00A014FD" w:rsidRDefault="005400D8" w:rsidP="00704B82">
            <w:pPr>
              <w:spacing w:line="240" w:lineRule="auto"/>
              <w:rPr>
                <w:sz w:val="22"/>
              </w:rPr>
            </w:pPr>
            <w:r w:rsidRPr="00A014FD">
              <w:rPr>
                <w:sz w:val="22"/>
              </w:rPr>
              <w:t>Evaluating the impacts of urban freight traffic: Application of microsimulation at a large establishment</w:t>
            </w:r>
          </w:p>
        </w:tc>
        <w:tc>
          <w:tcPr>
            <w:tcW w:w="628" w:type="dxa"/>
            <w:noWrap/>
            <w:hideMark/>
          </w:tcPr>
          <w:p w14:paraId="137DA72B" w14:textId="77777777" w:rsidR="005400D8" w:rsidRPr="00A014FD" w:rsidRDefault="005400D8" w:rsidP="00704B82">
            <w:pPr>
              <w:spacing w:line="240" w:lineRule="auto"/>
              <w:rPr>
                <w:sz w:val="22"/>
              </w:rPr>
            </w:pPr>
            <w:r w:rsidRPr="00A014FD">
              <w:rPr>
                <w:sz w:val="22"/>
              </w:rPr>
              <w:t>133</w:t>
            </w:r>
          </w:p>
        </w:tc>
      </w:tr>
      <w:tr w:rsidR="005400D8" w:rsidRPr="00A014FD" w14:paraId="6EA1CCEB" w14:textId="77777777" w:rsidTr="00704B82">
        <w:trPr>
          <w:trHeight w:val="285"/>
        </w:trPr>
        <w:tc>
          <w:tcPr>
            <w:tcW w:w="13320" w:type="dxa"/>
            <w:noWrap/>
            <w:hideMark/>
          </w:tcPr>
          <w:p w14:paraId="722B8FA0" w14:textId="77777777" w:rsidR="005400D8" w:rsidRPr="00A014FD" w:rsidRDefault="005400D8" w:rsidP="00704B82">
            <w:pPr>
              <w:spacing w:line="240" w:lineRule="auto"/>
              <w:rPr>
                <w:sz w:val="22"/>
              </w:rPr>
            </w:pPr>
            <w:r w:rsidRPr="00A014FD">
              <w:rPr>
                <w:sz w:val="22"/>
              </w:rPr>
              <w:t>A portfolio approach for optimal fleet replacement toward sustainable urban freight transportation</w:t>
            </w:r>
          </w:p>
        </w:tc>
        <w:tc>
          <w:tcPr>
            <w:tcW w:w="628" w:type="dxa"/>
            <w:noWrap/>
            <w:hideMark/>
          </w:tcPr>
          <w:p w14:paraId="0C31D414" w14:textId="77777777" w:rsidR="005400D8" w:rsidRPr="00A014FD" w:rsidRDefault="005400D8" w:rsidP="00704B82">
            <w:pPr>
              <w:spacing w:line="240" w:lineRule="auto"/>
              <w:rPr>
                <w:sz w:val="22"/>
              </w:rPr>
            </w:pPr>
            <w:r w:rsidRPr="00A014FD">
              <w:rPr>
                <w:sz w:val="22"/>
              </w:rPr>
              <w:t>134</w:t>
            </w:r>
          </w:p>
        </w:tc>
      </w:tr>
      <w:tr w:rsidR="005400D8" w:rsidRPr="00A014FD" w14:paraId="2CF6B913" w14:textId="77777777" w:rsidTr="00704B82">
        <w:trPr>
          <w:trHeight w:val="285"/>
        </w:trPr>
        <w:tc>
          <w:tcPr>
            <w:tcW w:w="13320" w:type="dxa"/>
            <w:noWrap/>
            <w:hideMark/>
          </w:tcPr>
          <w:p w14:paraId="503F426A" w14:textId="77777777" w:rsidR="005400D8" w:rsidRPr="00A014FD" w:rsidRDefault="005400D8" w:rsidP="00704B82">
            <w:pPr>
              <w:spacing w:line="240" w:lineRule="auto"/>
              <w:rPr>
                <w:sz w:val="22"/>
              </w:rPr>
            </w:pPr>
            <w:r w:rsidRPr="00A014FD">
              <w:rPr>
                <w:sz w:val="22"/>
              </w:rPr>
              <w:t>Collaboration partner selection for city logistics planning under municipal freight regulations</w:t>
            </w:r>
          </w:p>
        </w:tc>
        <w:tc>
          <w:tcPr>
            <w:tcW w:w="628" w:type="dxa"/>
            <w:noWrap/>
            <w:hideMark/>
          </w:tcPr>
          <w:p w14:paraId="25E3BDD7" w14:textId="77777777" w:rsidR="005400D8" w:rsidRPr="00A014FD" w:rsidRDefault="005400D8" w:rsidP="00704B82">
            <w:pPr>
              <w:spacing w:line="240" w:lineRule="auto"/>
              <w:rPr>
                <w:sz w:val="22"/>
              </w:rPr>
            </w:pPr>
            <w:r w:rsidRPr="00A014FD">
              <w:rPr>
                <w:sz w:val="22"/>
              </w:rPr>
              <w:t>135</w:t>
            </w:r>
          </w:p>
        </w:tc>
      </w:tr>
      <w:tr w:rsidR="005400D8" w:rsidRPr="00A014FD" w14:paraId="140E1D43" w14:textId="77777777" w:rsidTr="00704B82">
        <w:trPr>
          <w:trHeight w:val="285"/>
        </w:trPr>
        <w:tc>
          <w:tcPr>
            <w:tcW w:w="13320" w:type="dxa"/>
            <w:noWrap/>
            <w:hideMark/>
          </w:tcPr>
          <w:p w14:paraId="1026CAD3" w14:textId="77777777" w:rsidR="005400D8" w:rsidRPr="00A014FD" w:rsidRDefault="005400D8" w:rsidP="00704B82">
            <w:pPr>
              <w:spacing w:line="240" w:lineRule="auto"/>
              <w:rPr>
                <w:sz w:val="22"/>
              </w:rPr>
            </w:pPr>
            <w:r w:rsidRPr="00A014FD">
              <w:rPr>
                <w:sz w:val="22"/>
              </w:rPr>
              <w:t xml:space="preserve">A large </w:t>
            </w:r>
            <w:proofErr w:type="spellStart"/>
            <w:proofErr w:type="gramStart"/>
            <w:r w:rsidRPr="00A014FD">
              <w:rPr>
                <w:sz w:val="22"/>
              </w:rPr>
              <w:t>neighbourhood</w:t>
            </w:r>
            <w:proofErr w:type="spellEnd"/>
            <w:r w:rsidRPr="00A014FD">
              <w:rPr>
                <w:sz w:val="22"/>
              </w:rPr>
              <w:t xml:space="preserve"> based</w:t>
            </w:r>
            <w:proofErr w:type="gramEnd"/>
            <w:r w:rsidRPr="00A014FD">
              <w:rPr>
                <w:sz w:val="22"/>
              </w:rPr>
              <w:t xml:space="preserve"> heuristic for two echelon routing problems</w:t>
            </w:r>
          </w:p>
        </w:tc>
        <w:tc>
          <w:tcPr>
            <w:tcW w:w="628" w:type="dxa"/>
            <w:noWrap/>
            <w:hideMark/>
          </w:tcPr>
          <w:p w14:paraId="3B3FA79E" w14:textId="77777777" w:rsidR="005400D8" w:rsidRPr="00A014FD" w:rsidRDefault="005400D8" w:rsidP="00704B82">
            <w:pPr>
              <w:spacing w:line="240" w:lineRule="auto"/>
              <w:rPr>
                <w:sz w:val="22"/>
              </w:rPr>
            </w:pPr>
            <w:r w:rsidRPr="00A014FD">
              <w:rPr>
                <w:sz w:val="22"/>
              </w:rPr>
              <w:t>136</w:t>
            </w:r>
          </w:p>
        </w:tc>
      </w:tr>
      <w:tr w:rsidR="005400D8" w:rsidRPr="00A014FD" w14:paraId="7A832617" w14:textId="77777777" w:rsidTr="00704B82">
        <w:trPr>
          <w:trHeight w:val="285"/>
        </w:trPr>
        <w:tc>
          <w:tcPr>
            <w:tcW w:w="13320" w:type="dxa"/>
            <w:noWrap/>
            <w:hideMark/>
          </w:tcPr>
          <w:p w14:paraId="7C85440A" w14:textId="77777777" w:rsidR="005400D8" w:rsidRPr="00A014FD" w:rsidRDefault="005400D8" w:rsidP="00704B82">
            <w:pPr>
              <w:spacing w:line="240" w:lineRule="auto"/>
              <w:rPr>
                <w:sz w:val="22"/>
              </w:rPr>
            </w:pPr>
            <w:r w:rsidRPr="00A014FD">
              <w:rPr>
                <w:sz w:val="22"/>
              </w:rPr>
              <w:t>How battery electric vehicles can contribute to sustainable urban logistics: A real world application in Lisbon, Portugal</w:t>
            </w:r>
          </w:p>
        </w:tc>
        <w:tc>
          <w:tcPr>
            <w:tcW w:w="628" w:type="dxa"/>
            <w:noWrap/>
            <w:hideMark/>
          </w:tcPr>
          <w:p w14:paraId="1F903663" w14:textId="77777777" w:rsidR="005400D8" w:rsidRPr="00A014FD" w:rsidRDefault="005400D8" w:rsidP="00704B82">
            <w:pPr>
              <w:spacing w:line="240" w:lineRule="auto"/>
              <w:rPr>
                <w:sz w:val="22"/>
              </w:rPr>
            </w:pPr>
            <w:r w:rsidRPr="00A014FD">
              <w:rPr>
                <w:sz w:val="22"/>
              </w:rPr>
              <w:t>137</w:t>
            </w:r>
          </w:p>
        </w:tc>
      </w:tr>
      <w:tr w:rsidR="005400D8" w:rsidRPr="00A014FD" w14:paraId="4452A528" w14:textId="77777777" w:rsidTr="00704B82">
        <w:trPr>
          <w:trHeight w:val="285"/>
        </w:trPr>
        <w:tc>
          <w:tcPr>
            <w:tcW w:w="13320" w:type="dxa"/>
            <w:noWrap/>
            <w:hideMark/>
          </w:tcPr>
          <w:p w14:paraId="14592E0E" w14:textId="77777777" w:rsidR="005400D8" w:rsidRPr="00A014FD" w:rsidRDefault="005400D8" w:rsidP="00704B82">
            <w:pPr>
              <w:spacing w:line="240" w:lineRule="auto"/>
              <w:rPr>
                <w:sz w:val="22"/>
              </w:rPr>
            </w:pPr>
            <w:r w:rsidRPr="00A014FD">
              <w:rPr>
                <w:sz w:val="22"/>
              </w:rPr>
              <w:t>Vehicle routing to minimize time dependent emissions in urban areas</w:t>
            </w:r>
          </w:p>
        </w:tc>
        <w:tc>
          <w:tcPr>
            <w:tcW w:w="628" w:type="dxa"/>
            <w:noWrap/>
            <w:hideMark/>
          </w:tcPr>
          <w:p w14:paraId="3C487F91" w14:textId="77777777" w:rsidR="005400D8" w:rsidRPr="00A014FD" w:rsidRDefault="005400D8" w:rsidP="00704B82">
            <w:pPr>
              <w:spacing w:line="240" w:lineRule="auto"/>
              <w:rPr>
                <w:sz w:val="22"/>
              </w:rPr>
            </w:pPr>
            <w:r w:rsidRPr="00A014FD">
              <w:rPr>
                <w:sz w:val="22"/>
              </w:rPr>
              <w:t>138</w:t>
            </w:r>
          </w:p>
        </w:tc>
      </w:tr>
      <w:tr w:rsidR="005400D8" w:rsidRPr="00A014FD" w14:paraId="14ED2F81" w14:textId="77777777" w:rsidTr="00704B82">
        <w:trPr>
          <w:trHeight w:val="285"/>
        </w:trPr>
        <w:tc>
          <w:tcPr>
            <w:tcW w:w="13320" w:type="dxa"/>
            <w:noWrap/>
            <w:hideMark/>
          </w:tcPr>
          <w:p w14:paraId="3196D450" w14:textId="77777777" w:rsidR="005400D8" w:rsidRPr="00A014FD" w:rsidRDefault="005400D8" w:rsidP="00704B82">
            <w:pPr>
              <w:spacing w:line="240" w:lineRule="auto"/>
              <w:rPr>
                <w:sz w:val="22"/>
              </w:rPr>
            </w:pPr>
            <w:proofErr w:type="spellStart"/>
            <w:r w:rsidRPr="00A014FD">
              <w:rPr>
                <w:sz w:val="22"/>
              </w:rPr>
              <w:t>Behavioural</w:t>
            </w:r>
            <w:proofErr w:type="spellEnd"/>
            <w:r w:rsidRPr="00A014FD">
              <w:rPr>
                <w:sz w:val="22"/>
              </w:rPr>
              <w:t xml:space="preserve"> implications of nonlinear effects on urban freight transport policies: The case of retailers and transport providers in Rome</w:t>
            </w:r>
          </w:p>
        </w:tc>
        <w:tc>
          <w:tcPr>
            <w:tcW w:w="628" w:type="dxa"/>
            <w:noWrap/>
            <w:hideMark/>
          </w:tcPr>
          <w:p w14:paraId="025BC04E" w14:textId="77777777" w:rsidR="005400D8" w:rsidRPr="00A014FD" w:rsidRDefault="005400D8" w:rsidP="00704B82">
            <w:pPr>
              <w:spacing w:line="240" w:lineRule="auto"/>
              <w:rPr>
                <w:sz w:val="22"/>
              </w:rPr>
            </w:pPr>
            <w:r w:rsidRPr="00A014FD">
              <w:rPr>
                <w:sz w:val="22"/>
              </w:rPr>
              <w:t>139</w:t>
            </w:r>
          </w:p>
        </w:tc>
      </w:tr>
      <w:tr w:rsidR="005400D8" w:rsidRPr="00A014FD" w14:paraId="4D2CC697" w14:textId="77777777" w:rsidTr="00704B82">
        <w:trPr>
          <w:trHeight w:val="285"/>
        </w:trPr>
        <w:tc>
          <w:tcPr>
            <w:tcW w:w="13320" w:type="dxa"/>
            <w:noWrap/>
            <w:hideMark/>
          </w:tcPr>
          <w:p w14:paraId="6A44200F" w14:textId="77777777" w:rsidR="005400D8" w:rsidRPr="00A014FD" w:rsidRDefault="005400D8" w:rsidP="00704B82">
            <w:pPr>
              <w:spacing w:line="240" w:lineRule="auto"/>
              <w:rPr>
                <w:sz w:val="22"/>
              </w:rPr>
            </w:pPr>
            <w:r w:rsidRPr="00A014FD">
              <w:rPr>
                <w:sz w:val="22"/>
              </w:rPr>
              <w:t xml:space="preserve">Stakeholder specific data acquisition and urban freight policy evaluation: evidence, </w:t>
            </w:r>
            <w:proofErr w:type="gramStart"/>
            <w:r w:rsidRPr="00A014FD">
              <w:rPr>
                <w:sz w:val="22"/>
              </w:rPr>
              <w:t>implications</w:t>
            </w:r>
            <w:proofErr w:type="gramEnd"/>
            <w:r w:rsidRPr="00A014FD">
              <w:rPr>
                <w:sz w:val="22"/>
              </w:rPr>
              <w:t xml:space="preserve"> and new suggestions</w:t>
            </w:r>
          </w:p>
        </w:tc>
        <w:tc>
          <w:tcPr>
            <w:tcW w:w="628" w:type="dxa"/>
            <w:noWrap/>
            <w:hideMark/>
          </w:tcPr>
          <w:p w14:paraId="528ED922" w14:textId="77777777" w:rsidR="005400D8" w:rsidRPr="00A014FD" w:rsidRDefault="005400D8" w:rsidP="00704B82">
            <w:pPr>
              <w:spacing w:line="240" w:lineRule="auto"/>
              <w:rPr>
                <w:sz w:val="22"/>
              </w:rPr>
            </w:pPr>
            <w:r w:rsidRPr="00A014FD">
              <w:rPr>
                <w:sz w:val="22"/>
              </w:rPr>
              <w:t>140</w:t>
            </w:r>
          </w:p>
        </w:tc>
      </w:tr>
      <w:tr w:rsidR="005400D8" w:rsidRPr="00A014FD" w14:paraId="32ABE5F0" w14:textId="77777777" w:rsidTr="00704B82">
        <w:trPr>
          <w:trHeight w:val="285"/>
        </w:trPr>
        <w:tc>
          <w:tcPr>
            <w:tcW w:w="13320" w:type="dxa"/>
            <w:noWrap/>
            <w:hideMark/>
          </w:tcPr>
          <w:p w14:paraId="49CB7582" w14:textId="77777777" w:rsidR="005400D8" w:rsidRPr="00A014FD" w:rsidRDefault="005400D8" w:rsidP="00704B82">
            <w:pPr>
              <w:spacing w:line="240" w:lineRule="auto"/>
              <w:rPr>
                <w:sz w:val="22"/>
              </w:rPr>
            </w:pPr>
            <w:r w:rsidRPr="00A014FD">
              <w:rPr>
                <w:sz w:val="22"/>
              </w:rPr>
              <w:t xml:space="preserve">Achieving Economic and Environmental </w:t>
            </w:r>
            <w:proofErr w:type="spellStart"/>
            <w:r w:rsidRPr="00A014FD">
              <w:rPr>
                <w:sz w:val="22"/>
              </w:rPr>
              <w:t>Sustainabilities</w:t>
            </w:r>
            <w:proofErr w:type="spellEnd"/>
            <w:r w:rsidRPr="00A014FD">
              <w:rPr>
                <w:sz w:val="22"/>
              </w:rPr>
              <w:t xml:space="preserve"> in Urban Consolidation Center </w:t>
            </w:r>
            <w:proofErr w:type="gramStart"/>
            <w:r w:rsidRPr="00A014FD">
              <w:rPr>
                <w:sz w:val="22"/>
              </w:rPr>
              <w:t>With</w:t>
            </w:r>
            <w:proofErr w:type="gramEnd"/>
            <w:r w:rsidRPr="00A014FD">
              <w:rPr>
                <w:sz w:val="22"/>
              </w:rPr>
              <w:t xml:space="preserve"> Bicriteria Auction</w:t>
            </w:r>
          </w:p>
        </w:tc>
        <w:tc>
          <w:tcPr>
            <w:tcW w:w="628" w:type="dxa"/>
            <w:noWrap/>
            <w:hideMark/>
          </w:tcPr>
          <w:p w14:paraId="1D67D039" w14:textId="77777777" w:rsidR="005400D8" w:rsidRPr="00A014FD" w:rsidRDefault="005400D8" w:rsidP="00704B82">
            <w:pPr>
              <w:spacing w:line="240" w:lineRule="auto"/>
              <w:rPr>
                <w:sz w:val="22"/>
              </w:rPr>
            </w:pPr>
            <w:r w:rsidRPr="00A014FD">
              <w:rPr>
                <w:sz w:val="22"/>
              </w:rPr>
              <w:t>141</w:t>
            </w:r>
          </w:p>
        </w:tc>
      </w:tr>
      <w:tr w:rsidR="005400D8" w:rsidRPr="00A014FD" w14:paraId="46D94ACC" w14:textId="77777777" w:rsidTr="00704B82">
        <w:trPr>
          <w:trHeight w:val="285"/>
        </w:trPr>
        <w:tc>
          <w:tcPr>
            <w:tcW w:w="13320" w:type="dxa"/>
            <w:noWrap/>
            <w:hideMark/>
          </w:tcPr>
          <w:p w14:paraId="07A0E9C1" w14:textId="77777777" w:rsidR="005400D8" w:rsidRPr="00A014FD" w:rsidRDefault="005400D8" w:rsidP="00704B82">
            <w:pPr>
              <w:spacing w:line="240" w:lineRule="auto"/>
              <w:rPr>
                <w:sz w:val="22"/>
              </w:rPr>
            </w:pPr>
            <w:r w:rsidRPr="00A014FD">
              <w:rPr>
                <w:sz w:val="22"/>
              </w:rPr>
              <w:t>Optimal partner combination for joint distribution alliance using integrated fuzzy EWAHP and TOPSIS for online shopping</w:t>
            </w:r>
          </w:p>
        </w:tc>
        <w:tc>
          <w:tcPr>
            <w:tcW w:w="628" w:type="dxa"/>
            <w:noWrap/>
            <w:hideMark/>
          </w:tcPr>
          <w:p w14:paraId="4334421E" w14:textId="77777777" w:rsidR="005400D8" w:rsidRPr="00A014FD" w:rsidRDefault="005400D8" w:rsidP="00704B82">
            <w:pPr>
              <w:spacing w:line="240" w:lineRule="auto"/>
              <w:rPr>
                <w:sz w:val="22"/>
              </w:rPr>
            </w:pPr>
            <w:r w:rsidRPr="00A014FD">
              <w:rPr>
                <w:sz w:val="22"/>
              </w:rPr>
              <w:t>142</w:t>
            </w:r>
          </w:p>
        </w:tc>
      </w:tr>
      <w:tr w:rsidR="005400D8" w:rsidRPr="00A014FD" w14:paraId="313D4BCD" w14:textId="77777777" w:rsidTr="00704B82">
        <w:trPr>
          <w:trHeight w:val="285"/>
        </w:trPr>
        <w:tc>
          <w:tcPr>
            <w:tcW w:w="13320" w:type="dxa"/>
            <w:noWrap/>
            <w:hideMark/>
          </w:tcPr>
          <w:p w14:paraId="19173C0B" w14:textId="77777777" w:rsidR="005400D8" w:rsidRPr="00A014FD" w:rsidRDefault="005400D8" w:rsidP="00704B82">
            <w:pPr>
              <w:spacing w:line="240" w:lineRule="auto"/>
              <w:rPr>
                <w:sz w:val="22"/>
              </w:rPr>
            </w:pPr>
            <w:r w:rsidRPr="00A014FD">
              <w:rPr>
                <w:sz w:val="22"/>
              </w:rPr>
              <w:t>Freight Demand Management and the Potential of Receiver Led Consolidation programs</w:t>
            </w:r>
          </w:p>
        </w:tc>
        <w:tc>
          <w:tcPr>
            <w:tcW w:w="628" w:type="dxa"/>
            <w:noWrap/>
            <w:hideMark/>
          </w:tcPr>
          <w:p w14:paraId="2B6733DC" w14:textId="77777777" w:rsidR="005400D8" w:rsidRPr="00A014FD" w:rsidRDefault="005400D8" w:rsidP="00704B82">
            <w:pPr>
              <w:spacing w:line="240" w:lineRule="auto"/>
              <w:rPr>
                <w:sz w:val="22"/>
              </w:rPr>
            </w:pPr>
            <w:r w:rsidRPr="00A014FD">
              <w:rPr>
                <w:sz w:val="22"/>
              </w:rPr>
              <w:t>143</w:t>
            </w:r>
          </w:p>
        </w:tc>
      </w:tr>
      <w:tr w:rsidR="005400D8" w:rsidRPr="00A014FD" w14:paraId="4BDF1C54" w14:textId="77777777" w:rsidTr="00704B82">
        <w:trPr>
          <w:trHeight w:val="285"/>
        </w:trPr>
        <w:tc>
          <w:tcPr>
            <w:tcW w:w="13320" w:type="dxa"/>
            <w:noWrap/>
            <w:hideMark/>
          </w:tcPr>
          <w:p w14:paraId="1791B8E3" w14:textId="77777777" w:rsidR="005400D8" w:rsidRPr="00A014FD" w:rsidRDefault="005400D8" w:rsidP="00704B82">
            <w:pPr>
              <w:spacing w:line="240" w:lineRule="auto"/>
              <w:rPr>
                <w:sz w:val="22"/>
              </w:rPr>
            </w:pPr>
            <w:r w:rsidRPr="00A014FD">
              <w:rPr>
                <w:sz w:val="22"/>
              </w:rPr>
              <w:t>The impact of depot location, fleet composition and routing on emissions in city logistics</w:t>
            </w:r>
          </w:p>
        </w:tc>
        <w:tc>
          <w:tcPr>
            <w:tcW w:w="628" w:type="dxa"/>
            <w:noWrap/>
            <w:hideMark/>
          </w:tcPr>
          <w:p w14:paraId="4C6EA5E5" w14:textId="77777777" w:rsidR="005400D8" w:rsidRPr="00A014FD" w:rsidRDefault="005400D8" w:rsidP="00704B82">
            <w:pPr>
              <w:spacing w:line="240" w:lineRule="auto"/>
              <w:rPr>
                <w:sz w:val="22"/>
              </w:rPr>
            </w:pPr>
            <w:r w:rsidRPr="00A014FD">
              <w:rPr>
                <w:sz w:val="22"/>
              </w:rPr>
              <w:t>144</w:t>
            </w:r>
          </w:p>
        </w:tc>
      </w:tr>
      <w:tr w:rsidR="005400D8" w:rsidRPr="00A014FD" w14:paraId="27384892" w14:textId="77777777" w:rsidTr="00704B82">
        <w:trPr>
          <w:trHeight w:val="285"/>
        </w:trPr>
        <w:tc>
          <w:tcPr>
            <w:tcW w:w="13320" w:type="dxa"/>
            <w:noWrap/>
            <w:hideMark/>
          </w:tcPr>
          <w:p w14:paraId="494EB00F" w14:textId="77777777" w:rsidR="005400D8" w:rsidRPr="00A014FD" w:rsidRDefault="005400D8" w:rsidP="00704B82">
            <w:pPr>
              <w:spacing w:line="240" w:lineRule="auto"/>
              <w:rPr>
                <w:sz w:val="22"/>
              </w:rPr>
            </w:pPr>
            <w:r w:rsidRPr="00A014FD">
              <w:rPr>
                <w:sz w:val="22"/>
              </w:rPr>
              <w:t>Research in urban logistics: a systematic literature review</w:t>
            </w:r>
          </w:p>
        </w:tc>
        <w:tc>
          <w:tcPr>
            <w:tcW w:w="628" w:type="dxa"/>
            <w:noWrap/>
            <w:hideMark/>
          </w:tcPr>
          <w:p w14:paraId="6AC51EB7" w14:textId="77777777" w:rsidR="005400D8" w:rsidRPr="00A014FD" w:rsidRDefault="005400D8" w:rsidP="00704B82">
            <w:pPr>
              <w:spacing w:line="240" w:lineRule="auto"/>
              <w:rPr>
                <w:sz w:val="22"/>
              </w:rPr>
            </w:pPr>
            <w:r w:rsidRPr="00A014FD">
              <w:rPr>
                <w:sz w:val="22"/>
              </w:rPr>
              <w:t>145</w:t>
            </w:r>
          </w:p>
        </w:tc>
      </w:tr>
      <w:tr w:rsidR="005400D8" w:rsidRPr="00A014FD" w14:paraId="37DE45A5" w14:textId="77777777" w:rsidTr="00704B82">
        <w:trPr>
          <w:trHeight w:val="285"/>
        </w:trPr>
        <w:tc>
          <w:tcPr>
            <w:tcW w:w="13320" w:type="dxa"/>
            <w:noWrap/>
            <w:hideMark/>
          </w:tcPr>
          <w:p w14:paraId="3544C6B5" w14:textId="77777777" w:rsidR="005400D8" w:rsidRPr="00A014FD" w:rsidRDefault="005400D8" w:rsidP="00704B82">
            <w:pPr>
              <w:spacing w:line="240" w:lineRule="auto"/>
              <w:rPr>
                <w:sz w:val="22"/>
              </w:rPr>
            </w:pPr>
            <w:r w:rsidRPr="00A014FD">
              <w:rPr>
                <w:sz w:val="22"/>
              </w:rPr>
              <w:t>Sustainability SI: Logistics Cost and Environmental Impact Analyses of Urban Delivery Consolidation Strategies</w:t>
            </w:r>
          </w:p>
        </w:tc>
        <w:tc>
          <w:tcPr>
            <w:tcW w:w="628" w:type="dxa"/>
            <w:noWrap/>
            <w:hideMark/>
          </w:tcPr>
          <w:p w14:paraId="2A87D40A" w14:textId="77777777" w:rsidR="005400D8" w:rsidRPr="00A014FD" w:rsidRDefault="005400D8" w:rsidP="00704B82">
            <w:pPr>
              <w:spacing w:line="240" w:lineRule="auto"/>
              <w:rPr>
                <w:sz w:val="22"/>
              </w:rPr>
            </w:pPr>
            <w:r w:rsidRPr="00A014FD">
              <w:rPr>
                <w:sz w:val="22"/>
              </w:rPr>
              <w:t>146</w:t>
            </w:r>
          </w:p>
        </w:tc>
      </w:tr>
      <w:tr w:rsidR="005400D8" w:rsidRPr="00A014FD" w14:paraId="447AF67C" w14:textId="77777777" w:rsidTr="00704B82">
        <w:trPr>
          <w:trHeight w:val="285"/>
        </w:trPr>
        <w:tc>
          <w:tcPr>
            <w:tcW w:w="13320" w:type="dxa"/>
            <w:noWrap/>
            <w:hideMark/>
          </w:tcPr>
          <w:p w14:paraId="6522A5C1" w14:textId="77777777" w:rsidR="005400D8" w:rsidRPr="00A014FD" w:rsidRDefault="005400D8" w:rsidP="00704B82">
            <w:pPr>
              <w:spacing w:line="240" w:lineRule="auto"/>
              <w:rPr>
                <w:sz w:val="22"/>
              </w:rPr>
            </w:pPr>
            <w:r w:rsidRPr="00A014FD">
              <w:rPr>
                <w:sz w:val="22"/>
              </w:rPr>
              <w:t xml:space="preserve">Understanding urban mobility and the impact of public policies: The role of the </w:t>
            </w:r>
            <w:proofErr w:type="gramStart"/>
            <w:r w:rsidRPr="00A014FD">
              <w:rPr>
                <w:sz w:val="22"/>
              </w:rPr>
              <w:t>agent based</w:t>
            </w:r>
            <w:proofErr w:type="gramEnd"/>
            <w:r w:rsidRPr="00A014FD">
              <w:rPr>
                <w:sz w:val="22"/>
              </w:rPr>
              <w:t xml:space="preserve"> models</w:t>
            </w:r>
          </w:p>
        </w:tc>
        <w:tc>
          <w:tcPr>
            <w:tcW w:w="628" w:type="dxa"/>
            <w:noWrap/>
            <w:hideMark/>
          </w:tcPr>
          <w:p w14:paraId="7D3DBCA5" w14:textId="77777777" w:rsidR="005400D8" w:rsidRPr="00A014FD" w:rsidRDefault="005400D8" w:rsidP="00704B82">
            <w:pPr>
              <w:spacing w:line="240" w:lineRule="auto"/>
              <w:rPr>
                <w:sz w:val="22"/>
              </w:rPr>
            </w:pPr>
            <w:r w:rsidRPr="00A014FD">
              <w:rPr>
                <w:sz w:val="22"/>
              </w:rPr>
              <w:t>147</w:t>
            </w:r>
          </w:p>
        </w:tc>
      </w:tr>
      <w:tr w:rsidR="005400D8" w:rsidRPr="00A014FD" w14:paraId="411F9BBA" w14:textId="77777777" w:rsidTr="00704B82">
        <w:trPr>
          <w:trHeight w:val="285"/>
        </w:trPr>
        <w:tc>
          <w:tcPr>
            <w:tcW w:w="13320" w:type="dxa"/>
            <w:noWrap/>
            <w:hideMark/>
          </w:tcPr>
          <w:p w14:paraId="3C4EC64B" w14:textId="77777777" w:rsidR="005400D8" w:rsidRPr="00A014FD" w:rsidRDefault="005400D8" w:rsidP="00704B82">
            <w:pPr>
              <w:spacing w:line="240" w:lineRule="auto"/>
              <w:rPr>
                <w:sz w:val="22"/>
              </w:rPr>
            </w:pPr>
            <w:r w:rsidRPr="00A014FD">
              <w:rPr>
                <w:sz w:val="22"/>
              </w:rPr>
              <w:t>On the impact of collaborative strategies for goods delivery in city logistics</w:t>
            </w:r>
          </w:p>
        </w:tc>
        <w:tc>
          <w:tcPr>
            <w:tcW w:w="628" w:type="dxa"/>
            <w:noWrap/>
            <w:hideMark/>
          </w:tcPr>
          <w:p w14:paraId="3519FD85" w14:textId="77777777" w:rsidR="005400D8" w:rsidRPr="00A014FD" w:rsidRDefault="005400D8" w:rsidP="00704B82">
            <w:pPr>
              <w:spacing w:line="240" w:lineRule="auto"/>
              <w:rPr>
                <w:sz w:val="22"/>
              </w:rPr>
            </w:pPr>
            <w:r w:rsidRPr="00A014FD">
              <w:rPr>
                <w:sz w:val="22"/>
              </w:rPr>
              <w:t>148</w:t>
            </w:r>
          </w:p>
        </w:tc>
      </w:tr>
      <w:tr w:rsidR="005400D8" w:rsidRPr="00A014FD" w14:paraId="12E95778" w14:textId="77777777" w:rsidTr="00704B82">
        <w:trPr>
          <w:trHeight w:val="285"/>
        </w:trPr>
        <w:tc>
          <w:tcPr>
            <w:tcW w:w="13320" w:type="dxa"/>
            <w:noWrap/>
            <w:hideMark/>
          </w:tcPr>
          <w:p w14:paraId="74A60230" w14:textId="77777777" w:rsidR="005400D8" w:rsidRPr="00A014FD" w:rsidRDefault="005400D8" w:rsidP="00704B82">
            <w:pPr>
              <w:spacing w:line="240" w:lineRule="auto"/>
              <w:rPr>
                <w:sz w:val="22"/>
              </w:rPr>
            </w:pPr>
            <w:r w:rsidRPr="00A014FD">
              <w:rPr>
                <w:sz w:val="22"/>
              </w:rPr>
              <w:t>Urban freight transport and city logistics policies: Indications from Rome, Barcelona, and Santander</w:t>
            </w:r>
          </w:p>
        </w:tc>
        <w:tc>
          <w:tcPr>
            <w:tcW w:w="628" w:type="dxa"/>
            <w:noWrap/>
            <w:hideMark/>
          </w:tcPr>
          <w:p w14:paraId="1FAEE08D" w14:textId="77777777" w:rsidR="005400D8" w:rsidRPr="00A014FD" w:rsidRDefault="005400D8" w:rsidP="00704B82">
            <w:pPr>
              <w:spacing w:line="240" w:lineRule="auto"/>
              <w:rPr>
                <w:sz w:val="22"/>
              </w:rPr>
            </w:pPr>
            <w:r w:rsidRPr="00A014FD">
              <w:rPr>
                <w:sz w:val="22"/>
              </w:rPr>
              <w:t>149</w:t>
            </w:r>
          </w:p>
        </w:tc>
      </w:tr>
      <w:tr w:rsidR="005400D8" w:rsidRPr="00A014FD" w14:paraId="33C1792E" w14:textId="77777777" w:rsidTr="00704B82">
        <w:trPr>
          <w:trHeight w:val="285"/>
        </w:trPr>
        <w:tc>
          <w:tcPr>
            <w:tcW w:w="13320" w:type="dxa"/>
            <w:noWrap/>
            <w:hideMark/>
          </w:tcPr>
          <w:p w14:paraId="1CCD4CB2" w14:textId="77777777" w:rsidR="005400D8" w:rsidRPr="00A014FD" w:rsidRDefault="005400D8" w:rsidP="00704B82">
            <w:pPr>
              <w:spacing w:line="240" w:lineRule="auto"/>
              <w:rPr>
                <w:sz w:val="22"/>
              </w:rPr>
            </w:pPr>
            <w:r w:rsidRPr="00A014FD">
              <w:rPr>
                <w:sz w:val="22"/>
              </w:rPr>
              <w:t>Effect of speed on emissions of air pollutants in urban environment: Case study of truck emissions</w:t>
            </w:r>
          </w:p>
        </w:tc>
        <w:tc>
          <w:tcPr>
            <w:tcW w:w="628" w:type="dxa"/>
            <w:noWrap/>
            <w:hideMark/>
          </w:tcPr>
          <w:p w14:paraId="0B0401B0" w14:textId="77777777" w:rsidR="005400D8" w:rsidRPr="00A014FD" w:rsidRDefault="005400D8" w:rsidP="00704B82">
            <w:pPr>
              <w:spacing w:line="240" w:lineRule="auto"/>
              <w:rPr>
                <w:sz w:val="22"/>
              </w:rPr>
            </w:pPr>
            <w:r w:rsidRPr="00A014FD">
              <w:rPr>
                <w:sz w:val="22"/>
              </w:rPr>
              <w:t>150</w:t>
            </w:r>
          </w:p>
        </w:tc>
      </w:tr>
      <w:tr w:rsidR="005400D8" w:rsidRPr="00A014FD" w14:paraId="1A05E566" w14:textId="77777777" w:rsidTr="00704B82">
        <w:trPr>
          <w:trHeight w:val="285"/>
        </w:trPr>
        <w:tc>
          <w:tcPr>
            <w:tcW w:w="13320" w:type="dxa"/>
            <w:noWrap/>
            <w:hideMark/>
          </w:tcPr>
          <w:p w14:paraId="2052B50D" w14:textId="77777777" w:rsidR="005400D8" w:rsidRPr="00A014FD" w:rsidRDefault="005400D8" w:rsidP="00704B82">
            <w:pPr>
              <w:spacing w:line="240" w:lineRule="auto"/>
              <w:rPr>
                <w:sz w:val="22"/>
              </w:rPr>
            </w:pPr>
            <w:r w:rsidRPr="00A014FD">
              <w:rPr>
                <w:sz w:val="22"/>
              </w:rPr>
              <w:t>Transport spatial model for the definition of green routes for city logistics centers</w:t>
            </w:r>
          </w:p>
        </w:tc>
        <w:tc>
          <w:tcPr>
            <w:tcW w:w="628" w:type="dxa"/>
            <w:noWrap/>
            <w:hideMark/>
          </w:tcPr>
          <w:p w14:paraId="1FF8774F" w14:textId="77777777" w:rsidR="005400D8" w:rsidRPr="00A014FD" w:rsidRDefault="005400D8" w:rsidP="00704B82">
            <w:pPr>
              <w:spacing w:line="240" w:lineRule="auto"/>
              <w:rPr>
                <w:sz w:val="22"/>
              </w:rPr>
            </w:pPr>
            <w:r w:rsidRPr="00A014FD">
              <w:rPr>
                <w:sz w:val="22"/>
              </w:rPr>
              <w:t>151</w:t>
            </w:r>
          </w:p>
        </w:tc>
      </w:tr>
      <w:tr w:rsidR="005400D8" w:rsidRPr="00A014FD" w14:paraId="049AF4BF" w14:textId="77777777" w:rsidTr="00704B82">
        <w:trPr>
          <w:trHeight w:val="285"/>
        </w:trPr>
        <w:tc>
          <w:tcPr>
            <w:tcW w:w="13320" w:type="dxa"/>
            <w:noWrap/>
            <w:hideMark/>
          </w:tcPr>
          <w:p w14:paraId="6F3E2968" w14:textId="77777777" w:rsidR="005400D8" w:rsidRPr="00A014FD" w:rsidRDefault="005400D8" w:rsidP="00704B82">
            <w:pPr>
              <w:spacing w:line="240" w:lineRule="auto"/>
              <w:rPr>
                <w:sz w:val="22"/>
              </w:rPr>
            </w:pPr>
            <w:r w:rsidRPr="00A014FD">
              <w:rPr>
                <w:sz w:val="22"/>
              </w:rPr>
              <w:t>On integrating crowdsourced delivery in last mile logistics: A simulation study to quantify its feasibility</w:t>
            </w:r>
          </w:p>
        </w:tc>
        <w:tc>
          <w:tcPr>
            <w:tcW w:w="628" w:type="dxa"/>
            <w:noWrap/>
            <w:hideMark/>
          </w:tcPr>
          <w:p w14:paraId="3EC77331" w14:textId="77777777" w:rsidR="005400D8" w:rsidRPr="00A014FD" w:rsidRDefault="005400D8" w:rsidP="00704B82">
            <w:pPr>
              <w:spacing w:line="240" w:lineRule="auto"/>
              <w:rPr>
                <w:sz w:val="22"/>
              </w:rPr>
            </w:pPr>
            <w:r w:rsidRPr="00A014FD">
              <w:rPr>
                <w:sz w:val="22"/>
              </w:rPr>
              <w:t>152</w:t>
            </w:r>
          </w:p>
        </w:tc>
      </w:tr>
      <w:tr w:rsidR="005400D8" w:rsidRPr="00A014FD" w14:paraId="731FEC42" w14:textId="77777777" w:rsidTr="00704B82">
        <w:trPr>
          <w:trHeight w:val="285"/>
        </w:trPr>
        <w:tc>
          <w:tcPr>
            <w:tcW w:w="13320" w:type="dxa"/>
            <w:noWrap/>
            <w:hideMark/>
          </w:tcPr>
          <w:p w14:paraId="47AC03FA" w14:textId="77777777" w:rsidR="005400D8" w:rsidRPr="00A014FD" w:rsidRDefault="005400D8" w:rsidP="00704B82">
            <w:pPr>
              <w:spacing w:line="240" w:lineRule="auto"/>
              <w:rPr>
                <w:sz w:val="22"/>
              </w:rPr>
            </w:pPr>
            <w:r w:rsidRPr="00A014FD">
              <w:rPr>
                <w:sz w:val="22"/>
              </w:rPr>
              <w:t>Urban freight transport planning towards green goals: Synthetic environmental evidence from tested results</w:t>
            </w:r>
          </w:p>
        </w:tc>
        <w:tc>
          <w:tcPr>
            <w:tcW w:w="628" w:type="dxa"/>
            <w:noWrap/>
            <w:hideMark/>
          </w:tcPr>
          <w:p w14:paraId="2D215754" w14:textId="77777777" w:rsidR="005400D8" w:rsidRPr="00A014FD" w:rsidRDefault="005400D8" w:rsidP="00704B82">
            <w:pPr>
              <w:spacing w:line="240" w:lineRule="auto"/>
              <w:rPr>
                <w:sz w:val="22"/>
              </w:rPr>
            </w:pPr>
            <w:r w:rsidRPr="00A014FD">
              <w:rPr>
                <w:sz w:val="22"/>
              </w:rPr>
              <w:t>153</w:t>
            </w:r>
          </w:p>
        </w:tc>
      </w:tr>
      <w:tr w:rsidR="005400D8" w:rsidRPr="00A014FD" w14:paraId="65FA6819" w14:textId="77777777" w:rsidTr="00704B82">
        <w:trPr>
          <w:trHeight w:val="285"/>
        </w:trPr>
        <w:tc>
          <w:tcPr>
            <w:tcW w:w="13320" w:type="dxa"/>
            <w:noWrap/>
            <w:hideMark/>
          </w:tcPr>
          <w:p w14:paraId="2AB78967" w14:textId="77777777" w:rsidR="005400D8" w:rsidRPr="00A014FD" w:rsidRDefault="005400D8" w:rsidP="00704B82">
            <w:pPr>
              <w:spacing w:line="240" w:lineRule="auto"/>
              <w:rPr>
                <w:sz w:val="22"/>
              </w:rPr>
            </w:pPr>
            <w:r w:rsidRPr="00A014FD">
              <w:rPr>
                <w:sz w:val="22"/>
              </w:rPr>
              <w:t>Supporting the adoption of electric vehicles in urban road freight transport – A multicriteria analysis of policy measures in Germany</w:t>
            </w:r>
          </w:p>
        </w:tc>
        <w:tc>
          <w:tcPr>
            <w:tcW w:w="628" w:type="dxa"/>
            <w:noWrap/>
            <w:hideMark/>
          </w:tcPr>
          <w:p w14:paraId="5E1EFDC5" w14:textId="77777777" w:rsidR="005400D8" w:rsidRPr="00A014FD" w:rsidRDefault="005400D8" w:rsidP="00704B82">
            <w:pPr>
              <w:spacing w:line="240" w:lineRule="auto"/>
              <w:rPr>
                <w:sz w:val="22"/>
              </w:rPr>
            </w:pPr>
            <w:r w:rsidRPr="00A014FD">
              <w:rPr>
                <w:sz w:val="22"/>
              </w:rPr>
              <w:t>154</w:t>
            </w:r>
          </w:p>
        </w:tc>
      </w:tr>
      <w:tr w:rsidR="005400D8" w:rsidRPr="00A014FD" w14:paraId="5D726B66" w14:textId="77777777" w:rsidTr="00704B82">
        <w:trPr>
          <w:trHeight w:val="285"/>
        </w:trPr>
        <w:tc>
          <w:tcPr>
            <w:tcW w:w="13320" w:type="dxa"/>
            <w:noWrap/>
            <w:hideMark/>
          </w:tcPr>
          <w:p w14:paraId="527878BF" w14:textId="77777777" w:rsidR="005400D8" w:rsidRPr="00A014FD" w:rsidRDefault="005400D8" w:rsidP="00704B82">
            <w:pPr>
              <w:spacing w:line="240" w:lineRule="auto"/>
              <w:rPr>
                <w:sz w:val="22"/>
              </w:rPr>
            </w:pPr>
            <w:r w:rsidRPr="00A014FD">
              <w:rPr>
                <w:sz w:val="22"/>
              </w:rPr>
              <w:t>Low carbon city logistics distribution network design with resource deployment</w:t>
            </w:r>
          </w:p>
        </w:tc>
        <w:tc>
          <w:tcPr>
            <w:tcW w:w="628" w:type="dxa"/>
            <w:noWrap/>
            <w:hideMark/>
          </w:tcPr>
          <w:p w14:paraId="72BD2647" w14:textId="77777777" w:rsidR="005400D8" w:rsidRPr="00A014FD" w:rsidRDefault="005400D8" w:rsidP="00704B82">
            <w:pPr>
              <w:spacing w:line="240" w:lineRule="auto"/>
              <w:rPr>
                <w:sz w:val="22"/>
              </w:rPr>
            </w:pPr>
            <w:r w:rsidRPr="00A014FD">
              <w:rPr>
                <w:sz w:val="22"/>
              </w:rPr>
              <w:t>155</w:t>
            </w:r>
          </w:p>
        </w:tc>
      </w:tr>
      <w:tr w:rsidR="005400D8" w:rsidRPr="00A014FD" w14:paraId="47B085A1" w14:textId="77777777" w:rsidTr="00704B82">
        <w:trPr>
          <w:trHeight w:val="285"/>
        </w:trPr>
        <w:tc>
          <w:tcPr>
            <w:tcW w:w="13320" w:type="dxa"/>
            <w:noWrap/>
            <w:hideMark/>
          </w:tcPr>
          <w:p w14:paraId="098F20C5" w14:textId="77777777" w:rsidR="005400D8" w:rsidRPr="00A014FD" w:rsidRDefault="005400D8" w:rsidP="00704B82">
            <w:pPr>
              <w:spacing w:line="240" w:lineRule="auto"/>
              <w:rPr>
                <w:sz w:val="22"/>
              </w:rPr>
            </w:pPr>
            <w:r w:rsidRPr="00A014FD">
              <w:rPr>
                <w:sz w:val="22"/>
              </w:rPr>
              <w:lastRenderedPageBreak/>
              <w:t>Inverse vehicle routing for activity based urban freight forecast modeling and city logistics</w:t>
            </w:r>
          </w:p>
        </w:tc>
        <w:tc>
          <w:tcPr>
            <w:tcW w:w="628" w:type="dxa"/>
            <w:noWrap/>
            <w:hideMark/>
          </w:tcPr>
          <w:p w14:paraId="52E8CA95" w14:textId="77777777" w:rsidR="005400D8" w:rsidRPr="00A014FD" w:rsidRDefault="005400D8" w:rsidP="00704B82">
            <w:pPr>
              <w:spacing w:line="240" w:lineRule="auto"/>
              <w:rPr>
                <w:sz w:val="22"/>
              </w:rPr>
            </w:pPr>
            <w:r w:rsidRPr="00A014FD">
              <w:rPr>
                <w:sz w:val="22"/>
              </w:rPr>
              <w:t>156</w:t>
            </w:r>
          </w:p>
        </w:tc>
      </w:tr>
      <w:tr w:rsidR="005400D8" w:rsidRPr="00A014FD" w14:paraId="2F5E8F77" w14:textId="77777777" w:rsidTr="00704B82">
        <w:trPr>
          <w:trHeight w:val="285"/>
        </w:trPr>
        <w:tc>
          <w:tcPr>
            <w:tcW w:w="13320" w:type="dxa"/>
            <w:noWrap/>
            <w:hideMark/>
          </w:tcPr>
          <w:p w14:paraId="5A03409C" w14:textId="77777777" w:rsidR="005400D8" w:rsidRPr="00A014FD" w:rsidRDefault="005400D8" w:rsidP="00704B82">
            <w:pPr>
              <w:spacing w:line="240" w:lineRule="auto"/>
              <w:rPr>
                <w:sz w:val="22"/>
              </w:rPr>
            </w:pPr>
            <w:r w:rsidRPr="00A014FD">
              <w:rPr>
                <w:sz w:val="22"/>
              </w:rPr>
              <w:t>Towards sustainable urban logistics: Creating sustainable urban freight transport on the example of a Limited Accessibility Zone in Gdansk</w:t>
            </w:r>
          </w:p>
        </w:tc>
        <w:tc>
          <w:tcPr>
            <w:tcW w:w="628" w:type="dxa"/>
            <w:noWrap/>
            <w:hideMark/>
          </w:tcPr>
          <w:p w14:paraId="49D299AE" w14:textId="77777777" w:rsidR="005400D8" w:rsidRPr="00A014FD" w:rsidRDefault="005400D8" w:rsidP="00704B82">
            <w:pPr>
              <w:spacing w:line="240" w:lineRule="auto"/>
              <w:rPr>
                <w:sz w:val="22"/>
              </w:rPr>
            </w:pPr>
            <w:r w:rsidRPr="00A014FD">
              <w:rPr>
                <w:sz w:val="22"/>
              </w:rPr>
              <w:t>157</w:t>
            </w:r>
          </w:p>
        </w:tc>
      </w:tr>
      <w:tr w:rsidR="005400D8" w:rsidRPr="00A014FD" w14:paraId="33B30226" w14:textId="77777777" w:rsidTr="00704B82">
        <w:trPr>
          <w:trHeight w:val="285"/>
        </w:trPr>
        <w:tc>
          <w:tcPr>
            <w:tcW w:w="13320" w:type="dxa"/>
            <w:noWrap/>
            <w:hideMark/>
          </w:tcPr>
          <w:p w14:paraId="59B2873E" w14:textId="77777777" w:rsidR="005400D8" w:rsidRPr="00A014FD" w:rsidRDefault="005400D8" w:rsidP="00704B82">
            <w:pPr>
              <w:spacing w:line="240" w:lineRule="auto"/>
              <w:rPr>
                <w:sz w:val="22"/>
              </w:rPr>
            </w:pPr>
            <w:r w:rsidRPr="00A014FD">
              <w:rPr>
                <w:sz w:val="22"/>
              </w:rPr>
              <w:t>Synchronizing vans and cargo bikes in a city distribution network</w:t>
            </w:r>
          </w:p>
        </w:tc>
        <w:tc>
          <w:tcPr>
            <w:tcW w:w="628" w:type="dxa"/>
            <w:noWrap/>
            <w:hideMark/>
          </w:tcPr>
          <w:p w14:paraId="30FB4C83" w14:textId="77777777" w:rsidR="005400D8" w:rsidRPr="00A014FD" w:rsidRDefault="005400D8" w:rsidP="00704B82">
            <w:pPr>
              <w:spacing w:line="240" w:lineRule="auto"/>
              <w:rPr>
                <w:sz w:val="22"/>
              </w:rPr>
            </w:pPr>
            <w:r w:rsidRPr="00A014FD">
              <w:rPr>
                <w:sz w:val="22"/>
              </w:rPr>
              <w:t>158</w:t>
            </w:r>
          </w:p>
        </w:tc>
      </w:tr>
      <w:tr w:rsidR="005400D8" w:rsidRPr="00A014FD" w14:paraId="11FBA73E" w14:textId="77777777" w:rsidTr="00704B82">
        <w:trPr>
          <w:trHeight w:val="285"/>
        </w:trPr>
        <w:tc>
          <w:tcPr>
            <w:tcW w:w="13320" w:type="dxa"/>
            <w:noWrap/>
            <w:hideMark/>
          </w:tcPr>
          <w:p w14:paraId="75664D5C" w14:textId="77777777" w:rsidR="005400D8" w:rsidRPr="00A014FD" w:rsidRDefault="005400D8" w:rsidP="00704B82">
            <w:pPr>
              <w:spacing w:line="240" w:lineRule="auto"/>
              <w:rPr>
                <w:sz w:val="22"/>
              </w:rPr>
            </w:pPr>
            <w:r w:rsidRPr="00A014FD">
              <w:rPr>
                <w:sz w:val="22"/>
              </w:rPr>
              <w:t>Simulation of B2C ecommerce distribution in Antwerp using cargo bikes and delivery points</w:t>
            </w:r>
          </w:p>
        </w:tc>
        <w:tc>
          <w:tcPr>
            <w:tcW w:w="628" w:type="dxa"/>
            <w:noWrap/>
            <w:hideMark/>
          </w:tcPr>
          <w:p w14:paraId="70B2AF4A" w14:textId="77777777" w:rsidR="005400D8" w:rsidRPr="00A014FD" w:rsidRDefault="005400D8" w:rsidP="00704B82">
            <w:pPr>
              <w:spacing w:line="240" w:lineRule="auto"/>
              <w:rPr>
                <w:sz w:val="22"/>
              </w:rPr>
            </w:pPr>
            <w:r w:rsidRPr="00A014FD">
              <w:rPr>
                <w:sz w:val="22"/>
              </w:rPr>
              <w:t>159</w:t>
            </w:r>
          </w:p>
        </w:tc>
      </w:tr>
      <w:tr w:rsidR="005400D8" w:rsidRPr="00A014FD" w14:paraId="760D4036" w14:textId="77777777" w:rsidTr="00704B82">
        <w:trPr>
          <w:trHeight w:val="285"/>
        </w:trPr>
        <w:tc>
          <w:tcPr>
            <w:tcW w:w="13320" w:type="dxa"/>
            <w:noWrap/>
            <w:hideMark/>
          </w:tcPr>
          <w:p w14:paraId="7E4BA4A6" w14:textId="77777777" w:rsidR="005400D8" w:rsidRPr="00A014FD" w:rsidRDefault="005400D8" w:rsidP="00704B82">
            <w:pPr>
              <w:spacing w:line="240" w:lineRule="auto"/>
              <w:rPr>
                <w:sz w:val="22"/>
              </w:rPr>
            </w:pPr>
            <w:r w:rsidRPr="00A014FD">
              <w:rPr>
                <w:sz w:val="22"/>
              </w:rPr>
              <w:t xml:space="preserve">An </w:t>
            </w:r>
            <w:proofErr w:type="gramStart"/>
            <w:r w:rsidRPr="00A014FD">
              <w:rPr>
                <w:sz w:val="22"/>
              </w:rPr>
              <w:t>ex ante</w:t>
            </w:r>
            <w:proofErr w:type="gramEnd"/>
            <w:r w:rsidRPr="00A014FD">
              <w:rPr>
                <w:sz w:val="22"/>
              </w:rPr>
              <w:t xml:space="preserve"> evaluation of mobile depots in cities: A sustainability perspective</w:t>
            </w:r>
          </w:p>
        </w:tc>
        <w:tc>
          <w:tcPr>
            <w:tcW w:w="628" w:type="dxa"/>
            <w:noWrap/>
            <w:hideMark/>
          </w:tcPr>
          <w:p w14:paraId="36F87E2C" w14:textId="77777777" w:rsidR="005400D8" w:rsidRPr="00A014FD" w:rsidRDefault="005400D8" w:rsidP="00704B82">
            <w:pPr>
              <w:spacing w:line="240" w:lineRule="auto"/>
              <w:rPr>
                <w:sz w:val="22"/>
              </w:rPr>
            </w:pPr>
            <w:r w:rsidRPr="00A014FD">
              <w:rPr>
                <w:sz w:val="22"/>
              </w:rPr>
              <w:t>160</w:t>
            </w:r>
          </w:p>
        </w:tc>
      </w:tr>
      <w:tr w:rsidR="005400D8" w:rsidRPr="00A014FD" w14:paraId="505E013F" w14:textId="77777777" w:rsidTr="00704B82">
        <w:trPr>
          <w:trHeight w:val="285"/>
        </w:trPr>
        <w:tc>
          <w:tcPr>
            <w:tcW w:w="13320" w:type="dxa"/>
            <w:noWrap/>
            <w:hideMark/>
          </w:tcPr>
          <w:p w14:paraId="75655CD6" w14:textId="77777777" w:rsidR="005400D8" w:rsidRPr="00A014FD" w:rsidRDefault="005400D8" w:rsidP="00704B82">
            <w:pPr>
              <w:spacing w:line="240" w:lineRule="auto"/>
              <w:rPr>
                <w:sz w:val="22"/>
              </w:rPr>
            </w:pPr>
            <w:r w:rsidRPr="00A014FD">
              <w:rPr>
                <w:sz w:val="22"/>
              </w:rPr>
              <w:t>The impact of path selection on GHG emissions in city logistics</w:t>
            </w:r>
          </w:p>
        </w:tc>
        <w:tc>
          <w:tcPr>
            <w:tcW w:w="628" w:type="dxa"/>
            <w:noWrap/>
            <w:hideMark/>
          </w:tcPr>
          <w:p w14:paraId="4CA77C72" w14:textId="77777777" w:rsidR="005400D8" w:rsidRPr="00A014FD" w:rsidRDefault="005400D8" w:rsidP="00704B82">
            <w:pPr>
              <w:spacing w:line="240" w:lineRule="auto"/>
              <w:rPr>
                <w:sz w:val="22"/>
              </w:rPr>
            </w:pPr>
            <w:r w:rsidRPr="00A014FD">
              <w:rPr>
                <w:sz w:val="22"/>
              </w:rPr>
              <w:t>161</w:t>
            </w:r>
          </w:p>
        </w:tc>
      </w:tr>
      <w:tr w:rsidR="005400D8" w:rsidRPr="00A014FD" w14:paraId="7EB9FC16" w14:textId="77777777" w:rsidTr="00704B82">
        <w:trPr>
          <w:trHeight w:val="285"/>
        </w:trPr>
        <w:tc>
          <w:tcPr>
            <w:tcW w:w="13320" w:type="dxa"/>
            <w:noWrap/>
            <w:hideMark/>
          </w:tcPr>
          <w:p w14:paraId="4162B3F0" w14:textId="77777777" w:rsidR="005400D8" w:rsidRPr="00A014FD" w:rsidRDefault="005400D8" w:rsidP="00704B82">
            <w:pPr>
              <w:spacing w:line="240" w:lineRule="auto"/>
              <w:rPr>
                <w:sz w:val="22"/>
              </w:rPr>
            </w:pPr>
            <w:r w:rsidRPr="00A014FD">
              <w:rPr>
                <w:sz w:val="22"/>
              </w:rPr>
              <w:t>Crowd logistics: an opportunity for more sustainable urban freight transport?</w:t>
            </w:r>
          </w:p>
        </w:tc>
        <w:tc>
          <w:tcPr>
            <w:tcW w:w="628" w:type="dxa"/>
            <w:noWrap/>
            <w:hideMark/>
          </w:tcPr>
          <w:p w14:paraId="029DE72B" w14:textId="77777777" w:rsidR="005400D8" w:rsidRPr="00A014FD" w:rsidRDefault="005400D8" w:rsidP="00704B82">
            <w:pPr>
              <w:spacing w:line="240" w:lineRule="auto"/>
              <w:rPr>
                <w:sz w:val="22"/>
              </w:rPr>
            </w:pPr>
            <w:r w:rsidRPr="00A014FD">
              <w:rPr>
                <w:sz w:val="22"/>
              </w:rPr>
              <w:t>162</w:t>
            </w:r>
          </w:p>
        </w:tc>
      </w:tr>
      <w:tr w:rsidR="005400D8" w:rsidRPr="00A014FD" w14:paraId="2FD8E640" w14:textId="77777777" w:rsidTr="00704B82">
        <w:trPr>
          <w:trHeight w:val="285"/>
        </w:trPr>
        <w:tc>
          <w:tcPr>
            <w:tcW w:w="13320" w:type="dxa"/>
            <w:noWrap/>
            <w:hideMark/>
          </w:tcPr>
          <w:p w14:paraId="4008E349" w14:textId="77777777" w:rsidR="005400D8" w:rsidRPr="00A014FD" w:rsidRDefault="005400D8" w:rsidP="00704B82">
            <w:pPr>
              <w:spacing w:line="240" w:lineRule="auto"/>
              <w:rPr>
                <w:sz w:val="22"/>
              </w:rPr>
            </w:pPr>
            <w:r w:rsidRPr="00A014FD">
              <w:rPr>
                <w:sz w:val="22"/>
              </w:rPr>
              <w:t xml:space="preserve">Analyzing the diffusion of </w:t>
            </w:r>
            <w:proofErr w:type="spellStart"/>
            <w:r w:rsidRPr="00A014FD">
              <w:rPr>
                <w:sz w:val="22"/>
              </w:rPr>
              <w:t>eco friendly</w:t>
            </w:r>
            <w:proofErr w:type="spellEnd"/>
            <w:r w:rsidRPr="00A014FD">
              <w:rPr>
                <w:sz w:val="22"/>
              </w:rPr>
              <w:t xml:space="preserve"> vans for urban freight distribution</w:t>
            </w:r>
          </w:p>
        </w:tc>
        <w:tc>
          <w:tcPr>
            <w:tcW w:w="628" w:type="dxa"/>
            <w:noWrap/>
            <w:hideMark/>
          </w:tcPr>
          <w:p w14:paraId="30044BB3" w14:textId="77777777" w:rsidR="005400D8" w:rsidRPr="00A014FD" w:rsidRDefault="005400D8" w:rsidP="00704B82">
            <w:pPr>
              <w:spacing w:line="240" w:lineRule="auto"/>
              <w:rPr>
                <w:sz w:val="22"/>
              </w:rPr>
            </w:pPr>
            <w:r w:rsidRPr="00A014FD">
              <w:rPr>
                <w:sz w:val="22"/>
              </w:rPr>
              <w:t>163</w:t>
            </w:r>
          </w:p>
        </w:tc>
      </w:tr>
      <w:tr w:rsidR="005400D8" w:rsidRPr="00A014FD" w14:paraId="164DC7BB" w14:textId="77777777" w:rsidTr="00704B82">
        <w:trPr>
          <w:trHeight w:val="285"/>
        </w:trPr>
        <w:tc>
          <w:tcPr>
            <w:tcW w:w="13320" w:type="dxa"/>
            <w:noWrap/>
            <w:hideMark/>
          </w:tcPr>
          <w:p w14:paraId="2F05DF05" w14:textId="77777777" w:rsidR="005400D8" w:rsidRPr="00A014FD" w:rsidRDefault="005400D8" w:rsidP="00704B82">
            <w:pPr>
              <w:spacing w:line="240" w:lineRule="auto"/>
              <w:rPr>
                <w:sz w:val="22"/>
              </w:rPr>
            </w:pPr>
            <w:r w:rsidRPr="00A014FD">
              <w:rPr>
                <w:sz w:val="22"/>
              </w:rPr>
              <w:t>City logistics, urban goods distribution and last mile delivery and collection</w:t>
            </w:r>
          </w:p>
        </w:tc>
        <w:tc>
          <w:tcPr>
            <w:tcW w:w="628" w:type="dxa"/>
            <w:noWrap/>
            <w:hideMark/>
          </w:tcPr>
          <w:p w14:paraId="0F499E62" w14:textId="77777777" w:rsidR="005400D8" w:rsidRPr="00A014FD" w:rsidRDefault="005400D8" w:rsidP="00704B82">
            <w:pPr>
              <w:spacing w:line="240" w:lineRule="auto"/>
              <w:rPr>
                <w:sz w:val="22"/>
              </w:rPr>
            </w:pPr>
            <w:r w:rsidRPr="00A014FD">
              <w:rPr>
                <w:sz w:val="22"/>
              </w:rPr>
              <w:t>164</w:t>
            </w:r>
          </w:p>
        </w:tc>
      </w:tr>
      <w:tr w:rsidR="005400D8" w:rsidRPr="00A014FD" w14:paraId="7AE82556" w14:textId="77777777" w:rsidTr="00704B82">
        <w:trPr>
          <w:trHeight w:val="285"/>
        </w:trPr>
        <w:tc>
          <w:tcPr>
            <w:tcW w:w="13320" w:type="dxa"/>
            <w:noWrap/>
            <w:hideMark/>
          </w:tcPr>
          <w:p w14:paraId="40F41844" w14:textId="77777777" w:rsidR="005400D8" w:rsidRPr="00A014FD" w:rsidRDefault="005400D8" w:rsidP="00704B82">
            <w:pPr>
              <w:spacing w:line="240" w:lineRule="auto"/>
              <w:rPr>
                <w:sz w:val="22"/>
              </w:rPr>
            </w:pPr>
            <w:r w:rsidRPr="00A014FD">
              <w:rPr>
                <w:sz w:val="22"/>
              </w:rPr>
              <w:t>A new look in designing sustainable city logistics road pricing schemes</w:t>
            </w:r>
          </w:p>
        </w:tc>
        <w:tc>
          <w:tcPr>
            <w:tcW w:w="628" w:type="dxa"/>
            <w:noWrap/>
            <w:hideMark/>
          </w:tcPr>
          <w:p w14:paraId="6F53BF8B" w14:textId="77777777" w:rsidR="005400D8" w:rsidRPr="00A014FD" w:rsidRDefault="005400D8" w:rsidP="00704B82">
            <w:pPr>
              <w:spacing w:line="240" w:lineRule="auto"/>
              <w:rPr>
                <w:sz w:val="22"/>
              </w:rPr>
            </w:pPr>
            <w:r w:rsidRPr="00A014FD">
              <w:rPr>
                <w:sz w:val="22"/>
              </w:rPr>
              <w:t>165</w:t>
            </w:r>
          </w:p>
        </w:tc>
      </w:tr>
      <w:tr w:rsidR="005400D8" w:rsidRPr="00A014FD" w14:paraId="294A1C12" w14:textId="77777777" w:rsidTr="00704B82">
        <w:trPr>
          <w:trHeight w:val="285"/>
        </w:trPr>
        <w:tc>
          <w:tcPr>
            <w:tcW w:w="13320" w:type="dxa"/>
            <w:noWrap/>
            <w:hideMark/>
          </w:tcPr>
          <w:p w14:paraId="36ED5F89" w14:textId="77777777" w:rsidR="005400D8" w:rsidRPr="00A014FD" w:rsidRDefault="005400D8" w:rsidP="00704B82">
            <w:pPr>
              <w:spacing w:line="240" w:lineRule="auto"/>
              <w:rPr>
                <w:sz w:val="22"/>
              </w:rPr>
            </w:pPr>
            <w:r w:rsidRPr="00A014FD">
              <w:rPr>
                <w:sz w:val="22"/>
              </w:rPr>
              <w:t xml:space="preserve">Sustainable </w:t>
            </w:r>
            <w:proofErr w:type="gramStart"/>
            <w:r w:rsidRPr="00A014FD">
              <w:rPr>
                <w:sz w:val="22"/>
              </w:rPr>
              <w:t>vehicles based</w:t>
            </w:r>
            <w:proofErr w:type="gramEnd"/>
            <w:r w:rsidRPr="00A014FD">
              <w:rPr>
                <w:sz w:val="22"/>
              </w:rPr>
              <w:t xml:space="preserve"> alternatives in last mile distribution of urban freight transport: A Systematic literature review</w:t>
            </w:r>
          </w:p>
        </w:tc>
        <w:tc>
          <w:tcPr>
            <w:tcW w:w="628" w:type="dxa"/>
            <w:noWrap/>
            <w:hideMark/>
          </w:tcPr>
          <w:p w14:paraId="4B76D805" w14:textId="77777777" w:rsidR="005400D8" w:rsidRPr="00A014FD" w:rsidRDefault="005400D8" w:rsidP="00704B82">
            <w:pPr>
              <w:spacing w:line="240" w:lineRule="auto"/>
              <w:rPr>
                <w:sz w:val="22"/>
              </w:rPr>
            </w:pPr>
            <w:r w:rsidRPr="00A014FD">
              <w:rPr>
                <w:sz w:val="22"/>
              </w:rPr>
              <w:t>166</w:t>
            </w:r>
          </w:p>
        </w:tc>
      </w:tr>
      <w:tr w:rsidR="005400D8" w:rsidRPr="00A014FD" w14:paraId="3A526011" w14:textId="77777777" w:rsidTr="00704B82">
        <w:trPr>
          <w:trHeight w:val="285"/>
        </w:trPr>
        <w:tc>
          <w:tcPr>
            <w:tcW w:w="13320" w:type="dxa"/>
            <w:noWrap/>
            <w:hideMark/>
          </w:tcPr>
          <w:p w14:paraId="1B23B9BB" w14:textId="77777777" w:rsidR="005400D8" w:rsidRPr="00A014FD" w:rsidRDefault="005400D8" w:rsidP="00704B82">
            <w:pPr>
              <w:spacing w:line="240" w:lineRule="auto"/>
              <w:rPr>
                <w:sz w:val="22"/>
              </w:rPr>
            </w:pPr>
            <w:r w:rsidRPr="00A014FD">
              <w:rPr>
                <w:sz w:val="22"/>
              </w:rPr>
              <w:t>Analysis of freight trip generation model for food and beverage in Belo Horizonte (Brazil)</w:t>
            </w:r>
          </w:p>
        </w:tc>
        <w:tc>
          <w:tcPr>
            <w:tcW w:w="628" w:type="dxa"/>
            <w:noWrap/>
            <w:hideMark/>
          </w:tcPr>
          <w:p w14:paraId="4498F095" w14:textId="77777777" w:rsidR="005400D8" w:rsidRPr="00A014FD" w:rsidRDefault="005400D8" w:rsidP="00704B82">
            <w:pPr>
              <w:spacing w:line="240" w:lineRule="auto"/>
              <w:rPr>
                <w:sz w:val="22"/>
              </w:rPr>
            </w:pPr>
            <w:r w:rsidRPr="00A014FD">
              <w:rPr>
                <w:sz w:val="22"/>
              </w:rPr>
              <w:t>167</w:t>
            </w:r>
          </w:p>
        </w:tc>
      </w:tr>
      <w:tr w:rsidR="005400D8" w:rsidRPr="00A014FD" w14:paraId="42F3971F" w14:textId="77777777" w:rsidTr="00704B82">
        <w:trPr>
          <w:trHeight w:val="285"/>
        </w:trPr>
        <w:tc>
          <w:tcPr>
            <w:tcW w:w="13320" w:type="dxa"/>
            <w:noWrap/>
            <w:hideMark/>
          </w:tcPr>
          <w:p w14:paraId="053C4126" w14:textId="77777777" w:rsidR="005400D8" w:rsidRPr="00A014FD" w:rsidRDefault="005400D8" w:rsidP="00704B82">
            <w:pPr>
              <w:spacing w:line="240" w:lineRule="auto"/>
              <w:rPr>
                <w:sz w:val="22"/>
              </w:rPr>
            </w:pPr>
            <w:r w:rsidRPr="00A014FD">
              <w:rPr>
                <w:sz w:val="22"/>
              </w:rPr>
              <w:t>Importance of the stakeholders' interaction: Comparative, longitudinal study of two city logistics initiatives</w:t>
            </w:r>
          </w:p>
        </w:tc>
        <w:tc>
          <w:tcPr>
            <w:tcW w:w="628" w:type="dxa"/>
            <w:noWrap/>
            <w:hideMark/>
          </w:tcPr>
          <w:p w14:paraId="739C0187" w14:textId="77777777" w:rsidR="005400D8" w:rsidRPr="00A014FD" w:rsidRDefault="005400D8" w:rsidP="00704B82">
            <w:pPr>
              <w:spacing w:line="240" w:lineRule="auto"/>
              <w:rPr>
                <w:sz w:val="22"/>
              </w:rPr>
            </w:pPr>
            <w:r w:rsidRPr="00A014FD">
              <w:rPr>
                <w:sz w:val="22"/>
              </w:rPr>
              <w:t>168</w:t>
            </w:r>
          </w:p>
        </w:tc>
      </w:tr>
      <w:tr w:rsidR="005400D8" w:rsidRPr="00A014FD" w14:paraId="3254B9CA" w14:textId="77777777" w:rsidTr="00704B82">
        <w:trPr>
          <w:trHeight w:val="285"/>
        </w:trPr>
        <w:tc>
          <w:tcPr>
            <w:tcW w:w="13320" w:type="dxa"/>
            <w:noWrap/>
            <w:hideMark/>
          </w:tcPr>
          <w:p w14:paraId="15F95C80" w14:textId="77777777" w:rsidR="005400D8" w:rsidRPr="00A014FD" w:rsidRDefault="005400D8" w:rsidP="00704B82">
            <w:pPr>
              <w:spacing w:line="240" w:lineRule="auto"/>
              <w:rPr>
                <w:sz w:val="22"/>
              </w:rPr>
            </w:pPr>
            <w:r w:rsidRPr="00A014FD">
              <w:rPr>
                <w:sz w:val="22"/>
              </w:rPr>
              <w:t>Plan for sustainable urban logistics – comparing between Scandinavian and UK practices</w:t>
            </w:r>
          </w:p>
        </w:tc>
        <w:tc>
          <w:tcPr>
            <w:tcW w:w="628" w:type="dxa"/>
            <w:noWrap/>
            <w:hideMark/>
          </w:tcPr>
          <w:p w14:paraId="1A5E64FB" w14:textId="77777777" w:rsidR="005400D8" w:rsidRPr="00A014FD" w:rsidRDefault="005400D8" w:rsidP="00704B82">
            <w:pPr>
              <w:spacing w:line="240" w:lineRule="auto"/>
              <w:rPr>
                <w:sz w:val="22"/>
              </w:rPr>
            </w:pPr>
            <w:r w:rsidRPr="00A014FD">
              <w:rPr>
                <w:sz w:val="22"/>
              </w:rPr>
              <w:t>169</w:t>
            </w:r>
          </w:p>
        </w:tc>
      </w:tr>
      <w:tr w:rsidR="005400D8" w:rsidRPr="00A014FD" w14:paraId="37D3D428" w14:textId="77777777" w:rsidTr="00704B82">
        <w:trPr>
          <w:trHeight w:val="285"/>
        </w:trPr>
        <w:tc>
          <w:tcPr>
            <w:tcW w:w="13320" w:type="dxa"/>
            <w:noWrap/>
            <w:hideMark/>
          </w:tcPr>
          <w:p w14:paraId="77685498" w14:textId="77777777" w:rsidR="005400D8" w:rsidRPr="00A014FD" w:rsidRDefault="005400D8" w:rsidP="00704B82">
            <w:pPr>
              <w:spacing w:line="240" w:lineRule="auto"/>
              <w:rPr>
                <w:sz w:val="22"/>
              </w:rPr>
            </w:pPr>
            <w:r w:rsidRPr="00A014FD">
              <w:rPr>
                <w:sz w:val="22"/>
              </w:rPr>
              <w:t>Environmental impact assessment for city logistics distribution systems</w:t>
            </w:r>
          </w:p>
        </w:tc>
        <w:tc>
          <w:tcPr>
            <w:tcW w:w="628" w:type="dxa"/>
            <w:noWrap/>
            <w:hideMark/>
          </w:tcPr>
          <w:p w14:paraId="78823FBB" w14:textId="77777777" w:rsidR="005400D8" w:rsidRPr="00A014FD" w:rsidRDefault="005400D8" w:rsidP="00704B82">
            <w:pPr>
              <w:spacing w:line="240" w:lineRule="auto"/>
              <w:rPr>
                <w:sz w:val="22"/>
              </w:rPr>
            </w:pPr>
            <w:r w:rsidRPr="00A014FD">
              <w:rPr>
                <w:sz w:val="22"/>
              </w:rPr>
              <w:t>170</w:t>
            </w:r>
          </w:p>
        </w:tc>
      </w:tr>
      <w:tr w:rsidR="005400D8" w:rsidRPr="00A014FD" w14:paraId="1A1BD267" w14:textId="77777777" w:rsidTr="00704B82">
        <w:trPr>
          <w:trHeight w:val="285"/>
        </w:trPr>
        <w:tc>
          <w:tcPr>
            <w:tcW w:w="13320" w:type="dxa"/>
            <w:noWrap/>
            <w:hideMark/>
          </w:tcPr>
          <w:p w14:paraId="547ED9AC" w14:textId="77777777" w:rsidR="005400D8" w:rsidRPr="00A014FD" w:rsidRDefault="005400D8" w:rsidP="00704B82">
            <w:pPr>
              <w:spacing w:line="240" w:lineRule="auto"/>
              <w:rPr>
                <w:sz w:val="22"/>
              </w:rPr>
            </w:pPr>
            <w:r w:rsidRPr="00A014FD">
              <w:rPr>
                <w:sz w:val="22"/>
              </w:rPr>
              <w:t>Impact of congestion pricing schemes on costs and emissions of commercial fleets in urban areas</w:t>
            </w:r>
          </w:p>
        </w:tc>
        <w:tc>
          <w:tcPr>
            <w:tcW w:w="628" w:type="dxa"/>
            <w:noWrap/>
            <w:hideMark/>
          </w:tcPr>
          <w:p w14:paraId="21717ED7" w14:textId="77777777" w:rsidR="005400D8" w:rsidRPr="00A014FD" w:rsidRDefault="005400D8" w:rsidP="00704B82">
            <w:pPr>
              <w:spacing w:line="240" w:lineRule="auto"/>
              <w:rPr>
                <w:sz w:val="22"/>
              </w:rPr>
            </w:pPr>
            <w:r w:rsidRPr="00A014FD">
              <w:rPr>
                <w:sz w:val="22"/>
              </w:rPr>
              <w:t>171</w:t>
            </w:r>
          </w:p>
        </w:tc>
      </w:tr>
      <w:tr w:rsidR="005400D8" w:rsidRPr="00A014FD" w14:paraId="79D45452" w14:textId="77777777" w:rsidTr="00704B82">
        <w:trPr>
          <w:trHeight w:val="285"/>
        </w:trPr>
        <w:tc>
          <w:tcPr>
            <w:tcW w:w="13320" w:type="dxa"/>
            <w:noWrap/>
            <w:hideMark/>
          </w:tcPr>
          <w:p w14:paraId="38637A28" w14:textId="77777777" w:rsidR="005400D8" w:rsidRPr="00A014FD" w:rsidRDefault="005400D8" w:rsidP="00704B82">
            <w:pPr>
              <w:spacing w:line="240" w:lineRule="auto"/>
              <w:rPr>
                <w:sz w:val="22"/>
              </w:rPr>
            </w:pPr>
            <w:r w:rsidRPr="00A014FD">
              <w:rPr>
                <w:sz w:val="22"/>
              </w:rPr>
              <w:t>Sustainable decision making for joint distribution center location choice</w:t>
            </w:r>
          </w:p>
        </w:tc>
        <w:tc>
          <w:tcPr>
            <w:tcW w:w="628" w:type="dxa"/>
            <w:noWrap/>
            <w:hideMark/>
          </w:tcPr>
          <w:p w14:paraId="5B5227F9" w14:textId="77777777" w:rsidR="005400D8" w:rsidRPr="00A014FD" w:rsidRDefault="005400D8" w:rsidP="00704B82">
            <w:pPr>
              <w:spacing w:line="240" w:lineRule="auto"/>
              <w:rPr>
                <w:sz w:val="22"/>
              </w:rPr>
            </w:pPr>
            <w:r w:rsidRPr="00A014FD">
              <w:rPr>
                <w:sz w:val="22"/>
              </w:rPr>
              <w:t>172</w:t>
            </w:r>
          </w:p>
        </w:tc>
      </w:tr>
      <w:tr w:rsidR="005400D8" w:rsidRPr="00A014FD" w14:paraId="4CBD1352" w14:textId="77777777" w:rsidTr="00704B82">
        <w:trPr>
          <w:trHeight w:val="285"/>
        </w:trPr>
        <w:tc>
          <w:tcPr>
            <w:tcW w:w="13320" w:type="dxa"/>
            <w:noWrap/>
            <w:hideMark/>
          </w:tcPr>
          <w:p w14:paraId="61B3B7F6" w14:textId="77777777" w:rsidR="005400D8" w:rsidRPr="00A014FD" w:rsidRDefault="005400D8" w:rsidP="00704B82">
            <w:pPr>
              <w:spacing w:line="240" w:lineRule="auto"/>
              <w:rPr>
                <w:sz w:val="22"/>
              </w:rPr>
            </w:pPr>
            <w:r w:rsidRPr="00A014FD">
              <w:rPr>
                <w:sz w:val="22"/>
              </w:rPr>
              <w:t>Acceptability of collection and delivery points from consumers’ perspective: A qualitative case study of Christchurch city</w:t>
            </w:r>
          </w:p>
        </w:tc>
        <w:tc>
          <w:tcPr>
            <w:tcW w:w="628" w:type="dxa"/>
            <w:noWrap/>
            <w:hideMark/>
          </w:tcPr>
          <w:p w14:paraId="46A5410B" w14:textId="77777777" w:rsidR="005400D8" w:rsidRPr="00A014FD" w:rsidRDefault="005400D8" w:rsidP="00704B82">
            <w:pPr>
              <w:spacing w:line="240" w:lineRule="auto"/>
              <w:rPr>
                <w:sz w:val="22"/>
              </w:rPr>
            </w:pPr>
            <w:r w:rsidRPr="00A014FD">
              <w:rPr>
                <w:sz w:val="22"/>
              </w:rPr>
              <w:t>173</w:t>
            </w:r>
          </w:p>
        </w:tc>
      </w:tr>
      <w:tr w:rsidR="005400D8" w:rsidRPr="00A014FD" w14:paraId="3DEC3207" w14:textId="77777777" w:rsidTr="00704B82">
        <w:trPr>
          <w:trHeight w:val="285"/>
        </w:trPr>
        <w:tc>
          <w:tcPr>
            <w:tcW w:w="13320" w:type="dxa"/>
            <w:noWrap/>
            <w:hideMark/>
          </w:tcPr>
          <w:p w14:paraId="0C9AFFD8" w14:textId="77777777" w:rsidR="005400D8" w:rsidRPr="00A014FD" w:rsidRDefault="005400D8" w:rsidP="00704B82">
            <w:pPr>
              <w:spacing w:line="240" w:lineRule="auto"/>
              <w:rPr>
                <w:sz w:val="22"/>
              </w:rPr>
            </w:pPr>
            <w:r w:rsidRPr="00A014FD">
              <w:rPr>
                <w:sz w:val="22"/>
              </w:rPr>
              <w:t>Sustainable urban freight transport in megacities in emerging markets</w:t>
            </w:r>
          </w:p>
        </w:tc>
        <w:tc>
          <w:tcPr>
            <w:tcW w:w="628" w:type="dxa"/>
            <w:noWrap/>
            <w:hideMark/>
          </w:tcPr>
          <w:p w14:paraId="3155A6C9" w14:textId="77777777" w:rsidR="005400D8" w:rsidRPr="00A014FD" w:rsidRDefault="005400D8" w:rsidP="00704B82">
            <w:pPr>
              <w:spacing w:line="240" w:lineRule="auto"/>
              <w:rPr>
                <w:sz w:val="22"/>
              </w:rPr>
            </w:pPr>
            <w:r w:rsidRPr="00A014FD">
              <w:rPr>
                <w:sz w:val="22"/>
              </w:rPr>
              <w:t>174</w:t>
            </w:r>
          </w:p>
        </w:tc>
      </w:tr>
      <w:tr w:rsidR="005400D8" w:rsidRPr="00A014FD" w14:paraId="459B6587" w14:textId="77777777" w:rsidTr="00704B82">
        <w:trPr>
          <w:trHeight w:val="285"/>
        </w:trPr>
        <w:tc>
          <w:tcPr>
            <w:tcW w:w="13320" w:type="dxa"/>
            <w:noWrap/>
            <w:hideMark/>
          </w:tcPr>
          <w:p w14:paraId="29481B8C" w14:textId="77777777" w:rsidR="005400D8" w:rsidRPr="00A014FD" w:rsidRDefault="005400D8" w:rsidP="00704B82">
            <w:pPr>
              <w:spacing w:line="240" w:lineRule="auto"/>
              <w:rPr>
                <w:sz w:val="22"/>
              </w:rPr>
            </w:pPr>
            <w:r w:rsidRPr="00A014FD">
              <w:rPr>
                <w:sz w:val="22"/>
              </w:rPr>
              <w:t>Electric vehicle adoption decisions in a fleet environment</w:t>
            </w:r>
          </w:p>
        </w:tc>
        <w:tc>
          <w:tcPr>
            <w:tcW w:w="628" w:type="dxa"/>
            <w:noWrap/>
            <w:hideMark/>
          </w:tcPr>
          <w:p w14:paraId="4E559E01" w14:textId="77777777" w:rsidR="005400D8" w:rsidRPr="00A014FD" w:rsidRDefault="005400D8" w:rsidP="00704B82">
            <w:pPr>
              <w:spacing w:line="240" w:lineRule="auto"/>
              <w:rPr>
                <w:sz w:val="22"/>
              </w:rPr>
            </w:pPr>
            <w:r w:rsidRPr="00A014FD">
              <w:rPr>
                <w:sz w:val="22"/>
              </w:rPr>
              <w:t>175</w:t>
            </w:r>
          </w:p>
        </w:tc>
      </w:tr>
      <w:tr w:rsidR="005400D8" w:rsidRPr="00A014FD" w14:paraId="293C08CB" w14:textId="77777777" w:rsidTr="00704B82">
        <w:trPr>
          <w:trHeight w:val="285"/>
        </w:trPr>
        <w:tc>
          <w:tcPr>
            <w:tcW w:w="13320" w:type="dxa"/>
            <w:noWrap/>
            <w:hideMark/>
          </w:tcPr>
          <w:p w14:paraId="7592CBB9" w14:textId="77777777" w:rsidR="005400D8" w:rsidRPr="00A014FD" w:rsidRDefault="005400D8" w:rsidP="00704B82">
            <w:pPr>
              <w:spacing w:line="240" w:lineRule="auto"/>
              <w:rPr>
                <w:sz w:val="22"/>
              </w:rPr>
            </w:pPr>
            <w:r w:rsidRPr="00A014FD">
              <w:rPr>
                <w:sz w:val="22"/>
              </w:rPr>
              <w:t xml:space="preserve">The 4 </w:t>
            </w:r>
            <w:proofErr w:type="gramStart"/>
            <w:r w:rsidRPr="00A014FD">
              <w:rPr>
                <w:sz w:val="22"/>
              </w:rPr>
              <w:t>A's</w:t>
            </w:r>
            <w:proofErr w:type="gramEnd"/>
            <w:r w:rsidRPr="00A014FD">
              <w:rPr>
                <w:sz w:val="22"/>
              </w:rPr>
              <w:t xml:space="preserve"> of sustainable city distribution: Innovative solutions and challenges ahead</w:t>
            </w:r>
          </w:p>
        </w:tc>
        <w:tc>
          <w:tcPr>
            <w:tcW w:w="628" w:type="dxa"/>
            <w:noWrap/>
            <w:hideMark/>
          </w:tcPr>
          <w:p w14:paraId="1B9E76B0" w14:textId="77777777" w:rsidR="005400D8" w:rsidRPr="00A014FD" w:rsidRDefault="005400D8" w:rsidP="00704B82">
            <w:pPr>
              <w:spacing w:line="240" w:lineRule="auto"/>
              <w:rPr>
                <w:sz w:val="22"/>
              </w:rPr>
            </w:pPr>
            <w:r w:rsidRPr="00A014FD">
              <w:rPr>
                <w:sz w:val="22"/>
              </w:rPr>
              <w:t>176</w:t>
            </w:r>
          </w:p>
        </w:tc>
      </w:tr>
      <w:tr w:rsidR="005400D8" w:rsidRPr="00A014FD" w14:paraId="70538202" w14:textId="77777777" w:rsidTr="00704B82">
        <w:trPr>
          <w:trHeight w:val="285"/>
        </w:trPr>
        <w:tc>
          <w:tcPr>
            <w:tcW w:w="13320" w:type="dxa"/>
            <w:noWrap/>
            <w:hideMark/>
          </w:tcPr>
          <w:p w14:paraId="7F2A18D4" w14:textId="77777777" w:rsidR="005400D8" w:rsidRPr="00A014FD" w:rsidRDefault="005400D8" w:rsidP="00704B82">
            <w:pPr>
              <w:spacing w:line="240" w:lineRule="auto"/>
              <w:rPr>
                <w:sz w:val="22"/>
              </w:rPr>
            </w:pPr>
            <w:r w:rsidRPr="00A014FD">
              <w:rPr>
                <w:sz w:val="22"/>
              </w:rPr>
              <w:t>Investigating the potential for off hour deliveries in the city of Rome: Retailers’ perceptions and stated reactions</w:t>
            </w:r>
          </w:p>
        </w:tc>
        <w:tc>
          <w:tcPr>
            <w:tcW w:w="628" w:type="dxa"/>
            <w:noWrap/>
            <w:hideMark/>
          </w:tcPr>
          <w:p w14:paraId="0D0768FE" w14:textId="77777777" w:rsidR="005400D8" w:rsidRPr="00A014FD" w:rsidRDefault="005400D8" w:rsidP="00704B82">
            <w:pPr>
              <w:spacing w:line="240" w:lineRule="auto"/>
              <w:rPr>
                <w:sz w:val="22"/>
              </w:rPr>
            </w:pPr>
            <w:r w:rsidRPr="00A014FD">
              <w:rPr>
                <w:sz w:val="22"/>
              </w:rPr>
              <w:t>177</w:t>
            </w:r>
          </w:p>
        </w:tc>
      </w:tr>
      <w:tr w:rsidR="005400D8" w:rsidRPr="00A014FD" w14:paraId="4F7C3BFD" w14:textId="77777777" w:rsidTr="00704B82">
        <w:trPr>
          <w:trHeight w:val="285"/>
        </w:trPr>
        <w:tc>
          <w:tcPr>
            <w:tcW w:w="13320" w:type="dxa"/>
            <w:noWrap/>
            <w:hideMark/>
          </w:tcPr>
          <w:p w14:paraId="4EAF673C" w14:textId="77777777" w:rsidR="005400D8" w:rsidRPr="00A014FD" w:rsidRDefault="005400D8" w:rsidP="00704B82">
            <w:pPr>
              <w:spacing w:line="240" w:lineRule="auto"/>
              <w:rPr>
                <w:sz w:val="22"/>
              </w:rPr>
            </w:pPr>
            <w:r w:rsidRPr="00A014FD">
              <w:rPr>
                <w:sz w:val="22"/>
              </w:rPr>
              <w:t>Measuring the effects of an urban freight policy package defined via a collaborative governance model</w:t>
            </w:r>
          </w:p>
        </w:tc>
        <w:tc>
          <w:tcPr>
            <w:tcW w:w="628" w:type="dxa"/>
            <w:noWrap/>
            <w:hideMark/>
          </w:tcPr>
          <w:p w14:paraId="3A1840D7" w14:textId="77777777" w:rsidR="005400D8" w:rsidRPr="00A014FD" w:rsidRDefault="005400D8" w:rsidP="00704B82">
            <w:pPr>
              <w:spacing w:line="240" w:lineRule="auto"/>
              <w:rPr>
                <w:sz w:val="22"/>
              </w:rPr>
            </w:pPr>
            <w:r w:rsidRPr="00A014FD">
              <w:rPr>
                <w:sz w:val="22"/>
              </w:rPr>
              <w:t>178</w:t>
            </w:r>
          </w:p>
        </w:tc>
      </w:tr>
      <w:tr w:rsidR="005400D8" w:rsidRPr="00A014FD" w14:paraId="1FBE19EB" w14:textId="77777777" w:rsidTr="00704B82">
        <w:trPr>
          <w:trHeight w:val="285"/>
        </w:trPr>
        <w:tc>
          <w:tcPr>
            <w:tcW w:w="13320" w:type="dxa"/>
            <w:noWrap/>
            <w:hideMark/>
          </w:tcPr>
          <w:p w14:paraId="6C16487A" w14:textId="77777777" w:rsidR="005400D8" w:rsidRPr="00A014FD" w:rsidRDefault="005400D8" w:rsidP="00704B82">
            <w:pPr>
              <w:spacing w:line="240" w:lineRule="auto"/>
              <w:rPr>
                <w:sz w:val="22"/>
              </w:rPr>
            </w:pPr>
            <w:r w:rsidRPr="00A014FD">
              <w:rPr>
                <w:sz w:val="22"/>
              </w:rPr>
              <w:t>Exploring the influence of big data on city transport operations: a Markovian approach.</w:t>
            </w:r>
          </w:p>
        </w:tc>
        <w:tc>
          <w:tcPr>
            <w:tcW w:w="628" w:type="dxa"/>
            <w:noWrap/>
            <w:hideMark/>
          </w:tcPr>
          <w:p w14:paraId="2DE75BEB" w14:textId="77777777" w:rsidR="005400D8" w:rsidRPr="00A014FD" w:rsidRDefault="005400D8" w:rsidP="00704B82">
            <w:pPr>
              <w:spacing w:line="240" w:lineRule="auto"/>
              <w:rPr>
                <w:sz w:val="22"/>
              </w:rPr>
            </w:pPr>
            <w:r w:rsidRPr="00A014FD">
              <w:rPr>
                <w:sz w:val="22"/>
              </w:rPr>
              <w:t>179</w:t>
            </w:r>
          </w:p>
        </w:tc>
      </w:tr>
      <w:tr w:rsidR="005400D8" w:rsidRPr="00A014FD" w14:paraId="7D85BB9E" w14:textId="77777777" w:rsidTr="00704B82">
        <w:trPr>
          <w:trHeight w:val="285"/>
        </w:trPr>
        <w:tc>
          <w:tcPr>
            <w:tcW w:w="13320" w:type="dxa"/>
            <w:noWrap/>
            <w:hideMark/>
          </w:tcPr>
          <w:p w14:paraId="5AF51427" w14:textId="77777777" w:rsidR="005400D8" w:rsidRPr="00A014FD" w:rsidRDefault="005400D8" w:rsidP="00704B82">
            <w:pPr>
              <w:spacing w:line="240" w:lineRule="auto"/>
              <w:rPr>
                <w:sz w:val="22"/>
              </w:rPr>
            </w:pPr>
            <w:r w:rsidRPr="00A014FD">
              <w:rPr>
                <w:sz w:val="22"/>
              </w:rPr>
              <w:t>Evaluating the impacts of using cargo cycles on urban logistics: integrating traffic, environmental and operational boundaries</w:t>
            </w:r>
          </w:p>
        </w:tc>
        <w:tc>
          <w:tcPr>
            <w:tcW w:w="628" w:type="dxa"/>
            <w:noWrap/>
            <w:hideMark/>
          </w:tcPr>
          <w:p w14:paraId="0712F676" w14:textId="77777777" w:rsidR="005400D8" w:rsidRPr="00A014FD" w:rsidRDefault="005400D8" w:rsidP="00704B82">
            <w:pPr>
              <w:spacing w:line="240" w:lineRule="auto"/>
              <w:rPr>
                <w:sz w:val="22"/>
              </w:rPr>
            </w:pPr>
            <w:r w:rsidRPr="00A014FD">
              <w:rPr>
                <w:sz w:val="22"/>
              </w:rPr>
              <w:t>180</w:t>
            </w:r>
          </w:p>
        </w:tc>
      </w:tr>
      <w:tr w:rsidR="005400D8" w:rsidRPr="00A014FD" w14:paraId="20D1E06B" w14:textId="77777777" w:rsidTr="00704B82">
        <w:trPr>
          <w:trHeight w:val="285"/>
        </w:trPr>
        <w:tc>
          <w:tcPr>
            <w:tcW w:w="13320" w:type="dxa"/>
            <w:noWrap/>
            <w:hideMark/>
          </w:tcPr>
          <w:p w14:paraId="0E7BA9CB" w14:textId="77777777" w:rsidR="005400D8" w:rsidRPr="00A014FD" w:rsidRDefault="005400D8" w:rsidP="00704B82">
            <w:pPr>
              <w:spacing w:line="240" w:lineRule="auto"/>
              <w:rPr>
                <w:sz w:val="22"/>
              </w:rPr>
            </w:pPr>
            <w:r w:rsidRPr="00A014FD">
              <w:rPr>
                <w:sz w:val="22"/>
              </w:rPr>
              <w:t>A method for the evaluation of urban freight transport models as a tool for improving the delivery of sustainable urban transport policy</w:t>
            </w:r>
          </w:p>
        </w:tc>
        <w:tc>
          <w:tcPr>
            <w:tcW w:w="628" w:type="dxa"/>
            <w:noWrap/>
            <w:hideMark/>
          </w:tcPr>
          <w:p w14:paraId="392D7AEE" w14:textId="77777777" w:rsidR="005400D8" w:rsidRPr="00A014FD" w:rsidRDefault="005400D8" w:rsidP="00704B82">
            <w:pPr>
              <w:spacing w:line="240" w:lineRule="auto"/>
              <w:rPr>
                <w:sz w:val="22"/>
              </w:rPr>
            </w:pPr>
            <w:r w:rsidRPr="00A014FD">
              <w:rPr>
                <w:sz w:val="22"/>
              </w:rPr>
              <w:t>181</w:t>
            </w:r>
          </w:p>
        </w:tc>
      </w:tr>
      <w:tr w:rsidR="005400D8" w:rsidRPr="00A014FD" w14:paraId="6467DE7A" w14:textId="77777777" w:rsidTr="00704B82">
        <w:trPr>
          <w:trHeight w:val="285"/>
        </w:trPr>
        <w:tc>
          <w:tcPr>
            <w:tcW w:w="13320" w:type="dxa"/>
            <w:noWrap/>
            <w:hideMark/>
          </w:tcPr>
          <w:p w14:paraId="2E9B2830" w14:textId="77777777" w:rsidR="005400D8" w:rsidRPr="00A014FD" w:rsidRDefault="005400D8" w:rsidP="00704B82">
            <w:pPr>
              <w:spacing w:line="240" w:lineRule="auto"/>
              <w:rPr>
                <w:sz w:val="22"/>
              </w:rPr>
            </w:pPr>
            <w:r w:rsidRPr="00A014FD">
              <w:rPr>
                <w:sz w:val="22"/>
              </w:rPr>
              <w:t>Impact of the use of electric vehicles in collaborative urban transport networks: A case study</w:t>
            </w:r>
          </w:p>
        </w:tc>
        <w:tc>
          <w:tcPr>
            <w:tcW w:w="628" w:type="dxa"/>
            <w:noWrap/>
            <w:hideMark/>
          </w:tcPr>
          <w:p w14:paraId="11617F93" w14:textId="77777777" w:rsidR="005400D8" w:rsidRPr="00A014FD" w:rsidRDefault="005400D8" w:rsidP="00704B82">
            <w:pPr>
              <w:spacing w:line="240" w:lineRule="auto"/>
              <w:rPr>
                <w:sz w:val="22"/>
              </w:rPr>
            </w:pPr>
            <w:r w:rsidRPr="00A014FD">
              <w:rPr>
                <w:sz w:val="22"/>
              </w:rPr>
              <w:t>182</w:t>
            </w:r>
          </w:p>
        </w:tc>
      </w:tr>
      <w:tr w:rsidR="005400D8" w:rsidRPr="00A014FD" w14:paraId="7861DAB0" w14:textId="77777777" w:rsidTr="00704B82">
        <w:trPr>
          <w:trHeight w:val="285"/>
        </w:trPr>
        <w:tc>
          <w:tcPr>
            <w:tcW w:w="13320" w:type="dxa"/>
            <w:noWrap/>
            <w:hideMark/>
          </w:tcPr>
          <w:p w14:paraId="7FCED15F" w14:textId="77777777" w:rsidR="005400D8" w:rsidRPr="00A014FD" w:rsidRDefault="005400D8" w:rsidP="00704B82">
            <w:pPr>
              <w:spacing w:line="240" w:lineRule="auto"/>
              <w:rPr>
                <w:sz w:val="22"/>
              </w:rPr>
            </w:pPr>
            <w:r w:rsidRPr="00A014FD">
              <w:rPr>
                <w:sz w:val="22"/>
              </w:rPr>
              <w:t>A modelling approach for city locating logistic platforms based on combined forward and reverse flows</w:t>
            </w:r>
          </w:p>
        </w:tc>
        <w:tc>
          <w:tcPr>
            <w:tcW w:w="628" w:type="dxa"/>
            <w:noWrap/>
            <w:hideMark/>
          </w:tcPr>
          <w:p w14:paraId="3C432EA9" w14:textId="77777777" w:rsidR="005400D8" w:rsidRPr="00A014FD" w:rsidRDefault="005400D8" w:rsidP="00704B82">
            <w:pPr>
              <w:spacing w:line="240" w:lineRule="auto"/>
              <w:rPr>
                <w:sz w:val="22"/>
              </w:rPr>
            </w:pPr>
            <w:r w:rsidRPr="00A014FD">
              <w:rPr>
                <w:sz w:val="22"/>
              </w:rPr>
              <w:t>183</w:t>
            </w:r>
          </w:p>
        </w:tc>
      </w:tr>
      <w:tr w:rsidR="005400D8" w:rsidRPr="00A014FD" w14:paraId="4C15D4A8" w14:textId="77777777" w:rsidTr="00704B82">
        <w:trPr>
          <w:trHeight w:val="285"/>
        </w:trPr>
        <w:tc>
          <w:tcPr>
            <w:tcW w:w="13320" w:type="dxa"/>
            <w:noWrap/>
            <w:hideMark/>
          </w:tcPr>
          <w:p w14:paraId="5D0F9536" w14:textId="77777777" w:rsidR="005400D8" w:rsidRPr="00A014FD" w:rsidRDefault="005400D8" w:rsidP="00704B82">
            <w:pPr>
              <w:spacing w:line="240" w:lineRule="auto"/>
              <w:rPr>
                <w:sz w:val="22"/>
              </w:rPr>
            </w:pPr>
            <w:r w:rsidRPr="00A014FD">
              <w:rPr>
                <w:sz w:val="22"/>
              </w:rPr>
              <w:lastRenderedPageBreak/>
              <w:t xml:space="preserve">A twostep method to evaluate the Well </w:t>
            </w:r>
            <w:proofErr w:type="gramStart"/>
            <w:r w:rsidRPr="00A014FD">
              <w:rPr>
                <w:sz w:val="22"/>
              </w:rPr>
              <w:t>To</w:t>
            </w:r>
            <w:proofErr w:type="gramEnd"/>
            <w:r w:rsidRPr="00A014FD">
              <w:rPr>
                <w:sz w:val="22"/>
              </w:rPr>
              <w:t xml:space="preserve"> Wheel carbon efficiency of Urban Consolidation </w:t>
            </w:r>
            <w:proofErr w:type="spellStart"/>
            <w:r w:rsidRPr="00A014FD">
              <w:rPr>
                <w:sz w:val="22"/>
              </w:rPr>
              <w:t>Centres</w:t>
            </w:r>
            <w:proofErr w:type="spellEnd"/>
          </w:p>
        </w:tc>
        <w:tc>
          <w:tcPr>
            <w:tcW w:w="628" w:type="dxa"/>
            <w:noWrap/>
            <w:hideMark/>
          </w:tcPr>
          <w:p w14:paraId="39DC1B73" w14:textId="77777777" w:rsidR="005400D8" w:rsidRPr="00A014FD" w:rsidRDefault="005400D8" w:rsidP="00704B82">
            <w:pPr>
              <w:spacing w:line="240" w:lineRule="auto"/>
              <w:rPr>
                <w:sz w:val="22"/>
              </w:rPr>
            </w:pPr>
            <w:r w:rsidRPr="00A014FD">
              <w:rPr>
                <w:sz w:val="22"/>
              </w:rPr>
              <w:t>184</w:t>
            </w:r>
          </w:p>
        </w:tc>
      </w:tr>
      <w:tr w:rsidR="005400D8" w:rsidRPr="00A014FD" w14:paraId="04F16780" w14:textId="77777777" w:rsidTr="00704B82">
        <w:trPr>
          <w:trHeight w:val="285"/>
        </w:trPr>
        <w:tc>
          <w:tcPr>
            <w:tcW w:w="13320" w:type="dxa"/>
            <w:noWrap/>
            <w:hideMark/>
          </w:tcPr>
          <w:p w14:paraId="7C8C0E9D" w14:textId="77777777" w:rsidR="005400D8" w:rsidRPr="00A014FD" w:rsidRDefault="005400D8" w:rsidP="00704B82">
            <w:pPr>
              <w:spacing w:line="240" w:lineRule="auto"/>
              <w:rPr>
                <w:sz w:val="22"/>
              </w:rPr>
            </w:pPr>
            <w:r w:rsidRPr="00A014FD">
              <w:rPr>
                <w:sz w:val="22"/>
              </w:rPr>
              <w:t>Combining Facility Location and Routing Decisions in Sustainable Urban Freight Distribution under Horizontal Collaboration: How Can Shippers Be Benefited?</w:t>
            </w:r>
          </w:p>
        </w:tc>
        <w:tc>
          <w:tcPr>
            <w:tcW w:w="628" w:type="dxa"/>
            <w:noWrap/>
            <w:hideMark/>
          </w:tcPr>
          <w:p w14:paraId="24199838" w14:textId="77777777" w:rsidR="005400D8" w:rsidRPr="00A014FD" w:rsidRDefault="005400D8" w:rsidP="00704B82">
            <w:pPr>
              <w:spacing w:line="240" w:lineRule="auto"/>
              <w:rPr>
                <w:sz w:val="22"/>
              </w:rPr>
            </w:pPr>
            <w:r w:rsidRPr="00A014FD">
              <w:rPr>
                <w:sz w:val="22"/>
              </w:rPr>
              <w:t>185</w:t>
            </w:r>
          </w:p>
        </w:tc>
      </w:tr>
      <w:tr w:rsidR="005400D8" w:rsidRPr="00A014FD" w14:paraId="2988DAC7" w14:textId="77777777" w:rsidTr="00704B82">
        <w:trPr>
          <w:trHeight w:val="285"/>
        </w:trPr>
        <w:tc>
          <w:tcPr>
            <w:tcW w:w="13320" w:type="dxa"/>
            <w:noWrap/>
            <w:hideMark/>
          </w:tcPr>
          <w:p w14:paraId="3C1C5418" w14:textId="77777777" w:rsidR="005400D8" w:rsidRPr="00A014FD" w:rsidRDefault="005400D8" w:rsidP="00704B82">
            <w:pPr>
              <w:spacing w:line="240" w:lineRule="auto"/>
              <w:rPr>
                <w:sz w:val="22"/>
              </w:rPr>
            </w:pPr>
            <w:r w:rsidRPr="00A014FD">
              <w:rPr>
                <w:sz w:val="22"/>
              </w:rPr>
              <w:t>The complexity of planning for goods delivery in a shared urban space: a case study involving cyclists and trucks</w:t>
            </w:r>
          </w:p>
        </w:tc>
        <w:tc>
          <w:tcPr>
            <w:tcW w:w="628" w:type="dxa"/>
            <w:noWrap/>
            <w:hideMark/>
          </w:tcPr>
          <w:p w14:paraId="25D2F835" w14:textId="77777777" w:rsidR="005400D8" w:rsidRPr="00A014FD" w:rsidRDefault="005400D8" w:rsidP="00704B82">
            <w:pPr>
              <w:spacing w:line="240" w:lineRule="auto"/>
              <w:rPr>
                <w:sz w:val="22"/>
              </w:rPr>
            </w:pPr>
            <w:r w:rsidRPr="00A014FD">
              <w:rPr>
                <w:sz w:val="22"/>
              </w:rPr>
              <w:t>186</w:t>
            </w:r>
          </w:p>
        </w:tc>
      </w:tr>
      <w:tr w:rsidR="005400D8" w:rsidRPr="00A014FD" w14:paraId="75F5A490" w14:textId="77777777" w:rsidTr="00704B82">
        <w:trPr>
          <w:trHeight w:val="285"/>
        </w:trPr>
        <w:tc>
          <w:tcPr>
            <w:tcW w:w="13320" w:type="dxa"/>
            <w:noWrap/>
            <w:hideMark/>
          </w:tcPr>
          <w:p w14:paraId="023DCFC0" w14:textId="77777777" w:rsidR="005400D8" w:rsidRPr="00A014FD" w:rsidRDefault="005400D8" w:rsidP="00704B82">
            <w:pPr>
              <w:spacing w:line="240" w:lineRule="auto"/>
              <w:rPr>
                <w:sz w:val="22"/>
              </w:rPr>
            </w:pPr>
            <w:r w:rsidRPr="00A014FD">
              <w:rPr>
                <w:sz w:val="22"/>
              </w:rPr>
              <w:t>Modelling urban freight generation: A study of commercial establishments’ freight needs</w:t>
            </w:r>
          </w:p>
        </w:tc>
        <w:tc>
          <w:tcPr>
            <w:tcW w:w="628" w:type="dxa"/>
            <w:noWrap/>
            <w:hideMark/>
          </w:tcPr>
          <w:p w14:paraId="1857A8DB" w14:textId="77777777" w:rsidR="005400D8" w:rsidRPr="00A014FD" w:rsidRDefault="005400D8" w:rsidP="00704B82">
            <w:pPr>
              <w:spacing w:line="240" w:lineRule="auto"/>
              <w:rPr>
                <w:sz w:val="22"/>
              </w:rPr>
            </w:pPr>
            <w:r w:rsidRPr="00A014FD">
              <w:rPr>
                <w:sz w:val="22"/>
              </w:rPr>
              <w:t>187</w:t>
            </w:r>
          </w:p>
        </w:tc>
      </w:tr>
      <w:tr w:rsidR="005400D8" w:rsidRPr="00A014FD" w14:paraId="6EA140D2" w14:textId="77777777" w:rsidTr="00704B82">
        <w:trPr>
          <w:trHeight w:val="285"/>
        </w:trPr>
        <w:tc>
          <w:tcPr>
            <w:tcW w:w="13320" w:type="dxa"/>
            <w:noWrap/>
            <w:hideMark/>
          </w:tcPr>
          <w:p w14:paraId="6BB71255" w14:textId="77777777" w:rsidR="005400D8" w:rsidRPr="00A014FD" w:rsidRDefault="005400D8" w:rsidP="00704B82">
            <w:pPr>
              <w:spacing w:line="240" w:lineRule="auto"/>
              <w:rPr>
                <w:sz w:val="22"/>
              </w:rPr>
            </w:pPr>
            <w:r w:rsidRPr="00A014FD">
              <w:rPr>
                <w:sz w:val="22"/>
              </w:rPr>
              <w:t xml:space="preserve">Shifting urban freight deliveries to the </w:t>
            </w:r>
            <w:proofErr w:type="gramStart"/>
            <w:r w:rsidRPr="00A014FD">
              <w:rPr>
                <w:sz w:val="22"/>
              </w:rPr>
              <w:t>off peak</w:t>
            </w:r>
            <w:proofErr w:type="gramEnd"/>
            <w:r w:rsidRPr="00A014FD">
              <w:rPr>
                <w:sz w:val="22"/>
              </w:rPr>
              <w:t xml:space="preserve"> hours: a review of theory and practice</w:t>
            </w:r>
          </w:p>
        </w:tc>
        <w:tc>
          <w:tcPr>
            <w:tcW w:w="628" w:type="dxa"/>
            <w:noWrap/>
            <w:hideMark/>
          </w:tcPr>
          <w:p w14:paraId="694747FA" w14:textId="77777777" w:rsidR="005400D8" w:rsidRPr="00A014FD" w:rsidRDefault="005400D8" w:rsidP="00704B82">
            <w:pPr>
              <w:spacing w:line="240" w:lineRule="auto"/>
              <w:rPr>
                <w:sz w:val="22"/>
              </w:rPr>
            </w:pPr>
            <w:r w:rsidRPr="00A014FD">
              <w:rPr>
                <w:sz w:val="22"/>
              </w:rPr>
              <w:t>188</w:t>
            </w:r>
          </w:p>
        </w:tc>
      </w:tr>
      <w:tr w:rsidR="005400D8" w:rsidRPr="00A014FD" w14:paraId="791AF236" w14:textId="77777777" w:rsidTr="00704B82">
        <w:trPr>
          <w:trHeight w:val="285"/>
        </w:trPr>
        <w:tc>
          <w:tcPr>
            <w:tcW w:w="13320" w:type="dxa"/>
            <w:noWrap/>
            <w:hideMark/>
          </w:tcPr>
          <w:p w14:paraId="3B40B3EC" w14:textId="77777777" w:rsidR="005400D8" w:rsidRPr="00A014FD" w:rsidRDefault="005400D8" w:rsidP="00704B82">
            <w:pPr>
              <w:spacing w:line="240" w:lineRule="auto"/>
              <w:rPr>
                <w:sz w:val="22"/>
              </w:rPr>
            </w:pPr>
            <w:r w:rsidRPr="00A014FD">
              <w:rPr>
                <w:sz w:val="22"/>
              </w:rPr>
              <w:t xml:space="preserve">Barriers towards development of urban consolidation </w:t>
            </w:r>
            <w:proofErr w:type="spellStart"/>
            <w:r w:rsidRPr="00A014FD">
              <w:rPr>
                <w:sz w:val="22"/>
              </w:rPr>
              <w:t>centres</w:t>
            </w:r>
            <w:proofErr w:type="spellEnd"/>
            <w:r w:rsidRPr="00A014FD">
              <w:rPr>
                <w:sz w:val="22"/>
              </w:rPr>
              <w:t xml:space="preserve"> and their implementation: Literature review</w:t>
            </w:r>
          </w:p>
        </w:tc>
        <w:tc>
          <w:tcPr>
            <w:tcW w:w="628" w:type="dxa"/>
            <w:noWrap/>
            <w:hideMark/>
          </w:tcPr>
          <w:p w14:paraId="3C43337C" w14:textId="77777777" w:rsidR="005400D8" w:rsidRPr="00A014FD" w:rsidRDefault="005400D8" w:rsidP="00704B82">
            <w:pPr>
              <w:spacing w:line="240" w:lineRule="auto"/>
              <w:rPr>
                <w:sz w:val="22"/>
              </w:rPr>
            </w:pPr>
            <w:r w:rsidRPr="00A014FD">
              <w:rPr>
                <w:sz w:val="22"/>
              </w:rPr>
              <w:t>189</w:t>
            </w:r>
          </w:p>
        </w:tc>
      </w:tr>
      <w:tr w:rsidR="005400D8" w:rsidRPr="00A014FD" w14:paraId="704DE6F7" w14:textId="77777777" w:rsidTr="00704B82">
        <w:trPr>
          <w:trHeight w:val="285"/>
        </w:trPr>
        <w:tc>
          <w:tcPr>
            <w:tcW w:w="13320" w:type="dxa"/>
            <w:noWrap/>
            <w:hideMark/>
          </w:tcPr>
          <w:p w14:paraId="19CAFD7A" w14:textId="77777777" w:rsidR="005400D8" w:rsidRPr="00A014FD" w:rsidRDefault="005400D8" w:rsidP="00704B82">
            <w:pPr>
              <w:spacing w:line="240" w:lineRule="auto"/>
              <w:rPr>
                <w:sz w:val="22"/>
              </w:rPr>
            </w:pPr>
            <w:r w:rsidRPr="00A014FD">
              <w:rPr>
                <w:sz w:val="22"/>
              </w:rPr>
              <w:t>Multi Criteria analysis of electric vans for city logistics</w:t>
            </w:r>
          </w:p>
        </w:tc>
        <w:tc>
          <w:tcPr>
            <w:tcW w:w="628" w:type="dxa"/>
            <w:noWrap/>
            <w:hideMark/>
          </w:tcPr>
          <w:p w14:paraId="1B6AEE8A" w14:textId="77777777" w:rsidR="005400D8" w:rsidRPr="00A014FD" w:rsidRDefault="005400D8" w:rsidP="00704B82">
            <w:pPr>
              <w:spacing w:line="240" w:lineRule="auto"/>
              <w:rPr>
                <w:sz w:val="22"/>
              </w:rPr>
            </w:pPr>
            <w:r w:rsidRPr="00A014FD">
              <w:rPr>
                <w:sz w:val="22"/>
              </w:rPr>
              <w:t>190</w:t>
            </w:r>
          </w:p>
        </w:tc>
      </w:tr>
      <w:tr w:rsidR="005400D8" w:rsidRPr="00A014FD" w14:paraId="01D76B2A" w14:textId="77777777" w:rsidTr="00704B82">
        <w:trPr>
          <w:trHeight w:val="285"/>
        </w:trPr>
        <w:tc>
          <w:tcPr>
            <w:tcW w:w="13320" w:type="dxa"/>
            <w:noWrap/>
            <w:hideMark/>
          </w:tcPr>
          <w:p w14:paraId="77A292D4" w14:textId="77777777" w:rsidR="005400D8" w:rsidRPr="00A014FD" w:rsidRDefault="005400D8" w:rsidP="00704B82">
            <w:pPr>
              <w:spacing w:line="240" w:lineRule="auto"/>
              <w:rPr>
                <w:sz w:val="22"/>
              </w:rPr>
            </w:pPr>
            <w:r w:rsidRPr="00A014FD">
              <w:rPr>
                <w:sz w:val="22"/>
              </w:rPr>
              <w:t xml:space="preserve">Exploring the relationship between urban freight demand and the purchasing </w:t>
            </w:r>
            <w:proofErr w:type="spellStart"/>
            <w:r w:rsidRPr="00A014FD">
              <w:rPr>
                <w:sz w:val="22"/>
              </w:rPr>
              <w:t>behaviour</w:t>
            </w:r>
            <w:proofErr w:type="spellEnd"/>
            <w:r w:rsidRPr="00A014FD">
              <w:rPr>
                <w:sz w:val="22"/>
              </w:rPr>
              <w:t xml:space="preserve"> of a University</w:t>
            </w:r>
          </w:p>
        </w:tc>
        <w:tc>
          <w:tcPr>
            <w:tcW w:w="628" w:type="dxa"/>
            <w:noWrap/>
            <w:hideMark/>
          </w:tcPr>
          <w:p w14:paraId="32E7CE05" w14:textId="77777777" w:rsidR="005400D8" w:rsidRPr="00A014FD" w:rsidRDefault="005400D8" w:rsidP="00704B82">
            <w:pPr>
              <w:spacing w:line="240" w:lineRule="auto"/>
              <w:rPr>
                <w:sz w:val="22"/>
              </w:rPr>
            </w:pPr>
            <w:r w:rsidRPr="00A014FD">
              <w:rPr>
                <w:sz w:val="22"/>
              </w:rPr>
              <w:t>191</w:t>
            </w:r>
          </w:p>
        </w:tc>
      </w:tr>
      <w:tr w:rsidR="005400D8" w:rsidRPr="00A014FD" w14:paraId="5032F4B8" w14:textId="77777777" w:rsidTr="00704B82">
        <w:trPr>
          <w:trHeight w:val="285"/>
        </w:trPr>
        <w:tc>
          <w:tcPr>
            <w:tcW w:w="13320" w:type="dxa"/>
            <w:noWrap/>
            <w:hideMark/>
          </w:tcPr>
          <w:p w14:paraId="4036D977" w14:textId="77777777" w:rsidR="005400D8" w:rsidRPr="00A014FD" w:rsidRDefault="005400D8" w:rsidP="00704B82">
            <w:pPr>
              <w:spacing w:line="240" w:lineRule="auto"/>
              <w:rPr>
                <w:sz w:val="22"/>
              </w:rPr>
            </w:pPr>
            <w:r w:rsidRPr="00A014FD">
              <w:rPr>
                <w:sz w:val="22"/>
              </w:rPr>
              <w:t xml:space="preserve">A </w:t>
            </w:r>
            <w:proofErr w:type="gramStart"/>
            <w:r w:rsidRPr="00A014FD">
              <w:rPr>
                <w:sz w:val="22"/>
              </w:rPr>
              <w:t>stakeholder based</w:t>
            </w:r>
            <w:proofErr w:type="gramEnd"/>
            <w:r w:rsidRPr="00A014FD">
              <w:rPr>
                <w:sz w:val="22"/>
              </w:rPr>
              <w:t xml:space="preserve"> evaluation of the most suitable and sustainable delivery fleet for freight consolidation policies in the </w:t>
            </w:r>
            <w:proofErr w:type="spellStart"/>
            <w:r w:rsidRPr="00A014FD">
              <w:rPr>
                <w:sz w:val="22"/>
              </w:rPr>
              <w:t>innercity</w:t>
            </w:r>
            <w:proofErr w:type="spellEnd"/>
            <w:r w:rsidRPr="00A014FD">
              <w:rPr>
                <w:sz w:val="22"/>
              </w:rPr>
              <w:t xml:space="preserve"> area</w:t>
            </w:r>
          </w:p>
        </w:tc>
        <w:tc>
          <w:tcPr>
            <w:tcW w:w="628" w:type="dxa"/>
            <w:noWrap/>
            <w:hideMark/>
          </w:tcPr>
          <w:p w14:paraId="13416E58" w14:textId="77777777" w:rsidR="005400D8" w:rsidRPr="00A014FD" w:rsidRDefault="005400D8" w:rsidP="00704B82">
            <w:pPr>
              <w:spacing w:line="240" w:lineRule="auto"/>
              <w:rPr>
                <w:sz w:val="22"/>
              </w:rPr>
            </w:pPr>
            <w:r w:rsidRPr="00A014FD">
              <w:rPr>
                <w:sz w:val="22"/>
              </w:rPr>
              <w:t>192</w:t>
            </w:r>
          </w:p>
        </w:tc>
      </w:tr>
      <w:tr w:rsidR="005400D8" w:rsidRPr="00A014FD" w14:paraId="628494A2" w14:textId="77777777" w:rsidTr="00704B82">
        <w:trPr>
          <w:trHeight w:val="285"/>
        </w:trPr>
        <w:tc>
          <w:tcPr>
            <w:tcW w:w="13320" w:type="dxa"/>
            <w:noWrap/>
            <w:hideMark/>
          </w:tcPr>
          <w:p w14:paraId="4DE30D03" w14:textId="77777777" w:rsidR="005400D8" w:rsidRPr="00A014FD" w:rsidRDefault="005400D8" w:rsidP="00704B82">
            <w:pPr>
              <w:spacing w:line="240" w:lineRule="auto"/>
              <w:rPr>
                <w:sz w:val="22"/>
              </w:rPr>
            </w:pPr>
            <w:r w:rsidRPr="00A014FD">
              <w:rPr>
                <w:sz w:val="22"/>
              </w:rPr>
              <w:t>Urban mobility and city logistics – Trends and case study</w:t>
            </w:r>
          </w:p>
        </w:tc>
        <w:tc>
          <w:tcPr>
            <w:tcW w:w="628" w:type="dxa"/>
            <w:noWrap/>
            <w:hideMark/>
          </w:tcPr>
          <w:p w14:paraId="1A770196" w14:textId="77777777" w:rsidR="005400D8" w:rsidRPr="00A014FD" w:rsidRDefault="005400D8" w:rsidP="00704B82">
            <w:pPr>
              <w:spacing w:line="240" w:lineRule="auto"/>
              <w:rPr>
                <w:sz w:val="22"/>
              </w:rPr>
            </w:pPr>
            <w:r w:rsidRPr="00A014FD">
              <w:rPr>
                <w:sz w:val="22"/>
              </w:rPr>
              <w:t>193</w:t>
            </w:r>
          </w:p>
        </w:tc>
      </w:tr>
      <w:tr w:rsidR="005400D8" w:rsidRPr="00A014FD" w14:paraId="23321C9A" w14:textId="77777777" w:rsidTr="00704B82">
        <w:trPr>
          <w:trHeight w:val="285"/>
        </w:trPr>
        <w:tc>
          <w:tcPr>
            <w:tcW w:w="13320" w:type="dxa"/>
            <w:noWrap/>
            <w:hideMark/>
          </w:tcPr>
          <w:p w14:paraId="1346ED16" w14:textId="77777777" w:rsidR="005400D8" w:rsidRPr="00A014FD" w:rsidRDefault="005400D8" w:rsidP="00704B82">
            <w:pPr>
              <w:spacing w:line="240" w:lineRule="auto"/>
              <w:rPr>
                <w:sz w:val="22"/>
              </w:rPr>
            </w:pPr>
            <w:r w:rsidRPr="00A014FD">
              <w:rPr>
                <w:sz w:val="22"/>
              </w:rPr>
              <w:t>A fuzzy multicriteria model for evaluating sustainable urban freight transportation operations</w:t>
            </w:r>
          </w:p>
        </w:tc>
        <w:tc>
          <w:tcPr>
            <w:tcW w:w="628" w:type="dxa"/>
            <w:noWrap/>
            <w:hideMark/>
          </w:tcPr>
          <w:p w14:paraId="23021D7D" w14:textId="77777777" w:rsidR="005400D8" w:rsidRPr="00A014FD" w:rsidRDefault="005400D8" w:rsidP="00704B82">
            <w:pPr>
              <w:spacing w:line="240" w:lineRule="auto"/>
              <w:rPr>
                <w:sz w:val="22"/>
              </w:rPr>
            </w:pPr>
            <w:r w:rsidRPr="00A014FD">
              <w:rPr>
                <w:sz w:val="22"/>
              </w:rPr>
              <w:t>194</w:t>
            </w:r>
          </w:p>
        </w:tc>
      </w:tr>
      <w:tr w:rsidR="005400D8" w:rsidRPr="00A014FD" w14:paraId="53FAEE63" w14:textId="77777777" w:rsidTr="00704B82">
        <w:trPr>
          <w:trHeight w:val="285"/>
        </w:trPr>
        <w:tc>
          <w:tcPr>
            <w:tcW w:w="13320" w:type="dxa"/>
            <w:noWrap/>
            <w:hideMark/>
          </w:tcPr>
          <w:p w14:paraId="548011C4" w14:textId="77777777" w:rsidR="005400D8" w:rsidRPr="00A014FD" w:rsidRDefault="005400D8" w:rsidP="00704B82">
            <w:pPr>
              <w:spacing w:line="240" w:lineRule="auto"/>
              <w:rPr>
                <w:sz w:val="22"/>
              </w:rPr>
            </w:pPr>
            <w:r w:rsidRPr="00A014FD">
              <w:rPr>
                <w:sz w:val="22"/>
              </w:rPr>
              <w:t>Integrating People and Freight Transportation Using Shared Autonomous Vehicles with Compartments</w:t>
            </w:r>
          </w:p>
        </w:tc>
        <w:tc>
          <w:tcPr>
            <w:tcW w:w="628" w:type="dxa"/>
            <w:noWrap/>
            <w:hideMark/>
          </w:tcPr>
          <w:p w14:paraId="50367387" w14:textId="77777777" w:rsidR="005400D8" w:rsidRPr="00A014FD" w:rsidRDefault="005400D8" w:rsidP="00704B82">
            <w:pPr>
              <w:spacing w:line="240" w:lineRule="auto"/>
              <w:rPr>
                <w:sz w:val="22"/>
              </w:rPr>
            </w:pPr>
            <w:r w:rsidRPr="00A014FD">
              <w:rPr>
                <w:sz w:val="22"/>
              </w:rPr>
              <w:t>195</w:t>
            </w:r>
          </w:p>
        </w:tc>
      </w:tr>
      <w:tr w:rsidR="005400D8" w:rsidRPr="00A014FD" w14:paraId="77C37918" w14:textId="77777777" w:rsidTr="00704B82">
        <w:trPr>
          <w:trHeight w:val="285"/>
        </w:trPr>
        <w:tc>
          <w:tcPr>
            <w:tcW w:w="13320" w:type="dxa"/>
            <w:noWrap/>
            <w:hideMark/>
          </w:tcPr>
          <w:p w14:paraId="5C983ED4" w14:textId="77777777" w:rsidR="005400D8" w:rsidRPr="00A014FD" w:rsidRDefault="005400D8" w:rsidP="00704B82">
            <w:pPr>
              <w:spacing w:line="240" w:lineRule="auto"/>
              <w:rPr>
                <w:sz w:val="22"/>
              </w:rPr>
            </w:pPr>
            <w:r w:rsidRPr="00A014FD">
              <w:rPr>
                <w:sz w:val="22"/>
              </w:rPr>
              <w:t>An indicator approach to sustainable urban freight transport</w:t>
            </w:r>
          </w:p>
        </w:tc>
        <w:tc>
          <w:tcPr>
            <w:tcW w:w="628" w:type="dxa"/>
            <w:noWrap/>
            <w:hideMark/>
          </w:tcPr>
          <w:p w14:paraId="57AF3650" w14:textId="77777777" w:rsidR="005400D8" w:rsidRPr="00A014FD" w:rsidRDefault="005400D8" w:rsidP="00704B82">
            <w:pPr>
              <w:spacing w:line="240" w:lineRule="auto"/>
              <w:rPr>
                <w:sz w:val="22"/>
              </w:rPr>
            </w:pPr>
            <w:r w:rsidRPr="00A014FD">
              <w:rPr>
                <w:sz w:val="22"/>
              </w:rPr>
              <w:t>196</w:t>
            </w:r>
          </w:p>
        </w:tc>
      </w:tr>
      <w:tr w:rsidR="005400D8" w:rsidRPr="00A014FD" w14:paraId="476F4735" w14:textId="77777777" w:rsidTr="00704B82">
        <w:trPr>
          <w:trHeight w:val="285"/>
        </w:trPr>
        <w:tc>
          <w:tcPr>
            <w:tcW w:w="13320" w:type="dxa"/>
            <w:noWrap/>
            <w:hideMark/>
          </w:tcPr>
          <w:p w14:paraId="21098C5A" w14:textId="77777777" w:rsidR="005400D8" w:rsidRPr="00A014FD" w:rsidRDefault="005400D8" w:rsidP="00704B82">
            <w:pPr>
              <w:spacing w:line="240" w:lineRule="auto"/>
              <w:rPr>
                <w:sz w:val="22"/>
              </w:rPr>
            </w:pPr>
            <w:r w:rsidRPr="00A014FD">
              <w:rPr>
                <w:sz w:val="22"/>
              </w:rPr>
              <w:t>Shipping outside the box. Environmental impact and stakeholder analysis of a crowd logistics platform in Belgium</w:t>
            </w:r>
          </w:p>
        </w:tc>
        <w:tc>
          <w:tcPr>
            <w:tcW w:w="628" w:type="dxa"/>
            <w:noWrap/>
            <w:hideMark/>
          </w:tcPr>
          <w:p w14:paraId="065A0B47" w14:textId="77777777" w:rsidR="005400D8" w:rsidRPr="00A014FD" w:rsidRDefault="005400D8" w:rsidP="00704B82">
            <w:pPr>
              <w:spacing w:line="240" w:lineRule="auto"/>
              <w:rPr>
                <w:sz w:val="22"/>
              </w:rPr>
            </w:pPr>
            <w:r w:rsidRPr="00A014FD">
              <w:rPr>
                <w:sz w:val="22"/>
              </w:rPr>
              <w:t>197</w:t>
            </w:r>
          </w:p>
        </w:tc>
      </w:tr>
      <w:tr w:rsidR="005400D8" w:rsidRPr="00A014FD" w14:paraId="76B3DA30" w14:textId="77777777" w:rsidTr="00704B82">
        <w:trPr>
          <w:trHeight w:val="285"/>
        </w:trPr>
        <w:tc>
          <w:tcPr>
            <w:tcW w:w="13320" w:type="dxa"/>
            <w:noWrap/>
            <w:hideMark/>
          </w:tcPr>
          <w:p w14:paraId="130BA0BC" w14:textId="77777777" w:rsidR="005400D8" w:rsidRPr="00A014FD" w:rsidRDefault="005400D8" w:rsidP="00704B82">
            <w:pPr>
              <w:spacing w:line="240" w:lineRule="auto"/>
              <w:rPr>
                <w:sz w:val="22"/>
              </w:rPr>
            </w:pPr>
            <w:r w:rsidRPr="00A014FD">
              <w:rPr>
                <w:sz w:val="22"/>
              </w:rPr>
              <w:t>Multimodal Green Logistics Network Design of Urban Agglomeration with Stochastic Demand</w:t>
            </w:r>
          </w:p>
        </w:tc>
        <w:tc>
          <w:tcPr>
            <w:tcW w:w="628" w:type="dxa"/>
            <w:noWrap/>
            <w:hideMark/>
          </w:tcPr>
          <w:p w14:paraId="40221607" w14:textId="77777777" w:rsidR="005400D8" w:rsidRPr="00A014FD" w:rsidRDefault="005400D8" w:rsidP="00704B82">
            <w:pPr>
              <w:spacing w:line="240" w:lineRule="auto"/>
              <w:rPr>
                <w:sz w:val="22"/>
              </w:rPr>
            </w:pPr>
            <w:r w:rsidRPr="00A014FD">
              <w:rPr>
                <w:sz w:val="22"/>
              </w:rPr>
              <w:t>198</w:t>
            </w:r>
          </w:p>
        </w:tc>
      </w:tr>
      <w:tr w:rsidR="005400D8" w:rsidRPr="00A014FD" w14:paraId="465E65C1" w14:textId="77777777" w:rsidTr="00704B82">
        <w:trPr>
          <w:trHeight w:val="285"/>
        </w:trPr>
        <w:tc>
          <w:tcPr>
            <w:tcW w:w="13320" w:type="dxa"/>
            <w:noWrap/>
            <w:hideMark/>
          </w:tcPr>
          <w:p w14:paraId="6CC666DC" w14:textId="77777777" w:rsidR="005400D8" w:rsidRPr="00A014FD" w:rsidRDefault="005400D8" w:rsidP="00704B82">
            <w:pPr>
              <w:spacing w:line="240" w:lineRule="auto"/>
              <w:rPr>
                <w:sz w:val="22"/>
              </w:rPr>
            </w:pPr>
            <w:r w:rsidRPr="00A014FD">
              <w:rPr>
                <w:sz w:val="22"/>
              </w:rPr>
              <w:t>Measuring Sustainable Development Efficiency of Urban Logistics Industry</w:t>
            </w:r>
          </w:p>
        </w:tc>
        <w:tc>
          <w:tcPr>
            <w:tcW w:w="628" w:type="dxa"/>
            <w:noWrap/>
            <w:hideMark/>
          </w:tcPr>
          <w:p w14:paraId="1264F6D8" w14:textId="77777777" w:rsidR="005400D8" w:rsidRPr="00A014FD" w:rsidRDefault="005400D8" w:rsidP="00704B82">
            <w:pPr>
              <w:spacing w:line="240" w:lineRule="auto"/>
              <w:rPr>
                <w:sz w:val="22"/>
              </w:rPr>
            </w:pPr>
            <w:r w:rsidRPr="00A014FD">
              <w:rPr>
                <w:sz w:val="22"/>
              </w:rPr>
              <w:t>199</w:t>
            </w:r>
          </w:p>
        </w:tc>
      </w:tr>
      <w:tr w:rsidR="005400D8" w:rsidRPr="00A014FD" w14:paraId="5965DFC0" w14:textId="77777777" w:rsidTr="00704B82">
        <w:trPr>
          <w:trHeight w:val="285"/>
        </w:trPr>
        <w:tc>
          <w:tcPr>
            <w:tcW w:w="13320" w:type="dxa"/>
            <w:noWrap/>
            <w:hideMark/>
          </w:tcPr>
          <w:p w14:paraId="2E727A2D" w14:textId="77777777" w:rsidR="005400D8" w:rsidRPr="00A014FD" w:rsidRDefault="005400D8" w:rsidP="00704B82">
            <w:pPr>
              <w:spacing w:line="240" w:lineRule="auto"/>
              <w:rPr>
                <w:sz w:val="22"/>
              </w:rPr>
            </w:pPr>
            <w:r w:rsidRPr="00A014FD">
              <w:rPr>
                <w:sz w:val="22"/>
              </w:rPr>
              <w:t xml:space="preserve">A review of priority criteria and </w:t>
            </w:r>
            <w:proofErr w:type="gramStart"/>
            <w:r w:rsidRPr="00A014FD">
              <w:rPr>
                <w:sz w:val="22"/>
              </w:rPr>
              <w:t>decision making</w:t>
            </w:r>
            <w:proofErr w:type="gramEnd"/>
            <w:r w:rsidRPr="00A014FD">
              <w:rPr>
                <w:sz w:val="22"/>
              </w:rPr>
              <w:t xml:space="preserve"> methods applied in selection of sustainable city logistics initiatives and collaboration partners</w:t>
            </w:r>
          </w:p>
        </w:tc>
        <w:tc>
          <w:tcPr>
            <w:tcW w:w="628" w:type="dxa"/>
            <w:noWrap/>
            <w:hideMark/>
          </w:tcPr>
          <w:p w14:paraId="78C5DAC0" w14:textId="77777777" w:rsidR="005400D8" w:rsidRPr="00A014FD" w:rsidRDefault="005400D8" w:rsidP="00704B82">
            <w:pPr>
              <w:spacing w:line="240" w:lineRule="auto"/>
              <w:rPr>
                <w:sz w:val="22"/>
              </w:rPr>
            </w:pPr>
            <w:r w:rsidRPr="00A014FD">
              <w:rPr>
                <w:sz w:val="22"/>
              </w:rPr>
              <w:t>200</w:t>
            </w:r>
          </w:p>
        </w:tc>
      </w:tr>
      <w:tr w:rsidR="005400D8" w:rsidRPr="00A014FD" w14:paraId="63B481DF" w14:textId="77777777" w:rsidTr="00704B82">
        <w:trPr>
          <w:trHeight w:val="285"/>
        </w:trPr>
        <w:tc>
          <w:tcPr>
            <w:tcW w:w="13320" w:type="dxa"/>
            <w:noWrap/>
            <w:hideMark/>
          </w:tcPr>
          <w:p w14:paraId="3445A716" w14:textId="77777777" w:rsidR="005400D8" w:rsidRPr="00A014FD" w:rsidRDefault="005400D8" w:rsidP="00704B82">
            <w:pPr>
              <w:spacing w:line="240" w:lineRule="auto"/>
              <w:rPr>
                <w:sz w:val="22"/>
              </w:rPr>
            </w:pPr>
            <w:r w:rsidRPr="00A014FD">
              <w:rPr>
                <w:sz w:val="22"/>
              </w:rPr>
              <w:t>Impact of congestion pricing schemes on emissions and temporal shift of freight transport</w:t>
            </w:r>
          </w:p>
        </w:tc>
        <w:tc>
          <w:tcPr>
            <w:tcW w:w="628" w:type="dxa"/>
            <w:noWrap/>
            <w:hideMark/>
          </w:tcPr>
          <w:p w14:paraId="6F27C4C4" w14:textId="77777777" w:rsidR="005400D8" w:rsidRPr="00A014FD" w:rsidRDefault="005400D8" w:rsidP="00704B82">
            <w:pPr>
              <w:spacing w:line="240" w:lineRule="auto"/>
              <w:rPr>
                <w:sz w:val="22"/>
              </w:rPr>
            </w:pPr>
            <w:r w:rsidRPr="00A014FD">
              <w:rPr>
                <w:sz w:val="22"/>
              </w:rPr>
              <w:t>201</w:t>
            </w:r>
          </w:p>
        </w:tc>
      </w:tr>
      <w:tr w:rsidR="005400D8" w:rsidRPr="00A014FD" w14:paraId="251A7714" w14:textId="77777777" w:rsidTr="00704B82">
        <w:trPr>
          <w:trHeight w:val="285"/>
        </w:trPr>
        <w:tc>
          <w:tcPr>
            <w:tcW w:w="13320" w:type="dxa"/>
            <w:noWrap/>
            <w:hideMark/>
          </w:tcPr>
          <w:p w14:paraId="1EE72CCB" w14:textId="77777777" w:rsidR="005400D8" w:rsidRPr="00A014FD" w:rsidRDefault="005400D8" w:rsidP="00704B82">
            <w:pPr>
              <w:spacing w:line="240" w:lineRule="auto"/>
              <w:rPr>
                <w:sz w:val="22"/>
              </w:rPr>
            </w:pPr>
            <w:r w:rsidRPr="00A014FD">
              <w:rPr>
                <w:sz w:val="22"/>
              </w:rPr>
              <w:t xml:space="preserve">Using a multi objective programming model to validate feasibility of an underground freight transportation system for the </w:t>
            </w:r>
            <w:proofErr w:type="spellStart"/>
            <w:r w:rsidRPr="00A014FD">
              <w:rPr>
                <w:sz w:val="22"/>
              </w:rPr>
              <w:t>Yangshan</w:t>
            </w:r>
            <w:proofErr w:type="spellEnd"/>
            <w:r w:rsidRPr="00A014FD">
              <w:rPr>
                <w:sz w:val="22"/>
              </w:rPr>
              <w:t xml:space="preserve"> port in Shanghai</w:t>
            </w:r>
          </w:p>
        </w:tc>
        <w:tc>
          <w:tcPr>
            <w:tcW w:w="628" w:type="dxa"/>
            <w:noWrap/>
            <w:hideMark/>
          </w:tcPr>
          <w:p w14:paraId="25AE26FD" w14:textId="77777777" w:rsidR="005400D8" w:rsidRPr="00A014FD" w:rsidRDefault="005400D8" w:rsidP="00704B82">
            <w:pPr>
              <w:spacing w:line="240" w:lineRule="auto"/>
              <w:rPr>
                <w:sz w:val="22"/>
              </w:rPr>
            </w:pPr>
            <w:r w:rsidRPr="00A014FD">
              <w:rPr>
                <w:sz w:val="22"/>
              </w:rPr>
              <w:t>202</w:t>
            </w:r>
          </w:p>
        </w:tc>
      </w:tr>
      <w:tr w:rsidR="005400D8" w:rsidRPr="00A014FD" w14:paraId="5CB08C2A" w14:textId="77777777" w:rsidTr="00704B82">
        <w:trPr>
          <w:trHeight w:val="285"/>
        </w:trPr>
        <w:tc>
          <w:tcPr>
            <w:tcW w:w="13320" w:type="dxa"/>
            <w:noWrap/>
            <w:hideMark/>
          </w:tcPr>
          <w:p w14:paraId="0356F277" w14:textId="77777777" w:rsidR="005400D8" w:rsidRPr="00A014FD" w:rsidRDefault="005400D8" w:rsidP="00704B82">
            <w:pPr>
              <w:spacing w:line="240" w:lineRule="auto"/>
              <w:rPr>
                <w:sz w:val="22"/>
              </w:rPr>
            </w:pPr>
            <w:r w:rsidRPr="00A014FD">
              <w:rPr>
                <w:sz w:val="22"/>
              </w:rPr>
              <w:t xml:space="preserve">Smart urban freight transport: tools for planning and </w:t>
            </w:r>
            <w:proofErr w:type="spellStart"/>
            <w:r w:rsidRPr="00A014FD">
              <w:rPr>
                <w:sz w:val="22"/>
              </w:rPr>
              <w:t>optimising</w:t>
            </w:r>
            <w:proofErr w:type="spellEnd"/>
            <w:r w:rsidRPr="00A014FD">
              <w:rPr>
                <w:sz w:val="22"/>
              </w:rPr>
              <w:t xml:space="preserve"> delivery operations</w:t>
            </w:r>
          </w:p>
        </w:tc>
        <w:tc>
          <w:tcPr>
            <w:tcW w:w="628" w:type="dxa"/>
            <w:noWrap/>
            <w:hideMark/>
          </w:tcPr>
          <w:p w14:paraId="39A07B8C" w14:textId="77777777" w:rsidR="005400D8" w:rsidRPr="00A014FD" w:rsidRDefault="005400D8" w:rsidP="00704B82">
            <w:pPr>
              <w:spacing w:line="240" w:lineRule="auto"/>
              <w:rPr>
                <w:sz w:val="22"/>
              </w:rPr>
            </w:pPr>
            <w:r w:rsidRPr="00A014FD">
              <w:rPr>
                <w:sz w:val="22"/>
              </w:rPr>
              <w:t>203</w:t>
            </w:r>
          </w:p>
        </w:tc>
      </w:tr>
      <w:tr w:rsidR="005400D8" w:rsidRPr="00A014FD" w14:paraId="71BC0D28" w14:textId="77777777" w:rsidTr="00704B82">
        <w:trPr>
          <w:trHeight w:val="285"/>
        </w:trPr>
        <w:tc>
          <w:tcPr>
            <w:tcW w:w="13320" w:type="dxa"/>
            <w:noWrap/>
            <w:hideMark/>
          </w:tcPr>
          <w:p w14:paraId="7BFE0D15" w14:textId="77777777" w:rsidR="005400D8" w:rsidRPr="00A014FD" w:rsidRDefault="005400D8" w:rsidP="00704B82">
            <w:pPr>
              <w:spacing w:line="240" w:lineRule="auto"/>
              <w:rPr>
                <w:sz w:val="22"/>
              </w:rPr>
            </w:pPr>
            <w:r w:rsidRPr="00A014FD">
              <w:rPr>
                <w:sz w:val="22"/>
              </w:rPr>
              <w:t>Optimizing for total costs in vehicle routing in urban areas</w:t>
            </w:r>
          </w:p>
        </w:tc>
        <w:tc>
          <w:tcPr>
            <w:tcW w:w="628" w:type="dxa"/>
            <w:noWrap/>
            <w:hideMark/>
          </w:tcPr>
          <w:p w14:paraId="5C48D90F" w14:textId="77777777" w:rsidR="005400D8" w:rsidRPr="00A014FD" w:rsidRDefault="005400D8" w:rsidP="00704B82">
            <w:pPr>
              <w:spacing w:line="240" w:lineRule="auto"/>
              <w:rPr>
                <w:sz w:val="22"/>
              </w:rPr>
            </w:pPr>
            <w:r w:rsidRPr="00A014FD">
              <w:rPr>
                <w:sz w:val="22"/>
              </w:rPr>
              <w:t>204</w:t>
            </w:r>
          </w:p>
        </w:tc>
      </w:tr>
      <w:tr w:rsidR="005400D8" w:rsidRPr="00A014FD" w14:paraId="0ED78654" w14:textId="77777777" w:rsidTr="00704B82">
        <w:trPr>
          <w:trHeight w:val="285"/>
        </w:trPr>
        <w:tc>
          <w:tcPr>
            <w:tcW w:w="13320" w:type="dxa"/>
            <w:noWrap/>
            <w:hideMark/>
          </w:tcPr>
          <w:p w14:paraId="5651A945" w14:textId="77777777" w:rsidR="005400D8" w:rsidRPr="00A014FD" w:rsidRDefault="005400D8" w:rsidP="00704B82">
            <w:pPr>
              <w:spacing w:line="240" w:lineRule="auto"/>
              <w:rPr>
                <w:sz w:val="22"/>
              </w:rPr>
            </w:pPr>
            <w:r w:rsidRPr="00A014FD">
              <w:rPr>
                <w:sz w:val="22"/>
              </w:rPr>
              <w:t>Towards sustainable urban logistics: The evolution of digital marketplace</w:t>
            </w:r>
          </w:p>
        </w:tc>
        <w:tc>
          <w:tcPr>
            <w:tcW w:w="628" w:type="dxa"/>
            <w:noWrap/>
            <w:hideMark/>
          </w:tcPr>
          <w:p w14:paraId="15D7B215" w14:textId="77777777" w:rsidR="005400D8" w:rsidRPr="00A014FD" w:rsidRDefault="005400D8" w:rsidP="00704B82">
            <w:pPr>
              <w:spacing w:line="240" w:lineRule="auto"/>
              <w:rPr>
                <w:sz w:val="22"/>
              </w:rPr>
            </w:pPr>
            <w:r w:rsidRPr="00A014FD">
              <w:rPr>
                <w:sz w:val="22"/>
              </w:rPr>
              <w:t>205</w:t>
            </w:r>
          </w:p>
        </w:tc>
      </w:tr>
      <w:tr w:rsidR="005400D8" w:rsidRPr="00A014FD" w14:paraId="5FE25BD8" w14:textId="77777777" w:rsidTr="00704B82">
        <w:trPr>
          <w:trHeight w:val="285"/>
        </w:trPr>
        <w:tc>
          <w:tcPr>
            <w:tcW w:w="13320" w:type="dxa"/>
            <w:noWrap/>
            <w:hideMark/>
          </w:tcPr>
          <w:p w14:paraId="7D490EEA" w14:textId="77777777" w:rsidR="005400D8" w:rsidRPr="00A014FD" w:rsidRDefault="005400D8" w:rsidP="00704B82">
            <w:pPr>
              <w:spacing w:line="240" w:lineRule="auto"/>
              <w:rPr>
                <w:sz w:val="22"/>
              </w:rPr>
            </w:pPr>
            <w:r w:rsidRPr="00A014FD">
              <w:rPr>
                <w:sz w:val="22"/>
              </w:rPr>
              <w:t>Environmental and economic comparison of diesel and battery electric delivery vans to inform city logistics fleet replacement strategies</w:t>
            </w:r>
          </w:p>
        </w:tc>
        <w:tc>
          <w:tcPr>
            <w:tcW w:w="628" w:type="dxa"/>
            <w:noWrap/>
            <w:hideMark/>
          </w:tcPr>
          <w:p w14:paraId="76CE355E" w14:textId="77777777" w:rsidR="005400D8" w:rsidRPr="00A014FD" w:rsidRDefault="005400D8" w:rsidP="00704B82">
            <w:pPr>
              <w:spacing w:line="240" w:lineRule="auto"/>
              <w:rPr>
                <w:sz w:val="22"/>
              </w:rPr>
            </w:pPr>
            <w:r w:rsidRPr="00A014FD">
              <w:rPr>
                <w:sz w:val="22"/>
              </w:rPr>
              <w:t>206</w:t>
            </w:r>
          </w:p>
        </w:tc>
      </w:tr>
      <w:tr w:rsidR="005400D8" w:rsidRPr="00A014FD" w14:paraId="752E7669" w14:textId="77777777" w:rsidTr="00704B82">
        <w:trPr>
          <w:trHeight w:val="285"/>
        </w:trPr>
        <w:tc>
          <w:tcPr>
            <w:tcW w:w="13320" w:type="dxa"/>
            <w:noWrap/>
            <w:hideMark/>
          </w:tcPr>
          <w:p w14:paraId="09EA61B0" w14:textId="77777777" w:rsidR="005400D8" w:rsidRPr="00A014FD" w:rsidRDefault="005400D8" w:rsidP="00704B82">
            <w:pPr>
              <w:spacing w:line="240" w:lineRule="auto"/>
              <w:rPr>
                <w:sz w:val="22"/>
              </w:rPr>
            </w:pPr>
            <w:r w:rsidRPr="00A014FD">
              <w:rPr>
                <w:sz w:val="22"/>
              </w:rPr>
              <w:t>A crowdsourcing approach for sustainable last mile delivery</w:t>
            </w:r>
          </w:p>
        </w:tc>
        <w:tc>
          <w:tcPr>
            <w:tcW w:w="628" w:type="dxa"/>
            <w:noWrap/>
            <w:hideMark/>
          </w:tcPr>
          <w:p w14:paraId="7FB245D8" w14:textId="77777777" w:rsidR="005400D8" w:rsidRPr="00A014FD" w:rsidRDefault="005400D8" w:rsidP="00704B82">
            <w:pPr>
              <w:spacing w:line="240" w:lineRule="auto"/>
              <w:rPr>
                <w:sz w:val="22"/>
              </w:rPr>
            </w:pPr>
            <w:r w:rsidRPr="00A014FD">
              <w:rPr>
                <w:sz w:val="22"/>
              </w:rPr>
              <w:t>207</w:t>
            </w:r>
          </w:p>
        </w:tc>
      </w:tr>
      <w:tr w:rsidR="005400D8" w:rsidRPr="00A014FD" w14:paraId="193545F9" w14:textId="77777777" w:rsidTr="00704B82">
        <w:trPr>
          <w:trHeight w:val="285"/>
        </w:trPr>
        <w:tc>
          <w:tcPr>
            <w:tcW w:w="13320" w:type="dxa"/>
            <w:noWrap/>
            <w:hideMark/>
          </w:tcPr>
          <w:p w14:paraId="12819F98" w14:textId="77777777" w:rsidR="005400D8" w:rsidRPr="00A014FD" w:rsidRDefault="005400D8" w:rsidP="00704B82">
            <w:pPr>
              <w:spacing w:line="240" w:lineRule="auto"/>
              <w:rPr>
                <w:sz w:val="22"/>
              </w:rPr>
            </w:pPr>
            <w:r w:rsidRPr="00A014FD">
              <w:rPr>
                <w:sz w:val="22"/>
              </w:rPr>
              <w:t>Decision support systems for smarter and sustainable logistics of construction sites</w:t>
            </w:r>
          </w:p>
        </w:tc>
        <w:tc>
          <w:tcPr>
            <w:tcW w:w="628" w:type="dxa"/>
            <w:noWrap/>
            <w:hideMark/>
          </w:tcPr>
          <w:p w14:paraId="11D45107" w14:textId="77777777" w:rsidR="005400D8" w:rsidRPr="00A014FD" w:rsidRDefault="005400D8" w:rsidP="00704B82">
            <w:pPr>
              <w:spacing w:line="240" w:lineRule="auto"/>
              <w:rPr>
                <w:sz w:val="22"/>
              </w:rPr>
            </w:pPr>
            <w:r w:rsidRPr="00A014FD">
              <w:rPr>
                <w:sz w:val="22"/>
              </w:rPr>
              <w:t>208</w:t>
            </w:r>
          </w:p>
        </w:tc>
      </w:tr>
      <w:tr w:rsidR="005400D8" w:rsidRPr="00A014FD" w14:paraId="00C65839" w14:textId="77777777" w:rsidTr="00704B82">
        <w:trPr>
          <w:trHeight w:val="285"/>
        </w:trPr>
        <w:tc>
          <w:tcPr>
            <w:tcW w:w="13320" w:type="dxa"/>
            <w:noWrap/>
            <w:hideMark/>
          </w:tcPr>
          <w:p w14:paraId="2BCA1F6D" w14:textId="77777777" w:rsidR="005400D8" w:rsidRPr="00A014FD" w:rsidRDefault="005400D8" w:rsidP="00704B82">
            <w:pPr>
              <w:spacing w:line="240" w:lineRule="auto"/>
              <w:rPr>
                <w:sz w:val="22"/>
              </w:rPr>
            </w:pPr>
            <w:r w:rsidRPr="00A014FD">
              <w:rPr>
                <w:sz w:val="22"/>
              </w:rPr>
              <w:t>Logistics space: A literature review from the sustainability perspective</w:t>
            </w:r>
          </w:p>
        </w:tc>
        <w:tc>
          <w:tcPr>
            <w:tcW w:w="628" w:type="dxa"/>
            <w:noWrap/>
            <w:hideMark/>
          </w:tcPr>
          <w:p w14:paraId="04245465" w14:textId="77777777" w:rsidR="005400D8" w:rsidRPr="00A014FD" w:rsidRDefault="005400D8" w:rsidP="00704B82">
            <w:pPr>
              <w:spacing w:line="240" w:lineRule="auto"/>
              <w:rPr>
                <w:sz w:val="22"/>
              </w:rPr>
            </w:pPr>
            <w:r w:rsidRPr="00A014FD">
              <w:rPr>
                <w:sz w:val="22"/>
              </w:rPr>
              <w:t>209</w:t>
            </w:r>
          </w:p>
        </w:tc>
      </w:tr>
      <w:tr w:rsidR="005400D8" w:rsidRPr="00A014FD" w14:paraId="502F7CA2" w14:textId="77777777" w:rsidTr="00704B82">
        <w:trPr>
          <w:trHeight w:val="285"/>
        </w:trPr>
        <w:tc>
          <w:tcPr>
            <w:tcW w:w="13320" w:type="dxa"/>
            <w:noWrap/>
            <w:hideMark/>
          </w:tcPr>
          <w:p w14:paraId="543338A8" w14:textId="77777777" w:rsidR="005400D8" w:rsidRPr="00A014FD" w:rsidRDefault="005400D8" w:rsidP="00704B82">
            <w:pPr>
              <w:spacing w:line="240" w:lineRule="auto"/>
              <w:rPr>
                <w:sz w:val="22"/>
              </w:rPr>
            </w:pPr>
            <w:r w:rsidRPr="00A014FD">
              <w:rPr>
                <w:sz w:val="22"/>
              </w:rPr>
              <w:t>Direct impacts of off hour deliveries on urban freight emissions</w:t>
            </w:r>
          </w:p>
        </w:tc>
        <w:tc>
          <w:tcPr>
            <w:tcW w:w="628" w:type="dxa"/>
            <w:noWrap/>
            <w:hideMark/>
          </w:tcPr>
          <w:p w14:paraId="4C11567B" w14:textId="77777777" w:rsidR="005400D8" w:rsidRPr="00A014FD" w:rsidRDefault="005400D8" w:rsidP="00704B82">
            <w:pPr>
              <w:spacing w:line="240" w:lineRule="auto"/>
              <w:rPr>
                <w:sz w:val="22"/>
              </w:rPr>
            </w:pPr>
            <w:r w:rsidRPr="00A014FD">
              <w:rPr>
                <w:sz w:val="22"/>
              </w:rPr>
              <w:t>210</w:t>
            </w:r>
          </w:p>
        </w:tc>
      </w:tr>
      <w:tr w:rsidR="005400D8" w:rsidRPr="00A014FD" w14:paraId="7D4C3173" w14:textId="77777777" w:rsidTr="00704B82">
        <w:trPr>
          <w:trHeight w:val="285"/>
        </w:trPr>
        <w:tc>
          <w:tcPr>
            <w:tcW w:w="13320" w:type="dxa"/>
            <w:noWrap/>
            <w:hideMark/>
          </w:tcPr>
          <w:p w14:paraId="48CD256C" w14:textId="77777777" w:rsidR="005400D8" w:rsidRPr="00A014FD" w:rsidRDefault="005400D8" w:rsidP="00704B82">
            <w:pPr>
              <w:spacing w:line="240" w:lineRule="auto"/>
              <w:rPr>
                <w:sz w:val="22"/>
              </w:rPr>
            </w:pPr>
            <w:r w:rsidRPr="00A014FD">
              <w:rPr>
                <w:sz w:val="22"/>
              </w:rPr>
              <w:lastRenderedPageBreak/>
              <w:t>Analysis of the environmental impacts of unloading bays based on cellular automata simulation</w:t>
            </w:r>
          </w:p>
        </w:tc>
        <w:tc>
          <w:tcPr>
            <w:tcW w:w="628" w:type="dxa"/>
            <w:noWrap/>
            <w:hideMark/>
          </w:tcPr>
          <w:p w14:paraId="01218085" w14:textId="77777777" w:rsidR="005400D8" w:rsidRPr="00A014FD" w:rsidRDefault="005400D8" w:rsidP="00704B82">
            <w:pPr>
              <w:spacing w:line="240" w:lineRule="auto"/>
              <w:rPr>
                <w:sz w:val="22"/>
              </w:rPr>
            </w:pPr>
            <w:r w:rsidRPr="00A014FD">
              <w:rPr>
                <w:sz w:val="22"/>
              </w:rPr>
              <w:t>211</w:t>
            </w:r>
          </w:p>
        </w:tc>
      </w:tr>
      <w:tr w:rsidR="005400D8" w:rsidRPr="00A014FD" w14:paraId="546C82F9" w14:textId="77777777" w:rsidTr="00704B82">
        <w:trPr>
          <w:trHeight w:val="285"/>
        </w:trPr>
        <w:tc>
          <w:tcPr>
            <w:tcW w:w="13320" w:type="dxa"/>
            <w:noWrap/>
            <w:hideMark/>
          </w:tcPr>
          <w:p w14:paraId="6F11FF63" w14:textId="77777777" w:rsidR="005400D8" w:rsidRPr="00A014FD" w:rsidRDefault="005400D8" w:rsidP="00704B82">
            <w:pPr>
              <w:spacing w:line="240" w:lineRule="auto"/>
              <w:rPr>
                <w:sz w:val="22"/>
              </w:rPr>
            </w:pPr>
            <w:r w:rsidRPr="00A014FD">
              <w:rPr>
                <w:sz w:val="22"/>
              </w:rPr>
              <w:t>Information Patterns in the Modelling and Design of Mobility Management Services</w:t>
            </w:r>
          </w:p>
        </w:tc>
        <w:tc>
          <w:tcPr>
            <w:tcW w:w="628" w:type="dxa"/>
            <w:noWrap/>
            <w:hideMark/>
          </w:tcPr>
          <w:p w14:paraId="207F7306" w14:textId="77777777" w:rsidR="005400D8" w:rsidRPr="00A014FD" w:rsidRDefault="005400D8" w:rsidP="00704B82">
            <w:pPr>
              <w:spacing w:line="240" w:lineRule="auto"/>
              <w:rPr>
                <w:sz w:val="22"/>
              </w:rPr>
            </w:pPr>
            <w:r w:rsidRPr="00A014FD">
              <w:rPr>
                <w:sz w:val="22"/>
              </w:rPr>
              <w:t>212</w:t>
            </w:r>
          </w:p>
        </w:tc>
      </w:tr>
      <w:tr w:rsidR="005400D8" w:rsidRPr="00A014FD" w14:paraId="18CDDBC0" w14:textId="77777777" w:rsidTr="00704B82">
        <w:trPr>
          <w:trHeight w:val="285"/>
        </w:trPr>
        <w:tc>
          <w:tcPr>
            <w:tcW w:w="13320" w:type="dxa"/>
            <w:noWrap/>
            <w:hideMark/>
          </w:tcPr>
          <w:p w14:paraId="61E96378" w14:textId="77777777" w:rsidR="005400D8" w:rsidRPr="00A014FD" w:rsidRDefault="005400D8" w:rsidP="00704B82">
            <w:pPr>
              <w:spacing w:line="240" w:lineRule="auto"/>
              <w:rPr>
                <w:sz w:val="22"/>
              </w:rPr>
            </w:pPr>
            <w:r w:rsidRPr="00A014FD">
              <w:rPr>
                <w:sz w:val="22"/>
              </w:rPr>
              <w:t>The concept of Urban Freight Transport Projects durability and its assessment within the framework of a Freight Quality Partnership</w:t>
            </w:r>
          </w:p>
        </w:tc>
        <w:tc>
          <w:tcPr>
            <w:tcW w:w="628" w:type="dxa"/>
            <w:noWrap/>
            <w:hideMark/>
          </w:tcPr>
          <w:p w14:paraId="5199EAB4" w14:textId="77777777" w:rsidR="005400D8" w:rsidRPr="00A014FD" w:rsidRDefault="005400D8" w:rsidP="00704B82">
            <w:pPr>
              <w:spacing w:line="240" w:lineRule="auto"/>
              <w:rPr>
                <w:sz w:val="22"/>
              </w:rPr>
            </w:pPr>
            <w:r w:rsidRPr="00A014FD">
              <w:rPr>
                <w:sz w:val="22"/>
              </w:rPr>
              <w:t>213</w:t>
            </w:r>
          </w:p>
        </w:tc>
      </w:tr>
      <w:tr w:rsidR="005400D8" w:rsidRPr="00A014FD" w14:paraId="4358BF65" w14:textId="77777777" w:rsidTr="00704B82">
        <w:trPr>
          <w:trHeight w:val="285"/>
        </w:trPr>
        <w:tc>
          <w:tcPr>
            <w:tcW w:w="13320" w:type="dxa"/>
            <w:noWrap/>
            <w:hideMark/>
          </w:tcPr>
          <w:p w14:paraId="2C741EDB" w14:textId="77777777" w:rsidR="005400D8" w:rsidRPr="00A014FD" w:rsidRDefault="005400D8" w:rsidP="00704B82">
            <w:pPr>
              <w:spacing w:line="240" w:lineRule="auto"/>
              <w:rPr>
                <w:sz w:val="22"/>
              </w:rPr>
            </w:pPr>
            <w:r w:rsidRPr="00A014FD">
              <w:rPr>
                <w:sz w:val="22"/>
              </w:rPr>
              <w:t xml:space="preserve">Application of AHP and DEMATEL methods in choosing and </w:t>
            </w:r>
            <w:proofErr w:type="spellStart"/>
            <w:r w:rsidRPr="00A014FD">
              <w:rPr>
                <w:sz w:val="22"/>
              </w:rPr>
              <w:t>analysing</w:t>
            </w:r>
            <w:proofErr w:type="spellEnd"/>
            <w:r w:rsidRPr="00A014FD">
              <w:rPr>
                <w:sz w:val="22"/>
              </w:rPr>
              <w:t xml:space="preserve"> the measures for the distribution of goods in Szczecin region</w:t>
            </w:r>
          </w:p>
        </w:tc>
        <w:tc>
          <w:tcPr>
            <w:tcW w:w="628" w:type="dxa"/>
            <w:noWrap/>
            <w:hideMark/>
          </w:tcPr>
          <w:p w14:paraId="7DD083AF" w14:textId="77777777" w:rsidR="005400D8" w:rsidRPr="00A014FD" w:rsidRDefault="005400D8" w:rsidP="00704B82">
            <w:pPr>
              <w:spacing w:line="240" w:lineRule="auto"/>
              <w:rPr>
                <w:sz w:val="22"/>
              </w:rPr>
            </w:pPr>
            <w:r w:rsidRPr="00A014FD">
              <w:rPr>
                <w:sz w:val="22"/>
              </w:rPr>
              <w:t>214</w:t>
            </w:r>
          </w:p>
        </w:tc>
      </w:tr>
      <w:tr w:rsidR="005400D8" w:rsidRPr="00A014FD" w14:paraId="63278255" w14:textId="77777777" w:rsidTr="00704B82">
        <w:trPr>
          <w:trHeight w:val="285"/>
        </w:trPr>
        <w:tc>
          <w:tcPr>
            <w:tcW w:w="13320" w:type="dxa"/>
            <w:noWrap/>
            <w:hideMark/>
          </w:tcPr>
          <w:p w14:paraId="3EB3520B" w14:textId="77777777" w:rsidR="005400D8" w:rsidRPr="00A014FD" w:rsidRDefault="005400D8" w:rsidP="00704B82">
            <w:pPr>
              <w:spacing w:line="240" w:lineRule="auto"/>
              <w:rPr>
                <w:sz w:val="22"/>
              </w:rPr>
            </w:pPr>
            <w:r w:rsidRPr="00A014FD">
              <w:rPr>
                <w:sz w:val="22"/>
              </w:rPr>
              <w:t>Modelling alternative distribution setups for fragmented last mile transport: Towards more efficient and sustainable urban freight transport</w:t>
            </w:r>
          </w:p>
        </w:tc>
        <w:tc>
          <w:tcPr>
            <w:tcW w:w="628" w:type="dxa"/>
            <w:noWrap/>
            <w:hideMark/>
          </w:tcPr>
          <w:p w14:paraId="005F4D5C" w14:textId="77777777" w:rsidR="005400D8" w:rsidRPr="00A014FD" w:rsidRDefault="005400D8" w:rsidP="00704B82">
            <w:pPr>
              <w:spacing w:line="240" w:lineRule="auto"/>
              <w:rPr>
                <w:sz w:val="22"/>
              </w:rPr>
            </w:pPr>
            <w:r w:rsidRPr="00A014FD">
              <w:rPr>
                <w:sz w:val="22"/>
              </w:rPr>
              <w:t>215</w:t>
            </w:r>
          </w:p>
        </w:tc>
      </w:tr>
      <w:tr w:rsidR="005400D8" w:rsidRPr="00A014FD" w14:paraId="344421FF" w14:textId="77777777" w:rsidTr="00704B82">
        <w:trPr>
          <w:trHeight w:val="285"/>
        </w:trPr>
        <w:tc>
          <w:tcPr>
            <w:tcW w:w="13320" w:type="dxa"/>
            <w:noWrap/>
            <w:hideMark/>
          </w:tcPr>
          <w:p w14:paraId="7DBFF4C2" w14:textId="77777777" w:rsidR="005400D8" w:rsidRPr="00A014FD" w:rsidRDefault="005400D8" w:rsidP="00704B82">
            <w:pPr>
              <w:spacing w:line="240" w:lineRule="auto"/>
              <w:rPr>
                <w:sz w:val="22"/>
              </w:rPr>
            </w:pPr>
            <w:r w:rsidRPr="00A014FD">
              <w:rPr>
                <w:sz w:val="22"/>
              </w:rPr>
              <w:t xml:space="preserve">Parcel locker systems in a car dominant city: Location, </w:t>
            </w:r>
            <w:proofErr w:type="spellStart"/>
            <w:r w:rsidRPr="00A014FD">
              <w:rPr>
                <w:sz w:val="22"/>
              </w:rPr>
              <w:t>characterisation</w:t>
            </w:r>
            <w:proofErr w:type="spellEnd"/>
            <w:r w:rsidRPr="00A014FD">
              <w:rPr>
                <w:sz w:val="22"/>
              </w:rPr>
              <w:t xml:space="preserve"> and potential impacts on city planning and consumer travel access</w:t>
            </w:r>
          </w:p>
        </w:tc>
        <w:tc>
          <w:tcPr>
            <w:tcW w:w="628" w:type="dxa"/>
            <w:noWrap/>
            <w:hideMark/>
          </w:tcPr>
          <w:p w14:paraId="481DA4B2" w14:textId="77777777" w:rsidR="005400D8" w:rsidRPr="00A014FD" w:rsidRDefault="005400D8" w:rsidP="00704B82">
            <w:pPr>
              <w:spacing w:line="240" w:lineRule="auto"/>
              <w:rPr>
                <w:sz w:val="22"/>
              </w:rPr>
            </w:pPr>
            <w:r w:rsidRPr="00A014FD">
              <w:rPr>
                <w:sz w:val="22"/>
              </w:rPr>
              <w:t>216</w:t>
            </w:r>
          </w:p>
        </w:tc>
      </w:tr>
      <w:tr w:rsidR="005400D8" w:rsidRPr="00A014FD" w14:paraId="3E58DC66" w14:textId="77777777" w:rsidTr="00704B82">
        <w:trPr>
          <w:trHeight w:val="285"/>
        </w:trPr>
        <w:tc>
          <w:tcPr>
            <w:tcW w:w="13320" w:type="dxa"/>
            <w:noWrap/>
            <w:hideMark/>
          </w:tcPr>
          <w:p w14:paraId="34D90B9B" w14:textId="77777777" w:rsidR="005400D8" w:rsidRPr="00A014FD" w:rsidRDefault="005400D8" w:rsidP="00704B82">
            <w:pPr>
              <w:spacing w:line="240" w:lineRule="auto"/>
              <w:rPr>
                <w:sz w:val="22"/>
              </w:rPr>
            </w:pPr>
            <w:r w:rsidRPr="00A014FD">
              <w:rPr>
                <w:sz w:val="22"/>
              </w:rPr>
              <w:t>Coordinated development between metropolitan economy and logistics for sustainability</w:t>
            </w:r>
          </w:p>
        </w:tc>
        <w:tc>
          <w:tcPr>
            <w:tcW w:w="628" w:type="dxa"/>
            <w:noWrap/>
            <w:hideMark/>
          </w:tcPr>
          <w:p w14:paraId="059EF63B" w14:textId="77777777" w:rsidR="005400D8" w:rsidRPr="00A014FD" w:rsidRDefault="005400D8" w:rsidP="00704B82">
            <w:pPr>
              <w:spacing w:line="240" w:lineRule="auto"/>
              <w:rPr>
                <w:sz w:val="22"/>
              </w:rPr>
            </w:pPr>
            <w:r w:rsidRPr="00A014FD">
              <w:rPr>
                <w:sz w:val="22"/>
              </w:rPr>
              <w:t>217</w:t>
            </w:r>
          </w:p>
        </w:tc>
      </w:tr>
      <w:tr w:rsidR="005400D8" w:rsidRPr="00A014FD" w14:paraId="41227E70" w14:textId="77777777" w:rsidTr="00704B82">
        <w:trPr>
          <w:trHeight w:val="285"/>
        </w:trPr>
        <w:tc>
          <w:tcPr>
            <w:tcW w:w="13320" w:type="dxa"/>
            <w:noWrap/>
            <w:hideMark/>
          </w:tcPr>
          <w:p w14:paraId="720BF9E9" w14:textId="77777777" w:rsidR="005400D8" w:rsidRPr="00A014FD" w:rsidRDefault="005400D8" w:rsidP="00704B82">
            <w:pPr>
              <w:spacing w:line="240" w:lineRule="auto"/>
              <w:rPr>
                <w:sz w:val="22"/>
              </w:rPr>
            </w:pPr>
            <w:r w:rsidRPr="00A014FD">
              <w:rPr>
                <w:sz w:val="22"/>
              </w:rPr>
              <w:t>Improving policy support in city logistics: The contributions of a multi actor multicriteria analysis</w:t>
            </w:r>
          </w:p>
        </w:tc>
        <w:tc>
          <w:tcPr>
            <w:tcW w:w="628" w:type="dxa"/>
            <w:noWrap/>
            <w:hideMark/>
          </w:tcPr>
          <w:p w14:paraId="507F5D13" w14:textId="77777777" w:rsidR="005400D8" w:rsidRPr="00A014FD" w:rsidRDefault="005400D8" w:rsidP="00704B82">
            <w:pPr>
              <w:spacing w:line="240" w:lineRule="auto"/>
              <w:rPr>
                <w:sz w:val="22"/>
              </w:rPr>
            </w:pPr>
            <w:r w:rsidRPr="00A014FD">
              <w:rPr>
                <w:sz w:val="22"/>
              </w:rPr>
              <w:t>218</w:t>
            </w:r>
          </w:p>
        </w:tc>
      </w:tr>
      <w:tr w:rsidR="005400D8" w:rsidRPr="00A014FD" w14:paraId="68DB5D9C" w14:textId="77777777" w:rsidTr="00704B82">
        <w:trPr>
          <w:trHeight w:val="285"/>
        </w:trPr>
        <w:tc>
          <w:tcPr>
            <w:tcW w:w="13320" w:type="dxa"/>
            <w:noWrap/>
            <w:hideMark/>
          </w:tcPr>
          <w:p w14:paraId="6359750A" w14:textId="77777777" w:rsidR="005400D8" w:rsidRPr="00A014FD" w:rsidRDefault="005400D8" w:rsidP="00704B82">
            <w:pPr>
              <w:spacing w:line="240" w:lineRule="auto"/>
              <w:rPr>
                <w:sz w:val="22"/>
              </w:rPr>
            </w:pPr>
            <w:r w:rsidRPr="00A014FD">
              <w:rPr>
                <w:sz w:val="22"/>
              </w:rPr>
              <w:t>Estimating emissions from regional freight delivery under different urban development scenarios</w:t>
            </w:r>
          </w:p>
        </w:tc>
        <w:tc>
          <w:tcPr>
            <w:tcW w:w="628" w:type="dxa"/>
            <w:noWrap/>
            <w:hideMark/>
          </w:tcPr>
          <w:p w14:paraId="79EBDF1D" w14:textId="77777777" w:rsidR="005400D8" w:rsidRPr="00A014FD" w:rsidRDefault="005400D8" w:rsidP="00704B82">
            <w:pPr>
              <w:spacing w:line="240" w:lineRule="auto"/>
              <w:rPr>
                <w:sz w:val="22"/>
              </w:rPr>
            </w:pPr>
            <w:r w:rsidRPr="00A014FD">
              <w:rPr>
                <w:sz w:val="22"/>
              </w:rPr>
              <w:t>219</w:t>
            </w:r>
          </w:p>
        </w:tc>
      </w:tr>
      <w:tr w:rsidR="005400D8" w:rsidRPr="00A014FD" w14:paraId="0D5C835D" w14:textId="77777777" w:rsidTr="00704B82">
        <w:trPr>
          <w:trHeight w:val="285"/>
        </w:trPr>
        <w:tc>
          <w:tcPr>
            <w:tcW w:w="13320" w:type="dxa"/>
            <w:noWrap/>
            <w:hideMark/>
          </w:tcPr>
          <w:p w14:paraId="42A31019" w14:textId="77777777" w:rsidR="005400D8" w:rsidRPr="00A014FD" w:rsidRDefault="005400D8" w:rsidP="00704B82">
            <w:pPr>
              <w:spacing w:line="240" w:lineRule="auto"/>
              <w:rPr>
                <w:sz w:val="22"/>
              </w:rPr>
            </w:pPr>
            <w:r w:rsidRPr="00A014FD">
              <w:rPr>
                <w:sz w:val="22"/>
              </w:rPr>
              <w:t>Review of policies and measures for sustainable and energy efficient urban transport</w:t>
            </w:r>
          </w:p>
        </w:tc>
        <w:tc>
          <w:tcPr>
            <w:tcW w:w="628" w:type="dxa"/>
            <w:noWrap/>
            <w:hideMark/>
          </w:tcPr>
          <w:p w14:paraId="04AD748A" w14:textId="77777777" w:rsidR="005400D8" w:rsidRPr="00A014FD" w:rsidRDefault="005400D8" w:rsidP="00704B82">
            <w:pPr>
              <w:spacing w:line="240" w:lineRule="auto"/>
              <w:rPr>
                <w:sz w:val="22"/>
              </w:rPr>
            </w:pPr>
            <w:r w:rsidRPr="00A014FD">
              <w:rPr>
                <w:sz w:val="22"/>
              </w:rPr>
              <w:t>220</w:t>
            </w:r>
          </w:p>
        </w:tc>
      </w:tr>
      <w:tr w:rsidR="005400D8" w:rsidRPr="00A014FD" w14:paraId="6E005190" w14:textId="77777777" w:rsidTr="00704B82">
        <w:trPr>
          <w:trHeight w:val="285"/>
        </w:trPr>
        <w:tc>
          <w:tcPr>
            <w:tcW w:w="13320" w:type="dxa"/>
            <w:noWrap/>
            <w:hideMark/>
          </w:tcPr>
          <w:p w14:paraId="3128473A" w14:textId="77777777" w:rsidR="005400D8" w:rsidRPr="00A014FD" w:rsidRDefault="005400D8" w:rsidP="00704B82">
            <w:pPr>
              <w:spacing w:line="240" w:lineRule="auto"/>
              <w:rPr>
                <w:sz w:val="22"/>
              </w:rPr>
            </w:pPr>
            <w:r w:rsidRPr="00A014FD">
              <w:rPr>
                <w:sz w:val="22"/>
              </w:rPr>
              <w:t>Location Selection of Urban Distribution Center with a Mathematical Modeling Approach Based on the Total Cost</w:t>
            </w:r>
          </w:p>
        </w:tc>
        <w:tc>
          <w:tcPr>
            <w:tcW w:w="628" w:type="dxa"/>
            <w:noWrap/>
            <w:hideMark/>
          </w:tcPr>
          <w:p w14:paraId="714137A3" w14:textId="77777777" w:rsidR="005400D8" w:rsidRPr="00A014FD" w:rsidRDefault="005400D8" w:rsidP="00704B82">
            <w:pPr>
              <w:spacing w:line="240" w:lineRule="auto"/>
              <w:rPr>
                <w:sz w:val="22"/>
              </w:rPr>
            </w:pPr>
            <w:r w:rsidRPr="00A014FD">
              <w:rPr>
                <w:sz w:val="22"/>
              </w:rPr>
              <w:t>221</w:t>
            </w:r>
          </w:p>
        </w:tc>
      </w:tr>
      <w:tr w:rsidR="005400D8" w:rsidRPr="00A014FD" w14:paraId="5098037F" w14:textId="77777777" w:rsidTr="00704B82">
        <w:trPr>
          <w:trHeight w:val="285"/>
        </w:trPr>
        <w:tc>
          <w:tcPr>
            <w:tcW w:w="13320" w:type="dxa"/>
            <w:noWrap/>
            <w:hideMark/>
          </w:tcPr>
          <w:p w14:paraId="1D45EA24" w14:textId="77777777" w:rsidR="005400D8" w:rsidRPr="00A014FD" w:rsidRDefault="005400D8" w:rsidP="00704B82">
            <w:pPr>
              <w:spacing w:line="240" w:lineRule="auto"/>
              <w:rPr>
                <w:sz w:val="22"/>
              </w:rPr>
            </w:pPr>
            <w:r w:rsidRPr="00A014FD">
              <w:rPr>
                <w:sz w:val="22"/>
              </w:rPr>
              <w:t>Sustainable distribution organization based on the supply demand coordination in large Chinese cities</w:t>
            </w:r>
          </w:p>
        </w:tc>
        <w:tc>
          <w:tcPr>
            <w:tcW w:w="628" w:type="dxa"/>
            <w:noWrap/>
            <w:hideMark/>
          </w:tcPr>
          <w:p w14:paraId="1E341F0D" w14:textId="77777777" w:rsidR="005400D8" w:rsidRPr="00A014FD" w:rsidRDefault="005400D8" w:rsidP="00704B82">
            <w:pPr>
              <w:spacing w:line="240" w:lineRule="auto"/>
              <w:rPr>
                <w:sz w:val="22"/>
              </w:rPr>
            </w:pPr>
            <w:r w:rsidRPr="00A014FD">
              <w:rPr>
                <w:sz w:val="22"/>
              </w:rPr>
              <w:t>222</w:t>
            </w:r>
          </w:p>
        </w:tc>
      </w:tr>
      <w:tr w:rsidR="005400D8" w:rsidRPr="00A014FD" w14:paraId="35FF98C5" w14:textId="77777777" w:rsidTr="00704B82">
        <w:trPr>
          <w:trHeight w:val="285"/>
        </w:trPr>
        <w:tc>
          <w:tcPr>
            <w:tcW w:w="13320" w:type="dxa"/>
            <w:noWrap/>
            <w:hideMark/>
          </w:tcPr>
          <w:p w14:paraId="72CB0DCE" w14:textId="77777777" w:rsidR="005400D8" w:rsidRPr="00A014FD" w:rsidRDefault="005400D8" w:rsidP="00704B82">
            <w:pPr>
              <w:spacing w:line="240" w:lineRule="auto"/>
              <w:rPr>
                <w:sz w:val="22"/>
              </w:rPr>
            </w:pPr>
            <w:r w:rsidRPr="00A014FD">
              <w:rPr>
                <w:sz w:val="22"/>
              </w:rPr>
              <w:t>Gamification design to foster stakeholder engagement and behavior change: An application to urban freight transport</w:t>
            </w:r>
          </w:p>
        </w:tc>
        <w:tc>
          <w:tcPr>
            <w:tcW w:w="628" w:type="dxa"/>
            <w:noWrap/>
            <w:hideMark/>
          </w:tcPr>
          <w:p w14:paraId="72DD7C89" w14:textId="77777777" w:rsidR="005400D8" w:rsidRPr="00A014FD" w:rsidRDefault="005400D8" w:rsidP="00704B82">
            <w:pPr>
              <w:spacing w:line="240" w:lineRule="auto"/>
              <w:rPr>
                <w:sz w:val="22"/>
              </w:rPr>
            </w:pPr>
            <w:r w:rsidRPr="00A014FD">
              <w:rPr>
                <w:sz w:val="22"/>
              </w:rPr>
              <w:t>223</w:t>
            </w:r>
          </w:p>
        </w:tc>
      </w:tr>
      <w:tr w:rsidR="005400D8" w:rsidRPr="00A014FD" w14:paraId="735B1E54" w14:textId="77777777" w:rsidTr="00704B82">
        <w:trPr>
          <w:trHeight w:val="285"/>
        </w:trPr>
        <w:tc>
          <w:tcPr>
            <w:tcW w:w="13320" w:type="dxa"/>
            <w:noWrap/>
            <w:hideMark/>
          </w:tcPr>
          <w:p w14:paraId="299480EE" w14:textId="77777777" w:rsidR="005400D8" w:rsidRPr="00A014FD" w:rsidRDefault="005400D8" w:rsidP="00704B82">
            <w:pPr>
              <w:spacing w:line="240" w:lineRule="auto"/>
              <w:rPr>
                <w:sz w:val="22"/>
              </w:rPr>
            </w:pPr>
            <w:r w:rsidRPr="00A014FD">
              <w:rPr>
                <w:sz w:val="22"/>
              </w:rPr>
              <w:t>Assessing the sustainability of mobile depots: The case of urban freight distribution in Rio de Janeiro</w:t>
            </w:r>
          </w:p>
        </w:tc>
        <w:tc>
          <w:tcPr>
            <w:tcW w:w="628" w:type="dxa"/>
            <w:noWrap/>
            <w:hideMark/>
          </w:tcPr>
          <w:p w14:paraId="4122E940" w14:textId="77777777" w:rsidR="005400D8" w:rsidRPr="00A014FD" w:rsidRDefault="005400D8" w:rsidP="00704B82">
            <w:pPr>
              <w:spacing w:line="240" w:lineRule="auto"/>
              <w:rPr>
                <w:sz w:val="22"/>
              </w:rPr>
            </w:pPr>
            <w:r w:rsidRPr="00A014FD">
              <w:rPr>
                <w:sz w:val="22"/>
              </w:rPr>
              <w:t>224</w:t>
            </w:r>
          </w:p>
        </w:tc>
      </w:tr>
      <w:tr w:rsidR="005400D8" w:rsidRPr="00A014FD" w14:paraId="73F6185A" w14:textId="77777777" w:rsidTr="00704B82">
        <w:trPr>
          <w:trHeight w:val="285"/>
        </w:trPr>
        <w:tc>
          <w:tcPr>
            <w:tcW w:w="13320" w:type="dxa"/>
            <w:noWrap/>
            <w:hideMark/>
          </w:tcPr>
          <w:p w14:paraId="09A773CE" w14:textId="77777777" w:rsidR="005400D8" w:rsidRPr="00A014FD" w:rsidRDefault="005400D8" w:rsidP="00704B82">
            <w:pPr>
              <w:spacing w:line="240" w:lineRule="auto"/>
              <w:rPr>
                <w:sz w:val="22"/>
              </w:rPr>
            </w:pPr>
            <w:r w:rsidRPr="00A014FD">
              <w:rPr>
                <w:sz w:val="22"/>
              </w:rPr>
              <w:t xml:space="preserve">Evaluating the impact of off hour deliveries: An application of the </w:t>
            </w:r>
            <w:proofErr w:type="spellStart"/>
            <w:r w:rsidRPr="00A014FD">
              <w:rPr>
                <w:sz w:val="22"/>
              </w:rPr>
              <w:t>TRansport</w:t>
            </w:r>
            <w:proofErr w:type="spellEnd"/>
            <w:r w:rsidRPr="00A014FD">
              <w:rPr>
                <w:sz w:val="22"/>
              </w:rPr>
              <w:t xml:space="preserve"> Agent </w:t>
            </w:r>
            <w:proofErr w:type="spellStart"/>
            <w:r w:rsidRPr="00A014FD">
              <w:rPr>
                <w:sz w:val="22"/>
              </w:rPr>
              <w:t>BAsed</w:t>
            </w:r>
            <w:proofErr w:type="spellEnd"/>
            <w:r w:rsidRPr="00A014FD">
              <w:rPr>
                <w:sz w:val="22"/>
              </w:rPr>
              <w:t xml:space="preserve"> model</w:t>
            </w:r>
          </w:p>
        </w:tc>
        <w:tc>
          <w:tcPr>
            <w:tcW w:w="628" w:type="dxa"/>
            <w:noWrap/>
            <w:hideMark/>
          </w:tcPr>
          <w:p w14:paraId="78125FE7" w14:textId="77777777" w:rsidR="005400D8" w:rsidRPr="00A014FD" w:rsidRDefault="005400D8" w:rsidP="00704B82">
            <w:pPr>
              <w:spacing w:line="240" w:lineRule="auto"/>
              <w:rPr>
                <w:sz w:val="22"/>
              </w:rPr>
            </w:pPr>
            <w:r w:rsidRPr="00A014FD">
              <w:rPr>
                <w:sz w:val="22"/>
              </w:rPr>
              <w:t>225</w:t>
            </w:r>
          </w:p>
        </w:tc>
      </w:tr>
      <w:tr w:rsidR="005400D8" w:rsidRPr="00A014FD" w14:paraId="7F182521" w14:textId="77777777" w:rsidTr="00704B82">
        <w:trPr>
          <w:trHeight w:val="285"/>
        </w:trPr>
        <w:tc>
          <w:tcPr>
            <w:tcW w:w="13320" w:type="dxa"/>
            <w:noWrap/>
            <w:hideMark/>
          </w:tcPr>
          <w:p w14:paraId="43112337" w14:textId="77777777" w:rsidR="005400D8" w:rsidRPr="00A014FD" w:rsidRDefault="005400D8" w:rsidP="00704B82">
            <w:pPr>
              <w:spacing w:line="240" w:lineRule="auto"/>
              <w:rPr>
                <w:sz w:val="22"/>
              </w:rPr>
            </w:pPr>
            <w:r w:rsidRPr="00A014FD">
              <w:rPr>
                <w:sz w:val="22"/>
              </w:rPr>
              <w:t>The way to sustainable mobility. A comparative analysis of sustainable mobility plans in Spain</w:t>
            </w:r>
          </w:p>
        </w:tc>
        <w:tc>
          <w:tcPr>
            <w:tcW w:w="628" w:type="dxa"/>
            <w:noWrap/>
            <w:hideMark/>
          </w:tcPr>
          <w:p w14:paraId="0380CBD4" w14:textId="77777777" w:rsidR="005400D8" w:rsidRPr="00A014FD" w:rsidRDefault="005400D8" w:rsidP="00704B82">
            <w:pPr>
              <w:spacing w:line="240" w:lineRule="auto"/>
              <w:rPr>
                <w:sz w:val="22"/>
              </w:rPr>
            </w:pPr>
            <w:r w:rsidRPr="00A014FD">
              <w:rPr>
                <w:sz w:val="22"/>
              </w:rPr>
              <w:t>226</w:t>
            </w:r>
          </w:p>
        </w:tc>
      </w:tr>
      <w:tr w:rsidR="005400D8" w:rsidRPr="00A014FD" w14:paraId="39D4DF41" w14:textId="77777777" w:rsidTr="00704B82">
        <w:trPr>
          <w:trHeight w:val="285"/>
        </w:trPr>
        <w:tc>
          <w:tcPr>
            <w:tcW w:w="13320" w:type="dxa"/>
            <w:noWrap/>
            <w:hideMark/>
          </w:tcPr>
          <w:p w14:paraId="5C556E21" w14:textId="77777777" w:rsidR="005400D8" w:rsidRPr="00A014FD" w:rsidRDefault="005400D8" w:rsidP="00704B82">
            <w:pPr>
              <w:spacing w:line="240" w:lineRule="auto"/>
              <w:rPr>
                <w:sz w:val="22"/>
              </w:rPr>
            </w:pPr>
            <w:r w:rsidRPr="00A014FD">
              <w:rPr>
                <w:sz w:val="22"/>
              </w:rPr>
              <w:t xml:space="preserve">Applying a mesoscopic transport model to </w:t>
            </w:r>
            <w:proofErr w:type="spellStart"/>
            <w:r w:rsidRPr="00A014FD">
              <w:rPr>
                <w:sz w:val="22"/>
              </w:rPr>
              <w:t>analyse</w:t>
            </w:r>
            <w:proofErr w:type="spellEnd"/>
            <w:r w:rsidRPr="00A014FD">
              <w:rPr>
                <w:sz w:val="22"/>
              </w:rPr>
              <w:t xml:space="preserve"> the effects of urban freight regulatory measures on transport </w:t>
            </w:r>
            <w:proofErr w:type="spellStart"/>
            <w:r w:rsidRPr="00A014FD">
              <w:rPr>
                <w:sz w:val="22"/>
              </w:rPr>
              <w:t>emissionsan</w:t>
            </w:r>
            <w:proofErr w:type="spellEnd"/>
            <w:r w:rsidRPr="00A014FD">
              <w:rPr>
                <w:sz w:val="22"/>
              </w:rPr>
              <w:t xml:space="preserve"> assessment</w:t>
            </w:r>
          </w:p>
        </w:tc>
        <w:tc>
          <w:tcPr>
            <w:tcW w:w="628" w:type="dxa"/>
            <w:noWrap/>
            <w:hideMark/>
          </w:tcPr>
          <w:p w14:paraId="546ECDAA" w14:textId="77777777" w:rsidR="005400D8" w:rsidRPr="00A014FD" w:rsidRDefault="005400D8" w:rsidP="00704B82">
            <w:pPr>
              <w:spacing w:line="240" w:lineRule="auto"/>
              <w:rPr>
                <w:sz w:val="22"/>
              </w:rPr>
            </w:pPr>
            <w:r w:rsidRPr="00A014FD">
              <w:rPr>
                <w:sz w:val="22"/>
              </w:rPr>
              <w:t>227</w:t>
            </w:r>
          </w:p>
        </w:tc>
      </w:tr>
      <w:tr w:rsidR="005400D8" w:rsidRPr="00A014FD" w14:paraId="3A81C514" w14:textId="77777777" w:rsidTr="00704B82">
        <w:trPr>
          <w:trHeight w:val="285"/>
        </w:trPr>
        <w:tc>
          <w:tcPr>
            <w:tcW w:w="13320" w:type="dxa"/>
            <w:noWrap/>
            <w:hideMark/>
          </w:tcPr>
          <w:p w14:paraId="36859B0D" w14:textId="77777777" w:rsidR="005400D8" w:rsidRPr="00A014FD" w:rsidRDefault="005400D8" w:rsidP="00704B82">
            <w:pPr>
              <w:spacing w:line="240" w:lineRule="auto"/>
              <w:rPr>
                <w:sz w:val="22"/>
              </w:rPr>
            </w:pPr>
            <w:r w:rsidRPr="00A014FD">
              <w:rPr>
                <w:sz w:val="22"/>
              </w:rPr>
              <w:t>Multi stakeholder collaboration in urban freight consolidation schemes: Drivers and barriers to implementation</w:t>
            </w:r>
          </w:p>
        </w:tc>
        <w:tc>
          <w:tcPr>
            <w:tcW w:w="628" w:type="dxa"/>
            <w:noWrap/>
            <w:hideMark/>
          </w:tcPr>
          <w:p w14:paraId="3E9A24C7" w14:textId="77777777" w:rsidR="005400D8" w:rsidRPr="00A014FD" w:rsidRDefault="005400D8" w:rsidP="00704B82">
            <w:pPr>
              <w:spacing w:line="240" w:lineRule="auto"/>
              <w:rPr>
                <w:sz w:val="22"/>
              </w:rPr>
            </w:pPr>
            <w:r w:rsidRPr="00A014FD">
              <w:rPr>
                <w:sz w:val="22"/>
              </w:rPr>
              <w:t>228</w:t>
            </w:r>
          </w:p>
        </w:tc>
      </w:tr>
      <w:tr w:rsidR="005400D8" w:rsidRPr="00A014FD" w14:paraId="268339A6" w14:textId="77777777" w:rsidTr="00704B82">
        <w:trPr>
          <w:trHeight w:val="285"/>
        </w:trPr>
        <w:tc>
          <w:tcPr>
            <w:tcW w:w="13320" w:type="dxa"/>
            <w:noWrap/>
            <w:hideMark/>
          </w:tcPr>
          <w:p w14:paraId="1F72617D" w14:textId="77777777" w:rsidR="005400D8" w:rsidRPr="00A014FD" w:rsidRDefault="005400D8" w:rsidP="00704B82">
            <w:pPr>
              <w:spacing w:line="240" w:lineRule="auto"/>
              <w:rPr>
                <w:sz w:val="22"/>
              </w:rPr>
            </w:pPr>
            <w:r w:rsidRPr="00A014FD">
              <w:rPr>
                <w:sz w:val="22"/>
              </w:rPr>
              <w:t>Sustainability assessment of retail logistics solutions using external costs analysis: a case study for the city of Antwerp</w:t>
            </w:r>
          </w:p>
        </w:tc>
        <w:tc>
          <w:tcPr>
            <w:tcW w:w="628" w:type="dxa"/>
            <w:noWrap/>
            <w:hideMark/>
          </w:tcPr>
          <w:p w14:paraId="0212CE5B" w14:textId="77777777" w:rsidR="005400D8" w:rsidRPr="00A014FD" w:rsidRDefault="005400D8" w:rsidP="00704B82">
            <w:pPr>
              <w:spacing w:line="240" w:lineRule="auto"/>
              <w:rPr>
                <w:sz w:val="22"/>
              </w:rPr>
            </w:pPr>
            <w:r w:rsidRPr="00A014FD">
              <w:rPr>
                <w:sz w:val="22"/>
              </w:rPr>
              <w:t>229</w:t>
            </w:r>
          </w:p>
        </w:tc>
      </w:tr>
      <w:tr w:rsidR="005400D8" w:rsidRPr="00A014FD" w14:paraId="77106E0E" w14:textId="77777777" w:rsidTr="00704B82">
        <w:trPr>
          <w:trHeight w:val="285"/>
        </w:trPr>
        <w:tc>
          <w:tcPr>
            <w:tcW w:w="13320" w:type="dxa"/>
            <w:noWrap/>
            <w:hideMark/>
          </w:tcPr>
          <w:p w14:paraId="13475ED1" w14:textId="77777777" w:rsidR="005400D8" w:rsidRPr="00A014FD" w:rsidRDefault="005400D8" w:rsidP="00704B82">
            <w:pPr>
              <w:spacing w:line="240" w:lineRule="auto"/>
              <w:rPr>
                <w:sz w:val="22"/>
              </w:rPr>
            </w:pPr>
            <w:r w:rsidRPr="00A014FD">
              <w:rPr>
                <w:sz w:val="22"/>
              </w:rPr>
              <w:t>Charge scheduling for electric freight vehicles</w:t>
            </w:r>
          </w:p>
        </w:tc>
        <w:tc>
          <w:tcPr>
            <w:tcW w:w="628" w:type="dxa"/>
            <w:noWrap/>
            <w:hideMark/>
          </w:tcPr>
          <w:p w14:paraId="340D234F" w14:textId="77777777" w:rsidR="005400D8" w:rsidRPr="00A014FD" w:rsidRDefault="005400D8" w:rsidP="00704B82">
            <w:pPr>
              <w:spacing w:line="240" w:lineRule="auto"/>
              <w:rPr>
                <w:sz w:val="22"/>
              </w:rPr>
            </w:pPr>
            <w:r w:rsidRPr="00A014FD">
              <w:rPr>
                <w:sz w:val="22"/>
              </w:rPr>
              <w:t>230</w:t>
            </w:r>
          </w:p>
        </w:tc>
      </w:tr>
      <w:tr w:rsidR="005400D8" w:rsidRPr="00A014FD" w14:paraId="681332CE" w14:textId="77777777" w:rsidTr="00704B82">
        <w:trPr>
          <w:trHeight w:val="285"/>
        </w:trPr>
        <w:tc>
          <w:tcPr>
            <w:tcW w:w="13320" w:type="dxa"/>
            <w:noWrap/>
            <w:hideMark/>
          </w:tcPr>
          <w:p w14:paraId="4C5AFF8E" w14:textId="77777777" w:rsidR="005400D8" w:rsidRPr="00A014FD" w:rsidRDefault="005400D8" w:rsidP="00704B82">
            <w:pPr>
              <w:spacing w:line="240" w:lineRule="auto"/>
              <w:rPr>
                <w:sz w:val="22"/>
              </w:rPr>
            </w:pPr>
            <w:r w:rsidRPr="00A014FD">
              <w:rPr>
                <w:sz w:val="22"/>
              </w:rPr>
              <w:t xml:space="preserve">A </w:t>
            </w:r>
            <w:proofErr w:type="spellStart"/>
            <w:r w:rsidRPr="00A014FD">
              <w:rPr>
                <w:sz w:val="22"/>
              </w:rPr>
              <w:t>sciento</w:t>
            </w:r>
            <w:proofErr w:type="spellEnd"/>
            <w:r w:rsidRPr="00A014FD">
              <w:rPr>
                <w:sz w:val="22"/>
              </w:rPr>
              <w:t xml:space="preserve"> metrics review on city logistics literature: Research trends, advanced </w:t>
            </w:r>
            <w:proofErr w:type="gramStart"/>
            <w:r w:rsidRPr="00A014FD">
              <w:rPr>
                <w:sz w:val="22"/>
              </w:rPr>
              <w:t>theory</w:t>
            </w:r>
            <w:proofErr w:type="gramEnd"/>
            <w:r w:rsidRPr="00A014FD">
              <w:rPr>
                <w:sz w:val="22"/>
              </w:rPr>
              <w:t xml:space="preserve"> and practice.</w:t>
            </w:r>
          </w:p>
        </w:tc>
        <w:tc>
          <w:tcPr>
            <w:tcW w:w="628" w:type="dxa"/>
            <w:noWrap/>
            <w:hideMark/>
          </w:tcPr>
          <w:p w14:paraId="5A0AB6C9" w14:textId="77777777" w:rsidR="005400D8" w:rsidRPr="00A014FD" w:rsidRDefault="005400D8" w:rsidP="00704B82">
            <w:pPr>
              <w:spacing w:line="240" w:lineRule="auto"/>
              <w:rPr>
                <w:sz w:val="22"/>
              </w:rPr>
            </w:pPr>
            <w:r w:rsidRPr="00A014FD">
              <w:rPr>
                <w:sz w:val="22"/>
              </w:rPr>
              <w:t>231</w:t>
            </w:r>
          </w:p>
        </w:tc>
      </w:tr>
      <w:tr w:rsidR="005400D8" w:rsidRPr="00A014FD" w14:paraId="3DED6988" w14:textId="77777777" w:rsidTr="00704B82">
        <w:trPr>
          <w:trHeight w:val="285"/>
        </w:trPr>
        <w:tc>
          <w:tcPr>
            <w:tcW w:w="13320" w:type="dxa"/>
            <w:noWrap/>
            <w:hideMark/>
          </w:tcPr>
          <w:p w14:paraId="4390F75B" w14:textId="77777777" w:rsidR="005400D8" w:rsidRPr="00A014FD" w:rsidRDefault="005400D8" w:rsidP="00704B82">
            <w:pPr>
              <w:spacing w:line="240" w:lineRule="auto"/>
              <w:rPr>
                <w:sz w:val="22"/>
              </w:rPr>
            </w:pPr>
            <w:r w:rsidRPr="00A014FD">
              <w:rPr>
                <w:sz w:val="22"/>
              </w:rPr>
              <w:t>Shared mobility for last mile delivery: Design, operational prescriptions, and environmental impact</w:t>
            </w:r>
          </w:p>
        </w:tc>
        <w:tc>
          <w:tcPr>
            <w:tcW w:w="628" w:type="dxa"/>
            <w:noWrap/>
            <w:hideMark/>
          </w:tcPr>
          <w:p w14:paraId="2B6E34D4" w14:textId="77777777" w:rsidR="005400D8" w:rsidRPr="00A014FD" w:rsidRDefault="005400D8" w:rsidP="00704B82">
            <w:pPr>
              <w:spacing w:line="240" w:lineRule="auto"/>
              <w:rPr>
                <w:sz w:val="22"/>
              </w:rPr>
            </w:pPr>
            <w:r w:rsidRPr="00A014FD">
              <w:rPr>
                <w:sz w:val="22"/>
              </w:rPr>
              <w:t>232</w:t>
            </w:r>
          </w:p>
        </w:tc>
      </w:tr>
      <w:tr w:rsidR="005400D8" w:rsidRPr="00A014FD" w14:paraId="5DCAFD57" w14:textId="77777777" w:rsidTr="00704B82">
        <w:trPr>
          <w:trHeight w:val="285"/>
        </w:trPr>
        <w:tc>
          <w:tcPr>
            <w:tcW w:w="13320" w:type="dxa"/>
            <w:noWrap/>
            <w:hideMark/>
          </w:tcPr>
          <w:p w14:paraId="57F648F1" w14:textId="77777777" w:rsidR="005400D8" w:rsidRPr="00A014FD" w:rsidRDefault="005400D8" w:rsidP="00704B82">
            <w:pPr>
              <w:spacing w:line="240" w:lineRule="auto"/>
              <w:rPr>
                <w:sz w:val="22"/>
              </w:rPr>
            </w:pPr>
            <w:r w:rsidRPr="00A014FD">
              <w:rPr>
                <w:sz w:val="22"/>
              </w:rPr>
              <w:t xml:space="preserve">On the mathematical modeling of green one </w:t>
            </w:r>
            <w:proofErr w:type="spellStart"/>
            <w:r w:rsidRPr="00A014FD">
              <w:rPr>
                <w:sz w:val="22"/>
              </w:rPr>
              <w:t>toone</w:t>
            </w:r>
            <w:proofErr w:type="spellEnd"/>
            <w:r w:rsidRPr="00A014FD">
              <w:rPr>
                <w:sz w:val="22"/>
              </w:rPr>
              <w:t xml:space="preserve"> pickup and delivery problem with road segmentation</w:t>
            </w:r>
          </w:p>
        </w:tc>
        <w:tc>
          <w:tcPr>
            <w:tcW w:w="628" w:type="dxa"/>
            <w:noWrap/>
            <w:hideMark/>
          </w:tcPr>
          <w:p w14:paraId="1E592AC8" w14:textId="77777777" w:rsidR="005400D8" w:rsidRPr="00A014FD" w:rsidRDefault="005400D8" w:rsidP="00704B82">
            <w:pPr>
              <w:spacing w:line="240" w:lineRule="auto"/>
              <w:rPr>
                <w:sz w:val="22"/>
              </w:rPr>
            </w:pPr>
            <w:r w:rsidRPr="00A014FD">
              <w:rPr>
                <w:sz w:val="22"/>
              </w:rPr>
              <w:t>233</w:t>
            </w:r>
          </w:p>
        </w:tc>
      </w:tr>
      <w:tr w:rsidR="005400D8" w:rsidRPr="00A014FD" w14:paraId="30B80B6D" w14:textId="77777777" w:rsidTr="00704B82">
        <w:trPr>
          <w:trHeight w:val="285"/>
        </w:trPr>
        <w:tc>
          <w:tcPr>
            <w:tcW w:w="13320" w:type="dxa"/>
            <w:noWrap/>
            <w:hideMark/>
          </w:tcPr>
          <w:p w14:paraId="4F65E5C5" w14:textId="77777777" w:rsidR="005400D8" w:rsidRPr="00A014FD" w:rsidRDefault="005400D8" w:rsidP="00704B82">
            <w:pPr>
              <w:spacing w:line="240" w:lineRule="auto"/>
              <w:rPr>
                <w:sz w:val="22"/>
              </w:rPr>
            </w:pPr>
            <w:r w:rsidRPr="00A014FD">
              <w:rPr>
                <w:sz w:val="22"/>
              </w:rPr>
              <w:t>Sizing of the drone delivery fleet considering energy autonomy</w:t>
            </w:r>
          </w:p>
        </w:tc>
        <w:tc>
          <w:tcPr>
            <w:tcW w:w="628" w:type="dxa"/>
            <w:noWrap/>
            <w:hideMark/>
          </w:tcPr>
          <w:p w14:paraId="132C9760" w14:textId="77777777" w:rsidR="005400D8" w:rsidRPr="00A014FD" w:rsidRDefault="005400D8" w:rsidP="00704B82">
            <w:pPr>
              <w:spacing w:line="240" w:lineRule="auto"/>
              <w:rPr>
                <w:sz w:val="22"/>
              </w:rPr>
            </w:pPr>
            <w:r w:rsidRPr="00A014FD">
              <w:rPr>
                <w:sz w:val="22"/>
              </w:rPr>
              <w:t>234</w:t>
            </w:r>
          </w:p>
        </w:tc>
      </w:tr>
      <w:tr w:rsidR="005400D8" w:rsidRPr="00A014FD" w14:paraId="1F3E48EC" w14:textId="77777777" w:rsidTr="00704B82">
        <w:trPr>
          <w:trHeight w:val="285"/>
        </w:trPr>
        <w:tc>
          <w:tcPr>
            <w:tcW w:w="13320" w:type="dxa"/>
            <w:noWrap/>
            <w:hideMark/>
          </w:tcPr>
          <w:p w14:paraId="1F9B2E5D" w14:textId="77777777" w:rsidR="005400D8" w:rsidRPr="00A014FD" w:rsidRDefault="005400D8" w:rsidP="00704B82">
            <w:pPr>
              <w:spacing w:line="240" w:lineRule="auto"/>
              <w:rPr>
                <w:sz w:val="22"/>
              </w:rPr>
            </w:pPr>
            <w:r w:rsidRPr="00A014FD">
              <w:rPr>
                <w:sz w:val="22"/>
              </w:rPr>
              <w:t xml:space="preserve">Different urban consolidation </w:t>
            </w:r>
            <w:proofErr w:type="spellStart"/>
            <w:r w:rsidRPr="00A014FD">
              <w:rPr>
                <w:sz w:val="22"/>
              </w:rPr>
              <w:t>centre</w:t>
            </w:r>
            <w:proofErr w:type="spellEnd"/>
            <w:r w:rsidRPr="00A014FD">
              <w:rPr>
                <w:sz w:val="22"/>
              </w:rPr>
              <w:t xml:space="preserve"> scenarios: Impact on external costs of last mile deliveries</w:t>
            </w:r>
          </w:p>
        </w:tc>
        <w:tc>
          <w:tcPr>
            <w:tcW w:w="628" w:type="dxa"/>
            <w:noWrap/>
            <w:hideMark/>
          </w:tcPr>
          <w:p w14:paraId="1F4E707E" w14:textId="77777777" w:rsidR="005400D8" w:rsidRPr="00A014FD" w:rsidRDefault="005400D8" w:rsidP="00704B82">
            <w:pPr>
              <w:spacing w:line="240" w:lineRule="auto"/>
              <w:rPr>
                <w:sz w:val="22"/>
              </w:rPr>
            </w:pPr>
            <w:r w:rsidRPr="00A014FD">
              <w:rPr>
                <w:sz w:val="22"/>
              </w:rPr>
              <w:t>235</w:t>
            </w:r>
          </w:p>
        </w:tc>
      </w:tr>
      <w:tr w:rsidR="005400D8" w:rsidRPr="00A014FD" w14:paraId="4DD9EFC9" w14:textId="77777777" w:rsidTr="00704B82">
        <w:trPr>
          <w:trHeight w:val="285"/>
        </w:trPr>
        <w:tc>
          <w:tcPr>
            <w:tcW w:w="13320" w:type="dxa"/>
            <w:noWrap/>
            <w:hideMark/>
          </w:tcPr>
          <w:p w14:paraId="33805396" w14:textId="77777777" w:rsidR="005400D8" w:rsidRPr="00A014FD" w:rsidRDefault="005400D8" w:rsidP="00704B82">
            <w:pPr>
              <w:spacing w:line="240" w:lineRule="auto"/>
              <w:rPr>
                <w:sz w:val="22"/>
              </w:rPr>
            </w:pPr>
            <w:r w:rsidRPr="00A014FD">
              <w:rPr>
                <w:sz w:val="22"/>
              </w:rPr>
              <w:t>Diversity in employment of electric commercial vehicles in urban freight transport: A literature review</w:t>
            </w:r>
          </w:p>
        </w:tc>
        <w:tc>
          <w:tcPr>
            <w:tcW w:w="628" w:type="dxa"/>
            <w:noWrap/>
            <w:hideMark/>
          </w:tcPr>
          <w:p w14:paraId="5D1370C4" w14:textId="77777777" w:rsidR="005400D8" w:rsidRPr="00A014FD" w:rsidRDefault="005400D8" w:rsidP="00704B82">
            <w:pPr>
              <w:spacing w:line="240" w:lineRule="auto"/>
              <w:rPr>
                <w:sz w:val="22"/>
              </w:rPr>
            </w:pPr>
            <w:r w:rsidRPr="00A014FD">
              <w:rPr>
                <w:sz w:val="22"/>
              </w:rPr>
              <w:t>236</w:t>
            </w:r>
          </w:p>
        </w:tc>
      </w:tr>
      <w:tr w:rsidR="005400D8" w:rsidRPr="00A014FD" w14:paraId="5A649310" w14:textId="77777777" w:rsidTr="00704B82">
        <w:trPr>
          <w:trHeight w:val="285"/>
        </w:trPr>
        <w:tc>
          <w:tcPr>
            <w:tcW w:w="13320" w:type="dxa"/>
            <w:noWrap/>
            <w:hideMark/>
          </w:tcPr>
          <w:p w14:paraId="3CD0D107" w14:textId="77777777" w:rsidR="005400D8" w:rsidRPr="00A014FD" w:rsidRDefault="005400D8" w:rsidP="00704B82">
            <w:pPr>
              <w:spacing w:line="240" w:lineRule="auto"/>
              <w:rPr>
                <w:sz w:val="22"/>
              </w:rPr>
            </w:pPr>
            <w:r w:rsidRPr="00A014FD">
              <w:rPr>
                <w:sz w:val="22"/>
              </w:rPr>
              <w:t>Implementation of cooperation for recycling vehicle routing optimization in two echelon reverse logistics networks</w:t>
            </w:r>
          </w:p>
        </w:tc>
        <w:tc>
          <w:tcPr>
            <w:tcW w:w="628" w:type="dxa"/>
            <w:noWrap/>
            <w:hideMark/>
          </w:tcPr>
          <w:p w14:paraId="31EFDFAC" w14:textId="77777777" w:rsidR="005400D8" w:rsidRPr="00A014FD" w:rsidRDefault="005400D8" w:rsidP="00704B82">
            <w:pPr>
              <w:spacing w:line="240" w:lineRule="auto"/>
              <w:rPr>
                <w:sz w:val="22"/>
              </w:rPr>
            </w:pPr>
            <w:r w:rsidRPr="00A014FD">
              <w:rPr>
                <w:sz w:val="22"/>
              </w:rPr>
              <w:t>237</w:t>
            </w:r>
          </w:p>
        </w:tc>
      </w:tr>
      <w:tr w:rsidR="005400D8" w:rsidRPr="00A014FD" w14:paraId="6F764838" w14:textId="77777777" w:rsidTr="00704B82">
        <w:trPr>
          <w:trHeight w:val="285"/>
        </w:trPr>
        <w:tc>
          <w:tcPr>
            <w:tcW w:w="13320" w:type="dxa"/>
            <w:noWrap/>
            <w:hideMark/>
          </w:tcPr>
          <w:p w14:paraId="5F6AB4E3" w14:textId="77777777" w:rsidR="005400D8" w:rsidRPr="00A014FD" w:rsidRDefault="005400D8" w:rsidP="00704B82">
            <w:pPr>
              <w:spacing w:line="240" w:lineRule="auto"/>
              <w:rPr>
                <w:sz w:val="22"/>
              </w:rPr>
            </w:pPr>
            <w:r w:rsidRPr="00A014FD">
              <w:rPr>
                <w:sz w:val="22"/>
              </w:rPr>
              <w:t>Collaboration and transportation resource sharing in multiple centers vehicle routing optimization with delivery and pickup</w:t>
            </w:r>
          </w:p>
        </w:tc>
        <w:tc>
          <w:tcPr>
            <w:tcW w:w="628" w:type="dxa"/>
            <w:noWrap/>
            <w:hideMark/>
          </w:tcPr>
          <w:p w14:paraId="1BAA4DC5" w14:textId="77777777" w:rsidR="005400D8" w:rsidRPr="00A014FD" w:rsidRDefault="005400D8" w:rsidP="00704B82">
            <w:pPr>
              <w:spacing w:line="240" w:lineRule="auto"/>
              <w:rPr>
                <w:sz w:val="22"/>
              </w:rPr>
            </w:pPr>
            <w:r w:rsidRPr="00A014FD">
              <w:rPr>
                <w:sz w:val="22"/>
              </w:rPr>
              <w:t>238</w:t>
            </w:r>
          </w:p>
        </w:tc>
      </w:tr>
      <w:tr w:rsidR="005400D8" w:rsidRPr="00A014FD" w14:paraId="6DE84993" w14:textId="77777777" w:rsidTr="00704B82">
        <w:trPr>
          <w:trHeight w:val="285"/>
        </w:trPr>
        <w:tc>
          <w:tcPr>
            <w:tcW w:w="13320" w:type="dxa"/>
            <w:noWrap/>
            <w:hideMark/>
          </w:tcPr>
          <w:p w14:paraId="27BD7B64" w14:textId="77777777" w:rsidR="005400D8" w:rsidRPr="00A014FD" w:rsidRDefault="005400D8" w:rsidP="00704B82">
            <w:pPr>
              <w:spacing w:line="240" w:lineRule="auto"/>
              <w:rPr>
                <w:sz w:val="22"/>
              </w:rPr>
            </w:pPr>
            <w:r w:rsidRPr="00A014FD">
              <w:rPr>
                <w:sz w:val="22"/>
              </w:rPr>
              <w:lastRenderedPageBreak/>
              <w:t>The impact of freight vehicle access restriction on the sustainability of Jakarta intra urban toll way system</w:t>
            </w:r>
          </w:p>
        </w:tc>
        <w:tc>
          <w:tcPr>
            <w:tcW w:w="628" w:type="dxa"/>
            <w:noWrap/>
            <w:hideMark/>
          </w:tcPr>
          <w:p w14:paraId="2B33664C" w14:textId="77777777" w:rsidR="005400D8" w:rsidRPr="00A014FD" w:rsidRDefault="005400D8" w:rsidP="00704B82">
            <w:pPr>
              <w:spacing w:line="240" w:lineRule="auto"/>
              <w:rPr>
                <w:sz w:val="22"/>
              </w:rPr>
            </w:pPr>
            <w:r w:rsidRPr="00A014FD">
              <w:rPr>
                <w:sz w:val="22"/>
              </w:rPr>
              <w:t>239</w:t>
            </w:r>
          </w:p>
        </w:tc>
      </w:tr>
      <w:tr w:rsidR="005400D8" w:rsidRPr="00A014FD" w14:paraId="380097A6" w14:textId="77777777" w:rsidTr="00704B82">
        <w:trPr>
          <w:trHeight w:val="285"/>
        </w:trPr>
        <w:tc>
          <w:tcPr>
            <w:tcW w:w="13320" w:type="dxa"/>
            <w:noWrap/>
            <w:hideMark/>
          </w:tcPr>
          <w:p w14:paraId="035B6FB0" w14:textId="77777777" w:rsidR="005400D8" w:rsidRPr="00A014FD" w:rsidRDefault="005400D8" w:rsidP="00704B82">
            <w:pPr>
              <w:spacing w:line="240" w:lineRule="auto"/>
              <w:rPr>
                <w:sz w:val="22"/>
              </w:rPr>
            </w:pPr>
            <w:r w:rsidRPr="00A014FD">
              <w:rPr>
                <w:sz w:val="22"/>
              </w:rPr>
              <w:t>Collaboration in urban distribution of online grocery orders</w:t>
            </w:r>
          </w:p>
        </w:tc>
        <w:tc>
          <w:tcPr>
            <w:tcW w:w="628" w:type="dxa"/>
            <w:noWrap/>
            <w:hideMark/>
          </w:tcPr>
          <w:p w14:paraId="65D859F9" w14:textId="77777777" w:rsidR="005400D8" w:rsidRPr="00A014FD" w:rsidRDefault="005400D8" w:rsidP="00704B82">
            <w:pPr>
              <w:spacing w:line="240" w:lineRule="auto"/>
              <w:rPr>
                <w:sz w:val="22"/>
              </w:rPr>
            </w:pPr>
            <w:r w:rsidRPr="00A014FD">
              <w:rPr>
                <w:sz w:val="22"/>
              </w:rPr>
              <w:t>240</w:t>
            </w:r>
          </w:p>
        </w:tc>
      </w:tr>
      <w:tr w:rsidR="005400D8" w:rsidRPr="00A014FD" w14:paraId="7D28E9FB" w14:textId="77777777" w:rsidTr="00704B82">
        <w:trPr>
          <w:trHeight w:val="285"/>
        </w:trPr>
        <w:tc>
          <w:tcPr>
            <w:tcW w:w="13320" w:type="dxa"/>
            <w:noWrap/>
            <w:hideMark/>
          </w:tcPr>
          <w:p w14:paraId="09C68E41" w14:textId="77777777" w:rsidR="005400D8" w:rsidRPr="00A014FD" w:rsidRDefault="005400D8" w:rsidP="00704B82">
            <w:pPr>
              <w:spacing w:line="240" w:lineRule="auto"/>
              <w:rPr>
                <w:sz w:val="22"/>
              </w:rPr>
            </w:pPr>
            <w:r w:rsidRPr="00A014FD">
              <w:rPr>
                <w:sz w:val="22"/>
              </w:rPr>
              <w:t>Innovative Scheme for Efficient Freight Movement and Sustainable Emissions Management</w:t>
            </w:r>
          </w:p>
        </w:tc>
        <w:tc>
          <w:tcPr>
            <w:tcW w:w="628" w:type="dxa"/>
            <w:noWrap/>
            <w:hideMark/>
          </w:tcPr>
          <w:p w14:paraId="214C0A03" w14:textId="77777777" w:rsidR="005400D8" w:rsidRPr="00A014FD" w:rsidRDefault="005400D8" w:rsidP="00704B82">
            <w:pPr>
              <w:spacing w:line="240" w:lineRule="auto"/>
              <w:rPr>
                <w:sz w:val="22"/>
              </w:rPr>
            </w:pPr>
            <w:r w:rsidRPr="00A014FD">
              <w:rPr>
                <w:sz w:val="22"/>
              </w:rPr>
              <w:t>241</w:t>
            </w:r>
          </w:p>
        </w:tc>
      </w:tr>
      <w:tr w:rsidR="005400D8" w:rsidRPr="00A014FD" w14:paraId="7F2128DD" w14:textId="77777777" w:rsidTr="00704B82">
        <w:trPr>
          <w:trHeight w:val="285"/>
        </w:trPr>
        <w:tc>
          <w:tcPr>
            <w:tcW w:w="13320" w:type="dxa"/>
            <w:noWrap/>
            <w:hideMark/>
          </w:tcPr>
          <w:p w14:paraId="25A53AAC" w14:textId="77777777" w:rsidR="005400D8" w:rsidRPr="00A014FD" w:rsidRDefault="005400D8" w:rsidP="00704B82">
            <w:pPr>
              <w:spacing w:line="240" w:lineRule="auto"/>
              <w:rPr>
                <w:sz w:val="22"/>
              </w:rPr>
            </w:pPr>
            <w:r w:rsidRPr="00A014FD">
              <w:rPr>
                <w:sz w:val="22"/>
              </w:rPr>
              <w:t xml:space="preserve">Multi objective optimization of a </w:t>
            </w:r>
            <w:proofErr w:type="gramStart"/>
            <w:r w:rsidRPr="00A014FD">
              <w:rPr>
                <w:sz w:val="22"/>
              </w:rPr>
              <w:t>two echelon</w:t>
            </w:r>
            <w:proofErr w:type="gramEnd"/>
            <w:r w:rsidRPr="00A014FD">
              <w:rPr>
                <w:sz w:val="22"/>
              </w:rPr>
              <w:t xml:space="preserve"> vehicle routing problem with vehicle synchronization and ‘grey zone’ customers arising in urban logistics</w:t>
            </w:r>
          </w:p>
        </w:tc>
        <w:tc>
          <w:tcPr>
            <w:tcW w:w="628" w:type="dxa"/>
            <w:noWrap/>
            <w:hideMark/>
          </w:tcPr>
          <w:p w14:paraId="4EC88EF5" w14:textId="77777777" w:rsidR="005400D8" w:rsidRPr="00A014FD" w:rsidRDefault="005400D8" w:rsidP="00704B82">
            <w:pPr>
              <w:spacing w:line="240" w:lineRule="auto"/>
              <w:rPr>
                <w:sz w:val="22"/>
              </w:rPr>
            </w:pPr>
            <w:r w:rsidRPr="00A014FD">
              <w:rPr>
                <w:sz w:val="22"/>
              </w:rPr>
              <w:t>242</w:t>
            </w:r>
          </w:p>
        </w:tc>
      </w:tr>
      <w:tr w:rsidR="005400D8" w:rsidRPr="00A014FD" w14:paraId="3543132A" w14:textId="77777777" w:rsidTr="00704B82">
        <w:trPr>
          <w:trHeight w:val="285"/>
        </w:trPr>
        <w:tc>
          <w:tcPr>
            <w:tcW w:w="13320" w:type="dxa"/>
            <w:noWrap/>
            <w:hideMark/>
          </w:tcPr>
          <w:p w14:paraId="36299AA6" w14:textId="77777777" w:rsidR="005400D8" w:rsidRPr="00A014FD" w:rsidRDefault="005400D8" w:rsidP="00704B82">
            <w:pPr>
              <w:spacing w:line="240" w:lineRule="auto"/>
              <w:rPr>
                <w:sz w:val="22"/>
              </w:rPr>
            </w:pPr>
            <w:r w:rsidRPr="00A014FD">
              <w:rPr>
                <w:sz w:val="22"/>
              </w:rPr>
              <w:t>Energy consumption estimation integrated into the Electric Vehicle Routing Problem</w:t>
            </w:r>
          </w:p>
        </w:tc>
        <w:tc>
          <w:tcPr>
            <w:tcW w:w="628" w:type="dxa"/>
            <w:noWrap/>
            <w:hideMark/>
          </w:tcPr>
          <w:p w14:paraId="751EAF96" w14:textId="77777777" w:rsidR="005400D8" w:rsidRPr="00A014FD" w:rsidRDefault="005400D8" w:rsidP="00704B82">
            <w:pPr>
              <w:spacing w:line="240" w:lineRule="auto"/>
              <w:rPr>
                <w:sz w:val="22"/>
              </w:rPr>
            </w:pPr>
            <w:r w:rsidRPr="00A014FD">
              <w:rPr>
                <w:sz w:val="22"/>
              </w:rPr>
              <w:t>243</w:t>
            </w:r>
          </w:p>
        </w:tc>
      </w:tr>
      <w:tr w:rsidR="005400D8" w:rsidRPr="00A014FD" w14:paraId="55A86EE1" w14:textId="77777777" w:rsidTr="00704B82">
        <w:trPr>
          <w:trHeight w:val="285"/>
        </w:trPr>
        <w:tc>
          <w:tcPr>
            <w:tcW w:w="13320" w:type="dxa"/>
            <w:noWrap/>
            <w:hideMark/>
          </w:tcPr>
          <w:p w14:paraId="69430DE5" w14:textId="77777777" w:rsidR="005400D8" w:rsidRPr="00A014FD" w:rsidRDefault="005400D8" w:rsidP="00704B82">
            <w:pPr>
              <w:spacing w:line="240" w:lineRule="auto"/>
              <w:rPr>
                <w:sz w:val="22"/>
              </w:rPr>
            </w:pPr>
            <w:r w:rsidRPr="00A014FD">
              <w:rPr>
                <w:sz w:val="22"/>
              </w:rPr>
              <w:t>A sustainable crowdsourced delivery system to foster free floating bike-sharing</w:t>
            </w:r>
          </w:p>
        </w:tc>
        <w:tc>
          <w:tcPr>
            <w:tcW w:w="628" w:type="dxa"/>
            <w:noWrap/>
            <w:hideMark/>
          </w:tcPr>
          <w:p w14:paraId="4C78E9A6" w14:textId="77777777" w:rsidR="005400D8" w:rsidRPr="00A014FD" w:rsidRDefault="005400D8" w:rsidP="00704B82">
            <w:pPr>
              <w:spacing w:line="240" w:lineRule="auto"/>
              <w:rPr>
                <w:sz w:val="22"/>
              </w:rPr>
            </w:pPr>
            <w:r w:rsidRPr="00A014FD">
              <w:rPr>
                <w:sz w:val="22"/>
              </w:rPr>
              <w:t>244</w:t>
            </w:r>
          </w:p>
        </w:tc>
      </w:tr>
      <w:tr w:rsidR="005400D8" w:rsidRPr="00A014FD" w14:paraId="68E4C9E7" w14:textId="77777777" w:rsidTr="00704B82">
        <w:trPr>
          <w:trHeight w:val="285"/>
        </w:trPr>
        <w:tc>
          <w:tcPr>
            <w:tcW w:w="13320" w:type="dxa"/>
            <w:noWrap/>
            <w:hideMark/>
          </w:tcPr>
          <w:p w14:paraId="39B284F5" w14:textId="77777777" w:rsidR="005400D8" w:rsidRPr="00A014FD" w:rsidRDefault="005400D8" w:rsidP="00704B82">
            <w:pPr>
              <w:spacing w:line="240" w:lineRule="auto"/>
              <w:rPr>
                <w:sz w:val="22"/>
              </w:rPr>
            </w:pPr>
            <w:r w:rsidRPr="00A014FD">
              <w:rPr>
                <w:sz w:val="22"/>
              </w:rPr>
              <w:t>A managerial analysis of urban parcel delivery: A lean business approach</w:t>
            </w:r>
          </w:p>
        </w:tc>
        <w:tc>
          <w:tcPr>
            <w:tcW w:w="628" w:type="dxa"/>
            <w:noWrap/>
            <w:hideMark/>
          </w:tcPr>
          <w:p w14:paraId="10A36EF8" w14:textId="77777777" w:rsidR="005400D8" w:rsidRPr="00A014FD" w:rsidRDefault="005400D8" w:rsidP="00704B82">
            <w:pPr>
              <w:spacing w:line="240" w:lineRule="auto"/>
              <w:rPr>
                <w:sz w:val="22"/>
              </w:rPr>
            </w:pPr>
            <w:r w:rsidRPr="00A014FD">
              <w:rPr>
                <w:sz w:val="22"/>
              </w:rPr>
              <w:t>245</w:t>
            </w:r>
          </w:p>
        </w:tc>
      </w:tr>
      <w:tr w:rsidR="005400D8" w:rsidRPr="00A014FD" w14:paraId="37D1034C" w14:textId="77777777" w:rsidTr="00704B82">
        <w:trPr>
          <w:trHeight w:val="285"/>
        </w:trPr>
        <w:tc>
          <w:tcPr>
            <w:tcW w:w="13320" w:type="dxa"/>
            <w:noWrap/>
            <w:hideMark/>
          </w:tcPr>
          <w:p w14:paraId="2C228A65" w14:textId="77777777" w:rsidR="005400D8" w:rsidRPr="00A014FD" w:rsidRDefault="005400D8" w:rsidP="00704B82">
            <w:pPr>
              <w:spacing w:line="240" w:lineRule="auto"/>
              <w:rPr>
                <w:sz w:val="22"/>
              </w:rPr>
            </w:pPr>
            <w:r w:rsidRPr="00A014FD">
              <w:rPr>
                <w:sz w:val="22"/>
              </w:rPr>
              <w:t>Special issue on recent advances in urban transport and logistics through optimization and analytics</w:t>
            </w:r>
          </w:p>
        </w:tc>
        <w:tc>
          <w:tcPr>
            <w:tcW w:w="628" w:type="dxa"/>
            <w:noWrap/>
            <w:hideMark/>
          </w:tcPr>
          <w:p w14:paraId="4424189C" w14:textId="77777777" w:rsidR="005400D8" w:rsidRPr="00A014FD" w:rsidRDefault="005400D8" w:rsidP="00704B82">
            <w:pPr>
              <w:spacing w:line="240" w:lineRule="auto"/>
              <w:rPr>
                <w:sz w:val="22"/>
              </w:rPr>
            </w:pPr>
            <w:r w:rsidRPr="00A014FD">
              <w:rPr>
                <w:sz w:val="22"/>
              </w:rPr>
              <w:t>246</w:t>
            </w:r>
          </w:p>
        </w:tc>
      </w:tr>
      <w:tr w:rsidR="005400D8" w:rsidRPr="00A014FD" w14:paraId="13777D95" w14:textId="77777777" w:rsidTr="00704B82">
        <w:trPr>
          <w:trHeight w:val="285"/>
        </w:trPr>
        <w:tc>
          <w:tcPr>
            <w:tcW w:w="13320" w:type="dxa"/>
            <w:noWrap/>
            <w:hideMark/>
          </w:tcPr>
          <w:p w14:paraId="6878404A" w14:textId="77777777" w:rsidR="005400D8" w:rsidRPr="00A014FD" w:rsidRDefault="005400D8" w:rsidP="00704B82">
            <w:pPr>
              <w:spacing w:line="240" w:lineRule="auto"/>
              <w:rPr>
                <w:sz w:val="22"/>
              </w:rPr>
            </w:pPr>
            <w:r w:rsidRPr="00A014FD">
              <w:rPr>
                <w:sz w:val="22"/>
              </w:rPr>
              <w:t>Collaborative urban transportation: Recent advances in theory and practice</w:t>
            </w:r>
          </w:p>
        </w:tc>
        <w:tc>
          <w:tcPr>
            <w:tcW w:w="628" w:type="dxa"/>
            <w:noWrap/>
            <w:hideMark/>
          </w:tcPr>
          <w:p w14:paraId="6847543C" w14:textId="77777777" w:rsidR="005400D8" w:rsidRPr="00A014FD" w:rsidRDefault="005400D8" w:rsidP="00704B82">
            <w:pPr>
              <w:spacing w:line="240" w:lineRule="auto"/>
              <w:rPr>
                <w:sz w:val="22"/>
              </w:rPr>
            </w:pPr>
            <w:r w:rsidRPr="00A014FD">
              <w:rPr>
                <w:sz w:val="22"/>
              </w:rPr>
              <w:t>247</w:t>
            </w:r>
          </w:p>
        </w:tc>
      </w:tr>
      <w:tr w:rsidR="005400D8" w:rsidRPr="00A014FD" w14:paraId="787C49A2" w14:textId="77777777" w:rsidTr="00704B82">
        <w:trPr>
          <w:trHeight w:val="285"/>
        </w:trPr>
        <w:tc>
          <w:tcPr>
            <w:tcW w:w="13320" w:type="dxa"/>
            <w:noWrap/>
            <w:hideMark/>
          </w:tcPr>
          <w:p w14:paraId="6A19734D" w14:textId="77777777" w:rsidR="005400D8" w:rsidRPr="00A014FD" w:rsidRDefault="005400D8" w:rsidP="00704B82">
            <w:pPr>
              <w:spacing w:line="240" w:lineRule="auto"/>
              <w:rPr>
                <w:sz w:val="22"/>
              </w:rPr>
            </w:pPr>
            <w:r w:rsidRPr="00A014FD">
              <w:rPr>
                <w:sz w:val="22"/>
              </w:rPr>
              <w:t>Influence of urban form on urban freight trip generation</w:t>
            </w:r>
          </w:p>
        </w:tc>
        <w:tc>
          <w:tcPr>
            <w:tcW w:w="628" w:type="dxa"/>
            <w:noWrap/>
            <w:hideMark/>
          </w:tcPr>
          <w:p w14:paraId="6D693752" w14:textId="77777777" w:rsidR="005400D8" w:rsidRPr="00A014FD" w:rsidRDefault="005400D8" w:rsidP="00704B82">
            <w:pPr>
              <w:spacing w:line="240" w:lineRule="auto"/>
              <w:rPr>
                <w:sz w:val="22"/>
              </w:rPr>
            </w:pPr>
            <w:r w:rsidRPr="00A014FD">
              <w:rPr>
                <w:sz w:val="22"/>
              </w:rPr>
              <w:t>248</w:t>
            </w:r>
          </w:p>
        </w:tc>
      </w:tr>
      <w:tr w:rsidR="005400D8" w:rsidRPr="00A014FD" w14:paraId="469FBAE5" w14:textId="77777777" w:rsidTr="00704B82">
        <w:trPr>
          <w:trHeight w:val="285"/>
        </w:trPr>
        <w:tc>
          <w:tcPr>
            <w:tcW w:w="13320" w:type="dxa"/>
            <w:noWrap/>
            <w:hideMark/>
          </w:tcPr>
          <w:p w14:paraId="5321CE00" w14:textId="77777777" w:rsidR="005400D8" w:rsidRPr="00A014FD" w:rsidRDefault="005400D8" w:rsidP="00704B82">
            <w:pPr>
              <w:spacing w:line="240" w:lineRule="auto"/>
              <w:rPr>
                <w:sz w:val="22"/>
              </w:rPr>
            </w:pPr>
            <w:r w:rsidRPr="00A014FD">
              <w:rPr>
                <w:sz w:val="22"/>
              </w:rPr>
              <w:t>Integration of urban freight innovations: Sustainable inner urban intermodal transportation in the retail/postal industry</w:t>
            </w:r>
          </w:p>
        </w:tc>
        <w:tc>
          <w:tcPr>
            <w:tcW w:w="628" w:type="dxa"/>
            <w:noWrap/>
            <w:hideMark/>
          </w:tcPr>
          <w:p w14:paraId="52E8C378" w14:textId="77777777" w:rsidR="005400D8" w:rsidRPr="00A014FD" w:rsidRDefault="005400D8" w:rsidP="00704B82">
            <w:pPr>
              <w:spacing w:line="240" w:lineRule="auto"/>
              <w:rPr>
                <w:sz w:val="22"/>
              </w:rPr>
            </w:pPr>
            <w:r w:rsidRPr="00A014FD">
              <w:rPr>
                <w:sz w:val="22"/>
              </w:rPr>
              <w:t>249</w:t>
            </w:r>
          </w:p>
        </w:tc>
      </w:tr>
      <w:tr w:rsidR="005400D8" w:rsidRPr="00A014FD" w14:paraId="4607C90D" w14:textId="77777777" w:rsidTr="00704B82">
        <w:trPr>
          <w:trHeight w:val="285"/>
        </w:trPr>
        <w:tc>
          <w:tcPr>
            <w:tcW w:w="13320" w:type="dxa"/>
            <w:noWrap/>
            <w:hideMark/>
          </w:tcPr>
          <w:p w14:paraId="78D1B708" w14:textId="77777777" w:rsidR="005400D8" w:rsidRPr="00A014FD" w:rsidRDefault="005400D8" w:rsidP="00704B82">
            <w:pPr>
              <w:spacing w:line="240" w:lineRule="auto"/>
              <w:rPr>
                <w:sz w:val="22"/>
              </w:rPr>
            </w:pPr>
            <w:r w:rsidRPr="00A014FD">
              <w:rPr>
                <w:sz w:val="22"/>
              </w:rPr>
              <w:t>Electric vehicles in the last mile of urban freight transportation: A sustainability assessment of postal deliveries in Rio de Janeiro Brazil</w:t>
            </w:r>
          </w:p>
        </w:tc>
        <w:tc>
          <w:tcPr>
            <w:tcW w:w="628" w:type="dxa"/>
            <w:noWrap/>
            <w:hideMark/>
          </w:tcPr>
          <w:p w14:paraId="2067B7ED" w14:textId="77777777" w:rsidR="005400D8" w:rsidRPr="00A014FD" w:rsidRDefault="005400D8" w:rsidP="00704B82">
            <w:pPr>
              <w:spacing w:line="240" w:lineRule="auto"/>
              <w:rPr>
                <w:sz w:val="22"/>
              </w:rPr>
            </w:pPr>
            <w:r w:rsidRPr="00A014FD">
              <w:rPr>
                <w:sz w:val="22"/>
              </w:rPr>
              <w:t>250</w:t>
            </w:r>
          </w:p>
        </w:tc>
      </w:tr>
      <w:tr w:rsidR="005400D8" w:rsidRPr="00A014FD" w14:paraId="286D8D4E" w14:textId="77777777" w:rsidTr="00704B82">
        <w:trPr>
          <w:trHeight w:val="285"/>
        </w:trPr>
        <w:tc>
          <w:tcPr>
            <w:tcW w:w="13320" w:type="dxa"/>
            <w:noWrap/>
            <w:hideMark/>
          </w:tcPr>
          <w:p w14:paraId="33B8DC47" w14:textId="77777777" w:rsidR="005400D8" w:rsidRPr="00A014FD" w:rsidRDefault="005400D8" w:rsidP="00704B82">
            <w:pPr>
              <w:spacing w:line="240" w:lineRule="auto"/>
              <w:rPr>
                <w:sz w:val="22"/>
              </w:rPr>
            </w:pPr>
            <w:r w:rsidRPr="00A014FD">
              <w:rPr>
                <w:sz w:val="22"/>
              </w:rPr>
              <w:t>The impact of underground logistics system on urban sustainable development: A system dynamics approach</w:t>
            </w:r>
          </w:p>
        </w:tc>
        <w:tc>
          <w:tcPr>
            <w:tcW w:w="628" w:type="dxa"/>
            <w:noWrap/>
            <w:hideMark/>
          </w:tcPr>
          <w:p w14:paraId="55E7607D" w14:textId="77777777" w:rsidR="005400D8" w:rsidRPr="00A014FD" w:rsidRDefault="005400D8" w:rsidP="00704B82">
            <w:pPr>
              <w:spacing w:line="240" w:lineRule="auto"/>
              <w:rPr>
                <w:sz w:val="22"/>
              </w:rPr>
            </w:pPr>
            <w:r w:rsidRPr="00A014FD">
              <w:rPr>
                <w:sz w:val="22"/>
              </w:rPr>
              <w:t>251</w:t>
            </w:r>
          </w:p>
        </w:tc>
      </w:tr>
      <w:tr w:rsidR="005400D8" w:rsidRPr="00A014FD" w14:paraId="6A5B16F0" w14:textId="77777777" w:rsidTr="00704B82">
        <w:trPr>
          <w:trHeight w:val="285"/>
        </w:trPr>
        <w:tc>
          <w:tcPr>
            <w:tcW w:w="13320" w:type="dxa"/>
            <w:noWrap/>
            <w:hideMark/>
          </w:tcPr>
          <w:p w14:paraId="0DD2A069" w14:textId="77777777" w:rsidR="005400D8" w:rsidRPr="00A014FD" w:rsidRDefault="005400D8" w:rsidP="00704B82">
            <w:pPr>
              <w:spacing w:line="240" w:lineRule="auto"/>
              <w:rPr>
                <w:sz w:val="22"/>
              </w:rPr>
            </w:pPr>
            <w:r w:rsidRPr="00A014FD">
              <w:rPr>
                <w:sz w:val="22"/>
              </w:rPr>
              <w:t xml:space="preserve">Sustainable urban freight transport adopting public </w:t>
            </w:r>
            <w:proofErr w:type="gramStart"/>
            <w:r w:rsidRPr="00A014FD">
              <w:rPr>
                <w:sz w:val="22"/>
              </w:rPr>
              <w:t>transport based</w:t>
            </w:r>
            <w:proofErr w:type="gramEnd"/>
            <w:r w:rsidRPr="00A014FD">
              <w:rPr>
                <w:sz w:val="22"/>
              </w:rPr>
              <w:t xml:space="preserve"> crowd shipping for B2C deliveries</w:t>
            </w:r>
          </w:p>
        </w:tc>
        <w:tc>
          <w:tcPr>
            <w:tcW w:w="628" w:type="dxa"/>
            <w:noWrap/>
            <w:hideMark/>
          </w:tcPr>
          <w:p w14:paraId="6460A306" w14:textId="77777777" w:rsidR="005400D8" w:rsidRPr="00A014FD" w:rsidRDefault="005400D8" w:rsidP="00704B82">
            <w:pPr>
              <w:spacing w:line="240" w:lineRule="auto"/>
              <w:rPr>
                <w:sz w:val="22"/>
              </w:rPr>
            </w:pPr>
            <w:r w:rsidRPr="00A014FD">
              <w:rPr>
                <w:sz w:val="22"/>
              </w:rPr>
              <w:t>252</w:t>
            </w:r>
          </w:p>
        </w:tc>
      </w:tr>
      <w:tr w:rsidR="005400D8" w:rsidRPr="00A014FD" w14:paraId="4D0C6D13" w14:textId="77777777" w:rsidTr="00704B82">
        <w:trPr>
          <w:trHeight w:val="285"/>
        </w:trPr>
        <w:tc>
          <w:tcPr>
            <w:tcW w:w="13320" w:type="dxa"/>
            <w:noWrap/>
            <w:hideMark/>
          </w:tcPr>
          <w:p w14:paraId="438BD565" w14:textId="77777777" w:rsidR="005400D8" w:rsidRPr="00A014FD" w:rsidRDefault="005400D8" w:rsidP="00704B82">
            <w:pPr>
              <w:spacing w:line="240" w:lineRule="auto"/>
              <w:rPr>
                <w:sz w:val="22"/>
              </w:rPr>
            </w:pPr>
            <w:r w:rsidRPr="00A014FD">
              <w:rPr>
                <w:sz w:val="22"/>
              </w:rPr>
              <w:t>Granular tabu search for the pickup and delivery problem with time windows and electric vehicles</w:t>
            </w:r>
          </w:p>
        </w:tc>
        <w:tc>
          <w:tcPr>
            <w:tcW w:w="628" w:type="dxa"/>
            <w:noWrap/>
            <w:hideMark/>
          </w:tcPr>
          <w:p w14:paraId="66866638" w14:textId="77777777" w:rsidR="005400D8" w:rsidRPr="00A014FD" w:rsidRDefault="005400D8" w:rsidP="00704B82">
            <w:pPr>
              <w:spacing w:line="240" w:lineRule="auto"/>
              <w:rPr>
                <w:sz w:val="22"/>
              </w:rPr>
            </w:pPr>
            <w:r w:rsidRPr="00A014FD">
              <w:rPr>
                <w:sz w:val="22"/>
              </w:rPr>
              <w:t>253</w:t>
            </w:r>
          </w:p>
        </w:tc>
      </w:tr>
    </w:tbl>
    <w:p w14:paraId="70C15FF8" w14:textId="6188BABD" w:rsidR="005400D8" w:rsidRPr="005146BA" w:rsidRDefault="005400D8" w:rsidP="005400D8">
      <w:pPr>
        <w:jc w:val="center"/>
        <w:rPr>
          <w:b/>
          <w:sz w:val="22"/>
        </w:rPr>
        <w:sectPr w:rsidR="005400D8" w:rsidRPr="005146BA" w:rsidSect="00451CCB">
          <w:pgSz w:w="16838" w:h="11906" w:orient="landscape"/>
          <w:pgMar w:top="1800" w:right="1440" w:bottom="1800" w:left="1440" w:header="851" w:footer="992" w:gutter="0"/>
          <w:cols w:space="425"/>
          <w:docGrid w:type="lines" w:linePitch="326"/>
        </w:sectPr>
      </w:pPr>
      <w:bookmarkStart w:id="1244" w:name="_Toc491940709"/>
      <w:r w:rsidRPr="005146BA">
        <w:rPr>
          <w:b/>
          <w:sz w:val="22"/>
        </w:rPr>
        <w:t>Table I</w:t>
      </w:r>
      <w:r w:rsidR="0042024D" w:rsidRPr="005146BA">
        <w:rPr>
          <w:b/>
          <w:sz w:val="22"/>
        </w:rPr>
        <w:t>.1</w:t>
      </w:r>
      <w:r w:rsidRPr="005146BA">
        <w:rPr>
          <w:b/>
          <w:sz w:val="22"/>
        </w:rPr>
        <w:t>-The Name and Marked Numbers of Each Paper in the field of SUL</w:t>
      </w:r>
    </w:p>
    <w:p w14:paraId="458BA6C7" w14:textId="516E762D" w:rsidR="005400D8" w:rsidRPr="00AA2451" w:rsidRDefault="005400D8" w:rsidP="005400D8">
      <w:pPr>
        <w:pStyle w:val="Heading3"/>
        <w:numPr>
          <w:ilvl w:val="0"/>
          <w:numId w:val="0"/>
        </w:numPr>
        <w:ind w:left="720" w:hanging="720"/>
      </w:pPr>
      <w:bookmarkStart w:id="1245" w:name="_Toc46053517"/>
      <w:bookmarkStart w:id="1246" w:name="_Toc46093431"/>
      <w:bookmarkStart w:id="1247" w:name="_Toc46093714"/>
      <w:bookmarkStart w:id="1248" w:name="_Toc66703289"/>
      <w:r w:rsidRPr="00AA2451">
        <w:lastRenderedPageBreak/>
        <w:t>Part B: Paper Distribution in Each Topic of SUL</w:t>
      </w:r>
      <w:bookmarkEnd w:id="1244"/>
      <w:bookmarkEnd w:id="1245"/>
      <w:bookmarkEnd w:id="1246"/>
      <w:bookmarkEnd w:id="1247"/>
      <w:bookmarkEnd w:id="1248"/>
    </w:p>
    <w:p w14:paraId="1989F989" w14:textId="77777777" w:rsidR="005400D8" w:rsidRPr="00A014FD" w:rsidRDefault="005400D8" w:rsidP="005400D8">
      <w:r w:rsidRPr="00A014FD">
        <w:t>Table II.2 gives the details of the paper distribution in each research topics and its sub-topics, the numbers are linked with the paper numbers in Table II.1</w:t>
      </w:r>
    </w:p>
    <w:tbl>
      <w:tblPr>
        <w:tblStyle w:val="TableGrid"/>
        <w:tblW w:w="13698" w:type="dxa"/>
        <w:tblLayout w:type="fixed"/>
        <w:tblLook w:val="04A0" w:firstRow="1" w:lastRow="0" w:firstColumn="1" w:lastColumn="0" w:noHBand="0" w:noVBand="1"/>
      </w:tblPr>
      <w:tblGrid>
        <w:gridCol w:w="3246"/>
        <w:gridCol w:w="2404"/>
        <w:gridCol w:w="5082"/>
        <w:gridCol w:w="2966"/>
      </w:tblGrid>
      <w:tr w:rsidR="005400D8" w:rsidRPr="00A014FD" w14:paraId="37B3673B" w14:textId="77777777" w:rsidTr="00704B82">
        <w:tc>
          <w:tcPr>
            <w:tcW w:w="3246" w:type="dxa"/>
          </w:tcPr>
          <w:p w14:paraId="5D36BD0E" w14:textId="77777777" w:rsidR="005400D8" w:rsidRPr="00A014FD" w:rsidRDefault="005400D8" w:rsidP="00704B82">
            <w:pPr>
              <w:spacing w:line="240" w:lineRule="auto"/>
              <w:jc w:val="center"/>
              <w:rPr>
                <w:sz w:val="22"/>
              </w:rPr>
            </w:pPr>
            <w:r w:rsidRPr="00A014FD">
              <w:rPr>
                <w:sz w:val="22"/>
              </w:rPr>
              <w:t>Research Topics</w:t>
            </w:r>
          </w:p>
        </w:tc>
        <w:tc>
          <w:tcPr>
            <w:tcW w:w="2404" w:type="dxa"/>
          </w:tcPr>
          <w:p w14:paraId="17FFBC72" w14:textId="77777777" w:rsidR="005400D8" w:rsidRPr="00A014FD" w:rsidRDefault="005400D8" w:rsidP="00704B82">
            <w:pPr>
              <w:spacing w:line="240" w:lineRule="auto"/>
              <w:jc w:val="center"/>
              <w:rPr>
                <w:sz w:val="22"/>
              </w:rPr>
            </w:pPr>
            <w:r w:rsidRPr="00A014FD">
              <w:rPr>
                <w:sz w:val="22"/>
              </w:rPr>
              <w:t>Sub-Topics</w:t>
            </w:r>
          </w:p>
        </w:tc>
        <w:tc>
          <w:tcPr>
            <w:tcW w:w="5082" w:type="dxa"/>
          </w:tcPr>
          <w:p w14:paraId="48ED2CA4" w14:textId="77777777" w:rsidR="005400D8" w:rsidRPr="00A014FD" w:rsidRDefault="005400D8" w:rsidP="00704B82">
            <w:pPr>
              <w:spacing w:line="240" w:lineRule="auto"/>
              <w:jc w:val="center"/>
              <w:rPr>
                <w:sz w:val="22"/>
              </w:rPr>
            </w:pPr>
            <w:r w:rsidRPr="00A014FD">
              <w:rPr>
                <w:sz w:val="22"/>
              </w:rPr>
              <w:t>Objectives</w:t>
            </w:r>
          </w:p>
        </w:tc>
        <w:tc>
          <w:tcPr>
            <w:tcW w:w="2966" w:type="dxa"/>
          </w:tcPr>
          <w:p w14:paraId="4DD67781" w14:textId="77777777" w:rsidR="005400D8" w:rsidRPr="00A014FD" w:rsidRDefault="005400D8" w:rsidP="00704B82">
            <w:pPr>
              <w:spacing w:line="240" w:lineRule="auto"/>
              <w:jc w:val="center"/>
              <w:rPr>
                <w:sz w:val="22"/>
              </w:rPr>
            </w:pPr>
            <w:r w:rsidRPr="00A014FD">
              <w:rPr>
                <w:sz w:val="22"/>
              </w:rPr>
              <w:t>Paper Numbers</w:t>
            </w:r>
          </w:p>
        </w:tc>
      </w:tr>
      <w:tr w:rsidR="005400D8" w:rsidRPr="00A014FD" w14:paraId="673E60BB" w14:textId="77777777" w:rsidTr="00704B82">
        <w:tc>
          <w:tcPr>
            <w:tcW w:w="3246" w:type="dxa"/>
            <w:vMerge w:val="restart"/>
            <w:vAlign w:val="center"/>
          </w:tcPr>
          <w:p w14:paraId="788C1454" w14:textId="77777777" w:rsidR="005400D8" w:rsidRPr="00A014FD" w:rsidRDefault="005400D8" w:rsidP="00704B82">
            <w:pPr>
              <w:spacing w:line="240" w:lineRule="auto"/>
              <w:rPr>
                <w:sz w:val="22"/>
              </w:rPr>
            </w:pPr>
            <w:r w:rsidRPr="00A014FD">
              <w:rPr>
                <w:sz w:val="22"/>
              </w:rPr>
              <w:t>Performance Evaluation</w:t>
            </w:r>
          </w:p>
        </w:tc>
        <w:tc>
          <w:tcPr>
            <w:tcW w:w="2404" w:type="dxa"/>
            <w:vAlign w:val="center"/>
          </w:tcPr>
          <w:p w14:paraId="30F4C8D0" w14:textId="77777777" w:rsidR="005400D8" w:rsidRPr="00A014FD" w:rsidRDefault="005400D8" w:rsidP="00704B82">
            <w:pPr>
              <w:spacing w:line="240" w:lineRule="auto"/>
              <w:rPr>
                <w:sz w:val="22"/>
              </w:rPr>
            </w:pPr>
            <w:r w:rsidRPr="00A014FD">
              <w:rPr>
                <w:sz w:val="22"/>
              </w:rPr>
              <w:t>Indicators of SUL</w:t>
            </w:r>
          </w:p>
        </w:tc>
        <w:tc>
          <w:tcPr>
            <w:tcW w:w="5082" w:type="dxa"/>
            <w:vAlign w:val="center"/>
          </w:tcPr>
          <w:p w14:paraId="39C8956D" w14:textId="77777777" w:rsidR="005400D8" w:rsidRPr="00A014FD" w:rsidRDefault="005400D8" w:rsidP="00704B82">
            <w:pPr>
              <w:spacing w:line="240" w:lineRule="auto"/>
              <w:rPr>
                <w:sz w:val="22"/>
              </w:rPr>
            </w:pPr>
            <w:r w:rsidRPr="00A014FD">
              <w:rPr>
                <w:sz w:val="22"/>
              </w:rPr>
              <w:t>Discuss the indicators of the sustainable urban logistics</w:t>
            </w:r>
          </w:p>
        </w:tc>
        <w:tc>
          <w:tcPr>
            <w:tcW w:w="2966" w:type="dxa"/>
          </w:tcPr>
          <w:p w14:paraId="5F194379" w14:textId="77777777" w:rsidR="005400D8" w:rsidRPr="00A014FD" w:rsidRDefault="005400D8" w:rsidP="00704B82">
            <w:pPr>
              <w:spacing w:line="240" w:lineRule="auto"/>
              <w:rPr>
                <w:sz w:val="22"/>
              </w:rPr>
            </w:pPr>
            <w:r w:rsidRPr="00A014FD">
              <w:rPr>
                <w:sz w:val="22"/>
              </w:rPr>
              <w:t xml:space="preserve"> 117,196,200,208</w:t>
            </w:r>
          </w:p>
        </w:tc>
      </w:tr>
      <w:tr w:rsidR="005400D8" w:rsidRPr="00A014FD" w14:paraId="63D10876" w14:textId="77777777" w:rsidTr="00704B82">
        <w:tc>
          <w:tcPr>
            <w:tcW w:w="3246" w:type="dxa"/>
            <w:vMerge/>
            <w:vAlign w:val="center"/>
          </w:tcPr>
          <w:p w14:paraId="5F11D5BA" w14:textId="77777777" w:rsidR="005400D8" w:rsidRPr="00A014FD" w:rsidRDefault="005400D8" w:rsidP="00704B82">
            <w:pPr>
              <w:spacing w:line="240" w:lineRule="auto"/>
              <w:rPr>
                <w:sz w:val="22"/>
              </w:rPr>
            </w:pPr>
          </w:p>
        </w:tc>
        <w:tc>
          <w:tcPr>
            <w:tcW w:w="2404" w:type="dxa"/>
            <w:vAlign w:val="center"/>
          </w:tcPr>
          <w:p w14:paraId="4A411AB5" w14:textId="77777777" w:rsidR="005400D8" w:rsidRPr="00A014FD" w:rsidRDefault="005400D8" w:rsidP="00704B82">
            <w:pPr>
              <w:spacing w:line="240" w:lineRule="auto"/>
              <w:rPr>
                <w:sz w:val="22"/>
              </w:rPr>
            </w:pPr>
            <w:r w:rsidRPr="00A014FD">
              <w:rPr>
                <w:sz w:val="22"/>
              </w:rPr>
              <w:t>Ex-ante and ex-post evaluation</w:t>
            </w:r>
          </w:p>
        </w:tc>
        <w:tc>
          <w:tcPr>
            <w:tcW w:w="5082" w:type="dxa"/>
            <w:vAlign w:val="center"/>
          </w:tcPr>
          <w:p w14:paraId="3EAA7F4D" w14:textId="77777777" w:rsidR="005400D8" w:rsidRPr="00A014FD" w:rsidRDefault="005400D8" w:rsidP="00704B82">
            <w:pPr>
              <w:spacing w:line="240" w:lineRule="auto"/>
              <w:rPr>
                <w:sz w:val="22"/>
              </w:rPr>
            </w:pPr>
            <w:r w:rsidRPr="00A014FD">
              <w:rPr>
                <w:sz w:val="22"/>
              </w:rPr>
              <w:t>Performance evaluation for any logistics initiatives</w:t>
            </w:r>
          </w:p>
        </w:tc>
        <w:tc>
          <w:tcPr>
            <w:tcW w:w="2966" w:type="dxa"/>
          </w:tcPr>
          <w:p w14:paraId="2DE275E1" w14:textId="77777777" w:rsidR="005400D8" w:rsidRPr="00A014FD" w:rsidRDefault="005400D8" w:rsidP="00704B82">
            <w:pPr>
              <w:spacing w:line="240" w:lineRule="auto"/>
              <w:rPr>
                <w:sz w:val="22"/>
              </w:rPr>
            </w:pPr>
            <w:r w:rsidRPr="00A014FD">
              <w:rPr>
                <w:sz w:val="22"/>
              </w:rPr>
              <w:t>5,11,37,39,41,45,46,47,53,56,58,60,62,68,69,74,79,85,89,90,93,97,98,99,103,114,123,126,127,130,133,140,144,150,170,171,178,181,192,193,194,199,201,210,219,211,214,221,224,225,227,229,239,241,</w:t>
            </w:r>
          </w:p>
        </w:tc>
      </w:tr>
      <w:tr w:rsidR="005400D8" w:rsidRPr="00A014FD" w14:paraId="56398FA6" w14:textId="77777777" w:rsidTr="00704B82">
        <w:tc>
          <w:tcPr>
            <w:tcW w:w="3246" w:type="dxa"/>
            <w:vAlign w:val="center"/>
          </w:tcPr>
          <w:p w14:paraId="653E7AE5" w14:textId="77777777" w:rsidR="005400D8" w:rsidRPr="00A014FD" w:rsidRDefault="005400D8" w:rsidP="00704B82">
            <w:pPr>
              <w:spacing w:line="240" w:lineRule="auto"/>
              <w:rPr>
                <w:sz w:val="22"/>
              </w:rPr>
            </w:pPr>
            <w:r w:rsidRPr="00A014FD">
              <w:rPr>
                <w:sz w:val="22"/>
              </w:rPr>
              <w:t xml:space="preserve">Freight movement </w:t>
            </w:r>
            <w:proofErr w:type="spellStart"/>
            <w:r w:rsidRPr="00A014FD">
              <w:rPr>
                <w:sz w:val="22"/>
              </w:rPr>
              <w:t>optimisation</w:t>
            </w:r>
            <w:proofErr w:type="spellEnd"/>
          </w:p>
        </w:tc>
        <w:tc>
          <w:tcPr>
            <w:tcW w:w="2404" w:type="dxa"/>
            <w:vAlign w:val="center"/>
          </w:tcPr>
          <w:p w14:paraId="28FD8FD7" w14:textId="77777777" w:rsidR="005400D8" w:rsidRPr="00A014FD" w:rsidRDefault="005400D8" w:rsidP="00704B82">
            <w:pPr>
              <w:spacing w:line="240" w:lineRule="auto"/>
              <w:rPr>
                <w:sz w:val="22"/>
              </w:rPr>
            </w:pPr>
          </w:p>
        </w:tc>
        <w:tc>
          <w:tcPr>
            <w:tcW w:w="5082" w:type="dxa"/>
            <w:vAlign w:val="center"/>
          </w:tcPr>
          <w:p w14:paraId="2283ED1F" w14:textId="77777777" w:rsidR="005400D8" w:rsidRPr="00A014FD" w:rsidRDefault="005400D8" w:rsidP="00704B82">
            <w:pPr>
              <w:spacing w:line="240" w:lineRule="auto"/>
              <w:rPr>
                <w:sz w:val="22"/>
              </w:rPr>
            </w:pPr>
            <w:r w:rsidRPr="00A014FD">
              <w:rPr>
                <w:sz w:val="22"/>
              </w:rPr>
              <w:t>The objective is to reduce the travel distance, delivery time as well as alleviating the environmental and social issue under different constraints, such as time windows, load capacity, road restriction and consumer’s request, etc.</w:t>
            </w:r>
          </w:p>
        </w:tc>
        <w:tc>
          <w:tcPr>
            <w:tcW w:w="2966" w:type="dxa"/>
          </w:tcPr>
          <w:p w14:paraId="3A2C72B6" w14:textId="77777777" w:rsidR="005400D8" w:rsidRPr="00A014FD" w:rsidRDefault="005400D8" w:rsidP="00704B82">
            <w:pPr>
              <w:spacing w:line="240" w:lineRule="auto"/>
              <w:rPr>
                <w:sz w:val="22"/>
              </w:rPr>
            </w:pPr>
            <w:r w:rsidRPr="00A014FD">
              <w:rPr>
                <w:sz w:val="22"/>
              </w:rPr>
              <w:t>14,15,34,54,57,65,66,80,82,86,108,110,112,136,138,151,156,161,183,204,233,237,238,242,243,253</w:t>
            </w:r>
          </w:p>
        </w:tc>
      </w:tr>
      <w:tr w:rsidR="005400D8" w:rsidRPr="00A014FD" w14:paraId="581BBF79" w14:textId="77777777" w:rsidTr="00704B82">
        <w:tc>
          <w:tcPr>
            <w:tcW w:w="3246" w:type="dxa"/>
            <w:vAlign w:val="center"/>
          </w:tcPr>
          <w:p w14:paraId="7948C3D8" w14:textId="77777777" w:rsidR="005400D8" w:rsidRPr="00A014FD" w:rsidRDefault="005400D8" w:rsidP="00704B82">
            <w:pPr>
              <w:spacing w:line="240" w:lineRule="auto"/>
              <w:rPr>
                <w:sz w:val="22"/>
              </w:rPr>
            </w:pPr>
            <w:r w:rsidRPr="00A014FD">
              <w:rPr>
                <w:sz w:val="22"/>
              </w:rPr>
              <w:t>Planning design</w:t>
            </w:r>
          </w:p>
        </w:tc>
        <w:tc>
          <w:tcPr>
            <w:tcW w:w="2404" w:type="dxa"/>
            <w:vAlign w:val="center"/>
          </w:tcPr>
          <w:p w14:paraId="778E2EED" w14:textId="77777777" w:rsidR="005400D8" w:rsidRPr="00A014FD" w:rsidRDefault="005400D8" w:rsidP="00704B82">
            <w:pPr>
              <w:spacing w:line="240" w:lineRule="auto"/>
              <w:rPr>
                <w:sz w:val="22"/>
              </w:rPr>
            </w:pPr>
          </w:p>
        </w:tc>
        <w:tc>
          <w:tcPr>
            <w:tcW w:w="5082" w:type="dxa"/>
            <w:vAlign w:val="center"/>
          </w:tcPr>
          <w:p w14:paraId="24AB24DF" w14:textId="77777777" w:rsidR="005400D8" w:rsidRPr="00A014FD" w:rsidRDefault="005400D8" w:rsidP="00704B82">
            <w:pPr>
              <w:spacing w:line="240" w:lineRule="auto"/>
              <w:rPr>
                <w:sz w:val="22"/>
              </w:rPr>
            </w:pPr>
            <w:r w:rsidRPr="00A014FD">
              <w:rPr>
                <w:sz w:val="22"/>
              </w:rPr>
              <w:t>The objective is to avoid the negative result that caused by the unreasonable planning.</w:t>
            </w:r>
          </w:p>
        </w:tc>
        <w:tc>
          <w:tcPr>
            <w:tcW w:w="2966" w:type="dxa"/>
          </w:tcPr>
          <w:p w14:paraId="54B252B5" w14:textId="77777777" w:rsidR="005400D8" w:rsidRPr="00A014FD" w:rsidRDefault="005400D8" w:rsidP="00704B82">
            <w:pPr>
              <w:spacing w:line="240" w:lineRule="auto"/>
              <w:rPr>
                <w:sz w:val="22"/>
              </w:rPr>
            </w:pPr>
            <w:r w:rsidRPr="00A014FD">
              <w:rPr>
                <w:sz w:val="22"/>
              </w:rPr>
              <w:t>7,20,21,28,43,50,61,73,91,105,116,125,128,134,135,153,155,</w:t>
            </w:r>
            <w:proofErr w:type="gramStart"/>
            <w:r w:rsidRPr="00A014FD">
              <w:rPr>
                <w:sz w:val="22"/>
              </w:rPr>
              <w:t>164 ,</w:t>
            </w:r>
            <w:proofErr w:type="gramEnd"/>
            <w:r w:rsidRPr="00A014FD">
              <w:rPr>
                <w:sz w:val="22"/>
              </w:rPr>
              <w:t>169,175,203,217,226</w:t>
            </w:r>
          </w:p>
        </w:tc>
      </w:tr>
      <w:tr w:rsidR="005400D8" w:rsidRPr="00A014FD" w14:paraId="4E0B48DE" w14:textId="77777777" w:rsidTr="00704B82">
        <w:tc>
          <w:tcPr>
            <w:tcW w:w="3246" w:type="dxa"/>
            <w:vMerge w:val="restart"/>
            <w:vAlign w:val="center"/>
          </w:tcPr>
          <w:p w14:paraId="3B8D5701" w14:textId="77777777" w:rsidR="005400D8" w:rsidRPr="00A014FD" w:rsidRDefault="005400D8" w:rsidP="00704B82">
            <w:pPr>
              <w:spacing w:line="240" w:lineRule="auto"/>
              <w:rPr>
                <w:sz w:val="22"/>
              </w:rPr>
            </w:pPr>
            <w:r w:rsidRPr="00A014FD">
              <w:rPr>
                <w:sz w:val="22"/>
              </w:rPr>
              <w:t>New operating models</w:t>
            </w:r>
          </w:p>
        </w:tc>
        <w:tc>
          <w:tcPr>
            <w:tcW w:w="2404" w:type="dxa"/>
            <w:vAlign w:val="center"/>
          </w:tcPr>
          <w:p w14:paraId="384F973B" w14:textId="77777777" w:rsidR="005400D8" w:rsidRPr="00A014FD" w:rsidRDefault="005400D8" w:rsidP="00704B82">
            <w:pPr>
              <w:spacing w:line="240" w:lineRule="auto"/>
              <w:rPr>
                <w:sz w:val="22"/>
              </w:rPr>
            </w:pPr>
            <w:r w:rsidRPr="00A014FD">
              <w:rPr>
                <w:sz w:val="22"/>
              </w:rPr>
              <w:t>New ideals</w:t>
            </w:r>
          </w:p>
        </w:tc>
        <w:tc>
          <w:tcPr>
            <w:tcW w:w="5082" w:type="dxa"/>
            <w:vAlign w:val="center"/>
          </w:tcPr>
          <w:p w14:paraId="6069926A" w14:textId="77777777" w:rsidR="005400D8" w:rsidRPr="00A014FD" w:rsidRDefault="005400D8" w:rsidP="00704B82">
            <w:pPr>
              <w:spacing w:line="240" w:lineRule="auto"/>
              <w:rPr>
                <w:sz w:val="22"/>
              </w:rPr>
            </w:pPr>
            <w:r w:rsidRPr="00A014FD">
              <w:rPr>
                <w:sz w:val="22"/>
              </w:rPr>
              <w:t>Reduce the social and environmental issues through the new approaches in urban logistics</w:t>
            </w:r>
          </w:p>
        </w:tc>
        <w:tc>
          <w:tcPr>
            <w:tcW w:w="2966" w:type="dxa"/>
          </w:tcPr>
          <w:p w14:paraId="4D22E07F" w14:textId="77777777" w:rsidR="005400D8" w:rsidRPr="00A014FD" w:rsidRDefault="005400D8" w:rsidP="00704B82">
            <w:pPr>
              <w:spacing w:line="240" w:lineRule="auto"/>
              <w:rPr>
                <w:sz w:val="22"/>
              </w:rPr>
            </w:pPr>
            <w:r w:rsidRPr="00A014FD">
              <w:rPr>
                <w:sz w:val="22"/>
              </w:rPr>
              <w:t>70,92,115,152,162,173,195,197,207,216,244,252,59,232,245</w:t>
            </w:r>
          </w:p>
        </w:tc>
      </w:tr>
      <w:tr w:rsidR="005400D8" w:rsidRPr="00A014FD" w14:paraId="38E7ACEB" w14:textId="77777777" w:rsidTr="00704B82">
        <w:tc>
          <w:tcPr>
            <w:tcW w:w="3246" w:type="dxa"/>
            <w:vMerge/>
            <w:vAlign w:val="center"/>
          </w:tcPr>
          <w:p w14:paraId="21F75999" w14:textId="77777777" w:rsidR="005400D8" w:rsidRPr="00A014FD" w:rsidRDefault="005400D8" w:rsidP="00704B82">
            <w:pPr>
              <w:spacing w:line="240" w:lineRule="auto"/>
              <w:rPr>
                <w:sz w:val="22"/>
              </w:rPr>
            </w:pPr>
          </w:p>
        </w:tc>
        <w:tc>
          <w:tcPr>
            <w:tcW w:w="2404" w:type="dxa"/>
            <w:vAlign w:val="center"/>
          </w:tcPr>
          <w:p w14:paraId="2934FA1B" w14:textId="77777777" w:rsidR="005400D8" w:rsidRPr="00A014FD" w:rsidRDefault="005400D8" w:rsidP="00704B82">
            <w:pPr>
              <w:spacing w:line="240" w:lineRule="auto"/>
              <w:rPr>
                <w:sz w:val="22"/>
              </w:rPr>
            </w:pPr>
            <w:r w:rsidRPr="00A014FD">
              <w:rPr>
                <w:sz w:val="22"/>
              </w:rPr>
              <w:t>Shift-Delivery</w:t>
            </w:r>
          </w:p>
        </w:tc>
        <w:tc>
          <w:tcPr>
            <w:tcW w:w="5082" w:type="dxa"/>
            <w:vAlign w:val="center"/>
          </w:tcPr>
          <w:p w14:paraId="706BA823" w14:textId="77777777" w:rsidR="005400D8" w:rsidRPr="00A014FD" w:rsidRDefault="005400D8" w:rsidP="00704B82">
            <w:pPr>
              <w:spacing w:line="240" w:lineRule="auto"/>
              <w:rPr>
                <w:sz w:val="22"/>
              </w:rPr>
            </w:pPr>
            <w:r w:rsidRPr="00A014FD">
              <w:rPr>
                <w:sz w:val="22"/>
              </w:rPr>
              <w:t>It tries to reduce the travel distance, congestions, and emissions, through the delivery out of working hours</w:t>
            </w:r>
          </w:p>
        </w:tc>
        <w:tc>
          <w:tcPr>
            <w:tcW w:w="2966" w:type="dxa"/>
          </w:tcPr>
          <w:p w14:paraId="6D1E27BF" w14:textId="77777777" w:rsidR="005400D8" w:rsidRPr="00A014FD" w:rsidRDefault="005400D8" w:rsidP="00704B82">
            <w:pPr>
              <w:spacing w:line="240" w:lineRule="auto"/>
              <w:rPr>
                <w:sz w:val="22"/>
              </w:rPr>
            </w:pPr>
            <w:r w:rsidRPr="00A014FD">
              <w:rPr>
                <w:sz w:val="22"/>
              </w:rPr>
              <w:t>40, 177,188</w:t>
            </w:r>
          </w:p>
        </w:tc>
      </w:tr>
      <w:tr w:rsidR="005400D8" w:rsidRPr="00A014FD" w14:paraId="56CCBF37" w14:textId="77777777" w:rsidTr="00704B82">
        <w:tc>
          <w:tcPr>
            <w:tcW w:w="3246" w:type="dxa"/>
            <w:vMerge/>
            <w:vAlign w:val="center"/>
          </w:tcPr>
          <w:p w14:paraId="2AE187D1" w14:textId="77777777" w:rsidR="005400D8" w:rsidRPr="00A014FD" w:rsidRDefault="005400D8" w:rsidP="00704B82">
            <w:pPr>
              <w:spacing w:line="240" w:lineRule="auto"/>
              <w:rPr>
                <w:sz w:val="22"/>
              </w:rPr>
            </w:pPr>
          </w:p>
        </w:tc>
        <w:tc>
          <w:tcPr>
            <w:tcW w:w="2404" w:type="dxa"/>
            <w:vAlign w:val="center"/>
          </w:tcPr>
          <w:p w14:paraId="29242B9A" w14:textId="77777777" w:rsidR="005400D8" w:rsidRPr="00A014FD" w:rsidRDefault="005400D8" w:rsidP="00704B82">
            <w:pPr>
              <w:spacing w:line="240" w:lineRule="auto"/>
              <w:rPr>
                <w:sz w:val="22"/>
              </w:rPr>
            </w:pPr>
            <w:r w:rsidRPr="00A014FD">
              <w:rPr>
                <w:sz w:val="22"/>
              </w:rPr>
              <w:t>Alternative delivery methods</w:t>
            </w:r>
          </w:p>
        </w:tc>
        <w:tc>
          <w:tcPr>
            <w:tcW w:w="5082" w:type="dxa"/>
            <w:vAlign w:val="center"/>
          </w:tcPr>
          <w:p w14:paraId="6BA98224" w14:textId="77777777" w:rsidR="005400D8" w:rsidRPr="00A014FD" w:rsidRDefault="005400D8" w:rsidP="00704B82">
            <w:pPr>
              <w:spacing w:line="240" w:lineRule="auto"/>
              <w:rPr>
                <w:sz w:val="22"/>
              </w:rPr>
            </w:pPr>
            <w:r w:rsidRPr="00A014FD">
              <w:rPr>
                <w:sz w:val="22"/>
              </w:rPr>
              <w:t xml:space="preserve">These studies review the contribution of the new delivery modes in energy saving, emission reduction </w:t>
            </w:r>
            <w:r w:rsidRPr="00A014FD">
              <w:rPr>
                <w:sz w:val="22"/>
              </w:rPr>
              <w:lastRenderedPageBreak/>
              <w:t>and traffic congestion alleviation, and pointed out the shortcoming of each approach.</w:t>
            </w:r>
          </w:p>
        </w:tc>
        <w:tc>
          <w:tcPr>
            <w:tcW w:w="2966" w:type="dxa"/>
          </w:tcPr>
          <w:p w14:paraId="60F29F0E" w14:textId="77777777" w:rsidR="005400D8" w:rsidRPr="00A014FD" w:rsidRDefault="005400D8" w:rsidP="00704B82">
            <w:pPr>
              <w:spacing w:line="240" w:lineRule="auto"/>
              <w:rPr>
                <w:sz w:val="22"/>
              </w:rPr>
            </w:pPr>
            <w:r w:rsidRPr="00A014FD">
              <w:rPr>
                <w:sz w:val="22"/>
              </w:rPr>
              <w:lastRenderedPageBreak/>
              <w:t>3,16,48,51,71,102,131,158,159,160,180,186,234,251</w:t>
            </w:r>
          </w:p>
        </w:tc>
      </w:tr>
      <w:tr w:rsidR="005400D8" w:rsidRPr="00A014FD" w14:paraId="7418D5D0" w14:textId="77777777" w:rsidTr="00704B82">
        <w:tc>
          <w:tcPr>
            <w:tcW w:w="3246" w:type="dxa"/>
            <w:vMerge/>
            <w:vAlign w:val="center"/>
          </w:tcPr>
          <w:p w14:paraId="07D086BD" w14:textId="77777777" w:rsidR="005400D8" w:rsidRPr="00A014FD" w:rsidRDefault="005400D8" w:rsidP="00704B82">
            <w:pPr>
              <w:spacing w:line="240" w:lineRule="auto"/>
              <w:rPr>
                <w:sz w:val="22"/>
              </w:rPr>
            </w:pPr>
          </w:p>
        </w:tc>
        <w:tc>
          <w:tcPr>
            <w:tcW w:w="2404" w:type="dxa"/>
            <w:vAlign w:val="center"/>
          </w:tcPr>
          <w:p w14:paraId="65CDA765" w14:textId="77777777" w:rsidR="005400D8" w:rsidRPr="00A014FD" w:rsidRDefault="005400D8" w:rsidP="00704B82">
            <w:pPr>
              <w:spacing w:line="240" w:lineRule="auto"/>
              <w:rPr>
                <w:sz w:val="22"/>
              </w:rPr>
            </w:pPr>
            <w:r w:rsidRPr="00A014FD">
              <w:rPr>
                <w:sz w:val="22"/>
              </w:rPr>
              <w:t>Electrical Vehicle</w:t>
            </w:r>
          </w:p>
        </w:tc>
        <w:tc>
          <w:tcPr>
            <w:tcW w:w="5082" w:type="dxa"/>
            <w:vAlign w:val="center"/>
          </w:tcPr>
          <w:p w14:paraId="1D9BCA60" w14:textId="77777777" w:rsidR="005400D8" w:rsidRPr="00A014FD" w:rsidRDefault="005400D8" w:rsidP="00704B82">
            <w:pPr>
              <w:spacing w:line="240" w:lineRule="auto"/>
              <w:rPr>
                <w:sz w:val="22"/>
              </w:rPr>
            </w:pPr>
            <w:r w:rsidRPr="00A014FD">
              <w:rPr>
                <w:sz w:val="22"/>
              </w:rPr>
              <w:t>This topic evaluates the performance of the EV on the aspect of cost, reliability, and environment</w:t>
            </w:r>
          </w:p>
        </w:tc>
        <w:tc>
          <w:tcPr>
            <w:tcW w:w="2966" w:type="dxa"/>
          </w:tcPr>
          <w:p w14:paraId="7CAF81F0" w14:textId="77777777" w:rsidR="005400D8" w:rsidRPr="00A014FD" w:rsidRDefault="005400D8" w:rsidP="00704B82">
            <w:pPr>
              <w:spacing w:line="240" w:lineRule="auto"/>
              <w:rPr>
                <w:sz w:val="22"/>
              </w:rPr>
            </w:pPr>
            <w:r w:rsidRPr="00A014FD">
              <w:rPr>
                <w:sz w:val="22"/>
              </w:rPr>
              <w:t>4,23,38,77,96,106,121,124,137,154,163,182,190,202,206,230,250</w:t>
            </w:r>
          </w:p>
        </w:tc>
      </w:tr>
      <w:tr w:rsidR="005400D8" w:rsidRPr="00A014FD" w14:paraId="32B84582" w14:textId="77777777" w:rsidTr="00704B82">
        <w:trPr>
          <w:trHeight w:val="578"/>
        </w:trPr>
        <w:tc>
          <w:tcPr>
            <w:tcW w:w="3246" w:type="dxa"/>
            <w:vMerge/>
            <w:vAlign w:val="center"/>
          </w:tcPr>
          <w:p w14:paraId="77CF6FB1" w14:textId="77777777" w:rsidR="005400D8" w:rsidRPr="00A014FD" w:rsidRDefault="005400D8" w:rsidP="00704B82">
            <w:pPr>
              <w:spacing w:line="240" w:lineRule="auto"/>
              <w:rPr>
                <w:sz w:val="22"/>
              </w:rPr>
            </w:pPr>
          </w:p>
        </w:tc>
        <w:tc>
          <w:tcPr>
            <w:tcW w:w="2404" w:type="dxa"/>
            <w:vAlign w:val="center"/>
          </w:tcPr>
          <w:p w14:paraId="6BFCBF20" w14:textId="77777777" w:rsidR="005400D8" w:rsidRPr="00A014FD" w:rsidRDefault="005400D8" w:rsidP="00704B82">
            <w:pPr>
              <w:spacing w:line="240" w:lineRule="auto"/>
              <w:rPr>
                <w:sz w:val="22"/>
              </w:rPr>
            </w:pPr>
            <w:r w:rsidRPr="00A014FD">
              <w:rPr>
                <w:sz w:val="22"/>
              </w:rPr>
              <w:t>Collaborative urban Logistics</w:t>
            </w:r>
          </w:p>
        </w:tc>
        <w:tc>
          <w:tcPr>
            <w:tcW w:w="5082" w:type="dxa"/>
            <w:vAlign w:val="center"/>
          </w:tcPr>
          <w:p w14:paraId="5A3D2922" w14:textId="77777777" w:rsidR="005400D8" w:rsidRPr="00A014FD" w:rsidRDefault="005400D8" w:rsidP="00704B82">
            <w:pPr>
              <w:spacing w:line="240" w:lineRule="auto"/>
              <w:rPr>
                <w:sz w:val="22"/>
              </w:rPr>
            </w:pPr>
            <w:r w:rsidRPr="00A014FD">
              <w:rPr>
                <w:sz w:val="22"/>
              </w:rPr>
              <w:t xml:space="preserve">It discusses the benefits of the collaborative urban logistic </w:t>
            </w:r>
            <w:proofErr w:type="gramStart"/>
            <w:r w:rsidRPr="00A014FD">
              <w:rPr>
                <w:sz w:val="22"/>
              </w:rPr>
              <w:t>and also</w:t>
            </w:r>
            <w:proofErr w:type="gramEnd"/>
            <w:r w:rsidRPr="00A014FD">
              <w:rPr>
                <w:sz w:val="22"/>
              </w:rPr>
              <w:t xml:space="preserve"> gives the current issues of this model.</w:t>
            </w:r>
          </w:p>
        </w:tc>
        <w:tc>
          <w:tcPr>
            <w:tcW w:w="2966" w:type="dxa"/>
          </w:tcPr>
          <w:p w14:paraId="775FD697" w14:textId="77777777" w:rsidR="005400D8" w:rsidRPr="00A014FD" w:rsidRDefault="005400D8" w:rsidP="00704B82">
            <w:pPr>
              <w:spacing w:line="240" w:lineRule="auto"/>
              <w:rPr>
                <w:sz w:val="22"/>
              </w:rPr>
            </w:pPr>
            <w:r w:rsidRPr="00A014FD">
              <w:rPr>
                <w:sz w:val="22"/>
              </w:rPr>
              <w:t>8,13,22,24,26,49,81,84,87,95,107,132,141,142,143,146,148,172,184,185,215,235,240</w:t>
            </w:r>
          </w:p>
        </w:tc>
      </w:tr>
      <w:tr w:rsidR="005400D8" w:rsidRPr="00A014FD" w14:paraId="40178989" w14:textId="77777777" w:rsidTr="00704B82">
        <w:tc>
          <w:tcPr>
            <w:tcW w:w="3246" w:type="dxa"/>
            <w:vMerge w:val="restart"/>
            <w:vAlign w:val="center"/>
          </w:tcPr>
          <w:p w14:paraId="624F605F" w14:textId="77777777" w:rsidR="005400D8" w:rsidRPr="00A014FD" w:rsidRDefault="005400D8" w:rsidP="00704B82">
            <w:pPr>
              <w:spacing w:line="240" w:lineRule="auto"/>
              <w:rPr>
                <w:sz w:val="22"/>
              </w:rPr>
            </w:pPr>
            <w:proofErr w:type="gramStart"/>
            <w:r w:rsidRPr="00A014FD">
              <w:rPr>
                <w:sz w:val="22"/>
              </w:rPr>
              <w:t>Stakeholders</w:t>
            </w:r>
            <w:proofErr w:type="gramEnd"/>
            <w:r w:rsidRPr="00A014FD">
              <w:rPr>
                <w:sz w:val="22"/>
              </w:rPr>
              <w:t xml:space="preserve"> engagement</w:t>
            </w:r>
          </w:p>
        </w:tc>
        <w:tc>
          <w:tcPr>
            <w:tcW w:w="2404" w:type="dxa"/>
            <w:vAlign w:val="center"/>
          </w:tcPr>
          <w:p w14:paraId="1A30F5AE" w14:textId="77777777" w:rsidR="005400D8" w:rsidRPr="00A014FD" w:rsidRDefault="005400D8" w:rsidP="00704B82">
            <w:pPr>
              <w:spacing w:line="240" w:lineRule="auto"/>
              <w:rPr>
                <w:sz w:val="22"/>
              </w:rPr>
            </w:pPr>
            <w:r w:rsidRPr="00A014FD">
              <w:rPr>
                <w:sz w:val="22"/>
              </w:rPr>
              <w:t>Stakeholder’s relationship</w:t>
            </w:r>
          </w:p>
        </w:tc>
        <w:tc>
          <w:tcPr>
            <w:tcW w:w="5082" w:type="dxa"/>
            <w:vAlign w:val="center"/>
          </w:tcPr>
          <w:p w14:paraId="634DCD87" w14:textId="77777777" w:rsidR="005400D8" w:rsidRPr="00A014FD" w:rsidRDefault="005400D8" w:rsidP="00704B82">
            <w:pPr>
              <w:spacing w:line="240" w:lineRule="auto"/>
              <w:rPr>
                <w:sz w:val="22"/>
              </w:rPr>
            </w:pPr>
            <w:r w:rsidRPr="00A014FD">
              <w:rPr>
                <w:sz w:val="22"/>
              </w:rPr>
              <w:t>This topic is to understand the core interest and requirement of each stakeholder. And discussing the conflicts among different stakeholders.</w:t>
            </w:r>
          </w:p>
        </w:tc>
        <w:tc>
          <w:tcPr>
            <w:tcW w:w="2966" w:type="dxa"/>
          </w:tcPr>
          <w:p w14:paraId="3AD2B286" w14:textId="77777777" w:rsidR="005400D8" w:rsidRPr="00A014FD" w:rsidRDefault="005400D8" w:rsidP="00704B82">
            <w:pPr>
              <w:spacing w:line="240" w:lineRule="auto"/>
              <w:rPr>
                <w:sz w:val="22"/>
              </w:rPr>
            </w:pPr>
            <w:r w:rsidRPr="00A014FD">
              <w:rPr>
                <w:sz w:val="22"/>
              </w:rPr>
              <w:t>25,44,52,55,76,83,109,122,129,168,179,213,223</w:t>
            </w:r>
          </w:p>
        </w:tc>
      </w:tr>
      <w:tr w:rsidR="005400D8" w:rsidRPr="00A014FD" w14:paraId="66B78ED8" w14:textId="77777777" w:rsidTr="00704B82">
        <w:tc>
          <w:tcPr>
            <w:tcW w:w="3246" w:type="dxa"/>
            <w:vMerge/>
            <w:vAlign w:val="center"/>
          </w:tcPr>
          <w:p w14:paraId="620411DA" w14:textId="77777777" w:rsidR="005400D8" w:rsidRPr="00A014FD" w:rsidRDefault="005400D8" w:rsidP="00704B82">
            <w:pPr>
              <w:spacing w:line="240" w:lineRule="auto"/>
              <w:rPr>
                <w:sz w:val="22"/>
              </w:rPr>
            </w:pPr>
          </w:p>
        </w:tc>
        <w:tc>
          <w:tcPr>
            <w:tcW w:w="2404" w:type="dxa"/>
            <w:vAlign w:val="center"/>
          </w:tcPr>
          <w:p w14:paraId="512DC42B" w14:textId="77777777" w:rsidR="005400D8" w:rsidRPr="00A014FD" w:rsidRDefault="005400D8" w:rsidP="00704B82">
            <w:pPr>
              <w:spacing w:line="240" w:lineRule="auto"/>
              <w:rPr>
                <w:sz w:val="22"/>
              </w:rPr>
            </w:pPr>
            <w:proofErr w:type="gramStart"/>
            <w:r w:rsidRPr="00A014FD">
              <w:rPr>
                <w:sz w:val="22"/>
              </w:rPr>
              <w:t>Policy-Making</w:t>
            </w:r>
            <w:proofErr w:type="gramEnd"/>
          </w:p>
        </w:tc>
        <w:tc>
          <w:tcPr>
            <w:tcW w:w="5082" w:type="dxa"/>
            <w:vAlign w:val="center"/>
          </w:tcPr>
          <w:p w14:paraId="63CB75A5" w14:textId="77777777" w:rsidR="005400D8" w:rsidRPr="00A014FD" w:rsidRDefault="005400D8" w:rsidP="00704B82">
            <w:pPr>
              <w:spacing w:line="240" w:lineRule="auto"/>
              <w:rPr>
                <w:sz w:val="22"/>
              </w:rPr>
            </w:pPr>
            <w:r w:rsidRPr="00A014FD">
              <w:rPr>
                <w:sz w:val="22"/>
              </w:rPr>
              <w:t xml:space="preserve">This topic evaluates the result of </w:t>
            </w:r>
            <w:proofErr w:type="gramStart"/>
            <w:r w:rsidRPr="00A014FD">
              <w:rPr>
                <w:sz w:val="22"/>
              </w:rPr>
              <w:t>particular policy</w:t>
            </w:r>
            <w:proofErr w:type="gramEnd"/>
            <w:r w:rsidRPr="00A014FD">
              <w:rPr>
                <w:sz w:val="22"/>
              </w:rPr>
              <w:t xml:space="preserve"> and regulation. It also gives the ways to make appropriate policy when considering the various stakeholder’s concerns. </w:t>
            </w:r>
          </w:p>
        </w:tc>
        <w:tc>
          <w:tcPr>
            <w:tcW w:w="2966" w:type="dxa"/>
          </w:tcPr>
          <w:p w14:paraId="0F6D147C" w14:textId="77777777" w:rsidR="005400D8" w:rsidRPr="00A014FD" w:rsidRDefault="005400D8" w:rsidP="00704B82">
            <w:pPr>
              <w:spacing w:line="240" w:lineRule="auto"/>
              <w:rPr>
                <w:sz w:val="22"/>
              </w:rPr>
            </w:pPr>
            <w:r w:rsidRPr="00A014FD">
              <w:rPr>
                <w:sz w:val="22"/>
              </w:rPr>
              <w:t>10,12,33,36,67,72,88,101,139,147,149,157,218</w:t>
            </w:r>
          </w:p>
        </w:tc>
      </w:tr>
      <w:tr w:rsidR="005400D8" w:rsidRPr="00A014FD" w14:paraId="0DF18F2A" w14:textId="77777777" w:rsidTr="00704B82">
        <w:tc>
          <w:tcPr>
            <w:tcW w:w="3246" w:type="dxa"/>
            <w:vMerge w:val="restart"/>
            <w:vAlign w:val="center"/>
          </w:tcPr>
          <w:p w14:paraId="2AEFDE58" w14:textId="77777777" w:rsidR="005400D8" w:rsidRPr="00A014FD" w:rsidRDefault="005400D8" w:rsidP="00704B82">
            <w:pPr>
              <w:spacing w:line="240" w:lineRule="auto"/>
              <w:rPr>
                <w:sz w:val="22"/>
              </w:rPr>
            </w:pPr>
            <w:r w:rsidRPr="00A014FD">
              <w:rPr>
                <w:sz w:val="22"/>
              </w:rPr>
              <w:t>Technology upgrades</w:t>
            </w:r>
          </w:p>
        </w:tc>
        <w:tc>
          <w:tcPr>
            <w:tcW w:w="2404" w:type="dxa"/>
            <w:vAlign w:val="center"/>
          </w:tcPr>
          <w:p w14:paraId="4F31A2B2" w14:textId="77777777" w:rsidR="005400D8" w:rsidRPr="00A014FD" w:rsidRDefault="005400D8" w:rsidP="00704B82">
            <w:pPr>
              <w:spacing w:line="240" w:lineRule="auto"/>
              <w:rPr>
                <w:sz w:val="22"/>
              </w:rPr>
            </w:pPr>
            <w:r w:rsidRPr="00A014FD">
              <w:rPr>
                <w:sz w:val="22"/>
              </w:rPr>
              <w:t>Information Technology</w:t>
            </w:r>
          </w:p>
        </w:tc>
        <w:tc>
          <w:tcPr>
            <w:tcW w:w="5082" w:type="dxa"/>
            <w:vAlign w:val="center"/>
          </w:tcPr>
          <w:p w14:paraId="3E3B6081" w14:textId="77777777" w:rsidR="005400D8" w:rsidRPr="00A014FD" w:rsidRDefault="005400D8" w:rsidP="00704B82">
            <w:pPr>
              <w:spacing w:line="240" w:lineRule="auto"/>
              <w:rPr>
                <w:sz w:val="22"/>
              </w:rPr>
            </w:pPr>
            <w:r w:rsidRPr="00A014FD">
              <w:rPr>
                <w:sz w:val="22"/>
              </w:rPr>
              <w:t>It discusses the benefits of the information equipment to the city freight transportation.</w:t>
            </w:r>
          </w:p>
        </w:tc>
        <w:tc>
          <w:tcPr>
            <w:tcW w:w="2966" w:type="dxa"/>
          </w:tcPr>
          <w:p w14:paraId="06F2068A" w14:textId="77777777" w:rsidR="005400D8" w:rsidRPr="00A014FD" w:rsidRDefault="005400D8" w:rsidP="00704B82">
            <w:pPr>
              <w:spacing w:line="240" w:lineRule="auto"/>
              <w:rPr>
                <w:sz w:val="22"/>
              </w:rPr>
            </w:pPr>
            <w:r w:rsidRPr="00A014FD">
              <w:rPr>
                <w:sz w:val="22"/>
              </w:rPr>
              <w:t>31,35,104,165,212,249</w:t>
            </w:r>
          </w:p>
        </w:tc>
      </w:tr>
      <w:tr w:rsidR="005400D8" w:rsidRPr="00A014FD" w14:paraId="3116E710" w14:textId="77777777" w:rsidTr="00704B82">
        <w:tc>
          <w:tcPr>
            <w:tcW w:w="3246" w:type="dxa"/>
            <w:vMerge/>
            <w:vAlign w:val="center"/>
          </w:tcPr>
          <w:p w14:paraId="070DE620" w14:textId="77777777" w:rsidR="005400D8" w:rsidRPr="00A014FD" w:rsidRDefault="005400D8" w:rsidP="00704B82">
            <w:pPr>
              <w:spacing w:line="240" w:lineRule="auto"/>
              <w:rPr>
                <w:sz w:val="22"/>
              </w:rPr>
            </w:pPr>
          </w:p>
        </w:tc>
        <w:tc>
          <w:tcPr>
            <w:tcW w:w="2404" w:type="dxa"/>
            <w:vAlign w:val="center"/>
          </w:tcPr>
          <w:p w14:paraId="3B41FF04" w14:textId="77777777" w:rsidR="005400D8" w:rsidRPr="00A014FD" w:rsidRDefault="005400D8" w:rsidP="00704B82">
            <w:pPr>
              <w:spacing w:line="240" w:lineRule="auto"/>
              <w:rPr>
                <w:sz w:val="22"/>
              </w:rPr>
            </w:pPr>
            <w:r w:rsidRPr="00A014FD">
              <w:rPr>
                <w:sz w:val="22"/>
              </w:rPr>
              <w:t>Intelligent Transportation Systems (ITS)</w:t>
            </w:r>
          </w:p>
        </w:tc>
        <w:tc>
          <w:tcPr>
            <w:tcW w:w="5082" w:type="dxa"/>
            <w:vAlign w:val="center"/>
          </w:tcPr>
          <w:p w14:paraId="6DE1086E" w14:textId="77777777" w:rsidR="005400D8" w:rsidRPr="00A014FD" w:rsidRDefault="005400D8" w:rsidP="00704B82">
            <w:pPr>
              <w:spacing w:line="240" w:lineRule="auto"/>
              <w:rPr>
                <w:sz w:val="22"/>
              </w:rPr>
            </w:pPr>
            <w:r w:rsidRPr="00A014FD">
              <w:rPr>
                <w:sz w:val="22"/>
              </w:rPr>
              <w:t>It analyses the advantages when connecting the urban freight transportation to the ITS.</w:t>
            </w:r>
          </w:p>
        </w:tc>
        <w:tc>
          <w:tcPr>
            <w:tcW w:w="2966" w:type="dxa"/>
          </w:tcPr>
          <w:p w14:paraId="6D0D44D7" w14:textId="77777777" w:rsidR="005400D8" w:rsidRPr="00A014FD" w:rsidRDefault="005400D8" w:rsidP="00704B82">
            <w:pPr>
              <w:spacing w:line="240" w:lineRule="auto"/>
              <w:rPr>
                <w:sz w:val="22"/>
              </w:rPr>
            </w:pPr>
            <w:r w:rsidRPr="00A014FD">
              <w:rPr>
                <w:sz w:val="22"/>
              </w:rPr>
              <w:t>9,30</w:t>
            </w:r>
          </w:p>
        </w:tc>
      </w:tr>
      <w:tr w:rsidR="005400D8" w:rsidRPr="00A014FD" w14:paraId="0C7E29EF" w14:textId="77777777" w:rsidTr="00704B82">
        <w:tc>
          <w:tcPr>
            <w:tcW w:w="3246" w:type="dxa"/>
            <w:vAlign w:val="center"/>
          </w:tcPr>
          <w:p w14:paraId="56AB2D7F" w14:textId="77777777" w:rsidR="005400D8" w:rsidRPr="00A014FD" w:rsidRDefault="005400D8" w:rsidP="00704B82">
            <w:pPr>
              <w:spacing w:line="240" w:lineRule="auto"/>
              <w:rPr>
                <w:sz w:val="22"/>
              </w:rPr>
            </w:pPr>
            <w:r w:rsidRPr="00A014FD">
              <w:rPr>
                <w:sz w:val="22"/>
              </w:rPr>
              <w:t>Demanding management</w:t>
            </w:r>
          </w:p>
        </w:tc>
        <w:tc>
          <w:tcPr>
            <w:tcW w:w="2404" w:type="dxa"/>
            <w:vAlign w:val="center"/>
          </w:tcPr>
          <w:p w14:paraId="7FFD556C" w14:textId="77777777" w:rsidR="005400D8" w:rsidRPr="00A014FD" w:rsidRDefault="005400D8" w:rsidP="00704B82">
            <w:pPr>
              <w:spacing w:line="240" w:lineRule="auto"/>
              <w:rPr>
                <w:sz w:val="22"/>
              </w:rPr>
            </w:pPr>
          </w:p>
        </w:tc>
        <w:tc>
          <w:tcPr>
            <w:tcW w:w="5082" w:type="dxa"/>
            <w:vAlign w:val="center"/>
          </w:tcPr>
          <w:p w14:paraId="34C30CD7" w14:textId="77777777" w:rsidR="005400D8" w:rsidRPr="00A014FD" w:rsidRDefault="005400D8" w:rsidP="00704B82">
            <w:pPr>
              <w:spacing w:line="240" w:lineRule="auto"/>
              <w:rPr>
                <w:sz w:val="22"/>
              </w:rPr>
            </w:pPr>
            <w:r w:rsidRPr="00A014FD">
              <w:rPr>
                <w:sz w:val="22"/>
              </w:rPr>
              <w:t>The studies use accurate predicting methods and reasonable schedule for logistics equipment to reduce the lead time, avoiding the risk of out of stock.</w:t>
            </w:r>
          </w:p>
        </w:tc>
        <w:tc>
          <w:tcPr>
            <w:tcW w:w="2966" w:type="dxa"/>
          </w:tcPr>
          <w:p w14:paraId="39D070A5" w14:textId="77777777" w:rsidR="005400D8" w:rsidRPr="00A014FD" w:rsidRDefault="005400D8" w:rsidP="00704B82">
            <w:pPr>
              <w:spacing w:line="240" w:lineRule="auto"/>
              <w:rPr>
                <w:sz w:val="22"/>
              </w:rPr>
            </w:pPr>
            <w:r w:rsidRPr="00A014FD">
              <w:rPr>
                <w:sz w:val="22"/>
              </w:rPr>
              <w:t>1,32,64,94,119,167,187,191,198, 222,248,19,205</w:t>
            </w:r>
            <w:r w:rsidRPr="00A014FD">
              <w:rPr>
                <w:sz w:val="22"/>
              </w:rPr>
              <w:t>，</w:t>
            </w:r>
            <w:r w:rsidRPr="00A014FD">
              <w:rPr>
                <w:sz w:val="22"/>
              </w:rPr>
              <w:t xml:space="preserve"> </w:t>
            </w:r>
          </w:p>
        </w:tc>
      </w:tr>
      <w:tr w:rsidR="005400D8" w:rsidRPr="00A014FD" w14:paraId="70276A70" w14:textId="77777777" w:rsidTr="00704B82">
        <w:tc>
          <w:tcPr>
            <w:tcW w:w="3246" w:type="dxa"/>
            <w:vAlign w:val="center"/>
          </w:tcPr>
          <w:p w14:paraId="5F1B6DF2" w14:textId="77777777" w:rsidR="005400D8" w:rsidRPr="00A014FD" w:rsidRDefault="005400D8" w:rsidP="00704B82">
            <w:pPr>
              <w:spacing w:line="240" w:lineRule="auto"/>
              <w:rPr>
                <w:sz w:val="22"/>
              </w:rPr>
            </w:pPr>
            <w:r w:rsidRPr="00A014FD">
              <w:rPr>
                <w:sz w:val="22"/>
              </w:rPr>
              <w:t>Literature review</w:t>
            </w:r>
          </w:p>
        </w:tc>
        <w:tc>
          <w:tcPr>
            <w:tcW w:w="2404" w:type="dxa"/>
            <w:vAlign w:val="center"/>
          </w:tcPr>
          <w:p w14:paraId="3A55B8A1" w14:textId="77777777" w:rsidR="005400D8" w:rsidRPr="00A014FD" w:rsidRDefault="005400D8" w:rsidP="00704B82">
            <w:pPr>
              <w:spacing w:line="240" w:lineRule="auto"/>
              <w:rPr>
                <w:sz w:val="22"/>
              </w:rPr>
            </w:pPr>
          </w:p>
        </w:tc>
        <w:tc>
          <w:tcPr>
            <w:tcW w:w="5082" w:type="dxa"/>
            <w:vAlign w:val="center"/>
          </w:tcPr>
          <w:p w14:paraId="0598B88E" w14:textId="77777777" w:rsidR="005400D8" w:rsidRPr="00A014FD" w:rsidRDefault="005400D8" w:rsidP="00704B82">
            <w:pPr>
              <w:spacing w:line="240" w:lineRule="auto"/>
              <w:rPr>
                <w:sz w:val="22"/>
              </w:rPr>
            </w:pPr>
          </w:p>
        </w:tc>
        <w:tc>
          <w:tcPr>
            <w:tcW w:w="2966" w:type="dxa"/>
          </w:tcPr>
          <w:p w14:paraId="4EECDEAD" w14:textId="77777777" w:rsidR="005400D8" w:rsidRPr="00A014FD" w:rsidRDefault="005400D8" w:rsidP="00704B82">
            <w:pPr>
              <w:spacing w:line="240" w:lineRule="auto"/>
              <w:rPr>
                <w:sz w:val="22"/>
              </w:rPr>
            </w:pPr>
            <w:r w:rsidRPr="00A014FD">
              <w:rPr>
                <w:sz w:val="22"/>
              </w:rPr>
              <w:t>2,17,18,27,29,63,78,100,110,111,113,118,119,120,145,166,174,176,189,209,220,228,231,236,246,247,</w:t>
            </w:r>
          </w:p>
        </w:tc>
      </w:tr>
    </w:tbl>
    <w:p w14:paraId="332B317D" w14:textId="77777777" w:rsidR="005400D8" w:rsidRPr="005146BA" w:rsidRDefault="005400D8" w:rsidP="005400D8">
      <w:pPr>
        <w:jc w:val="center"/>
        <w:rPr>
          <w:b/>
          <w:sz w:val="22"/>
        </w:rPr>
        <w:sectPr w:rsidR="005400D8" w:rsidRPr="005146BA">
          <w:pgSz w:w="16838" w:h="11906" w:orient="landscape"/>
          <w:pgMar w:top="1800" w:right="1440" w:bottom="1800" w:left="1440" w:header="851" w:footer="992" w:gutter="0"/>
          <w:cols w:space="425"/>
          <w:docGrid w:type="lines" w:linePitch="312"/>
        </w:sectPr>
      </w:pPr>
      <w:r w:rsidRPr="005146BA">
        <w:rPr>
          <w:b/>
          <w:sz w:val="22"/>
        </w:rPr>
        <w:t xml:space="preserve">Table I.2-Paper Distribution in Each Research Topics  </w:t>
      </w:r>
    </w:p>
    <w:p w14:paraId="1B166A58" w14:textId="48B257C0" w:rsidR="005400D8" w:rsidRPr="00A014FD" w:rsidRDefault="005400D8" w:rsidP="005400D8">
      <w:pPr>
        <w:pStyle w:val="Heading3"/>
        <w:numPr>
          <w:ilvl w:val="0"/>
          <w:numId w:val="0"/>
        </w:numPr>
        <w:ind w:left="720" w:hanging="720"/>
      </w:pPr>
      <w:bookmarkStart w:id="1249" w:name="_Toc491940710"/>
      <w:bookmarkStart w:id="1250" w:name="_Toc46053518"/>
      <w:bookmarkStart w:id="1251" w:name="_Toc46093432"/>
      <w:bookmarkStart w:id="1252" w:name="_Toc46093715"/>
      <w:bookmarkStart w:id="1253" w:name="_Toc66703290"/>
      <w:r w:rsidRPr="00A014FD">
        <w:lastRenderedPageBreak/>
        <w:t>Part C: Paper distribution in each Methodology</w:t>
      </w:r>
      <w:bookmarkEnd w:id="1249"/>
      <w:bookmarkEnd w:id="1250"/>
      <w:bookmarkEnd w:id="1251"/>
      <w:bookmarkEnd w:id="1252"/>
      <w:bookmarkEnd w:id="1253"/>
    </w:p>
    <w:p w14:paraId="45FA74F4" w14:textId="77777777" w:rsidR="005400D8" w:rsidRPr="00A014FD" w:rsidRDefault="005400D8" w:rsidP="005400D8">
      <w:r w:rsidRPr="00A014FD">
        <w:t xml:space="preserve">Table II.3 list the paper distribution in each </w:t>
      </w:r>
      <w:proofErr w:type="gramStart"/>
      <w:r w:rsidRPr="00A014FD">
        <w:t>methodologies</w:t>
      </w:r>
      <w:proofErr w:type="gramEnd"/>
      <w:r w:rsidRPr="00A014FD">
        <w:t xml:space="preserve"> in section 2.4</w:t>
      </w:r>
    </w:p>
    <w:tbl>
      <w:tblPr>
        <w:tblStyle w:val="TableGrid"/>
        <w:tblW w:w="0" w:type="auto"/>
        <w:tblLayout w:type="fixed"/>
        <w:tblLook w:val="04A0" w:firstRow="1" w:lastRow="0" w:firstColumn="1" w:lastColumn="0" w:noHBand="0" w:noVBand="1"/>
      </w:tblPr>
      <w:tblGrid>
        <w:gridCol w:w="1413"/>
        <w:gridCol w:w="12535"/>
      </w:tblGrid>
      <w:tr w:rsidR="005400D8" w:rsidRPr="00A014FD" w14:paraId="72FD20CC" w14:textId="77777777" w:rsidTr="00704B82">
        <w:tc>
          <w:tcPr>
            <w:tcW w:w="1413" w:type="dxa"/>
          </w:tcPr>
          <w:p w14:paraId="34659D51" w14:textId="77777777" w:rsidR="005400D8" w:rsidRPr="00A014FD" w:rsidRDefault="005400D8" w:rsidP="00704B82">
            <w:pPr>
              <w:spacing w:line="240" w:lineRule="auto"/>
              <w:rPr>
                <w:sz w:val="22"/>
              </w:rPr>
            </w:pPr>
            <w:r w:rsidRPr="00A014FD">
              <w:rPr>
                <w:sz w:val="22"/>
              </w:rPr>
              <w:t>Quantitative Modelling</w:t>
            </w:r>
          </w:p>
        </w:tc>
        <w:tc>
          <w:tcPr>
            <w:tcW w:w="12535" w:type="dxa"/>
          </w:tcPr>
          <w:p w14:paraId="3950FCC0" w14:textId="77777777" w:rsidR="005400D8" w:rsidRPr="00A014FD" w:rsidRDefault="005400D8" w:rsidP="00704B82">
            <w:pPr>
              <w:spacing w:line="240" w:lineRule="auto"/>
              <w:rPr>
                <w:sz w:val="22"/>
              </w:rPr>
            </w:pPr>
            <w:r w:rsidRPr="00A014FD">
              <w:rPr>
                <w:sz w:val="22"/>
              </w:rPr>
              <w:t>1,4,8,11,13,14,15,19,20,24,26,28,32,33,34,35,37,38,40,41,43,50,51,54,56,57,58,59,62,64,65,66,68,70,75,77,80,81,82,84,86,89,92,94,97,99,101,105,108,110,112,114,115,122,123,130,132,134,135,136,138,141,142,143,144,146,151,156,158,161,163,165,171,172,177,179,182,183,184,187,190,192,194,195,198,199,201,204,212,214,215,217,218,221,222,224,227,230,232,233,235,237,238,242,243,244,245,250,251,253</w:t>
            </w:r>
          </w:p>
        </w:tc>
      </w:tr>
      <w:tr w:rsidR="005400D8" w:rsidRPr="00A014FD" w14:paraId="05BAB02C" w14:textId="77777777" w:rsidTr="00704B82">
        <w:tc>
          <w:tcPr>
            <w:tcW w:w="1413" w:type="dxa"/>
          </w:tcPr>
          <w:p w14:paraId="73E02426" w14:textId="77777777" w:rsidR="005400D8" w:rsidRPr="00A014FD" w:rsidRDefault="005400D8" w:rsidP="00704B82">
            <w:pPr>
              <w:spacing w:line="240" w:lineRule="auto"/>
              <w:rPr>
                <w:sz w:val="22"/>
              </w:rPr>
            </w:pPr>
            <w:r w:rsidRPr="00A014FD">
              <w:rPr>
                <w:sz w:val="22"/>
              </w:rPr>
              <w:t>Case Study</w:t>
            </w:r>
          </w:p>
        </w:tc>
        <w:tc>
          <w:tcPr>
            <w:tcW w:w="12535" w:type="dxa"/>
          </w:tcPr>
          <w:p w14:paraId="78D7B153" w14:textId="77777777" w:rsidR="005400D8" w:rsidRPr="00A014FD" w:rsidRDefault="005400D8" w:rsidP="00704B82">
            <w:pPr>
              <w:spacing w:line="240" w:lineRule="auto"/>
              <w:rPr>
                <w:sz w:val="22"/>
              </w:rPr>
            </w:pPr>
            <w:r w:rsidRPr="00A014FD">
              <w:rPr>
                <w:sz w:val="22"/>
              </w:rPr>
              <w:t>1,2,3,6,8,15,16,18,19,20,22,23,24,33,34,35,36,40,42,43,44,48,50,51,54,55,59,61,62,64,68,74,75,77,85,88,95,97,99,100,101,102,105,116,119,122,123,124,126,137,138,142,148,149,150,151,157,158,159,160,167,168,171,172,173,177,180,181,182,184,186,187,192,193,194,197,208,211,214,216,218,221,224,225,229,234,237,240,244,250</w:t>
            </w:r>
          </w:p>
        </w:tc>
      </w:tr>
      <w:tr w:rsidR="005400D8" w:rsidRPr="00A014FD" w14:paraId="56924C95" w14:textId="77777777" w:rsidTr="00704B82">
        <w:tc>
          <w:tcPr>
            <w:tcW w:w="1413" w:type="dxa"/>
          </w:tcPr>
          <w:p w14:paraId="66053491" w14:textId="77777777" w:rsidR="005400D8" w:rsidRPr="00A014FD" w:rsidRDefault="005400D8" w:rsidP="00704B82">
            <w:pPr>
              <w:spacing w:line="240" w:lineRule="auto"/>
              <w:rPr>
                <w:sz w:val="22"/>
              </w:rPr>
            </w:pPr>
            <w:r w:rsidRPr="00A014FD">
              <w:rPr>
                <w:sz w:val="22"/>
              </w:rPr>
              <w:t>Literature Review</w:t>
            </w:r>
          </w:p>
        </w:tc>
        <w:tc>
          <w:tcPr>
            <w:tcW w:w="12535" w:type="dxa"/>
          </w:tcPr>
          <w:p w14:paraId="70BE7B6F" w14:textId="77777777" w:rsidR="005400D8" w:rsidRPr="00A014FD" w:rsidRDefault="005400D8" w:rsidP="00704B82">
            <w:pPr>
              <w:spacing w:line="240" w:lineRule="auto"/>
              <w:rPr>
                <w:sz w:val="22"/>
              </w:rPr>
            </w:pPr>
            <w:r w:rsidRPr="00A014FD">
              <w:rPr>
                <w:sz w:val="22"/>
              </w:rPr>
              <w:t>5,10,12,17,27,29,39,46,52,63,71,72,76,78,98,111,118,120,129,139,145,147,164,166,174,188,189,196,200,209,220,228,231,246,247</w:t>
            </w:r>
          </w:p>
        </w:tc>
      </w:tr>
      <w:tr w:rsidR="005400D8" w:rsidRPr="00A014FD" w14:paraId="719907BE" w14:textId="77777777" w:rsidTr="00704B82">
        <w:tc>
          <w:tcPr>
            <w:tcW w:w="1413" w:type="dxa"/>
          </w:tcPr>
          <w:p w14:paraId="4590C253" w14:textId="77777777" w:rsidR="005400D8" w:rsidRPr="00A014FD" w:rsidRDefault="005400D8" w:rsidP="00704B82">
            <w:pPr>
              <w:spacing w:line="240" w:lineRule="auto"/>
              <w:rPr>
                <w:sz w:val="22"/>
              </w:rPr>
            </w:pPr>
            <w:r w:rsidRPr="00A014FD">
              <w:rPr>
                <w:sz w:val="22"/>
              </w:rPr>
              <w:t>Experiment</w:t>
            </w:r>
          </w:p>
        </w:tc>
        <w:tc>
          <w:tcPr>
            <w:tcW w:w="12535" w:type="dxa"/>
          </w:tcPr>
          <w:p w14:paraId="5D7BCDF5" w14:textId="77777777" w:rsidR="005400D8" w:rsidRPr="00A014FD" w:rsidRDefault="005400D8" w:rsidP="00704B82">
            <w:pPr>
              <w:spacing w:line="240" w:lineRule="auto"/>
              <w:rPr>
                <w:sz w:val="22"/>
              </w:rPr>
            </w:pPr>
            <w:r w:rsidRPr="00A014FD">
              <w:rPr>
                <w:sz w:val="22"/>
              </w:rPr>
              <w:t>04,14,26,32,37,41,53,56,57,58,65,70,79,80,81,82,84,86,89,94,109,110,112,115,130,132,134,135,136,141,144,146,155,156,195,198,204,230,233,238,242,243,251,253</w:t>
            </w:r>
          </w:p>
        </w:tc>
      </w:tr>
      <w:tr w:rsidR="005400D8" w:rsidRPr="00A014FD" w14:paraId="7E9026E1" w14:textId="77777777" w:rsidTr="00704B82">
        <w:tc>
          <w:tcPr>
            <w:tcW w:w="1413" w:type="dxa"/>
          </w:tcPr>
          <w:p w14:paraId="16CAF8C4" w14:textId="77777777" w:rsidR="005400D8" w:rsidRPr="00A014FD" w:rsidRDefault="005400D8" w:rsidP="00704B82">
            <w:pPr>
              <w:spacing w:line="240" w:lineRule="auto"/>
              <w:rPr>
                <w:sz w:val="22"/>
              </w:rPr>
            </w:pPr>
            <w:r w:rsidRPr="00A014FD">
              <w:rPr>
                <w:sz w:val="22"/>
              </w:rPr>
              <w:t>Survey</w:t>
            </w:r>
          </w:p>
        </w:tc>
        <w:tc>
          <w:tcPr>
            <w:tcW w:w="12535" w:type="dxa"/>
          </w:tcPr>
          <w:p w14:paraId="03B62AAF" w14:textId="77777777" w:rsidR="005400D8" w:rsidRPr="00A014FD" w:rsidRDefault="005400D8" w:rsidP="00704B82">
            <w:pPr>
              <w:spacing w:line="240" w:lineRule="auto"/>
              <w:rPr>
                <w:sz w:val="22"/>
              </w:rPr>
            </w:pPr>
            <w:r w:rsidRPr="00A014FD">
              <w:rPr>
                <w:sz w:val="22"/>
              </w:rPr>
              <w:t>2,7,13,16,21,23,25,30,31,33,36,42,44,49,67,69,73,85,87,93,95,96,100,103,107,113,114,116,117,119,121,124,125,126,127,128,131,137,140,148,149,150,153,154,157,160,162,167,169,170,175,178,186,191,193,197,202,205,206,208,210,213,216,217,219,223,226,239,241,248,249,252</w:t>
            </w:r>
          </w:p>
        </w:tc>
      </w:tr>
      <w:tr w:rsidR="005400D8" w:rsidRPr="00A014FD" w14:paraId="6FFC08B2" w14:textId="77777777" w:rsidTr="00704B82">
        <w:tc>
          <w:tcPr>
            <w:tcW w:w="1413" w:type="dxa"/>
          </w:tcPr>
          <w:p w14:paraId="7B30857D" w14:textId="77777777" w:rsidR="005400D8" w:rsidRPr="00A014FD" w:rsidRDefault="005400D8" w:rsidP="00704B82">
            <w:pPr>
              <w:spacing w:line="240" w:lineRule="auto"/>
              <w:rPr>
                <w:sz w:val="22"/>
              </w:rPr>
            </w:pPr>
            <w:r w:rsidRPr="00A014FD">
              <w:rPr>
                <w:sz w:val="22"/>
              </w:rPr>
              <w:t>Simulation</w:t>
            </w:r>
          </w:p>
        </w:tc>
        <w:tc>
          <w:tcPr>
            <w:tcW w:w="12535" w:type="dxa"/>
          </w:tcPr>
          <w:p w14:paraId="0F7E0114" w14:textId="77777777" w:rsidR="005400D8" w:rsidRPr="00A014FD" w:rsidRDefault="005400D8" w:rsidP="00704B82">
            <w:pPr>
              <w:spacing w:line="240" w:lineRule="auto"/>
              <w:rPr>
                <w:sz w:val="22"/>
              </w:rPr>
            </w:pPr>
            <w:r w:rsidRPr="00A014FD">
              <w:rPr>
                <w:sz w:val="22"/>
              </w:rPr>
              <w:t>9,22,45,48,53,60,74,79,83,90,91,92,102,104,108,109,133,152,159,180,183,185,201,203,207,211,212,225</w:t>
            </w:r>
          </w:p>
        </w:tc>
      </w:tr>
    </w:tbl>
    <w:p w14:paraId="32E689DA" w14:textId="77777777" w:rsidR="005400D8" w:rsidRPr="005146BA" w:rsidRDefault="005400D8" w:rsidP="005400D8">
      <w:pPr>
        <w:jc w:val="center"/>
        <w:rPr>
          <w:b/>
          <w:sz w:val="22"/>
        </w:rPr>
      </w:pPr>
      <w:r w:rsidRPr="005146BA">
        <w:rPr>
          <w:b/>
          <w:sz w:val="22"/>
        </w:rPr>
        <w:t>Table I.3 -Paper Distribution in each Methodologies in the field of SUL</w:t>
      </w:r>
    </w:p>
    <w:p w14:paraId="51434D55" w14:textId="77777777" w:rsidR="005400D8" w:rsidRPr="00A014FD" w:rsidRDefault="005400D8" w:rsidP="005400D8">
      <w:pPr>
        <w:jc w:val="center"/>
        <w:rPr>
          <w:sz w:val="22"/>
        </w:rPr>
      </w:pPr>
    </w:p>
    <w:p w14:paraId="1DFA8741" w14:textId="77777777" w:rsidR="005400D8" w:rsidRPr="00A014FD" w:rsidRDefault="005400D8" w:rsidP="005400D8">
      <w:pPr>
        <w:spacing w:line="240" w:lineRule="auto"/>
        <w:jc w:val="left"/>
      </w:pPr>
      <w:r w:rsidRPr="00A014FD">
        <w:br w:type="page"/>
      </w:r>
    </w:p>
    <w:p w14:paraId="2F238621" w14:textId="5F7D2F68" w:rsidR="005400D8" w:rsidRPr="00F16005" w:rsidRDefault="005400D8" w:rsidP="005400D8">
      <w:pPr>
        <w:pStyle w:val="Heading2"/>
        <w:numPr>
          <w:ilvl w:val="0"/>
          <w:numId w:val="0"/>
        </w:numPr>
        <w:spacing w:after="163"/>
        <w:ind w:left="576" w:hanging="576"/>
        <w:rPr>
          <w:rStyle w:val="fontstyle01"/>
          <w:rFonts w:ascii="Times New Roman" w:hAnsi="Times New Roman"/>
          <w:color w:val="1F4E79" w:themeColor="accent1" w:themeShade="80"/>
          <w:sz w:val="32"/>
          <w:szCs w:val="32"/>
        </w:rPr>
      </w:pPr>
      <w:bookmarkStart w:id="1254" w:name="_Toc491940711"/>
      <w:bookmarkStart w:id="1255" w:name="_Toc46053519"/>
      <w:bookmarkStart w:id="1256" w:name="_Toc46093433"/>
      <w:bookmarkStart w:id="1257" w:name="_Toc46093716"/>
      <w:bookmarkStart w:id="1258" w:name="_Toc66703291"/>
      <w:r w:rsidRPr="00F16005">
        <w:rPr>
          <w:rStyle w:val="fontstyle01"/>
          <w:rFonts w:ascii="Times New Roman" w:hAnsi="Times New Roman"/>
          <w:color w:val="1F4E79" w:themeColor="accent1" w:themeShade="80"/>
          <w:sz w:val="32"/>
          <w:szCs w:val="32"/>
        </w:rPr>
        <w:lastRenderedPageBreak/>
        <w:t>Appendix II</w:t>
      </w:r>
      <w:r>
        <w:rPr>
          <w:rStyle w:val="fontstyle01"/>
          <w:rFonts w:ascii="Times New Roman" w:hAnsi="Times New Roman"/>
          <w:color w:val="1F4E79" w:themeColor="accent1" w:themeShade="80"/>
          <w:sz w:val="32"/>
          <w:szCs w:val="32"/>
        </w:rPr>
        <w:t>:</w:t>
      </w:r>
      <w:r w:rsidRPr="00F16005">
        <w:rPr>
          <w:rStyle w:val="fontstyle01"/>
          <w:rFonts w:ascii="Times New Roman" w:hAnsi="Times New Roman"/>
          <w:color w:val="1F4E79" w:themeColor="accent1" w:themeShade="80"/>
          <w:sz w:val="32"/>
          <w:szCs w:val="32"/>
        </w:rPr>
        <w:t xml:space="preserve"> Statistics Process of the Literature Review on UCC.</w:t>
      </w:r>
      <w:bookmarkEnd w:id="1254"/>
      <w:bookmarkEnd w:id="1255"/>
      <w:bookmarkEnd w:id="1256"/>
      <w:bookmarkEnd w:id="1257"/>
      <w:bookmarkEnd w:id="1258"/>
      <w:r w:rsidRPr="00F16005">
        <w:rPr>
          <w:rStyle w:val="fontstyle01"/>
          <w:rFonts w:ascii="Times New Roman" w:hAnsi="Times New Roman"/>
          <w:color w:val="1F4E79" w:themeColor="accent1" w:themeShade="80"/>
          <w:sz w:val="32"/>
          <w:szCs w:val="32"/>
        </w:rPr>
        <w:t xml:space="preserve"> </w:t>
      </w:r>
    </w:p>
    <w:tbl>
      <w:tblPr>
        <w:tblStyle w:val="TableGrid"/>
        <w:tblW w:w="0" w:type="auto"/>
        <w:tblLook w:val="04A0" w:firstRow="1" w:lastRow="0" w:firstColumn="1" w:lastColumn="0" w:noHBand="0" w:noVBand="1"/>
      </w:tblPr>
      <w:tblGrid>
        <w:gridCol w:w="13178"/>
        <w:gridCol w:w="770"/>
      </w:tblGrid>
      <w:tr w:rsidR="005400D8" w:rsidRPr="00A014FD" w14:paraId="0FB79B39" w14:textId="77777777" w:rsidTr="00704B82">
        <w:trPr>
          <w:trHeight w:val="285"/>
        </w:trPr>
        <w:tc>
          <w:tcPr>
            <w:tcW w:w="13178" w:type="dxa"/>
            <w:noWrap/>
            <w:hideMark/>
          </w:tcPr>
          <w:p w14:paraId="00DD7EB4" w14:textId="77777777" w:rsidR="005400D8" w:rsidRPr="00A014FD" w:rsidRDefault="005400D8" w:rsidP="00704B82">
            <w:pPr>
              <w:spacing w:line="240" w:lineRule="auto"/>
              <w:rPr>
                <w:sz w:val="22"/>
              </w:rPr>
            </w:pPr>
            <w:r w:rsidRPr="00A014FD">
              <w:rPr>
                <w:sz w:val="22"/>
              </w:rPr>
              <w:t xml:space="preserve">Using rail to make urban freight </w:t>
            </w:r>
            <w:proofErr w:type="spellStart"/>
            <w:r w:rsidRPr="00A014FD">
              <w:rPr>
                <w:sz w:val="22"/>
              </w:rPr>
              <w:t>distributionmore</w:t>
            </w:r>
            <w:proofErr w:type="spellEnd"/>
            <w:r w:rsidRPr="00A014FD">
              <w:rPr>
                <w:sz w:val="22"/>
              </w:rPr>
              <w:t xml:space="preserve"> sustainable.</w:t>
            </w:r>
          </w:p>
        </w:tc>
        <w:tc>
          <w:tcPr>
            <w:tcW w:w="770" w:type="dxa"/>
            <w:noWrap/>
            <w:hideMark/>
          </w:tcPr>
          <w:p w14:paraId="4C526348" w14:textId="77777777" w:rsidR="005400D8" w:rsidRPr="00A014FD" w:rsidRDefault="005400D8" w:rsidP="00704B82">
            <w:pPr>
              <w:spacing w:line="240" w:lineRule="auto"/>
              <w:rPr>
                <w:sz w:val="22"/>
              </w:rPr>
            </w:pPr>
            <w:r w:rsidRPr="00A014FD">
              <w:rPr>
                <w:sz w:val="22"/>
              </w:rPr>
              <w:t>1B</w:t>
            </w:r>
          </w:p>
        </w:tc>
      </w:tr>
      <w:tr w:rsidR="005400D8" w:rsidRPr="00A014FD" w14:paraId="3C01B476" w14:textId="77777777" w:rsidTr="00704B82">
        <w:trPr>
          <w:trHeight w:val="285"/>
        </w:trPr>
        <w:tc>
          <w:tcPr>
            <w:tcW w:w="13178" w:type="dxa"/>
            <w:noWrap/>
            <w:hideMark/>
          </w:tcPr>
          <w:p w14:paraId="11CAA563" w14:textId="77777777" w:rsidR="005400D8" w:rsidRPr="00A014FD" w:rsidRDefault="005400D8" w:rsidP="00704B82">
            <w:pPr>
              <w:spacing w:line="240" w:lineRule="auto"/>
              <w:rPr>
                <w:sz w:val="22"/>
              </w:rPr>
            </w:pPr>
            <w:r w:rsidRPr="00A014FD">
              <w:rPr>
                <w:sz w:val="22"/>
              </w:rPr>
              <w:t>A stakeholder-based evaluation of the most suitable and sustainable delivery fleet for freight consolidation policies in the inner-city area</w:t>
            </w:r>
          </w:p>
        </w:tc>
        <w:tc>
          <w:tcPr>
            <w:tcW w:w="770" w:type="dxa"/>
            <w:noWrap/>
            <w:hideMark/>
          </w:tcPr>
          <w:p w14:paraId="26378BFA" w14:textId="77777777" w:rsidR="005400D8" w:rsidRPr="00A014FD" w:rsidRDefault="005400D8" w:rsidP="00704B82">
            <w:pPr>
              <w:spacing w:line="240" w:lineRule="auto"/>
              <w:rPr>
                <w:sz w:val="22"/>
              </w:rPr>
            </w:pPr>
            <w:r w:rsidRPr="00A014FD">
              <w:rPr>
                <w:sz w:val="22"/>
              </w:rPr>
              <w:t>2B</w:t>
            </w:r>
          </w:p>
        </w:tc>
      </w:tr>
      <w:tr w:rsidR="005400D8" w:rsidRPr="00A014FD" w14:paraId="5387984C" w14:textId="77777777" w:rsidTr="00704B82">
        <w:trPr>
          <w:trHeight w:val="285"/>
        </w:trPr>
        <w:tc>
          <w:tcPr>
            <w:tcW w:w="13178" w:type="dxa"/>
            <w:noWrap/>
            <w:hideMark/>
          </w:tcPr>
          <w:p w14:paraId="2874E703" w14:textId="77777777" w:rsidR="005400D8" w:rsidRPr="00A014FD" w:rsidRDefault="005400D8" w:rsidP="00704B82">
            <w:pPr>
              <w:spacing w:line="240" w:lineRule="auto"/>
              <w:rPr>
                <w:sz w:val="22"/>
              </w:rPr>
            </w:pPr>
            <w:r w:rsidRPr="00A014FD">
              <w:rPr>
                <w:sz w:val="22"/>
              </w:rPr>
              <w:t>Sustainability strategies for city logistics." Green Logistics. Improving the environmental sustainability of logistics</w:t>
            </w:r>
          </w:p>
        </w:tc>
        <w:tc>
          <w:tcPr>
            <w:tcW w:w="770" w:type="dxa"/>
            <w:noWrap/>
            <w:hideMark/>
          </w:tcPr>
          <w:p w14:paraId="27CF3742" w14:textId="77777777" w:rsidR="005400D8" w:rsidRPr="00A014FD" w:rsidRDefault="005400D8" w:rsidP="00704B82">
            <w:pPr>
              <w:spacing w:line="240" w:lineRule="auto"/>
              <w:rPr>
                <w:sz w:val="22"/>
              </w:rPr>
            </w:pPr>
            <w:r w:rsidRPr="00A014FD">
              <w:rPr>
                <w:sz w:val="22"/>
              </w:rPr>
              <w:t>3B</w:t>
            </w:r>
          </w:p>
        </w:tc>
      </w:tr>
      <w:tr w:rsidR="005400D8" w:rsidRPr="00A014FD" w14:paraId="091A27AF" w14:textId="77777777" w:rsidTr="00704B82">
        <w:trPr>
          <w:trHeight w:val="285"/>
        </w:trPr>
        <w:tc>
          <w:tcPr>
            <w:tcW w:w="13178" w:type="dxa"/>
            <w:noWrap/>
            <w:hideMark/>
          </w:tcPr>
          <w:p w14:paraId="13EA73BA" w14:textId="77777777" w:rsidR="005400D8" w:rsidRPr="00A014FD" w:rsidRDefault="005400D8" w:rsidP="00704B82">
            <w:pPr>
              <w:spacing w:line="240" w:lineRule="auto"/>
              <w:rPr>
                <w:sz w:val="22"/>
              </w:rPr>
            </w:pPr>
            <w:r w:rsidRPr="00A014FD">
              <w:rPr>
                <w:sz w:val="22"/>
              </w:rPr>
              <w:t xml:space="preserve">The Role of Urban Consolidation </w:t>
            </w:r>
            <w:proofErr w:type="spellStart"/>
            <w:r w:rsidRPr="00A014FD">
              <w:rPr>
                <w:sz w:val="22"/>
              </w:rPr>
              <w:t>Centres</w:t>
            </w:r>
            <w:proofErr w:type="spellEnd"/>
            <w:r w:rsidRPr="00A014FD">
              <w:rPr>
                <w:sz w:val="22"/>
              </w:rPr>
              <w:t xml:space="preserve"> in Sustainable Freight Transport.</w:t>
            </w:r>
          </w:p>
        </w:tc>
        <w:tc>
          <w:tcPr>
            <w:tcW w:w="770" w:type="dxa"/>
            <w:noWrap/>
            <w:hideMark/>
          </w:tcPr>
          <w:p w14:paraId="2466716D" w14:textId="77777777" w:rsidR="005400D8" w:rsidRPr="00A014FD" w:rsidRDefault="005400D8" w:rsidP="00704B82">
            <w:pPr>
              <w:spacing w:line="240" w:lineRule="auto"/>
              <w:rPr>
                <w:sz w:val="22"/>
              </w:rPr>
            </w:pPr>
            <w:r w:rsidRPr="00A014FD">
              <w:rPr>
                <w:sz w:val="22"/>
              </w:rPr>
              <w:t>4B</w:t>
            </w:r>
          </w:p>
        </w:tc>
      </w:tr>
      <w:tr w:rsidR="005400D8" w:rsidRPr="00A014FD" w14:paraId="01A521A0" w14:textId="77777777" w:rsidTr="00704B82">
        <w:trPr>
          <w:trHeight w:val="285"/>
        </w:trPr>
        <w:tc>
          <w:tcPr>
            <w:tcW w:w="13178" w:type="dxa"/>
            <w:noWrap/>
            <w:hideMark/>
          </w:tcPr>
          <w:p w14:paraId="4B712A2F" w14:textId="77777777" w:rsidR="005400D8" w:rsidRPr="00A014FD" w:rsidRDefault="005400D8" w:rsidP="00704B82">
            <w:pPr>
              <w:spacing w:line="240" w:lineRule="auto"/>
              <w:rPr>
                <w:sz w:val="22"/>
              </w:rPr>
            </w:pPr>
            <w:r w:rsidRPr="00A014FD">
              <w:rPr>
                <w:sz w:val="22"/>
              </w:rPr>
              <w:t xml:space="preserve">A review of urban consolidation </w:t>
            </w:r>
            <w:proofErr w:type="spellStart"/>
            <w:r w:rsidRPr="00A014FD">
              <w:rPr>
                <w:sz w:val="22"/>
              </w:rPr>
              <w:t>centres</w:t>
            </w:r>
            <w:proofErr w:type="spellEnd"/>
            <w:r w:rsidRPr="00A014FD">
              <w:rPr>
                <w:sz w:val="22"/>
              </w:rPr>
              <w:t xml:space="preserve"> in the supply chain based on a case study approach.</w:t>
            </w:r>
          </w:p>
        </w:tc>
        <w:tc>
          <w:tcPr>
            <w:tcW w:w="770" w:type="dxa"/>
            <w:noWrap/>
            <w:hideMark/>
          </w:tcPr>
          <w:p w14:paraId="4F6C1D19" w14:textId="77777777" w:rsidR="005400D8" w:rsidRPr="00A014FD" w:rsidRDefault="005400D8" w:rsidP="00704B82">
            <w:pPr>
              <w:spacing w:line="240" w:lineRule="auto"/>
              <w:rPr>
                <w:sz w:val="22"/>
              </w:rPr>
            </w:pPr>
            <w:r w:rsidRPr="00A014FD">
              <w:rPr>
                <w:sz w:val="22"/>
              </w:rPr>
              <w:t>5B</w:t>
            </w:r>
          </w:p>
        </w:tc>
      </w:tr>
      <w:tr w:rsidR="005400D8" w:rsidRPr="00A014FD" w14:paraId="593A0FDC" w14:textId="77777777" w:rsidTr="00704B82">
        <w:trPr>
          <w:trHeight w:val="285"/>
        </w:trPr>
        <w:tc>
          <w:tcPr>
            <w:tcW w:w="13178" w:type="dxa"/>
            <w:noWrap/>
            <w:hideMark/>
          </w:tcPr>
          <w:p w14:paraId="3707ACED" w14:textId="77777777" w:rsidR="005400D8" w:rsidRPr="00A014FD" w:rsidRDefault="005400D8" w:rsidP="00704B82">
            <w:pPr>
              <w:spacing w:line="240" w:lineRule="auto"/>
              <w:rPr>
                <w:sz w:val="22"/>
              </w:rPr>
            </w:pPr>
            <w:r w:rsidRPr="00A014FD">
              <w:rPr>
                <w:sz w:val="22"/>
              </w:rPr>
              <w:t>A methodology to anticipate the activity level of collaborative networks: The case of urban consolidation.</w:t>
            </w:r>
          </w:p>
        </w:tc>
        <w:tc>
          <w:tcPr>
            <w:tcW w:w="770" w:type="dxa"/>
            <w:noWrap/>
            <w:hideMark/>
          </w:tcPr>
          <w:p w14:paraId="3C81C39C" w14:textId="77777777" w:rsidR="005400D8" w:rsidRPr="00A014FD" w:rsidRDefault="005400D8" w:rsidP="00704B82">
            <w:pPr>
              <w:spacing w:line="240" w:lineRule="auto"/>
              <w:rPr>
                <w:sz w:val="22"/>
              </w:rPr>
            </w:pPr>
            <w:r w:rsidRPr="00A014FD">
              <w:rPr>
                <w:sz w:val="22"/>
              </w:rPr>
              <w:t>6B</w:t>
            </w:r>
          </w:p>
        </w:tc>
      </w:tr>
      <w:tr w:rsidR="005400D8" w:rsidRPr="00A014FD" w14:paraId="3C6806B3" w14:textId="77777777" w:rsidTr="00704B82">
        <w:trPr>
          <w:trHeight w:val="285"/>
        </w:trPr>
        <w:tc>
          <w:tcPr>
            <w:tcW w:w="13178" w:type="dxa"/>
            <w:noWrap/>
            <w:hideMark/>
          </w:tcPr>
          <w:p w14:paraId="237F631C" w14:textId="77777777" w:rsidR="005400D8" w:rsidRPr="00A014FD" w:rsidRDefault="005400D8" w:rsidP="00704B82">
            <w:pPr>
              <w:spacing w:line="240" w:lineRule="auto"/>
              <w:rPr>
                <w:sz w:val="22"/>
              </w:rPr>
            </w:pPr>
            <w:r w:rsidRPr="00A014FD">
              <w:rPr>
                <w:sz w:val="22"/>
              </w:rPr>
              <w:t xml:space="preserve">Critical factors for viable business models for urban consolidation </w:t>
            </w:r>
            <w:proofErr w:type="spellStart"/>
            <w:r w:rsidRPr="00A014FD">
              <w:rPr>
                <w:sz w:val="22"/>
              </w:rPr>
              <w:t>centres</w:t>
            </w:r>
            <w:proofErr w:type="spellEnd"/>
            <w:r w:rsidRPr="00A014FD">
              <w:rPr>
                <w:sz w:val="22"/>
              </w:rPr>
              <w:t>.</w:t>
            </w:r>
          </w:p>
        </w:tc>
        <w:tc>
          <w:tcPr>
            <w:tcW w:w="770" w:type="dxa"/>
            <w:noWrap/>
            <w:hideMark/>
          </w:tcPr>
          <w:p w14:paraId="6909EA22" w14:textId="77777777" w:rsidR="005400D8" w:rsidRPr="00A014FD" w:rsidRDefault="005400D8" w:rsidP="00704B82">
            <w:pPr>
              <w:spacing w:line="240" w:lineRule="auto"/>
              <w:rPr>
                <w:sz w:val="22"/>
              </w:rPr>
            </w:pPr>
            <w:r w:rsidRPr="00A014FD">
              <w:rPr>
                <w:sz w:val="22"/>
              </w:rPr>
              <w:t>7B</w:t>
            </w:r>
          </w:p>
        </w:tc>
      </w:tr>
      <w:tr w:rsidR="005400D8" w:rsidRPr="00A014FD" w14:paraId="79FFAAA3" w14:textId="77777777" w:rsidTr="00704B82">
        <w:trPr>
          <w:trHeight w:val="285"/>
        </w:trPr>
        <w:tc>
          <w:tcPr>
            <w:tcW w:w="13178" w:type="dxa"/>
            <w:noWrap/>
            <w:hideMark/>
          </w:tcPr>
          <w:p w14:paraId="7DD5CD87" w14:textId="77777777" w:rsidR="005400D8" w:rsidRPr="00A014FD" w:rsidRDefault="005400D8" w:rsidP="00704B82">
            <w:pPr>
              <w:spacing w:line="240" w:lineRule="auto"/>
              <w:rPr>
                <w:sz w:val="22"/>
              </w:rPr>
            </w:pPr>
            <w:r w:rsidRPr="00A014FD">
              <w:rPr>
                <w:sz w:val="22"/>
              </w:rPr>
              <w:t xml:space="preserve">Urban consolidation </w:t>
            </w:r>
            <w:proofErr w:type="spellStart"/>
            <w:r w:rsidRPr="00A014FD">
              <w:rPr>
                <w:sz w:val="22"/>
              </w:rPr>
              <w:t>centre</w:t>
            </w:r>
            <w:proofErr w:type="spellEnd"/>
            <w:r w:rsidRPr="00A014FD">
              <w:rPr>
                <w:sz w:val="22"/>
              </w:rPr>
              <w:t xml:space="preserve"> – a literature review, </w:t>
            </w:r>
            <w:proofErr w:type="spellStart"/>
            <w:r w:rsidRPr="00A014FD">
              <w:rPr>
                <w:sz w:val="22"/>
              </w:rPr>
              <w:t>categorisation</w:t>
            </w:r>
            <w:proofErr w:type="spellEnd"/>
            <w:r w:rsidRPr="00A014FD">
              <w:rPr>
                <w:sz w:val="22"/>
              </w:rPr>
              <w:t>, and a future research agenda.</w:t>
            </w:r>
          </w:p>
        </w:tc>
        <w:tc>
          <w:tcPr>
            <w:tcW w:w="770" w:type="dxa"/>
            <w:noWrap/>
            <w:hideMark/>
          </w:tcPr>
          <w:p w14:paraId="0E3A9F58" w14:textId="77777777" w:rsidR="005400D8" w:rsidRPr="00A014FD" w:rsidRDefault="005400D8" w:rsidP="00704B82">
            <w:pPr>
              <w:spacing w:line="240" w:lineRule="auto"/>
              <w:rPr>
                <w:sz w:val="22"/>
              </w:rPr>
            </w:pPr>
            <w:r w:rsidRPr="00A014FD">
              <w:rPr>
                <w:sz w:val="22"/>
              </w:rPr>
              <w:t>8B</w:t>
            </w:r>
          </w:p>
        </w:tc>
      </w:tr>
      <w:tr w:rsidR="005400D8" w:rsidRPr="00A014FD" w14:paraId="32E1D6ED" w14:textId="77777777" w:rsidTr="00704B82">
        <w:trPr>
          <w:trHeight w:val="285"/>
        </w:trPr>
        <w:tc>
          <w:tcPr>
            <w:tcW w:w="13178" w:type="dxa"/>
            <w:noWrap/>
            <w:hideMark/>
          </w:tcPr>
          <w:p w14:paraId="60422DD8" w14:textId="77777777" w:rsidR="005400D8" w:rsidRPr="00A014FD" w:rsidRDefault="005400D8" w:rsidP="00704B82">
            <w:pPr>
              <w:spacing w:line="240" w:lineRule="auto"/>
              <w:rPr>
                <w:sz w:val="22"/>
              </w:rPr>
            </w:pPr>
            <w:r w:rsidRPr="00A014FD">
              <w:rPr>
                <w:sz w:val="22"/>
              </w:rPr>
              <w:t>A multi-</w:t>
            </w:r>
            <w:proofErr w:type="gramStart"/>
            <w:r w:rsidRPr="00A014FD">
              <w:rPr>
                <w:sz w:val="22"/>
              </w:rPr>
              <w:t>criteria decision making</w:t>
            </w:r>
            <w:proofErr w:type="gramEnd"/>
            <w:r w:rsidRPr="00A014FD">
              <w:rPr>
                <w:sz w:val="22"/>
              </w:rPr>
              <w:t xml:space="preserve"> approach based on fuzzy theory and fuzzy preference relations for urban distribution centers</w:t>
            </w:r>
          </w:p>
        </w:tc>
        <w:tc>
          <w:tcPr>
            <w:tcW w:w="770" w:type="dxa"/>
            <w:noWrap/>
            <w:hideMark/>
          </w:tcPr>
          <w:p w14:paraId="65E59068" w14:textId="77777777" w:rsidR="005400D8" w:rsidRPr="00A014FD" w:rsidRDefault="005400D8" w:rsidP="00704B82">
            <w:pPr>
              <w:spacing w:line="240" w:lineRule="auto"/>
              <w:rPr>
                <w:sz w:val="22"/>
              </w:rPr>
            </w:pPr>
            <w:r w:rsidRPr="00A014FD">
              <w:rPr>
                <w:sz w:val="22"/>
              </w:rPr>
              <w:t>9B</w:t>
            </w:r>
          </w:p>
        </w:tc>
      </w:tr>
      <w:tr w:rsidR="005400D8" w:rsidRPr="00A014FD" w14:paraId="180CA0C5" w14:textId="77777777" w:rsidTr="00704B82">
        <w:trPr>
          <w:trHeight w:val="285"/>
        </w:trPr>
        <w:tc>
          <w:tcPr>
            <w:tcW w:w="13178" w:type="dxa"/>
            <w:noWrap/>
            <w:hideMark/>
          </w:tcPr>
          <w:p w14:paraId="1CFF0037" w14:textId="77777777" w:rsidR="005400D8" w:rsidRPr="00A014FD" w:rsidRDefault="005400D8" w:rsidP="00704B82">
            <w:pPr>
              <w:spacing w:line="240" w:lineRule="auto"/>
              <w:rPr>
                <w:sz w:val="22"/>
              </w:rPr>
            </w:pPr>
            <w:r w:rsidRPr="00A014FD">
              <w:rPr>
                <w:sz w:val="22"/>
              </w:rPr>
              <w:t xml:space="preserve">Evaluating the use of an urban consolidation </w:t>
            </w:r>
            <w:proofErr w:type="spellStart"/>
            <w:r w:rsidRPr="00A014FD">
              <w:rPr>
                <w:sz w:val="22"/>
              </w:rPr>
              <w:t>centre</w:t>
            </w:r>
            <w:proofErr w:type="spellEnd"/>
            <w:r w:rsidRPr="00A014FD">
              <w:rPr>
                <w:sz w:val="22"/>
              </w:rPr>
              <w:t xml:space="preserve"> and electric vehicles in central London</w:t>
            </w:r>
          </w:p>
        </w:tc>
        <w:tc>
          <w:tcPr>
            <w:tcW w:w="770" w:type="dxa"/>
            <w:noWrap/>
            <w:hideMark/>
          </w:tcPr>
          <w:p w14:paraId="7DB807B5" w14:textId="77777777" w:rsidR="005400D8" w:rsidRPr="00A014FD" w:rsidRDefault="005400D8" w:rsidP="00704B82">
            <w:pPr>
              <w:spacing w:line="240" w:lineRule="auto"/>
              <w:rPr>
                <w:sz w:val="22"/>
              </w:rPr>
            </w:pPr>
            <w:r w:rsidRPr="00A014FD">
              <w:rPr>
                <w:sz w:val="22"/>
              </w:rPr>
              <w:t>10B</w:t>
            </w:r>
          </w:p>
        </w:tc>
      </w:tr>
      <w:tr w:rsidR="005400D8" w:rsidRPr="00A014FD" w14:paraId="45A6C8B3" w14:textId="77777777" w:rsidTr="00704B82">
        <w:trPr>
          <w:trHeight w:val="285"/>
        </w:trPr>
        <w:tc>
          <w:tcPr>
            <w:tcW w:w="13178" w:type="dxa"/>
            <w:noWrap/>
            <w:hideMark/>
          </w:tcPr>
          <w:p w14:paraId="37805C57" w14:textId="77777777" w:rsidR="005400D8" w:rsidRPr="00A014FD" w:rsidRDefault="005400D8" w:rsidP="00704B82">
            <w:pPr>
              <w:spacing w:line="240" w:lineRule="auto"/>
              <w:rPr>
                <w:sz w:val="22"/>
              </w:rPr>
            </w:pPr>
            <w:r w:rsidRPr="00A014FD">
              <w:rPr>
                <w:sz w:val="22"/>
              </w:rPr>
              <w:t xml:space="preserve">Evaluating the potential for urban consolidation </w:t>
            </w:r>
            <w:proofErr w:type="spellStart"/>
            <w:r w:rsidRPr="00A014FD">
              <w:rPr>
                <w:sz w:val="22"/>
              </w:rPr>
              <w:t>centre</w:t>
            </w:r>
            <w:proofErr w:type="spellEnd"/>
          </w:p>
        </w:tc>
        <w:tc>
          <w:tcPr>
            <w:tcW w:w="770" w:type="dxa"/>
            <w:noWrap/>
            <w:hideMark/>
          </w:tcPr>
          <w:p w14:paraId="526346FA" w14:textId="77777777" w:rsidR="005400D8" w:rsidRPr="00A014FD" w:rsidRDefault="005400D8" w:rsidP="00704B82">
            <w:pPr>
              <w:spacing w:line="240" w:lineRule="auto"/>
              <w:rPr>
                <w:sz w:val="22"/>
              </w:rPr>
            </w:pPr>
            <w:r w:rsidRPr="00A014FD">
              <w:rPr>
                <w:sz w:val="22"/>
              </w:rPr>
              <w:t>11B</w:t>
            </w:r>
          </w:p>
        </w:tc>
      </w:tr>
      <w:tr w:rsidR="005400D8" w:rsidRPr="00A014FD" w14:paraId="429FF812" w14:textId="77777777" w:rsidTr="00704B82">
        <w:trPr>
          <w:trHeight w:val="285"/>
        </w:trPr>
        <w:tc>
          <w:tcPr>
            <w:tcW w:w="13178" w:type="dxa"/>
            <w:noWrap/>
            <w:hideMark/>
          </w:tcPr>
          <w:p w14:paraId="2A6E59BD" w14:textId="77777777" w:rsidR="005400D8" w:rsidRPr="00A014FD" w:rsidRDefault="005400D8" w:rsidP="00704B82">
            <w:pPr>
              <w:spacing w:line="240" w:lineRule="auto"/>
              <w:rPr>
                <w:sz w:val="22"/>
              </w:rPr>
            </w:pPr>
            <w:r w:rsidRPr="00A014FD">
              <w:rPr>
                <w:sz w:val="22"/>
              </w:rPr>
              <w:t>An optimization methodology for the consolidation of urban freight boxes</w:t>
            </w:r>
          </w:p>
        </w:tc>
        <w:tc>
          <w:tcPr>
            <w:tcW w:w="770" w:type="dxa"/>
            <w:noWrap/>
            <w:hideMark/>
          </w:tcPr>
          <w:p w14:paraId="667571E9" w14:textId="77777777" w:rsidR="005400D8" w:rsidRPr="00A014FD" w:rsidRDefault="005400D8" w:rsidP="00704B82">
            <w:pPr>
              <w:spacing w:line="240" w:lineRule="auto"/>
              <w:rPr>
                <w:sz w:val="22"/>
              </w:rPr>
            </w:pPr>
            <w:r w:rsidRPr="00A014FD">
              <w:rPr>
                <w:sz w:val="22"/>
              </w:rPr>
              <w:t>12B</w:t>
            </w:r>
          </w:p>
        </w:tc>
      </w:tr>
      <w:tr w:rsidR="005400D8" w:rsidRPr="00A014FD" w14:paraId="1AAE8B73" w14:textId="77777777" w:rsidTr="00704B82">
        <w:trPr>
          <w:trHeight w:val="285"/>
        </w:trPr>
        <w:tc>
          <w:tcPr>
            <w:tcW w:w="13178" w:type="dxa"/>
            <w:noWrap/>
            <w:hideMark/>
          </w:tcPr>
          <w:p w14:paraId="0DFCB11F" w14:textId="77777777" w:rsidR="005400D8" w:rsidRPr="00A014FD" w:rsidRDefault="005400D8" w:rsidP="00704B82">
            <w:pPr>
              <w:spacing w:line="240" w:lineRule="auto"/>
              <w:rPr>
                <w:sz w:val="22"/>
              </w:rPr>
            </w:pPr>
            <w:r w:rsidRPr="00A014FD">
              <w:rPr>
                <w:sz w:val="22"/>
              </w:rPr>
              <w:t>Comparison of urban cooperative delivery and direct delivery strategies</w:t>
            </w:r>
          </w:p>
        </w:tc>
        <w:tc>
          <w:tcPr>
            <w:tcW w:w="770" w:type="dxa"/>
            <w:noWrap/>
            <w:hideMark/>
          </w:tcPr>
          <w:p w14:paraId="322398ED" w14:textId="77777777" w:rsidR="005400D8" w:rsidRPr="00A014FD" w:rsidRDefault="005400D8" w:rsidP="00704B82">
            <w:pPr>
              <w:spacing w:line="240" w:lineRule="auto"/>
              <w:rPr>
                <w:sz w:val="22"/>
              </w:rPr>
            </w:pPr>
            <w:r w:rsidRPr="00A014FD">
              <w:rPr>
                <w:sz w:val="22"/>
              </w:rPr>
              <w:t>13B</w:t>
            </w:r>
          </w:p>
        </w:tc>
      </w:tr>
      <w:tr w:rsidR="005400D8" w:rsidRPr="00A014FD" w14:paraId="47CDCCE6" w14:textId="77777777" w:rsidTr="00704B82">
        <w:trPr>
          <w:trHeight w:val="285"/>
        </w:trPr>
        <w:tc>
          <w:tcPr>
            <w:tcW w:w="13178" w:type="dxa"/>
            <w:noWrap/>
            <w:hideMark/>
          </w:tcPr>
          <w:p w14:paraId="35287BF7" w14:textId="77777777" w:rsidR="005400D8" w:rsidRPr="00A014FD" w:rsidRDefault="005400D8" w:rsidP="00704B82">
            <w:pPr>
              <w:spacing w:line="240" w:lineRule="auto"/>
              <w:rPr>
                <w:sz w:val="22"/>
              </w:rPr>
            </w:pPr>
            <w:r w:rsidRPr="00A014FD">
              <w:rPr>
                <w:sz w:val="22"/>
              </w:rPr>
              <w:t>Logistics impacts of student online shopping – Evaluating delivery consolidation to halls of residence.</w:t>
            </w:r>
          </w:p>
        </w:tc>
        <w:tc>
          <w:tcPr>
            <w:tcW w:w="770" w:type="dxa"/>
            <w:noWrap/>
            <w:hideMark/>
          </w:tcPr>
          <w:p w14:paraId="6D288D9E" w14:textId="77777777" w:rsidR="005400D8" w:rsidRPr="00A014FD" w:rsidRDefault="005400D8" w:rsidP="00704B82">
            <w:pPr>
              <w:spacing w:line="240" w:lineRule="auto"/>
              <w:rPr>
                <w:sz w:val="22"/>
              </w:rPr>
            </w:pPr>
            <w:r w:rsidRPr="00A014FD">
              <w:rPr>
                <w:sz w:val="22"/>
              </w:rPr>
              <w:t>14B</w:t>
            </w:r>
          </w:p>
        </w:tc>
      </w:tr>
      <w:tr w:rsidR="005400D8" w:rsidRPr="00A014FD" w14:paraId="7709970E" w14:textId="77777777" w:rsidTr="00704B82">
        <w:trPr>
          <w:trHeight w:val="285"/>
        </w:trPr>
        <w:tc>
          <w:tcPr>
            <w:tcW w:w="13178" w:type="dxa"/>
            <w:noWrap/>
            <w:hideMark/>
          </w:tcPr>
          <w:p w14:paraId="3D3A7FFA" w14:textId="77777777" w:rsidR="005400D8" w:rsidRPr="00A014FD" w:rsidRDefault="005400D8" w:rsidP="00704B82">
            <w:pPr>
              <w:spacing w:line="240" w:lineRule="auto"/>
              <w:rPr>
                <w:sz w:val="22"/>
              </w:rPr>
            </w:pPr>
            <w:r w:rsidRPr="00A014FD">
              <w:rPr>
                <w:sz w:val="22"/>
              </w:rPr>
              <w:t xml:space="preserve">Urban consolidation </w:t>
            </w:r>
            <w:proofErr w:type="spellStart"/>
            <w:r w:rsidRPr="00A014FD">
              <w:rPr>
                <w:sz w:val="22"/>
              </w:rPr>
              <w:t>centres</w:t>
            </w:r>
            <w:proofErr w:type="spellEnd"/>
            <w:r w:rsidRPr="00A014FD">
              <w:rPr>
                <w:sz w:val="22"/>
              </w:rPr>
              <w:t xml:space="preserve"> for medium-size touristic cities in the </w:t>
            </w:r>
            <w:proofErr w:type="spellStart"/>
            <w:r w:rsidRPr="00A014FD">
              <w:rPr>
                <w:sz w:val="22"/>
              </w:rPr>
              <w:t>Westpomeranian</w:t>
            </w:r>
            <w:proofErr w:type="spellEnd"/>
            <w:r w:rsidRPr="00A014FD">
              <w:rPr>
                <w:sz w:val="22"/>
              </w:rPr>
              <w:t xml:space="preserve"> Region of Poland</w:t>
            </w:r>
          </w:p>
        </w:tc>
        <w:tc>
          <w:tcPr>
            <w:tcW w:w="770" w:type="dxa"/>
            <w:noWrap/>
            <w:hideMark/>
          </w:tcPr>
          <w:p w14:paraId="084C6D4B" w14:textId="77777777" w:rsidR="005400D8" w:rsidRPr="00A014FD" w:rsidRDefault="005400D8" w:rsidP="00704B82">
            <w:pPr>
              <w:spacing w:line="240" w:lineRule="auto"/>
              <w:rPr>
                <w:sz w:val="22"/>
              </w:rPr>
            </w:pPr>
            <w:r w:rsidRPr="00A014FD">
              <w:rPr>
                <w:sz w:val="22"/>
              </w:rPr>
              <w:t>15B</w:t>
            </w:r>
          </w:p>
        </w:tc>
      </w:tr>
      <w:tr w:rsidR="005400D8" w:rsidRPr="00A014FD" w14:paraId="1780384F" w14:textId="77777777" w:rsidTr="00704B82">
        <w:trPr>
          <w:trHeight w:val="285"/>
        </w:trPr>
        <w:tc>
          <w:tcPr>
            <w:tcW w:w="13178" w:type="dxa"/>
            <w:noWrap/>
            <w:hideMark/>
          </w:tcPr>
          <w:p w14:paraId="45F4F8DC" w14:textId="77777777" w:rsidR="005400D8" w:rsidRPr="00A014FD" w:rsidRDefault="005400D8" w:rsidP="00704B82">
            <w:pPr>
              <w:spacing w:line="240" w:lineRule="auto"/>
              <w:rPr>
                <w:sz w:val="22"/>
              </w:rPr>
            </w:pPr>
            <w:proofErr w:type="spellStart"/>
            <w:r w:rsidRPr="00A014FD">
              <w:rPr>
                <w:sz w:val="22"/>
              </w:rPr>
              <w:t>Economical</w:t>
            </w:r>
            <w:proofErr w:type="spellEnd"/>
            <w:r w:rsidRPr="00A014FD">
              <w:rPr>
                <w:sz w:val="22"/>
              </w:rPr>
              <w:t xml:space="preserve"> and Environmental Analysis of an Urban Consolidation Center for Belo Horizonte City (Brazil).</w:t>
            </w:r>
          </w:p>
        </w:tc>
        <w:tc>
          <w:tcPr>
            <w:tcW w:w="770" w:type="dxa"/>
            <w:noWrap/>
            <w:hideMark/>
          </w:tcPr>
          <w:p w14:paraId="61FBE4AA" w14:textId="77777777" w:rsidR="005400D8" w:rsidRPr="00A014FD" w:rsidRDefault="005400D8" w:rsidP="00704B82">
            <w:pPr>
              <w:spacing w:line="240" w:lineRule="auto"/>
              <w:rPr>
                <w:sz w:val="22"/>
              </w:rPr>
            </w:pPr>
            <w:r w:rsidRPr="00A014FD">
              <w:rPr>
                <w:sz w:val="22"/>
              </w:rPr>
              <w:t>16B</w:t>
            </w:r>
          </w:p>
        </w:tc>
      </w:tr>
      <w:tr w:rsidR="005400D8" w:rsidRPr="00A014FD" w14:paraId="193266CF" w14:textId="77777777" w:rsidTr="00704B82">
        <w:trPr>
          <w:trHeight w:val="285"/>
        </w:trPr>
        <w:tc>
          <w:tcPr>
            <w:tcW w:w="13178" w:type="dxa"/>
            <w:noWrap/>
            <w:hideMark/>
          </w:tcPr>
          <w:p w14:paraId="2CFCED6A" w14:textId="77777777" w:rsidR="005400D8" w:rsidRPr="00A014FD" w:rsidRDefault="005400D8" w:rsidP="00704B82">
            <w:pPr>
              <w:spacing w:line="240" w:lineRule="auto"/>
              <w:rPr>
                <w:sz w:val="22"/>
              </w:rPr>
            </w:pPr>
            <w:r w:rsidRPr="00A014FD">
              <w:rPr>
                <w:sz w:val="22"/>
              </w:rPr>
              <w:t>Consolidation in urban freight transportation-cost allocation models.</w:t>
            </w:r>
          </w:p>
        </w:tc>
        <w:tc>
          <w:tcPr>
            <w:tcW w:w="770" w:type="dxa"/>
            <w:noWrap/>
            <w:hideMark/>
          </w:tcPr>
          <w:p w14:paraId="7E2CD69E" w14:textId="77777777" w:rsidR="005400D8" w:rsidRPr="00A014FD" w:rsidRDefault="005400D8" w:rsidP="00704B82">
            <w:pPr>
              <w:spacing w:line="240" w:lineRule="auto"/>
              <w:rPr>
                <w:sz w:val="22"/>
              </w:rPr>
            </w:pPr>
            <w:r w:rsidRPr="00A014FD">
              <w:rPr>
                <w:sz w:val="22"/>
              </w:rPr>
              <w:t>17B</w:t>
            </w:r>
          </w:p>
        </w:tc>
      </w:tr>
      <w:tr w:rsidR="005400D8" w:rsidRPr="00A014FD" w14:paraId="3B5A0286" w14:textId="77777777" w:rsidTr="00704B82">
        <w:trPr>
          <w:trHeight w:val="285"/>
        </w:trPr>
        <w:tc>
          <w:tcPr>
            <w:tcW w:w="13178" w:type="dxa"/>
            <w:noWrap/>
            <w:hideMark/>
          </w:tcPr>
          <w:p w14:paraId="3D9ECCF8" w14:textId="77777777" w:rsidR="005400D8" w:rsidRPr="00A014FD" w:rsidRDefault="005400D8" w:rsidP="00704B82">
            <w:pPr>
              <w:spacing w:line="240" w:lineRule="auto"/>
              <w:rPr>
                <w:sz w:val="22"/>
              </w:rPr>
            </w:pPr>
            <w:r w:rsidRPr="00A014FD">
              <w:rPr>
                <w:sz w:val="22"/>
              </w:rPr>
              <w:t>Sustainable city logistics through shared resource concepts</w:t>
            </w:r>
          </w:p>
        </w:tc>
        <w:tc>
          <w:tcPr>
            <w:tcW w:w="770" w:type="dxa"/>
            <w:noWrap/>
            <w:hideMark/>
          </w:tcPr>
          <w:p w14:paraId="102A21A9" w14:textId="77777777" w:rsidR="005400D8" w:rsidRPr="00A014FD" w:rsidRDefault="005400D8" w:rsidP="00704B82">
            <w:pPr>
              <w:spacing w:line="240" w:lineRule="auto"/>
              <w:rPr>
                <w:sz w:val="22"/>
              </w:rPr>
            </w:pPr>
            <w:r w:rsidRPr="00A014FD">
              <w:rPr>
                <w:sz w:val="22"/>
              </w:rPr>
              <w:t>18B</w:t>
            </w:r>
          </w:p>
        </w:tc>
      </w:tr>
      <w:tr w:rsidR="005400D8" w:rsidRPr="00A014FD" w14:paraId="3B64E34E" w14:textId="77777777" w:rsidTr="00704B82">
        <w:trPr>
          <w:trHeight w:val="285"/>
        </w:trPr>
        <w:tc>
          <w:tcPr>
            <w:tcW w:w="13178" w:type="dxa"/>
            <w:noWrap/>
            <w:hideMark/>
          </w:tcPr>
          <w:p w14:paraId="071F9604" w14:textId="77777777" w:rsidR="005400D8" w:rsidRPr="00A014FD" w:rsidRDefault="005400D8" w:rsidP="00704B82">
            <w:pPr>
              <w:spacing w:line="240" w:lineRule="auto"/>
              <w:rPr>
                <w:sz w:val="22"/>
              </w:rPr>
            </w:pPr>
            <w:r w:rsidRPr="00A014FD">
              <w:rPr>
                <w:sz w:val="22"/>
              </w:rPr>
              <w:t>A two-echelon facility location problem with stochastic demands for urban construction logistics: An application within the SUCCESS project</w:t>
            </w:r>
          </w:p>
        </w:tc>
        <w:tc>
          <w:tcPr>
            <w:tcW w:w="770" w:type="dxa"/>
            <w:noWrap/>
            <w:hideMark/>
          </w:tcPr>
          <w:p w14:paraId="61CAC7EE" w14:textId="77777777" w:rsidR="005400D8" w:rsidRPr="00A014FD" w:rsidRDefault="005400D8" w:rsidP="00704B82">
            <w:pPr>
              <w:spacing w:line="240" w:lineRule="auto"/>
              <w:rPr>
                <w:sz w:val="22"/>
              </w:rPr>
            </w:pPr>
            <w:r w:rsidRPr="00A014FD">
              <w:rPr>
                <w:sz w:val="22"/>
              </w:rPr>
              <w:t>19B</w:t>
            </w:r>
          </w:p>
        </w:tc>
      </w:tr>
      <w:tr w:rsidR="005400D8" w:rsidRPr="00A014FD" w14:paraId="2A28163F" w14:textId="77777777" w:rsidTr="00704B82">
        <w:trPr>
          <w:trHeight w:val="285"/>
        </w:trPr>
        <w:tc>
          <w:tcPr>
            <w:tcW w:w="13178" w:type="dxa"/>
            <w:noWrap/>
            <w:hideMark/>
          </w:tcPr>
          <w:p w14:paraId="28710C1E" w14:textId="77777777" w:rsidR="005400D8" w:rsidRPr="00A014FD" w:rsidRDefault="005400D8" w:rsidP="00704B82">
            <w:pPr>
              <w:spacing w:line="240" w:lineRule="auto"/>
              <w:rPr>
                <w:sz w:val="22"/>
              </w:rPr>
            </w:pPr>
            <w:r w:rsidRPr="00A014FD">
              <w:rPr>
                <w:sz w:val="22"/>
              </w:rPr>
              <w:t>Receivers’ willingness-to-adopt novel urban goods distribution practices.</w:t>
            </w:r>
          </w:p>
        </w:tc>
        <w:tc>
          <w:tcPr>
            <w:tcW w:w="770" w:type="dxa"/>
            <w:noWrap/>
            <w:hideMark/>
          </w:tcPr>
          <w:p w14:paraId="13EA9A24" w14:textId="77777777" w:rsidR="005400D8" w:rsidRPr="00A014FD" w:rsidRDefault="005400D8" w:rsidP="00704B82">
            <w:pPr>
              <w:spacing w:line="240" w:lineRule="auto"/>
              <w:rPr>
                <w:sz w:val="22"/>
              </w:rPr>
            </w:pPr>
            <w:r w:rsidRPr="00A014FD">
              <w:rPr>
                <w:sz w:val="22"/>
              </w:rPr>
              <w:t>20B</w:t>
            </w:r>
          </w:p>
        </w:tc>
      </w:tr>
      <w:tr w:rsidR="005400D8" w:rsidRPr="00A014FD" w14:paraId="4EBF4001" w14:textId="77777777" w:rsidTr="00704B82">
        <w:trPr>
          <w:trHeight w:val="285"/>
        </w:trPr>
        <w:tc>
          <w:tcPr>
            <w:tcW w:w="13178" w:type="dxa"/>
            <w:noWrap/>
            <w:hideMark/>
          </w:tcPr>
          <w:p w14:paraId="5EEA2715" w14:textId="77777777" w:rsidR="005400D8" w:rsidRPr="00A014FD" w:rsidRDefault="005400D8" w:rsidP="00704B82">
            <w:pPr>
              <w:spacing w:line="240" w:lineRule="auto"/>
              <w:rPr>
                <w:sz w:val="22"/>
              </w:rPr>
            </w:pPr>
            <w:r w:rsidRPr="00A014FD">
              <w:rPr>
                <w:sz w:val="22"/>
              </w:rPr>
              <w:t>The multi-echelon vehicle routing problem with cross docking in supply chain management.</w:t>
            </w:r>
          </w:p>
        </w:tc>
        <w:tc>
          <w:tcPr>
            <w:tcW w:w="770" w:type="dxa"/>
            <w:noWrap/>
            <w:hideMark/>
          </w:tcPr>
          <w:p w14:paraId="57EA334F" w14:textId="77777777" w:rsidR="005400D8" w:rsidRPr="00A014FD" w:rsidRDefault="005400D8" w:rsidP="00704B82">
            <w:pPr>
              <w:spacing w:line="240" w:lineRule="auto"/>
              <w:rPr>
                <w:sz w:val="22"/>
              </w:rPr>
            </w:pPr>
            <w:r w:rsidRPr="00A014FD">
              <w:rPr>
                <w:sz w:val="22"/>
              </w:rPr>
              <w:t>21B</w:t>
            </w:r>
          </w:p>
        </w:tc>
      </w:tr>
      <w:tr w:rsidR="005400D8" w:rsidRPr="00A014FD" w14:paraId="76BA8834" w14:textId="77777777" w:rsidTr="00704B82">
        <w:trPr>
          <w:trHeight w:val="285"/>
        </w:trPr>
        <w:tc>
          <w:tcPr>
            <w:tcW w:w="13178" w:type="dxa"/>
            <w:noWrap/>
            <w:hideMark/>
          </w:tcPr>
          <w:p w14:paraId="1A074C32" w14:textId="77777777" w:rsidR="005400D8" w:rsidRPr="00A014FD" w:rsidRDefault="005400D8" w:rsidP="00704B82">
            <w:pPr>
              <w:spacing w:line="240" w:lineRule="auto"/>
              <w:rPr>
                <w:sz w:val="22"/>
              </w:rPr>
            </w:pPr>
            <w:r w:rsidRPr="00A014FD">
              <w:rPr>
                <w:sz w:val="22"/>
              </w:rPr>
              <w:t xml:space="preserve">Understanding Financial Viability of Urban Consolidation </w:t>
            </w:r>
            <w:proofErr w:type="spellStart"/>
            <w:r w:rsidRPr="00A014FD">
              <w:rPr>
                <w:sz w:val="22"/>
              </w:rPr>
              <w:t>Centres</w:t>
            </w:r>
            <w:proofErr w:type="spellEnd"/>
            <w:r w:rsidRPr="00A014FD">
              <w:rPr>
                <w:sz w:val="22"/>
              </w:rPr>
              <w:t>: Regent Street (London), Bristol/Bath &amp; Nijmegen.</w:t>
            </w:r>
          </w:p>
        </w:tc>
        <w:tc>
          <w:tcPr>
            <w:tcW w:w="770" w:type="dxa"/>
            <w:noWrap/>
            <w:hideMark/>
          </w:tcPr>
          <w:p w14:paraId="2502C7DF" w14:textId="77777777" w:rsidR="005400D8" w:rsidRPr="00A014FD" w:rsidRDefault="005400D8" w:rsidP="00704B82">
            <w:pPr>
              <w:spacing w:line="240" w:lineRule="auto"/>
              <w:rPr>
                <w:sz w:val="22"/>
              </w:rPr>
            </w:pPr>
            <w:r w:rsidRPr="00A014FD">
              <w:rPr>
                <w:sz w:val="22"/>
              </w:rPr>
              <w:t>22B</w:t>
            </w:r>
          </w:p>
        </w:tc>
      </w:tr>
      <w:tr w:rsidR="005400D8" w:rsidRPr="00A014FD" w14:paraId="607A6640" w14:textId="77777777" w:rsidTr="00704B82">
        <w:trPr>
          <w:trHeight w:val="285"/>
        </w:trPr>
        <w:tc>
          <w:tcPr>
            <w:tcW w:w="13178" w:type="dxa"/>
            <w:noWrap/>
            <w:hideMark/>
          </w:tcPr>
          <w:p w14:paraId="6D083D0E" w14:textId="77777777" w:rsidR="005400D8" w:rsidRPr="00A014FD" w:rsidRDefault="005400D8" w:rsidP="00704B82">
            <w:pPr>
              <w:spacing w:line="240" w:lineRule="auto"/>
              <w:rPr>
                <w:sz w:val="22"/>
              </w:rPr>
            </w:pPr>
            <w:r w:rsidRPr="00A014FD">
              <w:rPr>
                <w:sz w:val="22"/>
              </w:rPr>
              <w:t>Simulation-based evaluation of urban consolidation centers considering urban access regulations</w:t>
            </w:r>
          </w:p>
        </w:tc>
        <w:tc>
          <w:tcPr>
            <w:tcW w:w="770" w:type="dxa"/>
            <w:noWrap/>
            <w:hideMark/>
          </w:tcPr>
          <w:p w14:paraId="701B4030" w14:textId="77777777" w:rsidR="005400D8" w:rsidRPr="00A014FD" w:rsidRDefault="005400D8" w:rsidP="00704B82">
            <w:pPr>
              <w:spacing w:line="240" w:lineRule="auto"/>
              <w:rPr>
                <w:sz w:val="22"/>
              </w:rPr>
            </w:pPr>
            <w:r w:rsidRPr="00A014FD">
              <w:rPr>
                <w:sz w:val="22"/>
              </w:rPr>
              <w:t>23B</w:t>
            </w:r>
          </w:p>
        </w:tc>
      </w:tr>
      <w:tr w:rsidR="005400D8" w:rsidRPr="00A014FD" w14:paraId="347C5EE0" w14:textId="77777777" w:rsidTr="00704B82">
        <w:trPr>
          <w:trHeight w:val="285"/>
        </w:trPr>
        <w:tc>
          <w:tcPr>
            <w:tcW w:w="13178" w:type="dxa"/>
            <w:noWrap/>
            <w:hideMark/>
          </w:tcPr>
          <w:p w14:paraId="52B185FB" w14:textId="77777777" w:rsidR="005400D8" w:rsidRPr="00A014FD" w:rsidRDefault="005400D8" w:rsidP="00704B82">
            <w:pPr>
              <w:spacing w:line="240" w:lineRule="auto"/>
              <w:rPr>
                <w:sz w:val="22"/>
              </w:rPr>
            </w:pPr>
            <w:proofErr w:type="spellStart"/>
            <w:r w:rsidRPr="00A014FD">
              <w:rPr>
                <w:sz w:val="22"/>
              </w:rPr>
              <w:t>Modelization</w:t>
            </w:r>
            <w:proofErr w:type="spellEnd"/>
            <w:r w:rsidRPr="00A014FD">
              <w:rPr>
                <w:sz w:val="22"/>
              </w:rPr>
              <w:t xml:space="preserve"> of Time-Dependent Urban Freight Problems by Using a Multiple Number of Distribution Centers</w:t>
            </w:r>
          </w:p>
        </w:tc>
        <w:tc>
          <w:tcPr>
            <w:tcW w:w="770" w:type="dxa"/>
            <w:noWrap/>
            <w:hideMark/>
          </w:tcPr>
          <w:p w14:paraId="7F6DDB20" w14:textId="77777777" w:rsidR="005400D8" w:rsidRPr="00A014FD" w:rsidRDefault="005400D8" w:rsidP="00704B82">
            <w:pPr>
              <w:spacing w:line="240" w:lineRule="auto"/>
              <w:rPr>
                <w:sz w:val="22"/>
              </w:rPr>
            </w:pPr>
            <w:r w:rsidRPr="00A014FD">
              <w:rPr>
                <w:sz w:val="22"/>
              </w:rPr>
              <w:t>24B</w:t>
            </w:r>
          </w:p>
        </w:tc>
      </w:tr>
      <w:tr w:rsidR="005400D8" w:rsidRPr="00A014FD" w14:paraId="70ABF694" w14:textId="77777777" w:rsidTr="00704B82">
        <w:trPr>
          <w:trHeight w:val="285"/>
        </w:trPr>
        <w:tc>
          <w:tcPr>
            <w:tcW w:w="13178" w:type="dxa"/>
            <w:noWrap/>
            <w:hideMark/>
          </w:tcPr>
          <w:p w14:paraId="225081C8" w14:textId="77777777" w:rsidR="005400D8" w:rsidRPr="00A014FD" w:rsidRDefault="005400D8" w:rsidP="00704B82">
            <w:pPr>
              <w:spacing w:line="240" w:lineRule="auto"/>
              <w:rPr>
                <w:sz w:val="22"/>
              </w:rPr>
            </w:pPr>
            <w:r w:rsidRPr="00A014FD">
              <w:rPr>
                <w:sz w:val="22"/>
              </w:rPr>
              <w:t>Stakeholder's profitability of carrier-led consolidation strategies in urban goods distribution.</w:t>
            </w:r>
          </w:p>
        </w:tc>
        <w:tc>
          <w:tcPr>
            <w:tcW w:w="770" w:type="dxa"/>
            <w:noWrap/>
            <w:hideMark/>
          </w:tcPr>
          <w:p w14:paraId="058F974C" w14:textId="77777777" w:rsidR="005400D8" w:rsidRPr="00A014FD" w:rsidRDefault="005400D8" w:rsidP="00704B82">
            <w:pPr>
              <w:spacing w:line="240" w:lineRule="auto"/>
              <w:rPr>
                <w:sz w:val="22"/>
              </w:rPr>
            </w:pPr>
            <w:r w:rsidRPr="00A014FD">
              <w:rPr>
                <w:sz w:val="22"/>
              </w:rPr>
              <w:t>25B</w:t>
            </w:r>
          </w:p>
        </w:tc>
      </w:tr>
      <w:tr w:rsidR="005400D8" w:rsidRPr="00A014FD" w14:paraId="34B4B1F0" w14:textId="77777777" w:rsidTr="00704B82">
        <w:trPr>
          <w:trHeight w:val="285"/>
        </w:trPr>
        <w:tc>
          <w:tcPr>
            <w:tcW w:w="13178" w:type="dxa"/>
            <w:noWrap/>
            <w:hideMark/>
          </w:tcPr>
          <w:p w14:paraId="101F7FE8" w14:textId="77777777" w:rsidR="005400D8" w:rsidRPr="00A014FD" w:rsidRDefault="005400D8" w:rsidP="00704B82">
            <w:pPr>
              <w:spacing w:line="240" w:lineRule="auto"/>
              <w:rPr>
                <w:sz w:val="22"/>
              </w:rPr>
            </w:pPr>
            <w:r w:rsidRPr="00A014FD">
              <w:rPr>
                <w:sz w:val="22"/>
              </w:rPr>
              <w:lastRenderedPageBreak/>
              <w:t>How to anticipate the level of activity of a sustainable collaborative network: The case of urban freight delivery through logistics platforms</w:t>
            </w:r>
          </w:p>
        </w:tc>
        <w:tc>
          <w:tcPr>
            <w:tcW w:w="770" w:type="dxa"/>
            <w:noWrap/>
            <w:hideMark/>
          </w:tcPr>
          <w:p w14:paraId="237AAFBD" w14:textId="77777777" w:rsidR="005400D8" w:rsidRPr="00A014FD" w:rsidRDefault="005400D8" w:rsidP="00704B82">
            <w:pPr>
              <w:spacing w:line="240" w:lineRule="auto"/>
              <w:rPr>
                <w:sz w:val="22"/>
              </w:rPr>
            </w:pPr>
            <w:r w:rsidRPr="00A014FD">
              <w:rPr>
                <w:sz w:val="22"/>
              </w:rPr>
              <w:t>26B</w:t>
            </w:r>
          </w:p>
        </w:tc>
      </w:tr>
      <w:tr w:rsidR="005400D8" w:rsidRPr="00A014FD" w14:paraId="14DC4467" w14:textId="77777777" w:rsidTr="00704B82">
        <w:trPr>
          <w:trHeight w:val="285"/>
        </w:trPr>
        <w:tc>
          <w:tcPr>
            <w:tcW w:w="13178" w:type="dxa"/>
            <w:noWrap/>
            <w:hideMark/>
          </w:tcPr>
          <w:p w14:paraId="131B1A95" w14:textId="77777777" w:rsidR="005400D8" w:rsidRPr="00A014FD" w:rsidRDefault="005400D8" w:rsidP="00704B82">
            <w:pPr>
              <w:spacing w:line="240" w:lineRule="auto"/>
              <w:rPr>
                <w:sz w:val="22"/>
              </w:rPr>
            </w:pPr>
            <w:r w:rsidRPr="00A014FD">
              <w:rPr>
                <w:sz w:val="22"/>
              </w:rPr>
              <w:t>Evaluate the Viability of Urban Consolidation Centre with Regards to Urban Morphology</w:t>
            </w:r>
          </w:p>
        </w:tc>
        <w:tc>
          <w:tcPr>
            <w:tcW w:w="770" w:type="dxa"/>
            <w:noWrap/>
            <w:hideMark/>
          </w:tcPr>
          <w:p w14:paraId="11D78A2B" w14:textId="77777777" w:rsidR="005400D8" w:rsidRPr="00A014FD" w:rsidRDefault="005400D8" w:rsidP="00704B82">
            <w:pPr>
              <w:spacing w:line="240" w:lineRule="auto"/>
              <w:rPr>
                <w:sz w:val="22"/>
              </w:rPr>
            </w:pPr>
            <w:r w:rsidRPr="00A014FD">
              <w:rPr>
                <w:sz w:val="22"/>
              </w:rPr>
              <w:t>27B</w:t>
            </w:r>
          </w:p>
        </w:tc>
      </w:tr>
      <w:tr w:rsidR="005400D8" w:rsidRPr="00A014FD" w14:paraId="24E5DFCA" w14:textId="77777777" w:rsidTr="00704B82">
        <w:trPr>
          <w:trHeight w:val="285"/>
        </w:trPr>
        <w:tc>
          <w:tcPr>
            <w:tcW w:w="13178" w:type="dxa"/>
            <w:noWrap/>
            <w:hideMark/>
          </w:tcPr>
          <w:p w14:paraId="6138E068" w14:textId="77777777" w:rsidR="005400D8" w:rsidRPr="00A014FD" w:rsidRDefault="005400D8" w:rsidP="00704B82">
            <w:pPr>
              <w:spacing w:line="240" w:lineRule="auto"/>
              <w:rPr>
                <w:sz w:val="22"/>
              </w:rPr>
            </w:pPr>
            <w:r w:rsidRPr="00A014FD">
              <w:rPr>
                <w:sz w:val="22"/>
              </w:rPr>
              <w:t xml:space="preserve">Urban freight in </w:t>
            </w:r>
            <w:proofErr w:type="spellStart"/>
            <w:r w:rsidRPr="00A014FD">
              <w:rPr>
                <w:sz w:val="22"/>
              </w:rPr>
              <w:t>dublin</w:t>
            </w:r>
            <w:proofErr w:type="spellEnd"/>
            <w:r w:rsidRPr="00A014FD">
              <w:rPr>
                <w:sz w:val="22"/>
              </w:rPr>
              <w:t xml:space="preserve"> city center, Ireland: Survey analysis and strategy evaluation</w:t>
            </w:r>
          </w:p>
        </w:tc>
        <w:tc>
          <w:tcPr>
            <w:tcW w:w="770" w:type="dxa"/>
            <w:noWrap/>
            <w:hideMark/>
          </w:tcPr>
          <w:p w14:paraId="5E05F070" w14:textId="77777777" w:rsidR="005400D8" w:rsidRPr="00A014FD" w:rsidRDefault="005400D8" w:rsidP="00704B82">
            <w:pPr>
              <w:spacing w:line="240" w:lineRule="auto"/>
              <w:rPr>
                <w:sz w:val="22"/>
              </w:rPr>
            </w:pPr>
            <w:r w:rsidRPr="00A014FD">
              <w:rPr>
                <w:sz w:val="22"/>
              </w:rPr>
              <w:t>28B</w:t>
            </w:r>
          </w:p>
        </w:tc>
      </w:tr>
      <w:tr w:rsidR="005400D8" w:rsidRPr="00A014FD" w14:paraId="3C2C4421" w14:textId="77777777" w:rsidTr="00704B82">
        <w:trPr>
          <w:trHeight w:val="285"/>
        </w:trPr>
        <w:tc>
          <w:tcPr>
            <w:tcW w:w="13178" w:type="dxa"/>
            <w:noWrap/>
            <w:hideMark/>
          </w:tcPr>
          <w:p w14:paraId="21C71FD4" w14:textId="77777777" w:rsidR="005400D8" w:rsidRPr="00A014FD" w:rsidRDefault="005400D8" w:rsidP="00704B82">
            <w:pPr>
              <w:spacing w:line="240" w:lineRule="auto"/>
              <w:rPr>
                <w:sz w:val="22"/>
              </w:rPr>
            </w:pPr>
            <w:r w:rsidRPr="00A014FD">
              <w:rPr>
                <w:sz w:val="22"/>
              </w:rPr>
              <w:t>Modeling city logistics using adaptive dynamic programming based multi-agent simulation.</w:t>
            </w:r>
          </w:p>
        </w:tc>
        <w:tc>
          <w:tcPr>
            <w:tcW w:w="770" w:type="dxa"/>
            <w:noWrap/>
            <w:hideMark/>
          </w:tcPr>
          <w:p w14:paraId="6F1CBA84" w14:textId="77777777" w:rsidR="005400D8" w:rsidRPr="00A014FD" w:rsidRDefault="005400D8" w:rsidP="00704B82">
            <w:pPr>
              <w:spacing w:line="240" w:lineRule="auto"/>
              <w:rPr>
                <w:sz w:val="22"/>
              </w:rPr>
            </w:pPr>
            <w:r w:rsidRPr="00A014FD">
              <w:rPr>
                <w:sz w:val="22"/>
              </w:rPr>
              <w:t>29B</w:t>
            </w:r>
          </w:p>
        </w:tc>
      </w:tr>
      <w:tr w:rsidR="005400D8" w:rsidRPr="00A014FD" w14:paraId="7D148CA8" w14:textId="77777777" w:rsidTr="00704B82">
        <w:trPr>
          <w:trHeight w:val="285"/>
        </w:trPr>
        <w:tc>
          <w:tcPr>
            <w:tcW w:w="13178" w:type="dxa"/>
            <w:noWrap/>
            <w:hideMark/>
          </w:tcPr>
          <w:p w14:paraId="093E684E" w14:textId="77777777" w:rsidR="005400D8" w:rsidRPr="00A014FD" w:rsidRDefault="005400D8" w:rsidP="00704B82">
            <w:pPr>
              <w:spacing w:line="240" w:lineRule="auto"/>
              <w:rPr>
                <w:sz w:val="22"/>
              </w:rPr>
            </w:pPr>
            <w:r w:rsidRPr="00A014FD">
              <w:rPr>
                <w:sz w:val="22"/>
              </w:rPr>
              <w:t xml:space="preserve">Planning with stakeholders: </w:t>
            </w:r>
            <w:proofErr w:type="spellStart"/>
            <w:r w:rsidRPr="00A014FD">
              <w:rPr>
                <w:sz w:val="22"/>
              </w:rPr>
              <w:t>Analysing</w:t>
            </w:r>
            <w:proofErr w:type="spellEnd"/>
            <w:r w:rsidRPr="00A014FD">
              <w:rPr>
                <w:sz w:val="22"/>
              </w:rPr>
              <w:t xml:space="preserve"> alternative off-hour delivery solutions via an interactive multi-criteria approach</w:t>
            </w:r>
          </w:p>
        </w:tc>
        <w:tc>
          <w:tcPr>
            <w:tcW w:w="770" w:type="dxa"/>
            <w:noWrap/>
            <w:hideMark/>
          </w:tcPr>
          <w:p w14:paraId="3A34224C" w14:textId="77777777" w:rsidR="005400D8" w:rsidRPr="00A014FD" w:rsidRDefault="005400D8" w:rsidP="00704B82">
            <w:pPr>
              <w:spacing w:line="240" w:lineRule="auto"/>
              <w:rPr>
                <w:sz w:val="22"/>
              </w:rPr>
            </w:pPr>
            <w:r w:rsidRPr="00A014FD">
              <w:rPr>
                <w:sz w:val="22"/>
              </w:rPr>
              <w:t>30B</w:t>
            </w:r>
          </w:p>
        </w:tc>
      </w:tr>
      <w:tr w:rsidR="005400D8" w:rsidRPr="00A014FD" w14:paraId="3AC7AB64" w14:textId="77777777" w:rsidTr="00704B82">
        <w:trPr>
          <w:trHeight w:val="285"/>
        </w:trPr>
        <w:tc>
          <w:tcPr>
            <w:tcW w:w="13178" w:type="dxa"/>
            <w:noWrap/>
            <w:hideMark/>
          </w:tcPr>
          <w:p w14:paraId="1864FB13" w14:textId="77777777" w:rsidR="005400D8" w:rsidRPr="00A014FD" w:rsidRDefault="005400D8" w:rsidP="00704B82">
            <w:pPr>
              <w:spacing w:line="240" w:lineRule="auto"/>
              <w:rPr>
                <w:sz w:val="22"/>
              </w:rPr>
            </w:pPr>
            <w:r w:rsidRPr="00A014FD">
              <w:rPr>
                <w:sz w:val="22"/>
              </w:rPr>
              <w:t>A statistical analysis for micro-simulation of UDC operativity</w:t>
            </w:r>
          </w:p>
        </w:tc>
        <w:tc>
          <w:tcPr>
            <w:tcW w:w="770" w:type="dxa"/>
            <w:noWrap/>
            <w:hideMark/>
          </w:tcPr>
          <w:p w14:paraId="7500CD0F" w14:textId="77777777" w:rsidR="005400D8" w:rsidRPr="00A014FD" w:rsidRDefault="005400D8" w:rsidP="00704B82">
            <w:pPr>
              <w:spacing w:line="240" w:lineRule="auto"/>
              <w:rPr>
                <w:sz w:val="22"/>
              </w:rPr>
            </w:pPr>
            <w:r w:rsidRPr="00A014FD">
              <w:rPr>
                <w:sz w:val="22"/>
              </w:rPr>
              <w:t>31B</w:t>
            </w:r>
          </w:p>
        </w:tc>
      </w:tr>
      <w:tr w:rsidR="005400D8" w:rsidRPr="00A014FD" w14:paraId="1EC4AEC2" w14:textId="77777777" w:rsidTr="00704B82">
        <w:trPr>
          <w:trHeight w:val="285"/>
        </w:trPr>
        <w:tc>
          <w:tcPr>
            <w:tcW w:w="13178" w:type="dxa"/>
            <w:noWrap/>
            <w:hideMark/>
          </w:tcPr>
          <w:p w14:paraId="1906E762" w14:textId="77777777" w:rsidR="005400D8" w:rsidRPr="00A014FD" w:rsidRDefault="005400D8" w:rsidP="00704B82">
            <w:pPr>
              <w:spacing w:line="240" w:lineRule="auto"/>
              <w:rPr>
                <w:sz w:val="22"/>
              </w:rPr>
            </w:pPr>
            <w:r w:rsidRPr="00A014FD">
              <w:rPr>
                <w:sz w:val="22"/>
              </w:rPr>
              <w:t>Evaluation of Urban Consolidation Centers: A Methodological Framework.</w:t>
            </w:r>
          </w:p>
        </w:tc>
        <w:tc>
          <w:tcPr>
            <w:tcW w:w="770" w:type="dxa"/>
            <w:noWrap/>
            <w:hideMark/>
          </w:tcPr>
          <w:p w14:paraId="38E75C17" w14:textId="77777777" w:rsidR="005400D8" w:rsidRPr="00A014FD" w:rsidRDefault="005400D8" w:rsidP="00704B82">
            <w:pPr>
              <w:spacing w:line="240" w:lineRule="auto"/>
              <w:rPr>
                <w:sz w:val="22"/>
              </w:rPr>
            </w:pPr>
            <w:r w:rsidRPr="00A014FD">
              <w:rPr>
                <w:sz w:val="22"/>
              </w:rPr>
              <w:t>32B</w:t>
            </w:r>
          </w:p>
        </w:tc>
      </w:tr>
      <w:tr w:rsidR="005400D8" w:rsidRPr="00A014FD" w14:paraId="29926B1B" w14:textId="77777777" w:rsidTr="00704B82">
        <w:trPr>
          <w:trHeight w:val="285"/>
        </w:trPr>
        <w:tc>
          <w:tcPr>
            <w:tcW w:w="13178" w:type="dxa"/>
            <w:noWrap/>
            <w:hideMark/>
          </w:tcPr>
          <w:p w14:paraId="7A70F821" w14:textId="77777777" w:rsidR="005400D8" w:rsidRPr="00A014FD" w:rsidRDefault="005400D8" w:rsidP="00704B82">
            <w:pPr>
              <w:spacing w:line="240" w:lineRule="auto"/>
              <w:rPr>
                <w:sz w:val="22"/>
              </w:rPr>
            </w:pPr>
            <w:r w:rsidRPr="00A014FD">
              <w:rPr>
                <w:sz w:val="22"/>
              </w:rPr>
              <w:t>The deployment of city and area distribution centers in France and Italy: Comparison of six representative models</w:t>
            </w:r>
          </w:p>
        </w:tc>
        <w:tc>
          <w:tcPr>
            <w:tcW w:w="770" w:type="dxa"/>
            <w:noWrap/>
            <w:hideMark/>
          </w:tcPr>
          <w:p w14:paraId="5AEBF7E8" w14:textId="77777777" w:rsidR="005400D8" w:rsidRPr="00A014FD" w:rsidRDefault="005400D8" w:rsidP="00704B82">
            <w:pPr>
              <w:spacing w:line="240" w:lineRule="auto"/>
              <w:rPr>
                <w:sz w:val="22"/>
              </w:rPr>
            </w:pPr>
            <w:r w:rsidRPr="00A014FD">
              <w:rPr>
                <w:sz w:val="22"/>
              </w:rPr>
              <w:t>33B</w:t>
            </w:r>
          </w:p>
        </w:tc>
      </w:tr>
      <w:tr w:rsidR="005400D8" w:rsidRPr="00A014FD" w14:paraId="7BC161F1" w14:textId="77777777" w:rsidTr="00704B82">
        <w:trPr>
          <w:trHeight w:val="285"/>
        </w:trPr>
        <w:tc>
          <w:tcPr>
            <w:tcW w:w="13178" w:type="dxa"/>
            <w:noWrap/>
            <w:hideMark/>
          </w:tcPr>
          <w:p w14:paraId="7123ACE5" w14:textId="77777777" w:rsidR="005400D8" w:rsidRPr="00A014FD" w:rsidRDefault="005400D8" w:rsidP="00704B82">
            <w:pPr>
              <w:spacing w:line="240" w:lineRule="auto"/>
              <w:rPr>
                <w:sz w:val="22"/>
              </w:rPr>
            </w:pPr>
            <w:r w:rsidRPr="00A014FD">
              <w:rPr>
                <w:sz w:val="22"/>
              </w:rPr>
              <w:t xml:space="preserve"> Assessing urban logistics pooling sustainability via a hierarchic dashboard from a group decision perspective.</w:t>
            </w:r>
          </w:p>
        </w:tc>
        <w:tc>
          <w:tcPr>
            <w:tcW w:w="770" w:type="dxa"/>
            <w:noWrap/>
            <w:hideMark/>
          </w:tcPr>
          <w:p w14:paraId="00ACAEFA" w14:textId="77777777" w:rsidR="005400D8" w:rsidRPr="00A014FD" w:rsidRDefault="005400D8" w:rsidP="00704B82">
            <w:pPr>
              <w:spacing w:line="240" w:lineRule="auto"/>
              <w:rPr>
                <w:sz w:val="22"/>
              </w:rPr>
            </w:pPr>
            <w:r w:rsidRPr="00A014FD">
              <w:rPr>
                <w:sz w:val="22"/>
              </w:rPr>
              <w:t>34B</w:t>
            </w:r>
          </w:p>
        </w:tc>
      </w:tr>
      <w:tr w:rsidR="005400D8" w:rsidRPr="00A014FD" w14:paraId="0D1D0DA2" w14:textId="77777777" w:rsidTr="00704B82">
        <w:trPr>
          <w:trHeight w:val="285"/>
        </w:trPr>
        <w:tc>
          <w:tcPr>
            <w:tcW w:w="13178" w:type="dxa"/>
            <w:noWrap/>
            <w:hideMark/>
          </w:tcPr>
          <w:p w14:paraId="44D75270" w14:textId="77777777" w:rsidR="005400D8" w:rsidRPr="00A014FD" w:rsidRDefault="005400D8" w:rsidP="00704B82">
            <w:pPr>
              <w:spacing w:line="240" w:lineRule="auto"/>
              <w:rPr>
                <w:sz w:val="22"/>
              </w:rPr>
            </w:pPr>
            <w:r w:rsidRPr="00A014FD">
              <w:rPr>
                <w:sz w:val="22"/>
              </w:rPr>
              <w:t>Multi-stakeholder collaboration in urban transport: State-of-the-art and research opportunities</w:t>
            </w:r>
          </w:p>
        </w:tc>
        <w:tc>
          <w:tcPr>
            <w:tcW w:w="770" w:type="dxa"/>
            <w:noWrap/>
            <w:hideMark/>
          </w:tcPr>
          <w:p w14:paraId="138269AF" w14:textId="77777777" w:rsidR="005400D8" w:rsidRPr="00A014FD" w:rsidRDefault="005400D8" w:rsidP="00704B82">
            <w:pPr>
              <w:spacing w:line="240" w:lineRule="auto"/>
              <w:rPr>
                <w:sz w:val="22"/>
              </w:rPr>
            </w:pPr>
            <w:r w:rsidRPr="00A014FD">
              <w:rPr>
                <w:sz w:val="22"/>
              </w:rPr>
              <w:t>35B</w:t>
            </w:r>
          </w:p>
        </w:tc>
      </w:tr>
      <w:tr w:rsidR="005400D8" w:rsidRPr="00A014FD" w14:paraId="07F941E5" w14:textId="77777777" w:rsidTr="00704B82">
        <w:trPr>
          <w:trHeight w:val="285"/>
        </w:trPr>
        <w:tc>
          <w:tcPr>
            <w:tcW w:w="13178" w:type="dxa"/>
            <w:noWrap/>
            <w:hideMark/>
          </w:tcPr>
          <w:p w14:paraId="2EA0B607" w14:textId="77777777" w:rsidR="005400D8" w:rsidRPr="00A014FD" w:rsidRDefault="005400D8" w:rsidP="00704B82">
            <w:pPr>
              <w:spacing w:line="240" w:lineRule="auto"/>
              <w:rPr>
                <w:sz w:val="22"/>
              </w:rPr>
            </w:pPr>
            <w:r w:rsidRPr="00A014FD">
              <w:rPr>
                <w:sz w:val="22"/>
              </w:rPr>
              <w:t>Defining and Evaluating Collaborative Urban Freight Transportation Systems.</w:t>
            </w:r>
          </w:p>
        </w:tc>
        <w:tc>
          <w:tcPr>
            <w:tcW w:w="770" w:type="dxa"/>
            <w:noWrap/>
            <w:hideMark/>
          </w:tcPr>
          <w:p w14:paraId="6673EA88" w14:textId="77777777" w:rsidR="005400D8" w:rsidRPr="00A014FD" w:rsidRDefault="005400D8" w:rsidP="00704B82">
            <w:pPr>
              <w:spacing w:line="240" w:lineRule="auto"/>
              <w:rPr>
                <w:sz w:val="22"/>
              </w:rPr>
            </w:pPr>
            <w:r w:rsidRPr="00A014FD">
              <w:rPr>
                <w:sz w:val="22"/>
              </w:rPr>
              <w:t>36B</w:t>
            </w:r>
          </w:p>
        </w:tc>
      </w:tr>
      <w:tr w:rsidR="005400D8" w:rsidRPr="00A014FD" w14:paraId="714D1267" w14:textId="77777777" w:rsidTr="00704B82">
        <w:trPr>
          <w:trHeight w:val="285"/>
        </w:trPr>
        <w:tc>
          <w:tcPr>
            <w:tcW w:w="13178" w:type="dxa"/>
            <w:noWrap/>
            <w:hideMark/>
          </w:tcPr>
          <w:p w14:paraId="0061A38B" w14:textId="77777777" w:rsidR="005400D8" w:rsidRPr="00A014FD" w:rsidRDefault="005400D8" w:rsidP="00704B82">
            <w:pPr>
              <w:spacing w:line="240" w:lineRule="auto"/>
              <w:rPr>
                <w:sz w:val="22"/>
              </w:rPr>
            </w:pPr>
            <w:r w:rsidRPr="00A014FD">
              <w:rPr>
                <w:sz w:val="22"/>
              </w:rPr>
              <w:t xml:space="preserve">Factors of adoption governing the emergence of urban consolidation </w:t>
            </w:r>
            <w:proofErr w:type="spellStart"/>
            <w:r w:rsidRPr="00A014FD">
              <w:rPr>
                <w:sz w:val="22"/>
              </w:rPr>
              <w:t>centres</w:t>
            </w:r>
            <w:proofErr w:type="spellEnd"/>
            <w:r w:rsidRPr="00A014FD">
              <w:rPr>
                <w:sz w:val="22"/>
              </w:rPr>
              <w:t>.</w:t>
            </w:r>
          </w:p>
        </w:tc>
        <w:tc>
          <w:tcPr>
            <w:tcW w:w="770" w:type="dxa"/>
            <w:noWrap/>
            <w:hideMark/>
          </w:tcPr>
          <w:p w14:paraId="3CCBCB8F" w14:textId="77777777" w:rsidR="005400D8" w:rsidRPr="00A014FD" w:rsidRDefault="005400D8" w:rsidP="00704B82">
            <w:pPr>
              <w:spacing w:line="240" w:lineRule="auto"/>
              <w:rPr>
                <w:sz w:val="22"/>
              </w:rPr>
            </w:pPr>
            <w:r w:rsidRPr="00A014FD">
              <w:rPr>
                <w:sz w:val="22"/>
              </w:rPr>
              <w:t>37B</w:t>
            </w:r>
          </w:p>
        </w:tc>
      </w:tr>
      <w:tr w:rsidR="005400D8" w:rsidRPr="00A014FD" w14:paraId="7E8107D9" w14:textId="77777777" w:rsidTr="00704B82">
        <w:trPr>
          <w:trHeight w:val="285"/>
        </w:trPr>
        <w:tc>
          <w:tcPr>
            <w:tcW w:w="13178" w:type="dxa"/>
            <w:noWrap/>
            <w:hideMark/>
          </w:tcPr>
          <w:p w14:paraId="34C7DF65" w14:textId="77777777" w:rsidR="005400D8" w:rsidRPr="00A014FD" w:rsidRDefault="005400D8" w:rsidP="00704B82">
            <w:pPr>
              <w:spacing w:line="240" w:lineRule="auto"/>
              <w:rPr>
                <w:sz w:val="22"/>
              </w:rPr>
            </w:pPr>
            <w:r w:rsidRPr="00A014FD">
              <w:rPr>
                <w:sz w:val="22"/>
              </w:rPr>
              <w:t>Modeling a four-layer location-routing problem.</w:t>
            </w:r>
          </w:p>
        </w:tc>
        <w:tc>
          <w:tcPr>
            <w:tcW w:w="770" w:type="dxa"/>
            <w:noWrap/>
            <w:hideMark/>
          </w:tcPr>
          <w:p w14:paraId="72D207C5" w14:textId="77777777" w:rsidR="005400D8" w:rsidRPr="00A014FD" w:rsidRDefault="005400D8" w:rsidP="00704B82">
            <w:pPr>
              <w:spacing w:line="240" w:lineRule="auto"/>
              <w:rPr>
                <w:sz w:val="22"/>
              </w:rPr>
            </w:pPr>
            <w:r w:rsidRPr="00A014FD">
              <w:rPr>
                <w:sz w:val="22"/>
              </w:rPr>
              <w:t>38B</w:t>
            </w:r>
          </w:p>
        </w:tc>
      </w:tr>
      <w:tr w:rsidR="005400D8" w:rsidRPr="00A014FD" w14:paraId="29B50F31" w14:textId="77777777" w:rsidTr="00704B82">
        <w:trPr>
          <w:trHeight w:val="285"/>
        </w:trPr>
        <w:tc>
          <w:tcPr>
            <w:tcW w:w="13178" w:type="dxa"/>
            <w:noWrap/>
            <w:hideMark/>
          </w:tcPr>
          <w:p w14:paraId="371716A1" w14:textId="77777777" w:rsidR="005400D8" w:rsidRPr="00A014FD" w:rsidRDefault="005400D8" w:rsidP="00704B82">
            <w:pPr>
              <w:spacing w:line="240" w:lineRule="auto"/>
              <w:rPr>
                <w:sz w:val="22"/>
              </w:rPr>
            </w:pPr>
            <w:r w:rsidRPr="00A014FD">
              <w:rPr>
                <w:sz w:val="22"/>
              </w:rPr>
              <w:t>Enabling Carrier Collaboration via Order Sharing Double Auction: A Singapore Urban Logistics Perspective</w:t>
            </w:r>
          </w:p>
        </w:tc>
        <w:tc>
          <w:tcPr>
            <w:tcW w:w="770" w:type="dxa"/>
            <w:noWrap/>
            <w:hideMark/>
          </w:tcPr>
          <w:p w14:paraId="0BCBEFA4" w14:textId="77777777" w:rsidR="005400D8" w:rsidRPr="00A014FD" w:rsidRDefault="005400D8" w:rsidP="00704B82">
            <w:pPr>
              <w:spacing w:line="240" w:lineRule="auto"/>
              <w:rPr>
                <w:sz w:val="22"/>
              </w:rPr>
            </w:pPr>
            <w:r w:rsidRPr="00A014FD">
              <w:rPr>
                <w:sz w:val="22"/>
              </w:rPr>
              <w:t>39B</w:t>
            </w:r>
          </w:p>
        </w:tc>
      </w:tr>
      <w:tr w:rsidR="005400D8" w:rsidRPr="00A014FD" w14:paraId="66624078" w14:textId="77777777" w:rsidTr="00704B82">
        <w:trPr>
          <w:trHeight w:val="285"/>
        </w:trPr>
        <w:tc>
          <w:tcPr>
            <w:tcW w:w="13178" w:type="dxa"/>
            <w:noWrap/>
            <w:hideMark/>
          </w:tcPr>
          <w:p w14:paraId="22148F83" w14:textId="77777777" w:rsidR="005400D8" w:rsidRPr="00A014FD" w:rsidRDefault="005400D8" w:rsidP="00704B82">
            <w:pPr>
              <w:spacing w:line="240" w:lineRule="auto"/>
              <w:rPr>
                <w:sz w:val="22"/>
              </w:rPr>
            </w:pPr>
            <w:r w:rsidRPr="00A014FD">
              <w:rPr>
                <w:sz w:val="22"/>
              </w:rPr>
              <w:t xml:space="preserve">Achieving Economic and Environmental </w:t>
            </w:r>
            <w:proofErr w:type="spellStart"/>
            <w:r w:rsidRPr="00A014FD">
              <w:rPr>
                <w:sz w:val="22"/>
              </w:rPr>
              <w:t>Sustainabilities</w:t>
            </w:r>
            <w:proofErr w:type="spellEnd"/>
            <w:r w:rsidRPr="00A014FD">
              <w:rPr>
                <w:sz w:val="22"/>
              </w:rPr>
              <w:t xml:space="preserve"> in Urban Consolidation Center </w:t>
            </w:r>
            <w:proofErr w:type="gramStart"/>
            <w:r w:rsidRPr="00A014FD">
              <w:rPr>
                <w:sz w:val="22"/>
              </w:rPr>
              <w:t>With</w:t>
            </w:r>
            <w:proofErr w:type="gramEnd"/>
            <w:r w:rsidRPr="00A014FD">
              <w:rPr>
                <w:sz w:val="22"/>
              </w:rPr>
              <w:t xml:space="preserve"> Bicriteria Auction.</w:t>
            </w:r>
          </w:p>
        </w:tc>
        <w:tc>
          <w:tcPr>
            <w:tcW w:w="770" w:type="dxa"/>
            <w:noWrap/>
            <w:hideMark/>
          </w:tcPr>
          <w:p w14:paraId="09D25DB9" w14:textId="77777777" w:rsidR="005400D8" w:rsidRPr="00A014FD" w:rsidRDefault="005400D8" w:rsidP="00704B82">
            <w:pPr>
              <w:spacing w:line="240" w:lineRule="auto"/>
              <w:rPr>
                <w:sz w:val="22"/>
              </w:rPr>
            </w:pPr>
            <w:r w:rsidRPr="00A014FD">
              <w:rPr>
                <w:sz w:val="22"/>
              </w:rPr>
              <w:t>40B</w:t>
            </w:r>
          </w:p>
        </w:tc>
      </w:tr>
      <w:tr w:rsidR="005400D8" w:rsidRPr="00A014FD" w14:paraId="5E331D37" w14:textId="77777777" w:rsidTr="00704B82">
        <w:trPr>
          <w:trHeight w:val="285"/>
        </w:trPr>
        <w:tc>
          <w:tcPr>
            <w:tcW w:w="13178" w:type="dxa"/>
            <w:noWrap/>
            <w:hideMark/>
          </w:tcPr>
          <w:p w14:paraId="6250399F" w14:textId="77777777" w:rsidR="005400D8" w:rsidRPr="00A014FD" w:rsidRDefault="005400D8" w:rsidP="00704B82">
            <w:pPr>
              <w:spacing w:line="240" w:lineRule="auto"/>
              <w:rPr>
                <w:sz w:val="22"/>
              </w:rPr>
            </w:pPr>
            <w:r w:rsidRPr="00A014FD">
              <w:rPr>
                <w:sz w:val="22"/>
              </w:rPr>
              <w:t>An adaptive large neighborhood search heuristic for Two-Echelon Vehicle Routing Problems arising in city logistics.</w:t>
            </w:r>
          </w:p>
        </w:tc>
        <w:tc>
          <w:tcPr>
            <w:tcW w:w="770" w:type="dxa"/>
            <w:noWrap/>
            <w:hideMark/>
          </w:tcPr>
          <w:p w14:paraId="3ABF7688" w14:textId="77777777" w:rsidR="005400D8" w:rsidRPr="00A014FD" w:rsidRDefault="005400D8" w:rsidP="00704B82">
            <w:pPr>
              <w:spacing w:line="240" w:lineRule="auto"/>
              <w:rPr>
                <w:sz w:val="22"/>
              </w:rPr>
            </w:pPr>
            <w:r w:rsidRPr="00A014FD">
              <w:rPr>
                <w:sz w:val="22"/>
              </w:rPr>
              <w:t>41B</w:t>
            </w:r>
          </w:p>
        </w:tc>
      </w:tr>
      <w:tr w:rsidR="005400D8" w:rsidRPr="00A014FD" w14:paraId="0A9F8C95" w14:textId="77777777" w:rsidTr="00704B82">
        <w:trPr>
          <w:trHeight w:val="285"/>
        </w:trPr>
        <w:tc>
          <w:tcPr>
            <w:tcW w:w="13178" w:type="dxa"/>
            <w:noWrap/>
            <w:hideMark/>
          </w:tcPr>
          <w:p w14:paraId="69F4B0B4" w14:textId="77777777" w:rsidR="005400D8" w:rsidRPr="00A014FD" w:rsidRDefault="005400D8" w:rsidP="00704B82">
            <w:pPr>
              <w:spacing w:line="240" w:lineRule="auto"/>
              <w:rPr>
                <w:sz w:val="22"/>
              </w:rPr>
            </w:pPr>
            <w:proofErr w:type="gramStart"/>
            <w:r w:rsidRPr="00A014FD">
              <w:rPr>
                <w:sz w:val="22"/>
              </w:rPr>
              <w:t>Gain-sharing</w:t>
            </w:r>
            <w:proofErr w:type="gramEnd"/>
            <w:r w:rsidRPr="00A014FD">
              <w:rPr>
                <w:sz w:val="22"/>
              </w:rPr>
              <w:t xml:space="preserve"> in urban consolidation centers.</w:t>
            </w:r>
          </w:p>
        </w:tc>
        <w:tc>
          <w:tcPr>
            <w:tcW w:w="770" w:type="dxa"/>
            <w:noWrap/>
            <w:hideMark/>
          </w:tcPr>
          <w:p w14:paraId="6B2BCE8B" w14:textId="77777777" w:rsidR="005400D8" w:rsidRPr="00A014FD" w:rsidRDefault="005400D8" w:rsidP="00704B82">
            <w:pPr>
              <w:spacing w:line="240" w:lineRule="auto"/>
              <w:rPr>
                <w:sz w:val="22"/>
              </w:rPr>
            </w:pPr>
            <w:r w:rsidRPr="00A014FD">
              <w:rPr>
                <w:sz w:val="22"/>
              </w:rPr>
              <w:t>42B</w:t>
            </w:r>
          </w:p>
        </w:tc>
      </w:tr>
      <w:tr w:rsidR="005400D8" w:rsidRPr="00A014FD" w14:paraId="1EA0E17A" w14:textId="77777777" w:rsidTr="00704B82">
        <w:trPr>
          <w:trHeight w:val="285"/>
        </w:trPr>
        <w:tc>
          <w:tcPr>
            <w:tcW w:w="13178" w:type="dxa"/>
            <w:noWrap/>
            <w:hideMark/>
          </w:tcPr>
          <w:p w14:paraId="25E0DAC4" w14:textId="77777777" w:rsidR="005400D8" w:rsidRPr="00A014FD" w:rsidRDefault="005400D8" w:rsidP="00704B82">
            <w:pPr>
              <w:spacing w:line="240" w:lineRule="auto"/>
              <w:rPr>
                <w:sz w:val="22"/>
              </w:rPr>
            </w:pPr>
            <w:r w:rsidRPr="00A014FD">
              <w:rPr>
                <w:sz w:val="22"/>
              </w:rPr>
              <w:t>COLLABORATIVE SYSTEMS IN URBAN LOGISTICS</w:t>
            </w:r>
          </w:p>
        </w:tc>
        <w:tc>
          <w:tcPr>
            <w:tcW w:w="770" w:type="dxa"/>
            <w:noWrap/>
            <w:hideMark/>
          </w:tcPr>
          <w:p w14:paraId="3E35523E" w14:textId="77777777" w:rsidR="005400D8" w:rsidRPr="00A014FD" w:rsidRDefault="005400D8" w:rsidP="00704B82">
            <w:pPr>
              <w:spacing w:line="240" w:lineRule="auto"/>
              <w:rPr>
                <w:sz w:val="22"/>
              </w:rPr>
            </w:pPr>
            <w:r w:rsidRPr="00A014FD">
              <w:rPr>
                <w:sz w:val="22"/>
              </w:rPr>
              <w:t>43B</w:t>
            </w:r>
          </w:p>
        </w:tc>
      </w:tr>
      <w:tr w:rsidR="005400D8" w:rsidRPr="00A014FD" w14:paraId="44EBA88A" w14:textId="77777777" w:rsidTr="00704B82">
        <w:trPr>
          <w:trHeight w:val="285"/>
        </w:trPr>
        <w:tc>
          <w:tcPr>
            <w:tcW w:w="13178" w:type="dxa"/>
            <w:noWrap/>
            <w:hideMark/>
          </w:tcPr>
          <w:p w14:paraId="1CF6CDB4" w14:textId="77777777" w:rsidR="005400D8" w:rsidRPr="00A014FD" w:rsidRDefault="005400D8" w:rsidP="00704B82">
            <w:pPr>
              <w:spacing w:line="240" w:lineRule="auto"/>
              <w:rPr>
                <w:sz w:val="22"/>
              </w:rPr>
            </w:pPr>
            <w:r w:rsidRPr="00A014FD">
              <w:rPr>
                <w:sz w:val="22"/>
              </w:rPr>
              <w:t>The urban logistic service model in the aspect of the domestic logistic system</w:t>
            </w:r>
          </w:p>
        </w:tc>
        <w:tc>
          <w:tcPr>
            <w:tcW w:w="770" w:type="dxa"/>
            <w:noWrap/>
            <w:hideMark/>
          </w:tcPr>
          <w:p w14:paraId="433E37B3" w14:textId="77777777" w:rsidR="005400D8" w:rsidRPr="00A014FD" w:rsidRDefault="005400D8" w:rsidP="00704B82">
            <w:pPr>
              <w:spacing w:line="240" w:lineRule="auto"/>
              <w:rPr>
                <w:sz w:val="22"/>
              </w:rPr>
            </w:pPr>
            <w:r w:rsidRPr="00A014FD">
              <w:rPr>
                <w:sz w:val="22"/>
              </w:rPr>
              <w:t>44B</w:t>
            </w:r>
          </w:p>
        </w:tc>
      </w:tr>
      <w:tr w:rsidR="005400D8" w:rsidRPr="00A014FD" w14:paraId="2B95C4C3" w14:textId="77777777" w:rsidTr="00704B82">
        <w:trPr>
          <w:trHeight w:val="285"/>
        </w:trPr>
        <w:tc>
          <w:tcPr>
            <w:tcW w:w="13178" w:type="dxa"/>
            <w:noWrap/>
            <w:hideMark/>
          </w:tcPr>
          <w:p w14:paraId="1FADA029" w14:textId="77777777" w:rsidR="005400D8" w:rsidRPr="00A014FD" w:rsidRDefault="005400D8" w:rsidP="00704B82">
            <w:pPr>
              <w:spacing w:line="240" w:lineRule="auto"/>
              <w:rPr>
                <w:sz w:val="22"/>
              </w:rPr>
            </w:pPr>
            <w:r w:rsidRPr="00A014FD">
              <w:rPr>
                <w:sz w:val="22"/>
              </w:rPr>
              <w:t>The role of the cargo consolidation center in urban logistics system."</w:t>
            </w:r>
          </w:p>
        </w:tc>
        <w:tc>
          <w:tcPr>
            <w:tcW w:w="770" w:type="dxa"/>
            <w:noWrap/>
            <w:hideMark/>
          </w:tcPr>
          <w:p w14:paraId="62E5F931" w14:textId="77777777" w:rsidR="005400D8" w:rsidRPr="00A014FD" w:rsidRDefault="005400D8" w:rsidP="00704B82">
            <w:pPr>
              <w:spacing w:line="240" w:lineRule="auto"/>
              <w:rPr>
                <w:sz w:val="22"/>
              </w:rPr>
            </w:pPr>
            <w:r w:rsidRPr="00A014FD">
              <w:rPr>
                <w:sz w:val="22"/>
              </w:rPr>
              <w:t>45B</w:t>
            </w:r>
          </w:p>
        </w:tc>
      </w:tr>
      <w:tr w:rsidR="005400D8" w:rsidRPr="00A014FD" w14:paraId="514B8E51" w14:textId="77777777" w:rsidTr="00704B82">
        <w:trPr>
          <w:trHeight w:val="285"/>
        </w:trPr>
        <w:tc>
          <w:tcPr>
            <w:tcW w:w="13178" w:type="dxa"/>
            <w:noWrap/>
            <w:hideMark/>
          </w:tcPr>
          <w:p w14:paraId="2BAA3F43" w14:textId="77777777" w:rsidR="005400D8" w:rsidRPr="00A014FD" w:rsidRDefault="005400D8" w:rsidP="00704B82">
            <w:pPr>
              <w:spacing w:line="240" w:lineRule="auto"/>
              <w:rPr>
                <w:sz w:val="22"/>
              </w:rPr>
            </w:pPr>
            <w:r w:rsidRPr="00A014FD">
              <w:rPr>
                <w:sz w:val="22"/>
              </w:rPr>
              <w:t>Downscaling the consolidation of goods-state of the art and transferability of micro-consolidation initiatives.</w:t>
            </w:r>
          </w:p>
        </w:tc>
        <w:tc>
          <w:tcPr>
            <w:tcW w:w="770" w:type="dxa"/>
            <w:noWrap/>
            <w:hideMark/>
          </w:tcPr>
          <w:p w14:paraId="3D49BFB0" w14:textId="77777777" w:rsidR="005400D8" w:rsidRPr="00A014FD" w:rsidRDefault="005400D8" w:rsidP="00704B82">
            <w:pPr>
              <w:spacing w:line="240" w:lineRule="auto"/>
              <w:rPr>
                <w:sz w:val="22"/>
              </w:rPr>
            </w:pPr>
            <w:r w:rsidRPr="00A014FD">
              <w:rPr>
                <w:sz w:val="22"/>
              </w:rPr>
              <w:t>46B</w:t>
            </w:r>
          </w:p>
        </w:tc>
      </w:tr>
      <w:tr w:rsidR="005400D8" w:rsidRPr="00A014FD" w14:paraId="0E9F4C5B" w14:textId="77777777" w:rsidTr="00704B82">
        <w:trPr>
          <w:trHeight w:val="285"/>
        </w:trPr>
        <w:tc>
          <w:tcPr>
            <w:tcW w:w="13178" w:type="dxa"/>
            <w:noWrap/>
            <w:hideMark/>
          </w:tcPr>
          <w:p w14:paraId="5A9F88EC" w14:textId="77777777" w:rsidR="005400D8" w:rsidRPr="00A014FD" w:rsidRDefault="005400D8" w:rsidP="00704B82">
            <w:pPr>
              <w:spacing w:line="240" w:lineRule="auto"/>
              <w:rPr>
                <w:sz w:val="22"/>
              </w:rPr>
            </w:pPr>
            <w:r w:rsidRPr="00A014FD">
              <w:rPr>
                <w:sz w:val="22"/>
              </w:rPr>
              <w:t xml:space="preserve">Strategic Scenarios for Sustainable Urban Distribution in the Brussels-capital Region Using Urban Consolidation </w:t>
            </w:r>
            <w:proofErr w:type="spellStart"/>
            <w:r w:rsidRPr="00A014FD">
              <w:rPr>
                <w:sz w:val="22"/>
              </w:rPr>
              <w:t>Centres</w:t>
            </w:r>
            <w:proofErr w:type="spellEnd"/>
            <w:r w:rsidRPr="00A014FD">
              <w:rPr>
                <w:sz w:val="22"/>
              </w:rPr>
              <w:t>,</w:t>
            </w:r>
          </w:p>
        </w:tc>
        <w:tc>
          <w:tcPr>
            <w:tcW w:w="770" w:type="dxa"/>
            <w:noWrap/>
            <w:hideMark/>
          </w:tcPr>
          <w:p w14:paraId="3554BB39" w14:textId="77777777" w:rsidR="005400D8" w:rsidRPr="00A014FD" w:rsidRDefault="005400D8" w:rsidP="00704B82">
            <w:pPr>
              <w:spacing w:line="240" w:lineRule="auto"/>
              <w:rPr>
                <w:sz w:val="22"/>
              </w:rPr>
            </w:pPr>
            <w:r w:rsidRPr="00A014FD">
              <w:rPr>
                <w:sz w:val="22"/>
              </w:rPr>
              <w:t>47B</w:t>
            </w:r>
          </w:p>
        </w:tc>
      </w:tr>
      <w:tr w:rsidR="005400D8" w:rsidRPr="00A014FD" w14:paraId="485529DE" w14:textId="77777777" w:rsidTr="00704B82">
        <w:trPr>
          <w:trHeight w:val="285"/>
        </w:trPr>
        <w:tc>
          <w:tcPr>
            <w:tcW w:w="13178" w:type="dxa"/>
            <w:noWrap/>
            <w:hideMark/>
          </w:tcPr>
          <w:p w14:paraId="1040FFF3" w14:textId="77777777" w:rsidR="005400D8" w:rsidRPr="00A014FD" w:rsidRDefault="005400D8" w:rsidP="00704B82">
            <w:pPr>
              <w:spacing w:line="240" w:lineRule="auto"/>
              <w:rPr>
                <w:sz w:val="22"/>
              </w:rPr>
            </w:pPr>
            <w:r w:rsidRPr="00A014FD">
              <w:rPr>
                <w:sz w:val="22"/>
              </w:rPr>
              <w:t xml:space="preserve">Investigating the theoretical cost-relationships of urban consolidation </w:t>
            </w:r>
            <w:proofErr w:type="spellStart"/>
            <w:r w:rsidRPr="00A014FD">
              <w:rPr>
                <w:sz w:val="22"/>
              </w:rPr>
              <w:t>centres</w:t>
            </w:r>
            <w:proofErr w:type="spellEnd"/>
            <w:r w:rsidRPr="00A014FD">
              <w:rPr>
                <w:sz w:val="22"/>
              </w:rPr>
              <w:t xml:space="preserve"> for their users.</w:t>
            </w:r>
          </w:p>
        </w:tc>
        <w:tc>
          <w:tcPr>
            <w:tcW w:w="770" w:type="dxa"/>
            <w:noWrap/>
            <w:hideMark/>
          </w:tcPr>
          <w:p w14:paraId="28A7CC4B" w14:textId="77777777" w:rsidR="005400D8" w:rsidRPr="00A014FD" w:rsidRDefault="005400D8" w:rsidP="00704B82">
            <w:pPr>
              <w:spacing w:line="240" w:lineRule="auto"/>
              <w:rPr>
                <w:sz w:val="22"/>
              </w:rPr>
            </w:pPr>
            <w:r w:rsidRPr="00A014FD">
              <w:rPr>
                <w:sz w:val="22"/>
              </w:rPr>
              <w:t>48B</w:t>
            </w:r>
          </w:p>
        </w:tc>
      </w:tr>
      <w:tr w:rsidR="005400D8" w:rsidRPr="00A014FD" w14:paraId="5D37E217" w14:textId="77777777" w:rsidTr="00704B82">
        <w:trPr>
          <w:trHeight w:val="285"/>
        </w:trPr>
        <w:tc>
          <w:tcPr>
            <w:tcW w:w="13178" w:type="dxa"/>
            <w:noWrap/>
            <w:hideMark/>
          </w:tcPr>
          <w:p w14:paraId="06341493" w14:textId="77777777" w:rsidR="005400D8" w:rsidRPr="00A014FD" w:rsidRDefault="005400D8" w:rsidP="00704B82">
            <w:pPr>
              <w:spacing w:line="240" w:lineRule="auto"/>
              <w:rPr>
                <w:sz w:val="22"/>
              </w:rPr>
            </w:pPr>
            <w:r w:rsidRPr="00A014FD">
              <w:rPr>
                <w:sz w:val="22"/>
              </w:rPr>
              <w:t xml:space="preserve">Investigating the financial viability of urban consolidation </w:t>
            </w:r>
            <w:proofErr w:type="spellStart"/>
            <w:r w:rsidRPr="00A014FD">
              <w:rPr>
                <w:sz w:val="22"/>
              </w:rPr>
              <w:t>centre</w:t>
            </w:r>
            <w:proofErr w:type="spellEnd"/>
            <w:r w:rsidRPr="00A014FD">
              <w:rPr>
                <w:sz w:val="22"/>
              </w:rPr>
              <w:t xml:space="preserve"> projects</w:t>
            </w:r>
          </w:p>
        </w:tc>
        <w:tc>
          <w:tcPr>
            <w:tcW w:w="770" w:type="dxa"/>
            <w:noWrap/>
            <w:hideMark/>
          </w:tcPr>
          <w:p w14:paraId="17060699" w14:textId="77777777" w:rsidR="005400D8" w:rsidRPr="00A014FD" w:rsidRDefault="005400D8" w:rsidP="00704B82">
            <w:pPr>
              <w:spacing w:line="240" w:lineRule="auto"/>
              <w:rPr>
                <w:sz w:val="22"/>
              </w:rPr>
            </w:pPr>
            <w:r w:rsidRPr="00A014FD">
              <w:rPr>
                <w:sz w:val="22"/>
              </w:rPr>
              <w:t>49B</w:t>
            </w:r>
          </w:p>
        </w:tc>
      </w:tr>
      <w:tr w:rsidR="005400D8" w:rsidRPr="00A014FD" w14:paraId="651C9265" w14:textId="77777777" w:rsidTr="00704B82">
        <w:trPr>
          <w:trHeight w:val="285"/>
        </w:trPr>
        <w:tc>
          <w:tcPr>
            <w:tcW w:w="13178" w:type="dxa"/>
            <w:noWrap/>
            <w:hideMark/>
          </w:tcPr>
          <w:p w14:paraId="43E96346" w14:textId="77777777" w:rsidR="005400D8" w:rsidRPr="00A014FD" w:rsidRDefault="005400D8" w:rsidP="00704B82">
            <w:pPr>
              <w:spacing w:line="240" w:lineRule="auto"/>
              <w:rPr>
                <w:sz w:val="22"/>
              </w:rPr>
            </w:pPr>
            <w:r w:rsidRPr="00A014FD">
              <w:rPr>
                <w:sz w:val="22"/>
              </w:rPr>
              <w:t>Development and Application of a Transferability Framework for Micro-consolidation Schemes in Urban Freight Transport</w:t>
            </w:r>
          </w:p>
        </w:tc>
        <w:tc>
          <w:tcPr>
            <w:tcW w:w="770" w:type="dxa"/>
            <w:noWrap/>
            <w:hideMark/>
          </w:tcPr>
          <w:p w14:paraId="6B9242E1" w14:textId="77777777" w:rsidR="005400D8" w:rsidRPr="00A014FD" w:rsidRDefault="005400D8" w:rsidP="00704B82">
            <w:pPr>
              <w:spacing w:line="240" w:lineRule="auto"/>
              <w:rPr>
                <w:sz w:val="22"/>
              </w:rPr>
            </w:pPr>
            <w:r w:rsidRPr="00A014FD">
              <w:rPr>
                <w:sz w:val="22"/>
              </w:rPr>
              <w:t>50B</w:t>
            </w:r>
          </w:p>
        </w:tc>
      </w:tr>
      <w:tr w:rsidR="005400D8" w:rsidRPr="00A014FD" w14:paraId="2070EBBA" w14:textId="77777777" w:rsidTr="00704B82">
        <w:trPr>
          <w:trHeight w:val="285"/>
        </w:trPr>
        <w:tc>
          <w:tcPr>
            <w:tcW w:w="13178" w:type="dxa"/>
            <w:noWrap/>
            <w:hideMark/>
          </w:tcPr>
          <w:p w14:paraId="142912D2" w14:textId="77777777" w:rsidR="005400D8" w:rsidRPr="00A014FD" w:rsidRDefault="005400D8" w:rsidP="00704B82">
            <w:pPr>
              <w:spacing w:line="240" w:lineRule="auto"/>
              <w:rPr>
                <w:sz w:val="22"/>
              </w:rPr>
            </w:pPr>
            <w:r w:rsidRPr="00A014FD">
              <w:rPr>
                <w:sz w:val="22"/>
              </w:rPr>
              <w:t xml:space="preserve">Urban consolidation </w:t>
            </w:r>
            <w:proofErr w:type="spellStart"/>
            <w:r w:rsidRPr="00A014FD">
              <w:rPr>
                <w:sz w:val="22"/>
              </w:rPr>
              <w:t>centres</w:t>
            </w:r>
            <w:proofErr w:type="spellEnd"/>
            <w:r w:rsidRPr="00A014FD">
              <w:rPr>
                <w:sz w:val="22"/>
              </w:rPr>
              <w:t>: retail stores’ demands for UCC services</w:t>
            </w:r>
          </w:p>
        </w:tc>
        <w:tc>
          <w:tcPr>
            <w:tcW w:w="770" w:type="dxa"/>
            <w:noWrap/>
            <w:hideMark/>
          </w:tcPr>
          <w:p w14:paraId="06C3CBDF" w14:textId="77777777" w:rsidR="005400D8" w:rsidRPr="00A014FD" w:rsidRDefault="005400D8" w:rsidP="00704B82">
            <w:pPr>
              <w:spacing w:line="240" w:lineRule="auto"/>
              <w:rPr>
                <w:sz w:val="22"/>
              </w:rPr>
            </w:pPr>
            <w:r w:rsidRPr="00A014FD">
              <w:rPr>
                <w:sz w:val="22"/>
              </w:rPr>
              <w:t>51B</w:t>
            </w:r>
          </w:p>
        </w:tc>
      </w:tr>
      <w:tr w:rsidR="005400D8" w:rsidRPr="00A014FD" w14:paraId="0215BD92" w14:textId="77777777" w:rsidTr="00704B82">
        <w:trPr>
          <w:trHeight w:val="285"/>
        </w:trPr>
        <w:tc>
          <w:tcPr>
            <w:tcW w:w="13178" w:type="dxa"/>
            <w:noWrap/>
            <w:hideMark/>
          </w:tcPr>
          <w:p w14:paraId="270FFD83" w14:textId="77777777" w:rsidR="005400D8" w:rsidRPr="00A014FD" w:rsidRDefault="005400D8" w:rsidP="00704B82">
            <w:pPr>
              <w:spacing w:line="240" w:lineRule="auto"/>
              <w:rPr>
                <w:sz w:val="22"/>
              </w:rPr>
            </w:pPr>
            <w:r w:rsidRPr="00A014FD">
              <w:rPr>
                <w:sz w:val="22"/>
              </w:rPr>
              <w:t>Evaluation of delivery consolidation in U.S. Urban areas with logistics cost analysis</w:t>
            </w:r>
          </w:p>
        </w:tc>
        <w:tc>
          <w:tcPr>
            <w:tcW w:w="770" w:type="dxa"/>
            <w:noWrap/>
            <w:hideMark/>
          </w:tcPr>
          <w:p w14:paraId="2B7D543F" w14:textId="77777777" w:rsidR="005400D8" w:rsidRPr="00A014FD" w:rsidRDefault="005400D8" w:rsidP="00704B82">
            <w:pPr>
              <w:spacing w:line="240" w:lineRule="auto"/>
              <w:rPr>
                <w:sz w:val="22"/>
              </w:rPr>
            </w:pPr>
            <w:r w:rsidRPr="00A014FD">
              <w:rPr>
                <w:sz w:val="22"/>
              </w:rPr>
              <w:t>52B</w:t>
            </w:r>
          </w:p>
        </w:tc>
      </w:tr>
      <w:tr w:rsidR="005400D8" w:rsidRPr="00A014FD" w14:paraId="1225EDCE" w14:textId="77777777" w:rsidTr="00704B82">
        <w:trPr>
          <w:trHeight w:val="285"/>
        </w:trPr>
        <w:tc>
          <w:tcPr>
            <w:tcW w:w="13178" w:type="dxa"/>
            <w:noWrap/>
            <w:hideMark/>
          </w:tcPr>
          <w:p w14:paraId="171644DC" w14:textId="77777777" w:rsidR="005400D8" w:rsidRPr="00A014FD" w:rsidRDefault="005400D8" w:rsidP="00704B82">
            <w:pPr>
              <w:spacing w:line="240" w:lineRule="auto"/>
              <w:rPr>
                <w:sz w:val="22"/>
              </w:rPr>
            </w:pPr>
            <w:r w:rsidRPr="00A014FD">
              <w:rPr>
                <w:sz w:val="22"/>
              </w:rPr>
              <w:lastRenderedPageBreak/>
              <w:t>Technical and organizational assumptions of applying UCCs to optimize freight deliveries in the seaside tourist resorts of West Pomeranian Region of Poland.</w:t>
            </w:r>
          </w:p>
        </w:tc>
        <w:tc>
          <w:tcPr>
            <w:tcW w:w="770" w:type="dxa"/>
            <w:noWrap/>
            <w:hideMark/>
          </w:tcPr>
          <w:p w14:paraId="4C5C75F4" w14:textId="77777777" w:rsidR="005400D8" w:rsidRPr="00A014FD" w:rsidRDefault="005400D8" w:rsidP="00704B82">
            <w:pPr>
              <w:spacing w:line="240" w:lineRule="auto"/>
              <w:rPr>
                <w:sz w:val="22"/>
              </w:rPr>
            </w:pPr>
            <w:r w:rsidRPr="00A014FD">
              <w:rPr>
                <w:sz w:val="22"/>
              </w:rPr>
              <w:t>53B</w:t>
            </w:r>
          </w:p>
        </w:tc>
      </w:tr>
      <w:tr w:rsidR="005400D8" w:rsidRPr="00A014FD" w14:paraId="1181A34B" w14:textId="77777777" w:rsidTr="00704B82">
        <w:trPr>
          <w:trHeight w:val="285"/>
        </w:trPr>
        <w:tc>
          <w:tcPr>
            <w:tcW w:w="13178" w:type="dxa"/>
            <w:noWrap/>
            <w:hideMark/>
          </w:tcPr>
          <w:p w14:paraId="5420BB58" w14:textId="77777777" w:rsidR="005400D8" w:rsidRPr="00A014FD" w:rsidRDefault="005400D8" w:rsidP="00704B82">
            <w:pPr>
              <w:spacing w:line="240" w:lineRule="auto"/>
              <w:rPr>
                <w:sz w:val="22"/>
              </w:rPr>
            </w:pPr>
            <w:r w:rsidRPr="00A014FD">
              <w:rPr>
                <w:sz w:val="22"/>
              </w:rPr>
              <w:t>Modelling alternative distribution set-ups for fragmented last mile transport: Towards more efficient and sustainable urban freight transport.</w:t>
            </w:r>
          </w:p>
        </w:tc>
        <w:tc>
          <w:tcPr>
            <w:tcW w:w="770" w:type="dxa"/>
            <w:noWrap/>
            <w:hideMark/>
          </w:tcPr>
          <w:p w14:paraId="06C01210" w14:textId="77777777" w:rsidR="005400D8" w:rsidRPr="00A014FD" w:rsidRDefault="005400D8" w:rsidP="00704B82">
            <w:pPr>
              <w:spacing w:line="240" w:lineRule="auto"/>
              <w:rPr>
                <w:sz w:val="22"/>
              </w:rPr>
            </w:pPr>
            <w:r w:rsidRPr="00A014FD">
              <w:rPr>
                <w:sz w:val="22"/>
              </w:rPr>
              <w:t>54B</w:t>
            </w:r>
          </w:p>
        </w:tc>
      </w:tr>
      <w:tr w:rsidR="005400D8" w:rsidRPr="00A014FD" w14:paraId="03453C0D" w14:textId="77777777" w:rsidTr="00704B82">
        <w:trPr>
          <w:trHeight w:val="285"/>
        </w:trPr>
        <w:tc>
          <w:tcPr>
            <w:tcW w:w="13178" w:type="dxa"/>
            <w:noWrap/>
            <w:hideMark/>
          </w:tcPr>
          <w:p w14:paraId="35621F8E" w14:textId="77777777" w:rsidR="005400D8" w:rsidRPr="00A014FD" w:rsidRDefault="005400D8" w:rsidP="00704B82">
            <w:pPr>
              <w:spacing w:line="240" w:lineRule="auto"/>
              <w:rPr>
                <w:sz w:val="22"/>
              </w:rPr>
            </w:pPr>
            <w:r w:rsidRPr="00A014FD">
              <w:rPr>
                <w:sz w:val="22"/>
              </w:rPr>
              <w:t xml:space="preserve">Is there Life After Subsidy for an Urban Consolidation Centre? An Investigation of the Total Costs and Benefits of a </w:t>
            </w:r>
            <w:proofErr w:type="gramStart"/>
            <w:r w:rsidRPr="00A014FD">
              <w:rPr>
                <w:sz w:val="22"/>
              </w:rPr>
              <w:t>Privately-initiated</w:t>
            </w:r>
            <w:proofErr w:type="gramEnd"/>
            <w:r w:rsidRPr="00A014FD">
              <w:rPr>
                <w:sz w:val="22"/>
              </w:rPr>
              <w:t xml:space="preserve"> Concept.</w:t>
            </w:r>
          </w:p>
        </w:tc>
        <w:tc>
          <w:tcPr>
            <w:tcW w:w="770" w:type="dxa"/>
            <w:noWrap/>
            <w:hideMark/>
          </w:tcPr>
          <w:p w14:paraId="106163FB" w14:textId="77777777" w:rsidR="005400D8" w:rsidRPr="00A014FD" w:rsidRDefault="005400D8" w:rsidP="00704B82">
            <w:pPr>
              <w:spacing w:line="240" w:lineRule="auto"/>
              <w:rPr>
                <w:sz w:val="22"/>
              </w:rPr>
            </w:pPr>
            <w:r w:rsidRPr="00A014FD">
              <w:rPr>
                <w:sz w:val="22"/>
              </w:rPr>
              <w:t>55B</w:t>
            </w:r>
          </w:p>
        </w:tc>
      </w:tr>
      <w:tr w:rsidR="005400D8" w:rsidRPr="00A014FD" w14:paraId="039A317B" w14:textId="77777777" w:rsidTr="00704B82">
        <w:trPr>
          <w:trHeight w:val="285"/>
        </w:trPr>
        <w:tc>
          <w:tcPr>
            <w:tcW w:w="13178" w:type="dxa"/>
            <w:noWrap/>
            <w:hideMark/>
          </w:tcPr>
          <w:p w14:paraId="121D641D" w14:textId="77777777" w:rsidR="005400D8" w:rsidRPr="00A014FD" w:rsidRDefault="005400D8" w:rsidP="00704B82">
            <w:pPr>
              <w:spacing w:line="240" w:lineRule="auto"/>
              <w:rPr>
                <w:sz w:val="22"/>
              </w:rPr>
            </w:pPr>
            <w:r w:rsidRPr="00A014FD">
              <w:rPr>
                <w:sz w:val="22"/>
              </w:rPr>
              <w:t>Urban distribution centers: Doomed to fail or optimal solutions for last mile deliveries</w:t>
            </w:r>
          </w:p>
        </w:tc>
        <w:tc>
          <w:tcPr>
            <w:tcW w:w="770" w:type="dxa"/>
            <w:noWrap/>
            <w:hideMark/>
          </w:tcPr>
          <w:p w14:paraId="0C967885" w14:textId="77777777" w:rsidR="005400D8" w:rsidRPr="00A014FD" w:rsidRDefault="005400D8" w:rsidP="00704B82">
            <w:pPr>
              <w:spacing w:line="240" w:lineRule="auto"/>
              <w:rPr>
                <w:sz w:val="22"/>
              </w:rPr>
            </w:pPr>
            <w:r w:rsidRPr="00A014FD">
              <w:rPr>
                <w:sz w:val="22"/>
              </w:rPr>
              <w:t>56B</w:t>
            </w:r>
          </w:p>
        </w:tc>
      </w:tr>
      <w:tr w:rsidR="005400D8" w:rsidRPr="00A014FD" w14:paraId="1D912E0F" w14:textId="77777777" w:rsidTr="00704B82">
        <w:trPr>
          <w:trHeight w:val="285"/>
        </w:trPr>
        <w:tc>
          <w:tcPr>
            <w:tcW w:w="13178" w:type="dxa"/>
            <w:noWrap/>
            <w:hideMark/>
          </w:tcPr>
          <w:p w14:paraId="4D68E0C6" w14:textId="77777777" w:rsidR="005400D8" w:rsidRPr="00A014FD" w:rsidRDefault="005400D8" w:rsidP="00704B82">
            <w:pPr>
              <w:spacing w:line="240" w:lineRule="auto"/>
              <w:rPr>
                <w:sz w:val="22"/>
              </w:rPr>
            </w:pPr>
            <w:r w:rsidRPr="00A014FD">
              <w:rPr>
                <w:sz w:val="22"/>
              </w:rPr>
              <w:t xml:space="preserve">Conventional, hybrid, or electric vehicles: which technology for an urban distribution </w:t>
            </w:r>
            <w:proofErr w:type="spellStart"/>
            <w:r w:rsidRPr="00A014FD">
              <w:rPr>
                <w:sz w:val="22"/>
              </w:rPr>
              <w:t>centre</w:t>
            </w:r>
            <w:proofErr w:type="spellEnd"/>
          </w:p>
        </w:tc>
        <w:tc>
          <w:tcPr>
            <w:tcW w:w="770" w:type="dxa"/>
            <w:noWrap/>
            <w:hideMark/>
          </w:tcPr>
          <w:p w14:paraId="4B83E266" w14:textId="77777777" w:rsidR="005400D8" w:rsidRPr="00A014FD" w:rsidRDefault="005400D8" w:rsidP="00704B82">
            <w:pPr>
              <w:spacing w:line="240" w:lineRule="auto"/>
              <w:rPr>
                <w:sz w:val="22"/>
              </w:rPr>
            </w:pPr>
            <w:r w:rsidRPr="00A014FD">
              <w:rPr>
                <w:sz w:val="22"/>
              </w:rPr>
              <w:t>57B</w:t>
            </w:r>
          </w:p>
        </w:tc>
      </w:tr>
      <w:tr w:rsidR="005400D8" w:rsidRPr="00A014FD" w14:paraId="414F4BED" w14:textId="77777777" w:rsidTr="00704B82">
        <w:trPr>
          <w:trHeight w:val="285"/>
        </w:trPr>
        <w:tc>
          <w:tcPr>
            <w:tcW w:w="13178" w:type="dxa"/>
            <w:noWrap/>
            <w:hideMark/>
          </w:tcPr>
          <w:p w14:paraId="65A0C878" w14:textId="77777777" w:rsidR="005400D8" w:rsidRPr="00A014FD" w:rsidRDefault="005400D8" w:rsidP="00704B82">
            <w:pPr>
              <w:spacing w:line="240" w:lineRule="auto"/>
              <w:rPr>
                <w:sz w:val="22"/>
              </w:rPr>
            </w:pPr>
            <w:r w:rsidRPr="00A014FD">
              <w:rPr>
                <w:sz w:val="22"/>
              </w:rPr>
              <w:t>Improving policy support in city logistics: The contributions of a multi-actor multi-criteria analysis.</w:t>
            </w:r>
          </w:p>
        </w:tc>
        <w:tc>
          <w:tcPr>
            <w:tcW w:w="770" w:type="dxa"/>
            <w:noWrap/>
            <w:hideMark/>
          </w:tcPr>
          <w:p w14:paraId="64378752" w14:textId="77777777" w:rsidR="005400D8" w:rsidRPr="00A014FD" w:rsidRDefault="005400D8" w:rsidP="00704B82">
            <w:pPr>
              <w:spacing w:line="240" w:lineRule="auto"/>
              <w:rPr>
                <w:sz w:val="22"/>
              </w:rPr>
            </w:pPr>
            <w:r w:rsidRPr="00A014FD">
              <w:rPr>
                <w:sz w:val="22"/>
              </w:rPr>
              <w:t>58B</w:t>
            </w:r>
          </w:p>
        </w:tc>
      </w:tr>
      <w:tr w:rsidR="005400D8" w:rsidRPr="00A014FD" w14:paraId="7D686C06" w14:textId="77777777" w:rsidTr="00704B82">
        <w:trPr>
          <w:trHeight w:val="285"/>
        </w:trPr>
        <w:tc>
          <w:tcPr>
            <w:tcW w:w="13178" w:type="dxa"/>
            <w:noWrap/>
            <w:hideMark/>
          </w:tcPr>
          <w:p w14:paraId="1A209599" w14:textId="77777777" w:rsidR="005400D8" w:rsidRPr="00A014FD" w:rsidRDefault="005400D8" w:rsidP="00704B82">
            <w:pPr>
              <w:spacing w:line="240" w:lineRule="auto"/>
              <w:rPr>
                <w:sz w:val="22"/>
              </w:rPr>
            </w:pPr>
            <w:r w:rsidRPr="00A014FD">
              <w:rPr>
                <w:sz w:val="22"/>
              </w:rPr>
              <w:t>Implementing electric vehicles in urban distribution: A discrete event simulation.</w:t>
            </w:r>
          </w:p>
        </w:tc>
        <w:tc>
          <w:tcPr>
            <w:tcW w:w="770" w:type="dxa"/>
            <w:noWrap/>
            <w:hideMark/>
          </w:tcPr>
          <w:p w14:paraId="6F17C188" w14:textId="77777777" w:rsidR="005400D8" w:rsidRPr="00A014FD" w:rsidRDefault="005400D8" w:rsidP="00704B82">
            <w:pPr>
              <w:spacing w:line="240" w:lineRule="auto"/>
              <w:rPr>
                <w:sz w:val="22"/>
              </w:rPr>
            </w:pPr>
            <w:r w:rsidRPr="00A014FD">
              <w:rPr>
                <w:sz w:val="22"/>
              </w:rPr>
              <w:t>59B</w:t>
            </w:r>
          </w:p>
        </w:tc>
      </w:tr>
      <w:tr w:rsidR="005400D8" w:rsidRPr="00A014FD" w14:paraId="53112C1F" w14:textId="77777777" w:rsidTr="00704B82">
        <w:trPr>
          <w:trHeight w:val="285"/>
        </w:trPr>
        <w:tc>
          <w:tcPr>
            <w:tcW w:w="13178" w:type="dxa"/>
            <w:noWrap/>
            <w:hideMark/>
          </w:tcPr>
          <w:p w14:paraId="2A05187E" w14:textId="77777777" w:rsidR="005400D8" w:rsidRPr="00A014FD" w:rsidRDefault="005400D8" w:rsidP="00704B82">
            <w:pPr>
              <w:spacing w:line="240" w:lineRule="auto"/>
              <w:rPr>
                <w:sz w:val="22"/>
              </w:rPr>
            </w:pPr>
            <w:r w:rsidRPr="00A014FD">
              <w:rPr>
                <w:sz w:val="22"/>
              </w:rPr>
              <w:t xml:space="preserve">How can authorities support urban consolidation </w:t>
            </w:r>
            <w:proofErr w:type="spellStart"/>
            <w:r w:rsidRPr="00A014FD">
              <w:rPr>
                <w:sz w:val="22"/>
              </w:rPr>
              <w:t>centres</w:t>
            </w:r>
            <w:proofErr w:type="spellEnd"/>
            <w:r w:rsidRPr="00A014FD">
              <w:rPr>
                <w:sz w:val="22"/>
              </w:rPr>
              <w:t>? A review of the accompanying measures</w:t>
            </w:r>
          </w:p>
        </w:tc>
        <w:tc>
          <w:tcPr>
            <w:tcW w:w="770" w:type="dxa"/>
            <w:noWrap/>
            <w:hideMark/>
          </w:tcPr>
          <w:p w14:paraId="20896C6C" w14:textId="77777777" w:rsidR="005400D8" w:rsidRPr="00A014FD" w:rsidRDefault="005400D8" w:rsidP="00704B82">
            <w:pPr>
              <w:spacing w:line="240" w:lineRule="auto"/>
              <w:rPr>
                <w:sz w:val="22"/>
              </w:rPr>
            </w:pPr>
            <w:r w:rsidRPr="00A014FD">
              <w:rPr>
                <w:sz w:val="22"/>
              </w:rPr>
              <w:t>60B</w:t>
            </w:r>
          </w:p>
        </w:tc>
      </w:tr>
      <w:tr w:rsidR="005400D8" w:rsidRPr="00A014FD" w14:paraId="7BDF1972" w14:textId="77777777" w:rsidTr="00704B82">
        <w:trPr>
          <w:trHeight w:val="285"/>
        </w:trPr>
        <w:tc>
          <w:tcPr>
            <w:tcW w:w="13178" w:type="dxa"/>
            <w:noWrap/>
            <w:hideMark/>
          </w:tcPr>
          <w:p w14:paraId="54D686A4" w14:textId="77777777" w:rsidR="005400D8" w:rsidRPr="00A014FD" w:rsidRDefault="005400D8" w:rsidP="00704B82">
            <w:pPr>
              <w:spacing w:line="240" w:lineRule="auto"/>
              <w:rPr>
                <w:sz w:val="22"/>
              </w:rPr>
            </w:pPr>
            <w:r w:rsidRPr="00A014FD">
              <w:rPr>
                <w:sz w:val="22"/>
              </w:rPr>
              <w:t>Before-after assessment of a logistics trial with clean urban freight vehicles: A case study in London</w:t>
            </w:r>
          </w:p>
        </w:tc>
        <w:tc>
          <w:tcPr>
            <w:tcW w:w="770" w:type="dxa"/>
            <w:noWrap/>
            <w:hideMark/>
          </w:tcPr>
          <w:p w14:paraId="44F81233" w14:textId="77777777" w:rsidR="005400D8" w:rsidRPr="00A014FD" w:rsidRDefault="005400D8" w:rsidP="00704B82">
            <w:pPr>
              <w:spacing w:line="240" w:lineRule="auto"/>
              <w:rPr>
                <w:sz w:val="22"/>
              </w:rPr>
            </w:pPr>
            <w:r w:rsidRPr="00A014FD">
              <w:rPr>
                <w:sz w:val="22"/>
              </w:rPr>
              <w:t>61B</w:t>
            </w:r>
          </w:p>
        </w:tc>
      </w:tr>
      <w:tr w:rsidR="005400D8" w:rsidRPr="00A014FD" w14:paraId="3D890369" w14:textId="77777777" w:rsidTr="00704B82">
        <w:trPr>
          <w:trHeight w:val="285"/>
        </w:trPr>
        <w:tc>
          <w:tcPr>
            <w:tcW w:w="13178" w:type="dxa"/>
            <w:noWrap/>
            <w:hideMark/>
          </w:tcPr>
          <w:p w14:paraId="38E03256" w14:textId="77777777" w:rsidR="005400D8" w:rsidRPr="00A014FD" w:rsidRDefault="005400D8" w:rsidP="00704B82">
            <w:pPr>
              <w:spacing w:line="240" w:lineRule="auto"/>
              <w:rPr>
                <w:sz w:val="22"/>
              </w:rPr>
            </w:pPr>
            <w:r w:rsidRPr="00A014FD">
              <w:rPr>
                <w:sz w:val="22"/>
              </w:rPr>
              <w:t>Best Practice Factory for Freight Transport in Europe: Demonstrating how ‘Good’ Urban Freight Cases are Improving Business Profit and Public Sectors Benefits</w:t>
            </w:r>
          </w:p>
        </w:tc>
        <w:tc>
          <w:tcPr>
            <w:tcW w:w="770" w:type="dxa"/>
            <w:noWrap/>
            <w:hideMark/>
          </w:tcPr>
          <w:p w14:paraId="0BF7D3E7" w14:textId="77777777" w:rsidR="005400D8" w:rsidRPr="00A014FD" w:rsidRDefault="005400D8" w:rsidP="00704B82">
            <w:pPr>
              <w:spacing w:line="240" w:lineRule="auto"/>
              <w:rPr>
                <w:sz w:val="22"/>
              </w:rPr>
            </w:pPr>
            <w:r w:rsidRPr="00A014FD">
              <w:rPr>
                <w:sz w:val="22"/>
              </w:rPr>
              <w:t>62B</w:t>
            </w:r>
          </w:p>
        </w:tc>
      </w:tr>
      <w:tr w:rsidR="005400D8" w:rsidRPr="00A014FD" w14:paraId="67FA0B61" w14:textId="77777777" w:rsidTr="00704B82">
        <w:trPr>
          <w:trHeight w:val="285"/>
        </w:trPr>
        <w:tc>
          <w:tcPr>
            <w:tcW w:w="13178" w:type="dxa"/>
            <w:noWrap/>
            <w:hideMark/>
          </w:tcPr>
          <w:p w14:paraId="4C54995A" w14:textId="77777777" w:rsidR="005400D8" w:rsidRPr="00A014FD" w:rsidRDefault="005400D8" w:rsidP="00704B82">
            <w:pPr>
              <w:spacing w:line="240" w:lineRule="auto"/>
              <w:rPr>
                <w:sz w:val="22"/>
              </w:rPr>
            </w:pPr>
            <w:r w:rsidRPr="00A014FD">
              <w:rPr>
                <w:sz w:val="22"/>
              </w:rPr>
              <w:t>Location Selection of Urban Distribution Center with a Mathematical Modeling Approach Based on the Total Cost</w:t>
            </w:r>
          </w:p>
        </w:tc>
        <w:tc>
          <w:tcPr>
            <w:tcW w:w="770" w:type="dxa"/>
            <w:noWrap/>
            <w:hideMark/>
          </w:tcPr>
          <w:p w14:paraId="648BF31A" w14:textId="77777777" w:rsidR="005400D8" w:rsidRPr="00A014FD" w:rsidRDefault="005400D8" w:rsidP="00704B82">
            <w:pPr>
              <w:spacing w:line="240" w:lineRule="auto"/>
              <w:rPr>
                <w:sz w:val="22"/>
              </w:rPr>
            </w:pPr>
            <w:r w:rsidRPr="00A014FD">
              <w:rPr>
                <w:sz w:val="22"/>
              </w:rPr>
              <w:t>63B</w:t>
            </w:r>
          </w:p>
        </w:tc>
      </w:tr>
      <w:tr w:rsidR="005400D8" w:rsidRPr="00A014FD" w14:paraId="2D68B0E4" w14:textId="77777777" w:rsidTr="00704B82">
        <w:trPr>
          <w:trHeight w:val="285"/>
        </w:trPr>
        <w:tc>
          <w:tcPr>
            <w:tcW w:w="13178" w:type="dxa"/>
            <w:noWrap/>
            <w:hideMark/>
          </w:tcPr>
          <w:p w14:paraId="7E936765" w14:textId="77777777" w:rsidR="005400D8" w:rsidRPr="00A014FD" w:rsidRDefault="005400D8" w:rsidP="00704B82">
            <w:pPr>
              <w:spacing w:line="240" w:lineRule="auto"/>
              <w:rPr>
                <w:sz w:val="22"/>
              </w:rPr>
            </w:pPr>
            <w:r w:rsidRPr="00A014FD">
              <w:rPr>
                <w:sz w:val="22"/>
              </w:rPr>
              <w:t>Sustainability SI: Logistics Cost and Environmental Impact Analyses of Urban Delivery Consolidation Strategies.</w:t>
            </w:r>
          </w:p>
        </w:tc>
        <w:tc>
          <w:tcPr>
            <w:tcW w:w="770" w:type="dxa"/>
            <w:noWrap/>
            <w:hideMark/>
          </w:tcPr>
          <w:p w14:paraId="77F281C1" w14:textId="77777777" w:rsidR="005400D8" w:rsidRPr="00A014FD" w:rsidRDefault="005400D8" w:rsidP="00704B82">
            <w:pPr>
              <w:spacing w:line="240" w:lineRule="auto"/>
              <w:rPr>
                <w:sz w:val="22"/>
              </w:rPr>
            </w:pPr>
            <w:r w:rsidRPr="00A014FD">
              <w:rPr>
                <w:sz w:val="22"/>
              </w:rPr>
              <w:t>64B</w:t>
            </w:r>
          </w:p>
        </w:tc>
      </w:tr>
      <w:tr w:rsidR="005400D8" w:rsidRPr="00A014FD" w14:paraId="0B5BB9F9" w14:textId="77777777" w:rsidTr="00704B82">
        <w:trPr>
          <w:trHeight w:val="285"/>
        </w:trPr>
        <w:tc>
          <w:tcPr>
            <w:tcW w:w="13178" w:type="dxa"/>
            <w:noWrap/>
            <w:hideMark/>
          </w:tcPr>
          <w:p w14:paraId="2456E456" w14:textId="77777777" w:rsidR="005400D8" w:rsidRPr="00A014FD" w:rsidRDefault="005400D8" w:rsidP="00704B82">
            <w:pPr>
              <w:spacing w:line="240" w:lineRule="auto"/>
              <w:rPr>
                <w:sz w:val="22"/>
              </w:rPr>
            </w:pPr>
            <w:r w:rsidRPr="00A014FD">
              <w:rPr>
                <w:sz w:val="22"/>
              </w:rPr>
              <w:t>Determining urban freight facility locations using post-evaluation deliberation</w:t>
            </w:r>
          </w:p>
        </w:tc>
        <w:tc>
          <w:tcPr>
            <w:tcW w:w="770" w:type="dxa"/>
            <w:noWrap/>
            <w:hideMark/>
          </w:tcPr>
          <w:p w14:paraId="348271FD" w14:textId="77777777" w:rsidR="005400D8" w:rsidRPr="00A014FD" w:rsidRDefault="005400D8" w:rsidP="00704B82">
            <w:pPr>
              <w:spacing w:line="240" w:lineRule="auto"/>
              <w:rPr>
                <w:sz w:val="22"/>
              </w:rPr>
            </w:pPr>
            <w:r w:rsidRPr="00A014FD">
              <w:rPr>
                <w:sz w:val="22"/>
              </w:rPr>
              <w:t>65B</w:t>
            </w:r>
          </w:p>
        </w:tc>
      </w:tr>
      <w:tr w:rsidR="005400D8" w:rsidRPr="00A014FD" w14:paraId="6DAF11B5" w14:textId="77777777" w:rsidTr="00704B82">
        <w:trPr>
          <w:trHeight w:val="285"/>
        </w:trPr>
        <w:tc>
          <w:tcPr>
            <w:tcW w:w="13178" w:type="dxa"/>
            <w:noWrap/>
            <w:hideMark/>
          </w:tcPr>
          <w:p w14:paraId="58FA4EBC" w14:textId="77777777" w:rsidR="005400D8" w:rsidRPr="00A014FD" w:rsidRDefault="005400D8" w:rsidP="00704B82">
            <w:pPr>
              <w:spacing w:line="240" w:lineRule="auto"/>
              <w:rPr>
                <w:sz w:val="22"/>
              </w:rPr>
            </w:pPr>
            <w:r w:rsidRPr="00A014FD">
              <w:rPr>
                <w:sz w:val="22"/>
              </w:rPr>
              <w:t>Hands-on Testing of Last Mile Concepts.</w:t>
            </w:r>
          </w:p>
        </w:tc>
        <w:tc>
          <w:tcPr>
            <w:tcW w:w="770" w:type="dxa"/>
            <w:noWrap/>
            <w:hideMark/>
          </w:tcPr>
          <w:p w14:paraId="15AB74DD" w14:textId="77777777" w:rsidR="005400D8" w:rsidRPr="00A014FD" w:rsidRDefault="005400D8" w:rsidP="00704B82">
            <w:pPr>
              <w:spacing w:line="240" w:lineRule="auto"/>
              <w:rPr>
                <w:sz w:val="22"/>
              </w:rPr>
            </w:pPr>
            <w:r w:rsidRPr="00A014FD">
              <w:rPr>
                <w:sz w:val="22"/>
              </w:rPr>
              <w:t>66B</w:t>
            </w:r>
          </w:p>
        </w:tc>
      </w:tr>
      <w:tr w:rsidR="005400D8" w:rsidRPr="00A014FD" w14:paraId="2C851BFD" w14:textId="77777777" w:rsidTr="00704B82">
        <w:trPr>
          <w:trHeight w:val="285"/>
        </w:trPr>
        <w:tc>
          <w:tcPr>
            <w:tcW w:w="13178" w:type="dxa"/>
            <w:noWrap/>
            <w:hideMark/>
          </w:tcPr>
          <w:p w14:paraId="70473B45" w14:textId="77777777" w:rsidR="005400D8" w:rsidRPr="00A014FD" w:rsidRDefault="005400D8" w:rsidP="00704B82">
            <w:pPr>
              <w:spacing w:line="240" w:lineRule="auto"/>
              <w:rPr>
                <w:sz w:val="22"/>
              </w:rPr>
            </w:pPr>
            <w:r w:rsidRPr="00A014FD">
              <w:rPr>
                <w:sz w:val="22"/>
              </w:rPr>
              <w:t>Decision-making process for developing urban freight consolidation centers: Analysis with experimental economics</w:t>
            </w:r>
          </w:p>
        </w:tc>
        <w:tc>
          <w:tcPr>
            <w:tcW w:w="770" w:type="dxa"/>
            <w:noWrap/>
            <w:hideMark/>
          </w:tcPr>
          <w:p w14:paraId="77B9C345" w14:textId="77777777" w:rsidR="005400D8" w:rsidRPr="00A014FD" w:rsidRDefault="005400D8" w:rsidP="00704B82">
            <w:pPr>
              <w:spacing w:line="240" w:lineRule="auto"/>
              <w:rPr>
                <w:sz w:val="22"/>
              </w:rPr>
            </w:pPr>
            <w:r w:rsidRPr="00A014FD">
              <w:rPr>
                <w:sz w:val="22"/>
              </w:rPr>
              <w:t>67B</w:t>
            </w:r>
          </w:p>
        </w:tc>
      </w:tr>
      <w:tr w:rsidR="005400D8" w:rsidRPr="00A014FD" w14:paraId="6956035C" w14:textId="77777777" w:rsidTr="00704B82">
        <w:trPr>
          <w:trHeight w:val="285"/>
        </w:trPr>
        <w:tc>
          <w:tcPr>
            <w:tcW w:w="13178" w:type="dxa"/>
            <w:noWrap/>
            <w:hideMark/>
          </w:tcPr>
          <w:p w14:paraId="098F7E5F" w14:textId="77777777" w:rsidR="005400D8" w:rsidRPr="00A014FD" w:rsidRDefault="005400D8" w:rsidP="00704B82">
            <w:pPr>
              <w:spacing w:line="240" w:lineRule="auto"/>
              <w:rPr>
                <w:sz w:val="22"/>
              </w:rPr>
            </w:pPr>
            <w:r w:rsidRPr="00A014FD">
              <w:rPr>
                <w:sz w:val="22"/>
              </w:rPr>
              <w:t>Identification of Potential Implementation of the Cargo Tram in Warsaw: A First Overview.</w:t>
            </w:r>
          </w:p>
        </w:tc>
        <w:tc>
          <w:tcPr>
            <w:tcW w:w="770" w:type="dxa"/>
            <w:noWrap/>
            <w:hideMark/>
          </w:tcPr>
          <w:p w14:paraId="60EFC499" w14:textId="77777777" w:rsidR="005400D8" w:rsidRPr="00A014FD" w:rsidRDefault="005400D8" w:rsidP="00704B82">
            <w:pPr>
              <w:spacing w:line="240" w:lineRule="auto"/>
              <w:rPr>
                <w:sz w:val="22"/>
              </w:rPr>
            </w:pPr>
            <w:r w:rsidRPr="00A014FD">
              <w:rPr>
                <w:sz w:val="22"/>
              </w:rPr>
              <w:t>68B</w:t>
            </w:r>
          </w:p>
        </w:tc>
      </w:tr>
      <w:tr w:rsidR="005400D8" w:rsidRPr="00A014FD" w14:paraId="38E4BA34" w14:textId="77777777" w:rsidTr="00704B82">
        <w:trPr>
          <w:trHeight w:val="285"/>
        </w:trPr>
        <w:tc>
          <w:tcPr>
            <w:tcW w:w="13178" w:type="dxa"/>
            <w:noWrap/>
            <w:hideMark/>
          </w:tcPr>
          <w:p w14:paraId="23CBE233" w14:textId="77777777" w:rsidR="005400D8" w:rsidRPr="00A014FD" w:rsidRDefault="005400D8" w:rsidP="00704B82">
            <w:pPr>
              <w:spacing w:line="240" w:lineRule="auto"/>
              <w:rPr>
                <w:sz w:val="22"/>
              </w:rPr>
            </w:pPr>
            <w:r w:rsidRPr="00A014FD">
              <w:rPr>
                <w:sz w:val="22"/>
              </w:rPr>
              <w:t xml:space="preserve">Mapping out the potential for coordinated goods distribution in city </w:t>
            </w:r>
            <w:proofErr w:type="spellStart"/>
            <w:r w:rsidRPr="00A014FD">
              <w:rPr>
                <w:sz w:val="22"/>
              </w:rPr>
              <w:t>centres</w:t>
            </w:r>
            <w:proofErr w:type="spellEnd"/>
            <w:r w:rsidRPr="00A014FD">
              <w:rPr>
                <w:sz w:val="22"/>
              </w:rPr>
              <w:t>: The case of Uppsala.</w:t>
            </w:r>
          </w:p>
        </w:tc>
        <w:tc>
          <w:tcPr>
            <w:tcW w:w="770" w:type="dxa"/>
            <w:noWrap/>
            <w:hideMark/>
          </w:tcPr>
          <w:p w14:paraId="5FB18914" w14:textId="77777777" w:rsidR="005400D8" w:rsidRPr="00A014FD" w:rsidRDefault="005400D8" w:rsidP="00704B82">
            <w:pPr>
              <w:spacing w:line="240" w:lineRule="auto"/>
              <w:rPr>
                <w:sz w:val="22"/>
              </w:rPr>
            </w:pPr>
            <w:r w:rsidRPr="00A014FD">
              <w:rPr>
                <w:sz w:val="22"/>
              </w:rPr>
              <w:t>69B</w:t>
            </w:r>
          </w:p>
        </w:tc>
      </w:tr>
      <w:tr w:rsidR="005400D8" w:rsidRPr="00A014FD" w14:paraId="7733E629" w14:textId="77777777" w:rsidTr="00704B82">
        <w:trPr>
          <w:trHeight w:val="285"/>
        </w:trPr>
        <w:tc>
          <w:tcPr>
            <w:tcW w:w="13178" w:type="dxa"/>
            <w:noWrap/>
            <w:hideMark/>
          </w:tcPr>
          <w:p w14:paraId="39C832FC" w14:textId="77777777" w:rsidR="005400D8" w:rsidRPr="00A014FD" w:rsidRDefault="005400D8" w:rsidP="00704B82">
            <w:pPr>
              <w:spacing w:line="240" w:lineRule="auto"/>
              <w:rPr>
                <w:sz w:val="22"/>
              </w:rPr>
            </w:pPr>
            <w:r w:rsidRPr="00A014FD">
              <w:rPr>
                <w:sz w:val="22"/>
              </w:rPr>
              <w:t>Freight consolidation centers for urban logistics solutions: The key role of interoperability</w:t>
            </w:r>
          </w:p>
        </w:tc>
        <w:tc>
          <w:tcPr>
            <w:tcW w:w="770" w:type="dxa"/>
            <w:noWrap/>
            <w:hideMark/>
          </w:tcPr>
          <w:p w14:paraId="5058BC12" w14:textId="77777777" w:rsidR="005400D8" w:rsidRPr="00A014FD" w:rsidRDefault="005400D8" w:rsidP="00704B82">
            <w:pPr>
              <w:spacing w:line="240" w:lineRule="auto"/>
              <w:rPr>
                <w:sz w:val="22"/>
              </w:rPr>
            </w:pPr>
            <w:r w:rsidRPr="00A014FD">
              <w:rPr>
                <w:sz w:val="22"/>
              </w:rPr>
              <w:t>70B</w:t>
            </w:r>
          </w:p>
        </w:tc>
      </w:tr>
      <w:tr w:rsidR="005400D8" w:rsidRPr="00A014FD" w14:paraId="6E0EA28B" w14:textId="77777777" w:rsidTr="00704B82">
        <w:trPr>
          <w:trHeight w:val="285"/>
        </w:trPr>
        <w:tc>
          <w:tcPr>
            <w:tcW w:w="13178" w:type="dxa"/>
            <w:noWrap/>
            <w:hideMark/>
          </w:tcPr>
          <w:p w14:paraId="1D11BB1E" w14:textId="77777777" w:rsidR="005400D8" w:rsidRPr="00A014FD" w:rsidRDefault="005400D8" w:rsidP="00704B82">
            <w:pPr>
              <w:spacing w:line="240" w:lineRule="auto"/>
              <w:rPr>
                <w:sz w:val="22"/>
              </w:rPr>
            </w:pPr>
            <w:r w:rsidRPr="00A014FD">
              <w:rPr>
                <w:sz w:val="22"/>
              </w:rPr>
              <w:t>Multi-echelon distribution systems in city logistics</w:t>
            </w:r>
          </w:p>
        </w:tc>
        <w:tc>
          <w:tcPr>
            <w:tcW w:w="770" w:type="dxa"/>
            <w:noWrap/>
            <w:hideMark/>
          </w:tcPr>
          <w:p w14:paraId="4C442A11" w14:textId="77777777" w:rsidR="005400D8" w:rsidRPr="00A014FD" w:rsidRDefault="005400D8" w:rsidP="00704B82">
            <w:pPr>
              <w:spacing w:line="240" w:lineRule="auto"/>
              <w:rPr>
                <w:sz w:val="22"/>
              </w:rPr>
            </w:pPr>
            <w:r w:rsidRPr="00A014FD">
              <w:rPr>
                <w:sz w:val="22"/>
              </w:rPr>
              <w:t>71B</w:t>
            </w:r>
          </w:p>
        </w:tc>
      </w:tr>
      <w:tr w:rsidR="005400D8" w:rsidRPr="00A014FD" w14:paraId="2A45A4C0" w14:textId="77777777" w:rsidTr="00704B82">
        <w:trPr>
          <w:trHeight w:val="285"/>
        </w:trPr>
        <w:tc>
          <w:tcPr>
            <w:tcW w:w="13178" w:type="dxa"/>
            <w:noWrap/>
            <w:hideMark/>
          </w:tcPr>
          <w:p w14:paraId="427E9C91" w14:textId="77777777" w:rsidR="005400D8" w:rsidRPr="00A014FD" w:rsidRDefault="005400D8" w:rsidP="00704B82">
            <w:pPr>
              <w:spacing w:line="240" w:lineRule="auto"/>
              <w:rPr>
                <w:sz w:val="22"/>
              </w:rPr>
            </w:pPr>
            <w:r w:rsidRPr="00A014FD">
              <w:rPr>
                <w:sz w:val="22"/>
              </w:rPr>
              <w:t xml:space="preserve">The potential demand for </w:t>
            </w:r>
            <w:proofErr w:type="gramStart"/>
            <w:r w:rsidRPr="00A014FD">
              <w:rPr>
                <w:sz w:val="22"/>
              </w:rPr>
              <w:t>a</w:t>
            </w:r>
            <w:proofErr w:type="gramEnd"/>
            <w:r w:rsidRPr="00A014FD">
              <w:rPr>
                <w:sz w:val="22"/>
              </w:rPr>
              <w:t xml:space="preserve"> urban freight consolidation </w:t>
            </w:r>
            <w:proofErr w:type="spellStart"/>
            <w:r w:rsidRPr="00A014FD">
              <w:rPr>
                <w:sz w:val="22"/>
              </w:rPr>
              <w:t>centre</w:t>
            </w:r>
            <w:proofErr w:type="spellEnd"/>
            <w:r w:rsidRPr="00A014FD">
              <w:rPr>
                <w:sz w:val="22"/>
              </w:rPr>
              <w:t>.</w:t>
            </w:r>
          </w:p>
        </w:tc>
        <w:tc>
          <w:tcPr>
            <w:tcW w:w="770" w:type="dxa"/>
            <w:noWrap/>
            <w:hideMark/>
          </w:tcPr>
          <w:p w14:paraId="0E493A13" w14:textId="77777777" w:rsidR="005400D8" w:rsidRPr="00A014FD" w:rsidRDefault="005400D8" w:rsidP="00704B82">
            <w:pPr>
              <w:spacing w:line="240" w:lineRule="auto"/>
              <w:rPr>
                <w:sz w:val="22"/>
              </w:rPr>
            </w:pPr>
            <w:r w:rsidRPr="00A014FD">
              <w:rPr>
                <w:sz w:val="22"/>
              </w:rPr>
              <w:t>72B</w:t>
            </w:r>
          </w:p>
        </w:tc>
      </w:tr>
      <w:tr w:rsidR="005400D8" w:rsidRPr="00A014FD" w14:paraId="3B8EBCBB" w14:textId="77777777" w:rsidTr="00704B82">
        <w:trPr>
          <w:trHeight w:val="285"/>
        </w:trPr>
        <w:tc>
          <w:tcPr>
            <w:tcW w:w="13178" w:type="dxa"/>
            <w:noWrap/>
            <w:hideMark/>
          </w:tcPr>
          <w:p w14:paraId="4CCE15EB" w14:textId="77777777" w:rsidR="005400D8" w:rsidRPr="00A014FD" w:rsidRDefault="005400D8" w:rsidP="00704B82">
            <w:pPr>
              <w:spacing w:line="240" w:lineRule="auto"/>
              <w:rPr>
                <w:sz w:val="22"/>
              </w:rPr>
            </w:pPr>
            <w:r w:rsidRPr="00A014FD">
              <w:rPr>
                <w:sz w:val="22"/>
              </w:rPr>
              <w:t>Recent innovation in last mile deliveries.</w:t>
            </w:r>
          </w:p>
        </w:tc>
        <w:tc>
          <w:tcPr>
            <w:tcW w:w="770" w:type="dxa"/>
            <w:noWrap/>
            <w:hideMark/>
          </w:tcPr>
          <w:p w14:paraId="192BACBE" w14:textId="77777777" w:rsidR="005400D8" w:rsidRPr="00A014FD" w:rsidRDefault="005400D8" w:rsidP="00704B82">
            <w:pPr>
              <w:spacing w:line="240" w:lineRule="auto"/>
              <w:rPr>
                <w:sz w:val="22"/>
              </w:rPr>
            </w:pPr>
            <w:r w:rsidRPr="00A014FD">
              <w:rPr>
                <w:sz w:val="22"/>
              </w:rPr>
              <w:t>73B</w:t>
            </w:r>
          </w:p>
        </w:tc>
      </w:tr>
      <w:tr w:rsidR="005400D8" w:rsidRPr="00A014FD" w14:paraId="4F971CEC" w14:textId="77777777" w:rsidTr="00704B82">
        <w:trPr>
          <w:trHeight w:val="285"/>
        </w:trPr>
        <w:tc>
          <w:tcPr>
            <w:tcW w:w="13178" w:type="dxa"/>
            <w:noWrap/>
            <w:hideMark/>
          </w:tcPr>
          <w:p w14:paraId="6DEB2540" w14:textId="77777777" w:rsidR="005400D8" w:rsidRPr="00A014FD" w:rsidRDefault="005400D8" w:rsidP="00704B82">
            <w:pPr>
              <w:spacing w:line="240" w:lineRule="auto"/>
              <w:rPr>
                <w:sz w:val="22"/>
              </w:rPr>
            </w:pPr>
            <w:r w:rsidRPr="00A014FD">
              <w:rPr>
                <w:sz w:val="22"/>
              </w:rPr>
              <w:t>City logistics for perishable products. The case of the Parma's Food Hub</w:t>
            </w:r>
          </w:p>
        </w:tc>
        <w:tc>
          <w:tcPr>
            <w:tcW w:w="770" w:type="dxa"/>
            <w:noWrap/>
            <w:hideMark/>
          </w:tcPr>
          <w:p w14:paraId="710107DA" w14:textId="77777777" w:rsidR="005400D8" w:rsidRPr="00A014FD" w:rsidRDefault="005400D8" w:rsidP="00704B82">
            <w:pPr>
              <w:spacing w:line="240" w:lineRule="auto"/>
              <w:rPr>
                <w:sz w:val="22"/>
              </w:rPr>
            </w:pPr>
            <w:r w:rsidRPr="00A014FD">
              <w:rPr>
                <w:sz w:val="22"/>
              </w:rPr>
              <w:t>74B</w:t>
            </w:r>
          </w:p>
        </w:tc>
      </w:tr>
      <w:tr w:rsidR="005400D8" w:rsidRPr="00A014FD" w14:paraId="319EE0B2" w14:textId="77777777" w:rsidTr="00704B82">
        <w:trPr>
          <w:trHeight w:val="285"/>
        </w:trPr>
        <w:tc>
          <w:tcPr>
            <w:tcW w:w="13178" w:type="dxa"/>
            <w:noWrap/>
            <w:hideMark/>
          </w:tcPr>
          <w:p w14:paraId="733D64C5" w14:textId="77777777" w:rsidR="005400D8" w:rsidRPr="00A014FD" w:rsidRDefault="005400D8" w:rsidP="00704B82">
            <w:pPr>
              <w:spacing w:line="240" w:lineRule="auto"/>
              <w:rPr>
                <w:sz w:val="22"/>
              </w:rPr>
            </w:pPr>
            <w:r w:rsidRPr="00A014FD">
              <w:rPr>
                <w:sz w:val="22"/>
              </w:rPr>
              <w:t>Urban freight distribution: The impact of delivery time on sustainability</w:t>
            </w:r>
          </w:p>
        </w:tc>
        <w:tc>
          <w:tcPr>
            <w:tcW w:w="770" w:type="dxa"/>
            <w:noWrap/>
            <w:hideMark/>
          </w:tcPr>
          <w:p w14:paraId="154FCE02" w14:textId="77777777" w:rsidR="005400D8" w:rsidRPr="00A014FD" w:rsidRDefault="005400D8" w:rsidP="00704B82">
            <w:pPr>
              <w:spacing w:line="240" w:lineRule="auto"/>
              <w:rPr>
                <w:sz w:val="22"/>
              </w:rPr>
            </w:pPr>
            <w:r w:rsidRPr="00A014FD">
              <w:rPr>
                <w:sz w:val="22"/>
              </w:rPr>
              <w:t>75B</w:t>
            </w:r>
          </w:p>
        </w:tc>
      </w:tr>
      <w:tr w:rsidR="005400D8" w:rsidRPr="00A014FD" w14:paraId="3037E701" w14:textId="77777777" w:rsidTr="00704B82">
        <w:trPr>
          <w:trHeight w:val="285"/>
        </w:trPr>
        <w:tc>
          <w:tcPr>
            <w:tcW w:w="13178" w:type="dxa"/>
            <w:noWrap/>
            <w:hideMark/>
          </w:tcPr>
          <w:p w14:paraId="371EC875" w14:textId="77777777" w:rsidR="005400D8" w:rsidRPr="00A014FD" w:rsidRDefault="005400D8" w:rsidP="00704B82">
            <w:pPr>
              <w:spacing w:line="240" w:lineRule="auto"/>
              <w:rPr>
                <w:sz w:val="22"/>
              </w:rPr>
            </w:pPr>
            <w:r w:rsidRPr="00A014FD">
              <w:rPr>
                <w:sz w:val="22"/>
              </w:rPr>
              <w:t>Mathematical programming modeling and resolution of the location-routing problem in urban logistics.</w:t>
            </w:r>
          </w:p>
        </w:tc>
        <w:tc>
          <w:tcPr>
            <w:tcW w:w="770" w:type="dxa"/>
            <w:noWrap/>
            <w:hideMark/>
          </w:tcPr>
          <w:p w14:paraId="32FD0865" w14:textId="77777777" w:rsidR="005400D8" w:rsidRPr="00A014FD" w:rsidRDefault="005400D8" w:rsidP="00704B82">
            <w:pPr>
              <w:spacing w:line="240" w:lineRule="auto"/>
              <w:rPr>
                <w:sz w:val="22"/>
              </w:rPr>
            </w:pPr>
            <w:r w:rsidRPr="00A014FD">
              <w:rPr>
                <w:sz w:val="22"/>
              </w:rPr>
              <w:t>76B</w:t>
            </w:r>
          </w:p>
        </w:tc>
      </w:tr>
      <w:tr w:rsidR="005400D8" w:rsidRPr="00A014FD" w14:paraId="1ABD491A" w14:textId="77777777" w:rsidTr="00704B82">
        <w:trPr>
          <w:trHeight w:val="285"/>
        </w:trPr>
        <w:tc>
          <w:tcPr>
            <w:tcW w:w="13178" w:type="dxa"/>
            <w:noWrap/>
            <w:hideMark/>
          </w:tcPr>
          <w:p w14:paraId="6BA5E2CF" w14:textId="77777777" w:rsidR="005400D8" w:rsidRPr="00A014FD" w:rsidRDefault="005400D8" w:rsidP="00704B82">
            <w:pPr>
              <w:spacing w:line="240" w:lineRule="auto"/>
              <w:rPr>
                <w:sz w:val="22"/>
              </w:rPr>
            </w:pPr>
            <w:r w:rsidRPr="00A014FD">
              <w:rPr>
                <w:sz w:val="22"/>
              </w:rPr>
              <w:t>Planning urban distribution center location with variable restocking demand scenarios: General methodology and testing in a medium-size town</w:t>
            </w:r>
          </w:p>
        </w:tc>
        <w:tc>
          <w:tcPr>
            <w:tcW w:w="770" w:type="dxa"/>
            <w:noWrap/>
            <w:hideMark/>
          </w:tcPr>
          <w:p w14:paraId="55FB0A0C" w14:textId="77777777" w:rsidR="005400D8" w:rsidRPr="00A014FD" w:rsidRDefault="005400D8" w:rsidP="00704B82">
            <w:pPr>
              <w:spacing w:line="240" w:lineRule="auto"/>
              <w:rPr>
                <w:sz w:val="22"/>
              </w:rPr>
            </w:pPr>
            <w:r w:rsidRPr="00A014FD">
              <w:rPr>
                <w:sz w:val="22"/>
              </w:rPr>
              <w:t>77B</w:t>
            </w:r>
          </w:p>
        </w:tc>
      </w:tr>
      <w:tr w:rsidR="005400D8" w:rsidRPr="00A014FD" w14:paraId="49E43F07" w14:textId="77777777" w:rsidTr="00704B82">
        <w:trPr>
          <w:trHeight w:val="285"/>
        </w:trPr>
        <w:tc>
          <w:tcPr>
            <w:tcW w:w="13178" w:type="dxa"/>
            <w:noWrap/>
            <w:hideMark/>
          </w:tcPr>
          <w:p w14:paraId="6AAA1CA5" w14:textId="77777777" w:rsidR="005400D8" w:rsidRPr="00A014FD" w:rsidRDefault="005400D8" w:rsidP="00704B82">
            <w:pPr>
              <w:spacing w:line="240" w:lineRule="auto"/>
              <w:rPr>
                <w:sz w:val="22"/>
              </w:rPr>
            </w:pPr>
            <w:r w:rsidRPr="00A014FD">
              <w:rPr>
                <w:sz w:val="22"/>
              </w:rPr>
              <w:t>Consolidation centers in city logistics: A cooperative approach based on the location routing problem</w:t>
            </w:r>
          </w:p>
        </w:tc>
        <w:tc>
          <w:tcPr>
            <w:tcW w:w="770" w:type="dxa"/>
            <w:noWrap/>
            <w:hideMark/>
          </w:tcPr>
          <w:p w14:paraId="1B19DA9B" w14:textId="77777777" w:rsidR="005400D8" w:rsidRPr="00A014FD" w:rsidRDefault="005400D8" w:rsidP="00704B82">
            <w:pPr>
              <w:spacing w:line="240" w:lineRule="auto"/>
              <w:rPr>
                <w:sz w:val="22"/>
              </w:rPr>
            </w:pPr>
            <w:r w:rsidRPr="00A014FD">
              <w:rPr>
                <w:sz w:val="22"/>
              </w:rPr>
              <w:t>78B</w:t>
            </w:r>
          </w:p>
        </w:tc>
      </w:tr>
      <w:tr w:rsidR="005400D8" w:rsidRPr="00A014FD" w14:paraId="7E708713" w14:textId="77777777" w:rsidTr="00704B82">
        <w:trPr>
          <w:trHeight w:val="285"/>
        </w:trPr>
        <w:tc>
          <w:tcPr>
            <w:tcW w:w="13178" w:type="dxa"/>
            <w:noWrap/>
            <w:hideMark/>
          </w:tcPr>
          <w:p w14:paraId="5452DDC3" w14:textId="77777777" w:rsidR="005400D8" w:rsidRPr="00A014FD" w:rsidRDefault="005400D8" w:rsidP="00704B82">
            <w:pPr>
              <w:spacing w:line="240" w:lineRule="auto"/>
              <w:rPr>
                <w:sz w:val="22"/>
              </w:rPr>
            </w:pPr>
            <w:r w:rsidRPr="00A014FD">
              <w:rPr>
                <w:sz w:val="22"/>
              </w:rPr>
              <w:lastRenderedPageBreak/>
              <w:t>Designing New Models for Energy Efficiency in Urban Freight Transport for Smart Cities and its Application to the Spanish Case</w:t>
            </w:r>
          </w:p>
        </w:tc>
        <w:tc>
          <w:tcPr>
            <w:tcW w:w="770" w:type="dxa"/>
            <w:noWrap/>
            <w:hideMark/>
          </w:tcPr>
          <w:p w14:paraId="0A12631A" w14:textId="77777777" w:rsidR="005400D8" w:rsidRPr="00A014FD" w:rsidRDefault="005400D8" w:rsidP="00704B82">
            <w:pPr>
              <w:spacing w:line="240" w:lineRule="auto"/>
              <w:rPr>
                <w:sz w:val="22"/>
              </w:rPr>
            </w:pPr>
            <w:r w:rsidRPr="00A014FD">
              <w:rPr>
                <w:sz w:val="22"/>
              </w:rPr>
              <w:t>79B</w:t>
            </w:r>
          </w:p>
        </w:tc>
      </w:tr>
      <w:tr w:rsidR="005400D8" w:rsidRPr="00A014FD" w14:paraId="69277348" w14:textId="77777777" w:rsidTr="00704B82">
        <w:trPr>
          <w:trHeight w:val="285"/>
        </w:trPr>
        <w:tc>
          <w:tcPr>
            <w:tcW w:w="13178" w:type="dxa"/>
            <w:noWrap/>
            <w:hideMark/>
          </w:tcPr>
          <w:p w14:paraId="3DFAF1AB" w14:textId="77777777" w:rsidR="005400D8" w:rsidRPr="00A014FD" w:rsidRDefault="005400D8" w:rsidP="00704B82">
            <w:pPr>
              <w:spacing w:line="240" w:lineRule="auto"/>
              <w:rPr>
                <w:sz w:val="22"/>
              </w:rPr>
            </w:pPr>
            <w:r w:rsidRPr="00A014FD">
              <w:rPr>
                <w:sz w:val="22"/>
              </w:rPr>
              <w:t>Decomposition techniques for urban consolidation problems</w:t>
            </w:r>
          </w:p>
        </w:tc>
        <w:tc>
          <w:tcPr>
            <w:tcW w:w="770" w:type="dxa"/>
            <w:noWrap/>
            <w:hideMark/>
          </w:tcPr>
          <w:p w14:paraId="5F15FA12" w14:textId="77777777" w:rsidR="005400D8" w:rsidRPr="00A014FD" w:rsidRDefault="005400D8" w:rsidP="00704B82">
            <w:pPr>
              <w:spacing w:line="240" w:lineRule="auto"/>
              <w:rPr>
                <w:sz w:val="22"/>
              </w:rPr>
            </w:pPr>
            <w:r w:rsidRPr="00A014FD">
              <w:rPr>
                <w:sz w:val="22"/>
              </w:rPr>
              <w:t>80B</w:t>
            </w:r>
          </w:p>
        </w:tc>
      </w:tr>
      <w:tr w:rsidR="005400D8" w:rsidRPr="00A014FD" w14:paraId="13CC4412" w14:textId="77777777" w:rsidTr="00704B82">
        <w:trPr>
          <w:trHeight w:val="285"/>
        </w:trPr>
        <w:tc>
          <w:tcPr>
            <w:tcW w:w="13178" w:type="dxa"/>
            <w:noWrap/>
            <w:hideMark/>
          </w:tcPr>
          <w:p w14:paraId="297E7CD4" w14:textId="77777777" w:rsidR="005400D8" w:rsidRPr="00A014FD" w:rsidRDefault="005400D8" w:rsidP="00704B82">
            <w:pPr>
              <w:spacing w:line="240" w:lineRule="auto"/>
              <w:rPr>
                <w:sz w:val="22"/>
              </w:rPr>
            </w:pPr>
            <w:r w:rsidRPr="00A014FD">
              <w:rPr>
                <w:sz w:val="22"/>
              </w:rPr>
              <w:t>Solving the two-echelon location routing problem by a GRASP reinforced by a learning process and path relinking</w:t>
            </w:r>
          </w:p>
        </w:tc>
        <w:tc>
          <w:tcPr>
            <w:tcW w:w="770" w:type="dxa"/>
            <w:noWrap/>
            <w:hideMark/>
          </w:tcPr>
          <w:p w14:paraId="7487AB87" w14:textId="77777777" w:rsidR="005400D8" w:rsidRPr="00A014FD" w:rsidRDefault="005400D8" w:rsidP="00704B82">
            <w:pPr>
              <w:spacing w:line="240" w:lineRule="auto"/>
              <w:rPr>
                <w:sz w:val="22"/>
              </w:rPr>
            </w:pPr>
            <w:r w:rsidRPr="00A014FD">
              <w:rPr>
                <w:sz w:val="22"/>
              </w:rPr>
              <w:t>81B</w:t>
            </w:r>
          </w:p>
        </w:tc>
      </w:tr>
      <w:tr w:rsidR="005400D8" w:rsidRPr="00A014FD" w14:paraId="53A2E4B4" w14:textId="77777777" w:rsidTr="00704B82">
        <w:trPr>
          <w:trHeight w:val="285"/>
        </w:trPr>
        <w:tc>
          <w:tcPr>
            <w:tcW w:w="13178" w:type="dxa"/>
            <w:noWrap/>
            <w:hideMark/>
          </w:tcPr>
          <w:p w14:paraId="1E5C1AEB" w14:textId="77777777" w:rsidR="005400D8" w:rsidRPr="00A014FD" w:rsidRDefault="005400D8" w:rsidP="00704B82">
            <w:pPr>
              <w:spacing w:line="240" w:lineRule="auto"/>
              <w:rPr>
                <w:sz w:val="22"/>
              </w:rPr>
            </w:pPr>
            <w:r w:rsidRPr="00A014FD">
              <w:rPr>
                <w:sz w:val="22"/>
              </w:rPr>
              <w:t xml:space="preserve">A two-step method to evaluate the Well-To-Wheel carbon efficiency of Urban Consolidation </w:t>
            </w:r>
            <w:proofErr w:type="spellStart"/>
            <w:r w:rsidRPr="00A014FD">
              <w:rPr>
                <w:sz w:val="22"/>
              </w:rPr>
              <w:t>Centres</w:t>
            </w:r>
            <w:proofErr w:type="spellEnd"/>
            <w:r w:rsidRPr="00A014FD">
              <w:rPr>
                <w:sz w:val="22"/>
              </w:rPr>
              <w:t>.</w:t>
            </w:r>
          </w:p>
        </w:tc>
        <w:tc>
          <w:tcPr>
            <w:tcW w:w="770" w:type="dxa"/>
            <w:noWrap/>
            <w:hideMark/>
          </w:tcPr>
          <w:p w14:paraId="4E815B93" w14:textId="77777777" w:rsidR="005400D8" w:rsidRPr="00A014FD" w:rsidRDefault="005400D8" w:rsidP="00704B82">
            <w:pPr>
              <w:spacing w:line="240" w:lineRule="auto"/>
              <w:rPr>
                <w:sz w:val="22"/>
              </w:rPr>
            </w:pPr>
            <w:r w:rsidRPr="00A014FD">
              <w:rPr>
                <w:sz w:val="22"/>
              </w:rPr>
              <w:t>82B</w:t>
            </w:r>
          </w:p>
        </w:tc>
      </w:tr>
      <w:tr w:rsidR="005400D8" w:rsidRPr="00A014FD" w14:paraId="333E1D96" w14:textId="77777777" w:rsidTr="00704B82">
        <w:trPr>
          <w:trHeight w:val="285"/>
        </w:trPr>
        <w:tc>
          <w:tcPr>
            <w:tcW w:w="13178" w:type="dxa"/>
            <w:noWrap/>
            <w:hideMark/>
          </w:tcPr>
          <w:p w14:paraId="2B2CA01D" w14:textId="77777777" w:rsidR="005400D8" w:rsidRPr="00A014FD" w:rsidRDefault="005400D8" w:rsidP="00704B82">
            <w:pPr>
              <w:spacing w:line="240" w:lineRule="auto"/>
              <w:rPr>
                <w:sz w:val="22"/>
              </w:rPr>
            </w:pPr>
            <w:r w:rsidRPr="00A014FD">
              <w:rPr>
                <w:sz w:val="22"/>
              </w:rPr>
              <w:t>Barriers to urban freight policy implementation: The case of urban consolidation center in Oslo</w:t>
            </w:r>
          </w:p>
        </w:tc>
        <w:tc>
          <w:tcPr>
            <w:tcW w:w="770" w:type="dxa"/>
            <w:noWrap/>
            <w:hideMark/>
          </w:tcPr>
          <w:p w14:paraId="6A074064" w14:textId="77777777" w:rsidR="005400D8" w:rsidRPr="00A014FD" w:rsidRDefault="005400D8" w:rsidP="00704B82">
            <w:pPr>
              <w:spacing w:line="240" w:lineRule="auto"/>
              <w:rPr>
                <w:sz w:val="22"/>
              </w:rPr>
            </w:pPr>
            <w:r w:rsidRPr="00A014FD">
              <w:rPr>
                <w:sz w:val="22"/>
              </w:rPr>
              <w:t>83B</w:t>
            </w:r>
          </w:p>
        </w:tc>
      </w:tr>
      <w:tr w:rsidR="005400D8" w:rsidRPr="00A014FD" w14:paraId="67A94683" w14:textId="77777777" w:rsidTr="00704B82">
        <w:trPr>
          <w:trHeight w:val="285"/>
        </w:trPr>
        <w:tc>
          <w:tcPr>
            <w:tcW w:w="13178" w:type="dxa"/>
            <w:noWrap/>
            <w:hideMark/>
          </w:tcPr>
          <w:p w14:paraId="7101D47D" w14:textId="77777777" w:rsidR="005400D8" w:rsidRPr="00A014FD" w:rsidRDefault="005400D8" w:rsidP="00704B82">
            <w:pPr>
              <w:spacing w:line="240" w:lineRule="auto"/>
              <w:rPr>
                <w:sz w:val="22"/>
              </w:rPr>
            </w:pPr>
            <w:r w:rsidRPr="00A014FD">
              <w:rPr>
                <w:sz w:val="22"/>
              </w:rPr>
              <w:t>Pharmaceutical distribution in urban area: An integrated analysis and perspective of the case of Brussels-Capital Region (BRC).</w:t>
            </w:r>
          </w:p>
        </w:tc>
        <w:tc>
          <w:tcPr>
            <w:tcW w:w="770" w:type="dxa"/>
            <w:noWrap/>
            <w:hideMark/>
          </w:tcPr>
          <w:p w14:paraId="6E41A6CF" w14:textId="77777777" w:rsidR="005400D8" w:rsidRPr="00A014FD" w:rsidRDefault="005400D8" w:rsidP="00704B82">
            <w:pPr>
              <w:spacing w:line="240" w:lineRule="auto"/>
              <w:rPr>
                <w:sz w:val="22"/>
              </w:rPr>
            </w:pPr>
            <w:r w:rsidRPr="00A014FD">
              <w:rPr>
                <w:sz w:val="22"/>
              </w:rPr>
              <w:t>84B</w:t>
            </w:r>
          </w:p>
        </w:tc>
      </w:tr>
      <w:tr w:rsidR="005400D8" w:rsidRPr="00A014FD" w14:paraId="6E89DBA0" w14:textId="77777777" w:rsidTr="00704B82">
        <w:trPr>
          <w:trHeight w:val="285"/>
        </w:trPr>
        <w:tc>
          <w:tcPr>
            <w:tcW w:w="13178" w:type="dxa"/>
            <w:noWrap/>
            <w:hideMark/>
          </w:tcPr>
          <w:p w14:paraId="6402FE68" w14:textId="77777777" w:rsidR="005400D8" w:rsidRPr="00A014FD" w:rsidRDefault="005400D8" w:rsidP="00704B82">
            <w:pPr>
              <w:spacing w:line="240" w:lineRule="auto"/>
              <w:rPr>
                <w:sz w:val="22"/>
              </w:rPr>
            </w:pPr>
            <w:r w:rsidRPr="00A014FD">
              <w:rPr>
                <w:sz w:val="22"/>
              </w:rPr>
              <w:t>Adoption Assessment by Carriers and Retailers to Use an Urban Consolidation Center - A Case Study in Brazil</w:t>
            </w:r>
          </w:p>
        </w:tc>
        <w:tc>
          <w:tcPr>
            <w:tcW w:w="770" w:type="dxa"/>
            <w:noWrap/>
            <w:hideMark/>
          </w:tcPr>
          <w:p w14:paraId="61E6CE6B" w14:textId="77777777" w:rsidR="005400D8" w:rsidRPr="00A014FD" w:rsidRDefault="005400D8" w:rsidP="00704B82">
            <w:pPr>
              <w:spacing w:line="240" w:lineRule="auto"/>
              <w:rPr>
                <w:sz w:val="22"/>
              </w:rPr>
            </w:pPr>
            <w:r w:rsidRPr="00A014FD">
              <w:rPr>
                <w:sz w:val="22"/>
              </w:rPr>
              <w:t>85B</w:t>
            </w:r>
          </w:p>
        </w:tc>
      </w:tr>
      <w:tr w:rsidR="005400D8" w:rsidRPr="00A014FD" w14:paraId="5E1805A4" w14:textId="77777777" w:rsidTr="00704B82">
        <w:trPr>
          <w:trHeight w:val="285"/>
        </w:trPr>
        <w:tc>
          <w:tcPr>
            <w:tcW w:w="13178" w:type="dxa"/>
            <w:noWrap/>
            <w:hideMark/>
          </w:tcPr>
          <w:p w14:paraId="39BB7386" w14:textId="77777777" w:rsidR="005400D8" w:rsidRPr="00A014FD" w:rsidRDefault="005400D8" w:rsidP="00704B82">
            <w:pPr>
              <w:spacing w:line="240" w:lineRule="auto"/>
              <w:rPr>
                <w:sz w:val="22"/>
              </w:rPr>
            </w:pPr>
            <w:proofErr w:type="spellStart"/>
            <w:r w:rsidRPr="00A014FD">
              <w:rPr>
                <w:sz w:val="22"/>
              </w:rPr>
              <w:t>Localisation</w:t>
            </w:r>
            <w:proofErr w:type="spellEnd"/>
            <w:r w:rsidRPr="00A014FD">
              <w:rPr>
                <w:sz w:val="22"/>
              </w:rPr>
              <w:t xml:space="preserve"> of freight consolidation </w:t>
            </w:r>
            <w:proofErr w:type="spellStart"/>
            <w:r w:rsidRPr="00A014FD">
              <w:rPr>
                <w:sz w:val="22"/>
              </w:rPr>
              <w:t>centres</w:t>
            </w:r>
            <w:proofErr w:type="spellEnd"/>
            <w:r w:rsidRPr="00A014FD">
              <w:rPr>
                <w:sz w:val="22"/>
              </w:rPr>
              <w:t xml:space="preserve"> serving small road </w:t>
            </w:r>
            <w:proofErr w:type="spellStart"/>
            <w:r w:rsidRPr="00A014FD">
              <w:rPr>
                <w:sz w:val="22"/>
              </w:rPr>
              <w:t>hauliers</w:t>
            </w:r>
            <w:proofErr w:type="spellEnd"/>
            <w:r w:rsidRPr="00A014FD">
              <w:rPr>
                <w:sz w:val="22"/>
              </w:rPr>
              <w:t xml:space="preserve"> in a wider urban area: barriers for more efficient freight deliveries in Gothenburg</w:t>
            </w:r>
          </w:p>
        </w:tc>
        <w:tc>
          <w:tcPr>
            <w:tcW w:w="770" w:type="dxa"/>
            <w:noWrap/>
            <w:hideMark/>
          </w:tcPr>
          <w:p w14:paraId="674BB2D2" w14:textId="77777777" w:rsidR="005400D8" w:rsidRPr="00A014FD" w:rsidRDefault="005400D8" w:rsidP="00704B82">
            <w:pPr>
              <w:spacing w:line="240" w:lineRule="auto"/>
              <w:rPr>
                <w:sz w:val="22"/>
              </w:rPr>
            </w:pPr>
            <w:r w:rsidRPr="00A014FD">
              <w:rPr>
                <w:sz w:val="22"/>
              </w:rPr>
              <w:t>86B</w:t>
            </w:r>
          </w:p>
        </w:tc>
      </w:tr>
      <w:tr w:rsidR="005400D8" w:rsidRPr="00A014FD" w14:paraId="67ADB9FE" w14:textId="77777777" w:rsidTr="00704B82">
        <w:trPr>
          <w:trHeight w:val="285"/>
        </w:trPr>
        <w:tc>
          <w:tcPr>
            <w:tcW w:w="13178" w:type="dxa"/>
            <w:noWrap/>
            <w:hideMark/>
          </w:tcPr>
          <w:p w14:paraId="5A9D5F3C" w14:textId="77777777" w:rsidR="005400D8" w:rsidRPr="00A014FD" w:rsidRDefault="005400D8" w:rsidP="00704B82">
            <w:pPr>
              <w:spacing w:line="240" w:lineRule="auto"/>
              <w:rPr>
                <w:sz w:val="22"/>
              </w:rPr>
            </w:pPr>
            <w:r w:rsidRPr="00A014FD">
              <w:rPr>
                <w:sz w:val="22"/>
              </w:rPr>
              <w:t>The role of a structured stakeholder consultation process within the establishment of a sustainable urban supply chain</w:t>
            </w:r>
          </w:p>
        </w:tc>
        <w:tc>
          <w:tcPr>
            <w:tcW w:w="770" w:type="dxa"/>
            <w:noWrap/>
            <w:hideMark/>
          </w:tcPr>
          <w:p w14:paraId="625B67E5" w14:textId="77777777" w:rsidR="005400D8" w:rsidRPr="00A014FD" w:rsidRDefault="005400D8" w:rsidP="00704B82">
            <w:pPr>
              <w:spacing w:line="240" w:lineRule="auto"/>
              <w:rPr>
                <w:sz w:val="22"/>
              </w:rPr>
            </w:pPr>
            <w:r w:rsidRPr="00A014FD">
              <w:rPr>
                <w:sz w:val="22"/>
              </w:rPr>
              <w:t>87B</w:t>
            </w:r>
          </w:p>
        </w:tc>
      </w:tr>
      <w:tr w:rsidR="005400D8" w:rsidRPr="00A014FD" w14:paraId="3175CB16" w14:textId="77777777" w:rsidTr="00704B82">
        <w:trPr>
          <w:trHeight w:val="285"/>
        </w:trPr>
        <w:tc>
          <w:tcPr>
            <w:tcW w:w="13178" w:type="dxa"/>
            <w:noWrap/>
            <w:hideMark/>
          </w:tcPr>
          <w:p w14:paraId="0EC54481" w14:textId="77777777" w:rsidR="005400D8" w:rsidRPr="00A014FD" w:rsidRDefault="005400D8" w:rsidP="00704B82">
            <w:pPr>
              <w:spacing w:line="240" w:lineRule="auto"/>
              <w:rPr>
                <w:sz w:val="22"/>
              </w:rPr>
            </w:pPr>
            <w:r w:rsidRPr="00A014FD">
              <w:rPr>
                <w:sz w:val="22"/>
              </w:rPr>
              <w:t>The Bristol-Bath Urban freight Consolidation Centre from the perspective of its users</w:t>
            </w:r>
          </w:p>
        </w:tc>
        <w:tc>
          <w:tcPr>
            <w:tcW w:w="770" w:type="dxa"/>
            <w:noWrap/>
            <w:hideMark/>
          </w:tcPr>
          <w:p w14:paraId="40E1CCAC" w14:textId="77777777" w:rsidR="005400D8" w:rsidRPr="00A014FD" w:rsidRDefault="005400D8" w:rsidP="00704B82">
            <w:pPr>
              <w:spacing w:line="240" w:lineRule="auto"/>
              <w:rPr>
                <w:sz w:val="22"/>
              </w:rPr>
            </w:pPr>
            <w:r w:rsidRPr="00A014FD">
              <w:rPr>
                <w:sz w:val="22"/>
              </w:rPr>
              <w:t>88B</w:t>
            </w:r>
          </w:p>
        </w:tc>
      </w:tr>
      <w:tr w:rsidR="005400D8" w:rsidRPr="00A014FD" w14:paraId="6EBD792A" w14:textId="77777777" w:rsidTr="00704B82">
        <w:trPr>
          <w:trHeight w:val="285"/>
        </w:trPr>
        <w:tc>
          <w:tcPr>
            <w:tcW w:w="13178" w:type="dxa"/>
            <w:noWrap/>
            <w:hideMark/>
          </w:tcPr>
          <w:p w14:paraId="0EFCD45A" w14:textId="77777777" w:rsidR="005400D8" w:rsidRPr="00A014FD" w:rsidRDefault="005400D8" w:rsidP="00704B82">
            <w:pPr>
              <w:spacing w:line="240" w:lineRule="auto"/>
              <w:rPr>
                <w:sz w:val="22"/>
              </w:rPr>
            </w:pPr>
            <w:r w:rsidRPr="00A014FD">
              <w:rPr>
                <w:sz w:val="22"/>
              </w:rPr>
              <w:t xml:space="preserve">Sustainable solutions for urban freight transport and logistics: An analysis of urban consolidation centers. </w:t>
            </w:r>
          </w:p>
        </w:tc>
        <w:tc>
          <w:tcPr>
            <w:tcW w:w="770" w:type="dxa"/>
            <w:noWrap/>
            <w:hideMark/>
          </w:tcPr>
          <w:p w14:paraId="146B2D81" w14:textId="77777777" w:rsidR="005400D8" w:rsidRPr="00A014FD" w:rsidRDefault="005400D8" w:rsidP="00704B82">
            <w:pPr>
              <w:spacing w:line="240" w:lineRule="auto"/>
              <w:rPr>
                <w:sz w:val="22"/>
              </w:rPr>
            </w:pPr>
            <w:r w:rsidRPr="00A014FD">
              <w:rPr>
                <w:sz w:val="22"/>
              </w:rPr>
              <w:t>89B</w:t>
            </w:r>
          </w:p>
        </w:tc>
      </w:tr>
      <w:tr w:rsidR="005400D8" w:rsidRPr="00A014FD" w14:paraId="5B6CBADA" w14:textId="77777777" w:rsidTr="00704B82">
        <w:trPr>
          <w:trHeight w:val="285"/>
        </w:trPr>
        <w:tc>
          <w:tcPr>
            <w:tcW w:w="13178" w:type="dxa"/>
            <w:noWrap/>
            <w:hideMark/>
          </w:tcPr>
          <w:p w14:paraId="75DE2F26" w14:textId="77777777" w:rsidR="005400D8" w:rsidRPr="00A014FD" w:rsidRDefault="005400D8" w:rsidP="00704B82">
            <w:pPr>
              <w:spacing w:line="240" w:lineRule="auto"/>
              <w:rPr>
                <w:sz w:val="22"/>
              </w:rPr>
            </w:pPr>
            <w:r w:rsidRPr="00A014FD">
              <w:rPr>
                <w:sz w:val="22"/>
              </w:rPr>
              <w:t xml:space="preserve"> Reduced Urban traffic and emissions within Urban consolidation </w:t>
            </w:r>
            <w:proofErr w:type="spellStart"/>
            <w:r w:rsidRPr="00A014FD">
              <w:rPr>
                <w:sz w:val="22"/>
              </w:rPr>
              <w:t>centre</w:t>
            </w:r>
            <w:proofErr w:type="spellEnd"/>
            <w:r w:rsidRPr="00A014FD">
              <w:rPr>
                <w:sz w:val="22"/>
              </w:rPr>
              <w:t xml:space="preserve"> schemes: The case of Bristol.</w:t>
            </w:r>
          </w:p>
        </w:tc>
        <w:tc>
          <w:tcPr>
            <w:tcW w:w="770" w:type="dxa"/>
            <w:noWrap/>
            <w:hideMark/>
          </w:tcPr>
          <w:p w14:paraId="67C3BE69" w14:textId="77777777" w:rsidR="005400D8" w:rsidRPr="00A014FD" w:rsidRDefault="005400D8" w:rsidP="00704B82">
            <w:pPr>
              <w:spacing w:line="240" w:lineRule="auto"/>
              <w:rPr>
                <w:sz w:val="22"/>
              </w:rPr>
            </w:pPr>
            <w:r w:rsidRPr="00A014FD">
              <w:rPr>
                <w:sz w:val="22"/>
              </w:rPr>
              <w:t>90B</w:t>
            </w:r>
          </w:p>
        </w:tc>
      </w:tr>
      <w:tr w:rsidR="005400D8" w:rsidRPr="00A014FD" w14:paraId="28AE3B23" w14:textId="77777777" w:rsidTr="00704B82">
        <w:trPr>
          <w:trHeight w:val="285"/>
        </w:trPr>
        <w:tc>
          <w:tcPr>
            <w:tcW w:w="13178" w:type="dxa"/>
            <w:noWrap/>
            <w:hideMark/>
          </w:tcPr>
          <w:p w14:paraId="75492EEF" w14:textId="77777777" w:rsidR="005400D8" w:rsidRPr="00A014FD" w:rsidRDefault="005400D8" w:rsidP="00704B82">
            <w:pPr>
              <w:spacing w:line="240" w:lineRule="auto"/>
              <w:rPr>
                <w:sz w:val="22"/>
              </w:rPr>
            </w:pPr>
            <w:r w:rsidRPr="00A014FD">
              <w:rPr>
                <w:sz w:val="22"/>
              </w:rPr>
              <w:t>Sustainability assessment of retail logistics solutions using external costs analysis: a case-study for the city of Antwerp</w:t>
            </w:r>
          </w:p>
        </w:tc>
        <w:tc>
          <w:tcPr>
            <w:tcW w:w="770" w:type="dxa"/>
            <w:noWrap/>
            <w:hideMark/>
          </w:tcPr>
          <w:p w14:paraId="139A7CB1" w14:textId="77777777" w:rsidR="005400D8" w:rsidRPr="00A014FD" w:rsidRDefault="005400D8" w:rsidP="00704B82">
            <w:pPr>
              <w:spacing w:line="240" w:lineRule="auto"/>
              <w:rPr>
                <w:sz w:val="22"/>
              </w:rPr>
            </w:pPr>
            <w:r w:rsidRPr="00A014FD">
              <w:rPr>
                <w:sz w:val="22"/>
              </w:rPr>
              <w:t>91B</w:t>
            </w:r>
          </w:p>
        </w:tc>
      </w:tr>
      <w:tr w:rsidR="005400D8" w:rsidRPr="00A014FD" w14:paraId="4AC893B2" w14:textId="77777777" w:rsidTr="00704B82">
        <w:trPr>
          <w:trHeight w:val="285"/>
        </w:trPr>
        <w:tc>
          <w:tcPr>
            <w:tcW w:w="13178" w:type="dxa"/>
            <w:noWrap/>
            <w:hideMark/>
          </w:tcPr>
          <w:p w14:paraId="3F1F8754" w14:textId="77777777" w:rsidR="005400D8" w:rsidRPr="00A014FD" w:rsidRDefault="005400D8" w:rsidP="00704B82">
            <w:pPr>
              <w:spacing w:line="240" w:lineRule="auto"/>
              <w:rPr>
                <w:sz w:val="22"/>
              </w:rPr>
            </w:pPr>
            <w:r w:rsidRPr="00A014FD">
              <w:rPr>
                <w:sz w:val="22"/>
              </w:rPr>
              <w:t>A methodology for the evaluation of urban logistics innovations</w:t>
            </w:r>
          </w:p>
        </w:tc>
        <w:tc>
          <w:tcPr>
            <w:tcW w:w="770" w:type="dxa"/>
            <w:noWrap/>
            <w:hideMark/>
          </w:tcPr>
          <w:p w14:paraId="379784A6" w14:textId="77777777" w:rsidR="005400D8" w:rsidRPr="00A014FD" w:rsidRDefault="005400D8" w:rsidP="00704B82">
            <w:pPr>
              <w:spacing w:line="240" w:lineRule="auto"/>
              <w:rPr>
                <w:sz w:val="22"/>
              </w:rPr>
            </w:pPr>
            <w:r w:rsidRPr="00A014FD">
              <w:rPr>
                <w:sz w:val="22"/>
              </w:rPr>
              <w:t>92B</w:t>
            </w:r>
          </w:p>
        </w:tc>
      </w:tr>
      <w:tr w:rsidR="005400D8" w:rsidRPr="00A014FD" w14:paraId="4C69F2BF" w14:textId="77777777" w:rsidTr="00704B82">
        <w:trPr>
          <w:trHeight w:val="285"/>
        </w:trPr>
        <w:tc>
          <w:tcPr>
            <w:tcW w:w="13178" w:type="dxa"/>
            <w:noWrap/>
            <w:hideMark/>
          </w:tcPr>
          <w:p w14:paraId="0BD6E0C5" w14:textId="77777777" w:rsidR="005400D8" w:rsidRPr="00A014FD" w:rsidRDefault="005400D8" w:rsidP="00704B82">
            <w:pPr>
              <w:spacing w:line="240" w:lineRule="auto"/>
              <w:rPr>
                <w:sz w:val="22"/>
              </w:rPr>
            </w:pPr>
            <w:r w:rsidRPr="00A014FD">
              <w:rPr>
                <w:sz w:val="22"/>
              </w:rPr>
              <w:t xml:space="preserve">Transport service of a cargo consolidation </w:t>
            </w:r>
            <w:proofErr w:type="spellStart"/>
            <w:r w:rsidRPr="00A014FD">
              <w:rPr>
                <w:sz w:val="22"/>
              </w:rPr>
              <w:t>centre</w:t>
            </w:r>
            <w:proofErr w:type="spellEnd"/>
            <w:r w:rsidRPr="00A014FD">
              <w:rPr>
                <w:sz w:val="22"/>
              </w:rPr>
              <w:t xml:space="preserve"> with respect to logistics service of urban agglomerations</w:t>
            </w:r>
          </w:p>
        </w:tc>
        <w:tc>
          <w:tcPr>
            <w:tcW w:w="770" w:type="dxa"/>
            <w:noWrap/>
            <w:hideMark/>
          </w:tcPr>
          <w:p w14:paraId="4D799585" w14:textId="77777777" w:rsidR="005400D8" w:rsidRPr="00A014FD" w:rsidRDefault="005400D8" w:rsidP="00704B82">
            <w:pPr>
              <w:spacing w:line="240" w:lineRule="auto"/>
              <w:rPr>
                <w:sz w:val="22"/>
              </w:rPr>
            </w:pPr>
            <w:r w:rsidRPr="00A014FD">
              <w:rPr>
                <w:sz w:val="22"/>
              </w:rPr>
              <w:t>93B</w:t>
            </w:r>
          </w:p>
        </w:tc>
      </w:tr>
      <w:tr w:rsidR="005400D8" w:rsidRPr="00A014FD" w14:paraId="44862356" w14:textId="77777777" w:rsidTr="00704B82">
        <w:trPr>
          <w:trHeight w:val="285"/>
        </w:trPr>
        <w:tc>
          <w:tcPr>
            <w:tcW w:w="13178" w:type="dxa"/>
            <w:noWrap/>
            <w:hideMark/>
          </w:tcPr>
          <w:p w14:paraId="179264A7" w14:textId="77777777" w:rsidR="005400D8" w:rsidRPr="00A014FD" w:rsidRDefault="005400D8" w:rsidP="00704B82">
            <w:pPr>
              <w:spacing w:line="240" w:lineRule="auto"/>
              <w:rPr>
                <w:sz w:val="22"/>
              </w:rPr>
            </w:pPr>
            <w:r w:rsidRPr="00A014FD">
              <w:rPr>
                <w:sz w:val="22"/>
              </w:rPr>
              <w:t>Evaluating the consolidation of distribution flows using a discrete event supply chain simulation tool: Application to a case study in Greece</w:t>
            </w:r>
          </w:p>
        </w:tc>
        <w:tc>
          <w:tcPr>
            <w:tcW w:w="770" w:type="dxa"/>
            <w:noWrap/>
            <w:hideMark/>
          </w:tcPr>
          <w:p w14:paraId="662C1748" w14:textId="77777777" w:rsidR="005400D8" w:rsidRPr="00A014FD" w:rsidRDefault="005400D8" w:rsidP="00704B82">
            <w:pPr>
              <w:spacing w:line="240" w:lineRule="auto"/>
              <w:rPr>
                <w:sz w:val="22"/>
              </w:rPr>
            </w:pPr>
            <w:r w:rsidRPr="00A014FD">
              <w:rPr>
                <w:sz w:val="22"/>
              </w:rPr>
              <w:t>94B</w:t>
            </w:r>
          </w:p>
        </w:tc>
      </w:tr>
      <w:tr w:rsidR="005400D8" w:rsidRPr="00A014FD" w14:paraId="3BC360EC" w14:textId="77777777" w:rsidTr="00704B82">
        <w:trPr>
          <w:trHeight w:val="285"/>
        </w:trPr>
        <w:tc>
          <w:tcPr>
            <w:tcW w:w="13178" w:type="dxa"/>
            <w:noWrap/>
            <w:hideMark/>
          </w:tcPr>
          <w:p w14:paraId="69066F95" w14:textId="77777777" w:rsidR="005400D8" w:rsidRPr="00A014FD" w:rsidRDefault="005400D8" w:rsidP="00704B82">
            <w:pPr>
              <w:spacing w:line="240" w:lineRule="auto"/>
              <w:rPr>
                <w:sz w:val="22"/>
              </w:rPr>
            </w:pPr>
            <w:r w:rsidRPr="00A014FD">
              <w:rPr>
                <w:sz w:val="22"/>
              </w:rPr>
              <w:t>An Evaluation of Urban Consolidation Centers Through Continuous Analysis with Non-equal Market Share Companies</w:t>
            </w:r>
          </w:p>
        </w:tc>
        <w:tc>
          <w:tcPr>
            <w:tcW w:w="770" w:type="dxa"/>
            <w:noWrap/>
            <w:hideMark/>
          </w:tcPr>
          <w:p w14:paraId="36F3A310" w14:textId="77777777" w:rsidR="005400D8" w:rsidRPr="00A014FD" w:rsidRDefault="005400D8" w:rsidP="00704B82">
            <w:pPr>
              <w:spacing w:line="240" w:lineRule="auto"/>
              <w:rPr>
                <w:sz w:val="22"/>
              </w:rPr>
            </w:pPr>
            <w:r w:rsidRPr="00A014FD">
              <w:rPr>
                <w:sz w:val="22"/>
              </w:rPr>
              <w:t>95B</w:t>
            </w:r>
          </w:p>
        </w:tc>
      </w:tr>
      <w:tr w:rsidR="005400D8" w:rsidRPr="00A014FD" w14:paraId="18E32A10" w14:textId="77777777" w:rsidTr="00704B82">
        <w:trPr>
          <w:trHeight w:val="285"/>
        </w:trPr>
        <w:tc>
          <w:tcPr>
            <w:tcW w:w="13178" w:type="dxa"/>
            <w:noWrap/>
            <w:hideMark/>
          </w:tcPr>
          <w:p w14:paraId="516A1BD8" w14:textId="77777777" w:rsidR="005400D8" w:rsidRPr="00A014FD" w:rsidRDefault="005400D8" w:rsidP="00704B82">
            <w:pPr>
              <w:spacing w:line="240" w:lineRule="auto"/>
              <w:rPr>
                <w:sz w:val="22"/>
              </w:rPr>
            </w:pPr>
            <w:r w:rsidRPr="00A014FD">
              <w:rPr>
                <w:sz w:val="22"/>
              </w:rPr>
              <w:t>A system of models for the assessment of an urban distribution center in a city logistic plan</w:t>
            </w:r>
          </w:p>
        </w:tc>
        <w:tc>
          <w:tcPr>
            <w:tcW w:w="770" w:type="dxa"/>
            <w:noWrap/>
            <w:hideMark/>
          </w:tcPr>
          <w:p w14:paraId="6EBB0CB3" w14:textId="77777777" w:rsidR="005400D8" w:rsidRPr="00A014FD" w:rsidRDefault="005400D8" w:rsidP="00704B82">
            <w:pPr>
              <w:spacing w:line="240" w:lineRule="auto"/>
              <w:rPr>
                <w:sz w:val="22"/>
              </w:rPr>
            </w:pPr>
            <w:r w:rsidRPr="00A014FD">
              <w:rPr>
                <w:sz w:val="22"/>
              </w:rPr>
              <w:t>96B</w:t>
            </w:r>
          </w:p>
        </w:tc>
      </w:tr>
      <w:tr w:rsidR="005400D8" w:rsidRPr="00A014FD" w14:paraId="7A1F758A" w14:textId="77777777" w:rsidTr="00704B82">
        <w:trPr>
          <w:trHeight w:val="285"/>
        </w:trPr>
        <w:tc>
          <w:tcPr>
            <w:tcW w:w="13178" w:type="dxa"/>
            <w:noWrap/>
            <w:hideMark/>
          </w:tcPr>
          <w:p w14:paraId="5DD1652D" w14:textId="77777777" w:rsidR="005400D8" w:rsidRPr="00A014FD" w:rsidRDefault="005400D8" w:rsidP="00704B82">
            <w:pPr>
              <w:spacing w:line="240" w:lineRule="auto"/>
              <w:rPr>
                <w:sz w:val="22"/>
              </w:rPr>
            </w:pPr>
            <w:r w:rsidRPr="00A014FD">
              <w:rPr>
                <w:sz w:val="22"/>
              </w:rPr>
              <w:t xml:space="preserve">Urban logistics: The role of urban consolidation </w:t>
            </w:r>
            <w:proofErr w:type="spellStart"/>
            <w:r w:rsidRPr="00A014FD">
              <w:rPr>
                <w:sz w:val="22"/>
              </w:rPr>
              <w:t>centre</w:t>
            </w:r>
            <w:proofErr w:type="spellEnd"/>
            <w:r w:rsidRPr="00A014FD">
              <w:rPr>
                <w:sz w:val="22"/>
              </w:rPr>
              <w:t xml:space="preserve"> for the sustainability of transportation systems</w:t>
            </w:r>
          </w:p>
        </w:tc>
        <w:tc>
          <w:tcPr>
            <w:tcW w:w="770" w:type="dxa"/>
            <w:noWrap/>
            <w:hideMark/>
          </w:tcPr>
          <w:p w14:paraId="4523667C" w14:textId="77777777" w:rsidR="005400D8" w:rsidRPr="00A014FD" w:rsidRDefault="005400D8" w:rsidP="00704B82">
            <w:pPr>
              <w:spacing w:line="240" w:lineRule="auto"/>
              <w:rPr>
                <w:sz w:val="22"/>
              </w:rPr>
            </w:pPr>
            <w:r w:rsidRPr="00A014FD">
              <w:rPr>
                <w:sz w:val="22"/>
              </w:rPr>
              <w:t>97B</w:t>
            </w:r>
          </w:p>
        </w:tc>
      </w:tr>
      <w:tr w:rsidR="005400D8" w:rsidRPr="00A014FD" w14:paraId="223E502A" w14:textId="77777777" w:rsidTr="00704B82">
        <w:trPr>
          <w:trHeight w:val="285"/>
        </w:trPr>
        <w:tc>
          <w:tcPr>
            <w:tcW w:w="13178" w:type="dxa"/>
            <w:noWrap/>
            <w:hideMark/>
          </w:tcPr>
          <w:p w14:paraId="23ED2ED0" w14:textId="77777777" w:rsidR="005400D8" w:rsidRPr="00A014FD" w:rsidRDefault="005400D8" w:rsidP="00704B82">
            <w:pPr>
              <w:spacing w:line="240" w:lineRule="auto"/>
              <w:rPr>
                <w:sz w:val="22"/>
              </w:rPr>
            </w:pPr>
            <w:r w:rsidRPr="00A014FD">
              <w:rPr>
                <w:sz w:val="22"/>
              </w:rPr>
              <w:t xml:space="preserve">Urban consolidation solutions for parcel delivery considering location, </w:t>
            </w:r>
            <w:proofErr w:type="gramStart"/>
            <w:r w:rsidRPr="00A014FD">
              <w:rPr>
                <w:sz w:val="22"/>
              </w:rPr>
              <w:t>fleet</w:t>
            </w:r>
            <w:proofErr w:type="gramEnd"/>
            <w:r w:rsidRPr="00A014FD">
              <w:rPr>
                <w:sz w:val="22"/>
              </w:rPr>
              <w:t xml:space="preserve"> and route choice</w:t>
            </w:r>
          </w:p>
        </w:tc>
        <w:tc>
          <w:tcPr>
            <w:tcW w:w="770" w:type="dxa"/>
            <w:noWrap/>
            <w:hideMark/>
          </w:tcPr>
          <w:p w14:paraId="5D29A8D1" w14:textId="77777777" w:rsidR="005400D8" w:rsidRPr="00A014FD" w:rsidRDefault="005400D8" w:rsidP="00704B82">
            <w:pPr>
              <w:spacing w:line="240" w:lineRule="auto"/>
              <w:rPr>
                <w:sz w:val="22"/>
              </w:rPr>
            </w:pPr>
            <w:r w:rsidRPr="00A014FD">
              <w:rPr>
                <w:sz w:val="22"/>
              </w:rPr>
              <w:t>98B</w:t>
            </w:r>
          </w:p>
        </w:tc>
      </w:tr>
      <w:tr w:rsidR="005400D8" w:rsidRPr="00A014FD" w14:paraId="565C1B47" w14:textId="77777777" w:rsidTr="00704B82">
        <w:trPr>
          <w:trHeight w:val="285"/>
        </w:trPr>
        <w:tc>
          <w:tcPr>
            <w:tcW w:w="13178" w:type="dxa"/>
            <w:noWrap/>
            <w:hideMark/>
          </w:tcPr>
          <w:p w14:paraId="4B9626DC" w14:textId="77777777" w:rsidR="005400D8" w:rsidRPr="00A014FD" w:rsidRDefault="005400D8" w:rsidP="00704B82">
            <w:pPr>
              <w:spacing w:line="240" w:lineRule="auto"/>
              <w:rPr>
                <w:sz w:val="22"/>
              </w:rPr>
            </w:pPr>
            <w:r w:rsidRPr="00A014FD">
              <w:rPr>
                <w:sz w:val="22"/>
              </w:rPr>
              <w:t>Location planning of urban distribution center under uncertainty: A case study of Yogyakarta special region province, Indonesia</w:t>
            </w:r>
          </w:p>
        </w:tc>
        <w:tc>
          <w:tcPr>
            <w:tcW w:w="770" w:type="dxa"/>
            <w:noWrap/>
            <w:hideMark/>
          </w:tcPr>
          <w:p w14:paraId="5A5DAA53" w14:textId="77777777" w:rsidR="005400D8" w:rsidRPr="00A014FD" w:rsidRDefault="005400D8" w:rsidP="00704B82">
            <w:pPr>
              <w:spacing w:line="240" w:lineRule="auto"/>
              <w:rPr>
                <w:sz w:val="22"/>
              </w:rPr>
            </w:pPr>
            <w:r w:rsidRPr="00A014FD">
              <w:rPr>
                <w:sz w:val="22"/>
              </w:rPr>
              <w:t>99B</w:t>
            </w:r>
          </w:p>
        </w:tc>
      </w:tr>
      <w:tr w:rsidR="005400D8" w:rsidRPr="00A014FD" w14:paraId="5A81D0ED" w14:textId="77777777" w:rsidTr="00704B82">
        <w:trPr>
          <w:trHeight w:val="285"/>
        </w:trPr>
        <w:tc>
          <w:tcPr>
            <w:tcW w:w="13178" w:type="dxa"/>
            <w:noWrap/>
            <w:hideMark/>
          </w:tcPr>
          <w:p w14:paraId="268F4691" w14:textId="77777777" w:rsidR="005400D8" w:rsidRPr="00A014FD" w:rsidRDefault="005400D8" w:rsidP="00704B82">
            <w:pPr>
              <w:spacing w:line="240" w:lineRule="auto"/>
              <w:rPr>
                <w:sz w:val="22"/>
              </w:rPr>
            </w:pPr>
            <w:r w:rsidRPr="00A014FD">
              <w:rPr>
                <w:sz w:val="22"/>
              </w:rPr>
              <w:t xml:space="preserve">Concepts of City Logistics for Sustainable and </w:t>
            </w:r>
            <w:proofErr w:type="spellStart"/>
            <w:r w:rsidRPr="00A014FD">
              <w:rPr>
                <w:sz w:val="22"/>
              </w:rPr>
              <w:t>Liveable</w:t>
            </w:r>
            <w:proofErr w:type="spellEnd"/>
            <w:r w:rsidRPr="00A014FD">
              <w:rPr>
                <w:sz w:val="22"/>
              </w:rPr>
              <w:t xml:space="preserve"> Cities.</w:t>
            </w:r>
          </w:p>
        </w:tc>
        <w:tc>
          <w:tcPr>
            <w:tcW w:w="770" w:type="dxa"/>
            <w:noWrap/>
            <w:hideMark/>
          </w:tcPr>
          <w:p w14:paraId="6192DEFF" w14:textId="77777777" w:rsidR="005400D8" w:rsidRPr="00A014FD" w:rsidRDefault="005400D8" w:rsidP="00704B82">
            <w:pPr>
              <w:spacing w:line="240" w:lineRule="auto"/>
              <w:rPr>
                <w:sz w:val="22"/>
              </w:rPr>
            </w:pPr>
            <w:r w:rsidRPr="00A014FD">
              <w:rPr>
                <w:sz w:val="22"/>
              </w:rPr>
              <w:t>100B</w:t>
            </w:r>
          </w:p>
        </w:tc>
      </w:tr>
      <w:tr w:rsidR="005400D8" w:rsidRPr="00A014FD" w14:paraId="1C0DB390" w14:textId="77777777" w:rsidTr="00704B82">
        <w:trPr>
          <w:trHeight w:val="285"/>
        </w:trPr>
        <w:tc>
          <w:tcPr>
            <w:tcW w:w="13178" w:type="dxa"/>
            <w:noWrap/>
            <w:hideMark/>
          </w:tcPr>
          <w:p w14:paraId="4138EA57" w14:textId="77777777" w:rsidR="005400D8" w:rsidRPr="00A014FD" w:rsidRDefault="005400D8" w:rsidP="00704B82">
            <w:pPr>
              <w:spacing w:line="240" w:lineRule="auto"/>
              <w:rPr>
                <w:sz w:val="22"/>
              </w:rPr>
            </w:pPr>
            <w:r w:rsidRPr="00A014FD">
              <w:rPr>
                <w:sz w:val="22"/>
              </w:rPr>
              <w:t>Evaluation of urban distribution centers using multiagent modeling with geographic information systems.</w:t>
            </w:r>
          </w:p>
        </w:tc>
        <w:tc>
          <w:tcPr>
            <w:tcW w:w="770" w:type="dxa"/>
            <w:noWrap/>
            <w:hideMark/>
          </w:tcPr>
          <w:p w14:paraId="3F82E811" w14:textId="77777777" w:rsidR="005400D8" w:rsidRPr="00A014FD" w:rsidRDefault="005400D8" w:rsidP="00704B82">
            <w:pPr>
              <w:spacing w:line="240" w:lineRule="auto"/>
              <w:rPr>
                <w:sz w:val="22"/>
              </w:rPr>
            </w:pPr>
            <w:r w:rsidRPr="00A014FD">
              <w:rPr>
                <w:sz w:val="22"/>
              </w:rPr>
              <w:t>101B</w:t>
            </w:r>
          </w:p>
        </w:tc>
      </w:tr>
      <w:tr w:rsidR="005400D8" w:rsidRPr="00A014FD" w14:paraId="23BFF0AF" w14:textId="77777777" w:rsidTr="00704B82">
        <w:trPr>
          <w:trHeight w:val="285"/>
        </w:trPr>
        <w:tc>
          <w:tcPr>
            <w:tcW w:w="13178" w:type="dxa"/>
            <w:noWrap/>
            <w:hideMark/>
          </w:tcPr>
          <w:p w14:paraId="54AE578E" w14:textId="77777777" w:rsidR="005400D8" w:rsidRPr="00A014FD" w:rsidRDefault="005400D8" w:rsidP="00704B82">
            <w:pPr>
              <w:spacing w:line="240" w:lineRule="auto"/>
              <w:rPr>
                <w:sz w:val="22"/>
              </w:rPr>
            </w:pPr>
            <w:r w:rsidRPr="00A014FD">
              <w:rPr>
                <w:sz w:val="22"/>
              </w:rPr>
              <w:t>Urban goods movements in a sensitive context: The case of Parma.</w:t>
            </w:r>
          </w:p>
        </w:tc>
        <w:tc>
          <w:tcPr>
            <w:tcW w:w="770" w:type="dxa"/>
            <w:noWrap/>
            <w:hideMark/>
          </w:tcPr>
          <w:p w14:paraId="3F61BDED" w14:textId="77777777" w:rsidR="005400D8" w:rsidRPr="00A014FD" w:rsidRDefault="005400D8" w:rsidP="00704B82">
            <w:pPr>
              <w:spacing w:line="240" w:lineRule="auto"/>
              <w:rPr>
                <w:sz w:val="22"/>
              </w:rPr>
            </w:pPr>
            <w:r w:rsidRPr="00A014FD">
              <w:rPr>
                <w:sz w:val="22"/>
              </w:rPr>
              <w:t>102B</w:t>
            </w:r>
          </w:p>
        </w:tc>
      </w:tr>
      <w:tr w:rsidR="005400D8" w:rsidRPr="00A014FD" w14:paraId="329FD211" w14:textId="77777777" w:rsidTr="00704B82">
        <w:trPr>
          <w:trHeight w:val="285"/>
        </w:trPr>
        <w:tc>
          <w:tcPr>
            <w:tcW w:w="13178" w:type="dxa"/>
            <w:noWrap/>
            <w:hideMark/>
          </w:tcPr>
          <w:p w14:paraId="15813D46" w14:textId="77777777" w:rsidR="005400D8" w:rsidRPr="00A014FD" w:rsidRDefault="005400D8" w:rsidP="00704B82">
            <w:pPr>
              <w:spacing w:line="240" w:lineRule="auto"/>
              <w:rPr>
                <w:sz w:val="22"/>
              </w:rPr>
            </w:pPr>
            <w:r w:rsidRPr="00A014FD">
              <w:rPr>
                <w:sz w:val="22"/>
              </w:rPr>
              <w:t xml:space="preserve">Barriers towards development of urban consolidation </w:t>
            </w:r>
            <w:proofErr w:type="spellStart"/>
            <w:r w:rsidRPr="00A014FD">
              <w:rPr>
                <w:sz w:val="22"/>
              </w:rPr>
              <w:t>centres</w:t>
            </w:r>
            <w:proofErr w:type="spellEnd"/>
            <w:r w:rsidRPr="00A014FD">
              <w:rPr>
                <w:sz w:val="22"/>
              </w:rPr>
              <w:t xml:space="preserve"> and their implementation: Literature review</w:t>
            </w:r>
          </w:p>
        </w:tc>
        <w:tc>
          <w:tcPr>
            <w:tcW w:w="770" w:type="dxa"/>
            <w:noWrap/>
            <w:hideMark/>
          </w:tcPr>
          <w:p w14:paraId="1A1855C9" w14:textId="77777777" w:rsidR="005400D8" w:rsidRPr="00A014FD" w:rsidRDefault="005400D8" w:rsidP="00704B82">
            <w:pPr>
              <w:spacing w:line="240" w:lineRule="auto"/>
              <w:rPr>
                <w:sz w:val="22"/>
              </w:rPr>
            </w:pPr>
            <w:r w:rsidRPr="00A014FD">
              <w:rPr>
                <w:sz w:val="22"/>
              </w:rPr>
              <w:t>103B</w:t>
            </w:r>
          </w:p>
        </w:tc>
      </w:tr>
      <w:tr w:rsidR="005400D8" w:rsidRPr="00A014FD" w14:paraId="3ED3C7CF" w14:textId="77777777" w:rsidTr="00704B82">
        <w:trPr>
          <w:trHeight w:val="285"/>
        </w:trPr>
        <w:tc>
          <w:tcPr>
            <w:tcW w:w="13178" w:type="dxa"/>
            <w:noWrap/>
            <w:hideMark/>
          </w:tcPr>
          <w:p w14:paraId="384AAC0B" w14:textId="77777777" w:rsidR="005400D8" w:rsidRPr="00A014FD" w:rsidRDefault="005400D8" w:rsidP="00704B82">
            <w:pPr>
              <w:spacing w:line="240" w:lineRule="auto"/>
              <w:rPr>
                <w:sz w:val="22"/>
              </w:rPr>
            </w:pPr>
            <w:r w:rsidRPr="00A014FD">
              <w:rPr>
                <w:sz w:val="22"/>
              </w:rPr>
              <w:t xml:space="preserve">New challenges for urban consolidation </w:t>
            </w:r>
            <w:proofErr w:type="spellStart"/>
            <w:r w:rsidRPr="00A014FD">
              <w:rPr>
                <w:sz w:val="22"/>
              </w:rPr>
              <w:t>centres</w:t>
            </w:r>
            <w:proofErr w:type="spellEnd"/>
            <w:r w:rsidRPr="00A014FD">
              <w:rPr>
                <w:sz w:val="22"/>
              </w:rPr>
              <w:t>: A case study in The Hague.</w:t>
            </w:r>
          </w:p>
        </w:tc>
        <w:tc>
          <w:tcPr>
            <w:tcW w:w="770" w:type="dxa"/>
            <w:noWrap/>
            <w:hideMark/>
          </w:tcPr>
          <w:p w14:paraId="23B701FB" w14:textId="77777777" w:rsidR="005400D8" w:rsidRPr="00A014FD" w:rsidRDefault="005400D8" w:rsidP="00704B82">
            <w:pPr>
              <w:spacing w:line="240" w:lineRule="auto"/>
              <w:rPr>
                <w:sz w:val="22"/>
              </w:rPr>
            </w:pPr>
            <w:r w:rsidRPr="00A014FD">
              <w:rPr>
                <w:sz w:val="22"/>
              </w:rPr>
              <w:t>104B</w:t>
            </w:r>
          </w:p>
        </w:tc>
      </w:tr>
      <w:tr w:rsidR="005400D8" w:rsidRPr="00A014FD" w14:paraId="7D4FFEAA" w14:textId="77777777" w:rsidTr="00704B82">
        <w:trPr>
          <w:trHeight w:val="285"/>
        </w:trPr>
        <w:tc>
          <w:tcPr>
            <w:tcW w:w="13178" w:type="dxa"/>
            <w:noWrap/>
            <w:hideMark/>
          </w:tcPr>
          <w:p w14:paraId="5DA530EE" w14:textId="77777777" w:rsidR="005400D8" w:rsidRPr="00A014FD" w:rsidRDefault="005400D8" w:rsidP="00704B82">
            <w:pPr>
              <w:spacing w:line="240" w:lineRule="auto"/>
              <w:rPr>
                <w:sz w:val="22"/>
              </w:rPr>
            </w:pPr>
            <w:r w:rsidRPr="00A014FD">
              <w:rPr>
                <w:sz w:val="22"/>
              </w:rPr>
              <w:t xml:space="preserve">Identifying dominant stakeholder perspectives on urban freight policies: A q-analysis on urban consolidation </w:t>
            </w:r>
            <w:proofErr w:type="spellStart"/>
            <w:r w:rsidRPr="00A014FD">
              <w:rPr>
                <w:sz w:val="22"/>
              </w:rPr>
              <w:t>centres</w:t>
            </w:r>
            <w:proofErr w:type="spellEnd"/>
            <w:r w:rsidRPr="00A014FD">
              <w:rPr>
                <w:sz w:val="22"/>
              </w:rPr>
              <w:t xml:space="preserve"> in The Netherlands</w:t>
            </w:r>
          </w:p>
        </w:tc>
        <w:tc>
          <w:tcPr>
            <w:tcW w:w="770" w:type="dxa"/>
            <w:noWrap/>
            <w:hideMark/>
          </w:tcPr>
          <w:p w14:paraId="25530769" w14:textId="77777777" w:rsidR="005400D8" w:rsidRPr="00A014FD" w:rsidRDefault="005400D8" w:rsidP="00704B82">
            <w:pPr>
              <w:spacing w:line="240" w:lineRule="auto"/>
              <w:rPr>
                <w:sz w:val="22"/>
              </w:rPr>
            </w:pPr>
            <w:r w:rsidRPr="00A014FD">
              <w:rPr>
                <w:sz w:val="22"/>
              </w:rPr>
              <w:t>105B</w:t>
            </w:r>
          </w:p>
        </w:tc>
      </w:tr>
      <w:tr w:rsidR="005400D8" w:rsidRPr="00A014FD" w14:paraId="7BAF43A7" w14:textId="77777777" w:rsidTr="00704B82">
        <w:trPr>
          <w:trHeight w:val="285"/>
        </w:trPr>
        <w:tc>
          <w:tcPr>
            <w:tcW w:w="13178" w:type="dxa"/>
            <w:noWrap/>
            <w:hideMark/>
          </w:tcPr>
          <w:p w14:paraId="00E9B074" w14:textId="77777777" w:rsidR="005400D8" w:rsidRPr="00A014FD" w:rsidRDefault="005400D8" w:rsidP="00704B82">
            <w:pPr>
              <w:spacing w:line="240" w:lineRule="auto"/>
              <w:rPr>
                <w:sz w:val="22"/>
              </w:rPr>
            </w:pPr>
            <w:r w:rsidRPr="00A014FD">
              <w:rPr>
                <w:sz w:val="22"/>
              </w:rPr>
              <w:lastRenderedPageBreak/>
              <w:t>An urban consolidation center in the city of Copenhagen: A simulation study</w:t>
            </w:r>
          </w:p>
        </w:tc>
        <w:tc>
          <w:tcPr>
            <w:tcW w:w="770" w:type="dxa"/>
            <w:noWrap/>
            <w:hideMark/>
          </w:tcPr>
          <w:p w14:paraId="20230CD0" w14:textId="77777777" w:rsidR="005400D8" w:rsidRPr="00A014FD" w:rsidRDefault="005400D8" w:rsidP="00704B82">
            <w:pPr>
              <w:spacing w:line="240" w:lineRule="auto"/>
              <w:rPr>
                <w:sz w:val="22"/>
              </w:rPr>
            </w:pPr>
            <w:r w:rsidRPr="00A014FD">
              <w:rPr>
                <w:sz w:val="22"/>
              </w:rPr>
              <w:t>106B</w:t>
            </w:r>
          </w:p>
        </w:tc>
      </w:tr>
      <w:tr w:rsidR="005400D8" w:rsidRPr="00A014FD" w14:paraId="627C0822" w14:textId="77777777" w:rsidTr="00704B82">
        <w:trPr>
          <w:trHeight w:val="285"/>
        </w:trPr>
        <w:tc>
          <w:tcPr>
            <w:tcW w:w="13178" w:type="dxa"/>
            <w:noWrap/>
            <w:hideMark/>
          </w:tcPr>
          <w:p w14:paraId="0DC35CF0" w14:textId="77777777" w:rsidR="005400D8" w:rsidRPr="00A014FD" w:rsidRDefault="005400D8" w:rsidP="00704B82">
            <w:pPr>
              <w:spacing w:line="240" w:lineRule="auto"/>
              <w:rPr>
                <w:sz w:val="22"/>
              </w:rPr>
            </w:pPr>
            <w:r w:rsidRPr="00A014FD">
              <w:rPr>
                <w:sz w:val="22"/>
              </w:rPr>
              <w:t>The delivery dispatching problem with time windows for urban consolidation centers.</w:t>
            </w:r>
          </w:p>
        </w:tc>
        <w:tc>
          <w:tcPr>
            <w:tcW w:w="770" w:type="dxa"/>
            <w:noWrap/>
            <w:hideMark/>
          </w:tcPr>
          <w:p w14:paraId="1AD1176A" w14:textId="77777777" w:rsidR="005400D8" w:rsidRPr="00A014FD" w:rsidRDefault="005400D8" w:rsidP="00704B82">
            <w:pPr>
              <w:spacing w:line="240" w:lineRule="auto"/>
              <w:rPr>
                <w:sz w:val="22"/>
              </w:rPr>
            </w:pPr>
            <w:r w:rsidRPr="00A014FD">
              <w:rPr>
                <w:sz w:val="22"/>
              </w:rPr>
              <w:t>107B</w:t>
            </w:r>
          </w:p>
        </w:tc>
      </w:tr>
      <w:tr w:rsidR="005400D8" w:rsidRPr="00A014FD" w14:paraId="01AE9F2E" w14:textId="77777777" w:rsidTr="00704B82">
        <w:trPr>
          <w:trHeight w:val="285"/>
        </w:trPr>
        <w:tc>
          <w:tcPr>
            <w:tcW w:w="13178" w:type="dxa"/>
            <w:noWrap/>
            <w:hideMark/>
          </w:tcPr>
          <w:p w14:paraId="4B50FD42" w14:textId="77777777" w:rsidR="005400D8" w:rsidRPr="00A014FD" w:rsidRDefault="005400D8" w:rsidP="00704B82">
            <w:pPr>
              <w:spacing w:line="240" w:lineRule="auto"/>
              <w:rPr>
                <w:sz w:val="22"/>
              </w:rPr>
            </w:pPr>
            <w:r w:rsidRPr="00A014FD">
              <w:rPr>
                <w:sz w:val="22"/>
              </w:rPr>
              <w:t xml:space="preserve">Local impacts of a new urban consolidation </w:t>
            </w:r>
            <w:proofErr w:type="spellStart"/>
            <w:r w:rsidRPr="00A014FD">
              <w:rPr>
                <w:sz w:val="22"/>
              </w:rPr>
              <w:t>centre</w:t>
            </w:r>
            <w:proofErr w:type="spellEnd"/>
            <w:r w:rsidRPr="00A014FD">
              <w:rPr>
                <w:sz w:val="22"/>
              </w:rPr>
              <w:t xml:space="preserve"> - The case of Binnenstadservice.nl.</w:t>
            </w:r>
          </w:p>
        </w:tc>
        <w:tc>
          <w:tcPr>
            <w:tcW w:w="770" w:type="dxa"/>
            <w:noWrap/>
            <w:hideMark/>
          </w:tcPr>
          <w:p w14:paraId="7D109EF2" w14:textId="77777777" w:rsidR="005400D8" w:rsidRPr="00A014FD" w:rsidRDefault="005400D8" w:rsidP="00704B82">
            <w:pPr>
              <w:spacing w:line="240" w:lineRule="auto"/>
              <w:rPr>
                <w:sz w:val="22"/>
              </w:rPr>
            </w:pPr>
            <w:r w:rsidRPr="00A014FD">
              <w:rPr>
                <w:sz w:val="22"/>
              </w:rPr>
              <w:t>108B</w:t>
            </w:r>
          </w:p>
        </w:tc>
      </w:tr>
      <w:tr w:rsidR="005400D8" w:rsidRPr="00A014FD" w14:paraId="7EF8C179" w14:textId="77777777" w:rsidTr="00704B82">
        <w:trPr>
          <w:trHeight w:val="285"/>
        </w:trPr>
        <w:tc>
          <w:tcPr>
            <w:tcW w:w="13178" w:type="dxa"/>
            <w:noWrap/>
            <w:hideMark/>
          </w:tcPr>
          <w:p w14:paraId="231D6587" w14:textId="77777777" w:rsidR="005400D8" w:rsidRPr="00A014FD" w:rsidRDefault="005400D8" w:rsidP="00704B82">
            <w:pPr>
              <w:spacing w:line="240" w:lineRule="auto"/>
              <w:rPr>
                <w:sz w:val="22"/>
              </w:rPr>
            </w:pPr>
            <w:r w:rsidRPr="00A014FD">
              <w:rPr>
                <w:sz w:val="22"/>
              </w:rPr>
              <w:t xml:space="preserve">Different urban consolidation </w:t>
            </w:r>
            <w:proofErr w:type="spellStart"/>
            <w:r w:rsidRPr="00A014FD">
              <w:rPr>
                <w:sz w:val="22"/>
              </w:rPr>
              <w:t>centre</w:t>
            </w:r>
            <w:proofErr w:type="spellEnd"/>
            <w:r w:rsidRPr="00A014FD">
              <w:rPr>
                <w:sz w:val="22"/>
              </w:rPr>
              <w:t xml:space="preserve"> scenarios: Impact on external costs of last-mile deliveries.</w:t>
            </w:r>
          </w:p>
        </w:tc>
        <w:tc>
          <w:tcPr>
            <w:tcW w:w="770" w:type="dxa"/>
            <w:noWrap/>
            <w:hideMark/>
          </w:tcPr>
          <w:p w14:paraId="39CCC044" w14:textId="77777777" w:rsidR="005400D8" w:rsidRPr="00A014FD" w:rsidRDefault="005400D8" w:rsidP="00704B82">
            <w:pPr>
              <w:spacing w:line="240" w:lineRule="auto"/>
              <w:rPr>
                <w:sz w:val="22"/>
              </w:rPr>
            </w:pPr>
            <w:r w:rsidRPr="00A014FD">
              <w:rPr>
                <w:sz w:val="22"/>
              </w:rPr>
              <w:t>109B</w:t>
            </w:r>
          </w:p>
        </w:tc>
      </w:tr>
      <w:tr w:rsidR="005400D8" w:rsidRPr="00A014FD" w14:paraId="14C7BFA7" w14:textId="77777777" w:rsidTr="00704B82">
        <w:trPr>
          <w:trHeight w:val="285"/>
        </w:trPr>
        <w:tc>
          <w:tcPr>
            <w:tcW w:w="13178" w:type="dxa"/>
            <w:noWrap/>
            <w:hideMark/>
          </w:tcPr>
          <w:p w14:paraId="282337D1" w14:textId="77777777" w:rsidR="005400D8" w:rsidRPr="00A014FD" w:rsidRDefault="005400D8" w:rsidP="00704B82">
            <w:pPr>
              <w:spacing w:line="240" w:lineRule="auto"/>
              <w:rPr>
                <w:sz w:val="22"/>
              </w:rPr>
            </w:pPr>
            <w:r w:rsidRPr="00A014FD">
              <w:rPr>
                <w:sz w:val="22"/>
              </w:rPr>
              <w:t>How to Consolidate Urban Flows of Goods Without Setting up an Urban Consolidation Centre</w:t>
            </w:r>
          </w:p>
        </w:tc>
        <w:tc>
          <w:tcPr>
            <w:tcW w:w="770" w:type="dxa"/>
            <w:noWrap/>
            <w:hideMark/>
          </w:tcPr>
          <w:p w14:paraId="6A212650" w14:textId="77777777" w:rsidR="005400D8" w:rsidRPr="00A014FD" w:rsidRDefault="005400D8" w:rsidP="00704B82">
            <w:pPr>
              <w:spacing w:line="240" w:lineRule="auto"/>
              <w:rPr>
                <w:sz w:val="22"/>
              </w:rPr>
            </w:pPr>
            <w:r w:rsidRPr="00A014FD">
              <w:rPr>
                <w:sz w:val="22"/>
              </w:rPr>
              <w:t>110B</w:t>
            </w:r>
          </w:p>
        </w:tc>
      </w:tr>
      <w:tr w:rsidR="005400D8" w:rsidRPr="00A014FD" w14:paraId="0EB8C481" w14:textId="77777777" w:rsidTr="00704B82">
        <w:trPr>
          <w:trHeight w:val="285"/>
        </w:trPr>
        <w:tc>
          <w:tcPr>
            <w:tcW w:w="13178" w:type="dxa"/>
            <w:noWrap/>
            <w:hideMark/>
          </w:tcPr>
          <w:p w14:paraId="4E10356C" w14:textId="77777777" w:rsidR="005400D8" w:rsidRPr="00A014FD" w:rsidRDefault="005400D8" w:rsidP="00704B82">
            <w:pPr>
              <w:spacing w:line="240" w:lineRule="auto"/>
              <w:rPr>
                <w:sz w:val="22"/>
              </w:rPr>
            </w:pPr>
            <w:r w:rsidRPr="00A014FD">
              <w:rPr>
                <w:sz w:val="22"/>
              </w:rPr>
              <w:t>The Limits of Public Policy Intervention in Urban Logistics: Lessons from Vicenza (Italy)</w:t>
            </w:r>
          </w:p>
        </w:tc>
        <w:tc>
          <w:tcPr>
            <w:tcW w:w="770" w:type="dxa"/>
            <w:noWrap/>
            <w:hideMark/>
          </w:tcPr>
          <w:p w14:paraId="5EDE3C36" w14:textId="77777777" w:rsidR="005400D8" w:rsidRPr="00A014FD" w:rsidRDefault="005400D8" w:rsidP="00704B82">
            <w:pPr>
              <w:spacing w:line="240" w:lineRule="auto"/>
              <w:rPr>
                <w:sz w:val="22"/>
              </w:rPr>
            </w:pPr>
            <w:r w:rsidRPr="00A014FD">
              <w:rPr>
                <w:sz w:val="22"/>
              </w:rPr>
              <w:t>111B</w:t>
            </w:r>
          </w:p>
        </w:tc>
      </w:tr>
      <w:tr w:rsidR="005400D8" w:rsidRPr="00A014FD" w14:paraId="4D40C9F2" w14:textId="77777777" w:rsidTr="00704B82">
        <w:trPr>
          <w:trHeight w:val="285"/>
        </w:trPr>
        <w:tc>
          <w:tcPr>
            <w:tcW w:w="13178" w:type="dxa"/>
            <w:noWrap/>
            <w:hideMark/>
          </w:tcPr>
          <w:p w14:paraId="61573704" w14:textId="77777777" w:rsidR="005400D8" w:rsidRPr="00A014FD" w:rsidRDefault="005400D8" w:rsidP="00704B82">
            <w:pPr>
              <w:spacing w:line="240" w:lineRule="auto"/>
              <w:rPr>
                <w:sz w:val="22"/>
              </w:rPr>
            </w:pPr>
            <w:r w:rsidRPr="00A014FD">
              <w:rPr>
                <w:sz w:val="22"/>
              </w:rPr>
              <w:t xml:space="preserve">An auction with rolling horizon for urban consolidation </w:t>
            </w:r>
            <w:proofErr w:type="spellStart"/>
            <w:r w:rsidRPr="00A014FD">
              <w:rPr>
                <w:sz w:val="22"/>
              </w:rPr>
              <w:t>centre</w:t>
            </w:r>
            <w:proofErr w:type="spellEnd"/>
            <w:r w:rsidRPr="00A014FD">
              <w:rPr>
                <w:sz w:val="22"/>
              </w:rPr>
              <w:t>,</w:t>
            </w:r>
          </w:p>
        </w:tc>
        <w:tc>
          <w:tcPr>
            <w:tcW w:w="770" w:type="dxa"/>
            <w:noWrap/>
            <w:hideMark/>
          </w:tcPr>
          <w:p w14:paraId="69E69075" w14:textId="77777777" w:rsidR="005400D8" w:rsidRPr="00A014FD" w:rsidRDefault="005400D8" w:rsidP="00704B82">
            <w:pPr>
              <w:spacing w:line="240" w:lineRule="auto"/>
              <w:rPr>
                <w:sz w:val="22"/>
              </w:rPr>
            </w:pPr>
            <w:r w:rsidRPr="00A014FD">
              <w:rPr>
                <w:sz w:val="22"/>
              </w:rPr>
              <w:t>112B</w:t>
            </w:r>
          </w:p>
        </w:tc>
      </w:tr>
      <w:tr w:rsidR="005400D8" w:rsidRPr="00A014FD" w14:paraId="11342732" w14:textId="77777777" w:rsidTr="00704B82">
        <w:trPr>
          <w:trHeight w:val="285"/>
        </w:trPr>
        <w:tc>
          <w:tcPr>
            <w:tcW w:w="13178" w:type="dxa"/>
            <w:noWrap/>
            <w:hideMark/>
          </w:tcPr>
          <w:p w14:paraId="499022E7" w14:textId="77777777" w:rsidR="005400D8" w:rsidRPr="00A014FD" w:rsidRDefault="005400D8" w:rsidP="00704B82">
            <w:pPr>
              <w:spacing w:line="240" w:lineRule="auto"/>
              <w:rPr>
                <w:sz w:val="22"/>
              </w:rPr>
            </w:pPr>
            <w:r w:rsidRPr="00A014FD">
              <w:rPr>
                <w:sz w:val="22"/>
              </w:rPr>
              <w:t>A rolling horizon auction mechanism and virtual pricing of shipping capacity for urban consolidation centers</w:t>
            </w:r>
          </w:p>
        </w:tc>
        <w:tc>
          <w:tcPr>
            <w:tcW w:w="770" w:type="dxa"/>
            <w:noWrap/>
            <w:hideMark/>
          </w:tcPr>
          <w:p w14:paraId="3997D787" w14:textId="77777777" w:rsidR="005400D8" w:rsidRPr="00A014FD" w:rsidRDefault="005400D8" w:rsidP="00704B82">
            <w:pPr>
              <w:spacing w:line="240" w:lineRule="auto"/>
              <w:rPr>
                <w:sz w:val="22"/>
              </w:rPr>
            </w:pPr>
            <w:r w:rsidRPr="00A014FD">
              <w:rPr>
                <w:sz w:val="22"/>
              </w:rPr>
              <w:t>113B</w:t>
            </w:r>
          </w:p>
        </w:tc>
      </w:tr>
      <w:tr w:rsidR="005400D8" w:rsidRPr="00A014FD" w14:paraId="024C637F" w14:textId="77777777" w:rsidTr="00704B82">
        <w:trPr>
          <w:trHeight w:val="285"/>
        </w:trPr>
        <w:tc>
          <w:tcPr>
            <w:tcW w:w="13178" w:type="dxa"/>
            <w:noWrap/>
            <w:hideMark/>
          </w:tcPr>
          <w:p w14:paraId="18D051C7" w14:textId="77777777" w:rsidR="005400D8" w:rsidRPr="00A014FD" w:rsidRDefault="005400D8" w:rsidP="00704B82">
            <w:pPr>
              <w:spacing w:line="240" w:lineRule="auto"/>
              <w:rPr>
                <w:sz w:val="22"/>
              </w:rPr>
            </w:pPr>
            <w:r w:rsidRPr="00A014FD">
              <w:rPr>
                <w:sz w:val="22"/>
              </w:rPr>
              <w:t>A multiperiod vehicle lease planning for urban freight consolidation network</w:t>
            </w:r>
          </w:p>
        </w:tc>
        <w:tc>
          <w:tcPr>
            <w:tcW w:w="770" w:type="dxa"/>
            <w:noWrap/>
            <w:hideMark/>
          </w:tcPr>
          <w:p w14:paraId="0ADE0401" w14:textId="77777777" w:rsidR="005400D8" w:rsidRPr="00A014FD" w:rsidRDefault="005400D8" w:rsidP="00704B82">
            <w:pPr>
              <w:spacing w:line="240" w:lineRule="auto"/>
              <w:rPr>
                <w:sz w:val="22"/>
              </w:rPr>
            </w:pPr>
            <w:r w:rsidRPr="00A014FD">
              <w:rPr>
                <w:sz w:val="22"/>
              </w:rPr>
              <w:t>114B</w:t>
            </w:r>
          </w:p>
        </w:tc>
      </w:tr>
    </w:tbl>
    <w:p w14:paraId="4791BD67" w14:textId="22CDCB0F" w:rsidR="005400D8" w:rsidRPr="005146BA" w:rsidRDefault="0042024D" w:rsidP="0042024D">
      <w:pPr>
        <w:spacing w:after="160" w:line="259" w:lineRule="auto"/>
        <w:jc w:val="center"/>
        <w:rPr>
          <w:b/>
        </w:rPr>
        <w:sectPr w:rsidR="005400D8" w:rsidRPr="005146BA" w:rsidSect="00451CCB">
          <w:pgSz w:w="16838" w:h="11906" w:orient="landscape"/>
          <w:pgMar w:top="1800" w:right="1440" w:bottom="1800" w:left="1440" w:header="851" w:footer="992" w:gutter="0"/>
          <w:cols w:space="425"/>
          <w:docGrid w:type="lines" w:linePitch="326"/>
        </w:sectPr>
      </w:pPr>
      <w:r w:rsidRPr="005146BA">
        <w:rPr>
          <w:rFonts w:eastAsia="宋体"/>
          <w:b/>
          <w:sz w:val="22"/>
        </w:rPr>
        <w:t>Table IV.1-</w:t>
      </w:r>
      <w:r w:rsidRPr="005146BA">
        <w:rPr>
          <w:b/>
          <w:sz w:val="22"/>
        </w:rPr>
        <w:t xml:space="preserve"> The Name and Marked Numbers of Each Paper in the field of UCC</w:t>
      </w:r>
    </w:p>
    <w:p w14:paraId="3D1BF016" w14:textId="3EBCD25D" w:rsidR="005400D8" w:rsidRPr="00A014FD" w:rsidRDefault="005400D8" w:rsidP="005400D8">
      <w:pPr>
        <w:pStyle w:val="Heading2"/>
        <w:numPr>
          <w:ilvl w:val="0"/>
          <w:numId w:val="0"/>
        </w:numPr>
        <w:spacing w:after="120"/>
        <w:ind w:left="576" w:hanging="576"/>
      </w:pPr>
      <w:bookmarkStart w:id="1259" w:name="_Toc491940715"/>
      <w:bookmarkStart w:id="1260" w:name="_Toc46053520"/>
      <w:bookmarkStart w:id="1261" w:name="_Toc46093434"/>
      <w:bookmarkStart w:id="1262" w:name="_Toc46093717"/>
      <w:bookmarkStart w:id="1263" w:name="_Toc66703292"/>
      <w:r w:rsidRPr="00A014FD">
        <w:lastRenderedPageBreak/>
        <w:t>Appendix III - Performance of UC Cases</w:t>
      </w:r>
      <w:bookmarkEnd w:id="1259"/>
      <w:bookmarkEnd w:id="1260"/>
      <w:bookmarkEnd w:id="1261"/>
      <w:bookmarkEnd w:id="1262"/>
      <w:bookmarkEnd w:id="1263"/>
    </w:p>
    <w:p w14:paraId="73D65A66" w14:textId="77777777" w:rsidR="005400D8" w:rsidRPr="00A014FD" w:rsidRDefault="005400D8" w:rsidP="005400D8">
      <w:pPr>
        <w:spacing w:after="200" w:line="276" w:lineRule="auto"/>
        <w:rPr>
          <w:rFonts w:eastAsia="宋体"/>
        </w:rPr>
      </w:pPr>
      <w:r w:rsidRPr="00A014FD">
        <w:rPr>
          <w:rFonts w:eastAsia="宋体"/>
        </w:rPr>
        <w:t>This table is a statistics method for the real case of UCs in different cities, the symbol “</w:t>
      </w:r>
      <w:r w:rsidRPr="00A014FD">
        <w:rPr>
          <w:rFonts w:ascii="Segoe UI Symbol" w:eastAsia="MS Mincho" w:hAnsi="Segoe UI Symbol" w:cs="Segoe UI Symbol"/>
          <w:sz w:val="20"/>
          <w:szCs w:val="20"/>
        </w:rPr>
        <w:t>★</w:t>
      </w:r>
      <w:r w:rsidRPr="00A014FD">
        <w:rPr>
          <w:rFonts w:eastAsia="宋体"/>
        </w:rPr>
        <w:t>” shows the type belonging each UC case, and the symbol “</w:t>
      </w:r>
      <w:r w:rsidRPr="00A014FD">
        <w:rPr>
          <w:rFonts w:eastAsia="等线"/>
          <w:sz w:val="20"/>
          <w:szCs w:val="20"/>
        </w:rPr>
        <w:t>↑ and ↓</w:t>
      </w:r>
      <w:r w:rsidRPr="00A014FD">
        <w:rPr>
          <w:rFonts w:eastAsia="宋体"/>
        </w:rPr>
        <w:t>” reflects the performance of the UC on the eight kind of indicators. Lastly, the table gives the overview assessment of the UCs. The blank form means that there is no sufficient data to this item.</w:t>
      </w:r>
    </w:p>
    <w:tbl>
      <w:tblPr>
        <w:tblW w:w="5000" w:type="pct"/>
        <w:jc w:val="center"/>
        <w:tblCellMar>
          <w:left w:w="0" w:type="dxa"/>
          <w:right w:w="0" w:type="dxa"/>
        </w:tblCellMar>
        <w:tblLook w:val="04A0" w:firstRow="1" w:lastRow="0" w:firstColumn="1" w:lastColumn="0" w:noHBand="0" w:noVBand="1"/>
      </w:tblPr>
      <w:tblGrid>
        <w:gridCol w:w="1448"/>
        <w:gridCol w:w="717"/>
        <w:gridCol w:w="508"/>
        <w:gridCol w:w="508"/>
        <w:gridCol w:w="508"/>
        <w:gridCol w:w="703"/>
        <w:gridCol w:w="515"/>
        <w:gridCol w:w="712"/>
        <w:gridCol w:w="564"/>
        <w:gridCol w:w="566"/>
        <w:gridCol w:w="714"/>
        <w:gridCol w:w="544"/>
        <w:gridCol w:w="1004"/>
      </w:tblGrid>
      <w:tr w:rsidR="005400D8" w:rsidRPr="00A014FD" w14:paraId="32FB40B9" w14:textId="77777777" w:rsidTr="00704B82">
        <w:trPr>
          <w:trHeight w:val="20"/>
          <w:jc w:val="center"/>
        </w:trPr>
        <w:tc>
          <w:tcPr>
            <w:tcW w:w="803" w:type="pct"/>
            <w:vMerge w:val="restart"/>
            <w:tcBorders>
              <w:top w:val="single" w:sz="4" w:space="0" w:color="auto"/>
              <w:left w:val="single" w:sz="4" w:space="0" w:color="auto"/>
              <w:bottom w:val="single" w:sz="8" w:space="0" w:color="000000"/>
              <w:right w:val="single" w:sz="4" w:space="0" w:color="auto"/>
            </w:tcBorders>
            <w:shd w:val="clear" w:color="auto" w:fill="auto"/>
            <w:tcMar>
              <w:top w:w="15" w:type="dxa"/>
              <w:left w:w="15" w:type="dxa"/>
              <w:bottom w:w="0" w:type="dxa"/>
              <w:right w:w="15" w:type="dxa"/>
            </w:tcMar>
            <w:vAlign w:val="center"/>
          </w:tcPr>
          <w:p w14:paraId="0156F62B" w14:textId="77777777" w:rsidR="005400D8" w:rsidRPr="00A014FD" w:rsidRDefault="005400D8" w:rsidP="00704B82">
            <w:pPr>
              <w:spacing w:after="200" w:line="276" w:lineRule="auto"/>
              <w:jc w:val="center"/>
              <w:rPr>
                <w:rFonts w:eastAsia="等线"/>
                <w:sz w:val="20"/>
                <w:szCs w:val="20"/>
              </w:rPr>
            </w:pPr>
            <w:r w:rsidRPr="00A014FD">
              <w:rPr>
                <w:rFonts w:eastAsia="等线"/>
                <w:sz w:val="20"/>
                <w:szCs w:val="20"/>
              </w:rPr>
              <w:t>city</w:t>
            </w:r>
          </w:p>
        </w:tc>
        <w:tc>
          <w:tcPr>
            <w:tcW w:w="962" w:type="pct"/>
            <w:gridSpan w:val="3"/>
            <w:tcBorders>
              <w:top w:val="single" w:sz="8" w:space="0" w:color="auto"/>
              <w:left w:val="single" w:sz="4" w:space="0" w:color="auto"/>
              <w:bottom w:val="single" w:sz="8" w:space="0" w:color="auto"/>
              <w:right w:val="single" w:sz="8" w:space="0" w:color="000000"/>
            </w:tcBorders>
            <w:shd w:val="clear" w:color="auto" w:fill="auto"/>
            <w:tcMar>
              <w:top w:w="15" w:type="dxa"/>
              <w:left w:w="15" w:type="dxa"/>
              <w:bottom w:w="0" w:type="dxa"/>
              <w:right w:w="15" w:type="dxa"/>
            </w:tcMar>
            <w:vAlign w:val="center"/>
          </w:tcPr>
          <w:p w14:paraId="002E6D86" w14:textId="77777777" w:rsidR="005400D8" w:rsidRPr="00A014FD" w:rsidRDefault="005400D8" w:rsidP="00704B82">
            <w:pPr>
              <w:spacing w:after="200" w:line="276" w:lineRule="auto"/>
              <w:jc w:val="center"/>
              <w:rPr>
                <w:rFonts w:eastAsia="等线"/>
                <w:sz w:val="20"/>
                <w:szCs w:val="20"/>
              </w:rPr>
            </w:pPr>
            <w:r w:rsidRPr="00A014FD">
              <w:rPr>
                <w:rFonts w:eastAsia="等线"/>
                <w:sz w:val="20"/>
                <w:szCs w:val="20"/>
              </w:rPr>
              <w:t>Type of the UDC</w:t>
            </w:r>
          </w:p>
        </w:tc>
        <w:tc>
          <w:tcPr>
            <w:tcW w:w="2678" w:type="pct"/>
            <w:gridSpan w:val="8"/>
            <w:tcBorders>
              <w:top w:val="single" w:sz="8" w:space="0" w:color="auto"/>
              <w:left w:val="nil"/>
              <w:bottom w:val="single" w:sz="8" w:space="0" w:color="auto"/>
              <w:right w:val="single" w:sz="8" w:space="0" w:color="000000"/>
            </w:tcBorders>
            <w:shd w:val="clear" w:color="auto" w:fill="auto"/>
            <w:tcMar>
              <w:top w:w="15" w:type="dxa"/>
              <w:left w:w="15" w:type="dxa"/>
              <w:bottom w:w="0" w:type="dxa"/>
              <w:right w:w="15" w:type="dxa"/>
            </w:tcMar>
            <w:vAlign w:val="center"/>
          </w:tcPr>
          <w:p w14:paraId="102C4D01" w14:textId="77777777" w:rsidR="005400D8" w:rsidRPr="00A014FD" w:rsidRDefault="005400D8" w:rsidP="00704B82">
            <w:pPr>
              <w:spacing w:after="200" w:line="276" w:lineRule="auto"/>
              <w:jc w:val="center"/>
              <w:rPr>
                <w:rFonts w:eastAsia="等线"/>
                <w:sz w:val="20"/>
                <w:szCs w:val="20"/>
              </w:rPr>
            </w:pPr>
            <w:r w:rsidRPr="00A014FD">
              <w:rPr>
                <w:rFonts w:eastAsia="等线"/>
                <w:sz w:val="20"/>
                <w:szCs w:val="20"/>
              </w:rPr>
              <w:t>Output of the UDC of the eight indicators</w:t>
            </w:r>
          </w:p>
        </w:tc>
        <w:tc>
          <w:tcPr>
            <w:tcW w:w="557" w:type="pct"/>
            <w:vMerge w:val="restart"/>
            <w:tcBorders>
              <w:top w:val="single" w:sz="8" w:space="0" w:color="auto"/>
              <w:left w:val="single" w:sz="8" w:space="0" w:color="auto"/>
              <w:bottom w:val="single" w:sz="8" w:space="0" w:color="000000"/>
              <w:right w:val="single" w:sz="8" w:space="0" w:color="auto"/>
            </w:tcBorders>
            <w:shd w:val="clear" w:color="auto" w:fill="auto"/>
            <w:tcMar>
              <w:top w:w="15" w:type="dxa"/>
              <w:left w:w="15" w:type="dxa"/>
              <w:bottom w:w="0" w:type="dxa"/>
              <w:right w:w="15" w:type="dxa"/>
            </w:tcMar>
            <w:vAlign w:val="center"/>
          </w:tcPr>
          <w:p w14:paraId="0E92DB7F" w14:textId="77777777" w:rsidR="005400D8" w:rsidRPr="00A014FD" w:rsidRDefault="005400D8" w:rsidP="00704B82">
            <w:pPr>
              <w:spacing w:after="200" w:line="276" w:lineRule="auto"/>
              <w:jc w:val="center"/>
              <w:rPr>
                <w:rFonts w:eastAsia="等线"/>
                <w:sz w:val="20"/>
                <w:szCs w:val="20"/>
              </w:rPr>
            </w:pPr>
            <w:r w:rsidRPr="00A014FD">
              <w:rPr>
                <w:rFonts w:eastAsia="等线"/>
                <w:sz w:val="20"/>
                <w:szCs w:val="20"/>
              </w:rPr>
              <w:t>Overview Evaluation</w:t>
            </w:r>
          </w:p>
        </w:tc>
      </w:tr>
      <w:tr w:rsidR="005400D8" w:rsidRPr="00A014FD" w14:paraId="4D0630F0" w14:textId="77777777" w:rsidTr="00704B82">
        <w:trPr>
          <w:trHeight w:val="624"/>
          <w:jc w:val="center"/>
        </w:trPr>
        <w:tc>
          <w:tcPr>
            <w:tcW w:w="803" w:type="pct"/>
            <w:vMerge/>
            <w:tcBorders>
              <w:top w:val="single" w:sz="8" w:space="0" w:color="auto"/>
              <w:left w:val="single" w:sz="4" w:space="0" w:color="auto"/>
              <w:bottom w:val="single" w:sz="8" w:space="0" w:color="000000"/>
              <w:right w:val="single" w:sz="4" w:space="0" w:color="auto"/>
            </w:tcBorders>
            <w:vAlign w:val="center"/>
          </w:tcPr>
          <w:p w14:paraId="6BEECBC7" w14:textId="77777777" w:rsidR="005400D8" w:rsidRPr="00A014FD" w:rsidRDefault="005400D8" w:rsidP="00704B82">
            <w:pPr>
              <w:spacing w:after="200" w:line="276" w:lineRule="auto"/>
              <w:jc w:val="left"/>
              <w:rPr>
                <w:rFonts w:eastAsia="等线"/>
                <w:sz w:val="20"/>
                <w:szCs w:val="20"/>
              </w:rPr>
            </w:pPr>
          </w:p>
        </w:tc>
        <w:tc>
          <w:tcPr>
            <w:tcW w:w="398" w:type="pct"/>
            <w:vMerge w:val="restart"/>
            <w:tcBorders>
              <w:top w:val="nil"/>
              <w:left w:val="single" w:sz="4" w:space="0" w:color="auto"/>
              <w:bottom w:val="single" w:sz="8" w:space="0" w:color="000000"/>
              <w:right w:val="single" w:sz="8" w:space="0" w:color="auto"/>
            </w:tcBorders>
            <w:shd w:val="clear" w:color="auto" w:fill="auto"/>
            <w:tcMar>
              <w:top w:w="15" w:type="dxa"/>
              <w:left w:w="15" w:type="dxa"/>
              <w:bottom w:w="0" w:type="dxa"/>
              <w:right w:w="15" w:type="dxa"/>
            </w:tcMar>
            <w:textDirection w:val="tbRl"/>
            <w:vAlign w:val="center"/>
          </w:tcPr>
          <w:p w14:paraId="430C7193" w14:textId="77777777" w:rsidR="005400D8" w:rsidRPr="00A014FD" w:rsidRDefault="005400D8" w:rsidP="00704B82">
            <w:pPr>
              <w:spacing w:after="200" w:line="276" w:lineRule="auto"/>
              <w:ind w:left="113" w:right="113"/>
              <w:jc w:val="center"/>
              <w:rPr>
                <w:rFonts w:eastAsia="等线"/>
                <w:sz w:val="20"/>
                <w:szCs w:val="20"/>
              </w:rPr>
            </w:pPr>
            <w:r w:rsidRPr="00A014FD">
              <w:rPr>
                <w:rFonts w:eastAsia="等线"/>
                <w:sz w:val="20"/>
                <w:szCs w:val="20"/>
              </w:rPr>
              <w:t>Site-specific</w:t>
            </w:r>
          </w:p>
        </w:tc>
        <w:tc>
          <w:tcPr>
            <w:tcW w:w="282"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textDirection w:val="tbRl"/>
            <w:vAlign w:val="center"/>
          </w:tcPr>
          <w:p w14:paraId="4F6DFDFA" w14:textId="77777777" w:rsidR="005400D8" w:rsidRPr="00A014FD" w:rsidRDefault="005400D8" w:rsidP="00704B82">
            <w:pPr>
              <w:spacing w:after="200" w:line="276" w:lineRule="auto"/>
              <w:ind w:left="113" w:right="113"/>
              <w:jc w:val="center"/>
              <w:rPr>
                <w:rFonts w:eastAsia="等线"/>
                <w:sz w:val="20"/>
                <w:szCs w:val="20"/>
              </w:rPr>
            </w:pPr>
            <w:r w:rsidRPr="00A014FD">
              <w:rPr>
                <w:rFonts w:eastAsia="等线"/>
                <w:sz w:val="20"/>
                <w:szCs w:val="20"/>
              </w:rPr>
              <w:t>Town-wide</w:t>
            </w:r>
          </w:p>
        </w:tc>
        <w:tc>
          <w:tcPr>
            <w:tcW w:w="282"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textDirection w:val="tbRl"/>
            <w:vAlign w:val="center"/>
          </w:tcPr>
          <w:p w14:paraId="49B53709" w14:textId="77777777" w:rsidR="005400D8" w:rsidRPr="00A014FD" w:rsidRDefault="005400D8" w:rsidP="00704B82">
            <w:pPr>
              <w:spacing w:after="200" w:line="276" w:lineRule="auto"/>
              <w:ind w:left="113" w:right="113"/>
              <w:jc w:val="center"/>
              <w:rPr>
                <w:rFonts w:eastAsia="等线"/>
                <w:sz w:val="20"/>
                <w:szCs w:val="20"/>
              </w:rPr>
            </w:pPr>
            <w:r w:rsidRPr="00A014FD">
              <w:rPr>
                <w:rFonts w:eastAsia="等线"/>
                <w:sz w:val="20"/>
                <w:szCs w:val="20"/>
              </w:rPr>
              <w:t>Neighbourhood</w:t>
            </w:r>
          </w:p>
        </w:tc>
        <w:tc>
          <w:tcPr>
            <w:tcW w:w="282"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textDirection w:val="tbRl"/>
            <w:vAlign w:val="center"/>
          </w:tcPr>
          <w:p w14:paraId="480D3E98" w14:textId="77777777" w:rsidR="005400D8" w:rsidRPr="00A014FD" w:rsidRDefault="005400D8" w:rsidP="00704B82">
            <w:pPr>
              <w:spacing w:after="200" w:line="276" w:lineRule="auto"/>
              <w:ind w:left="113" w:right="113"/>
              <w:jc w:val="center"/>
              <w:rPr>
                <w:rFonts w:eastAsia="等线"/>
                <w:sz w:val="20"/>
                <w:szCs w:val="20"/>
              </w:rPr>
            </w:pPr>
            <w:r w:rsidRPr="00A014FD">
              <w:rPr>
                <w:rFonts w:eastAsia="等线"/>
                <w:sz w:val="20"/>
                <w:szCs w:val="20"/>
              </w:rPr>
              <w:t>Fuel</w:t>
            </w:r>
          </w:p>
        </w:tc>
        <w:tc>
          <w:tcPr>
            <w:tcW w:w="390"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textDirection w:val="tbRl"/>
            <w:vAlign w:val="center"/>
          </w:tcPr>
          <w:p w14:paraId="3F271D64" w14:textId="77777777" w:rsidR="005400D8" w:rsidRPr="00A014FD" w:rsidRDefault="005400D8" w:rsidP="00704B82">
            <w:pPr>
              <w:spacing w:after="200" w:line="276" w:lineRule="auto"/>
              <w:ind w:left="113" w:right="113"/>
              <w:jc w:val="center"/>
              <w:rPr>
                <w:rFonts w:eastAsia="等线"/>
                <w:sz w:val="20"/>
                <w:szCs w:val="20"/>
              </w:rPr>
            </w:pPr>
            <w:r w:rsidRPr="00A014FD">
              <w:rPr>
                <w:rFonts w:eastAsia="等线"/>
                <w:sz w:val="20"/>
                <w:szCs w:val="20"/>
              </w:rPr>
              <w:t>Emission</w:t>
            </w:r>
          </w:p>
        </w:tc>
        <w:tc>
          <w:tcPr>
            <w:tcW w:w="286"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textDirection w:val="tbRl"/>
            <w:vAlign w:val="center"/>
          </w:tcPr>
          <w:p w14:paraId="5A9F6CCE" w14:textId="77777777" w:rsidR="005400D8" w:rsidRPr="00A014FD" w:rsidRDefault="005400D8" w:rsidP="00704B82">
            <w:pPr>
              <w:spacing w:after="200" w:line="276" w:lineRule="auto"/>
              <w:ind w:left="113" w:right="113"/>
              <w:jc w:val="center"/>
              <w:rPr>
                <w:rFonts w:eastAsia="等线"/>
                <w:sz w:val="20"/>
                <w:szCs w:val="20"/>
              </w:rPr>
            </w:pPr>
            <w:r w:rsidRPr="00A014FD">
              <w:rPr>
                <w:rFonts w:eastAsia="等线"/>
                <w:sz w:val="20"/>
                <w:szCs w:val="20"/>
              </w:rPr>
              <w:t>Logistics time</w:t>
            </w:r>
          </w:p>
        </w:tc>
        <w:tc>
          <w:tcPr>
            <w:tcW w:w="395"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textDirection w:val="tbRl"/>
            <w:vAlign w:val="center"/>
          </w:tcPr>
          <w:p w14:paraId="311DEEC2" w14:textId="77777777" w:rsidR="005400D8" w:rsidRPr="00A014FD" w:rsidRDefault="005400D8" w:rsidP="00704B82">
            <w:pPr>
              <w:spacing w:after="200" w:line="276" w:lineRule="auto"/>
              <w:ind w:left="113" w:right="113"/>
              <w:jc w:val="center"/>
              <w:rPr>
                <w:rFonts w:eastAsia="等线"/>
                <w:sz w:val="20"/>
                <w:szCs w:val="20"/>
              </w:rPr>
            </w:pPr>
            <w:r w:rsidRPr="00A014FD">
              <w:rPr>
                <w:rFonts w:eastAsia="等线"/>
                <w:sz w:val="20"/>
                <w:szCs w:val="20"/>
              </w:rPr>
              <w:t>Vehicle numbers</w:t>
            </w:r>
          </w:p>
        </w:tc>
        <w:tc>
          <w:tcPr>
            <w:tcW w:w="313"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textDirection w:val="tbRl"/>
            <w:vAlign w:val="center"/>
          </w:tcPr>
          <w:p w14:paraId="645D4CBC" w14:textId="77777777" w:rsidR="005400D8" w:rsidRPr="00A014FD" w:rsidRDefault="005400D8" w:rsidP="00704B82">
            <w:pPr>
              <w:spacing w:after="200" w:line="276" w:lineRule="auto"/>
              <w:ind w:left="113" w:right="113"/>
              <w:jc w:val="center"/>
              <w:rPr>
                <w:rFonts w:eastAsia="等线"/>
                <w:sz w:val="20"/>
                <w:szCs w:val="20"/>
              </w:rPr>
            </w:pPr>
            <w:r w:rsidRPr="00A014FD">
              <w:rPr>
                <w:rFonts w:eastAsia="等线"/>
                <w:sz w:val="20"/>
                <w:szCs w:val="20"/>
              </w:rPr>
              <w:t>Efficiency</w:t>
            </w:r>
          </w:p>
        </w:tc>
        <w:tc>
          <w:tcPr>
            <w:tcW w:w="314"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textDirection w:val="tbRl"/>
            <w:vAlign w:val="center"/>
          </w:tcPr>
          <w:p w14:paraId="6A55B457" w14:textId="77777777" w:rsidR="005400D8" w:rsidRPr="00A014FD" w:rsidRDefault="005400D8" w:rsidP="00704B82">
            <w:pPr>
              <w:spacing w:after="200" w:line="276" w:lineRule="auto"/>
              <w:ind w:left="113" w:right="113"/>
              <w:jc w:val="center"/>
              <w:rPr>
                <w:rFonts w:eastAsia="等线"/>
                <w:sz w:val="20"/>
                <w:szCs w:val="20"/>
              </w:rPr>
            </w:pPr>
            <w:r w:rsidRPr="00A014FD">
              <w:rPr>
                <w:rFonts w:eastAsia="等线"/>
                <w:sz w:val="20"/>
                <w:szCs w:val="20"/>
              </w:rPr>
              <w:t>Trips</w:t>
            </w:r>
          </w:p>
        </w:tc>
        <w:tc>
          <w:tcPr>
            <w:tcW w:w="396"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textDirection w:val="tbRl"/>
            <w:vAlign w:val="center"/>
          </w:tcPr>
          <w:p w14:paraId="74F46AF5" w14:textId="77777777" w:rsidR="005400D8" w:rsidRPr="00A014FD" w:rsidRDefault="005400D8" w:rsidP="00704B82">
            <w:pPr>
              <w:spacing w:after="200" w:line="276" w:lineRule="auto"/>
              <w:ind w:left="113" w:right="113"/>
              <w:jc w:val="center"/>
              <w:rPr>
                <w:rFonts w:eastAsia="等线"/>
                <w:sz w:val="20"/>
                <w:szCs w:val="20"/>
              </w:rPr>
            </w:pPr>
            <w:r w:rsidRPr="00A014FD">
              <w:rPr>
                <w:rFonts w:eastAsia="等线"/>
                <w:sz w:val="20"/>
                <w:szCs w:val="20"/>
              </w:rPr>
              <w:t>Business volume</w:t>
            </w:r>
          </w:p>
        </w:tc>
        <w:tc>
          <w:tcPr>
            <w:tcW w:w="302"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textDirection w:val="tbRl"/>
            <w:vAlign w:val="center"/>
          </w:tcPr>
          <w:p w14:paraId="5FB834C9" w14:textId="77777777" w:rsidR="005400D8" w:rsidRPr="00A014FD" w:rsidRDefault="005400D8" w:rsidP="00704B82">
            <w:pPr>
              <w:spacing w:after="200" w:line="276" w:lineRule="auto"/>
              <w:ind w:left="113" w:right="113"/>
              <w:jc w:val="center"/>
              <w:rPr>
                <w:rFonts w:eastAsia="等线"/>
                <w:sz w:val="20"/>
                <w:szCs w:val="20"/>
              </w:rPr>
            </w:pPr>
            <w:r w:rsidRPr="00A014FD">
              <w:rPr>
                <w:rFonts w:eastAsia="等线"/>
                <w:sz w:val="20"/>
                <w:szCs w:val="20"/>
              </w:rPr>
              <w:t>Congestion</w:t>
            </w:r>
          </w:p>
        </w:tc>
        <w:tc>
          <w:tcPr>
            <w:tcW w:w="557" w:type="pct"/>
            <w:vMerge/>
            <w:tcBorders>
              <w:top w:val="single" w:sz="8" w:space="0" w:color="auto"/>
              <w:left w:val="single" w:sz="8" w:space="0" w:color="auto"/>
              <w:bottom w:val="single" w:sz="8" w:space="0" w:color="000000"/>
              <w:right w:val="single" w:sz="8" w:space="0" w:color="auto"/>
            </w:tcBorders>
            <w:vAlign w:val="center"/>
          </w:tcPr>
          <w:p w14:paraId="38CDDF8F" w14:textId="77777777" w:rsidR="005400D8" w:rsidRPr="00A014FD" w:rsidRDefault="005400D8" w:rsidP="00704B82">
            <w:pPr>
              <w:spacing w:after="200" w:line="276" w:lineRule="auto"/>
              <w:jc w:val="left"/>
              <w:rPr>
                <w:rFonts w:eastAsia="等线"/>
                <w:sz w:val="20"/>
                <w:szCs w:val="20"/>
              </w:rPr>
            </w:pPr>
          </w:p>
        </w:tc>
      </w:tr>
      <w:tr w:rsidR="005400D8" w:rsidRPr="00A014FD" w14:paraId="03D6B37B" w14:textId="77777777" w:rsidTr="00704B82">
        <w:trPr>
          <w:trHeight w:val="946"/>
          <w:jc w:val="center"/>
        </w:trPr>
        <w:tc>
          <w:tcPr>
            <w:tcW w:w="803" w:type="pct"/>
            <w:vMerge/>
            <w:tcBorders>
              <w:top w:val="single" w:sz="8" w:space="0" w:color="auto"/>
              <w:left w:val="single" w:sz="4" w:space="0" w:color="auto"/>
              <w:bottom w:val="single" w:sz="8" w:space="0" w:color="000000"/>
              <w:right w:val="single" w:sz="4" w:space="0" w:color="auto"/>
            </w:tcBorders>
            <w:vAlign w:val="center"/>
          </w:tcPr>
          <w:p w14:paraId="019045AD" w14:textId="77777777" w:rsidR="005400D8" w:rsidRPr="00A014FD" w:rsidRDefault="005400D8" w:rsidP="00704B82">
            <w:pPr>
              <w:spacing w:after="200" w:line="276" w:lineRule="auto"/>
              <w:jc w:val="left"/>
              <w:rPr>
                <w:rFonts w:eastAsia="等线"/>
                <w:sz w:val="20"/>
                <w:szCs w:val="20"/>
              </w:rPr>
            </w:pPr>
          </w:p>
        </w:tc>
        <w:tc>
          <w:tcPr>
            <w:tcW w:w="398" w:type="pct"/>
            <w:vMerge/>
            <w:tcBorders>
              <w:top w:val="nil"/>
              <w:left w:val="single" w:sz="4" w:space="0" w:color="auto"/>
              <w:bottom w:val="single" w:sz="8" w:space="0" w:color="000000"/>
              <w:right w:val="single" w:sz="8" w:space="0" w:color="auto"/>
            </w:tcBorders>
            <w:vAlign w:val="center"/>
          </w:tcPr>
          <w:p w14:paraId="16CDB333" w14:textId="77777777" w:rsidR="005400D8" w:rsidRPr="00A014FD" w:rsidRDefault="005400D8" w:rsidP="00704B82">
            <w:pPr>
              <w:spacing w:after="200" w:line="276" w:lineRule="auto"/>
              <w:jc w:val="left"/>
              <w:rPr>
                <w:rFonts w:eastAsia="等线"/>
                <w:sz w:val="20"/>
                <w:szCs w:val="20"/>
              </w:rPr>
            </w:pPr>
          </w:p>
        </w:tc>
        <w:tc>
          <w:tcPr>
            <w:tcW w:w="282" w:type="pct"/>
            <w:vMerge/>
            <w:tcBorders>
              <w:top w:val="nil"/>
              <w:left w:val="single" w:sz="8" w:space="0" w:color="auto"/>
              <w:bottom w:val="single" w:sz="8" w:space="0" w:color="000000"/>
              <w:right w:val="single" w:sz="8" w:space="0" w:color="auto"/>
            </w:tcBorders>
            <w:vAlign w:val="center"/>
          </w:tcPr>
          <w:p w14:paraId="6C606B97" w14:textId="77777777" w:rsidR="005400D8" w:rsidRPr="00A014FD" w:rsidRDefault="005400D8" w:rsidP="00704B82">
            <w:pPr>
              <w:spacing w:after="200" w:line="276" w:lineRule="auto"/>
              <w:jc w:val="left"/>
              <w:rPr>
                <w:rFonts w:eastAsia="等线"/>
                <w:sz w:val="20"/>
                <w:szCs w:val="20"/>
              </w:rPr>
            </w:pPr>
          </w:p>
        </w:tc>
        <w:tc>
          <w:tcPr>
            <w:tcW w:w="282" w:type="pct"/>
            <w:vMerge/>
            <w:tcBorders>
              <w:top w:val="nil"/>
              <w:left w:val="single" w:sz="8" w:space="0" w:color="auto"/>
              <w:bottom w:val="single" w:sz="8" w:space="0" w:color="000000"/>
              <w:right w:val="single" w:sz="8" w:space="0" w:color="auto"/>
            </w:tcBorders>
            <w:vAlign w:val="center"/>
          </w:tcPr>
          <w:p w14:paraId="4A0C70CF" w14:textId="77777777" w:rsidR="005400D8" w:rsidRPr="00A014FD" w:rsidRDefault="005400D8" w:rsidP="00704B82">
            <w:pPr>
              <w:spacing w:after="200" w:line="276" w:lineRule="auto"/>
              <w:jc w:val="left"/>
              <w:rPr>
                <w:rFonts w:eastAsia="等线"/>
                <w:sz w:val="20"/>
                <w:szCs w:val="20"/>
              </w:rPr>
            </w:pPr>
          </w:p>
        </w:tc>
        <w:tc>
          <w:tcPr>
            <w:tcW w:w="282" w:type="pct"/>
            <w:vMerge/>
            <w:tcBorders>
              <w:top w:val="nil"/>
              <w:left w:val="single" w:sz="8" w:space="0" w:color="auto"/>
              <w:bottom w:val="single" w:sz="8" w:space="0" w:color="000000"/>
              <w:right w:val="single" w:sz="8" w:space="0" w:color="auto"/>
            </w:tcBorders>
            <w:vAlign w:val="center"/>
          </w:tcPr>
          <w:p w14:paraId="5A509B7A" w14:textId="77777777" w:rsidR="005400D8" w:rsidRPr="00A014FD" w:rsidRDefault="005400D8" w:rsidP="00704B82">
            <w:pPr>
              <w:spacing w:after="200" w:line="276" w:lineRule="auto"/>
              <w:jc w:val="left"/>
              <w:rPr>
                <w:rFonts w:eastAsia="等线"/>
                <w:sz w:val="20"/>
                <w:szCs w:val="20"/>
              </w:rPr>
            </w:pPr>
          </w:p>
        </w:tc>
        <w:tc>
          <w:tcPr>
            <w:tcW w:w="390" w:type="pct"/>
            <w:vMerge/>
            <w:tcBorders>
              <w:top w:val="nil"/>
              <w:left w:val="single" w:sz="8" w:space="0" w:color="auto"/>
              <w:bottom w:val="single" w:sz="8" w:space="0" w:color="000000"/>
              <w:right w:val="single" w:sz="8" w:space="0" w:color="auto"/>
            </w:tcBorders>
            <w:vAlign w:val="center"/>
          </w:tcPr>
          <w:p w14:paraId="61696ED6" w14:textId="77777777" w:rsidR="005400D8" w:rsidRPr="00A014FD" w:rsidRDefault="005400D8" w:rsidP="00704B82">
            <w:pPr>
              <w:spacing w:after="200" w:line="276" w:lineRule="auto"/>
              <w:jc w:val="left"/>
              <w:rPr>
                <w:rFonts w:eastAsia="等线"/>
                <w:sz w:val="20"/>
                <w:szCs w:val="20"/>
              </w:rPr>
            </w:pPr>
          </w:p>
        </w:tc>
        <w:tc>
          <w:tcPr>
            <w:tcW w:w="286" w:type="pct"/>
            <w:vMerge/>
            <w:tcBorders>
              <w:top w:val="nil"/>
              <w:left w:val="single" w:sz="8" w:space="0" w:color="auto"/>
              <w:bottom w:val="single" w:sz="8" w:space="0" w:color="000000"/>
              <w:right w:val="single" w:sz="8" w:space="0" w:color="auto"/>
            </w:tcBorders>
            <w:vAlign w:val="center"/>
          </w:tcPr>
          <w:p w14:paraId="24CDE794" w14:textId="77777777" w:rsidR="005400D8" w:rsidRPr="00A014FD" w:rsidRDefault="005400D8" w:rsidP="00704B82">
            <w:pPr>
              <w:spacing w:after="200" w:line="276" w:lineRule="auto"/>
              <w:jc w:val="left"/>
              <w:rPr>
                <w:rFonts w:eastAsia="等线"/>
                <w:sz w:val="20"/>
                <w:szCs w:val="20"/>
              </w:rPr>
            </w:pPr>
          </w:p>
        </w:tc>
        <w:tc>
          <w:tcPr>
            <w:tcW w:w="395" w:type="pct"/>
            <w:vMerge/>
            <w:tcBorders>
              <w:top w:val="nil"/>
              <w:left w:val="single" w:sz="8" w:space="0" w:color="auto"/>
              <w:bottom w:val="single" w:sz="8" w:space="0" w:color="000000"/>
              <w:right w:val="single" w:sz="8" w:space="0" w:color="auto"/>
            </w:tcBorders>
            <w:vAlign w:val="center"/>
          </w:tcPr>
          <w:p w14:paraId="0A39D875" w14:textId="77777777" w:rsidR="005400D8" w:rsidRPr="00A014FD" w:rsidRDefault="005400D8" w:rsidP="00704B82">
            <w:pPr>
              <w:spacing w:after="200" w:line="276" w:lineRule="auto"/>
              <w:jc w:val="left"/>
              <w:rPr>
                <w:rFonts w:eastAsia="等线"/>
                <w:sz w:val="20"/>
                <w:szCs w:val="20"/>
              </w:rPr>
            </w:pPr>
          </w:p>
        </w:tc>
        <w:tc>
          <w:tcPr>
            <w:tcW w:w="313" w:type="pct"/>
            <w:vMerge/>
            <w:tcBorders>
              <w:top w:val="nil"/>
              <w:left w:val="single" w:sz="8" w:space="0" w:color="auto"/>
              <w:bottom w:val="single" w:sz="8" w:space="0" w:color="000000"/>
              <w:right w:val="single" w:sz="8" w:space="0" w:color="auto"/>
            </w:tcBorders>
            <w:vAlign w:val="center"/>
          </w:tcPr>
          <w:p w14:paraId="6831C31D" w14:textId="77777777" w:rsidR="005400D8" w:rsidRPr="00A014FD" w:rsidRDefault="005400D8" w:rsidP="00704B82">
            <w:pPr>
              <w:spacing w:after="200" w:line="276" w:lineRule="auto"/>
              <w:jc w:val="left"/>
              <w:rPr>
                <w:rFonts w:eastAsia="等线"/>
                <w:sz w:val="20"/>
                <w:szCs w:val="20"/>
              </w:rPr>
            </w:pPr>
          </w:p>
        </w:tc>
        <w:tc>
          <w:tcPr>
            <w:tcW w:w="314" w:type="pct"/>
            <w:vMerge/>
            <w:tcBorders>
              <w:top w:val="nil"/>
              <w:left w:val="single" w:sz="8" w:space="0" w:color="auto"/>
              <w:bottom w:val="single" w:sz="8" w:space="0" w:color="000000"/>
              <w:right w:val="single" w:sz="8" w:space="0" w:color="auto"/>
            </w:tcBorders>
            <w:vAlign w:val="center"/>
          </w:tcPr>
          <w:p w14:paraId="58171BBB" w14:textId="77777777" w:rsidR="005400D8" w:rsidRPr="00A014FD" w:rsidRDefault="005400D8" w:rsidP="00704B82">
            <w:pPr>
              <w:spacing w:after="200" w:line="276" w:lineRule="auto"/>
              <w:jc w:val="left"/>
              <w:rPr>
                <w:rFonts w:eastAsia="等线"/>
                <w:sz w:val="20"/>
                <w:szCs w:val="20"/>
              </w:rPr>
            </w:pPr>
          </w:p>
        </w:tc>
        <w:tc>
          <w:tcPr>
            <w:tcW w:w="396" w:type="pct"/>
            <w:vMerge/>
            <w:tcBorders>
              <w:top w:val="nil"/>
              <w:left w:val="single" w:sz="8" w:space="0" w:color="auto"/>
              <w:bottom w:val="single" w:sz="8" w:space="0" w:color="000000"/>
              <w:right w:val="single" w:sz="8" w:space="0" w:color="auto"/>
            </w:tcBorders>
            <w:vAlign w:val="center"/>
          </w:tcPr>
          <w:p w14:paraId="098FB9DE" w14:textId="77777777" w:rsidR="005400D8" w:rsidRPr="00A014FD" w:rsidRDefault="005400D8" w:rsidP="00704B82">
            <w:pPr>
              <w:spacing w:after="200" w:line="276" w:lineRule="auto"/>
              <w:jc w:val="left"/>
              <w:rPr>
                <w:rFonts w:eastAsia="等线"/>
                <w:sz w:val="20"/>
                <w:szCs w:val="20"/>
              </w:rPr>
            </w:pPr>
          </w:p>
        </w:tc>
        <w:tc>
          <w:tcPr>
            <w:tcW w:w="302" w:type="pct"/>
            <w:vMerge/>
            <w:tcBorders>
              <w:top w:val="nil"/>
              <w:left w:val="single" w:sz="8" w:space="0" w:color="auto"/>
              <w:bottom w:val="single" w:sz="8" w:space="0" w:color="000000"/>
              <w:right w:val="single" w:sz="8" w:space="0" w:color="auto"/>
            </w:tcBorders>
            <w:vAlign w:val="center"/>
          </w:tcPr>
          <w:p w14:paraId="69DA2076" w14:textId="77777777" w:rsidR="005400D8" w:rsidRPr="00A014FD" w:rsidRDefault="005400D8" w:rsidP="00704B82">
            <w:pPr>
              <w:spacing w:after="200" w:line="276" w:lineRule="auto"/>
              <w:jc w:val="left"/>
              <w:rPr>
                <w:rFonts w:eastAsia="等线"/>
                <w:sz w:val="20"/>
                <w:szCs w:val="20"/>
              </w:rPr>
            </w:pPr>
          </w:p>
        </w:tc>
        <w:tc>
          <w:tcPr>
            <w:tcW w:w="557" w:type="pct"/>
            <w:vMerge/>
            <w:tcBorders>
              <w:top w:val="single" w:sz="8" w:space="0" w:color="auto"/>
              <w:left w:val="single" w:sz="8" w:space="0" w:color="auto"/>
              <w:bottom w:val="single" w:sz="8" w:space="0" w:color="000000"/>
              <w:right w:val="single" w:sz="8" w:space="0" w:color="auto"/>
            </w:tcBorders>
            <w:vAlign w:val="center"/>
          </w:tcPr>
          <w:p w14:paraId="701C2C26" w14:textId="77777777" w:rsidR="005400D8" w:rsidRPr="00A014FD" w:rsidRDefault="005400D8" w:rsidP="00704B82">
            <w:pPr>
              <w:spacing w:after="200" w:line="276" w:lineRule="auto"/>
              <w:jc w:val="left"/>
              <w:rPr>
                <w:rFonts w:eastAsia="等线"/>
                <w:sz w:val="20"/>
                <w:szCs w:val="20"/>
              </w:rPr>
            </w:pPr>
          </w:p>
        </w:tc>
      </w:tr>
      <w:tr w:rsidR="005400D8" w:rsidRPr="00A014FD" w14:paraId="7B41D3DB" w14:textId="77777777" w:rsidTr="00704B82">
        <w:trPr>
          <w:trHeight w:val="279"/>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5EB02AF5"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Graz</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276CD877"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5B91072"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7B89644"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F699906"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 </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112071CB"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24BA40E7"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858B4B0"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1E188474"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2D9E18AE"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25258A14"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2C2EE3F4"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DEBD472"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Positive</w:t>
            </w:r>
          </w:p>
        </w:tc>
      </w:tr>
      <w:tr w:rsidR="005400D8" w:rsidRPr="00A014FD" w14:paraId="2499FE18" w14:textId="77777777" w:rsidTr="00704B82">
        <w:trPr>
          <w:trHeight w:val="271"/>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27696C79" w14:textId="77777777" w:rsidR="005400D8" w:rsidRPr="00A014FD" w:rsidRDefault="005400D8" w:rsidP="00704B82">
            <w:pPr>
              <w:spacing w:after="200" w:line="240" w:lineRule="auto"/>
              <w:jc w:val="left"/>
              <w:rPr>
                <w:rFonts w:eastAsia="等线"/>
                <w:sz w:val="20"/>
                <w:szCs w:val="20"/>
              </w:rPr>
            </w:pPr>
            <w:proofErr w:type="spellStart"/>
            <w:r w:rsidRPr="00A014FD">
              <w:rPr>
                <w:rFonts w:eastAsia="等线"/>
                <w:sz w:val="20"/>
                <w:szCs w:val="20"/>
              </w:rPr>
              <w:t>Brussuel</w:t>
            </w:r>
            <w:proofErr w:type="spellEnd"/>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127337CD"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9305EC7"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FB0F80B"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328B296"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 </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B57F040"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7A86CDD"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23653B2B"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7D9BB523"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980FBB8"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4445B35C"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0FEB161"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5E7B1BB"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Negative</w:t>
            </w:r>
          </w:p>
        </w:tc>
      </w:tr>
      <w:tr w:rsidR="005400D8" w:rsidRPr="00A014FD" w14:paraId="654E174A"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42B5AA2C"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Paris I</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4E4E3073"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28A59D25"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48A6776"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CAFFD98"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 </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06A0A76F"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5C440080"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7D40AAA"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5CA9DF44"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7BE726CA"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DC81395"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2FA4333E"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94E8B98"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Negative</w:t>
            </w:r>
          </w:p>
        </w:tc>
      </w:tr>
      <w:tr w:rsidR="005400D8" w:rsidRPr="00A014FD" w14:paraId="189167CF"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7FE06040"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Paris II</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5DD96671"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83BEC2B"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2DE015C6"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8B012FE"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 </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5D54761"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42203B6A"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69942FEA"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74FF1F1D"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A598614"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779B8DB"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73B592AE"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7C91759"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Positive</w:t>
            </w:r>
          </w:p>
        </w:tc>
      </w:tr>
      <w:tr w:rsidR="005400D8" w:rsidRPr="00A014FD" w14:paraId="579F7187"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1D4825B3"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Dusseldorf</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73DB1206"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64F73C1"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21188B75"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5AAC0E6"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 </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42B716A4"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04EC5850"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7A04BA85"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227468C5"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66E40922"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53F46B3"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778829B3"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DB4AEB7"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Negative</w:t>
            </w:r>
          </w:p>
        </w:tc>
      </w:tr>
      <w:tr w:rsidR="005400D8" w:rsidRPr="00A014FD" w14:paraId="6ED0E391"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1AD33A16"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Cologne</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34682301" w14:textId="77777777" w:rsidR="005400D8" w:rsidRPr="00A014FD" w:rsidRDefault="005400D8" w:rsidP="00704B82">
            <w:pPr>
              <w:spacing w:after="200" w:line="240" w:lineRule="auto"/>
              <w:jc w:val="left"/>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A139C02"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D54A681"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384A264" w14:textId="77777777" w:rsidR="005400D8" w:rsidRPr="00A014FD" w:rsidRDefault="005400D8" w:rsidP="00704B82">
            <w:pPr>
              <w:spacing w:after="200" w:line="240" w:lineRule="auto"/>
              <w:jc w:val="center"/>
              <w:rPr>
                <w:rFonts w:eastAsia="等线"/>
                <w:sz w:val="20"/>
                <w:szCs w:val="20"/>
              </w:rPr>
            </w:pP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256B62A" w14:textId="77777777" w:rsidR="005400D8" w:rsidRPr="00A014FD" w:rsidRDefault="005400D8" w:rsidP="00704B82">
            <w:pPr>
              <w:spacing w:after="200" w:line="240" w:lineRule="auto"/>
              <w:jc w:val="center"/>
              <w:rPr>
                <w:rFonts w:eastAsia="等线"/>
                <w:sz w:val="20"/>
                <w:szCs w:val="20"/>
              </w:rPr>
            </w:pP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39728F2" w14:textId="77777777" w:rsidR="005400D8" w:rsidRPr="00A014FD" w:rsidRDefault="005400D8" w:rsidP="00704B82">
            <w:pPr>
              <w:spacing w:after="200" w:line="240" w:lineRule="auto"/>
              <w:jc w:val="center"/>
              <w:rPr>
                <w:rFonts w:eastAsia="等线"/>
                <w:sz w:val="20"/>
                <w:szCs w:val="20"/>
              </w:rPr>
            </w:pP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90AB4E4" w14:textId="77777777" w:rsidR="005400D8" w:rsidRPr="00A014FD" w:rsidRDefault="005400D8" w:rsidP="00704B82">
            <w:pPr>
              <w:spacing w:after="200" w:line="240" w:lineRule="auto"/>
              <w:jc w:val="center"/>
              <w:rPr>
                <w:rFonts w:eastAsia="等线"/>
                <w:sz w:val="20"/>
                <w:szCs w:val="20"/>
              </w:rPr>
            </w:pP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ACA6BAA" w14:textId="77777777" w:rsidR="005400D8" w:rsidRPr="00A014FD" w:rsidRDefault="005400D8" w:rsidP="00704B82">
            <w:pPr>
              <w:spacing w:after="200" w:line="240" w:lineRule="auto"/>
              <w:jc w:val="center"/>
              <w:rPr>
                <w:rFonts w:eastAsia="等线"/>
                <w:sz w:val="20"/>
                <w:szCs w:val="20"/>
              </w:rPr>
            </w:pP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2291349F" w14:textId="77777777" w:rsidR="005400D8" w:rsidRPr="00A014FD" w:rsidRDefault="005400D8" w:rsidP="00704B82">
            <w:pPr>
              <w:spacing w:after="200" w:line="240" w:lineRule="auto"/>
              <w:jc w:val="left"/>
              <w:rPr>
                <w:rFonts w:eastAsia="等线"/>
                <w:sz w:val="20"/>
                <w:szCs w:val="20"/>
              </w:rPr>
            </w:pP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79C85C3" w14:textId="77777777" w:rsidR="005400D8" w:rsidRPr="00A014FD" w:rsidRDefault="005400D8" w:rsidP="00704B82">
            <w:pPr>
              <w:spacing w:after="200" w:line="240" w:lineRule="auto"/>
              <w:jc w:val="left"/>
              <w:rPr>
                <w:rFonts w:eastAsia="等线"/>
                <w:sz w:val="20"/>
                <w:szCs w:val="20"/>
              </w:rPr>
            </w:pP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0AC4670E" w14:textId="77777777" w:rsidR="005400D8" w:rsidRPr="00A014FD" w:rsidRDefault="005400D8" w:rsidP="00704B82">
            <w:pPr>
              <w:spacing w:after="200" w:line="240" w:lineRule="auto"/>
              <w:jc w:val="left"/>
              <w:rPr>
                <w:rFonts w:eastAsia="等线"/>
                <w:sz w:val="20"/>
                <w:szCs w:val="20"/>
              </w:rPr>
            </w:pP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2BB23611" w14:textId="77777777" w:rsidR="005400D8" w:rsidRPr="00A014FD" w:rsidRDefault="005400D8" w:rsidP="00704B82">
            <w:pPr>
              <w:spacing w:after="200" w:line="240" w:lineRule="auto"/>
              <w:jc w:val="left"/>
              <w:rPr>
                <w:rFonts w:eastAsia="等线"/>
                <w:sz w:val="20"/>
                <w:szCs w:val="20"/>
              </w:rPr>
            </w:pPr>
          </w:p>
        </w:tc>
      </w:tr>
      <w:tr w:rsidR="005400D8" w:rsidRPr="00A014FD" w14:paraId="0B1BE4A2" w14:textId="77777777" w:rsidTr="00704B82">
        <w:trPr>
          <w:trHeight w:val="145"/>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5EB7371F"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Munich</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35CA8D6F"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6A0A7C1"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C505514"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0DCC26C"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01B811F"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A3584EF"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2239BCA3"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C067DB4"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4011169E"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6A9D7606"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5C5C116"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E8D3AF6"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Positive</w:t>
            </w:r>
          </w:p>
        </w:tc>
      </w:tr>
      <w:tr w:rsidR="005400D8" w:rsidRPr="00A014FD" w14:paraId="3464E37B"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481ED8AB"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Volkswagen</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626AEC57" w14:textId="77777777" w:rsidR="005400D8" w:rsidRPr="00A014FD" w:rsidRDefault="005400D8" w:rsidP="00704B82">
            <w:pPr>
              <w:spacing w:after="200" w:line="240" w:lineRule="auto"/>
              <w:jc w:val="left"/>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AF9A5BD"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6581F3A"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DB2A632" w14:textId="77777777" w:rsidR="005400D8" w:rsidRPr="00A014FD" w:rsidRDefault="005400D8" w:rsidP="00704B82">
            <w:pPr>
              <w:spacing w:after="200" w:line="240" w:lineRule="auto"/>
              <w:jc w:val="center"/>
              <w:rPr>
                <w:rFonts w:eastAsia="等线"/>
                <w:sz w:val="20"/>
                <w:szCs w:val="20"/>
              </w:rPr>
            </w:pP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99EB9DC" w14:textId="77777777" w:rsidR="005400D8" w:rsidRPr="00A014FD" w:rsidRDefault="005400D8" w:rsidP="00704B82">
            <w:pPr>
              <w:spacing w:after="200" w:line="240" w:lineRule="auto"/>
              <w:jc w:val="center"/>
              <w:rPr>
                <w:rFonts w:eastAsia="等线"/>
                <w:sz w:val="20"/>
                <w:szCs w:val="20"/>
              </w:rPr>
            </w:pP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94D03C4" w14:textId="77777777" w:rsidR="005400D8" w:rsidRPr="00A014FD" w:rsidRDefault="005400D8" w:rsidP="00704B82">
            <w:pPr>
              <w:spacing w:after="200" w:line="240" w:lineRule="auto"/>
              <w:jc w:val="center"/>
              <w:rPr>
                <w:rFonts w:eastAsia="等线"/>
                <w:sz w:val="20"/>
                <w:szCs w:val="20"/>
              </w:rPr>
            </w:pP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A963DAF" w14:textId="77777777" w:rsidR="005400D8" w:rsidRPr="00A014FD" w:rsidRDefault="005400D8" w:rsidP="00704B82">
            <w:pPr>
              <w:spacing w:after="200" w:line="240" w:lineRule="auto"/>
              <w:jc w:val="center"/>
              <w:rPr>
                <w:rFonts w:eastAsia="等线"/>
                <w:sz w:val="20"/>
                <w:szCs w:val="20"/>
              </w:rPr>
            </w:pP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0C9475A" w14:textId="77777777" w:rsidR="005400D8" w:rsidRPr="00A014FD" w:rsidRDefault="005400D8" w:rsidP="00704B82">
            <w:pPr>
              <w:spacing w:after="200" w:line="240" w:lineRule="auto"/>
              <w:jc w:val="center"/>
              <w:rPr>
                <w:rFonts w:eastAsia="等线"/>
                <w:sz w:val="20"/>
                <w:szCs w:val="20"/>
              </w:rPr>
            </w:pP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54C32D4C" w14:textId="77777777" w:rsidR="005400D8" w:rsidRPr="00A014FD" w:rsidRDefault="005400D8" w:rsidP="00704B82">
            <w:pPr>
              <w:spacing w:after="200" w:line="240" w:lineRule="auto"/>
              <w:jc w:val="left"/>
              <w:rPr>
                <w:rFonts w:eastAsia="等线"/>
                <w:sz w:val="20"/>
                <w:szCs w:val="20"/>
              </w:rPr>
            </w:pP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5EADA223" w14:textId="77777777" w:rsidR="005400D8" w:rsidRPr="00A014FD" w:rsidRDefault="005400D8" w:rsidP="00704B82">
            <w:pPr>
              <w:spacing w:after="200" w:line="240" w:lineRule="auto"/>
              <w:jc w:val="left"/>
              <w:rPr>
                <w:rFonts w:eastAsia="等线"/>
                <w:sz w:val="20"/>
                <w:szCs w:val="20"/>
              </w:rPr>
            </w:pP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4631F746" w14:textId="77777777" w:rsidR="005400D8" w:rsidRPr="00A014FD" w:rsidRDefault="005400D8" w:rsidP="00704B82">
            <w:pPr>
              <w:spacing w:after="200" w:line="240" w:lineRule="auto"/>
              <w:jc w:val="left"/>
              <w:rPr>
                <w:rFonts w:eastAsia="等线"/>
                <w:sz w:val="20"/>
                <w:szCs w:val="20"/>
              </w:rPr>
            </w:pP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5E81B1D" w14:textId="77777777" w:rsidR="005400D8" w:rsidRPr="00A014FD" w:rsidRDefault="005400D8" w:rsidP="00704B82">
            <w:pPr>
              <w:spacing w:after="200" w:line="240" w:lineRule="auto"/>
              <w:jc w:val="left"/>
              <w:rPr>
                <w:rFonts w:eastAsia="等线"/>
                <w:sz w:val="20"/>
                <w:szCs w:val="20"/>
              </w:rPr>
            </w:pPr>
          </w:p>
        </w:tc>
      </w:tr>
      <w:tr w:rsidR="005400D8" w:rsidRPr="00A014FD" w14:paraId="485F26F0"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1D77A526"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Genoa</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120776E1"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3684192"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1A861D9"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3BE7337"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 </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C56ACFE"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643765F6"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C4F7877"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4FCD4EDD"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125741C4"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882A8A3"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078C440B"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2B1B10C5"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Positive</w:t>
            </w:r>
          </w:p>
        </w:tc>
      </w:tr>
      <w:tr w:rsidR="005400D8" w:rsidRPr="00A014FD" w14:paraId="3BBEEC9A"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0565A912"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Padova</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2813CFE3"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B1B01B9"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61DC9E8"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FD7AFDB"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0825806"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6377B492"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2572F71"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5C3B2D4"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1FB05260"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A54F1CF"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7CD703C"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F578610"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Positive</w:t>
            </w:r>
          </w:p>
        </w:tc>
      </w:tr>
      <w:tr w:rsidR="005400D8" w:rsidRPr="00A014FD" w14:paraId="31B51AF1"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2687B327"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Vicenza</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3EF0A587"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10AF506"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C66BDE0"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C8EF3EB"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3306B64"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2394C02F"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1C9D916F"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3E1184D"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4D6E3F07"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974CF74"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1475BCD"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99985F7"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Positive</w:t>
            </w:r>
          </w:p>
        </w:tc>
      </w:tr>
      <w:tr w:rsidR="005400D8" w:rsidRPr="00A014FD" w14:paraId="56ECE92A"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0BD74A99"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Lucca</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5D558827" w14:textId="77777777" w:rsidR="005400D8" w:rsidRPr="00A014FD" w:rsidRDefault="005400D8" w:rsidP="00704B82">
            <w:pPr>
              <w:spacing w:after="200" w:line="240" w:lineRule="auto"/>
              <w:jc w:val="left"/>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5551F54"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D9FA738"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0DED0AF" w14:textId="77777777" w:rsidR="005400D8" w:rsidRPr="00A014FD" w:rsidRDefault="005400D8" w:rsidP="00704B82">
            <w:pPr>
              <w:spacing w:after="200" w:line="240" w:lineRule="auto"/>
              <w:jc w:val="center"/>
              <w:rPr>
                <w:rFonts w:eastAsia="等线"/>
                <w:sz w:val="20"/>
                <w:szCs w:val="20"/>
              </w:rPr>
            </w:pP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EF88C09" w14:textId="77777777" w:rsidR="005400D8" w:rsidRPr="00A014FD" w:rsidRDefault="005400D8" w:rsidP="00704B82">
            <w:pPr>
              <w:spacing w:after="200" w:line="240" w:lineRule="auto"/>
              <w:jc w:val="center"/>
              <w:rPr>
                <w:rFonts w:eastAsia="等线"/>
                <w:sz w:val="20"/>
                <w:szCs w:val="20"/>
              </w:rPr>
            </w:pP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0211388" w14:textId="77777777" w:rsidR="005400D8" w:rsidRPr="00A014FD" w:rsidRDefault="005400D8" w:rsidP="00704B82">
            <w:pPr>
              <w:spacing w:after="200" w:line="240" w:lineRule="auto"/>
              <w:jc w:val="left"/>
              <w:rPr>
                <w:rFonts w:eastAsia="等线"/>
                <w:sz w:val="20"/>
                <w:szCs w:val="20"/>
              </w:rPr>
            </w:pP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7FF70F36" w14:textId="77777777" w:rsidR="005400D8" w:rsidRPr="00A014FD" w:rsidRDefault="005400D8" w:rsidP="00704B82">
            <w:pPr>
              <w:spacing w:after="200" w:line="240" w:lineRule="auto"/>
              <w:jc w:val="left"/>
              <w:rPr>
                <w:rFonts w:eastAsia="等线"/>
                <w:sz w:val="20"/>
                <w:szCs w:val="20"/>
              </w:rPr>
            </w:pP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40F7D68" w14:textId="77777777" w:rsidR="005400D8" w:rsidRPr="00A014FD" w:rsidRDefault="005400D8" w:rsidP="00704B82">
            <w:pPr>
              <w:spacing w:after="200" w:line="240" w:lineRule="auto"/>
              <w:jc w:val="center"/>
              <w:rPr>
                <w:rFonts w:eastAsia="等线"/>
                <w:sz w:val="20"/>
                <w:szCs w:val="20"/>
              </w:rPr>
            </w:pP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214AE31D" w14:textId="77777777" w:rsidR="005400D8" w:rsidRPr="00A014FD" w:rsidRDefault="005400D8" w:rsidP="00704B82">
            <w:pPr>
              <w:spacing w:after="200" w:line="240" w:lineRule="auto"/>
              <w:jc w:val="left"/>
              <w:rPr>
                <w:rFonts w:eastAsia="等线"/>
                <w:sz w:val="20"/>
                <w:szCs w:val="20"/>
              </w:rPr>
            </w:pP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0F78B54" w14:textId="77777777" w:rsidR="005400D8" w:rsidRPr="00A014FD" w:rsidRDefault="005400D8" w:rsidP="00704B82">
            <w:pPr>
              <w:spacing w:after="200" w:line="240" w:lineRule="auto"/>
              <w:jc w:val="center"/>
              <w:rPr>
                <w:rFonts w:eastAsia="等线"/>
                <w:sz w:val="20"/>
                <w:szCs w:val="20"/>
              </w:rPr>
            </w:pP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43A8ED68" w14:textId="77777777" w:rsidR="005400D8" w:rsidRPr="00A014FD" w:rsidRDefault="005400D8" w:rsidP="00704B82">
            <w:pPr>
              <w:spacing w:after="200" w:line="240" w:lineRule="auto"/>
              <w:jc w:val="left"/>
              <w:rPr>
                <w:rFonts w:eastAsia="等线"/>
                <w:sz w:val="20"/>
                <w:szCs w:val="20"/>
              </w:rPr>
            </w:pP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2A88B18" w14:textId="77777777" w:rsidR="005400D8" w:rsidRPr="00A014FD" w:rsidRDefault="005400D8" w:rsidP="00704B82">
            <w:pPr>
              <w:spacing w:after="200" w:line="240" w:lineRule="auto"/>
              <w:jc w:val="left"/>
              <w:rPr>
                <w:rFonts w:eastAsia="等线"/>
                <w:sz w:val="20"/>
                <w:szCs w:val="20"/>
              </w:rPr>
            </w:pPr>
          </w:p>
        </w:tc>
      </w:tr>
      <w:tr w:rsidR="005400D8" w:rsidRPr="00A014FD" w14:paraId="48FEEE84"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59B9DB1B"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Tokyo</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4A177566"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0FF94B0"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7F7D41D"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299154DF"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771C960"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34743F6"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0071747"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7B14A946"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62AEE241"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A2AD351"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7F9C65C"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43B7B89"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Positive</w:t>
            </w:r>
          </w:p>
        </w:tc>
      </w:tr>
      <w:tr w:rsidR="005400D8" w:rsidRPr="00A014FD" w14:paraId="5AFB6067"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77111D2F"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Osaka</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vAlign w:val="center"/>
          </w:tcPr>
          <w:p w14:paraId="66998F1B"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2C13E28A"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1E698E9"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684CEC7"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 </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FFD819C"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B6204ED"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7A63EE55"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6BB24FE"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48716B1"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D7E45CA"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04826C8"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B049CAC"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Positive</w:t>
            </w:r>
          </w:p>
        </w:tc>
      </w:tr>
      <w:tr w:rsidR="005400D8" w:rsidRPr="00A014FD" w14:paraId="2A082253"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78AE3B29"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Arnhem</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4F209BBD"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10387A4"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F775A38"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0CD06A9"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4856605"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6CA7CBD8"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7C440B3C"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5970010B"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8E4F3C4"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26867D7"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A648171"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CC699D4"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Positive</w:t>
            </w:r>
          </w:p>
        </w:tc>
      </w:tr>
      <w:tr w:rsidR="005400D8" w:rsidRPr="00A014FD" w14:paraId="42B9ED33"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1519887F"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Hague</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0F962869"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E99076F"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FBEE526"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969A2A4"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 </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6491647D"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8C8F371"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02FFC56"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1BF03142"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689E656D"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1FA5E622"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A7A7088"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63BE481"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Positive</w:t>
            </w:r>
          </w:p>
        </w:tc>
      </w:tr>
      <w:tr w:rsidR="005400D8" w:rsidRPr="00A014FD" w14:paraId="7016EC3F"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71CD8A2D"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Almada</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753AD994" w14:textId="77777777" w:rsidR="005400D8" w:rsidRPr="00A014FD" w:rsidRDefault="005400D8" w:rsidP="00704B82">
            <w:pPr>
              <w:spacing w:after="200" w:line="240" w:lineRule="auto"/>
              <w:jc w:val="left"/>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DB9FF12"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37B3C92"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9CF5738" w14:textId="77777777" w:rsidR="005400D8" w:rsidRPr="00A014FD" w:rsidRDefault="005400D8" w:rsidP="00704B82">
            <w:pPr>
              <w:spacing w:after="200" w:line="240" w:lineRule="auto"/>
              <w:jc w:val="center"/>
              <w:rPr>
                <w:rFonts w:eastAsia="等线"/>
                <w:sz w:val="20"/>
                <w:szCs w:val="20"/>
              </w:rPr>
            </w:pP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225209AA" w14:textId="77777777" w:rsidR="005400D8" w:rsidRPr="00A014FD" w:rsidRDefault="005400D8" w:rsidP="00704B82">
            <w:pPr>
              <w:spacing w:after="200" w:line="240" w:lineRule="auto"/>
              <w:jc w:val="left"/>
              <w:rPr>
                <w:rFonts w:eastAsia="等线"/>
                <w:sz w:val="20"/>
                <w:szCs w:val="20"/>
              </w:rPr>
            </w:pP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40497E39" w14:textId="77777777" w:rsidR="005400D8" w:rsidRPr="00A014FD" w:rsidRDefault="005400D8" w:rsidP="00704B82">
            <w:pPr>
              <w:spacing w:after="200" w:line="240" w:lineRule="auto"/>
              <w:jc w:val="left"/>
              <w:rPr>
                <w:rFonts w:eastAsia="等线"/>
                <w:sz w:val="20"/>
                <w:szCs w:val="20"/>
              </w:rPr>
            </w:pP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E7C24C6" w14:textId="77777777" w:rsidR="005400D8" w:rsidRPr="00A014FD" w:rsidRDefault="005400D8" w:rsidP="00704B82">
            <w:pPr>
              <w:spacing w:after="200" w:line="240" w:lineRule="auto"/>
              <w:jc w:val="center"/>
              <w:rPr>
                <w:rFonts w:eastAsia="等线"/>
                <w:sz w:val="20"/>
                <w:szCs w:val="20"/>
              </w:rPr>
            </w:pP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5B9BB87D" w14:textId="77777777" w:rsidR="005400D8" w:rsidRPr="00A014FD" w:rsidRDefault="005400D8" w:rsidP="00704B82">
            <w:pPr>
              <w:spacing w:after="200" w:line="240" w:lineRule="auto"/>
              <w:jc w:val="left"/>
              <w:rPr>
                <w:rFonts w:eastAsia="等线"/>
                <w:sz w:val="20"/>
                <w:szCs w:val="20"/>
              </w:rPr>
            </w:pP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00017738" w14:textId="77777777" w:rsidR="005400D8" w:rsidRPr="00A014FD" w:rsidRDefault="005400D8" w:rsidP="00704B82">
            <w:pPr>
              <w:spacing w:after="200" w:line="240" w:lineRule="auto"/>
              <w:jc w:val="left"/>
              <w:rPr>
                <w:rFonts w:eastAsia="等线"/>
                <w:sz w:val="20"/>
                <w:szCs w:val="20"/>
              </w:rPr>
            </w:pP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534750B8" w14:textId="77777777" w:rsidR="005400D8" w:rsidRPr="00A014FD" w:rsidRDefault="005400D8" w:rsidP="00704B82">
            <w:pPr>
              <w:spacing w:after="200" w:line="240" w:lineRule="auto"/>
              <w:jc w:val="left"/>
              <w:rPr>
                <w:rFonts w:eastAsia="等线"/>
                <w:sz w:val="20"/>
                <w:szCs w:val="20"/>
              </w:rPr>
            </w:pP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71F09795" w14:textId="77777777" w:rsidR="005400D8" w:rsidRPr="00A014FD" w:rsidRDefault="005400D8" w:rsidP="00704B82">
            <w:pPr>
              <w:spacing w:after="200" w:line="240" w:lineRule="auto"/>
              <w:jc w:val="left"/>
              <w:rPr>
                <w:rFonts w:eastAsia="等线"/>
                <w:sz w:val="20"/>
                <w:szCs w:val="20"/>
              </w:rPr>
            </w:pP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5F416AE" w14:textId="77777777" w:rsidR="005400D8" w:rsidRPr="00A014FD" w:rsidRDefault="005400D8" w:rsidP="00704B82">
            <w:pPr>
              <w:spacing w:after="200" w:line="240" w:lineRule="auto"/>
              <w:jc w:val="left"/>
              <w:rPr>
                <w:rFonts w:eastAsia="等线"/>
                <w:sz w:val="20"/>
                <w:szCs w:val="20"/>
              </w:rPr>
            </w:pPr>
          </w:p>
        </w:tc>
      </w:tr>
      <w:tr w:rsidR="005400D8" w:rsidRPr="00A014FD" w14:paraId="071330B8"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3A722153"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xml:space="preserve">Alba </w:t>
            </w:r>
            <w:proofErr w:type="spellStart"/>
            <w:r w:rsidRPr="00A014FD">
              <w:rPr>
                <w:rFonts w:eastAsia="等线"/>
                <w:sz w:val="20"/>
                <w:szCs w:val="20"/>
              </w:rPr>
              <w:t>Lulia</w:t>
            </w:r>
            <w:proofErr w:type="spellEnd"/>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4775517B" w14:textId="77777777" w:rsidR="005400D8" w:rsidRPr="00A014FD" w:rsidRDefault="005400D8" w:rsidP="00704B82">
            <w:pPr>
              <w:spacing w:after="200" w:line="240" w:lineRule="auto"/>
              <w:jc w:val="left"/>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AC3BDD6"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256B8FF"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403EB07" w14:textId="77777777" w:rsidR="005400D8" w:rsidRPr="00A014FD" w:rsidRDefault="005400D8" w:rsidP="00704B82">
            <w:pPr>
              <w:spacing w:after="200" w:line="240" w:lineRule="auto"/>
              <w:jc w:val="center"/>
              <w:rPr>
                <w:rFonts w:eastAsia="等线"/>
                <w:sz w:val="20"/>
                <w:szCs w:val="20"/>
              </w:rPr>
            </w:pP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755C1D98" w14:textId="77777777" w:rsidR="005400D8" w:rsidRPr="00A014FD" w:rsidRDefault="005400D8" w:rsidP="00704B82">
            <w:pPr>
              <w:spacing w:after="200" w:line="240" w:lineRule="auto"/>
              <w:jc w:val="left"/>
              <w:rPr>
                <w:rFonts w:eastAsia="等线"/>
                <w:sz w:val="20"/>
                <w:szCs w:val="20"/>
              </w:rPr>
            </w:pP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69E836F1" w14:textId="77777777" w:rsidR="005400D8" w:rsidRPr="00A014FD" w:rsidRDefault="005400D8" w:rsidP="00704B82">
            <w:pPr>
              <w:spacing w:after="200" w:line="240" w:lineRule="auto"/>
              <w:jc w:val="left"/>
              <w:rPr>
                <w:rFonts w:eastAsia="等线"/>
                <w:sz w:val="20"/>
                <w:szCs w:val="20"/>
              </w:rPr>
            </w:pP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C90BCF5" w14:textId="77777777" w:rsidR="005400D8" w:rsidRPr="00A014FD" w:rsidRDefault="005400D8" w:rsidP="00704B82">
            <w:pPr>
              <w:spacing w:after="200" w:line="240" w:lineRule="auto"/>
              <w:jc w:val="center"/>
              <w:rPr>
                <w:rFonts w:eastAsia="等线"/>
                <w:sz w:val="20"/>
                <w:szCs w:val="20"/>
              </w:rPr>
            </w:pP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27ADAAB8" w14:textId="77777777" w:rsidR="005400D8" w:rsidRPr="00A014FD" w:rsidRDefault="005400D8" w:rsidP="00704B82">
            <w:pPr>
              <w:spacing w:after="200" w:line="240" w:lineRule="auto"/>
              <w:jc w:val="left"/>
              <w:rPr>
                <w:rFonts w:eastAsia="等线"/>
                <w:sz w:val="20"/>
                <w:szCs w:val="20"/>
              </w:rPr>
            </w:pP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4C7B12A9" w14:textId="77777777" w:rsidR="005400D8" w:rsidRPr="00A014FD" w:rsidRDefault="005400D8" w:rsidP="00704B82">
            <w:pPr>
              <w:spacing w:after="200" w:line="240" w:lineRule="auto"/>
              <w:jc w:val="left"/>
              <w:rPr>
                <w:rFonts w:eastAsia="等线"/>
                <w:sz w:val="20"/>
                <w:szCs w:val="20"/>
              </w:rPr>
            </w:pP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2887B19E" w14:textId="77777777" w:rsidR="005400D8" w:rsidRPr="00A014FD" w:rsidRDefault="005400D8" w:rsidP="00704B82">
            <w:pPr>
              <w:spacing w:after="200" w:line="240" w:lineRule="auto"/>
              <w:jc w:val="left"/>
              <w:rPr>
                <w:rFonts w:eastAsia="等线"/>
                <w:sz w:val="20"/>
                <w:szCs w:val="20"/>
              </w:rPr>
            </w:pP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78B5B42A" w14:textId="77777777" w:rsidR="005400D8" w:rsidRPr="00A014FD" w:rsidRDefault="005400D8" w:rsidP="00704B82">
            <w:pPr>
              <w:spacing w:after="200" w:line="240" w:lineRule="auto"/>
              <w:jc w:val="left"/>
              <w:rPr>
                <w:rFonts w:eastAsia="等线"/>
                <w:sz w:val="20"/>
                <w:szCs w:val="20"/>
              </w:rPr>
            </w:pP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DCDB12E" w14:textId="77777777" w:rsidR="005400D8" w:rsidRPr="00A014FD" w:rsidRDefault="005400D8" w:rsidP="00704B82">
            <w:pPr>
              <w:spacing w:after="200" w:line="240" w:lineRule="auto"/>
              <w:jc w:val="left"/>
              <w:rPr>
                <w:rFonts w:eastAsia="等线"/>
                <w:sz w:val="20"/>
                <w:szCs w:val="20"/>
              </w:rPr>
            </w:pPr>
          </w:p>
        </w:tc>
      </w:tr>
      <w:tr w:rsidR="005400D8" w:rsidRPr="00A014FD" w14:paraId="5495EB95"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0640B1D4" w14:textId="77777777" w:rsidR="005400D8" w:rsidRPr="00A014FD" w:rsidRDefault="005400D8" w:rsidP="00704B82">
            <w:pPr>
              <w:spacing w:after="200" w:line="240" w:lineRule="auto"/>
              <w:jc w:val="left"/>
              <w:rPr>
                <w:rFonts w:eastAsia="等线"/>
                <w:sz w:val="20"/>
                <w:szCs w:val="20"/>
              </w:rPr>
            </w:pPr>
            <w:proofErr w:type="spellStart"/>
            <w:r w:rsidRPr="00A014FD">
              <w:rPr>
                <w:rFonts w:eastAsia="等线"/>
                <w:sz w:val="20"/>
                <w:szCs w:val="20"/>
              </w:rPr>
              <w:t>Serres</w:t>
            </w:r>
            <w:proofErr w:type="spellEnd"/>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7AF2C138" w14:textId="77777777" w:rsidR="005400D8" w:rsidRPr="00A014FD" w:rsidRDefault="005400D8" w:rsidP="00704B82">
            <w:pPr>
              <w:spacing w:after="200" w:line="240" w:lineRule="auto"/>
              <w:jc w:val="left"/>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DEB6BD1"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B940F1C"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A148B5F" w14:textId="77777777" w:rsidR="005400D8" w:rsidRPr="00A014FD" w:rsidRDefault="005400D8" w:rsidP="00704B82">
            <w:pPr>
              <w:spacing w:after="200" w:line="240" w:lineRule="auto"/>
              <w:jc w:val="center"/>
              <w:rPr>
                <w:rFonts w:eastAsia="等线"/>
                <w:sz w:val="20"/>
                <w:szCs w:val="20"/>
              </w:rPr>
            </w:pP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6133B26C" w14:textId="77777777" w:rsidR="005400D8" w:rsidRPr="00A014FD" w:rsidRDefault="005400D8" w:rsidP="00704B82">
            <w:pPr>
              <w:spacing w:after="200" w:line="240" w:lineRule="auto"/>
              <w:jc w:val="left"/>
              <w:rPr>
                <w:rFonts w:eastAsia="等线"/>
                <w:sz w:val="20"/>
                <w:szCs w:val="20"/>
              </w:rPr>
            </w:pP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1750BD31" w14:textId="77777777" w:rsidR="005400D8" w:rsidRPr="00A014FD" w:rsidRDefault="005400D8" w:rsidP="00704B82">
            <w:pPr>
              <w:spacing w:after="200" w:line="240" w:lineRule="auto"/>
              <w:jc w:val="left"/>
              <w:rPr>
                <w:rFonts w:eastAsia="等线"/>
                <w:sz w:val="20"/>
                <w:szCs w:val="20"/>
              </w:rPr>
            </w:pP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F76C01E" w14:textId="77777777" w:rsidR="005400D8" w:rsidRPr="00A014FD" w:rsidRDefault="005400D8" w:rsidP="00704B82">
            <w:pPr>
              <w:spacing w:after="200" w:line="240" w:lineRule="auto"/>
              <w:jc w:val="center"/>
              <w:rPr>
                <w:rFonts w:eastAsia="等线"/>
                <w:sz w:val="20"/>
                <w:szCs w:val="20"/>
              </w:rPr>
            </w:pP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59B50508" w14:textId="77777777" w:rsidR="005400D8" w:rsidRPr="00A014FD" w:rsidRDefault="005400D8" w:rsidP="00704B82">
            <w:pPr>
              <w:spacing w:after="200" w:line="240" w:lineRule="auto"/>
              <w:jc w:val="left"/>
              <w:rPr>
                <w:rFonts w:eastAsia="等线"/>
                <w:sz w:val="20"/>
                <w:szCs w:val="20"/>
              </w:rPr>
            </w:pP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108EDE59" w14:textId="77777777" w:rsidR="005400D8" w:rsidRPr="00A014FD" w:rsidRDefault="005400D8" w:rsidP="00704B82">
            <w:pPr>
              <w:spacing w:after="200" w:line="240" w:lineRule="auto"/>
              <w:jc w:val="left"/>
              <w:rPr>
                <w:rFonts w:eastAsia="等线"/>
                <w:sz w:val="20"/>
                <w:szCs w:val="20"/>
              </w:rPr>
            </w:pP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53F4B906" w14:textId="77777777" w:rsidR="005400D8" w:rsidRPr="00A014FD" w:rsidRDefault="005400D8" w:rsidP="00704B82">
            <w:pPr>
              <w:spacing w:after="200" w:line="240" w:lineRule="auto"/>
              <w:jc w:val="left"/>
              <w:rPr>
                <w:rFonts w:eastAsia="等线"/>
                <w:sz w:val="20"/>
                <w:szCs w:val="20"/>
              </w:rPr>
            </w:pP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6E6AF9F6" w14:textId="77777777" w:rsidR="005400D8" w:rsidRPr="00A014FD" w:rsidRDefault="005400D8" w:rsidP="00704B82">
            <w:pPr>
              <w:spacing w:after="200" w:line="240" w:lineRule="auto"/>
              <w:jc w:val="left"/>
              <w:rPr>
                <w:rFonts w:eastAsia="等线"/>
                <w:sz w:val="20"/>
                <w:szCs w:val="20"/>
              </w:rPr>
            </w:pP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90449F5" w14:textId="77777777" w:rsidR="005400D8" w:rsidRPr="00A014FD" w:rsidRDefault="005400D8" w:rsidP="00704B82">
            <w:pPr>
              <w:spacing w:after="200" w:line="240" w:lineRule="auto"/>
              <w:jc w:val="left"/>
              <w:rPr>
                <w:rFonts w:eastAsia="等线"/>
                <w:sz w:val="20"/>
                <w:szCs w:val="20"/>
              </w:rPr>
            </w:pPr>
          </w:p>
        </w:tc>
      </w:tr>
      <w:tr w:rsidR="005400D8" w:rsidRPr="00A014FD" w14:paraId="5B0F5364"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167B9A15" w14:textId="77777777" w:rsidR="005400D8" w:rsidRPr="00A014FD" w:rsidRDefault="005400D8" w:rsidP="00704B82">
            <w:pPr>
              <w:spacing w:after="200" w:line="240" w:lineRule="auto"/>
              <w:jc w:val="left"/>
              <w:rPr>
                <w:rFonts w:eastAsia="等线"/>
                <w:sz w:val="20"/>
                <w:szCs w:val="20"/>
              </w:rPr>
            </w:pPr>
            <w:proofErr w:type="spellStart"/>
            <w:r w:rsidRPr="00A014FD">
              <w:rPr>
                <w:rFonts w:eastAsia="等线"/>
                <w:sz w:val="20"/>
                <w:szCs w:val="20"/>
              </w:rPr>
              <w:t>S'Hertogenbosch</w:t>
            </w:r>
            <w:proofErr w:type="spellEnd"/>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1ED2E123" w14:textId="77777777" w:rsidR="005400D8" w:rsidRPr="00A014FD" w:rsidRDefault="005400D8" w:rsidP="00704B82">
            <w:pPr>
              <w:spacing w:after="200" w:line="240" w:lineRule="auto"/>
              <w:jc w:val="left"/>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B13B676"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E4B8FED"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3DD66BE" w14:textId="77777777" w:rsidR="005400D8" w:rsidRPr="00A014FD" w:rsidRDefault="005400D8" w:rsidP="00704B82">
            <w:pPr>
              <w:spacing w:after="200" w:line="240" w:lineRule="auto"/>
              <w:jc w:val="center"/>
              <w:rPr>
                <w:rFonts w:eastAsia="等线"/>
                <w:sz w:val="20"/>
                <w:szCs w:val="20"/>
              </w:rPr>
            </w:pP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2FBB533A" w14:textId="77777777" w:rsidR="005400D8" w:rsidRPr="00A014FD" w:rsidRDefault="005400D8" w:rsidP="00704B82">
            <w:pPr>
              <w:spacing w:after="200" w:line="240" w:lineRule="auto"/>
              <w:jc w:val="left"/>
              <w:rPr>
                <w:rFonts w:eastAsia="等线"/>
                <w:sz w:val="20"/>
                <w:szCs w:val="20"/>
              </w:rPr>
            </w:pP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4074A77F" w14:textId="77777777" w:rsidR="005400D8" w:rsidRPr="00A014FD" w:rsidRDefault="005400D8" w:rsidP="00704B82">
            <w:pPr>
              <w:spacing w:after="200" w:line="240" w:lineRule="auto"/>
              <w:jc w:val="left"/>
              <w:rPr>
                <w:rFonts w:eastAsia="等线"/>
                <w:sz w:val="20"/>
                <w:szCs w:val="20"/>
              </w:rPr>
            </w:pP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64A7B4B" w14:textId="77777777" w:rsidR="005400D8" w:rsidRPr="00A014FD" w:rsidRDefault="005400D8" w:rsidP="00704B82">
            <w:pPr>
              <w:spacing w:after="200" w:line="240" w:lineRule="auto"/>
              <w:jc w:val="center"/>
              <w:rPr>
                <w:rFonts w:eastAsia="等线"/>
                <w:sz w:val="20"/>
                <w:szCs w:val="20"/>
              </w:rPr>
            </w:pP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0268C304" w14:textId="77777777" w:rsidR="005400D8" w:rsidRPr="00A014FD" w:rsidRDefault="005400D8" w:rsidP="00704B82">
            <w:pPr>
              <w:spacing w:after="200" w:line="240" w:lineRule="auto"/>
              <w:jc w:val="left"/>
              <w:rPr>
                <w:rFonts w:eastAsia="等线"/>
                <w:sz w:val="20"/>
                <w:szCs w:val="20"/>
              </w:rPr>
            </w:pP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080E30F8" w14:textId="77777777" w:rsidR="005400D8" w:rsidRPr="00A014FD" w:rsidRDefault="005400D8" w:rsidP="00704B82">
            <w:pPr>
              <w:spacing w:after="200" w:line="240" w:lineRule="auto"/>
              <w:jc w:val="left"/>
              <w:rPr>
                <w:rFonts w:eastAsia="等线"/>
                <w:sz w:val="20"/>
                <w:szCs w:val="20"/>
              </w:rPr>
            </w:pP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23795CA2" w14:textId="77777777" w:rsidR="005400D8" w:rsidRPr="00A014FD" w:rsidRDefault="005400D8" w:rsidP="00704B82">
            <w:pPr>
              <w:spacing w:after="200" w:line="240" w:lineRule="auto"/>
              <w:jc w:val="left"/>
              <w:rPr>
                <w:rFonts w:eastAsia="等线"/>
                <w:sz w:val="20"/>
                <w:szCs w:val="20"/>
              </w:rPr>
            </w:pP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01E388B7" w14:textId="77777777" w:rsidR="005400D8" w:rsidRPr="00A014FD" w:rsidRDefault="005400D8" w:rsidP="00704B82">
            <w:pPr>
              <w:spacing w:after="200" w:line="240" w:lineRule="auto"/>
              <w:jc w:val="left"/>
              <w:rPr>
                <w:rFonts w:eastAsia="等线"/>
                <w:sz w:val="20"/>
                <w:szCs w:val="20"/>
              </w:rPr>
            </w:pP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1007EDB" w14:textId="77777777" w:rsidR="005400D8" w:rsidRPr="00A014FD" w:rsidRDefault="005400D8" w:rsidP="00704B82">
            <w:pPr>
              <w:spacing w:after="200" w:line="240" w:lineRule="auto"/>
              <w:jc w:val="left"/>
              <w:rPr>
                <w:rFonts w:eastAsia="等线"/>
                <w:sz w:val="20"/>
                <w:szCs w:val="20"/>
              </w:rPr>
            </w:pPr>
          </w:p>
        </w:tc>
      </w:tr>
      <w:tr w:rsidR="005400D8" w:rsidRPr="00A014FD" w14:paraId="6FDA8A23"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75FF0286"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lastRenderedPageBreak/>
              <w:t>Maastricht</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5310B315"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2B315C1"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B5660E1"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BCF9AC9"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6720563"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2F455DE3"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132FACC7"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27040392"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6009B122"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EDD4EEC"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B29B151"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9843463"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Negative</w:t>
            </w:r>
          </w:p>
        </w:tc>
      </w:tr>
      <w:tr w:rsidR="005400D8" w:rsidRPr="00A014FD" w14:paraId="582B188D"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2DF24831"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Evora</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42C853CC"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A438457"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2B38BF2B"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B0AABFD"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2374DACF"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54FAFF21"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C1A7D37"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5F4273DB"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3638056"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6B3F2CAB"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1A19C9F"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0026D61"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Positive</w:t>
            </w:r>
          </w:p>
        </w:tc>
      </w:tr>
      <w:tr w:rsidR="005400D8" w:rsidRPr="00A014FD" w14:paraId="682F172D"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0859ABCC"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Gothenburg</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73206B07"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DB6D50B"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2A17D73F"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FA953F7"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 </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4E0720E4"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0285B5E8"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5EA0280C"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412D38FE"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7EF03093"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5F848278"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798E143A"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AAADEB8"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Negative</w:t>
            </w:r>
          </w:p>
        </w:tc>
      </w:tr>
      <w:tr w:rsidR="005400D8" w:rsidRPr="00A014FD" w14:paraId="2DB01369"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71990D7C"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Uppsala</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17A73CB8"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5D11D43"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25C5294"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AD8DD4B"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 </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CAE64CF"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95E15AA"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9720B00"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71CDC97"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9473B4F"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CBB3737"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5421A02"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3ECC78D"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Positive</w:t>
            </w:r>
          </w:p>
        </w:tc>
      </w:tr>
      <w:tr w:rsidR="005400D8" w:rsidRPr="00A014FD" w14:paraId="14714F42"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56E57CE8"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Zurich</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3CF5C159"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B0750D8"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22B53C52"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DD7E511"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E7B7764"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61A03CB3"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5B458527"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512191D"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725A2F3F"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8D36932"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1774675"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7D6BF2F"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Negative</w:t>
            </w:r>
          </w:p>
        </w:tc>
      </w:tr>
      <w:tr w:rsidR="005400D8" w:rsidRPr="00A014FD" w14:paraId="34C33267"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59FA6101"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Basel</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75684EE2"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DA7270B"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0919D0C"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D42BD35"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4619105"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2E051C8C"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1524F563"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5E6983A"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A6ACAED"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2DF7C87B"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15D2DD1E"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57997D9"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Negative</w:t>
            </w:r>
          </w:p>
        </w:tc>
      </w:tr>
      <w:tr w:rsidR="005400D8" w:rsidRPr="00A014FD" w14:paraId="1FDA7DAA"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3F7179B4"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Aberdeen</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7F56B186"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BE5584B"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878FD66"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49E2F30"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 </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438504F3"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611BC72D"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01B4EE94"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15316674"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23343CF2"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2612E15D"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D5C7145"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E723EA8"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Positive</w:t>
            </w:r>
          </w:p>
        </w:tc>
      </w:tr>
      <w:tr w:rsidR="005400D8" w:rsidRPr="00A014FD" w14:paraId="0784BB9C"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1C1392F0"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Bristol</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35F8D329"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25C99ACC"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24441DA"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F9F1572"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25069AAC"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09686D50"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06364BB7"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C03610D"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8AF2B0E"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53139153"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0BB03CE"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18DC9D5"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Positive</w:t>
            </w:r>
          </w:p>
        </w:tc>
      </w:tr>
      <w:tr w:rsidR="005400D8" w:rsidRPr="00A014FD" w14:paraId="24487402"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0A1E113D"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Chester</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3E88022A"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2C7D729"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795E176"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BF75418"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 </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A620099"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5CBDCC4A"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7853237F"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2885BF91"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2E12DE0A"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24DD0099"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4D6CB4B0"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E5CAC3C"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Negative</w:t>
            </w:r>
          </w:p>
        </w:tc>
      </w:tr>
      <w:tr w:rsidR="005400D8" w:rsidRPr="00A014FD" w14:paraId="5B33CBF6" w14:textId="77777777" w:rsidTr="00704B82">
        <w:trPr>
          <w:trHeight w:val="20"/>
          <w:jc w:val="center"/>
        </w:trPr>
        <w:tc>
          <w:tcPr>
            <w:tcW w:w="803" w:type="pct"/>
            <w:tcBorders>
              <w:top w:val="nil"/>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14:paraId="0A972E06"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London</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64CD3F9E"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10E8D61"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16529B2E"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A17FE7C"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 </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058AE5E5"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CA225A2"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38A8E78"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65886A88"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D6BD48C"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6CC5E356"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7EAF4A55"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25C394E5"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Negative</w:t>
            </w:r>
          </w:p>
        </w:tc>
      </w:tr>
      <w:tr w:rsidR="005400D8" w:rsidRPr="00A014FD" w14:paraId="4777ADB4" w14:textId="77777777" w:rsidTr="00704B82">
        <w:trPr>
          <w:trHeight w:val="20"/>
          <w:jc w:val="center"/>
        </w:trPr>
        <w:tc>
          <w:tcPr>
            <w:tcW w:w="80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D24941A"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Dundee</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2F528D53" w14:textId="77777777" w:rsidR="005400D8" w:rsidRPr="00A014FD" w:rsidRDefault="005400D8" w:rsidP="00704B82">
            <w:pPr>
              <w:spacing w:after="200" w:line="240" w:lineRule="auto"/>
              <w:jc w:val="left"/>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D0487F1"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1DFD36A"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02BE3917" w14:textId="77777777" w:rsidR="005400D8" w:rsidRPr="00A014FD" w:rsidRDefault="005400D8" w:rsidP="00704B82">
            <w:pPr>
              <w:spacing w:after="200" w:line="240" w:lineRule="auto"/>
              <w:jc w:val="center"/>
              <w:rPr>
                <w:rFonts w:eastAsia="等线"/>
                <w:sz w:val="20"/>
                <w:szCs w:val="20"/>
              </w:rPr>
            </w:pP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56A0E7F2" w14:textId="77777777" w:rsidR="005400D8" w:rsidRPr="00A014FD" w:rsidRDefault="005400D8" w:rsidP="00704B82">
            <w:pPr>
              <w:spacing w:after="200" w:line="240" w:lineRule="auto"/>
              <w:jc w:val="left"/>
              <w:rPr>
                <w:rFonts w:eastAsia="等线"/>
                <w:sz w:val="20"/>
                <w:szCs w:val="20"/>
              </w:rPr>
            </w:pP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75EF0F6A" w14:textId="77777777" w:rsidR="005400D8" w:rsidRPr="00A014FD" w:rsidRDefault="005400D8" w:rsidP="00704B82">
            <w:pPr>
              <w:spacing w:after="200" w:line="240" w:lineRule="auto"/>
              <w:jc w:val="left"/>
              <w:rPr>
                <w:rFonts w:eastAsia="等线"/>
                <w:sz w:val="20"/>
                <w:szCs w:val="20"/>
              </w:rPr>
            </w:pP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F2F4C44" w14:textId="77777777" w:rsidR="005400D8" w:rsidRPr="00A014FD" w:rsidRDefault="005400D8" w:rsidP="00704B82">
            <w:pPr>
              <w:spacing w:after="200" w:line="240" w:lineRule="auto"/>
              <w:jc w:val="center"/>
              <w:rPr>
                <w:rFonts w:eastAsia="等线"/>
                <w:sz w:val="20"/>
                <w:szCs w:val="20"/>
              </w:rPr>
            </w:pP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048DC92A" w14:textId="77777777" w:rsidR="005400D8" w:rsidRPr="00A014FD" w:rsidRDefault="005400D8" w:rsidP="00704B82">
            <w:pPr>
              <w:spacing w:after="200" w:line="240" w:lineRule="auto"/>
              <w:jc w:val="left"/>
              <w:rPr>
                <w:rFonts w:eastAsia="等线"/>
                <w:sz w:val="20"/>
                <w:szCs w:val="20"/>
              </w:rPr>
            </w:pP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4E6AF87E" w14:textId="77777777" w:rsidR="005400D8" w:rsidRPr="00A014FD" w:rsidRDefault="005400D8" w:rsidP="00704B82">
            <w:pPr>
              <w:spacing w:after="200" w:line="240" w:lineRule="auto"/>
              <w:jc w:val="left"/>
              <w:rPr>
                <w:rFonts w:eastAsia="等线"/>
                <w:sz w:val="20"/>
                <w:szCs w:val="20"/>
              </w:rPr>
            </w:pP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78CBE85D" w14:textId="77777777" w:rsidR="005400D8" w:rsidRPr="00A014FD" w:rsidRDefault="005400D8" w:rsidP="00704B82">
            <w:pPr>
              <w:spacing w:after="200" w:line="240" w:lineRule="auto"/>
              <w:jc w:val="left"/>
              <w:rPr>
                <w:rFonts w:eastAsia="等线"/>
                <w:sz w:val="20"/>
                <w:szCs w:val="20"/>
              </w:rPr>
            </w:pP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19E3BE2" w14:textId="77777777" w:rsidR="005400D8" w:rsidRPr="00A014FD" w:rsidRDefault="005400D8" w:rsidP="00704B82">
            <w:pPr>
              <w:spacing w:after="200" w:line="240" w:lineRule="auto"/>
              <w:jc w:val="center"/>
              <w:rPr>
                <w:rFonts w:eastAsia="等线"/>
                <w:sz w:val="20"/>
                <w:szCs w:val="20"/>
              </w:rPr>
            </w:pP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E6C2FEE" w14:textId="77777777" w:rsidR="005400D8" w:rsidRPr="00A014FD" w:rsidRDefault="005400D8" w:rsidP="00704B82">
            <w:pPr>
              <w:spacing w:after="200" w:line="240" w:lineRule="auto"/>
              <w:jc w:val="left"/>
              <w:rPr>
                <w:rFonts w:eastAsia="等线"/>
                <w:sz w:val="20"/>
                <w:szCs w:val="20"/>
              </w:rPr>
            </w:pPr>
          </w:p>
        </w:tc>
      </w:tr>
      <w:tr w:rsidR="005400D8" w:rsidRPr="00A014FD" w14:paraId="4F25679B" w14:textId="77777777" w:rsidTr="00704B82">
        <w:trPr>
          <w:trHeight w:val="60"/>
          <w:jc w:val="center"/>
        </w:trPr>
        <w:tc>
          <w:tcPr>
            <w:tcW w:w="80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54FB020"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Winchester</w:t>
            </w:r>
          </w:p>
        </w:tc>
        <w:tc>
          <w:tcPr>
            <w:tcW w:w="398" w:type="pct"/>
            <w:tcBorders>
              <w:top w:val="nil"/>
              <w:left w:val="single" w:sz="4" w:space="0" w:color="auto"/>
              <w:bottom w:val="single" w:sz="8" w:space="0" w:color="auto"/>
              <w:right w:val="single" w:sz="8" w:space="0" w:color="auto"/>
            </w:tcBorders>
            <w:shd w:val="clear" w:color="auto" w:fill="auto"/>
            <w:tcMar>
              <w:top w:w="15" w:type="dxa"/>
              <w:left w:w="15" w:type="dxa"/>
              <w:bottom w:w="0" w:type="dxa"/>
              <w:right w:w="15" w:type="dxa"/>
            </w:tcMar>
          </w:tcPr>
          <w:p w14:paraId="6D249E61"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30DCD884" w14:textId="77777777" w:rsidR="005400D8" w:rsidRPr="00A014FD" w:rsidRDefault="005400D8" w:rsidP="00704B82">
            <w:pPr>
              <w:spacing w:after="200" w:line="240" w:lineRule="auto"/>
              <w:jc w:val="center"/>
              <w:rPr>
                <w:rFonts w:eastAsia="等线"/>
                <w:sz w:val="20"/>
                <w:szCs w:val="20"/>
              </w:rPr>
            </w:pPr>
            <w:r w:rsidRPr="00A014FD">
              <w:rPr>
                <w:rFonts w:ascii="Segoe UI Symbol" w:eastAsia="MS Mincho" w:hAnsi="Segoe UI Symbol" w:cs="Segoe UI Symbol"/>
                <w:sz w:val="20"/>
                <w:szCs w:val="20"/>
              </w:rPr>
              <w:t>★</w:t>
            </w: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236AFB60" w14:textId="77777777" w:rsidR="005400D8" w:rsidRPr="00A014FD" w:rsidRDefault="005400D8" w:rsidP="00704B82">
            <w:pPr>
              <w:spacing w:after="200" w:line="240" w:lineRule="auto"/>
              <w:jc w:val="center"/>
              <w:rPr>
                <w:rFonts w:eastAsia="等线"/>
                <w:sz w:val="20"/>
                <w:szCs w:val="20"/>
              </w:rPr>
            </w:pPr>
          </w:p>
        </w:tc>
        <w:tc>
          <w:tcPr>
            <w:tcW w:w="28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A3A46EC"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 </w:t>
            </w:r>
          </w:p>
        </w:tc>
        <w:tc>
          <w:tcPr>
            <w:tcW w:w="390"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08BFBCA8"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28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3EB5223E"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5EF7A9E"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313"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0F3FCDED"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14"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1DCBBE5D"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96" w:type="pct"/>
            <w:tcBorders>
              <w:top w:val="nil"/>
              <w:left w:val="nil"/>
              <w:bottom w:val="single" w:sz="8" w:space="0" w:color="auto"/>
              <w:right w:val="single" w:sz="8" w:space="0" w:color="auto"/>
            </w:tcBorders>
            <w:shd w:val="clear" w:color="auto" w:fill="auto"/>
            <w:tcMar>
              <w:top w:w="15" w:type="dxa"/>
              <w:left w:w="15" w:type="dxa"/>
              <w:bottom w:w="0" w:type="dxa"/>
              <w:right w:w="15" w:type="dxa"/>
            </w:tcMar>
          </w:tcPr>
          <w:p w14:paraId="2C52B148"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 </w:t>
            </w:r>
          </w:p>
        </w:tc>
        <w:tc>
          <w:tcPr>
            <w:tcW w:w="30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7B67D32C" w14:textId="77777777" w:rsidR="005400D8" w:rsidRPr="00A014FD" w:rsidRDefault="005400D8" w:rsidP="00704B82">
            <w:pPr>
              <w:spacing w:after="200" w:line="240" w:lineRule="auto"/>
              <w:jc w:val="center"/>
              <w:rPr>
                <w:rFonts w:eastAsia="等线"/>
                <w:sz w:val="20"/>
                <w:szCs w:val="20"/>
              </w:rPr>
            </w:pPr>
            <w:r w:rsidRPr="00A014FD">
              <w:rPr>
                <w:rFonts w:eastAsia="等线"/>
                <w:sz w:val="20"/>
                <w:szCs w:val="20"/>
              </w:rPr>
              <w:t>↓</w:t>
            </w:r>
          </w:p>
        </w:tc>
        <w:tc>
          <w:tcPr>
            <w:tcW w:w="557"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591D2BC7" w14:textId="77777777" w:rsidR="005400D8" w:rsidRPr="00A014FD" w:rsidRDefault="005400D8" w:rsidP="00704B82">
            <w:pPr>
              <w:spacing w:after="200" w:line="240" w:lineRule="auto"/>
              <w:jc w:val="left"/>
              <w:rPr>
                <w:rFonts w:eastAsia="等线"/>
                <w:sz w:val="20"/>
                <w:szCs w:val="20"/>
              </w:rPr>
            </w:pPr>
            <w:r w:rsidRPr="00A014FD">
              <w:rPr>
                <w:rFonts w:eastAsia="等线"/>
                <w:sz w:val="20"/>
                <w:szCs w:val="20"/>
              </w:rPr>
              <w:t>Negative</w:t>
            </w:r>
          </w:p>
        </w:tc>
      </w:tr>
    </w:tbl>
    <w:p w14:paraId="690477E1" w14:textId="6341F1A0" w:rsidR="005400D8" w:rsidRPr="005146BA" w:rsidRDefault="005400D8" w:rsidP="005400D8">
      <w:pPr>
        <w:spacing w:after="160" w:line="259" w:lineRule="auto"/>
        <w:jc w:val="center"/>
        <w:rPr>
          <w:rFonts w:eastAsia="宋体"/>
          <w:b/>
          <w:color w:val="4F81BD"/>
          <w:sz w:val="28"/>
          <w:szCs w:val="26"/>
        </w:rPr>
      </w:pPr>
      <w:r w:rsidRPr="005146BA">
        <w:rPr>
          <w:rFonts w:eastAsia="宋体"/>
          <w:b/>
          <w:sz w:val="22"/>
        </w:rPr>
        <w:t>Table III.1-</w:t>
      </w:r>
      <w:r w:rsidR="0042024D" w:rsidRPr="005146BA">
        <w:rPr>
          <w:rFonts w:eastAsia="宋体"/>
          <w:b/>
          <w:sz w:val="22"/>
        </w:rPr>
        <w:t>T</w:t>
      </w:r>
      <w:r w:rsidRPr="005146BA">
        <w:rPr>
          <w:rFonts w:eastAsia="宋体"/>
          <w:b/>
          <w:sz w:val="22"/>
        </w:rPr>
        <w:t>he performance of the real cases of UCC</w:t>
      </w:r>
    </w:p>
    <w:p w14:paraId="6B77D305" w14:textId="77777777" w:rsidR="005400D8" w:rsidRPr="00A014FD" w:rsidRDefault="005400D8" w:rsidP="005400D8">
      <w:pPr>
        <w:spacing w:line="240" w:lineRule="auto"/>
        <w:jc w:val="left"/>
      </w:pPr>
      <w:r w:rsidRPr="00A014FD">
        <w:br w:type="page"/>
      </w:r>
    </w:p>
    <w:p w14:paraId="19E49FDF" w14:textId="66B3A48F" w:rsidR="007D1AE2" w:rsidRPr="00B12C85" w:rsidRDefault="007D1AE2" w:rsidP="007D1AE2">
      <w:pPr>
        <w:pStyle w:val="Heading2"/>
        <w:numPr>
          <w:ilvl w:val="0"/>
          <w:numId w:val="0"/>
        </w:numPr>
        <w:spacing w:after="120"/>
        <w:ind w:left="576" w:hanging="576"/>
      </w:pPr>
      <w:bookmarkStart w:id="1264" w:name="_Toc66703293"/>
      <w:bookmarkStart w:id="1265" w:name="_Toc46053521"/>
      <w:bookmarkStart w:id="1266" w:name="_Toc46093435"/>
      <w:bookmarkStart w:id="1267" w:name="_Toc46093718"/>
      <w:r w:rsidRPr="00A014FD">
        <w:lastRenderedPageBreak/>
        <w:t xml:space="preserve">Appendix IV – </w:t>
      </w:r>
      <w:r>
        <w:rPr>
          <w:rFonts w:hint="eastAsia"/>
        </w:rPr>
        <w:t>Preparing</w:t>
      </w:r>
      <w:r>
        <w:t xml:space="preserve"> </w:t>
      </w:r>
      <w:r>
        <w:rPr>
          <w:rFonts w:hint="eastAsia"/>
        </w:rPr>
        <w:t>for</w:t>
      </w:r>
      <w:r>
        <w:t xml:space="preserve"> </w:t>
      </w:r>
      <w:r>
        <w:rPr>
          <w:rFonts w:hint="eastAsia"/>
        </w:rPr>
        <w:t>Data</w:t>
      </w:r>
      <w:r>
        <w:t xml:space="preserve"> </w:t>
      </w:r>
      <w:r>
        <w:rPr>
          <w:rFonts w:hint="eastAsia"/>
        </w:rPr>
        <w:t>Collection</w:t>
      </w:r>
      <w:bookmarkEnd w:id="1264"/>
    </w:p>
    <w:p w14:paraId="6AB597BF" w14:textId="3A17E24F" w:rsidR="007D1AE2" w:rsidRPr="006C301D" w:rsidRDefault="007D1AE2" w:rsidP="007D1AE2">
      <w:pPr>
        <w:spacing w:after="240" w:line="360" w:lineRule="auto"/>
        <w:rPr>
          <w:rFonts w:cs="Times New Roman"/>
        </w:rPr>
      </w:pPr>
      <w:r w:rsidRPr="008903D1">
        <w:rPr>
          <w:rFonts w:eastAsia="等线" w:cs="Times New Roman"/>
          <w:szCs w:val="24"/>
        </w:rPr>
        <w:t xml:space="preserve">The interview questions are designed to capture such information from the stakeholders. </w:t>
      </w:r>
      <w:r>
        <w:rPr>
          <w:rFonts w:eastAsia="等线" w:cs="Times New Roman"/>
          <w:szCs w:val="24"/>
        </w:rPr>
        <w:t xml:space="preserve">Table IV.1 </w:t>
      </w:r>
      <w:r w:rsidRPr="008903D1">
        <w:rPr>
          <w:rFonts w:eastAsia="等线" w:cs="Times New Roman"/>
          <w:szCs w:val="24"/>
        </w:rPr>
        <w:t xml:space="preserve">display the questions for the stakeholders. </w:t>
      </w:r>
      <w:r w:rsidRPr="008903D1">
        <w:rPr>
          <w:rFonts w:cs="Times New Roman"/>
        </w:rPr>
        <w:t xml:space="preserve">The questions setting is related to 15 indicators we </w:t>
      </w:r>
      <w:proofErr w:type="gramStart"/>
      <w:r w:rsidRPr="008903D1">
        <w:rPr>
          <w:rFonts w:cs="Times New Roman"/>
        </w:rPr>
        <w:t>selected,</w:t>
      </w:r>
      <w:proofErr w:type="gramEnd"/>
      <w:r w:rsidRPr="008903D1">
        <w:rPr>
          <w:rFonts w:cs="Times New Roman"/>
        </w:rPr>
        <w:t xml:space="preserve"> each indicator has its dedicated questions. B</w:t>
      </w:r>
      <w:r w:rsidRPr="00737239">
        <w:rPr>
          <w:rFonts w:cs="Times New Roman"/>
        </w:rPr>
        <w:t>esides that, four types of common questions are associated with each indicator.</w:t>
      </w:r>
    </w:p>
    <w:tbl>
      <w:tblPr>
        <w:tblStyle w:val="TableGrid7"/>
        <w:tblW w:w="0" w:type="auto"/>
        <w:tblLook w:val="04A0" w:firstRow="1" w:lastRow="0" w:firstColumn="1" w:lastColumn="0" w:noHBand="0" w:noVBand="1"/>
      </w:tblPr>
      <w:tblGrid>
        <w:gridCol w:w="1182"/>
        <w:gridCol w:w="6342"/>
        <w:gridCol w:w="1492"/>
      </w:tblGrid>
      <w:tr w:rsidR="007D1AE2" w:rsidRPr="008903D1" w14:paraId="091FD94A" w14:textId="77777777" w:rsidTr="007D1AE2">
        <w:trPr>
          <w:trHeight w:val="246"/>
        </w:trPr>
        <w:tc>
          <w:tcPr>
            <w:tcW w:w="704" w:type="dxa"/>
            <w:vAlign w:val="center"/>
          </w:tcPr>
          <w:p w14:paraId="538B6336" w14:textId="77777777" w:rsidR="007D1AE2" w:rsidRPr="008903D1" w:rsidRDefault="007D1AE2" w:rsidP="007D1AE2">
            <w:pPr>
              <w:jc w:val="center"/>
              <w:rPr>
                <w:rFonts w:eastAsia="等线" w:cs="Times New Roman"/>
                <w:b/>
                <w:bCs/>
                <w:sz w:val="22"/>
              </w:rPr>
            </w:pPr>
            <w:r w:rsidRPr="008903D1">
              <w:rPr>
                <w:rFonts w:eastAsia="等线" w:cs="Times New Roman"/>
                <w:b/>
                <w:bCs/>
                <w:sz w:val="22"/>
              </w:rPr>
              <w:t>Indicators</w:t>
            </w:r>
          </w:p>
        </w:tc>
        <w:tc>
          <w:tcPr>
            <w:tcW w:w="6804" w:type="dxa"/>
            <w:vAlign w:val="center"/>
          </w:tcPr>
          <w:p w14:paraId="2569ECE1" w14:textId="77777777" w:rsidR="007D1AE2" w:rsidRPr="008903D1" w:rsidRDefault="007D1AE2" w:rsidP="007D1AE2">
            <w:pPr>
              <w:jc w:val="center"/>
              <w:rPr>
                <w:rFonts w:eastAsia="等线" w:cs="Times New Roman"/>
                <w:b/>
                <w:bCs/>
                <w:sz w:val="22"/>
              </w:rPr>
            </w:pPr>
            <w:r w:rsidRPr="008903D1">
              <w:rPr>
                <w:rFonts w:eastAsia="等线" w:cs="Times New Roman"/>
                <w:b/>
                <w:bCs/>
                <w:sz w:val="22"/>
              </w:rPr>
              <w:t>Dedicate</w:t>
            </w:r>
            <w:r>
              <w:rPr>
                <w:rFonts w:eastAsia="等线" w:cs="Times New Roman" w:hint="eastAsia"/>
                <w:b/>
                <w:bCs/>
                <w:sz w:val="22"/>
              </w:rPr>
              <w:t>d</w:t>
            </w:r>
            <w:r w:rsidRPr="008903D1">
              <w:rPr>
                <w:rFonts w:eastAsia="等线" w:cs="Times New Roman"/>
                <w:b/>
                <w:bCs/>
                <w:sz w:val="22"/>
              </w:rPr>
              <w:t xml:space="preserve"> Questions for each indicator</w:t>
            </w:r>
          </w:p>
        </w:tc>
        <w:tc>
          <w:tcPr>
            <w:tcW w:w="1508" w:type="dxa"/>
            <w:vAlign w:val="center"/>
          </w:tcPr>
          <w:p w14:paraId="6BB13A8B" w14:textId="77777777" w:rsidR="007D1AE2" w:rsidRPr="008903D1" w:rsidRDefault="007D1AE2" w:rsidP="007D1AE2">
            <w:pPr>
              <w:jc w:val="center"/>
              <w:rPr>
                <w:rFonts w:eastAsia="等线" w:cs="Times New Roman"/>
                <w:b/>
                <w:bCs/>
                <w:sz w:val="22"/>
              </w:rPr>
            </w:pPr>
            <w:r w:rsidRPr="008903D1">
              <w:rPr>
                <w:rFonts w:eastAsia="等线" w:cs="Times New Roman"/>
                <w:b/>
                <w:bCs/>
                <w:sz w:val="22"/>
              </w:rPr>
              <w:t>Common Questions for all Indicators</w:t>
            </w:r>
          </w:p>
        </w:tc>
      </w:tr>
      <w:tr w:rsidR="007D1AE2" w:rsidRPr="008903D1" w14:paraId="575EE0FE" w14:textId="77777777" w:rsidTr="007D1AE2">
        <w:trPr>
          <w:trHeight w:val="246"/>
        </w:trPr>
        <w:tc>
          <w:tcPr>
            <w:tcW w:w="704" w:type="dxa"/>
          </w:tcPr>
          <w:p w14:paraId="25DFA9DA" w14:textId="77777777" w:rsidR="007D1AE2" w:rsidRPr="008903D1" w:rsidRDefault="007D1AE2" w:rsidP="007D1AE2">
            <w:pPr>
              <w:rPr>
                <w:rFonts w:eastAsia="等线" w:cs="Times New Roman"/>
                <w:sz w:val="22"/>
              </w:rPr>
            </w:pPr>
            <w:r w:rsidRPr="008903D1">
              <w:rPr>
                <w:rFonts w:eastAsia="等线" w:cs="Times New Roman"/>
                <w:sz w:val="22"/>
              </w:rPr>
              <w:t>AOC</w:t>
            </w:r>
          </w:p>
        </w:tc>
        <w:tc>
          <w:tcPr>
            <w:tcW w:w="6804" w:type="dxa"/>
          </w:tcPr>
          <w:p w14:paraId="1083CBFE" w14:textId="77777777" w:rsidR="007D1AE2" w:rsidRPr="008903D1" w:rsidRDefault="007D1AE2" w:rsidP="007D1AE2">
            <w:pPr>
              <w:rPr>
                <w:rFonts w:eastAsia="等线" w:cs="Times New Roman"/>
                <w:sz w:val="22"/>
              </w:rPr>
            </w:pPr>
            <w:r w:rsidRPr="008903D1">
              <w:rPr>
                <w:rFonts w:eastAsia="等线" w:cs="Times New Roman"/>
                <w:sz w:val="22"/>
              </w:rPr>
              <w:t>(1) What is the cost structure of this UCC? (2) Which logistics activities (or items) significantly influence the cost of this UCC?</w:t>
            </w:r>
          </w:p>
        </w:tc>
        <w:tc>
          <w:tcPr>
            <w:tcW w:w="1508" w:type="dxa"/>
            <w:vMerge w:val="restart"/>
            <w:vAlign w:val="center"/>
          </w:tcPr>
          <w:p w14:paraId="2B3580CD" w14:textId="77777777" w:rsidR="007D1AE2" w:rsidRPr="008903D1" w:rsidRDefault="007D1AE2" w:rsidP="007D1AE2">
            <w:pPr>
              <w:jc w:val="center"/>
              <w:rPr>
                <w:rFonts w:eastAsia="等线" w:cs="Times New Roman"/>
                <w:sz w:val="22"/>
              </w:rPr>
            </w:pPr>
            <w:r w:rsidRPr="008903D1">
              <w:rPr>
                <w:rFonts w:eastAsia="等线" w:cs="Times New Roman"/>
                <w:sz w:val="22"/>
              </w:rPr>
              <w:t>(1) Do you think whether this factor has significant impacts on the operation of UCC or not?</w:t>
            </w:r>
          </w:p>
          <w:p w14:paraId="3E9B14C9" w14:textId="77777777" w:rsidR="007D1AE2" w:rsidRPr="008903D1" w:rsidRDefault="007D1AE2" w:rsidP="007D1AE2">
            <w:pPr>
              <w:jc w:val="center"/>
              <w:rPr>
                <w:rFonts w:eastAsia="等线" w:cs="Times New Roman"/>
                <w:sz w:val="22"/>
              </w:rPr>
            </w:pPr>
          </w:p>
          <w:p w14:paraId="5E793477" w14:textId="77777777" w:rsidR="007D1AE2" w:rsidRPr="008903D1" w:rsidRDefault="007D1AE2" w:rsidP="007D1AE2">
            <w:pPr>
              <w:jc w:val="center"/>
              <w:rPr>
                <w:rFonts w:eastAsia="等线" w:cs="Times New Roman"/>
                <w:sz w:val="22"/>
              </w:rPr>
            </w:pPr>
            <w:r w:rsidRPr="008903D1">
              <w:rPr>
                <w:rFonts w:eastAsia="等线" w:cs="Times New Roman"/>
                <w:sz w:val="22"/>
              </w:rPr>
              <w:t>(2) How do you think the UCC’s performance on such indicator?</w:t>
            </w:r>
          </w:p>
          <w:p w14:paraId="6ADEA413" w14:textId="77777777" w:rsidR="007D1AE2" w:rsidRPr="008903D1" w:rsidRDefault="007D1AE2" w:rsidP="007D1AE2">
            <w:pPr>
              <w:jc w:val="center"/>
              <w:rPr>
                <w:rFonts w:eastAsia="等线" w:cs="Times New Roman"/>
                <w:sz w:val="22"/>
              </w:rPr>
            </w:pPr>
          </w:p>
          <w:p w14:paraId="7A496DDA" w14:textId="77777777" w:rsidR="007D1AE2" w:rsidRPr="008903D1" w:rsidRDefault="007D1AE2" w:rsidP="007D1AE2">
            <w:pPr>
              <w:jc w:val="center"/>
              <w:rPr>
                <w:rFonts w:eastAsia="等线" w:cs="Times New Roman"/>
                <w:sz w:val="22"/>
              </w:rPr>
            </w:pPr>
            <w:r w:rsidRPr="008903D1">
              <w:rPr>
                <w:rFonts w:eastAsia="等线" w:cs="Times New Roman"/>
                <w:sz w:val="22"/>
              </w:rPr>
              <w:t xml:space="preserve">(3) Is (are) there any issue(s) with the UCC’s performance on this indicator? What is (are) it (them)? </w:t>
            </w:r>
          </w:p>
          <w:p w14:paraId="6E083542" w14:textId="77777777" w:rsidR="007D1AE2" w:rsidRPr="008903D1" w:rsidRDefault="007D1AE2" w:rsidP="007D1AE2">
            <w:pPr>
              <w:jc w:val="center"/>
              <w:rPr>
                <w:rFonts w:eastAsia="等线" w:cs="Times New Roman"/>
                <w:sz w:val="22"/>
              </w:rPr>
            </w:pPr>
          </w:p>
          <w:p w14:paraId="4BF028ED" w14:textId="77777777" w:rsidR="007D1AE2" w:rsidRPr="008903D1" w:rsidRDefault="007D1AE2" w:rsidP="007D1AE2">
            <w:pPr>
              <w:jc w:val="center"/>
              <w:rPr>
                <w:rFonts w:eastAsia="等线" w:cs="Times New Roman"/>
                <w:sz w:val="22"/>
              </w:rPr>
            </w:pPr>
            <w:r w:rsidRPr="008903D1">
              <w:rPr>
                <w:rFonts w:eastAsia="等线" w:cs="Times New Roman"/>
                <w:sz w:val="22"/>
              </w:rPr>
              <w:t>(4) Do you implement any measures to deal with them?</w:t>
            </w:r>
          </w:p>
        </w:tc>
      </w:tr>
      <w:tr w:rsidR="007D1AE2" w:rsidRPr="008903D1" w14:paraId="23DCF128" w14:textId="77777777" w:rsidTr="007D1AE2">
        <w:tc>
          <w:tcPr>
            <w:tcW w:w="704" w:type="dxa"/>
          </w:tcPr>
          <w:p w14:paraId="6DEA4264" w14:textId="77777777" w:rsidR="007D1AE2" w:rsidRPr="008903D1" w:rsidRDefault="007D1AE2" w:rsidP="007D1AE2">
            <w:pPr>
              <w:rPr>
                <w:rFonts w:eastAsia="等线" w:cs="Times New Roman"/>
                <w:sz w:val="22"/>
              </w:rPr>
            </w:pPr>
            <w:r w:rsidRPr="008903D1">
              <w:rPr>
                <w:rFonts w:eastAsia="等线" w:cs="Times New Roman"/>
                <w:sz w:val="22"/>
              </w:rPr>
              <w:t>TOP</w:t>
            </w:r>
          </w:p>
        </w:tc>
        <w:tc>
          <w:tcPr>
            <w:tcW w:w="6804" w:type="dxa"/>
          </w:tcPr>
          <w:p w14:paraId="4F01F987" w14:textId="77777777" w:rsidR="007D1AE2" w:rsidRPr="008903D1" w:rsidRDefault="007D1AE2" w:rsidP="007D1AE2">
            <w:pPr>
              <w:rPr>
                <w:rFonts w:eastAsia="等线" w:cs="Times New Roman"/>
                <w:sz w:val="22"/>
              </w:rPr>
            </w:pPr>
            <w:r w:rsidRPr="008903D1">
              <w:rPr>
                <w:rFonts w:eastAsia="等线" w:cs="Times New Roman"/>
                <w:sz w:val="22"/>
              </w:rPr>
              <w:t xml:space="preserve">How do you set the charge price for the UCC service? </w:t>
            </w:r>
          </w:p>
        </w:tc>
        <w:tc>
          <w:tcPr>
            <w:tcW w:w="1508" w:type="dxa"/>
            <w:vMerge/>
          </w:tcPr>
          <w:p w14:paraId="19CE8BFC" w14:textId="77777777" w:rsidR="007D1AE2" w:rsidRPr="008903D1" w:rsidRDefault="007D1AE2" w:rsidP="007D1AE2">
            <w:pPr>
              <w:rPr>
                <w:rFonts w:eastAsia="等线" w:cs="Times New Roman"/>
                <w:sz w:val="22"/>
              </w:rPr>
            </w:pPr>
          </w:p>
        </w:tc>
      </w:tr>
      <w:tr w:rsidR="007D1AE2" w:rsidRPr="008903D1" w14:paraId="739EE49C" w14:textId="77777777" w:rsidTr="007D1AE2">
        <w:tc>
          <w:tcPr>
            <w:tcW w:w="704" w:type="dxa"/>
          </w:tcPr>
          <w:p w14:paraId="6E1C3E41" w14:textId="77777777" w:rsidR="007D1AE2" w:rsidRPr="008903D1" w:rsidRDefault="007D1AE2" w:rsidP="007D1AE2">
            <w:pPr>
              <w:rPr>
                <w:rFonts w:eastAsia="等线" w:cs="Times New Roman"/>
                <w:sz w:val="22"/>
              </w:rPr>
            </w:pPr>
            <w:r w:rsidRPr="008903D1">
              <w:rPr>
                <w:rFonts w:eastAsia="等线" w:cs="Times New Roman"/>
                <w:sz w:val="22"/>
              </w:rPr>
              <w:t>ISUR</w:t>
            </w:r>
          </w:p>
        </w:tc>
        <w:tc>
          <w:tcPr>
            <w:tcW w:w="6804" w:type="dxa"/>
          </w:tcPr>
          <w:p w14:paraId="4C8D42B1" w14:textId="77777777" w:rsidR="007D1AE2" w:rsidRPr="008903D1" w:rsidRDefault="007D1AE2" w:rsidP="007D1AE2">
            <w:pPr>
              <w:rPr>
                <w:rFonts w:eastAsia="等线" w:cs="Times New Roman"/>
                <w:sz w:val="22"/>
              </w:rPr>
            </w:pPr>
            <w:r w:rsidRPr="008903D1">
              <w:rPr>
                <w:rFonts w:eastAsia="等线" w:cs="Times New Roman"/>
                <w:sz w:val="22"/>
              </w:rPr>
              <w:t>(1) What is the size of the storage area of the UCC? (2) Is this area fully utilised?</w:t>
            </w:r>
          </w:p>
        </w:tc>
        <w:tc>
          <w:tcPr>
            <w:tcW w:w="1508" w:type="dxa"/>
            <w:vMerge/>
          </w:tcPr>
          <w:p w14:paraId="62445C89" w14:textId="77777777" w:rsidR="007D1AE2" w:rsidRPr="008903D1" w:rsidRDefault="007D1AE2" w:rsidP="007D1AE2">
            <w:pPr>
              <w:rPr>
                <w:rFonts w:eastAsia="等线" w:cs="Times New Roman"/>
                <w:sz w:val="22"/>
              </w:rPr>
            </w:pPr>
          </w:p>
        </w:tc>
      </w:tr>
      <w:tr w:rsidR="007D1AE2" w:rsidRPr="008903D1" w14:paraId="6C5C9F3A" w14:textId="77777777" w:rsidTr="007D1AE2">
        <w:tc>
          <w:tcPr>
            <w:tcW w:w="704" w:type="dxa"/>
          </w:tcPr>
          <w:p w14:paraId="31B523A4" w14:textId="77777777" w:rsidR="007D1AE2" w:rsidRPr="008903D1" w:rsidRDefault="007D1AE2" w:rsidP="007D1AE2">
            <w:pPr>
              <w:rPr>
                <w:rFonts w:eastAsia="等线" w:cs="Times New Roman"/>
                <w:sz w:val="22"/>
              </w:rPr>
            </w:pPr>
            <w:r w:rsidRPr="008903D1">
              <w:rPr>
                <w:rFonts w:eastAsia="等线" w:cs="Times New Roman"/>
                <w:sz w:val="22"/>
              </w:rPr>
              <w:t>GHEE</w:t>
            </w:r>
          </w:p>
        </w:tc>
        <w:tc>
          <w:tcPr>
            <w:tcW w:w="6804" w:type="dxa"/>
          </w:tcPr>
          <w:p w14:paraId="0D2524DF" w14:textId="77777777" w:rsidR="007D1AE2" w:rsidRPr="008903D1" w:rsidRDefault="007D1AE2" w:rsidP="007D1AE2">
            <w:pPr>
              <w:rPr>
                <w:rFonts w:eastAsia="等线" w:cs="Times New Roman"/>
                <w:sz w:val="22"/>
              </w:rPr>
            </w:pPr>
            <w:r w:rsidRPr="008903D1">
              <w:rPr>
                <w:rFonts w:eastAsia="等线" w:cs="Times New Roman"/>
                <w:sz w:val="22"/>
              </w:rPr>
              <w:t xml:space="preserve">(1) How many workers are this UCC employing? (2) How many goods are you handling on average in each working day? </w:t>
            </w:r>
          </w:p>
        </w:tc>
        <w:tc>
          <w:tcPr>
            <w:tcW w:w="1508" w:type="dxa"/>
            <w:vMerge/>
          </w:tcPr>
          <w:p w14:paraId="65042DC4" w14:textId="77777777" w:rsidR="007D1AE2" w:rsidRPr="008903D1" w:rsidRDefault="007D1AE2" w:rsidP="007D1AE2">
            <w:pPr>
              <w:rPr>
                <w:rFonts w:eastAsia="等线" w:cs="Times New Roman"/>
                <w:sz w:val="22"/>
              </w:rPr>
            </w:pPr>
          </w:p>
        </w:tc>
      </w:tr>
      <w:tr w:rsidR="007D1AE2" w:rsidRPr="008903D1" w14:paraId="10AADB68" w14:textId="77777777" w:rsidTr="007D1AE2">
        <w:tc>
          <w:tcPr>
            <w:tcW w:w="704" w:type="dxa"/>
          </w:tcPr>
          <w:p w14:paraId="38556AE8" w14:textId="77777777" w:rsidR="007D1AE2" w:rsidRPr="008903D1" w:rsidRDefault="007D1AE2" w:rsidP="007D1AE2">
            <w:pPr>
              <w:rPr>
                <w:rFonts w:eastAsia="等线" w:cs="Times New Roman"/>
                <w:sz w:val="22"/>
              </w:rPr>
            </w:pPr>
            <w:r w:rsidRPr="008903D1">
              <w:rPr>
                <w:rFonts w:eastAsia="等线" w:cs="Times New Roman"/>
                <w:sz w:val="22"/>
              </w:rPr>
              <w:t>DAR</w:t>
            </w:r>
          </w:p>
        </w:tc>
        <w:tc>
          <w:tcPr>
            <w:tcW w:w="6804" w:type="dxa"/>
          </w:tcPr>
          <w:p w14:paraId="3FF3236B" w14:textId="77777777" w:rsidR="007D1AE2" w:rsidRPr="008903D1" w:rsidRDefault="007D1AE2" w:rsidP="007D1AE2">
            <w:pPr>
              <w:rPr>
                <w:rFonts w:eastAsia="等线" w:cs="Times New Roman"/>
                <w:sz w:val="22"/>
              </w:rPr>
            </w:pPr>
            <w:r w:rsidRPr="008903D1">
              <w:rPr>
                <w:rFonts w:eastAsia="等线" w:cs="Times New Roman"/>
                <w:sz w:val="22"/>
              </w:rPr>
              <w:t>(1) Which logistics activities will cause the goods damage? (2) Can you guarantee on-time delivery?  (3) Which issues will lead to the delay delivery?</w:t>
            </w:r>
          </w:p>
        </w:tc>
        <w:tc>
          <w:tcPr>
            <w:tcW w:w="1508" w:type="dxa"/>
            <w:vMerge/>
          </w:tcPr>
          <w:p w14:paraId="6DA2913E" w14:textId="77777777" w:rsidR="007D1AE2" w:rsidRPr="008903D1" w:rsidRDefault="007D1AE2" w:rsidP="007D1AE2">
            <w:pPr>
              <w:rPr>
                <w:rFonts w:eastAsia="等线" w:cs="Times New Roman"/>
                <w:sz w:val="22"/>
              </w:rPr>
            </w:pPr>
          </w:p>
        </w:tc>
      </w:tr>
      <w:tr w:rsidR="007D1AE2" w:rsidRPr="008903D1" w14:paraId="03A2B247" w14:textId="77777777" w:rsidTr="007D1AE2">
        <w:tc>
          <w:tcPr>
            <w:tcW w:w="704" w:type="dxa"/>
          </w:tcPr>
          <w:p w14:paraId="05AFDD35" w14:textId="77777777" w:rsidR="007D1AE2" w:rsidRPr="008903D1" w:rsidRDefault="007D1AE2" w:rsidP="007D1AE2">
            <w:pPr>
              <w:rPr>
                <w:rFonts w:eastAsia="等线" w:cs="Times New Roman"/>
                <w:sz w:val="22"/>
              </w:rPr>
            </w:pPr>
            <w:r w:rsidRPr="008903D1">
              <w:rPr>
                <w:rFonts w:eastAsia="等线" w:cs="Times New Roman"/>
                <w:sz w:val="22"/>
              </w:rPr>
              <w:t>LTDU</w:t>
            </w:r>
          </w:p>
        </w:tc>
        <w:tc>
          <w:tcPr>
            <w:tcW w:w="6804" w:type="dxa"/>
          </w:tcPr>
          <w:p w14:paraId="46C5E51D" w14:textId="77777777" w:rsidR="007D1AE2" w:rsidRPr="008903D1" w:rsidRDefault="007D1AE2" w:rsidP="007D1AE2">
            <w:pPr>
              <w:rPr>
                <w:rFonts w:eastAsia="等线" w:cs="Times New Roman"/>
                <w:sz w:val="22"/>
              </w:rPr>
            </w:pPr>
            <w:r w:rsidRPr="008903D1">
              <w:rPr>
                <w:rFonts w:eastAsia="等线" w:cs="Times New Roman"/>
                <w:sz w:val="22"/>
              </w:rPr>
              <w:t>(1) How long it takes to handling goods in the UCC before delivery</w:t>
            </w:r>
          </w:p>
        </w:tc>
        <w:tc>
          <w:tcPr>
            <w:tcW w:w="1508" w:type="dxa"/>
            <w:vMerge/>
          </w:tcPr>
          <w:p w14:paraId="30F35F7B" w14:textId="77777777" w:rsidR="007D1AE2" w:rsidRPr="008903D1" w:rsidRDefault="007D1AE2" w:rsidP="007D1AE2">
            <w:pPr>
              <w:rPr>
                <w:rFonts w:eastAsia="等线" w:cs="Times New Roman"/>
                <w:sz w:val="22"/>
              </w:rPr>
            </w:pPr>
          </w:p>
        </w:tc>
      </w:tr>
      <w:tr w:rsidR="007D1AE2" w:rsidRPr="008903D1" w14:paraId="2223DDBF" w14:textId="77777777" w:rsidTr="007D1AE2">
        <w:tc>
          <w:tcPr>
            <w:tcW w:w="704" w:type="dxa"/>
          </w:tcPr>
          <w:p w14:paraId="139DF0F0" w14:textId="77777777" w:rsidR="007D1AE2" w:rsidRPr="008903D1" w:rsidRDefault="007D1AE2" w:rsidP="007D1AE2">
            <w:pPr>
              <w:rPr>
                <w:rFonts w:eastAsia="等线" w:cs="Times New Roman"/>
                <w:sz w:val="22"/>
              </w:rPr>
            </w:pPr>
            <w:r w:rsidRPr="008903D1">
              <w:rPr>
                <w:rFonts w:eastAsia="等线" w:cs="Times New Roman"/>
                <w:sz w:val="22"/>
              </w:rPr>
              <w:t>PAV</w:t>
            </w:r>
          </w:p>
        </w:tc>
        <w:tc>
          <w:tcPr>
            <w:tcW w:w="6804" w:type="dxa"/>
          </w:tcPr>
          <w:p w14:paraId="2D30E1EF" w14:textId="77777777" w:rsidR="007D1AE2" w:rsidRPr="008903D1" w:rsidRDefault="007D1AE2" w:rsidP="007D1AE2">
            <w:pPr>
              <w:rPr>
                <w:rFonts w:eastAsia="等线" w:cs="Times New Roman"/>
                <w:sz w:val="22"/>
              </w:rPr>
            </w:pPr>
            <w:r w:rsidRPr="008903D1">
              <w:rPr>
                <w:rFonts w:eastAsia="等线" w:cs="Times New Roman"/>
                <w:sz w:val="22"/>
              </w:rPr>
              <w:t xml:space="preserve">(1) How many alternative vehicles are you implementing for the urban delivery? (2) what are the percentages of alternative vehicle to </w:t>
            </w:r>
            <w:proofErr w:type="gramStart"/>
            <w:r w:rsidRPr="008903D1">
              <w:rPr>
                <w:rFonts w:eastAsia="等线" w:cs="Times New Roman"/>
                <w:sz w:val="22"/>
              </w:rPr>
              <w:t>the all</w:t>
            </w:r>
            <w:proofErr w:type="gramEnd"/>
            <w:r w:rsidRPr="008903D1">
              <w:rPr>
                <w:rFonts w:eastAsia="等线" w:cs="Times New Roman"/>
                <w:sz w:val="22"/>
              </w:rPr>
              <w:t xml:space="preserve"> vehicles you are using</w:t>
            </w:r>
          </w:p>
        </w:tc>
        <w:tc>
          <w:tcPr>
            <w:tcW w:w="1508" w:type="dxa"/>
            <w:vMerge/>
          </w:tcPr>
          <w:p w14:paraId="475850E3" w14:textId="77777777" w:rsidR="007D1AE2" w:rsidRPr="008903D1" w:rsidRDefault="007D1AE2" w:rsidP="007D1AE2">
            <w:pPr>
              <w:rPr>
                <w:rFonts w:eastAsia="等线" w:cs="Times New Roman"/>
                <w:sz w:val="22"/>
              </w:rPr>
            </w:pPr>
          </w:p>
        </w:tc>
      </w:tr>
      <w:tr w:rsidR="007D1AE2" w:rsidRPr="008903D1" w14:paraId="7C7151D3" w14:textId="77777777" w:rsidTr="007D1AE2">
        <w:tc>
          <w:tcPr>
            <w:tcW w:w="704" w:type="dxa"/>
          </w:tcPr>
          <w:p w14:paraId="54FEB496" w14:textId="77777777" w:rsidR="007D1AE2" w:rsidRPr="008903D1" w:rsidRDefault="007D1AE2" w:rsidP="007D1AE2">
            <w:pPr>
              <w:rPr>
                <w:rFonts w:eastAsia="等线" w:cs="Times New Roman"/>
                <w:sz w:val="22"/>
              </w:rPr>
            </w:pPr>
            <w:r w:rsidRPr="008903D1">
              <w:rPr>
                <w:rFonts w:eastAsia="等线" w:cs="Times New Roman"/>
                <w:sz w:val="22"/>
              </w:rPr>
              <w:t>TLR</w:t>
            </w:r>
          </w:p>
        </w:tc>
        <w:tc>
          <w:tcPr>
            <w:tcW w:w="6804" w:type="dxa"/>
          </w:tcPr>
          <w:p w14:paraId="4A62D447" w14:textId="77777777" w:rsidR="007D1AE2" w:rsidRPr="008903D1" w:rsidRDefault="007D1AE2" w:rsidP="007D1AE2">
            <w:pPr>
              <w:rPr>
                <w:rFonts w:eastAsia="等线" w:cs="Times New Roman"/>
                <w:sz w:val="22"/>
              </w:rPr>
            </w:pPr>
            <w:r w:rsidRPr="008903D1">
              <w:rPr>
                <w:rFonts w:eastAsia="等线" w:cs="Times New Roman"/>
                <w:sz w:val="22"/>
              </w:rPr>
              <w:t xml:space="preserve">Do you know the value of average truck-loading rate for the urban delivery? </w:t>
            </w:r>
          </w:p>
        </w:tc>
        <w:tc>
          <w:tcPr>
            <w:tcW w:w="1508" w:type="dxa"/>
            <w:vMerge/>
          </w:tcPr>
          <w:p w14:paraId="4C769650" w14:textId="77777777" w:rsidR="007D1AE2" w:rsidRPr="008903D1" w:rsidRDefault="007D1AE2" w:rsidP="007D1AE2">
            <w:pPr>
              <w:rPr>
                <w:rFonts w:eastAsia="等线" w:cs="Times New Roman"/>
                <w:sz w:val="22"/>
              </w:rPr>
            </w:pPr>
          </w:p>
        </w:tc>
      </w:tr>
      <w:tr w:rsidR="007D1AE2" w:rsidRPr="008903D1" w14:paraId="68E77C0C" w14:textId="77777777" w:rsidTr="007D1AE2">
        <w:tc>
          <w:tcPr>
            <w:tcW w:w="704" w:type="dxa"/>
          </w:tcPr>
          <w:p w14:paraId="225D18E5" w14:textId="77777777" w:rsidR="007D1AE2" w:rsidRPr="008903D1" w:rsidRDefault="007D1AE2" w:rsidP="007D1AE2">
            <w:pPr>
              <w:rPr>
                <w:rFonts w:eastAsia="等线" w:cs="Times New Roman"/>
                <w:sz w:val="22"/>
              </w:rPr>
            </w:pPr>
            <w:r w:rsidRPr="008903D1">
              <w:rPr>
                <w:rFonts w:eastAsia="等线" w:cs="Times New Roman"/>
                <w:sz w:val="22"/>
              </w:rPr>
              <w:t>TMUA</w:t>
            </w:r>
          </w:p>
        </w:tc>
        <w:tc>
          <w:tcPr>
            <w:tcW w:w="6804" w:type="dxa"/>
          </w:tcPr>
          <w:p w14:paraId="6890CBCD" w14:textId="77777777" w:rsidR="007D1AE2" w:rsidRPr="008903D1" w:rsidRDefault="007D1AE2" w:rsidP="007D1AE2">
            <w:pPr>
              <w:rPr>
                <w:rFonts w:eastAsia="等线" w:cs="Times New Roman"/>
                <w:sz w:val="22"/>
              </w:rPr>
            </w:pPr>
            <w:r w:rsidRPr="008903D1">
              <w:rPr>
                <w:rFonts w:eastAsia="等线" w:cs="Times New Roman"/>
                <w:sz w:val="22"/>
              </w:rPr>
              <w:t>(1) Does the UCC project result in reduced travel miles when comparing to the delivery without UCC? (2)</w:t>
            </w:r>
            <w:r>
              <w:rPr>
                <w:rFonts w:eastAsia="等线" w:cs="Times New Roman"/>
                <w:sz w:val="22"/>
              </w:rPr>
              <w:t xml:space="preserve"> </w:t>
            </w:r>
            <w:r w:rsidRPr="008903D1">
              <w:rPr>
                <w:rFonts w:eastAsia="等线" w:cs="Times New Roman"/>
                <w:sz w:val="22"/>
              </w:rPr>
              <w:t>Do you know the value of the travel mile reduction?</w:t>
            </w:r>
          </w:p>
        </w:tc>
        <w:tc>
          <w:tcPr>
            <w:tcW w:w="1508" w:type="dxa"/>
            <w:vMerge/>
          </w:tcPr>
          <w:p w14:paraId="15E763AC" w14:textId="77777777" w:rsidR="007D1AE2" w:rsidRPr="008903D1" w:rsidRDefault="007D1AE2" w:rsidP="007D1AE2">
            <w:pPr>
              <w:rPr>
                <w:rFonts w:eastAsia="等线" w:cs="Times New Roman"/>
                <w:sz w:val="22"/>
              </w:rPr>
            </w:pPr>
          </w:p>
        </w:tc>
      </w:tr>
      <w:tr w:rsidR="007D1AE2" w:rsidRPr="008903D1" w14:paraId="62770425" w14:textId="77777777" w:rsidTr="007D1AE2">
        <w:tc>
          <w:tcPr>
            <w:tcW w:w="704" w:type="dxa"/>
          </w:tcPr>
          <w:p w14:paraId="138ECBE7" w14:textId="77777777" w:rsidR="007D1AE2" w:rsidRPr="008903D1" w:rsidRDefault="007D1AE2" w:rsidP="007D1AE2">
            <w:pPr>
              <w:rPr>
                <w:rFonts w:eastAsia="等线" w:cs="Times New Roman"/>
                <w:sz w:val="22"/>
              </w:rPr>
            </w:pPr>
            <w:r w:rsidRPr="008903D1">
              <w:rPr>
                <w:rFonts w:eastAsia="等线" w:cs="Times New Roman"/>
                <w:sz w:val="22"/>
              </w:rPr>
              <w:t>NDT</w:t>
            </w:r>
          </w:p>
        </w:tc>
        <w:tc>
          <w:tcPr>
            <w:tcW w:w="6804" w:type="dxa"/>
          </w:tcPr>
          <w:p w14:paraId="683113D7" w14:textId="77777777" w:rsidR="007D1AE2" w:rsidRPr="008903D1" w:rsidRDefault="007D1AE2" w:rsidP="007D1AE2">
            <w:pPr>
              <w:rPr>
                <w:rFonts w:eastAsia="等线" w:cs="Times New Roman"/>
                <w:sz w:val="22"/>
              </w:rPr>
            </w:pPr>
            <w:r w:rsidRPr="008903D1">
              <w:rPr>
                <w:rFonts w:eastAsia="等线" w:cs="Times New Roman"/>
                <w:sz w:val="22"/>
              </w:rPr>
              <w:t>(1) How many delivery trips are you implementing in each day? (2) Does the UCC project result in reduced number of delivery trips when comparing to the delivery without UCC?</w:t>
            </w:r>
          </w:p>
        </w:tc>
        <w:tc>
          <w:tcPr>
            <w:tcW w:w="1508" w:type="dxa"/>
            <w:vMerge/>
          </w:tcPr>
          <w:p w14:paraId="3DD2FE6A" w14:textId="77777777" w:rsidR="007D1AE2" w:rsidRPr="008903D1" w:rsidRDefault="007D1AE2" w:rsidP="007D1AE2">
            <w:pPr>
              <w:rPr>
                <w:rFonts w:eastAsia="等线" w:cs="Times New Roman"/>
                <w:sz w:val="22"/>
              </w:rPr>
            </w:pPr>
          </w:p>
        </w:tc>
      </w:tr>
      <w:tr w:rsidR="007D1AE2" w:rsidRPr="008903D1" w14:paraId="54233937" w14:textId="77777777" w:rsidTr="007D1AE2">
        <w:tc>
          <w:tcPr>
            <w:tcW w:w="704" w:type="dxa"/>
          </w:tcPr>
          <w:p w14:paraId="0AE6DEE7" w14:textId="77777777" w:rsidR="007D1AE2" w:rsidRPr="008903D1" w:rsidRDefault="007D1AE2" w:rsidP="007D1AE2">
            <w:pPr>
              <w:rPr>
                <w:rFonts w:eastAsia="等线" w:cs="Times New Roman"/>
                <w:sz w:val="22"/>
              </w:rPr>
            </w:pPr>
            <w:r w:rsidRPr="008903D1">
              <w:rPr>
                <w:rFonts w:eastAsia="等线" w:cs="Times New Roman"/>
                <w:sz w:val="22"/>
              </w:rPr>
              <w:t>PFI</w:t>
            </w:r>
          </w:p>
        </w:tc>
        <w:tc>
          <w:tcPr>
            <w:tcW w:w="6804" w:type="dxa"/>
          </w:tcPr>
          <w:p w14:paraId="56020721" w14:textId="77777777" w:rsidR="007D1AE2" w:rsidRPr="008903D1" w:rsidRDefault="007D1AE2" w:rsidP="007D1AE2">
            <w:pPr>
              <w:rPr>
                <w:rFonts w:eastAsia="等线" w:cs="Times New Roman"/>
                <w:sz w:val="22"/>
              </w:rPr>
            </w:pPr>
            <w:r w:rsidRPr="008903D1">
              <w:rPr>
                <w:rFonts w:eastAsia="等线" w:cs="Times New Roman"/>
                <w:sz w:val="22"/>
              </w:rPr>
              <w:t>(1) How much money do you received from the government or public institutions? (2)</w:t>
            </w:r>
            <w:r w:rsidRPr="00A96AC5">
              <w:rPr>
                <w:rFonts w:eastAsia="等线" w:cs="Times New Roman"/>
                <w:sz w:val="22"/>
              </w:rPr>
              <w:t xml:space="preserve"> </w:t>
            </w:r>
            <w:r w:rsidRPr="008903D1">
              <w:rPr>
                <w:rFonts w:eastAsia="等线" w:cs="Times New Roman"/>
                <w:sz w:val="22"/>
              </w:rPr>
              <w:t>Why do you get subsidies? (3) How do you use this money? (4) Except the financial support, do you receive any other support from the local government?</w:t>
            </w:r>
          </w:p>
        </w:tc>
        <w:tc>
          <w:tcPr>
            <w:tcW w:w="1508" w:type="dxa"/>
            <w:vMerge/>
          </w:tcPr>
          <w:p w14:paraId="26D85435" w14:textId="77777777" w:rsidR="007D1AE2" w:rsidRPr="008903D1" w:rsidRDefault="007D1AE2" w:rsidP="007D1AE2">
            <w:pPr>
              <w:rPr>
                <w:rFonts w:eastAsia="等线" w:cs="Times New Roman"/>
                <w:sz w:val="22"/>
              </w:rPr>
            </w:pPr>
          </w:p>
        </w:tc>
      </w:tr>
      <w:tr w:rsidR="007D1AE2" w:rsidRPr="008903D1" w14:paraId="2584E18C" w14:textId="77777777" w:rsidTr="007D1AE2">
        <w:tc>
          <w:tcPr>
            <w:tcW w:w="704" w:type="dxa"/>
          </w:tcPr>
          <w:p w14:paraId="6656C327" w14:textId="77777777" w:rsidR="007D1AE2" w:rsidRPr="008903D1" w:rsidRDefault="007D1AE2" w:rsidP="007D1AE2">
            <w:pPr>
              <w:rPr>
                <w:rFonts w:eastAsia="等线" w:cs="Times New Roman"/>
                <w:sz w:val="22"/>
              </w:rPr>
            </w:pPr>
            <w:r w:rsidRPr="008903D1">
              <w:rPr>
                <w:rFonts w:eastAsia="等线" w:cs="Times New Roman"/>
                <w:sz w:val="22"/>
              </w:rPr>
              <w:t>ASS</w:t>
            </w:r>
          </w:p>
        </w:tc>
        <w:tc>
          <w:tcPr>
            <w:tcW w:w="6804" w:type="dxa"/>
          </w:tcPr>
          <w:p w14:paraId="298996A5" w14:textId="77777777" w:rsidR="007D1AE2" w:rsidRPr="008903D1" w:rsidRDefault="007D1AE2" w:rsidP="007D1AE2">
            <w:pPr>
              <w:rPr>
                <w:rFonts w:eastAsia="等线" w:cs="Times New Roman"/>
                <w:sz w:val="22"/>
              </w:rPr>
            </w:pPr>
            <w:r w:rsidRPr="008903D1">
              <w:rPr>
                <w:rFonts w:eastAsia="等线" w:cs="Times New Roman"/>
                <w:sz w:val="22"/>
              </w:rPr>
              <w:t>What is the salary of workers?</w:t>
            </w:r>
          </w:p>
        </w:tc>
        <w:tc>
          <w:tcPr>
            <w:tcW w:w="1508" w:type="dxa"/>
            <w:vMerge/>
          </w:tcPr>
          <w:p w14:paraId="1E650BDD" w14:textId="77777777" w:rsidR="007D1AE2" w:rsidRPr="008903D1" w:rsidRDefault="007D1AE2" w:rsidP="007D1AE2">
            <w:pPr>
              <w:rPr>
                <w:rFonts w:eastAsia="等线" w:cs="Times New Roman"/>
                <w:sz w:val="22"/>
              </w:rPr>
            </w:pPr>
          </w:p>
        </w:tc>
      </w:tr>
      <w:tr w:rsidR="007D1AE2" w:rsidRPr="008903D1" w14:paraId="4060856C" w14:textId="77777777" w:rsidTr="007D1AE2">
        <w:tc>
          <w:tcPr>
            <w:tcW w:w="704" w:type="dxa"/>
          </w:tcPr>
          <w:p w14:paraId="75CD7D8A" w14:textId="77777777" w:rsidR="007D1AE2" w:rsidRPr="008903D1" w:rsidRDefault="007D1AE2" w:rsidP="007D1AE2">
            <w:pPr>
              <w:rPr>
                <w:rFonts w:eastAsia="等线" w:cs="Times New Roman"/>
                <w:sz w:val="22"/>
              </w:rPr>
            </w:pPr>
            <w:r w:rsidRPr="008903D1">
              <w:rPr>
                <w:rFonts w:eastAsia="等线" w:cs="Times New Roman"/>
                <w:sz w:val="22"/>
              </w:rPr>
              <w:t>WOU</w:t>
            </w:r>
          </w:p>
        </w:tc>
        <w:tc>
          <w:tcPr>
            <w:tcW w:w="6804" w:type="dxa"/>
          </w:tcPr>
          <w:p w14:paraId="6756147C" w14:textId="77777777" w:rsidR="007D1AE2" w:rsidRPr="008903D1" w:rsidRDefault="007D1AE2" w:rsidP="007D1AE2">
            <w:pPr>
              <w:rPr>
                <w:rFonts w:eastAsia="等线" w:cs="Times New Roman"/>
                <w:sz w:val="22"/>
              </w:rPr>
            </w:pPr>
            <w:r w:rsidRPr="008903D1">
              <w:rPr>
                <w:rFonts w:eastAsia="等线" w:cs="Times New Roman"/>
                <w:sz w:val="22"/>
              </w:rPr>
              <w:t>Which events will cause your staff to suffer the overtime working?</w:t>
            </w:r>
          </w:p>
        </w:tc>
        <w:tc>
          <w:tcPr>
            <w:tcW w:w="1508" w:type="dxa"/>
            <w:vMerge/>
          </w:tcPr>
          <w:p w14:paraId="6C5CD4E7" w14:textId="77777777" w:rsidR="007D1AE2" w:rsidRPr="008903D1" w:rsidRDefault="007D1AE2" w:rsidP="007D1AE2">
            <w:pPr>
              <w:rPr>
                <w:rFonts w:eastAsia="等线" w:cs="Times New Roman"/>
                <w:sz w:val="22"/>
              </w:rPr>
            </w:pPr>
          </w:p>
        </w:tc>
      </w:tr>
      <w:tr w:rsidR="007D1AE2" w:rsidRPr="008903D1" w14:paraId="6130ECAE" w14:textId="77777777" w:rsidTr="007D1AE2">
        <w:tc>
          <w:tcPr>
            <w:tcW w:w="704" w:type="dxa"/>
          </w:tcPr>
          <w:p w14:paraId="51EB6277" w14:textId="77777777" w:rsidR="007D1AE2" w:rsidRPr="008903D1" w:rsidRDefault="007D1AE2" w:rsidP="007D1AE2">
            <w:pPr>
              <w:rPr>
                <w:rFonts w:eastAsia="等线" w:cs="Times New Roman"/>
                <w:sz w:val="22"/>
              </w:rPr>
            </w:pPr>
            <w:r w:rsidRPr="008903D1">
              <w:rPr>
                <w:rFonts w:eastAsia="等线" w:cs="Times New Roman"/>
                <w:sz w:val="22"/>
              </w:rPr>
              <w:t>TTT</w:t>
            </w:r>
          </w:p>
        </w:tc>
        <w:tc>
          <w:tcPr>
            <w:tcW w:w="6804" w:type="dxa"/>
          </w:tcPr>
          <w:p w14:paraId="4E2D4E17" w14:textId="77777777" w:rsidR="007D1AE2" w:rsidRPr="008903D1" w:rsidRDefault="007D1AE2" w:rsidP="007D1AE2">
            <w:pPr>
              <w:rPr>
                <w:rFonts w:eastAsia="等线" w:cs="Times New Roman"/>
                <w:sz w:val="22"/>
              </w:rPr>
            </w:pPr>
            <w:r w:rsidRPr="008903D1">
              <w:rPr>
                <w:rFonts w:eastAsia="等线" w:cs="Times New Roman"/>
                <w:sz w:val="22"/>
              </w:rPr>
              <w:t>(1) How long will each delivery trip take? (2) Does the UCC project result in time reduction when comparing to the delivery without UCC?</w:t>
            </w:r>
          </w:p>
        </w:tc>
        <w:tc>
          <w:tcPr>
            <w:tcW w:w="1508" w:type="dxa"/>
            <w:vMerge/>
          </w:tcPr>
          <w:p w14:paraId="3B19A08C" w14:textId="77777777" w:rsidR="007D1AE2" w:rsidRPr="008903D1" w:rsidRDefault="007D1AE2" w:rsidP="007D1AE2">
            <w:pPr>
              <w:rPr>
                <w:rFonts w:eastAsia="等线" w:cs="Times New Roman"/>
                <w:sz w:val="22"/>
              </w:rPr>
            </w:pPr>
          </w:p>
        </w:tc>
      </w:tr>
      <w:tr w:rsidR="007D1AE2" w:rsidRPr="008903D1" w14:paraId="1E66155B" w14:textId="77777777" w:rsidTr="007D1AE2">
        <w:tc>
          <w:tcPr>
            <w:tcW w:w="704" w:type="dxa"/>
          </w:tcPr>
          <w:p w14:paraId="2CF4B68A" w14:textId="77777777" w:rsidR="007D1AE2" w:rsidRPr="008903D1" w:rsidRDefault="007D1AE2" w:rsidP="007D1AE2">
            <w:pPr>
              <w:rPr>
                <w:rFonts w:eastAsia="等线" w:cs="Times New Roman"/>
                <w:sz w:val="22"/>
              </w:rPr>
            </w:pPr>
            <w:r w:rsidRPr="008903D1">
              <w:rPr>
                <w:rFonts w:eastAsia="等线" w:cs="Times New Roman"/>
                <w:sz w:val="22"/>
              </w:rPr>
              <w:t>TOP</w:t>
            </w:r>
          </w:p>
        </w:tc>
        <w:tc>
          <w:tcPr>
            <w:tcW w:w="6804" w:type="dxa"/>
          </w:tcPr>
          <w:p w14:paraId="430B921E" w14:textId="77777777" w:rsidR="007D1AE2" w:rsidRPr="008903D1" w:rsidRDefault="007D1AE2" w:rsidP="007D1AE2">
            <w:pPr>
              <w:rPr>
                <w:rFonts w:eastAsia="等线" w:cs="Times New Roman"/>
                <w:sz w:val="22"/>
              </w:rPr>
            </w:pPr>
            <w:r w:rsidRPr="008903D1">
              <w:rPr>
                <w:rFonts w:eastAsia="等线" w:cs="Times New Roman"/>
                <w:sz w:val="22"/>
              </w:rPr>
              <w:t>(1) Is there a reserved parking space at each destination? (2) Do you need to adopt on-street parking strategy? (3) How long it will take for each parking period</w:t>
            </w:r>
          </w:p>
        </w:tc>
        <w:tc>
          <w:tcPr>
            <w:tcW w:w="1508" w:type="dxa"/>
            <w:vMerge/>
          </w:tcPr>
          <w:p w14:paraId="2DF15567" w14:textId="77777777" w:rsidR="007D1AE2" w:rsidRPr="008903D1" w:rsidRDefault="007D1AE2" w:rsidP="007D1AE2">
            <w:pPr>
              <w:rPr>
                <w:rFonts w:eastAsia="等线" w:cs="Times New Roman"/>
                <w:sz w:val="22"/>
              </w:rPr>
            </w:pPr>
          </w:p>
        </w:tc>
      </w:tr>
    </w:tbl>
    <w:p w14:paraId="43BF0D33" w14:textId="3A3F5EF6" w:rsidR="007D1AE2" w:rsidRPr="007D1AE2" w:rsidRDefault="007D1AE2" w:rsidP="007D1AE2">
      <w:pPr>
        <w:spacing w:after="160" w:line="259" w:lineRule="auto"/>
        <w:jc w:val="center"/>
        <w:rPr>
          <w:rFonts w:eastAsia="宋体"/>
          <w:b/>
          <w:color w:val="4F81BD"/>
          <w:sz w:val="28"/>
          <w:szCs w:val="26"/>
        </w:rPr>
      </w:pPr>
      <w:r>
        <w:br w:type="page"/>
      </w:r>
    </w:p>
    <w:p w14:paraId="6EE75050" w14:textId="2017ABD7" w:rsidR="005400D8" w:rsidRPr="00B12C85" w:rsidRDefault="005400D8" w:rsidP="005400D8">
      <w:pPr>
        <w:pStyle w:val="Heading2"/>
        <w:numPr>
          <w:ilvl w:val="0"/>
          <w:numId w:val="0"/>
        </w:numPr>
        <w:spacing w:after="120"/>
        <w:ind w:left="576" w:hanging="576"/>
      </w:pPr>
      <w:bookmarkStart w:id="1268" w:name="_Toc66703294"/>
      <w:r w:rsidRPr="00A014FD">
        <w:lastRenderedPageBreak/>
        <w:t>Appendix V – Questionnaire</w:t>
      </w:r>
      <w:r>
        <w:t xml:space="preserve"> </w:t>
      </w:r>
      <w:r>
        <w:rPr>
          <w:rFonts w:hint="eastAsia"/>
        </w:rPr>
        <w:t>and</w:t>
      </w:r>
      <w:r>
        <w:t xml:space="preserve"> </w:t>
      </w:r>
      <w:r>
        <w:rPr>
          <w:rFonts w:hint="eastAsia"/>
        </w:rPr>
        <w:t>C</w:t>
      </w:r>
      <w:r>
        <w:t xml:space="preserve">onsent </w:t>
      </w:r>
      <w:r>
        <w:rPr>
          <w:rFonts w:hint="eastAsia"/>
        </w:rPr>
        <w:t>Form</w:t>
      </w:r>
      <w:bookmarkEnd w:id="1265"/>
      <w:bookmarkEnd w:id="1266"/>
      <w:bookmarkEnd w:id="1267"/>
      <w:bookmarkEnd w:id="1268"/>
    </w:p>
    <w:p w14:paraId="3B0103AD" w14:textId="77777777" w:rsidR="005400D8" w:rsidRPr="00A014FD" w:rsidRDefault="005400D8" w:rsidP="005400D8">
      <w:pPr>
        <w:spacing w:line="276" w:lineRule="auto"/>
        <w:contextualSpacing/>
        <w:jc w:val="left"/>
        <w:rPr>
          <w:rFonts w:eastAsia="Times New Roman"/>
          <w:b/>
          <w:bCs/>
          <w:color w:val="404040"/>
          <w:shd w:val="clear" w:color="auto" w:fill="FFFFFF"/>
          <w:lang w:eastAsia="en-GB"/>
        </w:rPr>
      </w:pPr>
      <w:r w:rsidRPr="00A014FD">
        <w:rPr>
          <w:rFonts w:eastAsia="Times New Roman"/>
          <w:b/>
          <w:bCs/>
          <w:noProof/>
          <w:lang w:eastAsia="en-GB"/>
        </w:rPr>
        <w:drawing>
          <wp:anchor distT="0" distB="0" distL="114300" distR="114300" simplePos="0" relativeHeight="251658244" behindDoc="0" locked="0" layoutInCell="1" allowOverlap="1" wp14:anchorId="7A4B308D" wp14:editId="3192781A">
            <wp:simplePos x="0" y="0"/>
            <wp:positionH relativeFrom="margin">
              <wp:align>right</wp:align>
            </wp:positionH>
            <wp:positionV relativeFrom="paragraph">
              <wp:posOffset>9525</wp:posOffset>
            </wp:positionV>
            <wp:extent cx="1821815" cy="682625"/>
            <wp:effectExtent l="0" t="0" r="6985" b="317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ersity-of-sheffield.jpg"/>
                    <pic:cNvPicPr/>
                  </pic:nvPicPr>
                  <pic:blipFill>
                    <a:blip r:embed="rId158">
                      <a:extLst>
                        <a:ext uri="{28A0092B-C50C-407E-A947-70E740481C1C}">
                          <a14:useLocalDpi xmlns:a14="http://schemas.microsoft.com/office/drawing/2010/main" val="0"/>
                        </a:ext>
                      </a:extLst>
                    </a:blip>
                    <a:stretch>
                      <a:fillRect/>
                    </a:stretch>
                  </pic:blipFill>
                  <pic:spPr>
                    <a:xfrm>
                      <a:off x="0" y="0"/>
                      <a:ext cx="1821815" cy="682625"/>
                    </a:xfrm>
                    <a:prstGeom prst="rect">
                      <a:avLst/>
                    </a:prstGeom>
                  </pic:spPr>
                </pic:pic>
              </a:graphicData>
            </a:graphic>
            <wp14:sizeRelH relativeFrom="page">
              <wp14:pctWidth>0</wp14:pctWidth>
            </wp14:sizeRelH>
            <wp14:sizeRelV relativeFrom="page">
              <wp14:pctHeight>0</wp14:pctHeight>
            </wp14:sizeRelV>
          </wp:anchor>
        </w:drawing>
      </w:r>
      <w:r w:rsidRPr="00A014FD">
        <w:rPr>
          <w:rFonts w:eastAsia="Times New Roman"/>
          <w:noProof/>
          <w:lang w:eastAsia="en-GB"/>
        </w:rPr>
        <w:drawing>
          <wp:inline distT="0" distB="0" distL="0" distR="0" wp14:anchorId="5B16400E" wp14:editId="7FA44547">
            <wp:extent cx="1463040" cy="713232"/>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ys_1477603.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463040" cy="713232"/>
                    </a:xfrm>
                    <a:prstGeom prst="rect">
                      <a:avLst/>
                    </a:prstGeom>
                  </pic:spPr>
                </pic:pic>
              </a:graphicData>
            </a:graphic>
          </wp:inline>
        </w:drawing>
      </w:r>
    </w:p>
    <w:p w14:paraId="30F6CC01" w14:textId="77777777" w:rsidR="005400D8" w:rsidRPr="00A014FD" w:rsidRDefault="005400D8" w:rsidP="005400D8">
      <w:pPr>
        <w:spacing w:line="276" w:lineRule="auto"/>
        <w:contextualSpacing/>
        <w:jc w:val="center"/>
        <w:rPr>
          <w:rFonts w:eastAsia="Times New Roman"/>
          <w:b/>
          <w:bCs/>
          <w:color w:val="404040"/>
          <w:shd w:val="clear" w:color="auto" w:fill="FFFFFF"/>
          <w:lang w:eastAsia="en-GB"/>
        </w:rPr>
      </w:pPr>
    </w:p>
    <w:p w14:paraId="06FD1922" w14:textId="77777777" w:rsidR="005400D8" w:rsidRPr="00A014FD" w:rsidRDefault="005400D8" w:rsidP="005400D8">
      <w:pPr>
        <w:spacing w:line="276" w:lineRule="auto"/>
        <w:contextualSpacing/>
        <w:jc w:val="center"/>
        <w:rPr>
          <w:rFonts w:eastAsia="Times New Roman"/>
          <w:b/>
          <w:bCs/>
          <w:color w:val="404040"/>
          <w:shd w:val="clear" w:color="auto" w:fill="FFFFFF"/>
          <w:lang w:eastAsia="en-GB"/>
        </w:rPr>
      </w:pPr>
    </w:p>
    <w:p w14:paraId="36B9EDDE" w14:textId="77777777" w:rsidR="005400D8" w:rsidRPr="00A014FD" w:rsidRDefault="005400D8" w:rsidP="005400D8">
      <w:pPr>
        <w:spacing w:line="276" w:lineRule="auto"/>
        <w:contextualSpacing/>
        <w:jc w:val="center"/>
        <w:rPr>
          <w:rFonts w:eastAsia="Times New Roman"/>
          <w:b/>
          <w:bCs/>
          <w:color w:val="404040"/>
          <w:shd w:val="clear" w:color="auto" w:fill="FFFFFF"/>
          <w:lang w:eastAsia="en-GB"/>
        </w:rPr>
      </w:pPr>
      <w:r w:rsidRPr="00A014FD">
        <w:rPr>
          <w:rFonts w:eastAsia="Times New Roman"/>
          <w:b/>
          <w:bCs/>
          <w:color w:val="404040"/>
          <w:shd w:val="clear" w:color="auto" w:fill="FFFFFF"/>
          <w:lang w:eastAsia="en-GB"/>
        </w:rPr>
        <w:t xml:space="preserve">Title of Research Project: Models and Methods for Performance Evaluation and Economic Feasibility </w:t>
      </w:r>
      <w:r w:rsidRPr="00A014FD">
        <w:rPr>
          <w:rFonts w:eastAsia="Times New Roman"/>
          <w:b/>
          <w:bCs/>
          <w:color w:val="404040"/>
          <w:shd w:val="clear" w:color="auto" w:fill="FFFFFF"/>
          <w:lang w:val="en-US" w:eastAsia="en-GB"/>
        </w:rPr>
        <w:t>Urban Distribution Centers.</w:t>
      </w:r>
    </w:p>
    <w:p w14:paraId="15E72030" w14:textId="77777777" w:rsidR="005400D8" w:rsidRPr="00A014FD" w:rsidRDefault="005400D8" w:rsidP="005400D8">
      <w:pPr>
        <w:spacing w:line="276" w:lineRule="auto"/>
        <w:contextualSpacing/>
        <w:rPr>
          <w:rFonts w:eastAsia="Times New Roman"/>
          <w:color w:val="404040"/>
          <w:shd w:val="clear" w:color="auto" w:fill="FFFFFF"/>
          <w:lang w:eastAsia="en-GB"/>
        </w:rPr>
      </w:pPr>
    </w:p>
    <w:p w14:paraId="5ECA904D" w14:textId="77777777" w:rsidR="005400D8" w:rsidRPr="00A014FD" w:rsidRDefault="005400D8" w:rsidP="005400D8">
      <w:pPr>
        <w:spacing w:line="276" w:lineRule="auto"/>
        <w:contextualSpacing/>
        <w:rPr>
          <w:rFonts w:eastAsia="Times New Roman"/>
          <w:color w:val="404040"/>
          <w:shd w:val="clear" w:color="auto" w:fill="FFFFFF"/>
          <w:lang w:eastAsia="en-GB"/>
        </w:rPr>
      </w:pPr>
      <w:r w:rsidRPr="00A014FD">
        <w:rPr>
          <w:rFonts w:eastAsia="Times New Roman"/>
          <w:color w:val="404040"/>
          <w:shd w:val="clear" w:color="auto" w:fill="FFFFFF"/>
          <w:lang w:eastAsia="en-GB"/>
        </w:rPr>
        <w:t>Dear participant,</w:t>
      </w:r>
    </w:p>
    <w:p w14:paraId="1C0EC306" w14:textId="77777777" w:rsidR="005400D8" w:rsidRPr="00A014FD" w:rsidRDefault="005400D8" w:rsidP="005400D8">
      <w:pPr>
        <w:spacing w:line="276" w:lineRule="auto"/>
        <w:contextualSpacing/>
        <w:rPr>
          <w:rFonts w:eastAsia="Times New Roman"/>
          <w:color w:val="404040"/>
          <w:shd w:val="clear" w:color="auto" w:fill="FFFFFF"/>
          <w:lang w:eastAsia="en-GB"/>
        </w:rPr>
      </w:pPr>
      <w:r w:rsidRPr="00A014FD">
        <w:rPr>
          <w:rFonts w:eastAsia="Times New Roman"/>
          <w:color w:val="404040"/>
          <w:shd w:val="clear" w:color="auto" w:fill="FFFFFF"/>
          <w:lang w:eastAsia="en-GB"/>
        </w:rPr>
        <w:t xml:space="preserve">Thanks for taking part in this interview. This interview is an essential part of </w:t>
      </w:r>
      <w:r w:rsidRPr="00A014FD">
        <w:rPr>
          <w:rFonts w:eastAsia="Times New Roman"/>
          <w:noProof/>
          <w:color w:val="404040"/>
          <w:shd w:val="clear" w:color="auto" w:fill="FFFFFF"/>
          <w:lang w:eastAsia="en-GB"/>
        </w:rPr>
        <w:t>my</w:t>
      </w:r>
      <w:r w:rsidRPr="00A014FD">
        <w:rPr>
          <w:rFonts w:eastAsia="Times New Roman"/>
          <w:color w:val="404040"/>
          <w:shd w:val="clear" w:color="auto" w:fill="FFFFFF"/>
          <w:lang w:eastAsia="en-GB"/>
        </w:rPr>
        <w:t xml:space="preserve"> research. </w:t>
      </w:r>
      <w:r w:rsidRPr="00A014FD">
        <w:rPr>
          <w:rFonts w:eastAsia="Times New Roman"/>
          <w:noProof/>
          <w:color w:val="404040"/>
          <w:shd w:val="clear" w:color="auto" w:fill="FFFFFF"/>
          <w:lang w:eastAsia="en-GB"/>
        </w:rPr>
        <w:t>My research is partly covered by the ProSFeT (Promoting Sustainable Freight Transport in Urban Contexts) project</w:t>
      </w:r>
      <w:r w:rsidRPr="00A014FD">
        <w:rPr>
          <w:rFonts w:eastAsia="Times New Roman"/>
          <w:color w:val="404040"/>
          <w:shd w:val="clear" w:color="auto" w:fill="FFFFFF"/>
          <w:lang w:eastAsia="en-GB"/>
        </w:rPr>
        <w:t xml:space="preserve">, a Marie </w:t>
      </w:r>
      <w:proofErr w:type="spellStart"/>
      <w:r w:rsidRPr="00A014FD">
        <w:rPr>
          <w:rFonts w:eastAsia="Times New Roman"/>
          <w:color w:val="404040"/>
          <w:shd w:val="clear" w:color="auto" w:fill="FFFFFF"/>
          <w:lang w:eastAsia="en-GB"/>
        </w:rPr>
        <w:t>Skłodowska</w:t>
      </w:r>
      <w:proofErr w:type="spellEnd"/>
      <w:r w:rsidRPr="00A014FD">
        <w:rPr>
          <w:rFonts w:eastAsia="Times New Roman"/>
          <w:color w:val="404040"/>
          <w:shd w:val="clear" w:color="auto" w:fill="FFFFFF"/>
          <w:lang w:eastAsia="en-GB"/>
        </w:rPr>
        <w:t xml:space="preserve">-Curie Action within the </w:t>
      </w:r>
      <w:proofErr w:type="gramStart"/>
      <w:r w:rsidRPr="00A014FD">
        <w:rPr>
          <w:rFonts w:eastAsia="Times New Roman"/>
          <w:color w:val="404040"/>
          <w:shd w:val="clear" w:color="auto" w:fill="FFFFFF"/>
          <w:lang w:eastAsia="en-GB"/>
        </w:rPr>
        <w:t>Research</w:t>
      </w:r>
      <w:proofErr w:type="gramEnd"/>
      <w:r w:rsidRPr="00A014FD">
        <w:rPr>
          <w:rFonts w:eastAsia="Times New Roman"/>
          <w:color w:val="404040"/>
          <w:shd w:val="clear" w:color="auto" w:fill="FFFFFF"/>
          <w:lang w:eastAsia="en-GB"/>
        </w:rPr>
        <w:t xml:space="preserve"> and Innovation Staff Exchange (RISE) scheme, funded by the Horizon 2020 programme of the European Union. </w:t>
      </w:r>
    </w:p>
    <w:p w14:paraId="7D5C89FA" w14:textId="77777777" w:rsidR="005400D8" w:rsidRPr="00A014FD" w:rsidRDefault="005400D8" w:rsidP="005400D8">
      <w:pPr>
        <w:spacing w:line="276" w:lineRule="auto"/>
        <w:contextualSpacing/>
        <w:rPr>
          <w:rFonts w:eastAsia="Times New Roman"/>
          <w:color w:val="404040"/>
          <w:shd w:val="clear" w:color="auto" w:fill="FFFFFF"/>
          <w:lang w:eastAsia="en-GB"/>
        </w:rPr>
      </w:pPr>
      <w:r w:rsidRPr="00A014FD">
        <w:rPr>
          <w:rFonts w:eastAsia="Times New Roman"/>
          <w:color w:val="404040"/>
          <w:shd w:val="clear" w:color="auto" w:fill="FFFFFF"/>
          <w:lang w:eastAsia="en-GB"/>
        </w:rPr>
        <w:t xml:space="preserve">The </w:t>
      </w:r>
      <w:proofErr w:type="spellStart"/>
      <w:r w:rsidRPr="00A014FD">
        <w:rPr>
          <w:rFonts w:eastAsia="Times New Roman"/>
          <w:color w:val="404040"/>
          <w:shd w:val="clear" w:color="auto" w:fill="FFFFFF"/>
          <w:lang w:eastAsia="en-GB"/>
        </w:rPr>
        <w:t>ProSFeT</w:t>
      </w:r>
      <w:proofErr w:type="spellEnd"/>
      <w:r w:rsidRPr="00A014FD">
        <w:rPr>
          <w:rFonts w:eastAsia="Times New Roman"/>
          <w:color w:val="404040"/>
          <w:shd w:val="clear" w:color="auto" w:fill="FFFFFF"/>
          <w:lang w:eastAsia="en-GB"/>
        </w:rPr>
        <w:t xml:space="preserve"> project aims at promoting sustainable freight transport in urban contexts, by empowering stakeholders in the transport industry and local authorities with better decision-making procedures. The main objective of </w:t>
      </w:r>
      <w:r w:rsidRPr="00A014FD">
        <w:rPr>
          <w:rFonts w:eastAsia="Times New Roman"/>
          <w:noProof/>
          <w:color w:val="404040"/>
          <w:shd w:val="clear" w:color="auto" w:fill="FFFFFF"/>
          <w:lang w:eastAsia="en-GB"/>
        </w:rPr>
        <w:t>my</w:t>
      </w:r>
      <w:r w:rsidRPr="00A014FD">
        <w:rPr>
          <w:rFonts w:eastAsia="Times New Roman"/>
          <w:color w:val="404040"/>
          <w:shd w:val="clear" w:color="auto" w:fill="FFFFFF"/>
          <w:lang w:eastAsia="en-GB"/>
        </w:rPr>
        <w:t xml:space="preserve"> research is to </w:t>
      </w:r>
      <w:r w:rsidRPr="00A014FD">
        <w:rPr>
          <w:rFonts w:eastAsia="Times New Roman"/>
          <w:noProof/>
          <w:color w:val="404040"/>
          <w:shd w:val="clear" w:color="auto" w:fill="FFFFFF"/>
          <w:lang w:eastAsia="en-GB"/>
        </w:rPr>
        <w:t>measure</w:t>
      </w:r>
      <w:r w:rsidRPr="00A014FD">
        <w:rPr>
          <w:rFonts w:eastAsia="Times New Roman"/>
          <w:color w:val="404040"/>
          <w:shd w:val="clear" w:color="auto" w:fill="FFFFFF"/>
          <w:lang w:eastAsia="en-GB"/>
        </w:rPr>
        <w:t xml:space="preserve"> the performance of Urban Consolidation Centres (UCCs) according to a triple bottom line perspective. </w:t>
      </w:r>
    </w:p>
    <w:p w14:paraId="622642FD" w14:textId="77777777" w:rsidR="005400D8" w:rsidRPr="00A014FD" w:rsidRDefault="005400D8" w:rsidP="005400D8">
      <w:pPr>
        <w:spacing w:line="276" w:lineRule="auto"/>
        <w:contextualSpacing/>
        <w:rPr>
          <w:rFonts w:eastAsia="Times New Roman"/>
          <w:color w:val="404040"/>
          <w:shd w:val="clear" w:color="auto" w:fill="FFFFFF"/>
          <w:lang w:eastAsia="en-GB"/>
        </w:rPr>
      </w:pPr>
      <w:r w:rsidRPr="00A014FD">
        <w:rPr>
          <w:rFonts w:eastAsia="Times New Roman"/>
          <w:color w:val="404040"/>
          <w:shd w:val="clear" w:color="auto" w:fill="FFFFFF"/>
          <w:lang w:eastAsia="en-GB"/>
        </w:rPr>
        <w:t xml:space="preserve">Through this round of interviews, </w:t>
      </w:r>
      <w:r w:rsidRPr="00A014FD">
        <w:rPr>
          <w:rFonts w:eastAsia="Times New Roman"/>
          <w:noProof/>
          <w:color w:val="404040"/>
          <w:shd w:val="clear" w:color="auto" w:fill="FFFFFF"/>
          <w:lang w:eastAsia="en-GB"/>
        </w:rPr>
        <w:t>I</w:t>
      </w:r>
      <w:r w:rsidRPr="00A014FD">
        <w:rPr>
          <w:rFonts w:eastAsia="Times New Roman"/>
          <w:color w:val="404040"/>
          <w:shd w:val="clear" w:color="auto" w:fill="FFFFFF"/>
          <w:lang w:eastAsia="en-GB"/>
        </w:rPr>
        <w:t xml:space="preserve"> will survey UCC stakeholders representatives from both the public and private sectors</w:t>
      </w:r>
      <w:r w:rsidRPr="00A014FD">
        <w:rPr>
          <w:rFonts w:eastAsia="Times New Roman"/>
          <w:noProof/>
          <w:color w:val="404040"/>
          <w:shd w:val="clear" w:color="auto" w:fill="FFFFFF"/>
          <w:lang w:eastAsia="en-GB"/>
        </w:rPr>
        <w:t>; The</w:t>
      </w:r>
      <w:r w:rsidRPr="00A014FD">
        <w:rPr>
          <w:rFonts w:eastAsia="Times New Roman"/>
          <w:color w:val="404040"/>
          <w:shd w:val="clear" w:color="auto" w:fill="FFFFFF"/>
          <w:lang w:eastAsia="en-GB"/>
        </w:rPr>
        <w:t xml:space="preserve"> interview will </w:t>
      </w:r>
      <w:r w:rsidRPr="00A014FD">
        <w:rPr>
          <w:rFonts w:eastAsia="Times New Roman"/>
          <w:noProof/>
          <w:color w:val="404040"/>
          <w:shd w:val="clear" w:color="auto" w:fill="FFFFFF"/>
          <w:lang w:eastAsia="en-GB"/>
        </w:rPr>
        <w:t>be based</w:t>
      </w:r>
      <w:r w:rsidRPr="00A014FD">
        <w:rPr>
          <w:rFonts w:eastAsia="Times New Roman"/>
          <w:color w:val="404040"/>
          <w:shd w:val="clear" w:color="auto" w:fill="FFFFFF"/>
          <w:lang w:eastAsia="en-GB"/>
        </w:rPr>
        <w:t xml:space="preserve"> on both open-ended and close-ended questions; it </w:t>
      </w:r>
      <w:r w:rsidRPr="00A014FD">
        <w:rPr>
          <w:rFonts w:eastAsia="Times New Roman"/>
          <w:noProof/>
          <w:color w:val="404040"/>
          <w:shd w:val="clear" w:color="auto" w:fill="FFFFFF"/>
          <w:lang w:eastAsia="en-GB"/>
        </w:rPr>
        <w:t>is foreseen</w:t>
      </w:r>
      <w:r w:rsidRPr="00A014FD">
        <w:rPr>
          <w:rFonts w:eastAsia="Times New Roman"/>
          <w:color w:val="404040"/>
          <w:shd w:val="clear" w:color="auto" w:fill="FFFFFF"/>
          <w:lang w:eastAsia="en-GB"/>
        </w:rPr>
        <w:t xml:space="preserve"> that the interview will last at most 45 minutes. The interview will </w:t>
      </w:r>
      <w:r w:rsidRPr="00A014FD">
        <w:rPr>
          <w:rFonts w:eastAsia="Times New Roman"/>
          <w:noProof/>
          <w:color w:val="404040"/>
          <w:shd w:val="clear" w:color="auto" w:fill="FFFFFF"/>
          <w:lang w:eastAsia="en-GB"/>
        </w:rPr>
        <w:t>be articulated</w:t>
      </w:r>
      <w:r w:rsidRPr="00A014FD">
        <w:rPr>
          <w:rFonts w:eastAsia="Times New Roman"/>
          <w:color w:val="404040"/>
          <w:shd w:val="clear" w:color="auto" w:fill="FFFFFF"/>
          <w:lang w:eastAsia="en-GB"/>
        </w:rPr>
        <w:t xml:space="preserve"> according to the following steps:</w:t>
      </w:r>
    </w:p>
    <w:p w14:paraId="70E4D7D2" w14:textId="77777777" w:rsidR="005400D8" w:rsidRPr="00A014FD" w:rsidRDefault="005400D8" w:rsidP="00A323CC">
      <w:pPr>
        <w:numPr>
          <w:ilvl w:val="0"/>
          <w:numId w:val="25"/>
        </w:numPr>
        <w:spacing w:line="276" w:lineRule="auto"/>
        <w:contextualSpacing/>
        <w:jc w:val="left"/>
        <w:rPr>
          <w:rFonts w:eastAsia="Times New Roman"/>
          <w:color w:val="404040"/>
          <w:shd w:val="clear" w:color="auto" w:fill="FFFFFF"/>
          <w:lang w:eastAsia="en-GB"/>
        </w:rPr>
      </w:pPr>
      <w:r w:rsidRPr="00A014FD">
        <w:rPr>
          <w:rFonts w:eastAsia="Times New Roman"/>
          <w:color w:val="404040"/>
          <w:shd w:val="clear" w:color="auto" w:fill="FFFFFF"/>
          <w:lang w:eastAsia="en-GB"/>
        </w:rPr>
        <w:t>Initial briefing (5 mins</w:t>
      </w:r>
      <w:proofErr w:type="gramStart"/>
      <w:r w:rsidRPr="00A014FD">
        <w:rPr>
          <w:rFonts w:eastAsia="Times New Roman"/>
          <w:color w:val="404040"/>
          <w:shd w:val="clear" w:color="auto" w:fill="FFFFFF"/>
          <w:lang w:eastAsia="en-GB"/>
        </w:rPr>
        <w:t>);</w:t>
      </w:r>
      <w:proofErr w:type="gramEnd"/>
    </w:p>
    <w:p w14:paraId="1638936B" w14:textId="77777777" w:rsidR="005400D8" w:rsidRPr="00A014FD" w:rsidRDefault="005400D8" w:rsidP="00A323CC">
      <w:pPr>
        <w:numPr>
          <w:ilvl w:val="0"/>
          <w:numId w:val="25"/>
        </w:numPr>
        <w:spacing w:line="276" w:lineRule="auto"/>
        <w:contextualSpacing/>
        <w:jc w:val="left"/>
        <w:rPr>
          <w:rFonts w:eastAsia="Times New Roman"/>
          <w:color w:val="404040"/>
          <w:shd w:val="clear" w:color="auto" w:fill="FFFFFF"/>
          <w:lang w:eastAsia="en-GB"/>
        </w:rPr>
      </w:pPr>
      <w:r w:rsidRPr="00A014FD">
        <w:rPr>
          <w:rFonts w:eastAsia="Times New Roman"/>
          <w:color w:val="404040"/>
          <w:shd w:val="clear" w:color="auto" w:fill="FFFFFF"/>
          <w:lang w:eastAsia="en-GB"/>
        </w:rPr>
        <w:t xml:space="preserve">Questions about current issues in Urban Freight Transport Planning experienced by </w:t>
      </w:r>
      <w:r w:rsidRPr="00A014FD">
        <w:rPr>
          <w:rFonts w:eastAsia="Times New Roman"/>
          <w:noProof/>
          <w:color w:val="404040"/>
          <w:shd w:val="clear" w:color="auto" w:fill="FFFFFF"/>
          <w:lang w:eastAsia="en-GB"/>
        </w:rPr>
        <w:t>your</w:t>
      </w:r>
      <w:r w:rsidRPr="00A014FD">
        <w:rPr>
          <w:rFonts w:eastAsia="Times New Roman"/>
          <w:color w:val="404040"/>
          <w:shd w:val="clear" w:color="auto" w:fill="FFFFFF"/>
          <w:lang w:eastAsia="en-GB"/>
        </w:rPr>
        <w:t xml:space="preserve"> organisation (20 mins)</w:t>
      </w:r>
    </w:p>
    <w:p w14:paraId="137C3ABA" w14:textId="77777777" w:rsidR="005400D8" w:rsidRPr="00A014FD" w:rsidRDefault="005400D8" w:rsidP="00A323CC">
      <w:pPr>
        <w:numPr>
          <w:ilvl w:val="0"/>
          <w:numId w:val="25"/>
        </w:numPr>
        <w:spacing w:line="276" w:lineRule="auto"/>
        <w:contextualSpacing/>
        <w:jc w:val="left"/>
        <w:rPr>
          <w:rFonts w:eastAsia="Times New Roman"/>
          <w:color w:val="404040"/>
          <w:shd w:val="clear" w:color="auto" w:fill="FFFFFF"/>
          <w:lang w:eastAsia="en-GB"/>
        </w:rPr>
      </w:pPr>
      <w:r w:rsidRPr="00A014FD">
        <w:rPr>
          <w:rFonts w:eastAsia="Times New Roman"/>
          <w:color w:val="404040"/>
          <w:shd w:val="clear" w:color="auto" w:fill="FFFFFF"/>
          <w:lang w:eastAsia="en-GB"/>
        </w:rPr>
        <w:t>Discussion about potential innovative solutions and best-practices implementation (15 mins)</w:t>
      </w:r>
    </w:p>
    <w:p w14:paraId="1FE5B6A8" w14:textId="77777777" w:rsidR="005400D8" w:rsidRPr="00A014FD" w:rsidRDefault="005400D8" w:rsidP="00A323CC">
      <w:pPr>
        <w:numPr>
          <w:ilvl w:val="0"/>
          <w:numId w:val="25"/>
        </w:numPr>
        <w:spacing w:line="276" w:lineRule="auto"/>
        <w:contextualSpacing/>
        <w:jc w:val="left"/>
        <w:rPr>
          <w:rFonts w:eastAsia="Times New Roman"/>
          <w:color w:val="404040"/>
          <w:shd w:val="clear" w:color="auto" w:fill="FFFFFF"/>
          <w:lang w:eastAsia="en-GB"/>
        </w:rPr>
      </w:pPr>
      <w:r w:rsidRPr="00A014FD">
        <w:rPr>
          <w:rFonts w:eastAsia="Times New Roman"/>
          <w:color w:val="404040"/>
          <w:shd w:val="clear" w:color="auto" w:fill="FFFFFF"/>
          <w:lang w:eastAsia="en-GB"/>
        </w:rPr>
        <w:t>Closing Remarks (5 mins)</w:t>
      </w:r>
    </w:p>
    <w:p w14:paraId="4A9D10A4" w14:textId="77777777" w:rsidR="005400D8" w:rsidRPr="00A014FD" w:rsidRDefault="005400D8" w:rsidP="005400D8">
      <w:pPr>
        <w:spacing w:line="276" w:lineRule="auto"/>
        <w:contextualSpacing/>
        <w:rPr>
          <w:rFonts w:eastAsia="Times New Roman"/>
          <w:color w:val="404040"/>
          <w:shd w:val="clear" w:color="auto" w:fill="FFFFFF"/>
          <w:lang w:eastAsia="en-GB"/>
        </w:rPr>
      </w:pPr>
      <w:r w:rsidRPr="00A014FD">
        <w:rPr>
          <w:rFonts w:eastAsia="Times New Roman"/>
          <w:noProof/>
          <w:color w:val="404040"/>
          <w:shd w:val="clear" w:color="auto" w:fill="FFFFFF"/>
          <w:lang w:eastAsia="en-GB"/>
        </w:rPr>
        <w:t>For the purpose of</w:t>
      </w:r>
      <w:r w:rsidRPr="00A014FD">
        <w:rPr>
          <w:rFonts w:eastAsia="Times New Roman"/>
          <w:color w:val="404040"/>
          <w:shd w:val="clear" w:color="auto" w:fill="FFFFFF"/>
          <w:lang w:eastAsia="en-GB"/>
        </w:rPr>
        <w:t xml:space="preserve"> subsequent analysis, all the data will </w:t>
      </w:r>
      <w:r w:rsidRPr="00A014FD">
        <w:rPr>
          <w:rFonts w:eastAsia="Times New Roman"/>
          <w:noProof/>
          <w:color w:val="404040"/>
          <w:shd w:val="clear" w:color="auto" w:fill="FFFFFF"/>
          <w:lang w:eastAsia="en-GB"/>
        </w:rPr>
        <w:t>be anonymised</w:t>
      </w:r>
      <w:r w:rsidRPr="00A014FD">
        <w:rPr>
          <w:rFonts w:eastAsia="Times New Roman"/>
          <w:color w:val="404040"/>
          <w:shd w:val="clear" w:color="auto" w:fill="FFFFFF"/>
          <w:lang w:eastAsia="en-GB"/>
        </w:rPr>
        <w:t xml:space="preserve"> and treated with the strictest confidentiality; no personal data will </w:t>
      </w:r>
      <w:r w:rsidRPr="00A014FD">
        <w:rPr>
          <w:rFonts w:eastAsia="Times New Roman"/>
          <w:noProof/>
          <w:color w:val="404040"/>
          <w:shd w:val="clear" w:color="auto" w:fill="FFFFFF"/>
          <w:lang w:eastAsia="en-GB"/>
        </w:rPr>
        <w:t>be utilised</w:t>
      </w:r>
      <w:r w:rsidRPr="00A014FD">
        <w:rPr>
          <w:rFonts w:eastAsia="Times New Roman"/>
          <w:color w:val="404040"/>
          <w:shd w:val="clear" w:color="auto" w:fill="FFFFFF"/>
          <w:lang w:eastAsia="en-GB"/>
        </w:rPr>
        <w:t xml:space="preserve"> in research activities linked to the project. Data emerging from the interviews will </w:t>
      </w:r>
      <w:r w:rsidRPr="00A014FD">
        <w:rPr>
          <w:rFonts w:eastAsia="Times New Roman"/>
          <w:noProof/>
          <w:color w:val="404040"/>
          <w:shd w:val="clear" w:color="auto" w:fill="FFFFFF"/>
          <w:lang w:eastAsia="en-GB"/>
        </w:rPr>
        <w:t>be utilised</w:t>
      </w:r>
      <w:r w:rsidRPr="00A014FD">
        <w:rPr>
          <w:rFonts w:eastAsia="Times New Roman"/>
          <w:color w:val="404040"/>
          <w:shd w:val="clear" w:color="auto" w:fill="FFFFFF"/>
          <w:lang w:eastAsia="en-GB"/>
        </w:rPr>
        <w:t xml:space="preserve"> in an aggregated form.</w:t>
      </w:r>
    </w:p>
    <w:p w14:paraId="0694339B" w14:textId="77777777" w:rsidR="005400D8" w:rsidRPr="00A014FD" w:rsidRDefault="005400D8" w:rsidP="005400D8">
      <w:pPr>
        <w:spacing w:line="276" w:lineRule="auto"/>
        <w:contextualSpacing/>
        <w:rPr>
          <w:rFonts w:eastAsia="Times New Roman"/>
          <w:color w:val="404040"/>
          <w:shd w:val="clear" w:color="auto" w:fill="FFFFFF"/>
          <w:lang w:eastAsia="en-GB"/>
        </w:rPr>
      </w:pPr>
      <w:r w:rsidRPr="00A014FD">
        <w:rPr>
          <w:rFonts w:eastAsia="Times New Roman"/>
          <w:color w:val="404040"/>
          <w:shd w:val="clear" w:color="auto" w:fill="FFFFFF"/>
          <w:lang w:eastAsia="en-GB"/>
        </w:rPr>
        <w:t xml:space="preserve">Participation in this interview is voluntary, and </w:t>
      </w:r>
      <w:r w:rsidRPr="00A014FD">
        <w:rPr>
          <w:rFonts w:eastAsia="Times New Roman"/>
          <w:noProof/>
          <w:color w:val="404040"/>
          <w:shd w:val="clear" w:color="auto" w:fill="FFFFFF"/>
          <w:lang w:eastAsia="en-GB"/>
        </w:rPr>
        <w:t>you</w:t>
      </w:r>
      <w:r w:rsidRPr="00A014FD">
        <w:rPr>
          <w:rFonts w:eastAsia="Times New Roman"/>
          <w:color w:val="404040"/>
          <w:shd w:val="clear" w:color="auto" w:fill="FFFFFF"/>
          <w:lang w:eastAsia="en-GB"/>
        </w:rPr>
        <w:t xml:space="preserve"> can withdraw at any time (simply by mentioning it to the facilitator and without providing any reason for it</w:t>
      </w:r>
      <w:r w:rsidRPr="00A014FD">
        <w:rPr>
          <w:rFonts w:eastAsia="Times New Roman"/>
          <w:noProof/>
          <w:color w:val="404040"/>
          <w:shd w:val="clear" w:color="auto" w:fill="FFFFFF"/>
          <w:lang w:eastAsia="en-GB"/>
        </w:rPr>
        <w:t>)</w:t>
      </w:r>
      <w:r w:rsidRPr="00A014FD">
        <w:rPr>
          <w:rFonts w:eastAsia="Times New Roman"/>
          <w:color w:val="404040"/>
          <w:shd w:val="clear" w:color="auto" w:fill="FFFFFF"/>
          <w:lang w:eastAsia="en-GB"/>
        </w:rPr>
        <w:t xml:space="preserve"> if you wish to do so. In this case, </w:t>
      </w:r>
      <w:r w:rsidRPr="00A014FD">
        <w:rPr>
          <w:rFonts w:eastAsia="Times New Roman"/>
          <w:noProof/>
          <w:color w:val="404040"/>
          <w:shd w:val="clear" w:color="auto" w:fill="FFFFFF"/>
          <w:lang w:eastAsia="en-GB"/>
        </w:rPr>
        <w:t>your</w:t>
      </w:r>
      <w:r w:rsidRPr="00A014FD">
        <w:rPr>
          <w:rFonts w:eastAsia="Times New Roman"/>
          <w:color w:val="404040"/>
          <w:shd w:val="clear" w:color="auto" w:fill="FFFFFF"/>
          <w:lang w:eastAsia="en-GB"/>
        </w:rPr>
        <w:t xml:space="preserve"> partial participation in the interview will not </w:t>
      </w:r>
      <w:r w:rsidRPr="00A014FD">
        <w:rPr>
          <w:rFonts w:eastAsia="Times New Roman"/>
          <w:noProof/>
          <w:color w:val="404040"/>
          <w:shd w:val="clear" w:color="auto" w:fill="FFFFFF"/>
          <w:lang w:eastAsia="en-GB"/>
        </w:rPr>
        <w:t>be considered</w:t>
      </w:r>
      <w:r w:rsidRPr="00A014FD">
        <w:rPr>
          <w:rFonts w:eastAsia="Times New Roman"/>
          <w:color w:val="404040"/>
          <w:shd w:val="clear" w:color="auto" w:fill="FFFFFF"/>
          <w:lang w:eastAsia="en-GB"/>
        </w:rPr>
        <w:t xml:space="preserve"> in the analysis.</w:t>
      </w:r>
    </w:p>
    <w:p w14:paraId="7E8C747B" w14:textId="77777777" w:rsidR="005400D8" w:rsidRPr="00A014FD" w:rsidRDefault="005400D8" w:rsidP="005400D8">
      <w:pPr>
        <w:spacing w:line="276" w:lineRule="auto"/>
        <w:contextualSpacing/>
        <w:rPr>
          <w:rFonts w:eastAsia="Times New Roman"/>
          <w:color w:val="404040"/>
          <w:shd w:val="clear" w:color="auto" w:fill="FFFFFF"/>
          <w:lang w:eastAsia="en-GB"/>
        </w:rPr>
      </w:pPr>
      <w:r w:rsidRPr="00A014FD">
        <w:rPr>
          <w:rFonts w:eastAsia="Times New Roman"/>
          <w:color w:val="404040"/>
          <w:shd w:val="clear" w:color="auto" w:fill="FFFFFF"/>
          <w:lang w:eastAsia="en-GB"/>
        </w:rPr>
        <w:t xml:space="preserve">Shall </w:t>
      </w:r>
      <w:r w:rsidRPr="00A014FD">
        <w:rPr>
          <w:rFonts w:eastAsia="Times New Roman"/>
          <w:noProof/>
          <w:color w:val="404040"/>
          <w:shd w:val="clear" w:color="auto" w:fill="FFFFFF"/>
          <w:lang w:eastAsia="en-GB"/>
        </w:rPr>
        <w:t>you</w:t>
      </w:r>
      <w:r w:rsidRPr="00A014FD">
        <w:rPr>
          <w:rFonts w:eastAsia="Times New Roman"/>
          <w:color w:val="404040"/>
          <w:shd w:val="clear" w:color="auto" w:fill="FFFFFF"/>
          <w:lang w:eastAsia="en-GB"/>
        </w:rPr>
        <w:t xml:space="preserve"> have any query about this research after the interview, do not hesitate to get in touch with us by using the contact details shown below.</w:t>
      </w:r>
    </w:p>
    <w:p w14:paraId="6D5D9535" w14:textId="77777777" w:rsidR="005400D8" w:rsidRPr="00A014FD" w:rsidRDefault="005400D8" w:rsidP="005400D8">
      <w:pPr>
        <w:spacing w:line="276" w:lineRule="auto"/>
        <w:contextualSpacing/>
        <w:rPr>
          <w:rFonts w:eastAsia="Times New Roman"/>
          <w:color w:val="404040"/>
          <w:shd w:val="clear" w:color="auto" w:fill="FFFFFF"/>
          <w:lang w:eastAsia="en-GB"/>
        </w:rPr>
      </w:pPr>
      <w:r w:rsidRPr="00A014FD">
        <w:rPr>
          <w:rFonts w:eastAsia="Times New Roman"/>
          <w:color w:val="404040"/>
          <w:shd w:val="clear" w:color="auto" w:fill="FFFFFF"/>
          <w:lang w:eastAsia="en-GB"/>
        </w:rPr>
        <w:t xml:space="preserve">Thank </w:t>
      </w:r>
      <w:r w:rsidRPr="00A014FD">
        <w:rPr>
          <w:rFonts w:eastAsia="Times New Roman"/>
          <w:noProof/>
          <w:color w:val="404040"/>
          <w:shd w:val="clear" w:color="auto" w:fill="FFFFFF"/>
          <w:lang w:eastAsia="en-GB"/>
        </w:rPr>
        <w:t>you</w:t>
      </w:r>
      <w:r w:rsidRPr="00A014FD">
        <w:rPr>
          <w:rFonts w:eastAsia="Times New Roman"/>
          <w:color w:val="404040"/>
          <w:shd w:val="clear" w:color="auto" w:fill="FFFFFF"/>
          <w:lang w:eastAsia="en-GB"/>
        </w:rPr>
        <w:t xml:space="preserve"> for considering taking part in </w:t>
      </w:r>
      <w:r w:rsidRPr="00A014FD">
        <w:rPr>
          <w:rFonts w:eastAsia="Times New Roman"/>
          <w:noProof/>
          <w:color w:val="404040"/>
          <w:shd w:val="clear" w:color="auto" w:fill="FFFFFF"/>
          <w:lang w:eastAsia="en-GB"/>
        </w:rPr>
        <w:t>my</w:t>
      </w:r>
      <w:r w:rsidRPr="00A014FD">
        <w:rPr>
          <w:rFonts w:eastAsia="Times New Roman"/>
          <w:color w:val="404040"/>
          <w:shd w:val="clear" w:color="auto" w:fill="FFFFFF"/>
          <w:lang w:eastAsia="en-GB"/>
        </w:rPr>
        <w:t xml:space="preserve"> research.</w:t>
      </w:r>
    </w:p>
    <w:p w14:paraId="3A31FC47" w14:textId="77777777" w:rsidR="005400D8" w:rsidRPr="00A014FD" w:rsidRDefault="005400D8" w:rsidP="005400D8">
      <w:pPr>
        <w:spacing w:line="276" w:lineRule="auto"/>
        <w:contextualSpacing/>
        <w:rPr>
          <w:rFonts w:eastAsia="Times New Roman"/>
          <w:color w:val="404040"/>
          <w:lang w:eastAsia="en-GB"/>
        </w:rPr>
      </w:pPr>
      <w:r w:rsidRPr="00A014FD">
        <w:rPr>
          <w:rFonts w:eastAsia="Times New Roman"/>
          <w:color w:val="404040"/>
          <w:shd w:val="clear" w:color="auto" w:fill="FFFFFF"/>
          <w:lang w:eastAsia="en-GB"/>
        </w:rPr>
        <w:t>Sincerely</w:t>
      </w:r>
      <w:r w:rsidRPr="00A014FD">
        <w:rPr>
          <w:rFonts w:eastAsia="Times New Roman"/>
          <w:color w:val="404040"/>
          <w:lang w:eastAsia="en-GB"/>
        </w:rPr>
        <w:br/>
        <w:t>Shucheng Luo</w:t>
      </w:r>
    </w:p>
    <w:p w14:paraId="2AA80A88" w14:textId="77777777" w:rsidR="005400D8" w:rsidRPr="00A014FD" w:rsidRDefault="005400D8" w:rsidP="005400D8">
      <w:pPr>
        <w:spacing w:line="276" w:lineRule="auto"/>
        <w:contextualSpacing/>
        <w:rPr>
          <w:rFonts w:eastAsia="Times New Roman"/>
          <w:color w:val="404040"/>
          <w:lang w:eastAsia="en-GB"/>
        </w:rPr>
      </w:pPr>
      <w:r w:rsidRPr="00A014FD">
        <w:rPr>
          <w:rFonts w:eastAsia="Times New Roman"/>
          <w:color w:val="404040"/>
          <w:lang w:eastAsia="en-GB"/>
        </w:rPr>
        <w:t>Sheffield University Management School</w:t>
      </w:r>
    </w:p>
    <w:p w14:paraId="0BA8DBFA" w14:textId="77777777" w:rsidR="005400D8" w:rsidRPr="00A014FD" w:rsidRDefault="005400D8" w:rsidP="005400D8">
      <w:pPr>
        <w:spacing w:line="276" w:lineRule="auto"/>
        <w:contextualSpacing/>
        <w:rPr>
          <w:rFonts w:eastAsia="Times New Roman"/>
          <w:color w:val="404040"/>
          <w:lang w:eastAsia="en-GB"/>
        </w:rPr>
      </w:pPr>
      <w:r w:rsidRPr="00A014FD">
        <w:rPr>
          <w:rFonts w:eastAsia="Times New Roman"/>
          <w:color w:val="404040"/>
          <w:lang w:eastAsia="en-GB"/>
        </w:rPr>
        <w:t>Logistics and Supply Chain Management Research Centre</w:t>
      </w:r>
    </w:p>
    <w:p w14:paraId="680BADC1" w14:textId="6BF4BD57" w:rsidR="005400D8" w:rsidRPr="00A014FD" w:rsidRDefault="005400D8" w:rsidP="005400D8">
      <w:pPr>
        <w:spacing w:line="276" w:lineRule="auto"/>
        <w:contextualSpacing/>
        <w:jc w:val="left"/>
        <w:rPr>
          <w:rFonts w:eastAsia="Times New Roman"/>
          <w:lang w:val="fr-FR" w:eastAsia="en-GB"/>
        </w:rPr>
      </w:pPr>
      <w:proofErr w:type="gramStart"/>
      <w:r w:rsidRPr="00A014FD">
        <w:rPr>
          <w:rFonts w:eastAsia="Times New Roman"/>
          <w:color w:val="404040"/>
          <w:lang w:val="fr-FR" w:eastAsia="en-GB"/>
        </w:rPr>
        <w:lastRenderedPageBreak/>
        <w:t>T:+</w:t>
      </w:r>
      <w:proofErr w:type="gramEnd"/>
      <w:r w:rsidRPr="00A014FD">
        <w:rPr>
          <w:rFonts w:eastAsia="Times New Roman"/>
          <w:color w:val="404040"/>
          <w:lang w:val="fr-FR" w:eastAsia="en-GB"/>
        </w:rPr>
        <w:t xml:space="preserve">44 07535992407  </w:t>
      </w:r>
      <w:proofErr w:type="spellStart"/>
      <w:r w:rsidRPr="00A014FD">
        <w:rPr>
          <w:rFonts w:eastAsia="Times New Roman"/>
          <w:color w:val="404040"/>
          <w:lang w:val="fr-FR" w:eastAsia="en-GB"/>
        </w:rPr>
        <w:t>or</w:t>
      </w:r>
      <w:proofErr w:type="spellEnd"/>
      <w:r w:rsidRPr="00A014FD">
        <w:rPr>
          <w:rFonts w:eastAsia="Times New Roman"/>
          <w:color w:val="404040"/>
          <w:lang w:val="fr-FR" w:eastAsia="en-GB"/>
        </w:rPr>
        <w:t xml:space="preserve"> +86 13601719143</w:t>
      </w:r>
      <w:r w:rsidRPr="00A014FD">
        <w:rPr>
          <w:rFonts w:eastAsia="Times New Roman"/>
          <w:color w:val="404040"/>
          <w:lang w:val="fr-FR" w:eastAsia="en-GB"/>
        </w:rPr>
        <w:br/>
        <w:t xml:space="preserve">E: </w:t>
      </w:r>
      <w:hyperlink r:id="rId160" w:history="1">
        <w:r w:rsidRPr="00A014FD">
          <w:rPr>
            <w:rFonts w:eastAsia="Times New Roman"/>
            <w:color w:val="0563C1"/>
            <w:u w:val="single"/>
            <w:lang w:val="fr-FR" w:eastAsia="en-GB"/>
          </w:rPr>
          <w:t>sluo5@sheffield.ac.uk</w:t>
        </w:r>
      </w:hyperlink>
    </w:p>
    <w:p w14:paraId="2315BE33" w14:textId="77777777" w:rsidR="005400D8" w:rsidRPr="00A014FD" w:rsidRDefault="005400D8" w:rsidP="005400D8">
      <w:pPr>
        <w:spacing w:line="240" w:lineRule="auto"/>
        <w:rPr>
          <w:rFonts w:eastAsia="Times New Roman"/>
          <w:b/>
          <w:lang w:val="fr-FR" w:eastAsia="en-GB"/>
        </w:rPr>
      </w:pPr>
    </w:p>
    <w:p w14:paraId="142E7263" w14:textId="77777777" w:rsidR="005400D8" w:rsidRPr="00A014FD" w:rsidRDefault="005400D8" w:rsidP="005400D8">
      <w:pPr>
        <w:spacing w:line="240" w:lineRule="auto"/>
        <w:rPr>
          <w:rFonts w:eastAsia="Times New Roman"/>
          <w:b/>
          <w:lang w:eastAsia="en-GB"/>
        </w:rPr>
      </w:pPr>
      <w:r w:rsidRPr="00A014FD">
        <w:rPr>
          <w:rFonts w:eastAsia="Times New Roman"/>
          <w:b/>
          <w:lang w:eastAsia="en-GB"/>
        </w:rPr>
        <w:t>Consent to participate:</w:t>
      </w:r>
    </w:p>
    <w:p w14:paraId="54E6FADC" w14:textId="77777777" w:rsidR="005400D8" w:rsidRPr="00A014FD" w:rsidRDefault="005400D8" w:rsidP="005400D8">
      <w:pPr>
        <w:spacing w:line="240" w:lineRule="auto"/>
        <w:rPr>
          <w:rFonts w:eastAsia="Times New Roman"/>
          <w:lang w:eastAsia="en-GB"/>
        </w:rPr>
      </w:pPr>
    </w:p>
    <w:p w14:paraId="3C329AEB" w14:textId="77777777" w:rsidR="005400D8" w:rsidRPr="00A014FD" w:rsidRDefault="005400D8" w:rsidP="005400D8">
      <w:pPr>
        <w:spacing w:line="240" w:lineRule="auto"/>
        <w:rPr>
          <w:rFonts w:eastAsia="Times New Roman"/>
          <w:lang w:eastAsia="en-GB"/>
        </w:rPr>
      </w:pPr>
      <w:r w:rsidRPr="00A014FD">
        <w:rPr>
          <w:rFonts w:eastAsia="Times New Roman"/>
          <w:lang w:eastAsia="en-GB"/>
        </w:rPr>
        <w:t xml:space="preserve">Please read the following statements and indicate </w:t>
      </w:r>
      <w:r w:rsidRPr="00A014FD">
        <w:rPr>
          <w:rFonts w:eastAsia="Times New Roman"/>
          <w:noProof/>
          <w:lang w:eastAsia="en-GB"/>
        </w:rPr>
        <w:t>your</w:t>
      </w:r>
      <w:r w:rsidRPr="00A014FD">
        <w:rPr>
          <w:rFonts w:eastAsia="Times New Roman"/>
          <w:lang w:eastAsia="en-GB"/>
        </w:rPr>
        <w:t xml:space="preserve"> agreement to participate by ticking the box to the right of each statement and sign &amp; date at the bottom to confirm </w:t>
      </w:r>
      <w:r w:rsidRPr="00A014FD">
        <w:rPr>
          <w:rFonts w:eastAsia="Times New Roman"/>
          <w:noProof/>
          <w:lang w:eastAsia="en-GB"/>
        </w:rPr>
        <w:t>your</w:t>
      </w:r>
      <w:r w:rsidRPr="00A014FD">
        <w:rPr>
          <w:rFonts w:eastAsia="Times New Roman"/>
          <w:lang w:eastAsia="en-GB"/>
        </w:rPr>
        <w:t xml:space="preserve"> consent to take part:</w:t>
      </w:r>
    </w:p>
    <w:p w14:paraId="7C6E10C5" w14:textId="77777777" w:rsidR="005400D8" w:rsidRPr="00A014FD" w:rsidRDefault="005400D8" w:rsidP="005400D8">
      <w:pPr>
        <w:spacing w:line="240" w:lineRule="auto"/>
        <w:rPr>
          <w:rFonts w:eastAsia="Times New Roman"/>
          <w:lang w:eastAsia="en-GB"/>
        </w:rPr>
      </w:pPr>
    </w:p>
    <w:p w14:paraId="258648E2" w14:textId="77777777" w:rsidR="005400D8" w:rsidRPr="00A014FD" w:rsidRDefault="005400D8" w:rsidP="00A323CC">
      <w:pPr>
        <w:numPr>
          <w:ilvl w:val="0"/>
          <w:numId w:val="26"/>
        </w:numPr>
        <w:spacing w:line="276" w:lineRule="auto"/>
        <w:jc w:val="left"/>
        <w:rPr>
          <w:rFonts w:eastAsia="Times New Roman"/>
          <w:lang w:eastAsia="en-GB"/>
        </w:rPr>
      </w:pPr>
      <w:r w:rsidRPr="00A014FD">
        <w:rPr>
          <w:rFonts w:eastAsia="Times New Roman"/>
          <w:noProof/>
          <w:lang w:eastAsia="en-GB"/>
        </w:rPr>
        <w:t>I</w:t>
      </w:r>
      <w:r w:rsidRPr="00A014FD">
        <w:rPr>
          <w:rFonts w:eastAsia="Times New Roman"/>
          <w:lang w:eastAsia="en-GB"/>
        </w:rPr>
        <w:t xml:space="preserve"> confirm that </w:t>
      </w:r>
      <w:r w:rsidRPr="00A014FD">
        <w:rPr>
          <w:rFonts w:eastAsia="Times New Roman"/>
          <w:noProof/>
          <w:lang w:eastAsia="en-GB"/>
        </w:rPr>
        <w:t>I</w:t>
      </w:r>
      <w:r w:rsidRPr="00A014FD">
        <w:rPr>
          <w:rFonts w:eastAsia="Times New Roman"/>
          <w:lang w:eastAsia="en-GB"/>
        </w:rPr>
        <w:t xml:space="preserve"> have read and understood the information sheet explaining the above research project and </w:t>
      </w:r>
      <w:r w:rsidRPr="00A014FD">
        <w:rPr>
          <w:rFonts w:eastAsia="Times New Roman"/>
          <w:noProof/>
          <w:lang w:eastAsia="en-GB"/>
        </w:rPr>
        <w:t>I</w:t>
      </w:r>
      <w:r w:rsidRPr="00A014FD">
        <w:rPr>
          <w:rFonts w:eastAsia="Times New Roman"/>
          <w:lang w:eastAsia="en-GB"/>
        </w:rPr>
        <w:t xml:space="preserve"> have had the opportunity to ask questions about the </w:t>
      </w:r>
      <w:proofErr w:type="gramStart"/>
      <w:r w:rsidRPr="00A014FD">
        <w:rPr>
          <w:rFonts w:eastAsia="Times New Roman"/>
          <w:lang w:eastAsia="en-GB"/>
        </w:rPr>
        <w:t>project.</w:t>
      </w:r>
      <w:r w:rsidRPr="00A014FD">
        <w:rPr>
          <w:rFonts w:eastAsia="Times New Roman"/>
          <w:color w:val="545454"/>
          <w:shd w:val="clear" w:color="auto" w:fill="FFFFFF"/>
          <w:lang w:eastAsia="en-GB"/>
        </w:rPr>
        <w:t>□</w:t>
      </w:r>
      <w:proofErr w:type="gramEnd"/>
    </w:p>
    <w:p w14:paraId="2BA6CE8F" w14:textId="77777777" w:rsidR="005400D8" w:rsidRPr="00A014FD" w:rsidRDefault="005400D8" w:rsidP="00A323CC">
      <w:pPr>
        <w:numPr>
          <w:ilvl w:val="0"/>
          <w:numId w:val="26"/>
        </w:numPr>
        <w:spacing w:line="276" w:lineRule="auto"/>
        <w:jc w:val="left"/>
        <w:rPr>
          <w:rFonts w:eastAsia="Times New Roman"/>
          <w:lang w:eastAsia="en-GB"/>
        </w:rPr>
      </w:pPr>
      <w:r w:rsidRPr="00A014FD">
        <w:rPr>
          <w:rFonts w:eastAsia="Times New Roman"/>
          <w:noProof/>
          <w:lang w:eastAsia="en-GB"/>
        </w:rPr>
        <w:t>I</w:t>
      </w:r>
      <w:r w:rsidRPr="00A014FD">
        <w:rPr>
          <w:rFonts w:eastAsia="Times New Roman"/>
          <w:lang w:eastAsia="en-GB"/>
        </w:rPr>
        <w:t xml:space="preserve"> understand that </w:t>
      </w:r>
      <w:r w:rsidRPr="00A014FD">
        <w:rPr>
          <w:rFonts w:eastAsia="Times New Roman"/>
          <w:noProof/>
          <w:lang w:eastAsia="en-GB"/>
        </w:rPr>
        <w:t>my</w:t>
      </w:r>
      <w:r w:rsidRPr="00A014FD">
        <w:rPr>
          <w:rFonts w:eastAsia="Times New Roman"/>
          <w:lang w:eastAsia="en-GB"/>
        </w:rPr>
        <w:t xml:space="preserve"> participation is voluntary and that </w:t>
      </w:r>
      <w:r w:rsidRPr="00A014FD">
        <w:rPr>
          <w:rFonts w:eastAsia="Times New Roman"/>
          <w:noProof/>
          <w:lang w:eastAsia="en-GB"/>
        </w:rPr>
        <w:t>I</w:t>
      </w:r>
      <w:r w:rsidRPr="00A014FD">
        <w:rPr>
          <w:rFonts w:eastAsia="Times New Roman"/>
          <w:lang w:eastAsia="en-GB"/>
        </w:rPr>
        <w:t xml:space="preserve"> am free to withdraw at any time without giving any reason and without there being any negative </w:t>
      </w:r>
      <w:proofErr w:type="gramStart"/>
      <w:r w:rsidRPr="00A014FD">
        <w:rPr>
          <w:rFonts w:eastAsia="Times New Roman"/>
          <w:lang w:eastAsia="en-GB"/>
        </w:rPr>
        <w:t>consequences.</w:t>
      </w:r>
      <w:r w:rsidRPr="00A014FD">
        <w:rPr>
          <w:rFonts w:eastAsia="Times New Roman"/>
          <w:color w:val="545454"/>
          <w:shd w:val="clear" w:color="auto" w:fill="FFFFFF"/>
          <w:lang w:eastAsia="en-GB"/>
        </w:rPr>
        <w:t>□</w:t>
      </w:r>
      <w:proofErr w:type="gramEnd"/>
    </w:p>
    <w:p w14:paraId="394F103A" w14:textId="77777777" w:rsidR="005400D8" w:rsidRPr="00A014FD" w:rsidRDefault="005400D8" w:rsidP="00A323CC">
      <w:pPr>
        <w:numPr>
          <w:ilvl w:val="0"/>
          <w:numId w:val="26"/>
        </w:numPr>
        <w:spacing w:line="276" w:lineRule="auto"/>
        <w:jc w:val="left"/>
        <w:rPr>
          <w:rFonts w:eastAsia="Times New Roman"/>
          <w:lang w:eastAsia="en-GB"/>
        </w:rPr>
      </w:pPr>
      <w:r w:rsidRPr="00A014FD">
        <w:rPr>
          <w:rFonts w:eastAsia="Times New Roman"/>
          <w:noProof/>
          <w:lang w:eastAsia="en-GB"/>
        </w:rPr>
        <w:t>I</w:t>
      </w:r>
      <w:r w:rsidRPr="00A014FD">
        <w:rPr>
          <w:rFonts w:eastAsia="Times New Roman"/>
          <w:lang w:eastAsia="en-GB"/>
        </w:rPr>
        <w:t xml:space="preserve"> understand that </w:t>
      </w:r>
      <w:r w:rsidRPr="00A014FD">
        <w:rPr>
          <w:rFonts w:eastAsia="Times New Roman"/>
          <w:noProof/>
          <w:lang w:eastAsia="en-GB"/>
        </w:rPr>
        <w:t>my</w:t>
      </w:r>
      <w:r w:rsidRPr="00A014FD">
        <w:rPr>
          <w:rFonts w:eastAsia="Times New Roman"/>
          <w:lang w:eastAsia="en-GB"/>
        </w:rPr>
        <w:t xml:space="preserve"> </w:t>
      </w:r>
      <w:r w:rsidRPr="00A014FD">
        <w:rPr>
          <w:rFonts w:eastAsia="Times New Roman"/>
          <w:noProof/>
          <w:lang w:eastAsia="en-GB"/>
        </w:rPr>
        <w:t>personal</w:t>
      </w:r>
      <w:r w:rsidRPr="00A014FD">
        <w:rPr>
          <w:rFonts w:eastAsia="Times New Roman"/>
          <w:lang w:eastAsia="en-GB"/>
        </w:rPr>
        <w:t xml:space="preserve"> details will be kept strictly confidential, </w:t>
      </w:r>
      <w:r w:rsidRPr="00A014FD">
        <w:rPr>
          <w:rFonts w:eastAsia="Times New Roman"/>
          <w:noProof/>
          <w:lang w:eastAsia="en-GB"/>
        </w:rPr>
        <w:t>my</w:t>
      </w:r>
      <w:r w:rsidRPr="00A014FD">
        <w:rPr>
          <w:rFonts w:eastAsia="Times New Roman"/>
          <w:lang w:eastAsia="en-GB"/>
        </w:rPr>
        <w:t xml:space="preserve"> name will not </w:t>
      </w:r>
      <w:r w:rsidRPr="00A014FD">
        <w:rPr>
          <w:rFonts w:eastAsia="Times New Roman"/>
          <w:noProof/>
          <w:lang w:eastAsia="en-GB"/>
        </w:rPr>
        <w:t>be linked</w:t>
      </w:r>
      <w:r w:rsidRPr="00A014FD">
        <w:rPr>
          <w:rFonts w:eastAsia="Times New Roman"/>
          <w:lang w:eastAsia="en-GB"/>
        </w:rPr>
        <w:t xml:space="preserve"> to the research materials, and </w:t>
      </w:r>
      <w:r w:rsidRPr="00A014FD">
        <w:rPr>
          <w:rFonts w:eastAsia="Times New Roman"/>
          <w:noProof/>
          <w:lang w:eastAsia="en-GB"/>
        </w:rPr>
        <w:t>I</w:t>
      </w:r>
      <w:r w:rsidRPr="00A014FD">
        <w:rPr>
          <w:rFonts w:eastAsia="Times New Roman"/>
          <w:lang w:eastAsia="en-GB"/>
        </w:rPr>
        <w:t xml:space="preserve"> will not be personally identified or identifiable in any reports or publications that result from the research.</w:t>
      </w:r>
      <w:r w:rsidRPr="00A014FD">
        <w:rPr>
          <w:rFonts w:eastAsia="Times New Roman"/>
          <w:lang w:eastAsia="en-GB"/>
        </w:rPr>
        <w:tab/>
      </w:r>
      <w:r w:rsidRPr="00A014FD">
        <w:rPr>
          <w:rFonts w:eastAsia="Times New Roman"/>
          <w:lang w:eastAsia="en-GB"/>
        </w:rPr>
        <w:tab/>
      </w:r>
      <w:r w:rsidRPr="00A014FD">
        <w:rPr>
          <w:rFonts w:eastAsia="Times New Roman"/>
          <w:color w:val="545454"/>
          <w:shd w:val="clear" w:color="auto" w:fill="FFFFFF"/>
          <w:lang w:eastAsia="en-GB"/>
        </w:rPr>
        <w:t>□</w:t>
      </w:r>
    </w:p>
    <w:p w14:paraId="292E5777" w14:textId="77777777" w:rsidR="005400D8" w:rsidRPr="00A014FD" w:rsidRDefault="005400D8" w:rsidP="00A323CC">
      <w:pPr>
        <w:numPr>
          <w:ilvl w:val="0"/>
          <w:numId w:val="26"/>
        </w:numPr>
        <w:spacing w:line="276" w:lineRule="auto"/>
        <w:jc w:val="left"/>
        <w:rPr>
          <w:rFonts w:eastAsia="Times New Roman"/>
          <w:lang w:eastAsia="en-GB"/>
        </w:rPr>
      </w:pPr>
      <w:r w:rsidRPr="00A014FD">
        <w:rPr>
          <w:rFonts w:eastAsia="Times New Roman"/>
          <w:noProof/>
          <w:lang w:eastAsia="en-GB"/>
        </w:rPr>
        <w:t>I</w:t>
      </w:r>
      <w:r w:rsidRPr="00A014FD">
        <w:rPr>
          <w:rFonts w:eastAsia="Times New Roman"/>
          <w:lang w:eastAsia="en-GB"/>
        </w:rPr>
        <w:t xml:space="preserve"> agree </w:t>
      </w:r>
      <w:r w:rsidRPr="00A014FD">
        <w:rPr>
          <w:rFonts w:eastAsia="Times New Roman"/>
          <w:noProof/>
          <w:lang w:eastAsia="en-GB"/>
        </w:rPr>
        <w:t>for</w:t>
      </w:r>
      <w:r w:rsidRPr="00A014FD">
        <w:rPr>
          <w:rFonts w:eastAsia="Times New Roman"/>
          <w:lang w:eastAsia="en-GB"/>
        </w:rPr>
        <w:t xml:space="preserve"> the data collected from </w:t>
      </w:r>
      <w:r w:rsidRPr="00A014FD">
        <w:rPr>
          <w:rFonts w:eastAsia="Times New Roman"/>
          <w:noProof/>
          <w:lang w:eastAsia="en-GB"/>
        </w:rPr>
        <w:t>me</w:t>
      </w:r>
      <w:r w:rsidRPr="00A014FD">
        <w:rPr>
          <w:rFonts w:eastAsia="Times New Roman"/>
          <w:lang w:eastAsia="en-GB"/>
        </w:rPr>
        <w:t xml:space="preserve"> to </w:t>
      </w:r>
      <w:r w:rsidRPr="00A014FD">
        <w:rPr>
          <w:rFonts w:eastAsia="Times New Roman"/>
          <w:noProof/>
          <w:lang w:eastAsia="en-GB"/>
        </w:rPr>
        <w:t>be used</w:t>
      </w:r>
      <w:r w:rsidRPr="00A014FD">
        <w:rPr>
          <w:rFonts w:eastAsia="Times New Roman"/>
          <w:lang w:eastAsia="en-GB"/>
        </w:rPr>
        <w:t xml:space="preserve"> in future research.</w:t>
      </w:r>
      <w:r w:rsidRPr="00A014FD">
        <w:rPr>
          <w:rFonts w:eastAsia="Times New Roman"/>
          <w:lang w:eastAsia="en-GB"/>
        </w:rPr>
        <w:tab/>
      </w:r>
      <w:r w:rsidRPr="00A014FD">
        <w:rPr>
          <w:rFonts w:eastAsia="Times New Roman"/>
          <w:lang w:eastAsia="en-GB"/>
        </w:rPr>
        <w:tab/>
      </w:r>
      <w:r w:rsidRPr="00A014FD">
        <w:rPr>
          <w:rFonts w:eastAsia="Times New Roman"/>
          <w:lang w:eastAsia="en-GB"/>
        </w:rPr>
        <w:tab/>
      </w:r>
      <w:r w:rsidRPr="00A014FD">
        <w:rPr>
          <w:rFonts w:eastAsia="Times New Roman"/>
          <w:color w:val="545454"/>
          <w:shd w:val="clear" w:color="auto" w:fill="FFFFFF"/>
          <w:lang w:eastAsia="en-GB"/>
        </w:rPr>
        <w:t>□</w:t>
      </w:r>
    </w:p>
    <w:p w14:paraId="71DE3443" w14:textId="77777777" w:rsidR="005400D8" w:rsidRPr="00A014FD" w:rsidRDefault="005400D8" w:rsidP="00A323CC">
      <w:pPr>
        <w:numPr>
          <w:ilvl w:val="0"/>
          <w:numId w:val="26"/>
        </w:numPr>
        <w:spacing w:line="276" w:lineRule="auto"/>
        <w:jc w:val="left"/>
        <w:rPr>
          <w:rFonts w:eastAsia="Times New Roman"/>
          <w:lang w:eastAsia="en-GB"/>
        </w:rPr>
      </w:pPr>
      <w:r w:rsidRPr="00A014FD">
        <w:rPr>
          <w:rFonts w:eastAsia="Times New Roman"/>
          <w:noProof/>
          <w:lang w:eastAsia="en-GB"/>
        </w:rPr>
        <w:t>I</w:t>
      </w:r>
      <w:r w:rsidRPr="00A014FD">
        <w:rPr>
          <w:rFonts w:eastAsia="Times New Roman"/>
          <w:lang w:eastAsia="en-GB"/>
        </w:rPr>
        <w:t xml:space="preserve"> agree to take part in the above research project and will inform the researchers should </w:t>
      </w:r>
      <w:r w:rsidRPr="00A014FD">
        <w:rPr>
          <w:rFonts w:eastAsia="Times New Roman"/>
          <w:noProof/>
          <w:lang w:eastAsia="en-GB"/>
        </w:rPr>
        <w:t>my</w:t>
      </w:r>
      <w:r w:rsidRPr="00A014FD">
        <w:rPr>
          <w:rFonts w:eastAsia="Times New Roman"/>
          <w:lang w:eastAsia="en-GB"/>
        </w:rPr>
        <w:t xml:space="preserve"> contact details change. </w:t>
      </w:r>
      <w:r w:rsidRPr="00A014FD">
        <w:rPr>
          <w:rFonts w:eastAsia="Times New Roman"/>
          <w:color w:val="545454"/>
          <w:shd w:val="clear" w:color="auto" w:fill="FFFFFF"/>
          <w:lang w:eastAsia="en-GB"/>
        </w:rPr>
        <w:t>□</w:t>
      </w:r>
      <w:r w:rsidRPr="00A014FD">
        <w:rPr>
          <w:rFonts w:eastAsia="Times New Roman"/>
          <w:lang w:eastAsia="en-GB"/>
        </w:rPr>
        <w:tab/>
      </w:r>
      <w:r w:rsidRPr="00A014FD">
        <w:rPr>
          <w:rFonts w:eastAsia="Times New Roman"/>
          <w:lang w:eastAsia="en-GB"/>
        </w:rPr>
        <w:tab/>
      </w:r>
      <w:r w:rsidRPr="00A014FD">
        <w:rPr>
          <w:rFonts w:eastAsia="Times New Roman"/>
          <w:lang w:eastAsia="en-GB"/>
        </w:rPr>
        <w:tab/>
      </w:r>
      <w:r w:rsidRPr="00A014FD">
        <w:rPr>
          <w:rFonts w:eastAsia="Times New Roman"/>
          <w:lang w:eastAsia="en-GB"/>
        </w:rPr>
        <w:tab/>
      </w:r>
      <w:r w:rsidRPr="00A014FD">
        <w:rPr>
          <w:rFonts w:eastAsia="Times New Roman"/>
          <w:lang w:eastAsia="en-GB"/>
        </w:rPr>
        <w:tab/>
      </w:r>
      <w:r w:rsidRPr="00A014FD">
        <w:rPr>
          <w:rFonts w:eastAsia="Times New Roman"/>
          <w:lang w:eastAsia="en-GB"/>
        </w:rPr>
        <w:tab/>
      </w:r>
      <w:r w:rsidRPr="00A014FD">
        <w:rPr>
          <w:rFonts w:eastAsia="Times New Roman"/>
          <w:lang w:eastAsia="en-GB"/>
        </w:rPr>
        <w:tab/>
      </w:r>
      <w:r w:rsidRPr="00A014FD">
        <w:rPr>
          <w:rFonts w:eastAsia="Times New Roman"/>
          <w:lang w:eastAsia="en-GB"/>
        </w:rPr>
        <w:tab/>
        <w:t xml:space="preserve">      </w:t>
      </w:r>
      <w:r w:rsidRPr="00A014FD">
        <w:rPr>
          <w:rFonts w:eastAsia="Times New Roman"/>
          <w:lang w:eastAsia="en-GB"/>
        </w:rPr>
        <w:tab/>
      </w:r>
      <w:r w:rsidRPr="00A014FD">
        <w:rPr>
          <w:rFonts w:eastAsia="Times New Roman"/>
          <w:lang w:eastAsia="en-GB"/>
        </w:rPr>
        <w:tab/>
      </w:r>
      <w:r w:rsidRPr="00A014FD">
        <w:rPr>
          <w:rFonts w:eastAsia="Times New Roman"/>
          <w:lang w:eastAsia="en-GB"/>
        </w:rPr>
        <w:tab/>
      </w:r>
      <w:r w:rsidRPr="00A014FD">
        <w:rPr>
          <w:rFonts w:eastAsia="Times New Roman"/>
          <w:lang w:eastAsia="en-GB"/>
        </w:rPr>
        <w:tab/>
      </w:r>
    </w:p>
    <w:p w14:paraId="7487EBD8" w14:textId="77777777" w:rsidR="005400D8" w:rsidRPr="00A014FD" w:rsidRDefault="005400D8" w:rsidP="005400D8">
      <w:pPr>
        <w:spacing w:before="240" w:line="240" w:lineRule="auto"/>
        <w:rPr>
          <w:rFonts w:eastAsia="Times New Roman"/>
          <w:b/>
          <w:lang w:eastAsia="en-GB"/>
        </w:rPr>
      </w:pPr>
      <w:r w:rsidRPr="00A014FD">
        <w:rPr>
          <w:rFonts w:eastAsia="Times New Roman"/>
          <w:b/>
          <w:lang w:eastAsia="en-GB"/>
        </w:rPr>
        <w:t xml:space="preserve">Name: </w:t>
      </w:r>
      <w:r w:rsidRPr="00A014FD">
        <w:rPr>
          <w:rFonts w:eastAsia="Times New Roman"/>
          <w:b/>
          <w:noProof/>
          <w:lang w:eastAsia="en-GB"/>
        </w:rPr>
        <w:t>…………………………………………………………………………………………………</w:t>
      </w:r>
    </w:p>
    <w:p w14:paraId="1D6FA0E7" w14:textId="77777777" w:rsidR="005400D8" w:rsidRPr="00A014FD" w:rsidRDefault="005400D8" w:rsidP="005400D8">
      <w:pPr>
        <w:spacing w:before="240" w:line="240" w:lineRule="auto"/>
        <w:rPr>
          <w:rFonts w:eastAsia="Times New Roman"/>
          <w:b/>
          <w:lang w:eastAsia="en-GB"/>
        </w:rPr>
      </w:pPr>
      <w:r w:rsidRPr="00A014FD">
        <w:rPr>
          <w:rFonts w:eastAsia="Times New Roman"/>
          <w:b/>
          <w:lang w:eastAsia="en-GB"/>
        </w:rPr>
        <w:t xml:space="preserve">Signature: </w:t>
      </w:r>
      <w:r w:rsidRPr="00A014FD">
        <w:rPr>
          <w:rFonts w:eastAsia="Times New Roman"/>
          <w:b/>
          <w:noProof/>
          <w:lang w:eastAsia="en-GB"/>
        </w:rPr>
        <w:t>…………………………………………………………………………………………….</w:t>
      </w:r>
    </w:p>
    <w:p w14:paraId="5E7C72E4" w14:textId="77777777" w:rsidR="005400D8" w:rsidRPr="00A014FD" w:rsidRDefault="005400D8" w:rsidP="005400D8">
      <w:pPr>
        <w:spacing w:before="240" w:line="240" w:lineRule="auto"/>
        <w:jc w:val="left"/>
        <w:rPr>
          <w:rFonts w:eastAsia="Times New Roman"/>
          <w:b/>
          <w:noProof/>
          <w:lang w:eastAsia="en-GB"/>
        </w:rPr>
      </w:pPr>
      <w:r w:rsidRPr="00A014FD">
        <w:rPr>
          <w:rFonts w:eastAsia="Times New Roman"/>
          <w:b/>
          <w:lang w:eastAsia="en-GB"/>
        </w:rPr>
        <w:t xml:space="preserve">Date: </w:t>
      </w:r>
      <w:r w:rsidRPr="00A014FD">
        <w:rPr>
          <w:rFonts w:eastAsia="Times New Roman"/>
          <w:b/>
          <w:noProof/>
          <w:lang w:eastAsia="en-GB"/>
        </w:rPr>
        <w:t>………………………………………………………………………………………………….</w:t>
      </w:r>
    </w:p>
    <w:p w14:paraId="67507EC6" w14:textId="77777777" w:rsidR="005400D8" w:rsidRPr="00A014FD" w:rsidRDefault="005400D8" w:rsidP="005400D8">
      <w:pPr>
        <w:spacing w:after="160" w:line="259" w:lineRule="auto"/>
        <w:jc w:val="left"/>
        <w:rPr>
          <w:rFonts w:eastAsia="Times New Roman"/>
          <w:b/>
          <w:noProof/>
          <w:lang w:eastAsia="en-GB"/>
        </w:rPr>
      </w:pPr>
      <w:r w:rsidRPr="00A014FD">
        <w:rPr>
          <w:rFonts w:eastAsia="Times New Roman"/>
          <w:b/>
          <w:noProof/>
          <w:lang w:eastAsia="en-GB"/>
        </w:rPr>
        <w:br w:type="page"/>
      </w:r>
    </w:p>
    <w:p w14:paraId="161C6BFE" w14:textId="77777777" w:rsidR="005400D8" w:rsidRPr="00A014FD" w:rsidRDefault="005400D8" w:rsidP="005400D8">
      <w:pPr>
        <w:keepNext/>
        <w:shd w:val="clear" w:color="auto" w:fill="D9D9D9"/>
        <w:spacing w:line="240" w:lineRule="auto"/>
        <w:jc w:val="center"/>
        <w:rPr>
          <w:rFonts w:eastAsia="Times New Roman"/>
          <w:b/>
          <w:sz w:val="28"/>
          <w:szCs w:val="28"/>
          <w:lang w:eastAsia="en-GB"/>
        </w:rPr>
      </w:pPr>
      <w:r w:rsidRPr="00A014FD">
        <w:rPr>
          <w:rFonts w:eastAsia="Times New Roman"/>
          <w:b/>
          <w:sz w:val="28"/>
          <w:szCs w:val="28"/>
          <w:lang w:eastAsia="en-GB"/>
        </w:rPr>
        <w:lastRenderedPageBreak/>
        <w:t>SECTION A (EVERYONE TO COMPLETE)</w:t>
      </w:r>
    </w:p>
    <w:p w14:paraId="5B679EA0" w14:textId="77777777" w:rsidR="005400D8" w:rsidRPr="00A014FD" w:rsidRDefault="005400D8" w:rsidP="005400D8">
      <w:pPr>
        <w:keepNext/>
        <w:shd w:val="clear" w:color="auto" w:fill="D9D9D9"/>
        <w:spacing w:line="240" w:lineRule="auto"/>
        <w:jc w:val="center"/>
        <w:rPr>
          <w:rFonts w:eastAsia="Times New Roman"/>
          <w:i/>
          <w:sz w:val="28"/>
          <w:szCs w:val="28"/>
          <w:lang w:eastAsia="en-GB"/>
        </w:rPr>
      </w:pPr>
      <w:r w:rsidRPr="00A014FD">
        <w:rPr>
          <w:rFonts w:eastAsia="Times New Roman"/>
          <w:i/>
          <w:sz w:val="28"/>
          <w:szCs w:val="28"/>
          <w:lang w:eastAsia="en-GB"/>
        </w:rPr>
        <w:t>Demographic Profile</w:t>
      </w:r>
    </w:p>
    <w:p w14:paraId="313D5889" w14:textId="77777777" w:rsidR="005400D8" w:rsidRPr="00A014FD" w:rsidRDefault="005400D8" w:rsidP="005400D8">
      <w:pPr>
        <w:jc w:val="left"/>
        <w:rPr>
          <w:rFonts w:eastAsia="Times New Roman"/>
          <w:b/>
          <w:bCs/>
          <w:lang w:eastAsia="en-GB"/>
        </w:rPr>
      </w:pPr>
      <w:r w:rsidRPr="00A014FD">
        <w:rPr>
          <w:rFonts w:eastAsia="Times New Roman"/>
          <w:b/>
          <w:bCs/>
          <w:bdr w:val="nil"/>
          <w:lang w:eastAsia="en-GB"/>
        </w:rPr>
        <w:t xml:space="preserve">A1 </w:t>
      </w:r>
      <w:r w:rsidRPr="00A014FD">
        <w:rPr>
          <w:rFonts w:eastAsia="Times New Roman"/>
          <w:b/>
          <w:bCs/>
          <w:noProof/>
          <w:bdr w:val="nil"/>
          <w:lang w:eastAsia="en-GB"/>
        </w:rPr>
        <w:t>Please</w:t>
      </w:r>
      <w:r w:rsidRPr="00A014FD">
        <w:rPr>
          <w:rFonts w:eastAsia="Times New Roman"/>
          <w:b/>
          <w:bCs/>
          <w:bdr w:val="nil"/>
          <w:lang w:eastAsia="en-GB"/>
        </w:rPr>
        <w:t xml:space="preserve"> select </w:t>
      </w:r>
      <w:r w:rsidRPr="00A014FD">
        <w:rPr>
          <w:rFonts w:eastAsia="Times New Roman"/>
          <w:b/>
          <w:bCs/>
          <w:noProof/>
          <w:bdr w:val="nil"/>
          <w:lang w:eastAsia="en-GB"/>
        </w:rPr>
        <w:t>your</w:t>
      </w:r>
      <w:r w:rsidRPr="00A014FD">
        <w:rPr>
          <w:rFonts w:eastAsia="Times New Roman"/>
          <w:b/>
          <w:bCs/>
          <w:bdr w:val="nil"/>
          <w:lang w:eastAsia="en-GB"/>
        </w:rPr>
        <w:t xml:space="preserve"> </w:t>
      </w:r>
      <w:proofErr w:type="gramStart"/>
      <w:r w:rsidRPr="00A014FD">
        <w:rPr>
          <w:rFonts w:eastAsia="Times New Roman"/>
          <w:b/>
          <w:bCs/>
          <w:bdr w:val="nil"/>
          <w:lang w:eastAsia="en-GB"/>
        </w:rPr>
        <w:t>gender</w:t>
      </w:r>
      <w:proofErr w:type="gramEnd"/>
    </w:p>
    <w:tbl>
      <w:tblPr>
        <w:tblStyle w:val="1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26"/>
      </w:tblGrid>
      <w:tr w:rsidR="005400D8" w:rsidRPr="00A014FD" w14:paraId="05342E34" w14:textId="77777777" w:rsidTr="00704B82">
        <w:trPr>
          <w:trHeight w:val="500"/>
        </w:trPr>
        <w:tc>
          <w:tcPr>
            <w:tcW w:w="9026" w:type="dxa"/>
            <w:vAlign w:val="center"/>
          </w:tcPr>
          <w:p w14:paraId="197A55A4" w14:textId="77777777" w:rsidR="005400D8" w:rsidRPr="00A014FD" w:rsidRDefault="005400D8" w:rsidP="00704B82">
            <w:pPr>
              <w:jc w:val="left"/>
              <w:rPr>
                <w:rFonts w:eastAsia="Times New Roman"/>
                <w:sz w:val="22"/>
                <w:lang w:eastAsia="en-GB"/>
              </w:rPr>
            </w:pPr>
            <w:r w:rsidRPr="00A014FD">
              <w:rPr>
                <w:rFonts w:eastAsia="等线"/>
                <w:color w:val="000000"/>
                <w:sz w:val="22"/>
              </w:rPr>
              <w:t>□</w:t>
            </w:r>
            <w:r w:rsidRPr="00A014FD">
              <w:rPr>
                <w:rFonts w:eastAsia="Times New Roman"/>
                <w:sz w:val="22"/>
                <w:bdr w:val="nil"/>
                <w:lang w:eastAsia="en-GB"/>
              </w:rPr>
              <w:t xml:space="preserve"> Male</w:t>
            </w:r>
          </w:p>
        </w:tc>
      </w:tr>
      <w:tr w:rsidR="005400D8" w:rsidRPr="00A014FD" w14:paraId="685A40E6" w14:textId="77777777" w:rsidTr="00704B82">
        <w:trPr>
          <w:trHeight w:val="500"/>
        </w:trPr>
        <w:tc>
          <w:tcPr>
            <w:tcW w:w="9026" w:type="dxa"/>
            <w:vAlign w:val="center"/>
          </w:tcPr>
          <w:p w14:paraId="3DDD2827" w14:textId="77777777" w:rsidR="005400D8" w:rsidRPr="00A014FD" w:rsidRDefault="005400D8" w:rsidP="00704B82">
            <w:pPr>
              <w:jc w:val="left"/>
              <w:rPr>
                <w:rFonts w:eastAsia="Times New Roman"/>
                <w:sz w:val="22"/>
                <w:bdr w:val="nil"/>
                <w:lang w:eastAsia="en-GB"/>
              </w:rPr>
            </w:pPr>
            <w:r w:rsidRPr="00A014FD">
              <w:rPr>
                <w:rFonts w:eastAsia="等线"/>
                <w:color w:val="000000"/>
                <w:sz w:val="22"/>
              </w:rPr>
              <w:t>□</w:t>
            </w:r>
            <w:r w:rsidRPr="00A014FD">
              <w:rPr>
                <w:rFonts w:eastAsia="Times New Roman"/>
                <w:sz w:val="22"/>
                <w:bdr w:val="nil"/>
                <w:lang w:eastAsia="en-GB"/>
              </w:rPr>
              <w:t xml:space="preserve"> Female</w:t>
            </w:r>
          </w:p>
        </w:tc>
      </w:tr>
      <w:tr w:rsidR="005400D8" w:rsidRPr="00A014FD" w14:paraId="544BA062" w14:textId="77777777" w:rsidTr="00704B82">
        <w:trPr>
          <w:trHeight w:val="500"/>
        </w:trPr>
        <w:tc>
          <w:tcPr>
            <w:tcW w:w="9026" w:type="dxa"/>
            <w:vAlign w:val="center"/>
          </w:tcPr>
          <w:p w14:paraId="6978A480" w14:textId="77777777" w:rsidR="005400D8" w:rsidRPr="00A014FD" w:rsidRDefault="005400D8" w:rsidP="00704B82">
            <w:pPr>
              <w:jc w:val="left"/>
              <w:rPr>
                <w:rFonts w:eastAsia="Times New Roman"/>
                <w:color w:val="545454"/>
                <w:shd w:val="clear" w:color="auto" w:fill="FFFFFF"/>
                <w:lang w:eastAsia="en-GB"/>
              </w:rPr>
            </w:pPr>
            <w:r w:rsidRPr="00A014FD">
              <w:rPr>
                <w:rFonts w:eastAsia="等线"/>
                <w:color w:val="000000"/>
                <w:sz w:val="22"/>
              </w:rPr>
              <w:t xml:space="preserve">□ </w:t>
            </w:r>
            <w:r w:rsidRPr="00A014FD">
              <w:rPr>
                <w:rFonts w:eastAsia="Times New Roman"/>
                <w:sz w:val="22"/>
                <w:bdr w:val="nil"/>
                <w:lang w:eastAsia="en-GB"/>
              </w:rPr>
              <w:t>Other</w:t>
            </w:r>
          </w:p>
        </w:tc>
      </w:tr>
    </w:tbl>
    <w:p w14:paraId="7454C04A" w14:textId="77777777" w:rsidR="005400D8" w:rsidRPr="00A014FD" w:rsidRDefault="005400D8" w:rsidP="005400D8">
      <w:pPr>
        <w:jc w:val="left"/>
        <w:rPr>
          <w:rFonts w:eastAsia="Times New Roman"/>
          <w:b/>
          <w:bCs/>
          <w:bdr w:val="nil"/>
          <w:lang w:eastAsia="en-GB"/>
        </w:rPr>
      </w:pPr>
      <w:r w:rsidRPr="00A014FD">
        <w:rPr>
          <w:rFonts w:eastAsia="Times New Roman"/>
          <w:b/>
          <w:bCs/>
          <w:bdr w:val="nil"/>
          <w:lang w:eastAsia="en-GB"/>
        </w:rPr>
        <w:t>A2 What is your job title and your main responsibility within the UCC system?</w:t>
      </w:r>
    </w:p>
    <w:tbl>
      <w:tblPr>
        <w:tblStyle w:val="10"/>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016"/>
      </w:tblGrid>
      <w:tr w:rsidR="005400D8" w:rsidRPr="00A014FD" w14:paraId="2F992C53" w14:textId="77777777" w:rsidTr="00704B82">
        <w:tc>
          <w:tcPr>
            <w:tcW w:w="9016" w:type="dxa"/>
          </w:tcPr>
          <w:p w14:paraId="7261DE47" w14:textId="77777777" w:rsidR="005400D8" w:rsidRPr="00A014FD" w:rsidRDefault="005400D8" w:rsidP="00704B82">
            <w:pPr>
              <w:jc w:val="left"/>
              <w:rPr>
                <w:rFonts w:eastAsia="Times New Roman"/>
                <w:lang w:eastAsia="en-GB"/>
              </w:rPr>
            </w:pPr>
          </w:p>
        </w:tc>
      </w:tr>
      <w:tr w:rsidR="005400D8" w:rsidRPr="00A014FD" w14:paraId="7C28FC41" w14:textId="77777777" w:rsidTr="00704B82">
        <w:tc>
          <w:tcPr>
            <w:tcW w:w="9016" w:type="dxa"/>
          </w:tcPr>
          <w:p w14:paraId="22464099" w14:textId="77777777" w:rsidR="005400D8" w:rsidRPr="00A014FD" w:rsidRDefault="005400D8" w:rsidP="00704B82">
            <w:pPr>
              <w:jc w:val="left"/>
              <w:rPr>
                <w:rFonts w:eastAsia="Times New Roman"/>
                <w:lang w:eastAsia="en-GB"/>
              </w:rPr>
            </w:pPr>
          </w:p>
        </w:tc>
      </w:tr>
      <w:tr w:rsidR="005400D8" w:rsidRPr="00A014FD" w14:paraId="131E7B0A" w14:textId="77777777" w:rsidTr="00704B82">
        <w:tc>
          <w:tcPr>
            <w:tcW w:w="9016" w:type="dxa"/>
          </w:tcPr>
          <w:p w14:paraId="4B623F2D" w14:textId="77777777" w:rsidR="005400D8" w:rsidRPr="00A014FD" w:rsidRDefault="005400D8" w:rsidP="00704B82">
            <w:pPr>
              <w:jc w:val="left"/>
              <w:rPr>
                <w:rFonts w:eastAsia="Times New Roman"/>
                <w:lang w:eastAsia="en-GB"/>
              </w:rPr>
            </w:pPr>
          </w:p>
        </w:tc>
      </w:tr>
      <w:tr w:rsidR="005400D8" w:rsidRPr="00A014FD" w14:paraId="55F8E1C7" w14:textId="77777777" w:rsidTr="00704B82">
        <w:tc>
          <w:tcPr>
            <w:tcW w:w="9016" w:type="dxa"/>
          </w:tcPr>
          <w:p w14:paraId="1362F25F" w14:textId="77777777" w:rsidR="005400D8" w:rsidRPr="00A014FD" w:rsidRDefault="005400D8" w:rsidP="00704B82">
            <w:pPr>
              <w:jc w:val="left"/>
              <w:rPr>
                <w:rFonts w:eastAsia="Times New Roman"/>
                <w:lang w:eastAsia="en-GB"/>
              </w:rPr>
            </w:pPr>
          </w:p>
        </w:tc>
      </w:tr>
    </w:tbl>
    <w:p w14:paraId="47FA8322" w14:textId="77777777" w:rsidR="005400D8" w:rsidRPr="00A014FD" w:rsidRDefault="005400D8" w:rsidP="005400D8">
      <w:pPr>
        <w:spacing w:line="240" w:lineRule="auto"/>
        <w:jc w:val="left"/>
        <w:rPr>
          <w:rFonts w:eastAsia="Times New Roman"/>
          <w:lang w:eastAsia="en-GB"/>
        </w:rPr>
      </w:pPr>
    </w:p>
    <w:p w14:paraId="70858225" w14:textId="77777777" w:rsidR="005400D8" w:rsidRPr="00A014FD" w:rsidRDefault="005400D8" w:rsidP="005400D8">
      <w:pPr>
        <w:jc w:val="left"/>
        <w:rPr>
          <w:rFonts w:eastAsia="Times New Roman"/>
          <w:b/>
          <w:bCs/>
          <w:bdr w:val="nil"/>
          <w:lang w:eastAsia="en-GB"/>
        </w:rPr>
      </w:pPr>
      <w:r w:rsidRPr="00A014FD">
        <w:rPr>
          <w:rFonts w:eastAsia="Times New Roman"/>
          <w:b/>
          <w:bCs/>
          <w:bdr w:val="nil"/>
          <w:lang w:eastAsia="en-GB"/>
        </w:rPr>
        <w:t>A3 How long have you been associated with this UCC?</w:t>
      </w:r>
    </w:p>
    <w:p w14:paraId="4CDEBAA1" w14:textId="77777777" w:rsidR="005400D8" w:rsidRPr="00A014FD" w:rsidRDefault="005400D8" w:rsidP="005400D8">
      <w:pPr>
        <w:spacing w:line="240" w:lineRule="auto"/>
        <w:jc w:val="left"/>
        <w:rPr>
          <w:rFonts w:eastAsia="Times New Roman"/>
          <w:lang w:eastAsia="en-GB"/>
        </w:rPr>
      </w:pPr>
      <w:r w:rsidRPr="00A014FD">
        <w:rPr>
          <w:rFonts w:eastAsia="Times New Roman"/>
          <w:lang w:eastAsia="en-GB"/>
        </w:rPr>
        <w:t>_____________________________________________________________________</w:t>
      </w:r>
    </w:p>
    <w:p w14:paraId="17AA8FA0" w14:textId="77777777" w:rsidR="005400D8" w:rsidRPr="00A014FD" w:rsidRDefault="005400D8" w:rsidP="005400D8">
      <w:pPr>
        <w:spacing w:line="240" w:lineRule="auto"/>
        <w:jc w:val="left"/>
        <w:rPr>
          <w:rFonts w:eastAsia="Times New Roman"/>
          <w:lang w:eastAsia="en-GB"/>
        </w:rPr>
      </w:pPr>
    </w:p>
    <w:p w14:paraId="0554BE80" w14:textId="77777777" w:rsidR="005400D8" w:rsidRPr="00A014FD" w:rsidRDefault="005400D8" w:rsidP="005400D8">
      <w:pPr>
        <w:spacing w:after="160" w:line="259" w:lineRule="auto"/>
        <w:jc w:val="left"/>
        <w:rPr>
          <w:rFonts w:eastAsia="Times New Roman"/>
          <w:b/>
          <w:sz w:val="28"/>
          <w:szCs w:val="28"/>
          <w:lang w:eastAsia="en-GB"/>
        </w:rPr>
      </w:pPr>
      <w:r w:rsidRPr="00A014FD">
        <w:rPr>
          <w:rFonts w:eastAsia="Times New Roman"/>
          <w:b/>
          <w:sz w:val="28"/>
          <w:szCs w:val="28"/>
          <w:lang w:eastAsia="en-GB"/>
        </w:rPr>
        <w:br w:type="page"/>
      </w:r>
    </w:p>
    <w:p w14:paraId="1F1CF205" w14:textId="77777777" w:rsidR="005400D8" w:rsidRPr="00A014FD" w:rsidRDefault="005400D8" w:rsidP="005400D8">
      <w:pPr>
        <w:keepNext/>
        <w:shd w:val="clear" w:color="auto" w:fill="D9D9D9"/>
        <w:spacing w:line="240" w:lineRule="auto"/>
        <w:jc w:val="center"/>
        <w:rPr>
          <w:rFonts w:eastAsia="Times New Roman"/>
          <w:b/>
          <w:sz w:val="28"/>
          <w:szCs w:val="28"/>
          <w:lang w:eastAsia="en-GB"/>
        </w:rPr>
      </w:pPr>
      <w:r w:rsidRPr="00A014FD">
        <w:rPr>
          <w:rFonts w:eastAsia="Times New Roman"/>
          <w:b/>
          <w:sz w:val="28"/>
          <w:szCs w:val="28"/>
          <w:lang w:eastAsia="en-GB"/>
        </w:rPr>
        <w:lastRenderedPageBreak/>
        <w:t>SECTION B (EVERYONE TO COMPLETE)</w:t>
      </w:r>
    </w:p>
    <w:p w14:paraId="347D622A" w14:textId="77777777" w:rsidR="005400D8" w:rsidRPr="00A014FD" w:rsidRDefault="005400D8" w:rsidP="005400D8">
      <w:pPr>
        <w:keepNext/>
        <w:shd w:val="clear" w:color="auto" w:fill="D9D9D9"/>
        <w:spacing w:line="240" w:lineRule="auto"/>
        <w:jc w:val="center"/>
        <w:rPr>
          <w:rFonts w:eastAsia="Times New Roman"/>
          <w:i/>
          <w:lang w:eastAsia="en-GB"/>
        </w:rPr>
      </w:pPr>
      <w:r w:rsidRPr="00A014FD">
        <w:rPr>
          <w:rFonts w:eastAsia="Times New Roman"/>
          <w:i/>
          <w:lang w:eastAsia="en-GB"/>
        </w:rPr>
        <w:t>Understanding UCCs’ functions within Sustainable Urban Logistics systems</w:t>
      </w:r>
    </w:p>
    <w:p w14:paraId="492BAF83" w14:textId="77777777" w:rsidR="005400D8" w:rsidRPr="00A014FD" w:rsidRDefault="005400D8" w:rsidP="005400D8">
      <w:pPr>
        <w:jc w:val="left"/>
        <w:rPr>
          <w:rFonts w:eastAsia="Times New Roman"/>
          <w:lang w:eastAsia="en-GB"/>
        </w:rPr>
      </w:pPr>
    </w:p>
    <w:p w14:paraId="2BF90EA8" w14:textId="77777777" w:rsidR="005400D8" w:rsidRPr="00A014FD" w:rsidRDefault="005400D8" w:rsidP="005400D8">
      <w:pPr>
        <w:jc w:val="left"/>
        <w:rPr>
          <w:rFonts w:eastAsia="微软雅黑"/>
          <w:b/>
          <w:bCs/>
          <w:sz w:val="28"/>
          <w:lang w:eastAsia="en-GB"/>
        </w:rPr>
      </w:pPr>
      <w:r w:rsidRPr="00A014FD">
        <w:rPr>
          <w:rFonts w:eastAsia="Times New Roman"/>
          <w:b/>
          <w:bCs/>
          <w:bdr w:val="nil"/>
          <w:lang w:eastAsia="en-GB"/>
        </w:rPr>
        <w:t xml:space="preserve">B1 What is your understanding about the concept of sustainable urban logistics? </w:t>
      </w:r>
    </w:p>
    <w:p w14:paraId="0CB40340" w14:textId="77777777" w:rsidR="005400D8" w:rsidRPr="00A014FD" w:rsidRDefault="005400D8" w:rsidP="005400D8">
      <w:pPr>
        <w:spacing w:line="240" w:lineRule="auto"/>
        <w:jc w:val="left"/>
        <w:rPr>
          <w:rFonts w:eastAsia="Times New Roman"/>
          <w:lang w:eastAsia="en-GB"/>
        </w:rPr>
      </w:pPr>
      <w:r w:rsidRPr="00A014FD">
        <w:rPr>
          <w:rFonts w:eastAsia="Times New Roman"/>
          <w:lang w:eastAsia="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0ED54E9" w14:textId="77777777" w:rsidR="005400D8" w:rsidRPr="00A014FD" w:rsidRDefault="005400D8" w:rsidP="005400D8">
      <w:pPr>
        <w:spacing w:line="240" w:lineRule="auto"/>
        <w:jc w:val="left"/>
        <w:rPr>
          <w:rFonts w:eastAsia="Times New Roman"/>
          <w:lang w:eastAsia="en-GB"/>
        </w:rPr>
      </w:pPr>
    </w:p>
    <w:p w14:paraId="5BDF645B" w14:textId="77777777" w:rsidR="005400D8" w:rsidRPr="00A014FD" w:rsidRDefault="005400D8" w:rsidP="005400D8">
      <w:pPr>
        <w:rPr>
          <w:rFonts w:eastAsia="Times New Roman"/>
          <w:b/>
          <w:bCs/>
          <w:lang w:eastAsia="en-GB"/>
        </w:rPr>
      </w:pPr>
      <w:r w:rsidRPr="00A014FD">
        <w:rPr>
          <w:rFonts w:eastAsia="Times New Roman"/>
          <w:b/>
          <w:bCs/>
          <w:bdr w:val="nil"/>
          <w:lang w:eastAsia="en-GB"/>
        </w:rPr>
        <w:t xml:space="preserve">B2 What is your understanding about the role of this UCC within sustainable urban logistics strategies? </w:t>
      </w:r>
    </w:p>
    <w:p w14:paraId="2419DEB0" w14:textId="77777777" w:rsidR="005400D8" w:rsidRPr="00A014FD" w:rsidRDefault="005400D8" w:rsidP="005400D8">
      <w:pPr>
        <w:spacing w:line="240" w:lineRule="auto"/>
        <w:jc w:val="left"/>
        <w:rPr>
          <w:rFonts w:eastAsia="Times New Roman"/>
          <w:lang w:eastAsia="en-GB"/>
        </w:rPr>
      </w:pPr>
      <w:r w:rsidRPr="00A014FD">
        <w:rPr>
          <w:rFonts w:eastAsia="Times New Roman"/>
          <w:lang w:eastAsia="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F80C16F" w14:textId="77777777" w:rsidR="005400D8" w:rsidRPr="00A014FD" w:rsidRDefault="005400D8" w:rsidP="005400D8">
      <w:pPr>
        <w:spacing w:line="240" w:lineRule="auto"/>
        <w:jc w:val="left"/>
        <w:rPr>
          <w:rFonts w:eastAsia="Times New Roman"/>
          <w:lang w:eastAsia="en-GB"/>
        </w:rPr>
      </w:pPr>
    </w:p>
    <w:p w14:paraId="59897B57" w14:textId="77777777" w:rsidR="005400D8" w:rsidRPr="00A014FD" w:rsidRDefault="005400D8" w:rsidP="005400D8">
      <w:pPr>
        <w:keepNext/>
        <w:shd w:val="clear" w:color="auto" w:fill="D9D9D9"/>
        <w:spacing w:line="240" w:lineRule="auto"/>
        <w:jc w:val="center"/>
        <w:rPr>
          <w:rFonts w:eastAsia="Times New Roman"/>
          <w:b/>
          <w:sz w:val="28"/>
          <w:szCs w:val="28"/>
          <w:lang w:eastAsia="en-GB"/>
        </w:rPr>
      </w:pPr>
      <w:r w:rsidRPr="00A014FD">
        <w:rPr>
          <w:rFonts w:eastAsia="Times New Roman"/>
          <w:b/>
          <w:sz w:val="28"/>
          <w:szCs w:val="28"/>
          <w:lang w:eastAsia="en-GB"/>
        </w:rPr>
        <w:t>SECTION C (EVERYONE TO COMPLETE)</w:t>
      </w:r>
    </w:p>
    <w:p w14:paraId="0A4DA568" w14:textId="77777777" w:rsidR="005400D8" w:rsidRPr="00A014FD" w:rsidRDefault="005400D8" w:rsidP="005400D8">
      <w:pPr>
        <w:keepNext/>
        <w:shd w:val="clear" w:color="auto" w:fill="D9D9D9"/>
        <w:spacing w:line="240" w:lineRule="auto"/>
        <w:jc w:val="center"/>
        <w:rPr>
          <w:rFonts w:eastAsia="Times New Roman"/>
          <w:i/>
          <w:sz w:val="28"/>
          <w:szCs w:val="28"/>
          <w:lang w:eastAsia="en-GB"/>
        </w:rPr>
      </w:pPr>
      <w:r w:rsidRPr="00A014FD">
        <w:rPr>
          <w:rFonts w:eastAsia="Times New Roman"/>
          <w:i/>
          <w:sz w:val="28"/>
          <w:szCs w:val="28"/>
          <w:lang w:eastAsia="en-GB"/>
        </w:rPr>
        <w:t>Indicators’ validity</w:t>
      </w:r>
    </w:p>
    <w:p w14:paraId="5FCF305D" w14:textId="77777777" w:rsidR="005400D8" w:rsidRPr="00A014FD" w:rsidRDefault="005400D8" w:rsidP="005400D8">
      <w:pPr>
        <w:spacing w:line="240" w:lineRule="auto"/>
        <w:jc w:val="left"/>
        <w:rPr>
          <w:rFonts w:eastAsia="Times New Roman"/>
          <w:b/>
          <w:bCs/>
          <w:bdr w:val="nil"/>
          <w:lang w:eastAsia="en-GB"/>
        </w:rPr>
      </w:pPr>
    </w:p>
    <w:p w14:paraId="2A7F58B9" w14:textId="77777777" w:rsidR="005400D8" w:rsidRPr="00A014FD" w:rsidRDefault="005400D8" w:rsidP="005400D8">
      <w:pPr>
        <w:rPr>
          <w:rFonts w:eastAsia="Times New Roman"/>
          <w:b/>
          <w:bCs/>
          <w:bdr w:val="nil"/>
          <w:lang w:eastAsia="en-GB"/>
        </w:rPr>
      </w:pPr>
      <w:r w:rsidRPr="00A014FD">
        <w:rPr>
          <w:rFonts w:eastAsia="Times New Roman"/>
          <w:b/>
          <w:bCs/>
          <w:bdr w:val="nil"/>
          <w:lang w:eastAsia="en-GB"/>
        </w:rPr>
        <w:t xml:space="preserve">C1 Based on </w:t>
      </w:r>
      <w:r w:rsidRPr="00A014FD">
        <w:rPr>
          <w:rFonts w:eastAsia="Times New Roman"/>
          <w:b/>
          <w:bCs/>
          <w:noProof/>
          <w:bdr w:val="nil"/>
          <w:lang w:eastAsia="en-GB"/>
        </w:rPr>
        <w:t>your</w:t>
      </w:r>
      <w:r w:rsidRPr="00A014FD">
        <w:rPr>
          <w:rFonts w:eastAsia="Times New Roman"/>
          <w:b/>
          <w:bCs/>
          <w:bdr w:val="nil"/>
          <w:lang w:eastAsia="en-GB"/>
        </w:rPr>
        <w:t xml:space="preserve"> experience, select the relevant indicators that</w:t>
      </w:r>
      <w:r w:rsidRPr="00A014FD">
        <w:rPr>
          <w:rFonts w:eastAsia="Times New Roman"/>
          <w:b/>
          <w:bCs/>
          <w:noProof/>
          <w:bdr w:val="nil"/>
          <w:lang w:val="en-US" w:eastAsia="en-GB"/>
        </w:rPr>
        <w:t xml:space="preserve"> </w:t>
      </w:r>
      <w:r w:rsidRPr="00A014FD">
        <w:rPr>
          <w:rFonts w:eastAsia="Times New Roman"/>
          <w:b/>
          <w:bCs/>
          <w:noProof/>
          <w:bdr w:val="nil"/>
          <w:lang w:eastAsia="en-GB"/>
        </w:rPr>
        <w:t>apply to</w:t>
      </w:r>
      <w:r w:rsidRPr="00A014FD">
        <w:rPr>
          <w:rFonts w:eastAsia="Times New Roman"/>
          <w:b/>
          <w:bCs/>
          <w:bdr w:val="nil"/>
          <w:lang w:eastAsia="en-GB"/>
        </w:rPr>
        <w:t xml:space="preserve"> </w:t>
      </w:r>
      <w:r w:rsidRPr="00A014FD">
        <w:rPr>
          <w:rFonts w:eastAsia="Times New Roman"/>
          <w:b/>
          <w:bCs/>
          <w:noProof/>
          <w:bdr w:val="nil"/>
          <w:lang w:eastAsia="en-GB"/>
        </w:rPr>
        <w:t>your</w:t>
      </w:r>
      <w:r w:rsidRPr="00A014FD">
        <w:rPr>
          <w:rFonts w:eastAsia="Times New Roman"/>
          <w:b/>
          <w:bCs/>
          <w:bdr w:val="nil"/>
          <w:lang w:eastAsia="en-GB"/>
        </w:rPr>
        <w:t xml:space="preserve"> organisational objectives </w:t>
      </w:r>
      <w:r w:rsidRPr="00A014FD">
        <w:rPr>
          <w:rFonts w:eastAsia="Times New Roman"/>
          <w:b/>
          <w:bCs/>
          <w:noProof/>
          <w:bdr w:val="nil"/>
          <w:lang w:eastAsia="en-GB"/>
        </w:rPr>
        <w:t>and/or</w:t>
      </w:r>
      <w:r w:rsidRPr="00A014FD">
        <w:rPr>
          <w:rFonts w:eastAsia="Times New Roman"/>
          <w:b/>
          <w:bCs/>
          <w:bdr w:val="nil"/>
          <w:lang w:eastAsia="en-GB"/>
        </w:rPr>
        <w:t xml:space="preserve"> to the ones of the whole UCC system.</w:t>
      </w:r>
    </w:p>
    <w:tbl>
      <w:tblPr>
        <w:tblStyle w:val="10"/>
        <w:tblW w:w="8789" w:type="dxa"/>
        <w:jc w:val="center"/>
        <w:tblLayout w:type="fixed"/>
        <w:tblLook w:val="04A0" w:firstRow="1" w:lastRow="0" w:firstColumn="1" w:lastColumn="0" w:noHBand="0" w:noVBand="1"/>
      </w:tblPr>
      <w:tblGrid>
        <w:gridCol w:w="2263"/>
        <w:gridCol w:w="3715"/>
        <w:gridCol w:w="1530"/>
        <w:gridCol w:w="1281"/>
      </w:tblGrid>
      <w:tr w:rsidR="005400D8" w:rsidRPr="00A014FD" w14:paraId="37919A9F" w14:textId="77777777" w:rsidTr="00704B82">
        <w:trPr>
          <w:trHeight w:val="151"/>
          <w:jc w:val="center"/>
        </w:trPr>
        <w:tc>
          <w:tcPr>
            <w:tcW w:w="2263" w:type="dxa"/>
            <w:vMerge w:val="restart"/>
            <w:tcBorders>
              <w:top w:val="single" w:sz="4" w:space="0" w:color="auto"/>
              <w:left w:val="single" w:sz="4" w:space="0" w:color="auto"/>
              <w:right w:val="single" w:sz="4" w:space="0" w:color="auto"/>
            </w:tcBorders>
            <w:noWrap/>
            <w:vAlign w:val="center"/>
            <w:hideMark/>
          </w:tcPr>
          <w:p w14:paraId="727B6B20" w14:textId="77777777" w:rsidR="005400D8" w:rsidRPr="00A014FD" w:rsidRDefault="005400D8" w:rsidP="00704B82">
            <w:pPr>
              <w:jc w:val="left"/>
              <w:rPr>
                <w:rFonts w:eastAsia="等线"/>
                <w:b/>
                <w:color w:val="000000"/>
                <w:sz w:val="22"/>
                <w:lang w:eastAsia="en-GB"/>
              </w:rPr>
            </w:pPr>
            <w:bookmarkStart w:id="1269" w:name="_Hlk510731933"/>
            <w:r w:rsidRPr="00A014FD">
              <w:rPr>
                <w:rFonts w:eastAsia="等线"/>
                <w:b/>
                <w:color w:val="000000"/>
                <w:sz w:val="22"/>
                <w:lang w:eastAsia="en-GB"/>
              </w:rPr>
              <w:t>Dimension</w:t>
            </w:r>
          </w:p>
        </w:tc>
        <w:tc>
          <w:tcPr>
            <w:tcW w:w="3715" w:type="dxa"/>
            <w:vMerge w:val="restart"/>
            <w:tcBorders>
              <w:top w:val="single" w:sz="4" w:space="0" w:color="auto"/>
              <w:left w:val="single" w:sz="4" w:space="0" w:color="auto"/>
              <w:right w:val="single" w:sz="4" w:space="0" w:color="auto"/>
            </w:tcBorders>
            <w:noWrap/>
            <w:vAlign w:val="center"/>
            <w:hideMark/>
          </w:tcPr>
          <w:p w14:paraId="03C99421" w14:textId="77777777" w:rsidR="005400D8" w:rsidRPr="00A014FD" w:rsidRDefault="005400D8" w:rsidP="00704B82">
            <w:pPr>
              <w:jc w:val="center"/>
              <w:rPr>
                <w:rFonts w:eastAsia="等线"/>
                <w:b/>
                <w:color w:val="000000"/>
                <w:sz w:val="22"/>
                <w:lang w:eastAsia="en-GB"/>
              </w:rPr>
            </w:pPr>
            <w:r w:rsidRPr="00A014FD">
              <w:rPr>
                <w:rFonts w:eastAsia="等线"/>
                <w:b/>
                <w:color w:val="000000"/>
                <w:sz w:val="22"/>
                <w:lang w:eastAsia="en-GB"/>
              </w:rPr>
              <w:t>Indicators</w:t>
            </w:r>
          </w:p>
        </w:tc>
        <w:tc>
          <w:tcPr>
            <w:tcW w:w="1530" w:type="dxa"/>
            <w:tcBorders>
              <w:top w:val="single" w:sz="4" w:space="0" w:color="auto"/>
              <w:left w:val="single" w:sz="4" w:space="0" w:color="auto"/>
              <w:bottom w:val="single" w:sz="4" w:space="0" w:color="auto"/>
              <w:right w:val="single" w:sz="4" w:space="0" w:color="auto"/>
            </w:tcBorders>
            <w:hideMark/>
          </w:tcPr>
          <w:p w14:paraId="67445FDF" w14:textId="77777777" w:rsidR="005400D8" w:rsidRPr="00A014FD" w:rsidRDefault="005400D8" w:rsidP="00704B82">
            <w:pPr>
              <w:jc w:val="center"/>
              <w:rPr>
                <w:rFonts w:eastAsia="等线"/>
                <w:b/>
                <w:color w:val="000000"/>
                <w:sz w:val="22"/>
                <w:lang w:eastAsia="en-GB"/>
              </w:rPr>
            </w:pPr>
            <w:r w:rsidRPr="00A014FD">
              <w:rPr>
                <w:rFonts w:eastAsia="等线"/>
                <w:b/>
                <w:color w:val="000000"/>
                <w:sz w:val="22"/>
                <w:lang w:eastAsia="en-GB"/>
              </w:rPr>
              <w:t xml:space="preserve">Relevant to </w:t>
            </w:r>
          </w:p>
          <w:p w14:paraId="451EDC75" w14:textId="77777777" w:rsidR="005400D8" w:rsidRPr="00A014FD" w:rsidRDefault="005400D8" w:rsidP="00704B82">
            <w:pPr>
              <w:jc w:val="center"/>
              <w:rPr>
                <w:rFonts w:eastAsia="等线"/>
                <w:b/>
                <w:color w:val="000000"/>
                <w:sz w:val="22"/>
                <w:lang w:eastAsia="en-GB"/>
              </w:rPr>
            </w:pPr>
            <w:r w:rsidRPr="00A014FD">
              <w:rPr>
                <w:rFonts w:eastAsia="等线"/>
                <w:b/>
                <w:noProof/>
                <w:color w:val="000000"/>
                <w:sz w:val="22"/>
                <w:lang w:eastAsia="en-GB"/>
              </w:rPr>
              <w:t>Your</w:t>
            </w:r>
            <w:r w:rsidRPr="00A014FD">
              <w:rPr>
                <w:rFonts w:eastAsia="等线"/>
                <w:b/>
                <w:color w:val="000000"/>
                <w:sz w:val="22"/>
                <w:lang w:eastAsia="en-GB"/>
              </w:rPr>
              <w:t xml:space="preserve"> Organisation</w:t>
            </w:r>
          </w:p>
        </w:tc>
        <w:tc>
          <w:tcPr>
            <w:tcW w:w="1281" w:type="dxa"/>
            <w:tcBorders>
              <w:top w:val="single" w:sz="4" w:space="0" w:color="auto"/>
              <w:left w:val="single" w:sz="4" w:space="0" w:color="auto"/>
              <w:bottom w:val="single" w:sz="4" w:space="0" w:color="auto"/>
              <w:right w:val="single" w:sz="4" w:space="0" w:color="auto"/>
            </w:tcBorders>
          </w:tcPr>
          <w:p w14:paraId="4BFC444D" w14:textId="77777777" w:rsidR="005400D8" w:rsidRPr="00A014FD" w:rsidRDefault="005400D8" w:rsidP="00704B82">
            <w:pPr>
              <w:jc w:val="center"/>
              <w:rPr>
                <w:rFonts w:eastAsia="等线"/>
                <w:b/>
                <w:color w:val="000000"/>
                <w:sz w:val="22"/>
                <w:lang w:eastAsia="en-GB"/>
              </w:rPr>
            </w:pPr>
            <w:r w:rsidRPr="00A014FD">
              <w:rPr>
                <w:rFonts w:eastAsia="等线"/>
                <w:b/>
                <w:color w:val="000000"/>
                <w:sz w:val="22"/>
                <w:lang w:eastAsia="en-GB"/>
              </w:rPr>
              <w:t xml:space="preserve">Relevant </w:t>
            </w:r>
            <w:r w:rsidRPr="00A014FD">
              <w:rPr>
                <w:rFonts w:eastAsia="等线"/>
                <w:b/>
                <w:color w:val="000000"/>
                <w:sz w:val="22"/>
                <w:lang w:eastAsia="en-GB"/>
              </w:rPr>
              <w:br/>
            </w:r>
            <w:r w:rsidRPr="00A014FD">
              <w:rPr>
                <w:rFonts w:eastAsia="等线"/>
                <w:b/>
                <w:noProof/>
                <w:color w:val="000000"/>
                <w:sz w:val="22"/>
                <w:lang w:eastAsia="en-GB"/>
              </w:rPr>
              <w:t>to</w:t>
            </w:r>
            <w:r w:rsidRPr="00A014FD">
              <w:rPr>
                <w:rFonts w:eastAsia="等线"/>
                <w:b/>
                <w:color w:val="000000"/>
                <w:sz w:val="22"/>
                <w:lang w:eastAsia="en-GB"/>
              </w:rPr>
              <w:t xml:space="preserve"> UCC Operation</w:t>
            </w:r>
          </w:p>
          <w:p w14:paraId="27D528F9" w14:textId="77777777" w:rsidR="005400D8" w:rsidRPr="00A014FD" w:rsidRDefault="005400D8" w:rsidP="00704B82">
            <w:pPr>
              <w:jc w:val="center"/>
              <w:rPr>
                <w:rFonts w:eastAsia="等线"/>
                <w:b/>
                <w:color w:val="000000"/>
                <w:sz w:val="22"/>
                <w:lang w:eastAsia="en-GB"/>
              </w:rPr>
            </w:pPr>
          </w:p>
        </w:tc>
      </w:tr>
      <w:tr w:rsidR="005400D8" w:rsidRPr="00A014FD" w14:paraId="6B9B3EED" w14:textId="77777777" w:rsidTr="00704B82">
        <w:trPr>
          <w:trHeight w:val="151"/>
          <w:jc w:val="center"/>
        </w:trPr>
        <w:tc>
          <w:tcPr>
            <w:tcW w:w="2263" w:type="dxa"/>
            <w:vMerge/>
            <w:tcBorders>
              <w:left w:val="single" w:sz="4" w:space="0" w:color="auto"/>
              <w:bottom w:val="single" w:sz="4" w:space="0" w:color="auto"/>
              <w:right w:val="single" w:sz="4" w:space="0" w:color="auto"/>
            </w:tcBorders>
            <w:noWrap/>
            <w:vAlign w:val="center"/>
          </w:tcPr>
          <w:p w14:paraId="67E58825" w14:textId="77777777" w:rsidR="005400D8" w:rsidRPr="00A014FD" w:rsidRDefault="005400D8" w:rsidP="00704B82">
            <w:pPr>
              <w:jc w:val="left"/>
              <w:rPr>
                <w:rFonts w:eastAsia="等线"/>
                <w:color w:val="000000"/>
                <w:sz w:val="22"/>
                <w:lang w:eastAsia="en-GB"/>
              </w:rPr>
            </w:pPr>
          </w:p>
        </w:tc>
        <w:tc>
          <w:tcPr>
            <w:tcW w:w="3715" w:type="dxa"/>
            <w:vMerge/>
            <w:tcBorders>
              <w:left w:val="single" w:sz="4" w:space="0" w:color="auto"/>
              <w:bottom w:val="single" w:sz="4" w:space="0" w:color="auto"/>
              <w:right w:val="single" w:sz="4" w:space="0" w:color="auto"/>
            </w:tcBorders>
            <w:noWrap/>
            <w:vAlign w:val="center"/>
          </w:tcPr>
          <w:p w14:paraId="6BA4F118" w14:textId="77777777" w:rsidR="005400D8" w:rsidRPr="00A014FD" w:rsidRDefault="005400D8" w:rsidP="00704B82">
            <w:pPr>
              <w:jc w:val="center"/>
              <w:rPr>
                <w:rFonts w:eastAsia="等线"/>
                <w:color w:val="000000"/>
                <w:sz w:val="22"/>
                <w:lang w:eastAsia="en-GB"/>
              </w:rPr>
            </w:pPr>
          </w:p>
        </w:tc>
        <w:tc>
          <w:tcPr>
            <w:tcW w:w="1530" w:type="dxa"/>
            <w:tcBorders>
              <w:top w:val="single" w:sz="4" w:space="0" w:color="auto"/>
              <w:left w:val="single" w:sz="4" w:space="0" w:color="auto"/>
              <w:bottom w:val="single" w:sz="4" w:space="0" w:color="auto"/>
              <w:right w:val="single" w:sz="4" w:space="0" w:color="auto"/>
            </w:tcBorders>
          </w:tcPr>
          <w:p w14:paraId="31C21703" w14:textId="77777777" w:rsidR="005400D8" w:rsidRPr="00A014FD" w:rsidRDefault="005400D8" w:rsidP="00704B82">
            <w:pPr>
              <w:jc w:val="center"/>
              <w:rPr>
                <w:rFonts w:eastAsia="等线"/>
                <w:color w:val="000000"/>
                <w:sz w:val="22"/>
                <w:lang w:eastAsia="en-GB"/>
              </w:rPr>
            </w:pPr>
            <w:r w:rsidRPr="00A014FD">
              <w:rPr>
                <w:rFonts w:ascii="MS Mincho" w:eastAsia="MS Mincho" w:hAnsi="MS Mincho" w:cs="MS Mincho" w:hint="eastAsia"/>
                <w:b/>
                <w:bCs/>
                <w:color w:val="545454"/>
                <w:sz w:val="22"/>
                <w:shd w:val="clear" w:color="auto" w:fill="FFFFFF"/>
                <w:lang w:eastAsia="en-GB"/>
              </w:rPr>
              <w:t>✓</w:t>
            </w:r>
          </w:p>
        </w:tc>
        <w:tc>
          <w:tcPr>
            <w:tcW w:w="1281" w:type="dxa"/>
            <w:tcBorders>
              <w:top w:val="single" w:sz="4" w:space="0" w:color="auto"/>
              <w:left w:val="single" w:sz="4" w:space="0" w:color="auto"/>
              <w:bottom w:val="single" w:sz="4" w:space="0" w:color="auto"/>
              <w:right w:val="single" w:sz="4" w:space="0" w:color="auto"/>
            </w:tcBorders>
          </w:tcPr>
          <w:p w14:paraId="7DF99A23" w14:textId="77777777" w:rsidR="005400D8" w:rsidRPr="00A014FD" w:rsidRDefault="005400D8" w:rsidP="00704B82">
            <w:pPr>
              <w:jc w:val="center"/>
              <w:rPr>
                <w:rFonts w:eastAsia="等线"/>
                <w:color w:val="000000"/>
                <w:sz w:val="22"/>
                <w:lang w:eastAsia="en-GB"/>
              </w:rPr>
            </w:pPr>
            <w:r w:rsidRPr="00A014FD">
              <w:rPr>
                <w:rFonts w:ascii="MS Mincho" w:eastAsia="MS Mincho" w:hAnsi="MS Mincho" w:cs="MS Mincho" w:hint="eastAsia"/>
                <w:b/>
                <w:bCs/>
                <w:color w:val="545454"/>
                <w:sz w:val="22"/>
                <w:shd w:val="clear" w:color="auto" w:fill="FFFFFF"/>
                <w:lang w:eastAsia="en-GB"/>
              </w:rPr>
              <w:t>✓</w:t>
            </w:r>
          </w:p>
        </w:tc>
      </w:tr>
      <w:tr w:rsidR="005400D8" w:rsidRPr="00A014FD" w14:paraId="51EFB102" w14:textId="77777777" w:rsidTr="00704B82">
        <w:trPr>
          <w:trHeight w:val="315"/>
          <w:jc w:val="center"/>
        </w:trPr>
        <w:tc>
          <w:tcPr>
            <w:tcW w:w="2263" w:type="dxa"/>
            <w:vMerge w:val="restart"/>
            <w:tcBorders>
              <w:top w:val="single" w:sz="4" w:space="0" w:color="auto"/>
              <w:left w:val="single" w:sz="4" w:space="0" w:color="auto"/>
              <w:bottom w:val="single" w:sz="4" w:space="0" w:color="auto"/>
              <w:right w:val="single" w:sz="4" w:space="0" w:color="auto"/>
            </w:tcBorders>
            <w:noWrap/>
            <w:vAlign w:val="center"/>
            <w:hideMark/>
          </w:tcPr>
          <w:p w14:paraId="3DCA0102" w14:textId="77777777" w:rsidR="005400D8" w:rsidRPr="00A014FD" w:rsidRDefault="005400D8" w:rsidP="00704B82">
            <w:pPr>
              <w:jc w:val="left"/>
              <w:rPr>
                <w:rFonts w:eastAsia="等线"/>
                <w:i/>
                <w:color w:val="000000"/>
                <w:sz w:val="22"/>
                <w:lang w:eastAsia="en-GB"/>
              </w:rPr>
            </w:pPr>
            <w:r w:rsidRPr="00A014FD">
              <w:rPr>
                <w:rFonts w:eastAsia="等线"/>
                <w:i/>
                <w:color w:val="000000"/>
                <w:sz w:val="22"/>
                <w:lang w:eastAsia="en-GB"/>
              </w:rPr>
              <w:t>Economic</w:t>
            </w:r>
          </w:p>
        </w:tc>
        <w:tc>
          <w:tcPr>
            <w:tcW w:w="3715" w:type="dxa"/>
            <w:tcBorders>
              <w:top w:val="single" w:sz="4" w:space="0" w:color="auto"/>
              <w:left w:val="single" w:sz="4" w:space="0" w:color="auto"/>
              <w:bottom w:val="single" w:sz="4" w:space="0" w:color="auto"/>
              <w:right w:val="single" w:sz="4" w:space="0" w:color="auto"/>
            </w:tcBorders>
            <w:noWrap/>
            <w:hideMark/>
          </w:tcPr>
          <w:p w14:paraId="09958DC2" w14:textId="77777777" w:rsidR="005400D8" w:rsidRPr="00A014FD" w:rsidRDefault="005400D8" w:rsidP="00704B82">
            <w:pPr>
              <w:jc w:val="left"/>
              <w:rPr>
                <w:rFonts w:eastAsia="等线"/>
                <w:color w:val="000000"/>
                <w:sz w:val="22"/>
              </w:rPr>
            </w:pPr>
            <w:r w:rsidRPr="00A014FD">
              <w:rPr>
                <w:rFonts w:eastAsia="等线"/>
                <w:color w:val="000000"/>
                <w:sz w:val="22"/>
              </w:rPr>
              <w:t>Annual Operating Cost</w:t>
            </w:r>
          </w:p>
        </w:tc>
        <w:tc>
          <w:tcPr>
            <w:tcW w:w="1530" w:type="dxa"/>
            <w:tcBorders>
              <w:top w:val="single" w:sz="4" w:space="0" w:color="auto"/>
              <w:left w:val="single" w:sz="4" w:space="0" w:color="auto"/>
              <w:bottom w:val="nil"/>
              <w:right w:val="nil"/>
            </w:tcBorders>
            <w:vAlign w:val="center"/>
          </w:tcPr>
          <w:p w14:paraId="496C11C2" w14:textId="77777777" w:rsidR="005400D8" w:rsidRPr="00A014FD" w:rsidRDefault="005400D8" w:rsidP="00704B82">
            <w:pPr>
              <w:jc w:val="center"/>
              <w:rPr>
                <w:rFonts w:eastAsia="等线"/>
                <w:color w:val="000000"/>
                <w:sz w:val="22"/>
              </w:rPr>
            </w:pPr>
            <w:r w:rsidRPr="00A014FD">
              <w:rPr>
                <w:rFonts w:eastAsia="等线"/>
                <w:color w:val="000000"/>
                <w:sz w:val="22"/>
              </w:rPr>
              <w:t>□</w:t>
            </w:r>
          </w:p>
        </w:tc>
        <w:tc>
          <w:tcPr>
            <w:tcW w:w="1281" w:type="dxa"/>
            <w:tcBorders>
              <w:top w:val="single" w:sz="4" w:space="0" w:color="auto"/>
              <w:left w:val="nil"/>
              <w:bottom w:val="nil"/>
              <w:right w:val="single" w:sz="4" w:space="0" w:color="auto"/>
            </w:tcBorders>
            <w:vAlign w:val="center"/>
          </w:tcPr>
          <w:p w14:paraId="51F227DA"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r>
      <w:tr w:rsidR="005400D8" w:rsidRPr="00A014FD" w14:paraId="3664C2E7" w14:textId="77777777" w:rsidTr="00704B82">
        <w:trPr>
          <w:trHeight w:val="315"/>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73667942" w14:textId="77777777" w:rsidR="005400D8" w:rsidRPr="00A014FD" w:rsidRDefault="005400D8" w:rsidP="00704B82">
            <w:pPr>
              <w:jc w:val="left"/>
              <w:rPr>
                <w:rFonts w:eastAsia="等线"/>
                <w:i/>
                <w:color w:val="000000"/>
                <w:sz w:val="22"/>
                <w:lang w:eastAsia="en-GB"/>
              </w:rPr>
            </w:pPr>
          </w:p>
        </w:tc>
        <w:tc>
          <w:tcPr>
            <w:tcW w:w="3715" w:type="dxa"/>
            <w:tcBorders>
              <w:top w:val="single" w:sz="4" w:space="0" w:color="auto"/>
              <w:left w:val="single" w:sz="4" w:space="0" w:color="auto"/>
              <w:bottom w:val="single" w:sz="4" w:space="0" w:color="auto"/>
              <w:right w:val="single" w:sz="4" w:space="0" w:color="auto"/>
            </w:tcBorders>
            <w:noWrap/>
            <w:hideMark/>
          </w:tcPr>
          <w:p w14:paraId="3D46C985" w14:textId="77777777" w:rsidR="005400D8" w:rsidRPr="00A014FD" w:rsidRDefault="005400D8" w:rsidP="00704B82">
            <w:pPr>
              <w:jc w:val="left"/>
              <w:rPr>
                <w:rFonts w:eastAsia="等线"/>
                <w:color w:val="000000"/>
                <w:sz w:val="22"/>
              </w:rPr>
            </w:pPr>
            <w:r w:rsidRPr="00A014FD">
              <w:rPr>
                <w:rFonts w:eastAsia="等线"/>
                <w:color w:val="000000"/>
                <w:sz w:val="22"/>
              </w:rPr>
              <w:t>Typical Delivery Price</w:t>
            </w:r>
          </w:p>
        </w:tc>
        <w:tc>
          <w:tcPr>
            <w:tcW w:w="1530" w:type="dxa"/>
            <w:tcBorders>
              <w:top w:val="nil"/>
              <w:left w:val="single" w:sz="4" w:space="0" w:color="auto"/>
              <w:bottom w:val="nil"/>
              <w:right w:val="nil"/>
            </w:tcBorders>
            <w:vAlign w:val="center"/>
          </w:tcPr>
          <w:p w14:paraId="5FADC68F"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28A75496"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r>
      <w:tr w:rsidR="005400D8" w:rsidRPr="00A014FD" w14:paraId="041DE875" w14:textId="77777777" w:rsidTr="00704B82">
        <w:trPr>
          <w:trHeight w:val="315"/>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5295EB8A" w14:textId="77777777" w:rsidR="005400D8" w:rsidRPr="00A014FD" w:rsidRDefault="005400D8" w:rsidP="00704B82">
            <w:pPr>
              <w:jc w:val="left"/>
              <w:rPr>
                <w:rFonts w:eastAsia="等线"/>
                <w:i/>
                <w:color w:val="000000"/>
                <w:sz w:val="22"/>
                <w:lang w:eastAsia="en-GB"/>
              </w:rPr>
            </w:pPr>
          </w:p>
        </w:tc>
        <w:tc>
          <w:tcPr>
            <w:tcW w:w="3715" w:type="dxa"/>
            <w:tcBorders>
              <w:top w:val="single" w:sz="4" w:space="0" w:color="auto"/>
              <w:left w:val="single" w:sz="4" w:space="0" w:color="auto"/>
              <w:bottom w:val="single" w:sz="4" w:space="0" w:color="auto"/>
              <w:right w:val="single" w:sz="4" w:space="0" w:color="auto"/>
            </w:tcBorders>
            <w:noWrap/>
            <w:hideMark/>
          </w:tcPr>
          <w:p w14:paraId="5C79DBE2" w14:textId="77777777" w:rsidR="005400D8" w:rsidRPr="00A014FD" w:rsidRDefault="005400D8" w:rsidP="00704B82">
            <w:pPr>
              <w:jc w:val="left"/>
              <w:rPr>
                <w:rFonts w:eastAsia="等线"/>
                <w:color w:val="000000"/>
                <w:sz w:val="22"/>
              </w:rPr>
            </w:pPr>
            <w:r w:rsidRPr="00A014FD">
              <w:rPr>
                <w:rFonts w:eastAsia="等线"/>
                <w:color w:val="000000"/>
                <w:sz w:val="22"/>
              </w:rPr>
              <w:t>Infrastructure Surface Usage Rate</w:t>
            </w:r>
          </w:p>
        </w:tc>
        <w:tc>
          <w:tcPr>
            <w:tcW w:w="1530" w:type="dxa"/>
            <w:tcBorders>
              <w:top w:val="nil"/>
              <w:left w:val="single" w:sz="4" w:space="0" w:color="auto"/>
              <w:bottom w:val="nil"/>
              <w:right w:val="nil"/>
            </w:tcBorders>
            <w:vAlign w:val="center"/>
          </w:tcPr>
          <w:p w14:paraId="49F54345"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6122838F"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r>
      <w:tr w:rsidR="005400D8" w:rsidRPr="00A014FD" w14:paraId="4F7344F2" w14:textId="77777777" w:rsidTr="00704B82">
        <w:trPr>
          <w:trHeight w:val="315"/>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0A6B8C60" w14:textId="77777777" w:rsidR="005400D8" w:rsidRPr="00A014FD" w:rsidRDefault="005400D8" w:rsidP="00704B82">
            <w:pPr>
              <w:jc w:val="left"/>
              <w:rPr>
                <w:rFonts w:eastAsia="等线"/>
                <w:i/>
                <w:color w:val="000000"/>
                <w:sz w:val="22"/>
                <w:lang w:eastAsia="en-GB"/>
              </w:rPr>
            </w:pPr>
          </w:p>
        </w:tc>
        <w:tc>
          <w:tcPr>
            <w:tcW w:w="3715" w:type="dxa"/>
            <w:tcBorders>
              <w:top w:val="single" w:sz="4" w:space="0" w:color="auto"/>
              <w:left w:val="single" w:sz="4" w:space="0" w:color="auto"/>
              <w:bottom w:val="single" w:sz="4" w:space="0" w:color="auto"/>
              <w:right w:val="single" w:sz="4" w:space="0" w:color="auto"/>
            </w:tcBorders>
            <w:noWrap/>
            <w:hideMark/>
          </w:tcPr>
          <w:p w14:paraId="5AF4F75F" w14:textId="77777777" w:rsidR="005400D8" w:rsidRPr="00A014FD" w:rsidRDefault="005400D8" w:rsidP="00704B82">
            <w:pPr>
              <w:jc w:val="left"/>
              <w:rPr>
                <w:rFonts w:eastAsia="等线"/>
                <w:color w:val="000000"/>
                <w:sz w:val="22"/>
              </w:rPr>
            </w:pPr>
            <w:r w:rsidRPr="00A014FD">
              <w:rPr>
                <w:rFonts w:eastAsia="等线"/>
                <w:color w:val="000000"/>
                <w:sz w:val="22"/>
              </w:rPr>
              <w:t>Goods Handled per Full-Time Equivalent Employee</w:t>
            </w:r>
          </w:p>
        </w:tc>
        <w:tc>
          <w:tcPr>
            <w:tcW w:w="1530" w:type="dxa"/>
            <w:tcBorders>
              <w:top w:val="nil"/>
              <w:left w:val="single" w:sz="4" w:space="0" w:color="auto"/>
              <w:bottom w:val="nil"/>
              <w:right w:val="nil"/>
            </w:tcBorders>
            <w:vAlign w:val="center"/>
          </w:tcPr>
          <w:p w14:paraId="02C2CFB5"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06A6FE37"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r>
      <w:tr w:rsidR="005400D8" w:rsidRPr="00A014FD" w14:paraId="7701B0A2" w14:textId="77777777" w:rsidTr="00704B82">
        <w:trPr>
          <w:trHeight w:val="330"/>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1428D4E5" w14:textId="77777777" w:rsidR="005400D8" w:rsidRPr="00A014FD" w:rsidRDefault="005400D8" w:rsidP="00704B82">
            <w:pPr>
              <w:jc w:val="left"/>
              <w:rPr>
                <w:rFonts w:eastAsia="等线"/>
                <w:i/>
                <w:color w:val="000000"/>
                <w:sz w:val="22"/>
                <w:lang w:eastAsia="en-GB"/>
              </w:rPr>
            </w:pPr>
          </w:p>
        </w:tc>
        <w:tc>
          <w:tcPr>
            <w:tcW w:w="3715" w:type="dxa"/>
            <w:tcBorders>
              <w:top w:val="single" w:sz="4" w:space="0" w:color="auto"/>
              <w:left w:val="single" w:sz="4" w:space="0" w:color="auto"/>
              <w:bottom w:val="single" w:sz="4" w:space="0" w:color="auto"/>
              <w:right w:val="single" w:sz="4" w:space="0" w:color="auto"/>
            </w:tcBorders>
            <w:noWrap/>
            <w:hideMark/>
          </w:tcPr>
          <w:p w14:paraId="7D7C0957" w14:textId="77777777" w:rsidR="005400D8" w:rsidRPr="00A014FD" w:rsidRDefault="005400D8" w:rsidP="00704B82">
            <w:pPr>
              <w:jc w:val="left"/>
              <w:rPr>
                <w:rFonts w:eastAsia="等线"/>
                <w:color w:val="000000"/>
                <w:sz w:val="22"/>
              </w:rPr>
            </w:pPr>
            <w:r w:rsidRPr="00A014FD">
              <w:rPr>
                <w:rFonts w:eastAsia="等线"/>
                <w:color w:val="000000"/>
                <w:sz w:val="22"/>
              </w:rPr>
              <w:t>Delivery Accuracy Rate</w:t>
            </w:r>
          </w:p>
        </w:tc>
        <w:tc>
          <w:tcPr>
            <w:tcW w:w="1530" w:type="dxa"/>
            <w:tcBorders>
              <w:top w:val="nil"/>
              <w:left w:val="single" w:sz="4" w:space="0" w:color="auto"/>
              <w:bottom w:val="nil"/>
              <w:right w:val="nil"/>
            </w:tcBorders>
            <w:vAlign w:val="center"/>
          </w:tcPr>
          <w:p w14:paraId="1A7F38A2"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1DAC533B"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r>
      <w:tr w:rsidR="005400D8" w:rsidRPr="00A014FD" w14:paraId="1274A482" w14:textId="77777777" w:rsidTr="00704B82">
        <w:trPr>
          <w:trHeight w:val="330"/>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16E22B85" w14:textId="77777777" w:rsidR="005400D8" w:rsidRPr="00A014FD" w:rsidRDefault="005400D8" w:rsidP="00704B82">
            <w:pPr>
              <w:jc w:val="left"/>
              <w:rPr>
                <w:rFonts w:eastAsia="等线"/>
                <w:i/>
                <w:color w:val="000000"/>
                <w:sz w:val="22"/>
                <w:lang w:eastAsia="en-GB"/>
              </w:rPr>
            </w:pPr>
          </w:p>
        </w:tc>
        <w:tc>
          <w:tcPr>
            <w:tcW w:w="3715" w:type="dxa"/>
            <w:tcBorders>
              <w:top w:val="single" w:sz="4" w:space="0" w:color="auto"/>
              <w:left w:val="single" w:sz="4" w:space="0" w:color="auto"/>
              <w:bottom w:val="single" w:sz="4" w:space="0" w:color="auto"/>
              <w:right w:val="single" w:sz="4" w:space="0" w:color="auto"/>
            </w:tcBorders>
            <w:noWrap/>
            <w:hideMark/>
          </w:tcPr>
          <w:p w14:paraId="7DAC39BF" w14:textId="77777777" w:rsidR="005400D8" w:rsidRPr="00A014FD" w:rsidRDefault="005400D8" w:rsidP="00704B82">
            <w:pPr>
              <w:jc w:val="left"/>
              <w:rPr>
                <w:rFonts w:eastAsia="等线"/>
                <w:color w:val="000000"/>
                <w:sz w:val="22"/>
              </w:rPr>
            </w:pPr>
            <w:r w:rsidRPr="00A014FD">
              <w:rPr>
                <w:rFonts w:eastAsia="等线"/>
                <w:color w:val="000000"/>
                <w:sz w:val="22"/>
              </w:rPr>
              <w:t>Lead Time for Goods Delivery from UCC to its Users</w:t>
            </w:r>
          </w:p>
        </w:tc>
        <w:tc>
          <w:tcPr>
            <w:tcW w:w="1530" w:type="dxa"/>
            <w:tcBorders>
              <w:top w:val="nil"/>
              <w:left w:val="single" w:sz="4" w:space="0" w:color="auto"/>
              <w:bottom w:val="nil"/>
              <w:right w:val="nil"/>
            </w:tcBorders>
            <w:vAlign w:val="center"/>
          </w:tcPr>
          <w:p w14:paraId="53304993"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7E836989"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r>
      <w:tr w:rsidR="005400D8" w:rsidRPr="00A014FD" w14:paraId="04C319D7" w14:textId="77777777" w:rsidTr="00704B82">
        <w:trPr>
          <w:trHeight w:val="315"/>
          <w:jc w:val="center"/>
        </w:trPr>
        <w:tc>
          <w:tcPr>
            <w:tcW w:w="2263" w:type="dxa"/>
            <w:vMerge w:val="restart"/>
            <w:tcBorders>
              <w:top w:val="single" w:sz="4" w:space="0" w:color="auto"/>
              <w:left w:val="single" w:sz="4" w:space="0" w:color="auto"/>
              <w:right w:val="single" w:sz="4" w:space="0" w:color="auto"/>
            </w:tcBorders>
            <w:noWrap/>
            <w:vAlign w:val="center"/>
            <w:hideMark/>
          </w:tcPr>
          <w:p w14:paraId="1FD7CCE5" w14:textId="77777777" w:rsidR="005400D8" w:rsidRPr="00A014FD" w:rsidRDefault="005400D8" w:rsidP="00704B82">
            <w:pPr>
              <w:jc w:val="left"/>
              <w:rPr>
                <w:rFonts w:eastAsia="等线"/>
                <w:i/>
                <w:color w:val="000000"/>
                <w:sz w:val="22"/>
                <w:lang w:eastAsia="en-GB"/>
              </w:rPr>
            </w:pPr>
            <w:r w:rsidRPr="00A014FD">
              <w:rPr>
                <w:rFonts w:eastAsia="等线"/>
                <w:i/>
                <w:color w:val="000000"/>
                <w:sz w:val="22"/>
                <w:lang w:eastAsia="en-GB"/>
              </w:rPr>
              <w:t>Environmental</w:t>
            </w:r>
          </w:p>
        </w:tc>
        <w:tc>
          <w:tcPr>
            <w:tcW w:w="3715" w:type="dxa"/>
            <w:tcBorders>
              <w:top w:val="single" w:sz="4" w:space="0" w:color="auto"/>
              <w:left w:val="single" w:sz="4" w:space="0" w:color="auto"/>
              <w:bottom w:val="single" w:sz="4" w:space="0" w:color="auto"/>
              <w:right w:val="single" w:sz="4" w:space="0" w:color="auto"/>
            </w:tcBorders>
            <w:noWrap/>
            <w:hideMark/>
          </w:tcPr>
          <w:p w14:paraId="34DC337A" w14:textId="77777777" w:rsidR="005400D8" w:rsidRPr="00A014FD" w:rsidRDefault="005400D8" w:rsidP="00704B82">
            <w:pPr>
              <w:jc w:val="left"/>
              <w:rPr>
                <w:rFonts w:eastAsia="等线"/>
                <w:color w:val="000000"/>
                <w:sz w:val="22"/>
              </w:rPr>
            </w:pPr>
            <w:r w:rsidRPr="00A014FD">
              <w:rPr>
                <w:rFonts w:eastAsia="等线"/>
                <w:color w:val="000000"/>
                <w:sz w:val="22"/>
              </w:rPr>
              <w:t>Percentage of Alternative Vehicles</w:t>
            </w:r>
          </w:p>
        </w:tc>
        <w:tc>
          <w:tcPr>
            <w:tcW w:w="1530" w:type="dxa"/>
            <w:tcBorders>
              <w:top w:val="nil"/>
              <w:left w:val="single" w:sz="4" w:space="0" w:color="auto"/>
              <w:bottom w:val="nil"/>
              <w:right w:val="nil"/>
            </w:tcBorders>
            <w:vAlign w:val="center"/>
          </w:tcPr>
          <w:p w14:paraId="7EAF9154"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306744B1"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r>
      <w:tr w:rsidR="005400D8" w:rsidRPr="00A014FD" w14:paraId="5B93E739" w14:textId="77777777" w:rsidTr="00704B82">
        <w:trPr>
          <w:trHeight w:val="315"/>
          <w:jc w:val="center"/>
        </w:trPr>
        <w:tc>
          <w:tcPr>
            <w:tcW w:w="2263" w:type="dxa"/>
            <w:vMerge/>
            <w:tcBorders>
              <w:left w:val="single" w:sz="4" w:space="0" w:color="auto"/>
              <w:right w:val="single" w:sz="4" w:space="0" w:color="auto"/>
            </w:tcBorders>
            <w:vAlign w:val="center"/>
            <w:hideMark/>
          </w:tcPr>
          <w:p w14:paraId="4BC2F0EC" w14:textId="77777777" w:rsidR="005400D8" w:rsidRPr="00A014FD" w:rsidRDefault="005400D8" w:rsidP="00704B82">
            <w:pPr>
              <w:jc w:val="left"/>
              <w:rPr>
                <w:rFonts w:eastAsia="等线"/>
                <w:i/>
                <w:color w:val="000000"/>
                <w:sz w:val="22"/>
                <w:lang w:eastAsia="en-GB"/>
              </w:rPr>
            </w:pPr>
          </w:p>
        </w:tc>
        <w:tc>
          <w:tcPr>
            <w:tcW w:w="3715" w:type="dxa"/>
            <w:tcBorders>
              <w:top w:val="single" w:sz="4" w:space="0" w:color="auto"/>
              <w:left w:val="single" w:sz="4" w:space="0" w:color="auto"/>
              <w:bottom w:val="single" w:sz="4" w:space="0" w:color="auto"/>
              <w:right w:val="single" w:sz="4" w:space="0" w:color="auto"/>
            </w:tcBorders>
            <w:noWrap/>
            <w:hideMark/>
          </w:tcPr>
          <w:p w14:paraId="10A160D5" w14:textId="77777777" w:rsidR="005400D8" w:rsidRPr="00A014FD" w:rsidRDefault="005400D8" w:rsidP="00704B82">
            <w:pPr>
              <w:jc w:val="left"/>
              <w:rPr>
                <w:rFonts w:eastAsia="等线"/>
                <w:color w:val="000000"/>
                <w:sz w:val="22"/>
              </w:rPr>
            </w:pPr>
            <w:r w:rsidRPr="00A014FD">
              <w:rPr>
                <w:rFonts w:eastAsia="等线"/>
                <w:color w:val="000000"/>
                <w:sz w:val="22"/>
              </w:rPr>
              <w:t>Truck Loading Rate</w:t>
            </w:r>
          </w:p>
        </w:tc>
        <w:tc>
          <w:tcPr>
            <w:tcW w:w="1530" w:type="dxa"/>
            <w:tcBorders>
              <w:top w:val="nil"/>
              <w:left w:val="single" w:sz="4" w:space="0" w:color="auto"/>
              <w:bottom w:val="nil"/>
              <w:right w:val="nil"/>
            </w:tcBorders>
            <w:vAlign w:val="center"/>
          </w:tcPr>
          <w:p w14:paraId="1A0C8FB7"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6EF22C21"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r>
      <w:tr w:rsidR="005400D8" w:rsidRPr="00A014FD" w14:paraId="5EA4D4CE" w14:textId="77777777" w:rsidTr="00704B82">
        <w:trPr>
          <w:trHeight w:val="305"/>
          <w:jc w:val="center"/>
        </w:trPr>
        <w:tc>
          <w:tcPr>
            <w:tcW w:w="2263" w:type="dxa"/>
            <w:vMerge/>
            <w:tcBorders>
              <w:left w:val="single" w:sz="4" w:space="0" w:color="auto"/>
              <w:right w:val="single" w:sz="4" w:space="0" w:color="auto"/>
            </w:tcBorders>
            <w:vAlign w:val="center"/>
            <w:hideMark/>
          </w:tcPr>
          <w:p w14:paraId="541A4BA6" w14:textId="77777777" w:rsidR="005400D8" w:rsidRPr="00A014FD" w:rsidRDefault="005400D8" w:rsidP="00704B82">
            <w:pPr>
              <w:jc w:val="left"/>
              <w:rPr>
                <w:rFonts w:eastAsia="等线"/>
                <w:i/>
                <w:color w:val="000000"/>
                <w:sz w:val="22"/>
                <w:lang w:eastAsia="en-GB"/>
              </w:rPr>
            </w:pPr>
          </w:p>
        </w:tc>
        <w:tc>
          <w:tcPr>
            <w:tcW w:w="3715" w:type="dxa"/>
            <w:tcBorders>
              <w:top w:val="single" w:sz="4" w:space="0" w:color="auto"/>
              <w:left w:val="single" w:sz="4" w:space="0" w:color="auto"/>
              <w:bottom w:val="single" w:sz="4" w:space="0" w:color="auto"/>
              <w:right w:val="single" w:sz="4" w:space="0" w:color="auto"/>
            </w:tcBorders>
            <w:noWrap/>
            <w:hideMark/>
          </w:tcPr>
          <w:p w14:paraId="0FD50642" w14:textId="77777777" w:rsidR="005400D8" w:rsidRPr="00A014FD" w:rsidRDefault="005400D8" w:rsidP="00704B82">
            <w:pPr>
              <w:jc w:val="left"/>
              <w:rPr>
                <w:rFonts w:eastAsia="等线"/>
                <w:color w:val="000000"/>
                <w:sz w:val="22"/>
              </w:rPr>
            </w:pPr>
            <w:r w:rsidRPr="00A014FD">
              <w:rPr>
                <w:rFonts w:eastAsia="等线"/>
                <w:color w:val="000000"/>
                <w:sz w:val="22"/>
              </w:rPr>
              <w:t>Travel Miles in Urban Areas</w:t>
            </w:r>
          </w:p>
        </w:tc>
        <w:tc>
          <w:tcPr>
            <w:tcW w:w="1530" w:type="dxa"/>
            <w:tcBorders>
              <w:top w:val="nil"/>
              <w:left w:val="single" w:sz="4" w:space="0" w:color="auto"/>
              <w:bottom w:val="nil"/>
              <w:right w:val="nil"/>
            </w:tcBorders>
            <w:vAlign w:val="center"/>
          </w:tcPr>
          <w:p w14:paraId="7A5DDB7A"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7DB9DECA"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r>
      <w:tr w:rsidR="005400D8" w:rsidRPr="00A014FD" w14:paraId="38BE6E77" w14:textId="77777777" w:rsidTr="00704B82">
        <w:trPr>
          <w:trHeight w:val="266"/>
          <w:jc w:val="center"/>
        </w:trPr>
        <w:tc>
          <w:tcPr>
            <w:tcW w:w="2263" w:type="dxa"/>
            <w:vMerge/>
            <w:tcBorders>
              <w:left w:val="single" w:sz="4" w:space="0" w:color="auto"/>
              <w:bottom w:val="single" w:sz="4" w:space="0" w:color="auto"/>
              <w:right w:val="single" w:sz="4" w:space="0" w:color="auto"/>
            </w:tcBorders>
            <w:vAlign w:val="center"/>
          </w:tcPr>
          <w:p w14:paraId="7484D28D" w14:textId="77777777" w:rsidR="005400D8" w:rsidRPr="00A014FD" w:rsidRDefault="005400D8" w:rsidP="00704B82">
            <w:pPr>
              <w:jc w:val="left"/>
              <w:rPr>
                <w:rFonts w:eastAsia="等线"/>
                <w:i/>
                <w:color w:val="000000"/>
                <w:sz w:val="22"/>
                <w:lang w:eastAsia="en-GB"/>
              </w:rPr>
            </w:pPr>
          </w:p>
        </w:tc>
        <w:tc>
          <w:tcPr>
            <w:tcW w:w="3715" w:type="dxa"/>
            <w:tcBorders>
              <w:top w:val="single" w:sz="4" w:space="0" w:color="auto"/>
              <w:left w:val="single" w:sz="4" w:space="0" w:color="auto"/>
              <w:bottom w:val="single" w:sz="4" w:space="0" w:color="auto"/>
              <w:right w:val="single" w:sz="4" w:space="0" w:color="auto"/>
            </w:tcBorders>
            <w:noWrap/>
          </w:tcPr>
          <w:p w14:paraId="268E64C2" w14:textId="77777777" w:rsidR="005400D8" w:rsidRPr="00A014FD" w:rsidRDefault="005400D8" w:rsidP="00704B82">
            <w:pPr>
              <w:jc w:val="left"/>
              <w:rPr>
                <w:rFonts w:eastAsia="等线"/>
                <w:color w:val="000000"/>
                <w:sz w:val="22"/>
              </w:rPr>
            </w:pPr>
            <w:r w:rsidRPr="00A014FD">
              <w:rPr>
                <w:rFonts w:eastAsia="等线"/>
                <w:color w:val="000000"/>
                <w:sz w:val="22"/>
              </w:rPr>
              <w:t>Number of Delivery Trips per Day</w:t>
            </w:r>
          </w:p>
        </w:tc>
        <w:tc>
          <w:tcPr>
            <w:tcW w:w="1530" w:type="dxa"/>
            <w:tcBorders>
              <w:top w:val="nil"/>
              <w:left w:val="single" w:sz="4" w:space="0" w:color="auto"/>
              <w:bottom w:val="nil"/>
              <w:right w:val="nil"/>
            </w:tcBorders>
            <w:vAlign w:val="center"/>
          </w:tcPr>
          <w:p w14:paraId="3FBC31EE" w14:textId="77777777" w:rsidR="005400D8" w:rsidRPr="00A014FD" w:rsidRDefault="005400D8" w:rsidP="00704B82">
            <w:pPr>
              <w:jc w:val="center"/>
              <w:rPr>
                <w:rFonts w:eastAsia="等线"/>
                <w:color w:val="000000"/>
                <w:sz w:val="22"/>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31D44DEE" w14:textId="77777777" w:rsidR="005400D8" w:rsidRPr="00A014FD" w:rsidRDefault="005400D8" w:rsidP="00704B82">
            <w:pPr>
              <w:jc w:val="center"/>
              <w:rPr>
                <w:rFonts w:eastAsia="等线"/>
                <w:color w:val="000000"/>
                <w:sz w:val="22"/>
              </w:rPr>
            </w:pPr>
            <w:r w:rsidRPr="00A014FD">
              <w:rPr>
                <w:rFonts w:eastAsia="等线"/>
                <w:color w:val="000000"/>
                <w:sz w:val="22"/>
              </w:rPr>
              <w:t>□</w:t>
            </w:r>
          </w:p>
        </w:tc>
      </w:tr>
      <w:tr w:rsidR="005400D8" w:rsidRPr="00A014FD" w14:paraId="703F2BB4" w14:textId="77777777" w:rsidTr="00704B82">
        <w:trPr>
          <w:trHeight w:val="315"/>
          <w:jc w:val="center"/>
        </w:trPr>
        <w:tc>
          <w:tcPr>
            <w:tcW w:w="2263" w:type="dxa"/>
            <w:vMerge w:val="restart"/>
            <w:tcBorders>
              <w:top w:val="single" w:sz="4" w:space="0" w:color="auto"/>
              <w:left w:val="single" w:sz="4" w:space="0" w:color="auto"/>
              <w:right w:val="single" w:sz="4" w:space="0" w:color="auto"/>
            </w:tcBorders>
            <w:noWrap/>
            <w:vAlign w:val="center"/>
            <w:hideMark/>
          </w:tcPr>
          <w:p w14:paraId="7CA09E3F" w14:textId="77777777" w:rsidR="005400D8" w:rsidRPr="00A014FD" w:rsidRDefault="005400D8" w:rsidP="00704B82">
            <w:pPr>
              <w:jc w:val="left"/>
              <w:rPr>
                <w:rFonts w:eastAsia="等线"/>
                <w:i/>
                <w:color w:val="000000"/>
                <w:sz w:val="22"/>
                <w:lang w:eastAsia="en-GB"/>
              </w:rPr>
            </w:pPr>
            <w:r w:rsidRPr="00A014FD">
              <w:rPr>
                <w:rFonts w:eastAsia="等线"/>
                <w:i/>
                <w:color w:val="000000"/>
                <w:sz w:val="22"/>
                <w:lang w:eastAsia="en-GB"/>
              </w:rPr>
              <w:t>Social</w:t>
            </w:r>
          </w:p>
        </w:tc>
        <w:tc>
          <w:tcPr>
            <w:tcW w:w="3715" w:type="dxa"/>
            <w:tcBorders>
              <w:top w:val="single" w:sz="4" w:space="0" w:color="auto"/>
              <w:left w:val="single" w:sz="4" w:space="0" w:color="auto"/>
              <w:bottom w:val="single" w:sz="4" w:space="0" w:color="auto"/>
              <w:right w:val="single" w:sz="4" w:space="0" w:color="auto"/>
            </w:tcBorders>
            <w:noWrap/>
            <w:hideMark/>
          </w:tcPr>
          <w:p w14:paraId="38E3E0FB" w14:textId="77777777" w:rsidR="005400D8" w:rsidRPr="00A014FD" w:rsidRDefault="005400D8" w:rsidP="00704B82">
            <w:pPr>
              <w:jc w:val="left"/>
              <w:rPr>
                <w:rFonts w:eastAsia="等线"/>
                <w:color w:val="000000"/>
                <w:sz w:val="22"/>
              </w:rPr>
            </w:pPr>
            <w:r w:rsidRPr="00A014FD">
              <w:rPr>
                <w:rFonts w:eastAsia="等线"/>
                <w:color w:val="000000"/>
                <w:sz w:val="22"/>
              </w:rPr>
              <w:t>Public Financial Investment</w:t>
            </w:r>
          </w:p>
        </w:tc>
        <w:tc>
          <w:tcPr>
            <w:tcW w:w="1530" w:type="dxa"/>
            <w:tcBorders>
              <w:top w:val="nil"/>
              <w:left w:val="single" w:sz="4" w:space="0" w:color="auto"/>
              <w:bottom w:val="nil"/>
              <w:right w:val="nil"/>
            </w:tcBorders>
            <w:vAlign w:val="center"/>
          </w:tcPr>
          <w:p w14:paraId="193ACE09"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7FFEE25E"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r>
      <w:tr w:rsidR="005400D8" w:rsidRPr="00A014FD" w14:paraId="67B2C3B2" w14:textId="77777777" w:rsidTr="00704B82">
        <w:trPr>
          <w:trHeight w:val="315"/>
          <w:jc w:val="center"/>
        </w:trPr>
        <w:tc>
          <w:tcPr>
            <w:tcW w:w="2263" w:type="dxa"/>
            <w:vMerge/>
            <w:tcBorders>
              <w:left w:val="single" w:sz="4" w:space="0" w:color="auto"/>
              <w:right w:val="single" w:sz="4" w:space="0" w:color="auto"/>
            </w:tcBorders>
            <w:vAlign w:val="center"/>
            <w:hideMark/>
          </w:tcPr>
          <w:p w14:paraId="427C8676" w14:textId="77777777" w:rsidR="005400D8" w:rsidRPr="00A014FD" w:rsidRDefault="005400D8" w:rsidP="00704B82">
            <w:pPr>
              <w:jc w:val="left"/>
              <w:rPr>
                <w:rFonts w:eastAsia="等线"/>
                <w:color w:val="000000"/>
                <w:sz w:val="22"/>
                <w:lang w:eastAsia="en-GB"/>
              </w:rPr>
            </w:pPr>
          </w:p>
        </w:tc>
        <w:tc>
          <w:tcPr>
            <w:tcW w:w="3715" w:type="dxa"/>
            <w:tcBorders>
              <w:top w:val="single" w:sz="4" w:space="0" w:color="auto"/>
              <w:left w:val="single" w:sz="4" w:space="0" w:color="auto"/>
              <w:bottom w:val="single" w:sz="4" w:space="0" w:color="auto"/>
              <w:right w:val="single" w:sz="4" w:space="0" w:color="auto"/>
            </w:tcBorders>
            <w:noWrap/>
            <w:hideMark/>
          </w:tcPr>
          <w:p w14:paraId="3E3F3043" w14:textId="77777777" w:rsidR="005400D8" w:rsidRPr="00A014FD" w:rsidRDefault="005400D8" w:rsidP="00704B82">
            <w:pPr>
              <w:jc w:val="left"/>
              <w:rPr>
                <w:rFonts w:eastAsia="等线"/>
                <w:color w:val="000000"/>
                <w:sz w:val="22"/>
              </w:rPr>
            </w:pPr>
            <w:r w:rsidRPr="00A014FD">
              <w:rPr>
                <w:rFonts w:eastAsia="等线"/>
                <w:color w:val="000000"/>
                <w:sz w:val="22"/>
              </w:rPr>
              <w:t>Average Staff Salary</w:t>
            </w:r>
          </w:p>
        </w:tc>
        <w:tc>
          <w:tcPr>
            <w:tcW w:w="1530" w:type="dxa"/>
            <w:tcBorders>
              <w:top w:val="nil"/>
              <w:left w:val="single" w:sz="4" w:space="0" w:color="auto"/>
              <w:bottom w:val="nil"/>
              <w:right w:val="nil"/>
            </w:tcBorders>
            <w:vAlign w:val="center"/>
          </w:tcPr>
          <w:p w14:paraId="192B5A8D"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2F3D8F64"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r>
      <w:tr w:rsidR="005400D8" w:rsidRPr="00A014FD" w14:paraId="2AACB1CB" w14:textId="77777777" w:rsidTr="00704B82">
        <w:trPr>
          <w:trHeight w:val="315"/>
          <w:jc w:val="center"/>
        </w:trPr>
        <w:tc>
          <w:tcPr>
            <w:tcW w:w="2263" w:type="dxa"/>
            <w:vMerge/>
            <w:tcBorders>
              <w:left w:val="single" w:sz="4" w:space="0" w:color="auto"/>
              <w:right w:val="single" w:sz="4" w:space="0" w:color="auto"/>
            </w:tcBorders>
            <w:vAlign w:val="center"/>
            <w:hideMark/>
          </w:tcPr>
          <w:p w14:paraId="500A71BC" w14:textId="77777777" w:rsidR="005400D8" w:rsidRPr="00A014FD" w:rsidRDefault="005400D8" w:rsidP="00704B82">
            <w:pPr>
              <w:jc w:val="left"/>
              <w:rPr>
                <w:rFonts w:eastAsia="等线"/>
                <w:color w:val="000000"/>
                <w:sz w:val="22"/>
                <w:lang w:eastAsia="en-GB"/>
              </w:rPr>
            </w:pPr>
          </w:p>
        </w:tc>
        <w:tc>
          <w:tcPr>
            <w:tcW w:w="3715" w:type="dxa"/>
            <w:tcBorders>
              <w:top w:val="single" w:sz="4" w:space="0" w:color="auto"/>
              <w:left w:val="single" w:sz="4" w:space="0" w:color="auto"/>
              <w:bottom w:val="single" w:sz="4" w:space="0" w:color="auto"/>
              <w:right w:val="single" w:sz="4" w:space="0" w:color="auto"/>
            </w:tcBorders>
            <w:noWrap/>
            <w:hideMark/>
          </w:tcPr>
          <w:p w14:paraId="3BBA0C9E" w14:textId="77777777" w:rsidR="005400D8" w:rsidRPr="00A014FD" w:rsidRDefault="005400D8" w:rsidP="00704B82">
            <w:pPr>
              <w:jc w:val="left"/>
              <w:rPr>
                <w:rFonts w:eastAsia="等线"/>
                <w:color w:val="000000"/>
                <w:sz w:val="22"/>
              </w:rPr>
            </w:pPr>
            <w:r w:rsidRPr="00A014FD">
              <w:rPr>
                <w:rFonts w:eastAsia="等线"/>
                <w:color w:val="000000"/>
                <w:sz w:val="22"/>
              </w:rPr>
              <w:t xml:space="preserve">Workers’ Overtime Utilisation </w:t>
            </w:r>
          </w:p>
        </w:tc>
        <w:tc>
          <w:tcPr>
            <w:tcW w:w="1530" w:type="dxa"/>
            <w:tcBorders>
              <w:top w:val="nil"/>
              <w:left w:val="single" w:sz="4" w:space="0" w:color="auto"/>
              <w:bottom w:val="nil"/>
              <w:right w:val="nil"/>
            </w:tcBorders>
            <w:vAlign w:val="center"/>
          </w:tcPr>
          <w:p w14:paraId="6B82E2A3"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173D6DDF"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r>
      <w:tr w:rsidR="005400D8" w:rsidRPr="00A014FD" w14:paraId="2B9BC2D7" w14:textId="77777777" w:rsidTr="00704B82">
        <w:trPr>
          <w:trHeight w:val="315"/>
          <w:jc w:val="center"/>
        </w:trPr>
        <w:tc>
          <w:tcPr>
            <w:tcW w:w="2263" w:type="dxa"/>
            <w:vMerge/>
            <w:tcBorders>
              <w:left w:val="single" w:sz="4" w:space="0" w:color="auto"/>
              <w:right w:val="single" w:sz="4" w:space="0" w:color="auto"/>
            </w:tcBorders>
            <w:vAlign w:val="center"/>
            <w:hideMark/>
          </w:tcPr>
          <w:p w14:paraId="3E2D91E9" w14:textId="77777777" w:rsidR="005400D8" w:rsidRPr="00A014FD" w:rsidRDefault="005400D8" w:rsidP="00704B82">
            <w:pPr>
              <w:jc w:val="left"/>
              <w:rPr>
                <w:rFonts w:eastAsia="等线"/>
                <w:color w:val="000000"/>
                <w:sz w:val="22"/>
                <w:lang w:eastAsia="en-GB"/>
              </w:rPr>
            </w:pPr>
          </w:p>
        </w:tc>
        <w:tc>
          <w:tcPr>
            <w:tcW w:w="3715" w:type="dxa"/>
            <w:tcBorders>
              <w:top w:val="single" w:sz="4" w:space="0" w:color="auto"/>
              <w:left w:val="single" w:sz="4" w:space="0" w:color="auto"/>
              <w:bottom w:val="single" w:sz="4" w:space="0" w:color="auto"/>
              <w:right w:val="single" w:sz="4" w:space="0" w:color="auto"/>
            </w:tcBorders>
            <w:noWrap/>
            <w:hideMark/>
          </w:tcPr>
          <w:p w14:paraId="75437753" w14:textId="77777777" w:rsidR="005400D8" w:rsidRPr="00A014FD" w:rsidRDefault="005400D8" w:rsidP="00704B82">
            <w:pPr>
              <w:jc w:val="left"/>
              <w:rPr>
                <w:rFonts w:eastAsia="等线"/>
                <w:color w:val="000000"/>
                <w:sz w:val="22"/>
              </w:rPr>
            </w:pPr>
            <w:r w:rsidRPr="00A014FD">
              <w:rPr>
                <w:rFonts w:eastAsia="等线"/>
                <w:color w:val="000000"/>
                <w:sz w:val="22"/>
              </w:rPr>
              <w:t>Typical Workers’ Commute Time</w:t>
            </w:r>
          </w:p>
        </w:tc>
        <w:tc>
          <w:tcPr>
            <w:tcW w:w="1530" w:type="dxa"/>
            <w:tcBorders>
              <w:top w:val="nil"/>
              <w:left w:val="single" w:sz="4" w:space="0" w:color="auto"/>
              <w:bottom w:val="nil"/>
              <w:right w:val="nil"/>
            </w:tcBorders>
            <w:vAlign w:val="center"/>
          </w:tcPr>
          <w:p w14:paraId="3845A9A2"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638976B4"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r>
      <w:tr w:rsidR="005400D8" w:rsidRPr="00A014FD" w14:paraId="799FC7A3" w14:textId="77777777" w:rsidTr="00704B82">
        <w:trPr>
          <w:trHeight w:val="315"/>
          <w:jc w:val="center"/>
        </w:trPr>
        <w:tc>
          <w:tcPr>
            <w:tcW w:w="2263" w:type="dxa"/>
            <w:vMerge/>
            <w:tcBorders>
              <w:left w:val="single" w:sz="4" w:space="0" w:color="auto"/>
              <w:right w:val="single" w:sz="4" w:space="0" w:color="auto"/>
            </w:tcBorders>
            <w:vAlign w:val="center"/>
            <w:hideMark/>
          </w:tcPr>
          <w:p w14:paraId="118E77B8" w14:textId="77777777" w:rsidR="005400D8" w:rsidRPr="00A014FD" w:rsidRDefault="005400D8" w:rsidP="00704B82">
            <w:pPr>
              <w:jc w:val="left"/>
              <w:rPr>
                <w:rFonts w:eastAsia="等线"/>
                <w:color w:val="000000"/>
                <w:sz w:val="22"/>
                <w:lang w:eastAsia="en-GB"/>
              </w:rPr>
            </w:pPr>
          </w:p>
        </w:tc>
        <w:tc>
          <w:tcPr>
            <w:tcW w:w="3715" w:type="dxa"/>
            <w:tcBorders>
              <w:top w:val="single" w:sz="4" w:space="0" w:color="auto"/>
              <w:left w:val="single" w:sz="4" w:space="0" w:color="auto"/>
              <w:bottom w:val="single" w:sz="4" w:space="0" w:color="auto"/>
              <w:right w:val="single" w:sz="4" w:space="0" w:color="auto"/>
            </w:tcBorders>
            <w:noWrap/>
            <w:hideMark/>
          </w:tcPr>
          <w:p w14:paraId="21937782" w14:textId="77777777" w:rsidR="005400D8" w:rsidRPr="00A014FD" w:rsidRDefault="005400D8" w:rsidP="00704B82">
            <w:pPr>
              <w:jc w:val="left"/>
              <w:rPr>
                <w:rFonts w:eastAsia="等线"/>
                <w:color w:val="000000"/>
                <w:sz w:val="22"/>
              </w:rPr>
            </w:pPr>
            <w:r w:rsidRPr="00A014FD">
              <w:rPr>
                <w:rFonts w:eastAsia="等线"/>
                <w:color w:val="000000"/>
                <w:sz w:val="22"/>
              </w:rPr>
              <w:t>Total Travel Time in City Centre</w:t>
            </w:r>
          </w:p>
        </w:tc>
        <w:tc>
          <w:tcPr>
            <w:tcW w:w="1530" w:type="dxa"/>
            <w:tcBorders>
              <w:top w:val="nil"/>
              <w:left w:val="single" w:sz="4" w:space="0" w:color="auto"/>
              <w:bottom w:val="nil"/>
              <w:right w:val="nil"/>
            </w:tcBorders>
            <w:vAlign w:val="center"/>
          </w:tcPr>
          <w:p w14:paraId="315C6967" w14:textId="77777777" w:rsidR="005400D8" w:rsidRPr="00A014FD" w:rsidRDefault="005400D8" w:rsidP="00704B82">
            <w:pPr>
              <w:jc w:val="center"/>
              <w:rPr>
                <w:rFonts w:eastAsia="Times New Roman"/>
                <w:sz w:val="22"/>
                <w:lang w:eastAsia="en-GB"/>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41447094" w14:textId="77777777" w:rsidR="005400D8" w:rsidRPr="00A014FD" w:rsidRDefault="005400D8" w:rsidP="00704B82">
            <w:pPr>
              <w:jc w:val="center"/>
              <w:rPr>
                <w:rFonts w:eastAsia="Times New Roman"/>
                <w:sz w:val="22"/>
                <w:lang w:eastAsia="en-GB"/>
              </w:rPr>
            </w:pPr>
            <w:r w:rsidRPr="00A014FD">
              <w:rPr>
                <w:rFonts w:eastAsia="等线"/>
                <w:color w:val="000000"/>
                <w:sz w:val="22"/>
              </w:rPr>
              <w:t>□</w:t>
            </w:r>
          </w:p>
        </w:tc>
      </w:tr>
      <w:tr w:rsidR="005400D8" w:rsidRPr="00A014FD" w14:paraId="705A09A5" w14:textId="77777777" w:rsidTr="00704B82">
        <w:trPr>
          <w:trHeight w:val="315"/>
          <w:jc w:val="center"/>
        </w:trPr>
        <w:tc>
          <w:tcPr>
            <w:tcW w:w="2263" w:type="dxa"/>
            <w:vMerge/>
            <w:tcBorders>
              <w:left w:val="single" w:sz="4" w:space="0" w:color="auto"/>
              <w:bottom w:val="single" w:sz="4" w:space="0" w:color="auto"/>
              <w:right w:val="single" w:sz="4" w:space="0" w:color="auto"/>
            </w:tcBorders>
            <w:vAlign w:val="center"/>
            <w:hideMark/>
          </w:tcPr>
          <w:p w14:paraId="01BAAB4F" w14:textId="77777777" w:rsidR="005400D8" w:rsidRPr="00A014FD" w:rsidRDefault="005400D8" w:rsidP="00704B82">
            <w:pPr>
              <w:jc w:val="left"/>
              <w:rPr>
                <w:rFonts w:eastAsia="等线"/>
                <w:color w:val="000000"/>
                <w:sz w:val="22"/>
                <w:lang w:eastAsia="en-GB"/>
              </w:rPr>
            </w:pPr>
          </w:p>
        </w:tc>
        <w:tc>
          <w:tcPr>
            <w:tcW w:w="3715" w:type="dxa"/>
            <w:tcBorders>
              <w:top w:val="single" w:sz="4" w:space="0" w:color="auto"/>
              <w:left w:val="single" w:sz="4" w:space="0" w:color="auto"/>
              <w:bottom w:val="single" w:sz="4" w:space="0" w:color="auto"/>
              <w:right w:val="single" w:sz="4" w:space="0" w:color="auto"/>
            </w:tcBorders>
            <w:noWrap/>
            <w:hideMark/>
          </w:tcPr>
          <w:p w14:paraId="714AA92C" w14:textId="77777777" w:rsidR="005400D8" w:rsidRPr="00A014FD" w:rsidRDefault="005400D8" w:rsidP="00704B82">
            <w:pPr>
              <w:jc w:val="left"/>
              <w:rPr>
                <w:rFonts w:eastAsia="等线"/>
                <w:color w:val="000000"/>
                <w:sz w:val="22"/>
              </w:rPr>
            </w:pPr>
            <w:r w:rsidRPr="00A014FD">
              <w:rPr>
                <w:rFonts w:eastAsia="等线"/>
                <w:color w:val="000000"/>
                <w:sz w:val="22"/>
              </w:rPr>
              <w:t xml:space="preserve">Time for On-street Parking </w:t>
            </w:r>
          </w:p>
        </w:tc>
        <w:tc>
          <w:tcPr>
            <w:tcW w:w="1530" w:type="dxa"/>
            <w:tcBorders>
              <w:top w:val="nil"/>
              <w:left w:val="single" w:sz="4" w:space="0" w:color="auto"/>
              <w:bottom w:val="single" w:sz="4" w:space="0" w:color="auto"/>
              <w:right w:val="nil"/>
            </w:tcBorders>
            <w:vAlign w:val="center"/>
          </w:tcPr>
          <w:p w14:paraId="5848F505"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c>
          <w:tcPr>
            <w:tcW w:w="1281" w:type="dxa"/>
            <w:tcBorders>
              <w:top w:val="nil"/>
              <w:left w:val="nil"/>
              <w:bottom w:val="single" w:sz="4" w:space="0" w:color="auto"/>
              <w:right w:val="single" w:sz="4" w:space="0" w:color="auto"/>
            </w:tcBorders>
            <w:vAlign w:val="center"/>
          </w:tcPr>
          <w:p w14:paraId="01ECB14A" w14:textId="77777777" w:rsidR="005400D8" w:rsidRPr="00A014FD" w:rsidRDefault="005400D8" w:rsidP="00704B82">
            <w:pPr>
              <w:jc w:val="center"/>
              <w:rPr>
                <w:rFonts w:eastAsia="等线"/>
                <w:color w:val="000000"/>
                <w:sz w:val="22"/>
                <w:lang w:eastAsia="en-GB"/>
              </w:rPr>
            </w:pPr>
            <w:r w:rsidRPr="00A014FD">
              <w:rPr>
                <w:rFonts w:eastAsia="等线"/>
                <w:color w:val="000000"/>
                <w:sz w:val="22"/>
              </w:rPr>
              <w:t>□</w:t>
            </w:r>
          </w:p>
        </w:tc>
      </w:tr>
      <w:bookmarkEnd w:id="1269"/>
    </w:tbl>
    <w:p w14:paraId="4930EDC3" w14:textId="77777777" w:rsidR="005400D8" w:rsidRPr="00A014FD" w:rsidRDefault="005400D8" w:rsidP="005400D8">
      <w:pPr>
        <w:spacing w:line="240" w:lineRule="auto"/>
        <w:jc w:val="left"/>
        <w:rPr>
          <w:rFonts w:eastAsia="Times New Roman"/>
          <w:bdr w:val="nil"/>
          <w:lang w:eastAsia="en-GB"/>
        </w:rPr>
      </w:pPr>
    </w:p>
    <w:p w14:paraId="751E351E" w14:textId="77777777" w:rsidR="005400D8" w:rsidRPr="00A014FD" w:rsidRDefault="005400D8" w:rsidP="005400D8">
      <w:pPr>
        <w:spacing w:line="240" w:lineRule="auto"/>
        <w:jc w:val="left"/>
        <w:rPr>
          <w:rFonts w:eastAsia="Times New Roman"/>
          <w:b/>
          <w:bCs/>
          <w:bdr w:val="nil"/>
          <w:lang w:eastAsia="en-GB"/>
        </w:rPr>
      </w:pPr>
    </w:p>
    <w:p w14:paraId="22E8B397" w14:textId="77777777" w:rsidR="005400D8" w:rsidRPr="00A014FD" w:rsidRDefault="005400D8" w:rsidP="005400D8">
      <w:pPr>
        <w:spacing w:after="160" w:line="259" w:lineRule="auto"/>
        <w:jc w:val="left"/>
        <w:rPr>
          <w:rFonts w:eastAsia="Times New Roman"/>
          <w:lang w:eastAsia="en-GB"/>
        </w:rPr>
      </w:pPr>
      <w:r w:rsidRPr="00A014FD">
        <w:rPr>
          <w:rFonts w:eastAsia="Times New Roman"/>
          <w:lang w:eastAsia="en-GB"/>
        </w:rPr>
        <w:br w:type="page"/>
      </w:r>
    </w:p>
    <w:p w14:paraId="543E6CB7" w14:textId="77777777" w:rsidR="005400D8" w:rsidRPr="00A014FD" w:rsidRDefault="005400D8" w:rsidP="005400D8">
      <w:pPr>
        <w:keepNext/>
        <w:shd w:val="clear" w:color="auto" w:fill="D9D9D9"/>
        <w:spacing w:line="240" w:lineRule="auto"/>
        <w:jc w:val="center"/>
        <w:rPr>
          <w:rFonts w:eastAsia="Times New Roman"/>
          <w:b/>
          <w:sz w:val="28"/>
          <w:szCs w:val="28"/>
          <w:lang w:eastAsia="en-GB"/>
        </w:rPr>
      </w:pPr>
      <w:r w:rsidRPr="00A014FD">
        <w:rPr>
          <w:rFonts w:eastAsia="Times New Roman"/>
          <w:b/>
          <w:sz w:val="28"/>
          <w:szCs w:val="28"/>
          <w:lang w:eastAsia="en-GB"/>
        </w:rPr>
        <w:lastRenderedPageBreak/>
        <w:t xml:space="preserve">Sub-SECTION D1 (To be completed by UCC Operators) </w:t>
      </w:r>
    </w:p>
    <w:p w14:paraId="79DD7F8B" w14:textId="77777777" w:rsidR="005400D8" w:rsidRPr="00A014FD" w:rsidRDefault="005400D8" w:rsidP="005400D8">
      <w:pPr>
        <w:spacing w:line="276" w:lineRule="auto"/>
        <w:rPr>
          <w:rFonts w:eastAsia="Times New Roman"/>
          <w:b/>
          <w:bCs/>
          <w:bdr w:val="nil"/>
          <w:lang w:eastAsia="en-GB"/>
        </w:rPr>
      </w:pPr>
      <w:r w:rsidRPr="00A014FD">
        <w:rPr>
          <w:rFonts w:eastAsia="Times New Roman"/>
          <w:b/>
          <w:bCs/>
          <w:bdr w:val="nil"/>
          <w:lang w:eastAsia="en-GB"/>
        </w:rPr>
        <w:t xml:space="preserve">D1.1 What is the ownership structure of UCC? </w:t>
      </w:r>
    </w:p>
    <w:tbl>
      <w:tblPr>
        <w:tblW w:w="5000" w:type="pct"/>
        <w:tblLayout w:type="fixed"/>
        <w:tblLook w:val="04A0" w:firstRow="1" w:lastRow="0" w:firstColumn="1" w:lastColumn="0" w:noHBand="0" w:noVBand="1"/>
      </w:tblPr>
      <w:tblGrid>
        <w:gridCol w:w="9026"/>
      </w:tblGrid>
      <w:tr w:rsidR="005400D8" w:rsidRPr="00A014FD" w14:paraId="72F71B60" w14:textId="77777777" w:rsidTr="00704B82">
        <w:trPr>
          <w:trHeight w:val="316"/>
        </w:trPr>
        <w:tc>
          <w:tcPr>
            <w:tcW w:w="9026" w:type="dxa"/>
            <w:shd w:val="clear" w:color="auto" w:fill="FFFFFF"/>
            <w:vAlign w:val="center"/>
          </w:tcPr>
          <w:p w14:paraId="4172FA3F" w14:textId="77777777" w:rsidR="005400D8" w:rsidRPr="00A014FD" w:rsidRDefault="005400D8" w:rsidP="00704B82">
            <w:pPr>
              <w:spacing w:line="276" w:lineRule="auto"/>
              <w:jc w:val="left"/>
              <w:rPr>
                <w:rFonts w:eastAsia="Times New Roman"/>
                <w:bdr w:val="nil"/>
                <w:lang w:eastAsia="en-GB"/>
              </w:rPr>
            </w:pPr>
            <w:r w:rsidRPr="00A014FD">
              <w:rPr>
                <w:rFonts w:eastAsia="Times New Roman"/>
                <w:bdr w:val="nil"/>
                <w:lang w:eastAsia="en-GB"/>
              </w:rPr>
              <w:t>□ Private (Solo-owned)</w:t>
            </w:r>
          </w:p>
        </w:tc>
      </w:tr>
      <w:tr w:rsidR="005400D8" w:rsidRPr="00A014FD" w14:paraId="59E1FAE1" w14:textId="77777777" w:rsidTr="00704B82">
        <w:trPr>
          <w:trHeight w:val="365"/>
        </w:trPr>
        <w:tc>
          <w:tcPr>
            <w:tcW w:w="9026" w:type="dxa"/>
            <w:shd w:val="clear" w:color="auto" w:fill="FFFFFF"/>
            <w:vAlign w:val="center"/>
          </w:tcPr>
          <w:p w14:paraId="0CE21F93" w14:textId="77777777" w:rsidR="005400D8" w:rsidRPr="00A014FD" w:rsidRDefault="005400D8" w:rsidP="00704B82">
            <w:pPr>
              <w:spacing w:line="276" w:lineRule="auto"/>
              <w:jc w:val="left"/>
              <w:rPr>
                <w:rFonts w:eastAsia="微软雅黑"/>
                <w:sz w:val="28"/>
                <w:lang w:eastAsia="en-GB"/>
              </w:rPr>
            </w:pPr>
            <w:r w:rsidRPr="00A014FD">
              <w:rPr>
                <w:rFonts w:eastAsia="Times New Roman"/>
                <w:bdr w:val="nil"/>
                <w:lang w:eastAsia="en-GB"/>
              </w:rPr>
              <w:t>□ Private (Joint Venture)</w:t>
            </w:r>
          </w:p>
        </w:tc>
      </w:tr>
      <w:tr w:rsidR="005400D8" w:rsidRPr="00A014FD" w14:paraId="559273E8" w14:textId="77777777" w:rsidTr="00704B82">
        <w:trPr>
          <w:trHeight w:val="286"/>
        </w:trPr>
        <w:tc>
          <w:tcPr>
            <w:tcW w:w="9026" w:type="dxa"/>
            <w:shd w:val="clear" w:color="auto" w:fill="FFFFFF"/>
            <w:vAlign w:val="center"/>
          </w:tcPr>
          <w:p w14:paraId="4D627795" w14:textId="77777777" w:rsidR="005400D8" w:rsidRPr="00A014FD" w:rsidRDefault="005400D8" w:rsidP="00704B82">
            <w:pPr>
              <w:spacing w:line="276" w:lineRule="auto"/>
              <w:jc w:val="left"/>
              <w:rPr>
                <w:rFonts w:eastAsia="微软雅黑"/>
                <w:sz w:val="28"/>
                <w:lang w:eastAsia="en-GB"/>
              </w:rPr>
            </w:pPr>
            <w:r w:rsidRPr="00A014FD">
              <w:rPr>
                <w:rFonts w:eastAsia="Times New Roman"/>
                <w:bdr w:val="nil"/>
                <w:lang w:eastAsia="en-GB"/>
              </w:rPr>
              <w:t>□ Private-Public Partnership</w:t>
            </w:r>
          </w:p>
        </w:tc>
      </w:tr>
      <w:tr w:rsidR="005400D8" w:rsidRPr="00A014FD" w14:paraId="2A7873A2" w14:textId="77777777" w:rsidTr="00704B82">
        <w:trPr>
          <w:trHeight w:val="350"/>
        </w:trPr>
        <w:tc>
          <w:tcPr>
            <w:tcW w:w="9026" w:type="dxa"/>
            <w:shd w:val="clear" w:color="auto" w:fill="FFFFFF"/>
            <w:vAlign w:val="center"/>
          </w:tcPr>
          <w:p w14:paraId="6E7570E2" w14:textId="77777777" w:rsidR="005400D8" w:rsidRPr="00A014FD" w:rsidRDefault="005400D8" w:rsidP="00704B82">
            <w:pPr>
              <w:spacing w:line="276" w:lineRule="auto"/>
              <w:jc w:val="left"/>
              <w:rPr>
                <w:rFonts w:eastAsia="Times New Roman"/>
                <w:bdr w:val="nil"/>
                <w:lang w:eastAsia="en-GB"/>
              </w:rPr>
            </w:pPr>
            <w:r w:rsidRPr="00A014FD">
              <w:rPr>
                <w:rFonts w:eastAsia="Times New Roman"/>
                <w:bdr w:val="nil"/>
                <w:lang w:eastAsia="en-GB"/>
              </w:rPr>
              <w:t xml:space="preserve">□ </w:t>
            </w:r>
            <w:proofErr w:type="gramStart"/>
            <w:r w:rsidRPr="00A014FD">
              <w:rPr>
                <w:rFonts w:eastAsia="Times New Roman"/>
                <w:bdr w:val="nil"/>
                <w:lang w:eastAsia="en-GB"/>
              </w:rPr>
              <w:t>Publicly-owned</w:t>
            </w:r>
            <w:proofErr w:type="gramEnd"/>
          </w:p>
        </w:tc>
      </w:tr>
      <w:tr w:rsidR="005400D8" w:rsidRPr="00A014FD" w14:paraId="07D57CEA" w14:textId="77777777" w:rsidTr="00704B82">
        <w:trPr>
          <w:trHeight w:val="413"/>
        </w:trPr>
        <w:tc>
          <w:tcPr>
            <w:tcW w:w="9026" w:type="dxa"/>
            <w:shd w:val="clear" w:color="auto" w:fill="FFFFFF"/>
            <w:vAlign w:val="center"/>
          </w:tcPr>
          <w:p w14:paraId="69F8C61F" w14:textId="77777777" w:rsidR="005400D8" w:rsidRPr="00A014FD" w:rsidRDefault="005400D8" w:rsidP="00704B82">
            <w:pPr>
              <w:spacing w:line="276" w:lineRule="auto"/>
              <w:jc w:val="left"/>
              <w:rPr>
                <w:rFonts w:eastAsia="Times New Roman"/>
                <w:bdr w:val="nil"/>
                <w:lang w:eastAsia="en-GB"/>
              </w:rPr>
            </w:pPr>
            <w:r w:rsidRPr="00A014FD">
              <w:rPr>
                <w:rFonts w:eastAsia="Times New Roman"/>
                <w:bdr w:val="nil"/>
                <w:lang w:eastAsia="en-GB"/>
              </w:rPr>
              <w:t>□ Other (Please Specify) _____________________________________________________</w:t>
            </w:r>
          </w:p>
        </w:tc>
      </w:tr>
    </w:tbl>
    <w:p w14:paraId="2425D4D5" w14:textId="77777777" w:rsidR="005400D8" w:rsidRPr="00A014FD" w:rsidRDefault="005400D8" w:rsidP="005400D8">
      <w:pPr>
        <w:spacing w:after="160" w:line="259" w:lineRule="auto"/>
        <w:jc w:val="left"/>
        <w:rPr>
          <w:rFonts w:eastAsia="Times New Roman"/>
          <w:lang w:eastAsia="en-GB"/>
        </w:rPr>
      </w:pPr>
      <w:r w:rsidRPr="00A014FD">
        <w:rPr>
          <w:rFonts w:eastAsia="Times New Roman"/>
          <w:b/>
          <w:bCs/>
          <w:bdr w:val="nil"/>
          <w:lang w:eastAsia="en-GB"/>
        </w:rPr>
        <w:t xml:space="preserve">D1.2 What are the main revenue sources for the UCC? </w:t>
      </w:r>
    </w:p>
    <w:tbl>
      <w:tblPr>
        <w:tblStyle w:val="10"/>
        <w:tblW w:w="5000" w:type="pct"/>
        <w:tblLayout w:type="fixed"/>
        <w:tblLook w:val="04A0" w:firstRow="1" w:lastRow="0" w:firstColumn="1" w:lastColumn="0" w:noHBand="0" w:noVBand="1"/>
      </w:tblPr>
      <w:tblGrid>
        <w:gridCol w:w="4463"/>
        <w:gridCol w:w="2773"/>
        <w:gridCol w:w="1780"/>
      </w:tblGrid>
      <w:tr w:rsidR="005400D8" w:rsidRPr="00A014FD" w14:paraId="48063355" w14:textId="77777777" w:rsidTr="00704B82">
        <w:trPr>
          <w:trHeight w:val="360"/>
        </w:trPr>
        <w:tc>
          <w:tcPr>
            <w:tcW w:w="4106" w:type="dxa"/>
            <w:vAlign w:val="center"/>
          </w:tcPr>
          <w:p w14:paraId="5A62AF37" w14:textId="77777777" w:rsidR="005400D8" w:rsidRPr="00A014FD" w:rsidRDefault="005400D8" w:rsidP="00704B82">
            <w:pPr>
              <w:spacing w:line="276" w:lineRule="auto"/>
              <w:jc w:val="center"/>
              <w:rPr>
                <w:rFonts w:eastAsia="Times New Roman"/>
                <w:b/>
                <w:sz w:val="22"/>
                <w:lang w:eastAsia="en-GB"/>
              </w:rPr>
            </w:pPr>
            <w:r w:rsidRPr="00A014FD">
              <w:rPr>
                <w:rFonts w:eastAsia="Times New Roman"/>
                <w:b/>
                <w:sz w:val="22"/>
                <w:lang w:eastAsia="en-GB"/>
              </w:rPr>
              <w:t>Name of Source</w:t>
            </w:r>
          </w:p>
        </w:tc>
        <w:tc>
          <w:tcPr>
            <w:tcW w:w="2552" w:type="dxa"/>
            <w:vAlign w:val="center"/>
          </w:tcPr>
          <w:p w14:paraId="16E8C7E5" w14:textId="77777777" w:rsidR="005400D8" w:rsidRPr="00A014FD" w:rsidRDefault="005400D8" w:rsidP="00704B82">
            <w:pPr>
              <w:spacing w:line="276" w:lineRule="auto"/>
              <w:jc w:val="center"/>
              <w:rPr>
                <w:rFonts w:eastAsia="Times New Roman"/>
                <w:b/>
                <w:sz w:val="22"/>
                <w:lang w:eastAsia="en-GB"/>
              </w:rPr>
            </w:pPr>
            <w:r w:rsidRPr="00A014FD">
              <w:rPr>
                <w:rFonts w:eastAsia="Times New Roman"/>
                <w:b/>
                <w:sz w:val="22"/>
                <w:lang w:eastAsia="en-GB"/>
              </w:rPr>
              <w:t>Whether Includes or not</w:t>
            </w:r>
          </w:p>
        </w:tc>
        <w:tc>
          <w:tcPr>
            <w:tcW w:w="1638" w:type="dxa"/>
            <w:vAlign w:val="center"/>
          </w:tcPr>
          <w:p w14:paraId="7B4959C7" w14:textId="77777777" w:rsidR="005400D8" w:rsidRPr="00A014FD" w:rsidRDefault="005400D8" w:rsidP="00704B82">
            <w:pPr>
              <w:spacing w:line="276" w:lineRule="auto"/>
              <w:jc w:val="center"/>
              <w:rPr>
                <w:rFonts w:eastAsia="Times New Roman"/>
                <w:b/>
                <w:sz w:val="22"/>
                <w:lang w:eastAsia="en-GB"/>
              </w:rPr>
            </w:pPr>
            <w:r w:rsidRPr="00A014FD">
              <w:rPr>
                <w:rFonts w:eastAsia="Times New Roman"/>
                <w:b/>
                <w:sz w:val="22"/>
                <w:lang w:eastAsia="en-GB"/>
              </w:rPr>
              <w:t>Percentage</w:t>
            </w:r>
          </w:p>
        </w:tc>
      </w:tr>
      <w:tr w:rsidR="005400D8" w:rsidRPr="00A014FD" w14:paraId="192FE2F7" w14:textId="77777777" w:rsidTr="00704B82">
        <w:trPr>
          <w:trHeight w:val="360"/>
        </w:trPr>
        <w:tc>
          <w:tcPr>
            <w:tcW w:w="4106" w:type="dxa"/>
          </w:tcPr>
          <w:p w14:paraId="30EC3074" w14:textId="77777777" w:rsidR="005400D8" w:rsidRPr="00A014FD" w:rsidRDefault="005400D8" w:rsidP="00704B82">
            <w:pPr>
              <w:spacing w:line="276" w:lineRule="auto"/>
              <w:jc w:val="left"/>
              <w:rPr>
                <w:rFonts w:eastAsia="Times New Roman"/>
                <w:sz w:val="22"/>
                <w:lang w:eastAsia="en-GB"/>
              </w:rPr>
            </w:pPr>
            <w:r w:rsidRPr="00A014FD">
              <w:rPr>
                <w:rFonts w:eastAsia="Times New Roman"/>
                <w:sz w:val="22"/>
                <w:bdr w:val="nil"/>
                <w:lang w:eastAsia="en-GB"/>
              </w:rPr>
              <w:t>Service fees from users</w:t>
            </w:r>
            <w:r w:rsidRPr="00A014FD">
              <w:rPr>
                <w:rFonts w:eastAsia="宋体"/>
                <w:sz w:val="22"/>
                <w:bdr w:val="nil"/>
              </w:rPr>
              <w:t xml:space="preserve"> </w:t>
            </w:r>
          </w:p>
        </w:tc>
        <w:tc>
          <w:tcPr>
            <w:tcW w:w="2552" w:type="dxa"/>
            <w:vAlign w:val="center"/>
          </w:tcPr>
          <w:p w14:paraId="700B8D2E" w14:textId="77777777" w:rsidR="005400D8" w:rsidRPr="00A014FD" w:rsidRDefault="005400D8" w:rsidP="00704B82">
            <w:pPr>
              <w:spacing w:line="276" w:lineRule="auto"/>
              <w:jc w:val="center"/>
              <w:rPr>
                <w:rFonts w:eastAsia="Times New Roman"/>
                <w:color w:val="333333"/>
                <w:sz w:val="22"/>
                <w:lang w:eastAsia="en-GB"/>
              </w:rPr>
            </w:pPr>
            <w:r w:rsidRPr="00A014FD">
              <w:rPr>
                <w:rFonts w:eastAsia="等线"/>
                <w:color w:val="000000"/>
                <w:sz w:val="22"/>
              </w:rPr>
              <w:t>□</w:t>
            </w:r>
          </w:p>
        </w:tc>
        <w:tc>
          <w:tcPr>
            <w:tcW w:w="1638" w:type="dxa"/>
            <w:vAlign w:val="center"/>
          </w:tcPr>
          <w:p w14:paraId="06342303" w14:textId="77777777" w:rsidR="005400D8" w:rsidRPr="00A014FD" w:rsidRDefault="005400D8" w:rsidP="00704B82">
            <w:pPr>
              <w:spacing w:line="276" w:lineRule="auto"/>
              <w:jc w:val="center"/>
              <w:rPr>
                <w:rFonts w:eastAsia="Times New Roman"/>
                <w:color w:val="333333"/>
                <w:sz w:val="22"/>
                <w:lang w:eastAsia="en-GB"/>
              </w:rPr>
            </w:pPr>
            <w:r w:rsidRPr="00A014FD">
              <w:rPr>
                <w:rFonts w:eastAsia="Times New Roman"/>
                <w:color w:val="333333"/>
                <w:sz w:val="22"/>
                <w:lang w:eastAsia="en-GB"/>
              </w:rPr>
              <w:t>______%</w:t>
            </w:r>
          </w:p>
        </w:tc>
      </w:tr>
      <w:tr w:rsidR="005400D8" w:rsidRPr="00A014FD" w14:paraId="626A1BA5" w14:textId="77777777" w:rsidTr="00704B82">
        <w:trPr>
          <w:trHeight w:val="360"/>
        </w:trPr>
        <w:tc>
          <w:tcPr>
            <w:tcW w:w="4106" w:type="dxa"/>
          </w:tcPr>
          <w:p w14:paraId="5D22CC09" w14:textId="77777777" w:rsidR="005400D8" w:rsidRPr="00A014FD" w:rsidRDefault="005400D8" w:rsidP="00704B82">
            <w:pPr>
              <w:spacing w:line="276" w:lineRule="auto"/>
              <w:jc w:val="left"/>
              <w:rPr>
                <w:rFonts w:eastAsia="Times New Roman"/>
                <w:color w:val="333333"/>
                <w:sz w:val="22"/>
                <w:lang w:eastAsia="en-GB"/>
              </w:rPr>
            </w:pPr>
            <w:r w:rsidRPr="00A014FD">
              <w:rPr>
                <w:rFonts w:eastAsia="Times New Roman"/>
                <w:sz w:val="22"/>
                <w:bdr w:val="nil"/>
                <w:lang w:eastAsia="en-GB"/>
              </w:rPr>
              <w:t>Government financial subsides</w:t>
            </w:r>
          </w:p>
        </w:tc>
        <w:tc>
          <w:tcPr>
            <w:tcW w:w="2552" w:type="dxa"/>
            <w:vAlign w:val="center"/>
          </w:tcPr>
          <w:p w14:paraId="1AFA58DA" w14:textId="77777777" w:rsidR="005400D8" w:rsidRPr="00A014FD" w:rsidRDefault="005400D8" w:rsidP="00704B82">
            <w:pPr>
              <w:spacing w:line="276" w:lineRule="auto"/>
              <w:jc w:val="center"/>
              <w:rPr>
                <w:rFonts w:eastAsia="Times New Roman"/>
                <w:color w:val="333333"/>
                <w:sz w:val="22"/>
                <w:lang w:eastAsia="en-GB"/>
              </w:rPr>
            </w:pPr>
            <w:r w:rsidRPr="00A014FD">
              <w:rPr>
                <w:rFonts w:eastAsia="等线"/>
                <w:color w:val="000000"/>
                <w:sz w:val="22"/>
              </w:rPr>
              <w:t>□</w:t>
            </w:r>
          </w:p>
        </w:tc>
        <w:tc>
          <w:tcPr>
            <w:tcW w:w="1638" w:type="dxa"/>
            <w:vAlign w:val="center"/>
          </w:tcPr>
          <w:p w14:paraId="112F6609" w14:textId="77777777" w:rsidR="005400D8" w:rsidRPr="00A014FD" w:rsidRDefault="005400D8" w:rsidP="00704B82">
            <w:pPr>
              <w:spacing w:line="276" w:lineRule="auto"/>
              <w:jc w:val="center"/>
              <w:rPr>
                <w:rFonts w:eastAsia="Times New Roman"/>
                <w:color w:val="333333"/>
                <w:sz w:val="22"/>
                <w:lang w:eastAsia="en-GB"/>
              </w:rPr>
            </w:pPr>
            <w:r w:rsidRPr="00A014FD">
              <w:rPr>
                <w:rFonts w:eastAsia="Times New Roman"/>
                <w:color w:val="333333"/>
                <w:sz w:val="22"/>
                <w:lang w:eastAsia="en-GB"/>
              </w:rPr>
              <w:t>______%</w:t>
            </w:r>
          </w:p>
        </w:tc>
      </w:tr>
      <w:tr w:rsidR="005400D8" w:rsidRPr="00A014FD" w14:paraId="18A11610" w14:textId="77777777" w:rsidTr="00704B82">
        <w:trPr>
          <w:trHeight w:val="360"/>
        </w:trPr>
        <w:tc>
          <w:tcPr>
            <w:tcW w:w="4106" w:type="dxa"/>
          </w:tcPr>
          <w:p w14:paraId="1BB36182" w14:textId="77777777" w:rsidR="005400D8" w:rsidRPr="00A014FD" w:rsidRDefault="005400D8" w:rsidP="00704B82">
            <w:pPr>
              <w:spacing w:line="276" w:lineRule="auto"/>
              <w:jc w:val="left"/>
              <w:rPr>
                <w:rFonts w:eastAsia="Times New Roman"/>
                <w:sz w:val="22"/>
                <w:bdr w:val="nil"/>
                <w:lang w:eastAsia="en-GB"/>
              </w:rPr>
            </w:pPr>
            <w:r w:rsidRPr="00A014FD">
              <w:rPr>
                <w:rFonts w:eastAsia="Times New Roman"/>
                <w:sz w:val="22"/>
                <w:bdr w:val="nil"/>
                <w:lang w:eastAsia="en-GB"/>
              </w:rPr>
              <w:t xml:space="preserve">Fees </w:t>
            </w:r>
            <w:proofErr w:type="spellStart"/>
            <w:r w:rsidRPr="00A014FD">
              <w:rPr>
                <w:rFonts w:eastAsia="Times New Roman"/>
                <w:sz w:val="22"/>
                <w:bdr w:val="nil"/>
                <w:lang w:eastAsia="en-GB"/>
              </w:rPr>
              <w:t>payed</w:t>
            </w:r>
            <w:proofErr w:type="spellEnd"/>
            <w:r w:rsidRPr="00A014FD">
              <w:rPr>
                <w:rFonts w:eastAsia="Times New Roman"/>
                <w:sz w:val="22"/>
                <w:bdr w:val="nil"/>
                <w:lang w:eastAsia="en-GB"/>
              </w:rPr>
              <w:t xml:space="preserve"> by the materials/goods consigner</w:t>
            </w:r>
          </w:p>
        </w:tc>
        <w:tc>
          <w:tcPr>
            <w:tcW w:w="2552" w:type="dxa"/>
            <w:vAlign w:val="center"/>
          </w:tcPr>
          <w:p w14:paraId="4BB08687" w14:textId="77777777" w:rsidR="005400D8" w:rsidRPr="00A014FD" w:rsidRDefault="005400D8" w:rsidP="00704B82">
            <w:pPr>
              <w:spacing w:line="276" w:lineRule="auto"/>
              <w:jc w:val="center"/>
              <w:rPr>
                <w:rFonts w:eastAsia="等线"/>
                <w:color w:val="000000"/>
                <w:sz w:val="22"/>
              </w:rPr>
            </w:pPr>
            <w:r w:rsidRPr="00A014FD">
              <w:rPr>
                <w:rFonts w:eastAsia="等线"/>
                <w:color w:val="000000"/>
                <w:sz w:val="22"/>
              </w:rPr>
              <w:t>□</w:t>
            </w:r>
          </w:p>
        </w:tc>
        <w:tc>
          <w:tcPr>
            <w:tcW w:w="1638" w:type="dxa"/>
            <w:vAlign w:val="center"/>
          </w:tcPr>
          <w:p w14:paraId="4E25BBC3" w14:textId="77777777" w:rsidR="005400D8" w:rsidRPr="00A014FD" w:rsidRDefault="005400D8" w:rsidP="00704B82">
            <w:pPr>
              <w:spacing w:line="276" w:lineRule="auto"/>
              <w:jc w:val="center"/>
              <w:rPr>
                <w:rFonts w:eastAsia="Times New Roman"/>
                <w:color w:val="333333"/>
                <w:sz w:val="22"/>
                <w:lang w:eastAsia="en-GB"/>
              </w:rPr>
            </w:pPr>
            <w:r w:rsidRPr="00A014FD">
              <w:rPr>
                <w:rFonts w:eastAsia="Times New Roman"/>
                <w:color w:val="333333"/>
                <w:sz w:val="22"/>
                <w:lang w:eastAsia="en-GB"/>
              </w:rPr>
              <w:t>______%</w:t>
            </w:r>
          </w:p>
        </w:tc>
      </w:tr>
      <w:tr w:rsidR="005400D8" w:rsidRPr="00A014FD" w14:paraId="6B1B63FD" w14:textId="77777777" w:rsidTr="00704B82">
        <w:trPr>
          <w:trHeight w:val="227"/>
        </w:trPr>
        <w:tc>
          <w:tcPr>
            <w:tcW w:w="4106" w:type="dxa"/>
            <w:vAlign w:val="center"/>
          </w:tcPr>
          <w:p w14:paraId="76D81EB4" w14:textId="77777777" w:rsidR="005400D8" w:rsidRPr="00A014FD" w:rsidRDefault="005400D8" w:rsidP="00704B82">
            <w:pPr>
              <w:spacing w:line="276" w:lineRule="auto"/>
              <w:jc w:val="left"/>
              <w:rPr>
                <w:rFonts w:eastAsia="Times New Roman"/>
                <w:sz w:val="22"/>
                <w:lang w:eastAsia="en-GB"/>
              </w:rPr>
            </w:pPr>
            <w:r w:rsidRPr="00A014FD">
              <w:rPr>
                <w:rFonts w:eastAsia="Times New Roman"/>
                <w:color w:val="333333"/>
                <w:lang w:eastAsia="en-GB"/>
              </w:rPr>
              <w:t>Others (Please Specify) ____________</w:t>
            </w:r>
          </w:p>
        </w:tc>
        <w:tc>
          <w:tcPr>
            <w:tcW w:w="2552" w:type="dxa"/>
            <w:vAlign w:val="center"/>
          </w:tcPr>
          <w:p w14:paraId="5C1ED6C0" w14:textId="77777777" w:rsidR="005400D8" w:rsidRPr="00A014FD" w:rsidRDefault="005400D8" w:rsidP="00704B82">
            <w:pPr>
              <w:spacing w:line="276" w:lineRule="auto"/>
              <w:jc w:val="center"/>
              <w:rPr>
                <w:rFonts w:eastAsia="Times New Roman"/>
                <w:color w:val="333333"/>
                <w:sz w:val="22"/>
                <w:lang w:eastAsia="en-GB"/>
              </w:rPr>
            </w:pPr>
            <w:r w:rsidRPr="00A014FD">
              <w:rPr>
                <w:rFonts w:eastAsia="宋体"/>
                <w:sz w:val="22"/>
              </w:rPr>
              <w:t>___________</w:t>
            </w:r>
          </w:p>
        </w:tc>
        <w:tc>
          <w:tcPr>
            <w:tcW w:w="1638" w:type="dxa"/>
            <w:vAlign w:val="center"/>
          </w:tcPr>
          <w:p w14:paraId="26216B3A" w14:textId="77777777" w:rsidR="005400D8" w:rsidRPr="00A014FD" w:rsidRDefault="005400D8" w:rsidP="00704B82">
            <w:pPr>
              <w:spacing w:line="276" w:lineRule="auto"/>
              <w:jc w:val="center"/>
              <w:rPr>
                <w:rFonts w:eastAsia="Times New Roman"/>
                <w:color w:val="333333"/>
                <w:sz w:val="22"/>
                <w:lang w:eastAsia="en-GB"/>
              </w:rPr>
            </w:pPr>
            <w:r w:rsidRPr="00A014FD">
              <w:rPr>
                <w:rFonts w:eastAsia="Times New Roman"/>
                <w:color w:val="333333"/>
                <w:sz w:val="22"/>
                <w:lang w:eastAsia="en-GB"/>
              </w:rPr>
              <w:t>______%</w:t>
            </w:r>
          </w:p>
        </w:tc>
      </w:tr>
    </w:tbl>
    <w:p w14:paraId="14D7CB89" w14:textId="77777777" w:rsidR="005400D8" w:rsidRPr="00A014FD" w:rsidRDefault="005400D8" w:rsidP="005400D8">
      <w:pPr>
        <w:spacing w:line="240" w:lineRule="auto"/>
        <w:jc w:val="left"/>
        <w:rPr>
          <w:rFonts w:eastAsia="Times New Roman"/>
          <w:b/>
          <w:bCs/>
          <w:bdr w:val="nil"/>
          <w:lang w:eastAsia="en-GB"/>
        </w:rPr>
      </w:pPr>
    </w:p>
    <w:p w14:paraId="35A80C87" w14:textId="77777777" w:rsidR="005400D8" w:rsidRPr="00A014FD" w:rsidRDefault="005400D8" w:rsidP="005400D8">
      <w:pPr>
        <w:spacing w:line="240" w:lineRule="auto"/>
        <w:rPr>
          <w:rFonts w:eastAsia="Times New Roman"/>
          <w:b/>
          <w:bCs/>
          <w:bdr w:val="nil"/>
          <w:lang w:eastAsia="en-GB"/>
        </w:rPr>
      </w:pPr>
      <w:r w:rsidRPr="00A014FD">
        <w:rPr>
          <w:rFonts w:eastAsia="Times New Roman"/>
          <w:b/>
          <w:bCs/>
          <w:bdr w:val="nil"/>
          <w:lang w:eastAsia="en-GB"/>
        </w:rPr>
        <w:t xml:space="preserve">D1.3 How much is the Total Cost of this </w:t>
      </w:r>
      <w:proofErr w:type="gramStart"/>
      <w:r w:rsidRPr="00A014FD">
        <w:rPr>
          <w:rFonts w:eastAsia="Times New Roman"/>
          <w:b/>
          <w:bCs/>
          <w:bdr w:val="nil"/>
          <w:lang w:eastAsia="en-GB"/>
        </w:rPr>
        <w:t>UCC</w:t>
      </w:r>
      <w:proofErr w:type="gramEnd"/>
    </w:p>
    <w:p w14:paraId="0AF57502" w14:textId="77777777" w:rsidR="005400D8" w:rsidRPr="00A014FD" w:rsidRDefault="005400D8" w:rsidP="005400D8">
      <w:pPr>
        <w:spacing w:line="240" w:lineRule="auto"/>
        <w:rPr>
          <w:rFonts w:eastAsia="Times New Roman"/>
          <w:bCs/>
          <w:bdr w:val="nil"/>
          <w:lang w:eastAsia="en-GB"/>
        </w:rPr>
      </w:pPr>
      <w:r w:rsidRPr="00A014FD">
        <w:rPr>
          <w:rFonts w:eastAsia="Times New Roman"/>
          <w:bCs/>
          <w:bdr w:val="nil"/>
          <w:lang w:eastAsia="en-GB"/>
        </w:rPr>
        <w:t>_____________________________________________________________________</w:t>
      </w:r>
    </w:p>
    <w:p w14:paraId="059678AA" w14:textId="77777777" w:rsidR="005400D8" w:rsidRPr="00A014FD" w:rsidRDefault="005400D8" w:rsidP="005400D8">
      <w:pPr>
        <w:spacing w:line="240" w:lineRule="auto"/>
        <w:rPr>
          <w:rFonts w:eastAsia="Times New Roman"/>
          <w:b/>
          <w:bCs/>
          <w:bdr w:val="nil"/>
          <w:lang w:eastAsia="en-GB"/>
        </w:rPr>
      </w:pPr>
      <w:r w:rsidRPr="00A014FD">
        <w:rPr>
          <w:rFonts w:eastAsia="Times New Roman"/>
          <w:b/>
          <w:bCs/>
          <w:bdr w:val="nil"/>
          <w:lang w:eastAsia="en-GB"/>
        </w:rPr>
        <w:t xml:space="preserve">To What extent involved stakeholders are sharing the total UCC’s operating expenditure? Who put money for these </w:t>
      </w:r>
      <w:proofErr w:type="gramStart"/>
      <w:r w:rsidRPr="00A014FD">
        <w:rPr>
          <w:rFonts w:eastAsia="Times New Roman"/>
          <w:b/>
          <w:bCs/>
          <w:bdr w:val="nil"/>
          <w:lang w:eastAsia="en-GB"/>
        </w:rPr>
        <w:t>cost.</w:t>
      </w:r>
      <w:proofErr w:type="gramEnd"/>
    </w:p>
    <w:p w14:paraId="789FC84D" w14:textId="77777777" w:rsidR="005400D8" w:rsidRPr="00A014FD" w:rsidRDefault="005400D8" w:rsidP="005400D8">
      <w:pPr>
        <w:spacing w:line="240" w:lineRule="auto"/>
        <w:rPr>
          <w:rFonts w:eastAsia="Times New Roman"/>
          <w:b/>
          <w:bCs/>
          <w:bdr w:val="nil"/>
          <w:lang w:eastAsia="en-GB"/>
        </w:rPr>
      </w:pPr>
    </w:p>
    <w:tbl>
      <w:tblPr>
        <w:tblStyle w:val="10"/>
        <w:tblW w:w="5000" w:type="pct"/>
        <w:tblLayout w:type="fixed"/>
        <w:tblLook w:val="04A0" w:firstRow="1" w:lastRow="0" w:firstColumn="1" w:lastColumn="0" w:noHBand="0" w:noVBand="1"/>
      </w:tblPr>
      <w:tblGrid>
        <w:gridCol w:w="7236"/>
        <w:gridCol w:w="1780"/>
      </w:tblGrid>
      <w:tr w:rsidR="005400D8" w:rsidRPr="00A014FD" w14:paraId="6B12ADF4" w14:textId="77777777" w:rsidTr="00704B82">
        <w:trPr>
          <w:trHeight w:val="360"/>
        </w:trPr>
        <w:tc>
          <w:tcPr>
            <w:tcW w:w="6658" w:type="dxa"/>
          </w:tcPr>
          <w:p w14:paraId="24D43B2B" w14:textId="77777777" w:rsidR="005400D8" w:rsidRPr="00A014FD" w:rsidRDefault="005400D8" w:rsidP="00704B82">
            <w:pPr>
              <w:spacing w:line="276" w:lineRule="auto"/>
              <w:jc w:val="center"/>
              <w:rPr>
                <w:rFonts w:eastAsia="Times New Roman"/>
                <w:sz w:val="22"/>
                <w:lang w:eastAsia="en-GB"/>
              </w:rPr>
            </w:pPr>
            <w:r w:rsidRPr="00A014FD">
              <w:rPr>
                <w:rFonts w:eastAsia="Times New Roman"/>
                <w:color w:val="333333"/>
                <w:sz w:val="22"/>
                <w:lang w:eastAsia="en-GB"/>
              </w:rPr>
              <w:t>UCC Operator</w:t>
            </w:r>
          </w:p>
        </w:tc>
        <w:tc>
          <w:tcPr>
            <w:tcW w:w="1638" w:type="dxa"/>
          </w:tcPr>
          <w:p w14:paraId="7CEEAA92" w14:textId="77777777" w:rsidR="005400D8" w:rsidRPr="00A014FD" w:rsidRDefault="005400D8" w:rsidP="00704B82">
            <w:pPr>
              <w:spacing w:line="276" w:lineRule="auto"/>
              <w:jc w:val="center"/>
              <w:rPr>
                <w:rFonts w:eastAsia="Times New Roman"/>
                <w:sz w:val="22"/>
                <w:lang w:eastAsia="en-GB"/>
              </w:rPr>
            </w:pPr>
            <w:r w:rsidRPr="00A014FD">
              <w:rPr>
                <w:rFonts w:eastAsia="Times New Roman"/>
                <w:color w:val="333333"/>
                <w:sz w:val="22"/>
                <w:lang w:eastAsia="en-GB"/>
              </w:rPr>
              <w:t>______%</w:t>
            </w:r>
          </w:p>
        </w:tc>
      </w:tr>
      <w:tr w:rsidR="005400D8" w:rsidRPr="00A014FD" w14:paraId="255D5C76" w14:textId="77777777" w:rsidTr="00704B82">
        <w:trPr>
          <w:trHeight w:val="360"/>
        </w:trPr>
        <w:tc>
          <w:tcPr>
            <w:tcW w:w="6658" w:type="dxa"/>
          </w:tcPr>
          <w:p w14:paraId="46A860DA" w14:textId="77777777" w:rsidR="005400D8" w:rsidRPr="00A014FD" w:rsidRDefault="005400D8" w:rsidP="00704B82">
            <w:pPr>
              <w:spacing w:line="276" w:lineRule="auto"/>
              <w:jc w:val="center"/>
              <w:rPr>
                <w:rFonts w:eastAsia="Times New Roman"/>
                <w:sz w:val="22"/>
                <w:lang w:eastAsia="en-GB"/>
              </w:rPr>
            </w:pPr>
            <w:r w:rsidRPr="00A014FD">
              <w:rPr>
                <w:rFonts w:eastAsia="Times New Roman"/>
                <w:color w:val="333333"/>
                <w:sz w:val="22"/>
                <w:lang w:eastAsia="en-GB"/>
              </w:rPr>
              <w:t>Government</w:t>
            </w:r>
          </w:p>
        </w:tc>
        <w:tc>
          <w:tcPr>
            <w:tcW w:w="1638" w:type="dxa"/>
          </w:tcPr>
          <w:p w14:paraId="449864BC" w14:textId="77777777" w:rsidR="005400D8" w:rsidRPr="00A014FD" w:rsidRDefault="005400D8" w:rsidP="00704B82">
            <w:pPr>
              <w:spacing w:line="276" w:lineRule="auto"/>
              <w:jc w:val="center"/>
              <w:rPr>
                <w:rFonts w:eastAsia="Times New Roman"/>
                <w:color w:val="333333"/>
                <w:sz w:val="22"/>
                <w:lang w:eastAsia="en-GB"/>
              </w:rPr>
            </w:pPr>
            <w:r w:rsidRPr="00A014FD">
              <w:rPr>
                <w:rFonts w:eastAsia="Times New Roman"/>
                <w:color w:val="333333"/>
                <w:sz w:val="22"/>
                <w:lang w:eastAsia="en-GB"/>
              </w:rPr>
              <w:t>______%</w:t>
            </w:r>
          </w:p>
        </w:tc>
      </w:tr>
      <w:tr w:rsidR="005400D8" w:rsidRPr="00A014FD" w14:paraId="54820C92" w14:textId="77777777" w:rsidTr="00704B82">
        <w:trPr>
          <w:trHeight w:val="360"/>
        </w:trPr>
        <w:tc>
          <w:tcPr>
            <w:tcW w:w="6658" w:type="dxa"/>
          </w:tcPr>
          <w:p w14:paraId="09B0DE62" w14:textId="77777777" w:rsidR="005400D8" w:rsidRPr="00A014FD" w:rsidRDefault="005400D8" w:rsidP="00704B82">
            <w:pPr>
              <w:spacing w:line="276" w:lineRule="auto"/>
              <w:jc w:val="center"/>
              <w:rPr>
                <w:rFonts w:eastAsia="Times New Roman"/>
                <w:color w:val="333333"/>
                <w:sz w:val="22"/>
                <w:lang w:eastAsia="en-GB"/>
              </w:rPr>
            </w:pPr>
            <w:r w:rsidRPr="00A014FD">
              <w:rPr>
                <w:rFonts w:eastAsia="Times New Roman"/>
                <w:color w:val="333333"/>
                <w:sz w:val="22"/>
                <w:lang w:eastAsia="en-GB"/>
              </w:rPr>
              <w:t>UCC Shipper</w:t>
            </w:r>
          </w:p>
        </w:tc>
        <w:tc>
          <w:tcPr>
            <w:tcW w:w="1638" w:type="dxa"/>
          </w:tcPr>
          <w:p w14:paraId="614FFBF7" w14:textId="77777777" w:rsidR="005400D8" w:rsidRPr="00A014FD" w:rsidRDefault="005400D8" w:rsidP="00704B82">
            <w:pPr>
              <w:spacing w:line="276" w:lineRule="auto"/>
              <w:jc w:val="center"/>
              <w:rPr>
                <w:rFonts w:eastAsia="Times New Roman"/>
                <w:color w:val="333333"/>
                <w:sz w:val="22"/>
                <w:lang w:eastAsia="en-GB"/>
              </w:rPr>
            </w:pPr>
            <w:r w:rsidRPr="00A014FD">
              <w:rPr>
                <w:rFonts w:eastAsia="Times New Roman"/>
                <w:color w:val="333333"/>
                <w:sz w:val="22"/>
                <w:lang w:eastAsia="en-GB"/>
              </w:rPr>
              <w:t>______%</w:t>
            </w:r>
          </w:p>
        </w:tc>
      </w:tr>
      <w:tr w:rsidR="005400D8" w:rsidRPr="00A014FD" w14:paraId="4ADF8A74" w14:textId="77777777" w:rsidTr="00704B82">
        <w:trPr>
          <w:trHeight w:val="360"/>
        </w:trPr>
        <w:tc>
          <w:tcPr>
            <w:tcW w:w="6658" w:type="dxa"/>
          </w:tcPr>
          <w:p w14:paraId="1C290EB7" w14:textId="77777777" w:rsidR="005400D8" w:rsidRPr="00A014FD" w:rsidRDefault="005400D8" w:rsidP="00704B82">
            <w:pPr>
              <w:spacing w:line="276" w:lineRule="auto"/>
              <w:jc w:val="center"/>
              <w:rPr>
                <w:rFonts w:eastAsia="Times New Roman"/>
                <w:color w:val="333333"/>
                <w:sz w:val="22"/>
                <w:lang w:eastAsia="en-GB"/>
              </w:rPr>
            </w:pPr>
            <w:r w:rsidRPr="00A014FD">
              <w:rPr>
                <w:rFonts w:eastAsia="Times New Roman"/>
                <w:color w:val="333333"/>
                <w:sz w:val="22"/>
                <w:lang w:eastAsia="en-GB"/>
              </w:rPr>
              <w:t>Carrier</w:t>
            </w:r>
          </w:p>
        </w:tc>
        <w:tc>
          <w:tcPr>
            <w:tcW w:w="1638" w:type="dxa"/>
          </w:tcPr>
          <w:p w14:paraId="6E263581" w14:textId="77777777" w:rsidR="005400D8" w:rsidRPr="00A014FD" w:rsidRDefault="005400D8" w:rsidP="00704B82">
            <w:pPr>
              <w:spacing w:line="276" w:lineRule="auto"/>
              <w:jc w:val="center"/>
              <w:rPr>
                <w:rFonts w:eastAsia="Times New Roman"/>
                <w:color w:val="333333"/>
                <w:sz w:val="22"/>
                <w:lang w:eastAsia="en-GB"/>
              </w:rPr>
            </w:pPr>
            <w:r w:rsidRPr="00A014FD">
              <w:rPr>
                <w:rFonts w:eastAsia="Times New Roman"/>
                <w:color w:val="333333"/>
                <w:sz w:val="22"/>
                <w:lang w:eastAsia="en-GB"/>
              </w:rPr>
              <w:t>______%</w:t>
            </w:r>
          </w:p>
        </w:tc>
      </w:tr>
      <w:tr w:rsidR="005400D8" w:rsidRPr="00A014FD" w14:paraId="7696E2A6" w14:textId="77777777" w:rsidTr="00704B82">
        <w:trPr>
          <w:trHeight w:val="360"/>
        </w:trPr>
        <w:tc>
          <w:tcPr>
            <w:tcW w:w="6658" w:type="dxa"/>
          </w:tcPr>
          <w:p w14:paraId="7CCF4FE4" w14:textId="77777777" w:rsidR="005400D8" w:rsidRPr="00A014FD" w:rsidRDefault="005400D8" w:rsidP="00704B82">
            <w:pPr>
              <w:spacing w:line="276" w:lineRule="auto"/>
              <w:jc w:val="center"/>
              <w:rPr>
                <w:rFonts w:eastAsia="Times New Roman"/>
                <w:color w:val="333333"/>
                <w:sz w:val="22"/>
                <w:lang w:eastAsia="en-GB"/>
              </w:rPr>
            </w:pPr>
            <w:r w:rsidRPr="00A014FD">
              <w:rPr>
                <w:rFonts w:eastAsia="Times New Roman"/>
                <w:color w:val="333333"/>
                <w:sz w:val="22"/>
                <w:lang w:eastAsia="en-GB"/>
              </w:rPr>
              <w:t>Others (Please Specify) ____________</w:t>
            </w:r>
          </w:p>
        </w:tc>
        <w:tc>
          <w:tcPr>
            <w:tcW w:w="1638" w:type="dxa"/>
          </w:tcPr>
          <w:p w14:paraId="3838D02B" w14:textId="77777777" w:rsidR="005400D8" w:rsidRPr="00A014FD" w:rsidRDefault="005400D8" w:rsidP="00704B82">
            <w:pPr>
              <w:spacing w:line="276" w:lineRule="auto"/>
              <w:jc w:val="center"/>
              <w:rPr>
                <w:rFonts w:eastAsia="Times New Roman"/>
                <w:color w:val="333333"/>
                <w:sz w:val="22"/>
                <w:lang w:eastAsia="en-GB"/>
              </w:rPr>
            </w:pPr>
            <w:r w:rsidRPr="00A014FD">
              <w:rPr>
                <w:rFonts w:eastAsia="Times New Roman"/>
                <w:color w:val="333333"/>
                <w:sz w:val="22"/>
                <w:lang w:eastAsia="en-GB"/>
              </w:rPr>
              <w:t>______%</w:t>
            </w:r>
          </w:p>
        </w:tc>
      </w:tr>
    </w:tbl>
    <w:p w14:paraId="15820320" w14:textId="77777777" w:rsidR="005400D8" w:rsidRPr="00A014FD" w:rsidRDefault="005400D8" w:rsidP="005400D8">
      <w:pPr>
        <w:spacing w:line="240" w:lineRule="auto"/>
        <w:jc w:val="left"/>
        <w:rPr>
          <w:rFonts w:eastAsia="Times New Roman"/>
          <w:sz w:val="22"/>
          <w:lang w:eastAsia="en-GB"/>
        </w:rPr>
      </w:pPr>
    </w:p>
    <w:p w14:paraId="37BEB02D" w14:textId="77777777" w:rsidR="005400D8" w:rsidRPr="00A014FD" w:rsidRDefault="005400D8" w:rsidP="005400D8">
      <w:pPr>
        <w:spacing w:line="240" w:lineRule="auto"/>
        <w:jc w:val="left"/>
        <w:rPr>
          <w:rFonts w:eastAsia="Times New Roman"/>
          <w:b/>
          <w:bCs/>
          <w:bdr w:val="nil"/>
          <w:lang w:eastAsia="en-GB"/>
        </w:rPr>
      </w:pPr>
      <w:r w:rsidRPr="00A014FD">
        <w:rPr>
          <w:rFonts w:eastAsia="Times New Roman"/>
          <w:b/>
          <w:bCs/>
          <w:bdr w:val="nil"/>
          <w:lang w:eastAsia="en-GB"/>
        </w:rPr>
        <w:t>D1.4 What is/are the reason that your company join this UCC project? (You may choose more than one)</w:t>
      </w:r>
    </w:p>
    <w:tbl>
      <w:tblPr>
        <w:tblW w:w="5000" w:type="pct"/>
        <w:tblLayout w:type="fixed"/>
        <w:tblLook w:val="04A0" w:firstRow="1" w:lastRow="0" w:firstColumn="1" w:lastColumn="0" w:noHBand="0" w:noVBand="1"/>
      </w:tblPr>
      <w:tblGrid>
        <w:gridCol w:w="9026"/>
      </w:tblGrid>
      <w:tr w:rsidR="005400D8" w:rsidRPr="00A014FD" w14:paraId="36678B3D" w14:textId="77777777" w:rsidTr="00704B82">
        <w:trPr>
          <w:trHeight w:val="316"/>
        </w:trPr>
        <w:tc>
          <w:tcPr>
            <w:tcW w:w="9026" w:type="dxa"/>
            <w:shd w:val="clear" w:color="auto" w:fill="FFFFFF"/>
            <w:vAlign w:val="center"/>
          </w:tcPr>
          <w:p w14:paraId="2979881D" w14:textId="77777777" w:rsidR="005400D8" w:rsidRPr="00A014FD" w:rsidRDefault="005400D8" w:rsidP="00704B82">
            <w:pPr>
              <w:spacing w:line="276" w:lineRule="auto"/>
              <w:jc w:val="left"/>
              <w:rPr>
                <w:rFonts w:eastAsia="Times New Roman"/>
                <w:sz w:val="22"/>
                <w:bdr w:val="nil"/>
                <w:lang w:eastAsia="en-GB"/>
              </w:rPr>
            </w:pPr>
            <w:r w:rsidRPr="00A014FD">
              <w:rPr>
                <w:rFonts w:eastAsia="Times New Roman"/>
                <w:sz w:val="22"/>
                <w:bdr w:val="nil"/>
                <w:lang w:eastAsia="en-GB"/>
              </w:rPr>
              <w:t>□ Increasing the profit</w:t>
            </w:r>
          </w:p>
        </w:tc>
      </w:tr>
      <w:tr w:rsidR="005400D8" w:rsidRPr="00A014FD" w14:paraId="14361456" w14:textId="77777777" w:rsidTr="00704B82">
        <w:trPr>
          <w:trHeight w:val="365"/>
        </w:trPr>
        <w:tc>
          <w:tcPr>
            <w:tcW w:w="9026" w:type="dxa"/>
            <w:shd w:val="clear" w:color="auto" w:fill="FFFFFF"/>
            <w:vAlign w:val="center"/>
          </w:tcPr>
          <w:p w14:paraId="3D5580AC" w14:textId="77777777" w:rsidR="005400D8" w:rsidRPr="00A014FD" w:rsidRDefault="005400D8" w:rsidP="00704B82">
            <w:pPr>
              <w:spacing w:line="276" w:lineRule="auto"/>
              <w:jc w:val="left"/>
              <w:rPr>
                <w:rFonts w:eastAsia="微软雅黑"/>
                <w:sz w:val="22"/>
                <w:lang w:eastAsia="en-GB"/>
              </w:rPr>
            </w:pPr>
            <w:r w:rsidRPr="00A014FD">
              <w:rPr>
                <w:rFonts w:eastAsia="Times New Roman"/>
                <w:sz w:val="22"/>
                <w:bdr w:val="nil"/>
                <w:lang w:eastAsia="en-GB"/>
              </w:rPr>
              <w:t>□ Encouraged by government</w:t>
            </w:r>
          </w:p>
        </w:tc>
      </w:tr>
      <w:tr w:rsidR="005400D8" w:rsidRPr="00A014FD" w14:paraId="7B1C0688" w14:textId="77777777" w:rsidTr="00704B82">
        <w:trPr>
          <w:trHeight w:val="286"/>
        </w:trPr>
        <w:tc>
          <w:tcPr>
            <w:tcW w:w="9026" w:type="dxa"/>
            <w:shd w:val="clear" w:color="auto" w:fill="FFFFFF"/>
            <w:vAlign w:val="center"/>
          </w:tcPr>
          <w:p w14:paraId="79B6F683" w14:textId="77777777" w:rsidR="005400D8" w:rsidRPr="00A014FD" w:rsidRDefault="005400D8" w:rsidP="00704B82">
            <w:pPr>
              <w:spacing w:line="276" w:lineRule="auto"/>
              <w:jc w:val="left"/>
              <w:rPr>
                <w:rFonts w:eastAsia="宋体"/>
                <w:sz w:val="22"/>
              </w:rPr>
            </w:pPr>
            <w:r w:rsidRPr="00A014FD">
              <w:rPr>
                <w:rFonts w:eastAsia="Times New Roman"/>
                <w:sz w:val="22"/>
                <w:bdr w:val="nil"/>
                <w:lang w:eastAsia="en-GB"/>
              </w:rPr>
              <w:t>□ Promoting the companies’ popularity among the customers.</w:t>
            </w:r>
          </w:p>
        </w:tc>
      </w:tr>
      <w:tr w:rsidR="005400D8" w:rsidRPr="00A014FD" w14:paraId="3EE25C5E" w14:textId="77777777" w:rsidTr="00704B82">
        <w:trPr>
          <w:trHeight w:val="350"/>
        </w:trPr>
        <w:tc>
          <w:tcPr>
            <w:tcW w:w="9026" w:type="dxa"/>
            <w:shd w:val="clear" w:color="auto" w:fill="FFFFFF"/>
          </w:tcPr>
          <w:p w14:paraId="7D3394DA" w14:textId="77777777" w:rsidR="005400D8" w:rsidRPr="00A014FD" w:rsidRDefault="005400D8" w:rsidP="00704B82">
            <w:pPr>
              <w:spacing w:line="276" w:lineRule="auto"/>
              <w:jc w:val="left"/>
              <w:rPr>
                <w:rFonts w:eastAsia="Times New Roman"/>
                <w:sz w:val="22"/>
                <w:bdr w:val="nil"/>
                <w:lang w:eastAsia="en-GB"/>
              </w:rPr>
            </w:pPr>
            <w:r w:rsidRPr="00A014FD">
              <w:rPr>
                <w:rFonts w:eastAsia="Times New Roman"/>
                <w:sz w:val="22"/>
                <w:bdr w:val="nil"/>
                <w:lang w:eastAsia="en-GB"/>
              </w:rPr>
              <w:t xml:space="preserve">□ The consideration for the environmental protection and </w:t>
            </w:r>
            <w:r w:rsidRPr="00A014FD">
              <w:rPr>
                <w:rFonts w:eastAsia="Times New Roman"/>
                <w:noProof/>
                <w:sz w:val="22"/>
                <w:bdr w:val="nil"/>
                <w:lang w:eastAsia="en-GB"/>
              </w:rPr>
              <w:t>social</w:t>
            </w:r>
            <w:r w:rsidRPr="00A014FD">
              <w:rPr>
                <w:rFonts w:eastAsia="Times New Roman"/>
                <w:sz w:val="22"/>
                <w:bdr w:val="nil"/>
                <w:lang w:eastAsia="en-GB"/>
              </w:rPr>
              <w:t xml:space="preserve"> responsibility</w:t>
            </w:r>
          </w:p>
        </w:tc>
      </w:tr>
      <w:tr w:rsidR="005400D8" w:rsidRPr="00A014FD" w14:paraId="131C219B" w14:textId="77777777" w:rsidTr="00704B82">
        <w:trPr>
          <w:trHeight w:val="87"/>
        </w:trPr>
        <w:tc>
          <w:tcPr>
            <w:tcW w:w="9026" w:type="dxa"/>
            <w:shd w:val="clear" w:color="auto" w:fill="FFFFFF"/>
            <w:vAlign w:val="center"/>
          </w:tcPr>
          <w:p w14:paraId="0CFE4EA7" w14:textId="77777777" w:rsidR="005400D8" w:rsidRPr="00A014FD" w:rsidRDefault="005400D8" w:rsidP="00704B82">
            <w:pPr>
              <w:spacing w:line="276" w:lineRule="auto"/>
              <w:jc w:val="left"/>
              <w:rPr>
                <w:rFonts w:eastAsia="Times New Roman"/>
                <w:sz w:val="22"/>
                <w:bdr w:val="nil"/>
                <w:lang w:eastAsia="en-GB"/>
              </w:rPr>
            </w:pPr>
            <w:r w:rsidRPr="00A014FD">
              <w:rPr>
                <w:rFonts w:eastAsia="Times New Roman"/>
                <w:sz w:val="22"/>
                <w:bdr w:val="nil"/>
                <w:lang w:eastAsia="en-GB"/>
              </w:rPr>
              <w:t>□ Other (Please Specify) _____________________________________________________</w:t>
            </w:r>
          </w:p>
        </w:tc>
      </w:tr>
    </w:tbl>
    <w:p w14:paraId="3941EEFB" w14:textId="77777777" w:rsidR="005400D8" w:rsidRPr="00A014FD" w:rsidRDefault="005400D8" w:rsidP="005400D8">
      <w:pPr>
        <w:spacing w:after="160" w:line="259" w:lineRule="auto"/>
        <w:jc w:val="left"/>
        <w:rPr>
          <w:rFonts w:eastAsia="Times New Roman"/>
          <w:b/>
          <w:bCs/>
          <w:bdr w:val="nil"/>
          <w:lang w:eastAsia="en-GB"/>
        </w:rPr>
      </w:pPr>
    </w:p>
    <w:p w14:paraId="3179EB73" w14:textId="77777777" w:rsidR="005400D8" w:rsidRPr="00A014FD" w:rsidRDefault="005400D8" w:rsidP="005400D8">
      <w:pPr>
        <w:spacing w:after="160" w:line="259" w:lineRule="auto"/>
        <w:rPr>
          <w:rFonts w:eastAsia="Times New Roman"/>
          <w:lang w:eastAsia="en-GB"/>
        </w:rPr>
      </w:pPr>
      <w:r w:rsidRPr="00A014FD">
        <w:rPr>
          <w:rFonts w:eastAsia="Times New Roman"/>
          <w:b/>
          <w:bCs/>
          <w:bdr w:val="nil"/>
          <w:lang w:eastAsia="en-GB"/>
        </w:rPr>
        <w:t>D1.5 What kind of measures have the UCC implemented to attract more consumers join this system (You may choose more than one)?</w:t>
      </w:r>
    </w:p>
    <w:tbl>
      <w:tblPr>
        <w:tblStyle w:val="10"/>
        <w:tblW w:w="416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517"/>
      </w:tblGrid>
      <w:tr w:rsidR="005400D8" w:rsidRPr="00A014FD" w14:paraId="1C4064E2" w14:textId="77777777" w:rsidTr="00704B82">
        <w:trPr>
          <w:trHeight w:val="360"/>
        </w:trPr>
        <w:tc>
          <w:tcPr>
            <w:tcW w:w="6917" w:type="dxa"/>
            <w:vAlign w:val="center"/>
          </w:tcPr>
          <w:p w14:paraId="2D4A7392" w14:textId="77777777" w:rsidR="005400D8" w:rsidRPr="00A014FD" w:rsidRDefault="005400D8" w:rsidP="00704B82">
            <w:pPr>
              <w:spacing w:line="276" w:lineRule="auto"/>
              <w:jc w:val="left"/>
              <w:rPr>
                <w:rFonts w:eastAsia="Times New Roman"/>
                <w:sz w:val="22"/>
                <w:lang w:eastAsia="en-GB"/>
              </w:rPr>
            </w:pPr>
            <w:r w:rsidRPr="00A014FD">
              <w:rPr>
                <w:rFonts w:eastAsia="Times New Roman"/>
                <w:sz w:val="22"/>
                <w:lang w:eastAsia="en-GB"/>
              </w:rPr>
              <w:t>□ Commercial advertisement</w:t>
            </w:r>
          </w:p>
        </w:tc>
      </w:tr>
      <w:tr w:rsidR="005400D8" w:rsidRPr="00A014FD" w14:paraId="3BCA8FD9" w14:textId="77777777" w:rsidTr="00704B82">
        <w:trPr>
          <w:trHeight w:val="360"/>
        </w:trPr>
        <w:tc>
          <w:tcPr>
            <w:tcW w:w="6917" w:type="dxa"/>
            <w:vAlign w:val="center"/>
          </w:tcPr>
          <w:p w14:paraId="6D6AF875" w14:textId="77777777" w:rsidR="005400D8" w:rsidRPr="00A014FD" w:rsidRDefault="005400D8" w:rsidP="00704B82">
            <w:pPr>
              <w:spacing w:line="276" w:lineRule="auto"/>
              <w:jc w:val="left"/>
              <w:rPr>
                <w:rFonts w:eastAsia="Times New Roman"/>
                <w:sz w:val="22"/>
                <w:lang w:eastAsia="en-GB"/>
              </w:rPr>
            </w:pPr>
            <w:r w:rsidRPr="00A014FD">
              <w:rPr>
                <w:rFonts w:eastAsia="Times New Roman"/>
                <w:sz w:val="22"/>
                <w:lang w:eastAsia="en-GB"/>
              </w:rPr>
              <w:t>□ Publicity of environmental and social benefit</w:t>
            </w:r>
          </w:p>
        </w:tc>
      </w:tr>
      <w:tr w:rsidR="005400D8" w:rsidRPr="00A014FD" w14:paraId="64C00A54" w14:textId="77777777" w:rsidTr="00704B82">
        <w:trPr>
          <w:trHeight w:val="360"/>
        </w:trPr>
        <w:tc>
          <w:tcPr>
            <w:tcW w:w="6917" w:type="dxa"/>
            <w:vAlign w:val="center"/>
          </w:tcPr>
          <w:p w14:paraId="64FD4EAC" w14:textId="77777777" w:rsidR="005400D8" w:rsidRPr="00A014FD" w:rsidRDefault="005400D8" w:rsidP="00704B82">
            <w:pPr>
              <w:spacing w:line="276" w:lineRule="auto"/>
              <w:jc w:val="left"/>
              <w:rPr>
                <w:rFonts w:eastAsia="Times New Roman"/>
                <w:sz w:val="22"/>
                <w:lang w:eastAsia="en-GB"/>
              </w:rPr>
            </w:pPr>
            <w:r w:rsidRPr="00A014FD">
              <w:rPr>
                <w:rFonts w:eastAsia="Times New Roman"/>
                <w:sz w:val="22"/>
                <w:lang w:eastAsia="en-GB"/>
              </w:rPr>
              <w:t>□ Administrative intervention</w:t>
            </w:r>
          </w:p>
        </w:tc>
      </w:tr>
      <w:tr w:rsidR="005400D8" w:rsidRPr="00A014FD" w14:paraId="13C5ABDA" w14:textId="77777777" w:rsidTr="00704B82">
        <w:trPr>
          <w:trHeight w:val="360"/>
        </w:trPr>
        <w:tc>
          <w:tcPr>
            <w:tcW w:w="6917" w:type="dxa"/>
            <w:vAlign w:val="center"/>
          </w:tcPr>
          <w:p w14:paraId="36591D4C" w14:textId="77777777" w:rsidR="005400D8" w:rsidRPr="00A014FD" w:rsidRDefault="005400D8" w:rsidP="00704B82">
            <w:pPr>
              <w:spacing w:line="276" w:lineRule="auto"/>
              <w:jc w:val="left"/>
              <w:rPr>
                <w:rFonts w:eastAsia="Times New Roman"/>
                <w:sz w:val="22"/>
                <w:lang w:eastAsia="en-GB"/>
              </w:rPr>
            </w:pPr>
            <w:r w:rsidRPr="00A014FD">
              <w:rPr>
                <w:rFonts w:eastAsia="Times New Roman"/>
                <w:sz w:val="22"/>
                <w:lang w:eastAsia="en-GB"/>
              </w:rPr>
              <w:t>□ Competitive pricing</w:t>
            </w:r>
          </w:p>
        </w:tc>
      </w:tr>
      <w:tr w:rsidR="005400D8" w:rsidRPr="00A014FD" w14:paraId="42C86CFB" w14:textId="77777777" w:rsidTr="00704B82">
        <w:trPr>
          <w:trHeight w:val="360"/>
        </w:trPr>
        <w:tc>
          <w:tcPr>
            <w:tcW w:w="6917" w:type="dxa"/>
            <w:vAlign w:val="center"/>
          </w:tcPr>
          <w:p w14:paraId="215E895D" w14:textId="77777777" w:rsidR="005400D8" w:rsidRPr="00A014FD" w:rsidRDefault="005400D8" w:rsidP="00704B82">
            <w:pPr>
              <w:spacing w:line="276" w:lineRule="auto"/>
              <w:jc w:val="left"/>
              <w:rPr>
                <w:rFonts w:eastAsia="Times New Roman"/>
                <w:sz w:val="22"/>
                <w:lang w:eastAsia="en-GB"/>
              </w:rPr>
            </w:pPr>
            <w:r w:rsidRPr="00A014FD">
              <w:rPr>
                <w:rFonts w:eastAsia="Times New Roman"/>
                <w:sz w:val="22"/>
                <w:lang w:eastAsia="en-GB"/>
              </w:rPr>
              <w:t>□ Increase the types of service provides</w:t>
            </w:r>
          </w:p>
        </w:tc>
      </w:tr>
      <w:tr w:rsidR="005400D8" w:rsidRPr="00A014FD" w14:paraId="7678EF97" w14:textId="77777777" w:rsidTr="00704B82">
        <w:trPr>
          <w:trHeight w:val="360"/>
        </w:trPr>
        <w:tc>
          <w:tcPr>
            <w:tcW w:w="6917" w:type="dxa"/>
            <w:vAlign w:val="center"/>
          </w:tcPr>
          <w:p w14:paraId="1E09BBDE" w14:textId="77777777" w:rsidR="005400D8" w:rsidRPr="00A014FD" w:rsidRDefault="005400D8" w:rsidP="00704B82">
            <w:pPr>
              <w:spacing w:line="276" w:lineRule="auto"/>
              <w:jc w:val="left"/>
              <w:rPr>
                <w:rFonts w:eastAsia="Times New Roman"/>
                <w:sz w:val="22"/>
                <w:lang w:eastAsia="en-GB"/>
              </w:rPr>
            </w:pPr>
            <w:r w:rsidRPr="00A014FD">
              <w:rPr>
                <w:rFonts w:eastAsia="Times New Roman"/>
                <w:sz w:val="22"/>
                <w:lang w:eastAsia="en-GB"/>
              </w:rPr>
              <w:lastRenderedPageBreak/>
              <w:t>□ Service quality</w:t>
            </w:r>
          </w:p>
        </w:tc>
      </w:tr>
      <w:tr w:rsidR="005400D8" w:rsidRPr="00A014FD" w14:paraId="5B5962B8" w14:textId="77777777" w:rsidTr="00704B82">
        <w:trPr>
          <w:trHeight w:val="360"/>
        </w:trPr>
        <w:tc>
          <w:tcPr>
            <w:tcW w:w="6917" w:type="dxa"/>
            <w:vAlign w:val="center"/>
          </w:tcPr>
          <w:p w14:paraId="188C59B0" w14:textId="77777777" w:rsidR="005400D8" w:rsidRPr="00A014FD" w:rsidRDefault="005400D8" w:rsidP="00704B82">
            <w:pPr>
              <w:spacing w:line="276" w:lineRule="auto"/>
              <w:jc w:val="left"/>
              <w:rPr>
                <w:rFonts w:eastAsia="Times New Roman"/>
                <w:sz w:val="22"/>
                <w:lang w:eastAsia="en-GB"/>
              </w:rPr>
            </w:pPr>
            <w:r w:rsidRPr="00A014FD">
              <w:rPr>
                <w:rFonts w:eastAsia="Times New Roman"/>
                <w:sz w:val="22"/>
                <w:lang w:eastAsia="en-GB"/>
              </w:rPr>
              <w:t>Other (Please Specify) _________________________________________</w:t>
            </w:r>
          </w:p>
        </w:tc>
      </w:tr>
    </w:tbl>
    <w:p w14:paraId="0F2D0603" w14:textId="77777777" w:rsidR="005400D8" w:rsidRPr="00A014FD" w:rsidRDefault="005400D8" w:rsidP="005400D8">
      <w:pPr>
        <w:spacing w:line="276" w:lineRule="auto"/>
        <w:jc w:val="center"/>
        <w:rPr>
          <w:rFonts w:eastAsia="Times New Roman"/>
          <w:b/>
          <w:bCs/>
          <w:bdr w:val="nil"/>
          <w:lang w:eastAsia="en-GB"/>
        </w:rPr>
      </w:pPr>
    </w:p>
    <w:p w14:paraId="4D4C5A69" w14:textId="77777777" w:rsidR="005400D8" w:rsidRPr="00A014FD" w:rsidRDefault="005400D8" w:rsidP="005400D8">
      <w:pPr>
        <w:spacing w:line="276" w:lineRule="auto"/>
        <w:rPr>
          <w:rFonts w:eastAsia="Times New Roman"/>
          <w:b/>
          <w:bCs/>
          <w:bdr w:val="nil"/>
          <w:lang w:eastAsia="en-GB"/>
        </w:rPr>
      </w:pPr>
      <w:r w:rsidRPr="00A014FD">
        <w:rPr>
          <w:rFonts w:eastAsia="Times New Roman"/>
          <w:b/>
          <w:bCs/>
          <w:bdr w:val="nil"/>
          <w:lang w:eastAsia="en-GB"/>
        </w:rPr>
        <w:t xml:space="preserve">D1.6 Which are the environmental benefits that have </w:t>
      </w:r>
      <w:r w:rsidRPr="00A014FD">
        <w:rPr>
          <w:rFonts w:eastAsia="Times New Roman"/>
          <w:b/>
          <w:bCs/>
          <w:noProof/>
          <w:bdr w:val="nil"/>
          <w:lang w:eastAsia="en-GB"/>
        </w:rPr>
        <w:t>been achieved</w:t>
      </w:r>
      <w:r w:rsidRPr="00A014FD">
        <w:rPr>
          <w:rFonts w:eastAsia="Times New Roman"/>
          <w:b/>
          <w:bCs/>
          <w:bdr w:val="nil"/>
          <w:lang w:eastAsia="en-GB"/>
        </w:rPr>
        <w:t xml:space="preserve"> from establishing this UCC (You may choose more than one)?</w:t>
      </w:r>
    </w:p>
    <w:tbl>
      <w:tblPr>
        <w:tblStyle w:val="10"/>
        <w:tblW w:w="353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78"/>
      </w:tblGrid>
      <w:tr w:rsidR="005400D8" w:rsidRPr="00A014FD" w14:paraId="67D54331" w14:textId="77777777" w:rsidTr="00704B82">
        <w:trPr>
          <w:trHeight w:val="24"/>
        </w:trPr>
        <w:tc>
          <w:tcPr>
            <w:tcW w:w="5869" w:type="dxa"/>
          </w:tcPr>
          <w:p w14:paraId="05354644" w14:textId="77777777" w:rsidR="005400D8" w:rsidRPr="00A014FD" w:rsidRDefault="005400D8" w:rsidP="00704B82">
            <w:pPr>
              <w:spacing w:line="276" w:lineRule="auto"/>
              <w:jc w:val="left"/>
              <w:rPr>
                <w:rFonts w:eastAsia="Times New Roman"/>
                <w:sz w:val="22"/>
                <w:lang w:eastAsia="en-GB"/>
              </w:rPr>
            </w:pPr>
            <w:r w:rsidRPr="00A014FD">
              <w:rPr>
                <w:rFonts w:eastAsia="Times New Roman"/>
                <w:bdr w:val="nil"/>
                <w:lang w:eastAsia="en-GB"/>
              </w:rPr>
              <w:t xml:space="preserve">□ </w:t>
            </w:r>
            <w:r w:rsidRPr="00A014FD">
              <w:rPr>
                <w:rFonts w:eastAsia="Times New Roman"/>
                <w:sz w:val="22"/>
                <w:bdr w:val="nil"/>
                <w:lang w:eastAsia="en-GB"/>
              </w:rPr>
              <w:t>Travel miles reduction</w:t>
            </w:r>
          </w:p>
        </w:tc>
      </w:tr>
      <w:tr w:rsidR="005400D8" w:rsidRPr="00A014FD" w14:paraId="694D4EDB" w14:textId="77777777" w:rsidTr="00704B82">
        <w:trPr>
          <w:trHeight w:val="360"/>
        </w:trPr>
        <w:tc>
          <w:tcPr>
            <w:tcW w:w="5869" w:type="dxa"/>
          </w:tcPr>
          <w:p w14:paraId="7B7F9A3F" w14:textId="77777777" w:rsidR="005400D8" w:rsidRPr="00A014FD" w:rsidRDefault="005400D8" w:rsidP="00704B82">
            <w:pPr>
              <w:spacing w:line="276" w:lineRule="auto"/>
              <w:jc w:val="left"/>
              <w:rPr>
                <w:rFonts w:eastAsia="Times New Roman"/>
                <w:color w:val="333333"/>
                <w:sz w:val="22"/>
                <w:lang w:eastAsia="en-GB"/>
              </w:rPr>
            </w:pPr>
            <w:r w:rsidRPr="00A014FD">
              <w:rPr>
                <w:rFonts w:eastAsia="Times New Roman"/>
                <w:bdr w:val="nil"/>
                <w:lang w:eastAsia="en-GB"/>
              </w:rPr>
              <w:t xml:space="preserve">□ </w:t>
            </w:r>
            <w:r w:rsidRPr="00A014FD">
              <w:rPr>
                <w:rFonts w:eastAsia="Times New Roman"/>
                <w:sz w:val="22"/>
                <w:bdr w:val="nil"/>
                <w:lang w:eastAsia="en-GB"/>
              </w:rPr>
              <w:t>Travel times reduction</w:t>
            </w:r>
          </w:p>
        </w:tc>
      </w:tr>
      <w:tr w:rsidR="005400D8" w:rsidRPr="00A014FD" w14:paraId="38A78653" w14:textId="77777777" w:rsidTr="00704B82">
        <w:trPr>
          <w:trHeight w:val="400"/>
        </w:trPr>
        <w:tc>
          <w:tcPr>
            <w:tcW w:w="5869" w:type="dxa"/>
          </w:tcPr>
          <w:p w14:paraId="55D71E05" w14:textId="77777777" w:rsidR="005400D8" w:rsidRPr="00A014FD" w:rsidRDefault="005400D8" w:rsidP="00704B82">
            <w:pPr>
              <w:spacing w:line="276" w:lineRule="auto"/>
              <w:jc w:val="left"/>
              <w:rPr>
                <w:rFonts w:eastAsia="Times New Roman"/>
                <w:sz w:val="22"/>
                <w:bdr w:val="nil"/>
                <w:lang w:eastAsia="en-GB"/>
              </w:rPr>
            </w:pPr>
            <w:r w:rsidRPr="00A014FD">
              <w:rPr>
                <w:rFonts w:eastAsia="Times New Roman"/>
                <w:bdr w:val="nil"/>
                <w:lang w:eastAsia="en-GB"/>
              </w:rPr>
              <w:t xml:space="preserve">□ </w:t>
            </w:r>
            <w:r w:rsidRPr="00A014FD">
              <w:rPr>
                <w:rFonts w:eastAsia="Times New Roman"/>
                <w:sz w:val="22"/>
                <w:bdr w:val="nil"/>
                <w:lang w:eastAsia="en-GB"/>
              </w:rPr>
              <w:t xml:space="preserve">Reduce the numbers of delivery trips in </w:t>
            </w:r>
            <w:r w:rsidRPr="00A014FD">
              <w:rPr>
                <w:rFonts w:eastAsia="Times New Roman"/>
                <w:noProof/>
                <w:sz w:val="22"/>
                <w:bdr w:val="nil"/>
                <w:lang w:eastAsia="en-GB"/>
              </w:rPr>
              <w:t>urban</w:t>
            </w:r>
            <w:r w:rsidRPr="00A014FD">
              <w:rPr>
                <w:rFonts w:eastAsia="Times New Roman"/>
                <w:sz w:val="22"/>
                <w:bdr w:val="nil"/>
                <w:lang w:eastAsia="en-GB"/>
              </w:rPr>
              <w:t xml:space="preserve"> area</w:t>
            </w:r>
          </w:p>
        </w:tc>
      </w:tr>
      <w:tr w:rsidR="005400D8" w:rsidRPr="00A014FD" w14:paraId="5769A00C" w14:textId="77777777" w:rsidTr="00704B82">
        <w:trPr>
          <w:trHeight w:val="368"/>
        </w:trPr>
        <w:tc>
          <w:tcPr>
            <w:tcW w:w="5869" w:type="dxa"/>
          </w:tcPr>
          <w:p w14:paraId="0DD8F632" w14:textId="77777777" w:rsidR="005400D8" w:rsidRPr="00A014FD" w:rsidRDefault="005400D8" w:rsidP="00704B82">
            <w:pPr>
              <w:spacing w:line="276" w:lineRule="auto"/>
              <w:jc w:val="left"/>
              <w:rPr>
                <w:rFonts w:eastAsia="Times New Roman"/>
                <w:color w:val="333333"/>
                <w:sz w:val="22"/>
                <w:lang w:eastAsia="en-GB"/>
              </w:rPr>
            </w:pPr>
            <w:r w:rsidRPr="00A014FD">
              <w:rPr>
                <w:rFonts w:eastAsia="Times New Roman"/>
                <w:bdr w:val="nil"/>
                <w:lang w:eastAsia="en-GB"/>
              </w:rPr>
              <w:t xml:space="preserve">□ </w:t>
            </w:r>
            <w:r w:rsidRPr="00A014FD">
              <w:rPr>
                <w:rFonts w:eastAsia="Times New Roman"/>
                <w:sz w:val="22"/>
                <w:bdr w:val="nil"/>
                <w:lang w:eastAsia="en-GB"/>
              </w:rPr>
              <w:t>Reduce the gas emission</w:t>
            </w:r>
          </w:p>
        </w:tc>
      </w:tr>
      <w:tr w:rsidR="005400D8" w:rsidRPr="00A014FD" w14:paraId="1C5AFEB2" w14:textId="77777777" w:rsidTr="00704B82">
        <w:trPr>
          <w:trHeight w:val="185"/>
        </w:trPr>
        <w:tc>
          <w:tcPr>
            <w:tcW w:w="5869" w:type="dxa"/>
          </w:tcPr>
          <w:p w14:paraId="0A2DDBEE" w14:textId="77777777" w:rsidR="005400D8" w:rsidRPr="00A014FD" w:rsidRDefault="005400D8" w:rsidP="00704B82">
            <w:pPr>
              <w:spacing w:line="276" w:lineRule="auto"/>
              <w:jc w:val="left"/>
              <w:rPr>
                <w:rFonts w:eastAsia="Times New Roman"/>
                <w:color w:val="333333"/>
                <w:sz w:val="22"/>
                <w:lang w:eastAsia="en-GB"/>
              </w:rPr>
            </w:pPr>
            <w:r w:rsidRPr="00A014FD">
              <w:rPr>
                <w:rFonts w:eastAsia="Times New Roman"/>
                <w:bdr w:val="nil"/>
                <w:lang w:eastAsia="en-GB"/>
              </w:rPr>
              <w:t xml:space="preserve">□ </w:t>
            </w:r>
            <w:r w:rsidRPr="00A014FD">
              <w:rPr>
                <w:rFonts w:eastAsia="Times New Roman"/>
                <w:sz w:val="22"/>
                <w:bdr w:val="nil"/>
                <w:lang w:eastAsia="en-GB"/>
              </w:rPr>
              <w:t>Alleviate congestion</w:t>
            </w:r>
          </w:p>
        </w:tc>
      </w:tr>
      <w:tr w:rsidR="005400D8" w:rsidRPr="00A014FD" w14:paraId="4865CD66" w14:textId="77777777" w:rsidTr="00704B82">
        <w:trPr>
          <w:trHeight w:val="107"/>
        </w:trPr>
        <w:tc>
          <w:tcPr>
            <w:tcW w:w="5869" w:type="dxa"/>
          </w:tcPr>
          <w:p w14:paraId="69E9C635" w14:textId="77777777" w:rsidR="005400D8" w:rsidRPr="00A014FD" w:rsidRDefault="005400D8" w:rsidP="00704B82">
            <w:pPr>
              <w:spacing w:line="276" w:lineRule="auto"/>
              <w:jc w:val="left"/>
              <w:rPr>
                <w:rFonts w:eastAsia="Times New Roman"/>
                <w:color w:val="333333"/>
                <w:sz w:val="22"/>
                <w:lang w:eastAsia="en-GB"/>
              </w:rPr>
            </w:pPr>
            <w:r w:rsidRPr="00A014FD">
              <w:rPr>
                <w:rFonts w:eastAsia="Times New Roman"/>
                <w:bdr w:val="nil"/>
                <w:lang w:eastAsia="en-GB"/>
              </w:rPr>
              <w:t xml:space="preserve">□ </w:t>
            </w:r>
            <w:r w:rsidRPr="00A014FD">
              <w:rPr>
                <w:rFonts w:eastAsia="Times New Roman"/>
                <w:sz w:val="22"/>
                <w:bdr w:val="nil"/>
                <w:lang w:eastAsia="en-GB"/>
              </w:rPr>
              <w:t>Reduce the fossil-fuel consumption</w:t>
            </w:r>
          </w:p>
        </w:tc>
      </w:tr>
      <w:tr w:rsidR="005400D8" w:rsidRPr="00A014FD" w14:paraId="14CBB117" w14:textId="77777777" w:rsidTr="00704B82">
        <w:trPr>
          <w:trHeight w:val="62"/>
        </w:trPr>
        <w:tc>
          <w:tcPr>
            <w:tcW w:w="5869" w:type="dxa"/>
          </w:tcPr>
          <w:p w14:paraId="04859C59" w14:textId="77777777" w:rsidR="005400D8" w:rsidRPr="00A014FD" w:rsidRDefault="005400D8" w:rsidP="00704B82">
            <w:pPr>
              <w:spacing w:line="276" w:lineRule="auto"/>
              <w:jc w:val="left"/>
              <w:rPr>
                <w:rFonts w:eastAsia="Times New Roman"/>
                <w:sz w:val="22"/>
                <w:lang w:eastAsia="en-GB"/>
              </w:rPr>
            </w:pPr>
            <w:r w:rsidRPr="00A014FD">
              <w:rPr>
                <w:rFonts w:eastAsia="Times New Roman"/>
                <w:bdr w:val="nil"/>
                <w:lang w:eastAsia="en-GB"/>
              </w:rPr>
              <w:t xml:space="preserve">□ </w:t>
            </w:r>
            <w:r w:rsidRPr="00A014FD">
              <w:rPr>
                <w:rFonts w:eastAsia="Times New Roman"/>
                <w:sz w:val="22"/>
                <w:lang w:eastAsia="en-GB"/>
              </w:rPr>
              <w:t>Others (Please Specify) ___________________________________</w:t>
            </w:r>
          </w:p>
        </w:tc>
      </w:tr>
    </w:tbl>
    <w:p w14:paraId="65558004" w14:textId="77777777" w:rsidR="005400D8" w:rsidRPr="00A014FD" w:rsidRDefault="005400D8" w:rsidP="005400D8">
      <w:pPr>
        <w:spacing w:after="160" w:line="259" w:lineRule="auto"/>
        <w:jc w:val="left"/>
        <w:rPr>
          <w:rFonts w:eastAsia="Times New Roman"/>
          <w:b/>
          <w:bCs/>
          <w:bdr w:val="nil"/>
          <w:lang w:eastAsia="en-GB"/>
        </w:rPr>
      </w:pPr>
      <w:r w:rsidRPr="00A014FD">
        <w:rPr>
          <w:rFonts w:eastAsia="Times New Roman"/>
          <w:b/>
          <w:bCs/>
          <w:bdr w:val="nil"/>
          <w:lang w:eastAsia="en-GB"/>
        </w:rPr>
        <w:t>D1.7 What kind of building materials are this UCC handling?</w:t>
      </w:r>
    </w:p>
    <w:p w14:paraId="1C1D104B" w14:textId="77777777" w:rsidR="005400D8" w:rsidRPr="00A014FD" w:rsidRDefault="005400D8" w:rsidP="005400D8">
      <w:pPr>
        <w:spacing w:line="276" w:lineRule="auto"/>
        <w:jc w:val="left"/>
        <w:rPr>
          <w:rFonts w:eastAsia="Times New Roman"/>
          <w:bCs/>
          <w:lang w:eastAsia="en-GB"/>
        </w:rPr>
      </w:pPr>
      <w:r w:rsidRPr="00A014FD">
        <w:rPr>
          <w:rFonts w:eastAsia="Times New Roman"/>
          <w:bCs/>
          <w:lang w:eastAsia="en-GB"/>
        </w:rPr>
        <w:t>__________________________________________________________________</w:t>
      </w:r>
    </w:p>
    <w:p w14:paraId="2206C3DF" w14:textId="77777777" w:rsidR="005400D8" w:rsidRPr="00A014FD" w:rsidRDefault="005400D8" w:rsidP="005400D8">
      <w:pPr>
        <w:spacing w:line="276" w:lineRule="auto"/>
        <w:jc w:val="left"/>
        <w:rPr>
          <w:rFonts w:eastAsia="Times New Roman"/>
          <w:b/>
          <w:bCs/>
          <w:bdr w:val="nil"/>
          <w:lang w:eastAsia="en-GB"/>
        </w:rPr>
      </w:pPr>
    </w:p>
    <w:p w14:paraId="78950572" w14:textId="77777777" w:rsidR="005400D8" w:rsidRPr="00A014FD" w:rsidRDefault="005400D8" w:rsidP="005400D8">
      <w:pPr>
        <w:spacing w:line="276" w:lineRule="auto"/>
        <w:jc w:val="left"/>
        <w:rPr>
          <w:rFonts w:eastAsia="Times New Roman"/>
          <w:b/>
          <w:bCs/>
          <w:lang w:eastAsia="en-GB"/>
        </w:rPr>
      </w:pPr>
      <w:r w:rsidRPr="00A014FD">
        <w:rPr>
          <w:rFonts w:eastAsia="Times New Roman"/>
          <w:b/>
          <w:bCs/>
          <w:lang w:eastAsia="en-GB"/>
        </w:rPr>
        <w:t>D1.8 What is the average daily cargo handling quantities of this UCC?</w:t>
      </w:r>
    </w:p>
    <w:p w14:paraId="07FED28A" w14:textId="77777777" w:rsidR="005400D8" w:rsidRPr="00A014FD" w:rsidRDefault="005400D8" w:rsidP="005400D8">
      <w:pPr>
        <w:spacing w:line="276" w:lineRule="auto"/>
        <w:jc w:val="left"/>
        <w:rPr>
          <w:rFonts w:eastAsia="Times New Roman"/>
          <w:bCs/>
          <w:lang w:eastAsia="en-GB"/>
        </w:rPr>
      </w:pPr>
      <w:r w:rsidRPr="00A014FD">
        <w:rPr>
          <w:rFonts w:eastAsia="Times New Roman"/>
          <w:bCs/>
          <w:lang w:eastAsia="en-GB"/>
        </w:rPr>
        <w:t>__________________________________________________________________</w:t>
      </w:r>
    </w:p>
    <w:p w14:paraId="55DFAFCE" w14:textId="77777777" w:rsidR="005400D8" w:rsidRPr="00A014FD" w:rsidRDefault="005400D8" w:rsidP="005400D8">
      <w:pPr>
        <w:spacing w:line="276" w:lineRule="auto"/>
        <w:jc w:val="left"/>
        <w:rPr>
          <w:rFonts w:eastAsia="Times New Roman"/>
          <w:bCs/>
          <w:lang w:eastAsia="en-GB"/>
        </w:rPr>
      </w:pPr>
    </w:p>
    <w:p w14:paraId="01684A1B" w14:textId="77777777" w:rsidR="005400D8" w:rsidRPr="00A014FD" w:rsidRDefault="005400D8" w:rsidP="005400D8">
      <w:pPr>
        <w:spacing w:line="276" w:lineRule="auto"/>
        <w:jc w:val="left"/>
        <w:rPr>
          <w:rFonts w:eastAsia="Times New Roman"/>
          <w:b/>
          <w:bCs/>
          <w:lang w:eastAsia="en-GB"/>
        </w:rPr>
      </w:pPr>
      <w:r w:rsidRPr="00A014FD">
        <w:rPr>
          <w:rFonts w:eastAsia="Times New Roman"/>
          <w:b/>
          <w:bCs/>
          <w:lang w:eastAsia="en-GB"/>
        </w:rPr>
        <w:t>D1.9 What is the facility size of this UCC?</w:t>
      </w:r>
    </w:p>
    <w:p w14:paraId="18EFA03D" w14:textId="77777777" w:rsidR="005400D8" w:rsidRPr="00A014FD" w:rsidRDefault="005400D8" w:rsidP="005400D8">
      <w:pPr>
        <w:spacing w:line="276" w:lineRule="auto"/>
        <w:jc w:val="left"/>
        <w:rPr>
          <w:rFonts w:eastAsia="Times New Roman"/>
          <w:bCs/>
          <w:lang w:eastAsia="en-GB"/>
        </w:rPr>
      </w:pPr>
      <w:r w:rsidRPr="00A014FD">
        <w:rPr>
          <w:rFonts w:eastAsia="Times New Roman"/>
          <w:bCs/>
          <w:lang w:eastAsia="en-GB"/>
        </w:rPr>
        <w:t>__________________________________________________________________</w:t>
      </w:r>
    </w:p>
    <w:p w14:paraId="3BE30101" w14:textId="77777777" w:rsidR="005400D8" w:rsidRPr="00A014FD" w:rsidRDefault="005400D8" w:rsidP="005400D8">
      <w:pPr>
        <w:spacing w:line="276" w:lineRule="auto"/>
        <w:jc w:val="left"/>
        <w:rPr>
          <w:rFonts w:eastAsia="Times New Roman"/>
          <w:bCs/>
          <w:lang w:eastAsia="en-GB"/>
        </w:rPr>
      </w:pPr>
    </w:p>
    <w:p w14:paraId="0EAA553A" w14:textId="77777777" w:rsidR="005400D8" w:rsidRPr="00A014FD" w:rsidRDefault="005400D8" w:rsidP="005400D8">
      <w:pPr>
        <w:spacing w:line="276" w:lineRule="auto"/>
        <w:jc w:val="left"/>
        <w:rPr>
          <w:rFonts w:eastAsia="Times New Roman"/>
          <w:b/>
          <w:bCs/>
          <w:lang w:eastAsia="en-GB"/>
        </w:rPr>
      </w:pPr>
      <w:r w:rsidRPr="00A014FD">
        <w:rPr>
          <w:rFonts w:eastAsia="Times New Roman"/>
          <w:b/>
          <w:bCs/>
          <w:lang w:eastAsia="en-GB"/>
        </w:rPr>
        <w:t>D1.10 How many trucks do you have? What is the Percentage of the alternative vehicle?</w:t>
      </w:r>
    </w:p>
    <w:p w14:paraId="37944360" w14:textId="77777777" w:rsidR="005400D8" w:rsidRPr="00A014FD" w:rsidRDefault="005400D8" w:rsidP="005400D8">
      <w:pPr>
        <w:spacing w:line="276" w:lineRule="auto"/>
        <w:jc w:val="left"/>
        <w:rPr>
          <w:rFonts w:eastAsia="Times New Roman"/>
          <w:bCs/>
          <w:lang w:eastAsia="en-GB"/>
        </w:rPr>
      </w:pPr>
      <w:r w:rsidRPr="00A014FD">
        <w:rPr>
          <w:rFonts w:eastAsia="Times New Roman"/>
          <w:bCs/>
          <w:lang w:eastAsia="en-GB"/>
        </w:rPr>
        <w:t xml:space="preserve">__________________________________________________________________ </w:t>
      </w:r>
    </w:p>
    <w:p w14:paraId="4DE98148" w14:textId="77777777" w:rsidR="005400D8" w:rsidRPr="00A014FD" w:rsidRDefault="005400D8" w:rsidP="005400D8">
      <w:pPr>
        <w:spacing w:line="276" w:lineRule="auto"/>
        <w:jc w:val="left"/>
        <w:rPr>
          <w:rFonts w:eastAsia="Times New Roman"/>
          <w:b/>
          <w:bCs/>
          <w:lang w:eastAsia="en-GB"/>
        </w:rPr>
      </w:pPr>
      <w:r w:rsidRPr="00A014FD">
        <w:rPr>
          <w:rFonts w:eastAsia="Times New Roman"/>
          <w:b/>
          <w:bCs/>
          <w:lang w:eastAsia="en-GB"/>
        </w:rPr>
        <w:t>D1.11 What is the average truck loading rate of each delivery trip.</w:t>
      </w:r>
    </w:p>
    <w:p w14:paraId="121184F8" w14:textId="77777777" w:rsidR="005400D8" w:rsidRPr="00A014FD" w:rsidRDefault="005400D8" w:rsidP="005400D8">
      <w:pPr>
        <w:spacing w:line="276" w:lineRule="auto"/>
        <w:jc w:val="left"/>
        <w:rPr>
          <w:rFonts w:eastAsia="Times New Roman"/>
          <w:bCs/>
          <w:lang w:eastAsia="en-GB"/>
        </w:rPr>
      </w:pPr>
      <w:r w:rsidRPr="00A014FD">
        <w:rPr>
          <w:rFonts w:eastAsia="Times New Roman"/>
          <w:bCs/>
          <w:lang w:eastAsia="en-GB"/>
        </w:rPr>
        <w:t xml:space="preserve">__________________________________________________________________ </w:t>
      </w:r>
    </w:p>
    <w:p w14:paraId="4526E174" w14:textId="77777777" w:rsidR="005400D8" w:rsidRPr="00A014FD" w:rsidRDefault="005400D8" w:rsidP="005400D8">
      <w:pPr>
        <w:spacing w:line="276" w:lineRule="auto"/>
        <w:jc w:val="left"/>
        <w:rPr>
          <w:rFonts w:eastAsia="Times New Roman"/>
          <w:b/>
          <w:bCs/>
          <w:lang w:eastAsia="en-GB"/>
        </w:rPr>
      </w:pPr>
    </w:p>
    <w:p w14:paraId="7FA4044A" w14:textId="77777777" w:rsidR="005400D8" w:rsidRPr="00A014FD" w:rsidRDefault="005400D8" w:rsidP="005400D8">
      <w:pPr>
        <w:spacing w:line="276" w:lineRule="auto"/>
        <w:jc w:val="left"/>
        <w:rPr>
          <w:rFonts w:eastAsia="Times New Roman"/>
          <w:b/>
          <w:bCs/>
          <w:lang w:eastAsia="en-GB"/>
        </w:rPr>
      </w:pPr>
      <w:r w:rsidRPr="00A014FD">
        <w:rPr>
          <w:rFonts w:eastAsia="Times New Roman"/>
          <w:b/>
          <w:bCs/>
          <w:lang w:eastAsia="en-GB"/>
        </w:rPr>
        <w:t>D1.12 Are there more than one delivery trip in a day?</w:t>
      </w:r>
    </w:p>
    <w:p w14:paraId="52459354" w14:textId="77777777" w:rsidR="005400D8" w:rsidRPr="00A014FD" w:rsidRDefault="005400D8" w:rsidP="005400D8">
      <w:pPr>
        <w:spacing w:line="276" w:lineRule="auto"/>
        <w:jc w:val="left"/>
        <w:rPr>
          <w:rFonts w:eastAsia="Times New Roman"/>
          <w:sz w:val="22"/>
          <w:bdr w:val="nil"/>
          <w:lang w:eastAsia="en-GB"/>
        </w:rPr>
      </w:pPr>
      <w:r w:rsidRPr="00A014FD">
        <w:rPr>
          <w:rFonts w:eastAsia="Times New Roman"/>
          <w:sz w:val="22"/>
          <w:bdr w:val="nil"/>
          <w:lang w:eastAsia="en-GB"/>
        </w:rPr>
        <w:t>□ Yes</w:t>
      </w:r>
    </w:p>
    <w:p w14:paraId="5231CE83" w14:textId="77777777" w:rsidR="005400D8" w:rsidRPr="00A014FD" w:rsidRDefault="005400D8" w:rsidP="005400D8">
      <w:pPr>
        <w:spacing w:line="276" w:lineRule="auto"/>
        <w:jc w:val="left"/>
        <w:rPr>
          <w:rFonts w:eastAsia="Times New Roman"/>
          <w:sz w:val="22"/>
          <w:bdr w:val="nil"/>
          <w:lang w:eastAsia="en-GB"/>
        </w:rPr>
      </w:pPr>
      <w:r w:rsidRPr="00A014FD">
        <w:rPr>
          <w:rFonts w:eastAsia="Times New Roman"/>
          <w:sz w:val="22"/>
          <w:bdr w:val="nil"/>
          <w:lang w:eastAsia="en-GB"/>
        </w:rPr>
        <w:t>□ No</w:t>
      </w:r>
      <w:r w:rsidRPr="00A014FD">
        <w:rPr>
          <w:rFonts w:eastAsia="Times New Roman"/>
          <w:b/>
          <w:bCs/>
          <w:noProof/>
          <w:lang w:eastAsia="en-GB"/>
        </w:rPr>
        <w:t xml:space="preserve"> </w:t>
      </w:r>
    </w:p>
    <w:p w14:paraId="5BCC5EFD" w14:textId="77777777" w:rsidR="005400D8" w:rsidRPr="00A014FD" w:rsidRDefault="005400D8" w:rsidP="005400D8">
      <w:pPr>
        <w:spacing w:line="276" w:lineRule="auto"/>
        <w:jc w:val="left"/>
        <w:rPr>
          <w:rFonts w:eastAsia="Times New Roman"/>
          <w:b/>
          <w:bCs/>
          <w:lang w:eastAsia="en-GB"/>
        </w:rPr>
      </w:pPr>
    </w:p>
    <w:p w14:paraId="4A650339" w14:textId="77777777" w:rsidR="005400D8" w:rsidRPr="00A014FD" w:rsidRDefault="005400D8" w:rsidP="005400D8">
      <w:pPr>
        <w:spacing w:line="276" w:lineRule="auto"/>
        <w:jc w:val="left"/>
        <w:rPr>
          <w:rFonts w:eastAsia="Times New Roman"/>
          <w:b/>
          <w:bCs/>
          <w:lang w:eastAsia="en-GB"/>
        </w:rPr>
      </w:pPr>
      <w:r w:rsidRPr="00A014FD">
        <w:rPr>
          <w:rFonts w:eastAsia="Times New Roman"/>
          <w:b/>
          <w:bCs/>
          <w:lang w:eastAsia="en-GB"/>
        </w:rPr>
        <w:t xml:space="preserve">D1.13 Have </w:t>
      </w:r>
      <w:r w:rsidRPr="00A014FD">
        <w:rPr>
          <w:rFonts w:eastAsia="Times New Roman"/>
          <w:b/>
          <w:bCs/>
          <w:noProof/>
          <w:lang w:eastAsia="en-GB"/>
        </w:rPr>
        <w:t>you</w:t>
      </w:r>
      <w:r w:rsidRPr="00A014FD">
        <w:rPr>
          <w:rFonts w:eastAsia="Times New Roman"/>
          <w:b/>
          <w:bCs/>
          <w:lang w:eastAsia="en-GB"/>
        </w:rPr>
        <w:t xml:space="preserve"> </w:t>
      </w:r>
      <w:r w:rsidRPr="00A014FD">
        <w:rPr>
          <w:rFonts w:eastAsia="Times New Roman"/>
          <w:b/>
          <w:bCs/>
          <w:noProof/>
          <w:lang w:eastAsia="en-GB"/>
        </w:rPr>
        <w:t>organised</w:t>
      </w:r>
      <w:r w:rsidRPr="00A014FD">
        <w:rPr>
          <w:rFonts w:eastAsia="Times New Roman"/>
          <w:b/>
          <w:bCs/>
          <w:lang w:eastAsia="en-GB"/>
        </w:rPr>
        <w:t xml:space="preserve"> the travel routing before the delivery process in </w:t>
      </w:r>
      <w:r w:rsidRPr="00A014FD">
        <w:rPr>
          <w:rFonts w:eastAsia="Times New Roman"/>
          <w:b/>
          <w:bCs/>
          <w:noProof/>
          <w:lang w:eastAsia="en-GB"/>
        </w:rPr>
        <w:t>urban</w:t>
      </w:r>
      <w:r w:rsidRPr="00A014FD">
        <w:rPr>
          <w:rFonts w:eastAsia="Times New Roman"/>
          <w:b/>
          <w:bCs/>
          <w:lang w:eastAsia="en-GB"/>
        </w:rPr>
        <w:t xml:space="preserve"> area?</w:t>
      </w:r>
    </w:p>
    <w:p w14:paraId="20399074" w14:textId="77777777" w:rsidR="005400D8" w:rsidRPr="00A014FD" w:rsidRDefault="005400D8" w:rsidP="005400D8">
      <w:pPr>
        <w:spacing w:line="276" w:lineRule="auto"/>
        <w:jc w:val="left"/>
        <w:rPr>
          <w:rFonts w:eastAsia="Times New Roman"/>
          <w:sz w:val="22"/>
          <w:bdr w:val="nil"/>
          <w:lang w:eastAsia="en-GB"/>
        </w:rPr>
      </w:pPr>
      <w:r w:rsidRPr="00A014FD">
        <w:rPr>
          <w:rFonts w:eastAsia="Times New Roman"/>
          <w:sz w:val="22"/>
          <w:bdr w:val="nil"/>
          <w:lang w:eastAsia="en-GB"/>
        </w:rPr>
        <w:t>□ Yes</w:t>
      </w:r>
    </w:p>
    <w:p w14:paraId="5B677773" w14:textId="77777777" w:rsidR="005400D8" w:rsidRPr="00A014FD" w:rsidRDefault="005400D8" w:rsidP="005400D8">
      <w:pPr>
        <w:spacing w:line="276" w:lineRule="auto"/>
        <w:jc w:val="left"/>
        <w:rPr>
          <w:rFonts w:eastAsia="Times New Roman"/>
          <w:sz w:val="22"/>
          <w:bdr w:val="nil"/>
          <w:lang w:eastAsia="en-GB"/>
        </w:rPr>
      </w:pPr>
      <w:r w:rsidRPr="00A014FD">
        <w:rPr>
          <w:rFonts w:eastAsia="Times New Roman"/>
          <w:sz w:val="22"/>
          <w:bdr w:val="nil"/>
          <w:lang w:eastAsia="en-GB"/>
        </w:rPr>
        <w:t>□ No</w:t>
      </w:r>
    </w:p>
    <w:p w14:paraId="2B5E514B" w14:textId="77777777" w:rsidR="005400D8" w:rsidRPr="00A014FD" w:rsidRDefault="005400D8" w:rsidP="005400D8">
      <w:pPr>
        <w:spacing w:line="276" w:lineRule="auto"/>
        <w:jc w:val="left"/>
        <w:rPr>
          <w:rFonts w:eastAsia="Times New Roman"/>
          <w:b/>
          <w:bCs/>
          <w:lang w:eastAsia="en-GB"/>
        </w:rPr>
      </w:pPr>
      <w:r w:rsidRPr="00A014FD">
        <w:rPr>
          <w:rFonts w:eastAsia="Times New Roman"/>
          <w:b/>
          <w:bCs/>
          <w:lang w:eastAsia="en-GB"/>
        </w:rPr>
        <w:t xml:space="preserve">D1.14 Do </w:t>
      </w:r>
      <w:r w:rsidRPr="00A014FD">
        <w:rPr>
          <w:rFonts w:eastAsia="Times New Roman"/>
          <w:b/>
          <w:bCs/>
          <w:noProof/>
          <w:lang w:eastAsia="en-GB"/>
        </w:rPr>
        <w:t>you</w:t>
      </w:r>
      <w:r w:rsidRPr="00A014FD">
        <w:rPr>
          <w:rFonts w:eastAsia="Times New Roman"/>
          <w:b/>
          <w:bCs/>
          <w:lang w:eastAsia="en-GB"/>
        </w:rPr>
        <w:t xml:space="preserve"> ship goods </w:t>
      </w:r>
      <w:r w:rsidRPr="00A014FD">
        <w:rPr>
          <w:rFonts w:eastAsia="Times New Roman"/>
          <w:b/>
          <w:bCs/>
          <w:noProof/>
          <w:lang w:eastAsia="en-GB"/>
        </w:rPr>
        <w:t>on the weekend</w:t>
      </w:r>
      <w:r w:rsidRPr="00A014FD">
        <w:rPr>
          <w:rFonts w:eastAsia="Times New Roman"/>
          <w:b/>
          <w:bCs/>
          <w:lang w:eastAsia="en-GB"/>
        </w:rPr>
        <w:t>/holiday?</w:t>
      </w:r>
    </w:p>
    <w:p w14:paraId="5C616DE8" w14:textId="77777777" w:rsidR="005400D8" w:rsidRPr="00A014FD" w:rsidRDefault="005400D8" w:rsidP="005400D8">
      <w:pPr>
        <w:spacing w:line="276" w:lineRule="auto"/>
        <w:jc w:val="left"/>
        <w:rPr>
          <w:rFonts w:eastAsia="Times New Roman"/>
          <w:sz w:val="22"/>
          <w:bdr w:val="nil"/>
          <w:lang w:eastAsia="en-GB"/>
        </w:rPr>
      </w:pPr>
      <w:r w:rsidRPr="00A014FD">
        <w:rPr>
          <w:rFonts w:eastAsia="Times New Roman"/>
          <w:sz w:val="22"/>
          <w:bdr w:val="nil"/>
          <w:lang w:eastAsia="en-GB"/>
        </w:rPr>
        <w:t>□ Yes</w:t>
      </w:r>
    </w:p>
    <w:p w14:paraId="20C237F2" w14:textId="77777777" w:rsidR="005400D8" w:rsidRPr="00A014FD" w:rsidRDefault="005400D8" w:rsidP="005400D8">
      <w:pPr>
        <w:spacing w:line="276" w:lineRule="auto"/>
        <w:jc w:val="left"/>
        <w:rPr>
          <w:rFonts w:eastAsia="Times New Roman"/>
          <w:sz w:val="22"/>
          <w:bdr w:val="nil"/>
          <w:lang w:eastAsia="en-GB"/>
        </w:rPr>
      </w:pPr>
      <w:r w:rsidRPr="00A014FD">
        <w:rPr>
          <w:rFonts w:eastAsia="Times New Roman"/>
          <w:sz w:val="22"/>
          <w:bdr w:val="nil"/>
          <w:lang w:eastAsia="en-GB"/>
        </w:rPr>
        <w:t>□ No</w:t>
      </w:r>
    </w:p>
    <w:p w14:paraId="55E91083" w14:textId="77777777" w:rsidR="005400D8" w:rsidRPr="00A014FD" w:rsidRDefault="005400D8" w:rsidP="005400D8">
      <w:pPr>
        <w:spacing w:line="240" w:lineRule="auto"/>
        <w:jc w:val="left"/>
        <w:rPr>
          <w:rFonts w:eastAsia="宋体"/>
          <w:b/>
          <w:color w:val="4F81BD"/>
          <w:sz w:val="30"/>
          <w:szCs w:val="26"/>
        </w:rPr>
      </w:pPr>
      <w:r w:rsidRPr="00A014FD">
        <w:rPr>
          <w:rFonts w:eastAsia="宋体"/>
          <w:b/>
          <w:color w:val="4F81BD"/>
          <w:sz w:val="30"/>
          <w:szCs w:val="26"/>
        </w:rPr>
        <w:br w:type="page"/>
      </w:r>
    </w:p>
    <w:p w14:paraId="692B4402" w14:textId="6C168354" w:rsidR="005400D8" w:rsidRPr="00A014FD" w:rsidRDefault="005400D8" w:rsidP="005400D8">
      <w:pPr>
        <w:pStyle w:val="Heading2"/>
        <w:numPr>
          <w:ilvl w:val="0"/>
          <w:numId w:val="0"/>
        </w:numPr>
        <w:spacing w:after="120"/>
        <w:ind w:left="576" w:hanging="576"/>
      </w:pPr>
      <w:bookmarkStart w:id="1270" w:name="_Toc46053522"/>
      <w:bookmarkStart w:id="1271" w:name="_Toc46093436"/>
      <w:bookmarkStart w:id="1272" w:name="_Toc46093719"/>
      <w:bookmarkStart w:id="1273" w:name="_Toc66703295"/>
      <w:r w:rsidRPr="00A014FD">
        <w:lastRenderedPageBreak/>
        <w:t>Appendix V</w:t>
      </w:r>
      <w:r w:rsidR="007D1AE2">
        <w:rPr>
          <w:rFonts w:hint="eastAsia"/>
        </w:rPr>
        <w:t>I</w:t>
      </w:r>
      <w:r w:rsidRPr="00A014FD">
        <w:t xml:space="preserve"> – Pairwise Comparison Matrix</w:t>
      </w:r>
      <w:bookmarkEnd w:id="1270"/>
      <w:bookmarkEnd w:id="1271"/>
      <w:bookmarkEnd w:id="1272"/>
      <w:bookmarkEnd w:id="1273"/>
    </w:p>
    <w:p w14:paraId="3BDCF970" w14:textId="77777777" w:rsidR="005400D8" w:rsidRPr="00A014FD" w:rsidRDefault="005400D8" w:rsidP="005400D8">
      <w:pPr>
        <w:keepNext/>
        <w:shd w:val="clear" w:color="auto" w:fill="D9D9D9" w:themeFill="background1" w:themeFillShade="D9"/>
        <w:rPr>
          <w:b/>
          <w:sz w:val="28"/>
          <w:szCs w:val="28"/>
        </w:rPr>
      </w:pPr>
      <w:r w:rsidRPr="00A014FD">
        <w:rPr>
          <w:b/>
          <w:sz w:val="28"/>
          <w:szCs w:val="28"/>
        </w:rPr>
        <w:t>EVERYONE TO COMPLETE THIS SECTION</w:t>
      </w:r>
    </w:p>
    <w:p w14:paraId="275A0911" w14:textId="77777777" w:rsidR="005400D8" w:rsidRPr="00A014FD" w:rsidRDefault="005400D8" w:rsidP="005400D8">
      <w:pPr>
        <w:keepNext/>
        <w:shd w:val="clear" w:color="auto" w:fill="D9D9D9" w:themeFill="background1" w:themeFillShade="D9"/>
        <w:jc w:val="center"/>
        <w:rPr>
          <w:b/>
          <w:sz w:val="28"/>
          <w:szCs w:val="28"/>
        </w:rPr>
      </w:pPr>
      <w:r w:rsidRPr="00A014FD">
        <w:rPr>
          <w:b/>
          <w:sz w:val="28"/>
          <w:szCs w:val="28"/>
        </w:rPr>
        <w:t>SECTION E: Pairwise Comparison</w:t>
      </w:r>
    </w:p>
    <w:p w14:paraId="441AA0AD" w14:textId="77777777" w:rsidR="005400D8" w:rsidRPr="00A014FD" w:rsidRDefault="005400D8" w:rsidP="005400D8">
      <w:pPr>
        <w:rPr>
          <w:i/>
        </w:rPr>
      </w:pPr>
      <w:r w:rsidRPr="00A014FD">
        <w:rPr>
          <w:i/>
        </w:rPr>
        <w:t xml:space="preserve">INDEX: Please pairwise compare each of the indicators through the following values </w:t>
      </w:r>
    </w:p>
    <w:p w14:paraId="4C92DBF9" w14:textId="77777777" w:rsidR="005400D8" w:rsidRPr="00A014FD" w:rsidRDefault="005400D8" w:rsidP="005400D8">
      <w:pPr>
        <w:rPr>
          <w:i/>
          <w:sz w:val="22"/>
        </w:rPr>
      </w:pPr>
    </w:p>
    <w:tbl>
      <w:tblPr>
        <w:tblStyle w:val="TableGrid"/>
        <w:tblW w:w="9067" w:type="dxa"/>
        <w:tblLook w:val="04A0" w:firstRow="1" w:lastRow="0" w:firstColumn="1" w:lastColumn="0" w:noHBand="0" w:noVBand="1"/>
      </w:tblPr>
      <w:tblGrid>
        <w:gridCol w:w="894"/>
        <w:gridCol w:w="3421"/>
        <w:gridCol w:w="4752"/>
      </w:tblGrid>
      <w:tr w:rsidR="005400D8" w:rsidRPr="00A014FD" w14:paraId="393B269F" w14:textId="77777777" w:rsidTr="00704B82">
        <w:tc>
          <w:tcPr>
            <w:tcW w:w="894" w:type="dxa"/>
          </w:tcPr>
          <w:p w14:paraId="390DB21B" w14:textId="77777777" w:rsidR="005400D8" w:rsidRPr="00A014FD" w:rsidRDefault="005400D8" w:rsidP="00704B82">
            <w:pPr>
              <w:spacing w:line="240" w:lineRule="auto"/>
              <w:rPr>
                <w:sz w:val="22"/>
              </w:rPr>
            </w:pPr>
            <w:r w:rsidRPr="00A014FD">
              <w:rPr>
                <w:sz w:val="22"/>
              </w:rPr>
              <w:t xml:space="preserve">Value </w:t>
            </w:r>
          </w:p>
        </w:tc>
        <w:tc>
          <w:tcPr>
            <w:tcW w:w="3421" w:type="dxa"/>
          </w:tcPr>
          <w:p w14:paraId="5D7676B2" w14:textId="77777777" w:rsidR="005400D8" w:rsidRPr="00A014FD" w:rsidRDefault="005400D8" w:rsidP="00704B82">
            <w:pPr>
              <w:spacing w:line="240" w:lineRule="auto"/>
              <w:rPr>
                <w:sz w:val="22"/>
              </w:rPr>
            </w:pPr>
            <w:r w:rsidRPr="00A014FD">
              <w:rPr>
                <w:sz w:val="22"/>
              </w:rPr>
              <w:t>Definition of the Value</w:t>
            </w:r>
          </w:p>
        </w:tc>
        <w:tc>
          <w:tcPr>
            <w:tcW w:w="4752" w:type="dxa"/>
          </w:tcPr>
          <w:p w14:paraId="24B4700B" w14:textId="77777777" w:rsidR="005400D8" w:rsidRPr="00A014FD" w:rsidRDefault="005400D8" w:rsidP="00704B82">
            <w:pPr>
              <w:spacing w:line="240" w:lineRule="auto"/>
              <w:rPr>
                <w:sz w:val="22"/>
              </w:rPr>
            </w:pPr>
            <w:r w:rsidRPr="00A014FD">
              <w:rPr>
                <w:sz w:val="22"/>
              </w:rPr>
              <w:t>Interpretation</w:t>
            </w:r>
          </w:p>
        </w:tc>
      </w:tr>
      <w:tr w:rsidR="005400D8" w:rsidRPr="00A014FD" w14:paraId="705DFC05" w14:textId="77777777" w:rsidTr="00704B82">
        <w:tc>
          <w:tcPr>
            <w:tcW w:w="894" w:type="dxa"/>
          </w:tcPr>
          <w:p w14:paraId="2D456653" w14:textId="77777777" w:rsidR="005400D8" w:rsidRPr="00A014FD" w:rsidRDefault="005400D8" w:rsidP="00704B82">
            <w:pPr>
              <w:spacing w:line="240" w:lineRule="auto"/>
              <w:rPr>
                <w:sz w:val="22"/>
              </w:rPr>
            </w:pPr>
            <w:r w:rsidRPr="00A014FD">
              <w:rPr>
                <w:sz w:val="22"/>
              </w:rPr>
              <w:t>1</w:t>
            </w:r>
          </w:p>
        </w:tc>
        <w:tc>
          <w:tcPr>
            <w:tcW w:w="3421" w:type="dxa"/>
          </w:tcPr>
          <w:p w14:paraId="5A733958" w14:textId="77777777" w:rsidR="005400D8" w:rsidRPr="00A014FD" w:rsidRDefault="005400D8" w:rsidP="00704B82">
            <w:pPr>
              <w:spacing w:line="240" w:lineRule="auto"/>
              <w:rPr>
                <w:sz w:val="22"/>
              </w:rPr>
            </w:pPr>
            <w:r w:rsidRPr="00A014FD">
              <w:rPr>
                <w:sz w:val="22"/>
              </w:rPr>
              <w:t>Equal Important</w:t>
            </w:r>
          </w:p>
        </w:tc>
        <w:tc>
          <w:tcPr>
            <w:tcW w:w="4752" w:type="dxa"/>
          </w:tcPr>
          <w:p w14:paraId="116BD1D8" w14:textId="77777777" w:rsidR="005400D8" w:rsidRPr="00A014FD" w:rsidRDefault="005400D8" w:rsidP="00704B82">
            <w:pPr>
              <w:spacing w:line="240" w:lineRule="auto"/>
              <w:rPr>
                <w:sz w:val="22"/>
              </w:rPr>
            </w:pPr>
            <w:r w:rsidRPr="00A014FD">
              <w:rPr>
                <w:sz w:val="22"/>
              </w:rPr>
              <w:t xml:space="preserve">Criterion </w:t>
            </w:r>
            <w:r w:rsidRPr="00A014FD">
              <w:rPr>
                <w:noProof/>
                <w:sz w:val="22"/>
              </w:rPr>
              <w:t>i and Criterion j</w:t>
            </w:r>
            <w:r w:rsidRPr="00A014FD">
              <w:rPr>
                <w:sz w:val="22"/>
              </w:rPr>
              <w:t xml:space="preserve"> are equally important</w:t>
            </w:r>
          </w:p>
        </w:tc>
      </w:tr>
      <w:tr w:rsidR="005400D8" w:rsidRPr="00A014FD" w14:paraId="21AA6AC5" w14:textId="77777777" w:rsidTr="00704B82">
        <w:tc>
          <w:tcPr>
            <w:tcW w:w="894" w:type="dxa"/>
          </w:tcPr>
          <w:p w14:paraId="609A40A1" w14:textId="77777777" w:rsidR="005400D8" w:rsidRPr="00A014FD" w:rsidRDefault="005400D8" w:rsidP="00704B82">
            <w:pPr>
              <w:spacing w:line="240" w:lineRule="auto"/>
              <w:rPr>
                <w:sz w:val="22"/>
              </w:rPr>
            </w:pPr>
            <w:r w:rsidRPr="00A014FD">
              <w:rPr>
                <w:sz w:val="22"/>
              </w:rPr>
              <w:t>3</w:t>
            </w:r>
          </w:p>
        </w:tc>
        <w:tc>
          <w:tcPr>
            <w:tcW w:w="3421" w:type="dxa"/>
          </w:tcPr>
          <w:p w14:paraId="18AE4139" w14:textId="77777777" w:rsidR="005400D8" w:rsidRPr="00A014FD" w:rsidRDefault="005400D8" w:rsidP="00704B82">
            <w:pPr>
              <w:spacing w:line="240" w:lineRule="auto"/>
              <w:rPr>
                <w:sz w:val="22"/>
              </w:rPr>
            </w:pPr>
            <w:r w:rsidRPr="00A014FD">
              <w:rPr>
                <w:sz w:val="22"/>
              </w:rPr>
              <w:t>Weak importance over one another</w:t>
            </w:r>
          </w:p>
        </w:tc>
        <w:tc>
          <w:tcPr>
            <w:tcW w:w="4752" w:type="dxa"/>
          </w:tcPr>
          <w:p w14:paraId="7008EE49" w14:textId="77777777" w:rsidR="005400D8" w:rsidRPr="00A014FD" w:rsidRDefault="005400D8" w:rsidP="00704B82">
            <w:pPr>
              <w:spacing w:line="240" w:lineRule="auto"/>
              <w:rPr>
                <w:sz w:val="22"/>
              </w:rPr>
            </w:pPr>
            <w:r w:rsidRPr="00A014FD">
              <w:rPr>
                <w:sz w:val="22"/>
              </w:rPr>
              <w:t xml:space="preserve">Criterion </w:t>
            </w:r>
            <w:proofErr w:type="spellStart"/>
            <w:r w:rsidRPr="00A014FD">
              <w:rPr>
                <w:sz w:val="22"/>
              </w:rPr>
              <w:t>i</w:t>
            </w:r>
            <w:proofErr w:type="spellEnd"/>
            <w:r w:rsidRPr="00A014FD">
              <w:rPr>
                <w:sz w:val="22"/>
              </w:rPr>
              <w:t xml:space="preserve"> is slightly more important than Criterion j</w:t>
            </w:r>
          </w:p>
        </w:tc>
      </w:tr>
      <w:tr w:rsidR="005400D8" w:rsidRPr="00A014FD" w14:paraId="20A058DD" w14:textId="77777777" w:rsidTr="00704B82">
        <w:tc>
          <w:tcPr>
            <w:tcW w:w="894" w:type="dxa"/>
          </w:tcPr>
          <w:p w14:paraId="21CED1F9" w14:textId="77777777" w:rsidR="005400D8" w:rsidRPr="00A014FD" w:rsidRDefault="005400D8" w:rsidP="00704B82">
            <w:pPr>
              <w:spacing w:line="240" w:lineRule="auto"/>
              <w:rPr>
                <w:sz w:val="22"/>
              </w:rPr>
            </w:pPr>
            <w:r w:rsidRPr="00A014FD">
              <w:rPr>
                <w:sz w:val="22"/>
              </w:rPr>
              <w:t>5</w:t>
            </w:r>
          </w:p>
        </w:tc>
        <w:tc>
          <w:tcPr>
            <w:tcW w:w="3421" w:type="dxa"/>
          </w:tcPr>
          <w:p w14:paraId="1659FF19" w14:textId="77777777" w:rsidR="005400D8" w:rsidRPr="00A014FD" w:rsidRDefault="005400D8" w:rsidP="00704B82">
            <w:pPr>
              <w:spacing w:line="240" w:lineRule="auto"/>
              <w:rPr>
                <w:sz w:val="22"/>
              </w:rPr>
            </w:pPr>
            <w:r w:rsidRPr="00A014FD">
              <w:rPr>
                <w:sz w:val="22"/>
              </w:rPr>
              <w:t>Strong importance</w:t>
            </w:r>
          </w:p>
        </w:tc>
        <w:tc>
          <w:tcPr>
            <w:tcW w:w="4752" w:type="dxa"/>
          </w:tcPr>
          <w:p w14:paraId="159C1A0E" w14:textId="77777777" w:rsidR="005400D8" w:rsidRPr="00A014FD" w:rsidRDefault="005400D8" w:rsidP="00704B82">
            <w:pPr>
              <w:spacing w:line="240" w:lineRule="auto"/>
              <w:rPr>
                <w:sz w:val="22"/>
              </w:rPr>
            </w:pPr>
            <w:r w:rsidRPr="00A014FD">
              <w:rPr>
                <w:sz w:val="22"/>
              </w:rPr>
              <w:t xml:space="preserve">Criterion </w:t>
            </w:r>
            <w:proofErr w:type="spellStart"/>
            <w:r w:rsidRPr="00A014FD">
              <w:rPr>
                <w:sz w:val="22"/>
              </w:rPr>
              <w:t>i</w:t>
            </w:r>
            <w:proofErr w:type="spellEnd"/>
            <w:r w:rsidRPr="00A014FD">
              <w:rPr>
                <w:sz w:val="22"/>
              </w:rPr>
              <w:t xml:space="preserve"> is much more important than Criterion j</w:t>
            </w:r>
          </w:p>
        </w:tc>
      </w:tr>
      <w:tr w:rsidR="005400D8" w:rsidRPr="00A014FD" w14:paraId="6CDA9CDA" w14:textId="77777777" w:rsidTr="00704B82">
        <w:tc>
          <w:tcPr>
            <w:tcW w:w="894" w:type="dxa"/>
          </w:tcPr>
          <w:p w14:paraId="427DDE97" w14:textId="77777777" w:rsidR="005400D8" w:rsidRPr="00A014FD" w:rsidRDefault="005400D8" w:rsidP="00704B82">
            <w:pPr>
              <w:spacing w:line="240" w:lineRule="auto"/>
              <w:rPr>
                <w:sz w:val="22"/>
              </w:rPr>
            </w:pPr>
            <w:r w:rsidRPr="00A014FD">
              <w:rPr>
                <w:sz w:val="22"/>
              </w:rPr>
              <w:t>7</w:t>
            </w:r>
          </w:p>
        </w:tc>
        <w:tc>
          <w:tcPr>
            <w:tcW w:w="3421" w:type="dxa"/>
          </w:tcPr>
          <w:p w14:paraId="71D12B8E" w14:textId="77777777" w:rsidR="005400D8" w:rsidRPr="00A014FD" w:rsidRDefault="005400D8" w:rsidP="00704B82">
            <w:pPr>
              <w:spacing w:line="240" w:lineRule="auto"/>
              <w:rPr>
                <w:sz w:val="22"/>
              </w:rPr>
            </w:pPr>
            <w:r w:rsidRPr="00A014FD">
              <w:rPr>
                <w:sz w:val="22"/>
              </w:rPr>
              <w:t>Very Strong importance</w:t>
            </w:r>
          </w:p>
        </w:tc>
        <w:tc>
          <w:tcPr>
            <w:tcW w:w="4752" w:type="dxa"/>
          </w:tcPr>
          <w:p w14:paraId="0080EB96" w14:textId="77777777" w:rsidR="005400D8" w:rsidRPr="00A014FD" w:rsidRDefault="005400D8" w:rsidP="00704B82">
            <w:pPr>
              <w:spacing w:line="240" w:lineRule="auto"/>
              <w:rPr>
                <w:sz w:val="22"/>
              </w:rPr>
            </w:pPr>
            <w:r w:rsidRPr="00A014FD">
              <w:rPr>
                <w:sz w:val="22"/>
              </w:rPr>
              <w:t xml:space="preserve">Criterion </w:t>
            </w:r>
            <w:proofErr w:type="spellStart"/>
            <w:r w:rsidRPr="00A014FD">
              <w:rPr>
                <w:sz w:val="22"/>
              </w:rPr>
              <w:t>i</w:t>
            </w:r>
            <w:proofErr w:type="spellEnd"/>
            <w:r w:rsidRPr="00A014FD">
              <w:rPr>
                <w:sz w:val="22"/>
              </w:rPr>
              <w:t xml:space="preserve"> is by far much more important than Criterion j</w:t>
            </w:r>
          </w:p>
        </w:tc>
      </w:tr>
      <w:tr w:rsidR="005400D8" w:rsidRPr="00A014FD" w14:paraId="1C073AB5" w14:textId="77777777" w:rsidTr="00704B82">
        <w:tc>
          <w:tcPr>
            <w:tcW w:w="894" w:type="dxa"/>
          </w:tcPr>
          <w:p w14:paraId="19C03C5A" w14:textId="77777777" w:rsidR="005400D8" w:rsidRPr="00A014FD" w:rsidRDefault="005400D8" w:rsidP="00704B82">
            <w:pPr>
              <w:spacing w:line="240" w:lineRule="auto"/>
              <w:rPr>
                <w:sz w:val="22"/>
              </w:rPr>
            </w:pPr>
            <w:r w:rsidRPr="00A014FD">
              <w:rPr>
                <w:sz w:val="22"/>
              </w:rPr>
              <w:t>9</w:t>
            </w:r>
          </w:p>
        </w:tc>
        <w:tc>
          <w:tcPr>
            <w:tcW w:w="3421" w:type="dxa"/>
          </w:tcPr>
          <w:p w14:paraId="7ED80FF3" w14:textId="77777777" w:rsidR="005400D8" w:rsidRPr="00A014FD" w:rsidRDefault="005400D8" w:rsidP="00704B82">
            <w:pPr>
              <w:spacing w:line="240" w:lineRule="auto"/>
              <w:rPr>
                <w:sz w:val="22"/>
              </w:rPr>
            </w:pPr>
            <w:r w:rsidRPr="00A014FD">
              <w:rPr>
                <w:sz w:val="22"/>
              </w:rPr>
              <w:t>Absolute or extreme importance</w:t>
            </w:r>
          </w:p>
        </w:tc>
        <w:tc>
          <w:tcPr>
            <w:tcW w:w="4752" w:type="dxa"/>
          </w:tcPr>
          <w:p w14:paraId="41E8D384" w14:textId="77777777" w:rsidR="005400D8" w:rsidRPr="00A014FD" w:rsidRDefault="005400D8" w:rsidP="00704B82">
            <w:pPr>
              <w:spacing w:line="240" w:lineRule="auto"/>
              <w:rPr>
                <w:sz w:val="22"/>
              </w:rPr>
            </w:pPr>
            <w:r w:rsidRPr="00A014FD">
              <w:rPr>
                <w:sz w:val="22"/>
              </w:rPr>
              <w:t xml:space="preserve">Criterion </w:t>
            </w:r>
            <w:proofErr w:type="spellStart"/>
            <w:r w:rsidRPr="00A014FD">
              <w:rPr>
                <w:sz w:val="22"/>
              </w:rPr>
              <w:t>i</w:t>
            </w:r>
            <w:proofErr w:type="spellEnd"/>
            <w:r w:rsidRPr="00A014FD">
              <w:rPr>
                <w:sz w:val="22"/>
              </w:rPr>
              <w:t xml:space="preserve"> is </w:t>
            </w:r>
            <w:proofErr w:type="gramStart"/>
            <w:r w:rsidRPr="00A014FD">
              <w:rPr>
                <w:noProof/>
                <w:sz w:val="22"/>
              </w:rPr>
              <w:t>definitely</w:t>
            </w:r>
            <w:r w:rsidRPr="00A014FD">
              <w:rPr>
                <w:sz w:val="22"/>
              </w:rPr>
              <w:t xml:space="preserve"> much</w:t>
            </w:r>
            <w:proofErr w:type="gramEnd"/>
            <w:r w:rsidRPr="00A014FD">
              <w:rPr>
                <w:sz w:val="22"/>
              </w:rPr>
              <w:t xml:space="preserve"> more important than Criterion j</w:t>
            </w:r>
          </w:p>
        </w:tc>
      </w:tr>
      <w:tr w:rsidR="005400D8" w:rsidRPr="00A014FD" w14:paraId="19524010" w14:textId="77777777" w:rsidTr="00704B82">
        <w:tc>
          <w:tcPr>
            <w:tcW w:w="894" w:type="dxa"/>
          </w:tcPr>
          <w:p w14:paraId="5C63FDBB" w14:textId="77777777" w:rsidR="005400D8" w:rsidRPr="00A014FD" w:rsidRDefault="005400D8" w:rsidP="00704B82">
            <w:pPr>
              <w:spacing w:line="240" w:lineRule="auto"/>
              <w:rPr>
                <w:sz w:val="22"/>
              </w:rPr>
            </w:pPr>
            <w:r w:rsidRPr="00A014FD">
              <w:rPr>
                <w:sz w:val="22"/>
              </w:rPr>
              <w:t>2,4,6,8</w:t>
            </w:r>
          </w:p>
        </w:tc>
        <w:tc>
          <w:tcPr>
            <w:tcW w:w="3421" w:type="dxa"/>
          </w:tcPr>
          <w:p w14:paraId="0309CFD2" w14:textId="77777777" w:rsidR="005400D8" w:rsidRPr="00A014FD" w:rsidRDefault="005400D8" w:rsidP="00704B82">
            <w:pPr>
              <w:spacing w:line="240" w:lineRule="auto"/>
              <w:rPr>
                <w:sz w:val="22"/>
              </w:rPr>
            </w:pPr>
            <w:r w:rsidRPr="00A014FD">
              <w:rPr>
                <w:sz w:val="22"/>
              </w:rPr>
              <w:t>Intermediate values between 2 adjacent judgements</w:t>
            </w:r>
          </w:p>
        </w:tc>
        <w:tc>
          <w:tcPr>
            <w:tcW w:w="4752" w:type="dxa"/>
          </w:tcPr>
          <w:p w14:paraId="2A765972" w14:textId="77777777" w:rsidR="005400D8" w:rsidRPr="00A014FD" w:rsidRDefault="005400D8" w:rsidP="00704B82">
            <w:pPr>
              <w:spacing w:line="240" w:lineRule="auto"/>
              <w:rPr>
                <w:sz w:val="22"/>
              </w:rPr>
            </w:pPr>
          </w:p>
        </w:tc>
      </w:tr>
    </w:tbl>
    <w:p w14:paraId="03706189" w14:textId="77777777" w:rsidR="005400D8" w:rsidRPr="00A014FD" w:rsidRDefault="005400D8" w:rsidP="005400D8">
      <w:pPr>
        <w:spacing w:after="160" w:line="259" w:lineRule="auto"/>
      </w:pPr>
    </w:p>
    <w:p w14:paraId="095A6F55" w14:textId="77777777" w:rsidR="005400D8" w:rsidRPr="00A014FD" w:rsidRDefault="005400D8" w:rsidP="005400D8">
      <w:pPr>
        <w:spacing w:after="160" w:line="259" w:lineRule="auto"/>
      </w:pPr>
      <w:r w:rsidRPr="00A014FD">
        <w:rPr>
          <w:noProof/>
          <w:lang w:eastAsia="en-GB"/>
        </w:rPr>
        <w:drawing>
          <wp:inline distT="0" distB="0" distL="0" distR="0" wp14:anchorId="5C02C015" wp14:editId="708FD93E">
            <wp:extent cx="5731510" cy="1714005"/>
            <wp:effectExtent l="0" t="0" r="254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31510" cy="1714005"/>
                    </a:xfrm>
                    <a:prstGeom prst="rect">
                      <a:avLst/>
                    </a:prstGeom>
                    <a:noFill/>
                    <a:ln>
                      <a:noFill/>
                    </a:ln>
                  </pic:spPr>
                </pic:pic>
              </a:graphicData>
            </a:graphic>
          </wp:inline>
        </w:drawing>
      </w:r>
    </w:p>
    <w:p w14:paraId="6D6DC9F2" w14:textId="77777777" w:rsidR="005400D8" w:rsidRPr="00A014FD" w:rsidRDefault="005400D8" w:rsidP="005400D8">
      <w:pPr>
        <w:rPr>
          <w:i/>
          <w:sz w:val="22"/>
        </w:rPr>
      </w:pPr>
      <w:r w:rsidRPr="00A014FD">
        <w:rPr>
          <w:i/>
          <w:sz w:val="22"/>
        </w:rPr>
        <w:t xml:space="preserve">Example: </w:t>
      </w:r>
    </w:p>
    <w:p w14:paraId="27E9405A" w14:textId="77777777" w:rsidR="005400D8" w:rsidRPr="00A014FD" w:rsidRDefault="005400D8" w:rsidP="005400D8">
      <w:pPr>
        <w:rPr>
          <w:sz w:val="22"/>
        </w:rPr>
      </w:pPr>
      <w:r w:rsidRPr="00A014FD">
        <w:rPr>
          <w:sz w:val="22"/>
        </w:rPr>
        <w:t xml:space="preserve">If </w:t>
      </w:r>
      <w:r w:rsidRPr="00A014FD">
        <w:rPr>
          <w:noProof/>
          <w:sz w:val="22"/>
        </w:rPr>
        <w:t>you</w:t>
      </w:r>
      <w:r w:rsidRPr="00A014FD">
        <w:rPr>
          <w:sz w:val="22"/>
        </w:rPr>
        <w:t xml:space="preserve"> think the </w:t>
      </w:r>
      <w:r w:rsidRPr="00A014FD">
        <w:rPr>
          <w:sz w:val="22"/>
          <w:u w:val="single"/>
        </w:rPr>
        <w:t>Dimension of Economy</w:t>
      </w:r>
      <w:r w:rsidRPr="00A014FD">
        <w:rPr>
          <w:sz w:val="22"/>
        </w:rPr>
        <w:t xml:space="preserve"> is</w:t>
      </w:r>
      <w:r w:rsidRPr="00A014FD">
        <w:rPr>
          <w:i/>
          <w:sz w:val="22"/>
        </w:rPr>
        <w:t xml:space="preserve"> “</w:t>
      </w:r>
      <w:r w:rsidRPr="00A014FD">
        <w:rPr>
          <w:b/>
          <w:i/>
          <w:sz w:val="22"/>
        </w:rPr>
        <w:t>Weak importance over</w:t>
      </w:r>
      <w:r w:rsidRPr="00A014FD">
        <w:rPr>
          <w:i/>
          <w:sz w:val="22"/>
        </w:rPr>
        <w:t>”</w:t>
      </w:r>
      <w:r w:rsidRPr="00A014FD">
        <w:rPr>
          <w:sz w:val="22"/>
        </w:rPr>
        <w:t xml:space="preserve"> The </w:t>
      </w:r>
      <w:r w:rsidRPr="00A014FD">
        <w:rPr>
          <w:sz w:val="22"/>
          <w:u w:val="single"/>
        </w:rPr>
        <w:t>Dimension of</w:t>
      </w:r>
      <w:r w:rsidRPr="00A014FD">
        <w:rPr>
          <w:i/>
          <w:sz w:val="22"/>
          <w:u w:val="single"/>
        </w:rPr>
        <w:t xml:space="preserve"> </w:t>
      </w:r>
      <w:r w:rsidRPr="00A014FD">
        <w:rPr>
          <w:sz w:val="22"/>
          <w:u w:val="single"/>
        </w:rPr>
        <w:t>Environment</w:t>
      </w:r>
      <w:r w:rsidRPr="00A014FD">
        <w:rPr>
          <w:sz w:val="22"/>
        </w:rPr>
        <w:t>, then you mark 3 with (</w:t>
      </w:r>
      <w:r w:rsidRPr="00A014FD">
        <w:rPr>
          <w:sz w:val="22"/>
        </w:rPr>
        <w:t>〇</w:t>
      </w:r>
      <w:r w:rsidRPr="00A014FD">
        <w:rPr>
          <w:sz w:val="22"/>
        </w:rPr>
        <w:t>) on the left hand side (</w:t>
      </w:r>
      <w:r w:rsidRPr="00A014FD">
        <w:rPr>
          <w:color w:val="FF0000"/>
          <w:sz w:val="22"/>
        </w:rPr>
        <w:t>Red Colour</w:t>
      </w:r>
      <w:r w:rsidRPr="00A014FD">
        <w:rPr>
          <w:sz w:val="22"/>
        </w:rPr>
        <w:t>).</w:t>
      </w:r>
    </w:p>
    <w:p w14:paraId="3A5684DA" w14:textId="77777777" w:rsidR="005400D8" w:rsidRPr="00A014FD" w:rsidRDefault="005400D8" w:rsidP="005400D8">
      <w:pPr>
        <w:rPr>
          <w:sz w:val="22"/>
        </w:rPr>
      </w:pPr>
      <w:r w:rsidRPr="00A014FD">
        <w:rPr>
          <w:sz w:val="22"/>
        </w:rPr>
        <w:t xml:space="preserve">If </w:t>
      </w:r>
      <w:r w:rsidRPr="00A014FD">
        <w:rPr>
          <w:noProof/>
          <w:sz w:val="22"/>
        </w:rPr>
        <w:t>you</w:t>
      </w:r>
      <w:r w:rsidRPr="00A014FD">
        <w:rPr>
          <w:sz w:val="22"/>
        </w:rPr>
        <w:t xml:space="preserve"> think the </w:t>
      </w:r>
      <w:r w:rsidRPr="00A014FD">
        <w:rPr>
          <w:sz w:val="22"/>
          <w:u w:val="single"/>
        </w:rPr>
        <w:t>Dimension of Society</w:t>
      </w:r>
      <w:r w:rsidRPr="00A014FD">
        <w:rPr>
          <w:sz w:val="22"/>
        </w:rPr>
        <w:t xml:space="preserve"> is </w:t>
      </w:r>
      <w:r w:rsidRPr="00A014FD">
        <w:rPr>
          <w:b/>
          <w:i/>
          <w:sz w:val="22"/>
        </w:rPr>
        <w:t>“Strong importance</w:t>
      </w:r>
      <w:r w:rsidRPr="00A014FD">
        <w:rPr>
          <w:i/>
          <w:sz w:val="22"/>
        </w:rPr>
        <w:t xml:space="preserve">” </w:t>
      </w:r>
      <w:r w:rsidRPr="00A014FD">
        <w:rPr>
          <w:sz w:val="22"/>
        </w:rPr>
        <w:t xml:space="preserve">than the </w:t>
      </w:r>
      <w:r w:rsidRPr="00A014FD">
        <w:rPr>
          <w:sz w:val="22"/>
          <w:u w:val="single"/>
        </w:rPr>
        <w:t>Dimension of Economy</w:t>
      </w:r>
      <w:r w:rsidRPr="00A014FD">
        <w:rPr>
          <w:sz w:val="22"/>
        </w:rPr>
        <w:t>. You mark 5 with (</w:t>
      </w:r>
      <w:r w:rsidRPr="00A014FD">
        <w:rPr>
          <w:sz w:val="22"/>
        </w:rPr>
        <w:t>〇</w:t>
      </w:r>
      <w:r w:rsidRPr="00A014FD">
        <w:rPr>
          <w:sz w:val="22"/>
        </w:rPr>
        <w:t>) on the right hand side (</w:t>
      </w:r>
      <w:r w:rsidRPr="00A014FD">
        <w:rPr>
          <w:color w:val="0070C0"/>
          <w:sz w:val="22"/>
        </w:rPr>
        <w:t>Blue Colour</w:t>
      </w:r>
      <w:r w:rsidRPr="00A014FD">
        <w:rPr>
          <w:sz w:val="22"/>
        </w:rPr>
        <w:t xml:space="preserve">). </w:t>
      </w:r>
    </w:p>
    <w:p w14:paraId="243375F7" w14:textId="77777777" w:rsidR="005400D8" w:rsidRPr="00A014FD" w:rsidRDefault="005400D8" w:rsidP="005400D8">
      <w:pPr>
        <w:rPr>
          <w:sz w:val="22"/>
        </w:rPr>
      </w:pPr>
      <w:r w:rsidRPr="00A014FD">
        <w:rPr>
          <w:noProof/>
          <w:sz w:val="22"/>
        </w:rPr>
        <w:t xml:space="preserve">If you think the </w:t>
      </w:r>
      <w:r w:rsidRPr="00A014FD">
        <w:rPr>
          <w:noProof/>
          <w:sz w:val="22"/>
          <w:u w:val="single"/>
        </w:rPr>
        <w:t>Dimension of Society</w:t>
      </w:r>
      <w:r w:rsidRPr="00A014FD">
        <w:rPr>
          <w:noProof/>
          <w:sz w:val="22"/>
        </w:rPr>
        <w:t xml:space="preserve"> is more than the level </w:t>
      </w:r>
      <w:r w:rsidRPr="00A014FD">
        <w:rPr>
          <w:noProof/>
          <w:sz w:val="22"/>
          <w:lang w:val="en-US"/>
        </w:rPr>
        <w:t>of</w:t>
      </w:r>
      <w:r w:rsidRPr="00A014FD">
        <w:rPr>
          <w:noProof/>
          <w:sz w:val="22"/>
        </w:rPr>
        <w:t xml:space="preserve"> “</w:t>
      </w:r>
      <w:r w:rsidRPr="00A014FD">
        <w:rPr>
          <w:b/>
          <w:i/>
          <w:noProof/>
          <w:sz w:val="22"/>
        </w:rPr>
        <w:t>Very Strong importance</w:t>
      </w:r>
      <w:r w:rsidRPr="00A014FD">
        <w:rPr>
          <w:noProof/>
          <w:sz w:val="22"/>
        </w:rPr>
        <w:t>”; but cannot reach the level of “</w:t>
      </w:r>
      <w:r w:rsidRPr="00A014FD">
        <w:rPr>
          <w:b/>
          <w:i/>
          <w:noProof/>
          <w:sz w:val="22"/>
        </w:rPr>
        <w:t>Extremely  Strong importance</w:t>
      </w:r>
      <w:r w:rsidRPr="00A014FD">
        <w:rPr>
          <w:noProof/>
          <w:sz w:val="22"/>
        </w:rPr>
        <w:t xml:space="preserve">” than the </w:t>
      </w:r>
      <w:r w:rsidRPr="00A014FD">
        <w:rPr>
          <w:noProof/>
          <w:sz w:val="22"/>
          <w:u w:val="single"/>
        </w:rPr>
        <w:t>Dimension of Environment</w:t>
      </w:r>
      <w:r w:rsidRPr="00A014FD">
        <w:rPr>
          <w:noProof/>
          <w:sz w:val="22"/>
        </w:rPr>
        <w:t>.</w:t>
      </w:r>
      <w:r w:rsidRPr="00A014FD">
        <w:rPr>
          <w:sz w:val="22"/>
        </w:rPr>
        <w:t xml:space="preserve"> You mark 8 with (</w:t>
      </w:r>
      <w:r w:rsidRPr="00A014FD">
        <w:rPr>
          <w:sz w:val="22"/>
        </w:rPr>
        <w:t>〇</w:t>
      </w:r>
      <w:r w:rsidRPr="00A014FD">
        <w:rPr>
          <w:sz w:val="22"/>
        </w:rPr>
        <w:t>) on the right hand side (</w:t>
      </w:r>
      <w:r w:rsidRPr="00A014FD">
        <w:rPr>
          <w:color w:val="0070C0"/>
          <w:sz w:val="22"/>
        </w:rPr>
        <w:t>Blue Colour</w:t>
      </w:r>
      <w:r w:rsidRPr="00A014FD">
        <w:rPr>
          <w:sz w:val="22"/>
        </w:rPr>
        <w:t>).</w:t>
      </w:r>
    </w:p>
    <w:p w14:paraId="6541453E" w14:textId="77777777" w:rsidR="005400D8" w:rsidRPr="00A014FD" w:rsidRDefault="005400D8" w:rsidP="005400D8">
      <w:pPr>
        <w:rPr>
          <w:i/>
          <w:iCs/>
          <w:sz w:val="22"/>
        </w:rPr>
      </w:pPr>
      <w:r w:rsidRPr="00A014FD">
        <w:rPr>
          <w:i/>
          <w:iCs/>
          <w:sz w:val="22"/>
        </w:rPr>
        <w:t xml:space="preserve">The form will </w:t>
      </w:r>
      <w:r w:rsidRPr="00A014FD">
        <w:rPr>
          <w:i/>
          <w:iCs/>
          <w:noProof/>
          <w:sz w:val="22"/>
        </w:rPr>
        <w:t>be filled</w:t>
      </w:r>
      <w:r w:rsidRPr="00A014FD">
        <w:rPr>
          <w:i/>
          <w:iCs/>
          <w:sz w:val="22"/>
        </w:rPr>
        <w:t xml:space="preserve"> as:</w:t>
      </w:r>
    </w:p>
    <w:p w14:paraId="140A446D" w14:textId="77777777" w:rsidR="005400D8" w:rsidRPr="00A014FD" w:rsidRDefault="005400D8" w:rsidP="005400D8">
      <w:pPr>
        <w:rPr>
          <w:sz w:val="22"/>
        </w:rPr>
      </w:pPr>
    </w:p>
    <w:p w14:paraId="68EFC876" w14:textId="77777777" w:rsidR="005400D8" w:rsidRPr="00A014FD" w:rsidRDefault="005400D8" w:rsidP="005400D8">
      <w:pPr>
        <w:spacing w:after="160" w:line="259" w:lineRule="auto"/>
      </w:pPr>
      <w:r w:rsidRPr="00A014FD">
        <w:rPr>
          <w:noProof/>
          <w:lang w:eastAsia="en-GB"/>
        </w:rPr>
        <w:drawing>
          <wp:inline distT="0" distB="0" distL="0" distR="0" wp14:anchorId="598E03C7" wp14:editId="3833C4A2">
            <wp:extent cx="5731510" cy="1260457"/>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31510" cy="1260457"/>
                    </a:xfrm>
                    <a:prstGeom prst="rect">
                      <a:avLst/>
                    </a:prstGeom>
                    <a:noFill/>
                    <a:ln>
                      <a:noFill/>
                    </a:ln>
                  </pic:spPr>
                </pic:pic>
              </a:graphicData>
            </a:graphic>
          </wp:inline>
        </w:drawing>
      </w:r>
    </w:p>
    <w:p w14:paraId="3D1FBC38" w14:textId="77777777" w:rsidR="005400D8" w:rsidRDefault="005400D8" w:rsidP="005400D8">
      <w:pPr>
        <w:spacing w:after="160" w:line="259" w:lineRule="auto"/>
      </w:pPr>
    </w:p>
    <w:p w14:paraId="1FC078A1" w14:textId="77777777" w:rsidR="007D1AE2" w:rsidRDefault="007D1AE2" w:rsidP="005400D8">
      <w:pPr>
        <w:spacing w:after="160" w:line="259" w:lineRule="auto"/>
      </w:pPr>
    </w:p>
    <w:p w14:paraId="51EA3FEA" w14:textId="03098859" w:rsidR="007D1AE2" w:rsidRPr="00A014FD" w:rsidRDefault="007D1AE2" w:rsidP="005400D8">
      <w:pPr>
        <w:spacing w:after="160" w:line="259" w:lineRule="auto"/>
        <w:sectPr w:rsidR="007D1AE2" w:rsidRPr="00A014FD">
          <w:pgSz w:w="11906" w:h="16838"/>
          <w:pgMar w:top="1440" w:right="1440" w:bottom="1440" w:left="1440" w:header="708" w:footer="708" w:gutter="0"/>
          <w:cols w:space="708"/>
          <w:docGrid w:linePitch="360"/>
        </w:sectPr>
      </w:pPr>
    </w:p>
    <w:p w14:paraId="22A2E72D" w14:textId="77777777" w:rsidR="005400D8" w:rsidRPr="00A014FD" w:rsidRDefault="005400D8" w:rsidP="005400D8">
      <w:pPr>
        <w:spacing w:after="160" w:line="259" w:lineRule="auto"/>
      </w:pPr>
      <w:r w:rsidRPr="00A014FD">
        <w:rPr>
          <w:noProof/>
          <w:lang w:eastAsia="en-GB"/>
        </w:rPr>
        <w:lastRenderedPageBreak/>
        <w:drawing>
          <wp:inline distT="0" distB="0" distL="0" distR="0" wp14:anchorId="350B3E70" wp14:editId="0B672263">
            <wp:extent cx="8863330" cy="6275647"/>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8863330" cy="6275647"/>
                    </a:xfrm>
                    <a:prstGeom prst="rect">
                      <a:avLst/>
                    </a:prstGeom>
                    <a:noFill/>
                    <a:ln>
                      <a:noFill/>
                    </a:ln>
                  </pic:spPr>
                </pic:pic>
              </a:graphicData>
            </a:graphic>
          </wp:inline>
        </w:drawing>
      </w:r>
      <w:r w:rsidRPr="00A014FD">
        <w:br w:type="page"/>
      </w:r>
    </w:p>
    <w:p w14:paraId="5E8B63CA" w14:textId="77777777" w:rsidR="005400D8" w:rsidRPr="00A014FD" w:rsidRDefault="005400D8" w:rsidP="005400D8">
      <w:pPr>
        <w:spacing w:after="160" w:line="259" w:lineRule="auto"/>
      </w:pPr>
      <w:r w:rsidRPr="00A014FD">
        <w:rPr>
          <w:noProof/>
          <w:lang w:eastAsia="en-GB"/>
        </w:rPr>
        <w:lastRenderedPageBreak/>
        <w:drawing>
          <wp:inline distT="0" distB="0" distL="0" distR="0" wp14:anchorId="0E9EDF53" wp14:editId="7FEA1ED5">
            <wp:extent cx="8863330" cy="2628204"/>
            <wp:effectExtent l="0" t="0" r="0" b="127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8863330" cy="2628204"/>
                    </a:xfrm>
                    <a:prstGeom prst="rect">
                      <a:avLst/>
                    </a:prstGeom>
                    <a:noFill/>
                    <a:ln>
                      <a:noFill/>
                    </a:ln>
                  </pic:spPr>
                </pic:pic>
              </a:graphicData>
            </a:graphic>
          </wp:inline>
        </w:drawing>
      </w:r>
    </w:p>
    <w:p w14:paraId="2480304D" w14:textId="77777777" w:rsidR="005400D8" w:rsidRPr="00A014FD" w:rsidRDefault="005400D8" w:rsidP="005400D8">
      <w:pPr>
        <w:spacing w:line="240" w:lineRule="auto"/>
        <w:jc w:val="left"/>
      </w:pPr>
      <w:r w:rsidRPr="00A014FD">
        <w:br w:type="page"/>
      </w:r>
    </w:p>
    <w:p w14:paraId="64C9AD5F" w14:textId="77777777" w:rsidR="005400D8" w:rsidRPr="00A014FD" w:rsidRDefault="005400D8" w:rsidP="005400D8">
      <w:pPr>
        <w:spacing w:after="160" w:line="259" w:lineRule="auto"/>
      </w:pPr>
      <w:r w:rsidRPr="00A014FD">
        <w:rPr>
          <w:noProof/>
          <w:lang w:eastAsia="en-GB"/>
        </w:rPr>
        <w:lastRenderedPageBreak/>
        <w:drawing>
          <wp:inline distT="0" distB="0" distL="0" distR="0" wp14:anchorId="53ADCD9C" wp14:editId="4DB5B9CE">
            <wp:extent cx="8863330" cy="473138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8863330" cy="4731385"/>
                    </a:xfrm>
                    <a:prstGeom prst="rect">
                      <a:avLst/>
                    </a:prstGeom>
                    <a:noFill/>
                    <a:ln>
                      <a:noFill/>
                    </a:ln>
                  </pic:spPr>
                </pic:pic>
              </a:graphicData>
            </a:graphic>
          </wp:inline>
        </w:drawing>
      </w:r>
      <w:r w:rsidRPr="00A014FD">
        <w:br w:type="page"/>
      </w:r>
    </w:p>
    <w:p w14:paraId="280D0695" w14:textId="77777777" w:rsidR="005400D8" w:rsidRPr="00A014FD" w:rsidRDefault="005400D8" w:rsidP="005400D8">
      <w:pPr>
        <w:keepNext/>
        <w:keepLines/>
        <w:spacing w:before="40" w:line="240" w:lineRule="auto"/>
        <w:outlineLvl w:val="1"/>
        <w:rPr>
          <w:rFonts w:eastAsia="宋体"/>
          <w:b/>
          <w:color w:val="4F81BD"/>
          <w:sz w:val="30"/>
          <w:szCs w:val="26"/>
        </w:rPr>
        <w:sectPr w:rsidR="005400D8" w:rsidRPr="00A014FD" w:rsidSect="00451CCB">
          <w:pgSz w:w="16838" w:h="11906" w:orient="landscape"/>
          <w:pgMar w:top="1800" w:right="1440" w:bottom="1800" w:left="1440" w:header="851" w:footer="992" w:gutter="0"/>
          <w:cols w:space="425"/>
          <w:docGrid w:type="lines" w:linePitch="326"/>
        </w:sectPr>
      </w:pPr>
    </w:p>
    <w:p w14:paraId="16C23947" w14:textId="07F5709F" w:rsidR="005400D8" w:rsidRDefault="005400D8" w:rsidP="005400D8">
      <w:pPr>
        <w:pStyle w:val="Heading2"/>
        <w:numPr>
          <w:ilvl w:val="0"/>
          <w:numId w:val="0"/>
        </w:numPr>
        <w:spacing w:after="163"/>
        <w:ind w:left="576" w:hanging="576"/>
      </w:pPr>
      <w:bookmarkStart w:id="1274" w:name="_Toc46053523"/>
      <w:bookmarkStart w:id="1275" w:name="_Toc46093437"/>
      <w:bookmarkStart w:id="1276" w:name="_Toc46093720"/>
      <w:bookmarkStart w:id="1277" w:name="_Toc66703296"/>
      <w:r w:rsidRPr="004B7CDA">
        <w:lastRenderedPageBreak/>
        <w:t>Appendix VI</w:t>
      </w:r>
      <w:r w:rsidR="007D1AE2">
        <w:rPr>
          <w:rFonts w:hint="eastAsia"/>
        </w:rPr>
        <w:t>I</w:t>
      </w:r>
      <w:r w:rsidRPr="004B7CDA">
        <w:t>-Transcribing Data</w:t>
      </w:r>
      <w:bookmarkEnd w:id="1274"/>
      <w:bookmarkEnd w:id="1275"/>
      <w:bookmarkEnd w:id="1276"/>
      <w:bookmarkEnd w:id="1277"/>
    </w:p>
    <w:p w14:paraId="011F3F54" w14:textId="7A793D20" w:rsidR="0000015A" w:rsidRDefault="0000015A" w:rsidP="0000015A">
      <w:r>
        <w:t>Case 1</w:t>
      </w:r>
    </w:p>
    <w:p w14:paraId="182ADE0D" w14:textId="1125D8C7" w:rsidR="0000015A" w:rsidRPr="0000015A" w:rsidRDefault="0000015A" w:rsidP="0000015A">
      <w:r>
        <w:t xml:space="preserve">Interview with </w:t>
      </w:r>
      <w:proofErr w:type="spellStart"/>
      <w:r>
        <w:t>stockhom</w:t>
      </w:r>
      <w:proofErr w:type="spellEnd"/>
      <w:r>
        <w:t xml:space="preserve"> </w:t>
      </w:r>
      <w:proofErr w:type="spellStart"/>
      <w:r>
        <w:t>stad</w:t>
      </w:r>
      <w:proofErr w:type="spellEnd"/>
    </w:p>
    <w:p w14:paraId="37D1F72C" w14:textId="77777777" w:rsidR="005400D8" w:rsidRPr="00A014FD" w:rsidRDefault="005400D8" w:rsidP="005400D8">
      <w:pPr>
        <w:spacing w:after="160"/>
        <w:jc w:val="left"/>
        <w:rPr>
          <w:rFonts w:eastAsia="等线"/>
          <w:b/>
          <w:bCs/>
          <w:lang w:val="en-US"/>
        </w:rPr>
      </w:pPr>
      <w:r w:rsidRPr="00A014FD">
        <w:rPr>
          <w:rFonts w:eastAsia="等线"/>
          <w:b/>
          <w:bCs/>
          <w:bdr w:val="nil"/>
          <w:lang w:val="en-US"/>
        </w:rPr>
        <w:t xml:space="preserve">A1 </w:t>
      </w:r>
      <w:r w:rsidRPr="00A014FD">
        <w:rPr>
          <w:rFonts w:eastAsia="等线"/>
          <w:b/>
          <w:bCs/>
          <w:noProof/>
          <w:bdr w:val="nil"/>
          <w:lang w:val="en-US"/>
        </w:rPr>
        <w:t>Please</w:t>
      </w:r>
      <w:r w:rsidRPr="00A014FD">
        <w:rPr>
          <w:rFonts w:eastAsia="等线"/>
          <w:b/>
          <w:bCs/>
          <w:bdr w:val="nil"/>
          <w:lang w:val="en-US"/>
        </w:rPr>
        <w:t xml:space="preserve"> select </w:t>
      </w:r>
      <w:r w:rsidRPr="00A014FD">
        <w:rPr>
          <w:rFonts w:eastAsia="等线"/>
          <w:b/>
          <w:bCs/>
          <w:noProof/>
          <w:bdr w:val="nil"/>
          <w:lang w:val="en-US"/>
        </w:rPr>
        <w:t>your</w:t>
      </w:r>
      <w:r w:rsidRPr="00A014FD">
        <w:rPr>
          <w:rFonts w:eastAsia="等线"/>
          <w:b/>
          <w:bCs/>
          <w:bdr w:val="nil"/>
          <w:lang w:val="en-US"/>
        </w:rPr>
        <w:t xml:space="preserve"> </w:t>
      </w:r>
      <w:proofErr w:type="gramStart"/>
      <w:r w:rsidRPr="00A014FD">
        <w:rPr>
          <w:rFonts w:eastAsia="等线"/>
          <w:b/>
          <w:bCs/>
          <w:bdr w:val="nil"/>
          <w:lang w:val="en-US"/>
        </w:rPr>
        <w:t>gender</w:t>
      </w:r>
      <w:proofErr w:type="gramEnd"/>
    </w:p>
    <w:tbl>
      <w:tblPr>
        <w:tblStyle w:val="3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06"/>
      </w:tblGrid>
      <w:tr w:rsidR="005400D8" w:rsidRPr="00A014FD" w14:paraId="73413772" w14:textId="77777777" w:rsidTr="00704B82">
        <w:trPr>
          <w:trHeight w:val="500"/>
        </w:trPr>
        <w:tc>
          <w:tcPr>
            <w:tcW w:w="9026" w:type="dxa"/>
            <w:vAlign w:val="center"/>
          </w:tcPr>
          <w:p w14:paraId="0D042662" w14:textId="77777777" w:rsidR="005400D8" w:rsidRPr="00A014FD" w:rsidRDefault="005400D8" w:rsidP="00704B82">
            <w:pPr>
              <w:jc w:val="left"/>
              <w:rPr>
                <w:rFonts w:eastAsia="等线"/>
                <w:sz w:val="22"/>
              </w:rPr>
            </w:pPr>
            <w:r w:rsidRPr="00A014FD">
              <w:rPr>
                <w:rFonts w:eastAsia="等线"/>
                <w:color w:val="000000"/>
                <w:sz w:val="22"/>
                <w:shd w:val="pct15" w:color="auto" w:fill="FFFFFF"/>
              </w:rPr>
              <w:t>X</w:t>
            </w:r>
            <w:r w:rsidRPr="00A014FD">
              <w:rPr>
                <w:rFonts w:eastAsia="等线"/>
                <w:sz w:val="22"/>
                <w:bdr w:val="nil"/>
              </w:rPr>
              <w:t xml:space="preserve"> Male</w:t>
            </w:r>
          </w:p>
        </w:tc>
      </w:tr>
      <w:tr w:rsidR="005400D8" w:rsidRPr="00A014FD" w14:paraId="148D025C" w14:textId="77777777" w:rsidTr="00704B82">
        <w:trPr>
          <w:trHeight w:val="500"/>
        </w:trPr>
        <w:tc>
          <w:tcPr>
            <w:tcW w:w="9026" w:type="dxa"/>
            <w:vAlign w:val="center"/>
          </w:tcPr>
          <w:p w14:paraId="27F8F2F2" w14:textId="77777777" w:rsidR="005400D8" w:rsidRPr="00A014FD" w:rsidRDefault="005400D8" w:rsidP="00704B82">
            <w:pPr>
              <w:jc w:val="left"/>
              <w:rPr>
                <w:rFonts w:eastAsia="等线"/>
                <w:sz w:val="22"/>
                <w:bdr w:val="nil"/>
              </w:rPr>
            </w:pPr>
            <w:r w:rsidRPr="00A014FD">
              <w:rPr>
                <w:rFonts w:eastAsia="等线"/>
                <w:color w:val="000000"/>
                <w:sz w:val="22"/>
              </w:rPr>
              <w:t>□</w:t>
            </w:r>
            <w:r w:rsidRPr="00A014FD">
              <w:rPr>
                <w:rFonts w:eastAsia="等线"/>
                <w:sz w:val="22"/>
                <w:bdr w:val="nil"/>
              </w:rPr>
              <w:t xml:space="preserve"> Female</w:t>
            </w:r>
          </w:p>
        </w:tc>
      </w:tr>
      <w:tr w:rsidR="005400D8" w:rsidRPr="00A014FD" w14:paraId="217A5849" w14:textId="77777777" w:rsidTr="00704B82">
        <w:trPr>
          <w:trHeight w:val="500"/>
        </w:trPr>
        <w:tc>
          <w:tcPr>
            <w:tcW w:w="9026" w:type="dxa"/>
            <w:vAlign w:val="center"/>
          </w:tcPr>
          <w:p w14:paraId="00A0521A" w14:textId="77777777" w:rsidR="005400D8" w:rsidRPr="00A014FD" w:rsidRDefault="005400D8" w:rsidP="00704B82">
            <w:pPr>
              <w:jc w:val="left"/>
              <w:rPr>
                <w:rFonts w:eastAsia="等线"/>
                <w:color w:val="545454"/>
                <w:shd w:val="clear" w:color="auto" w:fill="FFFFFF"/>
              </w:rPr>
            </w:pPr>
            <w:r w:rsidRPr="00A014FD">
              <w:rPr>
                <w:rFonts w:eastAsia="等线"/>
                <w:color w:val="000000"/>
                <w:sz w:val="22"/>
              </w:rPr>
              <w:t xml:space="preserve">□ </w:t>
            </w:r>
            <w:r w:rsidRPr="00A014FD">
              <w:rPr>
                <w:rFonts w:eastAsia="等线"/>
                <w:sz w:val="22"/>
                <w:bdr w:val="nil"/>
              </w:rPr>
              <w:t>Other</w:t>
            </w:r>
          </w:p>
        </w:tc>
      </w:tr>
    </w:tbl>
    <w:p w14:paraId="6D999BC5" w14:textId="77777777" w:rsidR="005400D8" w:rsidRPr="00A014FD" w:rsidRDefault="005400D8" w:rsidP="005400D8">
      <w:pPr>
        <w:spacing w:after="160"/>
        <w:jc w:val="left"/>
        <w:rPr>
          <w:rFonts w:eastAsia="等线"/>
          <w:b/>
          <w:bCs/>
          <w:bdr w:val="nil"/>
          <w:lang w:val="en-US"/>
        </w:rPr>
      </w:pPr>
      <w:r w:rsidRPr="00A014FD">
        <w:rPr>
          <w:rFonts w:eastAsia="等线"/>
          <w:b/>
          <w:bCs/>
          <w:bdr w:val="nil"/>
          <w:lang w:val="en-US"/>
        </w:rPr>
        <w:t>A2 What is your job title and your main responsibility within the UCC system?</w:t>
      </w:r>
    </w:p>
    <w:tbl>
      <w:tblPr>
        <w:tblStyle w:val="30"/>
        <w:tblW w:w="0" w:type="auto"/>
        <w:tblLook w:val="04A0" w:firstRow="1" w:lastRow="0" w:firstColumn="1" w:lastColumn="0" w:noHBand="0" w:noVBand="1"/>
      </w:tblPr>
      <w:tblGrid>
        <w:gridCol w:w="8296"/>
      </w:tblGrid>
      <w:tr w:rsidR="005400D8" w:rsidRPr="00A014FD" w14:paraId="1BA972BD" w14:textId="77777777" w:rsidTr="00704B82">
        <w:tc>
          <w:tcPr>
            <w:tcW w:w="9016" w:type="dxa"/>
          </w:tcPr>
          <w:p w14:paraId="38F9C333" w14:textId="77777777" w:rsidR="005400D8" w:rsidRPr="00A014FD" w:rsidRDefault="005400D8" w:rsidP="00704B82">
            <w:pPr>
              <w:rPr>
                <w:rFonts w:eastAsia="等线"/>
                <w:sz w:val="22"/>
              </w:rPr>
            </w:pPr>
            <w:r w:rsidRPr="00A014FD">
              <w:rPr>
                <w:rFonts w:eastAsia="等线"/>
                <w:sz w:val="22"/>
              </w:rPr>
              <w:t xml:space="preserve">We usually call our jobs: the freight program manager. </w:t>
            </w:r>
            <w:proofErr w:type="gramStart"/>
            <w:r w:rsidRPr="00A014FD">
              <w:rPr>
                <w:rFonts w:eastAsia="等线"/>
                <w:sz w:val="22"/>
              </w:rPr>
              <w:t>It's</w:t>
            </w:r>
            <w:proofErr w:type="gramEnd"/>
            <w:r w:rsidRPr="00A014FD">
              <w:rPr>
                <w:rFonts w:eastAsia="等线"/>
                <w:sz w:val="22"/>
              </w:rPr>
              <w:t xml:space="preserve"> about the trying to make freight transported the city more efficient. </w:t>
            </w:r>
            <w:proofErr w:type="gramStart"/>
            <w:r w:rsidRPr="00A014FD">
              <w:rPr>
                <w:rFonts w:eastAsia="等线"/>
                <w:sz w:val="22"/>
              </w:rPr>
              <w:t>So</w:t>
            </w:r>
            <w:proofErr w:type="gramEnd"/>
            <w:r w:rsidRPr="00A014FD">
              <w:rPr>
                <w:rFonts w:eastAsia="等线"/>
                <w:sz w:val="22"/>
              </w:rPr>
              <w:t xml:space="preserve"> I work very much. I Facilitator </w:t>
            </w:r>
            <w:proofErr w:type="gramStart"/>
            <w:r w:rsidRPr="00A014FD">
              <w:rPr>
                <w:rFonts w:eastAsia="等线"/>
                <w:sz w:val="22"/>
              </w:rPr>
              <w:t>that's</w:t>
            </w:r>
            <w:proofErr w:type="gramEnd"/>
            <w:r w:rsidRPr="00A014FD">
              <w:rPr>
                <w:rFonts w:eastAsia="等线"/>
                <w:sz w:val="22"/>
              </w:rPr>
              <w:t xml:space="preserve"> a neutral part. </w:t>
            </w:r>
            <w:proofErr w:type="gramStart"/>
            <w:r w:rsidRPr="00A014FD">
              <w:rPr>
                <w:rFonts w:eastAsia="等线"/>
                <w:sz w:val="22"/>
              </w:rPr>
              <w:t>I'm</w:t>
            </w:r>
            <w:proofErr w:type="gramEnd"/>
            <w:r w:rsidRPr="00A014FD">
              <w:rPr>
                <w:rFonts w:eastAsia="等线"/>
                <w:sz w:val="22"/>
              </w:rPr>
              <w:t xml:space="preserve"> working together with private sector stakeholders to engage them in a positive change to achieve more efficient great transport. </w:t>
            </w:r>
          </w:p>
          <w:p w14:paraId="60C249AD" w14:textId="77777777" w:rsidR="005400D8" w:rsidRPr="00A014FD" w:rsidRDefault="005400D8" w:rsidP="00704B82">
            <w:pPr>
              <w:rPr>
                <w:rFonts w:eastAsia="等线"/>
                <w:sz w:val="22"/>
                <w:lang w:val="en-US"/>
              </w:rPr>
            </w:pPr>
            <w:r w:rsidRPr="00A014FD">
              <w:rPr>
                <w:rFonts w:eastAsia="等线"/>
                <w:sz w:val="22"/>
              </w:rPr>
              <w:t>Which dimensions are you concentrating on? Economy, Environment, and Society?</w:t>
            </w:r>
          </w:p>
          <w:p w14:paraId="18915CFF" w14:textId="77777777" w:rsidR="005400D8" w:rsidRPr="00A014FD" w:rsidRDefault="005400D8" w:rsidP="00704B82">
            <w:pPr>
              <w:rPr>
                <w:rFonts w:eastAsia="等线"/>
              </w:rPr>
            </w:pPr>
            <w:r w:rsidRPr="00A014FD">
              <w:rPr>
                <w:rFonts w:eastAsia="等线"/>
                <w:sz w:val="22"/>
              </w:rPr>
              <w:t xml:space="preserve">I guess most on the environmental and societal would be more than the Economy as I work for the city. And </w:t>
            </w:r>
            <w:proofErr w:type="gramStart"/>
            <w:r w:rsidRPr="00A014FD">
              <w:rPr>
                <w:rFonts w:eastAsia="等线"/>
                <w:sz w:val="22"/>
              </w:rPr>
              <w:t>so</w:t>
            </w:r>
            <w:proofErr w:type="gramEnd"/>
            <w:r w:rsidRPr="00A014FD">
              <w:rPr>
                <w:rFonts w:eastAsia="等线"/>
                <w:sz w:val="22"/>
              </w:rPr>
              <w:t xml:space="preserve"> it's very much about minimizing the number of vehicles circulating on the roads and using like: having vehicles circulate at times when they do as little harm as possible, I will just clean the green engines as possible and being as safe and secure as possible. </w:t>
            </w:r>
            <w:proofErr w:type="gramStart"/>
            <w:r w:rsidRPr="00A014FD">
              <w:rPr>
                <w:rFonts w:eastAsia="等线"/>
                <w:sz w:val="22"/>
              </w:rPr>
              <w:t>so</w:t>
            </w:r>
            <w:proofErr w:type="gramEnd"/>
            <w:r w:rsidRPr="00A014FD">
              <w:rPr>
                <w:rFonts w:eastAsia="等线"/>
                <w:sz w:val="22"/>
              </w:rPr>
              <w:t xml:space="preserve"> it's both about emissions, local emissions, and also about the congestion.</w:t>
            </w:r>
          </w:p>
        </w:tc>
      </w:tr>
    </w:tbl>
    <w:p w14:paraId="4EA376CE" w14:textId="77777777" w:rsidR="005400D8" w:rsidRPr="00A014FD" w:rsidRDefault="005400D8" w:rsidP="005400D8">
      <w:pPr>
        <w:spacing w:after="160" w:line="259" w:lineRule="auto"/>
        <w:jc w:val="left"/>
        <w:rPr>
          <w:rFonts w:eastAsia="等线"/>
          <w:lang w:val="en-US"/>
        </w:rPr>
      </w:pPr>
    </w:p>
    <w:p w14:paraId="701194E0" w14:textId="77777777" w:rsidR="005400D8" w:rsidRPr="00A014FD" w:rsidRDefault="005400D8" w:rsidP="005400D8">
      <w:pPr>
        <w:spacing w:after="160"/>
        <w:jc w:val="left"/>
        <w:rPr>
          <w:rFonts w:eastAsia="等线"/>
          <w:b/>
          <w:bCs/>
          <w:bdr w:val="nil"/>
          <w:lang w:val="en-US"/>
        </w:rPr>
      </w:pPr>
      <w:r w:rsidRPr="00A014FD">
        <w:rPr>
          <w:rFonts w:eastAsia="等线"/>
          <w:b/>
          <w:bCs/>
          <w:bdr w:val="nil"/>
          <w:lang w:val="en-US"/>
        </w:rPr>
        <w:t>A3 How long have you been associated with this UCC?</w:t>
      </w:r>
    </w:p>
    <w:tbl>
      <w:tblPr>
        <w:tblStyle w:val="30"/>
        <w:tblW w:w="0" w:type="auto"/>
        <w:tblLook w:val="04A0" w:firstRow="1" w:lastRow="0" w:firstColumn="1" w:lastColumn="0" w:noHBand="0" w:noVBand="1"/>
      </w:tblPr>
      <w:tblGrid>
        <w:gridCol w:w="8296"/>
      </w:tblGrid>
      <w:tr w:rsidR="005400D8" w:rsidRPr="00A014FD" w14:paraId="455AA67B" w14:textId="77777777" w:rsidTr="00704B82">
        <w:tc>
          <w:tcPr>
            <w:tcW w:w="9016" w:type="dxa"/>
          </w:tcPr>
          <w:p w14:paraId="6D893F9F" w14:textId="77777777" w:rsidR="005400D8" w:rsidRPr="00A014FD" w:rsidRDefault="005400D8" w:rsidP="00704B82">
            <w:pPr>
              <w:jc w:val="left"/>
              <w:rPr>
                <w:rFonts w:eastAsia="等线"/>
                <w:sz w:val="22"/>
              </w:rPr>
            </w:pPr>
            <w:r w:rsidRPr="00A014FD">
              <w:rPr>
                <w:rFonts w:eastAsia="等线"/>
                <w:sz w:val="22"/>
              </w:rPr>
              <w:t xml:space="preserve">I have had a little bit more than a year more than a year.  I joined, </w:t>
            </w:r>
            <w:proofErr w:type="gramStart"/>
            <w:r w:rsidRPr="00A014FD">
              <w:rPr>
                <w:rFonts w:eastAsia="等线"/>
                <w:sz w:val="22"/>
              </w:rPr>
              <w:t>actually I</w:t>
            </w:r>
            <w:proofErr w:type="gramEnd"/>
            <w:r w:rsidRPr="00A014FD">
              <w:rPr>
                <w:rFonts w:eastAsia="等线"/>
                <w:sz w:val="22"/>
              </w:rPr>
              <w:t xml:space="preserve"> started this job almost at the same time as the Inauguration of the consolidation centre. </w:t>
            </w:r>
            <w:proofErr w:type="gramStart"/>
            <w:r w:rsidRPr="00A014FD">
              <w:rPr>
                <w:rFonts w:eastAsia="等线"/>
                <w:sz w:val="22"/>
              </w:rPr>
              <w:t>So</w:t>
            </w:r>
            <w:proofErr w:type="gramEnd"/>
            <w:r w:rsidRPr="00A014FD">
              <w:rPr>
                <w:rFonts w:eastAsia="等线"/>
                <w:sz w:val="22"/>
              </w:rPr>
              <w:t xml:space="preserve"> what's my predecessors, my former colleagues that work with like the preparations and so on,</w:t>
            </w:r>
          </w:p>
        </w:tc>
      </w:tr>
    </w:tbl>
    <w:p w14:paraId="41B18FEE" w14:textId="77777777" w:rsidR="005400D8" w:rsidRPr="00A014FD" w:rsidRDefault="005400D8" w:rsidP="005400D8">
      <w:pPr>
        <w:spacing w:after="160"/>
        <w:jc w:val="left"/>
        <w:rPr>
          <w:rFonts w:eastAsia="等线"/>
          <w:b/>
          <w:bCs/>
          <w:bdr w:val="nil"/>
          <w:lang w:val="en-US"/>
        </w:rPr>
      </w:pPr>
    </w:p>
    <w:p w14:paraId="53EB6FBB" w14:textId="77777777" w:rsidR="005400D8" w:rsidRPr="00A014FD" w:rsidRDefault="005400D8" w:rsidP="005400D8">
      <w:pPr>
        <w:spacing w:after="160"/>
        <w:jc w:val="left"/>
        <w:rPr>
          <w:rFonts w:eastAsia="等线"/>
          <w:b/>
          <w:bCs/>
          <w:bdr w:val="nil"/>
          <w:lang w:val="en-US"/>
        </w:rPr>
      </w:pPr>
      <w:r w:rsidRPr="00A014FD">
        <w:rPr>
          <w:rFonts w:eastAsia="等线"/>
          <w:b/>
          <w:bCs/>
          <w:bdr w:val="nil"/>
          <w:lang w:val="en-US"/>
        </w:rPr>
        <w:t xml:space="preserve">A4 To what kind of stakeholder category do </w:t>
      </w:r>
      <w:r w:rsidRPr="00A014FD">
        <w:rPr>
          <w:rFonts w:eastAsia="等线"/>
          <w:b/>
          <w:bCs/>
          <w:noProof/>
          <w:bdr w:val="nil"/>
          <w:lang w:val="en-US"/>
        </w:rPr>
        <w:t>you</w:t>
      </w:r>
      <w:r w:rsidRPr="00A014FD">
        <w:rPr>
          <w:rFonts w:eastAsia="等线"/>
          <w:b/>
          <w:bCs/>
          <w:bdr w:val="nil"/>
          <w:lang w:val="en-US"/>
        </w:rPr>
        <w:t xml:space="preserve"> belong </w:t>
      </w:r>
      <w:r w:rsidRPr="00A014FD">
        <w:rPr>
          <w:rFonts w:eastAsia="等线"/>
          <w:b/>
          <w:bCs/>
          <w:noProof/>
          <w:bdr w:val="nil"/>
          <w:lang w:val="en-US"/>
        </w:rPr>
        <w:t>within</w:t>
      </w:r>
      <w:r w:rsidRPr="00A014FD">
        <w:rPr>
          <w:rFonts w:eastAsia="等线"/>
          <w:b/>
          <w:bCs/>
          <w:bdr w:val="nil"/>
          <w:lang w:val="en-US"/>
        </w:rPr>
        <w:t xml:space="preserve"> the UCC system?</w:t>
      </w:r>
    </w:p>
    <w:tbl>
      <w:tblPr>
        <w:tblW w:w="0" w:type="auto"/>
        <w:tblLayout w:type="fixed"/>
        <w:tblCellMar>
          <w:left w:w="0" w:type="dxa"/>
          <w:right w:w="0" w:type="dxa"/>
        </w:tblCellMar>
        <w:tblLook w:val="0000" w:firstRow="0" w:lastRow="0" w:firstColumn="0" w:lastColumn="0" w:noHBand="0" w:noVBand="0"/>
      </w:tblPr>
      <w:tblGrid>
        <w:gridCol w:w="360"/>
      </w:tblGrid>
      <w:tr w:rsidR="00816154" w14:paraId="61621BE5" w14:textId="77777777">
        <w:tc>
          <w:tcPr>
            <w:tcW w:w="360" w:type="dxa"/>
          </w:tcPr>
          <w:p w14:paraId="0A2A43B6" w14:textId="77777777" w:rsidR="005400D8" w:rsidRPr="00A014FD" w:rsidRDefault="005400D8" w:rsidP="00704B82">
            <w:pPr>
              <w:spacing w:after="160" w:line="259" w:lineRule="auto"/>
              <w:jc w:val="left"/>
              <w:rPr>
                <w:rFonts w:eastAsia="等线"/>
                <w:sz w:val="22"/>
                <w:lang w:val="en-US"/>
              </w:rPr>
            </w:pPr>
            <w:r w:rsidRPr="00A014FD">
              <w:rPr>
                <w:rFonts w:eastAsia="等线"/>
                <w:color w:val="000000"/>
                <w:sz w:val="22"/>
                <w:lang w:val="en-US"/>
              </w:rPr>
              <w:t xml:space="preserve">□ </w:t>
            </w:r>
            <w:r w:rsidRPr="00A014FD">
              <w:rPr>
                <w:rFonts w:eastAsia="等线"/>
                <w:sz w:val="22"/>
                <w:bdr w:val="nil"/>
                <w:lang w:val="en-US"/>
              </w:rPr>
              <w:t>UCC Operator</w:t>
            </w:r>
          </w:p>
        </w:tc>
      </w:tr>
    </w:tbl>
    <w:p w14:paraId="4DF9E1DF" w14:textId="77777777" w:rsidR="00F73634" w:rsidRDefault="00F73634" w:rsidP="00F73634"/>
    <w:tbl>
      <w:tblPr>
        <w:tblW w:w="5000" w:type="pct"/>
        <w:tblLayout w:type="fixed"/>
        <w:tblLook w:val="04A0" w:firstRow="1" w:lastRow="0" w:firstColumn="1" w:lastColumn="0" w:noHBand="0" w:noVBand="1"/>
      </w:tblPr>
      <w:tblGrid>
        <w:gridCol w:w="8306"/>
      </w:tblGrid>
      <w:tr w:rsidR="00F73634" w14:paraId="6FEC5120" w14:textId="77777777" w:rsidTr="00704B82">
        <w:trPr>
          <w:trHeight w:val="500"/>
        </w:trPr>
        <w:tc>
          <w:tcPr>
            <w:tcW w:w="9026" w:type="dxa"/>
            <w:shd w:val="clear" w:color="auto" w:fill="FFFFFF"/>
            <w:vAlign w:val="center"/>
          </w:tcPr>
          <w:p w14:paraId="125613A1" w14:textId="77777777" w:rsidR="005400D8" w:rsidRPr="00A014FD" w:rsidRDefault="005400D8" w:rsidP="00704B82">
            <w:pPr>
              <w:spacing w:after="160" w:line="259" w:lineRule="auto"/>
              <w:jc w:val="left"/>
              <w:rPr>
                <w:rFonts w:eastAsia="微软雅黑"/>
                <w:sz w:val="22"/>
                <w:lang w:val="en-US"/>
              </w:rPr>
            </w:pPr>
            <w:r w:rsidRPr="00A014FD">
              <w:rPr>
                <w:rFonts w:eastAsia="等线"/>
                <w:color w:val="000000"/>
                <w:sz w:val="22"/>
                <w:lang w:val="en-US"/>
              </w:rPr>
              <w:t xml:space="preserve">□ </w:t>
            </w:r>
            <w:r w:rsidRPr="00A014FD">
              <w:rPr>
                <w:rFonts w:eastAsia="等线"/>
                <w:sz w:val="22"/>
                <w:bdr w:val="nil"/>
                <w:lang w:val="en-US"/>
              </w:rPr>
              <w:t>Shipper</w:t>
            </w:r>
          </w:p>
        </w:tc>
      </w:tr>
      <w:tr w:rsidR="00F73634" w14:paraId="5CFB44BA" w14:textId="77777777" w:rsidTr="00704B82">
        <w:trPr>
          <w:trHeight w:val="500"/>
        </w:trPr>
        <w:tc>
          <w:tcPr>
            <w:tcW w:w="9026" w:type="dxa"/>
            <w:shd w:val="clear" w:color="auto" w:fill="FFFFFF"/>
            <w:vAlign w:val="center"/>
          </w:tcPr>
          <w:p w14:paraId="0CF38DBE" w14:textId="77777777" w:rsidR="005400D8" w:rsidRPr="00A014FD" w:rsidRDefault="005400D8" w:rsidP="00704B82">
            <w:pPr>
              <w:spacing w:after="160" w:line="259" w:lineRule="auto"/>
              <w:jc w:val="left"/>
              <w:rPr>
                <w:rFonts w:eastAsia="微软雅黑"/>
                <w:sz w:val="22"/>
                <w:lang w:val="en-US"/>
              </w:rPr>
            </w:pPr>
            <w:r w:rsidRPr="00A014FD">
              <w:rPr>
                <w:rFonts w:eastAsia="等线"/>
                <w:color w:val="000000"/>
                <w:sz w:val="22"/>
                <w:lang w:val="en-US"/>
              </w:rPr>
              <w:t xml:space="preserve">□ </w:t>
            </w:r>
            <w:r w:rsidRPr="00A014FD">
              <w:rPr>
                <w:rFonts w:eastAsia="等线"/>
                <w:sz w:val="22"/>
                <w:bdr w:val="nil"/>
                <w:lang w:val="en-US"/>
              </w:rPr>
              <w:t>Carrier</w:t>
            </w:r>
          </w:p>
        </w:tc>
      </w:tr>
      <w:tr w:rsidR="00F73634" w14:paraId="46F9175B" w14:textId="77777777" w:rsidTr="00704B82">
        <w:trPr>
          <w:trHeight w:val="500"/>
        </w:trPr>
        <w:tc>
          <w:tcPr>
            <w:tcW w:w="9026" w:type="dxa"/>
            <w:shd w:val="clear" w:color="auto" w:fill="FFFFFF"/>
            <w:vAlign w:val="center"/>
          </w:tcPr>
          <w:p w14:paraId="4462807D" w14:textId="77777777" w:rsidR="005400D8" w:rsidRPr="00A014FD" w:rsidRDefault="005400D8" w:rsidP="00704B82">
            <w:pPr>
              <w:spacing w:after="160" w:line="259" w:lineRule="auto"/>
              <w:jc w:val="left"/>
              <w:rPr>
                <w:rFonts w:eastAsia="微软雅黑"/>
                <w:sz w:val="22"/>
                <w:lang w:val="en-US"/>
              </w:rPr>
            </w:pPr>
            <w:r w:rsidRPr="00A014FD">
              <w:rPr>
                <w:rFonts w:eastAsia="等线"/>
                <w:color w:val="000000"/>
                <w:sz w:val="22"/>
                <w:lang w:val="en-US"/>
              </w:rPr>
              <w:t xml:space="preserve">□ </w:t>
            </w:r>
            <w:r w:rsidRPr="00A014FD">
              <w:rPr>
                <w:rFonts w:eastAsia="等线"/>
                <w:sz w:val="22"/>
                <w:bdr w:val="nil"/>
                <w:lang w:val="en-US"/>
              </w:rPr>
              <w:t>Consumer</w:t>
            </w:r>
          </w:p>
        </w:tc>
      </w:tr>
      <w:tr w:rsidR="00F73634" w14:paraId="28436111" w14:textId="77777777" w:rsidTr="00704B82">
        <w:trPr>
          <w:trHeight w:val="500"/>
        </w:trPr>
        <w:tc>
          <w:tcPr>
            <w:tcW w:w="9026" w:type="dxa"/>
            <w:shd w:val="clear" w:color="auto" w:fill="FFFFFF"/>
            <w:vAlign w:val="center"/>
          </w:tcPr>
          <w:p w14:paraId="10478122" w14:textId="77777777" w:rsidR="005400D8" w:rsidRPr="00A014FD" w:rsidRDefault="005400D8" w:rsidP="00704B82">
            <w:pPr>
              <w:spacing w:after="160" w:line="259" w:lineRule="auto"/>
              <w:jc w:val="left"/>
              <w:rPr>
                <w:rFonts w:eastAsia="微软雅黑"/>
                <w:sz w:val="22"/>
                <w:lang w:val="en-US"/>
              </w:rPr>
            </w:pPr>
            <w:r w:rsidRPr="00A014FD">
              <w:rPr>
                <w:rFonts w:eastAsia="等线"/>
                <w:color w:val="000000"/>
                <w:sz w:val="22"/>
                <w:shd w:val="pct15" w:color="auto" w:fill="FFFFFF"/>
                <w:lang w:val="en-US"/>
              </w:rPr>
              <w:t>X</w:t>
            </w:r>
            <w:r w:rsidRPr="00A014FD">
              <w:rPr>
                <w:rFonts w:eastAsia="等线"/>
                <w:color w:val="000000"/>
                <w:sz w:val="22"/>
                <w:lang w:val="en-US"/>
              </w:rPr>
              <w:t xml:space="preserve"> </w:t>
            </w:r>
            <w:r w:rsidRPr="00A014FD">
              <w:rPr>
                <w:rFonts w:eastAsia="等线"/>
                <w:sz w:val="22"/>
                <w:bdr w:val="nil"/>
                <w:lang w:val="en-US"/>
              </w:rPr>
              <w:t>Government (Administrator)</w:t>
            </w:r>
          </w:p>
        </w:tc>
      </w:tr>
      <w:tr w:rsidR="00F73634" w14:paraId="72FA45DF" w14:textId="77777777" w:rsidTr="00704B82">
        <w:trPr>
          <w:trHeight w:val="500"/>
        </w:trPr>
        <w:tc>
          <w:tcPr>
            <w:tcW w:w="9026" w:type="dxa"/>
            <w:shd w:val="clear" w:color="auto" w:fill="FFFFFF"/>
            <w:vAlign w:val="center"/>
          </w:tcPr>
          <w:p w14:paraId="6454F3A3" w14:textId="77777777" w:rsidR="005400D8" w:rsidRPr="00A014FD" w:rsidRDefault="005400D8" w:rsidP="00704B82">
            <w:pPr>
              <w:spacing w:after="160" w:line="259" w:lineRule="auto"/>
              <w:jc w:val="left"/>
              <w:rPr>
                <w:rFonts w:eastAsia="等线"/>
                <w:sz w:val="22"/>
                <w:bdr w:val="nil"/>
                <w:lang w:val="en-US"/>
              </w:rPr>
            </w:pPr>
            <w:r w:rsidRPr="00A014FD">
              <w:rPr>
                <w:rFonts w:eastAsia="等线"/>
                <w:color w:val="000000"/>
                <w:sz w:val="22"/>
                <w:lang w:val="en-US"/>
              </w:rPr>
              <w:t xml:space="preserve">□ </w:t>
            </w:r>
            <w:r w:rsidRPr="00A014FD">
              <w:rPr>
                <w:rFonts w:eastAsia="等线"/>
                <w:sz w:val="22"/>
                <w:bdr w:val="nil"/>
                <w:lang w:val="en-US"/>
              </w:rPr>
              <w:t xml:space="preserve">Other (Please </w:t>
            </w:r>
            <w:proofErr w:type="gramStart"/>
            <w:r w:rsidRPr="00A014FD">
              <w:rPr>
                <w:rFonts w:eastAsia="等线"/>
                <w:sz w:val="22"/>
                <w:bdr w:val="nil"/>
                <w:lang w:val="en-US"/>
              </w:rPr>
              <w:t>Specify)_</w:t>
            </w:r>
            <w:proofErr w:type="gramEnd"/>
            <w:r w:rsidRPr="00A014FD">
              <w:rPr>
                <w:rFonts w:eastAsia="等线"/>
                <w:sz w:val="22"/>
                <w:bdr w:val="nil"/>
                <w:lang w:val="en-US"/>
              </w:rPr>
              <w:t>__________</w:t>
            </w:r>
          </w:p>
        </w:tc>
      </w:tr>
    </w:tbl>
    <w:p w14:paraId="4D7C66E4" w14:textId="77777777" w:rsidR="005400D8" w:rsidRPr="00A014FD" w:rsidRDefault="005400D8" w:rsidP="005400D8">
      <w:pPr>
        <w:spacing w:after="160"/>
        <w:jc w:val="left"/>
        <w:rPr>
          <w:rFonts w:eastAsia="等线"/>
          <w:b/>
          <w:bCs/>
          <w:bdr w:val="nil"/>
          <w:lang w:val="en-US"/>
        </w:rPr>
      </w:pPr>
    </w:p>
    <w:p w14:paraId="38842600" w14:textId="77777777" w:rsidR="005400D8" w:rsidRPr="00A014FD" w:rsidRDefault="005400D8" w:rsidP="005400D8">
      <w:pPr>
        <w:spacing w:after="160" w:line="259" w:lineRule="auto"/>
        <w:jc w:val="left"/>
        <w:rPr>
          <w:rFonts w:eastAsia="等线"/>
          <w:lang w:val="en-US"/>
        </w:rPr>
      </w:pPr>
      <w:r w:rsidRPr="00A014FD">
        <w:rPr>
          <w:rFonts w:eastAsia="等线"/>
          <w:lang w:val="en-US"/>
        </w:rPr>
        <w:br w:type="page"/>
      </w:r>
    </w:p>
    <w:p w14:paraId="40B29A6D" w14:textId="77777777" w:rsidR="005400D8" w:rsidRPr="00A014FD" w:rsidRDefault="005400D8" w:rsidP="005400D8">
      <w:pPr>
        <w:spacing w:after="160"/>
        <w:jc w:val="left"/>
        <w:rPr>
          <w:rFonts w:eastAsia="微软雅黑"/>
          <w:b/>
          <w:bCs/>
          <w:sz w:val="28"/>
          <w:lang w:val="en-US"/>
        </w:rPr>
      </w:pPr>
      <w:r w:rsidRPr="00A014FD">
        <w:rPr>
          <w:rFonts w:eastAsia="等线"/>
          <w:b/>
          <w:bCs/>
          <w:bdr w:val="nil"/>
          <w:lang w:val="en-US"/>
        </w:rPr>
        <w:lastRenderedPageBreak/>
        <w:t xml:space="preserve">B1 What is your understanding about the concept of sustainable urban logistics? </w:t>
      </w:r>
    </w:p>
    <w:tbl>
      <w:tblPr>
        <w:tblStyle w:val="30"/>
        <w:tblW w:w="0" w:type="auto"/>
        <w:tblLook w:val="04A0" w:firstRow="1" w:lastRow="0" w:firstColumn="1" w:lastColumn="0" w:noHBand="0" w:noVBand="1"/>
      </w:tblPr>
      <w:tblGrid>
        <w:gridCol w:w="8296"/>
      </w:tblGrid>
      <w:tr w:rsidR="005400D8" w:rsidRPr="00A014FD" w14:paraId="3FA03F2D" w14:textId="77777777" w:rsidTr="00704B82">
        <w:tc>
          <w:tcPr>
            <w:tcW w:w="9016" w:type="dxa"/>
          </w:tcPr>
          <w:p w14:paraId="1EDB2BEE" w14:textId="77777777" w:rsidR="005400D8" w:rsidRPr="00A014FD" w:rsidRDefault="005400D8" w:rsidP="00704B82">
            <w:pPr>
              <w:rPr>
                <w:rFonts w:eastAsia="等线"/>
              </w:rPr>
            </w:pPr>
            <w:r w:rsidRPr="00A014FD">
              <w:rPr>
                <w:rFonts w:eastAsia="等线"/>
              </w:rPr>
              <w:t xml:space="preserve">To me, I guess it's what I what I said before, </w:t>
            </w:r>
            <w:proofErr w:type="gramStart"/>
            <w:r w:rsidRPr="00A014FD">
              <w:rPr>
                <w:rFonts w:eastAsia="等线"/>
              </w:rPr>
              <w:t>It's</w:t>
            </w:r>
            <w:proofErr w:type="gramEnd"/>
            <w:r w:rsidRPr="00A014FD">
              <w:rPr>
                <w:rFonts w:eastAsia="等线"/>
              </w:rPr>
              <w:t xml:space="preserve"> about uh, minimizing the number of negative impacts from free transport, but still securing access for the different freight flows that help us to create an attractive city. We need to have that goods coming in. We need to have waste going out, but we </w:t>
            </w:r>
            <w:proofErr w:type="gramStart"/>
            <w:r w:rsidRPr="00A014FD">
              <w:rPr>
                <w:rFonts w:eastAsia="等线"/>
              </w:rPr>
              <w:t>have to</w:t>
            </w:r>
            <w:proofErr w:type="gramEnd"/>
            <w:r w:rsidRPr="00A014FD">
              <w:rPr>
                <w:rFonts w:eastAsia="等线"/>
              </w:rPr>
              <w:t xml:space="preserve"> find solutions where the where we can minimize the negative impacts from those transports. </w:t>
            </w:r>
          </w:p>
          <w:p w14:paraId="59310541" w14:textId="77777777" w:rsidR="005400D8" w:rsidRPr="006E3813" w:rsidRDefault="005400D8" w:rsidP="00704B82">
            <w:pPr>
              <w:rPr>
                <w:rFonts w:eastAsia="等线"/>
                <w:b/>
                <w:bCs/>
              </w:rPr>
            </w:pPr>
            <w:r w:rsidRPr="006E3813">
              <w:rPr>
                <w:rFonts w:eastAsia="等线"/>
                <w:b/>
                <w:bCs/>
              </w:rPr>
              <w:t>Can you list some examples of bad impacts generated from the city logistics?</w:t>
            </w:r>
          </w:p>
          <w:p w14:paraId="48A36681" w14:textId="77777777" w:rsidR="005400D8" w:rsidRPr="00A014FD" w:rsidRDefault="005400D8" w:rsidP="00704B82">
            <w:pPr>
              <w:rPr>
                <w:rFonts w:eastAsia="等线"/>
              </w:rPr>
            </w:pPr>
            <w:r w:rsidRPr="00A014FD">
              <w:rPr>
                <w:rFonts w:eastAsia="等线"/>
              </w:rPr>
              <w:t xml:space="preserve">Yes. Bad impact. What is the best that impact other? Anyway? It's like, noise from trucks, it's a </w:t>
            </w:r>
            <w:proofErr w:type="gramStart"/>
            <w:r w:rsidRPr="00A014FD">
              <w:rPr>
                <w:rFonts w:eastAsia="等线"/>
              </w:rPr>
              <w:t>local emissions</w:t>
            </w:r>
            <w:proofErr w:type="gramEnd"/>
            <w:r w:rsidRPr="00A014FD">
              <w:rPr>
                <w:rFonts w:eastAsia="等线"/>
              </w:rPr>
              <w:t xml:space="preserve">, climate change emissions. Uh, we have congestion, we have road safety </w:t>
            </w:r>
            <w:proofErr w:type="gramStart"/>
            <w:r w:rsidRPr="00A014FD">
              <w:rPr>
                <w:rFonts w:eastAsia="等线"/>
              </w:rPr>
              <w:t>and also</w:t>
            </w:r>
            <w:proofErr w:type="gramEnd"/>
            <w:r w:rsidRPr="00A014FD">
              <w:rPr>
                <w:rFonts w:eastAsia="等线"/>
              </w:rPr>
              <w:t xml:space="preserve"> maybe a security, and how people perceive the situation.</w:t>
            </w:r>
          </w:p>
        </w:tc>
      </w:tr>
    </w:tbl>
    <w:p w14:paraId="01A472CD" w14:textId="77777777" w:rsidR="005400D8" w:rsidRPr="00A014FD" w:rsidRDefault="005400D8" w:rsidP="005400D8">
      <w:pPr>
        <w:spacing w:after="160" w:line="259" w:lineRule="auto"/>
        <w:jc w:val="left"/>
        <w:rPr>
          <w:rFonts w:eastAsia="等线"/>
          <w:lang w:val="en-US"/>
        </w:rPr>
      </w:pPr>
    </w:p>
    <w:p w14:paraId="1CD4C099" w14:textId="77777777" w:rsidR="005400D8" w:rsidRPr="00A014FD" w:rsidRDefault="005400D8" w:rsidP="005400D8">
      <w:pPr>
        <w:spacing w:after="160"/>
        <w:rPr>
          <w:rFonts w:eastAsia="等线"/>
          <w:b/>
          <w:bCs/>
          <w:lang w:val="en-US"/>
        </w:rPr>
      </w:pPr>
      <w:r w:rsidRPr="00A014FD">
        <w:rPr>
          <w:rFonts w:eastAsia="等线"/>
          <w:b/>
          <w:bCs/>
          <w:bdr w:val="nil"/>
          <w:lang w:val="en-US"/>
        </w:rPr>
        <w:t xml:space="preserve">B2 What is your understanding about the role of this UCC within sustainable urban logistics strategies? </w:t>
      </w:r>
    </w:p>
    <w:tbl>
      <w:tblPr>
        <w:tblStyle w:val="30"/>
        <w:tblW w:w="0" w:type="auto"/>
        <w:tblLook w:val="04A0" w:firstRow="1" w:lastRow="0" w:firstColumn="1" w:lastColumn="0" w:noHBand="0" w:noVBand="1"/>
      </w:tblPr>
      <w:tblGrid>
        <w:gridCol w:w="8296"/>
      </w:tblGrid>
      <w:tr w:rsidR="005400D8" w:rsidRPr="00A014FD" w14:paraId="35CE1855" w14:textId="77777777" w:rsidTr="00704B82">
        <w:tc>
          <w:tcPr>
            <w:tcW w:w="9016" w:type="dxa"/>
          </w:tcPr>
          <w:p w14:paraId="28ED61CF" w14:textId="77777777" w:rsidR="005400D8" w:rsidRPr="00A014FD" w:rsidRDefault="005400D8" w:rsidP="00704B82">
            <w:pPr>
              <w:rPr>
                <w:rFonts w:eastAsia="等线"/>
              </w:rPr>
            </w:pPr>
            <w:r w:rsidRPr="00A014FD">
              <w:rPr>
                <w:rFonts w:eastAsia="等线"/>
              </w:rPr>
              <w:t xml:space="preserve">I would say that it's a tool to achieve what I just said to minimize the negative </w:t>
            </w:r>
            <w:proofErr w:type="gramStart"/>
            <w:r w:rsidRPr="00A014FD">
              <w:rPr>
                <w:rFonts w:eastAsia="等线"/>
              </w:rPr>
              <w:t>effect .Because</w:t>
            </w:r>
            <w:proofErr w:type="gramEnd"/>
            <w:r w:rsidRPr="00A014FD">
              <w:rPr>
                <w:rFonts w:eastAsia="等线"/>
              </w:rPr>
              <w:t xml:space="preserve"> when you have a consolidation </w:t>
            </w:r>
            <w:proofErr w:type="spellStart"/>
            <w:r w:rsidRPr="00A014FD">
              <w:rPr>
                <w:rFonts w:eastAsia="等线"/>
              </w:rPr>
              <w:t>center</w:t>
            </w:r>
            <w:proofErr w:type="spellEnd"/>
            <w:r w:rsidRPr="00A014FD">
              <w:rPr>
                <w:rFonts w:eastAsia="等线"/>
              </w:rPr>
              <w:t xml:space="preserve">, you can combine it with other measures. For example, you can have the big trucks going to and from the consolidation </w:t>
            </w:r>
            <w:proofErr w:type="spellStart"/>
            <w:r w:rsidRPr="00A014FD">
              <w:rPr>
                <w:rFonts w:eastAsia="等线"/>
              </w:rPr>
              <w:t>center</w:t>
            </w:r>
            <w:proofErr w:type="spellEnd"/>
            <w:r w:rsidRPr="00A014FD">
              <w:rPr>
                <w:rFonts w:eastAsia="等线"/>
              </w:rPr>
              <w:t>, or in this case, the micro terminal. You can have those transport by night maybe. And then you can have the local distribution and collection of waste with the, as in this case, smaller, less emission, less noisy vehicles and less problematic. when it comes to road safety are very good.</w:t>
            </w:r>
          </w:p>
        </w:tc>
      </w:tr>
    </w:tbl>
    <w:p w14:paraId="3E8833B5" w14:textId="77777777" w:rsidR="005400D8" w:rsidRPr="00A014FD" w:rsidRDefault="005400D8" w:rsidP="005400D8">
      <w:pPr>
        <w:spacing w:after="160" w:line="259" w:lineRule="auto"/>
        <w:jc w:val="left"/>
        <w:rPr>
          <w:rFonts w:eastAsia="等线"/>
          <w:lang w:val="en-US"/>
        </w:rPr>
      </w:pPr>
    </w:p>
    <w:p w14:paraId="0A34792E" w14:textId="77777777" w:rsidR="005400D8" w:rsidRPr="00A014FD" w:rsidRDefault="005400D8" w:rsidP="005400D8">
      <w:pPr>
        <w:spacing w:after="160" w:line="259" w:lineRule="auto"/>
        <w:jc w:val="left"/>
        <w:rPr>
          <w:rFonts w:eastAsia="等线"/>
          <w:lang w:val="en-US"/>
        </w:rPr>
      </w:pPr>
      <w:r w:rsidRPr="00A014FD">
        <w:rPr>
          <w:rFonts w:eastAsia="等线"/>
          <w:lang w:val="en-US"/>
        </w:rPr>
        <w:br w:type="page"/>
      </w:r>
    </w:p>
    <w:p w14:paraId="1A1985B2" w14:textId="77777777" w:rsidR="005400D8" w:rsidRPr="00A014FD" w:rsidRDefault="005400D8" w:rsidP="005400D8">
      <w:pPr>
        <w:spacing w:after="160"/>
        <w:rPr>
          <w:rFonts w:eastAsia="等线"/>
          <w:b/>
          <w:bCs/>
          <w:bdr w:val="nil"/>
          <w:lang w:val="en-US"/>
        </w:rPr>
      </w:pPr>
      <w:r w:rsidRPr="00A014FD">
        <w:rPr>
          <w:rFonts w:eastAsia="等线"/>
          <w:b/>
          <w:bCs/>
          <w:bdr w:val="nil"/>
          <w:lang w:val="en-US"/>
        </w:rPr>
        <w:lastRenderedPageBreak/>
        <w:t xml:space="preserve">C1 Based on </w:t>
      </w:r>
      <w:r w:rsidRPr="00A014FD">
        <w:rPr>
          <w:rFonts w:eastAsia="等线"/>
          <w:b/>
          <w:bCs/>
          <w:noProof/>
          <w:bdr w:val="nil"/>
          <w:lang w:val="en-US"/>
        </w:rPr>
        <w:t>your</w:t>
      </w:r>
      <w:r w:rsidRPr="00A014FD">
        <w:rPr>
          <w:rFonts w:eastAsia="等线"/>
          <w:b/>
          <w:bCs/>
          <w:bdr w:val="nil"/>
          <w:lang w:val="en-US"/>
        </w:rPr>
        <w:t xml:space="preserve"> experience, select the relevant indicators that</w:t>
      </w:r>
      <w:r w:rsidRPr="00A014FD">
        <w:rPr>
          <w:rFonts w:eastAsia="等线"/>
          <w:b/>
          <w:bCs/>
          <w:noProof/>
          <w:bdr w:val="nil"/>
          <w:lang w:val="en-US"/>
        </w:rPr>
        <w:t xml:space="preserve"> apply to</w:t>
      </w:r>
      <w:r w:rsidRPr="00A014FD">
        <w:rPr>
          <w:rFonts w:eastAsia="等线"/>
          <w:b/>
          <w:bCs/>
          <w:bdr w:val="nil"/>
          <w:lang w:val="en-US"/>
        </w:rPr>
        <w:t xml:space="preserve"> </w:t>
      </w:r>
      <w:r w:rsidRPr="00A014FD">
        <w:rPr>
          <w:rFonts w:eastAsia="等线"/>
          <w:b/>
          <w:bCs/>
          <w:noProof/>
          <w:bdr w:val="nil"/>
          <w:lang w:val="en-US"/>
        </w:rPr>
        <w:t>your</w:t>
      </w:r>
      <w:r w:rsidRPr="00A014FD">
        <w:rPr>
          <w:rFonts w:eastAsia="等线"/>
          <w:b/>
          <w:bCs/>
          <w:bdr w:val="nil"/>
          <w:lang w:val="en-US"/>
        </w:rPr>
        <w:t xml:space="preserve"> </w:t>
      </w:r>
      <w:proofErr w:type="spellStart"/>
      <w:r w:rsidRPr="00A014FD">
        <w:rPr>
          <w:rFonts w:eastAsia="等线"/>
          <w:b/>
          <w:bCs/>
          <w:bdr w:val="nil"/>
          <w:lang w:val="en-US"/>
        </w:rPr>
        <w:t>organisational</w:t>
      </w:r>
      <w:proofErr w:type="spellEnd"/>
      <w:r w:rsidRPr="00A014FD">
        <w:rPr>
          <w:rFonts w:eastAsia="等线"/>
          <w:b/>
          <w:bCs/>
          <w:bdr w:val="nil"/>
          <w:lang w:val="en-US"/>
        </w:rPr>
        <w:t xml:space="preserve"> objectives </w:t>
      </w:r>
      <w:r w:rsidRPr="00A014FD">
        <w:rPr>
          <w:rFonts w:eastAsia="等线"/>
          <w:b/>
          <w:bCs/>
          <w:noProof/>
          <w:bdr w:val="nil"/>
          <w:lang w:val="en-US"/>
        </w:rPr>
        <w:t>and/or</w:t>
      </w:r>
      <w:r w:rsidRPr="00A014FD">
        <w:rPr>
          <w:rFonts w:eastAsia="等线"/>
          <w:b/>
          <w:bCs/>
          <w:bdr w:val="nil"/>
          <w:lang w:val="en-US"/>
        </w:rPr>
        <w:t xml:space="preserve"> to the ones of the whole UCC system.</w:t>
      </w:r>
    </w:p>
    <w:tbl>
      <w:tblPr>
        <w:tblStyle w:val="30"/>
        <w:tblW w:w="8789" w:type="dxa"/>
        <w:jc w:val="center"/>
        <w:tblLayout w:type="fixed"/>
        <w:tblLook w:val="04A0" w:firstRow="1" w:lastRow="0" w:firstColumn="1" w:lastColumn="0" w:noHBand="0" w:noVBand="1"/>
      </w:tblPr>
      <w:tblGrid>
        <w:gridCol w:w="2263"/>
        <w:gridCol w:w="3715"/>
        <w:gridCol w:w="1530"/>
        <w:gridCol w:w="1281"/>
      </w:tblGrid>
      <w:tr w:rsidR="005400D8" w:rsidRPr="00A014FD" w14:paraId="567B0608" w14:textId="77777777" w:rsidTr="00704B82">
        <w:trPr>
          <w:trHeight w:val="151"/>
          <w:jc w:val="center"/>
        </w:trPr>
        <w:tc>
          <w:tcPr>
            <w:tcW w:w="2263" w:type="dxa"/>
            <w:vMerge w:val="restart"/>
            <w:tcBorders>
              <w:top w:val="single" w:sz="4" w:space="0" w:color="auto"/>
              <w:left w:val="single" w:sz="4" w:space="0" w:color="auto"/>
              <w:right w:val="single" w:sz="4" w:space="0" w:color="auto"/>
            </w:tcBorders>
            <w:noWrap/>
            <w:vAlign w:val="center"/>
            <w:hideMark/>
          </w:tcPr>
          <w:p w14:paraId="602AC90A" w14:textId="77777777" w:rsidR="005400D8" w:rsidRPr="00A014FD" w:rsidRDefault="005400D8" w:rsidP="00704B82">
            <w:pPr>
              <w:jc w:val="left"/>
              <w:rPr>
                <w:rFonts w:eastAsia="等线"/>
                <w:color w:val="000000"/>
                <w:sz w:val="22"/>
              </w:rPr>
            </w:pPr>
            <w:r w:rsidRPr="00A014FD">
              <w:rPr>
                <w:rFonts w:eastAsia="等线"/>
                <w:color w:val="000000"/>
                <w:sz w:val="22"/>
              </w:rPr>
              <w:t>Dimension</w:t>
            </w:r>
          </w:p>
        </w:tc>
        <w:tc>
          <w:tcPr>
            <w:tcW w:w="3715" w:type="dxa"/>
            <w:vMerge w:val="restart"/>
            <w:tcBorders>
              <w:top w:val="single" w:sz="4" w:space="0" w:color="auto"/>
              <w:left w:val="single" w:sz="4" w:space="0" w:color="auto"/>
              <w:right w:val="single" w:sz="4" w:space="0" w:color="auto"/>
            </w:tcBorders>
            <w:noWrap/>
            <w:vAlign w:val="center"/>
            <w:hideMark/>
          </w:tcPr>
          <w:p w14:paraId="646F7A7E" w14:textId="77777777" w:rsidR="005400D8" w:rsidRPr="00A014FD" w:rsidRDefault="005400D8" w:rsidP="00704B82">
            <w:pPr>
              <w:jc w:val="center"/>
              <w:rPr>
                <w:rFonts w:eastAsia="等线"/>
                <w:color w:val="000000"/>
                <w:sz w:val="22"/>
              </w:rPr>
            </w:pPr>
            <w:r w:rsidRPr="00A014FD">
              <w:rPr>
                <w:rFonts w:eastAsia="等线"/>
                <w:color w:val="000000"/>
                <w:sz w:val="22"/>
              </w:rPr>
              <w:t>Indicators</w:t>
            </w:r>
          </w:p>
        </w:tc>
        <w:tc>
          <w:tcPr>
            <w:tcW w:w="1530" w:type="dxa"/>
            <w:tcBorders>
              <w:top w:val="single" w:sz="4" w:space="0" w:color="auto"/>
              <w:left w:val="single" w:sz="4" w:space="0" w:color="auto"/>
              <w:bottom w:val="single" w:sz="4" w:space="0" w:color="auto"/>
              <w:right w:val="single" w:sz="4" w:space="0" w:color="auto"/>
            </w:tcBorders>
            <w:hideMark/>
          </w:tcPr>
          <w:p w14:paraId="23BB2943" w14:textId="77777777" w:rsidR="005400D8" w:rsidRPr="00A014FD" w:rsidRDefault="005400D8" w:rsidP="00704B82">
            <w:pPr>
              <w:jc w:val="center"/>
              <w:rPr>
                <w:rFonts w:eastAsia="等线"/>
                <w:color w:val="000000"/>
                <w:sz w:val="22"/>
              </w:rPr>
            </w:pPr>
            <w:r w:rsidRPr="00A014FD">
              <w:rPr>
                <w:rFonts w:eastAsia="等线"/>
                <w:color w:val="000000"/>
                <w:sz w:val="22"/>
              </w:rPr>
              <w:t xml:space="preserve">Relevant to </w:t>
            </w:r>
          </w:p>
          <w:p w14:paraId="5E2AC1FC" w14:textId="77777777" w:rsidR="005400D8" w:rsidRPr="00A014FD" w:rsidRDefault="005400D8" w:rsidP="00704B82">
            <w:pPr>
              <w:jc w:val="center"/>
              <w:rPr>
                <w:rFonts w:eastAsia="等线"/>
                <w:color w:val="000000"/>
                <w:sz w:val="22"/>
              </w:rPr>
            </w:pPr>
            <w:r w:rsidRPr="00A014FD">
              <w:rPr>
                <w:rFonts w:eastAsia="等线"/>
                <w:noProof/>
                <w:color w:val="000000"/>
                <w:sz w:val="22"/>
              </w:rPr>
              <w:t>Your</w:t>
            </w:r>
            <w:r w:rsidRPr="00A014FD">
              <w:rPr>
                <w:rFonts w:eastAsia="等线"/>
                <w:color w:val="000000"/>
                <w:sz w:val="22"/>
              </w:rPr>
              <w:t xml:space="preserve"> Organisation</w:t>
            </w:r>
          </w:p>
        </w:tc>
        <w:tc>
          <w:tcPr>
            <w:tcW w:w="1281" w:type="dxa"/>
            <w:tcBorders>
              <w:top w:val="single" w:sz="4" w:space="0" w:color="auto"/>
              <w:left w:val="single" w:sz="4" w:space="0" w:color="auto"/>
              <w:bottom w:val="single" w:sz="4" w:space="0" w:color="auto"/>
              <w:right w:val="single" w:sz="4" w:space="0" w:color="auto"/>
            </w:tcBorders>
          </w:tcPr>
          <w:p w14:paraId="2960C7CD" w14:textId="77777777" w:rsidR="005400D8" w:rsidRPr="00A014FD" w:rsidRDefault="005400D8" w:rsidP="00704B82">
            <w:pPr>
              <w:jc w:val="center"/>
              <w:rPr>
                <w:rFonts w:eastAsia="等线"/>
                <w:color w:val="000000"/>
                <w:sz w:val="22"/>
              </w:rPr>
            </w:pPr>
            <w:r w:rsidRPr="00A014FD">
              <w:rPr>
                <w:rFonts w:eastAsia="等线"/>
                <w:color w:val="000000"/>
                <w:sz w:val="22"/>
              </w:rPr>
              <w:t xml:space="preserve">Relevant </w:t>
            </w:r>
            <w:r w:rsidRPr="00A014FD">
              <w:rPr>
                <w:rFonts w:eastAsia="等线"/>
                <w:color w:val="000000"/>
                <w:sz w:val="22"/>
              </w:rPr>
              <w:br/>
            </w:r>
            <w:r w:rsidRPr="00A014FD">
              <w:rPr>
                <w:rFonts w:eastAsia="等线"/>
                <w:noProof/>
                <w:color w:val="000000"/>
                <w:sz w:val="22"/>
              </w:rPr>
              <w:t>to</w:t>
            </w:r>
            <w:r w:rsidRPr="00A014FD">
              <w:rPr>
                <w:rFonts w:eastAsia="等线"/>
                <w:color w:val="000000"/>
                <w:sz w:val="22"/>
              </w:rPr>
              <w:t xml:space="preserve"> UCC Operation</w:t>
            </w:r>
          </w:p>
          <w:p w14:paraId="00DDC27E" w14:textId="77777777" w:rsidR="005400D8" w:rsidRPr="00A014FD" w:rsidRDefault="005400D8" w:rsidP="00704B82">
            <w:pPr>
              <w:jc w:val="center"/>
              <w:rPr>
                <w:rFonts w:eastAsia="等线"/>
                <w:color w:val="000000"/>
                <w:sz w:val="22"/>
              </w:rPr>
            </w:pPr>
          </w:p>
        </w:tc>
      </w:tr>
      <w:tr w:rsidR="005400D8" w:rsidRPr="00A014FD" w14:paraId="1975DCCA" w14:textId="77777777" w:rsidTr="00704B82">
        <w:trPr>
          <w:trHeight w:val="151"/>
          <w:jc w:val="center"/>
        </w:trPr>
        <w:tc>
          <w:tcPr>
            <w:tcW w:w="2263" w:type="dxa"/>
            <w:vMerge/>
            <w:tcBorders>
              <w:left w:val="single" w:sz="4" w:space="0" w:color="auto"/>
              <w:bottom w:val="single" w:sz="4" w:space="0" w:color="auto"/>
              <w:right w:val="single" w:sz="4" w:space="0" w:color="auto"/>
            </w:tcBorders>
            <w:noWrap/>
            <w:vAlign w:val="center"/>
          </w:tcPr>
          <w:p w14:paraId="48A34BD4" w14:textId="77777777" w:rsidR="005400D8" w:rsidRPr="00A014FD" w:rsidRDefault="005400D8" w:rsidP="00704B82">
            <w:pPr>
              <w:jc w:val="left"/>
              <w:rPr>
                <w:rFonts w:eastAsia="等线"/>
                <w:color w:val="000000"/>
                <w:sz w:val="22"/>
              </w:rPr>
            </w:pPr>
          </w:p>
        </w:tc>
        <w:tc>
          <w:tcPr>
            <w:tcW w:w="3715" w:type="dxa"/>
            <w:vMerge/>
            <w:tcBorders>
              <w:left w:val="single" w:sz="4" w:space="0" w:color="auto"/>
              <w:bottom w:val="single" w:sz="4" w:space="0" w:color="auto"/>
              <w:right w:val="single" w:sz="4" w:space="0" w:color="auto"/>
            </w:tcBorders>
            <w:noWrap/>
            <w:vAlign w:val="center"/>
          </w:tcPr>
          <w:p w14:paraId="3BA0F109" w14:textId="77777777" w:rsidR="005400D8" w:rsidRPr="00A014FD" w:rsidRDefault="005400D8" w:rsidP="00704B82">
            <w:pPr>
              <w:jc w:val="center"/>
              <w:rPr>
                <w:rFonts w:eastAsia="等线"/>
                <w:color w:val="000000"/>
                <w:sz w:val="22"/>
              </w:rPr>
            </w:pPr>
          </w:p>
        </w:tc>
        <w:tc>
          <w:tcPr>
            <w:tcW w:w="1530" w:type="dxa"/>
            <w:tcBorders>
              <w:top w:val="single" w:sz="4" w:space="0" w:color="auto"/>
              <w:left w:val="single" w:sz="4" w:space="0" w:color="auto"/>
              <w:bottom w:val="single" w:sz="4" w:space="0" w:color="auto"/>
              <w:right w:val="single" w:sz="4" w:space="0" w:color="auto"/>
            </w:tcBorders>
          </w:tcPr>
          <w:p w14:paraId="284BCB20" w14:textId="77777777" w:rsidR="005400D8" w:rsidRPr="00A014FD" w:rsidRDefault="005400D8" w:rsidP="00704B82">
            <w:pPr>
              <w:jc w:val="center"/>
              <w:rPr>
                <w:rFonts w:eastAsia="等线"/>
                <w:color w:val="000000"/>
                <w:sz w:val="22"/>
              </w:rPr>
            </w:pPr>
            <w:r w:rsidRPr="00A014FD">
              <w:rPr>
                <w:rFonts w:ascii="MS Mincho" w:eastAsia="MS Mincho" w:hAnsi="MS Mincho" w:cs="MS Mincho" w:hint="eastAsia"/>
                <w:bCs/>
                <w:color w:val="545454"/>
                <w:sz w:val="22"/>
                <w:shd w:val="clear" w:color="auto" w:fill="FFFFFF"/>
              </w:rPr>
              <w:t>✓</w:t>
            </w:r>
          </w:p>
        </w:tc>
        <w:tc>
          <w:tcPr>
            <w:tcW w:w="1281" w:type="dxa"/>
            <w:tcBorders>
              <w:top w:val="single" w:sz="4" w:space="0" w:color="auto"/>
              <w:left w:val="single" w:sz="4" w:space="0" w:color="auto"/>
              <w:bottom w:val="single" w:sz="4" w:space="0" w:color="auto"/>
              <w:right w:val="single" w:sz="4" w:space="0" w:color="auto"/>
            </w:tcBorders>
          </w:tcPr>
          <w:p w14:paraId="7EBC50D4" w14:textId="77777777" w:rsidR="005400D8" w:rsidRPr="00A014FD" w:rsidRDefault="005400D8" w:rsidP="00704B82">
            <w:pPr>
              <w:jc w:val="center"/>
              <w:rPr>
                <w:rFonts w:eastAsia="等线"/>
                <w:color w:val="000000"/>
                <w:sz w:val="22"/>
              </w:rPr>
            </w:pPr>
            <w:r w:rsidRPr="00A014FD">
              <w:rPr>
                <w:rFonts w:ascii="MS Mincho" w:eastAsia="MS Mincho" w:hAnsi="MS Mincho" w:cs="MS Mincho" w:hint="eastAsia"/>
                <w:bCs/>
                <w:color w:val="545454"/>
                <w:sz w:val="22"/>
                <w:shd w:val="clear" w:color="auto" w:fill="FFFFFF"/>
              </w:rPr>
              <w:t>✓</w:t>
            </w:r>
          </w:p>
        </w:tc>
      </w:tr>
      <w:tr w:rsidR="005400D8" w:rsidRPr="00A014FD" w14:paraId="2C6FEDC5" w14:textId="77777777" w:rsidTr="00704B82">
        <w:trPr>
          <w:trHeight w:val="315"/>
          <w:jc w:val="center"/>
        </w:trPr>
        <w:tc>
          <w:tcPr>
            <w:tcW w:w="2263" w:type="dxa"/>
            <w:vMerge w:val="restart"/>
            <w:tcBorders>
              <w:top w:val="single" w:sz="4" w:space="0" w:color="auto"/>
              <w:left w:val="single" w:sz="4" w:space="0" w:color="auto"/>
              <w:bottom w:val="single" w:sz="4" w:space="0" w:color="auto"/>
              <w:right w:val="single" w:sz="4" w:space="0" w:color="auto"/>
            </w:tcBorders>
            <w:noWrap/>
            <w:vAlign w:val="center"/>
            <w:hideMark/>
          </w:tcPr>
          <w:p w14:paraId="59A3E9F4" w14:textId="77777777" w:rsidR="005400D8" w:rsidRPr="00A014FD" w:rsidRDefault="005400D8" w:rsidP="00704B82">
            <w:pPr>
              <w:jc w:val="left"/>
              <w:rPr>
                <w:rFonts w:eastAsia="等线"/>
                <w:color w:val="000000"/>
                <w:sz w:val="22"/>
              </w:rPr>
            </w:pPr>
            <w:r w:rsidRPr="00A014FD">
              <w:rPr>
                <w:rFonts w:eastAsia="等线"/>
                <w:color w:val="000000"/>
                <w:sz w:val="22"/>
              </w:rPr>
              <w:t>Economic</w:t>
            </w:r>
          </w:p>
        </w:tc>
        <w:tc>
          <w:tcPr>
            <w:tcW w:w="3715" w:type="dxa"/>
            <w:tcBorders>
              <w:top w:val="single" w:sz="4" w:space="0" w:color="auto"/>
              <w:left w:val="single" w:sz="4" w:space="0" w:color="auto"/>
              <w:bottom w:val="single" w:sz="4" w:space="0" w:color="auto"/>
              <w:right w:val="single" w:sz="4" w:space="0" w:color="auto"/>
            </w:tcBorders>
            <w:noWrap/>
            <w:hideMark/>
          </w:tcPr>
          <w:p w14:paraId="005314CE" w14:textId="77777777" w:rsidR="005400D8" w:rsidRPr="00A014FD" w:rsidRDefault="005400D8" w:rsidP="00704B82">
            <w:pPr>
              <w:jc w:val="left"/>
              <w:rPr>
                <w:rFonts w:eastAsia="等线"/>
                <w:color w:val="000000"/>
                <w:sz w:val="22"/>
              </w:rPr>
            </w:pPr>
            <w:r w:rsidRPr="00A014FD">
              <w:rPr>
                <w:rFonts w:eastAsia="等线"/>
                <w:color w:val="000000"/>
                <w:sz w:val="22"/>
              </w:rPr>
              <w:t>Annual Operating Cost</w:t>
            </w:r>
          </w:p>
        </w:tc>
        <w:tc>
          <w:tcPr>
            <w:tcW w:w="1530" w:type="dxa"/>
            <w:tcBorders>
              <w:top w:val="single" w:sz="4" w:space="0" w:color="auto"/>
              <w:left w:val="single" w:sz="4" w:space="0" w:color="auto"/>
              <w:bottom w:val="nil"/>
              <w:right w:val="nil"/>
            </w:tcBorders>
            <w:vAlign w:val="center"/>
          </w:tcPr>
          <w:p w14:paraId="0E51CA2D" w14:textId="77777777" w:rsidR="005400D8" w:rsidRPr="00A014FD" w:rsidRDefault="005400D8" w:rsidP="00704B82">
            <w:pPr>
              <w:jc w:val="center"/>
              <w:rPr>
                <w:rFonts w:eastAsia="等线"/>
                <w:color w:val="000000"/>
                <w:sz w:val="22"/>
              </w:rPr>
            </w:pPr>
            <w:r w:rsidRPr="00A014FD">
              <w:rPr>
                <w:rFonts w:eastAsia="等线"/>
                <w:color w:val="000000"/>
                <w:sz w:val="22"/>
              </w:rPr>
              <w:t>□</w:t>
            </w:r>
          </w:p>
        </w:tc>
        <w:tc>
          <w:tcPr>
            <w:tcW w:w="1281" w:type="dxa"/>
            <w:tcBorders>
              <w:top w:val="single" w:sz="4" w:space="0" w:color="auto"/>
              <w:left w:val="nil"/>
              <w:bottom w:val="nil"/>
              <w:right w:val="single" w:sz="4" w:space="0" w:color="auto"/>
            </w:tcBorders>
            <w:vAlign w:val="center"/>
          </w:tcPr>
          <w:p w14:paraId="72C5E1AF" w14:textId="77777777" w:rsidR="005400D8" w:rsidRPr="00A014FD" w:rsidRDefault="005400D8" w:rsidP="00704B82">
            <w:pPr>
              <w:jc w:val="center"/>
              <w:rPr>
                <w:rFonts w:eastAsia="等线"/>
                <w:color w:val="000000"/>
                <w:sz w:val="22"/>
              </w:rPr>
            </w:pPr>
            <w:r w:rsidRPr="00A014FD">
              <w:rPr>
                <w:rFonts w:ascii="MS Mincho" w:eastAsia="MS Mincho" w:hAnsi="MS Mincho" w:cs="MS Mincho" w:hint="eastAsia"/>
                <w:bCs/>
                <w:color w:val="545454"/>
                <w:sz w:val="22"/>
                <w:shd w:val="clear" w:color="auto" w:fill="FFFFFF"/>
              </w:rPr>
              <w:t>✓</w:t>
            </w:r>
          </w:p>
        </w:tc>
      </w:tr>
      <w:tr w:rsidR="005400D8" w:rsidRPr="00A014FD" w14:paraId="7C1ED793" w14:textId="77777777" w:rsidTr="00704B82">
        <w:trPr>
          <w:trHeight w:val="315"/>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5D015989" w14:textId="77777777" w:rsidR="005400D8" w:rsidRPr="00A014FD" w:rsidRDefault="005400D8" w:rsidP="00704B82">
            <w:pPr>
              <w:jc w:val="left"/>
              <w:rPr>
                <w:rFonts w:eastAsia="等线"/>
                <w:color w:val="000000"/>
                <w:sz w:val="22"/>
              </w:rPr>
            </w:pPr>
          </w:p>
        </w:tc>
        <w:tc>
          <w:tcPr>
            <w:tcW w:w="3715" w:type="dxa"/>
            <w:tcBorders>
              <w:top w:val="single" w:sz="4" w:space="0" w:color="auto"/>
              <w:left w:val="single" w:sz="4" w:space="0" w:color="auto"/>
              <w:bottom w:val="single" w:sz="4" w:space="0" w:color="auto"/>
              <w:right w:val="single" w:sz="4" w:space="0" w:color="auto"/>
            </w:tcBorders>
            <w:noWrap/>
            <w:hideMark/>
          </w:tcPr>
          <w:p w14:paraId="17D4B4BD" w14:textId="77777777" w:rsidR="005400D8" w:rsidRPr="00A014FD" w:rsidRDefault="005400D8" w:rsidP="00704B82">
            <w:pPr>
              <w:jc w:val="left"/>
              <w:rPr>
                <w:rFonts w:eastAsia="等线"/>
                <w:color w:val="000000"/>
                <w:sz w:val="22"/>
              </w:rPr>
            </w:pPr>
            <w:r w:rsidRPr="00A014FD">
              <w:rPr>
                <w:rFonts w:eastAsia="等线"/>
                <w:color w:val="000000"/>
                <w:sz w:val="22"/>
              </w:rPr>
              <w:t>Annual Revenues</w:t>
            </w:r>
          </w:p>
        </w:tc>
        <w:tc>
          <w:tcPr>
            <w:tcW w:w="1530" w:type="dxa"/>
            <w:tcBorders>
              <w:top w:val="nil"/>
              <w:left w:val="single" w:sz="4" w:space="0" w:color="auto"/>
              <w:bottom w:val="nil"/>
              <w:right w:val="nil"/>
            </w:tcBorders>
            <w:vAlign w:val="center"/>
          </w:tcPr>
          <w:p w14:paraId="56267393" w14:textId="77777777" w:rsidR="005400D8" w:rsidRPr="00A014FD" w:rsidRDefault="005400D8" w:rsidP="00704B82">
            <w:pPr>
              <w:jc w:val="center"/>
              <w:rPr>
                <w:rFonts w:eastAsia="等线"/>
                <w:color w:val="000000"/>
                <w:sz w:val="22"/>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1C2CC218" w14:textId="77777777" w:rsidR="005400D8" w:rsidRPr="00A014FD" w:rsidRDefault="005400D8" w:rsidP="00704B82">
            <w:pPr>
              <w:jc w:val="center"/>
              <w:rPr>
                <w:rFonts w:eastAsia="等线"/>
                <w:color w:val="000000"/>
                <w:sz w:val="22"/>
              </w:rPr>
            </w:pPr>
            <w:r w:rsidRPr="00A014FD">
              <w:rPr>
                <w:rFonts w:ascii="MS Mincho" w:eastAsia="MS Mincho" w:hAnsi="MS Mincho" w:cs="MS Mincho" w:hint="eastAsia"/>
                <w:bCs/>
                <w:color w:val="545454"/>
                <w:sz w:val="22"/>
                <w:shd w:val="clear" w:color="auto" w:fill="FFFFFF"/>
              </w:rPr>
              <w:t>✓</w:t>
            </w:r>
          </w:p>
        </w:tc>
      </w:tr>
      <w:tr w:rsidR="005400D8" w:rsidRPr="00A014FD" w14:paraId="6AA76C11" w14:textId="77777777" w:rsidTr="00704B82">
        <w:trPr>
          <w:trHeight w:val="315"/>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46411FD5" w14:textId="77777777" w:rsidR="005400D8" w:rsidRPr="00A014FD" w:rsidRDefault="005400D8" w:rsidP="00704B82">
            <w:pPr>
              <w:jc w:val="left"/>
              <w:rPr>
                <w:rFonts w:eastAsia="等线"/>
                <w:color w:val="000000"/>
                <w:sz w:val="22"/>
              </w:rPr>
            </w:pPr>
          </w:p>
        </w:tc>
        <w:tc>
          <w:tcPr>
            <w:tcW w:w="3715" w:type="dxa"/>
            <w:tcBorders>
              <w:top w:val="single" w:sz="4" w:space="0" w:color="auto"/>
              <w:left w:val="single" w:sz="4" w:space="0" w:color="auto"/>
              <w:bottom w:val="single" w:sz="4" w:space="0" w:color="auto"/>
              <w:right w:val="single" w:sz="4" w:space="0" w:color="auto"/>
            </w:tcBorders>
            <w:noWrap/>
            <w:hideMark/>
          </w:tcPr>
          <w:p w14:paraId="4B6F0AEA" w14:textId="77777777" w:rsidR="005400D8" w:rsidRPr="00A014FD" w:rsidRDefault="005400D8" w:rsidP="00704B82">
            <w:pPr>
              <w:jc w:val="left"/>
              <w:rPr>
                <w:rFonts w:eastAsia="等线"/>
                <w:color w:val="000000"/>
                <w:sz w:val="22"/>
              </w:rPr>
            </w:pPr>
            <w:r w:rsidRPr="00A014FD">
              <w:rPr>
                <w:rFonts w:eastAsia="等线"/>
                <w:color w:val="000000"/>
                <w:sz w:val="22"/>
              </w:rPr>
              <w:t>Typical Delivery Price</w:t>
            </w:r>
          </w:p>
        </w:tc>
        <w:tc>
          <w:tcPr>
            <w:tcW w:w="1530" w:type="dxa"/>
            <w:tcBorders>
              <w:top w:val="nil"/>
              <w:left w:val="single" w:sz="4" w:space="0" w:color="auto"/>
              <w:bottom w:val="nil"/>
              <w:right w:val="nil"/>
            </w:tcBorders>
            <w:vAlign w:val="center"/>
          </w:tcPr>
          <w:p w14:paraId="7E02995B" w14:textId="77777777" w:rsidR="005400D8" w:rsidRPr="00A014FD" w:rsidRDefault="005400D8" w:rsidP="00704B82">
            <w:pPr>
              <w:jc w:val="center"/>
              <w:rPr>
                <w:rFonts w:eastAsia="等线"/>
                <w:color w:val="000000"/>
                <w:sz w:val="22"/>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44C23CE8" w14:textId="77777777" w:rsidR="005400D8" w:rsidRPr="00A014FD" w:rsidRDefault="005400D8" w:rsidP="00704B82">
            <w:pPr>
              <w:jc w:val="center"/>
              <w:rPr>
                <w:rFonts w:eastAsia="等线"/>
                <w:color w:val="000000"/>
                <w:sz w:val="22"/>
              </w:rPr>
            </w:pPr>
            <w:r w:rsidRPr="00A014FD">
              <w:rPr>
                <w:rFonts w:eastAsia="等线"/>
                <w:color w:val="000000"/>
                <w:sz w:val="22"/>
              </w:rPr>
              <w:t>□</w:t>
            </w:r>
          </w:p>
        </w:tc>
      </w:tr>
      <w:tr w:rsidR="005400D8" w:rsidRPr="00A014FD" w14:paraId="66BCC358" w14:textId="77777777" w:rsidTr="00704B82">
        <w:trPr>
          <w:trHeight w:val="315"/>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33E9B592" w14:textId="77777777" w:rsidR="005400D8" w:rsidRPr="00A014FD" w:rsidRDefault="005400D8" w:rsidP="00704B82">
            <w:pPr>
              <w:jc w:val="left"/>
              <w:rPr>
                <w:rFonts w:eastAsia="等线"/>
                <w:color w:val="000000"/>
                <w:sz w:val="22"/>
              </w:rPr>
            </w:pPr>
          </w:p>
        </w:tc>
        <w:tc>
          <w:tcPr>
            <w:tcW w:w="3715" w:type="dxa"/>
            <w:tcBorders>
              <w:top w:val="single" w:sz="4" w:space="0" w:color="auto"/>
              <w:left w:val="single" w:sz="4" w:space="0" w:color="auto"/>
              <w:bottom w:val="single" w:sz="4" w:space="0" w:color="auto"/>
              <w:right w:val="single" w:sz="4" w:space="0" w:color="auto"/>
            </w:tcBorders>
            <w:noWrap/>
            <w:hideMark/>
          </w:tcPr>
          <w:p w14:paraId="27E7835F" w14:textId="77777777" w:rsidR="005400D8" w:rsidRPr="00A014FD" w:rsidRDefault="005400D8" w:rsidP="00704B82">
            <w:pPr>
              <w:jc w:val="left"/>
              <w:rPr>
                <w:rFonts w:eastAsia="等线"/>
                <w:color w:val="000000"/>
                <w:sz w:val="22"/>
              </w:rPr>
            </w:pPr>
            <w:r w:rsidRPr="00A014FD">
              <w:rPr>
                <w:rFonts w:eastAsia="等线"/>
                <w:color w:val="000000"/>
                <w:sz w:val="22"/>
              </w:rPr>
              <w:t>Infrastructure Surface Usage Rate</w:t>
            </w:r>
          </w:p>
        </w:tc>
        <w:tc>
          <w:tcPr>
            <w:tcW w:w="1530" w:type="dxa"/>
            <w:tcBorders>
              <w:top w:val="nil"/>
              <w:left w:val="single" w:sz="4" w:space="0" w:color="auto"/>
              <w:bottom w:val="nil"/>
              <w:right w:val="nil"/>
            </w:tcBorders>
            <w:vAlign w:val="center"/>
          </w:tcPr>
          <w:p w14:paraId="77A7AB79" w14:textId="77777777" w:rsidR="005400D8" w:rsidRPr="00A014FD" w:rsidRDefault="005400D8" w:rsidP="00704B82">
            <w:pPr>
              <w:jc w:val="center"/>
              <w:rPr>
                <w:rFonts w:eastAsia="等线"/>
                <w:color w:val="000000"/>
                <w:sz w:val="22"/>
              </w:rPr>
            </w:pPr>
            <w:r w:rsidRPr="00A014FD">
              <w:rPr>
                <w:rFonts w:ascii="MS Mincho" w:eastAsia="MS Mincho" w:hAnsi="MS Mincho" w:cs="MS Mincho" w:hint="eastAsia"/>
                <w:bCs/>
                <w:color w:val="545454"/>
                <w:sz w:val="22"/>
                <w:shd w:val="clear" w:color="auto" w:fill="FFFFFF"/>
              </w:rPr>
              <w:t>✓</w:t>
            </w:r>
          </w:p>
        </w:tc>
        <w:tc>
          <w:tcPr>
            <w:tcW w:w="1281" w:type="dxa"/>
            <w:tcBorders>
              <w:top w:val="nil"/>
              <w:left w:val="nil"/>
              <w:bottom w:val="nil"/>
              <w:right w:val="single" w:sz="4" w:space="0" w:color="auto"/>
            </w:tcBorders>
            <w:vAlign w:val="center"/>
          </w:tcPr>
          <w:p w14:paraId="766A4A99" w14:textId="77777777" w:rsidR="005400D8" w:rsidRPr="00A014FD" w:rsidRDefault="005400D8" w:rsidP="00704B82">
            <w:pPr>
              <w:jc w:val="center"/>
              <w:rPr>
                <w:rFonts w:eastAsia="等线"/>
                <w:color w:val="000000"/>
                <w:sz w:val="22"/>
              </w:rPr>
            </w:pPr>
            <w:r w:rsidRPr="00A014FD">
              <w:rPr>
                <w:rFonts w:ascii="MS Mincho" w:eastAsia="MS Mincho" w:hAnsi="MS Mincho" w:cs="MS Mincho" w:hint="eastAsia"/>
                <w:bCs/>
                <w:color w:val="545454"/>
                <w:sz w:val="22"/>
                <w:shd w:val="clear" w:color="auto" w:fill="FFFFFF"/>
              </w:rPr>
              <w:t>✓</w:t>
            </w:r>
          </w:p>
        </w:tc>
      </w:tr>
      <w:tr w:rsidR="005400D8" w:rsidRPr="00A014FD" w14:paraId="7AAF62FC" w14:textId="77777777" w:rsidTr="00704B82">
        <w:trPr>
          <w:trHeight w:val="315"/>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729EF93B" w14:textId="77777777" w:rsidR="005400D8" w:rsidRPr="00A014FD" w:rsidRDefault="005400D8" w:rsidP="00704B82">
            <w:pPr>
              <w:jc w:val="left"/>
              <w:rPr>
                <w:rFonts w:eastAsia="等线"/>
                <w:color w:val="000000"/>
                <w:sz w:val="22"/>
              </w:rPr>
            </w:pPr>
          </w:p>
        </w:tc>
        <w:tc>
          <w:tcPr>
            <w:tcW w:w="3715" w:type="dxa"/>
            <w:tcBorders>
              <w:top w:val="single" w:sz="4" w:space="0" w:color="auto"/>
              <w:left w:val="single" w:sz="4" w:space="0" w:color="auto"/>
              <w:bottom w:val="single" w:sz="4" w:space="0" w:color="auto"/>
              <w:right w:val="single" w:sz="4" w:space="0" w:color="auto"/>
            </w:tcBorders>
            <w:noWrap/>
            <w:hideMark/>
          </w:tcPr>
          <w:p w14:paraId="57CC4CB6" w14:textId="77777777" w:rsidR="005400D8" w:rsidRPr="00A014FD" w:rsidRDefault="005400D8" w:rsidP="00704B82">
            <w:pPr>
              <w:jc w:val="left"/>
              <w:rPr>
                <w:rFonts w:eastAsia="等线"/>
                <w:color w:val="000000"/>
                <w:sz w:val="22"/>
              </w:rPr>
            </w:pPr>
            <w:r w:rsidRPr="00A014FD">
              <w:rPr>
                <w:rFonts w:eastAsia="等线"/>
                <w:color w:val="000000"/>
                <w:sz w:val="22"/>
              </w:rPr>
              <w:t>Goods Handled per Full-Time Equivalent Employee</w:t>
            </w:r>
          </w:p>
        </w:tc>
        <w:tc>
          <w:tcPr>
            <w:tcW w:w="1530" w:type="dxa"/>
            <w:tcBorders>
              <w:top w:val="nil"/>
              <w:left w:val="single" w:sz="4" w:space="0" w:color="auto"/>
              <w:bottom w:val="nil"/>
              <w:right w:val="nil"/>
            </w:tcBorders>
            <w:vAlign w:val="center"/>
          </w:tcPr>
          <w:p w14:paraId="53A7BAC2" w14:textId="77777777" w:rsidR="005400D8" w:rsidRPr="00A014FD" w:rsidRDefault="005400D8" w:rsidP="00704B82">
            <w:pPr>
              <w:jc w:val="center"/>
              <w:rPr>
                <w:rFonts w:eastAsia="等线"/>
                <w:color w:val="000000"/>
                <w:sz w:val="22"/>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64B479BE" w14:textId="77777777" w:rsidR="005400D8" w:rsidRPr="00A014FD" w:rsidRDefault="005400D8" w:rsidP="00704B82">
            <w:pPr>
              <w:jc w:val="center"/>
              <w:rPr>
                <w:rFonts w:eastAsia="等线"/>
                <w:color w:val="000000"/>
                <w:sz w:val="22"/>
              </w:rPr>
            </w:pPr>
            <w:r w:rsidRPr="00A014FD">
              <w:rPr>
                <w:rFonts w:eastAsia="等线"/>
                <w:color w:val="000000"/>
                <w:sz w:val="22"/>
              </w:rPr>
              <w:t>□</w:t>
            </w:r>
          </w:p>
        </w:tc>
      </w:tr>
      <w:tr w:rsidR="005400D8" w:rsidRPr="00A014FD" w14:paraId="003E248E" w14:textId="77777777" w:rsidTr="00704B82">
        <w:trPr>
          <w:trHeight w:val="330"/>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35754C24" w14:textId="77777777" w:rsidR="005400D8" w:rsidRPr="00A014FD" w:rsidRDefault="005400D8" w:rsidP="00704B82">
            <w:pPr>
              <w:jc w:val="left"/>
              <w:rPr>
                <w:rFonts w:eastAsia="等线"/>
                <w:color w:val="000000"/>
                <w:sz w:val="22"/>
              </w:rPr>
            </w:pPr>
          </w:p>
        </w:tc>
        <w:tc>
          <w:tcPr>
            <w:tcW w:w="3715" w:type="dxa"/>
            <w:tcBorders>
              <w:top w:val="single" w:sz="4" w:space="0" w:color="auto"/>
              <w:left w:val="single" w:sz="4" w:space="0" w:color="auto"/>
              <w:bottom w:val="single" w:sz="4" w:space="0" w:color="auto"/>
              <w:right w:val="single" w:sz="4" w:space="0" w:color="auto"/>
            </w:tcBorders>
            <w:noWrap/>
            <w:hideMark/>
          </w:tcPr>
          <w:p w14:paraId="6FF6DED0" w14:textId="77777777" w:rsidR="005400D8" w:rsidRPr="00A014FD" w:rsidRDefault="005400D8" w:rsidP="00704B82">
            <w:pPr>
              <w:jc w:val="left"/>
              <w:rPr>
                <w:rFonts w:eastAsia="等线"/>
                <w:color w:val="000000"/>
                <w:sz w:val="22"/>
              </w:rPr>
            </w:pPr>
            <w:r w:rsidRPr="00A014FD">
              <w:rPr>
                <w:rFonts w:eastAsia="等线"/>
                <w:color w:val="000000"/>
                <w:sz w:val="22"/>
              </w:rPr>
              <w:t>Delivery Accuracy Rate</w:t>
            </w:r>
          </w:p>
        </w:tc>
        <w:tc>
          <w:tcPr>
            <w:tcW w:w="1530" w:type="dxa"/>
            <w:tcBorders>
              <w:top w:val="nil"/>
              <w:left w:val="single" w:sz="4" w:space="0" w:color="auto"/>
              <w:bottom w:val="nil"/>
              <w:right w:val="nil"/>
            </w:tcBorders>
            <w:vAlign w:val="center"/>
          </w:tcPr>
          <w:p w14:paraId="6CCEB451" w14:textId="77777777" w:rsidR="005400D8" w:rsidRPr="00A014FD" w:rsidRDefault="005400D8" w:rsidP="00704B82">
            <w:pPr>
              <w:jc w:val="center"/>
              <w:rPr>
                <w:rFonts w:eastAsia="等线"/>
                <w:color w:val="000000"/>
                <w:sz w:val="22"/>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50E870D9" w14:textId="77777777" w:rsidR="005400D8" w:rsidRPr="00A014FD" w:rsidRDefault="005400D8" w:rsidP="00704B82">
            <w:pPr>
              <w:jc w:val="center"/>
              <w:rPr>
                <w:rFonts w:eastAsia="等线"/>
                <w:color w:val="000000"/>
                <w:sz w:val="22"/>
              </w:rPr>
            </w:pPr>
            <w:r w:rsidRPr="00A014FD">
              <w:rPr>
                <w:rFonts w:ascii="MS Mincho" w:eastAsia="MS Mincho" w:hAnsi="MS Mincho" w:cs="MS Mincho" w:hint="eastAsia"/>
                <w:bCs/>
                <w:color w:val="545454"/>
                <w:sz w:val="22"/>
                <w:shd w:val="clear" w:color="auto" w:fill="FFFFFF"/>
              </w:rPr>
              <w:t>✓</w:t>
            </w:r>
          </w:p>
        </w:tc>
      </w:tr>
      <w:tr w:rsidR="005400D8" w:rsidRPr="00A014FD" w14:paraId="063ADFB1" w14:textId="77777777" w:rsidTr="00704B82">
        <w:trPr>
          <w:trHeight w:val="330"/>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6B0D0864" w14:textId="77777777" w:rsidR="005400D8" w:rsidRPr="00A014FD" w:rsidRDefault="005400D8" w:rsidP="00704B82">
            <w:pPr>
              <w:jc w:val="left"/>
              <w:rPr>
                <w:rFonts w:eastAsia="等线"/>
                <w:color w:val="000000"/>
                <w:sz w:val="22"/>
              </w:rPr>
            </w:pPr>
          </w:p>
        </w:tc>
        <w:tc>
          <w:tcPr>
            <w:tcW w:w="3715" w:type="dxa"/>
            <w:tcBorders>
              <w:top w:val="single" w:sz="4" w:space="0" w:color="auto"/>
              <w:left w:val="single" w:sz="4" w:space="0" w:color="auto"/>
              <w:bottom w:val="single" w:sz="4" w:space="0" w:color="auto"/>
              <w:right w:val="single" w:sz="4" w:space="0" w:color="auto"/>
            </w:tcBorders>
            <w:noWrap/>
            <w:hideMark/>
          </w:tcPr>
          <w:p w14:paraId="6E07D5FE" w14:textId="77777777" w:rsidR="005400D8" w:rsidRPr="00A014FD" w:rsidRDefault="005400D8" w:rsidP="00704B82">
            <w:pPr>
              <w:jc w:val="left"/>
              <w:rPr>
                <w:rFonts w:eastAsia="等线"/>
                <w:color w:val="000000"/>
                <w:sz w:val="22"/>
              </w:rPr>
            </w:pPr>
            <w:r w:rsidRPr="00A014FD">
              <w:rPr>
                <w:rFonts w:eastAsia="等线"/>
                <w:color w:val="000000"/>
                <w:sz w:val="22"/>
              </w:rPr>
              <w:t>Lead Time for Goods Delivery from UCC to its Users</w:t>
            </w:r>
          </w:p>
        </w:tc>
        <w:tc>
          <w:tcPr>
            <w:tcW w:w="1530" w:type="dxa"/>
            <w:tcBorders>
              <w:top w:val="nil"/>
              <w:left w:val="single" w:sz="4" w:space="0" w:color="auto"/>
              <w:bottom w:val="nil"/>
              <w:right w:val="nil"/>
            </w:tcBorders>
            <w:vAlign w:val="center"/>
          </w:tcPr>
          <w:p w14:paraId="3DA96EA1" w14:textId="77777777" w:rsidR="005400D8" w:rsidRPr="00A014FD" w:rsidRDefault="005400D8" w:rsidP="00704B82">
            <w:pPr>
              <w:jc w:val="center"/>
              <w:rPr>
                <w:rFonts w:eastAsia="等线"/>
                <w:color w:val="000000"/>
                <w:sz w:val="22"/>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2805EBFC" w14:textId="77777777" w:rsidR="005400D8" w:rsidRPr="00A014FD" w:rsidRDefault="005400D8" w:rsidP="00704B82">
            <w:pPr>
              <w:jc w:val="center"/>
              <w:rPr>
                <w:rFonts w:eastAsia="等线"/>
                <w:color w:val="000000"/>
                <w:sz w:val="22"/>
              </w:rPr>
            </w:pPr>
            <w:r w:rsidRPr="00A014FD">
              <w:rPr>
                <w:rFonts w:ascii="MS Mincho" w:eastAsia="MS Mincho" w:hAnsi="MS Mincho" w:cs="MS Mincho" w:hint="eastAsia"/>
                <w:bCs/>
                <w:color w:val="545454"/>
                <w:sz w:val="22"/>
                <w:shd w:val="clear" w:color="auto" w:fill="FFFFFF"/>
              </w:rPr>
              <w:t>✓</w:t>
            </w:r>
          </w:p>
        </w:tc>
      </w:tr>
      <w:tr w:rsidR="005400D8" w:rsidRPr="00A014FD" w14:paraId="509C377D" w14:textId="77777777" w:rsidTr="00704B82">
        <w:trPr>
          <w:trHeight w:val="315"/>
          <w:jc w:val="center"/>
        </w:trPr>
        <w:tc>
          <w:tcPr>
            <w:tcW w:w="2263" w:type="dxa"/>
            <w:vMerge w:val="restart"/>
            <w:tcBorders>
              <w:top w:val="single" w:sz="4" w:space="0" w:color="auto"/>
              <w:left w:val="single" w:sz="4" w:space="0" w:color="auto"/>
              <w:right w:val="single" w:sz="4" w:space="0" w:color="auto"/>
            </w:tcBorders>
            <w:noWrap/>
            <w:vAlign w:val="center"/>
            <w:hideMark/>
          </w:tcPr>
          <w:p w14:paraId="1BA4452C" w14:textId="77777777" w:rsidR="005400D8" w:rsidRPr="00A014FD" w:rsidRDefault="005400D8" w:rsidP="00704B82">
            <w:pPr>
              <w:jc w:val="left"/>
              <w:rPr>
                <w:rFonts w:eastAsia="等线"/>
                <w:color w:val="000000"/>
                <w:sz w:val="22"/>
              </w:rPr>
            </w:pPr>
            <w:r w:rsidRPr="00A014FD">
              <w:rPr>
                <w:rFonts w:eastAsia="等线"/>
                <w:color w:val="000000"/>
                <w:sz w:val="22"/>
              </w:rPr>
              <w:t>Environmental</w:t>
            </w:r>
          </w:p>
        </w:tc>
        <w:tc>
          <w:tcPr>
            <w:tcW w:w="3715" w:type="dxa"/>
            <w:tcBorders>
              <w:top w:val="single" w:sz="4" w:space="0" w:color="auto"/>
              <w:left w:val="single" w:sz="4" w:space="0" w:color="auto"/>
              <w:bottom w:val="single" w:sz="4" w:space="0" w:color="auto"/>
              <w:right w:val="single" w:sz="4" w:space="0" w:color="auto"/>
            </w:tcBorders>
            <w:noWrap/>
            <w:hideMark/>
          </w:tcPr>
          <w:p w14:paraId="07FE617C" w14:textId="77777777" w:rsidR="005400D8" w:rsidRPr="00A014FD" w:rsidRDefault="005400D8" w:rsidP="00704B82">
            <w:pPr>
              <w:jc w:val="left"/>
              <w:rPr>
                <w:rFonts w:eastAsia="等线"/>
                <w:color w:val="000000"/>
                <w:sz w:val="22"/>
              </w:rPr>
            </w:pPr>
            <w:r w:rsidRPr="00A014FD">
              <w:rPr>
                <w:rFonts w:eastAsia="等线"/>
                <w:color w:val="000000"/>
                <w:sz w:val="22"/>
              </w:rPr>
              <w:t>Percentage of Alternative Vehicles</w:t>
            </w:r>
          </w:p>
        </w:tc>
        <w:tc>
          <w:tcPr>
            <w:tcW w:w="1530" w:type="dxa"/>
            <w:tcBorders>
              <w:top w:val="nil"/>
              <w:left w:val="single" w:sz="4" w:space="0" w:color="auto"/>
              <w:bottom w:val="nil"/>
              <w:right w:val="nil"/>
            </w:tcBorders>
            <w:vAlign w:val="center"/>
          </w:tcPr>
          <w:p w14:paraId="44EE83E0" w14:textId="77777777" w:rsidR="005400D8" w:rsidRPr="00A014FD" w:rsidRDefault="005400D8" w:rsidP="00704B82">
            <w:pPr>
              <w:jc w:val="center"/>
              <w:rPr>
                <w:rFonts w:eastAsia="等线"/>
                <w:color w:val="000000"/>
                <w:sz w:val="22"/>
              </w:rPr>
            </w:pPr>
            <w:r w:rsidRPr="00A014FD">
              <w:rPr>
                <w:rFonts w:ascii="MS Mincho" w:eastAsia="MS Mincho" w:hAnsi="MS Mincho" w:cs="MS Mincho" w:hint="eastAsia"/>
                <w:bCs/>
                <w:color w:val="545454"/>
                <w:sz w:val="22"/>
                <w:shd w:val="clear" w:color="auto" w:fill="FFFFFF"/>
              </w:rPr>
              <w:t>✓</w:t>
            </w:r>
          </w:p>
        </w:tc>
        <w:tc>
          <w:tcPr>
            <w:tcW w:w="1281" w:type="dxa"/>
            <w:tcBorders>
              <w:top w:val="nil"/>
              <w:left w:val="nil"/>
              <w:bottom w:val="nil"/>
              <w:right w:val="single" w:sz="4" w:space="0" w:color="auto"/>
            </w:tcBorders>
            <w:vAlign w:val="center"/>
          </w:tcPr>
          <w:p w14:paraId="0D45FA33" w14:textId="77777777" w:rsidR="005400D8" w:rsidRPr="00A014FD" w:rsidRDefault="005400D8" w:rsidP="00704B82">
            <w:pPr>
              <w:jc w:val="center"/>
              <w:rPr>
                <w:rFonts w:eastAsia="等线"/>
                <w:color w:val="000000"/>
                <w:sz w:val="22"/>
              </w:rPr>
            </w:pPr>
            <w:r w:rsidRPr="00A014FD">
              <w:rPr>
                <w:rFonts w:ascii="MS Mincho" w:eastAsia="MS Mincho" w:hAnsi="MS Mincho" w:cs="MS Mincho" w:hint="eastAsia"/>
                <w:bCs/>
                <w:color w:val="545454"/>
                <w:sz w:val="22"/>
                <w:shd w:val="clear" w:color="auto" w:fill="FFFFFF"/>
              </w:rPr>
              <w:t>✓</w:t>
            </w:r>
          </w:p>
        </w:tc>
      </w:tr>
      <w:tr w:rsidR="005400D8" w:rsidRPr="00A014FD" w14:paraId="625C9F17" w14:textId="77777777" w:rsidTr="00704B82">
        <w:trPr>
          <w:trHeight w:val="315"/>
          <w:jc w:val="center"/>
        </w:trPr>
        <w:tc>
          <w:tcPr>
            <w:tcW w:w="2263" w:type="dxa"/>
            <w:vMerge/>
            <w:tcBorders>
              <w:left w:val="single" w:sz="4" w:space="0" w:color="auto"/>
              <w:right w:val="single" w:sz="4" w:space="0" w:color="auto"/>
            </w:tcBorders>
            <w:vAlign w:val="center"/>
            <w:hideMark/>
          </w:tcPr>
          <w:p w14:paraId="1409A2C2" w14:textId="77777777" w:rsidR="005400D8" w:rsidRPr="00A014FD" w:rsidRDefault="005400D8" w:rsidP="00704B82">
            <w:pPr>
              <w:jc w:val="left"/>
              <w:rPr>
                <w:rFonts w:eastAsia="等线"/>
                <w:color w:val="000000"/>
                <w:sz w:val="22"/>
              </w:rPr>
            </w:pPr>
          </w:p>
        </w:tc>
        <w:tc>
          <w:tcPr>
            <w:tcW w:w="3715" w:type="dxa"/>
            <w:tcBorders>
              <w:top w:val="single" w:sz="4" w:space="0" w:color="auto"/>
              <w:left w:val="single" w:sz="4" w:space="0" w:color="auto"/>
              <w:bottom w:val="single" w:sz="4" w:space="0" w:color="auto"/>
              <w:right w:val="single" w:sz="4" w:space="0" w:color="auto"/>
            </w:tcBorders>
            <w:noWrap/>
            <w:hideMark/>
          </w:tcPr>
          <w:p w14:paraId="50B5B8FA" w14:textId="77777777" w:rsidR="005400D8" w:rsidRPr="00A014FD" w:rsidRDefault="005400D8" w:rsidP="00704B82">
            <w:pPr>
              <w:jc w:val="left"/>
              <w:rPr>
                <w:rFonts w:eastAsia="等线"/>
                <w:color w:val="000000"/>
                <w:sz w:val="22"/>
              </w:rPr>
            </w:pPr>
            <w:r w:rsidRPr="00A014FD">
              <w:rPr>
                <w:rFonts w:eastAsia="等线"/>
                <w:color w:val="000000"/>
                <w:sz w:val="22"/>
              </w:rPr>
              <w:t>Truck Loading Rate</w:t>
            </w:r>
          </w:p>
        </w:tc>
        <w:tc>
          <w:tcPr>
            <w:tcW w:w="1530" w:type="dxa"/>
            <w:tcBorders>
              <w:top w:val="nil"/>
              <w:left w:val="single" w:sz="4" w:space="0" w:color="auto"/>
              <w:bottom w:val="nil"/>
              <w:right w:val="nil"/>
            </w:tcBorders>
            <w:vAlign w:val="center"/>
          </w:tcPr>
          <w:p w14:paraId="66863A1E" w14:textId="77777777" w:rsidR="005400D8" w:rsidRPr="00A014FD" w:rsidRDefault="005400D8" w:rsidP="00704B82">
            <w:pPr>
              <w:jc w:val="center"/>
              <w:rPr>
                <w:rFonts w:eastAsia="等线"/>
                <w:color w:val="000000"/>
                <w:sz w:val="22"/>
              </w:rPr>
            </w:pPr>
            <w:r w:rsidRPr="00A014FD">
              <w:rPr>
                <w:rFonts w:ascii="MS Mincho" w:eastAsia="MS Mincho" w:hAnsi="MS Mincho" w:cs="MS Mincho" w:hint="eastAsia"/>
                <w:bCs/>
                <w:color w:val="545454"/>
                <w:sz w:val="22"/>
                <w:shd w:val="clear" w:color="auto" w:fill="FFFFFF"/>
              </w:rPr>
              <w:t>✓</w:t>
            </w:r>
          </w:p>
        </w:tc>
        <w:tc>
          <w:tcPr>
            <w:tcW w:w="1281" w:type="dxa"/>
            <w:tcBorders>
              <w:top w:val="nil"/>
              <w:left w:val="nil"/>
              <w:bottom w:val="nil"/>
              <w:right w:val="single" w:sz="4" w:space="0" w:color="auto"/>
            </w:tcBorders>
            <w:vAlign w:val="center"/>
          </w:tcPr>
          <w:p w14:paraId="46706EEF" w14:textId="77777777" w:rsidR="005400D8" w:rsidRPr="00A014FD" w:rsidRDefault="005400D8" w:rsidP="00704B82">
            <w:pPr>
              <w:jc w:val="center"/>
              <w:rPr>
                <w:rFonts w:eastAsia="等线"/>
                <w:color w:val="000000"/>
                <w:sz w:val="22"/>
              </w:rPr>
            </w:pPr>
            <w:r w:rsidRPr="00A014FD">
              <w:rPr>
                <w:rFonts w:ascii="MS Mincho" w:eastAsia="MS Mincho" w:hAnsi="MS Mincho" w:cs="MS Mincho" w:hint="eastAsia"/>
                <w:bCs/>
                <w:color w:val="545454"/>
                <w:sz w:val="22"/>
                <w:shd w:val="clear" w:color="auto" w:fill="FFFFFF"/>
              </w:rPr>
              <w:t>✓</w:t>
            </w:r>
          </w:p>
        </w:tc>
      </w:tr>
      <w:tr w:rsidR="005400D8" w:rsidRPr="00A014FD" w14:paraId="60420D5A" w14:textId="77777777" w:rsidTr="00704B82">
        <w:trPr>
          <w:trHeight w:val="305"/>
          <w:jc w:val="center"/>
        </w:trPr>
        <w:tc>
          <w:tcPr>
            <w:tcW w:w="2263" w:type="dxa"/>
            <w:vMerge/>
            <w:tcBorders>
              <w:left w:val="single" w:sz="4" w:space="0" w:color="auto"/>
              <w:right w:val="single" w:sz="4" w:space="0" w:color="auto"/>
            </w:tcBorders>
            <w:vAlign w:val="center"/>
            <w:hideMark/>
          </w:tcPr>
          <w:p w14:paraId="16500E26" w14:textId="77777777" w:rsidR="005400D8" w:rsidRPr="00A014FD" w:rsidRDefault="005400D8" w:rsidP="00704B82">
            <w:pPr>
              <w:jc w:val="left"/>
              <w:rPr>
                <w:rFonts w:eastAsia="等线"/>
                <w:color w:val="000000"/>
                <w:sz w:val="22"/>
              </w:rPr>
            </w:pPr>
          </w:p>
        </w:tc>
        <w:tc>
          <w:tcPr>
            <w:tcW w:w="3715" w:type="dxa"/>
            <w:tcBorders>
              <w:top w:val="single" w:sz="4" w:space="0" w:color="auto"/>
              <w:left w:val="single" w:sz="4" w:space="0" w:color="auto"/>
              <w:bottom w:val="single" w:sz="4" w:space="0" w:color="auto"/>
              <w:right w:val="single" w:sz="4" w:space="0" w:color="auto"/>
            </w:tcBorders>
            <w:noWrap/>
            <w:hideMark/>
          </w:tcPr>
          <w:p w14:paraId="183B84A6" w14:textId="77777777" w:rsidR="005400D8" w:rsidRPr="00A014FD" w:rsidRDefault="005400D8" w:rsidP="00704B82">
            <w:pPr>
              <w:jc w:val="left"/>
              <w:rPr>
                <w:rFonts w:eastAsia="等线"/>
                <w:color w:val="000000"/>
                <w:sz w:val="22"/>
              </w:rPr>
            </w:pPr>
            <w:r w:rsidRPr="00A014FD">
              <w:rPr>
                <w:rFonts w:eastAsia="等线"/>
                <w:color w:val="000000"/>
                <w:sz w:val="22"/>
              </w:rPr>
              <w:t>Travel Miles in Urban Areas</w:t>
            </w:r>
          </w:p>
        </w:tc>
        <w:tc>
          <w:tcPr>
            <w:tcW w:w="1530" w:type="dxa"/>
            <w:tcBorders>
              <w:top w:val="nil"/>
              <w:left w:val="single" w:sz="4" w:space="0" w:color="auto"/>
              <w:bottom w:val="nil"/>
              <w:right w:val="nil"/>
            </w:tcBorders>
            <w:vAlign w:val="center"/>
          </w:tcPr>
          <w:p w14:paraId="3E5C9AAA" w14:textId="77777777" w:rsidR="005400D8" w:rsidRPr="00A014FD" w:rsidRDefault="005400D8" w:rsidP="00704B82">
            <w:pPr>
              <w:jc w:val="center"/>
              <w:rPr>
                <w:rFonts w:eastAsia="等线"/>
                <w:color w:val="000000"/>
                <w:sz w:val="22"/>
              </w:rPr>
            </w:pPr>
            <w:r w:rsidRPr="00A014FD">
              <w:rPr>
                <w:rFonts w:ascii="MS Mincho" w:eastAsia="MS Mincho" w:hAnsi="MS Mincho" w:cs="MS Mincho" w:hint="eastAsia"/>
                <w:bCs/>
                <w:color w:val="545454"/>
                <w:sz w:val="22"/>
                <w:shd w:val="clear" w:color="auto" w:fill="FFFFFF"/>
              </w:rPr>
              <w:t>✓</w:t>
            </w:r>
          </w:p>
        </w:tc>
        <w:tc>
          <w:tcPr>
            <w:tcW w:w="1281" w:type="dxa"/>
            <w:tcBorders>
              <w:top w:val="nil"/>
              <w:left w:val="nil"/>
              <w:bottom w:val="nil"/>
              <w:right w:val="single" w:sz="4" w:space="0" w:color="auto"/>
            </w:tcBorders>
            <w:vAlign w:val="center"/>
          </w:tcPr>
          <w:p w14:paraId="01A634BE" w14:textId="77777777" w:rsidR="005400D8" w:rsidRPr="00A014FD" w:rsidRDefault="005400D8" w:rsidP="00704B82">
            <w:pPr>
              <w:jc w:val="center"/>
              <w:rPr>
                <w:rFonts w:eastAsia="等线"/>
                <w:color w:val="000000"/>
                <w:sz w:val="22"/>
              </w:rPr>
            </w:pPr>
            <w:r w:rsidRPr="00A014FD">
              <w:rPr>
                <w:rFonts w:ascii="MS Mincho" w:eastAsia="MS Mincho" w:hAnsi="MS Mincho" w:cs="MS Mincho" w:hint="eastAsia"/>
                <w:bCs/>
                <w:color w:val="545454"/>
                <w:sz w:val="22"/>
                <w:shd w:val="clear" w:color="auto" w:fill="FFFFFF"/>
              </w:rPr>
              <w:t>✓</w:t>
            </w:r>
          </w:p>
        </w:tc>
      </w:tr>
      <w:tr w:rsidR="005400D8" w:rsidRPr="00A014FD" w14:paraId="4D783075" w14:textId="77777777" w:rsidTr="00704B82">
        <w:trPr>
          <w:trHeight w:val="266"/>
          <w:jc w:val="center"/>
        </w:trPr>
        <w:tc>
          <w:tcPr>
            <w:tcW w:w="2263" w:type="dxa"/>
            <w:vMerge/>
            <w:tcBorders>
              <w:left w:val="single" w:sz="4" w:space="0" w:color="auto"/>
              <w:bottom w:val="single" w:sz="4" w:space="0" w:color="auto"/>
              <w:right w:val="single" w:sz="4" w:space="0" w:color="auto"/>
            </w:tcBorders>
            <w:vAlign w:val="center"/>
          </w:tcPr>
          <w:p w14:paraId="6107159A" w14:textId="77777777" w:rsidR="005400D8" w:rsidRPr="00A014FD" w:rsidRDefault="005400D8" w:rsidP="00704B82">
            <w:pPr>
              <w:jc w:val="left"/>
              <w:rPr>
                <w:rFonts w:eastAsia="等线"/>
                <w:color w:val="000000"/>
                <w:sz w:val="22"/>
              </w:rPr>
            </w:pPr>
          </w:p>
        </w:tc>
        <w:tc>
          <w:tcPr>
            <w:tcW w:w="3715" w:type="dxa"/>
            <w:tcBorders>
              <w:top w:val="single" w:sz="4" w:space="0" w:color="auto"/>
              <w:left w:val="single" w:sz="4" w:space="0" w:color="auto"/>
              <w:bottom w:val="single" w:sz="4" w:space="0" w:color="auto"/>
              <w:right w:val="single" w:sz="4" w:space="0" w:color="auto"/>
            </w:tcBorders>
            <w:noWrap/>
          </w:tcPr>
          <w:p w14:paraId="67D4AD6E" w14:textId="77777777" w:rsidR="005400D8" w:rsidRPr="00A014FD" w:rsidRDefault="005400D8" w:rsidP="00704B82">
            <w:pPr>
              <w:jc w:val="left"/>
              <w:rPr>
                <w:rFonts w:eastAsia="等线"/>
                <w:color w:val="000000"/>
                <w:sz w:val="22"/>
              </w:rPr>
            </w:pPr>
            <w:r w:rsidRPr="00A014FD">
              <w:rPr>
                <w:rFonts w:eastAsia="等线"/>
                <w:color w:val="000000"/>
                <w:sz w:val="22"/>
              </w:rPr>
              <w:t>Number of Delivery Trips per Day</w:t>
            </w:r>
          </w:p>
        </w:tc>
        <w:tc>
          <w:tcPr>
            <w:tcW w:w="1530" w:type="dxa"/>
            <w:tcBorders>
              <w:top w:val="nil"/>
              <w:left w:val="single" w:sz="4" w:space="0" w:color="auto"/>
              <w:bottom w:val="nil"/>
              <w:right w:val="nil"/>
            </w:tcBorders>
            <w:vAlign w:val="center"/>
          </w:tcPr>
          <w:p w14:paraId="650E31CC" w14:textId="77777777" w:rsidR="005400D8" w:rsidRPr="00A014FD" w:rsidRDefault="005400D8" w:rsidP="00704B82">
            <w:pPr>
              <w:jc w:val="center"/>
              <w:rPr>
                <w:rFonts w:eastAsia="等线"/>
                <w:color w:val="000000"/>
                <w:sz w:val="22"/>
              </w:rPr>
            </w:pPr>
            <w:r w:rsidRPr="00A014FD">
              <w:rPr>
                <w:rFonts w:ascii="MS Mincho" w:eastAsia="MS Mincho" w:hAnsi="MS Mincho" w:cs="MS Mincho" w:hint="eastAsia"/>
                <w:bCs/>
                <w:color w:val="545454"/>
                <w:sz w:val="22"/>
                <w:shd w:val="clear" w:color="auto" w:fill="FFFFFF"/>
              </w:rPr>
              <w:t>✓</w:t>
            </w:r>
          </w:p>
        </w:tc>
        <w:tc>
          <w:tcPr>
            <w:tcW w:w="1281" w:type="dxa"/>
            <w:tcBorders>
              <w:top w:val="nil"/>
              <w:left w:val="nil"/>
              <w:bottom w:val="nil"/>
              <w:right w:val="single" w:sz="4" w:space="0" w:color="auto"/>
            </w:tcBorders>
            <w:vAlign w:val="center"/>
          </w:tcPr>
          <w:p w14:paraId="6C993AF8" w14:textId="77777777" w:rsidR="005400D8" w:rsidRPr="00A014FD" w:rsidRDefault="005400D8" w:rsidP="00704B82">
            <w:pPr>
              <w:jc w:val="center"/>
              <w:rPr>
                <w:rFonts w:eastAsia="等线"/>
                <w:color w:val="000000"/>
                <w:sz w:val="22"/>
              </w:rPr>
            </w:pPr>
            <w:r w:rsidRPr="00A014FD">
              <w:rPr>
                <w:rFonts w:ascii="MS Mincho" w:eastAsia="MS Mincho" w:hAnsi="MS Mincho" w:cs="MS Mincho" w:hint="eastAsia"/>
                <w:bCs/>
                <w:color w:val="545454"/>
                <w:sz w:val="22"/>
                <w:shd w:val="clear" w:color="auto" w:fill="FFFFFF"/>
              </w:rPr>
              <w:t>✓</w:t>
            </w:r>
          </w:p>
        </w:tc>
      </w:tr>
      <w:tr w:rsidR="005400D8" w:rsidRPr="00A014FD" w14:paraId="011F23AB" w14:textId="77777777" w:rsidTr="00704B82">
        <w:trPr>
          <w:trHeight w:val="315"/>
          <w:jc w:val="center"/>
        </w:trPr>
        <w:tc>
          <w:tcPr>
            <w:tcW w:w="2263" w:type="dxa"/>
            <w:vMerge w:val="restart"/>
            <w:tcBorders>
              <w:top w:val="single" w:sz="4" w:space="0" w:color="auto"/>
              <w:left w:val="single" w:sz="4" w:space="0" w:color="auto"/>
              <w:right w:val="single" w:sz="4" w:space="0" w:color="auto"/>
            </w:tcBorders>
            <w:noWrap/>
            <w:vAlign w:val="center"/>
            <w:hideMark/>
          </w:tcPr>
          <w:p w14:paraId="16E7D5CB" w14:textId="77777777" w:rsidR="005400D8" w:rsidRPr="00A014FD" w:rsidRDefault="005400D8" w:rsidP="00704B82">
            <w:pPr>
              <w:jc w:val="left"/>
              <w:rPr>
                <w:rFonts w:eastAsia="等线"/>
                <w:color w:val="000000"/>
                <w:sz w:val="22"/>
              </w:rPr>
            </w:pPr>
            <w:r w:rsidRPr="00A014FD">
              <w:rPr>
                <w:rFonts w:eastAsia="等线"/>
                <w:color w:val="000000"/>
                <w:sz w:val="22"/>
              </w:rPr>
              <w:t>Social</w:t>
            </w:r>
          </w:p>
        </w:tc>
        <w:tc>
          <w:tcPr>
            <w:tcW w:w="3715" w:type="dxa"/>
            <w:tcBorders>
              <w:top w:val="single" w:sz="4" w:space="0" w:color="auto"/>
              <w:left w:val="single" w:sz="4" w:space="0" w:color="auto"/>
              <w:bottom w:val="single" w:sz="4" w:space="0" w:color="auto"/>
              <w:right w:val="single" w:sz="4" w:space="0" w:color="auto"/>
            </w:tcBorders>
            <w:noWrap/>
            <w:hideMark/>
          </w:tcPr>
          <w:p w14:paraId="570185B1" w14:textId="77777777" w:rsidR="005400D8" w:rsidRPr="00A014FD" w:rsidRDefault="005400D8" w:rsidP="00704B82">
            <w:pPr>
              <w:jc w:val="left"/>
              <w:rPr>
                <w:rFonts w:eastAsia="等线"/>
                <w:color w:val="000000"/>
                <w:sz w:val="22"/>
              </w:rPr>
            </w:pPr>
            <w:r w:rsidRPr="00A014FD">
              <w:rPr>
                <w:rFonts w:eastAsia="等线"/>
                <w:color w:val="000000"/>
                <w:sz w:val="22"/>
              </w:rPr>
              <w:t>Public Financial Investment</w:t>
            </w:r>
          </w:p>
        </w:tc>
        <w:tc>
          <w:tcPr>
            <w:tcW w:w="1530" w:type="dxa"/>
            <w:tcBorders>
              <w:top w:val="nil"/>
              <w:left w:val="single" w:sz="4" w:space="0" w:color="auto"/>
              <w:bottom w:val="nil"/>
              <w:right w:val="nil"/>
            </w:tcBorders>
            <w:vAlign w:val="center"/>
          </w:tcPr>
          <w:p w14:paraId="7072B2EF" w14:textId="77777777" w:rsidR="005400D8" w:rsidRPr="00A014FD" w:rsidRDefault="005400D8" w:rsidP="00704B82">
            <w:pPr>
              <w:jc w:val="center"/>
              <w:rPr>
                <w:rFonts w:eastAsia="等线"/>
                <w:color w:val="000000"/>
                <w:sz w:val="22"/>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7B4780A5" w14:textId="77777777" w:rsidR="005400D8" w:rsidRPr="00A014FD" w:rsidRDefault="005400D8" w:rsidP="00704B82">
            <w:pPr>
              <w:jc w:val="center"/>
              <w:rPr>
                <w:rFonts w:eastAsia="等线"/>
                <w:color w:val="000000"/>
                <w:sz w:val="22"/>
              </w:rPr>
            </w:pPr>
            <w:r w:rsidRPr="00A014FD">
              <w:rPr>
                <w:rFonts w:eastAsia="等线"/>
                <w:color w:val="000000"/>
                <w:sz w:val="22"/>
              </w:rPr>
              <w:t>□</w:t>
            </w:r>
          </w:p>
        </w:tc>
      </w:tr>
      <w:tr w:rsidR="005400D8" w:rsidRPr="00A014FD" w14:paraId="0E20E2F4" w14:textId="77777777" w:rsidTr="00704B82">
        <w:trPr>
          <w:trHeight w:val="315"/>
          <w:jc w:val="center"/>
        </w:trPr>
        <w:tc>
          <w:tcPr>
            <w:tcW w:w="2263" w:type="dxa"/>
            <w:vMerge/>
            <w:tcBorders>
              <w:left w:val="single" w:sz="4" w:space="0" w:color="auto"/>
              <w:right w:val="single" w:sz="4" w:space="0" w:color="auto"/>
            </w:tcBorders>
            <w:vAlign w:val="center"/>
            <w:hideMark/>
          </w:tcPr>
          <w:p w14:paraId="22A815FD" w14:textId="77777777" w:rsidR="005400D8" w:rsidRPr="00A014FD" w:rsidRDefault="005400D8" w:rsidP="00704B82">
            <w:pPr>
              <w:jc w:val="left"/>
              <w:rPr>
                <w:rFonts w:eastAsia="等线"/>
                <w:color w:val="000000"/>
                <w:sz w:val="22"/>
              </w:rPr>
            </w:pPr>
          </w:p>
        </w:tc>
        <w:tc>
          <w:tcPr>
            <w:tcW w:w="3715" w:type="dxa"/>
            <w:tcBorders>
              <w:top w:val="single" w:sz="4" w:space="0" w:color="auto"/>
              <w:left w:val="single" w:sz="4" w:space="0" w:color="auto"/>
              <w:bottom w:val="single" w:sz="4" w:space="0" w:color="auto"/>
              <w:right w:val="single" w:sz="4" w:space="0" w:color="auto"/>
            </w:tcBorders>
            <w:noWrap/>
            <w:hideMark/>
          </w:tcPr>
          <w:p w14:paraId="25604D99" w14:textId="77777777" w:rsidR="005400D8" w:rsidRPr="00A014FD" w:rsidRDefault="005400D8" w:rsidP="00704B82">
            <w:pPr>
              <w:jc w:val="left"/>
              <w:rPr>
                <w:rFonts w:eastAsia="等线"/>
                <w:color w:val="000000"/>
                <w:sz w:val="22"/>
              </w:rPr>
            </w:pPr>
            <w:r w:rsidRPr="00A014FD">
              <w:rPr>
                <w:rFonts w:eastAsia="等线"/>
                <w:color w:val="000000"/>
                <w:sz w:val="22"/>
              </w:rPr>
              <w:t>Average Staff Salary</w:t>
            </w:r>
          </w:p>
        </w:tc>
        <w:tc>
          <w:tcPr>
            <w:tcW w:w="1530" w:type="dxa"/>
            <w:tcBorders>
              <w:top w:val="nil"/>
              <w:left w:val="single" w:sz="4" w:space="0" w:color="auto"/>
              <w:bottom w:val="nil"/>
              <w:right w:val="nil"/>
            </w:tcBorders>
            <w:vAlign w:val="center"/>
          </w:tcPr>
          <w:p w14:paraId="7A8DBEE2" w14:textId="77777777" w:rsidR="005400D8" w:rsidRPr="00A014FD" w:rsidRDefault="005400D8" w:rsidP="00704B82">
            <w:pPr>
              <w:jc w:val="center"/>
              <w:rPr>
                <w:rFonts w:eastAsia="等线"/>
                <w:color w:val="000000"/>
                <w:sz w:val="22"/>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2AE0D38F" w14:textId="77777777" w:rsidR="005400D8" w:rsidRPr="00A014FD" w:rsidRDefault="005400D8" w:rsidP="00704B82">
            <w:pPr>
              <w:jc w:val="center"/>
              <w:rPr>
                <w:rFonts w:eastAsia="等线"/>
                <w:color w:val="000000"/>
                <w:sz w:val="22"/>
              </w:rPr>
            </w:pPr>
            <w:r w:rsidRPr="00A014FD">
              <w:rPr>
                <w:rFonts w:eastAsia="等线"/>
                <w:color w:val="000000"/>
                <w:sz w:val="22"/>
              </w:rPr>
              <w:t>□</w:t>
            </w:r>
          </w:p>
        </w:tc>
      </w:tr>
      <w:tr w:rsidR="005400D8" w:rsidRPr="00A014FD" w14:paraId="096412CC" w14:textId="77777777" w:rsidTr="00704B82">
        <w:trPr>
          <w:trHeight w:val="315"/>
          <w:jc w:val="center"/>
        </w:trPr>
        <w:tc>
          <w:tcPr>
            <w:tcW w:w="2263" w:type="dxa"/>
            <w:vMerge/>
            <w:tcBorders>
              <w:left w:val="single" w:sz="4" w:space="0" w:color="auto"/>
              <w:right w:val="single" w:sz="4" w:space="0" w:color="auto"/>
            </w:tcBorders>
            <w:vAlign w:val="center"/>
            <w:hideMark/>
          </w:tcPr>
          <w:p w14:paraId="1EAF617E" w14:textId="77777777" w:rsidR="005400D8" w:rsidRPr="00A014FD" w:rsidRDefault="005400D8" w:rsidP="00704B82">
            <w:pPr>
              <w:jc w:val="left"/>
              <w:rPr>
                <w:rFonts w:eastAsia="等线"/>
                <w:color w:val="000000"/>
                <w:sz w:val="22"/>
              </w:rPr>
            </w:pPr>
          </w:p>
        </w:tc>
        <w:tc>
          <w:tcPr>
            <w:tcW w:w="3715" w:type="dxa"/>
            <w:tcBorders>
              <w:top w:val="single" w:sz="4" w:space="0" w:color="auto"/>
              <w:left w:val="single" w:sz="4" w:space="0" w:color="auto"/>
              <w:bottom w:val="single" w:sz="4" w:space="0" w:color="auto"/>
              <w:right w:val="single" w:sz="4" w:space="0" w:color="auto"/>
            </w:tcBorders>
            <w:noWrap/>
            <w:hideMark/>
          </w:tcPr>
          <w:p w14:paraId="493BD0C0" w14:textId="77777777" w:rsidR="005400D8" w:rsidRPr="00A014FD" w:rsidRDefault="005400D8" w:rsidP="00704B82">
            <w:pPr>
              <w:jc w:val="left"/>
              <w:rPr>
                <w:rFonts w:eastAsia="等线"/>
                <w:color w:val="000000"/>
                <w:sz w:val="22"/>
              </w:rPr>
            </w:pPr>
            <w:r w:rsidRPr="00A014FD">
              <w:rPr>
                <w:rFonts w:eastAsia="等线"/>
                <w:color w:val="000000"/>
                <w:sz w:val="22"/>
              </w:rPr>
              <w:t xml:space="preserve">Workers’ Overtime Utilisation </w:t>
            </w:r>
          </w:p>
        </w:tc>
        <w:tc>
          <w:tcPr>
            <w:tcW w:w="1530" w:type="dxa"/>
            <w:tcBorders>
              <w:top w:val="nil"/>
              <w:left w:val="single" w:sz="4" w:space="0" w:color="auto"/>
              <w:bottom w:val="nil"/>
              <w:right w:val="nil"/>
            </w:tcBorders>
            <w:vAlign w:val="center"/>
          </w:tcPr>
          <w:p w14:paraId="16C43583" w14:textId="77777777" w:rsidR="005400D8" w:rsidRPr="00A014FD" w:rsidRDefault="005400D8" w:rsidP="00704B82">
            <w:pPr>
              <w:jc w:val="center"/>
              <w:rPr>
                <w:rFonts w:eastAsia="等线"/>
                <w:color w:val="000000"/>
                <w:sz w:val="22"/>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00459B51" w14:textId="77777777" w:rsidR="005400D8" w:rsidRPr="00A014FD" w:rsidRDefault="005400D8" w:rsidP="00704B82">
            <w:pPr>
              <w:jc w:val="center"/>
              <w:rPr>
                <w:rFonts w:eastAsia="等线"/>
                <w:color w:val="000000"/>
                <w:sz w:val="22"/>
              </w:rPr>
            </w:pPr>
            <w:r w:rsidRPr="00A014FD">
              <w:rPr>
                <w:rFonts w:eastAsia="等线"/>
                <w:color w:val="000000"/>
                <w:sz w:val="22"/>
              </w:rPr>
              <w:t>□</w:t>
            </w:r>
          </w:p>
        </w:tc>
      </w:tr>
      <w:tr w:rsidR="005400D8" w:rsidRPr="00A014FD" w14:paraId="66863FEA" w14:textId="77777777" w:rsidTr="00704B82">
        <w:trPr>
          <w:trHeight w:val="315"/>
          <w:jc w:val="center"/>
        </w:trPr>
        <w:tc>
          <w:tcPr>
            <w:tcW w:w="2263" w:type="dxa"/>
            <w:vMerge/>
            <w:tcBorders>
              <w:left w:val="single" w:sz="4" w:space="0" w:color="auto"/>
              <w:right w:val="single" w:sz="4" w:space="0" w:color="auto"/>
            </w:tcBorders>
            <w:vAlign w:val="center"/>
            <w:hideMark/>
          </w:tcPr>
          <w:p w14:paraId="5F31E191" w14:textId="77777777" w:rsidR="005400D8" w:rsidRPr="00A014FD" w:rsidRDefault="005400D8" w:rsidP="00704B82">
            <w:pPr>
              <w:jc w:val="left"/>
              <w:rPr>
                <w:rFonts w:eastAsia="等线"/>
                <w:color w:val="000000"/>
                <w:sz w:val="22"/>
              </w:rPr>
            </w:pPr>
          </w:p>
        </w:tc>
        <w:tc>
          <w:tcPr>
            <w:tcW w:w="3715" w:type="dxa"/>
            <w:tcBorders>
              <w:top w:val="single" w:sz="4" w:space="0" w:color="auto"/>
              <w:left w:val="single" w:sz="4" w:space="0" w:color="auto"/>
              <w:bottom w:val="single" w:sz="4" w:space="0" w:color="auto"/>
              <w:right w:val="single" w:sz="4" w:space="0" w:color="auto"/>
            </w:tcBorders>
            <w:noWrap/>
            <w:hideMark/>
          </w:tcPr>
          <w:p w14:paraId="17A76E81" w14:textId="77777777" w:rsidR="005400D8" w:rsidRPr="00A014FD" w:rsidRDefault="005400D8" w:rsidP="00704B82">
            <w:pPr>
              <w:jc w:val="left"/>
              <w:rPr>
                <w:rFonts w:eastAsia="等线"/>
                <w:color w:val="000000"/>
                <w:sz w:val="22"/>
              </w:rPr>
            </w:pPr>
            <w:r w:rsidRPr="00A014FD">
              <w:rPr>
                <w:rFonts w:eastAsia="等线"/>
                <w:color w:val="000000"/>
                <w:sz w:val="22"/>
              </w:rPr>
              <w:t>Typical Workers’ Commute Time</w:t>
            </w:r>
          </w:p>
        </w:tc>
        <w:tc>
          <w:tcPr>
            <w:tcW w:w="1530" w:type="dxa"/>
            <w:tcBorders>
              <w:top w:val="nil"/>
              <w:left w:val="single" w:sz="4" w:space="0" w:color="auto"/>
              <w:bottom w:val="nil"/>
              <w:right w:val="nil"/>
            </w:tcBorders>
            <w:vAlign w:val="center"/>
          </w:tcPr>
          <w:p w14:paraId="0D471891" w14:textId="77777777" w:rsidR="005400D8" w:rsidRPr="00A014FD" w:rsidRDefault="005400D8" w:rsidP="00704B82">
            <w:pPr>
              <w:jc w:val="center"/>
              <w:rPr>
                <w:rFonts w:eastAsia="等线"/>
                <w:color w:val="000000"/>
                <w:sz w:val="22"/>
              </w:rPr>
            </w:pPr>
            <w:r w:rsidRPr="00A014FD">
              <w:rPr>
                <w:rFonts w:eastAsia="等线"/>
                <w:color w:val="000000"/>
                <w:sz w:val="22"/>
              </w:rPr>
              <w:t>□</w:t>
            </w:r>
          </w:p>
        </w:tc>
        <w:tc>
          <w:tcPr>
            <w:tcW w:w="1281" w:type="dxa"/>
            <w:tcBorders>
              <w:top w:val="nil"/>
              <w:left w:val="nil"/>
              <w:bottom w:val="nil"/>
              <w:right w:val="single" w:sz="4" w:space="0" w:color="auto"/>
            </w:tcBorders>
            <w:vAlign w:val="center"/>
          </w:tcPr>
          <w:p w14:paraId="7B863403" w14:textId="77777777" w:rsidR="005400D8" w:rsidRPr="00A014FD" w:rsidRDefault="005400D8" w:rsidP="00704B82">
            <w:pPr>
              <w:jc w:val="center"/>
              <w:rPr>
                <w:rFonts w:eastAsia="等线"/>
                <w:color w:val="000000"/>
                <w:sz w:val="22"/>
              </w:rPr>
            </w:pPr>
            <w:r w:rsidRPr="00A014FD">
              <w:rPr>
                <w:rFonts w:eastAsia="等线"/>
                <w:color w:val="000000"/>
                <w:sz w:val="22"/>
              </w:rPr>
              <w:t>□</w:t>
            </w:r>
          </w:p>
        </w:tc>
      </w:tr>
      <w:tr w:rsidR="005400D8" w:rsidRPr="00A014FD" w14:paraId="19CF2600" w14:textId="77777777" w:rsidTr="00704B82">
        <w:trPr>
          <w:trHeight w:val="315"/>
          <w:jc w:val="center"/>
        </w:trPr>
        <w:tc>
          <w:tcPr>
            <w:tcW w:w="2263" w:type="dxa"/>
            <w:vMerge/>
            <w:tcBorders>
              <w:left w:val="single" w:sz="4" w:space="0" w:color="auto"/>
              <w:right w:val="single" w:sz="4" w:space="0" w:color="auto"/>
            </w:tcBorders>
            <w:vAlign w:val="center"/>
            <w:hideMark/>
          </w:tcPr>
          <w:p w14:paraId="474ED258" w14:textId="77777777" w:rsidR="005400D8" w:rsidRPr="00A014FD" w:rsidRDefault="005400D8" w:rsidP="00704B82">
            <w:pPr>
              <w:jc w:val="left"/>
              <w:rPr>
                <w:rFonts w:eastAsia="等线"/>
                <w:color w:val="000000"/>
                <w:sz w:val="22"/>
              </w:rPr>
            </w:pPr>
          </w:p>
        </w:tc>
        <w:tc>
          <w:tcPr>
            <w:tcW w:w="3715" w:type="dxa"/>
            <w:tcBorders>
              <w:top w:val="single" w:sz="4" w:space="0" w:color="auto"/>
              <w:left w:val="single" w:sz="4" w:space="0" w:color="auto"/>
              <w:bottom w:val="single" w:sz="4" w:space="0" w:color="auto"/>
              <w:right w:val="single" w:sz="4" w:space="0" w:color="auto"/>
            </w:tcBorders>
            <w:noWrap/>
            <w:hideMark/>
          </w:tcPr>
          <w:p w14:paraId="35E847BF" w14:textId="77777777" w:rsidR="005400D8" w:rsidRPr="00A014FD" w:rsidRDefault="005400D8" w:rsidP="00704B82">
            <w:pPr>
              <w:jc w:val="left"/>
              <w:rPr>
                <w:rFonts w:eastAsia="等线"/>
                <w:color w:val="000000"/>
                <w:sz w:val="22"/>
              </w:rPr>
            </w:pPr>
            <w:r w:rsidRPr="00A014FD">
              <w:rPr>
                <w:rFonts w:eastAsia="等线"/>
                <w:color w:val="000000"/>
                <w:sz w:val="22"/>
              </w:rPr>
              <w:t>Total Travel Time in City Centre</w:t>
            </w:r>
          </w:p>
        </w:tc>
        <w:tc>
          <w:tcPr>
            <w:tcW w:w="1530" w:type="dxa"/>
            <w:tcBorders>
              <w:top w:val="nil"/>
              <w:left w:val="single" w:sz="4" w:space="0" w:color="auto"/>
              <w:bottom w:val="nil"/>
              <w:right w:val="nil"/>
            </w:tcBorders>
            <w:vAlign w:val="center"/>
          </w:tcPr>
          <w:p w14:paraId="2B1532B2" w14:textId="77777777" w:rsidR="005400D8" w:rsidRPr="00A014FD" w:rsidRDefault="005400D8" w:rsidP="00704B82">
            <w:pPr>
              <w:jc w:val="center"/>
              <w:rPr>
                <w:rFonts w:eastAsia="等线"/>
                <w:sz w:val="22"/>
              </w:rPr>
            </w:pPr>
            <w:r w:rsidRPr="00A014FD">
              <w:rPr>
                <w:rFonts w:ascii="MS Mincho" w:eastAsia="MS Mincho" w:hAnsi="MS Mincho" w:cs="MS Mincho" w:hint="eastAsia"/>
                <w:bCs/>
                <w:color w:val="545454"/>
                <w:sz w:val="22"/>
                <w:shd w:val="clear" w:color="auto" w:fill="FFFFFF"/>
              </w:rPr>
              <w:t>✓</w:t>
            </w:r>
          </w:p>
        </w:tc>
        <w:tc>
          <w:tcPr>
            <w:tcW w:w="1281" w:type="dxa"/>
            <w:tcBorders>
              <w:top w:val="nil"/>
              <w:left w:val="nil"/>
              <w:bottom w:val="nil"/>
              <w:right w:val="single" w:sz="4" w:space="0" w:color="auto"/>
            </w:tcBorders>
            <w:vAlign w:val="center"/>
          </w:tcPr>
          <w:p w14:paraId="67469501" w14:textId="77777777" w:rsidR="005400D8" w:rsidRPr="00A014FD" w:rsidRDefault="005400D8" w:rsidP="00704B82">
            <w:pPr>
              <w:jc w:val="center"/>
              <w:rPr>
                <w:rFonts w:eastAsia="等线"/>
                <w:sz w:val="22"/>
              </w:rPr>
            </w:pPr>
            <w:r w:rsidRPr="00A014FD">
              <w:rPr>
                <w:rFonts w:eastAsia="等线"/>
                <w:color w:val="000000"/>
                <w:sz w:val="22"/>
              </w:rPr>
              <w:t>□</w:t>
            </w:r>
          </w:p>
        </w:tc>
      </w:tr>
      <w:tr w:rsidR="005400D8" w:rsidRPr="00A014FD" w14:paraId="3D689C28" w14:textId="77777777" w:rsidTr="00704B82">
        <w:trPr>
          <w:trHeight w:val="315"/>
          <w:jc w:val="center"/>
        </w:trPr>
        <w:tc>
          <w:tcPr>
            <w:tcW w:w="2263" w:type="dxa"/>
            <w:vMerge/>
            <w:tcBorders>
              <w:left w:val="single" w:sz="4" w:space="0" w:color="auto"/>
              <w:bottom w:val="single" w:sz="4" w:space="0" w:color="auto"/>
              <w:right w:val="single" w:sz="4" w:space="0" w:color="auto"/>
            </w:tcBorders>
            <w:vAlign w:val="center"/>
            <w:hideMark/>
          </w:tcPr>
          <w:p w14:paraId="3AF19149" w14:textId="77777777" w:rsidR="005400D8" w:rsidRPr="00A014FD" w:rsidRDefault="005400D8" w:rsidP="00704B82">
            <w:pPr>
              <w:jc w:val="left"/>
              <w:rPr>
                <w:rFonts w:eastAsia="等线"/>
                <w:color w:val="000000"/>
                <w:sz w:val="22"/>
              </w:rPr>
            </w:pPr>
          </w:p>
        </w:tc>
        <w:tc>
          <w:tcPr>
            <w:tcW w:w="3715" w:type="dxa"/>
            <w:tcBorders>
              <w:top w:val="single" w:sz="4" w:space="0" w:color="auto"/>
              <w:left w:val="single" w:sz="4" w:space="0" w:color="auto"/>
              <w:bottom w:val="single" w:sz="4" w:space="0" w:color="auto"/>
              <w:right w:val="single" w:sz="4" w:space="0" w:color="auto"/>
            </w:tcBorders>
            <w:noWrap/>
            <w:hideMark/>
          </w:tcPr>
          <w:p w14:paraId="605F7BB4" w14:textId="77777777" w:rsidR="005400D8" w:rsidRPr="00A014FD" w:rsidRDefault="005400D8" w:rsidP="00704B82">
            <w:pPr>
              <w:jc w:val="left"/>
              <w:rPr>
                <w:rFonts w:eastAsia="等线"/>
                <w:color w:val="000000"/>
                <w:sz w:val="22"/>
              </w:rPr>
            </w:pPr>
            <w:r w:rsidRPr="00A014FD">
              <w:rPr>
                <w:rFonts w:eastAsia="等线"/>
                <w:color w:val="000000"/>
                <w:sz w:val="22"/>
              </w:rPr>
              <w:t xml:space="preserve">Time for On-street Parking </w:t>
            </w:r>
          </w:p>
        </w:tc>
        <w:tc>
          <w:tcPr>
            <w:tcW w:w="1530" w:type="dxa"/>
            <w:tcBorders>
              <w:top w:val="nil"/>
              <w:left w:val="single" w:sz="4" w:space="0" w:color="auto"/>
              <w:bottom w:val="single" w:sz="4" w:space="0" w:color="auto"/>
              <w:right w:val="nil"/>
            </w:tcBorders>
            <w:vAlign w:val="center"/>
          </w:tcPr>
          <w:p w14:paraId="4A198E98" w14:textId="77777777" w:rsidR="005400D8" w:rsidRPr="00A014FD" w:rsidRDefault="005400D8" w:rsidP="00704B82">
            <w:pPr>
              <w:jc w:val="center"/>
              <w:rPr>
                <w:rFonts w:eastAsia="等线"/>
                <w:color w:val="000000"/>
                <w:sz w:val="22"/>
              </w:rPr>
            </w:pPr>
            <w:r w:rsidRPr="00A014FD">
              <w:rPr>
                <w:rFonts w:ascii="MS Mincho" w:eastAsia="MS Mincho" w:hAnsi="MS Mincho" w:cs="MS Mincho" w:hint="eastAsia"/>
                <w:bCs/>
                <w:color w:val="545454"/>
                <w:sz w:val="22"/>
                <w:shd w:val="clear" w:color="auto" w:fill="FFFFFF"/>
              </w:rPr>
              <w:t>✓</w:t>
            </w:r>
          </w:p>
        </w:tc>
        <w:tc>
          <w:tcPr>
            <w:tcW w:w="1281" w:type="dxa"/>
            <w:tcBorders>
              <w:top w:val="nil"/>
              <w:left w:val="nil"/>
              <w:bottom w:val="single" w:sz="4" w:space="0" w:color="auto"/>
              <w:right w:val="single" w:sz="4" w:space="0" w:color="auto"/>
            </w:tcBorders>
            <w:vAlign w:val="center"/>
          </w:tcPr>
          <w:p w14:paraId="51802DC4" w14:textId="77777777" w:rsidR="005400D8" w:rsidRPr="00A014FD" w:rsidRDefault="005400D8" w:rsidP="00704B82">
            <w:pPr>
              <w:jc w:val="center"/>
              <w:rPr>
                <w:rFonts w:eastAsia="等线"/>
                <w:color w:val="000000"/>
                <w:sz w:val="22"/>
              </w:rPr>
            </w:pPr>
            <w:r w:rsidRPr="00A014FD">
              <w:rPr>
                <w:rFonts w:ascii="MS Mincho" w:eastAsia="MS Mincho" w:hAnsi="MS Mincho" w:cs="MS Mincho" w:hint="eastAsia"/>
                <w:bCs/>
                <w:color w:val="545454"/>
                <w:sz w:val="22"/>
                <w:shd w:val="clear" w:color="auto" w:fill="FFFFFF"/>
              </w:rPr>
              <w:t>✓</w:t>
            </w:r>
          </w:p>
        </w:tc>
      </w:tr>
    </w:tbl>
    <w:p w14:paraId="713B9035" w14:textId="77777777" w:rsidR="005400D8" w:rsidRPr="00A014FD" w:rsidRDefault="005400D8" w:rsidP="005400D8">
      <w:pPr>
        <w:spacing w:after="160" w:line="259" w:lineRule="auto"/>
        <w:jc w:val="left"/>
        <w:rPr>
          <w:rFonts w:eastAsia="等线"/>
          <w:bdr w:val="nil"/>
          <w:lang w:val="en-US"/>
        </w:rPr>
      </w:pPr>
    </w:p>
    <w:p w14:paraId="15182DC1" w14:textId="77777777" w:rsidR="005400D8" w:rsidRPr="00A014FD" w:rsidRDefault="005400D8" w:rsidP="005400D8">
      <w:pPr>
        <w:spacing w:after="160" w:line="259" w:lineRule="auto"/>
        <w:jc w:val="left"/>
        <w:rPr>
          <w:rFonts w:eastAsia="等线"/>
          <w:lang w:val="en-US"/>
        </w:rPr>
      </w:pPr>
      <w:r w:rsidRPr="00A014FD">
        <w:rPr>
          <w:rFonts w:eastAsia="等线"/>
          <w:lang w:val="en-US"/>
        </w:rPr>
        <w:br w:type="page"/>
      </w:r>
    </w:p>
    <w:p w14:paraId="5B9FF930" w14:textId="77777777" w:rsidR="005400D8" w:rsidRPr="00A014FD" w:rsidRDefault="005400D8" w:rsidP="005400D8">
      <w:pPr>
        <w:keepNext/>
        <w:shd w:val="clear" w:color="auto" w:fill="D9D9D9"/>
        <w:spacing w:after="160" w:line="259" w:lineRule="auto"/>
        <w:jc w:val="center"/>
        <w:rPr>
          <w:rFonts w:eastAsia="等线"/>
          <w:b/>
          <w:sz w:val="28"/>
          <w:szCs w:val="28"/>
          <w:lang w:val="en-US"/>
        </w:rPr>
      </w:pPr>
      <w:r w:rsidRPr="00A014FD">
        <w:rPr>
          <w:rFonts w:eastAsia="等线"/>
          <w:b/>
          <w:sz w:val="28"/>
          <w:szCs w:val="28"/>
          <w:lang w:val="en-US"/>
        </w:rPr>
        <w:lastRenderedPageBreak/>
        <w:t>Sub-section D 3 (To be completed by Government)</w:t>
      </w:r>
    </w:p>
    <w:p w14:paraId="2327897F" w14:textId="77777777" w:rsidR="005400D8" w:rsidRPr="00A014FD" w:rsidRDefault="005400D8" w:rsidP="005400D8">
      <w:pPr>
        <w:spacing w:after="160" w:line="276" w:lineRule="auto"/>
        <w:jc w:val="left"/>
        <w:rPr>
          <w:rFonts w:eastAsia="等线"/>
          <w:b/>
          <w:bCs/>
          <w:lang w:val="en-US"/>
        </w:rPr>
      </w:pPr>
      <w:r w:rsidRPr="00A014FD">
        <w:rPr>
          <w:rFonts w:eastAsia="等线"/>
          <w:b/>
          <w:bCs/>
          <w:bdr w:val="nil"/>
          <w:lang w:val="en-US"/>
        </w:rPr>
        <w:t xml:space="preserve">D3.1 What is/are the government's function in the entire UCC system (You may choose more than one)? </w:t>
      </w:r>
    </w:p>
    <w:tbl>
      <w:tblPr>
        <w:tblStyle w:val="GridTable1Light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06"/>
      </w:tblGrid>
      <w:tr w:rsidR="005400D8" w:rsidRPr="00A014FD" w14:paraId="2D5A902C" w14:textId="77777777" w:rsidTr="00704B82">
        <w:trPr>
          <w:cnfStyle w:val="100000000000" w:firstRow="1" w:lastRow="0" w:firstColumn="0" w:lastColumn="0" w:oddVBand="0" w:evenVBand="0" w:oddHBand="0"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7400" w:type="dxa"/>
          </w:tcPr>
          <w:p w14:paraId="3ED2858F" w14:textId="77777777" w:rsidR="005400D8" w:rsidRPr="00A014FD" w:rsidRDefault="005400D8" w:rsidP="00704B82">
            <w:pPr>
              <w:spacing w:line="276" w:lineRule="auto"/>
              <w:jc w:val="left"/>
              <w:rPr>
                <w:rFonts w:eastAsia="等线"/>
                <w:sz w:val="22"/>
              </w:rPr>
            </w:pPr>
            <w:r w:rsidRPr="00A014FD">
              <w:rPr>
                <w:rFonts w:eastAsia="等线"/>
                <w:color w:val="545454"/>
                <w:sz w:val="22"/>
                <w:shd w:val="clear" w:color="auto" w:fill="FFFFFF"/>
              </w:rPr>
              <w:t xml:space="preserve">□ </w:t>
            </w:r>
            <w:r w:rsidRPr="00A014FD">
              <w:rPr>
                <w:rFonts w:eastAsia="等线"/>
                <w:sz w:val="22"/>
                <w:bdr w:val="nil"/>
              </w:rPr>
              <w:t>Leader</w:t>
            </w:r>
          </w:p>
        </w:tc>
      </w:tr>
      <w:tr w:rsidR="005400D8" w:rsidRPr="00A014FD" w14:paraId="3BD8140D" w14:textId="77777777" w:rsidTr="00704B82">
        <w:trPr>
          <w:trHeight w:val="144"/>
        </w:trPr>
        <w:tc>
          <w:tcPr>
            <w:cnfStyle w:val="001000000000" w:firstRow="0" w:lastRow="0" w:firstColumn="1" w:lastColumn="0" w:oddVBand="0" w:evenVBand="0" w:oddHBand="0" w:evenHBand="0" w:firstRowFirstColumn="0" w:firstRowLastColumn="0" w:lastRowFirstColumn="0" w:lastRowLastColumn="0"/>
            <w:tcW w:w="7400" w:type="dxa"/>
          </w:tcPr>
          <w:p w14:paraId="0659BDEE" w14:textId="77777777" w:rsidR="005400D8" w:rsidRPr="00A014FD" w:rsidRDefault="005400D8" w:rsidP="00704B82">
            <w:pPr>
              <w:spacing w:line="276" w:lineRule="auto"/>
              <w:jc w:val="left"/>
              <w:rPr>
                <w:rFonts w:eastAsia="微软雅黑"/>
                <w:sz w:val="22"/>
              </w:rPr>
            </w:pPr>
            <w:r w:rsidRPr="00A014FD">
              <w:rPr>
                <w:rFonts w:eastAsia="等线"/>
                <w:color w:val="545454"/>
                <w:sz w:val="22"/>
                <w:shd w:val="pct15" w:color="auto" w:fill="FFFFFF"/>
              </w:rPr>
              <w:t>X</w:t>
            </w:r>
            <w:r w:rsidRPr="00A014FD">
              <w:rPr>
                <w:rFonts w:eastAsia="等线"/>
                <w:color w:val="545454"/>
                <w:sz w:val="22"/>
                <w:shd w:val="clear" w:color="auto" w:fill="FFFFFF"/>
              </w:rPr>
              <w:t xml:space="preserve"> </w:t>
            </w:r>
            <w:r w:rsidRPr="00A014FD">
              <w:rPr>
                <w:rFonts w:eastAsia="等线"/>
                <w:sz w:val="22"/>
                <w:bdr w:val="nil"/>
              </w:rPr>
              <w:t>Inspector</w:t>
            </w:r>
          </w:p>
        </w:tc>
      </w:tr>
      <w:tr w:rsidR="005400D8" w:rsidRPr="00A014FD" w14:paraId="0EC3922E" w14:textId="77777777" w:rsidTr="00704B82">
        <w:trPr>
          <w:trHeight w:val="253"/>
        </w:trPr>
        <w:tc>
          <w:tcPr>
            <w:cnfStyle w:val="001000000000" w:firstRow="0" w:lastRow="0" w:firstColumn="1" w:lastColumn="0" w:oddVBand="0" w:evenVBand="0" w:oddHBand="0" w:evenHBand="0" w:firstRowFirstColumn="0" w:firstRowLastColumn="0" w:lastRowFirstColumn="0" w:lastRowLastColumn="0"/>
            <w:tcW w:w="7400" w:type="dxa"/>
          </w:tcPr>
          <w:p w14:paraId="6B86003A" w14:textId="77777777" w:rsidR="005400D8" w:rsidRPr="00A014FD" w:rsidRDefault="005400D8" w:rsidP="00704B82">
            <w:pPr>
              <w:spacing w:line="276" w:lineRule="auto"/>
              <w:jc w:val="left"/>
              <w:rPr>
                <w:rFonts w:eastAsia="微软雅黑"/>
                <w:sz w:val="22"/>
              </w:rPr>
            </w:pPr>
            <w:r w:rsidRPr="00A014FD">
              <w:rPr>
                <w:rFonts w:eastAsia="等线"/>
                <w:color w:val="545454"/>
                <w:sz w:val="22"/>
                <w:shd w:val="clear" w:color="auto" w:fill="FFFFFF"/>
              </w:rPr>
              <w:t xml:space="preserve">□ </w:t>
            </w:r>
            <w:r w:rsidRPr="00A014FD">
              <w:rPr>
                <w:rFonts w:eastAsia="等线"/>
                <w:sz w:val="22"/>
                <w:bdr w:val="nil"/>
              </w:rPr>
              <w:t>Assistant</w:t>
            </w:r>
          </w:p>
        </w:tc>
      </w:tr>
      <w:tr w:rsidR="005400D8" w:rsidRPr="00A014FD" w14:paraId="446FC236" w14:textId="77777777" w:rsidTr="00704B82">
        <w:trPr>
          <w:trHeight w:val="201"/>
        </w:trPr>
        <w:tc>
          <w:tcPr>
            <w:cnfStyle w:val="001000000000" w:firstRow="0" w:lastRow="0" w:firstColumn="1" w:lastColumn="0" w:oddVBand="0" w:evenVBand="0" w:oddHBand="0" w:evenHBand="0" w:firstRowFirstColumn="0" w:firstRowLastColumn="0" w:lastRowFirstColumn="0" w:lastRowLastColumn="0"/>
            <w:tcW w:w="7400" w:type="dxa"/>
          </w:tcPr>
          <w:p w14:paraId="7FCBB1C5" w14:textId="77777777" w:rsidR="005400D8" w:rsidRPr="00A014FD" w:rsidRDefault="005400D8" w:rsidP="00704B82">
            <w:pPr>
              <w:spacing w:line="276" w:lineRule="auto"/>
              <w:jc w:val="left"/>
              <w:rPr>
                <w:rFonts w:eastAsia="微软雅黑"/>
                <w:sz w:val="22"/>
              </w:rPr>
            </w:pPr>
            <w:r w:rsidRPr="00A014FD">
              <w:rPr>
                <w:rFonts w:eastAsia="等线"/>
                <w:color w:val="545454"/>
                <w:sz w:val="22"/>
                <w:shd w:val="clear" w:color="auto" w:fill="FFFFFF"/>
              </w:rPr>
              <w:t xml:space="preserve">□ </w:t>
            </w:r>
            <w:r w:rsidRPr="00A014FD">
              <w:rPr>
                <w:rFonts w:eastAsia="等线"/>
                <w:sz w:val="22"/>
                <w:bdr w:val="nil"/>
              </w:rPr>
              <w:t>Manager</w:t>
            </w:r>
          </w:p>
        </w:tc>
      </w:tr>
      <w:tr w:rsidR="005400D8" w:rsidRPr="00A014FD" w14:paraId="0773D075" w14:textId="77777777" w:rsidTr="00704B82">
        <w:trPr>
          <w:trHeight w:val="48"/>
        </w:trPr>
        <w:tc>
          <w:tcPr>
            <w:cnfStyle w:val="001000000000" w:firstRow="0" w:lastRow="0" w:firstColumn="1" w:lastColumn="0" w:oddVBand="0" w:evenVBand="0" w:oddHBand="0" w:evenHBand="0" w:firstRowFirstColumn="0" w:firstRowLastColumn="0" w:lastRowFirstColumn="0" w:lastRowLastColumn="0"/>
            <w:tcW w:w="7400" w:type="dxa"/>
          </w:tcPr>
          <w:p w14:paraId="0E7A5DF9" w14:textId="77777777" w:rsidR="005400D8" w:rsidRPr="00A014FD" w:rsidRDefault="005400D8" w:rsidP="00704B82">
            <w:pPr>
              <w:spacing w:line="276" w:lineRule="auto"/>
              <w:jc w:val="left"/>
              <w:rPr>
                <w:rFonts w:eastAsia="微软雅黑"/>
                <w:sz w:val="22"/>
              </w:rPr>
            </w:pPr>
            <w:r w:rsidRPr="00A014FD">
              <w:rPr>
                <w:rFonts w:eastAsia="等线"/>
                <w:color w:val="545454"/>
                <w:sz w:val="22"/>
                <w:shd w:val="pct15" w:color="auto" w:fill="FFFFFF"/>
              </w:rPr>
              <w:t>X</w:t>
            </w:r>
            <w:r w:rsidRPr="00A014FD">
              <w:rPr>
                <w:rFonts w:eastAsia="等线"/>
                <w:color w:val="545454"/>
                <w:sz w:val="22"/>
                <w:shd w:val="clear" w:color="auto" w:fill="FFFFFF"/>
              </w:rPr>
              <w:t xml:space="preserve"> </w:t>
            </w:r>
            <w:r w:rsidRPr="00A014FD">
              <w:rPr>
                <w:rFonts w:eastAsia="等线"/>
                <w:sz w:val="22"/>
                <w:bdr w:val="nil"/>
              </w:rPr>
              <w:t>Supporter</w:t>
            </w:r>
          </w:p>
        </w:tc>
      </w:tr>
    </w:tbl>
    <w:p w14:paraId="0110D86C" w14:textId="77777777" w:rsidR="005400D8" w:rsidRPr="00A014FD" w:rsidRDefault="005400D8" w:rsidP="005400D8">
      <w:pPr>
        <w:spacing w:after="160" w:line="276" w:lineRule="auto"/>
        <w:jc w:val="left"/>
        <w:rPr>
          <w:rFonts w:eastAsia="等线"/>
          <w:lang w:val="en-US"/>
        </w:rPr>
      </w:pPr>
    </w:p>
    <w:tbl>
      <w:tblPr>
        <w:tblStyle w:val="30"/>
        <w:tblW w:w="0" w:type="auto"/>
        <w:tblLook w:val="04A0" w:firstRow="1" w:lastRow="0" w:firstColumn="1" w:lastColumn="0" w:noHBand="0" w:noVBand="1"/>
      </w:tblPr>
      <w:tblGrid>
        <w:gridCol w:w="8296"/>
      </w:tblGrid>
      <w:tr w:rsidR="005400D8" w:rsidRPr="00A014FD" w14:paraId="023A5CC8" w14:textId="77777777" w:rsidTr="00704B82">
        <w:tc>
          <w:tcPr>
            <w:tcW w:w="9350" w:type="dxa"/>
          </w:tcPr>
          <w:p w14:paraId="7E4B5862" w14:textId="77777777" w:rsidR="005400D8" w:rsidRPr="00A014FD" w:rsidRDefault="005400D8" w:rsidP="00704B82">
            <w:pPr>
              <w:rPr>
                <w:rFonts w:eastAsia="等线"/>
                <w:sz w:val="22"/>
              </w:rPr>
            </w:pPr>
            <w:r w:rsidRPr="00A014FD">
              <w:rPr>
                <w:rFonts w:eastAsia="等线"/>
                <w:sz w:val="22"/>
              </w:rPr>
              <w:t>Robin’s Explanation:</w:t>
            </w:r>
          </w:p>
          <w:p w14:paraId="2B8AADCD" w14:textId="77777777" w:rsidR="005400D8" w:rsidRPr="00A014FD" w:rsidRDefault="005400D8" w:rsidP="00704B82">
            <w:pPr>
              <w:rPr>
                <w:rFonts w:eastAsia="等线"/>
                <w:sz w:val="22"/>
              </w:rPr>
            </w:pPr>
            <w:r w:rsidRPr="00A014FD">
              <w:rPr>
                <w:rFonts w:eastAsia="等线"/>
                <w:sz w:val="22"/>
              </w:rPr>
              <w:t xml:space="preserve">I guess supporter would be good. I mean, we are making it happen because we are a facilitated </w:t>
            </w:r>
            <w:proofErr w:type="gramStart"/>
            <w:r w:rsidRPr="00A014FD">
              <w:rPr>
                <w:rFonts w:eastAsia="等线"/>
                <w:sz w:val="22"/>
              </w:rPr>
              <w:t>where by</w:t>
            </w:r>
            <w:proofErr w:type="gramEnd"/>
            <w:r w:rsidRPr="00A014FD">
              <w:rPr>
                <w:rFonts w:eastAsia="等线"/>
                <w:sz w:val="22"/>
              </w:rPr>
              <w:t xml:space="preserve"> being a part of this by saying we think this is important. We are part of this this is collaboration that we support. We want to have more people coming into it. We show the market that we want, that this is our </w:t>
            </w:r>
            <w:proofErr w:type="gramStart"/>
            <w:r w:rsidRPr="00A014FD">
              <w:rPr>
                <w:rFonts w:eastAsia="等线"/>
                <w:sz w:val="22"/>
              </w:rPr>
              <w:t>long term</w:t>
            </w:r>
            <w:proofErr w:type="gramEnd"/>
            <w:r w:rsidRPr="00A014FD">
              <w:rPr>
                <w:rFonts w:eastAsia="等线"/>
                <w:sz w:val="22"/>
              </w:rPr>
              <w:t xml:space="preserve"> strategy so that other companies may be there to start to think differently and enter this solution. </w:t>
            </w:r>
            <w:proofErr w:type="gramStart"/>
            <w:r w:rsidRPr="00A014FD">
              <w:rPr>
                <w:rFonts w:eastAsia="等线"/>
                <w:sz w:val="22"/>
              </w:rPr>
              <w:t>So</w:t>
            </w:r>
            <w:proofErr w:type="gramEnd"/>
            <w:r w:rsidRPr="00A014FD">
              <w:rPr>
                <w:rFonts w:eastAsia="等线"/>
                <w:sz w:val="22"/>
              </w:rPr>
              <w:t xml:space="preserve"> we're a, you could say we're guarantee or promoter some sort of a definitely a supporter. I guess, maybe also a little bit, I </w:t>
            </w:r>
            <w:proofErr w:type="gramStart"/>
            <w:r w:rsidRPr="00A014FD">
              <w:rPr>
                <w:rFonts w:eastAsia="等线"/>
                <w:sz w:val="22"/>
              </w:rPr>
              <w:t>don't</w:t>
            </w:r>
            <w:proofErr w:type="gramEnd"/>
            <w:r w:rsidRPr="00A014FD">
              <w:rPr>
                <w:rFonts w:eastAsia="等线"/>
                <w:sz w:val="22"/>
              </w:rPr>
              <w:t xml:space="preserve"> know a little bit inspector because we also give a permit to the electric vehicle to circulate on pedestrian areas. Oh, but we also have parking agents walking around. </w:t>
            </w:r>
            <w:proofErr w:type="gramStart"/>
            <w:r w:rsidRPr="00A014FD">
              <w:rPr>
                <w:rFonts w:eastAsia="等线"/>
                <w:sz w:val="22"/>
              </w:rPr>
              <w:t>So</w:t>
            </w:r>
            <w:proofErr w:type="gramEnd"/>
            <w:r w:rsidRPr="00A014FD">
              <w:rPr>
                <w:rFonts w:eastAsia="等线"/>
                <w:sz w:val="22"/>
              </w:rPr>
              <w:t xml:space="preserve"> we're also securing the tickets follows the rules, as we do in all cases. But not really. Inspector of the how the consolidation centre. </w:t>
            </w:r>
            <w:proofErr w:type="gramStart"/>
            <w:r w:rsidRPr="00A014FD">
              <w:rPr>
                <w:rFonts w:eastAsia="等线"/>
                <w:sz w:val="22"/>
              </w:rPr>
              <w:t>I'll</w:t>
            </w:r>
            <w:proofErr w:type="gramEnd"/>
            <w:r w:rsidRPr="00A014FD">
              <w:rPr>
                <w:rFonts w:eastAsia="等线"/>
                <w:sz w:val="22"/>
              </w:rPr>
              <w:t xml:space="preserve"> cut more of the usage of the public infrastructure. So as for me, I think support would be passed.</w:t>
            </w:r>
          </w:p>
        </w:tc>
      </w:tr>
    </w:tbl>
    <w:p w14:paraId="140606D4" w14:textId="77777777" w:rsidR="005400D8" w:rsidRPr="00A014FD" w:rsidRDefault="005400D8" w:rsidP="005400D8">
      <w:pPr>
        <w:spacing w:after="160" w:line="276" w:lineRule="auto"/>
        <w:jc w:val="left"/>
        <w:rPr>
          <w:rFonts w:eastAsia="等线"/>
          <w:lang w:val="en-US"/>
        </w:rPr>
      </w:pPr>
    </w:p>
    <w:p w14:paraId="46409FE6" w14:textId="77777777" w:rsidR="005400D8" w:rsidRPr="00A014FD" w:rsidRDefault="005400D8" w:rsidP="005400D8">
      <w:pPr>
        <w:spacing w:after="160" w:line="276" w:lineRule="auto"/>
        <w:jc w:val="left"/>
        <w:rPr>
          <w:rFonts w:eastAsia="等线"/>
          <w:b/>
          <w:bCs/>
          <w:lang w:val="en-US"/>
        </w:rPr>
      </w:pPr>
      <w:r w:rsidRPr="00A014FD">
        <w:rPr>
          <w:rFonts w:eastAsia="等线"/>
          <w:b/>
          <w:bCs/>
          <w:bdr w:val="nil"/>
          <w:lang w:val="en-US"/>
        </w:rPr>
        <w:t>D3.2 What kind of measurement has been taken by Government to help to maintain the UCC (You may choose more than one)?</w:t>
      </w:r>
    </w:p>
    <w:tbl>
      <w:tblPr>
        <w:tblW w:w="5000" w:type="pct"/>
        <w:tblLayout w:type="fixed"/>
        <w:tblCellMar>
          <w:top w:w="140" w:type="dxa"/>
        </w:tblCellMar>
        <w:tblLook w:val="04A0" w:firstRow="1" w:lastRow="0" w:firstColumn="1" w:lastColumn="0" w:noHBand="0" w:noVBand="1"/>
      </w:tblPr>
      <w:tblGrid>
        <w:gridCol w:w="8306"/>
      </w:tblGrid>
      <w:tr w:rsidR="005400D8" w:rsidRPr="00A014FD" w14:paraId="02C25DBA" w14:textId="77777777" w:rsidTr="00704B82">
        <w:trPr>
          <w:trHeight w:val="45"/>
        </w:trPr>
        <w:tc>
          <w:tcPr>
            <w:tcW w:w="7400" w:type="dxa"/>
            <w:shd w:val="clear" w:color="auto" w:fill="FFFFFF"/>
            <w:vAlign w:val="center"/>
          </w:tcPr>
          <w:p w14:paraId="384323D4" w14:textId="77777777" w:rsidR="005400D8" w:rsidRPr="00A014FD" w:rsidRDefault="005400D8" w:rsidP="00704B82">
            <w:pPr>
              <w:spacing w:after="160" w:line="276" w:lineRule="auto"/>
              <w:jc w:val="left"/>
              <w:rPr>
                <w:rFonts w:eastAsia="等线"/>
                <w:sz w:val="22"/>
                <w:lang w:val="en-US"/>
              </w:rPr>
            </w:pPr>
            <w:r w:rsidRPr="00A014FD">
              <w:rPr>
                <w:rFonts w:eastAsia="等线"/>
                <w:sz w:val="22"/>
                <w:bdr w:val="nil"/>
                <w:shd w:val="pct15" w:color="auto" w:fill="FFFFFF"/>
                <w:lang w:val="en-US"/>
              </w:rPr>
              <w:t xml:space="preserve">X </w:t>
            </w:r>
            <w:r w:rsidRPr="00A014FD">
              <w:rPr>
                <w:rFonts w:eastAsia="等线"/>
                <w:sz w:val="22"/>
                <w:bdr w:val="nil"/>
                <w:lang w:val="en-US"/>
              </w:rPr>
              <w:t>Policy and regulation support</w:t>
            </w:r>
          </w:p>
        </w:tc>
      </w:tr>
      <w:tr w:rsidR="005400D8" w:rsidRPr="00A014FD" w14:paraId="0A131359" w14:textId="77777777" w:rsidTr="00704B82">
        <w:trPr>
          <w:trHeight w:val="37"/>
        </w:trPr>
        <w:tc>
          <w:tcPr>
            <w:tcW w:w="7400" w:type="dxa"/>
            <w:shd w:val="clear" w:color="auto" w:fill="FFFFFF"/>
            <w:vAlign w:val="center"/>
          </w:tcPr>
          <w:p w14:paraId="759256A6" w14:textId="77777777" w:rsidR="005400D8" w:rsidRPr="00A014FD" w:rsidRDefault="005400D8" w:rsidP="00704B82">
            <w:pPr>
              <w:spacing w:after="160" w:line="276" w:lineRule="auto"/>
              <w:jc w:val="left"/>
              <w:rPr>
                <w:rFonts w:eastAsia="微软雅黑"/>
                <w:sz w:val="22"/>
                <w:lang w:val="en-US"/>
              </w:rPr>
            </w:pPr>
            <w:r w:rsidRPr="00A014FD">
              <w:rPr>
                <w:rFonts w:eastAsia="等线"/>
                <w:sz w:val="22"/>
                <w:bdr w:val="nil"/>
                <w:lang w:val="en-US"/>
              </w:rPr>
              <w:t>□ Priority in the marketing</w:t>
            </w:r>
          </w:p>
        </w:tc>
      </w:tr>
      <w:tr w:rsidR="005400D8" w:rsidRPr="00A014FD" w14:paraId="7DD53166" w14:textId="77777777" w:rsidTr="00704B82">
        <w:trPr>
          <w:trHeight w:val="23"/>
        </w:trPr>
        <w:tc>
          <w:tcPr>
            <w:tcW w:w="7400" w:type="dxa"/>
            <w:shd w:val="clear" w:color="auto" w:fill="FFFFFF"/>
            <w:vAlign w:val="center"/>
          </w:tcPr>
          <w:p w14:paraId="18D9FD40" w14:textId="77777777" w:rsidR="005400D8" w:rsidRPr="00A014FD" w:rsidRDefault="005400D8" w:rsidP="00704B82">
            <w:pPr>
              <w:spacing w:after="160" w:line="276" w:lineRule="auto"/>
              <w:jc w:val="left"/>
              <w:rPr>
                <w:rFonts w:eastAsia="微软雅黑"/>
                <w:sz w:val="22"/>
                <w:lang w:val="en-US"/>
              </w:rPr>
            </w:pPr>
            <w:r w:rsidRPr="00A014FD">
              <w:rPr>
                <w:rFonts w:eastAsia="等线"/>
                <w:sz w:val="22"/>
                <w:bdr w:val="nil"/>
                <w:lang w:val="en-US"/>
              </w:rPr>
              <w:t>□ Financial support</w:t>
            </w:r>
          </w:p>
        </w:tc>
      </w:tr>
      <w:tr w:rsidR="005400D8" w:rsidRPr="00A014FD" w14:paraId="68A9A960" w14:textId="77777777" w:rsidTr="00704B82">
        <w:trPr>
          <w:trHeight w:val="23"/>
        </w:trPr>
        <w:tc>
          <w:tcPr>
            <w:tcW w:w="7400" w:type="dxa"/>
            <w:shd w:val="clear" w:color="auto" w:fill="FFFFFF"/>
            <w:vAlign w:val="center"/>
          </w:tcPr>
          <w:p w14:paraId="76D51C40" w14:textId="77777777" w:rsidR="005400D8" w:rsidRPr="00A014FD" w:rsidRDefault="005400D8" w:rsidP="00704B82">
            <w:pPr>
              <w:spacing w:after="160" w:line="276" w:lineRule="auto"/>
              <w:jc w:val="left"/>
              <w:rPr>
                <w:rFonts w:eastAsia="微软雅黑"/>
                <w:sz w:val="22"/>
                <w:lang w:val="en-US"/>
              </w:rPr>
            </w:pPr>
            <w:r w:rsidRPr="00A014FD">
              <w:rPr>
                <w:rFonts w:eastAsia="等线"/>
                <w:sz w:val="22"/>
                <w:bdr w:val="nil"/>
                <w:lang w:val="en-US"/>
              </w:rPr>
              <w:t>□ Others, Please List _________________</w:t>
            </w:r>
          </w:p>
        </w:tc>
      </w:tr>
    </w:tbl>
    <w:p w14:paraId="4FD3B7E4" w14:textId="77777777" w:rsidR="005400D8" w:rsidRPr="00A014FD" w:rsidRDefault="005400D8" w:rsidP="005400D8">
      <w:pPr>
        <w:spacing w:after="160" w:line="276" w:lineRule="auto"/>
        <w:rPr>
          <w:rFonts w:eastAsia="等线"/>
          <w:b/>
          <w:bCs/>
          <w:bdr w:val="nil"/>
          <w:lang w:val="en-US"/>
        </w:rPr>
      </w:pPr>
    </w:p>
    <w:tbl>
      <w:tblPr>
        <w:tblStyle w:val="30"/>
        <w:tblW w:w="0" w:type="auto"/>
        <w:tblLook w:val="04A0" w:firstRow="1" w:lastRow="0" w:firstColumn="1" w:lastColumn="0" w:noHBand="0" w:noVBand="1"/>
      </w:tblPr>
      <w:tblGrid>
        <w:gridCol w:w="8296"/>
      </w:tblGrid>
      <w:tr w:rsidR="005400D8" w:rsidRPr="00A014FD" w14:paraId="46AA6BBB" w14:textId="77777777" w:rsidTr="00704B82">
        <w:tc>
          <w:tcPr>
            <w:tcW w:w="9350" w:type="dxa"/>
          </w:tcPr>
          <w:p w14:paraId="084294E0" w14:textId="77777777" w:rsidR="005400D8" w:rsidRPr="00A014FD" w:rsidRDefault="005400D8" w:rsidP="00704B82">
            <w:pPr>
              <w:rPr>
                <w:rFonts w:eastAsia="等线"/>
                <w:sz w:val="22"/>
              </w:rPr>
            </w:pPr>
            <w:r w:rsidRPr="00A014FD">
              <w:rPr>
                <w:rFonts w:eastAsia="等线"/>
                <w:sz w:val="22"/>
              </w:rPr>
              <w:t>Robin’s Explanation:</w:t>
            </w:r>
          </w:p>
          <w:p w14:paraId="7D561031" w14:textId="77777777" w:rsidR="005400D8" w:rsidRPr="00A014FD" w:rsidRDefault="005400D8" w:rsidP="00704B82">
            <w:pPr>
              <w:rPr>
                <w:rFonts w:eastAsia="等线"/>
                <w:sz w:val="22"/>
              </w:rPr>
            </w:pPr>
            <w:r w:rsidRPr="00A014FD">
              <w:rPr>
                <w:rFonts w:eastAsia="等线"/>
                <w:sz w:val="22"/>
              </w:rPr>
              <w:t xml:space="preserve">I would say, we did put some financial support, but only in the investigation. Face investigation </w:t>
            </w:r>
            <w:proofErr w:type="gramStart"/>
            <w:r w:rsidRPr="00A014FD">
              <w:rPr>
                <w:rFonts w:eastAsia="等线"/>
                <w:sz w:val="22"/>
              </w:rPr>
              <w:t>face, because</w:t>
            </w:r>
            <w:proofErr w:type="gramEnd"/>
            <w:r w:rsidRPr="00A014FD">
              <w:rPr>
                <w:rFonts w:eastAsia="等线"/>
                <w:sz w:val="22"/>
              </w:rPr>
              <w:t xml:space="preserve"> we investigated different business models. </w:t>
            </w:r>
            <w:proofErr w:type="gramStart"/>
            <w:r w:rsidRPr="00A014FD">
              <w:rPr>
                <w:rFonts w:eastAsia="等线"/>
                <w:sz w:val="22"/>
              </w:rPr>
              <w:t>That's</w:t>
            </w:r>
            <w:proofErr w:type="gramEnd"/>
            <w:r w:rsidRPr="00A014FD">
              <w:rPr>
                <w:rFonts w:eastAsia="等线"/>
                <w:sz w:val="22"/>
              </w:rPr>
              <w:t xml:space="preserve"> so the city put some money on consultants to investigate different business models and it so that was part of our work to promote something like this. We </w:t>
            </w:r>
            <w:proofErr w:type="gramStart"/>
            <w:r w:rsidRPr="00A014FD">
              <w:rPr>
                <w:rFonts w:eastAsia="等线"/>
                <w:sz w:val="22"/>
              </w:rPr>
              <w:t>didn't</w:t>
            </w:r>
            <w:proofErr w:type="gramEnd"/>
            <w:r w:rsidRPr="00A014FD">
              <w:rPr>
                <w:rFonts w:eastAsia="等线"/>
                <w:sz w:val="22"/>
              </w:rPr>
              <w:t xml:space="preserve"> know at that time, UCC this would be the solution. Also, from our point of view, we did put some, but not to this specific solution. We did not put financial but in general, we investigated it. </w:t>
            </w:r>
          </w:p>
          <w:p w14:paraId="69B81831" w14:textId="77777777" w:rsidR="005400D8" w:rsidRPr="00A014FD" w:rsidRDefault="005400D8" w:rsidP="00704B82">
            <w:pPr>
              <w:rPr>
                <w:rFonts w:eastAsia="等线"/>
                <w:b/>
                <w:bCs/>
                <w:sz w:val="22"/>
              </w:rPr>
            </w:pPr>
            <w:r w:rsidRPr="00A014FD">
              <w:rPr>
                <w:rFonts w:eastAsia="等线"/>
                <w:b/>
                <w:bCs/>
                <w:sz w:val="22"/>
              </w:rPr>
              <w:t xml:space="preserve">Do you use some strong policies such as force some consumers to use this? </w:t>
            </w:r>
          </w:p>
          <w:p w14:paraId="5684FB52" w14:textId="77777777" w:rsidR="005400D8" w:rsidRPr="00A014FD" w:rsidRDefault="005400D8" w:rsidP="00704B82">
            <w:pPr>
              <w:rPr>
                <w:rFonts w:eastAsia="等线"/>
                <w:bCs/>
                <w:sz w:val="22"/>
                <w:bdr w:val="nil"/>
              </w:rPr>
            </w:pPr>
            <w:r w:rsidRPr="00A014FD">
              <w:rPr>
                <w:rFonts w:eastAsia="等线"/>
                <w:sz w:val="22"/>
              </w:rPr>
              <w:t xml:space="preserve">no, not to consumers, but we promote it. </w:t>
            </w:r>
            <w:proofErr w:type="gramStart"/>
            <w:r w:rsidRPr="00A014FD">
              <w:rPr>
                <w:rFonts w:eastAsia="等线"/>
                <w:sz w:val="22"/>
              </w:rPr>
              <w:t>So</w:t>
            </w:r>
            <w:proofErr w:type="gramEnd"/>
            <w:r w:rsidRPr="00A014FD">
              <w:rPr>
                <w:rFonts w:eastAsia="等线"/>
                <w:sz w:val="22"/>
              </w:rPr>
              <w:t xml:space="preserve"> it's more stuff we e tried to tell the market, tell everyone that this is good, you should enter it. Ah, but </w:t>
            </w:r>
            <w:proofErr w:type="gramStart"/>
            <w:r w:rsidRPr="00A014FD">
              <w:rPr>
                <w:rFonts w:eastAsia="等线"/>
                <w:sz w:val="22"/>
              </w:rPr>
              <w:t>we're</w:t>
            </w:r>
            <w:proofErr w:type="gramEnd"/>
            <w:r w:rsidRPr="00A014FD">
              <w:rPr>
                <w:rFonts w:eastAsia="等线"/>
                <w:sz w:val="22"/>
              </w:rPr>
              <w:t xml:space="preserve"> not forcing anyone.</w:t>
            </w:r>
          </w:p>
        </w:tc>
      </w:tr>
    </w:tbl>
    <w:p w14:paraId="12F3B0D7" w14:textId="77777777" w:rsidR="005400D8" w:rsidRPr="00A014FD" w:rsidRDefault="005400D8" w:rsidP="005400D8">
      <w:pPr>
        <w:spacing w:after="160" w:line="276" w:lineRule="auto"/>
        <w:rPr>
          <w:rFonts w:eastAsia="等线"/>
          <w:b/>
          <w:bCs/>
          <w:bdr w:val="nil"/>
          <w:lang w:val="en-US"/>
        </w:rPr>
      </w:pPr>
    </w:p>
    <w:p w14:paraId="29D3DBA8" w14:textId="77777777" w:rsidR="005400D8" w:rsidRPr="00A014FD" w:rsidRDefault="005400D8" w:rsidP="005400D8">
      <w:pPr>
        <w:spacing w:after="160" w:line="276" w:lineRule="auto"/>
        <w:rPr>
          <w:rFonts w:eastAsia="等线"/>
          <w:b/>
          <w:bCs/>
          <w:bdr w:val="nil"/>
          <w:lang w:val="en-US"/>
        </w:rPr>
      </w:pPr>
      <w:r w:rsidRPr="00A014FD">
        <w:rPr>
          <w:rFonts w:eastAsia="等线"/>
          <w:b/>
          <w:bCs/>
          <w:bdr w:val="nil"/>
          <w:lang w:val="en-US"/>
        </w:rPr>
        <w:t xml:space="preserve">D3.3 What is/are the environmental and social benefits </w:t>
      </w:r>
      <w:r w:rsidRPr="00A014FD">
        <w:rPr>
          <w:rFonts w:eastAsia="等线"/>
          <w:b/>
          <w:bCs/>
          <w:noProof/>
          <w:bdr w:val="nil"/>
          <w:lang w:val="en-US"/>
        </w:rPr>
        <w:t>of</w:t>
      </w:r>
      <w:r w:rsidRPr="00A014FD">
        <w:rPr>
          <w:rFonts w:eastAsia="等线"/>
          <w:b/>
          <w:bCs/>
          <w:bdr w:val="nil"/>
          <w:lang w:val="en-US"/>
        </w:rPr>
        <w:t xml:space="preserve"> establishing this UCC within sustainable urban logistics strategies (You may choose more than one)? </w:t>
      </w:r>
    </w:p>
    <w:tbl>
      <w:tblPr>
        <w:tblStyle w:val="30"/>
        <w:tblW w:w="416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17"/>
      </w:tblGrid>
      <w:tr w:rsidR="005400D8" w:rsidRPr="00A014FD" w14:paraId="41BA5FC1" w14:textId="77777777" w:rsidTr="00704B82">
        <w:trPr>
          <w:trHeight w:val="360"/>
        </w:trPr>
        <w:tc>
          <w:tcPr>
            <w:tcW w:w="7517" w:type="dxa"/>
            <w:vAlign w:val="center"/>
          </w:tcPr>
          <w:p w14:paraId="3F9E94AC" w14:textId="77777777" w:rsidR="005400D8" w:rsidRPr="00A014FD" w:rsidRDefault="005400D8" w:rsidP="00704B82">
            <w:pPr>
              <w:spacing w:line="276" w:lineRule="auto"/>
              <w:jc w:val="left"/>
              <w:rPr>
                <w:rFonts w:eastAsia="等线"/>
                <w:sz w:val="22"/>
              </w:rPr>
            </w:pPr>
            <w:r w:rsidRPr="00A014FD">
              <w:rPr>
                <w:rFonts w:eastAsia="等线"/>
                <w:color w:val="000000"/>
                <w:sz w:val="22"/>
                <w:shd w:val="pct15" w:color="auto" w:fill="FFFFFF"/>
              </w:rPr>
              <w:t>X</w:t>
            </w:r>
            <w:r w:rsidRPr="00A014FD">
              <w:rPr>
                <w:rFonts w:eastAsia="等线"/>
                <w:color w:val="000000"/>
                <w:sz w:val="22"/>
              </w:rPr>
              <w:t xml:space="preserve"> </w:t>
            </w:r>
            <w:r w:rsidRPr="00A014FD">
              <w:rPr>
                <w:rFonts w:eastAsia="等线"/>
                <w:sz w:val="22"/>
                <w:bdr w:val="nil"/>
              </w:rPr>
              <w:t>Travel miles reduction</w:t>
            </w:r>
          </w:p>
        </w:tc>
      </w:tr>
      <w:tr w:rsidR="005400D8" w:rsidRPr="00A014FD" w14:paraId="3F645DB6" w14:textId="77777777" w:rsidTr="00704B82">
        <w:trPr>
          <w:trHeight w:val="360"/>
        </w:trPr>
        <w:tc>
          <w:tcPr>
            <w:tcW w:w="7517" w:type="dxa"/>
            <w:vAlign w:val="center"/>
          </w:tcPr>
          <w:p w14:paraId="25F83DB7" w14:textId="77777777" w:rsidR="005400D8" w:rsidRPr="00A014FD" w:rsidRDefault="005400D8" w:rsidP="00704B82">
            <w:pPr>
              <w:spacing w:line="276" w:lineRule="auto"/>
              <w:jc w:val="left"/>
              <w:rPr>
                <w:rFonts w:eastAsia="等线"/>
                <w:color w:val="333333"/>
                <w:sz w:val="22"/>
              </w:rPr>
            </w:pPr>
            <w:r w:rsidRPr="00A014FD">
              <w:rPr>
                <w:rFonts w:eastAsia="等线"/>
                <w:color w:val="000000"/>
                <w:sz w:val="22"/>
              </w:rPr>
              <w:t xml:space="preserve">□ </w:t>
            </w:r>
            <w:r w:rsidRPr="00A014FD">
              <w:rPr>
                <w:rFonts w:eastAsia="等线"/>
                <w:sz w:val="22"/>
                <w:bdr w:val="nil"/>
              </w:rPr>
              <w:t>Travel times reduction</w:t>
            </w:r>
          </w:p>
        </w:tc>
      </w:tr>
      <w:tr w:rsidR="005400D8" w:rsidRPr="00A014FD" w14:paraId="2F6A49F4" w14:textId="77777777" w:rsidTr="00704B82">
        <w:trPr>
          <w:trHeight w:val="360"/>
        </w:trPr>
        <w:tc>
          <w:tcPr>
            <w:tcW w:w="7517" w:type="dxa"/>
            <w:vAlign w:val="center"/>
          </w:tcPr>
          <w:p w14:paraId="086BECDB" w14:textId="77777777" w:rsidR="005400D8" w:rsidRPr="00A014FD" w:rsidRDefault="005400D8" w:rsidP="00704B82">
            <w:pPr>
              <w:spacing w:line="276" w:lineRule="auto"/>
              <w:jc w:val="left"/>
              <w:rPr>
                <w:rFonts w:eastAsia="等线"/>
                <w:color w:val="333333"/>
                <w:sz w:val="22"/>
              </w:rPr>
            </w:pPr>
            <w:r w:rsidRPr="00A014FD">
              <w:rPr>
                <w:rFonts w:eastAsia="等线"/>
                <w:color w:val="000000"/>
                <w:sz w:val="22"/>
                <w:shd w:val="pct15" w:color="auto" w:fill="FFFFFF"/>
              </w:rPr>
              <w:t xml:space="preserve">X </w:t>
            </w:r>
            <w:r w:rsidRPr="00A014FD">
              <w:rPr>
                <w:rFonts w:eastAsia="等线"/>
                <w:sz w:val="22"/>
                <w:bdr w:val="nil"/>
              </w:rPr>
              <w:t xml:space="preserve">Reduce the numbers of delivery trips in </w:t>
            </w:r>
            <w:r w:rsidRPr="00A014FD">
              <w:rPr>
                <w:rFonts w:eastAsia="等线"/>
                <w:noProof/>
                <w:sz w:val="22"/>
                <w:bdr w:val="nil"/>
              </w:rPr>
              <w:t>urban</w:t>
            </w:r>
            <w:r w:rsidRPr="00A014FD">
              <w:rPr>
                <w:rFonts w:eastAsia="等线"/>
                <w:sz w:val="22"/>
                <w:bdr w:val="nil"/>
              </w:rPr>
              <w:t xml:space="preserve"> area</w:t>
            </w:r>
          </w:p>
        </w:tc>
      </w:tr>
      <w:tr w:rsidR="005400D8" w:rsidRPr="00A014FD" w14:paraId="77B77AED" w14:textId="77777777" w:rsidTr="00704B82">
        <w:trPr>
          <w:trHeight w:val="360"/>
        </w:trPr>
        <w:tc>
          <w:tcPr>
            <w:tcW w:w="7517" w:type="dxa"/>
            <w:vAlign w:val="center"/>
          </w:tcPr>
          <w:p w14:paraId="1BA3D88E" w14:textId="77777777" w:rsidR="005400D8" w:rsidRPr="00A014FD" w:rsidRDefault="005400D8" w:rsidP="00704B82">
            <w:pPr>
              <w:spacing w:line="276" w:lineRule="auto"/>
              <w:jc w:val="left"/>
              <w:rPr>
                <w:rFonts w:eastAsia="等线"/>
                <w:color w:val="333333"/>
                <w:sz w:val="22"/>
              </w:rPr>
            </w:pPr>
            <w:r w:rsidRPr="00A014FD">
              <w:rPr>
                <w:rFonts w:eastAsia="等线"/>
                <w:color w:val="000000"/>
                <w:sz w:val="22"/>
                <w:shd w:val="pct15" w:color="auto" w:fill="FFFFFF"/>
              </w:rPr>
              <w:t xml:space="preserve">X </w:t>
            </w:r>
            <w:r w:rsidRPr="00A014FD">
              <w:rPr>
                <w:rFonts w:eastAsia="等线"/>
                <w:color w:val="333333"/>
                <w:sz w:val="22"/>
              </w:rPr>
              <w:t>Reduce the time for road occupancy</w:t>
            </w:r>
          </w:p>
        </w:tc>
      </w:tr>
      <w:tr w:rsidR="005400D8" w:rsidRPr="00A014FD" w14:paraId="28A22308" w14:textId="77777777" w:rsidTr="00704B82">
        <w:trPr>
          <w:trHeight w:val="360"/>
        </w:trPr>
        <w:tc>
          <w:tcPr>
            <w:tcW w:w="7517" w:type="dxa"/>
            <w:vAlign w:val="center"/>
          </w:tcPr>
          <w:p w14:paraId="54F3D0E7" w14:textId="77777777" w:rsidR="005400D8" w:rsidRPr="00A014FD" w:rsidRDefault="005400D8" w:rsidP="00704B82">
            <w:pPr>
              <w:spacing w:line="276" w:lineRule="auto"/>
              <w:jc w:val="left"/>
              <w:rPr>
                <w:rFonts w:eastAsia="等线"/>
                <w:color w:val="333333"/>
                <w:sz w:val="22"/>
              </w:rPr>
            </w:pPr>
            <w:r w:rsidRPr="00A014FD">
              <w:rPr>
                <w:rFonts w:eastAsia="等线"/>
                <w:color w:val="000000"/>
                <w:sz w:val="22"/>
                <w:shd w:val="pct15" w:color="auto" w:fill="FFFFFF"/>
              </w:rPr>
              <w:t>X</w:t>
            </w:r>
            <w:r w:rsidRPr="00A014FD">
              <w:rPr>
                <w:rFonts w:eastAsia="等线"/>
                <w:color w:val="000000"/>
                <w:sz w:val="22"/>
              </w:rPr>
              <w:t xml:space="preserve"> </w:t>
            </w:r>
            <w:r w:rsidRPr="00A014FD">
              <w:rPr>
                <w:rFonts w:eastAsia="等线"/>
                <w:sz w:val="22"/>
                <w:bdr w:val="nil"/>
              </w:rPr>
              <w:t>Alleviate congestion</w:t>
            </w:r>
          </w:p>
        </w:tc>
      </w:tr>
      <w:tr w:rsidR="005400D8" w:rsidRPr="00A014FD" w14:paraId="3CA36E65" w14:textId="77777777" w:rsidTr="00704B82">
        <w:trPr>
          <w:trHeight w:val="360"/>
        </w:trPr>
        <w:tc>
          <w:tcPr>
            <w:tcW w:w="7517" w:type="dxa"/>
            <w:vAlign w:val="center"/>
          </w:tcPr>
          <w:p w14:paraId="6F26C012" w14:textId="77777777" w:rsidR="005400D8" w:rsidRPr="00A014FD" w:rsidRDefault="005400D8" w:rsidP="00704B82">
            <w:pPr>
              <w:spacing w:line="276" w:lineRule="auto"/>
              <w:jc w:val="left"/>
              <w:rPr>
                <w:rFonts w:eastAsia="等线"/>
                <w:color w:val="333333"/>
                <w:sz w:val="22"/>
              </w:rPr>
            </w:pPr>
            <w:r w:rsidRPr="00A014FD">
              <w:rPr>
                <w:rFonts w:eastAsia="等线"/>
                <w:color w:val="000000"/>
                <w:sz w:val="22"/>
                <w:shd w:val="pct15" w:color="auto" w:fill="FFFFFF"/>
              </w:rPr>
              <w:t>X</w:t>
            </w:r>
            <w:r w:rsidRPr="00A014FD">
              <w:rPr>
                <w:rFonts w:eastAsia="等线"/>
                <w:color w:val="000000"/>
                <w:sz w:val="22"/>
              </w:rPr>
              <w:t xml:space="preserve"> </w:t>
            </w:r>
            <w:r w:rsidRPr="00A014FD">
              <w:rPr>
                <w:rFonts w:eastAsia="等线"/>
                <w:sz w:val="22"/>
                <w:bdr w:val="nil"/>
              </w:rPr>
              <w:t>Reduce the fossil-fuel consumption</w:t>
            </w:r>
          </w:p>
        </w:tc>
      </w:tr>
      <w:tr w:rsidR="005400D8" w:rsidRPr="00A014FD" w14:paraId="73B0CC43" w14:textId="77777777" w:rsidTr="00704B82">
        <w:trPr>
          <w:trHeight w:val="360"/>
        </w:trPr>
        <w:tc>
          <w:tcPr>
            <w:tcW w:w="7517" w:type="dxa"/>
            <w:vAlign w:val="center"/>
          </w:tcPr>
          <w:p w14:paraId="64CEFC45" w14:textId="77777777" w:rsidR="005400D8" w:rsidRPr="00A014FD" w:rsidRDefault="005400D8" w:rsidP="00704B82">
            <w:pPr>
              <w:spacing w:line="276" w:lineRule="auto"/>
              <w:jc w:val="left"/>
              <w:rPr>
                <w:rFonts w:eastAsia="等线"/>
                <w:color w:val="333333"/>
                <w:sz w:val="22"/>
              </w:rPr>
            </w:pPr>
            <w:r w:rsidRPr="00A014FD">
              <w:rPr>
                <w:rFonts w:eastAsia="等线"/>
                <w:color w:val="000000"/>
                <w:sz w:val="22"/>
                <w:shd w:val="pct15" w:color="auto" w:fill="FFFFFF"/>
              </w:rPr>
              <w:t>X</w:t>
            </w:r>
            <w:r w:rsidRPr="00A014FD">
              <w:rPr>
                <w:rFonts w:eastAsia="等线"/>
                <w:color w:val="000000"/>
                <w:sz w:val="22"/>
              </w:rPr>
              <w:t xml:space="preserve"> </w:t>
            </w:r>
            <w:r w:rsidRPr="00A014FD">
              <w:rPr>
                <w:rFonts w:eastAsia="等线"/>
                <w:sz w:val="22"/>
                <w:bdr w:val="nil"/>
              </w:rPr>
              <w:t>Reduce the gas emission</w:t>
            </w:r>
          </w:p>
        </w:tc>
      </w:tr>
      <w:tr w:rsidR="005400D8" w:rsidRPr="00A014FD" w14:paraId="6E8AF2B0" w14:textId="77777777" w:rsidTr="00704B82">
        <w:trPr>
          <w:trHeight w:val="458"/>
        </w:trPr>
        <w:tc>
          <w:tcPr>
            <w:tcW w:w="7517" w:type="dxa"/>
            <w:vAlign w:val="center"/>
          </w:tcPr>
          <w:p w14:paraId="60992771" w14:textId="77777777" w:rsidR="005400D8" w:rsidRPr="00A014FD" w:rsidRDefault="005400D8" w:rsidP="00704B82">
            <w:pPr>
              <w:spacing w:line="276" w:lineRule="auto"/>
              <w:jc w:val="left"/>
              <w:rPr>
                <w:rFonts w:eastAsia="等线"/>
                <w:sz w:val="22"/>
                <w:bdr w:val="nil"/>
              </w:rPr>
            </w:pPr>
            <w:r w:rsidRPr="00A014FD">
              <w:rPr>
                <w:rFonts w:eastAsia="等线"/>
                <w:sz w:val="22"/>
                <w:bdr w:val="nil"/>
              </w:rPr>
              <w:t>□ Increase the public awareness of social and environmental issues</w:t>
            </w:r>
          </w:p>
        </w:tc>
      </w:tr>
      <w:tr w:rsidR="005400D8" w:rsidRPr="00A014FD" w14:paraId="3DB2C0CA" w14:textId="77777777" w:rsidTr="00704B82">
        <w:trPr>
          <w:trHeight w:val="505"/>
        </w:trPr>
        <w:tc>
          <w:tcPr>
            <w:tcW w:w="7517" w:type="dxa"/>
            <w:vAlign w:val="center"/>
          </w:tcPr>
          <w:p w14:paraId="638D4591" w14:textId="77777777" w:rsidR="005400D8" w:rsidRPr="00A014FD" w:rsidRDefault="005400D8" w:rsidP="00704B82">
            <w:pPr>
              <w:spacing w:line="276" w:lineRule="auto"/>
              <w:jc w:val="left"/>
              <w:rPr>
                <w:rFonts w:eastAsia="等线"/>
                <w:sz w:val="22"/>
                <w:bdr w:val="nil"/>
              </w:rPr>
            </w:pPr>
            <w:r w:rsidRPr="00A014FD">
              <w:rPr>
                <w:rFonts w:eastAsia="等线"/>
                <w:color w:val="000000"/>
                <w:sz w:val="22"/>
                <w:shd w:val="pct15" w:color="auto" w:fill="FFFFFF"/>
              </w:rPr>
              <w:t>X</w:t>
            </w:r>
            <w:r w:rsidRPr="00A014FD">
              <w:rPr>
                <w:rFonts w:eastAsia="等线"/>
                <w:sz w:val="22"/>
                <w:bdr w:val="nil"/>
              </w:rPr>
              <w:t xml:space="preserve"> Others (Please Specify) _______</w:t>
            </w:r>
            <w:r w:rsidRPr="00A014FD">
              <w:rPr>
                <w:rFonts w:eastAsia="等线"/>
                <w:sz w:val="22"/>
                <w:u w:val="single"/>
                <w:bdr w:val="nil"/>
              </w:rPr>
              <w:t>Improve the Road Safety</w:t>
            </w:r>
            <w:r w:rsidRPr="00A014FD">
              <w:rPr>
                <w:rFonts w:eastAsia="等线"/>
                <w:sz w:val="22"/>
                <w:bdr w:val="nil"/>
              </w:rPr>
              <w:t>______</w:t>
            </w:r>
          </w:p>
        </w:tc>
      </w:tr>
    </w:tbl>
    <w:p w14:paraId="0D9ADB8E" w14:textId="77777777" w:rsidR="005400D8" w:rsidRPr="00A014FD" w:rsidRDefault="005400D8" w:rsidP="005400D8">
      <w:pPr>
        <w:spacing w:after="160" w:line="276" w:lineRule="auto"/>
        <w:jc w:val="left"/>
        <w:rPr>
          <w:rFonts w:eastAsia="等线"/>
          <w:b/>
          <w:bCs/>
          <w:bdr w:val="nil"/>
          <w:lang w:val="en-US"/>
        </w:rPr>
      </w:pPr>
    </w:p>
    <w:tbl>
      <w:tblPr>
        <w:tblStyle w:val="30"/>
        <w:tblW w:w="0" w:type="auto"/>
        <w:tblLook w:val="04A0" w:firstRow="1" w:lastRow="0" w:firstColumn="1" w:lastColumn="0" w:noHBand="0" w:noVBand="1"/>
      </w:tblPr>
      <w:tblGrid>
        <w:gridCol w:w="8296"/>
      </w:tblGrid>
      <w:tr w:rsidR="005400D8" w:rsidRPr="00A014FD" w14:paraId="07D5AA5D" w14:textId="77777777" w:rsidTr="00704B82">
        <w:tc>
          <w:tcPr>
            <w:tcW w:w="9350" w:type="dxa"/>
          </w:tcPr>
          <w:p w14:paraId="08E585B8" w14:textId="77777777" w:rsidR="005400D8" w:rsidRPr="00A014FD" w:rsidRDefault="005400D8" w:rsidP="00704B82">
            <w:pPr>
              <w:rPr>
                <w:rFonts w:eastAsia="等线"/>
                <w:b/>
                <w:bCs/>
                <w:sz w:val="22"/>
              </w:rPr>
            </w:pPr>
            <w:r w:rsidRPr="00A014FD">
              <w:rPr>
                <w:rFonts w:eastAsia="等线"/>
                <w:b/>
                <w:bCs/>
                <w:sz w:val="22"/>
              </w:rPr>
              <w:t xml:space="preserve">How do you rating this effectiveness of all these things you achieved? </w:t>
            </w:r>
          </w:p>
          <w:p w14:paraId="6847A0FC" w14:textId="77777777" w:rsidR="005400D8" w:rsidRPr="00A014FD" w:rsidRDefault="005400D8" w:rsidP="00704B82">
            <w:pPr>
              <w:jc w:val="left"/>
              <w:rPr>
                <w:rFonts w:eastAsia="等线"/>
                <w:sz w:val="22"/>
              </w:rPr>
            </w:pPr>
            <w:r w:rsidRPr="00A014FD">
              <w:rPr>
                <w:rFonts w:eastAsia="等线"/>
                <w:sz w:val="22"/>
              </w:rPr>
              <w:t xml:space="preserve">I mean, we see a great potential in it, but </w:t>
            </w:r>
            <w:proofErr w:type="gramStart"/>
            <w:r w:rsidRPr="00A014FD">
              <w:rPr>
                <w:rFonts w:eastAsia="等线"/>
                <w:sz w:val="22"/>
              </w:rPr>
              <w:t>it's</w:t>
            </w:r>
            <w:proofErr w:type="gramEnd"/>
            <w:r w:rsidRPr="00A014FD">
              <w:rPr>
                <w:rFonts w:eastAsia="等线"/>
                <w:sz w:val="22"/>
              </w:rPr>
              <w:t xml:space="preserve"> still very small. </w:t>
            </w:r>
            <w:proofErr w:type="gramStart"/>
            <w:r w:rsidRPr="00A014FD">
              <w:rPr>
                <w:rFonts w:eastAsia="等线"/>
                <w:sz w:val="22"/>
              </w:rPr>
              <w:t>It's</w:t>
            </w:r>
            <w:proofErr w:type="gramEnd"/>
            <w:r w:rsidRPr="00A014FD">
              <w:rPr>
                <w:rFonts w:eastAsia="等线"/>
                <w:sz w:val="22"/>
              </w:rPr>
              <w:t xml:space="preserve"> still only a little small area and a few companies. The overall effect is not that big yet, yes, but we see big potential in achieving a bigger effect for the run. </w:t>
            </w:r>
          </w:p>
          <w:p w14:paraId="1EF7C5C8" w14:textId="77777777" w:rsidR="005400D8" w:rsidRPr="006E3813" w:rsidRDefault="005400D8" w:rsidP="00704B82">
            <w:pPr>
              <w:jc w:val="left"/>
              <w:rPr>
                <w:rFonts w:eastAsia="等线"/>
                <w:b/>
                <w:bCs/>
                <w:sz w:val="22"/>
              </w:rPr>
            </w:pPr>
            <w:r w:rsidRPr="006E3813">
              <w:rPr>
                <w:rFonts w:eastAsia="等线"/>
                <w:b/>
                <w:bCs/>
                <w:sz w:val="22"/>
              </w:rPr>
              <w:t xml:space="preserve">When you set this project, you should have a primary target you should achieve. </w:t>
            </w:r>
          </w:p>
          <w:p w14:paraId="226B4228" w14:textId="77777777" w:rsidR="005400D8" w:rsidRPr="00A014FD" w:rsidRDefault="005400D8" w:rsidP="00704B82">
            <w:pPr>
              <w:rPr>
                <w:rFonts w:eastAsia="等线"/>
                <w:bCs/>
                <w:sz w:val="22"/>
                <w:bdr w:val="nil"/>
              </w:rPr>
            </w:pPr>
            <w:r w:rsidRPr="00A014FD">
              <w:rPr>
                <w:rFonts w:eastAsia="等线"/>
                <w:sz w:val="22"/>
              </w:rPr>
              <w:t xml:space="preserve">Uh, yeah, but </w:t>
            </w:r>
            <w:proofErr w:type="gramStart"/>
            <w:r w:rsidRPr="00A014FD">
              <w:rPr>
                <w:rFonts w:eastAsia="等线"/>
                <w:sz w:val="22"/>
              </w:rPr>
              <w:t>it's</w:t>
            </w:r>
            <w:proofErr w:type="gramEnd"/>
            <w:r w:rsidRPr="00A014FD">
              <w:rPr>
                <w:rFonts w:eastAsia="等线"/>
                <w:sz w:val="22"/>
              </w:rPr>
              <w:t xml:space="preserve"> not really been a project like that. IT's been I mean in general, we wanted to improve transport efficiency. Had little, as I stated here, reduce the number of the delivery trucks circulating reduce emissions reduce. And we know that we have followed it up. I mean, we know that the solution decreases. That is much more energy efficient and then decreases carbon dioxide emissions, and also that um, since it's a small and </w:t>
            </w:r>
            <w:proofErr w:type="gramStart"/>
            <w:r w:rsidRPr="00A014FD">
              <w:rPr>
                <w:rFonts w:eastAsia="等线"/>
                <w:sz w:val="22"/>
              </w:rPr>
              <w:t>slow moving</w:t>
            </w:r>
            <w:proofErr w:type="gramEnd"/>
            <w:r w:rsidRPr="00A014FD">
              <w:rPr>
                <w:rFonts w:eastAsia="等线"/>
                <w:sz w:val="22"/>
              </w:rPr>
              <w:t xml:space="preserve"> vehicle that can go on maximal twenty kilometres per hour. </w:t>
            </w:r>
            <w:proofErr w:type="gramStart"/>
            <w:r w:rsidRPr="00A014FD">
              <w:rPr>
                <w:rFonts w:eastAsia="等线"/>
                <w:sz w:val="22"/>
              </w:rPr>
              <w:t>So</w:t>
            </w:r>
            <w:proofErr w:type="gramEnd"/>
            <w:r w:rsidRPr="00A014FD">
              <w:rPr>
                <w:rFonts w:eastAsia="等线"/>
                <w:sz w:val="22"/>
              </w:rPr>
              <w:t xml:space="preserve"> it's also improving safety and security. Ok. Uh, but we </w:t>
            </w:r>
            <w:proofErr w:type="gramStart"/>
            <w:r w:rsidRPr="00A014FD">
              <w:rPr>
                <w:rFonts w:eastAsia="等线"/>
                <w:sz w:val="22"/>
              </w:rPr>
              <w:t>haven't</w:t>
            </w:r>
            <w:proofErr w:type="gramEnd"/>
            <w:r w:rsidRPr="00A014FD">
              <w:rPr>
                <w:rFonts w:eastAsia="等线"/>
                <w:sz w:val="22"/>
              </w:rPr>
              <w:t xml:space="preserve"> really any exact figures for all of them. I have figures for a few of them. From the first follow up report that we did. And </w:t>
            </w:r>
            <w:proofErr w:type="gramStart"/>
            <w:r w:rsidRPr="00A014FD">
              <w:rPr>
                <w:rFonts w:eastAsia="等线"/>
                <w:sz w:val="22"/>
              </w:rPr>
              <w:t>we're</w:t>
            </w:r>
            <w:proofErr w:type="gramEnd"/>
            <w:r w:rsidRPr="00A014FD">
              <w:rPr>
                <w:rFonts w:eastAsia="等线"/>
                <w:sz w:val="22"/>
              </w:rPr>
              <w:t xml:space="preserve"> now planning, we are now applying to the national authority for making for energy efficiency we're applying to get project support, to get money from them to do more evaluations.</w:t>
            </w:r>
          </w:p>
        </w:tc>
      </w:tr>
    </w:tbl>
    <w:p w14:paraId="2AF55D3F" w14:textId="77777777" w:rsidR="005400D8" w:rsidRPr="00A014FD" w:rsidRDefault="005400D8" w:rsidP="005400D8">
      <w:pPr>
        <w:spacing w:after="160" w:line="276" w:lineRule="auto"/>
        <w:rPr>
          <w:rFonts w:eastAsia="等线"/>
          <w:b/>
          <w:bCs/>
          <w:bdr w:val="nil"/>
          <w:lang w:val="en-US"/>
        </w:rPr>
      </w:pPr>
    </w:p>
    <w:p w14:paraId="2206FADA" w14:textId="77777777" w:rsidR="005400D8" w:rsidRPr="00A014FD" w:rsidRDefault="005400D8" w:rsidP="005400D8">
      <w:pPr>
        <w:spacing w:after="160" w:line="276" w:lineRule="auto"/>
        <w:rPr>
          <w:rFonts w:eastAsia="等线"/>
          <w:b/>
          <w:bCs/>
          <w:bdr w:val="nil"/>
          <w:lang w:val="en-US"/>
        </w:rPr>
      </w:pPr>
      <w:r w:rsidRPr="00A014FD">
        <w:rPr>
          <w:rFonts w:eastAsia="等线"/>
          <w:b/>
          <w:bCs/>
          <w:bdr w:val="nil"/>
          <w:lang w:val="en-US"/>
        </w:rPr>
        <w:t>D3.5 Which of the following items show that the residents understand the benefits of the sustainable logistics model from the UCC project (You may choose more than one)?</w:t>
      </w:r>
    </w:p>
    <w:p w14:paraId="00D2432F" w14:textId="77777777" w:rsidR="005400D8" w:rsidRPr="00A014FD" w:rsidRDefault="005400D8" w:rsidP="005400D8">
      <w:pPr>
        <w:spacing w:after="160" w:line="276" w:lineRule="auto"/>
        <w:jc w:val="left"/>
        <w:rPr>
          <w:rFonts w:eastAsia="宋体"/>
          <w:color w:val="212121"/>
          <w:lang w:val="en-US"/>
        </w:rPr>
      </w:pPr>
      <w:r w:rsidRPr="00A014FD">
        <w:rPr>
          <w:rFonts w:eastAsia="等线"/>
          <w:color w:val="000000"/>
          <w:sz w:val="22"/>
          <w:shd w:val="pct15" w:color="auto" w:fill="FFFFFF"/>
          <w:lang w:val="en-US"/>
        </w:rPr>
        <w:t>X</w:t>
      </w:r>
      <w:r w:rsidRPr="00A014FD">
        <w:rPr>
          <w:rFonts w:eastAsia="等线"/>
          <w:color w:val="000000"/>
          <w:sz w:val="22"/>
          <w:lang w:val="en-US"/>
        </w:rPr>
        <w:t xml:space="preserve"> </w:t>
      </w:r>
      <w:r w:rsidRPr="00A014FD">
        <w:rPr>
          <w:rFonts w:eastAsia="宋体"/>
          <w:color w:val="212121"/>
          <w:lang w:val="en-US"/>
        </w:rPr>
        <w:t xml:space="preserve">More citizens willing to choose the UCC </w:t>
      </w:r>
      <w:proofErr w:type="gramStart"/>
      <w:r w:rsidRPr="00A014FD">
        <w:rPr>
          <w:rFonts w:eastAsia="宋体"/>
          <w:color w:val="212121"/>
          <w:lang w:val="en-US"/>
        </w:rPr>
        <w:t>service</w:t>
      </w:r>
      <w:proofErr w:type="gramEnd"/>
    </w:p>
    <w:p w14:paraId="1D680837" w14:textId="77777777" w:rsidR="005400D8" w:rsidRPr="00A014FD" w:rsidRDefault="005400D8" w:rsidP="005400D8">
      <w:pPr>
        <w:spacing w:after="160" w:line="276" w:lineRule="auto"/>
        <w:jc w:val="left"/>
        <w:rPr>
          <w:rFonts w:eastAsia="等线"/>
          <w:lang w:val="en-US"/>
        </w:rPr>
      </w:pPr>
      <w:r w:rsidRPr="00A014FD">
        <w:rPr>
          <w:rFonts w:eastAsia="等线"/>
          <w:color w:val="000000"/>
          <w:sz w:val="22"/>
          <w:shd w:val="pct15" w:color="auto" w:fill="FFFFFF"/>
          <w:lang w:val="en-US"/>
        </w:rPr>
        <w:t>X</w:t>
      </w:r>
      <w:r w:rsidRPr="00A014FD">
        <w:rPr>
          <w:rFonts w:eastAsia="等线"/>
          <w:color w:val="000000"/>
          <w:sz w:val="22"/>
          <w:lang w:val="en-US"/>
        </w:rPr>
        <w:t xml:space="preserve"> </w:t>
      </w:r>
      <w:r w:rsidRPr="00A014FD">
        <w:rPr>
          <w:rFonts w:eastAsia="宋体"/>
          <w:color w:val="212121"/>
          <w:lang w:val="en-US"/>
        </w:rPr>
        <w:t xml:space="preserve">Citizens agree with this public </w:t>
      </w:r>
      <w:proofErr w:type="gramStart"/>
      <w:r w:rsidRPr="00A014FD">
        <w:rPr>
          <w:rFonts w:eastAsia="宋体"/>
          <w:color w:val="212121"/>
          <w:lang w:val="en-US"/>
        </w:rPr>
        <w:t>investment</w:t>
      </w:r>
      <w:proofErr w:type="gramEnd"/>
    </w:p>
    <w:p w14:paraId="3B0FEAEB" w14:textId="77777777" w:rsidR="005400D8" w:rsidRPr="00A014FD" w:rsidRDefault="005400D8" w:rsidP="005400D8">
      <w:pPr>
        <w:spacing w:after="160" w:line="276" w:lineRule="auto"/>
        <w:jc w:val="left"/>
        <w:rPr>
          <w:rFonts w:eastAsia="等线"/>
          <w:lang w:val="en-US"/>
        </w:rPr>
      </w:pPr>
      <w:r w:rsidRPr="00A014FD">
        <w:rPr>
          <w:rFonts w:eastAsia="等线"/>
          <w:color w:val="000000"/>
          <w:sz w:val="22"/>
          <w:lang w:val="en-US"/>
        </w:rPr>
        <w:t xml:space="preserve">□ </w:t>
      </w:r>
      <w:r w:rsidRPr="00A014FD">
        <w:rPr>
          <w:rFonts w:eastAsia="等线"/>
          <w:lang w:val="en-US"/>
        </w:rPr>
        <w:t>More logistics companies willing to join the UCC system.</w:t>
      </w:r>
    </w:p>
    <w:p w14:paraId="6CB3FC8B" w14:textId="77777777" w:rsidR="005400D8" w:rsidRPr="00A014FD" w:rsidRDefault="005400D8" w:rsidP="005400D8">
      <w:pPr>
        <w:spacing w:after="160" w:line="276" w:lineRule="auto"/>
        <w:jc w:val="left"/>
        <w:rPr>
          <w:rFonts w:eastAsia="等线"/>
          <w:lang w:val="en-US"/>
        </w:rPr>
      </w:pPr>
      <w:r w:rsidRPr="00A014FD">
        <w:rPr>
          <w:rFonts w:eastAsia="等线"/>
          <w:color w:val="000000"/>
          <w:sz w:val="22"/>
          <w:lang w:val="en-US"/>
        </w:rPr>
        <w:t xml:space="preserve">□ </w:t>
      </w:r>
      <w:r w:rsidRPr="00A014FD">
        <w:rPr>
          <w:rFonts w:eastAsia="等线"/>
          <w:lang w:val="en-US"/>
        </w:rPr>
        <w:t>People will recommend the UCC service to others</w:t>
      </w:r>
    </w:p>
    <w:p w14:paraId="4FEC4772" w14:textId="77777777" w:rsidR="005400D8" w:rsidRPr="00A014FD" w:rsidRDefault="005400D8" w:rsidP="005400D8">
      <w:pPr>
        <w:spacing w:after="160" w:line="276" w:lineRule="auto"/>
        <w:jc w:val="left"/>
        <w:rPr>
          <w:rFonts w:eastAsia="等线"/>
          <w:lang w:val="en-US"/>
        </w:rPr>
      </w:pPr>
      <w:r w:rsidRPr="00A014FD">
        <w:rPr>
          <w:rFonts w:eastAsia="等线"/>
          <w:lang w:val="en-US"/>
        </w:rPr>
        <w:t xml:space="preserve"> Others, (Please Specify) _________________________________</w:t>
      </w:r>
    </w:p>
    <w:tbl>
      <w:tblPr>
        <w:tblStyle w:val="30"/>
        <w:tblW w:w="0" w:type="auto"/>
        <w:tblLook w:val="04A0" w:firstRow="1" w:lastRow="0" w:firstColumn="1" w:lastColumn="0" w:noHBand="0" w:noVBand="1"/>
      </w:tblPr>
      <w:tblGrid>
        <w:gridCol w:w="8296"/>
      </w:tblGrid>
      <w:tr w:rsidR="005400D8" w:rsidRPr="00A014FD" w14:paraId="2DF7368C" w14:textId="77777777" w:rsidTr="00704B82">
        <w:tc>
          <w:tcPr>
            <w:tcW w:w="9350" w:type="dxa"/>
          </w:tcPr>
          <w:p w14:paraId="367DD06F" w14:textId="77777777" w:rsidR="005400D8" w:rsidRPr="00A014FD" w:rsidRDefault="005400D8" w:rsidP="00704B82">
            <w:pPr>
              <w:jc w:val="left"/>
              <w:rPr>
                <w:rFonts w:eastAsia="等线"/>
                <w:b/>
                <w:bCs/>
                <w:sz w:val="22"/>
              </w:rPr>
            </w:pPr>
            <w:r w:rsidRPr="00A014FD">
              <w:rPr>
                <w:rFonts w:eastAsia="等线"/>
                <w:b/>
                <w:bCs/>
                <w:sz w:val="22"/>
              </w:rPr>
              <w:lastRenderedPageBreak/>
              <w:t xml:space="preserve">Do the citizens understanding what you're doing now for this </w:t>
            </w:r>
            <w:proofErr w:type="gramStart"/>
            <w:r w:rsidRPr="00A014FD">
              <w:rPr>
                <w:rFonts w:eastAsia="等线"/>
                <w:b/>
                <w:bCs/>
                <w:sz w:val="22"/>
              </w:rPr>
              <w:t>UCC.</w:t>
            </w:r>
            <w:proofErr w:type="gramEnd"/>
            <w:r w:rsidRPr="00A014FD">
              <w:rPr>
                <w:rFonts w:eastAsia="等线"/>
                <w:b/>
                <w:bCs/>
                <w:sz w:val="22"/>
              </w:rPr>
              <w:t xml:space="preserve"> </w:t>
            </w:r>
          </w:p>
          <w:p w14:paraId="13B1FB02" w14:textId="77777777" w:rsidR="005400D8" w:rsidRPr="00A014FD" w:rsidRDefault="005400D8" w:rsidP="00704B82">
            <w:pPr>
              <w:jc w:val="left"/>
              <w:rPr>
                <w:rFonts w:eastAsia="等线"/>
                <w:sz w:val="22"/>
              </w:rPr>
            </w:pPr>
            <w:r w:rsidRPr="00A014FD">
              <w:rPr>
                <w:rFonts w:eastAsia="等线"/>
                <w:sz w:val="22"/>
              </w:rPr>
              <w:t xml:space="preserve">A little bit, maybe not too much, because </w:t>
            </w:r>
            <w:proofErr w:type="gramStart"/>
            <w:r w:rsidRPr="00A014FD">
              <w:rPr>
                <w:rFonts w:eastAsia="等线"/>
                <w:sz w:val="22"/>
              </w:rPr>
              <w:t>they're</w:t>
            </w:r>
            <w:proofErr w:type="gramEnd"/>
            <w:r w:rsidRPr="00A014FD">
              <w:rPr>
                <w:rFonts w:eastAsia="等线"/>
                <w:sz w:val="22"/>
              </w:rPr>
              <w:t xml:space="preserve"> not they're not buying it directly. We're talking about </w:t>
            </w:r>
            <w:proofErr w:type="gramStart"/>
            <w:r w:rsidRPr="00A014FD">
              <w:rPr>
                <w:rFonts w:eastAsia="等线"/>
                <w:sz w:val="22"/>
              </w:rPr>
              <w:t>now also including,</w:t>
            </w:r>
            <w:proofErr w:type="gramEnd"/>
            <w:r w:rsidRPr="00A014FD">
              <w:rPr>
                <w:rFonts w:eastAsia="等线"/>
                <w:sz w:val="22"/>
              </w:rPr>
              <w:t xml:space="preserve"> e-commerce flows to private persons. So maybe, inhabitants’ population will be more involved in the future. But today, this is just examples. Yeah. This is only a few examples you need have or </w:t>
            </w:r>
            <w:proofErr w:type="gramStart"/>
            <w:r w:rsidRPr="00A014FD">
              <w:rPr>
                <w:rFonts w:eastAsia="等线"/>
                <w:sz w:val="22"/>
              </w:rPr>
              <w:t>it's</w:t>
            </w:r>
            <w:proofErr w:type="gramEnd"/>
            <w:r w:rsidRPr="00A014FD">
              <w:rPr>
                <w:rFonts w:eastAsia="等线"/>
                <w:sz w:val="22"/>
              </w:rPr>
              <w:t xml:space="preserve"> some other show. The argument, I guess, as it sounds agree with his public investment anyway, and we have we have had a lot of positive feedback from the consumers. But </w:t>
            </w:r>
            <w:proofErr w:type="gramStart"/>
            <w:r w:rsidRPr="00A014FD">
              <w:rPr>
                <w:rFonts w:eastAsia="等线"/>
                <w:sz w:val="22"/>
              </w:rPr>
              <w:t>it's</w:t>
            </w:r>
            <w:proofErr w:type="gramEnd"/>
            <w:r w:rsidRPr="00A014FD">
              <w:rPr>
                <w:rFonts w:eastAsia="等线"/>
                <w:sz w:val="22"/>
              </w:rPr>
              <w:t xml:space="preserve"> not like people tend to be not so aware of transports. They only work the goods in the stores. </w:t>
            </w:r>
            <w:proofErr w:type="gramStart"/>
            <w:r w:rsidRPr="00A014FD">
              <w:rPr>
                <w:rFonts w:eastAsia="等线"/>
                <w:sz w:val="22"/>
              </w:rPr>
              <w:t>So</w:t>
            </w:r>
            <w:proofErr w:type="gramEnd"/>
            <w:r w:rsidRPr="00A014FD">
              <w:rPr>
                <w:rFonts w:eastAsia="等线"/>
                <w:sz w:val="22"/>
              </w:rPr>
              <w:t xml:space="preserve"> they don't mind how they come there. But yes. </w:t>
            </w:r>
            <w:proofErr w:type="gramStart"/>
            <w:r w:rsidRPr="00A014FD">
              <w:rPr>
                <w:rFonts w:eastAsia="等线"/>
                <w:sz w:val="22"/>
              </w:rPr>
              <w:t>So</w:t>
            </w:r>
            <w:proofErr w:type="gramEnd"/>
            <w:r w:rsidRPr="00A014FD">
              <w:rPr>
                <w:rFonts w:eastAsia="等线"/>
                <w:sz w:val="22"/>
              </w:rPr>
              <w:t xml:space="preserve"> it's hard to reach people with this kind of story. Ah, because most people are maybe not so concerned with the freight transport. </w:t>
            </w:r>
            <w:proofErr w:type="gramStart"/>
            <w:r w:rsidRPr="00A014FD">
              <w:rPr>
                <w:rFonts w:eastAsia="等线"/>
                <w:sz w:val="22"/>
              </w:rPr>
              <w:t>They</w:t>
            </w:r>
            <w:proofErr w:type="gramEnd"/>
            <w:r w:rsidRPr="00A014FD">
              <w:rPr>
                <w:rFonts w:eastAsia="等线"/>
                <w:sz w:val="22"/>
              </w:rPr>
              <w:t xml:space="preserve"> only constant you should during time you sure that this is a challenge on their sweaters in the shop or the coffee at the cafe, but they're not really thinking about how they are transported there. </w:t>
            </w:r>
          </w:p>
        </w:tc>
      </w:tr>
    </w:tbl>
    <w:p w14:paraId="7FF462E3" w14:textId="77777777" w:rsidR="005400D8" w:rsidRPr="00A014FD" w:rsidRDefault="005400D8" w:rsidP="005400D8">
      <w:pPr>
        <w:spacing w:after="160" w:line="276" w:lineRule="auto"/>
        <w:jc w:val="left"/>
        <w:rPr>
          <w:rFonts w:eastAsia="等线"/>
          <w:lang w:val="en-US"/>
        </w:rPr>
      </w:pPr>
    </w:p>
    <w:p w14:paraId="5D8289FC" w14:textId="77777777" w:rsidR="005400D8" w:rsidRPr="00A014FD" w:rsidRDefault="005400D8" w:rsidP="005400D8">
      <w:pPr>
        <w:spacing w:after="160" w:line="276" w:lineRule="auto"/>
        <w:rPr>
          <w:rFonts w:eastAsia="等线"/>
          <w:b/>
          <w:bCs/>
          <w:bdr w:val="nil"/>
          <w:lang w:val="en-US"/>
        </w:rPr>
      </w:pPr>
      <w:r w:rsidRPr="00A014FD">
        <w:rPr>
          <w:rFonts w:eastAsia="等线"/>
          <w:b/>
          <w:bCs/>
          <w:bdr w:val="nil"/>
          <w:lang w:val="en-US"/>
        </w:rPr>
        <w:t>D3.6 Are there any measures are implemented to push more numbers of logistics companies to join this UCC system.</w:t>
      </w:r>
    </w:p>
    <w:tbl>
      <w:tblPr>
        <w:tblStyle w:val="30"/>
        <w:tblW w:w="0" w:type="auto"/>
        <w:tblLook w:val="04A0" w:firstRow="1" w:lastRow="0" w:firstColumn="1" w:lastColumn="0" w:noHBand="0" w:noVBand="1"/>
      </w:tblPr>
      <w:tblGrid>
        <w:gridCol w:w="8296"/>
      </w:tblGrid>
      <w:tr w:rsidR="005400D8" w:rsidRPr="00A014FD" w14:paraId="16988368" w14:textId="77777777" w:rsidTr="00704B82">
        <w:tc>
          <w:tcPr>
            <w:tcW w:w="9350" w:type="dxa"/>
          </w:tcPr>
          <w:p w14:paraId="73F47B8F" w14:textId="77777777" w:rsidR="005400D8" w:rsidRPr="00A014FD" w:rsidRDefault="005400D8" w:rsidP="00704B82">
            <w:pPr>
              <w:rPr>
                <w:rFonts w:eastAsia="等线"/>
                <w:sz w:val="22"/>
              </w:rPr>
            </w:pPr>
            <w:r w:rsidRPr="00A014FD">
              <w:rPr>
                <w:rFonts w:eastAsia="等线"/>
                <w:sz w:val="22"/>
              </w:rPr>
              <w:t xml:space="preserve">We ask more logistic company to join this project. </w:t>
            </w:r>
            <w:proofErr w:type="gramStart"/>
            <w:r w:rsidRPr="00A014FD">
              <w:rPr>
                <w:rFonts w:eastAsia="等线"/>
                <w:sz w:val="22"/>
              </w:rPr>
              <w:t>they've</w:t>
            </w:r>
            <w:proofErr w:type="gramEnd"/>
            <w:r w:rsidRPr="00A014FD">
              <w:rPr>
                <w:rFonts w:eastAsia="等线"/>
                <w:sz w:val="22"/>
              </w:rPr>
              <w:t xml:space="preserve"> been</w:t>
            </w:r>
            <w:r>
              <w:rPr>
                <w:rFonts w:eastAsia="等线"/>
                <w:sz w:val="22"/>
              </w:rPr>
              <w:t xml:space="preserve"> </w:t>
            </w:r>
            <w:r w:rsidRPr="00A014FD">
              <w:rPr>
                <w:rFonts w:eastAsia="等线"/>
                <w:sz w:val="22"/>
              </w:rPr>
              <w:t xml:space="preserve">I guess we've just been meeting a lot of them, and I’m telling them about it and asking them to join with their ideas. But </w:t>
            </w:r>
            <w:proofErr w:type="gramStart"/>
            <w:r w:rsidRPr="00A014FD">
              <w:rPr>
                <w:rFonts w:eastAsia="等线"/>
                <w:sz w:val="22"/>
              </w:rPr>
              <w:t>we're</w:t>
            </w:r>
            <w:proofErr w:type="gramEnd"/>
            <w:r w:rsidRPr="00A014FD">
              <w:rPr>
                <w:rFonts w:eastAsia="等线"/>
                <w:sz w:val="22"/>
              </w:rPr>
              <w:t xml:space="preserve"> going to try to, we’re </w:t>
            </w:r>
            <w:proofErr w:type="spellStart"/>
            <w:r w:rsidRPr="00A014FD">
              <w:rPr>
                <w:rFonts w:eastAsia="等线"/>
                <w:sz w:val="22"/>
              </w:rPr>
              <w:t>gonna</w:t>
            </w:r>
            <w:proofErr w:type="spellEnd"/>
            <w:r w:rsidRPr="00A014FD">
              <w:rPr>
                <w:rFonts w:eastAsia="等线"/>
                <w:sz w:val="22"/>
              </w:rPr>
              <w:t xml:space="preserve"> try to be more </w:t>
            </w:r>
            <w:proofErr w:type="spellStart"/>
            <w:r w:rsidRPr="00A014FD">
              <w:rPr>
                <w:rFonts w:eastAsia="等线"/>
                <w:sz w:val="22"/>
              </w:rPr>
              <w:t>activing</w:t>
            </w:r>
            <w:proofErr w:type="spellEnd"/>
            <w:r w:rsidRPr="00A014FD">
              <w:rPr>
                <w:rFonts w:eastAsia="等线"/>
                <w:sz w:val="22"/>
              </w:rPr>
              <w:t xml:space="preserve"> that point. Further on and we will have the four different stakeholders that are part of the user. See, we will try to define a strategy together on how to move forward. And </w:t>
            </w:r>
            <w:proofErr w:type="gramStart"/>
            <w:r w:rsidRPr="00A014FD">
              <w:rPr>
                <w:rFonts w:eastAsia="等线"/>
                <w:sz w:val="22"/>
              </w:rPr>
              <w:t>also</w:t>
            </w:r>
            <w:proofErr w:type="gramEnd"/>
            <w:r w:rsidRPr="00A014FD">
              <w:rPr>
                <w:rFonts w:eastAsia="等线"/>
                <w:sz w:val="22"/>
              </w:rPr>
              <w:t xml:space="preserve"> we did this evaluation project that we're applying for money. Now </w:t>
            </w:r>
            <w:proofErr w:type="gramStart"/>
            <w:r w:rsidRPr="00A014FD">
              <w:rPr>
                <w:rFonts w:eastAsia="等线"/>
                <w:sz w:val="22"/>
              </w:rPr>
              <w:t>we're</w:t>
            </w:r>
            <w:proofErr w:type="gramEnd"/>
            <w:r w:rsidRPr="00A014FD">
              <w:rPr>
                <w:rFonts w:eastAsia="等线"/>
                <w:sz w:val="22"/>
              </w:rPr>
              <w:t xml:space="preserve"> planning on approaching other transport companies, trying to have them join as we're evaluating. </w:t>
            </w:r>
          </w:p>
          <w:p w14:paraId="05351630" w14:textId="77777777" w:rsidR="005400D8" w:rsidRPr="00A014FD" w:rsidRDefault="005400D8" w:rsidP="00704B82">
            <w:pPr>
              <w:jc w:val="left"/>
              <w:rPr>
                <w:rFonts w:eastAsia="等线"/>
                <w:b/>
                <w:bCs/>
                <w:sz w:val="22"/>
              </w:rPr>
            </w:pPr>
            <w:r w:rsidRPr="00A014FD">
              <w:rPr>
                <w:rFonts w:eastAsia="等线"/>
                <w:b/>
                <w:bCs/>
                <w:sz w:val="22"/>
              </w:rPr>
              <w:t xml:space="preserve">What is the feedback from them? </w:t>
            </w:r>
          </w:p>
          <w:p w14:paraId="60A0DF04" w14:textId="77777777" w:rsidR="005400D8" w:rsidRPr="00A014FD" w:rsidRDefault="005400D8" w:rsidP="00704B82">
            <w:pPr>
              <w:rPr>
                <w:rFonts w:eastAsia="等线"/>
                <w:sz w:val="22"/>
              </w:rPr>
            </w:pPr>
            <w:r w:rsidRPr="00A014FD">
              <w:rPr>
                <w:rFonts w:eastAsia="等线"/>
                <w:sz w:val="22"/>
              </w:rPr>
              <w:t xml:space="preserve">Many of them are. </w:t>
            </w:r>
            <w:proofErr w:type="gramStart"/>
            <w:r w:rsidRPr="00A014FD">
              <w:rPr>
                <w:rFonts w:eastAsia="等线"/>
                <w:sz w:val="22"/>
              </w:rPr>
              <w:t>They're</w:t>
            </w:r>
            <w:proofErr w:type="gramEnd"/>
            <w:r w:rsidRPr="00A014FD">
              <w:rPr>
                <w:rFonts w:eastAsia="等线"/>
                <w:sz w:val="22"/>
              </w:rPr>
              <w:t xml:space="preserve"> a little bit waiting on there. Some of them say that uh, we have so many parcels. We have too many packages. Your solution is too small. Your vehicle is too small. Or your micro terminal is too small, and some of them are maybe not so keen on the letting someone else deliver t</w:t>
            </w:r>
            <w:r>
              <w:rPr>
                <w:rFonts w:eastAsia="等线" w:hint="eastAsia"/>
                <w:sz w:val="22"/>
              </w:rPr>
              <w:t>，</w:t>
            </w:r>
            <w:r w:rsidRPr="00A014FD">
              <w:rPr>
                <w:rFonts w:eastAsia="等线"/>
                <w:sz w:val="22"/>
              </w:rPr>
              <w:t xml:space="preserve">he package on the last way. And </w:t>
            </w:r>
            <w:proofErr w:type="gramStart"/>
            <w:r w:rsidRPr="00A014FD">
              <w:rPr>
                <w:rFonts w:eastAsia="等线"/>
                <w:sz w:val="22"/>
              </w:rPr>
              <w:t>so</w:t>
            </w:r>
            <w:proofErr w:type="gramEnd"/>
            <w:r w:rsidRPr="00A014FD">
              <w:rPr>
                <w:rFonts w:eastAsia="等线"/>
                <w:sz w:val="22"/>
              </w:rPr>
              <w:t xml:space="preserve"> it's a little bit about branding. For example, some bigger companies, like UPS, they are restricted from the USA not always have their own look but not together with someone else. </w:t>
            </w:r>
            <w:proofErr w:type="gramStart"/>
            <w:r w:rsidRPr="00A014FD">
              <w:rPr>
                <w:rFonts w:eastAsia="等线"/>
                <w:sz w:val="22"/>
              </w:rPr>
              <w:t>So</w:t>
            </w:r>
            <w:proofErr w:type="gramEnd"/>
            <w:r w:rsidRPr="00A014FD">
              <w:rPr>
                <w:rFonts w:eastAsia="等线"/>
                <w:sz w:val="22"/>
              </w:rPr>
              <w:t xml:space="preserve"> there are different issues from different companies. </w:t>
            </w:r>
          </w:p>
        </w:tc>
      </w:tr>
    </w:tbl>
    <w:p w14:paraId="73F5F648" w14:textId="77777777" w:rsidR="005400D8" w:rsidRDefault="005400D8" w:rsidP="005400D8">
      <w:pPr>
        <w:spacing w:line="240" w:lineRule="auto"/>
        <w:jc w:val="left"/>
        <w:rPr>
          <w:rFonts w:eastAsia="Times New Roman" w:cstheme="majorBidi"/>
          <w:b/>
          <w:color w:val="5B9BD5" w:themeColor="accent1"/>
          <w:sz w:val="26"/>
        </w:rPr>
      </w:pPr>
      <w:r>
        <w:br w:type="page"/>
      </w:r>
    </w:p>
    <w:p w14:paraId="0CFA4436" w14:textId="307DB97A" w:rsidR="0000015A" w:rsidRDefault="0000015A" w:rsidP="005400D8">
      <w:pPr>
        <w:spacing w:after="240"/>
        <w:rPr>
          <w:rFonts w:eastAsia="宋体"/>
        </w:rPr>
      </w:pPr>
      <w:r>
        <w:rPr>
          <w:rFonts w:eastAsia="宋体"/>
        </w:rPr>
        <w:lastRenderedPageBreak/>
        <w:t xml:space="preserve">Interview with </w:t>
      </w:r>
      <w:proofErr w:type="spellStart"/>
      <w:r>
        <w:rPr>
          <w:rFonts w:eastAsia="宋体"/>
        </w:rPr>
        <w:t>Ragn</w:t>
      </w:r>
      <w:proofErr w:type="spellEnd"/>
      <w:r>
        <w:rPr>
          <w:rFonts w:eastAsia="宋体"/>
        </w:rPr>
        <w:t>-sells</w:t>
      </w:r>
    </w:p>
    <w:p w14:paraId="288DF68D" w14:textId="20663B36" w:rsidR="005400D8" w:rsidRPr="0000015A" w:rsidRDefault="005400D8" w:rsidP="005400D8">
      <w:pPr>
        <w:spacing w:after="240"/>
        <w:rPr>
          <w:rFonts w:eastAsia="宋体"/>
        </w:rPr>
      </w:pPr>
      <w:r w:rsidRPr="0000015A">
        <w:rPr>
          <w:rFonts w:eastAsia="宋体"/>
        </w:rPr>
        <w:t>Stakeholders make an introduction for this case:</w:t>
      </w:r>
    </w:p>
    <w:p w14:paraId="69384880" w14:textId="77777777" w:rsidR="005400D8" w:rsidRPr="00A014FD" w:rsidRDefault="005400D8" w:rsidP="005400D8">
      <w:pPr>
        <w:spacing w:after="240"/>
        <w:rPr>
          <w:rFonts w:eastAsia="宋体"/>
          <w:b/>
          <w:bCs/>
        </w:rPr>
      </w:pPr>
      <w:r w:rsidRPr="00A014FD">
        <w:rPr>
          <w:rFonts w:eastAsia="宋体"/>
        </w:rPr>
        <w:t xml:space="preserve">We are picking up the goods outside Stockholm. This is the room, where the goods are coming in. We build a separate room for this for these goods. No individual room for that. The goods from bring. IT's now in a line haul transport on the way into this station. And when the goods are coming here, we take it inside through sorting. Then </w:t>
      </w:r>
      <w:proofErr w:type="gramStart"/>
      <w:r w:rsidRPr="00A014FD">
        <w:rPr>
          <w:rFonts w:eastAsia="宋体"/>
        </w:rPr>
        <w:t>we'll</w:t>
      </w:r>
      <w:proofErr w:type="gramEnd"/>
      <w:r w:rsidRPr="00A014FD">
        <w:rPr>
          <w:rFonts w:eastAsia="宋体"/>
        </w:rPr>
        <w:t xml:space="preserve"> load it on the electric weekend. This is the container for the waste. We collect the waste and at the same time delivery good for the Bring. Outside Stockholm the bring which is a logistic transport company. They have customers in the central of Stockholm, in a very small area in the absolute centre of Stockholm, (now) We deliver goods for their customers. (This is because) where they have problem with all the traffic (have negative impacts on their delivery efficiency) in the narrow area. Yeah, and when we are out (to) </w:t>
      </w:r>
      <w:proofErr w:type="gramStart"/>
      <w:r w:rsidRPr="00A014FD">
        <w:rPr>
          <w:rFonts w:eastAsia="宋体"/>
        </w:rPr>
        <w:t>delivered</w:t>
      </w:r>
      <w:proofErr w:type="gramEnd"/>
      <w:r w:rsidRPr="00A014FD">
        <w:rPr>
          <w:rFonts w:eastAsia="宋体"/>
        </w:rPr>
        <w:t xml:space="preserve"> the goods. </w:t>
      </w:r>
      <w:proofErr w:type="gramStart"/>
      <w:r w:rsidRPr="00A014FD">
        <w:rPr>
          <w:rFonts w:eastAsia="宋体"/>
        </w:rPr>
        <w:t>It's</w:t>
      </w:r>
      <w:proofErr w:type="gramEnd"/>
      <w:r w:rsidRPr="00A014FD">
        <w:rPr>
          <w:rFonts w:eastAsia="宋体"/>
        </w:rPr>
        <w:t xml:space="preserve"> possible for us to pick waste at the same time at the same time. We have lots of customer (for waste collection) in this area are. we </w:t>
      </w:r>
      <w:proofErr w:type="gramStart"/>
      <w:r w:rsidRPr="00A014FD">
        <w:rPr>
          <w:rFonts w:eastAsia="宋体"/>
        </w:rPr>
        <w:t>don't</w:t>
      </w:r>
      <w:proofErr w:type="gramEnd"/>
      <w:r w:rsidRPr="00A014FD">
        <w:rPr>
          <w:rFonts w:eastAsia="宋体"/>
        </w:rPr>
        <w:t xml:space="preserve"> know where are the (arrived)goods (before they arrive here), (After the goods arrived, we sort this goods) and then we know where we should go today. </w:t>
      </w:r>
    </w:p>
    <w:p w14:paraId="2F424911" w14:textId="77777777" w:rsidR="005400D8" w:rsidRPr="00A014FD" w:rsidRDefault="005400D8" w:rsidP="005400D8">
      <w:pPr>
        <w:spacing w:after="240"/>
        <w:rPr>
          <w:rFonts w:eastAsia="宋体"/>
        </w:rPr>
      </w:pPr>
      <w:r w:rsidRPr="00A014FD">
        <w:rPr>
          <w:rFonts w:eastAsia="宋体"/>
        </w:rPr>
        <w:t xml:space="preserve">Today and tomorrow </w:t>
      </w:r>
      <w:proofErr w:type="gramStart"/>
      <w:r w:rsidRPr="00A014FD">
        <w:rPr>
          <w:rFonts w:eastAsia="宋体"/>
        </w:rPr>
        <w:t>it's</w:t>
      </w:r>
      <w:proofErr w:type="gramEnd"/>
      <w:r w:rsidRPr="00A014FD">
        <w:rPr>
          <w:rFonts w:eastAsia="宋体"/>
        </w:rPr>
        <w:t xml:space="preserve"> not the same customer. You turn down there a new customer with new goods. One big issue is the digitalization in the front, because Brings system and our system for wastes are</w:t>
      </w:r>
      <w:r>
        <w:rPr>
          <w:rFonts w:eastAsia="宋体"/>
        </w:rPr>
        <w:t xml:space="preserve"> </w:t>
      </w:r>
      <w:r>
        <w:rPr>
          <w:rFonts w:eastAsia="宋体" w:hint="eastAsia"/>
        </w:rPr>
        <w:t>n</w:t>
      </w:r>
      <w:r w:rsidRPr="00A014FD">
        <w:rPr>
          <w:rFonts w:eastAsia="宋体"/>
        </w:rPr>
        <w:t xml:space="preserve">ot speaking together. But when it does, we could do a very smarter logistic solution. </w:t>
      </w:r>
      <w:proofErr w:type="gramStart"/>
      <w:r w:rsidRPr="00A014FD">
        <w:rPr>
          <w:rFonts w:eastAsia="宋体"/>
        </w:rPr>
        <w:t>So</w:t>
      </w:r>
      <w:proofErr w:type="gramEnd"/>
      <w:r w:rsidRPr="00A014FD">
        <w:rPr>
          <w:rFonts w:eastAsia="宋体"/>
        </w:rPr>
        <w:t xml:space="preserve"> delivery and pickup.</w:t>
      </w:r>
    </w:p>
    <w:p w14:paraId="1CF9E09A" w14:textId="77777777" w:rsidR="005400D8" w:rsidRPr="00A014FD" w:rsidRDefault="005400D8" w:rsidP="005400D8">
      <w:pPr>
        <w:spacing w:after="240"/>
        <w:rPr>
          <w:rFonts w:eastAsia="宋体"/>
          <w:b/>
          <w:bCs/>
        </w:rPr>
      </w:pPr>
      <w:r w:rsidRPr="00A014FD">
        <w:rPr>
          <w:rFonts w:eastAsia="宋体"/>
          <w:b/>
          <w:bCs/>
        </w:rPr>
        <w:lastRenderedPageBreak/>
        <w:t xml:space="preserve">I show a business modelling for the Interviewee: Actually, I have a draw a small map for this one, and I </w:t>
      </w:r>
      <w:proofErr w:type="gramStart"/>
      <w:r w:rsidRPr="00A014FD">
        <w:rPr>
          <w:rFonts w:eastAsia="宋体"/>
          <w:b/>
          <w:bCs/>
        </w:rPr>
        <w:t>don't</w:t>
      </w:r>
      <w:proofErr w:type="gramEnd"/>
      <w:r w:rsidRPr="00A014FD">
        <w:rPr>
          <w:rFonts w:eastAsia="宋体"/>
          <w:b/>
          <w:bCs/>
        </w:rPr>
        <w:t xml:space="preserve"> know whether it's right or not. I divided this project into the two part. A. The downside is your original function of your company. you collect waste and did handling in this city and deliver outside the cities. And the upside is your new business models just from cooperate with The Bring. Yes. And now there are two types of consumers as you tell me. And they have some overlaps here in some in some deliver trips, some are not. So, I think this model is right. </w:t>
      </w:r>
    </w:p>
    <w:p w14:paraId="392A3C1A" w14:textId="77777777" w:rsidR="005400D8" w:rsidRPr="00A014FD" w:rsidRDefault="005400D8" w:rsidP="005400D8">
      <w:pPr>
        <w:spacing w:after="240"/>
        <w:rPr>
          <w:rFonts w:eastAsia="宋体"/>
        </w:rPr>
      </w:pPr>
      <w:r w:rsidRPr="00A014FD">
        <w:rPr>
          <w:rFonts w:eastAsia="宋体"/>
        </w:rPr>
        <w:t xml:space="preserve">This is very good. Now I see you understand. the interesting thing is (the customer of) forward logistics is also bringing. They have their </w:t>
      </w:r>
      <w:proofErr w:type="gramStart"/>
      <w:r w:rsidRPr="00A014FD">
        <w:rPr>
          <w:rFonts w:eastAsia="宋体"/>
        </w:rPr>
        <w:t>customers</w:t>
      </w:r>
      <w:proofErr w:type="gramEnd"/>
      <w:r w:rsidRPr="00A014FD">
        <w:rPr>
          <w:rFonts w:eastAsia="宋体"/>
        </w:rPr>
        <w:t xml:space="preserve"> and we have our customers, often is the same customer. (Our customers do not know they relate to another).</w:t>
      </w:r>
    </w:p>
    <w:p w14:paraId="24508837" w14:textId="77777777" w:rsidR="005400D8" w:rsidRPr="00A014FD" w:rsidRDefault="005400D8" w:rsidP="005400D8">
      <w:pPr>
        <w:spacing w:after="240"/>
        <w:rPr>
          <w:rFonts w:eastAsia="宋体"/>
          <w:b/>
          <w:bCs/>
        </w:rPr>
      </w:pPr>
      <w:proofErr w:type="gramStart"/>
      <w:r w:rsidRPr="00A014FD">
        <w:rPr>
          <w:rFonts w:eastAsia="宋体"/>
          <w:b/>
          <w:bCs/>
        </w:rPr>
        <w:t>Let's</w:t>
      </w:r>
      <w:proofErr w:type="gramEnd"/>
      <w:r w:rsidRPr="00A014FD">
        <w:rPr>
          <w:rFonts w:eastAsia="宋体"/>
          <w:b/>
          <w:bCs/>
        </w:rPr>
        <w:t xml:space="preserve"> start with a formal interview. What is your Job Title?</w:t>
      </w:r>
    </w:p>
    <w:p w14:paraId="4086667E" w14:textId="77777777" w:rsidR="005400D8" w:rsidRPr="00A014FD" w:rsidRDefault="005400D8" w:rsidP="005400D8">
      <w:pPr>
        <w:spacing w:after="240"/>
        <w:rPr>
          <w:rFonts w:eastAsia="宋体"/>
          <w:b/>
          <w:bCs/>
        </w:rPr>
      </w:pPr>
      <w:r w:rsidRPr="00A014FD">
        <w:rPr>
          <w:rFonts w:eastAsia="宋体"/>
        </w:rPr>
        <w:t>Chief market operation for rage-sells.</w:t>
      </w:r>
    </w:p>
    <w:p w14:paraId="7F16D8AB" w14:textId="77777777" w:rsidR="005400D8" w:rsidRPr="00A014FD" w:rsidRDefault="005400D8" w:rsidP="005400D8">
      <w:pPr>
        <w:spacing w:after="240"/>
        <w:rPr>
          <w:rFonts w:eastAsia="宋体"/>
          <w:b/>
          <w:bCs/>
        </w:rPr>
      </w:pPr>
      <w:proofErr w:type="gramStart"/>
      <w:r w:rsidRPr="00A014FD">
        <w:rPr>
          <w:rFonts w:eastAsia="宋体"/>
          <w:b/>
          <w:bCs/>
        </w:rPr>
        <w:t>What's</w:t>
      </w:r>
      <w:proofErr w:type="gramEnd"/>
      <w:r w:rsidRPr="00A014FD">
        <w:rPr>
          <w:rFonts w:eastAsia="宋体"/>
          <w:b/>
          <w:bCs/>
        </w:rPr>
        <w:t xml:space="preserve"> your daily works? </w:t>
      </w:r>
    </w:p>
    <w:p w14:paraId="2A8323B7" w14:textId="77777777" w:rsidR="005400D8" w:rsidRPr="00A014FD" w:rsidRDefault="005400D8" w:rsidP="005400D8">
      <w:pPr>
        <w:spacing w:after="240"/>
        <w:rPr>
          <w:rFonts w:eastAsia="宋体"/>
        </w:rPr>
      </w:pPr>
      <w:r w:rsidRPr="00A014FD">
        <w:rPr>
          <w:rFonts w:eastAsia="宋体"/>
        </w:rPr>
        <w:t>I have (manage)the operation for (the) market division.</w:t>
      </w:r>
    </w:p>
    <w:p w14:paraId="03FDE63F" w14:textId="77777777" w:rsidR="005400D8" w:rsidRPr="00A014FD" w:rsidRDefault="005400D8" w:rsidP="005400D8">
      <w:pPr>
        <w:spacing w:after="240"/>
        <w:rPr>
          <w:rFonts w:eastAsia="宋体"/>
          <w:b/>
          <w:bCs/>
        </w:rPr>
      </w:pPr>
      <w:r w:rsidRPr="00A014FD">
        <w:rPr>
          <w:rFonts w:eastAsia="宋体"/>
          <w:b/>
          <w:bCs/>
        </w:rPr>
        <w:t xml:space="preserve">How long have you your company join this new business model with the Bring? </w:t>
      </w:r>
    </w:p>
    <w:p w14:paraId="3E76AC4B" w14:textId="77777777" w:rsidR="005400D8" w:rsidRPr="00A014FD" w:rsidRDefault="005400D8" w:rsidP="005400D8">
      <w:pPr>
        <w:spacing w:after="240"/>
        <w:rPr>
          <w:rFonts w:eastAsia="宋体"/>
        </w:rPr>
      </w:pPr>
      <w:r w:rsidRPr="00A014FD">
        <w:rPr>
          <w:rFonts w:eastAsia="宋体"/>
        </w:rPr>
        <w:t>For one and a half year</w:t>
      </w:r>
    </w:p>
    <w:p w14:paraId="69BC95EE" w14:textId="77777777" w:rsidR="005400D8" w:rsidRPr="00A014FD" w:rsidRDefault="005400D8" w:rsidP="005400D8">
      <w:pPr>
        <w:spacing w:after="240"/>
        <w:rPr>
          <w:rFonts w:eastAsia="宋体"/>
          <w:b/>
          <w:bCs/>
        </w:rPr>
      </w:pPr>
      <w:r w:rsidRPr="00A014FD">
        <w:rPr>
          <w:rFonts w:eastAsia="宋体"/>
          <w:b/>
          <w:bCs/>
        </w:rPr>
        <w:t>Do you understand the function of your new business for the city's environmental and society issues?</w:t>
      </w:r>
    </w:p>
    <w:p w14:paraId="02D0BFC1" w14:textId="77777777" w:rsidR="005400D8" w:rsidRPr="00A014FD" w:rsidRDefault="005400D8" w:rsidP="005400D8">
      <w:pPr>
        <w:spacing w:after="240"/>
      </w:pPr>
      <w:r w:rsidRPr="00A014FD">
        <w:lastRenderedPageBreak/>
        <w:t xml:space="preserve">IT's to get less transport in the city. </w:t>
      </w:r>
      <w:proofErr w:type="gramStart"/>
      <w:r w:rsidRPr="00A014FD">
        <w:t>That's</w:t>
      </w:r>
      <w:proofErr w:type="gramEnd"/>
      <w:r w:rsidRPr="00A014FD">
        <w:t xml:space="preserve"> a big question. How could we in this area to manage all the traffic, we </w:t>
      </w:r>
      <w:proofErr w:type="gramStart"/>
      <w:r w:rsidRPr="00A014FD">
        <w:t>have to</w:t>
      </w:r>
      <w:proofErr w:type="gramEnd"/>
      <w:r w:rsidRPr="00A014FD">
        <w:t xml:space="preserve"> do it in a better way.</w:t>
      </w:r>
    </w:p>
    <w:p w14:paraId="1D58FEFF" w14:textId="77777777" w:rsidR="005400D8" w:rsidRPr="00A014FD" w:rsidRDefault="005400D8" w:rsidP="005400D8">
      <w:pPr>
        <w:rPr>
          <w:b/>
          <w:bCs/>
        </w:rPr>
      </w:pPr>
      <w:r w:rsidRPr="00A014FD">
        <w:rPr>
          <w:b/>
          <w:bCs/>
        </w:rPr>
        <w:t>These indicators are from previous studies, which do you this is relevant with the UCC’s performance?</w:t>
      </w:r>
    </w:p>
    <w:p w14:paraId="7A3B32BC" w14:textId="77777777" w:rsidR="005400D8" w:rsidRPr="00A014FD" w:rsidRDefault="005400D8" w:rsidP="005400D8">
      <w:r w:rsidRPr="00A014FD">
        <w:t>(Tick in the questionnaire)</w:t>
      </w:r>
    </w:p>
    <w:p w14:paraId="4C164CAF" w14:textId="77777777" w:rsidR="005400D8" w:rsidRPr="00A014FD" w:rsidRDefault="005400D8" w:rsidP="005400D8">
      <w:pPr>
        <w:rPr>
          <w:b/>
          <w:bCs/>
        </w:rPr>
      </w:pPr>
      <w:r w:rsidRPr="00A014FD">
        <w:rPr>
          <w:b/>
          <w:bCs/>
        </w:rPr>
        <w:t>Which indicators are relevant with your job?</w:t>
      </w:r>
    </w:p>
    <w:p w14:paraId="0E88AF1E" w14:textId="77777777" w:rsidR="005400D8" w:rsidRPr="00A014FD" w:rsidRDefault="005400D8" w:rsidP="005400D8">
      <w:r w:rsidRPr="00A014FD">
        <w:t>(Tick in the questionnaire)</w:t>
      </w:r>
    </w:p>
    <w:p w14:paraId="2CB2C7B3" w14:textId="77777777" w:rsidR="005400D8" w:rsidRPr="00A014FD" w:rsidRDefault="005400D8" w:rsidP="005400D8">
      <w:pPr>
        <w:rPr>
          <w:b/>
          <w:bCs/>
        </w:rPr>
      </w:pPr>
      <w:r w:rsidRPr="00A014FD">
        <w:rPr>
          <w:b/>
          <w:bCs/>
        </w:rPr>
        <w:t xml:space="preserve">Annual operation cost </w:t>
      </w:r>
    </w:p>
    <w:p w14:paraId="61A3E189" w14:textId="77777777" w:rsidR="005400D8" w:rsidRPr="00A014FD" w:rsidRDefault="005400D8" w:rsidP="005400D8">
      <w:r w:rsidRPr="00A014FD">
        <w:t xml:space="preserve">The money we get from Brig can cover for the cost of the deliver goods. Normally </w:t>
      </w:r>
      <w:r>
        <w:t>B</w:t>
      </w:r>
      <w:r w:rsidRPr="00A014FD">
        <w:t xml:space="preserve">ring drive to the customer. And it </w:t>
      </w:r>
      <w:proofErr w:type="gramStart"/>
      <w:r w:rsidRPr="00A014FD">
        <w:t>have</w:t>
      </w:r>
      <w:proofErr w:type="gramEnd"/>
      <w:r w:rsidRPr="00A014FD">
        <w:t xml:space="preserve"> a cost. </w:t>
      </w:r>
      <w:r w:rsidRPr="00A014FD">
        <w:rPr>
          <w:rFonts w:eastAsia="宋体"/>
        </w:rPr>
        <w:t>（</w:t>
      </w:r>
      <w:r w:rsidRPr="00A014FD">
        <w:t>now</w:t>
      </w:r>
      <w:r w:rsidRPr="00A014FD">
        <w:rPr>
          <w:rFonts w:eastAsia="宋体"/>
        </w:rPr>
        <w:t>）</w:t>
      </w:r>
      <w:r w:rsidRPr="00A014FD">
        <w:t>They're not own money for that yet. (they share the cost for us). If only we deliver goods and not handling waste, it would be flat. The cost and payment are equal to. But we can collect the waste from (our customers) in each (delivery) trip. (this UCC project) reduce 10% of cost for the waste collection.</w:t>
      </w:r>
    </w:p>
    <w:p w14:paraId="671037DB" w14:textId="77777777" w:rsidR="005400D8" w:rsidRPr="00A014FD" w:rsidRDefault="005400D8" w:rsidP="005400D8">
      <w:pPr>
        <w:rPr>
          <w:b/>
          <w:bCs/>
        </w:rPr>
      </w:pPr>
      <w:r w:rsidRPr="00A014FD">
        <w:rPr>
          <w:b/>
          <w:bCs/>
        </w:rPr>
        <w:t>Typical delivery price</w:t>
      </w:r>
    </w:p>
    <w:p w14:paraId="743BCCC2" w14:textId="77777777" w:rsidR="005400D8" w:rsidRPr="00A014FD" w:rsidRDefault="005400D8" w:rsidP="005400D8">
      <w:r w:rsidRPr="00A014FD">
        <w:t xml:space="preserve">Price is set up by negotiate with Bring during the planning. We have different price for different customers. we do not allow a low paying, we will </w:t>
      </w:r>
      <w:proofErr w:type="gramStart"/>
      <w:r w:rsidRPr="00A014FD">
        <w:t>lost</w:t>
      </w:r>
      <w:proofErr w:type="gramEnd"/>
      <w:r w:rsidRPr="00A014FD">
        <w:t xml:space="preserve"> profit if we don’t get (enough) money.</w:t>
      </w:r>
    </w:p>
    <w:p w14:paraId="352B2683" w14:textId="77777777" w:rsidR="005400D8" w:rsidRPr="00A014FD" w:rsidRDefault="005400D8" w:rsidP="005400D8">
      <w:pPr>
        <w:rPr>
          <w:b/>
          <w:bCs/>
        </w:rPr>
      </w:pPr>
      <w:r w:rsidRPr="00A014FD">
        <w:rPr>
          <w:b/>
          <w:bCs/>
        </w:rPr>
        <w:t>Do you receive any financial support from the government?</w:t>
      </w:r>
    </w:p>
    <w:p w14:paraId="53714921" w14:textId="77777777" w:rsidR="005400D8" w:rsidRPr="00A014FD" w:rsidRDefault="005400D8" w:rsidP="005400D8">
      <w:r w:rsidRPr="00A014FD">
        <w:t xml:space="preserve">We </w:t>
      </w:r>
      <w:proofErr w:type="gramStart"/>
      <w:r w:rsidRPr="00A014FD">
        <w:t>don’t</w:t>
      </w:r>
      <w:proofErr w:type="gramEnd"/>
      <w:r w:rsidRPr="00A014FD">
        <w:t xml:space="preserve"> get any money from Stockholm </w:t>
      </w:r>
      <w:proofErr w:type="spellStart"/>
      <w:r w:rsidRPr="00A014FD">
        <w:t>Stad</w:t>
      </w:r>
      <w:proofErr w:type="spellEnd"/>
      <w:r w:rsidRPr="00A014FD">
        <w:t>.</w:t>
      </w:r>
    </w:p>
    <w:p w14:paraId="3C0F5327" w14:textId="77777777" w:rsidR="005400D8" w:rsidRPr="00A014FD" w:rsidRDefault="005400D8" w:rsidP="005400D8">
      <w:pPr>
        <w:rPr>
          <w:b/>
          <w:bCs/>
          <w:color w:val="000000"/>
          <w:sz w:val="22"/>
        </w:rPr>
      </w:pPr>
      <w:r w:rsidRPr="00A014FD">
        <w:rPr>
          <w:b/>
          <w:bCs/>
          <w:color w:val="000000"/>
          <w:sz w:val="22"/>
        </w:rPr>
        <w:lastRenderedPageBreak/>
        <w:t>Goods Handled per Full-Time Equivalent Employee (GHEE)</w:t>
      </w:r>
    </w:p>
    <w:p w14:paraId="32F5C2AE" w14:textId="77777777" w:rsidR="005400D8" w:rsidRPr="00A014FD" w:rsidRDefault="005400D8" w:rsidP="005400D8">
      <w:pPr>
        <w:rPr>
          <w:b/>
          <w:bCs/>
          <w:color w:val="000000"/>
          <w:sz w:val="22"/>
        </w:rPr>
      </w:pPr>
      <w:r w:rsidRPr="00A014FD">
        <w:rPr>
          <w:b/>
          <w:bCs/>
          <w:color w:val="000000"/>
          <w:sz w:val="22"/>
        </w:rPr>
        <w:t>How many staff have you heard for this business?</w:t>
      </w:r>
    </w:p>
    <w:p w14:paraId="193A59F1" w14:textId="77777777" w:rsidR="005400D8" w:rsidRPr="00A014FD" w:rsidRDefault="005400D8" w:rsidP="005400D8">
      <w:r w:rsidRPr="00A014FD">
        <w:t xml:space="preserve">We hire two workers (for this project), I think the worker number is reasonable. We can deliver most of the packages on </w:t>
      </w:r>
      <w:proofErr w:type="gramStart"/>
      <w:r w:rsidRPr="00A014FD">
        <w:t>time</w:t>
      </w:r>
      <w:proofErr w:type="gramEnd"/>
    </w:p>
    <w:p w14:paraId="6E992606" w14:textId="77777777" w:rsidR="005400D8" w:rsidRPr="00A014FD" w:rsidRDefault="005400D8" w:rsidP="005400D8">
      <w:pPr>
        <w:rPr>
          <w:b/>
          <w:bCs/>
          <w:color w:val="000000"/>
          <w:sz w:val="22"/>
        </w:rPr>
      </w:pPr>
      <w:r w:rsidRPr="00A014FD">
        <w:rPr>
          <w:b/>
          <w:bCs/>
          <w:color w:val="000000"/>
          <w:sz w:val="22"/>
        </w:rPr>
        <w:t>Delivery Accuracy Rate (DAR)</w:t>
      </w:r>
    </w:p>
    <w:p w14:paraId="0454AC38" w14:textId="77777777" w:rsidR="005400D8" w:rsidRPr="00A014FD" w:rsidRDefault="005400D8" w:rsidP="005400D8">
      <w:r w:rsidRPr="00A014FD">
        <w:t>Now, they are sorting the parcels here. Parcels are sorted according to their destinations; all goods well be sorted manually; we will not make mistake about the destination. We have 100% safe delivery, because they are very normal parcel boxes. It is not easily break.</w:t>
      </w:r>
    </w:p>
    <w:p w14:paraId="3F5F9385" w14:textId="77777777" w:rsidR="005400D8" w:rsidRDefault="005400D8" w:rsidP="005400D8">
      <w:pPr>
        <w:rPr>
          <w:b/>
          <w:bCs/>
          <w:color w:val="000000"/>
          <w:sz w:val="22"/>
        </w:rPr>
      </w:pPr>
      <w:r w:rsidRPr="00A014FD">
        <w:rPr>
          <w:b/>
          <w:bCs/>
          <w:color w:val="000000"/>
          <w:sz w:val="22"/>
        </w:rPr>
        <w:t>Lead time of delivery goods from UCC to its users.</w:t>
      </w:r>
    </w:p>
    <w:p w14:paraId="50AB317A" w14:textId="77777777" w:rsidR="005400D8" w:rsidRPr="00A014FD" w:rsidRDefault="005400D8" w:rsidP="005400D8">
      <w:pPr>
        <w:rPr>
          <w:b/>
          <w:bCs/>
          <w:color w:val="000000"/>
          <w:sz w:val="22"/>
        </w:rPr>
      </w:pPr>
      <w:r>
        <w:rPr>
          <w:b/>
          <w:bCs/>
          <w:color w:val="000000"/>
          <w:sz w:val="22"/>
        </w:rPr>
        <w:t xml:space="preserve">How long it takes to sort these </w:t>
      </w:r>
      <w:proofErr w:type="gramStart"/>
      <w:r>
        <w:rPr>
          <w:b/>
          <w:bCs/>
          <w:color w:val="000000"/>
          <w:sz w:val="22"/>
        </w:rPr>
        <w:t>parcels</w:t>
      </w:r>
      <w:proofErr w:type="gramEnd"/>
    </w:p>
    <w:p w14:paraId="5295FF31" w14:textId="77777777" w:rsidR="005400D8" w:rsidRPr="00A014FD" w:rsidRDefault="005400D8" w:rsidP="005400D8">
      <w:pPr>
        <w:rPr>
          <w:sz w:val="22"/>
        </w:rPr>
      </w:pPr>
      <w:r w:rsidRPr="00A014FD">
        <w:rPr>
          <w:sz w:val="22"/>
        </w:rPr>
        <w:t xml:space="preserve">40 minutes to 1 hour to sort these </w:t>
      </w:r>
      <w:proofErr w:type="gramStart"/>
      <w:r w:rsidRPr="00A014FD">
        <w:rPr>
          <w:sz w:val="22"/>
        </w:rPr>
        <w:t>parcels</w:t>
      </w:r>
      <w:proofErr w:type="gramEnd"/>
    </w:p>
    <w:p w14:paraId="5F6BEDE4" w14:textId="77777777" w:rsidR="005400D8" w:rsidRPr="00A014FD" w:rsidRDefault="005400D8" w:rsidP="005400D8">
      <w:pPr>
        <w:rPr>
          <w:b/>
          <w:bCs/>
          <w:color w:val="000000"/>
          <w:sz w:val="22"/>
        </w:rPr>
      </w:pPr>
      <w:r w:rsidRPr="00A014FD">
        <w:rPr>
          <w:b/>
          <w:bCs/>
          <w:color w:val="000000"/>
          <w:sz w:val="22"/>
        </w:rPr>
        <w:t>How many green vehicles do you have?</w:t>
      </w:r>
    </w:p>
    <w:p w14:paraId="4A921DAB" w14:textId="77777777" w:rsidR="005400D8" w:rsidRPr="00A014FD" w:rsidRDefault="005400D8" w:rsidP="005400D8">
      <w:r w:rsidRPr="00A014FD">
        <w:t xml:space="preserve">1 </w:t>
      </w:r>
      <w:proofErr w:type="spellStart"/>
      <w:r w:rsidRPr="00A014FD">
        <w:t>vechicle</w:t>
      </w:r>
      <w:proofErr w:type="spellEnd"/>
      <w:r w:rsidRPr="00A014FD">
        <w:t>, 100% parcels are delivered by this vehicle.</w:t>
      </w:r>
    </w:p>
    <w:p w14:paraId="6288FACB" w14:textId="77777777" w:rsidR="005400D8" w:rsidRPr="00A014FD" w:rsidRDefault="005400D8" w:rsidP="005400D8">
      <w:pPr>
        <w:rPr>
          <w:b/>
          <w:bCs/>
          <w:color w:val="000000"/>
          <w:sz w:val="22"/>
        </w:rPr>
      </w:pPr>
      <w:r w:rsidRPr="00A014FD">
        <w:rPr>
          <w:b/>
          <w:bCs/>
          <w:color w:val="000000"/>
          <w:sz w:val="22"/>
        </w:rPr>
        <w:t>Do you know the figures of the truck loading rate?</w:t>
      </w:r>
    </w:p>
    <w:p w14:paraId="3C0A1723" w14:textId="77777777" w:rsidR="005400D8" w:rsidRPr="00A014FD" w:rsidRDefault="005400D8" w:rsidP="005400D8">
      <w:r w:rsidRPr="00A014FD">
        <w:t xml:space="preserve">I </w:t>
      </w:r>
      <w:proofErr w:type="gramStart"/>
      <w:r w:rsidRPr="00A014FD">
        <w:t>don’t</w:t>
      </w:r>
      <w:proofErr w:type="gramEnd"/>
      <w:r w:rsidRPr="00A014FD">
        <w:t xml:space="preserve"> know how much; I don’t know the exactly (figure). It is under the capacity. We are going to develop a new truck, the door can be laying down from the side, (so that) we can load more goods. Now, the container is narrow and long, we cannot load enough packages in each delivery.</w:t>
      </w:r>
    </w:p>
    <w:p w14:paraId="6A2667F0" w14:textId="77777777" w:rsidR="005400D8" w:rsidRPr="00A014FD" w:rsidRDefault="005400D8" w:rsidP="005400D8">
      <w:pPr>
        <w:rPr>
          <w:b/>
          <w:bCs/>
        </w:rPr>
      </w:pPr>
      <w:r w:rsidRPr="00A014FD">
        <w:rPr>
          <w:b/>
          <w:bCs/>
        </w:rPr>
        <w:t>Do you think this UCC reduce the travel miles in urban area?</w:t>
      </w:r>
    </w:p>
    <w:p w14:paraId="5E6E544D" w14:textId="77777777" w:rsidR="005400D8" w:rsidRPr="00A014FD" w:rsidRDefault="005400D8" w:rsidP="005400D8">
      <w:r w:rsidRPr="00A014FD">
        <w:lastRenderedPageBreak/>
        <w:t xml:space="preserve">I </w:t>
      </w:r>
      <w:proofErr w:type="gramStart"/>
      <w:r w:rsidRPr="00A014FD">
        <w:t>don’t</w:t>
      </w:r>
      <w:proofErr w:type="gramEnd"/>
      <w:r w:rsidRPr="00A014FD">
        <w:t xml:space="preserve"> think so. The (service) size is small, the location of UCC is in the middle (position), we always manually ship goods to the buildings around us, I think this is the reason we reduce the travel miles. If we use the vehicle to deliver, I think the travel mile is the same (as non-consolidation model).</w:t>
      </w:r>
    </w:p>
    <w:p w14:paraId="49A50050" w14:textId="77777777" w:rsidR="005400D8" w:rsidRPr="00A014FD" w:rsidRDefault="005400D8" w:rsidP="005400D8">
      <w:pPr>
        <w:rPr>
          <w:b/>
          <w:bCs/>
        </w:rPr>
      </w:pPr>
      <w:r w:rsidRPr="00A014FD">
        <w:rPr>
          <w:b/>
          <w:bCs/>
        </w:rPr>
        <w:t>Average staff salary</w:t>
      </w:r>
    </w:p>
    <w:p w14:paraId="5A09DDF2" w14:textId="77777777" w:rsidR="005400D8" w:rsidRPr="00A014FD" w:rsidRDefault="005400D8" w:rsidP="005400D8">
      <w:r w:rsidRPr="00A014FD">
        <w:t xml:space="preserve">The staff salary occupies a lot of percentage of the cost because paid staff. </w:t>
      </w:r>
      <w:proofErr w:type="gramStart"/>
      <w:r w:rsidRPr="00A014FD">
        <w:t>it's</w:t>
      </w:r>
      <w:proofErr w:type="gramEnd"/>
      <w:r w:rsidRPr="00A014FD">
        <w:t xml:space="preserve"> very important to manage the staff salary. </w:t>
      </w:r>
    </w:p>
    <w:p w14:paraId="4794616F" w14:textId="77777777" w:rsidR="005400D8" w:rsidRPr="00A014FD" w:rsidRDefault="005400D8" w:rsidP="005400D8">
      <w:pPr>
        <w:rPr>
          <w:b/>
          <w:bCs/>
        </w:rPr>
      </w:pPr>
      <w:r w:rsidRPr="00A014FD">
        <w:rPr>
          <w:b/>
          <w:bCs/>
        </w:rPr>
        <w:t>How do you evaluate the salary for a staff?</w:t>
      </w:r>
    </w:p>
    <w:p w14:paraId="226AB4F8" w14:textId="77777777" w:rsidR="005400D8" w:rsidRPr="00A014FD" w:rsidRDefault="005400D8" w:rsidP="005400D8">
      <w:r w:rsidRPr="00A014FD">
        <w:t>We do not set the salary with staff. We have it with the union.</w:t>
      </w:r>
    </w:p>
    <w:p w14:paraId="72AD592B" w14:textId="77777777" w:rsidR="005400D8" w:rsidRPr="00A014FD" w:rsidRDefault="005400D8" w:rsidP="005400D8">
      <w:pPr>
        <w:rPr>
          <w:b/>
          <w:bCs/>
        </w:rPr>
      </w:pPr>
      <w:r w:rsidRPr="00A014FD">
        <w:rPr>
          <w:b/>
          <w:bCs/>
        </w:rPr>
        <w:t xml:space="preserve">Workers overtime </w:t>
      </w:r>
      <w:proofErr w:type="spellStart"/>
      <w:r w:rsidRPr="00A014FD">
        <w:rPr>
          <w:b/>
          <w:bCs/>
        </w:rPr>
        <w:t>utisiation</w:t>
      </w:r>
      <w:proofErr w:type="spellEnd"/>
      <w:r w:rsidRPr="00A014FD">
        <w:rPr>
          <w:b/>
          <w:bCs/>
        </w:rPr>
        <w:t xml:space="preserve">. </w:t>
      </w:r>
    </w:p>
    <w:p w14:paraId="7F42C6F8" w14:textId="77777777" w:rsidR="005400D8" w:rsidRPr="00A014FD" w:rsidRDefault="005400D8" w:rsidP="005400D8">
      <w:pPr>
        <w:rPr>
          <w:b/>
          <w:bCs/>
        </w:rPr>
      </w:pPr>
      <w:r w:rsidRPr="00A014FD">
        <w:rPr>
          <w:b/>
          <w:bCs/>
        </w:rPr>
        <w:t>Because the regular working time is eight hours, in this case, do you have to ask your staff more than that? For example, you extend the working time to 9 hours.</w:t>
      </w:r>
    </w:p>
    <w:p w14:paraId="3FD81E24" w14:textId="77777777" w:rsidR="005400D8" w:rsidRPr="00A014FD" w:rsidRDefault="005400D8" w:rsidP="005400D8">
      <w:r w:rsidRPr="00A014FD">
        <w:t xml:space="preserve">Okay, in this case, we use more people, we have more people. over time is </w:t>
      </w:r>
      <w:proofErr w:type="gramStart"/>
      <w:r w:rsidRPr="00A014FD">
        <w:t>it's</w:t>
      </w:r>
      <w:proofErr w:type="gramEnd"/>
      <w:r w:rsidRPr="00A014FD">
        <w:t xml:space="preserve"> very expensive. The union do not allow the overtime working.</w:t>
      </w:r>
    </w:p>
    <w:p w14:paraId="61092344" w14:textId="77777777" w:rsidR="005400D8" w:rsidRPr="00A014FD" w:rsidRDefault="005400D8" w:rsidP="005400D8">
      <w:pPr>
        <w:rPr>
          <w:b/>
          <w:bCs/>
        </w:rPr>
      </w:pPr>
      <w:r w:rsidRPr="00A014FD">
        <w:rPr>
          <w:b/>
          <w:bCs/>
        </w:rPr>
        <w:t>Total travel time in city centre.</w:t>
      </w:r>
    </w:p>
    <w:p w14:paraId="369ADFE4" w14:textId="77777777" w:rsidR="005400D8" w:rsidRPr="00A014FD" w:rsidRDefault="005400D8" w:rsidP="005400D8">
      <w:pPr>
        <w:spacing w:before="240" w:after="240"/>
      </w:pPr>
      <w:proofErr w:type="gramStart"/>
      <w:r w:rsidRPr="00A014FD">
        <w:t>It’s</w:t>
      </w:r>
      <w:proofErr w:type="gramEnd"/>
      <w:r w:rsidRPr="00A014FD">
        <w:t xml:space="preserve"> six hours to eight hours a day.</w:t>
      </w:r>
    </w:p>
    <w:p w14:paraId="6E8BEECA" w14:textId="77777777" w:rsidR="005400D8" w:rsidRPr="00A014FD" w:rsidRDefault="005400D8" w:rsidP="005400D8">
      <w:pPr>
        <w:rPr>
          <w:b/>
          <w:bCs/>
        </w:rPr>
      </w:pPr>
      <w:r w:rsidRPr="00A014FD">
        <w:rPr>
          <w:b/>
          <w:bCs/>
        </w:rPr>
        <w:t>Do you have the figure about this?</w:t>
      </w:r>
    </w:p>
    <w:p w14:paraId="0954A7BC" w14:textId="77777777" w:rsidR="005400D8" w:rsidRPr="00A014FD" w:rsidRDefault="005400D8" w:rsidP="005400D8">
      <w:pPr>
        <w:spacing w:before="240" w:after="240"/>
      </w:pPr>
      <w:r w:rsidRPr="00A014FD">
        <w:t xml:space="preserve">No, because it depends on where </w:t>
      </w:r>
      <w:proofErr w:type="gramStart"/>
      <w:r w:rsidRPr="00A014FD">
        <w:t>you're</w:t>
      </w:r>
      <w:proofErr w:type="gramEnd"/>
      <w:r w:rsidRPr="00A014FD">
        <w:t xml:space="preserve"> going in this area.</w:t>
      </w:r>
    </w:p>
    <w:p w14:paraId="0FB37D97" w14:textId="77777777" w:rsidR="005400D8" w:rsidRDefault="005400D8" w:rsidP="005400D8">
      <w:pPr>
        <w:rPr>
          <w:b/>
          <w:bCs/>
        </w:rPr>
      </w:pPr>
      <w:r w:rsidRPr="00A014FD">
        <w:rPr>
          <w:b/>
          <w:bCs/>
        </w:rPr>
        <w:t>Time for on street parking.</w:t>
      </w:r>
    </w:p>
    <w:p w14:paraId="73E5B65C" w14:textId="77777777" w:rsidR="005400D8" w:rsidRDefault="005400D8" w:rsidP="005400D8">
      <w:pPr>
        <w:rPr>
          <w:b/>
          <w:bCs/>
        </w:rPr>
      </w:pPr>
      <w:r>
        <w:rPr>
          <w:b/>
          <w:bCs/>
        </w:rPr>
        <w:lastRenderedPageBreak/>
        <w:t xml:space="preserve">Can you always </w:t>
      </w:r>
      <w:proofErr w:type="gramStart"/>
      <w:r>
        <w:rPr>
          <w:b/>
          <w:bCs/>
        </w:rPr>
        <w:t>found</w:t>
      </w:r>
      <w:proofErr w:type="gramEnd"/>
      <w:r>
        <w:rPr>
          <w:b/>
          <w:bCs/>
        </w:rPr>
        <w:t xml:space="preserve"> the parking place during the delivery?</w:t>
      </w:r>
    </w:p>
    <w:p w14:paraId="4E91E394" w14:textId="77777777" w:rsidR="005400D8" w:rsidRPr="00C8007C" w:rsidRDefault="005400D8" w:rsidP="005400D8">
      <w:pPr>
        <w:rPr>
          <w:b/>
          <w:bCs/>
        </w:rPr>
      </w:pPr>
      <w:proofErr w:type="gramStart"/>
      <w:r w:rsidRPr="00A014FD">
        <w:t>It’s</w:t>
      </w:r>
      <w:proofErr w:type="gramEnd"/>
      <w:r w:rsidRPr="00A014FD">
        <w:t xml:space="preserve"> a mix, sometimes you in the garage and sometimes on the street. And we have places on the street where to park, </w:t>
      </w:r>
      <w:proofErr w:type="gramStart"/>
      <w:r w:rsidRPr="00A014FD">
        <w:t>If</w:t>
      </w:r>
      <w:proofErr w:type="gramEnd"/>
      <w:r w:rsidRPr="00A014FD">
        <w:t xml:space="preserve"> it's free, you can park there, if there's another truck IT's parking there, you have to wait until he's leaving. or parking in other area. I think this is influence the traffic. </w:t>
      </w:r>
    </w:p>
    <w:p w14:paraId="010940AC" w14:textId="53D850C2" w:rsidR="005400D8" w:rsidRPr="00A014FD" w:rsidRDefault="0000015A" w:rsidP="005400D8">
      <w:pPr>
        <w:spacing w:before="240" w:after="240"/>
      </w:pPr>
      <w:r>
        <w:t xml:space="preserve">Interview with </w:t>
      </w:r>
      <w:proofErr w:type="gramStart"/>
      <w:r>
        <w:t>Bring</w:t>
      </w:r>
      <w:proofErr w:type="gramEnd"/>
    </w:p>
    <w:p w14:paraId="105A7E6D" w14:textId="77777777" w:rsidR="005400D8" w:rsidRPr="00A014FD" w:rsidRDefault="005400D8" w:rsidP="005400D8">
      <w:pPr>
        <w:spacing w:before="240" w:after="240"/>
        <w:rPr>
          <w:rFonts w:eastAsia="宋体"/>
          <w:b/>
          <w:bCs/>
        </w:rPr>
      </w:pPr>
      <w:r w:rsidRPr="00A014FD">
        <w:rPr>
          <w:rFonts w:eastAsia="宋体"/>
          <w:b/>
          <w:bCs/>
        </w:rPr>
        <w:t>What is your job title, and what is your responsibility in UCC?</w:t>
      </w:r>
    </w:p>
    <w:p w14:paraId="7AB0D6CA" w14:textId="77777777" w:rsidR="005400D8" w:rsidRPr="00A014FD" w:rsidRDefault="005400D8" w:rsidP="005400D8">
      <w:pPr>
        <w:spacing w:before="240" w:after="240"/>
        <w:rPr>
          <w:rFonts w:eastAsia="宋体"/>
        </w:rPr>
      </w:pPr>
      <w:r w:rsidRPr="00A014FD">
        <w:rPr>
          <w:rFonts w:eastAsia="宋体"/>
        </w:rPr>
        <w:t xml:space="preserve">Head of the communication for Bring in Sweden, (the job) is PR for internal </w:t>
      </w:r>
      <w:r>
        <w:rPr>
          <w:rFonts w:eastAsia="宋体"/>
        </w:rPr>
        <w:t xml:space="preserve">&amp; </w:t>
      </w:r>
      <w:r w:rsidRPr="00A014FD">
        <w:rPr>
          <w:rFonts w:eastAsia="宋体"/>
        </w:rPr>
        <w:t xml:space="preserve">external communication. I am working with market here at Bring. We together with the </w:t>
      </w:r>
      <w:proofErr w:type="spellStart"/>
      <w:r w:rsidRPr="00A014FD">
        <w:rPr>
          <w:rFonts w:eastAsia="宋体"/>
        </w:rPr>
        <w:t>cecilia</w:t>
      </w:r>
      <w:proofErr w:type="spellEnd"/>
      <w:r w:rsidRPr="00A014FD">
        <w:rPr>
          <w:rFonts w:eastAsia="宋体"/>
        </w:rPr>
        <w:t xml:space="preserve"> and another girl called </w:t>
      </w:r>
      <w:r>
        <w:rPr>
          <w:rFonts w:eastAsia="宋体" w:hint="eastAsia"/>
        </w:rPr>
        <w:t>J</w:t>
      </w:r>
      <w:r w:rsidRPr="00A014FD">
        <w:rPr>
          <w:rFonts w:eastAsia="宋体"/>
        </w:rPr>
        <w:t xml:space="preserve">enny in Range-sells, put together the concept, we get a start the project. </w:t>
      </w:r>
    </w:p>
    <w:p w14:paraId="6D2CF040" w14:textId="77777777" w:rsidR="005400D8" w:rsidRPr="00A014FD" w:rsidRDefault="005400D8" w:rsidP="005400D8">
      <w:pPr>
        <w:spacing w:before="240" w:after="240"/>
        <w:rPr>
          <w:rFonts w:eastAsia="宋体"/>
          <w:b/>
          <w:bCs/>
        </w:rPr>
      </w:pPr>
      <w:r w:rsidRPr="00A014FD">
        <w:rPr>
          <w:rFonts w:eastAsia="宋体"/>
          <w:b/>
          <w:bCs/>
        </w:rPr>
        <w:t>Do you know how the UCC works?</w:t>
      </w:r>
    </w:p>
    <w:p w14:paraId="7009C49A" w14:textId="77777777" w:rsidR="005400D8" w:rsidRPr="00A014FD" w:rsidRDefault="005400D8" w:rsidP="005400D8">
      <w:pPr>
        <w:spacing w:before="240" w:after="240"/>
        <w:rPr>
          <w:rFonts w:eastAsia="宋体"/>
        </w:rPr>
      </w:pPr>
      <w:r w:rsidRPr="00A014FD">
        <w:rPr>
          <w:rFonts w:eastAsia="宋体"/>
        </w:rPr>
        <w:t xml:space="preserve">I am not expert in the goods delivery or good handling.  I know the basics of it. </w:t>
      </w:r>
      <w:r>
        <w:rPr>
          <w:rFonts w:eastAsia="宋体" w:hint="eastAsia"/>
        </w:rPr>
        <w:t>B</w:t>
      </w:r>
      <w:r w:rsidRPr="00A014FD">
        <w:rPr>
          <w:rFonts w:eastAsia="宋体"/>
        </w:rPr>
        <w:t>ut not in the details.</w:t>
      </w:r>
    </w:p>
    <w:p w14:paraId="41C843CD" w14:textId="77777777" w:rsidR="005400D8" w:rsidRDefault="005400D8" w:rsidP="005400D8">
      <w:pPr>
        <w:spacing w:before="240" w:after="240"/>
        <w:rPr>
          <w:rFonts w:eastAsia="宋体"/>
          <w:b/>
          <w:bCs/>
        </w:rPr>
      </w:pPr>
      <w:r w:rsidRPr="00A014FD">
        <w:rPr>
          <w:rFonts w:eastAsia="宋体"/>
          <w:b/>
          <w:bCs/>
        </w:rPr>
        <w:t xml:space="preserve">How long have you been working for </w:t>
      </w:r>
      <w:proofErr w:type="gramStart"/>
      <w:r w:rsidRPr="00A014FD">
        <w:rPr>
          <w:rFonts w:eastAsia="宋体"/>
          <w:b/>
          <w:bCs/>
        </w:rPr>
        <w:t>this project</w:t>
      </w:r>
      <w:proofErr w:type="gramEnd"/>
    </w:p>
    <w:p w14:paraId="3ADDF30E" w14:textId="77777777" w:rsidR="005400D8" w:rsidRPr="005C6B1D" w:rsidRDefault="005400D8" w:rsidP="005400D8">
      <w:pPr>
        <w:spacing w:before="240" w:after="240"/>
        <w:rPr>
          <w:rFonts w:eastAsia="宋体"/>
          <w:b/>
          <w:bCs/>
        </w:rPr>
      </w:pPr>
      <w:r w:rsidRPr="00A014FD">
        <w:rPr>
          <w:rFonts w:eastAsia="宋体"/>
        </w:rPr>
        <w:t xml:space="preserve">I work in this business model us since it started. it goes back in autumn </w:t>
      </w:r>
      <w:r>
        <w:rPr>
          <w:rFonts w:eastAsia="宋体" w:hint="eastAsia"/>
        </w:rPr>
        <w:t>2016</w:t>
      </w:r>
      <w:r w:rsidRPr="00A014FD">
        <w:rPr>
          <w:rFonts w:eastAsia="宋体"/>
        </w:rPr>
        <w:t xml:space="preserve">, we started to work together with </w:t>
      </w:r>
      <w:proofErr w:type="spellStart"/>
      <w:r w:rsidRPr="00A014FD">
        <w:rPr>
          <w:rFonts w:eastAsia="宋体"/>
        </w:rPr>
        <w:t>ragn</w:t>
      </w:r>
      <w:proofErr w:type="spellEnd"/>
      <w:r w:rsidRPr="00A014FD">
        <w:rPr>
          <w:rFonts w:eastAsia="宋体"/>
        </w:rPr>
        <w:t>-sells.</w:t>
      </w:r>
    </w:p>
    <w:p w14:paraId="6FC222EB" w14:textId="77777777" w:rsidR="005400D8" w:rsidRPr="00A014FD" w:rsidRDefault="005400D8" w:rsidP="005400D8">
      <w:pPr>
        <w:rPr>
          <w:b/>
          <w:bCs/>
        </w:rPr>
      </w:pPr>
      <w:r w:rsidRPr="00A014FD">
        <w:rPr>
          <w:b/>
          <w:bCs/>
        </w:rPr>
        <w:lastRenderedPageBreak/>
        <w:t>These indicators are from previous studies, which do you this is relevant with the UCC’s performance?</w:t>
      </w:r>
    </w:p>
    <w:p w14:paraId="05C2927A" w14:textId="77777777" w:rsidR="005400D8" w:rsidRPr="00A014FD" w:rsidRDefault="005400D8" w:rsidP="005400D8">
      <w:r w:rsidRPr="00A014FD">
        <w:t>(Tick in the questionnaire)</w:t>
      </w:r>
    </w:p>
    <w:p w14:paraId="147A049A" w14:textId="77777777" w:rsidR="005400D8" w:rsidRPr="00A014FD" w:rsidRDefault="005400D8" w:rsidP="005400D8">
      <w:pPr>
        <w:rPr>
          <w:b/>
          <w:bCs/>
        </w:rPr>
      </w:pPr>
      <w:r w:rsidRPr="00A014FD">
        <w:rPr>
          <w:b/>
          <w:bCs/>
        </w:rPr>
        <w:t>Which indicators are relevant with your job?</w:t>
      </w:r>
    </w:p>
    <w:p w14:paraId="280F36DA" w14:textId="77777777" w:rsidR="005400D8" w:rsidRPr="00A014FD" w:rsidRDefault="005400D8" w:rsidP="005400D8">
      <w:r w:rsidRPr="00A014FD">
        <w:t>(Tick in the questionnaire)</w:t>
      </w:r>
    </w:p>
    <w:p w14:paraId="6AB817CB" w14:textId="77777777" w:rsidR="005400D8" w:rsidRPr="00A014FD" w:rsidRDefault="005400D8" w:rsidP="005400D8">
      <w:pPr>
        <w:pStyle w:val="HTMLPreformatted"/>
        <w:shd w:val="clear" w:color="auto" w:fill="FFFFFF"/>
        <w:spacing w:line="360" w:lineRule="auto"/>
        <w:jc w:val="both"/>
        <w:rPr>
          <w:rFonts w:ascii="Times New Roman" w:hAnsi="Times New Roman" w:cs="Times New Roman"/>
          <w:b/>
          <w:bCs/>
          <w:sz w:val="24"/>
          <w:szCs w:val="24"/>
        </w:rPr>
      </w:pPr>
      <w:r w:rsidRPr="00A014FD">
        <w:rPr>
          <w:rFonts w:ascii="Times New Roman" w:hAnsi="Times New Roman" w:cs="Times New Roman"/>
          <w:b/>
          <w:bCs/>
          <w:sz w:val="24"/>
          <w:szCs w:val="24"/>
        </w:rPr>
        <w:t>Annual Operating Cost</w:t>
      </w:r>
    </w:p>
    <w:p w14:paraId="3375B557" w14:textId="77777777" w:rsidR="005400D8" w:rsidRPr="00A014FD" w:rsidRDefault="005400D8" w:rsidP="005400D8">
      <w:pPr>
        <w:pStyle w:val="HTMLPreformatted"/>
        <w:shd w:val="clear" w:color="auto" w:fill="FFFFFF"/>
        <w:spacing w:line="360" w:lineRule="auto"/>
        <w:jc w:val="both"/>
        <w:rPr>
          <w:rFonts w:ascii="Times New Roman" w:hAnsi="Times New Roman" w:cs="Times New Roman"/>
          <w:sz w:val="24"/>
          <w:szCs w:val="24"/>
        </w:rPr>
      </w:pPr>
      <w:r w:rsidRPr="00A014FD">
        <w:rPr>
          <w:rFonts w:ascii="Times New Roman" w:hAnsi="Times New Roman" w:cs="Times New Roman"/>
          <w:sz w:val="24"/>
          <w:szCs w:val="24"/>
        </w:rPr>
        <w:t xml:space="preserve">The payment to </w:t>
      </w:r>
      <w:proofErr w:type="spellStart"/>
      <w:r w:rsidRPr="00A014FD">
        <w:rPr>
          <w:rFonts w:ascii="Times New Roman" w:hAnsi="Times New Roman" w:cs="Times New Roman"/>
          <w:sz w:val="24"/>
          <w:szCs w:val="24"/>
        </w:rPr>
        <w:t>Ragn</w:t>
      </w:r>
      <w:proofErr w:type="spellEnd"/>
      <w:r w:rsidRPr="00A014FD">
        <w:rPr>
          <w:rFonts w:ascii="Times New Roman" w:hAnsi="Times New Roman" w:cs="Times New Roman"/>
          <w:sz w:val="24"/>
          <w:szCs w:val="24"/>
        </w:rPr>
        <w:t xml:space="preserve">-sells is equal to the cost saving, we're okay when we feel the cost (to deliver) more </w:t>
      </w:r>
      <w:proofErr w:type="gramStart"/>
      <w:r w:rsidRPr="00A014FD">
        <w:rPr>
          <w:rFonts w:ascii="Times New Roman" w:hAnsi="Times New Roman" w:cs="Times New Roman"/>
          <w:sz w:val="24"/>
          <w:szCs w:val="24"/>
        </w:rPr>
        <w:t>parcel</w:t>
      </w:r>
      <w:proofErr w:type="gramEnd"/>
      <w:r w:rsidRPr="00A014FD">
        <w:rPr>
          <w:rFonts w:ascii="Times New Roman" w:hAnsi="Times New Roman" w:cs="Times New Roman"/>
          <w:sz w:val="24"/>
          <w:szCs w:val="24"/>
        </w:rPr>
        <w:t xml:space="preserve"> lower the costs. The thing is that it </w:t>
      </w:r>
      <w:proofErr w:type="gramStart"/>
      <w:r w:rsidRPr="00A014FD">
        <w:rPr>
          <w:rFonts w:ascii="Times New Roman" w:hAnsi="Times New Roman" w:cs="Times New Roman"/>
          <w:sz w:val="24"/>
          <w:szCs w:val="24"/>
        </w:rPr>
        <w:t>doesn't</w:t>
      </w:r>
      <w:proofErr w:type="gramEnd"/>
      <w:r w:rsidRPr="00A014FD">
        <w:rPr>
          <w:rFonts w:ascii="Times New Roman" w:hAnsi="Times New Roman" w:cs="Times New Roman"/>
          <w:sz w:val="24"/>
          <w:szCs w:val="24"/>
        </w:rPr>
        <w:t xml:space="preserve"> cost more today than it did yesterday</w:t>
      </w:r>
      <w:r>
        <w:rPr>
          <w:rFonts w:asciiTheme="minorEastAsia" w:eastAsiaTheme="minorEastAsia" w:hAnsiTheme="minorEastAsia" w:cs="Times New Roman" w:hint="eastAsia"/>
          <w:sz w:val="24"/>
          <w:szCs w:val="24"/>
        </w:rPr>
        <w:t>.</w:t>
      </w:r>
    </w:p>
    <w:p w14:paraId="45BAA857" w14:textId="77777777" w:rsidR="005400D8" w:rsidRDefault="005400D8" w:rsidP="005400D8">
      <w:pPr>
        <w:pStyle w:val="HTMLPreformatted"/>
        <w:shd w:val="clear" w:color="auto" w:fill="FFFFFF"/>
        <w:spacing w:line="360" w:lineRule="auto"/>
        <w:jc w:val="both"/>
        <w:rPr>
          <w:rFonts w:ascii="Times New Roman" w:hAnsi="Times New Roman" w:cs="Times New Roman"/>
          <w:b/>
          <w:bCs/>
          <w:sz w:val="24"/>
          <w:szCs w:val="24"/>
        </w:rPr>
      </w:pPr>
    </w:p>
    <w:p w14:paraId="24D8F45D" w14:textId="77777777" w:rsidR="005400D8" w:rsidRDefault="005400D8" w:rsidP="005400D8">
      <w:pPr>
        <w:pStyle w:val="HTMLPreformatted"/>
        <w:shd w:val="clear" w:color="auto" w:fill="FFFFFF"/>
        <w:spacing w:line="360" w:lineRule="auto"/>
        <w:jc w:val="both"/>
        <w:rPr>
          <w:rFonts w:ascii="Times New Roman" w:hAnsi="Times New Roman" w:cs="Times New Roman"/>
          <w:b/>
          <w:bCs/>
          <w:sz w:val="24"/>
          <w:szCs w:val="24"/>
        </w:rPr>
      </w:pPr>
    </w:p>
    <w:p w14:paraId="322356B3" w14:textId="77777777" w:rsidR="005400D8" w:rsidRDefault="005400D8" w:rsidP="005400D8">
      <w:pPr>
        <w:pStyle w:val="HTMLPreformatted"/>
        <w:shd w:val="clear" w:color="auto" w:fill="FFFFFF"/>
        <w:spacing w:line="360" w:lineRule="auto"/>
        <w:jc w:val="both"/>
        <w:rPr>
          <w:rFonts w:ascii="Times New Roman" w:hAnsi="Times New Roman" w:cs="Times New Roman"/>
          <w:b/>
          <w:bCs/>
          <w:sz w:val="24"/>
          <w:szCs w:val="24"/>
        </w:rPr>
      </w:pPr>
    </w:p>
    <w:p w14:paraId="10C1CC60" w14:textId="77777777" w:rsidR="005400D8" w:rsidRPr="00A014FD" w:rsidRDefault="005400D8" w:rsidP="005400D8">
      <w:pPr>
        <w:pStyle w:val="HTMLPreformatted"/>
        <w:shd w:val="clear" w:color="auto" w:fill="FFFFFF"/>
        <w:spacing w:line="360" w:lineRule="auto"/>
        <w:jc w:val="both"/>
        <w:rPr>
          <w:rFonts w:ascii="Times New Roman" w:hAnsi="Times New Roman" w:cs="Times New Roman"/>
          <w:b/>
          <w:bCs/>
          <w:sz w:val="24"/>
          <w:szCs w:val="24"/>
        </w:rPr>
      </w:pPr>
      <w:r w:rsidRPr="00A014FD">
        <w:rPr>
          <w:rFonts w:ascii="Times New Roman" w:hAnsi="Times New Roman" w:cs="Times New Roman"/>
          <w:b/>
          <w:bCs/>
          <w:sz w:val="24"/>
          <w:szCs w:val="24"/>
        </w:rPr>
        <w:t>Typical Delivery Price</w:t>
      </w:r>
    </w:p>
    <w:p w14:paraId="75CA2CF4" w14:textId="77777777" w:rsidR="005400D8" w:rsidRPr="00A014FD" w:rsidRDefault="005400D8" w:rsidP="005400D8">
      <w:pPr>
        <w:pStyle w:val="HTMLPreformatted"/>
        <w:shd w:val="clear" w:color="auto" w:fill="FFFFFF"/>
        <w:spacing w:line="360" w:lineRule="auto"/>
        <w:jc w:val="both"/>
        <w:rPr>
          <w:rFonts w:ascii="Times New Roman" w:hAnsi="Times New Roman" w:cs="Times New Roman"/>
          <w:sz w:val="24"/>
          <w:szCs w:val="24"/>
        </w:rPr>
      </w:pPr>
      <w:r w:rsidRPr="00A014FD">
        <w:rPr>
          <w:rFonts w:ascii="Times New Roman" w:hAnsi="Times New Roman" w:cs="Times New Roman"/>
          <w:sz w:val="24"/>
          <w:szCs w:val="24"/>
        </w:rPr>
        <w:t xml:space="preserve">The (value of) money we pay to </w:t>
      </w:r>
      <w:proofErr w:type="spellStart"/>
      <w:r w:rsidRPr="00A014FD">
        <w:rPr>
          <w:rFonts w:ascii="Times New Roman" w:hAnsi="Times New Roman" w:cs="Times New Roman"/>
          <w:sz w:val="24"/>
          <w:szCs w:val="24"/>
        </w:rPr>
        <w:t>Ragen</w:t>
      </w:r>
      <w:proofErr w:type="spellEnd"/>
      <w:r w:rsidRPr="00A014FD">
        <w:rPr>
          <w:rFonts w:ascii="Times New Roman" w:hAnsi="Times New Roman" w:cs="Times New Roman"/>
          <w:sz w:val="24"/>
          <w:szCs w:val="24"/>
        </w:rPr>
        <w:t xml:space="preserve">-sells is through negotiation. They agree with the price, my company pays according to the invoice. The money we pay to </w:t>
      </w:r>
      <w:proofErr w:type="spellStart"/>
      <w:r w:rsidRPr="00A014FD">
        <w:rPr>
          <w:rFonts w:ascii="Times New Roman" w:hAnsi="Times New Roman" w:cs="Times New Roman"/>
          <w:sz w:val="24"/>
          <w:szCs w:val="24"/>
        </w:rPr>
        <w:t>Ragen</w:t>
      </w:r>
      <w:proofErr w:type="spellEnd"/>
      <w:r w:rsidRPr="00A014FD">
        <w:rPr>
          <w:rFonts w:ascii="Times New Roman" w:hAnsi="Times New Roman" w:cs="Times New Roman"/>
          <w:sz w:val="24"/>
          <w:szCs w:val="24"/>
        </w:rPr>
        <w:t>-sells is the same as we saved in this project.</w:t>
      </w:r>
    </w:p>
    <w:p w14:paraId="682B81AD" w14:textId="77777777" w:rsidR="005400D8" w:rsidRPr="00A014FD" w:rsidRDefault="005400D8" w:rsidP="005400D8">
      <w:pPr>
        <w:pStyle w:val="HTMLPreformatted"/>
        <w:shd w:val="clear" w:color="auto" w:fill="FFFFFF"/>
        <w:spacing w:line="360" w:lineRule="auto"/>
        <w:jc w:val="both"/>
        <w:rPr>
          <w:rFonts w:ascii="Times New Roman" w:hAnsi="Times New Roman" w:cs="Times New Roman"/>
          <w:b/>
          <w:bCs/>
          <w:sz w:val="24"/>
          <w:szCs w:val="24"/>
        </w:rPr>
      </w:pPr>
      <w:r w:rsidRPr="00A014FD">
        <w:rPr>
          <w:rFonts w:ascii="Times New Roman" w:hAnsi="Times New Roman" w:cs="Times New Roman"/>
          <w:b/>
          <w:bCs/>
          <w:sz w:val="24"/>
          <w:szCs w:val="24"/>
        </w:rPr>
        <w:t xml:space="preserve">Infrastructure Surface Usage Rate </w:t>
      </w:r>
    </w:p>
    <w:p w14:paraId="681ABF8F" w14:textId="77777777" w:rsidR="005400D8" w:rsidRPr="00A014FD" w:rsidRDefault="005400D8" w:rsidP="005400D8">
      <w:r w:rsidRPr="00A014FD">
        <w:t xml:space="preserve">(This indicator is not involved interviewees’ job).                                                                                                                                                                                                                                                                                                                                                                                                                                                                                                  </w:t>
      </w:r>
    </w:p>
    <w:p w14:paraId="6533B880" w14:textId="77777777" w:rsidR="005400D8" w:rsidRPr="00A014FD" w:rsidRDefault="005400D8" w:rsidP="005400D8">
      <w:pPr>
        <w:pStyle w:val="HTMLPreformatted"/>
        <w:shd w:val="clear" w:color="auto" w:fill="FFFFFF"/>
        <w:spacing w:line="360" w:lineRule="auto"/>
        <w:jc w:val="both"/>
        <w:rPr>
          <w:rFonts w:ascii="Times New Roman" w:hAnsi="Times New Roman" w:cs="Times New Roman"/>
          <w:b/>
          <w:bCs/>
          <w:sz w:val="24"/>
          <w:szCs w:val="24"/>
        </w:rPr>
      </w:pPr>
      <w:r w:rsidRPr="00A014FD">
        <w:rPr>
          <w:rFonts w:ascii="Times New Roman" w:hAnsi="Times New Roman" w:cs="Times New Roman"/>
          <w:b/>
          <w:bCs/>
          <w:sz w:val="24"/>
          <w:szCs w:val="24"/>
        </w:rPr>
        <w:t>Delivery accurate rate</w:t>
      </w:r>
    </w:p>
    <w:p w14:paraId="0C39E164" w14:textId="77777777" w:rsidR="005400D8" w:rsidRPr="00A014FD" w:rsidRDefault="005400D8" w:rsidP="005400D8">
      <w:proofErr w:type="spellStart"/>
      <w:r w:rsidRPr="00A014FD">
        <w:t>Ragn</w:t>
      </w:r>
      <w:proofErr w:type="spellEnd"/>
      <w:r w:rsidRPr="00A014FD">
        <w:t xml:space="preserve">-sells must meet the requirement of service quality. They have the same quality service as us. </w:t>
      </w:r>
    </w:p>
    <w:p w14:paraId="23887978" w14:textId="77777777" w:rsidR="005400D8" w:rsidRPr="00A014FD" w:rsidRDefault="005400D8" w:rsidP="005400D8">
      <w:pPr>
        <w:pStyle w:val="HTMLPreformatted"/>
        <w:shd w:val="clear" w:color="auto" w:fill="FFFFFF"/>
        <w:spacing w:line="360" w:lineRule="auto"/>
        <w:jc w:val="both"/>
        <w:rPr>
          <w:rFonts w:ascii="Times New Roman" w:hAnsi="Times New Roman" w:cs="Times New Roman"/>
          <w:b/>
          <w:bCs/>
          <w:sz w:val="24"/>
          <w:szCs w:val="24"/>
        </w:rPr>
      </w:pPr>
      <w:r w:rsidRPr="00A014FD">
        <w:rPr>
          <w:rFonts w:ascii="Times New Roman" w:hAnsi="Times New Roman" w:cs="Times New Roman"/>
          <w:b/>
          <w:bCs/>
          <w:sz w:val="24"/>
          <w:szCs w:val="24"/>
        </w:rPr>
        <w:t>Lead Time of Delivery Goods from UCC to its Users</w:t>
      </w:r>
    </w:p>
    <w:p w14:paraId="45A8B6A7" w14:textId="77777777" w:rsidR="005400D8" w:rsidRPr="00A014FD" w:rsidRDefault="005400D8" w:rsidP="005400D8">
      <w:proofErr w:type="spellStart"/>
      <w:r w:rsidRPr="00A014FD">
        <w:t>Ragn</w:t>
      </w:r>
      <w:proofErr w:type="spellEnd"/>
      <w:r w:rsidRPr="00A014FD">
        <w:t xml:space="preserve">-sells can delivery all the goods according to the time schedule. UCC business does not significantly influence the lead time of </w:t>
      </w:r>
      <w:proofErr w:type="gramStart"/>
      <w:r w:rsidRPr="00A014FD">
        <w:t>last-mile</w:t>
      </w:r>
      <w:proofErr w:type="gramEnd"/>
      <w:r w:rsidRPr="00A014FD">
        <w:t xml:space="preserve"> delivery</w:t>
      </w:r>
    </w:p>
    <w:p w14:paraId="7473F823" w14:textId="77777777" w:rsidR="005400D8" w:rsidRPr="00A014FD" w:rsidRDefault="005400D8" w:rsidP="005400D8">
      <w:pPr>
        <w:spacing w:before="240" w:after="240"/>
        <w:rPr>
          <w:rFonts w:eastAsia="宋体"/>
          <w:b/>
          <w:bCs/>
        </w:rPr>
      </w:pPr>
      <w:r w:rsidRPr="00A014FD">
        <w:rPr>
          <w:rFonts w:eastAsia="宋体"/>
          <w:b/>
          <w:bCs/>
        </w:rPr>
        <w:lastRenderedPageBreak/>
        <w:t>Filling the multiple-choice form.</w:t>
      </w:r>
    </w:p>
    <w:p w14:paraId="20033DE5" w14:textId="77777777" w:rsidR="005400D8" w:rsidRPr="00A014FD" w:rsidRDefault="005400D8" w:rsidP="005400D8">
      <w:pPr>
        <w:spacing w:before="240" w:after="240"/>
        <w:rPr>
          <w:rFonts w:eastAsia="宋体"/>
          <w:b/>
          <w:bCs/>
        </w:rPr>
      </w:pPr>
      <w:r w:rsidRPr="00A014FD">
        <w:rPr>
          <w:rFonts w:eastAsia="宋体"/>
          <w:b/>
          <w:bCs/>
        </w:rPr>
        <w:t>Are there any other companies you want to cooperate?</w:t>
      </w:r>
    </w:p>
    <w:p w14:paraId="376A3250" w14:textId="77777777" w:rsidR="005400D8" w:rsidRPr="00A014FD" w:rsidRDefault="005400D8" w:rsidP="005400D8">
      <w:pPr>
        <w:spacing w:before="240" w:after="240"/>
        <w:rPr>
          <w:rFonts w:eastAsia="宋体"/>
        </w:rPr>
      </w:pPr>
      <w:r w:rsidRPr="00A014FD">
        <w:rPr>
          <w:rFonts w:eastAsia="宋体"/>
        </w:rPr>
        <w:t xml:space="preserve">Of course, </w:t>
      </w:r>
      <w:proofErr w:type="gramStart"/>
      <w:r w:rsidRPr="00A014FD">
        <w:rPr>
          <w:rFonts w:eastAsia="宋体"/>
        </w:rPr>
        <w:t>that's</w:t>
      </w:r>
      <w:proofErr w:type="gramEnd"/>
      <w:r w:rsidRPr="00A014FD">
        <w:rPr>
          <w:rFonts w:eastAsia="宋体"/>
        </w:rPr>
        <w:t xml:space="preserve"> one of our missions in this project that we want to involve other business into this model. Because we're doing this together, to ask set a collaboration </w:t>
      </w:r>
      <w:r w:rsidRPr="00A014FD">
        <w:rPr>
          <w:rFonts w:eastAsia="宋体"/>
        </w:rPr>
        <w:t>（</w:t>
      </w:r>
      <w:r w:rsidRPr="00A014FD">
        <w:rPr>
          <w:rFonts w:eastAsia="宋体"/>
        </w:rPr>
        <w:t>with more companies</w:t>
      </w:r>
      <w:r w:rsidRPr="00A014FD">
        <w:rPr>
          <w:rFonts w:eastAsia="宋体"/>
        </w:rPr>
        <w:t>）</w:t>
      </w:r>
      <w:r w:rsidRPr="00A014FD">
        <w:rPr>
          <w:rFonts w:eastAsia="宋体"/>
        </w:rPr>
        <w:t xml:space="preserve">, not only one project that wants to involve more companies and make both business and the citizens in the city's that are committed to that we have do something for our cities, because they are growing transport of goods, out of the city and in the city area is growing as well. </w:t>
      </w:r>
      <w:proofErr w:type="gramStart"/>
      <w:r w:rsidRPr="00A014FD">
        <w:rPr>
          <w:rFonts w:eastAsia="宋体"/>
        </w:rPr>
        <w:t>So</w:t>
      </w:r>
      <w:proofErr w:type="gramEnd"/>
      <w:r w:rsidRPr="00A014FD">
        <w:rPr>
          <w:rFonts w:eastAsia="宋体"/>
        </w:rPr>
        <w:t xml:space="preserve"> we have to do something. IT's not sustainable to have, two, three or four five different logistic companies driving in the cities and living one person here and one person there. So, if we could combine it, </w:t>
      </w:r>
      <w:proofErr w:type="gramStart"/>
      <w:r w:rsidRPr="00A014FD">
        <w:rPr>
          <w:rFonts w:eastAsia="宋体"/>
        </w:rPr>
        <w:t>IT's</w:t>
      </w:r>
      <w:proofErr w:type="gramEnd"/>
      <w:r w:rsidRPr="00A014FD">
        <w:rPr>
          <w:rFonts w:eastAsia="宋体"/>
        </w:rPr>
        <w:t xml:space="preserve"> perfect, and do it with less emissions and so on.</w:t>
      </w:r>
    </w:p>
    <w:p w14:paraId="001902C7" w14:textId="77777777" w:rsidR="005400D8" w:rsidRPr="00A014FD" w:rsidRDefault="005400D8" w:rsidP="005400D8">
      <w:pPr>
        <w:spacing w:before="240" w:after="240"/>
        <w:rPr>
          <w:rFonts w:eastAsia="宋体"/>
        </w:rPr>
      </w:pPr>
      <w:proofErr w:type="gramStart"/>
      <w:r w:rsidRPr="00A014FD">
        <w:rPr>
          <w:rFonts w:eastAsia="宋体"/>
        </w:rPr>
        <w:t>So</w:t>
      </w:r>
      <w:proofErr w:type="gramEnd"/>
      <w:r w:rsidRPr="00A014FD">
        <w:rPr>
          <w:rFonts w:eastAsia="宋体"/>
        </w:rPr>
        <w:t xml:space="preserve"> our expectation for the whole program together for the future (if more companies join.) We want to have the same high quality on our delivery with the </w:t>
      </w:r>
      <w:proofErr w:type="spellStart"/>
      <w:r w:rsidRPr="00A014FD">
        <w:rPr>
          <w:rFonts w:eastAsia="宋体"/>
        </w:rPr>
        <w:t>ragn</w:t>
      </w:r>
      <w:proofErr w:type="spellEnd"/>
      <w:r w:rsidRPr="00A014FD">
        <w:rPr>
          <w:rFonts w:eastAsia="宋体"/>
        </w:rPr>
        <w:t xml:space="preserve">-cells, the service of </w:t>
      </w:r>
      <w:proofErr w:type="spellStart"/>
      <w:r w:rsidRPr="00A014FD">
        <w:rPr>
          <w:rFonts w:eastAsia="宋体"/>
        </w:rPr>
        <w:t>ragn</w:t>
      </w:r>
      <w:proofErr w:type="spellEnd"/>
      <w:r w:rsidRPr="00A014FD">
        <w:rPr>
          <w:rFonts w:eastAsia="宋体"/>
        </w:rPr>
        <w:t xml:space="preserve">-sells is equal as we do it. We cannot </w:t>
      </w:r>
      <w:proofErr w:type="gramStart"/>
      <w:r w:rsidRPr="00A014FD">
        <w:rPr>
          <w:rFonts w:eastAsia="宋体"/>
        </w:rPr>
        <w:t>found</w:t>
      </w:r>
      <w:proofErr w:type="gramEnd"/>
      <w:r w:rsidRPr="00A014FD">
        <w:rPr>
          <w:rFonts w:eastAsia="宋体"/>
        </w:rPr>
        <w:t xml:space="preserve"> the same (companies who can do it the same as us). </w:t>
      </w:r>
      <w:proofErr w:type="gramStart"/>
      <w:r w:rsidRPr="00A014FD">
        <w:rPr>
          <w:rFonts w:eastAsia="宋体"/>
        </w:rPr>
        <w:t>that's</w:t>
      </w:r>
      <w:proofErr w:type="gramEnd"/>
      <w:r w:rsidRPr="00A014FD">
        <w:rPr>
          <w:rFonts w:eastAsia="宋体"/>
        </w:rPr>
        <w:t xml:space="preserve"> why we do not do this (with other companies).  another is the environmental </w:t>
      </w:r>
      <w:proofErr w:type="gramStart"/>
      <w:r w:rsidRPr="00A014FD">
        <w:rPr>
          <w:rFonts w:eastAsia="宋体"/>
        </w:rPr>
        <w:t>factor,</w:t>
      </w:r>
      <w:proofErr w:type="gramEnd"/>
      <w:r w:rsidRPr="00A014FD">
        <w:rPr>
          <w:rFonts w:eastAsia="宋体"/>
        </w:rPr>
        <w:t xml:space="preserve"> we hope to reduce the emission.</w:t>
      </w:r>
    </w:p>
    <w:p w14:paraId="5A8C4C5B" w14:textId="77777777" w:rsidR="005400D8" w:rsidRPr="00A014FD" w:rsidRDefault="005400D8" w:rsidP="005400D8">
      <w:pPr>
        <w:spacing w:before="240" w:after="240"/>
        <w:rPr>
          <w:rFonts w:eastAsia="宋体"/>
          <w:b/>
          <w:bCs/>
        </w:rPr>
      </w:pPr>
      <w:r w:rsidRPr="00A014FD">
        <w:rPr>
          <w:rFonts w:eastAsia="宋体"/>
          <w:b/>
          <w:bCs/>
        </w:rPr>
        <w:t xml:space="preserve">Have you received any complaint from </w:t>
      </w:r>
      <w:proofErr w:type="spellStart"/>
      <w:r w:rsidRPr="00A014FD">
        <w:rPr>
          <w:rFonts w:eastAsia="宋体"/>
          <w:b/>
          <w:bCs/>
        </w:rPr>
        <w:t>Ragn</w:t>
      </w:r>
      <w:proofErr w:type="spellEnd"/>
      <w:r w:rsidRPr="00A014FD">
        <w:rPr>
          <w:rFonts w:eastAsia="宋体"/>
          <w:b/>
          <w:bCs/>
        </w:rPr>
        <w:t xml:space="preserve">-sells about the goods arriving process? </w:t>
      </w:r>
    </w:p>
    <w:p w14:paraId="535A2483" w14:textId="77777777" w:rsidR="005400D8" w:rsidRPr="00A014FD" w:rsidRDefault="005400D8" w:rsidP="005400D8">
      <w:pPr>
        <w:spacing w:before="240" w:after="240"/>
        <w:rPr>
          <w:rFonts w:eastAsia="宋体"/>
        </w:rPr>
      </w:pPr>
      <w:r w:rsidRPr="00A014FD">
        <w:rPr>
          <w:rFonts w:eastAsia="宋体"/>
        </w:rPr>
        <w:lastRenderedPageBreak/>
        <w:t xml:space="preserve">I think the visible logistic information should be a </w:t>
      </w:r>
      <w:proofErr w:type="gramStart"/>
      <w:r w:rsidRPr="00A014FD">
        <w:rPr>
          <w:rFonts w:eastAsia="宋体"/>
        </w:rPr>
        <w:t>critical issues of this project</w:t>
      </w:r>
      <w:proofErr w:type="gramEnd"/>
      <w:r w:rsidRPr="00A014FD">
        <w:rPr>
          <w:rFonts w:eastAsia="宋体"/>
        </w:rPr>
        <w:t xml:space="preserve">. In my role when I work with the communication (with UCC). The most important information in this project is about the goods go from A to B is that we would have a good visibility. It is reality of the information. But this issue in our project is not as the logistics information. </w:t>
      </w:r>
      <w:proofErr w:type="spellStart"/>
      <w:r w:rsidRPr="00A014FD">
        <w:rPr>
          <w:rFonts w:eastAsia="宋体"/>
        </w:rPr>
        <w:t>Ragn</w:t>
      </w:r>
      <w:proofErr w:type="spellEnd"/>
      <w:r w:rsidRPr="00A014FD">
        <w:rPr>
          <w:rFonts w:eastAsia="宋体"/>
        </w:rPr>
        <w:t xml:space="preserve">-sells </w:t>
      </w:r>
      <w:proofErr w:type="gramStart"/>
      <w:r w:rsidRPr="00A014FD">
        <w:rPr>
          <w:rFonts w:eastAsia="宋体"/>
        </w:rPr>
        <w:t>doesn't</w:t>
      </w:r>
      <w:proofErr w:type="gramEnd"/>
      <w:r w:rsidRPr="00A014FD">
        <w:rPr>
          <w:rFonts w:eastAsia="宋体"/>
        </w:rPr>
        <w:t xml:space="preserve"> know any information before they goods arrive their platform. Because we have two different logistics platforms, I think this will become a big issue if the collaboration (scale) gets bigger. It does not influence much of our business.</w:t>
      </w:r>
    </w:p>
    <w:p w14:paraId="44379AD1" w14:textId="77777777" w:rsidR="005400D8" w:rsidRDefault="005400D8" w:rsidP="005400D8">
      <w:pPr>
        <w:spacing w:before="240" w:after="240"/>
        <w:rPr>
          <w:rFonts w:eastAsia="宋体"/>
          <w:b/>
          <w:bCs/>
        </w:rPr>
      </w:pPr>
      <w:r w:rsidRPr="00A014FD">
        <w:rPr>
          <w:rFonts w:eastAsia="宋体"/>
          <w:b/>
          <w:bCs/>
        </w:rPr>
        <w:t>Do you get any support from the government</w:t>
      </w:r>
      <w:r w:rsidRPr="00A014FD">
        <w:rPr>
          <w:rFonts w:eastAsia="宋体"/>
          <w:b/>
          <w:bCs/>
        </w:rPr>
        <w:t>？</w:t>
      </w:r>
    </w:p>
    <w:p w14:paraId="243B2CFA" w14:textId="77777777" w:rsidR="005400D8" w:rsidRDefault="005400D8" w:rsidP="005400D8">
      <w:pPr>
        <w:spacing w:before="240" w:after="240"/>
        <w:rPr>
          <w:rFonts w:eastAsia="宋体"/>
        </w:rPr>
      </w:pPr>
      <w:r w:rsidRPr="00A014FD">
        <w:rPr>
          <w:rFonts w:eastAsia="宋体"/>
        </w:rPr>
        <w:t xml:space="preserve">We will build a new project in the old town.it is a very small area, with narrow street. Stockholm </w:t>
      </w:r>
      <w:proofErr w:type="spellStart"/>
      <w:r w:rsidRPr="00A014FD">
        <w:rPr>
          <w:rFonts w:eastAsia="宋体"/>
        </w:rPr>
        <w:t>stad</w:t>
      </w:r>
      <w:proofErr w:type="spellEnd"/>
      <w:r w:rsidRPr="00A014FD">
        <w:rPr>
          <w:rFonts w:eastAsia="宋体"/>
        </w:rPr>
        <w:t xml:space="preserve"> gives our permission to drive the in this area. Because we use the electrical </w:t>
      </w:r>
      <w:proofErr w:type="gramStart"/>
      <w:r w:rsidRPr="00A014FD">
        <w:rPr>
          <w:rFonts w:eastAsia="宋体"/>
        </w:rPr>
        <w:t>vehicle</w:t>
      </w:r>
      <w:proofErr w:type="gramEnd"/>
      <w:r w:rsidRPr="00A014FD">
        <w:rPr>
          <w:rFonts w:eastAsia="宋体"/>
        </w:rPr>
        <w:t xml:space="preserve"> and the vehicle is safe. Other vehicles can only access this zone to deliver goods between certain times.</w:t>
      </w:r>
    </w:p>
    <w:p w14:paraId="0D393FA0" w14:textId="77777777" w:rsidR="005400D8" w:rsidRPr="003D6A97" w:rsidRDefault="005400D8" w:rsidP="005400D8">
      <w:pPr>
        <w:spacing w:before="240" w:after="240"/>
        <w:rPr>
          <w:rFonts w:eastAsia="宋体"/>
          <w:b/>
          <w:bCs/>
        </w:rPr>
      </w:pPr>
      <w:r w:rsidRPr="003D6A97">
        <w:rPr>
          <w:rFonts w:eastAsia="宋体" w:hint="eastAsia"/>
          <w:b/>
          <w:bCs/>
        </w:rPr>
        <w:t>Do</w:t>
      </w:r>
      <w:r w:rsidRPr="003D6A97">
        <w:rPr>
          <w:rFonts w:eastAsia="宋体"/>
          <w:b/>
          <w:bCs/>
        </w:rPr>
        <w:t xml:space="preserve"> </w:t>
      </w:r>
      <w:r w:rsidRPr="003D6A97">
        <w:rPr>
          <w:rFonts w:eastAsia="宋体" w:hint="eastAsia"/>
          <w:b/>
          <w:bCs/>
        </w:rPr>
        <w:t>y</w:t>
      </w:r>
      <w:r w:rsidRPr="003D6A97">
        <w:rPr>
          <w:rFonts w:eastAsia="宋体"/>
          <w:b/>
          <w:bCs/>
        </w:rPr>
        <w:t xml:space="preserve">ou receive any funds from Stockholm </w:t>
      </w:r>
      <w:proofErr w:type="spellStart"/>
      <w:r w:rsidRPr="003D6A97">
        <w:rPr>
          <w:rFonts w:eastAsia="宋体"/>
          <w:b/>
          <w:bCs/>
        </w:rPr>
        <w:t>stad</w:t>
      </w:r>
      <w:proofErr w:type="spellEnd"/>
      <w:r w:rsidRPr="003D6A97">
        <w:rPr>
          <w:rFonts w:eastAsia="宋体"/>
          <w:b/>
          <w:bCs/>
        </w:rPr>
        <w:t>?</w:t>
      </w:r>
    </w:p>
    <w:p w14:paraId="684A9791" w14:textId="77777777" w:rsidR="005400D8" w:rsidRPr="003D6A97" w:rsidRDefault="005400D8" w:rsidP="005400D8">
      <w:pPr>
        <w:spacing w:before="240" w:after="240"/>
        <w:rPr>
          <w:rFonts w:eastAsia="宋体"/>
        </w:rPr>
      </w:pPr>
      <w:r>
        <w:rPr>
          <w:rFonts w:eastAsia="宋体"/>
        </w:rPr>
        <w:t>NO, m</w:t>
      </w:r>
      <w:r w:rsidRPr="003D6A97">
        <w:rPr>
          <w:rFonts w:eastAsia="宋体"/>
        </w:rPr>
        <w:t xml:space="preserve">oney for the project is from our cost saving, we pay for this project, we </w:t>
      </w:r>
      <w:proofErr w:type="gramStart"/>
      <w:r w:rsidRPr="003D6A97">
        <w:rPr>
          <w:rFonts w:eastAsia="宋体"/>
        </w:rPr>
        <w:t>don’t</w:t>
      </w:r>
      <w:proofErr w:type="gramEnd"/>
      <w:r w:rsidRPr="003D6A97">
        <w:rPr>
          <w:rFonts w:eastAsia="宋体"/>
        </w:rPr>
        <w:t xml:space="preserve"> get any money support from the government.</w:t>
      </w:r>
    </w:p>
    <w:p w14:paraId="10A58998" w14:textId="77777777" w:rsidR="005400D8" w:rsidRPr="00A014FD" w:rsidRDefault="005400D8" w:rsidP="005400D8">
      <w:pPr>
        <w:spacing w:before="240" w:after="240"/>
        <w:rPr>
          <w:rFonts w:eastAsia="宋体"/>
          <w:b/>
          <w:bCs/>
        </w:rPr>
      </w:pPr>
      <w:r w:rsidRPr="00A014FD">
        <w:rPr>
          <w:rFonts w:eastAsia="宋体"/>
          <w:b/>
          <w:bCs/>
        </w:rPr>
        <w:t>How do you pay for the rang-sells?</w:t>
      </w:r>
    </w:p>
    <w:p w14:paraId="399C3F9F" w14:textId="77777777" w:rsidR="005400D8" w:rsidRPr="00A014FD" w:rsidRDefault="005400D8" w:rsidP="005400D8">
      <w:pPr>
        <w:spacing w:before="240" w:after="240"/>
        <w:rPr>
          <w:rFonts w:eastAsia="宋体"/>
        </w:rPr>
      </w:pPr>
      <w:r w:rsidRPr="00A014FD">
        <w:rPr>
          <w:rFonts w:eastAsia="宋体"/>
        </w:rPr>
        <w:lastRenderedPageBreak/>
        <w:t xml:space="preserve">We will pay for the record for their delivery. We </w:t>
      </w:r>
      <w:proofErr w:type="gramStart"/>
      <w:r w:rsidRPr="00A014FD">
        <w:rPr>
          <w:rFonts w:eastAsia="宋体"/>
        </w:rPr>
        <w:t>not allow</w:t>
      </w:r>
      <w:proofErr w:type="gramEnd"/>
      <w:r w:rsidRPr="00A014FD">
        <w:rPr>
          <w:rFonts w:eastAsia="宋体"/>
        </w:rPr>
        <w:t xml:space="preserve"> collaboration will increase the cost for our company or lower the </w:t>
      </w:r>
      <w:r>
        <w:rPr>
          <w:rFonts w:eastAsia="宋体"/>
        </w:rPr>
        <w:t>income</w:t>
      </w:r>
      <w:r w:rsidRPr="00A014FD">
        <w:rPr>
          <w:rFonts w:eastAsia="宋体"/>
        </w:rPr>
        <w:t>. But as we said from the beginning the collaboration, (the primary consideration for us)</w:t>
      </w:r>
      <w:r>
        <w:rPr>
          <w:rFonts w:eastAsia="宋体"/>
        </w:rPr>
        <w:t xml:space="preserve"> </w:t>
      </w:r>
      <w:r w:rsidRPr="00A014FD">
        <w:rPr>
          <w:rFonts w:eastAsia="宋体"/>
        </w:rPr>
        <w:t xml:space="preserve">should we do this (project)? It should be a sustainable all the way. We should not lose any money on it. The payment is going to be as much as it was before. The price for each parcel </w:t>
      </w:r>
      <w:proofErr w:type="gramStart"/>
      <w:r w:rsidRPr="00A014FD">
        <w:rPr>
          <w:rFonts w:eastAsia="宋体"/>
        </w:rPr>
        <w:t>doesn't</w:t>
      </w:r>
      <w:proofErr w:type="gramEnd"/>
      <w:r w:rsidRPr="00A014FD">
        <w:rPr>
          <w:rFonts w:eastAsia="宋体"/>
        </w:rPr>
        <w:t xml:space="preserve"> cost more today than it did yesterday. Our company pays the money for Rangel-sells for the workers. We </w:t>
      </w:r>
      <w:proofErr w:type="gramStart"/>
      <w:r w:rsidRPr="00A014FD">
        <w:rPr>
          <w:rFonts w:eastAsia="宋体"/>
        </w:rPr>
        <w:t>don’t</w:t>
      </w:r>
      <w:proofErr w:type="gramEnd"/>
      <w:r w:rsidRPr="00A014FD">
        <w:rPr>
          <w:rFonts w:eastAsia="宋体"/>
        </w:rPr>
        <w:t xml:space="preserve"> hope they increase the numbers of workers, (otherwise,) we will pay more if they do this.</w:t>
      </w:r>
    </w:p>
    <w:p w14:paraId="3A418177" w14:textId="77777777" w:rsidR="005400D8" w:rsidRPr="00A014FD" w:rsidRDefault="005400D8" w:rsidP="005400D8">
      <w:pPr>
        <w:spacing w:before="240" w:after="240"/>
        <w:rPr>
          <w:rFonts w:eastAsia="宋体"/>
        </w:rPr>
      </w:pPr>
      <w:r w:rsidRPr="00A014FD">
        <w:rPr>
          <w:rFonts w:eastAsia="宋体"/>
        </w:rPr>
        <w:t>Because we have more and more parsons going into the city side at the end. we are going to find new collaboration to delivery parcels. we hope it is going to be more profit and less costs for us. At least, today is the same as yesterday. Then we will consider the (factors of) less emissions.</w:t>
      </w:r>
    </w:p>
    <w:p w14:paraId="7E108FBD" w14:textId="77777777" w:rsidR="005400D8" w:rsidRPr="00A014FD" w:rsidRDefault="005400D8" w:rsidP="005400D8">
      <w:pPr>
        <w:spacing w:before="240" w:after="240"/>
        <w:rPr>
          <w:rFonts w:eastAsia="宋体"/>
          <w:b/>
          <w:bCs/>
        </w:rPr>
      </w:pPr>
      <w:r w:rsidRPr="00A014FD">
        <w:rPr>
          <w:rFonts w:eastAsia="宋体"/>
          <w:b/>
          <w:bCs/>
        </w:rPr>
        <w:t xml:space="preserve">What are the opinions for the development of these business? </w:t>
      </w:r>
    </w:p>
    <w:p w14:paraId="5C6739DF" w14:textId="77777777" w:rsidR="005400D8" w:rsidRPr="00A014FD" w:rsidRDefault="005400D8" w:rsidP="005400D8">
      <w:pPr>
        <w:spacing w:before="240" w:after="240"/>
        <w:rPr>
          <w:rFonts w:eastAsia="宋体"/>
        </w:rPr>
      </w:pPr>
      <w:r w:rsidRPr="00A014FD">
        <w:rPr>
          <w:rFonts w:eastAsia="宋体"/>
        </w:rPr>
        <w:t>We should make other companies to understand this sustainable concept. We can grow our business. Now many of the companies considers their brands when we try to build a collaboration (with them)</w:t>
      </w:r>
    </w:p>
    <w:p w14:paraId="4DFA5A9F" w14:textId="38A4A8ED" w:rsidR="0000015A" w:rsidRDefault="0000015A" w:rsidP="005400D8">
      <w:pPr>
        <w:spacing w:before="240" w:after="240"/>
        <w:rPr>
          <w:b/>
          <w:bCs/>
        </w:rPr>
      </w:pPr>
      <w:r>
        <w:t>Interview with KTH</w:t>
      </w:r>
    </w:p>
    <w:p w14:paraId="266241C3" w14:textId="747BD72A" w:rsidR="005400D8" w:rsidRPr="00A014FD" w:rsidRDefault="005400D8" w:rsidP="005400D8">
      <w:pPr>
        <w:spacing w:before="240" w:after="240"/>
        <w:rPr>
          <w:b/>
          <w:bCs/>
        </w:rPr>
      </w:pPr>
      <w:r w:rsidRPr="00A014FD">
        <w:rPr>
          <w:b/>
          <w:bCs/>
        </w:rPr>
        <w:t xml:space="preserve">Do you know the concept of the sustainable urban transportation or sustainable urban logistics? </w:t>
      </w:r>
    </w:p>
    <w:p w14:paraId="22818A84" w14:textId="77777777" w:rsidR="005400D8" w:rsidRPr="00A014FD" w:rsidRDefault="005400D8" w:rsidP="005400D8">
      <w:pPr>
        <w:spacing w:before="240" w:after="240"/>
      </w:pPr>
      <w:r w:rsidRPr="00A014FD">
        <w:lastRenderedPageBreak/>
        <w:t xml:space="preserve">I mean there are different definitions. I think that I mean, um, I </w:t>
      </w:r>
      <w:proofErr w:type="spellStart"/>
      <w:r w:rsidRPr="00A014FD">
        <w:t>I</w:t>
      </w:r>
      <w:proofErr w:type="spellEnd"/>
      <w:r w:rsidRPr="00A014FD">
        <w:t xml:space="preserve"> see the sustainability generally as this having this economic ecological and social component. </w:t>
      </w:r>
      <w:proofErr w:type="gramStart"/>
      <w:r w:rsidRPr="00A014FD">
        <w:t>So</w:t>
      </w:r>
      <w:proofErr w:type="gramEnd"/>
      <w:r w:rsidRPr="00A014FD">
        <w:t xml:space="preserve"> I think for sustainable logistics it's the same but then applied to logistics. </w:t>
      </w:r>
    </w:p>
    <w:p w14:paraId="5EABB807" w14:textId="77777777" w:rsidR="005400D8" w:rsidRPr="00A014FD" w:rsidRDefault="005400D8" w:rsidP="005400D8">
      <w:pPr>
        <w:rPr>
          <w:b/>
          <w:bCs/>
        </w:rPr>
      </w:pPr>
      <w:r w:rsidRPr="00A014FD">
        <w:rPr>
          <w:b/>
          <w:bCs/>
        </w:rPr>
        <w:t>What is your research area?</w:t>
      </w:r>
    </w:p>
    <w:p w14:paraId="7CBFC8B8" w14:textId="77777777" w:rsidR="005400D8" w:rsidRPr="00A014FD" w:rsidRDefault="005400D8" w:rsidP="005400D8">
      <w:proofErr w:type="gramStart"/>
      <w:r w:rsidRPr="00A014FD">
        <w:t>it's</w:t>
      </w:r>
      <w:proofErr w:type="gramEnd"/>
      <w:r w:rsidRPr="00A014FD">
        <w:t xml:space="preserve"> electric vehicle adoption and electric vehicle use. It’s about the process </w:t>
      </w:r>
      <w:proofErr w:type="gramStart"/>
      <w:r w:rsidRPr="00A014FD">
        <w:t>why</w:t>
      </w:r>
      <w:proofErr w:type="gramEnd"/>
      <w:r w:rsidRPr="00A014FD">
        <w:t xml:space="preserve"> people choose an electric vehicle. And how is the process towards electric vehicle adoption. People before they can adopt an electric vehicle to have, for example, are inside in their own travel patterns or insight in the characteristics of the electric vehicle insight on where they can charge it. </w:t>
      </w:r>
      <w:proofErr w:type="gramStart"/>
      <w:r w:rsidRPr="00A014FD">
        <w:t>It's</w:t>
      </w:r>
      <w:proofErr w:type="gramEnd"/>
      <w:r w:rsidRPr="00A014FD">
        <w:t xml:space="preserve"> like a process that is needed before people can adopt electric vehicle. Ok. And part of my </w:t>
      </w:r>
      <w:proofErr w:type="gramStart"/>
      <w:r w:rsidRPr="00A014FD">
        <w:t>researches</w:t>
      </w:r>
      <w:proofErr w:type="gramEnd"/>
      <w:r w:rsidRPr="00A014FD">
        <w:t xml:space="preserve"> about that when people have an electric vehicle, do they order? Do they change their travel patterns and in which </w:t>
      </w:r>
      <w:proofErr w:type="gramStart"/>
      <w:r w:rsidRPr="00A014FD">
        <w:t>ways.</w:t>
      </w:r>
      <w:proofErr w:type="gramEnd"/>
    </w:p>
    <w:p w14:paraId="6484356D" w14:textId="77777777" w:rsidR="005400D8" w:rsidRPr="00A014FD" w:rsidRDefault="005400D8" w:rsidP="005400D8">
      <w:pPr>
        <w:rPr>
          <w:b/>
          <w:bCs/>
        </w:rPr>
      </w:pPr>
      <w:r w:rsidRPr="00A014FD">
        <w:rPr>
          <w:b/>
          <w:bCs/>
        </w:rPr>
        <w:t xml:space="preserve">How long have you been studied with this or working </w:t>
      </w:r>
      <w:proofErr w:type="gramStart"/>
      <w:r w:rsidRPr="00A014FD">
        <w:rPr>
          <w:b/>
          <w:bCs/>
        </w:rPr>
        <w:t>with this</w:t>
      </w:r>
      <w:proofErr w:type="gramEnd"/>
      <w:r w:rsidRPr="00A014FD">
        <w:rPr>
          <w:b/>
          <w:bCs/>
        </w:rPr>
        <w:t xml:space="preserve"> </w:t>
      </w:r>
    </w:p>
    <w:p w14:paraId="3F0276BB" w14:textId="77777777" w:rsidR="005400D8" w:rsidRDefault="005400D8" w:rsidP="005400D8">
      <w:r w:rsidRPr="00A014FD">
        <w:t>Since the November 2013</w:t>
      </w:r>
    </w:p>
    <w:p w14:paraId="5C91BF7F" w14:textId="77777777" w:rsidR="005400D8" w:rsidRPr="003D36D0" w:rsidRDefault="005400D8" w:rsidP="005400D8">
      <w:pPr>
        <w:rPr>
          <w:b/>
          <w:bCs/>
        </w:rPr>
      </w:pPr>
      <w:r w:rsidRPr="003D36D0">
        <w:rPr>
          <w:rFonts w:hint="eastAsia"/>
          <w:b/>
          <w:bCs/>
        </w:rPr>
        <w:t>Do</w:t>
      </w:r>
      <w:r w:rsidRPr="003D36D0">
        <w:rPr>
          <w:b/>
          <w:bCs/>
        </w:rPr>
        <w:t xml:space="preserve"> </w:t>
      </w:r>
      <w:r w:rsidRPr="003D36D0">
        <w:rPr>
          <w:rFonts w:hint="eastAsia"/>
          <w:b/>
          <w:bCs/>
        </w:rPr>
        <w:t>you</w:t>
      </w:r>
      <w:r w:rsidRPr="003D36D0">
        <w:rPr>
          <w:b/>
          <w:bCs/>
        </w:rPr>
        <w:t xml:space="preserve"> </w:t>
      </w:r>
      <w:r w:rsidRPr="003D36D0">
        <w:rPr>
          <w:rFonts w:hint="eastAsia"/>
          <w:b/>
          <w:bCs/>
        </w:rPr>
        <w:t>receive</w:t>
      </w:r>
      <w:r w:rsidRPr="003D36D0">
        <w:rPr>
          <w:b/>
          <w:bCs/>
        </w:rPr>
        <w:t xml:space="preserve"> </w:t>
      </w:r>
      <w:r w:rsidRPr="003D36D0">
        <w:rPr>
          <w:rFonts w:hint="eastAsia"/>
          <w:b/>
          <w:bCs/>
        </w:rPr>
        <w:t>funding</w:t>
      </w:r>
      <w:r w:rsidRPr="003D36D0">
        <w:rPr>
          <w:b/>
          <w:bCs/>
        </w:rPr>
        <w:t xml:space="preserve"> </w:t>
      </w:r>
      <w:r w:rsidRPr="003D36D0">
        <w:rPr>
          <w:rFonts w:hint="eastAsia"/>
          <w:b/>
          <w:bCs/>
        </w:rPr>
        <w:t>from</w:t>
      </w:r>
      <w:r w:rsidRPr="003D36D0">
        <w:rPr>
          <w:b/>
          <w:bCs/>
        </w:rPr>
        <w:t xml:space="preserve"> </w:t>
      </w:r>
      <w:r w:rsidRPr="003D36D0">
        <w:rPr>
          <w:rFonts w:hint="eastAsia"/>
          <w:b/>
          <w:bCs/>
        </w:rPr>
        <w:t>government</w:t>
      </w:r>
      <w:r>
        <w:rPr>
          <w:b/>
          <w:bCs/>
        </w:rPr>
        <w:t xml:space="preserve"> in this project</w:t>
      </w:r>
      <w:r w:rsidRPr="003D36D0">
        <w:rPr>
          <w:b/>
          <w:bCs/>
        </w:rPr>
        <w:t>?</w:t>
      </w:r>
    </w:p>
    <w:p w14:paraId="5E6C43A0" w14:textId="77777777" w:rsidR="005400D8" w:rsidRPr="00A014FD" w:rsidRDefault="005400D8" w:rsidP="005400D8">
      <w:r w:rsidRPr="00751DD1">
        <w:t xml:space="preserve">Yes, we got the </w:t>
      </w:r>
      <w:proofErr w:type="spellStart"/>
      <w:r w:rsidRPr="00751DD1">
        <w:t>fundings</w:t>
      </w:r>
      <w:proofErr w:type="spellEnd"/>
      <w:r w:rsidRPr="00751DD1">
        <w:t xml:space="preserve"> from national government, f</w:t>
      </w:r>
      <w:r w:rsidRPr="00751DD1">
        <w:rPr>
          <w:rFonts w:cs="Times New Roman"/>
          <w:kern w:val="2"/>
        </w:rPr>
        <w:t xml:space="preserve">unding is important for us, our research in this project </w:t>
      </w:r>
      <w:proofErr w:type="gramStart"/>
      <w:r w:rsidRPr="00751DD1">
        <w:rPr>
          <w:rFonts w:cs="Times New Roman"/>
          <w:kern w:val="2"/>
        </w:rPr>
        <w:t>are</w:t>
      </w:r>
      <w:proofErr w:type="gramEnd"/>
      <w:r w:rsidRPr="00751DD1">
        <w:rPr>
          <w:rFonts w:cs="Times New Roman"/>
          <w:kern w:val="2"/>
        </w:rPr>
        <w:t xml:space="preserve"> supported by the government. We need more funding to develop our research. </w:t>
      </w:r>
      <w:r>
        <w:t xml:space="preserve">The funding is used for the electrical vehicle. </w:t>
      </w:r>
      <w:r w:rsidRPr="00751DD1">
        <w:rPr>
          <w:rFonts w:cs="Times New Roman"/>
          <w:kern w:val="2"/>
        </w:rPr>
        <w:t xml:space="preserve">Maybe the UCC is not supported by the government, but our research receives </w:t>
      </w:r>
      <w:proofErr w:type="gramStart"/>
      <w:r w:rsidRPr="00751DD1">
        <w:rPr>
          <w:rFonts w:cs="Times New Roman"/>
          <w:kern w:val="2"/>
        </w:rPr>
        <w:t>funding</w:t>
      </w:r>
      <w:proofErr w:type="gramEnd"/>
    </w:p>
    <w:p w14:paraId="7A6B3ED1" w14:textId="77777777" w:rsidR="005400D8" w:rsidRPr="00A014FD" w:rsidRDefault="005400D8" w:rsidP="005400D8">
      <w:pPr>
        <w:rPr>
          <w:b/>
          <w:bCs/>
        </w:rPr>
      </w:pPr>
      <w:r w:rsidRPr="00A014FD">
        <w:rPr>
          <w:b/>
          <w:bCs/>
        </w:rPr>
        <w:t>Click in the Questionnaire to select the indicators.</w:t>
      </w:r>
    </w:p>
    <w:p w14:paraId="7F55D521" w14:textId="77777777" w:rsidR="005400D8" w:rsidRDefault="005400D8" w:rsidP="005400D8">
      <w:pPr>
        <w:rPr>
          <w:b/>
          <w:bCs/>
        </w:rPr>
      </w:pPr>
    </w:p>
    <w:p w14:paraId="1ADE40E9" w14:textId="77777777" w:rsidR="005400D8" w:rsidRPr="00A014FD" w:rsidRDefault="005400D8" w:rsidP="005400D8">
      <w:pPr>
        <w:rPr>
          <w:b/>
          <w:bCs/>
        </w:rPr>
      </w:pPr>
      <w:r w:rsidRPr="00A014FD">
        <w:rPr>
          <w:b/>
          <w:bCs/>
        </w:rPr>
        <w:lastRenderedPageBreak/>
        <w:t>Issues reported by KTH, Hard to improvement</w:t>
      </w:r>
    </w:p>
    <w:p w14:paraId="5B6CF01A" w14:textId="77777777" w:rsidR="005400D8" w:rsidRPr="00A014FD" w:rsidRDefault="005400D8" w:rsidP="005400D8">
      <w:pPr>
        <w:spacing w:before="240" w:after="240"/>
      </w:pPr>
      <w:proofErr w:type="gramStart"/>
      <w:r w:rsidRPr="00A014FD">
        <w:t>So</w:t>
      </w:r>
      <w:proofErr w:type="gramEnd"/>
      <w:r w:rsidRPr="00A014FD">
        <w:t xml:space="preserve"> this is that if they have, maybe they have two parcel is going here. One was going there. I said, </w:t>
      </w:r>
      <w:proofErr w:type="gramStart"/>
      <w:r w:rsidRPr="00A014FD">
        <w:t>let's</w:t>
      </w:r>
      <w:proofErr w:type="gramEnd"/>
      <w:r w:rsidRPr="00A014FD">
        <w:t xml:space="preserve"> merge them. </w:t>
      </w:r>
      <w:proofErr w:type="gramStart"/>
      <w:r w:rsidRPr="00A014FD">
        <w:t>So</w:t>
      </w:r>
      <w:proofErr w:type="gramEnd"/>
      <w:r w:rsidRPr="00A014FD">
        <w:t xml:space="preserve"> then we merge them. Then instead of </w:t>
      </w:r>
      <w:proofErr w:type="gramStart"/>
      <w:r w:rsidRPr="00A014FD">
        <w:t>have</w:t>
      </w:r>
      <w:proofErr w:type="gramEnd"/>
      <w:r w:rsidRPr="00A014FD">
        <w:t xml:space="preserve"> two wagons, you can say we just cancel one of them and then you might have a big improvement. But it is now </w:t>
      </w:r>
      <w:proofErr w:type="gramStart"/>
      <w:r w:rsidRPr="00A014FD">
        <w:t>it's</w:t>
      </w:r>
      <w:proofErr w:type="gramEnd"/>
      <w:r w:rsidRPr="00A014FD">
        <w:t xml:space="preserve"> very hard to know what it is really replace and we would like to at least from the packet side of you to see give up the Bring right now or what did they do actually what did they do before they started with that project. That's </w:t>
      </w:r>
      <w:proofErr w:type="gramStart"/>
      <w:r w:rsidRPr="00A014FD">
        <w:t>go</w:t>
      </w:r>
      <w:proofErr w:type="gramEnd"/>
      <w:r w:rsidRPr="00A014FD">
        <w:t xml:space="preserve"> to start and what are they doing now. So how are the operations but that means you have to look at the bigger scale than only in this area and it's very hard to know how big </w:t>
      </w:r>
      <w:proofErr w:type="gramStart"/>
      <w:r w:rsidRPr="00A014FD">
        <w:t>should the scale</w:t>
      </w:r>
      <w:proofErr w:type="gramEnd"/>
      <w:r w:rsidRPr="00A014FD">
        <w:t xml:space="preserve"> to affect the improvement. </w:t>
      </w:r>
    </w:p>
    <w:p w14:paraId="7D43FDE4" w14:textId="77777777" w:rsidR="005400D8" w:rsidRPr="00A014FD" w:rsidRDefault="005400D8" w:rsidP="005400D8">
      <w:pPr>
        <w:spacing w:before="240" w:after="240"/>
      </w:pPr>
      <w:r w:rsidRPr="00A014FD">
        <w:t xml:space="preserve">And I mean if it can merge two conventional wagons, and that it might be make more sense. Because then you have this at least, this stretches here that are kind of double, you can erase two of them if it just makes one round. And then they you say this fifteen </w:t>
      </w:r>
      <w:proofErr w:type="spellStart"/>
      <w:r w:rsidRPr="00A014FD">
        <w:t>kilometers</w:t>
      </w:r>
      <w:proofErr w:type="spellEnd"/>
      <w:r w:rsidRPr="00A014FD">
        <w:t xml:space="preserve">, thirty </w:t>
      </w:r>
      <w:proofErr w:type="spellStart"/>
      <w:r w:rsidRPr="00A014FD">
        <w:t>kilometers</w:t>
      </w:r>
      <w:proofErr w:type="spellEnd"/>
      <w:r w:rsidRPr="00A014FD">
        <w:t>, times.</w:t>
      </w:r>
    </w:p>
    <w:p w14:paraId="34701BF9" w14:textId="77777777" w:rsidR="005400D8" w:rsidRPr="00A014FD" w:rsidRDefault="005400D8" w:rsidP="005400D8">
      <w:pPr>
        <w:spacing w:before="240" w:after="240"/>
        <w:rPr>
          <w:b/>
          <w:bCs/>
        </w:rPr>
      </w:pPr>
      <w:r w:rsidRPr="00A014FD">
        <w:rPr>
          <w:b/>
          <w:bCs/>
        </w:rPr>
        <w:t xml:space="preserve">Do you have exactly values of how much emissions they saved for this business models comparing with the previous one? </w:t>
      </w:r>
    </w:p>
    <w:p w14:paraId="4BEDFAF2" w14:textId="77777777" w:rsidR="005400D8" w:rsidRPr="00A014FD" w:rsidRDefault="005400D8" w:rsidP="005400D8">
      <w:pPr>
        <w:spacing w:before="240" w:after="240"/>
        <w:jc w:val="distribute"/>
      </w:pPr>
      <w:r w:rsidRPr="00A014FD">
        <w:t xml:space="preserve">No, because we </w:t>
      </w:r>
      <w:proofErr w:type="gramStart"/>
      <w:r w:rsidRPr="00A014FD">
        <w:t>don't</w:t>
      </w:r>
      <w:proofErr w:type="gramEnd"/>
      <w:r w:rsidRPr="00A014FD">
        <w:t xml:space="preserve"> know this. If you really want to compare, you have to know exactly how </w:t>
      </w:r>
      <w:proofErr w:type="gramStart"/>
      <w:r w:rsidRPr="00A014FD">
        <w:t>did it affect</w:t>
      </w:r>
      <w:proofErr w:type="gramEnd"/>
      <w:r w:rsidRPr="00A014FD">
        <w:t xml:space="preserve"> the previous system. </w:t>
      </w:r>
      <w:proofErr w:type="gramStart"/>
      <w:r w:rsidRPr="00A014FD">
        <w:t>So</w:t>
      </w:r>
      <w:proofErr w:type="gramEnd"/>
      <w:r w:rsidRPr="00A014FD">
        <w:t xml:space="preserve"> what we did in the report was to assume. The only compare the wagon we </w:t>
      </w:r>
      <w:proofErr w:type="gramStart"/>
      <w:r w:rsidRPr="00A014FD">
        <w:t>don't</w:t>
      </w:r>
      <w:proofErr w:type="gramEnd"/>
      <w:r w:rsidRPr="00A014FD">
        <w:t xml:space="preserve"> compared the operation. Operations </w:t>
      </w:r>
      <w:r w:rsidRPr="00A014FD">
        <w:lastRenderedPageBreak/>
        <w:t xml:space="preserve">will be affected in direct and indirect ways. </w:t>
      </w:r>
      <w:proofErr w:type="gramStart"/>
      <w:r w:rsidRPr="00A014FD">
        <w:t>So</w:t>
      </w:r>
      <w:proofErr w:type="gramEnd"/>
      <w:r w:rsidRPr="00A014FD">
        <w:t xml:space="preserve"> we already could do this and so we did like what if this would be the conventional truck that goes through the area, delivers or takes the garbage from this area and goes back. I compared to </w:t>
      </w:r>
      <w:proofErr w:type="gramStart"/>
      <w:r w:rsidRPr="00A014FD">
        <w:t>we</w:t>
      </w:r>
      <w:proofErr w:type="gramEnd"/>
      <w:r w:rsidRPr="00A014FD">
        <w:t xml:space="preserve"> have this red round plus we have the dotted line and that are need two elements. And so </w:t>
      </w:r>
      <w:proofErr w:type="gramStart"/>
      <w:r w:rsidRPr="00A014FD">
        <w:t>that's not be</w:t>
      </w:r>
      <w:proofErr w:type="gramEnd"/>
      <w:r w:rsidRPr="00A014FD">
        <w:t xml:space="preserve"> compared. But we did not </w:t>
      </w:r>
      <w:proofErr w:type="gramStart"/>
      <w:r w:rsidRPr="00A014FD">
        <w:t>compared</w:t>
      </w:r>
      <w:proofErr w:type="gramEnd"/>
      <w:r w:rsidRPr="00A014FD">
        <w:t xml:space="preserve"> with what is emission such like this. </w:t>
      </w:r>
    </w:p>
    <w:p w14:paraId="03C0E771" w14:textId="77777777" w:rsidR="005400D8" w:rsidRPr="00A014FD" w:rsidRDefault="005400D8" w:rsidP="005400D8">
      <w:pPr>
        <w:spacing w:before="240" w:after="240"/>
      </w:pPr>
      <w:r w:rsidRPr="00A014FD">
        <w:t xml:space="preserve">We get you some emission factors and stuff, but we did not have knowledge about, how does the pattern change of the conventional? And that is there is something that is extremely important. </w:t>
      </w:r>
      <w:proofErr w:type="gramStart"/>
      <w:r w:rsidRPr="00A014FD">
        <w:t>It's</w:t>
      </w:r>
      <w:proofErr w:type="gramEnd"/>
      <w:r w:rsidRPr="00A014FD">
        <w:t xml:space="preserve"> not easy to do, because it can also be that there is a very big new customer popping up here outside of the area. So that the rules change. </w:t>
      </w:r>
      <w:proofErr w:type="gramStart"/>
      <w:r w:rsidRPr="00A014FD">
        <w:t>So</w:t>
      </w:r>
      <w:proofErr w:type="gramEnd"/>
      <w:r w:rsidRPr="00A014FD">
        <w:t xml:space="preserve"> you can say, if this new big customer would not have been there, we could have merged those two lines. But because </w:t>
      </w:r>
      <w:proofErr w:type="gramStart"/>
      <w:r w:rsidRPr="00A014FD">
        <w:t>this customers</w:t>
      </w:r>
      <w:proofErr w:type="gramEnd"/>
      <w:r w:rsidRPr="00A014FD">
        <w:t xml:space="preserve"> here, we still need to have the two tracks, because we simply don't have enough space. </w:t>
      </w:r>
    </w:p>
    <w:p w14:paraId="1A7B7F25" w14:textId="77777777" w:rsidR="005400D8" w:rsidRPr="00A014FD" w:rsidRDefault="005400D8" w:rsidP="005400D8">
      <w:pPr>
        <w:spacing w:before="240" w:after="240"/>
      </w:pPr>
      <w:proofErr w:type="gramStart"/>
      <w:r w:rsidRPr="00A014FD">
        <w:t>So</w:t>
      </w:r>
      <w:proofErr w:type="gramEnd"/>
      <w:r w:rsidRPr="00A014FD">
        <w:t xml:space="preserve"> it's really as soon as you talk about capacity, you have a step function. And so, you have one wagon can we have you dumping garbage in garbage, garbage marginal cost is very low until </w:t>
      </w:r>
      <w:proofErr w:type="gramStart"/>
      <w:r w:rsidRPr="00A014FD">
        <w:t>it's</w:t>
      </w:r>
      <w:proofErr w:type="gramEnd"/>
      <w:r w:rsidRPr="00A014FD">
        <w:t xml:space="preserve"> full. Then instead of having bomb you </w:t>
      </w:r>
      <w:proofErr w:type="gramStart"/>
      <w:r w:rsidRPr="00A014FD">
        <w:t>have to</w:t>
      </w:r>
      <w:proofErr w:type="gramEnd"/>
      <w:r w:rsidRPr="00A014FD">
        <w:t xml:space="preserve"> have to and then you double the two emissions. You double everything and then used it again. Have a very big empty truck that you can load </w:t>
      </w:r>
      <w:proofErr w:type="spellStart"/>
      <w:r w:rsidRPr="00A014FD">
        <w:t>load</w:t>
      </w:r>
      <w:proofErr w:type="spellEnd"/>
      <w:r w:rsidRPr="00A014FD">
        <w:t xml:space="preserve"> </w:t>
      </w:r>
      <w:proofErr w:type="spellStart"/>
      <w:r w:rsidRPr="00A014FD">
        <w:t>load</w:t>
      </w:r>
      <w:proofErr w:type="spellEnd"/>
      <w:r w:rsidRPr="00A014FD">
        <w:t xml:space="preserve"> until </w:t>
      </w:r>
      <w:proofErr w:type="gramStart"/>
      <w:r w:rsidRPr="00A014FD">
        <w:t>it's</w:t>
      </w:r>
      <w:proofErr w:type="gramEnd"/>
      <w:r w:rsidRPr="00A014FD">
        <w:t xml:space="preserve"> full. </w:t>
      </w:r>
    </w:p>
    <w:p w14:paraId="0EC95E8C" w14:textId="77777777" w:rsidR="005400D8" w:rsidRPr="00A014FD" w:rsidRDefault="005400D8" w:rsidP="005400D8">
      <w:pPr>
        <w:spacing w:before="240" w:after="240"/>
      </w:pPr>
      <w:r w:rsidRPr="00A014FD">
        <w:t xml:space="preserve">And then you </w:t>
      </w:r>
      <w:proofErr w:type="gramStart"/>
      <w:r w:rsidRPr="00A014FD">
        <w:t>have to</w:t>
      </w:r>
      <w:proofErr w:type="gramEnd"/>
      <w:r w:rsidRPr="00A014FD">
        <w:t xml:space="preserve"> buy as a third one. And </w:t>
      </w:r>
      <w:proofErr w:type="gramStart"/>
      <w:r w:rsidRPr="00A014FD">
        <w:t>so</w:t>
      </w:r>
      <w:proofErr w:type="gramEnd"/>
      <w:r w:rsidRPr="00A014FD">
        <w:t xml:space="preserve"> it's really in steps. </w:t>
      </w:r>
      <w:proofErr w:type="spellStart"/>
      <w:proofErr w:type="gramStart"/>
      <w:r w:rsidRPr="00A014FD">
        <w:t>Howdoes</w:t>
      </w:r>
      <w:proofErr w:type="spellEnd"/>
      <w:proofErr w:type="gramEnd"/>
      <w:r w:rsidRPr="00A014FD">
        <w:t xml:space="preserve"> it go with o two? Emissions is really in steps. And so here is kilogram and here </w:t>
      </w:r>
      <w:proofErr w:type="gramStart"/>
      <w:r w:rsidRPr="00A014FD">
        <w:t>is</w:t>
      </w:r>
      <w:proofErr w:type="gramEnd"/>
      <w:r w:rsidRPr="00A014FD">
        <w:t xml:space="preserve"> emissions. Yes. Yeah. So, um, and so it means a lot whether and </w:t>
      </w:r>
      <w:proofErr w:type="gramStart"/>
      <w:r w:rsidRPr="00A014FD">
        <w:t>all of</w:t>
      </w:r>
      <w:proofErr w:type="gramEnd"/>
      <w:r w:rsidRPr="00A014FD">
        <w:t xml:space="preserve"> these things, or maybe you lose </w:t>
      </w:r>
      <w:r w:rsidRPr="00A014FD">
        <w:lastRenderedPageBreak/>
        <w:t xml:space="preserve">a customer here, you lose, it goes down. And </w:t>
      </w:r>
      <w:proofErr w:type="spellStart"/>
      <w:r w:rsidRPr="00A014FD">
        <w:t>and</w:t>
      </w:r>
      <w:proofErr w:type="spellEnd"/>
      <w:r w:rsidRPr="00A014FD">
        <w:t xml:space="preserve"> yeah, so there are so many factors that affect how efficient it is to do something here that you cannot control, and the outside of the area and outside of the control of the operation. But they affect the efficiency of the operations. </w:t>
      </w:r>
    </w:p>
    <w:p w14:paraId="5E3CEBDC" w14:textId="77777777" w:rsidR="005400D8" w:rsidRPr="00A014FD" w:rsidRDefault="005400D8" w:rsidP="005400D8">
      <w:pPr>
        <w:rPr>
          <w:b/>
          <w:bCs/>
          <w:color w:val="FF0000"/>
        </w:rPr>
      </w:pPr>
      <w:r w:rsidRPr="00A014FD">
        <w:rPr>
          <w:b/>
          <w:bCs/>
          <w:color w:val="FF0000"/>
        </w:rPr>
        <w:t>Annual operating cost</w:t>
      </w:r>
    </w:p>
    <w:p w14:paraId="6231504E" w14:textId="77777777" w:rsidR="005400D8" w:rsidRPr="00A014FD" w:rsidRDefault="005400D8" w:rsidP="005400D8">
      <w:r w:rsidRPr="00A014FD">
        <w:t xml:space="preserve">The cost goes first and revenues at the end without any revenues, they can stop the project. </w:t>
      </w:r>
      <w:proofErr w:type="spellStart"/>
      <w:r w:rsidRPr="00A014FD">
        <w:t>ragen</w:t>
      </w:r>
      <w:proofErr w:type="spellEnd"/>
      <w:r w:rsidRPr="00A014FD">
        <w:t xml:space="preserve">-sells already have one thousand users in this area and some trips of the waste collection and delivery are overlap has the same. </w:t>
      </w:r>
      <w:proofErr w:type="gramStart"/>
      <w:r w:rsidRPr="00A014FD">
        <w:t>So</w:t>
      </w:r>
      <w:proofErr w:type="gramEnd"/>
      <w:r w:rsidRPr="00A014FD">
        <w:t xml:space="preserve"> these model can help them reduce about fifteen percent of delivery costs during the operations. This is how they get economic reward from this project from there, from just from their manager’s opinion.</w:t>
      </w:r>
    </w:p>
    <w:p w14:paraId="18E2A411" w14:textId="77777777" w:rsidR="005400D8" w:rsidRPr="00A014FD" w:rsidRDefault="005400D8" w:rsidP="005400D8">
      <w:pPr>
        <w:spacing w:before="240" w:after="240"/>
        <w:rPr>
          <w:b/>
          <w:bCs/>
          <w:color w:val="FF0000"/>
        </w:rPr>
      </w:pPr>
      <w:r w:rsidRPr="00A014FD">
        <w:rPr>
          <w:b/>
          <w:bCs/>
          <w:color w:val="FF0000"/>
        </w:rPr>
        <w:t>Percentage of Alternative Vehicles</w:t>
      </w:r>
    </w:p>
    <w:p w14:paraId="49BCF0F3" w14:textId="77777777" w:rsidR="005400D8" w:rsidRPr="00A014FD" w:rsidRDefault="005400D8" w:rsidP="005400D8">
      <w:pPr>
        <w:spacing w:before="240" w:after="240"/>
      </w:pPr>
      <w:r w:rsidRPr="00A014FD">
        <w:t xml:space="preserve">I mean it is now, you have those small vehicles that do maybe six </w:t>
      </w:r>
      <w:proofErr w:type="spellStart"/>
      <w:r w:rsidRPr="00A014FD">
        <w:t>kilometers</w:t>
      </w:r>
      <w:proofErr w:type="spellEnd"/>
      <w:r w:rsidRPr="00A014FD">
        <w:t xml:space="preserve">. Okay, you can have those ones in different parts of the city. And then they have all our vehicles that bring it from the central points to the recycling station. And </w:t>
      </w:r>
      <w:proofErr w:type="gramStart"/>
      <w:r w:rsidRPr="00A014FD">
        <w:t>let's</w:t>
      </w:r>
      <w:proofErr w:type="gramEnd"/>
      <w:r w:rsidRPr="00A014FD">
        <w:t xml:space="preserve"> run twenty </w:t>
      </w:r>
      <w:proofErr w:type="spellStart"/>
      <w:r w:rsidRPr="00A014FD">
        <w:t>kilometers</w:t>
      </w:r>
      <w:proofErr w:type="spellEnd"/>
      <w:r w:rsidRPr="00A014FD">
        <w:t xml:space="preserve"> uh, might be that it's that it becomes interesting to replace these ones also with electric vehicles. </w:t>
      </w:r>
    </w:p>
    <w:p w14:paraId="70746CC5" w14:textId="77777777" w:rsidR="005400D8" w:rsidRPr="00A014FD" w:rsidRDefault="005400D8" w:rsidP="005400D8">
      <w:pPr>
        <w:spacing w:before="240" w:after="240"/>
      </w:pPr>
      <w:r w:rsidRPr="00A014FD">
        <w:t xml:space="preserve">but right </w:t>
      </w:r>
      <w:proofErr w:type="gramStart"/>
      <w:r w:rsidRPr="00A014FD">
        <w:t>now</w:t>
      </w:r>
      <w:proofErr w:type="gramEnd"/>
      <w:r w:rsidRPr="00A014FD">
        <w:t xml:space="preserve"> that's not the case. So right </w:t>
      </w:r>
      <w:proofErr w:type="gramStart"/>
      <w:r w:rsidRPr="00A014FD">
        <w:t>now</w:t>
      </w:r>
      <w:proofErr w:type="gramEnd"/>
      <w:r w:rsidRPr="00A014FD">
        <w:t xml:space="preserve"> is this the small inner city circles that the electric and the ones from and to the city there's not a vector because the waste </w:t>
      </w:r>
      <w:r w:rsidRPr="00A014FD">
        <w:lastRenderedPageBreak/>
        <w:t xml:space="preserve">collecting companies they want to expand they are delivery else. Therefore, they bought another new vehicle like this one but a little bigger. </w:t>
      </w:r>
    </w:p>
    <w:p w14:paraId="3D7DC13F" w14:textId="77777777" w:rsidR="005400D8" w:rsidRPr="00A014FD" w:rsidRDefault="005400D8" w:rsidP="005400D8">
      <w:pPr>
        <w:spacing w:before="240" w:after="240"/>
      </w:pPr>
      <w:r w:rsidRPr="00A014FD">
        <w:t xml:space="preserve">I </w:t>
      </w:r>
      <w:proofErr w:type="gramStart"/>
      <w:r w:rsidRPr="00A014FD">
        <w:t>didn't</w:t>
      </w:r>
      <w:proofErr w:type="gramEnd"/>
      <w:r w:rsidRPr="00A014FD">
        <w:t xml:space="preserve"> know that they bought a new one and the things that how is this for example they have a small warehouse in the city </w:t>
      </w:r>
      <w:proofErr w:type="spellStart"/>
      <w:r w:rsidRPr="00A014FD">
        <w:t>centers</w:t>
      </w:r>
      <w:proofErr w:type="spellEnd"/>
      <w:r w:rsidRPr="00A014FD">
        <w:t xml:space="preserve"> and the big truck delivery good here and use small vehicles. Do you do you know home </w:t>
      </w:r>
      <w:proofErr w:type="gramStart"/>
      <w:r w:rsidRPr="00A014FD">
        <w:t>what's</w:t>
      </w:r>
      <w:proofErr w:type="gramEnd"/>
      <w:r w:rsidRPr="00A014FD">
        <w:t xml:space="preserve"> the total size of the delivery area? </w:t>
      </w:r>
    </w:p>
    <w:p w14:paraId="1C6B5525" w14:textId="77777777" w:rsidR="005400D8" w:rsidRPr="00A014FD" w:rsidRDefault="005400D8" w:rsidP="005400D8">
      <w:pPr>
        <w:spacing w:before="240" w:after="240"/>
      </w:pPr>
      <w:r w:rsidRPr="00A014FD">
        <w:t xml:space="preserve">I would say it's the roads four square </w:t>
      </w:r>
      <w:proofErr w:type="spellStart"/>
      <w:r w:rsidRPr="00A014FD">
        <w:t>kilometers</w:t>
      </w:r>
      <w:proofErr w:type="spellEnd"/>
      <w:r w:rsidRPr="00A014FD">
        <w:t xml:space="preserve"> between lawmen for so between one </w:t>
      </w:r>
      <w:proofErr w:type="gramStart"/>
      <w:r w:rsidRPr="00A014FD">
        <w:t>times</w:t>
      </w:r>
      <w:proofErr w:type="gramEnd"/>
      <w:r w:rsidRPr="00A014FD">
        <w:t xml:space="preserve"> one and two times two. Oh, yeah, I think so because they tell me they have two charges after each dinner in charge of it around yes afternoons charged with battery charge this battery with round. </w:t>
      </w:r>
    </w:p>
    <w:p w14:paraId="5CAE3C50" w14:textId="77777777" w:rsidR="005400D8" w:rsidRPr="00A014FD" w:rsidRDefault="005400D8" w:rsidP="005400D8">
      <w:pPr>
        <w:spacing w:before="240" w:after="240"/>
      </w:pPr>
      <w:proofErr w:type="gramStart"/>
      <w:r w:rsidRPr="00A014FD">
        <w:t>So</w:t>
      </w:r>
      <w:proofErr w:type="gramEnd"/>
      <w:r w:rsidRPr="00A014FD">
        <w:t xml:space="preserve"> they are wondering that how to allocate it at the new warehouse sites for the new vehicles so that the new vehicles are they </w:t>
      </w:r>
      <w:proofErr w:type="spellStart"/>
      <w:r w:rsidRPr="00A014FD">
        <w:t>gonna</w:t>
      </w:r>
      <w:proofErr w:type="spellEnd"/>
      <w:r w:rsidRPr="00A014FD">
        <w:t xml:space="preserve"> drive in gamma stan? Are they </w:t>
      </w:r>
      <w:proofErr w:type="spellStart"/>
      <w:r w:rsidRPr="00A014FD">
        <w:t>gonna</w:t>
      </w:r>
      <w:proofErr w:type="spellEnd"/>
      <w:r w:rsidRPr="00A014FD">
        <w:t xml:space="preserve"> drive in in the in the inner city? They </w:t>
      </w:r>
      <w:proofErr w:type="gramStart"/>
      <w:r w:rsidRPr="00A014FD">
        <w:t>didn't</w:t>
      </w:r>
      <w:proofErr w:type="gramEnd"/>
      <w:r w:rsidRPr="00A014FD">
        <w:t xml:space="preserve"> tell me. </w:t>
      </w:r>
      <w:proofErr w:type="gramStart"/>
      <w:r w:rsidRPr="00A014FD">
        <w:t>So</w:t>
      </w:r>
      <w:proofErr w:type="gramEnd"/>
      <w:r w:rsidRPr="00A014FD">
        <w:t xml:space="preserve"> I think the new vehicles should be delivered the same air, the same size air. That is one but not </w:t>
      </w:r>
      <w:proofErr w:type="spellStart"/>
      <w:r w:rsidRPr="00A014FD">
        <w:t>not</w:t>
      </w:r>
      <w:proofErr w:type="spellEnd"/>
      <w:r w:rsidRPr="00A014FD">
        <w:t xml:space="preserve"> the same place. </w:t>
      </w:r>
    </w:p>
    <w:p w14:paraId="234CBB08" w14:textId="77777777" w:rsidR="005400D8" w:rsidRPr="00A014FD" w:rsidRDefault="005400D8" w:rsidP="005400D8">
      <w:pPr>
        <w:spacing w:line="276" w:lineRule="auto"/>
        <w:rPr>
          <w:b/>
          <w:bCs/>
        </w:rPr>
      </w:pPr>
    </w:p>
    <w:p w14:paraId="51AFDFF2" w14:textId="77777777" w:rsidR="005400D8" w:rsidRPr="00A014FD" w:rsidRDefault="005400D8" w:rsidP="005400D8">
      <w:pPr>
        <w:spacing w:line="276" w:lineRule="auto"/>
        <w:rPr>
          <w:b/>
          <w:bCs/>
          <w:color w:val="FF0000"/>
        </w:rPr>
      </w:pPr>
      <w:r w:rsidRPr="00A014FD">
        <w:rPr>
          <w:b/>
          <w:bCs/>
          <w:color w:val="FF0000"/>
        </w:rPr>
        <w:t>Travel Miles in Urban Areas (TMUA)</w:t>
      </w:r>
    </w:p>
    <w:p w14:paraId="632F3009" w14:textId="77777777" w:rsidR="005400D8" w:rsidRPr="00A014FD" w:rsidRDefault="005400D8" w:rsidP="005400D8">
      <w:pPr>
        <w:spacing w:before="240" w:after="240"/>
      </w:pPr>
      <w:r w:rsidRPr="00A014FD">
        <w:t xml:space="preserve">Opinion: I </w:t>
      </w:r>
      <w:proofErr w:type="gramStart"/>
      <w:r w:rsidRPr="00A014FD">
        <w:t>don't</w:t>
      </w:r>
      <w:proofErr w:type="gramEnd"/>
      <w:r w:rsidRPr="00A014FD">
        <w:t xml:space="preserve"> know how much this truck reduces traffic miles. But I think that it reduces traffic miles with (comparing) bigger fuel-based vehicles. The progress (of this project) is to replace the bigger fuel-based vehicles by </w:t>
      </w:r>
      <w:proofErr w:type="gramStart"/>
      <w:r w:rsidRPr="00A014FD">
        <w:t>this small vehicles</w:t>
      </w:r>
      <w:proofErr w:type="gramEnd"/>
      <w:r w:rsidRPr="00A014FD">
        <w:t xml:space="preserve"> in the historian zone, let's see delivered to do this little truck. And then the little truck is </w:t>
      </w:r>
      <w:r w:rsidRPr="00A014FD">
        <w:lastRenderedPageBreak/>
        <w:t xml:space="preserve">driving around in the city </w:t>
      </w:r>
      <w:proofErr w:type="spellStart"/>
      <w:r w:rsidRPr="00A014FD">
        <w:t>center</w:t>
      </w:r>
      <w:proofErr w:type="spellEnd"/>
      <w:r w:rsidRPr="00A014FD">
        <w:t xml:space="preserve">. You still might have the same the same trips (travel miles), but it used the electric vehicles and reduce the emissions. </w:t>
      </w:r>
    </w:p>
    <w:p w14:paraId="2452C368" w14:textId="77777777" w:rsidR="005400D8" w:rsidRPr="00A014FD" w:rsidRDefault="005400D8" w:rsidP="005400D8">
      <w:pPr>
        <w:spacing w:before="240" w:after="240"/>
      </w:pPr>
      <w:r w:rsidRPr="00A014FD">
        <w:t xml:space="preserve">Because of the fact that they had their combining different </w:t>
      </w:r>
      <w:proofErr w:type="gramStart"/>
      <w:r w:rsidRPr="00A014FD">
        <w:t>types</w:t>
      </w:r>
      <w:proofErr w:type="gramEnd"/>
      <w:r w:rsidRPr="00A014FD">
        <w:t xml:space="preserve"> business, it might be travel miles can be reduced because of that. We were not able to measure the combination of packages and a waste collection. Because we </w:t>
      </w:r>
      <w:proofErr w:type="gramStart"/>
      <w:r w:rsidRPr="00A014FD">
        <w:t>didn't</w:t>
      </w:r>
      <w:proofErr w:type="gramEnd"/>
      <w:r w:rsidRPr="00A014FD">
        <w:t xml:space="preserve"> have data about distribution of goods (this model). </w:t>
      </w:r>
    </w:p>
    <w:p w14:paraId="161F231B" w14:textId="77777777" w:rsidR="005400D8" w:rsidRPr="00A014FD" w:rsidRDefault="005400D8" w:rsidP="005400D8">
      <w:pPr>
        <w:spacing w:before="240" w:after="240"/>
        <w:rPr>
          <w:b/>
          <w:bCs/>
          <w:color w:val="FF0000"/>
        </w:rPr>
      </w:pPr>
      <w:r w:rsidRPr="00A014FD">
        <w:rPr>
          <w:b/>
          <w:bCs/>
          <w:color w:val="FF0000"/>
        </w:rPr>
        <w:t>Truck loading rate</w:t>
      </w:r>
    </w:p>
    <w:p w14:paraId="439290BC" w14:textId="77777777" w:rsidR="005400D8" w:rsidRPr="00A014FD" w:rsidRDefault="005400D8" w:rsidP="005400D8">
      <w:pPr>
        <w:spacing w:before="240" w:after="240"/>
        <w:rPr>
          <w:color w:val="FF0000"/>
        </w:rPr>
      </w:pPr>
      <w:r w:rsidRPr="00A014FD">
        <w:t xml:space="preserve">IT's a </w:t>
      </w:r>
      <w:proofErr w:type="spellStart"/>
      <w:r w:rsidRPr="00A014FD">
        <w:t>tradeoff</w:t>
      </w:r>
      <w:proofErr w:type="spellEnd"/>
      <w:r w:rsidRPr="00A014FD">
        <w:t xml:space="preserve"> because if you make container broader, it's not so easy to go through </w:t>
      </w:r>
      <w:proofErr w:type="gramStart"/>
      <w:r w:rsidRPr="00A014FD">
        <w:t>this narrow streets</w:t>
      </w:r>
      <w:proofErr w:type="gramEnd"/>
      <w:r w:rsidRPr="00A014FD">
        <w:t xml:space="preserve"> that are, I mean part of this idea of us that you</w:t>
      </w:r>
      <w:r>
        <w:t xml:space="preserve"> </w:t>
      </w:r>
      <w:r w:rsidRPr="00A014FD">
        <w:t xml:space="preserve">are in the narrow streets and as you can </w:t>
      </w:r>
      <w:proofErr w:type="spellStart"/>
      <w:r w:rsidRPr="00A014FD">
        <w:t>can</w:t>
      </w:r>
      <w:proofErr w:type="spellEnd"/>
      <w:r w:rsidRPr="00A014FD">
        <w:t xml:space="preserve"> deliver also to areas where it's not easy to deliver with conventional sizes. Maybe this package weighs half a kilogram. But a lot of the volume. Yeah. </w:t>
      </w:r>
      <w:proofErr w:type="gramStart"/>
      <w:r w:rsidRPr="00A014FD">
        <w:t>So</w:t>
      </w:r>
      <w:proofErr w:type="gramEnd"/>
      <w:r w:rsidRPr="00A014FD">
        <w:t xml:space="preserve"> I think if I a part of it is due to the fact that we are talking about baggage is and bottles Okay, </w:t>
      </w:r>
      <w:proofErr w:type="spellStart"/>
      <w:r w:rsidRPr="00A014FD">
        <w:t>Ragn</w:t>
      </w:r>
      <w:proofErr w:type="spellEnd"/>
      <w:r w:rsidRPr="00A014FD">
        <w:t xml:space="preserve">-Sells has reported this with us, we are not aware of this issue when we design this truck. We did not pay much attention to the container size. Whether they want to make it broader, I think it depends on the area. If you have an area where </w:t>
      </w:r>
      <w:proofErr w:type="gramStart"/>
      <w:r w:rsidRPr="00A014FD">
        <w:t>there's</w:t>
      </w:r>
      <w:proofErr w:type="gramEnd"/>
      <w:r w:rsidRPr="00A014FD">
        <w:t xml:space="preserve"> more space, you can make the size larger.</w:t>
      </w:r>
      <w:r w:rsidRPr="00A014FD">
        <w:rPr>
          <w:color w:val="FF0000"/>
        </w:rPr>
        <w:t xml:space="preserve"> </w:t>
      </w:r>
    </w:p>
    <w:p w14:paraId="68C7528A" w14:textId="77777777" w:rsidR="005400D8" w:rsidRPr="00A014FD" w:rsidRDefault="005400D8" w:rsidP="005400D8">
      <w:pPr>
        <w:spacing w:before="240" w:after="240"/>
        <w:rPr>
          <w:b/>
          <w:bCs/>
          <w:color w:val="FF0000"/>
        </w:rPr>
      </w:pPr>
      <w:r w:rsidRPr="00A014FD">
        <w:rPr>
          <w:b/>
          <w:bCs/>
          <w:color w:val="FF0000"/>
        </w:rPr>
        <w:t>Total Travel Time in the city centre (TTT)</w:t>
      </w:r>
    </w:p>
    <w:p w14:paraId="41B65498" w14:textId="77777777" w:rsidR="005400D8" w:rsidRPr="00A014FD" w:rsidRDefault="005400D8" w:rsidP="005400D8">
      <w:pPr>
        <w:spacing w:before="240" w:after="240"/>
      </w:pPr>
      <w:r w:rsidRPr="00A014FD">
        <w:t xml:space="preserve">They use these vehicles and provide two trips every day and each </w:t>
      </w:r>
      <w:proofErr w:type="gramStart"/>
      <w:r w:rsidRPr="00A014FD">
        <w:t>trips</w:t>
      </w:r>
      <w:proofErr w:type="gramEnd"/>
      <w:r w:rsidRPr="00A014FD">
        <w:t xml:space="preserve"> for three hours. </w:t>
      </w:r>
      <w:proofErr w:type="gramStart"/>
      <w:r w:rsidRPr="00A014FD">
        <w:t>so</w:t>
      </w:r>
      <w:proofErr w:type="gramEnd"/>
      <w:r w:rsidRPr="00A014FD">
        <w:t xml:space="preserve"> they drive six hours a day.</w:t>
      </w:r>
    </w:p>
    <w:p w14:paraId="0AD82A9B" w14:textId="77777777" w:rsidR="005400D8" w:rsidRPr="00A014FD" w:rsidRDefault="005400D8" w:rsidP="005400D8">
      <w:pPr>
        <w:spacing w:before="240" w:after="240"/>
      </w:pPr>
      <w:r w:rsidRPr="00A014FD">
        <w:lastRenderedPageBreak/>
        <w:t xml:space="preserve">And here I put a bit more to do, right, because total travel time in city </w:t>
      </w:r>
      <w:proofErr w:type="spellStart"/>
      <w:r w:rsidRPr="00A014FD">
        <w:t>center</w:t>
      </w:r>
      <w:proofErr w:type="spellEnd"/>
      <w:r w:rsidRPr="00A014FD">
        <w:t xml:space="preserve">. And, they </w:t>
      </w:r>
      <w:proofErr w:type="gramStart"/>
      <w:r w:rsidRPr="00A014FD">
        <w:t>have to</w:t>
      </w:r>
      <w:proofErr w:type="gramEnd"/>
      <w:r w:rsidRPr="00A014FD">
        <w:t xml:space="preserve"> make you know they want to get less vehicles on the streets, even less vehicles parked., that's one of their targets. On the other hand, they have their budget that they do not want to spend. </w:t>
      </w:r>
      <w:proofErr w:type="gramStart"/>
      <w:r w:rsidRPr="00A014FD">
        <w:t>So</w:t>
      </w:r>
      <w:proofErr w:type="gramEnd"/>
      <w:r w:rsidRPr="00A014FD">
        <w:t xml:space="preserve"> it's a bit of trade off that I have here. Just </w:t>
      </w:r>
      <w:proofErr w:type="gramStart"/>
      <w:r w:rsidRPr="00A014FD">
        <w:t>that's</w:t>
      </w:r>
      <w:proofErr w:type="gramEnd"/>
      <w:r w:rsidRPr="00A014FD">
        <w:t xml:space="preserve"> why I didn't put them here at nine. And that's because from previous studies we find that they are trust the electrical trucks have been </w:t>
      </w:r>
      <w:proofErr w:type="gramStart"/>
      <w:r w:rsidRPr="00A014FD">
        <w:t>have</w:t>
      </w:r>
      <w:proofErr w:type="gramEnd"/>
      <w:r w:rsidRPr="00A014FD">
        <w:t xml:space="preserve"> to park in the in the city l for about two hours a day. Total </w:t>
      </w:r>
      <w:proofErr w:type="gramStart"/>
      <w:r w:rsidRPr="00A014FD">
        <w:t>trip</w:t>
      </w:r>
      <w:proofErr w:type="gramEnd"/>
      <w:r w:rsidRPr="00A014FD">
        <w:t xml:space="preserve"> include total trip. </w:t>
      </w:r>
      <w:proofErr w:type="gramStart"/>
      <w:r w:rsidRPr="00A014FD">
        <w:t>So</w:t>
      </w:r>
      <w:proofErr w:type="gramEnd"/>
      <w:r w:rsidRPr="00A014FD">
        <w:t xml:space="preserve"> it's uh, because it's very big and uh, how to say that it's a well occupy half of the size of the road. </w:t>
      </w:r>
      <w:proofErr w:type="gramStart"/>
      <w:r w:rsidRPr="00A014FD">
        <w:t>So</w:t>
      </w:r>
      <w:proofErr w:type="gramEnd"/>
      <w:r w:rsidRPr="00A014FD">
        <w:t xml:space="preserve"> it has a great influence on the traffic flow. Yeah. </w:t>
      </w:r>
      <w:proofErr w:type="gramStart"/>
      <w:r w:rsidRPr="00A014FD">
        <w:t>So</w:t>
      </w:r>
      <w:proofErr w:type="gramEnd"/>
      <w:r w:rsidRPr="00A014FD">
        <w:t xml:space="preserve"> this is the Stockholm </w:t>
      </w:r>
      <w:proofErr w:type="spellStart"/>
      <w:r w:rsidRPr="00A014FD">
        <w:t>stad</w:t>
      </w:r>
      <w:proofErr w:type="spellEnd"/>
      <w:r w:rsidRPr="00A014FD">
        <w:t xml:space="preserve"> want to avoid during the delivery, but they do not give any supporting no regulation for this children rights community in time. </w:t>
      </w:r>
    </w:p>
    <w:p w14:paraId="21E7388E" w14:textId="77777777" w:rsidR="005400D8" w:rsidRPr="00A014FD" w:rsidRDefault="005400D8" w:rsidP="005400D8">
      <w:pPr>
        <w:spacing w:before="240" w:after="240"/>
        <w:rPr>
          <w:b/>
          <w:bCs/>
          <w:color w:val="FF0000"/>
        </w:rPr>
      </w:pPr>
      <w:r w:rsidRPr="00A014FD">
        <w:rPr>
          <w:b/>
          <w:bCs/>
          <w:color w:val="FF0000"/>
        </w:rPr>
        <w:t>Time for On-street Parking (TOP)</w:t>
      </w:r>
    </w:p>
    <w:p w14:paraId="2D700F27" w14:textId="048C3AF7" w:rsidR="0000015A" w:rsidRDefault="005400D8" w:rsidP="0000015A">
      <w:pPr>
        <w:spacing w:before="240" w:after="240"/>
      </w:pPr>
      <w:r w:rsidRPr="00A014FD">
        <w:t xml:space="preserve">Half of the delivery time is for the parking. This vehicle suffers a lot of issues when it is parking. the parking place are already occupied by the bad companies, and there's not many </w:t>
      </w:r>
      <w:proofErr w:type="gramStart"/>
      <w:r w:rsidRPr="00A014FD">
        <w:t>place</w:t>
      </w:r>
      <w:proofErr w:type="gramEnd"/>
      <w:r w:rsidRPr="00A014FD">
        <w:t xml:space="preserve"> for their parking. this project </w:t>
      </w:r>
      <w:proofErr w:type="gramStart"/>
      <w:r w:rsidRPr="00A014FD">
        <w:t>are</w:t>
      </w:r>
      <w:proofErr w:type="gramEnd"/>
      <w:r w:rsidRPr="00A014FD">
        <w:t xml:space="preserve"> sharing with other companies in inner city area and that means you are dealing with different competitors that all have their vans and stairs, unless you can get your private parking places for whatever reason. </w:t>
      </w:r>
      <w:proofErr w:type="gramStart"/>
      <w:r w:rsidRPr="00A014FD">
        <w:t>But,</w:t>
      </w:r>
      <w:proofErr w:type="gramEnd"/>
      <w:r w:rsidRPr="00A014FD">
        <w:t xml:space="preserve"> this is impossible since Stockholm </w:t>
      </w:r>
      <w:proofErr w:type="spellStart"/>
      <w:r w:rsidRPr="00A014FD">
        <w:t>stad</w:t>
      </w:r>
      <w:proofErr w:type="spellEnd"/>
      <w:r w:rsidRPr="00A014FD">
        <w:t xml:space="preserve"> stops. </w:t>
      </w:r>
      <w:proofErr w:type="gramStart"/>
      <w:r w:rsidRPr="00A014FD">
        <w:t>It's</w:t>
      </w:r>
      <w:proofErr w:type="gramEnd"/>
      <w:r w:rsidRPr="00A014FD">
        <w:t xml:space="preserve"> not reality giving place to a specific way, because it's against a Swedish law. </w:t>
      </w:r>
    </w:p>
    <w:p w14:paraId="12BECE3B" w14:textId="7D0B22AC" w:rsidR="0000015A" w:rsidRPr="0000015A" w:rsidRDefault="0000015A" w:rsidP="0000015A">
      <w:pPr>
        <w:spacing w:before="240" w:after="240"/>
      </w:pPr>
      <w:r>
        <w:t xml:space="preserve">Interview with office of royal </w:t>
      </w:r>
      <w:proofErr w:type="spellStart"/>
      <w:r>
        <w:t>seport</w:t>
      </w:r>
      <w:proofErr w:type="spellEnd"/>
    </w:p>
    <w:p w14:paraId="0F6E9EF9" w14:textId="77777777" w:rsidR="005400D8" w:rsidRPr="00A014FD" w:rsidRDefault="005400D8" w:rsidP="005400D8">
      <w:pPr>
        <w:rPr>
          <w:b/>
          <w:bCs/>
        </w:rPr>
      </w:pPr>
      <w:r w:rsidRPr="00A014FD">
        <w:rPr>
          <w:b/>
          <w:bCs/>
        </w:rPr>
        <w:lastRenderedPageBreak/>
        <w:t>Interviewee make an introduction for this project.</w:t>
      </w:r>
    </w:p>
    <w:p w14:paraId="21D56224" w14:textId="77777777" w:rsidR="005400D8" w:rsidRPr="00A014FD" w:rsidRDefault="005400D8" w:rsidP="005400D8">
      <w:r w:rsidRPr="00A014FD">
        <w:t>The construction company order the materials, and they also booking time slot for the vehicles. This UCC store their goods and use small vehicle deliver the goods into their site. And carry all the waste outside this area. The waste is generated from destroy the old building.</w:t>
      </w:r>
    </w:p>
    <w:p w14:paraId="1222D4F3" w14:textId="77777777" w:rsidR="005400D8" w:rsidRDefault="005400D8" w:rsidP="005400D8">
      <w:pPr>
        <w:rPr>
          <w:b/>
          <w:bCs/>
        </w:rPr>
      </w:pPr>
    </w:p>
    <w:p w14:paraId="5D5027E5" w14:textId="77777777" w:rsidR="005400D8" w:rsidRPr="00A014FD" w:rsidRDefault="005400D8" w:rsidP="005400D8">
      <w:pPr>
        <w:rPr>
          <w:b/>
          <w:bCs/>
        </w:rPr>
      </w:pPr>
      <w:r w:rsidRPr="00A014FD">
        <w:rPr>
          <w:b/>
          <w:bCs/>
        </w:rPr>
        <w:t>Do you know the cost structure of UCC? Do you have the exact figure about this?</w:t>
      </w:r>
    </w:p>
    <w:p w14:paraId="6717702E" w14:textId="77777777" w:rsidR="005400D8" w:rsidRPr="00A014FD" w:rsidRDefault="005400D8" w:rsidP="005400D8">
      <w:r w:rsidRPr="00A014FD">
        <w:t xml:space="preserve">I will show you the report, it has the details. </w:t>
      </w:r>
    </w:p>
    <w:p w14:paraId="09377572" w14:textId="77777777" w:rsidR="005400D8" w:rsidRPr="00A014FD" w:rsidRDefault="005400D8" w:rsidP="005400D8">
      <w:pPr>
        <w:rPr>
          <w:b/>
          <w:bCs/>
        </w:rPr>
      </w:pPr>
      <w:r w:rsidRPr="00A014FD">
        <w:rPr>
          <w:b/>
          <w:bCs/>
        </w:rPr>
        <w:t>Can you give more details about the organizational structural of this UCC?</w:t>
      </w:r>
    </w:p>
    <w:p w14:paraId="2FA15CFF" w14:textId="77777777" w:rsidR="005400D8" w:rsidRPr="00A014FD" w:rsidRDefault="005400D8" w:rsidP="005400D8">
      <w:r w:rsidRPr="00A014FD">
        <w:t xml:space="preserve">This is the report. Stockholm </w:t>
      </w:r>
      <w:proofErr w:type="gramStart"/>
      <w:r w:rsidRPr="00A014FD">
        <w:t>city</w:t>
      </w:r>
      <w:proofErr w:type="gramEnd"/>
      <w:r w:rsidRPr="00A014FD">
        <w:t xml:space="preserve"> build this construction consolidation </w:t>
      </w:r>
      <w:proofErr w:type="spellStart"/>
      <w:r w:rsidRPr="00A014FD">
        <w:t>center</w:t>
      </w:r>
      <w:proofErr w:type="spellEnd"/>
      <w:r w:rsidRPr="00A014FD">
        <w:t xml:space="preserve">. We hire a third-party company to manage this facility. Stockholm city is the owner. we have a lot of stuff we </w:t>
      </w:r>
      <w:proofErr w:type="gramStart"/>
      <w:r w:rsidRPr="00A014FD">
        <w:t>have to</w:t>
      </w:r>
      <w:proofErr w:type="gramEnd"/>
      <w:r w:rsidRPr="00A014FD">
        <w:t xml:space="preserve"> buy, for the operating because we take the fee for the gates and fences and we'll use the fee when start building here. we have a new organization I would show them to you, and then we can show you before, in before we have one operator. now we have several operators together.</w:t>
      </w:r>
    </w:p>
    <w:p w14:paraId="5C798085" w14:textId="77777777" w:rsidR="005400D8" w:rsidRPr="00A014FD" w:rsidRDefault="005400D8" w:rsidP="005400D8">
      <w:pPr>
        <w:spacing w:before="240" w:after="240"/>
      </w:pPr>
      <w:r w:rsidRPr="00A014FD">
        <w:t xml:space="preserve">So, this is a new organization because we saw that </w:t>
      </w:r>
      <w:proofErr w:type="gramStart"/>
      <w:r w:rsidRPr="00A014FD">
        <w:t>it's</w:t>
      </w:r>
      <w:proofErr w:type="gramEnd"/>
      <w:r w:rsidRPr="00A014FD">
        <w:t xml:space="preserve"> he said for the city to lead and manage the organization for this stuff. </w:t>
      </w:r>
      <w:proofErr w:type="gramStart"/>
      <w:r w:rsidRPr="00A014FD">
        <w:t>So</w:t>
      </w:r>
      <w:proofErr w:type="gramEnd"/>
      <w:r w:rsidRPr="00A014FD">
        <w:t xml:space="preserve"> this is their names. here, </w:t>
      </w:r>
      <w:proofErr w:type="gramStart"/>
      <w:r w:rsidRPr="00A014FD">
        <w:t>that's</w:t>
      </w:r>
      <w:proofErr w:type="gramEnd"/>
      <w:r w:rsidRPr="00A014FD">
        <w:t xml:space="preserve"> the main operator we have before. And this was the organization for Um. So, we have storage, logistic coordinators, gates. IT systems, we have big building support. We have guarding and electric They're always on. But we bought this because it was a new </w:t>
      </w:r>
      <w:r w:rsidRPr="00A014FD">
        <w:lastRenderedPageBreak/>
        <w:t xml:space="preserve">product for us. And it was a new party for Stockholm </w:t>
      </w:r>
      <w:proofErr w:type="spellStart"/>
      <w:r w:rsidRPr="00A014FD">
        <w:t>stad</w:t>
      </w:r>
      <w:proofErr w:type="spellEnd"/>
      <w:r w:rsidRPr="00A014FD">
        <w:t xml:space="preserve"> too. </w:t>
      </w:r>
      <w:proofErr w:type="gramStart"/>
      <w:r w:rsidRPr="00A014FD">
        <w:t>So</w:t>
      </w:r>
      <w:proofErr w:type="gramEnd"/>
      <w:r w:rsidRPr="00A014FD">
        <w:t xml:space="preserve"> we didn't know how to manage this. So, we set it was a research project, you could say innovation project. we have a new company growing up from this project, for the gates. So now we have new accompany who was selling gates for the Nordic countries from this project. </w:t>
      </w:r>
    </w:p>
    <w:p w14:paraId="3C445F02" w14:textId="77777777" w:rsidR="005400D8" w:rsidRPr="00A014FD" w:rsidRDefault="005400D8" w:rsidP="005400D8">
      <w:pPr>
        <w:spacing w:before="240" w:after="240"/>
      </w:pPr>
      <w:r w:rsidRPr="00A014FD">
        <w:t xml:space="preserve">I will show </w:t>
      </w:r>
      <w:proofErr w:type="gramStart"/>
      <w:r w:rsidRPr="00A014FD">
        <w:t>you,</w:t>
      </w:r>
      <w:proofErr w:type="gramEnd"/>
      <w:r w:rsidRPr="00A014FD">
        <w:t xml:space="preserve"> I think this would be more complicated than the old one. No, here. Yes. This is a contract for me. Yeah, of course, if you have one operator, I think </w:t>
      </w:r>
      <w:proofErr w:type="gramStart"/>
      <w:r w:rsidRPr="00A014FD">
        <w:t>it's</w:t>
      </w:r>
      <w:proofErr w:type="gramEnd"/>
      <w:r w:rsidRPr="00A014FD">
        <w:t xml:space="preserve"> the management, but it doesn't they didn't know the fix all the requirements today. The </w:t>
      </w:r>
      <w:proofErr w:type="spellStart"/>
      <w:r w:rsidRPr="00A014FD">
        <w:t>the</w:t>
      </w:r>
      <w:proofErr w:type="spellEnd"/>
      <w:r w:rsidRPr="00A014FD">
        <w:t xml:space="preserve"> one operator he added manage all these things. </w:t>
      </w:r>
      <w:proofErr w:type="gramStart"/>
      <w:r w:rsidRPr="00A014FD">
        <w:t>so</w:t>
      </w:r>
      <w:proofErr w:type="gramEnd"/>
      <w:r w:rsidRPr="00A014FD">
        <w:t xml:space="preserve"> we thought that it's easier for the city of stock all to have each contract eat everything. </w:t>
      </w:r>
    </w:p>
    <w:p w14:paraId="25FDB0C3" w14:textId="77777777" w:rsidR="005400D8" w:rsidRPr="00A014FD" w:rsidRDefault="005400D8" w:rsidP="005400D8">
      <w:pPr>
        <w:spacing w:before="240" w:after="240"/>
      </w:pPr>
      <w:proofErr w:type="gramStart"/>
      <w:r w:rsidRPr="00A014FD">
        <w:t>So</w:t>
      </w:r>
      <w:proofErr w:type="gramEnd"/>
      <w:r w:rsidRPr="00A014FD">
        <w:t xml:space="preserve"> we have electric safety. This is a for lightning, fences. And so </w:t>
      </w:r>
      <w:proofErr w:type="gramStart"/>
      <w:r w:rsidRPr="00A014FD">
        <w:t>far</w:t>
      </w:r>
      <w:proofErr w:type="gramEnd"/>
      <w:r w:rsidRPr="00A014FD">
        <w:t xml:space="preserve"> we have big support the building support in gates in in system waste one contract, storage, transport and machines. and this is the organization who is management here (set by Stockholm city), this is the new organization. This are six people, four people (organization) are here. two people here and one people here. Oh, and then you have to all the doing these people or organizations is management this kind of support here., this is a consulting organization and </w:t>
      </w:r>
      <w:proofErr w:type="gramStart"/>
      <w:r w:rsidRPr="00A014FD">
        <w:t>it's</w:t>
      </w:r>
      <w:proofErr w:type="gramEnd"/>
      <w:r w:rsidRPr="00A014FD">
        <w:t xml:space="preserve"> in my organization is easier for me. There is some direct contact with each person is working for the city of Stockholm. IT's easier for us to control. Because here I was alone here. Yes, </w:t>
      </w:r>
      <w:proofErr w:type="gramStart"/>
      <w:r w:rsidRPr="00A014FD">
        <w:t>that's</w:t>
      </w:r>
      <w:proofErr w:type="gramEnd"/>
      <w:r w:rsidRPr="00A014FD">
        <w:t xml:space="preserve"> one week per month. That was </w:t>
      </w:r>
      <w:proofErr w:type="gramStart"/>
      <w:r w:rsidRPr="00A014FD">
        <w:t>really hard</w:t>
      </w:r>
      <w:proofErr w:type="gramEnd"/>
      <w:r w:rsidRPr="00A014FD">
        <w:t xml:space="preserve"> for me to fix this here. IT's not easy because new have direct contract. We did guard and fence, low safety second man. </w:t>
      </w:r>
      <w:proofErr w:type="gramStart"/>
      <w:r w:rsidRPr="00A014FD">
        <w:t>So</w:t>
      </w:r>
      <w:proofErr w:type="gramEnd"/>
      <w:r w:rsidRPr="00A014FD">
        <w:t xml:space="preserve"> this we can manage it by ourself. </w:t>
      </w:r>
      <w:proofErr w:type="gramStart"/>
      <w:r w:rsidRPr="00A014FD">
        <w:t>So</w:t>
      </w:r>
      <w:proofErr w:type="gramEnd"/>
      <w:r w:rsidRPr="00A014FD">
        <w:t xml:space="preserve"> this </w:t>
      </w:r>
      <w:r w:rsidRPr="00A014FD">
        <w:lastRenderedPageBreak/>
        <w:t xml:space="preserve">organization is in in our organization and we have control of the economic and everything they could. IT's easier to have.so </w:t>
      </w:r>
      <w:proofErr w:type="gramStart"/>
      <w:r w:rsidRPr="00A014FD">
        <w:t>that's</w:t>
      </w:r>
      <w:proofErr w:type="gramEnd"/>
      <w:r w:rsidRPr="00A014FD">
        <w:t xml:space="preserve"> a big difference. But this organization is more expensive than the other one. because I have a lot of more people here in this project.</w:t>
      </w:r>
    </w:p>
    <w:p w14:paraId="1072E4F0" w14:textId="77777777" w:rsidR="005400D8" w:rsidRPr="00A014FD" w:rsidRDefault="005400D8" w:rsidP="005400D8">
      <w:pPr>
        <w:spacing w:before="240" w:after="240"/>
      </w:pPr>
      <w:r w:rsidRPr="00A014FD">
        <w:t xml:space="preserve">Another thing some important because we have to say we have some goals about the environmental achievement. Before this UCC is stand here. Direct transports </w:t>
      </w:r>
      <w:proofErr w:type="gramStart"/>
      <w:r w:rsidRPr="00A014FD">
        <w:t>is</w:t>
      </w:r>
      <w:proofErr w:type="gramEnd"/>
      <w:r w:rsidRPr="00A014FD">
        <w:t xml:space="preserve"> about the 90%, it means all goods is directly to the site. At beginning, just 11% is going to the ccc. But now I say that we must have more consolidating distributions, so from eleven percent to 40% for this delivery mode there. So that the direct transport to decide this should be the reduce to sixty percent new models. We have </w:t>
      </w:r>
      <w:proofErr w:type="gramStart"/>
      <w:r w:rsidRPr="00A014FD">
        <w:t>improve</w:t>
      </w:r>
      <w:proofErr w:type="gramEnd"/>
      <w:r w:rsidRPr="00A014FD">
        <w:t xml:space="preserve"> the environmental progress. This is because, we have </w:t>
      </w:r>
      <w:proofErr w:type="gramStart"/>
      <w:r w:rsidRPr="00A014FD">
        <w:t>increase</w:t>
      </w:r>
      <w:proofErr w:type="gramEnd"/>
      <w:r w:rsidRPr="00A014FD">
        <w:t xml:space="preserve"> the charging fee (fine) for the directly delivery. The fee for the entering gates was before one 190 SEK, now with 350 SEK drive inside. I switch the model for the economic model. </w:t>
      </w:r>
      <w:proofErr w:type="gramStart"/>
      <w:r w:rsidRPr="00A014FD">
        <w:t>So</w:t>
      </w:r>
      <w:proofErr w:type="gramEnd"/>
      <w:r w:rsidRPr="00A014FD">
        <w:t xml:space="preserve"> it's free for distribution from the </w:t>
      </w:r>
      <w:proofErr w:type="spellStart"/>
      <w:r w:rsidRPr="00A014FD">
        <w:t>center</w:t>
      </w:r>
      <w:proofErr w:type="spellEnd"/>
      <w:r w:rsidRPr="00A014FD">
        <w:t xml:space="preserve"> into the site. The fees we only charge is the materials that are storing in our facility. It reduced travel miles, reduce the emissions, because less traffic moves </w:t>
      </w:r>
      <w:proofErr w:type="gramStart"/>
      <w:r w:rsidRPr="00A014FD">
        <w:t>in.</w:t>
      </w:r>
      <w:proofErr w:type="gramEnd"/>
      <w:r w:rsidRPr="00A014FD">
        <w:t xml:space="preserve"> we also use the HVO vehicle for the distribution. </w:t>
      </w:r>
      <w:r w:rsidRPr="00E25437">
        <w:t>We have 100% HVO</w:t>
      </w:r>
      <w:r>
        <w:rPr>
          <w:rFonts w:hint="eastAsia"/>
        </w:rPr>
        <w:t>,</w:t>
      </w:r>
      <w:r w:rsidRPr="00E25437">
        <w:t xml:space="preserve"> </w:t>
      </w:r>
      <w:proofErr w:type="gramStart"/>
      <w:r w:rsidRPr="00A014FD">
        <w:t>It</w:t>
      </w:r>
      <w:proofErr w:type="gramEnd"/>
      <w:r w:rsidRPr="00A014FD">
        <w:t xml:space="preserve"> reduce 100% emission.</w:t>
      </w:r>
    </w:p>
    <w:p w14:paraId="22C5723A" w14:textId="77777777" w:rsidR="005400D8" w:rsidRPr="00A014FD" w:rsidRDefault="005400D8" w:rsidP="005400D8">
      <w:pPr>
        <w:spacing w:before="240" w:after="240"/>
        <w:rPr>
          <w:rFonts w:eastAsia="宋体"/>
          <w:b/>
          <w:bCs/>
        </w:rPr>
      </w:pPr>
      <w:r w:rsidRPr="00A014FD">
        <w:rPr>
          <w:rFonts w:eastAsia="宋体"/>
          <w:b/>
          <w:bCs/>
        </w:rPr>
        <w:t>Do you have the exact figures about the environmental progress?</w:t>
      </w:r>
    </w:p>
    <w:p w14:paraId="0BBBE6E7" w14:textId="77777777" w:rsidR="005400D8" w:rsidRPr="00A014FD" w:rsidRDefault="005400D8" w:rsidP="005400D8">
      <w:pPr>
        <w:spacing w:before="240" w:after="240"/>
      </w:pPr>
      <w:r w:rsidRPr="00A014FD">
        <w:t xml:space="preserve">NO. </w:t>
      </w:r>
    </w:p>
    <w:p w14:paraId="4295D880" w14:textId="77777777" w:rsidR="005400D8" w:rsidRPr="00A014FD" w:rsidRDefault="005400D8" w:rsidP="005400D8">
      <w:pPr>
        <w:spacing w:before="240" w:after="240"/>
      </w:pPr>
      <w:r w:rsidRPr="00A014FD">
        <w:lastRenderedPageBreak/>
        <w:t xml:space="preserve">Some supporting measures </w:t>
      </w:r>
      <w:proofErr w:type="gramStart"/>
      <w:r w:rsidRPr="00A014FD">
        <w:t>are already been</w:t>
      </w:r>
      <w:proofErr w:type="gramEnd"/>
      <w:r w:rsidRPr="00A014FD">
        <w:t xml:space="preserve"> taken. (</w:t>
      </w:r>
      <w:proofErr w:type="gramStart"/>
      <w:r w:rsidRPr="00A014FD">
        <w:t>in order to</w:t>
      </w:r>
      <w:proofErr w:type="gramEnd"/>
      <w:r w:rsidRPr="00A014FD">
        <w:t xml:space="preserve"> promote) the “a consolidator validation”. We have a policy that you </w:t>
      </w:r>
      <w:proofErr w:type="gramStart"/>
      <w:r w:rsidRPr="00A014FD">
        <w:t>can't</w:t>
      </w:r>
      <w:proofErr w:type="gramEnd"/>
      <w:r w:rsidRPr="00A014FD">
        <w:t xml:space="preserve"> store it on the site or around the buildings. you can just store inside your building. But </w:t>
      </w:r>
      <w:proofErr w:type="gramStart"/>
      <w:r w:rsidRPr="00A014FD">
        <w:t>it's</w:t>
      </w:r>
      <w:proofErr w:type="gramEnd"/>
      <w:r w:rsidRPr="00A014FD">
        <w:t xml:space="preserve"> free here for five days (to store in the UCC) but before is fourteen days. but now </w:t>
      </w:r>
      <w:proofErr w:type="gramStart"/>
      <w:r w:rsidRPr="00A014FD">
        <w:t>it's</w:t>
      </w:r>
      <w:proofErr w:type="gramEnd"/>
      <w:r w:rsidRPr="00A014FD">
        <w:t xml:space="preserve"> just five days. Ok, so we did, um, so here, because he free storage fourteen days. But now </w:t>
      </w:r>
      <w:proofErr w:type="gramStart"/>
      <w:r w:rsidRPr="00A014FD">
        <w:t>it's</w:t>
      </w:r>
      <w:proofErr w:type="gramEnd"/>
      <w:r w:rsidRPr="00A014FD">
        <w:t xml:space="preserve"> three days, fifteen days passed it different because from the fifteen, it was high. </w:t>
      </w:r>
    </w:p>
    <w:p w14:paraId="099F8344" w14:textId="77777777" w:rsidR="005400D8" w:rsidRPr="00A014FD" w:rsidRDefault="005400D8" w:rsidP="005400D8">
      <w:pPr>
        <w:spacing w:before="240" w:after="240"/>
        <w:rPr>
          <w:rFonts w:eastAsia="宋体"/>
          <w:b/>
          <w:bCs/>
        </w:rPr>
      </w:pPr>
      <w:r w:rsidRPr="00A014FD">
        <w:rPr>
          <w:rFonts w:eastAsia="宋体"/>
          <w:b/>
          <w:bCs/>
        </w:rPr>
        <w:t>What was the size of this facility?</w:t>
      </w:r>
    </w:p>
    <w:p w14:paraId="477B763C" w14:textId="77777777" w:rsidR="005400D8" w:rsidRPr="00A014FD" w:rsidRDefault="005400D8" w:rsidP="005400D8">
      <w:pPr>
        <w:spacing w:before="240" w:after="240"/>
      </w:pPr>
      <w:r w:rsidRPr="00A014FD">
        <w:t xml:space="preserve">Two thousand two hundred square meters. The main sources of the incomes are from the gate (fine of directly delivery) and goods storage in the UCC. We use the number to rank the usage rate of the storage. Currently it is 3, in the future it will be 6 or 7. If less goods are stored, the operational cost will be lower. The expected fees for the </w:t>
      </w:r>
      <w:proofErr w:type="gramStart"/>
      <w:r w:rsidRPr="00A014FD">
        <w:t>full-utilisation</w:t>
      </w:r>
      <w:proofErr w:type="gramEnd"/>
      <w:r w:rsidRPr="00A014FD">
        <w:t xml:space="preserve"> of warehouse is the 445SEK/M2, however, the real expense on the warehouse operation is 220SEK/M2. </w:t>
      </w:r>
    </w:p>
    <w:p w14:paraId="6673ADEB" w14:textId="77777777" w:rsidR="005400D8" w:rsidRPr="00A014FD" w:rsidRDefault="005400D8" w:rsidP="005400D8">
      <w:pPr>
        <w:spacing w:before="240" w:after="240"/>
        <w:rPr>
          <w:b/>
          <w:bCs/>
        </w:rPr>
      </w:pPr>
      <w:r w:rsidRPr="00A014FD">
        <w:rPr>
          <w:b/>
          <w:bCs/>
        </w:rPr>
        <w:t>Why do you set up so large size of the facility? Some of the investment seems not well utilised.</w:t>
      </w:r>
    </w:p>
    <w:p w14:paraId="7EE3ED34" w14:textId="77777777" w:rsidR="005400D8" w:rsidRPr="00A014FD" w:rsidRDefault="005400D8" w:rsidP="005400D8">
      <w:pPr>
        <w:spacing w:before="240" w:after="240"/>
      </w:pPr>
      <w:r w:rsidRPr="00A014FD">
        <w:t xml:space="preserve">According to our </w:t>
      </w:r>
      <w:r>
        <w:t>estimating</w:t>
      </w:r>
      <w:r w:rsidRPr="00A014FD">
        <w:t>, the final consolidated delivery will be 80% of the delivery into the site. Warehouse size is not a problem. Many of the empty spaces is prepared for the goods increasing. Goods and deliveries will increase because this site will expand.</w:t>
      </w:r>
    </w:p>
    <w:p w14:paraId="090FE61F" w14:textId="77777777" w:rsidR="005400D8" w:rsidRPr="00A014FD" w:rsidRDefault="005400D8" w:rsidP="005400D8">
      <w:pPr>
        <w:rPr>
          <w:b/>
          <w:bCs/>
        </w:rPr>
      </w:pPr>
      <w:r w:rsidRPr="00A014FD">
        <w:rPr>
          <w:b/>
          <w:bCs/>
        </w:rPr>
        <w:lastRenderedPageBreak/>
        <w:t xml:space="preserve">Goods handled per full-time equivalent </w:t>
      </w:r>
      <w:proofErr w:type="gramStart"/>
      <w:r w:rsidRPr="00A014FD">
        <w:rPr>
          <w:b/>
          <w:bCs/>
        </w:rPr>
        <w:t>employee</w:t>
      </w:r>
      <w:proofErr w:type="gramEnd"/>
    </w:p>
    <w:p w14:paraId="41FBDB0D" w14:textId="77777777" w:rsidR="005400D8" w:rsidRPr="00A014FD" w:rsidRDefault="005400D8" w:rsidP="005400D8">
      <w:r w:rsidRPr="00A014FD">
        <w:t xml:space="preserve">The consulting company manage the operation of the UCC. I </w:t>
      </w:r>
      <w:proofErr w:type="gramStart"/>
      <w:r w:rsidRPr="00A014FD">
        <w:t>don’t</w:t>
      </w:r>
      <w:proofErr w:type="gramEnd"/>
      <w:r w:rsidRPr="00A014FD">
        <w:t xml:space="preserve"> know the details about this.</w:t>
      </w:r>
    </w:p>
    <w:p w14:paraId="760F4681" w14:textId="77777777" w:rsidR="005400D8" w:rsidRPr="00A014FD" w:rsidRDefault="005400D8" w:rsidP="005400D8">
      <w:pPr>
        <w:rPr>
          <w:b/>
          <w:bCs/>
        </w:rPr>
      </w:pPr>
      <w:r w:rsidRPr="00A014FD">
        <w:rPr>
          <w:b/>
          <w:bCs/>
        </w:rPr>
        <w:t xml:space="preserve">Delivery accurate </w:t>
      </w:r>
      <w:r>
        <w:rPr>
          <w:rFonts w:hint="eastAsia"/>
          <w:b/>
          <w:bCs/>
        </w:rPr>
        <w:t>r</w:t>
      </w:r>
      <w:r w:rsidRPr="00A014FD">
        <w:rPr>
          <w:b/>
          <w:bCs/>
        </w:rPr>
        <w:t>ate</w:t>
      </w:r>
    </w:p>
    <w:p w14:paraId="4310B953" w14:textId="77777777" w:rsidR="005400D8" w:rsidRPr="00A014FD" w:rsidRDefault="005400D8" w:rsidP="005400D8">
      <w:pPr>
        <w:spacing w:line="276" w:lineRule="auto"/>
        <w:rPr>
          <w:rFonts w:eastAsia="宋体"/>
        </w:rPr>
      </w:pPr>
      <w:r w:rsidRPr="00A014FD">
        <w:rPr>
          <w:rFonts w:eastAsia="宋体"/>
        </w:rPr>
        <w:t xml:space="preserve">From the report, I know they are always damaged goods they delivery. This problem is caused by goods sorting in the warehouse, some kinds of materials are easy to be damaged. I know </w:t>
      </w:r>
      <w:proofErr w:type="spellStart"/>
      <w:r>
        <w:rPr>
          <w:rFonts w:eastAsia="宋体" w:hint="eastAsia"/>
        </w:rPr>
        <w:t>F</w:t>
      </w:r>
      <w:r w:rsidRPr="00A014FD">
        <w:rPr>
          <w:rFonts w:eastAsia="宋体"/>
        </w:rPr>
        <w:t>this</w:t>
      </w:r>
      <w:proofErr w:type="spellEnd"/>
      <w:r w:rsidRPr="00A014FD">
        <w:rPr>
          <w:rFonts w:eastAsia="宋体"/>
        </w:rPr>
        <w:t xml:space="preserve"> issue, (construction) companies have reported this issue to me. I have required the UCC (manager) to reduce the damage. It is their responsibility.</w:t>
      </w:r>
      <w:r w:rsidRPr="00A014FD">
        <w:t xml:space="preserve"> We will pay for the risk of damage caused by UCC.</w:t>
      </w:r>
    </w:p>
    <w:p w14:paraId="73A285BB" w14:textId="77777777" w:rsidR="005400D8" w:rsidRPr="00A014FD" w:rsidRDefault="005400D8" w:rsidP="005400D8">
      <w:pPr>
        <w:rPr>
          <w:b/>
          <w:bCs/>
        </w:rPr>
      </w:pPr>
    </w:p>
    <w:p w14:paraId="3CF15C4E" w14:textId="77777777" w:rsidR="005400D8" w:rsidRPr="00A014FD" w:rsidRDefault="005400D8" w:rsidP="005400D8">
      <w:pPr>
        <w:rPr>
          <w:b/>
          <w:bCs/>
        </w:rPr>
      </w:pPr>
      <w:r w:rsidRPr="00A014FD">
        <w:rPr>
          <w:b/>
          <w:bCs/>
        </w:rPr>
        <w:t>Lead Time for Goods Delivery from UCC to its Users</w:t>
      </w:r>
    </w:p>
    <w:p w14:paraId="126F0277" w14:textId="77777777" w:rsidR="005400D8" w:rsidRPr="00A014FD" w:rsidRDefault="005400D8" w:rsidP="005400D8">
      <w:r w:rsidRPr="00A014FD">
        <w:t xml:space="preserve">We replace the logistics providers, currently, the lead time reduced from 12 hours to less than 8 hours, and morning arrived goods can be delivered in the same day. Reduce the delivery lead time is the changes for the UCC users. All the companies can feel that the service quality of the UCC </w:t>
      </w:r>
      <w:proofErr w:type="gramStart"/>
      <w:r w:rsidRPr="00A014FD">
        <w:t>are</w:t>
      </w:r>
      <w:proofErr w:type="gramEnd"/>
      <w:r w:rsidRPr="00A014FD">
        <w:t xml:space="preserve"> improved</w:t>
      </w:r>
    </w:p>
    <w:p w14:paraId="47BE58CF" w14:textId="77777777" w:rsidR="005400D8" w:rsidRPr="00A014FD" w:rsidRDefault="005400D8" w:rsidP="005400D8">
      <w:pPr>
        <w:rPr>
          <w:b/>
          <w:bCs/>
        </w:rPr>
      </w:pPr>
      <w:r w:rsidRPr="00A014FD">
        <w:rPr>
          <w:b/>
          <w:bCs/>
        </w:rPr>
        <w:br/>
        <w:t>Truck Loading Rate</w:t>
      </w:r>
    </w:p>
    <w:p w14:paraId="6C61E546" w14:textId="77777777" w:rsidR="005400D8" w:rsidRPr="00A014FD" w:rsidRDefault="005400D8" w:rsidP="005400D8">
      <w:r w:rsidRPr="00A014FD">
        <w:t xml:space="preserve">I </w:t>
      </w:r>
      <w:proofErr w:type="gramStart"/>
      <w:r w:rsidRPr="00A014FD">
        <w:t>don’t</w:t>
      </w:r>
      <w:proofErr w:type="gramEnd"/>
      <w:r w:rsidRPr="00A014FD">
        <w:t xml:space="preserve"> know how they use these trucks; I have no data about the truck loading rate. The loading rate of the trucks delivery from UCC to users will be higher than the direct delivery.</w:t>
      </w:r>
    </w:p>
    <w:p w14:paraId="02A593BD" w14:textId="77777777" w:rsidR="005400D8" w:rsidRPr="00A014FD" w:rsidRDefault="005400D8" w:rsidP="005400D8">
      <w:pPr>
        <w:rPr>
          <w:b/>
          <w:bCs/>
        </w:rPr>
      </w:pPr>
      <w:r w:rsidRPr="00A014FD">
        <w:rPr>
          <w:b/>
          <w:bCs/>
        </w:rPr>
        <w:t>Travel Miles in Urban Areas</w:t>
      </w:r>
    </w:p>
    <w:p w14:paraId="25215CF4" w14:textId="77777777" w:rsidR="005400D8" w:rsidRPr="00A014FD" w:rsidRDefault="005400D8" w:rsidP="005400D8">
      <w:r w:rsidRPr="00A014FD">
        <w:lastRenderedPageBreak/>
        <w:t xml:space="preserve">The royal seaport is a new developing zone in Stockholm, it is not in the city centre. </w:t>
      </w:r>
      <w:proofErr w:type="gramStart"/>
      <w:r w:rsidRPr="00A014FD">
        <w:t>So</w:t>
      </w:r>
      <w:proofErr w:type="gramEnd"/>
      <w:r w:rsidRPr="00A014FD">
        <w:t xml:space="preserve"> the travel time in the city centre is not accurate to this project. I think the travel miles in the royal seaport has decreased.</w:t>
      </w:r>
    </w:p>
    <w:p w14:paraId="0BF7C554" w14:textId="77777777" w:rsidR="005400D8" w:rsidRPr="00A014FD" w:rsidRDefault="005400D8" w:rsidP="005400D8">
      <w:pPr>
        <w:rPr>
          <w:b/>
          <w:bCs/>
        </w:rPr>
      </w:pPr>
      <w:r w:rsidRPr="00A014FD">
        <w:rPr>
          <w:b/>
          <w:bCs/>
        </w:rPr>
        <w:t>Do you have the exact figures?</w:t>
      </w:r>
    </w:p>
    <w:p w14:paraId="3B59D2FA" w14:textId="77777777" w:rsidR="005400D8" w:rsidRPr="00A014FD" w:rsidRDefault="005400D8" w:rsidP="005400D8">
      <w:pPr>
        <w:spacing w:before="240" w:after="240"/>
        <w:rPr>
          <w:rFonts w:eastAsia="宋体"/>
        </w:rPr>
      </w:pPr>
      <w:r w:rsidRPr="00A014FD">
        <w:rPr>
          <w:rFonts w:eastAsia="宋体"/>
        </w:rPr>
        <w:t>No</w:t>
      </w:r>
    </w:p>
    <w:p w14:paraId="7FFF81C8" w14:textId="77777777" w:rsidR="005400D8" w:rsidRPr="00A014FD" w:rsidRDefault="005400D8" w:rsidP="005400D8">
      <w:pPr>
        <w:spacing w:before="240" w:after="240"/>
        <w:rPr>
          <w:b/>
          <w:bCs/>
        </w:rPr>
      </w:pPr>
      <w:r w:rsidRPr="00A014FD">
        <w:rPr>
          <w:b/>
          <w:bCs/>
        </w:rPr>
        <w:t>Do you know Number of Delivery Trips per day?</w:t>
      </w:r>
    </w:p>
    <w:p w14:paraId="0822C202" w14:textId="77777777" w:rsidR="005400D8" w:rsidRPr="00A014FD" w:rsidRDefault="005400D8" w:rsidP="005400D8">
      <w:pPr>
        <w:spacing w:before="240" w:after="240"/>
      </w:pPr>
      <w:r w:rsidRPr="00A014FD">
        <w:t xml:space="preserve">I </w:t>
      </w:r>
      <w:proofErr w:type="gramStart"/>
      <w:r w:rsidRPr="00A014FD">
        <w:t>don’t</w:t>
      </w:r>
      <w:proofErr w:type="gramEnd"/>
      <w:r w:rsidRPr="00A014FD">
        <w:t xml:space="preserve"> have the figures.</w:t>
      </w:r>
    </w:p>
    <w:p w14:paraId="38796D04" w14:textId="77777777" w:rsidR="005400D8" w:rsidRPr="00A014FD" w:rsidRDefault="005400D8" w:rsidP="005400D8">
      <w:pPr>
        <w:spacing w:before="240" w:after="240"/>
      </w:pPr>
      <w:r w:rsidRPr="00A014FD">
        <w:t xml:space="preserve">Trucks are not allowed to unload the goods through the On-street parking in the zone of royal seaport to avoid the safety issues. </w:t>
      </w:r>
      <w:r>
        <w:t>T</w:t>
      </w:r>
      <w:r w:rsidRPr="00A014FD">
        <w:t>here is no on-street happening in the royal seaport.</w:t>
      </w:r>
    </w:p>
    <w:p w14:paraId="25580553" w14:textId="77777777" w:rsidR="005400D8" w:rsidRPr="00A014FD" w:rsidRDefault="005400D8" w:rsidP="005400D8">
      <w:pPr>
        <w:spacing w:before="240" w:after="240"/>
        <w:rPr>
          <w:b/>
          <w:bCs/>
        </w:rPr>
      </w:pPr>
      <w:r w:rsidRPr="00A014FD">
        <w:rPr>
          <w:b/>
          <w:bCs/>
        </w:rPr>
        <w:t xml:space="preserve">Total Travel Time in the city </w:t>
      </w:r>
      <w:proofErr w:type="spellStart"/>
      <w:r w:rsidRPr="00A014FD">
        <w:rPr>
          <w:b/>
          <w:bCs/>
        </w:rPr>
        <w:t>center</w:t>
      </w:r>
      <w:proofErr w:type="spellEnd"/>
    </w:p>
    <w:p w14:paraId="3CD116F2" w14:textId="77777777" w:rsidR="005400D8" w:rsidRPr="00A014FD" w:rsidRDefault="005400D8" w:rsidP="005400D8">
      <w:pPr>
        <w:spacing w:before="240" w:after="240"/>
      </w:pPr>
      <w:r w:rsidRPr="00A014FD">
        <w:t xml:space="preserve">The royal seaport is a new developing zone for Stockholm, it is not in the city area. </w:t>
      </w:r>
      <w:proofErr w:type="gramStart"/>
      <w:r w:rsidRPr="00A014FD">
        <w:t>So</w:t>
      </w:r>
      <w:proofErr w:type="gramEnd"/>
      <w:r w:rsidRPr="00A014FD">
        <w:t xml:space="preserve"> the travel time in the city Centre is not accurate to this project. the travel time is short in this zone. Because it only has less 5KM2 zones to be deliver. </w:t>
      </w:r>
    </w:p>
    <w:p w14:paraId="3C6A1AEE" w14:textId="77777777" w:rsidR="005400D8" w:rsidRPr="00A014FD" w:rsidRDefault="005400D8" w:rsidP="005400D8">
      <w:pPr>
        <w:spacing w:before="240" w:after="240"/>
        <w:rPr>
          <w:b/>
          <w:bCs/>
        </w:rPr>
      </w:pPr>
      <w:r w:rsidRPr="00A014FD">
        <w:rPr>
          <w:b/>
          <w:bCs/>
        </w:rPr>
        <w:t xml:space="preserve">Time for On-street Parking </w:t>
      </w:r>
    </w:p>
    <w:p w14:paraId="4D97EE35" w14:textId="77777777" w:rsidR="005400D8" w:rsidRPr="00A014FD" w:rsidRDefault="005400D8" w:rsidP="005400D8">
      <w:pPr>
        <w:spacing w:before="240" w:after="240"/>
      </w:pPr>
      <w:r w:rsidRPr="00A014FD">
        <w:t xml:space="preserve">Trucks are not allowed to </w:t>
      </w:r>
      <w:proofErr w:type="gramStart"/>
      <w:r w:rsidRPr="00A014FD">
        <w:t>unloading</w:t>
      </w:r>
      <w:proofErr w:type="gramEnd"/>
      <w:r w:rsidRPr="00A014FD">
        <w:t xml:space="preserve"> the goods through the On-street parking in the zone of royal seaport to avoid the safety issues. there is no on-street happening in the royal seaport.</w:t>
      </w:r>
    </w:p>
    <w:p w14:paraId="1B23F4D3" w14:textId="778C6C54" w:rsidR="0000015A" w:rsidRDefault="0000015A" w:rsidP="005400D8">
      <w:pPr>
        <w:rPr>
          <w:b/>
          <w:bCs/>
        </w:rPr>
      </w:pPr>
      <w:r>
        <w:lastRenderedPageBreak/>
        <w:t>Interview with UCC Operator</w:t>
      </w:r>
    </w:p>
    <w:p w14:paraId="31BA1C24" w14:textId="712E5FF4" w:rsidR="005400D8" w:rsidRPr="00A014FD" w:rsidRDefault="005400D8" w:rsidP="005400D8">
      <w:pPr>
        <w:rPr>
          <w:b/>
          <w:bCs/>
        </w:rPr>
      </w:pPr>
      <w:r w:rsidRPr="00A014FD">
        <w:rPr>
          <w:b/>
          <w:bCs/>
        </w:rPr>
        <w:t>What is your job title</w:t>
      </w:r>
      <w:r w:rsidRPr="00A014FD">
        <w:rPr>
          <w:b/>
          <w:bCs/>
        </w:rPr>
        <w:t>？</w:t>
      </w:r>
    </w:p>
    <w:p w14:paraId="4BD65D34" w14:textId="77777777" w:rsidR="005400D8" w:rsidRPr="00A014FD" w:rsidRDefault="005400D8" w:rsidP="005400D8">
      <w:pPr>
        <w:rPr>
          <w:b/>
          <w:bCs/>
        </w:rPr>
      </w:pPr>
      <w:r w:rsidRPr="00A014FD">
        <w:rPr>
          <w:rFonts w:eastAsia="宋体"/>
        </w:rPr>
        <w:t xml:space="preserve">I represent a consultant organization that are hired from Stockholm </w:t>
      </w:r>
      <w:proofErr w:type="spellStart"/>
      <w:r w:rsidRPr="00A014FD">
        <w:rPr>
          <w:rFonts w:eastAsia="宋体"/>
        </w:rPr>
        <w:t>stad</w:t>
      </w:r>
      <w:proofErr w:type="spellEnd"/>
      <w:r w:rsidRPr="00A014FD">
        <w:rPr>
          <w:rFonts w:eastAsia="宋体"/>
        </w:rPr>
        <w:t xml:space="preserve"> in this case. In my organization, we do not drive the trucks. </w:t>
      </w:r>
      <w:proofErr w:type="gramStart"/>
      <w:r w:rsidRPr="00A014FD">
        <w:rPr>
          <w:rFonts w:eastAsia="宋体"/>
        </w:rPr>
        <w:t>That’s</w:t>
      </w:r>
      <w:proofErr w:type="gramEnd"/>
      <w:r w:rsidRPr="00A014FD">
        <w:rPr>
          <w:rFonts w:eastAsia="宋体"/>
        </w:rPr>
        <w:t xml:space="preserve"> another one. We are one hundred percent, the consultant organization for logistics consultant. We are set to manage the whole operation of these things. So, we work as the manager. We are the manager of all these.</w:t>
      </w:r>
    </w:p>
    <w:p w14:paraId="79C282B5" w14:textId="77777777" w:rsidR="005400D8" w:rsidRPr="00A014FD" w:rsidRDefault="005400D8" w:rsidP="005400D8">
      <w:pPr>
        <w:rPr>
          <w:rFonts w:eastAsia="宋体"/>
          <w:b/>
          <w:bCs/>
        </w:rPr>
      </w:pPr>
      <w:r w:rsidRPr="00A014FD">
        <w:rPr>
          <w:rFonts w:eastAsia="宋体"/>
          <w:b/>
          <w:bCs/>
        </w:rPr>
        <w:t>These indicators are used to evaluate the performance, please select the relevant indicators that applies to organizations</w:t>
      </w:r>
      <w:r w:rsidRPr="00A014FD">
        <w:rPr>
          <w:rFonts w:eastAsia="宋体"/>
          <w:b/>
          <w:bCs/>
        </w:rPr>
        <w:t>？</w:t>
      </w:r>
    </w:p>
    <w:p w14:paraId="361D4C65" w14:textId="77777777" w:rsidR="005400D8" w:rsidRPr="00A014FD" w:rsidRDefault="005400D8" w:rsidP="005400D8">
      <w:pPr>
        <w:rPr>
          <w:rFonts w:eastAsia="宋体"/>
          <w:b/>
          <w:bCs/>
        </w:rPr>
      </w:pPr>
      <w:r w:rsidRPr="00A014FD">
        <w:rPr>
          <w:rFonts w:eastAsia="宋体"/>
          <w:b/>
          <w:bCs/>
        </w:rPr>
        <w:t>Annual operating cost</w:t>
      </w:r>
    </w:p>
    <w:p w14:paraId="1D08953C" w14:textId="77777777" w:rsidR="005400D8" w:rsidRPr="00A014FD" w:rsidRDefault="005400D8" w:rsidP="005400D8">
      <w:pPr>
        <w:rPr>
          <w:rFonts w:eastAsia="宋体"/>
        </w:rPr>
      </w:pPr>
      <w:r w:rsidRPr="00A014FD">
        <w:rPr>
          <w:rFonts w:eastAsia="宋体"/>
        </w:rPr>
        <w:t xml:space="preserve">We do not concentrate on the operating cost. The operating cost is already confirmed in the bidding process. In the bidding process, Stockholm </w:t>
      </w:r>
      <w:proofErr w:type="spellStart"/>
      <w:r w:rsidRPr="00A014FD">
        <w:rPr>
          <w:rFonts w:eastAsia="宋体"/>
        </w:rPr>
        <w:t>stad</w:t>
      </w:r>
      <w:proofErr w:type="spellEnd"/>
      <w:r w:rsidRPr="00A014FD">
        <w:rPr>
          <w:rFonts w:eastAsia="宋体"/>
        </w:rPr>
        <w:t xml:space="preserve"> set the price list. They agree with the bidding price provide by the companies. The operating costs depends only on the volumes of deliveries. If it is a lot of deliveries, the cost will be higher. If less deliveries a year, the operating cost will be a bit less. This indicator is </w:t>
      </w:r>
      <w:proofErr w:type="gramStart"/>
      <w:r w:rsidRPr="00A014FD">
        <w:rPr>
          <w:rFonts w:eastAsia="宋体"/>
        </w:rPr>
        <w:t>actually not</w:t>
      </w:r>
      <w:proofErr w:type="gramEnd"/>
      <w:r w:rsidRPr="00A014FD">
        <w:rPr>
          <w:rFonts w:eastAsia="宋体"/>
        </w:rPr>
        <w:t xml:space="preserve"> some something really relevant for our operation.</w:t>
      </w:r>
    </w:p>
    <w:p w14:paraId="6D51F0C4" w14:textId="77777777" w:rsidR="005400D8" w:rsidRPr="00A014FD" w:rsidRDefault="005400D8" w:rsidP="005400D8">
      <w:pPr>
        <w:rPr>
          <w:rFonts w:eastAsia="宋体"/>
          <w:b/>
          <w:bCs/>
        </w:rPr>
      </w:pPr>
      <w:r w:rsidRPr="00A014FD">
        <w:rPr>
          <w:rFonts w:eastAsia="宋体"/>
          <w:b/>
          <w:bCs/>
        </w:rPr>
        <w:t>Delivery accurate rate</w:t>
      </w:r>
    </w:p>
    <w:p w14:paraId="7B8E8476" w14:textId="77777777" w:rsidR="005400D8" w:rsidRPr="00A014FD" w:rsidRDefault="005400D8" w:rsidP="005400D8">
      <w:pPr>
        <w:spacing w:before="240" w:after="240"/>
        <w:rPr>
          <w:rFonts w:eastAsia="宋体"/>
        </w:rPr>
      </w:pPr>
      <w:r w:rsidRPr="00A014FD">
        <w:rPr>
          <w:rFonts w:eastAsia="宋体"/>
        </w:rPr>
        <w:t xml:space="preserve">I think, delivery accuracy rate is really </w:t>
      </w:r>
      <w:proofErr w:type="spellStart"/>
      <w:proofErr w:type="gramStart"/>
      <w:r w:rsidRPr="00A014FD">
        <w:rPr>
          <w:rFonts w:eastAsia="宋体"/>
        </w:rPr>
        <w:t>really</w:t>
      </w:r>
      <w:proofErr w:type="spellEnd"/>
      <w:r w:rsidRPr="00A014FD">
        <w:rPr>
          <w:rFonts w:eastAsia="宋体"/>
        </w:rPr>
        <w:t xml:space="preserve"> important</w:t>
      </w:r>
      <w:proofErr w:type="gramEnd"/>
      <w:r w:rsidRPr="00A014FD">
        <w:rPr>
          <w:rFonts w:eastAsia="宋体"/>
        </w:rPr>
        <w:t xml:space="preserve">. Many of the materials are damaged here before. </w:t>
      </w:r>
      <w:proofErr w:type="gramStart"/>
      <w:r w:rsidRPr="00A014FD">
        <w:rPr>
          <w:rFonts w:eastAsia="宋体"/>
        </w:rPr>
        <w:t>So</w:t>
      </w:r>
      <w:proofErr w:type="gramEnd"/>
      <w:r w:rsidRPr="00A014FD">
        <w:rPr>
          <w:rFonts w:eastAsia="宋体"/>
        </w:rPr>
        <w:t xml:space="preserve"> we want to reduce this. Because all the construction companies, if they will use like the </w:t>
      </w:r>
      <w:proofErr w:type="spellStart"/>
      <w:r w:rsidRPr="00A014FD">
        <w:rPr>
          <w:rFonts w:eastAsia="宋体"/>
        </w:rPr>
        <w:t>ucc</w:t>
      </w:r>
      <w:proofErr w:type="spellEnd"/>
      <w:r w:rsidRPr="00A014FD">
        <w:rPr>
          <w:rFonts w:eastAsia="宋体"/>
        </w:rPr>
        <w:t xml:space="preserve">. we need to have a really </w:t>
      </w:r>
      <w:proofErr w:type="spellStart"/>
      <w:proofErr w:type="gramStart"/>
      <w:r w:rsidRPr="00A014FD">
        <w:rPr>
          <w:rFonts w:eastAsia="宋体"/>
        </w:rPr>
        <w:t>really</w:t>
      </w:r>
      <w:proofErr w:type="spellEnd"/>
      <w:r w:rsidRPr="00A014FD">
        <w:rPr>
          <w:rFonts w:eastAsia="宋体"/>
        </w:rPr>
        <w:t xml:space="preserve"> high</w:t>
      </w:r>
      <w:proofErr w:type="gramEnd"/>
      <w:r w:rsidRPr="00A014FD">
        <w:rPr>
          <w:rFonts w:eastAsia="宋体"/>
        </w:rPr>
        <w:t xml:space="preserve"> accuracy </w:t>
      </w:r>
      <w:r w:rsidRPr="00A014FD">
        <w:rPr>
          <w:rFonts w:eastAsia="宋体"/>
        </w:rPr>
        <w:lastRenderedPageBreak/>
        <w:t xml:space="preserve">rate, but we can't damage the goods.  I think here we was doing very poorly. And So much damage is about this. Now. I </w:t>
      </w:r>
      <w:proofErr w:type="gramStart"/>
      <w:r w:rsidRPr="00A014FD">
        <w:rPr>
          <w:rFonts w:eastAsia="宋体"/>
        </w:rPr>
        <w:t>don't</w:t>
      </w:r>
      <w:proofErr w:type="gramEnd"/>
      <w:r w:rsidRPr="00A014FD">
        <w:rPr>
          <w:rFonts w:eastAsia="宋体"/>
        </w:rPr>
        <w:t xml:space="preserve"> think we have a lot of damage is here and right now. </w:t>
      </w:r>
    </w:p>
    <w:p w14:paraId="257CAD69" w14:textId="77777777" w:rsidR="005400D8" w:rsidRPr="00A014FD" w:rsidRDefault="005400D8" w:rsidP="005400D8">
      <w:pPr>
        <w:rPr>
          <w:rFonts w:eastAsia="宋体"/>
          <w:b/>
          <w:bCs/>
        </w:rPr>
      </w:pPr>
      <w:r w:rsidRPr="00A014FD">
        <w:rPr>
          <w:rFonts w:eastAsia="宋体"/>
          <w:b/>
          <w:bCs/>
        </w:rPr>
        <w:t xml:space="preserve">Do you know the damage rate? </w:t>
      </w:r>
    </w:p>
    <w:p w14:paraId="3B156971" w14:textId="77777777" w:rsidR="005400D8" w:rsidRPr="00A014FD" w:rsidRDefault="005400D8" w:rsidP="005400D8">
      <w:pPr>
        <w:spacing w:before="240" w:after="240"/>
        <w:rPr>
          <w:rFonts w:eastAsia="宋体"/>
        </w:rPr>
      </w:pPr>
      <w:r w:rsidRPr="00A014FD">
        <w:rPr>
          <w:rFonts w:eastAsia="宋体"/>
        </w:rPr>
        <w:t xml:space="preserve">We </w:t>
      </w:r>
      <w:proofErr w:type="gramStart"/>
      <w:r w:rsidRPr="00A014FD">
        <w:rPr>
          <w:rFonts w:eastAsia="宋体"/>
        </w:rPr>
        <w:t>haven't</w:t>
      </w:r>
      <w:proofErr w:type="gramEnd"/>
      <w:r w:rsidRPr="00A014FD">
        <w:rPr>
          <w:rFonts w:eastAsia="宋体"/>
        </w:rPr>
        <w:t xml:space="preserve">. We just starting to implement this. </w:t>
      </w:r>
      <w:proofErr w:type="gramStart"/>
      <w:r w:rsidRPr="00A014FD">
        <w:rPr>
          <w:rFonts w:eastAsia="宋体"/>
        </w:rPr>
        <w:t>So</w:t>
      </w:r>
      <w:proofErr w:type="gramEnd"/>
      <w:r w:rsidRPr="00A014FD">
        <w:rPr>
          <w:rFonts w:eastAsia="宋体"/>
        </w:rPr>
        <w:t xml:space="preserve"> we are in the new organization. </w:t>
      </w:r>
      <w:r w:rsidRPr="004375A6">
        <w:rPr>
          <w:rFonts w:eastAsia="宋体" w:cs="Times New Roman"/>
          <w:kern w:val="2"/>
        </w:rPr>
        <w:t>We do poorly in this case before,</w:t>
      </w:r>
      <w:r>
        <w:rPr>
          <w:rFonts w:eastAsia="宋体"/>
        </w:rPr>
        <w:t xml:space="preserve"> </w:t>
      </w:r>
      <w:r>
        <w:rPr>
          <w:rFonts w:eastAsia="宋体" w:hint="eastAsia"/>
        </w:rPr>
        <w:t>w</w:t>
      </w:r>
      <w:r w:rsidRPr="00A014FD">
        <w:rPr>
          <w:rFonts w:eastAsia="宋体"/>
        </w:rPr>
        <w:t xml:space="preserve">e have no figures yet. we will start to, because from here and this is the newest report, it mentioned to reduce the lost damage. Damage </w:t>
      </w:r>
      <w:proofErr w:type="gramStart"/>
      <w:r w:rsidRPr="00A014FD">
        <w:rPr>
          <w:rFonts w:eastAsia="宋体"/>
        </w:rPr>
        <w:t>are</w:t>
      </w:r>
      <w:proofErr w:type="gramEnd"/>
      <w:r w:rsidRPr="00A014FD">
        <w:rPr>
          <w:rFonts w:eastAsia="宋体"/>
        </w:rPr>
        <w:t xml:space="preserve"> very normal in this facility. I </w:t>
      </w:r>
      <w:proofErr w:type="gramStart"/>
      <w:r w:rsidRPr="00A014FD">
        <w:rPr>
          <w:rFonts w:eastAsia="宋体"/>
        </w:rPr>
        <w:t>don't</w:t>
      </w:r>
      <w:proofErr w:type="gramEnd"/>
      <w:r w:rsidRPr="00A014FD">
        <w:rPr>
          <w:rFonts w:eastAsia="宋体"/>
        </w:rPr>
        <w:t xml:space="preserve"> know the exact figures. </w:t>
      </w:r>
      <w:r w:rsidRPr="004375A6">
        <w:rPr>
          <w:rFonts w:eastAsia="宋体" w:cs="Times New Roman"/>
          <w:kern w:val="2"/>
        </w:rPr>
        <w:t xml:space="preserve">we </w:t>
      </w:r>
      <w:proofErr w:type="gramStart"/>
      <w:r w:rsidRPr="004375A6">
        <w:rPr>
          <w:rFonts w:eastAsia="宋体" w:cs="Times New Roman"/>
          <w:kern w:val="2"/>
        </w:rPr>
        <w:t>don’t</w:t>
      </w:r>
      <w:proofErr w:type="gramEnd"/>
      <w:r w:rsidRPr="004375A6">
        <w:rPr>
          <w:rFonts w:eastAsia="宋体" w:cs="Times New Roman"/>
          <w:kern w:val="2"/>
        </w:rPr>
        <w:t xml:space="preserve"> have a lot of damage now. We have done many works to improve it.</w:t>
      </w:r>
    </w:p>
    <w:p w14:paraId="3F7AD4CA" w14:textId="77777777" w:rsidR="005400D8" w:rsidRPr="00A014FD" w:rsidRDefault="005400D8" w:rsidP="005400D8">
      <w:pPr>
        <w:rPr>
          <w:rFonts w:eastAsia="宋体"/>
          <w:b/>
          <w:bCs/>
        </w:rPr>
      </w:pPr>
      <w:r w:rsidRPr="00A014FD">
        <w:rPr>
          <w:rFonts w:eastAsia="宋体"/>
          <w:b/>
          <w:bCs/>
        </w:rPr>
        <w:t xml:space="preserve">Lead-time </w:t>
      </w:r>
    </w:p>
    <w:p w14:paraId="664220D2" w14:textId="77777777" w:rsidR="005400D8" w:rsidRPr="00A014FD" w:rsidRDefault="005400D8" w:rsidP="005400D8">
      <w:pPr>
        <w:rPr>
          <w:rFonts w:eastAsia="宋体"/>
          <w:b/>
          <w:bCs/>
        </w:rPr>
      </w:pPr>
      <w:r w:rsidRPr="00A014FD">
        <w:rPr>
          <w:rFonts w:eastAsia="宋体"/>
        </w:rPr>
        <w:t xml:space="preserve">This is </w:t>
      </w:r>
      <w:proofErr w:type="gramStart"/>
      <w:r w:rsidRPr="00A014FD">
        <w:rPr>
          <w:rFonts w:eastAsia="宋体"/>
        </w:rPr>
        <w:t>a really important</w:t>
      </w:r>
      <w:proofErr w:type="gramEnd"/>
      <w:r w:rsidRPr="00A014FD">
        <w:rPr>
          <w:rFonts w:eastAsia="宋体"/>
        </w:rPr>
        <w:t xml:space="preserve"> indicator and lead time for goods delivery from UCC to the users also something that we will follow up. There in this new organization, we have </w:t>
      </w:r>
      <w:proofErr w:type="gramStart"/>
      <w:r w:rsidRPr="00A014FD">
        <w:rPr>
          <w:rFonts w:eastAsia="宋体"/>
        </w:rPr>
        <w:t>shorten</w:t>
      </w:r>
      <w:proofErr w:type="gramEnd"/>
      <w:r w:rsidRPr="00A014FD">
        <w:rPr>
          <w:rFonts w:eastAsia="宋体"/>
        </w:rPr>
        <w:t xml:space="preserve"> the lead time.  IT was about twelve hours in working days. If it arrived in the day one afternoon, and goods will be delivered in the morning in the next day. But now </w:t>
      </w:r>
      <w:proofErr w:type="gramStart"/>
      <w:r w:rsidRPr="00A014FD">
        <w:rPr>
          <w:rFonts w:eastAsia="宋体"/>
        </w:rPr>
        <w:t>it's</w:t>
      </w:r>
      <w:proofErr w:type="gramEnd"/>
      <w:r w:rsidRPr="00A014FD">
        <w:rPr>
          <w:rFonts w:eastAsia="宋体"/>
        </w:rPr>
        <w:t xml:space="preserve"> a little shorter in the new organizations. </w:t>
      </w:r>
      <w:proofErr w:type="gramStart"/>
      <w:r w:rsidRPr="00A014FD">
        <w:rPr>
          <w:rFonts w:eastAsia="宋体"/>
        </w:rPr>
        <w:t>So</w:t>
      </w:r>
      <w:proofErr w:type="gramEnd"/>
      <w:r w:rsidRPr="00A014FD">
        <w:rPr>
          <w:rFonts w:eastAsia="宋体"/>
        </w:rPr>
        <w:t xml:space="preserve"> if something will arrive here before seven thirty the goods will be delivered the same day. The lead time for morning deliveries is shorter than in the old organization. If something </w:t>
      </w:r>
      <w:proofErr w:type="gramStart"/>
      <w:r w:rsidRPr="00A014FD">
        <w:rPr>
          <w:rFonts w:eastAsia="宋体"/>
        </w:rPr>
        <w:t>arrive</w:t>
      </w:r>
      <w:proofErr w:type="gramEnd"/>
      <w:r w:rsidRPr="00A014FD">
        <w:rPr>
          <w:rFonts w:eastAsia="宋体"/>
        </w:rPr>
        <w:t xml:space="preserve"> before seven thirty, or before nine o'clock, other goods will be delivered in the next day. But now if it is a delivery comes in the morning, it will be delivered the same day. </w:t>
      </w:r>
      <w:proofErr w:type="gramStart"/>
      <w:r w:rsidRPr="00A014FD">
        <w:rPr>
          <w:rFonts w:eastAsia="宋体"/>
        </w:rPr>
        <w:t>So</w:t>
      </w:r>
      <w:proofErr w:type="gramEnd"/>
      <w:r w:rsidRPr="00A014FD">
        <w:rPr>
          <w:rFonts w:eastAsia="宋体"/>
        </w:rPr>
        <w:t xml:space="preserve"> the lead time is a little bit shorter, but this is really important.</w:t>
      </w:r>
    </w:p>
    <w:p w14:paraId="11F21785" w14:textId="77777777" w:rsidR="005400D8" w:rsidRPr="00A014FD" w:rsidRDefault="005400D8" w:rsidP="005400D8">
      <w:pPr>
        <w:rPr>
          <w:rFonts w:eastAsia="宋体"/>
          <w:b/>
          <w:bCs/>
        </w:rPr>
      </w:pPr>
      <w:r w:rsidRPr="00A014FD">
        <w:rPr>
          <w:rFonts w:eastAsia="宋体"/>
          <w:b/>
          <w:bCs/>
        </w:rPr>
        <w:lastRenderedPageBreak/>
        <w:t>Truck loading Rate</w:t>
      </w:r>
    </w:p>
    <w:p w14:paraId="0F7D0D21" w14:textId="77777777" w:rsidR="005400D8" w:rsidRPr="00A014FD" w:rsidRDefault="005400D8" w:rsidP="005400D8">
      <w:pPr>
        <w:spacing w:before="240" w:after="240"/>
        <w:rPr>
          <w:rFonts w:eastAsia="宋体"/>
        </w:rPr>
      </w:pPr>
      <w:r w:rsidRPr="00A014FD">
        <w:rPr>
          <w:rFonts w:eastAsia="宋体"/>
        </w:rPr>
        <w:t xml:space="preserve">Truck loading rate is very important. </w:t>
      </w:r>
    </w:p>
    <w:p w14:paraId="4B6D6D39" w14:textId="77777777" w:rsidR="005400D8" w:rsidRPr="00A014FD" w:rsidRDefault="005400D8" w:rsidP="005400D8">
      <w:pPr>
        <w:rPr>
          <w:rFonts w:eastAsia="宋体"/>
          <w:b/>
          <w:bCs/>
        </w:rPr>
      </w:pPr>
      <w:r w:rsidRPr="00A014FD">
        <w:rPr>
          <w:rFonts w:eastAsia="宋体"/>
          <w:b/>
          <w:bCs/>
        </w:rPr>
        <w:t xml:space="preserve">Do you have the </w:t>
      </w:r>
      <w:proofErr w:type="gramStart"/>
      <w:r w:rsidRPr="00A014FD">
        <w:rPr>
          <w:rFonts w:eastAsia="宋体"/>
          <w:b/>
          <w:bCs/>
        </w:rPr>
        <w:t>exactly</w:t>
      </w:r>
      <w:proofErr w:type="gramEnd"/>
      <w:r w:rsidRPr="00A014FD">
        <w:rPr>
          <w:rFonts w:eastAsia="宋体"/>
          <w:b/>
          <w:bCs/>
        </w:rPr>
        <w:t xml:space="preserve"> figures about this? </w:t>
      </w:r>
    </w:p>
    <w:p w14:paraId="4004136D" w14:textId="77777777" w:rsidR="005400D8" w:rsidRPr="00A014FD" w:rsidRDefault="005400D8" w:rsidP="005400D8">
      <w:pPr>
        <w:spacing w:before="240" w:after="240"/>
        <w:rPr>
          <w:rFonts w:eastAsia="宋体"/>
        </w:rPr>
      </w:pPr>
      <w:r w:rsidRPr="00A014FD">
        <w:rPr>
          <w:rFonts w:eastAsia="宋体"/>
        </w:rPr>
        <w:t xml:space="preserve">Yes. not exactly, but I think </w:t>
      </w:r>
      <w:proofErr w:type="gramStart"/>
      <w:r w:rsidRPr="00A014FD">
        <w:rPr>
          <w:rFonts w:eastAsia="宋体"/>
        </w:rPr>
        <w:t>it's</w:t>
      </w:r>
      <w:proofErr w:type="gramEnd"/>
      <w:r w:rsidRPr="00A014FD">
        <w:rPr>
          <w:rFonts w:eastAsia="宋体"/>
        </w:rPr>
        <w:t xml:space="preserve"> around sixty percent. What we measure is the number of vehicles that comes to the UCC, compared to the number of trucks that we drive away to the building construction sites. If we have four trucks coming here and we have one truck out. It means that is seventy five percent (reduction). Our work is to increase the truck loading, we merge more goods in one delivery. (so) we can deliver more goods in each trip. (Therefore,) we can deliver more goods in a day. So that is, </w:t>
      </w:r>
      <w:proofErr w:type="gramStart"/>
      <w:r w:rsidRPr="00A014FD">
        <w:rPr>
          <w:rFonts w:eastAsia="宋体"/>
        </w:rPr>
        <w:t>what's</w:t>
      </w:r>
      <w:proofErr w:type="gramEnd"/>
      <w:r w:rsidRPr="00A014FD">
        <w:rPr>
          <w:rFonts w:eastAsia="宋体"/>
        </w:rPr>
        <w:t xml:space="preserve"> important with this, indicator is that it tells us how many tracks that we can take away from the streets. </w:t>
      </w:r>
    </w:p>
    <w:p w14:paraId="776A0FC4" w14:textId="77777777" w:rsidR="005400D8" w:rsidRPr="00A014FD" w:rsidRDefault="005400D8" w:rsidP="005400D8">
      <w:pPr>
        <w:rPr>
          <w:rFonts w:eastAsia="宋体"/>
          <w:b/>
          <w:bCs/>
        </w:rPr>
      </w:pPr>
      <w:r w:rsidRPr="00A014FD">
        <w:rPr>
          <w:rFonts w:eastAsia="宋体"/>
          <w:b/>
          <w:bCs/>
        </w:rPr>
        <w:t>Alternative Vehicles</w:t>
      </w:r>
    </w:p>
    <w:p w14:paraId="3AEBC3DF" w14:textId="77777777" w:rsidR="005400D8" w:rsidRPr="00A014FD" w:rsidRDefault="005400D8" w:rsidP="005400D8">
      <w:pPr>
        <w:rPr>
          <w:rFonts w:eastAsia="宋体"/>
          <w:b/>
          <w:bCs/>
        </w:rPr>
      </w:pPr>
      <w:r w:rsidRPr="00A014FD">
        <w:rPr>
          <w:rFonts w:eastAsia="宋体"/>
          <w:b/>
          <w:bCs/>
        </w:rPr>
        <w:t>Do you know the how many eco-friendly trucks are equipped?</w:t>
      </w:r>
    </w:p>
    <w:p w14:paraId="01C60A9F" w14:textId="77777777" w:rsidR="005400D8" w:rsidRPr="00A014FD" w:rsidRDefault="005400D8" w:rsidP="005400D8">
      <w:pPr>
        <w:spacing w:before="240" w:after="240"/>
        <w:rPr>
          <w:rFonts w:eastAsia="宋体"/>
        </w:rPr>
      </w:pPr>
      <w:r w:rsidRPr="00A014FD">
        <w:rPr>
          <w:rFonts w:eastAsia="宋体"/>
        </w:rPr>
        <w:t xml:space="preserve">I think they have one hundred percent of the trucks here it is driven by fossil free. It is called HVO. This is </w:t>
      </w:r>
      <w:proofErr w:type="gramStart"/>
      <w:r w:rsidRPr="00A014FD">
        <w:rPr>
          <w:rFonts w:eastAsia="宋体"/>
        </w:rPr>
        <w:t>environmental</w:t>
      </w:r>
      <w:proofErr w:type="gramEnd"/>
      <w:r w:rsidRPr="00A014FD">
        <w:rPr>
          <w:rFonts w:eastAsia="宋体"/>
        </w:rPr>
        <w:t xml:space="preserve"> friendly, also diesel and no fossil, but still emissions, I think it is one hundred percent fossil free but they have other emissions, no carbon dioxide.</w:t>
      </w:r>
    </w:p>
    <w:p w14:paraId="2592299D" w14:textId="77777777" w:rsidR="005400D8" w:rsidRPr="00A014FD" w:rsidRDefault="005400D8" w:rsidP="005400D8">
      <w:pPr>
        <w:spacing w:before="240" w:after="240"/>
        <w:rPr>
          <w:rFonts w:eastAsia="宋体"/>
        </w:rPr>
      </w:pPr>
      <w:r w:rsidRPr="00A014FD">
        <w:rPr>
          <w:rFonts w:eastAsia="宋体"/>
        </w:rPr>
        <w:lastRenderedPageBreak/>
        <w:t>Because we have already equipped these green trucks, I do not think we should put more attention in this. My idea is to focus on the way of using these trucks.</w:t>
      </w:r>
    </w:p>
    <w:p w14:paraId="73533A2F" w14:textId="77777777" w:rsidR="005400D8" w:rsidRPr="00A014FD" w:rsidRDefault="005400D8" w:rsidP="005400D8">
      <w:pPr>
        <w:rPr>
          <w:rFonts w:eastAsia="宋体"/>
          <w:b/>
          <w:bCs/>
        </w:rPr>
      </w:pPr>
      <w:r w:rsidRPr="00A014FD">
        <w:rPr>
          <w:rFonts w:eastAsia="宋体"/>
          <w:b/>
          <w:bCs/>
        </w:rPr>
        <w:t>Travel miles Reduction</w:t>
      </w:r>
    </w:p>
    <w:p w14:paraId="5AEC1F39" w14:textId="77777777" w:rsidR="005400D8" w:rsidRPr="00A014FD" w:rsidRDefault="005400D8" w:rsidP="005400D8">
      <w:pPr>
        <w:spacing w:before="240" w:after="240"/>
        <w:rPr>
          <w:rFonts w:eastAsia="宋体"/>
        </w:rPr>
      </w:pPr>
      <w:proofErr w:type="gramStart"/>
      <w:r w:rsidRPr="00A014FD">
        <w:rPr>
          <w:rFonts w:eastAsia="宋体"/>
        </w:rPr>
        <w:t>Actually</w:t>
      </w:r>
      <w:proofErr w:type="gramEnd"/>
      <w:r w:rsidRPr="00A014FD">
        <w:rPr>
          <w:rFonts w:eastAsia="宋体"/>
        </w:rPr>
        <w:t xml:space="preserve"> not really in this UCC. Because the UCC is here. And the construction site you can see </w:t>
      </w:r>
      <w:proofErr w:type="gramStart"/>
      <w:r w:rsidRPr="00A014FD">
        <w:rPr>
          <w:rFonts w:eastAsia="宋体"/>
        </w:rPr>
        <w:t>it's</w:t>
      </w:r>
      <w:proofErr w:type="gramEnd"/>
      <w:r w:rsidRPr="00A014FD">
        <w:rPr>
          <w:rFonts w:eastAsia="宋体"/>
        </w:rPr>
        <w:t xml:space="preserve"> almost near us. If we have twelve kilometres from the UCC to the construction sites, we will have a significant </w:t>
      </w:r>
      <w:proofErr w:type="gramStart"/>
      <w:r w:rsidRPr="00A014FD">
        <w:rPr>
          <w:rFonts w:eastAsia="宋体"/>
        </w:rPr>
        <w:t>amount</w:t>
      </w:r>
      <w:proofErr w:type="gramEnd"/>
      <w:r w:rsidRPr="00A014FD">
        <w:rPr>
          <w:rFonts w:eastAsia="宋体"/>
        </w:rPr>
        <w:t xml:space="preserve"> of kilometres that we can save. But here, we </w:t>
      </w:r>
      <w:proofErr w:type="gramStart"/>
      <w:r w:rsidRPr="00A014FD">
        <w:rPr>
          <w:rFonts w:eastAsia="宋体"/>
        </w:rPr>
        <w:t>don't</w:t>
      </w:r>
      <w:proofErr w:type="gramEnd"/>
      <w:r w:rsidRPr="00A014FD">
        <w:rPr>
          <w:rFonts w:eastAsia="宋体"/>
        </w:rPr>
        <w:t xml:space="preserve"> save so much. But in other cities, travel miles in urban areas </w:t>
      </w:r>
      <w:proofErr w:type="gramStart"/>
      <w:r w:rsidRPr="00A014FD">
        <w:rPr>
          <w:rFonts w:eastAsia="宋体"/>
        </w:rPr>
        <w:t>is</w:t>
      </w:r>
      <w:proofErr w:type="gramEnd"/>
      <w:r w:rsidRPr="00A014FD">
        <w:rPr>
          <w:rFonts w:eastAsia="宋体"/>
        </w:rPr>
        <w:t xml:space="preserve"> really important. </w:t>
      </w:r>
    </w:p>
    <w:p w14:paraId="2F76BB2E" w14:textId="77777777" w:rsidR="005400D8" w:rsidRPr="00A014FD" w:rsidRDefault="005400D8" w:rsidP="005400D8">
      <w:pPr>
        <w:rPr>
          <w:rFonts w:eastAsia="宋体"/>
          <w:b/>
          <w:bCs/>
        </w:rPr>
      </w:pPr>
      <w:r w:rsidRPr="00A014FD">
        <w:rPr>
          <w:rFonts w:eastAsia="宋体"/>
          <w:b/>
          <w:bCs/>
        </w:rPr>
        <w:t>Time for on-street parking</w:t>
      </w:r>
    </w:p>
    <w:p w14:paraId="78F795A5" w14:textId="77777777" w:rsidR="005400D8" w:rsidRPr="00A014FD" w:rsidRDefault="005400D8" w:rsidP="005400D8">
      <w:pPr>
        <w:spacing w:before="240" w:after="240"/>
        <w:rPr>
          <w:rFonts w:eastAsia="宋体"/>
        </w:rPr>
      </w:pPr>
      <w:r w:rsidRPr="00A014FD">
        <w:rPr>
          <w:rFonts w:eastAsia="宋体"/>
        </w:rPr>
        <w:t xml:space="preserve">All the trucks should be drive inside their building area, it is a critical policy, they </w:t>
      </w:r>
      <w:proofErr w:type="gramStart"/>
      <w:r w:rsidRPr="00A014FD">
        <w:rPr>
          <w:rFonts w:eastAsia="宋体"/>
        </w:rPr>
        <w:t>can't</w:t>
      </w:r>
      <w:proofErr w:type="gramEnd"/>
      <w:r w:rsidRPr="00A014FD">
        <w:rPr>
          <w:rFonts w:eastAsia="宋体"/>
        </w:rPr>
        <w:t xml:space="preserve"> car park here so they can park outside here. Until now, there is a lot of groups are used directly delivery (by themselves) and they are not allowed to </w:t>
      </w:r>
      <w:proofErr w:type="gramStart"/>
      <w:r w:rsidRPr="00A014FD">
        <w:rPr>
          <w:rFonts w:eastAsia="宋体"/>
        </w:rPr>
        <w:t>parking</w:t>
      </w:r>
      <w:proofErr w:type="gramEnd"/>
      <w:r w:rsidRPr="00A014FD">
        <w:rPr>
          <w:rFonts w:eastAsia="宋体"/>
        </w:rPr>
        <w:t xml:space="preserve"> in there on the street. </w:t>
      </w:r>
      <w:proofErr w:type="gramStart"/>
      <w:r w:rsidRPr="00A014FD">
        <w:rPr>
          <w:rFonts w:eastAsia="宋体"/>
        </w:rPr>
        <w:t>It's</w:t>
      </w:r>
      <w:proofErr w:type="gramEnd"/>
      <w:r w:rsidRPr="00A014FD">
        <w:rPr>
          <w:rFonts w:eastAsia="宋体"/>
        </w:rPr>
        <w:t xml:space="preserve"> really important. That is why we need to have this booking system for transport. Because inside the building area on inside the gates, we have maybe ten construction sites on the same time on the same spot. And if the trucks can enter the building areas as they want, and they can stay, </w:t>
      </w:r>
      <w:proofErr w:type="gramStart"/>
      <w:r w:rsidRPr="00A014FD">
        <w:rPr>
          <w:rFonts w:eastAsia="宋体"/>
        </w:rPr>
        <w:t>they can they can</w:t>
      </w:r>
      <w:proofErr w:type="gramEnd"/>
      <w:r w:rsidRPr="00A014FD">
        <w:rPr>
          <w:rFonts w:eastAsia="宋体"/>
        </w:rPr>
        <w:t xml:space="preserve"> park inside the construction areas and take a sleep or we will have it. We will have a traffic disaster inside the construction sites. </w:t>
      </w:r>
    </w:p>
    <w:p w14:paraId="4D34D526" w14:textId="77777777" w:rsidR="005400D8" w:rsidRPr="00A014FD" w:rsidRDefault="005400D8" w:rsidP="005400D8">
      <w:pPr>
        <w:spacing w:before="240" w:after="240"/>
        <w:rPr>
          <w:rFonts w:eastAsia="宋体"/>
        </w:rPr>
      </w:pPr>
      <w:r w:rsidRPr="00A014FD">
        <w:rPr>
          <w:rFonts w:eastAsia="宋体"/>
        </w:rPr>
        <w:lastRenderedPageBreak/>
        <w:t xml:space="preserve">So, </w:t>
      </w:r>
      <w:proofErr w:type="gramStart"/>
      <w:r w:rsidRPr="00A014FD">
        <w:rPr>
          <w:rFonts w:eastAsia="宋体"/>
        </w:rPr>
        <w:t>it's</w:t>
      </w:r>
      <w:proofErr w:type="gramEnd"/>
      <w:r w:rsidRPr="00A014FD">
        <w:rPr>
          <w:rFonts w:eastAsia="宋体"/>
        </w:rPr>
        <w:t xml:space="preserve"> not allowed to go inside and park the car and the truck inside. </w:t>
      </w:r>
      <w:proofErr w:type="gramStart"/>
      <w:r w:rsidRPr="00A014FD">
        <w:rPr>
          <w:rFonts w:eastAsia="宋体"/>
        </w:rPr>
        <w:t>So</w:t>
      </w:r>
      <w:proofErr w:type="gramEnd"/>
      <w:r w:rsidRPr="00A014FD">
        <w:rPr>
          <w:rFonts w:eastAsia="宋体"/>
        </w:rPr>
        <w:t xml:space="preserve"> in the system that we will implement supplier or the construction company need to book a time slot, for example, nine o'clock to ten o'clock. And on this time slot, we will receive windows or doors from a supplier. And if the supplier will come to the gate at nine o'clock. And he entered the code, ah, they were open and move. And </w:t>
      </w:r>
      <w:proofErr w:type="spellStart"/>
      <w:r w:rsidRPr="00A014FD">
        <w:rPr>
          <w:rFonts w:eastAsia="宋体"/>
        </w:rPr>
        <w:t>lf</w:t>
      </w:r>
      <w:proofErr w:type="spellEnd"/>
      <w:r w:rsidRPr="00A014FD">
        <w:rPr>
          <w:rFonts w:eastAsia="宋体"/>
        </w:rPr>
        <w:t xml:space="preserve"> it is coming six o'clock in the morning and enter the code again, that's door will not open. So that is how we try to secure the driveability inside this area.</w:t>
      </w:r>
    </w:p>
    <w:p w14:paraId="7EE1F688" w14:textId="77777777" w:rsidR="005400D8" w:rsidRPr="00A014FD" w:rsidRDefault="005400D8" w:rsidP="005400D8">
      <w:pPr>
        <w:spacing w:before="240" w:after="240"/>
        <w:rPr>
          <w:b/>
          <w:bCs/>
          <w:color w:val="000000"/>
        </w:rPr>
      </w:pPr>
      <w:r w:rsidRPr="00A014FD">
        <w:rPr>
          <w:b/>
          <w:bCs/>
          <w:color w:val="000000"/>
        </w:rPr>
        <w:t xml:space="preserve">Infrastructure Surface Usage Rate </w:t>
      </w:r>
    </w:p>
    <w:p w14:paraId="3DBBB68B" w14:textId="77777777" w:rsidR="005400D8" w:rsidRPr="00A014FD" w:rsidRDefault="005400D8" w:rsidP="005400D8">
      <w:pPr>
        <w:spacing w:before="240" w:after="240"/>
        <w:rPr>
          <w:rFonts w:eastAsia="宋体"/>
        </w:rPr>
      </w:pPr>
      <w:r w:rsidRPr="00A014FD">
        <w:rPr>
          <w:rFonts w:eastAsia="宋体"/>
        </w:rPr>
        <w:t xml:space="preserve">Now we only focusing on quality of indicators, environmental indicators. We are not focusing on the other economic indicators. because </w:t>
      </w:r>
      <w:proofErr w:type="gramStart"/>
      <w:r w:rsidRPr="00A014FD">
        <w:rPr>
          <w:rFonts w:eastAsia="宋体"/>
        </w:rPr>
        <w:t>it's already was</w:t>
      </w:r>
      <w:proofErr w:type="gramEnd"/>
      <w:r w:rsidRPr="00A014FD">
        <w:rPr>
          <w:rFonts w:eastAsia="宋体"/>
        </w:rPr>
        <w:t xml:space="preserve"> taken care of here (by other companies). Now, this report </w:t>
      </w:r>
      <w:proofErr w:type="gramStart"/>
      <w:r w:rsidRPr="00A014FD">
        <w:rPr>
          <w:rFonts w:eastAsia="宋体"/>
        </w:rPr>
        <w:t>have</w:t>
      </w:r>
      <w:proofErr w:type="gramEnd"/>
      <w:r w:rsidRPr="00A014FD">
        <w:rPr>
          <w:rFonts w:eastAsia="宋体"/>
        </w:rPr>
        <w:t xml:space="preserve"> some figures inside. We only handled 50 percent (total) deliveries each day, trucks delivery all side. Our warehouse is not fully in use. Many spaces are empty. The materials (are) storage(</w:t>
      </w:r>
      <w:proofErr w:type="spellStart"/>
      <w:r w:rsidRPr="00A014FD">
        <w:rPr>
          <w:rFonts w:eastAsia="宋体"/>
        </w:rPr>
        <w:t>ing</w:t>
      </w:r>
      <w:proofErr w:type="spellEnd"/>
      <w:r w:rsidRPr="00A014FD">
        <w:rPr>
          <w:rFonts w:eastAsia="宋体"/>
        </w:rPr>
        <w:t xml:space="preserve">) in the warehouse are less than our plan, we don’t have a </w:t>
      </w:r>
      <w:proofErr w:type="gramStart"/>
      <w:r w:rsidRPr="00A014FD">
        <w:rPr>
          <w:rFonts w:eastAsia="宋体"/>
        </w:rPr>
        <w:t>large numbers of delivery</w:t>
      </w:r>
      <w:proofErr w:type="gramEnd"/>
      <w:r w:rsidRPr="00A014FD">
        <w:rPr>
          <w:rFonts w:eastAsia="宋体"/>
        </w:rPr>
        <w:t xml:space="preserve"> each day. We just focusing on the quality improvement and environment. </w:t>
      </w:r>
    </w:p>
    <w:p w14:paraId="6556C524" w14:textId="77777777" w:rsidR="005400D8" w:rsidRPr="00A014FD" w:rsidRDefault="005400D8" w:rsidP="005400D8">
      <w:pPr>
        <w:spacing w:before="240" w:after="240"/>
        <w:rPr>
          <w:rFonts w:eastAsia="宋体"/>
          <w:b/>
          <w:bCs/>
        </w:rPr>
      </w:pPr>
      <w:r w:rsidRPr="00A014FD">
        <w:rPr>
          <w:rFonts w:eastAsia="宋体"/>
          <w:b/>
          <w:bCs/>
        </w:rPr>
        <w:t xml:space="preserve">Goods handled per full-time equivalent </w:t>
      </w:r>
      <w:proofErr w:type="gramStart"/>
      <w:r w:rsidRPr="00A014FD">
        <w:rPr>
          <w:rFonts w:eastAsia="宋体"/>
          <w:b/>
          <w:bCs/>
        </w:rPr>
        <w:t>employee</w:t>
      </w:r>
      <w:proofErr w:type="gramEnd"/>
    </w:p>
    <w:p w14:paraId="4CD5DD54" w14:textId="77777777" w:rsidR="005400D8" w:rsidRPr="00A014FD" w:rsidRDefault="005400D8" w:rsidP="005400D8">
      <w:pPr>
        <w:spacing w:before="240" w:after="240"/>
        <w:rPr>
          <w:rFonts w:eastAsia="宋体"/>
          <w:b/>
          <w:bCs/>
        </w:rPr>
      </w:pPr>
      <w:r w:rsidRPr="00A014FD">
        <w:rPr>
          <w:rFonts w:eastAsia="宋体"/>
          <w:b/>
          <w:bCs/>
        </w:rPr>
        <w:t xml:space="preserve">How many workers are employed in this UCC? </w:t>
      </w:r>
    </w:p>
    <w:p w14:paraId="4398C4E5" w14:textId="77777777" w:rsidR="005400D8" w:rsidRPr="00A014FD" w:rsidRDefault="005400D8" w:rsidP="005400D8">
      <w:pPr>
        <w:spacing w:before="240" w:after="240"/>
        <w:rPr>
          <w:rFonts w:eastAsia="宋体"/>
        </w:rPr>
      </w:pPr>
      <w:r w:rsidRPr="00A014FD">
        <w:rPr>
          <w:rFonts w:eastAsia="宋体"/>
        </w:rPr>
        <w:t xml:space="preserve">I think </w:t>
      </w:r>
      <w:proofErr w:type="gramStart"/>
      <w:r w:rsidRPr="00A014FD">
        <w:rPr>
          <w:rFonts w:eastAsia="宋体"/>
        </w:rPr>
        <w:t>it's</w:t>
      </w:r>
      <w:proofErr w:type="gramEnd"/>
      <w:r w:rsidRPr="00A014FD">
        <w:rPr>
          <w:rFonts w:eastAsia="宋体"/>
        </w:rPr>
        <w:t xml:space="preserve"> around twelve, thirteen, to thirty, including the warehouse and the drivers and around I don't have an exact figure because it's a little bit too new for me. </w:t>
      </w:r>
    </w:p>
    <w:p w14:paraId="56C655D0" w14:textId="0B561C55" w:rsidR="005400D8" w:rsidRDefault="005400D8" w:rsidP="005400D8">
      <w:pPr>
        <w:spacing w:before="240" w:after="240"/>
        <w:rPr>
          <w:rFonts w:eastAsia="宋体"/>
        </w:rPr>
      </w:pPr>
      <w:r w:rsidRPr="00A014FD">
        <w:rPr>
          <w:rFonts w:eastAsia="宋体"/>
        </w:rPr>
        <w:lastRenderedPageBreak/>
        <w:t xml:space="preserve">The issue is because we </w:t>
      </w:r>
      <w:proofErr w:type="gramStart"/>
      <w:r w:rsidRPr="00A014FD">
        <w:rPr>
          <w:rFonts w:eastAsia="宋体"/>
        </w:rPr>
        <w:t>don't</w:t>
      </w:r>
      <w:proofErr w:type="gramEnd"/>
      <w:r w:rsidRPr="00A014FD">
        <w:rPr>
          <w:rFonts w:eastAsia="宋体"/>
        </w:rPr>
        <w:t xml:space="preserve"> have the full organization yet. In August, everyone in the new organization will be on place. But right </w:t>
      </w:r>
      <w:proofErr w:type="gramStart"/>
      <w:r w:rsidRPr="00A014FD">
        <w:rPr>
          <w:rFonts w:eastAsia="宋体"/>
        </w:rPr>
        <w:t>now</w:t>
      </w:r>
      <w:proofErr w:type="gramEnd"/>
      <w:r w:rsidRPr="00A014FD">
        <w:rPr>
          <w:rFonts w:eastAsia="宋体"/>
        </w:rPr>
        <w:t xml:space="preserve"> we are in the lack of staffs, We don’t have enough workers during the vacation, we have a long holiday in summer, many workers will leave for a holiday. We need workers in summer. Some delivery will delay, </w:t>
      </w:r>
      <w:proofErr w:type="gramStart"/>
      <w:r w:rsidRPr="00A014FD">
        <w:rPr>
          <w:rFonts w:eastAsia="宋体"/>
        </w:rPr>
        <w:t>it’s</w:t>
      </w:r>
      <w:proofErr w:type="gramEnd"/>
      <w:r w:rsidRPr="00A014FD">
        <w:rPr>
          <w:rFonts w:eastAsia="宋体"/>
        </w:rPr>
        <w:t xml:space="preserve"> a challenge for our management. they will arrive after the vacations. </w:t>
      </w:r>
      <w:proofErr w:type="gramStart"/>
      <w:r w:rsidRPr="00A014FD">
        <w:rPr>
          <w:rFonts w:eastAsia="宋体"/>
        </w:rPr>
        <w:t>So</w:t>
      </w:r>
      <w:proofErr w:type="gramEnd"/>
      <w:r w:rsidRPr="00A014FD">
        <w:rPr>
          <w:rFonts w:eastAsia="宋体"/>
        </w:rPr>
        <w:t xml:space="preserve"> some people right now is working a little bit too hard. </w:t>
      </w:r>
    </w:p>
    <w:p w14:paraId="01899517" w14:textId="0A35923F" w:rsidR="0000015A" w:rsidRDefault="0000015A" w:rsidP="005400D8">
      <w:pPr>
        <w:spacing w:before="240" w:after="240"/>
        <w:rPr>
          <w:rFonts w:eastAsia="宋体"/>
        </w:rPr>
      </w:pPr>
      <w:r>
        <w:rPr>
          <w:rFonts w:eastAsia="宋体"/>
        </w:rPr>
        <w:t>Interview with UCC Executives</w:t>
      </w:r>
    </w:p>
    <w:p w14:paraId="371C89CA" w14:textId="77777777" w:rsidR="005400D8" w:rsidRPr="00A014FD" w:rsidRDefault="005400D8" w:rsidP="005400D8">
      <w:pPr>
        <w:rPr>
          <w:sz w:val="22"/>
        </w:rPr>
      </w:pPr>
      <w:r w:rsidRPr="00A014FD">
        <w:rPr>
          <w:sz w:val="22"/>
        </w:rPr>
        <w:t xml:space="preserve">UCC Executive does not understand the meaning of the sustainable urban logistics (SUL). After being explained the definitions of the sustainable urban logistics. the interviewee stresses the economic achievement of this UCC facility to the Company A and the other users. The interviewee also illustrates </w:t>
      </w:r>
      <w:proofErr w:type="gramStart"/>
      <w:r w:rsidRPr="00A014FD">
        <w:rPr>
          <w:sz w:val="22"/>
        </w:rPr>
        <w:t>some kind of exploration</w:t>
      </w:r>
      <w:proofErr w:type="gramEnd"/>
      <w:r w:rsidRPr="00A014FD">
        <w:rPr>
          <w:sz w:val="22"/>
        </w:rPr>
        <w:t xml:space="preserve"> of the UCC in environmental dimensions. Lastly, the interviewee explains many issues in the UCC operations based on the concept of the SUL.</w:t>
      </w:r>
    </w:p>
    <w:p w14:paraId="5CDEE6EB" w14:textId="77777777" w:rsidR="005400D8" w:rsidRPr="00A014FD" w:rsidRDefault="005400D8" w:rsidP="005400D8">
      <w:pPr>
        <w:rPr>
          <w:sz w:val="22"/>
        </w:rPr>
      </w:pPr>
      <w:r w:rsidRPr="00A014FD">
        <w:rPr>
          <w:sz w:val="22"/>
        </w:rPr>
        <w:t xml:space="preserve">The main purpose of the UCC is to help “Company A” reduce its logistics cost, and increasing the logistics efficiency along with goods sorting, </w:t>
      </w:r>
      <w:proofErr w:type="gramStart"/>
      <w:r w:rsidRPr="00A014FD">
        <w:rPr>
          <w:sz w:val="22"/>
        </w:rPr>
        <w:t>shipping</w:t>
      </w:r>
      <w:proofErr w:type="gramEnd"/>
      <w:r w:rsidRPr="00A014FD">
        <w:rPr>
          <w:sz w:val="22"/>
        </w:rPr>
        <w:t xml:space="preserve"> and delivery process. So far, the “Company A” does not give UCC any requirements on the environmental and Social progress. Interviewee stress that, he understands the governments’ policy for environmental and social dimension, however this policy does not give any details to guide UCC to achieve the environment benefit, meanwhile, there is no inspection from government to check whether UCC has taken any measures to improve the environmental issues.</w:t>
      </w:r>
    </w:p>
    <w:p w14:paraId="6E4DABB8" w14:textId="77777777" w:rsidR="005400D8" w:rsidRPr="00A014FD" w:rsidRDefault="005400D8" w:rsidP="005400D8">
      <w:pPr>
        <w:rPr>
          <w:sz w:val="22"/>
        </w:rPr>
      </w:pPr>
      <w:r w:rsidRPr="00A014FD">
        <w:rPr>
          <w:sz w:val="22"/>
        </w:rPr>
        <w:lastRenderedPageBreak/>
        <w:t xml:space="preserve">The interviewee does not think the UCC model could help solve the environmental and social issues under the </w:t>
      </w:r>
      <w:proofErr w:type="gramStart"/>
      <w:r w:rsidRPr="00A014FD">
        <w:rPr>
          <w:sz w:val="22"/>
        </w:rPr>
        <w:t>current status</w:t>
      </w:r>
      <w:proofErr w:type="gramEnd"/>
      <w:r w:rsidRPr="00A014FD">
        <w:rPr>
          <w:sz w:val="22"/>
        </w:rPr>
        <w:t xml:space="preserve"> of the Chinese logistics industry. </w:t>
      </w:r>
    </w:p>
    <w:p w14:paraId="34C1B6B1" w14:textId="77777777" w:rsidR="005400D8" w:rsidRPr="0000015A" w:rsidRDefault="005400D8" w:rsidP="005400D8">
      <w:pPr>
        <w:pStyle w:val="NoSpacing"/>
        <w:rPr>
          <w:rFonts w:eastAsiaTheme="minorEastAsia" w:cstheme="minorBidi"/>
          <w:kern w:val="0"/>
          <w:sz w:val="22"/>
          <w:szCs w:val="22"/>
          <w:lang w:val="en-GB"/>
        </w:rPr>
      </w:pPr>
      <w:bookmarkStart w:id="1278" w:name="_Toc514947679"/>
      <w:r w:rsidRPr="0000015A">
        <w:rPr>
          <w:rFonts w:eastAsiaTheme="minorEastAsia" w:cstheme="minorBidi"/>
          <w:kern w:val="0"/>
          <w:sz w:val="22"/>
          <w:szCs w:val="22"/>
          <w:lang w:val="en-GB"/>
        </w:rPr>
        <w:t>The Role of the UCC Executive.</w:t>
      </w:r>
      <w:bookmarkEnd w:id="1278"/>
    </w:p>
    <w:p w14:paraId="068A8017" w14:textId="77777777" w:rsidR="005400D8" w:rsidRPr="00A014FD" w:rsidRDefault="005400D8" w:rsidP="005400D8">
      <w:pPr>
        <w:rPr>
          <w:sz w:val="22"/>
        </w:rPr>
      </w:pPr>
      <w:r w:rsidRPr="00A014FD">
        <w:rPr>
          <w:sz w:val="22"/>
        </w:rPr>
        <w:t xml:space="preserve">The UCC Executive manage the daily operating work. From the interview, we understand the interviewee manages the following departments of the UCC: information department, financial department, warehouse department, distribution department, staff supply department and equipment maintaining department and security department. The interviewee’s responsibility is to keep the high efficiency running of the UCC facility. Meanwhile, control the annual cost of the UCC. Furthermore, the UCC executive should maintain the Company A’s communicating channel with different UCC users and customers. Interviewees should help them solve the practical issues during the logistics process. UCC Executive must prevent the occurrence of the different accident, such as staff casualties, fire accident, road accident, and huge goods damages. Interviewee should opportunely receive the government’s regulation and </w:t>
      </w:r>
      <w:proofErr w:type="gramStart"/>
      <w:r w:rsidRPr="00A014FD">
        <w:rPr>
          <w:sz w:val="22"/>
        </w:rPr>
        <w:t>policy, and</w:t>
      </w:r>
      <w:proofErr w:type="gramEnd"/>
      <w:r w:rsidRPr="00A014FD">
        <w:rPr>
          <w:sz w:val="22"/>
        </w:rPr>
        <w:t xml:space="preserve"> inform this information to all of the UCC staff to avoid the conflict between UCC operating model and policy requirement. </w:t>
      </w:r>
    </w:p>
    <w:p w14:paraId="0A60B964" w14:textId="77777777" w:rsidR="005400D8" w:rsidRPr="0000015A" w:rsidRDefault="005400D8" w:rsidP="005400D8">
      <w:pPr>
        <w:pStyle w:val="NoSpacing"/>
        <w:rPr>
          <w:rFonts w:eastAsiaTheme="minorEastAsia" w:cstheme="minorBidi"/>
          <w:kern w:val="0"/>
          <w:sz w:val="22"/>
          <w:szCs w:val="22"/>
          <w:lang w:val="en-GB"/>
        </w:rPr>
      </w:pPr>
      <w:r w:rsidRPr="0000015A">
        <w:rPr>
          <w:rFonts w:eastAsiaTheme="minorEastAsia" w:cstheme="minorBidi"/>
          <w:kern w:val="0"/>
          <w:sz w:val="22"/>
          <w:szCs w:val="22"/>
          <w:lang w:val="en-GB"/>
        </w:rPr>
        <w:t>Issues Complaint from UCC Executive</w:t>
      </w:r>
    </w:p>
    <w:p w14:paraId="3BB4EC4C" w14:textId="77777777" w:rsidR="005400D8" w:rsidRPr="00A014FD" w:rsidRDefault="005400D8" w:rsidP="005400D8">
      <w:pPr>
        <w:rPr>
          <w:sz w:val="22"/>
        </w:rPr>
      </w:pPr>
      <w:r w:rsidRPr="00A014FD">
        <w:rPr>
          <w:sz w:val="22"/>
        </w:rPr>
        <w:t xml:space="preserve">All employed third-party logistics are not dedicated for the medical logistics, their service quality is low. These companies’ logistics equipment is primitive (for example, many companies do not have forklift for pallet in their truck, so the staffs have to unload the cargos by their shoulders); Sometimes, the </w:t>
      </w:r>
      <w:proofErr w:type="gramStart"/>
      <w:r w:rsidRPr="00A014FD">
        <w:rPr>
          <w:sz w:val="22"/>
        </w:rPr>
        <w:t>containers</w:t>
      </w:r>
      <w:proofErr w:type="gramEnd"/>
      <w:r w:rsidRPr="00A014FD">
        <w:rPr>
          <w:sz w:val="22"/>
        </w:rPr>
        <w:t xml:space="preserve"> of truck is dirty, which cannot meet the sanitary conditions of the medical transportation; The staff of these third-party logistics companies </w:t>
      </w:r>
      <w:r w:rsidRPr="00A014FD">
        <w:rPr>
          <w:sz w:val="22"/>
        </w:rPr>
        <w:lastRenderedPageBreak/>
        <w:t xml:space="preserve">always ignore the operation manual of the medical logistics. These issues are very easily </w:t>
      </w:r>
      <w:proofErr w:type="gramStart"/>
      <w:r w:rsidRPr="00A014FD">
        <w:rPr>
          <w:sz w:val="22"/>
        </w:rPr>
        <w:t>leads</w:t>
      </w:r>
      <w:proofErr w:type="gramEnd"/>
      <w:r w:rsidRPr="00A014FD">
        <w:rPr>
          <w:sz w:val="22"/>
        </w:rPr>
        <w:t xml:space="preserve"> to the parcel damage as well as the time-delay of the delivery.</w:t>
      </w:r>
    </w:p>
    <w:p w14:paraId="26D9F794" w14:textId="77777777" w:rsidR="005400D8" w:rsidRPr="00A014FD" w:rsidRDefault="005400D8" w:rsidP="005400D8">
      <w:pPr>
        <w:rPr>
          <w:sz w:val="22"/>
        </w:rPr>
      </w:pPr>
      <w:r w:rsidRPr="00A014FD">
        <w:rPr>
          <w:sz w:val="22"/>
        </w:rPr>
        <w:t xml:space="preserve">The business strategy of the Company A will </w:t>
      </w:r>
      <w:proofErr w:type="gramStart"/>
      <w:r w:rsidRPr="00A014FD">
        <w:rPr>
          <w:sz w:val="22"/>
        </w:rPr>
        <w:t>changes</w:t>
      </w:r>
      <w:proofErr w:type="gramEnd"/>
      <w:r w:rsidRPr="00A014FD">
        <w:rPr>
          <w:sz w:val="22"/>
        </w:rPr>
        <w:t xml:space="preserve"> in the future. Company A will open new self-operating pharmacy in some satellite cities (the cities located within 100KM) around Wuhan. Although new UCC facility is still being planning, the interviewee stress that there are many issues (such as land price, logistics equipment, staff training) will postponed the constructions of the new UCC facility. The Company A hopes this UCC can allocate more sources for inter-city distribution. Currently, the delivery capacity of this UCC has almost reached saturation point. Therefore, Company A </w:t>
      </w:r>
      <w:proofErr w:type="gramStart"/>
      <w:r w:rsidRPr="00A014FD">
        <w:rPr>
          <w:sz w:val="22"/>
        </w:rPr>
        <w:t>has to</w:t>
      </w:r>
      <w:proofErr w:type="gramEnd"/>
      <w:r w:rsidRPr="00A014FD">
        <w:rPr>
          <w:sz w:val="22"/>
        </w:rPr>
        <w:t xml:space="preserve"> stop the cooperation with some of the wholesales companies to set aside more trucks and platform for the new business. It leads to the quantities of goods for the city consolidation delivery will be reduced in the future.</w:t>
      </w:r>
    </w:p>
    <w:p w14:paraId="12FBA5AF" w14:textId="77777777" w:rsidR="005400D8" w:rsidRPr="00A014FD" w:rsidRDefault="005400D8" w:rsidP="005400D8">
      <w:pPr>
        <w:rPr>
          <w:sz w:val="22"/>
        </w:rPr>
      </w:pPr>
      <w:r w:rsidRPr="00A014FD">
        <w:rPr>
          <w:sz w:val="22"/>
        </w:rPr>
        <w:t xml:space="preserve">Government's freight policy restricts efficiency of city distribution. Interviewee hopes the government can give moderately policy on medicine transportation. He gives an example, the transportation policy in Wuhan does not allow the vehicles for on-street parking (on street stop will be punished 100RMB). </w:t>
      </w:r>
      <w:proofErr w:type="gramStart"/>
      <w:r w:rsidRPr="00A014FD">
        <w:rPr>
          <w:sz w:val="22"/>
        </w:rPr>
        <w:t>So</w:t>
      </w:r>
      <w:proofErr w:type="gramEnd"/>
      <w:r w:rsidRPr="00A014FD">
        <w:rPr>
          <w:sz w:val="22"/>
        </w:rPr>
        <w:t xml:space="preserve"> trucks should to find the parking areas and empty pedestrian lanes for short-time stop to unloading the cargo. because of many medicines should be stored in the constant temperature. Sometimes it is very hard to find an empty nearing parking area around the Pharmacy store, which will cause the deterioration of the medicine in the summer.</w:t>
      </w:r>
    </w:p>
    <w:p w14:paraId="5B0FF7E6" w14:textId="77777777" w:rsidR="005400D8" w:rsidRPr="00A014FD" w:rsidRDefault="005400D8" w:rsidP="005400D8">
      <w:pPr>
        <w:rPr>
          <w:sz w:val="22"/>
        </w:rPr>
      </w:pPr>
      <w:r w:rsidRPr="00A014FD">
        <w:rPr>
          <w:sz w:val="22"/>
        </w:rPr>
        <w:t xml:space="preserve">The interviewee has been working in the logistics department of company A for 17 years. he became the executives of this UCC since 2015. The interviewee understands </w:t>
      </w:r>
      <w:proofErr w:type="gramStart"/>
      <w:r w:rsidRPr="00A014FD">
        <w:rPr>
          <w:sz w:val="22"/>
        </w:rPr>
        <w:t>all of</w:t>
      </w:r>
      <w:proofErr w:type="gramEnd"/>
      <w:r w:rsidRPr="00A014FD">
        <w:rPr>
          <w:sz w:val="22"/>
        </w:rPr>
        <w:t xml:space="preserve"> the details </w:t>
      </w:r>
      <w:r w:rsidRPr="00A014FD">
        <w:rPr>
          <w:sz w:val="22"/>
        </w:rPr>
        <w:lastRenderedPageBreak/>
        <w:t xml:space="preserve">of the logistics process. He thinks </w:t>
      </w:r>
      <w:proofErr w:type="gramStart"/>
      <w:r w:rsidRPr="00A014FD">
        <w:rPr>
          <w:sz w:val="22"/>
        </w:rPr>
        <w:t>all of</w:t>
      </w:r>
      <w:proofErr w:type="gramEnd"/>
      <w:r w:rsidRPr="00A014FD">
        <w:rPr>
          <w:sz w:val="22"/>
        </w:rPr>
        <w:t xml:space="preserve"> the selected economic indicators are relevant with the UCC’s daily operation.</w:t>
      </w:r>
    </w:p>
    <w:p w14:paraId="0EA61DC8" w14:textId="77777777" w:rsidR="005400D8" w:rsidRPr="00A014FD" w:rsidRDefault="005400D8" w:rsidP="005400D8">
      <w:pPr>
        <w:rPr>
          <w:sz w:val="22"/>
        </w:rPr>
      </w:pPr>
      <w:r w:rsidRPr="00A014FD">
        <w:rPr>
          <w:sz w:val="22"/>
        </w:rPr>
        <w:t xml:space="preserve">Interviewee thinks the “Annual Operating Cost (AOC)” is very important from his consideration. The company requires the UCC to reduce the 5% AOC in the next three years. interviewee thinks it is a very heavy and hard task for his job. The interviewee lists the following measures to reduce the AOC, (1) choosing new materials suppliers </w:t>
      </w:r>
      <w:proofErr w:type="gramStart"/>
      <w:r w:rsidRPr="00A014FD">
        <w:rPr>
          <w:sz w:val="22"/>
        </w:rPr>
        <w:t>whom</w:t>
      </w:r>
      <w:proofErr w:type="gramEnd"/>
      <w:r w:rsidRPr="00A014FD">
        <w:rPr>
          <w:sz w:val="22"/>
        </w:rPr>
        <w:t xml:space="preserve"> has lower price for all equipment of the UCC, such as packages, pallets, and trolley. (2) Reduce the number of staffs of the non-core department such as the security department. (3) Trying to reduce the cost for the inventory management, such as reduce the frequencies of the inventory replenishment. (4) trying to reduce the maintaining fees for goods storage, such as energy-save strategy. (5) Reducing the goods damage in all of logistics process. Interviewee stress that, this target is to difficulty to achieve, because the quantities for cargo shipping through this UCC is increasing month by month, which leads to an increasing utilisation for workers, </w:t>
      </w:r>
      <w:proofErr w:type="gramStart"/>
      <w:r w:rsidRPr="00A014FD">
        <w:rPr>
          <w:sz w:val="22"/>
        </w:rPr>
        <w:t>materials</w:t>
      </w:r>
      <w:proofErr w:type="gramEnd"/>
      <w:r w:rsidRPr="00A014FD">
        <w:rPr>
          <w:sz w:val="22"/>
        </w:rPr>
        <w:t xml:space="preserve"> and equipment. will    Interviewee stress that the </w:t>
      </w:r>
      <w:proofErr w:type="gramStart"/>
      <w:r w:rsidRPr="00A014FD">
        <w:rPr>
          <w:sz w:val="22"/>
        </w:rPr>
        <w:t>current status</w:t>
      </w:r>
      <w:proofErr w:type="gramEnd"/>
      <w:r w:rsidRPr="00A014FD">
        <w:rPr>
          <w:sz w:val="22"/>
        </w:rPr>
        <w:t xml:space="preserve"> of the AOC is acceptable for the Company A.</w:t>
      </w:r>
    </w:p>
    <w:p w14:paraId="15D1325D" w14:textId="77777777" w:rsidR="005400D8" w:rsidRPr="00A014FD" w:rsidRDefault="005400D8" w:rsidP="005400D8">
      <w:pPr>
        <w:rPr>
          <w:sz w:val="22"/>
        </w:rPr>
      </w:pPr>
      <w:r w:rsidRPr="00A014FD">
        <w:rPr>
          <w:sz w:val="22"/>
        </w:rPr>
        <w:t xml:space="preserve">The interviewee does not know the details of the “Annual Revenues”. </w:t>
      </w:r>
      <w:proofErr w:type="gramStart"/>
      <w:r w:rsidRPr="00A014FD">
        <w:rPr>
          <w:sz w:val="22"/>
        </w:rPr>
        <w:t>All of</w:t>
      </w:r>
      <w:proofErr w:type="gramEnd"/>
      <w:r w:rsidRPr="00A014FD">
        <w:rPr>
          <w:sz w:val="22"/>
        </w:rPr>
        <w:t xml:space="preserve"> the income of this UCC (such as the using fees from other wholesalers) will be directly paid to the company A. The company A thinks the using fee is an </w:t>
      </w:r>
      <w:proofErr w:type="gramStart"/>
      <w:r w:rsidRPr="00A014FD">
        <w:rPr>
          <w:sz w:val="22"/>
        </w:rPr>
        <w:t>important sources of income</w:t>
      </w:r>
      <w:proofErr w:type="gramEnd"/>
      <w:r w:rsidRPr="00A014FD">
        <w:rPr>
          <w:sz w:val="22"/>
        </w:rPr>
        <w:t xml:space="preserve">. The interviewee explained that (because of) company A has built many UCCs in other provinces. The business strategy from company A is to attract more numbers of users for the UCC. Now, the total using </w:t>
      </w:r>
      <w:r w:rsidRPr="00A014FD">
        <w:rPr>
          <w:sz w:val="22"/>
        </w:rPr>
        <w:lastRenderedPageBreak/>
        <w:t xml:space="preserve">fee for other companies paid to the company A is significant. For himself, interviewee does not know how much this UCC earned every year. </w:t>
      </w:r>
    </w:p>
    <w:p w14:paraId="1585CFD0" w14:textId="77777777" w:rsidR="005400D8" w:rsidRPr="00A014FD" w:rsidRDefault="005400D8" w:rsidP="005400D8">
      <w:pPr>
        <w:rPr>
          <w:color w:val="FF0000"/>
          <w:sz w:val="22"/>
        </w:rPr>
      </w:pPr>
      <w:r w:rsidRPr="00A014FD">
        <w:rPr>
          <w:sz w:val="22"/>
        </w:rPr>
        <w:t xml:space="preserve">“Typical Delivery Price” interviewee stress that, company does not public any details of the typical delivery price of this UCC, because it includes sensitive data will cause the legal issues. (When we have discussed the using fee from the other users.) The interviewee says: if any wholesaler rent a warehouse, employ the fleet for the delivery. The total cost will be much lower than the fees they paid for this UCC. However, (Interviewee says) this UCC is dedicated the medical logistics, it has the professional workers for the medical logistics; it has dedicated logistics equipment and efficient inventory management. This will reduce the cost for the logistics management for </w:t>
      </w:r>
      <w:proofErr w:type="gramStart"/>
      <w:r w:rsidRPr="00A014FD">
        <w:rPr>
          <w:sz w:val="22"/>
        </w:rPr>
        <w:t>all of</w:t>
      </w:r>
      <w:proofErr w:type="gramEnd"/>
      <w:r w:rsidRPr="00A014FD">
        <w:rPr>
          <w:sz w:val="22"/>
        </w:rPr>
        <w:t xml:space="preserve"> the other users. Based on the inventory sharing system, the other wholesalers do not need to keep expensive stock for the medicine. The other users will reduce </w:t>
      </w:r>
      <w:r w:rsidRPr="00097FB4">
        <w:rPr>
          <w:rFonts w:eastAsia="宋体"/>
        </w:rPr>
        <w:t xml:space="preserve">the lead time of the delivery. Interviewee has asked one of his </w:t>
      </w:r>
      <w:proofErr w:type="gramStart"/>
      <w:r w:rsidRPr="00097FB4">
        <w:rPr>
          <w:rFonts w:eastAsia="宋体"/>
        </w:rPr>
        <w:t>friend</w:t>
      </w:r>
      <w:proofErr w:type="gramEnd"/>
      <w:r w:rsidRPr="00097FB4">
        <w:rPr>
          <w:rFonts w:eastAsia="宋体"/>
        </w:rPr>
        <w:t xml:space="preserve"> whom working in another wholesaler. In this private conversation: (his friend stress that) comparing with implement medical logistics by themselves, this UCC system helps the wholesaler reduce 25% of the annual logistics cost.</w:t>
      </w:r>
    </w:p>
    <w:p w14:paraId="4982109D" w14:textId="77777777" w:rsidR="005400D8" w:rsidRPr="00A014FD" w:rsidRDefault="005400D8" w:rsidP="005400D8">
      <w:pPr>
        <w:rPr>
          <w:sz w:val="22"/>
        </w:rPr>
      </w:pPr>
      <w:r w:rsidRPr="00A014FD">
        <w:rPr>
          <w:sz w:val="22"/>
        </w:rPr>
        <w:t xml:space="preserve">Interviewee stress that, “Infrastructure Surface Usage Rate” and “Goods Handled per Full-Time Equivalent Employee” is normal in the warehouse before building this UCC. Now this UCC equipped the Automated Storage and Retrieval System (AS/RS) the efficiency. The seven levels of inventory cells can storage four times the total amount of goods than traditional warehouse. </w:t>
      </w:r>
      <w:proofErr w:type="gramStart"/>
      <w:r w:rsidRPr="00A014FD">
        <w:rPr>
          <w:sz w:val="22"/>
        </w:rPr>
        <w:t>All of</w:t>
      </w:r>
      <w:proofErr w:type="gramEnd"/>
      <w:r w:rsidRPr="00A014FD">
        <w:rPr>
          <w:sz w:val="22"/>
        </w:rPr>
        <w:t xml:space="preserve"> Automatic equipment reduces 50% of the workers working in the warehouse. The AS/RS. Order’s information can be tracked, for example: where products are stocked, </w:t>
      </w:r>
      <w:r w:rsidRPr="00A014FD">
        <w:rPr>
          <w:sz w:val="22"/>
        </w:rPr>
        <w:lastRenderedPageBreak/>
        <w:t xml:space="preserve">which suppliers they come from, and the length of time they are stored. Furthermore, by analysing such data, companies can control inventory levels.  This system helps UCC gives the quickest response to </w:t>
      </w:r>
      <w:proofErr w:type="gramStart"/>
      <w:r w:rsidRPr="00A014FD">
        <w:rPr>
          <w:sz w:val="22"/>
        </w:rPr>
        <w:t>all of</w:t>
      </w:r>
      <w:proofErr w:type="gramEnd"/>
      <w:r w:rsidRPr="00A014FD">
        <w:rPr>
          <w:sz w:val="22"/>
        </w:rPr>
        <w:t xml:space="preserve"> the orders, the times for goods sorting and preparing can be reduced to at least 1 hour.  The AS/RS system is the basis for efficient operating of this UCC. Since the AS/RS helps the UCC performance excellent in the indicators of “Infrastructure Surface Usage Rate” and “Goods Handled per Full-Time Equivalent Employee”, their efficiency cannot be improved and will not be reduced as well. </w:t>
      </w:r>
      <w:proofErr w:type="gramStart"/>
      <w:r w:rsidRPr="00A014FD">
        <w:rPr>
          <w:sz w:val="22"/>
        </w:rPr>
        <w:t>So</w:t>
      </w:r>
      <w:proofErr w:type="gramEnd"/>
      <w:r w:rsidRPr="00A014FD">
        <w:rPr>
          <w:sz w:val="22"/>
        </w:rPr>
        <w:t xml:space="preserve"> for the interviewee, these two indicators are not as important as the rest of the economic indicators.</w:t>
      </w:r>
    </w:p>
    <w:p w14:paraId="1DC43DC4" w14:textId="77777777" w:rsidR="005400D8" w:rsidRPr="00A014FD" w:rsidRDefault="005400D8" w:rsidP="005400D8">
      <w:pPr>
        <w:rPr>
          <w:sz w:val="22"/>
        </w:rPr>
      </w:pPr>
      <w:r w:rsidRPr="00A014FD">
        <w:rPr>
          <w:sz w:val="22"/>
        </w:rPr>
        <w:t xml:space="preserve">The interviewee does not understand the meaning of the “Delivery Accuracy Rate” at the </w:t>
      </w:r>
      <w:proofErr w:type="spellStart"/>
      <w:r w:rsidRPr="00A014FD">
        <w:rPr>
          <w:sz w:val="22"/>
        </w:rPr>
        <w:t>begining</w:t>
      </w:r>
      <w:proofErr w:type="spellEnd"/>
      <w:r w:rsidRPr="00A014FD">
        <w:rPr>
          <w:sz w:val="22"/>
        </w:rPr>
        <w:t>. After I explain the meaning to the interviewee, he describes this indicator from two perspectives:</w:t>
      </w:r>
    </w:p>
    <w:p w14:paraId="0C823CCE" w14:textId="77777777" w:rsidR="005400D8" w:rsidRPr="00A014FD" w:rsidRDefault="005400D8" w:rsidP="005400D8">
      <w:pPr>
        <w:rPr>
          <w:sz w:val="22"/>
        </w:rPr>
      </w:pPr>
      <w:r w:rsidRPr="00A014FD">
        <w:rPr>
          <w:sz w:val="22"/>
        </w:rPr>
        <w:t xml:space="preserve">(on-time delivery perspective) UCC can achieved 100% on-time delivery as the requirement from the order. On-time delivery is very important to evaluate the performance of this UCC. Further, UCC can also provide the emergency delivery for the hospital. This helps the UCC generate good relationship with the customers. 100% On-time delivery is the main reason that customers willing to make order from company A. Government also gives the policy support for the trucks for medical logistics, such as, they give the license to ensure the trucks can use any road and moving into urban area in anytime. </w:t>
      </w:r>
    </w:p>
    <w:p w14:paraId="7B6371F1" w14:textId="77777777" w:rsidR="005400D8" w:rsidRPr="00A014FD" w:rsidRDefault="005400D8" w:rsidP="005400D8">
      <w:pPr>
        <w:rPr>
          <w:sz w:val="22"/>
        </w:rPr>
      </w:pPr>
      <w:r w:rsidRPr="00A014FD">
        <w:rPr>
          <w:sz w:val="22"/>
        </w:rPr>
        <w:t>(goods damage rate perspective), reduce the goods damage rate is very important for this company. in the early stage the 3PL companies and self-employed drivers generates the highest goods damage rates during in the goods delivery stage. The reasons are (</w:t>
      </w:r>
      <w:proofErr w:type="spellStart"/>
      <w:r w:rsidRPr="00A014FD">
        <w:rPr>
          <w:sz w:val="22"/>
        </w:rPr>
        <w:t>i</w:t>
      </w:r>
      <w:proofErr w:type="spellEnd"/>
      <w:r w:rsidRPr="00A014FD">
        <w:rPr>
          <w:sz w:val="22"/>
        </w:rPr>
        <w:t xml:space="preserve">) they do not have </w:t>
      </w:r>
      <w:r w:rsidRPr="00A014FD">
        <w:rPr>
          <w:sz w:val="22"/>
        </w:rPr>
        <w:lastRenderedPageBreak/>
        <w:t xml:space="preserve">equipment; (ii) they are not following the instruction manual; (iii) their staff does not care about the conditions of the medicine. </w:t>
      </w:r>
      <w:proofErr w:type="gramStart"/>
      <w:r w:rsidRPr="00A014FD">
        <w:rPr>
          <w:sz w:val="22"/>
        </w:rPr>
        <w:t>So</w:t>
      </w:r>
      <w:proofErr w:type="gramEnd"/>
      <w:r w:rsidRPr="00A014FD">
        <w:rPr>
          <w:sz w:val="22"/>
        </w:rPr>
        <w:t xml:space="preserve"> the UCC does not allocated fragile package to the 3PL companies and self-employed drivers for the delivery. The goods damage rate is low in the delivery process. Now the most seriously good damage happens in the goods sorting process. medicine with fragile shells </w:t>
      </w:r>
      <w:proofErr w:type="gramStart"/>
      <w:r w:rsidRPr="00A014FD">
        <w:rPr>
          <w:sz w:val="22"/>
        </w:rPr>
        <w:t>are</w:t>
      </w:r>
      <w:proofErr w:type="gramEnd"/>
      <w:r w:rsidRPr="00A014FD">
        <w:rPr>
          <w:sz w:val="22"/>
        </w:rPr>
        <w:t xml:space="preserve"> easily broken in this process, because of the AS/RS cannot treat fragile package well.  </w:t>
      </w:r>
    </w:p>
    <w:p w14:paraId="311712DA" w14:textId="77777777" w:rsidR="005400D8" w:rsidRPr="00A014FD" w:rsidRDefault="005400D8" w:rsidP="005400D8">
      <w:pPr>
        <w:rPr>
          <w:sz w:val="22"/>
        </w:rPr>
      </w:pPr>
      <w:r w:rsidRPr="00A014FD">
        <w:rPr>
          <w:sz w:val="22"/>
        </w:rPr>
        <w:t xml:space="preserve">During the order signing process, different customers </w:t>
      </w:r>
      <w:proofErr w:type="gramStart"/>
      <w:r w:rsidRPr="00A014FD">
        <w:rPr>
          <w:sz w:val="22"/>
        </w:rPr>
        <w:t>has</w:t>
      </w:r>
      <w:proofErr w:type="gramEnd"/>
      <w:r w:rsidRPr="00A014FD">
        <w:rPr>
          <w:sz w:val="22"/>
        </w:rPr>
        <w:t xml:space="preserve"> different attitudes for the goods damage. For example, hospital will reject the medicine even if its outside-layer package is dirty. Pharmacy requires the shell of the medicine should clean and not been squeezed.  Personal customers sometimes accept the medicine with package squeezed. It is very hard to define what the real concept of goods damage is. </w:t>
      </w:r>
    </w:p>
    <w:p w14:paraId="5D3B090A" w14:textId="77777777" w:rsidR="005400D8" w:rsidRPr="00A014FD" w:rsidRDefault="005400D8" w:rsidP="005400D8">
      <w:pPr>
        <w:rPr>
          <w:sz w:val="22"/>
        </w:rPr>
      </w:pPr>
      <w:r w:rsidRPr="00A014FD">
        <w:rPr>
          <w:sz w:val="22"/>
        </w:rPr>
        <w:t xml:space="preserve">“Lead Time for Goods Delivery from UCC to its Users” interviewee illustrates that UCC’s lead time to preparing the goods is 1 hours. And they </w:t>
      </w:r>
      <w:proofErr w:type="gramStart"/>
      <w:r w:rsidRPr="00A014FD">
        <w:rPr>
          <w:sz w:val="22"/>
        </w:rPr>
        <w:t>have to</w:t>
      </w:r>
      <w:proofErr w:type="gramEnd"/>
      <w:r w:rsidRPr="00A014FD">
        <w:rPr>
          <w:sz w:val="22"/>
        </w:rPr>
        <w:t xml:space="preserve"> stay in the corridor to waiting for the loading platform and delivery trucks. waiting time cost at least 1 hours. The high priority orders will not be waiting </w:t>
      </w:r>
      <w:proofErr w:type="gramStart"/>
      <w:r w:rsidRPr="00A014FD">
        <w:rPr>
          <w:sz w:val="22"/>
        </w:rPr>
        <w:t>long</w:t>
      </w:r>
      <w:proofErr w:type="gramEnd"/>
      <w:r w:rsidRPr="00A014FD">
        <w:rPr>
          <w:sz w:val="22"/>
        </w:rPr>
        <w:t xml:space="preserve"> and they can be delivered over the low-priority customers of which are waiting in front. </w:t>
      </w:r>
    </w:p>
    <w:p w14:paraId="3CD6A84A" w14:textId="77777777" w:rsidR="005400D8" w:rsidRPr="00A014FD" w:rsidRDefault="005400D8" w:rsidP="005400D8">
      <w:pPr>
        <w:rPr>
          <w:sz w:val="22"/>
        </w:rPr>
      </w:pPr>
      <w:r w:rsidRPr="00A014FD">
        <w:rPr>
          <w:sz w:val="22"/>
        </w:rPr>
        <w:t>(interviewee stress) The significant advantage of this UCC system is changes the delivery models. All cargos can be shipped from the UCC to the customers in the urban areas. it reduces the total shipping time from 36 hours to 6 hours in average. This is the core competitiveness of this UCC system.</w:t>
      </w:r>
    </w:p>
    <w:p w14:paraId="1202E8B1" w14:textId="77777777" w:rsidR="005400D8" w:rsidRPr="00A014FD" w:rsidRDefault="005400D8" w:rsidP="005400D8">
      <w:r w:rsidRPr="00A014FD">
        <w:lastRenderedPageBreak/>
        <w:t xml:space="preserve">Interviewee thinks these four indicators can represent the environmental performance of the UCC. He illustrates that UCC performs bad in above indicators. </w:t>
      </w:r>
      <w:r w:rsidRPr="00A014FD">
        <w:rPr>
          <w:noProof/>
        </w:rPr>
        <w:t>And gives the following reasons.</w:t>
      </w:r>
    </w:p>
    <w:p w14:paraId="14A57E8F" w14:textId="77777777" w:rsidR="005400D8" w:rsidRPr="00097FB4" w:rsidRDefault="005400D8" w:rsidP="00097FB4">
      <w:pPr>
        <w:spacing w:before="240" w:after="240"/>
        <w:rPr>
          <w:rFonts w:eastAsia="宋体"/>
        </w:rPr>
      </w:pPr>
      <w:r w:rsidRPr="00A014FD">
        <w:t>For the “Percentage of the Alternative Vehicles”, there is zero alternative vehicles (electrical vehicles, gas engineering vehicles and Hydrogen) used in this UCC. Company A has evaluated the performance of the electrical vehicles through an experiment in the medium size city. (In the annual conference, Company A reports the conclusions from this experiment.): (</w:t>
      </w:r>
      <w:proofErr w:type="spellStart"/>
      <w:r w:rsidRPr="00A014FD">
        <w:t>i</w:t>
      </w:r>
      <w:proofErr w:type="spellEnd"/>
      <w:r w:rsidRPr="00A014FD">
        <w:t xml:space="preserve">) The battery endurance cannot support the normally delivery in all mega cities (Wuhan is a mega city) the reason is that: each vehicle must travel more than 100KM for the urban delivery in Wuhan. Currently, no freight vehicles can successfully complete this task. The containers of the vehicles </w:t>
      </w:r>
      <w:r w:rsidRPr="00097FB4">
        <w:rPr>
          <w:rFonts w:eastAsia="宋体"/>
        </w:rPr>
        <w:t xml:space="preserve">always run on the air-conditioner to keep cool of the medicine, the EV cannot support sufficient to the air-conditioner. (ii) in </w:t>
      </w:r>
      <w:proofErr w:type="gramStart"/>
      <w:r w:rsidRPr="00097FB4">
        <w:rPr>
          <w:rFonts w:eastAsia="宋体"/>
        </w:rPr>
        <w:t>current status</w:t>
      </w:r>
      <w:proofErr w:type="gramEnd"/>
      <w:r w:rsidRPr="00097FB4">
        <w:rPr>
          <w:rFonts w:eastAsia="宋体"/>
        </w:rPr>
        <w:t xml:space="preserve">, it is very hard to find the supporting facilities for the power charging of the EV in the city, furthermore, the charging time always cost 2 hours. </w:t>
      </w:r>
      <w:proofErr w:type="gramStart"/>
      <w:r w:rsidRPr="00097FB4">
        <w:rPr>
          <w:rFonts w:eastAsia="宋体"/>
        </w:rPr>
        <w:t>All of</w:t>
      </w:r>
      <w:proofErr w:type="gramEnd"/>
      <w:r w:rsidRPr="00097FB4">
        <w:rPr>
          <w:rFonts w:eastAsia="宋体"/>
        </w:rPr>
        <w:t xml:space="preserve"> the delivery cannot be waiting for such a long time. (iii) from their experiment, the entire cost (fees for buying vehicles, training staff, and daily expense) for the EV to complete the same quantities of the goods delivery about 2 times than using a fuel-engineering-vehicle. Key Reasons: (The interviewee illustrates the utilisations of the freight vehicles) when the UCC buys new vehicles, UCC will modify these vehicles to extend the width, </w:t>
      </w:r>
      <w:proofErr w:type="gramStart"/>
      <w:r w:rsidRPr="00097FB4">
        <w:rPr>
          <w:rFonts w:eastAsia="宋体"/>
        </w:rPr>
        <w:t>length</w:t>
      </w:r>
      <w:proofErr w:type="gramEnd"/>
      <w:r w:rsidRPr="00097FB4">
        <w:rPr>
          <w:rFonts w:eastAsia="宋体"/>
        </w:rPr>
        <w:t xml:space="preserve"> and height of the containers. </w:t>
      </w:r>
      <w:r w:rsidRPr="00097FB4">
        <w:rPr>
          <w:rFonts w:eastAsia="宋体"/>
        </w:rPr>
        <w:lastRenderedPageBreak/>
        <w:t>They will make some improvement for the chassis to make it safe to carry this modified container. These modified vehicles can carry 5 times than the maximise load of the original vehicles (if the maximise loading rate of original vehicle is 2 tons, the modified vehicle can carry 10 tons). So that this UCC can using less vehicles to carry the goods as much as possible. This action can help the UCC reduces the vehicle buying cost and delivery cost, even help the reduce the tax payment. When using the electrical vehicles, UCC cannot doing this anymore, because of the battery cannot carry more quantities of goods that than the maximised loading rates. Meanwhile, it is more complicate to modify the EV than the traditional vehicles.</w:t>
      </w:r>
    </w:p>
    <w:p w14:paraId="2BF4E687" w14:textId="77777777" w:rsidR="005400D8" w:rsidRPr="00097FB4" w:rsidRDefault="005400D8" w:rsidP="00097FB4">
      <w:pPr>
        <w:spacing w:before="240" w:after="240"/>
        <w:rPr>
          <w:rFonts w:eastAsia="宋体"/>
        </w:rPr>
      </w:pPr>
      <w:r w:rsidRPr="00097FB4">
        <w:rPr>
          <w:rFonts w:eastAsia="宋体"/>
        </w:rPr>
        <w:t xml:space="preserve">Interviewee does not give any comment on the “Truck Loading Rate”. During the interviewee’s introduction to the UCC, we can understand the following facts: (1) the total quantity of goods for daily delivery is very large, so all vehicles are fully loaded. (2) UCC staff does not care about the weight restriction of the vehicles, </w:t>
      </w:r>
      <w:proofErr w:type="gramStart"/>
      <w:r w:rsidRPr="00097FB4">
        <w:rPr>
          <w:rFonts w:eastAsia="宋体"/>
        </w:rPr>
        <w:t>all of</w:t>
      </w:r>
      <w:proofErr w:type="gramEnd"/>
      <w:r w:rsidRPr="00097FB4">
        <w:rPr>
          <w:rFonts w:eastAsia="宋体"/>
        </w:rPr>
        <w:t xml:space="preserve"> the staff will load the goods as much as possible to fill the entire space of the containers. (3) (in the private conversation with the driver) the drivers think the overloading vehicle is safe, it is very normal to see the truck overloading in the Chinese freight transportation industry. </w:t>
      </w:r>
    </w:p>
    <w:p w14:paraId="6D3C93D2" w14:textId="77777777" w:rsidR="005400D8" w:rsidRPr="00A014FD" w:rsidRDefault="005400D8" w:rsidP="005400D8">
      <w:r w:rsidRPr="00A014FD">
        <w:t xml:space="preserve">Interviewee thinks the “Travel Miles in Urban Areas” link with the fossil fuel consumption. The interviewee </w:t>
      </w:r>
      <w:proofErr w:type="gramStart"/>
      <w:r w:rsidRPr="00A014FD">
        <w:t>think</w:t>
      </w:r>
      <w:proofErr w:type="gramEnd"/>
      <w:r w:rsidRPr="00A014FD">
        <w:t xml:space="preserve"> the information centre will plan the delivery routing for the drivers, the pre-</w:t>
      </w:r>
      <w:proofErr w:type="spellStart"/>
      <w:r w:rsidRPr="00A014FD">
        <w:t>planed</w:t>
      </w:r>
      <w:proofErr w:type="spellEnd"/>
      <w:r w:rsidRPr="00A014FD">
        <w:t xml:space="preserve"> routing is the shortest. However, drivers can </w:t>
      </w:r>
      <w:r w:rsidRPr="00A014FD">
        <w:lastRenderedPageBreak/>
        <w:t xml:space="preserve">choose the routing by themselves, because of a lot of uncertainties to affect driver’s choice, such as the traffic congestion, road maintaining. </w:t>
      </w:r>
      <w:proofErr w:type="gramStart"/>
      <w:r w:rsidRPr="00A014FD">
        <w:t>All of</w:t>
      </w:r>
      <w:proofErr w:type="gramEnd"/>
      <w:r w:rsidRPr="00A014FD">
        <w:t xml:space="preserve"> the goods will be </w:t>
      </w:r>
      <w:r w:rsidRPr="00A014FD">
        <w:rPr>
          <w:noProof/>
        </w:rPr>
        <w:t>delivery</w:t>
      </w:r>
      <w:r w:rsidRPr="00A014FD">
        <w:t xml:space="preserve"> according to the time-windows requirement.</w:t>
      </w:r>
    </w:p>
    <w:p w14:paraId="47FFC3C5" w14:textId="77777777" w:rsidR="005400D8" w:rsidRPr="00A014FD" w:rsidRDefault="005400D8" w:rsidP="005400D8">
      <w:r w:rsidRPr="00A014FD">
        <w:t xml:space="preserve">Number of Delivery Trips per Day, normally there are average 60 delivery trips implemented by UCC’s full-time drivers for the city delivery. Each delivery trip cost 5-6 hours. (we discussed whether it can be reduced). Delivery trips varies day by day, it depends on the order numbers and the </w:t>
      </w:r>
      <w:proofErr w:type="gramStart"/>
      <w:r w:rsidRPr="00A014FD">
        <w:t>exactly</w:t>
      </w:r>
      <w:proofErr w:type="gramEnd"/>
      <w:r w:rsidRPr="00A014FD">
        <w:t xml:space="preserve"> time the orders made. Comparing with last year, there are 15% increasing with daily delivery. For the environmental issues, this increase the fuel consumption, however, for the company A, this means the business is excellent.</w:t>
      </w:r>
    </w:p>
    <w:p w14:paraId="3A06265F" w14:textId="77777777" w:rsidR="005400D8" w:rsidRPr="00A014FD" w:rsidRDefault="005400D8" w:rsidP="005400D8">
      <w:r w:rsidRPr="00A014FD">
        <w:t xml:space="preserve">For “Public Financial Investment”, interviewees stress that, they get many </w:t>
      </w:r>
      <w:proofErr w:type="gramStart"/>
      <w:r w:rsidRPr="00A014FD">
        <w:t>policy</w:t>
      </w:r>
      <w:proofErr w:type="gramEnd"/>
      <w:r w:rsidRPr="00A014FD">
        <w:t xml:space="preserve"> supports from city councils, such as anytime entry license of the city. interviewee illustrates that this policy support is not for this UCC, but for the medicines. Government does not have any sense that consolidating delivery models can be benefit for the city environment. For the financial support, interviewee says they get the discount for the land prices of this UCC, these is not mean government hopes to support this facility. Land price discount is because this UCC will contribute to the city tax and provide large numbers of job opportunities. The interviewee says: UCC does get the support the government, however, there are not any dedicated financial or policy incentives in this UCC’s business.</w:t>
      </w:r>
    </w:p>
    <w:p w14:paraId="18FAE122" w14:textId="77777777" w:rsidR="005400D8" w:rsidRPr="00A014FD" w:rsidRDefault="005400D8" w:rsidP="005400D8">
      <w:r w:rsidRPr="00A014FD">
        <w:lastRenderedPageBreak/>
        <w:t xml:space="preserve">An attractive “Average Staff Salary” can </w:t>
      </w:r>
      <w:proofErr w:type="gramStart"/>
      <w:r w:rsidRPr="00A014FD">
        <w:t>helps</w:t>
      </w:r>
      <w:proofErr w:type="gramEnd"/>
      <w:r w:rsidRPr="00A014FD">
        <w:t xml:space="preserve"> the UCC employed sufficient staffs (especially, the experience drivers) for the UCC to alleviates the risk of the labour shortage. Besides the salary, Company A follows the models from </w:t>
      </w:r>
      <w:r w:rsidRPr="00A014FD">
        <w:rPr>
          <w:noProof/>
        </w:rPr>
        <w:t>stated-owned</w:t>
      </w:r>
      <w:r w:rsidRPr="00A014FD">
        <w:t xml:space="preserve"> companies, UCC operates the canteen (24 hours with 365 days) to provides free foods as well as provides free accommodations includes power and water bills for all the full-time workers. </w:t>
      </w:r>
      <w:r w:rsidRPr="00A014FD">
        <w:rPr>
          <w:noProof/>
        </w:rPr>
        <w:t>Because the location of the UCC is far away from the urban areas.</w:t>
      </w:r>
      <w:r w:rsidRPr="00A014FD">
        <w:t xml:space="preserve"> there is </w:t>
      </w:r>
      <w:proofErr w:type="gramStart"/>
      <w:r w:rsidRPr="00A014FD">
        <w:t>no</w:t>
      </w:r>
      <w:proofErr w:type="gramEnd"/>
      <w:r w:rsidRPr="00A014FD">
        <w:t xml:space="preserve"> the restaurant near the facility, and very limited public transportations to convey the staff from their home to this working place. </w:t>
      </w:r>
      <w:proofErr w:type="gramStart"/>
      <w:r w:rsidRPr="00A014FD">
        <w:t>This measures</w:t>
      </w:r>
      <w:proofErr w:type="gramEnd"/>
      <w:r w:rsidRPr="00A014FD">
        <w:t xml:space="preserve"> can make the staff easily access their works. From interviewees estimates, UCC gives at least 25% percent higher than other logistics companies.</w:t>
      </w:r>
    </w:p>
    <w:p w14:paraId="6B9B87ED" w14:textId="77777777" w:rsidR="005400D8" w:rsidRPr="00097FB4" w:rsidRDefault="005400D8" w:rsidP="00097FB4">
      <w:pPr>
        <w:spacing w:before="240" w:after="240"/>
        <w:rPr>
          <w:rFonts w:eastAsia="宋体"/>
        </w:rPr>
      </w:pPr>
      <w:r w:rsidRPr="00097FB4">
        <w:rPr>
          <w:rFonts w:eastAsia="宋体"/>
        </w:rPr>
        <w:t xml:space="preserve">Interviewee understands UCC’s staffs (especially, the staffs in the distribution department) suffers from the “Worker’s Overtime Utilisation”. The interviewee stress that, staffs overtime utilisation is a common phenomenon for all of logistics companies we have large quantities of orders to be delivered from this UCC </w:t>
      </w:r>
      <w:proofErr w:type="gramStart"/>
      <w:r w:rsidRPr="00097FB4">
        <w:rPr>
          <w:rFonts w:eastAsia="宋体"/>
        </w:rPr>
        <w:t>according</w:t>
      </w:r>
      <w:proofErr w:type="gramEnd"/>
      <w:r w:rsidRPr="00097FB4">
        <w:rPr>
          <w:rFonts w:eastAsia="宋体"/>
        </w:rPr>
        <w:t xml:space="preserve"> the requirement from customers. Interviewee thinks that, to a certain extent, staffs can benefit from the overtime working, because they can earn more money from the overtime working. High frequency overtime working is illegal for the government, but no staff will report this to the media or government. Because, for all staffs, getting a high salary job is more important than getting a comfortable job. Interviewees all the </w:t>
      </w:r>
      <w:r w:rsidRPr="00097FB4">
        <w:rPr>
          <w:rFonts w:eastAsia="宋体"/>
        </w:rPr>
        <w:lastRenderedPageBreak/>
        <w:t>managers are suffers the overtime utilisation as normal workers. even for himself, normally, work 7 days in a week.</w:t>
      </w:r>
    </w:p>
    <w:p w14:paraId="48BA803D" w14:textId="77777777" w:rsidR="005400D8" w:rsidRPr="00A014FD" w:rsidRDefault="005400D8" w:rsidP="005400D8">
      <w:pPr>
        <w:rPr>
          <w:rFonts w:eastAsia="等线"/>
          <w:color w:val="000000"/>
          <w:lang w:val="en-US"/>
        </w:rPr>
      </w:pPr>
      <w:r w:rsidRPr="00A014FD">
        <w:rPr>
          <w:rFonts w:eastAsia="等线"/>
          <w:noProof/>
          <w:color w:val="000000"/>
          <w:lang w:val="en-US"/>
        </w:rPr>
        <w:t>“Workers</w:t>
      </w:r>
      <w:r w:rsidRPr="00A014FD">
        <w:rPr>
          <w:rFonts w:eastAsia="等线"/>
          <w:color w:val="000000"/>
          <w:lang w:val="en-US"/>
        </w:rPr>
        <w:t xml:space="preserve"> Commute Time” is very important for this UCC. </w:t>
      </w:r>
      <w:r w:rsidRPr="00A014FD">
        <w:rPr>
          <w:rFonts w:eastAsia="等线"/>
          <w:noProof/>
          <w:color w:val="000000"/>
          <w:lang w:val="en-US"/>
        </w:rPr>
        <w:t>Because this UCC is far away from city.</w:t>
      </w:r>
      <w:r w:rsidRPr="00A014FD">
        <w:rPr>
          <w:rFonts w:eastAsia="等线"/>
          <w:color w:val="000000"/>
          <w:lang w:val="en-US"/>
        </w:rPr>
        <w:t xml:space="preserve"> Full-time workers </w:t>
      </w:r>
      <w:proofErr w:type="gramStart"/>
      <w:r w:rsidRPr="00A014FD">
        <w:rPr>
          <w:rFonts w:eastAsia="等线"/>
          <w:color w:val="000000"/>
          <w:lang w:val="en-US"/>
        </w:rPr>
        <w:t>whom</w:t>
      </w:r>
      <w:proofErr w:type="gramEnd"/>
      <w:r w:rsidRPr="00A014FD">
        <w:rPr>
          <w:rFonts w:eastAsia="等线"/>
          <w:color w:val="000000"/>
          <w:lang w:val="en-US"/>
        </w:rPr>
        <w:t xml:space="preserve"> does not have private cars can live in the UCC’s accommodation to reduce the commute time from the city to the UCC. This strategy makes it easier for this UCC to hire workers, especially the newly graduated employees. The accommodation is only 10 minutes’ </w:t>
      </w:r>
      <w:proofErr w:type="gramStart"/>
      <w:r w:rsidRPr="00A014FD">
        <w:rPr>
          <w:rFonts w:eastAsia="等线"/>
          <w:color w:val="000000"/>
          <w:lang w:val="en-US"/>
        </w:rPr>
        <w:t>walkers</w:t>
      </w:r>
      <w:proofErr w:type="gramEnd"/>
      <w:r w:rsidRPr="00A014FD">
        <w:rPr>
          <w:rFonts w:eastAsia="等线"/>
          <w:color w:val="000000"/>
          <w:lang w:val="en-US"/>
        </w:rPr>
        <w:t xml:space="preserve"> distance from the UCC facility, which is much less than the commute time that people working in the city center. Interviewee knows that reduce the commute time can promote the workers’ daily working efficiency. Interviewee thinks staffs waste time in the urban areas will makes the workers tired in the job, normally workers must be wake up very early if they travel from city through public transportation.</w:t>
      </w:r>
    </w:p>
    <w:p w14:paraId="35D688CA" w14:textId="77777777" w:rsidR="005400D8" w:rsidRPr="00A014FD" w:rsidRDefault="005400D8" w:rsidP="005400D8">
      <w:pPr>
        <w:rPr>
          <w:rFonts w:eastAsia="等线"/>
          <w:color w:val="000000"/>
          <w:lang w:val="en-US"/>
        </w:rPr>
      </w:pPr>
      <w:r w:rsidRPr="00A014FD">
        <w:rPr>
          <w:rFonts w:eastAsia="等线"/>
          <w:color w:val="000000"/>
          <w:lang w:val="en-US"/>
        </w:rPr>
        <w:t xml:space="preserve">Normally, each delivery will cost around six hours which includes: the time of vehicles travel on the road and goods unloading in each </w:t>
      </w:r>
      <w:proofErr w:type="gramStart"/>
      <w:r w:rsidRPr="00A014FD">
        <w:rPr>
          <w:rFonts w:eastAsia="等线"/>
          <w:color w:val="000000"/>
          <w:lang w:val="en-US"/>
        </w:rPr>
        <w:t>customers</w:t>
      </w:r>
      <w:proofErr w:type="gramEnd"/>
      <w:r w:rsidRPr="00A014FD">
        <w:rPr>
          <w:rFonts w:eastAsia="等线"/>
          <w:color w:val="000000"/>
          <w:lang w:val="en-US"/>
        </w:rPr>
        <w:t xml:space="preserve">. Interviewee illustrates reduce the travel time in the city is very important for government to reduces the numbers of truck in the city area. Reducing the travel time do promote the social benefits for the city. But for this UCC, we can do nothing to reduce. Normally, each vehicle will be allocated six or seven customers in each delivery, Sometimes, one trucks will delivery for only one </w:t>
      </w:r>
      <w:proofErr w:type="gramStart"/>
      <w:r w:rsidRPr="00A014FD">
        <w:rPr>
          <w:rFonts w:eastAsia="等线"/>
          <w:color w:val="000000"/>
          <w:lang w:val="en-US"/>
        </w:rPr>
        <w:t>customers</w:t>
      </w:r>
      <w:proofErr w:type="gramEnd"/>
      <w:r w:rsidRPr="00A014FD">
        <w:rPr>
          <w:rFonts w:eastAsia="等线"/>
          <w:color w:val="000000"/>
          <w:lang w:val="en-US"/>
        </w:rPr>
        <w:t xml:space="preserve"> when large quantities of medicines orders from this customer. </w:t>
      </w:r>
      <w:r w:rsidRPr="00A014FD">
        <w:rPr>
          <w:rFonts w:eastAsia="等线"/>
          <w:color w:val="000000"/>
          <w:lang w:val="en-US"/>
        </w:rPr>
        <w:lastRenderedPageBreak/>
        <w:t xml:space="preserve">Travel Time will be much less when meeting this occasion. So, the travel time is associated with the goods quantities. </w:t>
      </w:r>
    </w:p>
    <w:p w14:paraId="024A850E" w14:textId="77777777" w:rsidR="005400D8" w:rsidRPr="00A014FD" w:rsidRDefault="005400D8" w:rsidP="005400D8">
      <w:pPr>
        <w:rPr>
          <w:rFonts w:eastAsia="等线"/>
          <w:color w:val="000000"/>
          <w:lang w:val="en-US"/>
        </w:rPr>
      </w:pPr>
      <w:r w:rsidRPr="00A014FD">
        <w:rPr>
          <w:rFonts w:eastAsia="等线"/>
          <w:color w:val="000000"/>
          <w:lang w:val="en-US"/>
        </w:rPr>
        <w:t xml:space="preserve">Freight vehicle’s on-street parking is illegal in Wuhan, and even a short time on-stress parking for goods unloading is forbidden. On-street parking is very easily being found out by </w:t>
      </w:r>
      <w:proofErr w:type="gramStart"/>
      <w:r w:rsidRPr="00A014FD">
        <w:rPr>
          <w:rFonts w:eastAsia="等线"/>
          <w:noProof/>
          <w:color w:val="000000"/>
          <w:lang w:val="en-US"/>
        </w:rPr>
        <w:t>government,</w:t>
      </w:r>
      <w:r w:rsidRPr="00A014FD">
        <w:rPr>
          <w:rFonts w:eastAsia="等线"/>
          <w:color w:val="000000"/>
          <w:lang w:val="en-US"/>
        </w:rPr>
        <w:t xml:space="preserve"> because</w:t>
      </w:r>
      <w:proofErr w:type="gramEnd"/>
      <w:r w:rsidRPr="00A014FD">
        <w:rPr>
          <w:rFonts w:eastAsia="等线"/>
          <w:color w:val="000000"/>
          <w:lang w:val="en-US"/>
        </w:rPr>
        <w:t xml:space="preserve"> all of the roads in the city are covered by the public webcams. </w:t>
      </w:r>
      <w:proofErr w:type="gramStart"/>
      <w:r w:rsidRPr="00A014FD">
        <w:rPr>
          <w:rFonts w:eastAsia="等线"/>
          <w:color w:val="000000"/>
          <w:lang w:val="en-US"/>
        </w:rPr>
        <w:t>So</w:t>
      </w:r>
      <w:proofErr w:type="gramEnd"/>
      <w:r w:rsidRPr="00A014FD">
        <w:rPr>
          <w:rFonts w:eastAsia="等线"/>
          <w:color w:val="000000"/>
          <w:lang w:val="en-US"/>
        </w:rPr>
        <w:t xml:space="preserve"> drivers have to find an empty parking areas or pedestrian’s lane (short-time parking in the pedestrian’s lane is allowed in Wuhan). (For customers like hospital, they already have the parking zones for the freight transportation. But for pharmacy in the city, most of them does not have parking areas.) interviewee thinks there is no freight on-street parking in Wuhan. Because of the penalty is very expensive. </w:t>
      </w:r>
    </w:p>
    <w:p w14:paraId="56EACEA9" w14:textId="437EC973" w:rsidR="0000015A" w:rsidRDefault="0000015A" w:rsidP="005400D8">
      <w:pPr>
        <w:pStyle w:val="NoSpacing"/>
        <w:numPr>
          <w:ilvl w:val="0"/>
          <w:numId w:val="0"/>
        </w:numPr>
        <w:ind w:left="1758" w:hanging="1758"/>
        <w:rPr>
          <w:rFonts w:eastAsiaTheme="minorEastAsia" w:cstheme="minorBidi"/>
          <w:kern w:val="0"/>
          <w:sz w:val="22"/>
          <w:szCs w:val="22"/>
          <w:lang w:val="en-GB"/>
        </w:rPr>
      </w:pPr>
      <w:r>
        <w:rPr>
          <w:rFonts w:eastAsiaTheme="minorEastAsia" w:cstheme="minorBidi"/>
          <w:kern w:val="0"/>
          <w:sz w:val="22"/>
          <w:szCs w:val="22"/>
          <w:lang w:val="en-GB"/>
        </w:rPr>
        <w:t>Interview with the Head of Warehouse department</w:t>
      </w:r>
    </w:p>
    <w:p w14:paraId="2ABACECD" w14:textId="2CF53B25" w:rsidR="005400D8" w:rsidRPr="0000015A" w:rsidRDefault="005400D8" w:rsidP="005400D8">
      <w:pPr>
        <w:pStyle w:val="NoSpacing"/>
        <w:numPr>
          <w:ilvl w:val="0"/>
          <w:numId w:val="0"/>
        </w:numPr>
        <w:ind w:left="1758" w:hanging="1758"/>
        <w:rPr>
          <w:rFonts w:eastAsiaTheme="minorEastAsia" w:cstheme="minorBidi"/>
          <w:kern w:val="0"/>
          <w:sz w:val="22"/>
          <w:szCs w:val="22"/>
          <w:lang w:val="en-GB"/>
        </w:rPr>
      </w:pPr>
      <w:r w:rsidRPr="0000015A">
        <w:rPr>
          <w:rFonts w:eastAsiaTheme="minorEastAsia" w:cstheme="minorBidi"/>
          <w:kern w:val="0"/>
          <w:sz w:val="22"/>
          <w:szCs w:val="22"/>
          <w:lang w:val="en-GB"/>
        </w:rPr>
        <w:t xml:space="preserve">Summarise of the </w:t>
      </w:r>
      <w:proofErr w:type="gramStart"/>
      <w:r w:rsidRPr="0000015A">
        <w:rPr>
          <w:rFonts w:eastAsiaTheme="minorEastAsia" w:cstheme="minorBidi"/>
          <w:kern w:val="0"/>
          <w:sz w:val="22"/>
          <w:szCs w:val="22"/>
          <w:lang w:val="en-GB"/>
        </w:rPr>
        <w:t>Interview</w:t>
      </w:r>
      <w:proofErr w:type="gramEnd"/>
    </w:p>
    <w:p w14:paraId="5B9C68E9" w14:textId="77777777" w:rsidR="005400D8" w:rsidRPr="00A014FD" w:rsidRDefault="005400D8" w:rsidP="005400D8">
      <w:pPr>
        <w:rPr>
          <w:sz w:val="22"/>
        </w:rPr>
      </w:pPr>
      <w:r w:rsidRPr="00A014FD">
        <w:rPr>
          <w:sz w:val="22"/>
        </w:rPr>
        <w:t xml:space="preserve">The interviewee is the head of the warehouse department and she does not know the details of the sustainable urban logistics. After being explained by the definition of the SUL, the interviewee gives some examples to show what they have done for environmental and social progress. The interviewee stress that the warehouse department performing excellent in economic indicators. The basic targets of the warehouse department are safely keeping </w:t>
      </w:r>
      <w:proofErr w:type="gramStart"/>
      <w:r w:rsidRPr="00A014FD">
        <w:rPr>
          <w:sz w:val="22"/>
        </w:rPr>
        <w:t>all of</w:t>
      </w:r>
      <w:proofErr w:type="gramEnd"/>
      <w:r w:rsidRPr="00A014FD">
        <w:rPr>
          <w:sz w:val="22"/>
        </w:rPr>
        <w:t xml:space="preserve"> the medicines as well as preparing accurate category and quantities of goods for the orders.</w:t>
      </w:r>
    </w:p>
    <w:p w14:paraId="1A7195B4" w14:textId="77777777" w:rsidR="005400D8" w:rsidRPr="00A014FD" w:rsidRDefault="005400D8" w:rsidP="005400D8">
      <w:pPr>
        <w:rPr>
          <w:sz w:val="22"/>
        </w:rPr>
      </w:pPr>
      <w:r w:rsidRPr="00A014FD">
        <w:rPr>
          <w:sz w:val="22"/>
        </w:rPr>
        <w:t xml:space="preserve">The interviewee explains the details of daily work of this department. For the interviewee, the SUL is simply narrow into area of reducing the waste and fuel consumption of the warehouse. Finally, the interviewee gives the explanations of the UCC’s performance on each </w:t>
      </w:r>
      <w:proofErr w:type="gramStart"/>
      <w:r w:rsidRPr="00A014FD">
        <w:rPr>
          <w:sz w:val="22"/>
        </w:rPr>
        <w:t>indicators</w:t>
      </w:r>
      <w:proofErr w:type="gramEnd"/>
      <w:r w:rsidRPr="00A014FD">
        <w:rPr>
          <w:sz w:val="22"/>
        </w:rPr>
        <w:t xml:space="preserve">. </w:t>
      </w:r>
    </w:p>
    <w:p w14:paraId="1288D2D1" w14:textId="77777777" w:rsidR="005400D8" w:rsidRPr="0000015A" w:rsidRDefault="005400D8" w:rsidP="00D46EC4">
      <w:pPr>
        <w:pStyle w:val="TableofFigures"/>
      </w:pPr>
      <w:r w:rsidRPr="0000015A">
        <w:lastRenderedPageBreak/>
        <w:t>The Role of the Warehouse Department in the UCC.</w:t>
      </w:r>
    </w:p>
    <w:p w14:paraId="260C46C9" w14:textId="77777777" w:rsidR="005400D8" w:rsidRPr="00A014FD" w:rsidRDefault="005400D8" w:rsidP="005400D8">
      <w:pPr>
        <w:rPr>
          <w:sz w:val="22"/>
        </w:rPr>
      </w:pPr>
      <w:r w:rsidRPr="00A014FD">
        <w:rPr>
          <w:sz w:val="22"/>
        </w:rPr>
        <w:t xml:space="preserve">Warehouse department is the core department of this UCC, which occupies the largest part of the annual expense of the UCC. The interviewee illustrates that the warehouse department receives the order details (including customer types, goods quantities, goods category, destination) from the information centre of the company A. All the goods will be sorted and collected from the cargo location through the ASS. Then goods will be dispatched and sent to the logistics corridor to </w:t>
      </w:r>
      <w:proofErr w:type="gramStart"/>
      <w:r w:rsidRPr="00A014FD">
        <w:rPr>
          <w:sz w:val="22"/>
        </w:rPr>
        <w:t>waiting</w:t>
      </w:r>
      <w:proofErr w:type="gramEnd"/>
      <w:r w:rsidRPr="00A014FD">
        <w:rPr>
          <w:sz w:val="22"/>
        </w:rPr>
        <w:t xml:space="preserve"> for the delivery. The information of these goods will transfer to the distribution department. </w:t>
      </w:r>
    </w:p>
    <w:p w14:paraId="400462F6" w14:textId="77777777" w:rsidR="005400D8" w:rsidRPr="00A014FD" w:rsidRDefault="005400D8" w:rsidP="005400D8">
      <w:pPr>
        <w:rPr>
          <w:sz w:val="22"/>
        </w:rPr>
      </w:pPr>
      <w:r w:rsidRPr="00A014FD">
        <w:rPr>
          <w:sz w:val="22"/>
        </w:rPr>
        <w:t>Another main function of the warehouse department is the inventory management. It checks the quantities of the inventory and replenishing medicine on-time. This department deals with the quality and quantities inspections when inventories entering the warehouse. This department must unfold the error information of these goods, collecting evidence of this information, then reporting the information of goods damage to the manufacture companies.</w:t>
      </w:r>
    </w:p>
    <w:p w14:paraId="03555E53" w14:textId="77777777" w:rsidR="005400D8" w:rsidRPr="00A014FD" w:rsidRDefault="005400D8" w:rsidP="005400D8">
      <w:pPr>
        <w:rPr>
          <w:sz w:val="22"/>
        </w:rPr>
      </w:pPr>
      <w:r w:rsidRPr="00A014FD">
        <w:rPr>
          <w:sz w:val="22"/>
        </w:rPr>
        <w:t xml:space="preserve">This department will provide the software supporting service for </w:t>
      </w:r>
      <w:proofErr w:type="gramStart"/>
      <w:r w:rsidRPr="00A014FD">
        <w:rPr>
          <w:sz w:val="22"/>
        </w:rPr>
        <w:t>all of</w:t>
      </w:r>
      <w:proofErr w:type="gramEnd"/>
      <w:r w:rsidRPr="00A014FD">
        <w:rPr>
          <w:sz w:val="22"/>
        </w:rPr>
        <w:t xml:space="preserve"> the UCC users.  For example, warehouse department will regularly check the wholesalers’ information interface. Unifying the logistics information among the Company A and other wholesales to reduce the mistakes of the logistics process.</w:t>
      </w:r>
    </w:p>
    <w:p w14:paraId="7D10394A" w14:textId="77777777" w:rsidR="005400D8" w:rsidRPr="00D46EC4" w:rsidRDefault="005400D8" w:rsidP="00D46EC4">
      <w:pPr>
        <w:pStyle w:val="TableofFigures"/>
      </w:pPr>
      <w:r w:rsidRPr="00D46EC4">
        <w:t>Issues Complaint from the Warehouse Department</w:t>
      </w:r>
    </w:p>
    <w:p w14:paraId="7272D35A" w14:textId="77777777" w:rsidR="005400D8" w:rsidRPr="00A014FD" w:rsidRDefault="005400D8" w:rsidP="005400D8">
      <w:pPr>
        <w:rPr>
          <w:sz w:val="22"/>
        </w:rPr>
      </w:pPr>
      <w:r w:rsidRPr="00A014FD">
        <w:rPr>
          <w:sz w:val="22"/>
        </w:rPr>
        <w:t xml:space="preserve">Because the ASS system cannot distinguish normal package medicine and fragile medicine, goods </w:t>
      </w:r>
      <w:proofErr w:type="gramStart"/>
      <w:r w:rsidRPr="00A014FD">
        <w:rPr>
          <w:sz w:val="22"/>
        </w:rPr>
        <w:t>collecting</w:t>
      </w:r>
      <w:proofErr w:type="gramEnd"/>
      <w:r w:rsidRPr="00A014FD">
        <w:rPr>
          <w:sz w:val="22"/>
        </w:rPr>
        <w:t xml:space="preserve"> and goods sorting process generates high risk of the goods damage. The quantities of goods damage are extremely high for the UCC. The contract requires company A </w:t>
      </w:r>
      <w:r w:rsidRPr="00A014FD">
        <w:rPr>
          <w:sz w:val="22"/>
        </w:rPr>
        <w:lastRenderedPageBreak/>
        <w:t xml:space="preserve">to take full responsibility on this </w:t>
      </w:r>
      <w:proofErr w:type="gramStart"/>
      <w:r w:rsidRPr="00A014FD">
        <w:rPr>
          <w:sz w:val="22"/>
        </w:rPr>
        <w:t>cost, and</w:t>
      </w:r>
      <w:proofErr w:type="gramEnd"/>
      <w:r w:rsidRPr="00A014FD">
        <w:rPr>
          <w:sz w:val="22"/>
        </w:rPr>
        <w:t xml:space="preserve"> pay for the lost for the other wholesalers. Currently, no insurance company want to cover this lost business. The total value of this goods damage is around 800000RMB (88000GBP) each year. there is no effective way to solve it until now. </w:t>
      </w:r>
    </w:p>
    <w:p w14:paraId="3A232433" w14:textId="77777777" w:rsidR="005400D8" w:rsidRPr="00A014FD" w:rsidRDefault="005400D8" w:rsidP="005400D8">
      <w:pPr>
        <w:rPr>
          <w:sz w:val="22"/>
        </w:rPr>
      </w:pPr>
      <w:r w:rsidRPr="00A014FD">
        <w:rPr>
          <w:sz w:val="22"/>
        </w:rPr>
        <w:t xml:space="preserve">The transporting ability of distribution department cannot match the goods shipping ability of warehouse department. When orders numbers increasing, the </w:t>
      </w:r>
      <w:proofErr w:type="spellStart"/>
      <w:r w:rsidRPr="00A014FD">
        <w:rPr>
          <w:sz w:val="22"/>
        </w:rPr>
        <w:t>disptached</w:t>
      </w:r>
      <w:proofErr w:type="spellEnd"/>
      <w:r w:rsidRPr="00A014FD">
        <w:rPr>
          <w:sz w:val="22"/>
        </w:rPr>
        <w:t xml:space="preserve"> goods will be backlog in the logistics corridor waiting for the out of delivery. The seriously circumstance is the goods maximise the corridor, which lead to the stopping of the warehouse department. This issue will be alleviated when new UCC facility are built in the future. </w:t>
      </w:r>
    </w:p>
    <w:p w14:paraId="71307FC8" w14:textId="77777777" w:rsidR="005400D8" w:rsidRPr="0000015A" w:rsidRDefault="005400D8" w:rsidP="00097FB4">
      <w:pPr>
        <w:spacing w:before="240" w:after="240"/>
        <w:rPr>
          <w:sz w:val="22"/>
        </w:rPr>
      </w:pPr>
      <w:r w:rsidRPr="00097FB4">
        <w:rPr>
          <w:rFonts w:eastAsia="宋体"/>
        </w:rPr>
        <w:t xml:space="preserve">In this department, </w:t>
      </w:r>
      <w:proofErr w:type="gramStart"/>
      <w:r w:rsidRPr="00097FB4">
        <w:rPr>
          <w:rFonts w:eastAsia="宋体"/>
        </w:rPr>
        <w:t>all of</w:t>
      </w:r>
      <w:proofErr w:type="gramEnd"/>
      <w:r w:rsidRPr="00097FB4">
        <w:rPr>
          <w:rFonts w:eastAsia="宋体"/>
        </w:rPr>
        <w:t xml:space="preserve"> the measures for environmental and social benefit are aiming at coping with the government inspection rather than promote the business of company. Both company A and UCC do not focus on these kinds of measurement. Normally, these measures will not continue after inspection completed. For example, the workers think package recycling will delay the time for goods handling. Workers have no awareness on the packages recycling, they will destroy the package and take out the item instead of carefully opening the package and putting it back to the collection point </w:t>
      </w:r>
      <w:r w:rsidRPr="0000015A">
        <w:rPr>
          <w:sz w:val="22"/>
        </w:rPr>
        <w:t>when the package is used up. Furthermore, Company A does not think package recycle policy will significantly reduce the cost for the UCC.</w:t>
      </w:r>
    </w:p>
    <w:p w14:paraId="6CA311E4" w14:textId="77777777" w:rsidR="005400D8" w:rsidRPr="00D46EC4" w:rsidRDefault="005400D8" w:rsidP="00D46EC4">
      <w:pPr>
        <w:pStyle w:val="TableofFigures"/>
      </w:pPr>
      <w:r w:rsidRPr="00D46EC4">
        <w:t>Opinions from the Head of Warehouse Department.</w:t>
      </w:r>
    </w:p>
    <w:p w14:paraId="46F249F2" w14:textId="77777777" w:rsidR="005400D8" w:rsidRPr="00A014FD" w:rsidRDefault="005400D8" w:rsidP="005400D8">
      <w:pPr>
        <w:rPr>
          <w:sz w:val="22"/>
        </w:rPr>
      </w:pPr>
      <w:r w:rsidRPr="00A014FD">
        <w:rPr>
          <w:sz w:val="22"/>
        </w:rPr>
        <w:t xml:space="preserve">The interviewee has10 years working experience in the company A, her original job is in the sales department. Company A assigned her to manage the warehouse department from 2016. </w:t>
      </w:r>
      <w:r w:rsidRPr="00A014FD">
        <w:rPr>
          <w:sz w:val="22"/>
        </w:rPr>
        <w:lastRenderedPageBreak/>
        <w:t xml:space="preserve">(Interviewee illustrates that) she does not very familiar with the technology and equipment in the warehouse, when any issues around the technology and equipment appearing, she will arrange the engineering group to solve them. </w:t>
      </w:r>
      <w:proofErr w:type="gramStart"/>
      <w:r w:rsidRPr="00A014FD">
        <w:rPr>
          <w:sz w:val="22"/>
        </w:rPr>
        <w:t>he</w:t>
      </w:r>
      <w:proofErr w:type="gramEnd"/>
      <w:r w:rsidRPr="00A014FD">
        <w:rPr>
          <w:sz w:val="22"/>
        </w:rPr>
        <w:t xml:space="preserve"> current work is to communicating with the UCC users and the customers (Customers always make phone call with her to make orders rather than through the staff from sales department in company A. the interviewee says most of the emergency orders are directly called from warehouse department to reduce the waiting time for order process in company A).  Another work is to </w:t>
      </w:r>
      <w:proofErr w:type="gramStart"/>
      <w:r w:rsidRPr="00A014FD">
        <w:rPr>
          <w:sz w:val="22"/>
        </w:rPr>
        <w:t>coordinating</w:t>
      </w:r>
      <w:proofErr w:type="gramEnd"/>
      <w:r w:rsidRPr="00A014FD">
        <w:rPr>
          <w:sz w:val="22"/>
        </w:rPr>
        <w:t xml:space="preserve"> with other UCC users, such as managing the inventors and arrange the storage place for them. </w:t>
      </w:r>
    </w:p>
    <w:p w14:paraId="580B94F7" w14:textId="77777777" w:rsidR="005400D8" w:rsidRPr="00A014FD" w:rsidRDefault="005400D8" w:rsidP="005400D8">
      <w:pPr>
        <w:rPr>
          <w:sz w:val="22"/>
        </w:rPr>
      </w:pPr>
      <w:r w:rsidRPr="00A014FD">
        <w:rPr>
          <w:sz w:val="22"/>
        </w:rPr>
        <w:t xml:space="preserve">Interviewee illustrates that her daily work manages the invoices of the expenses of the warehouse department, she says the expense generated by materials consumption, equipment repairing and maintaining, and the largest part is the fuel consumption especially from electricity fees. She says comparing with the AS/RS system, the temperature and humid control systems lead to the largest part of the expense.  The total expense various </w:t>
      </w:r>
      <w:proofErr w:type="gramStart"/>
      <w:r w:rsidRPr="00A014FD">
        <w:rPr>
          <w:sz w:val="22"/>
        </w:rPr>
        <w:t>depending</w:t>
      </w:r>
      <w:proofErr w:type="gramEnd"/>
      <w:r w:rsidRPr="00A014FD">
        <w:rPr>
          <w:sz w:val="22"/>
        </w:rPr>
        <w:t xml:space="preserve"> the order quantities. It is very difficult to reduce the expense.</w:t>
      </w:r>
    </w:p>
    <w:p w14:paraId="4F5EAF95" w14:textId="77777777" w:rsidR="005400D8" w:rsidRPr="00A014FD" w:rsidRDefault="005400D8" w:rsidP="005400D8">
      <w:pPr>
        <w:rPr>
          <w:sz w:val="22"/>
        </w:rPr>
      </w:pPr>
      <w:r w:rsidRPr="00A014FD">
        <w:rPr>
          <w:sz w:val="22"/>
        </w:rPr>
        <w:t xml:space="preserve"> (I asked her opinion to the requirement of 5% reduction from the Company A): she stress that, they tried some measures, such as energy-saving for the air-conditioner utilisation. but she does not think these measures will work well. </w:t>
      </w:r>
    </w:p>
    <w:p w14:paraId="7E82B786" w14:textId="77777777" w:rsidR="005400D8" w:rsidRPr="00A014FD" w:rsidRDefault="005400D8" w:rsidP="005400D8">
      <w:pPr>
        <w:rPr>
          <w:sz w:val="22"/>
        </w:rPr>
      </w:pPr>
      <w:r w:rsidRPr="00A014FD">
        <w:rPr>
          <w:sz w:val="22"/>
        </w:rPr>
        <w:t>The interviewee thinks the indicator “Annual Revenues” not relevant to the warehouse department. She does not know the details of the annual revenues of this UCC. But she thinks for the Company A and the entire UCC facility it is very important.</w:t>
      </w:r>
    </w:p>
    <w:p w14:paraId="77C78C0F" w14:textId="77777777" w:rsidR="005400D8" w:rsidRPr="00A014FD" w:rsidRDefault="005400D8" w:rsidP="005400D8">
      <w:pPr>
        <w:rPr>
          <w:sz w:val="22"/>
        </w:rPr>
      </w:pPr>
      <w:r w:rsidRPr="00A014FD">
        <w:rPr>
          <w:sz w:val="22"/>
        </w:rPr>
        <w:lastRenderedPageBreak/>
        <w:t xml:space="preserve">“Typical Delivery Price” from her personal view, this UCC charges more fees than the normal logistics companies for the UCC users. But they provide the professional service for </w:t>
      </w:r>
      <w:proofErr w:type="gramStart"/>
      <w:r w:rsidRPr="00A014FD">
        <w:rPr>
          <w:sz w:val="22"/>
        </w:rPr>
        <w:t>all of</w:t>
      </w:r>
      <w:proofErr w:type="gramEnd"/>
      <w:r w:rsidRPr="00A014FD">
        <w:rPr>
          <w:sz w:val="22"/>
        </w:rPr>
        <w:t xml:space="preserve"> the users. Her thinks: because UCC provides the dedicated medical logistics service, so price charging is not the key factors to influence whether the users will use this UCC facility; for all the users the logistics service of this UCC is above the payment’ worth. </w:t>
      </w:r>
    </w:p>
    <w:p w14:paraId="3D55095F" w14:textId="77777777" w:rsidR="005400D8" w:rsidRPr="00A014FD" w:rsidRDefault="005400D8" w:rsidP="005400D8">
      <w:pPr>
        <w:rPr>
          <w:sz w:val="22"/>
        </w:rPr>
      </w:pPr>
      <w:r w:rsidRPr="00A014FD">
        <w:rPr>
          <w:sz w:val="22"/>
        </w:rPr>
        <w:t xml:space="preserve">Interviewee thinks these two indicators: “Infrastructure Surface Usage Rate” and “Goods Handled per Full-Time Equivalent Employee” represent the “goods sorting ability” of the UCC. (She thinks) UCC performance very good in the goods sorting process. she thinks this UCC is the best one in Wuhan city for medical logistics. it has the powerful ability to dispatch the goods for </w:t>
      </w:r>
      <w:proofErr w:type="gramStart"/>
      <w:r w:rsidRPr="00A014FD">
        <w:rPr>
          <w:sz w:val="22"/>
        </w:rPr>
        <w:t>all of</w:t>
      </w:r>
      <w:proofErr w:type="gramEnd"/>
      <w:r w:rsidRPr="00A014FD">
        <w:rPr>
          <w:sz w:val="22"/>
        </w:rPr>
        <w:t xml:space="preserve"> the orders in the shortest time. </w:t>
      </w:r>
    </w:p>
    <w:p w14:paraId="025546F9" w14:textId="77777777" w:rsidR="005400D8" w:rsidRPr="00A014FD" w:rsidRDefault="005400D8" w:rsidP="005400D8">
      <w:pPr>
        <w:rPr>
          <w:sz w:val="22"/>
        </w:rPr>
      </w:pPr>
      <w:r w:rsidRPr="00A014FD">
        <w:rPr>
          <w:sz w:val="22"/>
        </w:rPr>
        <w:t xml:space="preserve">(I asked her do you thinks is there any point need to be improved for the efficiency of this warehouse) she says there is no place need to be improved, </w:t>
      </w:r>
      <w:proofErr w:type="gramStart"/>
      <w:r w:rsidRPr="00A014FD">
        <w:rPr>
          <w:sz w:val="22"/>
        </w:rPr>
        <w:t>current status</w:t>
      </w:r>
      <w:proofErr w:type="gramEnd"/>
      <w:r w:rsidRPr="00A014FD">
        <w:rPr>
          <w:sz w:val="22"/>
        </w:rPr>
        <w:t xml:space="preserve"> of this warehouse is very good.  This </w:t>
      </w:r>
      <w:proofErr w:type="gramStart"/>
      <w:r w:rsidRPr="00A014FD">
        <w:rPr>
          <w:sz w:val="22"/>
        </w:rPr>
        <w:t>have</w:t>
      </w:r>
      <w:proofErr w:type="gramEnd"/>
      <w:r w:rsidRPr="00A014FD">
        <w:rPr>
          <w:sz w:val="22"/>
        </w:rPr>
        <w:t xml:space="preserve"> place has efficient storage place for all of the goods. </w:t>
      </w:r>
    </w:p>
    <w:p w14:paraId="1C90808C" w14:textId="77777777" w:rsidR="005400D8" w:rsidRPr="00A014FD" w:rsidRDefault="005400D8" w:rsidP="005400D8">
      <w:pPr>
        <w:rPr>
          <w:sz w:val="22"/>
        </w:rPr>
      </w:pPr>
      <w:r w:rsidRPr="00A014FD">
        <w:rPr>
          <w:sz w:val="22"/>
        </w:rPr>
        <w:t xml:space="preserve">The devices in UCC are automatically controlled, if the device is broken, the efficiency is 0; normally, the equipment </w:t>
      </w:r>
      <w:proofErr w:type="gramStart"/>
      <w:r w:rsidRPr="00A014FD">
        <w:rPr>
          <w:sz w:val="22"/>
        </w:rPr>
        <w:t>are</w:t>
      </w:r>
      <w:proofErr w:type="gramEnd"/>
      <w:r w:rsidRPr="00A014FD">
        <w:rPr>
          <w:sz w:val="22"/>
        </w:rPr>
        <w:t xml:space="preserve"> working well, the efficiency will not be changed (increase or reduce) its efficiency. </w:t>
      </w:r>
    </w:p>
    <w:p w14:paraId="6EA03647" w14:textId="77777777" w:rsidR="005400D8" w:rsidRPr="00A014FD" w:rsidRDefault="005400D8" w:rsidP="005400D8">
      <w:pPr>
        <w:rPr>
          <w:sz w:val="22"/>
        </w:rPr>
      </w:pPr>
      <w:r w:rsidRPr="00A014FD">
        <w:rPr>
          <w:sz w:val="22"/>
        </w:rPr>
        <w:t xml:space="preserve">(I asked her opinion for the new building facility) she says the new building facility is the preparation for the future development of company A. Until now, this warehouse has never been fully used to storage goods, the current usage capacity for the storage is occupies around 70% of max capacity. </w:t>
      </w:r>
    </w:p>
    <w:p w14:paraId="134F3436" w14:textId="77777777" w:rsidR="005400D8" w:rsidRPr="00A014FD" w:rsidRDefault="005400D8" w:rsidP="005400D8">
      <w:pPr>
        <w:rPr>
          <w:sz w:val="22"/>
        </w:rPr>
      </w:pPr>
      <w:r w:rsidRPr="00A014FD">
        <w:rPr>
          <w:sz w:val="22"/>
        </w:rPr>
        <w:lastRenderedPageBreak/>
        <w:t xml:space="preserve">“Delivery Accuracy Rate” (We discussed the goods damage rates generates from AS/RS). The interviewee does not think this will influence the delivery accuracy rate for consumers, </w:t>
      </w:r>
      <w:proofErr w:type="gramStart"/>
      <w:r w:rsidRPr="00A014FD">
        <w:rPr>
          <w:sz w:val="22"/>
        </w:rPr>
        <w:t>all of</w:t>
      </w:r>
      <w:proofErr w:type="gramEnd"/>
      <w:r w:rsidRPr="00A014FD">
        <w:rPr>
          <w:sz w:val="22"/>
        </w:rPr>
        <w:t xml:space="preserve"> the broken medicines will be changed immediately. Department will report the details of the damages to the Company A. She thinks this damage will lead to the profit loss of company A, Company A wish the warehouse department to alleviate </w:t>
      </w:r>
      <w:proofErr w:type="gramStart"/>
      <w:r w:rsidRPr="00A014FD">
        <w:rPr>
          <w:sz w:val="22"/>
        </w:rPr>
        <w:t>this problems</w:t>
      </w:r>
      <w:proofErr w:type="gramEnd"/>
      <w:r w:rsidRPr="00A014FD">
        <w:rPr>
          <w:sz w:val="22"/>
        </w:rPr>
        <w:t xml:space="preserve">, but not forced, there is no any specific requirement from the company A to reduce the damage rate in the UCC. </w:t>
      </w:r>
    </w:p>
    <w:p w14:paraId="6092BD2E" w14:textId="77777777" w:rsidR="005400D8" w:rsidRPr="00A014FD" w:rsidRDefault="005400D8" w:rsidP="005400D8">
      <w:pPr>
        <w:rPr>
          <w:sz w:val="22"/>
        </w:rPr>
      </w:pPr>
      <w:r w:rsidRPr="00A014FD">
        <w:rPr>
          <w:sz w:val="22"/>
        </w:rPr>
        <w:t xml:space="preserve">Interviewee says they are concerns more about how to dispatch the orders (in the quickest way) for on-time delivery. Warehouse department must guarantee </w:t>
      </w:r>
      <w:proofErr w:type="gramStart"/>
      <w:r w:rsidRPr="00A014FD">
        <w:rPr>
          <w:sz w:val="22"/>
        </w:rPr>
        <w:t>all of</w:t>
      </w:r>
      <w:proofErr w:type="gramEnd"/>
      <w:r w:rsidRPr="00A014FD">
        <w:rPr>
          <w:sz w:val="22"/>
        </w:rPr>
        <w:t xml:space="preserve"> the medical inventory is sufficient. The occasion of “out of stock” is not permitted by company A, because this will influence the relationship between the Company A and the customers, especially the hospital.  The interviewee gives an example: one of the </w:t>
      </w:r>
      <w:proofErr w:type="gramStart"/>
      <w:r w:rsidRPr="00A014FD">
        <w:rPr>
          <w:sz w:val="22"/>
        </w:rPr>
        <w:t>hospital</w:t>
      </w:r>
      <w:proofErr w:type="gramEnd"/>
      <w:r w:rsidRPr="00A014FD">
        <w:rPr>
          <w:sz w:val="22"/>
        </w:rPr>
        <w:t xml:space="preserve"> orders the medicine at 9 PM online, but there is no stock of this medicine in UCC, so the Company A arranges the medicine from other province, and the delivery has delayed about 4 hours. This is the seriously business mistakes for this warehouse department from the perspective of Company A. </w:t>
      </w:r>
    </w:p>
    <w:p w14:paraId="78706513" w14:textId="77777777" w:rsidR="005400D8" w:rsidRPr="00A014FD" w:rsidRDefault="005400D8" w:rsidP="005400D8">
      <w:pPr>
        <w:rPr>
          <w:sz w:val="22"/>
        </w:rPr>
      </w:pPr>
      <w:r w:rsidRPr="00A014FD">
        <w:rPr>
          <w:sz w:val="22"/>
        </w:rPr>
        <w:t>“Lead Time for Goods Delivery from UCC to its Users” the interviewee says this warehouse will dispatch the goods in 1hour since they receive the orders’ information from information centre. the time of the parcel delivering will according to customers’ time-windows requirement. This department is not responsible for the delivery process. she understands that this indicator is very important to the UCC and company A.</w:t>
      </w:r>
    </w:p>
    <w:p w14:paraId="0AE2822A" w14:textId="77777777" w:rsidR="005400D8" w:rsidRPr="00A014FD" w:rsidRDefault="005400D8" w:rsidP="005400D8">
      <w:r w:rsidRPr="00A014FD">
        <w:t xml:space="preserve">The interviewee thinks </w:t>
      </w:r>
      <w:proofErr w:type="gramStart"/>
      <w:r w:rsidRPr="00A014FD">
        <w:t>all of</w:t>
      </w:r>
      <w:proofErr w:type="gramEnd"/>
      <w:r w:rsidRPr="00A014FD">
        <w:t xml:space="preserve"> the selected are relevant with the distribution department, but not relevant with the warehouse department. Her opinions, environmental indicators </w:t>
      </w:r>
      <w:r w:rsidRPr="00A014FD">
        <w:lastRenderedPageBreak/>
        <w:t>relevant with the warehouse operation are, electrical power consumption, materials utilisation, waste recycling. (private opinions) she thinks the warehouse department performs bad in the environmental dimensions. There is no regulation (both from government and the company A) requires the staff must consider environmental effects during the logistics process.</w:t>
      </w:r>
    </w:p>
    <w:p w14:paraId="2EA84D44" w14:textId="77777777" w:rsidR="005400D8" w:rsidRPr="00A014FD" w:rsidRDefault="005400D8" w:rsidP="005400D8">
      <w:r w:rsidRPr="00A014FD">
        <w:t xml:space="preserve">Interviewee thinks using the EV will benefit the environment of the city. Interviewee does not know the issues of the EV utilisation in the UCC delivery network. Her opinions the company A does not purchase the </w:t>
      </w:r>
      <w:r w:rsidRPr="00A014FD">
        <w:rPr>
          <w:noProof/>
        </w:rPr>
        <w:t>EV,</w:t>
      </w:r>
      <w:r w:rsidRPr="00A014FD">
        <w:t xml:space="preserve"> means it is not suitable for the company’s business.</w:t>
      </w:r>
    </w:p>
    <w:p w14:paraId="09A8F289" w14:textId="77777777" w:rsidR="005400D8" w:rsidRPr="00A014FD" w:rsidRDefault="005400D8" w:rsidP="005400D8">
      <w:r w:rsidRPr="00A014FD">
        <w:t>Interviewee knows the trucks of the UCCs are always overloading. But she thinks this is not a seriously issues. There are no accidents generated by the truck overloading.</w:t>
      </w:r>
    </w:p>
    <w:p w14:paraId="316D3A87" w14:textId="77777777" w:rsidR="005400D8" w:rsidRPr="00A014FD" w:rsidRDefault="005400D8" w:rsidP="005400D8">
      <w:r w:rsidRPr="00A014FD">
        <w:t>Interviewee knows the UCC has the information centres to plan the delivery routing to minimise “Travel Miles in Urban Areas”. She knows the “Number of Delivery Trips per Day” for the UCC is 60 per day, and each vehicle will be utilised two times. She thinks it is more relevant with distribution department. He thinks these two indicators is more important than the EV.</w:t>
      </w:r>
    </w:p>
    <w:p w14:paraId="466B0ED4" w14:textId="77777777" w:rsidR="005400D8" w:rsidRPr="00A014FD" w:rsidRDefault="005400D8" w:rsidP="005400D8">
      <w:r w:rsidRPr="00A014FD">
        <w:t xml:space="preserve">Interviewees think there is </w:t>
      </w:r>
      <w:proofErr w:type="gramStart"/>
      <w:r w:rsidRPr="00A014FD">
        <w:t>no</w:t>
      </w:r>
      <w:proofErr w:type="gramEnd"/>
      <w:r w:rsidRPr="00A014FD">
        <w:t xml:space="preserve"> any financial support from government, so the public financial support is not important in the UCC.</w:t>
      </w:r>
    </w:p>
    <w:p w14:paraId="1424C74A" w14:textId="77777777" w:rsidR="005400D8" w:rsidRPr="00A014FD" w:rsidRDefault="005400D8" w:rsidP="005400D8">
      <w:r w:rsidRPr="00A014FD">
        <w:t xml:space="preserve">Interviewee just come from the Company </w:t>
      </w:r>
      <w:proofErr w:type="gramStart"/>
      <w:r w:rsidRPr="00A014FD">
        <w:t>A,</w:t>
      </w:r>
      <w:proofErr w:type="gramEnd"/>
      <w:r w:rsidRPr="00A014FD">
        <w:t xml:space="preserve"> she is not understanding the salaries of workers in the department. She is not responsible to manage the workers’ salary.</w:t>
      </w:r>
    </w:p>
    <w:p w14:paraId="61FE276A" w14:textId="77777777" w:rsidR="005400D8" w:rsidRPr="00A014FD" w:rsidRDefault="005400D8" w:rsidP="005400D8">
      <w:r w:rsidRPr="00A014FD">
        <w:lastRenderedPageBreak/>
        <w:t xml:space="preserve">Interviewee illustrates that, workers’ overtime utilisation is not seriously in this department, because the automatic equipment helps reducing the labour utilisation. Workers in this department is three </w:t>
      </w:r>
      <w:proofErr w:type="gramStart"/>
      <w:r w:rsidRPr="00A014FD">
        <w:t>shift</w:t>
      </w:r>
      <w:proofErr w:type="gramEnd"/>
      <w:r w:rsidRPr="00A014FD">
        <w:t>. Each shift can be leave on-time. but interviewee knows that all the distribution department is suffers the highly overtime-utilisation.</w:t>
      </w:r>
    </w:p>
    <w:p w14:paraId="6E3AFCEC" w14:textId="77777777" w:rsidR="005400D8" w:rsidRPr="00A014FD" w:rsidRDefault="005400D8" w:rsidP="005400D8">
      <w:r w:rsidRPr="00A014FD">
        <w:t>Interviewee knows most of the workers in this department are living in the UCC’s accommodation, so she thinks “Workers Commute Time” is very short. Interviewees think staffs are very convenient from their accommodations to this building.</w:t>
      </w:r>
    </w:p>
    <w:p w14:paraId="6805EDC2" w14:textId="77777777" w:rsidR="005400D8" w:rsidRPr="00A014FD" w:rsidRDefault="005400D8" w:rsidP="005400D8">
      <w:r w:rsidRPr="00A014FD">
        <w:t xml:space="preserve">Interviewee does not give any comment on the indicators of “Total Travel time in City </w:t>
      </w:r>
      <w:proofErr w:type="spellStart"/>
      <w:r w:rsidRPr="00A014FD">
        <w:t>Centre”and</w:t>
      </w:r>
      <w:proofErr w:type="spellEnd"/>
      <w:r w:rsidRPr="00A014FD">
        <w:t xml:space="preserve"> “Time for On-street </w:t>
      </w:r>
      <w:proofErr w:type="gramStart"/>
      <w:r w:rsidRPr="00A014FD">
        <w:t>Parking”</w:t>
      </w:r>
      <w:proofErr w:type="gramEnd"/>
    </w:p>
    <w:p w14:paraId="467F076A" w14:textId="77777777" w:rsidR="005400D8" w:rsidRPr="0000015A" w:rsidRDefault="005400D8" w:rsidP="005400D8">
      <w:pPr>
        <w:rPr>
          <w:sz w:val="22"/>
        </w:rPr>
      </w:pPr>
    </w:p>
    <w:p w14:paraId="124C427B" w14:textId="77777777" w:rsidR="005400D8" w:rsidRPr="00D46EC4" w:rsidRDefault="005400D8" w:rsidP="00D46EC4">
      <w:pPr>
        <w:pStyle w:val="TableofFigures"/>
      </w:pPr>
      <w:r w:rsidRPr="00D46EC4">
        <w:t>Interview with the Head of the Distribution Department</w:t>
      </w:r>
    </w:p>
    <w:p w14:paraId="129F1B6A" w14:textId="77777777" w:rsidR="005400D8" w:rsidRPr="00D46EC4" w:rsidRDefault="005400D8" w:rsidP="00D46EC4">
      <w:pPr>
        <w:pStyle w:val="TableofFigures"/>
      </w:pPr>
      <w:r w:rsidRPr="00D46EC4">
        <w:t xml:space="preserve">Summarise of the </w:t>
      </w:r>
      <w:proofErr w:type="gramStart"/>
      <w:r w:rsidRPr="00D46EC4">
        <w:t>Interview</w:t>
      </w:r>
      <w:proofErr w:type="gramEnd"/>
    </w:p>
    <w:p w14:paraId="7CEB63DB" w14:textId="77777777" w:rsidR="005400D8" w:rsidRPr="00A014FD" w:rsidRDefault="005400D8" w:rsidP="005400D8">
      <w:pPr>
        <w:rPr>
          <w:sz w:val="22"/>
        </w:rPr>
      </w:pPr>
      <w:r w:rsidRPr="00A014FD">
        <w:rPr>
          <w:sz w:val="22"/>
        </w:rPr>
        <w:t xml:space="preserve">The head of the distribution department does not understand the definition of the SUL. After explaining the meaning of the SUL, the interviewee clarifies the details of daily work based on the listed indicators.  The principle of this department is to deliver the goods to the final destinations in accurate time, without damage and accident. Meanwhile, department will take full responsibility for penalty for the violating traffic rules. The interviewee lists the environmental achievement in the delivery process. </w:t>
      </w:r>
    </w:p>
    <w:p w14:paraId="6D62CB28" w14:textId="77777777" w:rsidR="005400D8" w:rsidRPr="00A014FD" w:rsidRDefault="005400D8" w:rsidP="005400D8">
      <w:pPr>
        <w:rPr>
          <w:sz w:val="22"/>
        </w:rPr>
      </w:pPr>
      <w:r w:rsidRPr="00A014FD">
        <w:rPr>
          <w:sz w:val="22"/>
        </w:rPr>
        <w:t xml:space="preserve">Interviewee stress that the distribution department has </w:t>
      </w:r>
      <w:proofErr w:type="gramStart"/>
      <w:r w:rsidRPr="00A014FD">
        <w:rPr>
          <w:sz w:val="22"/>
        </w:rPr>
        <w:t>the most</w:t>
      </w:r>
      <w:proofErr w:type="gramEnd"/>
      <w:r w:rsidRPr="00A014FD">
        <w:rPr>
          <w:sz w:val="22"/>
        </w:rPr>
        <w:t xml:space="preserve"> number of subdivisions in the UCC, it includes (1) division for order processing, (2) division for goods shipping (3) division </w:t>
      </w:r>
      <w:r w:rsidRPr="00A014FD">
        <w:rPr>
          <w:sz w:val="22"/>
        </w:rPr>
        <w:lastRenderedPageBreak/>
        <w:t xml:space="preserve">for delivery, (4) division for outsourcing management, (5) division for customer service and (6) division for finance. These different subdivisions deal with various </w:t>
      </w:r>
      <w:proofErr w:type="gramStart"/>
      <w:r w:rsidRPr="00A014FD">
        <w:rPr>
          <w:sz w:val="22"/>
        </w:rPr>
        <w:t>business</w:t>
      </w:r>
      <w:proofErr w:type="gramEnd"/>
      <w:r w:rsidRPr="00A014FD">
        <w:rPr>
          <w:sz w:val="22"/>
        </w:rPr>
        <w:t xml:space="preserve"> respectively. Furthermore, outsource division is managing many 3PL logistics companies and self-employed drivers and workers. The above status </w:t>
      </w:r>
      <w:proofErr w:type="gramStart"/>
      <w:r w:rsidRPr="00A014FD">
        <w:rPr>
          <w:sz w:val="22"/>
        </w:rPr>
        <w:t>lead</w:t>
      </w:r>
      <w:proofErr w:type="gramEnd"/>
      <w:r w:rsidRPr="00A014FD">
        <w:rPr>
          <w:sz w:val="22"/>
        </w:rPr>
        <w:t xml:space="preserve"> to the difficulties of the department management as well as increasing the unpredictable risk of the logistics process.</w:t>
      </w:r>
    </w:p>
    <w:p w14:paraId="0218AE74" w14:textId="77777777" w:rsidR="005400D8" w:rsidRPr="00D46EC4" w:rsidRDefault="005400D8" w:rsidP="00D46EC4">
      <w:pPr>
        <w:pStyle w:val="TableofFigures"/>
      </w:pPr>
      <w:r w:rsidRPr="00D46EC4">
        <w:t>The Role of the Distribution Department in the UCC.</w:t>
      </w:r>
    </w:p>
    <w:p w14:paraId="07E9416E" w14:textId="77777777" w:rsidR="005400D8" w:rsidRPr="00A014FD" w:rsidRDefault="005400D8" w:rsidP="005400D8">
      <w:pPr>
        <w:rPr>
          <w:sz w:val="22"/>
        </w:rPr>
      </w:pPr>
      <w:r w:rsidRPr="00A014FD">
        <w:rPr>
          <w:sz w:val="22"/>
        </w:rPr>
        <w:t xml:space="preserve">When the parcels and pallets are passed to the corridor from the warehouse department, the order processing divisions will arrange the trucks and loading platform for these parcels according to their destinations. Meanwhile, this division will plan the delivery routing based on the customer’s priority and the time-windows requirement. </w:t>
      </w:r>
    </w:p>
    <w:p w14:paraId="1A7FCFAA" w14:textId="77777777" w:rsidR="005400D8" w:rsidRPr="00A014FD" w:rsidRDefault="005400D8" w:rsidP="005400D8">
      <w:pPr>
        <w:rPr>
          <w:sz w:val="22"/>
        </w:rPr>
      </w:pPr>
      <w:r w:rsidRPr="00A014FD">
        <w:rPr>
          <w:sz w:val="22"/>
        </w:rPr>
        <w:t xml:space="preserve">The shipping division will transfer goods from the corridor to the container through the platform according to the Kanban information. Some packages will be re-stowage in this </w:t>
      </w:r>
      <w:proofErr w:type="gramStart"/>
      <w:r w:rsidRPr="00A014FD">
        <w:rPr>
          <w:sz w:val="22"/>
        </w:rPr>
        <w:t>process, because</w:t>
      </w:r>
      <w:proofErr w:type="gramEnd"/>
      <w:r w:rsidRPr="00A014FD">
        <w:rPr>
          <w:sz w:val="22"/>
        </w:rPr>
        <w:t xml:space="preserve"> they have to reassign the pallets in line with the arranged trucks. </w:t>
      </w:r>
    </w:p>
    <w:p w14:paraId="344E67CB" w14:textId="77777777" w:rsidR="005400D8" w:rsidRPr="00A014FD" w:rsidRDefault="005400D8" w:rsidP="005400D8">
      <w:pPr>
        <w:rPr>
          <w:sz w:val="22"/>
        </w:rPr>
      </w:pPr>
      <w:r w:rsidRPr="00A014FD">
        <w:rPr>
          <w:sz w:val="22"/>
        </w:rPr>
        <w:t>Delivery division will ship the parcels to the customers, they are also responsible for recording of the information of the goods damage, error in goods categories and quantities they get during the goods receiving process. After that they will carry back the damaged and the wrong categories of goods to the UCC. Besides that, for some “paid on delivery” (C.O.D) orders, they will receive the money from the customers.</w:t>
      </w:r>
    </w:p>
    <w:p w14:paraId="3EF0A66F" w14:textId="77777777" w:rsidR="005400D8" w:rsidRPr="00A014FD" w:rsidRDefault="005400D8" w:rsidP="005400D8">
      <w:pPr>
        <w:rPr>
          <w:sz w:val="22"/>
        </w:rPr>
      </w:pPr>
      <w:r w:rsidRPr="00A014FD">
        <w:rPr>
          <w:sz w:val="22"/>
        </w:rPr>
        <w:t>When the drivers get back to the UCC, they will pass all of the delivery records (</w:t>
      </w:r>
      <w:proofErr w:type="gramStart"/>
      <w:r w:rsidRPr="00A014FD">
        <w:rPr>
          <w:sz w:val="22"/>
        </w:rPr>
        <w:t>e.g.</w:t>
      </w:r>
      <w:proofErr w:type="gramEnd"/>
      <w:r w:rsidRPr="00A014FD">
        <w:rPr>
          <w:sz w:val="22"/>
        </w:rPr>
        <w:t xml:space="preserve"> receipt, error reporting sheet) to the customer’s services division. This division will decide whether completing the orders or arrange redelivery work for customers as the situation dictates.</w:t>
      </w:r>
    </w:p>
    <w:p w14:paraId="312DBDB0" w14:textId="77777777" w:rsidR="005400D8" w:rsidRPr="00A014FD" w:rsidRDefault="005400D8" w:rsidP="005400D8">
      <w:pPr>
        <w:rPr>
          <w:sz w:val="22"/>
        </w:rPr>
      </w:pPr>
      <w:r w:rsidRPr="00A014FD">
        <w:rPr>
          <w:sz w:val="22"/>
        </w:rPr>
        <w:lastRenderedPageBreak/>
        <w:t>The damaged goods or categories error goods will be unloading by the shipping division and move to the zones for damaged goods for the further processing. Money from the C.O.D orders will be handed to the financial division by the drivers.</w:t>
      </w:r>
    </w:p>
    <w:p w14:paraId="42D2E480" w14:textId="77777777" w:rsidR="005400D8" w:rsidRPr="00A014FD" w:rsidRDefault="005400D8" w:rsidP="005400D8">
      <w:pPr>
        <w:rPr>
          <w:sz w:val="22"/>
        </w:rPr>
      </w:pPr>
      <w:r w:rsidRPr="00A014FD">
        <w:rPr>
          <w:noProof/>
          <w:sz w:val="22"/>
        </w:rPr>
        <w:t>When UCC’s fleet cannot deal with the total quantities of goods delivery.</w:t>
      </w:r>
      <w:r w:rsidRPr="00A014FD">
        <w:rPr>
          <w:sz w:val="22"/>
        </w:rPr>
        <w:t xml:space="preserve"> The outsourcing management division will hire more vehicles from the third-party logistics companies and self-employed drivers for the daily delivery. After they finished the work, they will get the wages from the financial division on daily business.</w:t>
      </w:r>
    </w:p>
    <w:p w14:paraId="2F94DAFE" w14:textId="77777777" w:rsidR="005400D8" w:rsidRPr="00D46EC4" w:rsidRDefault="005400D8" w:rsidP="00D46EC4">
      <w:pPr>
        <w:pStyle w:val="TableofFigures"/>
      </w:pPr>
      <w:r w:rsidRPr="00D46EC4">
        <w:t xml:space="preserve"> Issues Complaint from Distribution Department</w:t>
      </w:r>
    </w:p>
    <w:p w14:paraId="7CA2099A" w14:textId="77777777" w:rsidR="005400D8" w:rsidRPr="00A014FD" w:rsidRDefault="005400D8" w:rsidP="005400D8">
      <w:pPr>
        <w:rPr>
          <w:sz w:val="22"/>
        </w:rPr>
      </w:pPr>
      <w:r w:rsidRPr="00A014FD">
        <w:rPr>
          <w:sz w:val="22"/>
        </w:rPr>
        <w:t xml:space="preserve">The current business situation is beyond the original consideration of the UCC facility. The original functions of the UCC </w:t>
      </w:r>
      <w:proofErr w:type="gramStart"/>
      <w:r w:rsidRPr="00A014FD">
        <w:rPr>
          <w:sz w:val="22"/>
        </w:rPr>
        <w:t>is</w:t>
      </w:r>
      <w:proofErr w:type="gramEnd"/>
      <w:r w:rsidRPr="00A014FD">
        <w:rPr>
          <w:sz w:val="22"/>
        </w:rPr>
        <w:t xml:space="preserve"> only service for the pharmacy and hospital in Wuhan city. Now, seven other wholesalers are using this UCC for city delivery; and the company A set up self-operating pharmacy in recent five years; UCC start to service for the inter-city orders. Therefore, the numbers of loading platform cannot deal with the increased quantities ordering during the peak time, which lead to the packages must wait in the corridor for the goods loading.</w:t>
      </w:r>
    </w:p>
    <w:p w14:paraId="6F575626" w14:textId="77777777" w:rsidR="005400D8" w:rsidRPr="0000015A" w:rsidRDefault="005400D8" w:rsidP="00097FB4">
      <w:pPr>
        <w:spacing w:before="240" w:after="240"/>
        <w:rPr>
          <w:sz w:val="22"/>
        </w:rPr>
      </w:pPr>
      <w:r w:rsidRPr="00A014FD">
        <w:rPr>
          <w:sz w:val="22"/>
        </w:rPr>
        <w:t xml:space="preserve">It is very hard to choose </w:t>
      </w:r>
      <w:r w:rsidRPr="00A014FD">
        <w:rPr>
          <w:noProof/>
          <w:sz w:val="22"/>
        </w:rPr>
        <w:t>high quality</w:t>
      </w:r>
      <w:r w:rsidRPr="00A014FD">
        <w:rPr>
          <w:sz w:val="22"/>
        </w:rPr>
        <w:t xml:space="preserve"> 3PL logistics companies and self-employed drivers for the city delivery. Some reasons are the same as details explained by the UCC Executive. Furthermore, because of the 3PL logistics and self-employed drivers usually generates goods damage, UCC only arranged limited types of the packages to </w:t>
      </w:r>
      <w:proofErr w:type="gramStart"/>
      <w:r w:rsidRPr="00A014FD">
        <w:rPr>
          <w:sz w:val="22"/>
        </w:rPr>
        <w:t>the them</w:t>
      </w:r>
      <w:proofErr w:type="gramEnd"/>
      <w:r w:rsidRPr="00A014FD">
        <w:rPr>
          <w:sz w:val="22"/>
        </w:rPr>
        <w:t xml:space="preserve">. When large quantities of goods are ordered, the transporting capability is insufficient as ever. It is hard to control the quality of 3PL and self-employed </w:t>
      </w:r>
      <w:proofErr w:type="gramStart"/>
      <w:r w:rsidRPr="00A014FD">
        <w:rPr>
          <w:sz w:val="22"/>
        </w:rPr>
        <w:t>drivers, because</w:t>
      </w:r>
      <w:proofErr w:type="gramEnd"/>
      <w:r w:rsidRPr="00A014FD">
        <w:rPr>
          <w:sz w:val="22"/>
        </w:rPr>
        <w:t xml:space="preserve"> there are no written contracts between the </w:t>
      </w:r>
      <w:r w:rsidRPr="00A014FD">
        <w:rPr>
          <w:sz w:val="22"/>
        </w:rPr>
        <w:lastRenderedPageBreak/>
        <w:t xml:space="preserve">UCC with them. Lastly, government requirement for contract of labour (This requirement </w:t>
      </w:r>
      <w:proofErr w:type="gramStart"/>
      <w:r w:rsidRPr="00A014FD">
        <w:rPr>
          <w:sz w:val="22"/>
        </w:rPr>
        <w:t>are</w:t>
      </w:r>
      <w:proofErr w:type="gramEnd"/>
      <w:r w:rsidRPr="00A014FD">
        <w:rPr>
          <w:sz w:val="22"/>
        </w:rPr>
        <w:t xml:space="preserve"> based on particular Chinese cultural background) leads to the difficult to punish them when </w:t>
      </w:r>
      <w:r w:rsidRPr="0000015A">
        <w:rPr>
          <w:sz w:val="22"/>
        </w:rPr>
        <w:t xml:space="preserve">customers make the complaint for the bad service quality. </w:t>
      </w:r>
    </w:p>
    <w:p w14:paraId="0490DDBA" w14:textId="77777777" w:rsidR="005400D8" w:rsidRPr="00097FB4" w:rsidRDefault="005400D8" w:rsidP="00097FB4">
      <w:pPr>
        <w:spacing w:before="240" w:after="240"/>
        <w:rPr>
          <w:rFonts w:eastAsia="宋体"/>
        </w:rPr>
      </w:pPr>
      <w:r w:rsidRPr="0000015A">
        <w:rPr>
          <w:sz w:val="22"/>
        </w:rPr>
        <w:t>Distribution department is the busiest department in the UCC. The staffs in all subdivision are suffers from the daily overworking. For example, Drivers</w:t>
      </w:r>
      <w:r w:rsidRPr="00097FB4">
        <w:rPr>
          <w:rFonts w:eastAsia="宋体"/>
        </w:rPr>
        <w:t xml:space="preserve"> must work at least 12 hours in working day for the urban delivery. Although the company has taken some measures to alleviate the fatigue of the workers, the company has not hired more people for this department. So, there is a high turnover rate for the experienced staff in this department.</w:t>
      </w:r>
    </w:p>
    <w:p w14:paraId="4496EE07" w14:textId="77777777" w:rsidR="005400D8" w:rsidRPr="00D46EC4" w:rsidRDefault="005400D8" w:rsidP="00D46EC4">
      <w:pPr>
        <w:pStyle w:val="TableofFigures"/>
      </w:pPr>
      <w:r w:rsidRPr="00D46EC4">
        <w:t>Opinions from the Head of Distribution Department.</w:t>
      </w:r>
    </w:p>
    <w:p w14:paraId="6D366AFE" w14:textId="77777777" w:rsidR="005400D8" w:rsidRPr="00A014FD" w:rsidRDefault="005400D8" w:rsidP="005400D8">
      <w:pPr>
        <w:rPr>
          <w:sz w:val="22"/>
        </w:rPr>
      </w:pPr>
      <w:r w:rsidRPr="00A014FD">
        <w:rPr>
          <w:sz w:val="22"/>
        </w:rPr>
        <w:t xml:space="preserve">The interviewee has worked in the logistics department of the company A in ten years. He has five years working experience in the warehouse department and became the head of the distribution department since 2016. He understands the details of the logistics process in terms of the goods sorting, </w:t>
      </w:r>
      <w:proofErr w:type="gramStart"/>
      <w:r w:rsidRPr="00A014FD">
        <w:rPr>
          <w:sz w:val="22"/>
        </w:rPr>
        <w:t>shipping</w:t>
      </w:r>
      <w:proofErr w:type="gramEnd"/>
      <w:r w:rsidRPr="00A014FD">
        <w:rPr>
          <w:sz w:val="22"/>
        </w:rPr>
        <w:t xml:space="preserve"> and delivery. He has managed the engineering team in the warehouse department.  He cleanly </w:t>
      </w:r>
      <w:proofErr w:type="gramStart"/>
      <w:r w:rsidRPr="00A014FD">
        <w:rPr>
          <w:sz w:val="22"/>
        </w:rPr>
        <w:t>understand</w:t>
      </w:r>
      <w:proofErr w:type="gramEnd"/>
      <w:r w:rsidRPr="00A014FD">
        <w:rPr>
          <w:sz w:val="22"/>
        </w:rPr>
        <w:t xml:space="preserve"> the function of the devices and equipment. </w:t>
      </w:r>
    </w:p>
    <w:p w14:paraId="5BB3740E" w14:textId="77777777" w:rsidR="005400D8" w:rsidRPr="00A014FD" w:rsidRDefault="005400D8" w:rsidP="005400D8">
      <w:pPr>
        <w:rPr>
          <w:sz w:val="22"/>
        </w:rPr>
      </w:pPr>
      <w:r w:rsidRPr="00A014FD">
        <w:rPr>
          <w:sz w:val="22"/>
        </w:rPr>
        <w:t xml:space="preserve">(I asked what the difference between the two departments are). He </w:t>
      </w:r>
      <w:proofErr w:type="gramStart"/>
      <w:r w:rsidRPr="00A014FD">
        <w:rPr>
          <w:sz w:val="22"/>
        </w:rPr>
        <w:t>stress</w:t>
      </w:r>
      <w:proofErr w:type="gramEnd"/>
      <w:r w:rsidRPr="00A014FD">
        <w:rPr>
          <w:sz w:val="22"/>
        </w:rPr>
        <w:t xml:space="preserve"> that there is a lot of work need to do in the distribution department. Although it takes a </w:t>
      </w:r>
      <w:proofErr w:type="gramStart"/>
      <w:r w:rsidRPr="00A014FD">
        <w:rPr>
          <w:sz w:val="22"/>
        </w:rPr>
        <w:t>lot</w:t>
      </w:r>
      <w:proofErr w:type="gramEnd"/>
      <w:r w:rsidRPr="00A014FD">
        <w:rPr>
          <w:sz w:val="22"/>
        </w:rPr>
        <w:t xml:space="preserve"> time to complete the tasks, no things are hard or complicated. As the head of the distribution department, building a closely interpersonal relationship with the team leaders of the subdivision can ensure each division could quickest response to his orders. It is very important to improve the efficient of this department. </w:t>
      </w:r>
    </w:p>
    <w:p w14:paraId="0E781894" w14:textId="77777777" w:rsidR="005400D8" w:rsidRPr="00A014FD" w:rsidRDefault="005400D8" w:rsidP="005400D8">
      <w:pPr>
        <w:rPr>
          <w:sz w:val="22"/>
        </w:rPr>
      </w:pPr>
      <w:r w:rsidRPr="00A014FD">
        <w:rPr>
          <w:sz w:val="22"/>
        </w:rPr>
        <w:lastRenderedPageBreak/>
        <w:t xml:space="preserve">(I asked the relationship between this department and the outsource 3PL companies and self-employed driver) the interviewee says. This department needs them, there is at most they deliver 40% of the parcels in the peak time. In each day, they are shipped 20% of the total parcels. (I talked about the issues of the 3PL companies and self-employed drivers referred by the UCC executives) interviewees says </w:t>
      </w:r>
      <w:proofErr w:type="gramStart"/>
      <w:r w:rsidRPr="00A014FD">
        <w:rPr>
          <w:sz w:val="22"/>
        </w:rPr>
        <w:t>that,</w:t>
      </w:r>
      <w:proofErr w:type="gramEnd"/>
      <w:r w:rsidRPr="00A014FD">
        <w:rPr>
          <w:sz w:val="22"/>
        </w:rPr>
        <w:t xml:space="preserve"> our truck is sufficient; the real problem is there is no enough drivers. (</w:t>
      </w:r>
      <w:proofErr w:type="spellStart"/>
      <w:r w:rsidRPr="00A014FD">
        <w:rPr>
          <w:sz w:val="22"/>
        </w:rPr>
        <w:t>i</w:t>
      </w:r>
      <w:proofErr w:type="spellEnd"/>
      <w:r w:rsidRPr="00A014FD">
        <w:rPr>
          <w:sz w:val="22"/>
        </w:rPr>
        <w:t>) Hiring full-time drivers will increase the cost of the UCC</w:t>
      </w:r>
      <w:r w:rsidRPr="00A014FD">
        <w:rPr>
          <w:sz w:val="22"/>
        </w:rPr>
        <w:t>，</w:t>
      </w:r>
      <w:r w:rsidRPr="00A014FD">
        <w:rPr>
          <w:sz w:val="22"/>
        </w:rPr>
        <w:t>so company A will not doing this</w:t>
      </w:r>
      <w:r w:rsidRPr="00097FB4">
        <w:rPr>
          <w:rFonts w:eastAsia="宋体"/>
        </w:rPr>
        <w:t xml:space="preserve">. (ii) It is hard to control the service quality of the external drivers because there </w:t>
      </w:r>
      <w:proofErr w:type="gramStart"/>
      <w:r w:rsidRPr="00097FB4">
        <w:rPr>
          <w:rFonts w:eastAsia="宋体"/>
        </w:rPr>
        <w:t>is</w:t>
      </w:r>
      <w:proofErr w:type="gramEnd"/>
      <w:r w:rsidRPr="00097FB4">
        <w:rPr>
          <w:rFonts w:eastAsia="宋体"/>
        </w:rPr>
        <w:t xml:space="preserve"> no written contracts with them. However, UCC will also not responsible for their bad behaviour such as over-loading rate and traffic offence; they also </w:t>
      </w:r>
      <w:proofErr w:type="gramStart"/>
      <w:r w:rsidRPr="00097FB4">
        <w:rPr>
          <w:rFonts w:eastAsia="宋体"/>
        </w:rPr>
        <w:t>has</w:t>
      </w:r>
      <w:proofErr w:type="gramEnd"/>
      <w:r w:rsidRPr="00097FB4">
        <w:rPr>
          <w:rFonts w:eastAsia="宋体"/>
        </w:rPr>
        <w:t xml:space="preserve"> no max-working time restriction, so these external drivers is very effective. From his view, one driver from 3PL companies can carriers three times of total goods than a UCC employed driver in each day; there is no inspection on their business. General speaking, they are helpful. (iii) Interviewee think </w:t>
      </w:r>
      <w:proofErr w:type="gramStart"/>
      <w:r w:rsidRPr="00097FB4">
        <w:rPr>
          <w:rFonts w:eastAsia="宋体"/>
        </w:rPr>
        <w:t>all of</w:t>
      </w:r>
      <w:proofErr w:type="gramEnd"/>
      <w:r w:rsidRPr="00097FB4">
        <w:rPr>
          <w:rFonts w:eastAsia="宋体"/>
        </w:rPr>
        <w:t xml:space="preserve"> the external drivers can ship the goods well since the UCC arranges</w:t>
      </w:r>
      <w:r w:rsidRPr="00A014FD">
        <w:rPr>
          <w:sz w:val="22"/>
        </w:rPr>
        <w:t xml:space="preserve"> the normal parcels to them. The interviewee </w:t>
      </w:r>
      <w:proofErr w:type="gramStart"/>
      <w:r w:rsidRPr="00A014FD">
        <w:rPr>
          <w:sz w:val="22"/>
        </w:rPr>
        <w:t>understand</w:t>
      </w:r>
      <w:proofErr w:type="gramEnd"/>
      <w:r w:rsidRPr="00A014FD">
        <w:rPr>
          <w:sz w:val="22"/>
        </w:rPr>
        <w:t xml:space="preserve"> the outsource drivers has poor service emotion to the consignee. This issue is not seriously </w:t>
      </w:r>
      <w:proofErr w:type="gramStart"/>
      <w:r w:rsidRPr="00A014FD">
        <w:rPr>
          <w:sz w:val="22"/>
        </w:rPr>
        <w:t>impact</w:t>
      </w:r>
      <w:proofErr w:type="gramEnd"/>
      <w:r w:rsidRPr="00A014FD">
        <w:rPr>
          <w:sz w:val="22"/>
        </w:rPr>
        <w:t xml:space="preserve"> the relationship between the company A and customers. </w:t>
      </w:r>
    </w:p>
    <w:p w14:paraId="305390ED" w14:textId="77777777" w:rsidR="005400D8" w:rsidRPr="00A014FD" w:rsidRDefault="005400D8" w:rsidP="005400D8">
      <w:pPr>
        <w:rPr>
          <w:sz w:val="22"/>
        </w:rPr>
      </w:pPr>
      <w:r w:rsidRPr="00A014FD">
        <w:rPr>
          <w:sz w:val="22"/>
        </w:rPr>
        <w:t>Insufficient workers in the shipping division and the numbers of platform lead to the goods waiting in the corridors. Currently, even if more workers are employed, things will not be improved. Because of the limited numbers of platform will lead truck waiting for the parcel loading. The interviewee stress that, in the peak time, insufficient number of workers lead to a lot of mistake in the cargo loading process. For example: (</w:t>
      </w:r>
      <w:proofErr w:type="spellStart"/>
      <w:r w:rsidRPr="00A014FD">
        <w:rPr>
          <w:sz w:val="22"/>
        </w:rPr>
        <w:t>i</w:t>
      </w:r>
      <w:proofErr w:type="spellEnd"/>
      <w:r w:rsidRPr="00A014FD">
        <w:rPr>
          <w:sz w:val="22"/>
        </w:rPr>
        <w:t xml:space="preserve">) workers forget to scan the barcode, </w:t>
      </w:r>
      <w:r w:rsidRPr="00A014FD">
        <w:rPr>
          <w:sz w:val="22"/>
        </w:rPr>
        <w:lastRenderedPageBreak/>
        <w:t xml:space="preserve">and company A cannot track the delivery information (this is not seriously issue, because when the delivery completed, company A will modify the information in the system through the receipt.) (ii) Goods will be shipped to the wrong platform. When suffering from this issue, UCC will arrange another delivery immediately to ensure </w:t>
      </w:r>
      <w:proofErr w:type="gramStart"/>
      <w:r w:rsidRPr="00A014FD">
        <w:rPr>
          <w:sz w:val="22"/>
        </w:rPr>
        <w:t>all of</w:t>
      </w:r>
      <w:proofErr w:type="gramEnd"/>
      <w:r w:rsidRPr="00A014FD">
        <w:rPr>
          <w:sz w:val="22"/>
        </w:rPr>
        <w:t xml:space="preserve"> the parcel can be delivered on time. The mistake parcels will be </w:t>
      </w:r>
      <w:proofErr w:type="gramStart"/>
      <w:r w:rsidRPr="00A014FD">
        <w:rPr>
          <w:sz w:val="22"/>
        </w:rPr>
        <w:t>bring</w:t>
      </w:r>
      <w:proofErr w:type="gramEnd"/>
      <w:r w:rsidRPr="00A014FD">
        <w:rPr>
          <w:sz w:val="22"/>
        </w:rPr>
        <w:t xml:space="preserve"> back in the end. Normally, the new arranged trucks only carrier the re-delivery parcels, which leads to the low-truck loading rates. These means the resources, such as working hours, fuels, equipment, are wasted.</w:t>
      </w:r>
    </w:p>
    <w:p w14:paraId="10EB9F8E" w14:textId="77777777" w:rsidR="005400D8" w:rsidRPr="00A014FD" w:rsidRDefault="005400D8" w:rsidP="005400D8">
      <w:pPr>
        <w:rPr>
          <w:sz w:val="22"/>
        </w:rPr>
      </w:pPr>
      <w:r w:rsidRPr="00A014FD">
        <w:rPr>
          <w:sz w:val="22"/>
        </w:rPr>
        <w:t xml:space="preserve">(Opinions to new facility) interviewee thinks the new facility will alleviate the busy working status as well as reduce the parcel waiting time in the corridor. More numbers of trucks can be loaded </w:t>
      </w:r>
      <w:proofErr w:type="gramStart"/>
      <w:r w:rsidRPr="00A014FD">
        <w:rPr>
          <w:sz w:val="22"/>
        </w:rPr>
        <w:t>in</w:t>
      </w:r>
      <w:proofErr w:type="gramEnd"/>
      <w:r w:rsidRPr="00A014FD">
        <w:rPr>
          <w:sz w:val="22"/>
        </w:rPr>
        <w:t xml:space="preserve"> the same time, which will improve the delivery efficiency of the UCC.</w:t>
      </w:r>
    </w:p>
    <w:p w14:paraId="3A54BAB1" w14:textId="77777777" w:rsidR="005400D8" w:rsidRPr="00A014FD" w:rsidRDefault="005400D8" w:rsidP="005400D8">
      <w:pPr>
        <w:rPr>
          <w:sz w:val="22"/>
        </w:rPr>
      </w:pPr>
      <w:r w:rsidRPr="00A014FD">
        <w:rPr>
          <w:sz w:val="22"/>
        </w:rPr>
        <w:t xml:space="preserve">“Annual Operating Cost” for this department includes the five parts: fuel consumption and wages for the external drivers, penalty from traffic offence, materials consumption and equipment maintaining fees. The opinion from the interviewee is the same as the head of warehouse department. The total expense various </w:t>
      </w:r>
      <w:proofErr w:type="gramStart"/>
      <w:r w:rsidRPr="00A014FD">
        <w:rPr>
          <w:sz w:val="22"/>
        </w:rPr>
        <w:t>depending</w:t>
      </w:r>
      <w:proofErr w:type="gramEnd"/>
      <w:r w:rsidRPr="00A014FD">
        <w:rPr>
          <w:sz w:val="22"/>
        </w:rPr>
        <w:t xml:space="preserve"> the order quantities. It is very difficult to reduce the expense.  (I asked her opinion to the requirement of 5% reduction from the Company A): she stress that, it is very hard to do that. There is an issue from the 3PL companies and self-employed drivers. UCC </w:t>
      </w:r>
      <w:proofErr w:type="gramStart"/>
      <w:r w:rsidRPr="00A014FD">
        <w:rPr>
          <w:sz w:val="22"/>
        </w:rPr>
        <w:t>have to</w:t>
      </w:r>
      <w:proofErr w:type="gramEnd"/>
      <w:r w:rsidRPr="00A014FD">
        <w:rPr>
          <w:sz w:val="22"/>
        </w:rPr>
        <w:t xml:space="preserve"> prepare large amount cash (nearly none of them accepts card payment) for the daily payment of their works. “Company A” hopes the UCC can persuade the external drivers accepted the weekly or monthly payment. However, very small group of external drivers accepted this suggestion. </w:t>
      </w:r>
    </w:p>
    <w:p w14:paraId="5F8AE34D" w14:textId="77777777" w:rsidR="005400D8" w:rsidRPr="00A014FD" w:rsidRDefault="005400D8" w:rsidP="005400D8">
      <w:pPr>
        <w:rPr>
          <w:sz w:val="22"/>
        </w:rPr>
      </w:pPr>
      <w:r w:rsidRPr="00A014FD">
        <w:rPr>
          <w:sz w:val="22"/>
        </w:rPr>
        <w:lastRenderedPageBreak/>
        <w:t>The interviewee thinks the indicator “Annual Revenues” not relevant to the distribution department. He does not know the details of the annual revenues of this UCC. But he thinks for the Company A and the entire UCC facility it is very important.</w:t>
      </w:r>
    </w:p>
    <w:p w14:paraId="6E3EFA5B" w14:textId="77777777" w:rsidR="005400D8" w:rsidRPr="00A014FD" w:rsidRDefault="005400D8" w:rsidP="005400D8">
      <w:pPr>
        <w:rPr>
          <w:sz w:val="22"/>
        </w:rPr>
      </w:pPr>
      <w:r w:rsidRPr="00A014FD">
        <w:rPr>
          <w:sz w:val="22"/>
        </w:rPr>
        <w:t xml:space="preserve">The interviewee does not know the details of the “Typical Delivery Price” the UCC charges for </w:t>
      </w:r>
      <w:proofErr w:type="gramStart"/>
      <w:r w:rsidRPr="00A014FD">
        <w:rPr>
          <w:sz w:val="22"/>
        </w:rPr>
        <w:t>all of</w:t>
      </w:r>
      <w:proofErr w:type="gramEnd"/>
      <w:r w:rsidRPr="00A014FD">
        <w:rPr>
          <w:sz w:val="22"/>
        </w:rPr>
        <w:t xml:space="preserve"> the Users.</w:t>
      </w:r>
    </w:p>
    <w:p w14:paraId="011758CB" w14:textId="77777777" w:rsidR="005400D8" w:rsidRPr="00A014FD" w:rsidRDefault="005400D8" w:rsidP="005400D8">
      <w:pPr>
        <w:rPr>
          <w:sz w:val="22"/>
        </w:rPr>
      </w:pPr>
      <w:r w:rsidRPr="00A014FD">
        <w:rPr>
          <w:sz w:val="22"/>
        </w:rPr>
        <w:t xml:space="preserve">The interviewee thinks the “Infrastructure Surface Usage Rate” is very effective from the perspectives, however, He thinks the infrastructure is not reasonable managed in this department: There is a </w:t>
      </w:r>
      <w:proofErr w:type="gramStart"/>
      <w:r w:rsidRPr="00A014FD">
        <w:rPr>
          <w:sz w:val="22"/>
        </w:rPr>
        <w:t>large numbers of unoccupied vehicle</w:t>
      </w:r>
      <w:proofErr w:type="gramEnd"/>
      <w:r w:rsidRPr="00A014FD">
        <w:rPr>
          <w:sz w:val="22"/>
        </w:rPr>
        <w:t xml:space="preserve"> every day, but the platforms are overused. He hopes all the new building facilities can be completed in the as soon as possible to solve the “goods congestion” issues in the corridors.</w:t>
      </w:r>
    </w:p>
    <w:p w14:paraId="77B60E3A" w14:textId="77777777" w:rsidR="005400D8" w:rsidRPr="00A014FD" w:rsidRDefault="005400D8" w:rsidP="005400D8">
      <w:pPr>
        <w:rPr>
          <w:sz w:val="22"/>
        </w:rPr>
      </w:pPr>
      <w:r w:rsidRPr="00A014FD">
        <w:rPr>
          <w:sz w:val="22"/>
        </w:rPr>
        <w:t xml:space="preserve">Interviewee thinks the “Goods Handled per Full-Time Equivalent Employee” is terrible in the distribution department. He thinks the warehouse department has the AS/RS (he explains) most part the workers in the warehouse department only need tick the mouse in front of computers to deal with the parcels. (I </w:t>
      </w:r>
      <w:proofErr w:type="gramStart"/>
      <w:r w:rsidRPr="00A014FD">
        <w:rPr>
          <w:sz w:val="22"/>
        </w:rPr>
        <w:t>explains</w:t>
      </w:r>
      <w:proofErr w:type="gramEnd"/>
      <w:r w:rsidRPr="00A014FD">
        <w:rPr>
          <w:sz w:val="22"/>
        </w:rPr>
        <w:t xml:space="preserve"> they need to replenish the parcels), the interviewee stress that there is no time requirement for the inventory replenishment, so worker is relax and not stressful in the warehouse department.  </w:t>
      </w:r>
    </w:p>
    <w:p w14:paraId="1E4CC6E7" w14:textId="77777777" w:rsidR="005400D8" w:rsidRPr="00097FB4" w:rsidRDefault="005400D8" w:rsidP="00097FB4">
      <w:pPr>
        <w:spacing w:before="240" w:after="240"/>
        <w:rPr>
          <w:rFonts w:eastAsia="宋体"/>
        </w:rPr>
      </w:pPr>
      <w:r w:rsidRPr="00097FB4">
        <w:rPr>
          <w:rFonts w:eastAsia="宋体"/>
        </w:rPr>
        <w:t xml:space="preserve">In this department, there is no automatic equipment. </w:t>
      </w:r>
      <w:proofErr w:type="gramStart"/>
      <w:r w:rsidRPr="00097FB4">
        <w:rPr>
          <w:rFonts w:eastAsia="宋体"/>
        </w:rPr>
        <w:t>All of</w:t>
      </w:r>
      <w:proofErr w:type="gramEnd"/>
      <w:r w:rsidRPr="00097FB4">
        <w:rPr>
          <w:rFonts w:eastAsia="宋体"/>
        </w:rPr>
        <w:t xml:space="preserve"> the goods should be shipped and loaded into the trucks manually. (All of the shipping process) cost a lot of time.  However, this department must match the goods sorting capacity of warehouse department. Everyone feels tired and everyone are overtime used. He thinks “Goods </w:t>
      </w:r>
      <w:r w:rsidRPr="00097FB4">
        <w:rPr>
          <w:rFonts w:eastAsia="宋体"/>
        </w:rPr>
        <w:lastRenderedPageBreak/>
        <w:t>Handled per Full-Time Equivalent Employee” is high, but it is based on the hardworking and overtime working of the staffs.</w:t>
      </w:r>
    </w:p>
    <w:p w14:paraId="0277464B" w14:textId="77777777" w:rsidR="005400D8" w:rsidRPr="00A014FD" w:rsidRDefault="005400D8" w:rsidP="00097FB4">
      <w:pPr>
        <w:spacing w:before="240" w:after="240"/>
        <w:rPr>
          <w:sz w:val="22"/>
        </w:rPr>
      </w:pPr>
      <w:r w:rsidRPr="00097FB4">
        <w:rPr>
          <w:rFonts w:eastAsia="宋体"/>
        </w:rPr>
        <w:t>(Interviewee stress) The key responsibility of this department is to guarantee the 100</w:t>
      </w:r>
      <w:r w:rsidRPr="00A014FD">
        <w:rPr>
          <w:sz w:val="22"/>
        </w:rPr>
        <w:t>% “Delivery Accuracy Rate” for the customers. It is very important for their performance evaluation from company A. From his estimates, the delivery accurate rates should be 99.999%. Meanwhile, there is no seriously business troubles happened since he became the head of this department.</w:t>
      </w:r>
    </w:p>
    <w:p w14:paraId="34D04B77" w14:textId="77777777" w:rsidR="005400D8" w:rsidRPr="0000015A" w:rsidRDefault="005400D8" w:rsidP="005400D8">
      <w:pPr>
        <w:rPr>
          <w:sz w:val="22"/>
        </w:rPr>
      </w:pPr>
      <w:r w:rsidRPr="00A014FD">
        <w:rPr>
          <w:rFonts w:eastAsia="等线"/>
          <w:color w:val="000000"/>
          <w:sz w:val="22"/>
        </w:rPr>
        <w:t xml:space="preserve">“Lead Time for Goods Delivery from UCC to its Users” normally, each delivery in the city cost 5-6 hours, destinations will be scheduled according to the time-windows requirement from customers. </w:t>
      </w:r>
      <w:proofErr w:type="gramStart"/>
      <w:r w:rsidRPr="00A014FD">
        <w:rPr>
          <w:rFonts w:eastAsia="等线"/>
          <w:color w:val="000000"/>
          <w:sz w:val="22"/>
        </w:rPr>
        <w:t>All of</w:t>
      </w:r>
      <w:proofErr w:type="gramEnd"/>
      <w:r w:rsidRPr="00A014FD">
        <w:rPr>
          <w:rFonts w:eastAsia="等线"/>
          <w:color w:val="000000"/>
          <w:sz w:val="22"/>
        </w:rPr>
        <w:t xml:space="preserve"> the possible risk, such as the traffic jams, road maintaining, will considered. Information department will </w:t>
      </w:r>
      <w:proofErr w:type="gramStart"/>
      <w:r w:rsidRPr="00A014FD">
        <w:rPr>
          <w:rFonts w:eastAsia="等线"/>
          <w:color w:val="000000"/>
          <w:sz w:val="22"/>
        </w:rPr>
        <w:t>shows</w:t>
      </w:r>
      <w:proofErr w:type="gramEnd"/>
      <w:r w:rsidRPr="00A014FD">
        <w:rPr>
          <w:rFonts w:eastAsia="等线"/>
          <w:color w:val="000000"/>
          <w:sz w:val="22"/>
        </w:rPr>
        <w:t xml:space="preserve"> the most suitable parking place near each customers for the drivers. (interviewees thinks this system is </w:t>
      </w:r>
      <w:proofErr w:type="gramStart"/>
      <w:r w:rsidRPr="00A014FD">
        <w:rPr>
          <w:rFonts w:eastAsia="等线"/>
          <w:color w:val="000000"/>
          <w:sz w:val="22"/>
        </w:rPr>
        <w:t>to</w:t>
      </w:r>
      <w:proofErr w:type="gramEnd"/>
      <w:r w:rsidRPr="00A014FD">
        <w:rPr>
          <w:rFonts w:eastAsia="等线"/>
          <w:color w:val="000000"/>
          <w:sz w:val="22"/>
        </w:rPr>
        <w:t xml:space="preserve"> theoretic, because there is highly chance these listed parking areas are occupied by early arriving vehicles, drivers have to find the appropriated </w:t>
      </w:r>
      <w:r w:rsidRPr="0000015A">
        <w:rPr>
          <w:sz w:val="22"/>
        </w:rPr>
        <w:t>parking areas by themselves.)</w:t>
      </w:r>
    </w:p>
    <w:p w14:paraId="35EBF21E" w14:textId="77777777" w:rsidR="005400D8" w:rsidRPr="00D46EC4" w:rsidRDefault="005400D8" w:rsidP="00D46EC4">
      <w:pPr>
        <w:pStyle w:val="TableofFigures"/>
      </w:pPr>
      <w:r w:rsidRPr="00D46EC4">
        <w:t>Opinions from the Head of Distribution Department.</w:t>
      </w:r>
    </w:p>
    <w:p w14:paraId="37B44A3B" w14:textId="77777777" w:rsidR="005400D8" w:rsidRPr="0000015A" w:rsidRDefault="005400D8" w:rsidP="005400D8">
      <w:pPr>
        <w:rPr>
          <w:sz w:val="22"/>
        </w:rPr>
      </w:pPr>
      <w:r w:rsidRPr="0000015A">
        <w:rPr>
          <w:sz w:val="22"/>
        </w:rPr>
        <w:t>The interviewee thinks the selected indicators are relevant with his daily work. Interviewee gives some supplementary information for these indicators.</w:t>
      </w:r>
    </w:p>
    <w:p w14:paraId="1A909167" w14:textId="77777777" w:rsidR="005400D8" w:rsidRPr="00A014FD" w:rsidRDefault="005400D8" w:rsidP="005400D8">
      <w:r w:rsidRPr="0000015A">
        <w:rPr>
          <w:sz w:val="22"/>
        </w:rPr>
        <w:t xml:space="preserve">(After I explain all of the </w:t>
      </w:r>
      <w:proofErr w:type="gramStart"/>
      <w:r w:rsidRPr="0000015A">
        <w:rPr>
          <w:sz w:val="22"/>
        </w:rPr>
        <w:t>information</w:t>
      </w:r>
      <w:proofErr w:type="gramEnd"/>
      <w:r w:rsidRPr="0000015A">
        <w:rPr>
          <w:sz w:val="22"/>
        </w:rPr>
        <w:t xml:space="preserve"> I got from UCC Executive), Interviewee agree</w:t>
      </w:r>
      <w:r w:rsidRPr="00A014FD">
        <w:t xml:space="preserve"> with the UCC Executives’ opinion on the EV, from his working experience, due to the </w:t>
      </w:r>
      <w:r w:rsidRPr="00A014FD">
        <w:lastRenderedPageBreak/>
        <w:t xml:space="preserve">technology restriction, EV is only for the taxis and buses and not good for the freight transportation. </w:t>
      </w:r>
    </w:p>
    <w:p w14:paraId="3726D956" w14:textId="77777777" w:rsidR="005400D8" w:rsidRPr="00097FB4" w:rsidRDefault="005400D8" w:rsidP="00097FB4">
      <w:pPr>
        <w:spacing w:before="240" w:after="240"/>
        <w:rPr>
          <w:rFonts w:eastAsia="宋体"/>
        </w:rPr>
      </w:pPr>
      <w:r w:rsidRPr="00097FB4">
        <w:rPr>
          <w:rFonts w:eastAsia="宋体"/>
        </w:rPr>
        <w:t xml:space="preserve">For the “truck loading rate”, we have a </w:t>
      </w:r>
      <w:proofErr w:type="gramStart"/>
      <w:r w:rsidRPr="00097FB4">
        <w:rPr>
          <w:rFonts w:eastAsia="宋体"/>
        </w:rPr>
        <w:t>large quantities of goods</w:t>
      </w:r>
      <w:proofErr w:type="gramEnd"/>
      <w:r w:rsidRPr="00097FB4">
        <w:rPr>
          <w:rFonts w:eastAsia="宋体"/>
        </w:rPr>
        <w:t xml:space="preserve"> should be delivered I each day. we cannot complete all of the delivery tasks using unfilled vehicles (</w:t>
      </w:r>
      <w:proofErr w:type="gramStart"/>
      <w:r w:rsidRPr="00097FB4">
        <w:rPr>
          <w:rFonts w:eastAsia="宋体"/>
        </w:rPr>
        <w:t>normal-vehicles</w:t>
      </w:r>
      <w:proofErr w:type="gramEnd"/>
      <w:r w:rsidRPr="00097FB4">
        <w:rPr>
          <w:rFonts w:eastAsia="宋体"/>
        </w:rPr>
        <w:t xml:space="preserve">). It is a </w:t>
      </w:r>
      <w:proofErr w:type="gramStart"/>
      <w:r w:rsidRPr="00097FB4">
        <w:rPr>
          <w:rFonts w:eastAsia="宋体"/>
        </w:rPr>
        <w:t>hidden-rule</w:t>
      </w:r>
      <w:proofErr w:type="gramEnd"/>
      <w:r w:rsidRPr="00097FB4">
        <w:rPr>
          <w:rFonts w:eastAsia="宋体"/>
        </w:rPr>
        <w:t xml:space="preserve"> for truck over-loading in China, because everyone doing this. Normally, (from his opinion) the low delivery cost is come from </w:t>
      </w:r>
      <w:proofErr w:type="gramStart"/>
      <w:r w:rsidRPr="00097FB4">
        <w:rPr>
          <w:rFonts w:eastAsia="宋体"/>
        </w:rPr>
        <w:t>all of</w:t>
      </w:r>
      <w:proofErr w:type="gramEnd"/>
      <w:r w:rsidRPr="00097FB4">
        <w:rPr>
          <w:rFonts w:eastAsia="宋体"/>
        </w:rPr>
        <w:t xml:space="preserve"> the trucks are over-loading. </w:t>
      </w:r>
    </w:p>
    <w:p w14:paraId="686C8591" w14:textId="77777777" w:rsidR="005400D8" w:rsidRPr="00097FB4" w:rsidRDefault="005400D8" w:rsidP="00097FB4">
      <w:pPr>
        <w:spacing w:before="240" w:after="240"/>
        <w:rPr>
          <w:rFonts w:eastAsia="宋体"/>
        </w:rPr>
      </w:pPr>
      <w:r w:rsidRPr="00097FB4">
        <w:rPr>
          <w:rFonts w:eastAsia="宋体"/>
        </w:rPr>
        <w:t xml:space="preserve">(We talk about the government’s penalty for the trucks over-loading issues), government only implements random inspection for the truck over loading. Although we will be penalized when we meet this occasion, but this is not happened every day. And the penalty fee has little impact on company A’s business. Drivers and Company A will not be held criminally liable if the penalty </w:t>
      </w:r>
      <w:proofErr w:type="gramStart"/>
      <w:r w:rsidRPr="00097FB4">
        <w:rPr>
          <w:rFonts w:eastAsia="宋体"/>
        </w:rPr>
        <w:t>are</w:t>
      </w:r>
      <w:proofErr w:type="gramEnd"/>
      <w:r w:rsidRPr="00097FB4">
        <w:rPr>
          <w:rFonts w:eastAsia="宋体"/>
        </w:rPr>
        <w:t xml:space="preserve"> paid on time. All of us think the seriously level of the truck over loading is the same as the illegal-on street parking. There are no accidents happens due to the truck modification or truck overloading. (interviewee stresses that) The pennies fee for all the break of traffic rules is a large part of the annual expense of the distribution department.</w:t>
      </w:r>
    </w:p>
    <w:p w14:paraId="264CF6E6" w14:textId="77777777" w:rsidR="005400D8" w:rsidRPr="00097FB4" w:rsidRDefault="005400D8" w:rsidP="00097FB4">
      <w:pPr>
        <w:spacing w:before="240" w:after="240"/>
        <w:rPr>
          <w:rFonts w:eastAsia="宋体"/>
        </w:rPr>
      </w:pPr>
      <w:r w:rsidRPr="00097FB4">
        <w:rPr>
          <w:rFonts w:eastAsia="宋体"/>
        </w:rPr>
        <w:t xml:space="preserve">(We talk about the hired third-party logistics and self-employed drivers of UCC), UCC should help them paying the penalty fees, when they meet this occasion. (interviewee thinks) it is a good method to attracts more 3PL companies and self-employed drivers to </w:t>
      </w:r>
      <w:proofErr w:type="gramStart"/>
      <w:r w:rsidRPr="00097FB4">
        <w:rPr>
          <w:rFonts w:eastAsia="宋体"/>
        </w:rPr>
        <w:t>joined</w:t>
      </w:r>
      <w:proofErr w:type="gramEnd"/>
      <w:r w:rsidRPr="00097FB4">
        <w:rPr>
          <w:rFonts w:eastAsia="宋体"/>
        </w:rPr>
        <w:t xml:space="preserve"> this delivery work. For </w:t>
      </w:r>
      <w:proofErr w:type="gramStart"/>
      <w:r w:rsidRPr="00097FB4">
        <w:rPr>
          <w:rFonts w:eastAsia="宋体"/>
        </w:rPr>
        <w:t>all of</w:t>
      </w:r>
      <w:proofErr w:type="gramEnd"/>
      <w:r w:rsidRPr="00097FB4">
        <w:rPr>
          <w:rFonts w:eastAsia="宋体"/>
        </w:rPr>
        <w:t xml:space="preserve"> the logistics organisation in Wuhan, the numbers </w:t>
      </w:r>
      <w:r w:rsidRPr="00097FB4">
        <w:rPr>
          <w:rFonts w:eastAsia="宋体"/>
        </w:rPr>
        <w:lastRenderedPageBreak/>
        <w:t xml:space="preserve">of driver are insufficient.  The deliver efficiency will not be disrupted when many 3PL companies and self-employed drivers hopes to join this UCC. </w:t>
      </w:r>
    </w:p>
    <w:p w14:paraId="71A8AC9E" w14:textId="77777777" w:rsidR="005400D8" w:rsidRPr="00A014FD" w:rsidRDefault="005400D8" w:rsidP="005400D8">
      <w:r w:rsidRPr="00A014FD">
        <w:t>The information centre will plan the delivery routing for each vehicle</w:t>
      </w:r>
      <w:r w:rsidRPr="00A014FD">
        <w:rPr>
          <w:noProof/>
        </w:rPr>
        <w:t>, interviewee</w:t>
      </w:r>
      <w:r w:rsidRPr="00A014FD">
        <w:t xml:space="preserve"> thinks the designed routing is the </w:t>
      </w:r>
      <w:r w:rsidRPr="00A014FD">
        <w:rPr>
          <w:noProof/>
        </w:rPr>
        <w:t>shortest,</w:t>
      </w:r>
      <w:r w:rsidRPr="00A014FD">
        <w:t xml:space="preserve"> because the software calculates the result. But interviewee thinks it is </w:t>
      </w:r>
      <w:r w:rsidRPr="00A014FD">
        <w:rPr>
          <w:noProof/>
        </w:rPr>
        <w:t>useless,</w:t>
      </w:r>
      <w:r w:rsidRPr="00A014FD">
        <w:t xml:space="preserve"> because software does not know the real-time traffic status, the calculation is only based on the map. Drivers are only cares about the time-windows requirement of each customer. Information centre will arrange 5-7 customers for each </w:t>
      </w:r>
      <w:proofErr w:type="gramStart"/>
      <w:r w:rsidRPr="00A014FD">
        <w:t>trucks</w:t>
      </w:r>
      <w:proofErr w:type="gramEnd"/>
      <w:r w:rsidRPr="00A014FD">
        <w:t xml:space="preserve">, we estimate the delivery trip is about 6 hours, and when the drivers come back, the drivers will be having a second delivery. </w:t>
      </w:r>
    </w:p>
    <w:p w14:paraId="6EF32C25" w14:textId="77777777" w:rsidR="005400D8" w:rsidRPr="00A014FD" w:rsidRDefault="005400D8" w:rsidP="005400D8">
      <w:r w:rsidRPr="00A014FD">
        <w:t>The numbers of deliver trip are close linking with the quantities of orders. The interviewees think an increasing delivery trip for company A is good</w:t>
      </w:r>
      <w:r w:rsidRPr="00A014FD">
        <w:rPr>
          <w:noProof/>
        </w:rPr>
        <w:t>, he</w:t>
      </w:r>
      <w:r w:rsidRPr="00A014FD">
        <w:t xml:space="preserve"> illustrates that he knows the high delivery trips means more trucks are travelled in the urban areas. however, comparing with the entire freight vehicles in the city is the decreasing of vehicle numbers from UCC can do nothing. The interviewee thinks every company should reduce the delivery trips together, but not only from any individual company. </w:t>
      </w:r>
    </w:p>
    <w:p w14:paraId="01F1864D" w14:textId="77777777" w:rsidR="005400D8" w:rsidRPr="00A014FD" w:rsidRDefault="005400D8" w:rsidP="005400D8">
      <w:r w:rsidRPr="00A014FD">
        <w:t xml:space="preserve">Interviewees think there is </w:t>
      </w:r>
      <w:proofErr w:type="gramStart"/>
      <w:r w:rsidRPr="00A014FD">
        <w:t>no</w:t>
      </w:r>
      <w:proofErr w:type="gramEnd"/>
      <w:r w:rsidRPr="00A014FD">
        <w:t xml:space="preserve"> any financial support from government, so the public financial support is not important in the UCC.</w:t>
      </w:r>
    </w:p>
    <w:p w14:paraId="29B9D905" w14:textId="77777777" w:rsidR="005400D8" w:rsidRPr="00A014FD" w:rsidRDefault="005400D8" w:rsidP="005400D8">
      <w:r w:rsidRPr="00A014FD">
        <w:t>The distribution department does not responsible for the salaries of the full-time workers</w:t>
      </w:r>
      <w:r w:rsidRPr="00A014FD">
        <w:rPr>
          <w:noProof/>
        </w:rPr>
        <w:t>, however</w:t>
      </w:r>
      <w:r w:rsidRPr="00A014FD">
        <w:t xml:space="preserve">, this department should pay for the 3PL companies and self-employed drivers every day. the interviewee stress that the salary for the external </w:t>
      </w:r>
      <w:r w:rsidRPr="00A014FD">
        <w:lastRenderedPageBreak/>
        <w:t xml:space="preserve">workers </w:t>
      </w:r>
      <w:proofErr w:type="gramStart"/>
      <w:r w:rsidRPr="00A014FD">
        <w:t>are</w:t>
      </w:r>
      <w:proofErr w:type="gramEnd"/>
      <w:r w:rsidRPr="00A014FD">
        <w:t xml:space="preserve"> more than that paid by normal logistics in Wuhan. Depending on the large quantities of goods to be shipped every day, the 3PL companies and self-employed driver can have a steady source of income. This UCC will also pay the traffic penalties for external workers. </w:t>
      </w:r>
      <w:proofErr w:type="gramStart"/>
      <w:r w:rsidRPr="00A014FD">
        <w:t>all of</w:t>
      </w:r>
      <w:proofErr w:type="gramEnd"/>
      <w:r w:rsidRPr="00A014FD">
        <w:t xml:space="preserve"> the external staffs could have the same welfare, for example, getting free food from the canteen. The interviewee thinks the respectable income for external workers can is important for the daily delivery work.</w:t>
      </w:r>
    </w:p>
    <w:p w14:paraId="59C74C44" w14:textId="77777777" w:rsidR="005400D8" w:rsidRPr="00A014FD" w:rsidRDefault="005400D8" w:rsidP="005400D8">
      <w:proofErr w:type="gramStart"/>
      <w:r w:rsidRPr="00A014FD">
        <w:t>Both of the distribution</w:t>
      </w:r>
      <w:proofErr w:type="gramEnd"/>
      <w:r w:rsidRPr="00A014FD">
        <w:t xml:space="preserve"> department and the external workers are suffering from the seriously overtime utilization. First reason is a </w:t>
      </w:r>
      <w:proofErr w:type="gramStart"/>
      <w:r w:rsidRPr="00A014FD">
        <w:t>large numbers of goods</w:t>
      </w:r>
      <w:proofErr w:type="gramEnd"/>
      <w:r w:rsidRPr="00A014FD">
        <w:t xml:space="preserve"> must be delivered in each day. secondly, the Company A formulates the highly service qualification for the UCC, UCC must deliver goods on-time as the customers’ requirement. Thirdly, there is no automatic equipment are used in the goods loading process</w:t>
      </w:r>
      <w:r w:rsidRPr="00A014FD">
        <w:rPr>
          <w:noProof/>
        </w:rPr>
        <w:t>, it</w:t>
      </w:r>
      <w:r w:rsidRPr="00A014FD">
        <w:t xml:space="preserve"> cost a lot of time for workers to load the goods into the truck manually. Lastly, the original design of the facilities cannot match the increasing goods delivery in recent years, this issue will be alleviated when new facility is built.</w:t>
      </w:r>
    </w:p>
    <w:p w14:paraId="4DC5A711" w14:textId="77777777" w:rsidR="005400D8" w:rsidRPr="00A014FD" w:rsidRDefault="005400D8" w:rsidP="005400D8">
      <w:r w:rsidRPr="00A014FD">
        <w:t xml:space="preserve">Distribution department focus much on the “Workers Commute Time” especially the driver, all the full-time drivers must sleep in the UCC’s accommodation in the night before the task (the working schedule for </w:t>
      </w:r>
      <w:proofErr w:type="gramStart"/>
      <w:r w:rsidRPr="00A014FD">
        <w:t>all of</w:t>
      </w:r>
      <w:proofErr w:type="gramEnd"/>
      <w:r w:rsidRPr="00A014FD">
        <w:t xml:space="preserve"> the full-time drivers is one day on and one/two day off). This internal policy aims to guarantee the drivers have good rest to reduce the risk in the working. Another reason is that drivers will suffers the over-time utilisation; this policy can alleviate the tiredness in the work.</w:t>
      </w:r>
    </w:p>
    <w:p w14:paraId="32A71344" w14:textId="77777777" w:rsidR="005400D8" w:rsidRPr="00A014FD" w:rsidRDefault="005400D8" w:rsidP="005400D8">
      <w:r w:rsidRPr="00A014FD">
        <w:lastRenderedPageBreak/>
        <w:t xml:space="preserve">(the interviewees agree with the opinions from the UCC Executive), The information centres will formulate the delivery routing for the drivers, Normally, the estimated “Total Travel time in City Centre” are six hours when there are multiple orders in one vehicle.  </w:t>
      </w:r>
    </w:p>
    <w:p w14:paraId="71F916C2" w14:textId="7A0B903F" w:rsidR="005400D8" w:rsidRPr="00D46EC4" w:rsidRDefault="005400D8" w:rsidP="00D46EC4">
      <w:r w:rsidRPr="00A014FD">
        <w:t xml:space="preserve">(the interviewees agree with the opinions from the UCC Executive) Interviewee thinks drivers are trying to avoid the on-street parking when possible. However, the on-street parking always happens when there is no available place for parking. Because this department always receives the penalty tickets but not too many. The interviewee thinks </w:t>
      </w:r>
      <w:proofErr w:type="gramStart"/>
      <w:r w:rsidRPr="00A014FD">
        <w:t>the most</w:t>
      </w:r>
      <w:proofErr w:type="gramEnd"/>
      <w:r w:rsidRPr="00A014FD">
        <w:t xml:space="preserve"> of the deliveries will </w:t>
      </w:r>
      <w:r w:rsidRPr="00A014FD">
        <w:rPr>
          <w:noProof/>
        </w:rPr>
        <w:t>not</w:t>
      </w:r>
      <w:r w:rsidRPr="00A014FD">
        <w:t xml:space="preserve"> on street parking. </w:t>
      </w:r>
    </w:p>
    <w:p w14:paraId="7BEB0C08" w14:textId="77777777" w:rsidR="005400D8" w:rsidRPr="00D46EC4" w:rsidRDefault="005400D8" w:rsidP="00D46EC4">
      <w:pPr>
        <w:pStyle w:val="TableofFigures"/>
      </w:pPr>
      <w:r w:rsidRPr="00D46EC4">
        <w:t xml:space="preserve">The Interview with Chair of </w:t>
      </w:r>
      <w:proofErr w:type="spellStart"/>
      <w:r w:rsidRPr="00D46EC4">
        <w:t>HongChu</w:t>
      </w:r>
      <w:proofErr w:type="spellEnd"/>
    </w:p>
    <w:p w14:paraId="03397CFB" w14:textId="77777777" w:rsidR="005400D8" w:rsidRPr="00D46EC4" w:rsidRDefault="005400D8" w:rsidP="00D46EC4">
      <w:pPr>
        <w:pStyle w:val="TableofFigures"/>
      </w:pPr>
      <w:r w:rsidRPr="00D46EC4">
        <w:t xml:space="preserve">Summarise of the </w:t>
      </w:r>
      <w:proofErr w:type="gramStart"/>
      <w:r w:rsidRPr="00D46EC4">
        <w:t>Interview</w:t>
      </w:r>
      <w:proofErr w:type="gramEnd"/>
    </w:p>
    <w:p w14:paraId="4F7C5637" w14:textId="77777777" w:rsidR="005400D8" w:rsidRPr="0000015A" w:rsidRDefault="005400D8" w:rsidP="005400D8">
      <w:pPr>
        <w:rPr>
          <w:sz w:val="22"/>
        </w:rPr>
      </w:pPr>
      <w:r w:rsidRPr="0000015A">
        <w:rPr>
          <w:sz w:val="22"/>
        </w:rPr>
        <w:t>Interviewee introduces the consolidating delivery model from two perspectives: in terms of the business of the consolidating delivery and the experiment</w:t>
      </w:r>
      <w:r w:rsidRPr="00A014FD">
        <w:t xml:space="preserve"> of the BDS projects. The interviewee does not understand the concept the SUL. </w:t>
      </w:r>
      <w:r w:rsidRPr="00A014FD">
        <w:rPr>
          <w:noProof/>
        </w:rPr>
        <w:t>When expressed the details of the SUL and the consolidating delivery model.</w:t>
      </w:r>
      <w:r w:rsidRPr="00A014FD">
        <w:t xml:space="preserve"> the interviewee does not think the purely consolidating delivery model can solve the environmental issues in Wuhan City. But interviewee thinks the BDS project can promote the environmental benefits of the </w:t>
      </w:r>
      <w:r w:rsidRPr="0000015A">
        <w:rPr>
          <w:sz w:val="22"/>
        </w:rPr>
        <w:t>freight transportation, because the new technology can significantly reduce the travel miles and alleviate the congestion.</w:t>
      </w:r>
    </w:p>
    <w:p w14:paraId="70045C30" w14:textId="77777777" w:rsidR="005400D8" w:rsidRPr="00D46EC4" w:rsidRDefault="005400D8" w:rsidP="00D46EC4">
      <w:pPr>
        <w:pStyle w:val="TableofFigures"/>
      </w:pPr>
      <w:r w:rsidRPr="00D46EC4">
        <w:t xml:space="preserve">The Role of the Chair of </w:t>
      </w:r>
      <w:proofErr w:type="spellStart"/>
      <w:r w:rsidRPr="00D46EC4">
        <w:t>HongChu</w:t>
      </w:r>
      <w:proofErr w:type="spellEnd"/>
    </w:p>
    <w:p w14:paraId="725196F8" w14:textId="77777777" w:rsidR="005400D8" w:rsidRPr="0000015A" w:rsidRDefault="005400D8" w:rsidP="005400D8">
      <w:pPr>
        <w:rPr>
          <w:sz w:val="22"/>
        </w:rPr>
      </w:pPr>
      <w:r w:rsidRPr="0000015A">
        <w:rPr>
          <w:sz w:val="22"/>
        </w:rPr>
        <w:lastRenderedPageBreak/>
        <w:t xml:space="preserve">The interviewee is the major shareholder in </w:t>
      </w:r>
      <w:proofErr w:type="spellStart"/>
      <w:r w:rsidRPr="0000015A">
        <w:rPr>
          <w:sz w:val="22"/>
        </w:rPr>
        <w:t>HongChu</w:t>
      </w:r>
      <w:proofErr w:type="spellEnd"/>
      <w:r w:rsidRPr="0000015A">
        <w:rPr>
          <w:sz w:val="22"/>
        </w:rPr>
        <w:t>, who is responsible for formulating the company’s strategy and business model. The interviewee</w:t>
      </w:r>
      <w:r w:rsidRPr="00A014FD">
        <w:t xml:space="preserve"> is an experience manager for warehouse operation, who started to operating logistics company since 1990s. He achieves the BDS project through his personal social network. There are three main purposes for this company to participate this project: (1) Obtaining the franchise rights to operating the FIW. The FIW can promote the bargaining power of the company and help this company seize market opportunities because can know the details goods that move in the city in advance than the other city freight companies </w:t>
      </w:r>
      <w:r w:rsidRPr="0000015A">
        <w:rPr>
          <w:sz w:val="22"/>
        </w:rPr>
        <w:t xml:space="preserve">depend on the FIW; (2) The chance to cooperate with the government can enhance the social image of the company, so they can get more orders from the intercity consignors; (3) An secondary reason is the responsibility to solve the environmental issues caused by freight transportation in the city.  </w:t>
      </w:r>
    </w:p>
    <w:p w14:paraId="3F1999E9" w14:textId="77777777" w:rsidR="005400D8" w:rsidRPr="00D46EC4" w:rsidRDefault="005400D8" w:rsidP="00D46EC4">
      <w:pPr>
        <w:pStyle w:val="TableofFigures"/>
      </w:pPr>
      <w:r w:rsidRPr="00D46EC4">
        <w:t xml:space="preserve">Issues Complaint from Chair of </w:t>
      </w:r>
      <w:proofErr w:type="spellStart"/>
      <w:r w:rsidRPr="00D46EC4">
        <w:t>HongChu</w:t>
      </w:r>
      <w:proofErr w:type="spellEnd"/>
    </w:p>
    <w:p w14:paraId="54325630" w14:textId="77777777" w:rsidR="005400D8" w:rsidRPr="00A014FD" w:rsidRDefault="005400D8" w:rsidP="005400D8">
      <w:r w:rsidRPr="0000015A">
        <w:rPr>
          <w:sz w:val="22"/>
        </w:rPr>
        <w:t>The business value of the IFW is lower than expected: (</w:t>
      </w:r>
      <w:proofErr w:type="spellStart"/>
      <w:r w:rsidRPr="0000015A">
        <w:rPr>
          <w:sz w:val="22"/>
        </w:rPr>
        <w:t>i</w:t>
      </w:r>
      <w:proofErr w:type="spellEnd"/>
      <w:r w:rsidRPr="0000015A">
        <w:rPr>
          <w:sz w:val="22"/>
        </w:rPr>
        <w:t>) The numbers of shippers are will not increase because of the intercity transporters usually do not contact the urban carriers through the website any more after completing the first order. Instead, they</w:t>
      </w:r>
      <w:r w:rsidRPr="00A014FD">
        <w:t xml:space="preserve"> will negotiate the contracts and public the goods information through the phones and cross-platform messaging application (</w:t>
      </w:r>
      <w:proofErr w:type="gramStart"/>
      <w:r w:rsidRPr="00A014FD">
        <w:t>e.g.</w:t>
      </w:r>
      <w:proofErr w:type="gramEnd"/>
      <w:r w:rsidRPr="00A014FD">
        <w:t xml:space="preserve"> </w:t>
      </w:r>
      <w:proofErr w:type="spellStart"/>
      <w:r w:rsidRPr="00A014FD">
        <w:t>WeChart</w:t>
      </w:r>
      <w:proofErr w:type="spellEnd"/>
      <w:r w:rsidRPr="00A014FD">
        <w:t xml:space="preserve"> and QQ). (ii) There is strong vicious competition from self-employed driver. The quotes from self-employed drivers for ordinary goods are lower than the lowest price that this company can earn. Because these self-employed drivers have low operating cost: they do not need to hire the workers; they can work at any time and are not affected by overtime; they do not pay taxes. (iii) Charge fees will </w:t>
      </w:r>
      <w:r w:rsidRPr="00A014FD">
        <w:lastRenderedPageBreak/>
        <w:t>lead to the potential loss of intercity shippers.  When the FIW is privatized, this company will charge the using fees from the intercity shippers (free for urban carriers). From the feedback of the survey, intercity shippers are accustomed to the free public owned website and they are not satisfied with the fees charging.</w:t>
      </w:r>
    </w:p>
    <w:p w14:paraId="2A214169" w14:textId="77777777" w:rsidR="005400D8" w:rsidRPr="00A014FD" w:rsidRDefault="005400D8" w:rsidP="005400D8">
      <w:r w:rsidRPr="00A014FD">
        <w:t>The profit margin of ordinary cargo transhipment that based on the cargo station continues to decrease in recent years. The interviewee says, the ordinary goods transhipment both in model 1 and model 2 occupies the 70% of the total goods delivery in last year, but only generates 20% of the revenues. It is estimated that the profit will be lower in this year. If this situation does not change, this company will completely abandon the transhipment business of ordinary goods, and only implement high-profit logistics business, such as cold chain logistics.</w:t>
      </w:r>
    </w:p>
    <w:p w14:paraId="58D7280B" w14:textId="77777777" w:rsidR="005400D8" w:rsidRPr="00A014FD" w:rsidRDefault="005400D8" w:rsidP="005400D8">
      <w:r w:rsidRPr="00A014FD">
        <w:t xml:space="preserve">From the interviewee’s </w:t>
      </w:r>
      <w:r w:rsidRPr="00A014FD">
        <w:rPr>
          <w:noProof/>
        </w:rPr>
        <w:t>experience</w:t>
      </w:r>
      <w:r w:rsidRPr="00A014FD">
        <w:t xml:space="preserve"> the BDS project will be successful, but it is very hard to promote the utilisation of BDS in the real commercial situation. the main reason is that the BDS provides unnecessary information for the users in the real delivery process. For </w:t>
      </w:r>
      <w:r w:rsidRPr="00A014FD">
        <w:rPr>
          <w:noProof/>
        </w:rPr>
        <w:t>example:</w:t>
      </w:r>
      <w:r w:rsidRPr="00A014FD">
        <w:t xml:space="preserve"> drivers will not adopt the advice from the BDS system, drivers are impatient with the frequent guidance from the BDS; Shippers and Consignee will not care about the trucks’ location and goods condition in the containers. they only concentrate whether trucks can arrive on-time and without damage.</w:t>
      </w:r>
    </w:p>
    <w:p w14:paraId="51281219" w14:textId="77777777" w:rsidR="005400D8" w:rsidRPr="00A014FD" w:rsidRDefault="005400D8" w:rsidP="005400D8">
      <w:r w:rsidRPr="00A014FD">
        <w:t xml:space="preserve">The interviewee shows the percentages of the cost and the revenues from the cold chain delivery and the ordinary goods delivery in 2017. The ordinary delivery occupies 30% of total operating cost, but only generated 20% of the revenues. Cold chain logistics is </w:t>
      </w:r>
      <w:r w:rsidRPr="00A014FD">
        <w:lastRenderedPageBreak/>
        <w:t xml:space="preserve">a high added-value business which occupies 60% of the total cost, however, it generated 80% of the total revenues in last year. from the interviewee’s estimation, the gross margin of the ordinary goods delivery will be continually decreasing in the future.  Conversely, the demanding from the cold chain logistics will increases. The company B will abandon </w:t>
      </w:r>
      <w:proofErr w:type="gramStart"/>
      <w:r w:rsidRPr="00A014FD">
        <w:t>all of</w:t>
      </w:r>
      <w:proofErr w:type="gramEnd"/>
      <w:r w:rsidRPr="00A014FD">
        <w:t xml:space="preserve"> the ordinary goods delivery step by step in the next three years. </w:t>
      </w:r>
      <w:proofErr w:type="gramStart"/>
      <w:r w:rsidRPr="00A014FD">
        <w:t>all of</w:t>
      </w:r>
      <w:proofErr w:type="gramEnd"/>
      <w:r w:rsidRPr="00A014FD">
        <w:t xml:space="preserve"> the new trucks brought by company B from this year will be dedicated cold chain trucks. this strategy will ensure company's profitability.</w:t>
      </w:r>
    </w:p>
    <w:tbl>
      <w:tblPr>
        <w:tblStyle w:val="TableGrid"/>
        <w:tblW w:w="0" w:type="auto"/>
        <w:tblLayout w:type="fixed"/>
        <w:tblLook w:val="04A0" w:firstRow="1" w:lastRow="0" w:firstColumn="1" w:lastColumn="0" w:noHBand="0" w:noVBand="1"/>
      </w:tblPr>
      <w:tblGrid>
        <w:gridCol w:w="1838"/>
        <w:gridCol w:w="1985"/>
        <w:gridCol w:w="1842"/>
        <w:gridCol w:w="1701"/>
        <w:gridCol w:w="909"/>
      </w:tblGrid>
      <w:tr w:rsidR="005400D8" w:rsidRPr="00A014FD" w14:paraId="17628162" w14:textId="77777777" w:rsidTr="0000015A">
        <w:tc>
          <w:tcPr>
            <w:tcW w:w="1838" w:type="dxa"/>
            <w:tcBorders>
              <w:tl2br w:val="single" w:sz="4" w:space="0" w:color="auto"/>
            </w:tcBorders>
            <w:vAlign w:val="center"/>
          </w:tcPr>
          <w:p w14:paraId="094B3CB3" w14:textId="77777777" w:rsidR="005400D8" w:rsidRPr="00A014FD" w:rsidRDefault="005400D8" w:rsidP="00704B82">
            <w:pPr>
              <w:jc w:val="center"/>
              <w:rPr>
                <w:sz w:val="22"/>
              </w:rPr>
            </w:pPr>
          </w:p>
        </w:tc>
        <w:tc>
          <w:tcPr>
            <w:tcW w:w="1985" w:type="dxa"/>
            <w:vAlign w:val="center"/>
          </w:tcPr>
          <w:p w14:paraId="26645CEC" w14:textId="77777777" w:rsidR="005400D8" w:rsidRPr="00A014FD" w:rsidRDefault="005400D8" w:rsidP="00704B82">
            <w:pPr>
              <w:jc w:val="center"/>
              <w:rPr>
                <w:sz w:val="22"/>
              </w:rPr>
            </w:pPr>
            <w:r w:rsidRPr="00A014FD">
              <w:rPr>
                <w:sz w:val="22"/>
              </w:rPr>
              <w:t>Goods categories</w:t>
            </w:r>
          </w:p>
        </w:tc>
        <w:tc>
          <w:tcPr>
            <w:tcW w:w="1842" w:type="dxa"/>
            <w:vAlign w:val="center"/>
          </w:tcPr>
          <w:p w14:paraId="734D7E8E" w14:textId="77777777" w:rsidR="005400D8" w:rsidRPr="00A014FD" w:rsidRDefault="005400D8" w:rsidP="00704B82">
            <w:pPr>
              <w:jc w:val="center"/>
              <w:rPr>
                <w:sz w:val="22"/>
              </w:rPr>
            </w:pPr>
            <w:r w:rsidRPr="00A014FD">
              <w:rPr>
                <w:sz w:val="22"/>
              </w:rPr>
              <w:t>Percentages of total delivery</w:t>
            </w:r>
          </w:p>
        </w:tc>
        <w:tc>
          <w:tcPr>
            <w:tcW w:w="1701" w:type="dxa"/>
            <w:vAlign w:val="center"/>
          </w:tcPr>
          <w:p w14:paraId="7EFD0FF5" w14:textId="77777777" w:rsidR="005400D8" w:rsidRPr="00A014FD" w:rsidRDefault="005400D8" w:rsidP="00704B82">
            <w:pPr>
              <w:jc w:val="center"/>
              <w:rPr>
                <w:sz w:val="22"/>
              </w:rPr>
            </w:pPr>
            <w:r w:rsidRPr="00A014FD">
              <w:rPr>
                <w:sz w:val="22"/>
              </w:rPr>
              <w:t>Cost of delivery</w:t>
            </w:r>
          </w:p>
        </w:tc>
        <w:tc>
          <w:tcPr>
            <w:tcW w:w="909" w:type="dxa"/>
            <w:vAlign w:val="center"/>
          </w:tcPr>
          <w:p w14:paraId="4D5A2C4E" w14:textId="77777777" w:rsidR="005400D8" w:rsidRPr="00A014FD" w:rsidRDefault="005400D8" w:rsidP="00704B82">
            <w:pPr>
              <w:jc w:val="center"/>
              <w:rPr>
                <w:sz w:val="22"/>
              </w:rPr>
            </w:pPr>
            <w:r w:rsidRPr="00A014FD">
              <w:rPr>
                <w:sz w:val="22"/>
              </w:rPr>
              <w:t>Revenue of total delivery</w:t>
            </w:r>
          </w:p>
        </w:tc>
      </w:tr>
      <w:tr w:rsidR="005400D8" w:rsidRPr="00A014FD" w14:paraId="4DA7A8C1" w14:textId="77777777" w:rsidTr="0000015A">
        <w:tc>
          <w:tcPr>
            <w:tcW w:w="1838" w:type="dxa"/>
            <w:vMerge w:val="restart"/>
            <w:vAlign w:val="center"/>
          </w:tcPr>
          <w:p w14:paraId="390A464C" w14:textId="77777777" w:rsidR="005400D8" w:rsidRPr="00A014FD" w:rsidRDefault="005400D8" w:rsidP="00704B82">
            <w:pPr>
              <w:jc w:val="center"/>
              <w:rPr>
                <w:sz w:val="22"/>
              </w:rPr>
            </w:pPr>
            <w:r w:rsidRPr="00A014FD">
              <w:rPr>
                <w:sz w:val="22"/>
              </w:rPr>
              <w:t>Delivery model 1</w:t>
            </w:r>
          </w:p>
        </w:tc>
        <w:tc>
          <w:tcPr>
            <w:tcW w:w="1985" w:type="dxa"/>
            <w:vAlign w:val="center"/>
          </w:tcPr>
          <w:p w14:paraId="5A37A634" w14:textId="77777777" w:rsidR="005400D8" w:rsidRPr="00A014FD" w:rsidRDefault="005400D8" w:rsidP="00704B82">
            <w:pPr>
              <w:jc w:val="center"/>
              <w:rPr>
                <w:sz w:val="22"/>
              </w:rPr>
            </w:pPr>
            <w:r w:rsidRPr="00A014FD">
              <w:rPr>
                <w:sz w:val="22"/>
              </w:rPr>
              <w:t>Ordinary goods</w:t>
            </w:r>
          </w:p>
        </w:tc>
        <w:tc>
          <w:tcPr>
            <w:tcW w:w="1842" w:type="dxa"/>
            <w:vAlign w:val="center"/>
          </w:tcPr>
          <w:p w14:paraId="23EFF581" w14:textId="77777777" w:rsidR="005400D8" w:rsidRPr="00A014FD" w:rsidRDefault="005400D8" w:rsidP="00704B82">
            <w:pPr>
              <w:jc w:val="center"/>
              <w:rPr>
                <w:sz w:val="22"/>
              </w:rPr>
            </w:pPr>
            <w:r w:rsidRPr="00A014FD">
              <w:rPr>
                <w:sz w:val="22"/>
              </w:rPr>
              <w:t>35%</w:t>
            </w:r>
          </w:p>
        </w:tc>
        <w:tc>
          <w:tcPr>
            <w:tcW w:w="1701" w:type="dxa"/>
            <w:vAlign w:val="center"/>
          </w:tcPr>
          <w:p w14:paraId="47AA1CD2" w14:textId="77777777" w:rsidR="005400D8" w:rsidRPr="00A014FD" w:rsidRDefault="005400D8" w:rsidP="00704B82">
            <w:pPr>
              <w:jc w:val="center"/>
              <w:rPr>
                <w:sz w:val="22"/>
              </w:rPr>
            </w:pPr>
            <w:r w:rsidRPr="00A014FD">
              <w:rPr>
                <w:sz w:val="22"/>
              </w:rPr>
              <w:t>20%</w:t>
            </w:r>
          </w:p>
        </w:tc>
        <w:tc>
          <w:tcPr>
            <w:tcW w:w="909" w:type="dxa"/>
            <w:vAlign w:val="center"/>
          </w:tcPr>
          <w:p w14:paraId="64207EA7" w14:textId="77777777" w:rsidR="005400D8" w:rsidRPr="00A014FD" w:rsidRDefault="005400D8" w:rsidP="00704B82">
            <w:pPr>
              <w:jc w:val="center"/>
              <w:rPr>
                <w:sz w:val="22"/>
              </w:rPr>
            </w:pPr>
            <w:r w:rsidRPr="00A014FD">
              <w:rPr>
                <w:sz w:val="22"/>
              </w:rPr>
              <w:t>5%</w:t>
            </w:r>
          </w:p>
        </w:tc>
      </w:tr>
      <w:tr w:rsidR="005400D8" w:rsidRPr="00A014FD" w14:paraId="7E746F93" w14:textId="77777777" w:rsidTr="0000015A">
        <w:tc>
          <w:tcPr>
            <w:tcW w:w="1838" w:type="dxa"/>
            <w:vMerge/>
            <w:vAlign w:val="center"/>
          </w:tcPr>
          <w:p w14:paraId="3401D705" w14:textId="77777777" w:rsidR="005400D8" w:rsidRPr="00A014FD" w:rsidRDefault="005400D8" w:rsidP="00704B82">
            <w:pPr>
              <w:jc w:val="center"/>
              <w:rPr>
                <w:sz w:val="22"/>
              </w:rPr>
            </w:pPr>
          </w:p>
        </w:tc>
        <w:tc>
          <w:tcPr>
            <w:tcW w:w="1985" w:type="dxa"/>
            <w:vAlign w:val="center"/>
          </w:tcPr>
          <w:p w14:paraId="45A2ABAA" w14:textId="77777777" w:rsidR="005400D8" w:rsidRPr="00A014FD" w:rsidRDefault="005400D8" w:rsidP="00704B82">
            <w:pPr>
              <w:jc w:val="center"/>
              <w:rPr>
                <w:sz w:val="22"/>
              </w:rPr>
            </w:pPr>
            <w:r w:rsidRPr="00A014FD">
              <w:rPr>
                <w:sz w:val="22"/>
              </w:rPr>
              <w:t>Cold chain goods</w:t>
            </w:r>
          </w:p>
        </w:tc>
        <w:tc>
          <w:tcPr>
            <w:tcW w:w="1842" w:type="dxa"/>
            <w:vAlign w:val="center"/>
          </w:tcPr>
          <w:p w14:paraId="0CA0723A" w14:textId="77777777" w:rsidR="005400D8" w:rsidRPr="00A014FD" w:rsidRDefault="005400D8" w:rsidP="00704B82">
            <w:pPr>
              <w:jc w:val="center"/>
              <w:rPr>
                <w:sz w:val="22"/>
              </w:rPr>
            </w:pPr>
            <w:r w:rsidRPr="00A014FD">
              <w:rPr>
                <w:sz w:val="22"/>
              </w:rPr>
              <w:t>35%%</w:t>
            </w:r>
          </w:p>
        </w:tc>
        <w:tc>
          <w:tcPr>
            <w:tcW w:w="1701" w:type="dxa"/>
            <w:vAlign w:val="center"/>
          </w:tcPr>
          <w:p w14:paraId="024AC9E8" w14:textId="77777777" w:rsidR="005400D8" w:rsidRPr="00A014FD" w:rsidRDefault="005400D8" w:rsidP="00704B82">
            <w:pPr>
              <w:jc w:val="center"/>
              <w:rPr>
                <w:sz w:val="22"/>
              </w:rPr>
            </w:pPr>
            <w:r w:rsidRPr="00A014FD">
              <w:rPr>
                <w:sz w:val="22"/>
              </w:rPr>
              <w:t>40%</w:t>
            </w:r>
          </w:p>
        </w:tc>
        <w:tc>
          <w:tcPr>
            <w:tcW w:w="909" w:type="dxa"/>
            <w:vAlign w:val="center"/>
          </w:tcPr>
          <w:p w14:paraId="0A306A8E" w14:textId="77777777" w:rsidR="005400D8" w:rsidRPr="00A014FD" w:rsidRDefault="005400D8" w:rsidP="00704B82">
            <w:pPr>
              <w:jc w:val="center"/>
              <w:rPr>
                <w:sz w:val="22"/>
              </w:rPr>
            </w:pPr>
            <w:r w:rsidRPr="00A014FD">
              <w:rPr>
                <w:sz w:val="22"/>
              </w:rPr>
              <w:t>40%</w:t>
            </w:r>
          </w:p>
        </w:tc>
      </w:tr>
      <w:tr w:rsidR="005400D8" w:rsidRPr="00A014FD" w14:paraId="67431D86" w14:textId="77777777" w:rsidTr="0000015A">
        <w:trPr>
          <w:trHeight w:val="363"/>
        </w:trPr>
        <w:tc>
          <w:tcPr>
            <w:tcW w:w="1838" w:type="dxa"/>
            <w:vMerge w:val="restart"/>
            <w:vAlign w:val="center"/>
          </w:tcPr>
          <w:p w14:paraId="53E94EC1" w14:textId="77777777" w:rsidR="005400D8" w:rsidRPr="00A014FD" w:rsidRDefault="005400D8" w:rsidP="00704B82">
            <w:pPr>
              <w:jc w:val="center"/>
              <w:rPr>
                <w:sz w:val="22"/>
              </w:rPr>
            </w:pPr>
            <w:r w:rsidRPr="00A014FD">
              <w:rPr>
                <w:sz w:val="22"/>
              </w:rPr>
              <w:t>Delivery model 2</w:t>
            </w:r>
          </w:p>
        </w:tc>
        <w:tc>
          <w:tcPr>
            <w:tcW w:w="1985" w:type="dxa"/>
            <w:vAlign w:val="center"/>
          </w:tcPr>
          <w:p w14:paraId="387F367A" w14:textId="77777777" w:rsidR="005400D8" w:rsidRPr="00A014FD" w:rsidRDefault="005400D8" w:rsidP="00704B82">
            <w:pPr>
              <w:jc w:val="center"/>
              <w:rPr>
                <w:sz w:val="22"/>
              </w:rPr>
            </w:pPr>
            <w:r w:rsidRPr="00A014FD">
              <w:rPr>
                <w:sz w:val="22"/>
              </w:rPr>
              <w:t>Ordinary goods</w:t>
            </w:r>
          </w:p>
        </w:tc>
        <w:tc>
          <w:tcPr>
            <w:tcW w:w="1842" w:type="dxa"/>
            <w:vAlign w:val="center"/>
          </w:tcPr>
          <w:p w14:paraId="0359C389" w14:textId="77777777" w:rsidR="005400D8" w:rsidRPr="00A014FD" w:rsidRDefault="005400D8" w:rsidP="00704B82">
            <w:pPr>
              <w:jc w:val="center"/>
              <w:rPr>
                <w:sz w:val="22"/>
              </w:rPr>
            </w:pPr>
            <w:r w:rsidRPr="00A014FD">
              <w:rPr>
                <w:sz w:val="22"/>
              </w:rPr>
              <w:t>12%</w:t>
            </w:r>
          </w:p>
        </w:tc>
        <w:tc>
          <w:tcPr>
            <w:tcW w:w="1701" w:type="dxa"/>
            <w:vAlign w:val="center"/>
          </w:tcPr>
          <w:p w14:paraId="25AF10C0" w14:textId="77777777" w:rsidR="005400D8" w:rsidRPr="00A014FD" w:rsidRDefault="005400D8" w:rsidP="00704B82">
            <w:pPr>
              <w:jc w:val="center"/>
              <w:rPr>
                <w:sz w:val="22"/>
              </w:rPr>
            </w:pPr>
            <w:r w:rsidRPr="00A014FD">
              <w:rPr>
                <w:sz w:val="22"/>
              </w:rPr>
              <w:t>10%</w:t>
            </w:r>
          </w:p>
        </w:tc>
        <w:tc>
          <w:tcPr>
            <w:tcW w:w="909" w:type="dxa"/>
            <w:vAlign w:val="center"/>
          </w:tcPr>
          <w:p w14:paraId="48224F25" w14:textId="77777777" w:rsidR="005400D8" w:rsidRPr="00A014FD" w:rsidRDefault="005400D8" w:rsidP="00704B82">
            <w:pPr>
              <w:jc w:val="center"/>
              <w:rPr>
                <w:sz w:val="22"/>
              </w:rPr>
            </w:pPr>
            <w:r w:rsidRPr="00A014FD">
              <w:rPr>
                <w:sz w:val="22"/>
              </w:rPr>
              <w:t>15%</w:t>
            </w:r>
          </w:p>
        </w:tc>
      </w:tr>
      <w:tr w:rsidR="005400D8" w:rsidRPr="00A014FD" w14:paraId="6A2F7216" w14:textId="77777777" w:rsidTr="0000015A">
        <w:tc>
          <w:tcPr>
            <w:tcW w:w="1838" w:type="dxa"/>
            <w:vMerge/>
            <w:vAlign w:val="center"/>
          </w:tcPr>
          <w:p w14:paraId="14D08AC7" w14:textId="77777777" w:rsidR="005400D8" w:rsidRPr="00A014FD" w:rsidRDefault="005400D8" w:rsidP="00704B82">
            <w:pPr>
              <w:jc w:val="center"/>
              <w:rPr>
                <w:sz w:val="22"/>
              </w:rPr>
            </w:pPr>
          </w:p>
        </w:tc>
        <w:tc>
          <w:tcPr>
            <w:tcW w:w="1985" w:type="dxa"/>
            <w:vAlign w:val="center"/>
          </w:tcPr>
          <w:p w14:paraId="1F68B9C1" w14:textId="77777777" w:rsidR="005400D8" w:rsidRPr="00A014FD" w:rsidRDefault="005400D8" w:rsidP="00704B82">
            <w:pPr>
              <w:jc w:val="center"/>
              <w:rPr>
                <w:sz w:val="22"/>
              </w:rPr>
            </w:pPr>
            <w:r w:rsidRPr="00A014FD">
              <w:rPr>
                <w:sz w:val="22"/>
              </w:rPr>
              <w:t>Cold chain goods</w:t>
            </w:r>
          </w:p>
        </w:tc>
        <w:tc>
          <w:tcPr>
            <w:tcW w:w="1842" w:type="dxa"/>
            <w:vAlign w:val="center"/>
          </w:tcPr>
          <w:p w14:paraId="0FAAE334" w14:textId="77777777" w:rsidR="005400D8" w:rsidRPr="00A014FD" w:rsidRDefault="005400D8" w:rsidP="00704B82">
            <w:pPr>
              <w:jc w:val="center"/>
              <w:rPr>
                <w:sz w:val="22"/>
              </w:rPr>
            </w:pPr>
            <w:r w:rsidRPr="00A014FD">
              <w:rPr>
                <w:sz w:val="22"/>
              </w:rPr>
              <w:t>18%%</w:t>
            </w:r>
          </w:p>
        </w:tc>
        <w:tc>
          <w:tcPr>
            <w:tcW w:w="1701" w:type="dxa"/>
            <w:vAlign w:val="center"/>
          </w:tcPr>
          <w:p w14:paraId="29DAFD4F" w14:textId="77777777" w:rsidR="005400D8" w:rsidRPr="00A014FD" w:rsidRDefault="005400D8" w:rsidP="00704B82">
            <w:pPr>
              <w:jc w:val="center"/>
              <w:rPr>
                <w:sz w:val="22"/>
              </w:rPr>
            </w:pPr>
            <w:r w:rsidRPr="00A014FD">
              <w:rPr>
                <w:sz w:val="22"/>
              </w:rPr>
              <w:t>20%</w:t>
            </w:r>
          </w:p>
        </w:tc>
        <w:tc>
          <w:tcPr>
            <w:tcW w:w="909" w:type="dxa"/>
            <w:vAlign w:val="center"/>
          </w:tcPr>
          <w:p w14:paraId="51349B1C" w14:textId="77777777" w:rsidR="005400D8" w:rsidRPr="00A014FD" w:rsidRDefault="005400D8" w:rsidP="00704B82">
            <w:pPr>
              <w:jc w:val="center"/>
              <w:rPr>
                <w:sz w:val="22"/>
              </w:rPr>
            </w:pPr>
            <w:r w:rsidRPr="00A014FD">
              <w:rPr>
                <w:sz w:val="22"/>
              </w:rPr>
              <w:t>40%</w:t>
            </w:r>
          </w:p>
        </w:tc>
      </w:tr>
    </w:tbl>
    <w:p w14:paraId="3938ABEE" w14:textId="3A6BA135" w:rsidR="005400D8" w:rsidRPr="00525710" w:rsidRDefault="00525710" w:rsidP="00525710">
      <w:pPr>
        <w:pStyle w:val="Caption"/>
        <w:snapToGrid w:val="0"/>
        <w:rPr>
          <w:i w:val="0"/>
          <w:iCs w:val="0"/>
        </w:rPr>
      </w:pPr>
      <w:bookmarkStart w:id="1279" w:name="_Toc45356684"/>
      <w:r>
        <w:rPr>
          <w:i w:val="0"/>
          <w:iCs w:val="0"/>
        </w:rPr>
        <w:t>Table VI.1</w:t>
      </w:r>
      <w:r w:rsidR="005400D8" w:rsidRPr="00525710">
        <w:rPr>
          <w:i w:val="0"/>
          <w:iCs w:val="0"/>
        </w:rPr>
        <w:t>-</w:t>
      </w:r>
      <w:bookmarkEnd w:id="1279"/>
      <w:r>
        <w:rPr>
          <w:i w:val="0"/>
          <w:iCs w:val="0"/>
        </w:rPr>
        <w:t>Business details of UCC</w:t>
      </w:r>
    </w:p>
    <w:p w14:paraId="4E289F8E" w14:textId="77777777" w:rsidR="005400D8" w:rsidRPr="00A014FD" w:rsidRDefault="005400D8" w:rsidP="005400D8">
      <w:r w:rsidRPr="00A014FD">
        <w:t xml:space="preserve">The “Typical Delivery Price” the delivery price charges from this company for ordinary goods delivery is 50% higher than the price charged from self-employed drivers. These self-employed driver’s quote is below the lowest price this company can earn the profit. But there are still many shippers (especially big logistics companies) willing to cooperating with this company, because this company has a good reputation in the freight transportation industry. It provides reliable and </w:t>
      </w:r>
      <w:proofErr w:type="gramStart"/>
      <w:r w:rsidRPr="00A014FD">
        <w:t>high quality</w:t>
      </w:r>
      <w:proofErr w:type="gramEnd"/>
      <w:r w:rsidRPr="00A014FD">
        <w:t xml:space="preserve"> service. </w:t>
      </w:r>
    </w:p>
    <w:p w14:paraId="077DD91D" w14:textId="77777777" w:rsidR="005400D8" w:rsidRPr="00A014FD" w:rsidRDefault="005400D8" w:rsidP="005400D8">
      <w:r w:rsidRPr="00A014FD">
        <w:lastRenderedPageBreak/>
        <w:t xml:space="preserve">For the cold chain logistics, we are the same as the normal cold chain logistics companies, meanwhile this company provides free warehouse service for the short-time storage of the cold chain goods, such as fruit, meat, milk, etc. is helps this company build a close relationship with the supermarkets and convenient stores (chain store). They are the stable customers to allocate the cold chain delivery for company B. </w:t>
      </w:r>
    </w:p>
    <w:p w14:paraId="01FEEECD" w14:textId="77777777" w:rsidR="005400D8" w:rsidRPr="00A014FD" w:rsidRDefault="005400D8" w:rsidP="005400D8">
      <w:pPr>
        <w:rPr>
          <w:rFonts w:eastAsia="等线"/>
          <w:color w:val="000000"/>
        </w:rPr>
      </w:pPr>
      <w:r w:rsidRPr="00A014FD">
        <w:rPr>
          <w:rFonts w:eastAsia="等线"/>
          <w:color w:val="000000"/>
        </w:rPr>
        <w:t>“Infrastructure Surface Usage Rate” “Goods Handled per Full-Time Equivalent Employee” This company rents the platforms in the cargo station. For the ordinary goods, each platform only 500M</w:t>
      </w:r>
      <w:r w:rsidRPr="00A014FD">
        <w:rPr>
          <w:rFonts w:eastAsia="等线"/>
          <w:color w:val="000000"/>
          <w:vertAlign w:val="superscript"/>
        </w:rPr>
        <w:t>2</w:t>
      </w:r>
      <w:r w:rsidRPr="00A014FD">
        <w:rPr>
          <w:rFonts w:eastAsia="等线"/>
          <w:color w:val="000000"/>
        </w:rPr>
        <w:t xml:space="preserve"> and deal with 15000 parcels for the city delivery each day.  The size of cold chain platform is the 500-1000M</w:t>
      </w:r>
      <w:r w:rsidRPr="00A014FD">
        <w:rPr>
          <w:rFonts w:eastAsia="等线"/>
          <w:color w:val="000000"/>
          <w:vertAlign w:val="superscript"/>
        </w:rPr>
        <w:t>2</w:t>
      </w:r>
      <w:r w:rsidRPr="00A014FD">
        <w:rPr>
          <w:rFonts w:eastAsia="等线"/>
          <w:color w:val="000000"/>
        </w:rPr>
        <w:t xml:space="preserve"> goods platform. Each platform deals with 25000 parcels every day.  normally company B arrange 2 workers for ordinary platform and the 4 staffs for cold chain platform.</w:t>
      </w:r>
    </w:p>
    <w:p w14:paraId="2C1BE9F8" w14:textId="77777777" w:rsidR="005400D8" w:rsidRPr="00A014FD" w:rsidRDefault="005400D8" w:rsidP="005400D8">
      <w:pPr>
        <w:rPr>
          <w:rFonts w:eastAsia="等线"/>
          <w:color w:val="000000"/>
        </w:rPr>
      </w:pPr>
      <w:r w:rsidRPr="00A014FD">
        <w:rPr>
          <w:rFonts w:eastAsia="等线"/>
          <w:color w:val="000000"/>
        </w:rPr>
        <w:t xml:space="preserve">“Delivery Accuracy Rate” the delivery accurate rate for ordinary goods is 100%, the cold chain products are 90%+, the product such as the fruit are easily damaged. But the goods damage rate is allowed by customers. Firstly, the damage rate is not high, secondly, </w:t>
      </w:r>
      <w:proofErr w:type="gramStart"/>
      <w:r w:rsidRPr="00A014FD">
        <w:rPr>
          <w:rFonts w:eastAsia="等线"/>
          <w:color w:val="000000"/>
        </w:rPr>
        <w:t>It</w:t>
      </w:r>
      <w:proofErr w:type="gramEnd"/>
      <w:r w:rsidRPr="00A014FD">
        <w:rPr>
          <w:rFonts w:eastAsia="等线"/>
          <w:color w:val="000000"/>
        </w:rPr>
        <w:t xml:space="preserve"> is very hard to identify the goods damage by the intercity transporting or by company B’s platform. </w:t>
      </w:r>
    </w:p>
    <w:p w14:paraId="45EB8B1D" w14:textId="77777777" w:rsidR="005400D8" w:rsidRPr="00A014FD" w:rsidRDefault="005400D8" w:rsidP="005400D8">
      <w:pPr>
        <w:rPr>
          <w:rFonts w:eastAsia="等线"/>
          <w:color w:val="000000"/>
        </w:rPr>
      </w:pPr>
      <w:r w:rsidRPr="00A014FD">
        <w:rPr>
          <w:rFonts w:eastAsia="等线"/>
          <w:color w:val="000000"/>
        </w:rPr>
        <w:t xml:space="preserve">“Lead Time for Goods Delivery from UCC to its Users” it is different from the delivery model. for the model 1 it will be 40 minutes to transfer the goods </w:t>
      </w:r>
      <w:proofErr w:type="gramStart"/>
      <w:r w:rsidRPr="00A014FD">
        <w:rPr>
          <w:rFonts w:eastAsia="等线"/>
          <w:color w:val="000000"/>
        </w:rPr>
        <w:t>in to</w:t>
      </w:r>
      <w:proofErr w:type="gramEnd"/>
      <w:r w:rsidRPr="00A014FD">
        <w:rPr>
          <w:rFonts w:eastAsia="等线"/>
          <w:color w:val="000000"/>
        </w:rPr>
        <w:t xml:space="preserve"> the trucks. for the delivery mode 2, early arrives goods should wait for other later intercity transporting goods arrives. Delivery will start when the containers are full loaded. Normally, the entire waiting time is 3 hours to merge all the cargos together. </w:t>
      </w:r>
    </w:p>
    <w:p w14:paraId="7844B4F8" w14:textId="77777777" w:rsidR="005400D8" w:rsidRPr="00A014FD" w:rsidRDefault="005400D8" w:rsidP="005400D8">
      <w:r w:rsidRPr="00A014FD">
        <w:lastRenderedPageBreak/>
        <w:t xml:space="preserve">Interviewee believe that all kinds of electric trucks are not suitable for urban logistics in Wuhan. For the ordinary goods delivery, the electrical trucks cannot be overloading. It will lead to the carriers cannot </w:t>
      </w:r>
      <w:r w:rsidRPr="00A014FD">
        <w:rPr>
          <w:noProof/>
        </w:rPr>
        <w:t>delivery</w:t>
      </w:r>
      <w:r w:rsidRPr="00A014FD">
        <w:t xml:space="preserve"> all goods on time in each day. Meanwhile, it will increase the delivery cost, so that carriers </w:t>
      </w:r>
      <w:proofErr w:type="gramStart"/>
      <w:r w:rsidRPr="00A014FD">
        <w:t>have to</w:t>
      </w:r>
      <w:proofErr w:type="gramEnd"/>
      <w:r w:rsidRPr="00A014FD">
        <w:t xml:space="preserve"> increase the price charge of the delivery. High delivery price will cause logistics companies to lose market competitiveness. Interviewee thinks Wuhan is a metropolitan city</w:t>
      </w:r>
      <w:r w:rsidRPr="00A014FD">
        <w:rPr>
          <w:noProof/>
        </w:rPr>
        <w:t>, electrical</w:t>
      </w:r>
      <w:r w:rsidRPr="00A014FD">
        <w:t xml:space="preserve"> vehicles cannot support the daily delivery. This company has </w:t>
      </w:r>
      <w:proofErr w:type="gramStart"/>
      <w:r w:rsidRPr="00A014FD">
        <w:t>test</w:t>
      </w:r>
      <w:proofErr w:type="gramEnd"/>
      <w:r w:rsidRPr="00A014FD">
        <w:t xml:space="preserve"> some electrical vehicles from different brands. The power of the batteries cannot support the delivery with 50KM or more. Fast charge piles for the electrical trucks normally takes 1 to 1.5 hours. No logistics company will allow the trucks to be idle for such long periods of </w:t>
      </w:r>
      <w:proofErr w:type="gramStart"/>
      <w:r w:rsidRPr="00A014FD">
        <w:t>times</w:t>
      </w:r>
      <w:proofErr w:type="gramEnd"/>
    </w:p>
    <w:p w14:paraId="7EDF7B56" w14:textId="77777777" w:rsidR="005400D8" w:rsidRPr="00A014FD" w:rsidRDefault="005400D8" w:rsidP="005400D8">
      <w:r w:rsidRPr="00A014FD">
        <w:t xml:space="preserve">The electrical trucks cannot transport the cold chain product. </w:t>
      </w:r>
      <w:r w:rsidRPr="00A014FD">
        <w:rPr>
          <w:noProof/>
        </w:rPr>
        <w:t>Because the batteries cannot provide sufficient power for the air conditioners of the trucks.</w:t>
      </w:r>
      <w:r w:rsidRPr="00A014FD">
        <w:t xml:space="preserve"> </w:t>
      </w:r>
      <w:proofErr w:type="gramStart"/>
      <w:r w:rsidRPr="00A014FD">
        <w:t>all of</w:t>
      </w:r>
      <w:proofErr w:type="gramEnd"/>
      <w:r w:rsidRPr="00A014FD">
        <w:t xml:space="preserve"> the cold chain trucks should be pre-cooling before the delivery. Even in </w:t>
      </w:r>
      <w:proofErr w:type="gramStart"/>
      <w:r w:rsidRPr="00A014FD">
        <w:t>these stage</w:t>
      </w:r>
      <w:proofErr w:type="gramEnd"/>
      <w:r w:rsidRPr="00A014FD">
        <w:t xml:space="preserve">, the batteries will be consumed about 1/3.  </w:t>
      </w:r>
    </w:p>
    <w:p w14:paraId="5E8B8C26" w14:textId="77777777" w:rsidR="005400D8" w:rsidRPr="00A014FD" w:rsidRDefault="005400D8" w:rsidP="005400D8">
      <w:r w:rsidRPr="00A014FD">
        <w:t>Hydrogen trucks can run longer than electrical vehicles, but they are not suitable for the ordinary goods delivery. Because of there are only 4 service station provides the hydrogen in the entire Wuhan. It is very inconvenient for the carriers to uses the hydrogen trucks. hydrogen is not suitable for cold chain transportation as well, because of the extra power requirement from the air conditioner.</w:t>
      </w:r>
    </w:p>
    <w:p w14:paraId="2A8C7C07" w14:textId="77777777" w:rsidR="005400D8" w:rsidRPr="00A014FD" w:rsidRDefault="005400D8" w:rsidP="005400D8">
      <w:pPr>
        <w:rPr>
          <w:rFonts w:eastAsia="等线"/>
          <w:color w:val="000000"/>
          <w:sz w:val="22"/>
        </w:rPr>
      </w:pPr>
      <w:r w:rsidRPr="00A014FD">
        <w:rPr>
          <w:rFonts w:eastAsia="等线"/>
          <w:color w:val="000000"/>
          <w:sz w:val="22"/>
        </w:rPr>
        <w:t xml:space="preserve">“Truck Loading Rate”, using overloaded truck is a common behaviour for </w:t>
      </w:r>
      <w:proofErr w:type="gramStart"/>
      <w:r w:rsidRPr="00A014FD">
        <w:rPr>
          <w:rFonts w:eastAsia="等线"/>
          <w:color w:val="000000"/>
          <w:sz w:val="22"/>
        </w:rPr>
        <w:t>all of</w:t>
      </w:r>
      <w:proofErr w:type="gramEnd"/>
      <w:r w:rsidRPr="00A014FD">
        <w:rPr>
          <w:rFonts w:eastAsia="等线"/>
          <w:color w:val="000000"/>
          <w:sz w:val="22"/>
        </w:rPr>
        <w:t xml:space="preserve"> the carriers (logistics companies and self-employed drivers) in Wuhan city. In current stage, there is no </w:t>
      </w:r>
      <w:r w:rsidRPr="00A014FD">
        <w:rPr>
          <w:rFonts w:eastAsia="等线"/>
          <w:color w:val="000000"/>
          <w:sz w:val="22"/>
        </w:rPr>
        <w:lastRenderedPageBreak/>
        <w:t>standard freight price</w:t>
      </w:r>
      <w:r w:rsidRPr="00A014FD">
        <w:rPr>
          <w:rFonts w:eastAsia="等线"/>
          <w:noProof/>
          <w:color w:val="000000"/>
          <w:sz w:val="22"/>
        </w:rPr>
        <w:t>, everyone</w:t>
      </w:r>
      <w:r w:rsidRPr="00A014FD">
        <w:rPr>
          <w:rFonts w:eastAsia="等线"/>
          <w:color w:val="000000"/>
          <w:sz w:val="22"/>
        </w:rPr>
        <w:t xml:space="preserve"> uses the low delivery price strategy to attract customers. 100%-500% cargo overloading is an important method to decrease the operating costs. From interviewee’s experience, the overloading under 500% is safe for </w:t>
      </w:r>
      <w:r w:rsidRPr="00A014FD">
        <w:rPr>
          <w:rFonts w:eastAsia="等线"/>
          <w:noProof/>
          <w:color w:val="000000"/>
          <w:sz w:val="22"/>
        </w:rPr>
        <w:t>inner city</w:t>
      </w:r>
      <w:r w:rsidRPr="00A014FD">
        <w:rPr>
          <w:rFonts w:eastAsia="等线"/>
          <w:color w:val="000000"/>
          <w:sz w:val="22"/>
        </w:rPr>
        <w:t xml:space="preserve"> delivery. Company B requires the truck loading rates should not beyond 500%. But many self-employed drivers can overload at most to 700% of the goods. Interviewee thinks the truck loading rate is in a safety situation.</w:t>
      </w:r>
    </w:p>
    <w:p w14:paraId="6A7ED36F" w14:textId="77777777" w:rsidR="005400D8" w:rsidRPr="00A014FD" w:rsidRDefault="005400D8" w:rsidP="005400D8">
      <w:pPr>
        <w:rPr>
          <w:rFonts w:eastAsia="等线"/>
          <w:color w:val="000000"/>
          <w:sz w:val="22"/>
        </w:rPr>
      </w:pPr>
      <w:r w:rsidRPr="00A014FD">
        <w:rPr>
          <w:rFonts w:eastAsia="等线"/>
          <w:color w:val="000000"/>
          <w:sz w:val="22"/>
        </w:rPr>
        <w:t xml:space="preserve">Interviewee says that the BDS project does not allow the goods overloading in the experiment. The delivery from 12 trucks lead to the profit loss during the experiment time. But government will pay the compensation for the bad impact of the delivery business. Government knows the situation of the truck </w:t>
      </w:r>
      <w:proofErr w:type="gramStart"/>
      <w:r w:rsidRPr="00A014FD">
        <w:rPr>
          <w:rFonts w:eastAsia="等线"/>
          <w:color w:val="000000"/>
          <w:sz w:val="22"/>
        </w:rPr>
        <w:t>overloading</w:t>
      </w:r>
      <w:proofErr w:type="gramEnd"/>
      <w:r w:rsidRPr="00A014FD">
        <w:rPr>
          <w:rFonts w:eastAsia="等线"/>
          <w:color w:val="000000"/>
          <w:sz w:val="22"/>
        </w:rPr>
        <w:t xml:space="preserve"> but no one wants to change this situation.</w:t>
      </w:r>
    </w:p>
    <w:p w14:paraId="1E8240B0" w14:textId="77777777" w:rsidR="005400D8" w:rsidRPr="00A014FD" w:rsidRDefault="005400D8" w:rsidP="005400D8">
      <w:pPr>
        <w:rPr>
          <w:rFonts w:eastAsia="等线"/>
          <w:color w:val="000000"/>
          <w:sz w:val="22"/>
        </w:rPr>
      </w:pPr>
      <w:r w:rsidRPr="00A014FD">
        <w:rPr>
          <w:rFonts w:eastAsia="等线"/>
          <w:color w:val="000000"/>
          <w:sz w:val="22"/>
        </w:rPr>
        <w:t>In the daily business, Drivers normally following the mobile navigation App, such as Baidu Map and AutoNavi. The interviewee thinks this Apps plan reasonable routing for the driver. Many experience drivers choose the routing according to their experience. Interviewee thinks these drivers’ travel behaviour is normal. Interviewee shows that no drivers will pay attention to the delivery routing. They are more care about to reduce the delivery time.</w:t>
      </w:r>
    </w:p>
    <w:p w14:paraId="05F860FB" w14:textId="77777777" w:rsidR="005400D8" w:rsidRPr="00A014FD" w:rsidRDefault="005400D8" w:rsidP="005400D8">
      <w:pPr>
        <w:rPr>
          <w:rFonts w:eastAsia="等线"/>
          <w:color w:val="000000"/>
          <w:sz w:val="22"/>
        </w:rPr>
      </w:pPr>
      <w:r w:rsidRPr="00A014FD">
        <w:rPr>
          <w:rFonts w:eastAsia="等线"/>
          <w:color w:val="000000"/>
          <w:sz w:val="22"/>
        </w:rPr>
        <w:t xml:space="preserve">Interviewee knows the BDS project helps company reduces the travel miles. But the interviewee thinks, Although the result of the travel mile reductions is very important to the research team and government, it is not very important in this company’s business. </w:t>
      </w:r>
    </w:p>
    <w:p w14:paraId="24AD23C6" w14:textId="77777777" w:rsidR="005400D8" w:rsidRPr="00A014FD" w:rsidRDefault="005400D8" w:rsidP="005400D8">
      <w:pPr>
        <w:rPr>
          <w:rFonts w:eastAsia="等线"/>
          <w:color w:val="000000"/>
          <w:sz w:val="22"/>
        </w:rPr>
      </w:pPr>
      <w:r w:rsidRPr="00A014FD">
        <w:rPr>
          <w:rFonts w:eastAsia="等线"/>
          <w:color w:val="000000"/>
          <w:sz w:val="22"/>
        </w:rPr>
        <w:t xml:space="preserve">In average, each platform will deliver two times each day. sometimes there are 3 or 4 delivery’s in some platform. From interviewee’s estimation, total numbers of delivery trip are at least 80. Delivery tips are depending on the quantities of goods arrives. From interviewee’s perspective, </w:t>
      </w:r>
      <w:r w:rsidRPr="00A014FD">
        <w:rPr>
          <w:rFonts w:eastAsia="等线"/>
          <w:color w:val="000000"/>
          <w:sz w:val="22"/>
        </w:rPr>
        <w:lastRenderedPageBreak/>
        <w:t xml:space="preserve">he does not hope too many delivery trips each day. Because they </w:t>
      </w:r>
      <w:proofErr w:type="gramStart"/>
      <w:r w:rsidRPr="00A014FD">
        <w:rPr>
          <w:rFonts w:eastAsia="等线"/>
          <w:color w:val="000000"/>
          <w:sz w:val="22"/>
        </w:rPr>
        <w:t>have to</w:t>
      </w:r>
      <w:proofErr w:type="gramEnd"/>
      <w:r w:rsidRPr="00A014FD">
        <w:rPr>
          <w:rFonts w:eastAsia="等线"/>
          <w:color w:val="000000"/>
          <w:sz w:val="22"/>
        </w:rPr>
        <w:t xml:space="preserve"> arrange trucks to the platforms for the extra deliveries.</w:t>
      </w:r>
    </w:p>
    <w:p w14:paraId="21422B50" w14:textId="77777777" w:rsidR="005400D8" w:rsidRPr="00A014FD" w:rsidRDefault="005400D8" w:rsidP="005400D8">
      <w:r w:rsidRPr="00A014FD">
        <w:t xml:space="preserve">Interviewee says that government does not invest any money on the consolidating </w:t>
      </w:r>
      <w:proofErr w:type="spellStart"/>
      <w:r w:rsidRPr="00A014FD">
        <w:t>delivey</w:t>
      </w:r>
      <w:proofErr w:type="spellEnd"/>
      <w:r w:rsidRPr="00A014FD">
        <w:t xml:space="preserve"> model. The money this company received from the government is the compensation for the business disruption from the BDS project. The total compensation in 2017 is 700000 RMB to recover the profit </w:t>
      </w:r>
      <w:proofErr w:type="spellStart"/>
      <w:r w:rsidRPr="00A014FD">
        <w:t>lost</w:t>
      </w:r>
      <w:proofErr w:type="spellEnd"/>
      <w:r w:rsidRPr="00A014FD">
        <w:t xml:space="preserve"> of the company B.</w:t>
      </w:r>
      <w:r>
        <w:t xml:space="preserve"> but it is only a small part of the income of this UCC project.</w:t>
      </w:r>
      <w:r w:rsidRPr="00A014FD">
        <w:t xml:space="preserve"> </w:t>
      </w:r>
    </w:p>
    <w:p w14:paraId="02846160" w14:textId="77777777" w:rsidR="005400D8" w:rsidRPr="00A014FD" w:rsidRDefault="005400D8" w:rsidP="005400D8">
      <w:r w:rsidRPr="00A014FD">
        <w:t>Besides the financial support, government provides free training for the WIF operation. This activity is benefit for this company to the website operating in the future.</w:t>
      </w:r>
    </w:p>
    <w:p w14:paraId="2B985407" w14:textId="77777777" w:rsidR="005400D8" w:rsidRPr="00A014FD" w:rsidRDefault="005400D8" w:rsidP="005400D8">
      <w:r w:rsidRPr="00A014FD">
        <w:t>“Average Staff Salary” in this company is the same as the average salary of the same jobs in other logistics companies in Wuhan City. This company provide free lunch for the drivers.</w:t>
      </w:r>
      <w:r>
        <w:t xml:space="preserve"> Staff salary is a large part of the expense of this company.</w:t>
      </w:r>
    </w:p>
    <w:p w14:paraId="0DDC5435" w14:textId="77777777" w:rsidR="005400D8" w:rsidRPr="00A014FD" w:rsidRDefault="005400D8" w:rsidP="005400D8">
      <w:r w:rsidRPr="00A014FD">
        <w:t xml:space="preserve">Shift working plan is implemented in this company. Worker’s Overtime Utilization is happening every day, Otherwise, the goods cannot be delivered on time. Company will give the bonus to the drivers and the platform workers in the end of the years. The </w:t>
      </w:r>
      <w:r w:rsidRPr="00A014FD">
        <w:rPr>
          <w:noProof/>
        </w:rPr>
        <w:t>bouns</w:t>
      </w:r>
      <w:r w:rsidRPr="00A014FD">
        <w:t xml:space="preserve"> amount depending on the total goods handled in the year. Workers are welcome this company’s </w:t>
      </w:r>
      <w:proofErr w:type="gramStart"/>
      <w:r w:rsidRPr="00A014FD">
        <w:rPr>
          <w:noProof/>
        </w:rPr>
        <w:t>policy,</w:t>
      </w:r>
      <w:r w:rsidRPr="00A014FD">
        <w:t xml:space="preserve"> because</w:t>
      </w:r>
      <w:proofErr w:type="gramEnd"/>
      <w:r w:rsidRPr="00A014FD">
        <w:t xml:space="preserve"> they can earn more money. At the end of 2015, the amount of the driver’s bonus is almost equal to the amount of the annual salary. Interviewee says if the workers agree, it is not illegal to work overtime every day in China.</w:t>
      </w:r>
    </w:p>
    <w:p w14:paraId="5897408E" w14:textId="77777777" w:rsidR="005400D8" w:rsidRPr="00A014FD" w:rsidRDefault="005400D8" w:rsidP="005400D8">
      <w:r w:rsidRPr="00A014FD">
        <w:t xml:space="preserve">Workers Commute Time (We talk about the Workers Commute Time through comparing Company A and Company B). Interviewee illustrates that they </w:t>
      </w:r>
      <w:proofErr w:type="spellStart"/>
      <w:r w:rsidRPr="00A014FD">
        <w:t>can not</w:t>
      </w:r>
      <w:proofErr w:type="spellEnd"/>
      <w:r w:rsidRPr="00A014FD">
        <w:t xml:space="preserve"> </w:t>
      </w:r>
      <w:proofErr w:type="spellStart"/>
      <w:r w:rsidRPr="00A014FD">
        <w:lastRenderedPageBreak/>
        <w:t>provides</w:t>
      </w:r>
      <w:proofErr w:type="spellEnd"/>
      <w:r w:rsidRPr="00A014FD">
        <w:t xml:space="preserve"> the accommodation for the </w:t>
      </w:r>
      <w:r w:rsidRPr="00A014FD">
        <w:rPr>
          <w:noProof/>
        </w:rPr>
        <w:t>drivers,</w:t>
      </w:r>
      <w:r w:rsidRPr="00A014FD">
        <w:t xml:space="preserve"> because company B has no money to buy the land and build the apartment. Interviewee thinks </w:t>
      </w:r>
      <w:r w:rsidRPr="00A014FD">
        <w:rPr>
          <w:noProof/>
        </w:rPr>
        <w:t>that,</w:t>
      </w:r>
      <w:r w:rsidRPr="00A014FD">
        <w:t xml:space="preserve"> the UCC of the company A is located outsides the 4</w:t>
      </w:r>
      <w:r w:rsidRPr="00A014FD">
        <w:rPr>
          <w:vertAlign w:val="superscript"/>
        </w:rPr>
        <w:t>th</w:t>
      </w:r>
      <w:r w:rsidRPr="00A014FD">
        <w:t xml:space="preserve"> elevated ring road. Their location is not easily access by the workers. But company B’s platforms are all located in the middle of the 3</w:t>
      </w:r>
      <w:r w:rsidRPr="00A014FD">
        <w:rPr>
          <w:vertAlign w:val="superscript"/>
        </w:rPr>
        <w:t>rd</w:t>
      </w:r>
      <w:r w:rsidRPr="00A014FD">
        <w:t xml:space="preserve"> and 4</w:t>
      </w:r>
      <w:r w:rsidRPr="00A014FD">
        <w:rPr>
          <w:vertAlign w:val="superscript"/>
        </w:rPr>
        <w:t>th</w:t>
      </w:r>
      <w:r w:rsidRPr="00A014FD">
        <w:t xml:space="preserve"> elevated ring road. Workers can easily access this place through the public transportation. All cargo platforms of company B are in different locations in Wuhan City. Most of workers are not working in the permanent place. Therefore, the accommodation is unnecessary.</w:t>
      </w:r>
    </w:p>
    <w:p w14:paraId="3D94767B" w14:textId="77777777" w:rsidR="005400D8" w:rsidRPr="00A014FD" w:rsidRDefault="005400D8" w:rsidP="005400D8">
      <w:r w:rsidRPr="00A014FD">
        <w:t>Under consolidating delivery model, each delivery trip will take average 3-5 hours. The delivery time does not change much by the date. Interviewee knows that BDS project can reduce the travel times of the delivery in Wuhan city. But interviewee does not know the details.</w:t>
      </w:r>
    </w:p>
    <w:p w14:paraId="03921FEF" w14:textId="77777777" w:rsidR="005400D8" w:rsidRPr="00A014FD" w:rsidRDefault="005400D8" w:rsidP="005400D8">
      <w:r w:rsidRPr="00A014FD">
        <w:t xml:space="preserve">On-street Parking is not allowed in Wuhan City. All the </w:t>
      </w:r>
      <w:proofErr w:type="gramStart"/>
      <w:r w:rsidRPr="00A014FD">
        <w:t>consignee</w:t>
      </w:r>
      <w:proofErr w:type="gramEnd"/>
      <w:r w:rsidRPr="00A014FD">
        <w:t xml:space="preserve"> can provide parking zones for the trucks, especially the cold chain consignees.</w:t>
      </w:r>
    </w:p>
    <w:p w14:paraId="7DCB53B4" w14:textId="77777777" w:rsidR="005400D8" w:rsidRPr="00D46EC4" w:rsidRDefault="005400D8" w:rsidP="00D46EC4">
      <w:pPr>
        <w:pStyle w:val="TableofFigures"/>
      </w:pPr>
      <w:r w:rsidRPr="00D46EC4">
        <w:t xml:space="preserve">The Interview with Project Manager of </w:t>
      </w:r>
      <w:proofErr w:type="spellStart"/>
      <w:r w:rsidRPr="00D46EC4">
        <w:t>HongChu</w:t>
      </w:r>
      <w:proofErr w:type="spellEnd"/>
    </w:p>
    <w:p w14:paraId="7C571A5F" w14:textId="77777777" w:rsidR="005400D8" w:rsidRPr="00D46EC4" w:rsidRDefault="005400D8" w:rsidP="00D46EC4">
      <w:pPr>
        <w:pStyle w:val="TableofFigures"/>
      </w:pPr>
      <w:r w:rsidRPr="00D46EC4">
        <w:t xml:space="preserve">Summarise of the </w:t>
      </w:r>
      <w:proofErr w:type="gramStart"/>
      <w:r w:rsidRPr="00D46EC4">
        <w:t>Interview</w:t>
      </w:r>
      <w:proofErr w:type="gramEnd"/>
    </w:p>
    <w:p w14:paraId="349BA3A0" w14:textId="77777777" w:rsidR="005400D8" w:rsidRPr="00A014FD" w:rsidRDefault="005400D8" w:rsidP="005400D8">
      <w:r w:rsidRPr="00A014FD">
        <w:t xml:space="preserve">Interviewee has been worked in the </w:t>
      </w:r>
      <w:proofErr w:type="spellStart"/>
      <w:r w:rsidRPr="00A014FD">
        <w:t>HongChu</w:t>
      </w:r>
      <w:proofErr w:type="spellEnd"/>
      <w:r w:rsidRPr="00A014FD">
        <w:t xml:space="preserve"> for three years and he has seven years working experience in the transportation industry. His daily work in this company is scheduling management for the freight trucks, human resources as well as equipment maintaining before </w:t>
      </w:r>
      <w:proofErr w:type="spellStart"/>
      <w:r w:rsidRPr="00A014FD">
        <w:t>HongChu</w:t>
      </w:r>
      <w:proofErr w:type="spellEnd"/>
      <w:r w:rsidRPr="00A014FD">
        <w:t xml:space="preserve"> join this project. The interviewee is responsible for the communicating of different stakeholders in this project. When expressed the details of </w:t>
      </w:r>
      <w:r w:rsidRPr="00A014FD">
        <w:lastRenderedPageBreak/>
        <w:t xml:space="preserve">the SUL and the consolidating delivery model. The interviewee does not think the purely consolidating delivery model can solve the environmental issues in Wuhan City. But interviewee thinks the BDS project can promote the environmental benefits of the freight transportation, because the new technology can significantly reduce the travel miles and alleviate the congestion. </w:t>
      </w:r>
    </w:p>
    <w:p w14:paraId="51E1075E" w14:textId="77777777" w:rsidR="005400D8" w:rsidRPr="00D46EC4" w:rsidRDefault="005400D8" w:rsidP="00D46EC4">
      <w:pPr>
        <w:pStyle w:val="TableofFigures"/>
      </w:pPr>
      <w:r w:rsidRPr="00D46EC4">
        <w:t xml:space="preserve">The Role of the Project Manager of </w:t>
      </w:r>
      <w:proofErr w:type="spellStart"/>
      <w:r w:rsidRPr="00D46EC4">
        <w:t>HongChu</w:t>
      </w:r>
      <w:proofErr w:type="spellEnd"/>
    </w:p>
    <w:p w14:paraId="40E47D9C" w14:textId="77777777" w:rsidR="005400D8" w:rsidRPr="00A014FD" w:rsidRDefault="005400D8" w:rsidP="005400D8">
      <w:r w:rsidRPr="00A014FD">
        <w:t xml:space="preserve">When the experiment is conducted, the interviewee must ensure that the experiment is carried out stably from the perspectives of the equipment, </w:t>
      </w:r>
      <w:proofErr w:type="gramStart"/>
      <w:r w:rsidRPr="00A014FD">
        <w:t>trucks</w:t>
      </w:r>
      <w:proofErr w:type="gramEnd"/>
      <w:r w:rsidRPr="00A014FD">
        <w:t xml:space="preserve"> and human resources. He arranges the vehicles with delivery task to the researchers in WHUT as experimental sample. During the interval between experiments, interviewee should keep all the laboratory equipment in a safe condition. He must also keep the communication between the government, the </w:t>
      </w:r>
      <w:proofErr w:type="gramStart"/>
      <w:r w:rsidRPr="00A014FD">
        <w:t>university</w:t>
      </w:r>
      <w:proofErr w:type="gramEnd"/>
      <w:r w:rsidRPr="00A014FD">
        <w:t xml:space="preserve"> and the enterprise in normal times.</w:t>
      </w:r>
    </w:p>
    <w:p w14:paraId="18B3A90F" w14:textId="77777777" w:rsidR="005400D8" w:rsidRPr="00D46EC4" w:rsidRDefault="005400D8" w:rsidP="00D46EC4">
      <w:pPr>
        <w:pStyle w:val="TableofFigures"/>
      </w:pPr>
      <w:r w:rsidRPr="00D46EC4">
        <w:t xml:space="preserve">Issues Complaint from Project Manager of </w:t>
      </w:r>
      <w:proofErr w:type="spellStart"/>
      <w:r w:rsidRPr="00D46EC4">
        <w:t>HongChu</w:t>
      </w:r>
      <w:proofErr w:type="spellEnd"/>
    </w:p>
    <w:p w14:paraId="3F6960B1" w14:textId="77777777" w:rsidR="005400D8" w:rsidRPr="00A014FD" w:rsidRDefault="005400D8" w:rsidP="005400D8">
      <w:r w:rsidRPr="00A014FD">
        <w:t>No specific issues are complaints about this interviewee.</w:t>
      </w:r>
    </w:p>
    <w:p w14:paraId="48AF41A3" w14:textId="77777777" w:rsidR="005400D8" w:rsidRPr="00D46EC4" w:rsidRDefault="005400D8" w:rsidP="00D46EC4">
      <w:pPr>
        <w:pStyle w:val="TableofFigures"/>
      </w:pPr>
      <w:r w:rsidRPr="00D46EC4">
        <w:t xml:space="preserve">Opinions from Project Manager of </w:t>
      </w:r>
      <w:proofErr w:type="spellStart"/>
      <w:r w:rsidRPr="00D46EC4">
        <w:t>HongChu</w:t>
      </w:r>
      <w:proofErr w:type="spellEnd"/>
    </w:p>
    <w:p w14:paraId="0675F42B" w14:textId="77777777" w:rsidR="005400D8" w:rsidRPr="00A014FD" w:rsidRDefault="005400D8" w:rsidP="005400D8">
      <w:pPr>
        <w:rPr>
          <w:rFonts w:eastAsia="等线"/>
          <w:color w:val="000000"/>
        </w:rPr>
      </w:pPr>
      <w:r w:rsidRPr="0000015A">
        <w:t>The interviewee does not understand the details “Annual Operating Cost” and</w:t>
      </w:r>
      <w:r w:rsidRPr="00A014FD">
        <w:rPr>
          <w:rFonts w:eastAsia="等线"/>
          <w:color w:val="000000"/>
        </w:rPr>
        <w:t xml:space="preserve"> “Annual Revenues”. During the daily work, Company </w:t>
      </w:r>
      <w:proofErr w:type="gramStart"/>
      <w:r w:rsidRPr="00A014FD">
        <w:rPr>
          <w:rFonts w:eastAsia="等线"/>
          <w:color w:val="000000"/>
        </w:rPr>
        <w:t>provide</w:t>
      </w:r>
      <w:proofErr w:type="gramEnd"/>
      <w:r w:rsidRPr="00A014FD">
        <w:rPr>
          <w:rFonts w:eastAsia="等线"/>
          <w:color w:val="000000"/>
        </w:rPr>
        <w:t xml:space="preserve"> the price list to the intercity shippers. Company allows the intercity shippers to negotiate the delivery price. The final transportation price cannot be lower than the minimum freight price allowed by the company B. (Interviewee knows the minimum freight price, it is a business secret, and cannot be overt)</w:t>
      </w:r>
    </w:p>
    <w:p w14:paraId="7624C2F3" w14:textId="77777777" w:rsidR="005400D8" w:rsidRPr="00A014FD" w:rsidRDefault="005400D8" w:rsidP="005400D8">
      <w:r w:rsidRPr="00A014FD">
        <w:rPr>
          <w:rFonts w:eastAsia="等线"/>
          <w:color w:val="000000"/>
        </w:rPr>
        <w:lastRenderedPageBreak/>
        <w:t xml:space="preserve">Interviewee knows that “Typical Delivery Price” </w:t>
      </w:r>
      <w:r w:rsidRPr="00A014FD">
        <w:t xml:space="preserve">from this company for ordinary goods delivery is 30%-50% higher than the price charged from self-employed drivers. Interviewee knows freight companies has higher operating cost than the self-employed companies. </w:t>
      </w:r>
      <w:proofErr w:type="gramStart"/>
      <w:r>
        <w:t>But,</w:t>
      </w:r>
      <w:proofErr w:type="gramEnd"/>
      <w:r>
        <w:t xml:space="preserve"> interviewee did not participant the price setting.</w:t>
      </w:r>
    </w:p>
    <w:p w14:paraId="7B57E05B" w14:textId="77777777" w:rsidR="005400D8" w:rsidRPr="00A014FD" w:rsidRDefault="005400D8" w:rsidP="005400D8">
      <w:r w:rsidRPr="00A014FD">
        <w:t xml:space="preserve">The interviewee agrees with the chair’s description on the indicators of </w:t>
      </w:r>
      <w:r w:rsidRPr="00A014FD">
        <w:rPr>
          <w:rFonts w:eastAsia="等线"/>
          <w:color w:val="000000"/>
        </w:rPr>
        <w:t xml:space="preserve">“Infrastructure Surface Usage Rate”, “Goods Handled per Full-Time Equivalent Employee”, “Delivery Accuracy Rate” and “Lead Time for Goods Delivery from UCC to its Users”. Interviewee thinks the company B has a high logistics efficiency. </w:t>
      </w:r>
    </w:p>
    <w:p w14:paraId="7546FB77" w14:textId="77777777" w:rsidR="005400D8" w:rsidRPr="00A014FD" w:rsidRDefault="005400D8" w:rsidP="005400D8">
      <w:r w:rsidRPr="00A014FD">
        <w:t>Interviewee agree with the Chair’s opinion on “Public Financial Investment”, “Total Travel time in City Centre”, “Time for On-street Parking”.</w:t>
      </w:r>
    </w:p>
    <w:p w14:paraId="3F2A0089" w14:textId="77777777" w:rsidR="005400D8" w:rsidRPr="00A014FD" w:rsidRDefault="005400D8" w:rsidP="005400D8">
      <w:r w:rsidRPr="00A014FD">
        <w:t>Interviewee is satisfied with the salary and the overtime utilisation. He thinks the policy of “More pay for more work.” As a manager, interviewee workers 6.5 days per week. The total working time is much more than drivers and platform workers (these workers need enough rest after the daily work). But interviewee is happy with that</w:t>
      </w:r>
      <w:r w:rsidRPr="00A014FD">
        <w:rPr>
          <w:noProof/>
        </w:rPr>
        <w:t>, he</w:t>
      </w:r>
      <w:r w:rsidRPr="00A014FD">
        <w:t xml:space="preserve"> can </w:t>
      </w:r>
      <w:proofErr w:type="gramStart"/>
      <w:r w:rsidRPr="00A014FD">
        <w:t>earns</w:t>
      </w:r>
      <w:proofErr w:type="gramEnd"/>
      <w:r w:rsidRPr="00A014FD">
        <w:t xml:space="preserve"> more money every year.</w:t>
      </w:r>
    </w:p>
    <w:p w14:paraId="49636ECC" w14:textId="77777777" w:rsidR="005400D8" w:rsidRPr="00A014FD" w:rsidRDefault="005400D8" w:rsidP="005400D8">
      <w:r w:rsidRPr="00A014FD">
        <w:t xml:space="preserve">Interviewee is working in the office of the company B, this office located in the city centre. So normally the commute time is half an hour. Company B allows drivers to drive the trucks to their home after </w:t>
      </w:r>
      <w:r w:rsidRPr="00A014FD">
        <w:rPr>
          <w:noProof/>
        </w:rPr>
        <w:t>work,</w:t>
      </w:r>
      <w:r w:rsidRPr="00A014FD">
        <w:t xml:space="preserve"> if drivers think they can find parking zones near home. This policy gives a high flexibility and convenient for drivers to travel to different cargo stations in Wuhan.</w:t>
      </w:r>
    </w:p>
    <w:p w14:paraId="069E5896" w14:textId="77777777" w:rsidR="005400D8" w:rsidRPr="00A014FD" w:rsidRDefault="005400D8" w:rsidP="005400D8"/>
    <w:p w14:paraId="03B9291E" w14:textId="77777777" w:rsidR="005400D8" w:rsidRPr="00D46EC4" w:rsidRDefault="005400D8" w:rsidP="00D46EC4">
      <w:pPr>
        <w:pStyle w:val="TableofFigures"/>
      </w:pPr>
      <w:r w:rsidRPr="00D46EC4">
        <w:lastRenderedPageBreak/>
        <w:t>The Interview with Professor of WHUT</w:t>
      </w:r>
    </w:p>
    <w:p w14:paraId="716B2755" w14:textId="77777777" w:rsidR="005400D8" w:rsidRPr="00D46EC4" w:rsidRDefault="005400D8" w:rsidP="00D46EC4">
      <w:pPr>
        <w:pStyle w:val="TableofFigures"/>
      </w:pPr>
      <w:r w:rsidRPr="00D46EC4">
        <w:t xml:space="preserve">Summarise of the </w:t>
      </w:r>
      <w:proofErr w:type="gramStart"/>
      <w:r w:rsidRPr="00D46EC4">
        <w:t>Interview</w:t>
      </w:r>
      <w:proofErr w:type="gramEnd"/>
    </w:p>
    <w:p w14:paraId="36D0D400" w14:textId="77777777" w:rsidR="005400D8" w:rsidRPr="00A014FD" w:rsidRDefault="005400D8" w:rsidP="005400D8">
      <w:r w:rsidRPr="00A014FD">
        <w:t xml:space="preserve">Interviewee is a professor for logistics engineering in WHUT, he has been worked in the research areas of innovation of logistics equipment. Interviewee understand the concept of the sustainable urban logistics. His current research program is to solve environmental problems in logistics activities, such as reduce the emission, fuel consumption, noise generation and waste generation. The interviewee knows the details of the consolidating delivery model. He thinks the consolidating delivery model has no benefits on the environment under the status of freight transportation in Wuhan. But from the experiment result, the BDS significantly reduces the truck travel miles in the city centre. </w:t>
      </w:r>
      <w:proofErr w:type="gramStart"/>
      <w:r w:rsidRPr="00A014FD">
        <w:t>Interviewee</w:t>
      </w:r>
      <w:proofErr w:type="gramEnd"/>
      <w:r w:rsidRPr="00A014FD">
        <w:t xml:space="preserve"> discuss the sustainable urban logistics from the perspective of purely consolidating delivery model and the technology perspectives.</w:t>
      </w:r>
    </w:p>
    <w:p w14:paraId="0461E20A" w14:textId="77777777" w:rsidR="005400D8" w:rsidRPr="00D46EC4" w:rsidRDefault="005400D8" w:rsidP="00D46EC4">
      <w:pPr>
        <w:pStyle w:val="TableofFigures"/>
      </w:pPr>
      <w:r w:rsidRPr="00D46EC4">
        <w:t>The Role of the WHUT</w:t>
      </w:r>
    </w:p>
    <w:p w14:paraId="3A294B89" w14:textId="77777777" w:rsidR="005400D8" w:rsidRPr="00A014FD" w:rsidRDefault="005400D8" w:rsidP="005400D8">
      <w:r w:rsidRPr="00A014FD">
        <w:t>The researcher and his team applied the chance to evaluate the performance of the integrated BDS and FIW from the Chinese research institution. They received the funds from the government. Their team use the experimental data to evaluate the BDS system from both commercial and technology aspects. In the end of this project, they will submit assessment report to the government to assist the government's future decisions-making process.</w:t>
      </w:r>
    </w:p>
    <w:p w14:paraId="5D439F8F" w14:textId="77777777" w:rsidR="005400D8" w:rsidRPr="00D46EC4" w:rsidRDefault="005400D8" w:rsidP="00D46EC4">
      <w:pPr>
        <w:pStyle w:val="TableofFigures"/>
      </w:pPr>
      <w:r w:rsidRPr="00D46EC4">
        <w:t>Issues Complaint from WHUT</w:t>
      </w:r>
    </w:p>
    <w:p w14:paraId="064D1428" w14:textId="77777777" w:rsidR="005400D8" w:rsidRPr="00097FB4" w:rsidRDefault="005400D8" w:rsidP="00097FB4">
      <w:pPr>
        <w:spacing w:before="240" w:after="240"/>
        <w:rPr>
          <w:rFonts w:eastAsia="宋体"/>
        </w:rPr>
      </w:pPr>
      <w:r w:rsidRPr="0000015A">
        <w:lastRenderedPageBreak/>
        <w:t>The barriers of the purely consolidating delivery model: interviewee illustrates that, 99% of the intercity delivery trucks are overloading (100% to 500</w:t>
      </w:r>
      <w:r w:rsidRPr="00097FB4">
        <w:rPr>
          <w:rFonts w:eastAsia="宋体"/>
        </w:rPr>
        <w:t xml:space="preserve">%). Under the delivery model 1, the carriers in the urban areas must provide the trucks which is the same as the size of the intercity truck to transfer these goods into the city. Therefore, the travel miles and fuel consumption of the urban trucks is purely the same as the intercity trucks. Under the delivery model 2, in theory, goods should be merged </w:t>
      </w:r>
      <w:proofErr w:type="gramStart"/>
      <w:r w:rsidRPr="00097FB4">
        <w:rPr>
          <w:rFonts w:eastAsia="宋体"/>
        </w:rPr>
        <w:t>in to</w:t>
      </w:r>
      <w:proofErr w:type="gramEnd"/>
      <w:r w:rsidRPr="00097FB4">
        <w:rPr>
          <w:rFonts w:eastAsia="宋体"/>
        </w:rPr>
        <w:t xml:space="preserve"> smaller vehicles to delivery into city. But practically, no carriers will do this in the cargo station. Carriers will not buy small size trucks, because small size trucks cannot deal with the transhipment tasks in deliver model 1. All carriers will use the same size truck as the intercity transport truck for urban delivery. Carriers will merge the goods as much as possible, normally 100% to 500% over loading. This truck will travel to multiple destinations in the city. From the research experience of interviewee, the total travel miles of the inner-city trucks will not less than the travel miles generated by intercity trucks that carriers these goods. </w:t>
      </w:r>
    </w:p>
    <w:p w14:paraId="560B08E3" w14:textId="77777777" w:rsidR="005400D8" w:rsidRPr="00A014FD" w:rsidRDefault="005400D8" w:rsidP="00097FB4">
      <w:pPr>
        <w:spacing w:before="240" w:after="240"/>
        <w:rPr>
          <w:iCs/>
        </w:rPr>
      </w:pPr>
      <w:r w:rsidRPr="00097FB4">
        <w:rPr>
          <w:rFonts w:eastAsia="宋体"/>
        </w:rPr>
        <w:t>Obstacles in the process of commercialization.</w:t>
      </w:r>
      <w:r w:rsidRPr="00A014FD">
        <w:rPr>
          <w:iCs/>
        </w:rPr>
        <w:t xml:space="preserve"> In the experiment, the BDS helps the company B reduces the travel miles and fuel consumption. From the feedback of the survey, drivers are not welcome the BDS, because it actively gives suggestions, which makes the drivers uncomfortable. The interviewee cannot ensure whether the driver will use the </w:t>
      </w:r>
      <w:r w:rsidRPr="00A014FD">
        <w:rPr>
          <w:iCs/>
          <w:noProof/>
        </w:rPr>
        <w:t>system,</w:t>
      </w:r>
      <w:r w:rsidRPr="00A014FD">
        <w:rPr>
          <w:iCs/>
        </w:rPr>
        <w:t xml:space="preserve"> when the BDS is run commercially. The driver prefers the general </w:t>
      </w:r>
      <w:r w:rsidRPr="00A014FD">
        <w:rPr>
          <w:iCs/>
        </w:rPr>
        <w:lastRenderedPageBreak/>
        <w:t>navigation application (</w:t>
      </w:r>
      <w:proofErr w:type="gramStart"/>
      <w:r w:rsidRPr="00A014FD">
        <w:rPr>
          <w:iCs/>
        </w:rPr>
        <w:t>e.g.</w:t>
      </w:r>
      <w:proofErr w:type="gramEnd"/>
      <w:r w:rsidRPr="00A014FD">
        <w:rPr>
          <w:iCs/>
        </w:rPr>
        <w:t xml:space="preserve"> Baidu Map and AutoNavi), these systems passively adjust the route according to the driver's choice.</w:t>
      </w:r>
    </w:p>
    <w:p w14:paraId="0060DBD0" w14:textId="77777777" w:rsidR="005400D8" w:rsidRPr="00A014FD" w:rsidRDefault="005400D8" w:rsidP="005400D8">
      <w:r w:rsidRPr="00A014FD">
        <w:rPr>
          <w:iCs/>
          <w:noProof/>
        </w:rPr>
        <w:t>Issues</w:t>
      </w:r>
      <w:r w:rsidRPr="00A014FD">
        <w:rPr>
          <w:iCs/>
        </w:rPr>
        <w:t xml:space="preserve"> from the consignee and consignor in the city. The purpose of this system is to eliminate carriers’ </w:t>
      </w:r>
      <w:r w:rsidRPr="00A014FD">
        <w:t xml:space="preserve">“empty-loading return”. The premise of the success of the experiment is that there </w:t>
      </w:r>
      <w:proofErr w:type="gramStart"/>
      <w:r w:rsidRPr="00A014FD">
        <w:t>is</w:t>
      </w:r>
      <w:proofErr w:type="gramEnd"/>
      <w:r w:rsidRPr="00A014FD">
        <w:t xml:space="preserve"> enough consignors in the city are willing to use the FIW. Currently, only 12 trucks are implemented in the experiment, the numbers cold chain customers of the company B in the city are sufficient to support this system. It is impossible to ensure that enough consignors are willing to use this system in practical operation.</w:t>
      </w:r>
    </w:p>
    <w:p w14:paraId="1EDD6AE5" w14:textId="77777777" w:rsidR="005400D8" w:rsidRPr="0000015A" w:rsidRDefault="005400D8" w:rsidP="005400D8">
      <w:r w:rsidRPr="00A014FD">
        <w:rPr>
          <w:iCs/>
        </w:rPr>
        <w:t xml:space="preserve">This BDS system is focus on the future. Currently, there are many </w:t>
      </w:r>
      <w:r w:rsidRPr="00A014FD">
        <w:rPr>
          <w:iCs/>
          <w:noProof/>
        </w:rPr>
        <w:t>technology</w:t>
      </w:r>
      <w:r w:rsidRPr="00A014FD">
        <w:rPr>
          <w:iCs/>
        </w:rPr>
        <w:t xml:space="preserve"> issues. </w:t>
      </w:r>
      <w:r w:rsidRPr="00A014FD">
        <w:rPr>
          <w:iCs/>
          <w:noProof/>
        </w:rPr>
        <w:t>Such as, the delays of the image display, issues in signal, reliability of the equipment and App, etc.</w:t>
      </w:r>
      <w:r w:rsidRPr="00A014FD">
        <w:rPr>
          <w:iCs/>
        </w:rPr>
        <w:t xml:space="preserve"> These problems are to be solved through technological innovations in the </w:t>
      </w:r>
      <w:r w:rsidRPr="0000015A">
        <w:t>future.</w:t>
      </w:r>
    </w:p>
    <w:p w14:paraId="2F5A8CBD" w14:textId="77777777" w:rsidR="005400D8" w:rsidRPr="00D46EC4" w:rsidRDefault="005400D8" w:rsidP="00D46EC4">
      <w:pPr>
        <w:pStyle w:val="TableofFigures"/>
      </w:pPr>
      <w:r w:rsidRPr="00D46EC4">
        <w:t>Opinions from WHUT</w:t>
      </w:r>
    </w:p>
    <w:p w14:paraId="3FD603B4" w14:textId="77777777" w:rsidR="005400D8" w:rsidRPr="00A014FD" w:rsidRDefault="005400D8" w:rsidP="005400D8">
      <w:pPr>
        <w:rPr>
          <w:iCs/>
        </w:rPr>
      </w:pPr>
      <w:r w:rsidRPr="0000015A">
        <w:t xml:space="preserve">Interviewee illustrates that the research team join this project with this company for the academic purpose, they do not know the financial status of the company B. they willing to promote the company B’s business through this project. such as upgrades the FIW and helping the company B reduce the operation cost. Although the experiment’s result is very good, </w:t>
      </w:r>
      <w:proofErr w:type="gramStart"/>
      <w:r w:rsidRPr="0000015A">
        <w:t>the final result</w:t>
      </w:r>
      <w:proofErr w:type="gramEnd"/>
      <w:r w:rsidRPr="0000015A">
        <w:t xml:space="preserve"> of the system’s</w:t>
      </w:r>
      <w:r w:rsidRPr="00A014FD">
        <w:rPr>
          <w:iCs/>
        </w:rPr>
        <w:t xml:space="preserve"> commercialization is uncertain. </w:t>
      </w:r>
      <w:r w:rsidRPr="00A014FD">
        <w:rPr>
          <w:iCs/>
        </w:rPr>
        <w:lastRenderedPageBreak/>
        <w:t xml:space="preserve">Interviewees knows this research will base on the AHP, from his opinion, interviewee thinks the importance of all economic indicator are equal with </w:t>
      </w:r>
      <w:proofErr w:type="gramStart"/>
      <w:r w:rsidRPr="00A014FD">
        <w:rPr>
          <w:iCs/>
        </w:rPr>
        <w:t>each other</w:t>
      </w:r>
      <w:proofErr w:type="gramEnd"/>
      <w:r w:rsidRPr="00A014FD">
        <w:rPr>
          <w:iCs/>
        </w:rPr>
        <w:t xml:space="preserve"> </w:t>
      </w:r>
    </w:p>
    <w:p w14:paraId="1058F074" w14:textId="77777777" w:rsidR="005400D8" w:rsidRPr="00A014FD" w:rsidRDefault="005400D8" w:rsidP="005400D8">
      <w:r w:rsidRPr="00A014FD">
        <w:t>Interviewee participated in the company's experiment to evaluate the performance of electric vehicles. He agrees with the opinion from the Chair of this company. Interviewee says the seriously problems for the Electrical trucks are: (</w:t>
      </w:r>
      <w:proofErr w:type="spellStart"/>
      <w:r w:rsidRPr="00A014FD">
        <w:t>i</w:t>
      </w:r>
      <w:proofErr w:type="spellEnd"/>
      <w:r w:rsidRPr="00A014FD">
        <w:t xml:space="preserve">) the battery’s power. In the current situation, the electric truck cannot meet the minimum travel distance requirement in the experiment. In commercial activities, trucks need to carry more goods and deliver to more customers than the experiment; (ii) Long-waiting time for truck charging will lead to the goods cannot be delivered efficiently. </w:t>
      </w:r>
      <w:proofErr w:type="gramStart"/>
      <w:r w:rsidRPr="00A014FD">
        <w:t>In order to</w:t>
      </w:r>
      <w:proofErr w:type="gramEnd"/>
      <w:r w:rsidRPr="00A014FD">
        <w:t xml:space="preserve"> solve this issue, company should buy spare electrical trucks, which increased the operating cost; (iii) The overall expense of the electrical trucks is higher than that of the traditional trucks. most fast-charger piles are operated by private companies. although the charging price is lower when comparing with the fossil fuel, this price is much expensive than companies to charge in its platform.  From the interviewee’s opinion using the electrical trucks means enterprise spending more money to buy a low efficiency equipment for their business, no one will do this in the practical.</w:t>
      </w:r>
    </w:p>
    <w:p w14:paraId="3F0D405F" w14:textId="77777777" w:rsidR="005400D8" w:rsidRPr="00A014FD" w:rsidRDefault="005400D8" w:rsidP="005400D8">
      <w:r w:rsidRPr="00A014FD">
        <w:t xml:space="preserve">Interviewee understands </w:t>
      </w:r>
      <w:proofErr w:type="gramStart"/>
      <w:r w:rsidRPr="00A014FD">
        <w:t>all of</w:t>
      </w:r>
      <w:proofErr w:type="gramEnd"/>
      <w:r w:rsidRPr="00A014FD">
        <w:t xml:space="preserve"> the delivery trucks are overloading, the “Truck Loading Rate” normally 200%+. Interviewee knows it is bad for road safety</w:t>
      </w:r>
      <w:r w:rsidRPr="00A014FD">
        <w:rPr>
          <w:noProof/>
        </w:rPr>
        <w:t>, meanwhile</w:t>
      </w:r>
      <w:r w:rsidRPr="00A014FD">
        <w:t xml:space="preserve">, the conditions of the trucks will be damaged. It is not the research target to reduce the truck overloading by BDS project. Interviewees says the all the trucks for the BDS are less than 100% loading rate. As a result, the company’s logistics efficiency has decreased. </w:t>
      </w:r>
      <w:r w:rsidRPr="00A014FD">
        <w:lastRenderedPageBreak/>
        <w:t xml:space="preserve">Government will pay the compensation of the profit loss for the company. Logistics companies reduce costs and increase efficiency through overloading. Government cannot effectively monitor </w:t>
      </w:r>
      <w:proofErr w:type="gramStart"/>
      <w:r w:rsidRPr="00A014FD">
        <w:t>this issues</w:t>
      </w:r>
      <w:proofErr w:type="gramEnd"/>
      <w:r w:rsidRPr="00A014FD">
        <w:t>, so it is inevitable</w:t>
      </w:r>
    </w:p>
    <w:p w14:paraId="7A6B591F" w14:textId="77777777" w:rsidR="005400D8" w:rsidRPr="00A014FD" w:rsidRDefault="005400D8" w:rsidP="005400D8">
      <w:pPr>
        <w:rPr>
          <w:rFonts w:eastAsia="等线"/>
          <w:color w:val="000000"/>
          <w:sz w:val="22"/>
        </w:rPr>
      </w:pPr>
      <w:r w:rsidRPr="00A014FD">
        <w:rPr>
          <w:rFonts w:eastAsia="等线"/>
          <w:color w:val="000000"/>
          <w:sz w:val="22"/>
        </w:rPr>
        <w:t xml:space="preserve">Reduce the Travel Miles in Urban Areas is the core target of this project. this project significantly reduces about 30% of the travel miles in the city. Interviewee knows </w:t>
      </w:r>
      <w:proofErr w:type="gramStart"/>
      <w:r w:rsidRPr="00A014FD">
        <w:rPr>
          <w:rFonts w:eastAsia="等线"/>
          <w:color w:val="000000"/>
          <w:sz w:val="22"/>
        </w:rPr>
        <w:t>these system</w:t>
      </w:r>
      <w:proofErr w:type="gramEnd"/>
      <w:r w:rsidRPr="00A014FD">
        <w:rPr>
          <w:rFonts w:eastAsia="等线"/>
          <w:color w:val="000000"/>
          <w:sz w:val="22"/>
        </w:rPr>
        <w:t xml:space="preserve"> is not as popular as some mobile navigation App. The vehicle drivers need time to adapt to using the system. </w:t>
      </w:r>
      <w:proofErr w:type="gramStart"/>
      <w:r w:rsidRPr="00A014FD">
        <w:rPr>
          <w:rFonts w:eastAsia="等线"/>
          <w:color w:val="000000"/>
          <w:sz w:val="22"/>
        </w:rPr>
        <w:t>As a researcher, interviewee</w:t>
      </w:r>
      <w:proofErr w:type="gramEnd"/>
      <w:r w:rsidRPr="00A014FD">
        <w:rPr>
          <w:rFonts w:eastAsia="等线"/>
          <w:color w:val="000000"/>
          <w:sz w:val="22"/>
        </w:rPr>
        <w:t xml:space="preserve"> understands that there are many difficulties in popularizing this system in a short period of time. </w:t>
      </w:r>
      <w:proofErr w:type="gramStart"/>
      <w:r w:rsidRPr="00A014FD">
        <w:rPr>
          <w:rFonts w:eastAsia="等线"/>
          <w:color w:val="000000"/>
          <w:sz w:val="22"/>
        </w:rPr>
        <w:t>But,</w:t>
      </w:r>
      <w:proofErr w:type="gramEnd"/>
      <w:r w:rsidRPr="00A014FD">
        <w:rPr>
          <w:rFonts w:eastAsia="等线"/>
          <w:color w:val="000000"/>
          <w:sz w:val="22"/>
        </w:rPr>
        <w:t xml:space="preserve"> the implementation of this system has an encouraging prospect for development in the freight transportation industry. it does help the companies reduce the delivery cost.</w:t>
      </w:r>
    </w:p>
    <w:p w14:paraId="0346E796" w14:textId="77777777" w:rsidR="005400D8" w:rsidRPr="00A014FD" w:rsidRDefault="005400D8" w:rsidP="005400D8">
      <w:pPr>
        <w:rPr>
          <w:rFonts w:eastAsia="等线"/>
          <w:color w:val="000000"/>
          <w:sz w:val="22"/>
        </w:rPr>
      </w:pPr>
      <w:r w:rsidRPr="00A014FD">
        <w:rPr>
          <w:rFonts w:eastAsia="等线"/>
          <w:color w:val="000000"/>
          <w:sz w:val="22"/>
        </w:rPr>
        <w:t xml:space="preserve">Number of Delivery Trips per Day is depending on the quantities of goods arrives, this experiment uses trucks with normal goods loading rate. </w:t>
      </w:r>
      <w:proofErr w:type="gramStart"/>
      <w:r w:rsidRPr="00A014FD">
        <w:rPr>
          <w:rFonts w:eastAsia="等线"/>
          <w:color w:val="000000"/>
          <w:sz w:val="22"/>
        </w:rPr>
        <w:t>So</w:t>
      </w:r>
      <w:proofErr w:type="gramEnd"/>
      <w:r w:rsidRPr="00A014FD">
        <w:rPr>
          <w:rFonts w:eastAsia="等线"/>
          <w:color w:val="000000"/>
          <w:sz w:val="22"/>
        </w:rPr>
        <w:t xml:space="preserve"> this this experiment increases the numbers of the delivery trips of the company.</w:t>
      </w:r>
    </w:p>
    <w:p w14:paraId="522F1991" w14:textId="77777777" w:rsidR="005400D8" w:rsidRPr="00A014FD" w:rsidRDefault="005400D8" w:rsidP="005400D8">
      <w:r w:rsidRPr="00A014FD">
        <w:t xml:space="preserve">Interviewee says that government does not invest any money on the consolidating delivery model. The money company B received from the government is the compensation for the business disruption from the BDS project. Interviewee thinks the total compensation for the company B is more than the profit </w:t>
      </w:r>
      <w:r w:rsidRPr="00A014FD">
        <w:rPr>
          <w:noProof/>
        </w:rPr>
        <w:t>lost</w:t>
      </w:r>
      <w:r w:rsidRPr="00A014FD">
        <w:t xml:space="preserve"> of the company B (private conversation with the Chair of company B). The BDS project is a </w:t>
      </w:r>
      <w:r w:rsidRPr="00A014FD">
        <w:rPr>
          <w:noProof/>
        </w:rPr>
        <w:t>public</w:t>
      </w:r>
      <w:r w:rsidRPr="00A014FD">
        <w:t xml:space="preserve"> funded project</w:t>
      </w:r>
      <w:r w:rsidRPr="00A014FD">
        <w:rPr>
          <w:noProof/>
        </w:rPr>
        <w:t>, interviewee</w:t>
      </w:r>
      <w:r w:rsidRPr="00A014FD">
        <w:t xml:space="preserve"> also received funding from the government. Public funding is very important to this project.</w:t>
      </w:r>
    </w:p>
    <w:p w14:paraId="73F4B2BB" w14:textId="77777777" w:rsidR="005400D8" w:rsidRPr="00A014FD" w:rsidRDefault="005400D8" w:rsidP="005400D8">
      <w:r w:rsidRPr="00A014FD">
        <w:lastRenderedPageBreak/>
        <w:t>Interviewee think the indicators of “Average Staff Salary”, “Worker’s Overtime Utilization” and “Workers Commute Time” is not in the consideration of the BDS project.</w:t>
      </w:r>
    </w:p>
    <w:p w14:paraId="0D79A5B9" w14:textId="77777777" w:rsidR="005400D8" w:rsidRPr="00A014FD" w:rsidRDefault="005400D8" w:rsidP="005400D8">
      <w:r w:rsidRPr="00A014FD">
        <w:t xml:space="preserve">Reducing the “Total Travel time in City Centre” is another main target of the BDS project. This project willing to help the drivers to avoid the traffic congestions to reduce the vehicle’s on street stopping time. Currently, the research result is acceptable. It can reduce about 20minutes of the delivery. </w:t>
      </w:r>
      <w:proofErr w:type="gramStart"/>
      <w:r w:rsidRPr="00A014FD">
        <w:t>So</w:t>
      </w:r>
      <w:proofErr w:type="gramEnd"/>
      <w:r w:rsidRPr="00A014FD">
        <w:t xml:space="preserve"> this indicator is very important for the BDS project.</w:t>
      </w:r>
    </w:p>
    <w:p w14:paraId="0ED7725E" w14:textId="607AC121" w:rsidR="005400D8" w:rsidRDefault="005400D8" w:rsidP="005400D8">
      <w:r w:rsidRPr="00A014FD">
        <w:t xml:space="preserve">Interviewee agree with the chair’s opinion on the “Time for On-street </w:t>
      </w:r>
      <w:proofErr w:type="gramStart"/>
      <w:r w:rsidRPr="00A014FD">
        <w:rPr>
          <w:noProof/>
        </w:rPr>
        <w:t>Parking</w:t>
      </w:r>
      <w:r w:rsidRPr="00A014FD">
        <w:t>”</w:t>
      </w:r>
      <w:proofErr w:type="gramEnd"/>
    </w:p>
    <w:p w14:paraId="604FE6A7" w14:textId="77777777" w:rsidR="005400D8" w:rsidRDefault="005400D8">
      <w:r>
        <w:br w:type="page"/>
      </w:r>
    </w:p>
    <w:p w14:paraId="15FE8681" w14:textId="04068A17" w:rsidR="005400D8" w:rsidRPr="00006BF6" w:rsidRDefault="005400D8" w:rsidP="00474515">
      <w:pPr>
        <w:pStyle w:val="Heading2"/>
        <w:numPr>
          <w:ilvl w:val="0"/>
          <w:numId w:val="0"/>
        </w:numPr>
        <w:spacing w:after="163"/>
        <w:ind w:left="576" w:hanging="576"/>
      </w:pPr>
      <w:bookmarkStart w:id="1280" w:name="_Toc46053524"/>
      <w:bookmarkStart w:id="1281" w:name="_Toc46093438"/>
      <w:bookmarkStart w:id="1282" w:name="_Toc46093721"/>
      <w:bookmarkStart w:id="1283" w:name="_Toc66703297"/>
      <w:r>
        <w:lastRenderedPageBreak/>
        <w:t>Appendix</w:t>
      </w:r>
      <w:r w:rsidR="00704B82">
        <w:t xml:space="preserve"> VII</w:t>
      </w:r>
      <w:r w:rsidR="007D1AE2">
        <w:rPr>
          <w:rFonts w:hint="eastAsia"/>
        </w:rPr>
        <w:t>I</w:t>
      </w:r>
      <w:r w:rsidR="00704B82">
        <w:t>: Numerical Experiment</w:t>
      </w:r>
      <w:bookmarkEnd w:id="1280"/>
      <w:bookmarkEnd w:id="1281"/>
      <w:bookmarkEnd w:id="1282"/>
      <w:bookmarkEnd w:id="1283"/>
    </w:p>
    <w:p w14:paraId="55762750" w14:textId="77777777" w:rsidR="0002461D" w:rsidRPr="006C427E" w:rsidRDefault="0002461D" w:rsidP="0002461D">
      <w:r>
        <w:rPr>
          <w:noProof/>
        </w:rPr>
        <w:object w:dxaOrig="10581" w:dyaOrig="12561" w14:anchorId="422AC552">
          <v:shape id="_x0000_i1044" type="#_x0000_t75" style="width:453.9pt;height:532.6pt" o:ole="">
            <v:imagedata r:id="rId166" o:title=""/>
          </v:shape>
          <o:OLEObject Type="Embed" ProgID="Visio.Drawing.15" ShapeID="_x0000_i1044" DrawAspect="Content" ObjectID="_1681648051" r:id="rId167"/>
        </w:object>
      </w:r>
    </w:p>
    <w:p w14:paraId="30CF0427" w14:textId="348086DB" w:rsidR="0002461D" w:rsidRPr="00525710" w:rsidRDefault="0042024D" w:rsidP="0002461D">
      <w:pPr>
        <w:pStyle w:val="Caption"/>
        <w:snapToGrid w:val="0"/>
        <w:rPr>
          <w:i w:val="0"/>
          <w:iCs w:val="0"/>
        </w:rPr>
      </w:pPr>
      <w:r w:rsidRPr="00525710">
        <w:rPr>
          <w:i w:val="0"/>
          <w:iCs w:val="0"/>
        </w:rPr>
        <w:t>Figure VII.1-</w:t>
      </w:r>
      <w:r w:rsidR="0002461D" w:rsidRPr="00525710">
        <w:rPr>
          <w:i w:val="0"/>
          <w:iCs w:val="0"/>
        </w:rPr>
        <w:t>The UI</w:t>
      </w:r>
    </w:p>
    <w:p w14:paraId="10DF08B7" w14:textId="5151F829" w:rsidR="0002461D" w:rsidRDefault="0002461D" w:rsidP="0002461D">
      <w:pPr>
        <w:snapToGrid w:val="0"/>
      </w:pPr>
      <w:r w:rsidRPr="0035200B">
        <w:t xml:space="preserve">This </w:t>
      </w:r>
      <w:r>
        <w:t>UI</w:t>
      </w:r>
      <w:r w:rsidRPr="0035200B">
        <w:t xml:space="preserve"> </w:t>
      </w:r>
      <w:r>
        <w:t>consists</w:t>
      </w:r>
      <w:r w:rsidRPr="0035200B">
        <w:t xml:space="preserve"> </w:t>
      </w:r>
      <w:r>
        <w:t xml:space="preserve">of </w:t>
      </w:r>
      <w:r w:rsidRPr="0035200B">
        <w:t>fou</w:t>
      </w:r>
      <w:r>
        <w:t>r modules, which are input values</w:t>
      </w:r>
      <w:r w:rsidRPr="0035200B">
        <w:t xml:space="preserve">, </w:t>
      </w:r>
      <w:r>
        <w:t>Planning Result</w:t>
      </w:r>
      <w:r w:rsidRPr="0035200B">
        <w:t xml:space="preserve">, </w:t>
      </w:r>
      <w:r>
        <w:t xml:space="preserve">Output Values, and the </w:t>
      </w:r>
      <w:proofErr w:type="spellStart"/>
      <w:r>
        <w:t>Grap</w:t>
      </w:r>
      <w:proofErr w:type="spellEnd"/>
      <w:r w:rsidRPr="0035200B">
        <w:t>.</w:t>
      </w:r>
    </w:p>
    <w:p w14:paraId="4C0B2332" w14:textId="397F52A1" w:rsidR="0002461D" w:rsidRPr="008C1CE4" w:rsidRDefault="0002461D" w:rsidP="0002461D">
      <w:pPr>
        <w:snapToGrid w:val="0"/>
      </w:pPr>
      <w:r>
        <w:lastRenderedPageBreak/>
        <w:t xml:space="preserve">In the module of “Input Value”, these data should be typed into the data entry form by decision-makers according to their UCC’s real status. In here, we list the first 12 necessary </w:t>
      </w:r>
      <w:r w:rsidRPr="008C1CE4">
        <w:rPr>
          <w:rFonts w:hint="eastAsia"/>
        </w:rPr>
        <w:t>item</w:t>
      </w:r>
      <w:r>
        <w:t xml:space="preserve">s, then mark them by the number 1 to 12. </w:t>
      </w:r>
    </w:p>
    <w:tbl>
      <w:tblPr>
        <w:tblStyle w:val="TableGrid"/>
        <w:tblW w:w="8275" w:type="dxa"/>
        <w:tblLook w:val="04A0" w:firstRow="1" w:lastRow="0" w:firstColumn="1" w:lastColumn="0" w:noHBand="0" w:noVBand="1"/>
      </w:tblPr>
      <w:tblGrid>
        <w:gridCol w:w="2689"/>
        <w:gridCol w:w="1701"/>
        <w:gridCol w:w="3885"/>
      </w:tblGrid>
      <w:tr w:rsidR="0002461D" w14:paraId="7AD7E20C" w14:textId="77777777" w:rsidTr="00DA06C6">
        <w:tc>
          <w:tcPr>
            <w:tcW w:w="2689" w:type="dxa"/>
          </w:tcPr>
          <w:p w14:paraId="62520A5B" w14:textId="77777777" w:rsidR="0002461D" w:rsidRPr="00E371EE" w:rsidRDefault="0002461D" w:rsidP="000A1977">
            <w:pPr>
              <w:snapToGrid w:val="0"/>
              <w:jc w:val="center"/>
              <w:rPr>
                <w:b/>
                <w:bCs/>
              </w:rPr>
            </w:pPr>
            <w:r w:rsidRPr="00E371EE">
              <w:rPr>
                <w:b/>
                <w:bCs/>
              </w:rPr>
              <w:t>Name of Item</w:t>
            </w:r>
          </w:p>
        </w:tc>
        <w:tc>
          <w:tcPr>
            <w:tcW w:w="1701" w:type="dxa"/>
          </w:tcPr>
          <w:p w14:paraId="0064330F" w14:textId="77777777" w:rsidR="0002461D" w:rsidRPr="00E371EE" w:rsidRDefault="0002461D" w:rsidP="000A1977">
            <w:pPr>
              <w:snapToGrid w:val="0"/>
              <w:jc w:val="center"/>
              <w:rPr>
                <w:b/>
                <w:bCs/>
              </w:rPr>
            </w:pPr>
            <w:r w:rsidRPr="00E371EE">
              <w:rPr>
                <w:b/>
                <w:bCs/>
              </w:rPr>
              <w:t>Number</w:t>
            </w:r>
          </w:p>
        </w:tc>
        <w:tc>
          <w:tcPr>
            <w:tcW w:w="3885" w:type="dxa"/>
          </w:tcPr>
          <w:p w14:paraId="1F076C71" w14:textId="77777777" w:rsidR="0002461D" w:rsidRPr="00E371EE" w:rsidRDefault="0002461D" w:rsidP="000A1977">
            <w:pPr>
              <w:snapToGrid w:val="0"/>
              <w:jc w:val="center"/>
              <w:rPr>
                <w:b/>
                <w:bCs/>
              </w:rPr>
            </w:pPr>
            <w:r w:rsidRPr="00E371EE">
              <w:rPr>
                <w:b/>
                <w:bCs/>
              </w:rPr>
              <w:t>Description</w:t>
            </w:r>
          </w:p>
        </w:tc>
      </w:tr>
      <w:tr w:rsidR="0002461D" w14:paraId="20836714" w14:textId="77777777" w:rsidTr="00DA06C6">
        <w:tc>
          <w:tcPr>
            <w:tcW w:w="2689" w:type="dxa"/>
            <w:vAlign w:val="center"/>
          </w:tcPr>
          <w:p w14:paraId="4707DB06" w14:textId="77777777" w:rsidR="0002461D" w:rsidRPr="00F83C8C" w:rsidRDefault="0002461D" w:rsidP="000A1977">
            <w:pPr>
              <w:snapToGrid w:val="0"/>
              <w:jc w:val="left"/>
              <w:rPr>
                <w:sz w:val="22"/>
              </w:rPr>
            </w:pPr>
            <w:r w:rsidRPr="00F83C8C">
              <w:rPr>
                <w:sz w:val="22"/>
              </w:rPr>
              <w:t>Currency</w:t>
            </w:r>
          </w:p>
        </w:tc>
        <w:tc>
          <w:tcPr>
            <w:tcW w:w="1701" w:type="dxa"/>
            <w:vAlign w:val="center"/>
          </w:tcPr>
          <w:p w14:paraId="136A47FA" w14:textId="77777777" w:rsidR="0002461D" w:rsidRPr="00F83C8C" w:rsidRDefault="0002461D" w:rsidP="000A1977">
            <w:pPr>
              <w:snapToGrid w:val="0"/>
              <w:jc w:val="center"/>
              <w:rPr>
                <w:sz w:val="22"/>
              </w:rPr>
            </w:pPr>
            <w:r w:rsidRPr="00F83C8C">
              <w:rPr>
                <w:sz w:val="22"/>
              </w:rPr>
              <w:t>01</w:t>
            </w:r>
          </w:p>
        </w:tc>
        <w:tc>
          <w:tcPr>
            <w:tcW w:w="3885" w:type="dxa"/>
          </w:tcPr>
          <w:p w14:paraId="6F5810A4" w14:textId="77777777" w:rsidR="0002461D" w:rsidRPr="00D15EA8" w:rsidRDefault="0002461D" w:rsidP="000A1977">
            <w:pPr>
              <w:snapToGrid w:val="0"/>
              <w:spacing w:line="240" w:lineRule="auto"/>
              <w:rPr>
                <w:sz w:val="22"/>
              </w:rPr>
            </w:pPr>
            <w:r w:rsidRPr="00D15EA8">
              <w:rPr>
                <w:sz w:val="22"/>
              </w:rPr>
              <w:t>Three types of currencies are given, in terms of £,</w:t>
            </w:r>
            <w:r>
              <w:rPr>
                <w:sz w:val="22"/>
              </w:rPr>
              <w:t xml:space="preserve"> </w:t>
            </w:r>
            <w:r w:rsidRPr="003A7B61">
              <w:rPr>
                <w:sz w:val="22"/>
              </w:rPr>
              <w:t>€, and $</w:t>
            </w:r>
            <w:r>
              <w:rPr>
                <w:sz w:val="22"/>
              </w:rPr>
              <w:t>.</w:t>
            </w:r>
            <w:r w:rsidRPr="00D15EA8">
              <w:rPr>
                <w:sz w:val="22"/>
              </w:rPr>
              <w:t xml:space="preserve"> </w:t>
            </w:r>
          </w:p>
        </w:tc>
      </w:tr>
      <w:tr w:rsidR="0002461D" w14:paraId="4CB55129" w14:textId="77777777" w:rsidTr="00DA06C6">
        <w:tc>
          <w:tcPr>
            <w:tcW w:w="2689" w:type="dxa"/>
            <w:vAlign w:val="center"/>
          </w:tcPr>
          <w:p w14:paraId="6C163BB6" w14:textId="77777777" w:rsidR="0002461D" w:rsidRPr="00F83C8C" w:rsidRDefault="0002461D" w:rsidP="000A1977">
            <w:pPr>
              <w:snapToGrid w:val="0"/>
              <w:jc w:val="left"/>
              <w:rPr>
                <w:sz w:val="22"/>
              </w:rPr>
            </w:pPr>
            <w:r>
              <w:rPr>
                <w:sz w:val="22"/>
              </w:rPr>
              <w:t>Price Charging</w:t>
            </w:r>
          </w:p>
        </w:tc>
        <w:tc>
          <w:tcPr>
            <w:tcW w:w="1701" w:type="dxa"/>
            <w:vAlign w:val="center"/>
          </w:tcPr>
          <w:p w14:paraId="2BFD9FF7" w14:textId="77777777" w:rsidR="0002461D" w:rsidRPr="00F83C8C" w:rsidRDefault="0002461D" w:rsidP="000A1977">
            <w:pPr>
              <w:snapToGrid w:val="0"/>
              <w:jc w:val="center"/>
              <w:rPr>
                <w:sz w:val="22"/>
              </w:rPr>
            </w:pPr>
            <w:r>
              <w:rPr>
                <w:sz w:val="22"/>
              </w:rPr>
              <w:t>02</w:t>
            </w:r>
          </w:p>
        </w:tc>
        <w:tc>
          <w:tcPr>
            <w:tcW w:w="3885" w:type="dxa"/>
          </w:tcPr>
          <w:p w14:paraId="3BEEA178" w14:textId="77777777" w:rsidR="0002461D" w:rsidRPr="00D15EA8" w:rsidRDefault="0002461D" w:rsidP="000A1977">
            <w:pPr>
              <w:snapToGrid w:val="0"/>
              <w:spacing w:line="240" w:lineRule="auto"/>
              <w:rPr>
                <w:sz w:val="22"/>
              </w:rPr>
            </w:pPr>
            <w:r>
              <w:rPr>
                <w:sz w:val="22"/>
              </w:rPr>
              <w:t>This section is the UCC’s (or planned) service price for the goods delivery.</w:t>
            </w:r>
          </w:p>
        </w:tc>
      </w:tr>
      <w:tr w:rsidR="0002461D" w14:paraId="3138F70C" w14:textId="77777777" w:rsidTr="00DA06C6">
        <w:tc>
          <w:tcPr>
            <w:tcW w:w="2689" w:type="dxa"/>
            <w:vAlign w:val="center"/>
          </w:tcPr>
          <w:p w14:paraId="62F76031" w14:textId="77777777" w:rsidR="0002461D" w:rsidRPr="00F83C8C" w:rsidRDefault="0002461D" w:rsidP="000A1977">
            <w:pPr>
              <w:snapToGrid w:val="0"/>
              <w:jc w:val="left"/>
              <w:rPr>
                <w:sz w:val="22"/>
              </w:rPr>
            </w:pPr>
            <w:r>
              <w:rPr>
                <w:sz w:val="22"/>
              </w:rPr>
              <w:t>Startup</w:t>
            </w:r>
            <w:r w:rsidRPr="00F83C8C">
              <w:rPr>
                <w:sz w:val="22"/>
              </w:rPr>
              <w:t xml:space="preserve"> </w:t>
            </w:r>
            <w:r>
              <w:rPr>
                <w:sz w:val="22"/>
              </w:rPr>
              <w:t>C</w:t>
            </w:r>
            <w:r w:rsidRPr="00F83C8C">
              <w:rPr>
                <w:sz w:val="22"/>
              </w:rPr>
              <w:t>ost</w:t>
            </w:r>
          </w:p>
        </w:tc>
        <w:tc>
          <w:tcPr>
            <w:tcW w:w="1701" w:type="dxa"/>
            <w:vAlign w:val="center"/>
          </w:tcPr>
          <w:p w14:paraId="473230E3" w14:textId="77777777" w:rsidR="0002461D" w:rsidRPr="00F83C8C" w:rsidRDefault="0002461D" w:rsidP="000A1977">
            <w:pPr>
              <w:snapToGrid w:val="0"/>
              <w:jc w:val="center"/>
              <w:rPr>
                <w:sz w:val="22"/>
              </w:rPr>
            </w:pPr>
            <w:r w:rsidRPr="00F83C8C">
              <w:rPr>
                <w:sz w:val="22"/>
              </w:rPr>
              <w:t>0</w:t>
            </w:r>
            <w:r>
              <w:rPr>
                <w:sz w:val="22"/>
              </w:rPr>
              <w:t>3</w:t>
            </w:r>
            <w:r w:rsidRPr="00F83C8C">
              <w:rPr>
                <w:sz w:val="22"/>
              </w:rPr>
              <w:t>,0</w:t>
            </w:r>
            <w:r>
              <w:rPr>
                <w:sz w:val="22"/>
              </w:rPr>
              <w:t>4</w:t>
            </w:r>
          </w:p>
        </w:tc>
        <w:tc>
          <w:tcPr>
            <w:tcW w:w="3885" w:type="dxa"/>
          </w:tcPr>
          <w:p w14:paraId="6B8A3C52" w14:textId="77777777" w:rsidR="0002461D" w:rsidRPr="00F83C8C" w:rsidRDefault="0002461D" w:rsidP="000A1977">
            <w:pPr>
              <w:snapToGrid w:val="0"/>
              <w:spacing w:line="240" w:lineRule="auto"/>
              <w:rPr>
                <w:sz w:val="22"/>
              </w:rPr>
            </w:pPr>
            <w:r>
              <w:rPr>
                <w:sz w:val="22"/>
              </w:rPr>
              <w:t>Cost for buying necessary equipment and vehicles</w:t>
            </w:r>
          </w:p>
        </w:tc>
      </w:tr>
      <w:tr w:rsidR="0002461D" w14:paraId="2BAB61D1" w14:textId="77777777" w:rsidTr="00DA06C6">
        <w:tc>
          <w:tcPr>
            <w:tcW w:w="2689" w:type="dxa"/>
            <w:vAlign w:val="center"/>
          </w:tcPr>
          <w:p w14:paraId="716A5881" w14:textId="77777777" w:rsidR="0002461D" w:rsidRDefault="0002461D" w:rsidP="000A1977">
            <w:pPr>
              <w:snapToGrid w:val="0"/>
              <w:jc w:val="left"/>
              <w:rPr>
                <w:sz w:val="22"/>
              </w:rPr>
            </w:pPr>
            <w:r>
              <w:rPr>
                <w:sz w:val="22"/>
              </w:rPr>
              <w:t>Daily operating Cost</w:t>
            </w:r>
          </w:p>
        </w:tc>
        <w:tc>
          <w:tcPr>
            <w:tcW w:w="1701" w:type="dxa"/>
            <w:vAlign w:val="center"/>
          </w:tcPr>
          <w:p w14:paraId="17D24234" w14:textId="77777777" w:rsidR="0002461D" w:rsidRPr="00F83C8C" w:rsidRDefault="0002461D" w:rsidP="000A1977">
            <w:pPr>
              <w:snapToGrid w:val="0"/>
              <w:jc w:val="center"/>
              <w:rPr>
                <w:sz w:val="22"/>
              </w:rPr>
            </w:pPr>
            <w:r>
              <w:rPr>
                <w:sz w:val="22"/>
              </w:rPr>
              <w:t>05,06,07,08</w:t>
            </w:r>
          </w:p>
        </w:tc>
        <w:tc>
          <w:tcPr>
            <w:tcW w:w="3885" w:type="dxa"/>
          </w:tcPr>
          <w:p w14:paraId="784289BF" w14:textId="29BB0A83" w:rsidR="0002461D" w:rsidRPr="00D15EA8" w:rsidRDefault="0002461D" w:rsidP="000A1977">
            <w:pPr>
              <w:snapToGrid w:val="0"/>
              <w:spacing w:line="240" w:lineRule="auto"/>
              <w:rPr>
                <w:sz w:val="22"/>
              </w:rPr>
            </w:pPr>
            <w:r w:rsidRPr="00D15EA8">
              <w:rPr>
                <w:sz w:val="22"/>
              </w:rPr>
              <w:t xml:space="preserve">Most four relevant </w:t>
            </w:r>
            <w:r w:rsidRPr="00F83C8C">
              <w:rPr>
                <w:sz w:val="22"/>
              </w:rPr>
              <w:t>types of</w:t>
            </w:r>
            <w:r>
              <w:rPr>
                <w:sz w:val="22"/>
              </w:rPr>
              <w:t xml:space="preserve"> operating</w:t>
            </w:r>
            <w:r w:rsidRPr="00F83C8C">
              <w:rPr>
                <w:sz w:val="22"/>
              </w:rPr>
              <w:t xml:space="preserve"> cost mentioned in</w:t>
            </w:r>
          </w:p>
        </w:tc>
      </w:tr>
      <w:tr w:rsidR="0002461D" w14:paraId="5473AEBA" w14:textId="77777777" w:rsidTr="00DA06C6">
        <w:tc>
          <w:tcPr>
            <w:tcW w:w="2689" w:type="dxa"/>
            <w:vAlign w:val="center"/>
          </w:tcPr>
          <w:p w14:paraId="68D46B76" w14:textId="77777777" w:rsidR="0002461D" w:rsidRPr="00F83C8C" w:rsidRDefault="0002461D" w:rsidP="000A1977">
            <w:pPr>
              <w:snapToGrid w:val="0"/>
              <w:jc w:val="left"/>
              <w:rPr>
                <w:sz w:val="22"/>
              </w:rPr>
            </w:pPr>
            <w:r>
              <w:rPr>
                <w:sz w:val="22"/>
              </w:rPr>
              <w:t>Numbers of Operatives</w:t>
            </w:r>
          </w:p>
        </w:tc>
        <w:tc>
          <w:tcPr>
            <w:tcW w:w="1701" w:type="dxa"/>
            <w:vAlign w:val="center"/>
          </w:tcPr>
          <w:p w14:paraId="382B7438" w14:textId="77777777" w:rsidR="0002461D" w:rsidRPr="00F83C8C" w:rsidRDefault="0002461D" w:rsidP="000A1977">
            <w:pPr>
              <w:snapToGrid w:val="0"/>
              <w:jc w:val="center"/>
              <w:rPr>
                <w:sz w:val="22"/>
              </w:rPr>
            </w:pPr>
            <w:r>
              <w:rPr>
                <w:sz w:val="22"/>
              </w:rPr>
              <w:t>09</w:t>
            </w:r>
          </w:p>
        </w:tc>
        <w:tc>
          <w:tcPr>
            <w:tcW w:w="3885" w:type="dxa"/>
          </w:tcPr>
          <w:p w14:paraId="761666D3" w14:textId="77777777" w:rsidR="0002461D" w:rsidRPr="00D15EA8" w:rsidRDefault="0002461D" w:rsidP="000A1977">
            <w:pPr>
              <w:snapToGrid w:val="0"/>
              <w:spacing w:line="240" w:lineRule="auto"/>
              <w:rPr>
                <w:sz w:val="22"/>
              </w:rPr>
            </w:pPr>
            <w:r w:rsidRPr="00D15EA8">
              <w:rPr>
                <w:sz w:val="22"/>
              </w:rPr>
              <w:t xml:space="preserve">Decision makers can be </w:t>
            </w:r>
            <w:r>
              <w:rPr>
                <w:sz w:val="22"/>
              </w:rPr>
              <w:t>typed based on the real values or their assumption.</w:t>
            </w:r>
          </w:p>
        </w:tc>
      </w:tr>
      <w:tr w:rsidR="0002461D" w14:paraId="53EB5275" w14:textId="77777777" w:rsidTr="00DA06C6">
        <w:tc>
          <w:tcPr>
            <w:tcW w:w="2689" w:type="dxa"/>
            <w:vAlign w:val="center"/>
          </w:tcPr>
          <w:p w14:paraId="7502FBFF" w14:textId="77777777" w:rsidR="0002461D" w:rsidRPr="00F83C8C" w:rsidRDefault="0002461D" w:rsidP="000A1977">
            <w:pPr>
              <w:snapToGrid w:val="0"/>
              <w:jc w:val="left"/>
              <w:rPr>
                <w:sz w:val="22"/>
              </w:rPr>
            </w:pPr>
            <w:r>
              <w:rPr>
                <w:sz w:val="22"/>
              </w:rPr>
              <w:t>Wages of Drivers and</w:t>
            </w:r>
          </w:p>
        </w:tc>
        <w:tc>
          <w:tcPr>
            <w:tcW w:w="1701" w:type="dxa"/>
            <w:vAlign w:val="center"/>
          </w:tcPr>
          <w:p w14:paraId="0E8A4B18" w14:textId="77777777" w:rsidR="0002461D" w:rsidRPr="00F83C8C" w:rsidRDefault="0002461D" w:rsidP="000A1977">
            <w:pPr>
              <w:snapToGrid w:val="0"/>
              <w:jc w:val="center"/>
              <w:rPr>
                <w:sz w:val="22"/>
              </w:rPr>
            </w:pPr>
            <w:r>
              <w:rPr>
                <w:sz w:val="22"/>
              </w:rPr>
              <w:t>10,11</w:t>
            </w:r>
          </w:p>
        </w:tc>
        <w:tc>
          <w:tcPr>
            <w:tcW w:w="3885" w:type="dxa"/>
          </w:tcPr>
          <w:p w14:paraId="6A6F8918" w14:textId="77777777" w:rsidR="0002461D" w:rsidRPr="00F83C8C" w:rsidRDefault="0002461D" w:rsidP="000A1977">
            <w:pPr>
              <w:snapToGrid w:val="0"/>
              <w:spacing w:line="240" w:lineRule="auto"/>
              <w:rPr>
                <w:sz w:val="22"/>
              </w:rPr>
            </w:pPr>
            <w:r w:rsidRPr="00D15EA8">
              <w:rPr>
                <w:sz w:val="22"/>
              </w:rPr>
              <w:t xml:space="preserve">Decision makers can be </w:t>
            </w:r>
            <w:r>
              <w:rPr>
                <w:sz w:val="22"/>
              </w:rPr>
              <w:t>typed based on the real values or their assumption.</w:t>
            </w:r>
          </w:p>
        </w:tc>
      </w:tr>
      <w:tr w:rsidR="0002461D" w14:paraId="33A538EA" w14:textId="77777777" w:rsidTr="00DA06C6">
        <w:tc>
          <w:tcPr>
            <w:tcW w:w="2689" w:type="dxa"/>
            <w:vAlign w:val="center"/>
          </w:tcPr>
          <w:p w14:paraId="05C72C32" w14:textId="77777777" w:rsidR="0002461D" w:rsidRPr="00F83C8C" w:rsidRDefault="0002461D" w:rsidP="000A1977">
            <w:pPr>
              <w:snapToGrid w:val="0"/>
              <w:jc w:val="left"/>
              <w:rPr>
                <w:sz w:val="22"/>
              </w:rPr>
            </w:pPr>
            <w:r>
              <w:rPr>
                <w:sz w:val="22"/>
              </w:rPr>
              <w:t>Fuel Consumption Cost</w:t>
            </w:r>
          </w:p>
        </w:tc>
        <w:tc>
          <w:tcPr>
            <w:tcW w:w="1701" w:type="dxa"/>
            <w:vAlign w:val="center"/>
          </w:tcPr>
          <w:p w14:paraId="44F73DE6" w14:textId="77777777" w:rsidR="0002461D" w:rsidRPr="00F83C8C" w:rsidRDefault="0002461D" w:rsidP="000A1977">
            <w:pPr>
              <w:snapToGrid w:val="0"/>
              <w:jc w:val="center"/>
              <w:rPr>
                <w:sz w:val="22"/>
              </w:rPr>
            </w:pPr>
            <w:r>
              <w:rPr>
                <w:sz w:val="22"/>
              </w:rPr>
              <w:t>12</w:t>
            </w:r>
          </w:p>
        </w:tc>
        <w:tc>
          <w:tcPr>
            <w:tcW w:w="3885" w:type="dxa"/>
          </w:tcPr>
          <w:p w14:paraId="5C0E822F" w14:textId="77777777" w:rsidR="0002461D" w:rsidRPr="00F83C8C" w:rsidRDefault="0002461D" w:rsidP="000A1977">
            <w:pPr>
              <w:snapToGrid w:val="0"/>
              <w:spacing w:line="240" w:lineRule="auto"/>
              <w:rPr>
                <w:sz w:val="22"/>
              </w:rPr>
            </w:pPr>
            <w:r w:rsidRPr="00CB100D">
              <w:rPr>
                <w:sz w:val="22"/>
              </w:rPr>
              <w:t xml:space="preserve">Stakeholders enter the </w:t>
            </w:r>
            <w:r w:rsidRPr="00CB100D">
              <w:rPr>
                <w:rFonts w:hint="eastAsia"/>
                <w:sz w:val="22"/>
              </w:rPr>
              <w:t>value</w:t>
            </w:r>
            <w:r>
              <w:rPr>
                <w:sz w:val="22"/>
              </w:rPr>
              <w:t xml:space="preserve"> </w:t>
            </w:r>
            <w:r w:rsidRPr="00CB100D">
              <w:rPr>
                <w:rFonts w:hint="eastAsia"/>
                <w:sz w:val="22"/>
              </w:rPr>
              <w:t>of</w:t>
            </w:r>
            <w:r>
              <w:rPr>
                <w:sz w:val="22"/>
              </w:rPr>
              <w:t xml:space="preserve"> </w:t>
            </w:r>
            <w:r w:rsidRPr="00CB100D">
              <w:rPr>
                <w:sz w:val="22"/>
              </w:rPr>
              <w:t xml:space="preserve">cost </w:t>
            </w:r>
            <w:r w:rsidRPr="00CB100D">
              <w:rPr>
                <w:rFonts w:hint="eastAsia"/>
                <w:sz w:val="22"/>
              </w:rPr>
              <w:t>that</w:t>
            </w:r>
            <w:r>
              <w:rPr>
                <w:sz w:val="22"/>
              </w:rPr>
              <w:t xml:space="preserve"> </w:t>
            </w:r>
            <w:r w:rsidRPr="00CB100D">
              <w:rPr>
                <w:sz w:val="22"/>
              </w:rPr>
              <w:t>driving each car for 100 kilometers according to their understanding</w:t>
            </w:r>
            <w:r>
              <w:rPr>
                <w:sz w:val="22"/>
              </w:rPr>
              <w:t xml:space="preserve"> or assumption</w:t>
            </w:r>
            <w:r w:rsidRPr="00CB100D">
              <w:rPr>
                <w:sz w:val="22"/>
              </w:rPr>
              <w:t>.</w:t>
            </w:r>
          </w:p>
        </w:tc>
      </w:tr>
    </w:tbl>
    <w:p w14:paraId="714548AE" w14:textId="4EFB232A" w:rsidR="005B543A" w:rsidRPr="00525710" w:rsidRDefault="005B543A" w:rsidP="00525710">
      <w:pPr>
        <w:pStyle w:val="Caption"/>
        <w:snapToGrid w:val="0"/>
        <w:rPr>
          <w:i w:val="0"/>
          <w:iCs w:val="0"/>
        </w:rPr>
      </w:pPr>
      <w:r w:rsidRPr="00525710">
        <w:rPr>
          <w:i w:val="0"/>
          <w:iCs w:val="0"/>
        </w:rPr>
        <w:t>Table VII</w:t>
      </w:r>
      <w:r w:rsidR="00DA06C6" w:rsidRPr="00525710">
        <w:rPr>
          <w:i w:val="0"/>
          <w:iCs w:val="0"/>
        </w:rPr>
        <w:t>.1-Details of UI</w:t>
      </w:r>
    </w:p>
    <w:p w14:paraId="64853BCD" w14:textId="7CBCC7AE" w:rsidR="0002461D" w:rsidRPr="00CC2509" w:rsidRDefault="0002461D" w:rsidP="0002461D">
      <w:pPr>
        <w:snapToGrid w:val="0"/>
      </w:pPr>
      <w:r>
        <w:t>In the section of “Planning Result”, the “E-mile” software will generate the data of each item according to the simulation setting and results. These items are marked by 13 to 21.</w:t>
      </w:r>
    </w:p>
    <w:p w14:paraId="66541CA9" w14:textId="77777777" w:rsidR="0002461D" w:rsidRDefault="0002461D" w:rsidP="0002461D">
      <w:pPr>
        <w:snapToGrid w:val="0"/>
      </w:pPr>
      <w:r w:rsidRPr="00035A35">
        <w:t xml:space="preserve">Through </w:t>
      </w:r>
      <w:r>
        <w:t xml:space="preserve">integrating the values in the section of “input value” and “planning result” with the corresponding formulation, </w:t>
      </w:r>
      <w:r w:rsidRPr="00035A35">
        <w:t>the software can calculate the output values in the module of “Result of Fixed Cost and the Variable Cost”. Furthermore, it will display the (or potential)</w:t>
      </w:r>
      <w:r>
        <w:t xml:space="preserve"> total income and the gross profit. </w:t>
      </w:r>
    </w:p>
    <w:p w14:paraId="43DC5C88" w14:textId="77777777" w:rsidR="0002461D" w:rsidRPr="002151A4" w:rsidRDefault="0002461D" w:rsidP="0002461D">
      <w:pPr>
        <w:snapToGrid w:val="0"/>
      </w:pPr>
      <w:r w:rsidRPr="0009075F">
        <w:t xml:space="preserve">The value of fixed cost can be calculated through </w:t>
      </w:r>
      <w:r w:rsidRPr="0009075F">
        <w:rPr>
          <w:rFonts w:hint="eastAsia"/>
        </w:rPr>
        <w:t>add</w:t>
      </w:r>
      <w:r w:rsidRPr="0009075F">
        <w:t xml:space="preserve"> </w:t>
      </w:r>
      <w:r w:rsidRPr="0009075F">
        <w:rPr>
          <w:rFonts w:hint="eastAsia"/>
        </w:rPr>
        <w:t>together</w:t>
      </w:r>
      <w:r w:rsidRPr="0009075F">
        <w:t xml:space="preserve"> </w:t>
      </w:r>
      <w:r w:rsidRPr="0009075F">
        <w:rPr>
          <w:rFonts w:hint="eastAsia"/>
        </w:rPr>
        <w:t>the</w:t>
      </w:r>
      <w:r w:rsidRPr="0009075F">
        <w:t xml:space="preserve"> </w:t>
      </w:r>
      <w:proofErr w:type="spellStart"/>
      <w:r w:rsidRPr="0009075F">
        <w:t>startup</w:t>
      </w:r>
      <w:proofErr w:type="spellEnd"/>
      <w:r w:rsidRPr="0009075F">
        <w:t xml:space="preserve"> cost of Equipment Purchasing (</w:t>
      </w:r>
      <w:r w:rsidRPr="00191517">
        <w:rPr>
          <w:i/>
          <w:iCs/>
        </w:rPr>
        <w:t>C</w:t>
      </w:r>
      <w:r w:rsidRPr="004C6A38">
        <w:rPr>
          <w:vertAlign w:val="superscript"/>
        </w:rPr>
        <w:t>ep</w:t>
      </w:r>
      <w:r w:rsidRPr="0009075F">
        <w:t>)</w:t>
      </w:r>
      <w:r>
        <w:t xml:space="preserve"> and </w:t>
      </w:r>
      <w:r w:rsidRPr="0009075F">
        <w:t>Vehicle Purchasing (</w:t>
      </w:r>
      <w:proofErr w:type="spellStart"/>
      <w:r w:rsidRPr="00191517">
        <w:rPr>
          <w:i/>
          <w:iCs/>
        </w:rPr>
        <w:t>C</w:t>
      </w:r>
      <w:r w:rsidRPr="004C6A38">
        <w:rPr>
          <w:vertAlign w:val="superscript"/>
        </w:rPr>
        <w:t>vp</w:t>
      </w:r>
      <w:proofErr w:type="spellEnd"/>
      <w:r w:rsidRPr="0009075F">
        <w:t xml:space="preserve">) </w:t>
      </w:r>
      <w:r>
        <w:t xml:space="preserve">with the daily </w:t>
      </w:r>
      <w:r>
        <w:rPr>
          <w:rFonts w:hint="eastAsia"/>
        </w:rPr>
        <w:t>cost</w:t>
      </w:r>
      <w:r>
        <w:t xml:space="preserve"> </w:t>
      </w:r>
      <w:r>
        <w:rPr>
          <w:rFonts w:hint="eastAsia"/>
        </w:rPr>
        <w:t>of</w:t>
      </w:r>
      <w:r>
        <w:t xml:space="preserve"> Facility Renting (</w:t>
      </w:r>
      <w:proofErr w:type="spellStart"/>
      <w:r w:rsidRPr="00191517">
        <w:rPr>
          <w:rFonts w:hint="eastAsia"/>
          <w:i/>
          <w:iCs/>
        </w:rPr>
        <w:t>C</w:t>
      </w:r>
      <w:r w:rsidRPr="004C6A38">
        <w:rPr>
          <w:vertAlign w:val="superscript"/>
        </w:rPr>
        <w:t>fr</w:t>
      </w:r>
      <w:proofErr w:type="spellEnd"/>
      <w:r>
        <w:t>)</w:t>
      </w:r>
      <w:r>
        <w:rPr>
          <w:rFonts w:hint="eastAsia"/>
        </w:rPr>
        <w:t>,</w:t>
      </w:r>
      <w:r>
        <w:t xml:space="preserve"> Material Using (</w:t>
      </w:r>
      <w:proofErr w:type="spellStart"/>
      <w:r w:rsidRPr="00191517">
        <w:rPr>
          <w:rFonts w:hint="eastAsia"/>
          <w:i/>
          <w:iCs/>
        </w:rPr>
        <w:t>C</w:t>
      </w:r>
      <w:r w:rsidRPr="004C6A38">
        <w:rPr>
          <w:vertAlign w:val="superscript"/>
        </w:rPr>
        <w:t>mu</w:t>
      </w:r>
      <w:proofErr w:type="spellEnd"/>
      <w:r>
        <w:t xml:space="preserve">), </w:t>
      </w:r>
      <w:r w:rsidRPr="004C6A38">
        <w:t>UCC Administrative</w:t>
      </w:r>
      <w:r>
        <w:t xml:space="preserve"> (</w:t>
      </w:r>
      <w:proofErr w:type="spellStart"/>
      <w:r w:rsidRPr="00191517">
        <w:rPr>
          <w:i/>
          <w:iCs/>
        </w:rPr>
        <w:t>C</w:t>
      </w:r>
      <w:r w:rsidRPr="004C6A38">
        <w:rPr>
          <w:vertAlign w:val="superscript"/>
        </w:rPr>
        <w:t>ac</w:t>
      </w:r>
      <w:proofErr w:type="spellEnd"/>
      <w:r>
        <w:t>),</w:t>
      </w:r>
      <w:r w:rsidRPr="00D86487">
        <w:t xml:space="preserve"> </w:t>
      </w:r>
      <w:r>
        <w:t>other overhead cost (</w:t>
      </w:r>
      <w:proofErr w:type="spellStart"/>
      <w:r w:rsidRPr="00191517">
        <w:rPr>
          <w:i/>
          <w:iCs/>
        </w:rPr>
        <w:t>C</w:t>
      </w:r>
      <w:r w:rsidRPr="004C6A38">
        <w:rPr>
          <w:vertAlign w:val="superscript"/>
        </w:rPr>
        <w:t>ov</w:t>
      </w:r>
      <w:proofErr w:type="spellEnd"/>
      <w:r>
        <w:t>), we can define the following formulation:</w:t>
      </w:r>
    </w:p>
    <w:p w14:paraId="77D69EC6" w14:textId="3F171A30" w:rsidR="0002461D" w:rsidRDefault="0002461D" w:rsidP="0002461D">
      <w:pPr>
        <w:pStyle w:val="MTDisplayEquation"/>
      </w:pPr>
      <w:r>
        <w:tab/>
      </w:r>
      <w:r w:rsidRPr="00E96E5B">
        <w:rPr>
          <w:noProof/>
          <w:position w:val="-16"/>
        </w:rPr>
        <w:object w:dxaOrig="5060" w:dyaOrig="440" w14:anchorId="7DE0AB69">
          <v:shape id="_x0000_i1045" type="#_x0000_t75" style="width:251.75pt;height:21.55pt" o:ole="">
            <v:imagedata r:id="rId168" o:title=""/>
          </v:shape>
          <o:OLEObject Type="Embed" ProgID="Equation.DSMT4" ShapeID="_x0000_i1045" DrawAspect="Content" ObjectID="_1681648052" r:id="rId169"/>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1284" w:name="ZEqnNum162244"/>
      <w:r>
        <w:instrText>(</w:instrText>
      </w:r>
      <w:r w:rsidR="000306D9">
        <w:fldChar w:fldCharType="begin"/>
      </w:r>
      <w:r w:rsidR="000306D9">
        <w:instrText xml:space="preserve"> SEQ MTEqn \c \* Arabic \* MERGEFORMAT </w:instrText>
      </w:r>
      <w:r w:rsidR="000306D9">
        <w:fldChar w:fldCharType="separate"/>
      </w:r>
      <w:r w:rsidR="0005064B">
        <w:rPr>
          <w:noProof/>
        </w:rPr>
        <w:instrText>9</w:instrText>
      </w:r>
      <w:r w:rsidR="000306D9">
        <w:rPr>
          <w:noProof/>
        </w:rPr>
        <w:fldChar w:fldCharType="end"/>
      </w:r>
      <w:r>
        <w:instrText>)</w:instrText>
      </w:r>
      <w:bookmarkEnd w:id="1284"/>
      <w:r>
        <w:fldChar w:fldCharType="end"/>
      </w:r>
    </w:p>
    <w:p w14:paraId="7F961C2B" w14:textId="5E4B4A89" w:rsidR="0002461D" w:rsidRDefault="0002461D" w:rsidP="0002461D">
      <w:pPr>
        <w:snapToGrid w:val="0"/>
        <w:ind w:right="400"/>
        <w:rPr>
          <w:position w:val="-10"/>
        </w:rPr>
      </w:pPr>
      <w:r>
        <w:rPr>
          <w:position w:val="-10"/>
        </w:rPr>
        <w:lastRenderedPageBreak/>
        <w:t xml:space="preserve">Based on the formulation </w:t>
      </w:r>
      <w:r>
        <w:rPr>
          <w:iCs/>
          <w:position w:val="-10"/>
        </w:rPr>
        <w:fldChar w:fldCharType="begin"/>
      </w:r>
      <w:r>
        <w:rPr>
          <w:iCs/>
          <w:position w:val="-10"/>
        </w:rPr>
        <w:instrText xml:space="preserve"> GOTOBUTTON ZEqnNum162244  \* MERGEFORMAT </w:instrText>
      </w:r>
      <w:r>
        <w:rPr>
          <w:iCs/>
          <w:position w:val="-10"/>
        </w:rPr>
        <w:fldChar w:fldCharType="begin"/>
      </w:r>
      <w:r>
        <w:rPr>
          <w:iCs/>
          <w:position w:val="-10"/>
        </w:rPr>
        <w:instrText xml:space="preserve"> REF ZEqnNum162244 \* Charformat \! \* MERGEFORMAT </w:instrText>
      </w:r>
      <w:r>
        <w:rPr>
          <w:iCs/>
          <w:position w:val="-10"/>
        </w:rPr>
        <w:fldChar w:fldCharType="separate"/>
      </w:r>
      <w:r w:rsidR="0005064B" w:rsidRPr="0005064B">
        <w:rPr>
          <w:iCs/>
          <w:position w:val="-10"/>
        </w:rPr>
        <w:instrText>(9)</w:instrText>
      </w:r>
      <w:r>
        <w:rPr>
          <w:iCs/>
          <w:position w:val="-10"/>
        </w:rPr>
        <w:fldChar w:fldCharType="end"/>
      </w:r>
      <w:r>
        <w:rPr>
          <w:iCs/>
          <w:position w:val="-10"/>
        </w:rPr>
        <w:fldChar w:fldCharType="end"/>
      </w:r>
      <w:r>
        <w:rPr>
          <w:position w:val="-10"/>
        </w:rPr>
        <w:t>, the a</w:t>
      </w:r>
      <w:r w:rsidRPr="00540D67">
        <w:rPr>
          <w:position w:val="-10"/>
        </w:rPr>
        <w:t>rithmetic logic</w:t>
      </w:r>
      <w:r>
        <w:rPr>
          <w:position w:val="-10"/>
        </w:rPr>
        <w:t xml:space="preserve"> of the software is:</w:t>
      </w:r>
    </w:p>
    <w:p w14:paraId="3CC3A2C5" w14:textId="77777777" w:rsidR="0002461D" w:rsidRDefault="0002461D" w:rsidP="0002461D">
      <w:pPr>
        <w:snapToGrid w:val="0"/>
        <w:ind w:right="400"/>
        <w:jc w:val="center"/>
        <w:rPr>
          <w:position w:val="-10"/>
        </w:rPr>
      </w:pPr>
      <w:r>
        <w:rPr>
          <w:noProof/>
          <w:lang w:eastAsia="en-GB"/>
        </w:rPr>
        <w:drawing>
          <wp:inline distT="0" distB="0" distL="0" distR="0" wp14:anchorId="7D36B641" wp14:editId="36FAE87B">
            <wp:extent cx="4489681" cy="495325"/>
            <wp:effectExtent l="0" t="0" r="635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489681" cy="495325"/>
                    </a:xfrm>
                    <a:prstGeom prst="rect">
                      <a:avLst/>
                    </a:prstGeom>
                  </pic:spPr>
                </pic:pic>
              </a:graphicData>
            </a:graphic>
          </wp:inline>
        </w:drawing>
      </w:r>
      <w:r>
        <w:rPr>
          <w:noProof/>
        </w:rPr>
        <w:t xml:space="preserve"> </w:t>
      </w:r>
    </w:p>
    <w:p w14:paraId="384830DD" w14:textId="77777777" w:rsidR="0002461D" w:rsidRDefault="0002461D" w:rsidP="0002461D">
      <w:pPr>
        <w:snapToGrid w:val="0"/>
      </w:pPr>
      <w:r>
        <w:t>The variable cost is constituted by the cost of In-facility Goods Handling (</w:t>
      </w:r>
      <w:r w:rsidRPr="00EF314E">
        <w:rPr>
          <w:noProof/>
          <w:position w:val="-6"/>
        </w:rPr>
        <w:object w:dxaOrig="400" w:dyaOrig="320" w14:anchorId="2F1CC612">
          <v:shape id="_x0000_i1046" type="#_x0000_t75" style="width:21.55pt;height:14.2pt" o:ole="">
            <v:imagedata r:id="rId171" o:title=""/>
          </v:shape>
          <o:OLEObject Type="Embed" ProgID="Equation.DSMT4" ShapeID="_x0000_i1046" DrawAspect="Content" ObjectID="_1681648053" r:id="rId172"/>
        </w:object>
      </w:r>
      <w:r>
        <w:t>), Last-mile Delivery</w:t>
      </w:r>
      <w:r w:rsidRPr="00676408">
        <w:rPr>
          <w:noProof/>
          <w:position w:val="-10"/>
        </w:rPr>
        <w:object w:dxaOrig="560" w:dyaOrig="360" w14:anchorId="7DE75BCE">
          <v:shape id="_x0000_i1047" type="#_x0000_t75" style="width:28.45pt;height:21.55pt" o:ole="">
            <v:imagedata r:id="rId173" o:title=""/>
          </v:shape>
          <o:OLEObject Type="Embed" ProgID="Equation.DSMT4" ShapeID="_x0000_i1047" DrawAspect="Content" ObjectID="_1681648054" r:id="rId174"/>
        </w:object>
      </w:r>
      <w:r>
        <w:t>,</w:t>
      </w:r>
      <w:r w:rsidRPr="00931B34">
        <w:t xml:space="preserve"> </w:t>
      </w:r>
      <w:r>
        <w:t xml:space="preserve">and Goods Receipt </w:t>
      </w:r>
      <w:r w:rsidRPr="00242DFE">
        <w:rPr>
          <w:noProof/>
          <w:position w:val="-10"/>
        </w:rPr>
        <w:object w:dxaOrig="580" w:dyaOrig="360" w14:anchorId="2FB9E1AD">
          <v:shape id="_x0000_i1048" type="#_x0000_t75" style="width:28.45pt;height:21.55pt" o:ole="">
            <v:imagedata r:id="rId175" o:title=""/>
          </v:shape>
          <o:OLEObject Type="Embed" ProgID="Equation.DSMT4" ShapeID="_x0000_i1048" DrawAspect="Content" ObjectID="_1681648055" r:id="rId176"/>
        </w:object>
      </w:r>
      <w:r>
        <w:t>.</w:t>
      </w:r>
    </w:p>
    <w:p w14:paraId="44876B32" w14:textId="53101B7E" w:rsidR="0002461D" w:rsidRDefault="0002461D" w:rsidP="0002461D">
      <w:pPr>
        <w:pStyle w:val="MTDisplayEquation"/>
        <w:spacing w:line="360" w:lineRule="auto"/>
      </w:pPr>
      <w:r>
        <w:tab/>
      </w:r>
      <w:r w:rsidRPr="009E62AA">
        <w:rPr>
          <w:noProof/>
          <w:position w:val="-6"/>
        </w:rPr>
        <w:object w:dxaOrig="3080" w:dyaOrig="320" w14:anchorId="09137CCC">
          <v:shape id="_x0000_i1049" type="#_x0000_t75" style="width:151.4pt;height:14.2pt" o:ole="">
            <v:imagedata r:id="rId177" o:title=""/>
          </v:shape>
          <o:OLEObject Type="Embed" ProgID="Equation.DSMT4" ShapeID="_x0000_i1049" DrawAspect="Content" ObjectID="_1681648056" r:id="rId178"/>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1285" w:name="ZEqnNum443154"/>
      <w:r>
        <w:instrText>(</w:instrText>
      </w:r>
      <w:r w:rsidR="000306D9">
        <w:fldChar w:fldCharType="begin"/>
      </w:r>
      <w:r w:rsidR="000306D9">
        <w:instrText xml:space="preserve"> SEQ MTEqn \c \* Arabic \* MERGEFORMAT </w:instrText>
      </w:r>
      <w:r w:rsidR="000306D9">
        <w:fldChar w:fldCharType="separate"/>
      </w:r>
      <w:r w:rsidR="0005064B">
        <w:rPr>
          <w:noProof/>
        </w:rPr>
        <w:instrText>10</w:instrText>
      </w:r>
      <w:r w:rsidR="000306D9">
        <w:rPr>
          <w:noProof/>
        </w:rPr>
        <w:fldChar w:fldCharType="end"/>
      </w:r>
      <w:r>
        <w:instrText>)</w:instrText>
      </w:r>
      <w:bookmarkEnd w:id="1285"/>
      <w:r>
        <w:fldChar w:fldCharType="end"/>
      </w:r>
    </w:p>
    <w:p w14:paraId="1A283FFF" w14:textId="00A8E422" w:rsidR="0002461D" w:rsidRPr="005D671F" w:rsidRDefault="0002461D" w:rsidP="0002461D">
      <w:pPr>
        <w:pStyle w:val="MTDisplayEquation"/>
        <w:spacing w:line="360" w:lineRule="auto"/>
        <w:rPr>
          <w:rFonts w:eastAsiaTheme="minorEastAsia" w:cstheme="minorBidi"/>
          <w:kern w:val="0"/>
          <w:szCs w:val="22"/>
          <w:lang w:val="en-GB"/>
        </w:rPr>
      </w:pPr>
      <w:r w:rsidRPr="005D671F">
        <w:rPr>
          <w:rFonts w:eastAsiaTheme="minorEastAsia" w:cstheme="minorBidi"/>
          <w:kern w:val="0"/>
          <w:szCs w:val="22"/>
          <w:lang w:val="en-GB"/>
        </w:rPr>
        <w:t>Based on the formulation</w:t>
      </w:r>
      <w:r w:rsidR="005D671F" w:rsidRPr="005D671F">
        <w:rPr>
          <w:rFonts w:eastAsiaTheme="minorEastAsia" w:cstheme="minorBidi"/>
          <w:kern w:val="0"/>
          <w:szCs w:val="22"/>
          <w:lang w:val="en-GB"/>
        </w:rPr>
        <w:t>,</w:t>
      </w:r>
      <w:r w:rsidRPr="005D671F">
        <w:rPr>
          <w:rFonts w:eastAsiaTheme="minorEastAsia" w:cstheme="minorBidi"/>
          <w:kern w:val="0"/>
          <w:szCs w:val="22"/>
          <w:lang w:val="en-GB"/>
        </w:rPr>
        <w:t xml:space="preserve"> </w:t>
      </w:r>
      <w:proofErr w:type="gramStart"/>
      <w:r w:rsidRPr="005D671F">
        <w:rPr>
          <w:rFonts w:eastAsiaTheme="minorEastAsia" w:cstheme="minorBidi"/>
          <w:kern w:val="0"/>
          <w:szCs w:val="22"/>
          <w:lang w:val="en-GB"/>
        </w:rPr>
        <w:t>the final result</w:t>
      </w:r>
      <w:proofErr w:type="gramEnd"/>
      <w:r w:rsidRPr="005D671F">
        <w:rPr>
          <w:rFonts w:eastAsiaTheme="minorEastAsia" w:cstheme="minorBidi"/>
          <w:kern w:val="0"/>
          <w:szCs w:val="22"/>
          <w:lang w:val="en-GB"/>
        </w:rPr>
        <w:t xml:space="preserve"> of the In-facility goods handling cost can be calculated by:</w:t>
      </w:r>
    </w:p>
    <w:p w14:paraId="6B150AC6" w14:textId="77777777" w:rsidR="00DA06C6" w:rsidRDefault="0002461D" w:rsidP="00DA06C6">
      <w:pPr>
        <w:pStyle w:val="MTDisplayEquation"/>
        <w:spacing w:line="360" w:lineRule="auto"/>
        <w:jc w:val="center"/>
        <w:rPr>
          <w:color w:val="FF0000"/>
        </w:rPr>
      </w:pPr>
      <w:r w:rsidRPr="003A2EBF">
        <w:rPr>
          <w:noProof/>
          <w:color w:val="FF0000"/>
          <w:lang w:val="en-GB" w:eastAsia="en-GB"/>
        </w:rPr>
        <w:drawing>
          <wp:inline distT="0" distB="0" distL="0" distR="0" wp14:anchorId="52B57CBE" wp14:editId="177F587F">
            <wp:extent cx="2051155" cy="222261"/>
            <wp:effectExtent l="0" t="0" r="6350" b="635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051155" cy="222261"/>
                    </a:xfrm>
                    <a:prstGeom prst="rect">
                      <a:avLst/>
                    </a:prstGeom>
                  </pic:spPr>
                </pic:pic>
              </a:graphicData>
            </a:graphic>
          </wp:inline>
        </w:drawing>
      </w:r>
    </w:p>
    <w:p w14:paraId="4FC41C8A" w14:textId="53654080" w:rsidR="0002461D" w:rsidRPr="00DA06C6" w:rsidRDefault="0002461D" w:rsidP="00DA06C6">
      <w:pPr>
        <w:pStyle w:val="MTDisplayEquation"/>
        <w:spacing w:line="360" w:lineRule="auto"/>
        <w:rPr>
          <w:color w:val="FF0000"/>
        </w:rPr>
      </w:pPr>
      <w:r>
        <w:t>Depending on the formulation</w:t>
      </w:r>
      <w:r>
        <w:rPr>
          <w:iCs/>
        </w:rPr>
        <w:t xml:space="preserve"> the values of the </w:t>
      </w:r>
      <w:r>
        <w:t>Cost of Last-mile Delivery is:</w:t>
      </w:r>
    </w:p>
    <w:p w14:paraId="3187AEF4" w14:textId="77777777" w:rsidR="0002461D" w:rsidRDefault="0002461D" w:rsidP="0002461D">
      <w:pPr>
        <w:jc w:val="center"/>
      </w:pPr>
      <w:r>
        <w:rPr>
          <w:noProof/>
          <w:lang w:eastAsia="en-GB"/>
        </w:rPr>
        <w:drawing>
          <wp:inline distT="0" distB="0" distL="0" distR="0" wp14:anchorId="0B72C0F4" wp14:editId="4C6108B0">
            <wp:extent cx="3232316" cy="438173"/>
            <wp:effectExtent l="0" t="0" r="635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232316" cy="438173"/>
                    </a:xfrm>
                    <a:prstGeom prst="rect">
                      <a:avLst/>
                    </a:prstGeom>
                  </pic:spPr>
                </pic:pic>
              </a:graphicData>
            </a:graphic>
          </wp:inline>
        </w:drawing>
      </w:r>
    </w:p>
    <w:p w14:paraId="3D4F91CB" w14:textId="680FE25E" w:rsidR="0002461D" w:rsidRDefault="0002461D" w:rsidP="0002461D">
      <w:r>
        <w:t>Standing on the formulation</w:t>
      </w:r>
      <w:r>
        <w:rPr>
          <w:iCs/>
        </w:rPr>
        <w:t xml:space="preserve"> </w:t>
      </w:r>
      <w:r>
        <w:fldChar w:fldCharType="begin"/>
      </w:r>
      <w:r>
        <w:instrText xml:space="preserve"> GOTOBUTTON ZEqnNum462321  \* MERGEFORMAT </w:instrText>
      </w:r>
      <w:r>
        <w:fldChar w:fldCharType="begin"/>
      </w:r>
      <w:r>
        <w:instrText xml:space="preserve"> REF ZEqnNum462321 \* Charformat \! \* MERGEFORMAT </w:instrText>
      </w:r>
      <w:r>
        <w:fldChar w:fldCharType="separate"/>
      </w:r>
      <w:r w:rsidR="0005064B">
        <w:rPr>
          <w:b/>
          <w:bCs/>
          <w:lang w:val="en-US"/>
        </w:rPr>
        <w:instrText>Error! Reference source not found.</w:instrText>
      </w:r>
      <w:r>
        <w:fldChar w:fldCharType="end"/>
      </w:r>
      <w:r>
        <w:fldChar w:fldCharType="end"/>
      </w:r>
      <w:r>
        <w:rPr>
          <w:iCs/>
        </w:rPr>
        <w:t xml:space="preserve">, the values of the </w:t>
      </w:r>
      <w:r>
        <w:t>cost for Goods Receipt is:</w:t>
      </w:r>
    </w:p>
    <w:p w14:paraId="3098F9B4" w14:textId="77777777" w:rsidR="0002461D" w:rsidRPr="00DF49F8" w:rsidRDefault="0002461D" w:rsidP="0002461D">
      <w:pPr>
        <w:jc w:val="center"/>
      </w:pPr>
      <w:r>
        <w:rPr>
          <w:noProof/>
          <w:lang w:eastAsia="en-GB"/>
        </w:rPr>
        <w:drawing>
          <wp:inline distT="0" distB="0" distL="0" distR="0" wp14:anchorId="41971CAE" wp14:editId="5D3429C2">
            <wp:extent cx="2051155" cy="222261"/>
            <wp:effectExtent l="0" t="0" r="6350" b="635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051155" cy="222261"/>
                    </a:xfrm>
                    <a:prstGeom prst="rect">
                      <a:avLst/>
                    </a:prstGeom>
                  </pic:spPr>
                </pic:pic>
              </a:graphicData>
            </a:graphic>
          </wp:inline>
        </w:drawing>
      </w:r>
    </w:p>
    <w:p w14:paraId="77B049E0" w14:textId="77777777" w:rsidR="0002461D" w:rsidRDefault="0002461D" w:rsidP="0002461D">
      <w:pPr>
        <w:snapToGrid w:val="0"/>
      </w:pPr>
      <w:r>
        <w:t>The Total Income of the UCC can be calculated by the following formulation:</w:t>
      </w:r>
    </w:p>
    <w:p w14:paraId="410F0E43" w14:textId="689155F0" w:rsidR="0002461D" w:rsidRDefault="0002461D" w:rsidP="0002461D">
      <w:pPr>
        <w:pStyle w:val="MTDisplayEquation"/>
        <w:spacing w:line="360" w:lineRule="auto"/>
      </w:pPr>
      <w:r>
        <w:tab/>
      </w:r>
      <w:r w:rsidRPr="00C519B0">
        <w:rPr>
          <w:noProof/>
          <w:position w:val="-10"/>
        </w:rPr>
        <w:object w:dxaOrig="7460" w:dyaOrig="320" w14:anchorId="4BA75482">
          <v:shape id="_x0000_i1050" type="#_x0000_t75" style="width:374.1pt;height:14.2pt" o:ole="">
            <v:imagedata r:id="rId182" o:title=""/>
          </v:shape>
          <o:OLEObject Type="Embed" ProgID="Equation.DSMT4" ShapeID="_x0000_i1050" DrawAspect="Content" ObjectID="_1681648057" r:id="rId183"/>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0306D9">
        <w:fldChar w:fldCharType="begin"/>
      </w:r>
      <w:r w:rsidR="000306D9">
        <w:instrText xml:space="preserve"> SEQ MTEqn \c \* Arabic \* MERGEFORMAT </w:instrText>
      </w:r>
      <w:r w:rsidR="000306D9">
        <w:fldChar w:fldCharType="separate"/>
      </w:r>
      <w:r w:rsidR="0005064B">
        <w:rPr>
          <w:noProof/>
        </w:rPr>
        <w:instrText>11</w:instrText>
      </w:r>
      <w:r w:rsidR="000306D9">
        <w:rPr>
          <w:noProof/>
        </w:rPr>
        <w:fldChar w:fldCharType="end"/>
      </w:r>
      <w:r>
        <w:instrText>)</w:instrText>
      </w:r>
      <w:r>
        <w:fldChar w:fldCharType="end"/>
      </w:r>
    </w:p>
    <w:p w14:paraId="79A2EBCA" w14:textId="77777777" w:rsidR="0002461D" w:rsidRDefault="0002461D" w:rsidP="0002461D">
      <w:pPr>
        <w:snapToGrid w:val="0"/>
      </w:pPr>
      <w:r>
        <w:t xml:space="preserve">Based on this, </w:t>
      </w:r>
    </w:p>
    <w:p w14:paraId="7A3CA136" w14:textId="77777777" w:rsidR="0002461D" w:rsidRDefault="0002461D" w:rsidP="0002461D">
      <w:pPr>
        <w:snapToGrid w:val="0"/>
        <w:jc w:val="center"/>
      </w:pPr>
      <w:r>
        <w:rPr>
          <w:noProof/>
          <w:lang w:eastAsia="en-GB"/>
        </w:rPr>
        <w:drawing>
          <wp:inline distT="0" distB="0" distL="0" distR="0" wp14:anchorId="3532DC8E" wp14:editId="7B440EB2">
            <wp:extent cx="1479626" cy="222261"/>
            <wp:effectExtent l="0" t="0" r="6350" b="635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479626" cy="222261"/>
                    </a:xfrm>
                    <a:prstGeom prst="rect">
                      <a:avLst/>
                    </a:prstGeom>
                  </pic:spPr>
                </pic:pic>
              </a:graphicData>
            </a:graphic>
          </wp:inline>
        </w:drawing>
      </w:r>
    </w:p>
    <w:p w14:paraId="03018623" w14:textId="77777777" w:rsidR="0002461D" w:rsidRDefault="0002461D" w:rsidP="0002461D">
      <w:pPr>
        <w:snapToGrid w:val="0"/>
      </w:pPr>
      <w:r>
        <w:t>The Gross Profit of the UCC can be calculated by the following formulation:</w:t>
      </w:r>
    </w:p>
    <w:p w14:paraId="6C83A762" w14:textId="093013BF" w:rsidR="0002461D" w:rsidRDefault="0002461D" w:rsidP="0002461D">
      <w:pPr>
        <w:pStyle w:val="MTDisplayEquation"/>
      </w:pPr>
      <w:r>
        <w:tab/>
      </w:r>
      <w:r w:rsidRPr="00D3244D">
        <w:rPr>
          <w:noProof/>
          <w:position w:val="-10"/>
        </w:rPr>
        <w:object w:dxaOrig="5480" w:dyaOrig="320" w14:anchorId="6D61D41E">
          <v:shape id="_x0000_i1051" type="#_x0000_t75" style="width:273.75pt;height:14.2pt" o:ole="">
            <v:imagedata r:id="rId185" o:title=""/>
          </v:shape>
          <o:OLEObject Type="Embed" ProgID="Equation.DSMT4" ShapeID="_x0000_i1051" DrawAspect="Content" ObjectID="_1681648058" r:id="rId186"/>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0306D9">
        <w:fldChar w:fldCharType="begin"/>
      </w:r>
      <w:r w:rsidR="000306D9">
        <w:instrText xml:space="preserve"> SEQ MTEqn \c \</w:instrText>
      </w:r>
      <w:r w:rsidR="000306D9">
        <w:instrText xml:space="preserve">* Arabic \* MERGEFORMAT </w:instrText>
      </w:r>
      <w:r w:rsidR="000306D9">
        <w:fldChar w:fldCharType="separate"/>
      </w:r>
      <w:r w:rsidR="0005064B">
        <w:rPr>
          <w:noProof/>
        </w:rPr>
        <w:instrText>12</w:instrText>
      </w:r>
      <w:r w:rsidR="000306D9">
        <w:rPr>
          <w:noProof/>
        </w:rPr>
        <w:fldChar w:fldCharType="end"/>
      </w:r>
      <w:r>
        <w:instrText>)</w:instrText>
      </w:r>
      <w:r>
        <w:fldChar w:fldCharType="end"/>
      </w:r>
    </w:p>
    <w:p w14:paraId="11B93D10" w14:textId="77777777" w:rsidR="0002461D" w:rsidRDefault="0002461D" w:rsidP="0002461D">
      <w:pPr>
        <w:snapToGrid w:val="0"/>
      </w:pPr>
      <w:r>
        <w:t xml:space="preserve">Based on this, </w:t>
      </w:r>
    </w:p>
    <w:p w14:paraId="0A684CEF" w14:textId="77777777" w:rsidR="0002461D" w:rsidRPr="00D3244D" w:rsidRDefault="0002461D" w:rsidP="0002461D">
      <w:pPr>
        <w:jc w:val="center"/>
      </w:pPr>
      <w:r>
        <w:rPr>
          <w:noProof/>
          <w:lang w:eastAsia="en-GB"/>
        </w:rPr>
        <w:drawing>
          <wp:inline distT="0" distB="0" distL="0" distR="0" wp14:anchorId="7CF4BE11" wp14:editId="542C98AC">
            <wp:extent cx="3143412" cy="234962"/>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143412" cy="234962"/>
                    </a:xfrm>
                    <a:prstGeom prst="rect">
                      <a:avLst/>
                    </a:prstGeom>
                  </pic:spPr>
                </pic:pic>
              </a:graphicData>
            </a:graphic>
          </wp:inline>
        </w:drawing>
      </w:r>
    </w:p>
    <w:p w14:paraId="1D95A983" w14:textId="114A3910" w:rsidR="0002461D" w:rsidRDefault="0002461D" w:rsidP="005B543A">
      <w:pPr>
        <w:snapToGrid w:val="0"/>
      </w:pPr>
      <w:r>
        <w:t>The data source in this experiment of the simulation are from three domains, in terms of (1) secondary data from website and the previous report (</w:t>
      </w:r>
      <w:r>
        <w:fldChar w:fldCharType="begin"/>
      </w:r>
      <w:r>
        <w:instrText xml:space="preserve"> REF _Ref13928642 \h  \* MERGEFORMAT </w:instrText>
      </w:r>
      <w:r>
        <w:fldChar w:fldCharType="separate"/>
      </w:r>
      <w:r w:rsidR="0005064B" w:rsidRPr="00525710">
        <w:t xml:space="preserve">Table </w:t>
      </w:r>
      <w:r>
        <w:fldChar w:fldCharType="end"/>
      </w:r>
      <w:r>
        <w:t xml:space="preserve">); (2) the primary </w:t>
      </w:r>
      <w:r>
        <w:lastRenderedPageBreak/>
        <w:t>data from planning result of the “E-miles” simulation software (</w:t>
      </w:r>
      <w:r>
        <w:fldChar w:fldCharType="begin"/>
      </w:r>
      <w:r>
        <w:instrText xml:space="preserve"> REF _Ref13928721 \h  \* MERGEFORMAT </w:instrText>
      </w:r>
      <w:r>
        <w:fldChar w:fldCharType="separate"/>
      </w:r>
      <w:r w:rsidR="0005064B">
        <w:rPr>
          <w:b/>
          <w:bCs/>
          <w:lang w:val="en-US"/>
        </w:rPr>
        <w:t>Error! Reference source not found.</w:t>
      </w:r>
      <w:r>
        <w:fldChar w:fldCharType="end"/>
      </w:r>
      <w:r>
        <w:t>); (3) the assumed data from subjective estimation (</w:t>
      </w:r>
      <w:r>
        <w:fldChar w:fldCharType="begin"/>
      </w:r>
      <w:r>
        <w:instrText xml:space="preserve"> REF _Ref13928815 \h  \* MERGEFORMAT </w:instrText>
      </w:r>
      <w:r>
        <w:fldChar w:fldCharType="separate"/>
      </w:r>
      <w:r w:rsidR="0005064B" w:rsidRPr="00525710">
        <w:t>Table</w:t>
      </w:r>
      <w:r w:rsidR="0005064B" w:rsidRPr="00525710">
        <w:rPr>
          <w:noProof/>
        </w:rPr>
        <w:t xml:space="preserve"> </w:t>
      </w:r>
      <w:r>
        <w:fldChar w:fldCharType="end"/>
      </w:r>
      <w:r>
        <w:t>).</w:t>
      </w:r>
    </w:p>
    <w:p w14:paraId="1194C84E" w14:textId="11631C83" w:rsidR="0002461D" w:rsidRPr="00525710" w:rsidRDefault="0002461D" w:rsidP="0002461D">
      <w:pPr>
        <w:pStyle w:val="Caption"/>
        <w:snapToGrid w:val="0"/>
        <w:rPr>
          <w:i w:val="0"/>
          <w:iCs w:val="0"/>
        </w:rPr>
      </w:pPr>
      <w:bookmarkStart w:id="1286" w:name="_Ref13928642"/>
      <w:r w:rsidRPr="00525710">
        <w:rPr>
          <w:i w:val="0"/>
          <w:iCs w:val="0"/>
        </w:rPr>
        <w:t xml:space="preserve">Table </w:t>
      </w:r>
      <w:bookmarkEnd w:id="1286"/>
      <w:r w:rsidR="00DA06C6" w:rsidRPr="00525710">
        <w:rPr>
          <w:i w:val="0"/>
          <w:iCs w:val="0"/>
        </w:rPr>
        <w:t>VII.2</w:t>
      </w:r>
      <w:r w:rsidRPr="00525710">
        <w:rPr>
          <w:i w:val="0"/>
          <w:iCs w:val="0"/>
        </w:rPr>
        <w:t>-Secondary data</w:t>
      </w:r>
    </w:p>
    <w:tbl>
      <w:tblPr>
        <w:tblStyle w:val="TableGrid"/>
        <w:tblW w:w="0" w:type="auto"/>
        <w:tblLook w:val="04A0" w:firstRow="1" w:lastRow="0" w:firstColumn="1" w:lastColumn="0" w:noHBand="0" w:noVBand="1"/>
      </w:tblPr>
      <w:tblGrid>
        <w:gridCol w:w="2695"/>
        <w:gridCol w:w="1448"/>
        <w:gridCol w:w="2021"/>
        <w:gridCol w:w="2132"/>
      </w:tblGrid>
      <w:tr w:rsidR="0002461D" w14:paraId="612A1AC8" w14:textId="77777777" w:rsidTr="000A1977">
        <w:tc>
          <w:tcPr>
            <w:tcW w:w="2972" w:type="dxa"/>
          </w:tcPr>
          <w:p w14:paraId="13D51747" w14:textId="77777777" w:rsidR="0002461D" w:rsidRPr="00BD4BB5" w:rsidRDefault="0002461D" w:rsidP="000A1977">
            <w:pPr>
              <w:snapToGrid w:val="0"/>
              <w:jc w:val="center"/>
              <w:rPr>
                <w:sz w:val="22"/>
              </w:rPr>
            </w:pPr>
            <w:r>
              <w:t>Data Categories</w:t>
            </w:r>
          </w:p>
        </w:tc>
        <w:tc>
          <w:tcPr>
            <w:tcW w:w="1536" w:type="dxa"/>
          </w:tcPr>
          <w:p w14:paraId="70EAC872" w14:textId="77777777" w:rsidR="0002461D" w:rsidRPr="00BD4BB5" w:rsidRDefault="0002461D" w:rsidP="000A1977">
            <w:pPr>
              <w:snapToGrid w:val="0"/>
              <w:jc w:val="center"/>
              <w:rPr>
                <w:sz w:val="22"/>
              </w:rPr>
            </w:pPr>
            <w:r w:rsidRPr="00BD4BB5">
              <w:rPr>
                <w:sz w:val="22"/>
              </w:rPr>
              <w:t>Notation</w:t>
            </w:r>
          </w:p>
        </w:tc>
        <w:tc>
          <w:tcPr>
            <w:tcW w:w="2254" w:type="dxa"/>
          </w:tcPr>
          <w:p w14:paraId="7A18AC74" w14:textId="77777777" w:rsidR="0002461D" w:rsidRPr="00BD4BB5" w:rsidRDefault="0002461D" w:rsidP="000A1977">
            <w:pPr>
              <w:snapToGrid w:val="0"/>
              <w:jc w:val="center"/>
              <w:rPr>
                <w:sz w:val="22"/>
              </w:rPr>
            </w:pPr>
            <w:r w:rsidRPr="00BD4BB5">
              <w:rPr>
                <w:sz w:val="22"/>
              </w:rPr>
              <w:t>Values</w:t>
            </w:r>
          </w:p>
        </w:tc>
        <w:tc>
          <w:tcPr>
            <w:tcW w:w="2254" w:type="dxa"/>
          </w:tcPr>
          <w:p w14:paraId="1F9CE5D7" w14:textId="77777777" w:rsidR="0002461D" w:rsidRPr="00BD4BB5" w:rsidRDefault="0002461D" w:rsidP="000A1977">
            <w:pPr>
              <w:snapToGrid w:val="0"/>
              <w:jc w:val="center"/>
              <w:rPr>
                <w:sz w:val="22"/>
              </w:rPr>
            </w:pPr>
            <w:r w:rsidRPr="00BD4BB5">
              <w:rPr>
                <w:sz w:val="22"/>
              </w:rPr>
              <w:t>Source</w:t>
            </w:r>
          </w:p>
        </w:tc>
      </w:tr>
      <w:tr w:rsidR="0002461D" w14:paraId="37059131" w14:textId="77777777" w:rsidTr="000A1977">
        <w:tc>
          <w:tcPr>
            <w:tcW w:w="2972" w:type="dxa"/>
          </w:tcPr>
          <w:p w14:paraId="275254E8" w14:textId="77777777" w:rsidR="0002461D" w:rsidRPr="00BD4BB5" w:rsidRDefault="0002461D" w:rsidP="000A1977">
            <w:pPr>
              <w:snapToGrid w:val="0"/>
              <w:rPr>
                <w:sz w:val="22"/>
              </w:rPr>
            </w:pPr>
            <w:r w:rsidRPr="00BD4BB5">
              <w:rPr>
                <w:sz w:val="22"/>
              </w:rPr>
              <w:t>Wages of UCC Operator</w:t>
            </w:r>
          </w:p>
        </w:tc>
        <w:tc>
          <w:tcPr>
            <w:tcW w:w="1536" w:type="dxa"/>
          </w:tcPr>
          <w:p w14:paraId="1C90117D" w14:textId="77777777" w:rsidR="0002461D" w:rsidRPr="00BD4BB5" w:rsidRDefault="0002461D" w:rsidP="000A1977">
            <w:pPr>
              <w:snapToGrid w:val="0"/>
              <w:jc w:val="center"/>
              <w:rPr>
                <w:sz w:val="22"/>
              </w:rPr>
            </w:pPr>
            <w:r w:rsidRPr="00BD4BB5">
              <w:rPr>
                <w:noProof/>
                <w:kern w:val="0"/>
                <w:position w:val="-12"/>
                <w:sz w:val="22"/>
                <w:lang w:val="en-GB"/>
              </w:rPr>
              <w:object w:dxaOrig="300" w:dyaOrig="360" w14:anchorId="5D137B62">
                <v:shape id="_x0000_i1052" type="#_x0000_t75" style="width:14.2pt;height:21.55pt" o:ole="">
                  <v:imagedata r:id="rId188" o:title=""/>
                </v:shape>
                <o:OLEObject Type="Embed" ProgID="Equation.DSMT4" ShapeID="_x0000_i1052" DrawAspect="Content" ObjectID="_1681648059" r:id="rId189"/>
              </w:object>
            </w:r>
          </w:p>
        </w:tc>
        <w:tc>
          <w:tcPr>
            <w:tcW w:w="2254" w:type="dxa"/>
          </w:tcPr>
          <w:p w14:paraId="5DFBADA4" w14:textId="77777777" w:rsidR="0002461D" w:rsidRPr="00BD4BB5" w:rsidRDefault="0002461D" w:rsidP="000A1977">
            <w:pPr>
              <w:snapToGrid w:val="0"/>
              <w:rPr>
                <w:sz w:val="22"/>
              </w:rPr>
            </w:pPr>
            <w:r w:rsidRPr="00BD4BB5">
              <w:rPr>
                <w:sz w:val="22"/>
              </w:rPr>
              <w:t>£ 7.91 per hour</w:t>
            </w:r>
          </w:p>
        </w:tc>
        <w:tc>
          <w:tcPr>
            <w:tcW w:w="2254" w:type="dxa"/>
          </w:tcPr>
          <w:p w14:paraId="1B41667D" w14:textId="77777777" w:rsidR="0002461D" w:rsidRPr="00BD4BB5" w:rsidRDefault="0002461D" w:rsidP="000A1977">
            <w:pPr>
              <w:snapToGrid w:val="0"/>
              <w:rPr>
                <w:sz w:val="22"/>
              </w:rPr>
            </w:pPr>
            <w:r w:rsidRPr="00BD4BB5">
              <w:rPr>
                <w:sz w:val="22"/>
              </w:rPr>
              <w:t>Payscale</w:t>
            </w:r>
            <w:r>
              <w:rPr>
                <w:sz w:val="22"/>
              </w:rPr>
              <w:t>.com</w:t>
            </w:r>
          </w:p>
        </w:tc>
      </w:tr>
      <w:tr w:rsidR="0002461D" w14:paraId="7EB4FAAB" w14:textId="77777777" w:rsidTr="000A1977">
        <w:tc>
          <w:tcPr>
            <w:tcW w:w="2972" w:type="dxa"/>
          </w:tcPr>
          <w:p w14:paraId="6B9FDF16" w14:textId="77777777" w:rsidR="0002461D" w:rsidRPr="00BD4BB5" w:rsidRDefault="0002461D" w:rsidP="000A1977">
            <w:pPr>
              <w:snapToGrid w:val="0"/>
              <w:rPr>
                <w:sz w:val="22"/>
              </w:rPr>
            </w:pPr>
            <w:r w:rsidRPr="00BD4BB5">
              <w:rPr>
                <w:sz w:val="22"/>
              </w:rPr>
              <w:t xml:space="preserve">Wages of drivers per </w:t>
            </w:r>
            <w:r>
              <w:rPr>
                <w:sz w:val="22"/>
              </w:rPr>
              <w:t>H</w:t>
            </w:r>
            <w:r w:rsidRPr="00BD4BB5">
              <w:rPr>
                <w:sz w:val="22"/>
              </w:rPr>
              <w:t>ours</w:t>
            </w:r>
          </w:p>
        </w:tc>
        <w:tc>
          <w:tcPr>
            <w:tcW w:w="1536" w:type="dxa"/>
          </w:tcPr>
          <w:p w14:paraId="6F3E4A79" w14:textId="77777777" w:rsidR="0002461D" w:rsidRPr="00BD4BB5" w:rsidRDefault="0002461D" w:rsidP="000A1977">
            <w:pPr>
              <w:snapToGrid w:val="0"/>
              <w:jc w:val="center"/>
              <w:rPr>
                <w:sz w:val="22"/>
              </w:rPr>
            </w:pPr>
            <w:r w:rsidRPr="00BD4BB5">
              <w:rPr>
                <w:noProof/>
                <w:kern w:val="0"/>
                <w:position w:val="-12"/>
                <w:sz w:val="22"/>
                <w:lang w:val="en-GB"/>
              </w:rPr>
              <w:object w:dxaOrig="320" w:dyaOrig="360" w14:anchorId="4F713B70">
                <v:shape id="_x0000_i1053" type="#_x0000_t75" style="width:14.2pt;height:21.55pt" o:ole="">
                  <v:imagedata r:id="rId190" o:title=""/>
                </v:shape>
                <o:OLEObject Type="Embed" ProgID="Equation.DSMT4" ShapeID="_x0000_i1053" DrawAspect="Content" ObjectID="_1681648060" r:id="rId191"/>
              </w:object>
            </w:r>
          </w:p>
        </w:tc>
        <w:tc>
          <w:tcPr>
            <w:tcW w:w="2254" w:type="dxa"/>
          </w:tcPr>
          <w:p w14:paraId="43BBEAFC" w14:textId="77777777" w:rsidR="0002461D" w:rsidRPr="00BD4BB5" w:rsidRDefault="0002461D" w:rsidP="000A1977">
            <w:pPr>
              <w:snapToGrid w:val="0"/>
              <w:rPr>
                <w:sz w:val="22"/>
              </w:rPr>
            </w:pPr>
            <w:r w:rsidRPr="00BD4BB5">
              <w:rPr>
                <w:sz w:val="22"/>
              </w:rPr>
              <w:t>£ 8.09 per hour</w:t>
            </w:r>
          </w:p>
        </w:tc>
        <w:tc>
          <w:tcPr>
            <w:tcW w:w="2254" w:type="dxa"/>
          </w:tcPr>
          <w:p w14:paraId="1B329619" w14:textId="77777777" w:rsidR="0002461D" w:rsidRPr="00BD4BB5" w:rsidRDefault="0002461D" w:rsidP="000A1977">
            <w:pPr>
              <w:snapToGrid w:val="0"/>
              <w:rPr>
                <w:sz w:val="22"/>
              </w:rPr>
            </w:pPr>
            <w:r w:rsidRPr="00BD4BB5">
              <w:rPr>
                <w:sz w:val="22"/>
              </w:rPr>
              <w:t>Payscale</w:t>
            </w:r>
            <w:r>
              <w:rPr>
                <w:sz w:val="22"/>
              </w:rPr>
              <w:t>.com</w:t>
            </w:r>
          </w:p>
        </w:tc>
      </w:tr>
      <w:tr w:rsidR="0002461D" w14:paraId="0F070E0B" w14:textId="77777777" w:rsidTr="000A1977">
        <w:trPr>
          <w:trHeight w:val="265"/>
        </w:trPr>
        <w:tc>
          <w:tcPr>
            <w:tcW w:w="2972" w:type="dxa"/>
          </w:tcPr>
          <w:p w14:paraId="00017E2B" w14:textId="77777777" w:rsidR="0002461D" w:rsidRPr="00BD4BB5" w:rsidRDefault="0002461D" w:rsidP="000A1977">
            <w:pPr>
              <w:snapToGrid w:val="0"/>
              <w:rPr>
                <w:sz w:val="22"/>
              </w:rPr>
            </w:pPr>
            <w:r>
              <w:rPr>
                <w:rFonts w:hint="eastAsia"/>
                <w:sz w:val="22"/>
              </w:rPr>
              <w:t>Petro</w:t>
            </w:r>
            <w:r w:rsidRPr="00BD4BB5">
              <w:rPr>
                <w:sz w:val="22"/>
              </w:rPr>
              <w:t xml:space="preserve"> Cost per </w:t>
            </w:r>
            <w:proofErr w:type="spellStart"/>
            <w:r w:rsidRPr="00BD4BB5">
              <w:rPr>
                <w:sz w:val="22"/>
              </w:rPr>
              <w:t>Litre</w:t>
            </w:r>
            <w:proofErr w:type="spellEnd"/>
          </w:p>
        </w:tc>
        <w:tc>
          <w:tcPr>
            <w:tcW w:w="1536" w:type="dxa"/>
          </w:tcPr>
          <w:p w14:paraId="5451D777" w14:textId="77777777" w:rsidR="0002461D" w:rsidRPr="00BD4BB5" w:rsidRDefault="0002461D" w:rsidP="000A1977">
            <w:pPr>
              <w:snapToGrid w:val="0"/>
              <w:jc w:val="center"/>
              <w:rPr>
                <w:sz w:val="22"/>
              </w:rPr>
            </w:pPr>
            <w:r w:rsidRPr="00BD4BB5">
              <w:rPr>
                <w:noProof/>
                <w:kern w:val="0"/>
                <w:position w:val="-12"/>
                <w:sz w:val="22"/>
                <w:lang w:val="en-GB"/>
              </w:rPr>
              <w:object w:dxaOrig="300" w:dyaOrig="360" w14:anchorId="4602138D">
                <v:shape id="_x0000_i1054" type="#_x0000_t75" style="width:14.2pt;height:21.55pt" o:ole="">
                  <v:imagedata r:id="rId192" o:title=""/>
                </v:shape>
                <o:OLEObject Type="Embed" ProgID="Equation.DSMT4" ShapeID="_x0000_i1054" DrawAspect="Content" ObjectID="_1681648061" r:id="rId193"/>
              </w:object>
            </w:r>
          </w:p>
        </w:tc>
        <w:tc>
          <w:tcPr>
            <w:tcW w:w="2254" w:type="dxa"/>
          </w:tcPr>
          <w:p w14:paraId="62C3D1A3" w14:textId="77777777" w:rsidR="0002461D" w:rsidRPr="00BD4BB5" w:rsidRDefault="0002461D" w:rsidP="000A1977">
            <w:pPr>
              <w:snapToGrid w:val="0"/>
              <w:rPr>
                <w:sz w:val="22"/>
              </w:rPr>
            </w:pPr>
            <w:r w:rsidRPr="00BD4BB5">
              <w:rPr>
                <w:sz w:val="22"/>
              </w:rPr>
              <w:t>128 pence per L</w:t>
            </w:r>
          </w:p>
        </w:tc>
        <w:tc>
          <w:tcPr>
            <w:tcW w:w="2254" w:type="dxa"/>
          </w:tcPr>
          <w:p w14:paraId="0D4E4704" w14:textId="77777777" w:rsidR="0002461D" w:rsidRPr="00BD4BB5" w:rsidRDefault="0002461D" w:rsidP="000A1977">
            <w:pPr>
              <w:snapToGrid w:val="0"/>
              <w:rPr>
                <w:sz w:val="22"/>
              </w:rPr>
            </w:pPr>
            <w:r w:rsidRPr="00BD4BB5">
              <w:rPr>
                <w:sz w:val="22"/>
              </w:rPr>
              <w:t>Confused.com</w:t>
            </w:r>
          </w:p>
        </w:tc>
      </w:tr>
      <w:tr w:rsidR="0002461D" w14:paraId="59897BB1" w14:textId="77777777" w:rsidTr="000A1977">
        <w:trPr>
          <w:trHeight w:val="312"/>
        </w:trPr>
        <w:tc>
          <w:tcPr>
            <w:tcW w:w="2972" w:type="dxa"/>
          </w:tcPr>
          <w:p w14:paraId="1CB26835" w14:textId="77777777" w:rsidR="0002461D" w:rsidRPr="00BD4BB5" w:rsidRDefault="0002461D" w:rsidP="000A1977">
            <w:pPr>
              <w:snapToGrid w:val="0"/>
              <w:rPr>
                <w:sz w:val="22"/>
              </w:rPr>
            </w:pPr>
            <w:r>
              <w:rPr>
                <w:sz w:val="22"/>
              </w:rPr>
              <w:t>Fuel efficiency of the V</w:t>
            </w:r>
            <w:r w:rsidRPr="00BD4BB5">
              <w:rPr>
                <w:sz w:val="22"/>
              </w:rPr>
              <w:t xml:space="preserve">ehicle </w:t>
            </w:r>
          </w:p>
        </w:tc>
        <w:tc>
          <w:tcPr>
            <w:tcW w:w="1536" w:type="dxa"/>
          </w:tcPr>
          <w:p w14:paraId="0354732D" w14:textId="77777777" w:rsidR="0002461D" w:rsidRPr="00BD4BB5" w:rsidRDefault="0002461D" w:rsidP="000A1977">
            <w:pPr>
              <w:snapToGrid w:val="0"/>
              <w:jc w:val="center"/>
              <w:rPr>
                <w:sz w:val="22"/>
              </w:rPr>
            </w:pPr>
            <w:r w:rsidRPr="00BD4BB5">
              <w:rPr>
                <w:noProof/>
                <w:kern w:val="0"/>
                <w:position w:val="-6"/>
                <w:sz w:val="22"/>
                <w:lang w:val="en-GB"/>
              </w:rPr>
              <w:object w:dxaOrig="240" w:dyaOrig="220" w14:anchorId="58B4D639">
                <v:shape id="_x0000_i1055" type="#_x0000_t75" style="width:14.2pt;height:14.2pt" o:ole="">
                  <v:imagedata r:id="rId194" o:title=""/>
                </v:shape>
                <o:OLEObject Type="Embed" ProgID="Equation.DSMT4" ShapeID="_x0000_i1055" DrawAspect="Content" ObjectID="_1681648062" r:id="rId195"/>
              </w:object>
            </w:r>
          </w:p>
        </w:tc>
        <w:tc>
          <w:tcPr>
            <w:tcW w:w="2254" w:type="dxa"/>
          </w:tcPr>
          <w:p w14:paraId="59D3487B" w14:textId="77777777" w:rsidR="0002461D" w:rsidRPr="00BD4BB5" w:rsidRDefault="0002461D" w:rsidP="000A1977">
            <w:pPr>
              <w:snapToGrid w:val="0"/>
              <w:rPr>
                <w:sz w:val="22"/>
              </w:rPr>
            </w:pPr>
            <w:r w:rsidRPr="00BD4BB5">
              <w:rPr>
                <w:sz w:val="22"/>
              </w:rPr>
              <w:t>9.4 L per 100 KM</w:t>
            </w:r>
          </w:p>
        </w:tc>
        <w:tc>
          <w:tcPr>
            <w:tcW w:w="2254" w:type="dxa"/>
          </w:tcPr>
          <w:p w14:paraId="19908D4D" w14:textId="573DCFA9" w:rsidR="0002461D" w:rsidRPr="00BD4BB5" w:rsidRDefault="0002461D" w:rsidP="000A1977">
            <w:pPr>
              <w:snapToGrid w:val="0"/>
              <w:rPr>
                <w:sz w:val="22"/>
              </w:rPr>
            </w:pPr>
            <w:r w:rsidRPr="00BD4BB5">
              <w:rPr>
                <w:sz w:val="22"/>
              </w:rPr>
              <w:t>(BTS, 2017)</w:t>
            </w:r>
          </w:p>
        </w:tc>
      </w:tr>
    </w:tbl>
    <w:p w14:paraId="0A5B2266" w14:textId="052DD2B0" w:rsidR="0002461D" w:rsidRPr="00525710" w:rsidRDefault="0079501F" w:rsidP="0002461D">
      <w:pPr>
        <w:pStyle w:val="Caption"/>
        <w:snapToGrid w:val="0"/>
        <w:rPr>
          <w:i w:val="0"/>
          <w:iCs w:val="0"/>
        </w:rPr>
      </w:pPr>
      <w:bookmarkStart w:id="1287" w:name="_Toc46053606"/>
      <w:bookmarkStart w:id="1288" w:name="_Toc46093855"/>
      <w:r>
        <w:rPr>
          <w:i w:val="0"/>
          <w:iCs w:val="0"/>
        </w:rPr>
        <w:t xml:space="preserve">Table VII.2 </w:t>
      </w:r>
      <w:r w:rsidR="0002461D" w:rsidRPr="00525710">
        <w:rPr>
          <w:i w:val="0"/>
          <w:iCs w:val="0"/>
        </w:rPr>
        <w:t>Data from Planning Result</w:t>
      </w:r>
      <w:bookmarkEnd w:id="1287"/>
      <w:bookmarkEnd w:id="1288"/>
    </w:p>
    <w:tbl>
      <w:tblPr>
        <w:tblStyle w:val="TableGrid"/>
        <w:tblW w:w="0" w:type="auto"/>
        <w:tblLook w:val="04A0" w:firstRow="1" w:lastRow="0" w:firstColumn="1" w:lastColumn="0" w:noHBand="0" w:noVBand="1"/>
      </w:tblPr>
      <w:tblGrid>
        <w:gridCol w:w="2845"/>
        <w:gridCol w:w="1356"/>
        <w:gridCol w:w="2029"/>
        <w:gridCol w:w="2066"/>
      </w:tblGrid>
      <w:tr w:rsidR="0002461D" w14:paraId="6FE89449" w14:textId="77777777" w:rsidTr="000A1977">
        <w:tc>
          <w:tcPr>
            <w:tcW w:w="3114" w:type="dxa"/>
          </w:tcPr>
          <w:p w14:paraId="65436883" w14:textId="77777777" w:rsidR="0002461D" w:rsidRPr="008658E1" w:rsidRDefault="0002461D" w:rsidP="000A1977">
            <w:pPr>
              <w:snapToGrid w:val="0"/>
              <w:jc w:val="center"/>
              <w:rPr>
                <w:sz w:val="22"/>
              </w:rPr>
            </w:pPr>
            <w:r w:rsidRPr="008658E1">
              <w:rPr>
                <w:sz w:val="22"/>
              </w:rPr>
              <w:t>Data Categories</w:t>
            </w:r>
          </w:p>
        </w:tc>
        <w:tc>
          <w:tcPr>
            <w:tcW w:w="1417" w:type="dxa"/>
          </w:tcPr>
          <w:p w14:paraId="660D520A" w14:textId="77777777" w:rsidR="0002461D" w:rsidRPr="008658E1" w:rsidRDefault="0002461D" w:rsidP="000A1977">
            <w:pPr>
              <w:snapToGrid w:val="0"/>
              <w:jc w:val="center"/>
              <w:rPr>
                <w:sz w:val="22"/>
              </w:rPr>
            </w:pPr>
            <w:r w:rsidRPr="008658E1">
              <w:rPr>
                <w:sz w:val="22"/>
              </w:rPr>
              <w:t>Notation</w:t>
            </w:r>
          </w:p>
        </w:tc>
        <w:tc>
          <w:tcPr>
            <w:tcW w:w="2231" w:type="dxa"/>
          </w:tcPr>
          <w:p w14:paraId="28112B6B" w14:textId="77777777" w:rsidR="0002461D" w:rsidRPr="008658E1" w:rsidRDefault="0002461D" w:rsidP="000A1977">
            <w:pPr>
              <w:snapToGrid w:val="0"/>
              <w:jc w:val="center"/>
              <w:rPr>
                <w:sz w:val="22"/>
              </w:rPr>
            </w:pPr>
            <w:r w:rsidRPr="008658E1">
              <w:rPr>
                <w:sz w:val="22"/>
              </w:rPr>
              <w:t>Values</w:t>
            </w:r>
          </w:p>
        </w:tc>
        <w:tc>
          <w:tcPr>
            <w:tcW w:w="2254" w:type="dxa"/>
          </w:tcPr>
          <w:p w14:paraId="35BB5CEC" w14:textId="77777777" w:rsidR="0002461D" w:rsidRPr="008658E1" w:rsidRDefault="0002461D" w:rsidP="000A1977">
            <w:pPr>
              <w:snapToGrid w:val="0"/>
              <w:jc w:val="center"/>
              <w:rPr>
                <w:sz w:val="22"/>
              </w:rPr>
            </w:pPr>
            <w:r w:rsidRPr="008658E1">
              <w:rPr>
                <w:sz w:val="22"/>
              </w:rPr>
              <w:t>Source</w:t>
            </w:r>
          </w:p>
        </w:tc>
      </w:tr>
      <w:tr w:rsidR="0002461D" w14:paraId="25E66754" w14:textId="77777777" w:rsidTr="000A1977">
        <w:tc>
          <w:tcPr>
            <w:tcW w:w="3114" w:type="dxa"/>
          </w:tcPr>
          <w:p w14:paraId="488DAA75" w14:textId="77777777" w:rsidR="0002461D" w:rsidRPr="00097FB4" w:rsidRDefault="0002461D" w:rsidP="000A1977">
            <w:pPr>
              <w:snapToGrid w:val="0"/>
              <w:rPr>
                <w:sz w:val="22"/>
              </w:rPr>
            </w:pPr>
            <w:r w:rsidRPr="00097FB4">
              <w:rPr>
                <w:sz w:val="22"/>
              </w:rPr>
              <w:t>Numbers of Consumers</w:t>
            </w:r>
          </w:p>
        </w:tc>
        <w:tc>
          <w:tcPr>
            <w:tcW w:w="1417" w:type="dxa"/>
          </w:tcPr>
          <w:p w14:paraId="7DD120BE" w14:textId="77777777" w:rsidR="0002461D" w:rsidRPr="00097FB4" w:rsidRDefault="0002461D" w:rsidP="000A1977">
            <w:pPr>
              <w:snapToGrid w:val="0"/>
              <w:jc w:val="center"/>
              <w:rPr>
                <w:i/>
                <w:iCs/>
                <w:sz w:val="22"/>
              </w:rPr>
            </w:pPr>
            <w:r w:rsidRPr="00097FB4">
              <w:rPr>
                <w:i/>
                <w:iCs/>
                <w:sz w:val="22"/>
              </w:rPr>
              <w:t>m</w:t>
            </w:r>
          </w:p>
        </w:tc>
        <w:tc>
          <w:tcPr>
            <w:tcW w:w="2231" w:type="dxa"/>
          </w:tcPr>
          <w:p w14:paraId="5AE21BD9" w14:textId="77777777" w:rsidR="0002461D" w:rsidRPr="00097FB4" w:rsidRDefault="0002461D" w:rsidP="000A1977">
            <w:pPr>
              <w:snapToGrid w:val="0"/>
              <w:jc w:val="center"/>
              <w:rPr>
                <w:sz w:val="22"/>
              </w:rPr>
            </w:pPr>
            <w:r w:rsidRPr="00097FB4">
              <w:rPr>
                <w:sz w:val="22"/>
              </w:rPr>
              <w:t>43</w:t>
            </w:r>
          </w:p>
        </w:tc>
        <w:tc>
          <w:tcPr>
            <w:tcW w:w="2254" w:type="dxa"/>
          </w:tcPr>
          <w:p w14:paraId="2F53335E" w14:textId="77777777" w:rsidR="0002461D" w:rsidRPr="00097FB4" w:rsidRDefault="0002461D" w:rsidP="000A1977">
            <w:pPr>
              <w:snapToGrid w:val="0"/>
              <w:rPr>
                <w:sz w:val="22"/>
              </w:rPr>
            </w:pPr>
            <w:r w:rsidRPr="00097FB4">
              <w:rPr>
                <w:sz w:val="22"/>
              </w:rPr>
              <w:t>Column A</w:t>
            </w:r>
          </w:p>
        </w:tc>
      </w:tr>
      <w:tr w:rsidR="0002461D" w14:paraId="349629A7" w14:textId="77777777" w:rsidTr="000A1977">
        <w:tc>
          <w:tcPr>
            <w:tcW w:w="3114" w:type="dxa"/>
          </w:tcPr>
          <w:p w14:paraId="1316D49D" w14:textId="77777777" w:rsidR="0002461D" w:rsidRPr="00097FB4" w:rsidRDefault="0002461D" w:rsidP="000A1977">
            <w:pPr>
              <w:snapToGrid w:val="0"/>
              <w:rPr>
                <w:sz w:val="22"/>
              </w:rPr>
            </w:pPr>
            <w:r w:rsidRPr="00097FB4">
              <w:rPr>
                <w:sz w:val="22"/>
              </w:rPr>
              <w:t>Total Goods Weight</w:t>
            </w:r>
          </w:p>
        </w:tc>
        <w:tc>
          <w:tcPr>
            <w:tcW w:w="1417" w:type="dxa"/>
          </w:tcPr>
          <w:p w14:paraId="6DE74F5E" w14:textId="77777777" w:rsidR="0002461D" w:rsidRPr="00097FB4" w:rsidRDefault="0002461D" w:rsidP="000A1977">
            <w:pPr>
              <w:snapToGrid w:val="0"/>
              <w:jc w:val="center"/>
              <w:rPr>
                <w:sz w:val="22"/>
              </w:rPr>
            </w:pPr>
            <w:r w:rsidRPr="00097FB4">
              <w:rPr>
                <w:noProof/>
                <w:kern w:val="0"/>
                <w:position w:val="-12"/>
                <w:sz w:val="22"/>
                <w:lang w:val="en-GB"/>
              </w:rPr>
              <w:object w:dxaOrig="300" w:dyaOrig="360" w14:anchorId="2C8B25EB">
                <v:shape id="_x0000_i1056" type="#_x0000_t75" style="width:14.2pt;height:21.55pt" o:ole="">
                  <v:imagedata r:id="rId196" o:title=""/>
                </v:shape>
                <o:OLEObject Type="Embed" ProgID="Equation.DSMT4" ShapeID="_x0000_i1056" DrawAspect="Content" ObjectID="_1681648063" r:id="rId197"/>
              </w:object>
            </w:r>
          </w:p>
        </w:tc>
        <w:tc>
          <w:tcPr>
            <w:tcW w:w="2231" w:type="dxa"/>
          </w:tcPr>
          <w:p w14:paraId="5DDCBC29" w14:textId="77777777" w:rsidR="0002461D" w:rsidRPr="00097FB4" w:rsidRDefault="0002461D" w:rsidP="000A1977">
            <w:pPr>
              <w:snapToGrid w:val="0"/>
              <w:jc w:val="center"/>
              <w:rPr>
                <w:sz w:val="22"/>
              </w:rPr>
            </w:pPr>
            <w:r w:rsidRPr="00097FB4">
              <w:rPr>
                <w:sz w:val="22"/>
              </w:rPr>
              <w:t>2664 KG</w:t>
            </w:r>
          </w:p>
        </w:tc>
        <w:tc>
          <w:tcPr>
            <w:tcW w:w="2254" w:type="dxa"/>
          </w:tcPr>
          <w:p w14:paraId="782B6A33" w14:textId="77777777" w:rsidR="0002461D" w:rsidRPr="00097FB4" w:rsidRDefault="0002461D" w:rsidP="000A1977">
            <w:pPr>
              <w:snapToGrid w:val="0"/>
              <w:rPr>
                <w:sz w:val="22"/>
              </w:rPr>
            </w:pPr>
            <w:r w:rsidRPr="00097FB4">
              <w:rPr>
                <w:sz w:val="22"/>
              </w:rPr>
              <w:t>Column F</w:t>
            </w:r>
          </w:p>
        </w:tc>
      </w:tr>
      <w:tr w:rsidR="0002461D" w14:paraId="104BD800" w14:textId="77777777" w:rsidTr="000A1977">
        <w:tc>
          <w:tcPr>
            <w:tcW w:w="3114" w:type="dxa"/>
          </w:tcPr>
          <w:p w14:paraId="7FC8C0B5" w14:textId="77777777" w:rsidR="0002461D" w:rsidRPr="00097FB4" w:rsidRDefault="0002461D" w:rsidP="000A1977">
            <w:pPr>
              <w:snapToGrid w:val="0"/>
              <w:rPr>
                <w:sz w:val="22"/>
              </w:rPr>
            </w:pPr>
            <w:r w:rsidRPr="00097FB4">
              <w:rPr>
                <w:sz w:val="22"/>
              </w:rPr>
              <w:t>Total Travel Miles</w:t>
            </w:r>
          </w:p>
        </w:tc>
        <w:tc>
          <w:tcPr>
            <w:tcW w:w="1417" w:type="dxa"/>
          </w:tcPr>
          <w:p w14:paraId="5395E62D" w14:textId="77777777" w:rsidR="0002461D" w:rsidRPr="00097FB4" w:rsidRDefault="0002461D" w:rsidP="000A1977">
            <w:pPr>
              <w:snapToGrid w:val="0"/>
              <w:jc w:val="center"/>
              <w:rPr>
                <w:sz w:val="22"/>
              </w:rPr>
            </w:pPr>
            <w:proofErr w:type="spellStart"/>
            <w:r w:rsidRPr="00097FB4">
              <w:rPr>
                <w:i/>
                <w:iCs/>
                <w:sz w:val="22"/>
              </w:rPr>
              <w:t>l</w:t>
            </w:r>
            <w:r w:rsidRPr="00097FB4">
              <w:rPr>
                <w:i/>
                <w:iCs/>
                <w:sz w:val="22"/>
                <w:vertAlign w:val="subscript"/>
              </w:rPr>
              <w:t>j</w:t>
            </w:r>
            <w:proofErr w:type="spellEnd"/>
            <w:r w:rsidRPr="00097FB4">
              <w:rPr>
                <w:i/>
                <w:iCs/>
                <w:sz w:val="22"/>
                <w:vertAlign w:val="subscript"/>
              </w:rPr>
              <w:t>.</w:t>
            </w:r>
          </w:p>
        </w:tc>
        <w:tc>
          <w:tcPr>
            <w:tcW w:w="2231" w:type="dxa"/>
          </w:tcPr>
          <w:p w14:paraId="38AC2118" w14:textId="77777777" w:rsidR="0002461D" w:rsidRPr="00097FB4" w:rsidRDefault="0002461D" w:rsidP="000A1977">
            <w:pPr>
              <w:snapToGrid w:val="0"/>
              <w:jc w:val="center"/>
              <w:rPr>
                <w:sz w:val="22"/>
              </w:rPr>
            </w:pPr>
            <w:r w:rsidRPr="00097FB4">
              <w:rPr>
                <w:sz w:val="22"/>
              </w:rPr>
              <w:t>43416 m</w:t>
            </w:r>
          </w:p>
        </w:tc>
        <w:tc>
          <w:tcPr>
            <w:tcW w:w="2254" w:type="dxa"/>
          </w:tcPr>
          <w:p w14:paraId="3E7E59E7" w14:textId="77777777" w:rsidR="0002461D" w:rsidRPr="00097FB4" w:rsidRDefault="0002461D" w:rsidP="000A1977">
            <w:pPr>
              <w:snapToGrid w:val="0"/>
              <w:rPr>
                <w:sz w:val="22"/>
              </w:rPr>
            </w:pPr>
            <w:r w:rsidRPr="00097FB4">
              <w:rPr>
                <w:sz w:val="22"/>
              </w:rPr>
              <w:t>Column V</w:t>
            </w:r>
          </w:p>
        </w:tc>
      </w:tr>
      <w:tr w:rsidR="0002461D" w:rsidRPr="001128AE" w14:paraId="77AE3092" w14:textId="77777777" w:rsidTr="000A1977">
        <w:tc>
          <w:tcPr>
            <w:tcW w:w="3114" w:type="dxa"/>
          </w:tcPr>
          <w:p w14:paraId="48AA2CC0" w14:textId="77777777" w:rsidR="0002461D" w:rsidRPr="00097FB4" w:rsidRDefault="0002461D" w:rsidP="000A1977">
            <w:pPr>
              <w:snapToGrid w:val="0"/>
              <w:rPr>
                <w:sz w:val="22"/>
              </w:rPr>
            </w:pPr>
            <w:r w:rsidRPr="00097FB4">
              <w:rPr>
                <w:sz w:val="22"/>
              </w:rPr>
              <w:t>The total goods handling Time</w:t>
            </w:r>
          </w:p>
        </w:tc>
        <w:tc>
          <w:tcPr>
            <w:tcW w:w="1417" w:type="dxa"/>
          </w:tcPr>
          <w:p w14:paraId="438396CB" w14:textId="77777777" w:rsidR="0002461D" w:rsidRPr="00097FB4" w:rsidRDefault="0002461D" w:rsidP="000A1977">
            <w:pPr>
              <w:snapToGrid w:val="0"/>
              <w:jc w:val="center"/>
              <w:rPr>
                <w:noProof/>
                <w:sz w:val="22"/>
              </w:rPr>
            </w:pPr>
            <w:r w:rsidRPr="00097FB4">
              <w:rPr>
                <w:noProof/>
                <w:kern w:val="0"/>
                <w:position w:val="-12"/>
                <w:sz w:val="22"/>
                <w:lang w:val="en-GB"/>
              </w:rPr>
              <w:object w:dxaOrig="278" w:dyaOrig="360" w14:anchorId="713A80B5">
                <v:shape id="_x0000_i1057" type="#_x0000_t75" style="width:14.2pt;height:21.55pt" o:ole="">
                  <v:imagedata r:id="rId198" o:title=""/>
                </v:shape>
                <o:OLEObject Type="Embed" ProgID="Equation.DSMT4" ShapeID="_x0000_i1057" DrawAspect="Content" ObjectID="_1681648064" r:id="rId199"/>
              </w:object>
            </w:r>
          </w:p>
        </w:tc>
        <w:tc>
          <w:tcPr>
            <w:tcW w:w="2231" w:type="dxa"/>
          </w:tcPr>
          <w:p w14:paraId="2A3CC9CE" w14:textId="77777777" w:rsidR="0002461D" w:rsidRPr="00097FB4" w:rsidRDefault="0002461D" w:rsidP="000A1977">
            <w:pPr>
              <w:snapToGrid w:val="0"/>
              <w:jc w:val="center"/>
              <w:rPr>
                <w:sz w:val="22"/>
              </w:rPr>
            </w:pPr>
            <w:r w:rsidRPr="00097FB4">
              <w:rPr>
                <w:noProof/>
                <w:kern w:val="0"/>
                <w:position w:val="-24"/>
                <w:sz w:val="22"/>
                <w:lang w:val="en-GB"/>
              </w:rPr>
              <w:object w:dxaOrig="340" w:dyaOrig="660" w14:anchorId="6C68A5E0">
                <v:shape id="_x0000_i1058" type="#_x0000_t75" style="width:14.2pt;height:36.25pt" o:ole="">
                  <v:imagedata r:id="rId200" o:title=""/>
                </v:shape>
                <o:OLEObject Type="Embed" ProgID="Equation.DSMT4" ShapeID="_x0000_i1058" DrawAspect="Content" ObjectID="_1681648065" r:id="rId201"/>
              </w:object>
            </w:r>
            <w:r w:rsidRPr="00097FB4">
              <w:rPr>
                <w:sz w:val="22"/>
              </w:rPr>
              <w:t>hours</w:t>
            </w:r>
          </w:p>
        </w:tc>
        <w:tc>
          <w:tcPr>
            <w:tcW w:w="2254" w:type="dxa"/>
          </w:tcPr>
          <w:p w14:paraId="7916B86D" w14:textId="77777777" w:rsidR="0002461D" w:rsidRPr="00097FB4" w:rsidRDefault="0002461D" w:rsidP="000A1977">
            <w:pPr>
              <w:snapToGrid w:val="0"/>
              <w:rPr>
                <w:sz w:val="22"/>
              </w:rPr>
            </w:pPr>
            <w:r w:rsidRPr="00097FB4">
              <w:rPr>
                <w:sz w:val="22"/>
              </w:rPr>
              <w:t>Column T and U</w:t>
            </w:r>
          </w:p>
        </w:tc>
      </w:tr>
      <w:tr w:rsidR="0002461D" w14:paraId="29EF646D" w14:textId="77777777" w:rsidTr="000A1977">
        <w:tc>
          <w:tcPr>
            <w:tcW w:w="3114" w:type="dxa"/>
          </w:tcPr>
          <w:p w14:paraId="708A3E5B" w14:textId="77777777" w:rsidR="0002461D" w:rsidRPr="00097FB4" w:rsidRDefault="0002461D" w:rsidP="000A1977">
            <w:pPr>
              <w:snapToGrid w:val="0"/>
              <w:rPr>
                <w:sz w:val="22"/>
              </w:rPr>
            </w:pPr>
            <w:r w:rsidRPr="00097FB4">
              <w:rPr>
                <w:sz w:val="22"/>
              </w:rPr>
              <w:t xml:space="preserve">The total driving time </w:t>
            </w:r>
          </w:p>
        </w:tc>
        <w:tc>
          <w:tcPr>
            <w:tcW w:w="1417" w:type="dxa"/>
          </w:tcPr>
          <w:p w14:paraId="028729DD" w14:textId="77777777" w:rsidR="0002461D" w:rsidRPr="00097FB4" w:rsidRDefault="0002461D" w:rsidP="000A1977">
            <w:pPr>
              <w:snapToGrid w:val="0"/>
              <w:jc w:val="center"/>
              <w:rPr>
                <w:sz w:val="22"/>
              </w:rPr>
            </w:pPr>
            <w:r w:rsidRPr="00097FB4">
              <w:rPr>
                <w:noProof/>
                <w:kern w:val="0"/>
                <w:position w:val="-16"/>
                <w:sz w:val="22"/>
                <w:lang w:val="en-GB"/>
              </w:rPr>
              <w:object w:dxaOrig="380" w:dyaOrig="400" w14:anchorId="05B0619D">
                <v:shape id="_x0000_i1059" type="#_x0000_t75" style="width:21.55pt;height:21.55pt" o:ole="">
                  <v:imagedata r:id="rId202" o:title=""/>
                </v:shape>
                <o:OLEObject Type="Embed" ProgID="Equation.DSMT4" ShapeID="_x0000_i1059" DrawAspect="Content" ObjectID="_1681648066" r:id="rId203"/>
              </w:object>
            </w:r>
          </w:p>
        </w:tc>
        <w:tc>
          <w:tcPr>
            <w:tcW w:w="2231" w:type="dxa"/>
          </w:tcPr>
          <w:p w14:paraId="165DC00E" w14:textId="77777777" w:rsidR="0002461D" w:rsidRPr="00097FB4" w:rsidRDefault="0002461D" w:rsidP="000A1977">
            <w:pPr>
              <w:snapToGrid w:val="0"/>
              <w:jc w:val="center"/>
              <w:rPr>
                <w:sz w:val="22"/>
              </w:rPr>
            </w:pPr>
            <w:r w:rsidRPr="00097FB4">
              <w:rPr>
                <w:noProof/>
                <w:kern w:val="0"/>
                <w:position w:val="-24"/>
                <w:sz w:val="22"/>
                <w:lang w:val="en-GB"/>
              </w:rPr>
              <w:object w:dxaOrig="320" w:dyaOrig="620" w14:anchorId="5A9D726A">
                <v:shape id="_x0000_i1060" type="#_x0000_t75" style="width:14.2pt;height:28.45pt" o:ole="">
                  <v:imagedata r:id="rId204" o:title=""/>
                </v:shape>
                <o:OLEObject Type="Embed" ProgID="Equation.DSMT4" ShapeID="_x0000_i1060" DrawAspect="Content" ObjectID="_1681648067" r:id="rId205"/>
              </w:object>
            </w:r>
            <w:r w:rsidRPr="00097FB4">
              <w:rPr>
                <w:sz w:val="22"/>
              </w:rPr>
              <w:t xml:space="preserve"> hours</w:t>
            </w:r>
          </w:p>
        </w:tc>
        <w:tc>
          <w:tcPr>
            <w:tcW w:w="2254" w:type="dxa"/>
          </w:tcPr>
          <w:p w14:paraId="259D987B" w14:textId="77777777" w:rsidR="0002461D" w:rsidRPr="00097FB4" w:rsidRDefault="0002461D" w:rsidP="000A1977">
            <w:pPr>
              <w:snapToGrid w:val="0"/>
              <w:rPr>
                <w:sz w:val="22"/>
              </w:rPr>
            </w:pPr>
            <w:r w:rsidRPr="00097FB4">
              <w:rPr>
                <w:sz w:val="22"/>
              </w:rPr>
              <w:t>Column T and U</w:t>
            </w:r>
          </w:p>
        </w:tc>
      </w:tr>
      <w:tr w:rsidR="0002461D" w14:paraId="65C05724" w14:textId="77777777" w:rsidTr="000A1977">
        <w:tc>
          <w:tcPr>
            <w:tcW w:w="3114" w:type="dxa"/>
          </w:tcPr>
          <w:p w14:paraId="5FEC76D9" w14:textId="77777777" w:rsidR="0002461D" w:rsidRPr="00097FB4" w:rsidRDefault="0002461D" w:rsidP="000A1977">
            <w:pPr>
              <w:snapToGrid w:val="0"/>
              <w:rPr>
                <w:sz w:val="22"/>
              </w:rPr>
            </w:pPr>
            <w:r w:rsidRPr="00097FB4">
              <w:rPr>
                <w:sz w:val="22"/>
              </w:rPr>
              <w:t>Total stopping time</w:t>
            </w:r>
          </w:p>
        </w:tc>
        <w:tc>
          <w:tcPr>
            <w:tcW w:w="1417" w:type="dxa"/>
          </w:tcPr>
          <w:p w14:paraId="0D984717" w14:textId="77777777" w:rsidR="0002461D" w:rsidRPr="00097FB4" w:rsidRDefault="0002461D" w:rsidP="000A1977">
            <w:pPr>
              <w:snapToGrid w:val="0"/>
              <w:jc w:val="center"/>
              <w:rPr>
                <w:sz w:val="22"/>
              </w:rPr>
            </w:pPr>
            <w:r w:rsidRPr="00097FB4">
              <w:rPr>
                <w:noProof/>
                <w:kern w:val="0"/>
                <w:position w:val="-16"/>
                <w:sz w:val="22"/>
                <w:lang w:val="en-GB"/>
              </w:rPr>
              <w:object w:dxaOrig="360" w:dyaOrig="400" w14:anchorId="653B370E">
                <v:shape id="_x0000_i1061" type="#_x0000_t75" style="width:21.55pt;height:21.55pt" o:ole="">
                  <v:imagedata r:id="rId206" o:title=""/>
                </v:shape>
                <o:OLEObject Type="Embed" ProgID="Equation.DSMT4" ShapeID="_x0000_i1061" DrawAspect="Content" ObjectID="_1681648068" r:id="rId207"/>
              </w:object>
            </w:r>
          </w:p>
        </w:tc>
        <w:tc>
          <w:tcPr>
            <w:tcW w:w="2231" w:type="dxa"/>
          </w:tcPr>
          <w:p w14:paraId="25EBF22F" w14:textId="77777777" w:rsidR="0002461D" w:rsidRPr="00097FB4" w:rsidRDefault="0002461D" w:rsidP="000A1977">
            <w:pPr>
              <w:snapToGrid w:val="0"/>
              <w:jc w:val="center"/>
              <w:rPr>
                <w:sz w:val="22"/>
              </w:rPr>
            </w:pPr>
            <w:r w:rsidRPr="00097FB4">
              <w:rPr>
                <w:noProof/>
                <w:kern w:val="0"/>
                <w:position w:val="-24"/>
                <w:sz w:val="22"/>
                <w:lang w:val="en-GB"/>
              </w:rPr>
              <w:object w:dxaOrig="320" w:dyaOrig="620" w14:anchorId="2BBBF92A">
                <v:shape id="_x0000_i1062" type="#_x0000_t75" style="width:14.2pt;height:28.45pt" o:ole="">
                  <v:imagedata r:id="rId208" o:title=""/>
                </v:shape>
                <o:OLEObject Type="Embed" ProgID="Equation.DSMT4" ShapeID="_x0000_i1062" DrawAspect="Content" ObjectID="_1681648069" r:id="rId209"/>
              </w:object>
            </w:r>
            <w:r w:rsidRPr="00097FB4">
              <w:rPr>
                <w:sz w:val="22"/>
              </w:rPr>
              <w:t xml:space="preserve"> hours</w:t>
            </w:r>
          </w:p>
        </w:tc>
        <w:tc>
          <w:tcPr>
            <w:tcW w:w="2254" w:type="dxa"/>
          </w:tcPr>
          <w:p w14:paraId="67B6AAB9" w14:textId="77777777" w:rsidR="0002461D" w:rsidRPr="00097FB4" w:rsidRDefault="0002461D" w:rsidP="000A1977">
            <w:pPr>
              <w:snapToGrid w:val="0"/>
              <w:rPr>
                <w:sz w:val="22"/>
              </w:rPr>
            </w:pPr>
            <w:r w:rsidRPr="00097FB4">
              <w:rPr>
                <w:sz w:val="22"/>
              </w:rPr>
              <w:t>Column T and U</w:t>
            </w:r>
          </w:p>
        </w:tc>
      </w:tr>
    </w:tbl>
    <w:p w14:paraId="7848C43B" w14:textId="7FDCF4ED" w:rsidR="0002461D" w:rsidRPr="00525710" w:rsidRDefault="0002461D" w:rsidP="0002461D">
      <w:pPr>
        <w:pStyle w:val="Caption"/>
        <w:snapToGrid w:val="0"/>
        <w:rPr>
          <w:i w:val="0"/>
          <w:iCs w:val="0"/>
        </w:rPr>
      </w:pPr>
      <w:bookmarkStart w:id="1289" w:name="_Ref13928815"/>
      <w:r w:rsidRPr="00525710">
        <w:rPr>
          <w:i w:val="0"/>
          <w:iCs w:val="0"/>
        </w:rPr>
        <w:t xml:space="preserve">Table </w:t>
      </w:r>
      <w:bookmarkEnd w:id="1289"/>
      <w:r w:rsidR="00DA06C6" w:rsidRPr="00525710">
        <w:rPr>
          <w:i w:val="0"/>
          <w:iCs w:val="0"/>
        </w:rPr>
        <w:t>VII.3</w:t>
      </w:r>
      <w:r w:rsidRPr="00525710">
        <w:rPr>
          <w:i w:val="0"/>
          <w:iCs w:val="0"/>
        </w:rPr>
        <w:t>-</w:t>
      </w:r>
      <w:r w:rsidRPr="00525710">
        <w:rPr>
          <w:rFonts w:hint="eastAsia"/>
          <w:i w:val="0"/>
          <w:iCs w:val="0"/>
        </w:rPr>
        <w:t>Assumed</w:t>
      </w:r>
      <w:r w:rsidRPr="00525710">
        <w:rPr>
          <w:i w:val="0"/>
          <w:iCs w:val="0"/>
        </w:rPr>
        <w:t xml:space="preserve"> </w:t>
      </w:r>
      <w:r w:rsidRPr="00525710">
        <w:rPr>
          <w:rFonts w:hint="eastAsia"/>
          <w:i w:val="0"/>
          <w:iCs w:val="0"/>
        </w:rPr>
        <w:t>Data</w:t>
      </w:r>
    </w:p>
    <w:tbl>
      <w:tblPr>
        <w:tblStyle w:val="TableGrid"/>
        <w:tblW w:w="0" w:type="auto"/>
        <w:tblLook w:val="04A0" w:firstRow="1" w:lastRow="0" w:firstColumn="1" w:lastColumn="0" w:noHBand="0" w:noVBand="1"/>
      </w:tblPr>
      <w:tblGrid>
        <w:gridCol w:w="1615"/>
        <w:gridCol w:w="3414"/>
        <w:gridCol w:w="1824"/>
        <w:gridCol w:w="1443"/>
      </w:tblGrid>
      <w:tr w:rsidR="0002461D" w14:paraId="34ACC53D" w14:textId="77777777" w:rsidTr="000A1977">
        <w:tc>
          <w:tcPr>
            <w:tcW w:w="1696" w:type="dxa"/>
          </w:tcPr>
          <w:p w14:paraId="1A9D0A84" w14:textId="77777777" w:rsidR="0002461D" w:rsidRDefault="0002461D" w:rsidP="000A1977">
            <w:pPr>
              <w:snapToGrid w:val="0"/>
            </w:pPr>
            <w:r>
              <w:t>Types of Data</w:t>
            </w:r>
          </w:p>
        </w:tc>
        <w:tc>
          <w:tcPr>
            <w:tcW w:w="3828" w:type="dxa"/>
          </w:tcPr>
          <w:p w14:paraId="15A91FD4" w14:textId="77777777" w:rsidR="0002461D" w:rsidRDefault="0002461D" w:rsidP="000A1977">
            <w:pPr>
              <w:snapToGrid w:val="0"/>
              <w:jc w:val="center"/>
            </w:pPr>
            <w:r>
              <w:t>Data Categories</w:t>
            </w:r>
          </w:p>
        </w:tc>
        <w:tc>
          <w:tcPr>
            <w:tcW w:w="1984" w:type="dxa"/>
          </w:tcPr>
          <w:p w14:paraId="1436D27F" w14:textId="77777777" w:rsidR="0002461D" w:rsidRDefault="0002461D" w:rsidP="000A1977">
            <w:pPr>
              <w:snapToGrid w:val="0"/>
              <w:jc w:val="center"/>
            </w:pPr>
            <w:r w:rsidRPr="00BD4BB5">
              <w:rPr>
                <w:sz w:val="22"/>
              </w:rPr>
              <w:t>Notation</w:t>
            </w:r>
          </w:p>
        </w:tc>
        <w:tc>
          <w:tcPr>
            <w:tcW w:w="1508" w:type="dxa"/>
          </w:tcPr>
          <w:p w14:paraId="16361ABF" w14:textId="77777777" w:rsidR="0002461D" w:rsidRDefault="0002461D" w:rsidP="000A1977">
            <w:pPr>
              <w:snapToGrid w:val="0"/>
              <w:jc w:val="center"/>
            </w:pPr>
            <w:r w:rsidRPr="00BD4BB5">
              <w:rPr>
                <w:sz w:val="22"/>
              </w:rPr>
              <w:t>Values</w:t>
            </w:r>
          </w:p>
        </w:tc>
      </w:tr>
      <w:tr w:rsidR="0002461D" w14:paraId="5715D022" w14:textId="77777777" w:rsidTr="000A1977">
        <w:tc>
          <w:tcPr>
            <w:tcW w:w="1696" w:type="dxa"/>
            <w:vMerge w:val="restart"/>
            <w:vAlign w:val="center"/>
          </w:tcPr>
          <w:p w14:paraId="6317834F" w14:textId="77777777" w:rsidR="0002461D" w:rsidRDefault="0002461D" w:rsidP="000A1977">
            <w:pPr>
              <w:snapToGrid w:val="0"/>
            </w:pPr>
            <w:r>
              <w:t>Input</w:t>
            </w:r>
            <w:r>
              <w:rPr>
                <w:rFonts w:hint="eastAsia"/>
              </w:rPr>
              <w:t>ted</w:t>
            </w:r>
            <w:r>
              <w:t xml:space="preserve"> </w:t>
            </w:r>
            <w:r>
              <w:rPr>
                <w:rFonts w:hint="eastAsia"/>
              </w:rPr>
              <w:t>values</w:t>
            </w:r>
            <w:r>
              <w:t xml:space="preserve"> </w:t>
            </w:r>
            <w:r>
              <w:rPr>
                <w:rFonts w:hint="eastAsia"/>
              </w:rPr>
              <w:t>of</w:t>
            </w:r>
            <w:r>
              <w:t xml:space="preserve"> </w:t>
            </w:r>
            <w:r>
              <w:rPr>
                <w:rFonts w:hint="eastAsia"/>
              </w:rPr>
              <w:t>P</w:t>
            </w:r>
            <w:r>
              <w:t>arameter</w:t>
            </w:r>
          </w:p>
        </w:tc>
        <w:tc>
          <w:tcPr>
            <w:tcW w:w="3828" w:type="dxa"/>
          </w:tcPr>
          <w:p w14:paraId="181558D9" w14:textId="77777777" w:rsidR="0002461D" w:rsidRDefault="0002461D" w:rsidP="000A1977">
            <w:pPr>
              <w:snapToGrid w:val="0"/>
            </w:pPr>
            <w:r>
              <w:t>Numbers of UCC Operator</w:t>
            </w:r>
          </w:p>
        </w:tc>
        <w:tc>
          <w:tcPr>
            <w:tcW w:w="1984" w:type="dxa"/>
          </w:tcPr>
          <w:p w14:paraId="05FE4CEF" w14:textId="77777777" w:rsidR="0002461D" w:rsidRDefault="0002461D" w:rsidP="000A1977">
            <w:pPr>
              <w:snapToGrid w:val="0"/>
              <w:jc w:val="center"/>
            </w:pPr>
            <w:r w:rsidRPr="000F7300">
              <w:rPr>
                <w:noProof/>
                <w:kern w:val="0"/>
                <w:position w:val="-12"/>
                <w:lang w:val="en-GB"/>
              </w:rPr>
              <w:object w:dxaOrig="260" w:dyaOrig="360" w14:anchorId="65529B5E">
                <v:shape id="_x0000_i1063" type="#_x0000_t75" style="width:14.2pt;height:21.55pt" o:ole="">
                  <v:imagedata r:id="rId210" o:title=""/>
                </v:shape>
                <o:OLEObject Type="Embed" ProgID="Equation.DSMT4" ShapeID="_x0000_i1063" DrawAspect="Content" ObjectID="_1681648070" r:id="rId211"/>
              </w:object>
            </w:r>
          </w:p>
        </w:tc>
        <w:tc>
          <w:tcPr>
            <w:tcW w:w="1508" w:type="dxa"/>
          </w:tcPr>
          <w:p w14:paraId="07DA26F9" w14:textId="77777777" w:rsidR="0002461D" w:rsidRDefault="0002461D" w:rsidP="000A1977">
            <w:pPr>
              <w:snapToGrid w:val="0"/>
              <w:jc w:val="center"/>
            </w:pPr>
            <w:r>
              <w:t>1</w:t>
            </w:r>
          </w:p>
        </w:tc>
      </w:tr>
      <w:tr w:rsidR="0002461D" w14:paraId="06DCF769" w14:textId="77777777" w:rsidTr="000A1977">
        <w:tc>
          <w:tcPr>
            <w:tcW w:w="1696" w:type="dxa"/>
            <w:vMerge/>
            <w:vAlign w:val="center"/>
          </w:tcPr>
          <w:p w14:paraId="7ADE9299" w14:textId="77777777" w:rsidR="0002461D" w:rsidRDefault="0002461D" w:rsidP="000A1977">
            <w:pPr>
              <w:snapToGrid w:val="0"/>
            </w:pPr>
          </w:p>
        </w:tc>
        <w:tc>
          <w:tcPr>
            <w:tcW w:w="3828" w:type="dxa"/>
          </w:tcPr>
          <w:p w14:paraId="47AAE726" w14:textId="77777777" w:rsidR="0002461D" w:rsidRPr="0067271E" w:rsidRDefault="0002461D" w:rsidP="000A1977">
            <w:pPr>
              <w:snapToGrid w:val="0"/>
            </w:pPr>
            <w:r>
              <w:t>Working Days</w:t>
            </w:r>
          </w:p>
        </w:tc>
        <w:tc>
          <w:tcPr>
            <w:tcW w:w="1984" w:type="dxa"/>
          </w:tcPr>
          <w:p w14:paraId="0272887B" w14:textId="77777777" w:rsidR="0002461D" w:rsidRDefault="0002461D" w:rsidP="000A1977">
            <w:pPr>
              <w:snapToGrid w:val="0"/>
              <w:jc w:val="center"/>
            </w:pPr>
            <w:r w:rsidRPr="000F7300">
              <w:rPr>
                <w:noProof/>
                <w:kern w:val="0"/>
                <w:position w:val="-4"/>
                <w:lang w:val="en-GB"/>
              </w:rPr>
              <w:object w:dxaOrig="260" w:dyaOrig="260" w14:anchorId="2D1F608F">
                <v:shape id="_x0000_i1064" type="#_x0000_t75" style="width:14.2pt;height:14.2pt" o:ole="">
                  <v:imagedata r:id="rId212" o:title=""/>
                </v:shape>
                <o:OLEObject Type="Embed" ProgID="Equation.DSMT4" ShapeID="_x0000_i1064" DrawAspect="Content" ObjectID="_1681648071" r:id="rId213"/>
              </w:object>
            </w:r>
          </w:p>
        </w:tc>
        <w:tc>
          <w:tcPr>
            <w:tcW w:w="1508" w:type="dxa"/>
          </w:tcPr>
          <w:p w14:paraId="7EEA8AD5" w14:textId="77777777" w:rsidR="0002461D" w:rsidRDefault="0002461D" w:rsidP="000A1977">
            <w:pPr>
              <w:snapToGrid w:val="0"/>
              <w:jc w:val="center"/>
            </w:pPr>
            <w:r>
              <w:t>1</w:t>
            </w:r>
          </w:p>
        </w:tc>
      </w:tr>
      <w:tr w:rsidR="0002461D" w14:paraId="5AE8BDCA" w14:textId="77777777" w:rsidTr="000A1977">
        <w:tc>
          <w:tcPr>
            <w:tcW w:w="1696" w:type="dxa"/>
            <w:vMerge/>
            <w:vAlign w:val="center"/>
          </w:tcPr>
          <w:p w14:paraId="660C1C15" w14:textId="77777777" w:rsidR="0002461D" w:rsidRPr="007F4D9F" w:rsidRDefault="0002461D" w:rsidP="000A1977">
            <w:pPr>
              <w:snapToGrid w:val="0"/>
            </w:pPr>
          </w:p>
        </w:tc>
        <w:tc>
          <w:tcPr>
            <w:tcW w:w="3828" w:type="dxa"/>
          </w:tcPr>
          <w:p w14:paraId="799E4085" w14:textId="77777777" w:rsidR="0002461D" w:rsidRDefault="0002461D" w:rsidP="000A1977">
            <w:pPr>
              <w:snapToGrid w:val="0"/>
            </w:pPr>
            <w:r w:rsidRPr="007F4D9F">
              <w:t>Numbers of Vehicles used per day</w:t>
            </w:r>
          </w:p>
        </w:tc>
        <w:tc>
          <w:tcPr>
            <w:tcW w:w="1984" w:type="dxa"/>
          </w:tcPr>
          <w:p w14:paraId="471E27ED" w14:textId="77777777" w:rsidR="0002461D" w:rsidRDefault="0002461D" w:rsidP="000A1977">
            <w:pPr>
              <w:snapToGrid w:val="0"/>
              <w:jc w:val="center"/>
            </w:pPr>
            <w:r w:rsidRPr="007F4D9F">
              <w:rPr>
                <w:noProof/>
                <w:kern w:val="0"/>
                <w:position w:val="-12"/>
                <w:lang w:val="en-GB"/>
              </w:rPr>
              <w:object w:dxaOrig="260" w:dyaOrig="360" w14:anchorId="27C807A5">
                <v:shape id="_x0000_i1065" type="#_x0000_t75" style="width:14.2pt;height:21.55pt" o:ole="">
                  <v:imagedata r:id="rId214" o:title=""/>
                </v:shape>
                <o:OLEObject Type="Embed" ProgID="Equation.DSMT4" ShapeID="_x0000_i1065" DrawAspect="Content" ObjectID="_1681648072" r:id="rId215"/>
              </w:object>
            </w:r>
          </w:p>
        </w:tc>
        <w:tc>
          <w:tcPr>
            <w:tcW w:w="1508" w:type="dxa"/>
          </w:tcPr>
          <w:p w14:paraId="6AEE8171" w14:textId="77777777" w:rsidR="0002461D" w:rsidRDefault="0002461D" w:rsidP="000A1977">
            <w:pPr>
              <w:snapToGrid w:val="0"/>
              <w:jc w:val="center"/>
            </w:pPr>
            <w:r>
              <w:rPr>
                <w:rFonts w:hint="eastAsia"/>
              </w:rPr>
              <w:t>1</w:t>
            </w:r>
          </w:p>
        </w:tc>
      </w:tr>
      <w:tr w:rsidR="0002461D" w14:paraId="4A3806FA" w14:textId="77777777" w:rsidTr="000A1977">
        <w:tc>
          <w:tcPr>
            <w:tcW w:w="1696" w:type="dxa"/>
            <w:vMerge/>
            <w:vAlign w:val="center"/>
          </w:tcPr>
          <w:p w14:paraId="2DC5E465" w14:textId="77777777" w:rsidR="0002461D" w:rsidRPr="007F4D9F" w:rsidRDefault="0002461D" w:rsidP="000A1977">
            <w:pPr>
              <w:snapToGrid w:val="0"/>
            </w:pPr>
          </w:p>
        </w:tc>
        <w:tc>
          <w:tcPr>
            <w:tcW w:w="3828" w:type="dxa"/>
          </w:tcPr>
          <w:p w14:paraId="1BD7D3C1" w14:textId="77777777" w:rsidR="0002461D" w:rsidRPr="0067271E" w:rsidRDefault="0002461D" w:rsidP="000A1977">
            <w:pPr>
              <w:snapToGrid w:val="0"/>
            </w:pPr>
            <w:r w:rsidRPr="007F4D9F">
              <w:t xml:space="preserve">Numbers of </w:t>
            </w:r>
            <w:r>
              <w:t>d</w:t>
            </w:r>
            <w:r w:rsidRPr="007F4D9F">
              <w:t>rivers</w:t>
            </w:r>
          </w:p>
        </w:tc>
        <w:tc>
          <w:tcPr>
            <w:tcW w:w="1984" w:type="dxa"/>
          </w:tcPr>
          <w:p w14:paraId="41E35D84" w14:textId="77777777" w:rsidR="0002461D" w:rsidRDefault="0002461D" w:rsidP="000A1977">
            <w:pPr>
              <w:snapToGrid w:val="0"/>
              <w:jc w:val="center"/>
            </w:pPr>
            <w:r w:rsidRPr="007F4D9F">
              <w:rPr>
                <w:noProof/>
                <w:kern w:val="0"/>
                <w:position w:val="-12"/>
                <w:lang w:val="en-GB"/>
              </w:rPr>
              <w:object w:dxaOrig="279" w:dyaOrig="360" w14:anchorId="3FDA1989">
                <v:shape id="_x0000_i1066" type="#_x0000_t75" style="width:14.2pt;height:21.55pt" o:ole="">
                  <v:imagedata r:id="rId216" o:title=""/>
                </v:shape>
                <o:OLEObject Type="Embed" ProgID="Equation.DSMT4" ShapeID="_x0000_i1066" DrawAspect="Content" ObjectID="_1681648073" r:id="rId217"/>
              </w:object>
            </w:r>
          </w:p>
        </w:tc>
        <w:tc>
          <w:tcPr>
            <w:tcW w:w="1508" w:type="dxa"/>
          </w:tcPr>
          <w:p w14:paraId="4A8778F4" w14:textId="77777777" w:rsidR="0002461D" w:rsidRDefault="0002461D" w:rsidP="000A1977">
            <w:pPr>
              <w:snapToGrid w:val="0"/>
              <w:jc w:val="center"/>
            </w:pPr>
            <w:r>
              <w:rPr>
                <w:rFonts w:hint="eastAsia"/>
              </w:rPr>
              <w:t>2</w:t>
            </w:r>
          </w:p>
        </w:tc>
      </w:tr>
      <w:tr w:rsidR="0002461D" w14:paraId="179A4344" w14:textId="77777777" w:rsidTr="000A1977">
        <w:tc>
          <w:tcPr>
            <w:tcW w:w="1696" w:type="dxa"/>
            <w:vMerge w:val="restart"/>
            <w:vAlign w:val="center"/>
          </w:tcPr>
          <w:p w14:paraId="62707298" w14:textId="77777777" w:rsidR="0002461D" w:rsidRDefault="0002461D" w:rsidP="000A1977">
            <w:pPr>
              <w:snapToGrid w:val="0"/>
            </w:pPr>
            <w:r>
              <w:t xml:space="preserve">Inputted </w:t>
            </w:r>
            <w:r>
              <w:rPr>
                <w:rFonts w:hint="eastAsia"/>
              </w:rPr>
              <w:t>values</w:t>
            </w:r>
            <w:r>
              <w:t xml:space="preserve"> </w:t>
            </w:r>
            <w:r>
              <w:rPr>
                <w:rFonts w:hint="eastAsia"/>
              </w:rPr>
              <w:t>of</w:t>
            </w:r>
            <w:r>
              <w:t xml:space="preserve"> </w:t>
            </w:r>
            <w:r>
              <w:rPr>
                <w:rFonts w:hint="eastAsia"/>
              </w:rPr>
              <w:t>Cost</w:t>
            </w:r>
          </w:p>
        </w:tc>
        <w:tc>
          <w:tcPr>
            <w:tcW w:w="3828" w:type="dxa"/>
          </w:tcPr>
          <w:p w14:paraId="0EE91FE4" w14:textId="77777777" w:rsidR="0002461D" w:rsidRDefault="0002461D" w:rsidP="000A1977">
            <w:pPr>
              <w:snapToGrid w:val="0"/>
            </w:pPr>
            <w:r>
              <w:t>Facility Renting Cost</w:t>
            </w:r>
          </w:p>
        </w:tc>
        <w:tc>
          <w:tcPr>
            <w:tcW w:w="1984" w:type="dxa"/>
          </w:tcPr>
          <w:p w14:paraId="20792C2C" w14:textId="77777777" w:rsidR="0002461D" w:rsidRDefault="0002461D" w:rsidP="000A1977">
            <w:pPr>
              <w:snapToGrid w:val="0"/>
              <w:jc w:val="center"/>
            </w:pPr>
            <w:proofErr w:type="spellStart"/>
            <w:r w:rsidRPr="001D11B4">
              <w:rPr>
                <w:rFonts w:hint="eastAsia"/>
                <w:i/>
                <w:iCs/>
              </w:rPr>
              <w:t>C</w:t>
            </w:r>
            <w:r w:rsidRPr="00DA39B8">
              <w:rPr>
                <w:i/>
                <w:iCs/>
                <w:vertAlign w:val="superscript"/>
              </w:rPr>
              <w:t>fr</w:t>
            </w:r>
            <w:proofErr w:type="spellEnd"/>
          </w:p>
        </w:tc>
        <w:tc>
          <w:tcPr>
            <w:tcW w:w="1508" w:type="dxa"/>
          </w:tcPr>
          <w:p w14:paraId="63A04C41" w14:textId="77777777" w:rsidR="0002461D" w:rsidRPr="00A5233B" w:rsidRDefault="0002461D" w:rsidP="000A1977">
            <w:pPr>
              <w:snapToGrid w:val="0"/>
              <w:jc w:val="center"/>
            </w:pPr>
            <w:r w:rsidRPr="00BD4BB5">
              <w:rPr>
                <w:sz w:val="22"/>
              </w:rPr>
              <w:t>£</w:t>
            </w:r>
            <w:r>
              <w:t>2</w:t>
            </w:r>
            <w:r w:rsidRPr="00A5233B">
              <w:t>00</w:t>
            </w:r>
            <w:r>
              <w:t>/day</w:t>
            </w:r>
          </w:p>
        </w:tc>
      </w:tr>
      <w:tr w:rsidR="0002461D" w14:paraId="0E07ECA8" w14:textId="77777777" w:rsidTr="000A1977">
        <w:tc>
          <w:tcPr>
            <w:tcW w:w="1696" w:type="dxa"/>
            <w:vMerge/>
          </w:tcPr>
          <w:p w14:paraId="14133F87" w14:textId="77777777" w:rsidR="0002461D" w:rsidRDefault="0002461D" w:rsidP="000A1977">
            <w:pPr>
              <w:snapToGrid w:val="0"/>
            </w:pPr>
          </w:p>
        </w:tc>
        <w:tc>
          <w:tcPr>
            <w:tcW w:w="3828" w:type="dxa"/>
          </w:tcPr>
          <w:p w14:paraId="4178DDE2" w14:textId="77777777" w:rsidR="0002461D" w:rsidRDefault="0002461D" w:rsidP="000A1977">
            <w:pPr>
              <w:snapToGrid w:val="0"/>
            </w:pPr>
            <w:r>
              <w:t>Materials Using Cost</w:t>
            </w:r>
          </w:p>
        </w:tc>
        <w:tc>
          <w:tcPr>
            <w:tcW w:w="1984" w:type="dxa"/>
          </w:tcPr>
          <w:p w14:paraId="54E4F7A6" w14:textId="77777777" w:rsidR="0002461D" w:rsidRDefault="0002461D" w:rsidP="000A1977">
            <w:pPr>
              <w:snapToGrid w:val="0"/>
              <w:jc w:val="center"/>
            </w:pPr>
            <w:proofErr w:type="spellStart"/>
            <w:r w:rsidRPr="001D11B4">
              <w:rPr>
                <w:rFonts w:hint="eastAsia"/>
                <w:i/>
                <w:iCs/>
              </w:rPr>
              <w:t>C</w:t>
            </w:r>
            <w:r w:rsidRPr="00DA39B8">
              <w:rPr>
                <w:i/>
                <w:iCs/>
                <w:vertAlign w:val="superscript"/>
              </w:rPr>
              <w:t>mu</w:t>
            </w:r>
            <w:proofErr w:type="spellEnd"/>
          </w:p>
        </w:tc>
        <w:tc>
          <w:tcPr>
            <w:tcW w:w="1508" w:type="dxa"/>
          </w:tcPr>
          <w:p w14:paraId="6EFD7F42" w14:textId="77777777" w:rsidR="0002461D" w:rsidRPr="00A5233B" w:rsidRDefault="0002461D" w:rsidP="000A1977">
            <w:pPr>
              <w:snapToGrid w:val="0"/>
              <w:jc w:val="center"/>
            </w:pPr>
            <w:r w:rsidRPr="00BD4BB5">
              <w:rPr>
                <w:sz w:val="22"/>
              </w:rPr>
              <w:t>£</w:t>
            </w:r>
            <w:r>
              <w:t>20/day</w:t>
            </w:r>
          </w:p>
        </w:tc>
      </w:tr>
      <w:tr w:rsidR="0002461D" w14:paraId="388CB515" w14:textId="77777777" w:rsidTr="000A1977">
        <w:trPr>
          <w:trHeight w:val="55"/>
        </w:trPr>
        <w:tc>
          <w:tcPr>
            <w:tcW w:w="1696" w:type="dxa"/>
            <w:vMerge/>
          </w:tcPr>
          <w:p w14:paraId="610EAF3D" w14:textId="77777777" w:rsidR="0002461D" w:rsidRDefault="0002461D" w:rsidP="000A1977">
            <w:pPr>
              <w:snapToGrid w:val="0"/>
            </w:pPr>
          </w:p>
        </w:tc>
        <w:tc>
          <w:tcPr>
            <w:tcW w:w="3828" w:type="dxa"/>
          </w:tcPr>
          <w:p w14:paraId="0B659892" w14:textId="77777777" w:rsidR="0002461D" w:rsidRDefault="0002461D" w:rsidP="000A1977">
            <w:pPr>
              <w:snapToGrid w:val="0"/>
            </w:pPr>
            <w:r>
              <w:t>UCC O</w:t>
            </w:r>
            <w:r>
              <w:rPr>
                <w:rFonts w:hint="eastAsia"/>
              </w:rPr>
              <w:t>perating</w:t>
            </w:r>
            <w:r>
              <w:t xml:space="preserve"> Cost</w:t>
            </w:r>
          </w:p>
        </w:tc>
        <w:tc>
          <w:tcPr>
            <w:tcW w:w="1984" w:type="dxa"/>
          </w:tcPr>
          <w:p w14:paraId="539AD19C" w14:textId="77777777" w:rsidR="0002461D" w:rsidRDefault="0002461D" w:rsidP="000A1977">
            <w:pPr>
              <w:snapToGrid w:val="0"/>
              <w:jc w:val="center"/>
            </w:pPr>
            <w:proofErr w:type="spellStart"/>
            <w:r>
              <w:t>C</w:t>
            </w:r>
            <w:r w:rsidRPr="00DA39B8">
              <w:rPr>
                <w:i/>
                <w:iCs/>
                <w:vertAlign w:val="superscript"/>
              </w:rPr>
              <w:t>oc</w:t>
            </w:r>
            <w:proofErr w:type="spellEnd"/>
          </w:p>
        </w:tc>
        <w:tc>
          <w:tcPr>
            <w:tcW w:w="1508" w:type="dxa"/>
          </w:tcPr>
          <w:p w14:paraId="75682CD4" w14:textId="77777777" w:rsidR="0002461D" w:rsidRPr="00A5233B" w:rsidRDefault="0002461D" w:rsidP="000A1977">
            <w:pPr>
              <w:snapToGrid w:val="0"/>
              <w:jc w:val="center"/>
            </w:pPr>
            <w:r w:rsidRPr="00BD4BB5">
              <w:rPr>
                <w:sz w:val="22"/>
              </w:rPr>
              <w:t>£</w:t>
            </w:r>
            <w:r>
              <w:t>150/day</w:t>
            </w:r>
          </w:p>
        </w:tc>
      </w:tr>
      <w:tr w:rsidR="0002461D" w14:paraId="578A765F" w14:textId="77777777" w:rsidTr="000A1977">
        <w:trPr>
          <w:trHeight w:val="55"/>
        </w:trPr>
        <w:tc>
          <w:tcPr>
            <w:tcW w:w="1696" w:type="dxa"/>
            <w:vMerge/>
          </w:tcPr>
          <w:p w14:paraId="090BA80C" w14:textId="77777777" w:rsidR="0002461D" w:rsidRDefault="0002461D" w:rsidP="000A1977">
            <w:pPr>
              <w:snapToGrid w:val="0"/>
            </w:pPr>
          </w:p>
        </w:tc>
        <w:tc>
          <w:tcPr>
            <w:tcW w:w="3828" w:type="dxa"/>
          </w:tcPr>
          <w:p w14:paraId="1F3A776E" w14:textId="77777777" w:rsidR="0002461D" w:rsidRDefault="0002461D" w:rsidP="000A1977">
            <w:pPr>
              <w:snapToGrid w:val="0"/>
            </w:pPr>
            <w:r>
              <w:t>Other Overhead Cost</w:t>
            </w:r>
          </w:p>
        </w:tc>
        <w:tc>
          <w:tcPr>
            <w:tcW w:w="1984" w:type="dxa"/>
          </w:tcPr>
          <w:p w14:paraId="21046ABD" w14:textId="77777777" w:rsidR="0002461D" w:rsidRDefault="0002461D" w:rsidP="000A1977">
            <w:pPr>
              <w:snapToGrid w:val="0"/>
              <w:jc w:val="center"/>
            </w:pPr>
            <w:proofErr w:type="spellStart"/>
            <w:r>
              <w:t>C</w:t>
            </w:r>
            <w:r w:rsidRPr="00E57AA5">
              <w:rPr>
                <w:i/>
                <w:iCs/>
                <w:vertAlign w:val="superscript"/>
              </w:rPr>
              <w:t>ov</w:t>
            </w:r>
            <w:proofErr w:type="spellEnd"/>
          </w:p>
        </w:tc>
        <w:tc>
          <w:tcPr>
            <w:tcW w:w="1508" w:type="dxa"/>
          </w:tcPr>
          <w:p w14:paraId="417F9BD8" w14:textId="77777777" w:rsidR="0002461D" w:rsidRPr="00A5233B" w:rsidRDefault="0002461D" w:rsidP="000A1977">
            <w:pPr>
              <w:snapToGrid w:val="0"/>
              <w:jc w:val="center"/>
            </w:pPr>
            <w:r w:rsidRPr="00BD4BB5">
              <w:rPr>
                <w:sz w:val="22"/>
              </w:rPr>
              <w:t>£</w:t>
            </w:r>
            <w:r>
              <w:t>10/day</w:t>
            </w:r>
          </w:p>
        </w:tc>
      </w:tr>
    </w:tbl>
    <w:p w14:paraId="75EC1099" w14:textId="77777777" w:rsidR="0002461D" w:rsidRDefault="0002461D" w:rsidP="0002461D">
      <w:pPr>
        <w:spacing w:after="160" w:line="259" w:lineRule="auto"/>
        <w:jc w:val="left"/>
      </w:pPr>
    </w:p>
    <w:p w14:paraId="7C45A19C" w14:textId="77777777" w:rsidR="0002461D" w:rsidRPr="00487F60" w:rsidRDefault="0002461D" w:rsidP="0002461D">
      <w:pPr>
        <w:snapToGrid w:val="0"/>
        <w:jc w:val="center"/>
      </w:pPr>
      <w:r>
        <w:rPr>
          <w:noProof/>
          <w:lang w:eastAsia="en-GB"/>
        </w:rPr>
        <mc:AlternateContent>
          <mc:Choice Requires="wps">
            <w:drawing>
              <wp:anchor distT="0" distB="0" distL="114300" distR="114300" simplePos="0" relativeHeight="251658243" behindDoc="0" locked="0" layoutInCell="1" allowOverlap="1" wp14:anchorId="4DE9DA1F" wp14:editId="1F61B6B9">
                <wp:simplePos x="0" y="0"/>
                <wp:positionH relativeFrom="column">
                  <wp:posOffset>2523281</wp:posOffset>
                </wp:positionH>
                <wp:positionV relativeFrom="paragraph">
                  <wp:posOffset>1360098</wp:posOffset>
                </wp:positionV>
                <wp:extent cx="1267428" cy="2841994"/>
                <wp:effectExtent l="38100" t="38100" r="66675" b="53975"/>
                <wp:wrapNone/>
                <wp:docPr id="86" name="Straight Arrow Connector 86"/>
                <wp:cNvGraphicFramePr/>
                <a:graphic xmlns:a="http://schemas.openxmlformats.org/drawingml/2006/main">
                  <a:graphicData uri="http://schemas.microsoft.com/office/word/2010/wordprocessingShape">
                    <wps:wsp>
                      <wps:cNvCnPr/>
                      <wps:spPr>
                        <a:xfrm flipH="1">
                          <a:off x="0" y="0"/>
                          <a:ext cx="1267428" cy="2841994"/>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4DC8FC" id="Straight Arrow Connector 86" o:spid="_x0000_s1026" type="#_x0000_t32" style="position:absolute;margin-left:198.7pt;margin-top:107.1pt;width:99.8pt;height:223.8pt;flip:x;z-index:25165824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" strokecolor="red" strokeweight=".5pt">
                <v:stroke startarrow="block" endarrow="block" joinstyle="miter"/>
              </v:shape>
            </w:pict>
          </mc:Fallback>
        </mc:AlternateContent>
      </w:r>
      <w:r>
        <w:rPr>
          <w:noProof/>
          <w:lang w:eastAsia="en-GB"/>
        </w:rPr>
        <mc:AlternateContent>
          <mc:Choice Requires="wps">
            <w:drawing>
              <wp:anchor distT="0" distB="0" distL="114300" distR="114300" simplePos="0" relativeHeight="251658241" behindDoc="0" locked="0" layoutInCell="1" allowOverlap="1" wp14:anchorId="02AB9A6C" wp14:editId="0C4FD217">
                <wp:simplePos x="0" y="0"/>
                <wp:positionH relativeFrom="column">
                  <wp:posOffset>3078866</wp:posOffset>
                </wp:positionH>
                <wp:positionV relativeFrom="paragraph">
                  <wp:posOffset>1175313</wp:posOffset>
                </wp:positionV>
                <wp:extent cx="1805305" cy="185058"/>
                <wp:effectExtent l="0" t="0" r="23495" b="24765"/>
                <wp:wrapNone/>
                <wp:docPr id="87" name="Oval 87"/>
                <wp:cNvGraphicFramePr/>
                <a:graphic xmlns:a="http://schemas.openxmlformats.org/drawingml/2006/main">
                  <a:graphicData uri="http://schemas.microsoft.com/office/word/2010/wordprocessingShape">
                    <wps:wsp>
                      <wps:cNvSpPr/>
                      <wps:spPr>
                        <a:xfrm>
                          <a:off x="0" y="0"/>
                          <a:ext cx="1805305" cy="185058"/>
                        </a:xfrm>
                        <a:prstGeom prst="ellipse">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D196C37" id="Oval 87" o:spid="_x0000_s1026" style="position:absolute;margin-left:242.45pt;margin-top:92.55pt;width:142.15pt;height:14.55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" filled="f" strokecolor="red" strokeweight="1pt">
                <v:stroke joinstyle="miter"/>
              </v:oval>
            </w:pict>
          </mc:Fallback>
        </mc:AlternateContent>
      </w:r>
      <w:r>
        <w:rPr>
          <w:noProof/>
          <w:lang w:eastAsia="en-GB"/>
        </w:rPr>
        <mc:AlternateContent>
          <mc:Choice Requires="wps">
            <w:drawing>
              <wp:anchor distT="0" distB="0" distL="114300" distR="114300" simplePos="0" relativeHeight="251658242" behindDoc="0" locked="0" layoutInCell="1" allowOverlap="1" wp14:anchorId="6D3B8051" wp14:editId="1EB68A98">
                <wp:simplePos x="0" y="0"/>
                <wp:positionH relativeFrom="column">
                  <wp:posOffset>948818</wp:posOffset>
                </wp:positionH>
                <wp:positionV relativeFrom="paragraph">
                  <wp:posOffset>4201723</wp:posOffset>
                </wp:positionV>
                <wp:extent cx="1805651" cy="161692"/>
                <wp:effectExtent l="0" t="0" r="23495" b="10160"/>
                <wp:wrapNone/>
                <wp:docPr id="106" name="Oval 106"/>
                <wp:cNvGraphicFramePr/>
                <a:graphic xmlns:a="http://schemas.openxmlformats.org/drawingml/2006/main">
                  <a:graphicData uri="http://schemas.microsoft.com/office/word/2010/wordprocessingShape">
                    <wps:wsp>
                      <wps:cNvSpPr/>
                      <wps:spPr>
                        <a:xfrm>
                          <a:off x="0" y="0"/>
                          <a:ext cx="1805651" cy="161692"/>
                        </a:xfrm>
                        <a:prstGeom prst="ellipse">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FF0168B" id="Oval 106" o:spid="_x0000_s1026" style="position:absolute;margin-left:74.7pt;margin-top:330.85pt;width:142.2pt;height:12.75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" filled="f" strokecolor="red" strokeweight="1pt">
                <v:stroke joinstyle="miter"/>
              </v:oval>
            </w:pict>
          </mc:Fallback>
        </mc:AlternateContent>
      </w:r>
      <w:r>
        <w:rPr>
          <w:noProof/>
          <w:lang w:eastAsia="en-GB"/>
        </w:rPr>
        <w:drawing>
          <wp:inline distT="0" distB="0" distL="0" distR="0" wp14:anchorId="5BEFB86B" wp14:editId="1682BA7D">
            <wp:extent cx="4540483" cy="5378726"/>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540483" cy="5378726"/>
                    </a:xfrm>
                    <a:prstGeom prst="rect">
                      <a:avLst/>
                    </a:prstGeom>
                  </pic:spPr>
                </pic:pic>
              </a:graphicData>
            </a:graphic>
          </wp:inline>
        </w:drawing>
      </w:r>
    </w:p>
    <w:p w14:paraId="1655CA65" w14:textId="70516722" w:rsidR="0002461D" w:rsidRPr="00525710" w:rsidRDefault="0002461D" w:rsidP="0002461D">
      <w:pPr>
        <w:pStyle w:val="Caption"/>
        <w:snapToGrid w:val="0"/>
        <w:rPr>
          <w:i w:val="0"/>
          <w:iCs w:val="0"/>
        </w:rPr>
      </w:pPr>
      <w:bookmarkStart w:id="1290" w:name="_Ref13932656"/>
      <w:r w:rsidRPr="00525710">
        <w:rPr>
          <w:i w:val="0"/>
          <w:iCs w:val="0"/>
        </w:rPr>
        <w:t xml:space="preserve">Figure </w:t>
      </w:r>
      <w:r w:rsidR="00DA06C6" w:rsidRPr="00525710">
        <w:rPr>
          <w:i w:val="0"/>
          <w:iCs w:val="0"/>
        </w:rPr>
        <w:t>VII.2</w:t>
      </w:r>
      <w:bookmarkEnd w:id="1290"/>
      <w:r w:rsidRPr="00525710">
        <w:rPr>
          <w:i w:val="0"/>
          <w:iCs w:val="0"/>
        </w:rPr>
        <w:t xml:space="preserve">-Data Input in the </w:t>
      </w:r>
      <w:r w:rsidRPr="00525710">
        <w:rPr>
          <w:rFonts w:hint="eastAsia"/>
          <w:i w:val="0"/>
          <w:iCs w:val="0"/>
        </w:rPr>
        <w:t>users</w:t>
      </w:r>
      <w:r w:rsidRPr="00525710">
        <w:rPr>
          <w:i w:val="0"/>
          <w:iCs w:val="0"/>
        </w:rPr>
        <w:t xml:space="preserve">’ </w:t>
      </w:r>
      <w:r w:rsidRPr="00525710">
        <w:rPr>
          <w:rFonts w:hint="eastAsia"/>
          <w:i w:val="0"/>
          <w:iCs w:val="0"/>
        </w:rPr>
        <w:t>Interface</w:t>
      </w:r>
    </w:p>
    <w:p w14:paraId="74424DBE" w14:textId="77777777" w:rsidR="0002461D" w:rsidRDefault="0002461D" w:rsidP="0002461D">
      <w:pPr>
        <w:snapToGrid w:val="0"/>
      </w:pPr>
      <w:r>
        <w:t>We define the assumed data into the “parameter” and “cost”. The data of parameter is about the values of</w:t>
      </w:r>
      <w:r w:rsidRPr="0074042B">
        <w:t xml:space="preserve"> equipment and human resources related to the</w:t>
      </w:r>
      <w:r>
        <w:t xml:space="preserve"> goods sorting and distribution. The data of cost are </w:t>
      </w:r>
      <w:proofErr w:type="gramStart"/>
      <w:r>
        <w:t>all of</w:t>
      </w:r>
      <w:proofErr w:type="gramEnd"/>
      <w:r>
        <w:t xml:space="preserve"> the expense of UCC not involved in the urban delivery. The decision-makers input the assumed data into the users’ interface. These </w:t>
      </w:r>
      <w:r>
        <w:lastRenderedPageBreak/>
        <w:t xml:space="preserve">types of data are changing according to the </w:t>
      </w:r>
      <w:r>
        <w:rPr>
          <w:rFonts w:hint="eastAsia"/>
        </w:rPr>
        <w:t>real</w:t>
      </w:r>
      <w:r>
        <w:t xml:space="preserve"> situation of the UCC cases. Therefore, these data are only used to test the availability of the “Cost Analysis Tools”. </w:t>
      </w:r>
    </w:p>
    <w:p w14:paraId="2EAD760C" w14:textId="432CE5B3" w:rsidR="0002461D" w:rsidRDefault="0002461D" w:rsidP="0002461D">
      <w:pPr>
        <w:snapToGrid w:val="0"/>
        <w:rPr>
          <w:noProof/>
        </w:rPr>
      </w:pPr>
      <w:r>
        <w:t xml:space="preserve">The </w:t>
      </w:r>
      <w:r>
        <w:fldChar w:fldCharType="begin"/>
      </w:r>
      <w:r>
        <w:instrText xml:space="preserve"> REF _Ref13932656 \h  \* MERGEFORMAT </w:instrText>
      </w:r>
      <w:r>
        <w:fldChar w:fldCharType="separate"/>
      </w:r>
      <w:r w:rsidR="0005064B" w:rsidRPr="00525710">
        <w:t xml:space="preserve">Figure </w:t>
      </w:r>
      <w:r w:rsidR="0005064B" w:rsidRPr="00525710">
        <w:rPr>
          <w:noProof/>
        </w:rPr>
        <w:t>VII</w:t>
      </w:r>
      <w:r w:rsidR="0005064B" w:rsidRPr="00525710">
        <w:t>.2</w:t>
      </w:r>
      <w:r>
        <w:fldChar w:fldCharType="end"/>
      </w:r>
      <w:r>
        <w:t xml:space="preserve"> shows the details of data inputting of the user’s interface.</w:t>
      </w:r>
      <w:r w:rsidRPr="00487F60">
        <w:rPr>
          <w:noProof/>
        </w:rPr>
        <w:t xml:space="preserve"> </w:t>
      </w:r>
      <w:r>
        <w:rPr>
          <w:noProof/>
        </w:rPr>
        <w:t xml:space="preserve"> </w:t>
      </w:r>
    </w:p>
    <w:p w14:paraId="4CAAABA5" w14:textId="77777777" w:rsidR="00DA06C6" w:rsidRPr="007817FC" w:rsidRDefault="00DA06C6" w:rsidP="0002461D">
      <w:pPr>
        <w:snapToGrid w:val="0"/>
      </w:pPr>
    </w:p>
    <w:p w14:paraId="5CAAE694" w14:textId="53629B82" w:rsidR="0002461D" w:rsidRPr="00525710" w:rsidRDefault="0002461D" w:rsidP="0002461D">
      <w:pPr>
        <w:pStyle w:val="Caption"/>
        <w:snapToGrid w:val="0"/>
        <w:rPr>
          <w:i w:val="0"/>
          <w:iCs w:val="0"/>
        </w:rPr>
      </w:pPr>
      <w:r w:rsidRPr="00525710">
        <w:rPr>
          <w:i w:val="0"/>
          <w:iCs w:val="0"/>
        </w:rPr>
        <w:t xml:space="preserve">Table </w:t>
      </w:r>
      <w:r w:rsidR="00DA06C6" w:rsidRPr="00525710">
        <w:rPr>
          <w:i w:val="0"/>
          <w:iCs w:val="0"/>
        </w:rPr>
        <w:t>VII.4</w:t>
      </w:r>
      <w:r w:rsidRPr="00525710">
        <w:rPr>
          <w:i w:val="0"/>
          <w:iCs w:val="0"/>
        </w:rPr>
        <w:t>-Output of the Fixed and Variable Cost of UCC</w:t>
      </w:r>
    </w:p>
    <w:tbl>
      <w:tblPr>
        <w:tblStyle w:val="TableGrid"/>
        <w:tblW w:w="0" w:type="auto"/>
        <w:tblLook w:val="04A0" w:firstRow="1" w:lastRow="0" w:firstColumn="1" w:lastColumn="0" w:noHBand="0" w:noVBand="1"/>
      </w:tblPr>
      <w:tblGrid>
        <w:gridCol w:w="1842"/>
        <w:gridCol w:w="1557"/>
        <w:gridCol w:w="3079"/>
        <w:gridCol w:w="1818"/>
      </w:tblGrid>
      <w:tr w:rsidR="0002461D" w14:paraId="4DA31D99" w14:textId="77777777" w:rsidTr="000A1977">
        <w:tc>
          <w:tcPr>
            <w:tcW w:w="1980" w:type="dxa"/>
            <w:vAlign w:val="center"/>
          </w:tcPr>
          <w:p w14:paraId="235C94DC" w14:textId="77777777" w:rsidR="0002461D" w:rsidRPr="00CA352D" w:rsidRDefault="0002461D" w:rsidP="000A1977">
            <w:pPr>
              <w:snapToGrid w:val="0"/>
              <w:rPr>
                <w:sz w:val="22"/>
              </w:rPr>
            </w:pPr>
            <w:r>
              <w:rPr>
                <w:sz w:val="22"/>
              </w:rPr>
              <w:t>Types of the Cost</w:t>
            </w:r>
          </w:p>
        </w:tc>
        <w:tc>
          <w:tcPr>
            <w:tcW w:w="5103" w:type="dxa"/>
            <w:gridSpan w:val="2"/>
          </w:tcPr>
          <w:p w14:paraId="31C76E46" w14:textId="77777777" w:rsidR="0002461D" w:rsidRPr="00CA352D" w:rsidRDefault="0002461D" w:rsidP="000A1977">
            <w:pPr>
              <w:snapToGrid w:val="0"/>
              <w:jc w:val="center"/>
              <w:rPr>
                <w:sz w:val="22"/>
              </w:rPr>
            </w:pPr>
            <w:r>
              <w:rPr>
                <w:sz w:val="22"/>
              </w:rPr>
              <w:t>Goods Movement Stage</w:t>
            </w:r>
          </w:p>
        </w:tc>
        <w:tc>
          <w:tcPr>
            <w:tcW w:w="1933" w:type="dxa"/>
          </w:tcPr>
          <w:p w14:paraId="4ADE4FAB" w14:textId="77777777" w:rsidR="0002461D" w:rsidRPr="00CA352D" w:rsidRDefault="0002461D" w:rsidP="000A1977">
            <w:pPr>
              <w:snapToGrid w:val="0"/>
              <w:jc w:val="center"/>
              <w:rPr>
                <w:sz w:val="22"/>
              </w:rPr>
            </w:pPr>
            <w:r w:rsidRPr="00CA352D">
              <w:rPr>
                <w:sz w:val="22"/>
              </w:rPr>
              <w:t>Value</w:t>
            </w:r>
          </w:p>
        </w:tc>
      </w:tr>
      <w:tr w:rsidR="0002461D" w14:paraId="049686E5" w14:textId="77777777" w:rsidTr="000A1977">
        <w:tc>
          <w:tcPr>
            <w:tcW w:w="1980" w:type="dxa"/>
            <w:vAlign w:val="center"/>
          </w:tcPr>
          <w:p w14:paraId="05B3658E" w14:textId="77777777" w:rsidR="0002461D" w:rsidRPr="00CA352D" w:rsidRDefault="0002461D" w:rsidP="000A1977">
            <w:pPr>
              <w:snapToGrid w:val="0"/>
              <w:rPr>
                <w:sz w:val="22"/>
              </w:rPr>
            </w:pPr>
            <w:r w:rsidRPr="00CA352D">
              <w:rPr>
                <w:sz w:val="22"/>
              </w:rPr>
              <w:t>Fixed cost</w:t>
            </w:r>
          </w:p>
        </w:tc>
        <w:tc>
          <w:tcPr>
            <w:tcW w:w="5103" w:type="dxa"/>
            <w:gridSpan w:val="2"/>
          </w:tcPr>
          <w:p w14:paraId="4E4BAC70" w14:textId="77777777" w:rsidR="0002461D" w:rsidRPr="00CA352D" w:rsidRDefault="0002461D" w:rsidP="000A1977">
            <w:pPr>
              <w:snapToGrid w:val="0"/>
              <w:jc w:val="center"/>
              <w:rPr>
                <w:sz w:val="22"/>
              </w:rPr>
            </w:pPr>
            <w:r>
              <w:rPr>
                <w:sz w:val="22"/>
              </w:rPr>
              <w:t>------------------</w:t>
            </w:r>
          </w:p>
        </w:tc>
        <w:tc>
          <w:tcPr>
            <w:tcW w:w="1933" w:type="dxa"/>
          </w:tcPr>
          <w:p w14:paraId="482312D6" w14:textId="77777777" w:rsidR="0002461D" w:rsidRPr="00CA352D" w:rsidRDefault="0002461D" w:rsidP="000A1977">
            <w:pPr>
              <w:snapToGrid w:val="0"/>
              <w:jc w:val="center"/>
              <w:rPr>
                <w:sz w:val="22"/>
              </w:rPr>
            </w:pPr>
            <w:r w:rsidRPr="00CA352D">
              <w:rPr>
                <w:sz w:val="22"/>
              </w:rPr>
              <w:t>£</w:t>
            </w:r>
            <w:r>
              <w:rPr>
                <w:sz w:val="22"/>
              </w:rPr>
              <w:t>380</w:t>
            </w:r>
            <w:r>
              <w:t>/day</w:t>
            </w:r>
          </w:p>
        </w:tc>
      </w:tr>
      <w:tr w:rsidR="0002461D" w14:paraId="58BB9694" w14:textId="77777777" w:rsidTr="000A1977">
        <w:trPr>
          <w:trHeight w:val="351"/>
        </w:trPr>
        <w:tc>
          <w:tcPr>
            <w:tcW w:w="1980" w:type="dxa"/>
            <w:vMerge w:val="restart"/>
            <w:vAlign w:val="center"/>
          </w:tcPr>
          <w:p w14:paraId="1DC1A8EE" w14:textId="77777777" w:rsidR="0002461D" w:rsidRPr="00CA352D" w:rsidRDefault="0002461D" w:rsidP="000A1977">
            <w:pPr>
              <w:snapToGrid w:val="0"/>
              <w:rPr>
                <w:sz w:val="22"/>
              </w:rPr>
            </w:pPr>
            <w:r>
              <w:rPr>
                <w:sz w:val="22"/>
              </w:rPr>
              <w:t>Variable Cost</w:t>
            </w:r>
          </w:p>
        </w:tc>
        <w:tc>
          <w:tcPr>
            <w:tcW w:w="5103" w:type="dxa"/>
            <w:gridSpan w:val="2"/>
          </w:tcPr>
          <w:p w14:paraId="297A6C9B" w14:textId="77777777" w:rsidR="0002461D" w:rsidRDefault="0002461D" w:rsidP="000A1977">
            <w:pPr>
              <w:snapToGrid w:val="0"/>
              <w:jc w:val="center"/>
              <w:rPr>
                <w:sz w:val="22"/>
              </w:rPr>
            </w:pPr>
            <w:r>
              <w:rPr>
                <w:sz w:val="22"/>
              </w:rPr>
              <w:t>Infacility-Cost</w:t>
            </w:r>
          </w:p>
        </w:tc>
        <w:tc>
          <w:tcPr>
            <w:tcW w:w="1933" w:type="dxa"/>
          </w:tcPr>
          <w:p w14:paraId="58A54E59" w14:textId="77777777" w:rsidR="0002461D" w:rsidRPr="00CA352D" w:rsidRDefault="0002461D" w:rsidP="000A1977">
            <w:pPr>
              <w:snapToGrid w:val="0"/>
              <w:jc w:val="center"/>
              <w:rPr>
                <w:sz w:val="22"/>
              </w:rPr>
            </w:pPr>
            <w:r w:rsidRPr="00CA352D">
              <w:rPr>
                <w:sz w:val="22"/>
              </w:rPr>
              <w:t>£</w:t>
            </w:r>
            <w:r>
              <w:rPr>
                <w:sz w:val="22"/>
              </w:rPr>
              <w:t>2.9</w:t>
            </w:r>
          </w:p>
        </w:tc>
      </w:tr>
      <w:tr w:rsidR="0002461D" w14:paraId="06E2B841" w14:textId="77777777" w:rsidTr="000A1977">
        <w:tc>
          <w:tcPr>
            <w:tcW w:w="1980" w:type="dxa"/>
            <w:vMerge/>
          </w:tcPr>
          <w:p w14:paraId="2F8C9B56" w14:textId="77777777" w:rsidR="0002461D" w:rsidRPr="00CA352D" w:rsidRDefault="0002461D" w:rsidP="000A1977">
            <w:pPr>
              <w:snapToGrid w:val="0"/>
              <w:jc w:val="center"/>
              <w:rPr>
                <w:sz w:val="22"/>
              </w:rPr>
            </w:pPr>
          </w:p>
        </w:tc>
        <w:tc>
          <w:tcPr>
            <w:tcW w:w="1701" w:type="dxa"/>
            <w:vMerge w:val="restart"/>
          </w:tcPr>
          <w:p w14:paraId="402FF77A" w14:textId="77777777" w:rsidR="0002461D" w:rsidRPr="00CA352D" w:rsidRDefault="0002461D" w:rsidP="000A1977">
            <w:pPr>
              <w:snapToGrid w:val="0"/>
              <w:jc w:val="center"/>
              <w:rPr>
                <w:sz w:val="22"/>
              </w:rPr>
            </w:pPr>
            <w:r>
              <w:rPr>
                <w:sz w:val="22"/>
              </w:rPr>
              <w:t>On-road Cost</w:t>
            </w:r>
          </w:p>
        </w:tc>
        <w:tc>
          <w:tcPr>
            <w:tcW w:w="3402" w:type="dxa"/>
          </w:tcPr>
          <w:p w14:paraId="0B35D6DE" w14:textId="77777777" w:rsidR="0002461D" w:rsidRPr="00CA352D" w:rsidRDefault="0002461D" w:rsidP="000A1977">
            <w:pPr>
              <w:snapToGrid w:val="0"/>
              <w:jc w:val="center"/>
              <w:rPr>
                <w:sz w:val="22"/>
              </w:rPr>
            </w:pPr>
            <w:r w:rsidRPr="00CA352D">
              <w:rPr>
                <w:sz w:val="22"/>
              </w:rPr>
              <w:t>Last-mile Delivery</w:t>
            </w:r>
          </w:p>
        </w:tc>
        <w:tc>
          <w:tcPr>
            <w:tcW w:w="1933" w:type="dxa"/>
          </w:tcPr>
          <w:p w14:paraId="2B80CA6E" w14:textId="77777777" w:rsidR="0002461D" w:rsidRPr="00CA352D" w:rsidRDefault="0002461D" w:rsidP="000A1977">
            <w:pPr>
              <w:snapToGrid w:val="0"/>
              <w:jc w:val="center"/>
              <w:rPr>
                <w:sz w:val="22"/>
              </w:rPr>
            </w:pPr>
            <w:r w:rsidRPr="00CA352D">
              <w:rPr>
                <w:sz w:val="22"/>
              </w:rPr>
              <w:t>£</w:t>
            </w:r>
            <w:r>
              <w:rPr>
                <w:sz w:val="22"/>
              </w:rPr>
              <w:t>18.6</w:t>
            </w:r>
          </w:p>
        </w:tc>
      </w:tr>
      <w:tr w:rsidR="0002461D" w14:paraId="68F63B3A" w14:textId="77777777" w:rsidTr="000A1977">
        <w:tc>
          <w:tcPr>
            <w:tcW w:w="1980" w:type="dxa"/>
            <w:vMerge/>
          </w:tcPr>
          <w:p w14:paraId="42C3445E" w14:textId="77777777" w:rsidR="0002461D" w:rsidRPr="00CA352D" w:rsidRDefault="0002461D" w:rsidP="000A1977">
            <w:pPr>
              <w:snapToGrid w:val="0"/>
              <w:jc w:val="center"/>
              <w:rPr>
                <w:sz w:val="22"/>
              </w:rPr>
            </w:pPr>
          </w:p>
        </w:tc>
        <w:tc>
          <w:tcPr>
            <w:tcW w:w="1701" w:type="dxa"/>
            <w:vMerge/>
          </w:tcPr>
          <w:p w14:paraId="5822B12C" w14:textId="77777777" w:rsidR="0002461D" w:rsidRPr="00CA352D" w:rsidRDefault="0002461D" w:rsidP="000A1977">
            <w:pPr>
              <w:snapToGrid w:val="0"/>
              <w:jc w:val="center"/>
              <w:rPr>
                <w:sz w:val="22"/>
              </w:rPr>
            </w:pPr>
          </w:p>
        </w:tc>
        <w:tc>
          <w:tcPr>
            <w:tcW w:w="3402" w:type="dxa"/>
          </w:tcPr>
          <w:p w14:paraId="45F3DBD2" w14:textId="77777777" w:rsidR="0002461D" w:rsidRPr="00CA352D" w:rsidRDefault="0002461D" w:rsidP="000A1977">
            <w:pPr>
              <w:snapToGrid w:val="0"/>
              <w:jc w:val="center"/>
              <w:rPr>
                <w:sz w:val="22"/>
              </w:rPr>
            </w:pPr>
            <w:r w:rsidRPr="00CA352D">
              <w:rPr>
                <w:sz w:val="22"/>
              </w:rPr>
              <w:t>Goods Receipt</w:t>
            </w:r>
          </w:p>
        </w:tc>
        <w:tc>
          <w:tcPr>
            <w:tcW w:w="1933" w:type="dxa"/>
          </w:tcPr>
          <w:p w14:paraId="3744E447" w14:textId="77777777" w:rsidR="0002461D" w:rsidRPr="00CA352D" w:rsidRDefault="0002461D" w:rsidP="000A1977">
            <w:pPr>
              <w:snapToGrid w:val="0"/>
              <w:jc w:val="center"/>
              <w:rPr>
                <w:sz w:val="22"/>
              </w:rPr>
            </w:pPr>
            <w:r w:rsidRPr="00CA352D">
              <w:rPr>
                <w:sz w:val="22"/>
              </w:rPr>
              <w:t>£</w:t>
            </w:r>
            <w:r>
              <w:rPr>
                <w:sz w:val="22"/>
              </w:rPr>
              <w:t>17.3</w:t>
            </w:r>
          </w:p>
        </w:tc>
      </w:tr>
      <w:tr w:rsidR="0002461D" w14:paraId="63A996A0" w14:textId="77777777" w:rsidTr="000A1977">
        <w:tc>
          <w:tcPr>
            <w:tcW w:w="1980" w:type="dxa"/>
            <w:vMerge/>
          </w:tcPr>
          <w:p w14:paraId="494B0C31" w14:textId="77777777" w:rsidR="0002461D" w:rsidRPr="00CA352D" w:rsidRDefault="0002461D" w:rsidP="000A1977">
            <w:pPr>
              <w:snapToGrid w:val="0"/>
              <w:jc w:val="center"/>
              <w:rPr>
                <w:sz w:val="22"/>
              </w:rPr>
            </w:pPr>
          </w:p>
        </w:tc>
        <w:tc>
          <w:tcPr>
            <w:tcW w:w="5103" w:type="dxa"/>
            <w:gridSpan w:val="2"/>
          </w:tcPr>
          <w:p w14:paraId="5F1F91C2" w14:textId="77777777" w:rsidR="0002461D" w:rsidRPr="00CA352D" w:rsidRDefault="0002461D" w:rsidP="000A1977">
            <w:pPr>
              <w:snapToGrid w:val="0"/>
              <w:jc w:val="center"/>
              <w:rPr>
                <w:sz w:val="22"/>
              </w:rPr>
            </w:pPr>
            <w:r>
              <w:rPr>
                <w:sz w:val="22"/>
              </w:rPr>
              <w:t>Total Variable Cost</w:t>
            </w:r>
          </w:p>
        </w:tc>
        <w:tc>
          <w:tcPr>
            <w:tcW w:w="1933" w:type="dxa"/>
          </w:tcPr>
          <w:p w14:paraId="5927B723" w14:textId="77777777" w:rsidR="0002461D" w:rsidRPr="00CA352D" w:rsidRDefault="0002461D" w:rsidP="000A1977">
            <w:pPr>
              <w:snapToGrid w:val="0"/>
              <w:jc w:val="center"/>
              <w:rPr>
                <w:sz w:val="22"/>
              </w:rPr>
            </w:pPr>
            <w:r w:rsidRPr="00CA352D">
              <w:rPr>
                <w:sz w:val="22"/>
              </w:rPr>
              <w:t>£</w:t>
            </w:r>
            <w:r>
              <w:rPr>
                <w:sz w:val="22"/>
              </w:rPr>
              <w:t>39.8</w:t>
            </w:r>
          </w:p>
        </w:tc>
      </w:tr>
    </w:tbl>
    <w:p w14:paraId="7C045AF4" w14:textId="77777777" w:rsidR="0002461D" w:rsidRPr="001D7A35" w:rsidRDefault="0002461D" w:rsidP="0002461D">
      <w:pPr>
        <w:snapToGrid w:val="0"/>
        <w:rPr>
          <w:sz w:val="32"/>
          <w:szCs w:val="32"/>
        </w:rPr>
      </w:pPr>
    </w:p>
    <w:p w14:paraId="1106E5D7" w14:textId="77777777" w:rsidR="0002461D" w:rsidRPr="00097FB4" w:rsidRDefault="0002461D" w:rsidP="0002461D">
      <w:pPr>
        <w:snapToGrid w:val="0"/>
      </w:pPr>
      <w:r w:rsidRPr="00097FB4">
        <w:t xml:space="preserve">According to the formulation 11, the value of the fixed cost is </w:t>
      </w:r>
      <w:proofErr w:type="gramStart"/>
      <w:r w:rsidRPr="00097FB4">
        <w:rPr>
          <w:sz w:val="22"/>
        </w:rPr>
        <w:t>£</w:t>
      </w:r>
      <w:r w:rsidRPr="00097FB4">
        <w:t>531</w:t>
      </w:r>
      <w:proofErr w:type="gramEnd"/>
    </w:p>
    <w:p w14:paraId="77276268" w14:textId="77777777" w:rsidR="0002461D" w:rsidRPr="00097FB4" w:rsidRDefault="0002461D" w:rsidP="0002461D">
      <w:pPr>
        <w:snapToGrid w:val="0"/>
      </w:pPr>
      <w:r w:rsidRPr="00097FB4">
        <w:t>According to formulation 4 the values of “Goods Unloading” cost is:</w:t>
      </w:r>
      <w:r w:rsidRPr="00097FB4">
        <w:rPr>
          <w:noProof/>
          <w:position w:val="-4"/>
        </w:rPr>
        <w:object w:dxaOrig="180" w:dyaOrig="279" w14:anchorId="2D127962">
          <v:shape id="_x0000_i1067" type="#_x0000_t75" style="width:7.35pt;height:14.2pt" o:ole="">
            <v:imagedata r:id="rId219" o:title=""/>
          </v:shape>
          <o:OLEObject Type="Embed" ProgID="Equation.DSMT4" ShapeID="_x0000_i1067" DrawAspect="Content" ObjectID="_1681648074" r:id="rId220"/>
        </w:object>
      </w:r>
      <w:r w:rsidRPr="00097FB4">
        <w:t xml:space="preserve"> </w:t>
      </w:r>
    </w:p>
    <w:p w14:paraId="3CF737DA" w14:textId="77777777" w:rsidR="0002461D" w:rsidRPr="00097FB4" w:rsidRDefault="000306D9" w:rsidP="0002461D">
      <w:pPr>
        <w:snapToGrid w:val="0"/>
        <w:jc w:val="center"/>
      </w:pPr>
      <m:oMathPara>
        <m:oMath>
          <m:f>
            <m:fPr>
              <m:ctrlPr>
                <w:rPr>
                  <w:rFonts w:ascii="Cambria Math" w:hAnsi="Cambria Math" w:cstheme="majorBidi"/>
                  <w:i/>
                </w:rPr>
              </m:ctrlPr>
            </m:fPr>
            <m:num>
              <m:r>
                <w:rPr>
                  <w:rFonts w:ascii="Cambria Math" w:hAnsi="Cambria Math" w:cstheme="majorBidi"/>
                </w:rPr>
                <m:t>22</m:t>
              </m:r>
            </m:num>
            <m:den>
              <m:r>
                <w:rPr>
                  <w:rFonts w:ascii="Cambria Math" w:hAnsi="Cambria Math" w:cstheme="majorBidi"/>
                </w:rPr>
                <m:t>60</m:t>
              </m:r>
            </m:den>
          </m:f>
          <m:r>
            <w:rPr>
              <w:rFonts w:ascii="Cambria Math" w:hAnsi="Cambria Math" w:cstheme="majorBidi"/>
            </w:rPr>
            <m:t xml:space="preserve"> hour×7.91</m:t>
          </m:r>
          <m:r>
            <w:rPr>
              <w:rFonts w:ascii="Cambria Math" w:hAnsi="Cambria Math"/>
            </w:rPr>
            <m:t>£/hour</m:t>
          </m:r>
          <m:r>
            <w:rPr>
              <w:rFonts w:ascii="Cambria Math" w:hAnsi="Cambria Math" w:cstheme="majorBidi"/>
            </w:rPr>
            <m:t>=</m:t>
          </m:r>
          <m:r>
            <w:rPr>
              <w:rFonts w:ascii="Cambria Math" w:hAnsi="Cambria Math"/>
            </w:rPr>
            <m:t>£</m:t>
          </m:r>
          <m:r>
            <w:rPr>
              <w:rFonts w:ascii="Cambria Math" w:hAnsi="Cambria Math" w:cstheme="majorBidi"/>
            </w:rPr>
            <m:t>2.9</m:t>
          </m:r>
        </m:oMath>
      </m:oMathPara>
    </w:p>
    <w:p w14:paraId="73267AA3" w14:textId="77777777" w:rsidR="0002461D" w:rsidRPr="00097FB4" w:rsidRDefault="0002461D" w:rsidP="0002461D">
      <w:pPr>
        <w:snapToGrid w:val="0"/>
      </w:pPr>
      <w:r w:rsidRPr="00097FB4">
        <w:t xml:space="preserve">According to formulation 9, the values of “Last-mile Delivery” </w:t>
      </w:r>
      <w:proofErr w:type="gramStart"/>
      <w:r w:rsidRPr="00097FB4">
        <w:t>is</w:t>
      </w:r>
      <w:proofErr w:type="gramEnd"/>
    </w:p>
    <w:p w14:paraId="263BB441" w14:textId="77777777" w:rsidR="0002461D" w:rsidRPr="00097FB4" w:rsidRDefault="000306D9" w:rsidP="0002461D">
      <w:pPr>
        <w:snapToGrid w:val="0"/>
        <w:jc w:val="center"/>
      </w:pPr>
      <m:oMathPara>
        <m:oMath>
          <m:f>
            <m:fPr>
              <m:ctrlPr>
                <w:rPr>
                  <w:rFonts w:ascii="Cambria Math" w:hAnsi="Cambria Math" w:cstheme="majorBidi"/>
                  <w:i/>
                </w:rPr>
              </m:ctrlPr>
            </m:fPr>
            <m:num>
              <m:r>
                <w:rPr>
                  <w:rFonts w:ascii="Cambria Math" w:hAnsi="Cambria Math" w:cstheme="majorBidi"/>
                </w:rPr>
                <m:t>2×43.416KM×1.288</m:t>
              </m:r>
              <m:r>
                <w:rPr>
                  <w:rFonts w:ascii="Cambria Math" w:hAnsi="Cambria Math"/>
                </w:rPr>
                <m:t>£/L</m:t>
              </m:r>
              <m:r>
                <w:rPr>
                  <w:rFonts w:ascii="Cambria Math" w:hAnsi="Cambria Math" w:cstheme="majorBidi"/>
                </w:rPr>
                <m:t>×9.4L</m:t>
              </m:r>
            </m:num>
            <m:den>
              <m:r>
                <w:rPr>
                  <w:rFonts w:ascii="Cambria Math" w:hAnsi="Cambria Math" w:cstheme="majorBidi"/>
                </w:rPr>
                <m:t>100</m:t>
              </m:r>
            </m:den>
          </m:f>
          <m:r>
            <w:rPr>
              <w:rFonts w:ascii="Cambria Math" w:hAnsi="Cambria Math" w:cstheme="majorBidi"/>
            </w:rPr>
            <m:t>+2×8.09</m:t>
          </m:r>
          <m:r>
            <w:rPr>
              <w:rFonts w:ascii="Cambria Math" w:hAnsi="Cambria Math"/>
            </w:rPr>
            <m:t>£/hour×</m:t>
          </m:r>
          <m:f>
            <m:fPr>
              <m:ctrlPr>
                <w:rPr>
                  <w:rFonts w:ascii="Cambria Math" w:hAnsi="Cambria Math"/>
                  <w:i/>
                </w:rPr>
              </m:ctrlPr>
            </m:fPr>
            <m:num>
              <m:r>
                <w:rPr>
                  <w:rFonts w:ascii="Cambria Math" w:hAnsi="Cambria Math"/>
                </w:rPr>
                <m:t>30</m:t>
              </m:r>
            </m:num>
            <m:den>
              <m:r>
                <w:rPr>
                  <w:rFonts w:ascii="Cambria Math" w:hAnsi="Cambria Math"/>
                </w:rPr>
                <m:t>60</m:t>
              </m:r>
            </m:den>
          </m:f>
          <m:r>
            <w:rPr>
              <w:rFonts w:ascii="Cambria Math" w:hAnsi="Cambria Math" w:cstheme="majorBidi"/>
            </w:rPr>
            <m:t>hour=</m:t>
          </m:r>
          <m:r>
            <w:rPr>
              <w:rFonts w:ascii="Cambria Math" w:hAnsi="Cambria Math"/>
            </w:rPr>
            <m:t>£18.6</m:t>
          </m:r>
        </m:oMath>
      </m:oMathPara>
    </w:p>
    <w:p w14:paraId="5B7EF0F6" w14:textId="77777777" w:rsidR="0002461D" w:rsidRPr="00097FB4" w:rsidRDefault="0002461D" w:rsidP="0002461D">
      <w:pPr>
        <w:snapToGrid w:val="0"/>
      </w:pPr>
      <w:r w:rsidRPr="00097FB4">
        <w:t xml:space="preserve">According to formulation 10, the values of “Goods Receipt” is </w:t>
      </w:r>
    </w:p>
    <w:p w14:paraId="2FEEF4EB" w14:textId="77777777" w:rsidR="0002461D" w:rsidRPr="00097FB4" w:rsidRDefault="000306D9" w:rsidP="0002461D">
      <w:pPr>
        <w:pStyle w:val="MTDisplayEquation"/>
        <w:rPr>
          <w:rStyle w:val="MTEquationSection"/>
          <w:color w:val="auto"/>
        </w:rPr>
      </w:pPr>
      <m:oMathPara>
        <m:oMath>
          <m:f>
            <m:fPr>
              <m:ctrlPr>
                <w:rPr>
                  <w:rStyle w:val="MTEquationSection"/>
                  <w:rFonts w:ascii="Cambria Math" w:hAnsi="Cambria Math"/>
                  <w:color w:val="auto"/>
                </w:rPr>
              </m:ctrlPr>
            </m:fPr>
            <m:num>
              <m:r>
                <m:rPr>
                  <m:sty m:val="p"/>
                </m:rPr>
                <w:rPr>
                  <w:rStyle w:val="MTEquationSection"/>
                  <w:rFonts w:ascii="Cambria Math" w:hAnsi="Cambria Math"/>
                  <w:color w:val="auto"/>
                </w:rPr>
                <m:t>8.09×2×64</m:t>
              </m:r>
            </m:num>
            <m:den>
              <m:r>
                <m:rPr>
                  <m:sty m:val="p"/>
                </m:rPr>
                <w:rPr>
                  <w:rStyle w:val="MTEquationSection"/>
                  <w:rFonts w:ascii="Cambria Math" w:hAnsi="Cambria Math"/>
                  <w:color w:val="auto"/>
                </w:rPr>
                <m:t>60</m:t>
              </m:r>
            </m:den>
          </m:f>
          <m:r>
            <m:rPr>
              <m:sty m:val="p"/>
            </m:rPr>
            <w:rPr>
              <w:rStyle w:val="MTEquationSection"/>
              <w:rFonts w:ascii="Cambria Math" w:hAnsi="Cambria Math"/>
              <w:color w:val="auto"/>
            </w:rPr>
            <m:t>=£17.26</m:t>
          </m:r>
        </m:oMath>
      </m:oMathPara>
    </w:p>
    <w:p w14:paraId="73B4405F" w14:textId="30207EA8" w:rsidR="00EE76A3" w:rsidRDefault="00EE76A3">
      <w:pPr>
        <w:rPr>
          <w:rFonts w:cs="Times New Roman"/>
          <w:szCs w:val="24"/>
        </w:rPr>
      </w:pPr>
      <w:r>
        <w:rPr>
          <w:rFonts w:cs="Times New Roman"/>
          <w:szCs w:val="24"/>
        </w:rPr>
        <w:br w:type="page"/>
      </w:r>
    </w:p>
    <w:p w14:paraId="69A7C3E0" w14:textId="3632BD45" w:rsidR="00003EE9" w:rsidRPr="00743259" w:rsidRDefault="00EE76A3" w:rsidP="00743259">
      <w:pPr>
        <w:pStyle w:val="Heading2"/>
        <w:numPr>
          <w:ilvl w:val="0"/>
          <w:numId w:val="0"/>
        </w:numPr>
        <w:spacing w:after="163"/>
        <w:ind w:left="576" w:hanging="576"/>
      </w:pPr>
      <w:bookmarkStart w:id="1291" w:name="_Toc46053525"/>
      <w:bookmarkStart w:id="1292" w:name="_Toc46093439"/>
      <w:bookmarkStart w:id="1293" w:name="_Toc46093722"/>
      <w:bookmarkStart w:id="1294" w:name="_Toc66703298"/>
      <w:r w:rsidRPr="00743259">
        <w:lastRenderedPageBreak/>
        <w:t xml:space="preserve">Appendix </w:t>
      </w:r>
      <w:r w:rsidR="00044807">
        <w:t>IX</w:t>
      </w:r>
      <w:r w:rsidRPr="00743259">
        <w:rPr>
          <w:rFonts w:hint="eastAsia"/>
        </w:rPr>
        <w:t>:</w:t>
      </w:r>
      <w:r w:rsidRPr="00743259">
        <w:t xml:space="preserve"> Other Pictures</w:t>
      </w:r>
      <w:bookmarkEnd w:id="1291"/>
      <w:bookmarkEnd w:id="1292"/>
      <w:bookmarkEnd w:id="1293"/>
      <w:bookmarkEnd w:id="1294"/>
    </w:p>
    <w:p w14:paraId="6EA8C854" w14:textId="1C1163DE" w:rsidR="00297E0C" w:rsidRDefault="00297E0C" w:rsidP="00297E0C">
      <w:pPr>
        <w:pStyle w:val="Caption"/>
        <w:rPr>
          <w:b w:val="0"/>
          <w:bCs/>
        </w:rPr>
      </w:pPr>
      <w:r>
        <w:rPr>
          <w:noProof/>
          <w:lang w:eastAsia="en-GB"/>
        </w:rPr>
        <w:drawing>
          <wp:inline distT="0" distB="0" distL="0" distR="0" wp14:anchorId="5C1A222B" wp14:editId="719DBBF0">
            <wp:extent cx="5747385" cy="2374265"/>
            <wp:effectExtent l="0" t="0" r="5715" b="6985"/>
            <wp:docPr id="193" name="Picture 193" descr="C:\Users\mgp16akn\AppData\Local\Microsoft\Windows\INetCache\Content.Word\UCC Ra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mgp16akn\AppData\Local\Microsoft\Windows\INetCache\Content.Word\UCC Ragen.pn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747385" cy="2374265"/>
                    </a:xfrm>
                    <a:prstGeom prst="rect">
                      <a:avLst/>
                    </a:prstGeom>
                    <a:noFill/>
                    <a:ln>
                      <a:noFill/>
                    </a:ln>
                  </pic:spPr>
                </pic:pic>
              </a:graphicData>
            </a:graphic>
          </wp:inline>
        </w:drawing>
      </w:r>
      <w:bookmarkStart w:id="1295" w:name="_Toc517785426"/>
      <w:r w:rsidR="00743259" w:rsidRPr="00525710">
        <w:rPr>
          <w:i w:val="0"/>
          <w:iCs w:val="0"/>
        </w:rPr>
        <w:t>Picture 1</w:t>
      </w:r>
      <w:r w:rsidRPr="00525710">
        <w:rPr>
          <w:i w:val="0"/>
          <w:iCs w:val="0"/>
        </w:rPr>
        <w:t>-Delivery Process of the UCC in Stockholm City Centre</w:t>
      </w:r>
      <w:bookmarkEnd w:id="1295"/>
    </w:p>
    <w:p w14:paraId="6C334F3F" w14:textId="4651A64D" w:rsidR="00636508" w:rsidRDefault="00636508" w:rsidP="00636508">
      <w:pPr>
        <w:pStyle w:val="Caption"/>
        <w:rPr>
          <w:rFonts w:asciiTheme="majorBidi" w:hAnsiTheme="majorBidi" w:cstheme="majorBidi"/>
          <w:color w:val="333333"/>
        </w:rPr>
      </w:pPr>
      <w:r>
        <w:rPr>
          <w:rFonts w:asciiTheme="majorBidi" w:hAnsiTheme="majorBidi" w:cstheme="majorBidi"/>
          <w:noProof/>
          <w:color w:val="333333"/>
          <w:lang w:eastAsia="en-GB"/>
        </w:rPr>
        <w:drawing>
          <wp:inline distT="0" distB="0" distL="0" distR="0" wp14:anchorId="077411CF" wp14:editId="0ADBF7A9">
            <wp:extent cx="5715000" cy="4248150"/>
            <wp:effectExtent l="0" t="0" r="0" b="0"/>
            <wp:docPr id="194" name="Picture 194" descr="Capture22323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ture22323232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15000" cy="4248150"/>
                    </a:xfrm>
                    <a:prstGeom prst="rect">
                      <a:avLst/>
                    </a:prstGeom>
                    <a:noFill/>
                    <a:ln>
                      <a:noFill/>
                    </a:ln>
                  </pic:spPr>
                </pic:pic>
              </a:graphicData>
            </a:graphic>
          </wp:inline>
        </w:drawing>
      </w:r>
      <w:r w:rsidR="00743259" w:rsidRPr="00743259">
        <w:t xml:space="preserve"> </w:t>
      </w:r>
      <w:r w:rsidR="00743259" w:rsidRPr="00525710">
        <w:rPr>
          <w:i w:val="0"/>
          <w:iCs w:val="0"/>
        </w:rPr>
        <w:t>Picture 2</w:t>
      </w:r>
      <w:r w:rsidRPr="00525710">
        <w:rPr>
          <w:i w:val="0"/>
          <w:iCs w:val="0"/>
        </w:rPr>
        <w:t xml:space="preserve">-Service Area of </w:t>
      </w:r>
      <w:proofErr w:type="spellStart"/>
      <w:r w:rsidRPr="00525710">
        <w:rPr>
          <w:i w:val="0"/>
          <w:iCs w:val="0"/>
        </w:rPr>
        <w:t>Ragn</w:t>
      </w:r>
      <w:proofErr w:type="spellEnd"/>
      <w:r w:rsidRPr="00525710">
        <w:rPr>
          <w:i w:val="0"/>
          <w:iCs w:val="0"/>
        </w:rPr>
        <w:t>-Sells and Bring</w:t>
      </w:r>
    </w:p>
    <w:p w14:paraId="031EC28C" w14:textId="77777777" w:rsidR="00BA2BB1" w:rsidRDefault="00BA2BB1" w:rsidP="00BA2BB1">
      <w:pPr>
        <w:pStyle w:val="Caption"/>
      </w:pPr>
      <w:r>
        <w:object w:dxaOrig="10486" w:dyaOrig="4958" w14:anchorId="6D12BE63">
          <v:shape id="_x0000_i1068" type="#_x0000_t75" style="width:446.2pt;height:208.75pt" o:ole="" o:bordertopcolor="this" o:borderleftcolor="this" o:borderbottomcolor="this" o:borderrightcolor="this">
            <v:imagedata r:id="rId223" o:title=""/>
          </v:shape>
          <o:OLEObject Type="Embed" ProgID="Visio.Drawing.15" ShapeID="_x0000_i1068" DrawAspect="Content" ObjectID="_1681648075" r:id="rId224"/>
        </w:object>
      </w:r>
    </w:p>
    <w:p w14:paraId="4E1A1B99" w14:textId="1F0FFF05" w:rsidR="00BA2BB1" w:rsidRDefault="00743259" w:rsidP="00BA2BB1">
      <w:pPr>
        <w:pStyle w:val="Caption"/>
        <w:rPr>
          <w:i w:val="0"/>
          <w:iCs w:val="0"/>
        </w:rPr>
      </w:pPr>
      <w:r w:rsidRPr="00525710">
        <w:rPr>
          <w:i w:val="0"/>
          <w:iCs w:val="0"/>
        </w:rPr>
        <w:t>Picture 3</w:t>
      </w:r>
      <w:r w:rsidR="00BA2BB1" w:rsidRPr="00525710">
        <w:rPr>
          <w:i w:val="0"/>
          <w:iCs w:val="0"/>
        </w:rPr>
        <w:t>-Goods &amp; Monetary flow of UCC System in Stockholm City Centre</w:t>
      </w:r>
    </w:p>
    <w:p w14:paraId="43B71ADD" w14:textId="3A639760" w:rsidR="00227B6E" w:rsidRPr="00227B6E" w:rsidRDefault="00227B6E" w:rsidP="00227B6E">
      <w:r>
        <w:rPr>
          <w:rStyle w:val="fontstyle01"/>
          <w:noProof/>
          <w:lang w:eastAsia="en-GB"/>
        </w:rPr>
        <w:drawing>
          <wp:inline distT="0" distB="0" distL="0" distR="0" wp14:anchorId="19B31ADD" wp14:editId="234B6115">
            <wp:extent cx="5274310" cy="1471509"/>
            <wp:effectExtent l="0" t="0" r="254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74310" cy="1471509"/>
                    </a:xfrm>
                    <a:prstGeom prst="rect">
                      <a:avLst/>
                    </a:prstGeom>
                    <a:noFill/>
                  </pic:spPr>
                </pic:pic>
              </a:graphicData>
            </a:graphic>
          </wp:inline>
        </w:drawing>
      </w:r>
    </w:p>
    <w:p w14:paraId="7D90B389" w14:textId="5AA63539" w:rsidR="003A6845" w:rsidRPr="00AF4236" w:rsidRDefault="00743259" w:rsidP="003A6845">
      <w:pPr>
        <w:pStyle w:val="Caption"/>
        <w:rPr>
          <w:rStyle w:val="fontstyle01"/>
          <w:rFonts w:hint="eastAsia"/>
        </w:rPr>
      </w:pPr>
      <w:r w:rsidRPr="00743259">
        <w:t xml:space="preserve"> </w:t>
      </w:r>
      <w:r w:rsidRPr="00525710">
        <w:rPr>
          <w:i w:val="0"/>
          <w:iCs w:val="0"/>
        </w:rPr>
        <w:t>Picture 4</w:t>
      </w:r>
      <w:r w:rsidR="003A6845" w:rsidRPr="00525710">
        <w:rPr>
          <w:i w:val="0"/>
          <w:iCs w:val="0"/>
        </w:rPr>
        <w:t>- Delivery Process of the UCC in Royal Seaport</w:t>
      </w:r>
    </w:p>
    <w:p w14:paraId="1A310DAC" w14:textId="77777777" w:rsidR="00B53FB6" w:rsidRDefault="00997BE6" w:rsidP="00997BE6">
      <w:pPr>
        <w:jc w:val="center"/>
        <w:rPr>
          <w:b/>
          <w:color w:val="44546A" w:themeColor="text2"/>
          <w:sz w:val="22"/>
          <w:szCs w:val="18"/>
        </w:rPr>
      </w:pPr>
      <w:r>
        <w:object w:dxaOrig="10560" w:dyaOrig="3750" w14:anchorId="787E0F00">
          <v:shape id="_x0000_i1069" type="#_x0000_t75" style="width:453.55pt;height:158.25pt" o:ole="">
            <v:imagedata r:id="rId226" o:title=""/>
          </v:shape>
          <o:OLEObject Type="Embed" ProgID="Visio.Drawing.15" ShapeID="_x0000_i1069" DrawAspect="Content" ObjectID="_1681648076" r:id="rId227"/>
        </w:object>
      </w:r>
      <w:r w:rsidRPr="00144744">
        <w:rPr>
          <w:rStyle w:val="fontstyle01"/>
        </w:rPr>
        <w:t xml:space="preserve"> </w:t>
      </w:r>
      <w:r w:rsidR="00743259" w:rsidRPr="00525710">
        <w:rPr>
          <w:b/>
          <w:color w:val="44546A" w:themeColor="text2"/>
          <w:sz w:val="22"/>
          <w:szCs w:val="18"/>
        </w:rPr>
        <w:t>Picture 5</w:t>
      </w:r>
      <w:r w:rsidRPr="00525710">
        <w:rPr>
          <w:b/>
          <w:color w:val="44546A" w:themeColor="text2"/>
          <w:sz w:val="22"/>
          <w:szCs w:val="18"/>
        </w:rPr>
        <w:t>- monetary flow of the UCC in Royal Seaport</w:t>
      </w:r>
    </w:p>
    <w:p w14:paraId="17126D36" w14:textId="1C1AF4E5" w:rsidR="00997BE6" w:rsidRDefault="00B53FB6" w:rsidP="00997BE6">
      <w:pPr>
        <w:jc w:val="center"/>
        <w:rPr>
          <w:rStyle w:val="fontstyle01"/>
          <w:rFonts w:hint="eastAsia"/>
        </w:rPr>
      </w:pPr>
      <w:r w:rsidRPr="0018180D">
        <w:rPr>
          <w:rFonts w:asciiTheme="majorBidi" w:hAnsiTheme="majorBidi" w:cstheme="majorBidi"/>
          <w:i/>
          <w:iCs/>
          <w:noProof/>
          <w:color w:val="44546A" w:themeColor="text2"/>
          <w:sz w:val="22"/>
          <w:lang w:eastAsia="en-GB"/>
        </w:rPr>
        <w:lastRenderedPageBreak/>
        <w:drawing>
          <wp:inline distT="0" distB="0" distL="0" distR="0" wp14:anchorId="5131BD59" wp14:editId="0D39EBDB">
            <wp:extent cx="5274310" cy="1734185"/>
            <wp:effectExtent l="0" t="0" r="2540" b="0"/>
            <wp:docPr id="73" name="Picture 73" descr="C:\Users\mgp16akn\AppData\Local\Microsoft\Windows\INetCache\Content.Word\Untitledxix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gp16akn\AppData\Local\Microsoft\Windows\INetCache\Content.Word\Untitledxixi.pn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274310" cy="1734185"/>
                    </a:xfrm>
                    <a:prstGeom prst="rect">
                      <a:avLst/>
                    </a:prstGeom>
                    <a:noFill/>
                    <a:ln>
                      <a:noFill/>
                    </a:ln>
                  </pic:spPr>
                </pic:pic>
              </a:graphicData>
            </a:graphic>
          </wp:inline>
        </w:drawing>
      </w:r>
      <w:r w:rsidR="00997BE6" w:rsidRPr="00525710">
        <w:rPr>
          <w:b/>
          <w:color w:val="44546A" w:themeColor="text2"/>
          <w:sz w:val="22"/>
          <w:szCs w:val="18"/>
        </w:rPr>
        <w:tab/>
      </w:r>
    </w:p>
    <w:p w14:paraId="11BCFAB6" w14:textId="2F3A1CA2" w:rsidR="00043150" w:rsidRPr="0018180D" w:rsidRDefault="00743259" w:rsidP="00043150">
      <w:pPr>
        <w:spacing w:after="200" w:line="240" w:lineRule="auto"/>
        <w:jc w:val="center"/>
        <w:rPr>
          <w:rFonts w:asciiTheme="majorBidi" w:hAnsiTheme="majorBidi" w:cstheme="majorBidi"/>
          <w:i/>
          <w:iCs/>
          <w:color w:val="44546A" w:themeColor="text2"/>
          <w:sz w:val="22"/>
        </w:rPr>
      </w:pPr>
      <w:r w:rsidRPr="00743259">
        <w:t xml:space="preserve"> </w:t>
      </w:r>
      <w:r w:rsidRPr="00525710">
        <w:rPr>
          <w:b/>
          <w:color w:val="44546A" w:themeColor="text2"/>
          <w:sz w:val="22"/>
          <w:szCs w:val="18"/>
        </w:rPr>
        <w:t>Picture 6</w:t>
      </w:r>
      <w:r w:rsidR="00043150" w:rsidRPr="00525710">
        <w:rPr>
          <w:b/>
          <w:color w:val="44546A" w:themeColor="text2"/>
          <w:sz w:val="22"/>
          <w:szCs w:val="18"/>
        </w:rPr>
        <w:t xml:space="preserve">-The </w:t>
      </w:r>
      <w:r w:rsidR="001310E4">
        <w:rPr>
          <w:b/>
          <w:color w:val="44546A" w:themeColor="text2"/>
          <w:sz w:val="22"/>
          <w:szCs w:val="18"/>
        </w:rPr>
        <w:t>delivery process</w:t>
      </w:r>
      <w:r w:rsidR="00043150" w:rsidRPr="00525710">
        <w:rPr>
          <w:b/>
          <w:color w:val="44546A" w:themeColor="text2"/>
          <w:sz w:val="22"/>
          <w:szCs w:val="18"/>
        </w:rPr>
        <w:t xml:space="preserve"> of the </w:t>
      </w:r>
      <w:r w:rsidR="001310E4">
        <w:rPr>
          <w:b/>
          <w:color w:val="44546A" w:themeColor="text2"/>
          <w:sz w:val="22"/>
          <w:szCs w:val="18"/>
        </w:rPr>
        <w:t>CA</w:t>
      </w:r>
      <w:r w:rsidR="00043150" w:rsidRPr="00525710">
        <w:rPr>
          <w:b/>
          <w:color w:val="44546A" w:themeColor="text2"/>
          <w:sz w:val="22"/>
          <w:szCs w:val="18"/>
        </w:rPr>
        <w:t>UCC</w:t>
      </w:r>
      <w:r w:rsidR="00043150" w:rsidRPr="0018180D">
        <w:rPr>
          <w:i/>
          <w:iCs/>
          <w:color w:val="44546A" w:themeColor="text2"/>
          <w:sz w:val="22"/>
        </w:rPr>
        <w:t xml:space="preserve"> </w:t>
      </w:r>
    </w:p>
    <w:p w14:paraId="37793F13" w14:textId="77777777" w:rsidR="00BB4CA1" w:rsidRPr="0018180D" w:rsidRDefault="00BB4CA1" w:rsidP="00BB4CA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ourier New" w:eastAsia="Times New Roman" w:hAnsi="Courier New" w:cs="Courier New"/>
          <w:sz w:val="22"/>
        </w:rPr>
      </w:pPr>
      <w:r w:rsidRPr="0018180D">
        <w:rPr>
          <w:rFonts w:ascii="Courier New" w:eastAsia="Times New Roman" w:hAnsi="Courier New" w:cs="Courier New"/>
          <w:sz w:val="22"/>
        </w:rPr>
        <w:object w:dxaOrig="6931" w:dyaOrig="3646" w14:anchorId="04F49EB5">
          <v:shape id="_x0000_i1070" type="#_x0000_t75" style="width:345.85pt;height:179.75pt" o:ole="">
            <v:imagedata r:id="rId229" o:title=""/>
          </v:shape>
          <o:OLEObject Type="Embed" ProgID="Visio.Drawing.15" ShapeID="_x0000_i1070" DrawAspect="Content" ObjectID="_1681648077" r:id="rId230"/>
        </w:object>
      </w:r>
    </w:p>
    <w:p w14:paraId="41759405" w14:textId="3A89CE24" w:rsidR="00BB4CA1" w:rsidRDefault="00743259" w:rsidP="00BB4CA1">
      <w:pPr>
        <w:spacing w:after="200" w:line="240" w:lineRule="auto"/>
        <w:jc w:val="center"/>
        <w:rPr>
          <w:b/>
          <w:color w:val="44546A" w:themeColor="text2"/>
          <w:sz w:val="22"/>
          <w:szCs w:val="18"/>
        </w:rPr>
      </w:pPr>
      <w:r w:rsidRPr="00525710">
        <w:rPr>
          <w:b/>
          <w:color w:val="44546A" w:themeColor="text2"/>
          <w:sz w:val="22"/>
          <w:szCs w:val="18"/>
        </w:rPr>
        <w:t>Picture 7</w:t>
      </w:r>
      <w:r w:rsidR="00BB4CA1" w:rsidRPr="00525710">
        <w:rPr>
          <w:b/>
          <w:color w:val="44546A" w:themeColor="text2"/>
          <w:sz w:val="22"/>
          <w:szCs w:val="18"/>
        </w:rPr>
        <w:t>-Monetary flow of the</w:t>
      </w:r>
      <w:r w:rsidR="001310E4">
        <w:rPr>
          <w:b/>
          <w:color w:val="44546A" w:themeColor="text2"/>
          <w:sz w:val="22"/>
          <w:szCs w:val="18"/>
        </w:rPr>
        <w:t xml:space="preserve"> CAUCC</w:t>
      </w:r>
    </w:p>
    <w:p w14:paraId="53B605B5" w14:textId="72272183" w:rsidR="00B90F67" w:rsidRPr="00525710" w:rsidRDefault="00A53E77" w:rsidP="00BB4CA1">
      <w:pPr>
        <w:spacing w:after="200" w:line="240" w:lineRule="auto"/>
        <w:jc w:val="center"/>
        <w:rPr>
          <w:b/>
          <w:color w:val="44546A" w:themeColor="text2"/>
          <w:sz w:val="22"/>
          <w:szCs w:val="18"/>
        </w:rPr>
      </w:pPr>
      <w:r>
        <w:rPr>
          <w:noProof/>
          <w:lang w:eastAsia="en-GB"/>
        </w:rPr>
        <w:drawing>
          <wp:inline distT="0" distB="0" distL="0" distR="0" wp14:anchorId="623D83D1" wp14:editId="522425C7">
            <wp:extent cx="5274310" cy="1918335"/>
            <wp:effectExtent l="0" t="0" r="2540" b="571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CC beidou 33333333.pn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274310" cy="1918335"/>
                    </a:xfrm>
                    <a:prstGeom prst="rect">
                      <a:avLst/>
                    </a:prstGeom>
                  </pic:spPr>
                </pic:pic>
              </a:graphicData>
            </a:graphic>
          </wp:inline>
        </w:drawing>
      </w:r>
    </w:p>
    <w:p w14:paraId="23B27545" w14:textId="7A56DDF5" w:rsidR="008C61D0" w:rsidRPr="00525710" w:rsidRDefault="00743259" w:rsidP="008C61D0">
      <w:pPr>
        <w:pStyle w:val="Caption"/>
        <w:rPr>
          <w:i w:val="0"/>
          <w:iCs w:val="0"/>
        </w:rPr>
      </w:pPr>
      <w:r w:rsidRPr="00743259">
        <w:t xml:space="preserve"> </w:t>
      </w:r>
      <w:r w:rsidRPr="00525710">
        <w:rPr>
          <w:i w:val="0"/>
          <w:iCs w:val="0"/>
        </w:rPr>
        <w:t>Picture 8</w:t>
      </w:r>
      <w:r w:rsidR="008C61D0" w:rsidRPr="00525710">
        <w:rPr>
          <w:i w:val="0"/>
          <w:iCs w:val="0"/>
          <w:szCs w:val="22"/>
        </w:rPr>
        <w:t xml:space="preserve">-Business Model of the </w:t>
      </w:r>
      <w:r w:rsidR="001310E4">
        <w:rPr>
          <w:i w:val="0"/>
          <w:iCs w:val="0"/>
          <w:szCs w:val="22"/>
        </w:rPr>
        <w:t>C</w:t>
      </w:r>
      <w:r w:rsidR="0042740E">
        <w:rPr>
          <w:i w:val="0"/>
          <w:iCs w:val="0"/>
          <w:szCs w:val="22"/>
        </w:rPr>
        <w:t>A</w:t>
      </w:r>
      <w:r w:rsidR="001310E4">
        <w:rPr>
          <w:i w:val="0"/>
          <w:iCs w:val="0"/>
          <w:szCs w:val="22"/>
        </w:rPr>
        <w:t>UCC</w:t>
      </w:r>
    </w:p>
    <w:p w14:paraId="6B2B0387" w14:textId="1482D8CC" w:rsidR="00636508" w:rsidRPr="00636508" w:rsidRDefault="00636508" w:rsidP="00636508"/>
    <w:p w14:paraId="37643DC7" w14:textId="5C38BB42" w:rsidR="001F0319" w:rsidRDefault="0070685C" w:rsidP="00E6129F">
      <w:pPr>
        <w:pStyle w:val="Caption"/>
      </w:pPr>
      <w:r>
        <w:rPr>
          <w:noProof/>
          <w:lang w:eastAsia="en-GB"/>
        </w:rPr>
        <w:lastRenderedPageBreak/>
        <w:drawing>
          <wp:inline distT="0" distB="0" distL="0" distR="0" wp14:anchorId="0774C5B2" wp14:editId="31AB1C06">
            <wp:extent cx="5274310" cy="4095683"/>
            <wp:effectExtent l="0" t="0" r="2540" b="63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DS22233333333.pn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5274310" cy="4095683"/>
                    </a:xfrm>
                    <a:prstGeom prst="rect">
                      <a:avLst/>
                    </a:prstGeom>
                  </pic:spPr>
                </pic:pic>
              </a:graphicData>
            </a:graphic>
          </wp:inline>
        </w:drawing>
      </w:r>
    </w:p>
    <w:p w14:paraId="04346038" w14:textId="09EBD558" w:rsidR="00E6129F" w:rsidRDefault="00743259" w:rsidP="00E6129F">
      <w:pPr>
        <w:pStyle w:val="Caption"/>
        <w:rPr>
          <w:szCs w:val="22"/>
        </w:rPr>
      </w:pPr>
      <w:r w:rsidRPr="00743259">
        <w:t xml:space="preserve"> </w:t>
      </w:r>
      <w:r w:rsidRPr="00700A82">
        <w:rPr>
          <w:i w:val="0"/>
          <w:iCs w:val="0"/>
        </w:rPr>
        <w:t>Picture 9</w:t>
      </w:r>
      <w:r w:rsidR="00E6129F" w:rsidRPr="00700A82">
        <w:rPr>
          <w:i w:val="0"/>
          <w:iCs w:val="0"/>
          <w:noProof/>
        </w:rPr>
        <w:t>-Delivery Model of the BDS Experiment</w:t>
      </w:r>
    </w:p>
    <w:p w14:paraId="4562BE7F" w14:textId="77777777" w:rsidR="00593BD8" w:rsidRDefault="00593BD8" w:rsidP="000A4E8C">
      <w:pPr>
        <w:spacing w:line="360" w:lineRule="auto"/>
        <w:jc w:val="left"/>
        <w:rPr>
          <w:rFonts w:cs="Times New Roman"/>
          <w:szCs w:val="24"/>
        </w:rPr>
      </w:pPr>
    </w:p>
    <w:p w14:paraId="548FACC4" w14:textId="77777777" w:rsidR="00593BD8" w:rsidRDefault="00593BD8" w:rsidP="000A4E8C">
      <w:pPr>
        <w:spacing w:line="360" w:lineRule="auto"/>
        <w:jc w:val="left"/>
        <w:rPr>
          <w:rFonts w:cs="Times New Roman"/>
          <w:szCs w:val="24"/>
        </w:rPr>
      </w:pPr>
    </w:p>
    <w:p w14:paraId="2DDB664C" w14:textId="77777777" w:rsidR="00B915DB" w:rsidRDefault="00B915DB" w:rsidP="00B3650F">
      <w:pPr>
        <w:spacing w:line="360" w:lineRule="auto"/>
        <w:jc w:val="left"/>
        <w:rPr>
          <w:rFonts w:cs="Times New Roman"/>
          <w:szCs w:val="24"/>
        </w:rPr>
      </w:pPr>
    </w:p>
    <w:p w14:paraId="1CC88349" w14:textId="77777777" w:rsidR="00B915DB" w:rsidRDefault="00B915DB" w:rsidP="00B3650F">
      <w:pPr>
        <w:spacing w:line="360" w:lineRule="auto"/>
        <w:jc w:val="left"/>
        <w:rPr>
          <w:rFonts w:cs="Times New Roman"/>
          <w:szCs w:val="24"/>
        </w:rPr>
      </w:pPr>
    </w:p>
    <w:p w14:paraId="3B4C06AC" w14:textId="22999902" w:rsidR="00297E0C" w:rsidRPr="005B74BB" w:rsidRDefault="00297E0C" w:rsidP="00B3650F">
      <w:pPr>
        <w:spacing w:line="360" w:lineRule="auto"/>
        <w:jc w:val="left"/>
        <w:rPr>
          <w:rFonts w:cs="Times New Roman"/>
          <w:szCs w:val="24"/>
        </w:rPr>
      </w:pPr>
    </w:p>
    <w:sectPr w:rsidR="00297E0C" w:rsidRPr="005B74BB" w:rsidSect="00451CCB">
      <w:pgSz w:w="11906" w:h="16838"/>
      <w:pgMar w:top="1440" w:right="1800" w:bottom="1440" w:left="180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1748F0" w14:textId="77777777" w:rsidR="000306D9" w:rsidRDefault="000306D9" w:rsidP="00B13CAA">
      <w:pPr>
        <w:spacing w:line="240" w:lineRule="auto"/>
      </w:pPr>
      <w:r>
        <w:separator/>
      </w:r>
    </w:p>
  </w:endnote>
  <w:endnote w:type="continuationSeparator" w:id="0">
    <w:p w14:paraId="62950CCE" w14:textId="77777777" w:rsidR="000306D9" w:rsidRDefault="000306D9" w:rsidP="00B13CAA">
      <w:pPr>
        <w:spacing w:line="240" w:lineRule="auto"/>
      </w:pPr>
      <w:r>
        <w:continuationSeparator/>
      </w:r>
    </w:p>
  </w:endnote>
  <w:endnote w:type="continuationNotice" w:id="1">
    <w:p w14:paraId="5CB69CF5" w14:textId="77777777" w:rsidR="000306D9" w:rsidRDefault="000306D9">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
    <w:altName w:val="Times New Roman"/>
    <w:panose1 w:val="00000000000000000000"/>
    <w:charset w:val="00"/>
    <w:family w:val="roman"/>
    <w:notTrueType/>
    <w:pitch w:val="default"/>
  </w:font>
  <w:font w:name="AdvOT596495f2+fb">
    <w:altName w:val="Cambria"/>
    <w:panose1 w:val="00000000000000000000"/>
    <w:charset w:val="00"/>
    <w:family w:val="roman"/>
    <w:notTrueType/>
    <w:pitch w:val="default"/>
  </w:font>
  <w:font w:name="NimbusSanL-ReguItal">
    <w:altName w:val="Times New Roman"/>
    <w:charset w:val="00"/>
    <w:family w:val="roman"/>
    <w:pitch w:val="default"/>
  </w:font>
  <w:font w:name="MTMI">
    <w:altName w:val="Times New Roman"/>
    <w:panose1 w:val="00000000000000000000"/>
    <w:charset w:val="00"/>
    <w:family w:val="roman"/>
    <w:notTrueType/>
    <w:pitch w:val="default"/>
  </w:font>
  <w:font w:name="MTSYN">
    <w:altName w:val="Times New Roman"/>
    <w:panose1 w:val="00000000000000000000"/>
    <w:charset w:val="00"/>
    <w:family w:val="roman"/>
    <w:notTrueType/>
    <w:pitch w:val="default"/>
  </w:font>
  <w:font w:name="Springnew-Regular">
    <w:altName w:val="MV Boli"/>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AdvPSMSAM10">
    <w:altName w:val="Cambria"/>
    <w:panose1 w:val="00000000000000000000"/>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LM Mono Prop Light 10">
    <w:panose1 w:val="00000000000000000000"/>
    <w:charset w:val="00"/>
    <w:family w:val="modern"/>
    <w:notTrueType/>
    <w:pitch w:val="variable"/>
    <w:sig w:usb0="20000007" w:usb1="00000000" w:usb2="00000000" w:usb3="00000000" w:csb0="00000193" w:csb1="00000000"/>
  </w:font>
  <w:font w:name="Consolas">
    <w:panose1 w:val="020B0609020204030204"/>
    <w:charset w:val="00"/>
    <w:family w:val="modern"/>
    <w:pitch w:val="fixed"/>
    <w:sig w:usb0="E00006FF" w:usb1="0000FCFF" w:usb2="00000001" w:usb3="00000000" w:csb0="0000019F" w:csb1="00000000"/>
  </w:font>
  <w:font w:name="TUOS Blake">
    <w:altName w:val="Calibri"/>
    <w:charset w:val="00"/>
    <w:family w:val="swiss"/>
    <w:pitch w:val="variable"/>
    <w:sig w:usb0="8000002F" w:usb1="4000004A"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Times">
    <w:altName w:val="Times"/>
    <w:panose1 w:val="02020603050405020304"/>
    <w:charset w:val="00"/>
    <w:family w:val="auto"/>
    <w:pitch w:val="variable"/>
    <w:sig w:usb0="E00002FF" w:usb1="5000205A" w:usb2="00000000" w:usb3="00000000" w:csb0="0000019F" w:csb1="00000000"/>
  </w:font>
  <w:font w:name="TimesNewRomanPSMT">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Times-Roman">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微软雅黑">
    <w:altName w:val="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9156299"/>
      <w:docPartObj>
        <w:docPartGallery w:val="Page Numbers (Bottom of Page)"/>
        <w:docPartUnique/>
      </w:docPartObj>
    </w:sdtPr>
    <w:sdtEndPr>
      <w:rPr>
        <w:noProof/>
      </w:rPr>
    </w:sdtEndPr>
    <w:sdtContent>
      <w:p w14:paraId="7821F13B" w14:textId="60CC2819" w:rsidR="00120BCB" w:rsidRDefault="00120BCB">
        <w:pPr>
          <w:pStyle w:val="Footer"/>
          <w:jc w:val="center"/>
        </w:pPr>
        <w:r>
          <w:fldChar w:fldCharType="begin"/>
        </w:r>
        <w:r>
          <w:instrText xml:space="preserve"> PAGE   \* MERGEFORMAT </w:instrText>
        </w:r>
        <w:r>
          <w:fldChar w:fldCharType="separate"/>
        </w:r>
        <w:r w:rsidR="00A60FF2">
          <w:rPr>
            <w:noProof/>
          </w:rPr>
          <w:t>xvi</w:t>
        </w:r>
        <w:r>
          <w:rPr>
            <w:noProof/>
          </w:rPr>
          <w:fldChar w:fldCharType="end"/>
        </w:r>
      </w:p>
    </w:sdtContent>
  </w:sdt>
  <w:p w14:paraId="1A66F53B" w14:textId="77777777" w:rsidR="00120BCB" w:rsidRDefault="00120BC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0807107"/>
      <w:docPartObj>
        <w:docPartGallery w:val="Page Numbers (Bottom of Page)"/>
        <w:docPartUnique/>
      </w:docPartObj>
    </w:sdtPr>
    <w:sdtEndPr/>
    <w:sdtContent>
      <w:sdt>
        <w:sdtPr>
          <w:id w:val="1728636285"/>
          <w:docPartObj>
            <w:docPartGallery w:val="Page Numbers (Top of Page)"/>
            <w:docPartUnique/>
          </w:docPartObj>
        </w:sdtPr>
        <w:sdtEndPr/>
        <w:sdtContent>
          <w:p w14:paraId="5EB48D5F" w14:textId="59EC2BDD" w:rsidR="00120BCB" w:rsidRDefault="00120BCB">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sidR="00A60FF2">
              <w:rPr>
                <w:b/>
                <w:bCs/>
                <w:noProof/>
              </w:rPr>
              <w:t>135</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A60FF2">
              <w:rPr>
                <w:b/>
                <w:bCs/>
                <w:noProof/>
              </w:rPr>
              <w:t>383</w:t>
            </w:r>
            <w:r>
              <w:rPr>
                <w:b/>
                <w:bCs/>
                <w:sz w:val="24"/>
                <w:szCs w:val="24"/>
              </w:rPr>
              <w:fldChar w:fldCharType="end"/>
            </w:r>
          </w:p>
        </w:sdtContent>
      </w:sdt>
    </w:sdtContent>
  </w:sdt>
  <w:p w14:paraId="518DE5CA" w14:textId="77777777" w:rsidR="00120BCB" w:rsidRDefault="00120BCB" w:rsidP="00420E1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794295" w14:textId="77777777" w:rsidR="000306D9" w:rsidRDefault="000306D9" w:rsidP="00B13CAA">
      <w:pPr>
        <w:spacing w:line="240" w:lineRule="auto"/>
      </w:pPr>
      <w:r>
        <w:separator/>
      </w:r>
    </w:p>
  </w:footnote>
  <w:footnote w:type="continuationSeparator" w:id="0">
    <w:p w14:paraId="373C313A" w14:textId="77777777" w:rsidR="000306D9" w:rsidRDefault="000306D9" w:rsidP="00B13CAA">
      <w:pPr>
        <w:spacing w:line="240" w:lineRule="auto"/>
      </w:pPr>
      <w:r>
        <w:continuationSeparator/>
      </w:r>
    </w:p>
  </w:footnote>
  <w:footnote w:type="continuationNotice" w:id="1">
    <w:p w14:paraId="7F257763" w14:textId="77777777" w:rsidR="000306D9" w:rsidRDefault="000306D9">
      <w:pPr>
        <w:spacing w:line="240" w:lineRule="auto"/>
      </w:pPr>
    </w:p>
  </w:footnote>
  <w:footnote w:id="2">
    <w:p w14:paraId="2F5D0923" w14:textId="77777777" w:rsidR="00120BCB" w:rsidRPr="007A38D6" w:rsidRDefault="00120BCB" w:rsidP="00D56954">
      <w:pPr>
        <w:pStyle w:val="FootnoteText"/>
        <w:spacing w:line="240" w:lineRule="auto"/>
        <w:rPr>
          <w:sz w:val="22"/>
          <w:szCs w:val="22"/>
        </w:rPr>
      </w:pPr>
      <w:r w:rsidRPr="005714A8">
        <w:rPr>
          <w:rStyle w:val="FootnoteReference"/>
          <w:rFonts w:cs="Times New Roman"/>
          <w:sz w:val="22"/>
          <w:szCs w:val="22"/>
        </w:rPr>
        <w:footnoteRef/>
      </w:r>
      <w:r w:rsidRPr="005714A8">
        <w:rPr>
          <w:rFonts w:cs="Times New Roman"/>
          <w:sz w:val="22"/>
          <w:szCs w:val="22"/>
        </w:rPr>
        <w:t xml:space="preserve"> </w:t>
      </w:r>
      <w:r>
        <w:rPr>
          <w:rFonts w:cs="Times New Roman" w:hint="eastAsia"/>
          <w:sz w:val="22"/>
          <w:szCs w:val="22"/>
        </w:rPr>
        <w:t>The</w:t>
      </w:r>
      <w:r>
        <w:rPr>
          <w:rFonts w:cs="Times New Roman"/>
          <w:sz w:val="22"/>
          <w:szCs w:val="22"/>
        </w:rPr>
        <w:t xml:space="preserve"> content of </w:t>
      </w:r>
      <w:r>
        <w:rPr>
          <w:rFonts w:cs="Times New Roman"/>
          <w:color w:val="222222"/>
          <w:sz w:val="22"/>
          <w:szCs w:val="22"/>
          <w:shd w:val="clear" w:color="auto" w:fill="FFFFFF"/>
        </w:rPr>
        <w:t xml:space="preserve">this chapter were submitted to the Journal &lt;Annals of Operations Research&gt; and it has been accepted. </w:t>
      </w:r>
      <w:r w:rsidRPr="001F2AC8">
        <w:rPr>
          <w:rFonts w:cs="Times New Roman"/>
          <w:color w:val="222222"/>
          <w:sz w:val="22"/>
          <w:szCs w:val="22"/>
          <w:shd w:val="clear" w:color="auto" w:fill="FFFFFF"/>
        </w:rPr>
        <w:t xml:space="preserve">The Authorships are </w:t>
      </w:r>
      <w:r w:rsidRPr="007A38D6">
        <w:rPr>
          <w:sz w:val="22"/>
          <w:szCs w:val="22"/>
        </w:rPr>
        <w:t>Francesco Ciardiello</w:t>
      </w:r>
      <w:r w:rsidRPr="007A38D6">
        <w:rPr>
          <w:sz w:val="22"/>
          <w:szCs w:val="22"/>
          <w:vertAlign w:val="superscript"/>
        </w:rPr>
        <w:t>a</w:t>
      </w:r>
      <w:r w:rsidRPr="007A38D6">
        <w:rPr>
          <w:sz w:val="22"/>
          <w:szCs w:val="22"/>
        </w:rPr>
        <w:t xml:space="preserve">, Andrea </w:t>
      </w:r>
      <w:r w:rsidRPr="007A38D6">
        <w:rPr>
          <w:noProof/>
          <w:sz w:val="22"/>
          <w:szCs w:val="22"/>
        </w:rPr>
        <w:t>Genovese</w:t>
      </w:r>
      <w:r w:rsidRPr="007A38D6">
        <w:rPr>
          <w:noProof/>
          <w:sz w:val="22"/>
          <w:szCs w:val="22"/>
          <w:vertAlign w:val="superscript"/>
        </w:rPr>
        <w:t>a</w:t>
      </w:r>
      <w:r w:rsidRPr="007A38D6">
        <w:rPr>
          <w:sz w:val="22"/>
          <w:szCs w:val="22"/>
        </w:rPr>
        <w:t>, Shucheng Luo</w:t>
      </w:r>
      <w:r w:rsidRPr="007A38D6">
        <w:rPr>
          <w:sz w:val="22"/>
          <w:szCs w:val="22"/>
          <w:vertAlign w:val="superscript"/>
        </w:rPr>
        <w:t>a</w:t>
      </w:r>
      <w:r w:rsidRPr="007A38D6">
        <w:rPr>
          <w:sz w:val="22"/>
          <w:szCs w:val="22"/>
        </w:rPr>
        <w:t>, Antonino Sgalambro</w:t>
      </w:r>
      <w:r w:rsidRPr="007A38D6">
        <w:rPr>
          <w:sz w:val="22"/>
          <w:szCs w:val="22"/>
          <w:vertAlign w:val="superscript"/>
        </w:rPr>
        <w:t>a,b</w:t>
      </w:r>
      <w:r w:rsidRPr="007A38D6">
        <w:rPr>
          <w:sz w:val="22"/>
          <w:szCs w:val="22"/>
        </w:rPr>
        <w:t xml:space="preserve"> </w:t>
      </w:r>
    </w:p>
    <w:p w14:paraId="21159EEE" w14:textId="1F344FEB" w:rsidR="00120BCB" w:rsidRPr="005714A8" w:rsidRDefault="00120BCB" w:rsidP="00D56954">
      <w:pPr>
        <w:pStyle w:val="FootnoteText"/>
        <w:spacing w:line="240" w:lineRule="auto"/>
        <w:rPr>
          <w:rFonts w:cs="Times New Roman"/>
          <w:sz w:val="22"/>
          <w:szCs w:val="22"/>
        </w:rPr>
      </w:pPr>
      <w:r w:rsidRPr="007A38D6">
        <w:rPr>
          <w:sz w:val="22"/>
          <w:szCs w:val="22"/>
        </w:rPr>
        <w:t>I have got the permissions from the remaning authors to set this paper as the thesis chapter.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F0165" w14:textId="0837B4B5" w:rsidR="00120BCB" w:rsidRPr="000E1F73" w:rsidRDefault="00120BCB" w:rsidP="006052C8">
    <w:r w:rsidRPr="00762275">
      <w:rPr>
        <w:noProof/>
        <w:lang w:eastAsia="en-GB"/>
      </w:rPr>
      <mc:AlternateContent>
        <mc:Choice Requires="wps">
          <w:drawing>
            <wp:anchor distT="0" distB="0" distL="114300" distR="114300" simplePos="0" relativeHeight="251658240" behindDoc="0" locked="0" layoutInCell="0" allowOverlap="1" wp14:anchorId="3166557D" wp14:editId="393D0E1B">
              <wp:simplePos x="0" y="0"/>
              <wp:positionH relativeFrom="page">
                <wp:posOffset>6575571</wp:posOffset>
              </wp:positionH>
              <wp:positionV relativeFrom="topMargin">
                <wp:posOffset>361950</wp:posOffset>
              </wp:positionV>
              <wp:extent cx="911860" cy="170815"/>
              <wp:effectExtent l="0" t="0" r="0" b="15240"/>
              <wp:wrapNone/>
              <wp:docPr id="22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noFill/>
                      <a:ln>
                        <a:noFill/>
                      </a:ln>
                    </wps:spPr>
                    <wps:txbx>
                      <w:txbxContent>
                        <w:p w14:paraId="41890778" w14:textId="4C52162E" w:rsidR="00120BCB" w:rsidRDefault="00120BCB">
                          <w:pPr>
                            <w:spacing w:line="240" w:lineRule="auto"/>
                            <w:rPr>
                              <w:color w:val="FFFFFF" w:themeColor="background1"/>
                            </w:rPr>
                          </w:pPr>
                          <w:r>
                            <w:fldChar w:fldCharType="begin"/>
                          </w:r>
                          <w:r>
                            <w:instrText xml:space="preserve"> PAGE   \* MERGEFORMAT </w:instrText>
                          </w:r>
                          <w:r>
                            <w:fldChar w:fldCharType="separate"/>
                          </w:r>
                          <w:r w:rsidR="00A60FF2" w:rsidRPr="00A60FF2">
                            <w:rPr>
                              <w:noProof/>
                              <w:color w:val="FFFFFF" w:themeColor="background1"/>
                            </w:rPr>
                            <w:t>1</w:t>
                          </w:r>
                          <w:r>
                            <w:rPr>
                              <w:noProof/>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3166557D" id="_x0000_t202" coordsize="21600,21600" o:spt="202" path="m,l,21600r21600,l21600,xe">
              <v:stroke joinstyle="miter"/>
              <v:path gradientshapeok="t" o:connecttype="rect"/>
            </v:shapetype>
            <v:shape id="Text Box 221" o:spid="_x0000_s1026" type="#_x0000_t202" style="position:absolute;left:0;text-align:left;margin-left:517.75pt;margin-top:28.5pt;width:71.8pt;height:13.45pt;z-index:251658240;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" o:allowincell="f" filled="f" stroked="f">
              <v:textbox style="mso-fit-shape-to-text:t" inset=",0,,0">
                <w:txbxContent>
                  <w:p w14:paraId="41890778" w14:textId="4C52162E" w:rsidR="00120BCB" w:rsidRDefault="00120BCB">
                    <w:pPr>
                      <w:spacing w:line="240" w:lineRule="auto"/>
                      <w:rPr>
                        <w:color w:val="FFFFFF" w:themeColor="background1"/>
                      </w:rPr>
                    </w:pPr>
                    <w:r>
                      <w:fldChar w:fldCharType="begin"/>
                    </w:r>
                    <w:r>
                      <w:instrText xml:space="preserve"> PAGE   \* MERGEFORMAT </w:instrText>
                    </w:r>
                    <w:r>
                      <w:fldChar w:fldCharType="separate"/>
                    </w:r>
                    <w:r w:rsidR="00A60FF2" w:rsidRPr="00A60FF2">
                      <w:rPr>
                        <w:noProof/>
                        <w:color w:val="FFFFFF" w:themeColor="background1"/>
                      </w:rPr>
                      <w:t>1</w:t>
                    </w:r>
                    <w:r>
                      <w:rPr>
                        <w:noProof/>
                        <w:color w:val="FFFFFF" w:themeColor="background1"/>
                      </w:rPr>
                      <w:fldChar w:fldCharType="end"/>
                    </w:r>
                  </w:p>
                </w:txbxContent>
              </v:textbox>
              <w10:wrap anchorx="page"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75848" w14:textId="77777777" w:rsidR="00120BCB" w:rsidRPr="000E1F73" w:rsidRDefault="00120BCB" w:rsidP="006052C8">
    <w:r w:rsidRPr="00762275">
      <w:rPr>
        <w:noProof/>
        <w:lang w:eastAsia="en-GB"/>
      </w:rPr>
      <mc:AlternateContent>
        <mc:Choice Requires="wps">
          <w:drawing>
            <wp:anchor distT="0" distB="0" distL="114300" distR="114300" simplePos="0" relativeHeight="251658241" behindDoc="0" locked="0" layoutInCell="0" allowOverlap="1" wp14:anchorId="77A274BB" wp14:editId="2E651B14">
              <wp:simplePos x="0" y="0"/>
              <wp:positionH relativeFrom="page">
                <wp:posOffset>6575571</wp:posOffset>
              </wp:positionH>
              <wp:positionV relativeFrom="topMargin">
                <wp:posOffset>361950</wp:posOffset>
              </wp:positionV>
              <wp:extent cx="911860" cy="170815"/>
              <wp:effectExtent l="0" t="0" r="0" b="1524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noFill/>
                      <a:ln>
                        <a:noFill/>
                      </a:ln>
                    </wps:spPr>
                    <wps:txbx>
                      <w:txbxContent>
                        <w:p w14:paraId="268CBACD" w14:textId="1981D65B" w:rsidR="00120BCB" w:rsidRDefault="00120BCB">
                          <w:pPr>
                            <w:spacing w:line="240" w:lineRule="auto"/>
                            <w:rPr>
                              <w:color w:val="FFFFFF" w:themeColor="background1"/>
                            </w:rPr>
                          </w:pPr>
                          <w:r>
                            <w:fldChar w:fldCharType="begin"/>
                          </w:r>
                          <w:r>
                            <w:instrText xml:space="preserve"> PAGE   \* MERGEFORMAT </w:instrText>
                          </w:r>
                          <w:r>
                            <w:fldChar w:fldCharType="separate"/>
                          </w:r>
                          <w:r w:rsidR="00A60FF2" w:rsidRPr="00A60FF2">
                            <w:rPr>
                              <w:noProof/>
                              <w:color w:val="FFFFFF" w:themeColor="background1"/>
                            </w:rPr>
                            <w:t>135</w:t>
                          </w:r>
                          <w:r>
                            <w:rPr>
                              <w:noProof/>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77A274BB" id="_x0000_t202" coordsize="21600,21600" o:spt="202" path="m,l,21600r21600,l21600,xe">
              <v:stroke joinstyle="miter"/>
              <v:path gradientshapeok="t" o:connecttype="rect"/>
            </v:shapetype>
            <v:shape id="Text Box 72" o:spid="_x0000_s1027" type="#_x0000_t202" style="position:absolute;left:0;text-align:left;margin-left:517.75pt;margin-top:28.5pt;width:71.8pt;height:13.45pt;z-index:251658241;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" o:allowincell="f" filled="f" stroked="f">
              <v:textbox style="mso-fit-shape-to-text:t" inset=",0,,0">
                <w:txbxContent>
                  <w:p w14:paraId="268CBACD" w14:textId="1981D65B" w:rsidR="00120BCB" w:rsidRDefault="00120BCB">
                    <w:pPr>
                      <w:spacing w:line="240" w:lineRule="auto"/>
                      <w:rPr>
                        <w:color w:val="FFFFFF" w:themeColor="background1"/>
                      </w:rPr>
                    </w:pPr>
                    <w:r>
                      <w:fldChar w:fldCharType="begin"/>
                    </w:r>
                    <w:r>
                      <w:instrText xml:space="preserve"> PAGE   \* MERGEFORMAT </w:instrText>
                    </w:r>
                    <w:r>
                      <w:fldChar w:fldCharType="separate"/>
                    </w:r>
                    <w:r w:rsidR="00A60FF2" w:rsidRPr="00A60FF2">
                      <w:rPr>
                        <w:noProof/>
                        <w:color w:val="FFFFFF" w:themeColor="background1"/>
                      </w:rPr>
                      <w:t>135</w:t>
                    </w:r>
                    <w:r>
                      <w:rPr>
                        <w:noProof/>
                        <w:color w:val="FFFFFF" w:themeColor="background1"/>
                      </w:rPr>
                      <w:fldChar w:fldCharType="end"/>
                    </w:r>
                  </w:p>
                </w:txbxContent>
              </v:textbox>
              <w10:wrap anchorx="page" anchory="margin"/>
            </v:shape>
          </w:pict>
        </mc:Fallback>
      </mc:AlternateContent>
    </w:r>
    <w:r w:rsidRPr="00762275">
      <w:rPr>
        <w:noProof/>
        <w:lang w:eastAsia="en-GB"/>
      </w:rPr>
      <mc:AlternateContent>
        <mc:Choice Requires="wps">
          <w:drawing>
            <wp:anchor distT="0" distB="0" distL="114300" distR="114300" simplePos="0" relativeHeight="251658242" behindDoc="0" locked="0" layoutInCell="0" allowOverlap="1" wp14:anchorId="77CC97EB" wp14:editId="7EED0169">
              <wp:simplePos x="0" y="0"/>
              <wp:positionH relativeFrom="margin">
                <wp:align>left</wp:align>
              </wp:positionH>
              <wp:positionV relativeFrom="topMargin">
                <wp:align>center</wp:align>
              </wp:positionV>
              <wp:extent cx="5943600" cy="173736"/>
              <wp:effectExtent l="0" t="0" r="0" b="635"/>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71CBA" w14:textId="673206C8" w:rsidR="00120BCB" w:rsidRPr="009F0288" w:rsidRDefault="00120BCB">
                          <w:pPr>
                            <w:spacing w:line="240" w:lineRule="auto"/>
                            <w:jc w:val="right"/>
                            <w:rPr>
                              <w:b/>
                              <w:bCs/>
                              <w:i/>
                              <w:iCs/>
                              <w:noProof/>
                              <w:color w:val="0D0D0D" w:themeColor="text1" w:themeTint="F2"/>
                            </w:rPr>
                          </w:pPr>
                          <w:r w:rsidRPr="009F0288">
                            <w:rPr>
                              <w:b/>
                              <w:bCs/>
                              <w:i/>
                              <w:iCs/>
                              <w:noProof/>
                              <w:color w:val="0D0D0D" w:themeColor="text1" w:themeTint="F2"/>
                            </w:rPr>
                            <w:fldChar w:fldCharType="begin"/>
                          </w:r>
                          <w:r w:rsidRPr="009F0288">
                            <w:rPr>
                              <w:b/>
                              <w:bCs/>
                              <w:i/>
                              <w:iCs/>
                              <w:noProof/>
                              <w:color w:val="0D0D0D" w:themeColor="text1" w:themeTint="F2"/>
                            </w:rPr>
                            <w:instrText xml:space="preserve"> If </w:instrText>
                          </w:r>
                          <w:r w:rsidRPr="009F0288">
                            <w:rPr>
                              <w:b/>
                              <w:bCs/>
                              <w:i/>
                              <w:iCs/>
                              <w:noProof/>
                              <w:color w:val="0D0D0D" w:themeColor="text1" w:themeTint="F2"/>
                            </w:rPr>
                            <w:fldChar w:fldCharType="begin"/>
                          </w:r>
                          <w:r w:rsidRPr="009F0288">
                            <w:rPr>
                              <w:b/>
                              <w:bCs/>
                              <w:i/>
                              <w:iCs/>
                              <w:noProof/>
                              <w:color w:val="0D0D0D" w:themeColor="text1" w:themeTint="F2"/>
                            </w:rPr>
                            <w:instrText xml:space="preserve"> STYLEREF “Heading 1”  </w:instrText>
                          </w:r>
                          <w:r w:rsidR="00EF208B">
                            <w:rPr>
                              <w:b/>
                              <w:bCs/>
                              <w:i/>
                              <w:iCs/>
                              <w:noProof/>
                              <w:color w:val="0D0D0D" w:themeColor="text1" w:themeTint="F2"/>
                            </w:rPr>
                            <w:fldChar w:fldCharType="separate"/>
                          </w:r>
                          <w:r w:rsidR="00EF208B">
                            <w:rPr>
                              <w:b/>
                              <w:bCs/>
                              <w:i/>
                              <w:iCs/>
                              <w:noProof/>
                              <w:color w:val="0D0D0D" w:themeColor="text1" w:themeTint="F2"/>
                            </w:rPr>
                            <w:instrText>Content</w:instrText>
                          </w:r>
                          <w:r w:rsidRPr="009F0288">
                            <w:rPr>
                              <w:b/>
                              <w:bCs/>
                              <w:i/>
                              <w:iCs/>
                              <w:noProof/>
                              <w:color w:val="0D0D0D" w:themeColor="text1" w:themeTint="F2"/>
                            </w:rPr>
                            <w:fldChar w:fldCharType="end"/>
                          </w:r>
                          <w:r w:rsidRPr="009F0288">
                            <w:rPr>
                              <w:b/>
                              <w:bCs/>
                              <w:i/>
                              <w:iCs/>
                              <w:noProof/>
                              <w:color w:val="0D0D0D" w:themeColor="text1" w:themeTint="F2"/>
                            </w:rPr>
                            <w:instrText>&lt;&gt; “Error*” “</w:instrText>
                          </w:r>
                          <w:r w:rsidRPr="009F0288">
                            <w:rPr>
                              <w:b/>
                              <w:bCs/>
                              <w:i/>
                              <w:iCs/>
                              <w:noProof/>
                              <w:color w:val="0D0D0D" w:themeColor="text1" w:themeTint="F2"/>
                            </w:rPr>
                            <w:fldChar w:fldCharType="begin"/>
                          </w:r>
                          <w:r w:rsidRPr="009F0288">
                            <w:rPr>
                              <w:b/>
                              <w:bCs/>
                              <w:i/>
                              <w:iCs/>
                              <w:noProof/>
                              <w:color w:val="0D0D0D" w:themeColor="text1" w:themeTint="F2"/>
                            </w:rPr>
                            <w:instrText xml:space="preserve"> STYLEREF “Heading 1” </w:instrText>
                          </w:r>
                          <w:r w:rsidR="00EF208B">
                            <w:rPr>
                              <w:b/>
                              <w:bCs/>
                              <w:i/>
                              <w:iCs/>
                              <w:noProof/>
                              <w:color w:val="0D0D0D" w:themeColor="text1" w:themeTint="F2"/>
                            </w:rPr>
                            <w:fldChar w:fldCharType="separate"/>
                          </w:r>
                          <w:r w:rsidR="00EF208B">
                            <w:rPr>
                              <w:b/>
                              <w:bCs/>
                              <w:i/>
                              <w:iCs/>
                              <w:noProof/>
                              <w:color w:val="0D0D0D" w:themeColor="text1" w:themeTint="F2"/>
                            </w:rPr>
                            <w:instrText>Content</w:instrText>
                          </w:r>
                          <w:r w:rsidRPr="009F0288">
                            <w:rPr>
                              <w:b/>
                              <w:bCs/>
                              <w:i/>
                              <w:iCs/>
                              <w:noProof/>
                              <w:color w:val="0D0D0D" w:themeColor="text1" w:themeTint="F2"/>
                            </w:rPr>
                            <w:fldChar w:fldCharType="end"/>
                          </w:r>
                          <w:r w:rsidRPr="009F0288">
                            <w:rPr>
                              <w:b/>
                              <w:bCs/>
                              <w:i/>
                              <w:iCs/>
                              <w:noProof/>
                              <w:color w:val="0D0D0D" w:themeColor="text1" w:themeTint="F2"/>
                            </w:rPr>
                            <w:instrText>""Add a heading to your document""</w:instrText>
                          </w:r>
                          <w:r>
                            <w:rPr>
                              <w:b/>
                              <w:bCs/>
                              <w:i/>
                              <w:iCs/>
                              <w:noProof/>
                              <w:color w:val="0D0D0D" w:themeColor="text1" w:themeTint="F2"/>
                            </w:rPr>
                            <w:instrText>A Game-Theoretic Multi-Stakeholder Model for Fair Cost Allocation in UCCLiterature reviewLiterature review</w:instrText>
                          </w:r>
                          <w:r w:rsidR="00EF208B">
                            <w:rPr>
                              <w:b/>
                              <w:bCs/>
                              <w:i/>
                              <w:iCs/>
                              <w:noProof/>
                              <w:color w:val="0D0D0D" w:themeColor="text1" w:themeTint="F2"/>
                            </w:rPr>
                            <w:fldChar w:fldCharType="separate"/>
                          </w:r>
                          <w:r w:rsidR="00EF208B">
                            <w:rPr>
                              <w:b/>
                              <w:bCs/>
                              <w:i/>
                              <w:iCs/>
                              <w:noProof/>
                              <w:color w:val="0D0D0D" w:themeColor="text1" w:themeTint="F2"/>
                            </w:rPr>
                            <w:t>Content</w:t>
                          </w:r>
                          <w:r w:rsidRPr="009F0288">
                            <w:rPr>
                              <w:b/>
                              <w:bCs/>
                              <w:i/>
                              <w:iCs/>
                              <w:noProof/>
                              <w:color w:val="0D0D0D" w:themeColor="text1" w:themeTint="F2"/>
                            </w:rP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77CC97EB" id="Text Box 79" o:spid="_x0000_s1028" type="#_x0000_t202" style="position:absolute;left:0;text-align:left;margin-left:0;margin-top:0;width:468pt;height:13.7pt;z-index:251658242;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" o:allowincell="f" filled="f" stroked="f">
              <v:textbox style="mso-fit-shape-to-text:t" inset=",0,,0">
                <w:txbxContent>
                  <w:p w14:paraId="5F271CBA" w14:textId="673206C8" w:rsidR="00120BCB" w:rsidRPr="009F0288" w:rsidRDefault="00120BCB">
                    <w:pPr>
                      <w:spacing w:line="240" w:lineRule="auto"/>
                      <w:jc w:val="right"/>
                      <w:rPr>
                        <w:b/>
                        <w:bCs/>
                        <w:i/>
                        <w:iCs/>
                        <w:noProof/>
                        <w:color w:val="0D0D0D" w:themeColor="text1" w:themeTint="F2"/>
                      </w:rPr>
                    </w:pPr>
                    <w:r w:rsidRPr="009F0288">
                      <w:rPr>
                        <w:b/>
                        <w:bCs/>
                        <w:i/>
                        <w:iCs/>
                        <w:noProof/>
                        <w:color w:val="0D0D0D" w:themeColor="text1" w:themeTint="F2"/>
                      </w:rPr>
                      <w:fldChar w:fldCharType="begin"/>
                    </w:r>
                    <w:r w:rsidRPr="009F0288">
                      <w:rPr>
                        <w:b/>
                        <w:bCs/>
                        <w:i/>
                        <w:iCs/>
                        <w:noProof/>
                        <w:color w:val="0D0D0D" w:themeColor="text1" w:themeTint="F2"/>
                      </w:rPr>
                      <w:instrText xml:space="preserve"> If </w:instrText>
                    </w:r>
                    <w:r w:rsidRPr="009F0288">
                      <w:rPr>
                        <w:b/>
                        <w:bCs/>
                        <w:i/>
                        <w:iCs/>
                        <w:noProof/>
                        <w:color w:val="0D0D0D" w:themeColor="text1" w:themeTint="F2"/>
                      </w:rPr>
                      <w:fldChar w:fldCharType="begin"/>
                    </w:r>
                    <w:r w:rsidRPr="009F0288">
                      <w:rPr>
                        <w:b/>
                        <w:bCs/>
                        <w:i/>
                        <w:iCs/>
                        <w:noProof/>
                        <w:color w:val="0D0D0D" w:themeColor="text1" w:themeTint="F2"/>
                      </w:rPr>
                      <w:instrText xml:space="preserve"> STYLEREF “Heading 1”  </w:instrText>
                    </w:r>
                    <w:r w:rsidR="00EF208B">
                      <w:rPr>
                        <w:b/>
                        <w:bCs/>
                        <w:i/>
                        <w:iCs/>
                        <w:noProof/>
                        <w:color w:val="0D0D0D" w:themeColor="text1" w:themeTint="F2"/>
                      </w:rPr>
                      <w:fldChar w:fldCharType="separate"/>
                    </w:r>
                    <w:r w:rsidR="00EF208B">
                      <w:rPr>
                        <w:b/>
                        <w:bCs/>
                        <w:i/>
                        <w:iCs/>
                        <w:noProof/>
                        <w:color w:val="0D0D0D" w:themeColor="text1" w:themeTint="F2"/>
                      </w:rPr>
                      <w:instrText>Content</w:instrText>
                    </w:r>
                    <w:r w:rsidRPr="009F0288">
                      <w:rPr>
                        <w:b/>
                        <w:bCs/>
                        <w:i/>
                        <w:iCs/>
                        <w:noProof/>
                        <w:color w:val="0D0D0D" w:themeColor="text1" w:themeTint="F2"/>
                      </w:rPr>
                      <w:fldChar w:fldCharType="end"/>
                    </w:r>
                    <w:r w:rsidRPr="009F0288">
                      <w:rPr>
                        <w:b/>
                        <w:bCs/>
                        <w:i/>
                        <w:iCs/>
                        <w:noProof/>
                        <w:color w:val="0D0D0D" w:themeColor="text1" w:themeTint="F2"/>
                      </w:rPr>
                      <w:instrText>&lt;&gt; “Error*” “</w:instrText>
                    </w:r>
                    <w:r w:rsidRPr="009F0288">
                      <w:rPr>
                        <w:b/>
                        <w:bCs/>
                        <w:i/>
                        <w:iCs/>
                        <w:noProof/>
                        <w:color w:val="0D0D0D" w:themeColor="text1" w:themeTint="F2"/>
                      </w:rPr>
                      <w:fldChar w:fldCharType="begin"/>
                    </w:r>
                    <w:r w:rsidRPr="009F0288">
                      <w:rPr>
                        <w:b/>
                        <w:bCs/>
                        <w:i/>
                        <w:iCs/>
                        <w:noProof/>
                        <w:color w:val="0D0D0D" w:themeColor="text1" w:themeTint="F2"/>
                      </w:rPr>
                      <w:instrText xml:space="preserve"> STYLEREF “Heading 1” </w:instrText>
                    </w:r>
                    <w:r w:rsidR="00EF208B">
                      <w:rPr>
                        <w:b/>
                        <w:bCs/>
                        <w:i/>
                        <w:iCs/>
                        <w:noProof/>
                        <w:color w:val="0D0D0D" w:themeColor="text1" w:themeTint="F2"/>
                      </w:rPr>
                      <w:fldChar w:fldCharType="separate"/>
                    </w:r>
                    <w:r w:rsidR="00EF208B">
                      <w:rPr>
                        <w:b/>
                        <w:bCs/>
                        <w:i/>
                        <w:iCs/>
                        <w:noProof/>
                        <w:color w:val="0D0D0D" w:themeColor="text1" w:themeTint="F2"/>
                      </w:rPr>
                      <w:instrText>Content</w:instrText>
                    </w:r>
                    <w:r w:rsidRPr="009F0288">
                      <w:rPr>
                        <w:b/>
                        <w:bCs/>
                        <w:i/>
                        <w:iCs/>
                        <w:noProof/>
                        <w:color w:val="0D0D0D" w:themeColor="text1" w:themeTint="F2"/>
                      </w:rPr>
                      <w:fldChar w:fldCharType="end"/>
                    </w:r>
                    <w:r w:rsidRPr="009F0288">
                      <w:rPr>
                        <w:b/>
                        <w:bCs/>
                        <w:i/>
                        <w:iCs/>
                        <w:noProof/>
                        <w:color w:val="0D0D0D" w:themeColor="text1" w:themeTint="F2"/>
                      </w:rPr>
                      <w:instrText>""Add a heading to your document""</w:instrText>
                    </w:r>
                    <w:r>
                      <w:rPr>
                        <w:b/>
                        <w:bCs/>
                        <w:i/>
                        <w:iCs/>
                        <w:noProof/>
                        <w:color w:val="0D0D0D" w:themeColor="text1" w:themeTint="F2"/>
                      </w:rPr>
                      <w:instrText>A Game-Theoretic Multi-Stakeholder Model for Fair Cost Allocation in UCCLiterature reviewLiterature review</w:instrText>
                    </w:r>
                    <w:r w:rsidR="00EF208B">
                      <w:rPr>
                        <w:b/>
                        <w:bCs/>
                        <w:i/>
                        <w:iCs/>
                        <w:noProof/>
                        <w:color w:val="0D0D0D" w:themeColor="text1" w:themeTint="F2"/>
                      </w:rPr>
                      <w:fldChar w:fldCharType="separate"/>
                    </w:r>
                    <w:r w:rsidR="00EF208B">
                      <w:rPr>
                        <w:b/>
                        <w:bCs/>
                        <w:i/>
                        <w:iCs/>
                        <w:noProof/>
                        <w:color w:val="0D0D0D" w:themeColor="text1" w:themeTint="F2"/>
                      </w:rPr>
                      <w:t>Content</w:t>
                    </w:r>
                    <w:r w:rsidRPr="009F0288">
                      <w:rPr>
                        <w:b/>
                        <w:bCs/>
                        <w:i/>
                        <w:iCs/>
                        <w:noProof/>
                        <w:color w:val="0D0D0D" w:themeColor="text1" w:themeTint="F2"/>
                      </w:rPr>
                      <w:fldChar w:fldCharType="end"/>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770FB0"/>
    <w:multiLevelType w:val="hybridMultilevel"/>
    <w:tmpl w:val="D3A4B510"/>
    <w:lvl w:ilvl="0" w:tplc="92B6E856">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572138"/>
    <w:multiLevelType w:val="hybridMultilevel"/>
    <w:tmpl w:val="28D28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F24DEC"/>
    <w:multiLevelType w:val="hybridMultilevel"/>
    <w:tmpl w:val="16C01CDA"/>
    <w:lvl w:ilvl="0" w:tplc="EAA43D58">
      <w:start w:val="3"/>
      <w:numFmt w:val="bullet"/>
      <w:lvlText w:val="-"/>
      <w:lvlJc w:val="left"/>
      <w:pPr>
        <w:ind w:left="720" w:hanging="360"/>
      </w:pPr>
      <w:rPr>
        <w:rFonts w:ascii="Garamond" w:eastAsia="Arial" w:hAnsi="Garamond"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6F97FB0"/>
    <w:multiLevelType w:val="hybridMultilevel"/>
    <w:tmpl w:val="A014AE5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205F1279"/>
    <w:multiLevelType w:val="hybridMultilevel"/>
    <w:tmpl w:val="698806C0"/>
    <w:lvl w:ilvl="0" w:tplc="F5320E0C">
      <w:start w:val="1"/>
      <w:numFmt w:val="decimal"/>
      <w:lvlText w:val="%1."/>
      <w:lvlJc w:val="left"/>
      <w:pPr>
        <w:ind w:left="720" w:hanging="360"/>
      </w:pPr>
      <w:rPr>
        <w:rFonts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50A245F"/>
    <w:multiLevelType w:val="hybridMultilevel"/>
    <w:tmpl w:val="1C3A3F0C"/>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805051C"/>
    <w:multiLevelType w:val="hybridMultilevel"/>
    <w:tmpl w:val="857682CE"/>
    <w:lvl w:ilvl="0" w:tplc="CDCEE7DA">
      <w:start w:val="1"/>
      <w:numFmt w:val="decimal"/>
      <w:pStyle w:val="MDPI37itemize"/>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7" w15:restartNumberingAfterBreak="0">
    <w:nsid w:val="2B761697"/>
    <w:multiLevelType w:val="hybridMultilevel"/>
    <w:tmpl w:val="CCCADC72"/>
    <w:lvl w:ilvl="0" w:tplc="596CED4E">
      <w:start w:val="1"/>
      <w:numFmt w:val="decimal"/>
      <w:suff w:val="nothing"/>
      <w:lvlText w:val="%1."/>
      <w:lvlJc w:val="left"/>
      <w:pPr>
        <w:ind w:left="170" w:hanging="17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E81576A"/>
    <w:multiLevelType w:val="hybridMultilevel"/>
    <w:tmpl w:val="988CBD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43B6D25"/>
    <w:multiLevelType w:val="multilevel"/>
    <w:tmpl w:val="18503442"/>
    <w:lvl w:ilvl="0">
      <w:start w:val="1"/>
      <w:numFmt w:val="decimal"/>
      <w:pStyle w:val="Heading1"/>
      <w:lvlText w:val="Chapter %1:"/>
      <w:lvlJc w:val="left"/>
      <w:pPr>
        <w:ind w:left="432" w:hanging="432"/>
      </w:pPr>
      <w:rPr>
        <w:rFonts w:ascii="Times New Roman" w:eastAsiaTheme="majorEastAsia" w:hAnsi="Times New Roman" w:hint="default"/>
        <w:b/>
        <w:i w:val="0"/>
        <w:color w:val="1F4E79" w:themeColor="accent1" w:themeShade="80"/>
        <w:sz w:val="44"/>
      </w:rPr>
    </w:lvl>
    <w:lvl w:ilvl="1">
      <w:start w:val="1"/>
      <w:numFmt w:val="decimal"/>
      <w:pStyle w:val="Heading2"/>
      <w:lvlText w:val="%1.%2"/>
      <w:lvlJc w:val="left"/>
      <w:pPr>
        <w:ind w:left="9648" w:hanging="576"/>
      </w:pPr>
      <w:rPr>
        <w:rFonts w:hint="eastAsia"/>
      </w:rPr>
    </w:lvl>
    <w:lvl w:ilvl="2">
      <w:start w:val="1"/>
      <w:numFmt w:val="decimal"/>
      <w:pStyle w:val="Heading3"/>
      <w:lvlText w:val="%1.%2.%3"/>
      <w:lvlJc w:val="left"/>
      <w:pPr>
        <w:ind w:left="1429" w:hanging="720"/>
      </w:pPr>
      <w:rPr>
        <w:rFonts w:hint="eastAsia"/>
      </w:rPr>
    </w:lvl>
    <w:lvl w:ilvl="3">
      <w:start w:val="1"/>
      <w:numFmt w:val="decimal"/>
      <w:pStyle w:val="Heading4"/>
      <w:lvlText w:val="%1.%2.%3.%4"/>
      <w:lvlJc w:val="left"/>
      <w:pPr>
        <w:ind w:left="864" w:hanging="864"/>
      </w:pPr>
      <w:rPr>
        <w:rFonts w:hint="eastAsia"/>
      </w:rPr>
    </w:lvl>
    <w:lvl w:ilvl="4">
      <w:start w:val="1"/>
      <w:numFmt w:val="decimal"/>
      <w:pStyle w:val="Heading5"/>
      <w:lvlText w:val="%1.%2.%3.%4.%5"/>
      <w:lvlJc w:val="left"/>
      <w:pPr>
        <w:ind w:left="1008" w:hanging="1008"/>
      </w:pPr>
      <w:rPr>
        <w:rFonts w:hint="eastAsia"/>
      </w:rPr>
    </w:lvl>
    <w:lvl w:ilvl="5">
      <w:start w:val="1"/>
      <w:numFmt w:val="decimal"/>
      <w:pStyle w:val="Heading6"/>
      <w:lvlText w:val="%1.%2.%3.%4.%5.%6"/>
      <w:lvlJc w:val="left"/>
      <w:pPr>
        <w:ind w:left="1152" w:hanging="1152"/>
      </w:pPr>
      <w:rPr>
        <w:rFonts w:hint="eastAsia"/>
      </w:rPr>
    </w:lvl>
    <w:lvl w:ilvl="6">
      <w:start w:val="1"/>
      <w:numFmt w:val="decimal"/>
      <w:pStyle w:val="Heading7"/>
      <w:lvlText w:val="%1.%2.%3.%4.%5.%6.%7"/>
      <w:lvlJc w:val="left"/>
      <w:pPr>
        <w:ind w:left="1296" w:hanging="1296"/>
      </w:pPr>
      <w:rPr>
        <w:rFonts w:hint="eastAsia"/>
      </w:rPr>
    </w:lvl>
    <w:lvl w:ilvl="7">
      <w:start w:val="1"/>
      <w:numFmt w:val="decimal"/>
      <w:pStyle w:val="Heading8"/>
      <w:lvlText w:val="%1.%2.%3.%4.%5.%6.%7.%8"/>
      <w:lvlJc w:val="left"/>
      <w:pPr>
        <w:ind w:left="1440" w:hanging="1440"/>
      </w:pPr>
      <w:rPr>
        <w:rFonts w:hint="eastAsia"/>
      </w:rPr>
    </w:lvl>
    <w:lvl w:ilvl="8">
      <w:start w:val="1"/>
      <w:numFmt w:val="decimal"/>
      <w:pStyle w:val="Heading9"/>
      <w:lvlText w:val="%1.%2.%3.%4.%5.%6.%7.%8.%9"/>
      <w:lvlJc w:val="left"/>
      <w:pPr>
        <w:ind w:left="1584" w:hanging="1584"/>
      </w:pPr>
      <w:rPr>
        <w:rFonts w:hint="eastAsia"/>
      </w:rPr>
    </w:lvl>
  </w:abstractNum>
  <w:abstractNum w:abstractNumId="10" w15:restartNumberingAfterBreak="0">
    <w:nsid w:val="369A6535"/>
    <w:multiLevelType w:val="hybridMultilevel"/>
    <w:tmpl w:val="781408B4"/>
    <w:lvl w:ilvl="0" w:tplc="B2367048">
      <w:start w:val="1"/>
      <w:numFmt w:val="bullet"/>
      <w:pStyle w:val="MDPI38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11" w15:restartNumberingAfterBreak="0">
    <w:nsid w:val="3EA50C90"/>
    <w:multiLevelType w:val="hybridMultilevel"/>
    <w:tmpl w:val="62F24EE8"/>
    <w:lvl w:ilvl="0" w:tplc="D23841F0">
      <w:start w:val="3"/>
      <w:numFmt w:val="bullet"/>
      <w:lvlText w:val="-"/>
      <w:lvlJc w:val="left"/>
      <w:pPr>
        <w:ind w:left="720" w:hanging="360"/>
      </w:pPr>
      <w:rPr>
        <w:rFonts w:ascii="Garamond" w:eastAsia="Times New Roman" w:hAnsi="Garamond" w:cs="Times New Roman"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0B527AE"/>
    <w:multiLevelType w:val="hybridMultilevel"/>
    <w:tmpl w:val="59EC213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0E310E6"/>
    <w:multiLevelType w:val="hybridMultilevel"/>
    <w:tmpl w:val="5B540160"/>
    <w:lvl w:ilvl="0" w:tplc="596CED4E">
      <w:start w:val="1"/>
      <w:numFmt w:val="decimal"/>
      <w:suff w:val="nothing"/>
      <w:lvlText w:val="%1."/>
      <w:lvlJc w:val="left"/>
      <w:pPr>
        <w:ind w:left="170" w:hanging="17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1FE6D77"/>
    <w:multiLevelType w:val="hybridMultilevel"/>
    <w:tmpl w:val="66EAB1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53F3985"/>
    <w:multiLevelType w:val="multilevel"/>
    <w:tmpl w:val="C66A4A48"/>
    <w:lvl w:ilvl="0">
      <w:start w:val="1"/>
      <w:numFmt w:val="decimal"/>
      <w:lvlText w:val="Chapter %1."/>
      <w:lvlJc w:val="left"/>
      <w:pPr>
        <w:ind w:left="1588" w:hanging="1588"/>
      </w:pPr>
      <w:rPr>
        <w:rFonts w:ascii="Times New Roman" w:hAnsi="Times New Roman" w:hint="default"/>
        <w:b/>
        <w:i w:val="0"/>
        <w:color w:val="1F4E79" w:themeColor="accent1" w:themeShade="80"/>
        <w:sz w:val="44"/>
      </w:rPr>
    </w:lvl>
    <w:lvl w:ilvl="1">
      <w:start w:val="1"/>
      <w:numFmt w:val="decimal"/>
      <w:lvlText w:val="%1.%2."/>
      <w:lvlJc w:val="left"/>
      <w:pPr>
        <w:ind w:left="624" w:hanging="624"/>
      </w:pPr>
      <w:rPr>
        <w:rFonts w:hint="default"/>
      </w:rPr>
    </w:lvl>
    <w:lvl w:ilvl="2">
      <w:start w:val="1"/>
      <w:numFmt w:val="decimal"/>
      <w:lvlText w:val="%1.%2.%3."/>
      <w:lvlJc w:val="left"/>
      <w:pPr>
        <w:ind w:left="964" w:hanging="964"/>
      </w:pPr>
      <w:rPr>
        <w:rFonts w:hint="default"/>
      </w:rPr>
    </w:lvl>
    <w:lvl w:ilvl="3">
      <w:start w:val="1"/>
      <w:numFmt w:val="decimal"/>
      <w:lvlText w:val="%1.%2.%3.%4."/>
      <w:lvlJc w:val="left"/>
      <w:pPr>
        <w:ind w:left="1304" w:hanging="1304"/>
      </w:pPr>
      <w:rPr>
        <w:rFonts w:hint="default"/>
      </w:rPr>
    </w:lvl>
    <w:lvl w:ilvl="4">
      <w:start w:val="1"/>
      <w:numFmt w:val="decimal"/>
      <w:pStyle w:val="NoSpacing"/>
      <w:lvlText w:val="%1.%2.%3.%4.%5."/>
      <w:lvlJc w:val="left"/>
      <w:pPr>
        <w:ind w:left="1758" w:hanging="1758"/>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4B357DD8"/>
    <w:multiLevelType w:val="hybridMultilevel"/>
    <w:tmpl w:val="698806C0"/>
    <w:lvl w:ilvl="0" w:tplc="F5320E0C">
      <w:start w:val="1"/>
      <w:numFmt w:val="decimal"/>
      <w:lvlText w:val="%1."/>
      <w:lvlJc w:val="left"/>
      <w:pPr>
        <w:ind w:left="720" w:hanging="360"/>
      </w:pPr>
      <w:rPr>
        <w:rFonts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F524954"/>
    <w:multiLevelType w:val="hybridMultilevel"/>
    <w:tmpl w:val="138C62EA"/>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4FF07CBA"/>
    <w:multiLevelType w:val="hybridMultilevel"/>
    <w:tmpl w:val="6B58A39E"/>
    <w:lvl w:ilvl="0" w:tplc="EAA43D58">
      <w:start w:val="3"/>
      <w:numFmt w:val="bullet"/>
      <w:lvlText w:val="-"/>
      <w:lvlJc w:val="left"/>
      <w:pPr>
        <w:ind w:left="720" w:hanging="360"/>
      </w:pPr>
      <w:rPr>
        <w:rFonts w:ascii="Garamond" w:eastAsia="Arial" w:hAnsi="Garamond"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14B6CA9"/>
    <w:multiLevelType w:val="hybridMultilevel"/>
    <w:tmpl w:val="698806C0"/>
    <w:lvl w:ilvl="0" w:tplc="F5320E0C">
      <w:start w:val="1"/>
      <w:numFmt w:val="decimal"/>
      <w:lvlText w:val="%1."/>
      <w:lvlJc w:val="left"/>
      <w:pPr>
        <w:ind w:left="720" w:hanging="360"/>
      </w:pPr>
      <w:rPr>
        <w:rFonts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A4259AF"/>
    <w:multiLevelType w:val="hybridMultilevel"/>
    <w:tmpl w:val="4E64A26A"/>
    <w:lvl w:ilvl="0" w:tplc="F5320E0C">
      <w:start w:val="1"/>
      <w:numFmt w:val="decimal"/>
      <w:lvlText w:val="%1."/>
      <w:lvlJc w:val="left"/>
      <w:pPr>
        <w:ind w:left="720" w:hanging="360"/>
      </w:pPr>
      <w:rPr>
        <w:rFonts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2E9598F"/>
    <w:multiLevelType w:val="multilevel"/>
    <w:tmpl w:val="6A1C5552"/>
    <w:lvl w:ilvl="0">
      <w:start w:val="1"/>
      <w:numFmt w:val="decimal"/>
      <w:lvlText w:val="%1."/>
      <w:lvlJc w:val="left"/>
      <w:pPr>
        <w:ind w:left="720" w:hanging="360"/>
      </w:pPr>
      <w:rPr>
        <w:rFonts w:hint="default"/>
      </w:rPr>
    </w:lvl>
    <w:lvl w:ilvl="1">
      <w:start w:val="3"/>
      <w:numFmt w:val="decimal"/>
      <w:isLgl/>
      <w:lvlText w:val="%1.%2"/>
      <w:lvlJc w:val="left"/>
      <w:pPr>
        <w:ind w:left="900" w:hanging="54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2" w15:restartNumberingAfterBreak="0">
    <w:nsid w:val="63C3720A"/>
    <w:multiLevelType w:val="hybridMultilevel"/>
    <w:tmpl w:val="8CF0378C"/>
    <w:lvl w:ilvl="0" w:tplc="04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3" w15:restartNumberingAfterBreak="0">
    <w:nsid w:val="6AFC1CFE"/>
    <w:multiLevelType w:val="hybridMultilevel"/>
    <w:tmpl w:val="AFC2553A"/>
    <w:lvl w:ilvl="0" w:tplc="D948295A">
      <w:numFmt w:val="bullet"/>
      <w:lvlText w:val="-"/>
      <w:lvlJc w:val="left"/>
      <w:pPr>
        <w:ind w:left="720" w:hanging="360"/>
      </w:pPr>
      <w:rPr>
        <w:rFonts w:ascii="Garamond" w:eastAsiaTheme="minorEastAsia" w:hAnsi="Garamond"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BD94196"/>
    <w:multiLevelType w:val="multilevel"/>
    <w:tmpl w:val="6BD94196"/>
    <w:lvl w:ilvl="0">
      <w:start w:val="1"/>
      <w:numFmt w:val="decimal"/>
      <w:lvlText w:val="%1."/>
      <w:lvlJc w:val="left"/>
      <w:pPr>
        <w:ind w:left="720" w:hanging="360"/>
      </w:pPr>
      <w:rPr>
        <w:rFonts w:hint="default"/>
      </w:rPr>
    </w:lvl>
    <w:lvl w:ilvl="1">
      <w:start w:val="3"/>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70024842"/>
    <w:multiLevelType w:val="hybridMultilevel"/>
    <w:tmpl w:val="B3BCE886"/>
    <w:lvl w:ilvl="0" w:tplc="EAA43D58">
      <w:start w:val="3"/>
      <w:numFmt w:val="bullet"/>
      <w:lvlText w:val="-"/>
      <w:lvlJc w:val="left"/>
      <w:pPr>
        <w:ind w:left="720" w:hanging="360"/>
      </w:pPr>
      <w:rPr>
        <w:rFonts w:ascii="Garamond" w:eastAsia="Arial" w:hAnsi="Garamond"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7AB1E1A"/>
    <w:multiLevelType w:val="hybridMultilevel"/>
    <w:tmpl w:val="1B34044A"/>
    <w:lvl w:ilvl="0" w:tplc="D23841F0">
      <w:start w:val="3"/>
      <w:numFmt w:val="bullet"/>
      <w:lvlText w:val="-"/>
      <w:lvlJc w:val="left"/>
      <w:pPr>
        <w:ind w:left="720" w:hanging="360"/>
      </w:pPr>
      <w:rPr>
        <w:rFonts w:ascii="Garamond" w:eastAsia="Times New Roman" w:hAnsi="Garamond"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E525E01"/>
    <w:multiLevelType w:val="hybridMultilevel"/>
    <w:tmpl w:val="4ED0E952"/>
    <w:lvl w:ilvl="0" w:tplc="596CED4E">
      <w:start w:val="1"/>
      <w:numFmt w:val="decimal"/>
      <w:suff w:val="nothing"/>
      <w:lvlText w:val="%1."/>
      <w:lvlJc w:val="left"/>
      <w:pPr>
        <w:ind w:left="170" w:hanging="17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EC360E8"/>
    <w:multiLevelType w:val="hybridMultilevel"/>
    <w:tmpl w:val="DFF8C6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F1524A1"/>
    <w:multiLevelType w:val="hybridMultilevel"/>
    <w:tmpl w:val="C3541448"/>
    <w:lvl w:ilvl="0" w:tplc="596CED4E">
      <w:start w:val="1"/>
      <w:numFmt w:val="decimal"/>
      <w:suff w:val="nothing"/>
      <w:lvlText w:val="%1."/>
      <w:lvlJc w:val="left"/>
      <w:pPr>
        <w:ind w:left="170" w:hanging="17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5"/>
  </w:num>
  <w:num w:numId="2">
    <w:abstractNumId w:val="9"/>
  </w:num>
  <w:num w:numId="3">
    <w:abstractNumId w:val="28"/>
  </w:num>
  <w:num w:numId="4">
    <w:abstractNumId w:val="24"/>
  </w:num>
  <w:num w:numId="5">
    <w:abstractNumId w:val="12"/>
  </w:num>
  <w:num w:numId="6">
    <w:abstractNumId w:val="26"/>
  </w:num>
  <w:num w:numId="7">
    <w:abstractNumId w:val="8"/>
  </w:num>
  <w:num w:numId="8">
    <w:abstractNumId w:val="5"/>
  </w:num>
  <w:num w:numId="9">
    <w:abstractNumId w:val="6"/>
  </w:num>
  <w:num w:numId="10">
    <w:abstractNumId w:val="10"/>
  </w:num>
  <w:num w:numId="11">
    <w:abstractNumId w:val="25"/>
  </w:num>
  <w:num w:numId="12">
    <w:abstractNumId w:val="18"/>
  </w:num>
  <w:num w:numId="13">
    <w:abstractNumId w:val="13"/>
  </w:num>
  <w:num w:numId="14">
    <w:abstractNumId w:val="29"/>
  </w:num>
  <w:num w:numId="15">
    <w:abstractNumId w:val="7"/>
  </w:num>
  <w:num w:numId="16">
    <w:abstractNumId w:val="27"/>
  </w:num>
  <w:num w:numId="17">
    <w:abstractNumId w:val="19"/>
  </w:num>
  <w:num w:numId="18">
    <w:abstractNumId w:val="20"/>
  </w:num>
  <w:num w:numId="19">
    <w:abstractNumId w:val="16"/>
  </w:num>
  <w:num w:numId="20">
    <w:abstractNumId w:val="23"/>
  </w:num>
  <w:num w:numId="21">
    <w:abstractNumId w:val="1"/>
  </w:num>
  <w:num w:numId="22">
    <w:abstractNumId w:val="22"/>
  </w:num>
  <w:num w:numId="23">
    <w:abstractNumId w:val="2"/>
  </w:num>
  <w:num w:numId="24">
    <w:abstractNumId w:val="3"/>
  </w:num>
  <w:num w:numId="25">
    <w:abstractNumId w:val="0"/>
  </w:num>
  <w:num w:numId="26">
    <w:abstractNumId w:val="17"/>
  </w:num>
  <w:num w:numId="27">
    <w:abstractNumId w:val="11"/>
  </w:num>
  <w:num w:numId="28">
    <w:abstractNumId w:val="4"/>
  </w:num>
  <w:num w:numId="29">
    <w:abstractNumId w:val="14"/>
  </w:num>
  <w:num w:numId="30">
    <w:abstractNumId w:val="2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s-ES_tradnl" w:vendorID="64" w:dllVersion="6" w:nlCheck="1" w:checkStyle="0"/>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activeWritingStyle w:appName="MSWord" w:lang="es-ES_tradnl" w:vendorID="64" w:dllVersion="0" w:nlCheck="1" w:checkStyle="0"/>
  <w:activeWritingStyle w:appName="MSWord" w:lang="zh-CN" w:vendorID="64" w:dllVersion="0" w:nlCheck="1" w:checkStyle="1"/>
  <w:proofState w:spelling="clean" w:grammar="clean"/>
  <w:defaultTabStop w:val="720"/>
  <w:drawingGridHorizontalSpacing w:val="120"/>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YwtDC2MDeyNDY3NTJQ0lEKTi0uzszPAykwM60FAGVdQu4tAAAA"/>
    <w:docVar w:name="EN.InstantFormat" w:val="&lt;ENInstantFormat&gt;&lt;Enabled&gt;0&lt;/Enabled&gt;&lt;ScanUnformatted&gt;1&lt;/ScanUnformatted&gt;&lt;ScanChanges&gt;1&lt;/ScanChanges&gt;&lt;Suspended&gt;0&lt;/Suspended&gt;&lt;/ENInstantFormat&gt;"/>
    <w:docVar w:name="EN.Layout" w:val="&lt;ENLayout&gt;&lt;Style&gt;Harvard Copy-New style&lt;/Style&gt;&lt;LeftDelim&gt;{&lt;/LeftDelim&gt;&lt;RightDelim&gt;}&lt;/RightDelim&gt;&lt;FontName&gt;Times New Roman&lt;/FontName&gt;&lt;FontSize&gt;2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5etaz5aiszvz0edasvvpwvotttxepvd25t2&quot;&gt;Post Doc 2020-10&lt;record-ids&gt;&lt;item&gt;3&lt;/item&gt;&lt;item&gt;10&lt;/item&gt;&lt;item&gt;23&lt;/item&gt;&lt;item&gt;25&lt;/item&gt;&lt;item&gt;27&lt;/item&gt;&lt;item&gt;29&lt;/item&gt;&lt;item&gt;30&lt;/item&gt;&lt;item&gt;32&lt;/item&gt;&lt;item&gt;40&lt;/item&gt;&lt;item&gt;45&lt;/item&gt;&lt;item&gt;48&lt;/item&gt;&lt;item&gt;53&lt;/item&gt;&lt;item&gt;57&lt;/item&gt;&lt;item&gt;58&lt;/item&gt;&lt;item&gt;59&lt;/item&gt;&lt;item&gt;63&lt;/item&gt;&lt;item&gt;66&lt;/item&gt;&lt;item&gt;69&lt;/item&gt;&lt;item&gt;71&lt;/item&gt;&lt;item&gt;81&lt;/item&gt;&lt;item&gt;90&lt;/item&gt;&lt;item&gt;98&lt;/item&gt;&lt;item&gt;103&lt;/item&gt;&lt;item&gt;109&lt;/item&gt;&lt;item&gt;112&lt;/item&gt;&lt;item&gt;113&lt;/item&gt;&lt;item&gt;114&lt;/item&gt;&lt;item&gt;115&lt;/item&gt;&lt;item&gt;116&lt;/item&gt;&lt;item&gt;117&lt;/item&gt;&lt;item&gt;119&lt;/item&gt;&lt;item&gt;120&lt;/item&gt;&lt;item&gt;121&lt;/item&gt;&lt;item&gt;136&lt;/item&gt;&lt;item&gt;141&lt;/item&gt;&lt;item&gt;145&lt;/item&gt;&lt;item&gt;157&lt;/item&gt;&lt;item&gt;161&lt;/item&gt;&lt;item&gt;164&lt;/item&gt;&lt;item&gt;169&lt;/item&gt;&lt;item&gt;189&lt;/item&gt;&lt;item&gt;193&lt;/item&gt;&lt;item&gt;194&lt;/item&gt;&lt;item&gt;199&lt;/item&gt;&lt;item&gt;200&lt;/item&gt;&lt;item&gt;205&lt;/item&gt;&lt;item&gt;206&lt;/item&gt;&lt;item&gt;207&lt;/item&gt;&lt;item&gt;209&lt;/item&gt;&lt;item&gt;210&lt;/item&gt;&lt;item&gt;211&lt;/item&gt;&lt;item&gt;213&lt;/item&gt;&lt;item&gt;214&lt;/item&gt;&lt;item&gt;215&lt;/item&gt;&lt;item&gt;216&lt;/item&gt;&lt;item&gt;217&lt;/item&gt;&lt;item&gt;218&lt;/item&gt;&lt;item&gt;219&lt;/item&gt;&lt;item&gt;220&lt;/item&gt;&lt;item&gt;221&lt;/item&gt;&lt;item&gt;222&lt;/item&gt;&lt;item&gt;223&lt;/item&gt;&lt;item&gt;224&lt;/item&gt;&lt;item&gt;225&lt;/item&gt;&lt;item&gt;226&lt;/item&gt;&lt;item&gt;227&lt;/item&gt;&lt;item&gt;228&lt;/item&gt;&lt;item&gt;229&lt;/item&gt;&lt;item&gt;230&lt;/item&gt;&lt;item&gt;231&lt;/item&gt;&lt;item&gt;233&lt;/item&gt;&lt;item&gt;234&lt;/item&gt;&lt;item&gt;235&lt;/item&gt;&lt;item&gt;236&lt;/item&gt;&lt;item&gt;237&lt;/item&gt;&lt;item&gt;238&lt;/item&gt;&lt;item&gt;239&lt;/item&gt;&lt;item&gt;241&lt;/item&gt;&lt;item&gt;242&lt;/item&gt;&lt;item&gt;243&lt;/item&gt;&lt;item&gt;246&lt;/item&gt;&lt;item&gt;247&lt;/item&gt;&lt;item&gt;248&lt;/item&gt;&lt;item&gt;249&lt;/item&gt;&lt;item&gt;250&lt;/item&gt;&lt;item&gt;251&lt;/item&gt;&lt;item&gt;252&lt;/item&gt;&lt;item&gt;254&lt;/item&gt;&lt;item&gt;255&lt;/item&gt;&lt;item&gt;256&lt;/item&gt;&lt;/record-ids&gt;&lt;/item&gt;&lt;/Libraries&gt;"/>
  </w:docVars>
  <w:rsids>
    <w:rsidRoot w:val="00013E7D"/>
    <w:rsid w:val="0000015A"/>
    <w:rsid w:val="00001171"/>
    <w:rsid w:val="00001486"/>
    <w:rsid w:val="0000167A"/>
    <w:rsid w:val="00001BEA"/>
    <w:rsid w:val="00002435"/>
    <w:rsid w:val="00003499"/>
    <w:rsid w:val="00003655"/>
    <w:rsid w:val="00003D25"/>
    <w:rsid w:val="00003D6A"/>
    <w:rsid w:val="00003EE9"/>
    <w:rsid w:val="000040AC"/>
    <w:rsid w:val="000042F2"/>
    <w:rsid w:val="0000462D"/>
    <w:rsid w:val="00004638"/>
    <w:rsid w:val="0000486E"/>
    <w:rsid w:val="00004FC9"/>
    <w:rsid w:val="00004FEF"/>
    <w:rsid w:val="00005047"/>
    <w:rsid w:val="000051A9"/>
    <w:rsid w:val="000052E1"/>
    <w:rsid w:val="00005389"/>
    <w:rsid w:val="00005393"/>
    <w:rsid w:val="00005663"/>
    <w:rsid w:val="00005716"/>
    <w:rsid w:val="00005C15"/>
    <w:rsid w:val="00005CA9"/>
    <w:rsid w:val="0000688B"/>
    <w:rsid w:val="00006BF6"/>
    <w:rsid w:val="00006E15"/>
    <w:rsid w:val="00007017"/>
    <w:rsid w:val="000070BC"/>
    <w:rsid w:val="0000768E"/>
    <w:rsid w:val="00007B9E"/>
    <w:rsid w:val="00007C10"/>
    <w:rsid w:val="00007C2C"/>
    <w:rsid w:val="000100A9"/>
    <w:rsid w:val="000100C4"/>
    <w:rsid w:val="00010359"/>
    <w:rsid w:val="0001046F"/>
    <w:rsid w:val="000105B1"/>
    <w:rsid w:val="000105D6"/>
    <w:rsid w:val="00010604"/>
    <w:rsid w:val="00010807"/>
    <w:rsid w:val="000108FD"/>
    <w:rsid w:val="00010E01"/>
    <w:rsid w:val="000110BF"/>
    <w:rsid w:val="00011451"/>
    <w:rsid w:val="00011952"/>
    <w:rsid w:val="00011DAE"/>
    <w:rsid w:val="0001232A"/>
    <w:rsid w:val="000133F1"/>
    <w:rsid w:val="00013437"/>
    <w:rsid w:val="00013698"/>
    <w:rsid w:val="00013788"/>
    <w:rsid w:val="0001399E"/>
    <w:rsid w:val="00013E7D"/>
    <w:rsid w:val="00014014"/>
    <w:rsid w:val="00014869"/>
    <w:rsid w:val="00014898"/>
    <w:rsid w:val="00015986"/>
    <w:rsid w:val="000162A8"/>
    <w:rsid w:val="0001677B"/>
    <w:rsid w:val="0001677F"/>
    <w:rsid w:val="00016956"/>
    <w:rsid w:val="00016F3B"/>
    <w:rsid w:val="000178C7"/>
    <w:rsid w:val="00017A32"/>
    <w:rsid w:val="0002007C"/>
    <w:rsid w:val="00020234"/>
    <w:rsid w:val="000210C6"/>
    <w:rsid w:val="00021794"/>
    <w:rsid w:val="000218C6"/>
    <w:rsid w:val="00022632"/>
    <w:rsid w:val="000229AF"/>
    <w:rsid w:val="00022E5E"/>
    <w:rsid w:val="000239AC"/>
    <w:rsid w:val="000239CF"/>
    <w:rsid w:val="00023C2C"/>
    <w:rsid w:val="00023F9B"/>
    <w:rsid w:val="0002461D"/>
    <w:rsid w:val="00024925"/>
    <w:rsid w:val="00025C13"/>
    <w:rsid w:val="00025EA7"/>
    <w:rsid w:val="00026029"/>
    <w:rsid w:val="000265E8"/>
    <w:rsid w:val="000269CB"/>
    <w:rsid w:val="00026A4D"/>
    <w:rsid w:val="00026EAE"/>
    <w:rsid w:val="00027065"/>
    <w:rsid w:val="000302B1"/>
    <w:rsid w:val="000306D9"/>
    <w:rsid w:val="00030720"/>
    <w:rsid w:val="000307C4"/>
    <w:rsid w:val="00030A03"/>
    <w:rsid w:val="00030A75"/>
    <w:rsid w:val="00030B1F"/>
    <w:rsid w:val="00030E64"/>
    <w:rsid w:val="00031116"/>
    <w:rsid w:val="00031506"/>
    <w:rsid w:val="00031643"/>
    <w:rsid w:val="000317FE"/>
    <w:rsid w:val="00031FA7"/>
    <w:rsid w:val="000320DA"/>
    <w:rsid w:val="00032166"/>
    <w:rsid w:val="000323E1"/>
    <w:rsid w:val="00032AD2"/>
    <w:rsid w:val="00032FEE"/>
    <w:rsid w:val="00033187"/>
    <w:rsid w:val="000331AE"/>
    <w:rsid w:val="000332D5"/>
    <w:rsid w:val="0003373D"/>
    <w:rsid w:val="00033B32"/>
    <w:rsid w:val="00033B7C"/>
    <w:rsid w:val="00034054"/>
    <w:rsid w:val="00034071"/>
    <w:rsid w:val="00034DD5"/>
    <w:rsid w:val="0003521C"/>
    <w:rsid w:val="00035552"/>
    <w:rsid w:val="000355A6"/>
    <w:rsid w:val="000355CB"/>
    <w:rsid w:val="0003650B"/>
    <w:rsid w:val="00036AB6"/>
    <w:rsid w:val="00037935"/>
    <w:rsid w:val="00037B5E"/>
    <w:rsid w:val="00037F9F"/>
    <w:rsid w:val="00040279"/>
    <w:rsid w:val="0004030E"/>
    <w:rsid w:val="000408B8"/>
    <w:rsid w:val="0004099C"/>
    <w:rsid w:val="000409BF"/>
    <w:rsid w:val="0004154E"/>
    <w:rsid w:val="000415C0"/>
    <w:rsid w:val="00041741"/>
    <w:rsid w:val="00041F51"/>
    <w:rsid w:val="0004204D"/>
    <w:rsid w:val="0004249A"/>
    <w:rsid w:val="00042ABB"/>
    <w:rsid w:val="00042BD6"/>
    <w:rsid w:val="00042D4E"/>
    <w:rsid w:val="00042D6F"/>
    <w:rsid w:val="00042ED5"/>
    <w:rsid w:val="00043150"/>
    <w:rsid w:val="0004376D"/>
    <w:rsid w:val="00043BCE"/>
    <w:rsid w:val="00044797"/>
    <w:rsid w:val="00044807"/>
    <w:rsid w:val="00044DEC"/>
    <w:rsid w:val="00044EDB"/>
    <w:rsid w:val="00044FA1"/>
    <w:rsid w:val="00045231"/>
    <w:rsid w:val="00045741"/>
    <w:rsid w:val="00045C67"/>
    <w:rsid w:val="00045C88"/>
    <w:rsid w:val="000462DF"/>
    <w:rsid w:val="000465D2"/>
    <w:rsid w:val="00046B13"/>
    <w:rsid w:val="00046F1F"/>
    <w:rsid w:val="00047078"/>
    <w:rsid w:val="00047554"/>
    <w:rsid w:val="00050200"/>
    <w:rsid w:val="0005064B"/>
    <w:rsid w:val="00050818"/>
    <w:rsid w:val="00050B98"/>
    <w:rsid w:val="00050DD1"/>
    <w:rsid w:val="00050E0E"/>
    <w:rsid w:val="000514CD"/>
    <w:rsid w:val="00051831"/>
    <w:rsid w:val="00052437"/>
    <w:rsid w:val="0005256C"/>
    <w:rsid w:val="00052CDB"/>
    <w:rsid w:val="000533C1"/>
    <w:rsid w:val="000538C0"/>
    <w:rsid w:val="00053BFC"/>
    <w:rsid w:val="000541D4"/>
    <w:rsid w:val="00054582"/>
    <w:rsid w:val="000547E4"/>
    <w:rsid w:val="00055552"/>
    <w:rsid w:val="0005578F"/>
    <w:rsid w:val="00055845"/>
    <w:rsid w:val="00055D29"/>
    <w:rsid w:val="000560C0"/>
    <w:rsid w:val="0005639C"/>
    <w:rsid w:val="00056B3B"/>
    <w:rsid w:val="00056B70"/>
    <w:rsid w:val="00057110"/>
    <w:rsid w:val="00057529"/>
    <w:rsid w:val="00060810"/>
    <w:rsid w:val="00060FF2"/>
    <w:rsid w:val="00061B13"/>
    <w:rsid w:val="00061B8A"/>
    <w:rsid w:val="00061BF1"/>
    <w:rsid w:val="00062700"/>
    <w:rsid w:val="000628A8"/>
    <w:rsid w:val="00062BA1"/>
    <w:rsid w:val="00062C92"/>
    <w:rsid w:val="00062DF0"/>
    <w:rsid w:val="00062EA1"/>
    <w:rsid w:val="0006343B"/>
    <w:rsid w:val="00063B52"/>
    <w:rsid w:val="00063E79"/>
    <w:rsid w:val="00064890"/>
    <w:rsid w:val="00065289"/>
    <w:rsid w:val="000659BC"/>
    <w:rsid w:val="00065A95"/>
    <w:rsid w:val="00065C01"/>
    <w:rsid w:val="00065FAC"/>
    <w:rsid w:val="00066671"/>
    <w:rsid w:val="00066A96"/>
    <w:rsid w:val="00067310"/>
    <w:rsid w:val="0006745B"/>
    <w:rsid w:val="000678E2"/>
    <w:rsid w:val="00067D71"/>
    <w:rsid w:val="000701F5"/>
    <w:rsid w:val="000704DE"/>
    <w:rsid w:val="00070F6D"/>
    <w:rsid w:val="000710EF"/>
    <w:rsid w:val="00071293"/>
    <w:rsid w:val="00071742"/>
    <w:rsid w:val="00071E0A"/>
    <w:rsid w:val="00071F93"/>
    <w:rsid w:val="0007223B"/>
    <w:rsid w:val="00072484"/>
    <w:rsid w:val="00072914"/>
    <w:rsid w:val="00072E1B"/>
    <w:rsid w:val="00072FA7"/>
    <w:rsid w:val="000731D7"/>
    <w:rsid w:val="000733A2"/>
    <w:rsid w:val="00073716"/>
    <w:rsid w:val="0007394A"/>
    <w:rsid w:val="000739CE"/>
    <w:rsid w:val="00073AE2"/>
    <w:rsid w:val="00073AEB"/>
    <w:rsid w:val="00073F26"/>
    <w:rsid w:val="00074342"/>
    <w:rsid w:val="00074B03"/>
    <w:rsid w:val="00074C89"/>
    <w:rsid w:val="0007533C"/>
    <w:rsid w:val="000756A1"/>
    <w:rsid w:val="00075AF4"/>
    <w:rsid w:val="00075B26"/>
    <w:rsid w:val="000768BE"/>
    <w:rsid w:val="00077749"/>
    <w:rsid w:val="00077B06"/>
    <w:rsid w:val="00077DA5"/>
    <w:rsid w:val="00080242"/>
    <w:rsid w:val="00080A3A"/>
    <w:rsid w:val="00080EB6"/>
    <w:rsid w:val="00081853"/>
    <w:rsid w:val="00081C7F"/>
    <w:rsid w:val="00081D74"/>
    <w:rsid w:val="00082125"/>
    <w:rsid w:val="000825E7"/>
    <w:rsid w:val="00082755"/>
    <w:rsid w:val="00082AD9"/>
    <w:rsid w:val="00082EDC"/>
    <w:rsid w:val="0008320F"/>
    <w:rsid w:val="0008353A"/>
    <w:rsid w:val="00083812"/>
    <w:rsid w:val="0008396C"/>
    <w:rsid w:val="00083E69"/>
    <w:rsid w:val="00083FA1"/>
    <w:rsid w:val="00084887"/>
    <w:rsid w:val="00084B0A"/>
    <w:rsid w:val="00085087"/>
    <w:rsid w:val="00085270"/>
    <w:rsid w:val="000853D7"/>
    <w:rsid w:val="000854F9"/>
    <w:rsid w:val="00086038"/>
    <w:rsid w:val="000861DA"/>
    <w:rsid w:val="000869D0"/>
    <w:rsid w:val="000875A1"/>
    <w:rsid w:val="000879A1"/>
    <w:rsid w:val="00090244"/>
    <w:rsid w:val="00090472"/>
    <w:rsid w:val="00090547"/>
    <w:rsid w:val="00090915"/>
    <w:rsid w:val="00090F9D"/>
    <w:rsid w:val="00091022"/>
    <w:rsid w:val="000910C2"/>
    <w:rsid w:val="0009126E"/>
    <w:rsid w:val="0009164D"/>
    <w:rsid w:val="00091856"/>
    <w:rsid w:val="000918EA"/>
    <w:rsid w:val="00091BD5"/>
    <w:rsid w:val="000920CE"/>
    <w:rsid w:val="0009263F"/>
    <w:rsid w:val="00092DC1"/>
    <w:rsid w:val="0009311C"/>
    <w:rsid w:val="000935FA"/>
    <w:rsid w:val="00093CCC"/>
    <w:rsid w:val="0009473F"/>
    <w:rsid w:val="00094FBD"/>
    <w:rsid w:val="0009505E"/>
    <w:rsid w:val="00095383"/>
    <w:rsid w:val="00095A16"/>
    <w:rsid w:val="00095D65"/>
    <w:rsid w:val="00096084"/>
    <w:rsid w:val="000965D2"/>
    <w:rsid w:val="00096788"/>
    <w:rsid w:val="00096E25"/>
    <w:rsid w:val="00097203"/>
    <w:rsid w:val="00097BC2"/>
    <w:rsid w:val="00097FB4"/>
    <w:rsid w:val="000A0101"/>
    <w:rsid w:val="000A11CA"/>
    <w:rsid w:val="000A1229"/>
    <w:rsid w:val="000A12C8"/>
    <w:rsid w:val="000A1616"/>
    <w:rsid w:val="000A1977"/>
    <w:rsid w:val="000A2206"/>
    <w:rsid w:val="000A2221"/>
    <w:rsid w:val="000A23CC"/>
    <w:rsid w:val="000A2A85"/>
    <w:rsid w:val="000A31BE"/>
    <w:rsid w:val="000A35D1"/>
    <w:rsid w:val="000A3865"/>
    <w:rsid w:val="000A4419"/>
    <w:rsid w:val="000A445B"/>
    <w:rsid w:val="000A475B"/>
    <w:rsid w:val="000A4ADB"/>
    <w:rsid w:val="000A4E8C"/>
    <w:rsid w:val="000A501A"/>
    <w:rsid w:val="000A50AF"/>
    <w:rsid w:val="000A562A"/>
    <w:rsid w:val="000A580A"/>
    <w:rsid w:val="000A5814"/>
    <w:rsid w:val="000A5E04"/>
    <w:rsid w:val="000A6177"/>
    <w:rsid w:val="000A6357"/>
    <w:rsid w:val="000A6E90"/>
    <w:rsid w:val="000A7B0F"/>
    <w:rsid w:val="000A7CE9"/>
    <w:rsid w:val="000B0A3D"/>
    <w:rsid w:val="000B0B30"/>
    <w:rsid w:val="000B0B76"/>
    <w:rsid w:val="000B12B2"/>
    <w:rsid w:val="000B1765"/>
    <w:rsid w:val="000B1879"/>
    <w:rsid w:val="000B1F68"/>
    <w:rsid w:val="000B2FD1"/>
    <w:rsid w:val="000B30A4"/>
    <w:rsid w:val="000B3391"/>
    <w:rsid w:val="000B3693"/>
    <w:rsid w:val="000B3882"/>
    <w:rsid w:val="000B38B6"/>
    <w:rsid w:val="000B4A54"/>
    <w:rsid w:val="000B4C89"/>
    <w:rsid w:val="000B55FB"/>
    <w:rsid w:val="000B6A80"/>
    <w:rsid w:val="000B7073"/>
    <w:rsid w:val="000B7753"/>
    <w:rsid w:val="000B7D54"/>
    <w:rsid w:val="000B7DCF"/>
    <w:rsid w:val="000B7F84"/>
    <w:rsid w:val="000B7F9C"/>
    <w:rsid w:val="000C01F2"/>
    <w:rsid w:val="000C0522"/>
    <w:rsid w:val="000C06D7"/>
    <w:rsid w:val="000C0986"/>
    <w:rsid w:val="000C1A73"/>
    <w:rsid w:val="000C209D"/>
    <w:rsid w:val="000C22AD"/>
    <w:rsid w:val="000C25CF"/>
    <w:rsid w:val="000C2962"/>
    <w:rsid w:val="000C2A4C"/>
    <w:rsid w:val="000C2D32"/>
    <w:rsid w:val="000C31E8"/>
    <w:rsid w:val="000C3440"/>
    <w:rsid w:val="000C3972"/>
    <w:rsid w:val="000C3A0A"/>
    <w:rsid w:val="000C3A27"/>
    <w:rsid w:val="000C3C61"/>
    <w:rsid w:val="000C40B0"/>
    <w:rsid w:val="000C45A2"/>
    <w:rsid w:val="000C4880"/>
    <w:rsid w:val="000C488A"/>
    <w:rsid w:val="000C4B39"/>
    <w:rsid w:val="000C555F"/>
    <w:rsid w:val="000C5785"/>
    <w:rsid w:val="000C5CCC"/>
    <w:rsid w:val="000C5FCE"/>
    <w:rsid w:val="000C6ADF"/>
    <w:rsid w:val="000C6AEC"/>
    <w:rsid w:val="000C7774"/>
    <w:rsid w:val="000C78E7"/>
    <w:rsid w:val="000C7CCE"/>
    <w:rsid w:val="000C7D43"/>
    <w:rsid w:val="000D0057"/>
    <w:rsid w:val="000D03CB"/>
    <w:rsid w:val="000D0417"/>
    <w:rsid w:val="000D058B"/>
    <w:rsid w:val="000D06CE"/>
    <w:rsid w:val="000D09B4"/>
    <w:rsid w:val="000D09D3"/>
    <w:rsid w:val="000D0A69"/>
    <w:rsid w:val="000D1526"/>
    <w:rsid w:val="000D1F87"/>
    <w:rsid w:val="000D263E"/>
    <w:rsid w:val="000D2BAA"/>
    <w:rsid w:val="000D2D8C"/>
    <w:rsid w:val="000D31D5"/>
    <w:rsid w:val="000D3674"/>
    <w:rsid w:val="000D3B4C"/>
    <w:rsid w:val="000D3C27"/>
    <w:rsid w:val="000D417A"/>
    <w:rsid w:val="000D41CF"/>
    <w:rsid w:val="000D4819"/>
    <w:rsid w:val="000D49F3"/>
    <w:rsid w:val="000D5218"/>
    <w:rsid w:val="000D582E"/>
    <w:rsid w:val="000D602C"/>
    <w:rsid w:val="000D611C"/>
    <w:rsid w:val="000D626F"/>
    <w:rsid w:val="000D6667"/>
    <w:rsid w:val="000D6D51"/>
    <w:rsid w:val="000D6FE1"/>
    <w:rsid w:val="000D7102"/>
    <w:rsid w:val="000D761F"/>
    <w:rsid w:val="000D79F7"/>
    <w:rsid w:val="000D7DB3"/>
    <w:rsid w:val="000E080C"/>
    <w:rsid w:val="000E0AA5"/>
    <w:rsid w:val="000E15FD"/>
    <w:rsid w:val="000E1867"/>
    <w:rsid w:val="000E1A06"/>
    <w:rsid w:val="000E1BA2"/>
    <w:rsid w:val="000E1F73"/>
    <w:rsid w:val="000E2539"/>
    <w:rsid w:val="000E2D1E"/>
    <w:rsid w:val="000E2F0D"/>
    <w:rsid w:val="000E3759"/>
    <w:rsid w:val="000E3850"/>
    <w:rsid w:val="000E39C8"/>
    <w:rsid w:val="000E3F0F"/>
    <w:rsid w:val="000E4BE1"/>
    <w:rsid w:val="000E4F3D"/>
    <w:rsid w:val="000E59EF"/>
    <w:rsid w:val="000E6391"/>
    <w:rsid w:val="000E6FD5"/>
    <w:rsid w:val="000E71CA"/>
    <w:rsid w:val="000E759C"/>
    <w:rsid w:val="000E7810"/>
    <w:rsid w:val="000E7B9F"/>
    <w:rsid w:val="000E7C0D"/>
    <w:rsid w:val="000F010F"/>
    <w:rsid w:val="000F05C9"/>
    <w:rsid w:val="000F071E"/>
    <w:rsid w:val="000F093E"/>
    <w:rsid w:val="000F1023"/>
    <w:rsid w:val="000F153C"/>
    <w:rsid w:val="000F164F"/>
    <w:rsid w:val="000F17E9"/>
    <w:rsid w:val="000F1AA5"/>
    <w:rsid w:val="000F1C1B"/>
    <w:rsid w:val="000F1EBD"/>
    <w:rsid w:val="000F2816"/>
    <w:rsid w:val="000F2EEB"/>
    <w:rsid w:val="000F309D"/>
    <w:rsid w:val="000F3432"/>
    <w:rsid w:val="000F3658"/>
    <w:rsid w:val="000F3F8B"/>
    <w:rsid w:val="000F4536"/>
    <w:rsid w:val="000F4883"/>
    <w:rsid w:val="000F499F"/>
    <w:rsid w:val="000F5216"/>
    <w:rsid w:val="000F55CA"/>
    <w:rsid w:val="000F5911"/>
    <w:rsid w:val="000F5E6E"/>
    <w:rsid w:val="000F5F38"/>
    <w:rsid w:val="000F6123"/>
    <w:rsid w:val="000F61BC"/>
    <w:rsid w:val="000F662B"/>
    <w:rsid w:val="000F69F3"/>
    <w:rsid w:val="000F6C0C"/>
    <w:rsid w:val="000F6E15"/>
    <w:rsid w:val="000F71C3"/>
    <w:rsid w:val="000F71D6"/>
    <w:rsid w:val="000F72CD"/>
    <w:rsid w:val="000F72D3"/>
    <w:rsid w:val="000F7350"/>
    <w:rsid w:val="000F7648"/>
    <w:rsid w:val="000F77A0"/>
    <w:rsid w:val="000F7A42"/>
    <w:rsid w:val="000F7B85"/>
    <w:rsid w:val="000F7C1D"/>
    <w:rsid w:val="000F7E07"/>
    <w:rsid w:val="000F7E88"/>
    <w:rsid w:val="00100498"/>
    <w:rsid w:val="001005BC"/>
    <w:rsid w:val="0010087F"/>
    <w:rsid w:val="00100B4B"/>
    <w:rsid w:val="00100B69"/>
    <w:rsid w:val="001013D1"/>
    <w:rsid w:val="001015C0"/>
    <w:rsid w:val="00101874"/>
    <w:rsid w:val="00101BA0"/>
    <w:rsid w:val="0010216D"/>
    <w:rsid w:val="00102D71"/>
    <w:rsid w:val="00103356"/>
    <w:rsid w:val="001035BD"/>
    <w:rsid w:val="00103F2B"/>
    <w:rsid w:val="001040D3"/>
    <w:rsid w:val="0010422E"/>
    <w:rsid w:val="0010449B"/>
    <w:rsid w:val="0010457D"/>
    <w:rsid w:val="00104C08"/>
    <w:rsid w:val="00104D6A"/>
    <w:rsid w:val="00104E65"/>
    <w:rsid w:val="00104E68"/>
    <w:rsid w:val="00104FA3"/>
    <w:rsid w:val="001050DA"/>
    <w:rsid w:val="00105856"/>
    <w:rsid w:val="00105AA0"/>
    <w:rsid w:val="00105C94"/>
    <w:rsid w:val="0010617E"/>
    <w:rsid w:val="001061D9"/>
    <w:rsid w:val="0010766A"/>
    <w:rsid w:val="00107ECE"/>
    <w:rsid w:val="001100EE"/>
    <w:rsid w:val="001101E0"/>
    <w:rsid w:val="00110982"/>
    <w:rsid w:val="00111219"/>
    <w:rsid w:val="00111BBE"/>
    <w:rsid w:val="00112A92"/>
    <w:rsid w:val="001134A5"/>
    <w:rsid w:val="001138E2"/>
    <w:rsid w:val="00113B58"/>
    <w:rsid w:val="00113F2E"/>
    <w:rsid w:val="001140CC"/>
    <w:rsid w:val="0011431C"/>
    <w:rsid w:val="00114D15"/>
    <w:rsid w:val="001152E3"/>
    <w:rsid w:val="00115E13"/>
    <w:rsid w:val="00117D31"/>
    <w:rsid w:val="00117F93"/>
    <w:rsid w:val="00120093"/>
    <w:rsid w:val="00120292"/>
    <w:rsid w:val="001206C3"/>
    <w:rsid w:val="001207E9"/>
    <w:rsid w:val="00120941"/>
    <w:rsid w:val="00120BCB"/>
    <w:rsid w:val="00120F40"/>
    <w:rsid w:val="001214A3"/>
    <w:rsid w:val="00121A85"/>
    <w:rsid w:val="00122D9A"/>
    <w:rsid w:val="00123187"/>
    <w:rsid w:val="0012332E"/>
    <w:rsid w:val="00123BCC"/>
    <w:rsid w:val="00124250"/>
    <w:rsid w:val="0012489F"/>
    <w:rsid w:val="00124CAA"/>
    <w:rsid w:val="0012532A"/>
    <w:rsid w:val="001262D9"/>
    <w:rsid w:val="001267F0"/>
    <w:rsid w:val="00127204"/>
    <w:rsid w:val="001276C2"/>
    <w:rsid w:val="00127EBC"/>
    <w:rsid w:val="00127F93"/>
    <w:rsid w:val="001304B4"/>
    <w:rsid w:val="00130822"/>
    <w:rsid w:val="001310E4"/>
    <w:rsid w:val="001314D4"/>
    <w:rsid w:val="00131832"/>
    <w:rsid w:val="0013184C"/>
    <w:rsid w:val="00131B8A"/>
    <w:rsid w:val="00132256"/>
    <w:rsid w:val="00132E4B"/>
    <w:rsid w:val="00132F4C"/>
    <w:rsid w:val="0013331D"/>
    <w:rsid w:val="00133824"/>
    <w:rsid w:val="00133DB3"/>
    <w:rsid w:val="00133DF2"/>
    <w:rsid w:val="00133F47"/>
    <w:rsid w:val="00134238"/>
    <w:rsid w:val="001343A4"/>
    <w:rsid w:val="00134BAD"/>
    <w:rsid w:val="00134F8B"/>
    <w:rsid w:val="00135188"/>
    <w:rsid w:val="00135FAB"/>
    <w:rsid w:val="00135FDA"/>
    <w:rsid w:val="00136290"/>
    <w:rsid w:val="00136547"/>
    <w:rsid w:val="001365ED"/>
    <w:rsid w:val="001367E5"/>
    <w:rsid w:val="00136C59"/>
    <w:rsid w:val="00136EFE"/>
    <w:rsid w:val="0013773A"/>
    <w:rsid w:val="00137759"/>
    <w:rsid w:val="00137D38"/>
    <w:rsid w:val="00140123"/>
    <w:rsid w:val="001402A3"/>
    <w:rsid w:val="00140517"/>
    <w:rsid w:val="00140594"/>
    <w:rsid w:val="00140A7A"/>
    <w:rsid w:val="00140BAF"/>
    <w:rsid w:val="00140D7C"/>
    <w:rsid w:val="00142582"/>
    <w:rsid w:val="00142D40"/>
    <w:rsid w:val="001431BE"/>
    <w:rsid w:val="001441DE"/>
    <w:rsid w:val="00144339"/>
    <w:rsid w:val="00144575"/>
    <w:rsid w:val="00144AD8"/>
    <w:rsid w:val="00145444"/>
    <w:rsid w:val="00145550"/>
    <w:rsid w:val="00145F09"/>
    <w:rsid w:val="00147375"/>
    <w:rsid w:val="00147A19"/>
    <w:rsid w:val="00147A55"/>
    <w:rsid w:val="00147E55"/>
    <w:rsid w:val="00147F54"/>
    <w:rsid w:val="001503B5"/>
    <w:rsid w:val="00150527"/>
    <w:rsid w:val="00150B4E"/>
    <w:rsid w:val="001516A3"/>
    <w:rsid w:val="001517EF"/>
    <w:rsid w:val="00151DE4"/>
    <w:rsid w:val="0015223A"/>
    <w:rsid w:val="00152A3A"/>
    <w:rsid w:val="00152A7D"/>
    <w:rsid w:val="00152DB5"/>
    <w:rsid w:val="00152FFB"/>
    <w:rsid w:val="001531CC"/>
    <w:rsid w:val="0015321B"/>
    <w:rsid w:val="00153995"/>
    <w:rsid w:val="00154349"/>
    <w:rsid w:val="00154DAF"/>
    <w:rsid w:val="00154E11"/>
    <w:rsid w:val="00154E8F"/>
    <w:rsid w:val="00155561"/>
    <w:rsid w:val="0015589B"/>
    <w:rsid w:val="001558EF"/>
    <w:rsid w:val="00155B66"/>
    <w:rsid w:val="00156022"/>
    <w:rsid w:val="0015623A"/>
    <w:rsid w:val="001564D1"/>
    <w:rsid w:val="00157619"/>
    <w:rsid w:val="001577A5"/>
    <w:rsid w:val="00157B60"/>
    <w:rsid w:val="00157D83"/>
    <w:rsid w:val="0016006F"/>
    <w:rsid w:val="00160A8F"/>
    <w:rsid w:val="00161131"/>
    <w:rsid w:val="0016138B"/>
    <w:rsid w:val="0016154A"/>
    <w:rsid w:val="001615DE"/>
    <w:rsid w:val="00161989"/>
    <w:rsid w:val="00161DE0"/>
    <w:rsid w:val="00161FA0"/>
    <w:rsid w:val="001624AE"/>
    <w:rsid w:val="001625B8"/>
    <w:rsid w:val="001628A1"/>
    <w:rsid w:val="0016291E"/>
    <w:rsid w:val="0016295C"/>
    <w:rsid w:val="00163270"/>
    <w:rsid w:val="001632C8"/>
    <w:rsid w:val="0016333F"/>
    <w:rsid w:val="001639E2"/>
    <w:rsid w:val="00163B0D"/>
    <w:rsid w:val="00163D1C"/>
    <w:rsid w:val="001640F2"/>
    <w:rsid w:val="0016411B"/>
    <w:rsid w:val="00164520"/>
    <w:rsid w:val="001645A8"/>
    <w:rsid w:val="001648E1"/>
    <w:rsid w:val="001652D1"/>
    <w:rsid w:val="00165B77"/>
    <w:rsid w:val="00166233"/>
    <w:rsid w:val="00166503"/>
    <w:rsid w:val="00166795"/>
    <w:rsid w:val="00166C00"/>
    <w:rsid w:val="00166D92"/>
    <w:rsid w:val="00166E81"/>
    <w:rsid w:val="00167AAA"/>
    <w:rsid w:val="001700F8"/>
    <w:rsid w:val="001704C3"/>
    <w:rsid w:val="0017081C"/>
    <w:rsid w:val="00171347"/>
    <w:rsid w:val="00171CCE"/>
    <w:rsid w:val="001721E9"/>
    <w:rsid w:val="001722C2"/>
    <w:rsid w:val="00172CCC"/>
    <w:rsid w:val="00172D59"/>
    <w:rsid w:val="001738F5"/>
    <w:rsid w:val="00174572"/>
    <w:rsid w:val="0017490E"/>
    <w:rsid w:val="00174C5A"/>
    <w:rsid w:val="00174DD8"/>
    <w:rsid w:val="0017529D"/>
    <w:rsid w:val="0017598F"/>
    <w:rsid w:val="00175B9C"/>
    <w:rsid w:val="001760FA"/>
    <w:rsid w:val="001761B1"/>
    <w:rsid w:val="001765CB"/>
    <w:rsid w:val="00176CD9"/>
    <w:rsid w:val="00176D32"/>
    <w:rsid w:val="00177188"/>
    <w:rsid w:val="00177645"/>
    <w:rsid w:val="00177BCD"/>
    <w:rsid w:val="00177C35"/>
    <w:rsid w:val="001802EF"/>
    <w:rsid w:val="001803DA"/>
    <w:rsid w:val="00180605"/>
    <w:rsid w:val="00180A28"/>
    <w:rsid w:val="00180F3C"/>
    <w:rsid w:val="0018136E"/>
    <w:rsid w:val="0018145C"/>
    <w:rsid w:val="0018213D"/>
    <w:rsid w:val="001823C2"/>
    <w:rsid w:val="00182481"/>
    <w:rsid w:val="0018296A"/>
    <w:rsid w:val="00182B71"/>
    <w:rsid w:val="00182E19"/>
    <w:rsid w:val="0018353C"/>
    <w:rsid w:val="00183C70"/>
    <w:rsid w:val="001849D8"/>
    <w:rsid w:val="00185241"/>
    <w:rsid w:val="00185AD4"/>
    <w:rsid w:val="00185DD1"/>
    <w:rsid w:val="00185F93"/>
    <w:rsid w:val="0018686C"/>
    <w:rsid w:val="00186F26"/>
    <w:rsid w:val="0018787D"/>
    <w:rsid w:val="00187A9C"/>
    <w:rsid w:val="00187BC1"/>
    <w:rsid w:val="0019009C"/>
    <w:rsid w:val="00190298"/>
    <w:rsid w:val="00190430"/>
    <w:rsid w:val="00190B6A"/>
    <w:rsid w:val="00191400"/>
    <w:rsid w:val="001918FD"/>
    <w:rsid w:val="00191B02"/>
    <w:rsid w:val="00191C1B"/>
    <w:rsid w:val="00192169"/>
    <w:rsid w:val="00192EBD"/>
    <w:rsid w:val="00193462"/>
    <w:rsid w:val="00193663"/>
    <w:rsid w:val="0019424D"/>
    <w:rsid w:val="00194484"/>
    <w:rsid w:val="001944C4"/>
    <w:rsid w:val="0019463F"/>
    <w:rsid w:val="00194832"/>
    <w:rsid w:val="00194C34"/>
    <w:rsid w:val="001952CF"/>
    <w:rsid w:val="00195DF6"/>
    <w:rsid w:val="00195DFE"/>
    <w:rsid w:val="001960A9"/>
    <w:rsid w:val="00196980"/>
    <w:rsid w:val="00196A33"/>
    <w:rsid w:val="00196CEF"/>
    <w:rsid w:val="00196D97"/>
    <w:rsid w:val="00196FC4"/>
    <w:rsid w:val="00197030"/>
    <w:rsid w:val="001972A3"/>
    <w:rsid w:val="00197541"/>
    <w:rsid w:val="001975DA"/>
    <w:rsid w:val="00197D38"/>
    <w:rsid w:val="00197E93"/>
    <w:rsid w:val="00197EEB"/>
    <w:rsid w:val="00197F63"/>
    <w:rsid w:val="001A02DF"/>
    <w:rsid w:val="001A0392"/>
    <w:rsid w:val="001A059A"/>
    <w:rsid w:val="001A08FB"/>
    <w:rsid w:val="001A0CE3"/>
    <w:rsid w:val="001A0DA5"/>
    <w:rsid w:val="001A0DB5"/>
    <w:rsid w:val="001A0E08"/>
    <w:rsid w:val="001A0E28"/>
    <w:rsid w:val="001A0E77"/>
    <w:rsid w:val="001A1549"/>
    <w:rsid w:val="001A15D3"/>
    <w:rsid w:val="001A1607"/>
    <w:rsid w:val="001A18B2"/>
    <w:rsid w:val="001A19FE"/>
    <w:rsid w:val="001A1E25"/>
    <w:rsid w:val="001A2409"/>
    <w:rsid w:val="001A3973"/>
    <w:rsid w:val="001A4615"/>
    <w:rsid w:val="001A4740"/>
    <w:rsid w:val="001A505D"/>
    <w:rsid w:val="001A5333"/>
    <w:rsid w:val="001A53E9"/>
    <w:rsid w:val="001A5403"/>
    <w:rsid w:val="001A57FF"/>
    <w:rsid w:val="001A5B7F"/>
    <w:rsid w:val="001A69C3"/>
    <w:rsid w:val="001A7500"/>
    <w:rsid w:val="001A7892"/>
    <w:rsid w:val="001B00A3"/>
    <w:rsid w:val="001B011E"/>
    <w:rsid w:val="001B0674"/>
    <w:rsid w:val="001B09B7"/>
    <w:rsid w:val="001B13E9"/>
    <w:rsid w:val="001B1530"/>
    <w:rsid w:val="001B186D"/>
    <w:rsid w:val="001B220C"/>
    <w:rsid w:val="001B2418"/>
    <w:rsid w:val="001B3C1C"/>
    <w:rsid w:val="001B411C"/>
    <w:rsid w:val="001B4A0D"/>
    <w:rsid w:val="001B4A87"/>
    <w:rsid w:val="001B4C21"/>
    <w:rsid w:val="001B4DDD"/>
    <w:rsid w:val="001B4E00"/>
    <w:rsid w:val="001B4FBC"/>
    <w:rsid w:val="001B5880"/>
    <w:rsid w:val="001B5F40"/>
    <w:rsid w:val="001B6751"/>
    <w:rsid w:val="001B6ADE"/>
    <w:rsid w:val="001B7554"/>
    <w:rsid w:val="001B7669"/>
    <w:rsid w:val="001C01BB"/>
    <w:rsid w:val="001C02EB"/>
    <w:rsid w:val="001C033E"/>
    <w:rsid w:val="001C0470"/>
    <w:rsid w:val="001C0924"/>
    <w:rsid w:val="001C0973"/>
    <w:rsid w:val="001C116E"/>
    <w:rsid w:val="001C1316"/>
    <w:rsid w:val="001C16F0"/>
    <w:rsid w:val="001C1AB7"/>
    <w:rsid w:val="001C2137"/>
    <w:rsid w:val="001C2FF5"/>
    <w:rsid w:val="001C3391"/>
    <w:rsid w:val="001C3642"/>
    <w:rsid w:val="001C3B9A"/>
    <w:rsid w:val="001C3C49"/>
    <w:rsid w:val="001C3D03"/>
    <w:rsid w:val="001C3D94"/>
    <w:rsid w:val="001C3F11"/>
    <w:rsid w:val="001C4667"/>
    <w:rsid w:val="001C4D94"/>
    <w:rsid w:val="001C6322"/>
    <w:rsid w:val="001C6C48"/>
    <w:rsid w:val="001C7226"/>
    <w:rsid w:val="001C7716"/>
    <w:rsid w:val="001C77BB"/>
    <w:rsid w:val="001C7D9E"/>
    <w:rsid w:val="001C7E2C"/>
    <w:rsid w:val="001C7E3C"/>
    <w:rsid w:val="001D02C8"/>
    <w:rsid w:val="001D0741"/>
    <w:rsid w:val="001D1627"/>
    <w:rsid w:val="001D1C5C"/>
    <w:rsid w:val="001D1E47"/>
    <w:rsid w:val="001D2122"/>
    <w:rsid w:val="001D262E"/>
    <w:rsid w:val="001D289F"/>
    <w:rsid w:val="001D2EC2"/>
    <w:rsid w:val="001D2ECC"/>
    <w:rsid w:val="001D3162"/>
    <w:rsid w:val="001D354C"/>
    <w:rsid w:val="001D3B9B"/>
    <w:rsid w:val="001D4238"/>
    <w:rsid w:val="001D4250"/>
    <w:rsid w:val="001D46E3"/>
    <w:rsid w:val="001D4B48"/>
    <w:rsid w:val="001D4C38"/>
    <w:rsid w:val="001D4F02"/>
    <w:rsid w:val="001D4F55"/>
    <w:rsid w:val="001D52A9"/>
    <w:rsid w:val="001D533C"/>
    <w:rsid w:val="001D53D1"/>
    <w:rsid w:val="001D5A42"/>
    <w:rsid w:val="001D61D2"/>
    <w:rsid w:val="001D665B"/>
    <w:rsid w:val="001D683E"/>
    <w:rsid w:val="001D685B"/>
    <w:rsid w:val="001D6D46"/>
    <w:rsid w:val="001D6DE2"/>
    <w:rsid w:val="001D7648"/>
    <w:rsid w:val="001D781F"/>
    <w:rsid w:val="001D783A"/>
    <w:rsid w:val="001D7CEF"/>
    <w:rsid w:val="001D7E7A"/>
    <w:rsid w:val="001D7FCC"/>
    <w:rsid w:val="001E014B"/>
    <w:rsid w:val="001E024B"/>
    <w:rsid w:val="001E061C"/>
    <w:rsid w:val="001E06CC"/>
    <w:rsid w:val="001E11A5"/>
    <w:rsid w:val="001E14C3"/>
    <w:rsid w:val="001E1727"/>
    <w:rsid w:val="001E188C"/>
    <w:rsid w:val="001E1992"/>
    <w:rsid w:val="001E2A89"/>
    <w:rsid w:val="001E2A96"/>
    <w:rsid w:val="001E2DB9"/>
    <w:rsid w:val="001E303D"/>
    <w:rsid w:val="001E399A"/>
    <w:rsid w:val="001E3D78"/>
    <w:rsid w:val="001E40D8"/>
    <w:rsid w:val="001E41D0"/>
    <w:rsid w:val="001E439A"/>
    <w:rsid w:val="001E521A"/>
    <w:rsid w:val="001E58D3"/>
    <w:rsid w:val="001E5E0D"/>
    <w:rsid w:val="001E634B"/>
    <w:rsid w:val="001E6738"/>
    <w:rsid w:val="001E73C2"/>
    <w:rsid w:val="001E760B"/>
    <w:rsid w:val="001E7706"/>
    <w:rsid w:val="001E7848"/>
    <w:rsid w:val="001E7927"/>
    <w:rsid w:val="001E7A08"/>
    <w:rsid w:val="001F0319"/>
    <w:rsid w:val="001F146B"/>
    <w:rsid w:val="001F1811"/>
    <w:rsid w:val="001F19DF"/>
    <w:rsid w:val="001F1DAF"/>
    <w:rsid w:val="001F293C"/>
    <w:rsid w:val="001F3C45"/>
    <w:rsid w:val="001F3E03"/>
    <w:rsid w:val="001F3E4A"/>
    <w:rsid w:val="001F4ABB"/>
    <w:rsid w:val="001F5032"/>
    <w:rsid w:val="001F5064"/>
    <w:rsid w:val="001F610A"/>
    <w:rsid w:val="001F7313"/>
    <w:rsid w:val="00200938"/>
    <w:rsid w:val="00200F07"/>
    <w:rsid w:val="002011BC"/>
    <w:rsid w:val="00201804"/>
    <w:rsid w:val="00201858"/>
    <w:rsid w:val="0020191B"/>
    <w:rsid w:val="00201E96"/>
    <w:rsid w:val="002023E3"/>
    <w:rsid w:val="002025D8"/>
    <w:rsid w:val="00202629"/>
    <w:rsid w:val="0020288D"/>
    <w:rsid w:val="00203457"/>
    <w:rsid w:val="002034E2"/>
    <w:rsid w:val="00204297"/>
    <w:rsid w:val="002045D3"/>
    <w:rsid w:val="00204F49"/>
    <w:rsid w:val="002050EF"/>
    <w:rsid w:val="0020560D"/>
    <w:rsid w:val="00205795"/>
    <w:rsid w:val="00205E56"/>
    <w:rsid w:val="0020623B"/>
    <w:rsid w:val="002062BF"/>
    <w:rsid w:val="002072E7"/>
    <w:rsid w:val="002074A0"/>
    <w:rsid w:val="002075AC"/>
    <w:rsid w:val="002078AD"/>
    <w:rsid w:val="0020797C"/>
    <w:rsid w:val="00207C11"/>
    <w:rsid w:val="00210220"/>
    <w:rsid w:val="002108A0"/>
    <w:rsid w:val="00210E5B"/>
    <w:rsid w:val="0021135D"/>
    <w:rsid w:val="0021173E"/>
    <w:rsid w:val="00211FE9"/>
    <w:rsid w:val="0021214A"/>
    <w:rsid w:val="00212B14"/>
    <w:rsid w:val="002132EA"/>
    <w:rsid w:val="00213560"/>
    <w:rsid w:val="00213C18"/>
    <w:rsid w:val="00215343"/>
    <w:rsid w:val="00216232"/>
    <w:rsid w:val="002165EA"/>
    <w:rsid w:val="0021691F"/>
    <w:rsid w:val="00216AF8"/>
    <w:rsid w:val="00217005"/>
    <w:rsid w:val="00217378"/>
    <w:rsid w:val="002200E6"/>
    <w:rsid w:val="00220393"/>
    <w:rsid w:val="00220461"/>
    <w:rsid w:val="00221063"/>
    <w:rsid w:val="002210FA"/>
    <w:rsid w:val="002214B7"/>
    <w:rsid w:val="002216BE"/>
    <w:rsid w:val="0022195F"/>
    <w:rsid w:val="002219A2"/>
    <w:rsid w:val="00221C47"/>
    <w:rsid w:val="00222579"/>
    <w:rsid w:val="00222745"/>
    <w:rsid w:val="00222B5C"/>
    <w:rsid w:val="00222CD4"/>
    <w:rsid w:val="00222F68"/>
    <w:rsid w:val="002231EF"/>
    <w:rsid w:val="0022320B"/>
    <w:rsid w:val="00223397"/>
    <w:rsid w:val="00223923"/>
    <w:rsid w:val="002239D8"/>
    <w:rsid w:val="002239F5"/>
    <w:rsid w:val="00223C7E"/>
    <w:rsid w:val="00224640"/>
    <w:rsid w:val="00224859"/>
    <w:rsid w:val="00224B3D"/>
    <w:rsid w:val="00225324"/>
    <w:rsid w:val="00225583"/>
    <w:rsid w:val="00225622"/>
    <w:rsid w:val="00226177"/>
    <w:rsid w:val="002265AC"/>
    <w:rsid w:val="002268E7"/>
    <w:rsid w:val="00226FB3"/>
    <w:rsid w:val="00227A44"/>
    <w:rsid w:val="00227B6E"/>
    <w:rsid w:val="00227D45"/>
    <w:rsid w:val="00227EB4"/>
    <w:rsid w:val="0023050E"/>
    <w:rsid w:val="002307ED"/>
    <w:rsid w:val="002309B9"/>
    <w:rsid w:val="00230B76"/>
    <w:rsid w:val="00230F98"/>
    <w:rsid w:val="002312C5"/>
    <w:rsid w:val="002314DF"/>
    <w:rsid w:val="0023154A"/>
    <w:rsid w:val="00231BFF"/>
    <w:rsid w:val="00231C09"/>
    <w:rsid w:val="00231C24"/>
    <w:rsid w:val="00231C7F"/>
    <w:rsid w:val="00232D14"/>
    <w:rsid w:val="00232ED4"/>
    <w:rsid w:val="00232F81"/>
    <w:rsid w:val="00233A66"/>
    <w:rsid w:val="0023400C"/>
    <w:rsid w:val="00234268"/>
    <w:rsid w:val="00234511"/>
    <w:rsid w:val="0023492E"/>
    <w:rsid w:val="00235310"/>
    <w:rsid w:val="00235554"/>
    <w:rsid w:val="00235678"/>
    <w:rsid w:val="002356BF"/>
    <w:rsid w:val="00235725"/>
    <w:rsid w:val="00235F48"/>
    <w:rsid w:val="0023607B"/>
    <w:rsid w:val="0023631E"/>
    <w:rsid w:val="002363D5"/>
    <w:rsid w:val="00236CBF"/>
    <w:rsid w:val="0023702E"/>
    <w:rsid w:val="0023732F"/>
    <w:rsid w:val="002373D2"/>
    <w:rsid w:val="00240087"/>
    <w:rsid w:val="002401C1"/>
    <w:rsid w:val="0024041B"/>
    <w:rsid w:val="002405B0"/>
    <w:rsid w:val="0024077A"/>
    <w:rsid w:val="0024095B"/>
    <w:rsid w:val="00240D85"/>
    <w:rsid w:val="002412AA"/>
    <w:rsid w:val="0024177B"/>
    <w:rsid w:val="00242704"/>
    <w:rsid w:val="002427EC"/>
    <w:rsid w:val="00242E13"/>
    <w:rsid w:val="00243109"/>
    <w:rsid w:val="002435B8"/>
    <w:rsid w:val="002439B2"/>
    <w:rsid w:val="00243E02"/>
    <w:rsid w:val="002443E6"/>
    <w:rsid w:val="00244A7B"/>
    <w:rsid w:val="00244FCD"/>
    <w:rsid w:val="0024558B"/>
    <w:rsid w:val="00245AF2"/>
    <w:rsid w:val="00246032"/>
    <w:rsid w:val="002464AB"/>
    <w:rsid w:val="00246BB3"/>
    <w:rsid w:val="00247948"/>
    <w:rsid w:val="00250102"/>
    <w:rsid w:val="00250105"/>
    <w:rsid w:val="00250A15"/>
    <w:rsid w:val="00250BAA"/>
    <w:rsid w:val="00250F5F"/>
    <w:rsid w:val="002516A7"/>
    <w:rsid w:val="00251878"/>
    <w:rsid w:val="0025195F"/>
    <w:rsid w:val="00251CF0"/>
    <w:rsid w:val="00251E4B"/>
    <w:rsid w:val="0025281B"/>
    <w:rsid w:val="00252842"/>
    <w:rsid w:val="00252905"/>
    <w:rsid w:val="00252D14"/>
    <w:rsid w:val="00253358"/>
    <w:rsid w:val="002534CE"/>
    <w:rsid w:val="00253B99"/>
    <w:rsid w:val="00253FE2"/>
    <w:rsid w:val="002543A7"/>
    <w:rsid w:val="0025461F"/>
    <w:rsid w:val="002547EF"/>
    <w:rsid w:val="00254AD5"/>
    <w:rsid w:val="00255087"/>
    <w:rsid w:val="00255114"/>
    <w:rsid w:val="002552D4"/>
    <w:rsid w:val="00255546"/>
    <w:rsid w:val="00256051"/>
    <w:rsid w:val="00256205"/>
    <w:rsid w:val="0025662E"/>
    <w:rsid w:val="00256719"/>
    <w:rsid w:val="002567A9"/>
    <w:rsid w:val="00257145"/>
    <w:rsid w:val="002573D6"/>
    <w:rsid w:val="002576C5"/>
    <w:rsid w:val="00257E5F"/>
    <w:rsid w:val="00260326"/>
    <w:rsid w:val="00260AB2"/>
    <w:rsid w:val="00260D64"/>
    <w:rsid w:val="002610DE"/>
    <w:rsid w:val="00261216"/>
    <w:rsid w:val="002616DD"/>
    <w:rsid w:val="002628AA"/>
    <w:rsid w:val="00262E4E"/>
    <w:rsid w:val="00262FE5"/>
    <w:rsid w:val="002631EF"/>
    <w:rsid w:val="0026355F"/>
    <w:rsid w:val="002637B3"/>
    <w:rsid w:val="00263AD0"/>
    <w:rsid w:val="00263B73"/>
    <w:rsid w:val="0026406C"/>
    <w:rsid w:val="00264310"/>
    <w:rsid w:val="002646FC"/>
    <w:rsid w:val="00264DB0"/>
    <w:rsid w:val="00264EA2"/>
    <w:rsid w:val="00265029"/>
    <w:rsid w:val="0026507A"/>
    <w:rsid w:val="00265390"/>
    <w:rsid w:val="00265AB9"/>
    <w:rsid w:val="00265B7D"/>
    <w:rsid w:val="002660E3"/>
    <w:rsid w:val="00266B95"/>
    <w:rsid w:val="00266EB4"/>
    <w:rsid w:val="00267D4B"/>
    <w:rsid w:val="00270068"/>
    <w:rsid w:val="00270605"/>
    <w:rsid w:val="00270D66"/>
    <w:rsid w:val="00270DAE"/>
    <w:rsid w:val="0027156B"/>
    <w:rsid w:val="00272059"/>
    <w:rsid w:val="002723A4"/>
    <w:rsid w:val="00272DA9"/>
    <w:rsid w:val="00273020"/>
    <w:rsid w:val="0027312F"/>
    <w:rsid w:val="00273189"/>
    <w:rsid w:val="002736D0"/>
    <w:rsid w:val="00273861"/>
    <w:rsid w:val="002738A2"/>
    <w:rsid w:val="00274081"/>
    <w:rsid w:val="0027434F"/>
    <w:rsid w:val="0027558C"/>
    <w:rsid w:val="00276383"/>
    <w:rsid w:val="0027690B"/>
    <w:rsid w:val="00276E0F"/>
    <w:rsid w:val="002776CE"/>
    <w:rsid w:val="00277879"/>
    <w:rsid w:val="00277A0B"/>
    <w:rsid w:val="0028042F"/>
    <w:rsid w:val="00280A1C"/>
    <w:rsid w:val="00281D09"/>
    <w:rsid w:val="0028288B"/>
    <w:rsid w:val="00282E28"/>
    <w:rsid w:val="002830B9"/>
    <w:rsid w:val="00283A50"/>
    <w:rsid w:val="002841F0"/>
    <w:rsid w:val="00284383"/>
    <w:rsid w:val="002843A1"/>
    <w:rsid w:val="002854E1"/>
    <w:rsid w:val="00285B43"/>
    <w:rsid w:val="00286B8E"/>
    <w:rsid w:val="00286F18"/>
    <w:rsid w:val="002870FB"/>
    <w:rsid w:val="00287743"/>
    <w:rsid w:val="00287960"/>
    <w:rsid w:val="00287A95"/>
    <w:rsid w:val="00287F13"/>
    <w:rsid w:val="002903BA"/>
    <w:rsid w:val="002903C5"/>
    <w:rsid w:val="002903CF"/>
    <w:rsid w:val="00290BB2"/>
    <w:rsid w:val="00290EAE"/>
    <w:rsid w:val="00291475"/>
    <w:rsid w:val="00291539"/>
    <w:rsid w:val="002916D3"/>
    <w:rsid w:val="002918C4"/>
    <w:rsid w:val="00292109"/>
    <w:rsid w:val="002921A2"/>
    <w:rsid w:val="002921B7"/>
    <w:rsid w:val="0029239C"/>
    <w:rsid w:val="00292E50"/>
    <w:rsid w:val="00292E82"/>
    <w:rsid w:val="00293325"/>
    <w:rsid w:val="002936AC"/>
    <w:rsid w:val="00293B0C"/>
    <w:rsid w:val="00294022"/>
    <w:rsid w:val="002940B3"/>
    <w:rsid w:val="00294707"/>
    <w:rsid w:val="00295180"/>
    <w:rsid w:val="002951B9"/>
    <w:rsid w:val="002951BD"/>
    <w:rsid w:val="002952B3"/>
    <w:rsid w:val="0029553F"/>
    <w:rsid w:val="00295B21"/>
    <w:rsid w:val="00295E78"/>
    <w:rsid w:val="002961F1"/>
    <w:rsid w:val="002962AB"/>
    <w:rsid w:val="00296505"/>
    <w:rsid w:val="00296932"/>
    <w:rsid w:val="002969AE"/>
    <w:rsid w:val="00296B40"/>
    <w:rsid w:val="00296EAB"/>
    <w:rsid w:val="0029786A"/>
    <w:rsid w:val="00297BC3"/>
    <w:rsid w:val="00297E0C"/>
    <w:rsid w:val="00297FCD"/>
    <w:rsid w:val="002A001F"/>
    <w:rsid w:val="002A02ED"/>
    <w:rsid w:val="002A051E"/>
    <w:rsid w:val="002A0576"/>
    <w:rsid w:val="002A0ABE"/>
    <w:rsid w:val="002A0D53"/>
    <w:rsid w:val="002A0F1B"/>
    <w:rsid w:val="002A1347"/>
    <w:rsid w:val="002A1670"/>
    <w:rsid w:val="002A18B9"/>
    <w:rsid w:val="002A1C67"/>
    <w:rsid w:val="002A1DD1"/>
    <w:rsid w:val="002A2199"/>
    <w:rsid w:val="002A2699"/>
    <w:rsid w:val="002A26B0"/>
    <w:rsid w:val="002A27CD"/>
    <w:rsid w:val="002A27F9"/>
    <w:rsid w:val="002A2FE1"/>
    <w:rsid w:val="002A3176"/>
    <w:rsid w:val="002A32A8"/>
    <w:rsid w:val="002A37F9"/>
    <w:rsid w:val="002A3E04"/>
    <w:rsid w:val="002A4187"/>
    <w:rsid w:val="002A42FF"/>
    <w:rsid w:val="002A43FB"/>
    <w:rsid w:val="002A4645"/>
    <w:rsid w:val="002A4A25"/>
    <w:rsid w:val="002A5307"/>
    <w:rsid w:val="002A5334"/>
    <w:rsid w:val="002A54B6"/>
    <w:rsid w:val="002A58F2"/>
    <w:rsid w:val="002A5BE9"/>
    <w:rsid w:val="002A5C27"/>
    <w:rsid w:val="002A62A8"/>
    <w:rsid w:val="002A675C"/>
    <w:rsid w:val="002A6890"/>
    <w:rsid w:val="002A6AAF"/>
    <w:rsid w:val="002A7109"/>
    <w:rsid w:val="002A715E"/>
    <w:rsid w:val="002A7385"/>
    <w:rsid w:val="002A7BF4"/>
    <w:rsid w:val="002B009E"/>
    <w:rsid w:val="002B0A22"/>
    <w:rsid w:val="002B0FA7"/>
    <w:rsid w:val="002B1178"/>
    <w:rsid w:val="002B1977"/>
    <w:rsid w:val="002B1CDB"/>
    <w:rsid w:val="002B20B0"/>
    <w:rsid w:val="002B2B61"/>
    <w:rsid w:val="002B3522"/>
    <w:rsid w:val="002B441A"/>
    <w:rsid w:val="002B48BC"/>
    <w:rsid w:val="002B4C55"/>
    <w:rsid w:val="002B5242"/>
    <w:rsid w:val="002B5CF5"/>
    <w:rsid w:val="002B5F44"/>
    <w:rsid w:val="002B677D"/>
    <w:rsid w:val="002B6ABD"/>
    <w:rsid w:val="002B6DFD"/>
    <w:rsid w:val="002B6F2E"/>
    <w:rsid w:val="002B75F0"/>
    <w:rsid w:val="002B764D"/>
    <w:rsid w:val="002B78C8"/>
    <w:rsid w:val="002C03FE"/>
    <w:rsid w:val="002C06F2"/>
    <w:rsid w:val="002C0743"/>
    <w:rsid w:val="002C0AB6"/>
    <w:rsid w:val="002C1026"/>
    <w:rsid w:val="002C1987"/>
    <w:rsid w:val="002C2917"/>
    <w:rsid w:val="002C2C98"/>
    <w:rsid w:val="002C32BC"/>
    <w:rsid w:val="002C34F8"/>
    <w:rsid w:val="002C4203"/>
    <w:rsid w:val="002C4978"/>
    <w:rsid w:val="002C517B"/>
    <w:rsid w:val="002C5787"/>
    <w:rsid w:val="002C611D"/>
    <w:rsid w:val="002C6C04"/>
    <w:rsid w:val="002C6CDE"/>
    <w:rsid w:val="002C6E70"/>
    <w:rsid w:val="002C6FF3"/>
    <w:rsid w:val="002C7D86"/>
    <w:rsid w:val="002C7F1C"/>
    <w:rsid w:val="002D0265"/>
    <w:rsid w:val="002D04AB"/>
    <w:rsid w:val="002D083C"/>
    <w:rsid w:val="002D0ADE"/>
    <w:rsid w:val="002D1367"/>
    <w:rsid w:val="002D1E13"/>
    <w:rsid w:val="002D21CE"/>
    <w:rsid w:val="002D2289"/>
    <w:rsid w:val="002D2410"/>
    <w:rsid w:val="002D252C"/>
    <w:rsid w:val="002D259C"/>
    <w:rsid w:val="002D2F54"/>
    <w:rsid w:val="002D3213"/>
    <w:rsid w:val="002D327B"/>
    <w:rsid w:val="002D34EC"/>
    <w:rsid w:val="002D391D"/>
    <w:rsid w:val="002D5A45"/>
    <w:rsid w:val="002D5A7C"/>
    <w:rsid w:val="002D5B07"/>
    <w:rsid w:val="002D5F2F"/>
    <w:rsid w:val="002D6A0A"/>
    <w:rsid w:val="002D6B74"/>
    <w:rsid w:val="002D7502"/>
    <w:rsid w:val="002D77CA"/>
    <w:rsid w:val="002D7C31"/>
    <w:rsid w:val="002D7CD8"/>
    <w:rsid w:val="002D7E7A"/>
    <w:rsid w:val="002D7EC8"/>
    <w:rsid w:val="002D7F49"/>
    <w:rsid w:val="002E0262"/>
    <w:rsid w:val="002E09B8"/>
    <w:rsid w:val="002E0BD2"/>
    <w:rsid w:val="002E0E24"/>
    <w:rsid w:val="002E0F75"/>
    <w:rsid w:val="002E1077"/>
    <w:rsid w:val="002E15C9"/>
    <w:rsid w:val="002E168E"/>
    <w:rsid w:val="002E181F"/>
    <w:rsid w:val="002E1CA1"/>
    <w:rsid w:val="002E2020"/>
    <w:rsid w:val="002E25C9"/>
    <w:rsid w:val="002E2759"/>
    <w:rsid w:val="002E2B3A"/>
    <w:rsid w:val="002E2DAA"/>
    <w:rsid w:val="002E2F36"/>
    <w:rsid w:val="002E2F84"/>
    <w:rsid w:val="002E2F91"/>
    <w:rsid w:val="002E34DF"/>
    <w:rsid w:val="002E357C"/>
    <w:rsid w:val="002E3802"/>
    <w:rsid w:val="002E39E9"/>
    <w:rsid w:val="002E3AED"/>
    <w:rsid w:val="002E4272"/>
    <w:rsid w:val="002E4AD8"/>
    <w:rsid w:val="002E4C7B"/>
    <w:rsid w:val="002E4CCE"/>
    <w:rsid w:val="002E4D53"/>
    <w:rsid w:val="002E4E84"/>
    <w:rsid w:val="002E533B"/>
    <w:rsid w:val="002E543D"/>
    <w:rsid w:val="002E573B"/>
    <w:rsid w:val="002E58F9"/>
    <w:rsid w:val="002E5940"/>
    <w:rsid w:val="002E594D"/>
    <w:rsid w:val="002E63B3"/>
    <w:rsid w:val="002E6442"/>
    <w:rsid w:val="002E6767"/>
    <w:rsid w:val="002E6FB9"/>
    <w:rsid w:val="002E735C"/>
    <w:rsid w:val="002E73B4"/>
    <w:rsid w:val="002E74DA"/>
    <w:rsid w:val="002E7C8E"/>
    <w:rsid w:val="002E7ECA"/>
    <w:rsid w:val="002F043A"/>
    <w:rsid w:val="002F084E"/>
    <w:rsid w:val="002F0EEC"/>
    <w:rsid w:val="002F1082"/>
    <w:rsid w:val="002F142E"/>
    <w:rsid w:val="002F1C6B"/>
    <w:rsid w:val="002F23AB"/>
    <w:rsid w:val="002F260C"/>
    <w:rsid w:val="002F28B9"/>
    <w:rsid w:val="002F2B92"/>
    <w:rsid w:val="002F2CBC"/>
    <w:rsid w:val="002F318F"/>
    <w:rsid w:val="002F32CB"/>
    <w:rsid w:val="002F35A5"/>
    <w:rsid w:val="002F3983"/>
    <w:rsid w:val="002F3AE8"/>
    <w:rsid w:val="002F3DC5"/>
    <w:rsid w:val="002F416E"/>
    <w:rsid w:val="002F4453"/>
    <w:rsid w:val="002F4B4C"/>
    <w:rsid w:val="002F5546"/>
    <w:rsid w:val="002F5712"/>
    <w:rsid w:val="002F5C00"/>
    <w:rsid w:val="002F5C9A"/>
    <w:rsid w:val="002F5E31"/>
    <w:rsid w:val="002F6613"/>
    <w:rsid w:val="002F6970"/>
    <w:rsid w:val="002F6AD4"/>
    <w:rsid w:val="002F7057"/>
    <w:rsid w:val="002F7073"/>
    <w:rsid w:val="002F70DE"/>
    <w:rsid w:val="002F72EA"/>
    <w:rsid w:val="002F7360"/>
    <w:rsid w:val="002F7742"/>
    <w:rsid w:val="00300828"/>
    <w:rsid w:val="00300A8B"/>
    <w:rsid w:val="00300B6C"/>
    <w:rsid w:val="00301751"/>
    <w:rsid w:val="00301C18"/>
    <w:rsid w:val="00301D8E"/>
    <w:rsid w:val="0030216F"/>
    <w:rsid w:val="00302782"/>
    <w:rsid w:val="00302D2F"/>
    <w:rsid w:val="003031E2"/>
    <w:rsid w:val="003034E7"/>
    <w:rsid w:val="00303998"/>
    <w:rsid w:val="00303A6C"/>
    <w:rsid w:val="00304070"/>
    <w:rsid w:val="003052F9"/>
    <w:rsid w:val="00305694"/>
    <w:rsid w:val="003057C9"/>
    <w:rsid w:val="0030591D"/>
    <w:rsid w:val="00306843"/>
    <w:rsid w:val="003071A4"/>
    <w:rsid w:val="0030747F"/>
    <w:rsid w:val="00307E39"/>
    <w:rsid w:val="003104C1"/>
    <w:rsid w:val="003104DA"/>
    <w:rsid w:val="00310E27"/>
    <w:rsid w:val="00311C7B"/>
    <w:rsid w:val="0031207E"/>
    <w:rsid w:val="00312425"/>
    <w:rsid w:val="003127EB"/>
    <w:rsid w:val="00312A7C"/>
    <w:rsid w:val="00313146"/>
    <w:rsid w:val="003133B5"/>
    <w:rsid w:val="00313819"/>
    <w:rsid w:val="00313B79"/>
    <w:rsid w:val="00314363"/>
    <w:rsid w:val="0031466A"/>
    <w:rsid w:val="00315D64"/>
    <w:rsid w:val="00315F5E"/>
    <w:rsid w:val="00316340"/>
    <w:rsid w:val="00317027"/>
    <w:rsid w:val="003173EA"/>
    <w:rsid w:val="00317805"/>
    <w:rsid w:val="00317DCC"/>
    <w:rsid w:val="003201C9"/>
    <w:rsid w:val="003205B3"/>
    <w:rsid w:val="00320865"/>
    <w:rsid w:val="00320B6F"/>
    <w:rsid w:val="00320CA8"/>
    <w:rsid w:val="00320F26"/>
    <w:rsid w:val="003215FA"/>
    <w:rsid w:val="003219B4"/>
    <w:rsid w:val="00321A66"/>
    <w:rsid w:val="0032206B"/>
    <w:rsid w:val="0032226D"/>
    <w:rsid w:val="0032243F"/>
    <w:rsid w:val="0032244A"/>
    <w:rsid w:val="0032247C"/>
    <w:rsid w:val="00322B8B"/>
    <w:rsid w:val="00322EC4"/>
    <w:rsid w:val="0032309C"/>
    <w:rsid w:val="003231F2"/>
    <w:rsid w:val="00323518"/>
    <w:rsid w:val="00323714"/>
    <w:rsid w:val="0032374D"/>
    <w:rsid w:val="00323875"/>
    <w:rsid w:val="00323AE0"/>
    <w:rsid w:val="003244C2"/>
    <w:rsid w:val="00324C84"/>
    <w:rsid w:val="00325012"/>
    <w:rsid w:val="0032529E"/>
    <w:rsid w:val="003253BD"/>
    <w:rsid w:val="0032551D"/>
    <w:rsid w:val="00325595"/>
    <w:rsid w:val="003255A8"/>
    <w:rsid w:val="003256DA"/>
    <w:rsid w:val="0032583F"/>
    <w:rsid w:val="00325E84"/>
    <w:rsid w:val="00325F10"/>
    <w:rsid w:val="00325FFD"/>
    <w:rsid w:val="00326159"/>
    <w:rsid w:val="003266FB"/>
    <w:rsid w:val="0032672D"/>
    <w:rsid w:val="00326B74"/>
    <w:rsid w:val="003271F4"/>
    <w:rsid w:val="00327C6F"/>
    <w:rsid w:val="00327CB7"/>
    <w:rsid w:val="003300EF"/>
    <w:rsid w:val="00330176"/>
    <w:rsid w:val="003306F3"/>
    <w:rsid w:val="00330758"/>
    <w:rsid w:val="00330BA9"/>
    <w:rsid w:val="00331466"/>
    <w:rsid w:val="00331526"/>
    <w:rsid w:val="00331864"/>
    <w:rsid w:val="003325F2"/>
    <w:rsid w:val="0033274F"/>
    <w:rsid w:val="00332C22"/>
    <w:rsid w:val="00333759"/>
    <w:rsid w:val="00333DE7"/>
    <w:rsid w:val="00333E3D"/>
    <w:rsid w:val="003347A8"/>
    <w:rsid w:val="003349BD"/>
    <w:rsid w:val="00334B75"/>
    <w:rsid w:val="003359EF"/>
    <w:rsid w:val="00335E50"/>
    <w:rsid w:val="003362B4"/>
    <w:rsid w:val="003363DA"/>
    <w:rsid w:val="00336A05"/>
    <w:rsid w:val="003370FB"/>
    <w:rsid w:val="00337A70"/>
    <w:rsid w:val="00340040"/>
    <w:rsid w:val="00340B1A"/>
    <w:rsid w:val="00340D32"/>
    <w:rsid w:val="00341020"/>
    <w:rsid w:val="003416A9"/>
    <w:rsid w:val="00341A3D"/>
    <w:rsid w:val="00341BAA"/>
    <w:rsid w:val="003422D1"/>
    <w:rsid w:val="0034235B"/>
    <w:rsid w:val="003425DB"/>
    <w:rsid w:val="00342822"/>
    <w:rsid w:val="00342C67"/>
    <w:rsid w:val="00342FCB"/>
    <w:rsid w:val="003433A5"/>
    <w:rsid w:val="003438B1"/>
    <w:rsid w:val="0034409E"/>
    <w:rsid w:val="0034410E"/>
    <w:rsid w:val="0034435A"/>
    <w:rsid w:val="00344768"/>
    <w:rsid w:val="00345624"/>
    <w:rsid w:val="0034571D"/>
    <w:rsid w:val="00345974"/>
    <w:rsid w:val="003462BE"/>
    <w:rsid w:val="00346434"/>
    <w:rsid w:val="00346481"/>
    <w:rsid w:val="003464D8"/>
    <w:rsid w:val="00346C58"/>
    <w:rsid w:val="00346DA0"/>
    <w:rsid w:val="00346FFA"/>
    <w:rsid w:val="0034716C"/>
    <w:rsid w:val="0034725C"/>
    <w:rsid w:val="00347F19"/>
    <w:rsid w:val="00350303"/>
    <w:rsid w:val="003503BD"/>
    <w:rsid w:val="003519E8"/>
    <w:rsid w:val="00351C14"/>
    <w:rsid w:val="00351CED"/>
    <w:rsid w:val="003528CD"/>
    <w:rsid w:val="00352CD6"/>
    <w:rsid w:val="00352EB2"/>
    <w:rsid w:val="00353220"/>
    <w:rsid w:val="00353712"/>
    <w:rsid w:val="003539EC"/>
    <w:rsid w:val="00353E0F"/>
    <w:rsid w:val="00353F50"/>
    <w:rsid w:val="00354394"/>
    <w:rsid w:val="00354CE7"/>
    <w:rsid w:val="00354EEE"/>
    <w:rsid w:val="00354EF0"/>
    <w:rsid w:val="00354F61"/>
    <w:rsid w:val="00355006"/>
    <w:rsid w:val="0035548B"/>
    <w:rsid w:val="003557FE"/>
    <w:rsid w:val="00355B18"/>
    <w:rsid w:val="00355C27"/>
    <w:rsid w:val="00355C76"/>
    <w:rsid w:val="0035607F"/>
    <w:rsid w:val="003566F0"/>
    <w:rsid w:val="00356A17"/>
    <w:rsid w:val="00356C39"/>
    <w:rsid w:val="00356F4D"/>
    <w:rsid w:val="00357685"/>
    <w:rsid w:val="00357B2F"/>
    <w:rsid w:val="00357B8E"/>
    <w:rsid w:val="00357DB3"/>
    <w:rsid w:val="00357E34"/>
    <w:rsid w:val="00357EE7"/>
    <w:rsid w:val="00360AD2"/>
    <w:rsid w:val="003612DA"/>
    <w:rsid w:val="00361520"/>
    <w:rsid w:val="00361548"/>
    <w:rsid w:val="00361B2B"/>
    <w:rsid w:val="00361F1D"/>
    <w:rsid w:val="00362362"/>
    <w:rsid w:val="00362ABA"/>
    <w:rsid w:val="0036339B"/>
    <w:rsid w:val="00363976"/>
    <w:rsid w:val="003639DC"/>
    <w:rsid w:val="00363A70"/>
    <w:rsid w:val="00363AE7"/>
    <w:rsid w:val="00363B33"/>
    <w:rsid w:val="00364CA5"/>
    <w:rsid w:val="00364E86"/>
    <w:rsid w:val="0036548D"/>
    <w:rsid w:val="00365CF7"/>
    <w:rsid w:val="00365E36"/>
    <w:rsid w:val="00366763"/>
    <w:rsid w:val="00366BDD"/>
    <w:rsid w:val="00366DA0"/>
    <w:rsid w:val="00366E01"/>
    <w:rsid w:val="00366ED6"/>
    <w:rsid w:val="0036705A"/>
    <w:rsid w:val="00367F0F"/>
    <w:rsid w:val="003704AE"/>
    <w:rsid w:val="00370A72"/>
    <w:rsid w:val="003710F5"/>
    <w:rsid w:val="003713B1"/>
    <w:rsid w:val="0037247B"/>
    <w:rsid w:val="003727F4"/>
    <w:rsid w:val="003736DF"/>
    <w:rsid w:val="00373CC2"/>
    <w:rsid w:val="00373DF2"/>
    <w:rsid w:val="00373FAA"/>
    <w:rsid w:val="00374946"/>
    <w:rsid w:val="00374C88"/>
    <w:rsid w:val="00374D5D"/>
    <w:rsid w:val="00375041"/>
    <w:rsid w:val="003750E7"/>
    <w:rsid w:val="003756F3"/>
    <w:rsid w:val="00375C83"/>
    <w:rsid w:val="00376113"/>
    <w:rsid w:val="00376674"/>
    <w:rsid w:val="003769A4"/>
    <w:rsid w:val="00376A5A"/>
    <w:rsid w:val="00376D36"/>
    <w:rsid w:val="00376D9D"/>
    <w:rsid w:val="00377243"/>
    <w:rsid w:val="0037752B"/>
    <w:rsid w:val="00377AC6"/>
    <w:rsid w:val="00377CF5"/>
    <w:rsid w:val="003800BB"/>
    <w:rsid w:val="003805F2"/>
    <w:rsid w:val="0038065B"/>
    <w:rsid w:val="00380708"/>
    <w:rsid w:val="0038077E"/>
    <w:rsid w:val="00380AC0"/>
    <w:rsid w:val="00381332"/>
    <w:rsid w:val="00381AD5"/>
    <w:rsid w:val="00381D70"/>
    <w:rsid w:val="003822AE"/>
    <w:rsid w:val="00382C10"/>
    <w:rsid w:val="00382F33"/>
    <w:rsid w:val="00383144"/>
    <w:rsid w:val="003836BA"/>
    <w:rsid w:val="0038381A"/>
    <w:rsid w:val="00383ABF"/>
    <w:rsid w:val="003859A1"/>
    <w:rsid w:val="00386237"/>
    <w:rsid w:val="00386590"/>
    <w:rsid w:val="00386644"/>
    <w:rsid w:val="00386817"/>
    <w:rsid w:val="003868F8"/>
    <w:rsid w:val="00386AD4"/>
    <w:rsid w:val="00386F4E"/>
    <w:rsid w:val="00387516"/>
    <w:rsid w:val="003900B6"/>
    <w:rsid w:val="0039057B"/>
    <w:rsid w:val="00390CD3"/>
    <w:rsid w:val="00390CF3"/>
    <w:rsid w:val="0039162F"/>
    <w:rsid w:val="00391A49"/>
    <w:rsid w:val="00392004"/>
    <w:rsid w:val="0039235E"/>
    <w:rsid w:val="003929AE"/>
    <w:rsid w:val="00392A70"/>
    <w:rsid w:val="0039346B"/>
    <w:rsid w:val="0039363E"/>
    <w:rsid w:val="00393705"/>
    <w:rsid w:val="003941DC"/>
    <w:rsid w:val="00394AEE"/>
    <w:rsid w:val="00395766"/>
    <w:rsid w:val="0039580B"/>
    <w:rsid w:val="0039582D"/>
    <w:rsid w:val="00395B88"/>
    <w:rsid w:val="0039628E"/>
    <w:rsid w:val="0039666A"/>
    <w:rsid w:val="003968FA"/>
    <w:rsid w:val="00397095"/>
    <w:rsid w:val="00397096"/>
    <w:rsid w:val="0039742F"/>
    <w:rsid w:val="0039762B"/>
    <w:rsid w:val="00397BB2"/>
    <w:rsid w:val="003A010C"/>
    <w:rsid w:val="003A01BB"/>
    <w:rsid w:val="003A03CD"/>
    <w:rsid w:val="003A05C0"/>
    <w:rsid w:val="003A073B"/>
    <w:rsid w:val="003A10D2"/>
    <w:rsid w:val="003A1941"/>
    <w:rsid w:val="003A1F9B"/>
    <w:rsid w:val="003A22F0"/>
    <w:rsid w:val="003A239C"/>
    <w:rsid w:val="003A2709"/>
    <w:rsid w:val="003A2BAD"/>
    <w:rsid w:val="003A3139"/>
    <w:rsid w:val="003A3206"/>
    <w:rsid w:val="003A335E"/>
    <w:rsid w:val="003A3746"/>
    <w:rsid w:val="003A3E98"/>
    <w:rsid w:val="003A41B7"/>
    <w:rsid w:val="003A4590"/>
    <w:rsid w:val="003A4AB6"/>
    <w:rsid w:val="003A4DD7"/>
    <w:rsid w:val="003A4EF7"/>
    <w:rsid w:val="003A4FB2"/>
    <w:rsid w:val="003A58C8"/>
    <w:rsid w:val="003A5A3F"/>
    <w:rsid w:val="003A5B10"/>
    <w:rsid w:val="003A5FEA"/>
    <w:rsid w:val="003A6845"/>
    <w:rsid w:val="003A686F"/>
    <w:rsid w:val="003A6D45"/>
    <w:rsid w:val="003A6E3B"/>
    <w:rsid w:val="003A6EDA"/>
    <w:rsid w:val="003A7A3D"/>
    <w:rsid w:val="003A7CE9"/>
    <w:rsid w:val="003B0528"/>
    <w:rsid w:val="003B065E"/>
    <w:rsid w:val="003B0895"/>
    <w:rsid w:val="003B09BE"/>
    <w:rsid w:val="003B1319"/>
    <w:rsid w:val="003B1388"/>
    <w:rsid w:val="003B1569"/>
    <w:rsid w:val="003B18BD"/>
    <w:rsid w:val="003B1957"/>
    <w:rsid w:val="003B1A53"/>
    <w:rsid w:val="003B1AD1"/>
    <w:rsid w:val="003B1F53"/>
    <w:rsid w:val="003B22AC"/>
    <w:rsid w:val="003B282A"/>
    <w:rsid w:val="003B2E6B"/>
    <w:rsid w:val="003B2F32"/>
    <w:rsid w:val="003B337F"/>
    <w:rsid w:val="003B42A5"/>
    <w:rsid w:val="003B45E3"/>
    <w:rsid w:val="003B473E"/>
    <w:rsid w:val="003B4B2C"/>
    <w:rsid w:val="003B4D3C"/>
    <w:rsid w:val="003B5811"/>
    <w:rsid w:val="003B59C6"/>
    <w:rsid w:val="003B6425"/>
    <w:rsid w:val="003B642E"/>
    <w:rsid w:val="003B643E"/>
    <w:rsid w:val="003B6522"/>
    <w:rsid w:val="003B6761"/>
    <w:rsid w:val="003B689E"/>
    <w:rsid w:val="003B6983"/>
    <w:rsid w:val="003B6F1F"/>
    <w:rsid w:val="003B7492"/>
    <w:rsid w:val="003B757F"/>
    <w:rsid w:val="003B764D"/>
    <w:rsid w:val="003C0163"/>
    <w:rsid w:val="003C01E7"/>
    <w:rsid w:val="003C01F7"/>
    <w:rsid w:val="003C0744"/>
    <w:rsid w:val="003C07B3"/>
    <w:rsid w:val="003C0EE0"/>
    <w:rsid w:val="003C132F"/>
    <w:rsid w:val="003C154C"/>
    <w:rsid w:val="003C1C99"/>
    <w:rsid w:val="003C20A9"/>
    <w:rsid w:val="003C253B"/>
    <w:rsid w:val="003C36E2"/>
    <w:rsid w:val="003C3D71"/>
    <w:rsid w:val="003C4122"/>
    <w:rsid w:val="003C41D2"/>
    <w:rsid w:val="003C4600"/>
    <w:rsid w:val="003C4B32"/>
    <w:rsid w:val="003C4FAD"/>
    <w:rsid w:val="003C4FEB"/>
    <w:rsid w:val="003C5559"/>
    <w:rsid w:val="003C57B4"/>
    <w:rsid w:val="003C582E"/>
    <w:rsid w:val="003C617F"/>
    <w:rsid w:val="003C63AB"/>
    <w:rsid w:val="003C6593"/>
    <w:rsid w:val="003C6E90"/>
    <w:rsid w:val="003C6F80"/>
    <w:rsid w:val="003C7118"/>
    <w:rsid w:val="003C7688"/>
    <w:rsid w:val="003C7D3F"/>
    <w:rsid w:val="003C7E7C"/>
    <w:rsid w:val="003D09BD"/>
    <w:rsid w:val="003D09FA"/>
    <w:rsid w:val="003D0A35"/>
    <w:rsid w:val="003D0DB1"/>
    <w:rsid w:val="003D0F46"/>
    <w:rsid w:val="003D1427"/>
    <w:rsid w:val="003D154A"/>
    <w:rsid w:val="003D1905"/>
    <w:rsid w:val="003D1B06"/>
    <w:rsid w:val="003D1C98"/>
    <w:rsid w:val="003D2144"/>
    <w:rsid w:val="003D24FA"/>
    <w:rsid w:val="003D256A"/>
    <w:rsid w:val="003D26E7"/>
    <w:rsid w:val="003D2752"/>
    <w:rsid w:val="003D2DA1"/>
    <w:rsid w:val="003D2E3D"/>
    <w:rsid w:val="003D4776"/>
    <w:rsid w:val="003D4F41"/>
    <w:rsid w:val="003D56D4"/>
    <w:rsid w:val="003D5793"/>
    <w:rsid w:val="003D6326"/>
    <w:rsid w:val="003D6599"/>
    <w:rsid w:val="003D6DE1"/>
    <w:rsid w:val="003E063C"/>
    <w:rsid w:val="003E0952"/>
    <w:rsid w:val="003E0C8B"/>
    <w:rsid w:val="003E0F46"/>
    <w:rsid w:val="003E0FB6"/>
    <w:rsid w:val="003E1237"/>
    <w:rsid w:val="003E1251"/>
    <w:rsid w:val="003E1350"/>
    <w:rsid w:val="003E14EE"/>
    <w:rsid w:val="003E1799"/>
    <w:rsid w:val="003E1B32"/>
    <w:rsid w:val="003E2139"/>
    <w:rsid w:val="003E2E8B"/>
    <w:rsid w:val="003E3284"/>
    <w:rsid w:val="003E3D6D"/>
    <w:rsid w:val="003E43D9"/>
    <w:rsid w:val="003E43F1"/>
    <w:rsid w:val="003E4525"/>
    <w:rsid w:val="003E486E"/>
    <w:rsid w:val="003E4CC4"/>
    <w:rsid w:val="003E4D5B"/>
    <w:rsid w:val="003E5046"/>
    <w:rsid w:val="003E510A"/>
    <w:rsid w:val="003E5939"/>
    <w:rsid w:val="003E5A11"/>
    <w:rsid w:val="003E5A63"/>
    <w:rsid w:val="003E5B68"/>
    <w:rsid w:val="003E6EB1"/>
    <w:rsid w:val="003E71E6"/>
    <w:rsid w:val="003E798F"/>
    <w:rsid w:val="003E7A7F"/>
    <w:rsid w:val="003F0045"/>
    <w:rsid w:val="003F0157"/>
    <w:rsid w:val="003F01CE"/>
    <w:rsid w:val="003F1035"/>
    <w:rsid w:val="003F164F"/>
    <w:rsid w:val="003F19BB"/>
    <w:rsid w:val="003F1C6F"/>
    <w:rsid w:val="003F27CF"/>
    <w:rsid w:val="003F2AF3"/>
    <w:rsid w:val="003F3399"/>
    <w:rsid w:val="003F3921"/>
    <w:rsid w:val="003F4293"/>
    <w:rsid w:val="003F4517"/>
    <w:rsid w:val="003F4619"/>
    <w:rsid w:val="003F526D"/>
    <w:rsid w:val="003F5316"/>
    <w:rsid w:val="003F566D"/>
    <w:rsid w:val="003F56C0"/>
    <w:rsid w:val="003F58B9"/>
    <w:rsid w:val="003F5904"/>
    <w:rsid w:val="003F63EC"/>
    <w:rsid w:val="003F693F"/>
    <w:rsid w:val="003F7B3B"/>
    <w:rsid w:val="003F7BFA"/>
    <w:rsid w:val="003F7F6F"/>
    <w:rsid w:val="00400730"/>
    <w:rsid w:val="00400841"/>
    <w:rsid w:val="00400C53"/>
    <w:rsid w:val="00400E0F"/>
    <w:rsid w:val="00400E63"/>
    <w:rsid w:val="00401B09"/>
    <w:rsid w:val="00401C1A"/>
    <w:rsid w:val="004022EF"/>
    <w:rsid w:val="00403898"/>
    <w:rsid w:val="0040440B"/>
    <w:rsid w:val="0040469A"/>
    <w:rsid w:val="00404CBA"/>
    <w:rsid w:val="00404DE0"/>
    <w:rsid w:val="00404EA2"/>
    <w:rsid w:val="0040532E"/>
    <w:rsid w:val="004069BA"/>
    <w:rsid w:val="004070BB"/>
    <w:rsid w:val="0040732B"/>
    <w:rsid w:val="0040758A"/>
    <w:rsid w:val="004079FA"/>
    <w:rsid w:val="004106E6"/>
    <w:rsid w:val="00410929"/>
    <w:rsid w:val="00410A0F"/>
    <w:rsid w:val="00410D88"/>
    <w:rsid w:val="004111B4"/>
    <w:rsid w:val="00411573"/>
    <w:rsid w:val="00411B71"/>
    <w:rsid w:val="00411CB4"/>
    <w:rsid w:val="00411CD8"/>
    <w:rsid w:val="004122B3"/>
    <w:rsid w:val="0041248E"/>
    <w:rsid w:val="004126BE"/>
    <w:rsid w:val="00412971"/>
    <w:rsid w:val="00413073"/>
    <w:rsid w:val="0041326C"/>
    <w:rsid w:val="00413498"/>
    <w:rsid w:val="0041435E"/>
    <w:rsid w:val="004145EB"/>
    <w:rsid w:val="00414FF2"/>
    <w:rsid w:val="00415268"/>
    <w:rsid w:val="0041563C"/>
    <w:rsid w:val="00415CEA"/>
    <w:rsid w:val="004161BC"/>
    <w:rsid w:val="004175CF"/>
    <w:rsid w:val="0041796C"/>
    <w:rsid w:val="00417ADD"/>
    <w:rsid w:val="00417BF2"/>
    <w:rsid w:val="004201CB"/>
    <w:rsid w:val="0042024D"/>
    <w:rsid w:val="00420663"/>
    <w:rsid w:val="00420E18"/>
    <w:rsid w:val="00421B2B"/>
    <w:rsid w:val="00421DB6"/>
    <w:rsid w:val="0042201F"/>
    <w:rsid w:val="0042275E"/>
    <w:rsid w:val="0042322F"/>
    <w:rsid w:val="0042370C"/>
    <w:rsid w:val="00423A56"/>
    <w:rsid w:val="00423F76"/>
    <w:rsid w:val="004240A4"/>
    <w:rsid w:val="00424128"/>
    <w:rsid w:val="004242D2"/>
    <w:rsid w:val="00424716"/>
    <w:rsid w:val="00424C10"/>
    <w:rsid w:val="00424C92"/>
    <w:rsid w:val="0042533B"/>
    <w:rsid w:val="00425DD6"/>
    <w:rsid w:val="004261F6"/>
    <w:rsid w:val="0042655F"/>
    <w:rsid w:val="00426BA7"/>
    <w:rsid w:val="00426EE5"/>
    <w:rsid w:val="0042740E"/>
    <w:rsid w:val="00427AFC"/>
    <w:rsid w:val="00427B23"/>
    <w:rsid w:val="00427C44"/>
    <w:rsid w:val="00430399"/>
    <w:rsid w:val="004306CF"/>
    <w:rsid w:val="004306D2"/>
    <w:rsid w:val="00430C0E"/>
    <w:rsid w:val="00430D87"/>
    <w:rsid w:val="00430F92"/>
    <w:rsid w:val="004312E4"/>
    <w:rsid w:val="0043186C"/>
    <w:rsid w:val="00431B36"/>
    <w:rsid w:val="004328DC"/>
    <w:rsid w:val="004329ED"/>
    <w:rsid w:val="00432E96"/>
    <w:rsid w:val="00433109"/>
    <w:rsid w:val="0043386F"/>
    <w:rsid w:val="0043408C"/>
    <w:rsid w:val="004340C2"/>
    <w:rsid w:val="00434311"/>
    <w:rsid w:val="00434353"/>
    <w:rsid w:val="004344A9"/>
    <w:rsid w:val="0043484D"/>
    <w:rsid w:val="00434AB6"/>
    <w:rsid w:val="00434C77"/>
    <w:rsid w:val="004354F3"/>
    <w:rsid w:val="004361BB"/>
    <w:rsid w:val="00436337"/>
    <w:rsid w:val="004363EB"/>
    <w:rsid w:val="004367A3"/>
    <w:rsid w:val="00436A75"/>
    <w:rsid w:val="00436B0E"/>
    <w:rsid w:val="00436BB0"/>
    <w:rsid w:val="00437114"/>
    <w:rsid w:val="0044010E"/>
    <w:rsid w:val="00440BAC"/>
    <w:rsid w:val="00440D94"/>
    <w:rsid w:val="00441067"/>
    <w:rsid w:val="004410D1"/>
    <w:rsid w:val="004413B0"/>
    <w:rsid w:val="004413E6"/>
    <w:rsid w:val="004415EB"/>
    <w:rsid w:val="004418FA"/>
    <w:rsid w:val="004424F2"/>
    <w:rsid w:val="00442846"/>
    <w:rsid w:val="00442921"/>
    <w:rsid w:val="004430AA"/>
    <w:rsid w:val="004433D6"/>
    <w:rsid w:val="0044359E"/>
    <w:rsid w:val="00443AFE"/>
    <w:rsid w:val="00443EE7"/>
    <w:rsid w:val="00443F9A"/>
    <w:rsid w:val="00444096"/>
    <w:rsid w:val="0044474D"/>
    <w:rsid w:val="004449D5"/>
    <w:rsid w:val="00446042"/>
    <w:rsid w:val="004460A7"/>
    <w:rsid w:val="00446526"/>
    <w:rsid w:val="00447226"/>
    <w:rsid w:val="00447254"/>
    <w:rsid w:val="00447D94"/>
    <w:rsid w:val="0045083B"/>
    <w:rsid w:val="00450A18"/>
    <w:rsid w:val="00450ABE"/>
    <w:rsid w:val="004511B8"/>
    <w:rsid w:val="004518BC"/>
    <w:rsid w:val="00451CCB"/>
    <w:rsid w:val="00452550"/>
    <w:rsid w:val="00452616"/>
    <w:rsid w:val="004535F5"/>
    <w:rsid w:val="00453937"/>
    <w:rsid w:val="00453AB7"/>
    <w:rsid w:val="00453BA5"/>
    <w:rsid w:val="00453FC5"/>
    <w:rsid w:val="00454457"/>
    <w:rsid w:val="00454556"/>
    <w:rsid w:val="00454680"/>
    <w:rsid w:val="00454847"/>
    <w:rsid w:val="00455970"/>
    <w:rsid w:val="00455BBB"/>
    <w:rsid w:val="0045665B"/>
    <w:rsid w:val="00456FA9"/>
    <w:rsid w:val="0045705F"/>
    <w:rsid w:val="00457291"/>
    <w:rsid w:val="004575E4"/>
    <w:rsid w:val="00457960"/>
    <w:rsid w:val="00457B5F"/>
    <w:rsid w:val="00457C5F"/>
    <w:rsid w:val="004601F4"/>
    <w:rsid w:val="0046042D"/>
    <w:rsid w:val="004613A3"/>
    <w:rsid w:val="004613BB"/>
    <w:rsid w:val="004615A9"/>
    <w:rsid w:val="00461F99"/>
    <w:rsid w:val="0046256C"/>
    <w:rsid w:val="00462B48"/>
    <w:rsid w:val="00462CF7"/>
    <w:rsid w:val="00463121"/>
    <w:rsid w:val="0046340E"/>
    <w:rsid w:val="004634E5"/>
    <w:rsid w:val="0046355C"/>
    <w:rsid w:val="00463C4B"/>
    <w:rsid w:val="004647CE"/>
    <w:rsid w:val="00464CAE"/>
    <w:rsid w:val="0046519F"/>
    <w:rsid w:val="00465456"/>
    <w:rsid w:val="00465551"/>
    <w:rsid w:val="0046603E"/>
    <w:rsid w:val="004665BC"/>
    <w:rsid w:val="00466664"/>
    <w:rsid w:val="0046688B"/>
    <w:rsid w:val="00466916"/>
    <w:rsid w:val="00466A4E"/>
    <w:rsid w:val="00466FB3"/>
    <w:rsid w:val="00467B03"/>
    <w:rsid w:val="00467C27"/>
    <w:rsid w:val="0047015B"/>
    <w:rsid w:val="004702BC"/>
    <w:rsid w:val="00471143"/>
    <w:rsid w:val="0047148C"/>
    <w:rsid w:val="0047176B"/>
    <w:rsid w:val="004729C4"/>
    <w:rsid w:val="00472B57"/>
    <w:rsid w:val="0047375F"/>
    <w:rsid w:val="004742FB"/>
    <w:rsid w:val="0047440A"/>
    <w:rsid w:val="00474515"/>
    <w:rsid w:val="004745EB"/>
    <w:rsid w:val="00474D2E"/>
    <w:rsid w:val="00475218"/>
    <w:rsid w:val="00475508"/>
    <w:rsid w:val="00476206"/>
    <w:rsid w:val="00476D10"/>
    <w:rsid w:val="00477266"/>
    <w:rsid w:val="00477DB1"/>
    <w:rsid w:val="00477ED3"/>
    <w:rsid w:val="00480F91"/>
    <w:rsid w:val="004811FC"/>
    <w:rsid w:val="00481954"/>
    <w:rsid w:val="004819C0"/>
    <w:rsid w:val="00482BE0"/>
    <w:rsid w:val="00482C98"/>
    <w:rsid w:val="00482DC9"/>
    <w:rsid w:val="00482E4D"/>
    <w:rsid w:val="00482FB1"/>
    <w:rsid w:val="00483CB0"/>
    <w:rsid w:val="0048459E"/>
    <w:rsid w:val="004848F1"/>
    <w:rsid w:val="00484C93"/>
    <w:rsid w:val="00484E91"/>
    <w:rsid w:val="004851EF"/>
    <w:rsid w:val="00485AEE"/>
    <w:rsid w:val="00485E0F"/>
    <w:rsid w:val="0048696F"/>
    <w:rsid w:val="004871DC"/>
    <w:rsid w:val="004874F9"/>
    <w:rsid w:val="00487C89"/>
    <w:rsid w:val="00490072"/>
    <w:rsid w:val="004906C3"/>
    <w:rsid w:val="004911ED"/>
    <w:rsid w:val="00491263"/>
    <w:rsid w:val="0049137D"/>
    <w:rsid w:val="0049140A"/>
    <w:rsid w:val="004919A2"/>
    <w:rsid w:val="004922E0"/>
    <w:rsid w:val="00492596"/>
    <w:rsid w:val="00492616"/>
    <w:rsid w:val="004926C3"/>
    <w:rsid w:val="00492D47"/>
    <w:rsid w:val="00493007"/>
    <w:rsid w:val="0049364E"/>
    <w:rsid w:val="004943F0"/>
    <w:rsid w:val="00494449"/>
    <w:rsid w:val="00494842"/>
    <w:rsid w:val="00494B27"/>
    <w:rsid w:val="00495030"/>
    <w:rsid w:val="004955C5"/>
    <w:rsid w:val="00495DC0"/>
    <w:rsid w:val="00496108"/>
    <w:rsid w:val="00496A91"/>
    <w:rsid w:val="004976CF"/>
    <w:rsid w:val="00497BA3"/>
    <w:rsid w:val="00497D07"/>
    <w:rsid w:val="00497E9B"/>
    <w:rsid w:val="004A00CA"/>
    <w:rsid w:val="004A048B"/>
    <w:rsid w:val="004A0624"/>
    <w:rsid w:val="004A1460"/>
    <w:rsid w:val="004A158C"/>
    <w:rsid w:val="004A2C63"/>
    <w:rsid w:val="004A322F"/>
    <w:rsid w:val="004A3392"/>
    <w:rsid w:val="004A3519"/>
    <w:rsid w:val="004A3643"/>
    <w:rsid w:val="004A483E"/>
    <w:rsid w:val="004A5189"/>
    <w:rsid w:val="004A5227"/>
    <w:rsid w:val="004A524C"/>
    <w:rsid w:val="004A5754"/>
    <w:rsid w:val="004A5DC0"/>
    <w:rsid w:val="004A613D"/>
    <w:rsid w:val="004A6190"/>
    <w:rsid w:val="004A67C9"/>
    <w:rsid w:val="004A69BC"/>
    <w:rsid w:val="004A7244"/>
    <w:rsid w:val="004A79A0"/>
    <w:rsid w:val="004A7E91"/>
    <w:rsid w:val="004A7F79"/>
    <w:rsid w:val="004B04ED"/>
    <w:rsid w:val="004B078A"/>
    <w:rsid w:val="004B09E4"/>
    <w:rsid w:val="004B129A"/>
    <w:rsid w:val="004B153F"/>
    <w:rsid w:val="004B1AA0"/>
    <w:rsid w:val="004B1D18"/>
    <w:rsid w:val="004B1EB0"/>
    <w:rsid w:val="004B2401"/>
    <w:rsid w:val="004B297D"/>
    <w:rsid w:val="004B3374"/>
    <w:rsid w:val="004B34B7"/>
    <w:rsid w:val="004B3BE3"/>
    <w:rsid w:val="004B3E0C"/>
    <w:rsid w:val="004B46AE"/>
    <w:rsid w:val="004B4DE8"/>
    <w:rsid w:val="004B50B3"/>
    <w:rsid w:val="004B5CBE"/>
    <w:rsid w:val="004B5CCA"/>
    <w:rsid w:val="004B5DE7"/>
    <w:rsid w:val="004B5E05"/>
    <w:rsid w:val="004B77AC"/>
    <w:rsid w:val="004B7C52"/>
    <w:rsid w:val="004C00C7"/>
    <w:rsid w:val="004C00D7"/>
    <w:rsid w:val="004C0510"/>
    <w:rsid w:val="004C066E"/>
    <w:rsid w:val="004C07D6"/>
    <w:rsid w:val="004C0924"/>
    <w:rsid w:val="004C0B95"/>
    <w:rsid w:val="004C0DDE"/>
    <w:rsid w:val="004C0E86"/>
    <w:rsid w:val="004C0F99"/>
    <w:rsid w:val="004C1288"/>
    <w:rsid w:val="004C13F1"/>
    <w:rsid w:val="004C16D9"/>
    <w:rsid w:val="004C220D"/>
    <w:rsid w:val="004C2B6D"/>
    <w:rsid w:val="004C3311"/>
    <w:rsid w:val="004C339B"/>
    <w:rsid w:val="004C38CF"/>
    <w:rsid w:val="004C3E70"/>
    <w:rsid w:val="004C47E7"/>
    <w:rsid w:val="004C4C00"/>
    <w:rsid w:val="004C5584"/>
    <w:rsid w:val="004C564E"/>
    <w:rsid w:val="004C5A99"/>
    <w:rsid w:val="004C627E"/>
    <w:rsid w:val="004C629D"/>
    <w:rsid w:val="004C684E"/>
    <w:rsid w:val="004C694E"/>
    <w:rsid w:val="004C6BCA"/>
    <w:rsid w:val="004C6C64"/>
    <w:rsid w:val="004C6CCE"/>
    <w:rsid w:val="004C6E8D"/>
    <w:rsid w:val="004C6EC6"/>
    <w:rsid w:val="004C73B7"/>
    <w:rsid w:val="004C76E8"/>
    <w:rsid w:val="004C7803"/>
    <w:rsid w:val="004C7B21"/>
    <w:rsid w:val="004C7B2B"/>
    <w:rsid w:val="004C7B2C"/>
    <w:rsid w:val="004C7BB1"/>
    <w:rsid w:val="004C7D33"/>
    <w:rsid w:val="004C7F28"/>
    <w:rsid w:val="004D02A6"/>
    <w:rsid w:val="004D0436"/>
    <w:rsid w:val="004D05D3"/>
    <w:rsid w:val="004D1010"/>
    <w:rsid w:val="004D14E4"/>
    <w:rsid w:val="004D1C19"/>
    <w:rsid w:val="004D25FE"/>
    <w:rsid w:val="004D2F84"/>
    <w:rsid w:val="004D3E73"/>
    <w:rsid w:val="004D438B"/>
    <w:rsid w:val="004D451D"/>
    <w:rsid w:val="004D5014"/>
    <w:rsid w:val="004D516D"/>
    <w:rsid w:val="004D5885"/>
    <w:rsid w:val="004D5D17"/>
    <w:rsid w:val="004D62CB"/>
    <w:rsid w:val="004D661A"/>
    <w:rsid w:val="004D6792"/>
    <w:rsid w:val="004D6B24"/>
    <w:rsid w:val="004D6ECC"/>
    <w:rsid w:val="004D7186"/>
    <w:rsid w:val="004D71BE"/>
    <w:rsid w:val="004D7495"/>
    <w:rsid w:val="004D7709"/>
    <w:rsid w:val="004D78BB"/>
    <w:rsid w:val="004D7939"/>
    <w:rsid w:val="004D79DB"/>
    <w:rsid w:val="004D7CBB"/>
    <w:rsid w:val="004D7E3E"/>
    <w:rsid w:val="004E017A"/>
    <w:rsid w:val="004E0F6F"/>
    <w:rsid w:val="004E1CE8"/>
    <w:rsid w:val="004E2473"/>
    <w:rsid w:val="004E3255"/>
    <w:rsid w:val="004E386F"/>
    <w:rsid w:val="004E39B6"/>
    <w:rsid w:val="004E403B"/>
    <w:rsid w:val="004E4072"/>
    <w:rsid w:val="004E4547"/>
    <w:rsid w:val="004E45A4"/>
    <w:rsid w:val="004E4616"/>
    <w:rsid w:val="004E46D6"/>
    <w:rsid w:val="004E4DA7"/>
    <w:rsid w:val="004E5C4D"/>
    <w:rsid w:val="004E62F3"/>
    <w:rsid w:val="004E6699"/>
    <w:rsid w:val="004E6762"/>
    <w:rsid w:val="004E6994"/>
    <w:rsid w:val="004E6F13"/>
    <w:rsid w:val="004E7799"/>
    <w:rsid w:val="004E7C0C"/>
    <w:rsid w:val="004E7E8E"/>
    <w:rsid w:val="004F0115"/>
    <w:rsid w:val="004F0204"/>
    <w:rsid w:val="004F1045"/>
    <w:rsid w:val="004F141F"/>
    <w:rsid w:val="004F1E21"/>
    <w:rsid w:val="004F2100"/>
    <w:rsid w:val="004F2D78"/>
    <w:rsid w:val="004F31D4"/>
    <w:rsid w:val="004F31DA"/>
    <w:rsid w:val="004F3249"/>
    <w:rsid w:val="004F34AD"/>
    <w:rsid w:val="004F37F4"/>
    <w:rsid w:val="004F3916"/>
    <w:rsid w:val="004F3E18"/>
    <w:rsid w:val="004F3F36"/>
    <w:rsid w:val="004F400C"/>
    <w:rsid w:val="004F4240"/>
    <w:rsid w:val="004F4ADB"/>
    <w:rsid w:val="004F4C4A"/>
    <w:rsid w:val="004F5A5B"/>
    <w:rsid w:val="004F5B4B"/>
    <w:rsid w:val="004F5B57"/>
    <w:rsid w:val="004F5FC2"/>
    <w:rsid w:val="004F6474"/>
    <w:rsid w:val="004F7094"/>
    <w:rsid w:val="004F7269"/>
    <w:rsid w:val="004F7B10"/>
    <w:rsid w:val="004F7B39"/>
    <w:rsid w:val="00500484"/>
    <w:rsid w:val="005009C3"/>
    <w:rsid w:val="00500AB3"/>
    <w:rsid w:val="00500B90"/>
    <w:rsid w:val="00500C46"/>
    <w:rsid w:val="00501084"/>
    <w:rsid w:val="00502760"/>
    <w:rsid w:val="00502BA9"/>
    <w:rsid w:val="00502D81"/>
    <w:rsid w:val="005031E7"/>
    <w:rsid w:val="00503301"/>
    <w:rsid w:val="005038EF"/>
    <w:rsid w:val="005038F9"/>
    <w:rsid w:val="00503C7F"/>
    <w:rsid w:val="00504A5F"/>
    <w:rsid w:val="005050EC"/>
    <w:rsid w:val="00505313"/>
    <w:rsid w:val="0050536F"/>
    <w:rsid w:val="0050639B"/>
    <w:rsid w:val="00506DE0"/>
    <w:rsid w:val="00506E0D"/>
    <w:rsid w:val="005072B5"/>
    <w:rsid w:val="00507AE8"/>
    <w:rsid w:val="00507CF1"/>
    <w:rsid w:val="00510360"/>
    <w:rsid w:val="005104F1"/>
    <w:rsid w:val="0051051C"/>
    <w:rsid w:val="00510A41"/>
    <w:rsid w:val="00511262"/>
    <w:rsid w:val="005137E5"/>
    <w:rsid w:val="00513908"/>
    <w:rsid w:val="00513C12"/>
    <w:rsid w:val="00513E7E"/>
    <w:rsid w:val="0051420F"/>
    <w:rsid w:val="005146BA"/>
    <w:rsid w:val="0051480C"/>
    <w:rsid w:val="0051485C"/>
    <w:rsid w:val="00514B3F"/>
    <w:rsid w:val="00514E03"/>
    <w:rsid w:val="005155C0"/>
    <w:rsid w:val="00515666"/>
    <w:rsid w:val="00516414"/>
    <w:rsid w:val="0051751D"/>
    <w:rsid w:val="00517845"/>
    <w:rsid w:val="005202FD"/>
    <w:rsid w:val="00520522"/>
    <w:rsid w:val="0052054F"/>
    <w:rsid w:val="005206CD"/>
    <w:rsid w:val="00520FA1"/>
    <w:rsid w:val="00521AD3"/>
    <w:rsid w:val="00521B9D"/>
    <w:rsid w:val="00521E0A"/>
    <w:rsid w:val="00522166"/>
    <w:rsid w:val="00522206"/>
    <w:rsid w:val="005222C1"/>
    <w:rsid w:val="0052262D"/>
    <w:rsid w:val="0052269E"/>
    <w:rsid w:val="00522A8D"/>
    <w:rsid w:val="005232D5"/>
    <w:rsid w:val="005235D7"/>
    <w:rsid w:val="00523D8F"/>
    <w:rsid w:val="00523FB9"/>
    <w:rsid w:val="00524142"/>
    <w:rsid w:val="00524346"/>
    <w:rsid w:val="0052436F"/>
    <w:rsid w:val="00524CBF"/>
    <w:rsid w:val="00524DAA"/>
    <w:rsid w:val="00525642"/>
    <w:rsid w:val="00525710"/>
    <w:rsid w:val="005257AB"/>
    <w:rsid w:val="00525892"/>
    <w:rsid w:val="00525899"/>
    <w:rsid w:val="00525C30"/>
    <w:rsid w:val="00526313"/>
    <w:rsid w:val="00526349"/>
    <w:rsid w:val="00526361"/>
    <w:rsid w:val="00526898"/>
    <w:rsid w:val="00526DA1"/>
    <w:rsid w:val="00527234"/>
    <w:rsid w:val="00527CC6"/>
    <w:rsid w:val="00527FE5"/>
    <w:rsid w:val="00527FE7"/>
    <w:rsid w:val="005302CC"/>
    <w:rsid w:val="005304EF"/>
    <w:rsid w:val="005306E7"/>
    <w:rsid w:val="00530D6B"/>
    <w:rsid w:val="00530E48"/>
    <w:rsid w:val="005311E6"/>
    <w:rsid w:val="00531359"/>
    <w:rsid w:val="00531E9A"/>
    <w:rsid w:val="00532138"/>
    <w:rsid w:val="00532578"/>
    <w:rsid w:val="00532952"/>
    <w:rsid w:val="0053356C"/>
    <w:rsid w:val="00533679"/>
    <w:rsid w:val="00533736"/>
    <w:rsid w:val="00533D7B"/>
    <w:rsid w:val="00534201"/>
    <w:rsid w:val="005344D0"/>
    <w:rsid w:val="0053474B"/>
    <w:rsid w:val="00534802"/>
    <w:rsid w:val="0053506D"/>
    <w:rsid w:val="0053589F"/>
    <w:rsid w:val="005358C5"/>
    <w:rsid w:val="00535B4E"/>
    <w:rsid w:val="00535CEF"/>
    <w:rsid w:val="00535D55"/>
    <w:rsid w:val="005363DD"/>
    <w:rsid w:val="005365D3"/>
    <w:rsid w:val="00536675"/>
    <w:rsid w:val="00536E27"/>
    <w:rsid w:val="00537364"/>
    <w:rsid w:val="00537563"/>
    <w:rsid w:val="00537D37"/>
    <w:rsid w:val="005400D8"/>
    <w:rsid w:val="005403AD"/>
    <w:rsid w:val="005405ED"/>
    <w:rsid w:val="00540842"/>
    <w:rsid w:val="00540EDA"/>
    <w:rsid w:val="0054107D"/>
    <w:rsid w:val="005411EF"/>
    <w:rsid w:val="00541A96"/>
    <w:rsid w:val="00541B49"/>
    <w:rsid w:val="005421AC"/>
    <w:rsid w:val="005421BF"/>
    <w:rsid w:val="00542B0F"/>
    <w:rsid w:val="00542C3F"/>
    <w:rsid w:val="00543802"/>
    <w:rsid w:val="00543927"/>
    <w:rsid w:val="0054393B"/>
    <w:rsid w:val="00544099"/>
    <w:rsid w:val="005446EB"/>
    <w:rsid w:val="00544B34"/>
    <w:rsid w:val="005455A3"/>
    <w:rsid w:val="0054605A"/>
    <w:rsid w:val="00546218"/>
    <w:rsid w:val="00546B40"/>
    <w:rsid w:val="00546CFB"/>
    <w:rsid w:val="0054772B"/>
    <w:rsid w:val="0054791C"/>
    <w:rsid w:val="00547CFB"/>
    <w:rsid w:val="00547DEB"/>
    <w:rsid w:val="00547F62"/>
    <w:rsid w:val="00550CFA"/>
    <w:rsid w:val="00550F6B"/>
    <w:rsid w:val="005516C8"/>
    <w:rsid w:val="00551FD6"/>
    <w:rsid w:val="0055213B"/>
    <w:rsid w:val="00552400"/>
    <w:rsid w:val="00552AB4"/>
    <w:rsid w:val="005534AC"/>
    <w:rsid w:val="00553A72"/>
    <w:rsid w:val="00553C33"/>
    <w:rsid w:val="005544F3"/>
    <w:rsid w:val="005545AF"/>
    <w:rsid w:val="005549F2"/>
    <w:rsid w:val="00554D52"/>
    <w:rsid w:val="00555099"/>
    <w:rsid w:val="005553CA"/>
    <w:rsid w:val="00555A15"/>
    <w:rsid w:val="0055671D"/>
    <w:rsid w:val="0055677E"/>
    <w:rsid w:val="00556E07"/>
    <w:rsid w:val="00557B46"/>
    <w:rsid w:val="00557EF4"/>
    <w:rsid w:val="00560199"/>
    <w:rsid w:val="005603E2"/>
    <w:rsid w:val="00560564"/>
    <w:rsid w:val="00560A23"/>
    <w:rsid w:val="00560A4F"/>
    <w:rsid w:val="00560C40"/>
    <w:rsid w:val="00560D1E"/>
    <w:rsid w:val="00560EAB"/>
    <w:rsid w:val="00561405"/>
    <w:rsid w:val="005615EE"/>
    <w:rsid w:val="00561675"/>
    <w:rsid w:val="00561CAC"/>
    <w:rsid w:val="00561CB5"/>
    <w:rsid w:val="00562BAC"/>
    <w:rsid w:val="0056310C"/>
    <w:rsid w:val="00563415"/>
    <w:rsid w:val="005634CE"/>
    <w:rsid w:val="00563712"/>
    <w:rsid w:val="0056411D"/>
    <w:rsid w:val="0056430A"/>
    <w:rsid w:val="0056469E"/>
    <w:rsid w:val="0056489E"/>
    <w:rsid w:val="00564C9A"/>
    <w:rsid w:val="00564F5A"/>
    <w:rsid w:val="0056536E"/>
    <w:rsid w:val="0056541D"/>
    <w:rsid w:val="005654DB"/>
    <w:rsid w:val="0056595B"/>
    <w:rsid w:val="0056597E"/>
    <w:rsid w:val="00565D98"/>
    <w:rsid w:val="00566543"/>
    <w:rsid w:val="0056661B"/>
    <w:rsid w:val="005670D7"/>
    <w:rsid w:val="00567547"/>
    <w:rsid w:val="00567908"/>
    <w:rsid w:val="00567919"/>
    <w:rsid w:val="00567C21"/>
    <w:rsid w:val="00567D18"/>
    <w:rsid w:val="00567E33"/>
    <w:rsid w:val="00567F72"/>
    <w:rsid w:val="00567F82"/>
    <w:rsid w:val="0057081D"/>
    <w:rsid w:val="0057094E"/>
    <w:rsid w:val="00570AF8"/>
    <w:rsid w:val="005712F3"/>
    <w:rsid w:val="005714A8"/>
    <w:rsid w:val="00571B42"/>
    <w:rsid w:val="00571D28"/>
    <w:rsid w:val="005725FA"/>
    <w:rsid w:val="00572629"/>
    <w:rsid w:val="00572F25"/>
    <w:rsid w:val="005735E4"/>
    <w:rsid w:val="005738AA"/>
    <w:rsid w:val="00573D35"/>
    <w:rsid w:val="00573D5C"/>
    <w:rsid w:val="0057402B"/>
    <w:rsid w:val="00574331"/>
    <w:rsid w:val="00574C8F"/>
    <w:rsid w:val="00574D0C"/>
    <w:rsid w:val="00574D8E"/>
    <w:rsid w:val="0057500C"/>
    <w:rsid w:val="00575145"/>
    <w:rsid w:val="00575501"/>
    <w:rsid w:val="00576073"/>
    <w:rsid w:val="00576169"/>
    <w:rsid w:val="00576549"/>
    <w:rsid w:val="005771BE"/>
    <w:rsid w:val="00577625"/>
    <w:rsid w:val="0057780A"/>
    <w:rsid w:val="0058065B"/>
    <w:rsid w:val="0058156D"/>
    <w:rsid w:val="005816C9"/>
    <w:rsid w:val="005821D0"/>
    <w:rsid w:val="00582B89"/>
    <w:rsid w:val="00582B8E"/>
    <w:rsid w:val="00582D08"/>
    <w:rsid w:val="00582DE8"/>
    <w:rsid w:val="0058394F"/>
    <w:rsid w:val="00583969"/>
    <w:rsid w:val="00583B49"/>
    <w:rsid w:val="00583E79"/>
    <w:rsid w:val="005841AD"/>
    <w:rsid w:val="00584A9E"/>
    <w:rsid w:val="00584C9B"/>
    <w:rsid w:val="00584D01"/>
    <w:rsid w:val="005851DE"/>
    <w:rsid w:val="00585434"/>
    <w:rsid w:val="00586661"/>
    <w:rsid w:val="00586A39"/>
    <w:rsid w:val="00586D36"/>
    <w:rsid w:val="00586E8C"/>
    <w:rsid w:val="00587142"/>
    <w:rsid w:val="005877DC"/>
    <w:rsid w:val="00590321"/>
    <w:rsid w:val="00591319"/>
    <w:rsid w:val="00591B36"/>
    <w:rsid w:val="00591E1E"/>
    <w:rsid w:val="0059212C"/>
    <w:rsid w:val="005924AC"/>
    <w:rsid w:val="00592C50"/>
    <w:rsid w:val="005930CE"/>
    <w:rsid w:val="00593636"/>
    <w:rsid w:val="005939B6"/>
    <w:rsid w:val="005939E4"/>
    <w:rsid w:val="00593A9E"/>
    <w:rsid w:val="00593BAE"/>
    <w:rsid w:val="00593BD8"/>
    <w:rsid w:val="00593D30"/>
    <w:rsid w:val="00594670"/>
    <w:rsid w:val="00594C1C"/>
    <w:rsid w:val="0059505B"/>
    <w:rsid w:val="0059545E"/>
    <w:rsid w:val="005956AF"/>
    <w:rsid w:val="005956B3"/>
    <w:rsid w:val="005956E3"/>
    <w:rsid w:val="00595742"/>
    <w:rsid w:val="005959E5"/>
    <w:rsid w:val="00596B4F"/>
    <w:rsid w:val="00596BDA"/>
    <w:rsid w:val="00596DD0"/>
    <w:rsid w:val="00596F38"/>
    <w:rsid w:val="005978D2"/>
    <w:rsid w:val="005A0123"/>
    <w:rsid w:val="005A014B"/>
    <w:rsid w:val="005A034E"/>
    <w:rsid w:val="005A0748"/>
    <w:rsid w:val="005A0767"/>
    <w:rsid w:val="005A079A"/>
    <w:rsid w:val="005A07CD"/>
    <w:rsid w:val="005A0BF6"/>
    <w:rsid w:val="005A1D61"/>
    <w:rsid w:val="005A2A52"/>
    <w:rsid w:val="005A33F5"/>
    <w:rsid w:val="005A3880"/>
    <w:rsid w:val="005A3C54"/>
    <w:rsid w:val="005A4717"/>
    <w:rsid w:val="005A4C1D"/>
    <w:rsid w:val="005A4D85"/>
    <w:rsid w:val="005A511C"/>
    <w:rsid w:val="005A535A"/>
    <w:rsid w:val="005A5465"/>
    <w:rsid w:val="005A5DA1"/>
    <w:rsid w:val="005A615E"/>
    <w:rsid w:val="005A64CF"/>
    <w:rsid w:val="005A6E75"/>
    <w:rsid w:val="005A7519"/>
    <w:rsid w:val="005A7B32"/>
    <w:rsid w:val="005A7C1D"/>
    <w:rsid w:val="005B04AC"/>
    <w:rsid w:val="005B11AB"/>
    <w:rsid w:val="005B1679"/>
    <w:rsid w:val="005B1AFC"/>
    <w:rsid w:val="005B1B7D"/>
    <w:rsid w:val="005B1C30"/>
    <w:rsid w:val="005B212E"/>
    <w:rsid w:val="005B220F"/>
    <w:rsid w:val="005B2421"/>
    <w:rsid w:val="005B2AC3"/>
    <w:rsid w:val="005B38A3"/>
    <w:rsid w:val="005B3916"/>
    <w:rsid w:val="005B3FCD"/>
    <w:rsid w:val="005B4214"/>
    <w:rsid w:val="005B426A"/>
    <w:rsid w:val="005B4962"/>
    <w:rsid w:val="005B4D21"/>
    <w:rsid w:val="005B543A"/>
    <w:rsid w:val="005B569D"/>
    <w:rsid w:val="005B5950"/>
    <w:rsid w:val="005B5959"/>
    <w:rsid w:val="005B59E8"/>
    <w:rsid w:val="005B5A41"/>
    <w:rsid w:val="005B5C6C"/>
    <w:rsid w:val="005B5D9E"/>
    <w:rsid w:val="005B6006"/>
    <w:rsid w:val="005B63DF"/>
    <w:rsid w:val="005B6C0A"/>
    <w:rsid w:val="005B6EDF"/>
    <w:rsid w:val="005B74BB"/>
    <w:rsid w:val="005B76E1"/>
    <w:rsid w:val="005B7CCE"/>
    <w:rsid w:val="005B7F1B"/>
    <w:rsid w:val="005C0248"/>
    <w:rsid w:val="005C0298"/>
    <w:rsid w:val="005C0311"/>
    <w:rsid w:val="005C046D"/>
    <w:rsid w:val="005C1367"/>
    <w:rsid w:val="005C14B1"/>
    <w:rsid w:val="005C1EF1"/>
    <w:rsid w:val="005C2236"/>
    <w:rsid w:val="005C22AB"/>
    <w:rsid w:val="005C272F"/>
    <w:rsid w:val="005C2AE8"/>
    <w:rsid w:val="005C2B9F"/>
    <w:rsid w:val="005C2D52"/>
    <w:rsid w:val="005C358F"/>
    <w:rsid w:val="005C36D0"/>
    <w:rsid w:val="005C395E"/>
    <w:rsid w:val="005C41A8"/>
    <w:rsid w:val="005C498D"/>
    <w:rsid w:val="005C520E"/>
    <w:rsid w:val="005C52B8"/>
    <w:rsid w:val="005C5675"/>
    <w:rsid w:val="005C58F8"/>
    <w:rsid w:val="005C5E14"/>
    <w:rsid w:val="005C608B"/>
    <w:rsid w:val="005C60DD"/>
    <w:rsid w:val="005C7135"/>
    <w:rsid w:val="005C754E"/>
    <w:rsid w:val="005C7AB6"/>
    <w:rsid w:val="005C7CD6"/>
    <w:rsid w:val="005D0093"/>
    <w:rsid w:val="005D035E"/>
    <w:rsid w:val="005D0511"/>
    <w:rsid w:val="005D0E7D"/>
    <w:rsid w:val="005D151F"/>
    <w:rsid w:val="005D16AB"/>
    <w:rsid w:val="005D170E"/>
    <w:rsid w:val="005D1861"/>
    <w:rsid w:val="005D1E95"/>
    <w:rsid w:val="005D21B0"/>
    <w:rsid w:val="005D482C"/>
    <w:rsid w:val="005D4F77"/>
    <w:rsid w:val="005D5472"/>
    <w:rsid w:val="005D5941"/>
    <w:rsid w:val="005D5CCE"/>
    <w:rsid w:val="005D638E"/>
    <w:rsid w:val="005D654D"/>
    <w:rsid w:val="005D655C"/>
    <w:rsid w:val="005D656D"/>
    <w:rsid w:val="005D671F"/>
    <w:rsid w:val="005D6A6A"/>
    <w:rsid w:val="005D6D8E"/>
    <w:rsid w:val="005D7746"/>
    <w:rsid w:val="005D79A7"/>
    <w:rsid w:val="005D7DF3"/>
    <w:rsid w:val="005E04E2"/>
    <w:rsid w:val="005E0674"/>
    <w:rsid w:val="005E0701"/>
    <w:rsid w:val="005E10C7"/>
    <w:rsid w:val="005E1406"/>
    <w:rsid w:val="005E1589"/>
    <w:rsid w:val="005E171A"/>
    <w:rsid w:val="005E18F2"/>
    <w:rsid w:val="005E1ED4"/>
    <w:rsid w:val="005E23EF"/>
    <w:rsid w:val="005E257A"/>
    <w:rsid w:val="005E2AB5"/>
    <w:rsid w:val="005E3211"/>
    <w:rsid w:val="005E33E5"/>
    <w:rsid w:val="005E3881"/>
    <w:rsid w:val="005E430B"/>
    <w:rsid w:val="005E43AD"/>
    <w:rsid w:val="005E4EF5"/>
    <w:rsid w:val="005E511C"/>
    <w:rsid w:val="005E563F"/>
    <w:rsid w:val="005E57FE"/>
    <w:rsid w:val="005E5864"/>
    <w:rsid w:val="005E5C6C"/>
    <w:rsid w:val="005E5DF8"/>
    <w:rsid w:val="005E5E5E"/>
    <w:rsid w:val="005E5E6C"/>
    <w:rsid w:val="005E61D8"/>
    <w:rsid w:val="005E627E"/>
    <w:rsid w:val="005E635D"/>
    <w:rsid w:val="005E6959"/>
    <w:rsid w:val="005E7163"/>
    <w:rsid w:val="005E74B1"/>
    <w:rsid w:val="005E7608"/>
    <w:rsid w:val="005E7F12"/>
    <w:rsid w:val="005E7F8D"/>
    <w:rsid w:val="005F0B4F"/>
    <w:rsid w:val="005F0BCE"/>
    <w:rsid w:val="005F15E8"/>
    <w:rsid w:val="005F16D8"/>
    <w:rsid w:val="005F184D"/>
    <w:rsid w:val="005F1A69"/>
    <w:rsid w:val="005F2134"/>
    <w:rsid w:val="005F2386"/>
    <w:rsid w:val="005F2BC9"/>
    <w:rsid w:val="005F2C9D"/>
    <w:rsid w:val="005F324F"/>
    <w:rsid w:val="005F3483"/>
    <w:rsid w:val="005F352D"/>
    <w:rsid w:val="005F354C"/>
    <w:rsid w:val="005F3970"/>
    <w:rsid w:val="005F402B"/>
    <w:rsid w:val="005F4602"/>
    <w:rsid w:val="005F47B3"/>
    <w:rsid w:val="005F4C43"/>
    <w:rsid w:val="005F51A2"/>
    <w:rsid w:val="005F522C"/>
    <w:rsid w:val="005F5302"/>
    <w:rsid w:val="005F5830"/>
    <w:rsid w:val="005F60A3"/>
    <w:rsid w:val="005F62BF"/>
    <w:rsid w:val="005F639E"/>
    <w:rsid w:val="005F665E"/>
    <w:rsid w:val="005F6971"/>
    <w:rsid w:val="005F69B2"/>
    <w:rsid w:val="005F73A0"/>
    <w:rsid w:val="005F7994"/>
    <w:rsid w:val="005F79AB"/>
    <w:rsid w:val="005F7DF7"/>
    <w:rsid w:val="006000CF"/>
    <w:rsid w:val="0060020F"/>
    <w:rsid w:val="0060029C"/>
    <w:rsid w:val="00600399"/>
    <w:rsid w:val="00600D08"/>
    <w:rsid w:val="00601661"/>
    <w:rsid w:val="0060177A"/>
    <w:rsid w:val="00601D88"/>
    <w:rsid w:val="0060285B"/>
    <w:rsid w:val="00602A42"/>
    <w:rsid w:val="00602F7B"/>
    <w:rsid w:val="006030BF"/>
    <w:rsid w:val="006031F4"/>
    <w:rsid w:val="0060356B"/>
    <w:rsid w:val="00603AC7"/>
    <w:rsid w:val="00603B15"/>
    <w:rsid w:val="00603C93"/>
    <w:rsid w:val="00603DE4"/>
    <w:rsid w:val="00604B04"/>
    <w:rsid w:val="00604EED"/>
    <w:rsid w:val="006052C8"/>
    <w:rsid w:val="006053F6"/>
    <w:rsid w:val="0060565C"/>
    <w:rsid w:val="006058D9"/>
    <w:rsid w:val="00605A60"/>
    <w:rsid w:val="00606589"/>
    <w:rsid w:val="00606A5D"/>
    <w:rsid w:val="00607B6D"/>
    <w:rsid w:val="006100F7"/>
    <w:rsid w:val="0061024A"/>
    <w:rsid w:val="006104F0"/>
    <w:rsid w:val="006109BD"/>
    <w:rsid w:val="0061101F"/>
    <w:rsid w:val="006114FE"/>
    <w:rsid w:val="00611518"/>
    <w:rsid w:val="0061173C"/>
    <w:rsid w:val="0061174A"/>
    <w:rsid w:val="00611F74"/>
    <w:rsid w:val="006123CE"/>
    <w:rsid w:val="00612A01"/>
    <w:rsid w:val="00612D96"/>
    <w:rsid w:val="006130C5"/>
    <w:rsid w:val="00613488"/>
    <w:rsid w:val="006137DA"/>
    <w:rsid w:val="00613885"/>
    <w:rsid w:val="00613F02"/>
    <w:rsid w:val="00614885"/>
    <w:rsid w:val="00615202"/>
    <w:rsid w:val="00615346"/>
    <w:rsid w:val="00615376"/>
    <w:rsid w:val="0061541D"/>
    <w:rsid w:val="0061560D"/>
    <w:rsid w:val="00615951"/>
    <w:rsid w:val="00615B96"/>
    <w:rsid w:val="00615D8F"/>
    <w:rsid w:val="00616773"/>
    <w:rsid w:val="006169DE"/>
    <w:rsid w:val="00616DC8"/>
    <w:rsid w:val="00617263"/>
    <w:rsid w:val="006174B6"/>
    <w:rsid w:val="006174E8"/>
    <w:rsid w:val="00617755"/>
    <w:rsid w:val="006177B2"/>
    <w:rsid w:val="006178D4"/>
    <w:rsid w:val="00617935"/>
    <w:rsid w:val="006179DD"/>
    <w:rsid w:val="00617C7D"/>
    <w:rsid w:val="00620245"/>
    <w:rsid w:val="00620ED1"/>
    <w:rsid w:val="006214B2"/>
    <w:rsid w:val="00622695"/>
    <w:rsid w:val="00622AC7"/>
    <w:rsid w:val="00622E72"/>
    <w:rsid w:val="00623338"/>
    <w:rsid w:val="006239ED"/>
    <w:rsid w:val="00623CB3"/>
    <w:rsid w:val="00624442"/>
    <w:rsid w:val="00624D22"/>
    <w:rsid w:val="00624E0A"/>
    <w:rsid w:val="00624E15"/>
    <w:rsid w:val="0062564C"/>
    <w:rsid w:val="006256D5"/>
    <w:rsid w:val="00625DF7"/>
    <w:rsid w:val="0062640A"/>
    <w:rsid w:val="00626584"/>
    <w:rsid w:val="00626818"/>
    <w:rsid w:val="00626A41"/>
    <w:rsid w:val="00626D95"/>
    <w:rsid w:val="00626DA1"/>
    <w:rsid w:val="00626EA3"/>
    <w:rsid w:val="00626EBF"/>
    <w:rsid w:val="006270F8"/>
    <w:rsid w:val="0062724B"/>
    <w:rsid w:val="006275ED"/>
    <w:rsid w:val="00627711"/>
    <w:rsid w:val="00627827"/>
    <w:rsid w:val="00627AC4"/>
    <w:rsid w:val="0063004F"/>
    <w:rsid w:val="00630142"/>
    <w:rsid w:val="00631530"/>
    <w:rsid w:val="0063192E"/>
    <w:rsid w:val="00631DA4"/>
    <w:rsid w:val="006323AF"/>
    <w:rsid w:val="006325E9"/>
    <w:rsid w:val="00632993"/>
    <w:rsid w:val="0063390B"/>
    <w:rsid w:val="00633F03"/>
    <w:rsid w:val="00633FDF"/>
    <w:rsid w:val="006340A1"/>
    <w:rsid w:val="00634F25"/>
    <w:rsid w:val="00635BE2"/>
    <w:rsid w:val="00635ED7"/>
    <w:rsid w:val="00635F5D"/>
    <w:rsid w:val="00636508"/>
    <w:rsid w:val="0063698E"/>
    <w:rsid w:val="00636B60"/>
    <w:rsid w:val="006374FC"/>
    <w:rsid w:val="00637784"/>
    <w:rsid w:val="006377B0"/>
    <w:rsid w:val="0063780E"/>
    <w:rsid w:val="006405DE"/>
    <w:rsid w:val="00640604"/>
    <w:rsid w:val="006412EA"/>
    <w:rsid w:val="00641431"/>
    <w:rsid w:val="0064153D"/>
    <w:rsid w:val="006418A4"/>
    <w:rsid w:val="006418FC"/>
    <w:rsid w:val="00641B7A"/>
    <w:rsid w:val="00641DD7"/>
    <w:rsid w:val="00642080"/>
    <w:rsid w:val="006420E2"/>
    <w:rsid w:val="00642477"/>
    <w:rsid w:val="006429B6"/>
    <w:rsid w:val="00642D6D"/>
    <w:rsid w:val="00642E9A"/>
    <w:rsid w:val="006439E7"/>
    <w:rsid w:val="00644535"/>
    <w:rsid w:val="00644B1A"/>
    <w:rsid w:val="00644DCE"/>
    <w:rsid w:val="00645A49"/>
    <w:rsid w:val="00645D22"/>
    <w:rsid w:val="00645F88"/>
    <w:rsid w:val="00646343"/>
    <w:rsid w:val="00646444"/>
    <w:rsid w:val="00646EDD"/>
    <w:rsid w:val="00646F77"/>
    <w:rsid w:val="00647A47"/>
    <w:rsid w:val="00647E79"/>
    <w:rsid w:val="006501AC"/>
    <w:rsid w:val="00650460"/>
    <w:rsid w:val="00650826"/>
    <w:rsid w:val="00650EFE"/>
    <w:rsid w:val="00651191"/>
    <w:rsid w:val="0065153B"/>
    <w:rsid w:val="00651611"/>
    <w:rsid w:val="00651614"/>
    <w:rsid w:val="0065193B"/>
    <w:rsid w:val="00651AC0"/>
    <w:rsid w:val="00651E01"/>
    <w:rsid w:val="00651F94"/>
    <w:rsid w:val="006521E5"/>
    <w:rsid w:val="00652AB3"/>
    <w:rsid w:val="00652B08"/>
    <w:rsid w:val="00652ED3"/>
    <w:rsid w:val="006534FE"/>
    <w:rsid w:val="00653836"/>
    <w:rsid w:val="00653BE0"/>
    <w:rsid w:val="00653E6F"/>
    <w:rsid w:val="00653FEF"/>
    <w:rsid w:val="0065435A"/>
    <w:rsid w:val="00654457"/>
    <w:rsid w:val="00654511"/>
    <w:rsid w:val="0065478C"/>
    <w:rsid w:val="00654EB5"/>
    <w:rsid w:val="006559CF"/>
    <w:rsid w:val="00656367"/>
    <w:rsid w:val="00656393"/>
    <w:rsid w:val="006564FB"/>
    <w:rsid w:val="00656665"/>
    <w:rsid w:val="006567F5"/>
    <w:rsid w:val="00657094"/>
    <w:rsid w:val="00657A1E"/>
    <w:rsid w:val="00657C9E"/>
    <w:rsid w:val="00657D1C"/>
    <w:rsid w:val="006607DF"/>
    <w:rsid w:val="00660E6D"/>
    <w:rsid w:val="0066168B"/>
    <w:rsid w:val="00662550"/>
    <w:rsid w:val="00662566"/>
    <w:rsid w:val="00662594"/>
    <w:rsid w:val="0066292D"/>
    <w:rsid w:val="00662A44"/>
    <w:rsid w:val="00662E71"/>
    <w:rsid w:val="0066387E"/>
    <w:rsid w:val="00663BED"/>
    <w:rsid w:val="00663C9E"/>
    <w:rsid w:val="00663D9B"/>
    <w:rsid w:val="00664381"/>
    <w:rsid w:val="006644A0"/>
    <w:rsid w:val="00664885"/>
    <w:rsid w:val="006649C4"/>
    <w:rsid w:val="0066538C"/>
    <w:rsid w:val="00665464"/>
    <w:rsid w:val="00665954"/>
    <w:rsid w:val="0066603C"/>
    <w:rsid w:val="006667FC"/>
    <w:rsid w:val="00666947"/>
    <w:rsid w:val="00666969"/>
    <w:rsid w:val="00666BBE"/>
    <w:rsid w:val="0066755E"/>
    <w:rsid w:val="0066791A"/>
    <w:rsid w:val="00667F70"/>
    <w:rsid w:val="006718B3"/>
    <w:rsid w:val="00671A6F"/>
    <w:rsid w:val="00671B16"/>
    <w:rsid w:val="00671E45"/>
    <w:rsid w:val="00672361"/>
    <w:rsid w:val="0067268D"/>
    <w:rsid w:val="00672A57"/>
    <w:rsid w:val="00672FD3"/>
    <w:rsid w:val="006732CF"/>
    <w:rsid w:val="00673B14"/>
    <w:rsid w:val="00674132"/>
    <w:rsid w:val="00674722"/>
    <w:rsid w:val="00674743"/>
    <w:rsid w:val="00674AEA"/>
    <w:rsid w:val="00674E62"/>
    <w:rsid w:val="006750B6"/>
    <w:rsid w:val="006751C4"/>
    <w:rsid w:val="006755D2"/>
    <w:rsid w:val="00675A6C"/>
    <w:rsid w:val="0067608C"/>
    <w:rsid w:val="006765B0"/>
    <w:rsid w:val="0067674F"/>
    <w:rsid w:val="00676A59"/>
    <w:rsid w:val="00676C77"/>
    <w:rsid w:val="00676F08"/>
    <w:rsid w:val="0067720F"/>
    <w:rsid w:val="006772F7"/>
    <w:rsid w:val="00677671"/>
    <w:rsid w:val="0067798A"/>
    <w:rsid w:val="00677D13"/>
    <w:rsid w:val="00680212"/>
    <w:rsid w:val="006805C1"/>
    <w:rsid w:val="006817F5"/>
    <w:rsid w:val="00681B81"/>
    <w:rsid w:val="00682383"/>
    <w:rsid w:val="00682EEB"/>
    <w:rsid w:val="0068362A"/>
    <w:rsid w:val="0068438C"/>
    <w:rsid w:val="0068445B"/>
    <w:rsid w:val="00684D4E"/>
    <w:rsid w:val="00685048"/>
    <w:rsid w:val="006853D8"/>
    <w:rsid w:val="00685475"/>
    <w:rsid w:val="00685649"/>
    <w:rsid w:val="00685CB1"/>
    <w:rsid w:val="00685F08"/>
    <w:rsid w:val="0068622F"/>
    <w:rsid w:val="006875AE"/>
    <w:rsid w:val="00687A15"/>
    <w:rsid w:val="006900BC"/>
    <w:rsid w:val="0069022D"/>
    <w:rsid w:val="0069034A"/>
    <w:rsid w:val="0069119C"/>
    <w:rsid w:val="0069133A"/>
    <w:rsid w:val="006918CF"/>
    <w:rsid w:val="00691B18"/>
    <w:rsid w:val="00692576"/>
    <w:rsid w:val="006927EF"/>
    <w:rsid w:val="0069383C"/>
    <w:rsid w:val="00693DC0"/>
    <w:rsid w:val="00694276"/>
    <w:rsid w:val="0069480F"/>
    <w:rsid w:val="006954A4"/>
    <w:rsid w:val="0069579D"/>
    <w:rsid w:val="006966FE"/>
    <w:rsid w:val="006969C8"/>
    <w:rsid w:val="00696FA2"/>
    <w:rsid w:val="00697146"/>
    <w:rsid w:val="00697257"/>
    <w:rsid w:val="00697556"/>
    <w:rsid w:val="0069772E"/>
    <w:rsid w:val="00697944"/>
    <w:rsid w:val="00697F52"/>
    <w:rsid w:val="006A0633"/>
    <w:rsid w:val="006A066D"/>
    <w:rsid w:val="006A0D1E"/>
    <w:rsid w:val="006A0ED2"/>
    <w:rsid w:val="006A1161"/>
    <w:rsid w:val="006A1499"/>
    <w:rsid w:val="006A14EA"/>
    <w:rsid w:val="006A1D25"/>
    <w:rsid w:val="006A2367"/>
    <w:rsid w:val="006A24AE"/>
    <w:rsid w:val="006A25CE"/>
    <w:rsid w:val="006A272B"/>
    <w:rsid w:val="006A2791"/>
    <w:rsid w:val="006A292D"/>
    <w:rsid w:val="006A2EEF"/>
    <w:rsid w:val="006A330E"/>
    <w:rsid w:val="006A33AD"/>
    <w:rsid w:val="006A365A"/>
    <w:rsid w:val="006A39D2"/>
    <w:rsid w:val="006A3B07"/>
    <w:rsid w:val="006A43CC"/>
    <w:rsid w:val="006A4402"/>
    <w:rsid w:val="006A4897"/>
    <w:rsid w:val="006A4E5B"/>
    <w:rsid w:val="006A5111"/>
    <w:rsid w:val="006A5139"/>
    <w:rsid w:val="006A517B"/>
    <w:rsid w:val="006A5470"/>
    <w:rsid w:val="006A5915"/>
    <w:rsid w:val="006A5F86"/>
    <w:rsid w:val="006A6207"/>
    <w:rsid w:val="006A6700"/>
    <w:rsid w:val="006A6790"/>
    <w:rsid w:val="006A7864"/>
    <w:rsid w:val="006A7B7E"/>
    <w:rsid w:val="006A7E53"/>
    <w:rsid w:val="006B085F"/>
    <w:rsid w:val="006B0C87"/>
    <w:rsid w:val="006B0D52"/>
    <w:rsid w:val="006B16B0"/>
    <w:rsid w:val="006B1B9D"/>
    <w:rsid w:val="006B2CF1"/>
    <w:rsid w:val="006B2CFD"/>
    <w:rsid w:val="006B34EA"/>
    <w:rsid w:val="006B3817"/>
    <w:rsid w:val="006B3DE4"/>
    <w:rsid w:val="006B463D"/>
    <w:rsid w:val="006B49F8"/>
    <w:rsid w:val="006B50AA"/>
    <w:rsid w:val="006B5564"/>
    <w:rsid w:val="006B5C2C"/>
    <w:rsid w:val="006B632E"/>
    <w:rsid w:val="006B64C5"/>
    <w:rsid w:val="006B6938"/>
    <w:rsid w:val="006B6A38"/>
    <w:rsid w:val="006B6F30"/>
    <w:rsid w:val="006B7455"/>
    <w:rsid w:val="006B7EE3"/>
    <w:rsid w:val="006B7F32"/>
    <w:rsid w:val="006C09F9"/>
    <w:rsid w:val="006C0EE0"/>
    <w:rsid w:val="006C0FDB"/>
    <w:rsid w:val="006C14DC"/>
    <w:rsid w:val="006C1572"/>
    <w:rsid w:val="006C1E5C"/>
    <w:rsid w:val="006C1EB9"/>
    <w:rsid w:val="006C2082"/>
    <w:rsid w:val="006C20FC"/>
    <w:rsid w:val="006C26C8"/>
    <w:rsid w:val="006C27E8"/>
    <w:rsid w:val="006C2B61"/>
    <w:rsid w:val="006C2EE7"/>
    <w:rsid w:val="006C301D"/>
    <w:rsid w:val="006C30B5"/>
    <w:rsid w:val="006C312B"/>
    <w:rsid w:val="006C3455"/>
    <w:rsid w:val="006C3833"/>
    <w:rsid w:val="006C3B09"/>
    <w:rsid w:val="006C499A"/>
    <w:rsid w:val="006C4A17"/>
    <w:rsid w:val="006C4FE0"/>
    <w:rsid w:val="006C5214"/>
    <w:rsid w:val="006C56E1"/>
    <w:rsid w:val="006C5757"/>
    <w:rsid w:val="006C5C65"/>
    <w:rsid w:val="006C5DAC"/>
    <w:rsid w:val="006C6250"/>
    <w:rsid w:val="006C6588"/>
    <w:rsid w:val="006C66D2"/>
    <w:rsid w:val="006C6957"/>
    <w:rsid w:val="006C70D3"/>
    <w:rsid w:val="006C7460"/>
    <w:rsid w:val="006C77EB"/>
    <w:rsid w:val="006C7941"/>
    <w:rsid w:val="006C7B4C"/>
    <w:rsid w:val="006D0031"/>
    <w:rsid w:val="006D03AA"/>
    <w:rsid w:val="006D05E5"/>
    <w:rsid w:val="006D0D26"/>
    <w:rsid w:val="006D0FAD"/>
    <w:rsid w:val="006D1038"/>
    <w:rsid w:val="006D123D"/>
    <w:rsid w:val="006D15AA"/>
    <w:rsid w:val="006D17A2"/>
    <w:rsid w:val="006D1BB7"/>
    <w:rsid w:val="006D1BB8"/>
    <w:rsid w:val="006D1D7F"/>
    <w:rsid w:val="006D2739"/>
    <w:rsid w:val="006D2831"/>
    <w:rsid w:val="006D2993"/>
    <w:rsid w:val="006D2D01"/>
    <w:rsid w:val="006D2FE3"/>
    <w:rsid w:val="006D30AF"/>
    <w:rsid w:val="006D35F9"/>
    <w:rsid w:val="006D37EF"/>
    <w:rsid w:val="006D3A59"/>
    <w:rsid w:val="006D3B14"/>
    <w:rsid w:val="006D3F66"/>
    <w:rsid w:val="006D443E"/>
    <w:rsid w:val="006D4F5B"/>
    <w:rsid w:val="006D52B3"/>
    <w:rsid w:val="006D57E6"/>
    <w:rsid w:val="006D666F"/>
    <w:rsid w:val="006D6C00"/>
    <w:rsid w:val="006D7B73"/>
    <w:rsid w:val="006E0103"/>
    <w:rsid w:val="006E0C75"/>
    <w:rsid w:val="006E0E26"/>
    <w:rsid w:val="006E15C2"/>
    <w:rsid w:val="006E1CB2"/>
    <w:rsid w:val="006E2886"/>
    <w:rsid w:val="006E2B55"/>
    <w:rsid w:val="006E2E02"/>
    <w:rsid w:val="006E2F27"/>
    <w:rsid w:val="006E32A1"/>
    <w:rsid w:val="006E3670"/>
    <w:rsid w:val="006E409F"/>
    <w:rsid w:val="006E40C7"/>
    <w:rsid w:val="006E501C"/>
    <w:rsid w:val="006E50B1"/>
    <w:rsid w:val="006E522E"/>
    <w:rsid w:val="006E5708"/>
    <w:rsid w:val="006E5AF9"/>
    <w:rsid w:val="006E5F91"/>
    <w:rsid w:val="006E744A"/>
    <w:rsid w:val="006E74E5"/>
    <w:rsid w:val="006E753B"/>
    <w:rsid w:val="006E7E7A"/>
    <w:rsid w:val="006F01CC"/>
    <w:rsid w:val="006F0770"/>
    <w:rsid w:val="006F0B75"/>
    <w:rsid w:val="006F0B97"/>
    <w:rsid w:val="006F0EE4"/>
    <w:rsid w:val="006F15BC"/>
    <w:rsid w:val="006F166E"/>
    <w:rsid w:val="006F1835"/>
    <w:rsid w:val="006F1892"/>
    <w:rsid w:val="006F2CD9"/>
    <w:rsid w:val="006F35DD"/>
    <w:rsid w:val="006F417B"/>
    <w:rsid w:val="006F423E"/>
    <w:rsid w:val="006F4589"/>
    <w:rsid w:val="006F45C8"/>
    <w:rsid w:val="006F4B6A"/>
    <w:rsid w:val="006F4E53"/>
    <w:rsid w:val="006F6628"/>
    <w:rsid w:val="006F7658"/>
    <w:rsid w:val="006F78B7"/>
    <w:rsid w:val="006F7C4B"/>
    <w:rsid w:val="006F7E30"/>
    <w:rsid w:val="006F7E6B"/>
    <w:rsid w:val="007001C1"/>
    <w:rsid w:val="007002F9"/>
    <w:rsid w:val="0070077B"/>
    <w:rsid w:val="00700A15"/>
    <w:rsid w:val="00700A82"/>
    <w:rsid w:val="007027B8"/>
    <w:rsid w:val="0070318A"/>
    <w:rsid w:val="007035AF"/>
    <w:rsid w:val="007038A4"/>
    <w:rsid w:val="00703CCC"/>
    <w:rsid w:val="00703EB4"/>
    <w:rsid w:val="0070436C"/>
    <w:rsid w:val="007047DD"/>
    <w:rsid w:val="00704964"/>
    <w:rsid w:val="00704B82"/>
    <w:rsid w:val="00704B9E"/>
    <w:rsid w:val="00705194"/>
    <w:rsid w:val="007067BB"/>
    <w:rsid w:val="0070685C"/>
    <w:rsid w:val="00706B65"/>
    <w:rsid w:val="00706EC5"/>
    <w:rsid w:val="00706FE0"/>
    <w:rsid w:val="00707453"/>
    <w:rsid w:val="00707755"/>
    <w:rsid w:val="00710524"/>
    <w:rsid w:val="007109C3"/>
    <w:rsid w:val="00711641"/>
    <w:rsid w:val="007119ED"/>
    <w:rsid w:val="00711B8D"/>
    <w:rsid w:val="00711FE9"/>
    <w:rsid w:val="0071333D"/>
    <w:rsid w:val="007139B4"/>
    <w:rsid w:val="00713A17"/>
    <w:rsid w:val="00713D6A"/>
    <w:rsid w:val="00714A72"/>
    <w:rsid w:val="00714AE0"/>
    <w:rsid w:val="00715469"/>
    <w:rsid w:val="00715493"/>
    <w:rsid w:val="0071575F"/>
    <w:rsid w:val="007157BC"/>
    <w:rsid w:val="00715C54"/>
    <w:rsid w:val="00715E35"/>
    <w:rsid w:val="00715FEE"/>
    <w:rsid w:val="007160F4"/>
    <w:rsid w:val="00716216"/>
    <w:rsid w:val="00716C99"/>
    <w:rsid w:val="00717105"/>
    <w:rsid w:val="0071784E"/>
    <w:rsid w:val="0071798B"/>
    <w:rsid w:val="007201C5"/>
    <w:rsid w:val="007204DA"/>
    <w:rsid w:val="00720AE9"/>
    <w:rsid w:val="0072141C"/>
    <w:rsid w:val="007214BA"/>
    <w:rsid w:val="007215B7"/>
    <w:rsid w:val="00721618"/>
    <w:rsid w:val="00721BD8"/>
    <w:rsid w:val="00721C54"/>
    <w:rsid w:val="00721CE9"/>
    <w:rsid w:val="00721FD9"/>
    <w:rsid w:val="0072226A"/>
    <w:rsid w:val="00722344"/>
    <w:rsid w:val="0072235F"/>
    <w:rsid w:val="007223D9"/>
    <w:rsid w:val="007223EE"/>
    <w:rsid w:val="007225C0"/>
    <w:rsid w:val="00722B21"/>
    <w:rsid w:val="00722D78"/>
    <w:rsid w:val="00722F7D"/>
    <w:rsid w:val="0072300B"/>
    <w:rsid w:val="00723019"/>
    <w:rsid w:val="007230A4"/>
    <w:rsid w:val="00723F4C"/>
    <w:rsid w:val="007241E4"/>
    <w:rsid w:val="0072434B"/>
    <w:rsid w:val="007244BD"/>
    <w:rsid w:val="00724EEB"/>
    <w:rsid w:val="00725064"/>
    <w:rsid w:val="00725D87"/>
    <w:rsid w:val="0072616A"/>
    <w:rsid w:val="0072633B"/>
    <w:rsid w:val="00726444"/>
    <w:rsid w:val="0072645E"/>
    <w:rsid w:val="00726C72"/>
    <w:rsid w:val="00726CDB"/>
    <w:rsid w:val="00726F93"/>
    <w:rsid w:val="007273C0"/>
    <w:rsid w:val="00727423"/>
    <w:rsid w:val="0072747C"/>
    <w:rsid w:val="00727ADF"/>
    <w:rsid w:val="00727C57"/>
    <w:rsid w:val="007307BF"/>
    <w:rsid w:val="00730854"/>
    <w:rsid w:val="00730A84"/>
    <w:rsid w:val="00730BA9"/>
    <w:rsid w:val="00731191"/>
    <w:rsid w:val="0073131D"/>
    <w:rsid w:val="0073154D"/>
    <w:rsid w:val="0073170B"/>
    <w:rsid w:val="0073250A"/>
    <w:rsid w:val="007326A9"/>
    <w:rsid w:val="0073357E"/>
    <w:rsid w:val="00734236"/>
    <w:rsid w:val="007343F4"/>
    <w:rsid w:val="007349F8"/>
    <w:rsid w:val="00734FA9"/>
    <w:rsid w:val="00735329"/>
    <w:rsid w:val="00735463"/>
    <w:rsid w:val="007356AF"/>
    <w:rsid w:val="00735AB3"/>
    <w:rsid w:val="00735B85"/>
    <w:rsid w:val="00735C50"/>
    <w:rsid w:val="00735D48"/>
    <w:rsid w:val="00735DD7"/>
    <w:rsid w:val="00736378"/>
    <w:rsid w:val="00736588"/>
    <w:rsid w:val="00736C9D"/>
    <w:rsid w:val="00736CA8"/>
    <w:rsid w:val="0073714D"/>
    <w:rsid w:val="00737239"/>
    <w:rsid w:val="00737299"/>
    <w:rsid w:val="00737995"/>
    <w:rsid w:val="00737AFA"/>
    <w:rsid w:val="007401DF"/>
    <w:rsid w:val="007407C8"/>
    <w:rsid w:val="00740976"/>
    <w:rsid w:val="00740C2E"/>
    <w:rsid w:val="00740E70"/>
    <w:rsid w:val="007410D7"/>
    <w:rsid w:val="00741BC6"/>
    <w:rsid w:val="00741C18"/>
    <w:rsid w:val="00741CFA"/>
    <w:rsid w:val="00741DB2"/>
    <w:rsid w:val="0074275D"/>
    <w:rsid w:val="007427B5"/>
    <w:rsid w:val="00742F87"/>
    <w:rsid w:val="0074314E"/>
    <w:rsid w:val="00743259"/>
    <w:rsid w:val="00743811"/>
    <w:rsid w:val="007438C4"/>
    <w:rsid w:val="00743A9F"/>
    <w:rsid w:val="00743B33"/>
    <w:rsid w:val="007443B8"/>
    <w:rsid w:val="00744710"/>
    <w:rsid w:val="00744941"/>
    <w:rsid w:val="00745424"/>
    <w:rsid w:val="007454C3"/>
    <w:rsid w:val="00745B02"/>
    <w:rsid w:val="00745DFB"/>
    <w:rsid w:val="00746B3D"/>
    <w:rsid w:val="00746E59"/>
    <w:rsid w:val="0074789A"/>
    <w:rsid w:val="00747ECB"/>
    <w:rsid w:val="007503AC"/>
    <w:rsid w:val="00750517"/>
    <w:rsid w:val="0075060E"/>
    <w:rsid w:val="007507E2"/>
    <w:rsid w:val="00750D4C"/>
    <w:rsid w:val="00751EEC"/>
    <w:rsid w:val="0075219B"/>
    <w:rsid w:val="00752822"/>
    <w:rsid w:val="00752FE4"/>
    <w:rsid w:val="0075327F"/>
    <w:rsid w:val="00753B3A"/>
    <w:rsid w:val="00753F41"/>
    <w:rsid w:val="007540AD"/>
    <w:rsid w:val="00754586"/>
    <w:rsid w:val="0075475F"/>
    <w:rsid w:val="00754860"/>
    <w:rsid w:val="007548C6"/>
    <w:rsid w:val="00754CFD"/>
    <w:rsid w:val="00755711"/>
    <w:rsid w:val="00756108"/>
    <w:rsid w:val="00756766"/>
    <w:rsid w:val="00756834"/>
    <w:rsid w:val="00756CE9"/>
    <w:rsid w:val="00756D1D"/>
    <w:rsid w:val="00757807"/>
    <w:rsid w:val="00757A22"/>
    <w:rsid w:val="00757C32"/>
    <w:rsid w:val="007600B1"/>
    <w:rsid w:val="0076010D"/>
    <w:rsid w:val="00760944"/>
    <w:rsid w:val="00761170"/>
    <w:rsid w:val="00761279"/>
    <w:rsid w:val="0076144E"/>
    <w:rsid w:val="007620E7"/>
    <w:rsid w:val="00762275"/>
    <w:rsid w:val="0076245C"/>
    <w:rsid w:val="00762613"/>
    <w:rsid w:val="00762B2D"/>
    <w:rsid w:val="007633BD"/>
    <w:rsid w:val="007637F2"/>
    <w:rsid w:val="00763BCE"/>
    <w:rsid w:val="00763F7C"/>
    <w:rsid w:val="0076429A"/>
    <w:rsid w:val="007642E8"/>
    <w:rsid w:val="00764671"/>
    <w:rsid w:val="00764938"/>
    <w:rsid w:val="00764A13"/>
    <w:rsid w:val="00764F11"/>
    <w:rsid w:val="00764F21"/>
    <w:rsid w:val="0076587A"/>
    <w:rsid w:val="00766829"/>
    <w:rsid w:val="00766B5F"/>
    <w:rsid w:val="00766BE3"/>
    <w:rsid w:val="00766C5A"/>
    <w:rsid w:val="00766C76"/>
    <w:rsid w:val="00766E28"/>
    <w:rsid w:val="00767182"/>
    <w:rsid w:val="007674B3"/>
    <w:rsid w:val="00767565"/>
    <w:rsid w:val="00767932"/>
    <w:rsid w:val="00767D2A"/>
    <w:rsid w:val="00767D6A"/>
    <w:rsid w:val="00770428"/>
    <w:rsid w:val="00770510"/>
    <w:rsid w:val="007709F7"/>
    <w:rsid w:val="007712E4"/>
    <w:rsid w:val="00771921"/>
    <w:rsid w:val="0077224E"/>
    <w:rsid w:val="00772474"/>
    <w:rsid w:val="007726BB"/>
    <w:rsid w:val="00772A85"/>
    <w:rsid w:val="00772D0F"/>
    <w:rsid w:val="00773C4E"/>
    <w:rsid w:val="007747FA"/>
    <w:rsid w:val="00774F1D"/>
    <w:rsid w:val="007751B9"/>
    <w:rsid w:val="0077697F"/>
    <w:rsid w:val="00776C10"/>
    <w:rsid w:val="00776FB6"/>
    <w:rsid w:val="007774AA"/>
    <w:rsid w:val="007774ED"/>
    <w:rsid w:val="007777F4"/>
    <w:rsid w:val="00777A86"/>
    <w:rsid w:val="0078061E"/>
    <w:rsid w:val="00780A39"/>
    <w:rsid w:val="007810A2"/>
    <w:rsid w:val="00781261"/>
    <w:rsid w:val="00781A75"/>
    <w:rsid w:val="00781CB4"/>
    <w:rsid w:val="00781D05"/>
    <w:rsid w:val="00781E92"/>
    <w:rsid w:val="007823D7"/>
    <w:rsid w:val="00782915"/>
    <w:rsid w:val="007829BE"/>
    <w:rsid w:val="00782A13"/>
    <w:rsid w:val="00782C0A"/>
    <w:rsid w:val="00782C3B"/>
    <w:rsid w:val="00782FB5"/>
    <w:rsid w:val="0078306A"/>
    <w:rsid w:val="00783CBA"/>
    <w:rsid w:val="00783F93"/>
    <w:rsid w:val="00784089"/>
    <w:rsid w:val="0078420B"/>
    <w:rsid w:val="00784EEB"/>
    <w:rsid w:val="007859A2"/>
    <w:rsid w:val="00786088"/>
    <w:rsid w:val="00786297"/>
    <w:rsid w:val="0078655B"/>
    <w:rsid w:val="0078675B"/>
    <w:rsid w:val="007869C4"/>
    <w:rsid w:val="00786AFA"/>
    <w:rsid w:val="00786E50"/>
    <w:rsid w:val="00786EB3"/>
    <w:rsid w:val="00786EF1"/>
    <w:rsid w:val="00787208"/>
    <w:rsid w:val="0078765B"/>
    <w:rsid w:val="007879FA"/>
    <w:rsid w:val="00790B26"/>
    <w:rsid w:val="00790D3B"/>
    <w:rsid w:val="0079109F"/>
    <w:rsid w:val="00791200"/>
    <w:rsid w:val="00791FE8"/>
    <w:rsid w:val="00792045"/>
    <w:rsid w:val="00792C3A"/>
    <w:rsid w:val="0079395A"/>
    <w:rsid w:val="00793B19"/>
    <w:rsid w:val="00794342"/>
    <w:rsid w:val="007947D1"/>
    <w:rsid w:val="0079485A"/>
    <w:rsid w:val="00794969"/>
    <w:rsid w:val="00794BB7"/>
    <w:rsid w:val="0079501F"/>
    <w:rsid w:val="007951CB"/>
    <w:rsid w:val="00795585"/>
    <w:rsid w:val="00795A0D"/>
    <w:rsid w:val="00796280"/>
    <w:rsid w:val="00796469"/>
    <w:rsid w:val="00796768"/>
    <w:rsid w:val="007968F9"/>
    <w:rsid w:val="00797982"/>
    <w:rsid w:val="00797FCD"/>
    <w:rsid w:val="007A0127"/>
    <w:rsid w:val="007A0336"/>
    <w:rsid w:val="007A0526"/>
    <w:rsid w:val="007A0A99"/>
    <w:rsid w:val="007A0FAD"/>
    <w:rsid w:val="007A10BA"/>
    <w:rsid w:val="007A12F1"/>
    <w:rsid w:val="007A20AF"/>
    <w:rsid w:val="007A38D6"/>
    <w:rsid w:val="007A39C0"/>
    <w:rsid w:val="007A3AAB"/>
    <w:rsid w:val="007A3DA7"/>
    <w:rsid w:val="007A3F7D"/>
    <w:rsid w:val="007A4F7A"/>
    <w:rsid w:val="007A57F4"/>
    <w:rsid w:val="007A5DE8"/>
    <w:rsid w:val="007A5E62"/>
    <w:rsid w:val="007A60A0"/>
    <w:rsid w:val="007A61C1"/>
    <w:rsid w:val="007A6329"/>
    <w:rsid w:val="007A6573"/>
    <w:rsid w:val="007A6C0B"/>
    <w:rsid w:val="007A73DD"/>
    <w:rsid w:val="007A7667"/>
    <w:rsid w:val="007B02A9"/>
    <w:rsid w:val="007B08B2"/>
    <w:rsid w:val="007B0F46"/>
    <w:rsid w:val="007B111A"/>
    <w:rsid w:val="007B24AC"/>
    <w:rsid w:val="007B25CE"/>
    <w:rsid w:val="007B2D17"/>
    <w:rsid w:val="007B2EDB"/>
    <w:rsid w:val="007B30D8"/>
    <w:rsid w:val="007B310A"/>
    <w:rsid w:val="007B3322"/>
    <w:rsid w:val="007B3C9E"/>
    <w:rsid w:val="007B3FA2"/>
    <w:rsid w:val="007B3FCD"/>
    <w:rsid w:val="007B4442"/>
    <w:rsid w:val="007B47A3"/>
    <w:rsid w:val="007B5354"/>
    <w:rsid w:val="007B561B"/>
    <w:rsid w:val="007B5959"/>
    <w:rsid w:val="007B60E4"/>
    <w:rsid w:val="007B706E"/>
    <w:rsid w:val="007B7385"/>
    <w:rsid w:val="007B782E"/>
    <w:rsid w:val="007B78CD"/>
    <w:rsid w:val="007C03A1"/>
    <w:rsid w:val="007C0E54"/>
    <w:rsid w:val="007C10D1"/>
    <w:rsid w:val="007C1492"/>
    <w:rsid w:val="007C1554"/>
    <w:rsid w:val="007C185E"/>
    <w:rsid w:val="007C1931"/>
    <w:rsid w:val="007C1B98"/>
    <w:rsid w:val="007C2444"/>
    <w:rsid w:val="007C274E"/>
    <w:rsid w:val="007C2886"/>
    <w:rsid w:val="007C2975"/>
    <w:rsid w:val="007C2FCA"/>
    <w:rsid w:val="007C3E8F"/>
    <w:rsid w:val="007C3F84"/>
    <w:rsid w:val="007C43DB"/>
    <w:rsid w:val="007C4A96"/>
    <w:rsid w:val="007C5999"/>
    <w:rsid w:val="007C5F6B"/>
    <w:rsid w:val="007C6F2C"/>
    <w:rsid w:val="007C716B"/>
    <w:rsid w:val="007C7C86"/>
    <w:rsid w:val="007C7E20"/>
    <w:rsid w:val="007D04C0"/>
    <w:rsid w:val="007D0960"/>
    <w:rsid w:val="007D0E3A"/>
    <w:rsid w:val="007D10F8"/>
    <w:rsid w:val="007D1225"/>
    <w:rsid w:val="007D18FA"/>
    <w:rsid w:val="007D1AE2"/>
    <w:rsid w:val="007D1AE9"/>
    <w:rsid w:val="007D1B54"/>
    <w:rsid w:val="007D1BC8"/>
    <w:rsid w:val="007D1C59"/>
    <w:rsid w:val="007D1E87"/>
    <w:rsid w:val="007D21FC"/>
    <w:rsid w:val="007D23A1"/>
    <w:rsid w:val="007D438A"/>
    <w:rsid w:val="007D4761"/>
    <w:rsid w:val="007D4792"/>
    <w:rsid w:val="007D48F9"/>
    <w:rsid w:val="007D4EAB"/>
    <w:rsid w:val="007D542B"/>
    <w:rsid w:val="007D56E3"/>
    <w:rsid w:val="007D5CE5"/>
    <w:rsid w:val="007D5F73"/>
    <w:rsid w:val="007D6018"/>
    <w:rsid w:val="007D646A"/>
    <w:rsid w:val="007D6620"/>
    <w:rsid w:val="007D6760"/>
    <w:rsid w:val="007D690A"/>
    <w:rsid w:val="007D6C12"/>
    <w:rsid w:val="007D6C86"/>
    <w:rsid w:val="007D743A"/>
    <w:rsid w:val="007D7D52"/>
    <w:rsid w:val="007D7E6A"/>
    <w:rsid w:val="007E0051"/>
    <w:rsid w:val="007E00D1"/>
    <w:rsid w:val="007E09BF"/>
    <w:rsid w:val="007E0D59"/>
    <w:rsid w:val="007E0DA9"/>
    <w:rsid w:val="007E0E00"/>
    <w:rsid w:val="007E16AE"/>
    <w:rsid w:val="007E23EF"/>
    <w:rsid w:val="007E24CB"/>
    <w:rsid w:val="007E2571"/>
    <w:rsid w:val="007E273F"/>
    <w:rsid w:val="007E2760"/>
    <w:rsid w:val="007E3368"/>
    <w:rsid w:val="007E4800"/>
    <w:rsid w:val="007E4CF2"/>
    <w:rsid w:val="007E4DD7"/>
    <w:rsid w:val="007E5EA9"/>
    <w:rsid w:val="007E6235"/>
    <w:rsid w:val="007E635C"/>
    <w:rsid w:val="007E682B"/>
    <w:rsid w:val="007E6C14"/>
    <w:rsid w:val="007E7182"/>
    <w:rsid w:val="007E785F"/>
    <w:rsid w:val="007E78B5"/>
    <w:rsid w:val="007E7986"/>
    <w:rsid w:val="007E7DCE"/>
    <w:rsid w:val="007E7EE4"/>
    <w:rsid w:val="007E7FA5"/>
    <w:rsid w:val="007E7FDB"/>
    <w:rsid w:val="007F004D"/>
    <w:rsid w:val="007F12B2"/>
    <w:rsid w:val="007F1B88"/>
    <w:rsid w:val="007F206B"/>
    <w:rsid w:val="007F25C9"/>
    <w:rsid w:val="007F28D2"/>
    <w:rsid w:val="007F2A9F"/>
    <w:rsid w:val="007F2CD9"/>
    <w:rsid w:val="007F2D40"/>
    <w:rsid w:val="007F30D5"/>
    <w:rsid w:val="007F3265"/>
    <w:rsid w:val="007F3650"/>
    <w:rsid w:val="007F3DC0"/>
    <w:rsid w:val="007F3F4E"/>
    <w:rsid w:val="007F3FDE"/>
    <w:rsid w:val="007F4825"/>
    <w:rsid w:val="007F4C79"/>
    <w:rsid w:val="007F5C78"/>
    <w:rsid w:val="007F5CA4"/>
    <w:rsid w:val="007F62EF"/>
    <w:rsid w:val="007F6312"/>
    <w:rsid w:val="007F6511"/>
    <w:rsid w:val="007F65D5"/>
    <w:rsid w:val="007F6877"/>
    <w:rsid w:val="007F68A8"/>
    <w:rsid w:val="007F6C70"/>
    <w:rsid w:val="007F6D8C"/>
    <w:rsid w:val="007F72F6"/>
    <w:rsid w:val="007F73E1"/>
    <w:rsid w:val="007F761C"/>
    <w:rsid w:val="007F7F5C"/>
    <w:rsid w:val="00800025"/>
    <w:rsid w:val="0080028C"/>
    <w:rsid w:val="0080032A"/>
    <w:rsid w:val="008006B9"/>
    <w:rsid w:val="008007EB"/>
    <w:rsid w:val="0080082B"/>
    <w:rsid w:val="0080086B"/>
    <w:rsid w:val="008014D7"/>
    <w:rsid w:val="008014FE"/>
    <w:rsid w:val="00801827"/>
    <w:rsid w:val="00801E92"/>
    <w:rsid w:val="00802159"/>
    <w:rsid w:val="0080299D"/>
    <w:rsid w:val="00802AD7"/>
    <w:rsid w:val="00802CDF"/>
    <w:rsid w:val="00802DC5"/>
    <w:rsid w:val="00803278"/>
    <w:rsid w:val="0080381E"/>
    <w:rsid w:val="0080391E"/>
    <w:rsid w:val="00803A41"/>
    <w:rsid w:val="00803B27"/>
    <w:rsid w:val="00803BB2"/>
    <w:rsid w:val="00804510"/>
    <w:rsid w:val="008045AE"/>
    <w:rsid w:val="00804CFF"/>
    <w:rsid w:val="00805364"/>
    <w:rsid w:val="008057A9"/>
    <w:rsid w:val="008058BB"/>
    <w:rsid w:val="00805AC0"/>
    <w:rsid w:val="00805E43"/>
    <w:rsid w:val="0080658B"/>
    <w:rsid w:val="008065B4"/>
    <w:rsid w:val="00806A92"/>
    <w:rsid w:val="00806FBB"/>
    <w:rsid w:val="0080701C"/>
    <w:rsid w:val="008076D3"/>
    <w:rsid w:val="00807E57"/>
    <w:rsid w:val="00810351"/>
    <w:rsid w:val="00810A67"/>
    <w:rsid w:val="00811D6D"/>
    <w:rsid w:val="00811EC9"/>
    <w:rsid w:val="00811F6A"/>
    <w:rsid w:val="0081233F"/>
    <w:rsid w:val="0081274F"/>
    <w:rsid w:val="008127E8"/>
    <w:rsid w:val="008128D3"/>
    <w:rsid w:val="00812C3E"/>
    <w:rsid w:val="0081332A"/>
    <w:rsid w:val="00814A14"/>
    <w:rsid w:val="00815110"/>
    <w:rsid w:val="008159B8"/>
    <w:rsid w:val="00816154"/>
    <w:rsid w:val="008166DC"/>
    <w:rsid w:val="008167F6"/>
    <w:rsid w:val="00816D86"/>
    <w:rsid w:val="008170FE"/>
    <w:rsid w:val="0081782F"/>
    <w:rsid w:val="008178E1"/>
    <w:rsid w:val="00817EF9"/>
    <w:rsid w:val="0082012B"/>
    <w:rsid w:val="00820D0F"/>
    <w:rsid w:val="00820D60"/>
    <w:rsid w:val="00820D9C"/>
    <w:rsid w:val="0082112D"/>
    <w:rsid w:val="008218B0"/>
    <w:rsid w:val="00821E3F"/>
    <w:rsid w:val="0082263A"/>
    <w:rsid w:val="008229A7"/>
    <w:rsid w:val="008229EC"/>
    <w:rsid w:val="00822DB3"/>
    <w:rsid w:val="00822E3A"/>
    <w:rsid w:val="00822F0B"/>
    <w:rsid w:val="008238E1"/>
    <w:rsid w:val="00823F5B"/>
    <w:rsid w:val="008243CA"/>
    <w:rsid w:val="00824BE6"/>
    <w:rsid w:val="00824FCA"/>
    <w:rsid w:val="0082540E"/>
    <w:rsid w:val="0082558E"/>
    <w:rsid w:val="008255E9"/>
    <w:rsid w:val="00825A36"/>
    <w:rsid w:val="0082676D"/>
    <w:rsid w:val="00826A1F"/>
    <w:rsid w:val="00826B82"/>
    <w:rsid w:val="00826E4B"/>
    <w:rsid w:val="0082748F"/>
    <w:rsid w:val="00827BE5"/>
    <w:rsid w:val="00827D67"/>
    <w:rsid w:val="00827F28"/>
    <w:rsid w:val="00827F67"/>
    <w:rsid w:val="0083090D"/>
    <w:rsid w:val="00830976"/>
    <w:rsid w:val="00830B05"/>
    <w:rsid w:val="00830B84"/>
    <w:rsid w:val="00830BBB"/>
    <w:rsid w:val="00831263"/>
    <w:rsid w:val="00831450"/>
    <w:rsid w:val="00831771"/>
    <w:rsid w:val="0083204B"/>
    <w:rsid w:val="008323D7"/>
    <w:rsid w:val="0083259C"/>
    <w:rsid w:val="00832A5E"/>
    <w:rsid w:val="00832A91"/>
    <w:rsid w:val="00832C15"/>
    <w:rsid w:val="00832C37"/>
    <w:rsid w:val="00833810"/>
    <w:rsid w:val="00833CBA"/>
    <w:rsid w:val="008347C6"/>
    <w:rsid w:val="00834947"/>
    <w:rsid w:val="00834B26"/>
    <w:rsid w:val="00834C9E"/>
    <w:rsid w:val="00834CCD"/>
    <w:rsid w:val="00834DEB"/>
    <w:rsid w:val="00834E1C"/>
    <w:rsid w:val="00834F50"/>
    <w:rsid w:val="00835603"/>
    <w:rsid w:val="00835A16"/>
    <w:rsid w:val="00835BBE"/>
    <w:rsid w:val="00835BFF"/>
    <w:rsid w:val="00835DFF"/>
    <w:rsid w:val="008361E2"/>
    <w:rsid w:val="0083637D"/>
    <w:rsid w:val="00836673"/>
    <w:rsid w:val="00836AE4"/>
    <w:rsid w:val="00837609"/>
    <w:rsid w:val="00837BF4"/>
    <w:rsid w:val="0084005A"/>
    <w:rsid w:val="00840244"/>
    <w:rsid w:val="00840332"/>
    <w:rsid w:val="0084081D"/>
    <w:rsid w:val="00841501"/>
    <w:rsid w:val="00841968"/>
    <w:rsid w:val="00841A13"/>
    <w:rsid w:val="00841C5D"/>
    <w:rsid w:val="00841F6D"/>
    <w:rsid w:val="00842249"/>
    <w:rsid w:val="008422CE"/>
    <w:rsid w:val="00843036"/>
    <w:rsid w:val="00843076"/>
    <w:rsid w:val="00843383"/>
    <w:rsid w:val="0084344D"/>
    <w:rsid w:val="008434C2"/>
    <w:rsid w:val="008436A1"/>
    <w:rsid w:val="00843CFF"/>
    <w:rsid w:val="00844209"/>
    <w:rsid w:val="00844595"/>
    <w:rsid w:val="008448A2"/>
    <w:rsid w:val="0084586B"/>
    <w:rsid w:val="00845B0A"/>
    <w:rsid w:val="00845D1B"/>
    <w:rsid w:val="008462DB"/>
    <w:rsid w:val="00846711"/>
    <w:rsid w:val="00846E49"/>
    <w:rsid w:val="0084701F"/>
    <w:rsid w:val="008475DC"/>
    <w:rsid w:val="00847976"/>
    <w:rsid w:val="008501F0"/>
    <w:rsid w:val="00850627"/>
    <w:rsid w:val="00850B2A"/>
    <w:rsid w:val="00851347"/>
    <w:rsid w:val="008516A1"/>
    <w:rsid w:val="00851957"/>
    <w:rsid w:val="00851BEB"/>
    <w:rsid w:val="00852044"/>
    <w:rsid w:val="00852961"/>
    <w:rsid w:val="00852D67"/>
    <w:rsid w:val="00852EB0"/>
    <w:rsid w:val="00852F37"/>
    <w:rsid w:val="00853A1F"/>
    <w:rsid w:val="00853E42"/>
    <w:rsid w:val="008541D1"/>
    <w:rsid w:val="00854F7E"/>
    <w:rsid w:val="0085520A"/>
    <w:rsid w:val="00855420"/>
    <w:rsid w:val="00855626"/>
    <w:rsid w:val="00855712"/>
    <w:rsid w:val="00855D5C"/>
    <w:rsid w:val="0085658F"/>
    <w:rsid w:val="00856B54"/>
    <w:rsid w:val="00856BC2"/>
    <w:rsid w:val="00857342"/>
    <w:rsid w:val="008574E6"/>
    <w:rsid w:val="00857F44"/>
    <w:rsid w:val="00860035"/>
    <w:rsid w:val="008605B9"/>
    <w:rsid w:val="00860BCB"/>
    <w:rsid w:val="00860D20"/>
    <w:rsid w:val="00861280"/>
    <w:rsid w:val="00861477"/>
    <w:rsid w:val="008614BD"/>
    <w:rsid w:val="00861F8E"/>
    <w:rsid w:val="008622DF"/>
    <w:rsid w:val="00862455"/>
    <w:rsid w:val="0086285D"/>
    <w:rsid w:val="008628BD"/>
    <w:rsid w:val="00862986"/>
    <w:rsid w:val="00862CC6"/>
    <w:rsid w:val="00862DF1"/>
    <w:rsid w:val="00864362"/>
    <w:rsid w:val="00864507"/>
    <w:rsid w:val="00864BD2"/>
    <w:rsid w:val="00864E23"/>
    <w:rsid w:val="00866261"/>
    <w:rsid w:val="0086697B"/>
    <w:rsid w:val="00866E55"/>
    <w:rsid w:val="00866EA5"/>
    <w:rsid w:val="008671A5"/>
    <w:rsid w:val="0086792F"/>
    <w:rsid w:val="00870080"/>
    <w:rsid w:val="00870658"/>
    <w:rsid w:val="0087091A"/>
    <w:rsid w:val="00870DC5"/>
    <w:rsid w:val="008711E0"/>
    <w:rsid w:val="00871602"/>
    <w:rsid w:val="008717C8"/>
    <w:rsid w:val="00871A9B"/>
    <w:rsid w:val="00871CA3"/>
    <w:rsid w:val="0087297D"/>
    <w:rsid w:val="00872E67"/>
    <w:rsid w:val="00872EB4"/>
    <w:rsid w:val="0087336D"/>
    <w:rsid w:val="00873672"/>
    <w:rsid w:val="008737E2"/>
    <w:rsid w:val="0087380F"/>
    <w:rsid w:val="008739FA"/>
    <w:rsid w:val="00873C56"/>
    <w:rsid w:val="008740CC"/>
    <w:rsid w:val="008742D4"/>
    <w:rsid w:val="00874AD5"/>
    <w:rsid w:val="00874B1A"/>
    <w:rsid w:val="00874B9F"/>
    <w:rsid w:val="00874D7F"/>
    <w:rsid w:val="008750E6"/>
    <w:rsid w:val="00875766"/>
    <w:rsid w:val="00875D4C"/>
    <w:rsid w:val="0087631D"/>
    <w:rsid w:val="00876329"/>
    <w:rsid w:val="00876A41"/>
    <w:rsid w:val="00877709"/>
    <w:rsid w:val="00877A7B"/>
    <w:rsid w:val="00877C03"/>
    <w:rsid w:val="00877C94"/>
    <w:rsid w:val="00880093"/>
    <w:rsid w:val="008800AC"/>
    <w:rsid w:val="00880713"/>
    <w:rsid w:val="00880716"/>
    <w:rsid w:val="00880BD2"/>
    <w:rsid w:val="008812FB"/>
    <w:rsid w:val="0088172C"/>
    <w:rsid w:val="00881839"/>
    <w:rsid w:val="00881C58"/>
    <w:rsid w:val="00881E56"/>
    <w:rsid w:val="008823E4"/>
    <w:rsid w:val="00882460"/>
    <w:rsid w:val="00882791"/>
    <w:rsid w:val="00882C1E"/>
    <w:rsid w:val="00882EFB"/>
    <w:rsid w:val="008831DE"/>
    <w:rsid w:val="0088338D"/>
    <w:rsid w:val="008835FA"/>
    <w:rsid w:val="008838E7"/>
    <w:rsid w:val="0088432B"/>
    <w:rsid w:val="00884693"/>
    <w:rsid w:val="00884704"/>
    <w:rsid w:val="00884AB4"/>
    <w:rsid w:val="00884C48"/>
    <w:rsid w:val="00884D24"/>
    <w:rsid w:val="00884DD6"/>
    <w:rsid w:val="00884FA2"/>
    <w:rsid w:val="00885071"/>
    <w:rsid w:val="00885ED5"/>
    <w:rsid w:val="008860AD"/>
    <w:rsid w:val="008862D5"/>
    <w:rsid w:val="008867E9"/>
    <w:rsid w:val="0088775E"/>
    <w:rsid w:val="00887C06"/>
    <w:rsid w:val="008903D1"/>
    <w:rsid w:val="008907A0"/>
    <w:rsid w:val="00890C4C"/>
    <w:rsid w:val="008910D5"/>
    <w:rsid w:val="00891146"/>
    <w:rsid w:val="008912C0"/>
    <w:rsid w:val="008918A4"/>
    <w:rsid w:val="00892132"/>
    <w:rsid w:val="008928D6"/>
    <w:rsid w:val="00892C90"/>
    <w:rsid w:val="00892CE4"/>
    <w:rsid w:val="00892CF4"/>
    <w:rsid w:val="00892D59"/>
    <w:rsid w:val="00892DF3"/>
    <w:rsid w:val="008934E4"/>
    <w:rsid w:val="0089394F"/>
    <w:rsid w:val="00893DCC"/>
    <w:rsid w:val="0089454C"/>
    <w:rsid w:val="008948B4"/>
    <w:rsid w:val="0089508D"/>
    <w:rsid w:val="008954A0"/>
    <w:rsid w:val="008955B3"/>
    <w:rsid w:val="008958AE"/>
    <w:rsid w:val="00895B89"/>
    <w:rsid w:val="0089616C"/>
    <w:rsid w:val="008965B3"/>
    <w:rsid w:val="008973D2"/>
    <w:rsid w:val="00897D25"/>
    <w:rsid w:val="00897D88"/>
    <w:rsid w:val="008A013C"/>
    <w:rsid w:val="008A0192"/>
    <w:rsid w:val="008A01E9"/>
    <w:rsid w:val="008A0216"/>
    <w:rsid w:val="008A0777"/>
    <w:rsid w:val="008A1E5D"/>
    <w:rsid w:val="008A26CE"/>
    <w:rsid w:val="008A2952"/>
    <w:rsid w:val="008A3092"/>
    <w:rsid w:val="008A3D70"/>
    <w:rsid w:val="008A3DCE"/>
    <w:rsid w:val="008A3F4A"/>
    <w:rsid w:val="008A4506"/>
    <w:rsid w:val="008A45E1"/>
    <w:rsid w:val="008A469F"/>
    <w:rsid w:val="008A48A4"/>
    <w:rsid w:val="008A4BC7"/>
    <w:rsid w:val="008A4DDA"/>
    <w:rsid w:val="008A538C"/>
    <w:rsid w:val="008A5500"/>
    <w:rsid w:val="008A5783"/>
    <w:rsid w:val="008A5B07"/>
    <w:rsid w:val="008A5E4E"/>
    <w:rsid w:val="008A5EE6"/>
    <w:rsid w:val="008A5FA3"/>
    <w:rsid w:val="008A7747"/>
    <w:rsid w:val="008A77A9"/>
    <w:rsid w:val="008A7A13"/>
    <w:rsid w:val="008A7CF0"/>
    <w:rsid w:val="008B048C"/>
    <w:rsid w:val="008B0842"/>
    <w:rsid w:val="008B0855"/>
    <w:rsid w:val="008B0953"/>
    <w:rsid w:val="008B0B98"/>
    <w:rsid w:val="008B14DF"/>
    <w:rsid w:val="008B1D02"/>
    <w:rsid w:val="008B1DE4"/>
    <w:rsid w:val="008B27FA"/>
    <w:rsid w:val="008B2B8D"/>
    <w:rsid w:val="008B2F9A"/>
    <w:rsid w:val="008B3413"/>
    <w:rsid w:val="008B3DD0"/>
    <w:rsid w:val="008B3E18"/>
    <w:rsid w:val="008B420D"/>
    <w:rsid w:val="008B445A"/>
    <w:rsid w:val="008B4673"/>
    <w:rsid w:val="008B48FF"/>
    <w:rsid w:val="008B4BF5"/>
    <w:rsid w:val="008B507F"/>
    <w:rsid w:val="008B50DD"/>
    <w:rsid w:val="008B55B4"/>
    <w:rsid w:val="008B5695"/>
    <w:rsid w:val="008B5C56"/>
    <w:rsid w:val="008B5E57"/>
    <w:rsid w:val="008B5EEF"/>
    <w:rsid w:val="008B60A8"/>
    <w:rsid w:val="008B631E"/>
    <w:rsid w:val="008B6377"/>
    <w:rsid w:val="008B6691"/>
    <w:rsid w:val="008B6959"/>
    <w:rsid w:val="008B6C13"/>
    <w:rsid w:val="008B7587"/>
    <w:rsid w:val="008B776B"/>
    <w:rsid w:val="008B781D"/>
    <w:rsid w:val="008B7C3B"/>
    <w:rsid w:val="008C0E72"/>
    <w:rsid w:val="008C142F"/>
    <w:rsid w:val="008C15BA"/>
    <w:rsid w:val="008C1905"/>
    <w:rsid w:val="008C1B4E"/>
    <w:rsid w:val="008C2139"/>
    <w:rsid w:val="008C289B"/>
    <w:rsid w:val="008C2E1F"/>
    <w:rsid w:val="008C2F13"/>
    <w:rsid w:val="008C3402"/>
    <w:rsid w:val="008C3456"/>
    <w:rsid w:val="008C3569"/>
    <w:rsid w:val="008C3ADA"/>
    <w:rsid w:val="008C47F5"/>
    <w:rsid w:val="008C4884"/>
    <w:rsid w:val="008C4A3C"/>
    <w:rsid w:val="008C512B"/>
    <w:rsid w:val="008C5357"/>
    <w:rsid w:val="008C53F1"/>
    <w:rsid w:val="008C54EC"/>
    <w:rsid w:val="008C5A1C"/>
    <w:rsid w:val="008C5BB9"/>
    <w:rsid w:val="008C5F23"/>
    <w:rsid w:val="008C61D0"/>
    <w:rsid w:val="008C6535"/>
    <w:rsid w:val="008C7373"/>
    <w:rsid w:val="008C7446"/>
    <w:rsid w:val="008C75D1"/>
    <w:rsid w:val="008C7D89"/>
    <w:rsid w:val="008D017B"/>
    <w:rsid w:val="008D041E"/>
    <w:rsid w:val="008D135A"/>
    <w:rsid w:val="008D13D7"/>
    <w:rsid w:val="008D15E6"/>
    <w:rsid w:val="008D16CE"/>
    <w:rsid w:val="008D1B47"/>
    <w:rsid w:val="008D1C57"/>
    <w:rsid w:val="008D215F"/>
    <w:rsid w:val="008D22F5"/>
    <w:rsid w:val="008D243B"/>
    <w:rsid w:val="008D2A74"/>
    <w:rsid w:val="008D2AFF"/>
    <w:rsid w:val="008D2BEB"/>
    <w:rsid w:val="008D2C8A"/>
    <w:rsid w:val="008D33C4"/>
    <w:rsid w:val="008D3726"/>
    <w:rsid w:val="008D3985"/>
    <w:rsid w:val="008D399B"/>
    <w:rsid w:val="008D3F8B"/>
    <w:rsid w:val="008D4059"/>
    <w:rsid w:val="008D41C6"/>
    <w:rsid w:val="008D5360"/>
    <w:rsid w:val="008D558F"/>
    <w:rsid w:val="008D5778"/>
    <w:rsid w:val="008D5BEF"/>
    <w:rsid w:val="008D5D76"/>
    <w:rsid w:val="008D5E3F"/>
    <w:rsid w:val="008D6004"/>
    <w:rsid w:val="008D63EC"/>
    <w:rsid w:val="008D660E"/>
    <w:rsid w:val="008D6C60"/>
    <w:rsid w:val="008D7AF6"/>
    <w:rsid w:val="008D7C45"/>
    <w:rsid w:val="008D7E17"/>
    <w:rsid w:val="008E00E6"/>
    <w:rsid w:val="008E0198"/>
    <w:rsid w:val="008E01B9"/>
    <w:rsid w:val="008E0238"/>
    <w:rsid w:val="008E033A"/>
    <w:rsid w:val="008E0A6D"/>
    <w:rsid w:val="008E0CC1"/>
    <w:rsid w:val="008E0D04"/>
    <w:rsid w:val="008E24A9"/>
    <w:rsid w:val="008E3187"/>
    <w:rsid w:val="008E31DD"/>
    <w:rsid w:val="008E36F9"/>
    <w:rsid w:val="008E394A"/>
    <w:rsid w:val="008E4D9C"/>
    <w:rsid w:val="008E529E"/>
    <w:rsid w:val="008E5376"/>
    <w:rsid w:val="008E58D9"/>
    <w:rsid w:val="008E5ED2"/>
    <w:rsid w:val="008E6370"/>
    <w:rsid w:val="008E6447"/>
    <w:rsid w:val="008E64DF"/>
    <w:rsid w:val="008E6CF8"/>
    <w:rsid w:val="008E6F3B"/>
    <w:rsid w:val="008E7461"/>
    <w:rsid w:val="008E7BD3"/>
    <w:rsid w:val="008F06BB"/>
    <w:rsid w:val="008F0CC1"/>
    <w:rsid w:val="008F0CF9"/>
    <w:rsid w:val="008F0FDD"/>
    <w:rsid w:val="008F1028"/>
    <w:rsid w:val="008F109F"/>
    <w:rsid w:val="008F17F3"/>
    <w:rsid w:val="008F19FD"/>
    <w:rsid w:val="008F1C00"/>
    <w:rsid w:val="008F25A7"/>
    <w:rsid w:val="008F2A91"/>
    <w:rsid w:val="008F2E51"/>
    <w:rsid w:val="008F2E8C"/>
    <w:rsid w:val="008F2F60"/>
    <w:rsid w:val="008F2FC8"/>
    <w:rsid w:val="008F3593"/>
    <w:rsid w:val="008F38F6"/>
    <w:rsid w:val="008F3953"/>
    <w:rsid w:val="008F46E9"/>
    <w:rsid w:val="008F48FA"/>
    <w:rsid w:val="008F4E99"/>
    <w:rsid w:val="008F5A27"/>
    <w:rsid w:val="008F5B28"/>
    <w:rsid w:val="008F5E4A"/>
    <w:rsid w:val="008F633A"/>
    <w:rsid w:val="008F64DE"/>
    <w:rsid w:val="008F6874"/>
    <w:rsid w:val="008F7271"/>
    <w:rsid w:val="008F7565"/>
    <w:rsid w:val="008F76D8"/>
    <w:rsid w:val="008F7703"/>
    <w:rsid w:val="008F79DB"/>
    <w:rsid w:val="008F7EAC"/>
    <w:rsid w:val="0090035D"/>
    <w:rsid w:val="009004E9"/>
    <w:rsid w:val="009009DA"/>
    <w:rsid w:val="00900B33"/>
    <w:rsid w:val="00901E3D"/>
    <w:rsid w:val="00901F96"/>
    <w:rsid w:val="00902E18"/>
    <w:rsid w:val="009031CC"/>
    <w:rsid w:val="009033C4"/>
    <w:rsid w:val="0090340B"/>
    <w:rsid w:val="00904F1D"/>
    <w:rsid w:val="0090539D"/>
    <w:rsid w:val="0090573D"/>
    <w:rsid w:val="00905AB7"/>
    <w:rsid w:val="009062E1"/>
    <w:rsid w:val="00907526"/>
    <w:rsid w:val="009076CE"/>
    <w:rsid w:val="0090774A"/>
    <w:rsid w:val="00910058"/>
    <w:rsid w:val="009100E2"/>
    <w:rsid w:val="00910AF5"/>
    <w:rsid w:val="00910BD8"/>
    <w:rsid w:val="0091142D"/>
    <w:rsid w:val="00911D4C"/>
    <w:rsid w:val="00912489"/>
    <w:rsid w:val="00912624"/>
    <w:rsid w:val="009126B9"/>
    <w:rsid w:val="00912941"/>
    <w:rsid w:val="00913295"/>
    <w:rsid w:val="009133D5"/>
    <w:rsid w:val="00913A28"/>
    <w:rsid w:val="00913B69"/>
    <w:rsid w:val="00913D92"/>
    <w:rsid w:val="00913D9C"/>
    <w:rsid w:val="0091507F"/>
    <w:rsid w:val="00915295"/>
    <w:rsid w:val="00915744"/>
    <w:rsid w:val="00915AB1"/>
    <w:rsid w:val="00916A9B"/>
    <w:rsid w:val="0091712D"/>
    <w:rsid w:val="009172AD"/>
    <w:rsid w:val="00917682"/>
    <w:rsid w:val="0091778C"/>
    <w:rsid w:val="0092013F"/>
    <w:rsid w:val="0092066E"/>
    <w:rsid w:val="00920F6F"/>
    <w:rsid w:val="009218D0"/>
    <w:rsid w:val="00922112"/>
    <w:rsid w:val="00922B22"/>
    <w:rsid w:val="00922B67"/>
    <w:rsid w:val="00922B78"/>
    <w:rsid w:val="00922D1E"/>
    <w:rsid w:val="00922F01"/>
    <w:rsid w:val="00922F71"/>
    <w:rsid w:val="00923102"/>
    <w:rsid w:val="009231B6"/>
    <w:rsid w:val="00923D44"/>
    <w:rsid w:val="00924460"/>
    <w:rsid w:val="0092449E"/>
    <w:rsid w:val="00924A4F"/>
    <w:rsid w:val="00924AC3"/>
    <w:rsid w:val="00924D62"/>
    <w:rsid w:val="00924EE2"/>
    <w:rsid w:val="009250BD"/>
    <w:rsid w:val="0092585F"/>
    <w:rsid w:val="0092586F"/>
    <w:rsid w:val="00925A75"/>
    <w:rsid w:val="00926460"/>
    <w:rsid w:val="009265D3"/>
    <w:rsid w:val="0092693B"/>
    <w:rsid w:val="00926AE4"/>
    <w:rsid w:val="00926C2C"/>
    <w:rsid w:val="00926D7A"/>
    <w:rsid w:val="009271CC"/>
    <w:rsid w:val="00927B07"/>
    <w:rsid w:val="00930022"/>
    <w:rsid w:val="009302F3"/>
    <w:rsid w:val="00930757"/>
    <w:rsid w:val="0093080E"/>
    <w:rsid w:val="00930EA8"/>
    <w:rsid w:val="0093131B"/>
    <w:rsid w:val="00931740"/>
    <w:rsid w:val="00931AD9"/>
    <w:rsid w:val="00932141"/>
    <w:rsid w:val="009322FE"/>
    <w:rsid w:val="00932425"/>
    <w:rsid w:val="009325F2"/>
    <w:rsid w:val="009329DA"/>
    <w:rsid w:val="00932DA5"/>
    <w:rsid w:val="009333FF"/>
    <w:rsid w:val="00933564"/>
    <w:rsid w:val="00933EAD"/>
    <w:rsid w:val="00935049"/>
    <w:rsid w:val="0093523F"/>
    <w:rsid w:val="00935346"/>
    <w:rsid w:val="00935941"/>
    <w:rsid w:val="00935B95"/>
    <w:rsid w:val="00935BE3"/>
    <w:rsid w:val="0093671E"/>
    <w:rsid w:val="00936E69"/>
    <w:rsid w:val="009375FC"/>
    <w:rsid w:val="00937730"/>
    <w:rsid w:val="00937F2C"/>
    <w:rsid w:val="0094018A"/>
    <w:rsid w:val="009401BB"/>
    <w:rsid w:val="00940443"/>
    <w:rsid w:val="00940D68"/>
    <w:rsid w:val="0094152A"/>
    <w:rsid w:val="00941541"/>
    <w:rsid w:val="0094160E"/>
    <w:rsid w:val="00941B84"/>
    <w:rsid w:val="0094250C"/>
    <w:rsid w:val="009435B1"/>
    <w:rsid w:val="0094397B"/>
    <w:rsid w:val="00943C07"/>
    <w:rsid w:val="00943FE3"/>
    <w:rsid w:val="0094418A"/>
    <w:rsid w:val="009448AE"/>
    <w:rsid w:val="00944B74"/>
    <w:rsid w:val="00944F60"/>
    <w:rsid w:val="009451A4"/>
    <w:rsid w:val="0094536E"/>
    <w:rsid w:val="00945860"/>
    <w:rsid w:val="00945BA0"/>
    <w:rsid w:val="009464A6"/>
    <w:rsid w:val="00946600"/>
    <w:rsid w:val="00946B2D"/>
    <w:rsid w:val="009475FC"/>
    <w:rsid w:val="00947662"/>
    <w:rsid w:val="00947C4E"/>
    <w:rsid w:val="00947E93"/>
    <w:rsid w:val="00950256"/>
    <w:rsid w:val="0095076C"/>
    <w:rsid w:val="00950A1C"/>
    <w:rsid w:val="00950B52"/>
    <w:rsid w:val="00950B74"/>
    <w:rsid w:val="00950CDC"/>
    <w:rsid w:val="00950FAA"/>
    <w:rsid w:val="00951668"/>
    <w:rsid w:val="009518BF"/>
    <w:rsid w:val="00952196"/>
    <w:rsid w:val="00952339"/>
    <w:rsid w:val="009526F9"/>
    <w:rsid w:val="00952766"/>
    <w:rsid w:val="00953391"/>
    <w:rsid w:val="0095355F"/>
    <w:rsid w:val="00953801"/>
    <w:rsid w:val="00953C3C"/>
    <w:rsid w:val="00953CEC"/>
    <w:rsid w:val="00953EC6"/>
    <w:rsid w:val="00954428"/>
    <w:rsid w:val="00954B14"/>
    <w:rsid w:val="00954B7F"/>
    <w:rsid w:val="00954FA8"/>
    <w:rsid w:val="009550A5"/>
    <w:rsid w:val="00955260"/>
    <w:rsid w:val="009560D6"/>
    <w:rsid w:val="009560E1"/>
    <w:rsid w:val="009565A4"/>
    <w:rsid w:val="009568C3"/>
    <w:rsid w:val="009578F0"/>
    <w:rsid w:val="009578F1"/>
    <w:rsid w:val="00957DAA"/>
    <w:rsid w:val="00957ECE"/>
    <w:rsid w:val="0096057F"/>
    <w:rsid w:val="00960767"/>
    <w:rsid w:val="00960D10"/>
    <w:rsid w:val="00960D3A"/>
    <w:rsid w:val="0096151D"/>
    <w:rsid w:val="00961C01"/>
    <w:rsid w:val="009620D1"/>
    <w:rsid w:val="0096232A"/>
    <w:rsid w:val="00962583"/>
    <w:rsid w:val="009629B8"/>
    <w:rsid w:val="00962E3F"/>
    <w:rsid w:val="00963043"/>
    <w:rsid w:val="00963247"/>
    <w:rsid w:val="00963481"/>
    <w:rsid w:val="0096359D"/>
    <w:rsid w:val="00963AFA"/>
    <w:rsid w:val="00963F8D"/>
    <w:rsid w:val="0096528B"/>
    <w:rsid w:val="009652C0"/>
    <w:rsid w:val="009656FC"/>
    <w:rsid w:val="00965BF9"/>
    <w:rsid w:val="00965ED2"/>
    <w:rsid w:val="00966263"/>
    <w:rsid w:val="009675E0"/>
    <w:rsid w:val="00967AA4"/>
    <w:rsid w:val="009700C0"/>
    <w:rsid w:val="00970370"/>
    <w:rsid w:val="00970EDE"/>
    <w:rsid w:val="00970F92"/>
    <w:rsid w:val="009714C5"/>
    <w:rsid w:val="00971BAE"/>
    <w:rsid w:val="00972160"/>
    <w:rsid w:val="009722E4"/>
    <w:rsid w:val="00972B22"/>
    <w:rsid w:val="00972E95"/>
    <w:rsid w:val="00972F46"/>
    <w:rsid w:val="00973286"/>
    <w:rsid w:val="00973609"/>
    <w:rsid w:val="00973E75"/>
    <w:rsid w:val="00973EFB"/>
    <w:rsid w:val="00973F38"/>
    <w:rsid w:val="0097449F"/>
    <w:rsid w:val="009749D4"/>
    <w:rsid w:val="00974F0A"/>
    <w:rsid w:val="00974F9C"/>
    <w:rsid w:val="00975215"/>
    <w:rsid w:val="00975429"/>
    <w:rsid w:val="009757F5"/>
    <w:rsid w:val="00975CED"/>
    <w:rsid w:val="0097614A"/>
    <w:rsid w:val="00976775"/>
    <w:rsid w:val="0097678A"/>
    <w:rsid w:val="00976975"/>
    <w:rsid w:val="00976D73"/>
    <w:rsid w:val="00977AEA"/>
    <w:rsid w:val="00977AFE"/>
    <w:rsid w:val="00977CF0"/>
    <w:rsid w:val="00977E6B"/>
    <w:rsid w:val="009811E2"/>
    <w:rsid w:val="009814A6"/>
    <w:rsid w:val="009816D2"/>
    <w:rsid w:val="00981D12"/>
    <w:rsid w:val="00981D23"/>
    <w:rsid w:val="00981FE6"/>
    <w:rsid w:val="0098212E"/>
    <w:rsid w:val="00982582"/>
    <w:rsid w:val="00982ACC"/>
    <w:rsid w:val="00983589"/>
    <w:rsid w:val="00983B3C"/>
    <w:rsid w:val="00983C41"/>
    <w:rsid w:val="00983F04"/>
    <w:rsid w:val="0098404B"/>
    <w:rsid w:val="0098407F"/>
    <w:rsid w:val="0098433D"/>
    <w:rsid w:val="00984407"/>
    <w:rsid w:val="009845E0"/>
    <w:rsid w:val="00984768"/>
    <w:rsid w:val="00984A3F"/>
    <w:rsid w:val="00984BE1"/>
    <w:rsid w:val="00984C57"/>
    <w:rsid w:val="009850DF"/>
    <w:rsid w:val="00985F6D"/>
    <w:rsid w:val="009862AC"/>
    <w:rsid w:val="0098686D"/>
    <w:rsid w:val="00987640"/>
    <w:rsid w:val="00987999"/>
    <w:rsid w:val="0099002C"/>
    <w:rsid w:val="009901D5"/>
    <w:rsid w:val="009918D6"/>
    <w:rsid w:val="00991DC9"/>
    <w:rsid w:val="00992199"/>
    <w:rsid w:val="009939BD"/>
    <w:rsid w:val="00994068"/>
    <w:rsid w:val="0099425A"/>
    <w:rsid w:val="009943B1"/>
    <w:rsid w:val="009943F1"/>
    <w:rsid w:val="0099456A"/>
    <w:rsid w:val="00994647"/>
    <w:rsid w:val="009946C0"/>
    <w:rsid w:val="00994737"/>
    <w:rsid w:val="00994B43"/>
    <w:rsid w:val="00995023"/>
    <w:rsid w:val="009950CE"/>
    <w:rsid w:val="009951E4"/>
    <w:rsid w:val="0099543F"/>
    <w:rsid w:val="009958AC"/>
    <w:rsid w:val="009959FA"/>
    <w:rsid w:val="00995DD4"/>
    <w:rsid w:val="00996369"/>
    <w:rsid w:val="00996594"/>
    <w:rsid w:val="009966AB"/>
    <w:rsid w:val="009968A7"/>
    <w:rsid w:val="009969F3"/>
    <w:rsid w:val="00996C33"/>
    <w:rsid w:val="00996DF0"/>
    <w:rsid w:val="009975E5"/>
    <w:rsid w:val="00997B70"/>
    <w:rsid w:val="00997BE6"/>
    <w:rsid w:val="00997CC1"/>
    <w:rsid w:val="009A106B"/>
    <w:rsid w:val="009A124D"/>
    <w:rsid w:val="009A22B6"/>
    <w:rsid w:val="009A23B2"/>
    <w:rsid w:val="009A2756"/>
    <w:rsid w:val="009A276D"/>
    <w:rsid w:val="009A2B5E"/>
    <w:rsid w:val="009A2DA7"/>
    <w:rsid w:val="009A332D"/>
    <w:rsid w:val="009A347E"/>
    <w:rsid w:val="009A39F5"/>
    <w:rsid w:val="009A3C0A"/>
    <w:rsid w:val="009A4099"/>
    <w:rsid w:val="009A4C2D"/>
    <w:rsid w:val="009A4DCB"/>
    <w:rsid w:val="009A5087"/>
    <w:rsid w:val="009A540A"/>
    <w:rsid w:val="009A5E81"/>
    <w:rsid w:val="009A5F06"/>
    <w:rsid w:val="009A6A99"/>
    <w:rsid w:val="009A6E53"/>
    <w:rsid w:val="009A6F88"/>
    <w:rsid w:val="009A701C"/>
    <w:rsid w:val="009A7084"/>
    <w:rsid w:val="009A74F4"/>
    <w:rsid w:val="009A7F0F"/>
    <w:rsid w:val="009A7F94"/>
    <w:rsid w:val="009B0064"/>
    <w:rsid w:val="009B03DB"/>
    <w:rsid w:val="009B0568"/>
    <w:rsid w:val="009B0BB0"/>
    <w:rsid w:val="009B0E9D"/>
    <w:rsid w:val="009B11DB"/>
    <w:rsid w:val="009B12F1"/>
    <w:rsid w:val="009B1687"/>
    <w:rsid w:val="009B1AE0"/>
    <w:rsid w:val="009B1BEC"/>
    <w:rsid w:val="009B2D5E"/>
    <w:rsid w:val="009B2FFA"/>
    <w:rsid w:val="009B303F"/>
    <w:rsid w:val="009B325E"/>
    <w:rsid w:val="009B33CE"/>
    <w:rsid w:val="009B405E"/>
    <w:rsid w:val="009B4A1D"/>
    <w:rsid w:val="009B4A87"/>
    <w:rsid w:val="009B4D3C"/>
    <w:rsid w:val="009B4D59"/>
    <w:rsid w:val="009B4D71"/>
    <w:rsid w:val="009B571B"/>
    <w:rsid w:val="009B58E9"/>
    <w:rsid w:val="009B647A"/>
    <w:rsid w:val="009B653A"/>
    <w:rsid w:val="009B69C0"/>
    <w:rsid w:val="009B75ED"/>
    <w:rsid w:val="009B7690"/>
    <w:rsid w:val="009B7AAF"/>
    <w:rsid w:val="009C00BF"/>
    <w:rsid w:val="009C02A6"/>
    <w:rsid w:val="009C03F2"/>
    <w:rsid w:val="009C0A6C"/>
    <w:rsid w:val="009C1634"/>
    <w:rsid w:val="009C1A5E"/>
    <w:rsid w:val="009C1C20"/>
    <w:rsid w:val="009C1C34"/>
    <w:rsid w:val="009C1C41"/>
    <w:rsid w:val="009C1E6D"/>
    <w:rsid w:val="009C1FE0"/>
    <w:rsid w:val="009C21B3"/>
    <w:rsid w:val="009C27AE"/>
    <w:rsid w:val="009C290C"/>
    <w:rsid w:val="009C2A28"/>
    <w:rsid w:val="009C2BE9"/>
    <w:rsid w:val="009C2CBF"/>
    <w:rsid w:val="009C2D9A"/>
    <w:rsid w:val="009C2EE2"/>
    <w:rsid w:val="009C3102"/>
    <w:rsid w:val="009C352D"/>
    <w:rsid w:val="009C4491"/>
    <w:rsid w:val="009C46DE"/>
    <w:rsid w:val="009C473D"/>
    <w:rsid w:val="009C50E5"/>
    <w:rsid w:val="009C5622"/>
    <w:rsid w:val="009C626B"/>
    <w:rsid w:val="009C65B1"/>
    <w:rsid w:val="009C75C7"/>
    <w:rsid w:val="009C7986"/>
    <w:rsid w:val="009C7A48"/>
    <w:rsid w:val="009C7B22"/>
    <w:rsid w:val="009C7B9A"/>
    <w:rsid w:val="009D0136"/>
    <w:rsid w:val="009D0632"/>
    <w:rsid w:val="009D0821"/>
    <w:rsid w:val="009D0943"/>
    <w:rsid w:val="009D0E53"/>
    <w:rsid w:val="009D1BA7"/>
    <w:rsid w:val="009D2143"/>
    <w:rsid w:val="009D21C8"/>
    <w:rsid w:val="009D231E"/>
    <w:rsid w:val="009D33CE"/>
    <w:rsid w:val="009D3451"/>
    <w:rsid w:val="009D399E"/>
    <w:rsid w:val="009D3BB5"/>
    <w:rsid w:val="009D3EF6"/>
    <w:rsid w:val="009D3FFE"/>
    <w:rsid w:val="009D40B8"/>
    <w:rsid w:val="009D4236"/>
    <w:rsid w:val="009D4890"/>
    <w:rsid w:val="009D4892"/>
    <w:rsid w:val="009D4A66"/>
    <w:rsid w:val="009D50C2"/>
    <w:rsid w:val="009D53DB"/>
    <w:rsid w:val="009D55BD"/>
    <w:rsid w:val="009D5DF7"/>
    <w:rsid w:val="009D62FF"/>
    <w:rsid w:val="009D6582"/>
    <w:rsid w:val="009D670A"/>
    <w:rsid w:val="009D6C30"/>
    <w:rsid w:val="009D75B6"/>
    <w:rsid w:val="009D7BD4"/>
    <w:rsid w:val="009E048B"/>
    <w:rsid w:val="009E07E3"/>
    <w:rsid w:val="009E0978"/>
    <w:rsid w:val="009E1ADC"/>
    <w:rsid w:val="009E1F6D"/>
    <w:rsid w:val="009E1FE3"/>
    <w:rsid w:val="009E232B"/>
    <w:rsid w:val="009E26A2"/>
    <w:rsid w:val="009E3205"/>
    <w:rsid w:val="009E342F"/>
    <w:rsid w:val="009E343A"/>
    <w:rsid w:val="009E379F"/>
    <w:rsid w:val="009E3B97"/>
    <w:rsid w:val="009E3CA4"/>
    <w:rsid w:val="009E3CAD"/>
    <w:rsid w:val="009E429A"/>
    <w:rsid w:val="009E4440"/>
    <w:rsid w:val="009E4EF0"/>
    <w:rsid w:val="009E5175"/>
    <w:rsid w:val="009E5195"/>
    <w:rsid w:val="009E5292"/>
    <w:rsid w:val="009E52CA"/>
    <w:rsid w:val="009E55B0"/>
    <w:rsid w:val="009E5980"/>
    <w:rsid w:val="009E5D14"/>
    <w:rsid w:val="009E5D68"/>
    <w:rsid w:val="009E5D71"/>
    <w:rsid w:val="009E606E"/>
    <w:rsid w:val="009E6281"/>
    <w:rsid w:val="009E6771"/>
    <w:rsid w:val="009E6CCA"/>
    <w:rsid w:val="009E723C"/>
    <w:rsid w:val="009E74F9"/>
    <w:rsid w:val="009E7692"/>
    <w:rsid w:val="009E7759"/>
    <w:rsid w:val="009F0288"/>
    <w:rsid w:val="009F0765"/>
    <w:rsid w:val="009F146F"/>
    <w:rsid w:val="009F14D1"/>
    <w:rsid w:val="009F18C1"/>
    <w:rsid w:val="009F1F41"/>
    <w:rsid w:val="009F2C5D"/>
    <w:rsid w:val="009F2F8D"/>
    <w:rsid w:val="009F2FD8"/>
    <w:rsid w:val="009F3740"/>
    <w:rsid w:val="009F37F3"/>
    <w:rsid w:val="009F3E51"/>
    <w:rsid w:val="009F3F59"/>
    <w:rsid w:val="009F4ACC"/>
    <w:rsid w:val="009F4BFB"/>
    <w:rsid w:val="009F4C93"/>
    <w:rsid w:val="009F4E45"/>
    <w:rsid w:val="009F5053"/>
    <w:rsid w:val="009F546F"/>
    <w:rsid w:val="009F548D"/>
    <w:rsid w:val="009F5512"/>
    <w:rsid w:val="009F578F"/>
    <w:rsid w:val="009F59C7"/>
    <w:rsid w:val="009F5A5D"/>
    <w:rsid w:val="009F5DB4"/>
    <w:rsid w:val="009F60B2"/>
    <w:rsid w:val="009F6142"/>
    <w:rsid w:val="009F63C3"/>
    <w:rsid w:val="009F6575"/>
    <w:rsid w:val="009F6988"/>
    <w:rsid w:val="009F6B12"/>
    <w:rsid w:val="009F6D91"/>
    <w:rsid w:val="009F7490"/>
    <w:rsid w:val="009F75ED"/>
    <w:rsid w:val="009F78F9"/>
    <w:rsid w:val="009F7E7D"/>
    <w:rsid w:val="009F7EFA"/>
    <w:rsid w:val="00A00097"/>
    <w:rsid w:val="00A00D1D"/>
    <w:rsid w:val="00A00E46"/>
    <w:rsid w:val="00A010E1"/>
    <w:rsid w:val="00A011DB"/>
    <w:rsid w:val="00A014BB"/>
    <w:rsid w:val="00A015AB"/>
    <w:rsid w:val="00A016DE"/>
    <w:rsid w:val="00A0175D"/>
    <w:rsid w:val="00A01B23"/>
    <w:rsid w:val="00A020BB"/>
    <w:rsid w:val="00A02515"/>
    <w:rsid w:val="00A0274F"/>
    <w:rsid w:val="00A02913"/>
    <w:rsid w:val="00A03F37"/>
    <w:rsid w:val="00A04184"/>
    <w:rsid w:val="00A04B1C"/>
    <w:rsid w:val="00A04CDB"/>
    <w:rsid w:val="00A05772"/>
    <w:rsid w:val="00A05A06"/>
    <w:rsid w:val="00A05B55"/>
    <w:rsid w:val="00A05D49"/>
    <w:rsid w:val="00A060FD"/>
    <w:rsid w:val="00A06142"/>
    <w:rsid w:val="00A06245"/>
    <w:rsid w:val="00A066BB"/>
    <w:rsid w:val="00A067B2"/>
    <w:rsid w:val="00A06E61"/>
    <w:rsid w:val="00A0755E"/>
    <w:rsid w:val="00A10738"/>
    <w:rsid w:val="00A1074D"/>
    <w:rsid w:val="00A10B3E"/>
    <w:rsid w:val="00A10CC2"/>
    <w:rsid w:val="00A112F4"/>
    <w:rsid w:val="00A11535"/>
    <w:rsid w:val="00A11EDA"/>
    <w:rsid w:val="00A12158"/>
    <w:rsid w:val="00A1297A"/>
    <w:rsid w:val="00A12E00"/>
    <w:rsid w:val="00A13528"/>
    <w:rsid w:val="00A137B6"/>
    <w:rsid w:val="00A13A38"/>
    <w:rsid w:val="00A13F8A"/>
    <w:rsid w:val="00A142E8"/>
    <w:rsid w:val="00A14FA8"/>
    <w:rsid w:val="00A1624C"/>
    <w:rsid w:val="00A16722"/>
    <w:rsid w:val="00A169D3"/>
    <w:rsid w:val="00A169F8"/>
    <w:rsid w:val="00A16A01"/>
    <w:rsid w:val="00A16A73"/>
    <w:rsid w:val="00A16D9A"/>
    <w:rsid w:val="00A1735D"/>
    <w:rsid w:val="00A17762"/>
    <w:rsid w:val="00A179DE"/>
    <w:rsid w:val="00A17A12"/>
    <w:rsid w:val="00A17DFB"/>
    <w:rsid w:val="00A17F6B"/>
    <w:rsid w:val="00A20002"/>
    <w:rsid w:val="00A20727"/>
    <w:rsid w:val="00A2120C"/>
    <w:rsid w:val="00A21349"/>
    <w:rsid w:val="00A2144D"/>
    <w:rsid w:val="00A21926"/>
    <w:rsid w:val="00A21B41"/>
    <w:rsid w:val="00A21EB7"/>
    <w:rsid w:val="00A220E0"/>
    <w:rsid w:val="00A22535"/>
    <w:rsid w:val="00A22B02"/>
    <w:rsid w:val="00A22D5D"/>
    <w:rsid w:val="00A23195"/>
    <w:rsid w:val="00A231F7"/>
    <w:rsid w:val="00A234C5"/>
    <w:rsid w:val="00A23580"/>
    <w:rsid w:val="00A23619"/>
    <w:rsid w:val="00A23DC9"/>
    <w:rsid w:val="00A23E67"/>
    <w:rsid w:val="00A23E8D"/>
    <w:rsid w:val="00A24151"/>
    <w:rsid w:val="00A24B55"/>
    <w:rsid w:val="00A24B59"/>
    <w:rsid w:val="00A24BAA"/>
    <w:rsid w:val="00A258A7"/>
    <w:rsid w:val="00A25D0A"/>
    <w:rsid w:val="00A25D28"/>
    <w:rsid w:val="00A266D6"/>
    <w:rsid w:val="00A274BC"/>
    <w:rsid w:val="00A2784B"/>
    <w:rsid w:val="00A2793C"/>
    <w:rsid w:val="00A27BD9"/>
    <w:rsid w:val="00A27BFD"/>
    <w:rsid w:val="00A27DC1"/>
    <w:rsid w:val="00A27EF9"/>
    <w:rsid w:val="00A30458"/>
    <w:rsid w:val="00A306BF"/>
    <w:rsid w:val="00A30769"/>
    <w:rsid w:val="00A30871"/>
    <w:rsid w:val="00A30C4A"/>
    <w:rsid w:val="00A31331"/>
    <w:rsid w:val="00A31F00"/>
    <w:rsid w:val="00A323CC"/>
    <w:rsid w:val="00A3258D"/>
    <w:rsid w:val="00A3294D"/>
    <w:rsid w:val="00A33437"/>
    <w:rsid w:val="00A33814"/>
    <w:rsid w:val="00A338CC"/>
    <w:rsid w:val="00A34778"/>
    <w:rsid w:val="00A34A9C"/>
    <w:rsid w:val="00A34B41"/>
    <w:rsid w:val="00A35053"/>
    <w:rsid w:val="00A3533D"/>
    <w:rsid w:val="00A356D2"/>
    <w:rsid w:val="00A35BF5"/>
    <w:rsid w:val="00A36443"/>
    <w:rsid w:val="00A3657F"/>
    <w:rsid w:val="00A36675"/>
    <w:rsid w:val="00A36925"/>
    <w:rsid w:val="00A36B53"/>
    <w:rsid w:val="00A36BC4"/>
    <w:rsid w:val="00A3753A"/>
    <w:rsid w:val="00A37B6F"/>
    <w:rsid w:val="00A401E2"/>
    <w:rsid w:val="00A4060F"/>
    <w:rsid w:val="00A40696"/>
    <w:rsid w:val="00A407DD"/>
    <w:rsid w:val="00A40D3B"/>
    <w:rsid w:val="00A410EC"/>
    <w:rsid w:val="00A41A00"/>
    <w:rsid w:val="00A41A80"/>
    <w:rsid w:val="00A41D0B"/>
    <w:rsid w:val="00A425AB"/>
    <w:rsid w:val="00A42B1A"/>
    <w:rsid w:val="00A42E3D"/>
    <w:rsid w:val="00A43320"/>
    <w:rsid w:val="00A43829"/>
    <w:rsid w:val="00A43950"/>
    <w:rsid w:val="00A448D5"/>
    <w:rsid w:val="00A44C6B"/>
    <w:rsid w:val="00A4536D"/>
    <w:rsid w:val="00A4572B"/>
    <w:rsid w:val="00A4612E"/>
    <w:rsid w:val="00A46235"/>
    <w:rsid w:val="00A4748B"/>
    <w:rsid w:val="00A474D2"/>
    <w:rsid w:val="00A47760"/>
    <w:rsid w:val="00A500B0"/>
    <w:rsid w:val="00A502EA"/>
    <w:rsid w:val="00A5035B"/>
    <w:rsid w:val="00A50775"/>
    <w:rsid w:val="00A509E9"/>
    <w:rsid w:val="00A50F79"/>
    <w:rsid w:val="00A51371"/>
    <w:rsid w:val="00A516E2"/>
    <w:rsid w:val="00A51E36"/>
    <w:rsid w:val="00A51EAD"/>
    <w:rsid w:val="00A51FE2"/>
    <w:rsid w:val="00A524EA"/>
    <w:rsid w:val="00A5268A"/>
    <w:rsid w:val="00A52853"/>
    <w:rsid w:val="00A52A19"/>
    <w:rsid w:val="00A52EBB"/>
    <w:rsid w:val="00A532AC"/>
    <w:rsid w:val="00A53367"/>
    <w:rsid w:val="00A53AD2"/>
    <w:rsid w:val="00A53CF7"/>
    <w:rsid w:val="00A53E77"/>
    <w:rsid w:val="00A5450C"/>
    <w:rsid w:val="00A545F4"/>
    <w:rsid w:val="00A54848"/>
    <w:rsid w:val="00A548B6"/>
    <w:rsid w:val="00A54D3C"/>
    <w:rsid w:val="00A5520F"/>
    <w:rsid w:val="00A55222"/>
    <w:rsid w:val="00A561C4"/>
    <w:rsid w:val="00A566ED"/>
    <w:rsid w:val="00A56B14"/>
    <w:rsid w:val="00A56E78"/>
    <w:rsid w:val="00A577E7"/>
    <w:rsid w:val="00A605B0"/>
    <w:rsid w:val="00A60FF2"/>
    <w:rsid w:val="00A61042"/>
    <w:rsid w:val="00A62103"/>
    <w:rsid w:val="00A62271"/>
    <w:rsid w:val="00A62A95"/>
    <w:rsid w:val="00A62AE3"/>
    <w:rsid w:val="00A6322B"/>
    <w:rsid w:val="00A632EE"/>
    <w:rsid w:val="00A63A4E"/>
    <w:rsid w:val="00A63EA1"/>
    <w:rsid w:val="00A63FDA"/>
    <w:rsid w:val="00A64120"/>
    <w:rsid w:val="00A6429E"/>
    <w:rsid w:val="00A64AE6"/>
    <w:rsid w:val="00A64BE9"/>
    <w:rsid w:val="00A6592D"/>
    <w:rsid w:val="00A65E49"/>
    <w:rsid w:val="00A66210"/>
    <w:rsid w:val="00A6624A"/>
    <w:rsid w:val="00A662D8"/>
    <w:rsid w:val="00A662E0"/>
    <w:rsid w:val="00A6684F"/>
    <w:rsid w:val="00A66DD0"/>
    <w:rsid w:val="00A67550"/>
    <w:rsid w:val="00A6757B"/>
    <w:rsid w:val="00A675CA"/>
    <w:rsid w:val="00A677B7"/>
    <w:rsid w:val="00A67B08"/>
    <w:rsid w:val="00A67CF4"/>
    <w:rsid w:val="00A67CFB"/>
    <w:rsid w:val="00A701EB"/>
    <w:rsid w:val="00A70742"/>
    <w:rsid w:val="00A70B74"/>
    <w:rsid w:val="00A7106A"/>
    <w:rsid w:val="00A71330"/>
    <w:rsid w:val="00A714ED"/>
    <w:rsid w:val="00A715C3"/>
    <w:rsid w:val="00A7167B"/>
    <w:rsid w:val="00A71821"/>
    <w:rsid w:val="00A71AB7"/>
    <w:rsid w:val="00A71C29"/>
    <w:rsid w:val="00A721B2"/>
    <w:rsid w:val="00A728EE"/>
    <w:rsid w:val="00A72992"/>
    <w:rsid w:val="00A73312"/>
    <w:rsid w:val="00A73599"/>
    <w:rsid w:val="00A7392A"/>
    <w:rsid w:val="00A73983"/>
    <w:rsid w:val="00A73A9B"/>
    <w:rsid w:val="00A73AB5"/>
    <w:rsid w:val="00A7493E"/>
    <w:rsid w:val="00A76089"/>
    <w:rsid w:val="00A76115"/>
    <w:rsid w:val="00A762B6"/>
    <w:rsid w:val="00A763D9"/>
    <w:rsid w:val="00A7643E"/>
    <w:rsid w:val="00A76461"/>
    <w:rsid w:val="00A7647D"/>
    <w:rsid w:val="00A767BE"/>
    <w:rsid w:val="00A7729E"/>
    <w:rsid w:val="00A77997"/>
    <w:rsid w:val="00A77DA1"/>
    <w:rsid w:val="00A77FEF"/>
    <w:rsid w:val="00A802E4"/>
    <w:rsid w:val="00A80732"/>
    <w:rsid w:val="00A807B2"/>
    <w:rsid w:val="00A81C01"/>
    <w:rsid w:val="00A82586"/>
    <w:rsid w:val="00A82717"/>
    <w:rsid w:val="00A82FF7"/>
    <w:rsid w:val="00A8350A"/>
    <w:rsid w:val="00A83681"/>
    <w:rsid w:val="00A8444E"/>
    <w:rsid w:val="00A844E5"/>
    <w:rsid w:val="00A84627"/>
    <w:rsid w:val="00A84BEB"/>
    <w:rsid w:val="00A84F6E"/>
    <w:rsid w:val="00A85345"/>
    <w:rsid w:val="00A854A4"/>
    <w:rsid w:val="00A8559F"/>
    <w:rsid w:val="00A85FE3"/>
    <w:rsid w:val="00A86096"/>
    <w:rsid w:val="00A86193"/>
    <w:rsid w:val="00A8658C"/>
    <w:rsid w:val="00A86A6C"/>
    <w:rsid w:val="00A8715D"/>
    <w:rsid w:val="00A871BA"/>
    <w:rsid w:val="00A87D3D"/>
    <w:rsid w:val="00A87F4D"/>
    <w:rsid w:val="00A90225"/>
    <w:rsid w:val="00A9062C"/>
    <w:rsid w:val="00A9086D"/>
    <w:rsid w:val="00A90F90"/>
    <w:rsid w:val="00A911EE"/>
    <w:rsid w:val="00A91530"/>
    <w:rsid w:val="00A915F7"/>
    <w:rsid w:val="00A91655"/>
    <w:rsid w:val="00A916D4"/>
    <w:rsid w:val="00A916FA"/>
    <w:rsid w:val="00A9177A"/>
    <w:rsid w:val="00A917D2"/>
    <w:rsid w:val="00A9242A"/>
    <w:rsid w:val="00A92461"/>
    <w:rsid w:val="00A924B1"/>
    <w:rsid w:val="00A9271D"/>
    <w:rsid w:val="00A92ACD"/>
    <w:rsid w:val="00A92B12"/>
    <w:rsid w:val="00A93497"/>
    <w:rsid w:val="00A93AEE"/>
    <w:rsid w:val="00A93BF2"/>
    <w:rsid w:val="00A93DCA"/>
    <w:rsid w:val="00A940BB"/>
    <w:rsid w:val="00A943D4"/>
    <w:rsid w:val="00A946D6"/>
    <w:rsid w:val="00A94B91"/>
    <w:rsid w:val="00A94DCA"/>
    <w:rsid w:val="00A9507D"/>
    <w:rsid w:val="00A950BF"/>
    <w:rsid w:val="00A959C5"/>
    <w:rsid w:val="00A95E9F"/>
    <w:rsid w:val="00A960D0"/>
    <w:rsid w:val="00A961AE"/>
    <w:rsid w:val="00A96959"/>
    <w:rsid w:val="00A96AC5"/>
    <w:rsid w:val="00A976C7"/>
    <w:rsid w:val="00A977C9"/>
    <w:rsid w:val="00A97D43"/>
    <w:rsid w:val="00AA0061"/>
    <w:rsid w:val="00AA023F"/>
    <w:rsid w:val="00AA09AC"/>
    <w:rsid w:val="00AA09B1"/>
    <w:rsid w:val="00AA0AAC"/>
    <w:rsid w:val="00AA0F87"/>
    <w:rsid w:val="00AA1173"/>
    <w:rsid w:val="00AA1563"/>
    <w:rsid w:val="00AA1A23"/>
    <w:rsid w:val="00AA20B1"/>
    <w:rsid w:val="00AA20FA"/>
    <w:rsid w:val="00AA21CE"/>
    <w:rsid w:val="00AA225C"/>
    <w:rsid w:val="00AA2399"/>
    <w:rsid w:val="00AA2438"/>
    <w:rsid w:val="00AA2451"/>
    <w:rsid w:val="00AA247A"/>
    <w:rsid w:val="00AA2AFA"/>
    <w:rsid w:val="00AA2C93"/>
    <w:rsid w:val="00AA2FF6"/>
    <w:rsid w:val="00AA3230"/>
    <w:rsid w:val="00AA36C1"/>
    <w:rsid w:val="00AA3A56"/>
    <w:rsid w:val="00AA3F05"/>
    <w:rsid w:val="00AA4108"/>
    <w:rsid w:val="00AA45AE"/>
    <w:rsid w:val="00AA4622"/>
    <w:rsid w:val="00AA4643"/>
    <w:rsid w:val="00AA5181"/>
    <w:rsid w:val="00AA53D7"/>
    <w:rsid w:val="00AA573E"/>
    <w:rsid w:val="00AA59CC"/>
    <w:rsid w:val="00AA5E9F"/>
    <w:rsid w:val="00AA615C"/>
    <w:rsid w:val="00AA62DA"/>
    <w:rsid w:val="00AA663D"/>
    <w:rsid w:val="00AA6891"/>
    <w:rsid w:val="00AA785A"/>
    <w:rsid w:val="00AA7D75"/>
    <w:rsid w:val="00AB0108"/>
    <w:rsid w:val="00AB027C"/>
    <w:rsid w:val="00AB14AA"/>
    <w:rsid w:val="00AB14B5"/>
    <w:rsid w:val="00AB15FB"/>
    <w:rsid w:val="00AB18B0"/>
    <w:rsid w:val="00AB1D11"/>
    <w:rsid w:val="00AB1DDE"/>
    <w:rsid w:val="00AB2658"/>
    <w:rsid w:val="00AB273F"/>
    <w:rsid w:val="00AB2955"/>
    <w:rsid w:val="00AB2B1F"/>
    <w:rsid w:val="00AB2D36"/>
    <w:rsid w:val="00AB2D4F"/>
    <w:rsid w:val="00AB31C0"/>
    <w:rsid w:val="00AB35C1"/>
    <w:rsid w:val="00AB421E"/>
    <w:rsid w:val="00AB43BB"/>
    <w:rsid w:val="00AB45E4"/>
    <w:rsid w:val="00AB494A"/>
    <w:rsid w:val="00AB505B"/>
    <w:rsid w:val="00AB5839"/>
    <w:rsid w:val="00AB5C6C"/>
    <w:rsid w:val="00AB5D73"/>
    <w:rsid w:val="00AB5DD1"/>
    <w:rsid w:val="00AB66DB"/>
    <w:rsid w:val="00AB6BC8"/>
    <w:rsid w:val="00AB6C26"/>
    <w:rsid w:val="00AB6DEA"/>
    <w:rsid w:val="00AB6FEB"/>
    <w:rsid w:val="00AB7626"/>
    <w:rsid w:val="00AB7763"/>
    <w:rsid w:val="00AB7A16"/>
    <w:rsid w:val="00AB7D9C"/>
    <w:rsid w:val="00AC0171"/>
    <w:rsid w:val="00AC030F"/>
    <w:rsid w:val="00AC0B0C"/>
    <w:rsid w:val="00AC0D3A"/>
    <w:rsid w:val="00AC0F90"/>
    <w:rsid w:val="00AC10C7"/>
    <w:rsid w:val="00AC1119"/>
    <w:rsid w:val="00AC14AB"/>
    <w:rsid w:val="00AC18F4"/>
    <w:rsid w:val="00AC1B1B"/>
    <w:rsid w:val="00AC1B7A"/>
    <w:rsid w:val="00AC288E"/>
    <w:rsid w:val="00AC28EF"/>
    <w:rsid w:val="00AC2E73"/>
    <w:rsid w:val="00AC3310"/>
    <w:rsid w:val="00AC33F1"/>
    <w:rsid w:val="00AC40AA"/>
    <w:rsid w:val="00AC43A3"/>
    <w:rsid w:val="00AC48F1"/>
    <w:rsid w:val="00AC4F09"/>
    <w:rsid w:val="00AC516E"/>
    <w:rsid w:val="00AC54B0"/>
    <w:rsid w:val="00AC5553"/>
    <w:rsid w:val="00AC56CD"/>
    <w:rsid w:val="00AC5FA4"/>
    <w:rsid w:val="00AC639A"/>
    <w:rsid w:val="00AC65CD"/>
    <w:rsid w:val="00AC6685"/>
    <w:rsid w:val="00AC695D"/>
    <w:rsid w:val="00AC6BE1"/>
    <w:rsid w:val="00AC7424"/>
    <w:rsid w:val="00AC76A9"/>
    <w:rsid w:val="00AC76DB"/>
    <w:rsid w:val="00AC78D3"/>
    <w:rsid w:val="00AC7AA5"/>
    <w:rsid w:val="00AC7CA1"/>
    <w:rsid w:val="00AD0346"/>
    <w:rsid w:val="00AD079F"/>
    <w:rsid w:val="00AD090F"/>
    <w:rsid w:val="00AD0BD0"/>
    <w:rsid w:val="00AD138F"/>
    <w:rsid w:val="00AD1FB1"/>
    <w:rsid w:val="00AD250B"/>
    <w:rsid w:val="00AD26C8"/>
    <w:rsid w:val="00AD2AB5"/>
    <w:rsid w:val="00AD2C38"/>
    <w:rsid w:val="00AD2E5B"/>
    <w:rsid w:val="00AD3ADA"/>
    <w:rsid w:val="00AD3F16"/>
    <w:rsid w:val="00AD40B5"/>
    <w:rsid w:val="00AD4104"/>
    <w:rsid w:val="00AD4C4D"/>
    <w:rsid w:val="00AD5071"/>
    <w:rsid w:val="00AD50C2"/>
    <w:rsid w:val="00AD50EA"/>
    <w:rsid w:val="00AD5475"/>
    <w:rsid w:val="00AD59C4"/>
    <w:rsid w:val="00AD5BCD"/>
    <w:rsid w:val="00AD6C97"/>
    <w:rsid w:val="00AD767B"/>
    <w:rsid w:val="00AD793F"/>
    <w:rsid w:val="00AD7DBC"/>
    <w:rsid w:val="00AD7E86"/>
    <w:rsid w:val="00AE0B6D"/>
    <w:rsid w:val="00AE11D5"/>
    <w:rsid w:val="00AE12D1"/>
    <w:rsid w:val="00AE12D2"/>
    <w:rsid w:val="00AE1835"/>
    <w:rsid w:val="00AE1923"/>
    <w:rsid w:val="00AE2650"/>
    <w:rsid w:val="00AE281D"/>
    <w:rsid w:val="00AE2BF7"/>
    <w:rsid w:val="00AE2DAD"/>
    <w:rsid w:val="00AE2FC1"/>
    <w:rsid w:val="00AE3439"/>
    <w:rsid w:val="00AE343D"/>
    <w:rsid w:val="00AE34D4"/>
    <w:rsid w:val="00AE3772"/>
    <w:rsid w:val="00AE3860"/>
    <w:rsid w:val="00AE3F1F"/>
    <w:rsid w:val="00AE4507"/>
    <w:rsid w:val="00AE48DA"/>
    <w:rsid w:val="00AE4E7E"/>
    <w:rsid w:val="00AE5105"/>
    <w:rsid w:val="00AE5401"/>
    <w:rsid w:val="00AE5987"/>
    <w:rsid w:val="00AE5BD8"/>
    <w:rsid w:val="00AE604D"/>
    <w:rsid w:val="00AE61CE"/>
    <w:rsid w:val="00AE65B5"/>
    <w:rsid w:val="00AE6CFB"/>
    <w:rsid w:val="00AE6DD5"/>
    <w:rsid w:val="00AE703D"/>
    <w:rsid w:val="00AE7BD3"/>
    <w:rsid w:val="00AE7DE6"/>
    <w:rsid w:val="00AE7F93"/>
    <w:rsid w:val="00AF040D"/>
    <w:rsid w:val="00AF0778"/>
    <w:rsid w:val="00AF094F"/>
    <w:rsid w:val="00AF0C63"/>
    <w:rsid w:val="00AF0D2D"/>
    <w:rsid w:val="00AF11D9"/>
    <w:rsid w:val="00AF17AE"/>
    <w:rsid w:val="00AF1DF5"/>
    <w:rsid w:val="00AF217C"/>
    <w:rsid w:val="00AF2FE9"/>
    <w:rsid w:val="00AF335D"/>
    <w:rsid w:val="00AF3509"/>
    <w:rsid w:val="00AF3864"/>
    <w:rsid w:val="00AF3897"/>
    <w:rsid w:val="00AF3953"/>
    <w:rsid w:val="00AF3FD2"/>
    <w:rsid w:val="00AF4022"/>
    <w:rsid w:val="00AF4463"/>
    <w:rsid w:val="00AF46FE"/>
    <w:rsid w:val="00AF4A01"/>
    <w:rsid w:val="00AF4D86"/>
    <w:rsid w:val="00AF4F6E"/>
    <w:rsid w:val="00AF5C9B"/>
    <w:rsid w:val="00AF6014"/>
    <w:rsid w:val="00AF620A"/>
    <w:rsid w:val="00AF6262"/>
    <w:rsid w:val="00AF6374"/>
    <w:rsid w:val="00AF6E02"/>
    <w:rsid w:val="00AF6EE8"/>
    <w:rsid w:val="00AF70D2"/>
    <w:rsid w:val="00AF7A1F"/>
    <w:rsid w:val="00B01537"/>
    <w:rsid w:val="00B02837"/>
    <w:rsid w:val="00B0288C"/>
    <w:rsid w:val="00B02D5D"/>
    <w:rsid w:val="00B02EDF"/>
    <w:rsid w:val="00B02F05"/>
    <w:rsid w:val="00B032D3"/>
    <w:rsid w:val="00B03E15"/>
    <w:rsid w:val="00B03F55"/>
    <w:rsid w:val="00B04359"/>
    <w:rsid w:val="00B04AD9"/>
    <w:rsid w:val="00B04B60"/>
    <w:rsid w:val="00B0524F"/>
    <w:rsid w:val="00B053D2"/>
    <w:rsid w:val="00B0610A"/>
    <w:rsid w:val="00B06333"/>
    <w:rsid w:val="00B06A71"/>
    <w:rsid w:val="00B06D8C"/>
    <w:rsid w:val="00B06DA8"/>
    <w:rsid w:val="00B073DF"/>
    <w:rsid w:val="00B07B28"/>
    <w:rsid w:val="00B10448"/>
    <w:rsid w:val="00B1052E"/>
    <w:rsid w:val="00B10B94"/>
    <w:rsid w:val="00B11951"/>
    <w:rsid w:val="00B12084"/>
    <w:rsid w:val="00B121C8"/>
    <w:rsid w:val="00B127F8"/>
    <w:rsid w:val="00B12C85"/>
    <w:rsid w:val="00B131EE"/>
    <w:rsid w:val="00B133BB"/>
    <w:rsid w:val="00B13573"/>
    <w:rsid w:val="00B1369D"/>
    <w:rsid w:val="00B1372E"/>
    <w:rsid w:val="00B13732"/>
    <w:rsid w:val="00B1377F"/>
    <w:rsid w:val="00B139A1"/>
    <w:rsid w:val="00B13CA2"/>
    <w:rsid w:val="00B13CAA"/>
    <w:rsid w:val="00B13E63"/>
    <w:rsid w:val="00B140F4"/>
    <w:rsid w:val="00B14100"/>
    <w:rsid w:val="00B14166"/>
    <w:rsid w:val="00B14195"/>
    <w:rsid w:val="00B143DB"/>
    <w:rsid w:val="00B14415"/>
    <w:rsid w:val="00B14460"/>
    <w:rsid w:val="00B148E9"/>
    <w:rsid w:val="00B14A8A"/>
    <w:rsid w:val="00B14BEA"/>
    <w:rsid w:val="00B14D75"/>
    <w:rsid w:val="00B14E51"/>
    <w:rsid w:val="00B15026"/>
    <w:rsid w:val="00B15095"/>
    <w:rsid w:val="00B153AA"/>
    <w:rsid w:val="00B1585C"/>
    <w:rsid w:val="00B1633E"/>
    <w:rsid w:val="00B16D12"/>
    <w:rsid w:val="00B171D0"/>
    <w:rsid w:val="00B175F1"/>
    <w:rsid w:val="00B1787B"/>
    <w:rsid w:val="00B20B4E"/>
    <w:rsid w:val="00B20D00"/>
    <w:rsid w:val="00B20D92"/>
    <w:rsid w:val="00B20E0A"/>
    <w:rsid w:val="00B2138A"/>
    <w:rsid w:val="00B215A4"/>
    <w:rsid w:val="00B21BA8"/>
    <w:rsid w:val="00B222F5"/>
    <w:rsid w:val="00B2232A"/>
    <w:rsid w:val="00B22662"/>
    <w:rsid w:val="00B229C1"/>
    <w:rsid w:val="00B22A99"/>
    <w:rsid w:val="00B22AC9"/>
    <w:rsid w:val="00B22F35"/>
    <w:rsid w:val="00B234E9"/>
    <w:rsid w:val="00B23692"/>
    <w:rsid w:val="00B238CE"/>
    <w:rsid w:val="00B2461C"/>
    <w:rsid w:val="00B24D61"/>
    <w:rsid w:val="00B256AF"/>
    <w:rsid w:val="00B256BB"/>
    <w:rsid w:val="00B2583E"/>
    <w:rsid w:val="00B25CE8"/>
    <w:rsid w:val="00B25D89"/>
    <w:rsid w:val="00B25E69"/>
    <w:rsid w:val="00B2643C"/>
    <w:rsid w:val="00B26565"/>
    <w:rsid w:val="00B26958"/>
    <w:rsid w:val="00B26CE5"/>
    <w:rsid w:val="00B26EE3"/>
    <w:rsid w:val="00B2770C"/>
    <w:rsid w:val="00B30BCB"/>
    <w:rsid w:val="00B30BDC"/>
    <w:rsid w:val="00B31556"/>
    <w:rsid w:val="00B31631"/>
    <w:rsid w:val="00B31713"/>
    <w:rsid w:val="00B31915"/>
    <w:rsid w:val="00B31EA8"/>
    <w:rsid w:val="00B31F22"/>
    <w:rsid w:val="00B3228F"/>
    <w:rsid w:val="00B322DD"/>
    <w:rsid w:val="00B32985"/>
    <w:rsid w:val="00B33B8E"/>
    <w:rsid w:val="00B33C0D"/>
    <w:rsid w:val="00B33F50"/>
    <w:rsid w:val="00B34660"/>
    <w:rsid w:val="00B34821"/>
    <w:rsid w:val="00B34D69"/>
    <w:rsid w:val="00B34DE0"/>
    <w:rsid w:val="00B351C5"/>
    <w:rsid w:val="00B3524B"/>
    <w:rsid w:val="00B353FE"/>
    <w:rsid w:val="00B35AFA"/>
    <w:rsid w:val="00B360D5"/>
    <w:rsid w:val="00B3650F"/>
    <w:rsid w:val="00B36739"/>
    <w:rsid w:val="00B3673D"/>
    <w:rsid w:val="00B36969"/>
    <w:rsid w:val="00B36CB4"/>
    <w:rsid w:val="00B372E0"/>
    <w:rsid w:val="00B3765D"/>
    <w:rsid w:val="00B376AB"/>
    <w:rsid w:val="00B3777C"/>
    <w:rsid w:val="00B37BDB"/>
    <w:rsid w:val="00B37DAD"/>
    <w:rsid w:val="00B37F52"/>
    <w:rsid w:val="00B403BA"/>
    <w:rsid w:val="00B40A66"/>
    <w:rsid w:val="00B40C97"/>
    <w:rsid w:val="00B42870"/>
    <w:rsid w:val="00B42D48"/>
    <w:rsid w:val="00B42D6A"/>
    <w:rsid w:val="00B42EED"/>
    <w:rsid w:val="00B445E4"/>
    <w:rsid w:val="00B447EC"/>
    <w:rsid w:val="00B458A3"/>
    <w:rsid w:val="00B466D3"/>
    <w:rsid w:val="00B46796"/>
    <w:rsid w:val="00B467F2"/>
    <w:rsid w:val="00B46BF6"/>
    <w:rsid w:val="00B4712B"/>
    <w:rsid w:val="00B47667"/>
    <w:rsid w:val="00B478BA"/>
    <w:rsid w:val="00B50A68"/>
    <w:rsid w:val="00B50E18"/>
    <w:rsid w:val="00B515BE"/>
    <w:rsid w:val="00B51ABF"/>
    <w:rsid w:val="00B51FFD"/>
    <w:rsid w:val="00B523C6"/>
    <w:rsid w:val="00B5242C"/>
    <w:rsid w:val="00B52FF2"/>
    <w:rsid w:val="00B53D5D"/>
    <w:rsid w:val="00B53FB6"/>
    <w:rsid w:val="00B5416D"/>
    <w:rsid w:val="00B5441F"/>
    <w:rsid w:val="00B544C4"/>
    <w:rsid w:val="00B5489E"/>
    <w:rsid w:val="00B54C5D"/>
    <w:rsid w:val="00B54F5B"/>
    <w:rsid w:val="00B552CE"/>
    <w:rsid w:val="00B55ADA"/>
    <w:rsid w:val="00B55F35"/>
    <w:rsid w:val="00B56779"/>
    <w:rsid w:val="00B56BAE"/>
    <w:rsid w:val="00B56C78"/>
    <w:rsid w:val="00B56C88"/>
    <w:rsid w:val="00B56E32"/>
    <w:rsid w:val="00B571B5"/>
    <w:rsid w:val="00B57651"/>
    <w:rsid w:val="00B57709"/>
    <w:rsid w:val="00B57C1F"/>
    <w:rsid w:val="00B6031C"/>
    <w:rsid w:val="00B60E46"/>
    <w:rsid w:val="00B60E6A"/>
    <w:rsid w:val="00B61235"/>
    <w:rsid w:val="00B61686"/>
    <w:rsid w:val="00B61861"/>
    <w:rsid w:val="00B61869"/>
    <w:rsid w:val="00B61C19"/>
    <w:rsid w:val="00B61EBB"/>
    <w:rsid w:val="00B62587"/>
    <w:rsid w:val="00B6263A"/>
    <w:rsid w:val="00B6323F"/>
    <w:rsid w:val="00B63375"/>
    <w:rsid w:val="00B6357A"/>
    <w:rsid w:val="00B63702"/>
    <w:rsid w:val="00B63C72"/>
    <w:rsid w:val="00B63DE4"/>
    <w:rsid w:val="00B6494C"/>
    <w:rsid w:val="00B64C82"/>
    <w:rsid w:val="00B64FE2"/>
    <w:rsid w:val="00B65BDF"/>
    <w:rsid w:val="00B66148"/>
    <w:rsid w:val="00B6641F"/>
    <w:rsid w:val="00B66502"/>
    <w:rsid w:val="00B66649"/>
    <w:rsid w:val="00B6770C"/>
    <w:rsid w:val="00B6782F"/>
    <w:rsid w:val="00B67D82"/>
    <w:rsid w:val="00B67F0D"/>
    <w:rsid w:val="00B70860"/>
    <w:rsid w:val="00B70B4A"/>
    <w:rsid w:val="00B70D83"/>
    <w:rsid w:val="00B714AA"/>
    <w:rsid w:val="00B71BAB"/>
    <w:rsid w:val="00B71C3E"/>
    <w:rsid w:val="00B71C51"/>
    <w:rsid w:val="00B72913"/>
    <w:rsid w:val="00B729BA"/>
    <w:rsid w:val="00B72D89"/>
    <w:rsid w:val="00B72F40"/>
    <w:rsid w:val="00B732EF"/>
    <w:rsid w:val="00B7354A"/>
    <w:rsid w:val="00B7364C"/>
    <w:rsid w:val="00B74138"/>
    <w:rsid w:val="00B744E9"/>
    <w:rsid w:val="00B74603"/>
    <w:rsid w:val="00B74B2A"/>
    <w:rsid w:val="00B74B85"/>
    <w:rsid w:val="00B753FD"/>
    <w:rsid w:val="00B75656"/>
    <w:rsid w:val="00B7586F"/>
    <w:rsid w:val="00B7595C"/>
    <w:rsid w:val="00B75B4D"/>
    <w:rsid w:val="00B75D2A"/>
    <w:rsid w:val="00B75D3C"/>
    <w:rsid w:val="00B75E19"/>
    <w:rsid w:val="00B75E2A"/>
    <w:rsid w:val="00B76235"/>
    <w:rsid w:val="00B76C90"/>
    <w:rsid w:val="00B76D43"/>
    <w:rsid w:val="00B76DF4"/>
    <w:rsid w:val="00B76F8E"/>
    <w:rsid w:val="00B76FC4"/>
    <w:rsid w:val="00B7700B"/>
    <w:rsid w:val="00B77344"/>
    <w:rsid w:val="00B77416"/>
    <w:rsid w:val="00B80A71"/>
    <w:rsid w:val="00B8112A"/>
    <w:rsid w:val="00B81AB0"/>
    <w:rsid w:val="00B81B83"/>
    <w:rsid w:val="00B81D53"/>
    <w:rsid w:val="00B82115"/>
    <w:rsid w:val="00B8217C"/>
    <w:rsid w:val="00B82B7C"/>
    <w:rsid w:val="00B83790"/>
    <w:rsid w:val="00B83C1D"/>
    <w:rsid w:val="00B8402B"/>
    <w:rsid w:val="00B8423A"/>
    <w:rsid w:val="00B844B9"/>
    <w:rsid w:val="00B84539"/>
    <w:rsid w:val="00B8542A"/>
    <w:rsid w:val="00B85CE5"/>
    <w:rsid w:val="00B85D34"/>
    <w:rsid w:val="00B85EB7"/>
    <w:rsid w:val="00B867B3"/>
    <w:rsid w:val="00B86ADB"/>
    <w:rsid w:val="00B87E10"/>
    <w:rsid w:val="00B900CC"/>
    <w:rsid w:val="00B90F67"/>
    <w:rsid w:val="00B91039"/>
    <w:rsid w:val="00B91153"/>
    <w:rsid w:val="00B915DB"/>
    <w:rsid w:val="00B9190C"/>
    <w:rsid w:val="00B91952"/>
    <w:rsid w:val="00B91AB8"/>
    <w:rsid w:val="00B91FD7"/>
    <w:rsid w:val="00B92357"/>
    <w:rsid w:val="00B9264F"/>
    <w:rsid w:val="00B9296E"/>
    <w:rsid w:val="00B931D7"/>
    <w:rsid w:val="00B935A6"/>
    <w:rsid w:val="00B9392C"/>
    <w:rsid w:val="00B948D6"/>
    <w:rsid w:val="00B949F6"/>
    <w:rsid w:val="00B94A42"/>
    <w:rsid w:val="00B954E4"/>
    <w:rsid w:val="00B95F65"/>
    <w:rsid w:val="00B96EBD"/>
    <w:rsid w:val="00B97C0F"/>
    <w:rsid w:val="00B97E1F"/>
    <w:rsid w:val="00BA0716"/>
    <w:rsid w:val="00BA08CA"/>
    <w:rsid w:val="00BA0B57"/>
    <w:rsid w:val="00BA0E8B"/>
    <w:rsid w:val="00BA0FDD"/>
    <w:rsid w:val="00BA10FA"/>
    <w:rsid w:val="00BA12D9"/>
    <w:rsid w:val="00BA13A5"/>
    <w:rsid w:val="00BA2A54"/>
    <w:rsid w:val="00BA2BB1"/>
    <w:rsid w:val="00BA2DA2"/>
    <w:rsid w:val="00BA432F"/>
    <w:rsid w:val="00BA4500"/>
    <w:rsid w:val="00BA47CA"/>
    <w:rsid w:val="00BA4FBE"/>
    <w:rsid w:val="00BA50ED"/>
    <w:rsid w:val="00BA56CD"/>
    <w:rsid w:val="00BA6BEA"/>
    <w:rsid w:val="00BA6C64"/>
    <w:rsid w:val="00BA6E56"/>
    <w:rsid w:val="00BA7421"/>
    <w:rsid w:val="00BA7A48"/>
    <w:rsid w:val="00BB00E3"/>
    <w:rsid w:val="00BB0C66"/>
    <w:rsid w:val="00BB0C9B"/>
    <w:rsid w:val="00BB1857"/>
    <w:rsid w:val="00BB1DED"/>
    <w:rsid w:val="00BB1E82"/>
    <w:rsid w:val="00BB1FA5"/>
    <w:rsid w:val="00BB21BC"/>
    <w:rsid w:val="00BB2459"/>
    <w:rsid w:val="00BB2E99"/>
    <w:rsid w:val="00BB34C3"/>
    <w:rsid w:val="00BB3546"/>
    <w:rsid w:val="00BB3DBA"/>
    <w:rsid w:val="00BB4A67"/>
    <w:rsid w:val="00BB4CA1"/>
    <w:rsid w:val="00BB562B"/>
    <w:rsid w:val="00BB6710"/>
    <w:rsid w:val="00BB67D8"/>
    <w:rsid w:val="00BB701E"/>
    <w:rsid w:val="00BB7145"/>
    <w:rsid w:val="00BB7526"/>
    <w:rsid w:val="00BB75BB"/>
    <w:rsid w:val="00BB7A2A"/>
    <w:rsid w:val="00BB7D31"/>
    <w:rsid w:val="00BB7FE3"/>
    <w:rsid w:val="00BC01E5"/>
    <w:rsid w:val="00BC0C17"/>
    <w:rsid w:val="00BC0D40"/>
    <w:rsid w:val="00BC0E9E"/>
    <w:rsid w:val="00BC1096"/>
    <w:rsid w:val="00BC1122"/>
    <w:rsid w:val="00BC11B8"/>
    <w:rsid w:val="00BC1207"/>
    <w:rsid w:val="00BC2566"/>
    <w:rsid w:val="00BC264B"/>
    <w:rsid w:val="00BC2893"/>
    <w:rsid w:val="00BC30D1"/>
    <w:rsid w:val="00BC35D6"/>
    <w:rsid w:val="00BC370D"/>
    <w:rsid w:val="00BC4193"/>
    <w:rsid w:val="00BC4375"/>
    <w:rsid w:val="00BC47F3"/>
    <w:rsid w:val="00BC4BE0"/>
    <w:rsid w:val="00BC4C2F"/>
    <w:rsid w:val="00BC4DF1"/>
    <w:rsid w:val="00BC4E87"/>
    <w:rsid w:val="00BC5116"/>
    <w:rsid w:val="00BC567F"/>
    <w:rsid w:val="00BC5773"/>
    <w:rsid w:val="00BC5B1E"/>
    <w:rsid w:val="00BC5DB8"/>
    <w:rsid w:val="00BC6353"/>
    <w:rsid w:val="00BC7376"/>
    <w:rsid w:val="00BC76F3"/>
    <w:rsid w:val="00BC7D00"/>
    <w:rsid w:val="00BC7E55"/>
    <w:rsid w:val="00BD00A5"/>
    <w:rsid w:val="00BD12E3"/>
    <w:rsid w:val="00BD1306"/>
    <w:rsid w:val="00BD15C8"/>
    <w:rsid w:val="00BD1672"/>
    <w:rsid w:val="00BD1C20"/>
    <w:rsid w:val="00BD2357"/>
    <w:rsid w:val="00BD32C1"/>
    <w:rsid w:val="00BD3937"/>
    <w:rsid w:val="00BD3C8B"/>
    <w:rsid w:val="00BD3CFA"/>
    <w:rsid w:val="00BD3D5C"/>
    <w:rsid w:val="00BD3E6A"/>
    <w:rsid w:val="00BD4473"/>
    <w:rsid w:val="00BD48B6"/>
    <w:rsid w:val="00BD4A93"/>
    <w:rsid w:val="00BD4C95"/>
    <w:rsid w:val="00BD4F6B"/>
    <w:rsid w:val="00BD5AAF"/>
    <w:rsid w:val="00BD5C8B"/>
    <w:rsid w:val="00BD5ED5"/>
    <w:rsid w:val="00BD713C"/>
    <w:rsid w:val="00BD76CF"/>
    <w:rsid w:val="00BD79A5"/>
    <w:rsid w:val="00BD7BE9"/>
    <w:rsid w:val="00BE0501"/>
    <w:rsid w:val="00BE0710"/>
    <w:rsid w:val="00BE0D58"/>
    <w:rsid w:val="00BE102D"/>
    <w:rsid w:val="00BE10A4"/>
    <w:rsid w:val="00BE11A0"/>
    <w:rsid w:val="00BE1539"/>
    <w:rsid w:val="00BE176C"/>
    <w:rsid w:val="00BE19BF"/>
    <w:rsid w:val="00BE1F78"/>
    <w:rsid w:val="00BE20EE"/>
    <w:rsid w:val="00BE2548"/>
    <w:rsid w:val="00BE258E"/>
    <w:rsid w:val="00BE293A"/>
    <w:rsid w:val="00BE2CD0"/>
    <w:rsid w:val="00BE2DE4"/>
    <w:rsid w:val="00BE33E7"/>
    <w:rsid w:val="00BE3F7A"/>
    <w:rsid w:val="00BE4561"/>
    <w:rsid w:val="00BE45A5"/>
    <w:rsid w:val="00BE45AB"/>
    <w:rsid w:val="00BE4816"/>
    <w:rsid w:val="00BE4BB4"/>
    <w:rsid w:val="00BE538A"/>
    <w:rsid w:val="00BE54A7"/>
    <w:rsid w:val="00BE59B2"/>
    <w:rsid w:val="00BE5BAB"/>
    <w:rsid w:val="00BE5BC0"/>
    <w:rsid w:val="00BE5CD4"/>
    <w:rsid w:val="00BE5D59"/>
    <w:rsid w:val="00BE5F65"/>
    <w:rsid w:val="00BE61C2"/>
    <w:rsid w:val="00BE630B"/>
    <w:rsid w:val="00BE63EC"/>
    <w:rsid w:val="00BE69D9"/>
    <w:rsid w:val="00BE6CFE"/>
    <w:rsid w:val="00BE74AE"/>
    <w:rsid w:val="00BE75D0"/>
    <w:rsid w:val="00BE77DF"/>
    <w:rsid w:val="00BE79D6"/>
    <w:rsid w:val="00BE7A04"/>
    <w:rsid w:val="00BF0187"/>
    <w:rsid w:val="00BF03DC"/>
    <w:rsid w:val="00BF0AC4"/>
    <w:rsid w:val="00BF0F74"/>
    <w:rsid w:val="00BF0FBB"/>
    <w:rsid w:val="00BF10B7"/>
    <w:rsid w:val="00BF10FF"/>
    <w:rsid w:val="00BF117B"/>
    <w:rsid w:val="00BF1762"/>
    <w:rsid w:val="00BF183E"/>
    <w:rsid w:val="00BF1E21"/>
    <w:rsid w:val="00BF2168"/>
    <w:rsid w:val="00BF2553"/>
    <w:rsid w:val="00BF2600"/>
    <w:rsid w:val="00BF26CF"/>
    <w:rsid w:val="00BF2BB7"/>
    <w:rsid w:val="00BF2C4B"/>
    <w:rsid w:val="00BF3253"/>
    <w:rsid w:val="00BF35BC"/>
    <w:rsid w:val="00BF36DF"/>
    <w:rsid w:val="00BF3E6F"/>
    <w:rsid w:val="00BF43C6"/>
    <w:rsid w:val="00BF4C24"/>
    <w:rsid w:val="00BF51B4"/>
    <w:rsid w:val="00BF5211"/>
    <w:rsid w:val="00BF5289"/>
    <w:rsid w:val="00BF5DAD"/>
    <w:rsid w:val="00BF60A1"/>
    <w:rsid w:val="00BF6582"/>
    <w:rsid w:val="00BF6857"/>
    <w:rsid w:val="00BF6868"/>
    <w:rsid w:val="00BF6A29"/>
    <w:rsid w:val="00BF7534"/>
    <w:rsid w:val="00BF7A09"/>
    <w:rsid w:val="00C005BB"/>
    <w:rsid w:val="00C00759"/>
    <w:rsid w:val="00C00B9D"/>
    <w:rsid w:val="00C00EEF"/>
    <w:rsid w:val="00C01265"/>
    <w:rsid w:val="00C012B9"/>
    <w:rsid w:val="00C0167C"/>
    <w:rsid w:val="00C0189B"/>
    <w:rsid w:val="00C019B5"/>
    <w:rsid w:val="00C01C18"/>
    <w:rsid w:val="00C01DE4"/>
    <w:rsid w:val="00C02194"/>
    <w:rsid w:val="00C0258D"/>
    <w:rsid w:val="00C02E00"/>
    <w:rsid w:val="00C03A3C"/>
    <w:rsid w:val="00C04AC8"/>
    <w:rsid w:val="00C04BEE"/>
    <w:rsid w:val="00C05316"/>
    <w:rsid w:val="00C0551E"/>
    <w:rsid w:val="00C05537"/>
    <w:rsid w:val="00C05A57"/>
    <w:rsid w:val="00C05B89"/>
    <w:rsid w:val="00C05DE8"/>
    <w:rsid w:val="00C060D8"/>
    <w:rsid w:val="00C06685"/>
    <w:rsid w:val="00C06887"/>
    <w:rsid w:val="00C06968"/>
    <w:rsid w:val="00C06B15"/>
    <w:rsid w:val="00C10341"/>
    <w:rsid w:val="00C1070B"/>
    <w:rsid w:val="00C108C0"/>
    <w:rsid w:val="00C11332"/>
    <w:rsid w:val="00C1171F"/>
    <w:rsid w:val="00C11909"/>
    <w:rsid w:val="00C11A3F"/>
    <w:rsid w:val="00C12369"/>
    <w:rsid w:val="00C12E97"/>
    <w:rsid w:val="00C132B0"/>
    <w:rsid w:val="00C133F4"/>
    <w:rsid w:val="00C13C67"/>
    <w:rsid w:val="00C13CA3"/>
    <w:rsid w:val="00C13D65"/>
    <w:rsid w:val="00C14A7B"/>
    <w:rsid w:val="00C14E42"/>
    <w:rsid w:val="00C14F77"/>
    <w:rsid w:val="00C14FB6"/>
    <w:rsid w:val="00C15339"/>
    <w:rsid w:val="00C15AD9"/>
    <w:rsid w:val="00C15CB5"/>
    <w:rsid w:val="00C15CB6"/>
    <w:rsid w:val="00C15D78"/>
    <w:rsid w:val="00C16261"/>
    <w:rsid w:val="00C16A22"/>
    <w:rsid w:val="00C208FC"/>
    <w:rsid w:val="00C20912"/>
    <w:rsid w:val="00C20D31"/>
    <w:rsid w:val="00C20DE4"/>
    <w:rsid w:val="00C21775"/>
    <w:rsid w:val="00C21948"/>
    <w:rsid w:val="00C21D49"/>
    <w:rsid w:val="00C229D9"/>
    <w:rsid w:val="00C23073"/>
    <w:rsid w:val="00C23A03"/>
    <w:rsid w:val="00C23D42"/>
    <w:rsid w:val="00C24F65"/>
    <w:rsid w:val="00C25146"/>
    <w:rsid w:val="00C25A5D"/>
    <w:rsid w:val="00C25EBD"/>
    <w:rsid w:val="00C25EF6"/>
    <w:rsid w:val="00C26263"/>
    <w:rsid w:val="00C26D15"/>
    <w:rsid w:val="00C26DC6"/>
    <w:rsid w:val="00C27E7C"/>
    <w:rsid w:val="00C30017"/>
    <w:rsid w:val="00C30478"/>
    <w:rsid w:val="00C30653"/>
    <w:rsid w:val="00C308F1"/>
    <w:rsid w:val="00C309CC"/>
    <w:rsid w:val="00C31385"/>
    <w:rsid w:val="00C31882"/>
    <w:rsid w:val="00C3292D"/>
    <w:rsid w:val="00C32BD2"/>
    <w:rsid w:val="00C3369F"/>
    <w:rsid w:val="00C33960"/>
    <w:rsid w:val="00C3431C"/>
    <w:rsid w:val="00C34781"/>
    <w:rsid w:val="00C34795"/>
    <w:rsid w:val="00C3490E"/>
    <w:rsid w:val="00C34E3C"/>
    <w:rsid w:val="00C35A86"/>
    <w:rsid w:val="00C35D1B"/>
    <w:rsid w:val="00C362B9"/>
    <w:rsid w:val="00C36600"/>
    <w:rsid w:val="00C368FC"/>
    <w:rsid w:val="00C37466"/>
    <w:rsid w:val="00C37686"/>
    <w:rsid w:val="00C37706"/>
    <w:rsid w:val="00C378B3"/>
    <w:rsid w:val="00C37BFF"/>
    <w:rsid w:val="00C37CA9"/>
    <w:rsid w:val="00C37D2F"/>
    <w:rsid w:val="00C37DED"/>
    <w:rsid w:val="00C4000C"/>
    <w:rsid w:val="00C4010A"/>
    <w:rsid w:val="00C40D4B"/>
    <w:rsid w:val="00C40D5E"/>
    <w:rsid w:val="00C40E31"/>
    <w:rsid w:val="00C411F5"/>
    <w:rsid w:val="00C417CF"/>
    <w:rsid w:val="00C41E95"/>
    <w:rsid w:val="00C42144"/>
    <w:rsid w:val="00C425DC"/>
    <w:rsid w:val="00C42B43"/>
    <w:rsid w:val="00C433F4"/>
    <w:rsid w:val="00C43985"/>
    <w:rsid w:val="00C444FB"/>
    <w:rsid w:val="00C449E3"/>
    <w:rsid w:val="00C452D2"/>
    <w:rsid w:val="00C453E4"/>
    <w:rsid w:val="00C457B9"/>
    <w:rsid w:val="00C45B69"/>
    <w:rsid w:val="00C45BCD"/>
    <w:rsid w:val="00C45E82"/>
    <w:rsid w:val="00C46192"/>
    <w:rsid w:val="00C4690C"/>
    <w:rsid w:val="00C4748F"/>
    <w:rsid w:val="00C47BFB"/>
    <w:rsid w:val="00C51169"/>
    <w:rsid w:val="00C515DD"/>
    <w:rsid w:val="00C51E4F"/>
    <w:rsid w:val="00C52453"/>
    <w:rsid w:val="00C5259E"/>
    <w:rsid w:val="00C52A4C"/>
    <w:rsid w:val="00C52D11"/>
    <w:rsid w:val="00C52DFE"/>
    <w:rsid w:val="00C52E7B"/>
    <w:rsid w:val="00C52F71"/>
    <w:rsid w:val="00C54101"/>
    <w:rsid w:val="00C545E9"/>
    <w:rsid w:val="00C54647"/>
    <w:rsid w:val="00C54FF5"/>
    <w:rsid w:val="00C5516D"/>
    <w:rsid w:val="00C5525F"/>
    <w:rsid w:val="00C553B0"/>
    <w:rsid w:val="00C556E5"/>
    <w:rsid w:val="00C55729"/>
    <w:rsid w:val="00C5660D"/>
    <w:rsid w:val="00C56754"/>
    <w:rsid w:val="00C56C08"/>
    <w:rsid w:val="00C5771C"/>
    <w:rsid w:val="00C57F18"/>
    <w:rsid w:val="00C600AC"/>
    <w:rsid w:val="00C60237"/>
    <w:rsid w:val="00C60504"/>
    <w:rsid w:val="00C61777"/>
    <w:rsid w:val="00C61832"/>
    <w:rsid w:val="00C61A28"/>
    <w:rsid w:val="00C61F3E"/>
    <w:rsid w:val="00C62108"/>
    <w:rsid w:val="00C62D31"/>
    <w:rsid w:val="00C62F7A"/>
    <w:rsid w:val="00C63049"/>
    <w:rsid w:val="00C630EF"/>
    <w:rsid w:val="00C634FD"/>
    <w:rsid w:val="00C6352C"/>
    <w:rsid w:val="00C63C38"/>
    <w:rsid w:val="00C63C3F"/>
    <w:rsid w:val="00C64234"/>
    <w:rsid w:val="00C6450D"/>
    <w:rsid w:val="00C64E8C"/>
    <w:rsid w:val="00C65075"/>
    <w:rsid w:val="00C65365"/>
    <w:rsid w:val="00C655A5"/>
    <w:rsid w:val="00C658C8"/>
    <w:rsid w:val="00C65CD2"/>
    <w:rsid w:val="00C66062"/>
    <w:rsid w:val="00C66125"/>
    <w:rsid w:val="00C66159"/>
    <w:rsid w:val="00C663F8"/>
    <w:rsid w:val="00C66557"/>
    <w:rsid w:val="00C665F5"/>
    <w:rsid w:val="00C66E5F"/>
    <w:rsid w:val="00C67149"/>
    <w:rsid w:val="00C672AE"/>
    <w:rsid w:val="00C67EF5"/>
    <w:rsid w:val="00C67FA5"/>
    <w:rsid w:val="00C7016E"/>
    <w:rsid w:val="00C70604"/>
    <w:rsid w:val="00C70C78"/>
    <w:rsid w:val="00C7115F"/>
    <w:rsid w:val="00C712C0"/>
    <w:rsid w:val="00C7166C"/>
    <w:rsid w:val="00C72050"/>
    <w:rsid w:val="00C7279C"/>
    <w:rsid w:val="00C72E30"/>
    <w:rsid w:val="00C730B7"/>
    <w:rsid w:val="00C744D8"/>
    <w:rsid w:val="00C75118"/>
    <w:rsid w:val="00C759DE"/>
    <w:rsid w:val="00C75B40"/>
    <w:rsid w:val="00C76346"/>
    <w:rsid w:val="00C768E8"/>
    <w:rsid w:val="00C76945"/>
    <w:rsid w:val="00C76A2E"/>
    <w:rsid w:val="00C77337"/>
    <w:rsid w:val="00C8087A"/>
    <w:rsid w:val="00C80F89"/>
    <w:rsid w:val="00C81324"/>
    <w:rsid w:val="00C813DB"/>
    <w:rsid w:val="00C81D36"/>
    <w:rsid w:val="00C81F38"/>
    <w:rsid w:val="00C822A0"/>
    <w:rsid w:val="00C822EA"/>
    <w:rsid w:val="00C823C9"/>
    <w:rsid w:val="00C823EF"/>
    <w:rsid w:val="00C8270D"/>
    <w:rsid w:val="00C82AE4"/>
    <w:rsid w:val="00C82C76"/>
    <w:rsid w:val="00C82D21"/>
    <w:rsid w:val="00C82F45"/>
    <w:rsid w:val="00C83247"/>
    <w:rsid w:val="00C833F3"/>
    <w:rsid w:val="00C83726"/>
    <w:rsid w:val="00C83BFB"/>
    <w:rsid w:val="00C83CD7"/>
    <w:rsid w:val="00C8467E"/>
    <w:rsid w:val="00C84B8D"/>
    <w:rsid w:val="00C84C2F"/>
    <w:rsid w:val="00C84D1B"/>
    <w:rsid w:val="00C85427"/>
    <w:rsid w:val="00C8577B"/>
    <w:rsid w:val="00C85E13"/>
    <w:rsid w:val="00C85FD4"/>
    <w:rsid w:val="00C861EB"/>
    <w:rsid w:val="00C863D1"/>
    <w:rsid w:val="00C8699D"/>
    <w:rsid w:val="00C86D61"/>
    <w:rsid w:val="00C86E0F"/>
    <w:rsid w:val="00C87144"/>
    <w:rsid w:val="00C871FE"/>
    <w:rsid w:val="00C876AC"/>
    <w:rsid w:val="00C904A5"/>
    <w:rsid w:val="00C90FE2"/>
    <w:rsid w:val="00C911E1"/>
    <w:rsid w:val="00C91477"/>
    <w:rsid w:val="00C9159D"/>
    <w:rsid w:val="00C916AF"/>
    <w:rsid w:val="00C91700"/>
    <w:rsid w:val="00C91769"/>
    <w:rsid w:val="00C918E7"/>
    <w:rsid w:val="00C91DE4"/>
    <w:rsid w:val="00C92B5A"/>
    <w:rsid w:val="00C92C98"/>
    <w:rsid w:val="00C931C3"/>
    <w:rsid w:val="00C93673"/>
    <w:rsid w:val="00C9369A"/>
    <w:rsid w:val="00C93F97"/>
    <w:rsid w:val="00C9404C"/>
    <w:rsid w:val="00C94344"/>
    <w:rsid w:val="00C94413"/>
    <w:rsid w:val="00C945DE"/>
    <w:rsid w:val="00C9500F"/>
    <w:rsid w:val="00C952E9"/>
    <w:rsid w:val="00C9555B"/>
    <w:rsid w:val="00C95B63"/>
    <w:rsid w:val="00C95D76"/>
    <w:rsid w:val="00C9615A"/>
    <w:rsid w:val="00C9638D"/>
    <w:rsid w:val="00C967AF"/>
    <w:rsid w:val="00C9688C"/>
    <w:rsid w:val="00C96E7A"/>
    <w:rsid w:val="00C971CB"/>
    <w:rsid w:val="00C97664"/>
    <w:rsid w:val="00C97677"/>
    <w:rsid w:val="00CA036D"/>
    <w:rsid w:val="00CA0494"/>
    <w:rsid w:val="00CA091A"/>
    <w:rsid w:val="00CA0D51"/>
    <w:rsid w:val="00CA0F04"/>
    <w:rsid w:val="00CA137D"/>
    <w:rsid w:val="00CA1821"/>
    <w:rsid w:val="00CA286A"/>
    <w:rsid w:val="00CA29A4"/>
    <w:rsid w:val="00CA2C91"/>
    <w:rsid w:val="00CA2D5D"/>
    <w:rsid w:val="00CA30B4"/>
    <w:rsid w:val="00CA31D8"/>
    <w:rsid w:val="00CA32CA"/>
    <w:rsid w:val="00CA3390"/>
    <w:rsid w:val="00CA3A68"/>
    <w:rsid w:val="00CA3F00"/>
    <w:rsid w:val="00CA4181"/>
    <w:rsid w:val="00CA4427"/>
    <w:rsid w:val="00CA4461"/>
    <w:rsid w:val="00CA45E4"/>
    <w:rsid w:val="00CA4872"/>
    <w:rsid w:val="00CA4921"/>
    <w:rsid w:val="00CA4C7F"/>
    <w:rsid w:val="00CA5D1D"/>
    <w:rsid w:val="00CA60D4"/>
    <w:rsid w:val="00CA61A3"/>
    <w:rsid w:val="00CA64EE"/>
    <w:rsid w:val="00CA6FE0"/>
    <w:rsid w:val="00CA702B"/>
    <w:rsid w:val="00CA7298"/>
    <w:rsid w:val="00CB0433"/>
    <w:rsid w:val="00CB059E"/>
    <w:rsid w:val="00CB07E2"/>
    <w:rsid w:val="00CB1304"/>
    <w:rsid w:val="00CB15D6"/>
    <w:rsid w:val="00CB1A73"/>
    <w:rsid w:val="00CB1C9D"/>
    <w:rsid w:val="00CB1CEF"/>
    <w:rsid w:val="00CB1E2B"/>
    <w:rsid w:val="00CB233E"/>
    <w:rsid w:val="00CB2684"/>
    <w:rsid w:val="00CB28CB"/>
    <w:rsid w:val="00CB2958"/>
    <w:rsid w:val="00CB2CB0"/>
    <w:rsid w:val="00CB2E46"/>
    <w:rsid w:val="00CB3394"/>
    <w:rsid w:val="00CB3499"/>
    <w:rsid w:val="00CB3DC3"/>
    <w:rsid w:val="00CB4601"/>
    <w:rsid w:val="00CB4736"/>
    <w:rsid w:val="00CB4984"/>
    <w:rsid w:val="00CB4ABC"/>
    <w:rsid w:val="00CB4F4C"/>
    <w:rsid w:val="00CB54E3"/>
    <w:rsid w:val="00CB5AA0"/>
    <w:rsid w:val="00CB5B75"/>
    <w:rsid w:val="00CB5B84"/>
    <w:rsid w:val="00CB6875"/>
    <w:rsid w:val="00CB699F"/>
    <w:rsid w:val="00CB705C"/>
    <w:rsid w:val="00CB7639"/>
    <w:rsid w:val="00CB76FE"/>
    <w:rsid w:val="00CB7A4F"/>
    <w:rsid w:val="00CC0219"/>
    <w:rsid w:val="00CC0462"/>
    <w:rsid w:val="00CC0A2A"/>
    <w:rsid w:val="00CC1063"/>
    <w:rsid w:val="00CC11E6"/>
    <w:rsid w:val="00CC1B60"/>
    <w:rsid w:val="00CC1F88"/>
    <w:rsid w:val="00CC1FC9"/>
    <w:rsid w:val="00CC2005"/>
    <w:rsid w:val="00CC2162"/>
    <w:rsid w:val="00CC21DE"/>
    <w:rsid w:val="00CC221C"/>
    <w:rsid w:val="00CC2F4E"/>
    <w:rsid w:val="00CC37BC"/>
    <w:rsid w:val="00CC3C0C"/>
    <w:rsid w:val="00CC4101"/>
    <w:rsid w:val="00CC4103"/>
    <w:rsid w:val="00CC4714"/>
    <w:rsid w:val="00CC49EF"/>
    <w:rsid w:val="00CC4B78"/>
    <w:rsid w:val="00CC502F"/>
    <w:rsid w:val="00CC5194"/>
    <w:rsid w:val="00CC5964"/>
    <w:rsid w:val="00CC60A1"/>
    <w:rsid w:val="00CC62BE"/>
    <w:rsid w:val="00CC6CD0"/>
    <w:rsid w:val="00CC6FE8"/>
    <w:rsid w:val="00CC7572"/>
    <w:rsid w:val="00CC7C03"/>
    <w:rsid w:val="00CC7D30"/>
    <w:rsid w:val="00CD0531"/>
    <w:rsid w:val="00CD19C3"/>
    <w:rsid w:val="00CD25A9"/>
    <w:rsid w:val="00CD29DD"/>
    <w:rsid w:val="00CD2CC7"/>
    <w:rsid w:val="00CD3321"/>
    <w:rsid w:val="00CD34F1"/>
    <w:rsid w:val="00CD372C"/>
    <w:rsid w:val="00CD3861"/>
    <w:rsid w:val="00CD39D2"/>
    <w:rsid w:val="00CD39FC"/>
    <w:rsid w:val="00CD3E8F"/>
    <w:rsid w:val="00CD4547"/>
    <w:rsid w:val="00CD4B82"/>
    <w:rsid w:val="00CD5611"/>
    <w:rsid w:val="00CD56BC"/>
    <w:rsid w:val="00CD58CD"/>
    <w:rsid w:val="00CD58D3"/>
    <w:rsid w:val="00CD601F"/>
    <w:rsid w:val="00CD604C"/>
    <w:rsid w:val="00CD62C5"/>
    <w:rsid w:val="00CD63C5"/>
    <w:rsid w:val="00CD64D6"/>
    <w:rsid w:val="00CD7CB7"/>
    <w:rsid w:val="00CD7F67"/>
    <w:rsid w:val="00CE0098"/>
    <w:rsid w:val="00CE0355"/>
    <w:rsid w:val="00CE0E9A"/>
    <w:rsid w:val="00CE0EB9"/>
    <w:rsid w:val="00CE0F52"/>
    <w:rsid w:val="00CE1174"/>
    <w:rsid w:val="00CE17FA"/>
    <w:rsid w:val="00CE18C3"/>
    <w:rsid w:val="00CE1CF6"/>
    <w:rsid w:val="00CE2041"/>
    <w:rsid w:val="00CE2ABF"/>
    <w:rsid w:val="00CE3171"/>
    <w:rsid w:val="00CE32FB"/>
    <w:rsid w:val="00CE373B"/>
    <w:rsid w:val="00CE3873"/>
    <w:rsid w:val="00CE4252"/>
    <w:rsid w:val="00CE4F27"/>
    <w:rsid w:val="00CE63CF"/>
    <w:rsid w:val="00CE66D2"/>
    <w:rsid w:val="00CE67A4"/>
    <w:rsid w:val="00CE6F5D"/>
    <w:rsid w:val="00CE7618"/>
    <w:rsid w:val="00CE7DA8"/>
    <w:rsid w:val="00CE7F48"/>
    <w:rsid w:val="00CF08F3"/>
    <w:rsid w:val="00CF099D"/>
    <w:rsid w:val="00CF0B69"/>
    <w:rsid w:val="00CF0E68"/>
    <w:rsid w:val="00CF0E89"/>
    <w:rsid w:val="00CF1123"/>
    <w:rsid w:val="00CF17B9"/>
    <w:rsid w:val="00CF19AB"/>
    <w:rsid w:val="00CF1F3E"/>
    <w:rsid w:val="00CF22A0"/>
    <w:rsid w:val="00CF26D8"/>
    <w:rsid w:val="00CF2C64"/>
    <w:rsid w:val="00CF3A0E"/>
    <w:rsid w:val="00CF4320"/>
    <w:rsid w:val="00CF462E"/>
    <w:rsid w:val="00CF49E8"/>
    <w:rsid w:val="00CF4FF0"/>
    <w:rsid w:val="00CF5511"/>
    <w:rsid w:val="00CF5601"/>
    <w:rsid w:val="00CF603E"/>
    <w:rsid w:val="00CF6387"/>
    <w:rsid w:val="00CF6C78"/>
    <w:rsid w:val="00CF6F78"/>
    <w:rsid w:val="00CF722A"/>
    <w:rsid w:val="00CF72FF"/>
    <w:rsid w:val="00CF7547"/>
    <w:rsid w:val="00CF7C6C"/>
    <w:rsid w:val="00D005C1"/>
    <w:rsid w:val="00D00927"/>
    <w:rsid w:val="00D00B0C"/>
    <w:rsid w:val="00D00DFC"/>
    <w:rsid w:val="00D013B9"/>
    <w:rsid w:val="00D0226F"/>
    <w:rsid w:val="00D02382"/>
    <w:rsid w:val="00D02FB0"/>
    <w:rsid w:val="00D03173"/>
    <w:rsid w:val="00D03A0C"/>
    <w:rsid w:val="00D03D33"/>
    <w:rsid w:val="00D03F45"/>
    <w:rsid w:val="00D040F7"/>
    <w:rsid w:val="00D0466D"/>
    <w:rsid w:val="00D04825"/>
    <w:rsid w:val="00D0486C"/>
    <w:rsid w:val="00D04E35"/>
    <w:rsid w:val="00D04E88"/>
    <w:rsid w:val="00D05066"/>
    <w:rsid w:val="00D058E8"/>
    <w:rsid w:val="00D06001"/>
    <w:rsid w:val="00D061A4"/>
    <w:rsid w:val="00D06382"/>
    <w:rsid w:val="00D06AB3"/>
    <w:rsid w:val="00D06ADD"/>
    <w:rsid w:val="00D06E42"/>
    <w:rsid w:val="00D076A9"/>
    <w:rsid w:val="00D1010A"/>
    <w:rsid w:val="00D101C5"/>
    <w:rsid w:val="00D10D94"/>
    <w:rsid w:val="00D10E33"/>
    <w:rsid w:val="00D10E5F"/>
    <w:rsid w:val="00D10F4B"/>
    <w:rsid w:val="00D10FEB"/>
    <w:rsid w:val="00D111F8"/>
    <w:rsid w:val="00D118B8"/>
    <w:rsid w:val="00D1282A"/>
    <w:rsid w:val="00D134B0"/>
    <w:rsid w:val="00D13806"/>
    <w:rsid w:val="00D13B3D"/>
    <w:rsid w:val="00D13DD9"/>
    <w:rsid w:val="00D14176"/>
    <w:rsid w:val="00D1513C"/>
    <w:rsid w:val="00D1582D"/>
    <w:rsid w:val="00D15AF5"/>
    <w:rsid w:val="00D16036"/>
    <w:rsid w:val="00D16125"/>
    <w:rsid w:val="00D16BC4"/>
    <w:rsid w:val="00D171B1"/>
    <w:rsid w:val="00D1749D"/>
    <w:rsid w:val="00D20180"/>
    <w:rsid w:val="00D20386"/>
    <w:rsid w:val="00D20610"/>
    <w:rsid w:val="00D207DA"/>
    <w:rsid w:val="00D2117B"/>
    <w:rsid w:val="00D2161A"/>
    <w:rsid w:val="00D217E4"/>
    <w:rsid w:val="00D218D7"/>
    <w:rsid w:val="00D21A19"/>
    <w:rsid w:val="00D225ED"/>
    <w:rsid w:val="00D228FE"/>
    <w:rsid w:val="00D22D28"/>
    <w:rsid w:val="00D231C9"/>
    <w:rsid w:val="00D23777"/>
    <w:rsid w:val="00D23947"/>
    <w:rsid w:val="00D23C31"/>
    <w:rsid w:val="00D241AF"/>
    <w:rsid w:val="00D24325"/>
    <w:rsid w:val="00D2460A"/>
    <w:rsid w:val="00D24A59"/>
    <w:rsid w:val="00D24FF9"/>
    <w:rsid w:val="00D253AD"/>
    <w:rsid w:val="00D254E5"/>
    <w:rsid w:val="00D25682"/>
    <w:rsid w:val="00D25C97"/>
    <w:rsid w:val="00D26B97"/>
    <w:rsid w:val="00D26BE6"/>
    <w:rsid w:val="00D2717B"/>
    <w:rsid w:val="00D271A7"/>
    <w:rsid w:val="00D2764B"/>
    <w:rsid w:val="00D27F72"/>
    <w:rsid w:val="00D3003A"/>
    <w:rsid w:val="00D30084"/>
    <w:rsid w:val="00D3051D"/>
    <w:rsid w:val="00D30CE8"/>
    <w:rsid w:val="00D3108A"/>
    <w:rsid w:val="00D31180"/>
    <w:rsid w:val="00D316D1"/>
    <w:rsid w:val="00D31F8A"/>
    <w:rsid w:val="00D32539"/>
    <w:rsid w:val="00D327D6"/>
    <w:rsid w:val="00D3284E"/>
    <w:rsid w:val="00D328DB"/>
    <w:rsid w:val="00D32DDE"/>
    <w:rsid w:val="00D33901"/>
    <w:rsid w:val="00D34FFD"/>
    <w:rsid w:val="00D35440"/>
    <w:rsid w:val="00D35468"/>
    <w:rsid w:val="00D356CA"/>
    <w:rsid w:val="00D3595A"/>
    <w:rsid w:val="00D35E8E"/>
    <w:rsid w:val="00D36595"/>
    <w:rsid w:val="00D3696C"/>
    <w:rsid w:val="00D36993"/>
    <w:rsid w:val="00D37406"/>
    <w:rsid w:val="00D37BD8"/>
    <w:rsid w:val="00D37E95"/>
    <w:rsid w:val="00D4046A"/>
    <w:rsid w:val="00D40D7C"/>
    <w:rsid w:val="00D4121A"/>
    <w:rsid w:val="00D41508"/>
    <w:rsid w:val="00D418DB"/>
    <w:rsid w:val="00D41E6E"/>
    <w:rsid w:val="00D41E89"/>
    <w:rsid w:val="00D41F24"/>
    <w:rsid w:val="00D422B4"/>
    <w:rsid w:val="00D423E4"/>
    <w:rsid w:val="00D42598"/>
    <w:rsid w:val="00D42843"/>
    <w:rsid w:val="00D42995"/>
    <w:rsid w:val="00D42BF4"/>
    <w:rsid w:val="00D43578"/>
    <w:rsid w:val="00D438C6"/>
    <w:rsid w:val="00D440CF"/>
    <w:rsid w:val="00D442F0"/>
    <w:rsid w:val="00D44C68"/>
    <w:rsid w:val="00D457CC"/>
    <w:rsid w:val="00D45843"/>
    <w:rsid w:val="00D45946"/>
    <w:rsid w:val="00D45AAF"/>
    <w:rsid w:val="00D45D38"/>
    <w:rsid w:val="00D46185"/>
    <w:rsid w:val="00D463FC"/>
    <w:rsid w:val="00D46646"/>
    <w:rsid w:val="00D466D9"/>
    <w:rsid w:val="00D46A22"/>
    <w:rsid w:val="00D46A49"/>
    <w:rsid w:val="00D46C25"/>
    <w:rsid w:val="00D46EC4"/>
    <w:rsid w:val="00D4781A"/>
    <w:rsid w:val="00D47ACE"/>
    <w:rsid w:val="00D47D0D"/>
    <w:rsid w:val="00D507EE"/>
    <w:rsid w:val="00D50FC5"/>
    <w:rsid w:val="00D51016"/>
    <w:rsid w:val="00D51C69"/>
    <w:rsid w:val="00D526AD"/>
    <w:rsid w:val="00D53214"/>
    <w:rsid w:val="00D535A5"/>
    <w:rsid w:val="00D5363F"/>
    <w:rsid w:val="00D53756"/>
    <w:rsid w:val="00D5495D"/>
    <w:rsid w:val="00D553A4"/>
    <w:rsid w:val="00D554F0"/>
    <w:rsid w:val="00D556A7"/>
    <w:rsid w:val="00D56776"/>
    <w:rsid w:val="00D567A3"/>
    <w:rsid w:val="00D56954"/>
    <w:rsid w:val="00D56CC9"/>
    <w:rsid w:val="00D56CFA"/>
    <w:rsid w:val="00D56E3F"/>
    <w:rsid w:val="00D57056"/>
    <w:rsid w:val="00D5717C"/>
    <w:rsid w:val="00D5758C"/>
    <w:rsid w:val="00D575EA"/>
    <w:rsid w:val="00D577A1"/>
    <w:rsid w:val="00D577A4"/>
    <w:rsid w:val="00D579A9"/>
    <w:rsid w:val="00D604EB"/>
    <w:rsid w:val="00D60502"/>
    <w:rsid w:val="00D60B72"/>
    <w:rsid w:val="00D60D37"/>
    <w:rsid w:val="00D61AE3"/>
    <w:rsid w:val="00D61BEF"/>
    <w:rsid w:val="00D62289"/>
    <w:rsid w:val="00D6266C"/>
    <w:rsid w:val="00D627E5"/>
    <w:rsid w:val="00D627F5"/>
    <w:rsid w:val="00D62CE9"/>
    <w:rsid w:val="00D62DF0"/>
    <w:rsid w:val="00D62FBF"/>
    <w:rsid w:val="00D632E4"/>
    <w:rsid w:val="00D63327"/>
    <w:rsid w:val="00D63352"/>
    <w:rsid w:val="00D6340A"/>
    <w:rsid w:val="00D6378D"/>
    <w:rsid w:val="00D63F02"/>
    <w:rsid w:val="00D6436F"/>
    <w:rsid w:val="00D64432"/>
    <w:rsid w:val="00D64508"/>
    <w:rsid w:val="00D646F0"/>
    <w:rsid w:val="00D653CE"/>
    <w:rsid w:val="00D6551E"/>
    <w:rsid w:val="00D655ED"/>
    <w:rsid w:val="00D66054"/>
    <w:rsid w:val="00D66562"/>
    <w:rsid w:val="00D6673F"/>
    <w:rsid w:val="00D66FFA"/>
    <w:rsid w:val="00D670C1"/>
    <w:rsid w:val="00D67105"/>
    <w:rsid w:val="00D67870"/>
    <w:rsid w:val="00D679FB"/>
    <w:rsid w:val="00D67B1F"/>
    <w:rsid w:val="00D67BFB"/>
    <w:rsid w:val="00D70047"/>
    <w:rsid w:val="00D70DB4"/>
    <w:rsid w:val="00D71523"/>
    <w:rsid w:val="00D71810"/>
    <w:rsid w:val="00D71A51"/>
    <w:rsid w:val="00D71CA6"/>
    <w:rsid w:val="00D722FA"/>
    <w:rsid w:val="00D72B82"/>
    <w:rsid w:val="00D72E36"/>
    <w:rsid w:val="00D7319A"/>
    <w:rsid w:val="00D73248"/>
    <w:rsid w:val="00D7356F"/>
    <w:rsid w:val="00D737CF"/>
    <w:rsid w:val="00D73941"/>
    <w:rsid w:val="00D7398E"/>
    <w:rsid w:val="00D73B45"/>
    <w:rsid w:val="00D73EAB"/>
    <w:rsid w:val="00D747D9"/>
    <w:rsid w:val="00D7495B"/>
    <w:rsid w:val="00D75522"/>
    <w:rsid w:val="00D75A76"/>
    <w:rsid w:val="00D75CAD"/>
    <w:rsid w:val="00D7635C"/>
    <w:rsid w:val="00D768F5"/>
    <w:rsid w:val="00D77081"/>
    <w:rsid w:val="00D77103"/>
    <w:rsid w:val="00D773CA"/>
    <w:rsid w:val="00D779AC"/>
    <w:rsid w:val="00D77FC4"/>
    <w:rsid w:val="00D803BD"/>
    <w:rsid w:val="00D8095C"/>
    <w:rsid w:val="00D80D99"/>
    <w:rsid w:val="00D81AC6"/>
    <w:rsid w:val="00D81B3A"/>
    <w:rsid w:val="00D82069"/>
    <w:rsid w:val="00D82070"/>
    <w:rsid w:val="00D8252F"/>
    <w:rsid w:val="00D82C05"/>
    <w:rsid w:val="00D83435"/>
    <w:rsid w:val="00D834DB"/>
    <w:rsid w:val="00D83CD3"/>
    <w:rsid w:val="00D83EFF"/>
    <w:rsid w:val="00D841C6"/>
    <w:rsid w:val="00D84262"/>
    <w:rsid w:val="00D8434A"/>
    <w:rsid w:val="00D84571"/>
    <w:rsid w:val="00D84B18"/>
    <w:rsid w:val="00D84C5B"/>
    <w:rsid w:val="00D84C6B"/>
    <w:rsid w:val="00D85195"/>
    <w:rsid w:val="00D853AE"/>
    <w:rsid w:val="00D85DF7"/>
    <w:rsid w:val="00D85FC4"/>
    <w:rsid w:val="00D85FE8"/>
    <w:rsid w:val="00D8608B"/>
    <w:rsid w:val="00D862C9"/>
    <w:rsid w:val="00D864A9"/>
    <w:rsid w:val="00D8682E"/>
    <w:rsid w:val="00D86BE9"/>
    <w:rsid w:val="00D8703E"/>
    <w:rsid w:val="00D87911"/>
    <w:rsid w:val="00D900B5"/>
    <w:rsid w:val="00D90490"/>
    <w:rsid w:val="00D9061A"/>
    <w:rsid w:val="00D9099D"/>
    <w:rsid w:val="00D91231"/>
    <w:rsid w:val="00D9167E"/>
    <w:rsid w:val="00D91E25"/>
    <w:rsid w:val="00D9205A"/>
    <w:rsid w:val="00D92114"/>
    <w:rsid w:val="00D92610"/>
    <w:rsid w:val="00D92AC9"/>
    <w:rsid w:val="00D92BDA"/>
    <w:rsid w:val="00D92EDD"/>
    <w:rsid w:val="00D92F76"/>
    <w:rsid w:val="00D931AA"/>
    <w:rsid w:val="00D9375B"/>
    <w:rsid w:val="00D937E0"/>
    <w:rsid w:val="00D93840"/>
    <w:rsid w:val="00D93A14"/>
    <w:rsid w:val="00D93F19"/>
    <w:rsid w:val="00D9434D"/>
    <w:rsid w:val="00D94415"/>
    <w:rsid w:val="00D944F3"/>
    <w:rsid w:val="00D949C7"/>
    <w:rsid w:val="00D94D62"/>
    <w:rsid w:val="00D956A6"/>
    <w:rsid w:val="00D95A1B"/>
    <w:rsid w:val="00D96CBB"/>
    <w:rsid w:val="00D9732F"/>
    <w:rsid w:val="00D973C5"/>
    <w:rsid w:val="00D97C31"/>
    <w:rsid w:val="00DA068E"/>
    <w:rsid w:val="00DA06C6"/>
    <w:rsid w:val="00DA09B0"/>
    <w:rsid w:val="00DA0D50"/>
    <w:rsid w:val="00DA0E09"/>
    <w:rsid w:val="00DA0F13"/>
    <w:rsid w:val="00DA10A6"/>
    <w:rsid w:val="00DA13C3"/>
    <w:rsid w:val="00DA162E"/>
    <w:rsid w:val="00DA16FA"/>
    <w:rsid w:val="00DA1C94"/>
    <w:rsid w:val="00DA1CB2"/>
    <w:rsid w:val="00DA25B6"/>
    <w:rsid w:val="00DA2681"/>
    <w:rsid w:val="00DA2EEA"/>
    <w:rsid w:val="00DA3049"/>
    <w:rsid w:val="00DA3127"/>
    <w:rsid w:val="00DA38DE"/>
    <w:rsid w:val="00DA3C93"/>
    <w:rsid w:val="00DA4498"/>
    <w:rsid w:val="00DA45C0"/>
    <w:rsid w:val="00DA4881"/>
    <w:rsid w:val="00DA4BE0"/>
    <w:rsid w:val="00DA500E"/>
    <w:rsid w:val="00DA5598"/>
    <w:rsid w:val="00DA5CF6"/>
    <w:rsid w:val="00DA5E10"/>
    <w:rsid w:val="00DA5F9D"/>
    <w:rsid w:val="00DA61D3"/>
    <w:rsid w:val="00DA6449"/>
    <w:rsid w:val="00DA6661"/>
    <w:rsid w:val="00DA71A7"/>
    <w:rsid w:val="00DA734A"/>
    <w:rsid w:val="00DA77AC"/>
    <w:rsid w:val="00DA7885"/>
    <w:rsid w:val="00DA788E"/>
    <w:rsid w:val="00DA7C5D"/>
    <w:rsid w:val="00DA7D3B"/>
    <w:rsid w:val="00DA7E32"/>
    <w:rsid w:val="00DB066A"/>
    <w:rsid w:val="00DB06F1"/>
    <w:rsid w:val="00DB0731"/>
    <w:rsid w:val="00DB0C43"/>
    <w:rsid w:val="00DB0EBA"/>
    <w:rsid w:val="00DB1CB5"/>
    <w:rsid w:val="00DB2E3B"/>
    <w:rsid w:val="00DB2EFB"/>
    <w:rsid w:val="00DB32FB"/>
    <w:rsid w:val="00DB33E6"/>
    <w:rsid w:val="00DB36AA"/>
    <w:rsid w:val="00DB4239"/>
    <w:rsid w:val="00DB43A8"/>
    <w:rsid w:val="00DB44C8"/>
    <w:rsid w:val="00DB4687"/>
    <w:rsid w:val="00DB493C"/>
    <w:rsid w:val="00DB4AB0"/>
    <w:rsid w:val="00DB4BC4"/>
    <w:rsid w:val="00DB4C5C"/>
    <w:rsid w:val="00DB4EA9"/>
    <w:rsid w:val="00DB5EE6"/>
    <w:rsid w:val="00DB5F4C"/>
    <w:rsid w:val="00DB60D1"/>
    <w:rsid w:val="00DB64BC"/>
    <w:rsid w:val="00DB6B3C"/>
    <w:rsid w:val="00DB6BCF"/>
    <w:rsid w:val="00DB71DC"/>
    <w:rsid w:val="00DB76D4"/>
    <w:rsid w:val="00DB7D54"/>
    <w:rsid w:val="00DB7E15"/>
    <w:rsid w:val="00DC005F"/>
    <w:rsid w:val="00DC073E"/>
    <w:rsid w:val="00DC0CB1"/>
    <w:rsid w:val="00DC0DA6"/>
    <w:rsid w:val="00DC0E10"/>
    <w:rsid w:val="00DC12EF"/>
    <w:rsid w:val="00DC138B"/>
    <w:rsid w:val="00DC18F7"/>
    <w:rsid w:val="00DC1A78"/>
    <w:rsid w:val="00DC1AFB"/>
    <w:rsid w:val="00DC1E27"/>
    <w:rsid w:val="00DC2024"/>
    <w:rsid w:val="00DC229D"/>
    <w:rsid w:val="00DC28D6"/>
    <w:rsid w:val="00DC3925"/>
    <w:rsid w:val="00DC402C"/>
    <w:rsid w:val="00DC41E0"/>
    <w:rsid w:val="00DC460B"/>
    <w:rsid w:val="00DC483B"/>
    <w:rsid w:val="00DC48E4"/>
    <w:rsid w:val="00DC50AE"/>
    <w:rsid w:val="00DC5260"/>
    <w:rsid w:val="00DC5513"/>
    <w:rsid w:val="00DC5898"/>
    <w:rsid w:val="00DC5D0C"/>
    <w:rsid w:val="00DC5DEF"/>
    <w:rsid w:val="00DC5F7A"/>
    <w:rsid w:val="00DC6851"/>
    <w:rsid w:val="00DC6AC9"/>
    <w:rsid w:val="00DC6B68"/>
    <w:rsid w:val="00DC6C53"/>
    <w:rsid w:val="00DC758F"/>
    <w:rsid w:val="00DC7603"/>
    <w:rsid w:val="00DC7665"/>
    <w:rsid w:val="00DC7C39"/>
    <w:rsid w:val="00DC7EF7"/>
    <w:rsid w:val="00DC7FF3"/>
    <w:rsid w:val="00DD030C"/>
    <w:rsid w:val="00DD16C1"/>
    <w:rsid w:val="00DD184E"/>
    <w:rsid w:val="00DD1D1D"/>
    <w:rsid w:val="00DD1E3E"/>
    <w:rsid w:val="00DD1EA9"/>
    <w:rsid w:val="00DD1ECD"/>
    <w:rsid w:val="00DD1FE0"/>
    <w:rsid w:val="00DD20EE"/>
    <w:rsid w:val="00DD2E32"/>
    <w:rsid w:val="00DD30AD"/>
    <w:rsid w:val="00DD32F3"/>
    <w:rsid w:val="00DD35F6"/>
    <w:rsid w:val="00DD468C"/>
    <w:rsid w:val="00DD4862"/>
    <w:rsid w:val="00DD4A16"/>
    <w:rsid w:val="00DD4C65"/>
    <w:rsid w:val="00DD4E8C"/>
    <w:rsid w:val="00DD4F6E"/>
    <w:rsid w:val="00DD570E"/>
    <w:rsid w:val="00DD5748"/>
    <w:rsid w:val="00DD657B"/>
    <w:rsid w:val="00DD6952"/>
    <w:rsid w:val="00DD6FF6"/>
    <w:rsid w:val="00DD7105"/>
    <w:rsid w:val="00DD722D"/>
    <w:rsid w:val="00DD7978"/>
    <w:rsid w:val="00DD7D4C"/>
    <w:rsid w:val="00DD7D70"/>
    <w:rsid w:val="00DD7DD8"/>
    <w:rsid w:val="00DE02DA"/>
    <w:rsid w:val="00DE13AB"/>
    <w:rsid w:val="00DE1B6D"/>
    <w:rsid w:val="00DE1FCF"/>
    <w:rsid w:val="00DE22E6"/>
    <w:rsid w:val="00DE2DBA"/>
    <w:rsid w:val="00DE2E65"/>
    <w:rsid w:val="00DE360A"/>
    <w:rsid w:val="00DE3E74"/>
    <w:rsid w:val="00DE4239"/>
    <w:rsid w:val="00DE43C5"/>
    <w:rsid w:val="00DE4694"/>
    <w:rsid w:val="00DE567D"/>
    <w:rsid w:val="00DE56D1"/>
    <w:rsid w:val="00DE5BF6"/>
    <w:rsid w:val="00DE6082"/>
    <w:rsid w:val="00DE6369"/>
    <w:rsid w:val="00DE7029"/>
    <w:rsid w:val="00DE72C5"/>
    <w:rsid w:val="00DE7364"/>
    <w:rsid w:val="00DE74E9"/>
    <w:rsid w:val="00DF016D"/>
    <w:rsid w:val="00DF061C"/>
    <w:rsid w:val="00DF08C5"/>
    <w:rsid w:val="00DF0D59"/>
    <w:rsid w:val="00DF13B5"/>
    <w:rsid w:val="00DF1826"/>
    <w:rsid w:val="00DF1B14"/>
    <w:rsid w:val="00DF1B30"/>
    <w:rsid w:val="00DF231F"/>
    <w:rsid w:val="00DF2EE0"/>
    <w:rsid w:val="00DF383B"/>
    <w:rsid w:val="00DF3CE3"/>
    <w:rsid w:val="00DF3E73"/>
    <w:rsid w:val="00DF3FFF"/>
    <w:rsid w:val="00DF438D"/>
    <w:rsid w:val="00DF43C7"/>
    <w:rsid w:val="00DF4859"/>
    <w:rsid w:val="00DF486B"/>
    <w:rsid w:val="00DF4E67"/>
    <w:rsid w:val="00DF53BB"/>
    <w:rsid w:val="00DF55E0"/>
    <w:rsid w:val="00DF5708"/>
    <w:rsid w:val="00DF58ED"/>
    <w:rsid w:val="00DF5E54"/>
    <w:rsid w:val="00DF6120"/>
    <w:rsid w:val="00DF62FA"/>
    <w:rsid w:val="00DF654C"/>
    <w:rsid w:val="00DF6583"/>
    <w:rsid w:val="00DF682C"/>
    <w:rsid w:val="00DF6B3C"/>
    <w:rsid w:val="00DF6B62"/>
    <w:rsid w:val="00DF6BFD"/>
    <w:rsid w:val="00DF76F7"/>
    <w:rsid w:val="00E0003C"/>
    <w:rsid w:val="00E004EB"/>
    <w:rsid w:val="00E0089A"/>
    <w:rsid w:val="00E00910"/>
    <w:rsid w:val="00E01DFC"/>
    <w:rsid w:val="00E02708"/>
    <w:rsid w:val="00E028F5"/>
    <w:rsid w:val="00E02F13"/>
    <w:rsid w:val="00E0335F"/>
    <w:rsid w:val="00E03CA8"/>
    <w:rsid w:val="00E03CC1"/>
    <w:rsid w:val="00E03D3B"/>
    <w:rsid w:val="00E03F2D"/>
    <w:rsid w:val="00E0444A"/>
    <w:rsid w:val="00E0452F"/>
    <w:rsid w:val="00E04BB0"/>
    <w:rsid w:val="00E04C1B"/>
    <w:rsid w:val="00E04F51"/>
    <w:rsid w:val="00E05036"/>
    <w:rsid w:val="00E05B93"/>
    <w:rsid w:val="00E06201"/>
    <w:rsid w:val="00E06BED"/>
    <w:rsid w:val="00E06CC1"/>
    <w:rsid w:val="00E06DE7"/>
    <w:rsid w:val="00E06EAE"/>
    <w:rsid w:val="00E07519"/>
    <w:rsid w:val="00E07568"/>
    <w:rsid w:val="00E076AF"/>
    <w:rsid w:val="00E100F1"/>
    <w:rsid w:val="00E10817"/>
    <w:rsid w:val="00E11317"/>
    <w:rsid w:val="00E1208C"/>
    <w:rsid w:val="00E12263"/>
    <w:rsid w:val="00E1259A"/>
    <w:rsid w:val="00E1314E"/>
    <w:rsid w:val="00E13231"/>
    <w:rsid w:val="00E1356D"/>
    <w:rsid w:val="00E137B8"/>
    <w:rsid w:val="00E15328"/>
    <w:rsid w:val="00E15411"/>
    <w:rsid w:val="00E159D0"/>
    <w:rsid w:val="00E16294"/>
    <w:rsid w:val="00E16762"/>
    <w:rsid w:val="00E17007"/>
    <w:rsid w:val="00E1727E"/>
    <w:rsid w:val="00E173F5"/>
    <w:rsid w:val="00E17CDB"/>
    <w:rsid w:val="00E204E6"/>
    <w:rsid w:val="00E20B39"/>
    <w:rsid w:val="00E20B58"/>
    <w:rsid w:val="00E215F8"/>
    <w:rsid w:val="00E216A4"/>
    <w:rsid w:val="00E21FE5"/>
    <w:rsid w:val="00E225C9"/>
    <w:rsid w:val="00E229D5"/>
    <w:rsid w:val="00E23534"/>
    <w:rsid w:val="00E2354D"/>
    <w:rsid w:val="00E235C2"/>
    <w:rsid w:val="00E23F77"/>
    <w:rsid w:val="00E24298"/>
    <w:rsid w:val="00E245C3"/>
    <w:rsid w:val="00E25390"/>
    <w:rsid w:val="00E255FB"/>
    <w:rsid w:val="00E25B70"/>
    <w:rsid w:val="00E25D29"/>
    <w:rsid w:val="00E2716D"/>
    <w:rsid w:val="00E27385"/>
    <w:rsid w:val="00E277A6"/>
    <w:rsid w:val="00E27CC1"/>
    <w:rsid w:val="00E304AE"/>
    <w:rsid w:val="00E30A75"/>
    <w:rsid w:val="00E30B9E"/>
    <w:rsid w:val="00E31232"/>
    <w:rsid w:val="00E3145A"/>
    <w:rsid w:val="00E3176A"/>
    <w:rsid w:val="00E31AAD"/>
    <w:rsid w:val="00E31E3F"/>
    <w:rsid w:val="00E32657"/>
    <w:rsid w:val="00E3266D"/>
    <w:rsid w:val="00E327C2"/>
    <w:rsid w:val="00E3307E"/>
    <w:rsid w:val="00E333AC"/>
    <w:rsid w:val="00E3362E"/>
    <w:rsid w:val="00E336F2"/>
    <w:rsid w:val="00E3372A"/>
    <w:rsid w:val="00E33755"/>
    <w:rsid w:val="00E339BA"/>
    <w:rsid w:val="00E33EF8"/>
    <w:rsid w:val="00E34312"/>
    <w:rsid w:val="00E343C7"/>
    <w:rsid w:val="00E34EA3"/>
    <w:rsid w:val="00E35D6D"/>
    <w:rsid w:val="00E36212"/>
    <w:rsid w:val="00E36E5D"/>
    <w:rsid w:val="00E375AA"/>
    <w:rsid w:val="00E375BD"/>
    <w:rsid w:val="00E37ADD"/>
    <w:rsid w:val="00E403EF"/>
    <w:rsid w:val="00E404B9"/>
    <w:rsid w:val="00E405A9"/>
    <w:rsid w:val="00E4156A"/>
    <w:rsid w:val="00E41B1C"/>
    <w:rsid w:val="00E42248"/>
    <w:rsid w:val="00E42266"/>
    <w:rsid w:val="00E42AE0"/>
    <w:rsid w:val="00E42B2E"/>
    <w:rsid w:val="00E4320B"/>
    <w:rsid w:val="00E43620"/>
    <w:rsid w:val="00E43F50"/>
    <w:rsid w:val="00E43F74"/>
    <w:rsid w:val="00E440CA"/>
    <w:rsid w:val="00E44593"/>
    <w:rsid w:val="00E44A6F"/>
    <w:rsid w:val="00E44CED"/>
    <w:rsid w:val="00E44DB2"/>
    <w:rsid w:val="00E44F0B"/>
    <w:rsid w:val="00E45566"/>
    <w:rsid w:val="00E46031"/>
    <w:rsid w:val="00E4608E"/>
    <w:rsid w:val="00E462F5"/>
    <w:rsid w:val="00E46949"/>
    <w:rsid w:val="00E46E6E"/>
    <w:rsid w:val="00E47217"/>
    <w:rsid w:val="00E47EEA"/>
    <w:rsid w:val="00E50093"/>
    <w:rsid w:val="00E50260"/>
    <w:rsid w:val="00E50D36"/>
    <w:rsid w:val="00E50D38"/>
    <w:rsid w:val="00E5140D"/>
    <w:rsid w:val="00E51445"/>
    <w:rsid w:val="00E51C11"/>
    <w:rsid w:val="00E53252"/>
    <w:rsid w:val="00E53400"/>
    <w:rsid w:val="00E5357A"/>
    <w:rsid w:val="00E53934"/>
    <w:rsid w:val="00E53D0D"/>
    <w:rsid w:val="00E53E92"/>
    <w:rsid w:val="00E54299"/>
    <w:rsid w:val="00E5436C"/>
    <w:rsid w:val="00E5487F"/>
    <w:rsid w:val="00E54B82"/>
    <w:rsid w:val="00E54BA8"/>
    <w:rsid w:val="00E54D85"/>
    <w:rsid w:val="00E54E64"/>
    <w:rsid w:val="00E55B75"/>
    <w:rsid w:val="00E5627E"/>
    <w:rsid w:val="00E564E2"/>
    <w:rsid w:val="00E56E94"/>
    <w:rsid w:val="00E57484"/>
    <w:rsid w:val="00E57D00"/>
    <w:rsid w:val="00E57E56"/>
    <w:rsid w:val="00E602CD"/>
    <w:rsid w:val="00E604DE"/>
    <w:rsid w:val="00E60507"/>
    <w:rsid w:val="00E60623"/>
    <w:rsid w:val="00E60BC8"/>
    <w:rsid w:val="00E60D64"/>
    <w:rsid w:val="00E6129F"/>
    <w:rsid w:val="00E614BE"/>
    <w:rsid w:val="00E61BD6"/>
    <w:rsid w:val="00E62241"/>
    <w:rsid w:val="00E623C9"/>
    <w:rsid w:val="00E623FF"/>
    <w:rsid w:val="00E62691"/>
    <w:rsid w:val="00E6283E"/>
    <w:rsid w:val="00E62D1B"/>
    <w:rsid w:val="00E63252"/>
    <w:rsid w:val="00E638B2"/>
    <w:rsid w:val="00E6390A"/>
    <w:rsid w:val="00E63A86"/>
    <w:rsid w:val="00E63A9A"/>
    <w:rsid w:val="00E63E9E"/>
    <w:rsid w:val="00E63FC9"/>
    <w:rsid w:val="00E6403E"/>
    <w:rsid w:val="00E64265"/>
    <w:rsid w:val="00E647F0"/>
    <w:rsid w:val="00E64919"/>
    <w:rsid w:val="00E64B9F"/>
    <w:rsid w:val="00E64BDB"/>
    <w:rsid w:val="00E661BF"/>
    <w:rsid w:val="00E663E5"/>
    <w:rsid w:val="00E664E8"/>
    <w:rsid w:val="00E666F1"/>
    <w:rsid w:val="00E66881"/>
    <w:rsid w:val="00E66DE6"/>
    <w:rsid w:val="00E66DF4"/>
    <w:rsid w:val="00E66FA5"/>
    <w:rsid w:val="00E6727D"/>
    <w:rsid w:val="00E67325"/>
    <w:rsid w:val="00E67884"/>
    <w:rsid w:val="00E67C88"/>
    <w:rsid w:val="00E67D2B"/>
    <w:rsid w:val="00E701F1"/>
    <w:rsid w:val="00E70585"/>
    <w:rsid w:val="00E70F65"/>
    <w:rsid w:val="00E711E7"/>
    <w:rsid w:val="00E717EC"/>
    <w:rsid w:val="00E71822"/>
    <w:rsid w:val="00E719C2"/>
    <w:rsid w:val="00E71A47"/>
    <w:rsid w:val="00E723C3"/>
    <w:rsid w:val="00E72432"/>
    <w:rsid w:val="00E728DA"/>
    <w:rsid w:val="00E72D4D"/>
    <w:rsid w:val="00E72E2B"/>
    <w:rsid w:val="00E7327A"/>
    <w:rsid w:val="00E73478"/>
    <w:rsid w:val="00E73682"/>
    <w:rsid w:val="00E73841"/>
    <w:rsid w:val="00E7389B"/>
    <w:rsid w:val="00E7392C"/>
    <w:rsid w:val="00E73C17"/>
    <w:rsid w:val="00E73C81"/>
    <w:rsid w:val="00E74617"/>
    <w:rsid w:val="00E74AA6"/>
    <w:rsid w:val="00E74C83"/>
    <w:rsid w:val="00E74F91"/>
    <w:rsid w:val="00E75021"/>
    <w:rsid w:val="00E7533F"/>
    <w:rsid w:val="00E75362"/>
    <w:rsid w:val="00E753CB"/>
    <w:rsid w:val="00E753E7"/>
    <w:rsid w:val="00E7620F"/>
    <w:rsid w:val="00E76582"/>
    <w:rsid w:val="00E767E0"/>
    <w:rsid w:val="00E767FA"/>
    <w:rsid w:val="00E76A0B"/>
    <w:rsid w:val="00E76D65"/>
    <w:rsid w:val="00E77FEA"/>
    <w:rsid w:val="00E8039A"/>
    <w:rsid w:val="00E8039E"/>
    <w:rsid w:val="00E80B8D"/>
    <w:rsid w:val="00E81849"/>
    <w:rsid w:val="00E81A5B"/>
    <w:rsid w:val="00E81BEF"/>
    <w:rsid w:val="00E82344"/>
    <w:rsid w:val="00E823B6"/>
    <w:rsid w:val="00E82F50"/>
    <w:rsid w:val="00E834DD"/>
    <w:rsid w:val="00E8410C"/>
    <w:rsid w:val="00E8424C"/>
    <w:rsid w:val="00E847E2"/>
    <w:rsid w:val="00E84B49"/>
    <w:rsid w:val="00E8500E"/>
    <w:rsid w:val="00E855B0"/>
    <w:rsid w:val="00E85959"/>
    <w:rsid w:val="00E859B8"/>
    <w:rsid w:val="00E85BD0"/>
    <w:rsid w:val="00E86555"/>
    <w:rsid w:val="00E8685A"/>
    <w:rsid w:val="00E86C02"/>
    <w:rsid w:val="00E877AC"/>
    <w:rsid w:val="00E87ADE"/>
    <w:rsid w:val="00E87AEF"/>
    <w:rsid w:val="00E87B11"/>
    <w:rsid w:val="00E87C30"/>
    <w:rsid w:val="00E87C97"/>
    <w:rsid w:val="00E903E0"/>
    <w:rsid w:val="00E90409"/>
    <w:rsid w:val="00E90C27"/>
    <w:rsid w:val="00E919F3"/>
    <w:rsid w:val="00E91BD3"/>
    <w:rsid w:val="00E9203C"/>
    <w:rsid w:val="00E921CF"/>
    <w:rsid w:val="00E9242A"/>
    <w:rsid w:val="00E926B9"/>
    <w:rsid w:val="00E92C50"/>
    <w:rsid w:val="00E92EFD"/>
    <w:rsid w:val="00E93210"/>
    <w:rsid w:val="00E9327B"/>
    <w:rsid w:val="00E93290"/>
    <w:rsid w:val="00E932F0"/>
    <w:rsid w:val="00E933BB"/>
    <w:rsid w:val="00E94277"/>
    <w:rsid w:val="00E943BC"/>
    <w:rsid w:val="00E945E5"/>
    <w:rsid w:val="00E946DA"/>
    <w:rsid w:val="00E950CD"/>
    <w:rsid w:val="00E952CE"/>
    <w:rsid w:val="00E954B1"/>
    <w:rsid w:val="00E95659"/>
    <w:rsid w:val="00E95C71"/>
    <w:rsid w:val="00E95DE6"/>
    <w:rsid w:val="00E95E98"/>
    <w:rsid w:val="00E95EC8"/>
    <w:rsid w:val="00E9604D"/>
    <w:rsid w:val="00E96189"/>
    <w:rsid w:val="00E96309"/>
    <w:rsid w:val="00E965C4"/>
    <w:rsid w:val="00E969A2"/>
    <w:rsid w:val="00E96A0B"/>
    <w:rsid w:val="00E9797C"/>
    <w:rsid w:val="00EA01CE"/>
    <w:rsid w:val="00EA0379"/>
    <w:rsid w:val="00EA0738"/>
    <w:rsid w:val="00EA09F1"/>
    <w:rsid w:val="00EA1268"/>
    <w:rsid w:val="00EA12F3"/>
    <w:rsid w:val="00EA15D8"/>
    <w:rsid w:val="00EA1EE0"/>
    <w:rsid w:val="00EA2323"/>
    <w:rsid w:val="00EA266F"/>
    <w:rsid w:val="00EA325E"/>
    <w:rsid w:val="00EA36AE"/>
    <w:rsid w:val="00EA39E1"/>
    <w:rsid w:val="00EA3A1C"/>
    <w:rsid w:val="00EA3E19"/>
    <w:rsid w:val="00EA3F80"/>
    <w:rsid w:val="00EA4175"/>
    <w:rsid w:val="00EA43BC"/>
    <w:rsid w:val="00EA47FE"/>
    <w:rsid w:val="00EA4BA4"/>
    <w:rsid w:val="00EA4BC0"/>
    <w:rsid w:val="00EA4BFA"/>
    <w:rsid w:val="00EA4DA0"/>
    <w:rsid w:val="00EA5337"/>
    <w:rsid w:val="00EA547D"/>
    <w:rsid w:val="00EA5CEB"/>
    <w:rsid w:val="00EA64C5"/>
    <w:rsid w:val="00EA65A3"/>
    <w:rsid w:val="00EA6696"/>
    <w:rsid w:val="00EA67AA"/>
    <w:rsid w:val="00EA6B1B"/>
    <w:rsid w:val="00EA6B3A"/>
    <w:rsid w:val="00EA6C48"/>
    <w:rsid w:val="00EA6DDC"/>
    <w:rsid w:val="00EA7453"/>
    <w:rsid w:val="00EA7DC8"/>
    <w:rsid w:val="00EA7DF8"/>
    <w:rsid w:val="00EA7EEF"/>
    <w:rsid w:val="00EA7F40"/>
    <w:rsid w:val="00EB0292"/>
    <w:rsid w:val="00EB02BF"/>
    <w:rsid w:val="00EB02F2"/>
    <w:rsid w:val="00EB1C45"/>
    <w:rsid w:val="00EB1D3C"/>
    <w:rsid w:val="00EB200A"/>
    <w:rsid w:val="00EB2134"/>
    <w:rsid w:val="00EB2190"/>
    <w:rsid w:val="00EB21ED"/>
    <w:rsid w:val="00EB26C1"/>
    <w:rsid w:val="00EB292D"/>
    <w:rsid w:val="00EB2D7C"/>
    <w:rsid w:val="00EB2D92"/>
    <w:rsid w:val="00EB3458"/>
    <w:rsid w:val="00EB3614"/>
    <w:rsid w:val="00EB382C"/>
    <w:rsid w:val="00EB3914"/>
    <w:rsid w:val="00EB4075"/>
    <w:rsid w:val="00EB42C2"/>
    <w:rsid w:val="00EB4CE0"/>
    <w:rsid w:val="00EB4FD5"/>
    <w:rsid w:val="00EB54AF"/>
    <w:rsid w:val="00EB56B2"/>
    <w:rsid w:val="00EB59F4"/>
    <w:rsid w:val="00EB5EC3"/>
    <w:rsid w:val="00EB6A58"/>
    <w:rsid w:val="00EB6B92"/>
    <w:rsid w:val="00EB6DF8"/>
    <w:rsid w:val="00EB7020"/>
    <w:rsid w:val="00EB7A87"/>
    <w:rsid w:val="00EB7CE3"/>
    <w:rsid w:val="00EB7E3B"/>
    <w:rsid w:val="00EC0000"/>
    <w:rsid w:val="00EC03CF"/>
    <w:rsid w:val="00EC050D"/>
    <w:rsid w:val="00EC12B1"/>
    <w:rsid w:val="00EC130D"/>
    <w:rsid w:val="00EC17D7"/>
    <w:rsid w:val="00EC1A01"/>
    <w:rsid w:val="00EC2143"/>
    <w:rsid w:val="00EC23B8"/>
    <w:rsid w:val="00EC2594"/>
    <w:rsid w:val="00EC25F8"/>
    <w:rsid w:val="00EC2BE5"/>
    <w:rsid w:val="00EC2E02"/>
    <w:rsid w:val="00EC2EDC"/>
    <w:rsid w:val="00EC3580"/>
    <w:rsid w:val="00EC35E8"/>
    <w:rsid w:val="00EC3693"/>
    <w:rsid w:val="00EC480A"/>
    <w:rsid w:val="00EC4EB2"/>
    <w:rsid w:val="00EC5743"/>
    <w:rsid w:val="00EC5D3F"/>
    <w:rsid w:val="00EC60C0"/>
    <w:rsid w:val="00EC61C3"/>
    <w:rsid w:val="00EC6C4B"/>
    <w:rsid w:val="00EC75F2"/>
    <w:rsid w:val="00EC7F32"/>
    <w:rsid w:val="00ED0F10"/>
    <w:rsid w:val="00ED104D"/>
    <w:rsid w:val="00ED1198"/>
    <w:rsid w:val="00ED11D3"/>
    <w:rsid w:val="00ED1A28"/>
    <w:rsid w:val="00ED1AF1"/>
    <w:rsid w:val="00ED2228"/>
    <w:rsid w:val="00ED23CA"/>
    <w:rsid w:val="00ED25DA"/>
    <w:rsid w:val="00ED26B3"/>
    <w:rsid w:val="00ED27FE"/>
    <w:rsid w:val="00ED293F"/>
    <w:rsid w:val="00ED2A6A"/>
    <w:rsid w:val="00ED2EE4"/>
    <w:rsid w:val="00ED32E8"/>
    <w:rsid w:val="00ED37EF"/>
    <w:rsid w:val="00ED387A"/>
    <w:rsid w:val="00ED3959"/>
    <w:rsid w:val="00ED3E1A"/>
    <w:rsid w:val="00ED467A"/>
    <w:rsid w:val="00ED4E7B"/>
    <w:rsid w:val="00ED56B0"/>
    <w:rsid w:val="00ED575F"/>
    <w:rsid w:val="00ED5974"/>
    <w:rsid w:val="00ED64A2"/>
    <w:rsid w:val="00ED6675"/>
    <w:rsid w:val="00ED6CA4"/>
    <w:rsid w:val="00ED6E64"/>
    <w:rsid w:val="00ED7374"/>
    <w:rsid w:val="00ED76C9"/>
    <w:rsid w:val="00ED7806"/>
    <w:rsid w:val="00ED7ABD"/>
    <w:rsid w:val="00ED7BB6"/>
    <w:rsid w:val="00ED7D0F"/>
    <w:rsid w:val="00EE040E"/>
    <w:rsid w:val="00EE1415"/>
    <w:rsid w:val="00EE249B"/>
    <w:rsid w:val="00EE2F1C"/>
    <w:rsid w:val="00EE30E0"/>
    <w:rsid w:val="00EE3302"/>
    <w:rsid w:val="00EE3D18"/>
    <w:rsid w:val="00EE3DF4"/>
    <w:rsid w:val="00EE40F3"/>
    <w:rsid w:val="00EE4142"/>
    <w:rsid w:val="00EE5671"/>
    <w:rsid w:val="00EE5B0B"/>
    <w:rsid w:val="00EE5CA7"/>
    <w:rsid w:val="00EE62A2"/>
    <w:rsid w:val="00EE6686"/>
    <w:rsid w:val="00EE69F2"/>
    <w:rsid w:val="00EE7326"/>
    <w:rsid w:val="00EE76A3"/>
    <w:rsid w:val="00EE7759"/>
    <w:rsid w:val="00EF03D7"/>
    <w:rsid w:val="00EF0666"/>
    <w:rsid w:val="00EF06F0"/>
    <w:rsid w:val="00EF0897"/>
    <w:rsid w:val="00EF09C8"/>
    <w:rsid w:val="00EF0A90"/>
    <w:rsid w:val="00EF1292"/>
    <w:rsid w:val="00EF1468"/>
    <w:rsid w:val="00EF1903"/>
    <w:rsid w:val="00EF1956"/>
    <w:rsid w:val="00EF1973"/>
    <w:rsid w:val="00EF208B"/>
    <w:rsid w:val="00EF2BA6"/>
    <w:rsid w:val="00EF2BB8"/>
    <w:rsid w:val="00EF37A9"/>
    <w:rsid w:val="00EF3DD2"/>
    <w:rsid w:val="00EF442D"/>
    <w:rsid w:val="00EF4867"/>
    <w:rsid w:val="00EF4DD5"/>
    <w:rsid w:val="00EF50FE"/>
    <w:rsid w:val="00EF5934"/>
    <w:rsid w:val="00EF5AF6"/>
    <w:rsid w:val="00EF5D64"/>
    <w:rsid w:val="00EF6053"/>
    <w:rsid w:val="00EF6A6E"/>
    <w:rsid w:val="00EF6C32"/>
    <w:rsid w:val="00EF7302"/>
    <w:rsid w:val="00EF78AA"/>
    <w:rsid w:val="00EF7A78"/>
    <w:rsid w:val="00EF7B9B"/>
    <w:rsid w:val="00F0027E"/>
    <w:rsid w:val="00F00372"/>
    <w:rsid w:val="00F004E5"/>
    <w:rsid w:val="00F008A3"/>
    <w:rsid w:val="00F00D0E"/>
    <w:rsid w:val="00F018FF"/>
    <w:rsid w:val="00F01932"/>
    <w:rsid w:val="00F0216E"/>
    <w:rsid w:val="00F02245"/>
    <w:rsid w:val="00F025B3"/>
    <w:rsid w:val="00F03459"/>
    <w:rsid w:val="00F035D0"/>
    <w:rsid w:val="00F03F2E"/>
    <w:rsid w:val="00F04AAD"/>
    <w:rsid w:val="00F05246"/>
    <w:rsid w:val="00F0554F"/>
    <w:rsid w:val="00F05849"/>
    <w:rsid w:val="00F05E09"/>
    <w:rsid w:val="00F0621B"/>
    <w:rsid w:val="00F06558"/>
    <w:rsid w:val="00F06E93"/>
    <w:rsid w:val="00F06FC3"/>
    <w:rsid w:val="00F07399"/>
    <w:rsid w:val="00F0739F"/>
    <w:rsid w:val="00F07A46"/>
    <w:rsid w:val="00F1002A"/>
    <w:rsid w:val="00F100C9"/>
    <w:rsid w:val="00F1017A"/>
    <w:rsid w:val="00F10585"/>
    <w:rsid w:val="00F10D63"/>
    <w:rsid w:val="00F1206F"/>
    <w:rsid w:val="00F13070"/>
    <w:rsid w:val="00F13376"/>
    <w:rsid w:val="00F1339F"/>
    <w:rsid w:val="00F139CD"/>
    <w:rsid w:val="00F13B29"/>
    <w:rsid w:val="00F14599"/>
    <w:rsid w:val="00F1472E"/>
    <w:rsid w:val="00F14839"/>
    <w:rsid w:val="00F15536"/>
    <w:rsid w:val="00F157AC"/>
    <w:rsid w:val="00F15C29"/>
    <w:rsid w:val="00F15DE3"/>
    <w:rsid w:val="00F15E44"/>
    <w:rsid w:val="00F16005"/>
    <w:rsid w:val="00F1605D"/>
    <w:rsid w:val="00F1674D"/>
    <w:rsid w:val="00F16CBF"/>
    <w:rsid w:val="00F17250"/>
    <w:rsid w:val="00F17430"/>
    <w:rsid w:val="00F17713"/>
    <w:rsid w:val="00F17D01"/>
    <w:rsid w:val="00F17D16"/>
    <w:rsid w:val="00F2005B"/>
    <w:rsid w:val="00F20682"/>
    <w:rsid w:val="00F20698"/>
    <w:rsid w:val="00F209C7"/>
    <w:rsid w:val="00F21570"/>
    <w:rsid w:val="00F21620"/>
    <w:rsid w:val="00F225BD"/>
    <w:rsid w:val="00F226B5"/>
    <w:rsid w:val="00F237DD"/>
    <w:rsid w:val="00F2410E"/>
    <w:rsid w:val="00F24214"/>
    <w:rsid w:val="00F24B17"/>
    <w:rsid w:val="00F24B49"/>
    <w:rsid w:val="00F24F37"/>
    <w:rsid w:val="00F25534"/>
    <w:rsid w:val="00F257A7"/>
    <w:rsid w:val="00F2588A"/>
    <w:rsid w:val="00F25C79"/>
    <w:rsid w:val="00F26085"/>
    <w:rsid w:val="00F26597"/>
    <w:rsid w:val="00F26929"/>
    <w:rsid w:val="00F27957"/>
    <w:rsid w:val="00F27A4E"/>
    <w:rsid w:val="00F27A89"/>
    <w:rsid w:val="00F3000B"/>
    <w:rsid w:val="00F30567"/>
    <w:rsid w:val="00F30887"/>
    <w:rsid w:val="00F30B9F"/>
    <w:rsid w:val="00F30F93"/>
    <w:rsid w:val="00F31443"/>
    <w:rsid w:val="00F31AA3"/>
    <w:rsid w:val="00F32631"/>
    <w:rsid w:val="00F3273B"/>
    <w:rsid w:val="00F32AE3"/>
    <w:rsid w:val="00F33327"/>
    <w:rsid w:val="00F333CB"/>
    <w:rsid w:val="00F335EA"/>
    <w:rsid w:val="00F343ED"/>
    <w:rsid w:val="00F344D7"/>
    <w:rsid w:val="00F347FA"/>
    <w:rsid w:val="00F34AA7"/>
    <w:rsid w:val="00F34ACC"/>
    <w:rsid w:val="00F34CC0"/>
    <w:rsid w:val="00F34E89"/>
    <w:rsid w:val="00F34FD8"/>
    <w:rsid w:val="00F35130"/>
    <w:rsid w:val="00F355F0"/>
    <w:rsid w:val="00F35A76"/>
    <w:rsid w:val="00F35C2C"/>
    <w:rsid w:val="00F35DDA"/>
    <w:rsid w:val="00F35ECD"/>
    <w:rsid w:val="00F35F1B"/>
    <w:rsid w:val="00F36050"/>
    <w:rsid w:val="00F36165"/>
    <w:rsid w:val="00F365C4"/>
    <w:rsid w:val="00F36A3F"/>
    <w:rsid w:val="00F36ED5"/>
    <w:rsid w:val="00F3784B"/>
    <w:rsid w:val="00F378F8"/>
    <w:rsid w:val="00F40243"/>
    <w:rsid w:val="00F402DC"/>
    <w:rsid w:val="00F40374"/>
    <w:rsid w:val="00F4041F"/>
    <w:rsid w:val="00F41234"/>
    <w:rsid w:val="00F41700"/>
    <w:rsid w:val="00F41B30"/>
    <w:rsid w:val="00F4208E"/>
    <w:rsid w:val="00F425C8"/>
    <w:rsid w:val="00F42717"/>
    <w:rsid w:val="00F42B87"/>
    <w:rsid w:val="00F42C1C"/>
    <w:rsid w:val="00F431DC"/>
    <w:rsid w:val="00F435C4"/>
    <w:rsid w:val="00F43E78"/>
    <w:rsid w:val="00F44011"/>
    <w:rsid w:val="00F4415C"/>
    <w:rsid w:val="00F44784"/>
    <w:rsid w:val="00F447B0"/>
    <w:rsid w:val="00F447D8"/>
    <w:rsid w:val="00F447E8"/>
    <w:rsid w:val="00F4568A"/>
    <w:rsid w:val="00F45792"/>
    <w:rsid w:val="00F4592C"/>
    <w:rsid w:val="00F45E88"/>
    <w:rsid w:val="00F45EE5"/>
    <w:rsid w:val="00F4608B"/>
    <w:rsid w:val="00F46092"/>
    <w:rsid w:val="00F4625F"/>
    <w:rsid w:val="00F467EF"/>
    <w:rsid w:val="00F46CB6"/>
    <w:rsid w:val="00F46EBE"/>
    <w:rsid w:val="00F477E2"/>
    <w:rsid w:val="00F500F3"/>
    <w:rsid w:val="00F50F44"/>
    <w:rsid w:val="00F51149"/>
    <w:rsid w:val="00F51DE6"/>
    <w:rsid w:val="00F522D2"/>
    <w:rsid w:val="00F5293C"/>
    <w:rsid w:val="00F52BF1"/>
    <w:rsid w:val="00F52F64"/>
    <w:rsid w:val="00F53F72"/>
    <w:rsid w:val="00F54364"/>
    <w:rsid w:val="00F5466A"/>
    <w:rsid w:val="00F54AAE"/>
    <w:rsid w:val="00F54B27"/>
    <w:rsid w:val="00F55113"/>
    <w:rsid w:val="00F55295"/>
    <w:rsid w:val="00F5542A"/>
    <w:rsid w:val="00F556D7"/>
    <w:rsid w:val="00F5570D"/>
    <w:rsid w:val="00F5577C"/>
    <w:rsid w:val="00F5587F"/>
    <w:rsid w:val="00F55AA6"/>
    <w:rsid w:val="00F56CE9"/>
    <w:rsid w:val="00F56E7B"/>
    <w:rsid w:val="00F570D1"/>
    <w:rsid w:val="00F573FD"/>
    <w:rsid w:val="00F602B9"/>
    <w:rsid w:val="00F605A5"/>
    <w:rsid w:val="00F613CB"/>
    <w:rsid w:val="00F613EC"/>
    <w:rsid w:val="00F61E54"/>
    <w:rsid w:val="00F62A1C"/>
    <w:rsid w:val="00F62B4A"/>
    <w:rsid w:val="00F62C0B"/>
    <w:rsid w:val="00F63629"/>
    <w:rsid w:val="00F639DE"/>
    <w:rsid w:val="00F63BA3"/>
    <w:rsid w:val="00F63D3E"/>
    <w:rsid w:val="00F64690"/>
    <w:rsid w:val="00F64C34"/>
    <w:rsid w:val="00F64CDC"/>
    <w:rsid w:val="00F6504E"/>
    <w:rsid w:val="00F65168"/>
    <w:rsid w:val="00F66030"/>
    <w:rsid w:val="00F663C9"/>
    <w:rsid w:val="00F66FE6"/>
    <w:rsid w:val="00F673AB"/>
    <w:rsid w:val="00F67627"/>
    <w:rsid w:val="00F67672"/>
    <w:rsid w:val="00F67C11"/>
    <w:rsid w:val="00F67C2F"/>
    <w:rsid w:val="00F67C81"/>
    <w:rsid w:val="00F67D7F"/>
    <w:rsid w:val="00F67FC8"/>
    <w:rsid w:val="00F70BBF"/>
    <w:rsid w:val="00F70ECB"/>
    <w:rsid w:val="00F70F3B"/>
    <w:rsid w:val="00F717D1"/>
    <w:rsid w:val="00F71D71"/>
    <w:rsid w:val="00F72339"/>
    <w:rsid w:val="00F72391"/>
    <w:rsid w:val="00F725BD"/>
    <w:rsid w:val="00F72BAB"/>
    <w:rsid w:val="00F72C47"/>
    <w:rsid w:val="00F72E26"/>
    <w:rsid w:val="00F73092"/>
    <w:rsid w:val="00F731F3"/>
    <w:rsid w:val="00F735F6"/>
    <w:rsid w:val="00F73614"/>
    <w:rsid w:val="00F73634"/>
    <w:rsid w:val="00F73709"/>
    <w:rsid w:val="00F7393F"/>
    <w:rsid w:val="00F7409E"/>
    <w:rsid w:val="00F74370"/>
    <w:rsid w:val="00F744B9"/>
    <w:rsid w:val="00F746E6"/>
    <w:rsid w:val="00F74AB6"/>
    <w:rsid w:val="00F74BD1"/>
    <w:rsid w:val="00F74C34"/>
    <w:rsid w:val="00F74F58"/>
    <w:rsid w:val="00F753AF"/>
    <w:rsid w:val="00F7557B"/>
    <w:rsid w:val="00F7563B"/>
    <w:rsid w:val="00F7598C"/>
    <w:rsid w:val="00F759B1"/>
    <w:rsid w:val="00F76067"/>
    <w:rsid w:val="00F76447"/>
    <w:rsid w:val="00F76D28"/>
    <w:rsid w:val="00F76DA4"/>
    <w:rsid w:val="00F7729E"/>
    <w:rsid w:val="00F772CB"/>
    <w:rsid w:val="00F774BE"/>
    <w:rsid w:val="00F77A3B"/>
    <w:rsid w:val="00F77BE4"/>
    <w:rsid w:val="00F77C20"/>
    <w:rsid w:val="00F77DD8"/>
    <w:rsid w:val="00F77E0A"/>
    <w:rsid w:val="00F80825"/>
    <w:rsid w:val="00F81104"/>
    <w:rsid w:val="00F815ED"/>
    <w:rsid w:val="00F81B12"/>
    <w:rsid w:val="00F81B4D"/>
    <w:rsid w:val="00F81B7D"/>
    <w:rsid w:val="00F823E1"/>
    <w:rsid w:val="00F82F41"/>
    <w:rsid w:val="00F83238"/>
    <w:rsid w:val="00F83E01"/>
    <w:rsid w:val="00F8447A"/>
    <w:rsid w:val="00F84581"/>
    <w:rsid w:val="00F847D5"/>
    <w:rsid w:val="00F85186"/>
    <w:rsid w:val="00F8522D"/>
    <w:rsid w:val="00F852CF"/>
    <w:rsid w:val="00F856EA"/>
    <w:rsid w:val="00F85AE3"/>
    <w:rsid w:val="00F85C83"/>
    <w:rsid w:val="00F85F15"/>
    <w:rsid w:val="00F85F40"/>
    <w:rsid w:val="00F861DA"/>
    <w:rsid w:val="00F864E6"/>
    <w:rsid w:val="00F86542"/>
    <w:rsid w:val="00F86570"/>
    <w:rsid w:val="00F86BF0"/>
    <w:rsid w:val="00F8716D"/>
    <w:rsid w:val="00F906FB"/>
    <w:rsid w:val="00F90705"/>
    <w:rsid w:val="00F907F9"/>
    <w:rsid w:val="00F90959"/>
    <w:rsid w:val="00F9122D"/>
    <w:rsid w:val="00F912F5"/>
    <w:rsid w:val="00F91540"/>
    <w:rsid w:val="00F9192B"/>
    <w:rsid w:val="00F91D51"/>
    <w:rsid w:val="00F91D9E"/>
    <w:rsid w:val="00F92048"/>
    <w:rsid w:val="00F92B5A"/>
    <w:rsid w:val="00F9387D"/>
    <w:rsid w:val="00F938C2"/>
    <w:rsid w:val="00F93944"/>
    <w:rsid w:val="00F93A52"/>
    <w:rsid w:val="00F93DA8"/>
    <w:rsid w:val="00F93E94"/>
    <w:rsid w:val="00F944A8"/>
    <w:rsid w:val="00F94ADE"/>
    <w:rsid w:val="00F95641"/>
    <w:rsid w:val="00F95AED"/>
    <w:rsid w:val="00F9626C"/>
    <w:rsid w:val="00F9703E"/>
    <w:rsid w:val="00F97CCC"/>
    <w:rsid w:val="00F97F3A"/>
    <w:rsid w:val="00FA04E2"/>
    <w:rsid w:val="00FA098F"/>
    <w:rsid w:val="00FA169F"/>
    <w:rsid w:val="00FA189F"/>
    <w:rsid w:val="00FA1C41"/>
    <w:rsid w:val="00FA21B5"/>
    <w:rsid w:val="00FA29CE"/>
    <w:rsid w:val="00FA2D98"/>
    <w:rsid w:val="00FA2E15"/>
    <w:rsid w:val="00FA3BE4"/>
    <w:rsid w:val="00FA3C09"/>
    <w:rsid w:val="00FA42C2"/>
    <w:rsid w:val="00FA43C6"/>
    <w:rsid w:val="00FA47E4"/>
    <w:rsid w:val="00FA4C3B"/>
    <w:rsid w:val="00FA5877"/>
    <w:rsid w:val="00FA5930"/>
    <w:rsid w:val="00FA59CC"/>
    <w:rsid w:val="00FA60D8"/>
    <w:rsid w:val="00FA67C1"/>
    <w:rsid w:val="00FA6A87"/>
    <w:rsid w:val="00FA6BB7"/>
    <w:rsid w:val="00FA6E8A"/>
    <w:rsid w:val="00FA705D"/>
    <w:rsid w:val="00FA7123"/>
    <w:rsid w:val="00FA7A2A"/>
    <w:rsid w:val="00FA7A98"/>
    <w:rsid w:val="00FB013F"/>
    <w:rsid w:val="00FB0256"/>
    <w:rsid w:val="00FB02B4"/>
    <w:rsid w:val="00FB0694"/>
    <w:rsid w:val="00FB0727"/>
    <w:rsid w:val="00FB0F85"/>
    <w:rsid w:val="00FB13DC"/>
    <w:rsid w:val="00FB1834"/>
    <w:rsid w:val="00FB190D"/>
    <w:rsid w:val="00FB1CB7"/>
    <w:rsid w:val="00FB2312"/>
    <w:rsid w:val="00FB23EE"/>
    <w:rsid w:val="00FB270A"/>
    <w:rsid w:val="00FB2DD5"/>
    <w:rsid w:val="00FB2F51"/>
    <w:rsid w:val="00FB343E"/>
    <w:rsid w:val="00FB392C"/>
    <w:rsid w:val="00FB43EC"/>
    <w:rsid w:val="00FB458C"/>
    <w:rsid w:val="00FB48BC"/>
    <w:rsid w:val="00FB4C04"/>
    <w:rsid w:val="00FB4C7F"/>
    <w:rsid w:val="00FB5295"/>
    <w:rsid w:val="00FB5705"/>
    <w:rsid w:val="00FB5BF5"/>
    <w:rsid w:val="00FB6083"/>
    <w:rsid w:val="00FB645B"/>
    <w:rsid w:val="00FB7607"/>
    <w:rsid w:val="00FB7885"/>
    <w:rsid w:val="00FC002B"/>
    <w:rsid w:val="00FC002F"/>
    <w:rsid w:val="00FC03D5"/>
    <w:rsid w:val="00FC1B96"/>
    <w:rsid w:val="00FC1DC9"/>
    <w:rsid w:val="00FC2040"/>
    <w:rsid w:val="00FC2803"/>
    <w:rsid w:val="00FC28AE"/>
    <w:rsid w:val="00FC2964"/>
    <w:rsid w:val="00FC2B0B"/>
    <w:rsid w:val="00FC31F6"/>
    <w:rsid w:val="00FC3382"/>
    <w:rsid w:val="00FC3E89"/>
    <w:rsid w:val="00FC3F19"/>
    <w:rsid w:val="00FC4082"/>
    <w:rsid w:val="00FC416E"/>
    <w:rsid w:val="00FC492C"/>
    <w:rsid w:val="00FC4C6E"/>
    <w:rsid w:val="00FC4EE1"/>
    <w:rsid w:val="00FC5080"/>
    <w:rsid w:val="00FC51E0"/>
    <w:rsid w:val="00FC52F4"/>
    <w:rsid w:val="00FC5638"/>
    <w:rsid w:val="00FC5A37"/>
    <w:rsid w:val="00FC5AC1"/>
    <w:rsid w:val="00FC5C38"/>
    <w:rsid w:val="00FC5D2F"/>
    <w:rsid w:val="00FC64B9"/>
    <w:rsid w:val="00FC6C83"/>
    <w:rsid w:val="00FC6F66"/>
    <w:rsid w:val="00FC790D"/>
    <w:rsid w:val="00FC794E"/>
    <w:rsid w:val="00FC7A13"/>
    <w:rsid w:val="00FC7C47"/>
    <w:rsid w:val="00FD02F9"/>
    <w:rsid w:val="00FD0413"/>
    <w:rsid w:val="00FD068F"/>
    <w:rsid w:val="00FD071C"/>
    <w:rsid w:val="00FD07C1"/>
    <w:rsid w:val="00FD08A6"/>
    <w:rsid w:val="00FD10B1"/>
    <w:rsid w:val="00FD10F0"/>
    <w:rsid w:val="00FD11B8"/>
    <w:rsid w:val="00FD1251"/>
    <w:rsid w:val="00FD125C"/>
    <w:rsid w:val="00FD1367"/>
    <w:rsid w:val="00FD13A1"/>
    <w:rsid w:val="00FD1FFD"/>
    <w:rsid w:val="00FD2273"/>
    <w:rsid w:val="00FD248F"/>
    <w:rsid w:val="00FD2C0A"/>
    <w:rsid w:val="00FD2C44"/>
    <w:rsid w:val="00FD2DD5"/>
    <w:rsid w:val="00FD2ED3"/>
    <w:rsid w:val="00FD2FA0"/>
    <w:rsid w:val="00FD3109"/>
    <w:rsid w:val="00FD318C"/>
    <w:rsid w:val="00FD3301"/>
    <w:rsid w:val="00FD3749"/>
    <w:rsid w:val="00FD3F82"/>
    <w:rsid w:val="00FD48DB"/>
    <w:rsid w:val="00FD49AC"/>
    <w:rsid w:val="00FD4E48"/>
    <w:rsid w:val="00FD5638"/>
    <w:rsid w:val="00FD579A"/>
    <w:rsid w:val="00FD5FEF"/>
    <w:rsid w:val="00FD6608"/>
    <w:rsid w:val="00FD68C9"/>
    <w:rsid w:val="00FD7120"/>
    <w:rsid w:val="00FD724F"/>
    <w:rsid w:val="00FD7514"/>
    <w:rsid w:val="00FD7C09"/>
    <w:rsid w:val="00FE0036"/>
    <w:rsid w:val="00FE03BA"/>
    <w:rsid w:val="00FE0498"/>
    <w:rsid w:val="00FE0591"/>
    <w:rsid w:val="00FE0600"/>
    <w:rsid w:val="00FE06F6"/>
    <w:rsid w:val="00FE0D53"/>
    <w:rsid w:val="00FE0E2E"/>
    <w:rsid w:val="00FE0EC8"/>
    <w:rsid w:val="00FE0FBF"/>
    <w:rsid w:val="00FE102C"/>
    <w:rsid w:val="00FE10DA"/>
    <w:rsid w:val="00FE12B7"/>
    <w:rsid w:val="00FE218A"/>
    <w:rsid w:val="00FE21C9"/>
    <w:rsid w:val="00FE26BC"/>
    <w:rsid w:val="00FE325A"/>
    <w:rsid w:val="00FE36A9"/>
    <w:rsid w:val="00FE3A52"/>
    <w:rsid w:val="00FE3F4D"/>
    <w:rsid w:val="00FE41DF"/>
    <w:rsid w:val="00FE5015"/>
    <w:rsid w:val="00FE5957"/>
    <w:rsid w:val="00FE606E"/>
    <w:rsid w:val="00FE63B8"/>
    <w:rsid w:val="00FE641F"/>
    <w:rsid w:val="00FE65E7"/>
    <w:rsid w:val="00FE670A"/>
    <w:rsid w:val="00FE6A24"/>
    <w:rsid w:val="00FE78DC"/>
    <w:rsid w:val="00FE7C2D"/>
    <w:rsid w:val="00FF0549"/>
    <w:rsid w:val="00FF05B0"/>
    <w:rsid w:val="00FF09A3"/>
    <w:rsid w:val="00FF0CF6"/>
    <w:rsid w:val="00FF0F23"/>
    <w:rsid w:val="00FF11AD"/>
    <w:rsid w:val="00FF1B3A"/>
    <w:rsid w:val="00FF20D9"/>
    <w:rsid w:val="00FF23CA"/>
    <w:rsid w:val="00FF2F1D"/>
    <w:rsid w:val="00FF374D"/>
    <w:rsid w:val="00FF414B"/>
    <w:rsid w:val="00FF4673"/>
    <w:rsid w:val="00FF4A0C"/>
    <w:rsid w:val="00FF4F0B"/>
    <w:rsid w:val="00FF507D"/>
    <w:rsid w:val="00FF525D"/>
    <w:rsid w:val="00FF52CB"/>
    <w:rsid w:val="00FF5623"/>
    <w:rsid w:val="00FF62A8"/>
    <w:rsid w:val="00FF6580"/>
    <w:rsid w:val="00FF6BBA"/>
    <w:rsid w:val="00FF72B4"/>
    <w:rsid w:val="00FF73B8"/>
    <w:rsid w:val="00FF7D4D"/>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21FAE79"/>
  <w15:docId w15:val="{32AA855C-70B4-441E-B59F-AE7B341F3F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line="48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4" w:uiPriority="44"/>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3E7D"/>
    <w:rPr>
      <w:rFonts w:ascii="Times New Roman" w:hAnsi="Times New Roman"/>
      <w:sz w:val="24"/>
    </w:rPr>
  </w:style>
  <w:style w:type="paragraph" w:styleId="Heading1">
    <w:name w:val="heading 1"/>
    <w:basedOn w:val="Normal"/>
    <w:next w:val="Normal"/>
    <w:link w:val="Heading1Char"/>
    <w:uiPriority w:val="9"/>
    <w:qFormat/>
    <w:rsid w:val="00013E7D"/>
    <w:pPr>
      <w:keepNext/>
      <w:keepLines/>
      <w:numPr>
        <w:numId w:val="2"/>
      </w:numPr>
      <w:spacing w:before="156" w:after="100" w:afterAutospacing="1" w:line="240" w:lineRule="auto"/>
      <w:ind w:left="431" w:hanging="431"/>
      <w:outlineLvl w:val="0"/>
    </w:pPr>
    <w:rPr>
      <w:rFonts w:eastAsiaTheme="majorEastAsia"/>
      <w:b/>
      <w:bCs/>
      <w:color w:val="1F4E79" w:themeColor="accent1" w:themeShade="80"/>
      <w:kern w:val="44"/>
      <w:sz w:val="44"/>
      <w:szCs w:val="32"/>
    </w:rPr>
  </w:style>
  <w:style w:type="paragraph" w:styleId="Heading2">
    <w:name w:val="heading 2"/>
    <w:basedOn w:val="Heading1"/>
    <w:next w:val="Normal"/>
    <w:link w:val="Heading2Char"/>
    <w:uiPriority w:val="9"/>
    <w:unhideWhenUsed/>
    <w:qFormat/>
    <w:rsid w:val="00013E7D"/>
    <w:pPr>
      <w:numPr>
        <w:ilvl w:val="1"/>
      </w:numPr>
      <w:spacing w:afterLines="50" w:after="50" w:afterAutospacing="0"/>
      <w:ind w:left="576"/>
      <w:outlineLvl w:val="1"/>
    </w:pPr>
    <w:rPr>
      <w:sz w:val="32"/>
    </w:rPr>
  </w:style>
  <w:style w:type="paragraph" w:styleId="Heading3">
    <w:name w:val="heading 3"/>
    <w:basedOn w:val="Normal"/>
    <w:next w:val="Normal"/>
    <w:link w:val="Heading3Char"/>
    <w:uiPriority w:val="9"/>
    <w:unhideWhenUsed/>
    <w:qFormat/>
    <w:rsid w:val="00013E7D"/>
    <w:pPr>
      <w:keepNext/>
      <w:keepLines/>
      <w:numPr>
        <w:ilvl w:val="2"/>
        <w:numId w:val="2"/>
      </w:numPr>
      <w:spacing w:before="120"/>
      <w:ind w:left="720"/>
      <w:outlineLvl w:val="2"/>
    </w:pPr>
    <w:rPr>
      <w:b/>
      <w:bCs/>
      <w:i/>
      <w:color w:val="9CC2E5" w:themeColor="accent1" w:themeTint="99"/>
      <w:sz w:val="28"/>
    </w:rPr>
  </w:style>
  <w:style w:type="paragraph" w:styleId="Heading4">
    <w:name w:val="heading 4"/>
    <w:basedOn w:val="Normal"/>
    <w:next w:val="Normal"/>
    <w:link w:val="Heading4Char"/>
    <w:uiPriority w:val="9"/>
    <w:unhideWhenUsed/>
    <w:qFormat/>
    <w:rsid w:val="004C6E8D"/>
    <w:pPr>
      <w:keepNext/>
      <w:keepLines/>
      <w:numPr>
        <w:ilvl w:val="3"/>
        <w:numId w:val="2"/>
      </w:numPr>
      <w:spacing w:after="240"/>
      <w:outlineLvl w:val="3"/>
    </w:pPr>
    <w:rPr>
      <w:bCs/>
      <w:i/>
      <w:iCs/>
    </w:rPr>
  </w:style>
  <w:style w:type="paragraph" w:styleId="Heading5">
    <w:name w:val="heading 5"/>
    <w:basedOn w:val="Normal"/>
    <w:next w:val="Normal"/>
    <w:link w:val="Heading5Char"/>
    <w:unhideWhenUsed/>
    <w:qFormat/>
    <w:rsid w:val="00013E7D"/>
    <w:pPr>
      <w:keepNext/>
      <w:keepLines/>
      <w:numPr>
        <w:ilvl w:val="4"/>
        <w:numId w:val="2"/>
      </w:numPr>
      <w:outlineLvl w:val="4"/>
    </w:pPr>
    <w:rPr>
      <w:b/>
      <w:bCs/>
      <w:szCs w:val="28"/>
    </w:rPr>
  </w:style>
  <w:style w:type="paragraph" w:styleId="Heading6">
    <w:name w:val="heading 6"/>
    <w:basedOn w:val="Normal"/>
    <w:next w:val="Normal"/>
    <w:link w:val="Heading6Char"/>
    <w:unhideWhenUsed/>
    <w:qFormat/>
    <w:rsid w:val="00013E7D"/>
    <w:pPr>
      <w:keepNext/>
      <w:keepLines/>
      <w:numPr>
        <w:ilvl w:val="5"/>
        <w:numId w:val="2"/>
      </w:numPr>
      <w:spacing w:before="240" w:after="64" w:line="320" w:lineRule="auto"/>
      <w:outlineLvl w:val="5"/>
    </w:pPr>
    <w:rPr>
      <w:rFonts w:asciiTheme="majorHAnsi" w:eastAsiaTheme="majorEastAsia" w:hAnsiTheme="majorHAnsi" w:cstheme="majorBidi"/>
      <w:b/>
      <w:bCs/>
    </w:rPr>
  </w:style>
  <w:style w:type="paragraph" w:styleId="Heading7">
    <w:name w:val="heading 7"/>
    <w:basedOn w:val="Normal"/>
    <w:next w:val="Normal"/>
    <w:link w:val="Heading7Char"/>
    <w:uiPriority w:val="9"/>
    <w:unhideWhenUsed/>
    <w:qFormat/>
    <w:rsid w:val="00013E7D"/>
    <w:pPr>
      <w:keepNext/>
      <w:keepLines/>
      <w:numPr>
        <w:ilvl w:val="6"/>
        <w:numId w:val="2"/>
      </w:numPr>
      <w:spacing w:before="240" w:after="64" w:line="320" w:lineRule="auto"/>
      <w:outlineLvl w:val="6"/>
    </w:pPr>
    <w:rPr>
      <w:b/>
      <w:bCs/>
    </w:rPr>
  </w:style>
  <w:style w:type="paragraph" w:styleId="Heading8">
    <w:name w:val="heading 8"/>
    <w:basedOn w:val="Normal"/>
    <w:next w:val="Normal"/>
    <w:link w:val="Heading8Char"/>
    <w:uiPriority w:val="9"/>
    <w:semiHidden/>
    <w:unhideWhenUsed/>
    <w:qFormat/>
    <w:rsid w:val="00013E7D"/>
    <w:pPr>
      <w:keepNext/>
      <w:keepLines/>
      <w:numPr>
        <w:ilvl w:val="7"/>
        <w:numId w:val="2"/>
      </w:numPr>
      <w:spacing w:before="240" w:after="64" w:line="320" w:lineRule="auto"/>
      <w:outlineLvl w:val="7"/>
    </w:pPr>
    <w:rPr>
      <w:rFonts w:asciiTheme="majorHAnsi" w:eastAsiaTheme="majorEastAsia" w:hAnsiTheme="majorHAnsi" w:cstheme="majorBidi"/>
    </w:rPr>
  </w:style>
  <w:style w:type="paragraph" w:styleId="Heading9">
    <w:name w:val="heading 9"/>
    <w:basedOn w:val="Normal"/>
    <w:next w:val="Normal"/>
    <w:link w:val="Heading9Char"/>
    <w:uiPriority w:val="9"/>
    <w:semiHidden/>
    <w:unhideWhenUsed/>
    <w:qFormat/>
    <w:rsid w:val="00013E7D"/>
    <w:pPr>
      <w:keepNext/>
      <w:keepLines/>
      <w:numPr>
        <w:ilvl w:val="8"/>
        <w:numId w:val="2"/>
      </w:numPr>
      <w:spacing w:before="240" w:after="64" w:line="320" w:lineRule="auto"/>
      <w:outlineLvl w:val="8"/>
    </w:pPr>
    <w:rPr>
      <w:rFonts w:asciiTheme="majorHAnsi" w:eastAsiaTheme="majorEastAsia" w:hAnsiTheme="majorHAnsi" w:cstheme="majorBidi"/>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013E7D"/>
    <w:rPr>
      <w:rFonts w:ascii="Times New Roman" w:eastAsiaTheme="majorEastAsia" w:hAnsi="Times New Roman"/>
      <w:b/>
      <w:bCs/>
      <w:color w:val="1F4E79" w:themeColor="accent1" w:themeShade="80"/>
      <w:kern w:val="44"/>
      <w:sz w:val="44"/>
      <w:szCs w:val="32"/>
    </w:rPr>
  </w:style>
  <w:style w:type="character" w:customStyle="1" w:styleId="Heading2Char">
    <w:name w:val="Heading 2 Char"/>
    <w:basedOn w:val="DefaultParagraphFont"/>
    <w:link w:val="Heading2"/>
    <w:uiPriority w:val="9"/>
    <w:qFormat/>
    <w:rsid w:val="00013E7D"/>
    <w:rPr>
      <w:rFonts w:ascii="Times New Roman" w:eastAsiaTheme="majorEastAsia" w:hAnsi="Times New Roman"/>
      <w:b/>
      <w:bCs/>
      <w:color w:val="1F4E79" w:themeColor="accent1" w:themeShade="80"/>
      <w:kern w:val="44"/>
      <w:sz w:val="32"/>
      <w:szCs w:val="32"/>
    </w:rPr>
  </w:style>
  <w:style w:type="character" w:customStyle="1" w:styleId="Heading3Char">
    <w:name w:val="Heading 3 Char"/>
    <w:basedOn w:val="DefaultParagraphFont"/>
    <w:link w:val="Heading3"/>
    <w:uiPriority w:val="9"/>
    <w:qFormat/>
    <w:rsid w:val="00013E7D"/>
    <w:rPr>
      <w:rFonts w:ascii="Times New Roman" w:hAnsi="Times New Roman"/>
      <w:b/>
      <w:bCs/>
      <w:i/>
      <w:color w:val="9CC2E5" w:themeColor="accent1" w:themeTint="99"/>
      <w:sz w:val="28"/>
    </w:rPr>
  </w:style>
  <w:style w:type="character" w:customStyle="1" w:styleId="Heading4Char">
    <w:name w:val="Heading 4 Char"/>
    <w:basedOn w:val="DefaultParagraphFont"/>
    <w:link w:val="Heading4"/>
    <w:uiPriority w:val="9"/>
    <w:qFormat/>
    <w:rsid w:val="004C6E8D"/>
    <w:rPr>
      <w:rFonts w:ascii="Times New Roman" w:hAnsi="Times New Roman"/>
      <w:bCs/>
      <w:i/>
      <w:iCs/>
      <w:sz w:val="24"/>
    </w:rPr>
  </w:style>
  <w:style w:type="character" w:customStyle="1" w:styleId="Heading5Char">
    <w:name w:val="Heading 5 Char"/>
    <w:basedOn w:val="DefaultParagraphFont"/>
    <w:link w:val="Heading5"/>
    <w:qFormat/>
    <w:rsid w:val="00013E7D"/>
    <w:rPr>
      <w:rFonts w:ascii="Times New Roman" w:hAnsi="Times New Roman"/>
      <w:b/>
      <w:bCs/>
      <w:sz w:val="24"/>
      <w:szCs w:val="28"/>
    </w:rPr>
  </w:style>
  <w:style w:type="character" w:customStyle="1" w:styleId="Heading6Char">
    <w:name w:val="Heading 6 Char"/>
    <w:basedOn w:val="DefaultParagraphFont"/>
    <w:link w:val="Heading6"/>
    <w:rsid w:val="00013E7D"/>
    <w:rPr>
      <w:rFonts w:asciiTheme="majorHAnsi" w:eastAsiaTheme="majorEastAsia" w:hAnsiTheme="majorHAnsi" w:cstheme="majorBidi"/>
      <w:b/>
      <w:bCs/>
      <w:sz w:val="24"/>
    </w:rPr>
  </w:style>
  <w:style w:type="character" w:customStyle="1" w:styleId="Heading7Char">
    <w:name w:val="Heading 7 Char"/>
    <w:basedOn w:val="DefaultParagraphFont"/>
    <w:link w:val="Heading7"/>
    <w:uiPriority w:val="9"/>
    <w:rsid w:val="00013E7D"/>
    <w:rPr>
      <w:rFonts w:ascii="Times New Roman" w:hAnsi="Times New Roman"/>
      <w:b/>
      <w:bCs/>
      <w:sz w:val="24"/>
    </w:rPr>
  </w:style>
  <w:style w:type="character" w:customStyle="1" w:styleId="Heading8Char">
    <w:name w:val="Heading 8 Char"/>
    <w:basedOn w:val="DefaultParagraphFont"/>
    <w:link w:val="Heading8"/>
    <w:uiPriority w:val="9"/>
    <w:semiHidden/>
    <w:rsid w:val="00013E7D"/>
    <w:rPr>
      <w:rFonts w:asciiTheme="majorHAnsi" w:eastAsiaTheme="majorEastAsia" w:hAnsiTheme="majorHAnsi" w:cstheme="majorBidi"/>
      <w:sz w:val="24"/>
    </w:rPr>
  </w:style>
  <w:style w:type="character" w:customStyle="1" w:styleId="Heading9Char">
    <w:name w:val="Heading 9 Char"/>
    <w:basedOn w:val="DefaultParagraphFont"/>
    <w:link w:val="Heading9"/>
    <w:uiPriority w:val="9"/>
    <w:semiHidden/>
    <w:rsid w:val="00013E7D"/>
    <w:rPr>
      <w:rFonts w:asciiTheme="majorHAnsi" w:eastAsiaTheme="majorEastAsia" w:hAnsiTheme="majorHAnsi" w:cstheme="majorBidi"/>
      <w:sz w:val="24"/>
      <w:szCs w:val="21"/>
    </w:rPr>
  </w:style>
  <w:style w:type="paragraph" w:styleId="Header">
    <w:name w:val="header"/>
    <w:basedOn w:val="Normal"/>
    <w:link w:val="HeaderChar"/>
    <w:uiPriority w:val="99"/>
    <w:unhideWhenUsed/>
    <w:qFormat/>
    <w:rsid w:val="00013E7D"/>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qFormat/>
    <w:rsid w:val="00013E7D"/>
    <w:rPr>
      <w:rFonts w:ascii="Times New Roman" w:hAnsi="Times New Roman"/>
      <w:sz w:val="18"/>
      <w:szCs w:val="18"/>
    </w:rPr>
  </w:style>
  <w:style w:type="paragraph" w:styleId="Footer">
    <w:name w:val="footer"/>
    <w:basedOn w:val="Normal"/>
    <w:link w:val="FooterChar"/>
    <w:uiPriority w:val="99"/>
    <w:unhideWhenUsed/>
    <w:rsid w:val="00013E7D"/>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013E7D"/>
    <w:rPr>
      <w:rFonts w:ascii="Times New Roman" w:hAnsi="Times New Roman"/>
      <w:sz w:val="18"/>
      <w:szCs w:val="18"/>
    </w:rPr>
  </w:style>
  <w:style w:type="paragraph" w:styleId="NoSpacing">
    <w:name w:val="No Spacing"/>
    <w:link w:val="NoSpacingChar"/>
    <w:uiPriority w:val="1"/>
    <w:qFormat/>
    <w:rsid w:val="00013E7D"/>
    <w:pPr>
      <w:widowControl w:val="0"/>
      <w:numPr>
        <w:ilvl w:val="4"/>
        <w:numId w:val="1"/>
      </w:numPr>
      <w:spacing w:line="360" w:lineRule="auto"/>
    </w:pPr>
    <w:rPr>
      <w:rFonts w:ascii="Times New Roman" w:eastAsia="Times New Roman" w:hAnsi="Times New Roman" w:cs="Times New Roman"/>
      <w:kern w:val="2"/>
      <w:sz w:val="24"/>
      <w:szCs w:val="24"/>
      <w:lang w:val="en-US"/>
    </w:rPr>
  </w:style>
  <w:style w:type="paragraph" w:styleId="ListParagraph">
    <w:name w:val="List Paragraph"/>
    <w:basedOn w:val="Normal"/>
    <w:uiPriority w:val="34"/>
    <w:qFormat/>
    <w:rsid w:val="00013E7D"/>
    <w:pPr>
      <w:ind w:left="720"/>
      <w:contextualSpacing/>
    </w:pPr>
  </w:style>
  <w:style w:type="paragraph" w:customStyle="1" w:styleId="EndNoteBibliographyTitle">
    <w:name w:val="EndNote Bibliography Title"/>
    <w:basedOn w:val="Normal"/>
    <w:link w:val="EndNoteBibliographyTitleChar"/>
    <w:qFormat/>
    <w:rsid w:val="00013E7D"/>
    <w:pPr>
      <w:jc w:val="center"/>
    </w:pPr>
    <w:rPr>
      <w:rFonts w:cs="Times New Roman"/>
      <w:noProof/>
      <w:sz w:val="44"/>
    </w:rPr>
  </w:style>
  <w:style w:type="character" w:customStyle="1" w:styleId="EndNoteBibliographyTitleChar">
    <w:name w:val="EndNote Bibliography Title Char"/>
    <w:basedOn w:val="DefaultParagraphFont"/>
    <w:link w:val="EndNoteBibliographyTitle"/>
    <w:rsid w:val="00013E7D"/>
    <w:rPr>
      <w:rFonts w:ascii="Times New Roman" w:hAnsi="Times New Roman" w:cs="Times New Roman"/>
      <w:noProof/>
      <w:sz w:val="44"/>
    </w:rPr>
  </w:style>
  <w:style w:type="paragraph" w:customStyle="1" w:styleId="EndNoteBibliography">
    <w:name w:val="EndNote Bibliography"/>
    <w:basedOn w:val="Normal"/>
    <w:link w:val="EndNoteBibliographyChar"/>
    <w:rsid w:val="00013E7D"/>
    <w:pPr>
      <w:spacing w:line="240" w:lineRule="auto"/>
    </w:pPr>
    <w:rPr>
      <w:rFonts w:cs="Times New Roman"/>
      <w:noProof/>
      <w:sz w:val="44"/>
    </w:rPr>
  </w:style>
  <w:style w:type="character" w:customStyle="1" w:styleId="EndNoteBibliographyChar">
    <w:name w:val="EndNote Bibliography Char"/>
    <w:basedOn w:val="DefaultParagraphFont"/>
    <w:link w:val="EndNoteBibliography"/>
    <w:rsid w:val="00013E7D"/>
    <w:rPr>
      <w:rFonts w:ascii="Times New Roman" w:hAnsi="Times New Roman" w:cs="Times New Roman"/>
      <w:noProof/>
      <w:sz w:val="44"/>
    </w:rPr>
  </w:style>
  <w:style w:type="paragraph" w:styleId="Caption">
    <w:name w:val="caption"/>
    <w:basedOn w:val="Normal"/>
    <w:next w:val="Normal"/>
    <w:uiPriority w:val="35"/>
    <w:unhideWhenUsed/>
    <w:qFormat/>
    <w:rsid w:val="007C274E"/>
    <w:pPr>
      <w:spacing w:before="120" w:after="240" w:line="240" w:lineRule="auto"/>
      <w:jc w:val="center"/>
    </w:pPr>
    <w:rPr>
      <w:b/>
      <w:i/>
      <w:iCs/>
      <w:color w:val="44546A" w:themeColor="text2"/>
      <w:sz w:val="22"/>
      <w:szCs w:val="18"/>
    </w:rPr>
  </w:style>
  <w:style w:type="table" w:customStyle="1" w:styleId="TableGrid1">
    <w:name w:val="Table Grid1"/>
    <w:basedOn w:val="TableNormal"/>
    <w:next w:val="TableGrid"/>
    <w:uiPriority w:val="39"/>
    <w:qFormat/>
    <w:rsid w:val="00013E7D"/>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qFormat/>
    <w:rsid w:val="00013E7D"/>
    <w:pPr>
      <w:spacing w:line="360" w:lineRule="auto"/>
    </w:pPr>
    <w:rPr>
      <w:kern w:val="2"/>
      <w:sz w:val="21"/>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qFormat/>
    <w:rsid w:val="00013E7D"/>
    <w:pPr>
      <w:spacing w:line="240" w:lineRule="auto"/>
    </w:pPr>
    <w:rPr>
      <w:sz w:val="18"/>
      <w:szCs w:val="18"/>
    </w:rPr>
  </w:style>
  <w:style w:type="character" w:customStyle="1" w:styleId="BalloonTextChar">
    <w:name w:val="Balloon Text Char"/>
    <w:basedOn w:val="DefaultParagraphFont"/>
    <w:link w:val="BalloonText"/>
    <w:uiPriority w:val="99"/>
    <w:qFormat/>
    <w:rsid w:val="00013E7D"/>
    <w:rPr>
      <w:rFonts w:ascii="Times New Roman" w:hAnsi="Times New Roman"/>
      <w:sz w:val="18"/>
      <w:szCs w:val="18"/>
    </w:rPr>
  </w:style>
  <w:style w:type="character" w:customStyle="1" w:styleId="fontstyle01">
    <w:name w:val="fontstyle01"/>
    <w:basedOn w:val="DefaultParagraphFont"/>
    <w:rsid w:val="00013E7D"/>
    <w:rPr>
      <w:rFonts w:ascii="TimesNewRoman" w:hAnsi="TimesNewRoman" w:hint="default"/>
      <w:b w:val="0"/>
      <w:bCs w:val="0"/>
      <w:i w:val="0"/>
      <w:iCs w:val="0"/>
      <w:color w:val="000000"/>
      <w:sz w:val="24"/>
      <w:szCs w:val="24"/>
    </w:rPr>
  </w:style>
  <w:style w:type="character" w:customStyle="1" w:styleId="keyword">
    <w:name w:val="keyword"/>
    <w:basedOn w:val="DefaultParagraphFont"/>
    <w:rsid w:val="00013E7D"/>
  </w:style>
  <w:style w:type="table" w:customStyle="1" w:styleId="11">
    <w:name w:val="无格式表格 11"/>
    <w:basedOn w:val="TableNormal"/>
    <w:uiPriority w:val="41"/>
    <w:qFormat/>
    <w:rsid w:val="00013E7D"/>
    <w:pPr>
      <w:spacing w:line="240" w:lineRule="auto"/>
    </w:pPr>
    <w:rPr>
      <w:kern w:val="2"/>
      <w:sz w:val="21"/>
      <w:szCs w:val="20"/>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TMLPreformatted">
    <w:name w:val="HTML Preformatted"/>
    <w:basedOn w:val="Normal"/>
    <w:link w:val="HTMLPreformattedChar"/>
    <w:uiPriority w:val="99"/>
    <w:unhideWhenUsed/>
    <w:rsid w:val="00013E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013E7D"/>
    <w:rPr>
      <w:rFonts w:ascii="Courier New" w:eastAsia="Times New Roman" w:hAnsi="Courier New" w:cs="Courier New"/>
      <w:sz w:val="20"/>
      <w:szCs w:val="20"/>
    </w:rPr>
  </w:style>
  <w:style w:type="character" w:customStyle="1" w:styleId="fontstyle21">
    <w:name w:val="fontstyle21"/>
    <w:basedOn w:val="DefaultParagraphFont"/>
    <w:qFormat/>
    <w:rsid w:val="00013E7D"/>
    <w:rPr>
      <w:rFonts w:ascii="AdvOT596495f2+fb" w:hAnsi="AdvOT596495f2+fb" w:hint="default"/>
      <w:b w:val="0"/>
      <w:bCs w:val="0"/>
      <w:i w:val="0"/>
      <w:iCs w:val="0"/>
      <w:color w:val="000000"/>
      <w:sz w:val="14"/>
      <w:szCs w:val="14"/>
    </w:rPr>
  </w:style>
  <w:style w:type="paragraph" w:styleId="CommentText">
    <w:name w:val="annotation text"/>
    <w:basedOn w:val="Normal"/>
    <w:link w:val="CommentTextChar"/>
    <w:uiPriority w:val="99"/>
    <w:unhideWhenUsed/>
    <w:qFormat/>
    <w:rsid w:val="00013E7D"/>
    <w:pPr>
      <w:spacing w:line="120" w:lineRule="auto"/>
    </w:pPr>
    <w:rPr>
      <w:rFonts w:eastAsia="Times New Roman" w:cs="Times New Roman"/>
      <w:kern w:val="2"/>
      <w:sz w:val="20"/>
      <w:szCs w:val="20"/>
      <w:lang w:val="en-US"/>
    </w:rPr>
  </w:style>
  <w:style w:type="character" w:customStyle="1" w:styleId="CommentTextChar">
    <w:name w:val="Comment Text Char"/>
    <w:basedOn w:val="DefaultParagraphFont"/>
    <w:link w:val="CommentText"/>
    <w:uiPriority w:val="99"/>
    <w:qFormat/>
    <w:rsid w:val="00013E7D"/>
    <w:rPr>
      <w:rFonts w:ascii="Times New Roman" w:eastAsia="Times New Roman" w:hAnsi="Times New Roman" w:cs="Times New Roman"/>
      <w:kern w:val="2"/>
      <w:sz w:val="20"/>
      <w:szCs w:val="20"/>
      <w:lang w:val="en-US"/>
    </w:rPr>
  </w:style>
  <w:style w:type="character" w:styleId="CommentReference">
    <w:name w:val="annotation reference"/>
    <w:basedOn w:val="DefaultParagraphFont"/>
    <w:uiPriority w:val="99"/>
    <w:unhideWhenUsed/>
    <w:qFormat/>
    <w:rsid w:val="00013E7D"/>
    <w:rPr>
      <w:sz w:val="16"/>
      <w:szCs w:val="16"/>
    </w:rPr>
  </w:style>
  <w:style w:type="table" w:customStyle="1" w:styleId="21">
    <w:name w:val="无格式表格 21"/>
    <w:basedOn w:val="TableNormal"/>
    <w:uiPriority w:val="42"/>
    <w:qFormat/>
    <w:rsid w:val="00013E7D"/>
    <w:pPr>
      <w:spacing w:line="120" w:lineRule="auto"/>
    </w:pPr>
    <w:rPr>
      <w:rFonts w:ascii="Times New Roman" w:hAnsi="Times New Roman"/>
      <w:kern w:val="2"/>
      <w:sz w:val="21"/>
      <w:szCs w:val="20"/>
      <w:lang w:val="en-US"/>
    </w:r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ListParagraph1">
    <w:name w:val="List Paragraph1"/>
    <w:basedOn w:val="Normal"/>
    <w:uiPriority w:val="34"/>
    <w:qFormat/>
    <w:rsid w:val="00013E7D"/>
    <w:pPr>
      <w:spacing w:line="240" w:lineRule="auto"/>
      <w:ind w:firstLineChars="200" w:firstLine="420"/>
    </w:pPr>
    <w:rPr>
      <w:rFonts w:eastAsia="Times New Roman" w:cs="Times New Roman"/>
      <w:kern w:val="2"/>
      <w:szCs w:val="24"/>
    </w:rPr>
  </w:style>
  <w:style w:type="paragraph" w:customStyle="1" w:styleId="Normal0">
    <w:name w:val="[Normal]"/>
    <w:rsid w:val="00013E7D"/>
    <w:pPr>
      <w:widowControl w:val="0"/>
      <w:autoSpaceDE w:val="0"/>
      <w:autoSpaceDN w:val="0"/>
      <w:adjustRightInd w:val="0"/>
      <w:spacing w:line="240" w:lineRule="auto"/>
    </w:pPr>
    <w:rPr>
      <w:rFonts w:ascii="Arial" w:hAnsi="Arial" w:cs="Arial"/>
      <w:sz w:val="24"/>
      <w:szCs w:val="24"/>
    </w:rPr>
  </w:style>
  <w:style w:type="character" w:styleId="Hyperlink">
    <w:name w:val="Hyperlink"/>
    <w:basedOn w:val="DefaultParagraphFont"/>
    <w:uiPriority w:val="99"/>
    <w:unhideWhenUsed/>
    <w:qFormat/>
    <w:rsid w:val="00013E7D"/>
    <w:rPr>
      <w:color w:val="0000FF"/>
      <w:u w:val="single"/>
    </w:rPr>
  </w:style>
  <w:style w:type="character" w:customStyle="1" w:styleId="s3uucc">
    <w:name w:val="s3uucc"/>
    <w:basedOn w:val="DefaultParagraphFont"/>
    <w:rsid w:val="00013E7D"/>
  </w:style>
  <w:style w:type="character" w:customStyle="1" w:styleId="UnresolvedMention1">
    <w:name w:val="Unresolved Mention1"/>
    <w:basedOn w:val="DefaultParagraphFont"/>
    <w:uiPriority w:val="99"/>
    <w:semiHidden/>
    <w:unhideWhenUsed/>
    <w:rsid w:val="00013E7D"/>
    <w:rPr>
      <w:color w:val="605E5C"/>
      <w:shd w:val="clear" w:color="auto" w:fill="E1DFDD"/>
    </w:rPr>
  </w:style>
  <w:style w:type="table" w:customStyle="1" w:styleId="ListTable2-Accent11">
    <w:name w:val="List Table 2 - Accent 11"/>
    <w:basedOn w:val="TableNormal"/>
    <w:uiPriority w:val="47"/>
    <w:qFormat/>
    <w:rsid w:val="00013E7D"/>
    <w:pPr>
      <w:spacing w:line="240" w:lineRule="auto"/>
    </w:pPr>
    <w:rPr>
      <w:sz w:val="20"/>
      <w:szCs w:val="20"/>
    </w:rPr>
    <w:tblPr>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1">
    <w:name w:val="Grid Table 5 Dark - Accent 11"/>
    <w:basedOn w:val="TableNormal"/>
    <w:uiPriority w:val="50"/>
    <w:qFormat/>
    <w:rsid w:val="00013E7D"/>
    <w:pPr>
      <w:spacing w:line="240" w:lineRule="auto"/>
    </w:pPr>
    <w:rPr>
      <w:sz w:val="20"/>
      <w:szCs w:val="20"/>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leGrid2">
    <w:name w:val="Table Grid2"/>
    <w:basedOn w:val="TableNormal"/>
    <w:next w:val="TableGrid"/>
    <w:uiPriority w:val="39"/>
    <w:qFormat/>
    <w:rsid w:val="00013E7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qFormat/>
    <w:rsid w:val="00013E7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qFormat/>
    <w:rsid w:val="00013E7D"/>
    <w:pPr>
      <w:spacing w:before="100" w:beforeAutospacing="1" w:after="100" w:afterAutospacing="1" w:line="240" w:lineRule="auto"/>
      <w:jc w:val="left"/>
    </w:pPr>
    <w:rPr>
      <w:rFonts w:eastAsia="Times New Roman" w:cs="Times New Roman"/>
      <w:szCs w:val="24"/>
    </w:rPr>
  </w:style>
  <w:style w:type="table" w:customStyle="1" w:styleId="TableGrid4">
    <w:name w:val="Table Grid4"/>
    <w:basedOn w:val="TableNormal"/>
    <w:next w:val="TableGrid"/>
    <w:uiPriority w:val="39"/>
    <w:rsid w:val="00013E7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unhideWhenUsed/>
    <w:rsid w:val="00013E7D"/>
    <w:pPr>
      <w:spacing w:after="160" w:line="240" w:lineRule="auto"/>
      <w:jc w:val="left"/>
    </w:pPr>
    <w:rPr>
      <w:b/>
      <w:bCs/>
    </w:rPr>
  </w:style>
  <w:style w:type="character" w:customStyle="1" w:styleId="CommentSubjectChar">
    <w:name w:val="Comment Subject Char"/>
    <w:basedOn w:val="CommentTextChar"/>
    <w:link w:val="CommentSubject"/>
    <w:uiPriority w:val="99"/>
    <w:qFormat/>
    <w:rsid w:val="00013E7D"/>
    <w:rPr>
      <w:rFonts w:ascii="Times New Roman" w:eastAsia="Times New Roman" w:hAnsi="Times New Roman" w:cs="Times New Roman"/>
      <w:b/>
      <w:bCs/>
      <w:kern w:val="2"/>
      <w:sz w:val="20"/>
      <w:szCs w:val="20"/>
      <w:lang w:val="en-US"/>
    </w:rPr>
  </w:style>
  <w:style w:type="character" w:customStyle="1" w:styleId="EndNoteBibliographyTitle0">
    <w:name w:val="EndNote Bibliography Title 字符"/>
    <w:basedOn w:val="Heading1Char"/>
    <w:qFormat/>
    <w:rsid w:val="00013E7D"/>
    <w:rPr>
      <w:rFonts w:ascii="Times New Roman" w:eastAsiaTheme="majorEastAsia" w:hAnsi="Times New Roman" w:cs="Times New Roman"/>
      <w:b w:val="0"/>
      <w:bCs w:val="0"/>
      <w:noProof/>
      <w:color w:val="2E74B5" w:themeColor="accent1" w:themeShade="BF"/>
      <w:kern w:val="44"/>
      <w:sz w:val="24"/>
      <w:szCs w:val="32"/>
    </w:rPr>
  </w:style>
  <w:style w:type="character" w:customStyle="1" w:styleId="EndNoteBibliography0">
    <w:name w:val="EndNote Bibliography 字符"/>
    <w:basedOn w:val="Heading1Char"/>
    <w:rsid w:val="00013E7D"/>
    <w:rPr>
      <w:rFonts w:ascii="Times New Roman" w:eastAsiaTheme="majorEastAsia" w:hAnsi="Times New Roman" w:cs="Times New Roman"/>
      <w:b w:val="0"/>
      <w:bCs w:val="0"/>
      <w:noProof/>
      <w:color w:val="2E74B5" w:themeColor="accent1" w:themeShade="BF"/>
      <w:kern w:val="44"/>
      <w:sz w:val="24"/>
      <w:szCs w:val="32"/>
    </w:rPr>
  </w:style>
  <w:style w:type="paragraph" w:styleId="FootnoteText">
    <w:name w:val="footnote text"/>
    <w:basedOn w:val="Normal"/>
    <w:link w:val="FootnoteTextChar"/>
    <w:uiPriority w:val="99"/>
    <w:unhideWhenUsed/>
    <w:rsid w:val="00013E7D"/>
    <w:pPr>
      <w:snapToGrid w:val="0"/>
      <w:spacing w:after="160"/>
      <w:jc w:val="left"/>
    </w:pPr>
    <w:rPr>
      <w:sz w:val="18"/>
      <w:szCs w:val="18"/>
    </w:rPr>
  </w:style>
  <w:style w:type="character" w:customStyle="1" w:styleId="FootnoteTextChar">
    <w:name w:val="Footnote Text Char"/>
    <w:basedOn w:val="DefaultParagraphFont"/>
    <w:link w:val="FootnoteText"/>
    <w:uiPriority w:val="99"/>
    <w:rsid w:val="00013E7D"/>
    <w:rPr>
      <w:rFonts w:ascii="Times New Roman" w:hAnsi="Times New Roman"/>
      <w:sz w:val="18"/>
      <w:szCs w:val="18"/>
    </w:rPr>
  </w:style>
  <w:style w:type="character" w:styleId="FootnoteReference">
    <w:name w:val="footnote reference"/>
    <w:basedOn w:val="DefaultParagraphFont"/>
    <w:uiPriority w:val="99"/>
    <w:unhideWhenUsed/>
    <w:rsid w:val="00013E7D"/>
    <w:rPr>
      <w:vertAlign w:val="superscript"/>
    </w:rPr>
  </w:style>
  <w:style w:type="paragraph" w:styleId="TOCHeading">
    <w:name w:val="TOC Heading"/>
    <w:basedOn w:val="Heading1"/>
    <w:next w:val="Normal"/>
    <w:uiPriority w:val="39"/>
    <w:unhideWhenUsed/>
    <w:qFormat/>
    <w:rsid w:val="00013E7D"/>
    <w:pPr>
      <w:numPr>
        <w:numId w:val="0"/>
      </w:numPr>
      <w:spacing w:before="240" w:line="259" w:lineRule="auto"/>
      <w:jc w:val="left"/>
      <w:outlineLvl w:val="9"/>
    </w:pPr>
    <w:rPr>
      <w:rFonts w:asciiTheme="majorHAnsi" w:hAnsiTheme="majorHAnsi" w:cstheme="majorBidi"/>
      <w:b w:val="0"/>
      <w:bCs w:val="0"/>
      <w:color w:val="2E74B5" w:themeColor="accent1" w:themeShade="BF"/>
      <w:kern w:val="0"/>
      <w:sz w:val="32"/>
      <w:lang w:val="en-US" w:eastAsia="en-US"/>
    </w:rPr>
  </w:style>
  <w:style w:type="paragraph" w:styleId="TOC1">
    <w:name w:val="toc 1"/>
    <w:basedOn w:val="Normal"/>
    <w:next w:val="Normal"/>
    <w:autoRedefine/>
    <w:uiPriority w:val="39"/>
    <w:unhideWhenUsed/>
    <w:rsid w:val="00AE12D1"/>
    <w:pPr>
      <w:tabs>
        <w:tab w:val="right" w:leader="dot" w:pos="9016"/>
      </w:tabs>
      <w:spacing w:after="100"/>
      <w:jc w:val="left"/>
    </w:pPr>
  </w:style>
  <w:style w:type="paragraph" w:styleId="TOC2">
    <w:name w:val="toc 2"/>
    <w:basedOn w:val="Normal"/>
    <w:next w:val="Normal"/>
    <w:autoRedefine/>
    <w:uiPriority w:val="39"/>
    <w:unhideWhenUsed/>
    <w:qFormat/>
    <w:rsid w:val="00DD570E"/>
    <w:pPr>
      <w:tabs>
        <w:tab w:val="left" w:pos="840"/>
        <w:tab w:val="right" w:leader="dot" w:pos="9016"/>
      </w:tabs>
      <w:spacing w:after="100"/>
      <w:ind w:left="240"/>
      <w:jc w:val="left"/>
    </w:pPr>
    <w:rPr>
      <w:rFonts w:eastAsiaTheme="majorEastAsia" w:cs="Times New Roman"/>
      <w:noProof/>
      <w:kern w:val="44"/>
    </w:rPr>
  </w:style>
  <w:style w:type="paragraph" w:styleId="TableofFigures">
    <w:name w:val="table of figures"/>
    <w:basedOn w:val="Normal"/>
    <w:next w:val="Normal"/>
    <w:uiPriority w:val="99"/>
    <w:unhideWhenUsed/>
    <w:qFormat/>
    <w:rsid w:val="00013E7D"/>
    <w:pPr>
      <w:jc w:val="left"/>
    </w:pPr>
  </w:style>
  <w:style w:type="paragraph" w:styleId="TOC3">
    <w:name w:val="toc 3"/>
    <w:basedOn w:val="Normal"/>
    <w:next w:val="Normal"/>
    <w:uiPriority w:val="39"/>
    <w:unhideWhenUsed/>
    <w:qFormat/>
    <w:rsid w:val="00013E7D"/>
    <w:pPr>
      <w:spacing w:after="200" w:line="276" w:lineRule="auto"/>
      <w:ind w:leftChars="400" w:left="840"/>
      <w:jc w:val="left"/>
    </w:pPr>
    <w:rPr>
      <w:rFonts w:asciiTheme="majorBidi" w:hAnsiTheme="majorBidi"/>
    </w:rPr>
  </w:style>
  <w:style w:type="character" w:styleId="Strong">
    <w:name w:val="Strong"/>
    <w:basedOn w:val="DefaultParagraphFont"/>
    <w:uiPriority w:val="22"/>
    <w:qFormat/>
    <w:rsid w:val="00013E7D"/>
    <w:rPr>
      <w:b/>
      <w:bCs/>
    </w:rPr>
  </w:style>
  <w:style w:type="table" w:customStyle="1" w:styleId="PlainTable11">
    <w:name w:val="Plain Table 11"/>
    <w:basedOn w:val="TableNormal"/>
    <w:uiPriority w:val="41"/>
    <w:qFormat/>
    <w:rsid w:val="00013E7D"/>
    <w:pPr>
      <w:spacing w:line="240" w:lineRule="auto"/>
    </w:pPr>
    <w:rPr>
      <w:kern w:val="2"/>
      <w:sz w:val="21"/>
      <w:szCs w:val="20"/>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1Light1">
    <w:name w:val="Grid Table 1 Light1"/>
    <w:basedOn w:val="TableNormal"/>
    <w:uiPriority w:val="46"/>
    <w:rsid w:val="00013E7D"/>
    <w:pPr>
      <w:spacing w:line="240" w:lineRule="auto"/>
    </w:pPr>
    <w:rPr>
      <w:kern w:val="2"/>
      <w:sz w:val="21"/>
      <w:szCs w:val="20"/>
      <w:lang w:val="en-US"/>
    </w:rPr>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apple-converted-space">
    <w:name w:val="apple-converted-space"/>
    <w:basedOn w:val="DefaultParagraphFont"/>
    <w:qFormat/>
    <w:rsid w:val="00013E7D"/>
  </w:style>
  <w:style w:type="paragraph" w:customStyle="1" w:styleId="TOCHeading1">
    <w:name w:val="TOC Heading1"/>
    <w:basedOn w:val="Heading1"/>
    <w:next w:val="Normal"/>
    <w:uiPriority w:val="39"/>
    <w:unhideWhenUsed/>
    <w:qFormat/>
    <w:rsid w:val="00013E7D"/>
    <w:pPr>
      <w:numPr>
        <w:numId w:val="0"/>
      </w:numPr>
      <w:spacing w:before="240" w:line="259" w:lineRule="auto"/>
      <w:jc w:val="left"/>
      <w:outlineLvl w:val="9"/>
    </w:pPr>
    <w:rPr>
      <w:rFonts w:asciiTheme="majorBidi" w:hAnsiTheme="majorBidi" w:cstheme="majorBidi"/>
      <w:bCs w:val="0"/>
      <w:color w:val="5B9BD5" w:themeColor="accent1"/>
      <w:kern w:val="0"/>
      <w:sz w:val="36"/>
      <w:lang w:val="en-US"/>
    </w:rPr>
  </w:style>
  <w:style w:type="paragraph" w:customStyle="1" w:styleId="NoSpacing1">
    <w:name w:val="No Spacing1"/>
    <w:uiPriority w:val="1"/>
    <w:qFormat/>
    <w:rsid w:val="00013E7D"/>
    <w:pPr>
      <w:spacing w:line="240" w:lineRule="auto"/>
    </w:pPr>
    <w:rPr>
      <w:rFonts w:asciiTheme="majorBidi" w:hAnsiTheme="majorBidi"/>
      <w:sz w:val="24"/>
    </w:rPr>
  </w:style>
  <w:style w:type="character" w:customStyle="1" w:styleId="high-light-bg">
    <w:name w:val="high-light-bg"/>
    <w:basedOn w:val="DefaultParagraphFont"/>
    <w:qFormat/>
    <w:rsid w:val="00013E7D"/>
  </w:style>
  <w:style w:type="character" w:customStyle="1" w:styleId="il">
    <w:name w:val="il"/>
    <w:basedOn w:val="DefaultParagraphFont"/>
    <w:qFormat/>
    <w:rsid w:val="00013E7D"/>
  </w:style>
  <w:style w:type="character" w:customStyle="1" w:styleId="fontstyle31">
    <w:name w:val="fontstyle31"/>
    <w:basedOn w:val="DefaultParagraphFont"/>
    <w:qFormat/>
    <w:rsid w:val="00013E7D"/>
    <w:rPr>
      <w:rFonts w:ascii="NimbusSanL-ReguItal" w:hAnsi="NimbusSanL-ReguItal" w:hint="default"/>
      <w:color w:val="333333"/>
      <w:sz w:val="20"/>
      <w:szCs w:val="20"/>
    </w:rPr>
  </w:style>
  <w:style w:type="paragraph" w:customStyle="1" w:styleId="MTDisplayEquation">
    <w:name w:val="MTDisplayEquation"/>
    <w:basedOn w:val="Normal"/>
    <w:next w:val="Normal"/>
    <w:link w:val="MTDisplayEquation0"/>
    <w:rsid w:val="00013E7D"/>
    <w:pPr>
      <w:widowControl w:val="0"/>
      <w:tabs>
        <w:tab w:val="center" w:pos="4160"/>
        <w:tab w:val="right" w:pos="8300"/>
      </w:tabs>
      <w:spacing w:line="240" w:lineRule="auto"/>
    </w:pPr>
    <w:rPr>
      <w:rFonts w:eastAsia="Times New Roman" w:cs="Times New Roman"/>
      <w:kern w:val="2"/>
      <w:szCs w:val="24"/>
      <w:lang w:val="en-US"/>
    </w:rPr>
  </w:style>
  <w:style w:type="character" w:customStyle="1" w:styleId="MTDisplayEquation0">
    <w:name w:val="MTDisplayEquation 字符"/>
    <w:basedOn w:val="DefaultParagraphFont"/>
    <w:link w:val="MTDisplayEquation"/>
    <w:rsid w:val="00013E7D"/>
    <w:rPr>
      <w:rFonts w:ascii="Times New Roman" w:eastAsia="Times New Roman" w:hAnsi="Times New Roman" w:cs="Times New Roman"/>
      <w:kern w:val="2"/>
      <w:sz w:val="24"/>
      <w:szCs w:val="24"/>
      <w:lang w:val="en-US"/>
    </w:rPr>
  </w:style>
  <w:style w:type="character" w:customStyle="1" w:styleId="MTEquationSection">
    <w:name w:val="MTEquationSection"/>
    <w:basedOn w:val="DefaultParagraphFont"/>
    <w:rsid w:val="00013E7D"/>
    <w:rPr>
      <w:rFonts w:ascii="Times New Roman" w:hAnsi="Times New Roman"/>
      <w:vanish w:val="0"/>
      <w:color w:val="FF0000"/>
    </w:rPr>
  </w:style>
  <w:style w:type="character" w:customStyle="1" w:styleId="MTConvertedEquation">
    <w:name w:val="MTConvertedEquation"/>
    <w:basedOn w:val="DefaultParagraphFont"/>
    <w:rsid w:val="00013E7D"/>
  </w:style>
  <w:style w:type="character" w:customStyle="1" w:styleId="fontstyle41">
    <w:name w:val="fontstyle41"/>
    <w:basedOn w:val="DefaultParagraphFont"/>
    <w:rsid w:val="00013E7D"/>
    <w:rPr>
      <w:rFonts w:ascii="MTMI" w:hAnsi="MTMI" w:hint="default"/>
      <w:b w:val="0"/>
      <w:bCs w:val="0"/>
      <w:i/>
      <w:iCs/>
      <w:color w:val="131413"/>
      <w:sz w:val="20"/>
      <w:szCs w:val="20"/>
    </w:rPr>
  </w:style>
  <w:style w:type="character" w:customStyle="1" w:styleId="fontstyle51">
    <w:name w:val="fontstyle51"/>
    <w:basedOn w:val="DefaultParagraphFont"/>
    <w:rsid w:val="00013E7D"/>
    <w:rPr>
      <w:rFonts w:ascii="MTMI" w:hAnsi="MTMI" w:hint="default"/>
      <w:b w:val="0"/>
      <w:bCs w:val="0"/>
      <w:i/>
      <w:iCs/>
      <w:color w:val="000000"/>
      <w:sz w:val="20"/>
      <w:szCs w:val="20"/>
    </w:rPr>
  </w:style>
  <w:style w:type="character" w:customStyle="1" w:styleId="fontstyle11">
    <w:name w:val="fontstyle11"/>
    <w:basedOn w:val="DefaultParagraphFont"/>
    <w:rsid w:val="00013E7D"/>
    <w:rPr>
      <w:rFonts w:ascii="MTSYN" w:hAnsi="MTSYN" w:hint="default"/>
      <w:b w:val="0"/>
      <w:bCs w:val="0"/>
      <w:i w:val="0"/>
      <w:iCs w:val="0"/>
      <w:color w:val="131413"/>
      <w:sz w:val="20"/>
      <w:szCs w:val="20"/>
    </w:rPr>
  </w:style>
  <w:style w:type="character" w:customStyle="1" w:styleId="fontstyle61">
    <w:name w:val="fontstyle61"/>
    <w:basedOn w:val="DefaultParagraphFont"/>
    <w:rsid w:val="00013E7D"/>
    <w:rPr>
      <w:rFonts w:ascii="Springnew-Regular" w:hAnsi="Springnew-Regular" w:hint="default"/>
      <w:b w:val="0"/>
      <w:bCs w:val="0"/>
      <w:i w:val="0"/>
      <w:iCs w:val="0"/>
      <w:color w:val="131413"/>
      <w:sz w:val="30"/>
      <w:szCs w:val="30"/>
    </w:rPr>
  </w:style>
  <w:style w:type="character" w:customStyle="1" w:styleId="css-133coio">
    <w:name w:val="css-133coio"/>
    <w:basedOn w:val="DefaultParagraphFont"/>
    <w:rsid w:val="00013E7D"/>
  </w:style>
  <w:style w:type="character" w:customStyle="1" w:styleId="gmaildefault">
    <w:name w:val="gmail_default"/>
    <w:basedOn w:val="DefaultParagraphFont"/>
    <w:rsid w:val="00013E7D"/>
  </w:style>
  <w:style w:type="character" w:customStyle="1" w:styleId="authors">
    <w:name w:val="authors"/>
    <w:basedOn w:val="DefaultParagraphFont"/>
    <w:rsid w:val="00013E7D"/>
  </w:style>
  <w:style w:type="character" w:customStyle="1" w:styleId="date1">
    <w:name w:val="date1"/>
    <w:basedOn w:val="DefaultParagraphFont"/>
    <w:rsid w:val="00013E7D"/>
  </w:style>
  <w:style w:type="character" w:customStyle="1" w:styleId="arttitle">
    <w:name w:val="art_title"/>
    <w:basedOn w:val="DefaultParagraphFont"/>
    <w:rsid w:val="00013E7D"/>
  </w:style>
  <w:style w:type="character" w:customStyle="1" w:styleId="serialtitle">
    <w:name w:val="serial_title"/>
    <w:basedOn w:val="DefaultParagraphFont"/>
    <w:rsid w:val="00013E7D"/>
  </w:style>
  <w:style w:type="character" w:customStyle="1" w:styleId="volumeissue">
    <w:name w:val="volume_issue"/>
    <w:basedOn w:val="DefaultParagraphFont"/>
    <w:rsid w:val="00013E7D"/>
  </w:style>
  <w:style w:type="character" w:customStyle="1" w:styleId="pagerange">
    <w:name w:val="page_range"/>
    <w:basedOn w:val="DefaultParagraphFont"/>
    <w:rsid w:val="00013E7D"/>
  </w:style>
  <w:style w:type="character" w:customStyle="1" w:styleId="text">
    <w:name w:val="text"/>
    <w:basedOn w:val="DefaultParagraphFont"/>
    <w:rsid w:val="00013E7D"/>
  </w:style>
  <w:style w:type="character" w:customStyle="1" w:styleId="author-ref">
    <w:name w:val="author-ref"/>
    <w:basedOn w:val="DefaultParagraphFont"/>
    <w:rsid w:val="00013E7D"/>
  </w:style>
  <w:style w:type="character" w:customStyle="1" w:styleId="MTDisplayEquationChar">
    <w:name w:val="MTDisplayEquation Char"/>
    <w:basedOn w:val="DefaultParagraphFont"/>
    <w:rsid w:val="00013E7D"/>
    <w:rPr>
      <w:rFonts w:ascii="Times New Roman" w:hAnsi="Times New Roman" w:cs="Times New Roman"/>
    </w:rPr>
  </w:style>
  <w:style w:type="character" w:customStyle="1" w:styleId="1">
    <w:name w:val="未处理的提及1"/>
    <w:basedOn w:val="DefaultParagraphFont"/>
    <w:uiPriority w:val="99"/>
    <w:semiHidden/>
    <w:unhideWhenUsed/>
    <w:rsid w:val="00013E7D"/>
    <w:rPr>
      <w:color w:val="605E5C"/>
      <w:shd w:val="clear" w:color="auto" w:fill="E1DFDD"/>
    </w:rPr>
  </w:style>
  <w:style w:type="character" w:customStyle="1" w:styleId="UnresolvedMention11">
    <w:name w:val="Unresolved Mention11"/>
    <w:basedOn w:val="DefaultParagraphFont"/>
    <w:uiPriority w:val="99"/>
    <w:semiHidden/>
    <w:unhideWhenUsed/>
    <w:rsid w:val="00013E7D"/>
    <w:rPr>
      <w:color w:val="605E5C"/>
      <w:shd w:val="clear" w:color="auto" w:fill="E1DFDD"/>
    </w:rPr>
  </w:style>
  <w:style w:type="character" w:customStyle="1" w:styleId="2">
    <w:name w:val="未处理的提及2"/>
    <w:basedOn w:val="DefaultParagraphFont"/>
    <w:uiPriority w:val="99"/>
    <w:semiHidden/>
    <w:unhideWhenUsed/>
    <w:rsid w:val="00013E7D"/>
    <w:rPr>
      <w:color w:val="605E5C"/>
      <w:shd w:val="clear" w:color="auto" w:fill="E1DFDD"/>
    </w:rPr>
  </w:style>
  <w:style w:type="character" w:styleId="FollowedHyperlink">
    <w:name w:val="FollowedHyperlink"/>
    <w:basedOn w:val="DefaultParagraphFont"/>
    <w:uiPriority w:val="99"/>
    <w:semiHidden/>
    <w:unhideWhenUsed/>
    <w:rsid w:val="00013E7D"/>
    <w:rPr>
      <w:color w:val="954F72" w:themeColor="followedHyperlink"/>
      <w:u w:val="single"/>
    </w:rPr>
  </w:style>
  <w:style w:type="character" w:customStyle="1" w:styleId="3">
    <w:name w:val="未处理的提及3"/>
    <w:basedOn w:val="DefaultParagraphFont"/>
    <w:uiPriority w:val="99"/>
    <w:semiHidden/>
    <w:unhideWhenUsed/>
    <w:rsid w:val="00013E7D"/>
    <w:rPr>
      <w:color w:val="605E5C"/>
      <w:shd w:val="clear" w:color="auto" w:fill="E1DFDD"/>
    </w:rPr>
  </w:style>
  <w:style w:type="character" w:styleId="PlaceholderText">
    <w:name w:val="Placeholder Text"/>
    <w:basedOn w:val="DefaultParagraphFont"/>
    <w:uiPriority w:val="99"/>
    <w:semiHidden/>
    <w:rsid w:val="00013E7D"/>
    <w:rPr>
      <w:color w:val="808080"/>
    </w:rPr>
  </w:style>
  <w:style w:type="paragraph" w:styleId="Title">
    <w:name w:val="Title"/>
    <w:basedOn w:val="Normal"/>
    <w:next w:val="Normal"/>
    <w:link w:val="TitleChar"/>
    <w:rsid w:val="00013E7D"/>
    <w:pPr>
      <w:keepNext/>
      <w:keepLines/>
      <w:spacing w:before="480" w:after="120"/>
      <w:jc w:val="left"/>
    </w:pPr>
    <w:rPr>
      <w:rFonts w:cs="Times New Roman"/>
      <w:b/>
      <w:sz w:val="72"/>
      <w:szCs w:val="72"/>
    </w:rPr>
  </w:style>
  <w:style w:type="character" w:customStyle="1" w:styleId="TitleChar">
    <w:name w:val="Title Char"/>
    <w:basedOn w:val="DefaultParagraphFont"/>
    <w:link w:val="Title"/>
    <w:rsid w:val="00013E7D"/>
    <w:rPr>
      <w:rFonts w:ascii="Times New Roman" w:hAnsi="Times New Roman" w:cs="Times New Roman"/>
      <w:b/>
      <w:sz w:val="72"/>
      <w:szCs w:val="72"/>
    </w:rPr>
  </w:style>
  <w:style w:type="paragraph" w:styleId="Subtitle">
    <w:name w:val="Subtitle"/>
    <w:basedOn w:val="Normal"/>
    <w:next w:val="Normal"/>
    <w:link w:val="SubtitleChar"/>
    <w:rsid w:val="00013E7D"/>
    <w:pPr>
      <w:keepNext/>
      <w:keepLines/>
      <w:spacing w:before="360" w:after="80"/>
      <w:jc w:val="left"/>
    </w:pPr>
    <w:rPr>
      <w:rFonts w:ascii="Georgia" w:eastAsia="Georgia" w:hAnsi="Georgia" w:cs="Georgia"/>
      <w:i/>
      <w:color w:val="666666"/>
      <w:sz w:val="48"/>
      <w:szCs w:val="48"/>
    </w:rPr>
  </w:style>
  <w:style w:type="character" w:customStyle="1" w:styleId="SubtitleChar">
    <w:name w:val="Subtitle Char"/>
    <w:basedOn w:val="DefaultParagraphFont"/>
    <w:link w:val="Subtitle"/>
    <w:rsid w:val="00013E7D"/>
    <w:rPr>
      <w:rFonts w:ascii="Georgia" w:eastAsia="Georgia" w:hAnsi="Georgia" w:cs="Georgia"/>
      <w:i/>
      <w:color w:val="666666"/>
      <w:sz w:val="48"/>
      <w:szCs w:val="48"/>
    </w:rPr>
  </w:style>
  <w:style w:type="table" w:customStyle="1" w:styleId="TableGrid21">
    <w:name w:val="Table Grid21"/>
    <w:basedOn w:val="TableNormal"/>
    <w:next w:val="TableGrid"/>
    <w:uiPriority w:val="39"/>
    <w:rsid w:val="00013E7D"/>
    <w:pPr>
      <w:spacing w:line="240" w:lineRule="auto"/>
    </w:pPr>
    <w:rPr>
      <w:rFonts w:ascii="Calibri" w:eastAsia="等线"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网格型1"/>
    <w:basedOn w:val="TableNormal"/>
    <w:next w:val="TableGrid"/>
    <w:uiPriority w:val="39"/>
    <w:qFormat/>
    <w:rsid w:val="00013E7D"/>
    <w:pPr>
      <w:spacing w:line="240" w:lineRule="auto"/>
    </w:pPr>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13E7D"/>
    <w:pPr>
      <w:spacing w:line="240" w:lineRule="auto"/>
    </w:pPr>
    <w:rPr>
      <w:rFonts w:ascii="Times New Roman" w:hAnsi="Times New Roman" w:cs="Times New Roman"/>
      <w:sz w:val="24"/>
      <w:szCs w:val="24"/>
    </w:rPr>
  </w:style>
  <w:style w:type="character" w:customStyle="1" w:styleId="fontstyle71">
    <w:name w:val="fontstyle71"/>
    <w:basedOn w:val="DefaultParagraphFont"/>
    <w:rsid w:val="00013E7D"/>
    <w:rPr>
      <w:rFonts w:ascii="AdvPSMSAM10" w:hAnsi="AdvPSMSAM10" w:hint="default"/>
      <w:b w:val="0"/>
      <w:bCs w:val="0"/>
      <w:i w:val="0"/>
      <w:iCs w:val="0"/>
      <w:color w:val="000000"/>
      <w:sz w:val="20"/>
      <w:szCs w:val="20"/>
    </w:rPr>
  </w:style>
  <w:style w:type="numbering" w:customStyle="1" w:styleId="NoList1">
    <w:name w:val="No List1"/>
    <w:next w:val="NoList"/>
    <w:uiPriority w:val="99"/>
    <w:semiHidden/>
    <w:unhideWhenUsed/>
    <w:rsid w:val="00013E7D"/>
  </w:style>
  <w:style w:type="table" w:customStyle="1" w:styleId="TableGrid5">
    <w:name w:val="Table Grid5"/>
    <w:basedOn w:val="TableNormal"/>
    <w:next w:val="TableGrid"/>
    <w:uiPriority w:val="39"/>
    <w:qFormat/>
    <w:rsid w:val="00013E7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qFormat/>
    <w:rsid w:val="00013E7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qFormat/>
    <w:rsid w:val="00013E7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qFormat/>
    <w:rsid w:val="00013E7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013E7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无格式表格 211"/>
    <w:basedOn w:val="TableNormal"/>
    <w:uiPriority w:val="42"/>
    <w:qFormat/>
    <w:rsid w:val="00013E7D"/>
    <w:pPr>
      <w:spacing w:line="120" w:lineRule="auto"/>
    </w:pPr>
    <w:rPr>
      <w:rFonts w:ascii="Times New Roman" w:hAnsi="Times New Roman"/>
      <w:kern w:val="2"/>
      <w:sz w:val="21"/>
      <w:szCs w:val="20"/>
      <w:lang w:val="en-US"/>
    </w:r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111">
    <w:name w:val="Plain Table 111"/>
    <w:basedOn w:val="TableNormal"/>
    <w:uiPriority w:val="41"/>
    <w:qFormat/>
    <w:rsid w:val="00013E7D"/>
    <w:pPr>
      <w:spacing w:line="240" w:lineRule="auto"/>
    </w:pPr>
    <w:rPr>
      <w:kern w:val="2"/>
      <w:sz w:val="21"/>
      <w:szCs w:val="20"/>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1Light11">
    <w:name w:val="Grid Table 1 Light11"/>
    <w:basedOn w:val="TableNormal"/>
    <w:uiPriority w:val="46"/>
    <w:rsid w:val="00013E7D"/>
    <w:pPr>
      <w:spacing w:line="240" w:lineRule="auto"/>
    </w:pPr>
    <w:rPr>
      <w:kern w:val="2"/>
      <w:sz w:val="21"/>
      <w:szCs w:val="20"/>
      <w:lang w:val="en-US"/>
    </w:rPr>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11">
    <w:name w:val="无格式表格 111"/>
    <w:basedOn w:val="TableNormal"/>
    <w:uiPriority w:val="41"/>
    <w:qFormat/>
    <w:rsid w:val="00013E7D"/>
    <w:pPr>
      <w:spacing w:line="240" w:lineRule="auto"/>
    </w:pPr>
    <w:rPr>
      <w:kern w:val="2"/>
      <w:sz w:val="21"/>
      <w:szCs w:val="20"/>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211">
    <w:name w:val="Table Grid211"/>
    <w:basedOn w:val="TableNormal"/>
    <w:next w:val="TableGrid"/>
    <w:uiPriority w:val="39"/>
    <w:rsid w:val="00013E7D"/>
    <w:pPr>
      <w:spacing w:line="240" w:lineRule="auto"/>
    </w:pPr>
    <w:rPr>
      <w:rFonts w:ascii="Calibri" w:eastAsia="等线"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网格型11"/>
    <w:basedOn w:val="TableNormal"/>
    <w:next w:val="TableGrid"/>
    <w:uiPriority w:val="39"/>
    <w:qFormat/>
    <w:rsid w:val="00013E7D"/>
    <w:pPr>
      <w:spacing w:line="240" w:lineRule="auto"/>
    </w:pPr>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
    <w:name w:val="未处理的提及4"/>
    <w:basedOn w:val="DefaultParagraphFont"/>
    <w:uiPriority w:val="99"/>
    <w:semiHidden/>
    <w:unhideWhenUsed/>
    <w:rsid w:val="00013E7D"/>
    <w:rPr>
      <w:color w:val="605E5C"/>
      <w:shd w:val="clear" w:color="auto" w:fill="E1DFDD"/>
    </w:rPr>
  </w:style>
  <w:style w:type="character" w:customStyle="1" w:styleId="5">
    <w:name w:val="未处理的提及5"/>
    <w:basedOn w:val="DefaultParagraphFont"/>
    <w:uiPriority w:val="99"/>
    <w:semiHidden/>
    <w:unhideWhenUsed/>
    <w:rsid w:val="00013E7D"/>
    <w:rPr>
      <w:color w:val="605E5C"/>
      <w:shd w:val="clear" w:color="auto" w:fill="E1DFDD"/>
    </w:rPr>
  </w:style>
  <w:style w:type="character" w:customStyle="1" w:styleId="6">
    <w:name w:val="未处理的提及6"/>
    <w:basedOn w:val="DefaultParagraphFont"/>
    <w:uiPriority w:val="99"/>
    <w:semiHidden/>
    <w:unhideWhenUsed/>
    <w:rsid w:val="00013E7D"/>
    <w:rPr>
      <w:color w:val="605E5C"/>
      <w:shd w:val="clear" w:color="auto" w:fill="E1DFDD"/>
    </w:rPr>
  </w:style>
  <w:style w:type="character" w:styleId="LineNumber">
    <w:name w:val="line number"/>
    <w:basedOn w:val="DefaultParagraphFont"/>
    <w:uiPriority w:val="99"/>
    <w:semiHidden/>
    <w:unhideWhenUsed/>
    <w:rsid w:val="00013E7D"/>
  </w:style>
  <w:style w:type="character" w:customStyle="1" w:styleId="7">
    <w:name w:val="未处理的提及7"/>
    <w:basedOn w:val="DefaultParagraphFont"/>
    <w:uiPriority w:val="99"/>
    <w:semiHidden/>
    <w:unhideWhenUsed/>
    <w:rsid w:val="00013E7D"/>
    <w:rPr>
      <w:color w:val="605E5C"/>
      <w:shd w:val="clear" w:color="auto" w:fill="E1DFDD"/>
    </w:rPr>
  </w:style>
  <w:style w:type="character" w:styleId="Emphasis">
    <w:name w:val="Emphasis"/>
    <w:basedOn w:val="DefaultParagraphFont"/>
    <w:uiPriority w:val="20"/>
    <w:qFormat/>
    <w:rsid w:val="00013E7D"/>
    <w:rPr>
      <w:i/>
      <w:iCs/>
    </w:rPr>
  </w:style>
  <w:style w:type="paragraph" w:customStyle="1" w:styleId="Default">
    <w:name w:val="Default"/>
    <w:rsid w:val="00013E7D"/>
    <w:pPr>
      <w:autoSpaceDE w:val="0"/>
      <w:autoSpaceDN w:val="0"/>
      <w:adjustRightInd w:val="0"/>
      <w:spacing w:line="240" w:lineRule="auto"/>
    </w:pPr>
    <w:rPr>
      <w:rFonts w:ascii="Calibri" w:eastAsia="Calibri" w:hAnsi="Calibri" w:cs="Calibri"/>
      <w:color w:val="000000"/>
      <w:sz w:val="24"/>
      <w:szCs w:val="24"/>
      <w:lang w:eastAsia="en-GB"/>
    </w:rPr>
  </w:style>
  <w:style w:type="paragraph" w:customStyle="1" w:styleId="site-description">
    <w:name w:val="site-description"/>
    <w:basedOn w:val="Normal"/>
    <w:rsid w:val="00013E7D"/>
    <w:pPr>
      <w:spacing w:before="100" w:beforeAutospacing="1" w:after="100" w:afterAutospacing="1" w:line="240" w:lineRule="auto"/>
      <w:jc w:val="left"/>
    </w:pPr>
    <w:rPr>
      <w:rFonts w:eastAsia="Times New Roman" w:cs="Times New Roman"/>
      <w:szCs w:val="24"/>
      <w:lang w:eastAsia="en-US"/>
    </w:rPr>
  </w:style>
  <w:style w:type="table" w:styleId="MediumShading1-Accent1">
    <w:name w:val="Medium Shading 1 Accent 1"/>
    <w:basedOn w:val="TableNormal"/>
    <w:uiPriority w:val="63"/>
    <w:rsid w:val="00013E7D"/>
    <w:pPr>
      <w:spacing w:line="240" w:lineRule="auto"/>
    </w:pPr>
    <w:rPr>
      <w:sz w:val="24"/>
      <w:szCs w:val="24"/>
      <w:lang w:val="en-US" w:eastAsia="en-US"/>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character" w:styleId="PageNumber">
    <w:name w:val="page number"/>
    <w:basedOn w:val="DefaultParagraphFont"/>
    <w:uiPriority w:val="99"/>
    <w:semiHidden/>
    <w:unhideWhenUsed/>
    <w:rsid w:val="00013E7D"/>
  </w:style>
  <w:style w:type="paragraph" w:styleId="Bibliography">
    <w:name w:val="Bibliography"/>
    <w:basedOn w:val="Normal"/>
    <w:next w:val="Normal"/>
    <w:uiPriority w:val="37"/>
    <w:semiHidden/>
    <w:unhideWhenUsed/>
    <w:rsid w:val="00013E7D"/>
    <w:pPr>
      <w:pBdr>
        <w:top w:val="nil"/>
        <w:left w:val="nil"/>
        <w:bottom w:val="nil"/>
        <w:right w:val="nil"/>
        <w:between w:val="nil"/>
      </w:pBdr>
      <w:spacing w:line="240" w:lineRule="auto"/>
      <w:jc w:val="left"/>
    </w:pPr>
    <w:rPr>
      <w:rFonts w:ascii="Arial" w:eastAsia="Arial" w:hAnsi="Arial" w:cs="Arial"/>
      <w:color w:val="000000"/>
      <w:sz w:val="22"/>
    </w:rPr>
  </w:style>
  <w:style w:type="character" w:customStyle="1" w:styleId="UnresolvedMention2">
    <w:name w:val="Unresolved Mention2"/>
    <w:basedOn w:val="DefaultParagraphFont"/>
    <w:uiPriority w:val="99"/>
    <w:semiHidden/>
    <w:unhideWhenUsed/>
    <w:rsid w:val="00013E7D"/>
    <w:rPr>
      <w:color w:val="605E5C"/>
      <w:shd w:val="clear" w:color="auto" w:fill="E1DFDD"/>
    </w:rPr>
  </w:style>
  <w:style w:type="paragraph" w:customStyle="1" w:styleId="MDPI21heading1">
    <w:name w:val="MDPI_2.1_heading1"/>
    <w:qFormat/>
    <w:rsid w:val="00013E7D"/>
    <w:pPr>
      <w:adjustRightInd w:val="0"/>
      <w:snapToGrid w:val="0"/>
      <w:spacing w:before="240" w:after="120" w:line="260" w:lineRule="atLeast"/>
      <w:outlineLvl w:val="0"/>
    </w:pPr>
    <w:rPr>
      <w:rFonts w:ascii="Palatino Linotype" w:eastAsia="Times New Roman" w:hAnsi="Palatino Linotype" w:cs="Times New Roman"/>
      <w:b/>
      <w:snapToGrid w:val="0"/>
      <w:color w:val="000000"/>
      <w:sz w:val="20"/>
      <w:lang w:val="en-US" w:eastAsia="de-DE" w:bidi="en-US"/>
    </w:rPr>
  </w:style>
  <w:style w:type="paragraph" w:customStyle="1" w:styleId="MDPI71References">
    <w:name w:val="MDPI_7.1_References"/>
    <w:qFormat/>
    <w:rsid w:val="00013E7D"/>
    <w:pPr>
      <w:numPr>
        <w:numId w:val="8"/>
      </w:numPr>
      <w:spacing w:line="260" w:lineRule="atLeast"/>
    </w:pPr>
    <w:rPr>
      <w:rFonts w:ascii="Palatino Linotype" w:eastAsia="Times New Roman" w:hAnsi="Palatino Linotype" w:cs="Times New Roman"/>
      <w:snapToGrid w:val="0"/>
      <w:color w:val="000000"/>
      <w:sz w:val="18"/>
      <w:szCs w:val="20"/>
      <w:lang w:val="en-US" w:eastAsia="de-DE" w:bidi="en-US"/>
    </w:rPr>
  </w:style>
  <w:style w:type="character" w:customStyle="1" w:styleId="lrzxr">
    <w:name w:val="lrzxr"/>
    <w:basedOn w:val="DefaultParagraphFont"/>
    <w:rsid w:val="00013E7D"/>
  </w:style>
  <w:style w:type="character" w:customStyle="1" w:styleId="tlid-translation">
    <w:name w:val="tlid-translation"/>
    <w:basedOn w:val="DefaultParagraphFont"/>
    <w:rsid w:val="00013E7D"/>
  </w:style>
  <w:style w:type="paragraph" w:customStyle="1" w:styleId="MDPI11articletype">
    <w:name w:val="MDPI_1.1_article_type"/>
    <w:next w:val="MDPI12title"/>
    <w:qFormat/>
    <w:rsid w:val="00013E7D"/>
    <w:pPr>
      <w:adjustRightInd w:val="0"/>
      <w:snapToGrid w:val="0"/>
      <w:spacing w:before="240" w:line="240" w:lineRule="auto"/>
    </w:pPr>
    <w:rPr>
      <w:rFonts w:ascii="Palatino Linotype" w:eastAsia="Times New Roman" w:hAnsi="Palatino Linotype" w:cs="Times New Roman"/>
      <w:i/>
      <w:snapToGrid w:val="0"/>
      <w:color w:val="000000"/>
      <w:sz w:val="20"/>
      <w:lang w:val="en-US" w:eastAsia="de-DE" w:bidi="en-US"/>
    </w:rPr>
  </w:style>
  <w:style w:type="paragraph" w:customStyle="1" w:styleId="MDPI12title">
    <w:name w:val="MDPI_1.2_title"/>
    <w:next w:val="MDPI13authornames"/>
    <w:qFormat/>
    <w:rsid w:val="00013E7D"/>
    <w:pPr>
      <w:adjustRightInd w:val="0"/>
      <w:snapToGrid w:val="0"/>
      <w:spacing w:after="240" w:line="240" w:lineRule="atLeast"/>
    </w:pPr>
    <w:rPr>
      <w:rFonts w:ascii="Palatino Linotype" w:eastAsia="Times New Roman" w:hAnsi="Palatino Linotype" w:cs="Times New Roman"/>
      <w:b/>
      <w:snapToGrid w:val="0"/>
      <w:color w:val="000000"/>
      <w:sz w:val="36"/>
      <w:szCs w:val="20"/>
      <w:lang w:val="en-US" w:eastAsia="de-DE" w:bidi="en-US"/>
    </w:rPr>
  </w:style>
  <w:style w:type="paragraph" w:customStyle="1" w:styleId="MDPI13authornames">
    <w:name w:val="MDPI_1.3_authornames"/>
    <w:next w:val="MDPI14history"/>
    <w:qFormat/>
    <w:rsid w:val="00013E7D"/>
    <w:pPr>
      <w:adjustRightInd w:val="0"/>
      <w:snapToGrid w:val="0"/>
      <w:spacing w:after="120" w:line="260" w:lineRule="atLeast"/>
    </w:pPr>
    <w:rPr>
      <w:rFonts w:ascii="Palatino Linotype" w:eastAsia="Times New Roman" w:hAnsi="Palatino Linotype" w:cs="Times New Roman"/>
      <w:b/>
      <w:color w:val="000000"/>
      <w:sz w:val="20"/>
      <w:lang w:val="en-US" w:eastAsia="de-DE" w:bidi="en-US"/>
    </w:rPr>
  </w:style>
  <w:style w:type="paragraph" w:customStyle="1" w:styleId="MDPI14history">
    <w:name w:val="MDPI_1.4_history"/>
    <w:basedOn w:val="MDPI62Acknowledgments"/>
    <w:next w:val="Normal"/>
    <w:qFormat/>
    <w:rsid w:val="00013E7D"/>
    <w:pPr>
      <w:ind w:left="113"/>
      <w:jc w:val="left"/>
    </w:pPr>
    <w:rPr>
      <w:snapToGrid/>
    </w:rPr>
  </w:style>
  <w:style w:type="paragraph" w:customStyle="1" w:styleId="MDPI16affiliation">
    <w:name w:val="MDPI_1.6_affiliation"/>
    <w:qFormat/>
    <w:rsid w:val="00013E7D"/>
    <w:pPr>
      <w:adjustRightInd w:val="0"/>
      <w:snapToGrid w:val="0"/>
      <w:spacing w:line="260" w:lineRule="atLeast"/>
      <w:ind w:left="311" w:hanging="198"/>
    </w:pPr>
    <w:rPr>
      <w:rFonts w:ascii="Palatino Linotype" w:eastAsia="Times New Roman" w:hAnsi="Palatino Linotype" w:cs="Times New Roman"/>
      <w:color w:val="000000"/>
      <w:sz w:val="18"/>
      <w:szCs w:val="18"/>
      <w:lang w:val="en-US" w:eastAsia="de-DE" w:bidi="en-US"/>
    </w:rPr>
  </w:style>
  <w:style w:type="paragraph" w:customStyle="1" w:styleId="MDPI17abstract">
    <w:name w:val="MDPI_1.7_abstract"/>
    <w:next w:val="Normal"/>
    <w:qFormat/>
    <w:rsid w:val="00013E7D"/>
    <w:pPr>
      <w:adjustRightInd w:val="0"/>
      <w:snapToGrid w:val="0"/>
      <w:spacing w:before="240" w:line="260" w:lineRule="atLeast"/>
      <w:ind w:left="113"/>
    </w:pPr>
    <w:rPr>
      <w:rFonts w:ascii="Palatino Linotype" w:eastAsia="Times New Roman" w:hAnsi="Palatino Linotype" w:cs="Times New Roman"/>
      <w:color w:val="000000"/>
      <w:sz w:val="20"/>
      <w:lang w:val="en-US" w:eastAsia="de-DE" w:bidi="en-US"/>
    </w:rPr>
  </w:style>
  <w:style w:type="paragraph" w:customStyle="1" w:styleId="MDPI18keywords">
    <w:name w:val="MDPI_1.8_keywords"/>
    <w:next w:val="Normal"/>
    <w:qFormat/>
    <w:rsid w:val="00013E7D"/>
    <w:pPr>
      <w:adjustRightInd w:val="0"/>
      <w:snapToGrid w:val="0"/>
      <w:spacing w:before="240" w:line="260" w:lineRule="atLeast"/>
      <w:ind w:left="113"/>
    </w:pPr>
    <w:rPr>
      <w:rFonts w:ascii="Palatino Linotype" w:eastAsia="Times New Roman" w:hAnsi="Palatino Linotype" w:cs="Times New Roman"/>
      <w:snapToGrid w:val="0"/>
      <w:color w:val="000000"/>
      <w:sz w:val="20"/>
      <w:lang w:val="en-US" w:eastAsia="de-DE" w:bidi="en-US"/>
    </w:rPr>
  </w:style>
  <w:style w:type="paragraph" w:customStyle="1" w:styleId="MDPI19line">
    <w:name w:val="MDPI_1.9_line"/>
    <w:qFormat/>
    <w:rsid w:val="00013E7D"/>
    <w:pPr>
      <w:pBdr>
        <w:bottom w:val="single" w:sz="6" w:space="1" w:color="auto"/>
      </w:pBdr>
      <w:spacing w:line="260" w:lineRule="atLeast"/>
    </w:pPr>
    <w:rPr>
      <w:rFonts w:ascii="Palatino Linotype" w:eastAsia="Times New Roman" w:hAnsi="Palatino Linotype"/>
      <w:color w:val="000000"/>
      <w:sz w:val="20"/>
      <w:szCs w:val="24"/>
      <w:lang w:val="en-US" w:eastAsia="de-DE" w:bidi="en-US"/>
    </w:rPr>
  </w:style>
  <w:style w:type="table" w:customStyle="1" w:styleId="Mdeck5tablebodythreelines">
    <w:name w:val="M_deck_5_table_body_three_lines"/>
    <w:basedOn w:val="TableNormal"/>
    <w:uiPriority w:val="99"/>
    <w:rsid w:val="00013E7D"/>
    <w:pPr>
      <w:adjustRightInd w:val="0"/>
      <w:snapToGrid w:val="0"/>
      <w:spacing w:line="300" w:lineRule="exact"/>
      <w:jc w:val="center"/>
    </w:pPr>
    <w:rPr>
      <w:rFonts w:ascii="Times New Roman" w:eastAsia="宋体" w:hAnsi="Times New Roman" w:cs="Times New Roman"/>
      <w:sz w:val="20"/>
      <w:szCs w:val="20"/>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customStyle="1" w:styleId="MDPIheaderjournallogo">
    <w:name w:val="MDPI_header_journal_logo"/>
    <w:qFormat/>
    <w:rsid w:val="00013E7D"/>
    <w:pPr>
      <w:adjustRightInd w:val="0"/>
      <w:snapToGrid w:val="0"/>
      <w:spacing w:line="260" w:lineRule="atLeast"/>
    </w:pPr>
    <w:rPr>
      <w:rFonts w:ascii="Palatino Linotype" w:eastAsia="Times New Roman" w:hAnsi="Palatino Linotype" w:cs="Times New Roman"/>
      <w:i/>
      <w:color w:val="000000"/>
      <w:sz w:val="24"/>
      <w:lang w:val="en-US" w:eastAsia="de-CH"/>
    </w:rPr>
  </w:style>
  <w:style w:type="paragraph" w:customStyle="1" w:styleId="MDPI32textnoindent">
    <w:name w:val="MDPI_3.2_text_no_indent"/>
    <w:qFormat/>
    <w:rsid w:val="00013E7D"/>
    <w:pPr>
      <w:adjustRightInd w:val="0"/>
      <w:snapToGrid w:val="0"/>
      <w:spacing w:line="260" w:lineRule="atLeast"/>
    </w:pPr>
    <w:rPr>
      <w:rFonts w:ascii="Palatino Linotype" w:eastAsia="Times New Roman" w:hAnsi="Palatino Linotype" w:cs="Times New Roman"/>
      <w:snapToGrid w:val="0"/>
      <w:color w:val="000000"/>
      <w:sz w:val="20"/>
      <w:lang w:val="en-US" w:eastAsia="de-DE" w:bidi="en-US"/>
    </w:rPr>
  </w:style>
  <w:style w:type="paragraph" w:customStyle="1" w:styleId="MDPI33textspaceafter">
    <w:name w:val="MDPI_3.3_text_space_after"/>
    <w:qFormat/>
    <w:rsid w:val="00013E7D"/>
    <w:pPr>
      <w:spacing w:after="240" w:line="260" w:lineRule="atLeast"/>
    </w:pPr>
    <w:rPr>
      <w:rFonts w:ascii="Palatino Linotype" w:eastAsia="Times New Roman" w:hAnsi="Palatino Linotype" w:cs="Times New Roman"/>
      <w:snapToGrid w:val="0"/>
      <w:color w:val="000000"/>
      <w:sz w:val="20"/>
      <w:lang w:val="en-US" w:eastAsia="de-DE" w:bidi="en-US"/>
    </w:rPr>
  </w:style>
  <w:style w:type="paragraph" w:customStyle="1" w:styleId="MDPI35textbeforelist">
    <w:name w:val="MDPI_3.5_text_before_list"/>
    <w:qFormat/>
    <w:rsid w:val="00013E7D"/>
    <w:pPr>
      <w:spacing w:after="120" w:line="260" w:lineRule="atLeast"/>
    </w:pPr>
    <w:rPr>
      <w:rFonts w:ascii="Palatino Linotype" w:eastAsia="Times New Roman" w:hAnsi="Palatino Linotype" w:cs="Times New Roman"/>
      <w:snapToGrid w:val="0"/>
      <w:color w:val="000000"/>
      <w:sz w:val="20"/>
      <w:lang w:val="en-US" w:eastAsia="de-DE" w:bidi="en-US"/>
    </w:rPr>
  </w:style>
  <w:style w:type="paragraph" w:customStyle="1" w:styleId="MDPI36textafterlist">
    <w:name w:val="MDPI_3.6_text_after_list"/>
    <w:qFormat/>
    <w:rsid w:val="00013E7D"/>
    <w:pPr>
      <w:spacing w:before="120" w:line="260" w:lineRule="atLeast"/>
    </w:pPr>
    <w:rPr>
      <w:rFonts w:ascii="Palatino Linotype" w:eastAsia="Times New Roman" w:hAnsi="Palatino Linotype" w:cs="Times New Roman"/>
      <w:snapToGrid w:val="0"/>
      <w:color w:val="000000"/>
      <w:sz w:val="20"/>
      <w:lang w:val="en-US" w:eastAsia="de-DE" w:bidi="en-US"/>
    </w:rPr>
  </w:style>
  <w:style w:type="paragraph" w:customStyle="1" w:styleId="MDPI37itemize">
    <w:name w:val="MDPI_3.7_itemize"/>
    <w:qFormat/>
    <w:rsid w:val="00013E7D"/>
    <w:pPr>
      <w:numPr>
        <w:numId w:val="9"/>
      </w:numPr>
      <w:spacing w:line="260" w:lineRule="atLeast"/>
    </w:pPr>
    <w:rPr>
      <w:rFonts w:ascii="Palatino Linotype" w:eastAsia="Times New Roman" w:hAnsi="Palatino Linotype" w:cs="Times New Roman"/>
      <w:snapToGrid w:val="0"/>
      <w:color w:val="000000"/>
      <w:sz w:val="20"/>
      <w:lang w:val="en-US" w:eastAsia="de-DE" w:bidi="en-US"/>
    </w:rPr>
  </w:style>
  <w:style w:type="paragraph" w:customStyle="1" w:styleId="MDPI38bullet">
    <w:name w:val="MDPI_3.8_bullet"/>
    <w:qFormat/>
    <w:rsid w:val="00013E7D"/>
    <w:pPr>
      <w:numPr>
        <w:numId w:val="10"/>
      </w:numPr>
      <w:adjustRightInd w:val="0"/>
      <w:snapToGrid w:val="0"/>
      <w:spacing w:line="260" w:lineRule="atLeast"/>
    </w:pPr>
    <w:rPr>
      <w:rFonts w:ascii="Palatino Linotype" w:eastAsia="Times New Roman" w:hAnsi="Palatino Linotype" w:cs="Times New Roman"/>
      <w:snapToGrid w:val="0"/>
      <w:color w:val="000000"/>
      <w:sz w:val="20"/>
      <w:lang w:val="en-US" w:eastAsia="de-DE" w:bidi="en-US"/>
    </w:rPr>
  </w:style>
  <w:style w:type="paragraph" w:customStyle="1" w:styleId="MDPI39equation">
    <w:name w:val="MDPI_3.9_equation"/>
    <w:qFormat/>
    <w:rsid w:val="00013E7D"/>
    <w:pPr>
      <w:adjustRightInd w:val="0"/>
      <w:snapToGrid w:val="0"/>
      <w:spacing w:before="120" w:after="120" w:line="260" w:lineRule="atLeast"/>
      <w:ind w:left="709"/>
      <w:jc w:val="center"/>
    </w:pPr>
    <w:rPr>
      <w:rFonts w:ascii="Palatino Linotype" w:eastAsia="Times New Roman" w:hAnsi="Palatino Linotype" w:cs="Times New Roman"/>
      <w:snapToGrid w:val="0"/>
      <w:color w:val="000000"/>
      <w:sz w:val="20"/>
      <w:lang w:val="en-US" w:eastAsia="de-DE" w:bidi="en-US"/>
    </w:rPr>
  </w:style>
  <w:style w:type="paragraph" w:customStyle="1" w:styleId="MDPI3aequationnumber">
    <w:name w:val="MDPI_3.a_equation_number"/>
    <w:qFormat/>
    <w:rsid w:val="00013E7D"/>
    <w:pPr>
      <w:spacing w:before="120" w:after="120" w:line="240" w:lineRule="auto"/>
      <w:jc w:val="right"/>
    </w:pPr>
    <w:rPr>
      <w:rFonts w:ascii="Palatino Linotype" w:eastAsia="Times New Roman" w:hAnsi="Palatino Linotype" w:cs="Times New Roman"/>
      <w:snapToGrid w:val="0"/>
      <w:color w:val="000000"/>
      <w:sz w:val="20"/>
      <w:lang w:val="en-US" w:eastAsia="de-DE" w:bidi="en-US"/>
    </w:rPr>
  </w:style>
  <w:style w:type="paragraph" w:customStyle="1" w:styleId="MDPI62Acknowledgments">
    <w:name w:val="MDPI_6.2_Acknowledgments"/>
    <w:qFormat/>
    <w:rsid w:val="00013E7D"/>
    <w:pPr>
      <w:adjustRightInd w:val="0"/>
      <w:snapToGrid w:val="0"/>
      <w:spacing w:before="120" w:line="200" w:lineRule="atLeast"/>
    </w:pPr>
    <w:rPr>
      <w:rFonts w:ascii="Palatino Linotype" w:eastAsia="Times New Roman" w:hAnsi="Palatino Linotype" w:cs="Times New Roman"/>
      <w:snapToGrid w:val="0"/>
      <w:color w:val="000000"/>
      <w:sz w:val="18"/>
      <w:szCs w:val="20"/>
      <w:lang w:val="en-US" w:eastAsia="de-DE" w:bidi="en-US"/>
    </w:rPr>
  </w:style>
  <w:style w:type="paragraph" w:customStyle="1" w:styleId="MDPI41tablecaption">
    <w:name w:val="MDPI_4.1_table_caption"/>
    <w:qFormat/>
    <w:rsid w:val="00013E7D"/>
    <w:pPr>
      <w:adjustRightInd w:val="0"/>
      <w:snapToGrid w:val="0"/>
      <w:spacing w:before="240" w:after="120" w:line="260" w:lineRule="atLeast"/>
      <w:ind w:left="425" w:right="425"/>
    </w:pPr>
    <w:rPr>
      <w:rFonts w:ascii="Palatino Linotype" w:eastAsia="Times New Roman" w:hAnsi="Palatino Linotype"/>
      <w:color w:val="000000"/>
      <w:sz w:val="18"/>
      <w:lang w:val="en-US" w:eastAsia="de-DE" w:bidi="en-US"/>
    </w:rPr>
  </w:style>
  <w:style w:type="paragraph" w:customStyle="1" w:styleId="MDPI42tablebody">
    <w:name w:val="MDPI_4.2_table_body"/>
    <w:qFormat/>
    <w:rsid w:val="00013E7D"/>
    <w:pPr>
      <w:adjustRightInd w:val="0"/>
      <w:snapToGrid w:val="0"/>
      <w:spacing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43tablefooter">
    <w:name w:val="MDPI_4.3_table_footer"/>
    <w:next w:val="MDPI31text"/>
    <w:qFormat/>
    <w:rsid w:val="00013E7D"/>
    <w:pPr>
      <w:adjustRightInd w:val="0"/>
      <w:snapToGrid w:val="0"/>
      <w:spacing w:after="240" w:line="260" w:lineRule="atLeast"/>
    </w:pPr>
    <w:rPr>
      <w:rFonts w:ascii="Palatino Linotype" w:eastAsia="Times New Roman" w:hAnsi="Palatino Linotype"/>
      <w:color w:val="000000"/>
      <w:sz w:val="18"/>
      <w:lang w:val="en-US" w:eastAsia="de-DE" w:bidi="en-US"/>
    </w:rPr>
  </w:style>
  <w:style w:type="paragraph" w:customStyle="1" w:styleId="MDPI51figurecaption">
    <w:name w:val="MDPI_5.1_figure_caption"/>
    <w:qFormat/>
    <w:rsid w:val="00013E7D"/>
    <w:pPr>
      <w:adjustRightInd w:val="0"/>
      <w:snapToGrid w:val="0"/>
      <w:spacing w:before="120" w:after="240" w:line="260" w:lineRule="atLeast"/>
      <w:ind w:left="425" w:right="425"/>
    </w:pPr>
    <w:rPr>
      <w:rFonts w:ascii="Palatino Linotype" w:eastAsia="Times New Roman" w:hAnsi="Palatino Linotype" w:cs="Times New Roman"/>
      <w:color w:val="000000"/>
      <w:sz w:val="18"/>
      <w:szCs w:val="20"/>
      <w:lang w:val="en-US" w:eastAsia="de-DE" w:bidi="en-US"/>
    </w:rPr>
  </w:style>
  <w:style w:type="paragraph" w:customStyle="1" w:styleId="MDPI52figure">
    <w:name w:val="MDPI_5.2_figure"/>
    <w:qFormat/>
    <w:rsid w:val="00013E7D"/>
    <w:pPr>
      <w:adjustRightInd w:val="0"/>
      <w:snapToGrid w:val="0"/>
      <w:spacing w:before="240" w:after="120"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61Supplementary">
    <w:name w:val="MDPI_6.1_Supplementary"/>
    <w:qFormat/>
    <w:rsid w:val="00013E7D"/>
    <w:pPr>
      <w:spacing w:before="240" w:line="260" w:lineRule="atLeast"/>
    </w:pPr>
    <w:rPr>
      <w:rFonts w:ascii="Palatino Linotype" w:eastAsia="Times New Roman" w:hAnsi="Palatino Linotype" w:cs="Times New Roman"/>
      <w:snapToGrid w:val="0"/>
      <w:color w:val="000000"/>
      <w:sz w:val="18"/>
      <w:szCs w:val="20"/>
      <w:lang w:val="en-US" w:eastAsia="en-US" w:bidi="en-US"/>
    </w:rPr>
  </w:style>
  <w:style w:type="paragraph" w:customStyle="1" w:styleId="MDPI63AuthorContributions">
    <w:name w:val="MDPI_6.3_AuthorContributions"/>
    <w:qFormat/>
    <w:rsid w:val="00013E7D"/>
    <w:pPr>
      <w:spacing w:line="260" w:lineRule="atLeast"/>
    </w:pPr>
    <w:rPr>
      <w:rFonts w:ascii="Palatino Linotype" w:eastAsia="宋体" w:hAnsi="Palatino Linotype" w:cs="Times New Roman"/>
      <w:snapToGrid w:val="0"/>
      <w:sz w:val="18"/>
      <w:szCs w:val="20"/>
      <w:lang w:val="en-US" w:eastAsia="en-US" w:bidi="en-US"/>
    </w:rPr>
  </w:style>
  <w:style w:type="paragraph" w:customStyle="1" w:styleId="MDPI64CoI">
    <w:name w:val="MDPI_6.4_CoI"/>
    <w:qFormat/>
    <w:rsid w:val="00013E7D"/>
    <w:pPr>
      <w:adjustRightInd w:val="0"/>
      <w:snapToGrid w:val="0"/>
      <w:spacing w:before="120" w:after="120" w:line="260" w:lineRule="atLeast"/>
    </w:pPr>
    <w:rPr>
      <w:rFonts w:ascii="Palatino Linotype" w:eastAsia="Times New Roman" w:hAnsi="Palatino Linotype" w:cs="Times New Roman"/>
      <w:snapToGrid w:val="0"/>
      <w:color w:val="000000"/>
      <w:sz w:val="18"/>
      <w:szCs w:val="20"/>
      <w:lang w:val="en-US" w:eastAsia="de-DE" w:bidi="en-US"/>
    </w:rPr>
  </w:style>
  <w:style w:type="paragraph" w:customStyle="1" w:styleId="MDPIfooterfirstpage">
    <w:name w:val="MDPI_footer_firstpage"/>
    <w:qFormat/>
    <w:rsid w:val="00013E7D"/>
    <w:pPr>
      <w:tabs>
        <w:tab w:val="right" w:pos="8845"/>
      </w:tabs>
      <w:spacing w:line="160" w:lineRule="exact"/>
    </w:pPr>
    <w:rPr>
      <w:rFonts w:ascii="Palatino Linotype" w:eastAsia="Times New Roman" w:hAnsi="Palatino Linotype" w:cs="Times New Roman"/>
      <w:color w:val="000000"/>
      <w:sz w:val="16"/>
      <w:szCs w:val="20"/>
      <w:lang w:val="en-US" w:eastAsia="de-DE"/>
    </w:rPr>
  </w:style>
  <w:style w:type="paragraph" w:customStyle="1" w:styleId="MDPI31text">
    <w:name w:val="MDPI_3.1_text"/>
    <w:qFormat/>
    <w:rsid w:val="00013E7D"/>
    <w:pPr>
      <w:adjustRightInd w:val="0"/>
      <w:snapToGrid w:val="0"/>
      <w:spacing w:line="260" w:lineRule="atLeast"/>
      <w:ind w:firstLine="425"/>
    </w:pPr>
    <w:rPr>
      <w:rFonts w:ascii="Palatino Linotype" w:eastAsia="Times New Roman" w:hAnsi="Palatino Linotype" w:cs="Times New Roman"/>
      <w:snapToGrid w:val="0"/>
      <w:color w:val="000000"/>
      <w:sz w:val="20"/>
      <w:lang w:val="en-US" w:eastAsia="de-DE" w:bidi="en-US"/>
    </w:rPr>
  </w:style>
  <w:style w:type="paragraph" w:customStyle="1" w:styleId="MDPI23heading3">
    <w:name w:val="MDPI_2.3_heading3"/>
    <w:qFormat/>
    <w:rsid w:val="00013E7D"/>
    <w:pPr>
      <w:adjustRightInd w:val="0"/>
      <w:snapToGrid w:val="0"/>
      <w:spacing w:before="240" w:after="120" w:line="260" w:lineRule="atLeast"/>
      <w:outlineLvl w:val="2"/>
    </w:pPr>
    <w:rPr>
      <w:rFonts w:ascii="Palatino Linotype" w:eastAsia="Times New Roman" w:hAnsi="Palatino Linotype" w:cs="Times New Roman"/>
      <w:snapToGrid w:val="0"/>
      <w:color w:val="000000"/>
      <w:sz w:val="20"/>
      <w:lang w:val="en-US" w:eastAsia="de-DE" w:bidi="en-US"/>
    </w:rPr>
  </w:style>
  <w:style w:type="paragraph" w:customStyle="1" w:styleId="MDPI22heading2">
    <w:name w:val="MDPI_2.2_heading2"/>
    <w:qFormat/>
    <w:rsid w:val="00013E7D"/>
    <w:pPr>
      <w:adjustRightInd w:val="0"/>
      <w:snapToGrid w:val="0"/>
      <w:spacing w:before="240" w:after="120" w:line="260" w:lineRule="atLeast"/>
      <w:outlineLvl w:val="1"/>
    </w:pPr>
    <w:rPr>
      <w:rFonts w:ascii="Palatino Linotype" w:eastAsia="Times New Roman" w:hAnsi="Palatino Linotype" w:cs="Times New Roman"/>
      <w:i/>
      <w:noProof/>
      <w:snapToGrid w:val="0"/>
      <w:color w:val="000000"/>
      <w:sz w:val="20"/>
      <w:lang w:val="en-US" w:eastAsia="de-DE" w:bidi="en-US"/>
    </w:rPr>
  </w:style>
  <w:style w:type="table" w:customStyle="1" w:styleId="MDPI41threelinetable">
    <w:name w:val="MDPI_4.1_three_line_table"/>
    <w:basedOn w:val="TableNormal"/>
    <w:uiPriority w:val="99"/>
    <w:rsid w:val="00013E7D"/>
    <w:pPr>
      <w:adjustRightInd w:val="0"/>
      <w:snapToGrid w:val="0"/>
      <w:spacing w:line="240" w:lineRule="auto"/>
      <w:jc w:val="center"/>
    </w:pPr>
    <w:rPr>
      <w:rFonts w:ascii="Palatino Linotype" w:hAnsi="Palatino Linotype" w:cs="Times New Roman"/>
      <w:color w:val="000000"/>
      <w:sz w:val="20"/>
      <w:szCs w:val="20"/>
      <w:lang w:val="en-US"/>
    </w:rPr>
    <w:tblPr>
      <w:jc w:val="center"/>
      <w:tblBorders>
        <w:top w:val="single" w:sz="8" w:space="0" w:color="auto"/>
        <w:bottom w:val="single" w:sz="8" w:space="0" w:color="auto"/>
      </w:tblBorders>
    </w:tblPr>
    <w:trPr>
      <w:jc w:val="center"/>
    </w:trPr>
    <w:tcPr>
      <w:vAlign w:val="center"/>
    </w:tcPr>
    <w:tblStylePr w:type="firstRow">
      <w:rPr>
        <w:rFonts w:ascii="LM Mono Prop Light 10" w:hAnsi="LM Mono Prop Light 10"/>
        <w:b/>
        <w:i w:val="0"/>
        <w:sz w:val="20"/>
      </w:rPr>
      <w:tblPr/>
      <w:tcPr>
        <w:tcBorders>
          <w:bottom w:val="single" w:sz="4" w:space="0" w:color="auto"/>
        </w:tcBorders>
      </w:tcPr>
    </w:tblStylePr>
  </w:style>
  <w:style w:type="character" w:customStyle="1" w:styleId="Mencinsinresolver1">
    <w:name w:val="Mención sin resolver1"/>
    <w:uiPriority w:val="99"/>
    <w:semiHidden/>
    <w:unhideWhenUsed/>
    <w:rsid w:val="00013E7D"/>
    <w:rPr>
      <w:color w:val="605E5C"/>
      <w:shd w:val="clear" w:color="auto" w:fill="E1DFDD"/>
    </w:rPr>
  </w:style>
  <w:style w:type="table" w:customStyle="1" w:styleId="PlainTable41">
    <w:name w:val="Plain Table 41"/>
    <w:basedOn w:val="TableNormal"/>
    <w:uiPriority w:val="44"/>
    <w:rsid w:val="00013E7D"/>
    <w:pPr>
      <w:spacing w:line="240" w:lineRule="auto"/>
    </w:pPr>
    <w:rPr>
      <w:rFonts w:ascii="Calibri" w:eastAsia="宋体" w:hAnsi="Calibri" w:cs="Times New Roman"/>
      <w:sz w:val="20"/>
      <w:szCs w:val="20"/>
      <w:lang w:val="es-ES" w:eastAsia="es-ES_tradn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HTMLconformatoprevioCar1">
    <w:name w:val="HTML con formato previo Car1"/>
    <w:basedOn w:val="DefaultParagraphFont"/>
    <w:uiPriority w:val="99"/>
    <w:semiHidden/>
    <w:rsid w:val="00013E7D"/>
    <w:rPr>
      <w:rFonts w:ascii="Consolas" w:eastAsia="Times New Roman" w:hAnsi="Consolas" w:cs="Consolas"/>
    </w:rPr>
  </w:style>
  <w:style w:type="paragraph" w:customStyle="1" w:styleId="MDPI15academiceditor">
    <w:name w:val="MDPI_1.5_academic_editor"/>
    <w:qFormat/>
    <w:rsid w:val="00013E7D"/>
    <w:pPr>
      <w:adjustRightInd w:val="0"/>
      <w:snapToGrid w:val="0"/>
      <w:spacing w:line="260" w:lineRule="atLeast"/>
      <w:ind w:left="113"/>
    </w:pPr>
    <w:rPr>
      <w:rFonts w:ascii="Palatino Linotype" w:eastAsia="Times New Roman" w:hAnsi="Palatino Linotype" w:cs="Times New Roman"/>
      <w:color w:val="000000"/>
      <w:sz w:val="18"/>
      <w:lang w:val="en-US" w:eastAsia="de-DE" w:bidi="en-US"/>
    </w:rPr>
  </w:style>
  <w:style w:type="paragraph" w:customStyle="1" w:styleId="MDPI19classification">
    <w:name w:val="MDPI_1.9_classification"/>
    <w:qFormat/>
    <w:rsid w:val="00013E7D"/>
    <w:pPr>
      <w:spacing w:before="240" w:line="260" w:lineRule="atLeast"/>
      <w:ind w:left="113"/>
    </w:pPr>
    <w:rPr>
      <w:rFonts w:ascii="Palatino Linotype" w:eastAsia="Times New Roman" w:hAnsi="Palatino Linotype" w:cs="Times New Roman"/>
      <w:b/>
      <w:color w:val="000000"/>
      <w:sz w:val="20"/>
      <w:lang w:val="en-US" w:eastAsia="de-DE" w:bidi="en-US"/>
    </w:rPr>
  </w:style>
  <w:style w:type="paragraph" w:customStyle="1" w:styleId="MDPI34textspacebefore">
    <w:name w:val="MDPI_3.4_text_space_before"/>
    <w:qFormat/>
    <w:rsid w:val="00013E7D"/>
    <w:pPr>
      <w:spacing w:before="240" w:line="260" w:lineRule="atLeast"/>
    </w:pPr>
    <w:rPr>
      <w:rFonts w:ascii="Palatino Linotype" w:eastAsia="Times New Roman" w:hAnsi="Palatino Linotype" w:cs="Times New Roman"/>
      <w:snapToGrid w:val="0"/>
      <w:color w:val="000000"/>
      <w:sz w:val="20"/>
      <w:lang w:val="en-US" w:eastAsia="de-DE" w:bidi="en-US"/>
    </w:rPr>
  </w:style>
  <w:style w:type="paragraph" w:customStyle="1" w:styleId="MDPI411onetablecaption">
    <w:name w:val="MDPI_4.1.1_one_table_caption"/>
    <w:qFormat/>
    <w:rsid w:val="00013E7D"/>
    <w:pPr>
      <w:adjustRightInd w:val="0"/>
      <w:snapToGrid w:val="0"/>
      <w:spacing w:before="240" w:after="120" w:line="260" w:lineRule="atLeast"/>
      <w:jc w:val="center"/>
    </w:pPr>
    <w:rPr>
      <w:rFonts w:ascii="Palatino Linotype" w:hAnsi="Palatino Linotype"/>
      <w:noProof/>
      <w:color w:val="000000"/>
      <w:sz w:val="18"/>
      <w:lang w:val="en-US" w:bidi="en-US"/>
    </w:rPr>
  </w:style>
  <w:style w:type="paragraph" w:customStyle="1" w:styleId="MDPI511onefigurecaption">
    <w:name w:val="MDPI_5.1.1_one_figure_caption"/>
    <w:qFormat/>
    <w:rsid w:val="00013E7D"/>
    <w:pPr>
      <w:adjustRightInd w:val="0"/>
      <w:snapToGrid w:val="0"/>
      <w:spacing w:before="240" w:after="120" w:line="260" w:lineRule="atLeast"/>
      <w:jc w:val="center"/>
    </w:pPr>
    <w:rPr>
      <w:rFonts w:ascii="Palatino Linotype" w:hAnsi="Palatino Linotype" w:cs="Times New Roman"/>
      <w:noProof/>
      <w:color w:val="000000"/>
      <w:sz w:val="18"/>
      <w:szCs w:val="20"/>
      <w:lang w:val="en-US" w:bidi="en-US"/>
    </w:rPr>
  </w:style>
  <w:style w:type="paragraph" w:customStyle="1" w:styleId="MDPI72Copyright">
    <w:name w:val="MDPI_7.2_Copyright"/>
    <w:qFormat/>
    <w:rsid w:val="00013E7D"/>
    <w:pPr>
      <w:adjustRightInd w:val="0"/>
      <w:snapToGrid w:val="0"/>
      <w:spacing w:before="400" w:line="260" w:lineRule="atLeast"/>
    </w:pPr>
    <w:rPr>
      <w:rFonts w:ascii="Palatino Linotype" w:eastAsia="Times New Roman" w:hAnsi="Palatino Linotype" w:cs="Times New Roman"/>
      <w:noProof/>
      <w:snapToGrid w:val="0"/>
      <w:color w:val="000000"/>
      <w:spacing w:val="-2"/>
      <w:sz w:val="18"/>
      <w:szCs w:val="20"/>
      <w:lang w:eastAsia="en-GB"/>
    </w:rPr>
  </w:style>
  <w:style w:type="paragraph" w:customStyle="1" w:styleId="MDPI73CopyrightImage">
    <w:name w:val="MDPI_7.3_CopyrightImage"/>
    <w:rsid w:val="00013E7D"/>
    <w:pPr>
      <w:adjustRightInd w:val="0"/>
      <w:snapToGrid w:val="0"/>
      <w:spacing w:after="100" w:line="260" w:lineRule="atLeast"/>
      <w:jc w:val="right"/>
    </w:pPr>
    <w:rPr>
      <w:rFonts w:ascii="Palatino Linotype" w:eastAsia="Times New Roman" w:hAnsi="Palatino Linotype" w:cs="Times New Roman"/>
      <w:color w:val="000000"/>
      <w:sz w:val="20"/>
      <w:szCs w:val="20"/>
      <w:lang w:val="en-US" w:eastAsia="de-CH"/>
    </w:rPr>
  </w:style>
  <w:style w:type="paragraph" w:customStyle="1" w:styleId="MDPI81theorem">
    <w:name w:val="MDPI_8.1_theorem"/>
    <w:qFormat/>
    <w:rsid w:val="00013E7D"/>
    <w:pPr>
      <w:spacing w:line="260" w:lineRule="atLeast"/>
    </w:pPr>
    <w:rPr>
      <w:rFonts w:ascii="Palatino Linotype" w:eastAsia="Times New Roman" w:hAnsi="Palatino Linotype" w:cs="Times New Roman"/>
      <w:i/>
      <w:snapToGrid w:val="0"/>
      <w:color w:val="000000"/>
      <w:sz w:val="20"/>
      <w:lang w:val="en-US" w:eastAsia="de-DE" w:bidi="en-US"/>
    </w:rPr>
  </w:style>
  <w:style w:type="paragraph" w:customStyle="1" w:styleId="MDPI82proof">
    <w:name w:val="MDPI_8.2_proof"/>
    <w:qFormat/>
    <w:rsid w:val="00013E7D"/>
    <w:pPr>
      <w:spacing w:line="260" w:lineRule="atLeast"/>
    </w:pPr>
    <w:rPr>
      <w:rFonts w:ascii="Palatino Linotype" w:eastAsia="Times New Roman" w:hAnsi="Palatino Linotype" w:cs="Times New Roman"/>
      <w:snapToGrid w:val="0"/>
      <w:color w:val="000000"/>
      <w:sz w:val="20"/>
      <w:lang w:val="en-US" w:eastAsia="de-DE" w:bidi="en-US"/>
    </w:rPr>
  </w:style>
  <w:style w:type="paragraph" w:customStyle="1" w:styleId="MDPIequationFram">
    <w:name w:val="MDPI_equationFram"/>
    <w:qFormat/>
    <w:rsid w:val="00013E7D"/>
    <w:pPr>
      <w:adjustRightInd w:val="0"/>
      <w:snapToGrid w:val="0"/>
      <w:spacing w:before="120" w:after="120" w:line="240" w:lineRule="auto"/>
      <w:jc w:val="center"/>
    </w:pPr>
    <w:rPr>
      <w:rFonts w:ascii="Palatino Linotype" w:eastAsia="Times New Roman" w:hAnsi="Palatino Linotype" w:cs="Times New Roman"/>
      <w:snapToGrid w:val="0"/>
      <w:color w:val="000000"/>
      <w:sz w:val="20"/>
      <w:lang w:val="en-US" w:eastAsia="de-DE" w:bidi="en-US"/>
    </w:rPr>
  </w:style>
  <w:style w:type="paragraph" w:customStyle="1" w:styleId="MDPIfooter">
    <w:name w:val="MDPI_footer"/>
    <w:qFormat/>
    <w:rsid w:val="00013E7D"/>
    <w:pPr>
      <w:adjustRightInd w:val="0"/>
      <w:snapToGrid w:val="0"/>
      <w:spacing w:before="120" w:line="260" w:lineRule="atLeast"/>
      <w:jc w:val="center"/>
    </w:pPr>
    <w:rPr>
      <w:rFonts w:ascii="Palatino Linotype" w:eastAsia="Times New Roman" w:hAnsi="Palatino Linotype" w:cs="Times New Roman"/>
      <w:color w:val="000000"/>
      <w:sz w:val="20"/>
      <w:szCs w:val="20"/>
      <w:lang w:val="en-US" w:eastAsia="de-DE"/>
    </w:rPr>
  </w:style>
  <w:style w:type="paragraph" w:customStyle="1" w:styleId="MDPIheader">
    <w:name w:val="MDPI_header"/>
    <w:qFormat/>
    <w:rsid w:val="00013E7D"/>
    <w:pPr>
      <w:adjustRightInd w:val="0"/>
      <w:snapToGrid w:val="0"/>
      <w:spacing w:after="240" w:line="260" w:lineRule="atLeast"/>
    </w:pPr>
    <w:rPr>
      <w:rFonts w:ascii="Palatino Linotype" w:eastAsia="Times New Roman" w:hAnsi="Palatino Linotype" w:cs="Times New Roman"/>
      <w:iCs/>
      <w:color w:val="000000"/>
      <w:sz w:val="16"/>
      <w:szCs w:val="20"/>
      <w:lang w:val="en-US" w:eastAsia="de-DE"/>
    </w:rPr>
  </w:style>
  <w:style w:type="paragraph" w:customStyle="1" w:styleId="MDPIheadercitation">
    <w:name w:val="MDPI_header_citation"/>
    <w:rsid w:val="00013E7D"/>
    <w:pPr>
      <w:spacing w:after="240" w:line="240" w:lineRule="auto"/>
    </w:pPr>
    <w:rPr>
      <w:rFonts w:ascii="Palatino Linotype" w:eastAsia="Times New Roman" w:hAnsi="Palatino Linotype" w:cs="Times New Roman"/>
      <w:snapToGrid w:val="0"/>
      <w:color w:val="000000"/>
      <w:sz w:val="18"/>
      <w:szCs w:val="20"/>
      <w:lang w:val="en-US" w:eastAsia="de-DE" w:bidi="en-US"/>
    </w:rPr>
  </w:style>
  <w:style w:type="paragraph" w:customStyle="1" w:styleId="MDPIheadermdpilogo">
    <w:name w:val="MDPI_header_mdpi_logo"/>
    <w:qFormat/>
    <w:rsid w:val="00013E7D"/>
    <w:pPr>
      <w:adjustRightInd w:val="0"/>
      <w:snapToGrid w:val="0"/>
      <w:spacing w:line="260" w:lineRule="atLeast"/>
      <w:jc w:val="right"/>
    </w:pPr>
    <w:rPr>
      <w:rFonts w:ascii="Palatino Linotype" w:eastAsia="Times New Roman" w:hAnsi="Palatino Linotype" w:cs="Times New Roman"/>
      <w:color w:val="000000"/>
      <w:sz w:val="24"/>
      <w:lang w:val="en-US" w:eastAsia="de-CH"/>
    </w:rPr>
  </w:style>
  <w:style w:type="paragraph" w:customStyle="1" w:styleId="MDPItext">
    <w:name w:val="MDPI_text"/>
    <w:qFormat/>
    <w:rsid w:val="00013E7D"/>
    <w:pPr>
      <w:spacing w:line="260" w:lineRule="atLeast"/>
      <w:ind w:left="425" w:right="425" w:firstLine="284"/>
    </w:pPr>
    <w:rPr>
      <w:rFonts w:ascii="Times New Roman" w:eastAsia="Times New Roman" w:hAnsi="Times New Roman" w:cs="Times New Roman"/>
      <w:noProof/>
      <w:snapToGrid w:val="0"/>
      <w:color w:val="000000"/>
      <w:lang w:val="en-US" w:eastAsia="de-DE" w:bidi="en-US"/>
    </w:rPr>
  </w:style>
  <w:style w:type="paragraph" w:customStyle="1" w:styleId="MDPItitle">
    <w:name w:val="MDPI_title"/>
    <w:qFormat/>
    <w:rsid w:val="00013E7D"/>
    <w:pPr>
      <w:adjustRightInd w:val="0"/>
      <w:snapToGrid w:val="0"/>
      <w:spacing w:after="240" w:line="260" w:lineRule="atLeast"/>
    </w:pPr>
    <w:rPr>
      <w:rFonts w:ascii="Palatino Linotype" w:eastAsia="Times New Roman" w:hAnsi="Palatino Linotype" w:cs="Times New Roman"/>
      <w:b/>
      <w:snapToGrid w:val="0"/>
      <w:color w:val="000000"/>
      <w:sz w:val="36"/>
      <w:szCs w:val="20"/>
      <w:lang w:val="en-US" w:eastAsia="de-DE" w:bidi="en-US"/>
    </w:rPr>
  </w:style>
  <w:style w:type="paragraph" w:styleId="EndnoteText">
    <w:name w:val="endnote text"/>
    <w:basedOn w:val="Normal"/>
    <w:link w:val="EndnoteTextChar"/>
    <w:uiPriority w:val="99"/>
    <w:unhideWhenUsed/>
    <w:rsid w:val="00013E7D"/>
    <w:pPr>
      <w:spacing w:line="240" w:lineRule="auto"/>
      <w:jc w:val="left"/>
    </w:pPr>
    <w:rPr>
      <w:rFonts w:ascii="TUOS Blake" w:eastAsia="Times New Roman" w:hAnsi="TUOS Blake" w:cs="Times New Roman"/>
      <w:color w:val="000000"/>
      <w:szCs w:val="24"/>
      <w:lang w:eastAsia="en-US"/>
    </w:rPr>
  </w:style>
  <w:style w:type="character" w:customStyle="1" w:styleId="EndnoteTextChar">
    <w:name w:val="Endnote Text Char"/>
    <w:basedOn w:val="DefaultParagraphFont"/>
    <w:link w:val="EndnoteText"/>
    <w:uiPriority w:val="99"/>
    <w:rsid w:val="00013E7D"/>
    <w:rPr>
      <w:rFonts w:ascii="TUOS Blake" w:eastAsia="Times New Roman" w:hAnsi="TUOS Blake" w:cs="Times New Roman"/>
      <w:color w:val="000000"/>
      <w:sz w:val="24"/>
      <w:szCs w:val="24"/>
      <w:lang w:eastAsia="en-US"/>
    </w:rPr>
  </w:style>
  <w:style w:type="character" w:styleId="EndnoteReference">
    <w:name w:val="endnote reference"/>
    <w:basedOn w:val="DefaultParagraphFont"/>
    <w:uiPriority w:val="99"/>
    <w:unhideWhenUsed/>
    <w:rsid w:val="00013E7D"/>
    <w:rPr>
      <w:vertAlign w:val="superscript"/>
    </w:rPr>
  </w:style>
  <w:style w:type="table" w:customStyle="1" w:styleId="TableGrid12">
    <w:name w:val="Table Grid12"/>
    <w:basedOn w:val="TableNormal"/>
    <w:next w:val="TableGrid"/>
    <w:uiPriority w:val="39"/>
    <w:qFormat/>
    <w:rsid w:val="00013E7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qFormat/>
    <w:rsid w:val="00013E7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qFormat/>
    <w:rsid w:val="00013E7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
    <w:name w:val="未处理的提及8"/>
    <w:basedOn w:val="DefaultParagraphFont"/>
    <w:uiPriority w:val="99"/>
    <w:semiHidden/>
    <w:unhideWhenUsed/>
    <w:rsid w:val="00013E7D"/>
    <w:rPr>
      <w:color w:val="605E5C"/>
      <w:shd w:val="clear" w:color="auto" w:fill="E1DFDD"/>
    </w:rPr>
  </w:style>
  <w:style w:type="table" w:customStyle="1" w:styleId="TableGrid7">
    <w:name w:val="Table Grid7"/>
    <w:basedOn w:val="TableNormal"/>
    <w:next w:val="TableGrid"/>
    <w:uiPriority w:val="39"/>
    <w:rsid w:val="00013E7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9">
    <w:name w:val="未处理的提及9"/>
    <w:basedOn w:val="DefaultParagraphFont"/>
    <w:uiPriority w:val="99"/>
    <w:semiHidden/>
    <w:unhideWhenUsed/>
    <w:rsid w:val="00013E7D"/>
    <w:rPr>
      <w:color w:val="605E5C"/>
      <w:shd w:val="clear" w:color="auto" w:fill="E1DFDD"/>
    </w:rPr>
  </w:style>
  <w:style w:type="character" w:customStyle="1" w:styleId="100">
    <w:name w:val="未处理的提及10"/>
    <w:basedOn w:val="DefaultParagraphFont"/>
    <w:uiPriority w:val="99"/>
    <w:semiHidden/>
    <w:unhideWhenUsed/>
    <w:rsid w:val="00013E7D"/>
    <w:rPr>
      <w:color w:val="605E5C"/>
      <w:shd w:val="clear" w:color="auto" w:fill="E1DFDD"/>
    </w:rPr>
  </w:style>
  <w:style w:type="character" w:customStyle="1" w:styleId="UnresolvedMention3">
    <w:name w:val="Unresolved Mention3"/>
    <w:basedOn w:val="DefaultParagraphFont"/>
    <w:uiPriority w:val="99"/>
    <w:semiHidden/>
    <w:unhideWhenUsed/>
    <w:rsid w:val="00013E7D"/>
    <w:rPr>
      <w:color w:val="605E5C"/>
      <w:shd w:val="clear" w:color="auto" w:fill="E1DFDD"/>
    </w:rPr>
  </w:style>
  <w:style w:type="character" w:customStyle="1" w:styleId="UnresolvedMention4">
    <w:name w:val="Unresolved Mention4"/>
    <w:basedOn w:val="DefaultParagraphFont"/>
    <w:uiPriority w:val="99"/>
    <w:semiHidden/>
    <w:unhideWhenUsed/>
    <w:rsid w:val="00025C13"/>
    <w:rPr>
      <w:color w:val="605E5C"/>
      <w:shd w:val="clear" w:color="auto" w:fill="E1DFDD"/>
    </w:rPr>
  </w:style>
  <w:style w:type="paragraph" w:styleId="TOC4">
    <w:name w:val="toc 4"/>
    <w:basedOn w:val="Normal"/>
    <w:next w:val="Normal"/>
    <w:autoRedefine/>
    <w:uiPriority w:val="39"/>
    <w:unhideWhenUsed/>
    <w:rsid w:val="00526898"/>
    <w:pPr>
      <w:spacing w:after="100" w:line="259" w:lineRule="auto"/>
      <w:ind w:left="660"/>
      <w:jc w:val="left"/>
    </w:pPr>
    <w:rPr>
      <w:rFonts w:asciiTheme="minorHAnsi" w:hAnsiTheme="minorHAnsi"/>
      <w:sz w:val="22"/>
    </w:rPr>
  </w:style>
  <w:style w:type="paragraph" w:styleId="TOC5">
    <w:name w:val="toc 5"/>
    <w:basedOn w:val="Normal"/>
    <w:next w:val="Normal"/>
    <w:autoRedefine/>
    <w:uiPriority w:val="39"/>
    <w:unhideWhenUsed/>
    <w:rsid w:val="00526898"/>
    <w:pPr>
      <w:spacing w:after="100" w:line="259" w:lineRule="auto"/>
      <w:ind w:left="880"/>
      <w:jc w:val="left"/>
    </w:pPr>
    <w:rPr>
      <w:rFonts w:asciiTheme="minorHAnsi" w:hAnsiTheme="minorHAnsi"/>
      <w:sz w:val="22"/>
    </w:rPr>
  </w:style>
  <w:style w:type="paragraph" w:styleId="TOC6">
    <w:name w:val="toc 6"/>
    <w:basedOn w:val="Normal"/>
    <w:next w:val="Normal"/>
    <w:autoRedefine/>
    <w:uiPriority w:val="39"/>
    <w:unhideWhenUsed/>
    <w:rsid w:val="00526898"/>
    <w:pPr>
      <w:spacing w:after="100" w:line="259" w:lineRule="auto"/>
      <w:ind w:left="1100"/>
      <w:jc w:val="left"/>
    </w:pPr>
    <w:rPr>
      <w:rFonts w:asciiTheme="minorHAnsi" w:hAnsiTheme="minorHAnsi"/>
      <w:sz w:val="22"/>
    </w:rPr>
  </w:style>
  <w:style w:type="paragraph" w:styleId="TOC7">
    <w:name w:val="toc 7"/>
    <w:basedOn w:val="Normal"/>
    <w:next w:val="Normal"/>
    <w:autoRedefine/>
    <w:uiPriority w:val="39"/>
    <w:unhideWhenUsed/>
    <w:rsid w:val="00526898"/>
    <w:pPr>
      <w:spacing w:after="100" w:line="259" w:lineRule="auto"/>
      <w:ind w:left="1320"/>
      <w:jc w:val="left"/>
    </w:pPr>
    <w:rPr>
      <w:rFonts w:asciiTheme="minorHAnsi" w:hAnsiTheme="minorHAnsi"/>
      <w:sz w:val="22"/>
    </w:rPr>
  </w:style>
  <w:style w:type="paragraph" w:styleId="TOC8">
    <w:name w:val="toc 8"/>
    <w:basedOn w:val="Normal"/>
    <w:next w:val="Normal"/>
    <w:autoRedefine/>
    <w:uiPriority w:val="39"/>
    <w:unhideWhenUsed/>
    <w:rsid w:val="00526898"/>
    <w:pPr>
      <w:spacing w:after="100" w:line="259" w:lineRule="auto"/>
      <w:ind w:left="1540"/>
      <w:jc w:val="left"/>
    </w:pPr>
    <w:rPr>
      <w:rFonts w:asciiTheme="minorHAnsi" w:hAnsiTheme="minorHAnsi"/>
      <w:sz w:val="22"/>
    </w:rPr>
  </w:style>
  <w:style w:type="paragraph" w:styleId="TOC9">
    <w:name w:val="toc 9"/>
    <w:basedOn w:val="Normal"/>
    <w:next w:val="Normal"/>
    <w:autoRedefine/>
    <w:uiPriority w:val="39"/>
    <w:unhideWhenUsed/>
    <w:rsid w:val="00526898"/>
    <w:pPr>
      <w:spacing w:after="100" w:line="259" w:lineRule="auto"/>
      <w:ind w:left="1760"/>
      <w:jc w:val="left"/>
    </w:pPr>
    <w:rPr>
      <w:rFonts w:asciiTheme="minorHAnsi" w:hAnsiTheme="minorHAnsi"/>
      <w:sz w:val="22"/>
    </w:rPr>
  </w:style>
  <w:style w:type="character" w:customStyle="1" w:styleId="UnresolvedMention5">
    <w:name w:val="Unresolved Mention5"/>
    <w:basedOn w:val="DefaultParagraphFont"/>
    <w:uiPriority w:val="99"/>
    <w:semiHidden/>
    <w:unhideWhenUsed/>
    <w:rsid w:val="00526898"/>
    <w:rPr>
      <w:color w:val="605E5C"/>
      <w:shd w:val="clear" w:color="auto" w:fill="E1DFDD"/>
    </w:rPr>
  </w:style>
  <w:style w:type="character" w:customStyle="1" w:styleId="UnresolvedMention6">
    <w:name w:val="Unresolved Mention6"/>
    <w:basedOn w:val="DefaultParagraphFont"/>
    <w:uiPriority w:val="99"/>
    <w:semiHidden/>
    <w:unhideWhenUsed/>
    <w:rsid w:val="001A02DF"/>
    <w:rPr>
      <w:color w:val="605E5C"/>
      <w:shd w:val="clear" w:color="auto" w:fill="E1DFDD"/>
    </w:rPr>
  </w:style>
  <w:style w:type="table" w:customStyle="1" w:styleId="20">
    <w:name w:val="网格型2"/>
    <w:basedOn w:val="TableNormal"/>
    <w:next w:val="TableGrid"/>
    <w:uiPriority w:val="39"/>
    <w:rsid w:val="00006BF6"/>
    <w:pPr>
      <w:spacing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
    <w:name w:val="网格型3"/>
    <w:basedOn w:val="TableNormal"/>
    <w:next w:val="TableGrid"/>
    <w:uiPriority w:val="39"/>
    <w:rsid w:val="00006BF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BB2459"/>
    <w:pPr>
      <w:spacing w:line="240" w:lineRule="auto"/>
      <w:jc w:val="left"/>
    </w:pPr>
    <w:rPr>
      <w:rFonts w:ascii="Calibri" w:eastAsia="宋体" w:hAnsi="Calibri" w:cs="Times New Roman"/>
      <w:sz w:val="20"/>
      <w:szCs w:val="20"/>
      <w:lang w:val="es-ES" w:eastAsia="es-ES_tradn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UnresolvedMention7">
    <w:name w:val="Unresolved Mention7"/>
    <w:basedOn w:val="DefaultParagraphFont"/>
    <w:uiPriority w:val="99"/>
    <w:semiHidden/>
    <w:unhideWhenUsed/>
    <w:rsid w:val="00DD570E"/>
    <w:rPr>
      <w:color w:val="605E5C"/>
      <w:shd w:val="clear" w:color="auto" w:fill="E1DFDD"/>
    </w:rPr>
  </w:style>
  <w:style w:type="character" w:customStyle="1" w:styleId="NoSpacingChar">
    <w:name w:val="No Spacing Char"/>
    <w:basedOn w:val="DefaultParagraphFont"/>
    <w:link w:val="NoSpacing"/>
    <w:uiPriority w:val="1"/>
    <w:rsid w:val="00577625"/>
    <w:rPr>
      <w:rFonts w:ascii="Times New Roman" w:eastAsia="Times New Roman" w:hAnsi="Times New Roman" w:cs="Times New Roman"/>
      <w:kern w:val="2"/>
      <w:sz w:val="24"/>
      <w:szCs w:val="24"/>
      <w:lang w:val="en-US"/>
    </w:rPr>
  </w:style>
  <w:style w:type="paragraph" w:styleId="Date">
    <w:name w:val="Date"/>
    <w:basedOn w:val="Normal"/>
    <w:next w:val="Normal"/>
    <w:link w:val="DateChar"/>
    <w:uiPriority w:val="99"/>
    <w:semiHidden/>
    <w:unhideWhenUsed/>
    <w:rsid w:val="008B55B4"/>
  </w:style>
  <w:style w:type="character" w:customStyle="1" w:styleId="DateChar">
    <w:name w:val="Date Char"/>
    <w:basedOn w:val="DefaultParagraphFont"/>
    <w:link w:val="Date"/>
    <w:uiPriority w:val="99"/>
    <w:semiHidden/>
    <w:rsid w:val="008B55B4"/>
    <w:rPr>
      <w:rFonts w:ascii="Times New Roman" w:hAnsi="Times New Roman"/>
      <w:sz w:val="24"/>
    </w:rPr>
  </w:style>
  <w:style w:type="paragraph" w:customStyle="1" w:styleId="gqlncc">
    <w:name w:val="gqlncc"/>
    <w:basedOn w:val="Normal"/>
    <w:rsid w:val="002D5B07"/>
    <w:pPr>
      <w:spacing w:before="100" w:beforeAutospacing="1" w:after="100" w:afterAutospacing="1" w:line="240" w:lineRule="auto"/>
      <w:jc w:val="left"/>
    </w:pPr>
    <w:rPr>
      <w:rFonts w:eastAsia="Times New Roman" w:cs="Times New Roman"/>
      <w:szCs w:val="24"/>
    </w:rPr>
  </w:style>
  <w:style w:type="character" w:customStyle="1" w:styleId="UnresolvedMention8">
    <w:name w:val="Unresolved Mention8"/>
    <w:basedOn w:val="DefaultParagraphFont"/>
    <w:uiPriority w:val="99"/>
    <w:semiHidden/>
    <w:unhideWhenUsed/>
    <w:rsid w:val="00D75CAD"/>
    <w:rPr>
      <w:color w:val="605E5C"/>
      <w:shd w:val="clear" w:color="auto" w:fill="E1DFDD"/>
    </w:rPr>
  </w:style>
  <w:style w:type="character" w:customStyle="1" w:styleId="UnresolvedMention9">
    <w:name w:val="Unresolved Mention9"/>
    <w:basedOn w:val="DefaultParagraphFont"/>
    <w:uiPriority w:val="99"/>
    <w:semiHidden/>
    <w:unhideWhenUsed/>
    <w:rsid w:val="003349BD"/>
    <w:rPr>
      <w:color w:val="605E5C"/>
      <w:shd w:val="clear" w:color="auto" w:fill="E1DFDD"/>
    </w:rPr>
  </w:style>
  <w:style w:type="character" w:customStyle="1" w:styleId="UnresolvedMention10">
    <w:name w:val="Unresolved Mention10"/>
    <w:basedOn w:val="DefaultParagraphFont"/>
    <w:uiPriority w:val="99"/>
    <w:semiHidden/>
    <w:unhideWhenUsed/>
    <w:rsid w:val="00BA4500"/>
    <w:rPr>
      <w:color w:val="605E5C"/>
      <w:shd w:val="clear" w:color="auto" w:fill="E1DFDD"/>
    </w:rPr>
  </w:style>
  <w:style w:type="character" w:customStyle="1" w:styleId="UnresolvedMention12">
    <w:name w:val="Unresolved Mention12"/>
    <w:basedOn w:val="DefaultParagraphFont"/>
    <w:uiPriority w:val="99"/>
    <w:semiHidden/>
    <w:unhideWhenUsed/>
    <w:rsid w:val="00B0610A"/>
    <w:rPr>
      <w:color w:val="605E5C"/>
      <w:shd w:val="clear" w:color="auto" w:fill="E1DFDD"/>
    </w:rPr>
  </w:style>
  <w:style w:type="character" w:styleId="UnresolvedMention">
    <w:name w:val="Unresolved Mention"/>
    <w:basedOn w:val="DefaultParagraphFont"/>
    <w:uiPriority w:val="99"/>
    <w:semiHidden/>
    <w:unhideWhenUsed/>
    <w:rsid w:val="0005064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4673">
      <w:bodyDiv w:val="1"/>
      <w:marLeft w:val="0"/>
      <w:marRight w:val="0"/>
      <w:marTop w:val="0"/>
      <w:marBottom w:val="0"/>
      <w:divBdr>
        <w:top w:val="none" w:sz="0" w:space="0" w:color="auto"/>
        <w:left w:val="none" w:sz="0" w:space="0" w:color="auto"/>
        <w:bottom w:val="none" w:sz="0" w:space="0" w:color="auto"/>
        <w:right w:val="none" w:sz="0" w:space="0" w:color="auto"/>
      </w:divBdr>
      <w:divsChild>
        <w:div w:id="39674821">
          <w:marLeft w:val="0"/>
          <w:marRight w:val="0"/>
          <w:marTop w:val="0"/>
          <w:marBottom w:val="0"/>
          <w:divBdr>
            <w:top w:val="none" w:sz="0" w:space="0" w:color="auto"/>
            <w:left w:val="none" w:sz="0" w:space="0" w:color="auto"/>
            <w:bottom w:val="none" w:sz="0" w:space="0" w:color="auto"/>
            <w:right w:val="none" w:sz="0" w:space="0" w:color="auto"/>
          </w:divBdr>
        </w:div>
        <w:div w:id="86192403">
          <w:marLeft w:val="0"/>
          <w:marRight w:val="0"/>
          <w:marTop w:val="0"/>
          <w:marBottom w:val="0"/>
          <w:divBdr>
            <w:top w:val="none" w:sz="0" w:space="0" w:color="auto"/>
            <w:left w:val="none" w:sz="0" w:space="0" w:color="auto"/>
            <w:bottom w:val="none" w:sz="0" w:space="0" w:color="auto"/>
            <w:right w:val="none" w:sz="0" w:space="0" w:color="auto"/>
          </w:divBdr>
        </w:div>
        <w:div w:id="233052566">
          <w:marLeft w:val="0"/>
          <w:marRight w:val="0"/>
          <w:marTop w:val="0"/>
          <w:marBottom w:val="0"/>
          <w:divBdr>
            <w:top w:val="none" w:sz="0" w:space="0" w:color="auto"/>
            <w:left w:val="none" w:sz="0" w:space="0" w:color="auto"/>
            <w:bottom w:val="none" w:sz="0" w:space="0" w:color="auto"/>
            <w:right w:val="none" w:sz="0" w:space="0" w:color="auto"/>
          </w:divBdr>
        </w:div>
        <w:div w:id="234554234">
          <w:marLeft w:val="0"/>
          <w:marRight w:val="0"/>
          <w:marTop w:val="0"/>
          <w:marBottom w:val="0"/>
          <w:divBdr>
            <w:top w:val="none" w:sz="0" w:space="0" w:color="auto"/>
            <w:left w:val="none" w:sz="0" w:space="0" w:color="auto"/>
            <w:bottom w:val="none" w:sz="0" w:space="0" w:color="auto"/>
            <w:right w:val="none" w:sz="0" w:space="0" w:color="auto"/>
          </w:divBdr>
        </w:div>
        <w:div w:id="465784522">
          <w:marLeft w:val="0"/>
          <w:marRight w:val="0"/>
          <w:marTop w:val="0"/>
          <w:marBottom w:val="0"/>
          <w:divBdr>
            <w:top w:val="none" w:sz="0" w:space="0" w:color="auto"/>
            <w:left w:val="none" w:sz="0" w:space="0" w:color="auto"/>
            <w:bottom w:val="none" w:sz="0" w:space="0" w:color="auto"/>
            <w:right w:val="none" w:sz="0" w:space="0" w:color="auto"/>
          </w:divBdr>
        </w:div>
        <w:div w:id="500463166">
          <w:marLeft w:val="0"/>
          <w:marRight w:val="0"/>
          <w:marTop w:val="0"/>
          <w:marBottom w:val="0"/>
          <w:divBdr>
            <w:top w:val="none" w:sz="0" w:space="0" w:color="auto"/>
            <w:left w:val="none" w:sz="0" w:space="0" w:color="auto"/>
            <w:bottom w:val="none" w:sz="0" w:space="0" w:color="auto"/>
            <w:right w:val="none" w:sz="0" w:space="0" w:color="auto"/>
          </w:divBdr>
        </w:div>
        <w:div w:id="545525468">
          <w:marLeft w:val="0"/>
          <w:marRight w:val="0"/>
          <w:marTop w:val="0"/>
          <w:marBottom w:val="0"/>
          <w:divBdr>
            <w:top w:val="none" w:sz="0" w:space="0" w:color="auto"/>
            <w:left w:val="none" w:sz="0" w:space="0" w:color="auto"/>
            <w:bottom w:val="none" w:sz="0" w:space="0" w:color="auto"/>
            <w:right w:val="none" w:sz="0" w:space="0" w:color="auto"/>
          </w:divBdr>
        </w:div>
        <w:div w:id="627854029">
          <w:marLeft w:val="0"/>
          <w:marRight w:val="0"/>
          <w:marTop w:val="0"/>
          <w:marBottom w:val="0"/>
          <w:divBdr>
            <w:top w:val="none" w:sz="0" w:space="0" w:color="auto"/>
            <w:left w:val="none" w:sz="0" w:space="0" w:color="auto"/>
            <w:bottom w:val="none" w:sz="0" w:space="0" w:color="auto"/>
            <w:right w:val="none" w:sz="0" w:space="0" w:color="auto"/>
          </w:divBdr>
        </w:div>
        <w:div w:id="668679175">
          <w:marLeft w:val="0"/>
          <w:marRight w:val="0"/>
          <w:marTop w:val="0"/>
          <w:marBottom w:val="0"/>
          <w:divBdr>
            <w:top w:val="none" w:sz="0" w:space="0" w:color="auto"/>
            <w:left w:val="none" w:sz="0" w:space="0" w:color="auto"/>
            <w:bottom w:val="none" w:sz="0" w:space="0" w:color="auto"/>
            <w:right w:val="none" w:sz="0" w:space="0" w:color="auto"/>
          </w:divBdr>
        </w:div>
        <w:div w:id="762266608">
          <w:marLeft w:val="0"/>
          <w:marRight w:val="0"/>
          <w:marTop w:val="0"/>
          <w:marBottom w:val="0"/>
          <w:divBdr>
            <w:top w:val="none" w:sz="0" w:space="0" w:color="auto"/>
            <w:left w:val="none" w:sz="0" w:space="0" w:color="auto"/>
            <w:bottom w:val="none" w:sz="0" w:space="0" w:color="auto"/>
            <w:right w:val="none" w:sz="0" w:space="0" w:color="auto"/>
          </w:divBdr>
        </w:div>
        <w:div w:id="932083967">
          <w:marLeft w:val="0"/>
          <w:marRight w:val="0"/>
          <w:marTop w:val="0"/>
          <w:marBottom w:val="0"/>
          <w:divBdr>
            <w:top w:val="none" w:sz="0" w:space="0" w:color="auto"/>
            <w:left w:val="none" w:sz="0" w:space="0" w:color="auto"/>
            <w:bottom w:val="none" w:sz="0" w:space="0" w:color="auto"/>
            <w:right w:val="none" w:sz="0" w:space="0" w:color="auto"/>
          </w:divBdr>
        </w:div>
        <w:div w:id="990713272">
          <w:marLeft w:val="0"/>
          <w:marRight w:val="0"/>
          <w:marTop w:val="0"/>
          <w:marBottom w:val="0"/>
          <w:divBdr>
            <w:top w:val="none" w:sz="0" w:space="0" w:color="auto"/>
            <w:left w:val="none" w:sz="0" w:space="0" w:color="auto"/>
            <w:bottom w:val="none" w:sz="0" w:space="0" w:color="auto"/>
            <w:right w:val="none" w:sz="0" w:space="0" w:color="auto"/>
          </w:divBdr>
        </w:div>
        <w:div w:id="1009721391">
          <w:marLeft w:val="0"/>
          <w:marRight w:val="0"/>
          <w:marTop w:val="0"/>
          <w:marBottom w:val="0"/>
          <w:divBdr>
            <w:top w:val="none" w:sz="0" w:space="0" w:color="auto"/>
            <w:left w:val="none" w:sz="0" w:space="0" w:color="auto"/>
            <w:bottom w:val="none" w:sz="0" w:space="0" w:color="auto"/>
            <w:right w:val="none" w:sz="0" w:space="0" w:color="auto"/>
          </w:divBdr>
        </w:div>
        <w:div w:id="1100643330">
          <w:marLeft w:val="0"/>
          <w:marRight w:val="0"/>
          <w:marTop w:val="0"/>
          <w:marBottom w:val="0"/>
          <w:divBdr>
            <w:top w:val="none" w:sz="0" w:space="0" w:color="auto"/>
            <w:left w:val="none" w:sz="0" w:space="0" w:color="auto"/>
            <w:bottom w:val="none" w:sz="0" w:space="0" w:color="auto"/>
            <w:right w:val="none" w:sz="0" w:space="0" w:color="auto"/>
          </w:divBdr>
        </w:div>
        <w:div w:id="1155995885">
          <w:marLeft w:val="0"/>
          <w:marRight w:val="0"/>
          <w:marTop w:val="0"/>
          <w:marBottom w:val="0"/>
          <w:divBdr>
            <w:top w:val="none" w:sz="0" w:space="0" w:color="auto"/>
            <w:left w:val="none" w:sz="0" w:space="0" w:color="auto"/>
            <w:bottom w:val="none" w:sz="0" w:space="0" w:color="auto"/>
            <w:right w:val="none" w:sz="0" w:space="0" w:color="auto"/>
          </w:divBdr>
        </w:div>
        <w:div w:id="1214006022">
          <w:marLeft w:val="0"/>
          <w:marRight w:val="0"/>
          <w:marTop w:val="0"/>
          <w:marBottom w:val="0"/>
          <w:divBdr>
            <w:top w:val="none" w:sz="0" w:space="0" w:color="auto"/>
            <w:left w:val="none" w:sz="0" w:space="0" w:color="auto"/>
            <w:bottom w:val="none" w:sz="0" w:space="0" w:color="auto"/>
            <w:right w:val="none" w:sz="0" w:space="0" w:color="auto"/>
          </w:divBdr>
        </w:div>
        <w:div w:id="1245410130">
          <w:marLeft w:val="0"/>
          <w:marRight w:val="0"/>
          <w:marTop w:val="0"/>
          <w:marBottom w:val="0"/>
          <w:divBdr>
            <w:top w:val="none" w:sz="0" w:space="0" w:color="auto"/>
            <w:left w:val="none" w:sz="0" w:space="0" w:color="auto"/>
            <w:bottom w:val="none" w:sz="0" w:space="0" w:color="auto"/>
            <w:right w:val="none" w:sz="0" w:space="0" w:color="auto"/>
          </w:divBdr>
        </w:div>
        <w:div w:id="1363701982">
          <w:marLeft w:val="0"/>
          <w:marRight w:val="0"/>
          <w:marTop w:val="0"/>
          <w:marBottom w:val="0"/>
          <w:divBdr>
            <w:top w:val="none" w:sz="0" w:space="0" w:color="auto"/>
            <w:left w:val="none" w:sz="0" w:space="0" w:color="auto"/>
            <w:bottom w:val="none" w:sz="0" w:space="0" w:color="auto"/>
            <w:right w:val="none" w:sz="0" w:space="0" w:color="auto"/>
          </w:divBdr>
        </w:div>
        <w:div w:id="1581986580">
          <w:marLeft w:val="0"/>
          <w:marRight w:val="0"/>
          <w:marTop w:val="0"/>
          <w:marBottom w:val="0"/>
          <w:divBdr>
            <w:top w:val="none" w:sz="0" w:space="0" w:color="auto"/>
            <w:left w:val="none" w:sz="0" w:space="0" w:color="auto"/>
            <w:bottom w:val="none" w:sz="0" w:space="0" w:color="auto"/>
            <w:right w:val="none" w:sz="0" w:space="0" w:color="auto"/>
          </w:divBdr>
        </w:div>
        <w:div w:id="1751392762">
          <w:marLeft w:val="0"/>
          <w:marRight w:val="0"/>
          <w:marTop w:val="0"/>
          <w:marBottom w:val="0"/>
          <w:divBdr>
            <w:top w:val="none" w:sz="0" w:space="0" w:color="auto"/>
            <w:left w:val="none" w:sz="0" w:space="0" w:color="auto"/>
            <w:bottom w:val="none" w:sz="0" w:space="0" w:color="auto"/>
            <w:right w:val="none" w:sz="0" w:space="0" w:color="auto"/>
          </w:divBdr>
        </w:div>
        <w:div w:id="1766807995">
          <w:marLeft w:val="0"/>
          <w:marRight w:val="0"/>
          <w:marTop w:val="0"/>
          <w:marBottom w:val="0"/>
          <w:divBdr>
            <w:top w:val="none" w:sz="0" w:space="0" w:color="auto"/>
            <w:left w:val="none" w:sz="0" w:space="0" w:color="auto"/>
            <w:bottom w:val="none" w:sz="0" w:space="0" w:color="auto"/>
            <w:right w:val="none" w:sz="0" w:space="0" w:color="auto"/>
          </w:divBdr>
        </w:div>
        <w:div w:id="1853840454">
          <w:marLeft w:val="0"/>
          <w:marRight w:val="0"/>
          <w:marTop w:val="0"/>
          <w:marBottom w:val="0"/>
          <w:divBdr>
            <w:top w:val="none" w:sz="0" w:space="0" w:color="auto"/>
            <w:left w:val="none" w:sz="0" w:space="0" w:color="auto"/>
            <w:bottom w:val="none" w:sz="0" w:space="0" w:color="auto"/>
            <w:right w:val="none" w:sz="0" w:space="0" w:color="auto"/>
          </w:divBdr>
        </w:div>
        <w:div w:id="1869562672">
          <w:marLeft w:val="0"/>
          <w:marRight w:val="0"/>
          <w:marTop w:val="0"/>
          <w:marBottom w:val="0"/>
          <w:divBdr>
            <w:top w:val="none" w:sz="0" w:space="0" w:color="auto"/>
            <w:left w:val="none" w:sz="0" w:space="0" w:color="auto"/>
            <w:bottom w:val="none" w:sz="0" w:space="0" w:color="auto"/>
            <w:right w:val="none" w:sz="0" w:space="0" w:color="auto"/>
          </w:divBdr>
        </w:div>
        <w:div w:id="1897931994">
          <w:marLeft w:val="0"/>
          <w:marRight w:val="0"/>
          <w:marTop w:val="0"/>
          <w:marBottom w:val="0"/>
          <w:divBdr>
            <w:top w:val="none" w:sz="0" w:space="0" w:color="auto"/>
            <w:left w:val="none" w:sz="0" w:space="0" w:color="auto"/>
            <w:bottom w:val="none" w:sz="0" w:space="0" w:color="auto"/>
            <w:right w:val="none" w:sz="0" w:space="0" w:color="auto"/>
          </w:divBdr>
        </w:div>
        <w:div w:id="2002392251">
          <w:marLeft w:val="0"/>
          <w:marRight w:val="0"/>
          <w:marTop w:val="0"/>
          <w:marBottom w:val="0"/>
          <w:divBdr>
            <w:top w:val="none" w:sz="0" w:space="0" w:color="auto"/>
            <w:left w:val="none" w:sz="0" w:space="0" w:color="auto"/>
            <w:bottom w:val="none" w:sz="0" w:space="0" w:color="auto"/>
            <w:right w:val="none" w:sz="0" w:space="0" w:color="auto"/>
          </w:divBdr>
        </w:div>
        <w:div w:id="2052224408">
          <w:marLeft w:val="0"/>
          <w:marRight w:val="0"/>
          <w:marTop w:val="0"/>
          <w:marBottom w:val="0"/>
          <w:divBdr>
            <w:top w:val="none" w:sz="0" w:space="0" w:color="auto"/>
            <w:left w:val="none" w:sz="0" w:space="0" w:color="auto"/>
            <w:bottom w:val="none" w:sz="0" w:space="0" w:color="auto"/>
            <w:right w:val="none" w:sz="0" w:space="0" w:color="auto"/>
          </w:divBdr>
        </w:div>
      </w:divsChild>
    </w:div>
    <w:div w:id="13117710">
      <w:bodyDiv w:val="1"/>
      <w:marLeft w:val="0"/>
      <w:marRight w:val="0"/>
      <w:marTop w:val="0"/>
      <w:marBottom w:val="0"/>
      <w:divBdr>
        <w:top w:val="none" w:sz="0" w:space="0" w:color="auto"/>
        <w:left w:val="none" w:sz="0" w:space="0" w:color="auto"/>
        <w:bottom w:val="none" w:sz="0" w:space="0" w:color="auto"/>
        <w:right w:val="none" w:sz="0" w:space="0" w:color="auto"/>
      </w:divBdr>
    </w:div>
    <w:div w:id="188836938">
      <w:bodyDiv w:val="1"/>
      <w:marLeft w:val="0"/>
      <w:marRight w:val="0"/>
      <w:marTop w:val="0"/>
      <w:marBottom w:val="0"/>
      <w:divBdr>
        <w:top w:val="none" w:sz="0" w:space="0" w:color="auto"/>
        <w:left w:val="none" w:sz="0" w:space="0" w:color="auto"/>
        <w:bottom w:val="none" w:sz="0" w:space="0" w:color="auto"/>
        <w:right w:val="none" w:sz="0" w:space="0" w:color="auto"/>
      </w:divBdr>
    </w:div>
    <w:div w:id="227348031">
      <w:bodyDiv w:val="1"/>
      <w:marLeft w:val="0"/>
      <w:marRight w:val="0"/>
      <w:marTop w:val="0"/>
      <w:marBottom w:val="0"/>
      <w:divBdr>
        <w:top w:val="none" w:sz="0" w:space="0" w:color="auto"/>
        <w:left w:val="none" w:sz="0" w:space="0" w:color="auto"/>
        <w:bottom w:val="none" w:sz="0" w:space="0" w:color="auto"/>
        <w:right w:val="none" w:sz="0" w:space="0" w:color="auto"/>
      </w:divBdr>
      <w:divsChild>
        <w:div w:id="527303040">
          <w:marLeft w:val="0"/>
          <w:marRight w:val="0"/>
          <w:marTop w:val="0"/>
          <w:marBottom w:val="0"/>
          <w:divBdr>
            <w:top w:val="none" w:sz="0" w:space="0" w:color="auto"/>
            <w:left w:val="none" w:sz="0" w:space="0" w:color="auto"/>
            <w:bottom w:val="none" w:sz="0" w:space="0" w:color="auto"/>
            <w:right w:val="none" w:sz="0" w:space="0" w:color="auto"/>
          </w:divBdr>
          <w:divsChild>
            <w:div w:id="755596111">
              <w:marLeft w:val="0"/>
              <w:marRight w:val="0"/>
              <w:marTop w:val="0"/>
              <w:marBottom w:val="0"/>
              <w:divBdr>
                <w:top w:val="none" w:sz="0" w:space="0" w:color="auto"/>
                <w:left w:val="none" w:sz="0" w:space="0" w:color="auto"/>
                <w:bottom w:val="none" w:sz="0" w:space="0" w:color="auto"/>
                <w:right w:val="none" w:sz="0" w:space="0" w:color="auto"/>
              </w:divBdr>
              <w:divsChild>
                <w:div w:id="1783643235">
                  <w:marLeft w:val="0"/>
                  <w:marRight w:val="0"/>
                  <w:marTop w:val="0"/>
                  <w:marBottom w:val="0"/>
                  <w:divBdr>
                    <w:top w:val="none" w:sz="0" w:space="0" w:color="auto"/>
                    <w:left w:val="none" w:sz="0" w:space="0" w:color="auto"/>
                    <w:bottom w:val="none" w:sz="0" w:space="0" w:color="auto"/>
                    <w:right w:val="none" w:sz="0" w:space="0" w:color="auto"/>
                  </w:divBdr>
                  <w:divsChild>
                    <w:div w:id="519902362">
                      <w:marLeft w:val="0"/>
                      <w:marRight w:val="0"/>
                      <w:marTop w:val="90"/>
                      <w:marBottom w:val="0"/>
                      <w:divBdr>
                        <w:top w:val="none" w:sz="0" w:space="0" w:color="auto"/>
                        <w:left w:val="none" w:sz="0" w:space="0" w:color="auto"/>
                        <w:bottom w:val="none" w:sz="0" w:space="0" w:color="auto"/>
                        <w:right w:val="none" w:sz="0" w:space="0" w:color="auto"/>
                      </w:divBdr>
                      <w:divsChild>
                        <w:div w:id="1221818868">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sChild>
        </w:div>
        <w:div w:id="1066227820">
          <w:marLeft w:val="0"/>
          <w:marRight w:val="0"/>
          <w:marTop w:val="0"/>
          <w:marBottom w:val="0"/>
          <w:divBdr>
            <w:top w:val="none" w:sz="0" w:space="0" w:color="auto"/>
            <w:left w:val="none" w:sz="0" w:space="0" w:color="auto"/>
            <w:bottom w:val="none" w:sz="0" w:space="0" w:color="auto"/>
            <w:right w:val="none" w:sz="0" w:space="0" w:color="auto"/>
          </w:divBdr>
          <w:divsChild>
            <w:div w:id="1650669473">
              <w:marLeft w:val="0"/>
              <w:marRight w:val="0"/>
              <w:marTop w:val="0"/>
              <w:marBottom w:val="0"/>
              <w:divBdr>
                <w:top w:val="none" w:sz="0" w:space="0" w:color="auto"/>
                <w:left w:val="none" w:sz="0" w:space="0" w:color="auto"/>
                <w:bottom w:val="none" w:sz="0" w:space="0" w:color="auto"/>
                <w:right w:val="none" w:sz="0" w:space="0" w:color="auto"/>
              </w:divBdr>
              <w:divsChild>
                <w:div w:id="194460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394064">
      <w:bodyDiv w:val="1"/>
      <w:marLeft w:val="0"/>
      <w:marRight w:val="0"/>
      <w:marTop w:val="0"/>
      <w:marBottom w:val="0"/>
      <w:divBdr>
        <w:top w:val="none" w:sz="0" w:space="0" w:color="auto"/>
        <w:left w:val="none" w:sz="0" w:space="0" w:color="auto"/>
        <w:bottom w:val="none" w:sz="0" w:space="0" w:color="auto"/>
        <w:right w:val="none" w:sz="0" w:space="0" w:color="auto"/>
      </w:divBdr>
    </w:div>
    <w:div w:id="233710448">
      <w:bodyDiv w:val="1"/>
      <w:marLeft w:val="0"/>
      <w:marRight w:val="0"/>
      <w:marTop w:val="0"/>
      <w:marBottom w:val="0"/>
      <w:divBdr>
        <w:top w:val="none" w:sz="0" w:space="0" w:color="auto"/>
        <w:left w:val="none" w:sz="0" w:space="0" w:color="auto"/>
        <w:bottom w:val="none" w:sz="0" w:space="0" w:color="auto"/>
        <w:right w:val="none" w:sz="0" w:space="0" w:color="auto"/>
      </w:divBdr>
    </w:div>
    <w:div w:id="284392921">
      <w:bodyDiv w:val="1"/>
      <w:marLeft w:val="0"/>
      <w:marRight w:val="0"/>
      <w:marTop w:val="0"/>
      <w:marBottom w:val="0"/>
      <w:divBdr>
        <w:top w:val="none" w:sz="0" w:space="0" w:color="auto"/>
        <w:left w:val="none" w:sz="0" w:space="0" w:color="auto"/>
        <w:bottom w:val="none" w:sz="0" w:space="0" w:color="auto"/>
        <w:right w:val="none" w:sz="0" w:space="0" w:color="auto"/>
      </w:divBdr>
      <w:divsChild>
        <w:div w:id="1647659235">
          <w:marLeft w:val="0"/>
          <w:marRight w:val="0"/>
          <w:marTop w:val="0"/>
          <w:marBottom w:val="0"/>
          <w:divBdr>
            <w:top w:val="none" w:sz="0" w:space="0" w:color="auto"/>
            <w:left w:val="none" w:sz="0" w:space="0" w:color="auto"/>
            <w:bottom w:val="none" w:sz="0" w:space="0" w:color="auto"/>
            <w:right w:val="none" w:sz="0" w:space="0" w:color="auto"/>
          </w:divBdr>
        </w:div>
      </w:divsChild>
    </w:div>
    <w:div w:id="290090254">
      <w:bodyDiv w:val="1"/>
      <w:marLeft w:val="0"/>
      <w:marRight w:val="0"/>
      <w:marTop w:val="0"/>
      <w:marBottom w:val="0"/>
      <w:divBdr>
        <w:top w:val="none" w:sz="0" w:space="0" w:color="auto"/>
        <w:left w:val="none" w:sz="0" w:space="0" w:color="auto"/>
        <w:bottom w:val="none" w:sz="0" w:space="0" w:color="auto"/>
        <w:right w:val="none" w:sz="0" w:space="0" w:color="auto"/>
      </w:divBdr>
      <w:divsChild>
        <w:div w:id="1706327564">
          <w:marLeft w:val="0"/>
          <w:marRight w:val="0"/>
          <w:marTop w:val="0"/>
          <w:marBottom w:val="0"/>
          <w:divBdr>
            <w:top w:val="none" w:sz="0" w:space="0" w:color="auto"/>
            <w:left w:val="none" w:sz="0" w:space="0" w:color="auto"/>
            <w:bottom w:val="none" w:sz="0" w:space="0" w:color="auto"/>
            <w:right w:val="none" w:sz="0" w:space="0" w:color="auto"/>
          </w:divBdr>
        </w:div>
      </w:divsChild>
    </w:div>
    <w:div w:id="386296800">
      <w:bodyDiv w:val="1"/>
      <w:marLeft w:val="0"/>
      <w:marRight w:val="0"/>
      <w:marTop w:val="0"/>
      <w:marBottom w:val="0"/>
      <w:divBdr>
        <w:top w:val="none" w:sz="0" w:space="0" w:color="auto"/>
        <w:left w:val="none" w:sz="0" w:space="0" w:color="auto"/>
        <w:bottom w:val="none" w:sz="0" w:space="0" w:color="auto"/>
        <w:right w:val="none" w:sz="0" w:space="0" w:color="auto"/>
      </w:divBdr>
    </w:div>
    <w:div w:id="494107943">
      <w:bodyDiv w:val="1"/>
      <w:marLeft w:val="0"/>
      <w:marRight w:val="0"/>
      <w:marTop w:val="0"/>
      <w:marBottom w:val="0"/>
      <w:divBdr>
        <w:top w:val="none" w:sz="0" w:space="0" w:color="auto"/>
        <w:left w:val="none" w:sz="0" w:space="0" w:color="auto"/>
        <w:bottom w:val="none" w:sz="0" w:space="0" w:color="auto"/>
        <w:right w:val="none" w:sz="0" w:space="0" w:color="auto"/>
      </w:divBdr>
    </w:div>
    <w:div w:id="503715276">
      <w:bodyDiv w:val="1"/>
      <w:marLeft w:val="0"/>
      <w:marRight w:val="0"/>
      <w:marTop w:val="0"/>
      <w:marBottom w:val="0"/>
      <w:divBdr>
        <w:top w:val="none" w:sz="0" w:space="0" w:color="auto"/>
        <w:left w:val="none" w:sz="0" w:space="0" w:color="auto"/>
        <w:bottom w:val="none" w:sz="0" w:space="0" w:color="auto"/>
        <w:right w:val="none" w:sz="0" w:space="0" w:color="auto"/>
      </w:divBdr>
      <w:divsChild>
        <w:div w:id="1037583018">
          <w:marLeft w:val="0"/>
          <w:marRight w:val="0"/>
          <w:marTop w:val="0"/>
          <w:marBottom w:val="0"/>
          <w:divBdr>
            <w:top w:val="none" w:sz="0" w:space="0" w:color="auto"/>
            <w:left w:val="none" w:sz="0" w:space="0" w:color="auto"/>
            <w:bottom w:val="none" w:sz="0" w:space="0" w:color="auto"/>
            <w:right w:val="none" w:sz="0" w:space="0" w:color="auto"/>
          </w:divBdr>
        </w:div>
      </w:divsChild>
    </w:div>
    <w:div w:id="552542680">
      <w:bodyDiv w:val="1"/>
      <w:marLeft w:val="0"/>
      <w:marRight w:val="0"/>
      <w:marTop w:val="0"/>
      <w:marBottom w:val="0"/>
      <w:divBdr>
        <w:top w:val="none" w:sz="0" w:space="0" w:color="auto"/>
        <w:left w:val="none" w:sz="0" w:space="0" w:color="auto"/>
        <w:bottom w:val="none" w:sz="0" w:space="0" w:color="auto"/>
        <w:right w:val="none" w:sz="0" w:space="0" w:color="auto"/>
      </w:divBdr>
      <w:divsChild>
        <w:div w:id="139662634">
          <w:marLeft w:val="0"/>
          <w:marRight w:val="0"/>
          <w:marTop w:val="0"/>
          <w:marBottom w:val="0"/>
          <w:divBdr>
            <w:top w:val="none" w:sz="0" w:space="0" w:color="auto"/>
            <w:left w:val="none" w:sz="0" w:space="0" w:color="auto"/>
            <w:bottom w:val="none" w:sz="0" w:space="0" w:color="auto"/>
            <w:right w:val="none" w:sz="0" w:space="0" w:color="auto"/>
          </w:divBdr>
        </w:div>
        <w:div w:id="1772310003">
          <w:marLeft w:val="0"/>
          <w:marRight w:val="0"/>
          <w:marTop w:val="0"/>
          <w:marBottom w:val="0"/>
          <w:divBdr>
            <w:top w:val="none" w:sz="0" w:space="0" w:color="auto"/>
            <w:left w:val="none" w:sz="0" w:space="0" w:color="auto"/>
            <w:bottom w:val="none" w:sz="0" w:space="0" w:color="auto"/>
            <w:right w:val="none" w:sz="0" w:space="0" w:color="auto"/>
          </w:divBdr>
        </w:div>
        <w:div w:id="1956597074">
          <w:marLeft w:val="0"/>
          <w:marRight w:val="0"/>
          <w:marTop w:val="0"/>
          <w:marBottom w:val="0"/>
          <w:divBdr>
            <w:top w:val="none" w:sz="0" w:space="0" w:color="auto"/>
            <w:left w:val="none" w:sz="0" w:space="0" w:color="auto"/>
            <w:bottom w:val="none" w:sz="0" w:space="0" w:color="auto"/>
            <w:right w:val="none" w:sz="0" w:space="0" w:color="auto"/>
          </w:divBdr>
        </w:div>
      </w:divsChild>
    </w:div>
    <w:div w:id="622735065">
      <w:bodyDiv w:val="1"/>
      <w:marLeft w:val="0"/>
      <w:marRight w:val="0"/>
      <w:marTop w:val="0"/>
      <w:marBottom w:val="0"/>
      <w:divBdr>
        <w:top w:val="none" w:sz="0" w:space="0" w:color="auto"/>
        <w:left w:val="none" w:sz="0" w:space="0" w:color="auto"/>
        <w:bottom w:val="none" w:sz="0" w:space="0" w:color="auto"/>
        <w:right w:val="none" w:sz="0" w:space="0" w:color="auto"/>
      </w:divBdr>
    </w:div>
    <w:div w:id="644314593">
      <w:bodyDiv w:val="1"/>
      <w:marLeft w:val="0"/>
      <w:marRight w:val="0"/>
      <w:marTop w:val="0"/>
      <w:marBottom w:val="0"/>
      <w:divBdr>
        <w:top w:val="none" w:sz="0" w:space="0" w:color="auto"/>
        <w:left w:val="none" w:sz="0" w:space="0" w:color="auto"/>
        <w:bottom w:val="none" w:sz="0" w:space="0" w:color="auto"/>
        <w:right w:val="none" w:sz="0" w:space="0" w:color="auto"/>
      </w:divBdr>
      <w:divsChild>
        <w:div w:id="16808327">
          <w:marLeft w:val="0"/>
          <w:marRight w:val="0"/>
          <w:marTop w:val="0"/>
          <w:marBottom w:val="0"/>
          <w:divBdr>
            <w:top w:val="none" w:sz="0" w:space="0" w:color="auto"/>
            <w:left w:val="none" w:sz="0" w:space="0" w:color="auto"/>
            <w:bottom w:val="none" w:sz="0" w:space="0" w:color="auto"/>
            <w:right w:val="none" w:sz="0" w:space="0" w:color="auto"/>
          </w:divBdr>
        </w:div>
        <w:div w:id="105659627">
          <w:marLeft w:val="0"/>
          <w:marRight w:val="0"/>
          <w:marTop w:val="0"/>
          <w:marBottom w:val="0"/>
          <w:divBdr>
            <w:top w:val="none" w:sz="0" w:space="0" w:color="auto"/>
            <w:left w:val="none" w:sz="0" w:space="0" w:color="auto"/>
            <w:bottom w:val="none" w:sz="0" w:space="0" w:color="auto"/>
            <w:right w:val="none" w:sz="0" w:space="0" w:color="auto"/>
          </w:divBdr>
        </w:div>
        <w:div w:id="182479069">
          <w:marLeft w:val="0"/>
          <w:marRight w:val="0"/>
          <w:marTop w:val="0"/>
          <w:marBottom w:val="0"/>
          <w:divBdr>
            <w:top w:val="none" w:sz="0" w:space="0" w:color="auto"/>
            <w:left w:val="none" w:sz="0" w:space="0" w:color="auto"/>
            <w:bottom w:val="none" w:sz="0" w:space="0" w:color="auto"/>
            <w:right w:val="none" w:sz="0" w:space="0" w:color="auto"/>
          </w:divBdr>
        </w:div>
        <w:div w:id="304940612">
          <w:marLeft w:val="0"/>
          <w:marRight w:val="0"/>
          <w:marTop w:val="0"/>
          <w:marBottom w:val="0"/>
          <w:divBdr>
            <w:top w:val="none" w:sz="0" w:space="0" w:color="auto"/>
            <w:left w:val="none" w:sz="0" w:space="0" w:color="auto"/>
            <w:bottom w:val="none" w:sz="0" w:space="0" w:color="auto"/>
            <w:right w:val="none" w:sz="0" w:space="0" w:color="auto"/>
          </w:divBdr>
        </w:div>
        <w:div w:id="356855956">
          <w:marLeft w:val="0"/>
          <w:marRight w:val="0"/>
          <w:marTop w:val="0"/>
          <w:marBottom w:val="0"/>
          <w:divBdr>
            <w:top w:val="none" w:sz="0" w:space="0" w:color="auto"/>
            <w:left w:val="none" w:sz="0" w:space="0" w:color="auto"/>
            <w:bottom w:val="none" w:sz="0" w:space="0" w:color="auto"/>
            <w:right w:val="none" w:sz="0" w:space="0" w:color="auto"/>
          </w:divBdr>
        </w:div>
        <w:div w:id="456336452">
          <w:marLeft w:val="0"/>
          <w:marRight w:val="0"/>
          <w:marTop w:val="0"/>
          <w:marBottom w:val="0"/>
          <w:divBdr>
            <w:top w:val="none" w:sz="0" w:space="0" w:color="auto"/>
            <w:left w:val="none" w:sz="0" w:space="0" w:color="auto"/>
            <w:bottom w:val="none" w:sz="0" w:space="0" w:color="auto"/>
            <w:right w:val="none" w:sz="0" w:space="0" w:color="auto"/>
          </w:divBdr>
        </w:div>
        <w:div w:id="544483546">
          <w:marLeft w:val="0"/>
          <w:marRight w:val="0"/>
          <w:marTop w:val="0"/>
          <w:marBottom w:val="0"/>
          <w:divBdr>
            <w:top w:val="none" w:sz="0" w:space="0" w:color="auto"/>
            <w:left w:val="none" w:sz="0" w:space="0" w:color="auto"/>
            <w:bottom w:val="none" w:sz="0" w:space="0" w:color="auto"/>
            <w:right w:val="none" w:sz="0" w:space="0" w:color="auto"/>
          </w:divBdr>
        </w:div>
        <w:div w:id="559902766">
          <w:marLeft w:val="0"/>
          <w:marRight w:val="0"/>
          <w:marTop w:val="0"/>
          <w:marBottom w:val="0"/>
          <w:divBdr>
            <w:top w:val="none" w:sz="0" w:space="0" w:color="auto"/>
            <w:left w:val="none" w:sz="0" w:space="0" w:color="auto"/>
            <w:bottom w:val="none" w:sz="0" w:space="0" w:color="auto"/>
            <w:right w:val="none" w:sz="0" w:space="0" w:color="auto"/>
          </w:divBdr>
        </w:div>
        <w:div w:id="677780277">
          <w:marLeft w:val="0"/>
          <w:marRight w:val="0"/>
          <w:marTop w:val="0"/>
          <w:marBottom w:val="0"/>
          <w:divBdr>
            <w:top w:val="none" w:sz="0" w:space="0" w:color="auto"/>
            <w:left w:val="none" w:sz="0" w:space="0" w:color="auto"/>
            <w:bottom w:val="none" w:sz="0" w:space="0" w:color="auto"/>
            <w:right w:val="none" w:sz="0" w:space="0" w:color="auto"/>
          </w:divBdr>
        </w:div>
        <w:div w:id="818768776">
          <w:marLeft w:val="0"/>
          <w:marRight w:val="0"/>
          <w:marTop w:val="0"/>
          <w:marBottom w:val="0"/>
          <w:divBdr>
            <w:top w:val="none" w:sz="0" w:space="0" w:color="auto"/>
            <w:left w:val="none" w:sz="0" w:space="0" w:color="auto"/>
            <w:bottom w:val="none" w:sz="0" w:space="0" w:color="auto"/>
            <w:right w:val="none" w:sz="0" w:space="0" w:color="auto"/>
          </w:divBdr>
        </w:div>
        <w:div w:id="940795883">
          <w:marLeft w:val="0"/>
          <w:marRight w:val="0"/>
          <w:marTop w:val="0"/>
          <w:marBottom w:val="0"/>
          <w:divBdr>
            <w:top w:val="none" w:sz="0" w:space="0" w:color="auto"/>
            <w:left w:val="none" w:sz="0" w:space="0" w:color="auto"/>
            <w:bottom w:val="none" w:sz="0" w:space="0" w:color="auto"/>
            <w:right w:val="none" w:sz="0" w:space="0" w:color="auto"/>
          </w:divBdr>
        </w:div>
        <w:div w:id="1003893191">
          <w:marLeft w:val="0"/>
          <w:marRight w:val="0"/>
          <w:marTop w:val="0"/>
          <w:marBottom w:val="0"/>
          <w:divBdr>
            <w:top w:val="none" w:sz="0" w:space="0" w:color="auto"/>
            <w:left w:val="none" w:sz="0" w:space="0" w:color="auto"/>
            <w:bottom w:val="none" w:sz="0" w:space="0" w:color="auto"/>
            <w:right w:val="none" w:sz="0" w:space="0" w:color="auto"/>
          </w:divBdr>
        </w:div>
        <w:div w:id="1039819535">
          <w:marLeft w:val="0"/>
          <w:marRight w:val="0"/>
          <w:marTop w:val="0"/>
          <w:marBottom w:val="0"/>
          <w:divBdr>
            <w:top w:val="none" w:sz="0" w:space="0" w:color="auto"/>
            <w:left w:val="none" w:sz="0" w:space="0" w:color="auto"/>
            <w:bottom w:val="none" w:sz="0" w:space="0" w:color="auto"/>
            <w:right w:val="none" w:sz="0" w:space="0" w:color="auto"/>
          </w:divBdr>
        </w:div>
        <w:div w:id="1050887104">
          <w:marLeft w:val="0"/>
          <w:marRight w:val="0"/>
          <w:marTop w:val="0"/>
          <w:marBottom w:val="0"/>
          <w:divBdr>
            <w:top w:val="none" w:sz="0" w:space="0" w:color="auto"/>
            <w:left w:val="none" w:sz="0" w:space="0" w:color="auto"/>
            <w:bottom w:val="none" w:sz="0" w:space="0" w:color="auto"/>
            <w:right w:val="none" w:sz="0" w:space="0" w:color="auto"/>
          </w:divBdr>
        </w:div>
        <w:div w:id="1146046549">
          <w:marLeft w:val="0"/>
          <w:marRight w:val="0"/>
          <w:marTop w:val="0"/>
          <w:marBottom w:val="0"/>
          <w:divBdr>
            <w:top w:val="none" w:sz="0" w:space="0" w:color="auto"/>
            <w:left w:val="none" w:sz="0" w:space="0" w:color="auto"/>
            <w:bottom w:val="none" w:sz="0" w:space="0" w:color="auto"/>
            <w:right w:val="none" w:sz="0" w:space="0" w:color="auto"/>
          </w:divBdr>
        </w:div>
        <w:div w:id="1219174054">
          <w:marLeft w:val="0"/>
          <w:marRight w:val="0"/>
          <w:marTop w:val="0"/>
          <w:marBottom w:val="0"/>
          <w:divBdr>
            <w:top w:val="none" w:sz="0" w:space="0" w:color="auto"/>
            <w:left w:val="none" w:sz="0" w:space="0" w:color="auto"/>
            <w:bottom w:val="none" w:sz="0" w:space="0" w:color="auto"/>
            <w:right w:val="none" w:sz="0" w:space="0" w:color="auto"/>
          </w:divBdr>
        </w:div>
        <w:div w:id="1278871211">
          <w:marLeft w:val="0"/>
          <w:marRight w:val="0"/>
          <w:marTop w:val="0"/>
          <w:marBottom w:val="0"/>
          <w:divBdr>
            <w:top w:val="none" w:sz="0" w:space="0" w:color="auto"/>
            <w:left w:val="none" w:sz="0" w:space="0" w:color="auto"/>
            <w:bottom w:val="none" w:sz="0" w:space="0" w:color="auto"/>
            <w:right w:val="none" w:sz="0" w:space="0" w:color="auto"/>
          </w:divBdr>
        </w:div>
        <w:div w:id="1318149335">
          <w:marLeft w:val="0"/>
          <w:marRight w:val="0"/>
          <w:marTop w:val="0"/>
          <w:marBottom w:val="0"/>
          <w:divBdr>
            <w:top w:val="none" w:sz="0" w:space="0" w:color="auto"/>
            <w:left w:val="none" w:sz="0" w:space="0" w:color="auto"/>
            <w:bottom w:val="none" w:sz="0" w:space="0" w:color="auto"/>
            <w:right w:val="none" w:sz="0" w:space="0" w:color="auto"/>
          </w:divBdr>
        </w:div>
        <w:div w:id="1358198271">
          <w:marLeft w:val="0"/>
          <w:marRight w:val="0"/>
          <w:marTop w:val="0"/>
          <w:marBottom w:val="0"/>
          <w:divBdr>
            <w:top w:val="none" w:sz="0" w:space="0" w:color="auto"/>
            <w:left w:val="none" w:sz="0" w:space="0" w:color="auto"/>
            <w:bottom w:val="none" w:sz="0" w:space="0" w:color="auto"/>
            <w:right w:val="none" w:sz="0" w:space="0" w:color="auto"/>
          </w:divBdr>
        </w:div>
        <w:div w:id="1467623238">
          <w:marLeft w:val="0"/>
          <w:marRight w:val="0"/>
          <w:marTop w:val="0"/>
          <w:marBottom w:val="0"/>
          <w:divBdr>
            <w:top w:val="none" w:sz="0" w:space="0" w:color="auto"/>
            <w:left w:val="none" w:sz="0" w:space="0" w:color="auto"/>
            <w:bottom w:val="none" w:sz="0" w:space="0" w:color="auto"/>
            <w:right w:val="none" w:sz="0" w:space="0" w:color="auto"/>
          </w:divBdr>
        </w:div>
        <w:div w:id="1485702351">
          <w:marLeft w:val="0"/>
          <w:marRight w:val="0"/>
          <w:marTop w:val="0"/>
          <w:marBottom w:val="0"/>
          <w:divBdr>
            <w:top w:val="none" w:sz="0" w:space="0" w:color="auto"/>
            <w:left w:val="none" w:sz="0" w:space="0" w:color="auto"/>
            <w:bottom w:val="none" w:sz="0" w:space="0" w:color="auto"/>
            <w:right w:val="none" w:sz="0" w:space="0" w:color="auto"/>
          </w:divBdr>
        </w:div>
        <w:div w:id="1501460869">
          <w:marLeft w:val="0"/>
          <w:marRight w:val="0"/>
          <w:marTop w:val="0"/>
          <w:marBottom w:val="0"/>
          <w:divBdr>
            <w:top w:val="none" w:sz="0" w:space="0" w:color="auto"/>
            <w:left w:val="none" w:sz="0" w:space="0" w:color="auto"/>
            <w:bottom w:val="none" w:sz="0" w:space="0" w:color="auto"/>
            <w:right w:val="none" w:sz="0" w:space="0" w:color="auto"/>
          </w:divBdr>
        </w:div>
        <w:div w:id="1511338158">
          <w:marLeft w:val="0"/>
          <w:marRight w:val="0"/>
          <w:marTop w:val="0"/>
          <w:marBottom w:val="0"/>
          <w:divBdr>
            <w:top w:val="none" w:sz="0" w:space="0" w:color="auto"/>
            <w:left w:val="none" w:sz="0" w:space="0" w:color="auto"/>
            <w:bottom w:val="none" w:sz="0" w:space="0" w:color="auto"/>
            <w:right w:val="none" w:sz="0" w:space="0" w:color="auto"/>
          </w:divBdr>
        </w:div>
        <w:div w:id="1816530291">
          <w:marLeft w:val="0"/>
          <w:marRight w:val="0"/>
          <w:marTop w:val="0"/>
          <w:marBottom w:val="0"/>
          <w:divBdr>
            <w:top w:val="none" w:sz="0" w:space="0" w:color="auto"/>
            <w:left w:val="none" w:sz="0" w:space="0" w:color="auto"/>
            <w:bottom w:val="none" w:sz="0" w:space="0" w:color="auto"/>
            <w:right w:val="none" w:sz="0" w:space="0" w:color="auto"/>
          </w:divBdr>
        </w:div>
        <w:div w:id="1852603048">
          <w:marLeft w:val="0"/>
          <w:marRight w:val="0"/>
          <w:marTop w:val="0"/>
          <w:marBottom w:val="0"/>
          <w:divBdr>
            <w:top w:val="none" w:sz="0" w:space="0" w:color="auto"/>
            <w:left w:val="none" w:sz="0" w:space="0" w:color="auto"/>
            <w:bottom w:val="none" w:sz="0" w:space="0" w:color="auto"/>
            <w:right w:val="none" w:sz="0" w:space="0" w:color="auto"/>
          </w:divBdr>
        </w:div>
        <w:div w:id="1902595068">
          <w:marLeft w:val="0"/>
          <w:marRight w:val="0"/>
          <w:marTop w:val="0"/>
          <w:marBottom w:val="0"/>
          <w:divBdr>
            <w:top w:val="none" w:sz="0" w:space="0" w:color="auto"/>
            <w:left w:val="none" w:sz="0" w:space="0" w:color="auto"/>
            <w:bottom w:val="none" w:sz="0" w:space="0" w:color="auto"/>
            <w:right w:val="none" w:sz="0" w:space="0" w:color="auto"/>
          </w:divBdr>
        </w:div>
        <w:div w:id="2112243477">
          <w:marLeft w:val="0"/>
          <w:marRight w:val="0"/>
          <w:marTop w:val="0"/>
          <w:marBottom w:val="0"/>
          <w:divBdr>
            <w:top w:val="none" w:sz="0" w:space="0" w:color="auto"/>
            <w:left w:val="none" w:sz="0" w:space="0" w:color="auto"/>
            <w:bottom w:val="none" w:sz="0" w:space="0" w:color="auto"/>
            <w:right w:val="none" w:sz="0" w:space="0" w:color="auto"/>
          </w:divBdr>
        </w:div>
        <w:div w:id="2129425877">
          <w:marLeft w:val="0"/>
          <w:marRight w:val="0"/>
          <w:marTop w:val="0"/>
          <w:marBottom w:val="0"/>
          <w:divBdr>
            <w:top w:val="none" w:sz="0" w:space="0" w:color="auto"/>
            <w:left w:val="none" w:sz="0" w:space="0" w:color="auto"/>
            <w:bottom w:val="none" w:sz="0" w:space="0" w:color="auto"/>
            <w:right w:val="none" w:sz="0" w:space="0" w:color="auto"/>
          </w:divBdr>
        </w:div>
        <w:div w:id="2145659066">
          <w:marLeft w:val="0"/>
          <w:marRight w:val="0"/>
          <w:marTop w:val="0"/>
          <w:marBottom w:val="0"/>
          <w:divBdr>
            <w:top w:val="none" w:sz="0" w:space="0" w:color="auto"/>
            <w:left w:val="none" w:sz="0" w:space="0" w:color="auto"/>
            <w:bottom w:val="none" w:sz="0" w:space="0" w:color="auto"/>
            <w:right w:val="none" w:sz="0" w:space="0" w:color="auto"/>
          </w:divBdr>
        </w:div>
      </w:divsChild>
    </w:div>
    <w:div w:id="695958901">
      <w:bodyDiv w:val="1"/>
      <w:marLeft w:val="0"/>
      <w:marRight w:val="0"/>
      <w:marTop w:val="0"/>
      <w:marBottom w:val="0"/>
      <w:divBdr>
        <w:top w:val="none" w:sz="0" w:space="0" w:color="auto"/>
        <w:left w:val="none" w:sz="0" w:space="0" w:color="auto"/>
        <w:bottom w:val="none" w:sz="0" w:space="0" w:color="auto"/>
        <w:right w:val="none" w:sz="0" w:space="0" w:color="auto"/>
      </w:divBdr>
    </w:div>
    <w:div w:id="700129997">
      <w:bodyDiv w:val="1"/>
      <w:marLeft w:val="0"/>
      <w:marRight w:val="0"/>
      <w:marTop w:val="0"/>
      <w:marBottom w:val="0"/>
      <w:divBdr>
        <w:top w:val="none" w:sz="0" w:space="0" w:color="auto"/>
        <w:left w:val="none" w:sz="0" w:space="0" w:color="auto"/>
        <w:bottom w:val="none" w:sz="0" w:space="0" w:color="auto"/>
        <w:right w:val="none" w:sz="0" w:space="0" w:color="auto"/>
      </w:divBdr>
      <w:divsChild>
        <w:div w:id="1188838091">
          <w:marLeft w:val="0"/>
          <w:marRight w:val="0"/>
          <w:marTop w:val="0"/>
          <w:marBottom w:val="0"/>
          <w:divBdr>
            <w:top w:val="none" w:sz="0" w:space="0" w:color="auto"/>
            <w:left w:val="none" w:sz="0" w:space="0" w:color="auto"/>
            <w:bottom w:val="none" w:sz="0" w:space="0" w:color="auto"/>
            <w:right w:val="none" w:sz="0" w:space="0" w:color="auto"/>
          </w:divBdr>
        </w:div>
      </w:divsChild>
    </w:div>
    <w:div w:id="716903285">
      <w:bodyDiv w:val="1"/>
      <w:marLeft w:val="0"/>
      <w:marRight w:val="0"/>
      <w:marTop w:val="0"/>
      <w:marBottom w:val="0"/>
      <w:divBdr>
        <w:top w:val="none" w:sz="0" w:space="0" w:color="auto"/>
        <w:left w:val="none" w:sz="0" w:space="0" w:color="auto"/>
        <w:bottom w:val="none" w:sz="0" w:space="0" w:color="auto"/>
        <w:right w:val="none" w:sz="0" w:space="0" w:color="auto"/>
      </w:divBdr>
      <w:divsChild>
        <w:div w:id="61828415">
          <w:marLeft w:val="0"/>
          <w:marRight w:val="0"/>
          <w:marTop w:val="0"/>
          <w:marBottom w:val="0"/>
          <w:divBdr>
            <w:top w:val="none" w:sz="0" w:space="0" w:color="auto"/>
            <w:left w:val="none" w:sz="0" w:space="0" w:color="auto"/>
            <w:bottom w:val="none" w:sz="0" w:space="0" w:color="auto"/>
            <w:right w:val="none" w:sz="0" w:space="0" w:color="auto"/>
          </w:divBdr>
        </w:div>
        <w:div w:id="1075981319">
          <w:marLeft w:val="0"/>
          <w:marRight w:val="0"/>
          <w:marTop w:val="0"/>
          <w:marBottom w:val="0"/>
          <w:divBdr>
            <w:top w:val="none" w:sz="0" w:space="0" w:color="auto"/>
            <w:left w:val="none" w:sz="0" w:space="0" w:color="auto"/>
            <w:bottom w:val="none" w:sz="0" w:space="0" w:color="auto"/>
            <w:right w:val="none" w:sz="0" w:space="0" w:color="auto"/>
          </w:divBdr>
        </w:div>
      </w:divsChild>
    </w:div>
    <w:div w:id="783309717">
      <w:bodyDiv w:val="1"/>
      <w:marLeft w:val="0"/>
      <w:marRight w:val="0"/>
      <w:marTop w:val="0"/>
      <w:marBottom w:val="0"/>
      <w:divBdr>
        <w:top w:val="none" w:sz="0" w:space="0" w:color="auto"/>
        <w:left w:val="none" w:sz="0" w:space="0" w:color="auto"/>
        <w:bottom w:val="none" w:sz="0" w:space="0" w:color="auto"/>
        <w:right w:val="none" w:sz="0" w:space="0" w:color="auto"/>
      </w:divBdr>
      <w:divsChild>
        <w:div w:id="8142958">
          <w:marLeft w:val="0"/>
          <w:marRight w:val="0"/>
          <w:marTop w:val="0"/>
          <w:marBottom w:val="0"/>
          <w:divBdr>
            <w:top w:val="none" w:sz="0" w:space="0" w:color="auto"/>
            <w:left w:val="none" w:sz="0" w:space="0" w:color="auto"/>
            <w:bottom w:val="none" w:sz="0" w:space="0" w:color="auto"/>
            <w:right w:val="none" w:sz="0" w:space="0" w:color="auto"/>
          </w:divBdr>
        </w:div>
        <w:div w:id="26687609">
          <w:marLeft w:val="0"/>
          <w:marRight w:val="0"/>
          <w:marTop w:val="0"/>
          <w:marBottom w:val="0"/>
          <w:divBdr>
            <w:top w:val="none" w:sz="0" w:space="0" w:color="auto"/>
            <w:left w:val="none" w:sz="0" w:space="0" w:color="auto"/>
            <w:bottom w:val="none" w:sz="0" w:space="0" w:color="auto"/>
            <w:right w:val="none" w:sz="0" w:space="0" w:color="auto"/>
          </w:divBdr>
        </w:div>
        <w:div w:id="29113592">
          <w:marLeft w:val="0"/>
          <w:marRight w:val="0"/>
          <w:marTop w:val="0"/>
          <w:marBottom w:val="0"/>
          <w:divBdr>
            <w:top w:val="none" w:sz="0" w:space="0" w:color="auto"/>
            <w:left w:val="none" w:sz="0" w:space="0" w:color="auto"/>
            <w:bottom w:val="none" w:sz="0" w:space="0" w:color="auto"/>
            <w:right w:val="none" w:sz="0" w:space="0" w:color="auto"/>
          </w:divBdr>
        </w:div>
        <w:div w:id="125658076">
          <w:marLeft w:val="0"/>
          <w:marRight w:val="0"/>
          <w:marTop w:val="0"/>
          <w:marBottom w:val="0"/>
          <w:divBdr>
            <w:top w:val="none" w:sz="0" w:space="0" w:color="auto"/>
            <w:left w:val="none" w:sz="0" w:space="0" w:color="auto"/>
            <w:bottom w:val="none" w:sz="0" w:space="0" w:color="auto"/>
            <w:right w:val="none" w:sz="0" w:space="0" w:color="auto"/>
          </w:divBdr>
        </w:div>
        <w:div w:id="160659244">
          <w:marLeft w:val="0"/>
          <w:marRight w:val="0"/>
          <w:marTop w:val="0"/>
          <w:marBottom w:val="0"/>
          <w:divBdr>
            <w:top w:val="none" w:sz="0" w:space="0" w:color="auto"/>
            <w:left w:val="none" w:sz="0" w:space="0" w:color="auto"/>
            <w:bottom w:val="none" w:sz="0" w:space="0" w:color="auto"/>
            <w:right w:val="none" w:sz="0" w:space="0" w:color="auto"/>
          </w:divBdr>
        </w:div>
        <w:div w:id="182864614">
          <w:marLeft w:val="0"/>
          <w:marRight w:val="0"/>
          <w:marTop w:val="0"/>
          <w:marBottom w:val="0"/>
          <w:divBdr>
            <w:top w:val="none" w:sz="0" w:space="0" w:color="auto"/>
            <w:left w:val="none" w:sz="0" w:space="0" w:color="auto"/>
            <w:bottom w:val="none" w:sz="0" w:space="0" w:color="auto"/>
            <w:right w:val="none" w:sz="0" w:space="0" w:color="auto"/>
          </w:divBdr>
        </w:div>
        <w:div w:id="353188627">
          <w:marLeft w:val="0"/>
          <w:marRight w:val="0"/>
          <w:marTop w:val="0"/>
          <w:marBottom w:val="0"/>
          <w:divBdr>
            <w:top w:val="none" w:sz="0" w:space="0" w:color="auto"/>
            <w:left w:val="none" w:sz="0" w:space="0" w:color="auto"/>
            <w:bottom w:val="none" w:sz="0" w:space="0" w:color="auto"/>
            <w:right w:val="none" w:sz="0" w:space="0" w:color="auto"/>
          </w:divBdr>
        </w:div>
        <w:div w:id="373388522">
          <w:marLeft w:val="0"/>
          <w:marRight w:val="0"/>
          <w:marTop w:val="0"/>
          <w:marBottom w:val="0"/>
          <w:divBdr>
            <w:top w:val="none" w:sz="0" w:space="0" w:color="auto"/>
            <w:left w:val="none" w:sz="0" w:space="0" w:color="auto"/>
            <w:bottom w:val="none" w:sz="0" w:space="0" w:color="auto"/>
            <w:right w:val="none" w:sz="0" w:space="0" w:color="auto"/>
          </w:divBdr>
        </w:div>
        <w:div w:id="518080655">
          <w:marLeft w:val="0"/>
          <w:marRight w:val="0"/>
          <w:marTop w:val="0"/>
          <w:marBottom w:val="0"/>
          <w:divBdr>
            <w:top w:val="none" w:sz="0" w:space="0" w:color="auto"/>
            <w:left w:val="none" w:sz="0" w:space="0" w:color="auto"/>
            <w:bottom w:val="none" w:sz="0" w:space="0" w:color="auto"/>
            <w:right w:val="none" w:sz="0" w:space="0" w:color="auto"/>
          </w:divBdr>
        </w:div>
        <w:div w:id="567495520">
          <w:marLeft w:val="0"/>
          <w:marRight w:val="0"/>
          <w:marTop w:val="0"/>
          <w:marBottom w:val="0"/>
          <w:divBdr>
            <w:top w:val="none" w:sz="0" w:space="0" w:color="auto"/>
            <w:left w:val="none" w:sz="0" w:space="0" w:color="auto"/>
            <w:bottom w:val="none" w:sz="0" w:space="0" w:color="auto"/>
            <w:right w:val="none" w:sz="0" w:space="0" w:color="auto"/>
          </w:divBdr>
        </w:div>
        <w:div w:id="811674874">
          <w:marLeft w:val="0"/>
          <w:marRight w:val="0"/>
          <w:marTop w:val="0"/>
          <w:marBottom w:val="0"/>
          <w:divBdr>
            <w:top w:val="none" w:sz="0" w:space="0" w:color="auto"/>
            <w:left w:val="none" w:sz="0" w:space="0" w:color="auto"/>
            <w:bottom w:val="none" w:sz="0" w:space="0" w:color="auto"/>
            <w:right w:val="none" w:sz="0" w:space="0" w:color="auto"/>
          </w:divBdr>
        </w:div>
        <w:div w:id="837772702">
          <w:marLeft w:val="0"/>
          <w:marRight w:val="0"/>
          <w:marTop w:val="0"/>
          <w:marBottom w:val="0"/>
          <w:divBdr>
            <w:top w:val="none" w:sz="0" w:space="0" w:color="auto"/>
            <w:left w:val="none" w:sz="0" w:space="0" w:color="auto"/>
            <w:bottom w:val="none" w:sz="0" w:space="0" w:color="auto"/>
            <w:right w:val="none" w:sz="0" w:space="0" w:color="auto"/>
          </w:divBdr>
        </w:div>
        <w:div w:id="1040979979">
          <w:marLeft w:val="0"/>
          <w:marRight w:val="0"/>
          <w:marTop w:val="0"/>
          <w:marBottom w:val="0"/>
          <w:divBdr>
            <w:top w:val="none" w:sz="0" w:space="0" w:color="auto"/>
            <w:left w:val="none" w:sz="0" w:space="0" w:color="auto"/>
            <w:bottom w:val="none" w:sz="0" w:space="0" w:color="auto"/>
            <w:right w:val="none" w:sz="0" w:space="0" w:color="auto"/>
          </w:divBdr>
        </w:div>
        <w:div w:id="1144738501">
          <w:marLeft w:val="0"/>
          <w:marRight w:val="0"/>
          <w:marTop w:val="0"/>
          <w:marBottom w:val="0"/>
          <w:divBdr>
            <w:top w:val="none" w:sz="0" w:space="0" w:color="auto"/>
            <w:left w:val="none" w:sz="0" w:space="0" w:color="auto"/>
            <w:bottom w:val="none" w:sz="0" w:space="0" w:color="auto"/>
            <w:right w:val="none" w:sz="0" w:space="0" w:color="auto"/>
          </w:divBdr>
        </w:div>
        <w:div w:id="1266228866">
          <w:marLeft w:val="0"/>
          <w:marRight w:val="0"/>
          <w:marTop w:val="0"/>
          <w:marBottom w:val="0"/>
          <w:divBdr>
            <w:top w:val="none" w:sz="0" w:space="0" w:color="auto"/>
            <w:left w:val="none" w:sz="0" w:space="0" w:color="auto"/>
            <w:bottom w:val="none" w:sz="0" w:space="0" w:color="auto"/>
            <w:right w:val="none" w:sz="0" w:space="0" w:color="auto"/>
          </w:divBdr>
        </w:div>
        <w:div w:id="1358501897">
          <w:marLeft w:val="0"/>
          <w:marRight w:val="0"/>
          <w:marTop w:val="0"/>
          <w:marBottom w:val="0"/>
          <w:divBdr>
            <w:top w:val="none" w:sz="0" w:space="0" w:color="auto"/>
            <w:left w:val="none" w:sz="0" w:space="0" w:color="auto"/>
            <w:bottom w:val="none" w:sz="0" w:space="0" w:color="auto"/>
            <w:right w:val="none" w:sz="0" w:space="0" w:color="auto"/>
          </w:divBdr>
        </w:div>
        <w:div w:id="1397509183">
          <w:marLeft w:val="0"/>
          <w:marRight w:val="0"/>
          <w:marTop w:val="0"/>
          <w:marBottom w:val="0"/>
          <w:divBdr>
            <w:top w:val="none" w:sz="0" w:space="0" w:color="auto"/>
            <w:left w:val="none" w:sz="0" w:space="0" w:color="auto"/>
            <w:bottom w:val="none" w:sz="0" w:space="0" w:color="auto"/>
            <w:right w:val="none" w:sz="0" w:space="0" w:color="auto"/>
          </w:divBdr>
        </w:div>
        <w:div w:id="1483236999">
          <w:marLeft w:val="0"/>
          <w:marRight w:val="0"/>
          <w:marTop w:val="0"/>
          <w:marBottom w:val="0"/>
          <w:divBdr>
            <w:top w:val="none" w:sz="0" w:space="0" w:color="auto"/>
            <w:left w:val="none" w:sz="0" w:space="0" w:color="auto"/>
            <w:bottom w:val="none" w:sz="0" w:space="0" w:color="auto"/>
            <w:right w:val="none" w:sz="0" w:space="0" w:color="auto"/>
          </w:divBdr>
        </w:div>
        <w:div w:id="1554929200">
          <w:marLeft w:val="0"/>
          <w:marRight w:val="0"/>
          <w:marTop w:val="0"/>
          <w:marBottom w:val="0"/>
          <w:divBdr>
            <w:top w:val="none" w:sz="0" w:space="0" w:color="auto"/>
            <w:left w:val="none" w:sz="0" w:space="0" w:color="auto"/>
            <w:bottom w:val="none" w:sz="0" w:space="0" w:color="auto"/>
            <w:right w:val="none" w:sz="0" w:space="0" w:color="auto"/>
          </w:divBdr>
        </w:div>
        <w:div w:id="1573469060">
          <w:marLeft w:val="0"/>
          <w:marRight w:val="0"/>
          <w:marTop w:val="0"/>
          <w:marBottom w:val="0"/>
          <w:divBdr>
            <w:top w:val="none" w:sz="0" w:space="0" w:color="auto"/>
            <w:left w:val="none" w:sz="0" w:space="0" w:color="auto"/>
            <w:bottom w:val="none" w:sz="0" w:space="0" w:color="auto"/>
            <w:right w:val="none" w:sz="0" w:space="0" w:color="auto"/>
          </w:divBdr>
        </w:div>
        <w:div w:id="1696534740">
          <w:marLeft w:val="0"/>
          <w:marRight w:val="0"/>
          <w:marTop w:val="0"/>
          <w:marBottom w:val="0"/>
          <w:divBdr>
            <w:top w:val="none" w:sz="0" w:space="0" w:color="auto"/>
            <w:left w:val="none" w:sz="0" w:space="0" w:color="auto"/>
            <w:bottom w:val="none" w:sz="0" w:space="0" w:color="auto"/>
            <w:right w:val="none" w:sz="0" w:space="0" w:color="auto"/>
          </w:divBdr>
        </w:div>
        <w:div w:id="1748457955">
          <w:marLeft w:val="0"/>
          <w:marRight w:val="0"/>
          <w:marTop w:val="0"/>
          <w:marBottom w:val="0"/>
          <w:divBdr>
            <w:top w:val="none" w:sz="0" w:space="0" w:color="auto"/>
            <w:left w:val="none" w:sz="0" w:space="0" w:color="auto"/>
            <w:bottom w:val="none" w:sz="0" w:space="0" w:color="auto"/>
            <w:right w:val="none" w:sz="0" w:space="0" w:color="auto"/>
          </w:divBdr>
        </w:div>
        <w:div w:id="1782534279">
          <w:marLeft w:val="0"/>
          <w:marRight w:val="0"/>
          <w:marTop w:val="0"/>
          <w:marBottom w:val="0"/>
          <w:divBdr>
            <w:top w:val="none" w:sz="0" w:space="0" w:color="auto"/>
            <w:left w:val="none" w:sz="0" w:space="0" w:color="auto"/>
            <w:bottom w:val="none" w:sz="0" w:space="0" w:color="auto"/>
            <w:right w:val="none" w:sz="0" w:space="0" w:color="auto"/>
          </w:divBdr>
        </w:div>
        <w:div w:id="1845243246">
          <w:marLeft w:val="0"/>
          <w:marRight w:val="0"/>
          <w:marTop w:val="0"/>
          <w:marBottom w:val="0"/>
          <w:divBdr>
            <w:top w:val="none" w:sz="0" w:space="0" w:color="auto"/>
            <w:left w:val="none" w:sz="0" w:space="0" w:color="auto"/>
            <w:bottom w:val="none" w:sz="0" w:space="0" w:color="auto"/>
            <w:right w:val="none" w:sz="0" w:space="0" w:color="auto"/>
          </w:divBdr>
        </w:div>
        <w:div w:id="1854146150">
          <w:marLeft w:val="0"/>
          <w:marRight w:val="0"/>
          <w:marTop w:val="0"/>
          <w:marBottom w:val="0"/>
          <w:divBdr>
            <w:top w:val="none" w:sz="0" w:space="0" w:color="auto"/>
            <w:left w:val="none" w:sz="0" w:space="0" w:color="auto"/>
            <w:bottom w:val="none" w:sz="0" w:space="0" w:color="auto"/>
            <w:right w:val="none" w:sz="0" w:space="0" w:color="auto"/>
          </w:divBdr>
        </w:div>
        <w:div w:id="1857379678">
          <w:marLeft w:val="0"/>
          <w:marRight w:val="0"/>
          <w:marTop w:val="0"/>
          <w:marBottom w:val="0"/>
          <w:divBdr>
            <w:top w:val="none" w:sz="0" w:space="0" w:color="auto"/>
            <w:left w:val="none" w:sz="0" w:space="0" w:color="auto"/>
            <w:bottom w:val="none" w:sz="0" w:space="0" w:color="auto"/>
            <w:right w:val="none" w:sz="0" w:space="0" w:color="auto"/>
          </w:divBdr>
        </w:div>
        <w:div w:id="1863282072">
          <w:marLeft w:val="0"/>
          <w:marRight w:val="0"/>
          <w:marTop w:val="0"/>
          <w:marBottom w:val="0"/>
          <w:divBdr>
            <w:top w:val="none" w:sz="0" w:space="0" w:color="auto"/>
            <w:left w:val="none" w:sz="0" w:space="0" w:color="auto"/>
            <w:bottom w:val="none" w:sz="0" w:space="0" w:color="auto"/>
            <w:right w:val="none" w:sz="0" w:space="0" w:color="auto"/>
          </w:divBdr>
        </w:div>
        <w:div w:id="1875731022">
          <w:marLeft w:val="0"/>
          <w:marRight w:val="0"/>
          <w:marTop w:val="0"/>
          <w:marBottom w:val="0"/>
          <w:divBdr>
            <w:top w:val="none" w:sz="0" w:space="0" w:color="auto"/>
            <w:left w:val="none" w:sz="0" w:space="0" w:color="auto"/>
            <w:bottom w:val="none" w:sz="0" w:space="0" w:color="auto"/>
            <w:right w:val="none" w:sz="0" w:space="0" w:color="auto"/>
          </w:divBdr>
        </w:div>
        <w:div w:id="1944989922">
          <w:marLeft w:val="0"/>
          <w:marRight w:val="0"/>
          <w:marTop w:val="0"/>
          <w:marBottom w:val="0"/>
          <w:divBdr>
            <w:top w:val="none" w:sz="0" w:space="0" w:color="auto"/>
            <w:left w:val="none" w:sz="0" w:space="0" w:color="auto"/>
            <w:bottom w:val="none" w:sz="0" w:space="0" w:color="auto"/>
            <w:right w:val="none" w:sz="0" w:space="0" w:color="auto"/>
          </w:divBdr>
        </w:div>
        <w:div w:id="2059278109">
          <w:marLeft w:val="0"/>
          <w:marRight w:val="0"/>
          <w:marTop w:val="0"/>
          <w:marBottom w:val="0"/>
          <w:divBdr>
            <w:top w:val="none" w:sz="0" w:space="0" w:color="auto"/>
            <w:left w:val="none" w:sz="0" w:space="0" w:color="auto"/>
            <w:bottom w:val="none" w:sz="0" w:space="0" w:color="auto"/>
            <w:right w:val="none" w:sz="0" w:space="0" w:color="auto"/>
          </w:divBdr>
        </w:div>
        <w:div w:id="2129008964">
          <w:marLeft w:val="0"/>
          <w:marRight w:val="0"/>
          <w:marTop w:val="0"/>
          <w:marBottom w:val="0"/>
          <w:divBdr>
            <w:top w:val="none" w:sz="0" w:space="0" w:color="auto"/>
            <w:left w:val="none" w:sz="0" w:space="0" w:color="auto"/>
            <w:bottom w:val="none" w:sz="0" w:space="0" w:color="auto"/>
            <w:right w:val="none" w:sz="0" w:space="0" w:color="auto"/>
          </w:divBdr>
        </w:div>
      </w:divsChild>
    </w:div>
    <w:div w:id="811092374">
      <w:bodyDiv w:val="1"/>
      <w:marLeft w:val="0"/>
      <w:marRight w:val="0"/>
      <w:marTop w:val="0"/>
      <w:marBottom w:val="0"/>
      <w:divBdr>
        <w:top w:val="none" w:sz="0" w:space="0" w:color="auto"/>
        <w:left w:val="none" w:sz="0" w:space="0" w:color="auto"/>
        <w:bottom w:val="none" w:sz="0" w:space="0" w:color="auto"/>
        <w:right w:val="none" w:sz="0" w:space="0" w:color="auto"/>
      </w:divBdr>
      <w:divsChild>
        <w:div w:id="2075545108">
          <w:marLeft w:val="0"/>
          <w:marRight w:val="0"/>
          <w:marTop w:val="0"/>
          <w:marBottom w:val="0"/>
          <w:divBdr>
            <w:top w:val="none" w:sz="0" w:space="0" w:color="auto"/>
            <w:left w:val="none" w:sz="0" w:space="0" w:color="auto"/>
            <w:bottom w:val="none" w:sz="0" w:space="0" w:color="auto"/>
            <w:right w:val="none" w:sz="0" w:space="0" w:color="auto"/>
          </w:divBdr>
        </w:div>
      </w:divsChild>
    </w:div>
    <w:div w:id="819927495">
      <w:bodyDiv w:val="1"/>
      <w:marLeft w:val="0"/>
      <w:marRight w:val="0"/>
      <w:marTop w:val="0"/>
      <w:marBottom w:val="0"/>
      <w:divBdr>
        <w:top w:val="none" w:sz="0" w:space="0" w:color="auto"/>
        <w:left w:val="none" w:sz="0" w:space="0" w:color="auto"/>
        <w:bottom w:val="none" w:sz="0" w:space="0" w:color="auto"/>
        <w:right w:val="none" w:sz="0" w:space="0" w:color="auto"/>
      </w:divBdr>
    </w:div>
    <w:div w:id="828331550">
      <w:bodyDiv w:val="1"/>
      <w:marLeft w:val="0"/>
      <w:marRight w:val="0"/>
      <w:marTop w:val="0"/>
      <w:marBottom w:val="0"/>
      <w:divBdr>
        <w:top w:val="none" w:sz="0" w:space="0" w:color="auto"/>
        <w:left w:val="none" w:sz="0" w:space="0" w:color="auto"/>
        <w:bottom w:val="none" w:sz="0" w:space="0" w:color="auto"/>
        <w:right w:val="none" w:sz="0" w:space="0" w:color="auto"/>
      </w:divBdr>
      <w:divsChild>
        <w:div w:id="41712953">
          <w:marLeft w:val="0"/>
          <w:marRight w:val="0"/>
          <w:marTop w:val="0"/>
          <w:marBottom w:val="0"/>
          <w:divBdr>
            <w:top w:val="none" w:sz="0" w:space="0" w:color="auto"/>
            <w:left w:val="none" w:sz="0" w:space="0" w:color="auto"/>
            <w:bottom w:val="none" w:sz="0" w:space="0" w:color="auto"/>
            <w:right w:val="none" w:sz="0" w:space="0" w:color="auto"/>
          </w:divBdr>
        </w:div>
        <w:div w:id="288098199">
          <w:marLeft w:val="0"/>
          <w:marRight w:val="0"/>
          <w:marTop w:val="0"/>
          <w:marBottom w:val="0"/>
          <w:divBdr>
            <w:top w:val="none" w:sz="0" w:space="0" w:color="auto"/>
            <w:left w:val="none" w:sz="0" w:space="0" w:color="auto"/>
            <w:bottom w:val="none" w:sz="0" w:space="0" w:color="auto"/>
            <w:right w:val="none" w:sz="0" w:space="0" w:color="auto"/>
          </w:divBdr>
        </w:div>
      </w:divsChild>
    </w:div>
    <w:div w:id="849179236">
      <w:bodyDiv w:val="1"/>
      <w:marLeft w:val="0"/>
      <w:marRight w:val="0"/>
      <w:marTop w:val="0"/>
      <w:marBottom w:val="0"/>
      <w:divBdr>
        <w:top w:val="none" w:sz="0" w:space="0" w:color="auto"/>
        <w:left w:val="none" w:sz="0" w:space="0" w:color="auto"/>
        <w:bottom w:val="none" w:sz="0" w:space="0" w:color="auto"/>
        <w:right w:val="none" w:sz="0" w:space="0" w:color="auto"/>
      </w:divBdr>
      <w:divsChild>
        <w:div w:id="854734366">
          <w:marLeft w:val="0"/>
          <w:marRight w:val="0"/>
          <w:marTop w:val="0"/>
          <w:marBottom w:val="0"/>
          <w:divBdr>
            <w:top w:val="none" w:sz="0" w:space="0" w:color="auto"/>
            <w:left w:val="none" w:sz="0" w:space="0" w:color="auto"/>
            <w:bottom w:val="none" w:sz="0" w:space="0" w:color="auto"/>
            <w:right w:val="none" w:sz="0" w:space="0" w:color="auto"/>
          </w:divBdr>
        </w:div>
      </w:divsChild>
    </w:div>
    <w:div w:id="879320218">
      <w:bodyDiv w:val="1"/>
      <w:marLeft w:val="0"/>
      <w:marRight w:val="0"/>
      <w:marTop w:val="0"/>
      <w:marBottom w:val="0"/>
      <w:divBdr>
        <w:top w:val="none" w:sz="0" w:space="0" w:color="auto"/>
        <w:left w:val="none" w:sz="0" w:space="0" w:color="auto"/>
        <w:bottom w:val="none" w:sz="0" w:space="0" w:color="auto"/>
        <w:right w:val="none" w:sz="0" w:space="0" w:color="auto"/>
      </w:divBdr>
    </w:div>
    <w:div w:id="914049947">
      <w:bodyDiv w:val="1"/>
      <w:marLeft w:val="0"/>
      <w:marRight w:val="0"/>
      <w:marTop w:val="0"/>
      <w:marBottom w:val="0"/>
      <w:divBdr>
        <w:top w:val="none" w:sz="0" w:space="0" w:color="auto"/>
        <w:left w:val="none" w:sz="0" w:space="0" w:color="auto"/>
        <w:bottom w:val="none" w:sz="0" w:space="0" w:color="auto"/>
        <w:right w:val="none" w:sz="0" w:space="0" w:color="auto"/>
      </w:divBdr>
      <w:divsChild>
        <w:div w:id="54745688">
          <w:marLeft w:val="0"/>
          <w:marRight w:val="0"/>
          <w:marTop w:val="0"/>
          <w:marBottom w:val="0"/>
          <w:divBdr>
            <w:top w:val="none" w:sz="0" w:space="0" w:color="auto"/>
            <w:left w:val="none" w:sz="0" w:space="0" w:color="auto"/>
            <w:bottom w:val="none" w:sz="0" w:space="0" w:color="auto"/>
            <w:right w:val="none" w:sz="0" w:space="0" w:color="auto"/>
          </w:divBdr>
        </w:div>
        <w:div w:id="156773418">
          <w:marLeft w:val="0"/>
          <w:marRight w:val="0"/>
          <w:marTop w:val="0"/>
          <w:marBottom w:val="0"/>
          <w:divBdr>
            <w:top w:val="none" w:sz="0" w:space="0" w:color="auto"/>
            <w:left w:val="none" w:sz="0" w:space="0" w:color="auto"/>
            <w:bottom w:val="none" w:sz="0" w:space="0" w:color="auto"/>
            <w:right w:val="none" w:sz="0" w:space="0" w:color="auto"/>
          </w:divBdr>
        </w:div>
        <w:div w:id="186532204">
          <w:marLeft w:val="0"/>
          <w:marRight w:val="0"/>
          <w:marTop w:val="0"/>
          <w:marBottom w:val="0"/>
          <w:divBdr>
            <w:top w:val="none" w:sz="0" w:space="0" w:color="auto"/>
            <w:left w:val="none" w:sz="0" w:space="0" w:color="auto"/>
            <w:bottom w:val="none" w:sz="0" w:space="0" w:color="auto"/>
            <w:right w:val="none" w:sz="0" w:space="0" w:color="auto"/>
          </w:divBdr>
        </w:div>
        <w:div w:id="202254458">
          <w:marLeft w:val="0"/>
          <w:marRight w:val="0"/>
          <w:marTop w:val="0"/>
          <w:marBottom w:val="0"/>
          <w:divBdr>
            <w:top w:val="none" w:sz="0" w:space="0" w:color="auto"/>
            <w:left w:val="none" w:sz="0" w:space="0" w:color="auto"/>
            <w:bottom w:val="none" w:sz="0" w:space="0" w:color="auto"/>
            <w:right w:val="none" w:sz="0" w:space="0" w:color="auto"/>
          </w:divBdr>
        </w:div>
        <w:div w:id="209266463">
          <w:marLeft w:val="0"/>
          <w:marRight w:val="0"/>
          <w:marTop w:val="0"/>
          <w:marBottom w:val="0"/>
          <w:divBdr>
            <w:top w:val="none" w:sz="0" w:space="0" w:color="auto"/>
            <w:left w:val="none" w:sz="0" w:space="0" w:color="auto"/>
            <w:bottom w:val="none" w:sz="0" w:space="0" w:color="auto"/>
            <w:right w:val="none" w:sz="0" w:space="0" w:color="auto"/>
          </w:divBdr>
        </w:div>
        <w:div w:id="221016902">
          <w:marLeft w:val="0"/>
          <w:marRight w:val="0"/>
          <w:marTop w:val="0"/>
          <w:marBottom w:val="0"/>
          <w:divBdr>
            <w:top w:val="none" w:sz="0" w:space="0" w:color="auto"/>
            <w:left w:val="none" w:sz="0" w:space="0" w:color="auto"/>
            <w:bottom w:val="none" w:sz="0" w:space="0" w:color="auto"/>
            <w:right w:val="none" w:sz="0" w:space="0" w:color="auto"/>
          </w:divBdr>
        </w:div>
        <w:div w:id="235751166">
          <w:marLeft w:val="0"/>
          <w:marRight w:val="0"/>
          <w:marTop w:val="0"/>
          <w:marBottom w:val="0"/>
          <w:divBdr>
            <w:top w:val="none" w:sz="0" w:space="0" w:color="auto"/>
            <w:left w:val="none" w:sz="0" w:space="0" w:color="auto"/>
            <w:bottom w:val="none" w:sz="0" w:space="0" w:color="auto"/>
            <w:right w:val="none" w:sz="0" w:space="0" w:color="auto"/>
          </w:divBdr>
        </w:div>
        <w:div w:id="307592256">
          <w:marLeft w:val="0"/>
          <w:marRight w:val="0"/>
          <w:marTop w:val="0"/>
          <w:marBottom w:val="0"/>
          <w:divBdr>
            <w:top w:val="none" w:sz="0" w:space="0" w:color="auto"/>
            <w:left w:val="none" w:sz="0" w:space="0" w:color="auto"/>
            <w:bottom w:val="none" w:sz="0" w:space="0" w:color="auto"/>
            <w:right w:val="none" w:sz="0" w:space="0" w:color="auto"/>
          </w:divBdr>
        </w:div>
        <w:div w:id="317466335">
          <w:marLeft w:val="0"/>
          <w:marRight w:val="0"/>
          <w:marTop w:val="0"/>
          <w:marBottom w:val="0"/>
          <w:divBdr>
            <w:top w:val="none" w:sz="0" w:space="0" w:color="auto"/>
            <w:left w:val="none" w:sz="0" w:space="0" w:color="auto"/>
            <w:bottom w:val="none" w:sz="0" w:space="0" w:color="auto"/>
            <w:right w:val="none" w:sz="0" w:space="0" w:color="auto"/>
          </w:divBdr>
        </w:div>
        <w:div w:id="331447389">
          <w:marLeft w:val="0"/>
          <w:marRight w:val="0"/>
          <w:marTop w:val="0"/>
          <w:marBottom w:val="0"/>
          <w:divBdr>
            <w:top w:val="none" w:sz="0" w:space="0" w:color="auto"/>
            <w:left w:val="none" w:sz="0" w:space="0" w:color="auto"/>
            <w:bottom w:val="none" w:sz="0" w:space="0" w:color="auto"/>
            <w:right w:val="none" w:sz="0" w:space="0" w:color="auto"/>
          </w:divBdr>
        </w:div>
        <w:div w:id="369502139">
          <w:marLeft w:val="0"/>
          <w:marRight w:val="0"/>
          <w:marTop w:val="0"/>
          <w:marBottom w:val="0"/>
          <w:divBdr>
            <w:top w:val="none" w:sz="0" w:space="0" w:color="auto"/>
            <w:left w:val="none" w:sz="0" w:space="0" w:color="auto"/>
            <w:bottom w:val="none" w:sz="0" w:space="0" w:color="auto"/>
            <w:right w:val="none" w:sz="0" w:space="0" w:color="auto"/>
          </w:divBdr>
        </w:div>
        <w:div w:id="400717032">
          <w:marLeft w:val="0"/>
          <w:marRight w:val="0"/>
          <w:marTop w:val="0"/>
          <w:marBottom w:val="0"/>
          <w:divBdr>
            <w:top w:val="none" w:sz="0" w:space="0" w:color="auto"/>
            <w:left w:val="none" w:sz="0" w:space="0" w:color="auto"/>
            <w:bottom w:val="none" w:sz="0" w:space="0" w:color="auto"/>
            <w:right w:val="none" w:sz="0" w:space="0" w:color="auto"/>
          </w:divBdr>
        </w:div>
        <w:div w:id="598568091">
          <w:marLeft w:val="0"/>
          <w:marRight w:val="0"/>
          <w:marTop w:val="0"/>
          <w:marBottom w:val="0"/>
          <w:divBdr>
            <w:top w:val="none" w:sz="0" w:space="0" w:color="auto"/>
            <w:left w:val="none" w:sz="0" w:space="0" w:color="auto"/>
            <w:bottom w:val="none" w:sz="0" w:space="0" w:color="auto"/>
            <w:right w:val="none" w:sz="0" w:space="0" w:color="auto"/>
          </w:divBdr>
        </w:div>
        <w:div w:id="666831218">
          <w:marLeft w:val="0"/>
          <w:marRight w:val="0"/>
          <w:marTop w:val="0"/>
          <w:marBottom w:val="0"/>
          <w:divBdr>
            <w:top w:val="none" w:sz="0" w:space="0" w:color="auto"/>
            <w:left w:val="none" w:sz="0" w:space="0" w:color="auto"/>
            <w:bottom w:val="none" w:sz="0" w:space="0" w:color="auto"/>
            <w:right w:val="none" w:sz="0" w:space="0" w:color="auto"/>
          </w:divBdr>
        </w:div>
        <w:div w:id="697514098">
          <w:marLeft w:val="0"/>
          <w:marRight w:val="0"/>
          <w:marTop w:val="0"/>
          <w:marBottom w:val="0"/>
          <w:divBdr>
            <w:top w:val="none" w:sz="0" w:space="0" w:color="auto"/>
            <w:left w:val="none" w:sz="0" w:space="0" w:color="auto"/>
            <w:bottom w:val="none" w:sz="0" w:space="0" w:color="auto"/>
            <w:right w:val="none" w:sz="0" w:space="0" w:color="auto"/>
          </w:divBdr>
        </w:div>
        <w:div w:id="720710908">
          <w:marLeft w:val="0"/>
          <w:marRight w:val="0"/>
          <w:marTop w:val="0"/>
          <w:marBottom w:val="0"/>
          <w:divBdr>
            <w:top w:val="none" w:sz="0" w:space="0" w:color="auto"/>
            <w:left w:val="none" w:sz="0" w:space="0" w:color="auto"/>
            <w:bottom w:val="none" w:sz="0" w:space="0" w:color="auto"/>
            <w:right w:val="none" w:sz="0" w:space="0" w:color="auto"/>
          </w:divBdr>
        </w:div>
        <w:div w:id="755980706">
          <w:marLeft w:val="0"/>
          <w:marRight w:val="0"/>
          <w:marTop w:val="0"/>
          <w:marBottom w:val="0"/>
          <w:divBdr>
            <w:top w:val="none" w:sz="0" w:space="0" w:color="auto"/>
            <w:left w:val="none" w:sz="0" w:space="0" w:color="auto"/>
            <w:bottom w:val="none" w:sz="0" w:space="0" w:color="auto"/>
            <w:right w:val="none" w:sz="0" w:space="0" w:color="auto"/>
          </w:divBdr>
        </w:div>
        <w:div w:id="823208060">
          <w:marLeft w:val="0"/>
          <w:marRight w:val="0"/>
          <w:marTop w:val="0"/>
          <w:marBottom w:val="0"/>
          <w:divBdr>
            <w:top w:val="none" w:sz="0" w:space="0" w:color="auto"/>
            <w:left w:val="none" w:sz="0" w:space="0" w:color="auto"/>
            <w:bottom w:val="none" w:sz="0" w:space="0" w:color="auto"/>
            <w:right w:val="none" w:sz="0" w:space="0" w:color="auto"/>
          </w:divBdr>
        </w:div>
        <w:div w:id="826628409">
          <w:marLeft w:val="0"/>
          <w:marRight w:val="0"/>
          <w:marTop w:val="0"/>
          <w:marBottom w:val="0"/>
          <w:divBdr>
            <w:top w:val="none" w:sz="0" w:space="0" w:color="auto"/>
            <w:left w:val="none" w:sz="0" w:space="0" w:color="auto"/>
            <w:bottom w:val="none" w:sz="0" w:space="0" w:color="auto"/>
            <w:right w:val="none" w:sz="0" w:space="0" w:color="auto"/>
          </w:divBdr>
        </w:div>
        <w:div w:id="827283647">
          <w:marLeft w:val="0"/>
          <w:marRight w:val="0"/>
          <w:marTop w:val="0"/>
          <w:marBottom w:val="0"/>
          <w:divBdr>
            <w:top w:val="none" w:sz="0" w:space="0" w:color="auto"/>
            <w:left w:val="none" w:sz="0" w:space="0" w:color="auto"/>
            <w:bottom w:val="none" w:sz="0" w:space="0" w:color="auto"/>
            <w:right w:val="none" w:sz="0" w:space="0" w:color="auto"/>
          </w:divBdr>
        </w:div>
        <w:div w:id="853762760">
          <w:marLeft w:val="0"/>
          <w:marRight w:val="0"/>
          <w:marTop w:val="0"/>
          <w:marBottom w:val="0"/>
          <w:divBdr>
            <w:top w:val="none" w:sz="0" w:space="0" w:color="auto"/>
            <w:left w:val="none" w:sz="0" w:space="0" w:color="auto"/>
            <w:bottom w:val="none" w:sz="0" w:space="0" w:color="auto"/>
            <w:right w:val="none" w:sz="0" w:space="0" w:color="auto"/>
          </w:divBdr>
        </w:div>
        <w:div w:id="868227548">
          <w:marLeft w:val="0"/>
          <w:marRight w:val="0"/>
          <w:marTop w:val="0"/>
          <w:marBottom w:val="0"/>
          <w:divBdr>
            <w:top w:val="none" w:sz="0" w:space="0" w:color="auto"/>
            <w:left w:val="none" w:sz="0" w:space="0" w:color="auto"/>
            <w:bottom w:val="none" w:sz="0" w:space="0" w:color="auto"/>
            <w:right w:val="none" w:sz="0" w:space="0" w:color="auto"/>
          </w:divBdr>
        </w:div>
        <w:div w:id="893467824">
          <w:marLeft w:val="0"/>
          <w:marRight w:val="0"/>
          <w:marTop w:val="0"/>
          <w:marBottom w:val="0"/>
          <w:divBdr>
            <w:top w:val="none" w:sz="0" w:space="0" w:color="auto"/>
            <w:left w:val="none" w:sz="0" w:space="0" w:color="auto"/>
            <w:bottom w:val="none" w:sz="0" w:space="0" w:color="auto"/>
            <w:right w:val="none" w:sz="0" w:space="0" w:color="auto"/>
          </w:divBdr>
        </w:div>
        <w:div w:id="950552016">
          <w:marLeft w:val="0"/>
          <w:marRight w:val="0"/>
          <w:marTop w:val="0"/>
          <w:marBottom w:val="0"/>
          <w:divBdr>
            <w:top w:val="none" w:sz="0" w:space="0" w:color="auto"/>
            <w:left w:val="none" w:sz="0" w:space="0" w:color="auto"/>
            <w:bottom w:val="none" w:sz="0" w:space="0" w:color="auto"/>
            <w:right w:val="none" w:sz="0" w:space="0" w:color="auto"/>
          </w:divBdr>
        </w:div>
        <w:div w:id="1106075606">
          <w:marLeft w:val="0"/>
          <w:marRight w:val="0"/>
          <w:marTop w:val="0"/>
          <w:marBottom w:val="0"/>
          <w:divBdr>
            <w:top w:val="none" w:sz="0" w:space="0" w:color="auto"/>
            <w:left w:val="none" w:sz="0" w:space="0" w:color="auto"/>
            <w:bottom w:val="none" w:sz="0" w:space="0" w:color="auto"/>
            <w:right w:val="none" w:sz="0" w:space="0" w:color="auto"/>
          </w:divBdr>
        </w:div>
        <w:div w:id="1111438338">
          <w:marLeft w:val="0"/>
          <w:marRight w:val="0"/>
          <w:marTop w:val="0"/>
          <w:marBottom w:val="0"/>
          <w:divBdr>
            <w:top w:val="none" w:sz="0" w:space="0" w:color="auto"/>
            <w:left w:val="none" w:sz="0" w:space="0" w:color="auto"/>
            <w:bottom w:val="none" w:sz="0" w:space="0" w:color="auto"/>
            <w:right w:val="none" w:sz="0" w:space="0" w:color="auto"/>
          </w:divBdr>
        </w:div>
        <w:div w:id="1196389391">
          <w:marLeft w:val="0"/>
          <w:marRight w:val="0"/>
          <w:marTop w:val="0"/>
          <w:marBottom w:val="0"/>
          <w:divBdr>
            <w:top w:val="none" w:sz="0" w:space="0" w:color="auto"/>
            <w:left w:val="none" w:sz="0" w:space="0" w:color="auto"/>
            <w:bottom w:val="none" w:sz="0" w:space="0" w:color="auto"/>
            <w:right w:val="none" w:sz="0" w:space="0" w:color="auto"/>
          </w:divBdr>
        </w:div>
        <w:div w:id="1201044285">
          <w:marLeft w:val="0"/>
          <w:marRight w:val="0"/>
          <w:marTop w:val="0"/>
          <w:marBottom w:val="0"/>
          <w:divBdr>
            <w:top w:val="none" w:sz="0" w:space="0" w:color="auto"/>
            <w:left w:val="none" w:sz="0" w:space="0" w:color="auto"/>
            <w:bottom w:val="none" w:sz="0" w:space="0" w:color="auto"/>
            <w:right w:val="none" w:sz="0" w:space="0" w:color="auto"/>
          </w:divBdr>
        </w:div>
        <w:div w:id="1216552736">
          <w:marLeft w:val="0"/>
          <w:marRight w:val="0"/>
          <w:marTop w:val="0"/>
          <w:marBottom w:val="0"/>
          <w:divBdr>
            <w:top w:val="none" w:sz="0" w:space="0" w:color="auto"/>
            <w:left w:val="none" w:sz="0" w:space="0" w:color="auto"/>
            <w:bottom w:val="none" w:sz="0" w:space="0" w:color="auto"/>
            <w:right w:val="none" w:sz="0" w:space="0" w:color="auto"/>
          </w:divBdr>
        </w:div>
        <w:div w:id="1356076622">
          <w:marLeft w:val="0"/>
          <w:marRight w:val="0"/>
          <w:marTop w:val="0"/>
          <w:marBottom w:val="0"/>
          <w:divBdr>
            <w:top w:val="none" w:sz="0" w:space="0" w:color="auto"/>
            <w:left w:val="none" w:sz="0" w:space="0" w:color="auto"/>
            <w:bottom w:val="none" w:sz="0" w:space="0" w:color="auto"/>
            <w:right w:val="none" w:sz="0" w:space="0" w:color="auto"/>
          </w:divBdr>
        </w:div>
        <w:div w:id="1485855279">
          <w:marLeft w:val="0"/>
          <w:marRight w:val="0"/>
          <w:marTop w:val="0"/>
          <w:marBottom w:val="0"/>
          <w:divBdr>
            <w:top w:val="none" w:sz="0" w:space="0" w:color="auto"/>
            <w:left w:val="none" w:sz="0" w:space="0" w:color="auto"/>
            <w:bottom w:val="none" w:sz="0" w:space="0" w:color="auto"/>
            <w:right w:val="none" w:sz="0" w:space="0" w:color="auto"/>
          </w:divBdr>
        </w:div>
        <w:div w:id="1487631162">
          <w:marLeft w:val="0"/>
          <w:marRight w:val="0"/>
          <w:marTop w:val="0"/>
          <w:marBottom w:val="0"/>
          <w:divBdr>
            <w:top w:val="none" w:sz="0" w:space="0" w:color="auto"/>
            <w:left w:val="none" w:sz="0" w:space="0" w:color="auto"/>
            <w:bottom w:val="none" w:sz="0" w:space="0" w:color="auto"/>
            <w:right w:val="none" w:sz="0" w:space="0" w:color="auto"/>
          </w:divBdr>
        </w:div>
        <w:div w:id="1508515794">
          <w:marLeft w:val="0"/>
          <w:marRight w:val="0"/>
          <w:marTop w:val="0"/>
          <w:marBottom w:val="0"/>
          <w:divBdr>
            <w:top w:val="none" w:sz="0" w:space="0" w:color="auto"/>
            <w:left w:val="none" w:sz="0" w:space="0" w:color="auto"/>
            <w:bottom w:val="none" w:sz="0" w:space="0" w:color="auto"/>
            <w:right w:val="none" w:sz="0" w:space="0" w:color="auto"/>
          </w:divBdr>
        </w:div>
        <w:div w:id="1512835720">
          <w:marLeft w:val="0"/>
          <w:marRight w:val="0"/>
          <w:marTop w:val="0"/>
          <w:marBottom w:val="0"/>
          <w:divBdr>
            <w:top w:val="none" w:sz="0" w:space="0" w:color="auto"/>
            <w:left w:val="none" w:sz="0" w:space="0" w:color="auto"/>
            <w:bottom w:val="none" w:sz="0" w:space="0" w:color="auto"/>
            <w:right w:val="none" w:sz="0" w:space="0" w:color="auto"/>
          </w:divBdr>
        </w:div>
        <w:div w:id="1580018585">
          <w:marLeft w:val="0"/>
          <w:marRight w:val="0"/>
          <w:marTop w:val="0"/>
          <w:marBottom w:val="0"/>
          <w:divBdr>
            <w:top w:val="none" w:sz="0" w:space="0" w:color="auto"/>
            <w:left w:val="none" w:sz="0" w:space="0" w:color="auto"/>
            <w:bottom w:val="none" w:sz="0" w:space="0" w:color="auto"/>
            <w:right w:val="none" w:sz="0" w:space="0" w:color="auto"/>
          </w:divBdr>
        </w:div>
        <w:div w:id="1609585304">
          <w:marLeft w:val="0"/>
          <w:marRight w:val="0"/>
          <w:marTop w:val="0"/>
          <w:marBottom w:val="0"/>
          <w:divBdr>
            <w:top w:val="none" w:sz="0" w:space="0" w:color="auto"/>
            <w:left w:val="none" w:sz="0" w:space="0" w:color="auto"/>
            <w:bottom w:val="none" w:sz="0" w:space="0" w:color="auto"/>
            <w:right w:val="none" w:sz="0" w:space="0" w:color="auto"/>
          </w:divBdr>
        </w:div>
        <w:div w:id="1634023529">
          <w:marLeft w:val="0"/>
          <w:marRight w:val="0"/>
          <w:marTop w:val="0"/>
          <w:marBottom w:val="0"/>
          <w:divBdr>
            <w:top w:val="none" w:sz="0" w:space="0" w:color="auto"/>
            <w:left w:val="none" w:sz="0" w:space="0" w:color="auto"/>
            <w:bottom w:val="none" w:sz="0" w:space="0" w:color="auto"/>
            <w:right w:val="none" w:sz="0" w:space="0" w:color="auto"/>
          </w:divBdr>
        </w:div>
        <w:div w:id="1646162233">
          <w:marLeft w:val="0"/>
          <w:marRight w:val="0"/>
          <w:marTop w:val="0"/>
          <w:marBottom w:val="0"/>
          <w:divBdr>
            <w:top w:val="none" w:sz="0" w:space="0" w:color="auto"/>
            <w:left w:val="none" w:sz="0" w:space="0" w:color="auto"/>
            <w:bottom w:val="none" w:sz="0" w:space="0" w:color="auto"/>
            <w:right w:val="none" w:sz="0" w:space="0" w:color="auto"/>
          </w:divBdr>
        </w:div>
        <w:div w:id="1798915780">
          <w:marLeft w:val="0"/>
          <w:marRight w:val="0"/>
          <w:marTop w:val="0"/>
          <w:marBottom w:val="0"/>
          <w:divBdr>
            <w:top w:val="none" w:sz="0" w:space="0" w:color="auto"/>
            <w:left w:val="none" w:sz="0" w:space="0" w:color="auto"/>
            <w:bottom w:val="none" w:sz="0" w:space="0" w:color="auto"/>
            <w:right w:val="none" w:sz="0" w:space="0" w:color="auto"/>
          </w:divBdr>
        </w:div>
        <w:div w:id="1868591799">
          <w:marLeft w:val="0"/>
          <w:marRight w:val="0"/>
          <w:marTop w:val="0"/>
          <w:marBottom w:val="0"/>
          <w:divBdr>
            <w:top w:val="none" w:sz="0" w:space="0" w:color="auto"/>
            <w:left w:val="none" w:sz="0" w:space="0" w:color="auto"/>
            <w:bottom w:val="none" w:sz="0" w:space="0" w:color="auto"/>
            <w:right w:val="none" w:sz="0" w:space="0" w:color="auto"/>
          </w:divBdr>
        </w:div>
        <w:div w:id="1962877478">
          <w:marLeft w:val="0"/>
          <w:marRight w:val="0"/>
          <w:marTop w:val="0"/>
          <w:marBottom w:val="0"/>
          <w:divBdr>
            <w:top w:val="none" w:sz="0" w:space="0" w:color="auto"/>
            <w:left w:val="none" w:sz="0" w:space="0" w:color="auto"/>
            <w:bottom w:val="none" w:sz="0" w:space="0" w:color="auto"/>
            <w:right w:val="none" w:sz="0" w:space="0" w:color="auto"/>
          </w:divBdr>
        </w:div>
        <w:div w:id="2020233832">
          <w:marLeft w:val="0"/>
          <w:marRight w:val="0"/>
          <w:marTop w:val="0"/>
          <w:marBottom w:val="0"/>
          <w:divBdr>
            <w:top w:val="none" w:sz="0" w:space="0" w:color="auto"/>
            <w:left w:val="none" w:sz="0" w:space="0" w:color="auto"/>
            <w:bottom w:val="none" w:sz="0" w:space="0" w:color="auto"/>
            <w:right w:val="none" w:sz="0" w:space="0" w:color="auto"/>
          </w:divBdr>
        </w:div>
        <w:div w:id="2031757029">
          <w:marLeft w:val="0"/>
          <w:marRight w:val="0"/>
          <w:marTop w:val="0"/>
          <w:marBottom w:val="0"/>
          <w:divBdr>
            <w:top w:val="none" w:sz="0" w:space="0" w:color="auto"/>
            <w:left w:val="none" w:sz="0" w:space="0" w:color="auto"/>
            <w:bottom w:val="none" w:sz="0" w:space="0" w:color="auto"/>
            <w:right w:val="none" w:sz="0" w:space="0" w:color="auto"/>
          </w:divBdr>
        </w:div>
        <w:div w:id="2048988101">
          <w:marLeft w:val="0"/>
          <w:marRight w:val="0"/>
          <w:marTop w:val="0"/>
          <w:marBottom w:val="0"/>
          <w:divBdr>
            <w:top w:val="none" w:sz="0" w:space="0" w:color="auto"/>
            <w:left w:val="none" w:sz="0" w:space="0" w:color="auto"/>
            <w:bottom w:val="none" w:sz="0" w:space="0" w:color="auto"/>
            <w:right w:val="none" w:sz="0" w:space="0" w:color="auto"/>
          </w:divBdr>
        </w:div>
        <w:div w:id="2105346366">
          <w:marLeft w:val="0"/>
          <w:marRight w:val="0"/>
          <w:marTop w:val="0"/>
          <w:marBottom w:val="0"/>
          <w:divBdr>
            <w:top w:val="none" w:sz="0" w:space="0" w:color="auto"/>
            <w:left w:val="none" w:sz="0" w:space="0" w:color="auto"/>
            <w:bottom w:val="none" w:sz="0" w:space="0" w:color="auto"/>
            <w:right w:val="none" w:sz="0" w:space="0" w:color="auto"/>
          </w:divBdr>
        </w:div>
      </w:divsChild>
    </w:div>
    <w:div w:id="959804243">
      <w:bodyDiv w:val="1"/>
      <w:marLeft w:val="0"/>
      <w:marRight w:val="0"/>
      <w:marTop w:val="0"/>
      <w:marBottom w:val="0"/>
      <w:divBdr>
        <w:top w:val="none" w:sz="0" w:space="0" w:color="auto"/>
        <w:left w:val="none" w:sz="0" w:space="0" w:color="auto"/>
        <w:bottom w:val="none" w:sz="0" w:space="0" w:color="auto"/>
        <w:right w:val="none" w:sz="0" w:space="0" w:color="auto"/>
      </w:divBdr>
    </w:div>
    <w:div w:id="993415117">
      <w:bodyDiv w:val="1"/>
      <w:marLeft w:val="0"/>
      <w:marRight w:val="0"/>
      <w:marTop w:val="0"/>
      <w:marBottom w:val="0"/>
      <w:divBdr>
        <w:top w:val="none" w:sz="0" w:space="0" w:color="auto"/>
        <w:left w:val="none" w:sz="0" w:space="0" w:color="auto"/>
        <w:bottom w:val="none" w:sz="0" w:space="0" w:color="auto"/>
        <w:right w:val="none" w:sz="0" w:space="0" w:color="auto"/>
      </w:divBdr>
    </w:div>
    <w:div w:id="1002507491">
      <w:bodyDiv w:val="1"/>
      <w:marLeft w:val="0"/>
      <w:marRight w:val="0"/>
      <w:marTop w:val="0"/>
      <w:marBottom w:val="0"/>
      <w:divBdr>
        <w:top w:val="none" w:sz="0" w:space="0" w:color="auto"/>
        <w:left w:val="none" w:sz="0" w:space="0" w:color="auto"/>
        <w:bottom w:val="none" w:sz="0" w:space="0" w:color="auto"/>
        <w:right w:val="none" w:sz="0" w:space="0" w:color="auto"/>
      </w:divBdr>
    </w:div>
    <w:div w:id="1063288081">
      <w:bodyDiv w:val="1"/>
      <w:marLeft w:val="0"/>
      <w:marRight w:val="0"/>
      <w:marTop w:val="0"/>
      <w:marBottom w:val="0"/>
      <w:divBdr>
        <w:top w:val="none" w:sz="0" w:space="0" w:color="auto"/>
        <w:left w:val="none" w:sz="0" w:space="0" w:color="auto"/>
        <w:bottom w:val="none" w:sz="0" w:space="0" w:color="auto"/>
        <w:right w:val="none" w:sz="0" w:space="0" w:color="auto"/>
      </w:divBdr>
    </w:div>
    <w:div w:id="1079517105">
      <w:bodyDiv w:val="1"/>
      <w:marLeft w:val="0"/>
      <w:marRight w:val="0"/>
      <w:marTop w:val="0"/>
      <w:marBottom w:val="0"/>
      <w:divBdr>
        <w:top w:val="none" w:sz="0" w:space="0" w:color="auto"/>
        <w:left w:val="none" w:sz="0" w:space="0" w:color="auto"/>
        <w:bottom w:val="none" w:sz="0" w:space="0" w:color="auto"/>
        <w:right w:val="none" w:sz="0" w:space="0" w:color="auto"/>
      </w:divBdr>
    </w:div>
    <w:div w:id="1177421219">
      <w:bodyDiv w:val="1"/>
      <w:marLeft w:val="0"/>
      <w:marRight w:val="0"/>
      <w:marTop w:val="0"/>
      <w:marBottom w:val="0"/>
      <w:divBdr>
        <w:top w:val="none" w:sz="0" w:space="0" w:color="auto"/>
        <w:left w:val="none" w:sz="0" w:space="0" w:color="auto"/>
        <w:bottom w:val="none" w:sz="0" w:space="0" w:color="auto"/>
        <w:right w:val="none" w:sz="0" w:space="0" w:color="auto"/>
      </w:divBdr>
      <w:divsChild>
        <w:div w:id="682124597">
          <w:marLeft w:val="0"/>
          <w:marRight w:val="0"/>
          <w:marTop w:val="0"/>
          <w:marBottom w:val="0"/>
          <w:divBdr>
            <w:top w:val="none" w:sz="0" w:space="0" w:color="auto"/>
            <w:left w:val="none" w:sz="0" w:space="0" w:color="auto"/>
            <w:bottom w:val="none" w:sz="0" w:space="0" w:color="auto"/>
            <w:right w:val="none" w:sz="0" w:space="0" w:color="auto"/>
          </w:divBdr>
        </w:div>
        <w:div w:id="1139035347">
          <w:marLeft w:val="0"/>
          <w:marRight w:val="0"/>
          <w:marTop w:val="0"/>
          <w:marBottom w:val="0"/>
          <w:divBdr>
            <w:top w:val="none" w:sz="0" w:space="0" w:color="auto"/>
            <w:left w:val="none" w:sz="0" w:space="0" w:color="auto"/>
            <w:bottom w:val="none" w:sz="0" w:space="0" w:color="auto"/>
            <w:right w:val="none" w:sz="0" w:space="0" w:color="auto"/>
          </w:divBdr>
        </w:div>
        <w:div w:id="1400323217">
          <w:marLeft w:val="0"/>
          <w:marRight w:val="0"/>
          <w:marTop w:val="0"/>
          <w:marBottom w:val="0"/>
          <w:divBdr>
            <w:top w:val="none" w:sz="0" w:space="0" w:color="auto"/>
            <w:left w:val="none" w:sz="0" w:space="0" w:color="auto"/>
            <w:bottom w:val="none" w:sz="0" w:space="0" w:color="auto"/>
            <w:right w:val="none" w:sz="0" w:space="0" w:color="auto"/>
          </w:divBdr>
        </w:div>
        <w:div w:id="1855530366">
          <w:marLeft w:val="0"/>
          <w:marRight w:val="0"/>
          <w:marTop w:val="0"/>
          <w:marBottom w:val="0"/>
          <w:divBdr>
            <w:top w:val="none" w:sz="0" w:space="0" w:color="auto"/>
            <w:left w:val="none" w:sz="0" w:space="0" w:color="auto"/>
            <w:bottom w:val="none" w:sz="0" w:space="0" w:color="auto"/>
            <w:right w:val="none" w:sz="0" w:space="0" w:color="auto"/>
          </w:divBdr>
        </w:div>
        <w:div w:id="1942759832">
          <w:marLeft w:val="0"/>
          <w:marRight w:val="0"/>
          <w:marTop w:val="0"/>
          <w:marBottom w:val="0"/>
          <w:divBdr>
            <w:top w:val="none" w:sz="0" w:space="0" w:color="auto"/>
            <w:left w:val="none" w:sz="0" w:space="0" w:color="auto"/>
            <w:bottom w:val="none" w:sz="0" w:space="0" w:color="auto"/>
            <w:right w:val="none" w:sz="0" w:space="0" w:color="auto"/>
          </w:divBdr>
        </w:div>
      </w:divsChild>
    </w:div>
    <w:div w:id="1213153427">
      <w:bodyDiv w:val="1"/>
      <w:marLeft w:val="0"/>
      <w:marRight w:val="0"/>
      <w:marTop w:val="0"/>
      <w:marBottom w:val="0"/>
      <w:divBdr>
        <w:top w:val="none" w:sz="0" w:space="0" w:color="auto"/>
        <w:left w:val="none" w:sz="0" w:space="0" w:color="auto"/>
        <w:bottom w:val="none" w:sz="0" w:space="0" w:color="auto"/>
        <w:right w:val="none" w:sz="0" w:space="0" w:color="auto"/>
      </w:divBdr>
    </w:div>
    <w:div w:id="1233613694">
      <w:bodyDiv w:val="1"/>
      <w:marLeft w:val="0"/>
      <w:marRight w:val="0"/>
      <w:marTop w:val="0"/>
      <w:marBottom w:val="0"/>
      <w:divBdr>
        <w:top w:val="none" w:sz="0" w:space="0" w:color="auto"/>
        <w:left w:val="none" w:sz="0" w:space="0" w:color="auto"/>
        <w:bottom w:val="none" w:sz="0" w:space="0" w:color="auto"/>
        <w:right w:val="none" w:sz="0" w:space="0" w:color="auto"/>
      </w:divBdr>
    </w:div>
    <w:div w:id="1236664676">
      <w:bodyDiv w:val="1"/>
      <w:marLeft w:val="0"/>
      <w:marRight w:val="0"/>
      <w:marTop w:val="0"/>
      <w:marBottom w:val="0"/>
      <w:divBdr>
        <w:top w:val="none" w:sz="0" w:space="0" w:color="auto"/>
        <w:left w:val="none" w:sz="0" w:space="0" w:color="auto"/>
        <w:bottom w:val="none" w:sz="0" w:space="0" w:color="auto"/>
        <w:right w:val="none" w:sz="0" w:space="0" w:color="auto"/>
      </w:divBdr>
    </w:div>
    <w:div w:id="1271014382">
      <w:bodyDiv w:val="1"/>
      <w:marLeft w:val="0"/>
      <w:marRight w:val="0"/>
      <w:marTop w:val="0"/>
      <w:marBottom w:val="0"/>
      <w:divBdr>
        <w:top w:val="none" w:sz="0" w:space="0" w:color="auto"/>
        <w:left w:val="none" w:sz="0" w:space="0" w:color="auto"/>
        <w:bottom w:val="none" w:sz="0" w:space="0" w:color="auto"/>
        <w:right w:val="none" w:sz="0" w:space="0" w:color="auto"/>
      </w:divBdr>
    </w:div>
    <w:div w:id="1274558606">
      <w:bodyDiv w:val="1"/>
      <w:marLeft w:val="0"/>
      <w:marRight w:val="0"/>
      <w:marTop w:val="0"/>
      <w:marBottom w:val="0"/>
      <w:divBdr>
        <w:top w:val="none" w:sz="0" w:space="0" w:color="auto"/>
        <w:left w:val="none" w:sz="0" w:space="0" w:color="auto"/>
        <w:bottom w:val="none" w:sz="0" w:space="0" w:color="auto"/>
        <w:right w:val="none" w:sz="0" w:space="0" w:color="auto"/>
      </w:divBdr>
      <w:divsChild>
        <w:div w:id="401757881">
          <w:marLeft w:val="0"/>
          <w:marRight w:val="0"/>
          <w:marTop w:val="0"/>
          <w:marBottom w:val="0"/>
          <w:divBdr>
            <w:top w:val="none" w:sz="0" w:space="0" w:color="auto"/>
            <w:left w:val="none" w:sz="0" w:space="0" w:color="auto"/>
            <w:bottom w:val="none" w:sz="0" w:space="0" w:color="auto"/>
            <w:right w:val="none" w:sz="0" w:space="0" w:color="auto"/>
          </w:divBdr>
        </w:div>
        <w:div w:id="881598141">
          <w:marLeft w:val="0"/>
          <w:marRight w:val="0"/>
          <w:marTop w:val="0"/>
          <w:marBottom w:val="0"/>
          <w:divBdr>
            <w:top w:val="none" w:sz="0" w:space="0" w:color="auto"/>
            <w:left w:val="none" w:sz="0" w:space="0" w:color="auto"/>
            <w:bottom w:val="none" w:sz="0" w:space="0" w:color="auto"/>
            <w:right w:val="none" w:sz="0" w:space="0" w:color="auto"/>
          </w:divBdr>
        </w:div>
        <w:div w:id="1305232798">
          <w:marLeft w:val="0"/>
          <w:marRight w:val="0"/>
          <w:marTop w:val="0"/>
          <w:marBottom w:val="0"/>
          <w:divBdr>
            <w:top w:val="none" w:sz="0" w:space="0" w:color="auto"/>
            <w:left w:val="none" w:sz="0" w:space="0" w:color="auto"/>
            <w:bottom w:val="none" w:sz="0" w:space="0" w:color="auto"/>
            <w:right w:val="none" w:sz="0" w:space="0" w:color="auto"/>
          </w:divBdr>
        </w:div>
        <w:div w:id="1567914660">
          <w:marLeft w:val="0"/>
          <w:marRight w:val="0"/>
          <w:marTop w:val="0"/>
          <w:marBottom w:val="0"/>
          <w:divBdr>
            <w:top w:val="none" w:sz="0" w:space="0" w:color="auto"/>
            <w:left w:val="none" w:sz="0" w:space="0" w:color="auto"/>
            <w:bottom w:val="none" w:sz="0" w:space="0" w:color="auto"/>
            <w:right w:val="none" w:sz="0" w:space="0" w:color="auto"/>
          </w:divBdr>
        </w:div>
        <w:div w:id="2069571258">
          <w:marLeft w:val="0"/>
          <w:marRight w:val="0"/>
          <w:marTop w:val="0"/>
          <w:marBottom w:val="0"/>
          <w:divBdr>
            <w:top w:val="none" w:sz="0" w:space="0" w:color="auto"/>
            <w:left w:val="none" w:sz="0" w:space="0" w:color="auto"/>
            <w:bottom w:val="none" w:sz="0" w:space="0" w:color="auto"/>
            <w:right w:val="none" w:sz="0" w:space="0" w:color="auto"/>
          </w:divBdr>
        </w:div>
      </w:divsChild>
    </w:div>
    <w:div w:id="1276210962">
      <w:bodyDiv w:val="1"/>
      <w:marLeft w:val="0"/>
      <w:marRight w:val="0"/>
      <w:marTop w:val="0"/>
      <w:marBottom w:val="0"/>
      <w:divBdr>
        <w:top w:val="none" w:sz="0" w:space="0" w:color="auto"/>
        <w:left w:val="none" w:sz="0" w:space="0" w:color="auto"/>
        <w:bottom w:val="none" w:sz="0" w:space="0" w:color="auto"/>
        <w:right w:val="none" w:sz="0" w:space="0" w:color="auto"/>
      </w:divBdr>
    </w:div>
    <w:div w:id="1323925323">
      <w:bodyDiv w:val="1"/>
      <w:marLeft w:val="0"/>
      <w:marRight w:val="0"/>
      <w:marTop w:val="0"/>
      <w:marBottom w:val="0"/>
      <w:divBdr>
        <w:top w:val="none" w:sz="0" w:space="0" w:color="auto"/>
        <w:left w:val="none" w:sz="0" w:space="0" w:color="auto"/>
        <w:bottom w:val="none" w:sz="0" w:space="0" w:color="auto"/>
        <w:right w:val="none" w:sz="0" w:space="0" w:color="auto"/>
      </w:divBdr>
    </w:div>
    <w:div w:id="1356350190">
      <w:bodyDiv w:val="1"/>
      <w:marLeft w:val="0"/>
      <w:marRight w:val="0"/>
      <w:marTop w:val="0"/>
      <w:marBottom w:val="0"/>
      <w:divBdr>
        <w:top w:val="none" w:sz="0" w:space="0" w:color="auto"/>
        <w:left w:val="none" w:sz="0" w:space="0" w:color="auto"/>
        <w:bottom w:val="none" w:sz="0" w:space="0" w:color="auto"/>
        <w:right w:val="none" w:sz="0" w:space="0" w:color="auto"/>
      </w:divBdr>
    </w:div>
    <w:div w:id="1371104786">
      <w:bodyDiv w:val="1"/>
      <w:marLeft w:val="0"/>
      <w:marRight w:val="0"/>
      <w:marTop w:val="0"/>
      <w:marBottom w:val="0"/>
      <w:divBdr>
        <w:top w:val="none" w:sz="0" w:space="0" w:color="auto"/>
        <w:left w:val="none" w:sz="0" w:space="0" w:color="auto"/>
        <w:bottom w:val="none" w:sz="0" w:space="0" w:color="auto"/>
        <w:right w:val="none" w:sz="0" w:space="0" w:color="auto"/>
      </w:divBdr>
      <w:divsChild>
        <w:div w:id="26295941">
          <w:marLeft w:val="0"/>
          <w:marRight w:val="0"/>
          <w:marTop w:val="0"/>
          <w:marBottom w:val="0"/>
          <w:divBdr>
            <w:top w:val="none" w:sz="0" w:space="0" w:color="auto"/>
            <w:left w:val="none" w:sz="0" w:space="0" w:color="auto"/>
            <w:bottom w:val="none" w:sz="0" w:space="0" w:color="auto"/>
            <w:right w:val="none" w:sz="0" w:space="0" w:color="auto"/>
          </w:divBdr>
        </w:div>
        <w:div w:id="37703163">
          <w:marLeft w:val="0"/>
          <w:marRight w:val="0"/>
          <w:marTop w:val="0"/>
          <w:marBottom w:val="0"/>
          <w:divBdr>
            <w:top w:val="none" w:sz="0" w:space="0" w:color="auto"/>
            <w:left w:val="none" w:sz="0" w:space="0" w:color="auto"/>
            <w:bottom w:val="none" w:sz="0" w:space="0" w:color="auto"/>
            <w:right w:val="none" w:sz="0" w:space="0" w:color="auto"/>
          </w:divBdr>
        </w:div>
        <w:div w:id="46876289">
          <w:marLeft w:val="0"/>
          <w:marRight w:val="0"/>
          <w:marTop w:val="0"/>
          <w:marBottom w:val="0"/>
          <w:divBdr>
            <w:top w:val="none" w:sz="0" w:space="0" w:color="auto"/>
            <w:left w:val="none" w:sz="0" w:space="0" w:color="auto"/>
            <w:bottom w:val="none" w:sz="0" w:space="0" w:color="auto"/>
            <w:right w:val="none" w:sz="0" w:space="0" w:color="auto"/>
          </w:divBdr>
        </w:div>
        <w:div w:id="88083155">
          <w:marLeft w:val="0"/>
          <w:marRight w:val="0"/>
          <w:marTop w:val="0"/>
          <w:marBottom w:val="0"/>
          <w:divBdr>
            <w:top w:val="none" w:sz="0" w:space="0" w:color="auto"/>
            <w:left w:val="none" w:sz="0" w:space="0" w:color="auto"/>
            <w:bottom w:val="none" w:sz="0" w:space="0" w:color="auto"/>
            <w:right w:val="none" w:sz="0" w:space="0" w:color="auto"/>
          </w:divBdr>
        </w:div>
        <w:div w:id="289365669">
          <w:marLeft w:val="0"/>
          <w:marRight w:val="0"/>
          <w:marTop w:val="0"/>
          <w:marBottom w:val="0"/>
          <w:divBdr>
            <w:top w:val="none" w:sz="0" w:space="0" w:color="auto"/>
            <w:left w:val="none" w:sz="0" w:space="0" w:color="auto"/>
            <w:bottom w:val="none" w:sz="0" w:space="0" w:color="auto"/>
            <w:right w:val="none" w:sz="0" w:space="0" w:color="auto"/>
          </w:divBdr>
        </w:div>
        <w:div w:id="698823614">
          <w:marLeft w:val="0"/>
          <w:marRight w:val="0"/>
          <w:marTop w:val="0"/>
          <w:marBottom w:val="0"/>
          <w:divBdr>
            <w:top w:val="none" w:sz="0" w:space="0" w:color="auto"/>
            <w:left w:val="none" w:sz="0" w:space="0" w:color="auto"/>
            <w:bottom w:val="none" w:sz="0" w:space="0" w:color="auto"/>
            <w:right w:val="none" w:sz="0" w:space="0" w:color="auto"/>
          </w:divBdr>
        </w:div>
        <w:div w:id="880093533">
          <w:marLeft w:val="0"/>
          <w:marRight w:val="0"/>
          <w:marTop w:val="0"/>
          <w:marBottom w:val="0"/>
          <w:divBdr>
            <w:top w:val="none" w:sz="0" w:space="0" w:color="auto"/>
            <w:left w:val="none" w:sz="0" w:space="0" w:color="auto"/>
            <w:bottom w:val="none" w:sz="0" w:space="0" w:color="auto"/>
            <w:right w:val="none" w:sz="0" w:space="0" w:color="auto"/>
          </w:divBdr>
        </w:div>
        <w:div w:id="936524229">
          <w:marLeft w:val="0"/>
          <w:marRight w:val="0"/>
          <w:marTop w:val="0"/>
          <w:marBottom w:val="0"/>
          <w:divBdr>
            <w:top w:val="none" w:sz="0" w:space="0" w:color="auto"/>
            <w:left w:val="none" w:sz="0" w:space="0" w:color="auto"/>
            <w:bottom w:val="none" w:sz="0" w:space="0" w:color="auto"/>
            <w:right w:val="none" w:sz="0" w:space="0" w:color="auto"/>
          </w:divBdr>
        </w:div>
        <w:div w:id="989410095">
          <w:marLeft w:val="0"/>
          <w:marRight w:val="0"/>
          <w:marTop w:val="0"/>
          <w:marBottom w:val="0"/>
          <w:divBdr>
            <w:top w:val="none" w:sz="0" w:space="0" w:color="auto"/>
            <w:left w:val="none" w:sz="0" w:space="0" w:color="auto"/>
            <w:bottom w:val="none" w:sz="0" w:space="0" w:color="auto"/>
            <w:right w:val="none" w:sz="0" w:space="0" w:color="auto"/>
          </w:divBdr>
        </w:div>
        <w:div w:id="1000890396">
          <w:marLeft w:val="0"/>
          <w:marRight w:val="0"/>
          <w:marTop w:val="0"/>
          <w:marBottom w:val="0"/>
          <w:divBdr>
            <w:top w:val="none" w:sz="0" w:space="0" w:color="auto"/>
            <w:left w:val="none" w:sz="0" w:space="0" w:color="auto"/>
            <w:bottom w:val="none" w:sz="0" w:space="0" w:color="auto"/>
            <w:right w:val="none" w:sz="0" w:space="0" w:color="auto"/>
          </w:divBdr>
        </w:div>
        <w:div w:id="1064840677">
          <w:marLeft w:val="0"/>
          <w:marRight w:val="0"/>
          <w:marTop w:val="0"/>
          <w:marBottom w:val="0"/>
          <w:divBdr>
            <w:top w:val="none" w:sz="0" w:space="0" w:color="auto"/>
            <w:left w:val="none" w:sz="0" w:space="0" w:color="auto"/>
            <w:bottom w:val="none" w:sz="0" w:space="0" w:color="auto"/>
            <w:right w:val="none" w:sz="0" w:space="0" w:color="auto"/>
          </w:divBdr>
        </w:div>
        <w:div w:id="1109162295">
          <w:marLeft w:val="0"/>
          <w:marRight w:val="0"/>
          <w:marTop w:val="0"/>
          <w:marBottom w:val="0"/>
          <w:divBdr>
            <w:top w:val="none" w:sz="0" w:space="0" w:color="auto"/>
            <w:left w:val="none" w:sz="0" w:space="0" w:color="auto"/>
            <w:bottom w:val="none" w:sz="0" w:space="0" w:color="auto"/>
            <w:right w:val="none" w:sz="0" w:space="0" w:color="auto"/>
          </w:divBdr>
        </w:div>
        <w:div w:id="1196770239">
          <w:marLeft w:val="0"/>
          <w:marRight w:val="0"/>
          <w:marTop w:val="0"/>
          <w:marBottom w:val="0"/>
          <w:divBdr>
            <w:top w:val="none" w:sz="0" w:space="0" w:color="auto"/>
            <w:left w:val="none" w:sz="0" w:space="0" w:color="auto"/>
            <w:bottom w:val="none" w:sz="0" w:space="0" w:color="auto"/>
            <w:right w:val="none" w:sz="0" w:space="0" w:color="auto"/>
          </w:divBdr>
        </w:div>
        <w:div w:id="1417819738">
          <w:marLeft w:val="0"/>
          <w:marRight w:val="0"/>
          <w:marTop w:val="0"/>
          <w:marBottom w:val="0"/>
          <w:divBdr>
            <w:top w:val="none" w:sz="0" w:space="0" w:color="auto"/>
            <w:left w:val="none" w:sz="0" w:space="0" w:color="auto"/>
            <w:bottom w:val="none" w:sz="0" w:space="0" w:color="auto"/>
            <w:right w:val="none" w:sz="0" w:space="0" w:color="auto"/>
          </w:divBdr>
        </w:div>
        <w:div w:id="1430808613">
          <w:marLeft w:val="0"/>
          <w:marRight w:val="0"/>
          <w:marTop w:val="0"/>
          <w:marBottom w:val="0"/>
          <w:divBdr>
            <w:top w:val="none" w:sz="0" w:space="0" w:color="auto"/>
            <w:left w:val="none" w:sz="0" w:space="0" w:color="auto"/>
            <w:bottom w:val="none" w:sz="0" w:space="0" w:color="auto"/>
            <w:right w:val="none" w:sz="0" w:space="0" w:color="auto"/>
          </w:divBdr>
        </w:div>
        <w:div w:id="1569685469">
          <w:marLeft w:val="0"/>
          <w:marRight w:val="0"/>
          <w:marTop w:val="0"/>
          <w:marBottom w:val="0"/>
          <w:divBdr>
            <w:top w:val="none" w:sz="0" w:space="0" w:color="auto"/>
            <w:left w:val="none" w:sz="0" w:space="0" w:color="auto"/>
            <w:bottom w:val="none" w:sz="0" w:space="0" w:color="auto"/>
            <w:right w:val="none" w:sz="0" w:space="0" w:color="auto"/>
          </w:divBdr>
        </w:div>
        <w:div w:id="1618874844">
          <w:marLeft w:val="0"/>
          <w:marRight w:val="0"/>
          <w:marTop w:val="0"/>
          <w:marBottom w:val="0"/>
          <w:divBdr>
            <w:top w:val="none" w:sz="0" w:space="0" w:color="auto"/>
            <w:left w:val="none" w:sz="0" w:space="0" w:color="auto"/>
            <w:bottom w:val="none" w:sz="0" w:space="0" w:color="auto"/>
            <w:right w:val="none" w:sz="0" w:space="0" w:color="auto"/>
          </w:divBdr>
        </w:div>
        <w:div w:id="1778520951">
          <w:marLeft w:val="0"/>
          <w:marRight w:val="0"/>
          <w:marTop w:val="0"/>
          <w:marBottom w:val="0"/>
          <w:divBdr>
            <w:top w:val="none" w:sz="0" w:space="0" w:color="auto"/>
            <w:left w:val="none" w:sz="0" w:space="0" w:color="auto"/>
            <w:bottom w:val="none" w:sz="0" w:space="0" w:color="auto"/>
            <w:right w:val="none" w:sz="0" w:space="0" w:color="auto"/>
          </w:divBdr>
        </w:div>
        <w:div w:id="1996254449">
          <w:marLeft w:val="0"/>
          <w:marRight w:val="0"/>
          <w:marTop w:val="0"/>
          <w:marBottom w:val="0"/>
          <w:divBdr>
            <w:top w:val="none" w:sz="0" w:space="0" w:color="auto"/>
            <w:left w:val="none" w:sz="0" w:space="0" w:color="auto"/>
            <w:bottom w:val="none" w:sz="0" w:space="0" w:color="auto"/>
            <w:right w:val="none" w:sz="0" w:space="0" w:color="auto"/>
          </w:divBdr>
        </w:div>
      </w:divsChild>
    </w:div>
    <w:div w:id="1381129211">
      <w:bodyDiv w:val="1"/>
      <w:marLeft w:val="0"/>
      <w:marRight w:val="0"/>
      <w:marTop w:val="0"/>
      <w:marBottom w:val="0"/>
      <w:divBdr>
        <w:top w:val="none" w:sz="0" w:space="0" w:color="auto"/>
        <w:left w:val="none" w:sz="0" w:space="0" w:color="auto"/>
        <w:bottom w:val="none" w:sz="0" w:space="0" w:color="auto"/>
        <w:right w:val="none" w:sz="0" w:space="0" w:color="auto"/>
      </w:divBdr>
      <w:divsChild>
        <w:div w:id="8257857">
          <w:marLeft w:val="0"/>
          <w:marRight w:val="0"/>
          <w:marTop w:val="0"/>
          <w:marBottom w:val="0"/>
          <w:divBdr>
            <w:top w:val="none" w:sz="0" w:space="0" w:color="auto"/>
            <w:left w:val="none" w:sz="0" w:space="0" w:color="auto"/>
            <w:bottom w:val="none" w:sz="0" w:space="0" w:color="auto"/>
            <w:right w:val="none" w:sz="0" w:space="0" w:color="auto"/>
          </w:divBdr>
        </w:div>
        <w:div w:id="412968012">
          <w:marLeft w:val="0"/>
          <w:marRight w:val="0"/>
          <w:marTop w:val="0"/>
          <w:marBottom w:val="0"/>
          <w:divBdr>
            <w:top w:val="none" w:sz="0" w:space="0" w:color="auto"/>
            <w:left w:val="none" w:sz="0" w:space="0" w:color="auto"/>
            <w:bottom w:val="none" w:sz="0" w:space="0" w:color="auto"/>
            <w:right w:val="none" w:sz="0" w:space="0" w:color="auto"/>
          </w:divBdr>
        </w:div>
        <w:div w:id="430124297">
          <w:marLeft w:val="0"/>
          <w:marRight w:val="0"/>
          <w:marTop w:val="0"/>
          <w:marBottom w:val="0"/>
          <w:divBdr>
            <w:top w:val="none" w:sz="0" w:space="0" w:color="auto"/>
            <w:left w:val="none" w:sz="0" w:space="0" w:color="auto"/>
            <w:bottom w:val="none" w:sz="0" w:space="0" w:color="auto"/>
            <w:right w:val="none" w:sz="0" w:space="0" w:color="auto"/>
          </w:divBdr>
        </w:div>
        <w:div w:id="1494175206">
          <w:marLeft w:val="0"/>
          <w:marRight w:val="0"/>
          <w:marTop w:val="0"/>
          <w:marBottom w:val="0"/>
          <w:divBdr>
            <w:top w:val="none" w:sz="0" w:space="0" w:color="auto"/>
            <w:left w:val="none" w:sz="0" w:space="0" w:color="auto"/>
            <w:bottom w:val="none" w:sz="0" w:space="0" w:color="auto"/>
            <w:right w:val="none" w:sz="0" w:space="0" w:color="auto"/>
          </w:divBdr>
        </w:div>
        <w:div w:id="1499732152">
          <w:marLeft w:val="0"/>
          <w:marRight w:val="0"/>
          <w:marTop w:val="0"/>
          <w:marBottom w:val="0"/>
          <w:divBdr>
            <w:top w:val="none" w:sz="0" w:space="0" w:color="auto"/>
            <w:left w:val="none" w:sz="0" w:space="0" w:color="auto"/>
            <w:bottom w:val="none" w:sz="0" w:space="0" w:color="auto"/>
            <w:right w:val="none" w:sz="0" w:space="0" w:color="auto"/>
          </w:divBdr>
        </w:div>
      </w:divsChild>
    </w:div>
    <w:div w:id="1428843674">
      <w:bodyDiv w:val="1"/>
      <w:marLeft w:val="0"/>
      <w:marRight w:val="0"/>
      <w:marTop w:val="0"/>
      <w:marBottom w:val="0"/>
      <w:divBdr>
        <w:top w:val="none" w:sz="0" w:space="0" w:color="auto"/>
        <w:left w:val="none" w:sz="0" w:space="0" w:color="auto"/>
        <w:bottom w:val="none" w:sz="0" w:space="0" w:color="auto"/>
        <w:right w:val="none" w:sz="0" w:space="0" w:color="auto"/>
      </w:divBdr>
      <w:divsChild>
        <w:div w:id="268125714">
          <w:marLeft w:val="0"/>
          <w:marRight w:val="0"/>
          <w:marTop w:val="0"/>
          <w:marBottom w:val="0"/>
          <w:divBdr>
            <w:top w:val="none" w:sz="0" w:space="0" w:color="auto"/>
            <w:left w:val="none" w:sz="0" w:space="0" w:color="auto"/>
            <w:bottom w:val="none" w:sz="0" w:space="0" w:color="auto"/>
            <w:right w:val="none" w:sz="0" w:space="0" w:color="auto"/>
          </w:divBdr>
        </w:div>
      </w:divsChild>
    </w:div>
    <w:div w:id="1430659001">
      <w:bodyDiv w:val="1"/>
      <w:marLeft w:val="0"/>
      <w:marRight w:val="0"/>
      <w:marTop w:val="0"/>
      <w:marBottom w:val="0"/>
      <w:divBdr>
        <w:top w:val="none" w:sz="0" w:space="0" w:color="auto"/>
        <w:left w:val="none" w:sz="0" w:space="0" w:color="auto"/>
        <w:bottom w:val="none" w:sz="0" w:space="0" w:color="auto"/>
        <w:right w:val="none" w:sz="0" w:space="0" w:color="auto"/>
      </w:divBdr>
      <w:divsChild>
        <w:div w:id="905263394">
          <w:marLeft w:val="0"/>
          <w:marRight w:val="0"/>
          <w:marTop w:val="0"/>
          <w:marBottom w:val="0"/>
          <w:divBdr>
            <w:top w:val="none" w:sz="0" w:space="0" w:color="auto"/>
            <w:left w:val="none" w:sz="0" w:space="0" w:color="auto"/>
            <w:bottom w:val="none" w:sz="0" w:space="0" w:color="auto"/>
            <w:right w:val="none" w:sz="0" w:space="0" w:color="auto"/>
          </w:divBdr>
        </w:div>
      </w:divsChild>
    </w:div>
    <w:div w:id="1433891616">
      <w:bodyDiv w:val="1"/>
      <w:marLeft w:val="0"/>
      <w:marRight w:val="0"/>
      <w:marTop w:val="0"/>
      <w:marBottom w:val="0"/>
      <w:divBdr>
        <w:top w:val="none" w:sz="0" w:space="0" w:color="auto"/>
        <w:left w:val="none" w:sz="0" w:space="0" w:color="auto"/>
        <w:bottom w:val="none" w:sz="0" w:space="0" w:color="auto"/>
        <w:right w:val="none" w:sz="0" w:space="0" w:color="auto"/>
      </w:divBdr>
      <w:divsChild>
        <w:div w:id="66654028">
          <w:marLeft w:val="0"/>
          <w:marRight w:val="0"/>
          <w:marTop w:val="0"/>
          <w:marBottom w:val="0"/>
          <w:divBdr>
            <w:top w:val="none" w:sz="0" w:space="0" w:color="auto"/>
            <w:left w:val="none" w:sz="0" w:space="0" w:color="auto"/>
            <w:bottom w:val="none" w:sz="0" w:space="0" w:color="auto"/>
            <w:right w:val="none" w:sz="0" w:space="0" w:color="auto"/>
          </w:divBdr>
        </w:div>
        <w:div w:id="79954257">
          <w:marLeft w:val="0"/>
          <w:marRight w:val="0"/>
          <w:marTop w:val="0"/>
          <w:marBottom w:val="0"/>
          <w:divBdr>
            <w:top w:val="none" w:sz="0" w:space="0" w:color="auto"/>
            <w:left w:val="none" w:sz="0" w:space="0" w:color="auto"/>
            <w:bottom w:val="none" w:sz="0" w:space="0" w:color="auto"/>
            <w:right w:val="none" w:sz="0" w:space="0" w:color="auto"/>
          </w:divBdr>
        </w:div>
        <w:div w:id="106972921">
          <w:marLeft w:val="0"/>
          <w:marRight w:val="0"/>
          <w:marTop w:val="0"/>
          <w:marBottom w:val="0"/>
          <w:divBdr>
            <w:top w:val="none" w:sz="0" w:space="0" w:color="auto"/>
            <w:left w:val="none" w:sz="0" w:space="0" w:color="auto"/>
            <w:bottom w:val="none" w:sz="0" w:space="0" w:color="auto"/>
            <w:right w:val="none" w:sz="0" w:space="0" w:color="auto"/>
          </w:divBdr>
        </w:div>
        <w:div w:id="213002421">
          <w:marLeft w:val="0"/>
          <w:marRight w:val="0"/>
          <w:marTop w:val="0"/>
          <w:marBottom w:val="0"/>
          <w:divBdr>
            <w:top w:val="none" w:sz="0" w:space="0" w:color="auto"/>
            <w:left w:val="none" w:sz="0" w:space="0" w:color="auto"/>
            <w:bottom w:val="none" w:sz="0" w:space="0" w:color="auto"/>
            <w:right w:val="none" w:sz="0" w:space="0" w:color="auto"/>
          </w:divBdr>
        </w:div>
        <w:div w:id="215943759">
          <w:marLeft w:val="0"/>
          <w:marRight w:val="0"/>
          <w:marTop w:val="0"/>
          <w:marBottom w:val="0"/>
          <w:divBdr>
            <w:top w:val="none" w:sz="0" w:space="0" w:color="auto"/>
            <w:left w:val="none" w:sz="0" w:space="0" w:color="auto"/>
            <w:bottom w:val="none" w:sz="0" w:space="0" w:color="auto"/>
            <w:right w:val="none" w:sz="0" w:space="0" w:color="auto"/>
          </w:divBdr>
        </w:div>
        <w:div w:id="271281067">
          <w:marLeft w:val="0"/>
          <w:marRight w:val="0"/>
          <w:marTop w:val="0"/>
          <w:marBottom w:val="0"/>
          <w:divBdr>
            <w:top w:val="none" w:sz="0" w:space="0" w:color="auto"/>
            <w:left w:val="none" w:sz="0" w:space="0" w:color="auto"/>
            <w:bottom w:val="none" w:sz="0" w:space="0" w:color="auto"/>
            <w:right w:val="none" w:sz="0" w:space="0" w:color="auto"/>
          </w:divBdr>
        </w:div>
        <w:div w:id="271472249">
          <w:marLeft w:val="0"/>
          <w:marRight w:val="0"/>
          <w:marTop w:val="0"/>
          <w:marBottom w:val="0"/>
          <w:divBdr>
            <w:top w:val="none" w:sz="0" w:space="0" w:color="auto"/>
            <w:left w:val="none" w:sz="0" w:space="0" w:color="auto"/>
            <w:bottom w:val="none" w:sz="0" w:space="0" w:color="auto"/>
            <w:right w:val="none" w:sz="0" w:space="0" w:color="auto"/>
          </w:divBdr>
        </w:div>
        <w:div w:id="299506257">
          <w:marLeft w:val="0"/>
          <w:marRight w:val="0"/>
          <w:marTop w:val="0"/>
          <w:marBottom w:val="0"/>
          <w:divBdr>
            <w:top w:val="none" w:sz="0" w:space="0" w:color="auto"/>
            <w:left w:val="none" w:sz="0" w:space="0" w:color="auto"/>
            <w:bottom w:val="none" w:sz="0" w:space="0" w:color="auto"/>
            <w:right w:val="none" w:sz="0" w:space="0" w:color="auto"/>
          </w:divBdr>
        </w:div>
        <w:div w:id="408893001">
          <w:marLeft w:val="0"/>
          <w:marRight w:val="0"/>
          <w:marTop w:val="0"/>
          <w:marBottom w:val="0"/>
          <w:divBdr>
            <w:top w:val="none" w:sz="0" w:space="0" w:color="auto"/>
            <w:left w:val="none" w:sz="0" w:space="0" w:color="auto"/>
            <w:bottom w:val="none" w:sz="0" w:space="0" w:color="auto"/>
            <w:right w:val="none" w:sz="0" w:space="0" w:color="auto"/>
          </w:divBdr>
        </w:div>
        <w:div w:id="416442831">
          <w:marLeft w:val="0"/>
          <w:marRight w:val="0"/>
          <w:marTop w:val="0"/>
          <w:marBottom w:val="0"/>
          <w:divBdr>
            <w:top w:val="none" w:sz="0" w:space="0" w:color="auto"/>
            <w:left w:val="none" w:sz="0" w:space="0" w:color="auto"/>
            <w:bottom w:val="none" w:sz="0" w:space="0" w:color="auto"/>
            <w:right w:val="none" w:sz="0" w:space="0" w:color="auto"/>
          </w:divBdr>
        </w:div>
        <w:div w:id="418790478">
          <w:marLeft w:val="0"/>
          <w:marRight w:val="0"/>
          <w:marTop w:val="0"/>
          <w:marBottom w:val="0"/>
          <w:divBdr>
            <w:top w:val="none" w:sz="0" w:space="0" w:color="auto"/>
            <w:left w:val="none" w:sz="0" w:space="0" w:color="auto"/>
            <w:bottom w:val="none" w:sz="0" w:space="0" w:color="auto"/>
            <w:right w:val="none" w:sz="0" w:space="0" w:color="auto"/>
          </w:divBdr>
        </w:div>
        <w:div w:id="423261905">
          <w:marLeft w:val="0"/>
          <w:marRight w:val="0"/>
          <w:marTop w:val="0"/>
          <w:marBottom w:val="0"/>
          <w:divBdr>
            <w:top w:val="none" w:sz="0" w:space="0" w:color="auto"/>
            <w:left w:val="none" w:sz="0" w:space="0" w:color="auto"/>
            <w:bottom w:val="none" w:sz="0" w:space="0" w:color="auto"/>
            <w:right w:val="none" w:sz="0" w:space="0" w:color="auto"/>
          </w:divBdr>
        </w:div>
        <w:div w:id="461271180">
          <w:marLeft w:val="0"/>
          <w:marRight w:val="0"/>
          <w:marTop w:val="0"/>
          <w:marBottom w:val="0"/>
          <w:divBdr>
            <w:top w:val="none" w:sz="0" w:space="0" w:color="auto"/>
            <w:left w:val="none" w:sz="0" w:space="0" w:color="auto"/>
            <w:bottom w:val="none" w:sz="0" w:space="0" w:color="auto"/>
            <w:right w:val="none" w:sz="0" w:space="0" w:color="auto"/>
          </w:divBdr>
        </w:div>
        <w:div w:id="502741660">
          <w:marLeft w:val="0"/>
          <w:marRight w:val="0"/>
          <w:marTop w:val="0"/>
          <w:marBottom w:val="0"/>
          <w:divBdr>
            <w:top w:val="none" w:sz="0" w:space="0" w:color="auto"/>
            <w:left w:val="none" w:sz="0" w:space="0" w:color="auto"/>
            <w:bottom w:val="none" w:sz="0" w:space="0" w:color="auto"/>
            <w:right w:val="none" w:sz="0" w:space="0" w:color="auto"/>
          </w:divBdr>
        </w:div>
        <w:div w:id="532577259">
          <w:marLeft w:val="0"/>
          <w:marRight w:val="0"/>
          <w:marTop w:val="0"/>
          <w:marBottom w:val="0"/>
          <w:divBdr>
            <w:top w:val="none" w:sz="0" w:space="0" w:color="auto"/>
            <w:left w:val="none" w:sz="0" w:space="0" w:color="auto"/>
            <w:bottom w:val="none" w:sz="0" w:space="0" w:color="auto"/>
            <w:right w:val="none" w:sz="0" w:space="0" w:color="auto"/>
          </w:divBdr>
        </w:div>
        <w:div w:id="737094227">
          <w:marLeft w:val="0"/>
          <w:marRight w:val="0"/>
          <w:marTop w:val="0"/>
          <w:marBottom w:val="0"/>
          <w:divBdr>
            <w:top w:val="none" w:sz="0" w:space="0" w:color="auto"/>
            <w:left w:val="none" w:sz="0" w:space="0" w:color="auto"/>
            <w:bottom w:val="none" w:sz="0" w:space="0" w:color="auto"/>
            <w:right w:val="none" w:sz="0" w:space="0" w:color="auto"/>
          </w:divBdr>
        </w:div>
        <w:div w:id="961768160">
          <w:marLeft w:val="0"/>
          <w:marRight w:val="0"/>
          <w:marTop w:val="0"/>
          <w:marBottom w:val="0"/>
          <w:divBdr>
            <w:top w:val="none" w:sz="0" w:space="0" w:color="auto"/>
            <w:left w:val="none" w:sz="0" w:space="0" w:color="auto"/>
            <w:bottom w:val="none" w:sz="0" w:space="0" w:color="auto"/>
            <w:right w:val="none" w:sz="0" w:space="0" w:color="auto"/>
          </w:divBdr>
        </w:div>
        <w:div w:id="967399482">
          <w:marLeft w:val="0"/>
          <w:marRight w:val="0"/>
          <w:marTop w:val="0"/>
          <w:marBottom w:val="0"/>
          <w:divBdr>
            <w:top w:val="none" w:sz="0" w:space="0" w:color="auto"/>
            <w:left w:val="none" w:sz="0" w:space="0" w:color="auto"/>
            <w:bottom w:val="none" w:sz="0" w:space="0" w:color="auto"/>
            <w:right w:val="none" w:sz="0" w:space="0" w:color="auto"/>
          </w:divBdr>
        </w:div>
        <w:div w:id="975067349">
          <w:marLeft w:val="0"/>
          <w:marRight w:val="0"/>
          <w:marTop w:val="0"/>
          <w:marBottom w:val="0"/>
          <w:divBdr>
            <w:top w:val="none" w:sz="0" w:space="0" w:color="auto"/>
            <w:left w:val="none" w:sz="0" w:space="0" w:color="auto"/>
            <w:bottom w:val="none" w:sz="0" w:space="0" w:color="auto"/>
            <w:right w:val="none" w:sz="0" w:space="0" w:color="auto"/>
          </w:divBdr>
        </w:div>
        <w:div w:id="989870037">
          <w:marLeft w:val="0"/>
          <w:marRight w:val="0"/>
          <w:marTop w:val="0"/>
          <w:marBottom w:val="0"/>
          <w:divBdr>
            <w:top w:val="none" w:sz="0" w:space="0" w:color="auto"/>
            <w:left w:val="none" w:sz="0" w:space="0" w:color="auto"/>
            <w:bottom w:val="none" w:sz="0" w:space="0" w:color="auto"/>
            <w:right w:val="none" w:sz="0" w:space="0" w:color="auto"/>
          </w:divBdr>
        </w:div>
        <w:div w:id="1219439850">
          <w:marLeft w:val="0"/>
          <w:marRight w:val="0"/>
          <w:marTop w:val="0"/>
          <w:marBottom w:val="0"/>
          <w:divBdr>
            <w:top w:val="none" w:sz="0" w:space="0" w:color="auto"/>
            <w:left w:val="none" w:sz="0" w:space="0" w:color="auto"/>
            <w:bottom w:val="none" w:sz="0" w:space="0" w:color="auto"/>
            <w:right w:val="none" w:sz="0" w:space="0" w:color="auto"/>
          </w:divBdr>
        </w:div>
        <w:div w:id="1306398917">
          <w:marLeft w:val="0"/>
          <w:marRight w:val="0"/>
          <w:marTop w:val="0"/>
          <w:marBottom w:val="0"/>
          <w:divBdr>
            <w:top w:val="none" w:sz="0" w:space="0" w:color="auto"/>
            <w:left w:val="none" w:sz="0" w:space="0" w:color="auto"/>
            <w:bottom w:val="none" w:sz="0" w:space="0" w:color="auto"/>
            <w:right w:val="none" w:sz="0" w:space="0" w:color="auto"/>
          </w:divBdr>
        </w:div>
        <w:div w:id="1354958042">
          <w:marLeft w:val="0"/>
          <w:marRight w:val="0"/>
          <w:marTop w:val="0"/>
          <w:marBottom w:val="0"/>
          <w:divBdr>
            <w:top w:val="none" w:sz="0" w:space="0" w:color="auto"/>
            <w:left w:val="none" w:sz="0" w:space="0" w:color="auto"/>
            <w:bottom w:val="none" w:sz="0" w:space="0" w:color="auto"/>
            <w:right w:val="none" w:sz="0" w:space="0" w:color="auto"/>
          </w:divBdr>
        </w:div>
        <w:div w:id="1403673991">
          <w:marLeft w:val="0"/>
          <w:marRight w:val="0"/>
          <w:marTop w:val="0"/>
          <w:marBottom w:val="0"/>
          <w:divBdr>
            <w:top w:val="none" w:sz="0" w:space="0" w:color="auto"/>
            <w:left w:val="none" w:sz="0" w:space="0" w:color="auto"/>
            <w:bottom w:val="none" w:sz="0" w:space="0" w:color="auto"/>
            <w:right w:val="none" w:sz="0" w:space="0" w:color="auto"/>
          </w:divBdr>
        </w:div>
        <w:div w:id="1610510698">
          <w:marLeft w:val="0"/>
          <w:marRight w:val="0"/>
          <w:marTop w:val="0"/>
          <w:marBottom w:val="0"/>
          <w:divBdr>
            <w:top w:val="none" w:sz="0" w:space="0" w:color="auto"/>
            <w:left w:val="none" w:sz="0" w:space="0" w:color="auto"/>
            <w:bottom w:val="none" w:sz="0" w:space="0" w:color="auto"/>
            <w:right w:val="none" w:sz="0" w:space="0" w:color="auto"/>
          </w:divBdr>
        </w:div>
        <w:div w:id="1623225231">
          <w:marLeft w:val="0"/>
          <w:marRight w:val="0"/>
          <w:marTop w:val="0"/>
          <w:marBottom w:val="0"/>
          <w:divBdr>
            <w:top w:val="none" w:sz="0" w:space="0" w:color="auto"/>
            <w:left w:val="none" w:sz="0" w:space="0" w:color="auto"/>
            <w:bottom w:val="none" w:sz="0" w:space="0" w:color="auto"/>
            <w:right w:val="none" w:sz="0" w:space="0" w:color="auto"/>
          </w:divBdr>
        </w:div>
        <w:div w:id="1754623434">
          <w:marLeft w:val="0"/>
          <w:marRight w:val="0"/>
          <w:marTop w:val="0"/>
          <w:marBottom w:val="0"/>
          <w:divBdr>
            <w:top w:val="none" w:sz="0" w:space="0" w:color="auto"/>
            <w:left w:val="none" w:sz="0" w:space="0" w:color="auto"/>
            <w:bottom w:val="none" w:sz="0" w:space="0" w:color="auto"/>
            <w:right w:val="none" w:sz="0" w:space="0" w:color="auto"/>
          </w:divBdr>
        </w:div>
        <w:div w:id="1821535920">
          <w:marLeft w:val="0"/>
          <w:marRight w:val="0"/>
          <w:marTop w:val="0"/>
          <w:marBottom w:val="0"/>
          <w:divBdr>
            <w:top w:val="none" w:sz="0" w:space="0" w:color="auto"/>
            <w:left w:val="none" w:sz="0" w:space="0" w:color="auto"/>
            <w:bottom w:val="none" w:sz="0" w:space="0" w:color="auto"/>
            <w:right w:val="none" w:sz="0" w:space="0" w:color="auto"/>
          </w:divBdr>
        </w:div>
      </w:divsChild>
    </w:div>
    <w:div w:id="1447382517">
      <w:bodyDiv w:val="1"/>
      <w:marLeft w:val="0"/>
      <w:marRight w:val="0"/>
      <w:marTop w:val="0"/>
      <w:marBottom w:val="0"/>
      <w:divBdr>
        <w:top w:val="none" w:sz="0" w:space="0" w:color="auto"/>
        <w:left w:val="none" w:sz="0" w:space="0" w:color="auto"/>
        <w:bottom w:val="none" w:sz="0" w:space="0" w:color="auto"/>
        <w:right w:val="none" w:sz="0" w:space="0" w:color="auto"/>
      </w:divBdr>
      <w:divsChild>
        <w:div w:id="278144822">
          <w:marLeft w:val="0"/>
          <w:marRight w:val="0"/>
          <w:marTop w:val="150"/>
          <w:marBottom w:val="0"/>
          <w:divBdr>
            <w:top w:val="none" w:sz="0" w:space="0" w:color="auto"/>
            <w:left w:val="none" w:sz="0" w:space="0" w:color="auto"/>
            <w:bottom w:val="none" w:sz="0" w:space="0" w:color="auto"/>
            <w:right w:val="none" w:sz="0" w:space="0" w:color="auto"/>
          </w:divBdr>
        </w:div>
      </w:divsChild>
    </w:div>
    <w:div w:id="1453092179">
      <w:bodyDiv w:val="1"/>
      <w:marLeft w:val="0"/>
      <w:marRight w:val="0"/>
      <w:marTop w:val="0"/>
      <w:marBottom w:val="0"/>
      <w:divBdr>
        <w:top w:val="none" w:sz="0" w:space="0" w:color="auto"/>
        <w:left w:val="none" w:sz="0" w:space="0" w:color="auto"/>
        <w:bottom w:val="none" w:sz="0" w:space="0" w:color="auto"/>
        <w:right w:val="none" w:sz="0" w:space="0" w:color="auto"/>
      </w:divBdr>
      <w:divsChild>
        <w:div w:id="411662644">
          <w:marLeft w:val="0"/>
          <w:marRight w:val="0"/>
          <w:marTop w:val="0"/>
          <w:marBottom w:val="0"/>
          <w:divBdr>
            <w:top w:val="none" w:sz="0" w:space="0" w:color="auto"/>
            <w:left w:val="none" w:sz="0" w:space="0" w:color="auto"/>
            <w:bottom w:val="none" w:sz="0" w:space="0" w:color="auto"/>
            <w:right w:val="none" w:sz="0" w:space="0" w:color="auto"/>
          </w:divBdr>
        </w:div>
        <w:div w:id="1794902726">
          <w:marLeft w:val="0"/>
          <w:marRight w:val="0"/>
          <w:marTop w:val="0"/>
          <w:marBottom w:val="0"/>
          <w:divBdr>
            <w:top w:val="none" w:sz="0" w:space="0" w:color="auto"/>
            <w:left w:val="none" w:sz="0" w:space="0" w:color="auto"/>
            <w:bottom w:val="none" w:sz="0" w:space="0" w:color="auto"/>
            <w:right w:val="none" w:sz="0" w:space="0" w:color="auto"/>
          </w:divBdr>
        </w:div>
      </w:divsChild>
    </w:div>
    <w:div w:id="1529218776">
      <w:bodyDiv w:val="1"/>
      <w:marLeft w:val="0"/>
      <w:marRight w:val="0"/>
      <w:marTop w:val="0"/>
      <w:marBottom w:val="0"/>
      <w:divBdr>
        <w:top w:val="none" w:sz="0" w:space="0" w:color="auto"/>
        <w:left w:val="none" w:sz="0" w:space="0" w:color="auto"/>
        <w:bottom w:val="none" w:sz="0" w:space="0" w:color="auto"/>
        <w:right w:val="none" w:sz="0" w:space="0" w:color="auto"/>
      </w:divBdr>
    </w:div>
    <w:div w:id="1637561247">
      <w:bodyDiv w:val="1"/>
      <w:marLeft w:val="0"/>
      <w:marRight w:val="0"/>
      <w:marTop w:val="0"/>
      <w:marBottom w:val="0"/>
      <w:divBdr>
        <w:top w:val="none" w:sz="0" w:space="0" w:color="auto"/>
        <w:left w:val="none" w:sz="0" w:space="0" w:color="auto"/>
        <w:bottom w:val="none" w:sz="0" w:space="0" w:color="auto"/>
        <w:right w:val="none" w:sz="0" w:space="0" w:color="auto"/>
      </w:divBdr>
    </w:div>
    <w:div w:id="1705984523">
      <w:bodyDiv w:val="1"/>
      <w:marLeft w:val="0"/>
      <w:marRight w:val="0"/>
      <w:marTop w:val="0"/>
      <w:marBottom w:val="0"/>
      <w:divBdr>
        <w:top w:val="none" w:sz="0" w:space="0" w:color="auto"/>
        <w:left w:val="none" w:sz="0" w:space="0" w:color="auto"/>
        <w:bottom w:val="none" w:sz="0" w:space="0" w:color="auto"/>
        <w:right w:val="none" w:sz="0" w:space="0" w:color="auto"/>
      </w:divBdr>
    </w:div>
    <w:div w:id="1734967014">
      <w:bodyDiv w:val="1"/>
      <w:marLeft w:val="0"/>
      <w:marRight w:val="0"/>
      <w:marTop w:val="0"/>
      <w:marBottom w:val="0"/>
      <w:divBdr>
        <w:top w:val="none" w:sz="0" w:space="0" w:color="auto"/>
        <w:left w:val="none" w:sz="0" w:space="0" w:color="auto"/>
        <w:bottom w:val="none" w:sz="0" w:space="0" w:color="auto"/>
        <w:right w:val="none" w:sz="0" w:space="0" w:color="auto"/>
      </w:divBdr>
      <w:divsChild>
        <w:div w:id="9380839">
          <w:marLeft w:val="0"/>
          <w:marRight w:val="0"/>
          <w:marTop w:val="0"/>
          <w:marBottom w:val="0"/>
          <w:divBdr>
            <w:top w:val="none" w:sz="0" w:space="0" w:color="auto"/>
            <w:left w:val="none" w:sz="0" w:space="0" w:color="auto"/>
            <w:bottom w:val="none" w:sz="0" w:space="0" w:color="auto"/>
            <w:right w:val="none" w:sz="0" w:space="0" w:color="auto"/>
          </w:divBdr>
        </w:div>
        <w:div w:id="117340242">
          <w:marLeft w:val="0"/>
          <w:marRight w:val="0"/>
          <w:marTop w:val="0"/>
          <w:marBottom w:val="0"/>
          <w:divBdr>
            <w:top w:val="none" w:sz="0" w:space="0" w:color="auto"/>
            <w:left w:val="none" w:sz="0" w:space="0" w:color="auto"/>
            <w:bottom w:val="none" w:sz="0" w:space="0" w:color="auto"/>
            <w:right w:val="none" w:sz="0" w:space="0" w:color="auto"/>
          </w:divBdr>
        </w:div>
        <w:div w:id="121852243">
          <w:marLeft w:val="0"/>
          <w:marRight w:val="0"/>
          <w:marTop w:val="0"/>
          <w:marBottom w:val="0"/>
          <w:divBdr>
            <w:top w:val="none" w:sz="0" w:space="0" w:color="auto"/>
            <w:left w:val="none" w:sz="0" w:space="0" w:color="auto"/>
            <w:bottom w:val="none" w:sz="0" w:space="0" w:color="auto"/>
            <w:right w:val="none" w:sz="0" w:space="0" w:color="auto"/>
          </w:divBdr>
        </w:div>
        <w:div w:id="161895440">
          <w:marLeft w:val="0"/>
          <w:marRight w:val="0"/>
          <w:marTop w:val="0"/>
          <w:marBottom w:val="0"/>
          <w:divBdr>
            <w:top w:val="none" w:sz="0" w:space="0" w:color="auto"/>
            <w:left w:val="none" w:sz="0" w:space="0" w:color="auto"/>
            <w:bottom w:val="none" w:sz="0" w:space="0" w:color="auto"/>
            <w:right w:val="none" w:sz="0" w:space="0" w:color="auto"/>
          </w:divBdr>
        </w:div>
        <w:div w:id="318652056">
          <w:marLeft w:val="0"/>
          <w:marRight w:val="0"/>
          <w:marTop w:val="0"/>
          <w:marBottom w:val="0"/>
          <w:divBdr>
            <w:top w:val="none" w:sz="0" w:space="0" w:color="auto"/>
            <w:left w:val="none" w:sz="0" w:space="0" w:color="auto"/>
            <w:bottom w:val="none" w:sz="0" w:space="0" w:color="auto"/>
            <w:right w:val="none" w:sz="0" w:space="0" w:color="auto"/>
          </w:divBdr>
        </w:div>
        <w:div w:id="373427617">
          <w:marLeft w:val="0"/>
          <w:marRight w:val="0"/>
          <w:marTop w:val="0"/>
          <w:marBottom w:val="0"/>
          <w:divBdr>
            <w:top w:val="none" w:sz="0" w:space="0" w:color="auto"/>
            <w:left w:val="none" w:sz="0" w:space="0" w:color="auto"/>
            <w:bottom w:val="none" w:sz="0" w:space="0" w:color="auto"/>
            <w:right w:val="none" w:sz="0" w:space="0" w:color="auto"/>
          </w:divBdr>
        </w:div>
        <w:div w:id="599485576">
          <w:marLeft w:val="0"/>
          <w:marRight w:val="0"/>
          <w:marTop w:val="0"/>
          <w:marBottom w:val="0"/>
          <w:divBdr>
            <w:top w:val="none" w:sz="0" w:space="0" w:color="auto"/>
            <w:left w:val="none" w:sz="0" w:space="0" w:color="auto"/>
            <w:bottom w:val="none" w:sz="0" w:space="0" w:color="auto"/>
            <w:right w:val="none" w:sz="0" w:space="0" w:color="auto"/>
          </w:divBdr>
        </w:div>
        <w:div w:id="684327639">
          <w:marLeft w:val="0"/>
          <w:marRight w:val="0"/>
          <w:marTop w:val="0"/>
          <w:marBottom w:val="0"/>
          <w:divBdr>
            <w:top w:val="none" w:sz="0" w:space="0" w:color="auto"/>
            <w:left w:val="none" w:sz="0" w:space="0" w:color="auto"/>
            <w:bottom w:val="none" w:sz="0" w:space="0" w:color="auto"/>
            <w:right w:val="none" w:sz="0" w:space="0" w:color="auto"/>
          </w:divBdr>
        </w:div>
        <w:div w:id="869269729">
          <w:marLeft w:val="0"/>
          <w:marRight w:val="0"/>
          <w:marTop w:val="0"/>
          <w:marBottom w:val="0"/>
          <w:divBdr>
            <w:top w:val="none" w:sz="0" w:space="0" w:color="auto"/>
            <w:left w:val="none" w:sz="0" w:space="0" w:color="auto"/>
            <w:bottom w:val="none" w:sz="0" w:space="0" w:color="auto"/>
            <w:right w:val="none" w:sz="0" w:space="0" w:color="auto"/>
          </w:divBdr>
        </w:div>
        <w:div w:id="996299938">
          <w:marLeft w:val="0"/>
          <w:marRight w:val="0"/>
          <w:marTop w:val="0"/>
          <w:marBottom w:val="0"/>
          <w:divBdr>
            <w:top w:val="none" w:sz="0" w:space="0" w:color="auto"/>
            <w:left w:val="none" w:sz="0" w:space="0" w:color="auto"/>
            <w:bottom w:val="none" w:sz="0" w:space="0" w:color="auto"/>
            <w:right w:val="none" w:sz="0" w:space="0" w:color="auto"/>
          </w:divBdr>
        </w:div>
        <w:div w:id="1313023263">
          <w:marLeft w:val="0"/>
          <w:marRight w:val="0"/>
          <w:marTop w:val="0"/>
          <w:marBottom w:val="0"/>
          <w:divBdr>
            <w:top w:val="none" w:sz="0" w:space="0" w:color="auto"/>
            <w:left w:val="none" w:sz="0" w:space="0" w:color="auto"/>
            <w:bottom w:val="none" w:sz="0" w:space="0" w:color="auto"/>
            <w:right w:val="none" w:sz="0" w:space="0" w:color="auto"/>
          </w:divBdr>
        </w:div>
        <w:div w:id="1507984003">
          <w:marLeft w:val="0"/>
          <w:marRight w:val="0"/>
          <w:marTop w:val="0"/>
          <w:marBottom w:val="0"/>
          <w:divBdr>
            <w:top w:val="none" w:sz="0" w:space="0" w:color="auto"/>
            <w:left w:val="none" w:sz="0" w:space="0" w:color="auto"/>
            <w:bottom w:val="none" w:sz="0" w:space="0" w:color="auto"/>
            <w:right w:val="none" w:sz="0" w:space="0" w:color="auto"/>
          </w:divBdr>
        </w:div>
        <w:div w:id="1629048434">
          <w:marLeft w:val="0"/>
          <w:marRight w:val="0"/>
          <w:marTop w:val="0"/>
          <w:marBottom w:val="0"/>
          <w:divBdr>
            <w:top w:val="none" w:sz="0" w:space="0" w:color="auto"/>
            <w:left w:val="none" w:sz="0" w:space="0" w:color="auto"/>
            <w:bottom w:val="none" w:sz="0" w:space="0" w:color="auto"/>
            <w:right w:val="none" w:sz="0" w:space="0" w:color="auto"/>
          </w:divBdr>
        </w:div>
        <w:div w:id="1672178846">
          <w:marLeft w:val="0"/>
          <w:marRight w:val="0"/>
          <w:marTop w:val="0"/>
          <w:marBottom w:val="0"/>
          <w:divBdr>
            <w:top w:val="none" w:sz="0" w:space="0" w:color="auto"/>
            <w:left w:val="none" w:sz="0" w:space="0" w:color="auto"/>
            <w:bottom w:val="none" w:sz="0" w:space="0" w:color="auto"/>
            <w:right w:val="none" w:sz="0" w:space="0" w:color="auto"/>
          </w:divBdr>
        </w:div>
        <w:div w:id="1707100399">
          <w:marLeft w:val="0"/>
          <w:marRight w:val="0"/>
          <w:marTop w:val="0"/>
          <w:marBottom w:val="0"/>
          <w:divBdr>
            <w:top w:val="none" w:sz="0" w:space="0" w:color="auto"/>
            <w:left w:val="none" w:sz="0" w:space="0" w:color="auto"/>
            <w:bottom w:val="none" w:sz="0" w:space="0" w:color="auto"/>
            <w:right w:val="none" w:sz="0" w:space="0" w:color="auto"/>
          </w:divBdr>
        </w:div>
        <w:div w:id="1799949829">
          <w:marLeft w:val="0"/>
          <w:marRight w:val="0"/>
          <w:marTop w:val="0"/>
          <w:marBottom w:val="0"/>
          <w:divBdr>
            <w:top w:val="none" w:sz="0" w:space="0" w:color="auto"/>
            <w:left w:val="none" w:sz="0" w:space="0" w:color="auto"/>
            <w:bottom w:val="none" w:sz="0" w:space="0" w:color="auto"/>
            <w:right w:val="none" w:sz="0" w:space="0" w:color="auto"/>
          </w:divBdr>
        </w:div>
        <w:div w:id="1830518408">
          <w:marLeft w:val="0"/>
          <w:marRight w:val="0"/>
          <w:marTop w:val="0"/>
          <w:marBottom w:val="0"/>
          <w:divBdr>
            <w:top w:val="none" w:sz="0" w:space="0" w:color="auto"/>
            <w:left w:val="none" w:sz="0" w:space="0" w:color="auto"/>
            <w:bottom w:val="none" w:sz="0" w:space="0" w:color="auto"/>
            <w:right w:val="none" w:sz="0" w:space="0" w:color="auto"/>
          </w:divBdr>
        </w:div>
        <w:div w:id="1999183943">
          <w:marLeft w:val="0"/>
          <w:marRight w:val="0"/>
          <w:marTop w:val="0"/>
          <w:marBottom w:val="0"/>
          <w:divBdr>
            <w:top w:val="none" w:sz="0" w:space="0" w:color="auto"/>
            <w:left w:val="none" w:sz="0" w:space="0" w:color="auto"/>
            <w:bottom w:val="none" w:sz="0" w:space="0" w:color="auto"/>
            <w:right w:val="none" w:sz="0" w:space="0" w:color="auto"/>
          </w:divBdr>
        </w:div>
        <w:div w:id="2013411715">
          <w:marLeft w:val="0"/>
          <w:marRight w:val="0"/>
          <w:marTop w:val="0"/>
          <w:marBottom w:val="0"/>
          <w:divBdr>
            <w:top w:val="none" w:sz="0" w:space="0" w:color="auto"/>
            <w:left w:val="none" w:sz="0" w:space="0" w:color="auto"/>
            <w:bottom w:val="none" w:sz="0" w:space="0" w:color="auto"/>
            <w:right w:val="none" w:sz="0" w:space="0" w:color="auto"/>
          </w:divBdr>
        </w:div>
      </w:divsChild>
    </w:div>
    <w:div w:id="1779331768">
      <w:bodyDiv w:val="1"/>
      <w:marLeft w:val="0"/>
      <w:marRight w:val="0"/>
      <w:marTop w:val="0"/>
      <w:marBottom w:val="0"/>
      <w:divBdr>
        <w:top w:val="none" w:sz="0" w:space="0" w:color="auto"/>
        <w:left w:val="none" w:sz="0" w:space="0" w:color="auto"/>
        <w:bottom w:val="none" w:sz="0" w:space="0" w:color="auto"/>
        <w:right w:val="none" w:sz="0" w:space="0" w:color="auto"/>
      </w:divBdr>
    </w:div>
    <w:div w:id="1802117318">
      <w:bodyDiv w:val="1"/>
      <w:marLeft w:val="0"/>
      <w:marRight w:val="0"/>
      <w:marTop w:val="0"/>
      <w:marBottom w:val="0"/>
      <w:divBdr>
        <w:top w:val="none" w:sz="0" w:space="0" w:color="auto"/>
        <w:left w:val="none" w:sz="0" w:space="0" w:color="auto"/>
        <w:bottom w:val="none" w:sz="0" w:space="0" w:color="auto"/>
        <w:right w:val="none" w:sz="0" w:space="0" w:color="auto"/>
      </w:divBdr>
      <w:divsChild>
        <w:div w:id="1949896925">
          <w:marLeft w:val="0"/>
          <w:marRight w:val="0"/>
          <w:marTop w:val="0"/>
          <w:marBottom w:val="0"/>
          <w:divBdr>
            <w:top w:val="none" w:sz="0" w:space="0" w:color="auto"/>
            <w:left w:val="none" w:sz="0" w:space="0" w:color="auto"/>
            <w:bottom w:val="none" w:sz="0" w:space="0" w:color="auto"/>
            <w:right w:val="none" w:sz="0" w:space="0" w:color="auto"/>
          </w:divBdr>
        </w:div>
      </w:divsChild>
    </w:div>
    <w:div w:id="1805736488">
      <w:bodyDiv w:val="1"/>
      <w:marLeft w:val="0"/>
      <w:marRight w:val="0"/>
      <w:marTop w:val="0"/>
      <w:marBottom w:val="0"/>
      <w:divBdr>
        <w:top w:val="none" w:sz="0" w:space="0" w:color="auto"/>
        <w:left w:val="none" w:sz="0" w:space="0" w:color="auto"/>
        <w:bottom w:val="none" w:sz="0" w:space="0" w:color="auto"/>
        <w:right w:val="none" w:sz="0" w:space="0" w:color="auto"/>
      </w:divBdr>
      <w:divsChild>
        <w:div w:id="85422210">
          <w:marLeft w:val="0"/>
          <w:marRight w:val="0"/>
          <w:marTop w:val="0"/>
          <w:marBottom w:val="0"/>
          <w:divBdr>
            <w:top w:val="none" w:sz="0" w:space="0" w:color="auto"/>
            <w:left w:val="none" w:sz="0" w:space="0" w:color="auto"/>
            <w:bottom w:val="none" w:sz="0" w:space="0" w:color="auto"/>
            <w:right w:val="none" w:sz="0" w:space="0" w:color="auto"/>
          </w:divBdr>
        </w:div>
      </w:divsChild>
    </w:div>
    <w:div w:id="1847089173">
      <w:bodyDiv w:val="1"/>
      <w:marLeft w:val="0"/>
      <w:marRight w:val="0"/>
      <w:marTop w:val="0"/>
      <w:marBottom w:val="0"/>
      <w:divBdr>
        <w:top w:val="none" w:sz="0" w:space="0" w:color="auto"/>
        <w:left w:val="none" w:sz="0" w:space="0" w:color="auto"/>
        <w:bottom w:val="none" w:sz="0" w:space="0" w:color="auto"/>
        <w:right w:val="none" w:sz="0" w:space="0" w:color="auto"/>
      </w:divBdr>
    </w:div>
    <w:div w:id="1861773609">
      <w:bodyDiv w:val="1"/>
      <w:marLeft w:val="0"/>
      <w:marRight w:val="0"/>
      <w:marTop w:val="0"/>
      <w:marBottom w:val="0"/>
      <w:divBdr>
        <w:top w:val="none" w:sz="0" w:space="0" w:color="auto"/>
        <w:left w:val="none" w:sz="0" w:space="0" w:color="auto"/>
        <w:bottom w:val="none" w:sz="0" w:space="0" w:color="auto"/>
        <w:right w:val="none" w:sz="0" w:space="0" w:color="auto"/>
      </w:divBdr>
      <w:divsChild>
        <w:div w:id="1418482820">
          <w:marLeft w:val="0"/>
          <w:marRight w:val="0"/>
          <w:marTop w:val="0"/>
          <w:marBottom w:val="0"/>
          <w:divBdr>
            <w:top w:val="none" w:sz="0" w:space="0" w:color="auto"/>
            <w:left w:val="none" w:sz="0" w:space="0" w:color="auto"/>
            <w:bottom w:val="none" w:sz="0" w:space="0" w:color="auto"/>
            <w:right w:val="none" w:sz="0" w:space="0" w:color="auto"/>
          </w:divBdr>
        </w:div>
        <w:div w:id="1598710792">
          <w:marLeft w:val="0"/>
          <w:marRight w:val="0"/>
          <w:marTop w:val="0"/>
          <w:marBottom w:val="0"/>
          <w:divBdr>
            <w:top w:val="none" w:sz="0" w:space="0" w:color="auto"/>
            <w:left w:val="none" w:sz="0" w:space="0" w:color="auto"/>
            <w:bottom w:val="none" w:sz="0" w:space="0" w:color="auto"/>
            <w:right w:val="none" w:sz="0" w:space="0" w:color="auto"/>
          </w:divBdr>
        </w:div>
        <w:div w:id="1600480779">
          <w:marLeft w:val="0"/>
          <w:marRight w:val="0"/>
          <w:marTop w:val="0"/>
          <w:marBottom w:val="0"/>
          <w:divBdr>
            <w:top w:val="none" w:sz="0" w:space="0" w:color="auto"/>
            <w:left w:val="none" w:sz="0" w:space="0" w:color="auto"/>
            <w:bottom w:val="none" w:sz="0" w:space="0" w:color="auto"/>
            <w:right w:val="none" w:sz="0" w:space="0" w:color="auto"/>
          </w:divBdr>
        </w:div>
      </w:divsChild>
    </w:div>
    <w:div w:id="1893272333">
      <w:bodyDiv w:val="1"/>
      <w:marLeft w:val="0"/>
      <w:marRight w:val="0"/>
      <w:marTop w:val="0"/>
      <w:marBottom w:val="0"/>
      <w:divBdr>
        <w:top w:val="none" w:sz="0" w:space="0" w:color="auto"/>
        <w:left w:val="none" w:sz="0" w:space="0" w:color="auto"/>
        <w:bottom w:val="none" w:sz="0" w:space="0" w:color="auto"/>
        <w:right w:val="none" w:sz="0" w:space="0" w:color="auto"/>
      </w:divBdr>
      <w:divsChild>
        <w:div w:id="72554382">
          <w:marLeft w:val="0"/>
          <w:marRight w:val="0"/>
          <w:marTop w:val="0"/>
          <w:marBottom w:val="0"/>
          <w:divBdr>
            <w:top w:val="none" w:sz="0" w:space="0" w:color="auto"/>
            <w:left w:val="none" w:sz="0" w:space="0" w:color="auto"/>
            <w:bottom w:val="none" w:sz="0" w:space="0" w:color="auto"/>
            <w:right w:val="none" w:sz="0" w:space="0" w:color="auto"/>
          </w:divBdr>
        </w:div>
        <w:div w:id="112410740">
          <w:marLeft w:val="0"/>
          <w:marRight w:val="0"/>
          <w:marTop w:val="0"/>
          <w:marBottom w:val="0"/>
          <w:divBdr>
            <w:top w:val="none" w:sz="0" w:space="0" w:color="auto"/>
            <w:left w:val="none" w:sz="0" w:space="0" w:color="auto"/>
            <w:bottom w:val="none" w:sz="0" w:space="0" w:color="auto"/>
            <w:right w:val="none" w:sz="0" w:space="0" w:color="auto"/>
          </w:divBdr>
        </w:div>
        <w:div w:id="210308329">
          <w:marLeft w:val="0"/>
          <w:marRight w:val="0"/>
          <w:marTop w:val="0"/>
          <w:marBottom w:val="0"/>
          <w:divBdr>
            <w:top w:val="none" w:sz="0" w:space="0" w:color="auto"/>
            <w:left w:val="none" w:sz="0" w:space="0" w:color="auto"/>
            <w:bottom w:val="none" w:sz="0" w:space="0" w:color="auto"/>
            <w:right w:val="none" w:sz="0" w:space="0" w:color="auto"/>
          </w:divBdr>
        </w:div>
        <w:div w:id="301886628">
          <w:marLeft w:val="0"/>
          <w:marRight w:val="0"/>
          <w:marTop w:val="0"/>
          <w:marBottom w:val="0"/>
          <w:divBdr>
            <w:top w:val="none" w:sz="0" w:space="0" w:color="auto"/>
            <w:left w:val="none" w:sz="0" w:space="0" w:color="auto"/>
            <w:bottom w:val="none" w:sz="0" w:space="0" w:color="auto"/>
            <w:right w:val="none" w:sz="0" w:space="0" w:color="auto"/>
          </w:divBdr>
        </w:div>
        <w:div w:id="391774466">
          <w:marLeft w:val="0"/>
          <w:marRight w:val="0"/>
          <w:marTop w:val="0"/>
          <w:marBottom w:val="0"/>
          <w:divBdr>
            <w:top w:val="none" w:sz="0" w:space="0" w:color="auto"/>
            <w:left w:val="none" w:sz="0" w:space="0" w:color="auto"/>
            <w:bottom w:val="none" w:sz="0" w:space="0" w:color="auto"/>
            <w:right w:val="none" w:sz="0" w:space="0" w:color="auto"/>
          </w:divBdr>
        </w:div>
        <w:div w:id="396442072">
          <w:marLeft w:val="0"/>
          <w:marRight w:val="0"/>
          <w:marTop w:val="0"/>
          <w:marBottom w:val="0"/>
          <w:divBdr>
            <w:top w:val="none" w:sz="0" w:space="0" w:color="auto"/>
            <w:left w:val="none" w:sz="0" w:space="0" w:color="auto"/>
            <w:bottom w:val="none" w:sz="0" w:space="0" w:color="auto"/>
            <w:right w:val="none" w:sz="0" w:space="0" w:color="auto"/>
          </w:divBdr>
        </w:div>
        <w:div w:id="465045269">
          <w:marLeft w:val="0"/>
          <w:marRight w:val="0"/>
          <w:marTop w:val="0"/>
          <w:marBottom w:val="0"/>
          <w:divBdr>
            <w:top w:val="none" w:sz="0" w:space="0" w:color="auto"/>
            <w:left w:val="none" w:sz="0" w:space="0" w:color="auto"/>
            <w:bottom w:val="none" w:sz="0" w:space="0" w:color="auto"/>
            <w:right w:val="none" w:sz="0" w:space="0" w:color="auto"/>
          </w:divBdr>
        </w:div>
        <w:div w:id="528762086">
          <w:marLeft w:val="0"/>
          <w:marRight w:val="0"/>
          <w:marTop w:val="0"/>
          <w:marBottom w:val="0"/>
          <w:divBdr>
            <w:top w:val="none" w:sz="0" w:space="0" w:color="auto"/>
            <w:left w:val="none" w:sz="0" w:space="0" w:color="auto"/>
            <w:bottom w:val="none" w:sz="0" w:space="0" w:color="auto"/>
            <w:right w:val="none" w:sz="0" w:space="0" w:color="auto"/>
          </w:divBdr>
        </w:div>
        <w:div w:id="566382508">
          <w:marLeft w:val="0"/>
          <w:marRight w:val="0"/>
          <w:marTop w:val="0"/>
          <w:marBottom w:val="0"/>
          <w:divBdr>
            <w:top w:val="none" w:sz="0" w:space="0" w:color="auto"/>
            <w:left w:val="none" w:sz="0" w:space="0" w:color="auto"/>
            <w:bottom w:val="none" w:sz="0" w:space="0" w:color="auto"/>
            <w:right w:val="none" w:sz="0" w:space="0" w:color="auto"/>
          </w:divBdr>
        </w:div>
        <w:div w:id="602036878">
          <w:marLeft w:val="0"/>
          <w:marRight w:val="0"/>
          <w:marTop w:val="0"/>
          <w:marBottom w:val="0"/>
          <w:divBdr>
            <w:top w:val="none" w:sz="0" w:space="0" w:color="auto"/>
            <w:left w:val="none" w:sz="0" w:space="0" w:color="auto"/>
            <w:bottom w:val="none" w:sz="0" w:space="0" w:color="auto"/>
            <w:right w:val="none" w:sz="0" w:space="0" w:color="auto"/>
          </w:divBdr>
        </w:div>
        <w:div w:id="653028978">
          <w:marLeft w:val="0"/>
          <w:marRight w:val="0"/>
          <w:marTop w:val="0"/>
          <w:marBottom w:val="0"/>
          <w:divBdr>
            <w:top w:val="none" w:sz="0" w:space="0" w:color="auto"/>
            <w:left w:val="none" w:sz="0" w:space="0" w:color="auto"/>
            <w:bottom w:val="none" w:sz="0" w:space="0" w:color="auto"/>
            <w:right w:val="none" w:sz="0" w:space="0" w:color="auto"/>
          </w:divBdr>
        </w:div>
        <w:div w:id="753941796">
          <w:marLeft w:val="0"/>
          <w:marRight w:val="0"/>
          <w:marTop w:val="0"/>
          <w:marBottom w:val="0"/>
          <w:divBdr>
            <w:top w:val="none" w:sz="0" w:space="0" w:color="auto"/>
            <w:left w:val="none" w:sz="0" w:space="0" w:color="auto"/>
            <w:bottom w:val="none" w:sz="0" w:space="0" w:color="auto"/>
            <w:right w:val="none" w:sz="0" w:space="0" w:color="auto"/>
          </w:divBdr>
        </w:div>
        <w:div w:id="775249214">
          <w:marLeft w:val="0"/>
          <w:marRight w:val="0"/>
          <w:marTop w:val="0"/>
          <w:marBottom w:val="0"/>
          <w:divBdr>
            <w:top w:val="none" w:sz="0" w:space="0" w:color="auto"/>
            <w:left w:val="none" w:sz="0" w:space="0" w:color="auto"/>
            <w:bottom w:val="none" w:sz="0" w:space="0" w:color="auto"/>
            <w:right w:val="none" w:sz="0" w:space="0" w:color="auto"/>
          </w:divBdr>
        </w:div>
        <w:div w:id="839155230">
          <w:marLeft w:val="0"/>
          <w:marRight w:val="0"/>
          <w:marTop w:val="0"/>
          <w:marBottom w:val="0"/>
          <w:divBdr>
            <w:top w:val="none" w:sz="0" w:space="0" w:color="auto"/>
            <w:left w:val="none" w:sz="0" w:space="0" w:color="auto"/>
            <w:bottom w:val="none" w:sz="0" w:space="0" w:color="auto"/>
            <w:right w:val="none" w:sz="0" w:space="0" w:color="auto"/>
          </w:divBdr>
        </w:div>
        <w:div w:id="895776385">
          <w:marLeft w:val="0"/>
          <w:marRight w:val="0"/>
          <w:marTop w:val="0"/>
          <w:marBottom w:val="0"/>
          <w:divBdr>
            <w:top w:val="none" w:sz="0" w:space="0" w:color="auto"/>
            <w:left w:val="none" w:sz="0" w:space="0" w:color="auto"/>
            <w:bottom w:val="none" w:sz="0" w:space="0" w:color="auto"/>
            <w:right w:val="none" w:sz="0" w:space="0" w:color="auto"/>
          </w:divBdr>
        </w:div>
        <w:div w:id="1018658045">
          <w:marLeft w:val="0"/>
          <w:marRight w:val="0"/>
          <w:marTop w:val="0"/>
          <w:marBottom w:val="0"/>
          <w:divBdr>
            <w:top w:val="none" w:sz="0" w:space="0" w:color="auto"/>
            <w:left w:val="none" w:sz="0" w:space="0" w:color="auto"/>
            <w:bottom w:val="none" w:sz="0" w:space="0" w:color="auto"/>
            <w:right w:val="none" w:sz="0" w:space="0" w:color="auto"/>
          </w:divBdr>
        </w:div>
        <w:div w:id="1056779193">
          <w:marLeft w:val="0"/>
          <w:marRight w:val="0"/>
          <w:marTop w:val="0"/>
          <w:marBottom w:val="0"/>
          <w:divBdr>
            <w:top w:val="none" w:sz="0" w:space="0" w:color="auto"/>
            <w:left w:val="none" w:sz="0" w:space="0" w:color="auto"/>
            <w:bottom w:val="none" w:sz="0" w:space="0" w:color="auto"/>
            <w:right w:val="none" w:sz="0" w:space="0" w:color="auto"/>
          </w:divBdr>
        </w:div>
        <w:div w:id="1090660887">
          <w:marLeft w:val="0"/>
          <w:marRight w:val="0"/>
          <w:marTop w:val="0"/>
          <w:marBottom w:val="0"/>
          <w:divBdr>
            <w:top w:val="none" w:sz="0" w:space="0" w:color="auto"/>
            <w:left w:val="none" w:sz="0" w:space="0" w:color="auto"/>
            <w:bottom w:val="none" w:sz="0" w:space="0" w:color="auto"/>
            <w:right w:val="none" w:sz="0" w:space="0" w:color="auto"/>
          </w:divBdr>
        </w:div>
        <w:div w:id="1226334904">
          <w:marLeft w:val="0"/>
          <w:marRight w:val="0"/>
          <w:marTop w:val="0"/>
          <w:marBottom w:val="0"/>
          <w:divBdr>
            <w:top w:val="none" w:sz="0" w:space="0" w:color="auto"/>
            <w:left w:val="none" w:sz="0" w:space="0" w:color="auto"/>
            <w:bottom w:val="none" w:sz="0" w:space="0" w:color="auto"/>
            <w:right w:val="none" w:sz="0" w:space="0" w:color="auto"/>
          </w:divBdr>
        </w:div>
        <w:div w:id="1278486050">
          <w:marLeft w:val="0"/>
          <w:marRight w:val="0"/>
          <w:marTop w:val="0"/>
          <w:marBottom w:val="0"/>
          <w:divBdr>
            <w:top w:val="none" w:sz="0" w:space="0" w:color="auto"/>
            <w:left w:val="none" w:sz="0" w:space="0" w:color="auto"/>
            <w:bottom w:val="none" w:sz="0" w:space="0" w:color="auto"/>
            <w:right w:val="none" w:sz="0" w:space="0" w:color="auto"/>
          </w:divBdr>
        </w:div>
        <w:div w:id="1430470707">
          <w:marLeft w:val="0"/>
          <w:marRight w:val="0"/>
          <w:marTop w:val="0"/>
          <w:marBottom w:val="0"/>
          <w:divBdr>
            <w:top w:val="none" w:sz="0" w:space="0" w:color="auto"/>
            <w:left w:val="none" w:sz="0" w:space="0" w:color="auto"/>
            <w:bottom w:val="none" w:sz="0" w:space="0" w:color="auto"/>
            <w:right w:val="none" w:sz="0" w:space="0" w:color="auto"/>
          </w:divBdr>
        </w:div>
        <w:div w:id="1494487952">
          <w:marLeft w:val="0"/>
          <w:marRight w:val="0"/>
          <w:marTop w:val="0"/>
          <w:marBottom w:val="0"/>
          <w:divBdr>
            <w:top w:val="none" w:sz="0" w:space="0" w:color="auto"/>
            <w:left w:val="none" w:sz="0" w:space="0" w:color="auto"/>
            <w:bottom w:val="none" w:sz="0" w:space="0" w:color="auto"/>
            <w:right w:val="none" w:sz="0" w:space="0" w:color="auto"/>
          </w:divBdr>
        </w:div>
        <w:div w:id="1500581194">
          <w:marLeft w:val="0"/>
          <w:marRight w:val="0"/>
          <w:marTop w:val="0"/>
          <w:marBottom w:val="0"/>
          <w:divBdr>
            <w:top w:val="none" w:sz="0" w:space="0" w:color="auto"/>
            <w:left w:val="none" w:sz="0" w:space="0" w:color="auto"/>
            <w:bottom w:val="none" w:sz="0" w:space="0" w:color="auto"/>
            <w:right w:val="none" w:sz="0" w:space="0" w:color="auto"/>
          </w:divBdr>
        </w:div>
        <w:div w:id="1531183660">
          <w:marLeft w:val="0"/>
          <w:marRight w:val="0"/>
          <w:marTop w:val="0"/>
          <w:marBottom w:val="0"/>
          <w:divBdr>
            <w:top w:val="none" w:sz="0" w:space="0" w:color="auto"/>
            <w:left w:val="none" w:sz="0" w:space="0" w:color="auto"/>
            <w:bottom w:val="none" w:sz="0" w:space="0" w:color="auto"/>
            <w:right w:val="none" w:sz="0" w:space="0" w:color="auto"/>
          </w:divBdr>
        </w:div>
        <w:div w:id="1778981785">
          <w:marLeft w:val="0"/>
          <w:marRight w:val="0"/>
          <w:marTop w:val="0"/>
          <w:marBottom w:val="0"/>
          <w:divBdr>
            <w:top w:val="none" w:sz="0" w:space="0" w:color="auto"/>
            <w:left w:val="none" w:sz="0" w:space="0" w:color="auto"/>
            <w:bottom w:val="none" w:sz="0" w:space="0" w:color="auto"/>
            <w:right w:val="none" w:sz="0" w:space="0" w:color="auto"/>
          </w:divBdr>
        </w:div>
        <w:div w:id="1831091752">
          <w:marLeft w:val="0"/>
          <w:marRight w:val="0"/>
          <w:marTop w:val="0"/>
          <w:marBottom w:val="0"/>
          <w:divBdr>
            <w:top w:val="none" w:sz="0" w:space="0" w:color="auto"/>
            <w:left w:val="none" w:sz="0" w:space="0" w:color="auto"/>
            <w:bottom w:val="none" w:sz="0" w:space="0" w:color="auto"/>
            <w:right w:val="none" w:sz="0" w:space="0" w:color="auto"/>
          </w:divBdr>
        </w:div>
        <w:div w:id="1831630276">
          <w:marLeft w:val="0"/>
          <w:marRight w:val="0"/>
          <w:marTop w:val="0"/>
          <w:marBottom w:val="0"/>
          <w:divBdr>
            <w:top w:val="none" w:sz="0" w:space="0" w:color="auto"/>
            <w:left w:val="none" w:sz="0" w:space="0" w:color="auto"/>
            <w:bottom w:val="none" w:sz="0" w:space="0" w:color="auto"/>
            <w:right w:val="none" w:sz="0" w:space="0" w:color="auto"/>
          </w:divBdr>
        </w:div>
        <w:div w:id="1911305160">
          <w:marLeft w:val="0"/>
          <w:marRight w:val="0"/>
          <w:marTop w:val="0"/>
          <w:marBottom w:val="0"/>
          <w:divBdr>
            <w:top w:val="none" w:sz="0" w:space="0" w:color="auto"/>
            <w:left w:val="none" w:sz="0" w:space="0" w:color="auto"/>
            <w:bottom w:val="none" w:sz="0" w:space="0" w:color="auto"/>
            <w:right w:val="none" w:sz="0" w:space="0" w:color="auto"/>
          </w:divBdr>
        </w:div>
        <w:div w:id="1980378321">
          <w:marLeft w:val="0"/>
          <w:marRight w:val="0"/>
          <w:marTop w:val="0"/>
          <w:marBottom w:val="0"/>
          <w:divBdr>
            <w:top w:val="none" w:sz="0" w:space="0" w:color="auto"/>
            <w:left w:val="none" w:sz="0" w:space="0" w:color="auto"/>
            <w:bottom w:val="none" w:sz="0" w:space="0" w:color="auto"/>
            <w:right w:val="none" w:sz="0" w:space="0" w:color="auto"/>
          </w:divBdr>
        </w:div>
      </w:divsChild>
    </w:div>
    <w:div w:id="1910991740">
      <w:bodyDiv w:val="1"/>
      <w:marLeft w:val="0"/>
      <w:marRight w:val="0"/>
      <w:marTop w:val="0"/>
      <w:marBottom w:val="0"/>
      <w:divBdr>
        <w:top w:val="none" w:sz="0" w:space="0" w:color="auto"/>
        <w:left w:val="none" w:sz="0" w:space="0" w:color="auto"/>
        <w:bottom w:val="none" w:sz="0" w:space="0" w:color="auto"/>
        <w:right w:val="none" w:sz="0" w:space="0" w:color="auto"/>
      </w:divBdr>
    </w:div>
    <w:div w:id="1934196270">
      <w:bodyDiv w:val="1"/>
      <w:marLeft w:val="0"/>
      <w:marRight w:val="0"/>
      <w:marTop w:val="0"/>
      <w:marBottom w:val="0"/>
      <w:divBdr>
        <w:top w:val="none" w:sz="0" w:space="0" w:color="auto"/>
        <w:left w:val="none" w:sz="0" w:space="0" w:color="auto"/>
        <w:bottom w:val="none" w:sz="0" w:space="0" w:color="auto"/>
        <w:right w:val="none" w:sz="0" w:space="0" w:color="auto"/>
      </w:divBdr>
      <w:divsChild>
        <w:div w:id="1694528626">
          <w:marLeft w:val="0"/>
          <w:marRight w:val="0"/>
          <w:marTop w:val="0"/>
          <w:marBottom w:val="0"/>
          <w:divBdr>
            <w:top w:val="none" w:sz="0" w:space="0" w:color="auto"/>
            <w:left w:val="none" w:sz="0" w:space="0" w:color="auto"/>
            <w:bottom w:val="none" w:sz="0" w:space="0" w:color="auto"/>
            <w:right w:val="none" w:sz="0" w:space="0" w:color="auto"/>
          </w:divBdr>
        </w:div>
      </w:divsChild>
    </w:div>
    <w:div w:id="1949390599">
      <w:bodyDiv w:val="1"/>
      <w:marLeft w:val="0"/>
      <w:marRight w:val="0"/>
      <w:marTop w:val="0"/>
      <w:marBottom w:val="0"/>
      <w:divBdr>
        <w:top w:val="none" w:sz="0" w:space="0" w:color="auto"/>
        <w:left w:val="none" w:sz="0" w:space="0" w:color="auto"/>
        <w:bottom w:val="none" w:sz="0" w:space="0" w:color="auto"/>
        <w:right w:val="none" w:sz="0" w:space="0" w:color="auto"/>
      </w:divBdr>
      <w:divsChild>
        <w:div w:id="1541823273">
          <w:marLeft w:val="0"/>
          <w:marRight w:val="0"/>
          <w:marTop w:val="0"/>
          <w:marBottom w:val="0"/>
          <w:divBdr>
            <w:top w:val="none" w:sz="0" w:space="0" w:color="auto"/>
            <w:left w:val="none" w:sz="0" w:space="0" w:color="auto"/>
            <w:bottom w:val="none" w:sz="0" w:space="0" w:color="auto"/>
            <w:right w:val="none" w:sz="0" w:space="0" w:color="auto"/>
          </w:divBdr>
        </w:div>
      </w:divsChild>
    </w:div>
    <w:div w:id="1971087298">
      <w:bodyDiv w:val="1"/>
      <w:marLeft w:val="0"/>
      <w:marRight w:val="0"/>
      <w:marTop w:val="0"/>
      <w:marBottom w:val="0"/>
      <w:divBdr>
        <w:top w:val="none" w:sz="0" w:space="0" w:color="auto"/>
        <w:left w:val="none" w:sz="0" w:space="0" w:color="auto"/>
        <w:bottom w:val="none" w:sz="0" w:space="0" w:color="auto"/>
        <w:right w:val="none" w:sz="0" w:space="0" w:color="auto"/>
      </w:divBdr>
      <w:divsChild>
        <w:div w:id="59645199">
          <w:marLeft w:val="0"/>
          <w:marRight w:val="0"/>
          <w:marTop w:val="0"/>
          <w:marBottom w:val="0"/>
          <w:divBdr>
            <w:top w:val="none" w:sz="0" w:space="0" w:color="auto"/>
            <w:left w:val="none" w:sz="0" w:space="0" w:color="auto"/>
            <w:bottom w:val="none" w:sz="0" w:space="0" w:color="auto"/>
            <w:right w:val="none" w:sz="0" w:space="0" w:color="auto"/>
          </w:divBdr>
        </w:div>
        <w:div w:id="82384459">
          <w:marLeft w:val="0"/>
          <w:marRight w:val="0"/>
          <w:marTop w:val="0"/>
          <w:marBottom w:val="0"/>
          <w:divBdr>
            <w:top w:val="none" w:sz="0" w:space="0" w:color="auto"/>
            <w:left w:val="none" w:sz="0" w:space="0" w:color="auto"/>
            <w:bottom w:val="none" w:sz="0" w:space="0" w:color="auto"/>
            <w:right w:val="none" w:sz="0" w:space="0" w:color="auto"/>
          </w:divBdr>
        </w:div>
        <w:div w:id="373164556">
          <w:marLeft w:val="0"/>
          <w:marRight w:val="0"/>
          <w:marTop w:val="0"/>
          <w:marBottom w:val="0"/>
          <w:divBdr>
            <w:top w:val="none" w:sz="0" w:space="0" w:color="auto"/>
            <w:left w:val="none" w:sz="0" w:space="0" w:color="auto"/>
            <w:bottom w:val="none" w:sz="0" w:space="0" w:color="auto"/>
            <w:right w:val="none" w:sz="0" w:space="0" w:color="auto"/>
          </w:divBdr>
        </w:div>
        <w:div w:id="792675817">
          <w:marLeft w:val="0"/>
          <w:marRight w:val="0"/>
          <w:marTop w:val="0"/>
          <w:marBottom w:val="0"/>
          <w:divBdr>
            <w:top w:val="none" w:sz="0" w:space="0" w:color="auto"/>
            <w:left w:val="none" w:sz="0" w:space="0" w:color="auto"/>
            <w:bottom w:val="none" w:sz="0" w:space="0" w:color="auto"/>
            <w:right w:val="none" w:sz="0" w:space="0" w:color="auto"/>
          </w:divBdr>
        </w:div>
        <w:div w:id="1097097506">
          <w:marLeft w:val="0"/>
          <w:marRight w:val="0"/>
          <w:marTop w:val="0"/>
          <w:marBottom w:val="0"/>
          <w:divBdr>
            <w:top w:val="none" w:sz="0" w:space="0" w:color="auto"/>
            <w:left w:val="none" w:sz="0" w:space="0" w:color="auto"/>
            <w:bottom w:val="none" w:sz="0" w:space="0" w:color="auto"/>
            <w:right w:val="none" w:sz="0" w:space="0" w:color="auto"/>
          </w:divBdr>
        </w:div>
        <w:div w:id="1233586628">
          <w:marLeft w:val="0"/>
          <w:marRight w:val="0"/>
          <w:marTop w:val="0"/>
          <w:marBottom w:val="0"/>
          <w:divBdr>
            <w:top w:val="none" w:sz="0" w:space="0" w:color="auto"/>
            <w:left w:val="none" w:sz="0" w:space="0" w:color="auto"/>
            <w:bottom w:val="none" w:sz="0" w:space="0" w:color="auto"/>
            <w:right w:val="none" w:sz="0" w:space="0" w:color="auto"/>
          </w:divBdr>
        </w:div>
        <w:div w:id="1531718562">
          <w:marLeft w:val="0"/>
          <w:marRight w:val="0"/>
          <w:marTop w:val="0"/>
          <w:marBottom w:val="0"/>
          <w:divBdr>
            <w:top w:val="none" w:sz="0" w:space="0" w:color="auto"/>
            <w:left w:val="none" w:sz="0" w:space="0" w:color="auto"/>
            <w:bottom w:val="none" w:sz="0" w:space="0" w:color="auto"/>
            <w:right w:val="none" w:sz="0" w:space="0" w:color="auto"/>
          </w:divBdr>
        </w:div>
        <w:div w:id="1806121274">
          <w:marLeft w:val="0"/>
          <w:marRight w:val="0"/>
          <w:marTop w:val="0"/>
          <w:marBottom w:val="0"/>
          <w:divBdr>
            <w:top w:val="none" w:sz="0" w:space="0" w:color="auto"/>
            <w:left w:val="none" w:sz="0" w:space="0" w:color="auto"/>
            <w:bottom w:val="none" w:sz="0" w:space="0" w:color="auto"/>
            <w:right w:val="none" w:sz="0" w:space="0" w:color="auto"/>
          </w:divBdr>
        </w:div>
      </w:divsChild>
    </w:div>
    <w:div w:id="2035034065">
      <w:bodyDiv w:val="1"/>
      <w:marLeft w:val="0"/>
      <w:marRight w:val="0"/>
      <w:marTop w:val="0"/>
      <w:marBottom w:val="0"/>
      <w:divBdr>
        <w:top w:val="none" w:sz="0" w:space="0" w:color="auto"/>
        <w:left w:val="none" w:sz="0" w:space="0" w:color="auto"/>
        <w:bottom w:val="none" w:sz="0" w:space="0" w:color="auto"/>
        <w:right w:val="none" w:sz="0" w:space="0" w:color="auto"/>
      </w:divBdr>
    </w:div>
    <w:div w:id="2037923974">
      <w:bodyDiv w:val="1"/>
      <w:marLeft w:val="0"/>
      <w:marRight w:val="0"/>
      <w:marTop w:val="0"/>
      <w:marBottom w:val="0"/>
      <w:divBdr>
        <w:top w:val="none" w:sz="0" w:space="0" w:color="auto"/>
        <w:left w:val="none" w:sz="0" w:space="0" w:color="auto"/>
        <w:bottom w:val="none" w:sz="0" w:space="0" w:color="auto"/>
        <w:right w:val="none" w:sz="0" w:space="0" w:color="auto"/>
      </w:divBdr>
      <w:divsChild>
        <w:div w:id="981807603">
          <w:marLeft w:val="0"/>
          <w:marRight w:val="0"/>
          <w:marTop w:val="0"/>
          <w:marBottom w:val="0"/>
          <w:divBdr>
            <w:top w:val="none" w:sz="0" w:space="0" w:color="auto"/>
            <w:left w:val="none" w:sz="0" w:space="0" w:color="auto"/>
            <w:bottom w:val="none" w:sz="0" w:space="0" w:color="auto"/>
            <w:right w:val="none" w:sz="0" w:space="0" w:color="auto"/>
          </w:divBdr>
        </w:div>
        <w:div w:id="1067150385">
          <w:marLeft w:val="0"/>
          <w:marRight w:val="0"/>
          <w:marTop w:val="0"/>
          <w:marBottom w:val="0"/>
          <w:divBdr>
            <w:top w:val="none" w:sz="0" w:space="0" w:color="auto"/>
            <w:left w:val="none" w:sz="0" w:space="0" w:color="auto"/>
            <w:bottom w:val="none" w:sz="0" w:space="0" w:color="auto"/>
            <w:right w:val="none" w:sz="0" w:space="0" w:color="auto"/>
          </w:divBdr>
        </w:div>
        <w:div w:id="1186863100">
          <w:marLeft w:val="0"/>
          <w:marRight w:val="0"/>
          <w:marTop w:val="0"/>
          <w:marBottom w:val="0"/>
          <w:divBdr>
            <w:top w:val="none" w:sz="0" w:space="0" w:color="auto"/>
            <w:left w:val="none" w:sz="0" w:space="0" w:color="auto"/>
            <w:bottom w:val="none" w:sz="0" w:space="0" w:color="auto"/>
            <w:right w:val="none" w:sz="0" w:space="0" w:color="auto"/>
          </w:divBdr>
        </w:div>
      </w:divsChild>
    </w:div>
    <w:div w:id="2066365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emf"/><Relationship Id="rId21" Type="http://schemas.openxmlformats.org/officeDocument/2006/relationships/diagramData" Target="diagrams/data1.xml"/><Relationship Id="rId42" Type="http://schemas.openxmlformats.org/officeDocument/2006/relationships/hyperlink" Target="https://en.wikipedia.org/wiki/Private_property" TargetMode="External"/><Relationship Id="rId63" Type="http://schemas.openxmlformats.org/officeDocument/2006/relationships/image" Target="media/image22.wmf"/><Relationship Id="rId84" Type="http://schemas.openxmlformats.org/officeDocument/2006/relationships/image" Target="media/image43.wmf"/><Relationship Id="rId138" Type="http://schemas.openxmlformats.org/officeDocument/2006/relationships/package" Target="embeddings/Microsoft_Visio_Drawing17.vsdx"/><Relationship Id="rId159" Type="http://schemas.openxmlformats.org/officeDocument/2006/relationships/image" Target="media/image99.jpeg"/><Relationship Id="rId170" Type="http://schemas.openxmlformats.org/officeDocument/2006/relationships/image" Target="media/image107.png"/><Relationship Id="rId191" Type="http://schemas.openxmlformats.org/officeDocument/2006/relationships/oleObject" Target="embeddings/oleObject12.bin"/><Relationship Id="rId205" Type="http://schemas.openxmlformats.org/officeDocument/2006/relationships/oleObject" Target="embeddings/oleObject19.bin"/><Relationship Id="rId226" Type="http://schemas.openxmlformats.org/officeDocument/2006/relationships/image" Target="media/image140.emf"/><Relationship Id="rId107" Type="http://schemas.openxmlformats.org/officeDocument/2006/relationships/image" Target="media/image66.wmf"/><Relationship Id="rId11" Type="http://schemas.openxmlformats.org/officeDocument/2006/relationships/header" Target="header2.xml"/><Relationship Id="rId32" Type="http://schemas.openxmlformats.org/officeDocument/2006/relationships/chart" Target="charts/chart4.xml"/><Relationship Id="rId53" Type="http://schemas.openxmlformats.org/officeDocument/2006/relationships/image" Target="media/image15.emf"/><Relationship Id="rId74" Type="http://schemas.openxmlformats.org/officeDocument/2006/relationships/image" Target="media/image33.wmf"/><Relationship Id="rId128" Type="http://schemas.openxmlformats.org/officeDocument/2006/relationships/package" Target="embeddings/Microsoft_Visio_Drawing14.vsdx"/><Relationship Id="rId149" Type="http://schemas.openxmlformats.org/officeDocument/2006/relationships/image" Target="media/image91.emf"/><Relationship Id="rId5" Type="http://schemas.openxmlformats.org/officeDocument/2006/relationships/webSettings" Target="webSettings.xml"/><Relationship Id="rId95" Type="http://schemas.openxmlformats.org/officeDocument/2006/relationships/image" Target="media/image54.wmf"/><Relationship Id="rId160" Type="http://schemas.openxmlformats.org/officeDocument/2006/relationships/hyperlink" Target="mailto:sluo5@sheffield.ac.uk" TargetMode="External"/><Relationship Id="rId181" Type="http://schemas.openxmlformats.org/officeDocument/2006/relationships/image" Target="media/image114.png"/><Relationship Id="rId216" Type="http://schemas.openxmlformats.org/officeDocument/2006/relationships/image" Target="media/image133.wmf"/><Relationship Id="rId22" Type="http://schemas.openxmlformats.org/officeDocument/2006/relationships/diagramLayout" Target="diagrams/layout1.xml"/><Relationship Id="rId43" Type="http://schemas.openxmlformats.org/officeDocument/2006/relationships/hyperlink" Target="https://en.wikipedia.org/wiki/Corporate_executive" TargetMode="External"/><Relationship Id="rId64" Type="http://schemas.openxmlformats.org/officeDocument/2006/relationships/image" Target="media/image23.wmf"/><Relationship Id="rId118" Type="http://schemas.openxmlformats.org/officeDocument/2006/relationships/package" Target="embeddings/Microsoft_Visio_Drawing12.vsdx"/><Relationship Id="rId139" Type="http://schemas.openxmlformats.org/officeDocument/2006/relationships/image" Target="media/image84.emf"/><Relationship Id="rId85" Type="http://schemas.openxmlformats.org/officeDocument/2006/relationships/image" Target="media/image44.wmf"/><Relationship Id="rId150" Type="http://schemas.openxmlformats.org/officeDocument/2006/relationships/image" Target="media/image92.png"/><Relationship Id="rId171" Type="http://schemas.openxmlformats.org/officeDocument/2006/relationships/image" Target="media/image108.wmf"/><Relationship Id="rId192" Type="http://schemas.openxmlformats.org/officeDocument/2006/relationships/image" Target="media/image121.wmf"/><Relationship Id="rId206" Type="http://schemas.openxmlformats.org/officeDocument/2006/relationships/image" Target="media/image128.wmf"/><Relationship Id="rId227" Type="http://schemas.openxmlformats.org/officeDocument/2006/relationships/package" Target="embeddings/Microsoft_Visio_Drawing21.vsdx"/><Relationship Id="rId12" Type="http://schemas.openxmlformats.org/officeDocument/2006/relationships/footer" Target="footer1.xml"/><Relationship Id="rId33" Type="http://schemas.openxmlformats.org/officeDocument/2006/relationships/image" Target="media/image8.png"/><Relationship Id="rId108" Type="http://schemas.openxmlformats.org/officeDocument/2006/relationships/image" Target="media/image67.wmf"/><Relationship Id="rId129" Type="http://schemas.openxmlformats.org/officeDocument/2006/relationships/image" Target="media/image78.png"/><Relationship Id="rId54" Type="http://schemas.openxmlformats.org/officeDocument/2006/relationships/package" Target="embeddings/Microsoft_Visio_Drawing7.vsdx"/><Relationship Id="rId75" Type="http://schemas.openxmlformats.org/officeDocument/2006/relationships/image" Target="media/image34.wmf"/><Relationship Id="rId96" Type="http://schemas.openxmlformats.org/officeDocument/2006/relationships/image" Target="media/image55.wmf"/><Relationship Id="rId140" Type="http://schemas.openxmlformats.org/officeDocument/2006/relationships/image" Target="media/image85.emf"/><Relationship Id="rId161" Type="http://schemas.openxmlformats.org/officeDocument/2006/relationships/image" Target="media/image100.emf"/><Relationship Id="rId182" Type="http://schemas.openxmlformats.org/officeDocument/2006/relationships/image" Target="media/image115.wmf"/><Relationship Id="rId217" Type="http://schemas.openxmlformats.org/officeDocument/2006/relationships/oleObject" Target="embeddings/oleObject25.bin"/><Relationship Id="rId6" Type="http://schemas.openxmlformats.org/officeDocument/2006/relationships/footnotes" Target="footnotes.xml"/><Relationship Id="rId23" Type="http://schemas.openxmlformats.org/officeDocument/2006/relationships/diagramQuickStyle" Target="diagrams/quickStyle1.xml"/><Relationship Id="rId119" Type="http://schemas.openxmlformats.org/officeDocument/2006/relationships/image" Target="media/image75.emf"/><Relationship Id="rId44" Type="http://schemas.openxmlformats.org/officeDocument/2006/relationships/image" Target="media/image10.emf"/><Relationship Id="rId65" Type="http://schemas.openxmlformats.org/officeDocument/2006/relationships/image" Target="media/image24.wmf"/><Relationship Id="rId86" Type="http://schemas.openxmlformats.org/officeDocument/2006/relationships/image" Target="media/image45.wmf"/><Relationship Id="rId130" Type="http://schemas.openxmlformats.org/officeDocument/2006/relationships/image" Target="media/image79.emf"/><Relationship Id="rId151" Type="http://schemas.openxmlformats.org/officeDocument/2006/relationships/image" Target="media/image93.png"/><Relationship Id="rId172" Type="http://schemas.openxmlformats.org/officeDocument/2006/relationships/oleObject" Target="embeddings/oleObject5.bin"/><Relationship Id="rId193" Type="http://schemas.openxmlformats.org/officeDocument/2006/relationships/oleObject" Target="embeddings/oleObject13.bin"/><Relationship Id="rId207" Type="http://schemas.openxmlformats.org/officeDocument/2006/relationships/oleObject" Target="embeddings/oleObject20.bin"/><Relationship Id="rId228" Type="http://schemas.openxmlformats.org/officeDocument/2006/relationships/image" Target="media/image141.png"/><Relationship Id="rId13" Type="http://schemas.openxmlformats.org/officeDocument/2006/relationships/footer" Target="footer2.xml"/><Relationship Id="rId109" Type="http://schemas.openxmlformats.org/officeDocument/2006/relationships/image" Target="media/image68.emf"/><Relationship Id="rId34" Type="http://schemas.openxmlformats.org/officeDocument/2006/relationships/image" Target="media/image9.emf"/><Relationship Id="rId55" Type="http://schemas.openxmlformats.org/officeDocument/2006/relationships/image" Target="media/image16.wmf"/><Relationship Id="rId76" Type="http://schemas.openxmlformats.org/officeDocument/2006/relationships/image" Target="media/image35.wmf"/><Relationship Id="rId97" Type="http://schemas.openxmlformats.org/officeDocument/2006/relationships/image" Target="media/image56.wmf"/><Relationship Id="rId120" Type="http://schemas.openxmlformats.org/officeDocument/2006/relationships/package" Target="embeddings/Microsoft_Visio_Drawing13.vsdx"/><Relationship Id="rId141" Type="http://schemas.openxmlformats.org/officeDocument/2006/relationships/image" Target="media/image86.wmf"/><Relationship Id="rId7" Type="http://schemas.openxmlformats.org/officeDocument/2006/relationships/endnotes" Target="endnotes.xml"/><Relationship Id="rId162" Type="http://schemas.openxmlformats.org/officeDocument/2006/relationships/image" Target="media/image101.emf"/><Relationship Id="rId183" Type="http://schemas.openxmlformats.org/officeDocument/2006/relationships/oleObject" Target="embeddings/oleObject9.bin"/><Relationship Id="rId218" Type="http://schemas.openxmlformats.org/officeDocument/2006/relationships/image" Target="media/image134.png"/><Relationship Id="rId24" Type="http://schemas.openxmlformats.org/officeDocument/2006/relationships/diagramColors" Target="diagrams/colors1.xml"/><Relationship Id="rId45" Type="http://schemas.openxmlformats.org/officeDocument/2006/relationships/package" Target="embeddings/Microsoft_Visio_Drawing4.vsdx"/><Relationship Id="rId66" Type="http://schemas.openxmlformats.org/officeDocument/2006/relationships/image" Target="media/image25.wmf"/><Relationship Id="rId87" Type="http://schemas.openxmlformats.org/officeDocument/2006/relationships/image" Target="media/image46.wmf"/><Relationship Id="rId110" Type="http://schemas.openxmlformats.org/officeDocument/2006/relationships/image" Target="media/image69.png"/><Relationship Id="rId131" Type="http://schemas.openxmlformats.org/officeDocument/2006/relationships/image" Target="media/image80.png"/><Relationship Id="rId152" Type="http://schemas.openxmlformats.org/officeDocument/2006/relationships/image" Target="media/image94.png"/><Relationship Id="rId173" Type="http://schemas.openxmlformats.org/officeDocument/2006/relationships/image" Target="media/image109.wmf"/><Relationship Id="rId194" Type="http://schemas.openxmlformats.org/officeDocument/2006/relationships/image" Target="media/image122.wmf"/><Relationship Id="rId208" Type="http://schemas.openxmlformats.org/officeDocument/2006/relationships/image" Target="media/image129.wmf"/><Relationship Id="rId229" Type="http://schemas.openxmlformats.org/officeDocument/2006/relationships/image" Target="media/image142.emf"/><Relationship Id="rId14" Type="http://schemas.openxmlformats.org/officeDocument/2006/relationships/image" Target="media/image2.emf"/><Relationship Id="rId35" Type="http://schemas.openxmlformats.org/officeDocument/2006/relationships/oleObject" Target="embeddings/oleObject2.bin"/><Relationship Id="rId56" Type="http://schemas.openxmlformats.org/officeDocument/2006/relationships/image" Target="media/image17.emf"/><Relationship Id="rId77" Type="http://schemas.openxmlformats.org/officeDocument/2006/relationships/image" Target="media/image36.wmf"/><Relationship Id="rId100" Type="http://schemas.openxmlformats.org/officeDocument/2006/relationships/image" Target="media/image59.wmf"/><Relationship Id="rId8" Type="http://schemas.openxmlformats.org/officeDocument/2006/relationships/image" Target="media/image1.jpeg"/><Relationship Id="rId98" Type="http://schemas.openxmlformats.org/officeDocument/2006/relationships/image" Target="media/image57.wmf"/><Relationship Id="rId121" Type="http://schemas.openxmlformats.org/officeDocument/2006/relationships/image" Target="media/image76.emf"/><Relationship Id="rId142" Type="http://schemas.openxmlformats.org/officeDocument/2006/relationships/image" Target="media/image87.wmf"/><Relationship Id="rId163" Type="http://schemas.openxmlformats.org/officeDocument/2006/relationships/image" Target="media/image102.emf"/><Relationship Id="rId184" Type="http://schemas.openxmlformats.org/officeDocument/2006/relationships/image" Target="media/image116.png"/><Relationship Id="rId219" Type="http://schemas.openxmlformats.org/officeDocument/2006/relationships/image" Target="media/image135.wmf"/><Relationship Id="rId230" Type="http://schemas.openxmlformats.org/officeDocument/2006/relationships/package" Target="embeddings/Microsoft_Visio_Drawing22.vsdx"/><Relationship Id="rId25" Type="http://schemas.microsoft.com/office/2007/relationships/diagramDrawing" Target="diagrams/drawing1.xml"/><Relationship Id="rId46" Type="http://schemas.openxmlformats.org/officeDocument/2006/relationships/image" Target="media/image11.emf"/><Relationship Id="rId67" Type="http://schemas.openxmlformats.org/officeDocument/2006/relationships/image" Target="media/image26.wmf"/><Relationship Id="rId20" Type="http://schemas.openxmlformats.org/officeDocument/2006/relationships/package" Target="embeddings/Microsoft_Visio_Drawing1.vsdx"/><Relationship Id="rId41" Type="http://schemas.openxmlformats.org/officeDocument/2006/relationships/hyperlink" Target="https://en.wikipedia.org/wiki/Free-enterprise" TargetMode="External"/><Relationship Id="rId62" Type="http://schemas.openxmlformats.org/officeDocument/2006/relationships/image" Target="media/image21.wmf"/><Relationship Id="rId83" Type="http://schemas.openxmlformats.org/officeDocument/2006/relationships/image" Target="media/image42.wmf"/><Relationship Id="rId88" Type="http://schemas.openxmlformats.org/officeDocument/2006/relationships/image" Target="media/image47.wmf"/><Relationship Id="rId111" Type="http://schemas.openxmlformats.org/officeDocument/2006/relationships/image" Target="media/image70.emf"/><Relationship Id="rId132" Type="http://schemas.openxmlformats.org/officeDocument/2006/relationships/hyperlink" Target="https://www.youdao.com/w/administrative%20intervention/" TargetMode="External"/><Relationship Id="rId153" Type="http://schemas.openxmlformats.org/officeDocument/2006/relationships/image" Target="media/image95.png"/><Relationship Id="rId174" Type="http://schemas.openxmlformats.org/officeDocument/2006/relationships/oleObject" Target="embeddings/oleObject6.bin"/><Relationship Id="rId179" Type="http://schemas.openxmlformats.org/officeDocument/2006/relationships/image" Target="media/image112.png"/><Relationship Id="rId195" Type="http://schemas.openxmlformats.org/officeDocument/2006/relationships/oleObject" Target="embeddings/oleObject14.bin"/><Relationship Id="rId209" Type="http://schemas.openxmlformats.org/officeDocument/2006/relationships/oleObject" Target="embeddings/oleObject21.bin"/><Relationship Id="rId190" Type="http://schemas.openxmlformats.org/officeDocument/2006/relationships/image" Target="media/image120.wmf"/><Relationship Id="rId204" Type="http://schemas.openxmlformats.org/officeDocument/2006/relationships/image" Target="media/image127.wmf"/><Relationship Id="rId220" Type="http://schemas.openxmlformats.org/officeDocument/2006/relationships/oleObject" Target="embeddings/oleObject26.bin"/><Relationship Id="rId225" Type="http://schemas.openxmlformats.org/officeDocument/2006/relationships/image" Target="media/image139.png"/><Relationship Id="rId15" Type="http://schemas.openxmlformats.org/officeDocument/2006/relationships/image" Target="media/image3.emf"/><Relationship Id="rId36" Type="http://schemas.openxmlformats.org/officeDocument/2006/relationships/hyperlink" Target="http://ec.europa.eu/energy/intelligent/" TargetMode="External"/><Relationship Id="rId57" Type="http://schemas.openxmlformats.org/officeDocument/2006/relationships/package" Target="embeddings/Microsoft_Visio_Drawing8.vsdx"/><Relationship Id="rId106" Type="http://schemas.openxmlformats.org/officeDocument/2006/relationships/image" Target="media/image65.wmf"/><Relationship Id="rId127" Type="http://schemas.openxmlformats.org/officeDocument/2006/relationships/image" Target="media/image77.emf"/><Relationship Id="rId10" Type="http://schemas.openxmlformats.org/officeDocument/2006/relationships/hyperlink" Target="https://scholar.google.com/citations?view_op=view_org&amp;hl=en&amp;org=5985253823838700765" TargetMode="External"/><Relationship Id="rId31" Type="http://schemas.openxmlformats.org/officeDocument/2006/relationships/chart" Target="charts/chart3.xml"/><Relationship Id="rId52" Type="http://schemas.openxmlformats.org/officeDocument/2006/relationships/image" Target="media/image14.emf"/><Relationship Id="rId73" Type="http://schemas.openxmlformats.org/officeDocument/2006/relationships/image" Target="media/image32.wmf"/><Relationship Id="rId78" Type="http://schemas.openxmlformats.org/officeDocument/2006/relationships/image" Target="media/image37.wmf"/><Relationship Id="rId94" Type="http://schemas.openxmlformats.org/officeDocument/2006/relationships/image" Target="media/image53.wmf"/><Relationship Id="rId99" Type="http://schemas.openxmlformats.org/officeDocument/2006/relationships/image" Target="media/image58.wmf"/><Relationship Id="rId101" Type="http://schemas.openxmlformats.org/officeDocument/2006/relationships/image" Target="media/image60.wmf"/><Relationship Id="rId122" Type="http://schemas.openxmlformats.org/officeDocument/2006/relationships/diagramData" Target="diagrams/data2.xml"/><Relationship Id="rId143" Type="http://schemas.openxmlformats.org/officeDocument/2006/relationships/image" Target="media/image88.wmf"/><Relationship Id="rId148" Type="http://schemas.openxmlformats.org/officeDocument/2006/relationships/chart" Target="charts/chart7.xml"/><Relationship Id="rId164" Type="http://schemas.openxmlformats.org/officeDocument/2006/relationships/image" Target="media/image103.emf"/><Relationship Id="rId169" Type="http://schemas.openxmlformats.org/officeDocument/2006/relationships/oleObject" Target="embeddings/oleObject4.bin"/><Relationship Id="rId185" Type="http://schemas.openxmlformats.org/officeDocument/2006/relationships/image" Target="media/image117.wmf"/><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13.png"/><Relationship Id="rId210" Type="http://schemas.openxmlformats.org/officeDocument/2006/relationships/image" Target="media/image130.wmf"/><Relationship Id="rId215" Type="http://schemas.openxmlformats.org/officeDocument/2006/relationships/oleObject" Target="embeddings/oleObject24.bin"/><Relationship Id="rId26" Type="http://schemas.openxmlformats.org/officeDocument/2006/relationships/chart" Target="charts/chart1.xml"/><Relationship Id="rId231" Type="http://schemas.openxmlformats.org/officeDocument/2006/relationships/image" Target="media/image143.png"/><Relationship Id="rId47" Type="http://schemas.openxmlformats.org/officeDocument/2006/relationships/package" Target="embeddings/Microsoft_Visio_Drawing5.vsdx"/><Relationship Id="rId68" Type="http://schemas.openxmlformats.org/officeDocument/2006/relationships/image" Target="media/image27.wmf"/><Relationship Id="rId89" Type="http://schemas.openxmlformats.org/officeDocument/2006/relationships/image" Target="media/image48.wmf"/><Relationship Id="rId112" Type="http://schemas.openxmlformats.org/officeDocument/2006/relationships/image" Target="media/image71.emf"/><Relationship Id="rId133" Type="http://schemas.openxmlformats.org/officeDocument/2006/relationships/image" Target="media/image81.emf"/><Relationship Id="rId154" Type="http://schemas.openxmlformats.org/officeDocument/2006/relationships/image" Target="media/image96.png"/><Relationship Id="rId175" Type="http://schemas.openxmlformats.org/officeDocument/2006/relationships/image" Target="media/image110.wmf"/><Relationship Id="rId196" Type="http://schemas.openxmlformats.org/officeDocument/2006/relationships/image" Target="media/image123.wmf"/><Relationship Id="rId200" Type="http://schemas.openxmlformats.org/officeDocument/2006/relationships/image" Target="media/image125.emf"/><Relationship Id="rId16" Type="http://schemas.openxmlformats.org/officeDocument/2006/relationships/image" Target="media/image4.jpeg"/><Relationship Id="rId221" Type="http://schemas.openxmlformats.org/officeDocument/2006/relationships/image" Target="media/image136.png"/><Relationship Id="rId37" Type="http://schemas.openxmlformats.org/officeDocument/2006/relationships/hyperlink" Target="http://wagner.nyu.edu/rudincenter" TargetMode="External"/><Relationship Id="rId58" Type="http://schemas.openxmlformats.org/officeDocument/2006/relationships/image" Target="media/image18.emf"/><Relationship Id="rId79" Type="http://schemas.openxmlformats.org/officeDocument/2006/relationships/image" Target="media/image38.wmf"/><Relationship Id="rId102" Type="http://schemas.openxmlformats.org/officeDocument/2006/relationships/image" Target="media/image61.wmf"/><Relationship Id="rId123" Type="http://schemas.openxmlformats.org/officeDocument/2006/relationships/diagramLayout" Target="diagrams/layout2.xml"/><Relationship Id="rId144" Type="http://schemas.openxmlformats.org/officeDocument/2006/relationships/image" Target="media/image89.wmf"/><Relationship Id="rId90" Type="http://schemas.openxmlformats.org/officeDocument/2006/relationships/image" Target="media/image49.wmf"/><Relationship Id="rId165" Type="http://schemas.openxmlformats.org/officeDocument/2006/relationships/image" Target="media/image104.emf"/><Relationship Id="rId186" Type="http://schemas.openxmlformats.org/officeDocument/2006/relationships/oleObject" Target="embeddings/oleObject10.bin"/><Relationship Id="rId211" Type="http://schemas.openxmlformats.org/officeDocument/2006/relationships/oleObject" Target="embeddings/oleObject22.bin"/><Relationship Id="rId232" Type="http://schemas.openxmlformats.org/officeDocument/2006/relationships/image" Target="media/image144.png"/><Relationship Id="rId27" Type="http://schemas.openxmlformats.org/officeDocument/2006/relationships/chart" Target="charts/chart2.xml"/><Relationship Id="rId48" Type="http://schemas.openxmlformats.org/officeDocument/2006/relationships/image" Target="media/image12.emf"/><Relationship Id="rId69" Type="http://schemas.openxmlformats.org/officeDocument/2006/relationships/image" Target="media/image28.wmf"/><Relationship Id="rId113" Type="http://schemas.openxmlformats.org/officeDocument/2006/relationships/image" Target="media/image72.emf"/><Relationship Id="rId134" Type="http://schemas.openxmlformats.org/officeDocument/2006/relationships/package" Target="embeddings/Microsoft_Visio_Drawing15.vsdx"/><Relationship Id="rId80" Type="http://schemas.openxmlformats.org/officeDocument/2006/relationships/image" Target="media/image39.wmf"/><Relationship Id="rId155" Type="http://schemas.openxmlformats.org/officeDocument/2006/relationships/image" Target="media/image97.emf"/><Relationship Id="rId176" Type="http://schemas.openxmlformats.org/officeDocument/2006/relationships/oleObject" Target="embeddings/oleObject7.bin"/><Relationship Id="rId197" Type="http://schemas.openxmlformats.org/officeDocument/2006/relationships/oleObject" Target="embeddings/oleObject15.bin"/><Relationship Id="rId201" Type="http://schemas.openxmlformats.org/officeDocument/2006/relationships/oleObject" Target="embeddings/oleObject17.bin"/><Relationship Id="rId222" Type="http://schemas.openxmlformats.org/officeDocument/2006/relationships/image" Target="media/image137.png"/><Relationship Id="rId17" Type="http://schemas.openxmlformats.org/officeDocument/2006/relationships/image" Target="media/image5.emf"/><Relationship Id="rId38" Type="http://schemas.openxmlformats.org/officeDocument/2006/relationships/hyperlink" Target="https://en.wikipedia.org/wiki/Private_property" TargetMode="External"/><Relationship Id="rId59" Type="http://schemas.openxmlformats.org/officeDocument/2006/relationships/package" Target="embeddings/Microsoft_Visio_Drawing9.vsdx"/><Relationship Id="rId103" Type="http://schemas.openxmlformats.org/officeDocument/2006/relationships/image" Target="media/image62.wmf"/><Relationship Id="rId124" Type="http://schemas.openxmlformats.org/officeDocument/2006/relationships/diagramQuickStyle" Target="diagrams/quickStyle2.xml"/><Relationship Id="rId70" Type="http://schemas.openxmlformats.org/officeDocument/2006/relationships/image" Target="media/image29.wmf"/><Relationship Id="rId91" Type="http://schemas.openxmlformats.org/officeDocument/2006/relationships/image" Target="media/image50.wmf"/><Relationship Id="rId145" Type="http://schemas.openxmlformats.org/officeDocument/2006/relationships/image" Target="media/image90.jpeg"/><Relationship Id="rId166" Type="http://schemas.openxmlformats.org/officeDocument/2006/relationships/image" Target="media/image105.emf"/><Relationship Id="rId187" Type="http://schemas.openxmlformats.org/officeDocument/2006/relationships/image" Target="media/image118.png"/><Relationship Id="rId1" Type="http://schemas.openxmlformats.org/officeDocument/2006/relationships/customXml" Target="../customXml/item1.xml"/><Relationship Id="rId212" Type="http://schemas.openxmlformats.org/officeDocument/2006/relationships/image" Target="media/image131.wmf"/><Relationship Id="rId233" Type="http://schemas.openxmlformats.org/officeDocument/2006/relationships/fontTable" Target="fontTable.xml"/><Relationship Id="rId28" Type="http://schemas.openxmlformats.org/officeDocument/2006/relationships/image" Target="media/image7.emf"/><Relationship Id="rId49" Type="http://schemas.openxmlformats.org/officeDocument/2006/relationships/package" Target="embeddings/Microsoft_Visio_Drawing6.vsdx"/><Relationship Id="rId114" Type="http://schemas.openxmlformats.org/officeDocument/2006/relationships/package" Target="embeddings/Microsoft_Visio_Drawing10.vsdx"/><Relationship Id="rId60" Type="http://schemas.openxmlformats.org/officeDocument/2006/relationships/image" Target="media/image19.wmf"/><Relationship Id="rId81" Type="http://schemas.openxmlformats.org/officeDocument/2006/relationships/image" Target="media/image40.wmf"/><Relationship Id="rId135" Type="http://schemas.openxmlformats.org/officeDocument/2006/relationships/image" Target="media/image82.emf"/><Relationship Id="rId156" Type="http://schemas.openxmlformats.org/officeDocument/2006/relationships/package" Target="embeddings/Microsoft_Visio_Drawing18.vsdx"/><Relationship Id="rId177" Type="http://schemas.openxmlformats.org/officeDocument/2006/relationships/image" Target="media/image111.wmf"/><Relationship Id="rId198" Type="http://schemas.openxmlformats.org/officeDocument/2006/relationships/image" Target="media/image124.wmf"/><Relationship Id="rId202" Type="http://schemas.openxmlformats.org/officeDocument/2006/relationships/image" Target="media/image126.wmf"/><Relationship Id="rId223" Type="http://schemas.openxmlformats.org/officeDocument/2006/relationships/image" Target="media/image138.emf"/><Relationship Id="rId18" Type="http://schemas.openxmlformats.org/officeDocument/2006/relationships/package" Target="embeddings/Microsoft_Visio_Drawing.vsdx"/><Relationship Id="rId39" Type="http://schemas.openxmlformats.org/officeDocument/2006/relationships/hyperlink" Target="https://en.wikipedia.org/wiki/Means_of_production" TargetMode="External"/><Relationship Id="rId50" Type="http://schemas.openxmlformats.org/officeDocument/2006/relationships/hyperlink" Target="https://en.wikipedia.org/wiki/Probability_distributions" TargetMode="External"/><Relationship Id="rId104" Type="http://schemas.openxmlformats.org/officeDocument/2006/relationships/image" Target="media/image63.wmf"/><Relationship Id="rId125" Type="http://schemas.openxmlformats.org/officeDocument/2006/relationships/diagramColors" Target="diagrams/colors2.xml"/><Relationship Id="rId146" Type="http://schemas.openxmlformats.org/officeDocument/2006/relationships/chart" Target="charts/chart5.xml"/><Relationship Id="rId167" Type="http://schemas.openxmlformats.org/officeDocument/2006/relationships/package" Target="embeddings/Microsoft_Visio_Drawing19.vsdx"/><Relationship Id="rId188" Type="http://schemas.openxmlformats.org/officeDocument/2006/relationships/image" Target="media/image119.wmf"/><Relationship Id="rId71" Type="http://schemas.openxmlformats.org/officeDocument/2006/relationships/image" Target="media/image30.wmf"/><Relationship Id="rId92" Type="http://schemas.openxmlformats.org/officeDocument/2006/relationships/image" Target="media/image51.wmf"/><Relationship Id="rId213" Type="http://schemas.openxmlformats.org/officeDocument/2006/relationships/oleObject" Target="embeddings/oleObject23.bin"/><Relationship Id="rId234"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package" Target="embeddings/Microsoft_Visio_Drawing2.vsdx"/><Relationship Id="rId40" Type="http://schemas.openxmlformats.org/officeDocument/2006/relationships/hyperlink" Target="https://en.wikipedia.org/wiki/Profit_(economics)" TargetMode="External"/><Relationship Id="rId115" Type="http://schemas.openxmlformats.org/officeDocument/2006/relationships/image" Target="media/image73.emf"/><Relationship Id="rId136" Type="http://schemas.openxmlformats.org/officeDocument/2006/relationships/package" Target="embeddings/Microsoft_Visio_Drawing16.vsdx"/><Relationship Id="rId157" Type="http://schemas.openxmlformats.org/officeDocument/2006/relationships/hyperlink" Target="http://www" TargetMode="External"/><Relationship Id="rId178" Type="http://schemas.openxmlformats.org/officeDocument/2006/relationships/oleObject" Target="embeddings/oleObject8.bin"/><Relationship Id="rId61" Type="http://schemas.openxmlformats.org/officeDocument/2006/relationships/image" Target="media/image20.png"/><Relationship Id="rId82" Type="http://schemas.openxmlformats.org/officeDocument/2006/relationships/image" Target="media/image41.tiff"/><Relationship Id="rId199" Type="http://schemas.openxmlformats.org/officeDocument/2006/relationships/oleObject" Target="embeddings/oleObject16.bin"/><Relationship Id="rId203" Type="http://schemas.openxmlformats.org/officeDocument/2006/relationships/oleObject" Target="embeddings/oleObject18.bin"/><Relationship Id="rId19" Type="http://schemas.openxmlformats.org/officeDocument/2006/relationships/image" Target="media/image6.emf"/><Relationship Id="rId224" Type="http://schemas.openxmlformats.org/officeDocument/2006/relationships/package" Target="embeddings/Microsoft_Visio_Drawing20.vsdx"/><Relationship Id="rId30" Type="http://schemas.openxmlformats.org/officeDocument/2006/relationships/hyperlink" Target="https://en.wikipedia.org/wiki/Hypothesis" TargetMode="External"/><Relationship Id="rId105" Type="http://schemas.openxmlformats.org/officeDocument/2006/relationships/image" Target="media/image64.wmf"/><Relationship Id="rId126" Type="http://schemas.microsoft.com/office/2007/relationships/diagramDrawing" Target="diagrams/drawing2.xml"/><Relationship Id="rId147" Type="http://schemas.openxmlformats.org/officeDocument/2006/relationships/chart" Target="charts/chart6.xml"/><Relationship Id="rId168" Type="http://schemas.openxmlformats.org/officeDocument/2006/relationships/image" Target="media/image106.wmf"/><Relationship Id="rId51" Type="http://schemas.openxmlformats.org/officeDocument/2006/relationships/image" Target="media/image13.emf"/><Relationship Id="rId72" Type="http://schemas.openxmlformats.org/officeDocument/2006/relationships/image" Target="media/image31.wmf"/><Relationship Id="rId93" Type="http://schemas.openxmlformats.org/officeDocument/2006/relationships/image" Target="media/image52.wmf"/><Relationship Id="rId189" Type="http://schemas.openxmlformats.org/officeDocument/2006/relationships/oleObject" Target="embeddings/oleObject11.bin"/><Relationship Id="rId3" Type="http://schemas.openxmlformats.org/officeDocument/2006/relationships/styles" Target="styles.xml"/><Relationship Id="rId214" Type="http://schemas.openxmlformats.org/officeDocument/2006/relationships/image" Target="media/image132.wmf"/><Relationship Id="rId116" Type="http://schemas.openxmlformats.org/officeDocument/2006/relationships/package" Target="embeddings/Microsoft_Visio_Drawing11.vsdx"/><Relationship Id="rId137" Type="http://schemas.openxmlformats.org/officeDocument/2006/relationships/image" Target="media/image83.emf"/><Relationship Id="rId158" Type="http://schemas.openxmlformats.org/officeDocument/2006/relationships/image" Target="media/image98.jpg"/></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6b040dce17f612d9/Attachments/Thesi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1.bin"/></Relationships>
</file>

<file path=word/charts/_rels/chart5.xml.rels><?xml version="1.0" encoding="UTF-8" standalone="yes"?>
<Relationships xmlns="http://schemas.openxmlformats.org/package/2006/relationships"><Relationship Id="rId3" Type="http://schemas.openxmlformats.org/officeDocument/2006/relationships/oleObject" Target="https://d.docs.live.net/6b040dce17f612d9/Attachments/Cost%20allocation.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d.docs.live.net/6b040dce17f612d9/Attachments/Cost%20allocation.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Sheet1!$I$1:$I$17</c:f>
              <c:strCache>
                <c:ptCount val="17"/>
                <c:pt idx="0">
                  <c:v>1982-2003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strCache>
            </c:strRef>
          </c:cat>
          <c:val>
            <c:numRef>
              <c:f>Sheet1!$J$1:$J$17</c:f>
              <c:numCache>
                <c:formatCode>General</c:formatCode>
                <c:ptCount val="17"/>
                <c:pt idx="0">
                  <c:v>4</c:v>
                </c:pt>
                <c:pt idx="1">
                  <c:v>4</c:v>
                </c:pt>
                <c:pt idx="2">
                  <c:v>4</c:v>
                </c:pt>
                <c:pt idx="3">
                  <c:v>6</c:v>
                </c:pt>
                <c:pt idx="4">
                  <c:v>3</c:v>
                </c:pt>
                <c:pt idx="5">
                  <c:v>2</c:v>
                </c:pt>
                <c:pt idx="6">
                  <c:v>8</c:v>
                </c:pt>
                <c:pt idx="7">
                  <c:v>6</c:v>
                </c:pt>
                <c:pt idx="8">
                  <c:v>6</c:v>
                </c:pt>
                <c:pt idx="9">
                  <c:v>17</c:v>
                </c:pt>
                <c:pt idx="10">
                  <c:v>14</c:v>
                </c:pt>
                <c:pt idx="11">
                  <c:v>21</c:v>
                </c:pt>
                <c:pt idx="12">
                  <c:v>24</c:v>
                </c:pt>
                <c:pt idx="13">
                  <c:v>23</c:v>
                </c:pt>
                <c:pt idx="14">
                  <c:v>31</c:v>
                </c:pt>
                <c:pt idx="15">
                  <c:v>46</c:v>
                </c:pt>
                <c:pt idx="16">
                  <c:v>34</c:v>
                </c:pt>
              </c:numCache>
            </c:numRef>
          </c:val>
          <c:extLst>
            <c:ext xmlns:c16="http://schemas.microsoft.com/office/drawing/2014/chart" uri="{C3380CC4-5D6E-409C-BE32-E72D297353CC}">
              <c16:uniqueId val="{00000000-0699-4488-B360-3F3CFADF326E}"/>
            </c:ext>
          </c:extLst>
        </c:ser>
        <c:dLbls>
          <c:dLblPos val="outEnd"/>
          <c:showLegendKey val="0"/>
          <c:showVal val="1"/>
          <c:showCatName val="0"/>
          <c:showSerName val="0"/>
          <c:showPercent val="0"/>
          <c:showBubbleSize val="0"/>
        </c:dLbls>
        <c:gapWidth val="219"/>
        <c:overlap val="-27"/>
        <c:axId val="-2103932424"/>
        <c:axId val="-2100438776"/>
      </c:barChart>
      <c:catAx>
        <c:axId val="-2103932424"/>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t>Year</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crossAx val="-2100438776"/>
        <c:crosses val="autoZero"/>
        <c:auto val="1"/>
        <c:lblAlgn val="ctr"/>
        <c:lblOffset val="100"/>
        <c:noMultiLvlLbl val="0"/>
      </c:catAx>
      <c:valAx>
        <c:axId val="-210043877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t>Paper Numbers</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title>
        <c:numFmt formatCode="General" sourceLinked="1"/>
        <c:majorTickMark val="none"/>
        <c:minorTickMark val="none"/>
        <c:tickLblPos val="nextTo"/>
        <c:spPr>
          <a:noFill/>
          <a:ln>
            <a:noFill/>
          </a:ln>
          <a:effectLst/>
        </c:spPr>
        <c:txPr>
          <a:bodyPr rot="0" spcFirstLastPara="1" vertOverflow="ellipsis"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crossAx val="-2103932424"/>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6"/>
              </a:solidFill>
              <a:ln w="19050">
                <a:solidFill>
                  <a:schemeClr val="lt1"/>
                </a:solidFill>
              </a:ln>
              <a:effectLst/>
            </c:spPr>
            <c:extLst>
              <c:ext xmlns:c16="http://schemas.microsoft.com/office/drawing/2014/chart" uri="{C3380CC4-5D6E-409C-BE32-E72D297353CC}">
                <c16:uniqueId val="{00000001-91C6-4767-929D-A8E3D798EACD}"/>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91C6-4767-929D-A8E3D798EACD}"/>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91C6-4767-929D-A8E3D798EACD}"/>
              </c:ext>
            </c:extLst>
          </c:dPt>
          <c:dPt>
            <c:idx val="3"/>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07-91C6-4767-929D-A8E3D798EACD}"/>
              </c:ext>
            </c:extLst>
          </c:dPt>
          <c:dPt>
            <c:idx val="4"/>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09-91C6-4767-929D-A8E3D798EACD}"/>
              </c:ext>
            </c:extLst>
          </c:dPt>
          <c:dPt>
            <c:idx val="5"/>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0B-91C6-4767-929D-A8E3D798EACD}"/>
              </c:ext>
            </c:extLst>
          </c:dPt>
          <c:dPt>
            <c:idx val="6"/>
            <c:bubble3D val="0"/>
            <c:spPr>
              <a:solidFill>
                <a:schemeClr val="accent6">
                  <a:lumMod val="80000"/>
                  <a:lumOff val="20000"/>
                </a:schemeClr>
              </a:solidFill>
              <a:ln w="19050">
                <a:solidFill>
                  <a:schemeClr val="lt1"/>
                </a:solidFill>
              </a:ln>
              <a:effectLst/>
            </c:spPr>
            <c:extLst>
              <c:ext xmlns:c16="http://schemas.microsoft.com/office/drawing/2014/chart" uri="{C3380CC4-5D6E-409C-BE32-E72D297353CC}">
                <c16:uniqueId val="{0000000D-91C6-4767-929D-A8E3D798EACD}"/>
              </c:ext>
            </c:extLst>
          </c:dPt>
          <c:dPt>
            <c:idx val="7"/>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0F-91C6-4767-929D-A8E3D798EACD}"/>
              </c:ext>
            </c:extLst>
          </c:dPt>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zh-CN"/>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Sheet1!$C$9:$C$16</c:f>
              <c:strCache>
                <c:ptCount val="8"/>
                <c:pt idx="0">
                  <c:v>New Operating Model</c:v>
                </c:pt>
                <c:pt idx="1">
                  <c:v>Performance Evaluation</c:v>
                </c:pt>
                <c:pt idx="2">
                  <c:v>Stakeholders Engagement</c:v>
                </c:pt>
                <c:pt idx="3">
                  <c:v>Planning and Design</c:v>
                </c:pt>
                <c:pt idx="4">
                  <c:v>Literature Review</c:v>
                </c:pt>
                <c:pt idx="5">
                  <c:v>Technological Upgrades</c:v>
                </c:pt>
                <c:pt idx="6">
                  <c:v>Freight Movement Optimisation</c:v>
                </c:pt>
                <c:pt idx="7">
                  <c:v>Demand Management</c:v>
                </c:pt>
              </c:strCache>
            </c:strRef>
          </c:cat>
          <c:val>
            <c:numRef>
              <c:f>Sheet1!$D$9:$D$16</c:f>
              <c:numCache>
                <c:formatCode>General</c:formatCode>
                <c:ptCount val="8"/>
                <c:pt idx="0">
                  <c:v>73</c:v>
                </c:pt>
                <c:pt idx="1">
                  <c:v>58</c:v>
                </c:pt>
                <c:pt idx="2">
                  <c:v>27</c:v>
                </c:pt>
                <c:pt idx="3">
                  <c:v>23</c:v>
                </c:pt>
                <c:pt idx="4">
                  <c:v>25</c:v>
                </c:pt>
                <c:pt idx="5">
                  <c:v>8</c:v>
                </c:pt>
                <c:pt idx="6">
                  <c:v>26</c:v>
                </c:pt>
                <c:pt idx="7">
                  <c:v>13</c:v>
                </c:pt>
              </c:numCache>
            </c:numRef>
          </c:val>
          <c:extLst>
            <c:ext xmlns:c16="http://schemas.microsoft.com/office/drawing/2014/chart" uri="{C3380CC4-5D6E-409C-BE32-E72D297353CC}">
              <c16:uniqueId val="{00000010-91C6-4767-929D-A8E3D798EACD}"/>
            </c:ext>
          </c:extLst>
        </c:ser>
        <c:dLbls>
          <c:dLblPos val="inEnd"/>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9.5356517935258102E-3"/>
          <c:y val="0.66666447944007001"/>
          <c:w val="0.97815091863517101"/>
          <c:h val="0.3055577427821519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zh-CN"/>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B73-44B5-8CDC-21F352A2CE6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B73-44B5-8CDC-21F352A2CE6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B73-44B5-8CDC-21F352A2CE6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B73-44B5-8CDC-21F352A2CE6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B73-44B5-8CDC-21F352A2CE69}"/>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DB73-44B5-8CDC-21F352A2CE69}"/>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zh-CN"/>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Sheet1!$A$1:$A$6</c:f>
              <c:strCache>
                <c:ptCount val="6"/>
                <c:pt idx="0">
                  <c:v>Quantitative Modelling</c:v>
                </c:pt>
                <c:pt idx="1">
                  <c:v>Case Study</c:v>
                </c:pt>
                <c:pt idx="2">
                  <c:v>Literature Review</c:v>
                </c:pt>
                <c:pt idx="3">
                  <c:v>Experimental/Piloting</c:v>
                </c:pt>
                <c:pt idx="4">
                  <c:v>Survey</c:v>
                </c:pt>
                <c:pt idx="5">
                  <c:v>Simulation</c:v>
                </c:pt>
              </c:strCache>
            </c:strRef>
          </c:cat>
          <c:val>
            <c:numRef>
              <c:f>Sheet1!$B$1:$B$6</c:f>
              <c:numCache>
                <c:formatCode>General</c:formatCode>
                <c:ptCount val="6"/>
                <c:pt idx="0">
                  <c:v>112</c:v>
                </c:pt>
                <c:pt idx="1">
                  <c:v>89</c:v>
                </c:pt>
                <c:pt idx="2">
                  <c:v>40</c:v>
                </c:pt>
                <c:pt idx="3">
                  <c:v>44</c:v>
                </c:pt>
                <c:pt idx="4">
                  <c:v>72</c:v>
                </c:pt>
                <c:pt idx="5">
                  <c:v>28</c:v>
                </c:pt>
              </c:numCache>
            </c:numRef>
          </c:val>
          <c:extLst>
            <c:ext xmlns:c16="http://schemas.microsoft.com/office/drawing/2014/chart" uri="{C3380CC4-5D6E-409C-BE32-E72D297353CC}">
              <c16:uniqueId val="{0000000C-DB73-44B5-8CDC-21F352A2CE69}"/>
            </c:ext>
          </c:extLst>
        </c:ser>
        <c:dLbls>
          <c:dLblPos val="inEnd"/>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3.6672134733158397E-2"/>
          <c:y val="0.83226523767862404"/>
          <c:w val="0.92665551181102401"/>
          <c:h val="0.13995698454359901"/>
        </c:manualLayout>
      </c:layout>
      <c:overlay val="0"/>
      <c:spPr>
        <a:noFill/>
        <a:ln>
          <a:noFill/>
        </a:ln>
        <a:effectLst/>
      </c:spPr>
      <c:txPr>
        <a:bodyPr rot="0" spcFirstLastPara="1" vertOverflow="ellipsis" vert="horz" wrap="square" anchor="b" anchorCtr="0"/>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'[Thesis Chart.xlsx]Sheet1'!$A$21:$A$31</c:f>
              <c:strCache>
                <c:ptCount val="11"/>
                <c:pt idx="0">
                  <c:v>2004-2009</c:v>
                </c:pt>
                <c:pt idx="1">
                  <c:v>2010</c:v>
                </c:pt>
                <c:pt idx="2">
                  <c:v>2011</c:v>
                </c:pt>
                <c:pt idx="3">
                  <c:v>2012</c:v>
                </c:pt>
                <c:pt idx="4">
                  <c:v>2013</c:v>
                </c:pt>
                <c:pt idx="5">
                  <c:v>2014</c:v>
                </c:pt>
                <c:pt idx="6">
                  <c:v>2015</c:v>
                </c:pt>
                <c:pt idx="7">
                  <c:v>2016</c:v>
                </c:pt>
                <c:pt idx="8">
                  <c:v>2017</c:v>
                </c:pt>
                <c:pt idx="9">
                  <c:v>2018</c:v>
                </c:pt>
                <c:pt idx="10">
                  <c:v>2019</c:v>
                </c:pt>
              </c:strCache>
            </c:strRef>
          </c:cat>
          <c:val>
            <c:numRef>
              <c:f>'[Thesis Chart.xlsx]Sheet1'!$B$21:$B$31</c:f>
              <c:numCache>
                <c:formatCode>General</c:formatCode>
                <c:ptCount val="11"/>
                <c:pt idx="0">
                  <c:v>9</c:v>
                </c:pt>
                <c:pt idx="1">
                  <c:v>4</c:v>
                </c:pt>
                <c:pt idx="2">
                  <c:v>5</c:v>
                </c:pt>
                <c:pt idx="3">
                  <c:v>14</c:v>
                </c:pt>
                <c:pt idx="4">
                  <c:v>10</c:v>
                </c:pt>
                <c:pt idx="5">
                  <c:v>14</c:v>
                </c:pt>
                <c:pt idx="6">
                  <c:v>12</c:v>
                </c:pt>
                <c:pt idx="7">
                  <c:v>12</c:v>
                </c:pt>
                <c:pt idx="8">
                  <c:v>14</c:v>
                </c:pt>
                <c:pt idx="9">
                  <c:v>15</c:v>
                </c:pt>
                <c:pt idx="10">
                  <c:v>9</c:v>
                </c:pt>
              </c:numCache>
            </c:numRef>
          </c:val>
          <c:extLst>
            <c:ext xmlns:c16="http://schemas.microsoft.com/office/drawing/2014/chart" uri="{C3380CC4-5D6E-409C-BE32-E72D297353CC}">
              <c16:uniqueId val="{00000000-BDE0-4091-9DD1-441F2AE4659D}"/>
            </c:ext>
          </c:extLst>
        </c:ser>
        <c:dLbls>
          <c:dLblPos val="outEnd"/>
          <c:showLegendKey val="0"/>
          <c:showVal val="1"/>
          <c:showCatName val="0"/>
          <c:showSerName val="0"/>
          <c:showPercent val="0"/>
          <c:showBubbleSize val="0"/>
        </c:dLbls>
        <c:gapWidth val="219"/>
        <c:overlap val="-27"/>
        <c:axId val="-2098710872"/>
        <c:axId val="-2140342808"/>
      </c:barChart>
      <c:catAx>
        <c:axId val="-2098710872"/>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a:latin typeface="Times New Roman" panose="02020603050405020304" pitchFamily="18" charset="0"/>
                    <a:cs typeface="Times New Roman" panose="02020603050405020304" pitchFamily="18" charset="0"/>
                  </a:rPr>
                  <a:t>Year</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crossAx val="-2140342808"/>
        <c:crosses val="autoZero"/>
        <c:auto val="1"/>
        <c:lblAlgn val="ctr"/>
        <c:lblOffset val="100"/>
        <c:noMultiLvlLbl val="0"/>
      </c:catAx>
      <c:valAx>
        <c:axId val="-2140342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a:latin typeface="Times New Roman" panose="02020603050405020304" pitchFamily="18" charset="0"/>
                    <a:cs typeface="Times New Roman" panose="02020603050405020304" pitchFamily="18" charset="0"/>
                  </a:rPr>
                  <a:t>Paper Numbers</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098710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635870516185499"/>
          <c:y val="5.0925925925925902E-2"/>
          <c:w val="0.76958398950131202"/>
          <c:h val="0.63681357538641004"/>
        </c:manualLayout>
      </c:layout>
      <c:scatterChart>
        <c:scatterStyle val="smoothMarker"/>
        <c:varyColors val="0"/>
        <c:ser>
          <c:idx val="0"/>
          <c:order val="0"/>
          <c:tx>
            <c:strRef>
              <c:f>Sheet3!$B$1</c:f>
              <c:strCache>
                <c:ptCount val="1"/>
                <c:pt idx="0">
                  <c:v>UCC UES Allocation (delivery outsourced to local carrier）</c:v>
                </c:pt>
              </c:strCache>
            </c:strRef>
          </c:tx>
          <c:spPr>
            <a:ln w="19050" cap="rnd">
              <a:solidFill>
                <a:schemeClr val="accent2"/>
              </a:solidFill>
              <a:round/>
            </a:ln>
            <a:effectLst/>
          </c:spPr>
          <c:marker>
            <c:symbol val="none"/>
          </c:marker>
          <c:xVal>
            <c:numRef>
              <c:f>Sheet3!$A$2:$A$17</c:f>
              <c:numCache>
                <c:formatCode>General</c:formatCode>
                <c:ptCount val="16"/>
                <c:pt idx="0">
                  <c:v>0</c:v>
                </c:pt>
                <c:pt idx="1">
                  <c:v>0.2</c:v>
                </c:pt>
                <c:pt idx="2">
                  <c:v>0.4</c:v>
                </c:pt>
                <c:pt idx="3">
                  <c:v>0.6</c:v>
                </c:pt>
                <c:pt idx="4">
                  <c:v>0.8</c:v>
                </c:pt>
                <c:pt idx="5">
                  <c:v>1</c:v>
                </c:pt>
                <c:pt idx="6">
                  <c:v>1.2</c:v>
                </c:pt>
                <c:pt idx="7">
                  <c:v>1.4</c:v>
                </c:pt>
                <c:pt idx="8">
                  <c:v>1.6</c:v>
                </c:pt>
                <c:pt idx="9">
                  <c:v>1.8</c:v>
                </c:pt>
                <c:pt idx="10">
                  <c:v>2</c:v>
                </c:pt>
                <c:pt idx="11">
                  <c:v>2.2000000000000002</c:v>
                </c:pt>
                <c:pt idx="12">
                  <c:v>2.4</c:v>
                </c:pt>
                <c:pt idx="13">
                  <c:v>2.6</c:v>
                </c:pt>
                <c:pt idx="14">
                  <c:v>2.8</c:v>
                </c:pt>
                <c:pt idx="15">
                  <c:v>3</c:v>
                </c:pt>
              </c:numCache>
            </c:numRef>
          </c:xVal>
          <c:yVal>
            <c:numRef>
              <c:f>Sheet3!$B$2:$B$17</c:f>
              <c:numCache>
                <c:formatCode>General</c:formatCode>
                <c:ptCount val="16"/>
                <c:pt idx="0">
                  <c:v>0.33</c:v>
                </c:pt>
                <c:pt idx="1">
                  <c:v>0.38</c:v>
                </c:pt>
                <c:pt idx="2">
                  <c:v>0.43000000000000005</c:v>
                </c:pt>
                <c:pt idx="3">
                  <c:v>0.48</c:v>
                </c:pt>
                <c:pt idx="4">
                  <c:v>0.53</c:v>
                </c:pt>
                <c:pt idx="5">
                  <c:v>0.58000000000000007</c:v>
                </c:pt>
                <c:pt idx="6">
                  <c:v>0.63</c:v>
                </c:pt>
                <c:pt idx="7">
                  <c:v>0.67999999999999994</c:v>
                </c:pt>
                <c:pt idx="8">
                  <c:v>0.73</c:v>
                </c:pt>
                <c:pt idx="9">
                  <c:v>0.78</c:v>
                </c:pt>
                <c:pt idx="10">
                  <c:v>0.83000000000000007</c:v>
                </c:pt>
                <c:pt idx="11">
                  <c:v>0.88000000000000012</c:v>
                </c:pt>
                <c:pt idx="12">
                  <c:v>0.92999999999999994</c:v>
                </c:pt>
                <c:pt idx="13">
                  <c:v>0.98</c:v>
                </c:pt>
                <c:pt idx="14">
                  <c:v>1.03</c:v>
                </c:pt>
                <c:pt idx="15">
                  <c:v>1.08</c:v>
                </c:pt>
              </c:numCache>
            </c:numRef>
          </c:yVal>
          <c:smooth val="1"/>
          <c:extLst>
            <c:ext xmlns:c16="http://schemas.microsoft.com/office/drawing/2014/chart" uri="{C3380CC4-5D6E-409C-BE32-E72D297353CC}">
              <c16:uniqueId val="{00000000-FFAA-4314-8489-93A094FEE2FE}"/>
            </c:ext>
          </c:extLst>
        </c:ser>
        <c:ser>
          <c:idx val="1"/>
          <c:order val="1"/>
          <c:tx>
            <c:strRef>
              <c:f>Sheet3!$C$1</c:f>
              <c:strCache>
                <c:ptCount val="1"/>
                <c:pt idx="0">
                  <c:v>UCC UES Allocation (best solution of In-house delivery)</c:v>
                </c:pt>
              </c:strCache>
            </c:strRef>
          </c:tx>
          <c:spPr>
            <a:ln w="19050" cap="rnd">
              <a:solidFill>
                <a:schemeClr val="accent6">
                  <a:lumMod val="60000"/>
                  <a:lumOff val="40000"/>
                </a:schemeClr>
              </a:solidFill>
              <a:round/>
            </a:ln>
            <a:effectLst/>
          </c:spPr>
          <c:marker>
            <c:symbol val="none"/>
          </c:marker>
          <c:xVal>
            <c:numRef>
              <c:f>Sheet3!$A$2:$A$17</c:f>
              <c:numCache>
                <c:formatCode>General</c:formatCode>
                <c:ptCount val="16"/>
                <c:pt idx="0">
                  <c:v>0</c:v>
                </c:pt>
                <c:pt idx="1">
                  <c:v>0.2</c:v>
                </c:pt>
                <c:pt idx="2">
                  <c:v>0.4</c:v>
                </c:pt>
                <c:pt idx="3">
                  <c:v>0.6</c:v>
                </c:pt>
                <c:pt idx="4">
                  <c:v>0.8</c:v>
                </c:pt>
                <c:pt idx="5">
                  <c:v>1</c:v>
                </c:pt>
                <c:pt idx="6">
                  <c:v>1.2</c:v>
                </c:pt>
                <c:pt idx="7">
                  <c:v>1.4</c:v>
                </c:pt>
                <c:pt idx="8">
                  <c:v>1.6</c:v>
                </c:pt>
                <c:pt idx="9">
                  <c:v>1.8</c:v>
                </c:pt>
                <c:pt idx="10">
                  <c:v>2</c:v>
                </c:pt>
                <c:pt idx="11">
                  <c:v>2.2000000000000002</c:v>
                </c:pt>
                <c:pt idx="12">
                  <c:v>2.4</c:v>
                </c:pt>
                <c:pt idx="13">
                  <c:v>2.6</c:v>
                </c:pt>
                <c:pt idx="14">
                  <c:v>2.8</c:v>
                </c:pt>
                <c:pt idx="15">
                  <c:v>3</c:v>
                </c:pt>
              </c:numCache>
            </c:numRef>
          </c:xVal>
          <c:yVal>
            <c:numRef>
              <c:f>Sheet3!$C$2:$C$17</c:f>
              <c:numCache>
                <c:formatCode>General</c:formatCode>
                <c:ptCount val="16"/>
                <c:pt idx="0">
                  <c:v>1.02</c:v>
                </c:pt>
                <c:pt idx="1">
                  <c:v>1.02</c:v>
                </c:pt>
                <c:pt idx="2">
                  <c:v>1.02</c:v>
                </c:pt>
                <c:pt idx="3">
                  <c:v>1.02</c:v>
                </c:pt>
                <c:pt idx="4">
                  <c:v>1.02</c:v>
                </c:pt>
                <c:pt idx="5">
                  <c:v>1.02</c:v>
                </c:pt>
                <c:pt idx="6">
                  <c:v>1.02</c:v>
                </c:pt>
                <c:pt idx="7">
                  <c:v>1.02</c:v>
                </c:pt>
                <c:pt idx="8">
                  <c:v>1.02</c:v>
                </c:pt>
                <c:pt idx="9">
                  <c:v>1.02</c:v>
                </c:pt>
                <c:pt idx="10">
                  <c:v>1.02</c:v>
                </c:pt>
                <c:pt idx="11">
                  <c:v>1.02</c:v>
                </c:pt>
                <c:pt idx="12">
                  <c:v>1.02</c:v>
                </c:pt>
                <c:pt idx="13">
                  <c:v>1.02</c:v>
                </c:pt>
                <c:pt idx="14">
                  <c:v>1.02</c:v>
                </c:pt>
                <c:pt idx="15">
                  <c:v>1.02</c:v>
                </c:pt>
              </c:numCache>
            </c:numRef>
          </c:yVal>
          <c:smooth val="1"/>
          <c:extLst>
            <c:ext xmlns:c16="http://schemas.microsoft.com/office/drawing/2014/chart" uri="{C3380CC4-5D6E-409C-BE32-E72D297353CC}">
              <c16:uniqueId val="{00000001-FFAA-4314-8489-93A094FEE2FE}"/>
            </c:ext>
          </c:extLst>
        </c:ser>
        <c:dLbls>
          <c:showLegendKey val="0"/>
          <c:showVal val="0"/>
          <c:showCatName val="0"/>
          <c:showSerName val="0"/>
          <c:showPercent val="0"/>
          <c:showBubbleSize val="0"/>
        </c:dLbls>
        <c:axId val="2082450648"/>
        <c:axId val="2132759304"/>
      </c:scatterChart>
      <c:valAx>
        <c:axId val="2082450648"/>
        <c:scaling>
          <c:orientation val="minMax"/>
          <c:max val="3"/>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zh-CN" b="0">
                    <a:latin typeface="Garamond" panose="02020404030301010803" pitchFamily="18" charset="0"/>
                  </a:rPr>
                  <a:t>Local Carrier</a:t>
                </a:r>
                <a:r>
                  <a:rPr lang="en-US" altLang="zh-CN" b="0" baseline="0">
                    <a:latin typeface="Garamond" panose="02020404030301010803" pitchFamily="18" charset="0"/>
                  </a:rPr>
                  <a:t> Cost (</a:t>
                </a:r>
                <a:r>
                  <a:rPr lang="en-GB" altLang="zh-CN" sz="1000" b="0" i="0" u="none" strike="noStrike" baseline="0">
                    <a:effectLst/>
                    <a:latin typeface="Garamond" panose="02020404030301010803" pitchFamily="18" charset="0"/>
                  </a:rPr>
                  <a:t>€/parcel)</a:t>
                </a:r>
                <a:endParaRPr lang="zh-CN" altLang="en-US" b="0">
                  <a:latin typeface="Garamond" panose="02020404030301010803" pitchFamily="18" charset="0"/>
                </a:endParaRPr>
              </a:p>
            </c:rich>
          </c:tx>
          <c:layout>
            <c:manualLayout>
              <c:xMode val="edge"/>
              <c:yMode val="edge"/>
              <c:x val="0.61869313210848698"/>
              <c:y val="0.76118991090123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out"/>
        <c:minorTickMark val="none"/>
        <c:tickLblPos val="nextTo"/>
        <c:spPr>
          <a:noFill/>
          <a:ln w="9525" cap="flat" cmpd="sng" algn="ctr">
            <a:solidFill>
              <a:schemeClr val="tx1">
                <a:lumMod val="25000"/>
                <a:lumOff val="75000"/>
              </a:schemeClr>
            </a:solidFill>
            <a:round/>
            <a:tailEnd type="stealth" w="lg" len="me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132759304"/>
        <c:crosses val="autoZero"/>
        <c:crossBetween val="midCat"/>
      </c:valAx>
      <c:valAx>
        <c:axId val="21327593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lang="en-GB" altLang="zh-CN" sz="1000" b="0" i="0" u="none" strike="noStrike" kern="1200" baseline="0">
                    <a:solidFill>
                      <a:sysClr val="windowText" lastClr="000000">
                        <a:lumMod val="65000"/>
                        <a:lumOff val="35000"/>
                      </a:sysClr>
                    </a:solidFill>
                    <a:latin typeface="Garamond" panose="02020404030301010803" pitchFamily="18" charset="0"/>
                    <a:ea typeface="+mn-ea"/>
                    <a:cs typeface="+mn-cs"/>
                  </a:defRPr>
                </a:pPr>
                <a:r>
                  <a:rPr lang="en-GB" altLang="zh-CN" sz="1000" b="0" i="0" u="none" strike="noStrike" kern="1200" baseline="0">
                    <a:solidFill>
                      <a:sysClr val="windowText" lastClr="000000">
                        <a:lumMod val="65000"/>
                        <a:lumOff val="35000"/>
                      </a:sysClr>
                    </a:solidFill>
                    <a:latin typeface="Garamond" panose="02020404030301010803" pitchFamily="18" charset="0"/>
                    <a:ea typeface="+mn-ea"/>
                    <a:cs typeface="+mn-cs"/>
                  </a:rPr>
                  <a:t>€/parcel</a:t>
                </a:r>
              </a:p>
            </c:rich>
          </c:tx>
          <c:layout>
            <c:manualLayout>
              <c:xMode val="edge"/>
              <c:yMode val="edge"/>
              <c:x val="2.5000000000000001E-2"/>
              <c:y val="4.1254015952420599E-2"/>
            </c:manualLayout>
          </c:layout>
          <c:overlay val="0"/>
          <c:spPr>
            <a:noFill/>
            <a:ln>
              <a:noFill/>
            </a:ln>
            <a:effectLst/>
          </c:spPr>
          <c:txPr>
            <a:bodyPr rot="-5400000" spcFirstLastPara="1" vertOverflow="ellipsis" vert="horz" wrap="square" anchor="ctr" anchorCtr="1"/>
            <a:lstStyle/>
            <a:p>
              <a:pPr algn="ctr" rtl="0">
                <a:defRPr lang="en-GB" altLang="zh-CN" sz="1000" b="0" i="0" u="none" strike="noStrike" kern="1200" baseline="0">
                  <a:solidFill>
                    <a:sysClr val="windowText" lastClr="000000">
                      <a:lumMod val="65000"/>
                      <a:lumOff val="35000"/>
                    </a:sysClr>
                  </a:solidFill>
                  <a:latin typeface="Garamond" panose="02020404030301010803" pitchFamily="18" charset="0"/>
                  <a:ea typeface="+mn-ea"/>
                  <a:cs typeface="+mn-cs"/>
                </a:defRPr>
              </a:pPr>
              <a:endParaRPr lang="zh-CN"/>
            </a:p>
          </c:txPr>
        </c:title>
        <c:numFmt formatCode="General" sourceLinked="1"/>
        <c:majorTickMark val="out"/>
        <c:minorTickMark val="none"/>
        <c:tickLblPos val="nextTo"/>
        <c:spPr>
          <a:noFill/>
          <a:ln w="9525" cap="flat" cmpd="sng" algn="ctr">
            <a:solidFill>
              <a:schemeClr val="tx1">
                <a:lumMod val="25000"/>
                <a:lumOff val="75000"/>
              </a:schemeClr>
            </a:solidFill>
            <a:round/>
            <a:headEnd type="none"/>
            <a:tailEnd type="stealth"/>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082450648"/>
        <c:crosses val="autoZero"/>
        <c:crossBetween val="midCat"/>
      </c:valAx>
      <c:spPr>
        <a:noFill/>
        <a:ln>
          <a:noFill/>
        </a:ln>
        <a:effectLst/>
      </c:spPr>
    </c:plotArea>
    <c:legend>
      <c:legendPos val="r"/>
      <c:layout>
        <c:manualLayout>
          <c:xMode val="edge"/>
          <c:yMode val="edge"/>
          <c:x val="8.4347112860892401E-2"/>
          <c:y val="0.82341667907799798"/>
          <c:w val="0.79343066491688496"/>
          <c:h val="0.1408199113643160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strRef>
              <c:f>'[Cost allocation.xlsx]Sheet3'!$B$46</c:f>
              <c:strCache>
                <c:ptCount val="1"/>
                <c:pt idx="0">
                  <c:v>UCC UES Allocation</c:v>
                </c:pt>
              </c:strCache>
            </c:strRef>
          </c:tx>
          <c:spPr>
            <a:ln w="19050" cap="rnd">
              <a:solidFill>
                <a:schemeClr val="accent2"/>
              </a:solidFill>
              <a:round/>
            </a:ln>
            <a:effectLst/>
          </c:spPr>
          <c:marker>
            <c:symbol val="none"/>
          </c:marker>
          <c:xVal>
            <c:numRef>
              <c:f>'[Cost allocation.xlsx]Sheet3'!$A$47:$A$62</c:f>
              <c:numCache>
                <c:formatCode>General</c:formatCode>
                <c:ptCount val="16"/>
                <c:pt idx="0">
                  <c:v>0</c:v>
                </c:pt>
                <c:pt idx="1">
                  <c:v>0.2</c:v>
                </c:pt>
                <c:pt idx="2">
                  <c:v>0.4</c:v>
                </c:pt>
                <c:pt idx="3">
                  <c:v>0.6</c:v>
                </c:pt>
                <c:pt idx="4">
                  <c:v>0.8</c:v>
                </c:pt>
                <c:pt idx="5">
                  <c:v>1</c:v>
                </c:pt>
                <c:pt idx="6">
                  <c:v>1.2</c:v>
                </c:pt>
                <c:pt idx="7">
                  <c:v>1.4</c:v>
                </c:pt>
                <c:pt idx="8">
                  <c:v>1.6</c:v>
                </c:pt>
                <c:pt idx="9">
                  <c:v>1.8</c:v>
                </c:pt>
                <c:pt idx="10">
                  <c:v>2</c:v>
                </c:pt>
                <c:pt idx="11">
                  <c:v>2.2000000000000002</c:v>
                </c:pt>
                <c:pt idx="12">
                  <c:v>2.4</c:v>
                </c:pt>
                <c:pt idx="13">
                  <c:v>2.6</c:v>
                </c:pt>
                <c:pt idx="14">
                  <c:v>2.8</c:v>
                </c:pt>
                <c:pt idx="15">
                  <c:v>3</c:v>
                </c:pt>
              </c:numCache>
            </c:numRef>
          </c:xVal>
          <c:yVal>
            <c:numRef>
              <c:f>'[Cost allocation.xlsx]Sheet3'!$B$47:$B$62</c:f>
              <c:numCache>
                <c:formatCode>General</c:formatCode>
                <c:ptCount val="16"/>
                <c:pt idx="0">
                  <c:v>0.33</c:v>
                </c:pt>
                <c:pt idx="1">
                  <c:v>0.38</c:v>
                </c:pt>
                <c:pt idx="2">
                  <c:v>0.43</c:v>
                </c:pt>
                <c:pt idx="3">
                  <c:v>0.48</c:v>
                </c:pt>
                <c:pt idx="4">
                  <c:v>0.53</c:v>
                </c:pt>
                <c:pt idx="5">
                  <c:v>0.57999999999999996</c:v>
                </c:pt>
                <c:pt idx="6">
                  <c:v>0.63</c:v>
                </c:pt>
                <c:pt idx="7">
                  <c:v>0.68</c:v>
                </c:pt>
                <c:pt idx="8">
                  <c:v>0.73</c:v>
                </c:pt>
                <c:pt idx="9">
                  <c:v>0.78</c:v>
                </c:pt>
                <c:pt idx="10">
                  <c:v>0.83</c:v>
                </c:pt>
                <c:pt idx="11">
                  <c:v>0.88</c:v>
                </c:pt>
                <c:pt idx="12">
                  <c:v>0.93</c:v>
                </c:pt>
                <c:pt idx="13">
                  <c:v>0.98</c:v>
                </c:pt>
                <c:pt idx="14">
                  <c:v>1.03</c:v>
                </c:pt>
                <c:pt idx="15">
                  <c:v>1.08</c:v>
                </c:pt>
              </c:numCache>
            </c:numRef>
          </c:yVal>
          <c:smooth val="1"/>
          <c:extLst>
            <c:ext xmlns:c16="http://schemas.microsoft.com/office/drawing/2014/chart" uri="{C3380CC4-5D6E-409C-BE32-E72D297353CC}">
              <c16:uniqueId val="{00000000-331D-47B9-8A26-523CC16924C9}"/>
            </c:ext>
          </c:extLst>
        </c:ser>
        <c:ser>
          <c:idx val="1"/>
          <c:order val="1"/>
          <c:tx>
            <c:strRef>
              <c:f>'[Cost allocation.xlsx]Sheet3'!$C$46</c:f>
              <c:strCache>
                <c:ptCount val="1"/>
                <c:pt idx="0">
                  <c:v>UCC DES Allocation</c:v>
                </c:pt>
              </c:strCache>
            </c:strRef>
          </c:tx>
          <c:spPr>
            <a:ln w="19050" cap="rnd">
              <a:solidFill>
                <a:schemeClr val="accent4"/>
              </a:solidFill>
              <a:round/>
            </a:ln>
            <a:effectLst/>
          </c:spPr>
          <c:marker>
            <c:symbol val="none"/>
          </c:marker>
          <c:xVal>
            <c:numRef>
              <c:f>'[Cost allocation.xlsx]Sheet3'!$A$47:$A$62</c:f>
              <c:numCache>
                <c:formatCode>General</c:formatCode>
                <c:ptCount val="16"/>
                <c:pt idx="0">
                  <c:v>0</c:v>
                </c:pt>
                <c:pt idx="1">
                  <c:v>0.2</c:v>
                </c:pt>
                <c:pt idx="2">
                  <c:v>0.4</c:v>
                </c:pt>
                <c:pt idx="3">
                  <c:v>0.6</c:v>
                </c:pt>
                <c:pt idx="4">
                  <c:v>0.8</c:v>
                </c:pt>
                <c:pt idx="5">
                  <c:v>1</c:v>
                </c:pt>
                <c:pt idx="6">
                  <c:v>1.2</c:v>
                </c:pt>
                <c:pt idx="7">
                  <c:v>1.4</c:v>
                </c:pt>
                <c:pt idx="8">
                  <c:v>1.6</c:v>
                </c:pt>
                <c:pt idx="9">
                  <c:v>1.8</c:v>
                </c:pt>
                <c:pt idx="10">
                  <c:v>2</c:v>
                </c:pt>
                <c:pt idx="11">
                  <c:v>2.2000000000000002</c:v>
                </c:pt>
                <c:pt idx="12">
                  <c:v>2.4</c:v>
                </c:pt>
                <c:pt idx="13">
                  <c:v>2.6</c:v>
                </c:pt>
                <c:pt idx="14">
                  <c:v>2.8</c:v>
                </c:pt>
                <c:pt idx="15">
                  <c:v>3</c:v>
                </c:pt>
              </c:numCache>
            </c:numRef>
          </c:xVal>
          <c:yVal>
            <c:numRef>
              <c:f>'[Cost allocation.xlsx]Sheet3'!$C$47:$C$62</c:f>
              <c:numCache>
                <c:formatCode>General</c:formatCode>
                <c:ptCount val="16"/>
                <c:pt idx="0">
                  <c:v>0.7</c:v>
                </c:pt>
                <c:pt idx="1">
                  <c:v>0.7</c:v>
                </c:pt>
                <c:pt idx="2">
                  <c:v>0.7</c:v>
                </c:pt>
                <c:pt idx="3">
                  <c:v>0.7</c:v>
                </c:pt>
                <c:pt idx="4">
                  <c:v>0.7</c:v>
                </c:pt>
                <c:pt idx="5">
                  <c:v>0.7</c:v>
                </c:pt>
                <c:pt idx="6">
                  <c:v>0.7</c:v>
                </c:pt>
                <c:pt idx="7">
                  <c:v>0.7</c:v>
                </c:pt>
                <c:pt idx="8">
                  <c:v>0.7</c:v>
                </c:pt>
                <c:pt idx="9">
                  <c:v>0.7</c:v>
                </c:pt>
                <c:pt idx="10">
                  <c:v>0.7</c:v>
                </c:pt>
                <c:pt idx="11">
                  <c:v>0.7</c:v>
                </c:pt>
                <c:pt idx="12">
                  <c:v>0.7</c:v>
                </c:pt>
                <c:pt idx="13">
                  <c:v>0.7</c:v>
                </c:pt>
                <c:pt idx="14">
                  <c:v>0.7</c:v>
                </c:pt>
                <c:pt idx="15">
                  <c:v>0.7</c:v>
                </c:pt>
              </c:numCache>
            </c:numRef>
          </c:yVal>
          <c:smooth val="1"/>
          <c:extLst>
            <c:ext xmlns:c16="http://schemas.microsoft.com/office/drawing/2014/chart" uri="{C3380CC4-5D6E-409C-BE32-E72D297353CC}">
              <c16:uniqueId val="{00000001-331D-47B9-8A26-523CC16924C9}"/>
            </c:ext>
          </c:extLst>
        </c:ser>
        <c:ser>
          <c:idx val="2"/>
          <c:order val="2"/>
          <c:tx>
            <c:strRef>
              <c:f>'[Cost allocation.xlsx]Sheet3'!$D$46</c:f>
              <c:strCache>
                <c:ptCount val="1"/>
                <c:pt idx="0">
                  <c:v>UCC LRS Allocation</c:v>
                </c:pt>
              </c:strCache>
            </c:strRef>
          </c:tx>
          <c:spPr>
            <a:ln w="19050" cap="rnd">
              <a:solidFill>
                <a:schemeClr val="accent6"/>
              </a:solidFill>
              <a:round/>
            </a:ln>
            <a:effectLst/>
          </c:spPr>
          <c:marker>
            <c:symbol val="none"/>
          </c:marker>
          <c:xVal>
            <c:numRef>
              <c:f>'[Cost allocation.xlsx]Sheet3'!$A$47:$A$62</c:f>
              <c:numCache>
                <c:formatCode>General</c:formatCode>
                <c:ptCount val="16"/>
                <c:pt idx="0">
                  <c:v>0</c:v>
                </c:pt>
                <c:pt idx="1">
                  <c:v>0.2</c:v>
                </c:pt>
                <c:pt idx="2">
                  <c:v>0.4</c:v>
                </c:pt>
                <c:pt idx="3">
                  <c:v>0.6</c:v>
                </c:pt>
                <c:pt idx="4">
                  <c:v>0.8</c:v>
                </c:pt>
                <c:pt idx="5">
                  <c:v>1</c:v>
                </c:pt>
                <c:pt idx="6">
                  <c:v>1.2</c:v>
                </c:pt>
                <c:pt idx="7">
                  <c:v>1.4</c:v>
                </c:pt>
                <c:pt idx="8">
                  <c:v>1.6</c:v>
                </c:pt>
                <c:pt idx="9">
                  <c:v>1.8</c:v>
                </c:pt>
                <c:pt idx="10">
                  <c:v>2</c:v>
                </c:pt>
                <c:pt idx="11">
                  <c:v>2.2000000000000002</c:v>
                </c:pt>
                <c:pt idx="12">
                  <c:v>2.4</c:v>
                </c:pt>
                <c:pt idx="13">
                  <c:v>2.6</c:v>
                </c:pt>
                <c:pt idx="14">
                  <c:v>2.8</c:v>
                </c:pt>
                <c:pt idx="15">
                  <c:v>3</c:v>
                </c:pt>
              </c:numCache>
            </c:numRef>
          </c:xVal>
          <c:yVal>
            <c:numRef>
              <c:f>'[Cost allocation.xlsx]Sheet3'!$D$47:$D$62</c:f>
              <c:numCache>
                <c:formatCode>General</c:formatCode>
                <c:ptCount val="16"/>
                <c:pt idx="0">
                  <c:v>0.99</c:v>
                </c:pt>
                <c:pt idx="1">
                  <c:v>0.99</c:v>
                </c:pt>
                <c:pt idx="2">
                  <c:v>0.99</c:v>
                </c:pt>
                <c:pt idx="3">
                  <c:v>0.99</c:v>
                </c:pt>
                <c:pt idx="4">
                  <c:v>0.99</c:v>
                </c:pt>
                <c:pt idx="5">
                  <c:v>0.99</c:v>
                </c:pt>
                <c:pt idx="6">
                  <c:v>0.99</c:v>
                </c:pt>
                <c:pt idx="7">
                  <c:v>0.99</c:v>
                </c:pt>
                <c:pt idx="8">
                  <c:v>0.99</c:v>
                </c:pt>
                <c:pt idx="9">
                  <c:v>0.99</c:v>
                </c:pt>
                <c:pt idx="10">
                  <c:v>0.99</c:v>
                </c:pt>
                <c:pt idx="11">
                  <c:v>0.99</c:v>
                </c:pt>
                <c:pt idx="12">
                  <c:v>0.99</c:v>
                </c:pt>
                <c:pt idx="13">
                  <c:v>0.99</c:v>
                </c:pt>
                <c:pt idx="14">
                  <c:v>0.99</c:v>
                </c:pt>
                <c:pt idx="15">
                  <c:v>0.99</c:v>
                </c:pt>
              </c:numCache>
            </c:numRef>
          </c:yVal>
          <c:smooth val="1"/>
          <c:extLst>
            <c:ext xmlns:c16="http://schemas.microsoft.com/office/drawing/2014/chart" uri="{C3380CC4-5D6E-409C-BE32-E72D297353CC}">
              <c16:uniqueId val="{00000002-331D-47B9-8A26-523CC16924C9}"/>
            </c:ext>
          </c:extLst>
        </c:ser>
        <c:dLbls>
          <c:showLegendKey val="0"/>
          <c:showVal val="0"/>
          <c:showCatName val="0"/>
          <c:showSerName val="0"/>
          <c:showPercent val="0"/>
          <c:showBubbleSize val="0"/>
        </c:dLbls>
        <c:axId val="2125398328"/>
        <c:axId val="-2129552584"/>
      </c:scatterChart>
      <c:valAx>
        <c:axId val="2125398328"/>
        <c:scaling>
          <c:orientation val="minMax"/>
          <c:max val="3"/>
        </c:scaling>
        <c:delete val="0"/>
        <c:axPos val="b"/>
        <c:title>
          <c:tx>
            <c:rich>
              <a:bodyPr rot="0" spcFirstLastPara="1" vertOverflow="ellipsis" vert="horz" wrap="square" anchor="ctr" anchorCtr="1"/>
              <a:lstStyle/>
              <a:p>
                <a:pPr algn="ctr" rtl="0">
                  <a:defRPr lang="en-US" altLang="zh-CN" sz="1000" b="0" i="0" u="none" strike="noStrike" kern="1200" baseline="0">
                    <a:solidFill>
                      <a:sysClr val="windowText" lastClr="000000">
                        <a:lumMod val="65000"/>
                        <a:lumOff val="35000"/>
                      </a:sysClr>
                    </a:solidFill>
                    <a:latin typeface="Garamond" panose="02020404030301010803" pitchFamily="18" charset="0"/>
                    <a:ea typeface="+mn-ea"/>
                    <a:cs typeface="+mn-cs"/>
                  </a:defRPr>
                </a:pPr>
                <a:r>
                  <a:rPr lang="en-US" altLang="zh-CN" sz="1000" b="0" i="0" u="none" strike="noStrike" kern="1200" baseline="0">
                    <a:solidFill>
                      <a:sysClr val="windowText" lastClr="000000">
                        <a:lumMod val="65000"/>
                        <a:lumOff val="35000"/>
                      </a:sysClr>
                    </a:solidFill>
                    <a:latin typeface="Garamond" panose="02020404030301010803" pitchFamily="18" charset="0"/>
                    <a:ea typeface="+mn-ea"/>
                    <a:cs typeface="+mn-cs"/>
                  </a:rPr>
                  <a:t>Local Carrier Cost (€/parcel)</a:t>
                </a:r>
              </a:p>
            </c:rich>
          </c:tx>
          <c:layout>
            <c:manualLayout>
              <c:xMode val="edge"/>
              <c:yMode val="edge"/>
              <c:x val="0.61670208333333298"/>
              <c:y val="0.78778159722222196"/>
            </c:manualLayout>
          </c:layout>
          <c:overlay val="0"/>
          <c:spPr>
            <a:noFill/>
            <a:ln>
              <a:noFill/>
            </a:ln>
            <a:effectLst/>
          </c:spPr>
          <c:txPr>
            <a:bodyPr rot="0" spcFirstLastPara="1" vertOverflow="ellipsis" vert="horz" wrap="square" anchor="ctr" anchorCtr="1"/>
            <a:lstStyle/>
            <a:p>
              <a:pPr algn="ctr" rtl="0">
                <a:defRPr lang="en-US" altLang="zh-CN" sz="1000" b="0" i="0" u="none" strike="noStrike" kern="1200" baseline="0">
                  <a:solidFill>
                    <a:sysClr val="windowText" lastClr="000000">
                      <a:lumMod val="65000"/>
                      <a:lumOff val="35000"/>
                    </a:sysClr>
                  </a:solidFill>
                  <a:latin typeface="Garamond" panose="02020404030301010803" pitchFamily="18" charset="0"/>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25000"/>
                <a:lumOff val="75000"/>
              </a:schemeClr>
            </a:solidFill>
            <a:round/>
            <a:tailEnd type="stealth"/>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129552584"/>
        <c:crosses val="autoZero"/>
        <c:crossBetween val="midCat"/>
      </c:valAx>
      <c:valAx>
        <c:axId val="-2129552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lang="en-GB" altLang="zh-CN" sz="1000" b="0" i="0" u="none" strike="noStrike" kern="1200" baseline="0">
                    <a:solidFill>
                      <a:sysClr val="windowText" lastClr="000000">
                        <a:lumMod val="65000"/>
                        <a:lumOff val="35000"/>
                      </a:sysClr>
                    </a:solidFill>
                    <a:latin typeface="Garamond" panose="02020404030301010803" pitchFamily="18" charset="0"/>
                    <a:ea typeface="+mn-ea"/>
                    <a:cs typeface="+mn-cs"/>
                  </a:defRPr>
                </a:pPr>
                <a:r>
                  <a:rPr lang="en-GB" altLang="zh-CN" sz="1000" b="0" i="0" u="none" strike="noStrike" kern="1200" baseline="0">
                    <a:solidFill>
                      <a:sysClr val="windowText" lastClr="000000">
                        <a:lumMod val="65000"/>
                        <a:lumOff val="35000"/>
                      </a:sysClr>
                    </a:solidFill>
                    <a:latin typeface="Garamond" panose="02020404030301010803" pitchFamily="18" charset="0"/>
                    <a:ea typeface="+mn-ea"/>
                    <a:cs typeface="+mn-cs"/>
                  </a:rPr>
                  <a:t>€/parcel</a:t>
                </a:r>
              </a:p>
            </c:rich>
          </c:tx>
          <c:layout>
            <c:manualLayout>
              <c:xMode val="edge"/>
              <c:yMode val="edge"/>
              <c:x val="3.2337962962962999E-2"/>
              <c:y val="4.9903125E-2"/>
            </c:manualLayout>
          </c:layout>
          <c:overlay val="0"/>
          <c:spPr>
            <a:noFill/>
            <a:ln>
              <a:noFill/>
            </a:ln>
            <a:effectLst/>
          </c:spPr>
          <c:txPr>
            <a:bodyPr rot="-5400000" spcFirstLastPara="1" vertOverflow="ellipsis" vert="horz" wrap="square" anchor="ctr" anchorCtr="1"/>
            <a:lstStyle/>
            <a:p>
              <a:pPr algn="ctr" rtl="0">
                <a:defRPr lang="en-GB" altLang="zh-CN" sz="1000" b="0" i="0" u="none" strike="noStrike" kern="1200" baseline="0">
                  <a:solidFill>
                    <a:sysClr val="windowText" lastClr="000000">
                      <a:lumMod val="65000"/>
                      <a:lumOff val="35000"/>
                    </a:sysClr>
                  </a:solidFill>
                  <a:latin typeface="Garamond" panose="02020404030301010803" pitchFamily="18" charset="0"/>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25000"/>
                <a:lumOff val="75000"/>
              </a:schemeClr>
            </a:solidFill>
            <a:round/>
            <a:tailEnd type="stealth"/>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12539832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552537182852101"/>
          <c:y val="5.0925925925925902E-2"/>
          <c:w val="0.77391754155730497"/>
          <c:h val="0.73727653834937301"/>
        </c:manualLayout>
      </c:layout>
      <c:scatterChart>
        <c:scatterStyle val="smoothMarker"/>
        <c:varyColors val="0"/>
        <c:ser>
          <c:idx val="0"/>
          <c:order val="0"/>
          <c:tx>
            <c:strRef>
              <c:f>Sheet3!$B$68</c:f>
              <c:strCache>
                <c:ptCount val="1"/>
                <c:pt idx="0">
                  <c:v>LHC UES Allocation</c:v>
                </c:pt>
              </c:strCache>
            </c:strRef>
          </c:tx>
          <c:spPr>
            <a:ln w="19050" cap="rnd">
              <a:solidFill>
                <a:srgbClr val="7030A0"/>
              </a:solidFill>
              <a:round/>
            </a:ln>
            <a:effectLst/>
          </c:spPr>
          <c:marker>
            <c:symbol val="none"/>
          </c:marker>
          <c:xVal>
            <c:numRef>
              <c:f>Sheet3!$A$69:$A$84</c:f>
              <c:numCache>
                <c:formatCode>General</c:formatCode>
                <c:ptCount val="16"/>
                <c:pt idx="0">
                  <c:v>0</c:v>
                </c:pt>
                <c:pt idx="1">
                  <c:v>0.2</c:v>
                </c:pt>
                <c:pt idx="2">
                  <c:v>0.4</c:v>
                </c:pt>
                <c:pt idx="3">
                  <c:v>0.6</c:v>
                </c:pt>
                <c:pt idx="4">
                  <c:v>0.8</c:v>
                </c:pt>
                <c:pt idx="5">
                  <c:v>1</c:v>
                </c:pt>
                <c:pt idx="6">
                  <c:v>1.2</c:v>
                </c:pt>
                <c:pt idx="7">
                  <c:v>1.4</c:v>
                </c:pt>
                <c:pt idx="8">
                  <c:v>1.6</c:v>
                </c:pt>
                <c:pt idx="9">
                  <c:v>1.8</c:v>
                </c:pt>
                <c:pt idx="10">
                  <c:v>2</c:v>
                </c:pt>
                <c:pt idx="11">
                  <c:v>2.2000000000000002</c:v>
                </c:pt>
                <c:pt idx="12">
                  <c:v>2.4</c:v>
                </c:pt>
                <c:pt idx="13">
                  <c:v>2.6</c:v>
                </c:pt>
                <c:pt idx="14">
                  <c:v>2.8</c:v>
                </c:pt>
                <c:pt idx="15">
                  <c:v>3</c:v>
                </c:pt>
              </c:numCache>
            </c:numRef>
          </c:xVal>
          <c:yVal>
            <c:numRef>
              <c:f>Sheet3!$B$69:$B$84</c:f>
              <c:numCache>
                <c:formatCode>General</c:formatCode>
                <c:ptCount val="16"/>
                <c:pt idx="0">
                  <c:v>1.085</c:v>
                </c:pt>
                <c:pt idx="1">
                  <c:v>1.135</c:v>
                </c:pt>
                <c:pt idx="2">
                  <c:v>1.1850000000000001</c:v>
                </c:pt>
                <c:pt idx="3">
                  <c:v>1.2349999999999999</c:v>
                </c:pt>
                <c:pt idx="4">
                  <c:v>1.2849999999999999</c:v>
                </c:pt>
                <c:pt idx="5">
                  <c:v>1.335</c:v>
                </c:pt>
                <c:pt idx="6">
                  <c:v>1.385</c:v>
                </c:pt>
                <c:pt idx="7">
                  <c:v>1.4350000000000001</c:v>
                </c:pt>
                <c:pt idx="8">
                  <c:v>1.4849999999999999</c:v>
                </c:pt>
                <c:pt idx="9">
                  <c:v>1.5349999999999999</c:v>
                </c:pt>
                <c:pt idx="10">
                  <c:v>1.585</c:v>
                </c:pt>
                <c:pt idx="11">
                  <c:v>1.635</c:v>
                </c:pt>
                <c:pt idx="12">
                  <c:v>1.6850000000000001</c:v>
                </c:pt>
                <c:pt idx="13">
                  <c:v>1.7349999999999999</c:v>
                </c:pt>
                <c:pt idx="14">
                  <c:v>1.7849999999999999</c:v>
                </c:pt>
                <c:pt idx="15">
                  <c:v>1.835</c:v>
                </c:pt>
              </c:numCache>
            </c:numRef>
          </c:yVal>
          <c:smooth val="1"/>
          <c:extLst>
            <c:ext xmlns:c16="http://schemas.microsoft.com/office/drawing/2014/chart" uri="{C3380CC4-5D6E-409C-BE32-E72D297353CC}">
              <c16:uniqueId val="{00000000-DEA5-49B3-82A7-058ADFEEB440}"/>
            </c:ext>
          </c:extLst>
        </c:ser>
        <c:ser>
          <c:idx val="1"/>
          <c:order val="1"/>
          <c:tx>
            <c:strRef>
              <c:f>Sheet3!$C$68</c:f>
              <c:strCache>
                <c:ptCount val="1"/>
                <c:pt idx="0">
                  <c:v>LHC DES Allocation</c:v>
                </c:pt>
              </c:strCache>
            </c:strRef>
          </c:tx>
          <c:spPr>
            <a:ln w="19050" cap="rnd">
              <a:solidFill>
                <a:srgbClr val="8FE3E5"/>
              </a:solidFill>
              <a:round/>
            </a:ln>
            <a:effectLst/>
          </c:spPr>
          <c:marker>
            <c:symbol val="none"/>
          </c:marker>
          <c:xVal>
            <c:numRef>
              <c:f>Sheet3!$A$69:$A$84</c:f>
              <c:numCache>
                <c:formatCode>General</c:formatCode>
                <c:ptCount val="16"/>
                <c:pt idx="0">
                  <c:v>0</c:v>
                </c:pt>
                <c:pt idx="1">
                  <c:v>0.2</c:v>
                </c:pt>
                <c:pt idx="2">
                  <c:v>0.4</c:v>
                </c:pt>
                <c:pt idx="3">
                  <c:v>0.6</c:v>
                </c:pt>
                <c:pt idx="4">
                  <c:v>0.8</c:v>
                </c:pt>
                <c:pt idx="5">
                  <c:v>1</c:v>
                </c:pt>
                <c:pt idx="6">
                  <c:v>1.2</c:v>
                </c:pt>
                <c:pt idx="7">
                  <c:v>1.4</c:v>
                </c:pt>
                <c:pt idx="8">
                  <c:v>1.6</c:v>
                </c:pt>
                <c:pt idx="9">
                  <c:v>1.8</c:v>
                </c:pt>
                <c:pt idx="10">
                  <c:v>2</c:v>
                </c:pt>
                <c:pt idx="11">
                  <c:v>2.2000000000000002</c:v>
                </c:pt>
                <c:pt idx="12">
                  <c:v>2.4</c:v>
                </c:pt>
                <c:pt idx="13">
                  <c:v>2.6</c:v>
                </c:pt>
                <c:pt idx="14">
                  <c:v>2.8</c:v>
                </c:pt>
                <c:pt idx="15">
                  <c:v>3</c:v>
                </c:pt>
              </c:numCache>
            </c:numRef>
          </c:xVal>
          <c:yVal>
            <c:numRef>
              <c:f>Sheet3!$C$69:$C$84</c:f>
              <c:numCache>
                <c:formatCode>General</c:formatCode>
                <c:ptCount val="16"/>
                <c:pt idx="0">
                  <c:v>0.38</c:v>
                </c:pt>
                <c:pt idx="1">
                  <c:v>0.38</c:v>
                </c:pt>
                <c:pt idx="2">
                  <c:v>0.38</c:v>
                </c:pt>
                <c:pt idx="3">
                  <c:v>0.38</c:v>
                </c:pt>
                <c:pt idx="4">
                  <c:v>0.38</c:v>
                </c:pt>
                <c:pt idx="5">
                  <c:v>0.38</c:v>
                </c:pt>
                <c:pt idx="6">
                  <c:v>0.38</c:v>
                </c:pt>
                <c:pt idx="7">
                  <c:v>0.38</c:v>
                </c:pt>
                <c:pt idx="8">
                  <c:v>0.38</c:v>
                </c:pt>
                <c:pt idx="9">
                  <c:v>0.38</c:v>
                </c:pt>
                <c:pt idx="10">
                  <c:v>0.38</c:v>
                </c:pt>
                <c:pt idx="11">
                  <c:v>0.38</c:v>
                </c:pt>
                <c:pt idx="12">
                  <c:v>0.38</c:v>
                </c:pt>
                <c:pt idx="13">
                  <c:v>0.38</c:v>
                </c:pt>
                <c:pt idx="14">
                  <c:v>0.38</c:v>
                </c:pt>
                <c:pt idx="15">
                  <c:v>0.38</c:v>
                </c:pt>
              </c:numCache>
            </c:numRef>
          </c:yVal>
          <c:smooth val="1"/>
          <c:extLst>
            <c:ext xmlns:c16="http://schemas.microsoft.com/office/drawing/2014/chart" uri="{C3380CC4-5D6E-409C-BE32-E72D297353CC}">
              <c16:uniqueId val="{00000001-DEA5-49B3-82A7-058ADFEEB440}"/>
            </c:ext>
          </c:extLst>
        </c:ser>
        <c:ser>
          <c:idx val="2"/>
          <c:order val="2"/>
          <c:tx>
            <c:strRef>
              <c:f>Sheet3!$D$68</c:f>
              <c:strCache>
                <c:ptCount val="1"/>
                <c:pt idx="0">
                  <c:v>LHC LRS Allocation</c:v>
                </c:pt>
              </c:strCache>
            </c:strRef>
          </c:tx>
          <c:spPr>
            <a:ln w="19050" cap="rnd">
              <a:solidFill>
                <a:srgbClr val="FFC000"/>
              </a:solidFill>
              <a:round/>
            </a:ln>
            <a:effectLst/>
          </c:spPr>
          <c:marker>
            <c:symbol val="none"/>
          </c:marker>
          <c:xVal>
            <c:numRef>
              <c:f>Sheet3!$A$69:$A$84</c:f>
              <c:numCache>
                <c:formatCode>General</c:formatCode>
                <c:ptCount val="16"/>
                <c:pt idx="0">
                  <c:v>0</c:v>
                </c:pt>
                <c:pt idx="1">
                  <c:v>0.2</c:v>
                </c:pt>
                <c:pt idx="2">
                  <c:v>0.4</c:v>
                </c:pt>
                <c:pt idx="3">
                  <c:v>0.6</c:v>
                </c:pt>
                <c:pt idx="4">
                  <c:v>0.8</c:v>
                </c:pt>
                <c:pt idx="5">
                  <c:v>1</c:v>
                </c:pt>
                <c:pt idx="6">
                  <c:v>1.2</c:v>
                </c:pt>
                <c:pt idx="7">
                  <c:v>1.4</c:v>
                </c:pt>
                <c:pt idx="8">
                  <c:v>1.6</c:v>
                </c:pt>
                <c:pt idx="9">
                  <c:v>1.8</c:v>
                </c:pt>
                <c:pt idx="10">
                  <c:v>2</c:v>
                </c:pt>
                <c:pt idx="11">
                  <c:v>2.2000000000000002</c:v>
                </c:pt>
                <c:pt idx="12">
                  <c:v>2.4</c:v>
                </c:pt>
                <c:pt idx="13">
                  <c:v>2.6</c:v>
                </c:pt>
                <c:pt idx="14">
                  <c:v>2.8</c:v>
                </c:pt>
                <c:pt idx="15">
                  <c:v>3</c:v>
                </c:pt>
              </c:numCache>
            </c:numRef>
          </c:xVal>
          <c:yVal>
            <c:numRef>
              <c:f>Sheet3!$D$69:$D$84</c:f>
              <c:numCache>
                <c:formatCode>General</c:formatCode>
                <c:ptCount val="16"/>
                <c:pt idx="0">
                  <c:v>1.51</c:v>
                </c:pt>
                <c:pt idx="1">
                  <c:v>1.51</c:v>
                </c:pt>
                <c:pt idx="2">
                  <c:v>1.51</c:v>
                </c:pt>
                <c:pt idx="3">
                  <c:v>1.51</c:v>
                </c:pt>
                <c:pt idx="4">
                  <c:v>1.51</c:v>
                </c:pt>
                <c:pt idx="5">
                  <c:v>1.51</c:v>
                </c:pt>
                <c:pt idx="6">
                  <c:v>1.51</c:v>
                </c:pt>
                <c:pt idx="7">
                  <c:v>1.51</c:v>
                </c:pt>
                <c:pt idx="8">
                  <c:v>1.51</c:v>
                </c:pt>
                <c:pt idx="9">
                  <c:v>1.51</c:v>
                </c:pt>
                <c:pt idx="10">
                  <c:v>1.51</c:v>
                </c:pt>
                <c:pt idx="11">
                  <c:v>1.51</c:v>
                </c:pt>
                <c:pt idx="12">
                  <c:v>1.51</c:v>
                </c:pt>
                <c:pt idx="13">
                  <c:v>1.51</c:v>
                </c:pt>
                <c:pt idx="14">
                  <c:v>1.51</c:v>
                </c:pt>
                <c:pt idx="15">
                  <c:v>1.51</c:v>
                </c:pt>
              </c:numCache>
            </c:numRef>
          </c:yVal>
          <c:smooth val="1"/>
          <c:extLst>
            <c:ext xmlns:c16="http://schemas.microsoft.com/office/drawing/2014/chart" uri="{C3380CC4-5D6E-409C-BE32-E72D297353CC}">
              <c16:uniqueId val="{00000002-DEA5-49B3-82A7-058ADFEEB440}"/>
            </c:ext>
          </c:extLst>
        </c:ser>
        <c:dLbls>
          <c:showLegendKey val="0"/>
          <c:showVal val="0"/>
          <c:showCatName val="0"/>
          <c:showSerName val="0"/>
          <c:showPercent val="0"/>
          <c:showBubbleSize val="0"/>
        </c:dLbls>
        <c:axId val="-2141377064"/>
        <c:axId val="-2141995416"/>
      </c:scatterChart>
      <c:valAx>
        <c:axId val="-2141377064"/>
        <c:scaling>
          <c:orientation val="minMax"/>
          <c:max val="3"/>
        </c:scaling>
        <c:delete val="0"/>
        <c:axPos val="b"/>
        <c:title>
          <c:tx>
            <c:rich>
              <a:bodyPr rot="0" spcFirstLastPara="1" vertOverflow="ellipsis" vert="horz" wrap="square" anchor="ctr" anchorCtr="1"/>
              <a:lstStyle/>
              <a:p>
                <a:pPr algn="ctr" rtl="0">
                  <a:defRPr lang="en-US" altLang="zh-CN" sz="1000" b="0" i="0" u="none" strike="noStrike" kern="1200" baseline="0">
                    <a:solidFill>
                      <a:sysClr val="windowText" lastClr="000000">
                        <a:lumMod val="65000"/>
                        <a:lumOff val="35000"/>
                      </a:sysClr>
                    </a:solidFill>
                    <a:latin typeface="Garamond" panose="02020404030301010803" pitchFamily="18" charset="0"/>
                    <a:ea typeface="+mn-ea"/>
                    <a:cs typeface="+mn-cs"/>
                  </a:defRPr>
                </a:pPr>
                <a:r>
                  <a:rPr lang="en-US" altLang="zh-CN" sz="1000" b="0" i="0" u="none" strike="noStrike" kern="1200" baseline="0">
                    <a:solidFill>
                      <a:sysClr val="windowText" lastClr="000000">
                        <a:lumMod val="65000"/>
                        <a:lumOff val="35000"/>
                      </a:sysClr>
                    </a:solidFill>
                    <a:latin typeface="Garamond" panose="02020404030301010803" pitchFamily="18" charset="0"/>
                    <a:ea typeface="+mn-ea"/>
                    <a:cs typeface="+mn-cs"/>
                  </a:rPr>
                  <a:t>Local Carrier Cost (€/parcel)</a:t>
                </a:r>
              </a:p>
            </c:rich>
          </c:tx>
          <c:layout>
            <c:manualLayout>
              <c:xMode val="edge"/>
              <c:yMode val="edge"/>
              <c:x val="0.59137292213473303"/>
              <c:y val="0.85891703316507195"/>
            </c:manualLayout>
          </c:layout>
          <c:overlay val="0"/>
          <c:spPr>
            <a:noFill/>
            <a:ln>
              <a:noFill/>
            </a:ln>
            <a:effectLst/>
          </c:spPr>
          <c:txPr>
            <a:bodyPr rot="0" spcFirstLastPara="1" vertOverflow="ellipsis" vert="horz" wrap="square" anchor="ctr" anchorCtr="1"/>
            <a:lstStyle/>
            <a:p>
              <a:pPr algn="ctr" rtl="0">
                <a:defRPr lang="en-US" altLang="zh-CN" sz="1000" b="0" i="0" u="none" strike="noStrike" kern="1200" baseline="0">
                  <a:solidFill>
                    <a:sysClr val="windowText" lastClr="000000">
                      <a:lumMod val="65000"/>
                      <a:lumOff val="35000"/>
                    </a:sysClr>
                  </a:solidFill>
                  <a:latin typeface="Garamond" panose="02020404030301010803" pitchFamily="18" charset="0"/>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25000"/>
                <a:lumOff val="75000"/>
              </a:schemeClr>
            </a:solidFill>
            <a:round/>
            <a:tailEnd type="stealth"/>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141995416"/>
        <c:crosses val="autoZero"/>
        <c:crossBetween val="midCat"/>
      </c:valAx>
      <c:valAx>
        <c:axId val="-2141995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lang="en-GB" altLang="zh-CN" sz="1000" b="0" i="0" u="none" strike="noStrike" kern="1200" baseline="0">
                    <a:solidFill>
                      <a:sysClr val="windowText" lastClr="000000">
                        <a:lumMod val="65000"/>
                        <a:lumOff val="35000"/>
                      </a:sysClr>
                    </a:solidFill>
                    <a:latin typeface="Garamond" panose="02020404030301010803" pitchFamily="18" charset="0"/>
                    <a:ea typeface="+mn-ea"/>
                    <a:cs typeface="+mn-cs"/>
                  </a:defRPr>
                </a:pPr>
                <a:r>
                  <a:rPr lang="en-GB" altLang="zh-CN" sz="1000" b="0" i="0" u="none" strike="noStrike" kern="1200" baseline="0">
                    <a:solidFill>
                      <a:sysClr val="windowText" lastClr="000000">
                        <a:lumMod val="65000"/>
                        <a:lumOff val="35000"/>
                      </a:sysClr>
                    </a:solidFill>
                    <a:latin typeface="Garamond" panose="02020404030301010803" pitchFamily="18" charset="0"/>
                    <a:ea typeface="+mn-ea"/>
                    <a:cs typeface="+mn-cs"/>
                  </a:rPr>
                  <a:t>€/parcel</a:t>
                </a:r>
              </a:p>
            </c:rich>
          </c:tx>
          <c:layout>
            <c:manualLayout>
              <c:xMode val="edge"/>
              <c:yMode val="edge"/>
              <c:x val="3.6111111111111101E-2"/>
              <c:y val="3.4870841821389498E-2"/>
            </c:manualLayout>
          </c:layout>
          <c:overlay val="0"/>
          <c:spPr>
            <a:noFill/>
            <a:ln>
              <a:noFill/>
            </a:ln>
            <a:effectLst/>
          </c:spPr>
          <c:txPr>
            <a:bodyPr rot="-5400000" spcFirstLastPara="1" vertOverflow="ellipsis" vert="horz" wrap="square" anchor="ctr" anchorCtr="1"/>
            <a:lstStyle/>
            <a:p>
              <a:pPr algn="ctr" rtl="0">
                <a:defRPr lang="en-GB" altLang="zh-CN" sz="1000" b="0" i="0" u="none" strike="noStrike" kern="1200" baseline="0">
                  <a:solidFill>
                    <a:sysClr val="windowText" lastClr="000000">
                      <a:lumMod val="65000"/>
                      <a:lumOff val="35000"/>
                    </a:sysClr>
                  </a:solidFill>
                  <a:latin typeface="Garamond" panose="02020404030301010803" pitchFamily="18" charset="0"/>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25000"/>
                <a:lumOff val="75000"/>
              </a:schemeClr>
            </a:solidFill>
            <a:round/>
            <a:tailEnd type="stealth"/>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141377064"/>
        <c:crosses val="autoZero"/>
        <c:crossBetween val="midCat"/>
      </c:valAx>
      <c:spPr>
        <a:noFill/>
        <a:ln>
          <a:noFill/>
        </a:ln>
        <a:effectLst/>
      </c:spPr>
    </c:plotArea>
    <c:legend>
      <c:legendPos val="r"/>
      <c:layout>
        <c:manualLayout>
          <c:xMode val="edge"/>
          <c:yMode val="edge"/>
          <c:x val="0"/>
          <c:y val="0.89670038227614302"/>
          <c:w val="0.97783495370370399"/>
          <c:h val="0.103299582778031"/>
        </c:manualLayout>
      </c:layout>
      <c:overlay val="0"/>
      <c:spPr>
        <a:noFill/>
        <a:ln>
          <a:noFill/>
        </a:ln>
        <a:effectLst/>
      </c:spPr>
      <c:txPr>
        <a:bodyPr rot="0" spcFirstLastPara="1" vertOverflow="ellipsis" vert="horz" wrap="square" anchor="ctr" anchorCtr="1"/>
        <a:lstStyle/>
        <a:p>
          <a:pPr algn="ctr" rtl="0">
            <a:defRPr lang="en-US" altLang="zh-CN" sz="1000" b="0" i="0" u="none" strike="noStrike" kern="1200" baseline="0">
              <a:solidFill>
                <a:sysClr val="windowText" lastClr="000000">
                  <a:lumMod val="65000"/>
                  <a:lumOff val="35000"/>
                </a:sysClr>
              </a:solidFill>
              <a:latin typeface="Garamond" panose="02020404030301010803" pitchFamily="18" charset="0"/>
              <a:ea typeface="+mn-ea"/>
              <a:cs typeface="+mn-cs"/>
            </a:defRPr>
          </a:pPr>
          <a:endParaRPr lang="zh-C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8406A43-28AD-4F5C-9452-BA254D3EDFF0}" type="doc">
      <dgm:prSet loTypeId="urn:microsoft.com/office/officeart/2005/8/layout/lProcess2" loCatId="list" qsTypeId="urn:microsoft.com/office/officeart/2005/8/quickstyle/simple1#1" qsCatId="simple" csTypeId="urn:microsoft.com/office/officeart/2005/8/colors/accent1_2#1" csCatId="accent1" phldr="1"/>
      <dgm:spPr/>
      <dgm:t>
        <a:bodyPr/>
        <a:lstStyle/>
        <a:p>
          <a:endParaRPr lang="en-US"/>
        </a:p>
      </dgm:t>
    </dgm:pt>
    <dgm:pt modelId="{7BE1FF58-4DF8-4BA3-90ED-4FF8B15C3932}">
      <dgm:prSet phldrT="[Text]"/>
      <dgm:spPr/>
      <dgm:t>
        <a:bodyPr/>
        <a:lstStyle/>
        <a:p>
          <a:pPr algn="ctr"/>
          <a:r>
            <a:rPr lang="en-US">
              <a:latin typeface="Times New Roman" panose="02020603050405020304" charset="0"/>
              <a:cs typeface="Times New Roman" panose="02020603050405020304" charset="0"/>
            </a:rPr>
            <a:t>Bibliometric</a:t>
          </a:r>
          <a:br>
            <a:rPr lang="en-US">
              <a:latin typeface="Times New Roman" panose="02020603050405020304" charset="0"/>
              <a:cs typeface="Times New Roman" panose="02020603050405020304" charset="0"/>
            </a:rPr>
          </a:br>
          <a:r>
            <a:rPr lang="en-US">
              <a:latin typeface="Times New Roman" panose="02020603050405020304" charset="0"/>
              <a:cs typeface="Times New Roman" panose="02020603050405020304" charset="0"/>
            </a:rPr>
            <a:t>Evaluation</a:t>
          </a:r>
        </a:p>
      </dgm:t>
    </dgm:pt>
    <dgm:pt modelId="{DBBC4445-7584-484D-8C85-23D0D240918C}" type="parTrans" cxnId="{EF18EB32-2D07-492C-A0BC-AC4E5175A555}">
      <dgm:prSet/>
      <dgm:spPr/>
      <dgm:t>
        <a:bodyPr/>
        <a:lstStyle/>
        <a:p>
          <a:pPr algn="ctr"/>
          <a:endParaRPr lang="en-US"/>
        </a:p>
      </dgm:t>
    </dgm:pt>
    <dgm:pt modelId="{84B68556-2D58-4BE1-9083-49E63EF34EA3}" type="sibTrans" cxnId="{EF18EB32-2D07-492C-A0BC-AC4E5175A555}">
      <dgm:prSet/>
      <dgm:spPr/>
      <dgm:t>
        <a:bodyPr/>
        <a:lstStyle/>
        <a:p>
          <a:pPr algn="ctr"/>
          <a:endParaRPr lang="en-US"/>
        </a:p>
      </dgm:t>
    </dgm:pt>
    <dgm:pt modelId="{01DB4FB2-2208-401F-A307-83604569030A}">
      <dgm:prSet phldrT="[Text]"/>
      <dgm:spPr/>
      <dgm:t>
        <a:bodyPr/>
        <a:lstStyle/>
        <a:p>
          <a:pPr algn="ctr" rtl="0"/>
          <a:r>
            <a:rPr lang="en-US">
              <a:latin typeface="Times New Roman" panose="02020603050405020304" charset="0"/>
              <a:cs typeface="Times New Roman" panose="02020603050405020304" charset="0"/>
            </a:rPr>
            <a:t>Journals where papers are published </a:t>
          </a:r>
        </a:p>
      </dgm:t>
    </dgm:pt>
    <dgm:pt modelId="{611237D4-189F-4634-8DCF-2A23FE273987}" type="parTrans" cxnId="{46D790A7-4477-4AC8-B45B-81864A4C276A}">
      <dgm:prSet/>
      <dgm:spPr/>
      <dgm:t>
        <a:bodyPr/>
        <a:lstStyle/>
        <a:p>
          <a:pPr algn="ctr"/>
          <a:endParaRPr lang="en-US"/>
        </a:p>
      </dgm:t>
    </dgm:pt>
    <dgm:pt modelId="{2B740AE6-7F58-489A-985B-F7D42563659C}" type="sibTrans" cxnId="{46D790A7-4477-4AC8-B45B-81864A4C276A}">
      <dgm:prSet/>
      <dgm:spPr/>
      <dgm:t>
        <a:bodyPr/>
        <a:lstStyle/>
        <a:p>
          <a:pPr algn="ctr"/>
          <a:endParaRPr lang="en-US"/>
        </a:p>
      </dgm:t>
    </dgm:pt>
    <dgm:pt modelId="{8660F853-E644-4A43-A286-0CD34ABB33B9}">
      <dgm:prSet phldrT="[Text]"/>
      <dgm:spPr/>
      <dgm:t>
        <a:bodyPr/>
        <a:lstStyle/>
        <a:p>
          <a:pPr algn="ctr" rtl="0"/>
          <a:r>
            <a:rPr lang="en-US">
              <a:latin typeface="Times New Roman" panose="02020603050405020304" charset="0"/>
              <a:cs typeface="Times New Roman" panose="02020603050405020304" charset="0"/>
            </a:rPr>
            <a:t>Most prolific authors</a:t>
          </a:r>
        </a:p>
      </dgm:t>
    </dgm:pt>
    <dgm:pt modelId="{11454C8C-3CBB-4661-A939-D34F1CA6A4CD}" type="parTrans" cxnId="{2B5C61F0-4B69-4365-A722-C94C5BBF4905}">
      <dgm:prSet/>
      <dgm:spPr/>
      <dgm:t>
        <a:bodyPr/>
        <a:lstStyle/>
        <a:p>
          <a:pPr algn="ctr"/>
          <a:endParaRPr lang="en-US"/>
        </a:p>
      </dgm:t>
    </dgm:pt>
    <dgm:pt modelId="{57BCED71-1897-4D38-A2CB-94108290A46E}" type="sibTrans" cxnId="{2B5C61F0-4B69-4365-A722-C94C5BBF4905}">
      <dgm:prSet/>
      <dgm:spPr/>
      <dgm:t>
        <a:bodyPr/>
        <a:lstStyle/>
        <a:p>
          <a:pPr algn="ctr"/>
          <a:endParaRPr lang="en-US"/>
        </a:p>
      </dgm:t>
    </dgm:pt>
    <dgm:pt modelId="{15D492E9-0F9D-41B7-B805-A26E3C17C98F}">
      <dgm:prSet phldrT="[Text]"/>
      <dgm:spPr/>
      <dgm:t>
        <a:bodyPr/>
        <a:lstStyle/>
        <a:p>
          <a:pPr algn="ctr"/>
          <a:r>
            <a:rPr lang="en-US">
              <a:latin typeface="Times New Roman" panose="02020603050405020304" charset="0"/>
              <a:cs typeface="Times New Roman" panose="02020603050405020304" charset="0"/>
            </a:rPr>
            <a:t>Topics</a:t>
          </a:r>
        </a:p>
      </dgm:t>
    </dgm:pt>
    <dgm:pt modelId="{1A21DE9F-8DBB-438F-AC89-749A00AB9C6F}" type="parTrans" cxnId="{05D46E62-46B0-4184-A67D-47989B2FAE8C}">
      <dgm:prSet/>
      <dgm:spPr/>
      <dgm:t>
        <a:bodyPr/>
        <a:lstStyle/>
        <a:p>
          <a:pPr algn="ctr"/>
          <a:endParaRPr lang="en-US"/>
        </a:p>
      </dgm:t>
    </dgm:pt>
    <dgm:pt modelId="{8E0D6B6A-BF2E-4E82-9CCB-766FC0C0BD66}" type="sibTrans" cxnId="{05D46E62-46B0-4184-A67D-47989B2FAE8C}">
      <dgm:prSet/>
      <dgm:spPr/>
      <dgm:t>
        <a:bodyPr/>
        <a:lstStyle/>
        <a:p>
          <a:pPr algn="ctr"/>
          <a:endParaRPr lang="en-US"/>
        </a:p>
      </dgm:t>
    </dgm:pt>
    <dgm:pt modelId="{6F2979F5-7FCD-4CDB-8A4F-C2E64F0D8AF9}">
      <dgm:prSet phldrT="[Text]"/>
      <dgm:spPr/>
      <dgm:t>
        <a:bodyPr/>
        <a:lstStyle/>
        <a:p>
          <a:pPr algn="ctr"/>
          <a:r>
            <a:rPr lang="en-US">
              <a:latin typeface="Times New Roman" panose="02020603050405020304" charset="0"/>
              <a:cs typeface="Times New Roman" panose="02020603050405020304" charset="0"/>
            </a:rPr>
            <a:t>Research topic</a:t>
          </a:r>
        </a:p>
      </dgm:t>
    </dgm:pt>
    <dgm:pt modelId="{A3514539-895D-4921-90D0-913792593776}" type="parTrans" cxnId="{78911B59-F820-4681-9A4D-44F9AE2974C0}">
      <dgm:prSet/>
      <dgm:spPr/>
      <dgm:t>
        <a:bodyPr/>
        <a:lstStyle/>
        <a:p>
          <a:pPr algn="ctr"/>
          <a:endParaRPr lang="en-US"/>
        </a:p>
      </dgm:t>
    </dgm:pt>
    <dgm:pt modelId="{7AD65076-2C37-48A6-B106-D91CA90842E0}" type="sibTrans" cxnId="{78911B59-F820-4681-9A4D-44F9AE2974C0}">
      <dgm:prSet/>
      <dgm:spPr/>
      <dgm:t>
        <a:bodyPr/>
        <a:lstStyle/>
        <a:p>
          <a:pPr algn="ctr"/>
          <a:endParaRPr lang="en-US"/>
        </a:p>
      </dgm:t>
    </dgm:pt>
    <dgm:pt modelId="{A07FFE4E-58F1-4968-850F-4A48CFD5CC8D}">
      <dgm:prSet phldrT="[Text]"/>
      <dgm:spPr/>
      <dgm:t>
        <a:bodyPr/>
        <a:lstStyle/>
        <a:p>
          <a:pPr algn="ctr"/>
          <a:r>
            <a:rPr lang="en-US">
              <a:latin typeface="Times New Roman" panose="02020603050405020304" charset="0"/>
              <a:cs typeface="Times New Roman" panose="02020603050405020304" charset="0"/>
            </a:rPr>
            <a:t>Methodologies</a:t>
          </a:r>
        </a:p>
      </dgm:t>
    </dgm:pt>
    <dgm:pt modelId="{F2EBDD03-E4BB-4F4A-8E80-5165B7C808E9}" type="parTrans" cxnId="{D9C566E1-38B5-48BB-B4F5-7A08C9222B92}">
      <dgm:prSet/>
      <dgm:spPr/>
      <dgm:t>
        <a:bodyPr/>
        <a:lstStyle/>
        <a:p>
          <a:pPr algn="ctr"/>
          <a:endParaRPr lang="en-US"/>
        </a:p>
      </dgm:t>
    </dgm:pt>
    <dgm:pt modelId="{ED3A5979-DFAD-4F93-BE01-E957829959F3}" type="sibTrans" cxnId="{D9C566E1-38B5-48BB-B4F5-7A08C9222B92}">
      <dgm:prSet/>
      <dgm:spPr/>
      <dgm:t>
        <a:bodyPr/>
        <a:lstStyle/>
        <a:p>
          <a:pPr algn="ctr"/>
          <a:endParaRPr lang="en-US"/>
        </a:p>
      </dgm:t>
    </dgm:pt>
    <dgm:pt modelId="{A90360D5-1DE0-497F-8BF5-9A4DE351EB7C}">
      <dgm:prSet phldrT="[Text]"/>
      <dgm:spPr/>
      <dgm:t>
        <a:bodyPr/>
        <a:lstStyle/>
        <a:p>
          <a:pPr algn="ctr" rtl="0"/>
          <a:r>
            <a:rPr lang="en-GB">
              <a:latin typeface="Times New Roman" panose="02020603050405020304" charset="0"/>
              <a:cs typeface="Times New Roman" panose="02020603050405020304" charset="0"/>
            </a:rPr>
            <a:t>Type of Methodology</a:t>
          </a:r>
          <a:endParaRPr lang="en-US">
            <a:latin typeface="Times New Roman" panose="02020603050405020304" charset="0"/>
            <a:cs typeface="Times New Roman" panose="02020603050405020304" charset="0"/>
          </a:endParaRPr>
        </a:p>
      </dgm:t>
    </dgm:pt>
    <dgm:pt modelId="{62CCB9E6-928D-4D47-B562-80DDE939FEBA}" type="parTrans" cxnId="{910A8368-4020-45DB-B9D7-8D74417D4D4F}">
      <dgm:prSet/>
      <dgm:spPr/>
      <dgm:t>
        <a:bodyPr/>
        <a:lstStyle/>
        <a:p>
          <a:pPr algn="ctr"/>
          <a:endParaRPr lang="en-US"/>
        </a:p>
      </dgm:t>
    </dgm:pt>
    <dgm:pt modelId="{D98309E7-1941-487F-A806-37204A101BB3}" type="sibTrans" cxnId="{910A8368-4020-45DB-B9D7-8D74417D4D4F}">
      <dgm:prSet/>
      <dgm:spPr/>
      <dgm:t>
        <a:bodyPr/>
        <a:lstStyle/>
        <a:p>
          <a:pPr algn="ctr"/>
          <a:endParaRPr lang="en-US"/>
        </a:p>
      </dgm:t>
    </dgm:pt>
    <dgm:pt modelId="{AC2D10F8-DCC8-4C0A-9ED2-36CFC9841B40}">
      <dgm:prSet/>
      <dgm:spPr/>
      <dgm:t>
        <a:bodyPr/>
        <a:lstStyle/>
        <a:p>
          <a:pPr algn="ctr"/>
          <a:r>
            <a:rPr lang="en-US">
              <a:latin typeface="Times New Roman" panose="02020603050405020304" pitchFamily="18" charset="0"/>
              <a:cs typeface="Times New Roman" panose="02020603050405020304" pitchFamily="18" charset="0"/>
            </a:rPr>
            <a:t>Number of papers </a:t>
          </a:r>
          <a:br>
            <a:rPr lang="en-US">
              <a:latin typeface="Times New Roman" panose="02020603050405020304" pitchFamily="18" charset="0"/>
              <a:cs typeface="Times New Roman" panose="02020603050405020304" pitchFamily="18" charset="0"/>
            </a:rPr>
          </a:br>
          <a:r>
            <a:rPr lang="en-US">
              <a:latin typeface="Times New Roman" panose="02020603050405020304" pitchFamily="18" charset="0"/>
              <a:cs typeface="Times New Roman" panose="02020603050405020304" pitchFamily="18" charset="0"/>
            </a:rPr>
            <a:t>published per year</a:t>
          </a:r>
        </a:p>
      </dgm:t>
    </dgm:pt>
    <dgm:pt modelId="{428C12E5-DEE2-4167-9616-F08CF3319107}" type="parTrans" cxnId="{B1726B90-3C2C-48AD-BB54-A647DC505529}">
      <dgm:prSet/>
      <dgm:spPr/>
      <dgm:t>
        <a:bodyPr/>
        <a:lstStyle/>
        <a:p>
          <a:endParaRPr lang="en-US"/>
        </a:p>
      </dgm:t>
    </dgm:pt>
    <dgm:pt modelId="{19E41778-6D80-47BB-9620-FD4751B211B2}" type="sibTrans" cxnId="{B1726B90-3C2C-48AD-BB54-A647DC505529}">
      <dgm:prSet/>
      <dgm:spPr/>
      <dgm:t>
        <a:bodyPr/>
        <a:lstStyle/>
        <a:p>
          <a:endParaRPr lang="en-US"/>
        </a:p>
      </dgm:t>
    </dgm:pt>
    <dgm:pt modelId="{C7DC231D-FDDC-4B54-83C0-7819B9D31612}">
      <dgm:prSet/>
      <dgm:spPr/>
      <dgm:t>
        <a:bodyPr/>
        <a:lstStyle/>
        <a:p>
          <a:pPr algn="ctr"/>
          <a:r>
            <a:rPr lang="en-US">
              <a:latin typeface="Times New Roman" panose="02020603050405020304" pitchFamily="18" charset="0"/>
              <a:ea typeface="Tahoma" panose="020B0604030504040204" pitchFamily="34" charset="0"/>
              <a:cs typeface="Times New Roman" panose="02020603050405020304" pitchFamily="18" charset="0"/>
            </a:rPr>
            <a:t>Countries where first authors are based</a:t>
          </a:r>
        </a:p>
      </dgm:t>
    </dgm:pt>
    <dgm:pt modelId="{8BF373FE-2D06-4C5D-B1E2-8BF53495CF57}" type="parTrans" cxnId="{5C269DE4-613E-4D2D-93C5-A86850B5BFCF}">
      <dgm:prSet/>
      <dgm:spPr/>
      <dgm:t>
        <a:bodyPr/>
        <a:lstStyle/>
        <a:p>
          <a:endParaRPr lang="en-US"/>
        </a:p>
      </dgm:t>
    </dgm:pt>
    <dgm:pt modelId="{8E86F868-BACC-4BD7-987D-2DED7B81338D}" type="sibTrans" cxnId="{5C269DE4-613E-4D2D-93C5-A86850B5BFCF}">
      <dgm:prSet/>
      <dgm:spPr/>
      <dgm:t>
        <a:bodyPr/>
        <a:lstStyle/>
        <a:p>
          <a:endParaRPr lang="en-US"/>
        </a:p>
      </dgm:t>
    </dgm:pt>
    <dgm:pt modelId="{1A8BE358-79CF-423C-B616-9A8380E0D04A}">
      <dgm:prSet/>
      <dgm:spPr/>
      <dgm:t>
        <a:bodyPr/>
        <a:lstStyle/>
        <a:p>
          <a:pPr algn="ctr"/>
          <a:r>
            <a:rPr lang="en-US">
              <a:latin typeface="Times New Roman" panose="02020603050405020304" charset="0"/>
              <a:cs typeface="Times New Roman" panose="02020603050405020304" charset="0"/>
            </a:rPr>
            <a:t>Research results</a:t>
          </a:r>
        </a:p>
      </dgm:t>
    </dgm:pt>
    <dgm:pt modelId="{F8D79CCA-DD22-4683-99D7-74E119E99B71}" type="parTrans" cxnId="{D00819D4-B598-493A-AB5A-D7BC63D374DF}">
      <dgm:prSet/>
      <dgm:spPr/>
      <dgm:t>
        <a:bodyPr/>
        <a:lstStyle/>
        <a:p>
          <a:endParaRPr lang="en-US"/>
        </a:p>
      </dgm:t>
    </dgm:pt>
    <dgm:pt modelId="{55CE4772-034B-4AD8-B764-E37555DADA3D}" type="sibTrans" cxnId="{D00819D4-B598-493A-AB5A-D7BC63D374DF}">
      <dgm:prSet/>
      <dgm:spPr/>
      <dgm:t>
        <a:bodyPr/>
        <a:lstStyle/>
        <a:p>
          <a:endParaRPr lang="en-US"/>
        </a:p>
      </dgm:t>
    </dgm:pt>
    <dgm:pt modelId="{D3B83142-6EBC-4338-A23E-6862E4508EF1}">
      <dgm:prSet/>
      <dgm:spPr/>
      <dgm:t>
        <a:bodyPr/>
        <a:lstStyle/>
        <a:p>
          <a:pPr algn="ctr" rtl="0"/>
          <a:r>
            <a:rPr lang="en-GB">
              <a:latin typeface="Times New Roman" panose="02020603050405020304" charset="0"/>
              <a:cs typeface="Times New Roman" panose="02020603050405020304" charset="0"/>
            </a:rPr>
            <a:t>Reliability of the </a:t>
          </a:r>
          <a:br>
            <a:rPr lang="en-GB">
              <a:latin typeface="Times New Roman" panose="02020603050405020304" charset="0"/>
              <a:cs typeface="Times New Roman" panose="02020603050405020304" charset="0"/>
            </a:rPr>
          </a:br>
          <a:r>
            <a:rPr lang="en-GB">
              <a:latin typeface="Times New Roman" panose="02020603050405020304" charset="0"/>
              <a:cs typeface="Times New Roman" panose="02020603050405020304" charset="0"/>
            </a:rPr>
            <a:t>research result.</a:t>
          </a:r>
        </a:p>
      </dgm:t>
    </dgm:pt>
    <dgm:pt modelId="{89C2032E-1F75-4CFC-915C-558176E7F17A}" type="parTrans" cxnId="{0FE4D1D4-0F66-484B-A879-A9A418850D19}">
      <dgm:prSet/>
      <dgm:spPr/>
      <dgm:t>
        <a:bodyPr/>
        <a:lstStyle/>
        <a:p>
          <a:endParaRPr lang="en-US"/>
        </a:p>
      </dgm:t>
    </dgm:pt>
    <dgm:pt modelId="{364CEB4D-506D-41AF-A8F1-1DB90841C078}" type="sibTrans" cxnId="{0FE4D1D4-0F66-484B-A879-A9A418850D19}">
      <dgm:prSet/>
      <dgm:spPr/>
      <dgm:t>
        <a:bodyPr/>
        <a:lstStyle/>
        <a:p>
          <a:endParaRPr lang="en-US"/>
        </a:p>
      </dgm:t>
    </dgm:pt>
    <dgm:pt modelId="{90DDBA86-9D5D-4536-B4A9-C946E5CC2842}">
      <dgm:prSet/>
      <dgm:spPr/>
      <dgm:t>
        <a:bodyPr/>
        <a:lstStyle/>
        <a:p>
          <a:pPr algn="ctr"/>
          <a:r>
            <a:rPr lang="en-GB">
              <a:latin typeface="Times New Roman" panose="02020603050405020304" charset="0"/>
              <a:cs typeface="Times New Roman" panose="02020603050405020304" charset="0"/>
            </a:rPr>
            <a:t>Identification of future research directions</a:t>
          </a:r>
        </a:p>
      </dgm:t>
    </dgm:pt>
    <dgm:pt modelId="{C761BDB8-FAAC-4724-B331-0DF879893F9C}" type="parTrans" cxnId="{7B20F960-39D3-42AF-8BAC-56C9B9B444AB}">
      <dgm:prSet/>
      <dgm:spPr/>
      <dgm:t>
        <a:bodyPr/>
        <a:lstStyle/>
        <a:p>
          <a:endParaRPr lang="en-US"/>
        </a:p>
      </dgm:t>
    </dgm:pt>
    <dgm:pt modelId="{36CDA19F-915C-452C-9C79-35D25B527D41}" type="sibTrans" cxnId="{7B20F960-39D3-42AF-8BAC-56C9B9B444AB}">
      <dgm:prSet/>
      <dgm:spPr/>
      <dgm:t>
        <a:bodyPr/>
        <a:lstStyle/>
        <a:p>
          <a:endParaRPr lang="en-US"/>
        </a:p>
      </dgm:t>
    </dgm:pt>
    <dgm:pt modelId="{4DE06886-9F61-43F2-8CE8-E5F7F3AFC065}">
      <dgm:prSet/>
      <dgm:spPr/>
      <dgm:t>
        <a:bodyPr/>
        <a:lstStyle/>
        <a:p>
          <a:pPr algn="ctr" rtl="0"/>
          <a:r>
            <a:rPr lang="en-GB">
              <a:latin typeface="Times New Roman" panose="02020603050405020304" charset="0"/>
              <a:cs typeface="Times New Roman" panose="02020603050405020304" charset="0"/>
            </a:rPr>
            <a:t>Justification of the Methodology</a:t>
          </a:r>
        </a:p>
      </dgm:t>
    </dgm:pt>
    <dgm:pt modelId="{00FADAD2-32A7-46CA-952C-0C186467CE63}" type="parTrans" cxnId="{2A9717EC-0E8C-42C8-8726-39B9DE531CCB}">
      <dgm:prSet/>
      <dgm:spPr/>
      <dgm:t>
        <a:bodyPr/>
        <a:lstStyle/>
        <a:p>
          <a:endParaRPr lang="en-US"/>
        </a:p>
      </dgm:t>
    </dgm:pt>
    <dgm:pt modelId="{805DE490-D070-479A-B10D-303698736CF8}" type="sibTrans" cxnId="{2A9717EC-0E8C-42C8-8726-39B9DE531CCB}">
      <dgm:prSet/>
      <dgm:spPr/>
      <dgm:t>
        <a:bodyPr/>
        <a:lstStyle/>
        <a:p>
          <a:endParaRPr lang="en-US"/>
        </a:p>
      </dgm:t>
    </dgm:pt>
    <dgm:pt modelId="{36451082-913D-46B6-9F43-67F3FA05F322}">
      <dgm:prSet/>
      <dgm:spPr/>
      <dgm:t>
        <a:bodyPr/>
        <a:lstStyle/>
        <a:p>
          <a:pPr algn="ctr"/>
          <a:r>
            <a:rPr lang="en-GB">
              <a:latin typeface="Times New Roman" panose="02020603050405020304" charset="0"/>
              <a:cs typeface="Times New Roman" panose="02020603050405020304" charset="0"/>
            </a:rPr>
            <a:t>Reflection on the Methodology</a:t>
          </a:r>
        </a:p>
      </dgm:t>
    </dgm:pt>
    <dgm:pt modelId="{CA2043D4-6FF1-4D5B-A2E5-17F5E2F8BE40}" type="parTrans" cxnId="{78AA8630-4CCA-4863-A549-7C6081B8F2F9}">
      <dgm:prSet/>
      <dgm:spPr/>
      <dgm:t>
        <a:bodyPr/>
        <a:lstStyle/>
        <a:p>
          <a:endParaRPr lang="en-US"/>
        </a:p>
      </dgm:t>
    </dgm:pt>
    <dgm:pt modelId="{4E267A95-565A-4006-99AE-39E7DBBF9AE3}" type="sibTrans" cxnId="{78AA8630-4CCA-4863-A549-7C6081B8F2F9}">
      <dgm:prSet/>
      <dgm:spPr/>
      <dgm:t>
        <a:bodyPr/>
        <a:lstStyle/>
        <a:p>
          <a:endParaRPr lang="en-US"/>
        </a:p>
      </dgm:t>
    </dgm:pt>
    <dgm:pt modelId="{442BD1F8-BCD9-468B-A4FF-8B09551FAAC7}" type="pres">
      <dgm:prSet presAssocID="{B8406A43-28AD-4F5C-9452-BA254D3EDFF0}" presName="theList" presStyleCnt="0">
        <dgm:presLayoutVars>
          <dgm:dir/>
          <dgm:animLvl val="lvl"/>
          <dgm:resizeHandles val="exact"/>
        </dgm:presLayoutVars>
      </dgm:prSet>
      <dgm:spPr/>
    </dgm:pt>
    <dgm:pt modelId="{209AFBE0-617B-4C2A-83D6-99E9A8318760}" type="pres">
      <dgm:prSet presAssocID="{7BE1FF58-4DF8-4BA3-90ED-4FF8B15C3932}" presName="compNode" presStyleCnt="0"/>
      <dgm:spPr/>
    </dgm:pt>
    <dgm:pt modelId="{EB1CFFEA-180A-4426-8A01-30E86FD766C2}" type="pres">
      <dgm:prSet presAssocID="{7BE1FF58-4DF8-4BA3-90ED-4FF8B15C3932}" presName="aNode" presStyleLbl="bgShp" presStyleIdx="0" presStyleCnt="3"/>
      <dgm:spPr/>
    </dgm:pt>
    <dgm:pt modelId="{E9A3980B-CD8D-4975-B388-68D7A6B52623}" type="pres">
      <dgm:prSet presAssocID="{7BE1FF58-4DF8-4BA3-90ED-4FF8B15C3932}" presName="textNode" presStyleLbl="bgShp" presStyleIdx="0" presStyleCnt="3"/>
      <dgm:spPr/>
    </dgm:pt>
    <dgm:pt modelId="{3C183065-AE4A-4057-A892-E412FB106B62}" type="pres">
      <dgm:prSet presAssocID="{7BE1FF58-4DF8-4BA3-90ED-4FF8B15C3932}" presName="compChildNode" presStyleCnt="0"/>
      <dgm:spPr/>
    </dgm:pt>
    <dgm:pt modelId="{C784A71B-FD6D-496B-BD29-171881459CDF}" type="pres">
      <dgm:prSet presAssocID="{7BE1FF58-4DF8-4BA3-90ED-4FF8B15C3932}" presName="theInnerList" presStyleCnt="0"/>
      <dgm:spPr/>
    </dgm:pt>
    <dgm:pt modelId="{907E2126-2985-4A64-B909-5284752A7E59}" type="pres">
      <dgm:prSet presAssocID="{01DB4FB2-2208-401F-A307-83604569030A}" presName="childNode" presStyleLbl="node1" presStyleIdx="0" presStyleCnt="11">
        <dgm:presLayoutVars>
          <dgm:bulletEnabled val="1"/>
        </dgm:presLayoutVars>
      </dgm:prSet>
      <dgm:spPr/>
    </dgm:pt>
    <dgm:pt modelId="{D13FE174-D5B5-4EBC-A543-C7480C78272C}" type="pres">
      <dgm:prSet presAssocID="{01DB4FB2-2208-401F-A307-83604569030A}" presName="aSpace2" presStyleCnt="0"/>
      <dgm:spPr/>
    </dgm:pt>
    <dgm:pt modelId="{4BAD7A92-56E0-4F8B-A386-89145D7353FD}" type="pres">
      <dgm:prSet presAssocID="{8660F853-E644-4A43-A286-0CD34ABB33B9}" presName="childNode" presStyleLbl="node1" presStyleIdx="1" presStyleCnt="11">
        <dgm:presLayoutVars>
          <dgm:bulletEnabled val="1"/>
        </dgm:presLayoutVars>
      </dgm:prSet>
      <dgm:spPr/>
    </dgm:pt>
    <dgm:pt modelId="{DFD70BB6-74E4-4A55-9DA9-996373BA9564}" type="pres">
      <dgm:prSet presAssocID="{8660F853-E644-4A43-A286-0CD34ABB33B9}" presName="aSpace2" presStyleCnt="0"/>
      <dgm:spPr/>
    </dgm:pt>
    <dgm:pt modelId="{447383BB-5C71-4543-AFB0-B8C013DC0E43}" type="pres">
      <dgm:prSet presAssocID="{C7DC231D-FDDC-4B54-83C0-7819B9D31612}" presName="childNode" presStyleLbl="node1" presStyleIdx="2" presStyleCnt="11">
        <dgm:presLayoutVars>
          <dgm:bulletEnabled val="1"/>
        </dgm:presLayoutVars>
      </dgm:prSet>
      <dgm:spPr/>
    </dgm:pt>
    <dgm:pt modelId="{44534F65-2E1E-434D-A86A-5CCD6631DEDA}" type="pres">
      <dgm:prSet presAssocID="{C7DC231D-FDDC-4B54-83C0-7819B9D31612}" presName="aSpace2" presStyleCnt="0"/>
      <dgm:spPr/>
    </dgm:pt>
    <dgm:pt modelId="{D6E3AC57-CE85-44DD-B7E5-D0FBE98364F9}" type="pres">
      <dgm:prSet presAssocID="{AC2D10F8-DCC8-4C0A-9ED2-36CFC9841B40}" presName="childNode" presStyleLbl="node1" presStyleIdx="3" presStyleCnt="11">
        <dgm:presLayoutVars>
          <dgm:bulletEnabled val="1"/>
        </dgm:presLayoutVars>
      </dgm:prSet>
      <dgm:spPr/>
    </dgm:pt>
    <dgm:pt modelId="{1E18A99F-B167-4728-B6B4-86DB194EC1D0}" type="pres">
      <dgm:prSet presAssocID="{7BE1FF58-4DF8-4BA3-90ED-4FF8B15C3932}" presName="aSpace" presStyleCnt="0"/>
      <dgm:spPr/>
    </dgm:pt>
    <dgm:pt modelId="{A14B269E-AA71-47ED-9829-8060833DCC44}" type="pres">
      <dgm:prSet presAssocID="{15D492E9-0F9D-41B7-B805-A26E3C17C98F}" presName="compNode" presStyleCnt="0"/>
      <dgm:spPr/>
    </dgm:pt>
    <dgm:pt modelId="{0E912567-C1C6-470D-8F70-26FB0267A0D3}" type="pres">
      <dgm:prSet presAssocID="{15D492E9-0F9D-41B7-B805-A26E3C17C98F}" presName="aNode" presStyleLbl="bgShp" presStyleIdx="1" presStyleCnt="3"/>
      <dgm:spPr/>
    </dgm:pt>
    <dgm:pt modelId="{C1164F2D-590C-4732-A6DB-9FD87D904B0F}" type="pres">
      <dgm:prSet presAssocID="{15D492E9-0F9D-41B7-B805-A26E3C17C98F}" presName="textNode" presStyleLbl="bgShp" presStyleIdx="1" presStyleCnt="3"/>
      <dgm:spPr/>
    </dgm:pt>
    <dgm:pt modelId="{ED3A412B-2856-4A59-9F86-D2EBA041A8C5}" type="pres">
      <dgm:prSet presAssocID="{15D492E9-0F9D-41B7-B805-A26E3C17C98F}" presName="compChildNode" presStyleCnt="0"/>
      <dgm:spPr/>
    </dgm:pt>
    <dgm:pt modelId="{12718A38-CF53-4685-BF3A-582BADAE2AFF}" type="pres">
      <dgm:prSet presAssocID="{15D492E9-0F9D-41B7-B805-A26E3C17C98F}" presName="theInnerList" presStyleCnt="0"/>
      <dgm:spPr/>
    </dgm:pt>
    <dgm:pt modelId="{4091550B-4105-436D-9E70-18662EFDBD29}" type="pres">
      <dgm:prSet presAssocID="{6F2979F5-7FCD-4CDB-8A4F-C2E64F0D8AF9}" presName="childNode" presStyleLbl="node1" presStyleIdx="4" presStyleCnt="11">
        <dgm:presLayoutVars>
          <dgm:bulletEnabled val="1"/>
        </dgm:presLayoutVars>
      </dgm:prSet>
      <dgm:spPr/>
    </dgm:pt>
    <dgm:pt modelId="{56D4169E-C517-4B66-8C15-111822DEB1A3}" type="pres">
      <dgm:prSet presAssocID="{6F2979F5-7FCD-4CDB-8A4F-C2E64F0D8AF9}" presName="aSpace2" presStyleCnt="0"/>
      <dgm:spPr/>
    </dgm:pt>
    <dgm:pt modelId="{E4115DAC-89E7-4635-ABDA-5450125717C8}" type="pres">
      <dgm:prSet presAssocID="{1A8BE358-79CF-423C-B616-9A8380E0D04A}" presName="childNode" presStyleLbl="node1" presStyleIdx="5" presStyleCnt="11" custLinFactNeighborX="-419" custLinFactNeighborY="16241">
        <dgm:presLayoutVars>
          <dgm:bulletEnabled val="1"/>
        </dgm:presLayoutVars>
      </dgm:prSet>
      <dgm:spPr/>
    </dgm:pt>
    <dgm:pt modelId="{D0433743-4174-4060-A95E-63CF3CCAB2FA}" type="pres">
      <dgm:prSet presAssocID="{1A8BE358-79CF-423C-B616-9A8380E0D04A}" presName="aSpace2" presStyleCnt="0"/>
      <dgm:spPr/>
    </dgm:pt>
    <dgm:pt modelId="{FB07F355-B068-42A5-A591-13DE49073345}" type="pres">
      <dgm:prSet presAssocID="{D3B83142-6EBC-4338-A23E-6862E4508EF1}" presName="childNode" presStyleLbl="node1" presStyleIdx="6" presStyleCnt="11">
        <dgm:presLayoutVars>
          <dgm:bulletEnabled val="1"/>
        </dgm:presLayoutVars>
      </dgm:prSet>
      <dgm:spPr/>
    </dgm:pt>
    <dgm:pt modelId="{93335283-2B36-443D-A344-34E48DC2C582}" type="pres">
      <dgm:prSet presAssocID="{D3B83142-6EBC-4338-A23E-6862E4508EF1}" presName="aSpace2" presStyleCnt="0"/>
      <dgm:spPr/>
    </dgm:pt>
    <dgm:pt modelId="{672C0D8A-A1D8-4509-A134-17F6620D07EA}" type="pres">
      <dgm:prSet presAssocID="{90DDBA86-9D5D-4536-B4A9-C946E5CC2842}" presName="childNode" presStyleLbl="node1" presStyleIdx="7" presStyleCnt="11">
        <dgm:presLayoutVars>
          <dgm:bulletEnabled val="1"/>
        </dgm:presLayoutVars>
      </dgm:prSet>
      <dgm:spPr/>
    </dgm:pt>
    <dgm:pt modelId="{5B3D0D07-0CA3-4036-9FF1-C8A412BD7323}" type="pres">
      <dgm:prSet presAssocID="{15D492E9-0F9D-41B7-B805-A26E3C17C98F}" presName="aSpace" presStyleCnt="0"/>
      <dgm:spPr/>
    </dgm:pt>
    <dgm:pt modelId="{004BAFEB-CCB1-4BA4-ACB7-C77D445FCEDB}" type="pres">
      <dgm:prSet presAssocID="{A07FFE4E-58F1-4968-850F-4A48CFD5CC8D}" presName="compNode" presStyleCnt="0"/>
      <dgm:spPr/>
    </dgm:pt>
    <dgm:pt modelId="{9EF8475F-2227-45E1-B44F-F56E2936BDF2}" type="pres">
      <dgm:prSet presAssocID="{A07FFE4E-58F1-4968-850F-4A48CFD5CC8D}" presName="aNode" presStyleLbl="bgShp" presStyleIdx="2" presStyleCnt="3"/>
      <dgm:spPr/>
    </dgm:pt>
    <dgm:pt modelId="{D212A6AA-BC64-4C6C-9C33-0470C058A1BF}" type="pres">
      <dgm:prSet presAssocID="{A07FFE4E-58F1-4968-850F-4A48CFD5CC8D}" presName="textNode" presStyleLbl="bgShp" presStyleIdx="2" presStyleCnt="3"/>
      <dgm:spPr/>
    </dgm:pt>
    <dgm:pt modelId="{A564EE7A-2E57-4F51-971E-7F64B0D5BC0A}" type="pres">
      <dgm:prSet presAssocID="{A07FFE4E-58F1-4968-850F-4A48CFD5CC8D}" presName="compChildNode" presStyleCnt="0"/>
      <dgm:spPr/>
    </dgm:pt>
    <dgm:pt modelId="{2CE80255-3A2A-4F46-9063-E21F72A59283}" type="pres">
      <dgm:prSet presAssocID="{A07FFE4E-58F1-4968-850F-4A48CFD5CC8D}" presName="theInnerList" presStyleCnt="0"/>
      <dgm:spPr/>
    </dgm:pt>
    <dgm:pt modelId="{E563FF94-9176-4963-9C3C-956D7DF48689}" type="pres">
      <dgm:prSet presAssocID="{A90360D5-1DE0-497F-8BF5-9A4DE351EB7C}" presName="childNode" presStyleLbl="node1" presStyleIdx="8" presStyleCnt="11">
        <dgm:presLayoutVars>
          <dgm:bulletEnabled val="1"/>
        </dgm:presLayoutVars>
      </dgm:prSet>
      <dgm:spPr/>
    </dgm:pt>
    <dgm:pt modelId="{702D2CEA-775B-4F09-8657-5C79F6B8F0D1}" type="pres">
      <dgm:prSet presAssocID="{A90360D5-1DE0-497F-8BF5-9A4DE351EB7C}" presName="aSpace2" presStyleCnt="0"/>
      <dgm:spPr/>
    </dgm:pt>
    <dgm:pt modelId="{20B96627-81E9-4C0C-8A8C-6BBB5746A41A}" type="pres">
      <dgm:prSet presAssocID="{4DE06886-9F61-43F2-8CE8-E5F7F3AFC065}" presName="childNode" presStyleLbl="node1" presStyleIdx="9" presStyleCnt="11">
        <dgm:presLayoutVars>
          <dgm:bulletEnabled val="1"/>
        </dgm:presLayoutVars>
      </dgm:prSet>
      <dgm:spPr/>
    </dgm:pt>
    <dgm:pt modelId="{FFA8CF99-B506-4FBA-9165-00006CC8AFB3}" type="pres">
      <dgm:prSet presAssocID="{4DE06886-9F61-43F2-8CE8-E5F7F3AFC065}" presName="aSpace2" presStyleCnt="0"/>
      <dgm:spPr/>
    </dgm:pt>
    <dgm:pt modelId="{E014AC3A-E571-47DF-9864-0C377D36D40C}" type="pres">
      <dgm:prSet presAssocID="{36451082-913D-46B6-9F43-67F3FA05F322}" presName="childNode" presStyleLbl="node1" presStyleIdx="10" presStyleCnt="11">
        <dgm:presLayoutVars>
          <dgm:bulletEnabled val="1"/>
        </dgm:presLayoutVars>
      </dgm:prSet>
      <dgm:spPr/>
    </dgm:pt>
  </dgm:ptLst>
  <dgm:cxnLst>
    <dgm:cxn modelId="{BA94212E-64EA-4B74-9392-C67A45B0699E}" type="presOf" srcId="{36451082-913D-46B6-9F43-67F3FA05F322}" destId="{E014AC3A-E571-47DF-9864-0C377D36D40C}" srcOrd="0" destOrd="0" presId="urn:microsoft.com/office/officeart/2005/8/layout/lProcess2"/>
    <dgm:cxn modelId="{F509E62E-73A8-47D6-B957-142C04F59275}" type="presOf" srcId="{AC2D10F8-DCC8-4C0A-9ED2-36CFC9841B40}" destId="{D6E3AC57-CE85-44DD-B7E5-D0FBE98364F9}" srcOrd="0" destOrd="0" presId="urn:microsoft.com/office/officeart/2005/8/layout/lProcess2"/>
    <dgm:cxn modelId="{78AA8630-4CCA-4863-A549-7C6081B8F2F9}" srcId="{A07FFE4E-58F1-4968-850F-4A48CFD5CC8D}" destId="{36451082-913D-46B6-9F43-67F3FA05F322}" srcOrd="2" destOrd="0" parTransId="{CA2043D4-6FF1-4D5B-A2E5-17F5E2F8BE40}" sibTransId="{4E267A95-565A-4006-99AE-39E7DBBF9AE3}"/>
    <dgm:cxn modelId="{22C57231-6077-485F-A3F8-064B2EAC5BD2}" type="presOf" srcId="{A90360D5-1DE0-497F-8BF5-9A4DE351EB7C}" destId="{E563FF94-9176-4963-9C3C-956D7DF48689}" srcOrd="0" destOrd="0" presId="urn:microsoft.com/office/officeart/2005/8/layout/lProcess2"/>
    <dgm:cxn modelId="{EF18EB32-2D07-492C-A0BC-AC4E5175A555}" srcId="{B8406A43-28AD-4F5C-9452-BA254D3EDFF0}" destId="{7BE1FF58-4DF8-4BA3-90ED-4FF8B15C3932}" srcOrd="0" destOrd="0" parTransId="{DBBC4445-7584-484D-8C85-23D0D240918C}" sibTransId="{84B68556-2D58-4BE1-9083-49E63EF34EA3}"/>
    <dgm:cxn modelId="{6E7CF636-C0C8-4685-9CDD-8C6E569BFE67}" type="presOf" srcId="{90DDBA86-9D5D-4536-B4A9-C946E5CC2842}" destId="{672C0D8A-A1D8-4509-A134-17F6620D07EA}" srcOrd="0" destOrd="0" presId="urn:microsoft.com/office/officeart/2005/8/layout/lProcess2"/>
    <dgm:cxn modelId="{7B20F960-39D3-42AF-8BAC-56C9B9B444AB}" srcId="{15D492E9-0F9D-41B7-B805-A26E3C17C98F}" destId="{90DDBA86-9D5D-4536-B4A9-C946E5CC2842}" srcOrd="3" destOrd="0" parTransId="{C761BDB8-FAAC-4724-B331-0DF879893F9C}" sibTransId="{36CDA19F-915C-452C-9C79-35D25B527D41}"/>
    <dgm:cxn modelId="{05D46E62-46B0-4184-A67D-47989B2FAE8C}" srcId="{B8406A43-28AD-4F5C-9452-BA254D3EDFF0}" destId="{15D492E9-0F9D-41B7-B805-A26E3C17C98F}" srcOrd="1" destOrd="0" parTransId="{1A21DE9F-8DBB-438F-AC89-749A00AB9C6F}" sibTransId="{8E0D6B6A-BF2E-4E82-9CCB-766FC0C0BD66}"/>
    <dgm:cxn modelId="{9042B243-C961-4975-9774-5BA069A01337}" type="presOf" srcId="{A07FFE4E-58F1-4968-850F-4A48CFD5CC8D}" destId="{9EF8475F-2227-45E1-B44F-F56E2936BDF2}" srcOrd="0" destOrd="0" presId="urn:microsoft.com/office/officeart/2005/8/layout/lProcess2"/>
    <dgm:cxn modelId="{910A8368-4020-45DB-B9D7-8D74417D4D4F}" srcId="{A07FFE4E-58F1-4968-850F-4A48CFD5CC8D}" destId="{A90360D5-1DE0-497F-8BF5-9A4DE351EB7C}" srcOrd="0" destOrd="0" parTransId="{62CCB9E6-928D-4D47-B562-80DDE939FEBA}" sibTransId="{D98309E7-1941-487F-A806-37204A101BB3}"/>
    <dgm:cxn modelId="{0714BB6B-56D9-48B9-A6EC-E34F22909527}" type="presOf" srcId="{D3B83142-6EBC-4338-A23E-6862E4508EF1}" destId="{FB07F355-B068-42A5-A591-13DE49073345}" srcOrd="0" destOrd="0" presId="urn:microsoft.com/office/officeart/2005/8/layout/lProcess2"/>
    <dgm:cxn modelId="{5DCA4173-4C8A-4A27-9F2E-B7BA350CCCE3}" type="presOf" srcId="{C7DC231D-FDDC-4B54-83C0-7819B9D31612}" destId="{447383BB-5C71-4543-AFB0-B8C013DC0E43}" srcOrd="0" destOrd="0" presId="urn:microsoft.com/office/officeart/2005/8/layout/lProcess2"/>
    <dgm:cxn modelId="{78911B59-F820-4681-9A4D-44F9AE2974C0}" srcId="{15D492E9-0F9D-41B7-B805-A26E3C17C98F}" destId="{6F2979F5-7FCD-4CDB-8A4F-C2E64F0D8AF9}" srcOrd="0" destOrd="0" parTransId="{A3514539-895D-4921-90D0-913792593776}" sibTransId="{7AD65076-2C37-48A6-B106-D91CA90842E0}"/>
    <dgm:cxn modelId="{2E6B2383-5F38-49A2-87C3-B53F5D65D751}" type="presOf" srcId="{7BE1FF58-4DF8-4BA3-90ED-4FF8B15C3932}" destId="{EB1CFFEA-180A-4426-8A01-30E86FD766C2}" srcOrd="0" destOrd="0" presId="urn:microsoft.com/office/officeart/2005/8/layout/lProcess2"/>
    <dgm:cxn modelId="{CAB4B087-8D38-4E2A-9C36-EADF8704C747}" type="presOf" srcId="{4DE06886-9F61-43F2-8CE8-E5F7F3AFC065}" destId="{20B96627-81E9-4C0C-8A8C-6BBB5746A41A}" srcOrd="0" destOrd="0" presId="urn:microsoft.com/office/officeart/2005/8/layout/lProcess2"/>
    <dgm:cxn modelId="{431A0D89-CD4F-4D75-83E9-77D55B273D65}" type="presOf" srcId="{A07FFE4E-58F1-4968-850F-4A48CFD5CC8D}" destId="{D212A6AA-BC64-4C6C-9C33-0470C058A1BF}" srcOrd="1" destOrd="0" presId="urn:microsoft.com/office/officeart/2005/8/layout/lProcess2"/>
    <dgm:cxn modelId="{B1726B90-3C2C-48AD-BB54-A647DC505529}" srcId="{7BE1FF58-4DF8-4BA3-90ED-4FF8B15C3932}" destId="{AC2D10F8-DCC8-4C0A-9ED2-36CFC9841B40}" srcOrd="3" destOrd="0" parTransId="{428C12E5-DEE2-4167-9616-F08CF3319107}" sibTransId="{19E41778-6D80-47BB-9620-FD4751B211B2}"/>
    <dgm:cxn modelId="{4C07E596-9D48-48BB-865A-18AF95CFEBAF}" type="presOf" srcId="{01DB4FB2-2208-401F-A307-83604569030A}" destId="{907E2126-2985-4A64-B909-5284752A7E59}" srcOrd="0" destOrd="0" presId="urn:microsoft.com/office/officeart/2005/8/layout/lProcess2"/>
    <dgm:cxn modelId="{0CB8829C-4F28-4DBA-9319-7A328B58EA96}" type="presOf" srcId="{15D492E9-0F9D-41B7-B805-A26E3C17C98F}" destId="{0E912567-C1C6-470D-8F70-26FB0267A0D3}" srcOrd="0" destOrd="0" presId="urn:microsoft.com/office/officeart/2005/8/layout/lProcess2"/>
    <dgm:cxn modelId="{46D790A7-4477-4AC8-B45B-81864A4C276A}" srcId="{7BE1FF58-4DF8-4BA3-90ED-4FF8B15C3932}" destId="{01DB4FB2-2208-401F-A307-83604569030A}" srcOrd="0" destOrd="0" parTransId="{611237D4-189F-4634-8DCF-2A23FE273987}" sibTransId="{2B740AE6-7F58-489A-985B-F7D42563659C}"/>
    <dgm:cxn modelId="{8852FAAD-353B-4615-81BA-C1DCCA25A513}" type="presOf" srcId="{1A8BE358-79CF-423C-B616-9A8380E0D04A}" destId="{E4115DAC-89E7-4635-ABDA-5450125717C8}" srcOrd="0" destOrd="0" presId="urn:microsoft.com/office/officeart/2005/8/layout/lProcess2"/>
    <dgm:cxn modelId="{0680EDC1-5B61-43F8-8272-2544A2FD09E6}" type="presOf" srcId="{6F2979F5-7FCD-4CDB-8A4F-C2E64F0D8AF9}" destId="{4091550B-4105-436D-9E70-18662EFDBD29}" srcOrd="0" destOrd="0" presId="urn:microsoft.com/office/officeart/2005/8/layout/lProcess2"/>
    <dgm:cxn modelId="{D00819D4-B598-493A-AB5A-D7BC63D374DF}" srcId="{15D492E9-0F9D-41B7-B805-A26E3C17C98F}" destId="{1A8BE358-79CF-423C-B616-9A8380E0D04A}" srcOrd="1" destOrd="0" parTransId="{F8D79CCA-DD22-4683-99D7-74E119E99B71}" sibTransId="{55CE4772-034B-4AD8-B764-E37555DADA3D}"/>
    <dgm:cxn modelId="{0FE4D1D4-0F66-484B-A879-A9A418850D19}" srcId="{15D492E9-0F9D-41B7-B805-A26E3C17C98F}" destId="{D3B83142-6EBC-4338-A23E-6862E4508EF1}" srcOrd="2" destOrd="0" parTransId="{89C2032E-1F75-4CFC-915C-558176E7F17A}" sibTransId="{364CEB4D-506D-41AF-A8F1-1DB90841C078}"/>
    <dgm:cxn modelId="{1AACC6DD-56D6-4B40-A19F-5D12B98A1C9B}" type="presOf" srcId="{B8406A43-28AD-4F5C-9452-BA254D3EDFF0}" destId="{442BD1F8-BCD9-468B-A4FF-8B09551FAAC7}" srcOrd="0" destOrd="0" presId="urn:microsoft.com/office/officeart/2005/8/layout/lProcess2"/>
    <dgm:cxn modelId="{F1F697E0-05A5-4965-87B7-3E371C85BDB8}" type="presOf" srcId="{8660F853-E644-4A43-A286-0CD34ABB33B9}" destId="{4BAD7A92-56E0-4F8B-A386-89145D7353FD}" srcOrd="0" destOrd="0" presId="urn:microsoft.com/office/officeart/2005/8/layout/lProcess2"/>
    <dgm:cxn modelId="{D9C566E1-38B5-48BB-B4F5-7A08C9222B92}" srcId="{B8406A43-28AD-4F5C-9452-BA254D3EDFF0}" destId="{A07FFE4E-58F1-4968-850F-4A48CFD5CC8D}" srcOrd="2" destOrd="0" parTransId="{F2EBDD03-E4BB-4F4A-8E80-5165B7C808E9}" sibTransId="{ED3A5979-DFAD-4F93-BE01-E957829959F3}"/>
    <dgm:cxn modelId="{2EA13FE3-C01A-45EC-82E7-AAC8D35F1B87}" type="presOf" srcId="{7BE1FF58-4DF8-4BA3-90ED-4FF8B15C3932}" destId="{E9A3980B-CD8D-4975-B388-68D7A6B52623}" srcOrd="1" destOrd="0" presId="urn:microsoft.com/office/officeart/2005/8/layout/lProcess2"/>
    <dgm:cxn modelId="{5C269DE4-613E-4D2D-93C5-A86850B5BFCF}" srcId="{7BE1FF58-4DF8-4BA3-90ED-4FF8B15C3932}" destId="{C7DC231D-FDDC-4B54-83C0-7819B9D31612}" srcOrd="2" destOrd="0" parTransId="{8BF373FE-2D06-4C5D-B1E2-8BF53495CF57}" sibTransId="{8E86F868-BACC-4BD7-987D-2DED7B81338D}"/>
    <dgm:cxn modelId="{87BC06E8-F6BD-438A-A62D-A23978C52B6E}" type="presOf" srcId="{15D492E9-0F9D-41B7-B805-A26E3C17C98F}" destId="{C1164F2D-590C-4732-A6DB-9FD87D904B0F}" srcOrd="1" destOrd="0" presId="urn:microsoft.com/office/officeart/2005/8/layout/lProcess2"/>
    <dgm:cxn modelId="{2A9717EC-0E8C-42C8-8726-39B9DE531CCB}" srcId="{A07FFE4E-58F1-4968-850F-4A48CFD5CC8D}" destId="{4DE06886-9F61-43F2-8CE8-E5F7F3AFC065}" srcOrd="1" destOrd="0" parTransId="{00FADAD2-32A7-46CA-952C-0C186467CE63}" sibTransId="{805DE490-D070-479A-B10D-303698736CF8}"/>
    <dgm:cxn modelId="{2B5C61F0-4B69-4365-A722-C94C5BBF4905}" srcId="{7BE1FF58-4DF8-4BA3-90ED-4FF8B15C3932}" destId="{8660F853-E644-4A43-A286-0CD34ABB33B9}" srcOrd="1" destOrd="0" parTransId="{11454C8C-3CBB-4661-A939-D34F1CA6A4CD}" sibTransId="{57BCED71-1897-4D38-A2CB-94108290A46E}"/>
    <dgm:cxn modelId="{A37173F3-F176-4721-AE78-239FFCF421DB}" type="presParOf" srcId="{442BD1F8-BCD9-468B-A4FF-8B09551FAAC7}" destId="{209AFBE0-617B-4C2A-83D6-99E9A8318760}" srcOrd="0" destOrd="0" presId="urn:microsoft.com/office/officeart/2005/8/layout/lProcess2"/>
    <dgm:cxn modelId="{198D1E5F-4E8F-4A0C-9486-45500F6AAD34}" type="presParOf" srcId="{209AFBE0-617B-4C2A-83D6-99E9A8318760}" destId="{EB1CFFEA-180A-4426-8A01-30E86FD766C2}" srcOrd="0" destOrd="0" presId="urn:microsoft.com/office/officeart/2005/8/layout/lProcess2"/>
    <dgm:cxn modelId="{53ABDE2B-B2C5-435F-8337-56869398AA06}" type="presParOf" srcId="{209AFBE0-617B-4C2A-83D6-99E9A8318760}" destId="{E9A3980B-CD8D-4975-B388-68D7A6B52623}" srcOrd="1" destOrd="0" presId="urn:microsoft.com/office/officeart/2005/8/layout/lProcess2"/>
    <dgm:cxn modelId="{AABA2072-67D9-40B5-899C-4670C878BDD6}" type="presParOf" srcId="{209AFBE0-617B-4C2A-83D6-99E9A8318760}" destId="{3C183065-AE4A-4057-A892-E412FB106B62}" srcOrd="2" destOrd="0" presId="urn:microsoft.com/office/officeart/2005/8/layout/lProcess2"/>
    <dgm:cxn modelId="{CC7606D0-F65D-45C3-8387-01271E519DD1}" type="presParOf" srcId="{3C183065-AE4A-4057-A892-E412FB106B62}" destId="{C784A71B-FD6D-496B-BD29-171881459CDF}" srcOrd="0" destOrd="0" presId="urn:microsoft.com/office/officeart/2005/8/layout/lProcess2"/>
    <dgm:cxn modelId="{7A193A55-820C-4D01-B061-FFA006914ED2}" type="presParOf" srcId="{C784A71B-FD6D-496B-BD29-171881459CDF}" destId="{907E2126-2985-4A64-B909-5284752A7E59}" srcOrd="0" destOrd="0" presId="urn:microsoft.com/office/officeart/2005/8/layout/lProcess2"/>
    <dgm:cxn modelId="{521DC181-C0DB-4A04-8131-64091BCAC8FE}" type="presParOf" srcId="{C784A71B-FD6D-496B-BD29-171881459CDF}" destId="{D13FE174-D5B5-4EBC-A543-C7480C78272C}" srcOrd="1" destOrd="0" presId="urn:microsoft.com/office/officeart/2005/8/layout/lProcess2"/>
    <dgm:cxn modelId="{AE21C25F-C29B-445F-81F5-3D7487B5B4A4}" type="presParOf" srcId="{C784A71B-FD6D-496B-BD29-171881459CDF}" destId="{4BAD7A92-56E0-4F8B-A386-89145D7353FD}" srcOrd="2" destOrd="0" presId="urn:microsoft.com/office/officeart/2005/8/layout/lProcess2"/>
    <dgm:cxn modelId="{B136BEFC-F748-4D42-B76C-E1CF78BDBCFB}" type="presParOf" srcId="{C784A71B-FD6D-496B-BD29-171881459CDF}" destId="{DFD70BB6-74E4-4A55-9DA9-996373BA9564}" srcOrd="3" destOrd="0" presId="urn:microsoft.com/office/officeart/2005/8/layout/lProcess2"/>
    <dgm:cxn modelId="{B21FE7B8-90A0-45B3-906F-61A2029B4CEA}" type="presParOf" srcId="{C784A71B-FD6D-496B-BD29-171881459CDF}" destId="{447383BB-5C71-4543-AFB0-B8C013DC0E43}" srcOrd="4" destOrd="0" presId="urn:microsoft.com/office/officeart/2005/8/layout/lProcess2"/>
    <dgm:cxn modelId="{083F19D0-1C89-4B8F-AF36-6E420E9DF93E}" type="presParOf" srcId="{C784A71B-FD6D-496B-BD29-171881459CDF}" destId="{44534F65-2E1E-434D-A86A-5CCD6631DEDA}" srcOrd="5" destOrd="0" presId="urn:microsoft.com/office/officeart/2005/8/layout/lProcess2"/>
    <dgm:cxn modelId="{16BCDD5E-90A8-4C6F-8826-912382F80DDB}" type="presParOf" srcId="{C784A71B-FD6D-496B-BD29-171881459CDF}" destId="{D6E3AC57-CE85-44DD-B7E5-D0FBE98364F9}" srcOrd="6" destOrd="0" presId="urn:microsoft.com/office/officeart/2005/8/layout/lProcess2"/>
    <dgm:cxn modelId="{87C79C5C-A48D-4F26-B386-37A25D306493}" type="presParOf" srcId="{442BD1F8-BCD9-468B-A4FF-8B09551FAAC7}" destId="{1E18A99F-B167-4728-B6B4-86DB194EC1D0}" srcOrd="1" destOrd="0" presId="urn:microsoft.com/office/officeart/2005/8/layout/lProcess2"/>
    <dgm:cxn modelId="{DBC3239A-3283-40DA-8377-23B586AAEA7C}" type="presParOf" srcId="{442BD1F8-BCD9-468B-A4FF-8B09551FAAC7}" destId="{A14B269E-AA71-47ED-9829-8060833DCC44}" srcOrd="2" destOrd="0" presId="urn:microsoft.com/office/officeart/2005/8/layout/lProcess2"/>
    <dgm:cxn modelId="{A4F4181D-56C4-4989-99EC-3B1AB0636570}" type="presParOf" srcId="{A14B269E-AA71-47ED-9829-8060833DCC44}" destId="{0E912567-C1C6-470D-8F70-26FB0267A0D3}" srcOrd="0" destOrd="0" presId="urn:microsoft.com/office/officeart/2005/8/layout/lProcess2"/>
    <dgm:cxn modelId="{2994F0F9-3B13-47A1-9D1F-086B98B8F232}" type="presParOf" srcId="{A14B269E-AA71-47ED-9829-8060833DCC44}" destId="{C1164F2D-590C-4732-A6DB-9FD87D904B0F}" srcOrd="1" destOrd="0" presId="urn:microsoft.com/office/officeart/2005/8/layout/lProcess2"/>
    <dgm:cxn modelId="{49849224-6D5B-4DB6-828D-6BA8B51C126F}" type="presParOf" srcId="{A14B269E-AA71-47ED-9829-8060833DCC44}" destId="{ED3A412B-2856-4A59-9F86-D2EBA041A8C5}" srcOrd="2" destOrd="0" presId="urn:microsoft.com/office/officeart/2005/8/layout/lProcess2"/>
    <dgm:cxn modelId="{A89082CE-F599-43CC-B293-DE625B8610C8}" type="presParOf" srcId="{ED3A412B-2856-4A59-9F86-D2EBA041A8C5}" destId="{12718A38-CF53-4685-BF3A-582BADAE2AFF}" srcOrd="0" destOrd="0" presId="urn:microsoft.com/office/officeart/2005/8/layout/lProcess2"/>
    <dgm:cxn modelId="{F86B7CE4-83A4-44A8-BA64-DFA5E58EE14F}" type="presParOf" srcId="{12718A38-CF53-4685-BF3A-582BADAE2AFF}" destId="{4091550B-4105-436D-9E70-18662EFDBD29}" srcOrd="0" destOrd="0" presId="urn:microsoft.com/office/officeart/2005/8/layout/lProcess2"/>
    <dgm:cxn modelId="{43FC725A-8761-4335-890E-40DC301DF78C}" type="presParOf" srcId="{12718A38-CF53-4685-BF3A-582BADAE2AFF}" destId="{56D4169E-C517-4B66-8C15-111822DEB1A3}" srcOrd="1" destOrd="0" presId="urn:microsoft.com/office/officeart/2005/8/layout/lProcess2"/>
    <dgm:cxn modelId="{CB2DEB61-2AD1-4F8E-8DF6-A4500E87C8F5}" type="presParOf" srcId="{12718A38-CF53-4685-BF3A-582BADAE2AFF}" destId="{E4115DAC-89E7-4635-ABDA-5450125717C8}" srcOrd="2" destOrd="0" presId="urn:microsoft.com/office/officeart/2005/8/layout/lProcess2"/>
    <dgm:cxn modelId="{D5FEF4E9-FCA5-424E-931B-F6E8B620577F}" type="presParOf" srcId="{12718A38-CF53-4685-BF3A-582BADAE2AFF}" destId="{D0433743-4174-4060-A95E-63CF3CCAB2FA}" srcOrd="3" destOrd="0" presId="urn:microsoft.com/office/officeart/2005/8/layout/lProcess2"/>
    <dgm:cxn modelId="{FDF2F790-2706-47B9-A1FF-6E5220757EC8}" type="presParOf" srcId="{12718A38-CF53-4685-BF3A-582BADAE2AFF}" destId="{FB07F355-B068-42A5-A591-13DE49073345}" srcOrd="4" destOrd="0" presId="urn:microsoft.com/office/officeart/2005/8/layout/lProcess2"/>
    <dgm:cxn modelId="{F8CF7690-599A-4EE5-8BA6-20FF3111FAB6}" type="presParOf" srcId="{12718A38-CF53-4685-BF3A-582BADAE2AFF}" destId="{93335283-2B36-443D-A344-34E48DC2C582}" srcOrd="5" destOrd="0" presId="urn:microsoft.com/office/officeart/2005/8/layout/lProcess2"/>
    <dgm:cxn modelId="{8973A392-6B37-4597-80E9-22990AEE267C}" type="presParOf" srcId="{12718A38-CF53-4685-BF3A-582BADAE2AFF}" destId="{672C0D8A-A1D8-4509-A134-17F6620D07EA}" srcOrd="6" destOrd="0" presId="urn:microsoft.com/office/officeart/2005/8/layout/lProcess2"/>
    <dgm:cxn modelId="{58BF0EF1-38DF-4D5F-86E4-03BE104D39E4}" type="presParOf" srcId="{442BD1F8-BCD9-468B-A4FF-8B09551FAAC7}" destId="{5B3D0D07-0CA3-4036-9FF1-C8A412BD7323}" srcOrd="3" destOrd="0" presId="urn:microsoft.com/office/officeart/2005/8/layout/lProcess2"/>
    <dgm:cxn modelId="{185A9E57-5DB0-41C7-8187-4843ECCC31EB}" type="presParOf" srcId="{442BD1F8-BCD9-468B-A4FF-8B09551FAAC7}" destId="{004BAFEB-CCB1-4BA4-ACB7-C77D445FCEDB}" srcOrd="4" destOrd="0" presId="urn:microsoft.com/office/officeart/2005/8/layout/lProcess2"/>
    <dgm:cxn modelId="{4917AF84-6AD0-4A13-9C94-B1E92DF27FB9}" type="presParOf" srcId="{004BAFEB-CCB1-4BA4-ACB7-C77D445FCEDB}" destId="{9EF8475F-2227-45E1-B44F-F56E2936BDF2}" srcOrd="0" destOrd="0" presId="urn:microsoft.com/office/officeart/2005/8/layout/lProcess2"/>
    <dgm:cxn modelId="{D0979509-399A-4F24-96E7-710773A51EA0}" type="presParOf" srcId="{004BAFEB-CCB1-4BA4-ACB7-C77D445FCEDB}" destId="{D212A6AA-BC64-4C6C-9C33-0470C058A1BF}" srcOrd="1" destOrd="0" presId="urn:microsoft.com/office/officeart/2005/8/layout/lProcess2"/>
    <dgm:cxn modelId="{DCFDAA81-61DE-4828-981D-6A62513D8813}" type="presParOf" srcId="{004BAFEB-CCB1-4BA4-ACB7-C77D445FCEDB}" destId="{A564EE7A-2E57-4F51-971E-7F64B0D5BC0A}" srcOrd="2" destOrd="0" presId="urn:microsoft.com/office/officeart/2005/8/layout/lProcess2"/>
    <dgm:cxn modelId="{01D165BF-BD54-4CFC-9A48-D0DDC2C48740}" type="presParOf" srcId="{A564EE7A-2E57-4F51-971E-7F64B0D5BC0A}" destId="{2CE80255-3A2A-4F46-9063-E21F72A59283}" srcOrd="0" destOrd="0" presId="urn:microsoft.com/office/officeart/2005/8/layout/lProcess2"/>
    <dgm:cxn modelId="{B0631538-4257-44CD-935E-4AC39FB34431}" type="presParOf" srcId="{2CE80255-3A2A-4F46-9063-E21F72A59283}" destId="{E563FF94-9176-4963-9C3C-956D7DF48689}" srcOrd="0" destOrd="0" presId="urn:microsoft.com/office/officeart/2005/8/layout/lProcess2"/>
    <dgm:cxn modelId="{C8212D43-4E30-4E2B-9DE1-35CDAC57622C}" type="presParOf" srcId="{2CE80255-3A2A-4F46-9063-E21F72A59283}" destId="{702D2CEA-775B-4F09-8657-5C79F6B8F0D1}" srcOrd="1" destOrd="0" presId="urn:microsoft.com/office/officeart/2005/8/layout/lProcess2"/>
    <dgm:cxn modelId="{F87F86BF-B78D-4523-874F-396451CE4ADA}" type="presParOf" srcId="{2CE80255-3A2A-4F46-9063-E21F72A59283}" destId="{20B96627-81E9-4C0C-8A8C-6BBB5746A41A}" srcOrd="2" destOrd="0" presId="urn:microsoft.com/office/officeart/2005/8/layout/lProcess2"/>
    <dgm:cxn modelId="{DD37A8A2-73E8-4E03-BCDA-F86966858BCF}" type="presParOf" srcId="{2CE80255-3A2A-4F46-9063-E21F72A59283}" destId="{FFA8CF99-B506-4FBA-9165-00006CC8AFB3}" srcOrd="3" destOrd="0" presId="urn:microsoft.com/office/officeart/2005/8/layout/lProcess2"/>
    <dgm:cxn modelId="{F1D324E1-1796-47B2-A28F-288A91E354ED}" type="presParOf" srcId="{2CE80255-3A2A-4F46-9063-E21F72A59283}" destId="{E014AC3A-E571-47DF-9864-0C377D36D40C}" srcOrd="4" destOrd="0" presId="urn:microsoft.com/office/officeart/2005/8/layout/lProcess2"/>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A70E9A4-4737-46ED-9601-B867FC9B3660}"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E669792A-309C-4F4A-852F-FB7FCC738B60}">
      <dgm:prSet phldrT="[Text]" custT="1"/>
      <dgm:spPr/>
      <dgm:t>
        <a:bodyPr/>
        <a:lstStyle/>
        <a:p>
          <a:pPr algn="ctr"/>
          <a:r>
            <a:rPr lang="en-US" sz="1100">
              <a:latin typeface="Times New Roman" panose="02020603050405020304" pitchFamily="18" charset="0"/>
              <a:cs typeface="Times New Roman" panose="02020603050405020304" pitchFamily="18" charset="0"/>
            </a:rPr>
            <a:t>Office</a:t>
          </a:r>
          <a:r>
            <a:rPr lang="en-US" sz="1000" baseline="0">
              <a:latin typeface="Times New Roman" panose="02020603050405020304" pitchFamily="18" charset="0"/>
              <a:cs typeface="Times New Roman" panose="02020603050405020304" pitchFamily="18" charset="0"/>
            </a:rPr>
            <a:t> of RS</a:t>
          </a:r>
          <a:endParaRPr lang="en-US" sz="1000">
            <a:latin typeface="Times New Roman" panose="02020603050405020304" pitchFamily="18" charset="0"/>
            <a:cs typeface="Times New Roman" panose="02020603050405020304" pitchFamily="18" charset="0"/>
          </a:endParaRPr>
        </a:p>
      </dgm:t>
    </dgm:pt>
    <dgm:pt modelId="{6CAAF95D-79A9-4DFA-B0C8-87A923C55A44}" type="parTrans" cxnId="{F54A7B61-ED58-41DA-992A-AD58CB36DBD2}">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19317FF8-8647-45D7-96D4-8A51B5BAD4A5}" type="sibTrans" cxnId="{F54A7B61-ED58-41DA-992A-AD58CB36DBD2}">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EC3E181F-E799-4CD8-8017-7B5348066D9C}">
      <dgm:prSet phldrT="[Text]" custT="1"/>
      <dgm:spPr/>
      <dgm:t>
        <a:bodyPr/>
        <a:lstStyle/>
        <a:p>
          <a:pPr algn="ctr"/>
          <a:r>
            <a:rPr lang="en-US" sz="1050">
              <a:latin typeface="Times New Roman" panose="02020603050405020304" pitchFamily="18" charset="0"/>
              <a:cs typeface="Times New Roman" panose="02020603050405020304" pitchFamily="18" charset="0"/>
            </a:rPr>
            <a:t>Logistics Company</a:t>
          </a:r>
        </a:p>
      </dgm:t>
    </dgm:pt>
    <dgm:pt modelId="{DCC0C67F-89CB-4E4C-B631-9B57738B1780}" type="parTrans" cxnId="{5EDBBC40-4C44-4C5B-9C8F-FC33612B4A53}">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D229C922-47B5-4143-9EAB-9D2FFC0AEF14}" type="sibTrans" cxnId="{5EDBBC40-4C44-4C5B-9C8F-FC33612B4A53}">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56ED936B-DBB5-405F-9B50-50CE404F27BE}">
      <dgm:prSet phldrT="[Text]" custT="1"/>
      <dgm:spPr/>
      <dgm:t>
        <a:bodyPr/>
        <a:lstStyle/>
        <a:p>
          <a:pPr algn="ctr"/>
          <a:r>
            <a:rPr lang="en-US" sz="1100">
              <a:latin typeface="Times New Roman" panose="02020603050405020304" pitchFamily="18" charset="0"/>
              <a:cs typeface="Times New Roman" panose="02020603050405020304" pitchFamily="18" charset="0"/>
            </a:rPr>
            <a:t>Road Inspection</a:t>
          </a:r>
        </a:p>
      </dgm:t>
    </dgm:pt>
    <dgm:pt modelId="{4D204955-15BF-48AA-BE20-25D4A4774D0D}" type="parTrans" cxnId="{31E72D84-EDD9-4214-B9F8-612FDC4C9C5D}">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7F17CF57-98F2-4746-9F99-2089C1889B22}" type="sibTrans" cxnId="{31E72D84-EDD9-4214-B9F8-612FDC4C9C5D}">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9594E9FB-B57F-463C-A1DC-217E194F2F2B}">
      <dgm:prSet phldrT="[Text]" custT="1"/>
      <dgm:spPr/>
      <dgm:t>
        <a:bodyPr/>
        <a:lstStyle/>
        <a:p>
          <a:pPr algn="ctr"/>
          <a:r>
            <a:rPr lang="en-US" sz="1000">
              <a:latin typeface="Times New Roman" panose="02020603050405020304" pitchFamily="18" charset="0"/>
              <a:cs typeface="Times New Roman" panose="02020603050405020304" pitchFamily="18" charset="0"/>
            </a:rPr>
            <a:t>Security </a:t>
          </a:r>
          <a:r>
            <a:rPr lang="en-US" sz="1100">
              <a:latin typeface="Times New Roman" panose="02020603050405020304" pitchFamily="18" charset="0"/>
              <a:cs typeface="Times New Roman" panose="02020603050405020304" pitchFamily="18" charset="0"/>
            </a:rPr>
            <a:t>System</a:t>
          </a:r>
          <a:endParaRPr lang="en-US" sz="1000">
            <a:latin typeface="Times New Roman" panose="02020603050405020304" pitchFamily="18" charset="0"/>
            <a:cs typeface="Times New Roman" panose="02020603050405020304" pitchFamily="18" charset="0"/>
          </a:endParaRPr>
        </a:p>
      </dgm:t>
    </dgm:pt>
    <dgm:pt modelId="{4CDE91FA-56B7-4A7F-B6F2-404B9C56DE2B}" type="parTrans" cxnId="{C193B115-0278-4592-968F-7BA4EFEC3688}">
      <dgm:prSet/>
      <dgm:spPr/>
      <dgm:t>
        <a:bodyPr/>
        <a:lstStyle/>
        <a:p>
          <a:pPr algn="ctr"/>
          <a:endParaRPr lang="zh-CN" altLang="en-US" sz="1000">
            <a:latin typeface="Times New Roman" panose="02020603050405020304" pitchFamily="18" charset="0"/>
            <a:cs typeface="Times New Roman" panose="02020603050405020304" pitchFamily="18" charset="0"/>
          </a:endParaRPr>
        </a:p>
      </dgm:t>
    </dgm:pt>
    <dgm:pt modelId="{41DF129A-A7E6-4A05-8B05-F6E112CACB9E}" type="sibTrans" cxnId="{C193B115-0278-4592-968F-7BA4EFEC3688}">
      <dgm:prSet/>
      <dgm:spPr/>
      <dgm:t>
        <a:bodyPr/>
        <a:lstStyle/>
        <a:p>
          <a:pPr algn="ctr"/>
          <a:endParaRPr lang="zh-CN" altLang="en-US" sz="1000">
            <a:latin typeface="Times New Roman" panose="02020603050405020304" pitchFamily="18" charset="0"/>
            <a:cs typeface="Times New Roman" panose="02020603050405020304" pitchFamily="18" charset="0"/>
          </a:endParaRPr>
        </a:p>
      </dgm:t>
    </dgm:pt>
    <dgm:pt modelId="{08D2B8E5-C48F-40EC-9422-7C61E2903955}">
      <dgm:prSet phldrT="[Text]" custT="1"/>
      <dgm:spPr/>
      <dgm:t>
        <a:bodyPr/>
        <a:lstStyle/>
        <a:p>
          <a:pPr algn="ctr"/>
          <a:r>
            <a:rPr lang="en-US" sz="1100">
              <a:latin typeface="Times New Roman" panose="02020603050405020304" pitchFamily="18" charset="0"/>
              <a:cs typeface="Times New Roman" panose="02020603050405020304" pitchFamily="18" charset="0"/>
            </a:rPr>
            <a:t>Guard</a:t>
          </a:r>
        </a:p>
      </dgm:t>
    </dgm:pt>
    <dgm:pt modelId="{A8133676-E1C2-4C43-A9D5-F4C20924268F}" type="parTrans" cxnId="{7EDC75DD-8E89-45B5-A8E3-849C6A7F4196}">
      <dgm:prSet/>
      <dgm:spPr/>
      <dgm:t>
        <a:bodyPr/>
        <a:lstStyle/>
        <a:p>
          <a:pPr algn="ctr"/>
          <a:endParaRPr lang="zh-CN" altLang="en-US" sz="1000">
            <a:latin typeface="Times New Roman" panose="02020603050405020304" pitchFamily="18" charset="0"/>
            <a:cs typeface="Times New Roman" panose="02020603050405020304" pitchFamily="18" charset="0"/>
          </a:endParaRPr>
        </a:p>
      </dgm:t>
    </dgm:pt>
    <dgm:pt modelId="{3DB51965-4170-4CC1-9022-E87DA1CA90F6}" type="sibTrans" cxnId="{7EDC75DD-8E89-45B5-A8E3-849C6A7F4196}">
      <dgm:prSet/>
      <dgm:spPr/>
      <dgm:t>
        <a:bodyPr/>
        <a:lstStyle/>
        <a:p>
          <a:pPr algn="ctr"/>
          <a:endParaRPr lang="zh-CN" altLang="en-US" sz="1000">
            <a:latin typeface="Times New Roman" panose="02020603050405020304" pitchFamily="18" charset="0"/>
            <a:cs typeface="Times New Roman" panose="02020603050405020304" pitchFamily="18" charset="0"/>
          </a:endParaRPr>
        </a:p>
      </dgm:t>
    </dgm:pt>
    <dgm:pt modelId="{993A0649-22D0-4CE3-BF0F-06B10D356CC6}">
      <dgm:prSet phldrT="[Text]" custT="1"/>
      <dgm:spPr/>
      <dgm:t>
        <a:bodyPr/>
        <a:lstStyle/>
        <a:p>
          <a:pPr algn="ctr"/>
          <a:r>
            <a:rPr lang="en-US" sz="1100">
              <a:latin typeface="Times New Roman" panose="02020603050405020304" pitchFamily="18" charset="0"/>
              <a:cs typeface="Times New Roman" panose="02020603050405020304" pitchFamily="18" charset="0"/>
            </a:rPr>
            <a:t>Fence Operator</a:t>
          </a:r>
        </a:p>
      </dgm:t>
    </dgm:pt>
    <dgm:pt modelId="{AF1DB128-ECE4-4203-84CF-69118A2AB561}" type="parTrans" cxnId="{CC0F01DD-6430-4829-990E-F87EE5DEF53F}">
      <dgm:prSet/>
      <dgm:spPr/>
      <dgm:t>
        <a:bodyPr/>
        <a:lstStyle/>
        <a:p>
          <a:pPr algn="ctr"/>
          <a:endParaRPr lang="zh-CN" altLang="en-US" sz="1000">
            <a:latin typeface="Times New Roman" panose="02020603050405020304" pitchFamily="18" charset="0"/>
            <a:cs typeface="Times New Roman" panose="02020603050405020304" pitchFamily="18" charset="0"/>
          </a:endParaRPr>
        </a:p>
      </dgm:t>
    </dgm:pt>
    <dgm:pt modelId="{B70EF9A5-2808-4125-83D4-B6ECAF501746}" type="sibTrans" cxnId="{CC0F01DD-6430-4829-990E-F87EE5DEF53F}">
      <dgm:prSet/>
      <dgm:spPr/>
      <dgm:t>
        <a:bodyPr/>
        <a:lstStyle/>
        <a:p>
          <a:pPr algn="ctr"/>
          <a:endParaRPr lang="zh-CN" altLang="en-US" sz="1000">
            <a:latin typeface="Times New Roman" panose="02020603050405020304" pitchFamily="18" charset="0"/>
            <a:cs typeface="Times New Roman" panose="02020603050405020304" pitchFamily="18" charset="0"/>
          </a:endParaRPr>
        </a:p>
      </dgm:t>
    </dgm:pt>
    <dgm:pt modelId="{49084EE2-6A8B-4C27-81B0-29CF1389F04D}" type="asst">
      <dgm:prSet phldrT="[Text]" custT="1"/>
      <dgm:spPr/>
      <dgm:t>
        <a:bodyPr/>
        <a:lstStyle/>
        <a:p>
          <a:pPr algn="ctr"/>
          <a:r>
            <a:rPr lang="en-US" sz="1100">
              <a:latin typeface="Times New Roman" panose="02020603050405020304" pitchFamily="18" charset="0"/>
              <a:cs typeface="Times New Roman" panose="02020603050405020304" pitchFamily="18" charset="0"/>
            </a:rPr>
            <a:t>Finance Company</a:t>
          </a:r>
        </a:p>
      </dgm:t>
    </dgm:pt>
    <dgm:pt modelId="{095F49A2-F79B-4605-A117-51E7471A20D6}" type="sibTrans" cxnId="{949D809B-8630-41D8-B751-41D4805A3BEC}">
      <dgm:prSet/>
      <dgm:spPr/>
      <dgm:t>
        <a:bodyPr/>
        <a:lstStyle/>
        <a:p>
          <a:pPr algn="ctr"/>
          <a:endParaRPr lang="zh-CN" altLang="en-US" sz="1000">
            <a:latin typeface="Times New Roman" panose="02020603050405020304" pitchFamily="18" charset="0"/>
            <a:cs typeface="Times New Roman" panose="02020603050405020304" pitchFamily="18" charset="0"/>
          </a:endParaRPr>
        </a:p>
      </dgm:t>
    </dgm:pt>
    <dgm:pt modelId="{B922C5F7-B5BF-4A79-9EDD-632BA7559B82}" type="parTrans" cxnId="{949D809B-8630-41D8-B751-41D4805A3BEC}">
      <dgm:prSet/>
      <dgm:spPr/>
      <dgm:t>
        <a:bodyPr/>
        <a:lstStyle/>
        <a:p>
          <a:pPr algn="ctr"/>
          <a:endParaRPr lang="zh-CN" altLang="en-US" sz="1000">
            <a:latin typeface="Times New Roman" panose="02020603050405020304" pitchFamily="18" charset="0"/>
            <a:cs typeface="Times New Roman" panose="02020603050405020304" pitchFamily="18" charset="0"/>
          </a:endParaRPr>
        </a:p>
      </dgm:t>
    </dgm:pt>
    <dgm:pt modelId="{5D94E198-B5D4-4736-B5F4-618DEC5B82E3}" type="asst">
      <dgm:prSet phldrT="[Text]" custT="1"/>
      <dgm:spPr/>
      <dgm:t>
        <a:bodyPr/>
        <a:lstStyle/>
        <a:p>
          <a:pPr algn="ctr"/>
          <a:r>
            <a:rPr lang="en-US" sz="1100">
              <a:latin typeface="Times New Roman" panose="02020603050405020304" pitchFamily="18" charset="0"/>
              <a:cs typeface="Times New Roman" panose="02020603050405020304" pitchFamily="18" charset="0"/>
            </a:rPr>
            <a:t>Logistics Consulting Company</a:t>
          </a:r>
        </a:p>
      </dgm:t>
    </dgm:pt>
    <dgm:pt modelId="{B00407B4-2405-478C-A5B4-B500C91DDDCE}" type="sibTrans" cxnId="{FF9300A9-A25E-401C-B6C6-02F4510602FB}">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A9DD7E03-2CD6-4258-8CA6-C2B1D5D31E75}" type="parTrans" cxnId="{FF9300A9-A25E-401C-B6C6-02F4510602FB}">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1E0C263A-ACE5-473F-B925-8D371AB6CB8A}">
      <dgm:prSet phldrT="[Text]" custT="1"/>
      <dgm:spPr/>
      <dgm:t>
        <a:bodyPr/>
        <a:lstStyle/>
        <a:p>
          <a:pPr algn="ctr"/>
          <a:r>
            <a:rPr lang="en-US" sz="1100">
              <a:latin typeface="Times New Roman" panose="02020603050405020304" pitchFamily="18" charset="0"/>
              <a:cs typeface="Times New Roman" panose="02020603050405020304" pitchFamily="18" charset="0"/>
            </a:rPr>
            <a:t>Information Manager</a:t>
          </a:r>
        </a:p>
      </dgm:t>
    </dgm:pt>
    <dgm:pt modelId="{999D4CE0-2E5E-44DA-838D-3AB840F4BEA3}" type="parTrans" cxnId="{67ED4160-E735-410C-AE2B-E9A689E41AE0}">
      <dgm:prSet/>
      <dgm:spPr/>
      <dgm:t>
        <a:bodyPr/>
        <a:lstStyle/>
        <a:p>
          <a:pPr algn="ctr"/>
          <a:endParaRPr lang="zh-CN" altLang="en-US"/>
        </a:p>
      </dgm:t>
    </dgm:pt>
    <dgm:pt modelId="{54F87FAD-6C2F-4A72-9F9A-8421CC5B9ED5}" type="sibTrans" cxnId="{67ED4160-E735-410C-AE2B-E9A689E41AE0}">
      <dgm:prSet/>
      <dgm:spPr/>
      <dgm:t>
        <a:bodyPr/>
        <a:lstStyle/>
        <a:p>
          <a:pPr algn="ctr"/>
          <a:endParaRPr lang="zh-CN" altLang="en-US"/>
        </a:p>
      </dgm:t>
    </dgm:pt>
    <dgm:pt modelId="{B7170151-FAE8-4A4E-A81C-D8B77843EA3C}" type="pres">
      <dgm:prSet presAssocID="{0A70E9A4-4737-46ED-9601-B867FC9B3660}" presName="hierChild1" presStyleCnt="0">
        <dgm:presLayoutVars>
          <dgm:orgChart val="1"/>
          <dgm:chPref val="1"/>
          <dgm:dir/>
          <dgm:animOne val="branch"/>
          <dgm:animLvl val="lvl"/>
          <dgm:resizeHandles/>
        </dgm:presLayoutVars>
      </dgm:prSet>
      <dgm:spPr/>
    </dgm:pt>
    <dgm:pt modelId="{E967B46D-528A-44A1-9820-0F442D3F0AD7}" type="pres">
      <dgm:prSet presAssocID="{E669792A-309C-4F4A-852F-FB7FCC738B60}" presName="hierRoot1" presStyleCnt="0">
        <dgm:presLayoutVars>
          <dgm:hierBranch val="init"/>
        </dgm:presLayoutVars>
      </dgm:prSet>
      <dgm:spPr/>
    </dgm:pt>
    <dgm:pt modelId="{F5770AD2-70FC-4B32-B663-7AF7A165BA5F}" type="pres">
      <dgm:prSet presAssocID="{E669792A-309C-4F4A-852F-FB7FCC738B60}" presName="rootComposite1" presStyleCnt="0"/>
      <dgm:spPr/>
    </dgm:pt>
    <dgm:pt modelId="{021296E4-F552-4983-AC53-0300E5D0A59A}" type="pres">
      <dgm:prSet presAssocID="{E669792A-309C-4F4A-852F-FB7FCC738B60}" presName="rootText1" presStyleLbl="node0" presStyleIdx="0" presStyleCnt="1">
        <dgm:presLayoutVars>
          <dgm:chPref val="3"/>
        </dgm:presLayoutVars>
      </dgm:prSet>
      <dgm:spPr/>
    </dgm:pt>
    <dgm:pt modelId="{088FCB59-BCE6-463B-A094-F45FDA0F2D63}" type="pres">
      <dgm:prSet presAssocID="{E669792A-309C-4F4A-852F-FB7FCC738B60}" presName="rootConnector1" presStyleLbl="node1" presStyleIdx="0" presStyleCnt="0"/>
      <dgm:spPr/>
    </dgm:pt>
    <dgm:pt modelId="{451AE489-BCDE-4E87-A3CA-6F286012356D}" type="pres">
      <dgm:prSet presAssocID="{E669792A-309C-4F4A-852F-FB7FCC738B60}" presName="hierChild2" presStyleCnt="0"/>
      <dgm:spPr/>
    </dgm:pt>
    <dgm:pt modelId="{42524797-A8E1-4963-B831-8209C5369F50}" type="pres">
      <dgm:prSet presAssocID="{DCC0C67F-89CB-4E4C-B631-9B57738B1780}" presName="Name37" presStyleLbl="parChTrans1D2" presStyleIdx="0" presStyleCnt="8"/>
      <dgm:spPr/>
    </dgm:pt>
    <dgm:pt modelId="{2400AFA7-8D33-40B5-BF42-26481D3E86B7}" type="pres">
      <dgm:prSet presAssocID="{EC3E181F-E799-4CD8-8017-7B5348066D9C}" presName="hierRoot2" presStyleCnt="0">
        <dgm:presLayoutVars>
          <dgm:hierBranch val="init"/>
        </dgm:presLayoutVars>
      </dgm:prSet>
      <dgm:spPr/>
    </dgm:pt>
    <dgm:pt modelId="{EC764B4E-7A5F-4384-B996-D70A97F573FB}" type="pres">
      <dgm:prSet presAssocID="{EC3E181F-E799-4CD8-8017-7B5348066D9C}" presName="rootComposite" presStyleCnt="0"/>
      <dgm:spPr/>
    </dgm:pt>
    <dgm:pt modelId="{6E6BAF46-54EF-49DD-91F3-18859C6925FD}" type="pres">
      <dgm:prSet presAssocID="{EC3E181F-E799-4CD8-8017-7B5348066D9C}" presName="rootText" presStyleLbl="node2" presStyleIdx="0" presStyleCnt="6">
        <dgm:presLayoutVars>
          <dgm:chPref val="3"/>
        </dgm:presLayoutVars>
      </dgm:prSet>
      <dgm:spPr/>
    </dgm:pt>
    <dgm:pt modelId="{87BF81C6-04AC-4E0D-940C-0437AD3A4444}" type="pres">
      <dgm:prSet presAssocID="{EC3E181F-E799-4CD8-8017-7B5348066D9C}" presName="rootConnector" presStyleLbl="node2" presStyleIdx="0" presStyleCnt="6"/>
      <dgm:spPr/>
    </dgm:pt>
    <dgm:pt modelId="{E8CB1D11-43D7-4C65-A748-6AACE4D72C0A}" type="pres">
      <dgm:prSet presAssocID="{EC3E181F-E799-4CD8-8017-7B5348066D9C}" presName="hierChild4" presStyleCnt="0"/>
      <dgm:spPr/>
    </dgm:pt>
    <dgm:pt modelId="{A07382FF-C55F-410A-B0FC-E20852E9F1BA}" type="pres">
      <dgm:prSet presAssocID="{EC3E181F-E799-4CD8-8017-7B5348066D9C}" presName="hierChild5" presStyleCnt="0"/>
      <dgm:spPr/>
    </dgm:pt>
    <dgm:pt modelId="{3985FC70-AA06-4BB3-9BCB-49C42B002FEF}" type="pres">
      <dgm:prSet presAssocID="{4D204955-15BF-48AA-BE20-25D4A4774D0D}" presName="Name37" presStyleLbl="parChTrans1D2" presStyleIdx="1" presStyleCnt="8"/>
      <dgm:spPr/>
    </dgm:pt>
    <dgm:pt modelId="{F1126B14-658E-4BE0-8F85-213119F824EF}" type="pres">
      <dgm:prSet presAssocID="{56ED936B-DBB5-405F-9B50-50CE404F27BE}" presName="hierRoot2" presStyleCnt="0">
        <dgm:presLayoutVars>
          <dgm:hierBranch val="init"/>
        </dgm:presLayoutVars>
      </dgm:prSet>
      <dgm:spPr/>
    </dgm:pt>
    <dgm:pt modelId="{585E50C0-9162-49DA-806C-9317174A3298}" type="pres">
      <dgm:prSet presAssocID="{56ED936B-DBB5-405F-9B50-50CE404F27BE}" presName="rootComposite" presStyleCnt="0"/>
      <dgm:spPr/>
    </dgm:pt>
    <dgm:pt modelId="{E261EEFD-FC29-4F2F-AC8F-78E1FD19083A}" type="pres">
      <dgm:prSet presAssocID="{56ED936B-DBB5-405F-9B50-50CE404F27BE}" presName="rootText" presStyleLbl="node2" presStyleIdx="1" presStyleCnt="6">
        <dgm:presLayoutVars>
          <dgm:chPref val="3"/>
        </dgm:presLayoutVars>
      </dgm:prSet>
      <dgm:spPr/>
    </dgm:pt>
    <dgm:pt modelId="{B8FDB358-AA06-48F0-91C3-5B1288E2E26C}" type="pres">
      <dgm:prSet presAssocID="{56ED936B-DBB5-405F-9B50-50CE404F27BE}" presName="rootConnector" presStyleLbl="node2" presStyleIdx="1" presStyleCnt="6"/>
      <dgm:spPr/>
    </dgm:pt>
    <dgm:pt modelId="{D7019018-C0A6-4800-A7CE-72E9560F1341}" type="pres">
      <dgm:prSet presAssocID="{56ED936B-DBB5-405F-9B50-50CE404F27BE}" presName="hierChild4" presStyleCnt="0"/>
      <dgm:spPr/>
    </dgm:pt>
    <dgm:pt modelId="{A0486EDA-FF08-468B-A407-12DD56F152C0}" type="pres">
      <dgm:prSet presAssocID="{56ED936B-DBB5-405F-9B50-50CE404F27BE}" presName="hierChild5" presStyleCnt="0"/>
      <dgm:spPr/>
    </dgm:pt>
    <dgm:pt modelId="{9540A094-8D3F-4B8F-AFE8-783AEBDF57CB}" type="pres">
      <dgm:prSet presAssocID="{A8133676-E1C2-4C43-A9D5-F4C20924268F}" presName="Name37" presStyleLbl="parChTrans1D2" presStyleIdx="2" presStyleCnt="8"/>
      <dgm:spPr/>
    </dgm:pt>
    <dgm:pt modelId="{0373E2F1-FA51-4743-A697-7DAAFDF804A3}" type="pres">
      <dgm:prSet presAssocID="{08D2B8E5-C48F-40EC-9422-7C61E2903955}" presName="hierRoot2" presStyleCnt="0">
        <dgm:presLayoutVars>
          <dgm:hierBranch val="init"/>
        </dgm:presLayoutVars>
      </dgm:prSet>
      <dgm:spPr/>
    </dgm:pt>
    <dgm:pt modelId="{DF996137-DFE5-4703-ADBA-F316D58095CB}" type="pres">
      <dgm:prSet presAssocID="{08D2B8E5-C48F-40EC-9422-7C61E2903955}" presName="rootComposite" presStyleCnt="0"/>
      <dgm:spPr/>
    </dgm:pt>
    <dgm:pt modelId="{E1A61D80-4F98-43AE-B460-CD82C1757E54}" type="pres">
      <dgm:prSet presAssocID="{08D2B8E5-C48F-40EC-9422-7C61E2903955}" presName="rootText" presStyleLbl="node2" presStyleIdx="2" presStyleCnt="6">
        <dgm:presLayoutVars>
          <dgm:chPref val="3"/>
        </dgm:presLayoutVars>
      </dgm:prSet>
      <dgm:spPr/>
    </dgm:pt>
    <dgm:pt modelId="{1AD6E4D8-91E6-4710-B6D2-9BE753D79184}" type="pres">
      <dgm:prSet presAssocID="{08D2B8E5-C48F-40EC-9422-7C61E2903955}" presName="rootConnector" presStyleLbl="node2" presStyleIdx="2" presStyleCnt="6"/>
      <dgm:spPr/>
    </dgm:pt>
    <dgm:pt modelId="{1BC6643A-E4F0-4479-B077-8416DAE0D7C4}" type="pres">
      <dgm:prSet presAssocID="{08D2B8E5-C48F-40EC-9422-7C61E2903955}" presName="hierChild4" presStyleCnt="0"/>
      <dgm:spPr/>
    </dgm:pt>
    <dgm:pt modelId="{F4766A91-72AA-40F8-A20D-8C76C97F5DF8}" type="pres">
      <dgm:prSet presAssocID="{08D2B8E5-C48F-40EC-9422-7C61E2903955}" presName="hierChild5" presStyleCnt="0"/>
      <dgm:spPr/>
    </dgm:pt>
    <dgm:pt modelId="{D5F48DE3-BEB0-436F-9150-56749099B101}" type="pres">
      <dgm:prSet presAssocID="{AF1DB128-ECE4-4203-84CF-69118A2AB561}" presName="Name37" presStyleLbl="parChTrans1D2" presStyleIdx="3" presStyleCnt="8"/>
      <dgm:spPr/>
    </dgm:pt>
    <dgm:pt modelId="{774EF6EC-5A1B-4E11-8797-E6824769BB78}" type="pres">
      <dgm:prSet presAssocID="{993A0649-22D0-4CE3-BF0F-06B10D356CC6}" presName="hierRoot2" presStyleCnt="0">
        <dgm:presLayoutVars>
          <dgm:hierBranch val="init"/>
        </dgm:presLayoutVars>
      </dgm:prSet>
      <dgm:spPr/>
    </dgm:pt>
    <dgm:pt modelId="{5DB625E2-9B4E-42D0-8E64-F4BA8CCBA213}" type="pres">
      <dgm:prSet presAssocID="{993A0649-22D0-4CE3-BF0F-06B10D356CC6}" presName="rootComposite" presStyleCnt="0"/>
      <dgm:spPr/>
    </dgm:pt>
    <dgm:pt modelId="{F77B4630-390B-45DD-A032-9D1F226EFCC6}" type="pres">
      <dgm:prSet presAssocID="{993A0649-22D0-4CE3-BF0F-06B10D356CC6}" presName="rootText" presStyleLbl="node2" presStyleIdx="3" presStyleCnt="6">
        <dgm:presLayoutVars>
          <dgm:chPref val="3"/>
        </dgm:presLayoutVars>
      </dgm:prSet>
      <dgm:spPr/>
    </dgm:pt>
    <dgm:pt modelId="{17838EC3-16DA-47F2-B5FE-C70395685F72}" type="pres">
      <dgm:prSet presAssocID="{993A0649-22D0-4CE3-BF0F-06B10D356CC6}" presName="rootConnector" presStyleLbl="node2" presStyleIdx="3" presStyleCnt="6"/>
      <dgm:spPr/>
    </dgm:pt>
    <dgm:pt modelId="{7EC1BB7C-3F60-41E0-8327-B13422A3A485}" type="pres">
      <dgm:prSet presAssocID="{993A0649-22D0-4CE3-BF0F-06B10D356CC6}" presName="hierChild4" presStyleCnt="0"/>
      <dgm:spPr/>
    </dgm:pt>
    <dgm:pt modelId="{08376E0D-A8DA-4B21-B207-EC25848D1C2A}" type="pres">
      <dgm:prSet presAssocID="{993A0649-22D0-4CE3-BF0F-06B10D356CC6}" presName="hierChild5" presStyleCnt="0"/>
      <dgm:spPr/>
    </dgm:pt>
    <dgm:pt modelId="{58A97C92-747B-49CC-8FF6-D3E7C0CA2906}" type="pres">
      <dgm:prSet presAssocID="{4CDE91FA-56B7-4A7F-B6F2-404B9C56DE2B}" presName="Name37" presStyleLbl="parChTrans1D2" presStyleIdx="4" presStyleCnt="8"/>
      <dgm:spPr/>
    </dgm:pt>
    <dgm:pt modelId="{886EA149-1D9A-4621-B5FB-E89CC24AEE00}" type="pres">
      <dgm:prSet presAssocID="{9594E9FB-B57F-463C-A1DC-217E194F2F2B}" presName="hierRoot2" presStyleCnt="0">
        <dgm:presLayoutVars>
          <dgm:hierBranch val="init"/>
        </dgm:presLayoutVars>
      </dgm:prSet>
      <dgm:spPr/>
    </dgm:pt>
    <dgm:pt modelId="{BA2014BA-629B-49A9-B3D6-EB5AA51D8C54}" type="pres">
      <dgm:prSet presAssocID="{9594E9FB-B57F-463C-A1DC-217E194F2F2B}" presName="rootComposite" presStyleCnt="0"/>
      <dgm:spPr/>
    </dgm:pt>
    <dgm:pt modelId="{18BEFA3E-5E4E-4318-94D5-6589F4B5B393}" type="pres">
      <dgm:prSet presAssocID="{9594E9FB-B57F-463C-A1DC-217E194F2F2B}" presName="rootText" presStyleLbl="node2" presStyleIdx="4" presStyleCnt="6">
        <dgm:presLayoutVars>
          <dgm:chPref val="3"/>
        </dgm:presLayoutVars>
      </dgm:prSet>
      <dgm:spPr/>
    </dgm:pt>
    <dgm:pt modelId="{5E079841-DEFA-43D7-BB7A-9D8448888542}" type="pres">
      <dgm:prSet presAssocID="{9594E9FB-B57F-463C-A1DC-217E194F2F2B}" presName="rootConnector" presStyleLbl="node2" presStyleIdx="4" presStyleCnt="6"/>
      <dgm:spPr/>
    </dgm:pt>
    <dgm:pt modelId="{0C42C489-E56B-486D-83D7-5F53F00FB1FF}" type="pres">
      <dgm:prSet presAssocID="{9594E9FB-B57F-463C-A1DC-217E194F2F2B}" presName="hierChild4" presStyleCnt="0"/>
      <dgm:spPr/>
    </dgm:pt>
    <dgm:pt modelId="{1160F6B2-A576-4CCC-B252-4239FD1F2B4D}" type="pres">
      <dgm:prSet presAssocID="{9594E9FB-B57F-463C-A1DC-217E194F2F2B}" presName="hierChild5" presStyleCnt="0"/>
      <dgm:spPr/>
    </dgm:pt>
    <dgm:pt modelId="{57E024BC-C199-4C14-9131-B8E5322EDE74}" type="pres">
      <dgm:prSet presAssocID="{999D4CE0-2E5E-44DA-838D-3AB840F4BEA3}" presName="Name37" presStyleLbl="parChTrans1D2" presStyleIdx="5" presStyleCnt="8"/>
      <dgm:spPr/>
    </dgm:pt>
    <dgm:pt modelId="{EBE80036-212D-46D5-AC54-8FA44C8BDA5F}" type="pres">
      <dgm:prSet presAssocID="{1E0C263A-ACE5-473F-B925-8D371AB6CB8A}" presName="hierRoot2" presStyleCnt="0">
        <dgm:presLayoutVars>
          <dgm:hierBranch val="init"/>
        </dgm:presLayoutVars>
      </dgm:prSet>
      <dgm:spPr/>
    </dgm:pt>
    <dgm:pt modelId="{B26DC726-B566-4E99-AC1F-75C3A32E4401}" type="pres">
      <dgm:prSet presAssocID="{1E0C263A-ACE5-473F-B925-8D371AB6CB8A}" presName="rootComposite" presStyleCnt="0"/>
      <dgm:spPr/>
    </dgm:pt>
    <dgm:pt modelId="{445424D0-1AF5-4AB5-8959-43F4FDD7CAD9}" type="pres">
      <dgm:prSet presAssocID="{1E0C263A-ACE5-473F-B925-8D371AB6CB8A}" presName="rootText" presStyleLbl="node2" presStyleIdx="5" presStyleCnt="6">
        <dgm:presLayoutVars>
          <dgm:chPref val="3"/>
        </dgm:presLayoutVars>
      </dgm:prSet>
      <dgm:spPr/>
    </dgm:pt>
    <dgm:pt modelId="{220DBE48-3D2F-4F44-8EC1-C27FA6588099}" type="pres">
      <dgm:prSet presAssocID="{1E0C263A-ACE5-473F-B925-8D371AB6CB8A}" presName="rootConnector" presStyleLbl="node2" presStyleIdx="5" presStyleCnt="6"/>
      <dgm:spPr/>
    </dgm:pt>
    <dgm:pt modelId="{25E997D3-7E2B-4AEC-8120-017C1AAC8C2E}" type="pres">
      <dgm:prSet presAssocID="{1E0C263A-ACE5-473F-B925-8D371AB6CB8A}" presName="hierChild4" presStyleCnt="0"/>
      <dgm:spPr/>
    </dgm:pt>
    <dgm:pt modelId="{5897FD42-F825-4268-BBAC-710B91ED121F}" type="pres">
      <dgm:prSet presAssocID="{1E0C263A-ACE5-473F-B925-8D371AB6CB8A}" presName="hierChild5" presStyleCnt="0"/>
      <dgm:spPr/>
    </dgm:pt>
    <dgm:pt modelId="{1299D23B-AB89-4291-A4E1-D0581992AB16}" type="pres">
      <dgm:prSet presAssocID="{E669792A-309C-4F4A-852F-FB7FCC738B60}" presName="hierChild3" presStyleCnt="0"/>
      <dgm:spPr/>
    </dgm:pt>
    <dgm:pt modelId="{F8D5B740-D233-44EC-B3C3-547477DED077}" type="pres">
      <dgm:prSet presAssocID="{A9DD7E03-2CD6-4258-8CA6-C2B1D5D31E75}" presName="Name111" presStyleLbl="parChTrans1D2" presStyleIdx="6" presStyleCnt="8"/>
      <dgm:spPr/>
    </dgm:pt>
    <dgm:pt modelId="{C36B0817-C8D1-4576-929D-F1FC9EFFAE89}" type="pres">
      <dgm:prSet presAssocID="{5D94E198-B5D4-4736-B5F4-618DEC5B82E3}" presName="hierRoot3" presStyleCnt="0">
        <dgm:presLayoutVars>
          <dgm:hierBranch val="init"/>
        </dgm:presLayoutVars>
      </dgm:prSet>
      <dgm:spPr/>
    </dgm:pt>
    <dgm:pt modelId="{84676581-4064-45BD-A72E-0462459A8834}" type="pres">
      <dgm:prSet presAssocID="{5D94E198-B5D4-4736-B5F4-618DEC5B82E3}" presName="rootComposite3" presStyleCnt="0"/>
      <dgm:spPr/>
    </dgm:pt>
    <dgm:pt modelId="{503BD133-0F8B-45A8-BCA9-CFF9E3A7BA84}" type="pres">
      <dgm:prSet presAssocID="{5D94E198-B5D4-4736-B5F4-618DEC5B82E3}" presName="rootText3" presStyleLbl="asst1" presStyleIdx="0" presStyleCnt="2" custScaleX="260716">
        <dgm:presLayoutVars>
          <dgm:chPref val="3"/>
        </dgm:presLayoutVars>
      </dgm:prSet>
      <dgm:spPr/>
    </dgm:pt>
    <dgm:pt modelId="{2E1BDD5E-EE94-42E0-8700-2E2B42E8C6E6}" type="pres">
      <dgm:prSet presAssocID="{5D94E198-B5D4-4736-B5F4-618DEC5B82E3}" presName="rootConnector3" presStyleLbl="asst1" presStyleIdx="0" presStyleCnt="2"/>
      <dgm:spPr/>
    </dgm:pt>
    <dgm:pt modelId="{8BED7330-9C18-46B6-9763-55C6B259ADE4}" type="pres">
      <dgm:prSet presAssocID="{5D94E198-B5D4-4736-B5F4-618DEC5B82E3}" presName="hierChild6" presStyleCnt="0"/>
      <dgm:spPr/>
    </dgm:pt>
    <dgm:pt modelId="{22AF3E20-72CB-4903-BCDE-4401A53ED86E}" type="pres">
      <dgm:prSet presAssocID="{5D94E198-B5D4-4736-B5F4-618DEC5B82E3}" presName="hierChild7" presStyleCnt="0"/>
      <dgm:spPr/>
    </dgm:pt>
    <dgm:pt modelId="{F9055E92-FED8-4FF9-9004-0F9D87C88610}" type="pres">
      <dgm:prSet presAssocID="{B922C5F7-B5BF-4A79-9EDD-632BA7559B82}" presName="Name111" presStyleLbl="parChTrans1D2" presStyleIdx="7" presStyleCnt="8"/>
      <dgm:spPr/>
    </dgm:pt>
    <dgm:pt modelId="{B43EED84-B5D7-4777-8380-4B7E15DC244B}" type="pres">
      <dgm:prSet presAssocID="{49084EE2-6A8B-4C27-81B0-29CF1389F04D}" presName="hierRoot3" presStyleCnt="0">
        <dgm:presLayoutVars>
          <dgm:hierBranch val="init"/>
        </dgm:presLayoutVars>
      </dgm:prSet>
      <dgm:spPr/>
    </dgm:pt>
    <dgm:pt modelId="{A2D35274-BAA0-4773-8119-DDC1A6DBC172}" type="pres">
      <dgm:prSet presAssocID="{49084EE2-6A8B-4C27-81B0-29CF1389F04D}" presName="rootComposite3" presStyleCnt="0"/>
      <dgm:spPr/>
    </dgm:pt>
    <dgm:pt modelId="{D176F87F-2C01-4A72-9479-D7FEE24FBF86}" type="pres">
      <dgm:prSet presAssocID="{49084EE2-6A8B-4C27-81B0-29CF1389F04D}" presName="rootText3" presStyleLbl="asst1" presStyleIdx="1" presStyleCnt="2" custScaleX="147921">
        <dgm:presLayoutVars>
          <dgm:chPref val="3"/>
        </dgm:presLayoutVars>
      </dgm:prSet>
      <dgm:spPr/>
    </dgm:pt>
    <dgm:pt modelId="{7BCF1287-AC8E-47DC-8F14-1795BFD7AA01}" type="pres">
      <dgm:prSet presAssocID="{49084EE2-6A8B-4C27-81B0-29CF1389F04D}" presName="rootConnector3" presStyleLbl="asst1" presStyleIdx="1" presStyleCnt="2"/>
      <dgm:spPr/>
    </dgm:pt>
    <dgm:pt modelId="{B1CF6A26-7C27-47E6-97DC-07466384A07C}" type="pres">
      <dgm:prSet presAssocID="{49084EE2-6A8B-4C27-81B0-29CF1389F04D}" presName="hierChild6" presStyleCnt="0"/>
      <dgm:spPr/>
    </dgm:pt>
    <dgm:pt modelId="{DEC16481-385C-4DE7-A8F6-5BE0B5C62D95}" type="pres">
      <dgm:prSet presAssocID="{49084EE2-6A8B-4C27-81B0-29CF1389F04D}" presName="hierChild7" presStyleCnt="0"/>
      <dgm:spPr/>
    </dgm:pt>
  </dgm:ptLst>
  <dgm:cxnLst>
    <dgm:cxn modelId="{E9D6A610-B837-764C-8663-654D7E55CBDB}" type="presOf" srcId="{999D4CE0-2E5E-44DA-838D-3AB840F4BEA3}" destId="{57E024BC-C199-4C14-9131-B8E5322EDE74}" srcOrd="0" destOrd="0" presId="urn:microsoft.com/office/officeart/2005/8/layout/orgChart1"/>
    <dgm:cxn modelId="{C193B115-0278-4592-968F-7BA4EFEC3688}" srcId="{E669792A-309C-4F4A-852F-FB7FCC738B60}" destId="{9594E9FB-B57F-463C-A1DC-217E194F2F2B}" srcOrd="6" destOrd="0" parTransId="{4CDE91FA-56B7-4A7F-B6F2-404B9C56DE2B}" sibTransId="{41DF129A-A7E6-4A05-8B05-F6E112CACB9E}"/>
    <dgm:cxn modelId="{38F70C16-A6F2-A947-A961-841FB49FD0AF}" type="presOf" srcId="{9594E9FB-B57F-463C-A1DC-217E194F2F2B}" destId="{18BEFA3E-5E4E-4318-94D5-6589F4B5B393}" srcOrd="0" destOrd="0" presId="urn:microsoft.com/office/officeart/2005/8/layout/orgChart1"/>
    <dgm:cxn modelId="{1611FF1B-10E2-5148-B4E7-9D79E1B309A7}" type="presOf" srcId="{AF1DB128-ECE4-4203-84CF-69118A2AB561}" destId="{D5F48DE3-BEB0-436F-9150-56749099B101}" srcOrd="0" destOrd="0" presId="urn:microsoft.com/office/officeart/2005/8/layout/orgChart1"/>
    <dgm:cxn modelId="{39BB4A33-771D-7E4C-997E-77DCF9B5BD7A}" type="presOf" srcId="{DCC0C67F-89CB-4E4C-B631-9B57738B1780}" destId="{42524797-A8E1-4963-B831-8209C5369F50}" srcOrd="0" destOrd="0" presId="urn:microsoft.com/office/officeart/2005/8/layout/orgChart1"/>
    <dgm:cxn modelId="{5EDBBC40-4C44-4C5B-9C8F-FC33612B4A53}" srcId="{E669792A-309C-4F4A-852F-FB7FCC738B60}" destId="{EC3E181F-E799-4CD8-8017-7B5348066D9C}" srcOrd="2" destOrd="0" parTransId="{DCC0C67F-89CB-4E4C-B631-9B57738B1780}" sibTransId="{D229C922-47B5-4143-9EAB-9D2FFC0AEF14}"/>
    <dgm:cxn modelId="{708CB95B-64FB-AD48-8F68-1488424EFE33}" type="presOf" srcId="{B922C5F7-B5BF-4A79-9EDD-632BA7559B82}" destId="{F9055E92-FED8-4FF9-9004-0F9D87C88610}" srcOrd="0" destOrd="0" presId="urn:microsoft.com/office/officeart/2005/8/layout/orgChart1"/>
    <dgm:cxn modelId="{67ED4160-E735-410C-AE2B-E9A689E41AE0}" srcId="{E669792A-309C-4F4A-852F-FB7FCC738B60}" destId="{1E0C263A-ACE5-473F-B925-8D371AB6CB8A}" srcOrd="7" destOrd="0" parTransId="{999D4CE0-2E5E-44DA-838D-3AB840F4BEA3}" sibTransId="{54F87FAD-6C2F-4A72-9F9A-8421CC5B9ED5}"/>
    <dgm:cxn modelId="{F54A7B61-ED58-41DA-992A-AD58CB36DBD2}" srcId="{0A70E9A4-4737-46ED-9601-B867FC9B3660}" destId="{E669792A-309C-4F4A-852F-FB7FCC738B60}" srcOrd="0" destOrd="0" parTransId="{6CAAF95D-79A9-4DFA-B0C8-87A923C55A44}" sibTransId="{19317FF8-8647-45D7-96D4-8A51B5BAD4A5}"/>
    <dgm:cxn modelId="{3FB71C49-695E-3843-9C27-3B1914709B39}" type="presOf" srcId="{A9DD7E03-2CD6-4258-8CA6-C2B1D5D31E75}" destId="{F8D5B740-D233-44EC-B3C3-547477DED077}" srcOrd="0" destOrd="0" presId="urn:microsoft.com/office/officeart/2005/8/layout/orgChart1"/>
    <dgm:cxn modelId="{7E9EFC4B-DC62-F34F-8F17-2939F35FCCB1}" type="presOf" srcId="{56ED936B-DBB5-405F-9B50-50CE404F27BE}" destId="{B8FDB358-AA06-48F0-91C3-5B1288E2E26C}" srcOrd="1" destOrd="0" presId="urn:microsoft.com/office/officeart/2005/8/layout/orgChart1"/>
    <dgm:cxn modelId="{9E027455-0383-5C40-92B6-40C7CEF9971A}" type="presOf" srcId="{08D2B8E5-C48F-40EC-9422-7C61E2903955}" destId="{E1A61D80-4F98-43AE-B460-CD82C1757E54}" srcOrd="0" destOrd="0" presId="urn:microsoft.com/office/officeart/2005/8/layout/orgChart1"/>
    <dgm:cxn modelId="{9525E855-8FA1-0641-A08A-AD06A696673A}" type="presOf" srcId="{EC3E181F-E799-4CD8-8017-7B5348066D9C}" destId="{87BF81C6-04AC-4E0D-940C-0437AD3A4444}" srcOrd="1" destOrd="0" presId="urn:microsoft.com/office/officeart/2005/8/layout/orgChart1"/>
    <dgm:cxn modelId="{AAA88876-9235-6247-9D8A-6B7C2B3C602B}" type="presOf" srcId="{0A70E9A4-4737-46ED-9601-B867FC9B3660}" destId="{B7170151-FAE8-4A4E-A81C-D8B77843EA3C}" srcOrd="0" destOrd="0" presId="urn:microsoft.com/office/officeart/2005/8/layout/orgChart1"/>
    <dgm:cxn modelId="{49A4BA56-6E5B-D544-853E-E9F4DC28143C}" type="presOf" srcId="{993A0649-22D0-4CE3-BF0F-06B10D356CC6}" destId="{F77B4630-390B-45DD-A032-9D1F226EFCC6}" srcOrd="0" destOrd="0" presId="urn:microsoft.com/office/officeart/2005/8/layout/orgChart1"/>
    <dgm:cxn modelId="{33EFFB5A-A49A-064E-818E-6E46440BDA9A}" type="presOf" srcId="{993A0649-22D0-4CE3-BF0F-06B10D356CC6}" destId="{17838EC3-16DA-47F2-B5FE-C70395685F72}" srcOrd="1" destOrd="0" presId="urn:microsoft.com/office/officeart/2005/8/layout/orgChart1"/>
    <dgm:cxn modelId="{511B9682-33C8-C449-8B82-4E537504C555}" type="presOf" srcId="{4D204955-15BF-48AA-BE20-25D4A4774D0D}" destId="{3985FC70-AA06-4BB3-9BCB-49C42B002FEF}" srcOrd="0" destOrd="0" presId="urn:microsoft.com/office/officeart/2005/8/layout/orgChart1"/>
    <dgm:cxn modelId="{31E72D84-EDD9-4214-B9F8-612FDC4C9C5D}" srcId="{E669792A-309C-4F4A-852F-FB7FCC738B60}" destId="{56ED936B-DBB5-405F-9B50-50CE404F27BE}" srcOrd="3" destOrd="0" parTransId="{4D204955-15BF-48AA-BE20-25D4A4774D0D}" sibTransId="{7F17CF57-98F2-4746-9F99-2089C1889B22}"/>
    <dgm:cxn modelId="{EBE8E686-FE15-7846-A70F-3BF802CBBFDF}" type="presOf" srcId="{1E0C263A-ACE5-473F-B925-8D371AB6CB8A}" destId="{445424D0-1AF5-4AB5-8959-43F4FDD7CAD9}" srcOrd="0" destOrd="0" presId="urn:microsoft.com/office/officeart/2005/8/layout/orgChart1"/>
    <dgm:cxn modelId="{91EB8E91-2032-B240-84E0-869F97964568}" type="presOf" srcId="{5D94E198-B5D4-4736-B5F4-618DEC5B82E3}" destId="{503BD133-0F8B-45A8-BCA9-CFF9E3A7BA84}" srcOrd="0" destOrd="0" presId="urn:microsoft.com/office/officeart/2005/8/layout/orgChart1"/>
    <dgm:cxn modelId="{949D809B-8630-41D8-B751-41D4805A3BEC}" srcId="{E669792A-309C-4F4A-852F-FB7FCC738B60}" destId="{49084EE2-6A8B-4C27-81B0-29CF1389F04D}" srcOrd="1" destOrd="0" parTransId="{B922C5F7-B5BF-4A79-9EDD-632BA7559B82}" sibTransId="{095F49A2-F79B-4605-A117-51E7471A20D6}"/>
    <dgm:cxn modelId="{34879CA0-DEA8-194F-80B0-21F64688192F}" type="presOf" srcId="{49084EE2-6A8B-4C27-81B0-29CF1389F04D}" destId="{D176F87F-2C01-4A72-9479-D7FEE24FBF86}" srcOrd="0" destOrd="0" presId="urn:microsoft.com/office/officeart/2005/8/layout/orgChart1"/>
    <dgm:cxn modelId="{B7995FA1-4385-EB47-BA57-E631479A99D7}" type="presOf" srcId="{08D2B8E5-C48F-40EC-9422-7C61E2903955}" destId="{1AD6E4D8-91E6-4710-B6D2-9BE753D79184}" srcOrd="1" destOrd="0" presId="urn:microsoft.com/office/officeart/2005/8/layout/orgChart1"/>
    <dgm:cxn modelId="{FF9300A9-A25E-401C-B6C6-02F4510602FB}" srcId="{E669792A-309C-4F4A-852F-FB7FCC738B60}" destId="{5D94E198-B5D4-4736-B5F4-618DEC5B82E3}" srcOrd="0" destOrd="0" parTransId="{A9DD7E03-2CD6-4258-8CA6-C2B1D5D31E75}" sibTransId="{B00407B4-2405-478C-A5B4-B500C91DDDCE}"/>
    <dgm:cxn modelId="{4914C8AE-FA7C-E240-A07F-C2A97ED86195}" type="presOf" srcId="{A8133676-E1C2-4C43-A9D5-F4C20924268F}" destId="{9540A094-8D3F-4B8F-AFE8-783AEBDF57CB}" srcOrd="0" destOrd="0" presId="urn:microsoft.com/office/officeart/2005/8/layout/orgChart1"/>
    <dgm:cxn modelId="{6BB64CBD-0D0B-BD4A-8C81-D2602A4CE9BA}" type="presOf" srcId="{9594E9FB-B57F-463C-A1DC-217E194F2F2B}" destId="{5E079841-DEFA-43D7-BB7A-9D8448888542}" srcOrd="1" destOrd="0" presId="urn:microsoft.com/office/officeart/2005/8/layout/orgChart1"/>
    <dgm:cxn modelId="{3E5960C6-62D5-2C4C-81C2-60E975D241DB}" type="presOf" srcId="{56ED936B-DBB5-405F-9B50-50CE404F27BE}" destId="{E261EEFD-FC29-4F2F-AC8F-78E1FD19083A}" srcOrd="0" destOrd="0" presId="urn:microsoft.com/office/officeart/2005/8/layout/orgChart1"/>
    <dgm:cxn modelId="{3FC595C7-8EAE-9A4E-88FC-C7208E493737}" type="presOf" srcId="{49084EE2-6A8B-4C27-81B0-29CF1389F04D}" destId="{7BCF1287-AC8E-47DC-8F14-1795BFD7AA01}" srcOrd="1" destOrd="0" presId="urn:microsoft.com/office/officeart/2005/8/layout/orgChart1"/>
    <dgm:cxn modelId="{DADA4DC9-5304-4146-BFBE-2F11AA379C79}" type="presOf" srcId="{5D94E198-B5D4-4736-B5F4-618DEC5B82E3}" destId="{2E1BDD5E-EE94-42E0-8700-2E2B42E8C6E6}" srcOrd="1" destOrd="0" presId="urn:microsoft.com/office/officeart/2005/8/layout/orgChart1"/>
    <dgm:cxn modelId="{9B9E68D6-BE8A-1340-AB2D-CC737AB96674}" type="presOf" srcId="{1E0C263A-ACE5-473F-B925-8D371AB6CB8A}" destId="{220DBE48-3D2F-4F44-8EC1-C27FA6588099}" srcOrd="1" destOrd="0" presId="urn:microsoft.com/office/officeart/2005/8/layout/orgChart1"/>
    <dgm:cxn modelId="{27BA47D7-6582-0C49-8570-A9E446CCE11D}" type="presOf" srcId="{EC3E181F-E799-4CD8-8017-7B5348066D9C}" destId="{6E6BAF46-54EF-49DD-91F3-18859C6925FD}" srcOrd="0" destOrd="0" presId="urn:microsoft.com/office/officeart/2005/8/layout/orgChart1"/>
    <dgm:cxn modelId="{CC0F01DD-6430-4829-990E-F87EE5DEF53F}" srcId="{E669792A-309C-4F4A-852F-FB7FCC738B60}" destId="{993A0649-22D0-4CE3-BF0F-06B10D356CC6}" srcOrd="5" destOrd="0" parTransId="{AF1DB128-ECE4-4203-84CF-69118A2AB561}" sibTransId="{B70EF9A5-2808-4125-83D4-B6ECAF501746}"/>
    <dgm:cxn modelId="{7EDC75DD-8E89-45B5-A8E3-849C6A7F4196}" srcId="{E669792A-309C-4F4A-852F-FB7FCC738B60}" destId="{08D2B8E5-C48F-40EC-9422-7C61E2903955}" srcOrd="4" destOrd="0" parTransId="{A8133676-E1C2-4C43-A9D5-F4C20924268F}" sibTransId="{3DB51965-4170-4CC1-9022-E87DA1CA90F6}"/>
    <dgm:cxn modelId="{2CF62FE5-19CA-794F-88C0-30378DC13F1B}" type="presOf" srcId="{E669792A-309C-4F4A-852F-FB7FCC738B60}" destId="{088FCB59-BCE6-463B-A094-F45FDA0F2D63}" srcOrd="1" destOrd="0" presId="urn:microsoft.com/office/officeart/2005/8/layout/orgChart1"/>
    <dgm:cxn modelId="{347E2AED-5A7A-4A45-9F76-4F489AD77C86}" type="presOf" srcId="{E669792A-309C-4F4A-852F-FB7FCC738B60}" destId="{021296E4-F552-4983-AC53-0300E5D0A59A}" srcOrd="0" destOrd="0" presId="urn:microsoft.com/office/officeart/2005/8/layout/orgChart1"/>
    <dgm:cxn modelId="{AEF023F1-EB1C-6042-A14C-FA71E2544553}" type="presOf" srcId="{4CDE91FA-56B7-4A7F-B6F2-404B9C56DE2B}" destId="{58A97C92-747B-49CC-8FF6-D3E7C0CA2906}" srcOrd="0" destOrd="0" presId="urn:microsoft.com/office/officeart/2005/8/layout/orgChart1"/>
    <dgm:cxn modelId="{3E37F243-1D62-5548-B71F-0B9664F0FB7E}" type="presParOf" srcId="{B7170151-FAE8-4A4E-A81C-D8B77843EA3C}" destId="{E967B46D-528A-44A1-9820-0F442D3F0AD7}" srcOrd="0" destOrd="0" presId="urn:microsoft.com/office/officeart/2005/8/layout/orgChart1"/>
    <dgm:cxn modelId="{436CCEFE-930A-CF4F-9263-20838F738BC2}" type="presParOf" srcId="{E967B46D-528A-44A1-9820-0F442D3F0AD7}" destId="{F5770AD2-70FC-4B32-B663-7AF7A165BA5F}" srcOrd="0" destOrd="0" presId="urn:microsoft.com/office/officeart/2005/8/layout/orgChart1"/>
    <dgm:cxn modelId="{BBADD7FB-EA65-6145-8194-E049BC320B6B}" type="presParOf" srcId="{F5770AD2-70FC-4B32-B663-7AF7A165BA5F}" destId="{021296E4-F552-4983-AC53-0300E5D0A59A}" srcOrd="0" destOrd="0" presId="urn:microsoft.com/office/officeart/2005/8/layout/orgChart1"/>
    <dgm:cxn modelId="{9C147294-C9E5-F54B-BB2F-2931530460C1}" type="presParOf" srcId="{F5770AD2-70FC-4B32-B663-7AF7A165BA5F}" destId="{088FCB59-BCE6-463B-A094-F45FDA0F2D63}" srcOrd="1" destOrd="0" presId="urn:microsoft.com/office/officeart/2005/8/layout/orgChart1"/>
    <dgm:cxn modelId="{D8627AE8-9E5A-9045-8F59-49AB44E28BFA}" type="presParOf" srcId="{E967B46D-528A-44A1-9820-0F442D3F0AD7}" destId="{451AE489-BCDE-4E87-A3CA-6F286012356D}" srcOrd="1" destOrd="0" presId="urn:microsoft.com/office/officeart/2005/8/layout/orgChart1"/>
    <dgm:cxn modelId="{6B2BFFE7-EC09-2443-A539-D93259240C15}" type="presParOf" srcId="{451AE489-BCDE-4E87-A3CA-6F286012356D}" destId="{42524797-A8E1-4963-B831-8209C5369F50}" srcOrd="0" destOrd="0" presId="urn:microsoft.com/office/officeart/2005/8/layout/orgChart1"/>
    <dgm:cxn modelId="{DA941820-507C-7D41-A1B6-91A3ABFCE2F7}" type="presParOf" srcId="{451AE489-BCDE-4E87-A3CA-6F286012356D}" destId="{2400AFA7-8D33-40B5-BF42-26481D3E86B7}" srcOrd="1" destOrd="0" presId="urn:microsoft.com/office/officeart/2005/8/layout/orgChart1"/>
    <dgm:cxn modelId="{43349B9B-3E8E-E646-926C-A9E48B040463}" type="presParOf" srcId="{2400AFA7-8D33-40B5-BF42-26481D3E86B7}" destId="{EC764B4E-7A5F-4384-B996-D70A97F573FB}" srcOrd="0" destOrd="0" presId="urn:microsoft.com/office/officeart/2005/8/layout/orgChart1"/>
    <dgm:cxn modelId="{7C2E7FE6-AE6E-364E-8460-E293CB4ACAEF}" type="presParOf" srcId="{EC764B4E-7A5F-4384-B996-D70A97F573FB}" destId="{6E6BAF46-54EF-49DD-91F3-18859C6925FD}" srcOrd="0" destOrd="0" presId="urn:microsoft.com/office/officeart/2005/8/layout/orgChart1"/>
    <dgm:cxn modelId="{BA2FA8FB-D26F-A74A-A0C2-D6DC2ABFC0DC}" type="presParOf" srcId="{EC764B4E-7A5F-4384-B996-D70A97F573FB}" destId="{87BF81C6-04AC-4E0D-940C-0437AD3A4444}" srcOrd="1" destOrd="0" presId="urn:microsoft.com/office/officeart/2005/8/layout/orgChart1"/>
    <dgm:cxn modelId="{9A7A167A-7E08-4E42-993A-7104C8AE52D7}" type="presParOf" srcId="{2400AFA7-8D33-40B5-BF42-26481D3E86B7}" destId="{E8CB1D11-43D7-4C65-A748-6AACE4D72C0A}" srcOrd="1" destOrd="0" presId="urn:microsoft.com/office/officeart/2005/8/layout/orgChart1"/>
    <dgm:cxn modelId="{3444C217-8793-C74A-A99F-A12CA802F805}" type="presParOf" srcId="{2400AFA7-8D33-40B5-BF42-26481D3E86B7}" destId="{A07382FF-C55F-410A-B0FC-E20852E9F1BA}" srcOrd="2" destOrd="0" presId="urn:microsoft.com/office/officeart/2005/8/layout/orgChart1"/>
    <dgm:cxn modelId="{3CF35324-28BC-0A49-9D57-F07F70DCE740}" type="presParOf" srcId="{451AE489-BCDE-4E87-A3CA-6F286012356D}" destId="{3985FC70-AA06-4BB3-9BCB-49C42B002FEF}" srcOrd="2" destOrd="0" presId="urn:microsoft.com/office/officeart/2005/8/layout/orgChart1"/>
    <dgm:cxn modelId="{21A6FB05-A347-9449-A48F-E9CCBB1B6657}" type="presParOf" srcId="{451AE489-BCDE-4E87-A3CA-6F286012356D}" destId="{F1126B14-658E-4BE0-8F85-213119F824EF}" srcOrd="3" destOrd="0" presId="urn:microsoft.com/office/officeart/2005/8/layout/orgChart1"/>
    <dgm:cxn modelId="{9FBA11D5-2978-A84E-A7C0-D88C4D55CE32}" type="presParOf" srcId="{F1126B14-658E-4BE0-8F85-213119F824EF}" destId="{585E50C0-9162-49DA-806C-9317174A3298}" srcOrd="0" destOrd="0" presId="urn:microsoft.com/office/officeart/2005/8/layout/orgChart1"/>
    <dgm:cxn modelId="{155E9FB7-ACB8-034C-9F30-5AC35B055483}" type="presParOf" srcId="{585E50C0-9162-49DA-806C-9317174A3298}" destId="{E261EEFD-FC29-4F2F-AC8F-78E1FD19083A}" srcOrd="0" destOrd="0" presId="urn:microsoft.com/office/officeart/2005/8/layout/orgChart1"/>
    <dgm:cxn modelId="{12FFF630-F77B-B341-A18F-DD7A9C17CA32}" type="presParOf" srcId="{585E50C0-9162-49DA-806C-9317174A3298}" destId="{B8FDB358-AA06-48F0-91C3-5B1288E2E26C}" srcOrd="1" destOrd="0" presId="urn:microsoft.com/office/officeart/2005/8/layout/orgChart1"/>
    <dgm:cxn modelId="{E09509AA-92A4-1641-B50E-B07493DF8050}" type="presParOf" srcId="{F1126B14-658E-4BE0-8F85-213119F824EF}" destId="{D7019018-C0A6-4800-A7CE-72E9560F1341}" srcOrd="1" destOrd="0" presId="urn:microsoft.com/office/officeart/2005/8/layout/orgChart1"/>
    <dgm:cxn modelId="{8C9CC3BB-D7B7-1247-8213-ABC0F92591DE}" type="presParOf" srcId="{F1126B14-658E-4BE0-8F85-213119F824EF}" destId="{A0486EDA-FF08-468B-A407-12DD56F152C0}" srcOrd="2" destOrd="0" presId="urn:microsoft.com/office/officeart/2005/8/layout/orgChart1"/>
    <dgm:cxn modelId="{E5BDB33F-1D26-654D-BE39-4665C013CE29}" type="presParOf" srcId="{451AE489-BCDE-4E87-A3CA-6F286012356D}" destId="{9540A094-8D3F-4B8F-AFE8-783AEBDF57CB}" srcOrd="4" destOrd="0" presId="urn:microsoft.com/office/officeart/2005/8/layout/orgChart1"/>
    <dgm:cxn modelId="{E718D721-E7E7-7E47-8FFF-A7DC9F682328}" type="presParOf" srcId="{451AE489-BCDE-4E87-A3CA-6F286012356D}" destId="{0373E2F1-FA51-4743-A697-7DAAFDF804A3}" srcOrd="5" destOrd="0" presId="urn:microsoft.com/office/officeart/2005/8/layout/orgChart1"/>
    <dgm:cxn modelId="{594C18D8-C46B-B54D-9512-E075A520EA95}" type="presParOf" srcId="{0373E2F1-FA51-4743-A697-7DAAFDF804A3}" destId="{DF996137-DFE5-4703-ADBA-F316D58095CB}" srcOrd="0" destOrd="0" presId="urn:microsoft.com/office/officeart/2005/8/layout/orgChart1"/>
    <dgm:cxn modelId="{ACE40CD9-7E82-414E-BA78-F22733235472}" type="presParOf" srcId="{DF996137-DFE5-4703-ADBA-F316D58095CB}" destId="{E1A61D80-4F98-43AE-B460-CD82C1757E54}" srcOrd="0" destOrd="0" presId="urn:microsoft.com/office/officeart/2005/8/layout/orgChart1"/>
    <dgm:cxn modelId="{D3CA4F9F-4B22-E947-BF94-425F1017C285}" type="presParOf" srcId="{DF996137-DFE5-4703-ADBA-F316D58095CB}" destId="{1AD6E4D8-91E6-4710-B6D2-9BE753D79184}" srcOrd="1" destOrd="0" presId="urn:microsoft.com/office/officeart/2005/8/layout/orgChart1"/>
    <dgm:cxn modelId="{E31846AF-A950-CE4F-B8B6-ADD1A5FBEAB7}" type="presParOf" srcId="{0373E2F1-FA51-4743-A697-7DAAFDF804A3}" destId="{1BC6643A-E4F0-4479-B077-8416DAE0D7C4}" srcOrd="1" destOrd="0" presId="urn:microsoft.com/office/officeart/2005/8/layout/orgChart1"/>
    <dgm:cxn modelId="{F285BA6A-BECD-6B48-8863-3514969216AD}" type="presParOf" srcId="{0373E2F1-FA51-4743-A697-7DAAFDF804A3}" destId="{F4766A91-72AA-40F8-A20D-8C76C97F5DF8}" srcOrd="2" destOrd="0" presId="urn:microsoft.com/office/officeart/2005/8/layout/orgChart1"/>
    <dgm:cxn modelId="{0D5FB933-0DB1-044C-A704-EF16FE2D21FF}" type="presParOf" srcId="{451AE489-BCDE-4E87-A3CA-6F286012356D}" destId="{D5F48DE3-BEB0-436F-9150-56749099B101}" srcOrd="6" destOrd="0" presId="urn:microsoft.com/office/officeart/2005/8/layout/orgChart1"/>
    <dgm:cxn modelId="{65FD96ED-C476-8448-A76D-8C08209A9A05}" type="presParOf" srcId="{451AE489-BCDE-4E87-A3CA-6F286012356D}" destId="{774EF6EC-5A1B-4E11-8797-E6824769BB78}" srcOrd="7" destOrd="0" presId="urn:microsoft.com/office/officeart/2005/8/layout/orgChart1"/>
    <dgm:cxn modelId="{F899C495-1ACB-6C47-AA37-0C468A6B4328}" type="presParOf" srcId="{774EF6EC-5A1B-4E11-8797-E6824769BB78}" destId="{5DB625E2-9B4E-42D0-8E64-F4BA8CCBA213}" srcOrd="0" destOrd="0" presId="urn:microsoft.com/office/officeart/2005/8/layout/orgChart1"/>
    <dgm:cxn modelId="{1B00CDF1-3E34-D346-9525-A1DDDC731EB5}" type="presParOf" srcId="{5DB625E2-9B4E-42D0-8E64-F4BA8CCBA213}" destId="{F77B4630-390B-45DD-A032-9D1F226EFCC6}" srcOrd="0" destOrd="0" presId="urn:microsoft.com/office/officeart/2005/8/layout/orgChart1"/>
    <dgm:cxn modelId="{C55BC449-5DA2-8340-BB77-398970F3D226}" type="presParOf" srcId="{5DB625E2-9B4E-42D0-8E64-F4BA8CCBA213}" destId="{17838EC3-16DA-47F2-B5FE-C70395685F72}" srcOrd="1" destOrd="0" presId="urn:microsoft.com/office/officeart/2005/8/layout/orgChart1"/>
    <dgm:cxn modelId="{230DCB08-8316-6A45-9911-33043DEF5F9C}" type="presParOf" srcId="{774EF6EC-5A1B-4E11-8797-E6824769BB78}" destId="{7EC1BB7C-3F60-41E0-8327-B13422A3A485}" srcOrd="1" destOrd="0" presId="urn:microsoft.com/office/officeart/2005/8/layout/orgChart1"/>
    <dgm:cxn modelId="{9C8C9540-3E9D-BA44-BDEB-AB73B3D7EEF7}" type="presParOf" srcId="{774EF6EC-5A1B-4E11-8797-E6824769BB78}" destId="{08376E0D-A8DA-4B21-B207-EC25848D1C2A}" srcOrd="2" destOrd="0" presId="urn:microsoft.com/office/officeart/2005/8/layout/orgChart1"/>
    <dgm:cxn modelId="{A533C786-CB51-8542-8049-4C8A4A09DE12}" type="presParOf" srcId="{451AE489-BCDE-4E87-A3CA-6F286012356D}" destId="{58A97C92-747B-49CC-8FF6-D3E7C0CA2906}" srcOrd="8" destOrd="0" presId="urn:microsoft.com/office/officeart/2005/8/layout/orgChart1"/>
    <dgm:cxn modelId="{210D5E18-148D-1F4D-A6A5-551BBAAAD1E7}" type="presParOf" srcId="{451AE489-BCDE-4E87-A3CA-6F286012356D}" destId="{886EA149-1D9A-4621-B5FB-E89CC24AEE00}" srcOrd="9" destOrd="0" presId="urn:microsoft.com/office/officeart/2005/8/layout/orgChart1"/>
    <dgm:cxn modelId="{C5424735-02EF-0C4A-A38E-4CEB852BA4AF}" type="presParOf" srcId="{886EA149-1D9A-4621-B5FB-E89CC24AEE00}" destId="{BA2014BA-629B-49A9-B3D6-EB5AA51D8C54}" srcOrd="0" destOrd="0" presId="urn:microsoft.com/office/officeart/2005/8/layout/orgChart1"/>
    <dgm:cxn modelId="{0E0286C6-4A42-FE49-A8A0-DBC4005C657B}" type="presParOf" srcId="{BA2014BA-629B-49A9-B3D6-EB5AA51D8C54}" destId="{18BEFA3E-5E4E-4318-94D5-6589F4B5B393}" srcOrd="0" destOrd="0" presId="urn:microsoft.com/office/officeart/2005/8/layout/orgChart1"/>
    <dgm:cxn modelId="{95DBFDF6-83F5-A946-8CE4-1756BFA64D6D}" type="presParOf" srcId="{BA2014BA-629B-49A9-B3D6-EB5AA51D8C54}" destId="{5E079841-DEFA-43D7-BB7A-9D8448888542}" srcOrd="1" destOrd="0" presId="urn:microsoft.com/office/officeart/2005/8/layout/orgChart1"/>
    <dgm:cxn modelId="{551A4F08-422F-A149-8AAE-8B23CF807E47}" type="presParOf" srcId="{886EA149-1D9A-4621-B5FB-E89CC24AEE00}" destId="{0C42C489-E56B-486D-83D7-5F53F00FB1FF}" srcOrd="1" destOrd="0" presId="urn:microsoft.com/office/officeart/2005/8/layout/orgChart1"/>
    <dgm:cxn modelId="{00E715A2-68A8-5E4E-9231-718C32B3BBA5}" type="presParOf" srcId="{886EA149-1D9A-4621-B5FB-E89CC24AEE00}" destId="{1160F6B2-A576-4CCC-B252-4239FD1F2B4D}" srcOrd="2" destOrd="0" presId="urn:microsoft.com/office/officeart/2005/8/layout/orgChart1"/>
    <dgm:cxn modelId="{1D0F5852-41B7-874F-93D7-8509512F093E}" type="presParOf" srcId="{451AE489-BCDE-4E87-A3CA-6F286012356D}" destId="{57E024BC-C199-4C14-9131-B8E5322EDE74}" srcOrd="10" destOrd="0" presId="urn:microsoft.com/office/officeart/2005/8/layout/orgChart1"/>
    <dgm:cxn modelId="{030E4E31-F8DE-A24C-9F05-592153114CAE}" type="presParOf" srcId="{451AE489-BCDE-4E87-A3CA-6F286012356D}" destId="{EBE80036-212D-46D5-AC54-8FA44C8BDA5F}" srcOrd="11" destOrd="0" presId="urn:microsoft.com/office/officeart/2005/8/layout/orgChart1"/>
    <dgm:cxn modelId="{B1B716BF-FD01-354A-8E98-0AF22D8E2FD8}" type="presParOf" srcId="{EBE80036-212D-46D5-AC54-8FA44C8BDA5F}" destId="{B26DC726-B566-4E99-AC1F-75C3A32E4401}" srcOrd="0" destOrd="0" presId="urn:microsoft.com/office/officeart/2005/8/layout/orgChart1"/>
    <dgm:cxn modelId="{FBC84E60-A783-2847-A2C6-B9792F51158A}" type="presParOf" srcId="{B26DC726-B566-4E99-AC1F-75C3A32E4401}" destId="{445424D0-1AF5-4AB5-8959-43F4FDD7CAD9}" srcOrd="0" destOrd="0" presId="urn:microsoft.com/office/officeart/2005/8/layout/orgChart1"/>
    <dgm:cxn modelId="{2A7D3FFD-D78E-434D-9D8C-8C4A295240EF}" type="presParOf" srcId="{B26DC726-B566-4E99-AC1F-75C3A32E4401}" destId="{220DBE48-3D2F-4F44-8EC1-C27FA6588099}" srcOrd="1" destOrd="0" presId="urn:microsoft.com/office/officeart/2005/8/layout/orgChart1"/>
    <dgm:cxn modelId="{7A520B82-836C-CC4F-AA5B-E096DE0AF6D1}" type="presParOf" srcId="{EBE80036-212D-46D5-AC54-8FA44C8BDA5F}" destId="{25E997D3-7E2B-4AEC-8120-017C1AAC8C2E}" srcOrd="1" destOrd="0" presId="urn:microsoft.com/office/officeart/2005/8/layout/orgChart1"/>
    <dgm:cxn modelId="{B8400332-7F0B-CD41-A09F-25B39D12DC60}" type="presParOf" srcId="{EBE80036-212D-46D5-AC54-8FA44C8BDA5F}" destId="{5897FD42-F825-4268-BBAC-710B91ED121F}" srcOrd="2" destOrd="0" presId="urn:microsoft.com/office/officeart/2005/8/layout/orgChart1"/>
    <dgm:cxn modelId="{034A308E-5C72-714F-9CC3-154FA84018D5}" type="presParOf" srcId="{E967B46D-528A-44A1-9820-0F442D3F0AD7}" destId="{1299D23B-AB89-4291-A4E1-D0581992AB16}" srcOrd="2" destOrd="0" presId="urn:microsoft.com/office/officeart/2005/8/layout/orgChart1"/>
    <dgm:cxn modelId="{3D4E1F6D-4DC5-A74C-B59E-1184953898DC}" type="presParOf" srcId="{1299D23B-AB89-4291-A4E1-D0581992AB16}" destId="{F8D5B740-D233-44EC-B3C3-547477DED077}" srcOrd="0" destOrd="0" presId="urn:microsoft.com/office/officeart/2005/8/layout/orgChart1"/>
    <dgm:cxn modelId="{F7FE3455-DA98-DA46-BD73-29417770E286}" type="presParOf" srcId="{1299D23B-AB89-4291-A4E1-D0581992AB16}" destId="{C36B0817-C8D1-4576-929D-F1FC9EFFAE89}" srcOrd="1" destOrd="0" presId="urn:microsoft.com/office/officeart/2005/8/layout/orgChart1"/>
    <dgm:cxn modelId="{6373F874-124C-8C42-8EA2-FB5E937E7624}" type="presParOf" srcId="{C36B0817-C8D1-4576-929D-F1FC9EFFAE89}" destId="{84676581-4064-45BD-A72E-0462459A8834}" srcOrd="0" destOrd="0" presId="urn:microsoft.com/office/officeart/2005/8/layout/orgChart1"/>
    <dgm:cxn modelId="{5F825F6B-7F44-AB49-AB83-FA45FD8E6789}" type="presParOf" srcId="{84676581-4064-45BD-A72E-0462459A8834}" destId="{503BD133-0F8B-45A8-BCA9-CFF9E3A7BA84}" srcOrd="0" destOrd="0" presId="urn:microsoft.com/office/officeart/2005/8/layout/orgChart1"/>
    <dgm:cxn modelId="{81DC9FBE-C334-2D48-8736-8C5ADF87EA89}" type="presParOf" srcId="{84676581-4064-45BD-A72E-0462459A8834}" destId="{2E1BDD5E-EE94-42E0-8700-2E2B42E8C6E6}" srcOrd="1" destOrd="0" presId="urn:microsoft.com/office/officeart/2005/8/layout/orgChart1"/>
    <dgm:cxn modelId="{A547596A-C42B-324D-A529-BD2FB7527C5F}" type="presParOf" srcId="{C36B0817-C8D1-4576-929D-F1FC9EFFAE89}" destId="{8BED7330-9C18-46B6-9763-55C6B259ADE4}" srcOrd="1" destOrd="0" presId="urn:microsoft.com/office/officeart/2005/8/layout/orgChart1"/>
    <dgm:cxn modelId="{E4366DA4-FFA7-A040-A2DD-79860793C506}" type="presParOf" srcId="{C36B0817-C8D1-4576-929D-F1FC9EFFAE89}" destId="{22AF3E20-72CB-4903-BCDE-4401A53ED86E}" srcOrd="2" destOrd="0" presId="urn:microsoft.com/office/officeart/2005/8/layout/orgChart1"/>
    <dgm:cxn modelId="{EBD6AC60-2CA1-6349-9C7A-AE6AFBA042E5}" type="presParOf" srcId="{1299D23B-AB89-4291-A4E1-D0581992AB16}" destId="{F9055E92-FED8-4FF9-9004-0F9D87C88610}" srcOrd="2" destOrd="0" presId="urn:microsoft.com/office/officeart/2005/8/layout/orgChart1"/>
    <dgm:cxn modelId="{F5F4F8FC-688D-E249-AF9F-83106D4E11C1}" type="presParOf" srcId="{1299D23B-AB89-4291-A4E1-D0581992AB16}" destId="{B43EED84-B5D7-4777-8380-4B7E15DC244B}" srcOrd="3" destOrd="0" presId="urn:microsoft.com/office/officeart/2005/8/layout/orgChart1"/>
    <dgm:cxn modelId="{FD9E7A33-3F8A-ED46-AD59-E536E49F8BA7}" type="presParOf" srcId="{B43EED84-B5D7-4777-8380-4B7E15DC244B}" destId="{A2D35274-BAA0-4773-8119-DDC1A6DBC172}" srcOrd="0" destOrd="0" presId="urn:microsoft.com/office/officeart/2005/8/layout/orgChart1"/>
    <dgm:cxn modelId="{7269B84F-A137-7F46-8EA6-52ABBBE1A053}" type="presParOf" srcId="{A2D35274-BAA0-4773-8119-DDC1A6DBC172}" destId="{D176F87F-2C01-4A72-9479-D7FEE24FBF86}" srcOrd="0" destOrd="0" presId="urn:microsoft.com/office/officeart/2005/8/layout/orgChart1"/>
    <dgm:cxn modelId="{59004B54-7116-6344-AC5A-63A0655B6B6E}" type="presParOf" srcId="{A2D35274-BAA0-4773-8119-DDC1A6DBC172}" destId="{7BCF1287-AC8E-47DC-8F14-1795BFD7AA01}" srcOrd="1" destOrd="0" presId="urn:microsoft.com/office/officeart/2005/8/layout/orgChart1"/>
    <dgm:cxn modelId="{BD4C894C-10C3-5A4E-85E2-CACC172574E3}" type="presParOf" srcId="{B43EED84-B5D7-4777-8380-4B7E15DC244B}" destId="{B1CF6A26-7C27-47E6-97DC-07466384A07C}" srcOrd="1" destOrd="0" presId="urn:microsoft.com/office/officeart/2005/8/layout/orgChart1"/>
    <dgm:cxn modelId="{3AE75CBC-2123-7C46-965A-38FCF09A832B}" type="presParOf" srcId="{B43EED84-B5D7-4777-8380-4B7E15DC244B}" destId="{DEC16481-385C-4DE7-A8F6-5BE0B5C62D95}" srcOrd="2" destOrd="0" presId="urn:microsoft.com/office/officeart/2005/8/layout/orgChart1"/>
  </dgm:cxnLst>
  <dgm:bg/>
  <dgm:whole/>
  <dgm:extLst>
    <a:ext uri="http://schemas.microsoft.com/office/drawing/2008/diagram">
      <dsp:dataModelExt xmlns:dsp="http://schemas.microsoft.com/office/drawing/2008/diagram" relId="rId1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1CFFEA-180A-4426-8A01-30E86FD766C2}">
      <dsp:nvSpPr>
        <dsp:cNvPr id="0" name=""/>
        <dsp:cNvSpPr/>
      </dsp:nvSpPr>
      <dsp:spPr>
        <a:xfrm>
          <a:off x="660" y="0"/>
          <a:ext cx="1718577" cy="3200400"/>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US" sz="2000" kern="1200">
              <a:latin typeface="Times New Roman" panose="02020603050405020304" charset="0"/>
              <a:cs typeface="Times New Roman" panose="02020603050405020304" charset="0"/>
            </a:rPr>
            <a:t>Bibliometric</a:t>
          </a:r>
          <a:br>
            <a:rPr lang="en-US" sz="2000" kern="1200">
              <a:latin typeface="Times New Roman" panose="02020603050405020304" charset="0"/>
              <a:cs typeface="Times New Roman" panose="02020603050405020304" charset="0"/>
            </a:rPr>
          </a:br>
          <a:r>
            <a:rPr lang="en-US" sz="2000" kern="1200">
              <a:latin typeface="Times New Roman" panose="02020603050405020304" charset="0"/>
              <a:cs typeface="Times New Roman" panose="02020603050405020304" charset="0"/>
            </a:rPr>
            <a:t>Evaluation</a:t>
          </a:r>
        </a:p>
      </dsp:txBody>
      <dsp:txXfrm>
        <a:off x="660" y="0"/>
        <a:ext cx="1718577" cy="960120"/>
      </dsp:txXfrm>
    </dsp:sp>
    <dsp:sp modelId="{907E2126-2985-4A64-B909-5284752A7E59}">
      <dsp:nvSpPr>
        <dsp:cNvPr id="0" name=""/>
        <dsp:cNvSpPr/>
      </dsp:nvSpPr>
      <dsp:spPr>
        <a:xfrm>
          <a:off x="172518" y="960198"/>
          <a:ext cx="1374861" cy="46623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rtl="0">
            <a:lnSpc>
              <a:spcPct val="90000"/>
            </a:lnSpc>
            <a:spcBef>
              <a:spcPct val="0"/>
            </a:spcBef>
            <a:spcAft>
              <a:spcPct val="35000"/>
            </a:spcAft>
            <a:buNone/>
          </a:pPr>
          <a:r>
            <a:rPr lang="en-US" sz="1100" kern="1200">
              <a:latin typeface="Times New Roman" panose="02020603050405020304" charset="0"/>
              <a:cs typeface="Times New Roman" panose="02020603050405020304" charset="0"/>
            </a:rPr>
            <a:t>Journals where papers are published </a:t>
          </a:r>
        </a:p>
      </dsp:txBody>
      <dsp:txXfrm>
        <a:off x="186173" y="973853"/>
        <a:ext cx="1347551" cy="438920"/>
      </dsp:txXfrm>
    </dsp:sp>
    <dsp:sp modelId="{4BAD7A92-56E0-4F8B-A386-89145D7353FD}">
      <dsp:nvSpPr>
        <dsp:cNvPr id="0" name=""/>
        <dsp:cNvSpPr/>
      </dsp:nvSpPr>
      <dsp:spPr>
        <a:xfrm>
          <a:off x="172518" y="1498155"/>
          <a:ext cx="1374861" cy="46623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rtl="0">
            <a:lnSpc>
              <a:spcPct val="90000"/>
            </a:lnSpc>
            <a:spcBef>
              <a:spcPct val="0"/>
            </a:spcBef>
            <a:spcAft>
              <a:spcPct val="35000"/>
            </a:spcAft>
            <a:buNone/>
          </a:pPr>
          <a:r>
            <a:rPr lang="en-US" sz="1100" kern="1200">
              <a:latin typeface="Times New Roman" panose="02020603050405020304" charset="0"/>
              <a:cs typeface="Times New Roman" panose="02020603050405020304" charset="0"/>
            </a:rPr>
            <a:t>Most prolific authors</a:t>
          </a:r>
        </a:p>
      </dsp:txBody>
      <dsp:txXfrm>
        <a:off x="186173" y="1511810"/>
        <a:ext cx="1347551" cy="438920"/>
      </dsp:txXfrm>
    </dsp:sp>
    <dsp:sp modelId="{447383BB-5C71-4543-AFB0-B8C013DC0E43}">
      <dsp:nvSpPr>
        <dsp:cNvPr id="0" name=""/>
        <dsp:cNvSpPr/>
      </dsp:nvSpPr>
      <dsp:spPr>
        <a:xfrm>
          <a:off x="172518" y="2036113"/>
          <a:ext cx="1374861" cy="46623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ea typeface="Tahoma" panose="020B0604030504040204" pitchFamily="34" charset="0"/>
              <a:cs typeface="Times New Roman" panose="02020603050405020304" pitchFamily="18" charset="0"/>
            </a:rPr>
            <a:t>Countries where first authors are based</a:t>
          </a:r>
        </a:p>
      </dsp:txBody>
      <dsp:txXfrm>
        <a:off x="186173" y="2049768"/>
        <a:ext cx="1347551" cy="438920"/>
      </dsp:txXfrm>
    </dsp:sp>
    <dsp:sp modelId="{D6E3AC57-CE85-44DD-B7E5-D0FBE98364F9}">
      <dsp:nvSpPr>
        <dsp:cNvPr id="0" name=""/>
        <dsp:cNvSpPr/>
      </dsp:nvSpPr>
      <dsp:spPr>
        <a:xfrm>
          <a:off x="172518" y="2574071"/>
          <a:ext cx="1374861" cy="46623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Number of papers </a:t>
          </a:r>
          <a:br>
            <a:rPr lang="en-US" sz="1100" kern="1200">
              <a:latin typeface="Times New Roman" panose="02020603050405020304" pitchFamily="18" charset="0"/>
              <a:cs typeface="Times New Roman" panose="02020603050405020304" pitchFamily="18" charset="0"/>
            </a:rPr>
          </a:br>
          <a:r>
            <a:rPr lang="en-US" sz="1100" kern="1200">
              <a:latin typeface="Times New Roman" panose="02020603050405020304" pitchFamily="18" charset="0"/>
              <a:cs typeface="Times New Roman" panose="02020603050405020304" pitchFamily="18" charset="0"/>
            </a:rPr>
            <a:t>published per year</a:t>
          </a:r>
        </a:p>
      </dsp:txBody>
      <dsp:txXfrm>
        <a:off x="186173" y="2587726"/>
        <a:ext cx="1347551" cy="438920"/>
      </dsp:txXfrm>
    </dsp:sp>
    <dsp:sp modelId="{0E912567-C1C6-470D-8F70-26FB0267A0D3}">
      <dsp:nvSpPr>
        <dsp:cNvPr id="0" name=""/>
        <dsp:cNvSpPr/>
      </dsp:nvSpPr>
      <dsp:spPr>
        <a:xfrm>
          <a:off x="1848131" y="0"/>
          <a:ext cx="1718577" cy="3200400"/>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US" sz="2000" kern="1200">
              <a:latin typeface="Times New Roman" panose="02020603050405020304" charset="0"/>
              <a:cs typeface="Times New Roman" panose="02020603050405020304" charset="0"/>
            </a:rPr>
            <a:t>Topics</a:t>
          </a:r>
        </a:p>
      </dsp:txBody>
      <dsp:txXfrm>
        <a:off x="1848131" y="0"/>
        <a:ext cx="1718577" cy="960120"/>
      </dsp:txXfrm>
    </dsp:sp>
    <dsp:sp modelId="{4091550B-4105-436D-9E70-18662EFDBD29}">
      <dsp:nvSpPr>
        <dsp:cNvPr id="0" name=""/>
        <dsp:cNvSpPr/>
      </dsp:nvSpPr>
      <dsp:spPr>
        <a:xfrm>
          <a:off x="2019989" y="960198"/>
          <a:ext cx="1374861" cy="46623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charset="0"/>
              <a:cs typeface="Times New Roman" panose="02020603050405020304" charset="0"/>
            </a:rPr>
            <a:t>Research topic</a:t>
          </a:r>
        </a:p>
      </dsp:txBody>
      <dsp:txXfrm>
        <a:off x="2033644" y="973853"/>
        <a:ext cx="1347551" cy="438920"/>
      </dsp:txXfrm>
    </dsp:sp>
    <dsp:sp modelId="{E4115DAC-89E7-4635-ABDA-5450125717C8}">
      <dsp:nvSpPr>
        <dsp:cNvPr id="0" name=""/>
        <dsp:cNvSpPr/>
      </dsp:nvSpPr>
      <dsp:spPr>
        <a:xfrm>
          <a:off x="2014228" y="1509805"/>
          <a:ext cx="1374861" cy="46623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charset="0"/>
              <a:cs typeface="Times New Roman" panose="02020603050405020304" charset="0"/>
            </a:rPr>
            <a:t>Research results</a:t>
          </a:r>
        </a:p>
      </dsp:txBody>
      <dsp:txXfrm>
        <a:off x="2027883" y="1523460"/>
        <a:ext cx="1347551" cy="438920"/>
      </dsp:txXfrm>
    </dsp:sp>
    <dsp:sp modelId="{FB07F355-B068-42A5-A591-13DE49073345}">
      <dsp:nvSpPr>
        <dsp:cNvPr id="0" name=""/>
        <dsp:cNvSpPr/>
      </dsp:nvSpPr>
      <dsp:spPr>
        <a:xfrm>
          <a:off x="2019989" y="2036113"/>
          <a:ext cx="1374861" cy="46623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rtl="0">
            <a:lnSpc>
              <a:spcPct val="90000"/>
            </a:lnSpc>
            <a:spcBef>
              <a:spcPct val="0"/>
            </a:spcBef>
            <a:spcAft>
              <a:spcPct val="35000"/>
            </a:spcAft>
            <a:buNone/>
          </a:pPr>
          <a:r>
            <a:rPr lang="en-GB" sz="1100" kern="1200">
              <a:latin typeface="Times New Roman" panose="02020603050405020304" charset="0"/>
              <a:cs typeface="Times New Roman" panose="02020603050405020304" charset="0"/>
            </a:rPr>
            <a:t>Reliability of the </a:t>
          </a:r>
          <a:br>
            <a:rPr lang="en-GB" sz="1100" kern="1200">
              <a:latin typeface="Times New Roman" panose="02020603050405020304" charset="0"/>
              <a:cs typeface="Times New Roman" panose="02020603050405020304" charset="0"/>
            </a:rPr>
          </a:br>
          <a:r>
            <a:rPr lang="en-GB" sz="1100" kern="1200">
              <a:latin typeface="Times New Roman" panose="02020603050405020304" charset="0"/>
              <a:cs typeface="Times New Roman" panose="02020603050405020304" charset="0"/>
            </a:rPr>
            <a:t>research result.</a:t>
          </a:r>
        </a:p>
      </dsp:txBody>
      <dsp:txXfrm>
        <a:off x="2033644" y="2049768"/>
        <a:ext cx="1347551" cy="438920"/>
      </dsp:txXfrm>
    </dsp:sp>
    <dsp:sp modelId="{672C0D8A-A1D8-4509-A134-17F6620D07EA}">
      <dsp:nvSpPr>
        <dsp:cNvPr id="0" name=""/>
        <dsp:cNvSpPr/>
      </dsp:nvSpPr>
      <dsp:spPr>
        <a:xfrm>
          <a:off x="2019989" y="2574071"/>
          <a:ext cx="1374861" cy="46623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a:lnSpc>
              <a:spcPct val="90000"/>
            </a:lnSpc>
            <a:spcBef>
              <a:spcPct val="0"/>
            </a:spcBef>
            <a:spcAft>
              <a:spcPct val="35000"/>
            </a:spcAft>
            <a:buNone/>
          </a:pPr>
          <a:r>
            <a:rPr lang="en-GB" sz="1100" kern="1200">
              <a:latin typeface="Times New Roman" panose="02020603050405020304" charset="0"/>
              <a:cs typeface="Times New Roman" panose="02020603050405020304" charset="0"/>
            </a:rPr>
            <a:t>Identification of future research directions</a:t>
          </a:r>
        </a:p>
      </dsp:txBody>
      <dsp:txXfrm>
        <a:off x="2033644" y="2587726"/>
        <a:ext cx="1347551" cy="438920"/>
      </dsp:txXfrm>
    </dsp:sp>
    <dsp:sp modelId="{9EF8475F-2227-45E1-B44F-F56E2936BDF2}">
      <dsp:nvSpPr>
        <dsp:cNvPr id="0" name=""/>
        <dsp:cNvSpPr/>
      </dsp:nvSpPr>
      <dsp:spPr>
        <a:xfrm>
          <a:off x="3695602" y="0"/>
          <a:ext cx="1718577" cy="3200400"/>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US" sz="2000" kern="1200">
              <a:latin typeface="Times New Roman" panose="02020603050405020304" charset="0"/>
              <a:cs typeface="Times New Roman" panose="02020603050405020304" charset="0"/>
            </a:rPr>
            <a:t>Methodologies</a:t>
          </a:r>
        </a:p>
      </dsp:txBody>
      <dsp:txXfrm>
        <a:off x="3695602" y="0"/>
        <a:ext cx="1718577" cy="960120"/>
      </dsp:txXfrm>
    </dsp:sp>
    <dsp:sp modelId="{E563FF94-9176-4963-9C3C-956D7DF48689}">
      <dsp:nvSpPr>
        <dsp:cNvPr id="0" name=""/>
        <dsp:cNvSpPr/>
      </dsp:nvSpPr>
      <dsp:spPr>
        <a:xfrm>
          <a:off x="3867460" y="960393"/>
          <a:ext cx="1374861" cy="6287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rtl="0">
            <a:lnSpc>
              <a:spcPct val="90000"/>
            </a:lnSpc>
            <a:spcBef>
              <a:spcPct val="0"/>
            </a:spcBef>
            <a:spcAft>
              <a:spcPct val="35000"/>
            </a:spcAft>
            <a:buNone/>
          </a:pPr>
          <a:r>
            <a:rPr lang="en-GB" sz="1100" kern="1200">
              <a:latin typeface="Times New Roman" panose="02020603050405020304" charset="0"/>
              <a:cs typeface="Times New Roman" panose="02020603050405020304" charset="0"/>
            </a:rPr>
            <a:t>Type of Methodology</a:t>
          </a:r>
          <a:endParaRPr lang="en-US" sz="1100" kern="1200">
            <a:latin typeface="Times New Roman" panose="02020603050405020304" charset="0"/>
            <a:cs typeface="Times New Roman" panose="02020603050405020304" charset="0"/>
          </a:endParaRPr>
        </a:p>
      </dsp:txBody>
      <dsp:txXfrm>
        <a:off x="3885875" y="978808"/>
        <a:ext cx="1338031" cy="591920"/>
      </dsp:txXfrm>
    </dsp:sp>
    <dsp:sp modelId="{20B96627-81E9-4C0C-8A8C-6BBB5746A41A}">
      <dsp:nvSpPr>
        <dsp:cNvPr id="0" name=""/>
        <dsp:cNvSpPr/>
      </dsp:nvSpPr>
      <dsp:spPr>
        <a:xfrm>
          <a:off x="3867460" y="1685874"/>
          <a:ext cx="1374861" cy="6287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rtl="0">
            <a:lnSpc>
              <a:spcPct val="90000"/>
            </a:lnSpc>
            <a:spcBef>
              <a:spcPct val="0"/>
            </a:spcBef>
            <a:spcAft>
              <a:spcPct val="35000"/>
            </a:spcAft>
            <a:buNone/>
          </a:pPr>
          <a:r>
            <a:rPr lang="en-GB" sz="1100" kern="1200">
              <a:latin typeface="Times New Roman" panose="02020603050405020304" charset="0"/>
              <a:cs typeface="Times New Roman" panose="02020603050405020304" charset="0"/>
            </a:rPr>
            <a:t>Justification of the Methodology</a:t>
          </a:r>
        </a:p>
      </dsp:txBody>
      <dsp:txXfrm>
        <a:off x="3885875" y="1704289"/>
        <a:ext cx="1338031" cy="591920"/>
      </dsp:txXfrm>
    </dsp:sp>
    <dsp:sp modelId="{E014AC3A-E571-47DF-9864-0C377D36D40C}">
      <dsp:nvSpPr>
        <dsp:cNvPr id="0" name=""/>
        <dsp:cNvSpPr/>
      </dsp:nvSpPr>
      <dsp:spPr>
        <a:xfrm>
          <a:off x="3867460" y="2411356"/>
          <a:ext cx="1374861" cy="6287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a:lnSpc>
              <a:spcPct val="90000"/>
            </a:lnSpc>
            <a:spcBef>
              <a:spcPct val="0"/>
            </a:spcBef>
            <a:spcAft>
              <a:spcPct val="35000"/>
            </a:spcAft>
            <a:buNone/>
          </a:pPr>
          <a:r>
            <a:rPr lang="en-GB" sz="1100" kern="1200">
              <a:latin typeface="Times New Roman" panose="02020603050405020304" charset="0"/>
              <a:cs typeface="Times New Roman" panose="02020603050405020304" charset="0"/>
            </a:rPr>
            <a:t>Reflection on the Methodology</a:t>
          </a:r>
        </a:p>
      </dsp:txBody>
      <dsp:txXfrm>
        <a:off x="3885875" y="2429771"/>
        <a:ext cx="1338031" cy="59192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9055E92-FED8-4FF9-9004-0F9D87C88610}">
      <dsp:nvSpPr>
        <dsp:cNvPr id="0" name=""/>
        <dsp:cNvSpPr/>
      </dsp:nvSpPr>
      <dsp:spPr>
        <a:xfrm>
          <a:off x="2794680" y="464915"/>
          <a:ext cx="91440" cy="370427"/>
        </a:xfrm>
        <a:custGeom>
          <a:avLst/>
          <a:gdLst/>
          <a:ahLst/>
          <a:cxnLst/>
          <a:rect l="0" t="0" r="0" b="0"/>
          <a:pathLst>
            <a:path>
              <a:moveTo>
                <a:pt x="45720" y="0"/>
              </a:moveTo>
              <a:lnTo>
                <a:pt x="45720" y="370427"/>
              </a:lnTo>
              <a:lnTo>
                <a:pt x="130274" y="37042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8D5B740-D233-44EC-B3C3-547477DED077}">
      <dsp:nvSpPr>
        <dsp:cNvPr id="0" name=""/>
        <dsp:cNvSpPr/>
      </dsp:nvSpPr>
      <dsp:spPr>
        <a:xfrm>
          <a:off x="2710125" y="464915"/>
          <a:ext cx="91440" cy="370427"/>
        </a:xfrm>
        <a:custGeom>
          <a:avLst/>
          <a:gdLst/>
          <a:ahLst/>
          <a:cxnLst/>
          <a:rect l="0" t="0" r="0" b="0"/>
          <a:pathLst>
            <a:path>
              <a:moveTo>
                <a:pt x="130274" y="0"/>
              </a:moveTo>
              <a:lnTo>
                <a:pt x="130274" y="370427"/>
              </a:lnTo>
              <a:lnTo>
                <a:pt x="45720" y="37042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7E024BC-C199-4C14-9131-B8E5322EDE74}">
      <dsp:nvSpPr>
        <dsp:cNvPr id="0" name=""/>
        <dsp:cNvSpPr/>
      </dsp:nvSpPr>
      <dsp:spPr>
        <a:xfrm>
          <a:off x="2840400" y="464915"/>
          <a:ext cx="2435962" cy="740854"/>
        </a:xfrm>
        <a:custGeom>
          <a:avLst/>
          <a:gdLst/>
          <a:ahLst/>
          <a:cxnLst/>
          <a:rect l="0" t="0" r="0" b="0"/>
          <a:pathLst>
            <a:path>
              <a:moveTo>
                <a:pt x="0" y="0"/>
              </a:moveTo>
              <a:lnTo>
                <a:pt x="0" y="656300"/>
              </a:lnTo>
              <a:lnTo>
                <a:pt x="2435962" y="656300"/>
              </a:lnTo>
              <a:lnTo>
                <a:pt x="2435962" y="7408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8A97C92-747B-49CC-8FF6-D3E7C0CA2906}">
      <dsp:nvSpPr>
        <dsp:cNvPr id="0" name=""/>
        <dsp:cNvSpPr/>
      </dsp:nvSpPr>
      <dsp:spPr>
        <a:xfrm>
          <a:off x="2840400" y="464915"/>
          <a:ext cx="1461577" cy="740854"/>
        </a:xfrm>
        <a:custGeom>
          <a:avLst/>
          <a:gdLst/>
          <a:ahLst/>
          <a:cxnLst/>
          <a:rect l="0" t="0" r="0" b="0"/>
          <a:pathLst>
            <a:path>
              <a:moveTo>
                <a:pt x="0" y="0"/>
              </a:moveTo>
              <a:lnTo>
                <a:pt x="0" y="656300"/>
              </a:lnTo>
              <a:lnTo>
                <a:pt x="1461577" y="656300"/>
              </a:lnTo>
              <a:lnTo>
                <a:pt x="1461577" y="7408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5F48DE3-BEB0-436F-9150-56749099B101}">
      <dsp:nvSpPr>
        <dsp:cNvPr id="0" name=""/>
        <dsp:cNvSpPr/>
      </dsp:nvSpPr>
      <dsp:spPr>
        <a:xfrm>
          <a:off x="2840400" y="464915"/>
          <a:ext cx="487192" cy="740854"/>
        </a:xfrm>
        <a:custGeom>
          <a:avLst/>
          <a:gdLst/>
          <a:ahLst/>
          <a:cxnLst/>
          <a:rect l="0" t="0" r="0" b="0"/>
          <a:pathLst>
            <a:path>
              <a:moveTo>
                <a:pt x="0" y="0"/>
              </a:moveTo>
              <a:lnTo>
                <a:pt x="0" y="656300"/>
              </a:lnTo>
              <a:lnTo>
                <a:pt x="487192" y="656300"/>
              </a:lnTo>
              <a:lnTo>
                <a:pt x="487192" y="7408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540A094-8D3F-4B8F-AFE8-783AEBDF57CB}">
      <dsp:nvSpPr>
        <dsp:cNvPr id="0" name=""/>
        <dsp:cNvSpPr/>
      </dsp:nvSpPr>
      <dsp:spPr>
        <a:xfrm>
          <a:off x="2353207" y="464915"/>
          <a:ext cx="487192" cy="740854"/>
        </a:xfrm>
        <a:custGeom>
          <a:avLst/>
          <a:gdLst/>
          <a:ahLst/>
          <a:cxnLst/>
          <a:rect l="0" t="0" r="0" b="0"/>
          <a:pathLst>
            <a:path>
              <a:moveTo>
                <a:pt x="487192" y="0"/>
              </a:moveTo>
              <a:lnTo>
                <a:pt x="487192" y="656300"/>
              </a:lnTo>
              <a:lnTo>
                <a:pt x="0" y="656300"/>
              </a:lnTo>
              <a:lnTo>
                <a:pt x="0" y="7408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985FC70-AA06-4BB3-9BCB-49C42B002FEF}">
      <dsp:nvSpPr>
        <dsp:cNvPr id="0" name=""/>
        <dsp:cNvSpPr/>
      </dsp:nvSpPr>
      <dsp:spPr>
        <a:xfrm>
          <a:off x="1378822" y="464915"/>
          <a:ext cx="1461577" cy="740854"/>
        </a:xfrm>
        <a:custGeom>
          <a:avLst/>
          <a:gdLst/>
          <a:ahLst/>
          <a:cxnLst/>
          <a:rect l="0" t="0" r="0" b="0"/>
          <a:pathLst>
            <a:path>
              <a:moveTo>
                <a:pt x="1461577" y="0"/>
              </a:moveTo>
              <a:lnTo>
                <a:pt x="1461577" y="656300"/>
              </a:lnTo>
              <a:lnTo>
                <a:pt x="0" y="656300"/>
              </a:lnTo>
              <a:lnTo>
                <a:pt x="0" y="7408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2524797-A8E1-4963-B831-8209C5369F50}">
      <dsp:nvSpPr>
        <dsp:cNvPr id="0" name=""/>
        <dsp:cNvSpPr/>
      </dsp:nvSpPr>
      <dsp:spPr>
        <a:xfrm>
          <a:off x="404437" y="464915"/>
          <a:ext cx="2435962" cy="740854"/>
        </a:xfrm>
        <a:custGeom>
          <a:avLst/>
          <a:gdLst/>
          <a:ahLst/>
          <a:cxnLst/>
          <a:rect l="0" t="0" r="0" b="0"/>
          <a:pathLst>
            <a:path>
              <a:moveTo>
                <a:pt x="2435962" y="0"/>
              </a:moveTo>
              <a:lnTo>
                <a:pt x="2435962" y="656300"/>
              </a:lnTo>
              <a:lnTo>
                <a:pt x="0" y="656300"/>
              </a:lnTo>
              <a:lnTo>
                <a:pt x="0" y="7408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21296E4-F552-4983-AC53-0300E5D0A59A}">
      <dsp:nvSpPr>
        <dsp:cNvPr id="0" name=""/>
        <dsp:cNvSpPr/>
      </dsp:nvSpPr>
      <dsp:spPr>
        <a:xfrm>
          <a:off x="2437761" y="62276"/>
          <a:ext cx="805276" cy="40263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Office</a:t>
          </a:r>
          <a:r>
            <a:rPr lang="en-US" sz="1000" kern="1200" baseline="0">
              <a:latin typeface="Times New Roman" panose="02020603050405020304" pitchFamily="18" charset="0"/>
              <a:cs typeface="Times New Roman" panose="02020603050405020304" pitchFamily="18" charset="0"/>
            </a:rPr>
            <a:t> of RS</a:t>
          </a:r>
          <a:endParaRPr lang="en-US" sz="1000" kern="1200">
            <a:latin typeface="Times New Roman" panose="02020603050405020304" pitchFamily="18" charset="0"/>
            <a:cs typeface="Times New Roman" panose="02020603050405020304" pitchFamily="18" charset="0"/>
          </a:endParaRPr>
        </a:p>
      </dsp:txBody>
      <dsp:txXfrm>
        <a:off x="2437761" y="62276"/>
        <a:ext cx="805276" cy="402638"/>
      </dsp:txXfrm>
    </dsp:sp>
    <dsp:sp modelId="{6E6BAF46-54EF-49DD-91F3-18859C6925FD}">
      <dsp:nvSpPr>
        <dsp:cNvPr id="0" name=""/>
        <dsp:cNvSpPr/>
      </dsp:nvSpPr>
      <dsp:spPr>
        <a:xfrm>
          <a:off x="1798" y="1205769"/>
          <a:ext cx="805276" cy="40263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US" sz="1050" kern="1200">
              <a:latin typeface="Times New Roman" panose="02020603050405020304" pitchFamily="18" charset="0"/>
              <a:cs typeface="Times New Roman" panose="02020603050405020304" pitchFamily="18" charset="0"/>
            </a:rPr>
            <a:t>Logistics Company</a:t>
          </a:r>
        </a:p>
      </dsp:txBody>
      <dsp:txXfrm>
        <a:off x="1798" y="1205769"/>
        <a:ext cx="805276" cy="402638"/>
      </dsp:txXfrm>
    </dsp:sp>
    <dsp:sp modelId="{E261EEFD-FC29-4F2F-AC8F-78E1FD19083A}">
      <dsp:nvSpPr>
        <dsp:cNvPr id="0" name=""/>
        <dsp:cNvSpPr/>
      </dsp:nvSpPr>
      <dsp:spPr>
        <a:xfrm>
          <a:off x="976183" y="1205769"/>
          <a:ext cx="805276" cy="40263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Road Inspection</a:t>
          </a:r>
        </a:p>
      </dsp:txBody>
      <dsp:txXfrm>
        <a:off x="976183" y="1205769"/>
        <a:ext cx="805276" cy="402638"/>
      </dsp:txXfrm>
    </dsp:sp>
    <dsp:sp modelId="{E1A61D80-4F98-43AE-B460-CD82C1757E54}">
      <dsp:nvSpPr>
        <dsp:cNvPr id="0" name=""/>
        <dsp:cNvSpPr/>
      </dsp:nvSpPr>
      <dsp:spPr>
        <a:xfrm>
          <a:off x="1950568" y="1205769"/>
          <a:ext cx="805276" cy="40263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Guard</a:t>
          </a:r>
        </a:p>
      </dsp:txBody>
      <dsp:txXfrm>
        <a:off x="1950568" y="1205769"/>
        <a:ext cx="805276" cy="402638"/>
      </dsp:txXfrm>
    </dsp:sp>
    <dsp:sp modelId="{F77B4630-390B-45DD-A032-9D1F226EFCC6}">
      <dsp:nvSpPr>
        <dsp:cNvPr id="0" name=""/>
        <dsp:cNvSpPr/>
      </dsp:nvSpPr>
      <dsp:spPr>
        <a:xfrm>
          <a:off x="2924954" y="1205769"/>
          <a:ext cx="805276" cy="40263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Fence Operator</a:t>
          </a:r>
        </a:p>
      </dsp:txBody>
      <dsp:txXfrm>
        <a:off x="2924954" y="1205769"/>
        <a:ext cx="805276" cy="402638"/>
      </dsp:txXfrm>
    </dsp:sp>
    <dsp:sp modelId="{18BEFA3E-5E4E-4318-94D5-6589F4B5B393}">
      <dsp:nvSpPr>
        <dsp:cNvPr id="0" name=""/>
        <dsp:cNvSpPr/>
      </dsp:nvSpPr>
      <dsp:spPr>
        <a:xfrm>
          <a:off x="3899339" y="1205769"/>
          <a:ext cx="805276" cy="40263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atin typeface="Times New Roman" panose="02020603050405020304" pitchFamily="18" charset="0"/>
              <a:cs typeface="Times New Roman" panose="02020603050405020304" pitchFamily="18" charset="0"/>
            </a:rPr>
            <a:t>Security </a:t>
          </a:r>
          <a:r>
            <a:rPr lang="en-US" sz="1100" kern="1200">
              <a:latin typeface="Times New Roman" panose="02020603050405020304" pitchFamily="18" charset="0"/>
              <a:cs typeface="Times New Roman" panose="02020603050405020304" pitchFamily="18" charset="0"/>
            </a:rPr>
            <a:t>System</a:t>
          </a:r>
          <a:endParaRPr lang="en-US" sz="1000" kern="1200">
            <a:latin typeface="Times New Roman" panose="02020603050405020304" pitchFamily="18" charset="0"/>
            <a:cs typeface="Times New Roman" panose="02020603050405020304" pitchFamily="18" charset="0"/>
          </a:endParaRPr>
        </a:p>
      </dsp:txBody>
      <dsp:txXfrm>
        <a:off x="3899339" y="1205769"/>
        <a:ext cx="805276" cy="402638"/>
      </dsp:txXfrm>
    </dsp:sp>
    <dsp:sp modelId="{445424D0-1AF5-4AB5-8959-43F4FDD7CAD9}">
      <dsp:nvSpPr>
        <dsp:cNvPr id="0" name=""/>
        <dsp:cNvSpPr/>
      </dsp:nvSpPr>
      <dsp:spPr>
        <a:xfrm>
          <a:off x="4873724" y="1205769"/>
          <a:ext cx="805276" cy="40263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Information Manager</a:t>
          </a:r>
        </a:p>
      </dsp:txBody>
      <dsp:txXfrm>
        <a:off x="4873724" y="1205769"/>
        <a:ext cx="805276" cy="402638"/>
      </dsp:txXfrm>
    </dsp:sp>
    <dsp:sp modelId="{503BD133-0F8B-45A8-BCA9-CFF9E3A7BA84}">
      <dsp:nvSpPr>
        <dsp:cNvPr id="0" name=""/>
        <dsp:cNvSpPr/>
      </dsp:nvSpPr>
      <dsp:spPr>
        <a:xfrm>
          <a:off x="656359" y="634023"/>
          <a:ext cx="2099485" cy="40263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Logistics Consulting Company</a:t>
          </a:r>
        </a:p>
      </dsp:txBody>
      <dsp:txXfrm>
        <a:off x="656359" y="634023"/>
        <a:ext cx="2099485" cy="402638"/>
      </dsp:txXfrm>
    </dsp:sp>
    <dsp:sp modelId="{D176F87F-2C01-4A72-9479-D7FEE24FBF86}">
      <dsp:nvSpPr>
        <dsp:cNvPr id="0" name=""/>
        <dsp:cNvSpPr/>
      </dsp:nvSpPr>
      <dsp:spPr>
        <a:xfrm>
          <a:off x="2924954" y="634023"/>
          <a:ext cx="1191173" cy="40263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Finance Company</a:t>
          </a:r>
        </a:p>
      </dsp:txBody>
      <dsp:txXfrm>
        <a:off x="2924954" y="634023"/>
        <a:ext cx="1191173" cy="402638"/>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1037C9-1EFF-4D03-B3A3-85D6C4F65F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172269</Words>
  <Characters>981936</Characters>
  <Application>Microsoft Office Word</Application>
  <DocSecurity>0</DocSecurity>
  <Lines>8182</Lines>
  <Paragraphs>2303</Paragraphs>
  <ScaleCrop>false</ScaleCrop>
  <HeadingPairs>
    <vt:vector size="2" baseType="variant">
      <vt:variant>
        <vt:lpstr>Title</vt:lpstr>
      </vt:variant>
      <vt:variant>
        <vt:i4>1</vt:i4>
      </vt:variant>
    </vt:vector>
  </HeadingPairs>
  <TitlesOfParts>
    <vt:vector size="1" baseType="lpstr">
      <vt:lpstr/>
    </vt:vector>
  </TitlesOfParts>
  <Company>The University of Sheffield</Company>
  <LinksUpToDate>false</LinksUpToDate>
  <CharactersWithSpaces>1151902</CharactersWithSpaces>
  <SharedDoc>false</SharedDoc>
  <HLinks>
    <vt:vector size="1710" baseType="variant">
      <vt:variant>
        <vt:i4>262202</vt:i4>
      </vt:variant>
      <vt:variant>
        <vt:i4>4976</vt:i4>
      </vt:variant>
      <vt:variant>
        <vt:i4>0</vt:i4>
      </vt:variant>
      <vt:variant>
        <vt:i4>5</vt:i4>
      </vt:variant>
      <vt:variant>
        <vt:lpwstr>mailto:sluo5@sheffield.ac.uk</vt:lpwstr>
      </vt:variant>
      <vt:variant>
        <vt:lpwstr/>
      </vt:variant>
      <vt:variant>
        <vt:i4>2818174</vt:i4>
      </vt:variant>
      <vt:variant>
        <vt:i4>4972</vt:i4>
      </vt:variant>
      <vt:variant>
        <vt:i4>0</vt:i4>
      </vt:variant>
      <vt:variant>
        <vt:i4>5</vt:i4>
      </vt:variant>
      <vt:variant>
        <vt:lpwstr>http://www/</vt:lpwstr>
      </vt:variant>
      <vt:variant>
        <vt:lpwstr/>
      </vt:variant>
      <vt:variant>
        <vt:i4>6488160</vt:i4>
      </vt:variant>
      <vt:variant>
        <vt:i4>4050</vt:i4>
      </vt:variant>
      <vt:variant>
        <vt:i4>0</vt:i4>
      </vt:variant>
      <vt:variant>
        <vt:i4>5</vt:i4>
      </vt:variant>
      <vt:variant>
        <vt:lpwstr>https://www.youdao.com/w/administrative intervention/</vt:lpwstr>
      </vt:variant>
      <vt:variant>
        <vt:lpwstr>keyfrom=E2Ctranslation</vt:lpwstr>
      </vt:variant>
      <vt:variant>
        <vt:i4>1966191</vt:i4>
      </vt:variant>
      <vt:variant>
        <vt:i4>3477</vt:i4>
      </vt:variant>
      <vt:variant>
        <vt:i4>0</vt:i4>
      </vt:variant>
      <vt:variant>
        <vt:i4>5</vt:i4>
      </vt:variant>
      <vt:variant>
        <vt:lpwstr>https://en.wikipedia.org/wiki/Probability_distributions</vt:lpwstr>
      </vt:variant>
      <vt:variant>
        <vt:lpwstr/>
      </vt:variant>
      <vt:variant>
        <vt:i4>7471122</vt:i4>
      </vt:variant>
      <vt:variant>
        <vt:i4>3312</vt:i4>
      </vt:variant>
      <vt:variant>
        <vt:i4>0</vt:i4>
      </vt:variant>
      <vt:variant>
        <vt:i4>5</vt:i4>
      </vt:variant>
      <vt:variant>
        <vt:lpwstr>https://en.wikipedia.org/wiki/Corporate_executive</vt:lpwstr>
      </vt:variant>
      <vt:variant>
        <vt:lpwstr/>
      </vt:variant>
      <vt:variant>
        <vt:i4>720999</vt:i4>
      </vt:variant>
      <vt:variant>
        <vt:i4>3309</vt:i4>
      </vt:variant>
      <vt:variant>
        <vt:i4>0</vt:i4>
      </vt:variant>
      <vt:variant>
        <vt:i4>5</vt:i4>
      </vt:variant>
      <vt:variant>
        <vt:lpwstr>https://en.wikipedia.org/wiki/Private_property</vt:lpwstr>
      </vt:variant>
      <vt:variant>
        <vt:lpwstr/>
      </vt:variant>
      <vt:variant>
        <vt:i4>5767240</vt:i4>
      </vt:variant>
      <vt:variant>
        <vt:i4>3306</vt:i4>
      </vt:variant>
      <vt:variant>
        <vt:i4>0</vt:i4>
      </vt:variant>
      <vt:variant>
        <vt:i4>5</vt:i4>
      </vt:variant>
      <vt:variant>
        <vt:lpwstr>https://en.wikipedia.org/wiki/Free-enterprise</vt:lpwstr>
      </vt:variant>
      <vt:variant>
        <vt:lpwstr/>
      </vt:variant>
      <vt:variant>
        <vt:i4>5177378</vt:i4>
      </vt:variant>
      <vt:variant>
        <vt:i4>3297</vt:i4>
      </vt:variant>
      <vt:variant>
        <vt:i4>0</vt:i4>
      </vt:variant>
      <vt:variant>
        <vt:i4>5</vt:i4>
      </vt:variant>
      <vt:variant>
        <vt:lpwstr>https://en.wikipedia.org/wiki/Profit_(economics)</vt:lpwstr>
      </vt:variant>
      <vt:variant>
        <vt:lpwstr/>
      </vt:variant>
      <vt:variant>
        <vt:i4>7208999</vt:i4>
      </vt:variant>
      <vt:variant>
        <vt:i4>3294</vt:i4>
      </vt:variant>
      <vt:variant>
        <vt:i4>0</vt:i4>
      </vt:variant>
      <vt:variant>
        <vt:i4>5</vt:i4>
      </vt:variant>
      <vt:variant>
        <vt:lpwstr>https://en.wikipedia.org/wiki/Means_of_production</vt:lpwstr>
      </vt:variant>
      <vt:variant>
        <vt:lpwstr/>
      </vt:variant>
      <vt:variant>
        <vt:i4>720999</vt:i4>
      </vt:variant>
      <vt:variant>
        <vt:i4>3291</vt:i4>
      </vt:variant>
      <vt:variant>
        <vt:i4>0</vt:i4>
      </vt:variant>
      <vt:variant>
        <vt:i4>5</vt:i4>
      </vt:variant>
      <vt:variant>
        <vt:lpwstr>https://en.wikipedia.org/wiki/Private_property</vt:lpwstr>
      </vt:variant>
      <vt:variant>
        <vt:lpwstr/>
      </vt:variant>
      <vt:variant>
        <vt:i4>1572886</vt:i4>
      </vt:variant>
      <vt:variant>
        <vt:i4>3219</vt:i4>
      </vt:variant>
      <vt:variant>
        <vt:i4>0</vt:i4>
      </vt:variant>
      <vt:variant>
        <vt:i4>5</vt:i4>
      </vt:variant>
      <vt:variant>
        <vt:lpwstr>http://wagner.nyu.edu/rudincenter</vt:lpwstr>
      </vt:variant>
      <vt:variant>
        <vt:lpwstr/>
      </vt:variant>
      <vt:variant>
        <vt:i4>3997808</vt:i4>
      </vt:variant>
      <vt:variant>
        <vt:i4>3216</vt:i4>
      </vt:variant>
      <vt:variant>
        <vt:i4>0</vt:i4>
      </vt:variant>
      <vt:variant>
        <vt:i4>5</vt:i4>
      </vt:variant>
      <vt:variant>
        <vt:lpwstr>http://ec.europa.eu/energy/intelligent/</vt:lpwstr>
      </vt:variant>
      <vt:variant>
        <vt:lpwstr/>
      </vt:variant>
      <vt:variant>
        <vt:i4>5439508</vt:i4>
      </vt:variant>
      <vt:variant>
        <vt:i4>2736</vt:i4>
      </vt:variant>
      <vt:variant>
        <vt:i4>0</vt:i4>
      </vt:variant>
      <vt:variant>
        <vt:i4>5</vt:i4>
      </vt:variant>
      <vt:variant>
        <vt:lpwstr>https://en.wikipedia.org/wiki/Hypothesis</vt:lpwstr>
      </vt:variant>
      <vt:variant>
        <vt:lpwstr/>
      </vt:variant>
      <vt:variant>
        <vt:i4>1441842</vt:i4>
      </vt:variant>
      <vt:variant>
        <vt:i4>1631</vt:i4>
      </vt:variant>
      <vt:variant>
        <vt:i4>0</vt:i4>
      </vt:variant>
      <vt:variant>
        <vt:i4>5</vt:i4>
      </vt:variant>
      <vt:variant>
        <vt:lpwstr/>
      </vt:variant>
      <vt:variant>
        <vt:lpwstr>_Toc62120657</vt:lpwstr>
      </vt:variant>
      <vt:variant>
        <vt:i4>1507378</vt:i4>
      </vt:variant>
      <vt:variant>
        <vt:i4>1625</vt:i4>
      </vt:variant>
      <vt:variant>
        <vt:i4>0</vt:i4>
      </vt:variant>
      <vt:variant>
        <vt:i4>5</vt:i4>
      </vt:variant>
      <vt:variant>
        <vt:lpwstr/>
      </vt:variant>
      <vt:variant>
        <vt:lpwstr>_Toc62120656</vt:lpwstr>
      </vt:variant>
      <vt:variant>
        <vt:i4>1310770</vt:i4>
      </vt:variant>
      <vt:variant>
        <vt:i4>1619</vt:i4>
      </vt:variant>
      <vt:variant>
        <vt:i4>0</vt:i4>
      </vt:variant>
      <vt:variant>
        <vt:i4>5</vt:i4>
      </vt:variant>
      <vt:variant>
        <vt:lpwstr/>
      </vt:variant>
      <vt:variant>
        <vt:lpwstr>_Toc62120655</vt:lpwstr>
      </vt:variant>
      <vt:variant>
        <vt:i4>1376306</vt:i4>
      </vt:variant>
      <vt:variant>
        <vt:i4>1613</vt:i4>
      </vt:variant>
      <vt:variant>
        <vt:i4>0</vt:i4>
      </vt:variant>
      <vt:variant>
        <vt:i4>5</vt:i4>
      </vt:variant>
      <vt:variant>
        <vt:lpwstr/>
      </vt:variant>
      <vt:variant>
        <vt:lpwstr>_Toc62120654</vt:lpwstr>
      </vt:variant>
      <vt:variant>
        <vt:i4>1179698</vt:i4>
      </vt:variant>
      <vt:variant>
        <vt:i4>1607</vt:i4>
      </vt:variant>
      <vt:variant>
        <vt:i4>0</vt:i4>
      </vt:variant>
      <vt:variant>
        <vt:i4>5</vt:i4>
      </vt:variant>
      <vt:variant>
        <vt:lpwstr/>
      </vt:variant>
      <vt:variant>
        <vt:lpwstr>_Toc62120653</vt:lpwstr>
      </vt:variant>
      <vt:variant>
        <vt:i4>1245234</vt:i4>
      </vt:variant>
      <vt:variant>
        <vt:i4>1601</vt:i4>
      </vt:variant>
      <vt:variant>
        <vt:i4>0</vt:i4>
      </vt:variant>
      <vt:variant>
        <vt:i4>5</vt:i4>
      </vt:variant>
      <vt:variant>
        <vt:lpwstr/>
      </vt:variant>
      <vt:variant>
        <vt:lpwstr>_Toc62120652</vt:lpwstr>
      </vt:variant>
      <vt:variant>
        <vt:i4>1048626</vt:i4>
      </vt:variant>
      <vt:variant>
        <vt:i4>1595</vt:i4>
      </vt:variant>
      <vt:variant>
        <vt:i4>0</vt:i4>
      </vt:variant>
      <vt:variant>
        <vt:i4>5</vt:i4>
      </vt:variant>
      <vt:variant>
        <vt:lpwstr/>
      </vt:variant>
      <vt:variant>
        <vt:lpwstr>_Toc62120651</vt:lpwstr>
      </vt:variant>
      <vt:variant>
        <vt:i4>1114162</vt:i4>
      </vt:variant>
      <vt:variant>
        <vt:i4>1589</vt:i4>
      </vt:variant>
      <vt:variant>
        <vt:i4>0</vt:i4>
      </vt:variant>
      <vt:variant>
        <vt:i4>5</vt:i4>
      </vt:variant>
      <vt:variant>
        <vt:lpwstr/>
      </vt:variant>
      <vt:variant>
        <vt:lpwstr>_Toc62120650</vt:lpwstr>
      </vt:variant>
      <vt:variant>
        <vt:i4>1572915</vt:i4>
      </vt:variant>
      <vt:variant>
        <vt:i4>1583</vt:i4>
      </vt:variant>
      <vt:variant>
        <vt:i4>0</vt:i4>
      </vt:variant>
      <vt:variant>
        <vt:i4>5</vt:i4>
      </vt:variant>
      <vt:variant>
        <vt:lpwstr/>
      </vt:variant>
      <vt:variant>
        <vt:lpwstr>_Toc62120649</vt:lpwstr>
      </vt:variant>
      <vt:variant>
        <vt:i4>1638451</vt:i4>
      </vt:variant>
      <vt:variant>
        <vt:i4>1577</vt:i4>
      </vt:variant>
      <vt:variant>
        <vt:i4>0</vt:i4>
      </vt:variant>
      <vt:variant>
        <vt:i4>5</vt:i4>
      </vt:variant>
      <vt:variant>
        <vt:lpwstr/>
      </vt:variant>
      <vt:variant>
        <vt:lpwstr>_Toc62120648</vt:lpwstr>
      </vt:variant>
      <vt:variant>
        <vt:i4>1441843</vt:i4>
      </vt:variant>
      <vt:variant>
        <vt:i4>1571</vt:i4>
      </vt:variant>
      <vt:variant>
        <vt:i4>0</vt:i4>
      </vt:variant>
      <vt:variant>
        <vt:i4>5</vt:i4>
      </vt:variant>
      <vt:variant>
        <vt:lpwstr/>
      </vt:variant>
      <vt:variant>
        <vt:lpwstr>_Toc62120647</vt:lpwstr>
      </vt:variant>
      <vt:variant>
        <vt:i4>1507379</vt:i4>
      </vt:variant>
      <vt:variant>
        <vt:i4>1565</vt:i4>
      </vt:variant>
      <vt:variant>
        <vt:i4>0</vt:i4>
      </vt:variant>
      <vt:variant>
        <vt:i4>5</vt:i4>
      </vt:variant>
      <vt:variant>
        <vt:lpwstr/>
      </vt:variant>
      <vt:variant>
        <vt:lpwstr>_Toc62120646</vt:lpwstr>
      </vt:variant>
      <vt:variant>
        <vt:i4>1310771</vt:i4>
      </vt:variant>
      <vt:variant>
        <vt:i4>1559</vt:i4>
      </vt:variant>
      <vt:variant>
        <vt:i4>0</vt:i4>
      </vt:variant>
      <vt:variant>
        <vt:i4>5</vt:i4>
      </vt:variant>
      <vt:variant>
        <vt:lpwstr/>
      </vt:variant>
      <vt:variant>
        <vt:lpwstr>_Toc62120645</vt:lpwstr>
      </vt:variant>
      <vt:variant>
        <vt:i4>1376307</vt:i4>
      </vt:variant>
      <vt:variant>
        <vt:i4>1553</vt:i4>
      </vt:variant>
      <vt:variant>
        <vt:i4>0</vt:i4>
      </vt:variant>
      <vt:variant>
        <vt:i4>5</vt:i4>
      </vt:variant>
      <vt:variant>
        <vt:lpwstr/>
      </vt:variant>
      <vt:variant>
        <vt:lpwstr>_Toc62120644</vt:lpwstr>
      </vt:variant>
      <vt:variant>
        <vt:i4>1179699</vt:i4>
      </vt:variant>
      <vt:variant>
        <vt:i4>1547</vt:i4>
      </vt:variant>
      <vt:variant>
        <vt:i4>0</vt:i4>
      </vt:variant>
      <vt:variant>
        <vt:i4>5</vt:i4>
      </vt:variant>
      <vt:variant>
        <vt:lpwstr/>
      </vt:variant>
      <vt:variant>
        <vt:lpwstr>_Toc62120643</vt:lpwstr>
      </vt:variant>
      <vt:variant>
        <vt:i4>1245235</vt:i4>
      </vt:variant>
      <vt:variant>
        <vt:i4>1541</vt:i4>
      </vt:variant>
      <vt:variant>
        <vt:i4>0</vt:i4>
      </vt:variant>
      <vt:variant>
        <vt:i4>5</vt:i4>
      </vt:variant>
      <vt:variant>
        <vt:lpwstr/>
      </vt:variant>
      <vt:variant>
        <vt:lpwstr>_Toc62120642</vt:lpwstr>
      </vt:variant>
      <vt:variant>
        <vt:i4>1048627</vt:i4>
      </vt:variant>
      <vt:variant>
        <vt:i4>1535</vt:i4>
      </vt:variant>
      <vt:variant>
        <vt:i4>0</vt:i4>
      </vt:variant>
      <vt:variant>
        <vt:i4>5</vt:i4>
      </vt:variant>
      <vt:variant>
        <vt:lpwstr/>
      </vt:variant>
      <vt:variant>
        <vt:lpwstr>_Toc62120641</vt:lpwstr>
      </vt:variant>
      <vt:variant>
        <vt:i4>1114163</vt:i4>
      </vt:variant>
      <vt:variant>
        <vt:i4>1529</vt:i4>
      </vt:variant>
      <vt:variant>
        <vt:i4>0</vt:i4>
      </vt:variant>
      <vt:variant>
        <vt:i4>5</vt:i4>
      </vt:variant>
      <vt:variant>
        <vt:lpwstr/>
      </vt:variant>
      <vt:variant>
        <vt:lpwstr>_Toc62120640</vt:lpwstr>
      </vt:variant>
      <vt:variant>
        <vt:i4>1572916</vt:i4>
      </vt:variant>
      <vt:variant>
        <vt:i4>1523</vt:i4>
      </vt:variant>
      <vt:variant>
        <vt:i4>0</vt:i4>
      </vt:variant>
      <vt:variant>
        <vt:i4>5</vt:i4>
      </vt:variant>
      <vt:variant>
        <vt:lpwstr/>
      </vt:variant>
      <vt:variant>
        <vt:lpwstr>_Toc62120639</vt:lpwstr>
      </vt:variant>
      <vt:variant>
        <vt:i4>1638452</vt:i4>
      </vt:variant>
      <vt:variant>
        <vt:i4>1517</vt:i4>
      </vt:variant>
      <vt:variant>
        <vt:i4>0</vt:i4>
      </vt:variant>
      <vt:variant>
        <vt:i4>5</vt:i4>
      </vt:variant>
      <vt:variant>
        <vt:lpwstr/>
      </vt:variant>
      <vt:variant>
        <vt:lpwstr>_Toc62120638</vt:lpwstr>
      </vt:variant>
      <vt:variant>
        <vt:i4>1441844</vt:i4>
      </vt:variant>
      <vt:variant>
        <vt:i4>1511</vt:i4>
      </vt:variant>
      <vt:variant>
        <vt:i4>0</vt:i4>
      </vt:variant>
      <vt:variant>
        <vt:i4>5</vt:i4>
      </vt:variant>
      <vt:variant>
        <vt:lpwstr/>
      </vt:variant>
      <vt:variant>
        <vt:lpwstr>_Toc62120637</vt:lpwstr>
      </vt:variant>
      <vt:variant>
        <vt:i4>1507380</vt:i4>
      </vt:variant>
      <vt:variant>
        <vt:i4>1505</vt:i4>
      </vt:variant>
      <vt:variant>
        <vt:i4>0</vt:i4>
      </vt:variant>
      <vt:variant>
        <vt:i4>5</vt:i4>
      </vt:variant>
      <vt:variant>
        <vt:lpwstr/>
      </vt:variant>
      <vt:variant>
        <vt:lpwstr>_Toc62120636</vt:lpwstr>
      </vt:variant>
      <vt:variant>
        <vt:i4>1310772</vt:i4>
      </vt:variant>
      <vt:variant>
        <vt:i4>1499</vt:i4>
      </vt:variant>
      <vt:variant>
        <vt:i4>0</vt:i4>
      </vt:variant>
      <vt:variant>
        <vt:i4>5</vt:i4>
      </vt:variant>
      <vt:variant>
        <vt:lpwstr/>
      </vt:variant>
      <vt:variant>
        <vt:lpwstr>_Toc62120635</vt:lpwstr>
      </vt:variant>
      <vt:variant>
        <vt:i4>1376308</vt:i4>
      </vt:variant>
      <vt:variant>
        <vt:i4>1493</vt:i4>
      </vt:variant>
      <vt:variant>
        <vt:i4>0</vt:i4>
      </vt:variant>
      <vt:variant>
        <vt:i4>5</vt:i4>
      </vt:variant>
      <vt:variant>
        <vt:lpwstr/>
      </vt:variant>
      <vt:variant>
        <vt:lpwstr>_Toc62120634</vt:lpwstr>
      </vt:variant>
      <vt:variant>
        <vt:i4>1179700</vt:i4>
      </vt:variant>
      <vt:variant>
        <vt:i4>1487</vt:i4>
      </vt:variant>
      <vt:variant>
        <vt:i4>0</vt:i4>
      </vt:variant>
      <vt:variant>
        <vt:i4>5</vt:i4>
      </vt:variant>
      <vt:variant>
        <vt:lpwstr/>
      </vt:variant>
      <vt:variant>
        <vt:lpwstr>_Toc62120633</vt:lpwstr>
      </vt:variant>
      <vt:variant>
        <vt:i4>1245236</vt:i4>
      </vt:variant>
      <vt:variant>
        <vt:i4>1481</vt:i4>
      </vt:variant>
      <vt:variant>
        <vt:i4>0</vt:i4>
      </vt:variant>
      <vt:variant>
        <vt:i4>5</vt:i4>
      </vt:variant>
      <vt:variant>
        <vt:lpwstr/>
      </vt:variant>
      <vt:variant>
        <vt:lpwstr>_Toc62120632</vt:lpwstr>
      </vt:variant>
      <vt:variant>
        <vt:i4>1048628</vt:i4>
      </vt:variant>
      <vt:variant>
        <vt:i4>1475</vt:i4>
      </vt:variant>
      <vt:variant>
        <vt:i4>0</vt:i4>
      </vt:variant>
      <vt:variant>
        <vt:i4>5</vt:i4>
      </vt:variant>
      <vt:variant>
        <vt:lpwstr/>
      </vt:variant>
      <vt:variant>
        <vt:lpwstr>_Toc62120631</vt:lpwstr>
      </vt:variant>
      <vt:variant>
        <vt:i4>1114164</vt:i4>
      </vt:variant>
      <vt:variant>
        <vt:i4>1469</vt:i4>
      </vt:variant>
      <vt:variant>
        <vt:i4>0</vt:i4>
      </vt:variant>
      <vt:variant>
        <vt:i4>5</vt:i4>
      </vt:variant>
      <vt:variant>
        <vt:lpwstr/>
      </vt:variant>
      <vt:variant>
        <vt:lpwstr>_Toc62120630</vt:lpwstr>
      </vt:variant>
      <vt:variant>
        <vt:i4>1572917</vt:i4>
      </vt:variant>
      <vt:variant>
        <vt:i4>1463</vt:i4>
      </vt:variant>
      <vt:variant>
        <vt:i4>0</vt:i4>
      </vt:variant>
      <vt:variant>
        <vt:i4>5</vt:i4>
      </vt:variant>
      <vt:variant>
        <vt:lpwstr/>
      </vt:variant>
      <vt:variant>
        <vt:lpwstr>_Toc62120629</vt:lpwstr>
      </vt:variant>
      <vt:variant>
        <vt:i4>1638453</vt:i4>
      </vt:variant>
      <vt:variant>
        <vt:i4>1457</vt:i4>
      </vt:variant>
      <vt:variant>
        <vt:i4>0</vt:i4>
      </vt:variant>
      <vt:variant>
        <vt:i4>5</vt:i4>
      </vt:variant>
      <vt:variant>
        <vt:lpwstr/>
      </vt:variant>
      <vt:variant>
        <vt:lpwstr>_Toc62120628</vt:lpwstr>
      </vt:variant>
      <vt:variant>
        <vt:i4>1441845</vt:i4>
      </vt:variant>
      <vt:variant>
        <vt:i4>1451</vt:i4>
      </vt:variant>
      <vt:variant>
        <vt:i4>0</vt:i4>
      </vt:variant>
      <vt:variant>
        <vt:i4>5</vt:i4>
      </vt:variant>
      <vt:variant>
        <vt:lpwstr/>
      </vt:variant>
      <vt:variant>
        <vt:lpwstr>_Toc62120627</vt:lpwstr>
      </vt:variant>
      <vt:variant>
        <vt:i4>1507381</vt:i4>
      </vt:variant>
      <vt:variant>
        <vt:i4>1445</vt:i4>
      </vt:variant>
      <vt:variant>
        <vt:i4>0</vt:i4>
      </vt:variant>
      <vt:variant>
        <vt:i4>5</vt:i4>
      </vt:variant>
      <vt:variant>
        <vt:lpwstr/>
      </vt:variant>
      <vt:variant>
        <vt:lpwstr>_Toc62120626</vt:lpwstr>
      </vt:variant>
      <vt:variant>
        <vt:i4>1310773</vt:i4>
      </vt:variant>
      <vt:variant>
        <vt:i4>1439</vt:i4>
      </vt:variant>
      <vt:variant>
        <vt:i4>0</vt:i4>
      </vt:variant>
      <vt:variant>
        <vt:i4>5</vt:i4>
      </vt:variant>
      <vt:variant>
        <vt:lpwstr/>
      </vt:variant>
      <vt:variant>
        <vt:lpwstr>_Toc62120625</vt:lpwstr>
      </vt:variant>
      <vt:variant>
        <vt:i4>1376309</vt:i4>
      </vt:variant>
      <vt:variant>
        <vt:i4>1433</vt:i4>
      </vt:variant>
      <vt:variant>
        <vt:i4>0</vt:i4>
      </vt:variant>
      <vt:variant>
        <vt:i4>5</vt:i4>
      </vt:variant>
      <vt:variant>
        <vt:lpwstr/>
      </vt:variant>
      <vt:variant>
        <vt:lpwstr>_Toc62120624</vt:lpwstr>
      </vt:variant>
      <vt:variant>
        <vt:i4>1179701</vt:i4>
      </vt:variant>
      <vt:variant>
        <vt:i4>1427</vt:i4>
      </vt:variant>
      <vt:variant>
        <vt:i4>0</vt:i4>
      </vt:variant>
      <vt:variant>
        <vt:i4>5</vt:i4>
      </vt:variant>
      <vt:variant>
        <vt:lpwstr/>
      </vt:variant>
      <vt:variant>
        <vt:lpwstr>_Toc62120623</vt:lpwstr>
      </vt:variant>
      <vt:variant>
        <vt:i4>1245237</vt:i4>
      </vt:variant>
      <vt:variant>
        <vt:i4>1421</vt:i4>
      </vt:variant>
      <vt:variant>
        <vt:i4>0</vt:i4>
      </vt:variant>
      <vt:variant>
        <vt:i4>5</vt:i4>
      </vt:variant>
      <vt:variant>
        <vt:lpwstr/>
      </vt:variant>
      <vt:variant>
        <vt:lpwstr>_Toc62120622</vt:lpwstr>
      </vt:variant>
      <vt:variant>
        <vt:i4>1048629</vt:i4>
      </vt:variant>
      <vt:variant>
        <vt:i4>1415</vt:i4>
      </vt:variant>
      <vt:variant>
        <vt:i4>0</vt:i4>
      </vt:variant>
      <vt:variant>
        <vt:i4>5</vt:i4>
      </vt:variant>
      <vt:variant>
        <vt:lpwstr/>
      </vt:variant>
      <vt:variant>
        <vt:lpwstr>_Toc62120621</vt:lpwstr>
      </vt:variant>
      <vt:variant>
        <vt:i4>1114165</vt:i4>
      </vt:variant>
      <vt:variant>
        <vt:i4>1409</vt:i4>
      </vt:variant>
      <vt:variant>
        <vt:i4>0</vt:i4>
      </vt:variant>
      <vt:variant>
        <vt:i4>5</vt:i4>
      </vt:variant>
      <vt:variant>
        <vt:lpwstr/>
      </vt:variant>
      <vt:variant>
        <vt:lpwstr>_Toc62120620</vt:lpwstr>
      </vt:variant>
      <vt:variant>
        <vt:i4>1572918</vt:i4>
      </vt:variant>
      <vt:variant>
        <vt:i4>1403</vt:i4>
      </vt:variant>
      <vt:variant>
        <vt:i4>0</vt:i4>
      </vt:variant>
      <vt:variant>
        <vt:i4>5</vt:i4>
      </vt:variant>
      <vt:variant>
        <vt:lpwstr/>
      </vt:variant>
      <vt:variant>
        <vt:lpwstr>_Toc62120619</vt:lpwstr>
      </vt:variant>
      <vt:variant>
        <vt:i4>1638454</vt:i4>
      </vt:variant>
      <vt:variant>
        <vt:i4>1397</vt:i4>
      </vt:variant>
      <vt:variant>
        <vt:i4>0</vt:i4>
      </vt:variant>
      <vt:variant>
        <vt:i4>5</vt:i4>
      </vt:variant>
      <vt:variant>
        <vt:lpwstr/>
      </vt:variant>
      <vt:variant>
        <vt:lpwstr>_Toc62120618</vt:lpwstr>
      </vt:variant>
      <vt:variant>
        <vt:i4>1441846</vt:i4>
      </vt:variant>
      <vt:variant>
        <vt:i4>1391</vt:i4>
      </vt:variant>
      <vt:variant>
        <vt:i4>0</vt:i4>
      </vt:variant>
      <vt:variant>
        <vt:i4>5</vt:i4>
      </vt:variant>
      <vt:variant>
        <vt:lpwstr/>
      </vt:variant>
      <vt:variant>
        <vt:lpwstr>_Toc62120617</vt:lpwstr>
      </vt:variant>
      <vt:variant>
        <vt:i4>1507382</vt:i4>
      </vt:variant>
      <vt:variant>
        <vt:i4>1385</vt:i4>
      </vt:variant>
      <vt:variant>
        <vt:i4>0</vt:i4>
      </vt:variant>
      <vt:variant>
        <vt:i4>5</vt:i4>
      </vt:variant>
      <vt:variant>
        <vt:lpwstr/>
      </vt:variant>
      <vt:variant>
        <vt:lpwstr>_Toc62120616</vt:lpwstr>
      </vt:variant>
      <vt:variant>
        <vt:i4>1310774</vt:i4>
      </vt:variant>
      <vt:variant>
        <vt:i4>1379</vt:i4>
      </vt:variant>
      <vt:variant>
        <vt:i4>0</vt:i4>
      </vt:variant>
      <vt:variant>
        <vt:i4>5</vt:i4>
      </vt:variant>
      <vt:variant>
        <vt:lpwstr/>
      </vt:variant>
      <vt:variant>
        <vt:lpwstr>_Toc62120615</vt:lpwstr>
      </vt:variant>
      <vt:variant>
        <vt:i4>1376310</vt:i4>
      </vt:variant>
      <vt:variant>
        <vt:i4>1373</vt:i4>
      </vt:variant>
      <vt:variant>
        <vt:i4>0</vt:i4>
      </vt:variant>
      <vt:variant>
        <vt:i4>5</vt:i4>
      </vt:variant>
      <vt:variant>
        <vt:lpwstr/>
      </vt:variant>
      <vt:variant>
        <vt:lpwstr>_Toc62120614</vt:lpwstr>
      </vt:variant>
      <vt:variant>
        <vt:i4>1179702</vt:i4>
      </vt:variant>
      <vt:variant>
        <vt:i4>1367</vt:i4>
      </vt:variant>
      <vt:variant>
        <vt:i4>0</vt:i4>
      </vt:variant>
      <vt:variant>
        <vt:i4>5</vt:i4>
      </vt:variant>
      <vt:variant>
        <vt:lpwstr/>
      </vt:variant>
      <vt:variant>
        <vt:lpwstr>_Toc62120613</vt:lpwstr>
      </vt:variant>
      <vt:variant>
        <vt:i4>1245238</vt:i4>
      </vt:variant>
      <vt:variant>
        <vt:i4>1361</vt:i4>
      </vt:variant>
      <vt:variant>
        <vt:i4>0</vt:i4>
      </vt:variant>
      <vt:variant>
        <vt:i4>5</vt:i4>
      </vt:variant>
      <vt:variant>
        <vt:lpwstr/>
      </vt:variant>
      <vt:variant>
        <vt:lpwstr>_Toc62120612</vt:lpwstr>
      </vt:variant>
      <vt:variant>
        <vt:i4>1048630</vt:i4>
      </vt:variant>
      <vt:variant>
        <vt:i4>1355</vt:i4>
      </vt:variant>
      <vt:variant>
        <vt:i4>0</vt:i4>
      </vt:variant>
      <vt:variant>
        <vt:i4>5</vt:i4>
      </vt:variant>
      <vt:variant>
        <vt:lpwstr/>
      </vt:variant>
      <vt:variant>
        <vt:lpwstr>_Toc62120611</vt:lpwstr>
      </vt:variant>
      <vt:variant>
        <vt:i4>1114166</vt:i4>
      </vt:variant>
      <vt:variant>
        <vt:i4>1349</vt:i4>
      </vt:variant>
      <vt:variant>
        <vt:i4>0</vt:i4>
      </vt:variant>
      <vt:variant>
        <vt:i4>5</vt:i4>
      </vt:variant>
      <vt:variant>
        <vt:lpwstr/>
      </vt:variant>
      <vt:variant>
        <vt:lpwstr>_Toc62120610</vt:lpwstr>
      </vt:variant>
      <vt:variant>
        <vt:i4>1572919</vt:i4>
      </vt:variant>
      <vt:variant>
        <vt:i4>1343</vt:i4>
      </vt:variant>
      <vt:variant>
        <vt:i4>0</vt:i4>
      </vt:variant>
      <vt:variant>
        <vt:i4>5</vt:i4>
      </vt:variant>
      <vt:variant>
        <vt:lpwstr/>
      </vt:variant>
      <vt:variant>
        <vt:lpwstr>_Toc62120609</vt:lpwstr>
      </vt:variant>
      <vt:variant>
        <vt:i4>1638455</vt:i4>
      </vt:variant>
      <vt:variant>
        <vt:i4>1337</vt:i4>
      </vt:variant>
      <vt:variant>
        <vt:i4>0</vt:i4>
      </vt:variant>
      <vt:variant>
        <vt:i4>5</vt:i4>
      </vt:variant>
      <vt:variant>
        <vt:lpwstr/>
      </vt:variant>
      <vt:variant>
        <vt:lpwstr>_Toc62120608</vt:lpwstr>
      </vt:variant>
      <vt:variant>
        <vt:i4>1441847</vt:i4>
      </vt:variant>
      <vt:variant>
        <vt:i4>1331</vt:i4>
      </vt:variant>
      <vt:variant>
        <vt:i4>0</vt:i4>
      </vt:variant>
      <vt:variant>
        <vt:i4>5</vt:i4>
      </vt:variant>
      <vt:variant>
        <vt:lpwstr/>
      </vt:variant>
      <vt:variant>
        <vt:lpwstr>_Toc62120607</vt:lpwstr>
      </vt:variant>
      <vt:variant>
        <vt:i4>1507383</vt:i4>
      </vt:variant>
      <vt:variant>
        <vt:i4>1325</vt:i4>
      </vt:variant>
      <vt:variant>
        <vt:i4>0</vt:i4>
      </vt:variant>
      <vt:variant>
        <vt:i4>5</vt:i4>
      </vt:variant>
      <vt:variant>
        <vt:lpwstr/>
      </vt:variant>
      <vt:variant>
        <vt:lpwstr>_Toc62120606</vt:lpwstr>
      </vt:variant>
      <vt:variant>
        <vt:i4>1310775</vt:i4>
      </vt:variant>
      <vt:variant>
        <vt:i4>1319</vt:i4>
      </vt:variant>
      <vt:variant>
        <vt:i4>0</vt:i4>
      </vt:variant>
      <vt:variant>
        <vt:i4>5</vt:i4>
      </vt:variant>
      <vt:variant>
        <vt:lpwstr/>
      </vt:variant>
      <vt:variant>
        <vt:lpwstr>_Toc62120605</vt:lpwstr>
      </vt:variant>
      <vt:variant>
        <vt:i4>1376311</vt:i4>
      </vt:variant>
      <vt:variant>
        <vt:i4>1313</vt:i4>
      </vt:variant>
      <vt:variant>
        <vt:i4>0</vt:i4>
      </vt:variant>
      <vt:variant>
        <vt:i4>5</vt:i4>
      </vt:variant>
      <vt:variant>
        <vt:lpwstr/>
      </vt:variant>
      <vt:variant>
        <vt:lpwstr>_Toc62120604</vt:lpwstr>
      </vt:variant>
      <vt:variant>
        <vt:i4>1179703</vt:i4>
      </vt:variant>
      <vt:variant>
        <vt:i4>1307</vt:i4>
      </vt:variant>
      <vt:variant>
        <vt:i4>0</vt:i4>
      </vt:variant>
      <vt:variant>
        <vt:i4>5</vt:i4>
      </vt:variant>
      <vt:variant>
        <vt:lpwstr/>
      </vt:variant>
      <vt:variant>
        <vt:lpwstr>_Toc62120603</vt:lpwstr>
      </vt:variant>
      <vt:variant>
        <vt:i4>1245239</vt:i4>
      </vt:variant>
      <vt:variant>
        <vt:i4>1301</vt:i4>
      </vt:variant>
      <vt:variant>
        <vt:i4>0</vt:i4>
      </vt:variant>
      <vt:variant>
        <vt:i4>5</vt:i4>
      </vt:variant>
      <vt:variant>
        <vt:lpwstr/>
      </vt:variant>
      <vt:variant>
        <vt:lpwstr>_Toc62120602</vt:lpwstr>
      </vt:variant>
      <vt:variant>
        <vt:i4>1048631</vt:i4>
      </vt:variant>
      <vt:variant>
        <vt:i4>1295</vt:i4>
      </vt:variant>
      <vt:variant>
        <vt:i4>0</vt:i4>
      </vt:variant>
      <vt:variant>
        <vt:i4>5</vt:i4>
      </vt:variant>
      <vt:variant>
        <vt:lpwstr/>
      </vt:variant>
      <vt:variant>
        <vt:lpwstr>_Toc62120601</vt:lpwstr>
      </vt:variant>
      <vt:variant>
        <vt:i4>1114167</vt:i4>
      </vt:variant>
      <vt:variant>
        <vt:i4>1289</vt:i4>
      </vt:variant>
      <vt:variant>
        <vt:i4>0</vt:i4>
      </vt:variant>
      <vt:variant>
        <vt:i4>5</vt:i4>
      </vt:variant>
      <vt:variant>
        <vt:lpwstr/>
      </vt:variant>
      <vt:variant>
        <vt:lpwstr>_Toc62120600</vt:lpwstr>
      </vt:variant>
      <vt:variant>
        <vt:i4>1769534</vt:i4>
      </vt:variant>
      <vt:variant>
        <vt:i4>1283</vt:i4>
      </vt:variant>
      <vt:variant>
        <vt:i4>0</vt:i4>
      </vt:variant>
      <vt:variant>
        <vt:i4>5</vt:i4>
      </vt:variant>
      <vt:variant>
        <vt:lpwstr/>
      </vt:variant>
      <vt:variant>
        <vt:lpwstr>_Toc62120599</vt:lpwstr>
      </vt:variant>
      <vt:variant>
        <vt:i4>1703998</vt:i4>
      </vt:variant>
      <vt:variant>
        <vt:i4>1277</vt:i4>
      </vt:variant>
      <vt:variant>
        <vt:i4>0</vt:i4>
      </vt:variant>
      <vt:variant>
        <vt:i4>5</vt:i4>
      </vt:variant>
      <vt:variant>
        <vt:lpwstr/>
      </vt:variant>
      <vt:variant>
        <vt:lpwstr>_Toc62120598</vt:lpwstr>
      </vt:variant>
      <vt:variant>
        <vt:i4>1376318</vt:i4>
      </vt:variant>
      <vt:variant>
        <vt:i4>1271</vt:i4>
      </vt:variant>
      <vt:variant>
        <vt:i4>0</vt:i4>
      </vt:variant>
      <vt:variant>
        <vt:i4>5</vt:i4>
      </vt:variant>
      <vt:variant>
        <vt:lpwstr/>
      </vt:variant>
      <vt:variant>
        <vt:lpwstr>_Toc62120597</vt:lpwstr>
      </vt:variant>
      <vt:variant>
        <vt:i4>1310782</vt:i4>
      </vt:variant>
      <vt:variant>
        <vt:i4>1265</vt:i4>
      </vt:variant>
      <vt:variant>
        <vt:i4>0</vt:i4>
      </vt:variant>
      <vt:variant>
        <vt:i4>5</vt:i4>
      </vt:variant>
      <vt:variant>
        <vt:lpwstr/>
      </vt:variant>
      <vt:variant>
        <vt:lpwstr>_Toc62120596</vt:lpwstr>
      </vt:variant>
      <vt:variant>
        <vt:i4>1507390</vt:i4>
      </vt:variant>
      <vt:variant>
        <vt:i4>1259</vt:i4>
      </vt:variant>
      <vt:variant>
        <vt:i4>0</vt:i4>
      </vt:variant>
      <vt:variant>
        <vt:i4>5</vt:i4>
      </vt:variant>
      <vt:variant>
        <vt:lpwstr/>
      </vt:variant>
      <vt:variant>
        <vt:lpwstr>_Toc62120595</vt:lpwstr>
      </vt:variant>
      <vt:variant>
        <vt:i4>1441854</vt:i4>
      </vt:variant>
      <vt:variant>
        <vt:i4>1253</vt:i4>
      </vt:variant>
      <vt:variant>
        <vt:i4>0</vt:i4>
      </vt:variant>
      <vt:variant>
        <vt:i4>5</vt:i4>
      </vt:variant>
      <vt:variant>
        <vt:lpwstr/>
      </vt:variant>
      <vt:variant>
        <vt:lpwstr>_Toc62120594</vt:lpwstr>
      </vt:variant>
      <vt:variant>
        <vt:i4>1114174</vt:i4>
      </vt:variant>
      <vt:variant>
        <vt:i4>1247</vt:i4>
      </vt:variant>
      <vt:variant>
        <vt:i4>0</vt:i4>
      </vt:variant>
      <vt:variant>
        <vt:i4>5</vt:i4>
      </vt:variant>
      <vt:variant>
        <vt:lpwstr/>
      </vt:variant>
      <vt:variant>
        <vt:lpwstr>_Toc62120593</vt:lpwstr>
      </vt:variant>
      <vt:variant>
        <vt:i4>1048638</vt:i4>
      </vt:variant>
      <vt:variant>
        <vt:i4>1241</vt:i4>
      </vt:variant>
      <vt:variant>
        <vt:i4>0</vt:i4>
      </vt:variant>
      <vt:variant>
        <vt:i4>5</vt:i4>
      </vt:variant>
      <vt:variant>
        <vt:lpwstr/>
      </vt:variant>
      <vt:variant>
        <vt:lpwstr>_Toc62120592</vt:lpwstr>
      </vt:variant>
      <vt:variant>
        <vt:i4>1245246</vt:i4>
      </vt:variant>
      <vt:variant>
        <vt:i4>1235</vt:i4>
      </vt:variant>
      <vt:variant>
        <vt:i4>0</vt:i4>
      </vt:variant>
      <vt:variant>
        <vt:i4>5</vt:i4>
      </vt:variant>
      <vt:variant>
        <vt:lpwstr/>
      </vt:variant>
      <vt:variant>
        <vt:lpwstr>_Toc62120591</vt:lpwstr>
      </vt:variant>
      <vt:variant>
        <vt:i4>1179710</vt:i4>
      </vt:variant>
      <vt:variant>
        <vt:i4>1229</vt:i4>
      </vt:variant>
      <vt:variant>
        <vt:i4>0</vt:i4>
      </vt:variant>
      <vt:variant>
        <vt:i4>5</vt:i4>
      </vt:variant>
      <vt:variant>
        <vt:lpwstr/>
      </vt:variant>
      <vt:variant>
        <vt:lpwstr>_Toc62120590</vt:lpwstr>
      </vt:variant>
      <vt:variant>
        <vt:i4>1769535</vt:i4>
      </vt:variant>
      <vt:variant>
        <vt:i4>1223</vt:i4>
      </vt:variant>
      <vt:variant>
        <vt:i4>0</vt:i4>
      </vt:variant>
      <vt:variant>
        <vt:i4>5</vt:i4>
      </vt:variant>
      <vt:variant>
        <vt:lpwstr/>
      </vt:variant>
      <vt:variant>
        <vt:lpwstr>_Toc62120589</vt:lpwstr>
      </vt:variant>
      <vt:variant>
        <vt:i4>1703999</vt:i4>
      </vt:variant>
      <vt:variant>
        <vt:i4>1217</vt:i4>
      </vt:variant>
      <vt:variant>
        <vt:i4>0</vt:i4>
      </vt:variant>
      <vt:variant>
        <vt:i4>5</vt:i4>
      </vt:variant>
      <vt:variant>
        <vt:lpwstr/>
      </vt:variant>
      <vt:variant>
        <vt:lpwstr>_Toc62120588</vt:lpwstr>
      </vt:variant>
      <vt:variant>
        <vt:i4>1376319</vt:i4>
      </vt:variant>
      <vt:variant>
        <vt:i4>1211</vt:i4>
      </vt:variant>
      <vt:variant>
        <vt:i4>0</vt:i4>
      </vt:variant>
      <vt:variant>
        <vt:i4>5</vt:i4>
      </vt:variant>
      <vt:variant>
        <vt:lpwstr/>
      </vt:variant>
      <vt:variant>
        <vt:lpwstr>_Toc62120587</vt:lpwstr>
      </vt:variant>
      <vt:variant>
        <vt:i4>1310783</vt:i4>
      </vt:variant>
      <vt:variant>
        <vt:i4>1205</vt:i4>
      </vt:variant>
      <vt:variant>
        <vt:i4>0</vt:i4>
      </vt:variant>
      <vt:variant>
        <vt:i4>5</vt:i4>
      </vt:variant>
      <vt:variant>
        <vt:lpwstr/>
      </vt:variant>
      <vt:variant>
        <vt:lpwstr>_Toc62120586</vt:lpwstr>
      </vt:variant>
      <vt:variant>
        <vt:i4>1507391</vt:i4>
      </vt:variant>
      <vt:variant>
        <vt:i4>1199</vt:i4>
      </vt:variant>
      <vt:variant>
        <vt:i4>0</vt:i4>
      </vt:variant>
      <vt:variant>
        <vt:i4>5</vt:i4>
      </vt:variant>
      <vt:variant>
        <vt:lpwstr/>
      </vt:variant>
      <vt:variant>
        <vt:lpwstr>_Toc62120585</vt:lpwstr>
      </vt:variant>
      <vt:variant>
        <vt:i4>1441855</vt:i4>
      </vt:variant>
      <vt:variant>
        <vt:i4>1193</vt:i4>
      </vt:variant>
      <vt:variant>
        <vt:i4>0</vt:i4>
      </vt:variant>
      <vt:variant>
        <vt:i4>5</vt:i4>
      </vt:variant>
      <vt:variant>
        <vt:lpwstr/>
      </vt:variant>
      <vt:variant>
        <vt:lpwstr>_Toc62120584</vt:lpwstr>
      </vt:variant>
      <vt:variant>
        <vt:i4>1114175</vt:i4>
      </vt:variant>
      <vt:variant>
        <vt:i4>1187</vt:i4>
      </vt:variant>
      <vt:variant>
        <vt:i4>0</vt:i4>
      </vt:variant>
      <vt:variant>
        <vt:i4>5</vt:i4>
      </vt:variant>
      <vt:variant>
        <vt:lpwstr/>
      </vt:variant>
      <vt:variant>
        <vt:lpwstr>_Toc62120583</vt:lpwstr>
      </vt:variant>
      <vt:variant>
        <vt:i4>1048639</vt:i4>
      </vt:variant>
      <vt:variant>
        <vt:i4>1181</vt:i4>
      </vt:variant>
      <vt:variant>
        <vt:i4>0</vt:i4>
      </vt:variant>
      <vt:variant>
        <vt:i4>5</vt:i4>
      </vt:variant>
      <vt:variant>
        <vt:lpwstr/>
      </vt:variant>
      <vt:variant>
        <vt:lpwstr>_Toc62120582</vt:lpwstr>
      </vt:variant>
      <vt:variant>
        <vt:i4>1245247</vt:i4>
      </vt:variant>
      <vt:variant>
        <vt:i4>1175</vt:i4>
      </vt:variant>
      <vt:variant>
        <vt:i4>0</vt:i4>
      </vt:variant>
      <vt:variant>
        <vt:i4>5</vt:i4>
      </vt:variant>
      <vt:variant>
        <vt:lpwstr/>
      </vt:variant>
      <vt:variant>
        <vt:lpwstr>_Toc62120581</vt:lpwstr>
      </vt:variant>
      <vt:variant>
        <vt:i4>1179711</vt:i4>
      </vt:variant>
      <vt:variant>
        <vt:i4>1169</vt:i4>
      </vt:variant>
      <vt:variant>
        <vt:i4>0</vt:i4>
      </vt:variant>
      <vt:variant>
        <vt:i4>5</vt:i4>
      </vt:variant>
      <vt:variant>
        <vt:lpwstr/>
      </vt:variant>
      <vt:variant>
        <vt:lpwstr>_Toc62120580</vt:lpwstr>
      </vt:variant>
      <vt:variant>
        <vt:i4>1769520</vt:i4>
      </vt:variant>
      <vt:variant>
        <vt:i4>1163</vt:i4>
      </vt:variant>
      <vt:variant>
        <vt:i4>0</vt:i4>
      </vt:variant>
      <vt:variant>
        <vt:i4>5</vt:i4>
      </vt:variant>
      <vt:variant>
        <vt:lpwstr/>
      </vt:variant>
      <vt:variant>
        <vt:lpwstr>_Toc62120579</vt:lpwstr>
      </vt:variant>
      <vt:variant>
        <vt:i4>1703984</vt:i4>
      </vt:variant>
      <vt:variant>
        <vt:i4>1154</vt:i4>
      </vt:variant>
      <vt:variant>
        <vt:i4>0</vt:i4>
      </vt:variant>
      <vt:variant>
        <vt:i4>5</vt:i4>
      </vt:variant>
      <vt:variant>
        <vt:lpwstr/>
      </vt:variant>
      <vt:variant>
        <vt:lpwstr>_Toc62120578</vt:lpwstr>
      </vt:variant>
      <vt:variant>
        <vt:i4>1376304</vt:i4>
      </vt:variant>
      <vt:variant>
        <vt:i4>1148</vt:i4>
      </vt:variant>
      <vt:variant>
        <vt:i4>0</vt:i4>
      </vt:variant>
      <vt:variant>
        <vt:i4>5</vt:i4>
      </vt:variant>
      <vt:variant>
        <vt:lpwstr/>
      </vt:variant>
      <vt:variant>
        <vt:lpwstr>_Toc62120577</vt:lpwstr>
      </vt:variant>
      <vt:variant>
        <vt:i4>1310768</vt:i4>
      </vt:variant>
      <vt:variant>
        <vt:i4>1142</vt:i4>
      </vt:variant>
      <vt:variant>
        <vt:i4>0</vt:i4>
      </vt:variant>
      <vt:variant>
        <vt:i4>5</vt:i4>
      </vt:variant>
      <vt:variant>
        <vt:lpwstr/>
      </vt:variant>
      <vt:variant>
        <vt:lpwstr>_Toc62120576</vt:lpwstr>
      </vt:variant>
      <vt:variant>
        <vt:i4>1507376</vt:i4>
      </vt:variant>
      <vt:variant>
        <vt:i4>1136</vt:i4>
      </vt:variant>
      <vt:variant>
        <vt:i4>0</vt:i4>
      </vt:variant>
      <vt:variant>
        <vt:i4>5</vt:i4>
      </vt:variant>
      <vt:variant>
        <vt:lpwstr/>
      </vt:variant>
      <vt:variant>
        <vt:lpwstr>_Toc62120575</vt:lpwstr>
      </vt:variant>
      <vt:variant>
        <vt:i4>1441840</vt:i4>
      </vt:variant>
      <vt:variant>
        <vt:i4>1130</vt:i4>
      </vt:variant>
      <vt:variant>
        <vt:i4>0</vt:i4>
      </vt:variant>
      <vt:variant>
        <vt:i4>5</vt:i4>
      </vt:variant>
      <vt:variant>
        <vt:lpwstr/>
      </vt:variant>
      <vt:variant>
        <vt:lpwstr>_Toc62120574</vt:lpwstr>
      </vt:variant>
      <vt:variant>
        <vt:i4>1114160</vt:i4>
      </vt:variant>
      <vt:variant>
        <vt:i4>1124</vt:i4>
      </vt:variant>
      <vt:variant>
        <vt:i4>0</vt:i4>
      </vt:variant>
      <vt:variant>
        <vt:i4>5</vt:i4>
      </vt:variant>
      <vt:variant>
        <vt:lpwstr/>
      </vt:variant>
      <vt:variant>
        <vt:lpwstr>_Toc62120573</vt:lpwstr>
      </vt:variant>
      <vt:variant>
        <vt:i4>1048624</vt:i4>
      </vt:variant>
      <vt:variant>
        <vt:i4>1118</vt:i4>
      </vt:variant>
      <vt:variant>
        <vt:i4>0</vt:i4>
      </vt:variant>
      <vt:variant>
        <vt:i4>5</vt:i4>
      </vt:variant>
      <vt:variant>
        <vt:lpwstr/>
      </vt:variant>
      <vt:variant>
        <vt:lpwstr>_Toc62120572</vt:lpwstr>
      </vt:variant>
      <vt:variant>
        <vt:i4>1245232</vt:i4>
      </vt:variant>
      <vt:variant>
        <vt:i4>1112</vt:i4>
      </vt:variant>
      <vt:variant>
        <vt:i4>0</vt:i4>
      </vt:variant>
      <vt:variant>
        <vt:i4>5</vt:i4>
      </vt:variant>
      <vt:variant>
        <vt:lpwstr/>
      </vt:variant>
      <vt:variant>
        <vt:lpwstr>_Toc62120571</vt:lpwstr>
      </vt:variant>
      <vt:variant>
        <vt:i4>1179696</vt:i4>
      </vt:variant>
      <vt:variant>
        <vt:i4>1106</vt:i4>
      </vt:variant>
      <vt:variant>
        <vt:i4>0</vt:i4>
      </vt:variant>
      <vt:variant>
        <vt:i4>5</vt:i4>
      </vt:variant>
      <vt:variant>
        <vt:lpwstr/>
      </vt:variant>
      <vt:variant>
        <vt:lpwstr>_Toc62120570</vt:lpwstr>
      </vt:variant>
      <vt:variant>
        <vt:i4>1769521</vt:i4>
      </vt:variant>
      <vt:variant>
        <vt:i4>1100</vt:i4>
      </vt:variant>
      <vt:variant>
        <vt:i4>0</vt:i4>
      </vt:variant>
      <vt:variant>
        <vt:i4>5</vt:i4>
      </vt:variant>
      <vt:variant>
        <vt:lpwstr/>
      </vt:variant>
      <vt:variant>
        <vt:lpwstr>_Toc62120569</vt:lpwstr>
      </vt:variant>
      <vt:variant>
        <vt:i4>1703985</vt:i4>
      </vt:variant>
      <vt:variant>
        <vt:i4>1094</vt:i4>
      </vt:variant>
      <vt:variant>
        <vt:i4>0</vt:i4>
      </vt:variant>
      <vt:variant>
        <vt:i4>5</vt:i4>
      </vt:variant>
      <vt:variant>
        <vt:lpwstr/>
      </vt:variant>
      <vt:variant>
        <vt:lpwstr>_Toc62120568</vt:lpwstr>
      </vt:variant>
      <vt:variant>
        <vt:i4>1376305</vt:i4>
      </vt:variant>
      <vt:variant>
        <vt:i4>1088</vt:i4>
      </vt:variant>
      <vt:variant>
        <vt:i4>0</vt:i4>
      </vt:variant>
      <vt:variant>
        <vt:i4>5</vt:i4>
      </vt:variant>
      <vt:variant>
        <vt:lpwstr/>
      </vt:variant>
      <vt:variant>
        <vt:lpwstr>_Toc62120567</vt:lpwstr>
      </vt:variant>
      <vt:variant>
        <vt:i4>1310769</vt:i4>
      </vt:variant>
      <vt:variant>
        <vt:i4>1082</vt:i4>
      </vt:variant>
      <vt:variant>
        <vt:i4>0</vt:i4>
      </vt:variant>
      <vt:variant>
        <vt:i4>5</vt:i4>
      </vt:variant>
      <vt:variant>
        <vt:lpwstr/>
      </vt:variant>
      <vt:variant>
        <vt:lpwstr>_Toc62120566</vt:lpwstr>
      </vt:variant>
      <vt:variant>
        <vt:i4>1507377</vt:i4>
      </vt:variant>
      <vt:variant>
        <vt:i4>1076</vt:i4>
      </vt:variant>
      <vt:variant>
        <vt:i4>0</vt:i4>
      </vt:variant>
      <vt:variant>
        <vt:i4>5</vt:i4>
      </vt:variant>
      <vt:variant>
        <vt:lpwstr/>
      </vt:variant>
      <vt:variant>
        <vt:lpwstr>_Toc62120565</vt:lpwstr>
      </vt:variant>
      <vt:variant>
        <vt:i4>1441841</vt:i4>
      </vt:variant>
      <vt:variant>
        <vt:i4>1070</vt:i4>
      </vt:variant>
      <vt:variant>
        <vt:i4>0</vt:i4>
      </vt:variant>
      <vt:variant>
        <vt:i4>5</vt:i4>
      </vt:variant>
      <vt:variant>
        <vt:lpwstr/>
      </vt:variant>
      <vt:variant>
        <vt:lpwstr>_Toc62120564</vt:lpwstr>
      </vt:variant>
      <vt:variant>
        <vt:i4>1114161</vt:i4>
      </vt:variant>
      <vt:variant>
        <vt:i4>1064</vt:i4>
      </vt:variant>
      <vt:variant>
        <vt:i4>0</vt:i4>
      </vt:variant>
      <vt:variant>
        <vt:i4>5</vt:i4>
      </vt:variant>
      <vt:variant>
        <vt:lpwstr/>
      </vt:variant>
      <vt:variant>
        <vt:lpwstr>_Toc62120563</vt:lpwstr>
      </vt:variant>
      <vt:variant>
        <vt:i4>1048625</vt:i4>
      </vt:variant>
      <vt:variant>
        <vt:i4>1058</vt:i4>
      </vt:variant>
      <vt:variant>
        <vt:i4>0</vt:i4>
      </vt:variant>
      <vt:variant>
        <vt:i4>5</vt:i4>
      </vt:variant>
      <vt:variant>
        <vt:lpwstr/>
      </vt:variant>
      <vt:variant>
        <vt:lpwstr>_Toc62120562</vt:lpwstr>
      </vt:variant>
      <vt:variant>
        <vt:i4>1245233</vt:i4>
      </vt:variant>
      <vt:variant>
        <vt:i4>1052</vt:i4>
      </vt:variant>
      <vt:variant>
        <vt:i4>0</vt:i4>
      </vt:variant>
      <vt:variant>
        <vt:i4>5</vt:i4>
      </vt:variant>
      <vt:variant>
        <vt:lpwstr/>
      </vt:variant>
      <vt:variant>
        <vt:lpwstr>_Toc62120561</vt:lpwstr>
      </vt:variant>
      <vt:variant>
        <vt:i4>1179697</vt:i4>
      </vt:variant>
      <vt:variant>
        <vt:i4>1046</vt:i4>
      </vt:variant>
      <vt:variant>
        <vt:i4>0</vt:i4>
      </vt:variant>
      <vt:variant>
        <vt:i4>5</vt:i4>
      </vt:variant>
      <vt:variant>
        <vt:lpwstr/>
      </vt:variant>
      <vt:variant>
        <vt:lpwstr>_Toc62120560</vt:lpwstr>
      </vt:variant>
      <vt:variant>
        <vt:i4>1769522</vt:i4>
      </vt:variant>
      <vt:variant>
        <vt:i4>1040</vt:i4>
      </vt:variant>
      <vt:variant>
        <vt:i4>0</vt:i4>
      </vt:variant>
      <vt:variant>
        <vt:i4>5</vt:i4>
      </vt:variant>
      <vt:variant>
        <vt:lpwstr/>
      </vt:variant>
      <vt:variant>
        <vt:lpwstr>_Toc62120559</vt:lpwstr>
      </vt:variant>
      <vt:variant>
        <vt:i4>1703986</vt:i4>
      </vt:variant>
      <vt:variant>
        <vt:i4>1034</vt:i4>
      </vt:variant>
      <vt:variant>
        <vt:i4>0</vt:i4>
      </vt:variant>
      <vt:variant>
        <vt:i4>5</vt:i4>
      </vt:variant>
      <vt:variant>
        <vt:lpwstr/>
      </vt:variant>
      <vt:variant>
        <vt:lpwstr>_Toc62120558</vt:lpwstr>
      </vt:variant>
      <vt:variant>
        <vt:i4>1376306</vt:i4>
      </vt:variant>
      <vt:variant>
        <vt:i4>1028</vt:i4>
      </vt:variant>
      <vt:variant>
        <vt:i4>0</vt:i4>
      </vt:variant>
      <vt:variant>
        <vt:i4>5</vt:i4>
      </vt:variant>
      <vt:variant>
        <vt:lpwstr/>
      </vt:variant>
      <vt:variant>
        <vt:lpwstr>_Toc62120557</vt:lpwstr>
      </vt:variant>
      <vt:variant>
        <vt:i4>1310770</vt:i4>
      </vt:variant>
      <vt:variant>
        <vt:i4>1022</vt:i4>
      </vt:variant>
      <vt:variant>
        <vt:i4>0</vt:i4>
      </vt:variant>
      <vt:variant>
        <vt:i4>5</vt:i4>
      </vt:variant>
      <vt:variant>
        <vt:lpwstr/>
      </vt:variant>
      <vt:variant>
        <vt:lpwstr>_Toc62120556</vt:lpwstr>
      </vt:variant>
      <vt:variant>
        <vt:i4>1507378</vt:i4>
      </vt:variant>
      <vt:variant>
        <vt:i4>1016</vt:i4>
      </vt:variant>
      <vt:variant>
        <vt:i4>0</vt:i4>
      </vt:variant>
      <vt:variant>
        <vt:i4>5</vt:i4>
      </vt:variant>
      <vt:variant>
        <vt:lpwstr/>
      </vt:variant>
      <vt:variant>
        <vt:lpwstr>_Toc62120555</vt:lpwstr>
      </vt:variant>
      <vt:variant>
        <vt:i4>1441842</vt:i4>
      </vt:variant>
      <vt:variant>
        <vt:i4>1010</vt:i4>
      </vt:variant>
      <vt:variant>
        <vt:i4>0</vt:i4>
      </vt:variant>
      <vt:variant>
        <vt:i4>5</vt:i4>
      </vt:variant>
      <vt:variant>
        <vt:lpwstr/>
      </vt:variant>
      <vt:variant>
        <vt:lpwstr>_Toc62120554</vt:lpwstr>
      </vt:variant>
      <vt:variant>
        <vt:i4>1114162</vt:i4>
      </vt:variant>
      <vt:variant>
        <vt:i4>1004</vt:i4>
      </vt:variant>
      <vt:variant>
        <vt:i4>0</vt:i4>
      </vt:variant>
      <vt:variant>
        <vt:i4>5</vt:i4>
      </vt:variant>
      <vt:variant>
        <vt:lpwstr/>
      </vt:variant>
      <vt:variant>
        <vt:lpwstr>_Toc62120553</vt:lpwstr>
      </vt:variant>
      <vt:variant>
        <vt:i4>1048626</vt:i4>
      </vt:variant>
      <vt:variant>
        <vt:i4>998</vt:i4>
      </vt:variant>
      <vt:variant>
        <vt:i4>0</vt:i4>
      </vt:variant>
      <vt:variant>
        <vt:i4>5</vt:i4>
      </vt:variant>
      <vt:variant>
        <vt:lpwstr/>
      </vt:variant>
      <vt:variant>
        <vt:lpwstr>_Toc62120552</vt:lpwstr>
      </vt:variant>
      <vt:variant>
        <vt:i4>1245234</vt:i4>
      </vt:variant>
      <vt:variant>
        <vt:i4>992</vt:i4>
      </vt:variant>
      <vt:variant>
        <vt:i4>0</vt:i4>
      </vt:variant>
      <vt:variant>
        <vt:i4>5</vt:i4>
      </vt:variant>
      <vt:variant>
        <vt:lpwstr/>
      </vt:variant>
      <vt:variant>
        <vt:lpwstr>_Toc62120551</vt:lpwstr>
      </vt:variant>
      <vt:variant>
        <vt:i4>1179698</vt:i4>
      </vt:variant>
      <vt:variant>
        <vt:i4>986</vt:i4>
      </vt:variant>
      <vt:variant>
        <vt:i4>0</vt:i4>
      </vt:variant>
      <vt:variant>
        <vt:i4>5</vt:i4>
      </vt:variant>
      <vt:variant>
        <vt:lpwstr/>
      </vt:variant>
      <vt:variant>
        <vt:lpwstr>_Toc62120550</vt:lpwstr>
      </vt:variant>
      <vt:variant>
        <vt:i4>1769523</vt:i4>
      </vt:variant>
      <vt:variant>
        <vt:i4>980</vt:i4>
      </vt:variant>
      <vt:variant>
        <vt:i4>0</vt:i4>
      </vt:variant>
      <vt:variant>
        <vt:i4>5</vt:i4>
      </vt:variant>
      <vt:variant>
        <vt:lpwstr/>
      </vt:variant>
      <vt:variant>
        <vt:lpwstr>_Toc62120549</vt:lpwstr>
      </vt:variant>
      <vt:variant>
        <vt:i4>1703987</vt:i4>
      </vt:variant>
      <vt:variant>
        <vt:i4>974</vt:i4>
      </vt:variant>
      <vt:variant>
        <vt:i4>0</vt:i4>
      </vt:variant>
      <vt:variant>
        <vt:i4>5</vt:i4>
      </vt:variant>
      <vt:variant>
        <vt:lpwstr/>
      </vt:variant>
      <vt:variant>
        <vt:lpwstr>_Toc62120548</vt:lpwstr>
      </vt:variant>
      <vt:variant>
        <vt:i4>1376307</vt:i4>
      </vt:variant>
      <vt:variant>
        <vt:i4>968</vt:i4>
      </vt:variant>
      <vt:variant>
        <vt:i4>0</vt:i4>
      </vt:variant>
      <vt:variant>
        <vt:i4>5</vt:i4>
      </vt:variant>
      <vt:variant>
        <vt:lpwstr/>
      </vt:variant>
      <vt:variant>
        <vt:lpwstr>_Toc62120547</vt:lpwstr>
      </vt:variant>
      <vt:variant>
        <vt:i4>1310771</vt:i4>
      </vt:variant>
      <vt:variant>
        <vt:i4>962</vt:i4>
      </vt:variant>
      <vt:variant>
        <vt:i4>0</vt:i4>
      </vt:variant>
      <vt:variant>
        <vt:i4>5</vt:i4>
      </vt:variant>
      <vt:variant>
        <vt:lpwstr/>
      </vt:variant>
      <vt:variant>
        <vt:lpwstr>_Toc62120546</vt:lpwstr>
      </vt:variant>
      <vt:variant>
        <vt:i4>1507379</vt:i4>
      </vt:variant>
      <vt:variant>
        <vt:i4>956</vt:i4>
      </vt:variant>
      <vt:variant>
        <vt:i4>0</vt:i4>
      </vt:variant>
      <vt:variant>
        <vt:i4>5</vt:i4>
      </vt:variant>
      <vt:variant>
        <vt:lpwstr/>
      </vt:variant>
      <vt:variant>
        <vt:lpwstr>_Toc62120545</vt:lpwstr>
      </vt:variant>
      <vt:variant>
        <vt:i4>1441843</vt:i4>
      </vt:variant>
      <vt:variant>
        <vt:i4>950</vt:i4>
      </vt:variant>
      <vt:variant>
        <vt:i4>0</vt:i4>
      </vt:variant>
      <vt:variant>
        <vt:i4>5</vt:i4>
      </vt:variant>
      <vt:variant>
        <vt:lpwstr/>
      </vt:variant>
      <vt:variant>
        <vt:lpwstr>_Toc62120544</vt:lpwstr>
      </vt:variant>
      <vt:variant>
        <vt:i4>1114163</vt:i4>
      </vt:variant>
      <vt:variant>
        <vt:i4>944</vt:i4>
      </vt:variant>
      <vt:variant>
        <vt:i4>0</vt:i4>
      </vt:variant>
      <vt:variant>
        <vt:i4>5</vt:i4>
      </vt:variant>
      <vt:variant>
        <vt:lpwstr/>
      </vt:variant>
      <vt:variant>
        <vt:lpwstr>_Toc62120543</vt:lpwstr>
      </vt:variant>
      <vt:variant>
        <vt:i4>1048627</vt:i4>
      </vt:variant>
      <vt:variant>
        <vt:i4>938</vt:i4>
      </vt:variant>
      <vt:variant>
        <vt:i4>0</vt:i4>
      </vt:variant>
      <vt:variant>
        <vt:i4>5</vt:i4>
      </vt:variant>
      <vt:variant>
        <vt:lpwstr/>
      </vt:variant>
      <vt:variant>
        <vt:lpwstr>_Toc62120542</vt:lpwstr>
      </vt:variant>
      <vt:variant>
        <vt:i4>1245235</vt:i4>
      </vt:variant>
      <vt:variant>
        <vt:i4>932</vt:i4>
      </vt:variant>
      <vt:variant>
        <vt:i4>0</vt:i4>
      </vt:variant>
      <vt:variant>
        <vt:i4>5</vt:i4>
      </vt:variant>
      <vt:variant>
        <vt:lpwstr/>
      </vt:variant>
      <vt:variant>
        <vt:lpwstr>_Toc62120541</vt:lpwstr>
      </vt:variant>
      <vt:variant>
        <vt:i4>1179699</vt:i4>
      </vt:variant>
      <vt:variant>
        <vt:i4>926</vt:i4>
      </vt:variant>
      <vt:variant>
        <vt:i4>0</vt:i4>
      </vt:variant>
      <vt:variant>
        <vt:i4>5</vt:i4>
      </vt:variant>
      <vt:variant>
        <vt:lpwstr/>
      </vt:variant>
      <vt:variant>
        <vt:lpwstr>_Toc62120540</vt:lpwstr>
      </vt:variant>
      <vt:variant>
        <vt:i4>1769524</vt:i4>
      </vt:variant>
      <vt:variant>
        <vt:i4>920</vt:i4>
      </vt:variant>
      <vt:variant>
        <vt:i4>0</vt:i4>
      </vt:variant>
      <vt:variant>
        <vt:i4>5</vt:i4>
      </vt:variant>
      <vt:variant>
        <vt:lpwstr/>
      </vt:variant>
      <vt:variant>
        <vt:lpwstr>_Toc62120539</vt:lpwstr>
      </vt:variant>
      <vt:variant>
        <vt:i4>1703988</vt:i4>
      </vt:variant>
      <vt:variant>
        <vt:i4>914</vt:i4>
      </vt:variant>
      <vt:variant>
        <vt:i4>0</vt:i4>
      </vt:variant>
      <vt:variant>
        <vt:i4>5</vt:i4>
      </vt:variant>
      <vt:variant>
        <vt:lpwstr/>
      </vt:variant>
      <vt:variant>
        <vt:lpwstr>_Toc62120538</vt:lpwstr>
      </vt:variant>
      <vt:variant>
        <vt:i4>1376308</vt:i4>
      </vt:variant>
      <vt:variant>
        <vt:i4>908</vt:i4>
      </vt:variant>
      <vt:variant>
        <vt:i4>0</vt:i4>
      </vt:variant>
      <vt:variant>
        <vt:i4>5</vt:i4>
      </vt:variant>
      <vt:variant>
        <vt:lpwstr/>
      </vt:variant>
      <vt:variant>
        <vt:lpwstr>_Toc62120537</vt:lpwstr>
      </vt:variant>
      <vt:variant>
        <vt:i4>1310772</vt:i4>
      </vt:variant>
      <vt:variant>
        <vt:i4>902</vt:i4>
      </vt:variant>
      <vt:variant>
        <vt:i4>0</vt:i4>
      </vt:variant>
      <vt:variant>
        <vt:i4>5</vt:i4>
      </vt:variant>
      <vt:variant>
        <vt:lpwstr/>
      </vt:variant>
      <vt:variant>
        <vt:lpwstr>_Toc62120536</vt:lpwstr>
      </vt:variant>
      <vt:variant>
        <vt:i4>1507380</vt:i4>
      </vt:variant>
      <vt:variant>
        <vt:i4>896</vt:i4>
      </vt:variant>
      <vt:variant>
        <vt:i4>0</vt:i4>
      </vt:variant>
      <vt:variant>
        <vt:i4>5</vt:i4>
      </vt:variant>
      <vt:variant>
        <vt:lpwstr/>
      </vt:variant>
      <vt:variant>
        <vt:lpwstr>_Toc62120535</vt:lpwstr>
      </vt:variant>
      <vt:variant>
        <vt:i4>1441844</vt:i4>
      </vt:variant>
      <vt:variant>
        <vt:i4>890</vt:i4>
      </vt:variant>
      <vt:variant>
        <vt:i4>0</vt:i4>
      </vt:variant>
      <vt:variant>
        <vt:i4>5</vt:i4>
      </vt:variant>
      <vt:variant>
        <vt:lpwstr/>
      </vt:variant>
      <vt:variant>
        <vt:lpwstr>_Toc62120534</vt:lpwstr>
      </vt:variant>
      <vt:variant>
        <vt:i4>1114164</vt:i4>
      </vt:variant>
      <vt:variant>
        <vt:i4>884</vt:i4>
      </vt:variant>
      <vt:variant>
        <vt:i4>0</vt:i4>
      </vt:variant>
      <vt:variant>
        <vt:i4>5</vt:i4>
      </vt:variant>
      <vt:variant>
        <vt:lpwstr/>
      </vt:variant>
      <vt:variant>
        <vt:lpwstr>_Toc62120533</vt:lpwstr>
      </vt:variant>
      <vt:variant>
        <vt:i4>1048628</vt:i4>
      </vt:variant>
      <vt:variant>
        <vt:i4>878</vt:i4>
      </vt:variant>
      <vt:variant>
        <vt:i4>0</vt:i4>
      </vt:variant>
      <vt:variant>
        <vt:i4>5</vt:i4>
      </vt:variant>
      <vt:variant>
        <vt:lpwstr/>
      </vt:variant>
      <vt:variant>
        <vt:lpwstr>_Toc62120532</vt:lpwstr>
      </vt:variant>
      <vt:variant>
        <vt:i4>1245236</vt:i4>
      </vt:variant>
      <vt:variant>
        <vt:i4>872</vt:i4>
      </vt:variant>
      <vt:variant>
        <vt:i4>0</vt:i4>
      </vt:variant>
      <vt:variant>
        <vt:i4>5</vt:i4>
      </vt:variant>
      <vt:variant>
        <vt:lpwstr/>
      </vt:variant>
      <vt:variant>
        <vt:lpwstr>_Toc62120531</vt:lpwstr>
      </vt:variant>
      <vt:variant>
        <vt:i4>1179700</vt:i4>
      </vt:variant>
      <vt:variant>
        <vt:i4>866</vt:i4>
      </vt:variant>
      <vt:variant>
        <vt:i4>0</vt:i4>
      </vt:variant>
      <vt:variant>
        <vt:i4>5</vt:i4>
      </vt:variant>
      <vt:variant>
        <vt:lpwstr/>
      </vt:variant>
      <vt:variant>
        <vt:lpwstr>_Toc62120530</vt:lpwstr>
      </vt:variant>
      <vt:variant>
        <vt:i4>1769525</vt:i4>
      </vt:variant>
      <vt:variant>
        <vt:i4>860</vt:i4>
      </vt:variant>
      <vt:variant>
        <vt:i4>0</vt:i4>
      </vt:variant>
      <vt:variant>
        <vt:i4>5</vt:i4>
      </vt:variant>
      <vt:variant>
        <vt:lpwstr/>
      </vt:variant>
      <vt:variant>
        <vt:lpwstr>_Toc62120529</vt:lpwstr>
      </vt:variant>
      <vt:variant>
        <vt:i4>1703989</vt:i4>
      </vt:variant>
      <vt:variant>
        <vt:i4>854</vt:i4>
      </vt:variant>
      <vt:variant>
        <vt:i4>0</vt:i4>
      </vt:variant>
      <vt:variant>
        <vt:i4>5</vt:i4>
      </vt:variant>
      <vt:variant>
        <vt:lpwstr/>
      </vt:variant>
      <vt:variant>
        <vt:lpwstr>_Toc62120528</vt:lpwstr>
      </vt:variant>
      <vt:variant>
        <vt:i4>1310769</vt:i4>
      </vt:variant>
      <vt:variant>
        <vt:i4>845</vt:i4>
      </vt:variant>
      <vt:variant>
        <vt:i4>0</vt:i4>
      </vt:variant>
      <vt:variant>
        <vt:i4>5</vt:i4>
      </vt:variant>
      <vt:variant>
        <vt:lpwstr/>
      </vt:variant>
      <vt:variant>
        <vt:lpwstr>_Toc62126704</vt:lpwstr>
      </vt:variant>
      <vt:variant>
        <vt:i4>1245233</vt:i4>
      </vt:variant>
      <vt:variant>
        <vt:i4>839</vt:i4>
      </vt:variant>
      <vt:variant>
        <vt:i4>0</vt:i4>
      </vt:variant>
      <vt:variant>
        <vt:i4>5</vt:i4>
      </vt:variant>
      <vt:variant>
        <vt:lpwstr/>
      </vt:variant>
      <vt:variant>
        <vt:lpwstr>_Toc62126703</vt:lpwstr>
      </vt:variant>
      <vt:variant>
        <vt:i4>1179697</vt:i4>
      </vt:variant>
      <vt:variant>
        <vt:i4>833</vt:i4>
      </vt:variant>
      <vt:variant>
        <vt:i4>0</vt:i4>
      </vt:variant>
      <vt:variant>
        <vt:i4>5</vt:i4>
      </vt:variant>
      <vt:variant>
        <vt:lpwstr/>
      </vt:variant>
      <vt:variant>
        <vt:lpwstr>_Toc62126702</vt:lpwstr>
      </vt:variant>
      <vt:variant>
        <vt:i4>1114161</vt:i4>
      </vt:variant>
      <vt:variant>
        <vt:i4>827</vt:i4>
      </vt:variant>
      <vt:variant>
        <vt:i4>0</vt:i4>
      </vt:variant>
      <vt:variant>
        <vt:i4>5</vt:i4>
      </vt:variant>
      <vt:variant>
        <vt:lpwstr/>
      </vt:variant>
      <vt:variant>
        <vt:lpwstr>_Toc62126701</vt:lpwstr>
      </vt:variant>
      <vt:variant>
        <vt:i4>1048625</vt:i4>
      </vt:variant>
      <vt:variant>
        <vt:i4>821</vt:i4>
      </vt:variant>
      <vt:variant>
        <vt:i4>0</vt:i4>
      </vt:variant>
      <vt:variant>
        <vt:i4>5</vt:i4>
      </vt:variant>
      <vt:variant>
        <vt:lpwstr/>
      </vt:variant>
      <vt:variant>
        <vt:lpwstr>_Toc62126700</vt:lpwstr>
      </vt:variant>
      <vt:variant>
        <vt:i4>1572920</vt:i4>
      </vt:variant>
      <vt:variant>
        <vt:i4>815</vt:i4>
      </vt:variant>
      <vt:variant>
        <vt:i4>0</vt:i4>
      </vt:variant>
      <vt:variant>
        <vt:i4>5</vt:i4>
      </vt:variant>
      <vt:variant>
        <vt:lpwstr/>
      </vt:variant>
      <vt:variant>
        <vt:lpwstr>_Toc62126699</vt:lpwstr>
      </vt:variant>
      <vt:variant>
        <vt:i4>1638456</vt:i4>
      </vt:variant>
      <vt:variant>
        <vt:i4>809</vt:i4>
      </vt:variant>
      <vt:variant>
        <vt:i4>0</vt:i4>
      </vt:variant>
      <vt:variant>
        <vt:i4>5</vt:i4>
      </vt:variant>
      <vt:variant>
        <vt:lpwstr/>
      </vt:variant>
      <vt:variant>
        <vt:lpwstr>_Toc62126698</vt:lpwstr>
      </vt:variant>
      <vt:variant>
        <vt:i4>1441848</vt:i4>
      </vt:variant>
      <vt:variant>
        <vt:i4>803</vt:i4>
      </vt:variant>
      <vt:variant>
        <vt:i4>0</vt:i4>
      </vt:variant>
      <vt:variant>
        <vt:i4>5</vt:i4>
      </vt:variant>
      <vt:variant>
        <vt:lpwstr/>
      </vt:variant>
      <vt:variant>
        <vt:lpwstr>_Toc62126697</vt:lpwstr>
      </vt:variant>
      <vt:variant>
        <vt:i4>1507384</vt:i4>
      </vt:variant>
      <vt:variant>
        <vt:i4>797</vt:i4>
      </vt:variant>
      <vt:variant>
        <vt:i4>0</vt:i4>
      </vt:variant>
      <vt:variant>
        <vt:i4>5</vt:i4>
      </vt:variant>
      <vt:variant>
        <vt:lpwstr/>
      </vt:variant>
      <vt:variant>
        <vt:lpwstr>_Toc62126696</vt:lpwstr>
      </vt:variant>
      <vt:variant>
        <vt:i4>1310776</vt:i4>
      </vt:variant>
      <vt:variant>
        <vt:i4>791</vt:i4>
      </vt:variant>
      <vt:variant>
        <vt:i4>0</vt:i4>
      </vt:variant>
      <vt:variant>
        <vt:i4>5</vt:i4>
      </vt:variant>
      <vt:variant>
        <vt:lpwstr/>
      </vt:variant>
      <vt:variant>
        <vt:lpwstr>_Toc62126695</vt:lpwstr>
      </vt:variant>
      <vt:variant>
        <vt:i4>1376312</vt:i4>
      </vt:variant>
      <vt:variant>
        <vt:i4>785</vt:i4>
      </vt:variant>
      <vt:variant>
        <vt:i4>0</vt:i4>
      </vt:variant>
      <vt:variant>
        <vt:i4>5</vt:i4>
      </vt:variant>
      <vt:variant>
        <vt:lpwstr/>
      </vt:variant>
      <vt:variant>
        <vt:lpwstr>_Toc62126694</vt:lpwstr>
      </vt:variant>
      <vt:variant>
        <vt:i4>1179704</vt:i4>
      </vt:variant>
      <vt:variant>
        <vt:i4>779</vt:i4>
      </vt:variant>
      <vt:variant>
        <vt:i4>0</vt:i4>
      </vt:variant>
      <vt:variant>
        <vt:i4>5</vt:i4>
      </vt:variant>
      <vt:variant>
        <vt:lpwstr/>
      </vt:variant>
      <vt:variant>
        <vt:lpwstr>_Toc62126693</vt:lpwstr>
      </vt:variant>
      <vt:variant>
        <vt:i4>1245240</vt:i4>
      </vt:variant>
      <vt:variant>
        <vt:i4>773</vt:i4>
      </vt:variant>
      <vt:variant>
        <vt:i4>0</vt:i4>
      </vt:variant>
      <vt:variant>
        <vt:i4>5</vt:i4>
      </vt:variant>
      <vt:variant>
        <vt:lpwstr/>
      </vt:variant>
      <vt:variant>
        <vt:lpwstr>_Toc62126692</vt:lpwstr>
      </vt:variant>
      <vt:variant>
        <vt:i4>1048632</vt:i4>
      </vt:variant>
      <vt:variant>
        <vt:i4>767</vt:i4>
      </vt:variant>
      <vt:variant>
        <vt:i4>0</vt:i4>
      </vt:variant>
      <vt:variant>
        <vt:i4>5</vt:i4>
      </vt:variant>
      <vt:variant>
        <vt:lpwstr/>
      </vt:variant>
      <vt:variant>
        <vt:lpwstr>_Toc62126691</vt:lpwstr>
      </vt:variant>
      <vt:variant>
        <vt:i4>1114168</vt:i4>
      </vt:variant>
      <vt:variant>
        <vt:i4>761</vt:i4>
      </vt:variant>
      <vt:variant>
        <vt:i4>0</vt:i4>
      </vt:variant>
      <vt:variant>
        <vt:i4>5</vt:i4>
      </vt:variant>
      <vt:variant>
        <vt:lpwstr/>
      </vt:variant>
      <vt:variant>
        <vt:lpwstr>_Toc62126690</vt:lpwstr>
      </vt:variant>
      <vt:variant>
        <vt:i4>1572921</vt:i4>
      </vt:variant>
      <vt:variant>
        <vt:i4>755</vt:i4>
      </vt:variant>
      <vt:variant>
        <vt:i4>0</vt:i4>
      </vt:variant>
      <vt:variant>
        <vt:i4>5</vt:i4>
      </vt:variant>
      <vt:variant>
        <vt:lpwstr/>
      </vt:variant>
      <vt:variant>
        <vt:lpwstr>_Toc62126689</vt:lpwstr>
      </vt:variant>
      <vt:variant>
        <vt:i4>1638457</vt:i4>
      </vt:variant>
      <vt:variant>
        <vt:i4>749</vt:i4>
      </vt:variant>
      <vt:variant>
        <vt:i4>0</vt:i4>
      </vt:variant>
      <vt:variant>
        <vt:i4>5</vt:i4>
      </vt:variant>
      <vt:variant>
        <vt:lpwstr/>
      </vt:variant>
      <vt:variant>
        <vt:lpwstr>_Toc62126688</vt:lpwstr>
      </vt:variant>
      <vt:variant>
        <vt:i4>1441849</vt:i4>
      </vt:variant>
      <vt:variant>
        <vt:i4>743</vt:i4>
      </vt:variant>
      <vt:variant>
        <vt:i4>0</vt:i4>
      </vt:variant>
      <vt:variant>
        <vt:i4>5</vt:i4>
      </vt:variant>
      <vt:variant>
        <vt:lpwstr/>
      </vt:variant>
      <vt:variant>
        <vt:lpwstr>_Toc62126687</vt:lpwstr>
      </vt:variant>
      <vt:variant>
        <vt:i4>1507385</vt:i4>
      </vt:variant>
      <vt:variant>
        <vt:i4>737</vt:i4>
      </vt:variant>
      <vt:variant>
        <vt:i4>0</vt:i4>
      </vt:variant>
      <vt:variant>
        <vt:i4>5</vt:i4>
      </vt:variant>
      <vt:variant>
        <vt:lpwstr/>
      </vt:variant>
      <vt:variant>
        <vt:lpwstr>_Toc62126686</vt:lpwstr>
      </vt:variant>
      <vt:variant>
        <vt:i4>1310777</vt:i4>
      </vt:variant>
      <vt:variant>
        <vt:i4>731</vt:i4>
      </vt:variant>
      <vt:variant>
        <vt:i4>0</vt:i4>
      </vt:variant>
      <vt:variant>
        <vt:i4>5</vt:i4>
      </vt:variant>
      <vt:variant>
        <vt:lpwstr/>
      </vt:variant>
      <vt:variant>
        <vt:lpwstr>_Toc62126685</vt:lpwstr>
      </vt:variant>
      <vt:variant>
        <vt:i4>1376313</vt:i4>
      </vt:variant>
      <vt:variant>
        <vt:i4>725</vt:i4>
      </vt:variant>
      <vt:variant>
        <vt:i4>0</vt:i4>
      </vt:variant>
      <vt:variant>
        <vt:i4>5</vt:i4>
      </vt:variant>
      <vt:variant>
        <vt:lpwstr/>
      </vt:variant>
      <vt:variant>
        <vt:lpwstr>_Toc62126684</vt:lpwstr>
      </vt:variant>
      <vt:variant>
        <vt:i4>1179705</vt:i4>
      </vt:variant>
      <vt:variant>
        <vt:i4>719</vt:i4>
      </vt:variant>
      <vt:variant>
        <vt:i4>0</vt:i4>
      </vt:variant>
      <vt:variant>
        <vt:i4>5</vt:i4>
      </vt:variant>
      <vt:variant>
        <vt:lpwstr/>
      </vt:variant>
      <vt:variant>
        <vt:lpwstr>_Toc62126683</vt:lpwstr>
      </vt:variant>
      <vt:variant>
        <vt:i4>1245241</vt:i4>
      </vt:variant>
      <vt:variant>
        <vt:i4>713</vt:i4>
      </vt:variant>
      <vt:variant>
        <vt:i4>0</vt:i4>
      </vt:variant>
      <vt:variant>
        <vt:i4>5</vt:i4>
      </vt:variant>
      <vt:variant>
        <vt:lpwstr/>
      </vt:variant>
      <vt:variant>
        <vt:lpwstr>_Toc62126682</vt:lpwstr>
      </vt:variant>
      <vt:variant>
        <vt:i4>1048633</vt:i4>
      </vt:variant>
      <vt:variant>
        <vt:i4>707</vt:i4>
      </vt:variant>
      <vt:variant>
        <vt:i4>0</vt:i4>
      </vt:variant>
      <vt:variant>
        <vt:i4>5</vt:i4>
      </vt:variant>
      <vt:variant>
        <vt:lpwstr/>
      </vt:variant>
      <vt:variant>
        <vt:lpwstr>_Toc62126681</vt:lpwstr>
      </vt:variant>
      <vt:variant>
        <vt:i4>1114169</vt:i4>
      </vt:variant>
      <vt:variant>
        <vt:i4>701</vt:i4>
      </vt:variant>
      <vt:variant>
        <vt:i4>0</vt:i4>
      </vt:variant>
      <vt:variant>
        <vt:i4>5</vt:i4>
      </vt:variant>
      <vt:variant>
        <vt:lpwstr/>
      </vt:variant>
      <vt:variant>
        <vt:lpwstr>_Toc62126680</vt:lpwstr>
      </vt:variant>
      <vt:variant>
        <vt:i4>1572918</vt:i4>
      </vt:variant>
      <vt:variant>
        <vt:i4>695</vt:i4>
      </vt:variant>
      <vt:variant>
        <vt:i4>0</vt:i4>
      </vt:variant>
      <vt:variant>
        <vt:i4>5</vt:i4>
      </vt:variant>
      <vt:variant>
        <vt:lpwstr/>
      </vt:variant>
      <vt:variant>
        <vt:lpwstr>_Toc62126679</vt:lpwstr>
      </vt:variant>
      <vt:variant>
        <vt:i4>1638454</vt:i4>
      </vt:variant>
      <vt:variant>
        <vt:i4>689</vt:i4>
      </vt:variant>
      <vt:variant>
        <vt:i4>0</vt:i4>
      </vt:variant>
      <vt:variant>
        <vt:i4>5</vt:i4>
      </vt:variant>
      <vt:variant>
        <vt:lpwstr/>
      </vt:variant>
      <vt:variant>
        <vt:lpwstr>_Toc62126678</vt:lpwstr>
      </vt:variant>
      <vt:variant>
        <vt:i4>1441846</vt:i4>
      </vt:variant>
      <vt:variant>
        <vt:i4>683</vt:i4>
      </vt:variant>
      <vt:variant>
        <vt:i4>0</vt:i4>
      </vt:variant>
      <vt:variant>
        <vt:i4>5</vt:i4>
      </vt:variant>
      <vt:variant>
        <vt:lpwstr/>
      </vt:variant>
      <vt:variant>
        <vt:lpwstr>_Toc62126677</vt:lpwstr>
      </vt:variant>
      <vt:variant>
        <vt:i4>1507382</vt:i4>
      </vt:variant>
      <vt:variant>
        <vt:i4>677</vt:i4>
      </vt:variant>
      <vt:variant>
        <vt:i4>0</vt:i4>
      </vt:variant>
      <vt:variant>
        <vt:i4>5</vt:i4>
      </vt:variant>
      <vt:variant>
        <vt:lpwstr/>
      </vt:variant>
      <vt:variant>
        <vt:lpwstr>_Toc62126676</vt:lpwstr>
      </vt:variant>
      <vt:variant>
        <vt:i4>1310774</vt:i4>
      </vt:variant>
      <vt:variant>
        <vt:i4>671</vt:i4>
      </vt:variant>
      <vt:variant>
        <vt:i4>0</vt:i4>
      </vt:variant>
      <vt:variant>
        <vt:i4>5</vt:i4>
      </vt:variant>
      <vt:variant>
        <vt:lpwstr/>
      </vt:variant>
      <vt:variant>
        <vt:lpwstr>_Toc62126675</vt:lpwstr>
      </vt:variant>
      <vt:variant>
        <vt:i4>1376310</vt:i4>
      </vt:variant>
      <vt:variant>
        <vt:i4>665</vt:i4>
      </vt:variant>
      <vt:variant>
        <vt:i4>0</vt:i4>
      </vt:variant>
      <vt:variant>
        <vt:i4>5</vt:i4>
      </vt:variant>
      <vt:variant>
        <vt:lpwstr/>
      </vt:variant>
      <vt:variant>
        <vt:lpwstr>_Toc62126674</vt:lpwstr>
      </vt:variant>
      <vt:variant>
        <vt:i4>1179702</vt:i4>
      </vt:variant>
      <vt:variant>
        <vt:i4>659</vt:i4>
      </vt:variant>
      <vt:variant>
        <vt:i4>0</vt:i4>
      </vt:variant>
      <vt:variant>
        <vt:i4>5</vt:i4>
      </vt:variant>
      <vt:variant>
        <vt:lpwstr/>
      </vt:variant>
      <vt:variant>
        <vt:lpwstr>_Toc62126673</vt:lpwstr>
      </vt:variant>
      <vt:variant>
        <vt:i4>1245238</vt:i4>
      </vt:variant>
      <vt:variant>
        <vt:i4>653</vt:i4>
      </vt:variant>
      <vt:variant>
        <vt:i4>0</vt:i4>
      </vt:variant>
      <vt:variant>
        <vt:i4>5</vt:i4>
      </vt:variant>
      <vt:variant>
        <vt:lpwstr/>
      </vt:variant>
      <vt:variant>
        <vt:lpwstr>_Toc62126672</vt:lpwstr>
      </vt:variant>
      <vt:variant>
        <vt:i4>1048630</vt:i4>
      </vt:variant>
      <vt:variant>
        <vt:i4>647</vt:i4>
      </vt:variant>
      <vt:variant>
        <vt:i4>0</vt:i4>
      </vt:variant>
      <vt:variant>
        <vt:i4>5</vt:i4>
      </vt:variant>
      <vt:variant>
        <vt:lpwstr/>
      </vt:variant>
      <vt:variant>
        <vt:lpwstr>_Toc62126671</vt:lpwstr>
      </vt:variant>
      <vt:variant>
        <vt:i4>1114166</vt:i4>
      </vt:variant>
      <vt:variant>
        <vt:i4>641</vt:i4>
      </vt:variant>
      <vt:variant>
        <vt:i4>0</vt:i4>
      </vt:variant>
      <vt:variant>
        <vt:i4>5</vt:i4>
      </vt:variant>
      <vt:variant>
        <vt:lpwstr/>
      </vt:variant>
      <vt:variant>
        <vt:lpwstr>_Toc62126670</vt:lpwstr>
      </vt:variant>
      <vt:variant>
        <vt:i4>1572919</vt:i4>
      </vt:variant>
      <vt:variant>
        <vt:i4>635</vt:i4>
      </vt:variant>
      <vt:variant>
        <vt:i4>0</vt:i4>
      </vt:variant>
      <vt:variant>
        <vt:i4>5</vt:i4>
      </vt:variant>
      <vt:variant>
        <vt:lpwstr/>
      </vt:variant>
      <vt:variant>
        <vt:lpwstr>_Toc62126669</vt:lpwstr>
      </vt:variant>
      <vt:variant>
        <vt:i4>1638455</vt:i4>
      </vt:variant>
      <vt:variant>
        <vt:i4>629</vt:i4>
      </vt:variant>
      <vt:variant>
        <vt:i4>0</vt:i4>
      </vt:variant>
      <vt:variant>
        <vt:i4>5</vt:i4>
      </vt:variant>
      <vt:variant>
        <vt:lpwstr/>
      </vt:variant>
      <vt:variant>
        <vt:lpwstr>_Toc62126668</vt:lpwstr>
      </vt:variant>
      <vt:variant>
        <vt:i4>1441847</vt:i4>
      </vt:variant>
      <vt:variant>
        <vt:i4>623</vt:i4>
      </vt:variant>
      <vt:variant>
        <vt:i4>0</vt:i4>
      </vt:variant>
      <vt:variant>
        <vt:i4>5</vt:i4>
      </vt:variant>
      <vt:variant>
        <vt:lpwstr/>
      </vt:variant>
      <vt:variant>
        <vt:lpwstr>_Toc62126667</vt:lpwstr>
      </vt:variant>
      <vt:variant>
        <vt:i4>1507383</vt:i4>
      </vt:variant>
      <vt:variant>
        <vt:i4>617</vt:i4>
      </vt:variant>
      <vt:variant>
        <vt:i4>0</vt:i4>
      </vt:variant>
      <vt:variant>
        <vt:i4>5</vt:i4>
      </vt:variant>
      <vt:variant>
        <vt:lpwstr/>
      </vt:variant>
      <vt:variant>
        <vt:lpwstr>_Toc62126666</vt:lpwstr>
      </vt:variant>
      <vt:variant>
        <vt:i4>1310775</vt:i4>
      </vt:variant>
      <vt:variant>
        <vt:i4>611</vt:i4>
      </vt:variant>
      <vt:variant>
        <vt:i4>0</vt:i4>
      </vt:variant>
      <vt:variant>
        <vt:i4>5</vt:i4>
      </vt:variant>
      <vt:variant>
        <vt:lpwstr/>
      </vt:variant>
      <vt:variant>
        <vt:lpwstr>_Toc62126665</vt:lpwstr>
      </vt:variant>
      <vt:variant>
        <vt:i4>1376311</vt:i4>
      </vt:variant>
      <vt:variant>
        <vt:i4>605</vt:i4>
      </vt:variant>
      <vt:variant>
        <vt:i4>0</vt:i4>
      </vt:variant>
      <vt:variant>
        <vt:i4>5</vt:i4>
      </vt:variant>
      <vt:variant>
        <vt:lpwstr/>
      </vt:variant>
      <vt:variant>
        <vt:lpwstr>_Toc62126664</vt:lpwstr>
      </vt:variant>
      <vt:variant>
        <vt:i4>1179703</vt:i4>
      </vt:variant>
      <vt:variant>
        <vt:i4>599</vt:i4>
      </vt:variant>
      <vt:variant>
        <vt:i4>0</vt:i4>
      </vt:variant>
      <vt:variant>
        <vt:i4>5</vt:i4>
      </vt:variant>
      <vt:variant>
        <vt:lpwstr/>
      </vt:variant>
      <vt:variant>
        <vt:lpwstr>_Toc62126663</vt:lpwstr>
      </vt:variant>
      <vt:variant>
        <vt:i4>1245239</vt:i4>
      </vt:variant>
      <vt:variant>
        <vt:i4>593</vt:i4>
      </vt:variant>
      <vt:variant>
        <vt:i4>0</vt:i4>
      </vt:variant>
      <vt:variant>
        <vt:i4>5</vt:i4>
      </vt:variant>
      <vt:variant>
        <vt:lpwstr/>
      </vt:variant>
      <vt:variant>
        <vt:lpwstr>_Toc62126662</vt:lpwstr>
      </vt:variant>
      <vt:variant>
        <vt:i4>1048631</vt:i4>
      </vt:variant>
      <vt:variant>
        <vt:i4>587</vt:i4>
      </vt:variant>
      <vt:variant>
        <vt:i4>0</vt:i4>
      </vt:variant>
      <vt:variant>
        <vt:i4>5</vt:i4>
      </vt:variant>
      <vt:variant>
        <vt:lpwstr/>
      </vt:variant>
      <vt:variant>
        <vt:lpwstr>_Toc62126661</vt:lpwstr>
      </vt:variant>
      <vt:variant>
        <vt:i4>1114167</vt:i4>
      </vt:variant>
      <vt:variant>
        <vt:i4>581</vt:i4>
      </vt:variant>
      <vt:variant>
        <vt:i4>0</vt:i4>
      </vt:variant>
      <vt:variant>
        <vt:i4>5</vt:i4>
      </vt:variant>
      <vt:variant>
        <vt:lpwstr/>
      </vt:variant>
      <vt:variant>
        <vt:lpwstr>_Toc62126660</vt:lpwstr>
      </vt:variant>
      <vt:variant>
        <vt:i4>1572916</vt:i4>
      </vt:variant>
      <vt:variant>
        <vt:i4>575</vt:i4>
      </vt:variant>
      <vt:variant>
        <vt:i4>0</vt:i4>
      </vt:variant>
      <vt:variant>
        <vt:i4>5</vt:i4>
      </vt:variant>
      <vt:variant>
        <vt:lpwstr/>
      </vt:variant>
      <vt:variant>
        <vt:lpwstr>_Toc62126659</vt:lpwstr>
      </vt:variant>
      <vt:variant>
        <vt:i4>1638452</vt:i4>
      </vt:variant>
      <vt:variant>
        <vt:i4>569</vt:i4>
      </vt:variant>
      <vt:variant>
        <vt:i4>0</vt:i4>
      </vt:variant>
      <vt:variant>
        <vt:i4>5</vt:i4>
      </vt:variant>
      <vt:variant>
        <vt:lpwstr/>
      </vt:variant>
      <vt:variant>
        <vt:lpwstr>_Toc62126658</vt:lpwstr>
      </vt:variant>
      <vt:variant>
        <vt:i4>1441844</vt:i4>
      </vt:variant>
      <vt:variant>
        <vt:i4>563</vt:i4>
      </vt:variant>
      <vt:variant>
        <vt:i4>0</vt:i4>
      </vt:variant>
      <vt:variant>
        <vt:i4>5</vt:i4>
      </vt:variant>
      <vt:variant>
        <vt:lpwstr/>
      </vt:variant>
      <vt:variant>
        <vt:lpwstr>_Toc62126657</vt:lpwstr>
      </vt:variant>
      <vt:variant>
        <vt:i4>1507380</vt:i4>
      </vt:variant>
      <vt:variant>
        <vt:i4>557</vt:i4>
      </vt:variant>
      <vt:variant>
        <vt:i4>0</vt:i4>
      </vt:variant>
      <vt:variant>
        <vt:i4>5</vt:i4>
      </vt:variant>
      <vt:variant>
        <vt:lpwstr/>
      </vt:variant>
      <vt:variant>
        <vt:lpwstr>_Toc62126656</vt:lpwstr>
      </vt:variant>
      <vt:variant>
        <vt:i4>1310772</vt:i4>
      </vt:variant>
      <vt:variant>
        <vt:i4>551</vt:i4>
      </vt:variant>
      <vt:variant>
        <vt:i4>0</vt:i4>
      </vt:variant>
      <vt:variant>
        <vt:i4>5</vt:i4>
      </vt:variant>
      <vt:variant>
        <vt:lpwstr/>
      </vt:variant>
      <vt:variant>
        <vt:lpwstr>_Toc62126655</vt:lpwstr>
      </vt:variant>
      <vt:variant>
        <vt:i4>1376308</vt:i4>
      </vt:variant>
      <vt:variant>
        <vt:i4>545</vt:i4>
      </vt:variant>
      <vt:variant>
        <vt:i4>0</vt:i4>
      </vt:variant>
      <vt:variant>
        <vt:i4>5</vt:i4>
      </vt:variant>
      <vt:variant>
        <vt:lpwstr/>
      </vt:variant>
      <vt:variant>
        <vt:lpwstr>_Toc62126654</vt:lpwstr>
      </vt:variant>
      <vt:variant>
        <vt:i4>1179700</vt:i4>
      </vt:variant>
      <vt:variant>
        <vt:i4>539</vt:i4>
      </vt:variant>
      <vt:variant>
        <vt:i4>0</vt:i4>
      </vt:variant>
      <vt:variant>
        <vt:i4>5</vt:i4>
      </vt:variant>
      <vt:variant>
        <vt:lpwstr/>
      </vt:variant>
      <vt:variant>
        <vt:lpwstr>_Toc62126653</vt:lpwstr>
      </vt:variant>
      <vt:variant>
        <vt:i4>1245236</vt:i4>
      </vt:variant>
      <vt:variant>
        <vt:i4>533</vt:i4>
      </vt:variant>
      <vt:variant>
        <vt:i4>0</vt:i4>
      </vt:variant>
      <vt:variant>
        <vt:i4>5</vt:i4>
      </vt:variant>
      <vt:variant>
        <vt:lpwstr/>
      </vt:variant>
      <vt:variant>
        <vt:lpwstr>_Toc62126652</vt:lpwstr>
      </vt:variant>
      <vt:variant>
        <vt:i4>1048628</vt:i4>
      </vt:variant>
      <vt:variant>
        <vt:i4>527</vt:i4>
      </vt:variant>
      <vt:variant>
        <vt:i4>0</vt:i4>
      </vt:variant>
      <vt:variant>
        <vt:i4>5</vt:i4>
      </vt:variant>
      <vt:variant>
        <vt:lpwstr/>
      </vt:variant>
      <vt:variant>
        <vt:lpwstr>_Toc62126651</vt:lpwstr>
      </vt:variant>
      <vt:variant>
        <vt:i4>1114164</vt:i4>
      </vt:variant>
      <vt:variant>
        <vt:i4>521</vt:i4>
      </vt:variant>
      <vt:variant>
        <vt:i4>0</vt:i4>
      </vt:variant>
      <vt:variant>
        <vt:i4>5</vt:i4>
      </vt:variant>
      <vt:variant>
        <vt:lpwstr/>
      </vt:variant>
      <vt:variant>
        <vt:lpwstr>_Toc62126650</vt:lpwstr>
      </vt:variant>
      <vt:variant>
        <vt:i4>1572917</vt:i4>
      </vt:variant>
      <vt:variant>
        <vt:i4>515</vt:i4>
      </vt:variant>
      <vt:variant>
        <vt:i4>0</vt:i4>
      </vt:variant>
      <vt:variant>
        <vt:i4>5</vt:i4>
      </vt:variant>
      <vt:variant>
        <vt:lpwstr/>
      </vt:variant>
      <vt:variant>
        <vt:lpwstr>_Toc62126649</vt:lpwstr>
      </vt:variant>
      <vt:variant>
        <vt:i4>1638453</vt:i4>
      </vt:variant>
      <vt:variant>
        <vt:i4>509</vt:i4>
      </vt:variant>
      <vt:variant>
        <vt:i4>0</vt:i4>
      </vt:variant>
      <vt:variant>
        <vt:i4>5</vt:i4>
      </vt:variant>
      <vt:variant>
        <vt:lpwstr/>
      </vt:variant>
      <vt:variant>
        <vt:lpwstr>_Toc62126648</vt:lpwstr>
      </vt:variant>
      <vt:variant>
        <vt:i4>1441845</vt:i4>
      </vt:variant>
      <vt:variant>
        <vt:i4>503</vt:i4>
      </vt:variant>
      <vt:variant>
        <vt:i4>0</vt:i4>
      </vt:variant>
      <vt:variant>
        <vt:i4>5</vt:i4>
      </vt:variant>
      <vt:variant>
        <vt:lpwstr/>
      </vt:variant>
      <vt:variant>
        <vt:lpwstr>_Toc62126647</vt:lpwstr>
      </vt:variant>
      <vt:variant>
        <vt:i4>1507381</vt:i4>
      </vt:variant>
      <vt:variant>
        <vt:i4>497</vt:i4>
      </vt:variant>
      <vt:variant>
        <vt:i4>0</vt:i4>
      </vt:variant>
      <vt:variant>
        <vt:i4>5</vt:i4>
      </vt:variant>
      <vt:variant>
        <vt:lpwstr/>
      </vt:variant>
      <vt:variant>
        <vt:lpwstr>_Toc62126646</vt:lpwstr>
      </vt:variant>
      <vt:variant>
        <vt:i4>1310773</vt:i4>
      </vt:variant>
      <vt:variant>
        <vt:i4>491</vt:i4>
      </vt:variant>
      <vt:variant>
        <vt:i4>0</vt:i4>
      </vt:variant>
      <vt:variant>
        <vt:i4>5</vt:i4>
      </vt:variant>
      <vt:variant>
        <vt:lpwstr/>
      </vt:variant>
      <vt:variant>
        <vt:lpwstr>_Toc62126645</vt:lpwstr>
      </vt:variant>
      <vt:variant>
        <vt:i4>1376309</vt:i4>
      </vt:variant>
      <vt:variant>
        <vt:i4>485</vt:i4>
      </vt:variant>
      <vt:variant>
        <vt:i4>0</vt:i4>
      </vt:variant>
      <vt:variant>
        <vt:i4>5</vt:i4>
      </vt:variant>
      <vt:variant>
        <vt:lpwstr/>
      </vt:variant>
      <vt:variant>
        <vt:lpwstr>_Toc62126644</vt:lpwstr>
      </vt:variant>
      <vt:variant>
        <vt:i4>1179701</vt:i4>
      </vt:variant>
      <vt:variant>
        <vt:i4>479</vt:i4>
      </vt:variant>
      <vt:variant>
        <vt:i4>0</vt:i4>
      </vt:variant>
      <vt:variant>
        <vt:i4>5</vt:i4>
      </vt:variant>
      <vt:variant>
        <vt:lpwstr/>
      </vt:variant>
      <vt:variant>
        <vt:lpwstr>_Toc62126643</vt:lpwstr>
      </vt:variant>
      <vt:variant>
        <vt:i4>1245237</vt:i4>
      </vt:variant>
      <vt:variant>
        <vt:i4>473</vt:i4>
      </vt:variant>
      <vt:variant>
        <vt:i4>0</vt:i4>
      </vt:variant>
      <vt:variant>
        <vt:i4>5</vt:i4>
      </vt:variant>
      <vt:variant>
        <vt:lpwstr/>
      </vt:variant>
      <vt:variant>
        <vt:lpwstr>_Toc62126642</vt:lpwstr>
      </vt:variant>
      <vt:variant>
        <vt:i4>1048629</vt:i4>
      </vt:variant>
      <vt:variant>
        <vt:i4>467</vt:i4>
      </vt:variant>
      <vt:variant>
        <vt:i4>0</vt:i4>
      </vt:variant>
      <vt:variant>
        <vt:i4>5</vt:i4>
      </vt:variant>
      <vt:variant>
        <vt:lpwstr/>
      </vt:variant>
      <vt:variant>
        <vt:lpwstr>_Toc62126641</vt:lpwstr>
      </vt:variant>
      <vt:variant>
        <vt:i4>1114165</vt:i4>
      </vt:variant>
      <vt:variant>
        <vt:i4>461</vt:i4>
      </vt:variant>
      <vt:variant>
        <vt:i4>0</vt:i4>
      </vt:variant>
      <vt:variant>
        <vt:i4>5</vt:i4>
      </vt:variant>
      <vt:variant>
        <vt:lpwstr/>
      </vt:variant>
      <vt:variant>
        <vt:lpwstr>_Toc62126640</vt:lpwstr>
      </vt:variant>
      <vt:variant>
        <vt:i4>1572914</vt:i4>
      </vt:variant>
      <vt:variant>
        <vt:i4>455</vt:i4>
      </vt:variant>
      <vt:variant>
        <vt:i4>0</vt:i4>
      </vt:variant>
      <vt:variant>
        <vt:i4>5</vt:i4>
      </vt:variant>
      <vt:variant>
        <vt:lpwstr/>
      </vt:variant>
      <vt:variant>
        <vt:lpwstr>_Toc62126639</vt:lpwstr>
      </vt:variant>
      <vt:variant>
        <vt:i4>1638450</vt:i4>
      </vt:variant>
      <vt:variant>
        <vt:i4>449</vt:i4>
      </vt:variant>
      <vt:variant>
        <vt:i4>0</vt:i4>
      </vt:variant>
      <vt:variant>
        <vt:i4>5</vt:i4>
      </vt:variant>
      <vt:variant>
        <vt:lpwstr/>
      </vt:variant>
      <vt:variant>
        <vt:lpwstr>_Toc62126638</vt:lpwstr>
      </vt:variant>
      <vt:variant>
        <vt:i4>1441842</vt:i4>
      </vt:variant>
      <vt:variant>
        <vt:i4>443</vt:i4>
      </vt:variant>
      <vt:variant>
        <vt:i4>0</vt:i4>
      </vt:variant>
      <vt:variant>
        <vt:i4>5</vt:i4>
      </vt:variant>
      <vt:variant>
        <vt:lpwstr/>
      </vt:variant>
      <vt:variant>
        <vt:lpwstr>_Toc62126637</vt:lpwstr>
      </vt:variant>
      <vt:variant>
        <vt:i4>1507378</vt:i4>
      </vt:variant>
      <vt:variant>
        <vt:i4>437</vt:i4>
      </vt:variant>
      <vt:variant>
        <vt:i4>0</vt:i4>
      </vt:variant>
      <vt:variant>
        <vt:i4>5</vt:i4>
      </vt:variant>
      <vt:variant>
        <vt:lpwstr/>
      </vt:variant>
      <vt:variant>
        <vt:lpwstr>_Toc62126636</vt:lpwstr>
      </vt:variant>
      <vt:variant>
        <vt:i4>1310770</vt:i4>
      </vt:variant>
      <vt:variant>
        <vt:i4>431</vt:i4>
      </vt:variant>
      <vt:variant>
        <vt:i4>0</vt:i4>
      </vt:variant>
      <vt:variant>
        <vt:i4>5</vt:i4>
      </vt:variant>
      <vt:variant>
        <vt:lpwstr/>
      </vt:variant>
      <vt:variant>
        <vt:lpwstr>_Toc62126635</vt:lpwstr>
      </vt:variant>
      <vt:variant>
        <vt:i4>1376306</vt:i4>
      </vt:variant>
      <vt:variant>
        <vt:i4>425</vt:i4>
      </vt:variant>
      <vt:variant>
        <vt:i4>0</vt:i4>
      </vt:variant>
      <vt:variant>
        <vt:i4>5</vt:i4>
      </vt:variant>
      <vt:variant>
        <vt:lpwstr/>
      </vt:variant>
      <vt:variant>
        <vt:lpwstr>_Toc62126634</vt:lpwstr>
      </vt:variant>
      <vt:variant>
        <vt:i4>1179698</vt:i4>
      </vt:variant>
      <vt:variant>
        <vt:i4>419</vt:i4>
      </vt:variant>
      <vt:variant>
        <vt:i4>0</vt:i4>
      </vt:variant>
      <vt:variant>
        <vt:i4>5</vt:i4>
      </vt:variant>
      <vt:variant>
        <vt:lpwstr/>
      </vt:variant>
      <vt:variant>
        <vt:lpwstr>_Toc62126633</vt:lpwstr>
      </vt:variant>
      <vt:variant>
        <vt:i4>1245234</vt:i4>
      </vt:variant>
      <vt:variant>
        <vt:i4>413</vt:i4>
      </vt:variant>
      <vt:variant>
        <vt:i4>0</vt:i4>
      </vt:variant>
      <vt:variant>
        <vt:i4>5</vt:i4>
      </vt:variant>
      <vt:variant>
        <vt:lpwstr/>
      </vt:variant>
      <vt:variant>
        <vt:lpwstr>_Toc62126632</vt:lpwstr>
      </vt:variant>
      <vt:variant>
        <vt:i4>1048626</vt:i4>
      </vt:variant>
      <vt:variant>
        <vt:i4>407</vt:i4>
      </vt:variant>
      <vt:variant>
        <vt:i4>0</vt:i4>
      </vt:variant>
      <vt:variant>
        <vt:i4>5</vt:i4>
      </vt:variant>
      <vt:variant>
        <vt:lpwstr/>
      </vt:variant>
      <vt:variant>
        <vt:lpwstr>_Toc62126631</vt:lpwstr>
      </vt:variant>
      <vt:variant>
        <vt:i4>1114162</vt:i4>
      </vt:variant>
      <vt:variant>
        <vt:i4>401</vt:i4>
      </vt:variant>
      <vt:variant>
        <vt:i4>0</vt:i4>
      </vt:variant>
      <vt:variant>
        <vt:i4>5</vt:i4>
      </vt:variant>
      <vt:variant>
        <vt:lpwstr/>
      </vt:variant>
      <vt:variant>
        <vt:lpwstr>_Toc62126630</vt:lpwstr>
      </vt:variant>
      <vt:variant>
        <vt:i4>1572915</vt:i4>
      </vt:variant>
      <vt:variant>
        <vt:i4>395</vt:i4>
      </vt:variant>
      <vt:variant>
        <vt:i4>0</vt:i4>
      </vt:variant>
      <vt:variant>
        <vt:i4>5</vt:i4>
      </vt:variant>
      <vt:variant>
        <vt:lpwstr/>
      </vt:variant>
      <vt:variant>
        <vt:lpwstr>_Toc62126629</vt:lpwstr>
      </vt:variant>
      <vt:variant>
        <vt:i4>1638451</vt:i4>
      </vt:variant>
      <vt:variant>
        <vt:i4>389</vt:i4>
      </vt:variant>
      <vt:variant>
        <vt:i4>0</vt:i4>
      </vt:variant>
      <vt:variant>
        <vt:i4>5</vt:i4>
      </vt:variant>
      <vt:variant>
        <vt:lpwstr/>
      </vt:variant>
      <vt:variant>
        <vt:lpwstr>_Toc62126628</vt:lpwstr>
      </vt:variant>
      <vt:variant>
        <vt:i4>1441843</vt:i4>
      </vt:variant>
      <vt:variant>
        <vt:i4>383</vt:i4>
      </vt:variant>
      <vt:variant>
        <vt:i4>0</vt:i4>
      </vt:variant>
      <vt:variant>
        <vt:i4>5</vt:i4>
      </vt:variant>
      <vt:variant>
        <vt:lpwstr/>
      </vt:variant>
      <vt:variant>
        <vt:lpwstr>_Toc62126627</vt:lpwstr>
      </vt:variant>
      <vt:variant>
        <vt:i4>1507379</vt:i4>
      </vt:variant>
      <vt:variant>
        <vt:i4>377</vt:i4>
      </vt:variant>
      <vt:variant>
        <vt:i4>0</vt:i4>
      </vt:variant>
      <vt:variant>
        <vt:i4>5</vt:i4>
      </vt:variant>
      <vt:variant>
        <vt:lpwstr/>
      </vt:variant>
      <vt:variant>
        <vt:lpwstr>_Toc62126626</vt:lpwstr>
      </vt:variant>
      <vt:variant>
        <vt:i4>1310771</vt:i4>
      </vt:variant>
      <vt:variant>
        <vt:i4>371</vt:i4>
      </vt:variant>
      <vt:variant>
        <vt:i4>0</vt:i4>
      </vt:variant>
      <vt:variant>
        <vt:i4>5</vt:i4>
      </vt:variant>
      <vt:variant>
        <vt:lpwstr/>
      </vt:variant>
      <vt:variant>
        <vt:lpwstr>_Toc62126625</vt:lpwstr>
      </vt:variant>
      <vt:variant>
        <vt:i4>1376307</vt:i4>
      </vt:variant>
      <vt:variant>
        <vt:i4>365</vt:i4>
      </vt:variant>
      <vt:variant>
        <vt:i4>0</vt:i4>
      </vt:variant>
      <vt:variant>
        <vt:i4>5</vt:i4>
      </vt:variant>
      <vt:variant>
        <vt:lpwstr/>
      </vt:variant>
      <vt:variant>
        <vt:lpwstr>_Toc62126624</vt:lpwstr>
      </vt:variant>
      <vt:variant>
        <vt:i4>1179699</vt:i4>
      </vt:variant>
      <vt:variant>
        <vt:i4>359</vt:i4>
      </vt:variant>
      <vt:variant>
        <vt:i4>0</vt:i4>
      </vt:variant>
      <vt:variant>
        <vt:i4>5</vt:i4>
      </vt:variant>
      <vt:variant>
        <vt:lpwstr/>
      </vt:variant>
      <vt:variant>
        <vt:lpwstr>_Toc62126623</vt:lpwstr>
      </vt:variant>
      <vt:variant>
        <vt:i4>1245235</vt:i4>
      </vt:variant>
      <vt:variant>
        <vt:i4>353</vt:i4>
      </vt:variant>
      <vt:variant>
        <vt:i4>0</vt:i4>
      </vt:variant>
      <vt:variant>
        <vt:i4>5</vt:i4>
      </vt:variant>
      <vt:variant>
        <vt:lpwstr/>
      </vt:variant>
      <vt:variant>
        <vt:lpwstr>_Toc62126622</vt:lpwstr>
      </vt:variant>
      <vt:variant>
        <vt:i4>1048627</vt:i4>
      </vt:variant>
      <vt:variant>
        <vt:i4>347</vt:i4>
      </vt:variant>
      <vt:variant>
        <vt:i4>0</vt:i4>
      </vt:variant>
      <vt:variant>
        <vt:i4>5</vt:i4>
      </vt:variant>
      <vt:variant>
        <vt:lpwstr/>
      </vt:variant>
      <vt:variant>
        <vt:lpwstr>_Toc62126621</vt:lpwstr>
      </vt:variant>
      <vt:variant>
        <vt:i4>1114163</vt:i4>
      </vt:variant>
      <vt:variant>
        <vt:i4>341</vt:i4>
      </vt:variant>
      <vt:variant>
        <vt:i4>0</vt:i4>
      </vt:variant>
      <vt:variant>
        <vt:i4>5</vt:i4>
      </vt:variant>
      <vt:variant>
        <vt:lpwstr/>
      </vt:variant>
      <vt:variant>
        <vt:lpwstr>_Toc62126620</vt:lpwstr>
      </vt:variant>
      <vt:variant>
        <vt:i4>1572912</vt:i4>
      </vt:variant>
      <vt:variant>
        <vt:i4>335</vt:i4>
      </vt:variant>
      <vt:variant>
        <vt:i4>0</vt:i4>
      </vt:variant>
      <vt:variant>
        <vt:i4>5</vt:i4>
      </vt:variant>
      <vt:variant>
        <vt:lpwstr/>
      </vt:variant>
      <vt:variant>
        <vt:lpwstr>_Toc62126619</vt:lpwstr>
      </vt:variant>
      <vt:variant>
        <vt:i4>1638448</vt:i4>
      </vt:variant>
      <vt:variant>
        <vt:i4>329</vt:i4>
      </vt:variant>
      <vt:variant>
        <vt:i4>0</vt:i4>
      </vt:variant>
      <vt:variant>
        <vt:i4>5</vt:i4>
      </vt:variant>
      <vt:variant>
        <vt:lpwstr/>
      </vt:variant>
      <vt:variant>
        <vt:lpwstr>_Toc62126618</vt:lpwstr>
      </vt:variant>
      <vt:variant>
        <vt:i4>1441840</vt:i4>
      </vt:variant>
      <vt:variant>
        <vt:i4>323</vt:i4>
      </vt:variant>
      <vt:variant>
        <vt:i4>0</vt:i4>
      </vt:variant>
      <vt:variant>
        <vt:i4>5</vt:i4>
      </vt:variant>
      <vt:variant>
        <vt:lpwstr/>
      </vt:variant>
      <vt:variant>
        <vt:lpwstr>_Toc62126617</vt:lpwstr>
      </vt:variant>
      <vt:variant>
        <vt:i4>1507376</vt:i4>
      </vt:variant>
      <vt:variant>
        <vt:i4>317</vt:i4>
      </vt:variant>
      <vt:variant>
        <vt:i4>0</vt:i4>
      </vt:variant>
      <vt:variant>
        <vt:i4>5</vt:i4>
      </vt:variant>
      <vt:variant>
        <vt:lpwstr/>
      </vt:variant>
      <vt:variant>
        <vt:lpwstr>_Toc62126616</vt:lpwstr>
      </vt:variant>
      <vt:variant>
        <vt:i4>1310768</vt:i4>
      </vt:variant>
      <vt:variant>
        <vt:i4>311</vt:i4>
      </vt:variant>
      <vt:variant>
        <vt:i4>0</vt:i4>
      </vt:variant>
      <vt:variant>
        <vt:i4>5</vt:i4>
      </vt:variant>
      <vt:variant>
        <vt:lpwstr/>
      </vt:variant>
      <vt:variant>
        <vt:lpwstr>_Toc62126615</vt:lpwstr>
      </vt:variant>
      <vt:variant>
        <vt:i4>1376304</vt:i4>
      </vt:variant>
      <vt:variant>
        <vt:i4>305</vt:i4>
      </vt:variant>
      <vt:variant>
        <vt:i4>0</vt:i4>
      </vt:variant>
      <vt:variant>
        <vt:i4>5</vt:i4>
      </vt:variant>
      <vt:variant>
        <vt:lpwstr/>
      </vt:variant>
      <vt:variant>
        <vt:lpwstr>_Toc62126614</vt:lpwstr>
      </vt:variant>
      <vt:variant>
        <vt:i4>1179696</vt:i4>
      </vt:variant>
      <vt:variant>
        <vt:i4>299</vt:i4>
      </vt:variant>
      <vt:variant>
        <vt:i4>0</vt:i4>
      </vt:variant>
      <vt:variant>
        <vt:i4>5</vt:i4>
      </vt:variant>
      <vt:variant>
        <vt:lpwstr/>
      </vt:variant>
      <vt:variant>
        <vt:lpwstr>_Toc62126613</vt:lpwstr>
      </vt:variant>
      <vt:variant>
        <vt:i4>1245232</vt:i4>
      </vt:variant>
      <vt:variant>
        <vt:i4>293</vt:i4>
      </vt:variant>
      <vt:variant>
        <vt:i4>0</vt:i4>
      </vt:variant>
      <vt:variant>
        <vt:i4>5</vt:i4>
      </vt:variant>
      <vt:variant>
        <vt:lpwstr/>
      </vt:variant>
      <vt:variant>
        <vt:lpwstr>_Toc62126612</vt:lpwstr>
      </vt:variant>
      <vt:variant>
        <vt:i4>1048624</vt:i4>
      </vt:variant>
      <vt:variant>
        <vt:i4>287</vt:i4>
      </vt:variant>
      <vt:variant>
        <vt:i4>0</vt:i4>
      </vt:variant>
      <vt:variant>
        <vt:i4>5</vt:i4>
      </vt:variant>
      <vt:variant>
        <vt:lpwstr/>
      </vt:variant>
      <vt:variant>
        <vt:lpwstr>_Toc62126611</vt:lpwstr>
      </vt:variant>
      <vt:variant>
        <vt:i4>1114160</vt:i4>
      </vt:variant>
      <vt:variant>
        <vt:i4>281</vt:i4>
      </vt:variant>
      <vt:variant>
        <vt:i4>0</vt:i4>
      </vt:variant>
      <vt:variant>
        <vt:i4>5</vt:i4>
      </vt:variant>
      <vt:variant>
        <vt:lpwstr/>
      </vt:variant>
      <vt:variant>
        <vt:lpwstr>_Toc62126610</vt:lpwstr>
      </vt:variant>
      <vt:variant>
        <vt:i4>1572913</vt:i4>
      </vt:variant>
      <vt:variant>
        <vt:i4>275</vt:i4>
      </vt:variant>
      <vt:variant>
        <vt:i4>0</vt:i4>
      </vt:variant>
      <vt:variant>
        <vt:i4>5</vt:i4>
      </vt:variant>
      <vt:variant>
        <vt:lpwstr/>
      </vt:variant>
      <vt:variant>
        <vt:lpwstr>_Toc62126609</vt:lpwstr>
      </vt:variant>
      <vt:variant>
        <vt:i4>1638449</vt:i4>
      </vt:variant>
      <vt:variant>
        <vt:i4>269</vt:i4>
      </vt:variant>
      <vt:variant>
        <vt:i4>0</vt:i4>
      </vt:variant>
      <vt:variant>
        <vt:i4>5</vt:i4>
      </vt:variant>
      <vt:variant>
        <vt:lpwstr/>
      </vt:variant>
      <vt:variant>
        <vt:lpwstr>_Toc62126608</vt:lpwstr>
      </vt:variant>
      <vt:variant>
        <vt:i4>1441841</vt:i4>
      </vt:variant>
      <vt:variant>
        <vt:i4>263</vt:i4>
      </vt:variant>
      <vt:variant>
        <vt:i4>0</vt:i4>
      </vt:variant>
      <vt:variant>
        <vt:i4>5</vt:i4>
      </vt:variant>
      <vt:variant>
        <vt:lpwstr/>
      </vt:variant>
      <vt:variant>
        <vt:lpwstr>_Toc62126607</vt:lpwstr>
      </vt:variant>
      <vt:variant>
        <vt:i4>1507377</vt:i4>
      </vt:variant>
      <vt:variant>
        <vt:i4>257</vt:i4>
      </vt:variant>
      <vt:variant>
        <vt:i4>0</vt:i4>
      </vt:variant>
      <vt:variant>
        <vt:i4>5</vt:i4>
      </vt:variant>
      <vt:variant>
        <vt:lpwstr/>
      </vt:variant>
      <vt:variant>
        <vt:lpwstr>_Toc62126606</vt:lpwstr>
      </vt:variant>
      <vt:variant>
        <vt:i4>1310769</vt:i4>
      </vt:variant>
      <vt:variant>
        <vt:i4>251</vt:i4>
      </vt:variant>
      <vt:variant>
        <vt:i4>0</vt:i4>
      </vt:variant>
      <vt:variant>
        <vt:i4>5</vt:i4>
      </vt:variant>
      <vt:variant>
        <vt:lpwstr/>
      </vt:variant>
      <vt:variant>
        <vt:lpwstr>_Toc62126605</vt:lpwstr>
      </vt:variant>
      <vt:variant>
        <vt:i4>1376305</vt:i4>
      </vt:variant>
      <vt:variant>
        <vt:i4>245</vt:i4>
      </vt:variant>
      <vt:variant>
        <vt:i4>0</vt:i4>
      </vt:variant>
      <vt:variant>
        <vt:i4>5</vt:i4>
      </vt:variant>
      <vt:variant>
        <vt:lpwstr/>
      </vt:variant>
      <vt:variant>
        <vt:lpwstr>_Toc62126604</vt:lpwstr>
      </vt:variant>
      <vt:variant>
        <vt:i4>1179697</vt:i4>
      </vt:variant>
      <vt:variant>
        <vt:i4>239</vt:i4>
      </vt:variant>
      <vt:variant>
        <vt:i4>0</vt:i4>
      </vt:variant>
      <vt:variant>
        <vt:i4>5</vt:i4>
      </vt:variant>
      <vt:variant>
        <vt:lpwstr/>
      </vt:variant>
      <vt:variant>
        <vt:lpwstr>_Toc62126603</vt:lpwstr>
      </vt:variant>
      <vt:variant>
        <vt:i4>1245233</vt:i4>
      </vt:variant>
      <vt:variant>
        <vt:i4>233</vt:i4>
      </vt:variant>
      <vt:variant>
        <vt:i4>0</vt:i4>
      </vt:variant>
      <vt:variant>
        <vt:i4>5</vt:i4>
      </vt:variant>
      <vt:variant>
        <vt:lpwstr/>
      </vt:variant>
      <vt:variant>
        <vt:lpwstr>_Toc62126602</vt:lpwstr>
      </vt:variant>
      <vt:variant>
        <vt:i4>1048625</vt:i4>
      </vt:variant>
      <vt:variant>
        <vt:i4>227</vt:i4>
      </vt:variant>
      <vt:variant>
        <vt:i4>0</vt:i4>
      </vt:variant>
      <vt:variant>
        <vt:i4>5</vt:i4>
      </vt:variant>
      <vt:variant>
        <vt:lpwstr/>
      </vt:variant>
      <vt:variant>
        <vt:lpwstr>_Toc62126601</vt:lpwstr>
      </vt:variant>
      <vt:variant>
        <vt:i4>1114161</vt:i4>
      </vt:variant>
      <vt:variant>
        <vt:i4>221</vt:i4>
      </vt:variant>
      <vt:variant>
        <vt:i4>0</vt:i4>
      </vt:variant>
      <vt:variant>
        <vt:i4>5</vt:i4>
      </vt:variant>
      <vt:variant>
        <vt:lpwstr/>
      </vt:variant>
      <vt:variant>
        <vt:lpwstr>_Toc62126600</vt:lpwstr>
      </vt:variant>
      <vt:variant>
        <vt:i4>1769528</vt:i4>
      </vt:variant>
      <vt:variant>
        <vt:i4>215</vt:i4>
      </vt:variant>
      <vt:variant>
        <vt:i4>0</vt:i4>
      </vt:variant>
      <vt:variant>
        <vt:i4>5</vt:i4>
      </vt:variant>
      <vt:variant>
        <vt:lpwstr/>
      </vt:variant>
      <vt:variant>
        <vt:lpwstr>_Toc62126599</vt:lpwstr>
      </vt:variant>
      <vt:variant>
        <vt:i4>1703992</vt:i4>
      </vt:variant>
      <vt:variant>
        <vt:i4>209</vt:i4>
      </vt:variant>
      <vt:variant>
        <vt:i4>0</vt:i4>
      </vt:variant>
      <vt:variant>
        <vt:i4>5</vt:i4>
      </vt:variant>
      <vt:variant>
        <vt:lpwstr/>
      </vt:variant>
      <vt:variant>
        <vt:lpwstr>_Toc62126598</vt:lpwstr>
      </vt:variant>
      <vt:variant>
        <vt:i4>1376312</vt:i4>
      </vt:variant>
      <vt:variant>
        <vt:i4>203</vt:i4>
      </vt:variant>
      <vt:variant>
        <vt:i4>0</vt:i4>
      </vt:variant>
      <vt:variant>
        <vt:i4>5</vt:i4>
      </vt:variant>
      <vt:variant>
        <vt:lpwstr/>
      </vt:variant>
      <vt:variant>
        <vt:lpwstr>_Toc62126597</vt:lpwstr>
      </vt:variant>
      <vt:variant>
        <vt:i4>1310776</vt:i4>
      </vt:variant>
      <vt:variant>
        <vt:i4>197</vt:i4>
      </vt:variant>
      <vt:variant>
        <vt:i4>0</vt:i4>
      </vt:variant>
      <vt:variant>
        <vt:i4>5</vt:i4>
      </vt:variant>
      <vt:variant>
        <vt:lpwstr/>
      </vt:variant>
      <vt:variant>
        <vt:lpwstr>_Toc62126596</vt:lpwstr>
      </vt:variant>
      <vt:variant>
        <vt:i4>1507384</vt:i4>
      </vt:variant>
      <vt:variant>
        <vt:i4>191</vt:i4>
      </vt:variant>
      <vt:variant>
        <vt:i4>0</vt:i4>
      </vt:variant>
      <vt:variant>
        <vt:i4>5</vt:i4>
      </vt:variant>
      <vt:variant>
        <vt:lpwstr/>
      </vt:variant>
      <vt:variant>
        <vt:lpwstr>_Toc62126595</vt:lpwstr>
      </vt:variant>
      <vt:variant>
        <vt:i4>1441848</vt:i4>
      </vt:variant>
      <vt:variant>
        <vt:i4>185</vt:i4>
      </vt:variant>
      <vt:variant>
        <vt:i4>0</vt:i4>
      </vt:variant>
      <vt:variant>
        <vt:i4>5</vt:i4>
      </vt:variant>
      <vt:variant>
        <vt:lpwstr/>
      </vt:variant>
      <vt:variant>
        <vt:lpwstr>_Toc62126594</vt:lpwstr>
      </vt:variant>
      <vt:variant>
        <vt:i4>1114168</vt:i4>
      </vt:variant>
      <vt:variant>
        <vt:i4>179</vt:i4>
      </vt:variant>
      <vt:variant>
        <vt:i4>0</vt:i4>
      </vt:variant>
      <vt:variant>
        <vt:i4>5</vt:i4>
      </vt:variant>
      <vt:variant>
        <vt:lpwstr/>
      </vt:variant>
      <vt:variant>
        <vt:lpwstr>_Toc62126593</vt:lpwstr>
      </vt:variant>
      <vt:variant>
        <vt:i4>1048632</vt:i4>
      </vt:variant>
      <vt:variant>
        <vt:i4>173</vt:i4>
      </vt:variant>
      <vt:variant>
        <vt:i4>0</vt:i4>
      </vt:variant>
      <vt:variant>
        <vt:i4>5</vt:i4>
      </vt:variant>
      <vt:variant>
        <vt:lpwstr/>
      </vt:variant>
      <vt:variant>
        <vt:lpwstr>_Toc62126592</vt:lpwstr>
      </vt:variant>
      <vt:variant>
        <vt:i4>1245240</vt:i4>
      </vt:variant>
      <vt:variant>
        <vt:i4>167</vt:i4>
      </vt:variant>
      <vt:variant>
        <vt:i4>0</vt:i4>
      </vt:variant>
      <vt:variant>
        <vt:i4>5</vt:i4>
      </vt:variant>
      <vt:variant>
        <vt:lpwstr/>
      </vt:variant>
      <vt:variant>
        <vt:lpwstr>_Toc62126591</vt:lpwstr>
      </vt:variant>
      <vt:variant>
        <vt:i4>1179704</vt:i4>
      </vt:variant>
      <vt:variant>
        <vt:i4>161</vt:i4>
      </vt:variant>
      <vt:variant>
        <vt:i4>0</vt:i4>
      </vt:variant>
      <vt:variant>
        <vt:i4>5</vt:i4>
      </vt:variant>
      <vt:variant>
        <vt:lpwstr/>
      </vt:variant>
      <vt:variant>
        <vt:lpwstr>_Toc62126590</vt:lpwstr>
      </vt:variant>
      <vt:variant>
        <vt:i4>1769529</vt:i4>
      </vt:variant>
      <vt:variant>
        <vt:i4>155</vt:i4>
      </vt:variant>
      <vt:variant>
        <vt:i4>0</vt:i4>
      </vt:variant>
      <vt:variant>
        <vt:i4>5</vt:i4>
      </vt:variant>
      <vt:variant>
        <vt:lpwstr/>
      </vt:variant>
      <vt:variant>
        <vt:lpwstr>_Toc62126589</vt:lpwstr>
      </vt:variant>
      <vt:variant>
        <vt:i4>1703993</vt:i4>
      </vt:variant>
      <vt:variant>
        <vt:i4>149</vt:i4>
      </vt:variant>
      <vt:variant>
        <vt:i4>0</vt:i4>
      </vt:variant>
      <vt:variant>
        <vt:i4>5</vt:i4>
      </vt:variant>
      <vt:variant>
        <vt:lpwstr/>
      </vt:variant>
      <vt:variant>
        <vt:lpwstr>_Toc62126588</vt:lpwstr>
      </vt:variant>
      <vt:variant>
        <vt:i4>1376313</vt:i4>
      </vt:variant>
      <vt:variant>
        <vt:i4>143</vt:i4>
      </vt:variant>
      <vt:variant>
        <vt:i4>0</vt:i4>
      </vt:variant>
      <vt:variant>
        <vt:i4>5</vt:i4>
      </vt:variant>
      <vt:variant>
        <vt:lpwstr/>
      </vt:variant>
      <vt:variant>
        <vt:lpwstr>_Toc62126587</vt:lpwstr>
      </vt:variant>
      <vt:variant>
        <vt:i4>1310777</vt:i4>
      </vt:variant>
      <vt:variant>
        <vt:i4>137</vt:i4>
      </vt:variant>
      <vt:variant>
        <vt:i4>0</vt:i4>
      </vt:variant>
      <vt:variant>
        <vt:i4>5</vt:i4>
      </vt:variant>
      <vt:variant>
        <vt:lpwstr/>
      </vt:variant>
      <vt:variant>
        <vt:lpwstr>_Toc62126586</vt:lpwstr>
      </vt:variant>
      <vt:variant>
        <vt:i4>1507385</vt:i4>
      </vt:variant>
      <vt:variant>
        <vt:i4>131</vt:i4>
      </vt:variant>
      <vt:variant>
        <vt:i4>0</vt:i4>
      </vt:variant>
      <vt:variant>
        <vt:i4>5</vt:i4>
      </vt:variant>
      <vt:variant>
        <vt:lpwstr/>
      </vt:variant>
      <vt:variant>
        <vt:lpwstr>_Toc62126585</vt:lpwstr>
      </vt:variant>
      <vt:variant>
        <vt:i4>1441849</vt:i4>
      </vt:variant>
      <vt:variant>
        <vt:i4>125</vt:i4>
      </vt:variant>
      <vt:variant>
        <vt:i4>0</vt:i4>
      </vt:variant>
      <vt:variant>
        <vt:i4>5</vt:i4>
      </vt:variant>
      <vt:variant>
        <vt:lpwstr/>
      </vt:variant>
      <vt:variant>
        <vt:lpwstr>_Toc62126584</vt:lpwstr>
      </vt:variant>
      <vt:variant>
        <vt:i4>1114169</vt:i4>
      </vt:variant>
      <vt:variant>
        <vt:i4>119</vt:i4>
      </vt:variant>
      <vt:variant>
        <vt:i4>0</vt:i4>
      </vt:variant>
      <vt:variant>
        <vt:i4>5</vt:i4>
      </vt:variant>
      <vt:variant>
        <vt:lpwstr/>
      </vt:variant>
      <vt:variant>
        <vt:lpwstr>_Toc62126583</vt:lpwstr>
      </vt:variant>
      <vt:variant>
        <vt:i4>1048633</vt:i4>
      </vt:variant>
      <vt:variant>
        <vt:i4>113</vt:i4>
      </vt:variant>
      <vt:variant>
        <vt:i4>0</vt:i4>
      </vt:variant>
      <vt:variant>
        <vt:i4>5</vt:i4>
      </vt:variant>
      <vt:variant>
        <vt:lpwstr/>
      </vt:variant>
      <vt:variant>
        <vt:lpwstr>_Toc62126582</vt:lpwstr>
      </vt:variant>
      <vt:variant>
        <vt:i4>1245241</vt:i4>
      </vt:variant>
      <vt:variant>
        <vt:i4>107</vt:i4>
      </vt:variant>
      <vt:variant>
        <vt:i4>0</vt:i4>
      </vt:variant>
      <vt:variant>
        <vt:i4>5</vt:i4>
      </vt:variant>
      <vt:variant>
        <vt:lpwstr/>
      </vt:variant>
      <vt:variant>
        <vt:lpwstr>_Toc62126581</vt:lpwstr>
      </vt:variant>
      <vt:variant>
        <vt:i4>1179705</vt:i4>
      </vt:variant>
      <vt:variant>
        <vt:i4>101</vt:i4>
      </vt:variant>
      <vt:variant>
        <vt:i4>0</vt:i4>
      </vt:variant>
      <vt:variant>
        <vt:i4>5</vt:i4>
      </vt:variant>
      <vt:variant>
        <vt:lpwstr/>
      </vt:variant>
      <vt:variant>
        <vt:lpwstr>_Toc62126580</vt:lpwstr>
      </vt:variant>
      <vt:variant>
        <vt:i4>1769526</vt:i4>
      </vt:variant>
      <vt:variant>
        <vt:i4>95</vt:i4>
      </vt:variant>
      <vt:variant>
        <vt:i4>0</vt:i4>
      </vt:variant>
      <vt:variant>
        <vt:i4>5</vt:i4>
      </vt:variant>
      <vt:variant>
        <vt:lpwstr/>
      </vt:variant>
      <vt:variant>
        <vt:lpwstr>_Toc62126579</vt:lpwstr>
      </vt:variant>
      <vt:variant>
        <vt:i4>1703990</vt:i4>
      </vt:variant>
      <vt:variant>
        <vt:i4>89</vt:i4>
      </vt:variant>
      <vt:variant>
        <vt:i4>0</vt:i4>
      </vt:variant>
      <vt:variant>
        <vt:i4>5</vt:i4>
      </vt:variant>
      <vt:variant>
        <vt:lpwstr/>
      </vt:variant>
      <vt:variant>
        <vt:lpwstr>_Toc62126578</vt:lpwstr>
      </vt:variant>
      <vt:variant>
        <vt:i4>1376310</vt:i4>
      </vt:variant>
      <vt:variant>
        <vt:i4>83</vt:i4>
      </vt:variant>
      <vt:variant>
        <vt:i4>0</vt:i4>
      </vt:variant>
      <vt:variant>
        <vt:i4>5</vt:i4>
      </vt:variant>
      <vt:variant>
        <vt:lpwstr/>
      </vt:variant>
      <vt:variant>
        <vt:lpwstr>_Toc62126577</vt:lpwstr>
      </vt:variant>
      <vt:variant>
        <vt:i4>1310774</vt:i4>
      </vt:variant>
      <vt:variant>
        <vt:i4>77</vt:i4>
      </vt:variant>
      <vt:variant>
        <vt:i4>0</vt:i4>
      </vt:variant>
      <vt:variant>
        <vt:i4>5</vt:i4>
      </vt:variant>
      <vt:variant>
        <vt:lpwstr/>
      </vt:variant>
      <vt:variant>
        <vt:lpwstr>_Toc62126576</vt:lpwstr>
      </vt:variant>
      <vt:variant>
        <vt:i4>1507382</vt:i4>
      </vt:variant>
      <vt:variant>
        <vt:i4>71</vt:i4>
      </vt:variant>
      <vt:variant>
        <vt:i4>0</vt:i4>
      </vt:variant>
      <vt:variant>
        <vt:i4>5</vt:i4>
      </vt:variant>
      <vt:variant>
        <vt:lpwstr/>
      </vt:variant>
      <vt:variant>
        <vt:lpwstr>_Toc62126575</vt:lpwstr>
      </vt:variant>
      <vt:variant>
        <vt:i4>1441846</vt:i4>
      </vt:variant>
      <vt:variant>
        <vt:i4>65</vt:i4>
      </vt:variant>
      <vt:variant>
        <vt:i4>0</vt:i4>
      </vt:variant>
      <vt:variant>
        <vt:i4>5</vt:i4>
      </vt:variant>
      <vt:variant>
        <vt:lpwstr/>
      </vt:variant>
      <vt:variant>
        <vt:lpwstr>_Toc62126574</vt:lpwstr>
      </vt:variant>
      <vt:variant>
        <vt:i4>1114166</vt:i4>
      </vt:variant>
      <vt:variant>
        <vt:i4>59</vt:i4>
      </vt:variant>
      <vt:variant>
        <vt:i4>0</vt:i4>
      </vt:variant>
      <vt:variant>
        <vt:i4>5</vt:i4>
      </vt:variant>
      <vt:variant>
        <vt:lpwstr/>
      </vt:variant>
      <vt:variant>
        <vt:lpwstr>_Toc62126573</vt:lpwstr>
      </vt:variant>
      <vt:variant>
        <vt:i4>1048630</vt:i4>
      </vt:variant>
      <vt:variant>
        <vt:i4>53</vt:i4>
      </vt:variant>
      <vt:variant>
        <vt:i4>0</vt:i4>
      </vt:variant>
      <vt:variant>
        <vt:i4>5</vt:i4>
      </vt:variant>
      <vt:variant>
        <vt:lpwstr/>
      </vt:variant>
      <vt:variant>
        <vt:lpwstr>_Toc62126572</vt:lpwstr>
      </vt:variant>
      <vt:variant>
        <vt:i4>1245238</vt:i4>
      </vt:variant>
      <vt:variant>
        <vt:i4>47</vt:i4>
      </vt:variant>
      <vt:variant>
        <vt:i4>0</vt:i4>
      </vt:variant>
      <vt:variant>
        <vt:i4>5</vt:i4>
      </vt:variant>
      <vt:variant>
        <vt:lpwstr/>
      </vt:variant>
      <vt:variant>
        <vt:lpwstr>_Toc62126571</vt:lpwstr>
      </vt:variant>
      <vt:variant>
        <vt:i4>1179702</vt:i4>
      </vt:variant>
      <vt:variant>
        <vt:i4>41</vt:i4>
      </vt:variant>
      <vt:variant>
        <vt:i4>0</vt:i4>
      </vt:variant>
      <vt:variant>
        <vt:i4>5</vt:i4>
      </vt:variant>
      <vt:variant>
        <vt:lpwstr/>
      </vt:variant>
      <vt:variant>
        <vt:lpwstr>_Toc62126570</vt:lpwstr>
      </vt:variant>
      <vt:variant>
        <vt:i4>1769527</vt:i4>
      </vt:variant>
      <vt:variant>
        <vt:i4>35</vt:i4>
      </vt:variant>
      <vt:variant>
        <vt:i4>0</vt:i4>
      </vt:variant>
      <vt:variant>
        <vt:i4>5</vt:i4>
      </vt:variant>
      <vt:variant>
        <vt:lpwstr/>
      </vt:variant>
      <vt:variant>
        <vt:lpwstr>_Toc62126569</vt:lpwstr>
      </vt:variant>
      <vt:variant>
        <vt:i4>1703991</vt:i4>
      </vt:variant>
      <vt:variant>
        <vt:i4>29</vt:i4>
      </vt:variant>
      <vt:variant>
        <vt:i4>0</vt:i4>
      </vt:variant>
      <vt:variant>
        <vt:i4>5</vt:i4>
      </vt:variant>
      <vt:variant>
        <vt:lpwstr/>
      </vt:variant>
      <vt:variant>
        <vt:lpwstr>_Toc62126568</vt:lpwstr>
      </vt:variant>
      <vt:variant>
        <vt:i4>1376311</vt:i4>
      </vt:variant>
      <vt:variant>
        <vt:i4>23</vt:i4>
      </vt:variant>
      <vt:variant>
        <vt:i4>0</vt:i4>
      </vt:variant>
      <vt:variant>
        <vt:i4>5</vt:i4>
      </vt:variant>
      <vt:variant>
        <vt:lpwstr/>
      </vt:variant>
      <vt:variant>
        <vt:lpwstr>_Toc62126567</vt:lpwstr>
      </vt:variant>
      <vt:variant>
        <vt:i4>1310775</vt:i4>
      </vt:variant>
      <vt:variant>
        <vt:i4>17</vt:i4>
      </vt:variant>
      <vt:variant>
        <vt:i4>0</vt:i4>
      </vt:variant>
      <vt:variant>
        <vt:i4>5</vt:i4>
      </vt:variant>
      <vt:variant>
        <vt:lpwstr/>
      </vt:variant>
      <vt:variant>
        <vt:lpwstr>_Toc62126566</vt:lpwstr>
      </vt:variant>
      <vt:variant>
        <vt:i4>1507383</vt:i4>
      </vt:variant>
      <vt:variant>
        <vt:i4>11</vt:i4>
      </vt:variant>
      <vt:variant>
        <vt:i4>0</vt:i4>
      </vt:variant>
      <vt:variant>
        <vt:i4>5</vt:i4>
      </vt:variant>
      <vt:variant>
        <vt:lpwstr/>
      </vt:variant>
      <vt:variant>
        <vt:lpwstr>_Toc62126565</vt:lpwstr>
      </vt:variant>
      <vt:variant>
        <vt:i4>1441847</vt:i4>
      </vt:variant>
      <vt:variant>
        <vt:i4>5</vt:i4>
      </vt:variant>
      <vt:variant>
        <vt:i4>0</vt:i4>
      </vt:variant>
      <vt:variant>
        <vt:i4>5</vt:i4>
      </vt:variant>
      <vt:variant>
        <vt:lpwstr/>
      </vt:variant>
      <vt:variant>
        <vt:lpwstr>_Toc62126564</vt:lpwstr>
      </vt:variant>
      <vt:variant>
        <vt:i4>3801135</vt:i4>
      </vt:variant>
      <vt:variant>
        <vt:i4>0</vt:i4>
      </vt:variant>
      <vt:variant>
        <vt:i4>0</vt:i4>
      </vt:variant>
      <vt:variant>
        <vt:i4>5</vt:i4>
      </vt:variant>
      <vt:variant>
        <vt:lpwstr>https://scholar.google.com/citations?view_op=view_org&amp;hl=en&amp;org=5985253823838700765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LUO SHUCHENG</dc:creator>
  <cp:keywords/>
  <dc:description/>
  <cp:lastModifiedBy>Shucheng Luo</cp:lastModifiedBy>
  <cp:revision>4</cp:revision>
  <dcterms:created xsi:type="dcterms:W3CDTF">2021-03-24T09:41:00Z</dcterms:created>
  <dcterms:modified xsi:type="dcterms:W3CDTF">2021-05-04T14:39:00Z</dcterms:modified>
</cp:coreProperties>
</file>